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331"/>
        <w:spacing w:before="182" w:line="210" w:lineRule="auto"/>
        <w:rPr>
          <w:rFonts w:ascii="FZXiaoBiaoSong-B05S" w:hAnsi="FZXiaoBiaoSong-B05S" w:eastAsia="FZXiaoBiaoSong-B05S" w:cs="FZXiaoBiaoSong-B05S"/>
          <w:sz w:val="47"/>
          <w:szCs w:val="47"/>
        </w:rPr>
      </w:pPr>
      <w:r>
        <w:rPr>
          <w:rFonts w:ascii="FZXiaoBiaoSong-B05S" w:hAnsi="FZXiaoBiaoSong-B05S" w:eastAsia="FZXiaoBiaoSong-B05S" w:cs="FZXiaoBiaoSong-B05S"/>
          <w:sz w:val="47"/>
          <w:szCs w:val="47"/>
          <w:spacing w:val="9"/>
        </w:rPr>
        <w:t>苏尼特右旗富邦矿业有限公司苏尼特</w:t>
      </w:r>
    </w:p>
    <w:p>
      <w:pPr>
        <w:ind w:left="811"/>
        <w:spacing w:before="299" w:line="208" w:lineRule="auto"/>
        <w:rPr>
          <w:rFonts w:ascii="FZXiaoBiaoSong-B05S" w:hAnsi="FZXiaoBiaoSong-B05S" w:eastAsia="FZXiaoBiaoSong-B05S" w:cs="FZXiaoBiaoSong-B05S"/>
          <w:sz w:val="47"/>
          <w:szCs w:val="47"/>
        </w:rPr>
      </w:pPr>
      <w:r>
        <w:rPr>
          <w:rFonts w:ascii="FZXiaoBiaoSong-B05S" w:hAnsi="FZXiaoBiaoSong-B05S" w:eastAsia="FZXiaoBiaoSong-B05S" w:cs="FZXiaoBiaoSong-B05S"/>
          <w:sz w:val="47"/>
          <w:szCs w:val="47"/>
          <w:spacing w:val="9"/>
        </w:rPr>
        <w:t>右旗桑宝力嘎额尔登塔拉萤石矿</w:t>
      </w:r>
    </w:p>
    <w:p>
      <w:pPr>
        <w:ind w:left="1359"/>
        <w:spacing w:before="299" w:line="237" w:lineRule="auto"/>
        <w:rPr>
          <w:rFonts w:ascii="FZXiaoBiaoSong-B05S" w:hAnsi="FZXiaoBiaoSong-B05S" w:eastAsia="FZXiaoBiaoSong-B05S" w:cs="FZXiaoBiaoSong-B05S"/>
          <w:sz w:val="47"/>
          <w:szCs w:val="47"/>
        </w:rPr>
      </w:pPr>
      <w:r>
        <w:rPr>
          <w:rFonts w:ascii="FZXiaoBiaoSong-B05S" w:hAnsi="FZXiaoBiaoSong-B05S" w:eastAsia="FZXiaoBiaoSong-B05S" w:cs="FZXiaoBiaoSong-B05S"/>
          <w:sz w:val="47"/>
          <w:szCs w:val="47"/>
          <w:spacing w:val="5"/>
        </w:rPr>
        <w:t>10</w:t>
      </w:r>
      <w:r>
        <w:rPr>
          <w:rFonts w:ascii="FZXiaoBiaoSong-B05S" w:hAnsi="FZXiaoBiaoSong-B05S" w:eastAsia="FZXiaoBiaoSong-B05S" w:cs="FZXiaoBiaoSong-B05S"/>
          <w:sz w:val="47"/>
          <w:szCs w:val="47"/>
          <w:spacing w:val="5"/>
        </w:rPr>
        <w:t xml:space="preserve"> </w:t>
      </w:r>
      <w:r>
        <w:rPr>
          <w:rFonts w:ascii="FZXiaoBiaoSong-B05S" w:hAnsi="FZXiaoBiaoSong-B05S" w:eastAsia="FZXiaoBiaoSong-B05S" w:cs="FZXiaoBiaoSong-B05S"/>
          <w:sz w:val="47"/>
          <w:szCs w:val="47"/>
          <w:spacing w:val="5"/>
        </w:rPr>
        <w:t>万</w:t>
      </w:r>
      <w:r>
        <w:rPr>
          <w:rFonts w:ascii="FZXiaoBiaoSong-B05S" w:hAnsi="FZXiaoBiaoSong-B05S" w:eastAsia="FZXiaoBiaoSong-B05S" w:cs="FZXiaoBiaoSong-B05S"/>
          <w:sz w:val="47"/>
          <w:szCs w:val="47"/>
          <w:spacing w:val="5"/>
        </w:rPr>
        <w:t xml:space="preserve"> </w:t>
      </w:r>
      <w:r>
        <w:rPr>
          <w:rFonts w:ascii="FZXiaoBiaoSong-B05S" w:hAnsi="FZXiaoBiaoSong-B05S" w:eastAsia="FZXiaoBiaoSong-B05S" w:cs="FZXiaoBiaoSong-B05S"/>
          <w:sz w:val="47"/>
          <w:szCs w:val="47"/>
          <w:spacing w:val="5"/>
        </w:rPr>
        <w:t>t/a</w:t>
      </w:r>
      <w:r>
        <w:rPr>
          <w:rFonts w:ascii="FZXiaoBiaoSong-B05S" w:hAnsi="FZXiaoBiaoSong-B05S" w:eastAsia="FZXiaoBiaoSong-B05S" w:cs="FZXiaoBiaoSong-B05S"/>
          <w:sz w:val="47"/>
          <w:szCs w:val="47"/>
          <w:spacing w:val="5"/>
        </w:rPr>
        <w:t xml:space="preserve"> </w:t>
      </w:r>
      <w:r>
        <w:rPr>
          <w:rFonts w:ascii="FZXiaoBiaoSong-B05S" w:hAnsi="FZXiaoBiaoSong-B05S" w:eastAsia="FZXiaoBiaoSong-B05S" w:cs="FZXiaoBiaoSong-B05S"/>
          <w:sz w:val="47"/>
          <w:szCs w:val="47"/>
          <w:spacing w:val="5"/>
        </w:rPr>
        <w:t>采选项目（变更）</w:t>
      </w:r>
    </w:p>
    <w:p>
      <w:pPr>
        <w:ind w:left="2489"/>
        <w:spacing w:before="224" w:line="205" w:lineRule="auto"/>
        <w:rPr>
          <w:rFonts w:ascii="FZXiaoBiaoSong-B05S" w:hAnsi="FZXiaoBiaoSong-B05S" w:eastAsia="FZXiaoBiaoSong-B05S" w:cs="FZXiaoBiaoSong-B05S"/>
          <w:sz w:val="47"/>
          <w:szCs w:val="47"/>
        </w:rPr>
      </w:pPr>
      <w:r>
        <w:rPr>
          <w:rFonts w:ascii="FZXiaoBiaoSong-B05S" w:hAnsi="FZXiaoBiaoSong-B05S" w:eastAsia="FZXiaoBiaoSong-B05S" w:cs="FZXiaoBiaoSong-B05S"/>
          <w:sz w:val="47"/>
          <w:szCs w:val="47"/>
          <w:spacing w:val="9"/>
        </w:rPr>
        <w:t>环境影响报告书</w:t>
      </w:r>
    </w:p>
    <w:p>
      <w:pPr>
        <w:ind w:left="3294"/>
        <w:spacing w:before="254" w:line="228" w:lineRule="auto"/>
        <w:rPr>
          <w:rFonts w:ascii="FangSong" w:hAnsi="FangSong" w:eastAsia="FangSong" w:cs="FangSong"/>
          <w:sz w:val="35"/>
          <w:szCs w:val="35"/>
        </w:rPr>
      </w:pPr>
      <w:r>
        <w:rPr>
          <w:rFonts w:ascii="FangSong" w:hAnsi="FangSong" w:eastAsia="FangSong" w:cs="FangSong"/>
          <w:sz w:val="35"/>
          <w:szCs w:val="35"/>
          <w:spacing w:val="2"/>
        </w:rPr>
        <w:t>（送审稿）</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253"/>
        <w:spacing w:before="101" w:line="228" w:lineRule="auto"/>
        <w:rPr>
          <w:rFonts w:ascii="FangSong" w:hAnsi="FangSong" w:eastAsia="FangSong" w:cs="FangSong"/>
          <w:sz w:val="31"/>
          <w:szCs w:val="31"/>
        </w:rPr>
      </w:pPr>
      <w:r>
        <w:rPr>
          <w:rFonts w:ascii="Times New Roman" w:hAnsi="Times New Roman" w:eastAsia="Times New Roman" w:cs="Times New Roman"/>
          <w:sz w:val="31"/>
          <w:szCs w:val="31"/>
          <w:spacing w:val="-5"/>
        </w:rPr>
        <w:t>2025</w:t>
      </w:r>
      <w:r>
        <w:rPr>
          <w:rFonts w:ascii="Times New Roman" w:hAnsi="Times New Roman" w:eastAsia="Times New Roman" w:cs="Times New Roman"/>
          <w:sz w:val="31"/>
          <w:szCs w:val="31"/>
          <w:spacing w:val="36"/>
          <w:w w:val="101"/>
        </w:rPr>
        <w:t xml:space="preserve"> </w:t>
      </w:r>
      <w:r>
        <w:rPr>
          <w:rFonts w:ascii="FangSong" w:hAnsi="FangSong" w:eastAsia="FangSong" w:cs="FangSong"/>
          <w:sz w:val="31"/>
          <w:szCs w:val="31"/>
          <w:spacing w:val="-5"/>
        </w:rPr>
        <w:t>年</w:t>
      </w:r>
      <w:r>
        <w:rPr>
          <w:rFonts w:ascii="FangSong" w:hAnsi="FangSong" w:eastAsia="FangSong" w:cs="FangSong"/>
          <w:sz w:val="31"/>
          <w:szCs w:val="31"/>
          <w:spacing w:val="-36"/>
        </w:rPr>
        <w:t xml:space="preserve"> </w:t>
      </w:r>
      <w:r>
        <w:rPr>
          <w:rFonts w:ascii="Times New Roman" w:hAnsi="Times New Roman" w:eastAsia="Times New Roman" w:cs="Times New Roman"/>
          <w:sz w:val="31"/>
          <w:szCs w:val="31"/>
          <w:spacing w:val="-5"/>
        </w:rPr>
        <w:t>10</w:t>
      </w:r>
      <w:r>
        <w:rPr>
          <w:rFonts w:ascii="Times New Roman" w:hAnsi="Times New Roman" w:eastAsia="Times New Roman" w:cs="Times New Roman"/>
          <w:sz w:val="31"/>
          <w:szCs w:val="31"/>
          <w:spacing w:val="36"/>
        </w:rPr>
        <w:t xml:space="preserve"> </w:t>
      </w:r>
      <w:r>
        <w:rPr>
          <w:rFonts w:ascii="FangSong" w:hAnsi="FangSong" w:eastAsia="FangSong" w:cs="FangSong"/>
          <w:sz w:val="31"/>
          <w:szCs w:val="31"/>
          <w:spacing w:val="-5"/>
        </w:rPr>
        <w:t>月</w:t>
      </w:r>
    </w:p>
    <w:p>
      <w:pPr>
        <w:ind w:left="2308"/>
        <w:spacing w:before="241" w:line="227" w:lineRule="auto"/>
        <w:rPr>
          <w:rFonts w:ascii="FangSong" w:hAnsi="FangSong" w:eastAsia="FangSong" w:cs="FangSong"/>
          <w:sz w:val="31"/>
          <w:szCs w:val="31"/>
        </w:rPr>
      </w:pPr>
      <w:r>
        <w:rPr>
          <w:rFonts w:ascii="FangSong" w:hAnsi="FangSong" w:eastAsia="FangSong" w:cs="FangSong"/>
          <w:sz w:val="31"/>
          <w:szCs w:val="31"/>
          <w:spacing w:val="4"/>
        </w:rPr>
        <w:t>中华人民共和国生态环境部</w:t>
      </w:r>
    </w:p>
    <w:p>
      <w:pPr>
        <w:spacing w:line="227" w:lineRule="auto"/>
        <w:sectPr>
          <w:pgSz w:w="11906" w:h="16839"/>
          <w:pgMar w:top="1431" w:right="1785" w:bottom="0" w:left="1785" w:header="0" w:footer="0" w:gutter="0"/>
        </w:sectPr>
        <w:rPr>
          <w:rFonts w:ascii="FangSong" w:hAnsi="FangSong" w:eastAsia="FangSong" w:cs="FangSong"/>
          <w:sz w:val="31"/>
          <w:szCs w:val="31"/>
        </w:rPr>
      </w:pPr>
    </w:p>
    <w:p>
      <w:pPr>
        <w:pStyle w:val="BodyText"/>
        <w:spacing w:line="398" w:lineRule="auto"/>
        <w:rPr/>
      </w:pPr>
      <w:r/>
    </w:p>
    <w:sdt>
      <w:sdtPr>
        <w:rPr>
          <w:rFonts w:ascii="FangSong" w:hAnsi="FangSong" w:eastAsia="FangSong" w:cs="FangSong"/>
          <w:sz w:val="30"/>
          <w:szCs w:val="30"/>
        </w:rPr>
        <w:docPartObj>
          <w:docPartGallery w:val="Table of Contents"/>
          <w:docPartUnique/>
        </w:docPartObj>
      </w:sdtPr>
      <w:sdtEndPr>
        <w:rPr>
          <w:rFonts w:ascii="Times New Roman" w:hAnsi="Times New Roman" w:eastAsia="Times New Roman" w:cs="Times New Roman"/>
          <w:sz w:val="24"/>
          <w:szCs w:val="24"/>
        </w:rPr>
      </w:sdtEndPr>
      <w:sdtContent>
        <w:p>
          <w:pPr>
            <w:ind w:left="3787"/>
            <w:spacing w:before="98" w:line="223" w:lineRule="auto"/>
            <w:rPr>
              <w:rFonts w:ascii="FangSong" w:hAnsi="FangSong" w:eastAsia="FangSong" w:cs="FangSong"/>
              <w:sz w:val="30"/>
              <w:szCs w:val="30"/>
            </w:rPr>
          </w:pPr>
          <w:r>
            <w:rPr>
              <w:rFonts w:ascii="FangSong" w:hAnsi="FangSong" w:eastAsia="FangSong" w:cs="FangSong"/>
              <w:sz w:val="30"/>
              <w:szCs w:val="30"/>
              <w:b/>
              <w:bCs/>
              <w:spacing w:val="-40"/>
            </w:rPr>
            <w:t>目</w:t>
          </w:r>
          <w:r>
            <w:rPr>
              <w:rFonts w:ascii="FangSong" w:hAnsi="FangSong" w:eastAsia="FangSong" w:cs="FangSong"/>
              <w:sz w:val="30"/>
              <w:szCs w:val="30"/>
              <w:spacing w:val="16"/>
            </w:rPr>
            <w:t xml:space="preserve">  </w:t>
          </w:r>
          <w:r>
            <w:rPr>
              <w:rFonts w:ascii="FangSong" w:hAnsi="FangSong" w:eastAsia="FangSong" w:cs="FangSong"/>
              <w:sz w:val="30"/>
              <w:szCs w:val="30"/>
              <w:b/>
              <w:bCs/>
              <w:spacing w:val="-40"/>
            </w:rPr>
            <w:t>录</w:t>
          </w:r>
        </w:p>
        <w:p>
          <w:pPr>
            <w:pStyle w:val="BodyText"/>
            <w:spacing w:line="299" w:lineRule="auto"/>
            <w:rPr/>
          </w:pPr>
          <w:r/>
        </w:p>
        <w:p>
          <w:pPr>
            <w:pStyle w:val="BodyText"/>
            <w:spacing w:line="299" w:lineRule="auto"/>
            <w:rPr/>
          </w:pPr>
          <w:r/>
        </w:p>
        <w:p>
          <w:pPr>
            <w:ind w:left="494"/>
            <w:spacing w:before="78" w:line="189" w:lineRule="auto"/>
            <w:tabs>
              <w:tab w:val="left" w:pos="522"/>
              <w:tab w:val="right" w:leader="dot" w:pos="8320"/>
            </w:tabs>
            <w:rPr>
              <w:rFonts w:ascii="Times New Roman" w:hAnsi="Times New Roman" w:eastAsia="Times New Roman" w:cs="Times New Roman"/>
              <w:sz w:val="24"/>
              <w:szCs w:val="24"/>
            </w:rPr>
          </w:pPr>
          <w:hyperlink w:history="true" w:anchor="bookmark2">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15"/>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15"/>
              </w:rPr>
              <w:t>概述</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29"/>
              </w:rPr>
              <w:t>1</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11"/>
              </w:rPr>
              <w:t>项目由来</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29"/>
              </w:rPr>
              <w:t>1</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6">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7"/>
              </w:rPr>
              <w:t>项目特点</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5">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3</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8">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8"/>
              </w:rPr>
              <w:t>1.3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8"/>
              </w:rPr>
              <w:t>工作过程</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7">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3</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10">
            <w:r>
              <w:rPr>
                <w:rFonts w:ascii="Times New Roman" w:hAnsi="Times New Roman" w:eastAsia="Times New Roman" w:cs="Times New Roman"/>
                <w:sz w:val="24"/>
                <w:szCs w:val="24"/>
                <w:spacing w:val="-2"/>
              </w:rPr>
              <w:t>1.4  </w:t>
            </w:r>
            <w:r>
              <w:rPr>
                <w:rFonts w:ascii="FangSong" w:hAnsi="FangSong" w:eastAsia="FangSong" w:cs="FangSong"/>
                <w:sz w:val="24"/>
                <w:szCs w:val="24"/>
                <w:spacing w:val="-2"/>
              </w:rPr>
              <w:t>项目与相关规划、政策的符合性分析</w:t>
            </w:r>
            <w:r>
              <w:rPr>
                <w:rFonts w:ascii="FangSong" w:hAnsi="FangSong" w:eastAsia="FangSong" w:cs="FangSong"/>
                <w:sz w:val="24"/>
                <w:szCs w:val="24"/>
                <w:spacing w:val="-62"/>
              </w:rPr>
              <w:t xml:space="preserve"> </w:t>
            </w:r>
            <w:r>
              <w:rPr>
                <w:rFonts w:ascii="FangSong" w:hAnsi="FangSong" w:eastAsia="FangSong" w:cs="FangSong"/>
                <w:sz w:val="24"/>
                <w:szCs w:val="24"/>
              </w:rPr>
              <w:tab/>
            </w:r>
          </w:hyperlink>
          <w:hyperlink w:history="true" w:anchor="bookmark9">
            <w:r>
              <w:rPr>
                <w:rFonts w:ascii="FangSong" w:hAnsi="FangSong" w:eastAsia="FangSong" w:cs="FangSong"/>
                <w:sz w:val="24"/>
                <w:szCs w:val="24"/>
                <w:spacing w:val="-50"/>
              </w:rPr>
              <w:t xml:space="preserve"> </w:t>
            </w:r>
            <w:r>
              <w:rPr>
                <w:rFonts w:ascii="Times New Roman" w:hAnsi="Times New Roman" w:eastAsia="Times New Roman" w:cs="Times New Roman"/>
                <w:sz w:val="24"/>
                <w:szCs w:val="24"/>
              </w:rPr>
              <w:t>5</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12">
            <w:r>
              <w:rPr>
                <w:rFonts w:ascii="Times New Roman" w:hAnsi="Times New Roman" w:eastAsia="Times New Roman" w:cs="Times New Roman"/>
                <w:sz w:val="24"/>
                <w:szCs w:val="24"/>
                <w:spacing w:val="-7"/>
              </w:rPr>
              <w:t>1.4.</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7"/>
              </w:rPr>
              <w:t>与规划符合性分析</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11">
            <w:r>
              <w:rPr>
                <w:rFonts w:ascii="FangSong" w:hAnsi="FangSong" w:eastAsia="FangSong" w:cs="FangSong"/>
                <w:sz w:val="24"/>
                <w:szCs w:val="24"/>
                <w:spacing w:val="-51"/>
              </w:rPr>
              <w:t xml:space="preserve"> </w:t>
            </w:r>
            <w:r>
              <w:rPr>
                <w:rFonts w:ascii="Times New Roman" w:hAnsi="Times New Roman" w:eastAsia="Times New Roman" w:cs="Times New Roman"/>
                <w:sz w:val="24"/>
                <w:szCs w:val="24"/>
              </w:rPr>
              <w:t>5</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14">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4"/>
              </w:rPr>
              <w:t>1.4.2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4"/>
              </w:rPr>
              <w:t>选址合理性分析</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3">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5"/>
              </w:rPr>
              <w:t>8</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16">
            <w:r>
              <w:rPr>
                <w:rFonts w:ascii="Times New Roman" w:hAnsi="Times New Roman" w:eastAsia="Times New Roman" w:cs="Times New Roman"/>
                <w:sz w:val="24"/>
                <w:szCs w:val="24"/>
                <w:spacing w:val="-2"/>
              </w:rPr>
              <w:t>1.4.3  </w:t>
            </w:r>
            <w:r>
              <w:rPr>
                <w:rFonts w:ascii="FangSong" w:hAnsi="FangSong" w:eastAsia="FangSong" w:cs="FangSong"/>
                <w:sz w:val="24"/>
                <w:szCs w:val="24"/>
                <w:spacing w:val="-2"/>
              </w:rPr>
              <w:t>产业政策符合性分析</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1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5"/>
              </w:rPr>
              <w:t>12</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18">
            <w:r>
              <w:rPr>
                <w:rFonts w:ascii="Times New Roman" w:hAnsi="Times New Roman" w:eastAsia="Times New Roman" w:cs="Times New Roman"/>
                <w:sz w:val="24"/>
                <w:szCs w:val="24"/>
                <w:spacing w:val="-2"/>
              </w:rPr>
              <w:t>1.4.4  </w:t>
            </w:r>
            <w:r>
              <w:rPr>
                <w:rFonts w:ascii="FangSong" w:hAnsi="FangSong" w:eastAsia="FangSong" w:cs="FangSong"/>
                <w:sz w:val="24"/>
                <w:szCs w:val="24"/>
                <w:spacing w:val="-2"/>
              </w:rPr>
              <w:t>法律法规及政策符合性分析</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1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5"/>
              </w:rPr>
              <w:t>14</w:t>
            </w:r>
          </w:hyperlink>
        </w:p>
        <w:p>
          <w:pPr>
            <w:ind w:left="1482"/>
            <w:spacing w:before="223" w:line="189" w:lineRule="auto"/>
            <w:tabs>
              <w:tab w:val="right" w:leader="dot" w:pos="8320"/>
            </w:tabs>
            <w:rPr>
              <w:rFonts w:ascii="Times New Roman" w:hAnsi="Times New Roman" w:eastAsia="Times New Roman" w:cs="Times New Roman"/>
              <w:sz w:val="24"/>
              <w:szCs w:val="24"/>
            </w:rPr>
          </w:pPr>
          <w:hyperlink w:history="true" w:anchor="bookmark20">
            <w:r>
              <w:rPr>
                <w:rFonts w:ascii="Times New Roman" w:hAnsi="Times New Roman" w:eastAsia="Times New Roman" w:cs="Times New Roman"/>
                <w:sz w:val="24"/>
                <w:szCs w:val="24"/>
                <w:spacing w:val="-2"/>
              </w:rPr>
              <w:t>1.4.5  </w:t>
            </w:r>
            <w:r>
              <w:rPr>
                <w:rFonts w:ascii="FangSong" w:hAnsi="FangSong" w:eastAsia="FangSong" w:cs="FangSong"/>
                <w:sz w:val="24"/>
                <w:szCs w:val="24"/>
                <w:spacing w:val="-2"/>
              </w:rPr>
              <w:t>公众参与认同性分析</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1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26</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22">
            <w:r>
              <w:rPr>
                <w:rFonts w:ascii="Times New Roman" w:hAnsi="Times New Roman" w:eastAsia="Times New Roman" w:cs="Times New Roman"/>
                <w:sz w:val="24"/>
                <w:szCs w:val="24"/>
                <w:spacing w:val="-2"/>
              </w:rPr>
              <w:t>1.5  </w:t>
            </w:r>
            <w:r>
              <w:rPr>
                <w:rFonts w:ascii="FangSong" w:hAnsi="FangSong" w:eastAsia="FangSong" w:cs="FangSong"/>
                <w:sz w:val="24"/>
                <w:szCs w:val="24"/>
                <w:spacing w:val="-2"/>
              </w:rPr>
              <w:t>关注的主要环境问题及环境影响</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2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26</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24">
            <w:r>
              <w:rPr>
                <w:rFonts w:ascii="Times New Roman" w:hAnsi="Times New Roman" w:eastAsia="Times New Roman" w:cs="Times New Roman"/>
                <w:sz w:val="24"/>
                <w:szCs w:val="24"/>
                <w:spacing w:val="-2"/>
              </w:rPr>
              <w:t>1.6  </w:t>
            </w:r>
            <w:r>
              <w:rPr>
                <w:rFonts w:ascii="FangSong" w:hAnsi="FangSong" w:eastAsia="FangSong" w:cs="FangSong"/>
                <w:sz w:val="24"/>
                <w:szCs w:val="24"/>
                <w:spacing w:val="-2"/>
              </w:rPr>
              <w:t>环境影响评价的主要结论</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2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26</w:t>
            </w:r>
          </w:hyperlink>
        </w:p>
        <w:p>
          <w:pPr>
            <w:ind w:left="499"/>
            <w:spacing w:before="223" w:line="189" w:lineRule="auto"/>
            <w:tabs>
              <w:tab w:val="right" w:leader="dot" w:pos="8320"/>
            </w:tabs>
            <w:rPr>
              <w:rFonts w:ascii="Times New Roman" w:hAnsi="Times New Roman" w:eastAsia="Times New Roman" w:cs="Times New Roman"/>
              <w:sz w:val="24"/>
              <w:szCs w:val="24"/>
            </w:rPr>
          </w:pPr>
          <w:hyperlink w:history="true" w:anchor="bookmark26">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1"/>
              </w:rPr>
              <w:t>总则</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28</w:t>
            </w:r>
          </w:hyperlink>
        </w:p>
        <w:p>
          <w:pPr>
            <w:ind w:left="979"/>
            <w:spacing w:before="222" w:line="189" w:lineRule="auto"/>
            <w:tabs>
              <w:tab w:val="right" w:leader="dot" w:pos="8320"/>
            </w:tabs>
            <w:rPr>
              <w:rFonts w:ascii="Times New Roman" w:hAnsi="Times New Roman" w:eastAsia="Times New Roman" w:cs="Times New Roman"/>
              <w:sz w:val="24"/>
              <w:szCs w:val="24"/>
            </w:rPr>
          </w:pPr>
          <w:hyperlink w:history="true" w:anchor="bookmark28">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编制依据</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28</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30">
            <w:r>
              <w:rPr>
                <w:rFonts w:ascii="Times New Roman" w:hAnsi="Times New Roman" w:eastAsia="Times New Roman" w:cs="Times New Roman"/>
                <w:sz w:val="24"/>
                <w:szCs w:val="24"/>
                <w:spacing w:val="-4"/>
              </w:rPr>
              <w:t>2.1.1</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4"/>
              </w:rPr>
              <w:t>国家相关法律法规及规划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28</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32">
            <w:r>
              <w:rPr>
                <w:rFonts w:ascii="Times New Roman" w:hAnsi="Times New Roman" w:eastAsia="Times New Roman" w:cs="Times New Roman"/>
                <w:sz w:val="24"/>
                <w:szCs w:val="24"/>
                <w:spacing w:val="-1"/>
              </w:rPr>
              <w:t>2.1.2  </w:t>
            </w:r>
            <w:r>
              <w:rPr>
                <w:rFonts w:ascii="FangSong" w:hAnsi="FangSong" w:eastAsia="FangSong" w:cs="FangSong"/>
                <w:sz w:val="24"/>
                <w:szCs w:val="24"/>
                <w:spacing w:val="-1"/>
              </w:rPr>
              <w:t>部门规章及规范性文件</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29</w:t>
            </w:r>
          </w:hyperlink>
        </w:p>
        <w:p>
          <w:pPr>
            <w:ind w:left="1459"/>
            <w:spacing w:before="223" w:line="189" w:lineRule="auto"/>
            <w:tabs>
              <w:tab w:val="right" w:leader="dot" w:pos="8320"/>
            </w:tabs>
            <w:rPr>
              <w:rFonts w:ascii="Times New Roman" w:hAnsi="Times New Roman" w:eastAsia="Times New Roman" w:cs="Times New Roman"/>
              <w:sz w:val="24"/>
              <w:szCs w:val="24"/>
            </w:rPr>
          </w:pPr>
          <w:hyperlink w:history="true" w:anchor="bookmark34">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相关规划纲要</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29</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36">
            <w:r>
              <w:rPr>
                <w:rFonts w:ascii="Times New Roman" w:hAnsi="Times New Roman" w:eastAsia="Times New Roman" w:cs="Times New Roman"/>
                <w:sz w:val="24"/>
                <w:szCs w:val="24"/>
                <w:spacing w:val="-2"/>
              </w:rPr>
              <w:t>2.1.4</w:t>
            </w:r>
            <w:r>
              <w:rPr>
                <w:rFonts w:ascii="Times New Roman" w:hAnsi="Times New Roman" w:eastAsia="Times New Roman" w:cs="Times New Roman"/>
                <w:sz w:val="24"/>
                <w:szCs w:val="24"/>
                <w:spacing w:val="33"/>
                <w:w w:val="101"/>
              </w:rPr>
              <w:t xml:space="preserve"> </w:t>
            </w:r>
            <w:r>
              <w:rPr>
                <w:rFonts w:ascii="FangSong" w:hAnsi="FangSong" w:eastAsia="FangSong" w:cs="FangSong"/>
                <w:sz w:val="24"/>
                <w:szCs w:val="24"/>
                <w:spacing w:val="-2"/>
              </w:rPr>
              <w:t>环境影响评价技术导则及技术规范</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5">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30</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38">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5"/>
              </w:rPr>
              <w:t>1.5</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其它相关资料</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7">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31</w:t>
            </w:r>
          </w:hyperlink>
        </w:p>
        <w:p>
          <w:pPr>
            <w:ind w:left="979"/>
            <w:spacing w:before="223" w:line="189" w:lineRule="auto"/>
            <w:tabs>
              <w:tab w:val="right" w:leader="dot" w:pos="8320"/>
            </w:tabs>
            <w:rPr>
              <w:rFonts w:ascii="Times New Roman" w:hAnsi="Times New Roman" w:eastAsia="Times New Roman" w:cs="Times New Roman"/>
              <w:sz w:val="24"/>
              <w:szCs w:val="24"/>
            </w:rPr>
          </w:pPr>
          <w:hyperlink w:history="true" w:anchor="bookmark40">
            <w:r>
              <w:rPr>
                <w:rFonts w:ascii="Times New Roman" w:hAnsi="Times New Roman" w:eastAsia="Times New Roman" w:cs="Times New Roman"/>
                <w:sz w:val="24"/>
                <w:szCs w:val="24"/>
                <w:spacing w:val="-1"/>
              </w:rPr>
              <w:t>2.2  </w:t>
            </w:r>
            <w:r>
              <w:rPr>
                <w:rFonts w:ascii="FangSong" w:hAnsi="FangSong" w:eastAsia="FangSong" w:cs="FangSong"/>
                <w:sz w:val="24"/>
                <w:szCs w:val="24"/>
                <w:spacing w:val="-1"/>
              </w:rPr>
              <w:t>评价目的及原则</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39">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32</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42">
            <w:r>
              <w:rPr>
                <w:rFonts w:ascii="Times New Roman" w:hAnsi="Times New Roman" w:eastAsia="Times New Roman" w:cs="Times New Roman"/>
                <w:sz w:val="24"/>
                <w:szCs w:val="24"/>
                <w:spacing w:val="-6"/>
              </w:rPr>
              <w:t>2.2.</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评价目的</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1">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32</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44">
            <w:r>
              <w:rPr>
                <w:rFonts w:ascii="Times New Roman" w:hAnsi="Times New Roman" w:eastAsia="Times New Roman" w:cs="Times New Roman"/>
                <w:sz w:val="24"/>
                <w:szCs w:val="24"/>
                <w:spacing w:val="-3"/>
              </w:rPr>
              <w:t>2.2.2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评价原则</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3">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33</w:t>
            </w:r>
          </w:hyperlink>
        </w:p>
        <w:p>
          <w:pPr>
            <w:ind w:left="979"/>
            <w:spacing w:before="223" w:line="189" w:lineRule="auto"/>
            <w:tabs>
              <w:tab w:val="right" w:leader="dot" w:pos="8320"/>
            </w:tabs>
            <w:rPr>
              <w:rFonts w:ascii="Times New Roman" w:hAnsi="Times New Roman" w:eastAsia="Times New Roman" w:cs="Times New Roman"/>
              <w:sz w:val="24"/>
              <w:szCs w:val="24"/>
            </w:rPr>
          </w:pPr>
          <w:hyperlink w:history="true" w:anchor="bookmark46">
            <w:r>
              <w:rPr>
                <w:rFonts w:ascii="Times New Roman" w:hAnsi="Times New Roman" w:eastAsia="Times New Roman" w:cs="Times New Roman"/>
                <w:sz w:val="24"/>
                <w:szCs w:val="24"/>
                <w:spacing w:val="-1"/>
              </w:rPr>
              <w:t>2.3  </w:t>
            </w:r>
            <w:r>
              <w:rPr>
                <w:rFonts w:ascii="FangSong" w:hAnsi="FangSong" w:eastAsia="FangSong" w:cs="FangSong"/>
                <w:sz w:val="24"/>
                <w:szCs w:val="24"/>
                <w:spacing w:val="-1"/>
              </w:rPr>
              <w:t>环境影响因素识别和评价因子筛选</w:t>
            </w:r>
            <w:r>
              <w:rPr>
                <w:rFonts w:ascii="FangSong" w:hAnsi="FangSong" w:eastAsia="FangSong" w:cs="FangSong"/>
                <w:sz w:val="24"/>
                <w:szCs w:val="24"/>
                <w:spacing w:val="-61"/>
              </w:rPr>
              <w:t xml:space="preserve"> </w:t>
            </w:r>
            <w:r>
              <w:rPr>
                <w:rFonts w:ascii="FangSong" w:hAnsi="FangSong" w:eastAsia="FangSong" w:cs="FangSong"/>
                <w:sz w:val="24"/>
                <w:szCs w:val="24"/>
              </w:rPr>
              <w:tab/>
            </w:r>
          </w:hyperlink>
          <w:hyperlink w:history="true" w:anchor="bookmark45">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34</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48">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4"/>
              </w:rPr>
              <w:t>环境影响因素识别</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7">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34</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50">
            <w:r>
              <w:rPr>
                <w:rFonts w:ascii="Times New Roman" w:hAnsi="Times New Roman" w:eastAsia="Times New Roman" w:cs="Times New Roman"/>
                <w:sz w:val="24"/>
                <w:szCs w:val="24"/>
                <w:spacing w:val="-2"/>
              </w:rPr>
              <w:t>2.3.2</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评价因子筛选</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49">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35</w:t>
            </w:r>
          </w:hyperlink>
        </w:p>
        <w:p>
          <w:pPr>
            <w:ind w:left="979"/>
            <w:spacing w:before="222" w:line="189" w:lineRule="auto"/>
            <w:tabs>
              <w:tab w:val="right" w:leader="dot" w:pos="8320"/>
            </w:tabs>
            <w:rPr>
              <w:rFonts w:ascii="Times New Roman" w:hAnsi="Times New Roman" w:eastAsia="Times New Roman" w:cs="Times New Roman"/>
              <w:sz w:val="24"/>
              <w:szCs w:val="24"/>
            </w:rPr>
          </w:pPr>
          <w:hyperlink w:history="true" w:anchor="bookmark52">
            <w:r>
              <w:rPr>
                <w:rFonts w:ascii="Times New Roman" w:hAnsi="Times New Roman" w:eastAsia="Times New Roman" w:cs="Times New Roman"/>
                <w:sz w:val="24"/>
                <w:szCs w:val="24"/>
                <w:spacing w:val="-3"/>
              </w:rPr>
              <w:t>2.4</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环境功能区划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51">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35</w:t>
            </w:r>
          </w:hyperlink>
        </w:p>
        <w:p>
          <w:pPr>
            <w:ind w:left="1459"/>
            <w:spacing w:before="222" w:line="222" w:lineRule="auto"/>
            <w:tabs>
              <w:tab w:val="right" w:leader="dot" w:pos="8320"/>
            </w:tabs>
            <w:rPr>
              <w:rFonts w:ascii="Times New Roman" w:hAnsi="Times New Roman" w:eastAsia="Times New Roman" w:cs="Times New Roman"/>
              <w:sz w:val="24"/>
              <w:szCs w:val="24"/>
            </w:rPr>
          </w:pPr>
          <w:hyperlink w:history="true" w:anchor="bookmark54">
            <w:r>
              <w:rPr>
                <w:rFonts w:ascii="Times New Roman" w:hAnsi="Times New Roman" w:eastAsia="Times New Roman" w:cs="Times New Roman"/>
                <w:sz w:val="24"/>
                <w:szCs w:val="24"/>
                <w:spacing w:val="-3"/>
              </w:rPr>
              <w:t>2.4.</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大气环境功能区划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53">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35</w:t>
            </w:r>
          </w:hyperlink>
        </w:p>
      </w:sdtContent>
    </w:sdt>
    <w:p>
      <w:pPr>
        <w:spacing w:line="222" w:lineRule="auto"/>
        <w:sectPr>
          <w:headerReference w:type="default" r:id="rId1"/>
          <w:pgSz w:w="11906" w:h="16839"/>
          <w:pgMar w:top="1104" w:right="1785" w:bottom="0" w:left="1785" w:header="857" w:footer="0"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1459"/>
            <w:spacing w:before="78" w:line="189" w:lineRule="auto"/>
            <w:tabs>
              <w:tab w:val="right" w:leader="dot" w:pos="8320"/>
            </w:tabs>
            <w:rPr>
              <w:rFonts w:ascii="Times New Roman" w:hAnsi="Times New Roman" w:eastAsia="Times New Roman" w:cs="Times New Roman"/>
              <w:sz w:val="24"/>
              <w:szCs w:val="24"/>
            </w:rPr>
          </w:pPr>
          <w:bookmarkStart w:name="bookmark55" w:id="1"/>
          <w:bookmarkEnd w:id="1"/>
          <w:hyperlink w:history="true" w:anchor="bookmark57">
            <w:r>
              <w:rPr>
                <w:rFonts w:ascii="Times New Roman" w:hAnsi="Times New Roman" w:eastAsia="Times New Roman" w:cs="Times New Roman"/>
                <w:sz w:val="24"/>
                <w:szCs w:val="24"/>
                <w:spacing w:val="-1"/>
              </w:rPr>
              <w:t>2.4.2  </w:t>
            </w:r>
            <w:r>
              <w:rPr>
                <w:rFonts w:ascii="FangSong" w:hAnsi="FangSong" w:eastAsia="FangSong" w:cs="FangSong"/>
                <w:sz w:val="24"/>
                <w:szCs w:val="24"/>
                <w:spacing w:val="-1"/>
              </w:rPr>
              <w:t>声环境功能区划</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56">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35</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59">
            <w:r>
              <w:rPr>
                <w:rFonts w:ascii="Times New Roman" w:hAnsi="Times New Roman" w:eastAsia="Times New Roman" w:cs="Times New Roman"/>
                <w:sz w:val="24"/>
                <w:szCs w:val="24"/>
                <w:spacing w:val="-1"/>
              </w:rPr>
              <w:t>2.4.3  </w:t>
            </w:r>
            <w:r>
              <w:rPr>
                <w:rFonts w:ascii="FangSong" w:hAnsi="FangSong" w:eastAsia="FangSong" w:cs="FangSong"/>
                <w:sz w:val="24"/>
                <w:szCs w:val="24"/>
                <w:spacing w:val="-1"/>
              </w:rPr>
              <w:t>地下水环境功能区划</w:t>
            </w:r>
            <w:r>
              <w:rPr>
                <w:rFonts w:ascii="FangSong" w:hAnsi="FangSong" w:eastAsia="FangSong" w:cs="FangSong"/>
                <w:sz w:val="24"/>
                <w:szCs w:val="24"/>
                <w:spacing w:val="-65"/>
              </w:rPr>
              <w:t xml:space="preserve"> </w:t>
            </w:r>
            <w:r>
              <w:rPr>
                <w:rFonts w:ascii="FangSong" w:hAnsi="FangSong" w:eastAsia="FangSong" w:cs="FangSong"/>
                <w:sz w:val="24"/>
                <w:szCs w:val="24"/>
              </w:rPr>
              <w:tab/>
            </w:r>
          </w:hyperlink>
          <w:hyperlink w:history="true" w:anchor="bookmark58">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36</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61">
            <w:r>
              <w:rPr>
                <w:rFonts w:ascii="Times New Roman" w:hAnsi="Times New Roman" w:eastAsia="Times New Roman" w:cs="Times New Roman"/>
                <w:sz w:val="24"/>
                <w:szCs w:val="24"/>
                <w:spacing w:val="-3"/>
              </w:rPr>
              <w:t>2.4.4</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生态环境功能区划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60">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36</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63">
            <w:r>
              <w:rPr>
                <w:rFonts w:ascii="Times New Roman" w:hAnsi="Times New Roman" w:eastAsia="Times New Roman" w:cs="Times New Roman"/>
                <w:sz w:val="24"/>
                <w:szCs w:val="24"/>
                <w:spacing w:val="-1"/>
              </w:rPr>
              <w:t>2.4.5  </w:t>
            </w:r>
            <w:r>
              <w:rPr>
                <w:rFonts w:ascii="FangSong" w:hAnsi="FangSong" w:eastAsia="FangSong" w:cs="FangSong"/>
                <w:sz w:val="24"/>
                <w:szCs w:val="24"/>
                <w:spacing w:val="-1"/>
              </w:rPr>
              <w:t>土壤环境功能区划</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62">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36</w:t>
            </w:r>
          </w:hyperlink>
        </w:p>
        <w:p>
          <w:pPr>
            <w:ind w:left="979"/>
            <w:spacing w:before="222" w:line="189" w:lineRule="auto"/>
            <w:tabs>
              <w:tab w:val="right" w:leader="dot" w:pos="8320"/>
            </w:tabs>
            <w:rPr>
              <w:rFonts w:ascii="Times New Roman" w:hAnsi="Times New Roman" w:eastAsia="Times New Roman" w:cs="Times New Roman"/>
              <w:sz w:val="24"/>
              <w:szCs w:val="24"/>
            </w:rPr>
          </w:pPr>
          <w:hyperlink w:history="true" w:anchor="bookmark65">
            <w:r>
              <w:rPr>
                <w:rFonts w:ascii="Times New Roman" w:hAnsi="Times New Roman" w:eastAsia="Times New Roman" w:cs="Times New Roman"/>
                <w:sz w:val="24"/>
                <w:szCs w:val="24"/>
                <w:spacing w:val="-1"/>
              </w:rPr>
              <w:t>2.5  </w:t>
            </w:r>
            <w:r>
              <w:rPr>
                <w:rFonts w:ascii="FangSong" w:hAnsi="FangSong" w:eastAsia="FangSong" w:cs="FangSong"/>
                <w:sz w:val="24"/>
                <w:szCs w:val="24"/>
                <w:spacing w:val="-1"/>
              </w:rPr>
              <w:t>评价工作等级及范围</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64">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36</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67">
            <w:r>
              <w:rPr>
                <w:rFonts w:ascii="Times New Roman" w:hAnsi="Times New Roman" w:eastAsia="Times New Roman" w:cs="Times New Roman"/>
                <w:sz w:val="24"/>
                <w:szCs w:val="24"/>
                <w:spacing w:val="-5"/>
              </w:rPr>
              <w:t>2.5.</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5"/>
              </w:rPr>
              <w:t>地表水环境</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66">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36</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69">
            <w:r>
              <w:rPr>
                <w:rFonts w:ascii="Times New Roman" w:hAnsi="Times New Roman" w:eastAsia="Times New Roman" w:cs="Times New Roman"/>
                <w:sz w:val="24"/>
                <w:szCs w:val="24"/>
                <w:spacing w:val="-3"/>
              </w:rPr>
              <w:t>2.5.2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环境空气</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68">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37</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71">
            <w:r>
              <w:rPr>
                <w:rFonts w:ascii="Times New Roman" w:hAnsi="Times New Roman" w:eastAsia="Times New Roman" w:cs="Times New Roman"/>
                <w:sz w:val="24"/>
                <w:szCs w:val="24"/>
                <w:spacing w:val="-3"/>
              </w:rPr>
              <w:t>2.5.3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3"/>
              </w:rPr>
              <w:t>声环境</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70">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41</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73">
            <w:r>
              <w:rPr>
                <w:rFonts w:ascii="Times New Roman" w:hAnsi="Times New Roman" w:eastAsia="Times New Roman" w:cs="Times New Roman"/>
                <w:sz w:val="24"/>
                <w:szCs w:val="24"/>
                <w:spacing w:val="-3"/>
              </w:rPr>
              <w:t>2.5.4</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地下水环境</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72">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42</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75">
            <w:r>
              <w:rPr>
                <w:rFonts w:ascii="Times New Roman" w:hAnsi="Times New Roman" w:eastAsia="Times New Roman" w:cs="Times New Roman"/>
                <w:sz w:val="24"/>
                <w:szCs w:val="24"/>
                <w:spacing w:val="-3"/>
              </w:rPr>
              <w:t>2.5.5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土壤环境</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74">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43</w:t>
            </w:r>
          </w:hyperlink>
        </w:p>
        <w:p>
          <w:pPr>
            <w:ind w:left="1459"/>
            <w:spacing w:before="223" w:line="189" w:lineRule="auto"/>
            <w:tabs>
              <w:tab w:val="right" w:leader="dot" w:pos="8320"/>
            </w:tabs>
            <w:rPr>
              <w:rFonts w:ascii="Times New Roman" w:hAnsi="Times New Roman" w:eastAsia="Times New Roman" w:cs="Times New Roman"/>
              <w:sz w:val="24"/>
              <w:szCs w:val="24"/>
            </w:rPr>
          </w:pPr>
          <w:hyperlink w:history="true" w:anchor="bookmark77">
            <w:r>
              <w:rPr>
                <w:rFonts w:ascii="Times New Roman" w:hAnsi="Times New Roman" w:eastAsia="Times New Roman" w:cs="Times New Roman"/>
                <w:sz w:val="24"/>
                <w:szCs w:val="24"/>
                <w:spacing w:val="-4"/>
              </w:rPr>
              <w:t>2.5.6</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生态环境</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76">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44</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79">
            <w:r>
              <w:rPr>
                <w:rFonts w:ascii="Times New Roman" w:hAnsi="Times New Roman" w:eastAsia="Times New Roman" w:cs="Times New Roman"/>
                <w:sz w:val="24"/>
                <w:szCs w:val="24"/>
                <w:spacing w:val="-3"/>
              </w:rPr>
              <w:t>2.5.7</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环境风险</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78">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45</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81">
            <w:r>
              <w:rPr>
                <w:rFonts w:ascii="Times New Roman" w:hAnsi="Times New Roman" w:eastAsia="Times New Roman" w:cs="Times New Roman"/>
                <w:sz w:val="24"/>
                <w:szCs w:val="24"/>
                <w:spacing w:val="-3"/>
              </w:rPr>
              <w:t>2.5.8</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3"/>
              </w:rPr>
              <w:t>小结</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80">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47</w:t>
            </w:r>
          </w:hyperlink>
        </w:p>
        <w:p>
          <w:pPr>
            <w:ind w:left="979"/>
            <w:spacing w:before="223" w:line="189" w:lineRule="auto"/>
            <w:tabs>
              <w:tab w:val="right" w:leader="dot" w:pos="8320"/>
            </w:tabs>
            <w:rPr>
              <w:rFonts w:ascii="Times New Roman" w:hAnsi="Times New Roman" w:eastAsia="Times New Roman" w:cs="Times New Roman"/>
              <w:sz w:val="24"/>
              <w:szCs w:val="24"/>
            </w:rPr>
          </w:pPr>
          <w:hyperlink w:history="true" w:anchor="bookmark83">
            <w:r>
              <w:rPr>
                <w:rFonts w:ascii="Times New Roman" w:hAnsi="Times New Roman" w:eastAsia="Times New Roman" w:cs="Times New Roman"/>
                <w:sz w:val="24"/>
                <w:szCs w:val="24"/>
                <w:spacing w:val="-4"/>
              </w:rPr>
              <w:t>2.6</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4"/>
              </w:rPr>
              <w:t>评价标准</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82">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48</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85">
            <w:r>
              <w:rPr>
                <w:rFonts w:ascii="Times New Roman" w:hAnsi="Times New Roman" w:eastAsia="Times New Roman" w:cs="Times New Roman"/>
                <w:sz w:val="24"/>
                <w:szCs w:val="24"/>
                <w:spacing w:val="-3"/>
              </w:rPr>
              <w:t>2.6.</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环境质量执行标准</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84">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48</w:t>
            </w:r>
          </w:hyperlink>
        </w:p>
        <w:p>
          <w:pPr>
            <w:ind w:left="1459"/>
            <w:spacing w:before="222" w:line="189" w:lineRule="auto"/>
            <w:tabs>
              <w:tab w:val="right" w:leader="dot" w:pos="8320"/>
            </w:tabs>
            <w:rPr>
              <w:rFonts w:ascii="Times New Roman" w:hAnsi="Times New Roman" w:eastAsia="Times New Roman" w:cs="Times New Roman"/>
              <w:sz w:val="24"/>
              <w:szCs w:val="24"/>
            </w:rPr>
          </w:pPr>
          <w:hyperlink w:history="true" w:anchor="bookmark87">
            <w:r>
              <w:rPr>
                <w:rFonts w:ascii="Times New Roman" w:hAnsi="Times New Roman" w:eastAsia="Times New Roman" w:cs="Times New Roman"/>
                <w:sz w:val="24"/>
                <w:szCs w:val="24"/>
                <w:spacing w:val="-1"/>
              </w:rPr>
              <w:t>2.6.2  </w:t>
            </w:r>
            <w:r>
              <w:rPr>
                <w:rFonts w:ascii="FangSong" w:hAnsi="FangSong" w:eastAsia="FangSong" w:cs="FangSong"/>
                <w:sz w:val="24"/>
                <w:szCs w:val="24"/>
                <w:spacing w:val="-1"/>
              </w:rPr>
              <w:t>污染物排放执行标准</w:t>
            </w:r>
            <w:r>
              <w:rPr>
                <w:rFonts w:ascii="FangSong" w:hAnsi="FangSong" w:eastAsia="FangSong" w:cs="FangSong"/>
                <w:sz w:val="24"/>
                <w:szCs w:val="24"/>
                <w:spacing w:val="-65"/>
              </w:rPr>
              <w:t xml:space="preserve"> </w:t>
            </w:r>
            <w:r>
              <w:rPr>
                <w:rFonts w:ascii="FangSong" w:hAnsi="FangSong" w:eastAsia="FangSong" w:cs="FangSong"/>
                <w:sz w:val="24"/>
                <w:szCs w:val="24"/>
              </w:rPr>
              <w:tab/>
            </w:r>
          </w:hyperlink>
          <w:hyperlink w:history="true" w:anchor="bookmark86">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50</w:t>
            </w:r>
          </w:hyperlink>
        </w:p>
        <w:p>
          <w:pPr>
            <w:ind w:left="979"/>
            <w:spacing w:before="222" w:line="189" w:lineRule="auto"/>
            <w:tabs>
              <w:tab w:val="right" w:leader="dot" w:pos="8320"/>
            </w:tabs>
            <w:rPr>
              <w:rFonts w:ascii="Times New Roman" w:hAnsi="Times New Roman" w:eastAsia="Times New Roman" w:cs="Times New Roman"/>
              <w:sz w:val="24"/>
              <w:szCs w:val="24"/>
            </w:rPr>
          </w:pPr>
          <w:hyperlink w:history="true" w:anchor="bookmark89">
            <w:r>
              <w:rPr>
                <w:rFonts w:ascii="Times New Roman" w:hAnsi="Times New Roman" w:eastAsia="Times New Roman" w:cs="Times New Roman"/>
                <w:sz w:val="24"/>
                <w:szCs w:val="24"/>
                <w:spacing w:val="-3"/>
              </w:rPr>
              <w:t>2.7</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3"/>
              </w:rPr>
              <w:t>主要环境保护目标</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88">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56</w:t>
            </w:r>
          </w:hyperlink>
        </w:p>
        <w:p>
          <w:pPr>
            <w:ind w:left="503"/>
            <w:spacing w:before="223" w:line="189" w:lineRule="auto"/>
            <w:tabs>
              <w:tab w:val="right" w:leader="dot" w:pos="8320"/>
            </w:tabs>
            <w:rPr>
              <w:rFonts w:ascii="Times New Roman" w:hAnsi="Times New Roman" w:eastAsia="Times New Roman" w:cs="Times New Roman"/>
              <w:sz w:val="24"/>
              <w:szCs w:val="24"/>
            </w:rPr>
          </w:pPr>
          <w:hyperlink w:history="true" w:anchor="bookmark91">
            <w:r>
              <w:rPr>
                <w:rFonts w:ascii="Times New Roman" w:hAnsi="Times New Roman" w:eastAsia="Times New Roman" w:cs="Times New Roman"/>
                <w:sz w:val="24"/>
                <w:szCs w:val="24"/>
                <w:spacing w:val="-1"/>
              </w:rPr>
              <w:t>3  </w:t>
            </w:r>
            <w:r>
              <w:rPr>
                <w:rFonts w:ascii="FangSong" w:hAnsi="FangSong" w:eastAsia="FangSong" w:cs="FangSong"/>
                <w:sz w:val="24"/>
                <w:szCs w:val="24"/>
                <w:spacing w:val="-1"/>
              </w:rPr>
              <w:t>变更前项目概况及工程分析</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90">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57</w:t>
            </w:r>
          </w:hyperlink>
        </w:p>
        <w:p>
          <w:pPr>
            <w:ind w:left="983"/>
            <w:spacing w:before="222" w:line="189" w:lineRule="auto"/>
            <w:tabs>
              <w:tab w:val="right" w:leader="dot" w:pos="8320"/>
            </w:tabs>
            <w:rPr>
              <w:rFonts w:ascii="Times New Roman" w:hAnsi="Times New Roman" w:eastAsia="Times New Roman" w:cs="Times New Roman"/>
              <w:sz w:val="24"/>
              <w:szCs w:val="24"/>
            </w:rPr>
          </w:pPr>
          <w:hyperlink w:history="true" w:anchor="bookmark93">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基本情况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92">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57</w:t>
            </w:r>
          </w:hyperlink>
        </w:p>
        <w:p>
          <w:pPr>
            <w:ind w:left="983"/>
            <w:spacing w:before="222" w:line="189" w:lineRule="auto"/>
            <w:tabs>
              <w:tab w:val="right" w:leader="dot" w:pos="8320"/>
            </w:tabs>
            <w:rPr>
              <w:rFonts w:ascii="Times New Roman" w:hAnsi="Times New Roman" w:eastAsia="Times New Roman" w:cs="Times New Roman"/>
              <w:sz w:val="24"/>
              <w:szCs w:val="24"/>
            </w:rPr>
          </w:pPr>
          <w:hyperlink w:history="true" w:anchor="bookmark95">
            <w:r>
              <w:rPr>
                <w:rFonts w:ascii="Times New Roman" w:hAnsi="Times New Roman" w:eastAsia="Times New Roman" w:cs="Times New Roman"/>
                <w:sz w:val="24"/>
                <w:szCs w:val="24"/>
                <w:spacing w:val="-4"/>
              </w:rPr>
              <w:t>3.2</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变更前建设内容</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94">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58</w:t>
            </w:r>
          </w:hyperlink>
        </w:p>
        <w:p>
          <w:pPr>
            <w:ind w:left="1463"/>
            <w:spacing w:before="223" w:line="189" w:lineRule="auto"/>
            <w:tabs>
              <w:tab w:val="right" w:leader="dot" w:pos="8320"/>
            </w:tabs>
            <w:rPr>
              <w:rFonts w:ascii="Times New Roman" w:hAnsi="Times New Roman" w:eastAsia="Times New Roman" w:cs="Times New Roman"/>
              <w:sz w:val="24"/>
              <w:szCs w:val="24"/>
            </w:rPr>
          </w:pPr>
          <w:hyperlink w:history="true" w:anchor="bookmark97">
            <w:r>
              <w:rPr>
                <w:rFonts w:ascii="Times New Roman" w:hAnsi="Times New Roman" w:eastAsia="Times New Roman" w:cs="Times New Roman"/>
                <w:sz w:val="24"/>
                <w:szCs w:val="24"/>
                <w:spacing w:val="-7"/>
              </w:rPr>
              <w:t>3.2.</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7"/>
              </w:rPr>
              <w:t>工程内容</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96">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58</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99">
            <w:r>
              <w:rPr>
                <w:rFonts w:ascii="Times New Roman" w:hAnsi="Times New Roman" w:eastAsia="Times New Roman" w:cs="Times New Roman"/>
                <w:sz w:val="24"/>
                <w:szCs w:val="24"/>
                <w:spacing w:val="-3"/>
              </w:rPr>
              <w:t>3.2.2</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变更前主要生产设备</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98">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59</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101">
            <w:r>
              <w:rPr>
                <w:rFonts w:ascii="Times New Roman" w:hAnsi="Times New Roman" w:eastAsia="Times New Roman" w:cs="Times New Roman"/>
                <w:sz w:val="24"/>
                <w:szCs w:val="24"/>
                <w:spacing w:val="-3"/>
              </w:rPr>
              <w:t>3.2.3</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变更前主要原辅材料</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00">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59</w:t>
            </w:r>
          </w:hyperlink>
        </w:p>
        <w:p>
          <w:pPr>
            <w:ind w:left="983"/>
            <w:spacing w:before="223" w:line="189" w:lineRule="auto"/>
            <w:tabs>
              <w:tab w:val="right" w:leader="dot" w:pos="8320"/>
            </w:tabs>
            <w:rPr>
              <w:rFonts w:ascii="Times New Roman" w:hAnsi="Times New Roman" w:eastAsia="Times New Roman" w:cs="Times New Roman"/>
              <w:sz w:val="24"/>
              <w:szCs w:val="24"/>
            </w:rPr>
          </w:pPr>
          <w:hyperlink w:history="true" w:anchor="bookmark103">
            <w:r>
              <w:rPr>
                <w:rFonts w:ascii="Times New Roman" w:hAnsi="Times New Roman" w:eastAsia="Times New Roman" w:cs="Times New Roman"/>
                <w:sz w:val="24"/>
                <w:szCs w:val="24"/>
                <w:spacing w:val="-3"/>
              </w:rPr>
              <w:t>3.3</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3"/>
              </w:rPr>
              <w:t>变更前公用工程情况</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02">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60</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105">
            <w:r>
              <w:rPr>
                <w:rFonts w:ascii="Times New Roman" w:hAnsi="Times New Roman" w:eastAsia="Times New Roman" w:cs="Times New Roman"/>
                <w:sz w:val="24"/>
                <w:szCs w:val="24"/>
                <w:spacing w:val="-6"/>
              </w:rPr>
              <w:t>3.3.</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6"/>
              </w:rPr>
              <w:t>给排水工程</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04">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60</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107">
            <w:r>
              <w:rPr>
                <w:rFonts w:ascii="Times New Roman" w:hAnsi="Times New Roman" w:eastAsia="Times New Roman" w:cs="Times New Roman"/>
                <w:sz w:val="24"/>
                <w:szCs w:val="24"/>
                <w:spacing w:val="-4"/>
              </w:rPr>
              <w:t>3.3.2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4"/>
              </w:rPr>
              <w:t>供电</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06">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61</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109">
            <w:r>
              <w:rPr>
                <w:rFonts w:ascii="Times New Roman" w:hAnsi="Times New Roman" w:eastAsia="Times New Roman" w:cs="Times New Roman"/>
                <w:sz w:val="24"/>
                <w:szCs w:val="24"/>
                <w:spacing w:val="-4"/>
              </w:rPr>
              <w:t>3.3.3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4"/>
              </w:rPr>
              <w:t>供暖</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08">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61</w:t>
            </w:r>
          </w:hyperlink>
        </w:p>
        <w:p>
          <w:pPr>
            <w:ind w:left="983"/>
            <w:spacing w:before="223" w:line="189" w:lineRule="auto"/>
            <w:tabs>
              <w:tab w:val="right" w:leader="dot" w:pos="8320"/>
            </w:tabs>
            <w:rPr>
              <w:rFonts w:ascii="Times New Roman" w:hAnsi="Times New Roman" w:eastAsia="Times New Roman" w:cs="Times New Roman"/>
              <w:sz w:val="24"/>
              <w:szCs w:val="24"/>
            </w:rPr>
          </w:pPr>
          <w:hyperlink w:history="true" w:anchor="bookmark111">
            <w:r>
              <w:rPr>
                <w:rFonts w:ascii="Times New Roman" w:hAnsi="Times New Roman" w:eastAsia="Times New Roman" w:cs="Times New Roman"/>
                <w:sz w:val="24"/>
                <w:szCs w:val="24"/>
                <w:spacing w:val="-1"/>
              </w:rPr>
              <w:t>3.4  </w:t>
            </w:r>
            <w:r>
              <w:rPr>
                <w:rFonts w:ascii="FangSong" w:hAnsi="FangSong" w:eastAsia="FangSong" w:cs="FangSong"/>
                <w:sz w:val="24"/>
                <w:szCs w:val="24"/>
                <w:spacing w:val="-1"/>
              </w:rPr>
              <w:t>变更前工艺流程及产排污情况</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110">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61</w:t>
            </w:r>
          </w:hyperlink>
        </w:p>
        <w:p>
          <w:pPr>
            <w:ind w:left="1463"/>
            <w:spacing w:before="222" w:line="222" w:lineRule="auto"/>
            <w:tabs>
              <w:tab w:val="right" w:leader="dot" w:pos="8320"/>
            </w:tabs>
            <w:rPr>
              <w:rFonts w:ascii="Times New Roman" w:hAnsi="Times New Roman" w:eastAsia="Times New Roman" w:cs="Times New Roman"/>
              <w:sz w:val="24"/>
              <w:szCs w:val="24"/>
            </w:rPr>
          </w:pPr>
          <w:hyperlink w:history="true" w:anchor="bookmark113">
            <w:r>
              <w:rPr>
                <w:rFonts w:ascii="Times New Roman" w:hAnsi="Times New Roman" w:eastAsia="Times New Roman" w:cs="Times New Roman"/>
                <w:sz w:val="24"/>
                <w:szCs w:val="24"/>
                <w:spacing w:val="-6"/>
              </w:rPr>
              <w:t>3.4.</w:t>
            </w:r>
            <w:r>
              <w:rPr>
                <w:rFonts w:ascii="Times New Roman" w:hAnsi="Times New Roman" w:eastAsia="Times New Roman" w:cs="Times New Roman"/>
                <w:sz w:val="24"/>
                <w:szCs w:val="24"/>
                <w:spacing w:val="-23"/>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6"/>
              </w:rPr>
              <w:t>变更前工艺流程</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12">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61</w:t>
            </w:r>
          </w:hyperlink>
        </w:p>
      </w:sdtContent>
    </w:sdt>
    <w:p>
      <w:pPr>
        <w:spacing w:line="222" w:lineRule="auto"/>
        <w:sectPr>
          <w:headerReference w:type="default" r:id="rId2"/>
          <w:footerReference w:type="default" r:id="rId3"/>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1463"/>
            <w:spacing w:before="78" w:line="189" w:lineRule="auto"/>
            <w:tabs>
              <w:tab w:val="right" w:leader="dot" w:pos="8320"/>
            </w:tabs>
            <w:rPr>
              <w:rFonts w:ascii="Times New Roman" w:hAnsi="Times New Roman" w:eastAsia="Times New Roman" w:cs="Times New Roman"/>
              <w:sz w:val="24"/>
              <w:szCs w:val="24"/>
            </w:rPr>
          </w:pPr>
          <w:hyperlink w:history="true" w:anchor="bookmark115">
            <w:r>
              <w:rPr>
                <w:rFonts w:ascii="Times New Roman" w:hAnsi="Times New Roman" w:eastAsia="Times New Roman" w:cs="Times New Roman"/>
                <w:sz w:val="24"/>
                <w:szCs w:val="24"/>
                <w:spacing w:val="-1"/>
              </w:rPr>
              <w:t>3.4.2  </w:t>
            </w:r>
            <w:r>
              <w:rPr>
                <w:rFonts w:ascii="FangSong" w:hAnsi="FangSong" w:eastAsia="FangSong" w:cs="FangSong"/>
                <w:sz w:val="24"/>
                <w:szCs w:val="24"/>
                <w:spacing w:val="-1"/>
              </w:rPr>
              <w:t>变更前项目产排污情况分析</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114">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62</w:t>
            </w:r>
          </w:hyperlink>
        </w:p>
        <w:p>
          <w:pPr>
            <w:ind w:left="983"/>
            <w:spacing w:before="222" w:line="189" w:lineRule="auto"/>
            <w:tabs>
              <w:tab w:val="right" w:leader="dot" w:pos="8320"/>
            </w:tabs>
            <w:rPr>
              <w:rFonts w:ascii="Times New Roman" w:hAnsi="Times New Roman" w:eastAsia="Times New Roman" w:cs="Times New Roman"/>
              <w:sz w:val="24"/>
              <w:szCs w:val="24"/>
            </w:rPr>
          </w:pPr>
          <w:hyperlink w:history="true" w:anchor="bookmark117">
            <w:r>
              <w:rPr>
                <w:rFonts w:ascii="Times New Roman" w:hAnsi="Times New Roman" w:eastAsia="Times New Roman" w:cs="Times New Roman"/>
                <w:sz w:val="24"/>
                <w:szCs w:val="24"/>
                <w:spacing w:val="-1"/>
              </w:rPr>
              <w:t>3.5  </w:t>
            </w:r>
            <w:r>
              <w:rPr>
                <w:rFonts w:ascii="FangSong" w:hAnsi="FangSong" w:eastAsia="FangSong" w:cs="FangSong"/>
                <w:sz w:val="24"/>
                <w:szCs w:val="24"/>
                <w:spacing w:val="-1"/>
              </w:rPr>
              <w:t>变更前污染物治理措施情况</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116">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67</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119">
            <w:r>
              <w:rPr>
                <w:rFonts w:ascii="Times New Roman" w:hAnsi="Times New Roman" w:eastAsia="Times New Roman" w:cs="Times New Roman"/>
                <w:sz w:val="24"/>
                <w:szCs w:val="24"/>
                <w:spacing w:val="-1"/>
              </w:rPr>
              <w:t>3.5.1  </w:t>
            </w:r>
            <w:r>
              <w:rPr>
                <w:rFonts w:ascii="FangSong" w:hAnsi="FangSong" w:eastAsia="FangSong" w:cs="FangSong"/>
                <w:sz w:val="24"/>
                <w:szCs w:val="24"/>
                <w:spacing w:val="-1"/>
              </w:rPr>
              <w:t>施工期污染物治理措施情况</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118">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67</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121">
            <w:r>
              <w:rPr>
                <w:rFonts w:ascii="Times New Roman" w:hAnsi="Times New Roman" w:eastAsia="Times New Roman" w:cs="Times New Roman"/>
                <w:sz w:val="24"/>
                <w:szCs w:val="24"/>
                <w:spacing w:val="-1"/>
              </w:rPr>
              <w:t>3.5.2  </w:t>
            </w:r>
            <w:r>
              <w:rPr>
                <w:rFonts w:ascii="FangSong" w:hAnsi="FangSong" w:eastAsia="FangSong" w:cs="FangSong"/>
                <w:sz w:val="24"/>
                <w:szCs w:val="24"/>
                <w:spacing w:val="-1"/>
              </w:rPr>
              <w:t>运营期污染物治理措施情况</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120">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69</w:t>
            </w:r>
          </w:hyperlink>
        </w:p>
        <w:p>
          <w:pPr>
            <w:ind w:left="497"/>
            <w:spacing w:before="222" w:line="189" w:lineRule="auto"/>
            <w:tabs>
              <w:tab w:val="right" w:leader="dot" w:pos="8320"/>
            </w:tabs>
            <w:rPr>
              <w:rFonts w:ascii="Times New Roman" w:hAnsi="Times New Roman" w:eastAsia="Times New Roman" w:cs="Times New Roman"/>
              <w:sz w:val="24"/>
              <w:szCs w:val="24"/>
            </w:rPr>
          </w:pPr>
          <w:hyperlink w:history="true" w:anchor="bookmark123">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4"/>
              </w:rPr>
              <w:t>工程概况及分析</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22">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75</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25">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7"/>
              </w:rPr>
              <w:t>项目概况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24">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75</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27">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7"/>
              </w:rPr>
              <w:t>项目基本情况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26">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75</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29">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5"/>
              </w:rPr>
              <w:t>周围环境情况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28">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75</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31">
            <w:r>
              <w:rPr>
                <w:rFonts w:ascii="Times New Roman" w:hAnsi="Times New Roman" w:eastAsia="Times New Roman" w:cs="Times New Roman"/>
                <w:sz w:val="24"/>
                <w:szCs w:val="24"/>
                <w:spacing w:val="-1"/>
              </w:rPr>
              <w:t>4.2  </w:t>
            </w:r>
            <w:r>
              <w:rPr>
                <w:rFonts w:ascii="FangSong" w:hAnsi="FangSong" w:eastAsia="FangSong" w:cs="FangSong"/>
                <w:sz w:val="24"/>
                <w:szCs w:val="24"/>
                <w:spacing w:val="-1"/>
              </w:rPr>
              <w:t>开采范围及开采对象</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130">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77</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33">
            <w:r>
              <w:rPr>
                <w:rFonts w:ascii="Times New Roman" w:hAnsi="Times New Roman" w:eastAsia="Times New Roman" w:cs="Times New Roman"/>
                <w:sz w:val="24"/>
                <w:szCs w:val="24"/>
                <w:spacing w:val="-6"/>
              </w:rPr>
              <w:t>4.2.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6"/>
              </w:rPr>
              <w:t>工业指标</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32">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77</w:t>
            </w:r>
          </w:hyperlink>
        </w:p>
        <w:p>
          <w:pPr>
            <w:ind w:left="1457"/>
            <w:spacing w:before="223" w:line="189" w:lineRule="auto"/>
            <w:tabs>
              <w:tab w:val="right" w:leader="dot" w:pos="8320"/>
            </w:tabs>
            <w:rPr>
              <w:rFonts w:ascii="Times New Roman" w:hAnsi="Times New Roman" w:eastAsia="Times New Roman" w:cs="Times New Roman"/>
              <w:sz w:val="24"/>
              <w:szCs w:val="24"/>
            </w:rPr>
          </w:pPr>
          <w:hyperlink w:history="true" w:anchor="bookmark135">
            <w:r>
              <w:rPr>
                <w:rFonts w:ascii="Times New Roman" w:hAnsi="Times New Roman" w:eastAsia="Times New Roman" w:cs="Times New Roman"/>
                <w:sz w:val="24"/>
                <w:szCs w:val="24"/>
                <w:spacing w:val="-3"/>
              </w:rPr>
              <w:t>4.2.2</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资源估算范围</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34">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77</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37">
            <w:r>
              <w:rPr>
                <w:rFonts w:ascii="Times New Roman" w:hAnsi="Times New Roman" w:eastAsia="Times New Roman" w:cs="Times New Roman"/>
                <w:sz w:val="24"/>
                <w:szCs w:val="24"/>
                <w:spacing w:val="-3"/>
              </w:rPr>
              <w:t>4.2.3</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开采矿种</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36">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39">
            <w:r>
              <w:rPr>
                <w:rFonts w:ascii="Times New Roman" w:hAnsi="Times New Roman" w:eastAsia="Times New Roman" w:cs="Times New Roman"/>
                <w:sz w:val="24"/>
                <w:szCs w:val="24"/>
                <w:spacing w:val="-1"/>
              </w:rPr>
              <w:t>4.2.4  </w:t>
            </w:r>
            <w:r>
              <w:rPr>
                <w:rFonts w:ascii="FangSong" w:hAnsi="FangSong" w:eastAsia="FangSong" w:cs="FangSong"/>
                <w:sz w:val="24"/>
                <w:szCs w:val="24"/>
                <w:spacing w:val="-1"/>
              </w:rPr>
              <w:t>开采方式及顺序</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138">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78</w:t>
            </w:r>
          </w:hyperlink>
        </w:p>
        <w:p>
          <w:pPr>
            <w:ind w:left="977"/>
            <w:spacing w:before="223" w:line="189" w:lineRule="auto"/>
            <w:tabs>
              <w:tab w:val="right" w:leader="dot" w:pos="8320"/>
            </w:tabs>
            <w:rPr>
              <w:rFonts w:ascii="Times New Roman" w:hAnsi="Times New Roman" w:eastAsia="Times New Roman" w:cs="Times New Roman"/>
              <w:sz w:val="24"/>
              <w:szCs w:val="24"/>
            </w:rPr>
          </w:pPr>
          <w:hyperlink w:history="true" w:anchor="bookmark141">
            <w:r>
              <w:rPr>
                <w:rFonts w:ascii="Times New Roman" w:hAnsi="Times New Roman" w:eastAsia="Times New Roman" w:cs="Times New Roman"/>
                <w:sz w:val="24"/>
                <w:szCs w:val="24"/>
                <w:spacing w:val="-1"/>
              </w:rPr>
              <w:t>4.3  </w:t>
            </w:r>
            <w:r>
              <w:rPr>
                <w:rFonts w:ascii="FangSong" w:hAnsi="FangSong" w:eastAsia="FangSong" w:cs="FangSong"/>
                <w:sz w:val="24"/>
                <w:szCs w:val="24"/>
                <w:spacing w:val="-1"/>
              </w:rPr>
              <w:t>矿体特征、矿石类型</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140">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43">
            <w:r>
              <w:rPr>
                <w:rFonts w:ascii="Times New Roman" w:hAnsi="Times New Roman" w:eastAsia="Times New Roman" w:cs="Times New Roman"/>
                <w:sz w:val="24"/>
                <w:szCs w:val="24"/>
                <w:spacing w:val="-6"/>
              </w:rPr>
              <w:t>4.3.</w:t>
            </w:r>
            <w:r>
              <w:rPr>
                <w:rFonts w:ascii="Times New Roman" w:hAnsi="Times New Roman" w:eastAsia="Times New Roman" w:cs="Times New Roman"/>
                <w:sz w:val="24"/>
                <w:szCs w:val="24"/>
                <w:spacing w:val="-27"/>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6"/>
              </w:rPr>
              <w:t>矿体特征</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42">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78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45">
            <w:r>
              <w:rPr>
                <w:rFonts w:ascii="Times New Roman" w:hAnsi="Times New Roman" w:eastAsia="Times New Roman" w:cs="Times New Roman"/>
                <w:sz w:val="24"/>
                <w:szCs w:val="24"/>
                <w:spacing w:val="-3"/>
              </w:rPr>
              <w:t>4.3.2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矿石特征</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44">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8"/>
              </w:rPr>
              <w:t>83</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47">
            <w:r>
              <w:rPr>
                <w:rFonts w:ascii="Times New Roman" w:hAnsi="Times New Roman" w:eastAsia="Times New Roman" w:cs="Times New Roman"/>
                <w:sz w:val="24"/>
                <w:szCs w:val="24"/>
                <w:spacing w:val="-1"/>
              </w:rPr>
              <w:t>4.4  </w:t>
            </w:r>
            <w:r>
              <w:rPr>
                <w:rFonts w:ascii="FangSong" w:hAnsi="FangSong" w:eastAsia="FangSong" w:cs="FangSong"/>
                <w:sz w:val="24"/>
                <w:szCs w:val="24"/>
                <w:spacing w:val="-1"/>
              </w:rPr>
              <w:t>工程组成及建设内容</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146">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8"/>
              </w:rPr>
              <w:t>89</w:t>
            </w:r>
          </w:hyperlink>
        </w:p>
        <w:p>
          <w:pPr>
            <w:ind w:left="977"/>
            <w:spacing w:before="223" w:line="189" w:lineRule="auto"/>
            <w:tabs>
              <w:tab w:val="right" w:leader="dot" w:pos="8320"/>
            </w:tabs>
            <w:rPr>
              <w:rFonts w:ascii="Times New Roman" w:hAnsi="Times New Roman" w:eastAsia="Times New Roman" w:cs="Times New Roman"/>
              <w:sz w:val="24"/>
              <w:szCs w:val="24"/>
            </w:rPr>
          </w:pPr>
          <w:hyperlink w:history="true" w:anchor="bookmark149">
            <w:r>
              <w:rPr>
                <w:rFonts w:ascii="Times New Roman" w:hAnsi="Times New Roman" w:eastAsia="Times New Roman" w:cs="Times New Roman"/>
                <w:sz w:val="24"/>
                <w:szCs w:val="24"/>
                <w:spacing w:val="-1"/>
              </w:rPr>
              <w:t>4.5  </w:t>
            </w:r>
            <w:r>
              <w:rPr>
                <w:rFonts w:ascii="FangSong" w:hAnsi="FangSong" w:eastAsia="FangSong" w:cs="FangSong"/>
                <w:sz w:val="24"/>
                <w:szCs w:val="24"/>
                <w:spacing w:val="-1"/>
              </w:rPr>
              <w:t>建设规模、产品方案及服务年限</w:t>
            </w:r>
            <w:r>
              <w:rPr>
                <w:rFonts w:ascii="FangSong" w:hAnsi="FangSong" w:eastAsia="FangSong" w:cs="FangSong"/>
                <w:sz w:val="24"/>
                <w:szCs w:val="24"/>
                <w:spacing w:val="-61"/>
              </w:rPr>
              <w:t xml:space="preserve"> </w:t>
            </w:r>
            <w:r>
              <w:rPr>
                <w:rFonts w:ascii="FangSong" w:hAnsi="FangSong" w:eastAsia="FangSong" w:cs="FangSong"/>
                <w:sz w:val="24"/>
                <w:szCs w:val="24"/>
              </w:rPr>
              <w:tab/>
            </w:r>
          </w:hyperlink>
          <w:hyperlink w:history="true" w:anchor="bookmark148">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91</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51">
            <w:r>
              <w:rPr>
                <w:rFonts w:ascii="Times New Roman" w:hAnsi="Times New Roman" w:eastAsia="Times New Roman" w:cs="Times New Roman"/>
                <w:sz w:val="24"/>
                <w:szCs w:val="24"/>
                <w:spacing w:val="-3"/>
              </w:rPr>
              <w:t>4.6</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主要原辅材料</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50">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92</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53">
            <w:r>
              <w:rPr>
                <w:rFonts w:ascii="Times New Roman" w:hAnsi="Times New Roman" w:eastAsia="Times New Roman" w:cs="Times New Roman"/>
                <w:sz w:val="24"/>
                <w:szCs w:val="24"/>
                <w:spacing w:val="-4"/>
              </w:rPr>
              <w:t>4.7</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主要设备</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52">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94</w:t>
            </w:r>
          </w:hyperlink>
        </w:p>
        <w:p>
          <w:pPr>
            <w:ind w:left="977"/>
            <w:spacing w:before="223" w:line="189" w:lineRule="auto"/>
            <w:tabs>
              <w:tab w:val="right" w:leader="dot" w:pos="8320"/>
            </w:tabs>
            <w:rPr>
              <w:rFonts w:ascii="Times New Roman" w:hAnsi="Times New Roman" w:eastAsia="Times New Roman" w:cs="Times New Roman"/>
              <w:sz w:val="24"/>
              <w:szCs w:val="24"/>
            </w:rPr>
          </w:pPr>
          <w:hyperlink w:history="true" w:anchor="bookmark155">
            <w:r>
              <w:rPr>
                <w:rFonts w:ascii="Times New Roman" w:hAnsi="Times New Roman" w:eastAsia="Times New Roman" w:cs="Times New Roman"/>
                <w:sz w:val="24"/>
                <w:szCs w:val="24"/>
                <w:spacing w:val="-3"/>
              </w:rPr>
              <w:t>4.8</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主要经济技术指标</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54">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96</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57">
            <w:r>
              <w:rPr>
                <w:rFonts w:ascii="Times New Roman" w:hAnsi="Times New Roman" w:eastAsia="Times New Roman" w:cs="Times New Roman"/>
                <w:sz w:val="24"/>
                <w:szCs w:val="24"/>
                <w:spacing w:val="-3"/>
              </w:rPr>
              <w:t>4.9</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工程布局情况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56">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59">
            <w:r>
              <w:rPr>
                <w:rFonts w:ascii="Times New Roman" w:hAnsi="Times New Roman" w:eastAsia="Times New Roman" w:cs="Times New Roman"/>
                <w:sz w:val="24"/>
                <w:szCs w:val="24"/>
                <w:spacing w:val="-5"/>
              </w:rPr>
              <w:t>4.9.</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5"/>
              </w:rPr>
              <w:t>布局设计原则</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58">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98</w:t>
            </w:r>
          </w:hyperlink>
        </w:p>
        <w:p>
          <w:pPr>
            <w:ind w:left="1457"/>
            <w:spacing w:before="223" w:line="189" w:lineRule="auto"/>
            <w:tabs>
              <w:tab w:val="right" w:leader="dot" w:pos="8320"/>
            </w:tabs>
            <w:rPr>
              <w:rFonts w:ascii="Times New Roman" w:hAnsi="Times New Roman" w:eastAsia="Times New Roman" w:cs="Times New Roman"/>
              <w:sz w:val="24"/>
              <w:szCs w:val="24"/>
            </w:rPr>
          </w:pPr>
          <w:hyperlink w:history="true" w:anchor="bookmark161">
            <w:r>
              <w:rPr>
                <w:rFonts w:ascii="Times New Roman" w:hAnsi="Times New Roman" w:eastAsia="Times New Roman" w:cs="Times New Roman"/>
                <w:sz w:val="24"/>
                <w:szCs w:val="24"/>
                <w:spacing w:val="-3"/>
              </w:rPr>
              <w:t>4.9.2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3"/>
              </w:rPr>
              <w:t>总平面布置</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60">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98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63">
            <w:r>
              <w:rPr>
                <w:rFonts w:ascii="Times New Roman" w:hAnsi="Times New Roman" w:eastAsia="Times New Roman" w:cs="Times New Roman"/>
                <w:sz w:val="24"/>
                <w:szCs w:val="24"/>
                <w:spacing w:val="-4"/>
              </w:rPr>
              <w:t>4.9.3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防治水方案</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62">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100</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65">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7"/>
              </w:rPr>
              <w:t>公用工程</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64">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100</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67">
            <w:r>
              <w:rPr>
                <w:rFonts w:ascii="Times New Roman" w:hAnsi="Times New Roman" w:eastAsia="Times New Roman" w:cs="Times New Roman"/>
                <w:sz w:val="24"/>
                <w:szCs w:val="24"/>
                <w:spacing w:val="-9"/>
              </w:rPr>
              <w:t>4.</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给排水</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66">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100</w:t>
            </w:r>
          </w:hyperlink>
        </w:p>
        <w:p>
          <w:pPr>
            <w:ind w:left="1457"/>
            <w:spacing w:before="223" w:line="189" w:lineRule="auto"/>
            <w:tabs>
              <w:tab w:val="right" w:leader="dot" w:pos="8320"/>
            </w:tabs>
            <w:rPr>
              <w:rFonts w:ascii="Times New Roman" w:hAnsi="Times New Roman" w:eastAsia="Times New Roman" w:cs="Times New Roman"/>
              <w:sz w:val="24"/>
              <w:szCs w:val="24"/>
            </w:rPr>
          </w:pPr>
          <w:hyperlink w:history="true" w:anchor="bookmark169">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7"/>
              </w:rPr>
              <w:t>10.2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7"/>
              </w:rPr>
              <w:t>供电</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68">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104</w:t>
            </w:r>
          </w:hyperlink>
        </w:p>
        <w:p>
          <w:pPr>
            <w:ind w:left="1457"/>
            <w:spacing w:before="222" w:line="223" w:lineRule="auto"/>
            <w:tabs>
              <w:tab w:val="right" w:leader="dot" w:pos="8320"/>
            </w:tabs>
            <w:rPr>
              <w:rFonts w:ascii="Times New Roman" w:hAnsi="Times New Roman" w:eastAsia="Times New Roman" w:cs="Times New Roman"/>
              <w:sz w:val="24"/>
              <w:szCs w:val="24"/>
            </w:rPr>
          </w:pPr>
          <w:hyperlink w:history="true" w:anchor="bookmark171">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7"/>
              </w:rPr>
              <w:t>10.3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7"/>
              </w:rPr>
              <w:t>供暖</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70">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105</w:t>
            </w:r>
          </w:hyperlink>
        </w:p>
      </w:sdtContent>
    </w:sdt>
    <w:p>
      <w:pPr>
        <w:spacing w:line="223" w:lineRule="auto"/>
        <w:sectPr>
          <w:footerReference w:type="default" r:id="rId4"/>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977"/>
            <w:spacing w:before="78" w:line="189" w:lineRule="auto"/>
            <w:tabs>
              <w:tab w:val="right" w:leader="dot" w:pos="8320"/>
            </w:tabs>
            <w:rPr>
              <w:rFonts w:ascii="Times New Roman" w:hAnsi="Times New Roman" w:eastAsia="Times New Roman" w:cs="Times New Roman"/>
              <w:sz w:val="24"/>
              <w:szCs w:val="24"/>
            </w:rPr>
          </w:pPr>
          <w:bookmarkStart w:name="bookmark172" w:id="2"/>
          <w:bookmarkEnd w:id="2"/>
          <w:hyperlink w:history="true" w:anchor="bookmark174">
            <w:r>
              <w:rPr>
                <w:rFonts w:ascii="Times New Roman" w:hAnsi="Times New Roman" w:eastAsia="Times New Roman" w:cs="Times New Roman"/>
                <w:sz w:val="24"/>
                <w:szCs w:val="24"/>
                <w:spacing w:val="-9"/>
              </w:rPr>
              <w:t>4.</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9"/>
              </w:rPr>
              <w:t>11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9"/>
              </w:rPr>
              <w:t>劳动定员</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173">
            <w:r>
              <w:rPr>
                <w:rFonts w:ascii="FangSong" w:hAnsi="FangSong" w:eastAsia="FangSong" w:cs="FangSong"/>
                <w:sz w:val="24"/>
                <w:szCs w:val="24"/>
                <w:spacing w:val="-86"/>
              </w:rPr>
              <w:t xml:space="preserve"> </w:t>
            </w:r>
            <w:r>
              <w:rPr>
                <w:rFonts w:ascii="Times New Roman" w:hAnsi="Times New Roman" w:eastAsia="Times New Roman" w:cs="Times New Roman"/>
                <w:sz w:val="24"/>
                <w:szCs w:val="24"/>
                <w:spacing w:val="-10"/>
              </w:rPr>
              <w:t>105</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76">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7"/>
              </w:rPr>
              <w:t>工程占地</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7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106</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78">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7"/>
              </w:rPr>
              <w:t>工程占地情况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7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106</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80">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4"/>
              </w:rPr>
              <w:t>12.2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工程拆迁安置情况</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7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106</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82">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6"/>
              </w:rPr>
              <w:t>12.3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6"/>
              </w:rPr>
              <w:t>土石方</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8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106</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84">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7"/>
              </w:rPr>
              <w:t>13</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7"/>
              </w:rPr>
              <w:t>工程分析</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8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86">
            <w:r>
              <w:rPr>
                <w:rFonts w:ascii="Times New Roman" w:hAnsi="Times New Roman" w:eastAsia="Times New Roman" w:cs="Times New Roman"/>
                <w:sz w:val="24"/>
                <w:szCs w:val="24"/>
                <w:spacing w:val="-1"/>
              </w:rPr>
              <w:t>4.13.1  </w:t>
            </w:r>
            <w:r>
              <w:rPr>
                <w:rFonts w:ascii="FangSong" w:hAnsi="FangSong" w:eastAsia="FangSong" w:cs="FangSong"/>
                <w:sz w:val="24"/>
                <w:szCs w:val="24"/>
                <w:spacing w:val="-1"/>
              </w:rPr>
              <w:t>工艺流程及产污环节分析</w:t>
            </w:r>
            <w:r>
              <w:rPr>
                <w:rFonts w:ascii="FangSong" w:hAnsi="FangSong" w:eastAsia="FangSong" w:cs="FangSong"/>
                <w:sz w:val="24"/>
                <w:szCs w:val="24"/>
                <w:spacing w:val="-60"/>
              </w:rPr>
              <w:t xml:space="preserve"> </w:t>
            </w:r>
            <w:r>
              <w:rPr>
                <w:rFonts w:ascii="FangSong" w:hAnsi="FangSong" w:eastAsia="FangSong" w:cs="FangSong"/>
                <w:sz w:val="24"/>
                <w:szCs w:val="24"/>
              </w:rPr>
              <w:tab/>
            </w:r>
          </w:hyperlink>
          <w:hyperlink w:history="true" w:anchor="bookmark18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108</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88">
            <w:r>
              <w:rPr>
                <w:rFonts w:ascii="Times New Roman" w:hAnsi="Times New Roman" w:eastAsia="Times New Roman" w:cs="Times New Roman"/>
                <w:sz w:val="24"/>
                <w:szCs w:val="24"/>
                <w:spacing w:val="-1"/>
              </w:rPr>
              <w:t>4.13.2  </w:t>
            </w:r>
            <w:r>
              <w:rPr>
                <w:rFonts w:ascii="FangSong" w:hAnsi="FangSong" w:eastAsia="FangSong" w:cs="FangSong"/>
                <w:sz w:val="24"/>
                <w:szCs w:val="24"/>
                <w:spacing w:val="-1"/>
              </w:rPr>
              <w:t>污染物产生及排放情况</w:t>
            </w:r>
            <w:r>
              <w:rPr>
                <w:rFonts w:ascii="FangSong" w:hAnsi="FangSong" w:eastAsia="FangSong" w:cs="FangSong"/>
                <w:sz w:val="24"/>
                <w:szCs w:val="24"/>
                <w:spacing w:val="-62"/>
              </w:rPr>
              <w:t xml:space="preserve"> </w:t>
            </w:r>
            <w:r>
              <w:rPr>
                <w:rFonts w:ascii="FangSong" w:hAnsi="FangSong" w:eastAsia="FangSong" w:cs="FangSong"/>
                <w:sz w:val="24"/>
                <w:szCs w:val="24"/>
              </w:rPr>
              <w:tab/>
            </w:r>
          </w:hyperlink>
          <w:hyperlink w:history="true" w:anchor="bookmark18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124</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90">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6"/>
              </w:rPr>
              <w:t>14</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6"/>
              </w:rPr>
              <w:t>清洁生产要求</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8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147</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92">
            <w:r>
              <w:rPr>
                <w:rFonts w:ascii="Times New Roman" w:hAnsi="Times New Roman" w:eastAsia="Times New Roman" w:cs="Times New Roman"/>
                <w:sz w:val="24"/>
                <w:szCs w:val="24"/>
                <w:spacing w:val="-1"/>
              </w:rPr>
              <w:t>4.14.1  </w:t>
            </w:r>
            <w:r>
              <w:rPr>
                <w:rFonts w:ascii="FangSong" w:hAnsi="FangSong" w:eastAsia="FangSong" w:cs="FangSong"/>
                <w:sz w:val="24"/>
                <w:szCs w:val="24"/>
                <w:spacing w:val="-1"/>
              </w:rPr>
              <w:t>地下采矿清洁生产分析</w:t>
            </w:r>
            <w:r>
              <w:rPr>
                <w:rFonts w:ascii="FangSong" w:hAnsi="FangSong" w:eastAsia="FangSong" w:cs="FangSong"/>
                <w:sz w:val="24"/>
                <w:szCs w:val="24"/>
                <w:spacing w:val="-62"/>
              </w:rPr>
              <w:t xml:space="preserve"> </w:t>
            </w:r>
            <w:r>
              <w:rPr>
                <w:rFonts w:ascii="FangSong" w:hAnsi="FangSong" w:eastAsia="FangSong" w:cs="FangSong"/>
                <w:sz w:val="24"/>
                <w:szCs w:val="24"/>
              </w:rPr>
              <w:tab/>
            </w:r>
          </w:hyperlink>
          <w:hyperlink w:history="true" w:anchor="bookmark19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148</w:t>
            </w:r>
          </w:hyperlink>
        </w:p>
        <w:p>
          <w:pPr>
            <w:ind w:left="1457"/>
            <w:spacing w:before="223" w:line="189" w:lineRule="auto"/>
            <w:tabs>
              <w:tab w:val="right" w:leader="dot" w:pos="8320"/>
            </w:tabs>
            <w:rPr>
              <w:rFonts w:ascii="Times New Roman" w:hAnsi="Times New Roman" w:eastAsia="Times New Roman" w:cs="Times New Roman"/>
              <w:sz w:val="24"/>
              <w:szCs w:val="24"/>
            </w:rPr>
          </w:pPr>
          <w:hyperlink w:history="true" w:anchor="bookmark194">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14.2  </w:t>
            </w:r>
            <w:r>
              <w:rPr>
                <w:rFonts w:ascii="FangSong" w:hAnsi="FangSong" w:eastAsia="FangSong" w:cs="FangSong"/>
                <w:sz w:val="24"/>
                <w:szCs w:val="24"/>
                <w:spacing w:val="-2"/>
              </w:rPr>
              <w:t>选矿清洁生产分析</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9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149</w:t>
            </w:r>
          </w:hyperlink>
        </w:p>
        <w:p>
          <w:pPr>
            <w:ind w:left="1457"/>
            <w:spacing w:before="222" w:line="189" w:lineRule="auto"/>
            <w:tabs>
              <w:tab w:val="right" w:leader="dot" w:pos="8320"/>
            </w:tabs>
            <w:rPr>
              <w:rFonts w:ascii="Times New Roman" w:hAnsi="Times New Roman" w:eastAsia="Times New Roman" w:cs="Times New Roman"/>
              <w:sz w:val="24"/>
              <w:szCs w:val="24"/>
            </w:rPr>
          </w:pPr>
          <w:hyperlink w:history="true" w:anchor="bookmark196">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5"/>
              </w:rPr>
              <w:t>14.3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5"/>
              </w:rPr>
              <w:t>清洁生产小结</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19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151</w:t>
            </w:r>
          </w:hyperlink>
        </w:p>
        <w:p>
          <w:pPr>
            <w:ind w:left="977"/>
            <w:spacing w:before="222" w:line="189" w:lineRule="auto"/>
            <w:tabs>
              <w:tab w:val="right" w:leader="dot" w:pos="8320"/>
            </w:tabs>
            <w:rPr>
              <w:rFonts w:ascii="Times New Roman" w:hAnsi="Times New Roman" w:eastAsia="Times New Roman" w:cs="Times New Roman"/>
              <w:sz w:val="24"/>
              <w:szCs w:val="24"/>
            </w:rPr>
          </w:pPr>
          <w:hyperlink w:history="true" w:anchor="bookmark198">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6"/>
              </w:rPr>
              <w:t>15</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6"/>
              </w:rPr>
              <w:t>总量控制指标</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19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152</w:t>
            </w:r>
          </w:hyperlink>
        </w:p>
        <w:p>
          <w:pPr>
            <w:ind w:left="977"/>
            <w:spacing w:before="223" w:line="189" w:lineRule="auto"/>
            <w:tabs>
              <w:tab w:val="right" w:leader="dot" w:pos="8320"/>
            </w:tabs>
            <w:rPr>
              <w:rFonts w:ascii="Times New Roman" w:hAnsi="Times New Roman" w:eastAsia="Times New Roman" w:cs="Times New Roman"/>
              <w:sz w:val="24"/>
              <w:szCs w:val="24"/>
            </w:rPr>
          </w:pPr>
          <w:hyperlink w:history="true" w:anchor="bookmark200">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3"/>
              </w:rPr>
              <w:t>16</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污染物排放“三本账</w:t>
            </w:r>
            <w:r>
              <w:rPr>
                <w:rFonts w:ascii="FangSong" w:hAnsi="FangSong" w:eastAsia="FangSong" w:cs="FangSong"/>
                <w:sz w:val="24"/>
                <w:szCs w:val="24"/>
                <w:spacing w:val="31"/>
              </w:rPr>
              <w:t xml:space="preserve"> </w:t>
            </w:r>
            <w:r>
              <w:rPr>
                <w:rFonts w:ascii="FangSong" w:hAnsi="FangSong" w:eastAsia="FangSong" w:cs="FangSong"/>
                <w:sz w:val="24"/>
                <w:szCs w:val="24"/>
                <w:spacing w:val="-3"/>
              </w:rPr>
              <w:t>”</w:t>
            </w:r>
            <w:r>
              <w:rPr>
                <w:rFonts w:ascii="FangSong" w:hAnsi="FangSong" w:eastAsia="FangSong" w:cs="FangSong"/>
                <w:sz w:val="24"/>
                <w:szCs w:val="24"/>
              </w:rPr>
              <w:tab/>
            </w:r>
          </w:hyperlink>
          <w:hyperlink w:history="true" w:anchor="bookmark19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152</w:t>
            </w:r>
          </w:hyperlink>
        </w:p>
        <w:p>
          <w:pPr>
            <w:ind w:left="505"/>
            <w:spacing w:before="222" w:line="189" w:lineRule="auto"/>
            <w:tabs>
              <w:tab w:val="right" w:leader="dot" w:pos="8320"/>
            </w:tabs>
            <w:rPr>
              <w:rFonts w:ascii="Times New Roman" w:hAnsi="Times New Roman" w:eastAsia="Times New Roman" w:cs="Times New Roman"/>
              <w:sz w:val="24"/>
              <w:szCs w:val="24"/>
            </w:rPr>
          </w:pPr>
          <w:hyperlink w:history="true" w:anchor="bookmark202">
            <w:r>
              <w:rPr>
                <w:rFonts w:ascii="Times New Roman" w:hAnsi="Times New Roman" w:eastAsia="Times New Roman" w:cs="Times New Roman"/>
                <w:sz w:val="24"/>
                <w:szCs w:val="24"/>
                <w:spacing w:val="-2"/>
              </w:rPr>
              <w:t>5  </w:t>
            </w:r>
            <w:r>
              <w:rPr>
                <w:rFonts w:ascii="FangSong" w:hAnsi="FangSong" w:eastAsia="FangSong" w:cs="FangSong"/>
                <w:sz w:val="24"/>
                <w:szCs w:val="24"/>
                <w:spacing w:val="-2"/>
              </w:rPr>
              <w:t>现状调查与评价</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20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154</w:t>
            </w:r>
          </w:hyperlink>
        </w:p>
        <w:p>
          <w:pPr>
            <w:ind w:left="985"/>
            <w:spacing w:before="222" w:line="189" w:lineRule="auto"/>
            <w:tabs>
              <w:tab w:val="right" w:leader="dot" w:pos="8320"/>
            </w:tabs>
            <w:rPr>
              <w:rFonts w:ascii="Times New Roman" w:hAnsi="Times New Roman" w:eastAsia="Times New Roman" w:cs="Times New Roman"/>
              <w:sz w:val="24"/>
              <w:szCs w:val="24"/>
            </w:rPr>
          </w:pPr>
          <w:hyperlink w:history="true" w:anchor="bookmark204">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9"/>
              </w:rPr>
              <w:t>1   </w:t>
            </w:r>
            <w:r>
              <w:rPr>
                <w:rFonts w:ascii="FangSong" w:hAnsi="FangSong" w:eastAsia="FangSong" w:cs="FangSong"/>
                <w:sz w:val="24"/>
                <w:szCs w:val="24"/>
                <w:spacing w:val="-9"/>
              </w:rPr>
              <w:t>自然环境调查</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0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154</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06">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10"/>
              </w:rPr>
              <w:t>地理位置</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0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154</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08">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7"/>
              </w:rPr>
              <w:t>气候、气象</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0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154</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10">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6"/>
              </w:rPr>
              <w:t>1.3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6"/>
              </w:rPr>
              <w:t>地形、地貌</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0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155</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12">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1.4</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7"/>
              </w:rPr>
              <w:t>河流水系</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1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155</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14">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9"/>
              </w:rPr>
              <w:t>1.5   </w:t>
            </w:r>
            <w:r>
              <w:rPr>
                <w:rFonts w:ascii="FangSong" w:hAnsi="FangSong" w:eastAsia="FangSong" w:cs="FangSong"/>
                <w:sz w:val="24"/>
                <w:szCs w:val="24"/>
                <w:spacing w:val="-9"/>
              </w:rPr>
              <w:t>自然资源</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1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155</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16">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3"/>
              </w:rPr>
              <w:t>1.6  </w:t>
            </w:r>
            <w:r>
              <w:rPr>
                <w:rFonts w:ascii="FangSong" w:hAnsi="FangSong" w:eastAsia="FangSong" w:cs="FangSong"/>
                <w:sz w:val="24"/>
                <w:szCs w:val="24"/>
                <w:spacing w:val="-3"/>
              </w:rPr>
              <w:t>地震及地质灾害</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1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156</w:t>
            </w:r>
          </w:hyperlink>
        </w:p>
        <w:p>
          <w:pPr>
            <w:ind w:left="985"/>
            <w:spacing w:before="222" w:line="189" w:lineRule="auto"/>
            <w:tabs>
              <w:tab w:val="right" w:leader="dot" w:pos="8320"/>
            </w:tabs>
            <w:rPr>
              <w:rFonts w:ascii="Times New Roman" w:hAnsi="Times New Roman" w:eastAsia="Times New Roman" w:cs="Times New Roman"/>
              <w:sz w:val="24"/>
              <w:szCs w:val="24"/>
            </w:rPr>
          </w:pPr>
          <w:hyperlink w:history="true" w:anchor="bookmark218">
            <w:r>
              <w:rPr>
                <w:rFonts w:ascii="Times New Roman" w:hAnsi="Times New Roman" w:eastAsia="Times New Roman" w:cs="Times New Roman"/>
                <w:sz w:val="24"/>
                <w:szCs w:val="24"/>
                <w:spacing w:val="-1"/>
              </w:rPr>
              <w:t>5.2  </w:t>
            </w:r>
            <w:r>
              <w:rPr>
                <w:rFonts w:ascii="FangSong" w:hAnsi="FangSong" w:eastAsia="FangSong" w:cs="FangSong"/>
                <w:sz w:val="24"/>
                <w:szCs w:val="24"/>
                <w:spacing w:val="-1"/>
              </w:rPr>
              <w:t>社会环境经济概况</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1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156</w:t>
            </w:r>
          </w:hyperlink>
        </w:p>
        <w:p>
          <w:pPr>
            <w:ind w:left="985"/>
            <w:spacing w:before="223" w:line="189" w:lineRule="auto"/>
            <w:tabs>
              <w:tab w:val="right" w:leader="dot" w:pos="8320"/>
            </w:tabs>
            <w:rPr>
              <w:rFonts w:ascii="Times New Roman" w:hAnsi="Times New Roman" w:eastAsia="Times New Roman" w:cs="Times New Roman"/>
              <w:sz w:val="24"/>
              <w:szCs w:val="24"/>
            </w:rPr>
          </w:pPr>
          <w:hyperlink w:history="true" w:anchor="bookmark220">
            <w:r>
              <w:rPr>
                <w:rFonts w:ascii="Times New Roman" w:hAnsi="Times New Roman" w:eastAsia="Times New Roman" w:cs="Times New Roman"/>
                <w:sz w:val="24"/>
                <w:szCs w:val="24"/>
                <w:spacing w:val="-5"/>
              </w:rPr>
              <w:t>5.3</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5"/>
              </w:rPr>
              <w:t>地质构造</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1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157</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22">
            <w:r>
              <w:rPr>
                <w:rFonts w:ascii="Times New Roman" w:hAnsi="Times New Roman" w:eastAsia="Times New Roman" w:cs="Times New Roman"/>
                <w:sz w:val="24"/>
                <w:szCs w:val="24"/>
                <w:spacing w:val="-9"/>
              </w:rPr>
              <w:t>5.3.</w:t>
            </w:r>
            <w:r>
              <w:rPr>
                <w:rFonts w:ascii="Times New Roman" w:hAnsi="Times New Roman" w:eastAsia="Times New Roman" w:cs="Times New Roman"/>
                <w:sz w:val="24"/>
                <w:szCs w:val="24"/>
                <w:spacing w:val="-27"/>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9"/>
              </w:rPr>
              <w:t>地层</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2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159</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24">
            <w:r>
              <w:rPr>
                <w:rFonts w:ascii="Times New Roman" w:hAnsi="Times New Roman" w:eastAsia="Times New Roman" w:cs="Times New Roman"/>
                <w:sz w:val="24"/>
                <w:szCs w:val="24"/>
                <w:spacing w:val="-4"/>
              </w:rPr>
              <w:t>5.3.2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4"/>
              </w:rPr>
              <w:t>构造</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2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161</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26">
            <w:r>
              <w:rPr>
                <w:rFonts w:ascii="Times New Roman" w:hAnsi="Times New Roman" w:eastAsia="Times New Roman" w:cs="Times New Roman"/>
                <w:sz w:val="24"/>
                <w:szCs w:val="24"/>
                <w:spacing w:val="-1"/>
              </w:rPr>
              <w:t>5.3.3  </w:t>
            </w:r>
            <w:r>
              <w:rPr>
                <w:rFonts w:ascii="FangSong" w:hAnsi="FangSong" w:eastAsia="FangSong" w:cs="FangSong"/>
                <w:sz w:val="24"/>
                <w:szCs w:val="24"/>
                <w:spacing w:val="-1"/>
              </w:rPr>
              <w:t>本项目所在区域地层</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22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164</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28">
            <w:r>
              <w:rPr>
                <w:rFonts w:ascii="Times New Roman" w:hAnsi="Times New Roman" w:eastAsia="Times New Roman" w:cs="Times New Roman"/>
                <w:sz w:val="24"/>
                <w:szCs w:val="24"/>
                <w:spacing w:val="-1"/>
              </w:rPr>
              <w:t>5.3.4  </w:t>
            </w:r>
            <w:r>
              <w:rPr>
                <w:rFonts w:ascii="FangSong" w:hAnsi="FangSong" w:eastAsia="FangSong" w:cs="FangSong"/>
                <w:sz w:val="24"/>
                <w:szCs w:val="24"/>
                <w:spacing w:val="-1"/>
              </w:rPr>
              <w:t>本项目所在区域构造</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22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165</w:t>
            </w:r>
          </w:hyperlink>
        </w:p>
        <w:p>
          <w:pPr>
            <w:ind w:left="1465"/>
            <w:spacing w:before="223" w:line="219" w:lineRule="auto"/>
            <w:tabs>
              <w:tab w:val="right" w:leader="dot" w:pos="8320"/>
            </w:tabs>
            <w:rPr>
              <w:rFonts w:ascii="Times New Roman" w:hAnsi="Times New Roman" w:eastAsia="Times New Roman" w:cs="Times New Roman"/>
              <w:sz w:val="24"/>
              <w:szCs w:val="24"/>
            </w:rPr>
          </w:pPr>
          <w:hyperlink w:history="true" w:anchor="bookmark230">
            <w:r>
              <w:rPr>
                <w:rFonts w:ascii="Times New Roman" w:hAnsi="Times New Roman" w:eastAsia="Times New Roman" w:cs="Times New Roman"/>
                <w:sz w:val="24"/>
                <w:szCs w:val="24"/>
                <w:spacing w:val="-1"/>
              </w:rPr>
              <w:t>5.3.5  </w:t>
            </w:r>
            <w:r>
              <w:rPr>
                <w:rFonts w:ascii="FangSong" w:hAnsi="FangSong" w:eastAsia="FangSong" w:cs="FangSong"/>
                <w:sz w:val="24"/>
                <w:szCs w:val="24"/>
                <w:spacing w:val="-1"/>
              </w:rPr>
              <w:t>本项目所在区域岩浆岩</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22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167</w:t>
            </w:r>
          </w:hyperlink>
        </w:p>
      </w:sdtContent>
    </w:sdt>
    <w:p>
      <w:pPr>
        <w:spacing w:line="219" w:lineRule="auto"/>
        <w:sectPr>
          <w:footerReference w:type="default" r:id="rId5"/>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985"/>
            <w:spacing w:before="78" w:line="189" w:lineRule="auto"/>
            <w:tabs>
              <w:tab w:val="right" w:leader="dot" w:pos="8320"/>
            </w:tabs>
            <w:rPr>
              <w:rFonts w:ascii="Times New Roman" w:hAnsi="Times New Roman" w:eastAsia="Times New Roman" w:cs="Times New Roman"/>
              <w:sz w:val="24"/>
              <w:szCs w:val="24"/>
            </w:rPr>
          </w:pPr>
          <w:hyperlink w:history="true" w:anchor="bookmark232">
            <w:r>
              <w:rPr>
                <w:rFonts w:ascii="Times New Roman" w:hAnsi="Times New Roman" w:eastAsia="Times New Roman" w:cs="Times New Roman"/>
                <w:sz w:val="24"/>
                <w:szCs w:val="24"/>
                <w:spacing w:val="-1"/>
              </w:rPr>
              <w:t>5.4  </w:t>
            </w:r>
            <w:r>
              <w:rPr>
                <w:rFonts w:ascii="FangSong" w:hAnsi="FangSong" w:eastAsia="FangSong" w:cs="FangSong"/>
                <w:sz w:val="24"/>
                <w:szCs w:val="24"/>
                <w:spacing w:val="-1"/>
              </w:rPr>
              <w:t>矿床开采技术条件</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3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169</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34">
            <w:r>
              <w:rPr>
                <w:rFonts w:ascii="Times New Roman" w:hAnsi="Times New Roman" w:eastAsia="Times New Roman" w:cs="Times New Roman"/>
                <w:sz w:val="24"/>
                <w:szCs w:val="24"/>
                <w:spacing w:val="-7"/>
              </w:rPr>
              <w:t>5.4.</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水文地质</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3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169</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36">
            <w:r>
              <w:rPr>
                <w:rFonts w:ascii="Times New Roman" w:hAnsi="Times New Roman" w:eastAsia="Times New Roman" w:cs="Times New Roman"/>
                <w:sz w:val="24"/>
                <w:szCs w:val="24"/>
                <w:spacing w:val="-4"/>
              </w:rPr>
              <w:t>5.4.2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工程地质</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3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175</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38">
            <w:r>
              <w:rPr>
                <w:rFonts w:ascii="Times New Roman" w:hAnsi="Times New Roman" w:eastAsia="Times New Roman" w:cs="Times New Roman"/>
                <w:sz w:val="24"/>
                <w:szCs w:val="24"/>
                <w:spacing w:val="-4"/>
              </w:rPr>
              <w:t>5.4.3</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环境地质</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23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176</w:t>
            </w:r>
          </w:hyperlink>
        </w:p>
        <w:p>
          <w:pPr>
            <w:ind w:left="985"/>
            <w:spacing w:before="222" w:line="189" w:lineRule="auto"/>
            <w:tabs>
              <w:tab w:val="right" w:leader="dot" w:pos="8320"/>
            </w:tabs>
            <w:rPr>
              <w:rFonts w:ascii="Times New Roman" w:hAnsi="Times New Roman" w:eastAsia="Times New Roman" w:cs="Times New Roman"/>
              <w:sz w:val="24"/>
              <w:szCs w:val="24"/>
            </w:rPr>
          </w:pPr>
          <w:hyperlink w:history="true" w:anchor="bookmark240">
            <w:r>
              <w:rPr>
                <w:rFonts w:ascii="Times New Roman" w:hAnsi="Times New Roman" w:eastAsia="Times New Roman" w:cs="Times New Roman"/>
                <w:sz w:val="24"/>
                <w:szCs w:val="24"/>
                <w:spacing w:val="-1"/>
              </w:rPr>
              <w:t>5.5  </w:t>
            </w:r>
            <w:r>
              <w:rPr>
                <w:rFonts w:ascii="FangSong" w:hAnsi="FangSong" w:eastAsia="FangSong" w:cs="FangSong"/>
                <w:sz w:val="24"/>
                <w:szCs w:val="24"/>
                <w:spacing w:val="-1"/>
              </w:rPr>
              <w:t>环境质量现状调查与评价</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23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177</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42">
            <w:r>
              <w:rPr>
                <w:rFonts w:ascii="Times New Roman" w:hAnsi="Times New Roman" w:eastAsia="Times New Roman" w:cs="Times New Roman"/>
                <w:sz w:val="24"/>
                <w:szCs w:val="24"/>
                <w:spacing w:val="-1"/>
              </w:rPr>
              <w:t>5.5.1  </w:t>
            </w:r>
            <w:r>
              <w:rPr>
                <w:rFonts w:ascii="FangSong" w:hAnsi="FangSong" w:eastAsia="FangSong" w:cs="FangSong"/>
                <w:sz w:val="24"/>
                <w:szCs w:val="24"/>
                <w:spacing w:val="-1"/>
              </w:rPr>
              <w:t>环境空气质量现状调查与评价</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24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177</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44">
            <w:r>
              <w:rPr>
                <w:rFonts w:ascii="Times New Roman" w:hAnsi="Times New Roman" w:eastAsia="Times New Roman" w:cs="Times New Roman"/>
                <w:sz w:val="24"/>
                <w:szCs w:val="24"/>
                <w:spacing w:val="-1"/>
              </w:rPr>
              <w:t>5.5.2  </w:t>
            </w:r>
            <w:r>
              <w:rPr>
                <w:rFonts w:ascii="FangSong" w:hAnsi="FangSong" w:eastAsia="FangSong" w:cs="FangSong"/>
                <w:sz w:val="24"/>
                <w:szCs w:val="24"/>
                <w:spacing w:val="-1"/>
              </w:rPr>
              <w:t>声环境质量现状调查与评价</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24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182</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46">
            <w:r>
              <w:rPr>
                <w:rFonts w:ascii="Times New Roman" w:hAnsi="Times New Roman" w:eastAsia="Times New Roman" w:cs="Times New Roman"/>
                <w:sz w:val="24"/>
                <w:szCs w:val="24"/>
                <w:spacing w:val="-1"/>
              </w:rPr>
              <w:t>5.5.3  </w:t>
            </w:r>
            <w:r>
              <w:rPr>
                <w:rFonts w:ascii="FangSong" w:hAnsi="FangSong" w:eastAsia="FangSong" w:cs="FangSong"/>
                <w:sz w:val="24"/>
                <w:szCs w:val="24"/>
                <w:spacing w:val="-1"/>
              </w:rPr>
              <w:t>地下水环境质量现状调查与评价</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24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183</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48">
            <w:r>
              <w:rPr>
                <w:rFonts w:ascii="Times New Roman" w:hAnsi="Times New Roman" w:eastAsia="Times New Roman" w:cs="Times New Roman"/>
                <w:sz w:val="24"/>
                <w:szCs w:val="24"/>
                <w:spacing w:val="-1"/>
              </w:rPr>
              <w:t>5.5.5  </w:t>
            </w:r>
            <w:r>
              <w:rPr>
                <w:rFonts w:ascii="FangSong" w:hAnsi="FangSong" w:eastAsia="FangSong" w:cs="FangSong"/>
                <w:sz w:val="24"/>
                <w:szCs w:val="24"/>
                <w:spacing w:val="-1"/>
              </w:rPr>
              <w:t>土壤环境质量现状调查与评价</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24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188</w:t>
            </w:r>
          </w:hyperlink>
        </w:p>
        <w:p>
          <w:pPr>
            <w:ind w:left="985"/>
            <w:spacing w:before="222" w:line="189" w:lineRule="auto"/>
            <w:tabs>
              <w:tab w:val="right" w:leader="dot" w:pos="8320"/>
            </w:tabs>
            <w:rPr>
              <w:rFonts w:ascii="Times New Roman" w:hAnsi="Times New Roman" w:eastAsia="Times New Roman" w:cs="Times New Roman"/>
              <w:sz w:val="24"/>
              <w:szCs w:val="24"/>
            </w:rPr>
          </w:pPr>
          <w:hyperlink w:history="true" w:anchor="bookmark250">
            <w:r>
              <w:rPr>
                <w:rFonts w:ascii="Times New Roman" w:hAnsi="Times New Roman" w:eastAsia="Times New Roman" w:cs="Times New Roman"/>
                <w:sz w:val="24"/>
                <w:szCs w:val="24"/>
                <w:spacing w:val="-3"/>
              </w:rPr>
              <w:t>5.6</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生态环境现状调查与评价</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24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191</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52">
            <w:r>
              <w:rPr>
                <w:rFonts w:ascii="Times New Roman" w:hAnsi="Times New Roman" w:eastAsia="Times New Roman" w:cs="Times New Roman"/>
                <w:sz w:val="24"/>
                <w:szCs w:val="24"/>
                <w:spacing w:val="-3"/>
              </w:rPr>
              <w:t>5.6.</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调查内容及范围</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51">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191</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54">
            <w:r>
              <w:rPr>
                <w:rFonts w:ascii="Times New Roman" w:hAnsi="Times New Roman" w:eastAsia="Times New Roman" w:cs="Times New Roman"/>
                <w:sz w:val="24"/>
                <w:szCs w:val="24"/>
                <w:spacing w:val="-1"/>
              </w:rPr>
              <w:t>5.6.2  </w:t>
            </w:r>
            <w:r>
              <w:rPr>
                <w:rFonts w:ascii="FangSong" w:hAnsi="FangSong" w:eastAsia="FangSong" w:cs="FangSong"/>
                <w:sz w:val="24"/>
                <w:szCs w:val="24"/>
                <w:spacing w:val="-1"/>
              </w:rPr>
              <w:t>现状调查与评价方法</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253">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191</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56">
            <w:r>
              <w:rPr>
                <w:rFonts w:ascii="Times New Roman" w:hAnsi="Times New Roman" w:eastAsia="Times New Roman" w:cs="Times New Roman"/>
                <w:sz w:val="24"/>
                <w:szCs w:val="24"/>
                <w:spacing w:val="-1"/>
              </w:rPr>
              <w:t>5.6.3  </w:t>
            </w:r>
            <w:r>
              <w:rPr>
                <w:rFonts w:ascii="FangSong" w:hAnsi="FangSong" w:eastAsia="FangSong" w:cs="FangSong"/>
                <w:sz w:val="24"/>
                <w:szCs w:val="24"/>
                <w:spacing w:val="-1"/>
              </w:rPr>
              <w:t>基础信息获取过程</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255">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192</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58">
            <w:r>
              <w:rPr>
                <w:rFonts w:ascii="Times New Roman" w:hAnsi="Times New Roman" w:eastAsia="Times New Roman" w:cs="Times New Roman"/>
                <w:sz w:val="24"/>
                <w:szCs w:val="24"/>
                <w:spacing w:val="-4"/>
              </w:rPr>
              <w:t>5.6.4</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4"/>
              </w:rPr>
              <w:t>生态功能区划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57">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193</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60">
            <w:r>
              <w:rPr>
                <w:rFonts w:ascii="Times New Roman" w:hAnsi="Times New Roman" w:eastAsia="Times New Roman" w:cs="Times New Roman"/>
                <w:sz w:val="24"/>
                <w:szCs w:val="24"/>
                <w:spacing w:val="-4"/>
              </w:rPr>
              <w:t>5.6.5</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4"/>
              </w:rPr>
              <w:t>陆生植物生态现状调查</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59">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0"/>
              </w:rPr>
              <w:t>194</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62">
            <w:r>
              <w:rPr>
                <w:rFonts w:ascii="Times New Roman" w:hAnsi="Times New Roman" w:eastAsia="Times New Roman" w:cs="Times New Roman"/>
                <w:sz w:val="24"/>
                <w:szCs w:val="24"/>
                <w:spacing w:val="-4"/>
              </w:rPr>
              <w:t>5.6.6</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4"/>
              </w:rPr>
              <w:t>陆生动物生态现状调查</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6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200</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64">
            <w:r>
              <w:rPr>
                <w:rFonts w:ascii="Times New Roman" w:hAnsi="Times New Roman" w:eastAsia="Times New Roman" w:cs="Times New Roman"/>
                <w:sz w:val="24"/>
                <w:szCs w:val="24"/>
                <w:spacing w:val="-1"/>
              </w:rPr>
              <w:t>5.6.7  </w:t>
            </w:r>
            <w:r>
              <w:rPr>
                <w:rFonts w:ascii="FangSong" w:hAnsi="FangSong" w:eastAsia="FangSong" w:cs="FangSong"/>
                <w:sz w:val="24"/>
                <w:szCs w:val="24"/>
                <w:spacing w:val="-1"/>
              </w:rPr>
              <w:t>土地利用现状调查</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26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202</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66">
            <w:r>
              <w:rPr>
                <w:rFonts w:ascii="Times New Roman" w:hAnsi="Times New Roman" w:eastAsia="Times New Roman" w:cs="Times New Roman"/>
                <w:sz w:val="24"/>
                <w:szCs w:val="24"/>
                <w:spacing w:val="-1"/>
              </w:rPr>
              <w:t>5.6.8  </w:t>
            </w:r>
            <w:r>
              <w:rPr>
                <w:rFonts w:ascii="FangSong" w:hAnsi="FangSong" w:eastAsia="FangSong" w:cs="FangSong"/>
                <w:sz w:val="24"/>
                <w:szCs w:val="24"/>
                <w:spacing w:val="-1"/>
              </w:rPr>
              <w:t>濒危物种生态现状调查</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26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203</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68">
            <w:r>
              <w:rPr>
                <w:rFonts w:ascii="Times New Roman" w:hAnsi="Times New Roman" w:eastAsia="Times New Roman" w:cs="Times New Roman"/>
                <w:sz w:val="24"/>
                <w:szCs w:val="24"/>
                <w:spacing w:val="-1"/>
              </w:rPr>
              <w:t>5.6.9  </w:t>
            </w:r>
            <w:r>
              <w:rPr>
                <w:rFonts w:ascii="FangSong" w:hAnsi="FangSong" w:eastAsia="FangSong" w:cs="FangSong"/>
                <w:sz w:val="24"/>
                <w:szCs w:val="24"/>
                <w:spacing w:val="-1"/>
              </w:rPr>
              <w:t>主要生态环境问题调查</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26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203</w:t>
            </w:r>
          </w:hyperlink>
        </w:p>
        <w:p>
          <w:pPr>
            <w:ind w:left="1465"/>
            <w:spacing w:before="222" w:line="189" w:lineRule="auto"/>
            <w:tabs>
              <w:tab w:val="right" w:leader="dot" w:pos="8320"/>
            </w:tabs>
            <w:rPr>
              <w:rFonts w:ascii="Times New Roman" w:hAnsi="Times New Roman" w:eastAsia="Times New Roman" w:cs="Times New Roman"/>
              <w:sz w:val="24"/>
              <w:szCs w:val="24"/>
            </w:rPr>
          </w:pPr>
          <w:hyperlink w:history="true" w:anchor="bookmark270">
            <w:r>
              <w:rPr>
                <w:rFonts w:ascii="Times New Roman" w:hAnsi="Times New Roman" w:eastAsia="Times New Roman" w:cs="Times New Roman"/>
                <w:sz w:val="24"/>
                <w:szCs w:val="24"/>
                <w:spacing w:val="-1"/>
              </w:rPr>
              <w:t>5.6.10  </w:t>
            </w:r>
            <w:r>
              <w:rPr>
                <w:rFonts w:ascii="FangSong" w:hAnsi="FangSong" w:eastAsia="FangSong" w:cs="FangSong"/>
                <w:sz w:val="24"/>
                <w:szCs w:val="24"/>
                <w:spacing w:val="-1"/>
              </w:rPr>
              <w:t>植被净初级生产力评价</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26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204</w:t>
            </w:r>
          </w:hyperlink>
        </w:p>
        <w:p>
          <w:pPr>
            <w:ind w:left="1465"/>
            <w:spacing w:before="223" w:line="189" w:lineRule="auto"/>
            <w:tabs>
              <w:tab w:val="right" w:leader="dot" w:pos="8320"/>
            </w:tabs>
            <w:rPr>
              <w:rFonts w:ascii="Times New Roman" w:hAnsi="Times New Roman" w:eastAsia="Times New Roman" w:cs="Times New Roman"/>
              <w:sz w:val="24"/>
              <w:szCs w:val="24"/>
            </w:rPr>
          </w:pPr>
          <w:hyperlink w:history="true" w:anchor="bookmark272">
            <w:r>
              <w:rPr>
                <w:rFonts w:ascii="Times New Roman" w:hAnsi="Times New Roman" w:eastAsia="Times New Roman" w:cs="Times New Roman"/>
                <w:sz w:val="24"/>
                <w:szCs w:val="24"/>
                <w:spacing w:val="-6"/>
              </w:rPr>
              <w:t>5.6.</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6"/>
              </w:rPr>
              <w:t>生物多样性评价</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271">
            <w:r>
              <w:rPr>
                <w:rFonts w:ascii="Times New Roman" w:hAnsi="Times New Roman" w:eastAsia="Times New Roman" w:cs="Times New Roman"/>
                <w:sz w:val="24"/>
                <w:szCs w:val="24"/>
                <w:spacing w:val="1"/>
              </w:rPr>
              <w:t>204</w:t>
            </w:r>
          </w:hyperlink>
        </w:p>
        <w:p>
          <w:pPr>
            <w:ind w:left="504"/>
            <w:spacing w:before="222" w:line="189" w:lineRule="auto"/>
            <w:tabs>
              <w:tab w:val="right" w:leader="dot" w:pos="8320"/>
            </w:tabs>
            <w:rPr>
              <w:rFonts w:ascii="Times New Roman" w:hAnsi="Times New Roman" w:eastAsia="Times New Roman" w:cs="Times New Roman"/>
              <w:sz w:val="24"/>
              <w:szCs w:val="24"/>
            </w:rPr>
          </w:pPr>
          <w:hyperlink w:history="true" w:anchor="bookmark274">
            <w:r>
              <w:rPr>
                <w:rFonts w:ascii="Times New Roman" w:hAnsi="Times New Roman" w:eastAsia="Times New Roman" w:cs="Times New Roman"/>
                <w:sz w:val="24"/>
                <w:szCs w:val="24"/>
                <w:spacing w:val="-1"/>
              </w:rPr>
              <w:t>6  </w:t>
            </w:r>
            <w:r>
              <w:rPr>
                <w:rFonts w:ascii="FangSong" w:hAnsi="FangSong" w:eastAsia="FangSong" w:cs="FangSong"/>
                <w:sz w:val="24"/>
                <w:szCs w:val="24"/>
                <w:spacing w:val="-1"/>
              </w:rPr>
              <w:t>环境影响预测与评价</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7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207</w:t>
            </w:r>
          </w:hyperlink>
        </w:p>
        <w:p>
          <w:pPr>
            <w:ind w:left="984"/>
            <w:spacing w:before="222" w:line="189" w:lineRule="auto"/>
            <w:tabs>
              <w:tab w:val="right" w:leader="dot" w:pos="8320"/>
            </w:tabs>
            <w:rPr>
              <w:rFonts w:ascii="Times New Roman" w:hAnsi="Times New Roman" w:eastAsia="Times New Roman" w:cs="Times New Roman"/>
              <w:sz w:val="24"/>
              <w:szCs w:val="24"/>
            </w:rPr>
          </w:pPr>
          <w:hyperlink w:history="true" w:anchor="bookmark276">
            <w:r>
              <w:rPr>
                <w:rFonts w:ascii="Times New Roman" w:hAnsi="Times New Roman" w:eastAsia="Times New Roman" w:cs="Times New Roman"/>
                <w:sz w:val="24"/>
                <w:szCs w:val="24"/>
                <w:spacing w:val="-1"/>
              </w:rPr>
              <w:t>6.1  </w:t>
            </w:r>
            <w:r>
              <w:rPr>
                <w:rFonts w:ascii="FangSong" w:hAnsi="FangSong" w:eastAsia="FangSong" w:cs="FangSong"/>
                <w:sz w:val="24"/>
                <w:szCs w:val="24"/>
                <w:spacing w:val="-1"/>
              </w:rPr>
              <w:t>施工期环境影响预测与评价</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27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207</w:t>
            </w:r>
          </w:hyperlink>
        </w:p>
        <w:p>
          <w:pPr>
            <w:ind w:left="1464"/>
            <w:spacing w:before="223" w:line="189" w:lineRule="auto"/>
            <w:tabs>
              <w:tab w:val="right" w:leader="dot" w:pos="8320"/>
            </w:tabs>
            <w:rPr>
              <w:rFonts w:ascii="Times New Roman" w:hAnsi="Times New Roman" w:eastAsia="Times New Roman" w:cs="Times New Roman"/>
              <w:sz w:val="24"/>
              <w:szCs w:val="24"/>
            </w:rPr>
          </w:pPr>
          <w:hyperlink w:history="true" w:anchor="bookmark278">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施工期主要环境问题</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7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207</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80">
            <w:r>
              <w:rPr>
                <w:rFonts w:ascii="Times New Roman" w:hAnsi="Times New Roman" w:eastAsia="Times New Roman" w:cs="Times New Roman"/>
                <w:sz w:val="24"/>
                <w:szCs w:val="24"/>
                <w:spacing w:val="-1"/>
              </w:rPr>
              <w:t>6.1.2  </w:t>
            </w:r>
            <w:r>
              <w:rPr>
                <w:rFonts w:ascii="FangSong" w:hAnsi="FangSong" w:eastAsia="FangSong" w:cs="FangSong"/>
                <w:sz w:val="24"/>
                <w:szCs w:val="24"/>
                <w:spacing w:val="-1"/>
              </w:rPr>
              <w:t>施工期水环境影响分析</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27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207</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82">
            <w:r>
              <w:rPr>
                <w:rFonts w:ascii="Times New Roman" w:hAnsi="Times New Roman" w:eastAsia="Times New Roman" w:cs="Times New Roman"/>
                <w:sz w:val="24"/>
                <w:szCs w:val="24"/>
                <w:spacing w:val="-1"/>
              </w:rPr>
              <w:t>6.1.3  </w:t>
            </w:r>
            <w:r>
              <w:rPr>
                <w:rFonts w:ascii="FangSong" w:hAnsi="FangSong" w:eastAsia="FangSong" w:cs="FangSong"/>
                <w:sz w:val="24"/>
                <w:szCs w:val="24"/>
                <w:spacing w:val="-1"/>
              </w:rPr>
              <w:t>施工期环境空气影响分析</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28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208</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84">
            <w:r>
              <w:rPr>
                <w:rFonts w:ascii="Times New Roman" w:hAnsi="Times New Roman" w:eastAsia="Times New Roman" w:cs="Times New Roman"/>
                <w:sz w:val="24"/>
                <w:szCs w:val="24"/>
                <w:spacing w:val="-1"/>
              </w:rPr>
              <w:t>6.1.4  </w:t>
            </w:r>
            <w:r>
              <w:rPr>
                <w:rFonts w:ascii="FangSong" w:hAnsi="FangSong" w:eastAsia="FangSong" w:cs="FangSong"/>
                <w:sz w:val="24"/>
                <w:szCs w:val="24"/>
                <w:spacing w:val="-1"/>
              </w:rPr>
              <w:t>施工期声环境影响分析</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28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210</w:t>
            </w:r>
          </w:hyperlink>
        </w:p>
        <w:p>
          <w:pPr>
            <w:ind w:left="1464"/>
            <w:spacing w:before="223" w:line="189" w:lineRule="auto"/>
            <w:tabs>
              <w:tab w:val="right" w:leader="dot" w:pos="8322"/>
            </w:tabs>
            <w:rPr>
              <w:rFonts w:ascii="Times New Roman" w:hAnsi="Times New Roman" w:eastAsia="Times New Roman" w:cs="Times New Roman"/>
              <w:sz w:val="24"/>
              <w:szCs w:val="24"/>
            </w:rPr>
          </w:pPr>
          <w:hyperlink w:history="true" w:anchor="bookmark286">
            <w:r>
              <w:rPr>
                <w:rFonts w:ascii="Times New Roman" w:hAnsi="Times New Roman" w:eastAsia="Times New Roman" w:cs="Times New Roman"/>
                <w:sz w:val="24"/>
                <w:szCs w:val="24"/>
                <w:spacing w:val="-1"/>
              </w:rPr>
              <w:t>6.1.5  </w:t>
            </w:r>
            <w:r>
              <w:rPr>
                <w:rFonts w:ascii="FangSong" w:hAnsi="FangSong" w:eastAsia="FangSong" w:cs="FangSong"/>
                <w:sz w:val="24"/>
                <w:szCs w:val="24"/>
                <w:spacing w:val="-1"/>
              </w:rPr>
              <w:t>施工期固体废物影响分析</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285">
            <w:r>
              <w:rPr>
                <w:rFonts w:ascii="Times New Roman" w:hAnsi="Times New Roman" w:eastAsia="Times New Roman" w:cs="Times New Roman"/>
                <w:sz w:val="24"/>
                <w:szCs w:val="24"/>
                <w:spacing w:val="2"/>
              </w:rPr>
              <w:t>211</w:t>
            </w:r>
          </w:hyperlink>
        </w:p>
        <w:p>
          <w:pPr>
            <w:ind w:left="1464"/>
            <w:spacing w:before="223" w:line="222" w:lineRule="auto"/>
            <w:tabs>
              <w:tab w:val="right" w:leader="dot" w:pos="8320"/>
            </w:tabs>
            <w:rPr>
              <w:rFonts w:ascii="Times New Roman" w:hAnsi="Times New Roman" w:eastAsia="Times New Roman" w:cs="Times New Roman"/>
              <w:sz w:val="24"/>
              <w:szCs w:val="24"/>
            </w:rPr>
          </w:pPr>
          <w:hyperlink w:history="true" w:anchor="bookmark288">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3"/>
              </w:rPr>
              <w:t>1.6  </w:t>
            </w:r>
            <w:r>
              <w:rPr>
                <w:rFonts w:ascii="FangSong" w:hAnsi="FangSong" w:eastAsia="FangSong" w:cs="FangSong"/>
                <w:sz w:val="24"/>
                <w:szCs w:val="24"/>
                <w:spacing w:val="-3"/>
              </w:rPr>
              <w:t>施工期生态环境影响</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8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212</w:t>
            </w:r>
          </w:hyperlink>
        </w:p>
      </w:sdtContent>
    </w:sdt>
    <w:p>
      <w:pPr>
        <w:spacing w:line="222" w:lineRule="auto"/>
        <w:sectPr>
          <w:footerReference w:type="default" r:id="rId6"/>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984"/>
            <w:spacing w:before="78" w:line="189" w:lineRule="auto"/>
            <w:tabs>
              <w:tab w:val="right" w:leader="dot" w:pos="8320"/>
            </w:tabs>
            <w:rPr>
              <w:rFonts w:ascii="Times New Roman" w:hAnsi="Times New Roman" w:eastAsia="Times New Roman" w:cs="Times New Roman"/>
              <w:sz w:val="24"/>
              <w:szCs w:val="24"/>
            </w:rPr>
          </w:pPr>
          <w:hyperlink w:history="true" w:anchor="bookmark290">
            <w:r>
              <w:rPr>
                <w:rFonts w:ascii="Times New Roman" w:hAnsi="Times New Roman" w:eastAsia="Times New Roman" w:cs="Times New Roman"/>
                <w:sz w:val="24"/>
                <w:szCs w:val="24"/>
                <w:spacing w:val="-1"/>
              </w:rPr>
              <w:t>6.2  </w:t>
            </w:r>
            <w:r>
              <w:rPr>
                <w:rFonts w:ascii="FangSong" w:hAnsi="FangSong" w:eastAsia="FangSong" w:cs="FangSong"/>
                <w:sz w:val="24"/>
                <w:szCs w:val="24"/>
                <w:spacing w:val="-1"/>
              </w:rPr>
              <w:t>运营期环境影响评价</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28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215</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92">
            <w:r>
              <w:rPr>
                <w:rFonts w:ascii="Times New Roman" w:hAnsi="Times New Roman" w:eastAsia="Times New Roman" w:cs="Times New Roman"/>
                <w:sz w:val="24"/>
                <w:szCs w:val="24"/>
                <w:spacing w:val="-1"/>
              </w:rPr>
              <w:t>6.2.1  </w:t>
            </w:r>
            <w:r>
              <w:rPr>
                <w:rFonts w:ascii="FangSong" w:hAnsi="FangSong" w:eastAsia="FangSong" w:cs="FangSong"/>
                <w:sz w:val="24"/>
                <w:szCs w:val="24"/>
                <w:spacing w:val="-1"/>
              </w:rPr>
              <w:t>地表水环境影响分析与评价</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29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215</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94">
            <w:r>
              <w:rPr>
                <w:rFonts w:ascii="Times New Roman" w:hAnsi="Times New Roman" w:eastAsia="Times New Roman" w:cs="Times New Roman"/>
                <w:sz w:val="24"/>
                <w:szCs w:val="24"/>
                <w:spacing w:val="-1"/>
              </w:rPr>
              <w:t>6.2.2  </w:t>
            </w:r>
            <w:r>
              <w:rPr>
                <w:rFonts w:ascii="FangSong" w:hAnsi="FangSong" w:eastAsia="FangSong" w:cs="FangSong"/>
                <w:sz w:val="24"/>
                <w:szCs w:val="24"/>
                <w:spacing w:val="-1"/>
              </w:rPr>
              <w:t>环境空气影响分析</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29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216</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96">
            <w:r>
              <w:rPr>
                <w:rFonts w:ascii="Times New Roman" w:hAnsi="Times New Roman" w:eastAsia="Times New Roman" w:cs="Times New Roman"/>
                <w:sz w:val="24"/>
                <w:szCs w:val="24"/>
                <w:spacing w:val="-1"/>
              </w:rPr>
              <w:t>6.2.3  </w:t>
            </w:r>
            <w:r>
              <w:rPr>
                <w:rFonts w:ascii="FangSong" w:hAnsi="FangSong" w:eastAsia="FangSong" w:cs="FangSong"/>
                <w:sz w:val="24"/>
                <w:szCs w:val="24"/>
                <w:spacing w:val="-1"/>
              </w:rPr>
              <w:t>声环境及爆破震动影响分析与评价</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29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220</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298">
            <w:r>
              <w:rPr>
                <w:rFonts w:ascii="Times New Roman" w:hAnsi="Times New Roman" w:eastAsia="Times New Roman" w:cs="Times New Roman"/>
                <w:sz w:val="24"/>
                <w:szCs w:val="24"/>
                <w:spacing w:val="-3"/>
              </w:rPr>
              <w:t>6.2.4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固体废物环境影响分析与评价</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29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226</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300">
            <w:r>
              <w:rPr>
                <w:rFonts w:ascii="Times New Roman" w:hAnsi="Times New Roman" w:eastAsia="Times New Roman" w:cs="Times New Roman"/>
                <w:sz w:val="24"/>
                <w:szCs w:val="24"/>
                <w:spacing w:val="-1"/>
              </w:rPr>
              <w:t>6.2.5  </w:t>
            </w:r>
            <w:r>
              <w:rPr>
                <w:rFonts w:ascii="FangSong" w:hAnsi="FangSong" w:eastAsia="FangSong" w:cs="FangSong"/>
                <w:sz w:val="24"/>
                <w:szCs w:val="24"/>
                <w:spacing w:val="-1"/>
              </w:rPr>
              <w:t>地下水环境影响分析与评价</w:t>
            </w:r>
            <w:r>
              <w:rPr>
                <w:rFonts w:ascii="FangSong" w:hAnsi="FangSong" w:eastAsia="FangSong" w:cs="FangSong"/>
                <w:sz w:val="24"/>
                <w:szCs w:val="24"/>
                <w:spacing w:val="-67"/>
              </w:rPr>
              <w:t xml:space="preserve"> </w:t>
            </w:r>
            <w:r>
              <w:rPr>
                <w:rFonts w:ascii="FangSong" w:hAnsi="FangSong" w:eastAsia="FangSong" w:cs="FangSong"/>
                <w:sz w:val="24"/>
                <w:szCs w:val="24"/>
              </w:rPr>
              <w:tab/>
            </w:r>
          </w:hyperlink>
          <w:hyperlink w:history="true" w:anchor="bookmark29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228</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302">
            <w:r>
              <w:rPr>
                <w:rFonts w:ascii="Times New Roman" w:hAnsi="Times New Roman" w:eastAsia="Times New Roman" w:cs="Times New Roman"/>
                <w:sz w:val="24"/>
                <w:szCs w:val="24"/>
                <w:spacing w:val="-1"/>
              </w:rPr>
              <w:t>6.2.5  </w:t>
            </w:r>
            <w:r>
              <w:rPr>
                <w:rFonts w:ascii="FangSong" w:hAnsi="FangSong" w:eastAsia="FangSong" w:cs="FangSong"/>
                <w:sz w:val="24"/>
                <w:szCs w:val="24"/>
                <w:spacing w:val="-1"/>
              </w:rPr>
              <w:t>土壤环境影响分析与评价</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30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234</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304">
            <w:r>
              <w:rPr>
                <w:rFonts w:ascii="Times New Roman" w:hAnsi="Times New Roman" w:eastAsia="Times New Roman" w:cs="Times New Roman"/>
                <w:sz w:val="24"/>
                <w:szCs w:val="24"/>
                <w:spacing w:val="-3"/>
              </w:rPr>
              <w:t>6.2.6</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生态环境影响分析与评价</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0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237</w:t>
            </w:r>
          </w:hyperlink>
        </w:p>
        <w:p>
          <w:pPr>
            <w:ind w:left="1464"/>
            <w:spacing w:before="222" w:line="189" w:lineRule="auto"/>
            <w:tabs>
              <w:tab w:val="right" w:leader="dot" w:pos="8320"/>
            </w:tabs>
            <w:rPr>
              <w:rFonts w:ascii="Times New Roman" w:hAnsi="Times New Roman" w:eastAsia="Times New Roman" w:cs="Times New Roman"/>
              <w:sz w:val="24"/>
              <w:szCs w:val="24"/>
            </w:rPr>
          </w:pPr>
          <w:hyperlink w:history="true" w:anchor="bookmark306">
            <w:r>
              <w:rPr>
                <w:rFonts w:ascii="Times New Roman" w:hAnsi="Times New Roman" w:eastAsia="Times New Roman" w:cs="Times New Roman"/>
                <w:sz w:val="24"/>
                <w:szCs w:val="24"/>
                <w:spacing w:val="-4"/>
              </w:rPr>
              <w:t>6.2.7</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闭矿期环境影响分析</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0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241</w:t>
            </w:r>
          </w:hyperlink>
        </w:p>
        <w:p>
          <w:pPr>
            <w:ind w:left="502"/>
            <w:spacing w:before="222" w:line="189" w:lineRule="auto"/>
            <w:tabs>
              <w:tab w:val="right" w:leader="dot" w:pos="8320"/>
            </w:tabs>
            <w:rPr>
              <w:rFonts w:ascii="Times New Roman" w:hAnsi="Times New Roman" w:eastAsia="Times New Roman" w:cs="Times New Roman"/>
              <w:sz w:val="24"/>
              <w:szCs w:val="24"/>
            </w:rPr>
          </w:pPr>
          <w:hyperlink w:history="true" w:anchor="bookmark308">
            <w:r>
              <w:rPr>
                <w:rFonts w:ascii="Times New Roman" w:hAnsi="Times New Roman" w:eastAsia="Times New Roman" w:cs="Times New Roman"/>
                <w:sz w:val="24"/>
                <w:szCs w:val="24"/>
                <w:spacing w:val="-1"/>
              </w:rPr>
              <w:t>7  </w:t>
            </w:r>
            <w:r>
              <w:rPr>
                <w:rFonts w:ascii="FangSong" w:hAnsi="FangSong" w:eastAsia="FangSong" w:cs="FangSong"/>
                <w:sz w:val="24"/>
                <w:szCs w:val="24"/>
                <w:spacing w:val="-1"/>
              </w:rPr>
              <w:t>环境保护措施及可行性分析</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30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243</w:t>
            </w:r>
          </w:hyperlink>
        </w:p>
        <w:p>
          <w:pPr>
            <w:ind w:left="982"/>
            <w:spacing w:before="223" w:line="189" w:lineRule="auto"/>
            <w:tabs>
              <w:tab w:val="right" w:leader="dot" w:pos="8320"/>
            </w:tabs>
            <w:rPr>
              <w:rFonts w:ascii="Times New Roman" w:hAnsi="Times New Roman" w:eastAsia="Times New Roman" w:cs="Times New Roman"/>
              <w:sz w:val="24"/>
              <w:szCs w:val="24"/>
            </w:rPr>
          </w:pPr>
          <w:hyperlink w:history="true" w:anchor="bookmark310">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施工期环境保护措施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0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243</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12">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3"/>
              </w:rPr>
              <w:t>1.2  </w:t>
            </w:r>
            <w:r>
              <w:rPr>
                <w:rFonts w:ascii="FangSong" w:hAnsi="FangSong" w:eastAsia="FangSong" w:cs="FangSong"/>
                <w:sz w:val="24"/>
                <w:szCs w:val="24"/>
                <w:spacing w:val="-3"/>
              </w:rPr>
              <w:t>水环境保护措施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1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243</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14">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3"/>
              </w:rPr>
              <w:t>1.3  </w:t>
            </w:r>
            <w:r>
              <w:rPr>
                <w:rFonts w:ascii="FangSong" w:hAnsi="FangSong" w:eastAsia="FangSong" w:cs="FangSong"/>
                <w:sz w:val="24"/>
                <w:szCs w:val="24"/>
                <w:spacing w:val="-3"/>
              </w:rPr>
              <w:t>大气环境保护措施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1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243</w:t>
            </w:r>
          </w:hyperlink>
        </w:p>
        <w:p>
          <w:pPr>
            <w:ind w:left="1462"/>
            <w:spacing w:before="223" w:line="189" w:lineRule="auto"/>
            <w:tabs>
              <w:tab w:val="right" w:leader="dot" w:pos="8320"/>
            </w:tabs>
            <w:rPr>
              <w:rFonts w:ascii="Times New Roman" w:hAnsi="Times New Roman" w:eastAsia="Times New Roman" w:cs="Times New Roman"/>
              <w:sz w:val="24"/>
              <w:szCs w:val="24"/>
            </w:rPr>
          </w:pPr>
          <w:hyperlink w:history="true" w:anchor="bookmark316">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3"/>
              </w:rPr>
              <w:t>1.4  </w:t>
            </w:r>
            <w:r>
              <w:rPr>
                <w:rFonts w:ascii="FangSong" w:hAnsi="FangSong" w:eastAsia="FangSong" w:cs="FangSong"/>
                <w:sz w:val="24"/>
                <w:szCs w:val="24"/>
                <w:spacing w:val="-3"/>
              </w:rPr>
              <w:t>声环境保护措施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1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245</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18">
            <w:r>
              <w:rPr>
                <w:rFonts w:ascii="Times New Roman" w:hAnsi="Times New Roman" w:eastAsia="Times New Roman" w:cs="Times New Roman"/>
                <w:sz w:val="24"/>
                <w:szCs w:val="24"/>
                <w:spacing w:val="-4"/>
              </w:rPr>
              <w:t>7.1.5</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固体废物污染防治措施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1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245</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20">
            <w:r>
              <w:rPr>
                <w:rFonts w:ascii="Times New Roman" w:hAnsi="Times New Roman" w:eastAsia="Times New Roman" w:cs="Times New Roman"/>
                <w:sz w:val="24"/>
                <w:szCs w:val="24"/>
                <w:spacing w:val="-8"/>
              </w:rPr>
              <w:t>7.</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8"/>
              </w:rPr>
              <w:t>生态环境保护措施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1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246</w:t>
            </w:r>
          </w:hyperlink>
        </w:p>
        <w:p>
          <w:pPr>
            <w:ind w:left="982"/>
            <w:spacing w:before="222" w:line="189" w:lineRule="auto"/>
            <w:tabs>
              <w:tab w:val="right" w:leader="dot" w:pos="8320"/>
            </w:tabs>
            <w:rPr>
              <w:rFonts w:ascii="Times New Roman" w:hAnsi="Times New Roman" w:eastAsia="Times New Roman" w:cs="Times New Roman"/>
              <w:sz w:val="24"/>
              <w:szCs w:val="24"/>
            </w:rPr>
          </w:pPr>
          <w:hyperlink w:history="true" w:anchor="bookmark322">
            <w:r>
              <w:rPr>
                <w:rFonts w:ascii="Times New Roman" w:hAnsi="Times New Roman" w:eastAsia="Times New Roman" w:cs="Times New Roman"/>
                <w:sz w:val="24"/>
                <w:szCs w:val="24"/>
                <w:spacing w:val="-1"/>
              </w:rPr>
              <w:t>7.2  </w:t>
            </w:r>
            <w:r>
              <w:rPr>
                <w:rFonts w:ascii="FangSong" w:hAnsi="FangSong" w:eastAsia="FangSong" w:cs="FangSong"/>
                <w:sz w:val="24"/>
                <w:szCs w:val="24"/>
                <w:spacing w:val="-1"/>
              </w:rPr>
              <w:t>运营期环境保护措施调查及落实情况</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2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249</w:t>
            </w:r>
          </w:hyperlink>
        </w:p>
        <w:p>
          <w:pPr>
            <w:ind w:left="1462"/>
            <w:spacing w:before="223" w:line="189" w:lineRule="auto"/>
            <w:tabs>
              <w:tab w:val="right" w:leader="dot" w:pos="8320"/>
            </w:tabs>
            <w:rPr>
              <w:rFonts w:ascii="Times New Roman" w:hAnsi="Times New Roman" w:eastAsia="Times New Roman" w:cs="Times New Roman"/>
              <w:sz w:val="24"/>
              <w:szCs w:val="24"/>
            </w:rPr>
          </w:pPr>
          <w:hyperlink w:history="true" w:anchor="bookmark324">
            <w:r>
              <w:rPr>
                <w:rFonts w:ascii="Times New Roman" w:hAnsi="Times New Roman" w:eastAsia="Times New Roman" w:cs="Times New Roman"/>
                <w:sz w:val="24"/>
                <w:szCs w:val="24"/>
                <w:spacing w:val="-1"/>
              </w:rPr>
              <w:t>7.2.1  </w:t>
            </w:r>
            <w:r>
              <w:rPr>
                <w:rFonts w:ascii="FangSong" w:hAnsi="FangSong" w:eastAsia="FangSong" w:cs="FangSong"/>
                <w:sz w:val="24"/>
                <w:szCs w:val="24"/>
                <w:spacing w:val="-1"/>
              </w:rPr>
              <w:t>废水环境保护措施及有效性分析</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2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249</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26">
            <w:r>
              <w:rPr>
                <w:rFonts w:ascii="Times New Roman" w:hAnsi="Times New Roman" w:eastAsia="Times New Roman" w:cs="Times New Roman"/>
                <w:sz w:val="24"/>
                <w:szCs w:val="24"/>
                <w:spacing w:val="-1"/>
              </w:rPr>
              <w:t>7.2.2  </w:t>
            </w:r>
            <w:r>
              <w:rPr>
                <w:rFonts w:ascii="FangSong" w:hAnsi="FangSong" w:eastAsia="FangSong" w:cs="FangSong"/>
                <w:sz w:val="24"/>
                <w:szCs w:val="24"/>
                <w:spacing w:val="-1"/>
              </w:rPr>
              <w:t>环境空气保护措施及有效性分析</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2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253</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28">
            <w:r>
              <w:rPr>
                <w:rFonts w:ascii="Times New Roman" w:hAnsi="Times New Roman" w:eastAsia="Times New Roman" w:cs="Times New Roman"/>
                <w:sz w:val="24"/>
                <w:szCs w:val="24"/>
                <w:spacing w:val="-1"/>
              </w:rPr>
              <w:t>7.2.3  </w:t>
            </w:r>
            <w:r>
              <w:rPr>
                <w:rFonts w:ascii="FangSong" w:hAnsi="FangSong" w:eastAsia="FangSong" w:cs="FangSong"/>
                <w:sz w:val="24"/>
                <w:szCs w:val="24"/>
                <w:spacing w:val="-1"/>
              </w:rPr>
              <w:t>声环境保护措施及有效性分析</w:t>
            </w:r>
            <w:r>
              <w:rPr>
                <w:rFonts w:ascii="FangSong" w:hAnsi="FangSong" w:eastAsia="FangSong" w:cs="FangSong"/>
                <w:sz w:val="24"/>
                <w:szCs w:val="24"/>
                <w:spacing w:val="-65"/>
              </w:rPr>
              <w:t xml:space="preserve"> </w:t>
            </w:r>
            <w:r>
              <w:rPr>
                <w:rFonts w:ascii="FangSong" w:hAnsi="FangSong" w:eastAsia="FangSong" w:cs="FangSong"/>
                <w:sz w:val="24"/>
                <w:szCs w:val="24"/>
              </w:rPr>
              <w:tab/>
            </w:r>
          </w:hyperlink>
          <w:hyperlink w:history="true" w:anchor="bookmark32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256</w:t>
            </w:r>
          </w:hyperlink>
        </w:p>
        <w:p>
          <w:pPr>
            <w:ind w:left="1462"/>
            <w:spacing w:before="223" w:line="189" w:lineRule="auto"/>
            <w:tabs>
              <w:tab w:val="right" w:leader="dot" w:pos="8320"/>
            </w:tabs>
            <w:rPr>
              <w:rFonts w:ascii="Times New Roman" w:hAnsi="Times New Roman" w:eastAsia="Times New Roman" w:cs="Times New Roman"/>
              <w:sz w:val="24"/>
              <w:szCs w:val="24"/>
            </w:rPr>
          </w:pPr>
          <w:hyperlink w:history="true" w:anchor="bookmark330">
            <w:r>
              <w:rPr>
                <w:rFonts w:ascii="Times New Roman" w:hAnsi="Times New Roman" w:eastAsia="Times New Roman" w:cs="Times New Roman"/>
                <w:sz w:val="24"/>
                <w:szCs w:val="24"/>
                <w:spacing w:val="-3"/>
              </w:rPr>
              <w:t>7.2.4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固体废物处置措施及有效性分析</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2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258</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32">
            <w:r>
              <w:rPr>
                <w:rFonts w:ascii="Times New Roman" w:hAnsi="Times New Roman" w:eastAsia="Times New Roman" w:cs="Times New Roman"/>
                <w:sz w:val="24"/>
                <w:szCs w:val="24"/>
                <w:spacing w:val="-1"/>
              </w:rPr>
              <w:t>7.2.5  </w:t>
            </w:r>
            <w:r>
              <w:rPr>
                <w:rFonts w:ascii="FangSong" w:hAnsi="FangSong" w:eastAsia="FangSong" w:cs="FangSong"/>
                <w:sz w:val="24"/>
                <w:szCs w:val="24"/>
                <w:spacing w:val="-1"/>
              </w:rPr>
              <w:t>地下水环境保护措施及有效性分析</w:t>
            </w:r>
            <w:r>
              <w:rPr>
                <w:rFonts w:ascii="FangSong" w:hAnsi="FangSong" w:eastAsia="FangSong" w:cs="FangSong"/>
                <w:sz w:val="24"/>
                <w:szCs w:val="24"/>
                <w:spacing w:val="-63"/>
              </w:rPr>
              <w:t xml:space="preserve"> </w:t>
            </w:r>
            <w:r>
              <w:rPr>
                <w:rFonts w:ascii="FangSong" w:hAnsi="FangSong" w:eastAsia="FangSong" w:cs="FangSong"/>
                <w:sz w:val="24"/>
                <w:szCs w:val="24"/>
              </w:rPr>
              <w:tab/>
            </w:r>
          </w:hyperlink>
          <w:hyperlink w:history="true" w:anchor="bookmark33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263</w:t>
            </w:r>
          </w:hyperlink>
        </w:p>
        <w:p>
          <w:pPr>
            <w:ind w:left="1462"/>
            <w:spacing w:before="222" w:line="189" w:lineRule="auto"/>
            <w:tabs>
              <w:tab w:val="right" w:leader="dot" w:pos="8320"/>
            </w:tabs>
            <w:rPr>
              <w:rFonts w:ascii="Times New Roman" w:hAnsi="Times New Roman" w:eastAsia="Times New Roman" w:cs="Times New Roman"/>
              <w:sz w:val="24"/>
              <w:szCs w:val="24"/>
            </w:rPr>
          </w:pPr>
          <w:hyperlink w:history="true" w:anchor="bookmark334">
            <w:r>
              <w:rPr>
                <w:rFonts w:ascii="Times New Roman" w:hAnsi="Times New Roman" w:eastAsia="Times New Roman" w:cs="Times New Roman"/>
                <w:sz w:val="24"/>
                <w:szCs w:val="24"/>
                <w:spacing w:val="-1"/>
              </w:rPr>
              <w:t>7.2.6  </w:t>
            </w:r>
            <w:r>
              <w:rPr>
                <w:rFonts w:ascii="FangSong" w:hAnsi="FangSong" w:eastAsia="FangSong" w:cs="FangSong"/>
                <w:sz w:val="24"/>
                <w:szCs w:val="24"/>
                <w:spacing w:val="-1"/>
              </w:rPr>
              <w:t>土壤环境保护措施及有效性分析</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3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269</w:t>
            </w:r>
          </w:hyperlink>
        </w:p>
        <w:p>
          <w:pPr>
            <w:ind w:left="1462"/>
            <w:spacing w:before="223" w:line="189" w:lineRule="auto"/>
            <w:tabs>
              <w:tab w:val="right" w:leader="dot" w:pos="8320"/>
            </w:tabs>
            <w:rPr>
              <w:rFonts w:ascii="Times New Roman" w:hAnsi="Times New Roman" w:eastAsia="Times New Roman" w:cs="Times New Roman"/>
              <w:sz w:val="24"/>
              <w:szCs w:val="24"/>
            </w:rPr>
          </w:pPr>
          <w:hyperlink w:history="true" w:anchor="bookmark336">
            <w:r>
              <w:rPr>
                <w:rFonts w:ascii="Times New Roman" w:hAnsi="Times New Roman" w:eastAsia="Times New Roman" w:cs="Times New Roman"/>
                <w:sz w:val="24"/>
                <w:szCs w:val="24"/>
                <w:spacing w:val="-3"/>
              </w:rPr>
              <w:t>7.2.7</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生态环境保护措施</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3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271</w:t>
            </w:r>
          </w:hyperlink>
        </w:p>
        <w:p>
          <w:pPr>
            <w:ind w:left="508"/>
            <w:spacing w:before="222" w:line="189" w:lineRule="auto"/>
            <w:tabs>
              <w:tab w:val="right" w:leader="dot" w:pos="8320"/>
            </w:tabs>
            <w:rPr>
              <w:rFonts w:ascii="Times New Roman" w:hAnsi="Times New Roman" w:eastAsia="Times New Roman" w:cs="Times New Roman"/>
              <w:sz w:val="24"/>
              <w:szCs w:val="24"/>
            </w:rPr>
          </w:pPr>
          <w:hyperlink w:history="true" w:anchor="bookmark338">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5"/>
              </w:rPr>
              <w:t>环境风险分析</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37">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274</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40">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环境风险评价目的</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39">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274</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42">
            <w:r>
              <w:rPr>
                <w:rFonts w:ascii="Times New Roman" w:hAnsi="Times New Roman" w:eastAsia="Times New Roman" w:cs="Times New Roman"/>
                <w:sz w:val="24"/>
                <w:szCs w:val="24"/>
                <w:spacing w:val="-2"/>
              </w:rPr>
              <w:t>8.2  </w:t>
            </w:r>
            <w:r>
              <w:rPr>
                <w:rFonts w:ascii="FangSong" w:hAnsi="FangSong" w:eastAsia="FangSong" w:cs="FangSong"/>
                <w:sz w:val="24"/>
                <w:szCs w:val="24"/>
                <w:spacing w:val="-2"/>
              </w:rPr>
              <w:t>环境风险评价依据</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41">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274</w:t>
            </w:r>
          </w:hyperlink>
        </w:p>
        <w:p>
          <w:pPr>
            <w:ind w:left="1468"/>
            <w:spacing w:before="223" w:line="189" w:lineRule="auto"/>
            <w:tabs>
              <w:tab w:val="right" w:leader="dot" w:pos="8320"/>
            </w:tabs>
            <w:rPr>
              <w:rFonts w:ascii="Times New Roman" w:hAnsi="Times New Roman" w:eastAsia="Times New Roman" w:cs="Times New Roman"/>
              <w:sz w:val="24"/>
              <w:szCs w:val="24"/>
            </w:rPr>
          </w:pPr>
          <w:hyperlink w:history="true" w:anchor="bookmark344">
            <w:r>
              <w:rPr>
                <w:rFonts w:ascii="Times New Roman" w:hAnsi="Times New Roman" w:eastAsia="Times New Roman" w:cs="Times New Roman"/>
                <w:sz w:val="24"/>
                <w:szCs w:val="24"/>
                <w:spacing w:val="-7"/>
              </w:rPr>
              <w:t>8.2.</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7"/>
              </w:rPr>
              <w:t>风险调查</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43">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274</w:t>
            </w:r>
          </w:hyperlink>
        </w:p>
        <w:p>
          <w:pPr>
            <w:ind w:left="1468"/>
            <w:spacing w:before="222" w:line="223" w:lineRule="auto"/>
            <w:tabs>
              <w:tab w:val="right" w:leader="dot" w:pos="8320"/>
            </w:tabs>
            <w:rPr>
              <w:rFonts w:ascii="Times New Roman" w:hAnsi="Times New Roman" w:eastAsia="Times New Roman" w:cs="Times New Roman"/>
              <w:sz w:val="24"/>
              <w:szCs w:val="24"/>
            </w:rPr>
          </w:pPr>
          <w:hyperlink w:history="true" w:anchor="bookmark346">
            <w:r>
              <w:rPr>
                <w:rFonts w:ascii="Times New Roman" w:hAnsi="Times New Roman" w:eastAsia="Times New Roman" w:cs="Times New Roman"/>
                <w:sz w:val="24"/>
                <w:szCs w:val="24"/>
                <w:spacing w:val="-3"/>
              </w:rPr>
              <w:t>8.2.2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3"/>
              </w:rPr>
              <w:t>风险潜势初判</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45">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274</w:t>
            </w:r>
          </w:hyperlink>
        </w:p>
      </w:sdtContent>
    </w:sdt>
    <w:p>
      <w:pPr>
        <w:spacing w:line="223" w:lineRule="auto"/>
        <w:sectPr>
          <w:footerReference w:type="default" r:id="rId7"/>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1468"/>
            <w:spacing w:before="78" w:line="189" w:lineRule="auto"/>
            <w:tabs>
              <w:tab w:val="right" w:leader="dot" w:pos="8320"/>
            </w:tabs>
            <w:rPr>
              <w:rFonts w:ascii="Times New Roman" w:hAnsi="Times New Roman" w:eastAsia="Times New Roman" w:cs="Times New Roman"/>
              <w:sz w:val="24"/>
              <w:szCs w:val="24"/>
            </w:rPr>
          </w:pPr>
          <w:bookmarkStart w:name="bookmark347" w:id="3"/>
          <w:bookmarkEnd w:id="3"/>
          <w:hyperlink w:history="true" w:anchor="bookmark349">
            <w:r>
              <w:rPr>
                <w:rFonts w:ascii="Times New Roman" w:hAnsi="Times New Roman" w:eastAsia="Times New Roman" w:cs="Times New Roman"/>
                <w:sz w:val="24"/>
                <w:szCs w:val="24"/>
                <w:spacing w:val="-3"/>
              </w:rPr>
              <w:t>8.2.3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风险评价等级判定</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4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275</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51">
            <w:r>
              <w:rPr>
                <w:rFonts w:ascii="Times New Roman" w:hAnsi="Times New Roman" w:eastAsia="Times New Roman" w:cs="Times New Roman"/>
                <w:sz w:val="24"/>
                <w:szCs w:val="24"/>
                <w:spacing w:val="-4"/>
              </w:rPr>
              <w:t>8.3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4"/>
              </w:rPr>
              <w:t>环境敏感目标</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5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275</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53">
            <w:r>
              <w:rPr>
                <w:rFonts w:ascii="Times New Roman" w:hAnsi="Times New Roman" w:eastAsia="Times New Roman" w:cs="Times New Roman"/>
                <w:sz w:val="24"/>
                <w:szCs w:val="24"/>
                <w:spacing w:val="-4"/>
              </w:rPr>
              <w:t>8.4</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4"/>
              </w:rPr>
              <w:t>环境风险识别</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5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276</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55">
            <w:r>
              <w:rPr>
                <w:rFonts w:ascii="Times New Roman" w:hAnsi="Times New Roman" w:eastAsia="Times New Roman" w:cs="Times New Roman"/>
                <w:sz w:val="24"/>
                <w:szCs w:val="24"/>
                <w:spacing w:val="-4"/>
              </w:rPr>
              <w:t>8.4.</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物质危险性识别</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5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276</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57">
            <w:r>
              <w:rPr>
                <w:rFonts w:ascii="Times New Roman" w:hAnsi="Times New Roman" w:eastAsia="Times New Roman" w:cs="Times New Roman"/>
                <w:sz w:val="24"/>
                <w:szCs w:val="24"/>
                <w:spacing w:val="-4"/>
              </w:rPr>
              <w:t>8.4.2</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生产系统危险性识别</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5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279</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59">
            <w:r>
              <w:rPr>
                <w:rFonts w:ascii="Times New Roman" w:hAnsi="Times New Roman" w:eastAsia="Times New Roman" w:cs="Times New Roman"/>
                <w:sz w:val="24"/>
                <w:szCs w:val="24"/>
                <w:spacing w:val="-3"/>
              </w:rPr>
              <w:t>8.4.3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3"/>
              </w:rPr>
              <w:t>风险识别结果</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5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280</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61">
            <w:r>
              <w:rPr>
                <w:rFonts w:ascii="Times New Roman" w:hAnsi="Times New Roman" w:eastAsia="Times New Roman" w:cs="Times New Roman"/>
                <w:sz w:val="24"/>
                <w:szCs w:val="24"/>
                <w:spacing w:val="-4"/>
              </w:rPr>
              <w:t>8.5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4"/>
              </w:rPr>
              <w:t>环境风险分析</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6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281</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63">
            <w:r>
              <w:rPr>
                <w:rFonts w:ascii="Times New Roman" w:hAnsi="Times New Roman" w:eastAsia="Times New Roman" w:cs="Times New Roman"/>
                <w:sz w:val="24"/>
                <w:szCs w:val="24"/>
                <w:spacing w:val="-1"/>
              </w:rPr>
              <w:t>8.5.1  </w:t>
            </w:r>
            <w:r>
              <w:rPr>
                <w:rFonts w:ascii="FangSong" w:hAnsi="FangSong" w:eastAsia="FangSong" w:cs="FangSong"/>
                <w:sz w:val="24"/>
                <w:szCs w:val="24"/>
                <w:spacing w:val="-1"/>
              </w:rPr>
              <w:t>炸药雷管爆炸影响分析</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6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281</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65">
            <w:r>
              <w:rPr>
                <w:rFonts w:ascii="Times New Roman" w:hAnsi="Times New Roman" w:eastAsia="Times New Roman" w:cs="Times New Roman"/>
                <w:sz w:val="24"/>
                <w:szCs w:val="24"/>
                <w:spacing w:val="-1"/>
              </w:rPr>
              <w:t>8.5.2  </w:t>
            </w:r>
            <w:r>
              <w:rPr>
                <w:rFonts w:ascii="FangSong" w:hAnsi="FangSong" w:eastAsia="FangSong" w:cs="FangSong"/>
                <w:sz w:val="24"/>
                <w:szCs w:val="24"/>
                <w:spacing w:val="-1"/>
              </w:rPr>
              <w:t>油类物质泄漏环境影响分析</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36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281</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67">
            <w:r>
              <w:rPr>
                <w:rFonts w:ascii="Times New Roman" w:hAnsi="Times New Roman" w:eastAsia="Times New Roman" w:cs="Times New Roman"/>
                <w:sz w:val="24"/>
                <w:szCs w:val="24"/>
                <w:spacing w:val="-1"/>
              </w:rPr>
              <w:t>8.5.3  </w:t>
            </w:r>
            <w:r>
              <w:rPr>
                <w:rFonts w:ascii="FangSong" w:hAnsi="FangSong" w:eastAsia="FangSong" w:cs="FangSong"/>
                <w:sz w:val="24"/>
                <w:szCs w:val="24"/>
                <w:spacing w:val="-1"/>
              </w:rPr>
              <w:t>废水事故排放风险分析</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6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282</w:t>
            </w:r>
          </w:hyperlink>
        </w:p>
        <w:p>
          <w:pPr>
            <w:ind w:left="1468"/>
            <w:spacing w:before="223" w:line="189" w:lineRule="auto"/>
            <w:tabs>
              <w:tab w:val="right" w:leader="dot" w:pos="8320"/>
            </w:tabs>
            <w:rPr>
              <w:rFonts w:ascii="Times New Roman" w:hAnsi="Times New Roman" w:eastAsia="Times New Roman" w:cs="Times New Roman"/>
              <w:sz w:val="24"/>
              <w:szCs w:val="24"/>
            </w:rPr>
          </w:pPr>
          <w:hyperlink w:history="true" w:anchor="bookmark369">
            <w:r>
              <w:rPr>
                <w:rFonts w:ascii="Times New Roman" w:hAnsi="Times New Roman" w:eastAsia="Times New Roman" w:cs="Times New Roman"/>
                <w:sz w:val="24"/>
                <w:szCs w:val="24"/>
                <w:spacing w:val="-1"/>
              </w:rPr>
              <w:t>8.5.4  </w:t>
            </w:r>
            <w:r>
              <w:rPr>
                <w:rFonts w:ascii="FangSong" w:hAnsi="FangSong" w:eastAsia="FangSong" w:cs="FangSong"/>
                <w:sz w:val="24"/>
                <w:szCs w:val="24"/>
                <w:spacing w:val="-1"/>
              </w:rPr>
              <w:t>地表塌陷风险分析</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6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282</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71">
            <w:r>
              <w:rPr>
                <w:rFonts w:ascii="Times New Roman" w:hAnsi="Times New Roman" w:eastAsia="Times New Roman" w:cs="Times New Roman"/>
                <w:sz w:val="24"/>
                <w:szCs w:val="24"/>
                <w:spacing w:val="-1"/>
              </w:rPr>
              <w:t>8.5.5  </w:t>
            </w:r>
            <w:r>
              <w:rPr>
                <w:rFonts w:ascii="FangSong" w:hAnsi="FangSong" w:eastAsia="FangSong" w:cs="FangSong"/>
                <w:sz w:val="24"/>
                <w:szCs w:val="24"/>
                <w:spacing w:val="-1"/>
              </w:rPr>
              <w:t>堆场事故风险分析</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7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282</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73">
            <w:r>
              <w:rPr>
                <w:rFonts w:ascii="Times New Roman" w:hAnsi="Times New Roman" w:eastAsia="Times New Roman" w:cs="Times New Roman"/>
                <w:sz w:val="24"/>
                <w:szCs w:val="24"/>
                <w:spacing w:val="-1"/>
              </w:rPr>
              <w:t>8.5.6  </w:t>
            </w:r>
            <w:r>
              <w:rPr>
                <w:rFonts w:ascii="FangSong" w:hAnsi="FangSong" w:eastAsia="FangSong" w:cs="FangSong"/>
                <w:sz w:val="24"/>
                <w:szCs w:val="24"/>
                <w:spacing w:val="-1"/>
              </w:rPr>
              <w:t>运输事故风险分析</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37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282</w:t>
            </w:r>
          </w:hyperlink>
        </w:p>
        <w:p>
          <w:pPr>
            <w:ind w:left="988"/>
            <w:spacing w:before="223" w:line="189" w:lineRule="auto"/>
            <w:tabs>
              <w:tab w:val="right" w:leader="dot" w:pos="8320"/>
            </w:tabs>
            <w:rPr>
              <w:rFonts w:ascii="Times New Roman" w:hAnsi="Times New Roman" w:eastAsia="Times New Roman" w:cs="Times New Roman"/>
              <w:sz w:val="24"/>
              <w:szCs w:val="24"/>
            </w:rPr>
          </w:pPr>
          <w:hyperlink w:history="true" w:anchor="bookmark375">
            <w:r>
              <w:rPr>
                <w:rFonts w:ascii="Times New Roman" w:hAnsi="Times New Roman" w:eastAsia="Times New Roman" w:cs="Times New Roman"/>
                <w:sz w:val="24"/>
                <w:szCs w:val="24"/>
                <w:spacing w:val="-2"/>
              </w:rPr>
              <w:t>8.6  </w:t>
            </w:r>
            <w:r>
              <w:rPr>
                <w:rFonts w:ascii="FangSong" w:hAnsi="FangSong" w:eastAsia="FangSong" w:cs="FangSong"/>
                <w:sz w:val="24"/>
                <w:szCs w:val="24"/>
                <w:spacing w:val="-2"/>
              </w:rPr>
              <w:t>环境风险防范措施</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7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283</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77">
            <w:r>
              <w:rPr>
                <w:rFonts w:ascii="Times New Roman" w:hAnsi="Times New Roman" w:eastAsia="Times New Roman" w:cs="Times New Roman"/>
                <w:sz w:val="24"/>
                <w:szCs w:val="24"/>
                <w:spacing w:val="-1"/>
              </w:rPr>
              <w:t>8.6.1  </w:t>
            </w:r>
            <w:r>
              <w:rPr>
                <w:rFonts w:ascii="FangSong" w:hAnsi="FangSong" w:eastAsia="FangSong" w:cs="FangSong"/>
                <w:sz w:val="24"/>
                <w:szCs w:val="24"/>
                <w:spacing w:val="-1"/>
              </w:rPr>
              <w:t>炸药库爆炸事故防范措施</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37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283</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79">
            <w:r>
              <w:rPr>
                <w:rFonts w:ascii="Times New Roman" w:hAnsi="Times New Roman" w:eastAsia="Times New Roman" w:cs="Times New Roman"/>
                <w:sz w:val="24"/>
                <w:szCs w:val="24"/>
                <w:spacing w:val="-1"/>
              </w:rPr>
              <w:t>8.6.2  </w:t>
            </w:r>
            <w:r>
              <w:rPr>
                <w:rFonts w:ascii="FangSong" w:hAnsi="FangSong" w:eastAsia="FangSong" w:cs="FangSong"/>
                <w:sz w:val="24"/>
                <w:szCs w:val="24"/>
                <w:spacing w:val="-1"/>
              </w:rPr>
              <w:t>油类物质泄漏防范措施</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7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285</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81">
            <w:r>
              <w:rPr>
                <w:rFonts w:ascii="Times New Roman" w:hAnsi="Times New Roman" w:eastAsia="Times New Roman" w:cs="Times New Roman"/>
                <w:sz w:val="24"/>
                <w:szCs w:val="24"/>
                <w:spacing w:val="-1"/>
              </w:rPr>
              <w:t>8.6.3  </w:t>
            </w:r>
            <w:r>
              <w:rPr>
                <w:rFonts w:ascii="FangSong" w:hAnsi="FangSong" w:eastAsia="FangSong" w:cs="FangSong"/>
                <w:sz w:val="24"/>
                <w:szCs w:val="24"/>
                <w:spacing w:val="-1"/>
              </w:rPr>
              <w:t>废水事故排放风险防范措施</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38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286</w:t>
            </w:r>
          </w:hyperlink>
        </w:p>
        <w:p>
          <w:pPr>
            <w:ind w:left="1468"/>
            <w:spacing w:before="223" w:line="189" w:lineRule="auto"/>
            <w:tabs>
              <w:tab w:val="right" w:leader="dot" w:pos="8320"/>
            </w:tabs>
            <w:rPr>
              <w:rFonts w:ascii="Times New Roman" w:hAnsi="Times New Roman" w:eastAsia="Times New Roman" w:cs="Times New Roman"/>
              <w:sz w:val="24"/>
              <w:szCs w:val="24"/>
            </w:rPr>
          </w:pPr>
          <w:hyperlink w:history="true" w:anchor="bookmark383">
            <w:r>
              <w:rPr>
                <w:rFonts w:ascii="Times New Roman" w:hAnsi="Times New Roman" w:eastAsia="Times New Roman" w:cs="Times New Roman"/>
                <w:sz w:val="24"/>
                <w:szCs w:val="24"/>
                <w:spacing w:val="-1"/>
              </w:rPr>
              <w:t>8.6.4  </w:t>
            </w:r>
            <w:r>
              <w:rPr>
                <w:rFonts w:ascii="FangSong" w:hAnsi="FangSong" w:eastAsia="FangSong" w:cs="FangSong"/>
                <w:sz w:val="24"/>
                <w:szCs w:val="24"/>
                <w:spacing w:val="-1"/>
              </w:rPr>
              <w:t>地表塌陷风险防范措施</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8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287</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85">
            <w:r>
              <w:rPr>
                <w:rFonts w:ascii="Times New Roman" w:hAnsi="Times New Roman" w:eastAsia="Times New Roman" w:cs="Times New Roman"/>
                <w:sz w:val="24"/>
                <w:szCs w:val="24"/>
                <w:spacing w:val="-1"/>
              </w:rPr>
              <w:t>8.6.5  </w:t>
            </w:r>
            <w:r>
              <w:rPr>
                <w:rFonts w:ascii="FangSong" w:hAnsi="FangSong" w:eastAsia="FangSong" w:cs="FangSong"/>
                <w:sz w:val="24"/>
                <w:szCs w:val="24"/>
                <w:spacing w:val="-1"/>
              </w:rPr>
              <w:t>堆场事故风险防范措施</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8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287</w:t>
            </w:r>
          </w:hyperlink>
        </w:p>
        <w:p>
          <w:pPr>
            <w:ind w:left="1468"/>
            <w:spacing w:before="222" w:line="189" w:lineRule="auto"/>
            <w:tabs>
              <w:tab w:val="right" w:leader="dot" w:pos="8320"/>
            </w:tabs>
            <w:rPr>
              <w:rFonts w:ascii="Times New Roman" w:hAnsi="Times New Roman" w:eastAsia="Times New Roman" w:cs="Times New Roman"/>
              <w:sz w:val="24"/>
              <w:szCs w:val="24"/>
            </w:rPr>
          </w:pPr>
          <w:hyperlink w:history="true" w:anchor="bookmark387">
            <w:r>
              <w:rPr>
                <w:rFonts w:ascii="Times New Roman" w:hAnsi="Times New Roman" w:eastAsia="Times New Roman" w:cs="Times New Roman"/>
                <w:sz w:val="24"/>
                <w:szCs w:val="24"/>
                <w:spacing w:val="-1"/>
              </w:rPr>
              <w:t>8.6.6  </w:t>
            </w:r>
            <w:r>
              <w:rPr>
                <w:rFonts w:ascii="FangSong" w:hAnsi="FangSong" w:eastAsia="FangSong" w:cs="FangSong"/>
                <w:sz w:val="24"/>
                <w:szCs w:val="24"/>
                <w:spacing w:val="-1"/>
              </w:rPr>
              <w:t>运输事故风险防控措施</w:t>
            </w:r>
            <w:r>
              <w:rPr>
                <w:rFonts w:ascii="FangSong" w:hAnsi="FangSong" w:eastAsia="FangSong" w:cs="FangSong"/>
                <w:sz w:val="24"/>
                <w:szCs w:val="24"/>
                <w:spacing w:val="-73"/>
              </w:rPr>
              <w:t xml:space="preserve"> </w:t>
            </w:r>
            <w:r>
              <w:rPr>
                <w:rFonts w:ascii="FangSong" w:hAnsi="FangSong" w:eastAsia="FangSong" w:cs="FangSong"/>
                <w:sz w:val="24"/>
                <w:szCs w:val="24"/>
              </w:rPr>
              <w:tab/>
            </w:r>
          </w:hyperlink>
          <w:hyperlink w:history="true" w:anchor="bookmark38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287</w:t>
            </w:r>
          </w:hyperlink>
        </w:p>
        <w:p>
          <w:pPr>
            <w:ind w:left="1468"/>
            <w:spacing w:before="223" w:line="189" w:lineRule="auto"/>
            <w:tabs>
              <w:tab w:val="right" w:leader="dot" w:pos="8320"/>
            </w:tabs>
            <w:rPr>
              <w:rFonts w:ascii="Times New Roman" w:hAnsi="Times New Roman" w:eastAsia="Times New Roman" w:cs="Times New Roman"/>
              <w:sz w:val="24"/>
              <w:szCs w:val="24"/>
            </w:rPr>
          </w:pPr>
          <w:hyperlink w:history="true" w:anchor="bookmark389">
            <w:r>
              <w:rPr>
                <w:rFonts w:ascii="Times New Roman" w:hAnsi="Times New Roman" w:eastAsia="Times New Roman" w:cs="Times New Roman"/>
                <w:sz w:val="24"/>
                <w:szCs w:val="24"/>
                <w:spacing w:val="-1"/>
              </w:rPr>
              <w:t>8.6.7  </w:t>
            </w:r>
            <w:r>
              <w:rPr>
                <w:rFonts w:ascii="FangSong" w:hAnsi="FangSong" w:eastAsia="FangSong" w:cs="FangSong"/>
                <w:sz w:val="24"/>
                <w:szCs w:val="24"/>
                <w:spacing w:val="-1"/>
              </w:rPr>
              <w:t>矿山环境风险三级防控措施</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38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288</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91">
            <w:r>
              <w:rPr>
                <w:rFonts w:ascii="Times New Roman" w:hAnsi="Times New Roman" w:eastAsia="Times New Roman" w:cs="Times New Roman"/>
                <w:sz w:val="24"/>
                <w:szCs w:val="24"/>
                <w:spacing w:val="-2"/>
              </w:rPr>
              <w:t>8.7  </w:t>
            </w:r>
            <w:r>
              <w:rPr>
                <w:rFonts w:ascii="FangSong" w:hAnsi="FangSong" w:eastAsia="FangSong" w:cs="FangSong"/>
                <w:sz w:val="24"/>
                <w:szCs w:val="24"/>
                <w:spacing w:val="-2"/>
              </w:rPr>
              <w:t>环境风险应急预案</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9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288</w:t>
            </w:r>
          </w:hyperlink>
        </w:p>
        <w:p>
          <w:pPr>
            <w:ind w:left="988"/>
            <w:spacing w:before="222" w:line="189" w:lineRule="auto"/>
            <w:tabs>
              <w:tab w:val="right" w:leader="dot" w:pos="8320"/>
            </w:tabs>
            <w:rPr>
              <w:rFonts w:ascii="Times New Roman" w:hAnsi="Times New Roman" w:eastAsia="Times New Roman" w:cs="Times New Roman"/>
              <w:sz w:val="24"/>
              <w:szCs w:val="24"/>
            </w:rPr>
          </w:pPr>
          <w:hyperlink w:history="true" w:anchor="bookmark393">
            <w:r>
              <w:rPr>
                <w:rFonts w:ascii="Times New Roman" w:hAnsi="Times New Roman" w:eastAsia="Times New Roman" w:cs="Times New Roman"/>
                <w:sz w:val="24"/>
                <w:szCs w:val="24"/>
                <w:spacing w:val="-2"/>
              </w:rPr>
              <w:t>8.8  </w:t>
            </w:r>
            <w:r>
              <w:rPr>
                <w:rFonts w:ascii="FangSong" w:hAnsi="FangSong" w:eastAsia="FangSong" w:cs="FangSong"/>
                <w:sz w:val="24"/>
                <w:szCs w:val="24"/>
                <w:spacing w:val="-2"/>
              </w:rPr>
              <w:t>环境风险评价结论</w:t>
            </w:r>
            <w:r>
              <w:rPr>
                <w:rFonts w:ascii="FangSong" w:hAnsi="FangSong" w:eastAsia="FangSong" w:cs="FangSong"/>
                <w:sz w:val="24"/>
                <w:szCs w:val="24"/>
                <w:spacing w:val="-64"/>
              </w:rPr>
              <w:t xml:space="preserve"> </w:t>
            </w:r>
            <w:r>
              <w:rPr>
                <w:rFonts w:ascii="FangSong" w:hAnsi="FangSong" w:eastAsia="FangSong" w:cs="FangSong"/>
                <w:sz w:val="24"/>
                <w:szCs w:val="24"/>
              </w:rPr>
              <w:tab/>
            </w:r>
          </w:hyperlink>
          <w:hyperlink w:history="true" w:anchor="bookmark39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289</w:t>
            </w:r>
          </w:hyperlink>
        </w:p>
        <w:p>
          <w:pPr>
            <w:ind w:left="503"/>
            <w:spacing w:before="223" w:line="189" w:lineRule="auto"/>
            <w:tabs>
              <w:tab w:val="right" w:leader="dot" w:pos="8320"/>
            </w:tabs>
            <w:rPr>
              <w:rFonts w:ascii="Times New Roman" w:hAnsi="Times New Roman" w:eastAsia="Times New Roman" w:cs="Times New Roman"/>
              <w:sz w:val="24"/>
              <w:szCs w:val="24"/>
            </w:rPr>
          </w:pPr>
          <w:hyperlink w:history="true" w:anchor="bookmark395">
            <w:r>
              <w:rPr>
                <w:rFonts w:ascii="Times New Roman" w:hAnsi="Times New Roman" w:eastAsia="Times New Roman" w:cs="Times New Roman"/>
                <w:sz w:val="24"/>
                <w:szCs w:val="24"/>
                <w:spacing w:val="-1"/>
              </w:rPr>
              <w:t>9  </w:t>
            </w:r>
            <w:r>
              <w:rPr>
                <w:rFonts w:ascii="FangSong" w:hAnsi="FangSong" w:eastAsia="FangSong" w:cs="FangSong"/>
                <w:sz w:val="24"/>
                <w:szCs w:val="24"/>
                <w:spacing w:val="-1"/>
              </w:rPr>
              <w:t>环境保护投资估算与环境影响经济损益分析</w:t>
            </w:r>
            <w:r>
              <w:rPr>
                <w:rFonts w:ascii="FangSong" w:hAnsi="FangSong" w:eastAsia="FangSong" w:cs="FangSong"/>
                <w:sz w:val="24"/>
                <w:szCs w:val="24"/>
                <w:spacing w:val="-63"/>
              </w:rPr>
              <w:t xml:space="preserve"> </w:t>
            </w:r>
            <w:r>
              <w:rPr>
                <w:rFonts w:ascii="FangSong" w:hAnsi="FangSong" w:eastAsia="FangSong" w:cs="FangSong"/>
                <w:sz w:val="24"/>
                <w:szCs w:val="24"/>
              </w:rPr>
              <w:tab/>
            </w:r>
          </w:hyperlink>
          <w:hyperlink w:history="true" w:anchor="bookmark39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291</w:t>
            </w:r>
          </w:hyperlink>
        </w:p>
        <w:p>
          <w:pPr>
            <w:ind w:left="983"/>
            <w:spacing w:before="222" w:line="189" w:lineRule="auto"/>
            <w:tabs>
              <w:tab w:val="right" w:leader="dot" w:pos="8320"/>
            </w:tabs>
            <w:rPr>
              <w:rFonts w:ascii="Times New Roman" w:hAnsi="Times New Roman" w:eastAsia="Times New Roman" w:cs="Times New Roman"/>
              <w:sz w:val="24"/>
              <w:szCs w:val="24"/>
            </w:rPr>
          </w:pPr>
          <w:hyperlink w:history="true" w:anchor="bookmark397">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环境保护投资概算</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39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291</w:t>
            </w:r>
          </w:hyperlink>
        </w:p>
        <w:p>
          <w:pPr>
            <w:ind w:left="983"/>
            <w:spacing w:before="222" w:line="189" w:lineRule="auto"/>
            <w:tabs>
              <w:tab w:val="right" w:leader="dot" w:pos="8320"/>
            </w:tabs>
            <w:rPr>
              <w:rFonts w:ascii="Times New Roman" w:hAnsi="Times New Roman" w:eastAsia="Times New Roman" w:cs="Times New Roman"/>
              <w:sz w:val="24"/>
              <w:szCs w:val="24"/>
            </w:rPr>
          </w:pPr>
          <w:hyperlink w:history="true" w:anchor="bookmark399">
            <w:r>
              <w:rPr>
                <w:rFonts w:ascii="Times New Roman" w:hAnsi="Times New Roman" w:eastAsia="Times New Roman" w:cs="Times New Roman"/>
                <w:sz w:val="24"/>
                <w:szCs w:val="24"/>
                <w:spacing w:val="-1"/>
              </w:rPr>
              <w:t>9.2  </w:t>
            </w:r>
            <w:r>
              <w:rPr>
                <w:rFonts w:ascii="FangSong" w:hAnsi="FangSong" w:eastAsia="FangSong" w:cs="FangSong"/>
                <w:sz w:val="24"/>
                <w:szCs w:val="24"/>
                <w:spacing w:val="-1"/>
              </w:rPr>
              <w:t>环境影响经济损益分析</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39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293</w:t>
            </w:r>
          </w:hyperlink>
        </w:p>
        <w:p>
          <w:pPr>
            <w:ind w:left="1463"/>
            <w:spacing w:before="222" w:line="189" w:lineRule="auto"/>
            <w:tabs>
              <w:tab w:val="right" w:leader="dot" w:pos="8320"/>
            </w:tabs>
            <w:rPr>
              <w:rFonts w:ascii="Times New Roman" w:hAnsi="Times New Roman" w:eastAsia="Times New Roman" w:cs="Times New Roman"/>
              <w:sz w:val="24"/>
              <w:szCs w:val="24"/>
            </w:rPr>
          </w:pPr>
          <w:hyperlink w:history="true" w:anchor="bookmark401">
            <w:r>
              <w:rPr>
                <w:rFonts w:ascii="Times New Roman" w:hAnsi="Times New Roman" w:eastAsia="Times New Roman" w:cs="Times New Roman"/>
                <w:sz w:val="24"/>
                <w:szCs w:val="24"/>
                <w:spacing w:val="-1"/>
              </w:rPr>
              <w:t>9.2.1  </w:t>
            </w:r>
            <w:r>
              <w:rPr>
                <w:rFonts w:ascii="FangSong" w:hAnsi="FangSong" w:eastAsia="FangSong" w:cs="FangSong"/>
                <w:sz w:val="24"/>
                <w:szCs w:val="24"/>
                <w:spacing w:val="-1"/>
              </w:rPr>
              <w:t>环境影响经济效益分析</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40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293</w:t>
            </w:r>
          </w:hyperlink>
        </w:p>
        <w:p>
          <w:pPr>
            <w:ind w:left="1463"/>
            <w:spacing w:before="223" w:line="189" w:lineRule="auto"/>
            <w:tabs>
              <w:tab w:val="right" w:leader="dot" w:pos="8320"/>
            </w:tabs>
            <w:rPr>
              <w:rFonts w:ascii="Times New Roman" w:hAnsi="Times New Roman" w:eastAsia="Times New Roman" w:cs="Times New Roman"/>
              <w:sz w:val="24"/>
              <w:szCs w:val="24"/>
            </w:rPr>
          </w:pPr>
          <w:hyperlink w:history="true" w:anchor="bookmark403">
            <w:r>
              <w:rPr>
                <w:rFonts w:ascii="Times New Roman" w:hAnsi="Times New Roman" w:eastAsia="Times New Roman" w:cs="Times New Roman"/>
                <w:sz w:val="24"/>
                <w:szCs w:val="24"/>
                <w:spacing w:val="-1"/>
              </w:rPr>
              <w:t>9.2.2  </w:t>
            </w:r>
            <w:r>
              <w:rPr>
                <w:rFonts w:ascii="FangSong" w:hAnsi="FangSong" w:eastAsia="FangSong" w:cs="FangSong"/>
                <w:sz w:val="24"/>
                <w:szCs w:val="24"/>
                <w:spacing w:val="-1"/>
              </w:rPr>
              <w:t>环境影响经济损失分析</w:t>
            </w:r>
            <w:r>
              <w:rPr>
                <w:rFonts w:ascii="FangSong" w:hAnsi="FangSong" w:eastAsia="FangSong" w:cs="FangSong"/>
                <w:sz w:val="24"/>
                <w:szCs w:val="24"/>
                <w:spacing w:val="-68"/>
              </w:rPr>
              <w:t xml:space="preserve"> </w:t>
            </w:r>
            <w:r>
              <w:rPr>
                <w:rFonts w:ascii="FangSong" w:hAnsi="FangSong" w:eastAsia="FangSong" w:cs="FangSong"/>
                <w:sz w:val="24"/>
                <w:szCs w:val="24"/>
              </w:rPr>
              <w:tab/>
            </w:r>
          </w:hyperlink>
          <w:hyperlink w:history="true" w:anchor="bookmark40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295</w:t>
            </w:r>
          </w:hyperlink>
        </w:p>
        <w:p>
          <w:pPr>
            <w:ind w:left="494"/>
            <w:spacing w:before="223" w:line="222" w:lineRule="auto"/>
            <w:tabs>
              <w:tab w:val="left" w:pos="522"/>
              <w:tab w:val="right" w:leader="dot" w:pos="8320"/>
            </w:tabs>
            <w:rPr>
              <w:rFonts w:ascii="Times New Roman" w:hAnsi="Times New Roman" w:eastAsia="Times New Roman" w:cs="Times New Roman"/>
              <w:sz w:val="24"/>
              <w:szCs w:val="24"/>
            </w:rPr>
          </w:pPr>
          <w:hyperlink w:history="true" w:anchor="bookmark405">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5"/>
              </w:rPr>
              <w:t>环境管理与监测</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40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296</w:t>
            </w:r>
          </w:hyperlink>
        </w:p>
      </w:sdtContent>
    </w:sdt>
    <w:p>
      <w:pPr>
        <w:spacing w:line="222" w:lineRule="auto"/>
        <w:sectPr>
          <w:footerReference w:type="default" r:id="rId8"/>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974"/>
            <w:spacing w:before="78" w:line="189" w:lineRule="auto"/>
            <w:tabs>
              <w:tab w:val="left" w:pos="1001"/>
              <w:tab w:val="right" w:leader="dot" w:pos="8320"/>
            </w:tabs>
            <w:rPr>
              <w:rFonts w:ascii="Times New Roman" w:hAnsi="Times New Roman" w:eastAsia="Times New Roman" w:cs="Times New Roman"/>
              <w:sz w:val="24"/>
              <w:szCs w:val="24"/>
            </w:rPr>
          </w:pPr>
          <w:hyperlink w:history="true" w:anchor="bookmark407">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9"/>
              </w:rPr>
              <w:t>环境管理</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0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296</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0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5"/>
              </w:rPr>
              <w:t>10.2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环境管理目标</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0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296</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11">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5"/>
              </w:rPr>
              <w:t>10.3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环境管理体系</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1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296</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13">
            <w:r>
              <w:rPr>
                <w:rFonts w:ascii="Times New Roman" w:hAnsi="Times New Roman" w:eastAsia="Times New Roman" w:cs="Times New Roman"/>
                <w:sz w:val="24"/>
                <w:szCs w:val="24"/>
                <w:spacing w:val="-2"/>
              </w:rPr>
              <w:t>10.4  </w:t>
            </w:r>
            <w:r>
              <w:rPr>
                <w:rFonts w:ascii="FangSong" w:hAnsi="FangSong" w:eastAsia="FangSong" w:cs="FangSong"/>
                <w:sz w:val="24"/>
                <w:szCs w:val="24"/>
                <w:spacing w:val="-2"/>
              </w:rPr>
              <w:t>环境管理机构及职责</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12">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297</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15">
            <w:r>
              <w:rPr>
                <w:rFonts w:ascii="Times New Roman" w:hAnsi="Times New Roman" w:eastAsia="Times New Roman" w:cs="Times New Roman"/>
                <w:sz w:val="24"/>
                <w:szCs w:val="24"/>
                <w:spacing w:val="-4"/>
              </w:rPr>
              <w:t>10.4.</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施工期环境管理机构</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14">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297</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17">
            <w:r>
              <w:rPr>
                <w:rFonts w:ascii="Times New Roman" w:hAnsi="Times New Roman" w:eastAsia="Times New Roman" w:cs="Times New Roman"/>
                <w:sz w:val="24"/>
                <w:szCs w:val="24"/>
                <w:spacing w:val="-2"/>
              </w:rPr>
              <w:t>10.4.2  </w:t>
            </w:r>
            <w:r>
              <w:rPr>
                <w:rFonts w:ascii="FangSong" w:hAnsi="FangSong" w:eastAsia="FangSong" w:cs="FangSong"/>
                <w:sz w:val="24"/>
                <w:szCs w:val="24"/>
                <w:spacing w:val="-2"/>
              </w:rPr>
              <w:t>运营期环境管理机构</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416">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297</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1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5"/>
              </w:rPr>
              <w:t>10.5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环境管理制度</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18">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297</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21">
            <w:r>
              <w:rPr>
                <w:rFonts w:ascii="Times New Roman" w:hAnsi="Times New Roman" w:eastAsia="Times New Roman" w:cs="Times New Roman"/>
                <w:sz w:val="24"/>
                <w:szCs w:val="24"/>
                <w:spacing w:val="-2"/>
              </w:rPr>
              <w:t>10.6  </w:t>
            </w:r>
            <w:r>
              <w:rPr>
                <w:rFonts w:ascii="FangSong" w:hAnsi="FangSong" w:eastAsia="FangSong" w:cs="FangSong"/>
                <w:sz w:val="24"/>
                <w:szCs w:val="24"/>
                <w:spacing w:val="-2"/>
              </w:rPr>
              <w:t>环境管理工作计划和方案</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420">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298</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23">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6"/>
              </w:rPr>
              <w:t>10.7</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6"/>
              </w:rPr>
              <w:t>人员培训</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22">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300</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25">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5"/>
              </w:rPr>
              <w:t>10.8</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环境监测计划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24">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300</w:t>
            </w:r>
          </w:hyperlink>
        </w:p>
        <w:p>
          <w:pPr>
            <w:ind w:left="1482"/>
            <w:spacing w:before="223" w:line="189" w:lineRule="auto"/>
            <w:tabs>
              <w:tab w:val="right" w:leader="dot" w:pos="8320"/>
            </w:tabs>
            <w:rPr>
              <w:rFonts w:ascii="Times New Roman" w:hAnsi="Times New Roman" w:eastAsia="Times New Roman" w:cs="Times New Roman"/>
              <w:sz w:val="24"/>
              <w:szCs w:val="24"/>
            </w:rPr>
          </w:pPr>
          <w:hyperlink w:history="true" w:anchor="bookmark427">
            <w:r>
              <w:rPr>
                <w:rFonts w:ascii="Times New Roman" w:hAnsi="Times New Roman" w:eastAsia="Times New Roman" w:cs="Times New Roman"/>
                <w:sz w:val="24"/>
                <w:szCs w:val="24"/>
                <w:spacing w:val="-4"/>
              </w:rPr>
              <w:t>10.8.</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建设期环境监测计划</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26">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300</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29">
            <w:r>
              <w:rPr>
                <w:rFonts w:ascii="Times New Roman" w:hAnsi="Times New Roman" w:eastAsia="Times New Roman" w:cs="Times New Roman"/>
                <w:sz w:val="24"/>
                <w:szCs w:val="24"/>
                <w:spacing w:val="-2"/>
              </w:rPr>
              <w:t>10.8.2  </w:t>
            </w:r>
            <w:r>
              <w:rPr>
                <w:rFonts w:ascii="FangSong" w:hAnsi="FangSong" w:eastAsia="FangSong" w:cs="FangSong"/>
                <w:sz w:val="24"/>
                <w:szCs w:val="24"/>
                <w:spacing w:val="-2"/>
              </w:rPr>
              <w:t>运营期环境监测计划</w:t>
            </w:r>
            <w:r>
              <w:rPr>
                <w:rFonts w:ascii="FangSong" w:hAnsi="FangSong" w:eastAsia="FangSong" w:cs="FangSong"/>
                <w:sz w:val="24"/>
                <w:szCs w:val="24"/>
                <w:spacing w:val="-70"/>
              </w:rPr>
              <w:t xml:space="preserve"> </w:t>
            </w:r>
            <w:r>
              <w:rPr>
                <w:rFonts w:ascii="FangSong" w:hAnsi="FangSong" w:eastAsia="FangSong" w:cs="FangSong"/>
                <w:sz w:val="24"/>
                <w:szCs w:val="24"/>
              </w:rPr>
              <w:tab/>
            </w:r>
          </w:hyperlink>
          <w:hyperlink w:history="true" w:anchor="bookmark428">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300</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31">
            <w:r>
              <w:rPr>
                <w:rFonts w:ascii="Times New Roman" w:hAnsi="Times New Roman" w:eastAsia="Times New Roman" w:cs="Times New Roman"/>
                <w:sz w:val="24"/>
                <w:szCs w:val="24"/>
                <w:spacing w:val="-2"/>
              </w:rPr>
              <w:t>10.8.3  </w:t>
            </w:r>
            <w:r>
              <w:rPr>
                <w:rFonts w:ascii="FangSong" w:hAnsi="FangSong" w:eastAsia="FangSong" w:cs="FangSong"/>
                <w:sz w:val="24"/>
                <w:szCs w:val="24"/>
                <w:spacing w:val="-2"/>
              </w:rPr>
              <w:t>监测技术要求及档案管理</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430">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303</w:t>
            </w:r>
          </w:hyperlink>
        </w:p>
        <w:p>
          <w:pPr>
            <w:ind w:left="1002"/>
            <w:spacing w:before="223" w:line="189" w:lineRule="auto"/>
            <w:tabs>
              <w:tab w:val="right" w:leader="dot" w:pos="8320"/>
            </w:tabs>
            <w:rPr>
              <w:rFonts w:ascii="Times New Roman" w:hAnsi="Times New Roman" w:eastAsia="Times New Roman" w:cs="Times New Roman"/>
              <w:sz w:val="24"/>
              <w:szCs w:val="24"/>
            </w:rPr>
          </w:pPr>
          <w:hyperlink w:history="true" w:anchor="bookmark433">
            <w:r>
              <w:rPr>
                <w:rFonts w:ascii="Times New Roman" w:hAnsi="Times New Roman" w:eastAsia="Times New Roman" w:cs="Times New Roman"/>
                <w:sz w:val="24"/>
                <w:szCs w:val="24"/>
                <w:spacing w:val="-3"/>
              </w:rPr>
              <w:t>10.9  </w:t>
            </w:r>
            <w:r>
              <w:rPr>
                <w:rFonts w:ascii="FangSong" w:hAnsi="FangSong" w:eastAsia="FangSong" w:cs="FangSong"/>
                <w:sz w:val="24"/>
                <w:szCs w:val="24"/>
                <w:spacing w:val="-3"/>
              </w:rPr>
              <w:t>排污口规范化设置</w:t>
            </w:r>
            <w:r>
              <w:rPr>
                <w:rFonts w:ascii="FangSong" w:hAnsi="FangSong" w:eastAsia="FangSong" w:cs="FangSong"/>
                <w:sz w:val="24"/>
                <w:szCs w:val="24"/>
                <w:spacing w:val="-62"/>
              </w:rPr>
              <w:t xml:space="preserve"> </w:t>
            </w:r>
            <w:r>
              <w:rPr>
                <w:rFonts w:ascii="FangSong" w:hAnsi="FangSong" w:eastAsia="FangSong" w:cs="FangSong"/>
                <w:sz w:val="24"/>
                <w:szCs w:val="24"/>
              </w:rPr>
              <w:tab/>
            </w:r>
          </w:hyperlink>
          <w:hyperlink w:history="true" w:anchor="bookmark432">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303</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35">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8"/>
              </w:rPr>
              <w:t>排污许可</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434">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304</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37">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8"/>
              </w:rPr>
              <w:t>污染物排放清单</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436">
            <w:r>
              <w:rPr>
                <w:rFonts w:ascii="Times New Roman" w:hAnsi="Times New Roman" w:eastAsia="Times New Roman" w:cs="Times New Roman"/>
                <w:sz w:val="24"/>
                <w:szCs w:val="24"/>
                <w:spacing w:val="1"/>
              </w:rPr>
              <w:t>305</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3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7"/>
              </w:rPr>
              <w:t>竣工验收管理</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438">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309</w:t>
            </w:r>
          </w:hyperlink>
        </w:p>
        <w:p>
          <w:pPr>
            <w:ind w:left="1454"/>
            <w:spacing w:before="223" w:line="189" w:lineRule="auto"/>
            <w:tabs>
              <w:tab w:val="left" w:pos="1481"/>
              <w:tab w:val="right" w:leader="dot" w:pos="8320"/>
            </w:tabs>
            <w:rPr>
              <w:rFonts w:ascii="Times New Roman" w:hAnsi="Times New Roman" w:eastAsia="Times New Roman" w:cs="Times New Roman"/>
              <w:sz w:val="24"/>
              <w:szCs w:val="24"/>
            </w:rPr>
          </w:pPr>
          <w:hyperlink w:history="true" w:anchor="bookmark441">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8"/>
              </w:rPr>
              <w:t>12.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环境工程设计</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440">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309</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43">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4"/>
              </w:rPr>
              <w:t>12.2  </w:t>
            </w:r>
            <w:r>
              <w:rPr>
                <w:rFonts w:ascii="FangSong" w:hAnsi="FangSong" w:eastAsia="FangSong" w:cs="FangSong"/>
                <w:sz w:val="24"/>
                <w:szCs w:val="24"/>
                <w:spacing w:val="-4"/>
              </w:rPr>
              <w:t>验收标准与范围</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42">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309</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445">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7"/>
              </w:rPr>
              <w:t>12.3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7"/>
              </w:rPr>
              <w:t>竣工验收</w:t>
            </w:r>
            <w:r>
              <w:rPr>
                <w:rFonts w:ascii="FangSong" w:hAnsi="FangSong" w:eastAsia="FangSong" w:cs="FangSong"/>
                <w:sz w:val="24"/>
                <w:szCs w:val="24"/>
                <w:spacing w:val="-75"/>
              </w:rPr>
              <w:t xml:space="preserve"> </w:t>
            </w:r>
            <w:r>
              <w:rPr>
                <w:rFonts w:ascii="FangSong" w:hAnsi="FangSong" w:eastAsia="FangSong" w:cs="FangSong"/>
                <w:sz w:val="24"/>
                <w:szCs w:val="24"/>
              </w:rPr>
              <w:tab/>
            </w:r>
          </w:hyperlink>
          <w:hyperlink w:history="true" w:anchor="bookmark444">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309</w:t>
            </w:r>
          </w:hyperlink>
        </w:p>
        <w:p>
          <w:pPr>
            <w:ind w:left="1482"/>
            <w:spacing w:before="223" w:line="189" w:lineRule="auto"/>
            <w:tabs>
              <w:tab w:val="right" w:leader="dot" w:pos="8320"/>
            </w:tabs>
            <w:rPr>
              <w:rFonts w:ascii="Times New Roman" w:hAnsi="Times New Roman" w:eastAsia="Times New Roman" w:cs="Times New Roman"/>
              <w:sz w:val="24"/>
              <w:szCs w:val="24"/>
            </w:rPr>
          </w:pPr>
          <w:hyperlink w:history="true" w:anchor="bookmark447">
            <w:r>
              <w:rPr>
                <w:rFonts w:ascii="Times New Roman" w:hAnsi="Times New Roman" w:eastAsia="Times New Roman" w:cs="Times New Roman"/>
                <w:sz w:val="24"/>
                <w:szCs w:val="24"/>
                <w:spacing w:val="-3"/>
              </w:rPr>
              <w:t>10.12.4  </w:t>
            </w:r>
            <w:r>
              <w:rPr>
                <w:rFonts w:ascii="FangSong" w:hAnsi="FangSong" w:eastAsia="FangSong" w:cs="FangSong"/>
                <w:sz w:val="24"/>
                <w:szCs w:val="24"/>
                <w:spacing w:val="-3"/>
              </w:rPr>
              <w:t>竣工环保验收“三同时</w:t>
            </w:r>
            <w:r>
              <w:rPr>
                <w:rFonts w:ascii="FangSong" w:hAnsi="FangSong" w:eastAsia="FangSong" w:cs="FangSong"/>
                <w:sz w:val="24"/>
                <w:szCs w:val="24"/>
                <w:spacing w:val="-81"/>
              </w:rPr>
              <w:t xml:space="preserve"> </w:t>
            </w:r>
            <w:r>
              <w:rPr>
                <w:rFonts w:ascii="FangSong" w:hAnsi="FangSong" w:eastAsia="FangSong" w:cs="FangSong"/>
                <w:sz w:val="24"/>
                <w:szCs w:val="24"/>
                <w:spacing w:val="-3"/>
              </w:rPr>
              <w:t>”一览表</w:t>
            </w:r>
            <w:r>
              <w:rPr>
                <w:rFonts w:ascii="FangSong" w:hAnsi="FangSong" w:eastAsia="FangSong" w:cs="FangSong"/>
                <w:sz w:val="24"/>
                <w:szCs w:val="24"/>
                <w:spacing w:val="-74"/>
              </w:rPr>
              <w:t xml:space="preserve"> </w:t>
            </w:r>
            <w:r>
              <w:rPr>
                <w:rFonts w:ascii="FangSong" w:hAnsi="FangSong" w:eastAsia="FangSong" w:cs="FangSong"/>
                <w:sz w:val="24"/>
                <w:szCs w:val="24"/>
              </w:rPr>
              <w:tab/>
            </w:r>
          </w:hyperlink>
          <w:hyperlink w:history="true" w:anchor="bookmark446">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309</w:t>
            </w:r>
          </w:hyperlink>
        </w:p>
        <w:p>
          <w:pPr>
            <w:ind w:left="494"/>
            <w:spacing w:before="222" w:line="189" w:lineRule="auto"/>
            <w:tabs>
              <w:tab w:val="left" w:pos="522"/>
              <w:tab w:val="right" w:leader="dot" w:pos="8320"/>
            </w:tabs>
            <w:rPr>
              <w:rFonts w:ascii="Times New Roman" w:hAnsi="Times New Roman" w:eastAsia="Times New Roman" w:cs="Times New Roman"/>
              <w:sz w:val="24"/>
              <w:szCs w:val="24"/>
            </w:rPr>
          </w:pPr>
          <w:hyperlink w:history="true" w:anchor="bookmark44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4"/>
              </w:rPr>
              <w:t>11  </w:t>
            </w:r>
            <w:r>
              <w:rPr>
                <w:rFonts w:ascii="FangSong" w:hAnsi="FangSong" w:eastAsia="FangSong" w:cs="FangSong"/>
                <w:sz w:val="24"/>
                <w:szCs w:val="24"/>
                <w:spacing w:val="-4"/>
              </w:rPr>
              <w:t>环境影响评价结论</w:t>
            </w:r>
            <w:r>
              <w:rPr>
                <w:rFonts w:ascii="FangSong" w:hAnsi="FangSong" w:eastAsia="FangSong" w:cs="FangSong"/>
                <w:sz w:val="24"/>
                <w:szCs w:val="24"/>
                <w:spacing w:val="-63"/>
              </w:rPr>
              <w:t xml:space="preserve"> </w:t>
            </w:r>
            <w:r>
              <w:rPr>
                <w:rFonts w:ascii="FangSong" w:hAnsi="FangSong" w:eastAsia="FangSong" w:cs="FangSong"/>
                <w:sz w:val="24"/>
                <w:szCs w:val="24"/>
              </w:rPr>
              <w:tab/>
            </w:r>
          </w:hyperlink>
          <w:hyperlink w:history="true" w:anchor="bookmark448">
            <w:r>
              <w:rPr>
                <w:rFonts w:ascii="Times New Roman" w:hAnsi="Times New Roman" w:eastAsia="Times New Roman" w:cs="Times New Roman"/>
                <w:sz w:val="24"/>
                <w:szCs w:val="24"/>
                <w:spacing w:val="1"/>
              </w:rPr>
              <w:t>314</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51">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8"/>
              </w:rPr>
              <w:t>工程概况评价结论</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50">
            <w:r>
              <w:rPr>
                <w:rFonts w:ascii="Times New Roman" w:hAnsi="Times New Roman" w:eastAsia="Times New Roman" w:cs="Times New Roman"/>
                <w:sz w:val="24"/>
                <w:szCs w:val="24"/>
                <w:spacing w:val="1"/>
              </w:rPr>
              <w:t>314</w:t>
            </w:r>
          </w:hyperlink>
        </w:p>
        <w:p>
          <w:pPr>
            <w:ind w:left="1002"/>
            <w:spacing w:before="223" w:line="189" w:lineRule="auto"/>
            <w:tabs>
              <w:tab w:val="right" w:leader="dot" w:pos="8320"/>
            </w:tabs>
            <w:rPr>
              <w:rFonts w:ascii="Times New Roman" w:hAnsi="Times New Roman" w:eastAsia="Times New Roman" w:cs="Times New Roman"/>
              <w:sz w:val="24"/>
              <w:szCs w:val="24"/>
            </w:rPr>
          </w:pPr>
          <w:hyperlink w:history="true" w:anchor="bookmark453">
            <w:r>
              <w:rPr>
                <w:rFonts w:ascii="Times New Roman" w:hAnsi="Times New Roman" w:eastAsia="Times New Roman" w:cs="Times New Roman"/>
                <w:sz w:val="24"/>
                <w:szCs w:val="24"/>
                <w:spacing w:val="-3"/>
              </w:rPr>
              <w:t>11.2  </w:t>
            </w:r>
            <w:r>
              <w:rPr>
                <w:rFonts w:ascii="FangSong" w:hAnsi="FangSong" w:eastAsia="FangSong" w:cs="FangSong"/>
                <w:sz w:val="24"/>
                <w:szCs w:val="24"/>
                <w:spacing w:val="-3"/>
              </w:rPr>
              <w:t>产业政策及相关符合性</w:t>
            </w:r>
            <w:r>
              <w:rPr>
                <w:rFonts w:ascii="FangSong" w:hAnsi="FangSong" w:eastAsia="FangSong" w:cs="FangSong"/>
                <w:sz w:val="24"/>
                <w:szCs w:val="24"/>
                <w:spacing w:val="-63"/>
              </w:rPr>
              <w:t xml:space="preserve"> </w:t>
            </w:r>
            <w:r>
              <w:rPr>
                <w:rFonts w:ascii="FangSong" w:hAnsi="FangSong" w:eastAsia="FangSong" w:cs="FangSong"/>
                <w:sz w:val="24"/>
                <w:szCs w:val="24"/>
              </w:rPr>
              <w:tab/>
            </w:r>
          </w:hyperlink>
          <w:hyperlink w:history="true" w:anchor="bookmark452">
            <w:r>
              <w:rPr>
                <w:rFonts w:ascii="Times New Roman" w:hAnsi="Times New Roman" w:eastAsia="Times New Roman" w:cs="Times New Roman"/>
                <w:sz w:val="24"/>
                <w:szCs w:val="24"/>
                <w:spacing w:val="1"/>
              </w:rPr>
              <w:t>314</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55">
            <w:r>
              <w:rPr>
                <w:rFonts w:ascii="Times New Roman" w:hAnsi="Times New Roman" w:eastAsia="Times New Roman" w:cs="Times New Roman"/>
                <w:sz w:val="24"/>
                <w:szCs w:val="24"/>
                <w:spacing w:val="-5"/>
              </w:rPr>
              <w:t>11.2.</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产业政策符合性</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54">
            <w:r>
              <w:rPr>
                <w:rFonts w:ascii="Times New Roman" w:hAnsi="Times New Roman" w:eastAsia="Times New Roman" w:cs="Times New Roman"/>
                <w:sz w:val="24"/>
                <w:szCs w:val="24"/>
                <w:spacing w:val="1"/>
              </w:rPr>
              <w:t>314</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57">
            <w:r>
              <w:rPr>
                <w:rFonts w:ascii="Times New Roman" w:hAnsi="Times New Roman" w:eastAsia="Times New Roman" w:cs="Times New Roman"/>
                <w:sz w:val="24"/>
                <w:szCs w:val="24"/>
                <w:spacing w:val="-3"/>
              </w:rPr>
              <w:t>11.2.2  </w:t>
            </w:r>
            <w:r>
              <w:rPr>
                <w:rFonts w:ascii="FangSong" w:hAnsi="FangSong" w:eastAsia="FangSong" w:cs="FangSong"/>
                <w:sz w:val="24"/>
                <w:szCs w:val="24"/>
                <w:spacing w:val="-3"/>
              </w:rPr>
              <w:t>相关规划符合性</w:t>
            </w:r>
            <w:r>
              <w:rPr>
                <w:rFonts w:ascii="FangSong" w:hAnsi="FangSong" w:eastAsia="FangSong" w:cs="FangSong"/>
                <w:sz w:val="24"/>
                <w:szCs w:val="24"/>
                <w:spacing w:val="-66"/>
              </w:rPr>
              <w:t xml:space="preserve"> </w:t>
            </w:r>
            <w:r>
              <w:rPr>
                <w:rFonts w:ascii="FangSong" w:hAnsi="FangSong" w:eastAsia="FangSong" w:cs="FangSong"/>
                <w:sz w:val="24"/>
                <w:szCs w:val="24"/>
              </w:rPr>
              <w:tab/>
            </w:r>
          </w:hyperlink>
          <w:hyperlink w:history="true" w:anchor="bookmark456">
            <w:r>
              <w:rPr>
                <w:rFonts w:ascii="Times New Roman" w:hAnsi="Times New Roman" w:eastAsia="Times New Roman" w:cs="Times New Roman"/>
                <w:sz w:val="24"/>
                <w:szCs w:val="24"/>
                <w:spacing w:val="1"/>
              </w:rPr>
              <w:t>315</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45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5"/>
              </w:rPr>
              <w:t>11.2.3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5"/>
              </w:rPr>
              <w:t>选址符合性</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58">
            <w:r>
              <w:rPr>
                <w:rFonts w:ascii="Times New Roman" w:hAnsi="Times New Roman" w:eastAsia="Times New Roman" w:cs="Times New Roman"/>
                <w:sz w:val="24"/>
                <w:szCs w:val="24"/>
                <w:spacing w:val="1"/>
              </w:rPr>
              <w:t>315</w:t>
            </w:r>
          </w:hyperlink>
        </w:p>
        <w:p>
          <w:pPr>
            <w:ind w:left="1002"/>
            <w:spacing w:before="223" w:line="189" w:lineRule="auto"/>
            <w:tabs>
              <w:tab w:val="right" w:leader="dot" w:pos="8320"/>
            </w:tabs>
            <w:rPr>
              <w:rFonts w:ascii="Times New Roman" w:hAnsi="Times New Roman" w:eastAsia="Times New Roman" w:cs="Times New Roman"/>
              <w:sz w:val="24"/>
              <w:szCs w:val="24"/>
            </w:rPr>
          </w:pPr>
          <w:hyperlink w:history="true" w:anchor="bookmark461">
            <w:r>
              <w:rPr>
                <w:rFonts w:ascii="Times New Roman" w:hAnsi="Times New Roman" w:eastAsia="Times New Roman" w:cs="Times New Roman"/>
                <w:sz w:val="24"/>
                <w:szCs w:val="24"/>
                <w:spacing w:val="-3"/>
              </w:rPr>
              <w:t>11.3  </w:t>
            </w:r>
            <w:r>
              <w:rPr>
                <w:rFonts w:ascii="FangSong" w:hAnsi="FangSong" w:eastAsia="FangSong" w:cs="FangSong"/>
                <w:sz w:val="24"/>
                <w:szCs w:val="24"/>
                <w:spacing w:val="-3"/>
              </w:rPr>
              <w:t>环境现状评价结论</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460">
            <w:r>
              <w:rPr>
                <w:rFonts w:ascii="Times New Roman" w:hAnsi="Times New Roman" w:eastAsia="Times New Roman" w:cs="Times New Roman"/>
                <w:sz w:val="24"/>
                <w:szCs w:val="24"/>
                <w:spacing w:val="1"/>
              </w:rPr>
              <w:t>315</w:t>
            </w:r>
          </w:hyperlink>
        </w:p>
        <w:p>
          <w:pPr>
            <w:ind w:left="1482"/>
            <w:spacing w:before="223" w:line="222" w:lineRule="auto"/>
            <w:tabs>
              <w:tab w:val="right" w:leader="dot" w:pos="8320"/>
            </w:tabs>
            <w:rPr>
              <w:rFonts w:ascii="Times New Roman" w:hAnsi="Times New Roman" w:eastAsia="Times New Roman" w:cs="Times New Roman"/>
              <w:sz w:val="24"/>
              <w:szCs w:val="24"/>
            </w:rPr>
          </w:pPr>
          <w:hyperlink w:history="true" w:anchor="bookmark463">
            <w:r>
              <w:rPr>
                <w:rFonts w:ascii="Times New Roman" w:hAnsi="Times New Roman" w:eastAsia="Times New Roman" w:cs="Times New Roman"/>
                <w:sz w:val="24"/>
                <w:szCs w:val="24"/>
                <w:spacing w:val="-5"/>
              </w:rPr>
              <w:t>11.3.</w:t>
            </w:r>
            <w:r>
              <w:rPr>
                <w:rFonts w:ascii="Times New Roman" w:hAnsi="Times New Roman" w:eastAsia="Times New Roman" w:cs="Times New Roman"/>
                <w:sz w:val="24"/>
                <w:szCs w:val="24"/>
                <w:spacing w:val="-19"/>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大气环境质量现状</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62">
            <w:r>
              <w:rPr>
                <w:rFonts w:ascii="Times New Roman" w:hAnsi="Times New Roman" w:eastAsia="Times New Roman" w:cs="Times New Roman"/>
                <w:sz w:val="24"/>
                <w:szCs w:val="24"/>
                <w:spacing w:val="1"/>
              </w:rPr>
              <w:t>315</w:t>
            </w:r>
          </w:hyperlink>
        </w:p>
      </w:sdtContent>
    </w:sdt>
    <w:p>
      <w:pPr>
        <w:spacing w:line="222" w:lineRule="auto"/>
        <w:sectPr>
          <w:footerReference w:type="default" r:id="rId9"/>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39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1482"/>
            <w:spacing w:before="78" w:line="189" w:lineRule="auto"/>
            <w:tabs>
              <w:tab w:val="right" w:leader="dot" w:pos="8320"/>
            </w:tabs>
            <w:rPr>
              <w:rFonts w:ascii="Times New Roman" w:hAnsi="Times New Roman" w:eastAsia="Times New Roman" w:cs="Times New Roman"/>
              <w:sz w:val="24"/>
              <w:szCs w:val="24"/>
            </w:rPr>
          </w:pPr>
          <w:hyperlink w:history="true" w:anchor="bookmark465">
            <w:r>
              <w:rPr>
                <w:rFonts w:ascii="Times New Roman" w:hAnsi="Times New Roman" w:eastAsia="Times New Roman" w:cs="Times New Roman"/>
                <w:sz w:val="24"/>
                <w:szCs w:val="24"/>
                <w:spacing w:val="-3"/>
              </w:rPr>
              <w:t>11.3.2  </w:t>
            </w:r>
            <w:r>
              <w:rPr>
                <w:rFonts w:ascii="FangSong" w:hAnsi="FangSong" w:eastAsia="FangSong" w:cs="FangSong"/>
                <w:sz w:val="24"/>
                <w:szCs w:val="24"/>
                <w:spacing w:val="-3"/>
              </w:rPr>
              <w:t>地下水环境质量现状</w:t>
            </w:r>
            <w:r>
              <w:rPr>
                <w:rFonts w:ascii="FangSong" w:hAnsi="FangSong" w:eastAsia="FangSong" w:cs="FangSong"/>
                <w:sz w:val="24"/>
                <w:szCs w:val="24"/>
                <w:spacing w:val="-60"/>
              </w:rPr>
              <w:t xml:space="preserve"> </w:t>
            </w:r>
            <w:r>
              <w:rPr>
                <w:rFonts w:ascii="FangSong" w:hAnsi="FangSong" w:eastAsia="FangSong" w:cs="FangSong"/>
                <w:sz w:val="24"/>
                <w:szCs w:val="24"/>
              </w:rPr>
              <w:tab/>
            </w:r>
          </w:hyperlink>
          <w:hyperlink w:history="true" w:anchor="bookmark464">
            <w:r>
              <w:rPr>
                <w:rFonts w:ascii="Times New Roman" w:hAnsi="Times New Roman" w:eastAsia="Times New Roman" w:cs="Times New Roman"/>
                <w:sz w:val="24"/>
                <w:szCs w:val="24"/>
                <w:spacing w:val="1"/>
              </w:rPr>
              <w:t>315</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67">
            <w:r>
              <w:rPr>
                <w:rFonts w:ascii="Times New Roman" w:hAnsi="Times New Roman" w:eastAsia="Times New Roman" w:cs="Times New Roman"/>
                <w:sz w:val="24"/>
                <w:szCs w:val="24"/>
                <w:spacing w:val="-5"/>
              </w:rPr>
              <w:t>11.3.4</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声环境质量现状</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66">
            <w:r>
              <w:rPr>
                <w:rFonts w:ascii="Times New Roman" w:hAnsi="Times New Roman" w:eastAsia="Times New Roman" w:cs="Times New Roman"/>
                <w:sz w:val="24"/>
                <w:szCs w:val="24"/>
                <w:spacing w:val="1"/>
              </w:rPr>
              <w:t>316</w:t>
            </w:r>
          </w:hyperlink>
        </w:p>
        <w:p>
          <w:pPr>
            <w:ind w:left="1482"/>
            <w:spacing w:before="222" w:line="189" w:lineRule="auto"/>
            <w:tabs>
              <w:tab w:val="right" w:leader="dot" w:pos="8320"/>
            </w:tabs>
            <w:rPr>
              <w:rFonts w:ascii="Times New Roman" w:hAnsi="Times New Roman" w:eastAsia="Times New Roman" w:cs="Times New Roman"/>
              <w:sz w:val="24"/>
              <w:szCs w:val="24"/>
            </w:rPr>
          </w:pPr>
          <w:hyperlink w:history="true" w:anchor="bookmark469">
            <w:r>
              <w:rPr>
                <w:rFonts w:ascii="Times New Roman" w:hAnsi="Times New Roman" w:eastAsia="Times New Roman" w:cs="Times New Roman"/>
                <w:sz w:val="24"/>
                <w:szCs w:val="24"/>
                <w:spacing w:val="-3"/>
              </w:rPr>
              <w:t>11.3.5  </w:t>
            </w:r>
            <w:r>
              <w:rPr>
                <w:rFonts w:ascii="FangSong" w:hAnsi="FangSong" w:eastAsia="FangSong" w:cs="FangSong"/>
                <w:sz w:val="24"/>
                <w:szCs w:val="24"/>
                <w:spacing w:val="-3"/>
              </w:rPr>
              <w:t>土壤环境质量现状</w:t>
            </w:r>
            <w:r>
              <w:rPr>
                <w:rFonts w:ascii="FangSong" w:hAnsi="FangSong" w:eastAsia="FangSong" w:cs="FangSong"/>
                <w:sz w:val="24"/>
                <w:szCs w:val="24"/>
                <w:spacing w:val="-63"/>
              </w:rPr>
              <w:t xml:space="preserve"> </w:t>
            </w:r>
            <w:r>
              <w:rPr>
                <w:rFonts w:ascii="FangSong" w:hAnsi="FangSong" w:eastAsia="FangSong" w:cs="FangSong"/>
                <w:sz w:val="24"/>
                <w:szCs w:val="24"/>
              </w:rPr>
              <w:tab/>
            </w:r>
          </w:hyperlink>
          <w:hyperlink w:history="true" w:anchor="bookmark468">
            <w:r>
              <w:rPr>
                <w:rFonts w:ascii="Times New Roman" w:hAnsi="Times New Roman" w:eastAsia="Times New Roman" w:cs="Times New Roman"/>
                <w:sz w:val="24"/>
                <w:szCs w:val="24"/>
                <w:spacing w:val="1"/>
              </w:rPr>
              <w:t>316</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71">
            <w:r>
              <w:rPr>
                <w:rFonts w:ascii="Times New Roman" w:hAnsi="Times New Roman" w:eastAsia="Times New Roman" w:cs="Times New Roman"/>
                <w:sz w:val="24"/>
                <w:szCs w:val="24"/>
                <w:spacing w:val="-3"/>
              </w:rPr>
              <w:t>11.4  </w:t>
            </w:r>
            <w:r>
              <w:rPr>
                <w:rFonts w:ascii="FangSong" w:hAnsi="FangSong" w:eastAsia="FangSong" w:cs="FangSong"/>
                <w:sz w:val="24"/>
                <w:szCs w:val="24"/>
                <w:spacing w:val="-3"/>
              </w:rPr>
              <w:t>环境影响分析与防治措施</w:t>
            </w:r>
            <w:r>
              <w:rPr>
                <w:rFonts w:ascii="FangSong" w:hAnsi="FangSong" w:eastAsia="FangSong" w:cs="FangSong"/>
                <w:sz w:val="24"/>
                <w:szCs w:val="24"/>
                <w:spacing w:val="-60"/>
              </w:rPr>
              <w:t xml:space="preserve"> </w:t>
            </w:r>
            <w:r>
              <w:rPr>
                <w:rFonts w:ascii="FangSong" w:hAnsi="FangSong" w:eastAsia="FangSong" w:cs="FangSong"/>
                <w:sz w:val="24"/>
                <w:szCs w:val="24"/>
              </w:rPr>
              <w:tab/>
            </w:r>
          </w:hyperlink>
          <w:hyperlink w:history="true" w:anchor="bookmark470">
            <w:r>
              <w:rPr>
                <w:rFonts w:ascii="Times New Roman" w:hAnsi="Times New Roman" w:eastAsia="Times New Roman" w:cs="Times New Roman"/>
                <w:sz w:val="24"/>
                <w:szCs w:val="24"/>
                <w:spacing w:val="1"/>
              </w:rPr>
              <w:t>316</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473">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11"/>
              </w:rPr>
              <w:t>11.4.</w:t>
            </w:r>
            <w:r>
              <w:rPr>
                <w:rFonts w:ascii="Times New Roman" w:hAnsi="Times New Roman" w:eastAsia="Times New Roman" w:cs="Times New Roman"/>
                <w:sz w:val="24"/>
                <w:szCs w:val="24"/>
                <w:spacing w:val="-27"/>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11"/>
              </w:rPr>
              <w:t>废气</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72">
            <w:r>
              <w:rPr>
                <w:rFonts w:ascii="Times New Roman" w:hAnsi="Times New Roman" w:eastAsia="Times New Roman" w:cs="Times New Roman"/>
                <w:sz w:val="24"/>
                <w:szCs w:val="24"/>
                <w:spacing w:val="1"/>
              </w:rPr>
              <w:t>316</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475">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7"/>
              </w:rPr>
              <w:t>11.4.2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7"/>
              </w:rPr>
              <w:t>废水</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474">
            <w:r>
              <w:rPr>
                <w:rFonts w:ascii="Times New Roman" w:hAnsi="Times New Roman" w:eastAsia="Times New Roman" w:cs="Times New Roman"/>
                <w:sz w:val="24"/>
                <w:szCs w:val="24"/>
                <w:spacing w:val="1"/>
              </w:rPr>
              <w:t>317</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477">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8"/>
              </w:rPr>
              <w:t>11.4.3</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8"/>
              </w:rPr>
              <w:t>噪声</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476">
            <w:r>
              <w:rPr>
                <w:rFonts w:ascii="Times New Roman" w:hAnsi="Times New Roman" w:eastAsia="Times New Roman" w:cs="Times New Roman"/>
                <w:sz w:val="24"/>
                <w:szCs w:val="24"/>
                <w:spacing w:val="1"/>
              </w:rPr>
              <w:t>318</w:t>
            </w:r>
          </w:hyperlink>
        </w:p>
        <w:p>
          <w:pPr>
            <w:ind w:left="1454"/>
            <w:spacing w:before="222" w:line="189" w:lineRule="auto"/>
            <w:tabs>
              <w:tab w:val="left" w:pos="1481"/>
              <w:tab w:val="right" w:leader="dot" w:pos="8320"/>
            </w:tabs>
            <w:rPr>
              <w:rFonts w:ascii="Times New Roman" w:hAnsi="Times New Roman" w:eastAsia="Times New Roman" w:cs="Times New Roman"/>
              <w:sz w:val="24"/>
              <w:szCs w:val="24"/>
            </w:rPr>
          </w:pPr>
          <w:hyperlink w:history="true" w:anchor="bookmark47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8"/>
              </w:rPr>
              <w:t>11.4.4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8"/>
              </w:rPr>
              <w:t>固体废物</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78">
            <w:r>
              <w:rPr>
                <w:rFonts w:ascii="Times New Roman" w:hAnsi="Times New Roman" w:eastAsia="Times New Roman" w:cs="Times New Roman"/>
                <w:sz w:val="24"/>
                <w:szCs w:val="24"/>
                <w:spacing w:val="1"/>
              </w:rPr>
              <w:t>318</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81">
            <w:r>
              <w:rPr>
                <w:rFonts w:ascii="Times New Roman" w:hAnsi="Times New Roman" w:eastAsia="Times New Roman" w:cs="Times New Roman"/>
                <w:sz w:val="24"/>
                <w:szCs w:val="24"/>
                <w:spacing w:val="-5"/>
              </w:rPr>
              <w:t>11.5</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5"/>
              </w:rPr>
              <w:t>生态影响分析与恢复措施</w:t>
            </w:r>
            <w:r>
              <w:rPr>
                <w:rFonts w:ascii="FangSong" w:hAnsi="FangSong" w:eastAsia="FangSong" w:cs="FangSong"/>
                <w:sz w:val="24"/>
                <w:szCs w:val="24"/>
                <w:spacing w:val="-72"/>
              </w:rPr>
              <w:t xml:space="preserve"> </w:t>
            </w:r>
            <w:r>
              <w:rPr>
                <w:rFonts w:ascii="FangSong" w:hAnsi="FangSong" w:eastAsia="FangSong" w:cs="FangSong"/>
                <w:sz w:val="24"/>
                <w:szCs w:val="24"/>
              </w:rPr>
              <w:tab/>
            </w:r>
          </w:hyperlink>
          <w:hyperlink w:history="true" w:anchor="bookmark480">
            <w:r>
              <w:rPr>
                <w:rFonts w:ascii="Times New Roman" w:hAnsi="Times New Roman" w:eastAsia="Times New Roman" w:cs="Times New Roman"/>
                <w:sz w:val="24"/>
                <w:szCs w:val="24"/>
                <w:spacing w:val="1"/>
              </w:rPr>
              <w:t>319</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83">
            <w:r>
              <w:rPr>
                <w:rFonts w:ascii="Times New Roman" w:hAnsi="Times New Roman" w:eastAsia="Times New Roman" w:cs="Times New Roman"/>
                <w:sz w:val="24"/>
                <w:szCs w:val="24"/>
                <w:spacing w:val="-3"/>
              </w:rPr>
              <w:t>11.6  </w:t>
            </w:r>
            <w:r>
              <w:rPr>
                <w:rFonts w:ascii="FangSong" w:hAnsi="FangSong" w:eastAsia="FangSong" w:cs="FangSong"/>
                <w:sz w:val="24"/>
                <w:szCs w:val="24"/>
                <w:spacing w:val="-3"/>
              </w:rPr>
              <w:t>环境风险评价结论</w:t>
            </w:r>
            <w:r>
              <w:rPr>
                <w:rFonts w:ascii="FangSong" w:hAnsi="FangSong" w:eastAsia="FangSong" w:cs="FangSong"/>
                <w:sz w:val="24"/>
                <w:szCs w:val="24"/>
                <w:spacing w:val="-69"/>
              </w:rPr>
              <w:t xml:space="preserve"> </w:t>
            </w:r>
            <w:r>
              <w:rPr>
                <w:rFonts w:ascii="FangSong" w:hAnsi="FangSong" w:eastAsia="FangSong" w:cs="FangSong"/>
                <w:sz w:val="24"/>
                <w:szCs w:val="24"/>
              </w:rPr>
              <w:tab/>
            </w:r>
          </w:hyperlink>
          <w:hyperlink w:history="true" w:anchor="bookmark482">
            <w:r>
              <w:rPr>
                <w:rFonts w:ascii="Times New Roman" w:hAnsi="Times New Roman" w:eastAsia="Times New Roman" w:cs="Times New Roman"/>
                <w:sz w:val="24"/>
                <w:szCs w:val="24"/>
                <w:spacing w:val="1"/>
              </w:rPr>
              <w:t>319</w:t>
            </w:r>
          </w:hyperlink>
        </w:p>
        <w:p>
          <w:pPr>
            <w:ind w:left="1002"/>
            <w:spacing w:before="223" w:line="189" w:lineRule="auto"/>
            <w:tabs>
              <w:tab w:val="right" w:leader="dot" w:pos="8320"/>
            </w:tabs>
            <w:rPr>
              <w:rFonts w:ascii="Times New Roman" w:hAnsi="Times New Roman" w:eastAsia="Times New Roman" w:cs="Times New Roman"/>
              <w:sz w:val="24"/>
              <w:szCs w:val="24"/>
            </w:rPr>
          </w:pPr>
          <w:hyperlink w:history="true" w:anchor="bookmark485">
            <w:r>
              <w:rPr>
                <w:rFonts w:ascii="Times New Roman" w:hAnsi="Times New Roman" w:eastAsia="Times New Roman" w:cs="Times New Roman"/>
                <w:sz w:val="24"/>
                <w:szCs w:val="24"/>
                <w:spacing w:val="-3"/>
              </w:rPr>
              <w:t>11.7  </w:t>
            </w:r>
            <w:r>
              <w:rPr>
                <w:rFonts w:ascii="FangSong" w:hAnsi="FangSong" w:eastAsia="FangSong" w:cs="FangSong"/>
                <w:sz w:val="24"/>
                <w:szCs w:val="24"/>
                <w:spacing w:val="-3"/>
              </w:rPr>
              <w:t>环境管理与监测评价结论</w:t>
            </w:r>
            <w:r>
              <w:rPr>
                <w:rFonts w:ascii="FangSong" w:hAnsi="FangSong" w:eastAsia="FangSong" w:cs="FangSong"/>
                <w:sz w:val="24"/>
                <w:szCs w:val="24"/>
                <w:spacing w:val="-60"/>
              </w:rPr>
              <w:t xml:space="preserve"> </w:t>
            </w:r>
            <w:r>
              <w:rPr>
                <w:rFonts w:ascii="FangSong" w:hAnsi="FangSong" w:eastAsia="FangSong" w:cs="FangSong"/>
                <w:sz w:val="24"/>
                <w:szCs w:val="24"/>
              </w:rPr>
              <w:tab/>
            </w:r>
          </w:hyperlink>
          <w:hyperlink w:history="true" w:anchor="bookmark484">
            <w:r>
              <w:rPr>
                <w:rFonts w:ascii="Times New Roman" w:hAnsi="Times New Roman" w:eastAsia="Times New Roman" w:cs="Times New Roman"/>
                <w:sz w:val="24"/>
                <w:szCs w:val="24"/>
                <w:spacing w:val="1"/>
              </w:rPr>
              <w:t>319</w:t>
            </w:r>
          </w:hyperlink>
        </w:p>
        <w:p>
          <w:pPr>
            <w:ind w:left="1002"/>
            <w:spacing w:before="222" w:line="189" w:lineRule="auto"/>
            <w:tabs>
              <w:tab w:val="right" w:leader="dot" w:pos="8320"/>
            </w:tabs>
            <w:rPr>
              <w:rFonts w:ascii="Times New Roman" w:hAnsi="Times New Roman" w:eastAsia="Times New Roman" w:cs="Times New Roman"/>
              <w:sz w:val="24"/>
              <w:szCs w:val="24"/>
            </w:rPr>
          </w:pPr>
          <w:hyperlink w:history="true" w:anchor="bookmark487">
            <w:r>
              <w:rPr>
                <w:rFonts w:ascii="Times New Roman" w:hAnsi="Times New Roman" w:eastAsia="Times New Roman" w:cs="Times New Roman"/>
                <w:sz w:val="24"/>
                <w:szCs w:val="24"/>
                <w:spacing w:val="-5"/>
              </w:rPr>
              <w:t>11.8</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公众参与评价结论</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486">
            <w:r>
              <w:rPr>
                <w:rFonts w:ascii="Times New Roman" w:hAnsi="Times New Roman" w:eastAsia="Times New Roman" w:cs="Times New Roman"/>
                <w:sz w:val="24"/>
                <w:szCs w:val="24"/>
                <w:spacing w:val="1"/>
              </w:rPr>
              <w:t>319</w:t>
            </w:r>
          </w:hyperlink>
        </w:p>
        <w:p>
          <w:pPr>
            <w:ind w:left="974"/>
            <w:spacing w:before="222" w:line="189" w:lineRule="auto"/>
            <w:tabs>
              <w:tab w:val="left" w:pos="1001"/>
              <w:tab w:val="right" w:leader="dot" w:pos="8320"/>
            </w:tabs>
            <w:rPr>
              <w:rFonts w:ascii="Times New Roman" w:hAnsi="Times New Roman" w:eastAsia="Times New Roman" w:cs="Times New Roman"/>
              <w:sz w:val="24"/>
              <w:szCs w:val="24"/>
            </w:rPr>
          </w:pPr>
          <w:hyperlink w:history="true" w:anchor="bookmark489">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6"/>
              </w:rPr>
              <w:t>11.9</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6"/>
              </w:rPr>
              <w:t>综合评价结论</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488">
            <w:r>
              <w:rPr>
                <w:rFonts w:ascii="Times New Roman" w:hAnsi="Times New Roman" w:eastAsia="Times New Roman" w:cs="Times New Roman"/>
                <w:sz w:val="24"/>
                <w:szCs w:val="24"/>
                <w:spacing w:val="1"/>
              </w:rPr>
              <w:t>320</w:t>
            </w:r>
          </w:hyperlink>
        </w:p>
        <w:p>
          <w:pPr>
            <w:ind w:left="974"/>
            <w:spacing w:before="223" w:line="224" w:lineRule="auto"/>
            <w:tabs>
              <w:tab w:val="left" w:pos="1001"/>
              <w:tab w:val="right" w:leader="dot" w:pos="8320"/>
            </w:tabs>
            <w:rPr>
              <w:rFonts w:ascii="Times New Roman" w:hAnsi="Times New Roman" w:eastAsia="Times New Roman" w:cs="Times New Roman"/>
              <w:sz w:val="24"/>
              <w:szCs w:val="24"/>
            </w:rPr>
          </w:pPr>
          <w:hyperlink w:history="true" w:anchor="bookmark491">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12"/>
              </w:rPr>
              <w:t>11.</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12"/>
              </w:rPr>
              <w:t>10</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12"/>
              </w:rPr>
              <w:t>建议</w:t>
            </w:r>
            <w:r>
              <w:rPr>
                <w:rFonts w:ascii="FangSong" w:hAnsi="FangSong" w:eastAsia="FangSong" w:cs="FangSong"/>
                <w:sz w:val="24"/>
                <w:szCs w:val="24"/>
                <w:spacing w:val="-71"/>
              </w:rPr>
              <w:t xml:space="preserve"> </w:t>
            </w:r>
            <w:r>
              <w:rPr>
                <w:rFonts w:ascii="FangSong" w:hAnsi="FangSong" w:eastAsia="FangSong" w:cs="FangSong"/>
                <w:sz w:val="24"/>
                <w:szCs w:val="24"/>
              </w:rPr>
              <w:tab/>
            </w:r>
          </w:hyperlink>
          <w:hyperlink w:history="true" w:anchor="bookmark490">
            <w:r>
              <w:rPr>
                <w:rFonts w:ascii="Times New Roman" w:hAnsi="Times New Roman" w:eastAsia="Times New Roman" w:cs="Times New Roman"/>
                <w:sz w:val="24"/>
                <w:szCs w:val="24"/>
                <w:spacing w:val="1"/>
              </w:rPr>
              <w:t>320</w:t>
            </w:r>
          </w:hyperlink>
        </w:p>
      </w:sdtContent>
    </w:sdt>
    <w:p>
      <w:pPr>
        <w:spacing w:line="224" w:lineRule="auto"/>
        <w:sectPr>
          <w:footerReference w:type="default" r:id="rId10"/>
          <w:pgSz w:w="11906" w:h="16839"/>
          <w:pgMar w:top="1083" w:right="1785" w:bottom="1346" w:left="1785" w:header="835" w:footer="1162" w:gutter="0"/>
        </w:sectPr>
        <w:rPr>
          <w:rFonts w:ascii="Times New Roman" w:hAnsi="Times New Roman" w:eastAsia="Times New Roman" w:cs="Times New Roman"/>
          <w:sz w:val="24"/>
          <w:szCs w:val="24"/>
        </w:rPr>
      </w:pPr>
    </w:p>
    <w:p>
      <w:pPr>
        <w:pStyle w:val="BodyText"/>
        <w:spacing w:line="254" w:lineRule="auto"/>
        <w:rPr/>
      </w:pPr>
      <w:r/>
    </w:p>
    <w:p>
      <w:pPr>
        <w:ind w:left="33"/>
        <w:spacing w:before="97" w:line="222" w:lineRule="auto"/>
        <w:outlineLvl w:val="0"/>
        <w:rPr>
          <w:rFonts w:ascii="FangSong" w:hAnsi="FangSong" w:eastAsia="FangSong" w:cs="FangSong"/>
          <w:sz w:val="30"/>
          <w:szCs w:val="30"/>
        </w:rPr>
      </w:pPr>
      <w:bookmarkStart w:name="bookmark2" w:id="4"/>
      <w:bookmarkEnd w:id="4"/>
      <w:bookmarkStart w:name="bookmark4" w:id="5"/>
      <w:bookmarkEnd w:id="5"/>
      <w:bookmarkStart w:name="bookmark1" w:id="6"/>
      <w:bookmarkEnd w:id="6"/>
      <w:bookmarkStart w:name="bookmark3" w:id="7"/>
      <w:bookmarkEnd w:id="7"/>
      <w:r>
        <w:rPr>
          <w:rFonts w:ascii="Times New Roman" w:hAnsi="Times New Roman" w:eastAsia="Times New Roman" w:cs="Times New Roman"/>
          <w:sz w:val="30"/>
          <w:szCs w:val="30"/>
          <w:b/>
          <w:bCs/>
          <w:spacing w:val="-15"/>
        </w:rPr>
        <w:t>1</w:t>
      </w:r>
      <w:r>
        <w:rPr>
          <w:rFonts w:ascii="Times New Roman" w:hAnsi="Times New Roman" w:eastAsia="Times New Roman" w:cs="Times New Roman"/>
          <w:sz w:val="30"/>
          <w:szCs w:val="30"/>
          <w:b/>
          <w:bCs/>
          <w:spacing w:val="9"/>
        </w:rPr>
        <w:t xml:space="preserve">  </w:t>
      </w:r>
      <w:r>
        <w:rPr>
          <w:rFonts w:ascii="FangSong" w:hAnsi="FangSong" w:eastAsia="FangSong" w:cs="FangSong"/>
          <w:sz w:val="30"/>
          <w:szCs w:val="30"/>
          <w:b/>
          <w:bCs/>
          <w:spacing w:val="-15"/>
        </w:rPr>
        <w:t>概述</w:t>
      </w:r>
    </w:p>
    <w:p>
      <w:pPr>
        <w:ind w:left="32"/>
        <w:spacing w:before="272" w:line="222" w:lineRule="auto"/>
        <w:outlineLvl w:val="1"/>
        <w:rPr>
          <w:rFonts w:ascii="FangSong" w:hAnsi="FangSong" w:eastAsia="FangSong" w:cs="FangSong"/>
          <w:sz w:val="28"/>
          <w:szCs w:val="28"/>
        </w:rPr>
      </w:pPr>
      <w:bookmarkStart w:name="bookmark492" w:id="8"/>
      <w:bookmarkEnd w:id="8"/>
      <w:r>
        <w:rPr>
          <w:rFonts w:ascii="Times New Roman" w:hAnsi="Times New Roman" w:eastAsia="Times New Roman" w:cs="Times New Roman"/>
          <w:sz w:val="28"/>
          <w:szCs w:val="28"/>
          <w:b/>
          <w:bCs/>
          <w:spacing w:val="-7"/>
        </w:rPr>
        <w:t>1.1</w:t>
      </w:r>
      <w:r>
        <w:rPr>
          <w:rFonts w:ascii="Times New Roman" w:hAnsi="Times New Roman" w:eastAsia="Times New Roman" w:cs="Times New Roman"/>
          <w:sz w:val="28"/>
          <w:szCs w:val="28"/>
          <w:b/>
          <w:bCs/>
          <w:spacing w:val="10"/>
        </w:rPr>
        <w:t xml:space="preserve">  </w:t>
      </w:r>
      <w:r>
        <w:rPr>
          <w:rFonts w:ascii="FangSong" w:hAnsi="FangSong" w:eastAsia="FangSong" w:cs="FangSong"/>
          <w:sz w:val="28"/>
          <w:szCs w:val="28"/>
          <w:b/>
          <w:bCs/>
          <w:spacing w:val="-7"/>
        </w:rPr>
        <w:t>项目由来</w:t>
      </w:r>
    </w:p>
    <w:p>
      <w:pPr>
        <w:ind w:left="29" w:firstLine="488"/>
        <w:spacing w:before="228" w:line="360" w:lineRule="auto"/>
        <w:jc w:val="both"/>
        <w:rPr>
          <w:rFonts w:ascii="FangSong" w:hAnsi="FangSong" w:eastAsia="FangSong" w:cs="FangSong"/>
          <w:sz w:val="24"/>
          <w:szCs w:val="24"/>
        </w:rPr>
      </w:pPr>
      <w:r>
        <w:rPr>
          <w:rFonts w:ascii="FangSong" w:hAnsi="FangSong" w:eastAsia="FangSong" w:cs="FangSong"/>
          <w:sz w:val="24"/>
          <w:szCs w:val="24"/>
          <w:spacing w:val="-11"/>
        </w:rPr>
        <w:t>萤石又称为氟石，化学成分为氟化钙，是氟化工的基础资源，被我国列为“战</w:t>
      </w:r>
      <w:r>
        <w:rPr>
          <w:rFonts w:ascii="FangSong" w:hAnsi="FangSong" w:eastAsia="FangSong" w:cs="FangSong"/>
          <w:sz w:val="24"/>
          <w:szCs w:val="24"/>
          <w:spacing w:val="-4"/>
        </w:rPr>
        <w:t>略性矿产</w:t>
      </w:r>
      <w:r>
        <w:rPr>
          <w:rFonts w:ascii="FangSong" w:hAnsi="FangSong" w:eastAsia="FangSong" w:cs="FangSong"/>
          <w:sz w:val="24"/>
          <w:szCs w:val="24"/>
          <w:spacing w:val="-88"/>
        </w:rPr>
        <w:t xml:space="preserve"> </w:t>
      </w:r>
      <w:r>
        <w:rPr>
          <w:rFonts w:ascii="FangSong" w:hAnsi="FangSong" w:eastAsia="FangSong" w:cs="FangSong"/>
          <w:sz w:val="24"/>
          <w:szCs w:val="24"/>
          <w:spacing w:val="-4"/>
        </w:rPr>
        <w:t>”。萤石是现代氟化工中氟元素的主要来源，因此广泛用作现代工</w:t>
      </w:r>
      <w:r>
        <w:rPr>
          <w:rFonts w:ascii="FangSong" w:hAnsi="FangSong" w:eastAsia="FangSong" w:cs="FangSong"/>
          <w:sz w:val="24"/>
          <w:szCs w:val="24"/>
          <w:spacing w:val="-5"/>
        </w:rPr>
        <w:t>业的</w:t>
      </w:r>
      <w:r>
        <w:rPr>
          <w:rFonts w:ascii="FangSong" w:hAnsi="FangSong" w:eastAsia="FangSong" w:cs="FangSong"/>
          <w:sz w:val="24"/>
          <w:szCs w:val="24"/>
          <w:spacing w:val="-8"/>
        </w:rPr>
        <w:t>重要矿物原料，且具有相当的不可替代性。一般呈粒状或块状。由于萤石中含氟，</w:t>
      </w:r>
      <w:r>
        <w:rPr>
          <w:rFonts w:ascii="FangSong" w:hAnsi="FangSong" w:eastAsia="FangSong" w:cs="FangSong"/>
          <w:sz w:val="24"/>
          <w:szCs w:val="24"/>
          <w:spacing w:val="-3"/>
        </w:rPr>
        <w:t>在化学工业上它是制取含氟化合物的主要原料，如氢氟酸、人造冰晶</w:t>
      </w:r>
      <w:r>
        <w:rPr>
          <w:rFonts w:ascii="FangSong" w:hAnsi="FangSong" w:eastAsia="FangSong" w:cs="FangSong"/>
          <w:sz w:val="24"/>
          <w:szCs w:val="24"/>
          <w:spacing w:val="-4"/>
        </w:rPr>
        <w:t>石和氟化铝</w:t>
      </w:r>
      <w:r>
        <w:rPr>
          <w:rFonts w:ascii="FangSong" w:hAnsi="FangSong" w:eastAsia="FangSong" w:cs="FangSong"/>
          <w:sz w:val="24"/>
          <w:szCs w:val="24"/>
          <w:spacing w:val="-1"/>
        </w:rPr>
        <w:t>等；除此之外，萤石熔点低，被广泛用于冶金（炼钢和有色金属冶炼）、水泥、</w:t>
      </w:r>
      <w:r>
        <w:rPr>
          <w:rFonts w:ascii="FangSong" w:hAnsi="FangSong" w:eastAsia="FangSong" w:cs="FangSong"/>
          <w:sz w:val="24"/>
          <w:szCs w:val="24"/>
          <w:spacing w:val="-3"/>
        </w:rPr>
        <w:t>玻璃、陶瓷等工业；无色透明的大块萤石晶体还可作为光学萤石和工</w:t>
      </w:r>
      <w:r>
        <w:rPr>
          <w:rFonts w:ascii="FangSong" w:hAnsi="FangSong" w:eastAsia="FangSong" w:cs="FangSong"/>
          <w:sz w:val="24"/>
          <w:szCs w:val="24"/>
          <w:spacing w:val="-4"/>
        </w:rPr>
        <w:t>艺萤石。近</w:t>
      </w:r>
      <w:r>
        <w:rPr>
          <w:rFonts w:ascii="FangSong" w:hAnsi="FangSong" w:eastAsia="FangSong" w:cs="FangSong"/>
          <w:sz w:val="24"/>
          <w:szCs w:val="24"/>
          <w:spacing w:val="-3"/>
        </w:rPr>
        <w:t>年来随着我国氟化工行业逐渐崛起，以及新材料、新能源等战略性新</w:t>
      </w:r>
      <w:r>
        <w:rPr>
          <w:rFonts w:ascii="FangSong" w:hAnsi="FangSong" w:eastAsia="FangSong" w:cs="FangSong"/>
          <w:sz w:val="24"/>
          <w:szCs w:val="24"/>
          <w:spacing w:val="-4"/>
        </w:rPr>
        <w:t>兴行业快速</w:t>
      </w:r>
      <w:r>
        <w:rPr>
          <w:rFonts w:ascii="FangSong" w:hAnsi="FangSong" w:eastAsia="FangSong" w:cs="FangSong"/>
          <w:sz w:val="24"/>
          <w:szCs w:val="24"/>
          <w:spacing w:val="-2"/>
        </w:rPr>
        <w:t>发展，对萤石的需求不断扩大。据统计，</w:t>
      </w:r>
      <w:r>
        <w:rPr>
          <w:rFonts w:ascii="Times New Roman" w:hAnsi="Times New Roman" w:eastAsia="Times New Roman" w:cs="Times New Roman"/>
          <w:sz w:val="24"/>
          <w:szCs w:val="24"/>
          <w:spacing w:val="-2"/>
        </w:rPr>
        <w:t>2013</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2"/>
        </w:rPr>
        <w:t>至</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2022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年，我国萤石产量由</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440</w:t>
      </w:r>
      <w:r>
        <w:rPr>
          <w:rFonts w:ascii="FangSong" w:hAnsi="FangSong" w:eastAsia="FangSong" w:cs="FangSong"/>
          <w:sz w:val="24"/>
          <w:szCs w:val="24"/>
          <w:spacing w:val="-3"/>
        </w:rPr>
        <w:t>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增长至</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570</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，需求量由</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408.4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增</w:t>
      </w:r>
      <w:r>
        <w:rPr>
          <w:rFonts w:ascii="FangSong" w:hAnsi="FangSong" w:eastAsia="FangSong" w:cs="FangSong"/>
          <w:sz w:val="24"/>
          <w:szCs w:val="24"/>
          <w:spacing w:val="-4"/>
        </w:rPr>
        <w:t>长至</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4"/>
        </w:rPr>
        <w:t>550.1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4"/>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。新材料等战略性新</w:t>
      </w:r>
      <w:r>
        <w:rPr>
          <w:rFonts w:ascii="FangSong" w:hAnsi="FangSong" w:eastAsia="FangSong" w:cs="FangSong"/>
          <w:sz w:val="24"/>
          <w:szCs w:val="24"/>
          <w:spacing w:val="-3"/>
        </w:rPr>
        <w:t>兴产业的异军突起，下游汽车、电子、轻工、新能源、环保、航空航</w:t>
      </w:r>
      <w:r>
        <w:rPr>
          <w:rFonts w:ascii="FangSong" w:hAnsi="FangSong" w:eastAsia="FangSong" w:cs="FangSong"/>
          <w:sz w:val="24"/>
          <w:szCs w:val="24"/>
          <w:spacing w:val="-4"/>
        </w:rPr>
        <w:t>天等相关产</w:t>
      </w:r>
      <w:r>
        <w:rPr>
          <w:rFonts w:ascii="FangSong" w:hAnsi="FangSong" w:eastAsia="FangSong" w:cs="FangSong"/>
          <w:sz w:val="24"/>
          <w:szCs w:val="24"/>
          <w:spacing w:val="-8"/>
        </w:rPr>
        <w:t>业对高附加值、高性能的氟聚合物和新型制冷剂市场需求迫切，中高端氟聚合物、</w:t>
      </w:r>
      <w:r>
        <w:rPr>
          <w:rFonts w:ascii="FangSong" w:hAnsi="FangSong" w:eastAsia="FangSong" w:cs="FangSong"/>
          <w:sz w:val="24"/>
          <w:szCs w:val="24"/>
          <w:spacing w:val="-3"/>
        </w:rPr>
        <w:t>新型制冷剂和含氟精细化学品存在较大的发展空间，特别是新能源领</w:t>
      </w:r>
      <w:r>
        <w:rPr>
          <w:rFonts w:ascii="FangSong" w:hAnsi="FangSong" w:eastAsia="FangSong" w:cs="FangSong"/>
          <w:sz w:val="24"/>
          <w:szCs w:val="24"/>
          <w:spacing w:val="-4"/>
        </w:rPr>
        <w:t>域的含氟锂</w:t>
      </w:r>
      <w:r>
        <w:rPr>
          <w:rFonts w:ascii="FangSong" w:hAnsi="FangSong" w:eastAsia="FangSong" w:cs="FangSong"/>
          <w:sz w:val="24"/>
          <w:szCs w:val="24"/>
          <w:spacing w:val="-2"/>
        </w:rPr>
        <w:t>电材料、</w:t>
      </w:r>
      <w:r>
        <w:rPr>
          <w:rFonts w:ascii="Times New Roman" w:hAnsi="Times New Roman" w:eastAsia="Times New Roman" w:cs="Times New Roman"/>
          <w:sz w:val="24"/>
          <w:szCs w:val="24"/>
          <w:spacing w:val="-2"/>
        </w:rPr>
        <w:t>PVDF</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2"/>
        </w:rPr>
        <w:t>、半导体、光伏面板等对萤石的需求将可能快速增长。</w:t>
      </w:r>
    </w:p>
    <w:p>
      <w:pPr>
        <w:ind w:left="29" w:right="11"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3"/>
        </w:rPr>
        <w:t>在此背景下，为更好地开发利用萤石资源，</w:t>
      </w:r>
      <w:r>
        <w:rPr>
          <w:rFonts w:ascii="FangSong" w:hAnsi="FangSong" w:eastAsia="FangSong" w:cs="FangSong"/>
          <w:sz w:val="24"/>
          <w:szCs w:val="24"/>
          <w:spacing w:val="-4"/>
        </w:rPr>
        <w:t>提升非金属矿业开采技术及装备</w:t>
      </w:r>
      <w:r>
        <w:rPr>
          <w:rFonts w:ascii="FangSong" w:hAnsi="FangSong" w:eastAsia="FangSong" w:cs="FangSong"/>
          <w:sz w:val="24"/>
          <w:szCs w:val="24"/>
          <w:spacing w:val="-8"/>
        </w:rPr>
        <w:t>整体水平，完善内蒙古中部区域矿业开采加工产业结构、缓解萤石市场供需矛盾，</w:t>
      </w:r>
      <w:r>
        <w:rPr>
          <w:rFonts w:ascii="FangSong" w:hAnsi="FangSong" w:eastAsia="FangSong" w:cs="FangSong"/>
          <w:sz w:val="24"/>
          <w:szCs w:val="24"/>
          <w:spacing w:val="-1"/>
        </w:rPr>
        <w:t>苏尼特右旗富邦矿业有限公司投资</w:t>
      </w:r>
      <w:r>
        <w:rPr>
          <w:rFonts w:ascii="FangSong" w:hAnsi="FangSong" w:eastAsia="FangSong" w:cs="FangSong"/>
          <w:sz w:val="24"/>
          <w:szCs w:val="24"/>
          <w:spacing w:val="-67"/>
        </w:rPr>
        <w:t xml:space="preserve"> </w:t>
      </w:r>
      <w:r>
        <w:rPr>
          <w:rFonts w:ascii="Times New Roman" w:hAnsi="Times New Roman" w:eastAsia="Times New Roman" w:cs="Times New Roman"/>
          <w:sz w:val="24"/>
          <w:szCs w:val="24"/>
          <w:spacing w:val="-1"/>
        </w:rPr>
        <w:t>9830.78 </w:t>
      </w:r>
      <w:r>
        <w:rPr>
          <w:rFonts w:ascii="FangSong" w:hAnsi="FangSong" w:eastAsia="FangSong" w:cs="FangSong"/>
          <w:sz w:val="24"/>
          <w:szCs w:val="24"/>
          <w:spacing w:val="-1"/>
        </w:rPr>
        <w:t>万元建设苏尼特右旗富邦</w:t>
      </w:r>
      <w:r>
        <w:rPr>
          <w:rFonts w:ascii="FangSong" w:hAnsi="FangSong" w:eastAsia="FangSong" w:cs="FangSong"/>
          <w:sz w:val="24"/>
          <w:szCs w:val="24"/>
          <w:spacing w:val="-2"/>
        </w:rPr>
        <w:t>矿业有限公</w:t>
      </w:r>
      <w:r>
        <w:rPr>
          <w:rFonts w:ascii="FangSong" w:hAnsi="FangSong" w:eastAsia="FangSong" w:cs="FangSong"/>
          <w:sz w:val="24"/>
          <w:szCs w:val="24"/>
          <w:spacing w:val="-4"/>
        </w:rPr>
        <w:t>司苏尼特右旗桑宝力嘎额尔登塔拉萤石矿</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4"/>
        </w:rPr>
        <w:t>10 </w:t>
      </w:r>
      <w:r>
        <w:rPr>
          <w:rFonts w:ascii="FangSong" w:hAnsi="FangSong" w:eastAsia="FangSong" w:cs="FangSong"/>
          <w:sz w:val="24"/>
          <w:szCs w:val="24"/>
          <w:spacing w:val="-4"/>
        </w:rPr>
        <w:t>万</w:t>
      </w:r>
      <w:r>
        <w:rPr>
          <w:rFonts w:ascii="Times New Roman" w:hAnsi="Times New Roman" w:eastAsia="Times New Roman" w:cs="Times New Roman"/>
          <w:sz w:val="24"/>
          <w:szCs w:val="24"/>
          <w:spacing w:val="-4"/>
        </w:rPr>
        <w:t>t/a</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采选项目，矿山规模由</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5 </w:t>
      </w:r>
      <w:r>
        <w:rPr>
          <w:rFonts w:ascii="FangSong" w:hAnsi="FangSong" w:eastAsia="FangSong" w:cs="FangSong"/>
          <w:sz w:val="24"/>
          <w:szCs w:val="24"/>
          <w:spacing w:val="-4"/>
        </w:rPr>
        <w:t>万</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spacing w:val="-4"/>
        </w:rPr>
        <w:t>t/a</w:t>
      </w:r>
      <w:r>
        <w:rPr>
          <w:rFonts w:ascii="FangSong" w:hAnsi="FangSong" w:eastAsia="FangSong" w:cs="FangSong"/>
          <w:sz w:val="24"/>
          <w:szCs w:val="24"/>
          <w:spacing w:val="-4"/>
        </w:rPr>
        <w:t>扩建为</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4"/>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。矿山目标市场以内蒙古中部地区为主。</w:t>
      </w:r>
    </w:p>
    <w:p>
      <w:pPr>
        <w:ind w:left="29" w:right="11" w:firstLine="486"/>
        <w:spacing w:line="360" w:lineRule="auto"/>
        <w:rPr>
          <w:rFonts w:ascii="FangSong" w:hAnsi="FangSong" w:eastAsia="FangSong" w:cs="FangSong"/>
          <w:sz w:val="24"/>
          <w:szCs w:val="24"/>
        </w:rPr>
      </w:pPr>
      <w:r>
        <w:rPr>
          <w:rFonts w:ascii="FangSong" w:hAnsi="FangSong" w:eastAsia="FangSong" w:cs="FangSong"/>
          <w:sz w:val="24"/>
          <w:szCs w:val="24"/>
          <w:spacing w:val="-4"/>
        </w:rPr>
        <w:t>苏尼特右旗桑宝力嘎额尔登塔拉萤石矿在</w:t>
      </w:r>
      <w:r>
        <w:rPr>
          <w:rFonts w:ascii="FangSong" w:hAnsi="FangSong" w:eastAsia="FangSong" w:cs="FangSong"/>
          <w:sz w:val="24"/>
          <w:szCs w:val="24"/>
          <w:spacing w:val="-72"/>
        </w:rPr>
        <w:t xml:space="preserve"> </w:t>
      </w:r>
      <w:r>
        <w:rPr>
          <w:rFonts w:ascii="Times New Roman" w:hAnsi="Times New Roman" w:eastAsia="Times New Roman" w:cs="Times New Roman"/>
          <w:sz w:val="24"/>
          <w:szCs w:val="24"/>
          <w:spacing w:val="-4"/>
        </w:rPr>
        <w:t>2010 </w:t>
      </w:r>
      <w:r>
        <w:rPr>
          <w:rFonts w:ascii="FangSong" w:hAnsi="FangSong" w:eastAsia="FangSong" w:cs="FangSong"/>
          <w:sz w:val="24"/>
          <w:szCs w:val="24"/>
          <w:spacing w:val="-4"/>
        </w:rPr>
        <w:t>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月</w:t>
      </w:r>
      <w:r>
        <w:rPr>
          <w:rFonts w:ascii="FangSong" w:hAnsi="FangSong" w:eastAsia="FangSong" w:cs="FangSong"/>
          <w:sz w:val="24"/>
          <w:szCs w:val="24"/>
          <w:spacing w:val="-72"/>
        </w:rPr>
        <w:t xml:space="preserve"> </w:t>
      </w:r>
      <w:r>
        <w:rPr>
          <w:rFonts w:ascii="Times New Roman" w:hAnsi="Times New Roman" w:eastAsia="Times New Roman" w:cs="Times New Roman"/>
          <w:sz w:val="24"/>
          <w:szCs w:val="24"/>
          <w:spacing w:val="-4"/>
        </w:rPr>
        <w:t>27 </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日被锡林郭勒盟国</w:t>
      </w:r>
      <w:r>
        <w:rPr>
          <w:rFonts w:ascii="FangSong" w:hAnsi="FangSong" w:eastAsia="FangSong" w:cs="FangSong"/>
          <w:sz w:val="24"/>
          <w:szCs w:val="24"/>
          <w:spacing w:val="1"/>
        </w:rPr>
        <w:t>土资源局授予采矿权，采矿许可证号</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C1525002010016120055145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，采矿权人：</w:t>
      </w:r>
      <w:r>
        <w:rPr>
          <w:rFonts w:ascii="FangSong" w:hAnsi="FangSong" w:eastAsia="FangSong" w:cs="FangSong"/>
          <w:sz w:val="24"/>
          <w:szCs w:val="24"/>
          <w:spacing w:val="-7"/>
        </w:rPr>
        <w:t>苏尼特右旗富邦矿业有限公司。开采矿种：萤石（普通</w:t>
      </w:r>
      <w:r>
        <w:rPr>
          <w:rFonts w:ascii="FangSong" w:hAnsi="FangSong" w:eastAsia="FangSong" w:cs="FangSong"/>
          <w:sz w:val="24"/>
          <w:szCs w:val="24"/>
          <w:spacing w:val="-24"/>
        </w:rPr>
        <w:t>），</w:t>
      </w:r>
      <w:r>
        <w:rPr>
          <w:rFonts w:ascii="FangSong" w:hAnsi="FangSong" w:eastAsia="FangSong" w:cs="FangSong"/>
          <w:sz w:val="24"/>
          <w:szCs w:val="24"/>
          <w:spacing w:val="-7"/>
        </w:rPr>
        <w:t>开采方式：地下开采，</w:t>
      </w:r>
      <w:r>
        <w:rPr>
          <w:rFonts w:ascii="FangSong" w:hAnsi="FangSong" w:eastAsia="FangSong" w:cs="FangSong"/>
          <w:sz w:val="24"/>
          <w:szCs w:val="24"/>
          <w:spacing w:val="-5"/>
        </w:rPr>
        <w:t>生产规模：</w:t>
      </w:r>
      <w:r>
        <w:rPr>
          <w:rFonts w:ascii="Times New Roman" w:hAnsi="Times New Roman" w:eastAsia="Times New Roman" w:cs="Times New Roman"/>
          <w:sz w:val="24"/>
          <w:szCs w:val="24"/>
          <w:spacing w:val="-5"/>
        </w:rPr>
        <w:t>3.4</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5"/>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5"/>
        </w:rPr>
        <w:t>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，矿区面积：</w:t>
      </w:r>
      <w:r>
        <w:rPr>
          <w:rFonts w:ascii="Times New Roman" w:hAnsi="Times New Roman" w:eastAsia="Times New Roman" w:cs="Times New Roman"/>
          <w:sz w:val="24"/>
          <w:szCs w:val="24"/>
          <w:spacing w:val="-5"/>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1776km</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，开采标高：</w:t>
      </w:r>
      <w:r>
        <w:rPr>
          <w:rFonts w:ascii="Times New Roman" w:hAnsi="Times New Roman" w:eastAsia="Times New Roman" w:cs="Times New Roman"/>
          <w:sz w:val="24"/>
          <w:szCs w:val="24"/>
          <w:spacing w:val="-5"/>
        </w:rPr>
        <w:t>1065-980m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2014</w:t>
      </w:r>
      <w:r>
        <w:rPr>
          <w:rFonts w:ascii="FangSong" w:hAnsi="FangSong" w:eastAsia="FangSong" w:cs="FangSong"/>
          <w:sz w:val="24"/>
          <w:szCs w:val="24"/>
          <w:spacing w:val="-1"/>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1"/>
        </w:rPr>
        <w:t>月取得环评批复文件，批复文号为：锡署环审表</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
        </w:rPr>
        <w:t>2014]7</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2"/>
        </w:rPr>
        <w:t>号，根据咨询建设</w:t>
      </w:r>
      <w:r>
        <w:rPr>
          <w:rFonts w:ascii="FangSong" w:hAnsi="FangSong" w:eastAsia="FangSong" w:cs="FangSong"/>
          <w:sz w:val="24"/>
          <w:szCs w:val="24"/>
        </w:rPr>
        <w:t>单位，该项目未开展建设。</w:t>
      </w:r>
      <w:r>
        <w:rPr>
          <w:rFonts w:ascii="Times New Roman" w:hAnsi="Times New Roman" w:eastAsia="Times New Roman" w:cs="Times New Roman"/>
          <w:sz w:val="24"/>
          <w:szCs w:val="24"/>
        </w:rPr>
        <w:t>2015</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rPr>
        <w:t>月苏尼特右旗富邦矿业有限公司申请了扩</w:t>
      </w:r>
      <w:r>
        <w:rPr>
          <w:rFonts w:ascii="FangSong" w:hAnsi="FangSong" w:eastAsia="FangSong" w:cs="FangSong"/>
          <w:sz w:val="24"/>
          <w:szCs w:val="24"/>
          <w:spacing w:val="-2"/>
        </w:rPr>
        <w:t>大生产规模，</w:t>
      </w:r>
      <w:r>
        <w:rPr>
          <w:rFonts w:ascii="FangSong" w:hAnsi="FangSong" w:eastAsia="FangSong" w:cs="FangSong"/>
          <w:sz w:val="24"/>
          <w:szCs w:val="24"/>
          <w:spacing w:val="-2"/>
        </w:rPr>
        <w:t xml:space="preserve"> </w:t>
      </w:r>
      <w:r>
        <w:rPr>
          <w:rFonts w:ascii="FangSong" w:hAnsi="FangSong" w:eastAsia="FangSong" w:cs="FangSong"/>
          <w:sz w:val="24"/>
          <w:szCs w:val="24"/>
          <w:spacing w:val="-2"/>
        </w:rPr>
        <w:t>生产规模从</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3.4</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万</w:t>
      </w:r>
      <w:r>
        <w:rPr>
          <w:rFonts w:ascii="Times New Roman" w:hAnsi="Times New Roman" w:eastAsia="Times New Roman" w:cs="Times New Roman"/>
          <w:sz w:val="24"/>
          <w:szCs w:val="24"/>
          <w:spacing w:val="-2"/>
        </w:rPr>
        <w:t>t/a</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扩大到</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，锡林郭勒盟国土资源局为</w:t>
      </w:r>
      <w:r>
        <w:rPr>
          <w:rFonts w:ascii="FangSong" w:hAnsi="FangSong" w:eastAsia="FangSong" w:cs="FangSong"/>
          <w:sz w:val="24"/>
          <w:szCs w:val="24"/>
          <w:spacing w:val="4"/>
        </w:rPr>
        <w:t>苏尼特右旗富邦矿业有限公司苏尼特右旗桑宝力嘎额尔登塔拉</w:t>
      </w:r>
      <w:r>
        <w:rPr>
          <w:rFonts w:ascii="FangSong" w:hAnsi="FangSong" w:eastAsia="FangSong" w:cs="FangSong"/>
          <w:sz w:val="24"/>
          <w:szCs w:val="24"/>
          <w:spacing w:val="3"/>
        </w:rPr>
        <w:t>萤石矿办理了采</w:t>
      </w:r>
      <w:r>
        <w:rPr>
          <w:rFonts w:ascii="FangSong" w:hAnsi="FangSong" w:eastAsia="FangSong" w:cs="FangSong"/>
          <w:sz w:val="24"/>
          <w:szCs w:val="24"/>
          <w:spacing w:val="-2"/>
        </w:rPr>
        <w:t>矿权变更，采矿许可证号：</w:t>
      </w:r>
      <w:r>
        <w:rPr>
          <w:rFonts w:ascii="Times New Roman" w:hAnsi="Times New Roman" w:eastAsia="Times New Roman" w:cs="Times New Roman"/>
          <w:sz w:val="24"/>
          <w:szCs w:val="24"/>
          <w:spacing w:val="-2"/>
        </w:rPr>
        <w:t>C1525002010016120055145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2"/>
        </w:rPr>
        <w:t>，有效期为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年</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月</w:t>
      </w:r>
    </w:p>
    <w:p>
      <w:pPr>
        <w:spacing w:line="360" w:lineRule="auto"/>
        <w:sectPr>
          <w:headerReference w:type="default" r:id="rId11"/>
          <w:footerReference w:type="default" r:id="rId12"/>
          <w:pgSz w:w="11906" w:h="16839"/>
          <w:pgMar w:top="1250" w:right="1723" w:bottom="1349" w:left="1785" w:header="831" w:footer="1162" w:gutter="0"/>
        </w:sectPr>
        <w:rPr>
          <w:rFonts w:ascii="FangSong" w:hAnsi="FangSong" w:eastAsia="FangSong" w:cs="FangSong"/>
          <w:sz w:val="24"/>
          <w:szCs w:val="24"/>
        </w:rPr>
      </w:pPr>
    </w:p>
    <w:p>
      <w:pPr>
        <w:ind w:left="31" w:right="99" w:hanging="12"/>
        <w:spacing w:before="300" w:line="360" w:lineRule="auto"/>
        <w:jc w:val="both"/>
        <w:rPr>
          <w:rFonts w:ascii="FangSong" w:hAnsi="FangSong" w:eastAsia="FangSong" w:cs="FangSong"/>
          <w:sz w:val="24"/>
          <w:szCs w:val="24"/>
        </w:rPr>
      </w:pPr>
      <w:bookmarkStart w:name="bookmark493" w:id="9"/>
      <w:bookmarkEnd w:id="9"/>
      <w:r>
        <w:rPr>
          <w:rFonts w:ascii="Times New Roman" w:hAnsi="Times New Roman" w:eastAsia="Times New Roman" w:cs="Times New Roman"/>
          <w:sz w:val="24"/>
          <w:szCs w:val="24"/>
          <w:spacing w:val="-4"/>
        </w:rPr>
        <w:t>22  </w:t>
      </w:r>
      <w:r>
        <w:rPr>
          <w:rFonts w:ascii="FangSong" w:hAnsi="FangSong" w:eastAsia="FangSong" w:cs="FangSong"/>
          <w:sz w:val="24"/>
          <w:szCs w:val="24"/>
          <w:spacing w:val="-4"/>
        </w:rPr>
        <w:t>日至</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2018</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年</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4"/>
        </w:rPr>
        <w:t>月</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27   </w:t>
      </w:r>
      <w:r>
        <w:rPr>
          <w:rFonts w:ascii="FangSong" w:hAnsi="FangSong" w:eastAsia="FangSong" w:cs="FangSong"/>
          <w:sz w:val="24"/>
          <w:szCs w:val="24"/>
          <w:spacing w:val="-4"/>
        </w:rPr>
        <w:t>日，开采方式：地下开采，开采标高：</w:t>
      </w:r>
      <w:r>
        <w:rPr>
          <w:rFonts w:ascii="Times New Roman" w:hAnsi="Times New Roman" w:eastAsia="Times New Roman" w:cs="Times New Roman"/>
          <w:sz w:val="24"/>
          <w:szCs w:val="24"/>
          <w:spacing w:val="-4"/>
        </w:rPr>
        <w:t>1065-9</w:t>
      </w:r>
      <w:r>
        <w:rPr>
          <w:rFonts w:ascii="Times New Roman" w:hAnsi="Times New Roman" w:eastAsia="Times New Roman" w:cs="Times New Roman"/>
          <w:sz w:val="24"/>
          <w:szCs w:val="24"/>
          <w:spacing w:val="-5"/>
        </w:rPr>
        <w:t>80m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，开</w:t>
      </w:r>
      <w:r>
        <w:rPr>
          <w:rFonts w:ascii="FangSong" w:hAnsi="FangSong" w:eastAsia="FangSong" w:cs="FangSong"/>
          <w:sz w:val="24"/>
          <w:szCs w:val="24"/>
          <w:spacing w:val="-7"/>
        </w:rPr>
        <w:t>采矿种：萤石（普通</w:t>
      </w:r>
      <w:r>
        <w:rPr>
          <w:rFonts w:ascii="FangSong" w:hAnsi="FangSong" w:eastAsia="FangSong" w:cs="FangSong"/>
          <w:sz w:val="24"/>
          <w:szCs w:val="24"/>
          <w:spacing w:val="-21"/>
        </w:rPr>
        <w:t>），</w:t>
      </w:r>
      <w:r>
        <w:rPr>
          <w:rFonts w:ascii="FangSong" w:hAnsi="FangSong" w:eastAsia="FangSong" w:cs="FangSong"/>
          <w:sz w:val="24"/>
          <w:szCs w:val="24"/>
          <w:spacing w:val="-7"/>
        </w:rPr>
        <w:t>生产规模：</w:t>
      </w:r>
      <w:r>
        <w:rPr>
          <w:rFonts w:ascii="Times New Roman" w:hAnsi="Times New Roman" w:eastAsia="Times New Roman" w:cs="Times New Roman"/>
          <w:sz w:val="24"/>
          <w:szCs w:val="24"/>
          <w:spacing w:val="-7"/>
        </w:rPr>
        <w:t>5.0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7"/>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t/a</w:t>
      </w:r>
      <w:r>
        <w:rPr>
          <w:rFonts w:ascii="FangSong" w:hAnsi="FangSong" w:eastAsia="FangSong" w:cs="FangSong"/>
          <w:sz w:val="24"/>
          <w:szCs w:val="24"/>
          <w:spacing w:val="-7"/>
        </w:rPr>
        <w:t>。矿区面积</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8"/>
        </w:rPr>
        <w:t>1776km</w:t>
      </w:r>
      <w:r>
        <w:rPr>
          <w:rFonts w:ascii="Times New Roman" w:hAnsi="Times New Roman" w:eastAsia="Times New Roman" w:cs="Times New Roman"/>
          <w:sz w:val="15"/>
          <w:szCs w:val="15"/>
          <w:spacing w:val="-8"/>
          <w:position w:val="7"/>
        </w:rPr>
        <w:t>2</w:t>
      </w:r>
      <w:r>
        <w:rPr>
          <w:rFonts w:ascii="FangSong" w:hAnsi="FangSong" w:eastAsia="FangSong" w:cs="FangSong"/>
          <w:sz w:val="24"/>
          <w:szCs w:val="24"/>
          <w:spacing w:val="-8"/>
        </w:rPr>
        <w:t>，并于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2015</w:t>
      </w:r>
      <w:r>
        <w:rPr>
          <w:rFonts w:ascii="FangSong" w:hAnsi="FangSong" w:eastAsia="FangSong" w:cs="FangSong"/>
          <w:sz w:val="24"/>
          <w:szCs w:val="24"/>
          <w:spacing w:val="-3"/>
        </w:rPr>
        <w:t>年</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月进行了环评变更工作，于</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2015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月取得批复，批复文号为：苏右环审</w:t>
      </w:r>
      <w:r>
        <w:rPr>
          <w:rFonts w:ascii="FangSong" w:hAnsi="FangSong" w:eastAsia="FangSong" w:cs="FangSong"/>
          <w:sz w:val="24"/>
          <w:szCs w:val="24"/>
          <w:spacing w:val="-7"/>
        </w:rPr>
        <w:t>表</w:t>
      </w:r>
      <w:r>
        <w:rPr>
          <w:rFonts w:ascii="Times New Roman" w:hAnsi="Times New Roman" w:eastAsia="Times New Roman" w:cs="Times New Roman"/>
          <w:sz w:val="24"/>
          <w:szCs w:val="24"/>
          <w:spacing w:val="-7"/>
        </w:rPr>
        <w:t>[2015]9</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7"/>
        </w:rPr>
        <w:t>号。随后分别于</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7"/>
        </w:rPr>
        <w:t>2018</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7"/>
        </w:rPr>
        <w:t>年</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7"/>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27  </w:t>
      </w:r>
      <w:r>
        <w:rPr>
          <w:rFonts w:ascii="FangSong" w:hAnsi="FangSong" w:eastAsia="FangSong" w:cs="FangSong"/>
          <w:sz w:val="24"/>
          <w:szCs w:val="24"/>
          <w:spacing w:val="-7"/>
        </w:rPr>
        <w:t>日和</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7"/>
        </w:rPr>
        <w:t>年</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7"/>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10  </w:t>
      </w:r>
      <w:r>
        <w:rPr>
          <w:rFonts w:ascii="FangSong" w:hAnsi="FangSong" w:eastAsia="FangSong" w:cs="FangSong"/>
          <w:sz w:val="24"/>
          <w:szCs w:val="24"/>
          <w:spacing w:val="-7"/>
        </w:rPr>
        <w:t>日，锡林郭勒盟</w:t>
      </w:r>
      <w:r>
        <w:rPr>
          <w:rFonts w:ascii="FangSong" w:hAnsi="FangSong" w:eastAsia="FangSong" w:cs="FangSong"/>
          <w:sz w:val="24"/>
          <w:szCs w:val="24"/>
          <w:spacing w:val="-3"/>
        </w:rPr>
        <w:t>国土资源局为苏尼特右旗富邦矿业有限公司办理了采矿权延续</w:t>
      </w:r>
      <w:r>
        <w:rPr>
          <w:rFonts w:ascii="FangSong" w:hAnsi="FangSong" w:eastAsia="FangSong" w:cs="FangSong"/>
          <w:sz w:val="24"/>
          <w:szCs w:val="24"/>
          <w:spacing w:val="-4"/>
        </w:rPr>
        <w:t>，但根据建设单位</w:t>
      </w:r>
      <w:r>
        <w:rPr>
          <w:rFonts w:ascii="FangSong" w:hAnsi="FangSong" w:eastAsia="FangSong" w:cs="FangSong"/>
          <w:sz w:val="24"/>
          <w:szCs w:val="24"/>
          <w:spacing w:val="-2"/>
        </w:rPr>
        <w:t>资料显示，该矿未开展建设工作。</w:t>
      </w:r>
    </w:p>
    <w:p>
      <w:pPr>
        <w:ind w:left="25" w:right="33" w:firstLine="473"/>
        <w:spacing w:before="3" w:line="360" w:lineRule="auto"/>
        <w:jc w:val="both"/>
        <w:rPr>
          <w:rFonts w:ascii="FangSong" w:hAnsi="FangSong" w:eastAsia="FangSong" w:cs="FangSong"/>
          <w:sz w:val="24"/>
          <w:szCs w:val="24"/>
        </w:rPr>
      </w:pPr>
      <w:r>
        <w:rPr>
          <w:rFonts w:ascii="Times New Roman" w:hAnsi="Times New Roman" w:eastAsia="Times New Roman" w:cs="Times New Roman"/>
          <w:sz w:val="24"/>
          <w:szCs w:val="24"/>
          <w:spacing w:val="-3"/>
        </w:rPr>
        <w:t>2024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3"/>
        </w:rPr>
        <w:t>月</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11  </w:t>
      </w:r>
      <w:r>
        <w:rPr>
          <w:rFonts w:ascii="FangSong" w:hAnsi="FangSong" w:eastAsia="FangSong" w:cs="FangSong"/>
          <w:sz w:val="24"/>
          <w:szCs w:val="24"/>
          <w:spacing w:val="-3"/>
        </w:rPr>
        <w:t>日，锡林郭勒盟自然资源局为苏尼特右旗富邦矿业有限</w:t>
      </w:r>
      <w:r>
        <w:rPr>
          <w:rFonts w:ascii="FangSong" w:hAnsi="FangSong" w:eastAsia="FangSong" w:cs="FangSong"/>
          <w:sz w:val="24"/>
          <w:szCs w:val="24"/>
          <w:spacing w:val="31"/>
        </w:rPr>
        <w:t xml:space="preserve"> </w:t>
      </w:r>
      <w:r>
        <w:rPr>
          <w:rFonts w:ascii="FangSong" w:hAnsi="FangSong" w:eastAsia="FangSong" w:cs="FangSong"/>
          <w:sz w:val="24"/>
          <w:szCs w:val="24"/>
          <w:spacing w:val="-3"/>
        </w:rPr>
        <w:t>公</w:t>
      </w:r>
      <w:r>
        <w:rPr>
          <w:rFonts w:ascii="FangSong" w:hAnsi="FangSong" w:eastAsia="FangSong" w:cs="FangSong"/>
          <w:sz w:val="24"/>
          <w:szCs w:val="24"/>
          <w:spacing w:val="-7"/>
        </w:rPr>
        <w:t>司延续了采矿许可证，采矿许可证号：</w:t>
      </w:r>
      <w:r>
        <w:rPr>
          <w:rFonts w:ascii="Times New Roman" w:hAnsi="Times New Roman" w:eastAsia="Times New Roman" w:cs="Times New Roman"/>
          <w:sz w:val="24"/>
          <w:szCs w:val="24"/>
          <w:spacing w:val="-7"/>
        </w:rPr>
        <w:t>C1525002010016120055145</w:t>
      </w:r>
      <w:r>
        <w:rPr>
          <w:rFonts w:ascii="FangSong" w:hAnsi="FangSong" w:eastAsia="FangSong" w:cs="FangSong"/>
          <w:sz w:val="24"/>
          <w:szCs w:val="24"/>
          <w:spacing w:val="-7"/>
        </w:rPr>
        <w:t>，有效期为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7"/>
        </w:rPr>
        <w:t>2023</w:t>
      </w:r>
      <w:r>
        <w:rPr>
          <w:rFonts w:ascii="FangSong" w:hAnsi="FangSong" w:eastAsia="FangSong" w:cs="FangSong"/>
          <w:sz w:val="24"/>
          <w:szCs w:val="24"/>
          <w:spacing w:val="-6"/>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12</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6"/>
        </w:rPr>
        <w:t>月</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31  </w:t>
      </w:r>
      <w:r>
        <w:rPr>
          <w:rFonts w:ascii="FangSong" w:hAnsi="FangSong" w:eastAsia="FangSong" w:cs="FangSong"/>
          <w:sz w:val="24"/>
          <w:szCs w:val="24"/>
          <w:spacing w:val="-6"/>
        </w:rPr>
        <w:t>日至</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6"/>
        </w:rPr>
        <w:t>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12</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6"/>
        </w:rPr>
        <w:t>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31  </w:t>
      </w:r>
      <w:r>
        <w:rPr>
          <w:rFonts w:ascii="FangSong" w:hAnsi="FangSong" w:eastAsia="FangSong" w:cs="FangSong"/>
          <w:sz w:val="24"/>
          <w:szCs w:val="24"/>
          <w:spacing w:val="-7"/>
        </w:rPr>
        <w:t>日。矿山名称：苏尼特右旗桑宝力嘎额尔登塔</w:t>
      </w:r>
      <w:r>
        <w:rPr>
          <w:rFonts w:ascii="FangSong" w:hAnsi="FangSong" w:eastAsia="FangSong" w:cs="FangSong"/>
          <w:sz w:val="24"/>
          <w:szCs w:val="24"/>
          <w:spacing w:val="-3"/>
        </w:rPr>
        <w:t>拉萤石矿；开采矿种：萤石（普通</w:t>
      </w:r>
      <w:r>
        <w:rPr>
          <w:rFonts w:ascii="FangSong" w:hAnsi="FangSong" w:eastAsia="FangSong" w:cs="FangSong"/>
          <w:sz w:val="24"/>
          <w:szCs w:val="24"/>
          <w:spacing w:val="-4"/>
        </w:rPr>
        <w:t>）；</w:t>
      </w:r>
      <w:r>
        <w:rPr>
          <w:rFonts w:ascii="FangSong" w:hAnsi="FangSong" w:eastAsia="FangSong" w:cs="FangSong"/>
          <w:sz w:val="24"/>
          <w:szCs w:val="24"/>
          <w:spacing w:val="-3"/>
        </w:rPr>
        <w:t>开采方式：地下开采；生产规模：采矿证</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10"/>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0"/>
        </w:rPr>
        <w:t>t/a</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调整为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0"/>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0"/>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0"/>
        </w:rPr>
        <w:t>t/a</w:t>
      </w:r>
      <w:r>
        <w:rPr>
          <w:rFonts w:ascii="FangSong" w:hAnsi="FangSong" w:eastAsia="FangSong" w:cs="FangSong"/>
          <w:sz w:val="24"/>
          <w:szCs w:val="24"/>
          <w:spacing w:val="-10"/>
        </w:rPr>
        <w:t>；矿区面积：</w:t>
      </w:r>
      <w:r>
        <w:rPr>
          <w:rFonts w:ascii="Times New Roman" w:hAnsi="Times New Roman" w:eastAsia="Times New Roman" w:cs="Times New Roman"/>
          <w:sz w:val="24"/>
          <w:szCs w:val="24"/>
          <w:spacing w:val="-10"/>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1"/>
        </w:rPr>
        <w:t>776km</w:t>
      </w:r>
      <w:r>
        <w:rPr>
          <w:rFonts w:ascii="Times New Roman" w:hAnsi="Times New Roman" w:eastAsia="Times New Roman" w:cs="Times New Roman"/>
          <w:sz w:val="15"/>
          <w:szCs w:val="15"/>
          <w:spacing w:val="4"/>
          <w:position w:val="7"/>
        </w:rPr>
        <w:t>2</w:t>
      </w:r>
      <w:r>
        <w:rPr>
          <w:rFonts w:ascii="FangSong" w:hAnsi="FangSong" w:eastAsia="FangSong" w:cs="FangSong"/>
          <w:sz w:val="24"/>
          <w:szCs w:val="24"/>
          <w:spacing w:val="-13"/>
        </w:rPr>
        <w:t>；开采深度：采矿证</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3"/>
        </w:rPr>
        <w:t>1065m-980m</w:t>
      </w:r>
      <w:r>
        <w:rPr>
          <w:rFonts w:ascii="FangSong" w:hAnsi="FangSong" w:eastAsia="FangSong" w:cs="FangSong"/>
          <w:sz w:val="24"/>
          <w:szCs w:val="24"/>
          <w:spacing w:val="-13"/>
        </w:rPr>
        <w:t>，</w:t>
      </w:r>
      <w:r>
        <w:rPr>
          <w:rFonts w:ascii="FangSong" w:hAnsi="FangSong" w:eastAsia="FangSong" w:cs="FangSong"/>
          <w:sz w:val="24"/>
          <w:szCs w:val="24"/>
          <w:spacing w:val="-5"/>
        </w:rPr>
        <w:t>采矿权范围由</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spacing w:val="-5"/>
        </w:rPr>
        <w:t>19</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个拐点圈定。</w:t>
      </w:r>
    </w:p>
    <w:p>
      <w:pPr>
        <w:ind w:left="25" w:right="99" w:firstLine="485"/>
        <w:spacing w:before="13" w:line="359" w:lineRule="auto"/>
        <w:jc w:val="both"/>
        <w:rPr>
          <w:rFonts w:ascii="FangSong" w:hAnsi="FangSong" w:eastAsia="FangSong" w:cs="FangSong"/>
          <w:sz w:val="24"/>
          <w:szCs w:val="24"/>
        </w:rPr>
      </w:pPr>
      <w:r>
        <w:rPr>
          <w:rFonts w:ascii="FangSong" w:hAnsi="FangSong" w:eastAsia="FangSong" w:cs="FangSong"/>
          <w:sz w:val="24"/>
          <w:szCs w:val="24"/>
          <w:spacing w:val="-3"/>
        </w:rPr>
        <w:t>根据《中华人民共和国环境影响评价法》第二</w:t>
      </w:r>
      <w:r>
        <w:rPr>
          <w:rFonts w:ascii="FangSong" w:hAnsi="FangSong" w:eastAsia="FangSong" w:cs="FangSong"/>
          <w:sz w:val="24"/>
          <w:szCs w:val="24"/>
          <w:spacing w:val="-4"/>
        </w:rPr>
        <w:t>十四条规定“建设项目的环境</w:t>
      </w:r>
      <w:r>
        <w:rPr>
          <w:rFonts w:ascii="FangSong" w:hAnsi="FangSong" w:eastAsia="FangSong" w:cs="FangSong"/>
          <w:sz w:val="24"/>
          <w:szCs w:val="24"/>
          <w:spacing w:val="-3"/>
        </w:rPr>
        <w:t>影响评价文件经批准后，建设项目的性质、规模、地点、采用的生产工艺或</w:t>
      </w:r>
      <w:r>
        <w:rPr>
          <w:rFonts w:ascii="FangSong" w:hAnsi="FangSong" w:eastAsia="FangSong" w:cs="FangSong"/>
          <w:sz w:val="24"/>
          <w:szCs w:val="24"/>
          <w:spacing w:val="-4"/>
        </w:rPr>
        <w:t>者防</w:t>
      </w:r>
      <w:r>
        <w:rPr>
          <w:rFonts w:ascii="FangSong" w:hAnsi="FangSong" w:eastAsia="FangSong" w:cs="FangSong"/>
          <w:sz w:val="24"/>
          <w:szCs w:val="24"/>
          <w:spacing w:val="-3"/>
        </w:rPr>
        <w:t>治污染、防止生态破坏的措施发生重大变动的，建设单位应当重新报批建设</w:t>
      </w:r>
      <w:r>
        <w:rPr>
          <w:rFonts w:ascii="FangSong" w:hAnsi="FangSong" w:eastAsia="FangSong" w:cs="FangSong"/>
          <w:sz w:val="24"/>
          <w:szCs w:val="24"/>
          <w:spacing w:val="-4"/>
        </w:rPr>
        <w:t>项目</w:t>
      </w:r>
      <w:r>
        <w:rPr>
          <w:rFonts w:ascii="FangSong" w:hAnsi="FangSong" w:eastAsia="FangSong" w:cs="FangSong"/>
          <w:sz w:val="24"/>
          <w:szCs w:val="24"/>
          <w:spacing w:val="-3"/>
        </w:rPr>
        <w:t>的环境影响评价文件。建设项目的环境影响评价文件自批准之日起超过五年</w:t>
      </w:r>
      <w:r>
        <w:rPr>
          <w:rFonts w:ascii="FangSong" w:hAnsi="FangSong" w:eastAsia="FangSong" w:cs="FangSong"/>
          <w:sz w:val="24"/>
          <w:szCs w:val="24"/>
          <w:spacing w:val="-4"/>
        </w:rPr>
        <w:t>，方</w:t>
      </w:r>
      <w:r>
        <w:rPr>
          <w:rFonts w:ascii="FangSong" w:hAnsi="FangSong" w:eastAsia="FangSong" w:cs="FangSong"/>
          <w:sz w:val="24"/>
          <w:szCs w:val="24"/>
          <w:spacing w:val="-3"/>
        </w:rPr>
        <w:t>决定该项目开工建设的，其环境影响评价文件应当报原审批部门重新审核；</w:t>
      </w:r>
      <w:r>
        <w:rPr>
          <w:rFonts w:ascii="FangSong" w:hAnsi="FangSong" w:eastAsia="FangSong" w:cs="FangSong"/>
          <w:sz w:val="24"/>
          <w:szCs w:val="24"/>
          <w:spacing w:val="-4"/>
        </w:rPr>
        <w:t>原审</w:t>
      </w:r>
      <w:r>
        <w:rPr>
          <w:rFonts w:ascii="FangSong" w:hAnsi="FangSong" w:eastAsia="FangSong" w:cs="FangSong"/>
          <w:sz w:val="24"/>
          <w:szCs w:val="24"/>
          <w:spacing w:val="-3"/>
        </w:rPr>
        <w:t>批部门应当自收到建设项目环境影响评价文件之日起十日内，将审核意见书</w:t>
      </w:r>
      <w:r>
        <w:rPr>
          <w:rFonts w:ascii="FangSong" w:hAnsi="FangSong" w:eastAsia="FangSong" w:cs="FangSong"/>
          <w:sz w:val="24"/>
          <w:szCs w:val="24"/>
          <w:spacing w:val="-4"/>
        </w:rPr>
        <w:t>面通</w:t>
      </w:r>
      <w:r>
        <w:rPr>
          <w:rFonts w:ascii="FangSong" w:hAnsi="FangSong" w:eastAsia="FangSong" w:cs="FangSong"/>
          <w:sz w:val="24"/>
          <w:szCs w:val="24"/>
          <w:spacing w:val="-3"/>
        </w:rPr>
        <w:t>知建设单位</w:t>
      </w:r>
      <w:r>
        <w:rPr>
          <w:rFonts w:ascii="FangSong" w:hAnsi="FangSong" w:eastAsia="FangSong" w:cs="FangSong"/>
          <w:sz w:val="24"/>
          <w:szCs w:val="24"/>
          <w:spacing w:val="-89"/>
        </w:rPr>
        <w:t xml:space="preserve"> </w:t>
      </w:r>
      <w:r>
        <w:rPr>
          <w:rFonts w:ascii="FangSong" w:hAnsi="FangSong" w:eastAsia="FangSong" w:cs="FangSong"/>
          <w:sz w:val="24"/>
          <w:szCs w:val="24"/>
          <w:spacing w:val="-3"/>
        </w:rPr>
        <w:t>”。本项目自</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2015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月批复后至今未开展建设建设工作，已超过</w:t>
      </w:r>
      <w:r>
        <w:rPr>
          <w:rFonts w:ascii="Times New Roman" w:hAnsi="Times New Roman" w:eastAsia="Times New Roman" w:cs="Times New Roman"/>
          <w:sz w:val="24"/>
          <w:szCs w:val="24"/>
        </w:rPr>
        <w:t>5</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rPr>
        <w:t>年，经对比原苏尼特右旗环境保护局文件“苏右环审表</w:t>
      </w:r>
      <w:r>
        <w:rPr>
          <w:rFonts w:ascii="Times New Roman" w:hAnsi="Times New Roman" w:eastAsia="Times New Roman" w:cs="Times New Roman"/>
          <w:sz w:val="24"/>
          <w:szCs w:val="24"/>
        </w:rPr>
        <w:t>[2015]9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号</w:t>
      </w:r>
      <w:r>
        <w:rPr>
          <w:rFonts w:ascii="FangSong" w:hAnsi="FangSong" w:eastAsia="FangSong" w:cs="FangSong"/>
          <w:sz w:val="24"/>
          <w:szCs w:val="24"/>
          <w:spacing w:val="-83"/>
        </w:rPr>
        <w:t xml:space="preserve"> </w:t>
      </w:r>
      <w:r>
        <w:rPr>
          <w:rFonts w:ascii="FangSong" w:hAnsi="FangSong" w:eastAsia="FangSong" w:cs="FangSong"/>
          <w:sz w:val="24"/>
          <w:szCs w:val="24"/>
        </w:rPr>
        <w:t>”中对本项</w:t>
      </w:r>
      <w:r>
        <w:rPr>
          <w:rFonts w:ascii="FangSong" w:hAnsi="FangSong" w:eastAsia="FangSong" w:cs="FangSong"/>
          <w:sz w:val="24"/>
          <w:szCs w:val="24"/>
          <w:spacing w:val="-3"/>
        </w:rPr>
        <w:t>目批复情况可知，本项目开采规模、采深标高、永久占地面积、采矿设备及</w:t>
      </w:r>
      <w:r>
        <w:rPr>
          <w:rFonts w:ascii="FangSong" w:hAnsi="FangSong" w:eastAsia="FangSong" w:cs="FangSong"/>
          <w:sz w:val="24"/>
          <w:szCs w:val="24"/>
          <w:spacing w:val="-4"/>
        </w:rPr>
        <w:t>原辅</w:t>
      </w:r>
      <w:r>
        <w:rPr>
          <w:rFonts w:ascii="FangSong" w:hAnsi="FangSong" w:eastAsia="FangSong" w:cs="FangSong"/>
          <w:sz w:val="24"/>
          <w:szCs w:val="24"/>
          <w:spacing w:val="-3"/>
        </w:rPr>
        <w:t>材料和平面布置、污染防治措施均发生改变，根据《污染影响类建设项目重</w:t>
      </w:r>
      <w:r>
        <w:rPr>
          <w:rFonts w:ascii="FangSong" w:hAnsi="FangSong" w:eastAsia="FangSong" w:cs="FangSong"/>
          <w:sz w:val="24"/>
          <w:szCs w:val="24"/>
          <w:spacing w:val="-4"/>
        </w:rPr>
        <w:t>大变</w:t>
      </w:r>
      <w:r>
        <w:rPr>
          <w:rFonts w:ascii="FangSong" w:hAnsi="FangSong" w:eastAsia="FangSong" w:cs="FangSong"/>
          <w:sz w:val="24"/>
          <w:szCs w:val="24"/>
          <w:spacing w:val="-3"/>
        </w:rPr>
        <w:t>动清单（试行）》可知，变化内容属于重大变动情况，故本次对项目的重新</w:t>
      </w:r>
      <w:r>
        <w:rPr>
          <w:rFonts w:ascii="FangSong" w:hAnsi="FangSong" w:eastAsia="FangSong" w:cs="FangSong"/>
          <w:sz w:val="24"/>
          <w:szCs w:val="24"/>
          <w:spacing w:val="-4"/>
        </w:rPr>
        <w:t>编制</w:t>
      </w:r>
      <w:r>
        <w:rPr>
          <w:rFonts w:ascii="FangSong" w:hAnsi="FangSong" w:eastAsia="FangSong" w:cs="FangSong"/>
          <w:sz w:val="24"/>
          <w:szCs w:val="24"/>
          <w:spacing w:val="-1"/>
        </w:rPr>
        <w:t>环境影响评价文件重新报批，项目建设性质为新建。</w:t>
      </w:r>
    </w:p>
    <w:p>
      <w:pPr>
        <w:ind w:left="29" w:firstLine="481"/>
        <w:spacing w:before="3" w:line="360" w:lineRule="auto"/>
        <w:jc w:val="both"/>
        <w:rPr>
          <w:rFonts w:ascii="FangSong" w:hAnsi="FangSong" w:eastAsia="FangSong" w:cs="FangSong"/>
          <w:sz w:val="24"/>
          <w:szCs w:val="24"/>
        </w:rPr>
      </w:pPr>
      <w:r>
        <w:rPr>
          <w:rFonts w:ascii="FangSong" w:hAnsi="FangSong" w:eastAsia="FangSong" w:cs="FangSong"/>
          <w:sz w:val="24"/>
          <w:szCs w:val="24"/>
          <w:spacing w:val="-4"/>
        </w:rPr>
        <w:t>根据国务院第</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682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号令《建设项目环境保护管理条例》和</w:t>
      </w:r>
      <w:r>
        <w:rPr>
          <w:rFonts w:ascii="FangSong" w:hAnsi="FangSong" w:eastAsia="FangSong" w:cs="FangSong"/>
          <w:sz w:val="24"/>
          <w:szCs w:val="24"/>
          <w:spacing w:val="-5"/>
        </w:rPr>
        <w:t>《中华人民共和国</w:t>
      </w:r>
      <w:r>
        <w:rPr>
          <w:rFonts w:ascii="FangSong" w:hAnsi="FangSong" w:eastAsia="FangSong" w:cs="FangSong"/>
          <w:sz w:val="24"/>
          <w:szCs w:val="24"/>
          <w:spacing w:val="-3"/>
        </w:rPr>
        <w:t>环境影响评价法》的规定，“苏尼特右旗富邦矿业有限公司苏尼特右</w:t>
      </w:r>
      <w:r>
        <w:rPr>
          <w:rFonts w:ascii="FangSong" w:hAnsi="FangSong" w:eastAsia="FangSong" w:cs="FangSong"/>
          <w:sz w:val="24"/>
          <w:szCs w:val="24"/>
          <w:spacing w:val="-4"/>
        </w:rPr>
        <w:t>旗桑宝力嘎</w:t>
      </w:r>
      <w:r>
        <w:rPr>
          <w:rFonts w:ascii="FangSong" w:hAnsi="FangSong" w:eastAsia="FangSong" w:cs="FangSong"/>
          <w:sz w:val="24"/>
          <w:szCs w:val="24"/>
          <w:spacing w:val="-4"/>
        </w:rPr>
        <w:t>额尔登塔拉萤石矿</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万</w:t>
      </w:r>
      <w:r>
        <w:rPr>
          <w:rFonts w:ascii="Times New Roman" w:hAnsi="Times New Roman" w:eastAsia="Times New Roman" w:cs="Times New Roman"/>
          <w:sz w:val="24"/>
          <w:szCs w:val="24"/>
          <w:spacing w:val="-4"/>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采选项目</w:t>
      </w:r>
      <w:r>
        <w:rPr>
          <w:rFonts w:ascii="FangSong" w:hAnsi="FangSong" w:eastAsia="FangSong" w:cs="FangSong"/>
          <w:sz w:val="24"/>
          <w:szCs w:val="24"/>
          <w:spacing w:val="-88"/>
        </w:rPr>
        <w:t xml:space="preserve"> </w:t>
      </w:r>
      <w:r>
        <w:rPr>
          <w:rFonts w:ascii="FangSong" w:hAnsi="FangSong" w:eastAsia="FangSong" w:cs="FangSong"/>
          <w:sz w:val="24"/>
          <w:szCs w:val="24"/>
          <w:spacing w:val="-4"/>
        </w:rPr>
        <w:t>”应开展环境影响评价工作。按照《建设项</w:t>
      </w:r>
      <w:r>
        <w:rPr>
          <w:rFonts w:ascii="FangSong" w:hAnsi="FangSong" w:eastAsia="FangSong" w:cs="FangSong"/>
          <w:sz w:val="24"/>
          <w:szCs w:val="24"/>
          <w:spacing w:val="-3"/>
        </w:rPr>
        <w:t>目环境影响评价分类管理名录》（</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年版</w:t>
      </w:r>
      <w:r>
        <w:rPr>
          <w:rFonts w:ascii="FangSong" w:hAnsi="FangSong" w:eastAsia="FangSong" w:cs="FangSong"/>
          <w:sz w:val="24"/>
          <w:szCs w:val="24"/>
          <w:spacing w:val="8"/>
        </w:rPr>
        <w:t>），</w:t>
      </w:r>
      <w:r>
        <w:rPr>
          <w:rFonts w:ascii="FangSong" w:hAnsi="FangSong" w:eastAsia="FangSong" w:cs="FangSong"/>
          <w:sz w:val="24"/>
          <w:szCs w:val="24"/>
          <w:spacing w:val="-3"/>
        </w:rPr>
        <w:t>本项目（萤石矿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万</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采选）</w:t>
      </w:r>
      <w:r>
        <w:rPr>
          <w:rFonts w:ascii="FangSong" w:hAnsi="FangSong" w:eastAsia="FangSong" w:cs="FangSong"/>
          <w:sz w:val="24"/>
          <w:szCs w:val="24"/>
          <w:spacing w:val="-5"/>
        </w:rPr>
        <w:t>属于八、非金属矿采选业“</w:t>
      </w:r>
      <w:r>
        <w:rPr>
          <w:rFonts w:ascii="FangSong" w:hAnsi="FangSong" w:eastAsia="FangSong" w:cs="FangSong"/>
          <w:sz w:val="24"/>
          <w:szCs w:val="24"/>
          <w:spacing w:val="-81"/>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、石棉及其他非金属矿采选</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109</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”中“全部（不含</w:t>
      </w:r>
    </w:p>
    <w:p>
      <w:pPr>
        <w:spacing w:line="360" w:lineRule="auto"/>
        <w:sectPr>
          <w:headerReference w:type="default" r:id="rId13"/>
          <w:footerReference w:type="default" r:id="rId14"/>
          <w:pgSz w:w="11906" w:h="16839"/>
          <w:pgMar w:top="1250" w:right="1700" w:bottom="1349" w:left="1785" w:header="831" w:footer="1162" w:gutter="0"/>
        </w:sectPr>
        <w:rPr>
          <w:rFonts w:ascii="FangSong" w:hAnsi="FangSong" w:eastAsia="FangSong" w:cs="FangSong"/>
          <w:sz w:val="24"/>
          <w:szCs w:val="24"/>
        </w:rPr>
      </w:pPr>
    </w:p>
    <w:p>
      <w:pPr>
        <w:ind w:left="29" w:right="182" w:firstLine="4"/>
        <w:spacing w:before="303" w:line="360" w:lineRule="auto"/>
        <w:jc w:val="both"/>
        <w:rPr>
          <w:rFonts w:ascii="FangSong" w:hAnsi="FangSong" w:eastAsia="FangSong" w:cs="FangSong"/>
          <w:sz w:val="24"/>
          <w:szCs w:val="24"/>
        </w:rPr>
      </w:pPr>
      <w:r>
        <w:rPr>
          <w:rFonts w:ascii="FangSong" w:hAnsi="FangSong" w:eastAsia="FangSong" w:cs="FangSong"/>
          <w:sz w:val="24"/>
          <w:szCs w:val="24"/>
          <w:spacing w:val="-5"/>
        </w:rPr>
        <w:t>单独的矿石破碎、集运；不含矿区修复治理工程）”,</w:t>
      </w:r>
      <w:r>
        <w:rPr>
          <w:rFonts w:ascii="FangSong" w:hAnsi="FangSong" w:eastAsia="FangSong" w:cs="FangSong"/>
          <w:sz w:val="24"/>
          <w:szCs w:val="24"/>
          <w:spacing w:val="59"/>
        </w:rPr>
        <w:t xml:space="preserve"> </w:t>
      </w:r>
      <w:r>
        <w:rPr>
          <w:rFonts w:ascii="FangSong" w:hAnsi="FangSong" w:eastAsia="FangSong" w:cs="FangSong"/>
          <w:sz w:val="24"/>
          <w:szCs w:val="24"/>
          <w:spacing w:val="-5"/>
        </w:rPr>
        <w:t>评价类别应为报告书。受</w:t>
      </w:r>
      <w:r>
        <w:rPr>
          <w:rFonts w:ascii="FangSong" w:hAnsi="FangSong" w:eastAsia="FangSong" w:cs="FangSong"/>
          <w:sz w:val="24"/>
          <w:szCs w:val="24"/>
          <w:spacing w:val="-3"/>
        </w:rPr>
        <w:t>建设单位委托，内蒙古穆元工程咨询有限公司承担本项目环境影响</w:t>
      </w:r>
      <w:r>
        <w:rPr>
          <w:rFonts w:ascii="FangSong" w:hAnsi="FangSong" w:eastAsia="FangSong" w:cs="FangSong"/>
          <w:sz w:val="24"/>
          <w:szCs w:val="24"/>
          <w:spacing w:val="-4"/>
        </w:rPr>
        <w:t>评价工作。依</w:t>
      </w:r>
      <w:r>
        <w:rPr>
          <w:rFonts w:ascii="FangSong" w:hAnsi="FangSong" w:eastAsia="FangSong" w:cs="FangSong"/>
          <w:sz w:val="24"/>
          <w:szCs w:val="24"/>
          <w:spacing w:val="-3"/>
        </w:rPr>
        <w:t>据环评导则、环保有关的法规要求及建设单位提供的有关技术资料</w:t>
      </w:r>
      <w:r>
        <w:rPr>
          <w:rFonts w:ascii="FangSong" w:hAnsi="FangSong" w:eastAsia="FangSong" w:cs="FangSong"/>
          <w:sz w:val="24"/>
          <w:szCs w:val="24"/>
          <w:spacing w:val="-4"/>
        </w:rPr>
        <w:t>，评价单位现</w:t>
      </w:r>
      <w:r>
        <w:rPr>
          <w:rFonts w:ascii="FangSong" w:hAnsi="FangSong" w:eastAsia="FangSong" w:cs="FangSong"/>
          <w:sz w:val="24"/>
          <w:szCs w:val="24"/>
          <w:spacing w:val="-3"/>
        </w:rPr>
        <w:t>已编制完成《苏尼特右旗富邦矿业有限公司苏尼特右旗桑宝力嘎额</w:t>
      </w:r>
      <w:r>
        <w:rPr>
          <w:rFonts w:ascii="FangSong" w:hAnsi="FangSong" w:eastAsia="FangSong" w:cs="FangSong"/>
          <w:sz w:val="24"/>
          <w:szCs w:val="24"/>
          <w:spacing w:val="-4"/>
        </w:rPr>
        <w:t>尔登塔拉萤石</w:t>
      </w:r>
      <w:r>
        <w:rPr>
          <w:rFonts w:ascii="FangSong" w:hAnsi="FangSong" w:eastAsia="FangSong" w:cs="FangSong"/>
          <w:sz w:val="24"/>
          <w:szCs w:val="24"/>
          <w:spacing w:val="-1"/>
        </w:rPr>
        <w:t>矿</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采选项目环境影响报告书（报批版）》。</w:t>
      </w:r>
    </w:p>
    <w:p>
      <w:pPr>
        <w:ind w:left="34" w:right="182" w:firstLine="477"/>
        <w:spacing w:before="1" w:line="359" w:lineRule="auto"/>
        <w:rPr>
          <w:rFonts w:ascii="FangSong" w:hAnsi="FangSong" w:eastAsia="FangSong" w:cs="FangSong"/>
          <w:sz w:val="24"/>
          <w:szCs w:val="24"/>
        </w:rPr>
      </w:pPr>
      <w:r>
        <w:rPr>
          <w:rFonts w:ascii="FangSong" w:hAnsi="FangSong" w:eastAsia="FangSong" w:cs="FangSong"/>
          <w:sz w:val="24"/>
          <w:szCs w:val="24"/>
          <w:spacing w:val="-3"/>
        </w:rPr>
        <w:t>在报告书的编制过程中得到了锡林郭勒盟生</w:t>
      </w:r>
      <w:r>
        <w:rPr>
          <w:rFonts w:ascii="FangSong" w:hAnsi="FangSong" w:eastAsia="FangSong" w:cs="FangSong"/>
          <w:sz w:val="24"/>
          <w:szCs w:val="24"/>
          <w:spacing w:val="-4"/>
        </w:rPr>
        <w:t>态环境局锡林浩特市分局、建设</w:t>
      </w:r>
      <w:r>
        <w:rPr>
          <w:rFonts w:ascii="FangSong" w:hAnsi="FangSong" w:eastAsia="FangSong" w:cs="FangSong"/>
          <w:sz w:val="24"/>
          <w:szCs w:val="24"/>
          <w:spacing w:val="-1"/>
        </w:rPr>
        <w:t>单位的大力支持和帮助，在此表示衷心的感谢！</w:t>
      </w:r>
    </w:p>
    <w:p>
      <w:pPr>
        <w:ind w:left="32"/>
        <w:spacing w:before="60" w:line="224" w:lineRule="auto"/>
        <w:outlineLvl w:val="1"/>
        <w:rPr>
          <w:rFonts w:ascii="FangSong" w:hAnsi="FangSong" w:eastAsia="FangSong" w:cs="FangSong"/>
          <w:sz w:val="28"/>
          <w:szCs w:val="28"/>
        </w:rPr>
      </w:pPr>
      <w:bookmarkStart w:name="bookmark6" w:id="10"/>
      <w:bookmarkEnd w:id="10"/>
      <w:bookmarkStart w:name="bookmark5" w:id="11"/>
      <w:bookmarkEnd w:id="11"/>
      <w:r>
        <w:rPr>
          <w:rFonts w:ascii="Times New Roman" w:hAnsi="Times New Roman" w:eastAsia="Times New Roman" w:cs="Times New Roman"/>
          <w:sz w:val="28"/>
          <w:szCs w:val="28"/>
          <w:b/>
          <w:bCs/>
          <w:spacing w:val="-7"/>
        </w:rPr>
        <w:t>1.2</w:t>
      </w:r>
      <w:r>
        <w:rPr>
          <w:rFonts w:ascii="Times New Roman" w:hAnsi="Times New Roman" w:eastAsia="Times New Roman" w:cs="Times New Roman"/>
          <w:sz w:val="28"/>
          <w:szCs w:val="28"/>
          <w:b/>
          <w:bCs/>
          <w:spacing w:val="10"/>
        </w:rPr>
        <w:t xml:space="preserve">  </w:t>
      </w:r>
      <w:r>
        <w:rPr>
          <w:rFonts w:ascii="FangSong" w:hAnsi="FangSong" w:eastAsia="FangSong" w:cs="FangSong"/>
          <w:sz w:val="28"/>
          <w:szCs w:val="28"/>
          <w:b/>
          <w:bCs/>
          <w:spacing w:val="-7"/>
        </w:rPr>
        <w:t>项目特点</w:t>
      </w:r>
    </w:p>
    <w:p>
      <w:pPr>
        <w:ind w:left="21" w:firstLine="493"/>
        <w:spacing w:before="224" w:line="33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）本项目为萤石矿采选项目，建设性质属于新建；</w:t>
      </w:r>
      <w:r>
        <w:rPr>
          <w:rFonts w:ascii="FangSong" w:hAnsi="FangSong" w:eastAsia="FangSong" w:cs="FangSong"/>
          <w:sz w:val="24"/>
          <w:szCs w:val="24"/>
        </w:rPr>
        <w:t xml:space="preserve"> </w:t>
      </w: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项目开采方式均</w:t>
      </w:r>
      <w:r>
        <w:rPr>
          <w:rFonts w:ascii="FangSong" w:hAnsi="FangSong" w:eastAsia="FangSong" w:cs="FangSong"/>
          <w:sz w:val="24"/>
          <w:szCs w:val="24"/>
          <w:spacing w:val="-6"/>
        </w:rPr>
        <w:t>为地下开采；②</w:t>
      </w:r>
      <w:r>
        <w:rPr>
          <w:rFonts w:ascii="FangSong" w:hAnsi="FangSong" w:eastAsia="FangSong" w:cs="FangSong"/>
          <w:sz w:val="24"/>
          <w:szCs w:val="24"/>
          <w:spacing w:val="-6"/>
        </w:rPr>
        <w:t xml:space="preserve"> </w:t>
      </w:r>
      <w:r>
        <w:rPr>
          <w:rFonts w:ascii="FangSong" w:hAnsi="FangSong" w:eastAsia="FangSong" w:cs="FangSong"/>
          <w:sz w:val="24"/>
          <w:szCs w:val="24"/>
          <w:spacing w:val="-6"/>
        </w:rPr>
        <w:t>项目采矿区面积为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1776km</w:t>
      </w:r>
      <w:r>
        <w:rPr>
          <w:rFonts w:ascii="Times New Roman" w:hAnsi="Times New Roman" w:eastAsia="Times New Roman" w:cs="Times New Roman"/>
          <w:sz w:val="15"/>
          <w:szCs w:val="15"/>
          <w:spacing w:val="-6"/>
          <w:position w:val="7"/>
        </w:rPr>
        <w:t>2   </w:t>
      </w:r>
      <w:r>
        <w:rPr>
          <w:rFonts w:ascii="FangSong" w:hAnsi="FangSong" w:eastAsia="FangSong" w:cs="FangSong"/>
          <w:sz w:val="24"/>
          <w:szCs w:val="24"/>
          <w:spacing w:val="-6"/>
        </w:rPr>
        <w:t>；</w:t>
      </w:r>
      <w:r>
        <w:rPr>
          <w:rFonts w:ascii="FangSong" w:hAnsi="FangSong" w:eastAsia="FangSong" w:cs="FangSong"/>
          <w:sz w:val="24"/>
          <w:szCs w:val="24"/>
          <w:spacing w:val="-7"/>
        </w:rPr>
        <w:t>③</w:t>
      </w:r>
      <w:r>
        <w:rPr>
          <w:rFonts w:ascii="FangSong" w:hAnsi="FangSong" w:eastAsia="FangSong" w:cs="FangSong"/>
          <w:sz w:val="24"/>
          <w:szCs w:val="24"/>
          <w:spacing w:val="-7"/>
        </w:rPr>
        <w:t xml:space="preserve"> </w:t>
      </w:r>
      <w:r>
        <w:rPr>
          <w:rFonts w:ascii="FangSong" w:hAnsi="FangSong" w:eastAsia="FangSong" w:cs="FangSong"/>
          <w:sz w:val="24"/>
          <w:szCs w:val="24"/>
          <w:spacing w:val="-7"/>
        </w:rPr>
        <w:t>开采标高为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7"/>
        </w:rPr>
        <w:t>1065m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至</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spacing w:val="-7"/>
        </w:rPr>
        <w:t>842m</w:t>
      </w:r>
      <w:r>
        <w:rPr>
          <w:rFonts w:ascii="FangSong" w:hAnsi="FangSong" w:eastAsia="FangSong" w:cs="FangSong"/>
          <w:sz w:val="24"/>
          <w:szCs w:val="24"/>
          <w:spacing w:val="-7"/>
        </w:rPr>
        <w:t>；</w:t>
      </w:r>
      <w:r>
        <w:rPr>
          <w:rFonts w:ascii="FangSong" w:hAnsi="FangSong" w:eastAsia="FangSong" w:cs="FangSong"/>
          <w:sz w:val="24"/>
          <w:szCs w:val="24"/>
        </w:rPr>
        <w:t xml:space="preserve"> </w:t>
      </w:r>
      <w:r>
        <w:rPr>
          <w:rFonts w:ascii="FangSong" w:hAnsi="FangSong" w:eastAsia="FangSong" w:cs="FangSong"/>
          <w:sz w:val="24"/>
          <w:szCs w:val="24"/>
          <w:spacing w:val="-2"/>
        </w:rPr>
        <w:t>④</w:t>
      </w:r>
      <w:r>
        <w:rPr>
          <w:rFonts w:ascii="FangSong" w:hAnsi="FangSong" w:eastAsia="FangSong" w:cs="FangSong"/>
          <w:sz w:val="24"/>
          <w:szCs w:val="24"/>
          <w:spacing w:val="-2"/>
        </w:rPr>
        <w:t xml:space="preserve"> </w:t>
      </w:r>
      <w:r>
        <w:rPr>
          <w:rFonts w:ascii="FangSong" w:hAnsi="FangSong" w:eastAsia="FangSong" w:cs="FangSong"/>
          <w:sz w:val="24"/>
          <w:szCs w:val="24"/>
          <w:spacing w:val="-2"/>
        </w:rPr>
        <w:t>采矿规模为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t/a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，总服务年限</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10a  </w:t>
      </w:r>
      <w:r>
        <w:rPr>
          <w:rFonts w:ascii="FangSong" w:hAnsi="FangSong" w:eastAsia="FangSong" w:cs="FangSong"/>
          <w:sz w:val="24"/>
          <w:szCs w:val="24"/>
          <w:spacing w:val="-3"/>
        </w:rPr>
        <w:t>（含基建期</w:t>
      </w:r>
      <w:r>
        <w:rPr>
          <w:rFonts w:ascii="FangSong" w:hAnsi="FangSong" w:eastAsia="FangSong" w:cs="FangSong"/>
          <w:sz w:val="24"/>
          <w:szCs w:val="24"/>
          <w:spacing w:val="1"/>
        </w:rPr>
        <w:t>）；</w:t>
      </w:r>
      <w:r>
        <w:rPr>
          <w:rFonts w:ascii="FangSong" w:hAnsi="FangSong" w:eastAsia="FangSong" w:cs="FangSong"/>
          <w:sz w:val="24"/>
          <w:szCs w:val="24"/>
          <w:spacing w:val="10"/>
        </w:rPr>
        <w:t xml:space="preserve"> </w:t>
      </w:r>
      <w:r>
        <w:rPr>
          <w:rFonts w:ascii="FangSong" w:hAnsi="FangSong" w:eastAsia="FangSong" w:cs="FangSong"/>
          <w:sz w:val="24"/>
          <w:szCs w:val="24"/>
          <w:spacing w:val="-3"/>
        </w:rPr>
        <w:t>⑤</w:t>
      </w:r>
      <w:r>
        <w:rPr>
          <w:rFonts w:ascii="FangSong" w:hAnsi="FangSong" w:eastAsia="FangSong" w:cs="FangSong"/>
          <w:sz w:val="24"/>
          <w:szCs w:val="24"/>
          <w:spacing w:val="-3"/>
        </w:rPr>
        <w:t xml:space="preserve"> </w:t>
      </w:r>
      <w:r>
        <w:rPr>
          <w:rFonts w:ascii="FangSong" w:hAnsi="FangSong" w:eastAsia="FangSong" w:cs="FangSong"/>
          <w:sz w:val="24"/>
          <w:szCs w:val="24"/>
          <w:spacing w:val="-3"/>
        </w:rPr>
        <w:t>选矿厂设计选矿</w:t>
      </w:r>
      <w:r>
        <w:rPr>
          <w:rFonts w:ascii="FangSong" w:hAnsi="FangSong" w:eastAsia="FangSong" w:cs="FangSong"/>
          <w:sz w:val="24"/>
          <w:szCs w:val="24"/>
          <w:spacing w:val="-4"/>
        </w:rPr>
        <w:t>规模为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t/a</w:t>
      </w:r>
      <w:r>
        <w:rPr>
          <w:rFonts w:ascii="FangSong" w:hAnsi="FangSong" w:eastAsia="FangSong" w:cs="FangSong"/>
          <w:sz w:val="24"/>
          <w:szCs w:val="24"/>
          <w:spacing w:val="-4"/>
        </w:rPr>
        <w:t>，服务年限为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4"/>
        </w:rPr>
        <w:t>15a</w:t>
      </w:r>
      <w:r>
        <w:rPr>
          <w:rFonts w:ascii="FangSong" w:hAnsi="FangSong" w:eastAsia="FangSong" w:cs="FangSong"/>
          <w:sz w:val="24"/>
          <w:szCs w:val="24"/>
          <w:spacing w:val="-4"/>
        </w:rPr>
        <w:t>，项目建成达产后年产</w:t>
      </w:r>
      <w:r>
        <w:rPr>
          <w:rFonts w:ascii="FangSong" w:hAnsi="FangSong" w:eastAsia="FangSong" w:cs="FangSong"/>
          <w:sz w:val="24"/>
          <w:szCs w:val="24"/>
          <w:spacing w:val="-5"/>
        </w:rPr>
        <w:t>萤石精矿</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37510t</w:t>
      </w:r>
      <w:r>
        <w:rPr>
          <w:rFonts w:ascii="FangSong" w:hAnsi="FangSong" w:eastAsia="FangSong" w:cs="FangSong"/>
          <w:sz w:val="24"/>
          <w:szCs w:val="24"/>
          <w:spacing w:val="-5"/>
        </w:rPr>
        <w:t>（品位：</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CaF</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18"/>
          <w:position w:val="-1"/>
        </w:rPr>
        <w:t xml:space="preserve"> </w:t>
      </w:r>
      <w:r>
        <w:rPr>
          <w:rFonts w:ascii="Times New Roman" w:hAnsi="Times New Roman" w:eastAsia="Times New Roman" w:cs="Times New Roman"/>
          <w:sz w:val="24"/>
          <w:szCs w:val="24"/>
          <w:spacing w:val="-2"/>
        </w:rPr>
        <w:t>96.62%</w:t>
      </w:r>
      <w:r>
        <w:rPr>
          <w:rFonts w:ascii="FangSong" w:hAnsi="FangSong" w:eastAsia="FangSong" w:cs="FangSong"/>
          <w:sz w:val="24"/>
          <w:szCs w:val="24"/>
          <w:spacing w:val="-2"/>
        </w:rPr>
        <w:t>）。</w:t>
      </w:r>
    </w:p>
    <w:p>
      <w:pPr>
        <w:ind w:left="22" w:right="182" w:firstLine="491"/>
        <w:spacing w:before="165" w:line="325"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）项目选矿工艺为采用选矿工艺流程为一段磨矿（磨</w:t>
      </w:r>
      <w:r>
        <w:rPr>
          <w:rFonts w:ascii="FangSong" w:hAnsi="FangSong" w:eastAsia="FangSong" w:cs="FangSong"/>
          <w:sz w:val="24"/>
          <w:szCs w:val="24"/>
          <w:spacing w:val="2"/>
        </w:rPr>
        <w:t>矿细度</w:t>
      </w:r>
      <w:r>
        <w:rPr>
          <w:rFonts w:ascii="Times New Roman" w:hAnsi="Times New Roman" w:eastAsia="Times New Roman" w:cs="Times New Roman"/>
          <w:sz w:val="24"/>
          <w:szCs w:val="24"/>
          <w:spacing w:val="2"/>
        </w:rPr>
        <w:t>-200  </w:t>
      </w:r>
      <w:r>
        <w:rPr>
          <w:rFonts w:ascii="FangSong" w:hAnsi="FangSong" w:eastAsia="FangSong" w:cs="FangSong"/>
          <w:sz w:val="24"/>
          <w:szCs w:val="24"/>
          <w:spacing w:val="2"/>
        </w:rPr>
        <w:t>目</w:t>
      </w:r>
      <w:r>
        <w:rPr>
          <w:rFonts w:ascii="FangSong" w:hAnsi="FangSong" w:eastAsia="FangSong" w:cs="FangSong"/>
          <w:sz w:val="24"/>
          <w:szCs w:val="24"/>
          <w:spacing w:val="-55"/>
        </w:rPr>
        <w:t xml:space="preserve"> </w:t>
      </w:r>
      <w:r>
        <w:rPr>
          <w:rFonts w:ascii="FangSong" w:hAnsi="FangSong" w:eastAsia="FangSong" w:cs="FangSong"/>
          <w:sz w:val="24"/>
          <w:szCs w:val="24"/>
          <w:spacing w:val="2"/>
        </w:rPr>
        <w:t>占</w:t>
      </w:r>
      <w:r>
        <w:rPr>
          <w:rFonts w:ascii="Times New Roman" w:hAnsi="Times New Roman" w:eastAsia="Times New Roman" w:cs="Times New Roman"/>
          <w:sz w:val="24"/>
          <w:szCs w:val="24"/>
          <w:spacing w:val="-2"/>
        </w:rPr>
        <w:t>75%</w:t>
      </w:r>
      <w:r>
        <w:rPr>
          <w:rFonts w:ascii="FangSong" w:hAnsi="FangSong" w:eastAsia="FangSong" w:cs="FangSong"/>
          <w:sz w:val="24"/>
          <w:szCs w:val="24"/>
          <w:spacing w:val="-2"/>
        </w:rPr>
        <w:t>）、一次粗选、二次扫选、七次精选的浮选工艺流程；产生的选矿废水、矿</w:t>
      </w:r>
      <w:r>
        <w:rPr>
          <w:rFonts w:ascii="FangSong" w:hAnsi="FangSong" w:eastAsia="FangSong" w:cs="FangSong"/>
          <w:sz w:val="24"/>
          <w:szCs w:val="24"/>
          <w:spacing w:val="-3"/>
        </w:rPr>
        <w:t>井涌水均回用不外排；项目不设置尾矿库设置尾矿临时堆场临时堆放选矿产生的</w:t>
      </w:r>
      <w:r>
        <w:rPr>
          <w:rFonts w:ascii="FangSong" w:hAnsi="FangSong" w:eastAsia="FangSong" w:cs="FangSong"/>
          <w:sz w:val="24"/>
          <w:szCs w:val="24"/>
          <w:spacing w:val="-1"/>
        </w:rPr>
        <w:t>尾矿，尾矿经脱水、浓缩、筛分、过滤后充填于井下采空区。</w:t>
      </w:r>
    </w:p>
    <w:p>
      <w:pPr>
        <w:ind w:left="32"/>
        <w:spacing w:before="238" w:line="221" w:lineRule="auto"/>
        <w:outlineLvl w:val="1"/>
        <w:rPr>
          <w:rFonts w:ascii="FangSong" w:hAnsi="FangSong" w:eastAsia="FangSong" w:cs="FangSong"/>
          <w:sz w:val="28"/>
          <w:szCs w:val="28"/>
        </w:rPr>
      </w:pPr>
      <w:bookmarkStart w:name="bookmark8" w:id="12"/>
      <w:bookmarkEnd w:id="12"/>
      <w:bookmarkStart w:name="bookmark7" w:id="13"/>
      <w:bookmarkEnd w:id="13"/>
      <w:r>
        <w:rPr>
          <w:rFonts w:ascii="Times New Roman" w:hAnsi="Times New Roman" w:eastAsia="Times New Roman" w:cs="Times New Roman"/>
          <w:sz w:val="28"/>
          <w:szCs w:val="28"/>
          <w:b/>
          <w:bCs/>
          <w:spacing w:val="-8"/>
        </w:rPr>
        <w:t>1.3</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8"/>
        </w:rPr>
        <w:t>工作过程</w:t>
      </w:r>
    </w:p>
    <w:p>
      <w:pPr>
        <w:ind w:left="30" w:right="143" w:firstLine="487"/>
        <w:spacing w:before="230" w:line="360" w:lineRule="auto"/>
        <w:jc w:val="both"/>
        <w:rPr>
          <w:rFonts w:ascii="FangSong" w:hAnsi="FangSong" w:eastAsia="FangSong" w:cs="FangSong"/>
          <w:sz w:val="24"/>
          <w:szCs w:val="24"/>
        </w:rPr>
      </w:pPr>
      <w:r>
        <w:rPr>
          <w:rFonts w:ascii="FangSong" w:hAnsi="FangSong" w:eastAsia="FangSong" w:cs="FangSong"/>
          <w:sz w:val="24"/>
          <w:szCs w:val="24"/>
          <w:spacing w:val="-4"/>
        </w:rPr>
        <w:t>我单位接受环评任务委托后，立即成立了以总工办技术把关、环评工程师牵</w:t>
      </w:r>
      <w:r>
        <w:rPr>
          <w:rFonts w:ascii="FangSong" w:hAnsi="FangSong" w:eastAsia="FangSong" w:cs="FangSong"/>
          <w:sz w:val="24"/>
          <w:szCs w:val="24"/>
          <w:spacing w:val="-2"/>
        </w:rPr>
        <w:t>头的项目组，根据国家有关政策法规对项目建设内容和建设地点进行初步</w:t>
      </w:r>
      <w:r>
        <w:rPr>
          <w:rFonts w:ascii="FangSong" w:hAnsi="FangSong" w:eastAsia="FangSong" w:cs="FangSong"/>
          <w:sz w:val="24"/>
          <w:szCs w:val="24"/>
          <w:spacing w:val="-3"/>
        </w:rPr>
        <w:t>研判，</w:t>
      </w:r>
      <w:r>
        <w:rPr>
          <w:rFonts w:ascii="FangSong" w:hAnsi="FangSong" w:eastAsia="FangSong" w:cs="FangSong"/>
          <w:sz w:val="24"/>
          <w:szCs w:val="24"/>
          <w:spacing w:val="-3"/>
        </w:rPr>
        <w:t>制定工作计划。在认真研究建设项目的工艺过程、分析有关资料</w:t>
      </w:r>
      <w:r>
        <w:rPr>
          <w:rFonts w:ascii="FangSong" w:hAnsi="FangSong" w:eastAsia="FangSong" w:cs="FangSong"/>
          <w:sz w:val="24"/>
          <w:szCs w:val="24"/>
          <w:spacing w:val="-4"/>
        </w:rPr>
        <w:t>、认真分析项目</w:t>
      </w:r>
      <w:r>
        <w:rPr>
          <w:rFonts w:ascii="FangSong" w:hAnsi="FangSong" w:eastAsia="FangSong" w:cs="FangSong"/>
          <w:sz w:val="24"/>
          <w:szCs w:val="24"/>
          <w:spacing w:val="-3"/>
        </w:rPr>
        <w:t>产业政策相符性和区域规划相容性基础上，组织环评技术人员到</w:t>
      </w:r>
      <w:r>
        <w:rPr>
          <w:rFonts w:ascii="FangSong" w:hAnsi="FangSong" w:eastAsia="FangSong" w:cs="FangSong"/>
          <w:sz w:val="24"/>
          <w:szCs w:val="24"/>
          <w:spacing w:val="-4"/>
        </w:rPr>
        <w:t>生产作业厂址实</w:t>
      </w:r>
      <w:r>
        <w:rPr>
          <w:rFonts w:ascii="FangSong" w:hAnsi="FangSong" w:eastAsia="FangSong" w:cs="FangSong"/>
          <w:sz w:val="24"/>
          <w:szCs w:val="24"/>
          <w:spacing w:val="-3"/>
        </w:rPr>
        <w:t>地进行踏勘，同时开展现状调查和收集厂址现状资料、工程生产</w:t>
      </w:r>
      <w:r>
        <w:rPr>
          <w:rFonts w:ascii="FangSong" w:hAnsi="FangSong" w:eastAsia="FangSong" w:cs="FangSong"/>
          <w:sz w:val="24"/>
          <w:szCs w:val="24"/>
          <w:spacing w:val="-4"/>
        </w:rPr>
        <w:t>和污染防治措施</w:t>
      </w:r>
      <w:r>
        <w:rPr>
          <w:rFonts w:ascii="FangSong" w:hAnsi="FangSong" w:eastAsia="FangSong" w:cs="FangSong"/>
          <w:sz w:val="24"/>
          <w:szCs w:val="24"/>
          <w:spacing w:val="-3"/>
        </w:rPr>
        <w:t>的相关资料。</w:t>
      </w:r>
    </w:p>
    <w:p>
      <w:pPr>
        <w:ind w:left="29" w:right="105"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8"/>
        </w:rPr>
        <w:t>根据《中华人民共和国环境保护法》、《中华人民共和国环境影响评价</w:t>
      </w:r>
      <w:r>
        <w:rPr>
          <w:rFonts w:ascii="FangSong" w:hAnsi="FangSong" w:eastAsia="FangSong" w:cs="FangSong"/>
          <w:sz w:val="24"/>
          <w:szCs w:val="24"/>
          <w:spacing w:val="-9"/>
        </w:rPr>
        <w:t>法》、</w:t>
      </w:r>
      <w:r>
        <w:rPr>
          <w:rFonts w:ascii="FangSong" w:hAnsi="FangSong" w:eastAsia="FangSong" w:cs="FangSong"/>
          <w:sz w:val="24"/>
          <w:szCs w:val="24"/>
        </w:rPr>
        <w:t xml:space="preserve"> </w:t>
      </w:r>
      <w:r>
        <w:rPr>
          <w:rFonts w:ascii="FangSong" w:hAnsi="FangSong" w:eastAsia="FangSong" w:cs="FangSong"/>
          <w:sz w:val="24"/>
          <w:szCs w:val="24"/>
          <w:spacing w:val="-4"/>
        </w:rPr>
        <w:t>《建设项目环境保护管理条例》（国务院</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682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号令）和《建设项目环境影响评价</w:t>
      </w:r>
      <w:r>
        <w:rPr>
          <w:rFonts w:ascii="FangSong" w:hAnsi="FangSong" w:eastAsia="FangSong" w:cs="FangSong"/>
          <w:sz w:val="24"/>
          <w:szCs w:val="24"/>
          <w:spacing w:val="-1"/>
        </w:rPr>
        <w:t>分类管理名录（修订）》等法律和条例的规定，</w:t>
      </w:r>
      <w:r>
        <w:rPr>
          <w:rFonts w:ascii="FangSong" w:hAnsi="FangSong" w:eastAsia="FangSong" w:cs="FangSong"/>
          <w:sz w:val="24"/>
          <w:szCs w:val="24"/>
          <w:spacing w:val="-2"/>
        </w:rPr>
        <w:t>本项目应编制环境影响报告书。</w:t>
      </w:r>
    </w:p>
    <w:p>
      <w:pPr>
        <w:ind w:left="41" w:right="182" w:firstLine="469"/>
        <w:spacing w:before="2" w:line="359" w:lineRule="auto"/>
        <w:rPr>
          <w:rFonts w:ascii="FangSong" w:hAnsi="FangSong" w:eastAsia="FangSong" w:cs="FangSong"/>
          <w:sz w:val="24"/>
          <w:szCs w:val="24"/>
        </w:rPr>
      </w:pPr>
      <w:r>
        <w:rPr>
          <w:rFonts w:ascii="FangSong" w:hAnsi="FangSong" w:eastAsia="FangSong" w:cs="FangSong"/>
          <w:sz w:val="24"/>
          <w:szCs w:val="24"/>
          <w:spacing w:val="-6"/>
        </w:rPr>
        <w:t>根据《环境影响评价公众参与暂行办法》，建设单位于</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17  </w:t>
      </w:r>
      <w:r>
        <w:rPr>
          <w:rFonts w:ascii="FangSong" w:hAnsi="FangSong" w:eastAsia="FangSong" w:cs="FangSong"/>
          <w:sz w:val="24"/>
          <w:szCs w:val="24"/>
          <w:spacing w:val="-6"/>
        </w:rPr>
        <w:t>日</w:t>
      </w:r>
      <w:r>
        <w:rPr>
          <w:rFonts w:ascii="Times New Roman" w:hAnsi="Times New Roman" w:eastAsia="Times New Roman" w:cs="Times New Roman"/>
          <w:sz w:val="24"/>
          <w:szCs w:val="24"/>
          <w:spacing w:val="-6"/>
        </w:rPr>
        <w:t>-6</w:t>
      </w:r>
      <w:r>
        <w:rPr>
          <w:rFonts w:ascii="FangSong" w:hAnsi="FangSong" w:eastAsia="FangSong" w:cs="FangSong"/>
          <w:sz w:val="24"/>
          <w:szCs w:val="24"/>
          <w:spacing w:val="-2"/>
        </w:rPr>
        <w:t>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25  </w:t>
      </w:r>
      <w:r>
        <w:rPr>
          <w:rFonts w:ascii="FangSong" w:hAnsi="FangSong" w:eastAsia="FangSong" w:cs="FangSong"/>
          <w:sz w:val="24"/>
          <w:szCs w:val="24"/>
          <w:spacing w:val="-2"/>
        </w:rPr>
        <w:t>日通过在环评网站公示以及现场公示的方式进行项目环境影响评价信息一</w:t>
      </w:r>
    </w:p>
    <w:p>
      <w:pPr>
        <w:spacing w:line="359" w:lineRule="auto"/>
        <w:sectPr>
          <w:headerReference w:type="default" r:id="rId15"/>
          <w:footerReference w:type="default" r:id="rId16"/>
          <w:pgSz w:w="11906" w:h="16839"/>
          <w:pgMar w:top="1250" w:right="1617" w:bottom="1349" w:left="1785" w:header="831" w:footer="1162" w:gutter="0"/>
        </w:sectPr>
        <w:rPr>
          <w:rFonts w:ascii="FangSong" w:hAnsi="FangSong" w:eastAsia="FangSong" w:cs="FangSong"/>
          <w:sz w:val="24"/>
          <w:szCs w:val="24"/>
        </w:rPr>
      </w:pPr>
    </w:p>
    <w:p>
      <w:pPr>
        <w:ind w:left="30" w:right="44" w:hanging="1"/>
        <w:spacing w:before="303" w:line="360" w:lineRule="auto"/>
        <w:rPr>
          <w:rFonts w:ascii="FangSong" w:hAnsi="FangSong" w:eastAsia="FangSong" w:cs="FangSong"/>
          <w:sz w:val="24"/>
          <w:szCs w:val="24"/>
        </w:rPr>
      </w:pPr>
      <w:bookmarkStart w:name="bookmark494" w:id="14"/>
      <w:bookmarkEnd w:id="14"/>
      <w:r>
        <w:rPr>
          <w:rFonts w:ascii="FangSong" w:hAnsi="FangSong" w:eastAsia="FangSong" w:cs="FangSong"/>
          <w:sz w:val="24"/>
          <w:szCs w:val="24"/>
          <w:spacing w:val="-2"/>
        </w:rPr>
        <w:t>次公示。同时我单位接受委托后立即组织人员踏勘现场、了解工艺、收集资</w:t>
      </w:r>
      <w:r>
        <w:rPr>
          <w:rFonts w:ascii="FangSong" w:hAnsi="FangSong" w:eastAsia="FangSong" w:cs="FangSong"/>
          <w:sz w:val="24"/>
          <w:szCs w:val="24"/>
          <w:spacing w:val="-3"/>
        </w:rPr>
        <w:t>料，</w:t>
      </w:r>
      <w:r>
        <w:rPr>
          <w:rFonts w:ascii="FangSong" w:hAnsi="FangSong" w:eastAsia="FangSong" w:cs="FangSong"/>
          <w:sz w:val="24"/>
          <w:szCs w:val="24"/>
          <w:spacing w:val="-2"/>
        </w:rPr>
        <w:t>对项目周边环境做出初步调查。</w:t>
      </w:r>
    </w:p>
    <w:p>
      <w:pPr>
        <w:ind w:left="29"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3"/>
        </w:rPr>
        <w:t>根据收集到的项目技术文件，对本项目进行初</w:t>
      </w:r>
      <w:r>
        <w:rPr>
          <w:rFonts w:ascii="FangSong" w:hAnsi="FangSong" w:eastAsia="FangSong" w:cs="FangSong"/>
          <w:sz w:val="24"/>
          <w:szCs w:val="24"/>
          <w:spacing w:val="-4"/>
        </w:rPr>
        <w:t>步工程分析，进行环境影响因</w:t>
      </w:r>
      <w:r>
        <w:rPr>
          <w:rFonts w:ascii="FangSong" w:hAnsi="FangSong" w:eastAsia="FangSong" w:cs="FangSong"/>
          <w:sz w:val="24"/>
          <w:szCs w:val="24"/>
          <w:spacing w:val="-3"/>
        </w:rPr>
        <w:t>素识别及评价因子的筛选，确定评价的重点及环境保护目标，确定评</w:t>
      </w:r>
      <w:r>
        <w:rPr>
          <w:rFonts w:ascii="FangSong" w:hAnsi="FangSong" w:eastAsia="FangSong" w:cs="FangSong"/>
          <w:sz w:val="24"/>
          <w:szCs w:val="24"/>
          <w:spacing w:val="-4"/>
        </w:rPr>
        <w:t>价工作的等</w:t>
      </w:r>
      <w:r>
        <w:rPr>
          <w:rFonts w:ascii="FangSong" w:hAnsi="FangSong" w:eastAsia="FangSong" w:cs="FangSong"/>
          <w:sz w:val="24"/>
          <w:szCs w:val="24"/>
          <w:spacing w:val="-3"/>
        </w:rPr>
        <w:t>级、范围及评价标准；并委托环境监测机构对项目所在区域及周边敏</w:t>
      </w:r>
      <w:r>
        <w:rPr>
          <w:rFonts w:ascii="FangSong" w:hAnsi="FangSong" w:eastAsia="FangSong" w:cs="FangSong"/>
          <w:sz w:val="24"/>
          <w:szCs w:val="24"/>
          <w:spacing w:val="-4"/>
        </w:rPr>
        <w:t>感目标的噪</w:t>
      </w:r>
      <w:r>
        <w:rPr>
          <w:rFonts w:ascii="FangSong" w:hAnsi="FangSong" w:eastAsia="FangSong" w:cs="FangSong"/>
          <w:sz w:val="24"/>
          <w:szCs w:val="24"/>
          <w:spacing w:val="-3"/>
        </w:rPr>
        <w:t>声、地表水、地下水、环境空气及土壤等进行监测，进一步了解本项</w:t>
      </w:r>
      <w:r>
        <w:rPr>
          <w:rFonts w:ascii="FangSong" w:hAnsi="FangSong" w:eastAsia="FangSong" w:cs="FangSong"/>
          <w:sz w:val="24"/>
          <w:szCs w:val="24"/>
          <w:spacing w:val="-4"/>
        </w:rPr>
        <w:t>目所在地区</w:t>
      </w:r>
      <w:r>
        <w:rPr>
          <w:rFonts w:ascii="FangSong" w:hAnsi="FangSong" w:eastAsia="FangSong" w:cs="FangSong"/>
          <w:sz w:val="24"/>
          <w:szCs w:val="24"/>
          <w:spacing w:val="-1"/>
        </w:rPr>
        <w:t>环境质量现状。通过在工程分析、污染源强核算及环境质量现状调查的基础上，</w:t>
      </w:r>
      <w:r>
        <w:rPr>
          <w:rFonts w:ascii="FangSong" w:hAnsi="FangSong" w:eastAsia="FangSong" w:cs="FangSong"/>
          <w:sz w:val="24"/>
          <w:szCs w:val="24"/>
          <w:spacing w:val="-3"/>
        </w:rPr>
        <w:t>对各环境要素进行环境影响预测及评价，并结合建设单位的公众参与</w:t>
      </w:r>
      <w:r>
        <w:rPr>
          <w:rFonts w:ascii="FangSong" w:hAnsi="FangSong" w:eastAsia="FangSong" w:cs="FangSong"/>
          <w:sz w:val="24"/>
          <w:szCs w:val="24"/>
          <w:spacing w:val="-4"/>
        </w:rPr>
        <w:t>结论，得出</w:t>
      </w:r>
      <w:r>
        <w:rPr>
          <w:rFonts w:ascii="FangSong" w:hAnsi="FangSong" w:eastAsia="FangSong" w:cs="FangSong"/>
          <w:sz w:val="24"/>
          <w:szCs w:val="24"/>
          <w:spacing w:val="-3"/>
        </w:rPr>
        <w:t>项目的环境影响初步结论，最终编制完成《苏尼特右旗富邦矿业有限</w:t>
      </w:r>
      <w:r>
        <w:rPr>
          <w:rFonts w:ascii="FangSong" w:hAnsi="FangSong" w:eastAsia="FangSong" w:cs="FangSong"/>
          <w:sz w:val="24"/>
          <w:szCs w:val="24"/>
          <w:spacing w:val="-4"/>
        </w:rPr>
        <w:t>公司苏尼特</w:t>
      </w:r>
      <w:r>
        <w:rPr>
          <w:rFonts w:ascii="FangSong" w:hAnsi="FangSong" w:eastAsia="FangSong" w:cs="FangSong"/>
          <w:sz w:val="24"/>
          <w:szCs w:val="24"/>
          <w:spacing w:val="-7"/>
        </w:rPr>
        <w:t>右旗桑宝力嘎额尔登塔拉萤石矿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7"/>
        </w:rPr>
        <w:t>万</w:t>
      </w:r>
      <w:r>
        <w:rPr>
          <w:rFonts w:ascii="Times New Roman" w:hAnsi="Times New Roman" w:eastAsia="Times New Roman" w:cs="Times New Roman"/>
          <w:sz w:val="24"/>
          <w:szCs w:val="24"/>
          <w:spacing w:val="-7"/>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7"/>
        </w:rPr>
        <w:t>采选项目环境影响报告书（送审</w:t>
      </w:r>
      <w:r>
        <w:rPr>
          <w:rFonts w:ascii="FangSong" w:hAnsi="FangSong" w:eastAsia="FangSong" w:cs="FangSong"/>
          <w:sz w:val="24"/>
          <w:szCs w:val="24"/>
          <w:spacing w:val="-8"/>
        </w:rPr>
        <w:t>版）》。</w:t>
      </w:r>
    </w:p>
    <w:p>
      <w:pPr>
        <w:ind w:left="27" w:right="83" w:firstLine="484"/>
        <w:spacing w:before="6" w:line="359" w:lineRule="auto"/>
        <w:jc w:val="both"/>
        <w:rPr>
          <w:rFonts w:ascii="FangSong" w:hAnsi="FangSong" w:eastAsia="FangSong" w:cs="FangSong"/>
          <w:sz w:val="24"/>
          <w:szCs w:val="24"/>
        </w:rPr>
      </w:pPr>
      <w:r>
        <w:rPr>
          <w:rFonts w:ascii="FangSong" w:hAnsi="FangSong" w:eastAsia="FangSong" w:cs="FangSong"/>
          <w:sz w:val="24"/>
          <w:szCs w:val="24"/>
          <w:spacing w:val="-4"/>
        </w:rPr>
        <w:t>在环评报告书的编制过程中，评价单位秉承科学、严谨、求实的态度认真执</w:t>
      </w:r>
      <w:r>
        <w:rPr>
          <w:rFonts w:ascii="FangSong" w:hAnsi="FangSong" w:eastAsia="FangSong" w:cs="FangSong"/>
          <w:sz w:val="24"/>
          <w:szCs w:val="24"/>
          <w:spacing w:val="-3"/>
        </w:rPr>
        <w:t>行和落实国家及各级生态环境主管部门的意见和要求，严格把控质量关，</w:t>
      </w:r>
      <w:r>
        <w:rPr>
          <w:rFonts w:ascii="FangSong" w:hAnsi="FangSong" w:eastAsia="FangSong" w:cs="FangSong"/>
          <w:sz w:val="24"/>
          <w:szCs w:val="24"/>
          <w:spacing w:val="-4"/>
        </w:rPr>
        <w:t>将达标</w:t>
      </w:r>
      <w:r>
        <w:rPr>
          <w:rFonts w:ascii="FangSong" w:hAnsi="FangSong" w:eastAsia="FangSong" w:cs="FangSong"/>
          <w:sz w:val="24"/>
          <w:szCs w:val="24"/>
          <w:spacing w:val="-4"/>
        </w:rPr>
        <w:t>排放、总量控制、清洁生产、“三线一单</w:t>
      </w:r>
      <w:r>
        <w:rPr>
          <w:rFonts w:ascii="FangSong" w:hAnsi="FangSong" w:eastAsia="FangSong" w:cs="FangSong"/>
          <w:sz w:val="24"/>
          <w:szCs w:val="24"/>
          <w:spacing w:val="-88"/>
        </w:rPr>
        <w:t xml:space="preserve"> </w:t>
      </w:r>
      <w:r>
        <w:rPr>
          <w:rFonts w:ascii="FangSong" w:hAnsi="FangSong" w:eastAsia="FangSong" w:cs="FangSong"/>
          <w:sz w:val="24"/>
          <w:szCs w:val="24"/>
          <w:spacing w:val="-4"/>
        </w:rPr>
        <w:t>”、矿山采选建设项目环评文件审批原</w:t>
      </w:r>
      <w:r>
        <w:rPr>
          <w:rFonts w:ascii="FangSong" w:hAnsi="FangSong" w:eastAsia="FangSong" w:cs="FangSong"/>
          <w:sz w:val="24"/>
          <w:szCs w:val="24"/>
          <w:spacing w:val="-3"/>
        </w:rPr>
        <w:t>则等要求贯穿评价工作始终，力求环评报告书具有较强的可操作性，为建</w:t>
      </w:r>
      <w:r>
        <w:rPr>
          <w:rFonts w:ascii="FangSong" w:hAnsi="FangSong" w:eastAsia="FangSong" w:cs="FangSong"/>
          <w:sz w:val="24"/>
          <w:szCs w:val="24"/>
          <w:spacing w:val="-4"/>
        </w:rPr>
        <w:t>设单位</w:t>
      </w:r>
      <w:r>
        <w:rPr>
          <w:rFonts w:ascii="FangSong" w:hAnsi="FangSong" w:eastAsia="FangSong" w:cs="FangSong"/>
          <w:sz w:val="24"/>
          <w:szCs w:val="24"/>
          <w:spacing w:val="-1"/>
        </w:rPr>
        <w:t>环保设计及生态环境部门管理提供科学的依据。</w:t>
      </w:r>
    </w:p>
    <w:p>
      <w:pPr>
        <w:ind w:left="510"/>
        <w:spacing w:line="220" w:lineRule="auto"/>
        <w:rPr>
          <w:rFonts w:ascii="FangSong" w:hAnsi="FangSong" w:eastAsia="FangSong" w:cs="FangSong"/>
          <w:sz w:val="24"/>
          <w:szCs w:val="24"/>
        </w:rPr>
      </w:pPr>
      <w:r>
        <w:rPr>
          <w:rFonts w:ascii="FangSong" w:hAnsi="FangSong" w:eastAsia="FangSong" w:cs="FangSong"/>
          <w:sz w:val="24"/>
          <w:szCs w:val="24"/>
          <w:spacing w:val="-2"/>
        </w:rPr>
        <w:t>本次环境影响评价工作过程见下图。</w:t>
      </w:r>
    </w:p>
    <w:p>
      <w:pPr>
        <w:spacing w:line="220" w:lineRule="auto"/>
        <w:sectPr>
          <w:headerReference w:type="default" r:id="rId17"/>
          <w:footerReference w:type="default" r:id="rId18"/>
          <w:pgSz w:w="11906" w:h="16839"/>
          <w:pgMar w:top="1250" w:right="1716" w:bottom="1349" w:left="1785" w:header="831" w:footer="1162" w:gutter="0"/>
        </w:sectPr>
        <w:rPr>
          <w:rFonts w:ascii="FangSong" w:hAnsi="FangSong" w:eastAsia="FangSong" w:cs="FangSong"/>
          <w:sz w:val="24"/>
          <w:szCs w:val="24"/>
        </w:rPr>
      </w:pPr>
    </w:p>
    <w:p>
      <w:pPr>
        <w:pStyle w:val="BodyText"/>
        <w:spacing w:line="257" w:lineRule="auto"/>
        <w:rPr/>
      </w:pPr>
      <w:r/>
    </w:p>
    <w:p>
      <w:pPr>
        <w:ind w:firstLine="167"/>
        <w:spacing w:line="7661" w:lineRule="exact"/>
        <w:rPr/>
      </w:pPr>
      <w:r>
        <w:rPr>
          <w:position w:val="-153"/>
        </w:rPr>
        <w:drawing>
          <wp:inline distT="0" distB="0" distL="0" distR="0">
            <wp:extent cx="5073395" cy="4864608"/>
            <wp:effectExtent l="0" t="0" r="0" b="0"/>
            <wp:docPr id="2" name="IM 2"/>
            <wp:cNvGraphicFramePr/>
            <a:graphic>
              <a:graphicData uri="http://schemas.openxmlformats.org/drawingml/2006/picture">
                <pic:pic>
                  <pic:nvPicPr>
                    <pic:cNvPr id="2" name="IM 2"/>
                    <pic:cNvPicPr/>
                  </pic:nvPicPr>
                  <pic:blipFill>
                    <a:blip r:embed="rId21"/>
                    <a:stretch>
                      <a:fillRect/>
                    </a:stretch>
                  </pic:blipFill>
                  <pic:spPr>
                    <a:xfrm rot="0">
                      <a:off x="0" y="0"/>
                      <a:ext cx="5073395" cy="4864608"/>
                    </a:xfrm>
                    <a:prstGeom prst="rect">
                      <a:avLst/>
                    </a:prstGeom>
                  </pic:spPr>
                </pic:pic>
              </a:graphicData>
            </a:graphic>
          </wp:inline>
        </w:drawing>
      </w:r>
    </w:p>
    <w:p>
      <w:pPr>
        <w:ind w:left="2542"/>
        <w:spacing w:before="183" w:line="220" w:lineRule="auto"/>
        <w:rPr>
          <w:rFonts w:ascii="FangSong" w:hAnsi="FangSong" w:eastAsia="FangSong" w:cs="FangSong"/>
          <w:sz w:val="24"/>
          <w:szCs w:val="24"/>
        </w:rPr>
      </w:pPr>
      <w:r>
        <w:rPr>
          <w:rFonts w:ascii="FangSong" w:hAnsi="FangSong" w:eastAsia="FangSong" w:cs="FangSong"/>
          <w:sz w:val="24"/>
          <w:szCs w:val="24"/>
          <w:b/>
          <w:bCs/>
          <w:spacing w:val="-5"/>
        </w:rPr>
        <w:t>图</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b/>
          <w:bCs/>
          <w:spacing w:val="-5"/>
        </w:rPr>
        <w:t>1.2-1  </w:t>
      </w:r>
      <w:r>
        <w:rPr>
          <w:rFonts w:ascii="FangSong" w:hAnsi="FangSong" w:eastAsia="FangSong" w:cs="FangSong"/>
          <w:sz w:val="24"/>
          <w:szCs w:val="24"/>
          <w:b/>
          <w:bCs/>
          <w:spacing w:val="-5"/>
        </w:rPr>
        <w:t>环境影响评价工作程序</w:t>
      </w:r>
    </w:p>
    <w:p>
      <w:pPr>
        <w:ind w:left="32"/>
        <w:spacing w:before="239" w:line="221" w:lineRule="auto"/>
        <w:outlineLvl w:val="1"/>
        <w:rPr>
          <w:rFonts w:ascii="FangSong" w:hAnsi="FangSong" w:eastAsia="FangSong" w:cs="FangSong"/>
          <w:sz w:val="28"/>
          <w:szCs w:val="28"/>
        </w:rPr>
      </w:pPr>
      <w:bookmarkStart w:name="bookmark10" w:id="15"/>
      <w:bookmarkEnd w:id="15"/>
      <w:bookmarkStart w:name="bookmark12" w:id="16"/>
      <w:bookmarkEnd w:id="16"/>
      <w:bookmarkStart w:name="bookmark9" w:id="17"/>
      <w:bookmarkEnd w:id="17"/>
      <w:bookmarkStart w:name="bookmark11" w:id="18"/>
      <w:bookmarkEnd w:id="18"/>
      <w:r>
        <w:rPr>
          <w:rFonts w:ascii="Times New Roman" w:hAnsi="Times New Roman" w:eastAsia="Times New Roman" w:cs="Times New Roman"/>
          <w:sz w:val="28"/>
          <w:szCs w:val="28"/>
          <w:b/>
          <w:bCs/>
          <w:spacing w:val="-3"/>
        </w:rPr>
        <w:t>1.4  </w:t>
      </w:r>
      <w:r>
        <w:rPr>
          <w:rFonts w:ascii="FangSong" w:hAnsi="FangSong" w:eastAsia="FangSong" w:cs="FangSong"/>
          <w:sz w:val="28"/>
          <w:szCs w:val="28"/>
          <w:b/>
          <w:bCs/>
          <w:spacing w:val="-3"/>
        </w:rPr>
        <w:t>项目与相关规划、政策的符合性分析</w:t>
      </w:r>
    </w:p>
    <w:p>
      <w:pPr>
        <w:ind w:left="29"/>
        <w:spacing w:before="231" w:line="220" w:lineRule="auto"/>
        <w:outlineLvl w:val="2"/>
        <w:rPr>
          <w:rFonts w:ascii="FangSong" w:hAnsi="FangSong" w:eastAsia="FangSong" w:cs="FangSong"/>
          <w:sz w:val="24"/>
          <w:szCs w:val="24"/>
        </w:rPr>
      </w:pPr>
      <w:bookmarkStart w:name="bookmark495" w:id="19"/>
      <w:bookmarkEnd w:id="19"/>
      <w:r>
        <w:rPr>
          <w:rFonts w:ascii="Times New Roman" w:hAnsi="Times New Roman" w:eastAsia="Times New Roman" w:cs="Times New Roman"/>
          <w:sz w:val="24"/>
          <w:szCs w:val="24"/>
          <w:b/>
          <w:bCs/>
          <w:spacing w:val="-5"/>
        </w:rPr>
        <w:t>1.4.1</w:t>
      </w:r>
      <w:r>
        <w:rPr>
          <w:rFonts w:ascii="Times New Roman" w:hAnsi="Times New Roman" w:eastAsia="Times New Roman" w:cs="Times New Roman"/>
          <w:sz w:val="24"/>
          <w:szCs w:val="24"/>
          <w:b/>
          <w:bCs/>
          <w:spacing w:val="17"/>
        </w:rPr>
        <w:t xml:space="preserve">  </w:t>
      </w:r>
      <w:r>
        <w:rPr>
          <w:rFonts w:ascii="FangSong" w:hAnsi="FangSong" w:eastAsia="FangSong" w:cs="FangSong"/>
          <w:sz w:val="24"/>
          <w:szCs w:val="24"/>
          <w:b/>
          <w:bCs/>
          <w:spacing w:val="-5"/>
        </w:rPr>
        <w:t>与规划符合性分析</w:t>
      </w:r>
    </w:p>
    <w:p>
      <w:pPr>
        <w:ind w:left="29"/>
        <w:spacing w:before="182"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1.4.1.1  </w:t>
      </w:r>
      <w:r>
        <w:rPr>
          <w:rFonts w:ascii="FangSong" w:hAnsi="FangSong" w:eastAsia="FangSong" w:cs="FangSong"/>
          <w:sz w:val="24"/>
          <w:szCs w:val="24"/>
          <w:b/>
          <w:bCs/>
          <w:spacing w:val="-2"/>
        </w:rPr>
        <w:t>与《内蒙古自治区主体功能区规划》符合性分析</w:t>
      </w:r>
    </w:p>
    <w:p>
      <w:pPr>
        <w:ind w:left="30"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根据《内蒙古自治区主体功能区规划》内容，</w:t>
      </w:r>
      <w:r>
        <w:rPr>
          <w:rFonts w:ascii="FangSong" w:hAnsi="FangSong" w:eastAsia="FangSong" w:cs="FangSong"/>
          <w:sz w:val="24"/>
          <w:szCs w:val="24"/>
          <w:spacing w:val="-4"/>
        </w:rPr>
        <w:t>将全区国土空间划分为以下主</w:t>
      </w:r>
      <w:r>
        <w:rPr>
          <w:rFonts w:ascii="FangSong" w:hAnsi="FangSong" w:eastAsia="FangSong" w:cs="FangSong"/>
          <w:sz w:val="24"/>
          <w:szCs w:val="24"/>
          <w:spacing w:val="-2"/>
        </w:rPr>
        <w:t>体功能区：按开发方式，划分为重点开发区域、限制开发区域和禁止开发区域。</w:t>
      </w:r>
    </w:p>
    <w:p>
      <w:pPr>
        <w:ind w:left="29" w:right="56" w:firstLine="481"/>
        <w:spacing w:line="360" w:lineRule="auto"/>
        <w:rPr>
          <w:rFonts w:ascii="FangSong" w:hAnsi="FangSong" w:eastAsia="FangSong" w:cs="FangSong"/>
          <w:sz w:val="24"/>
          <w:szCs w:val="24"/>
        </w:rPr>
      </w:pPr>
      <w:r>
        <w:rPr>
          <w:rFonts w:ascii="FangSong" w:hAnsi="FangSong" w:eastAsia="FangSong" w:cs="FangSong"/>
          <w:sz w:val="24"/>
          <w:szCs w:val="24"/>
          <w:spacing w:val="-3"/>
        </w:rPr>
        <w:t>根据《内蒙古自治区人民政府关于自治区主体</w:t>
      </w:r>
      <w:r>
        <w:rPr>
          <w:rFonts w:ascii="FangSong" w:hAnsi="FangSong" w:eastAsia="FangSong" w:cs="FangSong"/>
          <w:sz w:val="24"/>
          <w:szCs w:val="24"/>
          <w:spacing w:val="-4"/>
        </w:rPr>
        <w:t>功能区规划的实施意见》（内</w:t>
      </w:r>
      <w:r>
        <w:rPr>
          <w:rFonts w:ascii="FangSong" w:hAnsi="FangSong" w:eastAsia="FangSong" w:cs="FangSong"/>
          <w:sz w:val="24"/>
          <w:szCs w:val="24"/>
        </w:rPr>
        <w:t>政发〔</w:t>
      </w:r>
      <w:r>
        <w:rPr>
          <w:rFonts w:ascii="Times New Roman" w:hAnsi="Times New Roman" w:eastAsia="Times New Roman" w:cs="Times New Roman"/>
          <w:sz w:val="24"/>
          <w:szCs w:val="24"/>
        </w:rPr>
        <w:t>2015</w:t>
      </w:r>
      <w:r>
        <w:rPr>
          <w:rFonts w:ascii="FangSong" w:hAnsi="FangSong" w:eastAsia="FangSong" w:cs="FangSong"/>
          <w:sz w:val="24"/>
          <w:szCs w:val="24"/>
        </w:rPr>
        <w:t>〕</w:t>
      </w:r>
      <w:r>
        <w:rPr>
          <w:rFonts w:ascii="Times New Roman" w:hAnsi="Times New Roman" w:eastAsia="Times New Roman" w:cs="Times New Roman"/>
          <w:sz w:val="24"/>
          <w:szCs w:val="24"/>
        </w:rPr>
        <w:t>18  </w:t>
      </w:r>
      <w:r>
        <w:rPr>
          <w:rFonts w:ascii="FangSong" w:hAnsi="FangSong" w:eastAsia="FangSong" w:cs="FangSong"/>
          <w:sz w:val="24"/>
          <w:szCs w:val="24"/>
        </w:rPr>
        <w:t>号</w:t>
      </w:r>
      <w:r>
        <w:rPr>
          <w:rFonts w:ascii="FangSong" w:hAnsi="FangSong" w:eastAsia="FangSong" w:cs="FangSong"/>
          <w:sz w:val="24"/>
          <w:szCs w:val="24"/>
          <w:spacing w:val="9"/>
        </w:rPr>
        <w:t>），</w:t>
      </w:r>
      <w:r>
        <w:rPr>
          <w:rFonts w:ascii="FangSong" w:hAnsi="FangSong" w:eastAsia="FangSong" w:cs="FangSong"/>
          <w:sz w:val="24"/>
          <w:szCs w:val="24"/>
        </w:rPr>
        <w:t>本项目位于内蒙古自治区苏尼特右</w:t>
      </w:r>
      <w:r>
        <w:rPr>
          <w:rFonts w:ascii="FangSong" w:hAnsi="FangSong" w:eastAsia="FangSong" w:cs="FangSong"/>
          <w:sz w:val="24"/>
          <w:szCs w:val="24"/>
          <w:spacing w:val="-1"/>
        </w:rPr>
        <w:t>旗桑宝力嘎额尔登塔</w:t>
      </w:r>
      <w:r>
        <w:rPr>
          <w:rFonts w:ascii="FangSong" w:hAnsi="FangSong" w:eastAsia="FangSong" w:cs="FangSong"/>
          <w:sz w:val="24"/>
          <w:szCs w:val="24"/>
          <w:spacing w:val="-5"/>
        </w:rPr>
        <w:t>拉矿区，位于苏尼特右旗旗政府所在地赛汉塔拉镇</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25</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40km</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处，隶属</w:t>
      </w:r>
      <w:r>
        <w:rPr>
          <w:rFonts w:ascii="FangSong" w:hAnsi="FangSong" w:eastAsia="FangSong" w:cs="FangSong"/>
          <w:sz w:val="24"/>
          <w:szCs w:val="24"/>
          <w:spacing w:val="1"/>
        </w:rPr>
        <w:t>苏尼特右旗管辖，属于限制开发区域（国家级重点生态功能区）</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浑善达克沙漠</w:t>
      </w:r>
      <w:r>
        <w:rPr>
          <w:rFonts w:ascii="FangSong" w:hAnsi="FangSong" w:eastAsia="FangSong" w:cs="FangSong"/>
          <w:sz w:val="24"/>
          <w:szCs w:val="24"/>
          <w:spacing w:val="-3"/>
        </w:rPr>
        <w:t>化防治生态功能区，见附图</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3"/>
        </w:rPr>
        <w:t>1-1</w:t>
      </w:r>
      <w:r>
        <w:rPr>
          <w:rFonts w:ascii="FangSong" w:hAnsi="FangSong" w:eastAsia="FangSong" w:cs="FangSong"/>
          <w:sz w:val="24"/>
          <w:szCs w:val="24"/>
          <w:spacing w:val="-3"/>
        </w:rPr>
        <w:t>。</w:t>
      </w:r>
    </w:p>
    <w:p>
      <w:pPr>
        <w:ind w:left="510"/>
        <w:spacing w:before="2" w:line="220" w:lineRule="auto"/>
        <w:rPr>
          <w:rFonts w:ascii="FangSong" w:hAnsi="FangSong" w:eastAsia="FangSong" w:cs="FangSong"/>
          <w:sz w:val="24"/>
          <w:szCs w:val="24"/>
        </w:rPr>
      </w:pPr>
      <w:r>
        <w:rPr>
          <w:rFonts w:ascii="FangSong" w:hAnsi="FangSong" w:eastAsia="FangSong" w:cs="FangSong"/>
          <w:sz w:val="24"/>
          <w:szCs w:val="24"/>
          <w:spacing w:val="-3"/>
        </w:rPr>
        <w:t>根据《内蒙古自治区国家重点生态功能区产业</w:t>
      </w:r>
      <w:r>
        <w:rPr>
          <w:rFonts w:ascii="FangSong" w:hAnsi="FangSong" w:eastAsia="FangSong" w:cs="FangSong"/>
          <w:sz w:val="24"/>
          <w:szCs w:val="24"/>
          <w:spacing w:val="-4"/>
        </w:rPr>
        <w:t>准入负面清单（试行）》对苏</w:t>
      </w:r>
    </w:p>
    <w:p>
      <w:pPr>
        <w:spacing w:line="220" w:lineRule="auto"/>
        <w:sectPr>
          <w:headerReference w:type="default" r:id="rId19"/>
          <w:footerReference w:type="default" r:id="rId20"/>
          <w:pgSz w:w="11906" w:h="16839"/>
          <w:pgMar w:top="1250" w:right="1742" w:bottom="1346" w:left="1785" w:header="831" w:footer="1162" w:gutter="0"/>
        </w:sectPr>
        <w:rPr>
          <w:rFonts w:ascii="FangSong" w:hAnsi="FangSong" w:eastAsia="FangSong" w:cs="FangSong"/>
          <w:sz w:val="24"/>
          <w:szCs w:val="24"/>
        </w:rPr>
      </w:pPr>
    </w:p>
    <w:p>
      <w:pPr>
        <w:ind w:left="31" w:right="76" w:hanging="2"/>
        <w:spacing w:before="303" w:line="360" w:lineRule="auto"/>
        <w:jc w:val="both"/>
        <w:rPr>
          <w:rFonts w:ascii="FangSong" w:hAnsi="FangSong" w:eastAsia="FangSong" w:cs="FangSong"/>
          <w:sz w:val="24"/>
          <w:szCs w:val="24"/>
        </w:rPr>
      </w:pPr>
      <w:r>
        <w:rPr>
          <w:rFonts w:ascii="FangSong" w:hAnsi="FangSong" w:eastAsia="FangSong" w:cs="FangSong"/>
          <w:sz w:val="24"/>
          <w:szCs w:val="24"/>
          <w:spacing w:val="-3"/>
        </w:rPr>
        <w:t>尼特右旗要求，本项目属于非金属矿采选</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石棉及其他非金属矿采选</w:t>
      </w:r>
      <w:r>
        <w:rPr>
          <w:rFonts w:ascii="FangSong" w:hAnsi="FangSong" w:eastAsia="FangSong" w:cs="FangSong"/>
          <w:sz w:val="24"/>
          <w:szCs w:val="24"/>
          <w:spacing w:val="-4"/>
        </w:rPr>
        <w:t>，清单</w:t>
      </w:r>
      <w:r>
        <w:rPr>
          <w:rFonts w:ascii="FangSong" w:hAnsi="FangSong" w:eastAsia="FangSong" w:cs="FangSong"/>
          <w:sz w:val="24"/>
          <w:szCs w:val="24"/>
          <w:spacing w:val="-3"/>
        </w:rPr>
        <w:t>无要求。因此本项目的实施符合内蒙古自治区国家重点生态</w:t>
      </w:r>
      <w:r>
        <w:rPr>
          <w:rFonts w:ascii="FangSong" w:hAnsi="FangSong" w:eastAsia="FangSong" w:cs="FangSong"/>
          <w:sz w:val="24"/>
          <w:szCs w:val="24"/>
          <w:spacing w:val="-4"/>
        </w:rPr>
        <w:t>功能区产业准入负面</w:t>
      </w:r>
      <w:r>
        <w:rPr>
          <w:rFonts w:ascii="FangSong" w:hAnsi="FangSong" w:eastAsia="FangSong" w:cs="FangSong"/>
          <w:sz w:val="24"/>
          <w:szCs w:val="24"/>
          <w:spacing w:val="-2"/>
        </w:rPr>
        <w:t>清单（试行）管控要求。</w:t>
      </w:r>
    </w:p>
    <w:p>
      <w:pPr>
        <w:ind w:left="29"/>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1.4.1.2  </w:t>
      </w:r>
      <w:r>
        <w:rPr>
          <w:rFonts w:ascii="FangSong" w:hAnsi="FangSong" w:eastAsia="FangSong" w:cs="FangSong"/>
          <w:sz w:val="24"/>
          <w:szCs w:val="24"/>
          <w:b/>
          <w:bCs/>
          <w:spacing w:val="-3"/>
        </w:rPr>
        <w:t>与“十四五</w:t>
      </w:r>
      <w:r>
        <w:rPr>
          <w:rFonts w:ascii="FangSong" w:hAnsi="FangSong" w:eastAsia="FangSong" w:cs="FangSong"/>
          <w:sz w:val="24"/>
          <w:szCs w:val="24"/>
          <w:spacing w:val="-85"/>
        </w:rPr>
        <w:t xml:space="preserve"> </w:t>
      </w:r>
      <w:r>
        <w:rPr>
          <w:rFonts w:ascii="FangSong" w:hAnsi="FangSong" w:eastAsia="FangSong" w:cs="FangSong"/>
          <w:sz w:val="24"/>
          <w:szCs w:val="24"/>
          <w:b/>
          <w:bCs/>
          <w:spacing w:val="-3"/>
        </w:rPr>
        <w:t>”生态环境保护规划的符合性</w:t>
      </w:r>
    </w:p>
    <w:p>
      <w:pPr>
        <w:ind w:left="514"/>
        <w:spacing w:before="182"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）与《内蒙古自治区“十四五</w:t>
      </w:r>
      <w:r>
        <w:rPr>
          <w:rFonts w:ascii="FangSong" w:hAnsi="FangSong" w:eastAsia="FangSong" w:cs="FangSong"/>
          <w:sz w:val="24"/>
          <w:szCs w:val="24"/>
          <w:spacing w:val="-82"/>
        </w:rPr>
        <w:t xml:space="preserve"> </w:t>
      </w:r>
      <w:r>
        <w:rPr>
          <w:rFonts w:ascii="FangSong" w:hAnsi="FangSong" w:eastAsia="FangSong" w:cs="FangSong"/>
          <w:sz w:val="24"/>
          <w:szCs w:val="24"/>
          <w:spacing w:val="-2"/>
        </w:rPr>
        <w:t>”生态环境保护规划》符合性分析</w:t>
      </w:r>
    </w:p>
    <w:p>
      <w:pPr>
        <w:ind w:left="29"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规划指出：“有序开展尾矿库等环境污染治理……</w:t>
      </w:r>
      <w:r>
        <w:rPr>
          <w:rFonts w:ascii="FangSong" w:hAnsi="FangSong" w:eastAsia="FangSong" w:cs="FangSong"/>
          <w:sz w:val="24"/>
          <w:szCs w:val="24"/>
          <w:spacing w:val="-4"/>
        </w:rPr>
        <w:t>严格新建（改、扩）尾矿</w:t>
      </w:r>
      <w:r>
        <w:rPr>
          <w:rFonts w:ascii="FangSong" w:hAnsi="FangSong" w:eastAsia="FangSong" w:cs="FangSong"/>
          <w:sz w:val="24"/>
          <w:szCs w:val="24"/>
          <w:spacing w:val="-3"/>
        </w:rPr>
        <w:t>库和各类渣场环境准入，严控新增准入，严控新增环境污染风险，持</w:t>
      </w:r>
      <w:r>
        <w:rPr>
          <w:rFonts w:ascii="FangSong" w:hAnsi="FangSong" w:eastAsia="FangSong" w:cs="FangSong"/>
          <w:sz w:val="24"/>
          <w:szCs w:val="24"/>
          <w:spacing w:val="-4"/>
        </w:rPr>
        <w:t>续推进实施</w:t>
      </w:r>
      <w:r>
        <w:rPr>
          <w:rFonts w:ascii="FangSong" w:hAnsi="FangSong" w:eastAsia="FangSong" w:cs="FangSong"/>
          <w:sz w:val="24"/>
          <w:szCs w:val="24"/>
          <w:spacing w:val="-1"/>
        </w:rPr>
        <w:t>绿色矿山建设，……加快对没有生产经营主体和位于自然保护区、风景名胜区、</w:t>
      </w:r>
      <w:r>
        <w:rPr>
          <w:rFonts w:ascii="FangSong" w:hAnsi="FangSong" w:eastAsia="FangSong" w:cs="FangSong"/>
          <w:sz w:val="24"/>
          <w:szCs w:val="24"/>
          <w:spacing w:val="-8"/>
        </w:rPr>
        <w:t>饮用水水源保护区、基本农田保护区内的尾矿库实施闭库治理。”“支持煤矸石、</w:t>
      </w:r>
      <w:r>
        <w:rPr>
          <w:rFonts w:ascii="FangSong" w:hAnsi="FangSong" w:eastAsia="FangSong" w:cs="FangSong"/>
          <w:sz w:val="24"/>
          <w:szCs w:val="24"/>
          <w:spacing w:val="-3"/>
        </w:rPr>
        <w:t>粉煤灰、矿山废石、尾矿充填或回填采空区和矿坑，鼓励利用矿区露</w:t>
      </w:r>
      <w:r>
        <w:rPr>
          <w:rFonts w:ascii="FangSong" w:hAnsi="FangSong" w:eastAsia="FangSong" w:cs="FangSong"/>
          <w:sz w:val="24"/>
          <w:szCs w:val="24"/>
          <w:spacing w:val="-4"/>
        </w:rPr>
        <w:t>天采空区处</w:t>
      </w:r>
      <w:r>
        <w:rPr>
          <w:rFonts w:ascii="FangSong" w:hAnsi="FangSong" w:eastAsia="FangSong" w:cs="FangSong"/>
          <w:sz w:val="24"/>
          <w:szCs w:val="24"/>
          <w:spacing w:val="-3"/>
        </w:rPr>
        <w:t>置一般工业固体废物。优先选用尾矿、粉煤灰等作为城市建设、铁路</w:t>
      </w:r>
      <w:r>
        <w:rPr>
          <w:rFonts w:ascii="FangSong" w:hAnsi="FangSong" w:eastAsia="FangSong" w:cs="FangSong"/>
          <w:sz w:val="24"/>
          <w:szCs w:val="24"/>
          <w:spacing w:val="-4"/>
        </w:rPr>
        <w:t>和公路建设</w:t>
      </w:r>
      <w:r>
        <w:rPr>
          <w:rFonts w:ascii="FangSong" w:hAnsi="FangSong" w:eastAsia="FangSong" w:cs="FangSong"/>
          <w:sz w:val="24"/>
          <w:szCs w:val="24"/>
          <w:spacing w:val="-3"/>
        </w:rPr>
        <w:t>等建筑、筑路材料。鼓励利用矸石、粉煤灰等生产新型墙体材料、装</w:t>
      </w:r>
      <w:r>
        <w:rPr>
          <w:rFonts w:ascii="FangSong" w:hAnsi="FangSong" w:eastAsia="FangSong" w:cs="FangSong"/>
          <w:sz w:val="24"/>
          <w:szCs w:val="24"/>
          <w:spacing w:val="-4"/>
        </w:rPr>
        <w:t>饰装修材料</w:t>
      </w:r>
      <w:r>
        <w:rPr>
          <w:rFonts w:ascii="FangSong" w:hAnsi="FangSong" w:eastAsia="FangSong" w:cs="FangSong"/>
          <w:sz w:val="24"/>
          <w:szCs w:val="24"/>
          <w:spacing w:val="10"/>
        </w:rPr>
        <w:t>等绿色建材。</w:t>
      </w:r>
      <w:r>
        <w:rPr>
          <w:rFonts w:ascii="FangSong" w:hAnsi="FangSong" w:eastAsia="FangSong" w:cs="FangSong"/>
          <w:sz w:val="24"/>
          <w:szCs w:val="24"/>
          <w:spacing w:val="-87"/>
        </w:rPr>
        <w:t xml:space="preserve"> </w:t>
      </w:r>
      <w:r>
        <w:rPr>
          <w:rFonts w:ascii="FangSong" w:hAnsi="FangSong" w:eastAsia="FangSong" w:cs="FangSong"/>
          <w:sz w:val="24"/>
          <w:szCs w:val="24"/>
          <w:spacing w:val="10"/>
        </w:rPr>
        <w:t>”</w:t>
      </w:r>
    </w:p>
    <w:p>
      <w:pPr>
        <w:ind w:left="29" w:right="76" w:firstLine="481"/>
        <w:spacing w:before="7" w:line="359" w:lineRule="auto"/>
        <w:rPr>
          <w:rFonts w:ascii="FangSong" w:hAnsi="FangSong" w:eastAsia="FangSong" w:cs="FangSong"/>
          <w:sz w:val="24"/>
          <w:szCs w:val="24"/>
        </w:rPr>
      </w:pPr>
      <w:r>
        <w:rPr>
          <w:rFonts w:ascii="FangSong" w:hAnsi="FangSong" w:eastAsia="FangSong" w:cs="FangSong"/>
          <w:sz w:val="24"/>
          <w:szCs w:val="24"/>
          <w:spacing w:val="-1"/>
        </w:rPr>
        <w:t>本项目为萤石矿采选项目，项目矿石按照《绿色矿山建</w:t>
      </w:r>
      <w:r>
        <w:rPr>
          <w:rFonts w:ascii="FangSong" w:hAnsi="FangSong" w:eastAsia="FangSong" w:cs="FangSong"/>
          <w:sz w:val="24"/>
          <w:szCs w:val="24"/>
          <w:spacing w:val="-2"/>
        </w:rPr>
        <w:t>设规范</w:t>
      </w:r>
      <w:r>
        <w:rPr>
          <w:rFonts w:ascii="FangSong" w:hAnsi="FangSong" w:eastAsia="FangSong" w:cs="FangSong"/>
          <w:sz w:val="24"/>
          <w:szCs w:val="24"/>
          <w:spacing w:val="-2"/>
        </w:rPr>
        <w:t xml:space="preserve"> </w:t>
      </w:r>
      <w:r>
        <w:rPr>
          <w:rFonts w:ascii="FangSong" w:hAnsi="FangSong" w:eastAsia="FangSong" w:cs="FangSong"/>
          <w:sz w:val="24"/>
          <w:szCs w:val="24"/>
          <w:spacing w:val="-2"/>
        </w:rPr>
        <w:t>第</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部分：</w:t>
      </w:r>
      <w:r>
        <w:rPr>
          <w:rFonts w:ascii="FangSong" w:hAnsi="FangSong" w:eastAsia="FangSong" w:cs="FangSong"/>
          <w:sz w:val="24"/>
          <w:szCs w:val="24"/>
          <w:spacing w:val="-1"/>
        </w:rPr>
        <w:t>非金属矿行业》（</w:t>
      </w:r>
      <w:r>
        <w:rPr>
          <w:rFonts w:ascii="Times New Roman" w:hAnsi="Times New Roman" w:eastAsia="Times New Roman" w:cs="Times New Roman"/>
          <w:sz w:val="24"/>
          <w:szCs w:val="24"/>
          <w:spacing w:val="-1"/>
        </w:rPr>
        <w:t>DB15/T 3962.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1-2025</w:t>
      </w:r>
      <w:r>
        <w:rPr>
          <w:rFonts w:ascii="FangSong" w:hAnsi="FangSong" w:eastAsia="FangSong" w:cs="FangSong"/>
          <w:sz w:val="24"/>
          <w:szCs w:val="24"/>
          <w:spacing w:val="-1"/>
        </w:rPr>
        <w:t>）进行设计。项目不建设尾矿库但建设尾</w:t>
      </w:r>
      <w:r>
        <w:rPr>
          <w:rFonts w:ascii="FangSong" w:hAnsi="FangSong" w:eastAsia="FangSong" w:cs="FangSong"/>
          <w:sz w:val="24"/>
          <w:szCs w:val="24"/>
          <w:spacing w:val="-3"/>
        </w:rPr>
        <w:t>矿临时堆场用于暂存本项目选厂产生的尾矿。项目产生的废石不出坑</w:t>
      </w:r>
      <w:r>
        <w:rPr>
          <w:rFonts w:ascii="FangSong" w:hAnsi="FangSong" w:eastAsia="FangSong" w:cs="FangSong"/>
          <w:sz w:val="24"/>
          <w:szCs w:val="24"/>
          <w:spacing w:val="-4"/>
        </w:rPr>
        <w:t>与本项目产</w:t>
      </w:r>
      <w:r>
        <w:rPr>
          <w:rFonts w:ascii="FangSong" w:hAnsi="FangSong" w:eastAsia="FangSong" w:cs="FangSong"/>
          <w:sz w:val="24"/>
          <w:szCs w:val="24"/>
          <w:spacing w:val="-3"/>
        </w:rPr>
        <w:t>生的尾矿用于地下采空区充填，余下的尾矿则外售建材企业进行建材</w:t>
      </w:r>
      <w:r>
        <w:rPr>
          <w:rFonts w:ascii="FangSong" w:hAnsi="FangSong" w:eastAsia="FangSong" w:cs="FangSong"/>
          <w:sz w:val="24"/>
          <w:szCs w:val="24"/>
          <w:spacing w:val="-4"/>
        </w:rPr>
        <w:t>生产。项目</w:t>
      </w:r>
      <w:r>
        <w:rPr>
          <w:rFonts w:ascii="FangSong" w:hAnsi="FangSong" w:eastAsia="FangSong" w:cs="FangSong"/>
          <w:sz w:val="24"/>
          <w:szCs w:val="24"/>
          <w:spacing w:val="4"/>
        </w:rPr>
        <w:t>所建设的尾矿临时堆场严格按照相关标准要求进行设置和选址</w:t>
      </w:r>
      <w:r>
        <w:rPr>
          <w:rFonts w:ascii="FangSong" w:hAnsi="FangSong" w:eastAsia="FangSong" w:cs="FangSong"/>
          <w:sz w:val="24"/>
          <w:szCs w:val="24"/>
          <w:spacing w:val="3"/>
        </w:rPr>
        <w:t>，故本项目符合</w:t>
      </w:r>
      <w:r>
        <w:rPr>
          <w:rFonts w:ascii="FangSong" w:hAnsi="FangSong" w:eastAsia="FangSong" w:cs="FangSong"/>
          <w:sz w:val="24"/>
          <w:szCs w:val="24"/>
          <w:spacing w:val="-3"/>
        </w:rPr>
        <w:t>《内蒙古自治区“十四五</w:t>
      </w:r>
      <w:r>
        <w:rPr>
          <w:rFonts w:ascii="FangSong" w:hAnsi="FangSong" w:eastAsia="FangSong" w:cs="FangSong"/>
          <w:sz w:val="24"/>
          <w:szCs w:val="24"/>
          <w:spacing w:val="-71"/>
        </w:rPr>
        <w:t xml:space="preserve"> </w:t>
      </w:r>
      <w:r>
        <w:rPr>
          <w:rFonts w:ascii="FangSong" w:hAnsi="FangSong" w:eastAsia="FangSong" w:cs="FangSong"/>
          <w:sz w:val="24"/>
          <w:szCs w:val="24"/>
          <w:spacing w:val="-3"/>
        </w:rPr>
        <w:t>”生态环境保护规划》。</w:t>
      </w:r>
    </w:p>
    <w:p>
      <w:pPr>
        <w:ind w:left="514"/>
        <w:spacing w:line="220"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）与《锡林郭勒盟</w:t>
      </w:r>
      <w:r>
        <w:rPr>
          <w:rFonts w:ascii="FangSong" w:hAnsi="FangSong" w:eastAsia="FangSong" w:cs="FangSong"/>
          <w:sz w:val="24"/>
          <w:szCs w:val="24"/>
          <w:spacing w:val="-72"/>
        </w:rPr>
        <w:t xml:space="preserve"> </w:t>
      </w:r>
      <w:r>
        <w:rPr>
          <w:rFonts w:ascii="FangSong" w:hAnsi="FangSong" w:eastAsia="FangSong" w:cs="FangSong"/>
          <w:sz w:val="24"/>
          <w:szCs w:val="24"/>
          <w:spacing w:val="-5"/>
        </w:rPr>
        <w:t>″十四五</w:t>
      </w:r>
      <w:r>
        <w:rPr>
          <w:rFonts w:ascii="FangSong" w:hAnsi="FangSong" w:eastAsia="FangSong" w:cs="FangSong"/>
          <w:sz w:val="24"/>
          <w:szCs w:val="24"/>
          <w:spacing w:val="-75"/>
        </w:rPr>
        <w:t xml:space="preserve"> </w:t>
      </w:r>
      <w:r>
        <w:rPr>
          <w:rFonts w:ascii="FangSong" w:hAnsi="FangSong" w:eastAsia="FangSong" w:cs="FangSong"/>
          <w:sz w:val="24"/>
          <w:szCs w:val="24"/>
          <w:spacing w:val="-5"/>
        </w:rPr>
        <w:t>″</w:t>
      </w:r>
      <w:r>
        <w:rPr>
          <w:rFonts w:ascii="FangSong" w:hAnsi="FangSong" w:eastAsia="FangSong" w:cs="FangSong"/>
          <w:sz w:val="24"/>
          <w:szCs w:val="24"/>
          <w:spacing w:val="-90"/>
        </w:rPr>
        <w:t xml:space="preserve"> </w:t>
      </w:r>
      <w:r>
        <w:rPr>
          <w:rFonts w:ascii="FangSong" w:hAnsi="FangSong" w:eastAsia="FangSong" w:cs="FangSong"/>
          <w:sz w:val="24"/>
          <w:szCs w:val="24"/>
          <w:spacing w:val="-5"/>
        </w:rPr>
        <w:t>生态环境保护规划》符合性分析</w:t>
      </w:r>
    </w:p>
    <w:p>
      <w:pPr>
        <w:ind w:left="29" w:right="14" w:firstLine="480"/>
        <w:spacing w:before="182" w:line="360" w:lineRule="auto"/>
        <w:rPr>
          <w:rFonts w:ascii="FangSong" w:hAnsi="FangSong" w:eastAsia="FangSong" w:cs="FangSong"/>
          <w:sz w:val="24"/>
          <w:szCs w:val="24"/>
        </w:rPr>
      </w:pPr>
      <w:r>
        <w:rPr>
          <w:rFonts w:ascii="FangSong" w:hAnsi="FangSong" w:eastAsia="FangSong" w:cs="FangSong"/>
          <w:sz w:val="24"/>
          <w:szCs w:val="24"/>
          <w:spacing w:val="-9"/>
        </w:rPr>
        <w:t>规划指出：“提高固废综合利用能力。加强共伴生矿产资源及尾矿综合利用；</w:t>
      </w:r>
      <w:r>
        <w:rPr>
          <w:rFonts w:ascii="FangSong" w:hAnsi="FangSong" w:eastAsia="FangSong" w:cs="FangSong"/>
          <w:sz w:val="24"/>
          <w:szCs w:val="24"/>
          <w:spacing w:val="-3"/>
        </w:rPr>
        <w:t>推动粉煤灰、煤研石、脱硫石膏等大宗工业固废综合利用，因地制宜</w:t>
      </w:r>
      <w:r>
        <w:rPr>
          <w:rFonts w:ascii="FangSong" w:hAnsi="FangSong" w:eastAsia="FangSong" w:cs="FangSong"/>
          <w:sz w:val="24"/>
          <w:szCs w:val="24"/>
          <w:spacing w:val="-4"/>
        </w:rPr>
        <w:t>发展新型建</w:t>
      </w:r>
      <w:r>
        <w:rPr>
          <w:rFonts w:ascii="FangSong" w:hAnsi="FangSong" w:eastAsia="FangSong" w:cs="FangSong"/>
          <w:sz w:val="24"/>
          <w:szCs w:val="24"/>
          <w:spacing w:val="-3"/>
        </w:rPr>
        <w:t>材行业，拓展资源化利用途径推广建设超细粉、装配式建筑构件、粉</w:t>
      </w:r>
      <w:r>
        <w:rPr>
          <w:rFonts w:ascii="FangSong" w:hAnsi="FangSong" w:eastAsia="FangSong" w:cs="FangSong"/>
          <w:sz w:val="24"/>
          <w:szCs w:val="24"/>
          <w:spacing w:val="-4"/>
        </w:rPr>
        <w:t>煤灰砖、烧</w:t>
      </w:r>
      <w:r>
        <w:rPr>
          <w:rFonts w:ascii="FangSong" w:hAnsi="FangSong" w:eastAsia="FangSong" w:cs="FangSong"/>
          <w:sz w:val="24"/>
          <w:szCs w:val="24"/>
          <w:spacing w:val="-1"/>
        </w:rPr>
        <w:t>结粉煤灰陶粒等新型粉煤灰综合利用项目。进一步</w:t>
      </w:r>
      <w:r>
        <w:rPr>
          <w:rFonts w:ascii="FangSong" w:hAnsi="FangSong" w:eastAsia="FangSong" w:cs="FangSong"/>
          <w:sz w:val="24"/>
          <w:szCs w:val="24"/>
          <w:spacing w:val="-2"/>
        </w:rPr>
        <w:t>优化固体废物处置能力配置，</w:t>
      </w:r>
      <w:r>
        <w:rPr>
          <w:rFonts w:ascii="FangSong" w:hAnsi="FangSong" w:eastAsia="FangSong" w:cs="FangSong"/>
          <w:sz w:val="24"/>
          <w:szCs w:val="24"/>
          <w:spacing w:val="-3"/>
        </w:rPr>
        <w:t>合理布局规划集中处理处置设施。”“严格新建（改、扩）尾矿库和</w:t>
      </w:r>
      <w:r>
        <w:rPr>
          <w:rFonts w:ascii="FangSong" w:hAnsi="FangSong" w:eastAsia="FangSong" w:cs="FangSong"/>
          <w:sz w:val="24"/>
          <w:szCs w:val="24"/>
          <w:spacing w:val="-4"/>
        </w:rPr>
        <w:t>各类渣场环</w:t>
      </w:r>
      <w:r>
        <w:rPr>
          <w:rFonts w:ascii="FangSong" w:hAnsi="FangSong" w:eastAsia="FangSong" w:cs="FangSong"/>
          <w:sz w:val="24"/>
          <w:szCs w:val="24"/>
          <w:spacing w:val="2"/>
        </w:rPr>
        <w:t>境准入，严控新增环境污染风险，持续推进实施绿色矿山建设。</w:t>
      </w:r>
      <w:r>
        <w:rPr>
          <w:rFonts w:ascii="FangSong" w:hAnsi="FangSong" w:eastAsia="FangSong" w:cs="FangSong"/>
          <w:sz w:val="24"/>
          <w:szCs w:val="24"/>
          <w:spacing w:val="-75"/>
        </w:rPr>
        <w:t xml:space="preserve"> </w:t>
      </w:r>
      <w:r>
        <w:rPr>
          <w:rFonts w:ascii="FangSong" w:hAnsi="FangSong" w:eastAsia="FangSong" w:cs="FangSong"/>
          <w:sz w:val="24"/>
          <w:szCs w:val="24"/>
          <w:spacing w:val="2"/>
        </w:rPr>
        <w:t>”</w:t>
      </w:r>
    </w:p>
    <w:p>
      <w:pPr>
        <w:ind w:left="29" w:right="76" w:firstLine="480"/>
        <w:spacing w:before="3" w:line="359" w:lineRule="auto"/>
        <w:rPr>
          <w:rFonts w:ascii="FangSong" w:hAnsi="FangSong" w:eastAsia="FangSong" w:cs="FangSong"/>
          <w:sz w:val="24"/>
          <w:szCs w:val="24"/>
        </w:rPr>
      </w:pPr>
      <w:r>
        <w:rPr>
          <w:rFonts w:ascii="FangSong" w:hAnsi="FangSong" w:eastAsia="FangSong" w:cs="FangSong"/>
          <w:sz w:val="24"/>
          <w:szCs w:val="24"/>
          <w:spacing w:val="-1"/>
        </w:rPr>
        <w:t>本项目为萤石矿采选项目，项目矿石按照《绿色矿山建</w:t>
      </w:r>
      <w:r>
        <w:rPr>
          <w:rFonts w:ascii="FangSong" w:hAnsi="FangSong" w:eastAsia="FangSong" w:cs="FangSong"/>
          <w:sz w:val="24"/>
          <w:szCs w:val="24"/>
          <w:spacing w:val="-2"/>
        </w:rPr>
        <w:t>设规范</w:t>
      </w:r>
      <w:r>
        <w:rPr>
          <w:rFonts w:ascii="FangSong" w:hAnsi="FangSong" w:eastAsia="FangSong" w:cs="FangSong"/>
          <w:sz w:val="24"/>
          <w:szCs w:val="24"/>
          <w:spacing w:val="-2"/>
        </w:rPr>
        <w:t xml:space="preserve"> </w:t>
      </w:r>
      <w:r>
        <w:rPr>
          <w:rFonts w:ascii="FangSong" w:hAnsi="FangSong" w:eastAsia="FangSong" w:cs="FangSong"/>
          <w:sz w:val="24"/>
          <w:szCs w:val="24"/>
          <w:spacing w:val="-2"/>
        </w:rPr>
        <w:t>第</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部分：</w:t>
      </w:r>
      <w:r>
        <w:rPr>
          <w:rFonts w:ascii="FangSong" w:hAnsi="FangSong" w:eastAsia="FangSong" w:cs="FangSong"/>
          <w:sz w:val="24"/>
          <w:szCs w:val="24"/>
          <w:spacing w:val="-1"/>
        </w:rPr>
        <w:t>非金属矿行业》（</w:t>
      </w:r>
      <w:r>
        <w:rPr>
          <w:rFonts w:ascii="Times New Roman" w:hAnsi="Times New Roman" w:eastAsia="Times New Roman" w:cs="Times New Roman"/>
          <w:sz w:val="24"/>
          <w:szCs w:val="24"/>
          <w:spacing w:val="-1"/>
        </w:rPr>
        <w:t>DB15/T 3962.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1-2025</w:t>
      </w:r>
      <w:r>
        <w:rPr>
          <w:rFonts w:ascii="FangSong" w:hAnsi="FangSong" w:eastAsia="FangSong" w:cs="FangSong"/>
          <w:sz w:val="24"/>
          <w:szCs w:val="24"/>
          <w:spacing w:val="-1"/>
        </w:rPr>
        <w:t>）进行设计。项目不建设尾矿库但建</w:t>
      </w:r>
      <w:r>
        <w:rPr>
          <w:rFonts w:ascii="FangSong" w:hAnsi="FangSong" w:eastAsia="FangSong" w:cs="FangSong"/>
          <w:sz w:val="24"/>
          <w:szCs w:val="24"/>
          <w:spacing w:val="-2"/>
        </w:rPr>
        <w:t>设尾</w:t>
      </w:r>
      <w:r>
        <w:rPr>
          <w:rFonts w:ascii="FangSong" w:hAnsi="FangSong" w:eastAsia="FangSong" w:cs="FangSong"/>
          <w:sz w:val="24"/>
          <w:szCs w:val="24"/>
          <w:spacing w:val="-3"/>
        </w:rPr>
        <w:t>矿临时堆场用于暂存本项目选厂产生的尾矿。项目产生的废石不出</w:t>
      </w:r>
      <w:r>
        <w:rPr>
          <w:rFonts w:ascii="FangSong" w:hAnsi="FangSong" w:eastAsia="FangSong" w:cs="FangSong"/>
          <w:sz w:val="24"/>
          <w:szCs w:val="24"/>
          <w:spacing w:val="-4"/>
        </w:rPr>
        <w:t>坑与本项目产</w:t>
      </w:r>
    </w:p>
    <w:p>
      <w:pPr>
        <w:spacing w:line="359" w:lineRule="auto"/>
        <w:sectPr>
          <w:headerReference w:type="default" r:id="rId11"/>
          <w:footerReference w:type="default" r:id="rId22"/>
          <w:pgSz w:w="11906" w:h="16839"/>
          <w:pgMar w:top="1250" w:right="1723" w:bottom="1349" w:left="1785" w:header="831" w:footer="1162" w:gutter="0"/>
        </w:sectPr>
        <w:rPr>
          <w:rFonts w:ascii="FangSong" w:hAnsi="FangSong" w:eastAsia="FangSong" w:cs="FangSong"/>
          <w:sz w:val="24"/>
          <w:szCs w:val="24"/>
        </w:rPr>
      </w:pPr>
    </w:p>
    <w:p>
      <w:pPr>
        <w:ind w:left="30" w:right="60" w:firstLine="13"/>
        <w:spacing w:before="303" w:line="360" w:lineRule="auto"/>
        <w:jc w:val="both"/>
        <w:rPr>
          <w:rFonts w:ascii="FangSong" w:hAnsi="FangSong" w:eastAsia="FangSong" w:cs="FangSong"/>
          <w:sz w:val="24"/>
          <w:szCs w:val="24"/>
        </w:rPr>
      </w:pPr>
      <w:r>
        <w:rPr>
          <w:rFonts w:ascii="FangSong" w:hAnsi="FangSong" w:eastAsia="FangSong" w:cs="FangSong"/>
          <w:sz w:val="24"/>
          <w:szCs w:val="24"/>
          <w:spacing w:val="-4"/>
        </w:rPr>
        <w:t>生的尾矿用于地下采空区充填，余下的尾矿则外售建材企业进行建材生产，项目</w:t>
      </w:r>
      <w:r>
        <w:rPr>
          <w:rFonts w:ascii="FangSong" w:hAnsi="FangSong" w:eastAsia="FangSong" w:cs="FangSong"/>
          <w:sz w:val="24"/>
          <w:szCs w:val="24"/>
          <w:spacing w:val="-3"/>
        </w:rPr>
        <w:t>产生的各类一般固体废物均有合理的去向处置及利用，能够实现</w:t>
      </w:r>
      <w:r>
        <w:rPr>
          <w:rFonts w:ascii="FangSong" w:hAnsi="FangSong" w:eastAsia="FangSong" w:cs="FangSong"/>
          <w:sz w:val="24"/>
          <w:szCs w:val="24"/>
          <w:spacing w:val="-4"/>
        </w:rPr>
        <w:t>废石、尾矿全部</w:t>
      </w:r>
      <w:r>
        <w:rPr>
          <w:rFonts w:ascii="FangSong" w:hAnsi="FangSong" w:eastAsia="FangSong" w:cs="FangSong"/>
          <w:sz w:val="24"/>
          <w:szCs w:val="24"/>
          <w:spacing w:val="-2"/>
        </w:rPr>
        <w:t>综合利用。项目所建设的尾矿临时堆场严格按照相关标准要求进行设置和</w:t>
      </w:r>
      <w:r>
        <w:rPr>
          <w:rFonts w:ascii="FangSong" w:hAnsi="FangSong" w:eastAsia="FangSong" w:cs="FangSong"/>
          <w:sz w:val="24"/>
          <w:szCs w:val="24"/>
          <w:spacing w:val="-3"/>
        </w:rPr>
        <w:t>选址，</w:t>
      </w:r>
      <w:r>
        <w:rPr>
          <w:rFonts w:ascii="FangSong" w:hAnsi="FangSong" w:eastAsia="FangSong" w:cs="FangSong"/>
          <w:sz w:val="24"/>
          <w:szCs w:val="24"/>
          <w:spacing w:val="-2"/>
        </w:rPr>
        <w:t>故本项目符合《锡林郭勒盟“十四五</w:t>
      </w:r>
      <w:r>
        <w:rPr>
          <w:rFonts w:ascii="FangSong" w:hAnsi="FangSong" w:eastAsia="FangSong" w:cs="FangSong"/>
          <w:sz w:val="24"/>
          <w:szCs w:val="24"/>
          <w:spacing w:val="-84"/>
        </w:rPr>
        <w:t xml:space="preserve"> </w:t>
      </w:r>
      <w:r>
        <w:rPr>
          <w:rFonts w:ascii="FangSong" w:hAnsi="FangSong" w:eastAsia="FangSong" w:cs="FangSong"/>
          <w:sz w:val="24"/>
          <w:szCs w:val="24"/>
          <w:spacing w:val="-2"/>
        </w:rPr>
        <w:t>”生态环境保护规划》。</w:t>
      </w:r>
    </w:p>
    <w:p>
      <w:pPr>
        <w:ind w:left="29"/>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1.4.1.3  </w:t>
      </w:r>
      <w:r>
        <w:rPr>
          <w:rFonts w:ascii="FangSong" w:hAnsi="FangSong" w:eastAsia="FangSong" w:cs="FangSong"/>
          <w:sz w:val="24"/>
          <w:szCs w:val="24"/>
          <w:b/>
          <w:bCs/>
          <w:spacing w:val="-2"/>
        </w:rPr>
        <w:t>与矿产资源规划符合性分析</w:t>
      </w:r>
    </w:p>
    <w:p>
      <w:pPr>
        <w:ind w:left="514"/>
        <w:spacing w:before="182"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）与《内蒙古自治区矿产资源总体规划（</w:t>
      </w:r>
      <w:r>
        <w:rPr>
          <w:rFonts w:ascii="Times New Roman" w:hAnsi="Times New Roman" w:eastAsia="Times New Roman" w:cs="Times New Roman"/>
          <w:sz w:val="24"/>
          <w:szCs w:val="24"/>
          <w:spacing w:val="-1"/>
        </w:rPr>
        <w:t>2021-2025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年</w:t>
      </w:r>
      <w:r>
        <w:rPr>
          <w:rFonts w:ascii="FangSong" w:hAnsi="FangSong" w:eastAsia="FangSong" w:cs="FangSong"/>
          <w:sz w:val="24"/>
          <w:szCs w:val="24"/>
          <w:spacing w:val="-2"/>
        </w:rPr>
        <w:t>）》符合性分析</w:t>
      </w:r>
    </w:p>
    <w:p>
      <w:pPr>
        <w:ind w:left="19" w:firstLine="490"/>
        <w:spacing w:before="181" w:line="360" w:lineRule="auto"/>
        <w:rPr>
          <w:rFonts w:ascii="FangSong" w:hAnsi="FangSong" w:eastAsia="FangSong" w:cs="FangSong"/>
          <w:sz w:val="24"/>
          <w:szCs w:val="24"/>
        </w:rPr>
      </w:pPr>
      <w:r>
        <w:rPr>
          <w:rFonts w:ascii="FangSong" w:hAnsi="FangSong" w:eastAsia="FangSong" w:cs="FangSong"/>
          <w:sz w:val="24"/>
          <w:szCs w:val="24"/>
          <w:spacing w:val="-1"/>
        </w:rPr>
        <w:t>《内蒙古自治区矿产资源总体规划（</w:t>
      </w:r>
      <w:r>
        <w:rPr>
          <w:rFonts w:ascii="Times New Roman" w:hAnsi="Times New Roman" w:eastAsia="Times New Roman" w:cs="Times New Roman"/>
          <w:sz w:val="24"/>
          <w:szCs w:val="24"/>
          <w:spacing w:val="-1"/>
        </w:rPr>
        <w:t>2021-2025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年）》经中华人民共和国自</w:t>
      </w:r>
      <w:r>
        <w:rPr>
          <w:rFonts w:ascii="FangSong" w:hAnsi="FangSong" w:eastAsia="FangSong" w:cs="FangSong"/>
          <w:sz w:val="24"/>
          <w:szCs w:val="24"/>
          <w:spacing w:val="-5"/>
        </w:rPr>
        <w:t>然资源部批准，</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19  </w:t>
      </w:r>
      <w:r>
        <w:rPr>
          <w:rFonts w:ascii="FangSong" w:hAnsi="FangSong" w:eastAsia="FangSong" w:cs="FangSong"/>
          <w:sz w:val="24"/>
          <w:szCs w:val="24"/>
          <w:spacing w:val="-5"/>
        </w:rPr>
        <w:t>日由内蒙古自治区人民政府以《内蒙古自治区人</w:t>
      </w:r>
      <w:r>
        <w:rPr>
          <w:rFonts w:ascii="FangSong" w:hAnsi="FangSong" w:eastAsia="FangSong" w:cs="FangSong"/>
          <w:sz w:val="24"/>
          <w:szCs w:val="24"/>
          <w:spacing w:val="-15"/>
        </w:rPr>
        <w:t>民政府关于印发自治区矿产资源总体规划（</w:t>
      </w:r>
      <w:r>
        <w:rPr>
          <w:rFonts w:ascii="Times New Roman" w:hAnsi="Times New Roman" w:eastAsia="Times New Roman" w:cs="Times New Roman"/>
          <w:sz w:val="24"/>
          <w:szCs w:val="24"/>
          <w:spacing w:val="-15"/>
        </w:rPr>
        <w:t>2021-2025</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15"/>
        </w:rPr>
        <w:t>年）的通知》（内政发（</w:t>
      </w:r>
      <w:r>
        <w:rPr>
          <w:rFonts w:ascii="Times New Roman" w:hAnsi="Times New Roman" w:eastAsia="Times New Roman" w:cs="Times New Roman"/>
          <w:sz w:val="24"/>
          <w:szCs w:val="24"/>
          <w:spacing w:val="-15"/>
        </w:rPr>
        <w:t>2022</w:t>
      </w:r>
      <w:r>
        <w:rPr>
          <w:rFonts w:ascii="FangSong" w:hAnsi="FangSong" w:eastAsia="FangSong" w:cs="FangSong"/>
          <w:sz w:val="24"/>
          <w:szCs w:val="24"/>
          <w:spacing w:val="-1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24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号）发布实施，要求：严守生态安全边界。</w:t>
      </w:r>
      <w:r>
        <w:rPr>
          <w:rFonts w:ascii="FangSong" w:hAnsi="FangSong" w:eastAsia="FangSong" w:cs="FangSong"/>
          <w:sz w:val="24"/>
          <w:szCs w:val="24"/>
          <w:spacing w:val="1"/>
        </w:rPr>
        <w:t>严格落实国土空间管控要求，衔</w:t>
      </w:r>
      <w:r>
        <w:rPr>
          <w:rFonts w:ascii="FangSong" w:hAnsi="FangSong" w:eastAsia="FangSong" w:cs="FangSong"/>
          <w:sz w:val="24"/>
          <w:szCs w:val="24"/>
          <w:spacing w:val="-3"/>
        </w:rPr>
        <w:t>接落实生态保护红线、环境质量底线、资源利用上线和生态环境准入清单生态环</w:t>
      </w:r>
      <w:r>
        <w:rPr>
          <w:rFonts w:ascii="FangSong" w:hAnsi="FangSong" w:eastAsia="FangSong" w:cs="FangSong"/>
          <w:sz w:val="24"/>
          <w:szCs w:val="24"/>
          <w:spacing w:val="-7"/>
        </w:rPr>
        <w:t>境分区管控要求，落实最严格的草原生态环境保护制度。开展铅、锌、银、萤石、</w:t>
      </w:r>
      <w:r>
        <w:rPr>
          <w:rFonts w:ascii="FangSong" w:hAnsi="FangSong" w:eastAsia="FangSong" w:cs="FangSong"/>
          <w:sz w:val="24"/>
          <w:szCs w:val="24"/>
          <w:spacing w:val="-7"/>
        </w:rPr>
        <w:t>晶质石墨等优势矿产勘查，保持资源优势，稳定钨、稀土、铅、锌、钼、铁、锰、</w:t>
      </w:r>
      <w:r>
        <w:rPr>
          <w:rFonts w:ascii="FangSong" w:hAnsi="FangSong" w:eastAsia="FangSong" w:cs="FangSong"/>
          <w:sz w:val="24"/>
          <w:szCs w:val="24"/>
          <w:spacing w:val="-3"/>
        </w:rPr>
        <w:t>铜、金等金属矿产供应；除煤层气、富铁、金、地热、矿泉水外原则上不再新建</w:t>
      </w:r>
      <w:r>
        <w:rPr>
          <w:rFonts w:ascii="FangSong" w:hAnsi="FangSong" w:eastAsia="FangSong" w:cs="FangSong"/>
          <w:sz w:val="24"/>
          <w:szCs w:val="24"/>
          <w:spacing w:val="-1"/>
        </w:rPr>
        <w:t>小型及以下矿山。</w:t>
      </w:r>
    </w:p>
    <w:p>
      <w:pPr>
        <w:ind w:left="30" w:right="98"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3"/>
        </w:rPr>
        <w:t>本项目符合严守生态安全边界。严格落实国土</w:t>
      </w:r>
      <w:r>
        <w:rPr>
          <w:rFonts w:ascii="FangSong" w:hAnsi="FangSong" w:eastAsia="FangSong" w:cs="FangSong"/>
          <w:sz w:val="24"/>
          <w:szCs w:val="24"/>
          <w:spacing w:val="-4"/>
        </w:rPr>
        <w:t>空间管控要求，衔接落实生态</w:t>
      </w:r>
      <w:r>
        <w:rPr>
          <w:rFonts w:ascii="FangSong" w:hAnsi="FangSong" w:eastAsia="FangSong" w:cs="FangSong"/>
          <w:sz w:val="24"/>
          <w:szCs w:val="24"/>
          <w:spacing w:val="-3"/>
        </w:rPr>
        <w:t>保护红线、环境质量底线、资源利用上线和生态环境准入清单生</w:t>
      </w:r>
      <w:r>
        <w:rPr>
          <w:rFonts w:ascii="FangSong" w:hAnsi="FangSong" w:eastAsia="FangSong" w:cs="FangSong"/>
          <w:sz w:val="24"/>
          <w:szCs w:val="24"/>
          <w:spacing w:val="-4"/>
        </w:rPr>
        <w:t>态环境分区管控</w:t>
      </w:r>
      <w:r>
        <w:rPr>
          <w:rFonts w:ascii="FangSong" w:hAnsi="FangSong" w:eastAsia="FangSong" w:cs="FangSong"/>
          <w:sz w:val="24"/>
          <w:szCs w:val="24"/>
          <w:spacing w:val="-3"/>
        </w:rPr>
        <w:t>要求，落实最严格的草原生态环境保护制度的原则，本项目生产规模为</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rPr>
        <w:t xml:space="preserve"> </w:t>
      </w:r>
      <w:r>
        <w:rPr>
          <w:rFonts w:ascii="FangSong" w:hAnsi="FangSong" w:eastAsia="FangSong" w:cs="FangSong"/>
          <w:sz w:val="24"/>
          <w:szCs w:val="24"/>
          <w:spacing w:val="-5"/>
        </w:rPr>
        <w:t>（大型下限</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5"/>
        </w:rPr>
        <w:t>t/a</w:t>
      </w:r>
      <w:r>
        <w:rPr>
          <w:rFonts w:ascii="FangSong" w:hAnsi="FangSong" w:eastAsia="FangSong" w:cs="FangSong"/>
          <w:sz w:val="24"/>
          <w:szCs w:val="24"/>
          <w:spacing w:val="14"/>
        </w:rPr>
        <w:t>），</w:t>
      </w:r>
      <w:r>
        <w:rPr>
          <w:rFonts w:ascii="FangSong" w:hAnsi="FangSong" w:eastAsia="FangSong" w:cs="FangSong"/>
          <w:sz w:val="24"/>
          <w:szCs w:val="24"/>
          <w:spacing w:val="-5"/>
        </w:rPr>
        <w:t>满足规划的要求。</w:t>
      </w:r>
    </w:p>
    <w:p>
      <w:pPr>
        <w:ind w:left="514"/>
        <w:spacing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）与《锡林郭勒盟矿产资源总体规划（</w:t>
      </w:r>
      <w:r>
        <w:rPr>
          <w:rFonts w:ascii="Times New Roman" w:hAnsi="Times New Roman" w:eastAsia="Times New Roman" w:cs="Times New Roman"/>
          <w:sz w:val="24"/>
          <w:szCs w:val="24"/>
          <w:spacing w:val="-2"/>
        </w:rPr>
        <w:t>2021-2025</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2"/>
        </w:rPr>
        <w:t>年）》</w:t>
      </w:r>
    </w:p>
    <w:p>
      <w:pPr>
        <w:ind w:left="29" w:right="99" w:firstLine="479"/>
        <w:spacing w:before="180" w:line="360" w:lineRule="auto"/>
        <w:rPr>
          <w:rFonts w:ascii="FangSong" w:hAnsi="FangSong" w:eastAsia="FangSong" w:cs="FangSong"/>
          <w:sz w:val="24"/>
          <w:szCs w:val="24"/>
        </w:rPr>
      </w:pPr>
      <w:r>
        <w:rPr>
          <w:rFonts w:ascii="FangSong" w:hAnsi="FangSong" w:eastAsia="FangSong" w:cs="FangSong"/>
          <w:sz w:val="24"/>
          <w:szCs w:val="24"/>
          <w:spacing w:val="-1"/>
        </w:rPr>
        <w:t>《锡林郭勒盟矿产资源总体规划（</w:t>
      </w:r>
      <w:r>
        <w:rPr>
          <w:rFonts w:ascii="Times New Roman" w:hAnsi="Times New Roman" w:eastAsia="Times New Roman" w:cs="Times New Roman"/>
          <w:sz w:val="24"/>
          <w:szCs w:val="24"/>
          <w:spacing w:val="-1"/>
        </w:rPr>
        <w:t>2021-2025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年）》经内蒙古自治区自然资</w:t>
      </w:r>
      <w:r>
        <w:rPr>
          <w:rFonts w:ascii="FangSong" w:hAnsi="FangSong" w:eastAsia="FangSong" w:cs="FangSong"/>
          <w:sz w:val="24"/>
          <w:szCs w:val="24"/>
          <w:spacing w:val="-4"/>
        </w:rPr>
        <w:t>源厅批准，</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29  </w:t>
      </w:r>
      <w:r>
        <w:rPr>
          <w:rFonts w:ascii="FangSong" w:hAnsi="FangSong" w:eastAsia="FangSong" w:cs="FangSong"/>
          <w:sz w:val="24"/>
          <w:szCs w:val="24"/>
          <w:spacing w:val="-4"/>
        </w:rPr>
        <w:t>日由锡林郭勒</w:t>
      </w:r>
      <w:r>
        <w:rPr>
          <w:rFonts w:ascii="FangSong" w:hAnsi="FangSong" w:eastAsia="FangSong" w:cs="FangSong"/>
          <w:sz w:val="24"/>
          <w:szCs w:val="24"/>
          <w:spacing w:val="-5"/>
        </w:rPr>
        <w:t>盟行政公署以《锡林郭勒盟行政公署关</w:t>
      </w:r>
      <w:r>
        <w:rPr>
          <w:rFonts w:ascii="FangSong" w:hAnsi="FangSong" w:eastAsia="FangSong" w:cs="FangSong"/>
          <w:sz w:val="24"/>
          <w:szCs w:val="24"/>
          <w:spacing w:val="-2"/>
        </w:rPr>
        <w:t>于公布实施《锡林郭勒盟矿产资源总体规划（</w:t>
      </w:r>
      <w:r>
        <w:rPr>
          <w:rFonts w:ascii="Times New Roman" w:hAnsi="Times New Roman" w:eastAsia="Times New Roman" w:cs="Times New Roman"/>
          <w:sz w:val="24"/>
          <w:szCs w:val="24"/>
          <w:spacing w:val="-2"/>
        </w:rPr>
        <w:t>2012025</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年）的通知》发布实施。</w:t>
      </w:r>
      <w:r>
        <w:rPr>
          <w:rFonts w:ascii="FangSong" w:hAnsi="FangSong" w:eastAsia="FangSong" w:cs="FangSong"/>
          <w:sz w:val="24"/>
          <w:szCs w:val="24"/>
          <w:spacing w:val="-3"/>
        </w:rPr>
        <w:t>要求：积极建立以大中型矿山企业为主体的矿业新格局，推进矿山</w:t>
      </w:r>
      <w:r>
        <w:rPr>
          <w:rFonts w:ascii="FangSong" w:hAnsi="FangSong" w:eastAsia="FangSong" w:cs="FangSong"/>
          <w:sz w:val="24"/>
          <w:szCs w:val="24"/>
          <w:spacing w:val="-4"/>
        </w:rPr>
        <w:t>规模化集约化</w:t>
      </w:r>
      <w:r>
        <w:rPr>
          <w:rFonts w:ascii="FangSong" w:hAnsi="FangSong" w:eastAsia="FangSong" w:cs="FangSong"/>
          <w:sz w:val="24"/>
          <w:szCs w:val="24"/>
        </w:rPr>
        <w:t>开采，矿山数量控制在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rPr>
        <w:t>310</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rPr>
        <w:t>个以内，大中</w:t>
      </w:r>
      <w:r>
        <w:rPr>
          <w:rFonts w:ascii="FangSong" w:hAnsi="FangSong" w:eastAsia="FangSong" w:cs="FangSong"/>
          <w:sz w:val="24"/>
          <w:szCs w:val="24"/>
          <w:spacing w:val="-1"/>
        </w:rPr>
        <w:t>型矿山比例达到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。提高新建矿山</w:t>
      </w:r>
      <w:r>
        <w:rPr>
          <w:rFonts w:ascii="FangSong" w:hAnsi="FangSong" w:eastAsia="FangSong" w:cs="FangSong"/>
          <w:sz w:val="24"/>
          <w:szCs w:val="24"/>
          <w:spacing w:val="-3"/>
        </w:rPr>
        <w:t>最低开采规模，除煤层气、富铁、金、地热、矿泉水外原则上不再</w:t>
      </w:r>
      <w:r>
        <w:rPr>
          <w:rFonts w:ascii="FangSong" w:hAnsi="FangSong" w:eastAsia="FangSong" w:cs="FangSong"/>
          <w:sz w:val="24"/>
          <w:szCs w:val="24"/>
          <w:spacing w:val="-4"/>
        </w:rPr>
        <w:t>新建小型及以</w:t>
      </w:r>
      <w:r>
        <w:rPr>
          <w:rFonts w:ascii="FangSong" w:hAnsi="FangSong" w:eastAsia="FangSong" w:cs="FangSong"/>
          <w:sz w:val="24"/>
          <w:szCs w:val="24"/>
          <w:spacing w:val="-4"/>
        </w:rPr>
        <w:t>下矿山。</w:t>
      </w:r>
    </w:p>
    <w:p>
      <w:pPr>
        <w:ind w:left="36" w:right="101" w:firstLine="474"/>
        <w:spacing w:before="2" w:line="359" w:lineRule="auto"/>
        <w:rPr>
          <w:rFonts w:ascii="FangSong" w:hAnsi="FangSong" w:eastAsia="FangSong" w:cs="FangSong"/>
          <w:sz w:val="24"/>
          <w:szCs w:val="24"/>
        </w:rPr>
      </w:pPr>
      <w:r>
        <w:rPr>
          <w:rFonts w:ascii="FangSong" w:hAnsi="FangSong" w:eastAsia="FangSong" w:cs="FangSong"/>
          <w:sz w:val="24"/>
          <w:szCs w:val="24"/>
          <w:spacing w:val="-3"/>
        </w:rPr>
        <w:t>本项目生产规模为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，满足规划矿山最低开采规模（</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
        </w:rPr>
        <w:t>0</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4"/>
        </w:rPr>
        <w:t>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t/a</w:t>
      </w:r>
      <w:r>
        <w:rPr>
          <w:rFonts w:ascii="FangSong" w:hAnsi="FangSong" w:eastAsia="FangSong" w:cs="FangSong"/>
          <w:sz w:val="24"/>
          <w:szCs w:val="24"/>
          <w:spacing w:val="-4"/>
        </w:rPr>
        <w:t>）的要</w:t>
      </w:r>
      <w:r>
        <w:rPr>
          <w:rFonts w:ascii="FangSong" w:hAnsi="FangSong" w:eastAsia="FangSong" w:cs="FangSong"/>
          <w:sz w:val="24"/>
          <w:szCs w:val="24"/>
          <w:spacing w:val="-3"/>
        </w:rPr>
        <w:t>求，属于矿山数量控制在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310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个以内之一。</w:t>
      </w:r>
    </w:p>
    <w:p>
      <w:pPr>
        <w:spacing w:line="359" w:lineRule="auto"/>
        <w:sectPr>
          <w:headerReference w:type="default" r:id="rId13"/>
          <w:footerReference w:type="default" r:id="rId23"/>
          <w:pgSz w:w="11906" w:h="16839"/>
          <w:pgMar w:top="1250" w:right="1700" w:bottom="1346" w:left="1785" w:header="831" w:footer="1162" w:gutter="0"/>
        </w:sectPr>
        <w:rPr>
          <w:rFonts w:ascii="FangSong" w:hAnsi="FangSong" w:eastAsia="FangSong" w:cs="FangSong"/>
          <w:sz w:val="24"/>
          <w:szCs w:val="24"/>
        </w:rPr>
      </w:pPr>
    </w:p>
    <w:p>
      <w:pPr>
        <w:ind w:left="514"/>
        <w:spacing w:before="304"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）《苏尼特右旗矿产资源总体规划（</w:t>
      </w:r>
      <w:r>
        <w:rPr>
          <w:rFonts w:ascii="Times New Roman" w:hAnsi="Times New Roman" w:eastAsia="Times New Roman" w:cs="Times New Roman"/>
          <w:sz w:val="24"/>
          <w:szCs w:val="24"/>
          <w:spacing w:val="-2"/>
        </w:rPr>
        <w:t>2021-2025</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2"/>
        </w:rPr>
        <w:t>年）》</w:t>
      </w:r>
    </w:p>
    <w:p>
      <w:pPr>
        <w:ind w:left="33" w:right="62" w:firstLine="475"/>
        <w:spacing w:before="176" w:line="348" w:lineRule="auto"/>
        <w:rPr>
          <w:rFonts w:ascii="FangSong" w:hAnsi="FangSong" w:eastAsia="FangSong" w:cs="FangSong"/>
          <w:sz w:val="24"/>
          <w:szCs w:val="24"/>
        </w:rPr>
      </w:pPr>
      <w:r>
        <w:rPr>
          <w:rFonts w:ascii="FangSong" w:hAnsi="FangSong" w:eastAsia="FangSong" w:cs="FangSong"/>
          <w:sz w:val="24"/>
          <w:szCs w:val="24"/>
          <w:spacing w:val="-1"/>
        </w:rPr>
        <w:t>《苏尼特右旗矿产资源总体规划（</w:t>
      </w:r>
      <w:r>
        <w:rPr>
          <w:rFonts w:ascii="Times New Roman" w:hAnsi="Times New Roman" w:eastAsia="Times New Roman" w:cs="Times New Roman"/>
          <w:sz w:val="24"/>
          <w:szCs w:val="24"/>
          <w:spacing w:val="-1"/>
        </w:rPr>
        <w:t>2021-2025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年）》经锡林郭勒盟自然资源</w:t>
      </w:r>
      <w:r>
        <w:rPr>
          <w:rFonts w:ascii="FangSong" w:hAnsi="FangSong" w:eastAsia="FangSong" w:cs="FangSong"/>
          <w:sz w:val="24"/>
          <w:szCs w:val="24"/>
          <w:spacing w:val="-5"/>
        </w:rPr>
        <w:t>局批准，</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7  </w:t>
      </w:r>
      <w:r>
        <w:rPr>
          <w:rFonts w:ascii="FangSong" w:hAnsi="FangSong" w:eastAsia="FangSong" w:cs="FangSong"/>
          <w:sz w:val="24"/>
          <w:szCs w:val="24"/>
          <w:spacing w:val="-5"/>
        </w:rPr>
        <w:t>日由苏尼特右旗人民政府以《苏尼特右旗人</w:t>
      </w:r>
      <w:r>
        <w:rPr>
          <w:rFonts w:ascii="FangSong" w:hAnsi="FangSong" w:eastAsia="FangSong" w:cs="FangSong"/>
          <w:sz w:val="24"/>
          <w:szCs w:val="24"/>
          <w:spacing w:val="-6"/>
        </w:rPr>
        <w:t>民政府关于</w:t>
      </w:r>
      <w:r>
        <w:rPr>
          <w:rFonts w:ascii="FangSong" w:hAnsi="FangSong" w:eastAsia="FangSong" w:cs="FangSong"/>
          <w:sz w:val="24"/>
          <w:szCs w:val="24"/>
          <w:spacing w:val="-2"/>
        </w:rPr>
        <w:t>公布实施</w:t>
      </w:r>
      <w:r>
        <w:rPr>
          <w:rFonts w:ascii="Times New Roman" w:hAnsi="Times New Roman" w:eastAsia="Times New Roman" w:cs="Times New Roman"/>
          <w:sz w:val="24"/>
          <w:szCs w:val="24"/>
          <w:spacing w:val="-2"/>
        </w:rPr>
        <w:t>&lt;</w:t>
      </w:r>
      <w:r>
        <w:rPr>
          <w:rFonts w:ascii="FangSong" w:hAnsi="FangSong" w:eastAsia="FangSong" w:cs="FangSong"/>
          <w:sz w:val="24"/>
          <w:szCs w:val="24"/>
          <w:spacing w:val="-2"/>
        </w:rPr>
        <w:t>苏尼特右旗矿产资源总体规划（</w:t>
      </w:r>
      <w:r>
        <w:rPr>
          <w:rFonts w:ascii="Times New Roman" w:hAnsi="Times New Roman" w:eastAsia="Times New Roman" w:cs="Times New Roman"/>
          <w:sz w:val="24"/>
          <w:szCs w:val="24"/>
          <w:spacing w:val="-2"/>
        </w:rPr>
        <w:t>202</w:t>
      </w:r>
      <w:r>
        <w:rPr>
          <w:rFonts w:ascii="Times New Roman" w:hAnsi="Times New Roman" w:eastAsia="Times New Roman" w:cs="Times New Roman"/>
          <w:sz w:val="24"/>
          <w:szCs w:val="24"/>
          <w:spacing w:val="-3"/>
        </w:rPr>
        <w:t>1-2025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w:t>
      </w:r>
      <w:r>
        <w:rPr>
          <w:rFonts w:ascii="Times New Roman" w:hAnsi="Times New Roman" w:eastAsia="Times New Roman" w:cs="Times New Roman"/>
          <w:sz w:val="24"/>
          <w:szCs w:val="24"/>
          <w:spacing w:val="-3"/>
        </w:rPr>
        <w:t>&gt;</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的通知》（苏右政发</w:t>
      </w:r>
      <w:r>
        <w:rPr>
          <w:rFonts w:ascii="FangSong" w:hAnsi="FangSong" w:eastAsia="FangSong" w:cs="FangSong"/>
          <w:sz w:val="24"/>
          <w:szCs w:val="24"/>
        </w:rPr>
        <w:t>（</w:t>
      </w:r>
      <w:r>
        <w:rPr>
          <w:rFonts w:ascii="Times New Roman" w:hAnsi="Times New Roman" w:eastAsia="Times New Roman" w:cs="Times New Roman"/>
          <w:sz w:val="24"/>
          <w:szCs w:val="24"/>
        </w:rPr>
        <w:t>2022</w:t>
      </w:r>
      <w:r>
        <w:rPr>
          <w:rFonts w:ascii="FangSong" w:hAnsi="FangSong" w:eastAsia="FangSong" w:cs="FangSong"/>
          <w:sz w:val="24"/>
          <w:szCs w:val="24"/>
        </w:rPr>
        <w:t>）</w:t>
      </w:r>
      <w:r>
        <w:rPr>
          <w:rFonts w:ascii="Times New Roman" w:hAnsi="Times New Roman" w:eastAsia="Times New Roman" w:cs="Times New Roman"/>
          <w:sz w:val="24"/>
          <w:szCs w:val="24"/>
        </w:rPr>
        <w:t>89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号）发布实施。要求：“</w:t>
      </w:r>
      <w:r>
        <w:rPr>
          <w:rFonts w:ascii="FangSong" w:hAnsi="FangSong" w:eastAsia="FangSong" w:cs="FangSong"/>
          <w:sz w:val="24"/>
          <w:szCs w:val="24"/>
          <w:spacing w:val="-75"/>
        </w:rPr>
        <w:t xml:space="preserve"> </w:t>
      </w:r>
      <w:r>
        <w:rPr>
          <w:rFonts w:ascii="FangSong" w:hAnsi="FangSong" w:eastAsia="FangSong" w:cs="FangSong"/>
          <w:sz w:val="24"/>
          <w:szCs w:val="24"/>
        </w:rPr>
        <w:t>以资源赋存、矿床规模为基础，</w:t>
      </w:r>
      <w:r>
        <w:rPr>
          <w:rFonts w:ascii="FangSong" w:hAnsi="FangSong" w:eastAsia="FangSong" w:cs="FangSong"/>
          <w:sz w:val="24"/>
          <w:szCs w:val="24"/>
          <w:spacing w:val="-1"/>
        </w:rPr>
        <w:t>以市场需</w:t>
      </w:r>
      <w:r>
        <w:rPr>
          <w:rFonts w:ascii="FangSong" w:hAnsi="FangSong" w:eastAsia="FangSong" w:cs="FangSong"/>
          <w:sz w:val="24"/>
          <w:szCs w:val="24"/>
          <w:spacing w:val="-3"/>
        </w:rPr>
        <w:t>求为依据，以生态环境承载力为约束，落实自治区和锡盟</w:t>
      </w:r>
      <w:r>
        <w:rPr>
          <w:rFonts w:ascii="FangSong" w:hAnsi="FangSong" w:eastAsia="FangSong" w:cs="FangSong"/>
          <w:sz w:val="24"/>
          <w:szCs w:val="24"/>
          <w:spacing w:val="-4"/>
        </w:rPr>
        <w:t>矿产资源规划开采规划</w:t>
      </w:r>
      <w:r>
        <w:rPr>
          <w:rFonts w:ascii="FangSong" w:hAnsi="FangSong" w:eastAsia="FangSong" w:cs="FangSong"/>
          <w:sz w:val="24"/>
          <w:szCs w:val="24"/>
          <w:spacing w:val="-2"/>
        </w:rPr>
        <w:t>区块</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2"/>
        </w:rPr>
        <w:t>个，总面积</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97.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11km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，全部为探矿权转采矿权。详专栏</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（见图</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2"/>
        </w:rPr>
        <w:t>1.4-1</w:t>
      </w:r>
      <w:r>
        <w:rPr>
          <w:rFonts w:ascii="FangSong" w:hAnsi="FangSong" w:eastAsia="FangSong" w:cs="FangSong"/>
          <w:sz w:val="24"/>
          <w:szCs w:val="24"/>
          <w:spacing w:val="-2"/>
        </w:rPr>
        <w:t>）</w:t>
      </w:r>
      <w:r>
        <w:rPr>
          <w:rFonts w:ascii="FangSong" w:hAnsi="FangSong" w:eastAsia="FangSong" w:cs="FangSong"/>
          <w:sz w:val="24"/>
          <w:szCs w:val="24"/>
          <w:spacing w:val="-2"/>
        </w:rPr>
        <w:t>苏尼特右旗开采规划区块</w:t>
      </w:r>
      <w:r>
        <w:rPr>
          <w:rFonts w:ascii="FangSong" w:hAnsi="FangSong" w:eastAsia="FangSong" w:cs="FangSong"/>
          <w:sz w:val="24"/>
          <w:szCs w:val="24"/>
          <w:spacing w:val="-81"/>
        </w:rPr>
        <w:t xml:space="preserve"> </w:t>
      </w:r>
      <w:r>
        <w:rPr>
          <w:rFonts w:ascii="FangSong" w:hAnsi="FangSong" w:eastAsia="FangSong" w:cs="FangSong"/>
          <w:sz w:val="24"/>
          <w:szCs w:val="24"/>
          <w:spacing w:val="-2"/>
        </w:rPr>
        <w:t>”。</w:t>
      </w:r>
    </w:p>
    <w:p>
      <w:pPr>
        <w:ind w:firstLine="16"/>
        <w:spacing w:line="5287" w:lineRule="exact"/>
        <w:rPr/>
      </w:pPr>
      <w:r>
        <w:rPr>
          <w:position w:val="-105"/>
        </w:rPr>
        <w:drawing>
          <wp:inline distT="0" distB="0" distL="0" distR="0">
            <wp:extent cx="5265420" cy="3357371"/>
            <wp:effectExtent l="0" t="0" r="0" b="0"/>
            <wp:docPr id="4" name="IM 4"/>
            <wp:cNvGraphicFramePr/>
            <a:graphic>
              <a:graphicData uri="http://schemas.openxmlformats.org/drawingml/2006/picture">
                <pic:pic>
                  <pic:nvPicPr>
                    <pic:cNvPr id="4" name="IM 4"/>
                    <pic:cNvPicPr/>
                  </pic:nvPicPr>
                  <pic:blipFill>
                    <a:blip r:embed="rId26"/>
                    <a:stretch>
                      <a:fillRect/>
                    </a:stretch>
                  </pic:blipFill>
                  <pic:spPr>
                    <a:xfrm rot="0">
                      <a:off x="0" y="0"/>
                      <a:ext cx="5265420" cy="3357371"/>
                    </a:xfrm>
                    <a:prstGeom prst="rect">
                      <a:avLst/>
                    </a:prstGeom>
                  </pic:spPr>
                </pic:pic>
              </a:graphicData>
            </a:graphic>
          </wp:inline>
        </w:drawing>
      </w:r>
    </w:p>
    <w:p>
      <w:pPr>
        <w:ind w:left="2179"/>
        <w:spacing w:before="128" w:line="222" w:lineRule="auto"/>
        <w:rPr>
          <w:rFonts w:ascii="FangSong" w:hAnsi="FangSong" w:eastAsia="FangSong" w:cs="FangSong"/>
          <w:sz w:val="24"/>
          <w:szCs w:val="24"/>
        </w:rPr>
      </w:pPr>
      <w:r>
        <w:rPr>
          <w:rFonts w:ascii="FangSong" w:hAnsi="FangSong" w:eastAsia="FangSong" w:cs="FangSong"/>
          <w:sz w:val="24"/>
          <w:szCs w:val="24"/>
          <w:b/>
          <w:bCs/>
          <w:spacing w:val="-4"/>
        </w:rPr>
        <w:t>图</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4"/>
        </w:rPr>
        <w:t>1.4-1  </w:t>
      </w:r>
      <w:r>
        <w:rPr>
          <w:rFonts w:ascii="FangSong" w:hAnsi="FangSong" w:eastAsia="FangSong" w:cs="FangSong"/>
          <w:sz w:val="24"/>
          <w:szCs w:val="24"/>
          <w:b/>
          <w:bCs/>
          <w:spacing w:val="-4"/>
        </w:rPr>
        <w:t>苏尼特右旗开采规划区块截图</w:t>
      </w:r>
    </w:p>
    <w:p>
      <w:pPr>
        <w:ind w:left="30" w:firstLine="480"/>
        <w:spacing w:before="178" w:line="357" w:lineRule="auto"/>
        <w:rPr>
          <w:rFonts w:ascii="FangSong" w:hAnsi="FangSong" w:eastAsia="FangSong" w:cs="FangSong"/>
          <w:sz w:val="24"/>
          <w:szCs w:val="24"/>
        </w:rPr>
      </w:pPr>
      <w:r>
        <w:rPr>
          <w:rFonts w:ascii="FangSong" w:hAnsi="FangSong" w:eastAsia="FangSong" w:cs="FangSong"/>
          <w:sz w:val="24"/>
          <w:szCs w:val="24"/>
          <w:spacing w:val="-1"/>
        </w:rPr>
        <w:t>本矿山属于矿产资源规划开采规划</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1"/>
        </w:rPr>
        <w:t>个区块内，本</w:t>
      </w:r>
      <w:r>
        <w:rPr>
          <w:rFonts w:ascii="FangSong" w:hAnsi="FangSong" w:eastAsia="FangSong" w:cs="FangSong"/>
          <w:sz w:val="24"/>
          <w:szCs w:val="24"/>
          <w:spacing w:val="-2"/>
        </w:rPr>
        <w:t>矿山矿块编号为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CQ008</w:t>
      </w:r>
      <w:r>
        <w:rPr>
          <w:rFonts w:ascii="FangSong" w:hAnsi="FangSong" w:eastAsia="FangSong" w:cs="FangSong"/>
          <w:sz w:val="24"/>
          <w:szCs w:val="24"/>
          <w:spacing w:val="-2"/>
        </w:rPr>
        <w:t>；</w:t>
      </w:r>
      <w:r>
        <w:rPr>
          <w:rFonts w:ascii="FangSong" w:hAnsi="FangSong" w:eastAsia="FangSong" w:cs="FangSong"/>
          <w:sz w:val="24"/>
          <w:szCs w:val="24"/>
          <w:spacing w:val="-1"/>
        </w:rPr>
        <w:t>满足《苏尼特右旗矿产资源总体规划（</w:t>
      </w:r>
      <w:r>
        <w:rPr>
          <w:rFonts w:ascii="Times New Roman" w:hAnsi="Times New Roman" w:eastAsia="Times New Roman" w:cs="Times New Roman"/>
          <w:sz w:val="24"/>
          <w:szCs w:val="24"/>
          <w:spacing w:val="-1"/>
        </w:rPr>
        <w:t>2021-20</w:t>
      </w:r>
      <w:r>
        <w:rPr>
          <w:rFonts w:ascii="Times New Roman" w:hAnsi="Times New Roman" w:eastAsia="Times New Roman" w:cs="Times New Roman"/>
          <w:sz w:val="24"/>
          <w:szCs w:val="24"/>
          <w:spacing w:val="-2"/>
        </w:rPr>
        <w:t>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年）》要求。</w:t>
      </w:r>
    </w:p>
    <w:p>
      <w:pPr>
        <w:ind w:left="29"/>
        <w:spacing w:before="8" w:line="220" w:lineRule="auto"/>
        <w:outlineLvl w:val="2"/>
        <w:rPr>
          <w:rFonts w:ascii="FangSong" w:hAnsi="FangSong" w:eastAsia="FangSong" w:cs="FangSong"/>
          <w:sz w:val="24"/>
          <w:szCs w:val="24"/>
        </w:rPr>
      </w:pPr>
      <w:bookmarkStart w:name="bookmark14" w:id="20"/>
      <w:bookmarkEnd w:id="20"/>
      <w:bookmarkStart w:name="bookmark13" w:id="21"/>
      <w:bookmarkEnd w:id="21"/>
      <w:r>
        <w:rPr>
          <w:rFonts w:ascii="Times New Roman" w:hAnsi="Times New Roman" w:eastAsia="Times New Roman" w:cs="Times New Roman"/>
          <w:sz w:val="24"/>
          <w:szCs w:val="24"/>
          <w:b/>
          <w:bCs/>
          <w:spacing w:val="-3"/>
        </w:rPr>
        <w:t>1.4.2  </w:t>
      </w:r>
      <w:r>
        <w:rPr>
          <w:rFonts w:ascii="FangSong" w:hAnsi="FangSong" w:eastAsia="FangSong" w:cs="FangSong"/>
          <w:sz w:val="24"/>
          <w:szCs w:val="24"/>
          <w:b/>
          <w:bCs/>
          <w:spacing w:val="-3"/>
        </w:rPr>
        <w:t>选址合理性分析</w:t>
      </w:r>
    </w:p>
    <w:p>
      <w:pPr>
        <w:ind w:left="29"/>
        <w:spacing w:before="182"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1.4.2.1  </w:t>
      </w:r>
      <w:r>
        <w:rPr>
          <w:rFonts w:ascii="FangSong" w:hAnsi="FangSong" w:eastAsia="FangSong" w:cs="FangSong"/>
          <w:sz w:val="24"/>
          <w:szCs w:val="24"/>
          <w:b/>
          <w:bCs/>
          <w:spacing w:val="-2"/>
        </w:rPr>
        <w:t>本项目选址合理性分析</w:t>
      </w:r>
    </w:p>
    <w:p>
      <w:pPr>
        <w:ind w:left="29" w:right="62" w:firstLine="480"/>
        <w:spacing w:before="183" w:line="360" w:lineRule="auto"/>
        <w:jc w:val="both"/>
        <w:rPr>
          <w:rFonts w:ascii="FangSong" w:hAnsi="FangSong" w:eastAsia="FangSong" w:cs="FangSong"/>
          <w:sz w:val="24"/>
          <w:szCs w:val="24"/>
        </w:rPr>
      </w:pPr>
      <w:r>
        <w:rPr>
          <w:rFonts w:ascii="FangSong" w:hAnsi="FangSong" w:eastAsia="FangSong" w:cs="FangSong"/>
          <w:sz w:val="24"/>
          <w:szCs w:val="24"/>
          <w:spacing w:val="-3"/>
        </w:rPr>
        <w:t>《中华人民共和国矿产资源法》第二十条规</w:t>
      </w:r>
      <w:r>
        <w:rPr>
          <w:rFonts w:ascii="FangSong" w:hAnsi="FangSong" w:eastAsia="FangSong" w:cs="FangSong"/>
          <w:sz w:val="24"/>
          <w:szCs w:val="24"/>
          <w:spacing w:val="-4"/>
        </w:rPr>
        <w:t>定：“非经国务院授权的有关主</w:t>
      </w:r>
      <w:r>
        <w:rPr>
          <w:rFonts w:ascii="FangSong" w:hAnsi="FangSong" w:eastAsia="FangSong" w:cs="FangSong"/>
          <w:sz w:val="24"/>
          <w:szCs w:val="24"/>
          <w:spacing w:val="-1"/>
        </w:rPr>
        <w:t>管部门同意，不得在下列地区开采矿产资源：①</w:t>
      </w:r>
      <w:r>
        <w:rPr>
          <w:rFonts w:ascii="FangSong" w:hAnsi="FangSong" w:eastAsia="FangSong" w:cs="FangSong"/>
          <w:sz w:val="24"/>
          <w:szCs w:val="24"/>
          <w:spacing w:val="-2"/>
        </w:rPr>
        <w:t xml:space="preserve"> </w:t>
      </w:r>
      <w:r>
        <w:rPr>
          <w:rFonts w:ascii="FangSong" w:hAnsi="FangSong" w:eastAsia="FangSong" w:cs="FangSong"/>
          <w:sz w:val="24"/>
          <w:szCs w:val="24"/>
          <w:spacing w:val="-2"/>
        </w:rPr>
        <w:t>港</w:t>
      </w:r>
      <w:r>
        <w:rPr>
          <w:rFonts w:ascii="FangSong" w:hAnsi="FangSong" w:eastAsia="FangSong" w:cs="FangSong"/>
          <w:sz w:val="24"/>
          <w:szCs w:val="24"/>
          <w:spacing w:val="-61"/>
        </w:rPr>
        <w:t xml:space="preserve"> </w:t>
      </w:r>
      <w:r>
        <w:rPr>
          <w:rFonts w:ascii="FangSong" w:hAnsi="FangSong" w:eastAsia="FangSong" w:cs="FangSong"/>
          <w:sz w:val="24"/>
          <w:szCs w:val="24"/>
          <w:spacing w:val="-2"/>
        </w:rPr>
        <w:t>口、机场、国防工程设施圈</w:t>
      </w:r>
      <w:r>
        <w:rPr>
          <w:rFonts w:ascii="FangSong" w:hAnsi="FangSong" w:eastAsia="FangSong" w:cs="FangSong"/>
          <w:sz w:val="24"/>
          <w:szCs w:val="24"/>
        </w:rPr>
        <w:t>定地区以内；②</w:t>
      </w:r>
      <w:r>
        <w:rPr>
          <w:rFonts w:ascii="FangSong" w:hAnsi="FangSong" w:eastAsia="FangSong" w:cs="FangSong"/>
          <w:sz w:val="24"/>
          <w:szCs w:val="24"/>
        </w:rPr>
        <w:t xml:space="preserve"> </w:t>
      </w:r>
      <w:r>
        <w:rPr>
          <w:rFonts w:ascii="FangSong" w:hAnsi="FangSong" w:eastAsia="FangSong" w:cs="FangSong"/>
          <w:sz w:val="24"/>
          <w:szCs w:val="24"/>
        </w:rPr>
        <w:t>重要工业区、大型水利工程设施、城镇市政工程设施附近一定</w:t>
      </w:r>
      <w:r>
        <w:rPr>
          <w:rFonts w:ascii="FangSong" w:hAnsi="FangSong" w:eastAsia="FangSong" w:cs="FangSong"/>
          <w:sz w:val="24"/>
          <w:szCs w:val="24"/>
          <w:spacing w:val="-3"/>
        </w:rPr>
        <w:t>距离以内；③</w:t>
      </w:r>
      <w:r>
        <w:rPr>
          <w:rFonts w:ascii="FangSong" w:hAnsi="FangSong" w:eastAsia="FangSong" w:cs="FangSong"/>
          <w:sz w:val="24"/>
          <w:szCs w:val="24"/>
          <w:spacing w:val="-3"/>
        </w:rPr>
        <w:t xml:space="preserve"> </w:t>
      </w:r>
      <w:r>
        <w:rPr>
          <w:rFonts w:ascii="FangSong" w:hAnsi="FangSong" w:eastAsia="FangSong" w:cs="FangSong"/>
          <w:sz w:val="24"/>
          <w:szCs w:val="24"/>
          <w:spacing w:val="-3"/>
        </w:rPr>
        <w:t>铁路、重要公路两侧一定距离以内；④</w:t>
      </w:r>
      <w:r>
        <w:rPr>
          <w:rFonts w:ascii="FangSong" w:hAnsi="FangSong" w:eastAsia="FangSong" w:cs="FangSong"/>
          <w:sz w:val="24"/>
          <w:szCs w:val="24"/>
          <w:spacing w:val="-3"/>
        </w:rPr>
        <w:t xml:space="preserve"> </w:t>
      </w:r>
      <w:r>
        <w:rPr>
          <w:rFonts w:ascii="FangSong" w:hAnsi="FangSong" w:eastAsia="FangSong" w:cs="FangSong"/>
          <w:sz w:val="24"/>
          <w:szCs w:val="24"/>
          <w:spacing w:val="-3"/>
        </w:rPr>
        <w:t>重要河流、堤坝两侧</w:t>
      </w:r>
      <w:r>
        <w:rPr>
          <w:rFonts w:ascii="FangSong" w:hAnsi="FangSong" w:eastAsia="FangSong" w:cs="FangSong"/>
          <w:sz w:val="24"/>
          <w:szCs w:val="24"/>
          <w:spacing w:val="-4"/>
        </w:rPr>
        <w:t>一定</w:t>
      </w:r>
      <w:r>
        <w:rPr>
          <w:rFonts w:ascii="FangSong" w:hAnsi="FangSong" w:eastAsia="FangSong" w:cs="FangSong"/>
          <w:sz w:val="24"/>
          <w:szCs w:val="24"/>
          <w:spacing w:val="-1"/>
        </w:rPr>
        <w:t>距离以内；⑤</w:t>
      </w:r>
      <w:r>
        <w:rPr>
          <w:rFonts w:ascii="FangSong" w:hAnsi="FangSong" w:eastAsia="FangSong" w:cs="FangSong"/>
          <w:sz w:val="24"/>
          <w:szCs w:val="24"/>
          <w:spacing w:val="46"/>
        </w:rPr>
        <w:t xml:space="preserve"> </w:t>
      </w:r>
      <w:r>
        <w:rPr>
          <w:rFonts w:ascii="FangSong" w:hAnsi="FangSong" w:eastAsia="FangSong" w:cs="FangSong"/>
          <w:sz w:val="24"/>
          <w:szCs w:val="24"/>
          <w:spacing w:val="-1"/>
        </w:rPr>
        <w:t>国家划定的自然保护区、重要风景区，国家重点保护的不能</w:t>
      </w:r>
      <w:r>
        <w:rPr>
          <w:rFonts w:ascii="FangSong" w:hAnsi="FangSong" w:eastAsia="FangSong" w:cs="FangSong"/>
          <w:sz w:val="24"/>
          <w:szCs w:val="24"/>
          <w:spacing w:val="-2"/>
        </w:rPr>
        <w:t>移动</w:t>
      </w:r>
    </w:p>
    <w:p>
      <w:pPr>
        <w:spacing w:line="360" w:lineRule="auto"/>
        <w:sectPr>
          <w:headerReference w:type="default" r:id="rId24"/>
          <w:footerReference w:type="default" r:id="rId25"/>
          <w:pgSz w:w="11906" w:h="16839"/>
          <w:pgMar w:top="1250" w:right="1737" w:bottom="1349" w:left="1785" w:header="831" w:footer="1162" w:gutter="0"/>
        </w:sectPr>
        <w:rPr>
          <w:rFonts w:ascii="FangSong" w:hAnsi="FangSong" w:eastAsia="FangSong" w:cs="FangSong"/>
          <w:sz w:val="24"/>
          <w:szCs w:val="24"/>
        </w:rPr>
      </w:pPr>
    </w:p>
    <w:p>
      <w:pPr>
        <w:ind w:left="44"/>
        <w:spacing w:before="304" w:line="219" w:lineRule="auto"/>
        <w:rPr>
          <w:rFonts w:ascii="FangSong" w:hAnsi="FangSong" w:eastAsia="FangSong" w:cs="FangSong"/>
          <w:sz w:val="24"/>
          <w:szCs w:val="24"/>
        </w:rPr>
      </w:pPr>
      <w:r>
        <w:rPr>
          <w:rFonts w:ascii="FangSong" w:hAnsi="FangSong" w:eastAsia="FangSong" w:cs="FangSong"/>
          <w:sz w:val="24"/>
          <w:szCs w:val="24"/>
        </w:rPr>
        <w:t>的历史文物和名胜古迹所在地；⑥</w:t>
      </w:r>
      <w:r>
        <w:rPr>
          <w:rFonts w:ascii="FangSong" w:hAnsi="FangSong" w:eastAsia="FangSong" w:cs="FangSong"/>
          <w:sz w:val="24"/>
          <w:szCs w:val="24"/>
          <w:spacing w:val="52"/>
        </w:rPr>
        <w:t xml:space="preserve"> </w:t>
      </w:r>
      <w:r>
        <w:rPr>
          <w:rFonts w:ascii="FangSong" w:hAnsi="FangSong" w:eastAsia="FangSong" w:cs="FangSong"/>
          <w:sz w:val="24"/>
          <w:szCs w:val="24"/>
        </w:rPr>
        <w:t>国家规定不得开采矿产资源的其他地区。</w:t>
      </w:r>
      <w:r>
        <w:rPr>
          <w:rFonts w:ascii="FangSong" w:hAnsi="FangSong" w:eastAsia="FangSong" w:cs="FangSong"/>
          <w:sz w:val="24"/>
          <w:szCs w:val="24"/>
          <w:spacing w:val="-89"/>
        </w:rPr>
        <w:t xml:space="preserve"> </w:t>
      </w:r>
      <w:r>
        <w:rPr>
          <w:rFonts w:ascii="FangSong" w:hAnsi="FangSong" w:eastAsia="FangSong" w:cs="FangSong"/>
          <w:sz w:val="24"/>
          <w:szCs w:val="24"/>
        </w:rPr>
        <w:t>”</w:t>
      </w:r>
    </w:p>
    <w:p>
      <w:pPr>
        <w:ind w:left="510"/>
        <w:spacing w:before="182" w:line="222" w:lineRule="auto"/>
        <w:rPr>
          <w:rFonts w:ascii="FangSong" w:hAnsi="FangSong" w:eastAsia="FangSong" w:cs="FangSong"/>
          <w:sz w:val="24"/>
          <w:szCs w:val="24"/>
        </w:rPr>
      </w:pPr>
      <w:r>
        <w:rPr>
          <w:rFonts w:ascii="FangSong" w:hAnsi="FangSong" w:eastAsia="FangSong" w:cs="FangSong"/>
          <w:sz w:val="24"/>
          <w:szCs w:val="24"/>
          <w:spacing w:val="-1"/>
        </w:rPr>
        <w:t>本项目矿区和永久占地范围各部门意见如下（具体见附件</w:t>
      </w:r>
      <w:r>
        <w:rPr>
          <w:rFonts w:ascii="FangSong" w:hAnsi="FangSong" w:eastAsia="FangSong" w:cs="FangSong"/>
          <w:sz w:val="24"/>
          <w:szCs w:val="24"/>
          <w:spacing w:val="3"/>
        </w:rPr>
        <w:t>）：</w:t>
      </w:r>
    </w:p>
    <w:p>
      <w:pPr>
        <w:ind w:left="29" w:right="196" w:firstLine="472"/>
        <w:spacing w:before="178" w:line="314"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根据苏尼特右旗自然资源局《关于核实苏尼特右旗富邦矿业有限公司苏</w:t>
      </w:r>
      <w:r>
        <w:rPr>
          <w:rFonts w:ascii="FangSong" w:hAnsi="FangSong" w:eastAsia="FangSong" w:cs="FangSong"/>
          <w:sz w:val="24"/>
          <w:szCs w:val="24"/>
          <w:spacing w:val="4"/>
        </w:rPr>
        <w:t>尼特右旗桑宝力嘎额尔登塔拉萤石矿区采矿权范围内是否涉及</w:t>
      </w:r>
      <w:r>
        <w:rPr>
          <w:rFonts w:ascii="FangSong" w:hAnsi="FangSong" w:eastAsia="FangSong" w:cs="FangSong"/>
          <w:sz w:val="24"/>
          <w:szCs w:val="24"/>
          <w:spacing w:val="3"/>
        </w:rPr>
        <w:t>生态保护红线的</w:t>
      </w:r>
      <w:r>
        <w:rPr>
          <w:rFonts w:ascii="FangSong" w:hAnsi="FangSong" w:eastAsia="FangSong" w:cs="FangSong"/>
          <w:sz w:val="24"/>
          <w:szCs w:val="24"/>
          <w:spacing w:val="-2"/>
        </w:rPr>
        <w:t>复函》（苏右自然资规函〔</w:t>
      </w:r>
      <w:r>
        <w:rPr>
          <w:rFonts w:ascii="Times New Roman" w:hAnsi="Times New Roman" w:eastAsia="Times New Roman" w:cs="Times New Roman"/>
          <w:sz w:val="24"/>
          <w:szCs w:val="24"/>
          <w:spacing w:val="-2"/>
        </w:rPr>
        <w:t>2025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124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号</w:t>
      </w:r>
      <w:r>
        <w:rPr>
          <w:rFonts w:ascii="FangSong" w:hAnsi="FangSong" w:eastAsia="FangSong" w:cs="FangSong"/>
          <w:sz w:val="24"/>
          <w:szCs w:val="24"/>
          <w:spacing w:val="14"/>
        </w:rPr>
        <w:t>），</w:t>
      </w:r>
      <w:r>
        <w:rPr>
          <w:rFonts w:ascii="FangSong" w:hAnsi="FangSong" w:eastAsia="FangSong" w:cs="FangSong"/>
          <w:sz w:val="24"/>
          <w:szCs w:val="24"/>
          <w:spacing w:val="-2"/>
        </w:rPr>
        <w:t>该项目不涉及生态保护红线。</w:t>
      </w:r>
    </w:p>
    <w:p>
      <w:pPr>
        <w:ind w:left="29" w:right="196" w:firstLine="471"/>
        <w:spacing w:before="178" w:line="326"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4"/>
        </w:rPr>
        <w:t xml:space="preserve"> </w:t>
      </w:r>
      <w:r>
        <w:rPr>
          <w:rFonts w:ascii="FangSong" w:hAnsi="FangSong" w:eastAsia="FangSong" w:cs="FangSong"/>
          <w:sz w:val="24"/>
          <w:szCs w:val="24"/>
          <w:spacing w:val="-4"/>
        </w:rPr>
        <w:t>根据苏尼特右旗自然资源局《关于</w:t>
      </w:r>
      <w:r>
        <w:rPr>
          <w:rFonts w:ascii="Times New Roman" w:hAnsi="Times New Roman" w:eastAsia="Times New Roman" w:cs="Times New Roman"/>
          <w:sz w:val="24"/>
          <w:szCs w:val="24"/>
          <w:spacing w:val="-4"/>
        </w:rPr>
        <w:t>&lt;</w:t>
      </w:r>
      <w:r>
        <w:rPr>
          <w:rFonts w:ascii="FangSong" w:hAnsi="FangSong" w:eastAsia="FangSong" w:cs="FangSong"/>
          <w:sz w:val="24"/>
          <w:szCs w:val="24"/>
          <w:spacing w:val="-4"/>
        </w:rPr>
        <w:t>核实内蒙古自治区苏尼特右旗富邦矿</w:t>
      </w:r>
      <w:r>
        <w:rPr>
          <w:rFonts w:ascii="FangSong" w:hAnsi="FangSong" w:eastAsia="FangSong" w:cs="FangSong"/>
          <w:sz w:val="24"/>
          <w:szCs w:val="24"/>
          <w:spacing w:val="-3"/>
        </w:rPr>
        <w:t>业有限公司桑宝力嘎额尔登塔拉矿区矿产资源选址是否涉及永久基</w:t>
      </w:r>
      <w:r>
        <w:rPr>
          <w:rFonts w:ascii="FangSong" w:hAnsi="FangSong" w:eastAsia="FangSong" w:cs="FangSong"/>
          <w:sz w:val="24"/>
          <w:szCs w:val="24"/>
          <w:spacing w:val="-4"/>
        </w:rPr>
        <w:t>“经对本农田</w:t>
      </w:r>
      <w:r>
        <w:rPr>
          <w:rFonts w:ascii="FangSong" w:hAnsi="FangSong" w:eastAsia="FangSong" w:cs="FangSong"/>
          <w:sz w:val="24"/>
          <w:szCs w:val="24"/>
          <w:spacing w:val="-1"/>
        </w:rPr>
        <w:t>和城镇开发边界与矿区不重叠的函</w:t>
      </w:r>
      <w:r>
        <w:rPr>
          <w:rFonts w:ascii="Times New Roman" w:hAnsi="Times New Roman" w:eastAsia="Times New Roman" w:cs="Times New Roman"/>
          <w:sz w:val="24"/>
          <w:szCs w:val="24"/>
          <w:spacing w:val="-1"/>
        </w:rPr>
        <w:t>&gt;</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的复函》（</w:t>
      </w:r>
      <w:r>
        <w:rPr>
          <w:rFonts w:ascii="Times New Roman" w:hAnsi="Times New Roman" w:eastAsia="Times New Roman" w:cs="Times New Roman"/>
          <w:sz w:val="24"/>
          <w:szCs w:val="24"/>
          <w:spacing w:val="-1"/>
        </w:rPr>
        <w:t>2025.7.25</w:t>
      </w:r>
      <w:r>
        <w:rPr>
          <w:rFonts w:ascii="FangSong" w:hAnsi="FangSong" w:eastAsia="FangSong" w:cs="FangSong"/>
          <w:sz w:val="24"/>
          <w:szCs w:val="24"/>
          <w:spacing w:val="-1"/>
        </w:rPr>
        <w:t>）坐标数据核查，项目</w:t>
      </w:r>
      <w:r>
        <w:rPr>
          <w:rFonts w:ascii="FangSong" w:hAnsi="FangSong" w:eastAsia="FangSong" w:cs="FangSong"/>
          <w:sz w:val="24"/>
          <w:szCs w:val="24"/>
          <w:spacing w:val="-1"/>
        </w:rPr>
        <w:t>范围内不涉及我旗永久基本农田和耕地。</w:t>
      </w:r>
    </w:p>
    <w:p>
      <w:pPr>
        <w:ind w:left="40" w:right="196" w:firstLine="461"/>
        <w:spacing w:before="178" w:line="314"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根据苏尼特右旗自然资源局《关于苏尼特右旗富邦矿业有限公司桑宝力</w:t>
      </w:r>
      <w:r>
        <w:rPr>
          <w:rFonts w:ascii="FangSong" w:hAnsi="FangSong" w:eastAsia="FangSong" w:cs="FangSong"/>
          <w:sz w:val="24"/>
          <w:szCs w:val="24"/>
          <w:spacing w:val="3"/>
        </w:rPr>
        <w:t>嘎额尔登塔拉萤石矿区采矿权范围内是否涉及城镇开发边界与矿区不重叠的复</w:t>
      </w:r>
      <w:r>
        <w:rPr>
          <w:rFonts w:ascii="FangSong" w:hAnsi="FangSong" w:eastAsia="FangSong" w:cs="FangSong"/>
          <w:sz w:val="24"/>
          <w:szCs w:val="24"/>
          <w:spacing w:val="-2"/>
        </w:rPr>
        <w:t>函》（苏右自然资规函〔</w:t>
      </w:r>
      <w:r>
        <w:rPr>
          <w:rFonts w:ascii="Times New Roman" w:hAnsi="Times New Roman" w:eastAsia="Times New Roman" w:cs="Times New Roman"/>
          <w:sz w:val="24"/>
          <w:szCs w:val="24"/>
          <w:spacing w:val="-2"/>
        </w:rPr>
        <w:t>2025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132</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2"/>
        </w:rPr>
        <w:t>号</w:t>
      </w:r>
      <w:r>
        <w:rPr>
          <w:rFonts w:ascii="FangSong" w:hAnsi="FangSong" w:eastAsia="FangSong" w:cs="FangSong"/>
          <w:sz w:val="24"/>
          <w:szCs w:val="24"/>
          <w:spacing w:val="8"/>
        </w:rPr>
        <w:t>），</w:t>
      </w:r>
      <w:r>
        <w:rPr>
          <w:rFonts w:ascii="FangSong" w:hAnsi="FangSong" w:eastAsia="FangSong" w:cs="FangSong"/>
          <w:sz w:val="24"/>
          <w:szCs w:val="24"/>
          <w:spacing w:val="-2"/>
        </w:rPr>
        <w:t>该项目位于城镇开发边界外。</w:t>
      </w:r>
    </w:p>
    <w:p>
      <w:pPr>
        <w:ind w:left="29" w:firstLine="472"/>
        <w:spacing w:before="183" w:line="340" w:lineRule="auto"/>
        <w:rPr>
          <w:rFonts w:ascii="FangSong" w:hAnsi="FangSong" w:eastAsia="FangSong" w:cs="FangSong"/>
          <w:sz w:val="24"/>
          <w:szCs w:val="24"/>
        </w:rPr>
      </w:pPr>
      <w:r>
        <w:rPr>
          <w:rFonts w:ascii="FangSong" w:hAnsi="FangSong" w:eastAsia="FangSong" w:cs="FangSong"/>
          <w:sz w:val="24"/>
          <w:szCs w:val="24"/>
          <w:spacing w:val="-4"/>
        </w:rPr>
        <w:t>④</w:t>
      </w:r>
      <w:r>
        <w:rPr>
          <w:rFonts w:ascii="FangSong" w:hAnsi="FangSong" w:eastAsia="FangSong" w:cs="FangSong"/>
          <w:sz w:val="24"/>
          <w:szCs w:val="24"/>
          <w:spacing w:val="-4"/>
        </w:rPr>
        <w:t xml:space="preserve"> </w:t>
      </w:r>
      <w:r>
        <w:rPr>
          <w:rFonts w:ascii="FangSong" w:hAnsi="FangSong" w:eastAsia="FangSong" w:cs="FangSong"/>
          <w:sz w:val="24"/>
          <w:szCs w:val="24"/>
          <w:spacing w:val="-4"/>
        </w:rPr>
        <w:t>根据苏尼特右旗林业和草原局《关于</w:t>
      </w:r>
      <w:r>
        <w:rPr>
          <w:rFonts w:ascii="Times New Roman" w:hAnsi="Times New Roman" w:eastAsia="Times New Roman" w:cs="Times New Roman"/>
          <w:sz w:val="24"/>
          <w:szCs w:val="24"/>
          <w:spacing w:val="-4"/>
        </w:rPr>
        <w:t>&lt;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4"/>
        </w:rPr>
        <w:t>苏尼特右旗富邦矿业</w:t>
      </w:r>
      <w:r>
        <w:rPr>
          <w:rFonts w:ascii="FangSong" w:hAnsi="FangSong" w:eastAsia="FangSong" w:cs="FangSong"/>
          <w:sz w:val="24"/>
          <w:szCs w:val="24"/>
          <w:spacing w:val="-5"/>
        </w:rPr>
        <w:t>有限公司桑宝</w:t>
      </w:r>
      <w:r>
        <w:rPr>
          <w:rFonts w:ascii="FangSong" w:hAnsi="FangSong" w:eastAsia="FangSong" w:cs="FangSong"/>
          <w:sz w:val="24"/>
          <w:szCs w:val="24"/>
          <w:spacing w:val="-4"/>
        </w:rPr>
        <w:t>力嘎额尔登塔拉萤石矿区采矿权范围内是否涉及各级各类自</w:t>
      </w:r>
      <w:r>
        <w:rPr>
          <w:rFonts w:ascii="FangSong" w:hAnsi="FangSong" w:eastAsia="FangSong" w:cs="FangSong"/>
          <w:sz w:val="24"/>
          <w:szCs w:val="24"/>
          <w:spacing w:val="-5"/>
        </w:rPr>
        <w:t>然保护地、基本草原、</w:t>
      </w:r>
      <w:r>
        <w:rPr>
          <w:rFonts w:ascii="FangSong" w:hAnsi="FangSong" w:eastAsia="FangSong" w:cs="FangSong"/>
          <w:sz w:val="24"/>
          <w:szCs w:val="24"/>
        </w:rPr>
        <w:t>林地、湿地的函</w:t>
      </w:r>
      <w:r>
        <w:rPr>
          <w:rFonts w:ascii="Times New Roman" w:hAnsi="Times New Roman" w:eastAsia="Times New Roman" w:cs="Times New Roman"/>
          <w:sz w:val="24"/>
          <w:szCs w:val="24"/>
        </w:rPr>
        <w:t>&gt;</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的复函》（苏右林草函〔</w:t>
      </w:r>
      <w:r>
        <w:rPr>
          <w:rFonts w:ascii="Times New Roman" w:hAnsi="Times New Roman" w:eastAsia="Times New Roman" w:cs="Times New Roman"/>
          <w:sz w:val="24"/>
          <w:szCs w:val="24"/>
        </w:rPr>
        <w:t>2025</w:t>
      </w:r>
      <w:r>
        <w:rPr>
          <w:rFonts w:ascii="FangSong" w:hAnsi="FangSong" w:eastAsia="FangSong" w:cs="FangSong"/>
          <w:sz w:val="24"/>
          <w:szCs w:val="24"/>
        </w:rPr>
        <w:t>〕</w:t>
      </w:r>
      <w:r>
        <w:rPr>
          <w:rFonts w:ascii="Times New Roman" w:hAnsi="Times New Roman" w:eastAsia="Times New Roman" w:cs="Times New Roman"/>
          <w:sz w:val="24"/>
          <w:szCs w:val="24"/>
        </w:rPr>
        <w:t>191</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rPr>
        <w:t>号）。“根</w:t>
      </w:r>
      <w:r>
        <w:rPr>
          <w:rFonts w:ascii="FangSong" w:hAnsi="FangSong" w:eastAsia="FangSong" w:cs="FangSong"/>
          <w:sz w:val="24"/>
          <w:szCs w:val="24"/>
          <w:spacing w:val="-1"/>
        </w:rPr>
        <w:t>据林草湿融合</w:t>
      </w:r>
      <w:r>
        <w:rPr>
          <w:rFonts w:ascii="FangSong" w:hAnsi="FangSong" w:eastAsia="FangSong" w:cs="FangSong"/>
          <w:sz w:val="24"/>
          <w:szCs w:val="24"/>
          <w:spacing w:val="-3"/>
        </w:rPr>
        <w:t>数据、内蒙古都呼木柄扁桃自治区级自然保护区数据基本草原现状数</w:t>
      </w:r>
      <w:r>
        <w:rPr>
          <w:rFonts w:ascii="FangSong" w:hAnsi="FangSong" w:eastAsia="FangSong" w:cs="FangSong"/>
          <w:sz w:val="24"/>
          <w:szCs w:val="24"/>
          <w:spacing w:val="-4"/>
        </w:rPr>
        <w:t>据以及提供</w:t>
      </w:r>
      <w:r>
        <w:rPr>
          <w:rFonts w:ascii="FangSong" w:hAnsi="FangSong" w:eastAsia="FangSong" w:cs="FangSong"/>
          <w:sz w:val="24"/>
          <w:szCs w:val="24"/>
          <w:spacing w:val="-3"/>
        </w:rPr>
        <w:t>的点位坐标进行初步核实，选址范围不涉及各级各类自然保护地；涉</w:t>
      </w:r>
      <w:r>
        <w:rPr>
          <w:rFonts w:ascii="FangSong" w:hAnsi="FangSong" w:eastAsia="FangSong" w:cs="FangSong"/>
          <w:sz w:val="24"/>
          <w:szCs w:val="24"/>
          <w:spacing w:val="-4"/>
        </w:rPr>
        <w:t>及林地（灌</w:t>
      </w:r>
      <w:r>
        <w:rPr>
          <w:rFonts w:ascii="FangSong" w:hAnsi="FangSong" w:eastAsia="FangSong" w:cs="FangSong"/>
          <w:sz w:val="24"/>
          <w:szCs w:val="24"/>
          <w:spacing w:val="-2"/>
        </w:rPr>
        <w:t>木林地）</w:t>
      </w:r>
      <w:r>
        <w:rPr>
          <w:rFonts w:ascii="Times New Roman" w:hAnsi="Times New Roman" w:eastAsia="Times New Roman" w:cs="Times New Roman"/>
          <w:sz w:val="24"/>
          <w:szCs w:val="24"/>
          <w:spacing w:val="-2"/>
        </w:rPr>
        <w:t>80333m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；涉及湿地（内陆滩涂）</w:t>
      </w:r>
      <w:r>
        <w:rPr>
          <w:rFonts w:ascii="Times New Roman" w:hAnsi="Times New Roman" w:eastAsia="Times New Roman" w:cs="Times New Roman"/>
          <w:sz w:val="24"/>
          <w:szCs w:val="24"/>
          <w:spacing w:val="-2"/>
        </w:rPr>
        <w:t>219649</w:t>
      </w:r>
      <w:r>
        <w:rPr>
          <w:rFonts w:ascii="Times New Roman" w:hAnsi="Times New Roman" w:eastAsia="Times New Roman" w:cs="Times New Roman"/>
          <w:sz w:val="24"/>
          <w:szCs w:val="24"/>
          <w:spacing w:val="-3"/>
        </w:rPr>
        <w:t>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；涉及草地（天然牧草地）</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10619917m</w:t>
      </w:r>
      <w:r>
        <w:rPr>
          <w:rFonts w:ascii="Times New Roman" w:hAnsi="Times New Roman" w:eastAsia="Times New Roman" w:cs="Times New Roman"/>
          <w:sz w:val="15"/>
          <w:szCs w:val="15"/>
          <w:spacing w:val="1"/>
          <w:position w:val="7"/>
        </w:rPr>
        <w:t>2 </w:t>
      </w:r>
      <w:r>
        <w:rPr>
          <w:rFonts w:ascii="FangSong" w:hAnsi="FangSong" w:eastAsia="FangSong" w:cs="FangSong"/>
          <w:sz w:val="24"/>
          <w:szCs w:val="24"/>
          <w:spacing w:val="1"/>
        </w:rPr>
        <w:t>：不涉及基本草原</w:t>
      </w:r>
      <w:r>
        <w:rPr>
          <w:rFonts w:ascii="FangSong" w:hAnsi="FangSong" w:eastAsia="FangSong" w:cs="FangSong"/>
          <w:sz w:val="24"/>
          <w:szCs w:val="24"/>
          <w:spacing w:val="-72"/>
        </w:rPr>
        <w:t xml:space="preserve"> </w:t>
      </w:r>
      <w:r>
        <w:rPr>
          <w:rFonts w:ascii="FangSong" w:hAnsi="FangSong" w:eastAsia="FangSong" w:cs="FangSong"/>
          <w:sz w:val="24"/>
          <w:szCs w:val="24"/>
          <w:spacing w:val="1"/>
        </w:rPr>
        <w:t>”</w:t>
      </w:r>
    </w:p>
    <w:p>
      <w:pPr>
        <w:ind w:left="29" w:right="196" w:firstLine="471"/>
        <w:spacing w:before="180" w:line="325" w:lineRule="auto"/>
        <w:rPr>
          <w:rFonts w:ascii="FangSong" w:hAnsi="FangSong" w:eastAsia="FangSong" w:cs="FangSong"/>
          <w:sz w:val="24"/>
          <w:szCs w:val="24"/>
        </w:rPr>
      </w:pPr>
      <w:r>
        <w:rPr>
          <w:rFonts w:ascii="FangSong" w:hAnsi="FangSong" w:eastAsia="FangSong" w:cs="FangSong"/>
          <w:sz w:val="24"/>
          <w:szCs w:val="24"/>
        </w:rPr>
        <w:t>⑤</w:t>
      </w:r>
      <w:r>
        <w:rPr>
          <w:rFonts w:ascii="FangSong" w:hAnsi="FangSong" w:eastAsia="FangSong" w:cs="FangSong"/>
          <w:sz w:val="24"/>
          <w:szCs w:val="24"/>
        </w:rPr>
        <w:t xml:space="preserve"> </w:t>
      </w:r>
      <w:r>
        <w:rPr>
          <w:rFonts w:ascii="FangSong" w:hAnsi="FangSong" w:eastAsia="FangSong" w:cs="FangSong"/>
          <w:sz w:val="24"/>
          <w:szCs w:val="24"/>
        </w:rPr>
        <w:t>根据锡林郭勒盟生态环境局苏尼特右旗分局《关于核查苏尼特石旗富邦</w:t>
      </w:r>
      <w:r>
        <w:rPr>
          <w:rFonts w:ascii="FangSong" w:hAnsi="FangSong" w:eastAsia="FangSong" w:cs="FangSong"/>
          <w:sz w:val="24"/>
          <w:szCs w:val="24"/>
          <w:spacing w:val="-1"/>
        </w:rPr>
        <w:t>矿业有限公司苏尼特右旗桑宝力嘎额尔登塔拉萤石矿</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10 </w:t>
      </w:r>
      <w:r>
        <w:rPr>
          <w:rFonts w:ascii="FangSong" w:hAnsi="FangSong" w:eastAsia="FangSong" w:cs="FangSong"/>
          <w:sz w:val="24"/>
          <w:szCs w:val="24"/>
          <w:spacing w:val="-2"/>
        </w:rPr>
        <w:t>万</w:t>
      </w:r>
      <w:r>
        <w:rPr>
          <w:rFonts w:ascii="Times New Roman" w:hAnsi="Times New Roman" w:eastAsia="Times New Roman" w:cs="Times New Roman"/>
          <w:sz w:val="24"/>
          <w:szCs w:val="24"/>
          <w:spacing w:val="-2"/>
        </w:rPr>
        <w:t>t/a </w:t>
      </w:r>
      <w:r>
        <w:rPr>
          <w:rFonts w:ascii="FangSong" w:hAnsi="FangSong" w:eastAsia="FangSong" w:cs="FangSong"/>
          <w:sz w:val="24"/>
          <w:szCs w:val="24"/>
          <w:spacing w:val="-2"/>
        </w:rPr>
        <w:t>采选项目用地是否</w:t>
      </w:r>
      <w:r>
        <w:rPr>
          <w:rFonts w:ascii="FangSong" w:hAnsi="FangSong" w:eastAsia="FangSong" w:cs="FangSong"/>
          <w:sz w:val="24"/>
          <w:szCs w:val="24"/>
          <w:spacing w:val="-3"/>
        </w:rPr>
        <w:t>位于饮用水水源保护区的复函》（</w:t>
      </w:r>
      <w:r>
        <w:rPr>
          <w:rFonts w:ascii="Times New Roman" w:hAnsi="Times New Roman" w:eastAsia="Times New Roman" w:cs="Times New Roman"/>
          <w:sz w:val="24"/>
          <w:szCs w:val="24"/>
          <w:spacing w:val="-3"/>
        </w:rPr>
        <w:t>2025.6</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18</w:t>
      </w:r>
      <w:r>
        <w:rPr>
          <w:rFonts w:ascii="FangSong" w:hAnsi="FangSong" w:eastAsia="FangSong" w:cs="FangSong"/>
          <w:sz w:val="24"/>
          <w:szCs w:val="24"/>
          <w:spacing w:val="-4"/>
        </w:rPr>
        <w:t>）。“经核实，该项目用地不位于饮</w:t>
      </w:r>
      <w:r>
        <w:rPr>
          <w:rFonts w:ascii="FangSong" w:hAnsi="FangSong" w:eastAsia="FangSong" w:cs="FangSong"/>
          <w:sz w:val="24"/>
          <w:szCs w:val="24"/>
          <w:spacing w:val="-2"/>
        </w:rPr>
        <w:t>用水水源保护区范围内</w:t>
      </w:r>
      <w:r>
        <w:rPr>
          <w:rFonts w:ascii="FangSong" w:hAnsi="FangSong" w:eastAsia="FangSong" w:cs="FangSong"/>
          <w:sz w:val="24"/>
          <w:szCs w:val="24"/>
          <w:spacing w:val="-79"/>
        </w:rPr>
        <w:t xml:space="preserve"> </w:t>
      </w:r>
      <w:r>
        <w:rPr>
          <w:rFonts w:ascii="FangSong" w:hAnsi="FangSong" w:eastAsia="FangSong" w:cs="FangSong"/>
          <w:sz w:val="24"/>
          <w:szCs w:val="24"/>
          <w:spacing w:val="-2"/>
        </w:rPr>
        <w:t>”。</w:t>
      </w:r>
    </w:p>
    <w:p>
      <w:pPr>
        <w:ind w:left="29" w:right="155" w:firstLine="472"/>
        <w:spacing w:before="178" w:line="337" w:lineRule="auto"/>
        <w:rPr>
          <w:rFonts w:ascii="FangSong" w:hAnsi="FangSong" w:eastAsia="FangSong" w:cs="FangSong"/>
          <w:sz w:val="24"/>
          <w:szCs w:val="24"/>
        </w:rPr>
      </w:pPr>
      <w:r>
        <w:rPr>
          <w:rFonts w:ascii="FangSong" w:hAnsi="FangSong" w:eastAsia="FangSong" w:cs="FangSong"/>
          <w:sz w:val="24"/>
          <w:szCs w:val="24"/>
        </w:rPr>
        <w:t>⑥</w:t>
      </w:r>
      <w:r>
        <w:rPr>
          <w:rFonts w:ascii="FangSong" w:hAnsi="FangSong" w:eastAsia="FangSong" w:cs="FangSong"/>
          <w:sz w:val="24"/>
          <w:szCs w:val="24"/>
        </w:rPr>
        <w:t xml:space="preserve"> </w:t>
      </w:r>
      <w:r>
        <w:rPr>
          <w:rFonts w:ascii="FangSong" w:hAnsi="FangSong" w:eastAsia="FangSong" w:cs="FangSong"/>
          <w:sz w:val="24"/>
          <w:szCs w:val="24"/>
        </w:rPr>
        <w:t>根据苏尼特右旗文体旅游广电局《关于对苏尼特右旗富邦矿业有限公司</w:t>
      </w:r>
      <w:r>
        <w:rPr>
          <w:rFonts w:ascii="FangSong" w:hAnsi="FangSong" w:eastAsia="FangSong" w:cs="FangSong"/>
          <w:sz w:val="24"/>
          <w:szCs w:val="24"/>
          <w:spacing w:val="19"/>
        </w:rPr>
        <w:t>桑宝力嘎额尔登塔拉萤石矿区采矿权范围是否涉及文物</w:t>
      </w:r>
      <w:r>
        <w:rPr>
          <w:rFonts w:ascii="FangSong" w:hAnsi="FangSong" w:eastAsia="FangSong" w:cs="FangSong"/>
          <w:sz w:val="24"/>
          <w:szCs w:val="24"/>
          <w:spacing w:val="18"/>
        </w:rPr>
        <w:t>保护单位的复函》</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11</w:t>
      </w:r>
      <w:r>
        <w:rPr>
          <w:rFonts w:ascii="FangSong" w:hAnsi="FangSong" w:eastAsia="FangSong" w:cs="FangSong"/>
          <w:sz w:val="24"/>
          <w:szCs w:val="24"/>
          <w:spacing w:val="-2"/>
        </w:rPr>
        <w:t>）。“该项目采矿权范围于</w:t>
      </w:r>
      <w:r>
        <w:rPr>
          <w:rFonts w:ascii="FangSong" w:hAnsi="FangSong" w:eastAsia="FangSong" w:cs="FangSong"/>
          <w:sz w:val="24"/>
          <w:szCs w:val="24"/>
          <w:spacing w:val="-3"/>
        </w:rPr>
        <w:t>苏尼特右旗桑宝拉格苏木额尔敦塔拉查、</w:t>
      </w:r>
      <w:r>
        <w:rPr>
          <w:rFonts w:ascii="FangSong" w:hAnsi="FangSong" w:eastAsia="FangSong" w:cs="FangSong"/>
          <w:sz w:val="24"/>
          <w:szCs w:val="24"/>
          <w:spacing w:val="-2"/>
        </w:rPr>
        <w:t>新宝拉格嘎查境内，采矿权范围面积为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1776km</w:t>
      </w:r>
      <w:r>
        <w:rPr>
          <w:rFonts w:ascii="Times New Roman" w:hAnsi="Times New Roman" w:eastAsia="Times New Roman" w:cs="Times New Roman"/>
          <w:sz w:val="15"/>
          <w:szCs w:val="15"/>
          <w:spacing w:val="-2"/>
          <w:position w:val="7"/>
        </w:rPr>
        <w:t>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16766.4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亩）。经查全国第</w:t>
      </w:r>
      <w:r>
        <w:rPr>
          <w:rFonts w:ascii="FangSong" w:hAnsi="FangSong" w:eastAsia="FangSong" w:cs="FangSong"/>
          <w:sz w:val="24"/>
          <w:szCs w:val="24"/>
          <w:spacing w:val="-3"/>
        </w:rPr>
        <w:t>三次文物普数据、内蒙古自治区长城资源调查数据库及我旗不可移动</w:t>
      </w:r>
      <w:r>
        <w:rPr>
          <w:rFonts w:ascii="FangSong" w:hAnsi="FangSong" w:eastAsia="FangSong" w:cs="FangSong"/>
          <w:sz w:val="24"/>
          <w:szCs w:val="24"/>
          <w:spacing w:val="-4"/>
        </w:rPr>
        <w:t>文物名录数</w:t>
      </w:r>
      <w:r>
        <w:rPr>
          <w:rFonts w:ascii="FangSong" w:hAnsi="FangSong" w:eastAsia="FangSong" w:cs="FangSong"/>
          <w:sz w:val="24"/>
          <w:szCs w:val="24"/>
          <w:spacing w:val="-3"/>
        </w:rPr>
        <w:t>据，我局意见如下：该项目采矿权范围不涉及已公布的国家级、自治</w:t>
      </w:r>
      <w:r>
        <w:rPr>
          <w:rFonts w:ascii="FangSong" w:hAnsi="FangSong" w:eastAsia="FangSong" w:cs="FangSong"/>
          <w:sz w:val="24"/>
          <w:szCs w:val="24"/>
          <w:spacing w:val="-4"/>
        </w:rPr>
        <w:t>区级、旗县</w:t>
      </w:r>
    </w:p>
    <w:p>
      <w:pPr>
        <w:spacing w:line="337" w:lineRule="auto"/>
        <w:sectPr>
          <w:headerReference w:type="default" r:id="rId27"/>
          <w:footerReference w:type="default" r:id="rId28"/>
          <w:pgSz w:w="11906" w:h="16839"/>
          <w:pgMar w:top="1250" w:right="1603" w:bottom="1349" w:left="1785" w:header="831" w:footer="1162" w:gutter="0"/>
        </w:sectPr>
        <w:rPr>
          <w:rFonts w:ascii="FangSong" w:hAnsi="FangSong" w:eastAsia="FangSong" w:cs="FangSong"/>
          <w:sz w:val="24"/>
          <w:szCs w:val="24"/>
        </w:rPr>
      </w:pPr>
    </w:p>
    <w:p>
      <w:pPr>
        <w:ind w:left="29" w:firstLine="2"/>
        <w:spacing w:before="303" w:line="360" w:lineRule="auto"/>
        <w:jc w:val="both"/>
        <w:rPr>
          <w:rFonts w:ascii="FangSong" w:hAnsi="FangSong" w:eastAsia="FangSong" w:cs="FangSong"/>
          <w:sz w:val="24"/>
          <w:szCs w:val="24"/>
        </w:rPr>
      </w:pPr>
      <w:r>
        <w:rPr>
          <w:rFonts w:ascii="FangSong" w:hAnsi="FangSong" w:eastAsia="FangSong" w:cs="FangSong"/>
          <w:sz w:val="24"/>
          <w:szCs w:val="24"/>
          <w:spacing w:val="-4"/>
        </w:rPr>
        <w:t>级重点文物保护单位及其两线范围、不涉及其他文物遗迹和遗物等</w:t>
      </w:r>
      <w:r>
        <w:rPr>
          <w:rFonts w:ascii="FangSong" w:hAnsi="FangSong" w:eastAsia="FangSong" w:cs="FangSong"/>
          <w:sz w:val="24"/>
          <w:szCs w:val="24"/>
          <w:spacing w:val="-5"/>
        </w:rPr>
        <w:t>古代文化遗存。</w:t>
      </w:r>
      <w:r>
        <w:rPr>
          <w:rFonts w:ascii="FangSong" w:hAnsi="FangSong" w:eastAsia="FangSong" w:cs="FangSong"/>
          <w:sz w:val="24"/>
          <w:szCs w:val="24"/>
          <w:spacing w:val="-3"/>
        </w:rPr>
        <w:t>项目单位应依法办理苏尼特右旗文物行政部门行政审批手续，批准</w:t>
      </w:r>
      <w:r>
        <w:rPr>
          <w:rFonts w:ascii="FangSong" w:hAnsi="FangSong" w:eastAsia="FangSong" w:cs="FangSong"/>
          <w:sz w:val="24"/>
          <w:szCs w:val="24"/>
          <w:spacing w:val="-4"/>
        </w:rPr>
        <w:t>之前不得施工</w:t>
      </w:r>
      <w:r>
        <w:rPr>
          <w:rFonts w:ascii="FangSong" w:hAnsi="FangSong" w:eastAsia="FangSong" w:cs="FangSong"/>
          <w:sz w:val="24"/>
          <w:szCs w:val="24"/>
          <w:spacing w:val="24"/>
        </w:rPr>
        <w:t>建设</w:t>
      </w:r>
      <w:r>
        <w:rPr>
          <w:rFonts w:ascii="FangSong" w:hAnsi="FangSong" w:eastAsia="FangSong" w:cs="FangSong"/>
          <w:sz w:val="24"/>
          <w:szCs w:val="24"/>
          <w:spacing w:val="-89"/>
        </w:rPr>
        <w:t xml:space="preserve"> </w:t>
      </w:r>
      <w:r>
        <w:rPr>
          <w:rFonts w:ascii="FangSong" w:hAnsi="FangSong" w:eastAsia="FangSong" w:cs="FangSong"/>
          <w:sz w:val="24"/>
          <w:szCs w:val="24"/>
          <w:spacing w:val="24"/>
        </w:rPr>
        <w:t>”</w:t>
      </w:r>
    </w:p>
    <w:p>
      <w:pPr>
        <w:ind w:left="29" w:right="203" w:firstLine="472"/>
        <w:spacing w:before="3" w:line="325" w:lineRule="auto"/>
        <w:rPr>
          <w:rFonts w:ascii="FangSong" w:hAnsi="FangSong" w:eastAsia="FangSong" w:cs="FangSong"/>
          <w:sz w:val="24"/>
          <w:szCs w:val="24"/>
        </w:rPr>
      </w:pPr>
      <w:r>
        <w:rPr>
          <w:rFonts w:ascii="FangSong" w:hAnsi="FangSong" w:eastAsia="FangSong" w:cs="FangSong"/>
          <w:sz w:val="24"/>
          <w:szCs w:val="24"/>
          <w:spacing w:val="-4"/>
        </w:rPr>
        <w:t>⑦</w:t>
      </w:r>
      <w:r>
        <w:rPr>
          <w:rFonts w:ascii="FangSong" w:hAnsi="FangSong" w:eastAsia="FangSong" w:cs="FangSong"/>
          <w:sz w:val="24"/>
          <w:szCs w:val="24"/>
          <w:spacing w:val="-4"/>
        </w:rPr>
        <w:t xml:space="preserve"> </w:t>
      </w:r>
      <w:r>
        <w:rPr>
          <w:rFonts w:ascii="FangSong" w:hAnsi="FangSong" w:eastAsia="FangSong" w:cs="FangSong"/>
          <w:sz w:val="24"/>
          <w:szCs w:val="24"/>
          <w:spacing w:val="-4"/>
        </w:rPr>
        <w:t>根据苏尼特右旗农牧和科技局《关于</w:t>
      </w:r>
      <w:r>
        <w:rPr>
          <w:rFonts w:ascii="Times New Roman" w:hAnsi="Times New Roman" w:eastAsia="Times New Roman" w:cs="Times New Roman"/>
          <w:sz w:val="24"/>
          <w:szCs w:val="24"/>
          <w:spacing w:val="-4"/>
        </w:rPr>
        <w:t>&lt;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4"/>
        </w:rPr>
        <w:t>苏尼特右旗富邦矿业</w:t>
      </w:r>
      <w:r>
        <w:rPr>
          <w:rFonts w:ascii="FangSong" w:hAnsi="FangSong" w:eastAsia="FangSong" w:cs="FangSong"/>
          <w:sz w:val="24"/>
          <w:szCs w:val="24"/>
          <w:spacing w:val="-5"/>
        </w:rPr>
        <w:t>有限公司关于</w:t>
      </w:r>
      <w:r>
        <w:rPr>
          <w:rFonts w:ascii="FangSong" w:hAnsi="FangSong" w:eastAsia="FangSong" w:cs="FangSong"/>
          <w:sz w:val="24"/>
          <w:szCs w:val="24"/>
          <w:spacing w:val="4"/>
        </w:rPr>
        <w:t>核实桑宝力嘎额尔登塔拉萤石矿区采矿权范围内是否影响河道行</w:t>
      </w:r>
      <w:r>
        <w:rPr>
          <w:rFonts w:ascii="FangSong" w:hAnsi="FangSong" w:eastAsia="FangSong" w:cs="FangSong"/>
          <w:sz w:val="24"/>
          <w:szCs w:val="24"/>
          <w:spacing w:val="3"/>
        </w:rPr>
        <w:t>洪和水源区域</w:t>
      </w:r>
      <w:r>
        <w:rPr>
          <w:rFonts w:ascii="FangSong" w:hAnsi="FangSong" w:eastAsia="FangSong" w:cs="FangSong"/>
          <w:sz w:val="24"/>
          <w:szCs w:val="24"/>
          <w:spacing w:val="-2"/>
        </w:rPr>
        <w:t>的函</w:t>
      </w:r>
      <w:r>
        <w:rPr>
          <w:rFonts w:ascii="Times New Roman" w:hAnsi="Times New Roman" w:eastAsia="Times New Roman" w:cs="Times New Roman"/>
          <w:sz w:val="24"/>
          <w:szCs w:val="24"/>
          <w:spacing w:val="-2"/>
        </w:rPr>
        <w:t>&gt;</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2"/>
        </w:rPr>
        <w:t>复函》（</w:t>
      </w:r>
      <w:r>
        <w:rPr>
          <w:rFonts w:ascii="Times New Roman" w:hAnsi="Times New Roman" w:eastAsia="Times New Roman" w:cs="Times New Roman"/>
          <w:sz w:val="24"/>
          <w:szCs w:val="24"/>
          <w:spacing w:val="-2"/>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14</w:t>
      </w:r>
      <w:r>
        <w:rPr>
          <w:rFonts w:ascii="FangSong" w:hAnsi="FangSong" w:eastAsia="FangSong" w:cs="FangSong"/>
          <w:sz w:val="24"/>
          <w:szCs w:val="24"/>
          <w:spacing w:val="-2"/>
        </w:rPr>
        <w:t>）。“该项目位于苏尼特右旗桑宝拉格苏木额尔登塔查</w:t>
      </w:r>
      <w:r>
        <w:rPr>
          <w:rFonts w:ascii="FangSong" w:hAnsi="FangSong" w:eastAsia="FangSong" w:cs="FangSong"/>
          <w:sz w:val="24"/>
          <w:szCs w:val="24"/>
          <w:spacing w:val="2"/>
        </w:rPr>
        <w:t>拉萤石矿境内，经我局技术人员核实，该项目不涉及重要水源地及河道。</w:t>
      </w:r>
      <w:r>
        <w:rPr>
          <w:rFonts w:ascii="FangSong" w:hAnsi="FangSong" w:eastAsia="FangSong" w:cs="FangSong"/>
          <w:sz w:val="24"/>
          <w:szCs w:val="24"/>
          <w:spacing w:val="-83"/>
        </w:rPr>
        <w:t xml:space="preserve"> </w:t>
      </w:r>
      <w:r>
        <w:rPr>
          <w:rFonts w:ascii="FangSong" w:hAnsi="FangSong" w:eastAsia="FangSong" w:cs="FangSong"/>
          <w:sz w:val="24"/>
          <w:szCs w:val="24"/>
          <w:spacing w:val="2"/>
        </w:rPr>
        <w:t>”</w:t>
      </w:r>
    </w:p>
    <w:p>
      <w:pPr>
        <w:ind w:left="9" w:firstLine="491"/>
        <w:spacing w:before="176" w:line="333" w:lineRule="auto"/>
        <w:rPr>
          <w:rFonts w:ascii="FangSong" w:hAnsi="FangSong" w:eastAsia="FangSong" w:cs="FangSong"/>
          <w:sz w:val="24"/>
          <w:szCs w:val="24"/>
        </w:rPr>
      </w:pPr>
      <w:r>
        <w:rPr>
          <w:rFonts w:ascii="FangSong" w:hAnsi="FangSong" w:eastAsia="FangSong" w:cs="FangSong"/>
          <w:sz w:val="24"/>
          <w:szCs w:val="24"/>
        </w:rPr>
        <w:t>⑧</w:t>
      </w:r>
      <w:r>
        <w:rPr>
          <w:rFonts w:ascii="FangSong" w:hAnsi="FangSong" w:eastAsia="FangSong" w:cs="FangSong"/>
          <w:sz w:val="24"/>
          <w:szCs w:val="24"/>
        </w:rPr>
        <w:t xml:space="preserve"> </w:t>
      </w:r>
      <w:r>
        <w:rPr>
          <w:rFonts w:ascii="FangSong" w:hAnsi="FangSong" w:eastAsia="FangSong" w:cs="FangSong"/>
          <w:sz w:val="24"/>
          <w:szCs w:val="24"/>
        </w:rPr>
        <w:t>根据苏尼特右旗交通运输局《关于苏尼特右旗富邦矿业有限公司桑宝力</w:t>
      </w:r>
      <w:r>
        <w:rPr>
          <w:rFonts w:ascii="FangSong" w:hAnsi="FangSong" w:eastAsia="FangSong" w:cs="FangSong"/>
          <w:sz w:val="24"/>
          <w:szCs w:val="24"/>
          <w:spacing w:val="-9"/>
        </w:rPr>
        <w:t>嘎额尔登塔拉萤石矿区采矿权范围内是否涉及公路占地</w:t>
      </w:r>
      <w:r>
        <w:rPr>
          <w:rFonts w:ascii="FangSong" w:hAnsi="FangSong" w:eastAsia="FangSong" w:cs="FangSong"/>
          <w:sz w:val="24"/>
          <w:szCs w:val="24"/>
          <w:spacing w:val="-10"/>
        </w:rPr>
        <w:t>重叠的复函》（</w:t>
      </w:r>
      <w:r>
        <w:rPr>
          <w:rFonts w:ascii="Times New Roman" w:hAnsi="Times New Roman" w:eastAsia="Times New Roman" w:cs="Times New Roman"/>
          <w:sz w:val="24"/>
          <w:szCs w:val="24"/>
          <w:spacing w:val="-10"/>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0"/>
        </w:rPr>
        <w:t>14</w:t>
      </w:r>
      <w:r>
        <w:rPr>
          <w:rFonts w:ascii="FangSong" w:hAnsi="FangSong" w:eastAsia="FangSong" w:cs="FangSong"/>
          <w:sz w:val="24"/>
          <w:szCs w:val="24"/>
          <w:spacing w:val="-10"/>
        </w:rPr>
        <w:t>）。</w:t>
      </w:r>
      <w:r>
        <w:rPr>
          <w:rFonts w:ascii="FangSong" w:hAnsi="FangSong" w:eastAsia="FangSong" w:cs="FangSong"/>
          <w:sz w:val="24"/>
          <w:szCs w:val="24"/>
        </w:rPr>
        <w:t xml:space="preserve"> </w:t>
      </w:r>
      <w:r>
        <w:rPr>
          <w:rFonts w:ascii="FangSong" w:hAnsi="FangSong" w:eastAsia="FangSong" w:cs="FangSong"/>
          <w:sz w:val="24"/>
          <w:szCs w:val="24"/>
          <w:spacing w:val="-3"/>
        </w:rPr>
        <w:t>“经核查，苏尼特右旗富矿业有限公司桑宝力嘎额尔登塔拉萤石矿区采矿权压覆</w:t>
      </w:r>
      <w:r>
        <w:rPr>
          <w:rFonts w:ascii="FangSong" w:hAnsi="FangSong" w:eastAsia="FangSong" w:cs="FangSong"/>
          <w:sz w:val="24"/>
          <w:szCs w:val="24"/>
          <w:spacing w:val="-1"/>
        </w:rPr>
        <w:t>苏尼特右旗农牧区公路</w:t>
      </w:r>
      <w:r>
        <w:rPr>
          <w:rFonts w:ascii="FangSong" w:hAnsi="FangSong" w:eastAsia="FangSong" w:cs="FangSong"/>
          <w:sz w:val="24"/>
          <w:szCs w:val="24"/>
          <w:spacing w:val="-67"/>
        </w:rPr>
        <w:t xml:space="preserve"> </w:t>
      </w:r>
      <w:r>
        <w:rPr>
          <w:rFonts w:ascii="Times New Roman" w:hAnsi="Times New Roman" w:eastAsia="Times New Roman" w:cs="Times New Roman"/>
          <w:sz w:val="24"/>
          <w:szCs w:val="24"/>
          <w:spacing w:val="-1"/>
        </w:rPr>
        <w:t>X520 </w:t>
      </w:r>
      <w:r>
        <w:rPr>
          <w:rFonts w:ascii="FangSong" w:hAnsi="FangSong" w:eastAsia="FangSong" w:cs="FangSong"/>
          <w:sz w:val="24"/>
          <w:szCs w:val="24"/>
          <w:spacing w:val="-1"/>
        </w:rPr>
        <w:t>线洪格尔</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朱日和</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1"/>
        </w:rPr>
        <w:t>K271+000-K273+765  </w:t>
      </w:r>
      <w:r>
        <w:rPr>
          <w:rFonts w:ascii="FangSong" w:hAnsi="FangSong" w:eastAsia="FangSong" w:cs="FangSong"/>
          <w:sz w:val="24"/>
          <w:szCs w:val="24"/>
          <w:spacing w:val="-1"/>
        </w:rPr>
        <w:t>处已建公路，</w:t>
      </w:r>
      <w:r>
        <w:rPr>
          <w:rFonts w:ascii="FangSong" w:hAnsi="FangSong" w:eastAsia="FangSong" w:cs="FangSong"/>
          <w:sz w:val="24"/>
          <w:szCs w:val="24"/>
          <w:spacing w:val="10"/>
        </w:rPr>
        <w:t>不涉及规划路线。</w:t>
      </w:r>
      <w:r>
        <w:rPr>
          <w:rFonts w:ascii="FangSong" w:hAnsi="FangSong" w:eastAsia="FangSong" w:cs="FangSong"/>
          <w:sz w:val="24"/>
          <w:szCs w:val="24"/>
          <w:spacing w:val="-87"/>
        </w:rPr>
        <w:t xml:space="preserve"> </w:t>
      </w:r>
      <w:r>
        <w:rPr>
          <w:rFonts w:ascii="FangSong" w:hAnsi="FangSong" w:eastAsia="FangSong" w:cs="FangSong"/>
          <w:sz w:val="24"/>
          <w:szCs w:val="24"/>
          <w:spacing w:val="10"/>
        </w:rPr>
        <w:t>”</w:t>
      </w:r>
    </w:p>
    <w:p>
      <w:pPr>
        <w:ind w:left="36" w:right="203" w:firstLine="464"/>
        <w:spacing w:before="176" w:line="314" w:lineRule="auto"/>
        <w:rPr>
          <w:rFonts w:ascii="FangSong" w:hAnsi="FangSong" w:eastAsia="FangSong" w:cs="FangSong"/>
          <w:sz w:val="24"/>
          <w:szCs w:val="24"/>
        </w:rPr>
      </w:pPr>
      <w:r>
        <w:rPr>
          <w:rFonts w:ascii="FangSong" w:hAnsi="FangSong" w:eastAsia="FangSong" w:cs="FangSong"/>
          <w:sz w:val="24"/>
          <w:szCs w:val="24"/>
        </w:rPr>
        <w:t>⑨</w:t>
      </w:r>
      <w:r>
        <w:rPr>
          <w:rFonts w:ascii="FangSong" w:hAnsi="FangSong" w:eastAsia="FangSong" w:cs="FangSong"/>
          <w:sz w:val="24"/>
          <w:szCs w:val="24"/>
        </w:rPr>
        <w:t xml:space="preserve"> </w:t>
      </w:r>
      <w:r>
        <w:rPr>
          <w:rFonts w:ascii="FangSong" w:hAnsi="FangSong" w:eastAsia="FangSong" w:cs="FangSong"/>
          <w:sz w:val="24"/>
          <w:szCs w:val="24"/>
        </w:rPr>
        <w:t>根据苏尼特右旗发展和改革委员会《关于苏尼特右旗富邦矿业有限公司</w:t>
      </w:r>
      <w:r>
        <w:rPr>
          <w:rFonts w:ascii="FangSong" w:hAnsi="FangSong" w:eastAsia="FangSong" w:cs="FangSong"/>
          <w:sz w:val="24"/>
          <w:szCs w:val="24"/>
          <w:spacing w:val="-2"/>
        </w:rPr>
        <w:t>苏尼特右旗桑宝力嘎额尔登塔拉萤石矿</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10 </w:t>
      </w:r>
      <w:r>
        <w:rPr>
          <w:rFonts w:ascii="FangSong" w:hAnsi="FangSong" w:eastAsia="FangSong" w:cs="FangSong"/>
          <w:sz w:val="24"/>
          <w:szCs w:val="24"/>
          <w:spacing w:val="-2"/>
        </w:rPr>
        <w:t>万</w:t>
      </w:r>
      <w:r>
        <w:rPr>
          <w:rFonts w:ascii="Times New Roman" w:hAnsi="Times New Roman" w:eastAsia="Times New Roman" w:cs="Times New Roman"/>
          <w:sz w:val="24"/>
          <w:szCs w:val="24"/>
          <w:spacing w:val="-2"/>
        </w:rPr>
        <w:t>t/a </w:t>
      </w:r>
      <w:r>
        <w:rPr>
          <w:rFonts w:ascii="FangSong" w:hAnsi="FangSong" w:eastAsia="FangSong" w:cs="FangSong"/>
          <w:sz w:val="24"/>
          <w:szCs w:val="24"/>
          <w:spacing w:val="-2"/>
        </w:rPr>
        <w:t>采选项目是否符合产业政策的复</w:t>
      </w:r>
      <w:r>
        <w:rPr>
          <w:rFonts w:ascii="FangSong" w:hAnsi="FangSong" w:eastAsia="FangSong" w:cs="FangSong"/>
          <w:sz w:val="24"/>
          <w:szCs w:val="24"/>
          <w:spacing w:val="-1"/>
        </w:rPr>
        <w:t>函》（</w:t>
      </w:r>
      <w:r>
        <w:rPr>
          <w:rFonts w:ascii="Times New Roman" w:hAnsi="Times New Roman" w:eastAsia="Times New Roman" w:cs="Times New Roman"/>
          <w:sz w:val="24"/>
          <w:szCs w:val="24"/>
          <w:spacing w:val="-1"/>
        </w:rPr>
        <w:t>2025.7.8</w:t>
      </w:r>
      <w:r>
        <w:rPr>
          <w:rFonts w:ascii="FangSong" w:hAnsi="FangSong" w:eastAsia="FangSong" w:cs="FangSong"/>
          <w:sz w:val="24"/>
          <w:szCs w:val="24"/>
          <w:spacing w:val="-1"/>
        </w:rPr>
        <w:t>）。“该项目符合产业政策。</w:t>
      </w:r>
    </w:p>
    <w:p>
      <w:pPr>
        <w:ind w:left="9" w:firstLine="491"/>
        <w:spacing w:before="178" w:line="326" w:lineRule="auto"/>
        <w:rPr>
          <w:rFonts w:ascii="FangSong" w:hAnsi="FangSong" w:eastAsia="FangSong" w:cs="FangSong"/>
          <w:sz w:val="24"/>
          <w:szCs w:val="24"/>
        </w:rPr>
      </w:pPr>
      <w:r>
        <w:rPr>
          <w:rFonts w:ascii="FangSong" w:hAnsi="FangSong" w:eastAsia="FangSong" w:cs="FangSong"/>
          <w:sz w:val="24"/>
          <w:szCs w:val="24"/>
        </w:rPr>
        <w:t>⑩</w:t>
      </w:r>
      <w:r>
        <w:rPr>
          <w:rFonts w:ascii="FangSong" w:hAnsi="FangSong" w:eastAsia="FangSong" w:cs="FangSong"/>
          <w:sz w:val="24"/>
          <w:szCs w:val="24"/>
        </w:rPr>
        <w:t xml:space="preserve"> </w:t>
      </w:r>
      <w:r>
        <w:rPr>
          <w:rFonts w:ascii="FangSong" w:hAnsi="FangSong" w:eastAsia="FangSong" w:cs="FangSong"/>
          <w:sz w:val="24"/>
          <w:szCs w:val="24"/>
        </w:rPr>
        <w:t>根据苏尼特右旗信访局《关于核实苏尼特右旗富邦矿业有限公司桑宝力</w:t>
      </w:r>
      <w:r>
        <w:rPr>
          <w:rFonts w:ascii="FangSong" w:hAnsi="FangSong" w:eastAsia="FangSong" w:cs="FangSong"/>
          <w:sz w:val="24"/>
          <w:szCs w:val="24"/>
          <w:spacing w:val="-9"/>
        </w:rPr>
        <w:t>嘎额尔登塔拉萤石矿采矿权范围是否存在信访违法举报</w:t>
      </w:r>
      <w:r>
        <w:rPr>
          <w:rFonts w:ascii="FangSong" w:hAnsi="FangSong" w:eastAsia="FangSong" w:cs="FangSong"/>
          <w:sz w:val="24"/>
          <w:szCs w:val="24"/>
          <w:spacing w:val="-10"/>
        </w:rPr>
        <w:t>问题的复函》（</w:t>
      </w:r>
      <w:r>
        <w:rPr>
          <w:rFonts w:ascii="Times New Roman" w:hAnsi="Times New Roman" w:eastAsia="Times New Roman" w:cs="Times New Roman"/>
          <w:sz w:val="24"/>
          <w:szCs w:val="24"/>
          <w:spacing w:val="-10"/>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0"/>
        </w:rPr>
        <w:t>17</w:t>
      </w:r>
      <w:r>
        <w:rPr>
          <w:rFonts w:ascii="FangSong" w:hAnsi="FangSong" w:eastAsia="FangSong" w:cs="FangSong"/>
          <w:sz w:val="24"/>
          <w:szCs w:val="24"/>
          <w:spacing w:val="-10"/>
        </w:rPr>
        <w:t>）。</w:t>
      </w:r>
      <w:r>
        <w:rPr>
          <w:rFonts w:ascii="FangSong" w:hAnsi="FangSong" w:eastAsia="FangSong" w:cs="FangSong"/>
          <w:sz w:val="24"/>
          <w:szCs w:val="24"/>
        </w:rPr>
        <w:t xml:space="preserve"> </w:t>
      </w:r>
      <w:r>
        <w:rPr>
          <w:rFonts w:ascii="FangSong" w:hAnsi="FangSong" w:eastAsia="FangSong" w:cs="FangSong"/>
          <w:sz w:val="24"/>
          <w:szCs w:val="24"/>
          <w:spacing w:val="-3"/>
        </w:rPr>
        <w:t>“经桑宝拉格苏木人民政府排查，信访局梳理，关于该项目我局未收到信访相关</w:t>
      </w:r>
      <w:r>
        <w:rPr>
          <w:rFonts w:ascii="FangSong" w:hAnsi="FangSong" w:eastAsia="FangSong" w:cs="FangSong"/>
          <w:sz w:val="24"/>
          <w:szCs w:val="24"/>
          <w:spacing w:val="11"/>
        </w:rPr>
        <w:t>问题反映情况。</w:t>
      </w:r>
      <w:r>
        <w:rPr>
          <w:rFonts w:ascii="FangSong" w:hAnsi="FangSong" w:eastAsia="FangSong" w:cs="FangSong"/>
          <w:sz w:val="24"/>
          <w:szCs w:val="24"/>
          <w:spacing w:val="-85"/>
        </w:rPr>
        <w:t xml:space="preserve"> </w:t>
      </w:r>
      <w:r>
        <w:rPr>
          <w:rFonts w:ascii="FangSong" w:hAnsi="FangSong" w:eastAsia="FangSong" w:cs="FangSong"/>
          <w:sz w:val="24"/>
          <w:szCs w:val="24"/>
          <w:spacing w:val="11"/>
        </w:rPr>
        <w:t>”</w:t>
      </w:r>
    </w:p>
    <w:p>
      <w:pPr>
        <w:ind w:left="29" w:right="203" w:firstLine="469"/>
        <w:spacing w:before="177" w:line="326" w:lineRule="auto"/>
        <w:rPr>
          <w:rFonts w:ascii="FangSong" w:hAnsi="FangSong" w:eastAsia="FangSong" w:cs="FangSong"/>
          <w:sz w:val="24"/>
          <w:szCs w:val="24"/>
        </w:rPr>
      </w:pPr>
      <w:r>
        <w:rPr>
          <w:rFonts w:ascii="MS PGothic" w:hAnsi="MS PGothic" w:eastAsia="MS PGothic" w:cs="MS PGothic"/>
          <w:sz w:val="24"/>
          <w:szCs w:val="24"/>
          <w:spacing w:val="-5"/>
        </w:rPr>
        <w:t>⑪</w:t>
      </w:r>
      <w:r>
        <w:rPr>
          <w:rFonts w:ascii="MS PGothic" w:hAnsi="MS PGothic" w:eastAsia="MS PGothic" w:cs="MS PGothic"/>
          <w:sz w:val="24"/>
          <w:szCs w:val="24"/>
          <w:spacing w:val="72"/>
        </w:rPr>
        <w:t xml:space="preserve"> </w:t>
      </w:r>
      <w:r>
        <w:rPr>
          <w:rFonts w:ascii="FangSong" w:hAnsi="FangSong" w:eastAsia="FangSong" w:cs="FangSong"/>
          <w:sz w:val="24"/>
          <w:szCs w:val="24"/>
          <w:spacing w:val="-5"/>
        </w:rPr>
        <w:t>根据苏尼特右旗国防动员办公室《关于对</w:t>
      </w:r>
      <w:r>
        <w:rPr>
          <w:rFonts w:ascii="Times New Roman" w:hAnsi="Times New Roman" w:eastAsia="Times New Roman" w:cs="Times New Roman"/>
          <w:sz w:val="24"/>
          <w:szCs w:val="24"/>
          <w:spacing w:val="-5"/>
        </w:rPr>
        <w:t>&lt;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5"/>
        </w:rPr>
        <w:t>关于申请查询苏尼特右旗富邦</w:t>
      </w:r>
      <w:r>
        <w:rPr>
          <w:rFonts w:ascii="FangSong" w:hAnsi="FangSong" w:eastAsia="FangSong" w:cs="FangSong"/>
          <w:sz w:val="24"/>
          <w:szCs w:val="24"/>
          <w:spacing w:val="4"/>
        </w:rPr>
        <w:t>矿业有限公司桑宝力嘎额尔登塔拉萤石矿区采矿权范围内是否</w:t>
      </w:r>
      <w:r>
        <w:rPr>
          <w:rFonts w:ascii="FangSong" w:hAnsi="FangSong" w:eastAsia="FangSong" w:cs="FangSong"/>
          <w:sz w:val="24"/>
          <w:szCs w:val="24"/>
          <w:spacing w:val="3"/>
        </w:rPr>
        <w:t>涉及军事设施的</w:t>
      </w:r>
      <w:r>
        <w:rPr>
          <w:rFonts w:ascii="FangSong" w:hAnsi="FangSong" w:eastAsia="FangSong" w:cs="FangSong"/>
          <w:sz w:val="24"/>
          <w:szCs w:val="24"/>
          <w:spacing w:val="-3"/>
        </w:rPr>
        <w:t>函</w:t>
      </w:r>
      <w:r>
        <w:rPr>
          <w:rFonts w:ascii="Times New Roman" w:hAnsi="Times New Roman" w:eastAsia="Times New Roman" w:cs="Times New Roman"/>
          <w:sz w:val="24"/>
          <w:szCs w:val="24"/>
          <w:spacing w:val="-3"/>
        </w:rPr>
        <w:t>&gt;</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3"/>
        </w:rPr>
        <w:t>的复函》（苏右国动函〔</w:t>
      </w:r>
      <w:r>
        <w:rPr>
          <w:rFonts w:ascii="Times New Roman" w:hAnsi="Times New Roman" w:eastAsia="Times New Roman" w:cs="Times New Roman"/>
          <w:sz w:val="24"/>
          <w:szCs w:val="24"/>
          <w:spacing w:val="-3"/>
        </w:rPr>
        <w:t>2025</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号）“经武装部图上比对、基层武</w:t>
      </w:r>
      <w:r>
        <w:rPr>
          <w:rFonts w:ascii="FangSong" w:hAnsi="FangSong" w:eastAsia="FangSong" w:cs="FangSong"/>
          <w:sz w:val="24"/>
          <w:szCs w:val="24"/>
          <w:spacing w:val="-4"/>
        </w:rPr>
        <w:t>装部现</w:t>
      </w:r>
      <w:r>
        <w:rPr>
          <w:rFonts w:ascii="FangSong" w:hAnsi="FangSong" w:eastAsia="FangSong" w:cs="FangSong"/>
          <w:sz w:val="24"/>
          <w:szCs w:val="24"/>
          <w:spacing w:val="4"/>
        </w:rPr>
        <w:t>地走访核查，该项目不涉及军事设施。</w:t>
      </w:r>
      <w:r>
        <w:rPr>
          <w:rFonts w:ascii="FangSong" w:hAnsi="FangSong" w:eastAsia="FangSong" w:cs="FangSong"/>
          <w:sz w:val="24"/>
          <w:szCs w:val="24"/>
          <w:spacing w:val="-89"/>
        </w:rPr>
        <w:t xml:space="preserve"> </w:t>
      </w:r>
      <w:r>
        <w:rPr>
          <w:rFonts w:ascii="FangSong" w:hAnsi="FangSong" w:eastAsia="FangSong" w:cs="FangSong"/>
          <w:sz w:val="24"/>
          <w:szCs w:val="24"/>
          <w:spacing w:val="4"/>
        </w:rPr>
        <w:t>”</w:t>
      </w:r>
    </w:p>
    <w:p>
      <w:pPr>
        <w:ind w:left="24" w:right="7" w:firstLine="475"/>
        <w:spacing w:before="179" w:line="314" w:lineRule="auto"/>
        <w:rPr>
          <w:rFonts w:ascii="FangSong" w:hAnsi="FangSong" w:eastAsia="FangSong" w:cs="FangSong"/>
          <w:sz w:val="24"/>
          <w:szCs w:val="24"/>
        </w:rPr>
      </w:pPr>
      <w:r>
        <w:rPr>
          <w:rFonts w:ascii="MS PGothic" w:hAnsi="MS PGothic" w:eastAsia="MS PGothic" w:cs="MS PGothic"/>
          <w:sz w:val="24"/>
          <w:szCs w:val="24"/>
        </w:rPr>
        <w:t>⑫</w:t>
      </w:r>
      <w:r>
        <w:rPr>
          <w:rFonts w:ascii="MS PGothic" w:hAnsi="MS PGothic" w:eastAsia="MS PGothic" w:cs="MS PGothic"/>
          <w:sz w:val="24"/>
          <w:szCs w:val="24"/>
          <w:spacing w:val="64"/>
        </w:rPr>
        <w:t xml:space="preserve"> </w:t>
      </w:r>
      <w:r>
        <w:rPr>
          <w:rFonts w:ascii="FangSong" w:hAnsi="FangSong" w:eastAsia="FangSong" w:cs="FangSong"/>
          <w:sz w:val="24"/>
          <w:szCs w:val="24"/>
        </w:rPr>
        <w:t>根据苏尼特右旗自然资源局《关于核实苏尼特右旗富邦矿业有限公司桑</w:t>
      </w:r>
      <w:r>
        <w:rPr>
          <w:rFonts w:ascii="FangSong" w:hAnsi="FangSong" w:eastAsia="FangSong" w:cs="FangSong"/>
          <w:sz w:val="24"/>
          <w:szCs w:val="24"/>
          <w:spacing w:val="-10"/>
        </w:rPr>
        <w:t>宝力嘎额尔登塔拉萤石矿是否压覆重要矿产资源的复函》（苏右自然资预函〔</w:t>
      </w:r>
      <w:r>
        <w:rPr>
          <w:rFonts w:ascii="Times New Roman" w:hAnsi="Times New Roman" w:eastAsia="Times New Roman" w:cs="Times New Roman"/>
          <w:sz w:val="24"/>
          <w:szCs w:val="24"/>
          <w:spacing w:val="-10"/>
        </w:rPr>
        <w:t>2025</w:t>
      </w:r>
      <w:r>
        <w:rPr>
          <w:rFonts w:ascii="FangSong" w:hAnsi="FangSong" w:eastAsia="FangSong" w:cs="FangSong"/>
          <w:sz w:val="24"/>
          <w:szCs w:val="24"/>
          <w:spacing w:val="-10"/>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67</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号</w:t>
      </w:r>
      <w:r>
        <w:rPr>
          <w:rFonts w:ascii="FangSong" w:hAnsi="FangSong" w:eastAsia="FangSong" w:cs="FangSong"/>
          <w:sz w:val="24"/>
          <w:szCs w:val="24"/>
          <w:spacing w:val="9"/>
        </w:rPr>
        <w:t>），</w:t>
      </w:r>
      <w:r>
        <w:rPr>
          <w:rFonts w:ascii="FangSong" w:hAnsi="FangSong" w:eastAsia="FangSong" w:cs="FangSong"/>
          <w:sz w:val="24"/>
          <w:szCs w:val="24"/>
          <w:spacing w:val="-4"/>
        </w:rPr>
        <w:t>矿山不涉及压覆问题。</w:t>
      </w:r>
    </w:p>
    <w:p>
      <w:pPr>
        <w:ind w:left="34" w:right="203" w:firstLine="478"/>
        <w:spacing w:before="178" w:line="361" w:lineRule="auto"/>
        <w:jc w:val="both"/>
        <w:rPr>
          <w:rFonts w:ascii="FangSong" w:hAnsi="FangSong" w:eastAsia="FangSong" w:cs="FangSong"/>
          <w:sz w:val="24"/>
          <w:szCs w:val="24"/>
        </w:rPr>
      </w:pPr>
      <w:r>
        <w:rPr>
          <w:rFonts w:ascii="FangSong" w:hAnsi="FangSong" w:eastAsia="FangSong" w:cs="FangSong"/>
          <w:sz w:val="24"/>
          <w:szCs w:val="24"/>
          <w:spacing w:val="-3"/>
        </w:rPr>
        <w:t>综上所属本项目矿区周围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500m</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范围内没有学校、铁路、名胜古迹等其它敏</w:t>
      </w:r>
      <w:r>
        <w:rPr>
          <w:rFonts w:ascii="FangSong" w:hAnsi="FangSong" w:eastAsia="FangSong" w:cs="FangSong"/>
          <w:sz w:val="24"/>
          <w:szCs w:val="24"/>
          <w:spacing w:val="-5"/>
        </w:rPr>
        <w:t>感设施，周围不存在港</w:t>
      </w:r>
      <w:r>
        <w:rPr>
          <w:rFonts w:ascii="FangSong" w:hAnsi="FangSong" w:eastAsia="FangSong" w:cs="FangSong"/>
          <w:sz w:val="24"/>
          <w:szCs w:val="24"/>
          <w:spacing w:val="-61"/>
        </w:rPr>
        <w:t xml:space="preserve"> </w:t>
      </w:r>
      <w:r>
        <w:rPr>
          <w:rFonts w:ascii="FangSong" w:hAnsi="FangSong" w:eastAsia="FangSong" w:cs="FangSong"/>
          <w:sz w:val="24"/>
          <w:szCs w:val="24"/>
          <w:spacing w:val="-5"/>
        </w:rPr>
        <w:t>口、机场、国防工程设施圈定地区以内；周围无重要工业</w:t>
      </w:r>
      <w:r>
        <w:rPr>
          <w:rFonts w:ascii="FangSong" w:hAnsi="FangSong" w:eastAsia="FangSong" w:cs="FangSong"/>
          <w:sz w:val="24"/>
          <w:szCs w:val="24"/>
          <w:spacing w:val="-3"/>
        </w:rPr>
        <w:t>区、大型水利工程设施、城镇市政工程设施，矿区周围</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500m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范围内无铁路、重</w:t>
      </w:r>
    </w:p>
    <w:p>
      <w:pPr>
        <w:spacing w:line="361" w:lineRule="auto"/>
        <w:sectPr>
          <w:headerReference w:type="default" r:id="rId29"/>
          <w:footerReference w:type="default" r:id="rId30"/>
          <w:pgSz w:w="11906" w:h="16839"/>
          <w:pgMar w:top="1250" w:right="1596" w:bottom="1349" w:left="1785" w:header="831" w:footer="1162" w:gutter="0"/>
        </w:sectPr>
        <w:rPr>
          <w:rFonts w:ascii="FangSong" w:hAnsi="FangSong" w:eastAsia="FangSong" w:cs="FangSong"/>
          <w:sz w:val="24"/>
          <w:szCs w:val="24"/>
        </w:rPr>
      </w:pPr>
    </w:p>
    <w:p>
      <w:pPr>
        <w:ind w:left="123" w:right="107" w:firstLine="5"/>
        <w:spacing w:before="303" w:line="360" w:lineRule="auto"/>
        <w:jc w:val="both"/>
        <w:rPr>
          <w:rFonts w:ascii="FangSong" w:hAnsi="FangSong" w:eastAsia="FangSong" w:cs="FangSong"/>
          <w:sz w:val="24"/>
          <w:szCs w:val="24"/>
        </w:rPr>
      </w:pPr>
      <w:r>
        <w:rPr>
          <w:rFonts w:ascii="FangSong" w:hAnsi="FangSong" w:eastAsia="FangSong" w:cs="FangSong"/>
          <w:sz w:val="24"/>
          <w:szCs w:val="24"/>
          <w:spacing w:val="-3"/>
        </w:rPr>
        <w:t>要公路和重要河流、堤坝；矿区周围无国家划定的自然</w:t>
      </w:r>
      <w:r>
        <w:rPr>
          <w:rFonts w:ascii="FangSong" w:hAnsi="FangSong" w:eastAsia="FangSong" w:cs="FangSong"/>
          <w:sz w:val="24"/>
          <w:szCs w:val="24"/>
          <w:spacing w:val="-4"/>
        </w:rPr>
        <w:t>保护区、重要风景区，国</w:t>
      </w:r>
      <w:r>
        <w:rPr>
          <w:rFonts w:ascii="FangSong" w:hAnsi="FangSong" w:eastAsia="FangSong" w:cs="FangSong"/>
          <w:sz w:val="24"/>
          <w:szCs w:val="24"/>
          <w:spacing w:val="4"/>
        </w:rPr>
        <w:t>家重点保护的不能移动的历史文物和名胜古迹项目所在位置不属</w:t>
      </w:r>
      <w:r>
        <w:rPr>
          <w:rFonts w:ascii="FangSong" w:hAnsi="FangSong" w:eastAsia="FangSong" w:cs="FangSong"/>
          <w:sz w:val="24"/>
          <w:szCs w:val="24"/>
          <w:spacing w:val="3"/>
        </w:rPr>
        <w:t>于上述列出的</w:t>
      </w:r>
      <w:r>
        <w:rPr>
          <w:rFonts w:ascii="FangSong" w:hAnsi="FangSong" w:eastAsia="FangSong" w:cs="FangSong"/>
          <w:sz w:val="24"/>
          <w:szCs w:val="24"/>
          <w:spacing w:val="-3"/>
        </w:rPr>
        <w:t>《中华人民共和国矿产资源法》中规定的禁止开采矿产资源的区域，</w:t>
      </w:r>
      <w:r>
        <w:rPr>
          <w:rFonts w:ascii="FangSong" w:hAnsi="FangSong" w:eastAsia="FangSong" w:cs="FangSong"/>
          <w:sz w:val="24"/>
          <w:szCs w:val="24"/>
          <w:spacing w:val="-4"/>
        </w:rPr>
        <w:t>符合相关法</w:t>
      </w:r>
      <w:r>
        <w:rPr>
          <w:rFonts w:ascii="FangSong" w:hAnsi="FangSong" w:eastAsia="FangSong" w:cs="FangSong"/>
          <w:sz w:val="24"/>
          <w:szCs w:val="24"/>
          <w:spacing w:val="-1"/>
        </w:rPr>
        <w:t>律法规要求。因此从环保角度分析，项目的选址基本合理。</w:t>
      </w:r>
    </w:p>
    <w:p>
      <w:pPr>
        <w:ind w:left="123"/>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1.4.2.1  </w:t>
      </w:r>
      <w:r>
        <w:rPr>
          <w:rFonts w:ascii="FangSong" w:hAnsi="FangSong" w:eastAsia="FangSong" w:cs="FangSong"/>
          <w:sz w:val="24"/>
          <w:szCs w:val="24"/>
          <w:b/>
          <w:bCs/>
          <w:spacing w:val="-2"/>
        </w:rPr>
        <w:t>本项目尾矿临时堆场选址合理性分析</w:t>
      </w:r>
    </w:p>
    <w:p>
      <w:pPr>
        <w:ind w:left="126" w:right="107" w:firstLine="478"/>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根据本项目开发方案和可行性研究报告，结合</w:t>
      </w:r>
      <w:r>
        <w:rPr>
          <w:rFonts w:ascii="FangSong" w:hAnsi="FangSong" w:eastAsia="FangSong" w:cs="FangSong"/>
          <w:sz w:val="24"/>
          <w:szCs w:val="24"/>
          <w:spacing w:val="-4"/>
        </w:rPr>
        <w:t>参考《苏尼特右旗珑辉矿业有</w:t>
      </w:r>
      <w:r>
        <w:rPr>
          <w:rFonts w:ascii="FangSong" w:hAnsi="FangSong" w:eastAsia="FangSong" w:cs="FangSong"/>
          <w:sz w:val="24"/>
          <w:szCs w:val="24"/>
          <w:spacing w:val="-3"/>
        </w:rPr>
        <w:t>限责任公司萤石选厂技术改造项目（变更）环境影响报告书</w:t>
      </w:r>
      <w:r>
        <w:rPr>
          <w:rFonts w:ascii="FangSong" w:hAnsi="FangSong" w:eastAsia="FangSong" w:cs="FangSong"/>
          <w:sz w:val="24"/>
          <w:szCs w:val="24"/>
          <w:spacing w:val="-4"/>
        </w:rPr>
        <w:t>》（该项目位于本项</w:t>
      </w:r>
      <w:r>
        <w:rPr>
          <w:rFonts w:ascii="FangSong" w:hAnsi="FangSong" w:eastAsia="FangSong" w:cs="FangSong"/>
          <w:sz w:val="24"/>
          <w:szCs w:val="24"/>
          <w:spacing w:val="4"/>
        </w:rPr>
        <w:t>目采区北侧紧邻）浸出毒性检测结果可知，本项目开采产生的尾矿均属于第</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17"/>
        </w:rPr>
        <w:t>类般工业固体废物</w:t>
      </w:r>
      <w:r>
        <w:rPr>
          <w:rFonts w:ascii="FangSong" w:hAnsi="FangSong" w:eastAsia="FangSong" w:cs="FangSong"/>
          <w:sz w:val="24"/>
          <w:szCs w:val="24"/>
          <w:spacing w:val="-67"/>
        </w:rPr>
        <w:t xml:space="preserve"> </w:t>
      </w:r>
      <w:r>
        <w:rPr>
          <w:rFonts w:ascii="FangSong" w:hAnsi="FangSong" w:eastAsia="FangSong" w:cs="FangSong"/>
          <w:sz w:val="24"/>
          <w:szCs w:val="24"/>
          <w:spacing w:val="17"/>
        </w:rPr>
        <w:t>，根据《一般工业固体废物贮存和填埋污染控制标准》</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GB18599-2020</w:t>
      </w:r>
      <w:r>
        <w:rPr>
          <w:rFonts w:ascii="FangSong" w:hAnsi="FangSong" w:eastAsia="FangSong" w:cs="FangSong"/>
          <w:sz w:val="24"/>
          <w:szCs w:val="24"/>
          <w:spacing w:val="-2"/>
        </w:rPr>
        <w:t>）中对第</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类一般工业固体废物处置场的规定</w:t>
      </w:r>
      <w:r>
        <w:rPr>
          <w:rFonts w:ascii="FangSong" w:hAnsi="FangSong" w:eastAsia="FangSong" w:cs="FangSong"/>
          <w:sz w:val="24"/>
          <w:szCs w:val="24"/>
          <w:spacing w:val="-3"/>
        </w:rPr>
        <w:t>，详见表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1.4-1</w:t>
      </w:r>
      <w:r>
        <w:rPr>
          <w:rFonts w:ascii="FangSong" w:hAnsi="FangSong" w:eastAsia="FangSong" w:cs="FangSong"/>
          <w:sz w:val="24"/>
          <w:szCs w:val="24"/>
          <w:spacing w:val="-3"/>
        </w:rPr>
        <w:t>。</w:t>
      </w:r>
    </w:p>
    <w:p>
      <w:pPr>
        <w:ind w:left="1889"/>
        <w:spacing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b/>
          <w:bCs/>
          <w:spacing w:val="-3"/>
        </w:rPr>
        <w:t>1.4-1  </w:t>
      </w:r>
      <w:r>
        <w:rPr>
          <w:rFonts w:ascii="FangSong" w:hAnsi="FangSong" w:eastAsia="FangSong" w:cs="FangSong"/>
          <w:sz w:val="24"/>
          <w:szCs w:val="24"/>
          <w:b/>
          <w:bCs/>
          <w:spacing w:val="-3"/>
        </w:rPr>
        <w:t>尾矿临时堆场选址合理性分析一览表</w:t>
      </w:r>
    </w:p>
    <w:p>
      <w:pPr>
        <w:spacing w:line="67"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4"/>
        <w:gridCol w:w="928"/>
        <w:gridCol w:w="2696"/>
        <w:gridCol w:w="3291"/>
        <w:gridCol w:w="813"/>
      </w:tblGrid>
      <w:tr>
        <w:trPr>
          <w:trHeight w:val="633" w:hRule="atLeast"/>
        </w:trPr>
        <w:tc>
          <w:tcPr>
            <w:tcW w:w="794" w:type="dxa"/>
            <w:vAlign w:val="top"/>
            <w:tcBorders>
              <w:left w:val="nil"/>
              <w:top w:val="single" w:color="000000" w:sz="10" w:space="0"/>
            </w:tcBorders>
          </w:tcPr>
          <w:p>
            <w:pPr>
              <w:pStyle w:val="TableText"/>
              <w:ind w:left="200"/>
              <w:spacing w:before="211" w:line="231" w:lineRule="auto"/>
              <w:rPr/>
            </w:pPr>
            <w:r>
              <w:rPr>
                <w:spacing w:val="2"/>
              </w:rPr>
              <w:t>序号</w:t>
            </w:r>
          </w:p>
        </w:tc>
        <w:tc>
          <w:tcPr>
            <w:tcW w:w="928" w:type="dxa"/>
            <w:vAlign w:val="top"/>
            <w:tcBorders>
              <w:top w:val="single" w:color="000000" w:sz="10" w:space="0"/>
            </w:tcBorders>
          </w:tcPr>
          <w:p>
            <w:pPr>
              <w:pStyle w:val="TableText"/>
              <w:ind w:left="265"/>
              <w:spacing w:before="211" w:line="231" w:lineRule="auto"/>
              <w:rPr/>
            </w:pPr>
            <w:r>
              <w:rPr>
                <w:spacing w:val="2"/>
              </w:rPr>
              <w:t>标准</w:t>
            </w:r>
          </w:p>
        </w:tc>
        <w:tc>
          <w:tcPr>
            <w:tcW w:w="2696" w:type="dxa"/>
            <w:vAlign w:val="top"/>
            <w:tcBorders>
              <w:top w:val="single" w:color="000000" w:sz="10" w:space="0"/>
            </w:tcBorders>
          </w:tcPr>
          <w:p>
            <w:pPr>
              <w:pStyle w:val="TableText"/>
              <w:ind w:left="626"/>
              <w:spacing w:before="211" w:line="231" w:lineRule="auto"/>
              <w:rPr/>
            </w:pPr>
            <w:r>
              <w:rPr>
                <w:spacing w:val="7"/>
              </w:rPr>
              <w:t>选址原则与要求</w:t>
            </w:r>
          </w:p>
        </w:tc>
        <w:tc>
          <w:tcPr>
            <w:tcW w:w="3291" w:type="dxa"/>
            <w:vAlign w:val="top"/>
            <w:tcBorders>
              <w:top w:val="single" w:color="000000" w:sz="10" w:space="0"/>
            </w:tcBorders>
          </w:tcPr>
          <w:p>
            <w:pPr>
              <w:pStyle w:val="TableText"/>
              <w:ind w:left="1238"/>
              <w:spacing w:before="211" w:line="230" w:lineRule="auto"/>
              <w:rPr/>
            </w:pPr>
            <w:r>
              <w:rPr>
                <w:spacing w:val="5"/>
              </w:rPr>
              <w:t>选址分析</w:t>
            </w:r>
          </w:p>
        </w:tc>
        <w:tc>
          <w:tcPr>
            <w:tcW w:w="813" w:type="dxa"/>
            <w:vAlign w:val="top"/>
            <w:tcBorders>
              <w:right w:val="nil"/>
              <w:top w:val="single" w:color="000000" w:sz="10" w:space="0"/>
            </w:tcBorders>
          </w:tcPr>
          <w:p>
            <w:pPr>
              <w:pStyle w:val="TableText"/>
              <w:ind w:left="313" w:right="198" w:hanging="101"/>
              <w:spacing w:before="55" w:line="262" w:lineRule="auto"/>
              <w:rPr/>
            </w:pPr>
            <w:r>
              <w:rPr>
                <w:spacing w:val="-1"/>
              </w:rPr>
              <w:t>符合</w:t>
            </w:r>
            <w:r>
              <w:rPr/>
              <w:t>性</w:t>
            </w:r>
          </w:p>
        </w:tc>
      </w:tr>
      <w:tr>
        <w:trPr>
          <w:trHeight w:val="2811" w:hRule="atLeast"/>
        </w:trPr>
        <w:tc>
          <w:tcPr>
            <w:tcW w:w="794" w:type="dxa"/>
            <w:vAlign w:val="top"/>
            <w:tcBorders>
              <w:left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24" w:right="107" w:firstLine="35"/>
              <w:spacing w:before="65" w:line="290" w:lineRule="auto"/>
              <w:rPr>
                <w:rFonts w:ascii="Times New Roman" w:hAnsi="Times New Roman" w:eastAsia="Times New Roman" w:cs="Times New Roman"/>
              </w:rPr>
            </w:pPr>
            <w:r>
              <w:rPr>
                <w:spacing w:val="5"/>
              </w:rPr>
              <w:t>《一般</w:t>
            </w:r>
            <w:r>
              <w:rPr>
                <w:spacing w:val="17"/>
              </w:rPr>
              <w:t>工业固</w:t>
            </w:r>
            <w:r>
              <w:rPr>
                <w:spacing w:val="17"/>
              </w:rPr>
              <w:t>体废物</w:t>
            </w:r>
            <w:r>
              <w:rPr>
                <w:spacing w:val="17"/>
              </w:rPr>
              <w:t>贮存和</w:t>
            </w:r>
            <w:r>
              <w:rPr>
                <w:spacing w:val="17"/>
              </w:rPr>
              <w:t>填埋污</w:t>
            </w:r>
            <w:r>
              <w:rPr>
                <w:spacing w:val="17"/>
              </w:rPr>
              <w:t>染控制</w:t>
            </w:r>
            <w:r>
              <w:rPr>
                <w:spacing w:val="12"/>
              </w:rPr>
              <w:t>标准》</w:t>
            </w:r>
            <w:r>
              <w:rPr>
                <w:spacing w:val="1"/>
              </w:rP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18</w:t>
            </w:r>
          </w:p>
          <w:p>
            <w:pPr>
              <w:ind w:left="279"/>
              <w:spacing w:before="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599-</w:t>
            </w:r>
          </w:p>
          <w:p>
            <w:pPr>
              <w:pStyle w:val="TableText"/>
              <w:ind w:left="151"/>
              <w:spacing w:before="89" w:line="265" w:lineRule="exact"/>
              <w:rPr/>
            </w:pPr>
            <w:r>
              <w:rPr>
                <w:rFonts w:ascii="Times New Roman" w:hAnsi="Times New Roman" w:eastAsia="Times New Roman" w:cs="Times New Roman"/>
                <w:spacing w:val="3"/>
                <w:position w:val="1"/>
              </w:rPr>
              <w:t>2020</w:t>
            </w:r>
            <w:r>
              <w:rPr>
                <w:spacing w:val="3"/>
                <w:position w:val="1"/>
              </w:rPr>
              <w:t>）</w:t>
            </w:r>
          </w:p>
        </w:tc>
        <w:tc>
          <w:tcPr>
            <w:tcW w:w="2696" w:type="dxa"/>
            <w:vAlign w:val="top"/>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122" w:right="107" w:firstLine="418"/>
              <w:spacing w:before="65" w:line="288" w:lineRule="auto"/>
              <w:jc w:val="both"/>
              <w:rPr/>
            </w:pPr>
            <w:r>
              <w:rPr>
                <w:spacing w:val="27"/>
              </w:rPr>
              <w:t>选址应符合环境保护</w:t>
            </w:r>
            <w:r>
              <w:rPr>
                <w:spacing w:val="23"/>
              </w:rPr>
              <w:t>法律法规及相关法定规划</w:t>
            </w:r>
            <w:r>
              <w:rPr>
                <w:spacing w:val="-1"/>
              </w:rPr>
              <w:t>要求。</w:t>
            </w:r>
          </w:p>
        </w:tc>
        <w:tc>
          <w:tcPr>
            <w:tcW w:w="3291" w:type="dxa"/>
            <w:vAlign w:val="top"/>
          </w:tcPr>
          <w:p>
            <w:pPr>
              <w:pStyle w:val="TableText"/>
              <w:ind w:left="119" w:right="63" w:firstLine="421"/>
              <w:spacing w:before="51" w:line="282" w:lineRule="auto"/>
              <w:jc w:val="both"/>
              <w:rPr/>
            </w:pPr>
            <w:r>
              <w:rPr>
                <w:spacing w:val="19"/>
              </w:rPr>
              <w:t>本项目拟建设尾矿临时堆场</w:t>
            </w:r>
            <w:r>
              <w:rPr>
                <w:spacing w:val="3"/>
              </w:rPr>
              <w:t>位于项目拟建设工业广场内，根据</w:t>
            </w:r>
            <w:r>
              <w:rPr>
                <w:spacing w:val="18"/>
              </w:rPr>
              <w:t>《关于苏尼特右旗富邦矿业有限</w:t>
            </w:r>
            <w:r>
              <w:rPr>
                <w:spacing w:val="18"/>
              </w:rPr>
              <w:t>公司桑宝力嘎额尔登塔拉萤石矿</w:t>
            </w:r>
            <w:r>
              <w:rPr>
                <w:spacing w:val="18"/>
              </w:rPr>
              <w:t>区采矿权范围内是否涉及城镇开</w:t>
            </w:r>
            <w:r>
              <w:rPr>
                <w:spacing w:val="4"/>
              </w:rPr>
              <w:t>发边界与矿区不重叠的复函》（苏</w:t>
            </w:r>
            <w:r>
              <w:rPr>
                <w:spacing w:val="5"/>
              </w:rPr>
              <w:t>右自然资规函〔</w:t>
            </w:r>
            <w:r>
              <w:rPr>
                <w:rFonts w:ascii="Times New Roman" w:hAnsi="Times New Roman" w:eastAsia="Times New Roman" w:cs="Times New Roman"/>
                <w:spacing w:val="5"/>
              </w:rPr>
              <w:t>2025</w:t>
            </w:r>
            <w:r>
              <w:rPr>
                <w:spacing w:val="5"/>
              </w:rPr>
              <w:t>〕</w:t>
            </w:r>
            <w:r>
              <w:rPr>
                <w:rFonts w:ascii="Times New Roman" w:hAnsi="Times New Roman" w:eastAsia="Times New Roman" w:cs="Times New Roman"/>
                <w:spacing w:val="5"/>
              </w:rPr>
              <w:t>132</w:t>
            </w:r>
            <w:r>
              <w:rPr>
                <w:rFonts w:ascii="Times New Roman" w:hAnsi="Times New Roman" w:eastAsia="Times New Roman" w:cs="Times New Roman"/>
                <w:spacing w:val="21"/>
              </w:rPr>
              <w:t xml:space="preserve"> </w:t>
            </w:r>
            <w:r>
              <w:rPr>
                <w:spacing w:val="5"/>
              </w:rPr>
              <w:t>号</w:t>
            </w:r>
            <w:r>
              <w:rPr>
                <w:spacing w:val="25"/>
              </w:rPr>
              <w:t>），</w:t>
            </w:r>
            <w:r>
              <w:rPr>
                <w:spacing w:val="3"/>
              </w:rPr>
              <w:t>该项目位于城镇开发边界外，选址</w:t>
            </w:r>
            <w:r>
              <w:rPr>
                <w:spacing w:val="6"/>
              </w:rPr>
              <w:t>符合当地城乡建设总体规划要求。</w:t>
            </w:r>
          </w:p>
        </w:tc>
        <w:tc>
          <w:tcPr>
            <w:tcW w:w="813" w:type="dxa"/>
            <w:vAlign w:val="top"/>
            <w:tcBorders>
              <w:right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09"/>
              <w:spacing w:before="65" w:line="229" w:lineRule="auto"/>
              <w:rPr/>
            </w:pPr>
            <w:r>
              <w:rPr>
                <w:spacing w:val="1"/>
              </w:rPr>
              <w:t>相符</w:t>
            </w:r>
          </w:p>
        </w:tc>
      </w:tr>
      <w:tr>
        <w:trPr>
          <w:trHeight w:val="4997" w:hRule="atLeast"/>
        </w:trPr>
        <w:tc>
          <w:tcPr>
            <w:tcW w:w="794" w:type="dxa"/>
            <w:vAlign w:val="top"/>
            <w:tcBorders>
              <w:left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34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8" w:type="dxa"/>
            <w:vAlign w:val="top"/>
            <w:vMerge w:val="continue"/>
            <w:tcBorders>
              <w:top w:val="nil"/>
            </w:tcBorders>
          </w:tcPr>
          <w:p>
            <w:pPr>
              <w:rPr>
                <w:rFonts w:ascii="Arial"/>
                <w:sz w:val="21"/>
              </w:rPr>
            </w:pPr>
            <w:r/>
          </w:p>
        </w:tc>
        <w:tc>
          <w:tcPr>
            <w:tcW w:w="2696"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24" w:right="107" w:firstLine="418"/>
              <w:spacing w:before="65" w:line="288" w:lineRule="auto"/>
              <w:jc w:val="both"/>
              <w:rPr/>
            </w:pPr>
            <w:r>
              <w:rPr>
                <w:spacing w:val="26"/>
              </w:rPr>
              <w:t>不得选在生态保护红</w:t>
            </w:r>
            <w:r>
              <w:rPr>
                <w:spacing w:val="4"/>
              </w:rPr>
              <w:t>线区域、永久基本农田集中</w:t>
            </w:r>
            <w:r>
              <w:rPr>
                <w:spacing w:val="23"/>
              </w:rPr>
              <w:t>区域和其他需要特别保护</w:t>
            </w:r>
            <w:r>
              <w:rPr>
                <w:spacing w:val="3"/>
              </w:rPr>
              <w:t>的区域内。</w:t>
            </w:r>
          </w:p>
        </w:tc>
        <w:tc>
          <w:tcPr>
            <w:tcW w:w="3291" w:type="dxa"/>
            <w:vAlign w:val="top"/>
          </w:tcPr>
          <w:p>
            <w:pPr>
              <w:pStyle w:val="TableText"/>
              <w:ind w:left="119" w:right="41" w:firstLine="420"/>
              <w:spacing w:before="47" w:line="285" w:lineRule="auto"/>
              <w:rPr/>
            </w:pPr>
            <w:r>
              <w:rPr>
                <w:spacing w:val="19"/>
              </w:rPr>
              <w:t>本项目拟建设尾矿临时堆场</w:t>
            </w:r>
            <w:r>
              <w:rPr>
                <w:spacing w:val="4"/>
              </w:rPr>
              <w:t>位于项目拟建设工业广场内，《关</w:t>
            </w:r>
            <w:r>
              <w:rPr>
                <w:spacing w:val="18"/>
              </w:rPr>
              <w:t>于核实苏尼特右旗富邦矿业有限</w:t>
            </w:r>
            <w:r>
              <w:rPr>
                <w:spacing w:val="18"/>
              </w:rPr>
              <w:t>公司苏尼特右旗桑宝力嘎额尔登</w:t>
            </w:r>
            <w:r>
              <w:rPr>
                <w:spacing w:val="18"/>
              </w:rPr>
              <w:t>塔拉萤石矿区采矿权范围内是否</w:t>
            </w:r>
            <w:r>
              <w:rPr>
                <w:spacing w:val="3"/>
              </w:rPr>
              <w:t>涉及生态保护红线的复函》（苏右</w:t>
            </w:r>
            <w:r>
              <w:rPr>
                <w:spacing w:val="-6"/>
              </w:rPr>
              <w:t>自然资规函〔</w:t>
            </w:r>
            <w:r>
              <w:rPr>
                <w:rFonts w:ascii="Times New Roman" w:hAnsi="Times New Roman" w:eastAsia="Times New Roman" w:cs="Times New Roman"/>
                <w:spacing w:val="-6"/>
              </w:rPr>
              <w:t>2025</w:t>
            </w:r>
            <w:r>
              <w:rPr>
                <w:spacing w:val="-6"/>
              </w:rPr>
              <w:t>〕</w:t>
            </w:r>
            <w:r>
              <w:rPr>
                <w:rFonts w:ascii="Times New Roman" w:hAnsi="Times New Roman" w:eastAsia="Times New Roman" w:cs="Times New Roman"/>
                <w:spacing w:val="-6"/>
              </w:rPr>
              <w:t>124</w:t>
            </w:r>
            <w:r>
              <w:rPr>
                <w:rFonts w:ascii="Times New Roman" w:hAnsi="Times New Roman" w:eastAsia="Times New Roman" w:cs="Times New Roman"/>
                <w:spacing w:val="23"/>
                <w:w w:val="101"/>
              </w:rPr>
              <w:t xml:space="preserve"> </w:t>
            </w:r>
            <w:r>
              <w:rPr>
                <w:spacing w:val="-6"/>
              </w:rPr>
              <w:t>号）和《关</w:t>
            </w:r>
            <w:r>
              <w:rPr>
                <w:spacing w:val="9"/>
              </w:rPr>
              <w:t>于</w:t>
            </w:r>
            <w:r>
              <w:rPr>
                <w:rFonts w:ascii="Times New Roman" w:hAnsi="Times New Roman" w:eastAsia="Times New Roman" w:cs="Times New Roman"/>
                <w:spacing w:val="9"/>
              </w:rPr>
              <w:t>&lt;</w:t>
            </w:r>
            <w:r>
              <w:rPr>
                <w:spacing w:val="9"/>
              </w:rPr>
              <w:t>苏尼特右旗富邦矿业有限公司</w:t>
            </w:r>
            <w:r>
              <w:rPr>
                <w:spacing w:val="18"/>
              </w:rPr>
              <w:t>桑宝力嘎额尔登塔拉萤石矿区采</w:t>
            </w:r>
            <w:r>
              <w:rPr>
                <w:spacing w:val="13"/>
              </w:rPr>
              <w:t>矿权范围内是否涉及各级各类</w:t>
            </w:r>
            <w:r>
              <w:rPr>
                <w:spacing w:val="-23"/>
              </w:rPr>
              <w:t xml:space="preserve"> </w:t>
            </w:r>
            <w:r>
              <w:rPr>
                <w:spacing w:val="13"/>
              </w:rPr>
              <w:t>自</w:t>
            </w:r>
            <w:r>
              <w:rPr>
                <w:spacing w:val="3"/>
              </w:rPr>
              <w:t>然保护地、基本草原、林地、湿地</w:t>
            </w:r>
            <w:r>
              <w:rPr>
                <w:spacing w:val="-12"/>
              </w:rPr>
              <w:t>的函</w:t>
            </w:r>
            <w:r>
              <w:rPr>
                <w:rFonts w:ascii="Times New Roman" w:hAnsi="Times New Roman" w:eastAsia="Times New Roman" w:cs="Times New Roman"/>
                <w:spacing w:val="-12"/>
              </w:rPr>
              <w:t>&gt;</w:t>
            </w:r>
            <w:r>
              <w:rPr>
                <w:rFonts w:ascii="Times New Roman" w:hAnsi="Times New Roman" w:eastAsia="Times New Roman" w:cs="Times New Roman"/>
                <w:spacing w:val="-11"/>
              </w:rPr>
              <w:t xml:space="preserve"> </w:t>
            </w:r>
            <w:r>
              <w:rPr>
                <w:spacing w:val="-12"/>
              </w:rPr>
              <w:t>的复函》（苏右林草函〔</w:t>
            </w:r>
            <w:r>
              <w:rPr>
                <w:rFonts w:ascii="Times New Roman" w:hAnsi="Times New Roman" w:eastAsia="Times New Roman" w:cs="Times New Roman"/>
                <w:spacing w:val="-12"/>
              </w:rPr>
              <w:t>2025</w:t>
            </w:r>
            <w:r>
              <w:rPr>
                <w:spacing w:val="-12"/>
              </w:rPr>
              <w:t>〕</w:t>
            </w:r>
            <w:r>
              <w:rPr/>
              <w:t xml:space="preserve"> </w:t>
            </w:r>
            <w:r>
              <w:rPr>
                <w:rFonts w:ascii="Times New Roman" w:hAnsi="Times New Roman" w:eastAsia="Times New Roman" w:cs="Times New Roman"/>
                <w:spacing w:val="8"/>
              </w:rPr>
              <w:t>191</w:t>
            </w:r>
            <w:r>
              <w:rPr>
                <w:rFonts w:ascii="Times New Roman" w:hAnsi="Times New Roman" w:eastAsia="Times New Roman" w:cs="Times New Roman"/>
                <w:spacing w:val="23"/>
                <w:w w:val="101"/>
              </w:rPr>
              <w:t xml:space="preserve"> </w:t>
            </w:r>
            <w:r>
              <w:rPr>
                <w:spacing w:val="8"/>
              </w:rPr>
              <w:t>号）不在生态保护红线区域、</w:t>
            </w:r>
            <w:r>
              <w:rPr>
                <w:spacing w:val="3"/>
              </w:rPr>
              <w:t>永久基本农田集中区域、基本草原</w:t>
            </w:r>
            <w:r>
              <w:rPr>
                <w:spacing w:val="18"/>
              </w:rPr>
              <w:t>范围和其他需要特别保护的区域</w:t>
            </w:r>
            <w:r>
              <w:rPr>
                <w:spacing w:val="-3"/>
              </w:rPr>
              <w:t>内。</w:t>
            </w:r>
          </w:p>
        </w:tc>
        <w:tc>
          <w:tcPr>
            <w:tcW w:w="813" w:type="dxa"/>
            <w:vAlign w:val="top"/>
            <w:tcBorders>
              <w:right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09"/>
              <w:spacing w:before="65" w:line="229" w:lineRule="auto"/>
              <w:rPr/>
            </w:pPr>
            <w:r>
              <w:rPr>
                <w:spacing w:val="1"/>
              </w:rPr>
              <w:t>相符</w:t>
            </w:r>
          </w:p>
        </w:tc>
      </w:tr>
    </w:tbl>
    <w:p>
      <w:pPr>
        <w:pStyle w:val="BodyText"/>
        <w:rPr/>
      </w:pPr>
      <w:r/>
    </w:p>
    <w:p>
      <w:pPr>
        <w:sectPr>
          <w:headerReference w:type="default" r:id="rId31"/>
          <w:footerReference w:type="default" r:id="rId32"/>
          <w:pgSz w:w="11906" w:h="16839"/>
          <w:pgMar w:top="1250" w:right="1691" w:bottom="1349" w:left="1691" w:header="831" w:footer="1162" w:gutter="0"/>
        </w:sectPr>
        <w:rPr/>
      </w:pPr>
    </w:p>
    <w:p>
      <w:pPr>
        <w:spacing w:line="189"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4"/>
        <w:gridCol w:w="928"/>
        <w:gridCol w:w="2696"/>
        <w:gridCol w:w="3291"/>
        <w:gridCol w:w="813"/>
      </w:tblGrid>
      <w:tr>
        <w:trPr>
          <w:trHeight w:val="937" w:hRule="atLeast"/>
        </w:trPr>
        <w:tc>
          <w:tcPr>
            <w:tcW w:w="794" w:type="dxa"/>
            <w:vAlign w:val="top"/>
            <w:tcBorders>
              <w:left w:val="nil"/>
            </w:tcBorders>
          </w:tcPr>
          <w:p>
            <w:pPr>
              <w:spacing w:line="344" w:lineRule="auto"/>
              <w:rPr>
                <w:rFonts w:ascii="Arial"/>
                <w:sz w:val="21"/>
              </w:rPr>
            </w:pPr>
            <w:r/>
          </w:p>
          <w:p>
            <w:pPr>
              <w:ind w:left="35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28" w:type="dxa"/>
            <w:vAlign w:val="top"/>
            <w:vMerge w:val="restart"/>
            <w:tcBorders>
              <w:bottom w:val="nil"/>
            </w:tcBorders>
          </w:tcPr>
          <w:p>
            <w:pPr>
              <w:rPr>
                <w:rFonts w:ascii="Arial"/>
                <w:sz w:val="21"/>
              </w:rPr>
            </w:pPr>
            <w:r/>
          </w:p>
        </w:tc>
        <w:tc>
          <w:tcPr>
            <w:tcW w:w="2696" w:type="dxa"/>
            <w:vAlign w:val="top"/>
          </w:tcPr>
          <w:p>
            <w:pPr>
              <w:pStyle w:val="TableText"/>
              <w:ind w:left="136" w:right="107" w:firstLine="402"/>
              <w:spacing w:before="55" w:line="268" w:lineRule="auto"/>
              <w:jc w:val="both"/>
              <w:rPr/>
            </w:pPr>
            <w:r>
              <w:rPr>
                <w:spacing w:val="4"/>
              </w:rPr>
              <w:t>应避开活动断层、溶洞</w:t>
            </w:r>
            <w:r>
              <w:rPr>
                <w:spacing w:val="3"/>
              </w:rPr>
              <w:t>区、天然滑坡或泥石流影响</w:t>
            </w:r>
            <w:r>
              <w:rPr>
                <w:spacing w:val="5"/>
              </w:rPr>
              <w:t>区以及湿地等区域。</w:t>
            </w:r>
          </w:p>
        </w:tc>
        <w:tc>
          <w:tcPr>
            <w:tcW w:w="3291" w:type="dxa"/>
            <w:vAlign w:val="top"/>
          </w:tcPr>
          <w:p>
            <w:pPr>
              <w:pStyle w:val="TableText"/>
              <w:ind w:left="119" w:right="105" w:firstLine="420"/>
              <w:spacing w:before="55" w:line="268" w:lineRule="auto"/>
              <w:jc w:val="both"/>
              <w:rPr/>
            </w:pPr>
            <w:r>
              <w:rPr>
                <w:spacing w:val="19"/>
              </w:rPr>
              <w:t>本项目拟建设尾矿临时堆场</w:t>
            </w:r>
            <w:r>
              <w:rPr>
                <w:spacing w:val="15"/>
              </w:rPr>
              <w:t>所在岩溶不发育</w:t>
            </w:r>
            <w:r>
              <w:rPr>
                <w:spacing w:val="-51"/>
              </w:rPr>
              <w:t xml:space="preserve"> </w:t>
            </w:r>
            <w:r>
              <w:rPr>
                <w:spacing w:val="15"/>
              </w:rPr>
              <w:t>，不易发生泥石</w:t>
            </w:r>
            <w:r>
              <w:rPr>
                <w:spacing w:val="7"/>
              </w:rPr>
              <w:t>流、滑坡等地质灾害。</w:t>
            </w:r>
          </w:p>
        </w:tc>
        <w:tc>
          <w:tcPr>
            <w:tcW w:w="813" w:type="dxa"/>
            <w:vAlign w:val="top"/>
            <w:tcBorders>
              <w:right w:val="nil"/>
            </w:tcBorders>
          </w:tcPr>
          <w:p>
            <w:pPr>
              <w:spacing w:line="302" w:lineRule="auto"/>
              <w:rPr>
                <w:rFonts w:ascii="Arial"/>
                <w:sz w:val="21"/>
              </w:rPr>
            </w:pPr>
            <w:r/>
          </w:p>
          <w:p>
            <w:pPr>
              <w:pStyle w:val="TableText"/>
              <w:ind w:left="209"/>
              <w:spacing w:before="65" w:line="229" w:lineRule="auto"/>
              <w:rPr/>
            </w:pPr>
            <w:r>
              <w:rPr>
                <w:spacing w:val="1"/>
              </w:rPr>
              <w:t>相符</w:t>
            </w:r>
          </w:p>
        </w:tc>
      </w:tr>
      <w:tr>
        <w:trPr>
          <w:trHeight w:val="1884" w:hRule="atLeast"/>
        </w:trPr>
        <w:tc>
          <w:tcPr>
            <w:tcW w:w="794" w:type="dxa"/>
            <w:vAlign w:val="top"/>
            <w:tcBorders>
              <w:bottom w:val="single" w:color="000000" w:sz="10" w:space="0"/>
              <w:left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34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928" w:type="dxa"/>
            <w:vAlign w:val="top"/>
            <w:vMerge w:val="continue"/>
            <w:tcBorders>
              <w:bottom w:val="single" w:color="000000" w:sz="10" w:space="0"/>
              <w:top w:val="nil"/>
            </w:tcBorders>
          </w:tcPr>
          <w:p>
            <w:pPr>
              <w:rPr>
                <w:rFonts w:ascii="Arial"/>
                <w:sz w:val="21"/>
              </w:rPr>
            </w:pPr>
            <w:r/>
          </w:p>
        </w:tc>
        <w:tc>
          <w:tcPr>
            <w:tcW w:w="2696" w:type="dxa"/>
            <w:vAlign w:val="top"/>
            <w:tcBorders>
              <w:bottom w:val="single" w:color="000000" w:sz="10" w:space="0"/>
            </w:tcBorders>
          </w:tcPr>
          <w:p>
            <w:pPr>
              <w:pStyle w:val="TableText"/>
              <w:ind w:left="117" w:right="104" w:firstLine="425"/>
              <w:spacing w:before="60" w:line="279" w:lineRule="auto"/>
              <w:jc w:val="both"/>
              <w:rPr/>
            </w:pPr>
            <w:r>
              <w:rPr>
                <w:spacing w:val="4"/>
              </w:rPr>
              <w:t>不得选在江河、湖泊、</w:t>
            </w:r>
            <w:r>
              <w:rPr>
                <w:spacing w:val="5"/>
              </w:rPr>
              <w:t>运河、渠道、水库最高水位</w:t>
            </w:r>
            <w:r>
              <w:rPr>
                <w:spacing w:val="5"/>
              </w:rPr>
              <w:t>线以下的滩地和岸坡，以及</w:t>
            </w:r>
            <w:r>
              <w:rPr>
                <w:spacing w:val="20"/>
              </w:rPr>
              <w:t>国家和地方长远规划中</w:t>
            </w:r>
            <w:r>
              <w:rPr>
                <w:spacing w:val="-55"/>
              </w:rPr>
              <w:t xml:space="preserve"> </w:t>
            </w:r>
            <w:r>
              <w:rPr>
                <w:spacing w:val="20"/>
              </w:rPr>
              <w:t>的</w:t>
            </w:r>
            <w:r>
              <w:rPr>
                <w:spacing w:val="24"/>
              </w:rPr>
              <w:t>水库等人工蓄水设施的淹</w:t>
            </w:r>
            <w:r>
              <w:rPr>
                <w:spacing w:val="7"/>
              </w:rPr>
              <w:t>没区和保护区之内。</w:t>
            </w:r>
          </w:p>
        </w:tc>
        <w:tc>
          <w:tcPr>
            <w:tcW w:w="3291" w:type="dxa"/>
            <w:vAlign w:val="top"/>
            <w:tcBorders>
              <w:bottom w:val="single" w:color="000000" w:sz="10" w:space="0"/>
            </w:tcBorders>
          </w:tcPr>
          <w:p>
            <w:pPr>
              <w:pStyle w:val="TableText"/>
              <w:ind w:left="119" w:right="78" w:firstLine="421"/>
              <w:spacing w:before="60" w:line="279" w:lineRule="auto"/>
              <w:jc w:val="both"/>
              <w:rPr/>
            </w:pPr>
            <w:r>
              <w:rPr>
                <w:spacing w:val="19"/>
              </w:rPr>
              <w:t>本项目拟建设尾矿临时堆场</w:t>
            </w:r>
            <w:r>
              <w:rPr>
                <w:spacing w:val="4"/>
              </w:rPr>
              <w:t>不在江河、湖泊、运河、渠道、水</w:t>
            </w:r>
            <w:r>
              <w:rPr>
                <w:spacing w:val="5"/>
              </w:rPr>
              <w:t>库最高水位线以下的滩地和岸坡，</w:t>
            </w:r>
            <w:r>
              <w:rPr>
                <w:spacing w:val="18"/>
              </w:rPr>
              <w:t>以及国家和地方长远规划中的水</w:t>
            </w:r>
            <w:r>
              <w:rPr>
                <w:spacing w:val="18"/>
              </w:rPr>
              <w:t>库等人工蓄水设施的淹没区和保</w:t>
            </w:r>
            <w:r>
              <w:rPr>
                <w:spacing w:val="4"/>
              </w:rPr>
              <w:t>护区之内。</w:t>
            </w:r>
          </w:p>
        </w:tc>
        <w:tc>
          <w:tcPr>
            <w:tcW w:w="813" w:type="dxa"/>
            <w:vAlign w:val="top"/>
            <w:tcBorders>
              <w:bottom w:val="single" w:color="000000" w:sz="10" w:space="0"/>
              <w:right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09"/>
              <w:spacing w:before="65" w:line="229" w:lineRule="auto"/>
              <w:rPr/>
            </w:pPr>
            <w:r>
              <w:rPr>
                <w:spacing w:val="1"/>
              </w:rPr>
              <w:t>相符</w:t>
            </w:r>
          </w:p>
        </w:tc>
      </w:tr>
    </w:tbl>
    <w:p>
      <w:pPr>
        <w:pStyle w:val="BodyText"/>
        <w:spacing w:line="251" w:lineRule="auto"/>
        <w:rPr/>
      </w:pPr>
      <w:r/>
    </w:p>
    <w:p>
      <w:pPr>
        <w:pStyle w:val="BodyText"/>
        <w:spacing w:line="251" w:lineRule="auto"/>
        <w:rPr/>
      </w:pPr>
      <w:r/>
    </w:p>
    <w:p>
      <w:pPr>
        <w:ind w:left="123"/>
        <w:spacing w:before="78" w:line="220" w:lineRule="auto"/>
        <w:outlineLvl w:val="2"/>
        <w:rPr>
          <w:rFonts w:ascii="FangSong" w:hAnsi="FangSong" w:eastAsia="FangSong" w:cs="FangSong"/>
          <w:sz w:val="24"/>
          <w:szCs w:val="24"/>
        </w:rPr>
      </w:pPr>
      <w:bookmarkStart w:name="bookmark16" w:id="22"/>
      <w:bookmarkEnd w:id="22"/>
      <w:bookmarkStart w:name="bookmark15" w:id="23"/>
      <w:bookmarkEnd w:id="23"/>
      <w:r>
        <w:rPr>
          <w:rFonts w:ascii="Times New Roman" w:hAnsi="Times New Roman" w:eastAsia="Times New Roman" w:cs="Times New Roman"/>
          <w:sz w:val="24"/>
          <w:szCs w:val="24"/>
          <w:b/>
          <w:bCs/>
          <w:spacing w:val="-2"/>
        </w:rPr>
        <w:t>1.4.3  </w:t>
      </w:r>
      <w:r>
        <w:rPr>
          <w:rFonts w:ascii="FangSong" w:hAnsi="FangSong" w:eastAsia="FangSong" w:cs="FangSong"/>
          <w:sz w:val="24"/>
          <w:szCs w:val="24"/>
          <w:b/>
          <w:bCs/>
          <w:spacing w:val="-2"/>
        </w:rPr>
        <w:t>产业政策符合性分析</w:t>
      </w:r>
    </w:p>
    <w:p>
      <w:pPr>
        <w:ind w:left="123"/>
        <w:spacing w:before="18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1.4.3.1  </w:t>
      </w:r>
      <w:r>
        <w:rPr>
          <w:rFonts w:ascii="FangSong" w:hAnsi="FangSong" w:eastAsia="FangSong" w:cs="FangSong"/>
          <w:sz w:val="24"/>
          <w:szCs w:val="24"/>
          <w:b/>
          <w:bCs/>
          <w:spacing w:val="-2"/>
        </w:rPr>
        <w:t>与《产业结构调整指导目录》符合性分析</w:t>
      </w:r>
    </w:p>
    <w:p>
      <w:pPr>
        <w:ind w:left="123" w:right="31" w:firstLine="480"/>
        <w:spacing w:before="182" w:line="360" w:lineRule="auto"/>
        <w:jc w:val="both"/>
        <w:rPr>
          <w:rFonts w:ascii="FangSong" w:hAnsi="FangSong" w:eastAsia="FangSong" w:cs="FangSong"/>
          <w:sz w:val="24"/>
          <w:szCs w:val="24"/>
        </w:rPr>
      </w:pPr>
      <w:r>
        <w:rPr>
          <w:rFonts w:ascii="FangSong" w:hAnsi="FangSong" w:eastAsia="FangSong" w:cs="FangSong"/>
          <w:sz w:val="24"/>
          <w:szCs w:val="24"/>
          <w:spacing w:val="-12"/>
        </w:rPr>
        <w:t>本项目为萤石选矿项目，采矿规模为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2"/>
        </w:rPr>
        <w:t>10</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2"/>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2"/>
        </w:rPr>
        <w:t>t/a</w:t>
      </w:r>
      <w:r>
        <w:rPr>
          <w:rFonts w:ascii="FangSong" w:hAnsi="FangSong" w:eastAsia="FangSong" w:cs="FangSong"/>
          <w:sz w:val="24"/>
          <w:szCs w:val="24"/>
          <w:spacing w:val="-12"/>
        </w:rPr>
        <w:t>，选矿规模为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2"/>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2"/>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2"/>
        </w:rPr>
        <w:t>t</w:t>
      </w:r>
      <w:r>
        <w:rPr>
          <w:rFonts w:ascii="Times New Roman" w:hAnsi="Times New Roman" w:eastAsia="Times New Roman" w:cs="Times New Roman"/>
          <w:sz w:val="24"/>
          <w:szCs w:val="24"/>
          <w:spacing w:val="-13"/>
        </w:rPr>
        <w:t>/</w:t>
      </w:r>
      <w:r>
        <w:rPr>
          <w:rFonts w:ascii="FangSong" w:hAnsi="FangSong" w:eastAsia="FangSong" w:cs="FangSong"/>
          <w:sz w:val="24"/>
          <w:szCs w:val="24"/>
          <w:spacing w:val="-13"/>
        </w:rPr>
        <w:t>。根据《国</w:t>
      </w:r>
      <w:r>
        <w:rPr>
          <w:rFonts w:ascii="FangSong" w:hAnsi="FangSong" w:eastAsia="FangSong" w:cs="FangSong"/>
          <w:sz w:val="24"/>
          <w:szCs w:val="24"/>
          <w:spacing w:val="1"/>
        </w:rPr>
        <w:t>民经济行业分类》（</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/T4754-201</w:t>
      </w:r>
      <w:r>
        <w:rPr>
          <w:rFonts w:ascii="Times New Roman" w:hAnsi="Times New Roman" w:eastAsia="Times New Roman" w:cs="Times New Roman"/>
          <w:sz w:val="24"/>
          <w:szCs w:val="24"/>
        </w:rPr>
        <w:t>7</w:t>
      </w:r>
      <w:r>
        <w:rPr>
          <w:rFonts w:ascii="FangSong" w:hAnsi="FangSong" w:eastAsia="FangSong" w:cs="FangSong"/>
          <w:sz w:val="24"/>
          <w:szCs w:val="24"/>
          <w:spacing w:val="16"/>
        </w:rPr>
        <w:t>），</w:t>
      </w:r>
      <w:r>
        <w:rPr>
          <w:rFonts w:ascii="FangSong" w:hAnsi="FangSong" w:eastAsia="FangSong" w:cs="FangSong"/>
          <w:sz w:val="24"/>
          <w:szCs w:val="24"/>
        </w:rPr>
        <w:t>本项目属于“</w:t>
      </w:r>
      <w:r>
        <w:rPr>
          <w:rFonts w:ascii="Times New Roman" w:hAnsi="Times New Roman" w:eastAsia="Times New Roman" w:cs="Times New Roman"/>
          <w:sz w:val="24"/>
          <w:szCs w:val="24"/>
        </w:rPr>
        <w:t>B</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rPr>
        <w:t>采矿业</w:t>
      </w:r>
      <w:r>
        <w:rPr>
          <w:rFonts w:ascii="Times New Roman" w:hAnsi="Times New Roman" w:eastAsia="Times New Roman" w:cs="Times New Roman"/>
          <w:sz w:val="24"/>
          <w:szCs w:val="24"/>
        </w:rPr>
        <w:t>-10</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rPr>
        <w:t>非金属矿采</w:t>
      </w:r>
      <w:r>
        <w:rPr>
          <w:rFonts w:ascii="FangSong" w:hAnsi="FangSong" w:eastAsia="FangSong" w:cs="FangSong"/>
          <w:sz w:val="24"/>
          <w:szCs w:val="24"/>
          <w:spacing w:val="-8"/>
        </w:rPr>
        <w:t>选业</w:t>
      </w:r>
      <w:r>
        <w:rPr>
          <w:rFonts w:ascii="Times New Roman" w:hAnsi="Times New Roman" w:eastAsia="Times New Roman" w:cs="Times New Roman"/>
          <w:sz w:val="24"/>
          <w:szCs w:val="24"/>
          <w:spacing w:val="-8"/>
        </w:rPr>
        <w:t>-109</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8"/>
        </w:rPr>
        <w:t>石棉及其他非金属矿采选</w:t>
      </w:r>
      <w:r>
        <w:rPr>
          <w:rFonts w:ascii="Times New Roman" w:hAnsi="Times New Roman" w:eastAsia="Times New Roman" w:cs="Times New Roman"/>
          <w:sz w:val="24"/>
          <w:szCs w:val="24"/>
          <w:spacing w:val="-8"/>
        </w:rPr>
        <w:t>-1099</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8"/>
        </w:rPr>
        <w:t>其他</w:t>
      </w:r>
      <w:r>
        <w:rPr>
          <w:rFonts w:ascii="FangSong" w:hAnsi="FangSong" w:eastAsia="FangSong" w:cs="FangSong"/>
          <w:sz w:val="24"/>
          <w:szCs w:val="24"/>
          <w:spacing w:val="-9"/>
        </w:rPr>
        <w:t>未列明非金属矿采选</w:t>
      </w:r>
      <w:r>
        <w:rPr>
          <w:rFonts w:ascii="FangSong" w:hAnsi="FangSong" w:eastAsia="FangSong" w:cs="FangSong"/>
          <w:sz w:val="24"/>
          <w:szCs w:val="24"/>
          <w:spacing w:val="-88"/>
        </w:rPr>
        <w:t xml:space="preserve"> </w:t>
      </w:r>
      <w:r>
        <w:rPr>
          <w:rFonts w:ascii="FangSong" w:hAnsi="FangSong" w:eastAsia="FangSong" w:cs="FangSong"/>
          <w:sz w:val="24"/>
          <w:szCs w:val="24"/>
          <w:spacing w:val="-9"/>
        </w:rPr>
        <w:t>”，根据与《产</w:t>
      </w:r>
      <w:r>
        <w:rPr>
          <w:rFonts w:ascii="FangSong" w:hAnsi="FangSong" w:eastAsia="FangSong" w:cs="FangSong"/>
          <w:sz w:val="24"/>
          <w:szCs w:val="24"/>
          <w:spacing w:val="-3"/>
        </w:rPr>
        <w:t>业结构调整指导目录（</w:t>
      </w:r>
      <w:r>
        <w:rPr>
          <w:rFonts w:ascii="Times New Roman" w:hAnsi="Times New Roman" w:eastAsia="Times New Roman" w:cs="Times New Roman"/>
          <w:sz w:val="24"/>
          <w:szCs w:val="24"/>
          <w:spacing w:val="-3"/>
        </w:rPr>
        <w:t>2024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年本）》对比分析，本项目不属于该目录中</w:t>
      </w:r>
      <w:r>
        <w:rPr>
          <w:rFonts w:ascii="FangSong" w:hAnsi="FangSong" w:eastAsia="FangSong" w:cs="FangSong"/>
          <w:sz w:val="24"/>
          <w:szCs w:val="24"/>
          <w:spacing w:val="-4"/>
        </w:rPr>
        <w:t>鼓励类、</w:t>
      </w:r>
      <w:r>
        <w:rPr>
          <w:rFonts w:ascii="FangSong" w:hAnsi="FangSong" w:eastAsia="FangSong" w:cs="FangSong"/>
          <w:sz w:val="24"/>
          <w:szCs w:val="24"/>
          <w:spacing w:val="-1"/>
        </w:rPr>
        <w:t>限制类和淘汰类，属于允许类建设项目。</w:t>
      </w:r>
    </w:p>
    <w:p>
      <w:pPr>
        <w:ind w:left="123"/>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1.4.3.2  </w:t>
      </w:r>
      <w:r>
        <w:rPr>
          <w:rFonts w:ascii="FangSong" w:hAnsi="FangSong" w:eastAsia="FangSong" w:cs="FangSong"/>
          <w:sz w:val="24"/>
          <w:szCs w:val="24"/>
          <w:b/>
          <w:bCs/>
          <w:spacing w:val="-2"/>
        </w:rPr>
        <w:t>与其他产业政策符合性分析</w:t>
      </w:r>
    </w:p>
    <w:p>
      <w:pPr>
        <w:ind w:left="596"/>
        <w:spacing w:before="182" w:line="220" w:lineRule="auto"/>
        <w:rPr>
          <w:rFonts w:ascii="FangSong" w:hAnsi="FangSong" w:eastAsia="FangSong" w:cs="FangSong"/>
          <w:sz w:val="24"/>
          <w:szCs w:val="24"/>
        </w:rPr>
      </w:pPr>
      <w:r>
        <w:rPr>
          <w:rFonts w:ascii="SimSun" w:hAnsi="SimSun" w:eastAsia="SimSun" w:cs="SimSun"/>
          <w:sz w:val="24"/>
          <w:szCs w:val="24"/>
          <w:spacing w:val="-1"/>
        </w:rPr>
        <w:t>① </w:t>
      </w:r>
      <w:r>
        <w:rPr>
          <w:rFonts w:ascii="FangSong" w:hAnsi="FangSong" w:eastAsia="FangSong" w:cs="FangSong"/>
          <w:sz w:val="24"/>
          <w:szCs w:val="24"/>
          <w:spacing w:val="-1"/>
        </w:rPr>
        <w:t>与《萤石行业准入标准》符合性分析</w:t>
      </w:r>
    </w:p>
    <w:p>
      <w:pPr>
        <w:ind w:left="136" w:right="110" w:firstLine="468"/>
        <w:spacing w:before="183" w:line="354" w:lineRule="auto"/>
        <w:rPr>
          <w:rFonts w:ascii="FangSong" w:hAnsi="FangSong" w:eastAsia="FangSong" w:cs="FangSong"/>
          <w:sz w:val="24"/>
          <w:szCs w:val="24"/>
        </w:rPr>
      </w:pPr>
      <w:r>
        <w:rPr>
          <w:rFonts w:ascii="FangSong" w:hAnsi="FangSong" w:eastAsia="FangSong" w:cs="FangSong"/>
          <w:sz w:val="24"/>
          <w:szCs w:val="24"/>
          <w:spacing w:val="-3"/>
        </w:rPr>
        <w:t>本项目与《萤石行业准入标准》（</w:t>
      </w:r>
      <w:r>
        <w:rPr>
          <w:rFonts w:ascii="Times New Roman" w:hAnsi="Times New Roman" w:eastAsia="Times New Roman" w:cs="Times New Roman"/>
          <w:sz w:val="24"/>
          <w:szCs w:val="24"/>
          <w:spacing w:val="-3"/>
        </w:rPr>
        <w:t>2010</w:t>
      </w:r>
      <w:r>
        <w:rPr>
          <w:rFonts w:ascii="Times New Roman" w:hAnsi="Times New Roman" w:eastAsia="Times New Roman" w:cs="Times New Roman"/>
          <w:sz w:val="24"/>
          <w:szCs w:val="24"/>
          <w:spacing w:val="41"/>
          <w:w w:val="101"/>
        </w:rPr>
        <w:t xml:space="preserve"> </w:t>
      </w:r>
      <w:r>
        <w:rPr>
          <w:rFonts w:ascii="FangSong" w:hAnsi="FangSong" w:eastAsia="FangSong" w:cs="FangSong"/>
          <w:sz w:val="24"/>
          <w:szCs w:val="24"/>
          <w:spacing w:val="-3"/>
        </w:rPr>
        <w:t>年</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月</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日实施）符合性分析见表</w:t>
      </w:r>
      <w:r>
        <w:rPr>
          <w:rFonts w:ascii="Times New Roman" w:hAnsi="Times New Roman" w:eastAsia="Times New Roman" w:cs="Times New Roman"/>
          <w:sz w:val="24"/>
          <w:szCs w:val="24"/>
          <w:spacing w:val="-5"/>
        </w:rPr>
        <w:t>1.4-1</w:t>
      </w:r>
      <w:r>
        <w:rPr>
          <w:rFonts w:ascii="FangSong" w:hAnsi="FangSong" w:eastAsia="FangSong" w:cs="FangSong"/>
          <w:sz w:val="24"/>
          <w:szCs w:val="24"/>
          <w:spacing w:val="-5"/>
        </w:rPr>
        <w:t>。</w:t>
      </w:r>
    </w:p>
    <w:p>
      <w:pPr>
        <w:ind w:left="1167"/>
        <w:spacing w:before="15"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b/>
          <w:bCs/>
          <w:spacing w:val="-3"/>
        </w:rPr>
        <w:t>1.4-1  </w:t>
      </w:r>
      <w:r>
        <w:rPr>
          <w:rFonts w:ascii="FangSong" w:hAnsi="FangSong" w:eastAsia="FangSong" w:cs="FangSong"/>
          <w:sz w:val="24"/>
          <w:szCs w:val="24"/>
          <w:b/>
          <w:bCs/>
          <w:spacing w:val="-3"/>
        </w:rPr>
        <w:t>本项目与《萤石行业准入标准》符合性分析一览表</w:t>
      </w:r>
    </w:p>
    <w:p>
      <w:pPr>
        <w:spacing w:line="67" w:lineRule="exact"/>
        <w:rPr/>
      </w:pPr>
      <w:r/>
    </w:p>
    <w:tbl>
      <w:tblPr>
        <w:tblStyle w:val="TableNormal"/>
        <w:tblW w:w="8362" w:type="dxa"/>
        <w:tblInd w:w="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6"/>
        <w:gridCol w:w="3489"/>
        <w:gridCol w:w="3321"/>
        <w:gridCol w:w="776"/>
      </w:tblGrid>
      <w:tr>
        <w:trPr>
          <w:trHeight w:val="404" w:hRule="atLeast"/>
        </w:trPr>
        <w:tc>
          <w:tcPr>
            <w:tcW w:w="776" w:type="dxa"/>
            <w:vAlign w:val="top"/>
            <w:tcBorders>
              <w:left w:val="nil"/>
              <w:top w:val="single" w:color="000000" w:sz="10" w:space="0"/>
            </w:tcBorders>
          </w:tcPr>
          <w:p>
            <w:pPr>
              <w:pStyle w:val="TableText"/>
              <w:ind w:left="190"/>
              <w:spacing w:before="99" w:line="231" w:lineRule="auto"/>
              <w:rPr/>
            </w:pPr>
            <w:r>
              <w:rPr>
                <w:spacing w:val="2"/>
              </w:rPr>
              <w:t>序号</w:t>
            </w:r>
          </w:p>
        </w:tc>
        <w:tc>
          <w:tcPr>
            <w:tcW w:w="3489" w:type="dxa"/>
            <w:vAlign w:val="top"/>
            <w:tcBorders>
              <w:top w:val="single" w:color="000000" w:sz="10" w:space="0"/>
            </w:tcBorders>
          </w:tcPr>
          <w:p>
            <w:pPr>
              <w:pStyle w:val="TableText"/>
              <w:ind w:left="494"/>
              <w:spacing w:before="99" w:line="229" w:lineRule="auto"/>
              <w:rPr/>
            </w:pPr>
            <w:r>
              <w:rPr>
                <w:spacing w:val="8"/>
              </w:rPr>
              <w:t>《萤石行业准入标准》要求</w:t>
            </w:r>
          </w:p>
        </w:tc>
        <w:tc>
          <w:tcPr>
            <w:tcW w:w="3321" w:type="dxa"/>
            <w:vAlign w:val="top"/>
            <w:tcBorders>
              <w:top w:val="single" w:color="000000" w:sz="10" w:space="0"/>
            </w:tcBorders>
          </w:tcPr>
          <w:p>
            <w:pPr>
              <w:pStyle w:val="TableText"/>
              <w:ind w:left="1357"/>
              <w:spacing w:before="99" w:line="231" w:lineRule="auto"/>
              <w:rPr/>
            </w:pPr>
            <w:r>
              <w:rPr>
                <w:spacing w:val="4"/>
              </w:rPr>
              <w:t>本项目</w:t>
            </w:r>
          </w:p>
        </w:tc>
        <w:tc>
          <w:tcPr>
            <w:tcW w:w="776" w:type="dxa"/>
            <w:vAlign w:val="top"/>
            <w:tcBorders>
              <w:right w:val="nil"/>
              <w:top w:val="single" w:color="000000" w:sz="10" w:space="0"/>
            </w:tcBorders>
          </w:tcPr>
          <w:p>
            <w:pPr>
              <w:pStyle w:val="TableText"/>
              <w:ind w:left="90"/>
              <w:spacing w:before="98" w:line="229" w:lineRule="auto"/>
              <w:rPr/>
            </w:pPr>
            <w:r>
              <w:rPr>
                <w:spacing w:val="3"/>
              </w:rPr>
              <w:t>符合性</w:t>
            </w:r>
          </w:p>
        </w:tc>
      </w:tr>
      <w:tr>
        <w:trPr>
          <w:trHeight w:val="400" w:hRule="atLeast"/>
        </w:trPr>
        <w:tc>
          <w:tcPr>
            <w:tcW w:w="776" w:type="dxa"/>
            <w:vAlign w:val="top"/>
            <w:tcBorders>
              <w:left w:val="nil"/>
            </w:tcBorders>
          </w:tcPr>
          <w:p>
            <w:pPr>
              <w:pStyle w:val="TableText"/>
              <w:ind w:left="299"/>
              <w:spacing w:before="180" w:line="150" w:lineRule="exact"/>
              <w:rPr/>
            </w:pPr>
            <w:r>
              <w:rPr>
                <w:position w:val="-3"/>
              </w:rPr>
              <w:t>一</w:t>
            </w:r>
          </w:p>
        </w:tc>
        <w:tc>
          <w:tcPr>
            <w:tcW w:w="7586" w:type="dxa"/>
            <w:vAlign w:val="top"/>
            <w:gridSpan w:val="3"/>
            <w:tcBorders>
              <w:right w:val="nil"/>
            </w:tcBorders>
          </w:tcPr>
          <w:p>
            <w:pPr>
              <w:pStyle w:val="TableText"/>
              <w:ind w:left="3396"/>
              <w:spacing w:before="95" w:line="229" w:lineRule="auto"/>
              <w:rPr/>
            </w:pPr>
            <w:r>
              <w:rPr>
                <w:spacing w:val="2"/>
              </w:rPr>
              <w:t>生产布局</w:t>
            </w:r>
          </w:p>
        </w:tc>
      </w:tr>
      <w:tr>
        <w:trPr>
          <w:trHeight w:val="2154" w:hRule="atLeast"/>
        </w:trPr>
        <w:tc>
          <w:tcPr>
            <w:tcW w:w="776" w:type="dxa"/>
            <w:vAlign w:val="top"/>
            <w:tcBorders>
              <w:left w:val="nil"/>
            </w:tcBorders>
          </w:tcPr>
          <w:p>
            <w:pPr>
              <w:spacing w:line="317" w:lineRule="auto"/>
              <w:rPr>
                <w:rFonts w:ascii="Arial"/>
                <w:sz w:val="21"/>
              </w:rPr>
            </w:pPr>
            <w:r/>
          </w:p>
          <w:p>
            <w:pPr>
              <w:spacing w:line="317" w:lineRule="auto"/>
              <w:rPr>
                <w:rFonts w:ascii="Arial"/>
                <w:sz w:val="21"/>
              </w:rPr>
            </w:pPr>
            <w:r/>
          </w:p>
          <w:p>
            <w:pPr>
              <w:spacing w:line="318" w:lineRule="auto"/>
              <w:rPr>
                <w:rFonts w:ascii="Arial"/>
                <w:sz w:val="21"/>
              </w:rPr>
            </w:pPr>
            <w:r/>
          </w:p>
          <w:p>
            <w:pPr>
              <w:ind w:left="35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489" w:type="dxa"/>
            <w:vAlign w:val="top"/>
          </w:tcPr>
          <w:p>
            <w:pPr>
              <w:pStyle w:val="TableText"/>
              <w:ind w:left="40" w:right="27" w:firstLine="425"/>
              <w:spacing w:before="198" w:line="288" w:lineRule="auto"/>
              <w:jc w:val="both"/>
              <w:rPr/>
            </w:pPr>
            <w:r>
              <w:rPr>
                <w:spacing w:val="13"/>
              </w:rPr>
              <w:t>萤石矿开采、选矿生产企业必须</w:t>
            </w:r>
            <w:r>
              <w:rPr>
                <w:spacing w:val="13"/>
              </w:rPr>
              <w:t>符合国家产业政策、矿产资源规划和</w:t>
            </w:r>
            <w:r>
              <w:rPr>
                <w:spacing w:val="6"/>
              </w:rPr>
              <w:t>产业规划，符合各省（</w:t>
            </w:r>
            <w:r>
              <w:rPr>
                <w:spacing w:val="6"/>
              </w:rPr>
              <w:t xml:space="preserve"> </w:t>
            </w:r>
            <w:r>
              <w:rPr>
                <w:spacing w:val="6"/>
              </w:rPr>
              <w:t>自治区、直辖</w:t>
            </w:r>
            <w:r>
              <w:rPr>
                <w:spacing w:val="10"/>
              </w:rPr>
              <w:t>市）</w:t>
            </w:r>
            <w:r>
              <w:rPr>
                <w:spacing w:val="-45"/>
              </w:rPr>
              <w:t xml:space="preserve"> </w:t>
            </w:r>
            <w:r>
              <w:rPr>
                <w:spacing w:val="10"/>
              </w:rPr>
              <w:t>萤石行业发展规划、城市建设规</w:t>
            </w:r>
            <w:r>
              <w:rPr>
                <w:spacing w:val="13"/>
              </w:rPr>
              <w:t>划、土地利用总体规划、矿产资源规</w:t>
            </w:r>
            <w:r>
              <w:rPr>
                <w:spacing w:val="8"/>
              </w:rPr>
              <w:t>划、环境保护和污染防治规划要求</w:t>
            </w:r>
          </w:p>
        </w:tc>
        <w:tc>
          <w:tcPr>
            <w:tcW w:w="3321" w:type="dxa"/>
            <w:vAlign w:val="top"/>
          </w:tcPr>
          <w:p>
            <w:pPr>
              <w:spacing w:line="442" w:lineRule="auto"/>
              <w:rPr>
                <w:rFonts w:ascii="Arial"/>
                <w:sz w:val="21"/>
              </w:rPr>
            </w:pPr>
            <w:r/>
          </w:p>
          <w:p>
            <w:pPr>
              <w:pStyle w:val="TableText"/>
              <w:ind w:left="39" w:right="26" w:firstLine="420"/>
              <w:spacing w:before="65" w:line="288" w:lineRule="auto"/>
              <w:jc w:val="both"/>
              <w:rPr/>
            </w:pPr>
            <w:r>
              <w:rPr>
                <w:spacing w:val="24"/>
              </w:rPr>
              <w:t>本项目为萤石选矿项目</w:t>
            </w:r>
            <w:r>
              <w:rPr>
                <w:spacing w:val="-38"/>
              </w:rPr>
              <w:t xml:space="preserve"> </w:t>
            </w:r>
            <w:r>
              <w:rPr>
                <w:spacing w:val="24"/>
              </w:rPr>
              <w:t>，</w:t>
            </w:r>
            <w:r>
              <w:rPr>
                <w:spacing w:val="-22"/>
              </w:rPr>
              <w:t xml:space="preserve"> </w:t>
            </w:r>
            <w:r>
              <w:rPr>
                <w:spacing w:val="24"/>
              </w:rPr>
              <w:t>由</w:t>
            </w:r>
            <w:r>
              <w:rPr>
                <w:rFonts w:ascii="Times New Roman" w:hAnsi="Times New Roman" w:eastAsia="Times New Roman" w:cs="Times New Roman"/>
                <w:spacing w:val="9"/>
              </w:rPr>
              <w:t>1.4.2</w:t>
            </w:r>
            <w:r>
              <w:rPr>
                <w:rFonts w:ascii="Times New Roman" w:hAnsi="Times New Roman" w:eastAsia="Times New Roman" w:cs="Times New Roman"/>
                <w:spacing w:val="36"/>
                <w:w w:val="101"/>
              </w:rPr>
              <w:t xml:space="preserve"> </w:t>
            </w:r>
            <w:r>
              <w:rPr>
                <w:spacing w:val="9"/>
              </w:rPr>
              <w:t>章节和上文可知，本项目符合</w:t>
            </w:r>
            <w:r>
              <w:rPr>
                <w:spacing w:val="3"/>
              </w:rPr>
              <w:t>各部门要求及准入条件，符合各级生</w:t>
            </w:r>
            <w:r>
              <w:rPr>
                <w:spacing w:val="8"/>
              </w:rPr>
              <w:t>态保护规划符合各级矿产规划</w:t>
            </w:r>
          </w:p>
        </w:tc>
        <w:tc>
          <w:tcPr>
            <w:tcW w:w="776" w:type="dxa"/>
            <w:vAlign w:val="top"/>
            <w:tcBorders>
              <w:right w:val="nil"/>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193"/>
              <w:spacing w:before="65" w:line="229" w:lineRule="auto"/>
              <w:rPr/>
            </w:pPr>
            <w:r>
              <w:rPr>
                <w:spacing w:val="-1"/>
              </w:rPr>
              <w:t>符合</w:t>
            </w:r>
          </w:p>
        </w:tc>
      </w:tr>
      <w:tr>
        <w:trPr>
          <w:trHeight w:val="1246" w:hRule="atLeast"/>
        </w:trPr>
        <w:tc>
          <w:tcPr>
            <w:tcW w:w="776" w:type="dxa"/>
            <w:vAlign w:val="top"/>
            <w:tcBorders>
              <w:left w:val="nil"/>
            </w:tcBorders>
          </w:tcPr>
          <w:p>
            <w:pPr>
              <w:spacing w:line="254" w:lineRule="auto"/>
              <w:rPr>
                <w:rFonts w:ascii="Arial"/>
                <w:sz w:val="21"/>
              </w:rPr>
            </w:pPr>
            <w:r/>
          </w:p>
          <w:p>
            <w:pPr>
              <w:spacing w:line="255" w:lineRule="auto"/>
              <w:rPr>
                <w:rFonts w:ascii="Arial"/>
                <w:sz w:val="21"/>
              </w:rPr>
            </w:pPr>
            <w:r/>
          </w:p>
          <w:p>
            <w:pPr>
              <w:ind w:left="33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489" w:type="dxa"/>
            <w:vAlign w:val="top"/>
          </w:tcPr>
          <w:p>
            <w:pPr>
              <w:pStyle w:val="TableText"/>
              <w:ind w:left="37" w:right="27" w:firstLine="422"/>
              <w:spacing w:before="66" w:line="270" w:lineRule="auto"/>
              <w:jc w:val="both"/>
              <w:rPr/>
            </w:pPr>
            <w:r>
              <w:rPr>
                <w:spacing w:val="14"/>
              </w:rPr>
              <w:t>严格限制在国家和地方规定的限</w:t>
            </w:r>
            <w:r>
              <w:rPr>
                <w:spacing w:val="13"/>
              </w:rPr>
              <w:t>采区新设开采矿山。禁止在禁采区内</w:t>
            </w:r>
            <w:r>
              <w:rPr>
                <w:spacing w:val="10"/>
              </w:rPr>
              <w:t>新设开采矿山，</w:t>
            </w:r>
            <w:r>
              <w:rPr>
                <w:spacing w:val="-43"/>
              </w:rPr>
              <w:t xml:space="preserve"> </w:t>
            </w:r>
            <w:r>
              <w:rPr>
                <w:spacing w:val="10"/>
              </w:rPr>
              <w:t>已建矿山应按照矿产</w:t>
            </w:r>
            <w:r>
              <w:rPr>
                <w:spacing w:val="9"/>
              </w:rPr>
              <w:t>资源规划和国家有关规定进行处置</w:t>
            </w:r>
          </w:p>
        </w:tc>
        <w:tc>
          <w:tcPr>
            <w:tcW w:w="3321" w:type="dxa"/>
            <w:vAlign w:val="top"/>
          </w:tcPr>
          <w:p>
            <w:pPr>
              <w:spacing w:line="311" w:lineRule="auto"/>
              <w:rPr>
                <w:rFonts w:ascii="Arial"/>
                <w:sz w:val="21"/>
              </w:rPr>
            </w:pPr>
            <w:r/>
          </w:p>
          <w:p>
            <w:pPr>
              <w:pStyle w:val="TableText"/>
              <w:ind w:left="39" w:right="28" w:firstLine="420"/>
              <w:spacing w:before="65" w:line="288" w:lineRule="auto"/>
              <w:rPr/>
            </w:pPr>
            <w:r>
              <w:rPr>
                <w:spacing w:val="17"/>
              </w:rPr>
              <w:t>本项目不在禁止开采区和限制</w:t>
            </w:r>
            <w:r>
              <w:rPr>
                <w:spacing w:val="3"/>
              </w:rPr>
              <w:t>开采区。</w:t>
            </w:r>
          </w:p>
        </w:tc>
        <w:tc>
          <w:tcPr>
            <w:tcW w:w="776" w:type="dxa"/>
            <w:vAlign w:val="top"/>
            <w:tcBorders>
              <w:right w:val="nil"/>
            </w:tcBorders>
          </w:tcPr>
          <w:p>
            <w:pPr>
              <w:spacing w:line="466" w:lineRule="auto"/>
              <w:rPr>
                <w:rFonts w:ascii="Arial"/>
                <w:sz w:val="21"/>
              </w:rPr>
            </w:pPr>
            <w:r/>
          </w:p>
          <w:p>
            <w:pPr>
              <w:pStyle w:val="TableText"/>
              <w:ind w:left="193"/>
              <w:spacing w:before="65" w:line="229" w:lineRule="auto"/>
              <w:rPr/>
            </w:pPr>
            <w:r>
              <w:rPr>
                <w:spacing w:val="-1"/>
              </w:rPr>
              <w:t>符合</w:t>
            </w:r>
          </w:p>
        </w:tc>
      </w:tr>
      <w:tr>
        <w:trPr>
          <w:trHeight w:val="648" w:hRule="atLeast"/>
        </w:trPr>
        <w:tc>
          <w:tcPr>
            <w:tcW w:w="776" w:type="dxa"/>
            <w:vAlign w:val="top"/>
            <w:tcBorders>
              <w:left w:val="nil"/>
              <w:bottom w:val="single" w:color="000000" w:sz="10" w:space="0"/>
            </w:tcBorders>
          </w:tcPr>
          <w:p>
            <w:pPr>
              <w:ind w:left="343"/>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489" w:type="dxa"/>
            <w:vAlign w:val="top"/>
            <w:tcBorders>
              <w:bottom w:val="single" w:color="000000" w:sz="10" w:space="0"/>
            </w:tcBorders>
          </w:tcPr>
          <w:p>
            <w:pPr>
              <w:pStyle w:val="TableText"/>
              <w:ind w:left="56" w:right="27" w:firstLine="403"/>
              <w:spacing w:before="74" w:line="260" w:lineRule="auto"/>
              <w:rPr/>
            </w:pPr>
            <w:r>
              <w:rPr>
                <w:spacing w:val="9"/>
              </w:rPr>
              <w:t>在饮用水水源保护区、</w:t>
            </w:r>
            <w:r>
              <w:rPr>
                <w:spacing w:val="-31"/>
              </w:rPr>
              <w:t xml:space="preserve"> </w:t>
            </w:r>
            <w:r>
              <w:rPr>
                <w:spacing w:val="9"/>
              </w:rPr>
              <w:t>自然保护</w:t>
            </w:r>
            <w:r>
              <w:rPr>
                <w:spacing w:val="12"/>
              </w:rPr>
              <w:t>区、风景名胜区、生态功能保护区和</w:t>
            </w:r>
          </w:p>
        </w:tc>
        <w:tc>
          <w:tcPr>
            <w:tcW w:w="3321" w:type="dxa"/>
            <w:vAlign w:val="top"/>
            <w:tcBorders>
              <w:bottom w:val="single" w:color="000000" w:sz="10" w:space="0"/>
            </w:tcBorders>
          </w:tcPr>
          <w:p>
            <w:pPr>
              <w:pStyle w:val="TableText"/>
              <w:ind w:left="41" w:right="26" w:firstLine="418"/>
              <w:spacing w:before="74" w:line="260" w:lineRule="auto"/>
              <w:rPr/>
            </w:pPr>
            <w:r>
              <w:rPr>
                <w:spacing w:val="17"/>
              </w:rPr>
              <w:t>本项目位于内蒙古自治区锡林</w:t>
            </w:r>
            <w:r>
              <w:rPr>
                <w:spacing w:val="16"/>
              </w:rPr>
              <w:t>郭勒盟苏尼特右旗旗政府所在地赛</w:t>
            </w:r>
          </w:p>
        </w:tc>
        <w:tc>
          <w:tcPr>
            <w:tcW w:w="776" w:type="dxa"/>
            <w:vAlign w:val="top"/>
            <w:tcBorders>
              <w:right w:val="nil"/>
              <w:bottom w:val="single" w:color="000000" w:sz="10" w:space="0"/>
            </w:tcBorders>
          </w:tcPr>
          <w:p>
            <w:pPr>
              <w:pStyle w:val="TableText"/>
              <w:ind w:left="193"/>
              <w:spacing w:before="231" w:line="229" w:lineRule="auto"/>
              <w:rPr/>
            </w:pPr>
            <w:r>
              <w:rPr>
                <w:spacing w:val="-1"/>
              </w:rPr>
              <w:t>符合</w:t>
            </w:r>
          </w:p>
        </w:tc>
      </w:tr>
    </w:tbl>
    <w:p>
      <w:pPr>
        <w:pStyle w:val="BodyText"/>
        <w:spacing w:line="174" w:lineRule="exact"/>
        <w:rPr>
          <w:sz w:val="15"/>
        </w:rPr>
      </w:pPr>
      <w:r/>
    </w:p>
    <w:p>
      <w:pPr>
        <w:spacing w:line="174" w:lineRule="exact"/>
        <w:sectPr>
          <w:footerReference w:type="default" r:id="rId33"/>
          <w:pgSz w:w="11906" w:h="16839"/>
          <w:pgMar w:top="1250" w:right="1691" w:bottom="1349" w:left="1691" w:header="831" w:footer="1162" w:gutter="0"/>
        </w:sectPr>
        <w:rPr>
          <w:sz w:val="15"/>
          <w:szCs w:val="15"/>
        </w:rPr>
      </w:pPr>
    </w:p>
    <w:p>
      <w:pPr>
        <w:spacing w:line="189" w:lineRule="exact"/>
        <w:rPr/>
      </w:pPr>
      <w:r/>
    </w:p>
    <w:tbl>
      <w:tblPr>
        <w:tblStyle w:val="TableNormal"/>
        <w:tblW w:w="836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6"/>
        <w:gridCol w:w="3489"/>
        <w:gridCol w:w="3321"/>
        <w:gridCol w:w="776"/>
      </w:tblGrid>
      <w:tr>
        <w:trPr>
          <w:trHeight w:val="3104" w:hRule="atLeast"/>
        </w:trPr>
        <w:tc>
          <w:tcPr>
            <w:tcW w:w="776" w:type="dxa"/>
            <w:vAlign w:val="top"/>
            <w:tcBorders>
              <w:left w:val="nil"/>
              <w:top w:val="single" w:color="000000" w:sz="10" w:space="0"/>
            </w:tcBorders>
          </w:tcPr>
          <w:p>
            <w:pPr>
              <w:rPr>
                <w:rFonts w:ascii="Arial"/>
                <w:sz w:val="21"/>
              </w:rPr>
            </w:pPr>
            <w:r/>
          </w:p>
        </w:tc>
        <w:tc>
          <w:tcPr>
            <w:tcW w:w="3489" w:type="dxa"/>
            <w:vAlign w:val="top"/>
            <w:tcBorders>
              <w:top w:val="single" w:color="000000" w:sz="10" w:space="0"/>
            </w:tcBorders>
          </w:tcPr>
          <w:p>
            <w:pPr>
              <w:pStyle w:val="TableText"/>
              <w:ind w:left="37"/>
              <w:spacing w:before="37" w:line="288" w:lineRule="auto"/>
              <w:jc w:val="both"/>
              <w:rPr/>
            </w:pPr>
            <w:r>
              <w:rPr>
                <w:spacing w:val="11"/>
              </w:rPr>
              <w:t>基本农田保护区等需要特殊保护的地</w:t>
            </w:r>
            <w:r>
              <w:rPr>
                <w:spacing w:val="2"/>
              </w:rPr>
              <w:t>区，大中城市及其近郊，居民集中区、</w:t>
            </w:r>
            <w:r>
              <w:rPr>
                <w:spacing w:val="8"/>
              </w:rPr>
              <w:t>学校与托幼机构、疗养地、</w:t>
            </w:r>
            <w:r>
              <w:rPr>
                <w:spacing w:val="-50"/>
              </w:rPr>
              <w:t xml:space="preserve"> </w:t>
            </w:r>
            <w:r>
              <w:rPr>
                <w:spacing w:val="8"/>
              </w:rPr>
              <w:t>医院和食</w:t>
            </w:r>
            <w:r>
              <w:rPr>
                <w:spacing w:val="8"/>
              </w:rPr>
              <w:t>品、药品、</w:t>
            </w:r>
            <w:r>
              <w:rPr>
                <w:spacing w:val="-50"/>
              </w:rPr>
              <w:t xml:space="preserve"> </w:t>
            </w:r>
            <w:r>
              <w:rPr>
                <w:spacing w:val="8"/>
              </w:rPr>
              <w:t>电子等对环境质量要求高</w:t>
            </w:r>
            <w:r>
              <w:rPr>
                <w:spacing w:val="-1"/>
              </w:rPr>
              <w:t>的企业周边</w:t>
            </w:r>
            <w:r>
              <w:rPr>
                <w:spacing w:val="-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公里内，主要河流两岸、</w:t>
            </w:r>
            <w:r>
              <w:rPr>
                <w:spacing w:val="11"/>
              </w:rPr>
              <w:t>公路、铁路干线两侧一定范围，不得</w:t>
            </w:r>
            <w:r>
              <w:rPr>
                <w:spacing w:val="6"/>
              </w:rPr>
              <w:t>新建萤石生产加工企业</w:t>
            </w:r>
          </w:p>
        </w:tc>
        <w:tc>
          <w:tcPr>
            <w:tcW w:w="3321" w:type="dxa"/>
            <w:vAlign w:val="top"/>
            <w:tcBorders>
              <w:top w:val="single" w:color="000000" w:sz="10" w:space="0"/>
            </w:tcBorders>
          </w:tcPr>
          <w:p>
            <w:pPr>
              <w:pStyle w:val="TableText"/>
              <w:ind w:left="38" w:right="26" w:firstLine="2"/>
              <w:spacing w:before="39" w:line="282" w:lineRule="auto"/>
              <w:jc w:val="both"/>
              <w:rPr/>
            </w:pPr>
            <w:r>
              <w:rPr>
                <w:spacing w:val="7"/>
              </w:rPr>
              <w:t>汉塔拉镇</w:t>
            </w:r>
            <w:r>
              <w:rPr>
                <w:spacing w:val="-32"/>
              </w:rPr>
              <w:t xml:space="preserve"> </w:t>
            </w:r>
            <w:r>
              <w:rPr>
                <w:rFonts w:ascii="Times New Roman" w:hAnsi="Times New Roman" w:eastAsia="Times New Roman" w:cs="Times New Roman"/>
                <w:spacing w:val="7"/>
              </w:rPr>
              <w:t>25°</w:t>
            </w:r>
            <w:r>
              <w:rPr>
                <w:spacing w:val="7"/>
              </w:rPr>
              <w:t>方位直距</w:t>
            </w:r>
            <w:r>
              <w:rPr>
                <w:spacing w:val="-39"/>
              </w:rPr>
              <w:t xml:space="preserve"> </w:t>
            </w:r>
            <w:r>
              <w:rPr>
                <w:rFonts w:ascii="Times New Roman" w:hAnsi="Times New Roman" w:eastAsia="Times New Roman" w:cs="Times New Roman"/>
                <w:spacing w:val="7"/>
              </w:rPr>
              <w:t>40</w:t>
            </w:r>
            <w:r>
              <w:rPr>
                <w:rFonts w:ascii="Times New Roman" w:hAnsi="Times New Roman" w:eastAsia="Times New Roman" w:cs="Times New Roman"/>
              </w:rPr>
              <w:t>km</w:t>
            </w:r>
            <w:r>
              <w:rPr>
                <w:rFonts w:ascii="Times New Roman" w:hAnsi="Times New Roman" w:eastAsia="Times New Roman" w:cs="Times New Roman"/>
                <w:spacing w:val="21"/>
              </w:rPr>
              <w:t xml:space="preserve"> </w:t>
            </w:r>
            <w:r>
              <w:rPr>
                <w:spacing w:val="7"/>
              </w:rPr>
              <w:t>处，所</w:t>
            </w:r>
            <w:r>
              <w:rPr>
                <w:spacing w:val="3"/>
              </w:rPr>
              <w:t>在区域不涉及饮用水水源保护区、自</w:t>
            </w:r>
            <w:r>
              <w:rPr>
                <w:spacing w:val="3"/>
              </w:rPr>
              <w:t>然保护区、风景名胜区、生态功能保</w:t>
            </w:r>
            <w:r>
              <w:rPr>
                <w:spacing w:val="16"/>
              </w:rPr>
              <w:t>护区和基本农田保护区等需要特殊</w:t>
            </w:r>
            <w:r>
              <w:rPr>
                <w:spacing w:val="16"/>
              </w:rPr>
              <w:t>保护的地区，不在大中城市及其近</w:t>
            </w:r>
            <w:r>
              <w:rPr>
                <w:spacing w:val="3"/>
              </w:rPr>
              <w:t>郊，学校与托幼机构、疗养地、医院</w:t>
            </w:r>
            <w:r>
              <w:rPr>
                <w:spacing w:val="3"/>
              </w:rPr>
              <w:t>和食品、药品、电子等对环境质量要</w:t>
            </w:r>
            <w:r>
              <w:rPr>
                <w:spacing w:val="8"/>
              </w:rPr>
              <w:t>求高的企业周边</w:t>
            </w:r>
            <w:r>
              <w:rPr>
                <w:spacing w:val="-16"/>
              </w:rPr>
              <w:t xml:space="preserve"> </w:t>
            </w:r>
            <w:r>
              <w:rPr>
                <w:rFonts w:ascii="Times New Roman" w:hAnsi="Times New Roman" w:eastAsia="Times New Roman" w:cs="Times New Roman"/>
                <w:spacing w:val="8"/>
              </w:rPr>
              <w:t>1</w:t>
            </w:r>
            <w:r>
              <w:rPr>
                <w:rFonts w:ascii="Times New Roman" w:hAnsi="Times New Roman" w:eastAsia="Times New Roman" w:cs="Times New Roman"/>
              </w:rPr>
              <w:t>km</w:t>
            </w:r>
            <w:r>
              <w:rPr>
                <w:rFonts w:ascii="Times New Roman" w:hAnsi="Times New Roman" w:eastAsia="Times New Roman" w:cs="Times New Roman"/>
                <w:spacing w:val="48"/>
              </w:rPr>
              <w:t xml:space="preserve"> </w:t>
            </w:r>
            <w:r>
              <w:rPr>
                <w:spacing w:val="8"/>
              </w:rPr>
              <w:t>内。选矿厂不</w:t>
            </w:r>
            <w:r>
              <w:rPr>
                <w:spacing w:val="3"/>
              </w:rPr>
              <w:t>在河流两岸、公路、铁路干线两侧一</w:t>
            </w:r>
            <w:r>
              <w:rPr>
                <w:spacing w:val="4"/>
              </w:rPr>
              <w:t>定范围内。</w:t>
            </w:r>
          </w:p>
        </w:tc>
        <w:tc>
          <w:tcPr>
            <w:tcW w:w="776" w:type="dxa"/>
            <w:vAlign w:val="top"/>
            <w:tcBorders>
              <w:right w:val="nil"/>
              <w:top w:val="single" w:color="000000" w:sz="10" w:space="0"/>
            </w:tcBorders>
          </w:tcPr>
          <w:p>
            <w:pPr>
              <w:rPr>
                <w:rFonts w:ascii="Arial"/>
                <w:sz w:val="21"/>
              </w:rPr>
            </w:pPr>
            <w:r/>
          </w:p>
        </w:tc>
      </w:tr>
      <w:tr>
        <w:trPr>
          <w:trHeight w:val="401" w:hRule="atLeast"/>
        </w:trPr>
        <w:tc>
          <w:tcPr>
            <w:tcW w:w="776" w:type="dxa"/>
            <w:vAlign w:val="top"/>
            <w:tcBorders>
              <w:left w:val="nil"/>
            </w:tcBorders>
          </w:tcPr>
          <w:p>
            <w:pPr>
              <w:pStyle w:val="TableText"/>
              <w:ind w:left="302"/>
              <w:spacing w:before="142" w:line="180" w:lineRule="auto"/>
              <w:rPr/>
            </w:pPr>
            <w:r>
              <w:rPr/>
              <w:t>二</w:t>
            </w:r>
          </w:p>
        </w:tc>
        <w:tc>
          <w:tcPr>
            <w:tcW w:w="7586" w:type="dxa"/>
            <w:vAlign w:val="top"/>
            <w:gridSpan w:val="3"/>
            <w:tcBorders>
              <w:right w:val="nil"/>
            </w:tcBorders>
          </w:tcPr>
          <w:p>
            <w:pPr>
              <w:pStyle w:val="TableText"/>
              <w:ind w:left="2767"/>
              <w:spacing w:before="99" w:line="232" w:lineRule="auto"/>
              <w:rPr/>
            </w:pPr>
            <w:r>
              <w:rPr>
                <w:spacing w:val="7"/>
              </w:rPr>
              <w:t>生产规模、工艺与装备</w:t>
            </w:r>
          </w:p>
        </w:tc>
      </w:tr>
      <w:tr>
        <w:trPr>
          <w:trHeight w:val="4054" w:hRule="atLeast"/>
        </w:trPr>
        <w:tc>
          <w:tcPr>
            <w:tcW w:w="776" w:type="dxa"/>
            <w:vAlign w:val="top"/>
            <w:tcBorders>
              <w:left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33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489"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40" w:firstLine="412"/>
              <w:spacing w:before="65" w:line="289" w:lineRule="auto"/>
              <w:jc w:val="both"/>
              <w:rPr/>
            </w:pPr>
            <w:r>
              <w:rPr>
                <w:spacing w:val="13"/>
              </w:rPr>
              <w:t>新建和改（扩）建萤石选矿厂，</w:t>
            </w:r>
            <w:r>
              <w:rPr>
                <w:spacing w:val="2"/>
              </w:rPr>
              <w:t>必须具备相匹配的自备矿山、尾矿库、</w:t>
            </w:r>
            <w:r>
              <w:rPr>
                <w:spacing w:val="9"/>
              </w:rPr>
              <w:t>污水（物）处理设施，不得新建“</w:t>
            </w:r>
            <w:r>
              <w:rPr>
                <w:spacing w:val="-69"/>
              </w:rPr>
              <w:t xml:space="preserve"> </w:t>
            </w:r>
            <w:r>
              <w:rPr>
                <w:spacing w:val="9"/>
              </w:rPr>
              <w:t>三</w:t>
            </w:r>
            <w:r>
              <w:rPr/>
              <w:t>无</w:t>
            </w:r>
            <w:r>
              <w:rPr>
                <w:spacing w:val="-66"/>
              </w:rPr>
              <w:t xml:space="preserve"> </w:t>
            </w:r>
            <w:r>
              <w:rPr/>
              <w:t>”萤石浮选厂</w:t>
            </w:r>
          </w:p>
        </w:tc>
        <w:tc>
          <w:tcPr>
            <w:tcW w:w="3321" w:type="dxa"/>
            <w:vAlign w:val="top"/>
          </w:tcPr>
          <w:p>
            <w:pPr>
              <w:pStyle w:val="TableText"/>
              <w:ind w:left="36" w:right="26" w:firstLine="423"/>
              <w:spacing w:before="58" w:line="283" w:lineRule="auto"/>
              <w:jc w:val="both"/>
              <w:rPr/>
            </w:pPr>
            <w:r>
              <w:rPr>
                <w:spacing w:val="2"/>
              </w:rPr>
              <w:t>本项目建设完成后，年开采萤石</w:t>
            </w:r>
            <w:r>
              <w:rPr>
                <w:spacing w:val="-1"/>
              </w:rPr>
              <w:t>矿</w:t>
            </w:r>
            <w:r>
              <w:rPr>
                <w:spacing w:val="-10"/>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9"/>
                <w:w w:val="101"/>
              </w:rPr>
              <w:t xml:space="preserve"> </w:t>
            </w:r>
            <w:r>
              <w:rPr>
                <w:spacing w:val="-1"/>
              </w:rPr>
              <w:t>万</w:t>
            </w:r>
            <w:r>
              <w:rPr>
                <w:spacing w:val="-45"/>
              </w:rPr>
              <w:t xml:space="preserve"> </w:t>
            </w:r>
            <w:r>
              <w:rPr>
                <w:rFonts w:ascii="Times New Roman" w:hAnsi="Times New Roman" w:eastAsia="Times New Roman" w:cs="Times New Roman"/>
                <w:spacing w:val="-1"/>
              </w:rPr>
              <w:t>t/a</w:t>
            </w:r>
            <w:r>
              <w:rPr>
                <w:spacing w:val="-1"/>
              </w:rPr>
              <w:t>，并配备由年选矿</w:t>
            </w:r>
            <w:r>
              <w:rPr>
                <w:spacing w:val="-23"/>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9"/>
                <w:w w:val="101"/>
              </w:rPr>
              <w:t xml:space="preserve"> </w:t>
            </w:r>
            <w:r>
              <w:rPr>
                <w:spacing w:val="-1"/>
              </w:rPr>
              <w:t>万</w:t>
            </w:r>
            <w:r>
              <w:rPr>
                <w:spacing w:val="-46"/>
              </w:rPr>
              <w:t xml:space="preserve"> </w:t>
            </w:r>
            <w:r>
              <w:rPr>
                <w:rFonts w:ascii="Times New Roman" w:hAnsi="Times New Roman" w:eastAsia="Times New Roman" w:cs="Times New Roman"/>
                <w:spacing w:val="-1"/>
              </w:rPr>
              <w:t>t</w:t>
            </w:r>
            <w:r>
              <w:rPr>
                <w:spacing w:val="3"/>
              </w:rPr>
              <w:t>的选矿厂，产生的尾矿暂存于尾矿临</w:t>
            </w:r>
            <w:r>
              <w:rPr>
                <w:spacing w:val="3"/>
              </w:rPr>
              <w:t>时堆场，均优先用于本项目地下采空</w:t>
            </w:r>
            <w:r>
              <w:rPr>
                <w:spacing w:val="3"/>
              </w:rPr>
              <w:t>区充填使用；同时本项目产生的生活</w:t>
            </w:r>
            <w:r>
              <w:rPr>
                <w:spacing w:val="16"/>
              </w:rPr>
              <w:t>污水和经隔油池处理后的食堂废水</w:t>
            </w:r>
            <w:r>
              <w:rPr>
                <w:spacing w:val="16"/>
              </w:rPr>
              <w:t>暂存于防渗储池内定期送至污水处</w:t>
            </w:r>
            <w:r>
              <w:rPr>
                <w:spacing w:val="3"/>
              </w:rPr>
              <w:t>理厂处理，项目产生的矿井涌水排至</w:t>
            </w:r>
            <w:r>
              <w:rPr>
                <w:spacing w:val="3"/>
              </w:rPr>
              <w:t>高位水池内沉淀后部分用于井上、井</w:t>
            </w:r>
            <w:r>
              <w:rPr>
                <w:spacing w:val="3"/>
              </w:rPr>
              <w:t>下、堆场和道路洒水降尘使用，部分</w:t>
            </w:r>
            <w:r>
              <w:rPr>
                <w:spacing w:val="16"/>
              </w:rPr>
              <w:t>排入回水池内与项目选矿废水经混</w:t>
            </w:r>
            <w:r>
              <w:rPr>
                <w:spacing w:val="16"/>
              </w:rPr>
              <w:t>凝沉淀后进入蓄水池内回用于生产</w:t>
            </w:r>
            <w:r>
              <w:rPr>
                <w:spacing w:val="3"/>
              </w:rPr>
              <w:t>不外排。</w:t>
            </w:r>
            <w:r>
              <w:rPr>
                <w:spacing w:val="-48"/>
              </w:rPr>
              <w:t xml:space="preserve"> </w:t>
            </w:r>
            <w:r>
              <w:rPr>
                <w:spacing w:val="3"/>
              </w:rPr>
              <w:t>因此符合要求。</w:t>
            </w:r>
          </w:p>
        </w:tc>
        <w:tc>
          <w:tcPr>
            <w:tcW w:w="776" w:type="dxa"/>
            <w:vAlign w:val="top"/>
            <w:tcBorders>
              <w:right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93"/>
              <w:spacing w:before="65" w:line="229" w:lineRule="auto"/>
              <w:rPr/>
            </w:pPr>
            <w:r>
              <w:rPr>
                <w:spacing w:val="-1"/>
              </w:rPr>
              <w:t>符合</w:t>
            </w:r>
          </w:p>
        </w:tc>
      </w:tr>
      <w:tr>
        <w:trPr>
          <w:trHeight w:val="939" w:hRule="atLeast"/>
        </w:trPr>
        <w:tc>
          <w:tcPr>
            <w:tcW w:w="776" w:type="dxa"/>
            <w:vAlign w:val="top"/>
            <w:tcBorders>
              <w:left w:val="nil"/>
            </w:tcBorders>
          </w:tcPr>
          <w:p>
            <w:pPr>
              <w:spacing w:line="356" w:lineRule="auto"/>
              <w:rPr>
                <w:rFonts w:ascii="Arial"/>
                <w:sz w:val="21"/>
              </w:rPr>
            </w:pPr>
            <w:r/>
          </w:p>
          <w:p>
            <w:pPr>
              <w:ind w:left="345"/>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489" w:type="dxa"/>
            <w:vAlign w:val="top"/>
          </w:tcPr>
          <w:p>
            <w:pPr>
              <w:pStyle w:val="TableText"/>
              <w:ind w:left="50" w:right="27" w:firstLine="414"/>
              <w:spacing w:before="221" w:line="288" w:lineRule="auto"/>
              <w:rPr/>
            </w:pPr>
            <w:r>
              <w:rPr>
                <w:spacing w:val="9"/>
              </w:rPr>
              <w:t>萤石选矿单条生产线</w:t>
            </w:r>
            <w:r>
              <w:rPr>
                <w:spacing w:val="-36"/>
              </w:rPr>
              <w:t xml:space="preserve"> </w:t>
            </w:r>
            <w:r>
              <w:rPr>
                <w:spacing w:val="9"/>
              </w:rPr>
              <w:t>日处理矿石</w:t>
            </w:r>
            <w:r>
              <w:rPr>
                <w:spacing w:val="4"/>
              </w:rPr>
              <w:t>能力应</w:t>
            </w:r>
            <w:r>
              <w:rPr>
                <w:rFonts w:ascii="Times New Roman" w:hAnsi="Times New Roman" w:eastAsia="Times New Roman" w:cs="Times New Roman"/>
                <w:spacing w:val="4"/>
              </w:rPr>
              <w:t>≥100</w:t>
            </w:r>
            <w:r>
              <w:rPr>
                <w:rFonts w:ascii="Times New Roman" w:hAnsi="Times New Roman" w:eastAsia="Times New Roman" w:cs="Times New Roman"/>
                <w:spacing w:val="21"/>
                <w:w w:val="101"/>
              </w:rPr>
              <w:t xml:space="preserve"> </w:t>
            </w:r>
            <w:r>
              <w:rPr>
                <w:spacing w:val="4"/>
              </w:rPr>
              <w:t>吨（每年按</w:t>
            </w:r>
            <w:r>
              <w:rPr>
                <w:spacing w:val="-39"/>
              </w:rP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6"/>
              </w:rPr>
              <w:t xml:space="preserve"> </w:t>
            </w:r>
            <w:r>
              <w:rPr>
                <w:spacing w:val="4"/>
              </w:rPr>
              <w:t>天计算）</w:t>
            </w:r>
          </w:p>
        </w:tc>
        <w:tc>
          <w:tcPr>
            <w:tcW w:w="3321" w:type="dxa"/>
            <w:vAlign w:val="top"/>
          </w:tcPr>
          <w:p>
            <w:pPr>
              <w:pStyle w:val="TableText"/>
              <w:ind w:left="39" w:right="26" w:firstLine="420"/>
              <w:spacing w:before="64" w:line="266" w:lineRule="auto"/>
              <w:jc w:val="both"/>
              <w:rPr/>
            </w:pPr>
            <w:r>
              <w:rPr>
                <w:spacing w:val="-2"/>
              </w:rPr>
              <w:t>本项目年采选萤石矿</w:t>
            </w:r>
            <w:r>
              <w:rPr>
                <w:spacing w:val="-2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spacing w:val="-2"/>
              </w:rPr>
              <w:t>万</w:t>
            </w:r>
            <w:r>
              <w:rPr>
                <w:spacing w:val="-45"/>
              </w:rPr>
              <w:t xml:space="preserve"> </w:t>
            </w:r>
            <w:r>
              <w:rPr>
                <w:rFonts w:ascii="Times New Roman" w:hAnsi="Times New Roman" w:eastAsia="Times New Roman" w:cs="Times New Roman"/>
                <w:spacing w:val="-2"/>
              </w:rPr>
              <w:t>t</w:t>
            </w:r>
            <w:r>
              <w:rPr>
                <w:spacing w:val="-2"/>
              </w:rPr>
              <w:t>，设</w:t>
            </w:r>
            <w:r>
              <w:rPr>
                <w:spacing w:val="8"/>
              </w:rPr>
              <w:t>计年运行</w:t>
            </w:r>
            <w:r>
              <w:rPr>
                <w:spacing w:val="-21"/>
              </w:rPr>
              <w:t xml:space="preserve"> </w:t>
            </w:r>
            <w:r>
              <w:rPr>
                <w:rFonts w:ascii="Times New Roman" w:hAnsi="Times New Roman" w:eastAsia="Times New Roman" w:cs="Times New Roman"/>
                <w:spacing w:val="8"/>
              </w:rPr>
              <w:t>300d</w:t>
            </w:r>
            <w:r>
              <w:rPr>
                <w:rFonts w:ascii="Times New Roman" w:hAnsi="Times New Roman" w:eastAsia="Times New Roman" w:cs="Times New Roman"/>
                <w:spacing w:val="-16"/>
              </w:rPr>
              <w:t xml:space="preserve"> </w:t>
            </w:r>
            <w:r>
              <w:rPr>
                <w:spacing w:val="8"/>
              </w:rPr>
              <w:t>，平均日处理矿石能</w:t>
            </w:r>
            <w:r>
              <w:rPr>
                <w:spacing w:val="3"/>
              </w:rPr>
              <w:t>力为</w:t>
            </w:r>
            <w:r>
              <w:rPr>
                <w:spacing w:val="-36"/>
              </w:rPr>
              <w:t xml:space="preserve"> </w:t>
            </w:r>
            <w:r>
              <w:rPr>
                <w:rFonts w:ascii="Times New Roman" w:hAnsi="Times New Roman" w:eastAsia="Times New Roman" w:cs="Times New Roman"/>
                <w:spacing w:val="3"/>
              </w:rPr>
              <w:t>333.34t</w:t>
            </w:r>
            <w:r>
              <w:rPr>
                <w:rFonts w:ascii="Times New Roman" w:hAnsi="Times New Roman" w:eastAsia="Times New Roman" w:cs="Times New Roman"/>
                <w:spacing w:val="-22"/>
              </w:rPr>
              <w:t xml:space="preserve"> </w:t>
            </w:r>
            <w:r>
              <w:rPr>
                <w:spacing w:val="3"/>
              </w:rPr>
              <w:t>，符合要求。</w:t>
            </w:r>
          </w:p>
        </w:tc>
        <w:tc>
          <w:tcPr>
            <w:tcW w:w="776" w:type="dxa"/>
            <w:vAlign w:val="top"/>
            <w:tcBorders>
              <w:right w:val="nil"/>
            </w:tcBorders>
          </w:tcPr>
          <w:p>
            <w:pPr>
              <w:spacing w:line="311" w:lineRule="auto"/>
              <w:rPr>
                <w:rFonts w:ascii="Arial"/>
                <w:sz w:val="21"/>
              </w:rPr>
            </w:pPr>
            <w:r/>
          </w:p>
          <w:p>
            <w:pPr>
              <w:pStyle w:val="TableText"/>
              <w:ind w:left="193"/>
              <w:spacing w:before="65" w:line="229" w:lineRule="auto"/>
              <w:rPr/>
            </w:pPr>
            <w:r>
              <w:rPr>
                <w:spacing w:val="-1"/>
              </w:rPr>
              <w:t>符合</w:t>
            </w:r>
          </w:p>
        </w:tc>
      </w:tr>
      <w:tr>
        <w:trPr>
          <w:trHeight w:val="401" w:hRule="atLeast"/>
        </w:trPr>
        <w:tc>
          <w:tcPr>
            <w:tcW w:w="776" w:type="dxa"/>
            <w:vAlign w:val="top"/>
            <w:tcBorders>
              <w:left w:val="nil"/>
            </w:tcBorders>
          </w:tcPr>
          <w:p>
            <w:pPr>
              <w:pStyle w:val="TableText"/>
              <w:ind w:left="302"/>
              <w:spacing w:before="137" w:line="194" w:lineRule="auto"/>
              <w:rPr/>
            </w:pPr>
            <w:r>
              <w:rPr/>
              <w:t>三</w:t>
            </w:r>
          </w:p>
        </w:tc>
        <w:tc>
          <w:tcPr>
            <w:tcW w:w="7586" w:type="dxa"/>
            <w:vAlign w:val="top"/>
            <w:gridSpan w:val="3"/>
            <w:tcBorders>
              <w:right w:val="nil"/>
            </w:tcBorders>
          </w:tcPr>
          <w:p>
            <w:pPr>
              <w:pStyle w:val="TableText"/>
              <w:ind w:left="3185"/>
              <w:spacing w:before="110" w:line="231" w:lineRule="auto"/>
              <w:rPr/>
            </w:pPr>
            <w:r>
              <w:rPr>
                <w:spacing w:val="5"/>
              </w:rPr>
              <w:t>资源综合利用</w:t>
            </w:r>
          </w:p>
        </w:tc>
      </w:tr>
      <w:tr>
        <w:trPr>
          <w:trHeight w:val="1562" w:hRule="atLeast"/>
        </w:trPr>
        <w:tc>
          <w:tcPr>
            <w:tcW w:w="776" w:type="dxa"/>
            <w:vAlign w:val="top"/>
            <w:tcBorders>
              <w:left w:val="nil"/>
            </w:tcBorders>
          </w:tcPr>
          <w:p>
            <w:pPr>
              <w:spacing w:line="333" w:lineRule="auto"/>
              <w:rPr>
                <w:rFonts w:ascii="Arial"/>
                <w:sz w:val="21"/>
              </w:rPr>
            </w:pPr>
            <w:r/>
          </w:p>
          <w:p>
            <w:pPr>
              <w:spacing w:line="334" w:lineRule="auto"/>
              <w:rPr>
                <w:rFonts w:ascii="Arial"/>
                <w:sz w:val="21"/>
              </w:rPr>
            </w:pPr>
            <w:r/>
          </w:p>
          <w:p>
            <w:pPr>
              <w:ind w:left="34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489" w:type="dxa"/>
            <w:vAlign w:val="top"/>
          </w:tcPr>
          <w:p>
            <w:pPr>
              <w:spacing w:line="314" w:lineRule="auto"/>
              <w:rPr>
                <w:rFonts w:ascii="Arial"/>
                <w:sz w:val="21"/>
              </w:rPr>
            </w:pPr>
            <w:r/>
          </w:p>
          <w:p>
            <w:pPr>
              <w:pStyle w:val="TableText"/>
              <w:ind w:left="40" w:right="27" w:firstLine="420"/>
              <w:spacing w:before="65" w:line="288" w:lineRule="auto"/>
              <w:jc w:val="both"/>
              <w:rPr/>
            </w:pPr>
            <w:r>
              <w:rPr>
                <w:spacing w:val="10"/>
              </w:rPr>
              <w:t>选矿回收率应达到</w:t>
            </w:r>
            <w:r>
              <w:rPr>
                <w:spacing w:val="-22"/>
              </w:rPr>
              <w:t xml:space="preserve"> </w:t>
            </w:r>
            <w:r>
              <w:rPr>
                <w:rFonts w:ascii="Times New Roman" w:hAnsi="Times New Roman" w:eastAsia="Times New Roman" w:cs="Times New Roman"/>
                <w:spacing w:val="10"/>
              </w:rPr>
              <w:t>80%</w:t>
            </w:r>
            <w:r>
              <w:rPr>
                <w:spacing w:val="10"/>
              </w:rPr>
              <w:t>以上（伴</w:t>
            </w:r>
            <w:r>
              <w:rPr>
                <w:spacing w:val="11"/>
              </w:rPr>
              <w:t>生矿、尾矿利用除外</w:t>
            </w:r>
            <w:r>
              <w:rPr>
                <w:spacing w:val="6"/>
              </w:rPr>
              <w:t>）</w:t>
            </w:r>
            <w:r>
              <w:rPr>
                <w:spacing w:val="-51"/>
              </w:rPr>
              <w:t xml:space="preserve"> </w:t>
            </w:r>
            <w:r>
              <w:rPr>
                <w:spacing w:val="6"/>
              </w:rPr>
              <w:t>，</w:t>
            </w:r>
            <w:r>
              <w:rPr>
                <w:spacing w:val="11"/>
              </w:rPr>
              <w:t>企业应制定</w:t>
            </w:r>
            <w:r>
              <w:rPr>
                <w:spacing w:val="7"/>
              </w:rPr>
              <w:t>尾矿综合利用和治理方案。</w:t>
            </w:r>
          </w:p>
        </w:tc>
        <w:tc>
          <w:tcPr>
            <w:tcW w:w="3321" w:type="dxa"/>
            <w:vAlign w:val="top"/>
          </w:tcPr>
          <w:p>
            <w:pPr>
              <w:pStyle w:val="TableText"/>
              <w:ind w:left="39" w:right="26" w:firstLine="420"/>
              <w:spacing w:before="67" w:line="274" w:lineRule="auto"/>
              <w:rPr/>
            </w:pPr>
            <w:r>
              <w:rPr>
                <w:spacing w:val="6"/>
              </w:rPr>
              <w:t>本项目选矿回收率为</w:t>
            </w:r>
            <w:r>
              <w:rPr>
                <w:spacing w:val="-20"/>
              </w:rPr>
              <w:t xml:space="preserve"> </w:t>
            </w:r>
            <w:r>
              <w:rPr>
                <w:rFonts w:ascii="Times New Roman" w:hAnsi="Times New Roman" w:eastAsia="Times New Roman" w:cs="Times New Roman"/>
                <w:spacing w:val="6"/>
              </w:rPr>
              <w:t>89.05%</w:t>
            </w:r>
            <w:r>
              <w:rPr>
                <w:rFonts w:ascii="Times New Roman" w:hAnsi="Times New Roman" w:eastAsia="Times New Roman" w:cs="Times New Roman"/>
                <w:spacing w:val="-15"/>
              </w:rPr>
              <w:t xml:space="preserve"> </w:t>
            </w:r>
            <w:r>
              <w:rPr>
                <w:spacing w:val="6"/>
              </w:rPr>
              <w:t>。</w:t>
            </w:r>
            <w:r>
              <w:rPr>
                <w:spacing w:val="16"/>
              </w:rPr>
              <w:t>选矿厂产生的尾矿优先用于本项目</w:t>
            </w:r>
            <w:r>
              <w:rPr>
                <w:spacing w:val="2"/>
              </w:rPr>
              <w:t>地下采空区充填使用，余下则外售至</w:t>
            </w:r>
            <w:r>
              <w:rPr>
                <w:spacing w:val="3"/>
              </w:rPr>
              <w:t>建材生产企业进行建材生产使用，全</w:t>
            </w:r>
            <w:r>
              <w:rPr>
                <w:spacing w:val="6"/>
              </w:rPr>
              <w:t>部进行综合利用。</w:t>
            </w:r>
          </w:p>
        </w:tc>
        <w:tc>
          <w:tcPr>
            <w:tcW w:w="776" w:type="dxa"/>
            <w:vAlign w:val="top"/>
            <w:tcBorders>
              <w:right w:val="nil"/>
            </w:tcBorders>
          </w:tcPr>
          <w:p>
            <w:pPr>
              <w:spacing w:line="312" w:lineRule="auto"/>
              <w:rPr>
                <w:rFonts w:ascii="Arial"/>
                <w:sz w:val="21"/>
              </w:rPr>
            </w:pPr>
            <w:r/>
          </w:p>
          <w:p>
            <w:pPr>
              <w:spacing w:line="312" w:lineRule="auto"/>
              <w:rPr>
                <w:rFonts w:ascii="Arial"/>
                <w:sz w:val="21"/>
              </w:rPr>
            </w:pPr>
            <w:r/>
          </w:p>
          <w:p>
            <w:pPr>
              <w:pStyle w:val="TableText"/>
              <w:ind w:left="193"/>
              <w:spacing w:before="65" w:line="229" w:lineRule="auto"/>
              <w:rPr/>
            </w:pPr>
            <w:r>
              <w:rPr>
                <w:spacing w:val="-1"/>
              </w:rPr>
              <w:t>符合</w:t>
            </w:r>
          </w:p>
        </w:tc>
      </w:tr>
      <w:tr>
        <w:trPr>
          <w:trHeight w:val="1251" w:hRule="atLeast"/>
        </w:trPr>
        <w:tc>
          <w:tcPr>
            <w:tcW w:w="776" w:type="dxa"/>
            <w:vAlign w:val="top"/>
            <w:tcBorders>
              <w:left w:val="nil"/>
            </w:tcBorders>
          </w:tcPr>
          <w:p>
            <w:pPr>
              <w:spacing w:line="258" w:lineRule="auto"/>
              <w:rPr>
                <w:rFonts w:ascii="Arial"/>
                <w:sz w:val="21"/>
              </w:rPr>
            </w:pPr>
            <w:r/>
          </w:p>
          <w:p>
            <w:pPr>
              <w:spacing w:line="259" w:lineRule="auto"/>
              <w:rPr>
                <w:rFonts w:ascii="Arial"/>
                <w:sz w:val="21"/>
              </w:rPr>
            </w:pPr>
            <w:r/>
          </w:p>
          <w:p>
            <w:pPr>
              <w:ind w:left="342"/>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489" w:type="dxa"/>
            <w:vAlign w:val="top"/>
          </w:tcPr>
          <w:p>
            <w:pPr>
              <w:pStyle w:val="TableText"/>
              <w:ind w:left="43" w:right="27" w:firstLine="417"/>
              <w:spacing w:before="228" w:line="288" w:lineRule="auto"/>
              <w:jc w:val="both"/>
              <w:rPr/>
            </w:pPr>
            <w:r>
              <w:rPr>
                <w:spacing w:val="13"/>
              </w:rPr>
              <w:t>鼓励对低品位萤石矿进行选矿加</w:t>
            </w:r>
            <w:r>
              <w:rPr>
                <w:spacing w:val="13"/>
              </w:rPr>
              <w:t>工提纯，分级选别、分级使用，实现</w:t>
            </w:r>
            <w:r>
              <w:rPr>
                <w:spacing w:val="6"/>
              </w:rPr>
              <w:t>资源综合利用</w:t>
            </w:r>
          </w:p>
        </w:tc>
        <w:tc>
          <w:tcPr>
            <w:tcW w:w="3321" w:type="dxa"/>
            <w:vAlign w:val="top"/>
          </w:tcPr>
          <w:p>
            <w:pPr>
              <w:pStyle w:val="TableText"/>
              <w:ind w:left="33" w:right="26" w:firstLine="426"/>
              <w:spacing w:before="71" w:line="270" w:lineRule="auto"/>
              <w:jc w:val="both"/>
              <w:rPr/>
            </w:pPr>
            <w:r>
              <w:rPr>
                <w:spacing w:val="1"/>
              </w:rPr>
              <w:t>本项目采用一段磨矿（磨矿细度</w:t>
            </w:r>
            <w:r>
              <w:rPr>
                <w:rFonts w:ascii="Times New Roman" w:hAnsi="Times New Roman" w:eastAsia="Times New Roman" w:cs="Times New Roman"/>
                <w:spacing w:val="2"/>
              </w:rPr>
              <w:t>-200  </w:t>
            </w:r>
            <w:r>
              <w:rPr>
                <w:spacing w:val="2"/>
              </w:rPr>
              <w:t>目</w:t>
            </w:r>
            <w:r>
              <w:rPr>
                <w:spacing w:val="-40"/>
              </w:rPr>
              <w:t xml:space="preserve"> </w:t>
            </w:r>
            <w:r>
              <w:rPr>
                <w:spacing w:val="2"/>
              </w:rPr>
              <w:t>占</w:t>
            </w:r>
            <w:r>
              <w:rPr>
                <w:spacing w:val="-33"/>
              </w:rPr>
              <w:t xml:space="preserve"> </w:t>
            </w:r>
            <w:r>
              <w:rPr>
                <w:rFonts w:ascii="Times New Roman" w:hAnsi="Times New Roman" w:eastAsia="Times New Roman" w:cs="Times New Roman"/>
                <w:spacing w:val="2"/>
              </w:rPr>
              <w:t>75%</w:t>
            </w:r>
            <w:r>
              <w:rPr>
                <w:spacing w:val="2"/>
              </w:rPr>
              <w:t>）</w:t>
            </w:r>
            <w:r>
              <w:rPr>
                <w:spacing w:val="-48"/>
              </w:rPr>
              <w:t xml:space="preserve"> </w:t>
            </w:r>
            <w:r>
              <w:rPr>
                <w:spacing w:val="2"/>
              </w:rPr>
              <w:t>、一次粗选、二次</w:t>
            </w:r>
            <w:r>
              <w:rPr>
                <w:spacing w:val="3"/>
              </w:rPr>
              <w:t>扫选、七次精选的浮选工艺流程，精</w:t>
            </w:r>
            <w:r>
              <w:rPr>
                <w:spacing w:val="4"/>
              </w:rPr>
              <w:t>矿品位</w:t>
            </w:r>
            <w:r>
              <w:rPr>
                <w:spacing w:val="-38"/>
              </w:rPr>
              <w:t xml:space="preserve"> </w:t>
            </w:r>
            <w:r>
              <w:rPr>
                <w:rFonts w:ascii="Times New Roman" w:hAnsi="Times New Roman" w:eastAsia="Times New Roman" w:cs="Times New Roman"/>
                <w:spacing w:val="4"/>
              </w:rPr>
              <w:t>96.62%</w:t>
            </w:r>
            <w:r>
              <w:rPr>
                <w:spacing w:val="4"/>
              </w:rPr>
              <w:t>。</w:t>
            </w:r>
          </w:p>
        </w:tc>
        <w:tc>
          <w:tcPr>
            <w:tcW w:w="776" w:type="dxa"/>
            <w:vAlign w:val="top"/>
            <w:tcBorders>
              <w:right w:val="nil"/>
            </w:tcBorders>
          </w:tcPr>
          <w:p>
            <w:pPr>
              <w:spacing w:line="472" w:lineRule="auto"/>
              <w:rPr>
                <w:rFonts w:ascii="Arial"/>
                <w:sz w:val="21"/>
              </w:rPr>
            </w:pPr>
            <w:r/>
          </w:p>
          <w:p>
            <w:pPr>
              <w:pStyle w:val="TableText"/>
              <w:ind w:left="193"/>
              <w:spacing w:before="65" w:line="229" w:lineRule="auto"/>
              <w:rPr/>
            </w:pPr>
            <w:r>
              <w:rPr>
                <w:spacing w:val="-1"/>
              </w:rPr>
              <w:t>符合</w:t>
            </w:r>
          </w:p>
        </w:tc>
      </w:tr>
      <w:tr>
        <w:trPr>
          <w:trHeight w:val="401" w:hRule="atLeast"/>
        </w:trPr>
        <w:tc>
          <w:tcPr>
            <w:tcW w:w="776" w:type="dxa"/>
            <w:vAlign w:val="top"/>
            <w:tcBorders>
              <w:left w:val="nil"/>
            </w:tcBorders>
          </w:tcPr>
          <w:p>
            <w:pPr>
              <w:pStyle w:val="TableText"/>
              <w:ind w:left="320"/>
              <w:spacing w:before="114" w:line="263" w:lineRule="exact"/>
              <w:rPr/>
            </w:pPr>
            <w:r>
              <w:rPr>
                <w:position w:val="1"/>
              </w:rPr>
              <w:t>四</w:t>
            </w:r>
          </w:p>
        </w:tc>
        <w:tc>
          <w:tcPr>
            <w:tcW w:w="7586" w:type="dxa"/>
            <w:vAlign w:val="top"/>
            <w:gridSpan w:val="3"/>
            <w:tcBorders>
              <w:right w:val="nil"/>
            </w:tcBorders>
          </w:tcPr>
          <w:p>
            <w:pPr>
              <w:pStyle w:val="TableText"/>
              <w:ind w:left="3181"/>
              <w:spacing w:before="114" w:line="232" w:lineRule="auto"/>
              <w:rPr/>
            </w:pPr>
            <w:r>
              <w:rPr>
                <w:spacing w:val="6"/>
              </w:rPr>
              <w:t>主要产品质量</w:t>
            </w:r>
          </w:p>
        </w:tc>
      </w:tr>
      <w:tr>
        <w:trPr>
          <w:trHeight w:val="1251" w:hRule="atLeast"/>
        </w:trPr>
        <w:tc>
          <w:tcPr>
            <w:tcW w:w="776" w:type="dxa"/>
            <w:vAlign w:val="top"/>
            <w:tcBorders>
              <w:left w:val="nil"/>
            </w:tcBorders>
          </w:tcPr>
          <w:p>
            <w:pPr>
              <w:spacing w:line="259" w:lineRule="auto"/>
              <w:rPr>
                <w:rFonts w:ascii="Arial"/>
                <w:sz w:val="21"/>
              </w:rPr>
            </w:pPr>
            <w:r/>
          </w:p>
          <w:p>
            <w:pPr>
              <w:spacing w:line="259" w:lineRule="auto"/>
              <w:rPr>
                <w:rFonts w:ascii="Arial"/>
                <w:sz w:val="21"/>
              </w:rPr>
            </w:pPr>
            <w:r/>
          </w:p>
          <w:p>
            <w:pPr>
              <w:ind w:left="34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489" w:type="dxa"/>
            <w:vAlign w:val="top"/>
          </w:tcPr>
          <w:p>
            <w:pPr>
              <w:spacing w:line="321" w:lineRule="auto"/>
              <w:rPr>
                <w:rFonts w:ascii="Arial"/>
                <w:sz w:val="21"/>
              </w:rPr>
            </w:pPr>
            <w:r/>
          </w:p>
          <w:p>
            <w:pPr>
              <w:pStyle w:val="TableText"/>
              <w:ind w:left="42" w:right="39" w:firstLine="422"/>
              <w:spacing w:before="65" w:line="288" w:lineRule="auto"/>
              <w:rPr/>
            </w:pPr>
            <w:r>
              <w:rPr>
                <w:spacing w:val="22"/>
              </w:rPr>
              <w:t>萤石</w:t>
            </w:r>
            <w:r>
              <w:rPr>
                <w:spacing w:val="-52"/>
              </w:rPr>
              <w:t xml:space="preserve"> </w:t>
            </w:r>
            <w:r>
              <w:rPr>
                <w:spacing w:val="22"/>
              </w:rPr>
              <w:t>产品质</w:t>
            </w:r>
            <w:r>
              <w:rPr>
                <w:spacing w:val="-57"/>
              </w:rPr>
              <w:t xml:space="preserve"> </w:t>
            </w:r>
            <w:r>
              <w:rPr>
                <w:spacing w:val="22"/>
              </w:rPr>
              <w:t>量应满足《萤石》</w:t>
            </w:r>
            <w:r>
              <w:rPr/>
              <w:t xml:space="preserve"> </w:t>
            </w:r>
            <w:r>
              <w:rPr>
                <w:spacing w:val="6"/>
              </w:rPr>
              <w:t>（</w:t>
            </w:r>
            <w:r>
              <w:rPr>
                <w:rFonts w:ascii="Times New Roman" w:hAnsi="Times New Roman" w:eastAsia="Times New Roman" w:cs="Times New Roman"/>
              </w:rPr>
              <w:t>YB</w:t>
            </w:r>
            <w:r>
              <w:rPr>
                <w:rFonts w:ascii="Times New Roman" w:hAnsi="Times New Roman" w:eastAsia="Times New Roman" w:cs="Times New Roman"/>
                <w:spacing w:val="6"/>
              </w:rPr>
              <w:t>/T5217-2005</w:t>
            </w:r>
            <w:r>
              <w:rPr>
                <w:spacing w:val="6"/>
              </w:rPr>
              <w:t>）标准要求</w:t>
            </w:r>
          </w:p>
        </w:tc>
        <w:tc>
          <w:tcPr>
            <w:tcW w:w="3321" w:type="dxa"/>
            <w:vAlign w:val="top"/>
          </w:tcPr>
          <w:p>
            <w:pPr>
              <w:pStyle w:val="TableText"/>
              <w:ind w:left="33" w:right="26" w:firstLine="426"/>
              <w:spacing w:before="75" w:line="269" w:lineRule="auto"/>
              <w:jc w:val="both"/>
              <w:rPr/>
            </w:pPr>
            <w:r>
              <w:rPr>
                <w:spacing w:val="-6"/>
              </w:rPr>
              <w:t>本</w:t>
            </w:r>
            <w:r>
              <w:rPr>
                <w:spacing w:val="-35"/>
              </w:rPr>
              <w:t xml:space="preserve"> </w:t>
            </w:r>
            <w:r>
              <w:rPr>
                <w:spacing w:val="-6"/>
              </w:rPr>
              <w:t>项</w:t>
            </w:r>
            <w:r>
              <w:rPr>
                <w:spacing w:val="-6"/>
              </w:rPr>
              <w:t xml:space="preserve"> </w:t>
            </w:r>
            <w:r>
              <w:rPr>
                <w:spacing w:val="-6"/>
              </w:rPr>
              <w:t>目</w:t>
            </w:r>
            <w:r>
              <w:rPr>
                <w:spacing w:val="-29"/>
              </w:rPr>
              <w:t xml:space="preserve"> </w:t>
            </w:r>
            <w:r>
              <w:rPr>
                <w:spacing w:val="-6"/>
              </w:rPr>
              <w:t>萤</w:t>
            </w:r>
            <w:r>
              <w:rPr>
                <w:spacing w:val="-37"/>
              </w:rPr>
              <w:t xml:space="preserve"> </w:t>
            </w:r>
            <w:r>
              <w:rPr>
                <w:spacing w:val="-6"/>
              </w:rPr>
              <w:t>石</w:t>
            </w:r>
            <w:r>
              <w:rPr>
                <w:spacing w:val="-33"/>
              </w:rPr>
              <w:t xml:space="preserve"> </w:t>
            </w:r>
            <w:r>
              <w:rPr>
                <w:spacing w:val="-6"/>
              </w:rPr>
              <w:t>精</w:t>
            </w:r>
            <w:r>
              <w:rPr>
                <w:spacing w:val="-36"/>
              </w:rPr>
              <w:t xml:space="preserve"> </w:t>
            </w:r>
            <w:r>
              <w:rPr>
                <w:spacing w:val="-6"/>
              </w:rPr>
              <w:t>矿</w:t>
            </w:r>
            <w:r>
              <w:rPr>
                <w:spacing w:val="10"/>
              </w:rPr>
              <w:t xml:space="preserve"> </w:t>
            </w:r>
            <w:r>
              <w:rPr>
                <w:rFonts w:ascii="Times New Roman" w:hAnsi="Times New Roman" w:eastAsia="Times New Roman" w:cs="Times New Roman"/>
                <w:spacing w:val="-6"/>
              </w:rPr>
              <w:t>CaF</w:t>
            </w:r>
            <w:r>
              <w:rPr>
                <w:rFonts w:ascii="Times New Roman" w:hAnsi="Times New Roman" w:eastAsia="Times New Roman" w:cs="Times New Roman"/>
                <w:sz w:val="13"/>
                <w:szCs w:val="13"/>
                <w:spacing w:val="-6"/>
                <w:position w:val="-1"/>
              </w:rPr>
              <w:t>2    </w:t>
            </w:r>
            <w:r>
              <w:rPr>
                <w:spacing w:val="-6"/>
              </w:rPr>
              <w:t>品</w:t>
            </w:r>
            <w:r>
              <w:rPr>
                <w:spacing w:val="-32"/>
              </w:rPr>
              <w:t xml:space="preserve"> </w:t>
            </w:r>
            <w:r>
              <w:rPr>
                <w:spacing w:val="-6"/>
              </w:rPr>
              <w:t>位</w:t>
            </w:r>
            <w:r>
              <w:rPr>
                <w:rFonts w:ascii="Times New Roman" w:hAnsi="Times New Roman" w:eastAsia="Times New Roman" w:cs="Times New Roman"/>
                <w:spacing w:val="-4"/>
              </w:rPr>
              <w:t>96.62%</w:t>
            </w:r>
            <w:r>
              <w:rPr>
                <w:rFonts w:ascii="Times New Roman" w:hAnsi="Times New Roman" w:eastAsia="Times New Roman" w:cs="Times New Roman"/>
                <w:spacing w:val="14"/>
                <w:w w:val="101"/>
              </w:rPr>
              <w:t xml:space="preserve">   </w:t>
            </w:r>
            <w:r>
              <w:rPr>
                <w:spacing w:val="-4"/>
              </w:rPr>
              <w:t>，</w:t>
            </w:r>
            <w:r>
              <w:rPr>
                <w:spacing w:val="87"/>
              </w:rPr>
              <w:t xml:space="preserve"> </w:t>
            </w:r>
            <w:r>
              <w:rPr>
                <w:spacing w:val="-4"/>
              </w:rPr>
              <w:t>满</w:t>
            </w:r>
            <w:r>
              <w:rPr>
                <w:spacing w:val="78"/>
              </w:rPr>
              <w:t xml:space="preserve"> </w:t>
            </w:r>
            <w:r>
              <w:rPr>
                <w:spacing w:val="-4"/>
              </w:rPr>
              <w:t>足</w:t>
            </w:r>
            <w:r>
              <w:rPr>
                <w:spacing w:val="68"/>
              </w:rPr>
              <w:t xml:space="preserve"> </w:t>
            </w:r>
            <w:r>
              <w:rPr>
                <w:spacing w:val="-4"/>
              </w:rPr>
              <w:t>《</w:t>
            </w:r>
            <w:r>
              <w:rPr>
                <w:spacing w:val="-4"/>
              </w:rPr>
              <w:t xml:space="preserve">  </w:t>
            </w:r>
            <w:r>
              <w:rPr>
                <w:spacing w:val="-4"/>
              </w:rPr>
              <w:t>萤</w:t>
            </w:r>
            <w:r>
              <w:rPr>
                <w:spacing w:val="79"/>
              </w:rPr>
              <w:t xml:space="preserve"> </w:t>
            </w:r>
            <w:r>
              <w:rPr>
                <w:spacing w:val="-4"/>
              </w:rPr>
              <w:t>石</w:t>
            </w:r>
            <w:r>
              <w:rPr>
                <w:spacing w:val="-4"/>
              </w:rPr>
              <w:t xml:space="preserve">  </w:t>
            </w:r>
            <w:r>
              <w:rPr>
                <w:spacing w:val="-4"/>
              </w:rPr>
              <w:t>》</w:t>
            </w:r>
            <w:r>
              <w:rPr/>
              <w:t xml:space="preserve"> </w:t>
            </w:r>
            <w:r>
              <w:rPr>
                <w:spacing w:val="4"/>
              </w:rPr>
              <w:t>（</w:t>
            </w:r>
            <w:r>
              <w:rPr>
                <w:rFonts w:ascii="Times New Roman" w:hAnsi="Times New Roman" w:eastAsia="Times New Roman" w:cs="Times New Roman"/>
              </w:rPr>
              <w:t>YB</w:t>
            </w:r>
            <w:r>
              <w:rPr>
                <w:rFonts w:ascii="Times New Roman" w:hAnsi="Times New Roman" w:eastAsia="Times New Roman" w:cs="Times New Roman"/>
                <w:spacing w:val="4"/>
              </w:rPr>
              <w:t>/T5217-2019</w:t>
            </w:r>
            <w:r>
              <w:rPr>
                <w:spacing w:val="4"/>
              </w:rPr>
              <w:t>）中牌号</w:t>
            </w:r>
            <w:r>
              <w:rPr>
                <w:spacing w:val="-32"/>
              </w:rPr>
              <w:t xml:space="preserve"> </w:t>
            </w:r>
            <w:r>
              <w:rPr>
                <w:rFonts w:ascii="Times New Roman" w:hAnsi="Times New Roman" w:eastAsia="Times New Roman" w:cs="Times New Roman"/>
              </w:rPr>
              <w:t>FC</w:t>
            </w:r>
            <w:r>
              <w:rPr>
                <w:rFonts w:ascii="Times New Roman" w:hAnsi="Times New Roman" w:eastAsia="Times New Roman" w:cs="Times New Roman"/>
                <w:spacing w:val="4"/>
              </w:rPr>
              <w:t>-97</w:t>
            </w:r>
            <w:r>
              <w:rPr>
                <w:rFonts w:ascii="Times New Roman" w:hAnsi="Times New Roman" w:eastAsia="Times New Roman" w:cs="Times New Roman"/>
                <w:spacing w:val="23"/>
              </w:rPr>
              <w:t xml:space="preserve"> </w:t>
            </w:r>
            <w:r>
              <w:rPr>
                <w:spacing w:val="4"/>
              </w:rPr>
              <w:t>质</w:t>
            </w:r>
            <w:r>
              <w:rPr>
                <w:spacing w:val="6"/>
              </w:rPr>
              <w:t>量要求</w:t>
            </w:r>
          </w:p>
        </w:tc>
        <w:tc>
          <w:tcPr>
            <w:tcW w:w="776" w:type="dxa"/>
            <w:vAlign w:val="top"/>
            <w:tcBorders>
              <w:right w:val="nil"/>
            </w:tcBorders>
          </w:tcPr>
          <w:p>
            <w:pPr>
              <w:spacing w:line="475" w:lineRule="auto"/>
              <w:rPr>
                <w:rFonts w:ascii="Arial"/>
                <w:sz w:val="21"/>
              </w:rPr>
            </w:pPr>
            <w:r/>
          </w:p>
          <w:p>
            <w:pPr>
              <w:pStyle w:val="TableText"/>
              <w:ind w:left="193"/>
              <w:spacing w:before="65" w:line="229" w:lineRule="auto"/>
              <w:rPr/>
            </w:pPr>
            <w:r>
              <w:rPr>
                <w:spacing w:val="-1"/>
              </w:rPr>
              <w:t>符合</w:t>
            </w:r>
          </w:p>
        </w:tc>
      </w:tr>
      <w:tr>
        <w:trPr>
          <w:trHeight w:val="423" w:hRule="atLeast"/>
        </w:trPr>
        <w:tc>
          <w:tcPr>
            <w:tcW w:w="776" w:type="dxa"/>
            <w:vAlign w:val="top"/>
            <w:tcBorders>
              <w:left w:val="nil"/>
              <w:bottom w:val="single" w:color="000000" w:sz="10" w:space="0"/>
            </w:tcBorders>
          </w:tcPr>
          <w:p>
            <w:pPr>
              <w:pStyle w:val="TableText"/>
              <w:ind w:left="299"/>
              <w:spacing w:before="138" w:line="200" w:lineRule="auto"/>
              <w:rPr/>
            </w:pPr>
            <w:r>
              <w:rPr/>
              <w:t>五</w:t>
            </w:r>
          </w:p>
        </w:tc>
        <w:tc>
          <w:tcPr>
            <w:tcW w:w="7586" w:type="dxa"/>
            <w:vAlign w:val="top"/>
            <w:gridSpan w:val="3"/>
            <w:tcBorders>
              <w:right w:val="nil"/>
              <w:bottom w:val="single" w:color="000000" w:sz="10" w:space="0"/>
            </w:tcBorders>
          </w:tcPr>
          <w:p>
            <w:pPr>
              <w:pStyle w:val="TableText"/>
              <w:ind w:left="3384"/>
              <w:spacing w:before="118" w:line="229" w:lineRule="auto"/>
              <w:rPr/>
            </w:pPr>
            <w:r>
              <w:rPr>
                <w:spacing w:val="5"/>
              </w:rPr>
              <w:t>环境保护</w:t>
            </w:r>
          </w:p>
        </w:tc>
      </w:tr>
    </w:tbl>
    <w:p>
      <w:pPr>
        <w:pStyle w:val="BodyText"/>
        <w:spacing w:line="156" w:lineRule="exact"/>
        <w:rPr>
          <w:sz w:val="13"/>
        </w:rPr>
      </w:pPr>
      <w:r/>
    </w:p>
    <w:p>
      <w:pPr>
        <w:spacing w:line="156" w:lineRule="exact"/>
        <w:sectPr>
          <w:headerReference w:type="default" r:id="rId34"/>
          <w:footerReference w:type="default" r:id="rId35"/>
          <w:pgSz w:w="11906" w:h="16839"/>
          <w:pgMar w:top="1250" w:right="1771" w:bottom="1349" w:left="1771" w:header="831" w:footer="1162" w:gutter="0"/>
        </w:sectPr>
        <w:rPr>
          <w:sz w:val="13"/>
          <w:szCs w:val="13"/>
        </w:rPr>
      </w:pPr>
    </w:p>
    <w:p>
      <w:pPr>
        <w:spacing w:line="189" w:lineRule="exact"/>
        <w:rPr/>
      </w:pPr>
      <w:r/>
    </w:p>
    <w:tbl>
      <w:tblPr>
        <w:tblStyle w:val="TableNormal"/>
        <w:tblW w:w="8362" w:type="dxa"/>
        <w:tblInd w:w="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6"/>
        <w:gridCol w:w="3489"/>
        <w:gridCol w:w="3321"/>
        <w:gridCol w:w="776"/>
      </w:tblGrid>
      <w:tr>
        <w:trPr>
          <w:trHeight w:val="4672" w:hRule="atLeast"/>
        </w:trPr>
        <w:tc>
          <w:tcPr>
            <w:tcW w:w="776" w:type="dxa"/>
            <w:vAlign w:val="top"/>
            <w:tcBorders>
              <w:top w:val="single" w:color="000000" w:sz="10" w:space="0"/>
              <w:left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4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489" w:type="dxa"/>
            <w:vAlign w:val="top"/>
            <w:tcBorders>
              <w:top w:val="single" w:color="000000" w:sz="10"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37" w:firstLine="414"/>
              <w:spacing w:before="65" w:line="288" w:lineRule="auto"/>
              <w:jc w:val="both"/>
              <w:rPr/>
            </w:pPr>
            <w:r>
              <w:rPr>
                <w:spacing w:val="7"/>
              </w:rPr>
              <w:t>采选</w:t>
            </w:r>
            <w:r>
              <w:rPr>
                <w:spacing w:val="-41"/>
              </w:rPr>
              <w:t xml:space="preserve"> </w:t>
            </w:r>
            <w:r>
              <w:rPr>
                <w:spacing w:val="7"/>
              </w:rPr>
              <w:t>生产过</w:t>
            </w:r>
            <w:r>
              <w:rPr>
                <w:spacing w:val="-59"/>
              </w:rPr>
              <w:t xml:space="preserve"> </w:t>
            </w:r>
            <w:r>
              <w:rPr>
                <w:spacing w:val="7"/>
              </w:rPr>
              <w:t>程</w:t>
            </w:r>
            <w:r>
              <w:rPr>
                <w:spacing w:val="-37"/>
              </w:rPr>
              <w:t xml:space="preserve"> </w:t>
            </w:r>
            <w:r>
              <w:rPr>
                <w:spacing w:val="7"/>
              </w:rPr>
              <w:t>中应</w:t>
            </w:r>
            <w:r>
              <w:rPr>
                <w:spacing w:val="-57"/>
              </w:rPr>
              <w:t xml:space="preserve"> </w:t>
            </w:r>
            <w:r>
              <w:rPr>
                <w:spacing w:val="7"/>
              </w:rPr>
              <w:t>实施清</w:t>
            </w:r>
            <w:r>
              <w:rPr>
                <w:spacing w:val="-58"/>
              </w:rPr>
              <w:t xml:space="preserve"> </w:t>
            </w:r>
            <w:r>
              <w:rPr>
                <w:spacing w:val="7"/>
              </w:rPr>
              <w:t>洁生</w:t>
            </w:r>
            <w:r>
              <w:rPr>
                <w:spacing w:val="9"/>
              </w:rPr>
              <w:t>产，保护环境。污染物排放要符合国</w:t>
            </w:r>
            <w:r>
              <w:rPr>
                <w:spacing w:val="-5"/>
              </w:rPr>
              <w:t>家</w:t>
            </w:r>
            <w:r>
              <w:rPr>
                <w:spacing w:val="-48"/>
              </w:rPr>
              <w:t xml:space="preserve"> </w:t>
            </w:r>
            <w:r>
              <w:rPr>
                <w:spacing w:val="-5"/>
              </w:rPr>
              <w:t>《</w:t>
            </w:r>
            <w:r>
              <w:rPr>
                <w:spacing w:val="-24"/>
              </w:rPr>
              <w:t xml:space="preserve"> </w:t>
            </w:r>
            <w:r>
              <w:rPr>
                <w:spacing w:val="-5"/>
              </w:rPr>
              <w:t>大</w:t>
            </w:r>
            <w:r>
              <w:rPr>
                <w:spacing w:val="-41"/>
              </w:rPr>
              <w:t xml:space="preserve"> </w:t>
            </w:r>
            <w:r>
              <w:rPr>
                <w:spacing w:val="-5"/>
              </w:rPr>
              <w:t>气</w:t>
            </w:r>
            <w:r>
              <w:rPr>
                <w:spacing w:val="-45"/>
              </w:rPr>
              <w:t xml:space="preserve"> </w:t>
            </w:r>
            <w:r>
              <w:rPr>
                <w:spacing w:val="-5"/>
              </w:rPr>
              <w:t>污</w:t>
            </w:r>
            <w:r>
              <w:rPr>
                <w:spacing w:val="-44"/>
              </w:rPr>
              <w:t xml:space="preserve"> </w:t>
            </w:r>
            <w:r>
              <w:rPr>
                <w:spacing w:val="-5"/>
              </w:rPr>
              <w:t>染</w:t>
            </w:r>
            <w:r>
              <w:rPr>
                <w:spacing w:val="-48"/>
              </w:rPr>
              <w:t xml:space="preserve"> </w:t>
            </w:r>
            <w:r>
              <w:rPr>
                <w:spacing w:val="-5"/>
              </w:rPr>
              <w:t>物</w:t>
            </w:r>
            <w:r>
              <w:rPr>
                <w:spacing w:val="-46"/>
              </w:rPr>
              <w:t xml:space="preserve"> </w:t>
            </w:r>
            <w:r>
              <w:rPr>
                <w:spacing w:val="-5"/>
              </w:rPr>
              <w:t>综合</w:t>
            </w:r>
            <w:r>
              <w:rPr>
                <w:spacing w:val="-49"/>
              </w:rPr>
              <w:t xml:space="preserve"> </w:t>
            </w:r>
            <w:r>
              <w:rPr>
                <w:spacing w:val="-5"/>
              </w:rPr>
              <w:t>排</w:t>
            </w:r>
            <w:r>
              <w:rPr>
                <w:spacing w:val="-48"/>
              </w:rPr>
              <w:t xml:space="preserve"> </w:t>
            </w:r>
            <w:r>
              <w:rPr>
                <w:spacing w:val="-5"/>
              </w:rPr>
              <w:t>放</w:t>
            </w:r>
            <w:r>
              <w:rPr>
                <w:spacing w:val="-50"/>
              </w:rPr>
              <w:t xml:space="preserve"> </w:t>
            </w:r>
            <w:r>
              <w:rPr>
                <w:spacing w:val="-5"/>
              </w:rPr>
              <w:t>标</w:t>
            </w:r>
            <w:r>
              <w:rPr>
                <w:spacing w:val="-44"/>
              </w:rPr>
              <w:t xml:space="preserve"> </w:t>
            </w:r>
            <w:r>
              <w:rPr>
                <w:spacing w:val="-5"/>
              </w:rPr>
              <w:t>准》</w:t>
            </w:r>
            <w:r>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16297-1996</w:t>
            </w:r>
            <w:r>
              <w:rPr>
                <w:spacing w:val="5"/>
              </w:rPr>
              <w:t>）、《污水综合排放</w:t>
            </w:r>
            <w:r>
              <w:rPr/>
              <w:t>标准》（</w:t>
            </w:r>
            <w:r>
              <w:rPr>
                <w:rFonts w:ascii="Times New Roman" w:hAnsi="Times New Roman" w:eastAsia="Times New Roman" w:cs="Times New Roman"/>
              </w:rPr>
              <w:t>GB8978-1996</w:t>
            </w:r>
            <w:r>
              <w:rPr/>
              <w:t>）、《一般工业</w:t>
            </w:r>
            <w:r>
              <w:rPr>
                <w:spacing w:val="2"/>
              </w:rPr>
              <w:t>固体废物贮存、处置场污染控制标准》</w:t>
            </w:r>
            <w:r>
              <w:rPr>
                <w:spacing w:val="11"/>
              </w:rP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39"/>
              </w:rPr>
              <w:t xml:space="preserve"> </w:t>
            </w:r>
            <w:r>
              <w:rPr>
                <w:rFonts w:ascii="Times New Roman" w:hAnsi="Times New Roman" w:eastAsia="Times New Roman" w:cs="Times New Roman"/>
                <w:spacing w:val="1"/>
              </w:rPr>
              <w:t>18599-2001</w:t>
            </w:r>
            <w:r>
              <w:rPr>
                <w:spacing w:val="1"/>
              </w:rPr>
              <w:t>）的有关要求和有关</w:t>
            </w:r>
            <w:r>
              <w:rPr>
                <w:spacing w:val="4"/>
              </w:rPr>
              <w:t>地方标准的规定</w:t>
            </w:r>
          </w:p>
        </w:tc>
        <w:tc>
          <w:tcPr>
            <w:tcW w:w="3321" w:type="dxa"/>
            <w:vAlign w:val="top"/>
            <w:tcBorders>
              <w:top w:val="single" w:color="000000" w:sz="10" w:space="0"/>
            </w:tcBorders>
          </w:tcPr>
          <w:p>
            <w:pPr>
              <w:pStyle w:val="TableText"/>
              <w:ind w:left="36" w:right="26" w:firstLine="423"/>
              <w:spacing w:before="63" w:line="283" w:lineRule="auto"/>
              <w:jc w:val="both"/>
              <w:rPr/>
            </w:pPr>
            <w:r>
              <w:rPr>
                <w:spacing w:val="1"/>
              </w:rPr>
              <w:t>本项目生产过程中原料库、破碎</w:t>
            </w:r>
            <w:r>
              <w:rPr>
                <w:spacing w:val="3"/>
              </w:rPr>
              <w:t>厂房、粉矿仓无组织粉尘和破碎筛分</w:t>
            </w:r>
            <w:r>
              <w:rPr>
                <w:spacing w:val="3"/>
              </w:rPr>
              <w:t>有组织粉尘、粉矿仓有组织粉尘排放</w:t>
            </w:r>
            <w:r>
              <w:rPr>
                <w:spacing w:val="15"/>
              </w:rPr>
              <w:t>满足《大气污染物综合排放标准》</w:t>
            </w:r>
            <w:r>
              <w:rPr>
                <w:spacing w:val="13"/>
              </w:rPr>
              <w:t xml:space="preserve"> </w:t>
            </w:r>
            <w:r>
              <w:rPr>
                <w:spacing w:val="3"/>
              </w:rPr>
              <w:t>（</w:t>
            </w:r>
            <w:r>
              <w:rPr>
                <w:rFonts w:ascii="Times New Roman" w:hAnsi="Times New Roman" w:eastAsia="Times New Roman" w:cs="Times New Roman"/>
              </w:rPr>
              <w:t>GB</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16297-1996</w:t>
            </w:r>
            <w:r>
              <w:rPr>
                <w:spacing w:val="3"/>
              </w:rPr>
              <w:t>）中表</w:t>
            </w:r>
            <w:r>
              <w:rPr>
                <w:spacing w:val="-41"/>
              </w:rPr>
              <w:t xml:space="preserve"> </w:t>
            </w:r>
            <w:r>
              <w:rPr>
                <w:rFonts w:ascii="Times New Roman" w:hAnsi="Times New Roman" w:eastAsia="Times New Roman" w:cs="Times New Roman"/>
                <w:spacing w:val="3"/>
              </w:rPr>
              <w:t>2  </w:t>
            </w:r>
            <w:r>
              <w:rPr>
                <w:spacing w:val="3"/>
              </w:rPr>
              <w:t>新污染源</w:t>
            </w:r>
            <w:r>
              <w:rPr>
                <w:spacing w:val="3"/>
              </w:rPr>
              <w:t>大气污染物排放限值二级要求；生产</w:t>
            </w:r>
            <w:r>
              <w:rPr>
                <w:spacing w:val="16"/>
              </w:rPr>
              <w:t>废水经混凝沉淀后全部回用，不外</w:t>
            </w:r>
            <w:r>
              <w:rPr>
                <w:spacing w:val="3"/>
              </w:rPr>
              <w:t>排，生活污水和经隔油池处理后的食</w:t>
            </w:r>
            <w:r>
              <w:rPr>
                <w:spacing w:val="3"/>
              </w:rPr>
              <w:t>堂废水暂存于防渗储池内满足《污水</w:t>
            </w:r>
            <w:r>
              <w:rPr>
                <w:spacing w:val="5"/>
              </w:rPr>
              <w:t>综合排放标准》（</w:t>
            </w:r>
            <w:r>
              <w:rPr>
                <w:rFonts w:ascii="Times New Roman" w:hAnsi="Times New Roman" w:eastAsia="Times New Roman" w:cs="Times New Roman"/>
              </w:rPr>
              <w:t>GB</w:t>
            </w:r>
            <w:r>
              <w:rPr>
                <w:rFonts w:ascii="Times New Roman" w:hAnsi="Times New Roman" w:eastAsia="Times New Roman" w:cs="Times New Roman"/>
                <w:spacing w:val="5"/>
              </w:rPr>
              <w:t>8978-1996</w:t>
            </w:r>
            <w:r>
              <w:rPr>
                <w:spacing w:val="5"/>
              </w:rPr>
              <w:t>）中</w:t>
            </w:r>
            <w:r>
              <w:rPr>
                <w:spacing w:val="3"/>
              </w:rPr>
              <w:t>三级标准，由环卫部门定期抽运至内</w:t>
            </w:r>
            <w:r>
              <w:rPr>
                <w:spacing w:val="16"/>
              </w:rPr>
              <w:t>蒙古锡林郭勒盟苏尼特右旗赛汉塔</w:t>
            </w:r>
            <w:r>
              <w:rPr>
                <w:spacing w:val="3"/>
              </w:rPr>
              <w:t>拉镇污水处理厂处理；本次评价建议</w:t>
            </w:r>
            <w:r>
              <w:rPr>
                <w:spacing w:val="16"/>
              </w:rPr>
              <w:t>企业生产运营期开展清洁生产审核</w:t>
            </w:r>
            <w:r>
              <w:rPr>
                <w:spacing w:val="2"/>
              </w:rPr>
              <w:t>工作。</w:t>
            </w:r>
          </w:p>
        </w:tc>
        <w:tc>
          <w:tcPr>
            <w:tcW w:w="776" w:type="dxa"/>
            <w:vAlign w:val="top"/>
            <w:tcBorders>
              <w:top w:val="single" w:color="000000" w:sz="10" w:space="0"/>
              <w:right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93"/>
              <w:spacing w:before="65" w:line="229" w:lineRule="auto"/>
              <w:rPr/>
            </w:pPr>
            <w:r>
              <w:rPr>
                <w:spacing w:val="-1"/>
              </w:rPr>
              <w:t>符合</w:t>
            </w:r>
          </w:p>
        </w:tc>
      </w:tr>
      <w:tr>
        <w:trPr>
          <w:trHeight w:val="1893" w:hRule="atLeast"/>
        </w:trPr>
        <w:tc>
          <w:tcPr>
            <w:tcW w:w="776" w:type="dxa"/>
            <w:vAlign w:val="top"/>
            <w:tcBorders>
              <w:bottom w:val="single" w:color="000000" w:sz="10" w:space="0"/>
              <w:left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30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489" w:type="dxa"/>
            <w:vAlign w:val="top"/>
            <w:tcBorders>
              <w:bottom w:val="single" w:color="000000" w:sz="10" w:space="0"/>
            </w:tcBorders>
          </w:tcPr>
          <w:p>
            <w:pPr>
              <w:pStyle w:val="TableText"/>
              <w:ind w:left="37" w:right="27" w:firstLine="421"/>
              <w:spacing w:before="69" w:line="279" w:lineRule="auto"/>
              <w:jc w:val="both"/>
              <w:rPr/>
            </w:pPr>
            <w:r>
              <w:rPr>
                <w:spacing w:val="14"/>
              </w:rPr>
              <w:t>企业必须按照环保、水土保持和</w:t>
            </w:r>
            <w:r>
              <w:rPr>
                <w:spacing w:val="13"/>
              </w:rPr>
              <w:t>耕地保护等要求，严格执行相关法律</w:t>
            </w:r>
            <w:r>
              <w:rPr>
                <w:spacing w:val="13"/>
              </w:rPr>
              <w:t>法规和标准规范，防止土壤污染，保</w:t>
            </w:r>
            <w:r>
              <w:rPr>
                <w:spacing w:val="13"/>
              </w:rPr>
              <w:t>护生态环境，严格执行土地复垦和生</w:t>
            </w:r>
            <w:r>
              <w:rPr>
                <w:spacing w:val="13"/>
              </w:rPr>
              <w:t>态恢复规定，履行土地复垦与生态恢</w:t>
            </w:r>
            <w:r>
              <w:rPr>
                <w:spacing w:val="3"/>
              </w:rPr>
              <w:t>复义务。</w:t>
            </w:r>
          </w:p>
        </w:tc>
        <w:tc>
          <w:tcPr>
            <w:tcW w:w="3321" w:type="dxa"/>
            <w:vAlign w:val="top"/>
            <w:tcBorders>
              <w:bottom w:val="single" w:color="000000" w:sz="10" w:space="0"/>
            </w:tcBorders>
          </w:tcPr>
          <w:p>
            <w:pPr>
              <w:spacing w:line="469" w:lineRule="auto"/>
              <w:rPr>
                <w:rFonts w:ascii="Arial"/>
                <w:sz w:val="21"/>
              </w:rPr>
            </w:pPr>
            <w:r/>
          </w:p>
          <w:p>
            <w:pPr>
              <w:pStyle w:val="TableText"/>
              <w:ind w:left="45" w:right="26" w:firstLine="414"/>
              <w:spacing w:before="65" w:line="287" w:lineRule="auto"/>
              <w:jc w:val="both"/>
              <w:rPr/>
            </w:pPr>
            <w:r>
              <w:rPr>
                <w:spacing w:val="1"/>
              </w:rPr>
              <w:t>本项目为萤石矿采选项目，采取</w:t>
            </w:r>
            <w:r>
              <w:rPr>
                <w:spacing w:val="2"/>
              </w:rPr>
              <w:t>防渗等防止对土壤产生影响。厂区加</w:t>
            </w:r>
            <w:r>
              <w:rPr>
                <w:spacing w:val="4"/>
              </w:rPr>
              <w:t>强绿化工作。</w:t>
            </w:r>
          </w:p>
        </w:tc>
        <w:tc>
          <w:tcPr>
            <w:tcW w:w="776" w:type="dxa"/>
            <w:vAlign w:val="top"/>
            <w:tcBorders>
              <w:bottom w:val="single" w:color="000000" w:sz="10" w:space="0"/>
              <w:right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93"/>
              <w:spacing w:before="65" w:line="229" w:lineRule="auto"/>
              <w:rPr/>
            </w:pPr>
            <w:r>
              <w:rPr>
                <w:spacing w:val="-1"/>
              </w:rPr>
              <w:t>符合</w:t>
            </w:r>
          </w:p>
        </w:tc>
      </w:tr>
    </w:tbl>
    <w:p>
      <w:pPr>
        <w:pStyle w:val="BodyText"/>
        <w:spacing w:line="250" w:lineRule="auto"/>
        <w:rPr/>
      </w:pPr>
      <w:r/>
    </w:p>
    <w:p>
      <w:pPr>
        <w:pStyle w:val="BodyText"/>
        <w:spacing w:line="251" w:lineRule="auto"/>
        <w:rPr/>
      </w:pPr>
      <w:r/>
    </w:p>
    <w:p>
      <w:pPr>
        <w:ind w:left="174" w:right="110" w:firstLine="430"/>
        <w:spacing w:before="78" w:line="360" w:lineRule="auto"/>
        <w:rPr>
          <w:rFonts w:ascii="FangSong" w:hAnsi="FangSong" w:eastAsia="FangSong" w:cs="FangSong"/>
          <w:sz w:val="24"/>
          <w:szCs w:val="24"/>
        </w:rPr>
      </w:pPr>
      <w:r>
        <w:rPr>
          <w:rFonts w:ascii="FangSong" w:hAnsi="FangSong" w:eastAsia="FangSong" w:cs="FangSong"/>
          <w:sz w:val="24"/>
          <w:szCs w:val="24"/>
          <w:spacing w:val="1"/>
        </w:rPr>
        <w:t>根据上表分析结果，本本项目符合《萤石行业准</w:t>
      </w:r>
      <w:r>
        <w:rPr>
          <w:rFonts w:ascii="FangSong" w:hAnsi="FangSong" w:eastAsia="FangSong" w:cs="FangSong"/>
          <w:sz w:val="24"/>
          <w:szCs w:val="24"/>
        </w:rPr>
        <w:t>入标准》（</w:t>
      </w:r>
      <w:r>
        <w:rPr>
          <w:rFonts w:ascii="Times New Roman" w:hAnsi="Times New Roman" w:eastAsia="Times New Roman" w:cs="Times New Roman"/>
          <w:sz w:val="24"/>
          <w:szCs w:val="24"/>
        </w:rPr>
        <w:t>2010</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32"/>
          <w:w w:val="101"/>
        </w:rPr>
        <w:t xml:space="preserve"> </w:t>
      </w:r>
      <w:r>
        <w:rPr>
          <w:rFonts w:ascii="FangSong" w:hAnsi="FangSong" w:eastAsia="FangSong" w:cs="FangSong"/>
          <w:sz w:val="24"/>
          <w:szCs w:val="24"/>
        </w:rPr>
        <w:t>月</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1</w:t>
      </w:r>
      <w:r>
        <w:rPr>
          <w:rFonts w:ascii="FangSong" w:hAnsi="FangSong" w:eastAsia="FangSong" w:cs="FangSong"/>
          <w:sz w:val="24"/>
          <w:szCs w:val="24"/>
          <w:spacing w:val="-10"/>
        </w:rPr>
        <w:t>日实施）要求。</w:t>
      </w:r>
    </w:p>
    <w:p>
      <w:pPr>
        <w:ind w:left="123"/>
        <w:spacing w:line="220" w:lineRule="auto"/>
        <w:outlineLvl w:val="2"/>
        <w:rPr>
          <w:rFonts w:ascii="FangSong" w:hAnsi="FangSong" w:eastAsia="FangSong" w:cs="FangSong"/>
          <w:sz w:val="24"/>
          <w:szCs w:val="24"/>
        </w:rPr>
      </w:pPr>
      <w:bookmarkStart w:name="bookmark18" w:id="24"/>
      <w:bookmarkEnd w:id="24"/>
      <w:bookmarkStart w:name="bookmark17" w:id="25"/>
      <w:bookmarkEnd w:id="25"/>
      <w:r>
        <w:rPr>
          <w:rFonts w:ascii="Times New Roman" w:hAnsi="Times New Roman" w:eastAsia="Times New Roman" w:cs="Times New Roman"/>
          <w:sz w:val="24"/>
          <w:szCs w:val="24"/>
          <w:b/>
          <w:bCs/>
          <w:spacing w:val="-2"/>
        </w:rPr>
        <w:t>1.4.4  </w:t>
      </w:r>
      <w:r>
        <w:rPr>
          <w:rFonts w:ascii="FangSong" w:hAnsi="FangSong" w:eastAsia="FangSong" w:cs="FangSong"/>
          <w:sz w:val="24"/>
          <w:szCs w:val="24"/>
          <w:b/>
          <w:bCs/>
          <w:spacing w:val="-2"/>
        </w:rPr>
        <w:t>法律法规及政策符合性分析</w:t>
      </w:r>
    </w:p>
    <w:p>
      <w:pPr>
        <w:ind w:left="123"/>
        <w:spacing w:before="182"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1.4.4.1  </w:t>
      </w:r>
      <w:r>
        <w:rPr>
          <w:rFonts w:ascii="FangSong" w:hAnsi="FangSong" w:eastAsia="FangSong" w:cs="FangSong"/>
          <w:sz w:val="24"/>
          <w:szCs w:val="24"/>
          <w:b/>
          <w:bCs/>
          <w:spacing w:val="-2"/>
        </w:rPr>
        <w:t>与《矿山生态环境保护与污染防治技术政策》相符性分析</w:t>
      </w:r>
    </w:p>
    <w:p>
      <w:pPr>
        <w:ind w:left="125" w:right="107" w:firstLine="477"/>
        <w:spacing w:before="181" w:line="360" w:lineRule="auto"/>
        <w:jc w:val="both"/>
        <w:rPr>
          <w:rFonts w:ascii="FangSong" w:hAnsi="FangSong" w:eastAsia="FangSong" w:cs="FangSong"/>
          <w:sz w:val="24"/>
          <w:szCs w:val="24"/>
        </w:rPr>
      </w:pPr>
      <w:r>
        <w:rPr>
          <w:rFonts w:ascii="FangSong" w:hAnsi="FangSong" w:eastAsia="FangSong" w:cs="FangSong"/>
          <w:sz w:val="24"/>
          <w:szCs w:val="24"/>
          <w:spacing w:val="-2"/>
        </w:rPr>
        <w:t>《矿山生态环境保护与污染防治技术政策》（环发〔</w:t>
      </w:r>
      <w:r>
        <w:rPr>
          <w:rFonts w:ascii="Times New Roman" w:hAnsi="Times New Roman" w:eastAsia="Times New Roman" w:cs="Times New Roman"/>
          <w:sz w:val="24"/>
          <w:szCs w:val="24"/>
          <w:spacing w:val="-2"/>
        </w:rPr>
        <w:t>2005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109</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号）中对矿</w:t>
      </w:r>
      <w:r>
        <w:rPr>
          <w:rFonts w:ascii="FangSong" w:hAnsi="FangSong" w:eastAsia="FangSong" w:cs="FangSong"/>
          <w:sz w:val="24"/>
          <w:szCs w:val="24"/>
          <w:spacing w:val="-3"/>
        </w:rPr>
        <w:t>产资源开发规划与设计、矿山基建、采矿和废弃地复垦等阶段</w:t>
      </w:r>
      <w:r>
        <w:rPr>
          <w:rFonts w:ascii="FangSong" w:hAnsi="FangSong" w:eastAsia="FangSong" w:cs="FangSong"/>
          <w:sz w:val="24"/>
          <w:szCs w:val="24"/>
          <w:spacing w:val="-4"/>
        </w:rPr>
        <w:t>的生态环境保护与</w:t>
      </w:r>
      <w:r>
        <w:rPr>
          <w:rFonts w:ascii="FangSong" w:hAnsi="FangSong" w:eastAsia="FangSong" w:cs="FangSong"/>
          <w:sz w:val="24"/>
          <w:szCs w:val="24"/>
          <w:spacing w:val="-2"/>
        </w:rPr>
        <w:t>污染防治提出要求本项目与相关要求相符性分析见表</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2"/>
        </w:rPr>
        <w:t>1.4-2</w:t>
      </w:r>
      <w:r>
        <w:rPr>
          <w:rFonts w:ascii="FangSong" w:hAnsi="FangSong" w:eastAsia="FangSong" w:cs="FangSong"/>
          <w:sz w:val="24"/>
          <w:szCs w:val="24"/>
          <w:spacing w:val="-2"/>
        </w:rPr>
        <w:t>。</w:t>
      </w:r>
    </w:p>
    <w:p>
      <w:pPr>
        <w:ind w:left="1421"/>
        <w:spacing w:line="224" w:lineRule="auto"/>
        <w:rPr>
          <w:rFonts w:ascii="FangSong" w:hAnsi="FangSong" w:eastAsia="FangSong" w:cs="FangSong"/>
          <w:sz w:val="20"/>
          <w:szCs w:val="20"/>
        </w:rPr>
      </w:pPr>
      <w:r>
        <w:rPr>
          <w:rFonts w:ascii="FangSong" w:hAnsi="FangSong" w:eastAsia="FangSong" w:cs="FangSong"/>
          <w:sz w:val="24"/>
          <w:szCs w:val="24"/>
          <w:b/>
          <w:bCs/>
          <w:spacing w:val="5"/>
        </w:rPr>
        <w:t>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b/>
          <w:bCs/>
          <w:spacing w:val="5"/>
        </w:rPr>
        <w:t>1.4-2  </w:t>
      </w:r>
      <w:r>
        <w:rPr>
          <w:rFonts w:ascii="FangSong" w:hAnsi="FangSong" w:eastAsia="FangSong" w:cs="FangSong"/>
          <w:sz w:val="20"/>
          <w:szCs w:val="20"/>
          <w:b/>
          <w:bCs/>
          <w:spacing w:val="5"/>
        </w:rPr>
        <w:t>与《矿山生态环境保护与污染防治技术政策》相符性分析</w:t>
      </w:r>
    </w:p>
    <w:p>
      <w:pPr>
        <w:spacing w:line="63"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2"/>
        <w:gridCol w:w="3437"/>
        <w:gridCol w:w="3534"/>
        <w:gridCol w:w="719"/>
      </w:tblGrid>
      <w:tr>
        <w:trPr>
          <w:trHeight w:val="628" w:hRule="atLeast"/>
        </w:trPr>
        <w:tc>
          <w:tcPr>
            <w:tcW w:w="4269" w:type="dxa"/>
            <w:vAlign w:val="top"/>
            <w:gridSpan w:val="2"/>
            <w:tcBorders>
              <w:top w:val="single" w:color="000000" w:sz="10" w:space="0"/>
              <w:left w:val="nil"/>
            </w:tcBorders>
          </w:tcPr>
          <w:p>
            <w:pPr>
              <w:pStyle w:val="TableText"/>
              <w:ind w:left="152"/>
              <w:spacing w:before="211" w:line="229" w:lineRule="auto"/>
              <w:rPr/>
            </w:pPr>
            <w:r>
              <w:rPr>
                <w:spacing w:val="8"/>
              </w:rPr>
              <w:t>《矿山生态环境保护与污染防治技术政策》</w:t>
            </w:r>
          </w:p>
        </w:tc>
        <w:tc>
          <w:tcPr>
            <w:tcW w:w="3534" w:type="dxa"/>
            <w:vAlign w:val="top"/>
            <w:tcBorders>
              <w:top w:val="single" w:color="000000" w:sz="10" w:space="0"/>
            </w:tcBorders>
          </w:tcPr>
          <w:p>
            <w:pPr>
              <w:pStyle w:val="TableText"/>
              <w:ind w:left="1044"/>
              <w:spacing w:before="210" w:line="229" w:lineRule="auto"/>
              <w:rPr/>
            </w:pPr>
            <w:r>
              <w:rPr>
                <w:spacing w:val="7"/>
              </w:rPr>
              <w:t>项目相符性分析</w:t>
            </w:r>
          </w:p>
        </w:tc>
        <w:tc>
          <w:tcPr>
            <w:tcW w:w="719" w:type="dxa"/>
            <w:vAlign w:val="top"/>
            <w:tcBorders>
              <w:top w:val="single" w:color="000000" w:sz="10" w:space="0"/>
              <w:right w:val="nil"/>
            </w:tcBorders>
          </w:tcPr>
          <w:p>
            <w:pPr>
              <w:pStyle w:val="TableText"/>
              <w:ind w:left="268" w:right="153" w:hanging="107"/>
              <w:spacing w:before="54" w:line="260" w:lineRule="auto"/>
              <w:rPr/>
            </w:pPr>
            <w:r>
              <w:rPr>
                <w:spacing w:val="1"/>
              </w:rPr>
              <w:t>相符</w:t>
            </w:r>
            <w:r>
              <w:rPr/>
              <w:t>性</w:t>
            </w:r>
          </w:p>
        </w:tc>
      </w:tr>
      <w:tr>
        <w:trPr>
          <w:trHeight w:val="2191" w:hRule="atLeast"/>
        </w:trPr>
        <w:tc>
          <w:tcPr>
            <w:tcW w:w="832" w:type="dxa"/>
            <w:vAlign w:val="top"/>
            <w:tcBorders>
              <w:bottom w:val="single" w:color="000000" w:sz="10" w:space="0"/>
              <w:left w:val="nil"/>
            </w:tcBorders>
          </w:tcPr>
          <w:p>
            <w:pPr>
              <w:pStyle w:val="TableText"/>
              <w:ind w:left="220"/>
              <w:spacing w:before="214" w:line="232" w:lineRule="auto"/>
              <w:rPr/>
            </w:pPr>
            <w:r>
              <w:rPr>
                <w:spacing w:val="2"/>
              </w:rPr>
              <w:t>矿产</w:t>
            </w:r>
          </w:p>
          <w:p>
            <w:pPr>
              <w:pStyle w:val="TableText"/>
              <w:ind w:left="230"/>
              <w:spacing w:before="60" w:line="232" w:lineRule="auto"/>
              <w:rPr/>
            </w:pPr>
            <w:r>
              <w:rPr>
                <w:spacing w:val="-4"/>
              </w:rPr>
              <w:t>资源</w:t>
            </w:r>
          </w:p>
          <w:p>
            <w:pPr>
              <w:pStyle w:val="TableText"/>
              <w:ind w:left="220"/>
              <w:spacing w:before="60" w:line="231" w:lineRule="auto"/>
              <w:rPr/>
            </w:pPr>
            <w:r>
              <w:rPr>
                <w:spacing w:val="2"/>
              </w:rPr>
              <w:t>开发</w:t>
            </w:r>
          </w:p>
          <w:p>
            <w:pPr>
              <w:pStyle w:val="TableText"/>
              <w:ind w:left="219"/>
              <w:spacing w:before="62" w:line="232" w:lineRule="auto"/>
              <w:rPr/>
            </w:pPr>
            <w:r>
              <w:rPr>
                <w:spacing w:val="2"/>
              </w:rPr>
              <w:t>规划</w:t>
            </w:r>
          </w:p>
          <w:p>
            <w:pPr>
              <w:pStyle w:val="TableText"/>
              <w:ind w:left="325" w:right="205" w:hanging="97"/>
              <w:spacing w:before="60" w:line="288" w:lineRule="auto"/>
              <w:rPr/>
            </w:pPr>
            <w:r>
              <w:rPr>
                <w:spacing w:val="-3"/>
              </w:rPr>
              <w:t>与设</w:t>
            </w:r>
            <w:r>
              <w:rPr/>
              <w:t>计</w:t>
            </w:r>
          </w:p>
        </w:tc>
        <w:tc>
          <w:tcPr>
            <w:tcW w:w="3437" w:type="dxa"/>
            <w:vAlign w:val="top"/>
            <w:tcBorders>
              <w:bottom w:val="single" w:color="000000" w:sz="10" w:space="0"/>
            </w:tcBorders>
          </w:tcPr>
          <w:p>
            <w:pPr>
              <w:pStyle w:val="TableText"/>
              <w:ind w:left="122" w:right="39" w:firstLine="423"/>
              <w:spacing w:before="214" w:line="288" w:lineRule="auto"/>
              <w:jc w:val="both"/>
              <w:rPr/>
            </w:pPr>
            <w:r>
              <w:rPr>
                <w:spacing w:val="13"/>
              </w:rPr>
              <w:t>禁止在依法划定的自然保护区</w:t>
            </w:r>
            <w:r>
              <w:rPr>
                <w:spacing w:val="4"/>
              </w:rPr>
              <w:t>（核心区、缓冲区）、风景名胜区、</w:t>
            </w:r>
            <w:r>
              <w:rPr>
                <w:spacing w:val="13"/>
              </w:rPr>
              <w:t>森林公园、饮用水水源保护区、重</w:t>
            </w:r>
            <w:r>
              <w:rPr>
                <w:spacing w:val="13"/>
              </w:rPr>
              <w:t>要湖泊周边、文物古迹所在地、地</w:t>
            </w:r>
            <w:r>
              <w:rPr>
                <w:spacing w:val="13"/>
              </w:rPr>
              <w:t>质遗迹保护区、基本农田保护区等</w:t>
            </w:r>
            <w:r>
              <w:rPr>
                <w:spacing w:val="5"/>
              </w:rPr>
              <w:t>区域内采矿。</w:t>
            </w:r>
          </w:p>
        </w:tc>
        <w:tc>
          <w:tcPr>
            <w:tcW w:w="3534" w:type="dxa"/>
            <w:vAlign w:val="top"/>
            <w:tcBorders>
              <w:bottom w:val="single" w:color="000000" w:sz="10" w:space="0"/>
            </w:tcBorders>
          </w:tcPr>
          <w:p>
            <w:pPr>
              <w:pStyle w:val="TableText"/>
              <w:ind w:left="119" w:right="103" w:firstLine="421"/>
              <w:spacing w:before="57" w:line="280" w:lineRule="auto"/>
              <w:jc w:val="both"/>
              <w:rPr/>
            </w:pPr>
            <w:r>
              <w:rPr>
                <w:spacing w:val="4"/>
              </w:rPr>
              <w:t>根据现场踏勘</w:t>
            </w:r>
            <w:r>
              <w:rPr>
                <w:spacing w:val="-48"/>
              </w:rPr>
              <w:t xml:space="preserve"> </w:t>
            </w:r>
            <w:r>
              <w:rPr>
                <w:spacing w:val="4"/>
              </w:rPr>
              <w:t>，结合</w:t>
            </w:r>
            <w:r>
              <w:rPr>
                <w:spacing w:val="4"/>
              </w:rPr>
              <w:t xml:space="preserve"> </w:t>
            </w:r>
            <w:r>
              <w:rPr>
                <w:rFonts w:ascii="Times New Roman" w:hAnsi="Times New Roman" w:eastAsia="Times New Roman" w:cs="Times New Roman"/>
                <w:spacing w:val="4"/>
              </w:rPr>
              <w:t>1.4.2.</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9"/>
                <w:w w:val="101"/>
              </w:rPr>
              <w:t xml:space="preserve"> </w:t>
            </w:r>
            <w:r>
              <w:rPr>
                <w:spacing w:val="4"/>
              </w:rPr>
              <w:t>章</w:t>
            </w:r>
            <w:r>
              <w:rPr>
                <w:spacing w:val="6"/>
              </w:rPr>
              <w:t>节，本项目矿区范围内及永久占地范</w:t>
            </w:r>
            <w:r>
              <w:rPr>
                <w:spacing w:val="6"/>
              </w:rPr>
              <w:t>围内均不涉及自然保护区（核心区、</w:t>
            </w:r>
            <w:r>
              <w:rPr>
                <w:spacing w:val="4"/>
              </w:rPr>
              <w:t>缓冲区）</w:t>
            </w:r>
            <w:r>
              <w:rPr>
                <w:spacing w:val="-59"/>
              </w:rPr>
              <w:t xml:space="preserve"> </w:t>
            </w:r>
            <w:r>
              <w:rPr>
                <w:spacing w:val="4"/>
              </w:rPr>
              <w:t>、风景名胜区、森林公园、</w:t>
            </w:r>
            <w:r>
              <w:rPr>
                <w:spacing w:val="6"/>
              </w:rPr>
              <w:t>饮用水水源保护区、重要湖泊周边、</w:t>
            </w:r>
            <w:r>
              <w:rPr>
                <w:spacing w:val="6"/>
              </w:rPr>
              <w:t>文物古迹所在地、地质遗迹保护区、</w:t>
            </w:r>
            <w:r>
              <w:rPr>
                <w:spacing w:val="7"/>
              </w:rPr>
              <w:t>基本农田保护区等区域；</w:t>
            </w:r>
          </w:p>
        </w:tc>
        <w:tc>
          <w:tcPr>
            <w:tcW w:w="719" w:type="dxa"/>
            <w:vAlign w:val="top"/>
            <w:tcBorders>
              <w:bottom w:val="single" w:color="000000" w:sz="10" w:space="0"/>
              <w:right w:val="nil"/>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64"/>
              <w:spacing w:before="65" w:line="229" w:lineRule="auto"/>
              <w:rPr/>
            </w:pPr>
            <w:r>
              <w:rPr>
                <w:spacing w:val="-1"/>
              </w:rPr>
              <w:t>符合</w:t>
            </w:r>
          </w:p>
        </w:tc>
      </w:tr>
    </w:tbl>
    <w:p>
      <w:pPr>
        <w:pStyle w:val="BodyText"/>
        <w:rPr/>
      </w:pPr>
      <w:r/>
    </w:p>
    <w:p>
      <w:pPr>
        <w:sectPr>
          <w:headerReference w:type="default" r:id="rId31"/>
          <w:footerReference w:type="default" r:id="rId36"/>
          <w:pgSz w:w="11906" w:h="16839"/>
          <w:pgMar w:top="1250" w:right="1691" w:bottom="1349" w:left="1691" w:header="831" w:footer="1162" w:gutter="0"/>
        </w:sectPr>
        <w:rPr/>
      </w:pPr>
    </w:p>
    <w:p>
      <w:pPr>
        <w:spacing w:line="189"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2"/>
        <w:gridCol w:w="3437"/>
        <w:gridCol w:w="3534"/>
        <w:gridCol w:w="719"/>
      </w:tblGrid>
      <w:tr>
        <w:trPr>
          <w:trHeight w:val="633" w:hRule="atLeast"/>
        </w:trPr>
        <w:tc>
          <w:tcPr>
            <w:tcW w:w="832" w:type="dxa"/>
            <w:vAlign w:val="top"/>
            <w:vMerge w:val="restart"/>
            <w:tcBorders>
              <w:left w:val="nil"/>
              <w:bottom w:val="nil"/>
              <w:top w:val="single" w:color="000000" w:sz="10" w:space="0"/>
            </w:tcBorders>
          </w:tcPr>
          <w:p>
            <w:pPr>
              <w:rPr>
                <w:rFonts w:ascii="Arial"/>
                <w:sz w:val="21"/>
              </w:rPr>
            </w:pPr>
            <w:r/>
          </w:p>
        </w:tc>
        <w:tc>
          <w:tcPr>
            <w:tcW w:w="3437" w:type="dxa"/>
            <w:vAlign w:val="top"/>
            <w:tcBorders>
              <w:top w:val="single" w:color="000000" w:sz="10" w:space="0"/>
            </w:tcBorders>
          </w:tcPr>
          <w:p>
            <w:pPr>
              <w:pStyle w:val="TableText"/>
              <w:ind w:left="132" w:right="104" w:firstLine="413"/>
              <w:spacing w:before="55" w:line="262" w:lineRule="auto"/>
              <w:rPr/>
            </w:pPr>
            <w:r>
              <w:rPr>
                <w:spacing w:val="10"/>
              </w:rPr>
              <w:t>禁止在铁路、</w:t>
            </w:r>
            <w:r>
              <w:rPr>
                <w:spacing w:val="-50"/>
              </w:rPr>
              <w:t xml:space="preserve"> </w:t>
            </w:r>
            <w:r>
              <w:rPr>
                <w:spacing w:val="10"/>
              </w:rPr>
              <w:t>国道、省道两侧</w:t>
            </w:r>
            <w:r>
              <w:rPr>
                <w:spacing w:val="7"/>
              </w:rPr>
              <w:t>的直观可视范围内进行露天开采。</w:t>
            </w:r>
          </w:p>
        </w:tc>
        <w:tc>
          <w:tcPr>
            <w:tcW w:w="3534" w:type="dxa"/>
            <w:vAlign w:val="top"/>
            <w:tcBorders>
              <w:top w:val="single" w:color="000000" w:sz="10" w:space="0"/>
            </w:tcBorders>
          </w:tcPr>
          <w:p>
            <w:pPr>
              <w:pStyle w:val="TableText"/>
              <w:ind w:left="540"/>
              <w:spacing w:before="211" w:line="231" w:lineRule="auto"/>
              <w:rPr/>
            </w:pPr>
            <w:r>
              <w:rPr>
                <w:spacing w:val="7"/>
              </w:rPr>
              <w:t>本项目开采方式为地下开采。</w:t>
            </w:r>
          </w:p>
        </w:tc>
        <w:tc>
          <w:tcPr>
            <w:tcW w:w="719" w:type="dxa"/>
            <w:vAlign w:val="top"/>
            <w:tcBorders>
              <w:right w:val="nil"/>
              <w:top w:val="single" w:color="000000" w:sz="10" w:space="0"/>
            </w:tcBorders>
          </w:tcPr>
          <w:p>
            <w:pPr>
              <w:pStyle w:val="TableText"/>
              <w:ind w:left="164"/>
              <w:spacing w:before="212" w:line="229" w:lineRule="auto"/>
              <w:rPr/>
            </w:pPr>
            <w:r>
              <w:rPr>
                <w:spacing w:val="-1"/>
              </w:rPr>
              <w:t>符合</w:t>
            </w:r>
          </w:p>
        </w:tc>
      </w:tr>
      <w:tr>
        <w:trPr>
          <w:trHeight w:val="3742" w:hRule="atLeast"/>
        </w:trPr>
        <w:tc>
          <w:tcPr>
            <w:tcW w:w="832" w:type="dxa"/>
            <w:vAlign w:val="top"/>
            <w:vMerge w:val="continue"/>
            <w:tcBorders>
              <w:left w:val="nil"/>
              <w:bottom w:val="nil"/>
              <w:top w:val="nil"/>
            </w:tcBorders>
          </w:tcPr>
          <w:p>
            <w:pPr>
              <w:rPr>
                <w:rFonts w:ascii="Arial"/>
                <w:sz w:val="21"/>
              </w:rPr>
            </w:pPr>
            <w:r/>
          </w:p>
        </w:tc>
        <w:tc>
          <w:tcPr>
            <w:tcW w:w="3437"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21" w:right="104" w:firstLine="424"/>
              <w:spacing w:before="65" w:line="289" w:lineRule="auto"/>
              <w:rPr/>
            </w:pPr>
            <w:r>
              <w:rPr>
                <w:spacing w:val="13"/>
              </w:rPr>
              <w:t>禁止在地质灾害危险区开采矿</w:t>
            </w:r>
            <w:r>
              <w:rPr>
                <w:spacing w:val="3"/>
              </w:rPr>
              <w:t>产资源。</w:t>
            </w:r>
          </w:p>
        </w:tc>
        <w:tc>
          <w:tcPr>
            <w:tcW w:w="3534" w:type="dxa"/>
            <w:vAlign w:val="top"/>
          </w:tcPr>
          <w:p>
            <w:pPr>
              <w:pStyle w:val="TableText"/>
              <w:ind w:left="119" w:right="105" w:firstLine="421"/>
              <w:spacing w:before="48" w:line="288" w:lineRule="auto"/>
              <w:jc w:val="both"/>
              <w:rPr/>
            </w:pPr>
            <w:r>
              <w:rPr>
                <w:spacing w:val="-8"/>
              </w:rPr>
              <w:t>根据《中国地震参数区划图》（国</w:t>
            </w:r>
            <w:r>
              <w:rPr>
                <w:spacing w:val="4"/>
              </w:rPr>
              <w:t>标</w:t>
            </w:r>
            <w:r>
              <w:rPr>
                <w:spacing w:val="-22"/>
              </w:rPr>
              <w:t xml:space="preserve"> </w:t>
            </w:r>
            <w:r>
              <w:rPr>
                <w:rFonts w:ascii="Times New Roman" w:hAnsi="Times New Roman" w:eastAsia="Times New Roman" w:cs="Times New Roman"/>
                <w:spacing w:val="4"/>
              </w:rPr>
              <w:t>18306-2015</w:t>
            </w:r>
            <w:r>
              <w:rPr>
                <w:spacing w:val="-9"/>
              </w:rPr>
              <w:t>），</w:t>
            </w:r>
            <w:r>
              <w:rPr>
                <w:spacing w:val="4"/>
              </w:rPr>
              <w:t>本项目所在区域地</w:t>
            </w:r>
            <w:r>
              <w:rPr>
                <w:spacing w:val="8"/>
              </w:rPr>
              <w:t>震动峰值加速度为</w:t>
            </w:r>
            <w:r>
              <w:rPr>
                <w:spacing w:val="-26"/>
              </w:rPr>
              <w:t xml:space="preserve"> </w:t>
            </w:r>
            <w:r>
              <w:rPr>
                <w:rFonts w:ascii="Times New Roman" w:hAnsi="Times New Roman" w:eastAsia="Times New Roman" w:cs="Times New Roman"/>
                <w:spacing w:val="8"/>
              </w:rPr>
              <w:t>0.05g</w:t>
            </w:r>
            <w:r>
              <w:rPr>
                <w:rFonts w:ascii="Times New Roman" w:hAnsi="Times New Roman" w:eastAsia="Times New Roman" w:cs="Times New Roman"/>
                <w:spacing w:val="-18"/>
              </w:rPr>
              <w:t xml:space="preserve"> </w:t>
            </w:r>
            <w:r>
              <w:rPr>
                <w:spacing w:val="8"/>
              </w:rPr>
              <w:t>，据《中国</w:t>
            </w:r>
            <w:r>
              <w:rPr>
                <w:spacing w:val="6"/>
              </w:rPr>
              <w:t>地震动反应谱特征周期区划图》，该</w:t>
            </w:r>
            <w:r>
              <w:rPr>
                <w:spacing w:val="6"/>
              </w:rPr>
              <w:t>区反应谱特征周期</w:t>
            </w:r>
            <w:r>
              <w:rPr>
                <w:spacing w:val="-21"/>
              </w:rPr>
              <w:t xml:space="preserve"> </w:t>
            </w:r>
            <w:r>
              <w:rPr>
                <w:rFonts w:ascii="Times New Roman" w:hAnsi="Times New Roman" w:eastAsia="Times New Roman" w:cs="Times New Roman"/>
                <w:spacing w:val="6"/>
              </w:rPr>
              <w:t>0.35s</w:t>
            </w:r>
            <w:r>
              <w:rPr>
                <w:rFonts w:ascii="Times New Roman" w:hAnsi="Times New Roman" w:eastAsia="Times New Roman" w:cs="Times New Roman"/>
                <w:spacing w:val="-16"/>
              </w:rPr>
              <w:t xml:space="preserve"> </w:t>
            </w:r>
            <w:r>
              <w:rPr>
                <w:spacing w:val="6"/>
              </w:rPr>
              <w:t>，</w:t>
            </w:r>
            <w:r>
              <w:rPr>
                <w:spacing w:val="-49"/>
              </w:rPr>
              <w:t xml:space="preserve"> </w:t>
            </w:r>
            <w:r>
              <w:rPr>
                <w:spacing w:val="6"/>
              </w:rPr>
              <w:t>比照《中</w:t>
            </w:r>
            <w:r>
              <w:rPr>
                <w:spacing w:val="6"/>
              </w:rPr>
              <w:t>国地震烈度区划图》，对应地震烈度</w:t>
            </w:r>
            <w:r>
              <w:rPr>
                <w:spacing w:val="11"/>
              </w:rPr>
              <w:t>为</w:t>
            </w:r>
            <w:r>
              <w:rPr>
                <w:spacing w:val="-34"/>
              </w:rPr>
              <w:t xml:space="preserve"> </w:t>
            </w:r>
            <w:r>
              <w:rPr>
                <w:rFonts w:ascii="Times New Roman" w:hAnsi="Times New Roman" w:eastAsia="Times New Roman" w:cs="Times New Roman"/>
              </w:rPr>
              <w:t>VI</w:t>
            </w:r>
            <w:r>
              <w:rPr>
                <w:rFonts w:ascii="Times New Roman" w:hAnsi="Times New Roman" w:eastAsia="Times New Roman" w:cs="Times New Roman"/>
                <w:spacing w:val="19"/>
              </w:rPr>
              <w:t xml:space="preserve"> </w:t>
            </w:r>
            <w:r>
              <w:rPr>
                <w:spacing w:val="11"/>
              </w:rPr>
              <w:t>度，属相对较稳定区段，有感</w:t>
            </w:r>
            <w:r>
              <w:rPr>
                <w:spacing w:val="7"/>
              </w:rPr>
              <w:t>地震发生相对较小。</w:t>
            </w:r>
          </w:p>
          <w:p>
            <w:pPr>
              <w:pStyle w:val="TableText"/>
              <w:ind w:left="120" w:right="103" w:firstLine="420"/>
              <w:spacing w:before="4" w:line="273" w:lineRule="auto"/>
              <w:jc w:val="both"/>
              <w:rPr/>
            </w:pPr>
            <w:r>
              <w:rPr>
                <w:spacing w:val="6"/>
              </w:rPr>
              <w:t>本项目范围内无滑坡、泥石流、</w:t>
            </w:r>
            <w:r>
              <w:rPr>
                <w:spacing w:val="6"/>
              </w:rPr>
              <w:t>地裂缝、地面塌陷等地质灾害现象，</w:t>
            </w:r>
            <w:r>
              <w:rPr>
                <w:spacing w:val="6"/>
              </w:rPr>
              <w:t>未发现新构造运动痕迹，总体区域稳</w:t>
            </w:r>
            <w:r>
              <w:rPr>
                <w:spacing w:val="3"/>
              </w:rPr>
              <w:t>定性好。</w:t>
            </w:r>
          </w:p>
        </w:tc>
        <w:tc>
          <w:tcPr>
            <w:tcW w:w="719" w:type="dxa"/>
            <w:vAlign w:val="top"/>
            <w:tcBorders>
              <w:right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4"/>
              <w:spacing w:before="65" w:line="229" w:lineRule="auto"/>
              <w:rPr/>
            </w:pPr>
            <w:r>
              <w:rPr>
                <w:spacing w:val="-1"/>
              </w:rPr>
              <w:t>符合</w:t>
            </w:r>
          </w:p>
        </w:tc>
      </w:tr>
      <w:tr>
        <w:trPr>
          <w:trHeight w:val="2496" w:hRule="atLeast"/>
        </w:trPr>
        <w:tc>
          <w:tcPr>
            <w:tcW w:w="832" w:type="dxa"/>
            <w:vAlign w:val="top"/>
            <w:vMerge w:val="continue"/>
            <w:tcBorders>
              <w:left w:val="nil"/>
              <w:bottom w:val="nil"/>
              <w:top w:val="nil"/>
            </w:tcBorders>
          </w:tcPr>
          <w:p>
            <w:pPr>
              <w:rPr>
                <w:rFonts w:ascii="Arial"/>
                <w:sz w:val="21"/>
              </w:rPr>
            </w:pPr>
            <w:r/>
          </w:p>
        </w:tc>
        <w:tc>
          <w:tcPr>
            <w:tcW w:w="3437"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21" w:right="104" w:firstLine="424"/>
              <w:spacing w:before="65" w:line="288" w:lineRule="auto"/>
              <w:jc w:val="both"/>
              <w:rPr/>
            </w:pPr>
            <w:r>
              <w:rPr>
                <w:spacing w:val="13"/>
              </w:rPr>
              <w:t>禁止新建对生态环境产生不可</w:t>
            </w:r>
            <w:r>
              <w:rPr>
                <w:spacing w:val="13"/>
              </w:rPr>
              <w:t>恢复利用的产生破坏性影响的矿产</w:t>
            </w:r>
            <w:r>
              <w:rPr>
                <w:spacing w:val="6"/>
              </w:rPr>
              <w:t>资源开发项目。</w:t>
            </w:r>
          </w:p>
        </w:tc>
        <w:tc>
          <w:tcPr>
            <w:tcW w:w="3534" w:type="dxa"/>
            <w:vAlign w:val="top"/>
          </w:tcPr>
          <w:p>
            <w:pPr>
              <w:pStyle w:val="TableText"/>
              <w:ind w:left="118" w:right="105" w:firstLine="422"/>
              <w:spacing w:before="59" w:line="280" w:lineRule="auto"/>
              <w:jc w:val="both"/>
              <w:rPr/>
            </w:pPr>
            <w:r>
              <w:rPr>
                <w:spacing w:val="5"/>
              </w:rPr>
              <w:t>项目采矿方式为地下开采，项目</w:t>
            </w:r>
            <w:r>
              <w:rPr>
                <w:spacing w:val="6"/>
              </w:rPr>
              <w:t>永久占地主要为工业广场，占地范围</w:t>
            </w:r>
            <w:r>
              <w:rPr>
                <w:spacing w:val="17"/>
              </w:rPr>
              <w:t>较小</w:t>
            </w:r>
            <w:r>
              <w:rPr>
                <w:spacing w:val="-52"/>
              </w:rPr>
              <w:t xml:space="preserve"> </w:t>
            </w:r>
            <w:r>
              <w:rPr>
                <w:spacing w:val="17"/>
              </w:rPr>
              <w:t>，对生态环境产生的破坏性较</w:t>
            </w:r>
            <w:r>
              <w:rPr>
                <w:spacing w:val="6"/>
              </w:rPr>
              <w:t>小，服务期满后企业根据相关矿山复</w:t>
            </w:r>
            <w:r>
              <w:rPr>
                <w:spacing w:val="20"/>
              </w:rPr>
              <w:t>垦政策及项目复垦方案报告书开展</w:t>
            </w:r>
            <w:r>
              <w:rPr>
                <w:spacing w:val="6"/>
              </w:rPr>
              <w:t>生态恢复工作，恢复矿山用地原有地</w:t>
            </w:r>
            <w:r>
              <w:rPr>
                <w:spacing w:val="6"/>
              </w:rPr>
              <w:t>貌，采取相关生态恢复措施后项目开</w:t>
            </w:r>
            <w:r>
              <w:rPr>
                <w:spacing w:val="8"/>
              </w:rPr>
              <w:t>采对生态环境影响可接受。</w:t>
            </w:r>
          </w:p>
        </w:tc>
        <w:tc>
          <w:tcPr>
            <w:tcW w:w="719" w:type="dxa"/>
            <w:vAlign w:val="top"/>
            <w:tcBorders>
              <w:right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164"/>
              <w:spacing w:before="65" w:line="229" w:lineRule="auto"/>
              <w:rPr/>
            </w:pPr>
            <w:r>
              <w:rPr>
                <w:spacing w:val="-1"/>
              </w:rPr>
              <w:t>符合</w:t>
            </w:r>
          </w:p>
        </w:tc>
      </w:tr>
      <w:tr>
        <w:trPr>
          <w:trHeight w:val="2185" w:hRule="atLeast"/>
        </w:trPr>
        <w:tc>
          <w:tcPr>
            <w:tcW w:w="832" w:type="dxa"/>
            <w:vAlign w:val="top"/>
            <w:vMerge w:val="continue"/>
            <w:tcBorders>
              <w:left w:val="nil"/>
              <w:bottom w:val="nil"/>
              <w:top w:val="nil"/>
            </w:tcBorders>
          </w:tcPr>
          <w:p>
            <w:pPr>
              <w:rPr>
                <w:rFonts w:ascii="Arial"/>
                <w:sz w:val="21"/>
              </w:rPr>
            </w:pPr>
            <w:r/>
          </w:p>
        </w:tc>
        <w:tc>
          <w:tcPr>
            <w:tcW w:w="3437" w:type="dxa"/>
            <w:vAlign w:val="top"/>
          </w:tcPr>
          <w:p>
            <w:pPr>
              <w:pStyle w:val="TableText"/>
              <w:ind w:left="119" w:right="33" w:firstLine="433"/>
              <w:spacing w:before="66" w:line="278" w:lineRule="auto"/>
              <w:jc w:val="both"/>
              <w:rPr/>
            </w:pPr>
            <w:r>
              <w:rPr>
                <w:spacing w:val="13"/>
              </w:rPr>
              <w:t>限制在生态功能保护区和自然</w:t>
            </w:r>
            <w:r>
              <w:rPr>
                <w:spacing w:val="4"/>
              </w:rPr>
              <w:t>保护区（过渡区）内开采矿产资源。</w:t>
            </w:r>
            <w:r>
              <w:rPr>
                <w:spacing w:val="13"/>
              </w:rPr>
              <w:t>生态功能保护区内的开采活动必须</w:t>
            </w:r>
            <w:r>
              <w:rPr>
                <w:spacing w:val="13"/>
              </w:rPr>
              <w:t>符合当地的环境功能区规划，并按</w:t>
            </w:r>
            <w:r>
              <w:rPr>
                <w:spacing w:val="13"/>
              </w:rPr>
              <w:t>规定进行控制性开采，开采活动不</w:t>
            </w:r>
            <w:r>
              <w:rPr>
                <w:spacing w:val="21"/>
              </w:rPr>
              <w:t>得影响本功能区</w:t>
            </w:r>
            <w:r>
              <w:rPr>
                <w:spacing w:val="-35"/>
              </w:rPr>
              <w:t xml:space="preserve"> </w:t>
            </w:r>
            <w:r>
              <w:rPr>
                <w:spacing w:val="21"/>
              </w:rPr>
              <w:t>内</w:t>
            </w:r>
            <w:r>
              <w:rPr>
                <w:spacing w:val="-53"/>
              </w:rPr>
              <w:t xml:space="preserve"> </w:t>
            </w:r>
            <w:r>
              <w:rPr>
                <w:spacing w:val="21"/>
              </w:rPr>
              <w:t>的主导生态功</w:t>
            </w:r>
            <w:r>
              <w:rPr>
                <w:spacing w:val="-3"/>
              </w:rPr>
              <w:t>能。</w:t>
            </w:r>
          </w:p>
        </w:tc>
        <w:tc>
          <w:tcPr>
            <w:tcW w:w="3534" w:type="dxa"/>
            <w:vAlign w:val="top"/>
          </w:tcPr>
          <w:p>
            <w:pPr>
              <w:pStyle w:val="TableText"/>
              <w:ind w:left="119" w:right="34" w:firstLine="420"/>
              <w:spacing w:before="66" w:line="278" w:lineRule="auto"/>
              <w:jc w:val="both"/>
              <w:rPr/>
            </w:pPr>
            <w:r>
              <w:rPr>
                <w:spacing w:val="5"/>
              </w:rPr>
              <w:t>项目位于限制开发区域（国家级</w:t>
            </w:r>
            <w:r>
              <w:rPr>
                <w:spacing w:val="14"/>
              </w:rPr>
              <w:t>重点生态功能区）</w:t>
            </w:r>
            <w:r>
              <w:rPr>
                <w:rFonts w:ascii="Times New Roman" w:hAnsi="Times New Roman" w:eastAsia="Times New Roman" w:cs="Times New Roman"/>
                <w:spacing w:val="14"/>
              </w:rPr>
              <w:t>-</w:t>
            </w:r>
            <w:r>
              <w:rPr>
                <w:spacing w:val="14"/>
              </w:rPr>
              <w:t>浑善达克沙漠化</w:t>
            </w:r>
            <w:r>
              <w:rPr>
                <w:spacing w:val="6"/>
              </w:rPr>
              <w:t>防治生态功能区，本项目属于非金属</w:t>
            </w:r>
            <w:r>
              <w:rPr>
                <w:spacing w:val="15"/>
              </w:rPr>
              <w:t>矿采选</w:t>
            </w:r>
            <w:r>
              <w:rPr>
                <w:rFonts w:ascii="Times New Roman" w:hAnsi="Times New Roman" w:eastAsia="Times New Roman" w:cs="Times New Roman"/>
                <w:spacing w:val="15"/>
              </w:rPr>
              <w:t>-</w:t>
            </w:r>
            <w:r>
              <w:rPr>
                <w:spacing w:val="15"/>
              </w:rPr>
              <w:t>石棉及其他非金属矿采选，</w:t>
            </w:r>
            <w:r>
              <w:rPr>
                <w:spacing w:val="6"/>
              </w:rPr>
              <w:t>清单无要求。因此本项目的实施符合</w:t>
            </w:r>
            <w:r>
              <w:rPr>
                <w:spacing w:val="15"/>
              </w:rPr>
              <w:t>内蒙古</w:t>
            </w:r>
            <w:r>
              <w:rPr>
                <w:spacing w:val="-23"/>
              </w:rPr>
              <w:t xml:space="preserve"> </w:t>
            </w:r>
            <w:r>
              <w:rPr>
                <w:spacing w:val="15"/>
              </w:rPr>
              <w:t>自治区国家重点生态功能区</w:t>
            </w:r>
            <w:r>
              <w:rPr>
                <w:spacing w:val="-2"/>
              </w:rPr>
              <w:t>产业准入负面清单（试行）管控要求。</w:t>
            </w:r>
          </w:p>
        </w:tc>
        <w:tc>
          <w:tcPr>
            <w:tcW w:w="719" w:type="dxa"/>
            <w:vAlign w:val="top"/>
            <w:tcBorders>
              <w:right w:val="nil"/>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64"/>
              <w:spacing w:before="65" w:line="229" w:lineRule="auto"/>
              <w:rPr/>
            </w:pPr>
            <w:r>
              <w:rPr>
                <w:spacing w:val="-1"/>
              </w:rPr>
              <w:t>符合</w:t>
            </w:r>
          </w:p>
        </w:tc>
      </w:tr>
      <w:tr>
        <w:trPr>
          <w:trHeight w:val="939" w:hRule="atLeast"/>
        </w:trPr>
        <w:tc>
          <w:tcPr>
            <w:tcW w:w="832" w:type="dxa"/>
            <w:vAlign w:val="top"/>
            <w:vMerge w:val="continue"/>
            <w:tcBorders>
              <w:left w:val="nil"/>
              <w:bottom w:val="nil"/>
              <w:top w:val="nil"/>
            </w:tcBorders>
          </w:tcPr>
          <w:p>
            <w:pPr>
              <w:rPr>
                <w:rFonts w:ascii="Arial"/>
                <w:sz w:val="21"/>
              </w:rPr>
            </w:pPr>
            <w:r/>
          </w:p>
        </w:tc>
        <w:tc>
          <w:tcPr>
            <w:tcW w:w="3437" w:type="dxa"/>
            <w:vAlign w:val="top"/>
          </w:tcPr>
          <w:p>
            <w:pPr>
              <w:pStyle w:val="TableText"/>
              <w:ind w:left="120" w:right="104" w:firstLine="433"/>
              <w:spacing w:before="67" w:line="265" w:lineRule="auto"/>
              <w:jc w:val="both"/>
              <w:rPr/>
            </w:pPr>
            <w:r>
              <w:rPr>
                <w:spacing w:val="13"/>
              </w:rPr>
              <w:t>限制在地质灾害易发区、水土</w:t>
            </w:r>
            <w:r>
              <w:rPr>
                <w:spacing w:val="13"/>
              </w:rPr>
              <w:t>流失严重区域等生态脆弱区内开采</w:t>
            </w:r>
            <w:r>
              <w:rPr>
                <w:spacing w:val="4"/>
              </w:rPr>
              <w:t>矿产资源。</w:t>
            </w:r>
          </w:p>
        </w:tc>
        <w:tc>
          <w:tcPr>
            <w:tcW w:w="3534" w:type="dxa"/>
            <w:vAlign w:val="top"/>
          </w:tcPr>
          <w:p>
            <w:pPr>
              <w:pStyle w:val="TableText"/>
              <w:ind w:left="124" w:right="105" w:firstLine="415"/>
              <w:spacing w:before="67" w:line="265" w:lineRule="auto"/>
              <w:jc w:val="both"/>
              <w:rPr/>
            </w:pPr>
            <w:r>
              <w:rPr>
                <w:spacing w:val="21"/>
              </w:rPr>
              <w:t>矿山所在区域属于地质灾害敏</w:t>
            </w:r>
            <w:r>
              <w:rPr>
                <w:spacing w:val="6"/>
              </w:rPr>
              <w:t>感性一般区域，建设单位已委托相关</w:t>
            </w:r>
            <w:r>
              <w:rPr>
                <w:spacing w:val="7"/>
              </w:rPr>
              <w:t>单位编制水土保持方案。</w:t>
            </w:r>
          </w:p>
        </w:tc>
        <w:tc>
          <w:tcPr>
            <w:tcW w:w="719" w:type="dxa"/>
            <w:vAlign w:val="top"/>
            <w:tcBorders>
              <w:right w:val="nil"/>
            </w:tcBorders>
          </w:tcPr>
          <w:p>
            <w:pPr>
              <w:spacing w:line="313" w:lineRule="auto"/>
              <w:rPr>
                <w:rFonts w:ascii="Arial"/>
                <w:sz w:val="21"/>
              </w:rPr>
            </w:pPr>
            <w:r/>
          </w:p>
          <w:p>
            <w:pPr>
              <w:pStyle w:val="TableText"/>
              <w:ind w:left="164"/>
              <w:spacing w:before="65" w:line="229" w:lineRule="auto"/>
              <w:rPr/>
            </w:pPr>
            <w:r>
              <w:rPr>
                <w:spacing w:val="-1"/>
              </w:rPr>
              <w:t>符合</w:t>
            </w:r>
          </w:p>
        </w:tc>
      </w:tr>
      <w:tr>
        <w:trPr>
          <w:trHeight w:val="939" w:hRule="atLeast"/>
        </w:trPr>
        <w:tc>
          <w:tcPr>
            <w:tcW w:w="832" w:type="dxa"/>
            <w:vAlign w:val="top"/>
            <w:vMerge w:val="continue"/>
            <w:tcBorders>
              <w:left w:val="nil"/>
              <w:bottom w:val="nil"/>
              <w:top w:val="nil"/>
            </w:tcBorders>
          </w:tcPr>
          <w:p>
            <w:pPr>
              <w:rPr>
                <w:rFonts w:ascii="Arial"/>
                <w:sz w:val="21"/>
              </w:rPr>
            </w:pPr>
            <w:r/>
          </w:p>
        </w:tc>
        <w:tc>
          <w:tcPr>
            <w:tcW w:w="3437" w:type="dxa"/>
            <w:vAlign w:val="top"/>
          </w:tcPr>
          <w:p>
            <w:pPr>
              <w:pStyle w:val="TableText"/>
              <w:ind w:left="120" w:right="104" w:firstLine="419"/>
              <w:spacing w:before="70" w:line="264" w:lineRule="auto"/>
              <w:jc w:val="both"/>
              <w:rPr/>
            </w:pPr>
            <w:r>
              <w:rPr>
                <w:spacing w:val="14"/>
              </w:rPr>
              <w:t>矿产资源开发应符合国家产业</w:t>
            </w:r>
            <w:r>
              <w:rPr>
                <w:spacing w:val="13"/>
              </w:rPr>
              <w:t>政策要求，选址、布局应符合所在</w:t>
            </w:r>
            <w:r>
              <w:rPr>
                <w:spacing w:val="7"/>
              </w:rPr>
              <w:t>地的区域发展规划</w:t>
            </w:r>
          </w:p>
        </w:tc>
        <w:tc>
          <w:tcPr>
            <w:tcW w:w="3534" w:type="dxa"/>
            <w:vAlign w:val="top"/>
          </w:tcPr>
          <w:p>
            <w:pPr>
              <w:pStyle w:val="TableText"/>
              <w:ind w:left="119" w:right="106" w:firstLine="421"/>
              <w:spacing w:before="70" w:line="264" w:lineRule="auto"/>
              <w:jc w:val="both"/>
              <w:rPr/>
            </w:pPr>
            <w:r>
              <w:rPr>
                <w:spacing w:val="16"/>
              </w:rPr>
              <w:t>项</w:t>
            </w:r>
            <w:r>
              <w:rPr>
                <w:spacing w:val="-27"/>
              </w:rPr>
              <w:t xml:space="preserve"> </w:t>
            </w:r>
            <w:r>
              <w:rPr>
                <w:spacing w:val="16"/>
              </w:rPr>
              <w:t>目建设满足国家产业政策要</w:t>
            </w:r>
            <w:r>
              <w:rPr>
                <w:spacing w:val="6"/>
              </w:rPr>
              <w:t>求，项目选址符合所在地的区域发展</w:t>
            </w:r>
            <w:r>
              <w:rPr>
                <w:spacing w:val="7"/>
              </w:rPr>
              <w:t>规划，总平面布置合理。</w:t>
            </w:r>
          </w:p>
        </w:tc>
        <w:tc>
          <w:tcPr>
            <w:tcW w:w="719" w:type="dxa"/>
            <w:vAlign w:val="top"/>
            <w:tcBorders>
              <w:right w:val="nil"/>
            </w:tcBorders>
          </w:tcPr>
          <w:p>
            <w:pPr>
              <w:spacing w:line="315" w:lineRule="auto"/>
              <w:rPr>
                <w:rFonts w:ascii="Arial"/>
                <w:sz w:val="21"/>
              </w:rPr>
            </w:pPr>
            <w:r/>
          </w:p>
          <w:p>
            <w:pPr>
              <w:pStyle w:val="TableText"/>
              <w:ind w:left="164"/>
              <w:spacing w:before="65" w:line="229" w:lineRule="auto"/>
              <w:rPr/>
            </w:pPr>
            <w:r>
              <w:rPr>
                <w:spacing w:val="-1"/>
              </w:rPr>
              <w:t>符合</w:t>
            </w:r>
          </w:p>
        </w:tc>
      </w:tr>
      <w:tr>
        <w:trPr>
          <w:trHeight w:val="2830" w:hRule="atLeast"/>
        </w:trPr>
        <w:tc>
          <w:tcPr>
            <w:tcW w:w="832" w:type="dxa"/>
            <w:vAlign w:val="top"/>
            <w:vMerge w:val="continue"/>
            <w:tcBorders>
              <w:left w:val="nil"/>
              <w:bottom w:val="single" w:color="000000" w:sz="10" w:space="0"/>
              <w:top w:val="nil"/>
            </w:tcBorders>
          </w:tcPr>
          <w:p>
            <w:pPr>
              <w:rPr>
                <w:rFonts w:ascii="Arial"/>
                <w:sz w:val="21"/>
              </w:rPr>
            </w:pPr>
            <w:r/>
          </w:p>
        </w:tc>
        <w:tc>
          <w:tcPr>
            <w:tcW w:w="3437" w:type="dxa"/>
            <w:vAlign w:val="top"/>
            <w:tcBorders>
              <w:bottom w:val="single" w:color="000000" w:sz="10" w:space="0"/>
            </w:tcBorders>
          </w:tcPr>
          <w:p>
            <w:pPr>
              <w:pStyle w:val="TableText"/>
              <w:ind w:left="119" w:right="33" w:firstLine="414"/>
              <w:spacing w:before="71" w:line="269" w:lineRule="auto"/>
              <w:rPr/>
            </w:pPr>
            <w:r>
              <w:rPr>
                <w:rFonts w:ascii="SimSun" w:hAnsi="SimSun" w:eastAsia="SimSun" w:cs="SimSun"/>
                <w:spacing w:val="10"/>
              </w:rPr>
              <w:t>① </w:t>
            </w:r>
            <w:r>
              <w:rPr>
                <w:spacing w:val="10"/>
              </w:rPr>
              <w:t>应优先选择废物产生量少、</w:t>
            </w:r>
            <w:r>
              <w:rPr>
                <w:spacing w:val="13"/>
              </w:rPr>
              <w:t>水重复利用率高，对矿区生态环境</w:t>
            </w:r>
            <w:r>
              <w:rPr>
                <w:spacing w:val="4"/>
              </w:rPr>
              <w:t>影响小的采、选矿生产工艺与技术。</w:t>
            </w:r>
          </w:p>
          <w:p>
            <w:pPr>
              <w:pStyle w:val="TableText"/>
              <w:ind w:left="120" w:right="75" w:firstLine="412"/>
              <w:spacing w:before="64" w:line="278" w:lineRule="auto"/>
              <w:rPr/>
            </w:pPr>
            <w:r>
              <w:rPr>
                <w:rFonts w:ascii="SimSun" w:hAnsi="SimSun" w:eastAsia="SimSun" w:cs="SimSun"/>
                <w:spacing w:val="6"/>
              </w:rPr>
              <w:t>② </w:t>
            </w:r>
            <w:r>
              <w:rPr>
                <w:spacing w:val="6"/>
              </w:rPr>
              <w:t>应考虑低污染、高附加值的</w:t>
            </w:r>
            <w:r>
              <w:rPr>
                <w:spacing w:val="13"/>
              </w:rPr>
              <w:t>产业链延伸建设，把资源优势转化</w:t>
            </w:r>
            <w:r>
              <w:rPr>
                <w:spacing w:val="6"/>
              </w:rPr>
              <w:t>为经济优势。提倡煤</w:t>
            </w:r>
            <w:r>
              <w:rPr>
                <w:rFonts w:ascii="Times New Roman" w:hAnsi="Times New Roman" w:eastAsia="Times New Roman" w:cs="Times New Roman"/>
                <w:spacing w:val="6"/>
              </w:rPr>
              <w:t>-</w:t>
            </w:r>
            <w:r>
              <w:rPr>
                <w:spacing w:val="6"/>
              </w:rPr>
              <w:t>电、煤</w:t>
            </w:r>
            <w:r>
              <w:rPr>
                <w:rFonts w:ascii="Times New Roman" w:hAnsi="Times New Roman" w:eastAsia="Times New Roman" w:cs="Times New Roman"/>
                <w:spacing w:val="6"/>
              </w:rPr>
              <w:t>-</w:t>
            </w:r>
            <w:r>
              <w:rPr>
                <w:spacing w:val="6"/>
              </w:rPr>
              <w:t>化工、</w:t>
            </w:r>
            <w:r>
              <w:rPr>
                <w:spacing w:val="7"/>
              </w:rPr>
              <w:t>煤</w:t>
            </w:r>
            <w:r>
              <w:rPr>
                <w:rFonts w:ascii="Times New Roman" w:hAnsi="Times New Roman" w:eastAsia="Times New Roman" w:cs="Times New Roman"/>
                <w:spacing w:val="7"/>
              </w:rPr>
              <w:t>-</w:t>
            </w:r>
            <w:r>
              <w:rPr>
                <w:spacing w:val="7"/>
              </w:rPr>
              <w:t>焦、煤</w:t>
            </w:r>
            <w:r>
              <w:rPr>
                <w:rFonts w:ascii="Times New Roman" w:hAnsi="Times New Roman" w:eastAsia="Times New Roman" w:cs="Times New Roman"/>
                <w:spacing w:val="7"/>
              </w:rPr>
              <w:t>-</w:t>
            </w:r>
            <w:r>
              <w:rPr>
                <w:spacing w:val="7"/>
              </w:rPr>
              <w:t>建材、铁矿石</w:t>
            </w:r>
            <w:r>
              <w:rPr>
                <w:rFonts w:ascii="Times New Roman" w:hAnsi="Times New Roman" w:eastAsia="Times New Roman" w:cs="Times New Roman"/>
                <w:spacing w:val="7"/>
              </w:rPr>
              <w:t>-</w:t>
            </w:r>
            <w:r>
              <w:rPr>
                <w:spacing w:val="7"/>
              </w:rPr>
              <w:t>铁精矿</w:t>
            </w:r>
            <w:r>
              <w:rPr>
                <w:rFonts w:ascii="Times New Roman" w:hAnsi="Times New Roman" w:eastAsia="Times New Roman" w:cs="Times New Roman"/>
                <w:spacing w:val="7"/>
              </w:rPr>
              <w:t>-</w:t>
            </w:r>
            <w:r>
              <w:rPr>
                <w:spacing w:val="7"/>
              </w:rPr>
              <w:t>球</w:t>
            </w:r>
            <w:r>
              <w:rPr>
                <w:spacing w:val="13"/>
              </w:rPr>
              <w:t>团矿等低污染、高附加值的产业链</w:t>
            </w:r>
            <w:r>
              <w:rPr>
                <w:spacing w:val="4"/>
              </w:rPr>
              <w:t>延伸建设。</w:t>
            </w:r>
          </w:p>
        </w:tc>
        <w:tc>
          <w:tcPr>
            <w:tcW w:w="3534" w:type="dxa"/>
            <w:vAlign w:val="top"/>
            <w:tcBorders>
              <w:bottom w:val="single" w:color="000000" w:sz="10" w:space="0"/>
            </w:tcBorders>
          </w:tcPr>
          <w:p>
            <w:pPr>
              <w:pStyle w:val="TableText"/>
              <w:ind w:left="119" w:right="105" w:firstLine="421"/>
              <w:spacing w:before="70" w:line="282" w:lineRule="auto"/>
              <w:jc w:val="both"/>
              <w:rPr/>
            </w:pPr>
            <w:r>
              <w:rPr>
                <w:spacing w:val="5"/>
              </w:rPr>
              <w:t>项目采用地下开采，选矿回采率</w:t>
            </w:r>
            <w:r>
              <w:rPr>
                <w:spacing w:val="6"/>
              </w:rPr>
              <w:t>为</w:t>
            </w:r>
            <w:r>
              <w:rPr>
                <w:spacing w:val="-24"/>
              </w:rPr>
              <w:t xml:space="preserve"> </w:t>
            </w:r>
            <w:r>
              <w:rPr>
                <w:rFonts w:ascii="Times New Roman" w:hAnsi="Times New Roman" w:eastAsia="Times New Roman" w:cs="Times New Roman"/>
                <w:spacing w:val="6"/>
              </w:rPr>
              <w:t>89.05%</w:t>
            </w:r>
            <w:r>
              <w:rPr>
                <w:rFonts w:ascii="Times New Roman" w:hAnsi="Times New Roman" w:eastAsia="Times New Roman" w:cs="Times New Roman"/>
                <w:spacing w:val="-11"/>
              </w:rPr>
              <w:t xml:space="preserve"> </w:t>
            </w:r>
            <w:r>
              <w:rPr>
                <w:spacing w:val="6"/>
              </w:rPr>
              <w:t>，废物产生量较少；项</w:t>
            </w:r>
            <w:r>
              <w:rPr>
                <w:spacing w:val="-40"/>
              </w:rPr>
              <w:t xml:space="preserve"> </w:t>
            </w:r>
            <w:r>
              <w:rPr>
                <w:spacing w:val="6"/>
              </w:rPr>
              <w:t>目</w:t>
            </w:r>
            <w:r>
              <w:rPr>
                <w:spacing w:val="6"/>
              </w:rPr>
              <w:t>采选工艺先进合理，产生的各类生产</w:t>
            </w:r>
            <w:r>
              <w:rPr>
                <w:spacing w:val="6"/>
              </w:rPr>
              <w:t>废水均回用于生产不外排，减轻对生</w:t>
            </w:r>
            <w:r>
              <w:rPr>
                <w:spacing w:val="6"/>
              </w:rPr>
              <w:t>态环境影响。本项目产业链的延伸为</w:t>
            </w:r>
            <w:r>
              <w:rPr>
                <w:spacing w:val="6"/>
              </w:rPr>
              <w:t>钢铁、化学工业、建筑材料生产，本</w:t>
            </w:r>
            <w:r>
              <w:rPr>
                <w:spacing w:val="6"/>
              </w:rPr>
              <w:t>项目建设污染低，效益好，属于萤石</w:t>
            </w:r>
            <w:r>
              <w:rPr>
                <w:spacing w:val="14"/>
              </w:rPr>
              <w:t>矿石</w:t>
            </w:r>
            <w:r>
              <w:rPr>
                <w:rFonts w:ascii="Times New Roman" w:hAnsi="Times New Roman" w:eastAsia="Times New Roman" w:cs="Times New Roman"/>
                <w:spacing w:val="14"/>
              </w:rPr>
              <w:t>-</w:t>
            </w:r>
            <w:r>
              <w:rPr>
                <w:spacing w:val="14"/>
              </w:rPr>
              <w:t>萤石精矿，符合矿产资源开发</w:t>
            </w:r>
            <w:r>
              <w:rPr>
                <w:spacing w:val="6"/>
              </w:rPr>
              <w:t>设计。项目矿井涌水、选矿废水和其</w:t>
            </w:r>
          </w:p>
        </w:tc>
        <w:tc>
          <w:tcPr>
            <w:tcW w:w="719" w:type="dxa"/>
            <w:vAlign w:val="top"/>
            <w:tcBorders>
              <w:right w:val="nil"/>
              <w:bottom w:val="single" w:color="000000" w:sz="10" w:space="0"/>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5" w:right="185" w:firstLine="104"/>
              <w:spacing w:before="65" w:line="289" w:lineRule="auto"/>
              <w:rPr/>
            </w:pPr>
            <w:r>
              <w:rPr>
                <w:spacing w:val="-10"/>
              </w:rPr>
              <w:t>符</w:t>
            </w:r>
            <w:r>
              <w:rPr>
                <w:spacing w:val="-18"/>
              </w:rPr>
              <w:t>合。</w:t>
            </w:r>
          </w:p>
        </w:tc>
      </w:tr>
    </w:tbl>
    <w:p>
      <w:pPr>
        <w:pStyle w:val="BodyText"/>
        <w:spacing w:line="194" w:lineRule="exact"/>
        <w:rPr>
          <w:sz w:val="16"/>
        </w:rPr>
      </w:pPr>
      <w:r/>
    </w:p>
    <w:p>
      <w:pPr>
        <w:spacing w:line="194" w:lineRule="exact"/>
        <w:sectPr>
          <w:footerReference w:type="default" r:id="rId37"/>
          <w:pgSz w:w="11906" w:h="16839"/>
          <w:pgMar w:top="1250" w:right="1691" w:bottom="1349" w:left="1691" w:header="831" w:footer="1162" w:gutter="0"/>
        </w:sectPr>
        <w:rPr>
          <w:sz w:val="16"/>
          <w:szCs w:val="16"/>
        </w:rPr>
      </w:pPr>
    </w:p>
    <w:p>
      <w:pPr>
        <w:spacing w:line="189"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2"/>
        <w:gridCol w:w="3437"/>
        <w:gridCol w:w="3534"/>
        <w:gridCol w:w="719"/>
      </w:tblGrid>
      <w:tr>
        <w:trPr>
          <w:trHeight w:val="3104" w:hRule="atLeast"/>
        </w:trPr>
        <w:tc>
          <w:tcPr>
            <w:tcW w:w="832" w:type="dxa"/>
            <w:vAlign w:val="top"/>
            <w:tcBorders>
              <w:top w:val="single" w:color="000000" w:sz="10" w:space="0"/>
              <w:left w:val="nil"/>
            </w:tcBorders>
          </w:tcPr>
          <w:p>
            <w:pPr>
              <w:rPr>
                <w:rFonts w:ascii="Arial"/>
                <w:sz w:val="21"/>
              </w:rPr>
            </w:pPr>
            <w:r/>
          </w:p>
        </w:tc>
        <w:tc>
          <w:tcPr>
            <w:tcW w:w="3437" w:type="dxa"/>
            <w:vAlign w:val="top"/>
            <w:tcBorders>
              <w:top w:val="single" w:color="000000" w:sz="10" w:space="0"/>
            </w:tcBorders>
          </w:tcPr>
          <w:p>
            <w:pPr>
              <w:pStyle w:val="TableText"/>
              <w:ind w:left="122" w:right="104" w:firstLine="410"/>
              <w:spacing w:before="36" w:line="269" w:lineRule="auto"/>
              <w:rPr/>
            </w:pPr>
            <w:bookmarkStart w:name="bookmark496" w:id="26"/>
            <w:bookmarkEnd w:id="26"/>
            <w:r>
              <w:rPr>
                <w:rFonts w:ascii="SimSun" w:hAnsi="SimSun" w:eastAsia="SimSun" w:cs="SimSun"/>
                <w:spacing w:val="6"/>
              </w:rPr>
              <w:t>③ </w:t>
            </w:r>
            <w:r>
              <w:rPr>
                <w:spacing w:val="6"/>
              </w:rPr>
              <w:t>矿井水、选矿水和矿山其它</w:t>
            </w:r>
            <w:r>
              <w:rPr>
                <w:spacing w:val="13"/>
              </w:rPr>
              <w:t>外排水应统筹规划、分类管理、综</w:t>
            </w:r>
            <w:r>
              <w:rPr>
                <w:spacing w:val="3"/>
              </w:rPr>
              <w:t>合利用。</w:t>
            </w:r>
          </w:p>
          <w:p>
            <w:pPr>
              <w:pStyle w:val="TableText"/>
              <w:ind w:left="125" w:right="104" w:firstLine="406"/>
              <w:spacing w:before="60" w:line="274" w:lineRule="auto"/>
              <w:rPr/>
            </w:pPr>
            <w:r>
              <w:rPr>
                <w:rFonts w:ascii="SimSun" w:hAnsi="SimSun" w:eastAsia="SimSun" w:cs="SimSun"/>
                <w:spacing w:val="6"/>
              </w:rPr>
              <w:t>④ </w:t>
            </w:r>
            <w:r>
              <w:rPr>
                <w:spacing w:val="6"/>
              </w:rPr>
              <w:t>选矿厂设计时，应考虑最大</w:t>
            </w:r>
            <w:r>
              <w:rPr>
                <w:spacing w:val="25"/>
              </w:rPr>
              <w:t>限度地提高矿产资源的回</w:t>
            </w:r>
            <w:r>
              <w:rPr>
                <w:spacing w:val="-50"/>
              </w:rPr>
              <w:t xml:space="preserve"> </w:t>
            </w:r>
            <w:r>
              <w:rPr>
                <w:spacing w:val="25"/>
              </w:rPr>
              <w:t>收利用</w:t>
            </w:r>
            <w:r>
              <w:rPr>
                <w:spacing w:val="13"/>
              </w:rPr>
              <w:t>率，并同时考虑共、伴生资源的综</w:t>
            </w:r>
            <w:r>
              <w:rPr>
                <w:spacing w:val="2"/>
              </w:rPr>
              <w:t>合利用。</w:t>
            </w:r>
          </w:p>
          <w:p>
            <w:pPr>
              <w:pStyle w:val="TableText"/>
              <w:ind w:left="120" w:right="104" w:firstLine="411"/>
              <w:spacing w:before="63" w:line="268" w:lineRule="auto"/>
              <w:rPr/>
            </w:pPr>
            <w:r>
              <w:rPr>
                <w:rFonts w:ascii="SimSun" w:hAnsi="SimSun" w:eastAsia="SimSun" w:cs="SimSun"/>
                <w:spacing w:val="6"/>
              </w:rPr>
              <w:t>⑤ </w:t>
            </w:r>
            <w:r>
              <w:rPr>
                <w:spacing w:val="6"/>
              </w:rPr>
              <w:t>地面运输系统设计时，宜考</w:t>
            </w:r>
            <w:r>
              <w:rPr>
                <w:spacing w:val="13"/>
              </w:rPr>
              <w:t>虑采用封闭运输通道运输矿物和固</w:t>
            </w:r>
            <w:r>
              <w:rPr>
                <w:spacing w:val="3"/>
              </w:rPr>
              <w:t>体废物。</w:t>
            </w:r>
          </w:p>
        </w:tc>
        <w:tc>
          <w:tcPr>
            <w:tcW w:w="3534" w:type="dxa"/>
            <w:vAlign w:val="top"/>
            <w:tcBorders>
              <w:top w:val="single" w:color="000000" w:sz="10" w:space="0"/>
            </w:tcBorders>
          </w:tcPr>
          <w:p>
            <w:pPr>
              <w:pStyle w:val="TableText"/>
              <w:ind w:left="119" w:right="105" w:firstLine="15"/>
              <w:spacing w:before="33" w:line="288" w:lineRule="auto"/>
              <w:jc w:val="both"/>
              <w:rPr/>
            </w:pPr>
            <w:r>
              <w:rPr>
                <w:spacing w:val="16"/>
              </w:rPr>
              <w:t>它废水进行分类管理</w:t>
            </w:r>
            <w:r>
              <w:rPr>
                <w:spacing w:val="-54"/>
              </w:rPr>
              <w:t xml:space="preserve"> </w:t>
            </w:r>
            <w:r>
              <w:rPr>
                <w:spacing w:val="16"/>
              </w:rPr>
              <w:t>，优先综合利</w:t>
            </w:r>
            <w:r>
              <w:rPr>
                <w:spacing w:val="6"/>
              </w:rPr>
              <w:t>用。项目选厂优选设备，最大限度提</w:t>
            </w:r>
            <w:r>
              <w:rPr>
                <w:spacing w:val="20"/>
              </w:rPr>
              <w:t>高萤石矿回收利用率矿石中伴生元</w:t>
            </w:r>
            <w:r>
              <w:rPr>
                <w:spacing w:val="6"/>
              </w:rPr>
              <w:t>素含量较低，达不到综合利用的标准</w:t>
            </w:r>
            <w:r>
              <w:rPr>
                <w:spacing w:val="11"/>
              </w:rPr>
              <w:t>项</w:t>
            </w:r>
            <w:r>
              <w:rPr>
                <w:spacing w:val="-28"/>
              </w:rPr>
              <w:t xml:space="preserve"> </w:t>
            </w:r>
            <w:r>
              <w:rPr>
                <w:spacing w:val="11"/>
              </w:rPr>
              <w:t>目原矿运输采用封闭式</w:t>
            </w:r>
            <w:r>
              <w:rPr>
                <w:spacing w:val="-35"/>
              </w:rPr>
              <w:t xml:space="preserve"> </w:t>
            </w:r>
            <w:r>
              <w:rPr>
                <w:spacing w:val="11"/>
              </w:rPr>
              <w:t>自卸运输</w:t>
            </w:r>
            <w:r>
              <w:rPr>
                <w:spacing w:val="6"/>
              </w:rPr>
              <w:t>车运至选矿厂，废石采用封闭式自卸</w:t>
            </w:r>
            <w:r>
              <w:rPr>
                <w:spacing w:val="6"/>
              </w:rPr>
              <w:t>运输车运至堆场。</w:t>
            </w:r>
          </w:p>
        </w:tc>
        <w:tc>
          <w:tcPr>
            <w:tcW w:w="719" w:type="dxa"/>
            <w:vAlign w:val="top"/>
            <w:tcBorders>
              <w:top w:val="single" w:color="000000" w:sz="10" w:space="0"/>
              <w:right w:val="nil"/>
            </w:tcBorders>
          </w:tcPr>
          <w:p>
            <w:pPr>
              <w:rPr>
                <w:rFonts w:ascii="Arial"/>
                <w:sz w:val="21"/>
              </w:rPr>
            </w:pPr>
            <w:r/>
          </w:p>
        </w:tc>
      </w:tr>
      <w:tr>
        <w:trPr>
          <w:trHeight w:val="4676" w:hRule="atLeast"/>
        </w:trPr>
        <w:tc>
          <w:tcPr>
            <w:tcW w:w="832" w:type="dxa"/>
            <w:vAlign w:val="top"/>
            <w:tcBorders>
              <w:left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20" w:right="205"/>
              <w:spacing w:before="65" w:line="291" w:lineRule="auto"/>
              <w:rPr/>
            </w:pPr>
            <w:r>
              <w:rPr>
                <w:spacing w:val="2"/>
              </w:rPr>
              <w:t>矿山</w:t>
            </w:r>
            <w:r>
              <w:rPr>
                <w:spacing w:val="2"/>
              </w:rPr>
              <w:t>基建</w:t>
            </w:r>
          </w:p>
        </w:tc>
        <w:tc>
          <w:tcPr>
            <w:tcW w:w="3437" w:type="dxa"/>
            <w:vAlign w:val="top"/>
          </w:tcPr>
          <w:p>
            <w:pPr>
              <w:pStyle w:val="TableText"/>
              <w:ind w:left="121" w:right="104" w:firstLine="411"/>
              <w:spacing w:before="58" w:line="269" w:lineRule="auto"/>
              <w:rPr/>
            </w:pPr>
            <w:r>
              <w:rPr>
                <w:rFonts w:ascii="SimSun" w:hAnsi="SimSun" w:eastAsia="SimSun" w:cs="SimSun"/>
                <w:spacing w:val="21"/>
              </w:rPr>
              <w:t>①</w:t>
            </w:r>
            <w:r>
              <w:rPr>
                <w:rFonts w:ascii="SimSun" w:hAnsi="SimSun" w:eastAsia="SimSun" w:cs="SimSun"/>
                <w:spacing w:val="40"/>
              </w:rPr>
              <w:t xml:space="preserve"> </w:t>
            </w:r>
            <w:r>
              <w:rPr>
                <w:spacing w:val="21"/>
              </w:rPr>
              <w:t>对矿山勘探性钻孔应采取</w:t>
            </w:r>
            <w:r>
              <w:rPr>
                <w:spacing w:val="10"/>
              </w:rPr>
              <w:t>封闭等措施进行处理，</w:t>
            </w:r>
            <w:r>
              <w:rPr>
                <w:spacing w:val="-46"/>
              </w:rPr>
              <w:t xml:space="preserve"> </w:t>
            </w:r>
            <w:r>
              <w:rPr>
                <w:spacing w:val="10"/>
              </w:rPr>
              <w:t>以确保生产</w:t>
            </w:r>
            <w:r>
              <w:rPr/>
              <w:t>安全。</w:t>
            </w:r>
          </w:p>
          <w:p>
            <w:pPr>
              <w:pStyle w:val="TableText"/>
              <w:ind w:left="117" w:right="104" w:firstLine="414"/>
              <w:spacing w:before="61" w:line="268" w:lineRule="auto"/>
              <w:rPr/>
            </w:pPr>
            <w:r>
              <w:rPr>
                <w:rFonts w:ascii="SimSun" w:hAnsi="SimSun" w:eastAsia="SimSun" w:cs="SimSun"/>
                <w:spacing w:val="21"/>
              </w:rPr>
              <w:t>②</w:t>
            </w:r>
            <w:r>
              <w:rPr>
                <w:rFonts w:ascii="SimSun" w:hAnsi="SimSun" w:eastAsia="SimSun" w:cs="SimSun"/>
                <w:spacing w:val="41"/>
              </w:rPr>
              <w:t xml:space="preserve"> </w:t>
            </w:r>
            <w:r>
              <w:rPr>
                <w:spacing w:val="21"/>
              </w:rPr>
              <w:t>对矿山基建可能影响的具</w:t>
            </w:r>
            <w:r>
              <w:rPr>
                <w:spacing w:val="13"/>
              </w:rPr>
              <w:t>有保护价值的动、植物资源，应优</w:t>
            </w:r>
            <w:r>
              <w:rPr>
                <w:spacing w:val="8"/>
              </w:rPr>
              <w:t>先采取就地、就近保护措施。</w:t>
            </w:r>
          </w:p>
          <w:p>
            <w:pPr>
              <w:pStyle w:val="TableText"/>
              <w:ind w:left="119" w:right="104" w:firstLine="413"/>
              <w:spacing w:before="60" w:line="279" w:lineRule="auto"/>
              <w:rPr/>
            </w:pPr>
            <w:r>
              <w:rPr>
                <w:rFonts w:ascii="SimSun" w:hAnsi="SimSun" w:eastAsia="SimSun" w:cs="SimSun"/>
                <w:spacing w:val="6"/>
              </w:rPr>
              <w:t>③ </w:t>
            </w:r>
            <w:r>
              <w:rPr>
                <w:spacing w:val="6"/>
              </w:rPr>
              <w:t>对矿山基建产生的表土、底</w:t>
            </w:r>
            <w:r>
              <w:rPr>
                <w:spacing w:val="13"/>
              </w:rPr>
              <w:t>土和岩石等应分类堆放、分类管理</w:t>
            </w:r>
            <w:r>
              <w:rPr>
                <w:spacing w:val="13"/>
              </w:rPr>
              <w:t>和充分利用。对表土、底土和适于</w:t>
            </w:r>
            <w:r>
              <w:rPr>
                <w:spacing w:val="13"/>
              </w:rPr>
              <w:t>植物生长的地层物质均应进行保护</w:t>
            </w:r>
            <w:r>
              <w:rPr>
                <w:spacing w:val="13"/>
              </w:rPr>
              <w:t>性堆存和利用，可优先用作废弃地</w:t>
            </w:r>
            <w:r>
              <w:rPr>
                <w:spacing w:val="7"/>
              </w:rPr>
              <w:t>复垦时的土壤重构用土。</w:t>
            </w:r>
          </w:p>
          <w:p>
            <w:pPr>
              <w:pStyle w:val="TableText"/>
              <w:ind w:left="122" w:right="104" w:firstLine="410"/>
              <w:spacing w:before="61" w:line="266" w:lineRule="auto"/>
              <w:rPr/>
            </w:pPr>
            <w:r>
              <w:rPr>
                <w:rFonts w:ascii="SimSun" w:hAnsi="SimSun" w:eastAsia="SimSun" w:cs="SimSun"/>
                <w:spacing w:val="16"/>
              </w:rPr>
              <w:t>④</w:t>
            </w:r>
            <w:r>
              <w:rPr>
                <w:rFonts w:ascii="SimSun" w:hAnsi="SimSun" w:eastAsia="SimSun" w:cs="SimSun"/>
                <w:spacing w:val="35"/>
              </w:rPr>
              <w:t xml:space="preserve"> </w:t>
            </w:r>
            <w:r>
              <w:rPr>
                <w:spacing w:val="16"/>
              </w:rPr>
              <w:t>矿山基建应尽量少</w:t>
            </w:r>
            <w:r>
              <w:rPr>
                <w:spacing w:val="-34"/>
              </w:rPr>
              <w:t xml:space="preserve"> </w:t>
            </w:r>
            <w:r>
              <w:rPr>
                <w:spacing w:val="16"/>
              </w:rPr>
              <w:t>占用农</w:t>
            </w:r>
            <w:r>
              <w:rPr>
                <w:spacing w:val="13"/>
              </w:rPr>
              <w:t>田和耕地，矿山基建临时性占地应</w:t>
            </w:r>
            <w:r>
              <w:rPr>
                <w:spacing w:val="4"/>
              </w:rPr>
              <w:t>及时恢复。</w:t>
            </w:r>
          </w:p>
        </w:tc>
        <w:tc>
          <w:tcPr>
            <w:tcW w:w="3534" w:type="dxa"/>
            <w:vAlign w:val="top"/>
          </w:tcPr>
          <w:p>
            <w:pPr>
              <w:spacing w:line="306" w:lineRule="auto"/>
              <w:rPr>
                <w:rFonts w:ascii="Arial"/>
                <w:sz w:val="21"/>
              </w:rPr>
            </w:pPr>
            <w:r/>
          </w:p>
          <w:p>
            <w:pPr>
              <w:spacing w:line="306" w:lineRule="auto"/>
              <w:rPr>
                <w:rFonts w:ascii="Arial"/>
                <w:sz w:val="21"/>
              </w:rPr>
            </w:pPr>
            <w:r/>
          </w:p>
          <w:p>
            <w:pPr>
              <w:pStyle w:val="TableText"/>
              <w:ind w:left="119" w:right="97" w:firstLine="420"/>
              <w:spacing w:before="65" w:line="288" w:lineRule="auto"/>
              <w:jc w:val="both"/>
              <w:rPr/>
            </w:pPr>
            <w:r>
              <w:rPr>
                <w:spacing w:val="16"/>
              </w:rPr>
              <w:t>项</w:t>
            </w:r>
            <w:r>
              <w:rPr>
                <w:spacing w:val="-27"/>
              </w:rPr>
              <w:t xml:space="preserve"> </w:t>
            </w:r>
            <w:r>
              <w:rPr>
                <w:spacing w:val="16"/>
              </w:rPr>
              <w:t>目矿山勘探性钻孔采取封闭</w:t>
            </w:r>
            <w:r>
              <w:rPr>
                <w:spacing w:val="6"/>
              </w:rPr>
              <w:t>等措施进行处理。项目对矿山基建可</w:t>
            </w:r>
            <w:r>
              <w:rPr>
                <w:spacing w:val="6"/>
              </w:rPr>
              <w:t>能影响的具有保护价值的动、植物资</w:t>
            </w:r>
            <w:r>
              <w:rPr>
                <w:spacing w:val="6"/>
              </w:rPr>
              <w:t>源，优先采取就地、就近保护措施。</w:t>
            </w:r>
            <w:r>
              <w:rPr>
                <w:spacing w:val="20"/>
              </w:rPr>
              <w:t>对矿山基建产生的废石部分综合利</w:t>
            </w:r>
            <w:r>
              <w:rPr>
                <w:spacing w:val="6"/>
              </w:rPr>
              <w:t>用，基建废石临时堆放至废石堆场，</w:t>
            </w:r>
            <w:r>
              <w:rPr>
                <w:spacing w:val="6"/>
              </w:rPr>
              <w:t>后期回填采空区；剥离的表土集中堆</w:t>
            </w:r>
            <w:r>
              <w:rPr>
                <w:spacing w:val="6"/>
              </w:rPr>
              <w:t>放至封闭建设的表土堆场内，设置麻</w:t>
            </w:r>
            <w:r>
              <w:rPr>
                <w:spacing w:val="6"/>
              </w:rPr>
              <w:t>袋装土拦挡措施，后期全部用于矿山</w:t>
            </w:r>
            <w:r>
              <w:rPr>
                <w:spacing w:val="6"/>
              </w:rPr>
              <w:t>环境恢复治理。根据自然资源局证明</w:t>
            </w:r>
            <w:r>
              <w:rPr>
                <w:spacing w:val="7"/>
              </w:rPr>
              <w:t>文件，项目不占用基本农田。</w:t>
            </w:r>
          </w:p>
        </w:tc>
        <w:tc>
          <w:tcPr>
            <w:tcW w:w="719" w:type="dxa"/>
            <w:vAlign w:val="top"/>
            <w:tcBorders>
              <w:right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64"/>
              <w:spacing w:before="65" w:line="229" w:lineRule="auto"/>
              <w:rPr/>
            </w:pPr>
            <w:r>
              <w:rPr>
                <w:spacing w:val="-1"/>
              </w:rPr>
              <w:t>符合</w:t>
            </w:r>
          </w:p>
        </w:tc>
      </w:tr>
      <w:tr>
        <w:trPr>
          <w:trHeight w:val="2808" w:hRule="atLeast"/>
        </w:trPr>
        <w:tc>
          <w:tcPr>
            <w:tcW w:w="832" w:type="dxa"/>
            <w:vAlign w:val="top"/>
            <w:vMerge w:val="restart"/>
            <w:tcBorders>
              <w:bottom w:val="nil"/>
              <w:left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21"/>
              <w:spacing w:before="65" w:line="231" w:lineRule="auto"/>
              <w:rPr/>
            </w:pPr>
            <w:r>
              <w:rPr>
                <w:spacing w:val="1"/>
              </w:rPr>
              <w:t>采矿</w:t>
            </w:r>
          </w:p>
        </w:tc>
        <w:tc>
          <w:tcPr>
            <w:tcW w:w="3437" w:type="dxa"/>
            <w:vAlign w:val="top"/>
          </w:tcPr>
          <w:p>
            <w:pPr>
              <w:pStyle w:val="TableText"/>
              <w:ind w:left="544"/>
              <w:spacing w:before="65" w:line="231" w:lineRule="auto"/>
              <w:rPr/>
            </w:pPr>
            <w:r>
              <w:rPr>
                <w:spacing w:val="8"/>
              </w:rPr>
              <w:t>（一）鼓励采用的采矿技术</w:t>
            </w:r>
          </w:p>
          <w:p>
            <w:pPr>
              <w:pStyle w:val="TableText"/>
              <w:ind w:left="120" w:right="104" w:firstLine="412"/>
              <w:spacing w:before="61" w:line="269" w:lineRule="auto"/>
              <w:rPr/>
            </w:pPr>
            <w:r>
              <w:rPr>
                <w:spacing w:val="20"/>
              </w:rPr>
              <w:t>③</w:t>
            </w:r>
            <w:r>
              <w:rPr>
                <w:spacing w:val="51"/>
              </w:rPr>
              <w:t xml:space="preserve"> </w:t>
            </w:r>
            <w:r>
              <w:rPr>
                <w:spacing w:val="20"/>
              </w:rPr>
              <w:t>推广应用充填采矿工艺技</w:t>
            </w:r>
            <w:r>
              <w:rPr>
                <w:spacing w:val="13"/>
              </w:rPr>
              <w:t>术，提倡废不出井，利用尾砂、废</w:t>
            </w:r>
            <w:r>
              <w:rPr>
                <w:spacing w:val="6"/>
              </w:rPr>
              <w:t>石充填采空区。</w:t>
            </w:r>
          </w:p>
          <w:p>
            <w:pPr>
              <w:pStyle w:val="TableText"/>
              <w:ind w:left="123" w:right="104" w:firstLine="409"/>
              <w:spacing w:before="62" w:line="274" w:lineRule="auto"/>
              <w:rPr/>
            </w:pPr>
            <w:r>
              <w:rPr>
                <w:spacing w:val="6"/>
              </w:rPr>
              <w:t>⑦</w:t>
            </w:r>
            <w:r>
              <w:rPr>
                <w:spacing w:val="6"/>
              </w:rPr>
              <w:t xml:space="preserve"> </w:t>
            </w:r>
            <w:r>
              <w:rPr>
                <w:spacing w:val="6"/>
              </w:rPr>
              <w:t>在不能对基础设施、道路、</w:t>
            </w:r>
            <w:r>
              <w:rPr>
                <w:spacing w:val="13"/>
              </w:rPr>
              <w:t>河流、湖泊林木等进行拆迁或异地</w:t>
            </w:r>
            <w:r>
              <w:rPr>
                <w:spacing w:val="13"/>
              </w:rPr>
              <w:t>补偿的情况下，在矿山开采中应保</w:t>
            </w:r>
            <w:r>
              <w:rPr>
                <w:spacing w:val="13"/>
              </w:rPr>
              <w:t>留安全矿柱，确保地面塌陷在允许</w:t>
            </w:r>
            <w:r>
              <w:rPr>
                <w:spacing w:val="2"/>
              </w:rPr>
              <w:t>范围内。</w:t>
            </w:r>
          </w:p>
        </w:tc>
        <w:tc>
          <w:tcPr>
            <w:tcW w:w="3534" w:type="dxa"/>
            <w:vAlign w:val="top"/>
          </w:tcPr>
          <w:p>
            <w:pPr>
              <w:pStyle w:val="TableText"/>
              <w:ind w:left="119" w:right="105" w:firstLine="420"/>
              <w:spacing w:before="219" w:line="288" w:lineRule="auto"/>
              <w:jc w:val="both"/>
              <w:rPr/>
            </w:pPr>
            <w:r>
              <w:rPr>
                <w:spacing w:val="16"/>
              </w:rPr>
              <w:t>项</w:t>
            </w:r>
            <w:r>
              <w:rPr>
                <w:spacing w:val="-30"/>
              </w:rPr>
              <w:t xml:space="preserve"> </w:t>
            </w:r>
            <w:r>
              <w:rPr>
                <w:spacing w:val="16"/>
              </w:rPr>
              <w:t>目采矿方法采用浅孔留矿嗣</w:t>
            </w:r>
            <w:r>
              <w:rPr>
                <w:spacing w:val="6"/>
              </w:rPr>
              <w:t>后充填采矿法、分段空场嗣后充填采</w:t>
            </w:r>
            <w:r>
              <w:rPr>
                <w:spacing w:val="6"/>
              </w:rPr>
              <w:t>矿方法，生产后期产生废石不出井，</w:t>
            </w:r>
            <w:r>
              <w:rPr>
                <w:spacing w:val="6"/>
              </w:rPr>
              <w:t>直接充填至井下空区，利用尾矿及废</w:t>
            </w:r>
            <w:r>
              <w:rPr>
                <w:spacing w:val="6"/>
              </w:rPr>
              <w:t>石充填采空区。项目开采方式为地下</w:t>
            </w:r>
            <w:r>
              <w:rPr>
                <w:spacing w:val="6"/>
              </w:rPr>
              <w:t>开采，根据矿山矿产资源开发利用方</w:t>
            </w:r>
            <w:r>
              <w:rPr>
                <w:spacing w:val="6"/>
              </w:rPr>
              <w:t>案，矿山开采中保留安全矿柱，确保</w:t>
            </w:r>
            <w:r>
              <w:rPr>
                <w:spacing w:val="7"/>
              </w:rPr>
              <w:t>地面塌陷在允许范围内。</w:t>
            </w:r>
          </w:p>
        </w:tc>
        <w:tc>
          <w:tcPr>
            <w:tcW w:w="719" w:type="dxa"/>
            <w:vAlign w:val="top"/>
            <w:tcBorders>
              <w:right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64"/>
              <w:spacing w:before="65" w:line="229" w:lineRule="auto"/>
              <w:rPr/>
            </w:pPr>
            <w:r>
              <w:rPr>
                <w:spacing w:val="-1"/>
              </w:rPr>
              <w:t>符合</w:t>
            </w:r>
          </w:p>
        </w:tc>
      </w:tr>
      <w:tr>
        <w:trPr>
          <w:trHeight w:val="3141" w:hRule="atLeast"/>
        </w:trPr>
        <w:tc>
          <w:tcPr>
            <w:tcW w:w="832" w:type="dxa"/>
            <w:vAlign w:val="top"/>
            <w:vMerge w:val="continue"/>
            <w:tcBorders>
              <w:bottom w:val="single" w:color="000000" w:sz="10" w:space="0"/>
              <w:left w:val="nil"/>
              <w:top w:val="nil"/>
            </w:tcBorders>
          </w:tcPr>
          <w:p>
            <w:pPr>
              <w:rPr>
                <w:rFonts w:ascii="Arial"/>
                <w:sz w:val="21"/>
              </w:rPr>
            </w:pPr>
            <w:r/>
          </w:p>
        </w:tc>
        <w:tc>
          <w:tcPr>
            <w:tcW w:w="3437" w:type="dxa"/>
            <w:vAlign w:val="top"/>
            <w:tcBorders>
              <w:bottom w:val="single" w:color="000000" w:sz="10" w:space="0"/>
            </w:tcBorders>
          </w:tcPr>
          <w:p>
            <w:pPr>
              <w:pStyle w:val="TableText"/>
              <w:ind w:left="119" w:right="107" w:firstLine="425"/>
              <w:spacing w:before="70" w:line="288" w:lineRule="auto"/>
              <w:rPr/>
            </w:pPr>
            <w:r>
              <w:rPr>
                <w:spacing w:val="13"/>
              </w:rPr>
              <w:t>（二）矿坑水的综合利用和废</w:t>
            </w:r>
            <w:r>
              <w:rPr>
                <w:spacing w:val="7"/>
              </w:rPr>
              <w:t>水、废气的处理</w:t>
            </w:r>
          </w:p>
          <w:p>
            <w:pPr>
              <w:pStyle w:val="TableText"/>
              <w:ind w:left="132" w:right="33" w:firstLine="401"/>
              <w:spacing w:line="258" w:lineRule="auto"/>
              <w:rPr/>
            </w:pPr>
            <w:r>
              <w:rPr>
                <w:spacing w:val="20"/>
              </w:rPr>
              <w:t>①</w:t>
            </w:r>
            <w:r>
              <w:rPr>
                <w:spacing w:val="50"/>
              </w:rPr>
              <w:t xml:space="preserve"> </w:t>
            </w:r>
            <w:r>
              <w:rPr>
                <w:spacing w:val="20"/>
              </w:rPr>
              <w:t>鼓励将矿坑水优先利用为</w:t>
            </w:r>
            <w:r>
              <w:rPr>
                <w:spacing w:val="4"/>
              </w:rPr>
              <w:t>生产用水，作为辅助水源加以利用。</w:t>
            </w:r>
          </w:p>
          <w:p>
            <w:pPr>
              <w:pStyle w:val="TableText"/>
              <w:ind w:left="119" w:right="104" w:firstLine="413"/>
              <w:spacing w:before="63" w:line="274" w:lineRule="auto"/>
              <w:rPr/>
            </w:pPr>
            <w:r>
              <w:rPr>
                <w:spacing w:val="12"/>
              </w:rPr>
              <w:t>②</w:t>
            </w:r>
            <w:r>
              <w:rPr>
                <w:spacing w:val="59"/>
              </w:rPr>
              <w:t xml:space="preserve"> </w:t>
            </w:r>
            <w:r>
              <w:rPr>
                <w:spacing w:val="12"/>
              </w:rPr>
              <w:t>宜采取修筑排水沟</w:t>
            </w:r>
            <w:r>
              <w:rPr>
                <w:spacing w:val="-54"/>
              </w:rPr>
              <w:t xml:space="preserve"> </w:t>
            </w:r>
            <w:r>
              <w:rPr>
                <w:spacing w:val="12"/>
              </w:rPr>
              <w:t>、</w:t>
            </w:r>
            <w:r>
              <w:rPr>
                <w:spacing w:val="-58"/>
              </w:rPr>
              <w:t xml:space="preserve"> </w:t>
            </w:r>
            <w:r>
              <w:rPr>
                <w:spacing w:val="12"/>
              </w:rPr>
              <w:t>引流</w:t>
            </w:r>
            <w:r>
              <w:rPr>
                <w:spacing w:val="11"/>
              </w:rPr>
              <w:t>渠，预先截堵水，</w:t>
            </w:r>
            <w:r>
              <w:rPr>
                <w:spacing w:val="-59"/>
              </w:rPr>
              <w:t xml:space="preserve"> </w:t>
            </w:r>
            <w:r>
              <w:rPr>
                <w:spacing w:val="11"/>
              </w:rPr>
              <w:t>防渗漏处理等措</w:t>
            </w:r>
            <w:r>
              <w:rPr>
                <w:spacing w:val="13"/>
              </w:rPr>
              <w:t>施，防止或减少各种水源进入露天</w:t>
            </w:r>
            <w:r>
              <w:rPr>
                <w:spacing w:val="6"/>
              </w:rPr>
              <w:t>采场和地下井巷。</w:t>
            </w:r>
          </w:p>
          <w:p>
            <w:pPr>
              <w:pStyle w:val="TableText"/>
              <w:ind w:left="123" w:right="39" w:firstLine="409"/>
              <w:spacing w:before="62" w:line="258" w:lineRule="auto"/>
              <w:rPr/>
            </w:pPr>
            <w:r>
              <w:rPr>
                <w:spacing w:val="6"/>
              </w:rPr>
              <w:t>⑥</w:t>
            </w:r>
            <w:r>
              <w:rPr>
                <w:spacing w:val="6"/>
              </w:rPr>
              <w:t xml:space="preserve"> </w:t>
            </w:r>
            <w:r>
              <w:rPr>
                <w:spacing w:val="6"/>
              </w:rPr>
              <w:t>宜采用安装除尘装置，湿式</w:t>
            </w:r>
            <w:r>
              <w:rPr>
                <w:spacing w:val="4"/>
              </w:rPr>
              <w:t>作业，个体防护等措施，防治凿岩、</w:t>
            </w:r>
          </w:p>
        </w:tc>
        <w:tc>
          <w:tcPr>
            <w:tcW w:w="3534" w:type="dxa"/>
            <w:vAlign w:val="top"/>
            <w:tcBorders>
              <w:bottom w:val="single" w:color="000000" w:sz="10" w:space="0"/>
            </w:tcBorders>
          </w:tcPr>
          <w:p>
            <w:pPr>
              <w:pStyle w:val="TableText"/>
              <w:ind w:left="117" w:right="103" w:firstLine="423"/>
              <w:spacing w:before="227" w:line="288" w:lineRule="auto"/>
              <w:jc w:val="both"/>
              <w:rPr/>
            </w:pPr>
            <w:r>
              <w:rPr>
                <w:spacing w:val="16"/>
              </w:rPr>
              <w:t>项</w:t>
            </w:r>
            <w:r>
              <w:rPr>
                <w:spacing w:val="-27"/>
              </w:rPr>
              <w:t xml:space="preserve"> </w:t>
            </w:r>
            <w:r>
              <w:rPr>
                <w:spacing w:val="16"/>
              </w:rPr>
              <w:t>目产生的矿井涌水经沉淀处</w:t>
            </w:r>
            <w:r>
              <w:rPr>
                <w:spacing w:val="6"/>
              </w:rPr>
              <w:t>理后用于井下生产及选矿生产，不外</w:t>
            </w:r>
            <w:r>
              <w:rPr>
                <w:spacing w:val="6"/>
              </w:rPr>
              <w:t>排。项目开采方式为地下开采，采取</w:t>
            </w:r>
            <w:r>
              <w:rPr>
                <w:spacing w:val="6"/>
              </w:rPr>
              <w:t>修筑排水沟、防渗漏处理等措施，减</w:t>
            </w:r>
            <w:r>
              <w:rPr>
                <w:spacing w:val="6"/>
              </w:rPr>
              <w:t>少各种水源进入地下井巷。项目采矿</w:t>
            </w:r>
            <w:r>
              <w:rPr>
                <w:spacing w:val="6"/>
              </w:rPr>
              <w:t>过程采取湿式凿岩降尘、洒水降尘、</w:t>
            </w:r>
            <w:r>
              <w:rPr>
                <w:spacing w:val="6"/>
              </w:rPr>
              <w:t>各产尘点喷水降尘等抑尘措施；物料</w:t>
            </w:r>
            <w:r>
              <w:rPr>
                <w:spacing w:val="6"/>
              </w:rPr>
              <w:t>运输过程，控制运输车辆的车速以减</w:t>
            </w:r>
            <w:r>
              <w:rPr>
                <w:spacing w:val="7"/>
              </w:rPr>
              <w:t>少运输粉尘的产生。</w:t>
            </w:r>
          </w:p>
        </w:tc>
        <w:tc>
          <w:tcPr>
            <w:tcW w:w="719" w:type="dxa"/>
            <w:vAlign w:val="top"/>
            <w:tcBorders>
              <w:bottom w:val="single" w:color="000000" w:sz="10" w:space="0"/>
              <w:right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64"/>
              <w:spacing w:before="65" w:line="229" w:lineRule="auto"/>
              <w:rPr/>
            </w:pPr>
            <w:r>
              <w:rPr>
                <w:spacing w:val="-1"/>
              </w:rPr>
              <w:t>符合</w:t>
            </w:r>
          </w:p>
        </w:tc>
      </w:tr>
    </w:tbl>
    <w:p>
      <w:pPr>
        <w:pStyle w:val="BodyText"/>
        <w:rPr/>
      </w:pPr>
      <w:r/>
    </w:p>
    <w:p>
      <w:pPr>
        <w:sectPr>
          <w:footerReference w:type="default" r:id="rId38"/>
          <w:pgSz w:w="11906" w:h="16839"/>
          <w:pgMar w:top="1250" w:right="1691" w:bottom="1349" w:left="1691" w:header="831" w:footer="1162" w:gutter="0"/>
        </w:sectPr>
        <w:rPr/>
      </w:pPr>
    </w:p>
    <w:p>
      <w:pPr>
        <w:spacing w:line="189"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2"/>
        <w:gridCol w:w="3437"/>
        <w:gridCol w:w="3534"/>
        <w:gridCol w:w="719"/>
      </w:tblGrid>
      <w:tr>
        <w:trPr>
          <w:trHeight w:val="613" w:hRule="atLeast"/>
        </w:trPr>
        <w:tc>
          <w:tcPr>
            <w:tcW w:w="832" w:type="dxa"/>
            <w:vAlign w:val="top"/>
            <w:tcBorders>
              <w:left w:val="nil"/>
              <w:top w:val="single" w:color="000000" w:sz="10" w:space="0"/>
            </w:tcBorders>
          </w:tcPr>
          <w:p>
            <w:pPr>
              <w:rPr>
                <w:rFonts w:ascii="Arial"/>
                <w:sz w:val="21"/>
              </w:rPr>
            </w:pPr>
            <w:r/>
          </w:p>
        </w:tc>
        <w:tc>
          <w:tcPr>
            <w:tcW w:w="3437" w:type="dxa"/>
            <w:vAlign w:val="top"/>
            <w:tcBorders>
              <w:top w:val="single" w:color="000000" w:sz="10" w:space="0"/>
            </w:tcBorders>
          </w:tcPr>
          <w:p>
            <w:pPr>
              <w:pStyle w:val="TableText"/>
              <w:ind w:left="121" w:right="104" w:hanging="1"/>
              <w:spacing w:before="37" w:line="261" w:lineRule="auto"/>
              <w:rPr/>
            </w:pPr>
            <w:r>
              <w:rPr>
                <w:spacing w:val="13"/>
              </w:rPr>
              <w:t>铲装、运输等采矿作业中的粉尘污</w:t>
            </w:r>
            <w:r>
              <w:rPr>
                <w:spacing w:val="-4"/>
              </w:rPr>
              <w:t>染。</w:t>
            </w:r>
          </w:p>
        </w:tc>
        <w:tc>
          <w:tcPr>
            <w:tcW w:w="3534" w:type="dxa"/>
            <w:vAlign w:val="top"/>
            <w:tcBorders>
              <w:top w:val="single" w:color="000000" w:sz="10" w:space="0"/>
            </w:tcBorders>
          </w:tcPr>
          <w:p>
            <w:pPr>
              <w:rPr>
                <w:rFonts w:ascii="Arial"/>
                <w:sz w:val="21"/>
              </w:rPr>
            </w:pPr>
            <w:r/>
          </w:p>
        </w:tc>
        <w:tc>
          <w:tcPr>
            <w:tcW w:w="719" w:type="dxa"/>
            <w:vAlign w:val="top"/>
            <w:tcBorders>
              <w:right w:val="nil"/>
              <w:top w:val="single" w:color="000000" w:sz="10" w:space="0"/>
            </w:tcBorders>
          </w:tcPr>
          <w:p>
            <w:pPr>
              <w:rPr>
                <w:rFonts w:ascii="Arial"/>
                <w:sz w:val="21"/>
              </w:rPr>
            </w:pPr>
            <w:r/>
          </w:p>
        </w:tc>
      </w:tr>
      <w:tr>
        <w:trPr>
          <w:trHeight w:val="3119" w:hRule="atLeast"/>
        </w:trPr>
        <w:tc>
          <w:tcPr>
            <w:tcW w:w="832" w:type="dxa"/>
            <w:vAlign w:val="top"/>
            <w:tcBorders>
              <w:left w:val="nil"/>
            </w:tcBorders>
          </w:tcPr>
          <w:p>
            <w:pPr>
              <w:rPr>
                <w:rFonts w:ascii="Arial"/>
                <w:sz w:val="21"/>
              </w:rPr>
            </w:pPr>
            <w:r/>
          </w:p>
        </w:tc>
        <w:tc>
          <w:tcPr>
            <w:tcW w:w="3437" w:type="dxa"/>
            <w:vAlign w:val="top"/>
          </w:tcPr>
          <w:p>
            <w:pPr>
              <w:pStyle w:val="TableText"/>
              <w:ind w:left="120" w:right="107" w:firstLine="424"/>
              <w:spacing w:before="52" w:line="288" w:lineRule="auto"/>
              <w:rPr/>
            </w:pPr>
            <w:r>
              <w:rPr>
                <w:spacing w:val="9"/>
              </w:rPr>
              <w:t>（三）</w:t>
            </w:r>
            <w:r>
              <w:rPr>
                <w:spacing w:val="-38"/>
              </w:rPr>
              <w:t xml:space="preserve"> </w:t>
            </w:r>
            <w:r>
              <w:rPr>
                <w:spacing w:val="9"/>
              </w:rPr>
              <w:t>固体废物贮存和综合利</w:t>
            </w:r>
            <w:r>
              <w:rPr/>
              <w:t>用</w:t>
            </w:r>
          </w:p>
          <w:p>
            <w:pPr>
              <w:pStyle w:val="TableText"/>
              <w:ind w:left="119" w:right="104" w:firstLine="414"/>
              <w:spacing w:before="6" w:line="280" w:lineRule="auto"/>
              <w:jc w:val="both"/>
              <w:rPr/>
            </w:pPr>
            <w:r>
              <w:rPr>
                <w:spacing w:val="20"/>
              </w:rPr>
              <w:t>①</w:t>
            </w:r>
            <w:r>
              <w:rPr>
                <w:spacing w:val="50"/>
              </w:rPr>
              <w:t xml:space="preserve"> </w:t>
            </w:r>
            <w:r>
              <w:rPr>
                <w:spacing w:val="20"/>
              </w:rPr>
              <w:t>对采矿活动所产生的固体</w:t>
            </w:r>
            <w:r>
              <w:rPr>
                <w:spacing w:val="13"/>
              </w:rPr>
              <w:t>废物，应使用专用场所堆放，并采</w:t>
            </w:r>
            <w:r>
              <w:rPr>
                <w:spacing w:val="13"/>
              </w:rPr>
              <w:t>取有效措施防止二次环境污染及诱</w:t>
            </w:r>
            <w:r>
              <w:rPr>
                <w:spacing w:val="13"/>
              </w:rPr>
              <w:t>发次生地质灾害。应根据采矿固体</w:t>
            </w:r>
            <w:r>
              <w:rPr>
                <w:spacing w:val="13"/>
              </w:rPr>
              <w:t>废物的性质、贮存场所的工程地质</w:t>
            </w:r>
            <w:r>
              <w:rPr>
                <w:spacing w:val="13"/>
              </w:rPr>
              <w:t>情况，采用完善的防渗、集排水措</w:t>
            </w:r>
            <w:r>
              <w:rPr>
                <w:spacing w:val="13"/>
              </w:rPr>
              <w:t>施，防止淋溶水污染地表水和地下</w:t>
            </w:r>
            <w:r>
              <w:rPr>
                <w:spacing w:val="-3"/>
              </w:rPr>
              <w:t>水。</w:t>
            </w:r>
          </w:p>
        </w:tc>
        <w:tc>
          <w:tcPr>
            <w:tcW w:w="3534"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119" w:right="105" w:firstLine="420"/>
              <w:spacing w:before="65" w:line="288" w:lineRule="auto"/>
              <w:jc w:val="both"/>
              <w:rPr/>
            </w:pPr>
            <w:r>
              <w:rPr>
                <w:spacing w:val="16"/>
              </w:rPr>
              <w:t>项</w:t>
            </w:r>
            <w:r>
              <w:rPr>
                <w:spacing w:val="-27"/>
              </w:rPr>
              <w:t xml:space="preserve"> </w:t>
            </w:r>
            <w:r>
              <w:rPr>
                <w:spacing w:val="16"/>
              </w:rPr>
              <w:t>目设置尾矿临时堆场暂存尾</w:t>
            </w:r>
            <w:r>
              <w:rPr>
                <w:spacing w:val="6"/>
              </w:rPr>
              <w:t>矿，采用封闭建设、设置挡土墙等工</w:t>
            </w:r>
            <w:r>
              <w:rPr>
                <w:spacing w:val="6"/>
              </w:rPr>
              <w:t>程措施以及防渗、集排水措施，防止</w:t>
            </w:r>
            <w:r>
              <w:rPr>
                <w:spacing w:val="6"/>
              </w:rPr>
              <w:t>污染地表水和地下水，防止二次污染</w:t>
            </w:r>
            <w:r>
              <w:rPr>
                <w:spacing w:val="5"/>
              </w:rPr>
              <w:t>和次生灾害。</w:t>
            </w:r>
          </w:p>
        </w:tc>
        <w:tc>
          <w:tcPr>
            <w:tcW w:w="719" w:type="dxa"/>
            <w:vAlign w:val="top"/>
            <w:tcBorders>
              <w:right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64"/>
              <w:spacing w:before="65" w:line="229" w:lineRule="auto"/>
              <w:rPr/>
            </w:pPr>
            <w:r>
              <w:rPr>
                <w:spacing w:val="-1"/>
              </w:rPr>
              <w:t>符合</w:t>
            </w:r>
          </w:p>
        </w:tc>
      </w:tr>
      <w:tr>
        <w:trPr>
          <w:trHeight w:val="5299" w:hRule="atLeast"/>
        </w:trPr>
        <w:tc>
          <w:tcPr>
            <w:tcW w:w="832" w:type="dxa"/>
            <w:vAlign w:val="top"/>
            <w:tcBorders>
              <w:left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22"/>
              <w:spacing w:before="65" w:line="232" w:lineRule="auto"/>
              <w:rPr/>
            </w:pPr>
            <w:r>
              <w:rPr/>
              <w:t>选矿</w:t>
            </w:r>
          </w:p>
        </w:tc>
        <w:tc>
          <w:tcPr>
            <w:tcW w:w="3437" w:type="dxa"/>
            <w:vAlign w:val="top"/>
          </w:tcPr>
          <w:p>
            <w:pPr>
              <w:pStyle w:val="TableText"/>
              <w:ind w:left="544"/>
              <w:spacing w:before="57" w:line="232" w:lineRule="auto"/>
              <w:rPr/>
            </w:pPr>
            <w:r>
              <w:rPr>
                <w:spacing w:val="8"/>
              </w:rPr>
              <w:t>（二）选矿废水、废气的处理</w:t>
            </w:r>
          </w:p>
          <w:p>
            <w:pPr>
              <w:pStyle w:val="TableText"/>
              <w:ind w:left="119" w:right="49" w:firstLine="414"/>
              <w:spacing w:before="59" w:line="274" w:lineRule="auto"/>
              <w:rPr/>
            </w:pPr>
            <w:r>
              <w:rPr>
                <w:spacing w:val="20"/>
              </w:rPr>
              <w:t>①</w:t>
            </w:r>
            <w:r>
              <w:rPr>
                <w:spacing w:val="50"/>
              </w:rPr>
              <w:t xml:space="preserve"> </w:t>
            </w:r>
            <w:r>
              <w:rPr>
                <w:spacing w:val="20"/>
              </w:rPr>
              <w:t>选矿废水（含尾矿库溢流</w:t>
            </w:r>
            <w:r>
              <w:rPr>
                <w:spacing w:val="13"/>
              </w:rPr>
              <w:t>水）应循环利用，力求实现闭路循</w:t>
            </w:r>
            <w:r>
              <w:rPr>
                <w:spacing w:val="3"/>
              </w:rPr>
              <w:t>环。未循环利用的部分应进行收集，</w:t>
            </w:r>
            <w:r>
              <w:rPr>
                <w:spacing w:val="6"/>
              </w:rPr>
              <w:t>处理达标后排放。</w:t>
            </w:r>
          </w:p>
          <w:p>
            <w:pPr>
              <w:pStyle w:val="TableText"/>
              <w:ind w:left="120" w:right="33" w:firstLine="412"/>
              <w:spacing w:before="62" w:line="268" w:lineRule="auto"/>
              <w:rPr/>
            </w:pPr>
            <w:r>
              <w:rPr>
                <w:spacing w:val="16"/>
              </w:rPr>
              <w:t>③</w:t>
            </w:r>
            <w:r>
              <w:rPr>
                <w:spacing w:val="55"/>
              </w:rPr>
              <w:t xml:space="preserve"> </w:t>
            </w:r>
            <w:r>
              <w:rPr>
                <w:spacing w:val="16"/>
              </w:rPr>
              <w:t>宜采用尘源密闭</w:t>
            </w:r>
            <w:r>
              <w:rPr>
                <w:spacing w:val="-56"/>
              </w:rPr>
              <w:t xml:space="preserve"> </w:t>
            </w:r>
            <w:r>
              <w:rPr>
                <w:spacing w:val="16"/>
              </w:rPr>
              <w:t>、局部抽</w:t>
            </w:r>
            <w:r>
              <w:rPr>
                <w:spacing w:val="13"/>
              </w:rPr>
              <w:t>风、安装除尘装置等措施，防治破</w:t>
            </w:r>
            <w:r>
              <w:rPr>
                <w:spacing w:val="4"/>
              </w:rPr>
              <w:t>碎、筛分等选矿作业中的粉尘污染。</w:t>
            </w:r>
          </w:p>
          <w:p>
            <w:pPr>
              <w:pStyle w:val="TableText"/>
              <w:ind w:left="544"/>
              <w:spacing w:before="64" w:line="228" w:lineRule="auto"/>
              <w:rPr/>
            </w:pPr>
            <w:r>
              <w:rPr>
                <w:spacing w:val="8"/>
              </w:rPr>
              <w:t>（三）尾矿的贮存和综合利用</w:t>
            </w:r>
          </w:p>
          <w:p>
            <w:pPr>
              <w:pStyle w:val="TableText"/>
              <w:ind w:left="119" w:right="107" w:firstLine="425"/>
              <w:spacing w:before="65" w:line="288" w:lineRule="auto"/>
              <w:rPr/>
            </w:pPr>
            <w:r>
              <w:rPr>
                <w:spacing w:val="5"/>
              </w:rPr>
              <w:t>（</w:t>
            </w:r>
            <w:r>
              <w:rPr>
                <w:rFonts w:ascii="Times New Roman" w:hAnsi="Times New Roman" w:eastAsia="Times New Roman" w:cs="Times New Roman"/>
                <w:spacing w:val="5"/>
              </w:rPr>
              <w:t>2</w:t>
            </w:r>
            <w:r>
              <w:rPr>
                <w:spacing w:val="5"/>
              </w:rPr>
              <w:t>）推广选矿固体废物的综合</w:t>
            </w:r>
            <w:r>
              <w:rPr>
                <w:spacing w:val="4"/>
              </w:rPr>
              <w:t>利用技术。</w:t>
            </w:r>
          </w:p>
          <w:p>
            <w:pPr>
              <w:pStyle w:val="TableText"/>
              <w:ind w:left="119" w:right="107" w:firstLine="413"/>
              <w:spacing w:before="2" w:line="268" w:lineRule="auto"/>
              <w:rPr/>
            </w:pPr>
            <w:r>
              <w:rPr>
                <w:spacing w:val="20"/>
              </w:rPr>
              <w:t>②</w:t>
            </w:r>
            <w:r>
              <w:rPr>
                <w:spacing w:val="51"/>
              </w:rPr>
              <w:t xml:space="preserve"> </w:t>
            </w:r>
            <w:r>
              <w:rPr>
                <w:spacing w:val="20"/>
              </w:rPr>
              <w:t>利用尾矿加工生产建筑材</w:t>
            </w:r>
            <w:r>
              <w:rPr>
                <w:spacing w:val="13"/>
              </w:rPr>
              <w:t>料及制品技术，如作水泥添加剂、</w:t>
            </w:r>
            <w:r>
              <w:rPr>
                <w:spacing w:val="5"/>
              </w:rPr>
              <w:t>尾矿制砖等；</w:t>
            </w:r>
          </w:p>
          <w:p>
            <w:pPr>
              <w:pStyle w:val="TableText"/>
              <w:ind w:left="119" w:right="104" w:firstLine="413"/>
              <w:spacing w:before="61" w:line="266" w:lineRule="auto"/>
              <w:rPr/>
            </w:pPr>
            <w:r>
              <w:rPr>
                <w:spacing w:val="6"/>
              </w:rPr>
              <w:t>③</w:t>
            </w:r>
            <w:r>
              <w:rPr>
                <w:spacing w:val="6"/>
              </w:rPr>
              <w:t xml:space="preserve"> </w:t>
            </w:r>
            <w:r>
              <w:rPr>
                <w:spacing w:val="6"/>
              </w:rPr>
              <w:t>推广利用尾矿、废石作充填</w:t>
            </w:r>
            <w:r>
              <w:rPr>
                <w:spacing w:val="13"/>
              </w:rPr>
              <w:t>料，充填采空区或塌陷地的工艺技</w:t>
            </w:r>
            <w:r>
              <w:rPr>
                <w:spacing w:val="-3"/>
              </w:rPr>
              <w:t>术。</w:t>
            </w:r>
          </w:p>
        </w:tc>
        <w:tc>
          <w:tcPr>
            <w:tcW w:w="353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19" w:right="105" w:firstLine="421"/>
              <w:spacing w:before="65" w:line="288" w:lineRule="auto"/>
              <w:jc w:val="both"/>
              <w:rPr/>
            </w:pPr>
            <w:r>
              <w:rPr>
                <w:spacing w:val="5"/>
              </w:rPr>
              <w:t>项目选矿废水处理后全部回用，</w:t>
            </w:r>
            <w:r>
              <w:rPr>
                <w:spacing w:val="6"/>
              </w:rPr>
              <w:t>不外排。项目破碎、筛分等选矿作业</w:t>
            </w:r>
            <w:r>
              <w:rPr>
                <w:spacing w:val="6"/>
              </w:rPr>
              <w:t>在密闭车间内进行，生产过程中产生</w:t>
            </w:r>
            <w:r>
              <w:rPr>
                <w:spacing w:val="20"/>
              </w:rPr>
              <w:t>的废气经布袋除尘器处理后达标排</w:t>
            </w:r>
            <w:r>
              <w:rPr>
                <w:spacing w:val="6"/>
              </w:rPr>
              <w:t>放。项目利用尾矿、废石作充填料，</w:t>
            </w:r>
            <w:r>
              <w:rPr>
                <w:spacing w:val="6"/>
              </w:rPr>
              <w:t>回填进行采空区；尾砂经压滤脱水后</w:t>
            </w:r>
            <w:r>
              <w:rPr>
                <w:spacing w:val="6"/>
              </w:rPr>
              <w:t>临时堆存在选矿车间尾砂池内，优先</w:t>
            </w:r>
            <w:r>
              <w:rPr>
                <w:spacing w:val="6"/>
              </w:rPr>
              <w:t>用于回填井下采空区，剩余外售至建</w:t>
            </w:r>
            <w:r>
              <w:rPr>
                <w:spacing w:val="7"/>
              </w:rPr>
              <w:t>材企业生产建筑材料。</w:t>
            </w:r>
          </w:p>
        </w:tc>
        <w:tc>
          <w:tcPr>
            <w:tcW w:w="719" w:type="dxa"/>
            <w:vAlign w:val="top"/>
            <w:tcBorders>
              <w:right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64"/>
              <w:spacing w:before="65" w:line="229" w:lineRule="auto"/>
              <w:rPr/>
            </w:pPr>
            <w:r>
              <w:rPr>
                <w:spacing w:val="-1"/>
              </w:rPr>
              <w:t>符合</w:t>
            </w:r>
          </w:p>
        </w:tc>
      </w:tr>
      <w:tr>
        <w:trPr>
          <w:trHeight w:val="4728" w:hRule="atLeast"/>
        </w:trPr>
        <w:tc>
          <w:tcPr>
            <w:tcW w:w="832" w:type="dxa"/>
            <w:vAlign w:val="top"/>
            <w:tcBorders>
              <w:left w:val="nil"/>
              <w:bottom w:val="single" w:color="000000" w:sz="10"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22"/>
              <w:spacing w:before="65" w:line="232" w:lineRule="auto"/>
              <w:rPr/>
            </w:pPr>
            <w:r>
              <w:rPr/>
              <w:t>废弃</w:t>
            </w:r>
          </w:p>
          <w:p>
            <w:pPr>
              <w:pStyle w:val="TableText"/>
              <w:ind w:left="221"/>
              <w:spacing w:before="61" w:line="232" w:lineRule="auto"/>
              <w:rPr/>
            </w:pPr>
            <w:r>
              <w:rPr>
                <w:spacing w:val="1"/>
              </w:rPr>
              <w:t>地复</w:t>
            </w:r>
          </w:p>
          <w:p>
            <w:pPr>
              <w:pStyle w:val="TableText"/>
              <w:ind w:left="330"/>
              <w:spacing w:before="60" w:line="238" w:lineRule="auto"/>
              <w:rPr/>
            </w:pPr>
            <w:r>
              <w:rPr/>
              <w:t>垦</w:t>
            </w:r>
          </w:p>
        </w:tc>
        <w:tc>
          <w:tcPr>
            <w:tcW w:w="3437" w:type="dxa"/>
            <w:vAlign w:val="top"/>
            <w:tcBorders>
              <w:bottom w:val="single" w:color="000000" w:sz="10" w:space="0"/>
            </w:tcBorders>
          </w:tcPr>
          <w:p>
            <w:pPr>
              <w:pStyle w:val="TableText"/>
              <w:ind w:left="114" w:right="104" w:firstLine="418"/>
              <w:spacing w:before="67" w:line="288" w:lineRule="auto"/>
              <w:jc w:val="both"/>
              <w:rPr/>
            </w:pPr>
            <w:r>
              <w:rPr>
                <w:spacing w:val="20"/>
              </w:rPr>
              <w:t>①</w:t>
            </w:r>
            <w:r>
              <w:rPr>
                <w:spacing w:val="50"/>
              </w:rPr>
              <w:t xml:space="preserve"> </w:t>
            </w:r>
            <w:r>
              <w:rPr>
                <w:spacing w:val="20"/>
              </w:rPr>
              <w:t>矿山开采企业应将废弃地</w:t>
            </w:r>
            <w:r>
              <w:rPr>
                <w:spacing w:val="14"/>
              </w:rPr>
              <w:t>复垦纳入矿山旧常生产与管理，提</w:t>
            </w:r>
            <w:r>
              <w:rPr>
                <w:spacing w:val="4"/>
              </w:rPr>
              <w:t>倡采用采（选）矿</w:t>
            </w:r>
            <w:r>
              <w:rPr>
                <w:rFonts w:ascii="Times New Roman" w:hAnsi="Times New Roman" w:eastAsia="Times New Roman" w:cs="Times New Roman"/>
                <w:spacing w:val="4"/>
              </w:rPr>
              <w:t>-</w:t>
            </w:r>
            <w:r>
              <w:rPr>
                <w:spacing w:val="4"/>
              </w:rPr>
              <w:t>排土（尾）</w:t>
            </w:r>
            <w:r>
              <w:rPr>
                <w:rFonts w:ascii="Times New Roman" w:hAnsi="Times New Roman" w:eastAsia="Times New Roman" w:cs="Times New Roman"/>
                <w:spacing w:val="4"/>
              </w:rPr>
              <w:t>-</w:t>
            </w:r>
            <w:r>
              <w:rPr>
                <w:spacing w:val="4"/>
              </w:rPr>
              <w:t>造地</w:t>
            </w:r>
            <w:r>
              <w:rPr>
                <w:rFonts w:ascii="Times New Roman" w:hAnsi="Times New Roman" w:eastAsia="Times New Roman" w:cs="Times New Roman"/>
                <w:spacing w:val="6"/>
              </w:rPr>
              <w:t>-</w:t>
            </w:r>
            <w:r>
              <w:rPr>
                <w:spacing w:val="6"/>
              </w:rPr>
              <w:t>复垦一体化技术。</w:t>
            </w:r>
          </w:p>
          <w:p>
            <w:pPr>
              <w:pStyle w:val="TableText"/>
              <w:ind w:left="119" w:right="104" w:firstLine="413"/>
              <w:spacing w:line="281" w:lineRule="auto"/>
              <w:rPr/>
            </w:pPr>
            <w:r>
              <w:rPr>
                <w:spacing w:val="20"/>
              </w:rPr>
              <w:t>②</w:t>
            </w:r>
            <w:r>
              <w:rPr>
                <w:spacing w:val="51"/>
              </w:rPr>
              <w:t xml:space="preserve"> </w:t>
            </w:r>
            <w:r>
              <w:rPr>
                <w:spacing w:val="20"/>
              </w:rPr>
              <w:t>矿山生产过程中应采取种</w:t>
            </w:r>
            <w:r>
              <w:rPr>
                <w:spacing w:val="13"/>
              </w:rPr>
              <w:t>植植物和覆盖等复垦措施，对露天</w:t>
            </w:r>
            <w:r>
              <w:rPr>
                <w:spacing w:val="13"/>
              </w:rPr>
              <w:t>坑、废石场、尾矿坑矸石山等永久</w:t>
            </w:r>
            <w:r>
              <w:rPr>
                <w:spacing w:val="11"/>
              </w:rPr>
              <w:t>性坡面进行稳定化处理，</w:t>
            </w:r>
            <w:r>
              <w:rPr>
                <w:spacing w:val="-59"/>
              </w:rPr>
              <w:t xml:space="preserve"> </w:t>
            </w:r>
            <w:r>
              <w:rPr>
                <w:spacing w:val="11"/>
              </w:rPr>
              <w:t>防止水土</w:t>
            </w:r>
            <w:r>
              <w:rPr>
                <w:spacing w:val="13"/>
              </w:rPr>
              <w:t>流失和滑坡。废石场、尾矿坑、研</w:t>
            </w:r>
            <w:r>
              <w:rPr>
                <w:spacing w:val="13"/>
              </w:rPr>
              <w:t>石山等固废堆场服务期满后，应及</w:t>
            </w:r>
            <w:r>
              <w:rPr>
                <w:spacing w:val="13"/>
              </w:rPr>
              <w:t>时封场和复垦，防止水土流失及风</w:t>
            </w:r>
            <w:r>
              <w:rPr>
                <w:spacing w:val="4"/>
              </w:rPr>
              <w:t>蚀扬尘等。</w:t>
            </w:r>
          </w:p>
          <w:p>
            <w:pPr>
              <w:pStyle w:val="TableText"/>
              <w:ind w:left="120" w:right="104" w:firstLine="412"/>
              <w:spacing w:before="61" w:line="268" w:lineRule="auto"/>
              <w:rPr/>
            </w:pPr>
            <w:r>
              <w:rPr>
                <w:spacing w:val="20"/>
              </w:rPr>
              <w:t>③</w:t>
            </w:r>
            <w:r>
              <w:rPr>
                <w:spacing w:val="51"/>
              </w:rPr>
              <w:t xml:space="preserve"> </w:t>
            </w:r>
            <w:r>
              <w:rPr>
                <w:spacing w:val="20"/>
              </w:rPr>
              <w:t>采用生物工程进行废弃地</w:t>
            </w:r>
            <w:r>
              <w:rPr>
                <w:spacing w:val="13"/>
              </w:rPr>
              <w:t>复垦时，宜对土壤重构、地形、景</w:t>
            </w:r>
            <w:r>
              <w:rPr>
                <w:spacing w:val="13"/>
              </w:rPr>
              <w:t>观进行优化设计，对物种选择、配</w:t>
            </w:r>
          </w:p>
        </w:tc>
        <w:tc>
          <w:tcPr>
            <w:tcW w:w="3534" w:type="dxa"/>
            <w:vAlign w:val="top"/>
            <w:tcBorders>
              <w:bottom w:val="single" w:color="000000" w:sz="10" w:space="0"/>
            </w:tcBorders>
          </w:tcPr>
          <w:p>
            <w:pPr>
              <w:spacing w:line="310" w:lineRule="auto"/>
              <w:rPr>
                <w:rFonts w:ascii="Arial"/>
                <w:sz w:val="21"/>
              </w:rPr>
            </w:pPr>
            <w:r/>
          </w:p>
          <w:p>
            <w:pPr>
              <w:spacing w:line="310" w:lineRule="auto"/>
              <w:rPr>
                <w:rFonts w:ascii="Arial"/>
                <w:sz w:val="21"/>
              </w:rPr>
            </w:pPr>
            <w:r/>
          </w:p>
          <w:p>
            <w:pPr>
              <w:pStyle w:val="TableText"/>
              <w:ind w:left="121" w:right="105" w:firstLine="418"/>
              <w:spacing w:before="65" w:line="288" w:lineRule="auto"/>
              <w:jc w:val="both"/>
              <w:rPr/>
            </w:pPr>
            <w:r>
              <w:rPr>
                <w:spacing w:val="21"/>
              </w:rPr>
              <w:t>建设单位将废弃地复垦纳入矿</w:t>
            </w:r>
            <w:r>
              <w:rPr>
                <w:spacing w:val="2"/>
              </w:rPr>
              <w:t>山</w:t>
            </w:r>
            <w:r>
              <w:rPr>
                <w:spacing w:val="-32"/>
              </w:rPr>
              <w:t xml:space="preserve"> </w:t>
            </w:r>
            <w:r>
              <w:rPr>
                <w:spacing w:val="2"/>
              </w:rPr>
              <w:t>日常生产与管理，并提出土地复垦</w:t>
            </w:r>
            <w:r>
              <w:rPr>
                <w:spacing w:val="6"/>
              </w:rPr>
              <w:t>要求。矿山生产过程中拟对工业广场</w:t>
            </w:r>
            <w:r>
              <w:rPr>
                <w:spacing w:val="6"/>
              </w:rPr>
              <w:t>周围进行种植植物等绿化措施，堆场</w:t>
            </w:r>
            <w:r>
              <w:rPr>
                <w:spacing w:val="6"/>
              </w:rPr>
              <w:t>周围设置截、排水沟和挡土墙等措施</w:t>
            </w:r>
            <w:r>
              <w:rPr>
                <w:spacing w:val="6"/>
              </w:rPr>
              <w:t>防止水土流失和滑坡，服务期满后，</w:t>
            </w:r>
            <w:r>
              <w:rPr>
                <w:spacing w:val="6"/>
              </w:rPr>
              <w:t>及时封场和复垦，防止水土流失扬尘</w:t>
            </w:r>
            <w:r>
              <w:rPr>
                <w:spacing w:val="6"/>
              </w:rPr>
              <w:t>等。项目采用生物措施进行复垦，通</w:t>
            </w:r>
            <w:r>
              <w:rPr>
                <w:spacing w:val="6"/>
              </w:rPr>
              <w:t>过撒播绿肥，增加土壤有机质含量，</w:t>
            </w:r>
            <w:r>
              <w:rPr>
                <w:spacing w:val="6"/>
              </w:rPr>
              <w:t>改良土壤，满足作物的生长需求尽可</w:t>
            </w:r>
            <w:r>
              <w:rPr>
                <w:spacing w:val="7"/>
              </w:rPr>
              <w:t>能恢复原有植被物种水平。</w:t>
            </w:r>
          </w:p>
        </w:tc>
        <w:tc>
          <w:tcPr>
            <w:tcW w:w="719" w:type="dxa"/>
            <w:vAlign w:val="top"/>
            <w:tcBorders>
              <w:right w:val="nil"/>
              <w:bottom w:val="single" w:color="000000" w:sz="10"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4"/>
              <w:spacing w:before="65" w:line="229" w:lineRule="auto"/>
              <w:rPr/>
            </w:pPr>
            <w:r>
              <w:rPr>
                <w:spacing w:val="-1"/>
              </w:rPr>
              <w:t>符合</w:t>
            </w:r>
          </w:p>
        </w:tc>
      </w:tr>
    </w:tbl>
    <w:p>
      <w:pPr>
        <w:pStyle w:val="BodyText"/>
        <w:spacing w:line="214" w:lineRule="exact"/>
        <w:rPr>
          <w:sz w:val="18"/>
        </w:rPr>
      </w:pPr>
      <w:r/>
    </w:p>
    <w:p>
      <w:pPr>
        <w:spacing w:line="214" w:lineRule="exact"/>
        <w:sectPr>
          <w:footerReference w:type="default" r:id="rId39"/>
          <w:pgSz w:w="11906" w:h="16839"/>
          <w:pgMar w:top="1250" w:right="1691" w:bottom="1349" w:left="1691" w:header="831" w:footer="1162" w:gutter="0"/>
        </w:sectPr>
        <w:rPr>
          <w:sz w:val="18"/>
          <w:szCs w:val="18"/>
        </w:rPr>
      </w:pPr>
    </w:p>
    <w:p>
      <w:pPr>
        <w:spacing w:line="189" w:lineRule="exact"/>
        <w:rPr/>
      </w:pPr>
      <w:r/>
    </w:p>
    <w:tbl>
      <w:tblPr>
        <w:tblStyle w:val="TableNormal"/>
        <w:tblW w:w="8522"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832"/>
        <w:gridCol w:w="3437"/>
        <w:gridCol w:w="3534"/>
        <w:gridCol w:w="719"/>
      </w:tblGrid>
      <w:tr>
        <w:trPr>
          <w:trHeight w:val="300" w:hRule="atLeast"/>
        </w:trPr>
        <w:tc>
          <w:tcPr>
            <w:tcW w:w="832" w:type="dxa"/>
            <w:vAlign w:val="top"/>
            <w:tcBorders>
              <w:right w:val="single" w:color="000000" w:sz="2" w:space="0"/>
              <w:left w:val="nil"/>
            </w:tcBorders>
          </w:tcPr>
          <w:p>
            <w:pPr>
              <w:rPr>
                <w:rFonts w:ascii="Arial"/>
                <w:sz w:val="21"/>
              </w:rPr>
            </w:pPr>
            <w:r/>
          </w:p>
        </w:tc>
        <w:tc>
          <w:tcPr>
            <w:tcW w:w="3437" w:type="dxa"/>
            <w:vAlign w:val="top"/>
            <w:tcBorders>
              <w:left w:val="single" w:color="000000" w:sz="2" w:space="0"/>
              <w:right w:val="single" w:color="000000" w:sz="2" w:space="0"/>
            </w:tcBorders>
          </w:tcPr>
          <w:p>
            <w:pPr>
              <w:pStyle w:val="TableText"/>
              <w:ind w:left="120"/>
              <w:spacing w:before="36" w:line="229" w:lineRule="auto"/>
              <w:rPr/>
            </w:pPr>
            <w:r>
              <w:rPr>
                <w:spacing w:val="7"/>
              </w:rPr>
              <w:t>置及种植方式进行优化。</w:t>
            </w:r>
          </w:p>
        </w:tc>
        <w:tc>
          <w:tcPr>
            <w:tcW w:w="3534" w:type="dxa"/>
            <w:vAlign w:val="top"/>
            <w:tcBorders>
              <w:left w:val="single" w:color="000000" w:sz="2" w:space="0"/>
              <w:right w:val="single" w:color="000000" w:sz="2" w:space="0"/>
            </w:tcBorders>
          </w:tcPr>
          <w:p>
            <w:pPr>
              <w:rPr>
                <w:rFonts w:ascii="Arial"/>
                <w:sz w:val="21"/>
              </w:rPr>
            </w:pPr>
            <w:r/>
          </w:p>
        </w:tc>
        <w:tc>
          <w:tcPr>
            <w:tcW w:w="719" w:type="dxa"/>
            <w:vAlign w:val="top"/>
            <w:tcBorders>
              <w:left w:val="single" w:color="000000" w:sz="2" w:space="0"/>
              <w:right w:val="nil"/>
            </w:tcBorders>
          </w:tcPr>
          <w:p>
            <w:pPr>
              <w:rPr>
                <w:rFonts w:ascii="Arial"/>
                <w:sz w:val="21"/>
              </w:rPr>
            </w:pPr>
            <w:r/>
          </w:p>
        </w:tc>
      </w:tr>
    </w:tbl>
    <w:p>
      <w:pPr>
        <w:pStyle w:val="BodyText"/>
        <w:spacing w:line="251" w:lineRule="auto"/>
        <w:rPr/>
      </w:pPr>
      <w:r/>
    </w:p>
    <w:p>
      <w:pPr>
        <w:pStyle w:val="BodyText"/>
        <w:spacing w:line="251" w:lineRule="auto"/>
        <w:rPr/>
      </w:pPr>
      <w:r/>
    </w:p>
    <w:p>
      <w:pPr>
        <w:ind w:left="126" w:right="58" w:firstLine="478"/>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根据上述分析，本项目采用先进的采矿技术，</w:t>
      </w:r>
      <w:r>
        <w:rPr>
          <w:rFonts w:ascii="FangSong" w:hAnsi="FangSong" w:eastAsia="FangSong" w:cs="FangSong"/>
          <w:sz w:val="24"/>
          <w:szCs w:val="24"/>
          <w:spacing w:val="-4"/>
        </w:rPr>
        <w:t>制定了有效可行的生态保护计</w:t>
      </w:r>
      <w:r>
        <w:rPr>
          <w:rFonts w:ascii="FangSong" w:hAnsi="FangSong" w:eastAsia="FangSong" w:cs="FangSong"/>
          <w:sz w:val="24"/>
          <w:szCs w:val="24"/>
          <w:spacing w:val="-2"/>
        </w:rPr>
        <w:t>划，项目的建设符合《矿山生态环境保护与污染防治技术政策》（环发〔</w:t>
      </w:r>
      <w:r>
        <w:rPr>
          <w:rFonts w:ascii="Times New Roman" w:hAnsi="Times New Roman" w:eastAsia="Times New Roman" w:cs="Times New Roman"/>
          <w:sz w:val="24"/>
          <w:szCs w:val="24"/>
          <w:spacing w:val="-2"/>
        </w:rPr>
        <w:t>2005</w:t>
      </w:r>
      <w:r>
        <w:rPr>
          <w:rFonts w:ascii="FangSong" w:hAnsi="FangSong" w:eastAsia="FangSong" w:cs="FangSong"/>
          <w:sz w:val="24"/>
          <w:szCs w:val="24"/>
          <w:spacing w:val="-2"/>
        </w:rPr>
        <w:t>〕</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5"/>
        </w:rPr>
        <w:t>109</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号）中相关要求</w:t>
      </w:r>
    </w:p>
    <w:p>
      <w:pPr>
        <w:ind w:left="124" w:right="130" w:hanging="1"/>
        <w:spacing w:line="290" w:lineRule="auto"/>
        <w:outlineLvl w:val="3"/>
        <w:rPr>
          <w:rFonts w:ascii="FangSong" w:hAnsi="FangSong" w:eastAsia="FangSong" w:cs="FangSong"/>
          <w:sz w:val="24"/>
          <w:szCs w:val="24"/>
        </w:rPr>
      </w:pPr>
      <w:bookmarkStart w:name="bookmark497" w:id="27"/>
      <w:bookmarkEnd w:id="27"/>
      <w:r>
        <w:rPr>
          <w:rFonts w:ascii="Times New Roman" w:hAnsi="Times New Roman" w:eastAsia="Times New Roman" w:cs="Times New Roman"/>
          <w:sz w:val="24"/>
          <w:szCs w:val="24"/>
          <w:b/>
          <w:bCs/>
          <w:spacing w:val="-1"/>
        </w:rPr>
        <w:t>1.4.4.2  </w:t>
      </w:r>
      <w:r>
        <w:rPr>
          <w:rFonts w:ascii="FangSong" w:hAnsi="FangSong" w:eastAsia="FangSong" w:cs="FangSong"/>
          <w:sz w:val="24"/>
          <w:szCs w:val="24"/>
          <w:b/>
          <w:bCs/>
          <w:spacing w:val="-1"/>
        </w:rPr>
        <w:t>与《矿山生态环境保护与恢复治理技术规范（试行）》（</w:t>
      </w:r>
      <w:r>
        <w:rPr>
          <w:rFonts w:ascii="Times New Roman" w:hAnsi="Times New Roman" w:eastAsia="Times New Roman" w:cs="Times New Roman"/>
          <w:sz w:val="24"/>
          <w:szCs w:val="24"/>
          <w:b/>
          <w:bCs/>
          <w:spacing w:val="-1"/>
        </w:rPr>
        <w:t>HJ651-2013</w:t>
      </w:r>
      <w:r>
        <w:rPr>
          <w:rFonts w:ascii="FangSong" w:hAnsi="FangSong" w:eastAsia="FangSong" w:cs="FangSong"/>
          <w:sz w:val="24"/>
          <w:szCs w:val="24"/>
          <w:b/>
          <w:bCs/>
          <w:spacing w:val="-1"/>
        </w:rPr>
        <w:t>）</w:t>
      </w:r>
      <w:r>
        <w:rPr>
          <w:rFonts w:ascii="FangSong" w:hAnsi="FangSong" w:eastAsia="FangSong" w:cs="FangSong"/>
          <w:sz w:val="24"/>
          <w:szCs w:val="24"/>
          <w:b/>
          <w:bCs/>
          <w:spacing w:val="-6"/>
        </w:rPr>
        <w:t>相符性分析</w:t>
      </w:r>
    </w:p>
    <w:p>
      <w:pPr>
        <w:ind w:left="154" w:right="8" w:firstLine="450"/>
        <w:spacing w:before="181" w:line="360" w:lineRule="auto"/>
        <w:rPr>
          <w:rFonts w:ascii="FangSong" w:hAnsi="FangSong" w:eastAsia="FangSong" w:cs="FangSong"/>
          <w:sz w:val="24"/>
          <w:szCs w:val="24"/>
        </w:rPr>
      </w:pPr>
      <w:r>
        <w:rPr>
          <w:rFonts w:ascii="FangSong" w:hAnsi="FangSong" w:eastAsia="FangSong" w:cs="FangSong"/>
          <w:sz w:val="24"/>
          <w:szCs w:val="24"/>
          <w:spacing w:val="-6"/>
        </w:rPr>
        <w:t>本项目与《矿山生态环境保护与恢复治理技术规范（试行）》（</w:t>
      </w:r>
      <w:r>
        <w:rPr>
          <w:rFonts w:ascii="Times New Roman" w:hAnsi="Times New Roman" w:eastAsia="Times New Roman" w:cs="Times New Roman"/>
          <w:sz w:val="24"/>
          <w:szCs w:val="24"/>
          <w:spacing w:val="-6"/>
        </w:rPr>
        <w:t>HJ651-</w:t>
      </w:r>
      <w:r>
        <w:rPr>
          <w:rFonts w:ascii="Times New Roman" w:hAnsi="Times New Roman" w:eastAsia="Times New Roman" w:cs="Times New Roman"/>
          <w:sz w:val="24"/>
          <w:szCs w:val="24"/>
          <w:spacing w:val="-7"/>
        </w:rPr>
        <w:t>2013</w:t>
      </w:r>
      <w:r>
        <w:rPr>
          <w:rFonts w:ascii="FangSong" w:hAnsi="FangSong" w:eastAsia="FangSong" w:cs="FangSong"/>
          <w:sz w:val="24"/>
          <w:szCs w:val="24"/>
          <w:spacing w:val="-7"/>
        </w:rPr>
        <w:t>）</w:t>
      </w:r>
      <w:r>
        <w:rPr>
          <w:rFonts w:ascii="FangSong" w:hAnsi="FangSong" w:eastAsia="FangSong" w:cs="FangSong"/>
          <w:sz w:val="24"/>
          <w:szCs w:val="24"/>
          <w:spacing w:val="-5"/>
        </w:rPr>
        <w:t>中相关要求相符性分析见表</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5"/>
        </w:rPr>
        <w:t>1.4-3</w:t>
      </w:r>
      <w:r>
        <w:rPr>
          <w:rFonts w:ascii="FangSong" w:hAnsi="FangSong" w:eastAsia="FangSong" w:cs="FangSong"/>
          <w:sz w:val="24"/>
          <w:szCs w:val="24"/>
          <w:spacing w:val="-5"/>
        </w:rPr>
        <w:t>。</w:t>
      </w:r>
    </w:p>
    <w:p>
      <w:pPr>
        <w:ind w:left="1001"/>
        <w:spacing w:line="224" w:lineRule="auto"/>
        <w:rPr>
          <w:rFonts w:ascii="FangSong" w:hAnsi="FangSong" w:eastAsia="FangSong" w:cs="FangSong"/>
          <w:sz w:val="20"/>
          <w:szCs w:val="20"/>
        </w:rPr>
      </w:pPr>
      <w:r>
        <w:rPr>
          <w:rFonts w:ascii="FangSong" w:hAnsi="FangSong" w:eastAsia="FangSong" w:cs="FangSong"/>
          <w:sz w:val="24"/>
          <w:szCs w:val="24"/>
          <w:b/>
          <w:bCs/>
          <w:spacing w:val="6"/>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6"/>
        </w:rPr>
        <w:t>1.4-3  </w:t>
      </w:r>
      <w:r>
        <w:rPr>
          <w:rFonts w:ascii="FangSong" w:hAnsi="FangSong" w:eastAsia="FangSong" w:cs="FangSong"/>
          <w:sz w:val="20"/>
          <w:szCs w:val="20"/>
          <w:b/>
          <w:bCs/>
          <w:spacing w:val="6"/>
        </w:rPr>
        <w:t>与《矿山生态环境保护与恢复治理技术规</w:t>
      </w:r>
      <w:r>
        <w:rPr>
          <w:rFonts w:ascii="FangSong" w:hAnsi="FangSong" w:eastAsia="FangSong" w:cs="FangSong"/>
          <w:sz w:val="20"/>
          <w:szCs w:val="20"/>
          <w:b/>
          <w:bCs/>
          <w:spacing w:val="5"/>
        </w:rPr>
        <w:t>范（试行）》相符性分析</w:t>
      </w:r>
    </w:p>
    <w:p>
      <w:pPr>
        <w:spacing w:line="62"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3"/>
        <w:gridCol w:w="3728"/>
        <w:gridCol w:w="2900"/>
        <w:gridCol w:w="1001"/>
      </w:tblGrid>
      <w:tr>
        <w:trPr>
          <w:trHeight w:val="632" w:hRule="atLeast"/>
        </w:trPr>
        <w:tc>
          <w:tcPr>
            <w:tcW w:w="4621" w:type="dxa"/>
            <w:vAlign w:val="top"/>
            <w:gridSpan w:val="2"/>
            <w:tcBorders>
              <w:left w:val="nil"/>
              <w:top w:val="single" w:color="000000" w:sz="10" w:space="0"/>
            </w:tcBorders>
          </w:tcPr>
          <w:p>
            <w:pPr>
              <w:pStyle w:val="TableText"/>
              <w:ind w:left="222"/>
              <w:spacing w:before="56" w:line="229" w:lineRule="auto"/>
              <w:rPr/>
            </w:pPr>
            <w:r>
              <w:rPr>
                <w:spacing w:val="9"/>
              </w:rPr>
              <w:t>《矿山生态环境保护与恢复治理技术规范（试</w:t>
            </w:r>
          </w:p>
          <w:p>
            <w:pPr>
              <w:pStyle w:val="TableText"/>
              <w:ind w:left="2009"/>
              <w:spacing w:before="64" w:line="229" w:lineRule="auto"/>
              <w:rPr/>
            </w:pPr>
            <w:r>
              <w:rPr>
                <w:spacing w:val="8"/>
              </w:rPr>
              <w:t>行）》</w:t>
            </w:r>
          </w:p>
        </w:tc>
        <w:tc>
          <w:tcPr>
            <w:tcW w:w="2900" w:type="dxa"/>
            <w:vAlign w:val="top"/>
            <w:tcBorders>
              <w:top w:val="single" w:color="000000" w:sz="10" w:space="0"/>
            </w:tcBorders>
          </w:tcPr>
          <w:p>
            <w:pPr>
              <w:pStyle w:val="TableText"/>
              <w:ind w:left="726"/>
              <w:spacing w:before="212" w:line="229" w:lineRule="auto"/>
              <w:rPr/>
            </w:pPr>
            <w:r>
              <w:rPr>
                <w:spacing w:val="7"/>
              </w:rPr>
              <w:t>项目相符性分析</w:t>
            </w:r>
          </w:p>
        </w:tc>
        <w:tc>
          <w:tcPr>
            <w:tcW w:w="1001" w:type="dxa"/>
            <w:vAlign w:val="top"/>
            <w:tcBorders>
              <w:right w:val="nil"/>
              <w:top w:val="single" w:color="000000" w:sz="10" w:space="0"/>
            </w:tcBorders>
          </w:tcPr>
          <w:p>
            <w:pPr>
              <w:pStyle w:val="TableText"/>
              <w:ind w:left="198"/>
              <w:spacing w:before="212" w:line="229" w:lineRule="auto"/>
              <w:rPr/>
            </w:pPr>
            <w:r>
              <w:rPr>
                <w:spacing w:val="4"/>
              </w:rPr>
              <w:t>相符性</w:t>
            </w:r>
          </w:p>
        </w:tc>
      </w:tr>
      <w:tr>
        <w:trPr>
          <w:trHeight w:val="3116" w:hRule="atLeast"/>
        </w:trPr>
        <w:tc>
          <w:tcPr>
            <w:tcW w:w="893" w:type="dxa"/>
            <w:vAlign w:val="top"/>
            <w:vMerge w:val="restart"/>
            <w:tcBorders>
              <w:left w:val="nil"/>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60" w:right="129" w:hanging="211"/>
              <w:spacing w:before="65" w:line="288" w:lineRule="auto"/>
              <w:rPr/>
            </w:pPr>
            <w:r>
              <w:rPr>
                <w:spacing w:val="3"/>
              </w:rPr>
              <w:t>一般要</w:t>
            </w:r>
            <w:r>
              <w:rPr/>
              <w:t>求</w:t>
            </w:r>
          </w:p>
        </w:tc>
        <w:tc>
          <w:tcPr>
            <w:tcW w:w="3728" w:type="dxa"/>
            <w:vAlign w:val="top"/>
          </w:tcPr>
          <w:p>
            <w:pPr>
              <w:spacing w:line="298" w:lineRule="auto"/>
              <w:rPr>
                <w:rFonts w:ascii="Arial"/>
                <w:sz w:val="21"/>
              </w:rPr>
            </w:pPr>
            <w:r/>
          </w:p>
          <w:p>
            <w:pPr>
              <w:pStyle w:val="TableText"/>
              <w:ind w:left="119" w:right="38" w:firstLine="425"/>
              <w:spacing w:before="65" w:line="288" w:lineRule="auto"/>
              <w:jc w:val="both"/>
              <w:rPr/>
            </w:pPr>
            <w:r>
              <w:rPr>
                <w:spacing w:val="4"/>
              </w:rPr>
              <w:t>禁止在依法划定的自然保护区、风</w:t>
            </w:r>
            <w:r>
              <w:rPr>
                <w:spacing w:val="5"/>
              </w:rPr>
              <w:t>景名胜区、森林公园、饮用水水源保护</w:t>
            </w:r>
            <w:r>
              <w:rPr>
                <w:spacing w:val="-2"/>
              </w:rPr>
              <w:t>区、文物古迹所在地、地质遗迹保护区、</w:t>
            </w:r>
            <w:r>
              <w:rPr>
                <w:spacing w:val="18"/>
              </w:rPr>
              <w:t>基本农田保护区等重要生态保护地以</w:t>
            </w:r>
            <w:r>
              <w:rPr>
                <w:spacing w:val="18"/>
              </w:rPr>
              <w:t>及其他法律法规规定的禁采区域内采</w:t>
            </w:r>
            <w:r>
              <w:rPr>
                <w:spacing w:val="5"/>
              </w:rPr>
              <w:t>矿。禁止在重要道路、航道两侧及重要</w:t>
            </w:r>
            <w:r>
              <w:rPr>
                <w:spacing w:val="18"/>
              </w:rPr>
              <w:t>生态环境敏感目标可视范围内进行对</w:t>
            </w:r>
            <w:r>
              <w:rPr>
                <w:spacing w:val="7"/>
              </w:rPr>
              <w:t>景观破坏明显的露天开采。</w:t>
            </w:r>
          </w:p>
        </w:tc>
        <w:tc>
          <w:tcPr>
            <w:tcW w:w="2900" w:type="dxa"/>
            <w:vAlign w:val="top"/>
          </w:tcPr>
          <w:p>
            <w:pPr>
              <w:pStyle w:val="TableText"/>
              <w:ind w:left="117" w:right="99" w:firstLine="421"/>
              <w:spacing w:before="51" w:line="282" w:lineRule="auto"/>
              <w:jc w:val="both"/>
              <w:rPr/>
            </w:pPr>
            <w:r>
              <w:rPr>
                <w:spacing w:val="17"/>
              </w:rPr>
              <w:t>项</w:t>
            </w:r>
            <w:r>
              <w:rPr>
                <w:spacing w:val="-23"/>
              </w:rPr>
              <w:t xml:space="preserve"> </w:t>
            </w:r>
            <w:r>
              <w:rPr>
                <w:spacing w:val="17"/>
              </w:rPr>
              <w:t>目开采方式为地下开</w:t>
            </w:r>
            <w:r>
              <w:rPr>
                <w:spacing w:val="5"/>
              </w:rPr>
              <w:t>采，矿区不涉及自然保护区、</w:t>
            </w:r>
            <w:r>
              <w:rPr>
                <w:spacing w:val="5"/>
              </w:rPr>
              <w:t>风景名胜区、森林公园、饮用</w:t>
            </w:r>
            <w:r>
              <w:rPr>
                <w:spacing w:val="5"/>
              </w:rPr>
              <w:t>水水源保护区、文物古迹所在</w:t>
            </w:r>
            <w:r>
              <w:rPr>
                <w:spacing w:val="5"/>
              </w:rPr>
              <w:t>地、地质遗迹保护区、基本农</w:t>
            </w:r>
            <w:r>
              <w:rPr>
                <w:spacing w:val="22"/>
              </w:rPr>
              <w:t>田保护区等重要生态保护地</w:t>
            </w:r>
            <w:r>
              <w:rPr>
                <w:spacing w:val="22"/>
              </w:rPr>
              <w:t>以及其他法律法规规定的禁</w:t>
            </w:r>
            <w:r>
              <w:rPr>
                <w:spacing w:val="5"/>
              </w:rPr>
              <w:t>采区域，矿区不在重要道路、</w:t>
            </w:r>
            <w:r>
              <w:rPr>
                <w:spacing w:val="22"/>
              </w:rPr>
              <w:t>航道两侧及重要生态环境敏</w:t>
            </w:r>
            <w:r>
              <w:rPr>
                <w:spacing w:val="7"/>
              </w:rPr>
              <w:t>感目标可视范围内。</w:t>
            </w:r>
          </w:p>
        </w:tc>
        <w:tc>
          <w:tcPr>
            <w:tcW w:w="1001" w:type="dxa"/>
            <w:vAlign w:val="top"/>
            <w:tcBorders>
              <w:right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07"/>
              <w:spacing w:before="65" w:line="229" w:lineRule="auto"/>
              <w:rPr/>
            </w:pPr>
            <w:r>
              <w:rPr>
                <w:spacing w:val="-1"/>
              </w:rPr>
              <w:t>符合</w:t>
            </w:r>
          </w:p>
        </w:tc>
      </w:tr>
      <w:tr>
        <w:trPr>
          <w:trHeight w:val="2494" w:hRule="atLeast"/>
        </w:trPr>
        <w:tc>
          <w:tcPr>
            <w:tcW w:w="893" w:type="dxa"/>
            <w:vAlign w:val="top"/>
            <w:vMerge w:val="continue"/>
            <w:tcBorders>
              <w:left w:val="nil"/>
              <w:top w:val="nil"/>
              <w:bottom w:val="nil"/>
            </w:tcBorders>
          </w:tcPr>
          <w:p>
            <w:pPr>
              <w:rPr>
                <w:rFonts w:ascii="Arial"/>
                <w:sz w:val="21"/>
              </w:rPr>
            </w:pPr>
            <w:r/>
          </w:p>
        </w:tc>
        <w:tc>
          <w:tcPr>
            <w:tcW w:w="3728" w:type="dxa"/>
            <w:vAlign w:val="top"/>
          </w:tcPr>
          <w:p>
            <w:pPr>
              <w:spacing w:line="462" w:lineRule="auto"/>
              <w:rPr>
                <w:rFonts w:ascii="Arial"/>
                <w:sz w:val="21"/>
              </w:rPr>
            </w:pPr>
            <w:r/>
          </w:p>
          <w:p>
            <w:pPr>
              <w:pStyle w:val="TableText"/>
              <w:ind w:left="119" w:right="80" w:firstLine="420"/>
              <w:spacing w:before="65" w:line="288" w:lineRule="auto"/>
              <w:jc w:val="both"/>
              <w:rPr/>
            </w:pPr>
            <w:r>
              <w:rPr>
                <w:spacing w:val="19"/>
              </w:rPr>
              <w:t>矿产资源开发活动应符合国家和</w:t>
            </w:r>
            <w:r>
              <w:rPr>
                <w:spacing w:val="7"/>
              </w:rPr>
              <w:t>区域主体功能区规划、生态功能区划、</w:t>
            </w:r>
            <w:r>
              <w:rPr>
                <w:spacing w:val="5"/>
              </w:rPr>
              <w:t>生态环境保护规划的要求，采区取有效</w:t>
            </w:r>
            <w:r>
              <w:rPr>
                <w:spacing w:val="5"/>
              </w:rPr>
              <w:t>预防和保护措施，避免或减轻矿产资源</w:t>
            </w:r>
            <w:r>
              <w:rPr>
                <w:spacing w:val="7"/>
              </w:rPr>
              <w:t>开发活动造成的生态破坏和环境污染。</w:t>
            </w:r>
          </w:p>
        </w:tc>
        <w:tc>
          <w:tcPr>
            <w:tcW w:w="2900" w:type="dxa"/>
            <w:vAlign w:val="top"/>
          </w:tcPr>
          <w:p>
            <w:pPr>
              <w:pStyle w:val="TableText"/>
              <w:ind w:left="119" w:right="107" w:firstLine="419"/>
              <w:spacing w:before="57" w:line="280" w:lineRule="auto"/>
              <w:jc w:val="both"/>
              <w:rPr/>
            </w:pPr>
            <w:r>
              <w:rPr>
                <w:spacing w:val="17"/>
              </w:rPr>
              <w:t>项</w:t>
            </w:r>
            <w:r>
              <w:rPr>
                <w:spacing w:val="-23"/>
              </w:rPr>
              <w:t xml:space="preserve"> </w:t>
            </w:r>
            <w:r>
              <w:rPr>
                <w:spacing w:val="17"/>
              </w:rPr>
              <w:t>目符合国家和内蒙古</w:t>
            </w:r>
            <w:r>
              <w:rPr>
                <w:spacing w:val="5"/>
              </w:rPr>
              <w:t>自治区主体功能规划；符合内</w:t>
            </w:r>
            <w:r>
              <w:rPr>
                <w:spacing w:val="16"/>
              </w:rPr>
              <w:t>蒙古</w:t>
            </w:r>
            <w:r>
              <w:rPr>
                <w:spacing w:val="-26"/>
              </w:rPr>
              <w:t xml:space="preserve"> </w:t>
            </w:r>
            <w:r>
              <w:rPr>
                <w:spacing w:val="16"/>
              </w:rPr>
              <w:t>自治区国家重点生态功</w:t>
            </w:r>
            <w:r>
              <w:rPr>
                <w:spacing w:val="22"/>
              </w:rPr>
              <w:t>能区产业准入负面清单（试</w:t>
            </w:r>
            <w:r>
              <w:rPr>
                <w:spacing w:val="5"/>
              </w:rPr>
              <w:t>行）管控要求；项目污染物均</w:t>
            </w:r>
            <w:r>
              <w:rPr>
                <w:spacing w:val="14"/>
              </w:rPr>
              <w:t>达标排放</w:t>
            </w:r>
            <w:r>
              <w:rPr>
                <w:spacing w:val="-51"/>
              </w:rPr>
              <w:t xml:space="preserve"> </w:t>
            </w:r>
            <w:r>
              <w:rPr>
                <w:spacing w:val="14"/>
              </w:rPr>
              <w:t>，</w:t>
            </w:r>
            <w:r>
              <w:rPr>
                <w:spacing w:val="-51"/>
              </w:rPr>
              <w:t xml:space="preserve"> </w:t>
            </w:r>
            <w:r>
              <w:rPr>
                <w:spacing w:val="14"/>
              </w:rPr>
              <w:t>生态环境及时恢</w:t>
            </w:r>
            <w:r>
              <w:rPr>
                <w:spacing w:val="5"/>
              </w:rPr>
              <w:t>复，符合生态环境保护规划要</w:t>
            </w:r>
            <w:r>
              <w:rPr>
                <w:spacing w:val="-4"/>
              </w:rPr>
              <w:t>求。</w:t>
            </w:r>
          </w:p>
        </w:tc>
        <w:tc>
          <w:tcPr>
            <w:tcW w:w="1001" w:type="dxa"/>
            <w:vAlign w:val="top"/>
            <w:tcBorders>
              <w:right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07"/>
              <w:spacing w:before="65" w:line="229" w:lineRule="auto"/>
              <w:rPr/>
            </w:pPr>
            <w:r>
              <w:rPr>
                <w:spacing w:val="-1"/>
              </w:rPr>
              <w:t>符合</w:t>
            </w:r>
          </w:p>
        </w:tc>
      </w:tr>
      <w:tr>
        <w:trPr>
          <w:trHeight w:val="938" w:hRule="atLeast"/>
        </w:trPr>
        <w:tc>
          <w:tcPr>
            <w:tcW w:w="893" w:type="dxa"/>
            <w:vAlign w:val="top"/>
            <w:vMerge w:val="continue"/>
            <w:tcBorders>
              <w:left w:val="nil"/>
              <w:top w:val="nil"/>
            </w:tcBorders>
          </w:tcPr>
          <w:p>
            <w:pPr>
              <w:rPr>
                <w:rFonts w:ascii="Arial"/>
                <w:sz w:val="21"/>
              </w:rPr>
            </w:pPr>
            <w:r/>
          </w:p>
        </w:tc>
        <w:tc>
          <w:tcPr>
            <w:tcW w:w="3728" w:type="dxa"/>
            <w:vAlign w:val="top"/>
          </w:tcPr>
          <w:p>
            <w:pPr>
              <w:pStyle w:val="TableText"/>
              <w:ind w:left="119" w:right="106" w:firstLine="420"/>
              <w:spacing w:before="66" w:line="265" w:lineRule="auto"/>
              <w:jc w:val="both"/>
              <w:rPr/>
            </w:pPr>
            <w:r>
              <w:rPr>
                <w:spacing w:val="19"/>
              </w:rPr>
              <w:t>所有矿山企业均应对照本标准各</w:t>
            </w:r>
            <w:r>
              <w:rPr>
                <w:spacing w:val="5"/>
              </w:rPr>
              <w:t>项要求，编制实施矿山生态环境保护与</w:t>
            </w:r>
            <w:r>
              <w:rPr>
                <w:spacing w:val="6"/>
              </w:rPr>
              <w:t>恢复治理方案。</w:t>
            </w:r>
          </w:p>
        </w:tc>
        <w:tc>
          <w:tcPr>
            <w:tcW w:w="2900" w:type="dxa"/>
            <w:vAlign w:val="top"/>
          </w:tcPr>
          <w:p>
            <w:pPr>
              <w:pStyle w:val="TableText"/>
              <w:ind w:left="126" w:right="93" w:firstLine="411"/>
              <w:spacing w:before="224" w:line="287" w:lineRule="auto"/>
              <w:rPr/>
            </w:pPr>
            <w:r>
              <w:rPr>
                <w:spacing w:val="24"/>
              </w:rPr>
              <w:t>建设单位正编制矿山生</w:t>
            </w:r>
            <w:r>
              <w:rPr>
                <w:spacing w:val="5"/>
              </w:rPr>
              <w:t>态环境保护与恢复治理方案。</w:t>
            </w:r>
          </w:p>
        </w:tc>
        <w:tc>
          <w:tcPr>
            <w:tcW w:w="1001" w:type="dxa"/>
            <w:vAlign w:val="top"/>
            <w:tcBorders>
              <w:right w:val="nil"/>
            </w:tcBorders>
          </w:tcPr>
          <w:p>
            <w:pPr>
              <w:spacing w:line="313" w:lineRule="auto"/>
              <w:rPr>
                <w:rFonts w:ascii="Arial"/>
                <w:sz w:val="21"/>
              </w:rPr>
            </w:pPr>
            <w:r/>
          </w:p>
          <w:p>
            <w:pPr>
              <w:pStyle w:val="TableText"/>
              <w:ind w:left="307"/>
              <w:spacing w:before="65" w:line="229" w:lineRule="auto"/>
              <w:rPr/>
            </w:pPr>
            <w:r>
              <w:rPr>
                <w:spacing w:val="-1"/>
              </w:rPr>
              <w:t>符合</w:t>
            </w:r>
          </w:p>
        </w:tc>
      </w:tr>
      <w:tr>
        <w:trPr>
          <w:trHeight w:val="1894" w:hRule="atLeast"/>
        </w:trPr>
        <w:tc>
          <w:tcPr>
            <w:tcW w:w="893" w:type="dxa"/>
            <w:vAlign w:val="top"/>
            <w:tcBorders>
              <w:left w:val="nil"/>
              <w:bottom w:val="single" w:color="000000" w:sz="10" w:space="0"/>
            </w:tcBorders>
          </w:tcPr>
          <w:p>
            <w:pPr>
              <w:spacing w:line="313" w:lineRule="auto"/>
              <w:rPr>
                <w:rFonts w:ascii="Arial"/>
                <w:sz w:val="21"/>
              </w:rPr>
            </w:pPr>
            <w:r/>
          </w:p>
          <w:p>
            <w:pPr>
              <w:spacing w:line="314" w:lineRule="auto"/>
              <w:rPr>
                <w:rFonts w:ascii="Arial"/>
                <w:sz w:val="21"/>
              </w:rPr>
            </w:pPr>
            <w:r/>
          </w:p>
          <w:p>
            <w:pPr>
              <w:pStyle w:val="TableText"/>
              <w:ind w:left="153" w:right="129" w:hanging="8"/>
              <w:spacing w:before="65" w:line="288" w:lineRule="auto"/>
              <w:rPr/>
            </w:pPr>
            <w:r>
              <w:rPr>
                <w:spacing w:val="5"/>
              </w:rPr>
              <w:t>矿山生</w:t>
            </w:r>
            <w:r>
              <w:rPr>
                <w:spacing w:val="2"/>
              </w:rPr>
              <w:t>态保护</w:t>
            </w:r>
          </w:p>
        </w:tc>
        <w:tc>
          <w:tcPr>
            <w:tcW w:w="3728" w:type="dxa"/>
            <w:vAlign w:val="top"/>
            <w:tcBorders>
              <w:bottom w:val="single" w:color="000000" w:sz="10" w:space="0"/>
            </w:tcBorders>
          </w:tcPr>
          <w:p>
            <w:pPr>
              <w:pStyle w:val="TableText"/>
              <w:ind w:left="119" w:right="106" w:firstLine="421"/>
              <w:spacing w:before="70" w:line="279" w:lineRule="auto"/>
              <w:jc w:val="both"/>
              <w:rPr/>
            </w:pPr>
            <w:r>
              <w:rPr>
                <w:spacing w:val="19"/>
              </w:rPr>
              <w:t>在国家和地方各级人民政府确定</w:t>
            </w:r>
            <w:r>
              <w:rPr>
                <w:spacing w:val="5"/>
              </w:rPr>
              <w:t>的重点（重要）生态功能区内建设矿产</w:t>
            </w:r>
            <w:r>
              <w:rPr>
                <w:spacing w:val="5"/>
              </w:rPr>
              <w:t>资源基地，应进行生态环境影生态响和</w:t>
            </w:r>
            <w:r>
              <w:rPr>
                <w:spacing w:val="5"/>
              </w:rPr>
              <w:t>经济损益评估，按评估结果及相关规定</w:t>
            </w:r>
            <w:r>
              <w:rPr>
                <w:spacing w:val="5"/>
              </w:rPr>
              <w:t>进行控制性开采，减少对生态空间的占</w:t>
            </w:r>
            <w:r>
              <w:rPr>
                <w:spacing w:val="5"/>
              </w:rPr>
              <w:t>用，不影响区域主导生态功能。在水资</w:t>
            </w:r>
          </w:p>
        </w:tc>
        <w:tc>
          <w:tcPr>
            <w:tcW w:w="2900" w:type="dxa"/>
            <w:vAlign w:val="top"/>
            <w:tcBorders>
              <w:bottom w:val="single" w:color="000000" w:sz="10" w:space="0"/>
            </w:tcBorders>
          </w:tcPr>
          <w:p>
            <w:pPr>
              <w:pStyle w:val="TableText"/>
              <w:ind w:left="119" w:right="99" w:firstLine="420"/>
              <w:spacing w:before="229" w:line="288" w:lineRule="auto"/>
              <w:jc w:val="both"/>
              <w:rPr/>
            </w:pPr>
            <w:r>
              <w:rPr>
                <w:spacing w:val="17"/>
              </w:rPr>
              <w:t>项</w:t>
            </w:r>
            <w:r>
              <w:rPr>
                <w:spacing w:val="-23"/>
              </w:rPr>
              <w:t xml:space="preserve"> </w:t>
            </w:r>
            <w:r>
              <w:rPr>
                <w:spacing w:val="17"/>
              </w:rPr>
              <w:t>目选址不位于水资源</w:t>
            </w:r>
            <w:r>
              <w:rPr>
                <w:spacing w:val="5"/>
              </w:rPr>
              <w:t>短缺、环境容量小系统脆弱、</w:t>
            </w:r>
            <w:r>
              <w:rPr>
                <w:spacing w:val="22"/>
              </w:rPr>
              <w:t>地震和地质灾害易发地区项</w:t>
            </w:r>
            <w:r>
              <w:rPr>
                <w:spacing w:val="22"/>
              </w:rPr>
              <w:t>目不会影响区域主导生态功</w:t>
            </w:r>
            <w:r>
              <w:rPr>
                <w:spacing w:val="-3"/>
              </w:rPr>
              <w:t>能。</w:t>
            </w:r>
          </w:p>
        </w:tc>
        <w:tc>
          <w:tcPr>
            <w:tcW w:w="1001" w:type="dxa"/>
            <w:vAlign w:val="top"/>
            <w:tcBorders>
              <w:right w:val="nil"/>
              <w:bottom w:val="single" w:color="000000" w:sz="10"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07"/>
              <w:spacing w:before="65" w:line="229" w:lineRule="auto"/>
              <w:rPr/>
            </w:pPr>
            <w:r>
              <w:rPr>
                <w:spacing w:val="-1"/>
              </w:rPr>
              <w:t>符合</w:t>
            </w:r>
          </w:p>
        </w:tc>
      </w:tr>
    </w:tbl>
    <w:p>
      <w:pPr>
        <w:pStyle w:val="BodyText"/>
        <w:rPr/>
      </w:pPr>
      <w:r/>
    </w:p>
    <w:p>
      <w:pPr>
        <w:sectPr>
          <w:footerReference w:type="default" r:id="rId40"/>
          <w:pgSz w:w="11906" w:h="16839"/>
          <w:pgMar w:top="1250" w:right="1691" w:bottom="1349" w:left="1691" w:header="831" w:footer="1162" w:gutter="0"/>
        </w:sectPr>
        <w:rPr/>
      </w:pPr>
    </w:p>
    <w:p>
      <w:pPr>
        <w:spacing w:line="189"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3"/>
        <w:gridCol w:w="3728"/>
        <w:gridCol w:w="2900"/>
        <w:gridCol w:w="1001"/>
      </w:tblGrid>
      <w:tr>
        <w:trPr>
          <w:trHeight w:val="924" w:hRule="atLeast"/>
        </w:trPr>
        <w:tc>
          <w:tcPr>
            <w:tcW w:w="893" w:type="dxa"/>
            <w:vAlign w:val="top"/>
            <w:vMerge w:val="restart"/>
            <w:tcBorders>
              <w:left w:val="nil"/>
              <w:top w:val="single" w:color="000000" w:sz="10" w:space="0"/>
              <w:bottom w:val="nil"/>
            </w:tcBorders>
          </w:tcPr>
          <w:p>
            <w:pPr>
              <w:rPr>
                <w:rFonts w:ascii="Arial"/>
                <w:sz w:val="21"/>
              </w:rPr>
            </w:pPr>
            <w:r/>
          </w:p>
        </w:tc>
        <w:tc>
          <w:tcPr>
            <w:tcW w:w="3728" w:type="dxa"/>
            <w:vAlign w:val="top"/>
            <w:tcBorders>
              <w:top w:val="single" w:color="000000" w:sz="10" w:space="0"/>
            </w:tcBorders>
          </w:tcPr>
          <w:p>
            <w:pPr>
              <w:pStyle w:val="TableText"/>
              <w:ind w:left="119" w:right="86" w:firstLine="4"/>
              <w:spacing w:before="36" w:line="270" w:lineRule="auto"/>
              <w:jc w:val="both"/>
              <w:rPr/>
            </w:pPr>
            <w:bookmarkStart w:name="bookmark498" w:id="28"/>
            <w:bookmarkEnd w:id="28"/>
            <w:r>
              <w:rPr>
                <w:spacing w:val="6"/>
              </w:rPr>
              <w:t>源短缺、环境容量小、生态系统脆弱、</w:t>
            </w:r>
            <w:r>
              <w:rPr>
                <w:spacing w:val="5"/>
              </w:rPr>
              <w:t>地震和地质灾害易发地区，要严格控制</w:t>
            </w:r>
            <w:r>
              <w:rPr>
                <w:spacing w:val="6"/>
              </w:rPr>
              <w:t>矿产资源开发。</w:t>
            </w:r>
          </w:p>
        </w:tc>
        <w:tc>
          <w:tcPr>
            <w:tcW w:w="2900" w:type="dxa"/>
            <w:vAlign w:val="top"/>
            <w:tcBorders>
              <w:top w:val="single" w:color="000000" w:sz="10" w:space="0"/>
            </w:tcBorders>
          </w:tcPr>
          <w:p>
            <w:pPr>
              <w:rPr>
                <w:rFonts w:ascii="Arial"/>
                <w:sz w:val="21"/>
              </w:rPr>
            </w:pPr>
            <w:r/>
          </w:p>
        </w:tc>
        <w:tc>
          <w:tcPr>
            <w:tcW w:w="1001" w:type="dxa"/>
            <w:vAlign w:val="top"/>
            <w:tcBorders>
              <w:right w:val="nil"/>
              <w:top w:val="single" w:color="000000" w:sz="10" w:space="0"/>
            </w:tcBorders>
          </w:tcPr>
          <w:p>
            <w:pPr>
              <w:rPr>
                <w:rFonts w:ascii="Arial"/>
                <w:sz w:val="21"/>
              </w:rPr>
            </w:pPr>
            <w:r/>
          </w:p>
        </w:tc>
      </w:tr>
      <w:tr>
        <w:trPr>
          <w:trHeight w:val="2185" w:hRule="atLeast"/>
        </w:trPr>
        <w:tc>
          <w:tcPr>
            <w:tcW w:w="893" w:type="dxa"/>
            <w:vAlign w:val="top"/>
            <w:vMerge w:val="continue"/>
            <w:tcBorders>
              <w:left w:val="nil"/>
              <w:top w:val="nil"/>
              <w:bottom w:val="nil"/>
            </w:tcBorders>
          </w:tcPr>
          <w:p>
            <w:pPr>
              <w:rPr>
                <w:rFonts w:ascii="Arial"/>
                <w:sz w:val="21"/>
              </w:rPr>
            </w:pPr>
            <w:r/>
          </w:p>
        </w:tc>
        <w:tc>
          <w:tcPr>
            <w:tcW w:w="3728" w:type="dxa"/>
            <w:vAlign w:val="top"/>
          </w:tcPr>
          <w:p>
            <w:pPr>
              <w:spacing w:line="296" w:lineRule="auto"/>
              <w:rPr>
                <w:rFonts w:ascii="Arial"/>
                <w:sz w:val="21"/>
              </w:rPr>
            </w:pPr>
            <w:r/>
          </w:p>
          <w:p>
            <w:pPr>
              <w:pStyle w:val="TableText"/>
              <w:ind w:left="118" w:right="86" w:firstLine="422"/>
              <w:spacing w:before="65" w:line="288" w:lineRule="auto"/>
              <w:jc w:val="both"/>
              <w:rPr/>
            </w:pPr>
            <w:r>
              <w:rPr>
                <w:spacing w:val="5"/>
              </w:rPr>
              <w:t>采矿产生的固体废物，应在专用场</w:t>
            </w:r>
            <w:r>
              <w:rPr>
                <w:spacing w:val="5"/>
              </w:rPr>
              <w:t>所堆放，并采取措施防止二次污染；禁</w:t>
            </w:r>
            <w:r>
              <w:rPr>
                <w:spacing w:val="5"/>
              </w:rPr>
              <w:t>止向河流、湖泊、水库等水体及行洪渠</w:t>
            </w:r>
            <w:r>
              <w:rPr>
                <w:spacing w:val="6"/>
              </w:rPr>
              <w:t>道排放岩土、含油垃圾、泥浆、煤渣、</w:t>
            </w:r>
            <w:r>
              <w:rPr>
                <w:spacing w:val="7"/>
              </w:rPr>
              <w:t>煤研石和其他固体废物。</w:t>
            </w:r>
          </w:p>
        </w:tc>
        <w:tc>
          <w:tcPr>
            <w:tcW w:w="2900" w:type="dxa"/>
            <w:vAlign w:val="top"/>
          </w:tcPr>
          <w:p>
            <w:pPr>
              <w:pStyle w:val="TableText"/>
              <w:ind w:left="118" w:right="107" w:firstLine="421"/>
              <w:spacing w:before="51" w:line="280" w:lineRule="auto"/>
              <w:jc w:val="both"/>
              <w:rPr/>
            </w:pPr>
            <w:r>
              <w:rPr>
                <w:spacing w:val="24"/>
              </w:rPr>
              <w:t>产生的废石不出坑用于</w:t>
            </w:r>
            <w:r>
              <w:rPr>
                <w:spacing w:val="5"/>
              </w:rPr>
              <w:t>充填地下空区；尾矿优先充填</w:t>
            </w:r>
            <w:r>
              <w:rPr>
                <w:spacing w:val="18"/>
              </w:rPr>
              <w:t>井下</w:t>
            </w:r>
            <w:r>
              <w:rPr>
                <w:spacing w:val="-48"/>
              </w:rPr>
              <w:t xml:space="preserve"> </w:t>
            </w:r>
            <w:r>
              <w:rPr>
                <w:spacing w:val="18"/>
              </w:rPr>
              <w:t>，剩余尾矿外送综合利</w:t>
            </w:r>
            <w:r>
              <w:rPr>
                <w:spacing w:val="5"/>
              </w:rPr>
              <w:t>用。生产运行过程中不会向河</w:t>
            </w:r>
            <w:r>
              <w:rPr>
                <w:spacing w:val="5"/>
              </w:rPr>
              <w:t>流、湖泊、水库等水体及行洪</w:t>
            </w:r>
            <w:r>
              <w:rPr>
                <w:spacing w:val="5"/>
              </w:rPr>
              <w:t>渠道排放岩土、含油垃圾和其</w:t>
            </w:r>
            <w:r>
              <w:rPr>
                <w:spacing w:val="5"/>
              </w:rPr>
              <w:t>他固体废物。</w:t>
            </w:r>
          </w:p>
        </w:tc>
        <w:tc>
          <w:tcPr>
            <w:tcW w:w="1001" w:type="dxa"/>
            <w:vAlign w:val="top"/>
            <w:tcBorders>
              <w:right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307"/>
              <w:spacing w:before="65" w:line="229" w:lineRule="auto"/>
              <w:rPr/>
            </w:pPr>
            <w:r>
              <w:rPr>
                <w:spacing w:val="-1"/>
              </w:rPr>
              <w:t>符合</w:t>
            </w:r>
          </w:p>
        </w:tc>
      </w:tr>
      <w:tr>
        <w:trPr>
          <w:trHeight w:val="939" w:hRule="atLeast"/>
        </w:trPr>
        <w:tc>
          <w:tcPr>
            <w:tcW w:w="893" w:type="dxa"/>
            <w:vAlign w:val="top"/>
            <w:vMerge w:val="continue"/>
            <w:tcBorders>
              <w:left w:val="nil"/>
              <w:top w:val="nil"/>
              <w:bottom w:val="nil"/>
            </w:tcBorders>
          </w:tcPr>
          <w:p>
            <w:pPr>
              <w:rPr>
                <w:rFonts w:ascii="Arial"/>
                <w:sz w:val="21"/>
              </w:rPr>
            </w:pPr>
            <w:r/>
          </w:p>
        </w:tc>
        <w:tc>
          <w:tcPr>
            <w:tcW w:w="3728" w:type="dxa"/>
            <w:vAlign w:val="top"/>
          </w:tcPr>
          <w:p>
            <w:pPr>
              <w:pStyle w:val="TableText"/>
              <w:ind w:left="118" w:right="106" w:firstLine="420"/>
              <w:spacing w:before="58" w:line="268" w:lineRule="auto"/>
              <w:jc w:val="both"/>
              <w:rPr/>
            </w:pPr>
            <w:r>
              <w:rPr>
                <w:spacing w:val="19"/>
              </w:rPr>
              <w:t>矿区专用道路选线应绕避环境敏</w:t>
            </w:r>
            <w:r>
              <w:rPr>
                <w:spacing w:val="18"/>
              </w:rPr>
              <w:t>感区和环境敏感点防止对环境保护目</w:t>
            </w:r>
            <w:r>
              <w:rPr>
                <w:spacing w:val="6"/>
              </w:rPr>
              <w:t>标造成不利影响。</w:t>
            </w:r>
          </w:p>
        </w:tc>
        <w:tc>
          <w:tcPr>
            <w:tcW w:w="2900" w:type="dxa"/>
            <w:vAlign w:val="top"/>
          </w:tcPr>
          <w:p>
            <w:pPr>
              <w:pStyle w:val="TableText"/>
              <w:ind w:left="124" w:right="107" w:firstLine="413"/>
              <w:spacing w:before="58" w:line="268" w:lineRule="auto"/>
              <w:jc w:val="both"/>
              <w:rPr/>
            </w:pPr>
            <w:r>
              <w:rPr>
                <w:spacing w:val="24"/>
              </w:rPr>
              <w:t>矿区内专用运输道路沿</w:t>
            </w:r>
            <w:r>
              <w:rPr>
                <w:spacing w:val="21"/>
              </w:rPr>
              <w:t>线无环境敏感区和环境敏感</w:t>
            </w:r>
            <w:r>
              <w:rPr>
                <w:spacing w:val="-6"/>
              </w:rPr>
              <w:t>点。</w:t>
            </w:r>
          </w:p>
        </w:tc>
        <w:tc>
          <w:tcPr>
            <w:tcW w:w="1001" w:type="dxa"/>
            <w:vAlign w:val="top"/>
            <w:tcBorders>
              <w:right w:val="nil"/>
            </w:tcBorders>
          </w:tcPr>
          <w:p>
            <w:pPr>
              <w:spacing w:line="302" w:lineRule="auto"/>
              <w:rPr>
                <w:rFonts w:ascii="Arial"/>
                <w:sz w:val="21"/>
              </w:rPr>
            </w:pPr>
            <w:r/>
          </w:p>
          <w:p>
            <w:pPr>
              <w:pStyle w:val="TableText"/>
              <w:ind w:left="307"/>
              <w:spacing w:before="65" w:line="229" w:lineRule="auto"/>
              <w:rPr/>
            </w:pPr>
            <w:r>
              <w:rPr>
                <w:spacing w:val="-1"/>
              </w:rPr>
              <w:t>符合</w:t>
            </w:r>
          </w:p>
        </w:tc>
      </w:tr>
      <w:tr>
        <w:trPr>
          <w:trHeight w:val="4365" w:hRule="atLeast"/>
        </w:trPr>
        <w:tc>
          <w:tcPr>
            <w:tcW w:w="893" w:type="dxa"/>
            <w:vAlign w:val="top"/>
            <w:vMerge w:val="continue"/>
            <w:tcBorders>
              <w:left w:val="nil"/>
              <w:top w:val="nil"/>
            </w:tcBorders>
          </w:tcPr>
          <w:p>
            <w:pPr>
              <w:rPr>
                <w:rFonts w:ascii="Arial"/>
                <w:sz w:val="21"/>
              </w:rPr>
            </w:pPr>
            <w:r/>
          </w:p>
        </w:tc>
        <w:tc>
          <w:tcPr>
            <w:tcW w:w="3728" w:type="dxa"/>
            <w:vAlign w:val="top"/>
          </w:tcPr>
          <w:p>
            <w:pPr>
              <w:pStyle w:val="TableText"/>
              <w:ind w:left="113" w:right="106" w:firstLine="422"/>
              <w:spacing w:before="62" w:line="283" w:lineRule="auto"/>
              <w:jc w:val="both"/>
              <w:rPr/>
            </w:pPr>
            <w:r>
              <w:rPr>
                <w:spacing w:val="5"/>
              </w:rPr>
              <w:t>排土场、采场、尾矿库、矿区专用</w:t>
            </w:r>
            <w:r>
              <w:rPr>
                <w:spacing w:val="5"/>
              </w:rPr>
              <w:t>道路等各类场地建设前，应视土壤类型</w:t>
            </w:r>
            <w:r>
              <w:rPr>
                <w:spacing w:val="6"/>
              </w:rPr>
              <w:t>对表土进行剥离。对矿区耕作土壤的剥</w:t>
            </w:r>
            <w:r>
              <w:rPr>
                <w:spacing w:val="6"/>
              </w:rPr>
              <w:t>离，应对耕作层和心土层单独剥离与回</w:t>
            </w:r>
            <w:r>
              <w:rPr>
                <w:spacing w:val="16"/>
              </w:rPr>
              <w:t>填</w:t>
            </w:r>
            <w:r>
              <w:rPr>
                <w:spacing w:val="-57"/>
              </w:rPr>
              <w:t xml:space="preserve"> </w:t>
            </w:r>
            <w:r>
              <w:rPr>
                <w:spacing w:val="16"/>
              </w:rPr>
              <w:t>，表土剥离厚度一般情况下不少于</w:t>
            </w:r>
            <w:r>
              <w:rPr>
                <w:rFonts w:ascii="Times New Roman" w:hAnsi="Times New Roman" w:eastAsia="Times New Roman" w:cs="Times New Roman"/>
                <w:spacing w:val="3"/>
              </w:rPr>
              <w:t>30</w:t>
            </w:r>
            <w:r>
              <w:rPr>
                <w:rFonts w:ascii="Times New Roman" w:hAnsi="Times New Roman" w:eastAsia="Times New Roman" w:cs="Times New Roman"/>
              </w:rPr>
              <w:t>cm</w:t>
            </w:r>
            <w:r>
              <w:rPr>
                <w:spacing w:val="3"/>
              </w:rPr>
              <w:t>：对区非耕作土壤的采集，应对表</w:t>
            </w:r>
            <w:r>
              <w:rPr>
                <w:spacing w:val="5"/>
              </w:rPr>
              <w:t>土层进行单独剥离，如果表土层厚度小</w:t>
            </w:r>
            <w:r>
              <w:rPr>
                <w:spacing w:val="8"/>
              </w:rPr>
              <w:t>于</w:t>
            </w:r>
            <w:r>
              <w:rPr>
                <w:spacing w:val="-31"/>
              </w:rPr>
              <w:t xml:space="preserve"> </w:t>
            </w:r>
            <w:r>
              <w:rPr>
                <w:rFonts w:ascii="Times New Roman" w:hAnsi="Times New Roman" w:eastAsia="Times New Roman" w:cs="Times New Roman"/>
                <w:spacing w:val="8"/>
              </w:rPr>
              <w:t>20</w:t>
            </w:r>
            <w:r>
              <w:rPr>
                <w:rFonts w:ascii="Times New Roman" w:hAnsi="Times New Roman" w:eastAsia="Times New Roman" w:cs="Times New Roman"/>
              </w:rPr>
              <w:t>cm</w:t>
            </w:r>
            <w:r>
              <w:rPr>
                <w:rFonts w:ascii="Times New Roman" w:hAnsi="Times New Roman" w:eastAsia="Times New Roman" w:cs="Times New Roman"/>
                <w:spacing w:val="8"/>
              </w:rPr>
              <w:t>,</w:t>
            </w:r>
            <w:r>
              <w:rPr>
                <w:spacing w:val="8"/>
              </w:rPr>
              <w:t>则将表土层及其下面贴近的心</w:t>
            </w:r>
            <w:r>
              <w:rPr>
                <w:spacing w:val="8"/>
              </w:rPr>
              <w:t>土层一起构成的至少</w:t>
            </w:r>
            <w:r>
              <w:rPr>
                <w:spacing w:val="-42"/>
              </w:rPr>
              <w:t xml:space="preserve"> </w:t>
            </w:r>
            <w:r>
              <w:rPr>
                <w:rFonts w:ascii="Times New Roman" w:hAnsi="Times New Roman" w:eastAsia="Times New Roman" w:cs="Times New Roman"/>
                <w:spacing w:val="8"/>
              </w:rPr>
              <w:t>20</w:t>
            </w:r>
            <w:r>
              <w:rPr>
                <w:rFonts w:ascii="Times New Roman" w:hAnsi="Times New Roman" w:eastAsia="Times New Roman" w:cs="Times New Roman"/>
              </w:rPr>
              <w:t>cm</w:t>
            </w:r>
            <w:r>
              <w:rPr>
                <w:rFonts w:ascii="Times New Roman" w:hAnsi="Times New Roman" w:eastAsia="Times New Roman" w:cs="Times New Roman"/>
                <w:spacing w:val="19"/>
              </w:rPr>
              <w:t xml:space="preserve"> </w:t>
            </w:r>
            <w:r>
              <w:rPr>
                <w:spacing w:val="8"/>
              </w:rPr>
              <w:t>厚的土层进</w:t>
            </w:r>
            <w:r>
              <w:rPr>
                <w:spacing w:val="6"/>
              </w:rPr>
              <w:t>行单独剥离；高寒区表土剥离应保留好</w:t>
            </w:r>
            <w:r>
              <w:rPr>
                <w:spacing w:val="10"/>
              </w:rPr>
              <w:t>草皮层，剥离厚度不少于</w:t>
            </w:r>
            <w:r>
              <w:rPr>
                <w:spacing w:val="-36"/>
              </w:rPr>
              <w:t xml:space="preserve"> </w:t>
            </w:r>
            <w:r>
              <w:rPr>
                <w:rFonts w:ascii="Times New Roman" w:hAnsi="Times New Roman" w:eastAsia="Times New Roman" w:cs="Times New Roman"/>
                <w:spacing w:val="10"/>
              </w:rPr>
              <w:t>20</w:t>
            </w:r>
            <w:r>
              <w:rPr>
                <w:rFonts w:ascii="Times New Roman" w:hAnsi="Times New Roman" w:eastAsia="Times New Roman" w:cs="Times New Roman"/>
              </w:rPr>
              <w:t>cm</w:t>
            </w:r>
            <w:r>
              <w:rPr>
                <w:rFonts w:ascii="Times New Roman" w:hAnsi="Times New Roman" w:eastAsia="Times New Roman" w:cs="Times New Roman"/>
                <w:spacing w:val="-17"/>
              </w:rPr>
              <w:t xml:space="preserve"> </w:t>
            </w:r>
            <w:r>
              <w:rPr>
                <w:spacing w:val="10"/>
              </w:rPr>
              <w:t>。剥离</w:t>
            </w:r>
            <w:r>
              <w:rPr>
                <w:spacing w:val="18"/>
              </w:rPr>
              <w:t>的表层土壤不能及时铺覆到已整治场</w:t>
            </w:r>
            <w:r>
              <w:rPr>
                <w:spacing w:val="6"/>
              </w:rPr>
              <w:t>地的，应选择适宜的场地进行堆存，并</w:t>
            </w:r>
            <w:r>
              <w:rPr>
                <w:spacing w:val="8"/>
              </w:rPr>
              <w:t>采取围挡等措施防止水土流失。</w:t>
            </w:r>
          </w:p>
        </w:tc>
        <w:tc>
          <w:tcPr>
            <w:tcW w:w="2900"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2" w:right="107" w:firstLine="427"/>
              <w:spacing w:before="65" w:line="288" w:lineRule="auto"/>
              <w:jc w:val="both"/>
              <w:rPr/>
            </w:pPr>
            <w:r>
              <w:rPr>
                <w:spacing w:val="17"/>
              </w:rPr>
              <w:t>项</w:t>
            </w:r>
            <w:r>
              <w:rPr>
                <w:spacing w:val="-23"/>
              </w:rPr>
              <w:t xml:space="preserve"> </w:t>
            </w:r>
            <w:r>
              <w:rPr>
                <w:spacing w:val="17"/>
              </w:rPr>
              <w:t>目建设前对表土进行</w:t>
            </w:r>
            <w:r>
              <w:rPr>
                <w:spacing w:val="19"/>
              </w:rPr>
              <w:t>剥离</w:t>
            </w:r>
            <w:r>
              <w:rPr>
                <w:spacing w:val="-54"/>
              </w:rPr>
              <w:t xml:space="preserve"> </w:t>
            </w:r>
            <w:r>
              <w:rPr>
                <w:spacing w:val="19"/>
              </w:rPr>
              <w:t>，剥离表土平均厚度为</w:t>
            </w:r>
            <w:r>
              <w:rPr>
                <w:rFonts w:ascii="Times New Roman" w:hAnsi="Times New Roman" w:eastAsia="Times New Roman" w:cs="Times New Roman"/>
                <w:spacing w:val="9"/>
              </w:rPr>
              <w:t>0.30m</w:t>
            </w:r>
            <w:r>
              <w:rPr>
                <w:rFonts w:ascii="Times New Roman" w:hAnsi="Times New Roman" w:eastAsia="Times New Roman" w:cs="Times New Roman"/>
                <w:spacing w:val="-16"/>
              </w:rPr>
              <w:t xml:space="preserve"> </w:t>
            </w:r>
            <w:r>
              <w:rPr>
                <w:spacing w:val="9"/>
              </w:rPr>
              <w:t>，集中堆放至表土堆场</w:t>
            </w:r>
            <w:r>
              <w:rPr>
                <w:spacing w:val="5"/>
              </w:rPr>
              <w:t>内设置麻袋装土拦挡措施，后</w:t>
            </w:r>
            <w:r>
              <w:rPr>
                <w:spacing w:val="22"/>
              </w:rPr>
              <w:t>期全部用于矿矿山环境恢复</w:t>
            </w:r>
            <w:r>
              <w:rPr>
                <w:spacing w:val="3"/>
              </w:rPr>
              <w:t>治理。</w:t>
            </w:r>
          </w:p>
        </w:tc>
        <w:tc>
          <w:tcPr>
            <w:tcW w:w="1001" w:type="dxa"/>
            <w:vAlign w:val="top"/>
            <w:tcBorders>
              <w:right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80"/>
              <w:spacing w:before="65" w:line="221" w:lineRule="auto"/>
              <w:rPr>
                <w:rFonts w:ascii="Times New Roman" w:hAnsi="Times New Roman" w:eastAsia="Times New Roman" w:cs="Times New Roman"/>
              </w:rPr>
            </w:pPr>
            <w:r>
              <w:rPr>
                <w:spacing w:val="1"/>
              </w:rPr>
              <w:t>符合</w:t>
            </w:r>
            <w:r>
              <w:rPr>
                <w:rFonts w:ascii="Times New Roman" w:hAnsi="Times New Roman" w:eastAsia="Times New Roman" w:cs="Times New Roman"/>
                <w:spacing w:val="1"/>
              </w:rPr>
              <w:t>,</w:t>
            </w:r>
          </w:p>
        </w:tc>
      </w:tr>
      <w:tr>
        <w:trPr>
          <w:trHeight w:val="2185" w:hRule="atLeast"/>
        </w:trPr>
        <w:tc>
          <w:tcPr>
            <w:tcW w:w="893" w:type="dxa"/>
            <w:vAlign w:val="top"/>
            <w:tcBorders>
              <w:left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53" w:right="129" w:hanging="8"/>
              <w:spacing w:before="65" w:line="287" w:lineRule="auto"/>
              <w:rPr/>
            </w:pPr>
            <w:r>
              <w:rPr>
                <w:spacing w:val="5"/>
              </w:rPr>
              <w:t>探矿生</w:t>
            </w:r>
            <w:r>
              <w:rPr>
                <w:spacing w:val="2"/>
              </w:rPr>
              <w:t>态恢复</w:t>
            </w:r>
          </w:p>
        </w:tc>
        <w:tc>
          <w:tcPr>
            <w:tcW w:w="3728" w:type="dxa"/>
            <w:vAlign w:val="top"/>
          </w:tcPr>
          <w:p>
            <w:pPr>
              <w:pStyle w:val="TableText"/>
              <w:ind w:left="119" w:right="106" w:firstLine="420"/>
              <w:spacing w:before="66" w:line="278" w:lineRule="auto"/>
              <w:jc w:val="both"/>
              <w:rPr/>
            </w:pPr>
            <w:r>
              <w:rPr>
                <w:spacing w:val="5"/>
              </w:rPr>
              <w:t>探矿活动结束后，应根据景观相似</w:t>
            </w:r>
            <w:r>
              <w:rPr>
                <w:spacing w:val="5"/>
              </w:rPr>
              <w:t>原则，对探矿活动造成的土壤、植被和</w:t>
            </w:r>
            <w:r>
              <w:rPr>
                <w:spacing w:val="5"/>
              </w:rPr>
              <w:t>地表景观破坏进行恢复。对水文地质条</w:t>
            </w:r>
            <w:r>
              <w:rPr>
                <w:spacing w:val="5"/>
              </w:rPr>
              <w:t>件、土地耕作及道路安全有影响或位于</w:t>
            </w:r>
            <w:r>
              <w:rPr>
                <w:spacing w:val="5"/>
              </w:rPr>
              <w:t>的江、河、湖、海防护堤或重要建筑物</w:t>
            </w:r>
            <w:r>
              <w:rPr>
                <w:spacing w:val="5"/>
              </w:rPr>
              <w:t>附近的钻孔或坑井应予回填封闭，并恢</w:t>
            </w:r>
            <w:r>
              <w:rPr>
                <w:spacing w:val="7"/>
              </w:rPr>
              <w:t>复其原有生态功能。</w:t>
            </w:r>
          </w:p>
        </w:tc>
        <w:tc>
          <w:tcPr>
            <w:tcW w:w="2900" w:type="dxa"/>
            <w:vAlign w:val="top"/>
          </w:tcPr>
          <w:p>
            <w:pPr>
              <w:spacing w:line="312" w:lineRule="auto"/>
              <w:rPr>
                <w:rFonts w:ascii="Arial"/>
                <w:sz w:val="21"/>
              </w:rPr>
            </w:pPr>
            <w:r/>
          </w:p>
          <w:p>
            <w:pPr>
              <w:pStyle w:val="TableText"/>
              <w:ind w:left="118" w:right="107" w:firstLine="420"/>
              <w:spacing w:before="65" w:line="288" w:lineRule="auto"/>
              <w:jc w:val="both"/>
              <w:rPr/>
            </w:pPr>
            <w:r>
              <w:rPr>
                <w:spacing w:val="4"/>
              </w:rPr>
              <w:t>项目探矿活动结束后，已</w:t>
            </w:r>
            <w:r>
              <w:rPr>
                <w:spacing w:val="5"/>
              </w:rPr>
              <w:t>对造成的土壤、植被和地表景</w:t>
            </w:r>
            <w:r>
              <w:rPr>
                <w:spacing w:val="5"/>
              </w:rPr>
              <w:t>观破坏进行恢复；探矿时期钻</w:t>
            </w:r>
            <w:r>
              <w:rPr>
                <w:spacing w:val="22"/>
              </w:rPr>
              <w:t>孔或坑井采取封闭等措施进</w:t>
            </w:r>
            <w:r>
              <w:rPr>
                <w:spacing w:val="3"/>
              </w:rPr>
              <w:t>行处理。</w:t>
            </w:r>
          </w:p>
        </w:tc>
        <w:tc>
          <w:tcPr>
            <w:tcW w:w="1001" w:type="dxa"/>
            <w:vAlign w:val="top"/>
            <w:tcBorders>
              <w:right w:val="nil"/>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307"/>
              <w:spacing w:before="65" w:line="229" w:lineRule="auto"/>
              <w:rPr/>
            </w:pPr>
            <w:r>
              <w:rPr>
                <w:spacing w:val="-1"/>
              </w:rPr>
              <w:t>符合</w:t>
            </w:r>
          </w:p>
        </w:tc>
      </w:tr>
      <w:tr>
        <w:trPr>
          <w:trHeight w:val="3141" w:hRule="atLeast"/>
        </w:trPr>
        <w:tc>
          <w:tcPr>
            <w:tcW w:w="893" w:type="dxa"/>
            <w:vAlign w:val="top"/>
            <w:tcBorders>
              <w:left w:val="nil"/>
              <w:bottom w:val="single" w:color="000000" w:sz="10"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pStyle w:val="TableText"/>
              <w:ind w:left="145"/>
              <w:spacing w:before="65" w:line="232" w:lineRule="auto"/>
              <w:rPr/>
            </w:pPr>
            <w:r>
              <w:rPr>
                <w:spacing w:val="5"/>
              </w:rPr>
              <w:t>矿区专</w:t>
            </w:r>
          </w:p>
          <w:p>
            <w:pPr>
              <w:pStyle w:val="TableText"/>
              <w:ind w:left="145"/>
              <w:spacing w:before="59" w:line="232" w:lineRule="auto"/>
              <w:rPr/>
            </w:pPr>
            <w:r>
              <w:rPr>
                <w:spacing w:val="5"/>
              </w:rPr>
              <w:t>用道路</w:t>
            </w:r>
          </w:p>
          <w:p>
            <w:pPr>
              <w:pStyle w:val="TableText"/>
              <w:ind w:left="158"/>
              <w:spacing w:before="60" w:line="229" w:lineRule="auto"/>
              <w:rPr/>
            </w:pPr>
            <w:r>
              <w:rPr/>
              <w:t>生态恢</w:t>
            </w:r>
          </w:p>
          <w:p>
            <w:pPr>
              <w:pStyle w:val="TableText"/>
              <w:ind w:left="364"/>
              <w:spacing w:before="64" w:line="232" w:lineRule="auto"/>
              <w:rPr/>
            </w:pPr>
            <w:r>
              <w:rPr/>
              <w:t>复</w:t>
            </w:r>
          </w:p>
        </w:tc>
        <w:tc>
          <w:tcPr>
            <w:tcW w:w="3728" w:type="dxa"/>
            <w:vAlign w:val="top"/>
            <w:tcBorders>
              <w:bottom w:val="single" w:color="000000" w:sz="10" w:space="0"/>
            </w:tcBorders>
          </w:tcPr>
          <w:p>
            <w:pPr>
              <w:pStyle w:val="TableText"/>
              <w:ind w:left="118" w:right="66" w:firstLine="420"/>
              <w:spacing w:before="76" w:line="282" w:lineRule="auto"/>
              <w:jc w:val="both"/>
              <w:rPr/>
            </w:pPr>
            <w:r>
              <w:rPr>
                <w:spacing w:val="19"/>
              </w:rPr>
              <w:t>矿区专用道路用地应严格控制占</w:t>
            </w:r>
            <w:r>
              <w:rPr>
                <w:spacing w:val="18"/>
              </w:rPr>
              <w:t>地面积和范围。开挖路基及取弃土工</w:t>
            </w:r>
            <w:r>
              <w:rPr>
                <w:spacing w:val="5"/>
              </w:rPr>
              <w:t>程，均应根据道路施工进度有计划地进</w:t>
            </w:r>
            <w:r>
              <w:rPr>
                <w:spacing w:val="5"/>
              </w:rPr>
              <w:t>行表土剥离并保存，必要时应设置截排</w:t>
            </w:r>
            <w:r>
              <w:rPr>
                <w:spacing w:val="5"/>
              </w:rPr>
              <w:t>水沟挡土墙等相应保护措施。矿区专用</w:t>
            </w:r>
            <w:r>
              <w:rPr>
                <w:spacing w:val="5"/>
              </w:rPr>
              <w:t>道路取弃土工程结束后，取弃土场应及</w:t>
            </w:r>
            <w:r>
              <w:rPr>
                <w:spacing w:val="5"/>
              </w:rPr>
              <w:t>时回填、整平、压实，并利用堆存的表</w:t>
            </w:r>
            <w:r>
              <w:rPr>
                <w:spacing w:val="5"/>
              </w:rPr>
              <w:t>土进行植被和景观恢复。矿区专用道路</w:t>
            </w:r>
            <w:r>
              <w:rPr>
                <w:spacing w:val="5"/>
              </w:rPr>
              <w:t>使用期间，有条件的地区应对道路两侧</w:t>
            </w:r>
            <w:r>
              <w:rPr>
                <w:spacing w:val="8"/>
              </w:rPr>
              <w:t>进行绿化。道路绿化应以乡土树（草）</w:t>
            </w:r>
          </w:p>
        </w:tc>
        <w:tc>
          <w:tcPr>
            <w:tcW w:w="2900" w:type="dxa"/>
            <w:vAlign w:val="top"/>
            <w:tcBorders>
              <w:bottom w:val="single" w:color="000000" w:sz="10" w:space="0"/>
            </w:tcBorders>
          </w:tcPr>
          <w:p>
            <w:pPr>
              <w:spacing w:line="470" w:lineRule="auto"/>
              <w:rPr>
                <w:rFonts w:ascii="Arial"/>
                <w:sz w:val="21"/>
              </w:rPr>
            </w:pPr>
            <w:r/>
          </w:p>
          <w:p>
            <w:pPr>
              <w:pStyle w:val="TableText"/>
              <w:ind w:left="118" w:right="107" w:firstLine="420"/>
              <w:spacing w:before="66" w:line="288" w:lineRule="auto"/>
              <w:jc w:val="both"/>
              <w:rPr/>
            </w:pPr>
            <w:r>
              <w:rPr>
                <w:spacing w:val="18"/>
              </w:rPr>
              <w:t>矿区内道路均位于项</w:t>
            </w:r>
            <w:r>
              <w:rPr>
                <w:spacing w:val="-31"/>
              </w:rPr>
              <w:t xml:space="preserve"> </w:t>
            </w:r>
            <w:r>
              <w:rPr>
                <w:spacing w:val="18"/>
              </w:rPr>
              <w:t>目</w:t>
            </w:r>
            <w:r>
              <w:rPr>
                <w:spacing w:val="5"/>
              </w:rPr>
              <w:t>永久占地范围内，剥离的表土</w:t>
            </w:r>
            <w:r>
              <w:rPr>
                <w:spacing w:val="22"/>
              </w:rPr>
              <w:t>暂存于表土对场内用于服务</w:t>
            </w:r>
            <w:r>
              <w:rPr>
                <w:spacing w:val="5"/>
              </w:rPr>
              <w:t>期结束后复垦使用，项目对矿</w:t>
            </w:r>
            <w:r>
              <w:rPr>
                <w:spacing w:val="22"/>
              </w:rPr>
              <w:t>区道路已设计截排水沟及挡</w:t>
            </w:r>
            <w:r>
              <w:rPr>
                <w:spacing w:val="5"/>
              </w:rPr>
              <w:t>土墙，使用期间应加强道路两</w:t>
            </w:r>
            <w:r>
              <w:rPr>
                <w:spacing w:val="5"/>
              </w:rPr>
              <w:t>侧进行绿化。</w:t>
            </w:r>
          </w:p>
        </w:tc>
        <w:tc>
          <w:tcPr>
            <w:tcW w:w="1001" w:type="dxa"/>
            <w:vAlign w:val="top"/>
            <w:tcBorders>
              <w:right w:val="nil"/>
              <w:bottom w:val="single" w:color="000000" w:sz="10"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307"/>
              <w:spacing w:before="65" w:line="229" w:lineRule="auto"/>
              <w:rPr/>
            </w:pPr>
            <w:r>
              <w:rPr>
                <w:spacing w:val="-1"/>
              </w:rPr>
              <w:t>符合</w:t>
            </w:r>
          </w:p>
        </w:tc>
      </w:tr>
    </w:tbl>
    <w:p>
      <w:pPr>
        <w:pStyle w:val="BodyText"/>
        <w:spacing w:line="224" w:lineRule="exact"/>
        <w:rPr>
          <w:sz w:val="19"/>
        </w:rPr>
      </w:pPr>
      <w:r/>
    </w:p>
    <w:p>
      <w:pPr>
        <w:spacing w:line="224" w:lineRule="exact"/>
        <w:sectPr>
          <w:footerReference w:type="default" r:id="rId41"/>
          <w:pgSz w:w="11906" w:h="16839"/>
          <w:pgMar w:top="1250" w:right="1691" w:bottom="1349" w:left="1691" w:header="831" w:footer="1162" w:gutter="0"/>
        </w:sectPr>
        <w:rPr>
          <w:sz w:val="19"/>
          <w:szCs w:val="19"/>
        </w:rPr>
      </w:pPr>
    </w:p>
    <w:p>
      <w:pPr>
        <w:spacing w:line="189"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3"/>
        <w:gridCol w:w="3728"/>
        <w:gridCol w:w="2900"/>
        <w:gridCol w:w="1001"/>
      </w:tblGrid>
      <w:tr>
        <w:trPr>
          <w:trHeight w:val="1235" w:hRule="atLeast"/>
        </w:trPr>
        <w:tc>
          <w:tcPr>
            <w:tcW w:w="893" w:type="dxa"/>
            <w:vAlign w:val="top"/>
            <w:tcBorders>
              <w:left w:val="nil"/>
              <w:top w:val="single" w:color="000000" w:sz="10" w:space="0"/>
            </w:tcBorders>
          </w:tcPr>
          <w:p>
            <w:pPr>
              <w:rPr>
                <w:rFonts w:ascii="Arial"/>
                <w:sz w:val="21"/>
              </w:rPr>
            </w:pPr>
            <w:r/>
          </w:p>
        </w:tc>
        <w:tc>
          <w:tcPr>
            <w:tcW w:w="3728" w:type="dxa"/>
            <w:vAlign w:val="top"/>
            <w:tcBorders>
              <w:top w:val="single" w:color="000000" w:sz="10" w:space="0"/>
            </w:tcBorders>
          </w:tcPr>
          <w:p>
            <w:pPr>
              <w:pStyle w:val="TableText"/>
              <w:ind w:left="117" w:right="86" w:firstLine="3"/>
              <w:spacing w:before="37" w:line="274" w:lineRule="auto"/>
              <w:jc w:val="both"/>
              <w:rPr/>
            </w:pPr>
            <w:bookmarkStart w:name="bookmark499" w:id="29"/>
            <w:bookmarkEnd w:id="29"/>
            <w:r>
              <w:rPr>
                <w:spacing w:val="6"/>
              </w:rPr>
              <w:t>种为主，选择适应性强、防尘效果好、</w:t>
            </w:r>
            <w:r>
              <w:rPr>
                <w:spacing w:val="18"/>
              </w:rPr>
              <w:t>护坡功能强的植物种道路建设施工结</w:t>
            </w:r>
            <w:r>
              <w:rPr>
                <w:spacing w:val="5"/>
              </w:rPr>
              <w:t>束后，临时占地应及时恢复，与原有地</w:t>
            </w:r>
            <w:r>
              <w:rPr>
                <w:spacing w:val="6"/>
              </w:rPr>
              <w:t>貌和景观协调。</w:t>
            </w:r>
          </w:p>
        </w:tc>
        <w:tc>
          <w:tcPr>
            <w:tcW w:w="2900" w:type="dxa"/>
            <w:vAlign w:val="top"/>
            <w:tcBorders>
              <w:top w:val="single" w:color="000000" w:sz="10" w:space="0"/>
            </w:tcBorders>
          </w:tcPr>
          <w:p>
            <w:pPr>
              <w:rPr>
                <w:rFonts w:ascii="Arial"/>
                <w:sz w:val="21"/>
              </w:rPr>
            </w:pPr>
            <w:r/>
          </w:p>
        </w:tc>
        <w:tc>
          <w:tcPr>
            <w:tcW w:w="1001" w:type="dxa"/>
            <w:vAlign w:val="top"/>
            <w:tcBorders>
              <w:right w:val="nil"/>
              <w:top w:val="single" w:color="000000" w:sz="10" w:space="0"/>
            </w:tcBorders>
          </w:tcPr>
          <w:p>
            <w:pPr>
              <w:rPr>
                <w:rFonts w:ascii="Arial"/>
                <w:sz w:val="21"/>
              </w:rPr>
            </w:pPr>
            <w:r/>
          </w:p>
        </w:tc>
      </w:tr>
      <w:tr>
        <w:trPr>
          <w:trHeight w:val="1874" w:hRule="atLeast"/>
        </w:trPr>
        <w:tc>
          <w:tcPr>
            <w:tcW w:w="893" w:type="dxa"/>
            <w:vAlign w:val="top"/>
            <w:vMerge w:val="restart"/>
            <w:tcBorders>
              <w:left w:val="nil"/>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45"/>
              <w:spacing w:before="65" w:line="232" w:lineRule="auto"/>
              <w:rPr/>
            </w:pPr>
            <w:r>
              <w:rPr>
                <w:spacing w:val="5"/>
              </w:rPr>
              <w:t>矿山工</w:t>
            </w:r>
          </w:p>
          <w:p>
            <w:pPr>
              <w:pStyle w:val="TableText"/>
              <w:ind w:left="145"/>
              <w:spacing w:before="59" w:line="232" w:lineRule="auto"/>
              <w:rPr/>
            </w:pPr>
            <w:r>
              <w:rPr>
                <w:spacing w:val="5"/>
              </w:rPr>
              <w:t>业广场</w:t>
            </w:r>
          </w:p>
          <w:p>
            <w:pPr>
              <w:pStyle w:val="TableText"/>
              <w:ind w:left="158"/>
              <w:spacing w:before="60" w:line="229" w:lineRule="auto"/>
              <w:rPr/>
            </w:pPr>
            <w:r>
              <w:rPr/>
              <w:t>生态恢</w:t>
            </w:r>
          </w:p>
          <w:p>
            <w:pPr>
              <w:pStyle w:val="TableText"/>
              <w:ind w:left="364"/>
              <w:spacing w:before="64" w:line="232" w:lineRule="auto"/>
              <w:rPr/>
            </w:pPr>
            <w:r>
              <w:rPr/>
              <w:t>复</w:t>
            </w:r>
          </w:p>
        </w:tc>
        <w:tc>
          <w:tcPr>
            <w:tcW w:w="3728" w:type="dxa"/>
            <w:vAlign w:val="top"/>
          </w:tcPr>
          <w:p>
            <w:pPr>
              <w:pStyle w:val="TableText"/>
              <w:ind w:left="118" w:right="106" w:firstLine="420"/>
              <w:spacing w:before="57" w:line="278" w:lineRule="auto"/>
              <w:jc w:val="both"/>
              <w:rPr/>
            </w:pPr>
            <w:r>
              <w:rPr>
                <w:spacing w:val="5"/>
              </w:rPr>
              <w:t>矿山工业广场不再使用的厂房、堆</w:t>
            </w:r>
            <w:r>
              <w:rPr>
                <w:spacing w:val="5"/>
              </w:rPr>
              <w:t>料场、沉沙设施垃圾池、管线等各项建</w:t>
            </w:r>
            <w:r>
              <w:rPr>
                <w:spacing w:val="5"/>
              </w:rPr>
              <w:t>（构）筑物和基础设施应全部拆除，并</w:t>
            </w:r>
            <w:r>
              <w:rPr>
                <w:spacing w:val="5"/>
              </w:rPr>
              <w:t>进行景观和植被恢复。转为商住等其他</w:t>
            </w:r>
            <w:r>
              <w:rPr>
                <w:spacing w:val="5"/>
              </w:rPr>
              <w:t>用途的，应开展污染场地调查、风险评</w:t>
            </w:r>
            <w:r>
              <w:rPr>
                <w:spacing w:val="6"/>
              </w:rPr>
              <w:t>估与修复治理。</w:t>
            </w:r>
          </w:p>
        </w:tc>
        <w:tc>
          <w:tcPr>
            <w:tcW w:w="2900" w:type="dxa"/>
            <w:vAlign w:val="top"/>
          </w:tcPr>
          <w:p>
            <w:pPr>
              <w:pStyle w:val="TableText"/>
              <w:ind w:left="119" w:right="107" w:firstLine="420"/>
              <w:spacing w:before="57" w:line="278" w:lineRule="auto"/>
              <w:jc w:val="both"/>
              <w:rPr/>
            </w:pPr>
            <w:r>
              <w:rPr>
                <w:spacing w:val="4"/>
              </w:rPr>
              <w:t>未来项目闭矿时，建设单</w:t>
            </w:r>
            <w:r>
              <w:rPr>
                <w:spacing w:val="22"/>
              </w:rPr>
              <w:t>位将严格按要求拆除全部建</w:t>
            </w:r>
            <w:r>
              <w:rPr>
                <w:spacing w:val="5"/>
              </w:rPr>
              <w:t>（构）筑物和基础设施，并进</w:t>
            </w:r>
            <w:r>
              <w:rPr>
                <w:spacing w:val="5"/>
              </w:rPr>
              <w:t>行景观和植被恢复，按照相关</w:t>
            </w:r>
            <w:r>
              <w:rPr>
                <w:spacing w:val="5"/>
              </w:rPr>
              <w:t>要求开展土地复垦等工作；用</w:t>
            </w:r>
            <w:r>
              <w:rPr>
                <w:spacing w:val="6"/>
              </w:rPr>
              <w:t>地不会转为商住。</w:t>
            </w:r>
          </w:p>
        </w:tc>
        <w:tc>
          <w:tcPr>
            <w:tcW w:w="1001" w:type="dxa"/>
            <w:vAlign w:val="top"/>
            <w:tcBorders>
              <w:right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07"/>
              <w:spacing w:before="65" w:line="229" w:lineRule="auto"/>
              <w:rPr/>
            </w:pPr>
            <w:r>
              <w:rPr>
                <w:spacing w:val="-1"/>
              </w:rPr>
              <w:t>符合</w:t>
            </w:r>
          </w:p>
        </w:tc>
      </w:tr>
      <w:tr>
        <w:trPr>
          <w:trHeight w:val="939" w:hRule="atLeast"/>
        </w:trPr>
        <w:tc>
          <w:tcPr>
            <w:tcW w:w="893" w:type="dxa"/>
            <w:vAlign w:val="top"/>
            <w:vMerge w:val="continue"/>
            <w:tcBorders>
              <w:left w:val="nil"/>
              <w:top w:val="nil"/>
            </w:tcBorders>
          </w:tcPr>
          <w:p>
            <w:pPr>
              <w:rPr>
                <w:rFonts w:ascii="Arial"/>
                <w:sz w:val="21"/>
              </w:rPr>
            </w:pPr>
            <w:r/>
          </w:p>
        </w:tc>
        <w:tc>
          <w:tcPr>
            <w:tcW w:w="3728" w:type="dxa"/>
            <w:vAlign w:val="top"/>
          </w:tcPr>
          <w:p>
            <w:pPr>
              <w:pStyle w:val="TableText"/>
              <w:ind w:left="120" w:right="106" w:firstLine="419"/>
              <w:spacing w:before="58" w:line="268" w:lineRule="auto"/>
              <w:jc w:val="both"/>
              <w:rPr/>
            </w:pPr>
            <w:r>
              <w:rPr>
                <w:spacing w:val="15"/>
              </w:rPr>
              <w:t>地下开采的矿山闭矿后应将井</w:t>
            </w:r>
            <w:r>
              <w:rPr>
                <w:spacing w:val="-35"/>
              </w:rPr>
              <w:t xml:space="preserve"> </w:t>
            </w:r>
            <w:r>
              <w:rPr>
                <w:spacing w:val="15"/>
              </w:rPr>
              <w:t>口</w:t>
            </w:r>
            <w:r>
              <w:rPr>
                <w:spacing w:val="5"/>
              </w:rPr>
              <w:t>封堵完整，采取遮挡和防护措施，并设</w:t>
            </w:r>
            <w:r>
              <w:rPr>
                <w:spacing w:val="4"/>
              </w:rPr>
              <w:t>立警示牌。</w:t>
            </w:r>
          </w:p>
        </w:tc>
        <w:tc>
          <w:tcPr>
            <w:tcW w:w="2900" w:type="dxa"/>
            <w:vAlign w:val="top"/>
          </w:tcPr>
          <w:p>
            <w:pPr>
              <w:pStyle w:val="TableText"/>
              <w:ind w:left="118" w:right="107" w:firstLine="421"/>
              <w:spacing w:before="58" w:line="268" w:lineRule="auto"/>
              <w:jc w:val="both"/>
              <w:rPr/>
            </w:pPr>
            <w:r>
              <w:rPr>
                <w:spacing w:val="4"/>
              </w:rPr>
              <w:t>未来项目闭矿时，建设单</w:t>
            </w:r>
            <w:r>
              <w:rPr>
                <w:spacing w:val="5"/>
              </w:rPr>
              <w:t>位将井口封堵完整，采取遮挡</w:t>
            </w:r>
            <w:r>
              <w:rPr>
                <w:spacing w:val="8"/>
              </w:rPr>
              <w:t>和防护措施，并设立警示牌</w:t>
            </w:r>
          </w:p>
        </w:tc>
        <w:tc>
          <w:tcPr>
            <w:tcW w:w="1001" w:type="dxa"/>
            <w:vAlign w:val="top"/>
            <w:tcBorders>
              <w:right w:val="nil"/>
            </w:tcBorders>
          </w:tcPr>
          <w:p>
            <w:pPr>
              <w:spacing w:line="302" w:lineRule="auto"/>
              <w:rPr>
                <w:rFonts w:ascii="Arial"/>
                <w:sz w:val="21"/>
              </w:rPr>
            </w:pPr>
            <w:r/>
          </w:p>
          <w:p>
            <w:pPr>
              <w:pStyle w:val="TableText"/>
              <w:ind w:left="201"/>
              <w:spacing w:before="65" w:line="229" w:lineRule="auto"/>
              <w:rPr/>
            </w:pPr>
            <w:r>
              <w:rPr>
                <w:spacing w:val="-1"/>
              </w:rPr>
              <w:t>符合。</w:t>
            </w:r>
          </w:p>
        </w:tc>
      </w:tr>
      <w:tr>
        <w:trPr>
          <w:trHeight w:val="2808" w:hRule="atLeast"/>
        </w:trPr>
        <w:tc>
          <w:tcPr>
            <w:tcW w:w="893" w:type="dxa"/>
            <w:vAlign w:val="top"/>
            <w:vMerge w:val="restart"/>
            <w:tcBorders>
              <w:left w:val="nil"/>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45"/>
              <w:spacing w:before="65" w:line="232" w:lineRule="auto"/>
              <w:rPr/>
            </w:pPr>
            <w:r>
              <w:rPr>
                <w:spacing w:val="5"/>
              </w:rPr>
              <w:t>矿山大</w:t>
            </w:r>
          </w:p>
          <w:p>
            <w:pPr>
              <w:pStyle w:val="TableText"/>
              <w:ind w:left="153"/>
              <w:spacing w:before="60" w:line="231" w:lineRule="auto"/>
              <w:rPr/>
            </w:pPr>
            <w:r>
              <w:rPr>
                <w:spacing w:val="2"/>
              </w:rPr>
              <w:t>气污染</w:t>
            </w:r>
          </w:p>
          <w:p>
            <w:pPr>
              <w:pStyle w:val="TableText"/>
              <w:ind w:left="262"/>
              <w:spacing w:before="61" w:line="231" w:lineRule="auto"/>
              <w:rPr/>
            </w:pPr>
            <w:r>
              <w:rPr>
                <w:spacing w:val="-5"/>
              </w:rPr>
              <w:t>防治</w:t>
            </w:r>
          </w:p>
        </w:tc>
        <w:tc>
          <w:tcPr>
            <w:tcW w:w="3728" w:type="dxa"/>
            <w:vAlign w:val="top"/>
          </w:tcPr>
          <w:p>
            <w:pPr>
              <w:pStyle w:val="TableText"/>
              <w:ind w:left="112" w:right="106" w:firstLine="426"/>
              <w:spacing w:before="58" w:line="288" w:lineRule="auto"/>
              <w:rPr/>
            </w:pPr>
            <w:r>
              <w:rPr>
                <w:spacing w:val="19"/>
              </w:rPr>
              <w:t>矿山采选过程中产生的大气污染</w:t>
            </w:r>
            <w:r>
              <w:rPr>
                <w:spacing w:val="-1"/>
              </w:rPr>
              <w:t>物</w:t>
            </w:r>
            <w:r>
              <w:rPr>
                <w:spacing w:val="-55"/>
              </w:rPr>
              <w:t xml:space="preserve"> </w:t>
            </w:r>
            <w:r>
              <w:rPr>
                <w:spacing w:val="-1"/>
              </w:rPr>
              <w:t>排</w:t>
            </w:r>
            <w:r>
              <w:rPr>
                <w:spacing w:val="-56"/>
              </w:rPr>
              <w:t xml:space="preserve"> </w:t>
            </w:r>
            <w:r>
              <w:rPr>
                <w:spacing w:val="-1"/>
              </w:rPr>
              <w:t>放</w:t>
            </w:r>
            <w:r>
              <w:rPr>
                <w:spacing w:val="-58"/>
              </w:rPr>
              <w:t xml:space="preserve"> </w:t>
            </w:r>
            <w:r>
              <w:rPr>
                <w:spacing w:val="-1"/>
              </w:rPr>
              <w:t>应</w:t>
            </w:r>
            <w:r>
              <w:rPr>
                <w:spacing w:val="-53"/>
              </w:rPr>
              <w:t xml:space="preserve"> </w:t>
            </w:r>
            <w:r>
              <w:rPr>
                <w:spacing w:val="-1"/>
              </w:rPr>
              <w:t>符</w:t>
            </w:r>
            <w:r>
              <w:rPr>
                <w:spacing w:val="-49"/>
              </w:rPr>
              <w:t xml:space="preserve"> </w:t>
            </w:r>
            <w:r>
              <w:rPr>
                <w:spacing w:val="-1"/>
              </w:rPr>
              <w:t>合</w:t>
            </w:r>
            <w:r>
              <w:rPr>
                <w:spacing w:val="-1"/>
              </w:rPr>
              <w:t xml:space="preserve"> </w:t>
            </w:r>
            <w:r>
              <w:rPr>
                <w:rFonts w:ascii="Times New Roman" w:hAnsi="Times New Roman" w:eastAsia="Times New Roman" w:cs="Times New Roman"/>
                <w:spacing w:val="-1"/>
              </w:rPr>
              <w:t>GB9078 </w:t>
            </w:r>
            <w:r>
              <w:rPr>
                <w:spacing w:val="-1"/>
              </w:rPr>
              <w:t>、</w:t>
            </w:r>
            <w:r>
              <w:rPr>
                <w:spacing w:val="-58"/>
              </w:rPr>
              <w:t xml:space="preserve"> </w:t>
            </w:r>
            <w:r>
              <w:rPr>
                <w:rFonts w:ascii="Times New Roman" w:hAnsi="Times New Roman" w:eastAsia="Times New Roman" w:cs="Times New Roman"/>
                <w:spacing w:val="-1"/>
              </w:rPr>
              <w:t>GB16297 </w:t>
            </w:r>
            <w:r>
              <w:rPr>
                <w:spacing w:val="-1"/>
              </w:rPr>
              <w:t>、</w:t>
            </w:r>
            <w:r>
              <w:rPr/>
              <w:t xml:space="preserve"> </w:t>
            </w:r>
            <w:r>
              <w:rPr>
                <w:rFonts w:ascii="Times New Roman" w:hAnsi="Times New Roman" w:eastAsia="Times New Roman" w:cs="Times New Roman"/>
              </w:rPr>
              <w:t>GB</w:t>
            </w:r>
            <w:r>
              <w:rPr>
                <w:rFonts w:ascii="Times New Roman" w:hAnsi="Times New Roman" w:eastAsia="Times New Roman" w:cs="Times New Roman"/>
                <w:spacing w:val="2"/>
              </w:rPr>
              <w:t>20426  </w:t>
            </w:r>
            <w:r>
              <w:rPr>
                <w:spacing w:val="2"/>
              </w:rPr>
              <w:t>、</w:t>
            </w:r>
            <w:r>
              <w:rPr>
                <w:spacing w:val="2"/>
              </w:rPr>
              <w:t xml:space="preserve"> </w:t>
            </w:r>
            <w:r>
              <w:rPr>
                <w:rFonts w:ascii="Times New Roman" w:hAnsi="Times New Roman" w:eastAsia="Times New Roman" w:cs="Times New Roman"/>
              </w:rPr>
              <w:t>GB</w:t>
            </w:r>
            <w:r>
              <w:rPr>
                <w:rFonts w:ascii="Times New Roman" w:hAnsi="Times New Roman" w:eastAsia="Times New Roman" w:cs="Times New Roman"/>
                <w:spacing w:val="2"/>
              </w:rPr>
              <w:t>25465  </w:t>
            </w:r>
            <w:r>
              <w:rPr>
                <w:spacing w:val="2"/>
              </w:rPr>
              <w:t>、</w:t>
            </w:r>
            <w:r>
              <w:rPr>
                <w:spacing w:val="2"/>
              </w:rPr>
              <w:t xml:space="preserve"> </w:t>
            </w:r>
            <w:r>
              <w:rPr>
                <w:rFonts w:ascii="Times New Roman" w:hAnsi="Times New Roman" w:eastAsia="Times New Roman" w:cs="Times New Roman"/>
              </w:rPr>
              <w:t>GB</w:t>
            </w:r>
            <w:r>
              <w:rPr>
                <w:rFonts w:ascii="Times New Roman" w:hAnsi="Times New Roman" w:eastAsia="Times New Roman" w:cs="Times New Roman"/>
                <w:spacing w:val="2"/>
              </w:rPr>
              <w:t>25466</w:t>
            </w:r>
            <w:r>
              <w:rPr>
                <w:rFonts w:ascii="Times New Roman" w:hAnsi="Times New Roman" w:eastAsia="Times New Roman" w:cs="Times New Roman"/>
                <w:spacing w:val="10"/>
              </w:rPr>
              <w:t xml:space="preserve">  </w:t>
            </w:r>
            <w:r>
              <w:rPr>
                <w:spacing w:val="2"/>
              </w:rPr>
              <w:t>、</w:t>
            </w:r>
            <w:r>
              <w:rPr>
                <w:spacing w:val="1"/>
              </w:rPr>
              <w:t xml:space="preserve"> </w:t>
            </w:r>
            <w:r>
              <w:rPr>
                <w:rFonts w:ascii="Times New Roman" w:hAnsi="Times New Roman" w:eastAsia="Times New Roman" w:cs="Times New Roman"/>
              </w:rPr>
              <w:t>GB</w:t>
            </w:r>
            <w:r>
              <w:rPr>
                <w:rFonts w:ascii="Times New Roman" w:hAnsi="Times New Roman" w:eastAsia="Times New Roman" w:cs="Times New Roman"/>
                <w:spacing w:val="2"/>
              </w:rPr>
              <w:t>25467  </w:t>
            </w:r>
            <w:r>
              <w:rPr>
                <w:spacing w:val="2"/>
              </w:rPr>
              <w:t>、</w:t>
            </w:r>
            <w:r>
              <w:rPr>
                <w:spacing w:val="2"/>
              </w:rPr>
              <w:t xml:space="preserve"> </w:t>
            </w:r>
            <w:r>
              <w:rPr>
                <w:rFonts w:ascii="Times New Roman" w:hAnsi="Times New Roman" w:eastAsia="Times New Roman" w:cs="Times New Roman"/>
              </w:rPr>
              <w:t>GB</w:t>
            </w:r>
            <w:r>
              <w:rPr>
                <w:rFonts w:ascii="Times New Roman" w:hAnsi="Times New Roman" w:eastAsia="Times New Roman" w:cs="Times New Roman"/>
                <w:spacing w:val="2"/>
              </w:rPr>
              <w:t>25468  </w:t>
            </w:r>
            <w:r>
              <w:rPr>
                <w:spacing w:val="2"/>
              </w:rPr>
              <w:t>、</w:t>
            </w:r>
            <w:r>
              <w:rPr>
                <w:spacing w:val="2"/>
              </w:rPr>
              <w:t xml:space="preserve"> </w:t>
            </w:r>
            <w:r>
              <w:rPr>
                <w:rFonts w:ascii="Times New Roman" w:hAnsi="Times New Roman" w:eastAsia="Times New Roman" w:cs="Times New Roman"/>
              </w:rPr>
              <w:t>GB</w:t>
            </w:r>
            <w:r>
              <w:rPr>
                <w:rFonts w:ascii="Times New Roman" w:hAnsi="Times New Roman" w:eastAsia="Times New Roman" w:cs="Times New Roman"/>
                <w:spacing w:val="2"/>
              </w:rPr>
              <w:t>26451</w:t>
            </w:r>
            <w:r>
              <w:rPr>
                <w:rFonts w:ascii="Times New Roman" w:hAnsi="Times New Roman" w:eastAsia="Times New Roman" w:cs="Times New Roman"/>
                <w:spacing w:val="10"/>
              </w:rPr>
              <w:t xml:space="preserve">  </w:t>
            </w:r>
            <w:r>
              <w:rPr>
                <w:spacing w:val="2"/>
              </w:rPr>
              <w:t>、</w:t>
            </w:r>
            <w:r>
              <w:rPr>
                <w:spacing w:val="1"/>
              </w:rPr>
              <w:t xml:space="preserve"> </w:t>
            </w:r>
            <w:r>
              <w:rPr>
                <w:rFonts w:ascii="Times New Roman" w:hAnsi="Times New Roman" w:eastAsia="Times New Roman" w:cs="Times New Roman"/>
              </w:rPr>
              <w:t>GB</w:t>
            </w:r>
            <w:r>
              <w:rPr>
                <w:rFonts w:ascii="Times New Roman" w:hAnsi="Times New Roman" w:eastAsia="Times New Roman" w:cs="Times New Roman"/>
                <w:spacing w:val="14"/>
              </w:rPr>
              <w:t>28661</w:t>
            </w:r>
            <w:r>
              <w:rPr>
                <w:rFonts w:ascii="Times New Roman" w:hAnsi="Times New Roman" w:eastAsia="Times New Roman" w:cs="Times New Roman"/>
                <w:spacing w:val="34"/>
                <w:w w:val="101"/>
              </w:rPr>
              <w:t xml:space="preserve"> </w:t>
            </w:r>
            <w:r>
              <w:rPr>
                <w:spacing w:val="14"/>
              </w:rPr>
              <w:t>等国家大气污染物排放标准</w:t>
            </w:r>
            <w:r>
              <w:rPr>
                <w:spacing w:val="2"/>
              </w:rPr>
              <w:t>以及所在省（</w:t>
            </w:r>
            <w:r>
              <w:rPr>
                <w:spacing w:val="-31"/>
              </w:rPr>
              <w:t xml:space="preserve"> </w:t>
            </w:r>
            <w:r>
              <w:rPr>
                <w:spacing w:val="2"/>
              </w:rPr>
              <w:t>自治区、直辖市）人民政</w:t>
            </w:r>
            <w:r>
              <w:rPr>
                <w:spacing w:val="8"/>
              </w:rPr>
              <w:t>府发布实施的地方污染物排放标准。</w:t>
            </w:r>
          </w:p>
          <w:p>
            <w:pPr>
              <w:pStyle w:val="TableText"/>
              <w:ind w:left="118" w:right="124" w:firstLine="420"/>
              <w:spacing w:before="1" w:line="256" w:lineRule="auto"/>
              <w:rPr/>
            </w:pPr>
            <w:r>
              <w:rPr>
                <w:spacing w:val="8"/>
              </w:rPr>
              <w:t>矿区环境空气质量应符合</w:t>
            </w:r>
            <w:r>
              <w:rPr>
                <w:spacing w:val="-40"/>
              </w:rPr>
              <w:t xml:space="preserve"> </w:t>
            </w:r>
            <w:r>
              <w:rPr>
                <w:rFonts w:ascii="Times New Roman" w:hAnsi="Times New Roman" w:eastAsia="Times New Roman" w:cs="Times New Roman"/>
              </w:rPr>
              <w:t>GB</w:t>
            </w:r>
            <w:r>
              <w:rPr>
                <w:rFonts w:ascii="Times New Roman" w:hAnsi="Times New Roman" w:eastAsia="Times New Roman" w:cs="Times New Roman"/>
                <w:spacing w:val="8"/>
              </w:rPr>
              <w:t>3095</w:t>
            </w:r>
            <w:r>
              <w:rPr>
                <w:spacing w:val="4"/>
              </w:rPr>
              <w:t>标准要求。</w:t>
            </w:r>
          </w:p>
        </w:tc>
        <w:tc>
          <w:tcPr>
            <w:tcW w:w="2900" w:type="dxa"/>
            <w:vAlign w:val="top"/>
          </w:tcPr>
          <w:p>
            <w:pPr>
              <w:spacing w:line="459" w:lineRule="auto"/>
              <w:rPr>
                <w:rFonts w:ascii="Arial"/>
                <w:sz w:val="21"/>
              </w:rPr>
            </w:pPr>
            <w:r/>
          </w:p>
          <w:p>
            <w:pPr>
              <w:pStyle w:val="TableText"/>
              <w:ind w:left="117" w:right="107" w:firstLine="420"/>
              <w:spacing w:before="65" w:line="288" w:lineRule="auto"/>
              <w:jc w:val="both"/>
              <w:rPr/>
            </w:pPr>
            <w:r>
              <w:rPr>
                <w:spacing w:val="4"/>
              </w:rPr>
              <w:t>经预测分析，项目废气经</w:t>
            </w:r>
            <w:r>
              <w:rPr>
                <w:spacing w:val="22"/>
              </w:rPr>
              <w:t>处理后达标排放外排废气满</w:t>
            </w:r>
            <w:r>
              <w:rPr/>
              <w:t>足</w:t>
            </w:r>
            <w:r>
              <w:rPr/>
              <w:t xml:space="preserve"> </w:t>
            </w:r>
            <w:r>
              <w:rPr>
                <w:rFonts w:ascii="Times New Roman" w:hAnsi="Times New Roman" w:eastAsia="Times New Roman" w:cs="Times New Roman"/>
              </w:rPr>
              <w:t>GB16297-1996</w:t>
            </w:r>
            <w:r>
              <w:rPr>
                <w:rFonts w:ascii="Times New Roman" w:hAnsi="Times New Roman" w:eastAsia="Times New Roman" w:cs="Times New Roman"/>
                <w:spacing w:val="20"/>
              </w:rPr>
              <w:t xml:space="preserve">  </w:t>
            </w:r>
            <w:r>
              <w:rPr/>
              <w:t>中</w:t>
            </w:r>
            <w:r>
              <w:rPr>
                <w:spacing w:val="-39"/>
              </w:rPr>
              <w:t xml:space="preserve"> </w:t>
            </w:r>
            <w:r>
              <w:rPr/>
              <w:t>相</w:t>
            </w:r>
            <w:r>
              <w:rPr>
                <w:spacing w:val="-35"/>
              </w:rPr>
              <w:t xml:space="preserve"> </w:t>
            </w:r>
            <w:r>
              <w:rPr/>
              <w:t>关</w:t>
            </w:r>
            <w:r>
              <w:rPr>
                <w:spacing w:val="-42"/>
              </w:rPr>
              <w:t xml:space="preserve"> </w:t>
            </w:r>
            <w:r>
              <w:rPr/>
              <w:t>标</w:t>
            </w:r>
            <w:r>
              <w:rPr>
                <w:spacing w:val="5"/>
              </w:rPr>
              <w:t>准；根据现状监测，项目区环</w:t>
            </w:r>
            <w:r>
              <w:rPr>
                <w:spacing w:val="6"/>
              </w:rPr>
              <w:t>境空气质量满足</w:t>
            </w:r>
            <w:r>
              <w:rPr>
                <w:spacing w:val="-43"/>
              </w:rPr>
              <w:t xml:space="preserve"> </w:t>
            </w:r>
            <w:r>
              <w:rPr>
                <w:rFonts w:ascii="Times New Roman" w:hAnsi="Times New Roman" w:eastAsia="Times New Roman" w:cs="Times New Roman"/>
              </w:rPr>
              <w:t>GB</w:t>
            </w:r>
            <w:r>
              <w:rPr>
                <w:rFonts w:ascii="Times New Roman" w:hAnsi="Times New Roman" w:eastAsia="Times New Roman" w:cs="Times New Roman"/>
                <w:spacing w:val="6"/>
              </w:rPr>
              <w:t>3095 </w:t>
            </w:r>
            <w:r>
              <w:rPr>
                <w:spacing w:val="6"/>
              </w:rPr>
              <w:t>标准</w:t>
            </w:r>
            <w:r>
              <w:rPr>
                <w:spacing w:val="1"/>
              </w:rPr>
              <w:t>要求。</w:t>
            </w:r>
          </w:p>
        </w:tc>
        <w:tc>
          <w:tcPr>
            <w:tcW w:w="1001" w:type="dxa"/>
            <w:vAlign w:val="top"/>
            <w:tcBorders>
              <w:right w:val="nil"/>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07"/>
              <w:spacing w:before="65" w:line="229" w:lineRule="auto"/>
              <w:rPr/>
            </w:pPr>
            <w:r>
              <w:rPr>
                <w:spacing w:val="-1"/>
              </w:rPr>
              <w:t>符合</w:t>
            </w:r>
          </w:p>
        </w:tc>
      </w:tr>
      <w:tr>
        <w:trPr>
          <w:trHeight w:val="3742" w:hRule="atLeast"/>
        </w:trPr>
        <w:tc>
          <w:tcPr>
            <w:tcW w:w="893" w:type="dxa"/>
            <w:vAlign w:val="top"/>
            <w:vMerge w:val="continue"/>
            <w:tcBorders>
              <w:left w:val="nil"/>
              <w:top w:val="nil"/>
            </w:tcBorders>
          </w:tcPr>
          <w:p>
            <w:pPr>
              <w:rPr>
                <w:rFonts w:ascii="Arial"/>
                <w:sz w:val="21"/>
              </w:rPr>
            </w:pPr>
            <w:r/>
          </w:p>
        </w:tc>
        <w:tc>
          <w:tcPr>
            <w:tcW w:w="3728" w:type="dxa"/>
            <w:vAlign w:val="top"/>
          </w:tcPr>
          <w:p>
            <w:pPr>
              <w:spacing w:line="466" w:lineRule="auto"/>
              <w:rPr>
                <w:rFonts w:ascii="Arial"/>
                <w:sz w:val="21"/>
              </w:rPr>
            </w:pPr>
            <w:r/>
          </w:p>
          <w:p>
            <w:pPr>
              <w:pStyle w:val="TableText"/>
              <w:ind w:left="118" w:right="96" w:firstLine="420"/>
              <w:spacing w:before="65" w:line="288" w:lineRule="auto"/>
              <w:jc w:val="both"/>
              <w:rPr/>
            </w:pPr>
            <w:r>
              <w:rPr>
                <w:spacing w:val="19"/>
              </w:rPr>
              <w:t>矿山企业应采取如下措施避免或</w:t>
            </w:r>
            <w:r>
              <w:rPr>
                <w:spacing w:val="6"/>
              </w:rPr>
              <w:t>减轻大气污染：采矿清理地面植被时，</w:t>
            </w:r>
            <w:r>
              <w:rPr>
                <w:spacing w:val="5"/>
              </w:rPr>
              <w:t>禁止燃烧植被。运输剥离土的道路应洒</w:t>
            </w:r>
            <w:r>
              <w:rPr>
                <w:spacing w:val="5"/>
              </w:rPr>
              <w:t>水或采取其他措施减少粉尘。勘探、采</w:t>
            </w:r>
            <w:r>
              <w:rPr>
                <w:spacing w:val="18"/>
              </w:rPr>
              <w:t>矿及选矿作业中所用设备应配备粉尘</w:t>
            </w:r>
            <w:r>
              <w:rPr>
                <w:spacing w:val="5"/>
              </w:rPr>
              <w:t>收集或降尘设施。矿物和矿渣运输道路</w:t>
            </w:r>
            <w:r>
              <w:rPr>
                <w:spacing w:val="5"/>
              </w:rPr>
              <w:t>应硬化并洒水防尘，运输车辆应采取围</w:t>
            </w:r>
            <w:r>
              <w:rPr>
                <w:spacing w:val="5"/>
              </w:rPr>
              <w:t>挡、遮盖等措施。矿物堆场和临时料场</w:t>
            </w:r>
            <w:r>
              <w:rPr>
                <w:spacing w:val="8"/>
              </w:rPr>
              <w:t>应采取防止风蚀和扬尘措施。</w:t>
            </w:r>
          </w:p>
        </w:tc>
        <w:tc>
          <w:tcPr>
            <w:tcW w:w="2900" w:type="dxa"/>
            <w:vAlign w:val="top"/>
          </w:tcPr>
          <w:p>
            <w:pPr>
              <w:pStyle w:val="TableText"/>
              <w:ind w:left="116" w:right="107" w:firstLine="422"/>
              <w:spacing w:before="66" w:line="282" w:lineRule="auto"/>
              <w:jc w:val="both"/>
              <w:rPr/>
            </w:pPr>
            <w:r>
              <w:rPr>
                <w:spacing w:val="17"/>
              </w:rPr>
              <w:t>项</w:t>
            </w:r>
            <w:r>
              <w:rPr>
                <w:spacing w:val="-23"/>
              </w:rPr>
              <w:t xml:space="preserve"> </w:t>
            </w:r>
            <w:r>
              <w:rPr>
                <w:spacing w:val="17"/>
              </w:rPr>
              <w:t>目开采方式为地下开</w:t>
            </w:r>
            <w:r>
              <w:rPr>
                <w:spacing w:val="5"/>
              </w:rPr>
              <w:t>采，采矿过程不涉及地面植被</w:t>
            </w:r>
            <w:r>
              <w:rPr>
                <w:spacing w:val="5"/>
              </w:rPr>
              <w:t>清理及焚烧；运输剥离土的道</w:t>
            </w:r>
            <w:r>
              <w:rPr>
                <w:spacing w:val="5"/>
              </w:rPr>
              <w:t>路采取洒水抑尘措施。采矿过</w:t>
            </w:r>
            <w:r>
              <w:rPr>
                <w:spacing w:val="5"/>
              </w:rPr>
              <w:t>程采用湿式作业；爆破作业时</w:t>
            </w:r>
            <w:r>
              <w:rPr>
                <w:spacing w:val="5"/>
              </w:rPr>
              <w:t>采取洒水抑尘措施；破碎筛分</w:t>
            </w:r>
            <w:r>
              <w:rPr>
                <w:spacing w:val="5"/>
              </w:rPr>
              <w:t>等设备安装除尘装置，减少粉</w:t>
            </w:r>
            <w:r>
              <w:rPr>
                <w:spacing w:val="5"/>
              </w:rPr>
              <w:t>尘外排。矿区内运输道路采取</w:t>
            </w:r>
            <w:r>
              <w:rPr>
                <w:spacing w:val="5"/>
              </w:rPr>
              <w:t>硬化措施，定期洒水防尘，运</w:t>
            </w:r>
            <w:r>
              <w:rPr>
                <w:spacing w:val="18"/>
              </w:rPr>
              <w:t>输车辆采取围挡</w:t>
            </w:r>
            <w:r>
              <w:rPr>
                <w:spacing w:val="-47"/>
              </w:rPr>
              <w:t xml:space="preserve"> </w:t>
            </w:r>
            <w:r>
              <w:rPr>
                <w:spacing w:val="18"/>
              </w:rPr>
              <w:t>、遮盖等措</w:t>
            </w:r>
            <w:r>
              <w:rPr>
                <w:spacing w:val="5"/>
              </w:rPr>
              <w:t>施。矿山、废石堆场采取苫布</w:t>
            </w:r>
            <w:r>
              <w:rPr>
                <w:spacing w:val="7"/>
              </w:rPr>
              <w:t>遮盖，定期洒水降尘。</w:t>
            </w:r>
          </w:p>
        </w:tc>
        <w:tc>
          <w:tcPr>
            <w:tcW w:w="1001" w:type="dxa"/>
            <w:vAlign w:val="top"/>
            <w:tcBorders>
              <w:right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07"/>
              <w:spacing w:before="65" w:line="229" w:lineRule="auto"/>
              <w:rPr/>
            </w:pPr>
            <w:r>
              <w:rPr>
                <w:spacing w:val="-1"/>
              </w:rPr>
              <w:t>符合</w:t>
            </w:r>
          </w:p>
        </w:tc>
      </w:tr>
      <w:tr>
        <w:trPr>
          <w:trHeight w:val="1504" w:hRule="atLeast"/>
        </w:trPr>
        <w:tc>
          <w:tcPr>
            <w:tcW w:w="893" w:type="dxa"/>
            <w:vAlign w:val="top"/>
            <w:vMerge w:val="restart"/>
            <w:tcBorders>
              <w:left w:val="nil"/>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45"/>
              <w:spacing w:before="65" w:line="232" w:lineRule="auto"/>
              <w:rPr/>
            </w:pPr>
            <w:r>
              <w:rPr>
                <w:spacing w:val="5"/>
              </w:rPr>
              <w:t>矿山水</w:t>
            </w:r>
          </w:p>
          <w:p>
            <w:pPr>
              <w:pStyle w:val="TableText"/>
              <w:ind w:left="149"/>
              <w:spacing w:before="60" w:line="231" w:lineRule="auto"/>
              <w:rPr/>
            </w:pPr>
            <w:r>
              <w:rPr>
                <w:spacing w:val="3"/>
              </w:rPr>
              <w:t>污染防</w:t>
            </w:r>
          </w:p>
          <w:p>
            <w:pPr>
              <w:pStyle w:val="TableText"/>
              <w:ind w:left="357"/>
              <w:spacing w:before="61" w:line="231" w:lineRule="auto"/>
              <w:rPr/>
            </w:pPr>
            <w:r>
              <w:rPr/>
              <w:t>治</w:t>
            </w:r>
          </w:p>
        </w:tc>
        <w:tc>
          <w:tcPr>
            <w:tcW w:w="3728" w:type="dxa"/>
            <w:vAlign w:val="top"/>
          </w:tcPr>
          <w:p>
            <w:pPr>
              <w:spacing w:line="443" w:lineRule="auto"/>
              <w:rPr>
                <w:rFonts w:ascii="Arial"/>
                <w:sz w:val="21"/>
              </w:rPr>
            </w:pPr>
            <w:r/>
          </w:p>
          <w:p>
            <w:pPr>
              <w:pStyle w:val="TableText"/>
              <w:ind w:left="122" w:right="106" w:firstLine="417"/>
              <w:spacing w:before="65" w:line="288" w:lineRule="auto"/>
              <w:rPr/>
            </w:pPr>
            <w:r>
              <w:rPr>
                <w:spacing w:val="5"/>
              </w:rPr>
              <w:t>充分利用矿井水、选矿废水和尾矿</w:t>
            </w:r>
            <w:r>
              <w:rPr>
                <w:spacing w:val="7"/>
              </w:rPr>
              <w:t>库废水，避免或减少废水外排。</w:t>
            </w:r>
          </w:p>
        </w:tc>
        <w:tc>
          <w:tcPr>
            <w:tcW w:w="2900" w:type="dxa"/>
            <w:vAlign w:val="top"/>
            <w:vMerge w:val="restart"/>
            <w:tcBorders>
              <w:bottom w:val="nil"/>
            </w:tcBorders>
          </w:tcPr>
          <w:p>
            <w:pPr>
              <w:pStyle w:val="TableText"/>
              <w:ind w:left="117" w:right="107" w:firstLine="420"/>
              <w:spacing w:before="67" w:line="283" w:lineRule="auto"/>
              <w:jc w:val="both"/>
              <w:rPr/>
            </w:pPr>
            <w:r>
              <w:rPr>
                <w:spacing w:val="24"/>
              </w:rPr>
              <w:t>矿井涌水经地下水仓沉</w:t>
            </w:r>
            <w:r>
              <w:rPr>
                <w:spacing w:val="22"/>
              </w:rPr>
              <w:t>淀后经潜水泵排至地表高位</w:t>
            </w:r>
            <w:r>
              <w:rPr>
                <w:spacing w:val="5"/>
              </w:rPr>
              <w:t>水池，部分矿井涌水经过采区</w:t>
            </w:r>
            <w:r>
              <w:rPr>
                <w:spacing w:val="5"/>
              </w:rPr>
              <w:t>高位水池沉淀处理后，回用于</w:t>
            </w:r>
            <w:r>
              <w:rPr>
                <w:spacing w:val="5"/>
              </w:rPr>
              <w:t>采矿井下凿岩、爆破降尘、各</w:t>
            </w:r>
            <w:r>
              <w:rPr>
                <w:spacing w:val="5"/>
              </w:rPr>
              <w:t>堆场道路降尘，剩余部分矿井</w:t>
            </w:r>
            <w:r>
              <w:rPr>
                <w:spacing w:val="22"/>
              </w:rPr>
              <w:t>涌水经选厂高位水池沉淀后</w:t>
            </w:r>
            <w:r>
              <w:rPr>
                <w:spacing w:val="22"/>
              </w:rPr>
              <w:t>进入回水池内与选矿废水经</w:t>
            </w:r>
            <w:r>
              <w:rPr>
                <w:spacing w:val="22"/>
              </w:rPr>
              <w:t>混凝沉淀后进入蓄水池内回</w:t>
            </w:r>
            <w:r>
              <w:rPr>
                <w:spacing w:val="7"/>
              </w:rPr>
              <w:t>用于选矿用水，不外排。</w:t>
            </w:r>
          </w:p>
        </w:tc>
        <w:tc>
          <w:tcPr>
            <w:tcW w:w="1001" w:type="dxa"/>
            <w:vAlign w:val="top"/>
            <w:tcBorders>
              <w:right w:val="nil"/>
            </w:tcBorders>
          </w:tcPr>
          <w:p>
            <w:pPr>
              <w:spacing w:line="299" w:lineRule="auto"/>
              <w:rPr>
                <w:rFonts w:ascii="Arial"/>
                <w:sz w:val="21"/>
              </w:rPr>
            </w:pPr>
            <w:r/>
          </w:p>
          <w:p>
            <w:pPr>
              <w:spacing w:line="299" w:lineRule="auto"/>
              <w:rPr>
                <w:rFonts w:ascii="Arial"/>
                <w:sz w:val="21"/>
              </w:rPr>
            </w:pPr>
            <w:r/>
          </w:p>
          <w:p>
            <w:pPr>
              <w:pStyle w:val="TableText"/>
              <w:ind w:left="307"/>
              <w:spacing w:before="65" w:line="229" w:lineRule="auto"/>
              <w:rPr/>
            </w:pPr>
            <w:r>
              <w:rPr>
                <w:spacing w:val="-1"/>
              </w:rPr>
              <w:t>符合</w:t>
            </w:r>
          </w:p>
        </w:tc>
      </w:tr>
      <w:tr>
        <w:trPr>
          <w:trHeight w:val="1634" w:hRule="atLeast"/>
        </w:trPr>
        <w:tc>
          <w:tcPr>
            <w:tcW w:w="893" w:type="dxa"/>
            <w:vAlign w:val="top"/>
            <w:vMerge w:val="continue"/>
            <w:tcBorders>
              <w:left w:val="nil"/>
              <w:bottom w:val="single" w:color="000000" w:sz="10" w:space="0"/>
              <w:top w:val="nil"/>
            </w:tcBorders>
          </w:tcPr>
          <w:p>
            <w:pPr>
              <w:rPr>
                <w:rFonts w:ascii="Arial"/>
                <w:sz w:val="21"/>
              </w:rPr>
            </w:pPr>
            <w:r/>
          </w:p>
        </w:tc>
        <w:tc>
          <w:tcPr>
            <w:tcW w:w="3728" w:type="dxa"/>
            <w:vAlign w:val="top"/>
            <w:tcBorders>
              <w:bottom w:val="single" w:color="000000" w:sz="10" w:space="0"/>
            </w:tcBorders>
          </w:tcPr>
          <w:p>
            <w:pPr>
              <w:spacing w:line="342" w:lineRule="auto"/>
              <w:rPr>
                <w:rFonts w:ascii="Arial"/>
                <w:sz w:val="21"/>
              </w:rPr>
            </w:pPr>
            <w:r/>
          </w:p>
          <w:p>
            <w:pPr>
              <w:pStyle w:val="TableText"/>
              <w:ind w:left="125" w:right="106" w:firstLine="413"/>
              <w:spacing w:before="65" w:line="288" w:lineRule="auto"/>
              <w:jc w:val="both"/>
              <w:rPr/>
            </w:pPr>
            <w:r>
              <w:rPr>
                <w:spacing w:val="19"/>
              </w:rPr>
              <w:t>矿井水和露天采场内的季节性和</w:t>
            </w:r>
            <w:r>
              <w:rPr>
                <w:spacing w:val="5"/>
              </w:rPr>
              <w:t>临时性积水应在采取沉淀、过滤等措施</w:t>
            </w:r>
            <w:r>
              <w:rPr>
                <w:spacing w:val="7"/>
              </w:rPr>
              <w:t>去除污染物后重复利用。</w:t>
            </w:r>
          </w:p>
        </w:tc>
        <w:tc>
          <w:tcPr>
            <w:tcW w:w="2900" w:type="dxa"/>
            <w:vAlign w:val="top"/>
            <w:vMerge w:val="continue"/>
            <w:tcBorders>
              <w:bottom w:val="single" w:color="000000" w:sz="10" w:space="0"/>
              <w:top w:val="nil"/>
            </w:tcBorders>
          </w:tcPr>
          <w:p>
            <w:pPr>
              <w:rPr>
                <w:rFonts w:ascii="Arial"/>
                <w:sz w:val="21"/>
              </w:rPr>
            </w:pPr>
            <w:r/>
          </w:p>
        </w:tc>
        <w:tc>
          <w:tcPr>
            <w:tcW w:w="1001" w:type="dxa"/>
            <w:vAlign w:val="top"/>
            <w:tcBorders>
              <w:right w:val="nil"/>
              <w:bottom w:val="single" w:color="000000" w:sz="10" w:space="0"/>
            </w:tcBorders>
          </w:tcPr>
          <w:p>
            <w:pPr>
              <w:spacing w:line="327" w:lineRule="auto"/>
              <w:rPr>
                <w:rFonts w:ascii="Arial"/>
                <w:sz w:val="21"/>
              </w:rPr>
            </w:pPr>
            <w:r/>
          </w:p>
          <w:p>
            <w:pPr>
              <w:spacing w:line="327" w:lineRule="auto"/>
              <w:rPr>
                <w:rFonts w:ascii="Arial"/>
                <w:sz w:val="21"/>
              </w:rPr>
            </w:pPr>
            <w:r/>
          </w:p>
          <w:p>
            <w:pPr>
              <w:pStyle w:val="TableText"/>
              <w:ind w:left="307"/>
              <w:spacing w:before="65" w:line="229" w:lineRule="auto"/>
              <w:rPr/>
            </w:pPr>
            <w:r>
              <w:rPr>
                <w:spacing w:val="-1"/>
              </w:rPr>
              <w:t>符合</w:t>
            </w:r>
          </w:p>
        </w:tc>
      </w:tr>
    </w:tbl>
    <w:p>
      <w:pPr>
        <w:pStyle w:val="BodyText"/>
        <w:spacing w:line="222" w:lineRule="exact"/>
        <w:rPr>
          <w:sz w:val="19"/>
        </w:rPr>
      </w:pPr>
      <w:r/>
    </w:p>
    <w:p>
      <w:pPr>
        <w:spacing w:line="222" w:lineRule="exact"/>
        <w:sectPr>
          <w:footerReference w:type="default" r:id="rId42"/>
          <w:pgSz w:w="11906" w:h="16839"/>
          <w:pgMar w:top="1250" w:right="1691" w:bottom="1349" w:left="1691" w:header="831" w:footer="1162" w:gutter="0"/>
        </w:sectPr>
        <w:rPr>
          <w:sz w:val="19"/>
          <w:szCs w:val="19"/>
        </w:rPr>
      </w:pPr>
    </w:p>
    <w:p>
      <w:pPr>
        <w:pStyle w:val="BodyText"/>
        <w:spacing w:line="344" w:lineRule="auto"/>
        <w:rPr/>
      </w:pPr>
      <w:r/>
    </w:p>
    <w:p>
      <w:pPr>
        <w:pStyle w:val="BodyText"/>
        <w:spacing w:line="345" w:lineRule="auto"/>
        <w:rPr/>
      </w:pPr>
      <w:r/>
    </w:p>
    <w:p>
      <w:pPr>
        <w:ind w:left="125" w:right="107" w:firstLine="479"/>
        <w:spacing w:before="78" w:line="360" w:lineRule="auto"/>
        <w:rPr>
          <w:rFonts w:ascii="FangSong" w:hAnsi="FangSong" w:eastAsia="FangSong" w:cs="FangSong"/>
          <w:sz w:val="24"/>
          <w:szCs w:val="24"/>
        </w:rPr>
      </w:pPr>
      <w:r>
        <w:rPr>
          <w:rFonts w:ascii="FangSong" w:hAnsi="FangSong" w:eastAsia="FangSong" w:cs="FangSong"/>
          <w:sz w:val="24"/>
          <w:szCs w:val="24"/>
          <w:spacing w:val="-10"/>
        </w:rPr>
        <w:t>根据上述分析，本项目建设符合《矿山生态环境保</w:t>
      </w:r>
      <w:r>
        <w:rPr>
          <w:rFonts w:ascii="FangSong" w:hAnsi="FangSong" w:eastAsia="FangSong" w:cs="FangSong"/>
          <w:sz w:val="24"/>
          <w:szCs w:val="24"/>
          <w:spacing w:val="-11"/>
        </w:rPr>
        <w:t>护与恢复治理技术规范（试</w:t>
      </w:r>
      <w:r>
        <w:rPr>
          <w:rFonts w:ascii="FangSong" w:hAnsi="FangSong" w:eastAsia="FangSong" w:cs="FangSong"/>
          <w:sz w:val="24"/>
          <w:szCs w:val="24"/>
        </w:rPr>
        <w:t>行</w:t>
      </w:r>
      <w:r>
        <w:rPr>
          <w:rFonts w:ascii="FangSong" w:hAnsi="FangSong" w:eastAsia="FangSong" w:cs="FangSong"/>
          <w:sz w:val="24"/>
          <w:szCs w:val="24"/>
          <w:spacing w:val="-10"/>
        </w:rPr>
        <w:t>）（</w:t>
      </w:r>
      <w:r>
        <w:rPr>
          <w:rFonts w:ascii="Times New Roman" w:hAnsi="Times New Roman" w:eastAsia="Times New Roman" w:cs="Times New Roman"/>
          <w:sz w:val="24"/>
          <w:szCs w:val="24"/>
        </w:rPr>
        <w:t>HJ651-2013</w:t>
      </w:r>
      <w:r>
        <w:rPr>
          <w:rFonts w:ascii="FangSong" w:hAnsi="FangSong" w:eastAsia="FangSong" w:cs="FangSong"/>
          <w:sz w:val="24"/>
          <w:szCs w:val="24"/>
        </w:rPr>
        <w:t>）》中相关要求。</w:t>
      </w:r>
    </w:p>
    <w:p>
      <w:pPr>
        <w:ind w:left="123"/>
        <w:spacing w:line="220" w:lineRule="auto"/>
        <w:outlineLvl w:val="3"/>
        <w:rPr>
          <w:rFonts w:ascii="FangSong" w:hAnsi="FangSong" w:eastAsia="FangSong" w:cs="FangSong"/>
          <w:sz w:val="24"/>
          <w:szCs w:val="24"/>
        </w:rPr>
      </w:pPr>
      <w:bookmarkStart w:name="bookmark500" w:id="30"/>
      <w:bookmarkEnd w:id="30"/>
      <w:r>
        <w:rPr>
          <w:rFonts w:ascii="Times New Roman" w:hAnsi="Times New Roman" w:eastAsia="Times New Roman" w:cs="Times New Roman"/>
          <w:sz w:val="24"/>
          <w:szCs w:val="24"/>
          <w:b/>
          <w:bCs/>
          <w:spacing w:val="-2"/>
        </w:rPr>
        <w:t>1.4.4.3  </w:t>
      </w:r>
      <w:r>
        <w:rPr>
          <w:rFonts w:ascii="FangSong" w:hAnsi="FangSong" w:eastAsia="FangSong" w:cs="FangSong"/>
          <w:sz w:val="24"/>
          <w:szCs w:val="24"/>
          <w:b/>
          <w:bCs/>
          <w:spacing w:val="-2"/>
        </w:rPr>
        <w:t>与《空气质量持续改善行动计划》（国发〔</w:t>
      </w:r>
      <w:r>
        <w:rPr>
          <w:rFonts w:ascii="Times New Roman" w:hAnsi="Times New Roman" w:eastAsia="Times New Roman" w:cs="Times New Roman"/>
          <w:sz w:val="24"/>
          <w:szCs w:val="24"/>
          <w:b/>
          <w:bCs/>
          <w:spacing w:val="-2"/>
        </w:rPr>
        <w:t>2023</w:t>
      </w:r>
      <w:r>
        <w:rPr>
          <w:rFonts w:ascii="FangSong" w:hAnsi="FangSong" w:eastAsia="FangSong" w:cs="FangSong"/>
          <w:sz w:val="24"/>
          <w:szCs w:val="24"/>
          <w:b/>
          <w:bCs/>
          <w:spacing w:val="-2"/>
        </w:rPr>
        <w:t>〕</w:t>
      </w:r>
      <w:r>
        <w:rPr>
          <w:rFonts w:ascii="Times New Roman" w:hAnsi="Times New Roman" w:eastAsia="Times New Roman" w:cs="Times New Roman"/>
          <w:sz w:val="24"/>
          <w:szCs w:val="24"/>
          <w:b/>
          <w:bCs/>
          <w:spacing w:val="-2"/>
        </w:rPr>
        <w:t>24</w:t>
      </w:r>
      <w:r>
        <w:rPr>
          <w:rFonts w:ascii="Times New Roman" w:hAnsi="Times New Roman" w:eastAsia="Times New Roman" w:cs="Times New Roman"/>
          <w:sz w:val="24"/>
          <w:szCs w:val="24"/>
          <w:b/>
          <w:bCs/>
          <w:spacing w:val="21"/>
        </w:rPr>
        <w:t xml:space="preserve"> </w:t>
      </w:r>
      <w:r>
        <w:rPr>
          <w:rFonts w:ascii="FangSong" w:hAnsi="FangSong" w:eastAsia="FangSong" w:cs="FangSong"/>
          <w:sz w:val="24"/>
          <w:szCs w:val="24"/>
          <w:b/>
          <w:bCs/>
          <w:spacing w:val="-2"/>
        </w:rPr>
        <w:t>号）相符性分析</w:t>
      </w:r>
    </w:p>
    <w:p>
      <w:pPr>
        <w:ind w:left="130" w:right="107" w:firstLine="474"/>
        <w:spacing w:before="181" w:line="360" w:lineRule="auto"/>
        <w:rPr>
          <w:rFonts w:ascii="FangSong" w:hAnsi="FangSong" w:eastAsia="FangSong" w:cs="FangSong"/>
          <w:sz w:val="24"/>
          <w:szCs w:val="24"/>
        </w:rPr>
      </w:pPr>
      <w:r>
        <w:rPr>
          <w:rFonts w:ascii="FangSong" w:hAnsi="FangSong" w:eastAsia="FangSong" w:cs="FangSong"/>
          <w:sz w:val="24"/>
          <w:szCs w:val="24"/>
        </w:rPr>
        <w:t>本项目与《空气质量持续改善行动计划》（国发（</w:t>
      </w:r>
      <w:r>
        <w:rPr>
          <w:rFonts w:ascii="Times New Roman" w:hAnsi="Times New Roman" w:eastAsia="Times New Roman" w:cs="Times New Roman"/>
          <w:sz w:val="24"/>
          <w:szCs w:val="24"/>
        </w:rPr>
        <w:t>202</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24</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1"/>
        </w:rPr>
        <w:t>号）</w:t>
      </w:r>
      <w:r>
        <w:rPr>
          <w:rFonts w:ascii="FangSong" w:hAnsi="FangSong" w:eastAsia="FangSong" w:cs="FangSong"/>
          <w:sz w:val="24"/>
          <w:szCs w:val="24"/>
          <w:spacing w:val="-69"/>
        </w:rPr>
        <w:t xml:space="preserve"> </w:t>
      </w:r>
      <w:r>
        <w:rPr>
          <w:rFonts w:ascii="FangSong" w:hAnsi="FangSong" w:eastAsia="FangSong" w:cs="FangSong"/>
          <w:sz w:val="24"/>
          <w:szCs w:val="24"/>
          <w:spacing w:val="-1"/>
        </w:rPr>
        <w:t>中相关要</w:t>
      </w:r>
      <w:r>
        <w:rPr>
          <w:rFonts w:ascii="FangSong" w:hAnsi="FangSong" w:eastAsia="FangSong" w:cs="FangSong"/>
          <w:sz w:val="24"/>
          <w:szCs w:val="24"/>
          <w:spacing w:val="-4"/>
        </w:rPr>
        <w:t>求相符性分析见表</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1.4-4</w:t>
      </w:r>
      <w:r>
        <w:rPr>
          <w:rFonts w:ascii="FangSong" w:hAnsi="FangSong" w:eastAsia="FangSong" w:cs="FangSong"/>
          <w:sz w:val="24"/>
          <w:szCs w:val="24"/>
          <w:spacing w:val="-4"/>
        </w:rPr>
        <w:t>。</w:t>
      </w:r>
    </w:p>
    <w:p>
      <w:pPr>
        <w:ind w:left="869"/>
        <w:spacing w:line="224" w:lineRule="auto"/>
        <w:rPr>
          <w:rFonts w:ascii="FangSong" w:hAnsi="FangSong" w:eastAsia="FangSong" w:cs="FangSong"/>
          <w:sz w:val="20"/>
          <w:szCs w:val="20"/>
        </w:rPr>
      </w:pPr>
      <w:r>
        <w:rPr>
          <w:rFonts w:ascii="FangSong" w:hAnsi="FangSong" w:eastAsia="FangSong" w:cs="FangSong"/>
          <w:sz w:val="24"/>
          <w:szCs w:val="24"/>
          <w:b/>
          <w:bCs/>
          <w:spacing w:val="5"/>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5"/>
        </w:rPr>
        <w:t>1.4-4  </w:t>
      </w:r>
      <w:r>
        <w:rPr>
          <w:rFonts w:ascii="FangSong" w:hAnsi="FangSong" w:eastAsia="FangSong" w:cs="FangSong"/>
          <w:sz w:val="20"/>
          <w:szCs w:val="20"/>
          <w:b/>
          <w:bCs/>
          <w:spacing w:val="5"/>
        </w:rPr>
        <w:t>与《空气质量持续改善行动计划》（国发〔</w:t>
      </w:r>
      <w:r>
        <w:rPr>
          <w:rFonts w:ascii="Times New Roman" w:hAnsi="Times New Roman" w:eastAsia="Times New Roman" w:cs="Times New Roman"/>
          <w:sz w:val="20"/>
          <w:szCs w:val="20"/>
          <w:b/>
          <w:bCs/>
          <w:spacing w:val="5"/>
        </w:rPr>
        <w:t>2023</w:t>
      </w:r>
      <w:r>
        <w:rPr>
          <w:rFonts w:ascii="FangSong" w:hAnsi="FangSong" w:eastAsia="FangSong" w:cs="FangSong"/>
          <w:sz w:val="20"/>
          <w:szCs w:val="20"/>
          <w:b/>
          <w:bCs/>
          <w:spacing w:val="5"/>
        </w:rPr>
        <w:t>〕</w:t>
      </w:r>
      <w:r>
        <w:rPr>
          <w:rFonts w:ascii="Times New Roman" w:hAnsi="Times New Roman" w:eastAsia="Times New Roman" w:cs="Times New Roman"/>
          <w:sz w:val="20"/>
          <w:szCs w:val="20"/>
          <w:b/>
          <w:bCs/>
          <w:spacing w:val="5"/>
        </w:rPr>
        <w:t>24</w:t>
      </w:r>
      <w:r>
        <w:rPr>
          <w:rFonts w:ascii="Times New Roman" w:hAnsi="Times New Roman" w:eastAsia="Times New Roman" w:cs="Times New Roman"/>
          <w:sz w:val="20"/>
          <w:szCs w:val="20"/>
          <w:b/>
          <w:bCs/>
          <w:spacing w:val="20"/>
          <w:w w:val="101"/>
        </w:rPr>
        <w:t xml:space="preserve"> </w:t>
      </w:r>
      <w:r>
        <w:rPr>
          <w:rFonts w:ascii="FangSong" w:hAnsi="FangSong" w:eastAsia="FangSong" w:cs="FangSong"/>
          <w:sz w:val="20"/>
          <w:szCs w:val="20"/>
          <w:b/>
          <w:bCs/>
          <w:spacing w:val="5"/>
        </w:rPr>
        <w:t>号）相符性分析</w:t>
      </w:r>
    </w:p>
    <w:p>
      <w:pPr>
        <w:spacing w:line="62"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3"/>
        <w:gridCol w:w="4010"/>
        <w:gridCol w:w="2677"/>
        <w:gridCol w:w="822"/>
      </w:tblGrid>
      <w:tr>
        <w:trPr>
          <w:trHeight w:val="631" w:hRule="atLeast"/>
        </w:trPr>
        <w:tc>
          <w:tcPr>
            <w:tcW w:w="5023" w:type="dxa"/>
            <w:vAlign w:val="top"/>
            <w:gridSpan w:val="2"/>
            <w:tcBorders>
              <w:left w:val="nil"/>
              <w:top w:val="single" w:color="000000" w:sz="10" w:space="0"/>
            </w:tcBorders>
          </w:tcPr>
          <w:p>
            <w:pPr>
              <w:pStyle w:val="TableText"/>
              <w:ind w:left="1055"/>
              <w:spacing w:before="212" w:line="229" w:lineRule="auto"/>
              <w:rPr/>
            </w:pPr>
            <w:r>
              <w:rPr>
                <w:spacing w:val="8"/>
              </w:rPr>
              <w:t>《空气质量持续改善行动计划》</w:t>
            </w:r>
          </w:p>
        </w:tc>
        <w:tc>
          <w:tcPr>
            <w:tcW w:w="2677" w:type="dxa"/>
            <w:vAlign w:val="top"/>
            <w:tcBorders>
              <w:top w:val="single" w:color="000000" w:sz="10" w:space="0"/>
            </w:tcBorders>
          </w:tcPr>
          <w:p>
            <w:pPr>
              <w:pStyle w:val="TableText"/>
              <w:ind w:left="614"/>
              <w:spacing w:before="211" w:line="229" w:lineRule="auto"/>
              <w:rPr/>
            </w:pPr>
            <w:r>
              <w:rPr>
                <w:spacing w:val="7"/>
              </w:rPr>
              <w:t>项目相符性分析</w:t>
            </w:r>
          </w:p>
        </w:tc>
        <w:tc>
          <w:tcPr>
            <w:tcW w:w="822" w:type="dxa"/>
            <w:vAlign w:val="top"/>
            <w:tcBorders>
              <w:right w:val="nil"/>
              <w:top w:val="single" w:color="000000" w:sz="10" w:space="0"/>
            </w:tcBorders>
          </w:tcPr>
          <w:p>
            <w:pPr>
              <w:pStyle w:val="TableText"/>
              <w:ind w:left="320" w:right="203" w:hanging="107"/>
              <w:spacing w:before="55" w:line="261" w:lineRule="auto"/>
              <w:rPr/>
            </w:pPr>
            <w:r>
              <w:rPr>
                <w:spacing w:val="1"/>
              </w:rPr>
              <w:t>相符</w:t>
            </w:r>
            <w:r>
              <w:rPr/>
              <w:t>性</w:t>
            </w:r>
          </w:p>
        </w:tc>
      </w:tr>
      <w:tr>
        <w:trPr>
          <w:trHeight w:val="2803" w:hRule="atLeast"/>
        </w:trPr>
        <w:tc>
          <w:tcPr>
            <w:tcW w:w="1013" w:type="dxa"/>
            <w:vAlign w:val="top"/>
            <w:vMerge w:val="restart"/>
            <w:tcBorders>
              <w:left w:val="nil"/>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5"/>
              <w:spacing w:before="65" w:line="231" w:lineRule="auto"/>
              <w:rPr/>
            </w:pPr>
            <w:r>
              <w:rPr>
                <w:spacing w:val="-6"/>
              </w:rPr>
              <w:t>一、优化</w:t>
            </w:r>
          </w:p>
          <w:p>
            <w:pPr>
              <w:pStyle w:val="TableText"/>
              <w:ind w:left="207"/>
              <w:spacing w:before="62" w:line="232" w:lineRule="auto"/>
              <w:rPr/>
            </w:pPr>
            <w:r>
              <w:rPr>
                <w:spacing w:val="4"/>
              </w:rPr>
              <w:t>产业结</w:t>
            </w:r>
          </w:p>
          <w:p>
            <w:pPr>
              <w:pStyle w:val="TableText"/>
              <w:ind w:left="121"/>
              <w:spacing w:before="60" w:line="230" w:lineRule="auto"/>
              <w:rPr/>
            </w:pPr>
            <w:r>
              <w:rPr>
                <w:spacing w:val="-5"/>
              </w:rPr>
              <w:t>构，促进</w:t>
            </w:r>
          </w:p>
          <w:p>
            <w:pPr>
              <w:pStyle w:val="TableText"/>
              <w:ind w:left="207"/>
              <w:spacing w:before="63" w:line="232" w:lineRule="auto"/>
              <w:rPr/>
            </w:pPr>
            <w:r>
              <w:rPr>
                <w:spacing w:val="4"/>
              </w:rPr>
              <w:t>产业产</w:t>
            </w:r>
          </w:p>
          <w:p>
            <w:pPr>
              <w:pStyle w:val="TableText"/>
              <w:ind w:left="228"/>
              <w:spacing w:before="59" w:line="232" w:lineRule="auto"/>
              <w:rPr/>
            </w:pPr>
            <w:r>
              <w:rPr>
                <w:spacing w:val="-3"/>
              </w:rPr>
              <w:t>品绿色</w:t>
            </w:r>
          </w:p>
          <w:p>
            <w:pPr>
              <w:pStyle w:val="TableText"/>
              <w:ind w:left="312"/>
              <w:spacing w:before="60" w:line="232" w:lineRule="auto"/>
              <w:rPr/>
            </w:pPr>
            <w:r>
              <w:rPr/>
              <w:t>升级</w:t>
            </w:r>
          </w:p>
        </w:tc>
        <w:tc>
          <w:tcPr>
            <w:tcW w:w="4010" w:type="dxa"/>
            <w:vAlign w:val="top"/>
          </w:tcPr>
          <w:p>
            <w:pPr>
              <w:pStyle w:val="TableText"/>
              <w:ind w:left="116" w:right="107" w:firstLine="426"/>
              <w:spacing w:before="53" w:line="281" w:lineRule="auto"/>
              <w:rPr/>
            </w:pPr>
            <w:r>
              <w:rPr>
                <w:spacing w:val="9"/>
              </w:rPr>
              <w:t>坚决遏制高耗能、高排放、低水平项</w:t>
            </w:r>
            <w:r>
              <w:rPr>
                <w:spacing w:val="10"/>
              </w:rPr>
              <w:t>目盲目上马。新改扩建项目严格落实国家</w:t>
            </w:r>
            <w:r>
              <w:rPr>
                <w:spacing w:val="10"/>
              </w:rPr>
              <w:t>产业规划、产业政策、生态环境分区管控</w:t>
            </w:r>
            <w:r>
              <w:rPr>
                <w:spacing w:val="10"/>
              </w:rPr>
              <w:t>方案、规划环评、项目环评、节能审查、</w:t>
            </w:r>
            <w:r>
              <w:rPr>
                <w:spacing w:val="10"/>
              </w:rPr>
              <w:t>产能置换、重点污染物总量控制、污染物</w:t>
            </w:r>
            <w:r>
              <w:rPr>
                <w:spacing w:val="10"/>
              </w:rPr>
              <w:t>排放区域削减、碳排放达峰目标等相关要</w:t>
            </w:r>
            <w:r>
              <w:rPr>
                <w:spacing w:val="10"/>
              </w:rPr>
              <w:t>求，原则上采用清洁运输方式。涉及产能</w:t>
            </w:r>
            <w:r>
              <w:rPr>
                <w:spacing w:val="10"/>
              </w:rPr>
              <w:t>置换的项目，被置换产能及其配套设施关</w:t>
            </w:r>
            <w:r>
              <w:rPr>
                <w:spacing w:val="8"/>
              </w:rPr>
              <w:t>停后，新建项目方可投产。</w:t>
            </w:r>
          </w:p>
        </w:tc>
        <w:tc>
          <w:tcPr>
            <w:tcW w:w="2677"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pStyle w:val="TableText"/>
              <w:ind w:left="118" w:right="86" w:firstLine="421"/>
              <w:spacing w:before="65" w:line="288" w:lineRule="auto"/>
              <w:jc w:val="both"/>
              <w:rPr/>
            </w:pPr>
            <w:r>
              <w:rPr>
                <w:spacing w:val="17"/>
              </w:rPr>
              <w:t>项</w:t>
            </w:r>
            <w:r>
              <w:rPr>
                <w:spacing w:val="-29"/>
              </w:rPr>
              <w:t xml:space="preserve"> </w:t>
            </w:r>
            <w:r>
              <w:rPr>
                <w:spacing w:val="17"/>
              </w:rPr>
              <w:t>目开采方式为井下</w:t>
            </w:r>
            <w:r>
              <w:rPr>
                <w:spacing w:val="3"/>
              </w:rPr>
              <w:t>开采，不属于高耗能、高排</w:t>
            </w:r>
            <w:r>
              <w:rPr>
                <w:spacing w:val="3"/>
              </w:rPr>
              <w:t>放、低水平项目。项目符合</w:t>
            </w:r>
            <w:r>
              <w:rPr>
                <w:spacing w:val="5"/>
              </w:rPr>
              <w:t>国家产业规划、产业政策、</w:t>
            </w:r>
            <w:r>
              <w:rPr>
                <w:spacing w:val="22"/>
              </w:rPr>
              <w:t>生态环境分区管控方案等</w:t>
            </w:r>
            <w:r>
              <w:rPr>
                <w:spacing w:val="12"/>
              </w:rPr>
              <w:t>要求</w:t>
            </w:r>
            <w:r>
              <w:rPr>
                <w:spacing w:val="-54"/>
              </w:rPr>
              <w:t xml:space="preserve"> </w:t>
            </w:r>
            <w:r>
              <w:rPr>
                <w:spacing w:val="12"/>
              </w:rPr>
              <w:t>，项</w:t>
            </w:r>
            <w:r>
              <w:rPr>
                <w:spacing w:val="-33"/>
              </w:rPr>
              <w:t xml:space="preserve"> </w:t>
            </w:r>
            <w:r>
              <w:rPr>
                <w:spacing w:val="12"/>
              </w:rPr>
              <w:t>目不涉及产能置</w:t>
            </w:r>
            <w:r>
              <w:rPr>
                <w:spacing w:val="3"/>
              </w:rPr>
              <w:t>换。不属于严禁新增产能的</w:t>
            </w:r>
            <w:r>
              <w:rPr>
                <w:spacing w:val="3"/>
              </w:rPr>
              <w:t>钢铁项目。项目属于《产业</w:t>
            </w:r>
            <w:r>
              <w:rPr>
                <w:spacing w:val="13"/>
              </w:rPr>
              <w:t>结构调整指导</w:t>
            </w:r>
            <w:r>
              <w:rPr>
                <w:spacing w:val="-25"/>
              </w:rPr>
              <w:t xml:space="preserve"> </w:t>
            </w:r>
            <w:r>
              <w:rPr>
                <w:spacing w:val="13"/>
              </w:rPr>
              <w:t>目录（</w:t>
            </w:r>
            <w:r>
              <w:rPr>
                <w:rFonts w:ascii="Times New Roman" w:hAnsi="Times New Roman" w:eastAsia="Times New Roman" w:cs="Times New Roman"/>
                <w:spacing w:val="13"/>
              </w:rPr>
              <w:t>2024</w:t>
            </w:r>
            <w:r>
              <w:rPr>
                <w:spacing w:val="3"/>
              </w:rPr>
              <w:t>年本）》</w:t>
            </w:r>
            <w:r>
              <w:rPr>
                <w:spacing w:val="-50"/>
              </w:rPr>
              <w:t xml:space="preserve"> </w:t>
            </w:r>
            <w:r>
              <w:rPr>
                <w:spacing w:val="3"/>
              </w:rPr>
              <w:t>中允许类项目。</w:t>
            </w:r>
          </w:p>
        </w:tc>
        <w:tc>
          <w:tcPr>
            <w:tcW w:w="822" w:type="dxa"/>
            <w:vAlign w:val="top"/>
            <w:tcBorders>
              <w:right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17"/>
              <w:spacing w:before="65" w:line="229" w:lineRule="auto"/>
              <w:rPr/>
            </w:pPr>
            <w:r>
              <w:rPr>
                <w:spacing w:val="-1"/>
              </w:rPr>
              <w:t>符合</w:t>
            </w:r>
          </w:p>
        </w:tc>
      </w:tr>
      <w:tr>
        <w:trPr>
          <w:trHeight w:val="1560" w:hRule="atLeast"/>
        </w:trPr>
        <w:tc>
          <w:tcPr>
            <w:tcW w:w="1013" w:type="dxa"/>
            <w:vAlign w:val="top"/>
            <w:vMerge w:val="continue"/>
            <w:tcBorders>
              <w:left w:val="nil"/>
              <w:top w:val="nil"/>
            </w:tcBorders>
          </w:tcPr>
          <w:p>
            <w:pPr>
              <w:rPr>
                <w:rFonts w:ascii="Arial"/>
                <w:sz w:val="21"/>
              </w:rPr>
            </w:pPr>
            <w:r/>
          </w:p>
        </w:tc>
        <w:tc>
          <w:tcPr>
            <w:tcW w:w="4010" w:type="dxa"/>
            <w:vAlign w:val="top"/>
          </w:tcPr>
          <w:p>
            <w:pPr>
              <w:pStyle w:val="TableText"/>
              <w:ind w:left="119" w:right="107" w:firstLine="419"/>
              <w:spacing w:before="65" w:line="274" w:lineRule="auto"/>
              <w:jc w:val="both"/>
              <w:rPr/>
            </w:pPr>
            <w:r>
              <w:rPr>
                <w:spacing w:val="-3"/>
              </w:rPr>
              <w:t>加快退出重点行业落后产能。修订《产</w:t>
            </w:r>
            <w:r>
              <w:rPr>
                <w:spacing w:val="6"/>
              </w:rPr>
              <w:t>业结构调整指导目录》</w:t>
            </w:r>
            <w:r>
              <w:rPr>
                <w:rFonts w:ascii="Times New Roman" w:hAnsi="Times New Roman" w:eastAsia="Times New Roman" w:cs="Times New Roman"/>
                <w:spacing w:val="6"/>
              </w:rPr>
              <w:t>,</w:t>
            </w:r>
            <w:r>
              <w:rPr>
                <w:spacing w:val="6"/>
              </w:rPr>
              <w:t>研究将污染物或温</w:t>
            </w:r>
            <w:r>
              <w:rPr>
                <w:spacing w:val="9"/>
              </w:rPr>
              <w:t>室气体排放明显高出行业平均水平、能效</w:t>
            </w:r>
            <w:r>
              <w:rPr>
                <w:spacing w:val="9"/>
              </w:rPr>
              <w:t>和清洁生产水平低的工艺和装备纳入淘汰</w:t>
            </w:r>
            <w:r>
              <w:rPr>
                <w:spacing w:val="6"/>
              </w:rPr>
              <w:t>类和限制类名单。</w:t>
            </w:r>
          </w:p>
        </w:tc>
        <w:tc>
          <w:tcPr>
            <w:tcW w:w="2677" w:type="dxa"/>
            <w:vAlign w:val="top"/>
            <w:vMerge w:val="continue"/>
            <w:tcBorders>
              <w:top w:val="nil"/>
            </w:tcBorders>
          </w:tcPr>
          <w:p>
            <w:pPr>
              <w:rPr>
                <w:rFonts w:ascii="Arial"/>
                <w:sz w:val="21"/>
              </w:rPr>
            </w:pPr>
            <w:r/>
          </w:p>
        </w:tc>
        <w:tc>
          <w:tcPr>
            <w:tcW w:w="822" w:type="dxa"/>
            <w:vAlign w:val="top"/>
            <w:tcBorders>
              <w:right w:val="nil"/>
            </w:tcBorders>
          </w:tcPr>
          <w:p>
            <w:pPr>
              <w:spacing w:line="310" w:lineRule="auto"/>
              <w:rPr>
                <w:rFonts w:ascii="Arial"/>
                <w:sz w:val="21"/>
              </w:rPr>
            </w:pPr>
            <w:r/>
          </w:p>
          <w:p>
            <w:pPr>
              <w:spacing w:line="310" w:lineRule="auto"/>
              <w:rPr>
                <w:rFonts w:ascii="Arial"/>
                <w:sz w:val="21"/>
              </w:rPr>
            </w:pPr>
            <w:r/>
          </w:p>
          <w:p>
            <w:pPr>
              <w:pStyle w:val="TableText"/>
              <w:ind w:left="217"/>
              <w:spacing w:before="65" w:line="229" w:lineRule="auto"/>
              <w:rPr/>
            </w:pPr>
            <w:r>
              <w:rPr>
                <w:spacing w:val="-1"/>
              </w:rPr>
              <w:t>符合</w:t>
            </w:r>
          </w:p>
        </w:tc>
      </w:tr>
      <w:tr>
        <w:trPr>
          <w:trHeight w:val="2203" w:hRule="atLeast"/>
        </w:trPr>
        <w:tc>
          <w:tcPr>
            <w:tcW w:w="1013" w:type="dxa"/>
            <w:vAlign w:val="top"/>
            <w:tcBorders>
              <w:left w:val="nil"/>
              <w:bottom w:val="single" w:color="000000" w:sz="10" w:space="0"/>
            </w:tcBorders>
          </w:tcPr>
          <w:p>
            <w:pPr>
              <w:pStyle w:val="TableText"/>
              <w:ind w:left="121" w:right="107" w:firstLine="7"/>
              <w:spacing w:before="225" w:line="288" w:lineRule="auto"/>
              <w:jc w:val="both"/>
              <w:rPr/>
            </w:pPr>
            <w:r>
              <w:rPr>
                <w:spacing w:val="-7"/>
              </w:rPr>
              <w:t>二、优化</w:t>
            </w:r>
            <w:r>
              <w:rPr>
                <w:spacing w:val="33"/>
              </w:rPr>
              <w:t>交通结</w:t>
            </w:r>
            <w:r>
              <w:rPr>
                <w:spacing w:val="-5"/>
              </w:rPr>
              <w:t>构，大力</w:t>
            </w:r>
            <w:r>
              <w:rPr>
                <w:spacing w:val="33"/>
              </w:rPr>
              <w:t>发展绿</w:t>
            </w:r>
          </w:p>
          <w:p>
            <w:pPr>
              <w:pStyle w:val="TableText"/>
              <w:ind w:left="309" w:right="189" w:hanging="100"/>
              <w:spacing w:line="288" w:lineRule="auto"/>
              <w:rPr/>
            </w:pPr>
            <w:r>
              <w:rPr>
                <w:spacing w:val="3"/>
              </w:rPr>
              <w:t>色运输</w:t>
            </w:r>
            <w:r>
              <w:rPr>
                <w:spacing w:val="1"/>
              </w:rPr>
              <w:t>体系</w:t>
            </w:r>
          </w:p>
        </w:tc>
        <w:tc>
          <w:tcPr>
            <w:tcW w:w="4010" w:type="dxa"/>
            <w:vAlign w:val="top"/>
            <w:tcBorders>
              <w:bottom w:val="single" w:color="000000" w:sz="10" w:space="0"/>
            </w:tcBorders>
          </w:tcPr>
          <w:p>
            <w:pPr>
              <w:pStyle w:val="TableText"/>
              <w:ind w:left="118" w:right="39" w:firstLine="427"/>
              <w:spacing w:before="69" w:line="280" w:lineRule="auto"/>
              <w:jc w:val="both"/>
              <w:rPr/>
            </w:pPr>
            <w:r>
              <w:rPr>
                <w:spacing w:val="9"/>
              </w:rPr>
              <w:t>强化非道路移动源综合治理。加快推</w:t>
            </w:r>
            <w:r>
              <w:rPr>
                <w:spacing w:val="6"/>
              </w:rPr>
              <w:t>进铁路货场、物流园区、港</w:t>
            </w:r>
            <w:r>
              <w:rPr>
                <w:spacing w:val="-31"/>
              </w:rPr>
              <w:t xml:space="preserve"> </w:t>
            </w:r>
            <w:r>
              <w:rPr>
                <w:spacing w:val="6"/>
              </w:rPr>
              <w:t>口、机场、工</w:t>
            </w:r>
            <w:r>
              <w:rPr>
                <w:spacing w:val="9"/>
              </w:rPr>
              <w:t>矿企业内部作业车辆和机械新能源更新改</w:t>
            </w:r>
            <w:r>
              <w:rPr>
                <w:spacing w:val="9"/>
              </w:rPr>
              <w:t>造。推动发展新能源和清洁能源船舶，提</w:t>
            </w:r>
            <w:r>
              <w:rPr>
                <w:spacing w:val="9"/>
              </w:rPr>
              <w:t>高岸电使用率。大力推动老旧铁路机车淘</w:t>
            </w:r>
            <w:r>
              <w:rPr>
                <w:spacing w:val="2"/>
              </w:rPr>
              <w:t>汰，鼓励中心城市铁路站场及煤炭、钢铁、</w:t>
            </w:r>
            <w:r>
              <w:rPr>
                <w:spacing w:val="8"/>
              </w:rPr>
              <w:t>冶金等行业推广新能源铁路装备。</w:t>
            </w:r>
          </w:p>
        </w:tc>
        <w:tc>
          <w:tcPr>
            <w:tcW w:w="2677" w:type="dxa"/>
            <w:vAlign w:val="top"/>
            <w:tcBorders>
              <w:bottom w:val="single" w:color="000000" w:sz="10" w:space="0"/>
            </w:tcBorders>
          </w:tcPr>
          <w:p>
            <w:pPr>
              <w:spacing w:line="313" w:lineRule="auto"/>
              <w:rPr>
                <w:rFonts w:ascii="Arial"/>
                <w:sz w:val="21"/>
              </w:rPr>
            </w:pPr>
            <w:r/>
          </w:p>
          <w:p>
            <w:pPr>
              <w:pStyle w:val="TableText"/>
              <w:ind w:left="119" w:right="106" w:firstLine="420"/>
              <w:spacing w:before="65" w:line="288" w:lineRule="auto"/>
              <w:jc w:val="both"/>
              <w:rPr/>
            </w:pPr>
            <w:r>
              <w:rPr>
                <w:spacing w:val="17"/>
              </w:rPr>
              <w:t>项</w:t>
            </w:r>
            <w:r>
              <w:rPr>
                <w:spacing w:val="-29"/>
              </w:rPr>
              <w:t xml:space="preserve"> </w:t>
            </w:r>
            <w:r>
              <w:rPr>
                <w:spacing w:val="17"/>
              </w:rPr>
              <w:t>目井下运输采用无</w:t>
            </w:r>
            <w:r>
              <w:rPr>
                <w:spacing w:val="3"/>
              </w:rPr>
              <w:t>轨运输系统，物料运输车辆</w:t>
            </w:r>
            <w:r>
              <w:rPr>
                <w:spacing w:val="2"/>
              </w:rPr>
              <w:t>均为国</w:t>
            </w:r>
            <w:r>
              <w:rPr>
                <w:spacing w:val="-31"/>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9"/>
              </w:rPr>
              <w:t xml:space="preserve"> </w:t>
            </w:r>
            <w:r>
              <w:rPr>
                <w:spacing w:val="2"/>
              </w:rPr>
              <w:t>、国</w:t>
            </w:r>
            <w:r>
              <w:rPr>
                <w:spacing w:val="-44"/>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rPr>
              <w:t xml:space="preserve"> </w:t>
            </w:r>
            <w:r>
              <w:rPr>
                <w:spacing w:val="2"/>
              </w:rPr>
              <w:t>排放标准的</w:t>
            </w:r>
            <w:r>
              <w:rPr>
                <w:spacing w:val="13"/>
              </w:rPr>
              <w:t>工程机械无国</w:t>
            </w:r>
            <w:r>
              <w:rPr>
                <w:spacing w:val="13"/>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37"/>
              </w:rPr>
              <w:t xml:space="preserve"> </w:t>
            </w:r>
            <w:r>
              <w:rPr>
                <w:spacing w:val="13"/>
              </w:rPr>
              <w:t>及以下排</w:t>
            </w:r>
            <w:r>
              <w:rPr>
                <w:spacing w:val="7"/>
              </w:rPr>
              <w:t>放标准的工程机械。</w:t>
            </w:r>
          </w:p>
        </w:tc>
        <w:tc>
          <w:tcPr>
            <w:tcW w:w="822" w:type="dxa"/>
            <w:vAlign w:val="top"/>
            <w:tcBorders>
              <w:right w:val="nil"/>
              <w:bottom w:val="single" w:color="000000" w:sz="10" w:space="0"/>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pStyle w:val="TableText"/>
              <w:ind w:left="217"/>
              <w:spacing w:before="65" w:line="229" w:lineRule="auto"/>
              <w:rPr/>
            </w:pPr>
            <w:r>
              <w:rPr>
                <w:spacing w:val="-1"/>
              </w:rPr>
              <w:t>符合</w:t>
            </w:r>
          </w:p>
        </w:tc>
      </w:tr>
    </w:tbl>
    <w:p>
      <w:pPr>
        <w:pStyle w:val="BodyText"/>
        <w:rPr/>
      </w:pPr>
      <w:r/>
    </w:p>
    <w:p>
      <w:pPr>
        <w:sectPr>
          <w:footerReference w:type="default" r:id="rId43"/>
          <w:pgSz w:w="11906" w:h="16839"/>
          <w:pgMar w:top="1250" w:right="1691" w:bottom="1349" w:left="1691" w:header="831" w:footer="1162" w:gutter="0"/>
        </w:sectPr>
        <w:rPr/>
      </w:pPr>
    </w:p>
    <w:p>
      <w:pPr>
        <w:spacing w:line="189" w:lineRule="exact"/>
        <w:rPr/>
      </w:pPr>
      <w:r/>
    </w:p>
    <w:tbl>
      <w:tblPr>
        <w:tblStyle w:val="TableNormal"/>
        <w:tblW w:w="8522"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013"/>
        <w:gridCol w:w="4010"/>
        <w:gridCol w:w="2677"/>
        <w:gridCol w:w="822"/>
      </w:tblGrid>
      <w:tr>
        <w:trPr>
          <w:trHeight w:val="4366" w:hRule="atLeast"/>
        </w:trPr>
        <w:tc>
          <w:tcPr>
            <w:tcW w:w="1013" w:type="dxa"/>
            <w:vAlign w:val="top"/>
            <w:tcBorders>
              <w:right w:val="single" w:color="000000" w:sz="2" w:space="0"/>
              <w:left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4" w:right="107" w:firstLine="3"/>
              <w:spacing w:before="65" w:line="288" w:lineRule="auto"/>
              <w:jc w:val="both"/>
              <w:rPr/>
            </w:pPr>
            <w:bookmarkStart w:name="bookmark501" w:id="31"/>
            <w:bookmarkEnd w:id="31"/>
            <w:r>
              <w:rPr>
                <w:spacing w:val="-7"/>
              </w:rPr>
              <w:t>三、强化</w:t>
            </w:r>
            <w:r>
              <w:rPr>
                <w:spacing w:val="32"/>
              </w:rPr>
              <w:t>面源污</w:t>
            </w:r>
            <w:r>
              <w:rPr>
                <w:spacing w:val="-6"/>
              </w:rPr>
              <w:t>染治理，</w:t>
            </w:r>
            <w:r>
              <w:rPr>
                <w:spacing w:val="32"/>
              </w:rPr>
              <w:t>提升精</w:t>
            </w:r>
            <w:r>
              <w:rPr>
                <w:spacing w:val="32"/>
              </w:rPr>
              <w:t>细化管</w:t>
            </w:r>
            <w:r>
              <w:rPr>
                <w:spacing w:val="32"/>
              </w:rPr>
              <w:t>理水平</w:t>
            </w:r>
          </w:p>
        </w:tc>
        <w:tc>
          <w:tcPr>
            <w:tcW w:w="4010" w:type="dxa"/>
            <w:vAlign w:val="top"/>
            <w:tcBorders>
              <w:left w:val="single" w:color="000000" w:sz="2" w:space="0"/>
              <w:right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8" w:right="107" w:firstLine="422"/>
              <w:spacing w:before="65" w:line="287" w:lineRule="auto"/>
              <w:jc w:val="both"/>
              <w:rPr/>
            </w:pPr>
            <w:r>
              <w:rPr>
                <w:spacing w:val="9"/>
              </w:rPr>
              <w:t>深化扬尘污染综合治理。城市大型煤</w:t>
            </w:r>
            <w:r>
              <w:rPr>
                <w:spacing w:val="9"/>
              </w:rPr>
              <w:t>炭、矿石等干散货码头物料堆场基本完成</w:t>
            </w:r>
            <w:r>
              <w:rPr>
                <w:spacing w:val="8"/>
              </w:rPr>
              <w:t>抑尘设施建设和物料输送系统封闭改造。</w:t>
            </w:r>
          </w:p>
        </w:tc>
        <w:tc>
          <w:tcPr>
            <w:tcW w:w="2677" w:type="dxa"/>
            <w:vAlign w:val="top"/>
            <w:tcBorders>
              <w:left w:val="single" w:color="000000" w:sz="2" w:space="0"/>
              <w:right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24" w:right="106" w:firstLine="415"/>
              <w:spacing w:before="65" w:line="288" w:lineRule="auto"/>
              <w:jc w:val="both"/>
              <w:rPr/>
            </w:pPr>
            <w:r>
              <w:rPr>
                <w:spacing w:val="2"/>
              </w:rPr>
              <w:t>项目原矿、选矿物料场</w:t>
            </w:r>
            <w:r>
              <w:rPr>
                <w:spacing w:val="21"/>
              </w:rPr>
              <w:t>内运输车辆均采用苫布苫</w:t>
            </w:r>
            <w:r>
              <w:rPr>
                <w:spacing w:val="3"/>
              </w:rPr>
              <w:t>盖；精矿厂外运输依托现有</w:t>
            </w:r>
          </w:p>
          <w:p>
            <w:pPr>
              <w:pStyle w:val="TableText"/>
              <w:ind w:left="120" w:right="106" w:firstLine="18"/>
              <w:spacing w:line="287" w:lineRule="auto"/>
              <w:jc w:val="both"/>
              <w:rPr/>
            </w:pPr>
            <w:r>
              <w:rPr>
                <w:spacing w:val="2"/>
              </w:rPr>
              <w:t>乡村道路进行，运输过程中</w:t>
            </w:r>
            <w:r>
              <w:rPr>
                <w:spacing w:val="1"/>
              </w:rPr>
              <w:t>运输车</w:t>
            </w:r>
            <w:r>
              <w:rPr>
                <w:spacing w:val="16"/>
              </w:rPr>
              <w:t xml:space="preserve">  </w:t>
            </w:r>
            <w:r>
              <w:rPr>
                <w:spacing w:val="1"/>
              </w:rPr>
              <w:t>辆均密闭遮盖，控</w:t>
            </w:r>
            <w:r>
              <w:rPr>
                <w:spacing w:val="7"/>
              </w:rPr>
              <w:t>制车速，减少扬尘。</w:t>
            </w:r>
          </w:p>
        </w:tc>
        <w:tc>
          <w:tcPr>
            <w:tcW w:w="822" w:type="dxa"/>
            <w:vAlign w:val="top"/>
            <w:tcBorders>
              <w:left w:val="single" w:color="000000" w:sz="2" w:space="0"/>
              <w:right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17"/>
              <w:spacing w:before="65" w:line="229" w:lineRule="auto"/>
              <w:rPr/>
            </w:pPr>
            <w:r>
              <w:rPr>
                <w:spacing w:val="-1"/>
              </w:rPr>
              <w:t>符合</w:t>
            </w:r>
          </w:p>
        </w:tc>
      </w:tr>
    </w:tbl>
    <w:p>
      <w:pPr>
        <w:pStyle w:val="BodyText"/>
        <w:spacing w:line="251" w:lineRule="auto"/>
        <w:rPr/>
      </w:pPr>
      <w:r/>
    </w:p>
    <w:p>
      <w:pPr>
        <w:pStyle w:val="BodyText"/>
        <w:spacing w:line="251" w:lineRule="auto"/>
        <w:rPr/>
      </w:pPr>
      <w:r/>
    </w:p>
    <w:p>
      <w:pPr>
        <w:ind w:left="123"/>
        <w:spacing w:before="78"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1.4.4.4  </w:t>
      </w:r>
      <w:r>
        <w:rPr>
          <w:rFonts w:ascii="FangSong" w:hAnsi="FangSong" w:eastAsia="FangSong" w:cs="FangSong"/>
          <w:sz w:val="24"/>
          <w:szCs w:val="24"/>
          <w:b/>
          <w:bCs/>
          <w:spacing w:val="-4"/>
        </w:rPr>
        <w:t>“三线一单</w:t>
      </w:r>
      <w:r>
        <w:rPr>
          <w:rFonts w:ascii="FangSong" w:hAnsi="FangSong" w:eastAsia="FangSong" w:cs="FangSong"/>
          <w:sz w:val="24"/>
          <w:szCs w:val="24"/>
          <w:spacing w:val="-75"/>
        </w:rPr>
        <w:t xml:space="preserve"> </w:t>
      </w:r>
      <w:r>
        <w:rPr>
          <w:rFonts w:ascii="FangSong" w:hAnsi="FangSong" w:eastAsia="FangSong" w:cs="FangSong"/>
          <w:sz w:val="24"/>
          <w:szCs w:val="24"/>
          <w:b/>
          <w:bCs/>
          <w:spacing w:val="-4"/>
        </w:rPr>
        <w:t>”符合性分析</w:t>
      </w:r>
    </w:p>
    <w:p>
      <w:pPr>
        <w:ind w:left="608"/>
        <w:spacing w:before="18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）生态保护红线</w:t>
      </w:r>
    </w:p>
    <w:p>
      <w:pPr>
        <w:ind w:left="123" w:right="107" w:firstLine="481"/>
        <w:spacing w:before="180" w:line="360" w:lineRule="auto"/>
        <w:rPr>
          <w:rFonts w:ascii="FangSong" w:hAnsi="FangSong" w:eastAsia="FangSong" w:cs="FangSong"/>
          <w:sz w:val="24"/>
          <w:szCs w:val="24"/>
        </w:rPr>
      </w:pPr>
      <w:r>
        <w:rPr>
          <w:rFonts w:ascii="FangSong" w:hAnsi="FangSong" w:eastAsia="FangSong" w:cs="FangSong"/>
          <w:sz w:val="24"/>
          <w:szCs w:val="24"/>
          <w:spacing w:val="-4"/>
        </w:rPr>
        <w:t>根据《全国生态功能区划》（修编版）和《内蒙古生态功能区划》，本项目</w:t>
      </w:r>
      <w:r>
        <w:rPr>
          <w:rFonts w:ascii="FangSong" w:hAnsi="FangSong" w:eastAsia="FangSong" w:cs="FangSong"/>
          <w:sz w:val="24"/>
          <w:szCs w:val="24"/>
        </w:rPr>
        <w:t>位于位于苏尼特右旗旗政府所在地赛汉塔拉镇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rPr>
        <w:t>25°</w:t>
      </w:r>
      <w:r>
        <w:rPr>
          <w:rFonts w:ascii="FangSong" w:hAnsi="FangSong" w:eastAsia="FangSong" w:cs="FangSong"/>
          <w:sz w:val="24"/>
          <w:szCs w:val="24"/>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rPr>
        <w:t>40km</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rPr>
        <w:t>处，隶属</w:t>
      </w:r>
      <w:r>
        <w:rPr>
          <w:rFonts w:ascii="FangSong" w:hAnsi="FangSong" w:eastAsia="FangSong" w:cs="FangSong"/>
          <w:sz w:val="24"/>
          <w:szCs w:val="24"/>
          <w:spacing w:val="-1"/>
        </w:rPr>
        <w:t>苏尼</w:t>
      </w:r>
      <w:r>
        <w:rPr>
          <w:rFonts w:ascii="FangSong" w:hAnsi="FangSong" w:eastAsia="FangSong" w:cs="FangSong"/>
          <w:sz w:val="24"/>
          <w:szCs w:val="24"/>
          <w:spacing w:val="1"/>
        </w:rPr>
        <w:t>特右旗管辖，属于限制开发区域（国家级重点生态功能区）</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浑善达克沙漠化防</w:t>
      </w:r>
      <w:r>
        <w:rPr>
          <w:rFonts w:ascii="FangSong" w:hAnsi="FangSong" w:eastAsia="FangSong" w:cs="FangSong"/>
          <w:sz w:val="24"/>
          <w:szCs w:val="24"/>
          <w:spacing w:val="-3"/>
        </w:rPr>
        <w:t>治生态功能区。</w:t>
      </w:r>
    </w:p>
    <w:p>
      <w:pPr>
        <w:ind w:left="111" w:right="107" w:firstLine="492"/>
        <w:spacing w:before="4" w:line="359" w:lineRule="auto"/>
        <w:jc w:val="both"/>
        <w:rPr>
          <w:rFonts w:ascii="FangSong" w:hAnsi="FangSong" w:eastAsia="FangSong" w:cs="FangSong"/>
          <w:sz w:val="24"/>
          <w:szCs w:val="24"/>
        </w:rPr>
      </w:pPr>
      <w:r>
        <w:rPr>
          <w:rFonts w:ascii="FangSong" w:hAnsi="FangSong" w:eastAsia="FangSong" w:cs="FangSong"/>
          <w:sz w:val="24"/>
          <w:szCs w:val="24"/>
          <w:spacing w:val="11"/>
        </w:rPr>
        <w:t>本项</w:t>
      </w:r>
      <w:r>
        <w:rPr>
          <w:rFonts w:ascii="FangSong" w:hAnsi="FangSong" w:eastAsia="FangSong" w:cs="FangSong"/>
          <w:sz w:val="24"/>
          <w:szCs w:val="24"/>
          <w:spacing w:val="-44"/>
        </w:rPr>
        <w:t xml:space="preserve"> </w:t>
      </w:r>
      <w:r>
        <w:rPr>
          <w:rFonts w:ascii="FangSong" w:hAnsi="FangSong" w:eastAsia="FangSong" w:cs="FangSong"/>
          <w:sz w:val="24"/>
          <w:szCs w:val="24"/>
          <w:spacing w:val="11"/>
        </w:rPr>
        <w:t>目建设地点位于苏尼特右旗旗政府所在地赛汉塔拉镇</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11"/>
        </w:rPr>
        <w:t>25°</w:t>
      </w:r>
      <w:r>
        <w:rPr>
          <w:rFonts w:ascii="FangSong" w:hAnsi="FangSong" w:eastAsia="FangSong" w:cs="FangSong"/>
          <w:sz w:val="24"/>
          <w:szCs w:val="24"/>
          <w:spacing w:val="11"/>
        </w:rPr>
        <w:t>方位直距</w:t>
      </w:r>
      <w:r>
        <w:rPr>
          <w:rFonts w:ascii="Times New Roman" w:hAnsi="Times New Roman" w:eastAsia="Times New Roman" w:cs="Times New Roman"/>
          <w:sz w:val="24"/>
          <w:szCs w:val="24"/>
        </w:rPr>
        <w:t>40km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rPr>
        <w:t>处，根据锡林郭勒盟生态环境局苏尼特右旗分局查询结果和《锡林</w:t>
      </w:r>
      <w:r>
        <w:rPr>
          <w:rFonts w:ascii="FangSong" w:hAnsi="FangSong" w:eastAsia="FangSong" w:cs="FangSong"/>
          <w:sz w:val="24"/>
          <w:szCs w:val="24"/>
          <w:spacing w:val="-1"/>
        </w:rPr>
        <w:t>郭勒盟</w:t>
      </w:r>
      <w:r>
        <w:rPr>
          <w:rFonts w:ascii="FangSong" w:hAnsi="FangSong" w:eastAsia="FangSong" w:cs="FangSong"/>
          <w:sz w:val="24"/>
          <w:szCs w:val="24"/>
          <w:spacing w:val="1"/>
        </w:rPr>
        <w:t>行政公署关于实施“</w:t>
      </w:r>
      <w:r>
        <w:rPr>
          <w:rFonts w:ascii="FangSong" w:hAnsi="FangSong" w:eastAsia="FangSong" w:cs="FangSong"/>
          <w:sz w:val="24"/>
          <w:szCs w:val="24"/>
          <w:spacing w:val="-93"/>
        </w:rPr>
        <w:t xml:space="preserve"> </w:t>
      </w:r>
      <w:r>
        <w:rPr>
          <w:rFonts w:ascii="FangSong" w:hAnsi="FangSong" w:eastAsia="FangSong" w:cs="FangSong"/>
          <w:sz w:val="24"/>
          <w:szCs w:val="24"/>
          <w:spacing w:val="1"/>
        </w:rPr>
        <w:t>三线一单</w:t>
      </w:r>
      <w:r>
        <w:rPr>
          <w:rFonts w:ascii="FangSong" w:hAnsi="FangSong" w:eastAsia="FangSong" w:cs="FangSong"/>
          <w:sz w:val="24"/>
          <w:szCs w:val="24"/>
          <w:spacing w:val="-85"/>
        </w:rPr>
        <w:t xml:space="preserve"> </w:t>
      </w:r>
      <w:r>
        <w:rPr>
          <w:rFonts w:ascii="FangSong" w:hAnsi="FangSong" w:eastAsia="FangSong" w:cs="FangSong"/>
          <w:sz w:val="24"/>
          <w:szCs w:val="24"/>
          <w:spacing w:val="1"/>
        </w:rPr>
        <w:t>”生态环境分区管控的意见》（锡署发</w:t>
      </w:r>
      <w:r>
        <w:rPr>
          <w:rFonts w:ascii="Times New Roman" w:hAnsi="Times New Roman" w:eastAsia="Times New Roman" w:cs="Times New Roman"/>
          <w:sz w:val="24"/>
          <w:szCs w:val="24"/>
          <w:spacing w:val="1"/>
        </w:rPr>
        <w:t>[2021]1</w:t>
      </w:r>
      <w:r>
        <w:rPr>
          <w:rFonts w:ascii="Times New Roman" w:hAnsi="Times New Roman" w:eastAsia="Times New Roman" w:cs="Times New Roman"/>
          <w:sz w:val="24"/>
          <w:szCs w:val="24"/>
        </w:rPr>
        <w:t>17</w:t>
      </w:r>
      <w:r>
        <w:rPr>
          <w:rFonts w:ascii="FangSong" w:hAnsi="FangSong" w:eastAsia="FangSong" w:cs="FangSong"/>
          <w:sz w:val="24"/>
          <w:szCs w:val="24"/>
          <w:spacing w:val="-2"/>
        </w:rPr>
        <w:t>号</w:t>
      </w:r>
      <w:r>
        <w:rPr>
          <w:rFonts w:ascii="FangSong" w:hAnsi="FangSong" w:eastAsia="FangSong" w:cs="FangSong"/>
          <w:sz w:val="24"/>
          <w:szCs w:val="24"/>
          <w:spacing w:val="-16"/>
        </w:rPr>
        <w:t>），</w:t>
      </w:r>
      <w:r>
        <w:rPr>
          <w:rFonts w:ascii="FangSong" w:hAnsi="FangSong" w:eastAsia="FangSong" w:cs="FangSong"/>
          <w:sz w:val="24"/>
          <w:szCs w:val="24"/>
          <w:spacing w:val="-2"/>
        </w:rPr>
        <w:t>项目所在地管控单元分类属于重点管控单元，管控单元名称为：苏尼</w:t>
      </w:r>
      <w:r>
        <w:rPr>
          <w:rFonts w:ascii="FangSong" w:hAnsi="FangSong" w:eastAsia="FangSong" w:cs="FangSong"/>
          <w:sz w:val="24"/>
          <w:szCs w:val="24"/>
          <w:spacing w:val="-3"/>
        </w:rPr>
        <w:t>特右</w:t>
      </w:r>
      <w:r>
        <w:rPr>
          <w:rFonts w:ascii="FangSong" w:hAnsi="FangSong" w:eastAsia="FangSong" w:cs="FangSong"/>
          <w:sz w:val="24"/>
          <w:szCs w:val="24"/>
        </w:rPr>
        <w:t>旗采矿用地（管控单元编码为</w:t>
      </w:r>
      <w:r>
        <w:rPr>
          <w:rFonts w:ascii="Times New Roman" w:hAnsi="Times New Roman" w:eastAsia="Times New Roman" w:cs="Times New Roman"/>
          <w:sz w:val="24"/>
          <w:szCs w:val="24"/>
        </w:rPr>
        <w:t>ZH15252420003</w:t>
      </w:r>
      <w:r>
        <w:rPr>
          <w:rFonts w:ascii="FangSong" w:hAnsi="FangSong" w:eastAsia="FangSong" w:cs="FangSong"/>
          <w:sz w:val="24"/>
          <w:szCs w:val="24"/>
          <w:spacing w:val="12"/>
        </w:rPr>
        <w:t>），</w:t>
      </w:r>
      <w:r>
        <w:rPr>
          <w:rFonts w:ascii="FangSong" w:hAnsi="FangSong" w:eastAsia="FangSong" w:cs="FangSong"/>
          <w:sz w:val="24"/>
          <w:szCs w:val="24"/>
        </w:rPr>
        <w:t>位置关系见附图</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rPr>
        <w:t>1-2</w:t>
      </w:r>
      <w:r>
        <w:rPr>
          <w:rFonts w:ascii="FangSong" w:hAnsi="FangSong" w:eastAsia="FangSong" w:cs="FangSong"/>
          <w:sz w:val="24"/>
          <w:szCs w:val="24"/>
        </w:rPr>
        <w:t>。</w:t>
      </w:r>
    </w:p>
    <w:p>
      <w:pPr>
        <w:ind w:left="123" w:right="50" w:firstLine="480"/>
        <w:spacing w:before="3" w:line="360" w:lineRule="auto"/>
        <w:jc w:val="both"/>
        <w:rPr>
          <w:rFonts w:ascii="FangSong" w:hAnsi="FangSong" w:eastAsia="FangSong" w:cs="FangSong"/>
          <w:sz w:val="24"/>
          <w:szCs w:val="24"/>
        </w:rPr>
      </w:pPr>
      <w:r>
        <w:rPr>
          <w:rFonts w:ascii="FangSong" w:hAnsi="FangSong" w:eastAsia="FangSong" w:cs="FangSong"/>
          <w:sz w:val="24"/>
          <w:szCs w:val="24"/>
          <w:spacing w:val="-3"/>
        </w:rPr>
        <w:t>项目选址范围内无自然保护区、风景名胜区等</w:t>
      </w:r>
      <w:r>
        <w:rPr>
          <w:rFonts w:ascii="FangSong" w:hAnsi="FangSong" w:eastAsia="FangSong" w:cs="FangSong"/>
          <w:sz w:val="24"/>
          <w:szCs w:val="24"/>
          <w:spacing w:val="-4"/>
        </w:rPr>
        <w:t>特殊环境敏感区，不在苏尼特</w:t>
      </w:r>
      <w:r>
        <w:rPr>
          <w:rFonts w:ascii="FangSong" w:hAnsi="FangSong" w:eastAsia="FangSong" w:cs="FangSong"/>
          <w:sz w:val="24"/>
          <w:szCs w:val="24"/>
          <w:spacing w:val="-2"/>
        </w:rPr>
        <w:t>右旗地下水饮用水源保护区范围。本项目不在苏尼特右旗生态保护红线范围内。</w:t>
      </w:r>
      <w:r>
        <w:rPr>
          <w:rFonts w:ascii="FangSong" w:hAnsi="FangSong" w:eastAsia="FangSong" w:cs="FangSong"/>
          <w:sz w:val="24"/>
          <w:szCs w:val="24"/>
          <w:spacing w:val="-1"/>
        </w:rPr>
        <w:t>因此，本项目符合生态保护红线要求。</w:t>
      </w:r>
    </w:p>
    <w:p>
      <w:pPr>
        <w:ind w:left="608"/>
        <w:spacing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）环境质量底线</w:t>
      </w:r>
    </w:p>
    <w:p>
      <w:pPr>
        <w:ind w:left="125" w:right="42" w:firstLine="478"/>
        <w:spacing w:before="179" w:line="360" w:lineRule="auto"/>
        <w:rPr>
          <w:rFonts w:ascii="FangSong" w:hAnsi="FangSong" w:eastAsia="FangSong" w:cs="FangSong"/>
          <w:sz w:val="24"/>
          <w:szCs w:val="24"/>
        </w:rPr>
      </w:pPr>
      <w:r>
        <w:rPr>
          <w:rFonts w:ascii="FangSong" w:hAnsi="FangSong" w:eastAsia="FangSong" w:cs="FangSong"/>
          <w:sz w:val="24"/>
          <w:szCs w:val="24"/>
          <w:spacing w:val="-8"/>
        </w:rPr>
        <w:t>环境质量底线是国家和地方设置的大气、地下</w:t>
      </w:r>
      <w:r>
        <w:rPr>
          <w:rFonts w:ascii="FangSong" w:hAnsi="FangSong" w:eastAsia="FangSong" w:cs="FangSong"/>
          <w:sz w:val="24"/>
          <w:szCs w:val="24"/>
          <w:spacing w:val="-9"/>
        </w:rPr>
        <w:t>水、土壤和噪声环境质量目标，</w:t>
      </w:r>
      <w:r>
        <w:rPr>
          <w:rFonts w:ascii="FangSong" w:hAnsi="FangSong" w:eastAsia="FangSong" w:cs="FangSong"/>
          <w:sz w:val="24"/>
          <w:szCs w:val="24"/>
          <w:spacing w:val="-3"/>
        </w:rPr>
        <w:t>也是改善环境质量的基准线。对照区域环境质量目标，深入分</w:t>
      </w:r>
      <w:r>
        <w:rPr>
          <w:rFonts w:ascii="FangSong" w:hAnsi="FangSong" w:eastAsia="FangSong" w:cs="FangSong"/>
          <w:sz w:val="24"/>
          <w:szCs w:val="24"/>
          <w:spacing w:val="-4"/>
        </w:rPr>
        <w:t>析、预测项目建设</w:t>
      </w:r>
      <w:r>
        <w:rPr>
          <w:rFonts w:ascii="FangSong" w:hAnsi="FangSong" w:eastAsia="FangSong" w:cs="FangSong"/>
          <w:sz w:val="24"/>
          <w:szCs w:val="24"/>
          <w:spacing w:val="-1"/>
        </w:rPr>
        <w:t>对环境质量的影响，强化污染防治措施和污染排放控制标准。</w:t>
      </w:r>
    </w:p>
    <w:p>
      <w:pPr>
        <w:ind w:left="604"/>
        <w:spacing w:before="1" w:line="222" w:lineRule="auto"/>
        <w:rPr>
          <w:rFonts w:ascii="FangSong" w:hAnsi="FangSong" w:eastAsia="FangSong" w:cs="FangSong"/>
          <w:sz w:val="24"/>
          <w:szCs w:val="24"/>
        </w:rPr>
      </w:pPr>
      <w:r>
        <w:rPr>
          <w:rFonts w:ascii="FangSong" w:hAnsi="FangSong" w:eastAsia="FangSong" w:cs="FangSong"/>
          <w:sz w:val="24"/>
          <w:szCs w:val="24"/>
          <w:spacing w:val="-2"/>
        </w:rPr>
        <w:t>本项目的环境质量底线分别包括：</w:t>
      </w:r>
    </w:p>
    <w:p>
      <w:pPr>
        <w:spacing w:line="222" w:lineRule="auto"/>
        <w:sectPr>
          <w:footerReference w:type="default" r:id="rId44"/>
          <w:pgSz w:w="11906" w:h="16839"/>
          <w:pgMar w:top="1250" w:right="1691" w:bottom="1349" w:left="1691" w:header="831" w:footer="1162" w:gutter="0"/>
        </w:sectPr>
        <w:rPr>
          <w:rFonts w:ascii="FangSong" w:hAnsi="FangSong" w:eastAsia="FangSong" w:cs="FangSong"/>
          <w:sz w:val="24"/>
          <w:szCs w:val="24"/>
        </w:rPr>
      </w:pPr>
    </w:p>
    <w:p>
      <w:pPr>
        <w:ind w:left="512"/>
        <w:spacing w:before="304" w:line="222" w:lineRule="auto"/>
        <w:rPr>
          <w:rFonts w:ascii="FangSong" w:hAnsi="FangSong" w:eastAsia="FangSong" w:cs="FangSong"/>
          <w:sz w:val="24"/>
          <w:szCs w:val="24"/>
        </w:rPr>
      </w:pPr>
      <w:bookmarkStart w:name="bookmark502" w:id="32"/>
      <w:bookmarkEnd w:id="32"/>
      <w:r>
        <w:rPr>
          <w:rFonts w:ascii="FangSong" w:hAnsi="FangSong" w:eastAsia="FangSong" w:cs="FangSong"/>
          <w:sz w:val="24"/>
          <w:szCs w:val="24"/>
          <w:spacing w:val="-1"/>
        </w:rPr>
        <w:t>大气环境质量目标：《环境空气质量标准》（</w:t>
      </w:r>
      <w:r>
        <w:rPr>
          <w:rFonts w:ascii="Times New Roman" w:hAnsi="Times New Roman" w:eastAsia="Times New Roman" w:cs="Times New Roman"/>
          <w:sz w:val="24"/>
          <w:szCs w:val="24"/>
          <w:spacing w:val="-1"/>
        </w:rPr>
        <w:t>GB3095-2012</w:t>
      </w:r>
      <w:r>
        <w:rPr>
          <w:rFonts w:ascii="FangSong" w:hAnsi="FangSong" w:eastAsia="FangSong" w:cs="FangSong"/>
          <w:sz w:val="24"/>
          <w:szCs w:val="24"/>
          <w:spacing w:val="-1"/>
        </w:rPr>
        <w:t>）二级标准；</w:t>
      </w:r>
    </w:p>
    <w:p>
      <w:pPr>
        <w:spacing w:before="179" w:line="222" w:lineRule="auto"/>
        <w:jc w:val="right"/>
        <w:rPr>
          <w:rFonts w:ascii="FangSong" w:hAnsi="FangSong" w:eastAsia="FangSong" w:cs="FangSong"/>
          <w:sz w:val="24"/>
          <w:szCs w:val="24"/>
        </w:rPr>
      </w:pPr>
      <w:r>
        <w:rPr>
          <w:rFonts w:ascii="FangSong" w:hAnsi="FangSong" w:eastAsia="FangSong" w:cs="FangSong"/>
          <w:sz w:val="24"/>
          <w:szCs w:val="24"/>
          <w:spacing w:val="-2"/>
        </w:rPr>
        <w:t>地下水环境质量目标：《地下水质量标准》（</w:t>
      </w:r>
      <w:r>
        <w:rPr>
          <w:rFonts w:ascii="Times New Roman" w:hAnsi="Times New Roman" w:eastAsia="Times New Roman" w:cs="Times New Roman"/>
          <w:sz w:val="24"/>
          <w:szCs w:val="24"/>
          <w:spacing w:val="-2"/>
        </w:rPr>
        <w:t>GB/T14848-2017</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Ⅲ</w:t>
      </w:r>
      <w:r>
        <w:rPr>
          <w:rFonts w:ascii="FangSong" w:hAnsi="FangSong" w:eastAsia="FangSong" w:cs="FangSong"/>
          <w:sz w:val="24"/>
          <w:szCs w:val="24"/>
          <w:spacing w:val="-2"/>
        </w:rPr>
        <w:t>类标准；</w:t>
      </w:r>
    </w:p>
    <w:p>
      <w:pPr>
        <w:ind w:left="31" w:right="85" w:firstLine="480"/>
        <w:spacing w:before="178" w:line="360" w:lineRule="auto"/>
        <w:rPr>
          <w:rFonts w:ascii="FangSong" w:hAnsi="FangSong" w:eastAsia="FangSong" w:cs="FangSong"/>
          <w:sz w:val="24"/>
          <w:szCs w:val="24"/>
        </w:rPr>
      </w:pPr>
      <w:r>
        <w:rPr>
          <w:rFonts w:ascii="FangSong" w:hAnsi="FangSong" w:eastAsia="FangSong" w:cs="FangSong"/>
          <w:sz w:val="24"/>
          <w:szCs w:val="24"/>
        </w:rPr>
        <w:t>土壤环境质量目标：《土壤环境质量</w:t>
      </w:r>
      <w:r>
        <w:rPr>
          <w:rFonts w:ascii="FangSong" w:hAnsi="FangSong" w:eastAsia="FangSong" w:cs="FangSong"/>
          <w:sz w:val="24"/>
          <w:szCs w:val="24"/>
        </w:rPr>
        <w:t xml:space="preserve"> </w:t>
      </w:r>
      <w:r>
        <w:rPr>
          <w:rFonts w:ascii="FangSong" w:hAnsi="FangSong" w:eastAsia="FangSong" w:cs="FangSong"/>
          <w:sz w:val="24"/>
          <w:szCs w:val="24"/>
        </w:rPr>
        <w:t>建设用地土壤污染风险管控标准（试</w:t>
      </w:r>
      <w:r>
        <w:rPr>
          <w:rFonts w:ascii="FangSong" w:hAnsi="FangSong" w:eastAsia="FangSong" w:cs="FangSong"/>
          <w:sz w:val="24"/>
          <w:szCs w:val="24"/>
          <w:spacing w:val="-3"/>
        </w:rPr>
        <w:t>行）》（</w:t>
      </w:r>
      <w:r>
        <w:rPr>
          <w:rFonts w:ascii="Times New Roman" w:hAnsi="Times New Roman" w:eastAsia="Times New Roman" w:cs="Times New Roman"/>
          <w:sz w:val="24"/>
          <w:szCs w:val="24"/>
          <w:spacing w:val="-3"/>
        </w:rPr>
        <w:t>GB36600-2018</w:t>
      </w:r>
      <w:r>
        <w:rPr>
          <w:rFonts w:ascii="FangSong" w:hAnsi="FangSong" w:eastAsia="FangSong" w:cs="FangSong"/>
          <w:sz w:val="24"/>
          <w:szCs w:val="24"/>
          <w:spacing w:val="-3"/>
        </w:rPr>
        <w:t>）表</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7"/>
          <w:w w:val="101"/>
        </w:rPr>
        <w:t xml:space="preserve"> </w:t>
      </w:r>
      <w:r>
        <w:rPr>
          <w:rFonts w:ascii="FangSong" w:hAnsi="FangSong" w:eastAsia="FangSong" w:cs="FangSong"/>
          <w:sz w:val="24"/>
          <w:szCs w:val="24"/>
          <w:spacing w:val="-3"/>
        </w:rPr>
        <w:t>中第二类用地对应的筛选值；</w:t>
      </w:r>
    </w:p>
    <w:p>
      <w:pPr>
        <w:ind w:left="509"/>
        <w:spacing w:line="222" w:lineRule="auto"/>
        <w:rPr>
          <w:rFonts w:ascii="FangSong" w:hAnsi="FangSong" w:eastAsia="FangSong" w:cs="FangSong"/>
          <w:sz w:val="24"/>
          <w:szCs w:val="24"/>
        </w:rPr>
      </w:pPr>
      <w:r>
        <w:rPr>
          <w:rFonts w:ascii="FangSong" w:hAnsi="FangSong" w:eastAsia="FangSong" w:cs="FangSong"/>
          <w:sz w:val="24"/>
          <w:szCs w:val="24"/>
          <w:spacing w:val="-1"/>
        </w:rPr>
        <w:t>声环境质量目标：《声环境质量标准》（</w:t>
      </w:r>
      <w:r>
        <w:rPr>
          <w:rFonts w:ascii="Times New Roman" w:hAnsi="Times New Roman" w:eastAsia="Times New Roman" w:cs="Times New Roman"/>
          <w:sz w:val="24"/>
          <w:szCs w:val="24"/>
          <w:spacing w:val="-1"/>
        </w:rPr>
        <w:t>GB3096-2008</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类标准。</w:t>
      </w:r>
    </w:p>
    <w:p>
      <w:pPr>
        <w:ind w:left="35" w:right="83" w:firstLine="475"/>
        <w:spacing w:before="178" w:line="360" w:lineRule="auto"/>
        <w:rPr>
          <w:rFonts w:ascii="FangSong" w:hAnsi="FangSong" w:eastAsia="FangSong" w:cs="FangSong"/>
          <w:sz w:val="24"/>
          <w:szCs w:val="24"/>
        </w:rPr>
      </w:pPr>
      <w:r>
        <w:rPr>
          <w:rFonts w:ascii="FangSong" w:hAnsi="FangSong" w:eastAsia="FangSong" w:cs="FangSong"/>
          <w:sz w:val="24"/>
          <w:szCs w:val="24"/>
          <w:spacing w:val="-4"/>
        </w:rPr>
        <w:t>本项目对生产过程可能产生的废气、废水、噪声、固废等污染源均采取了完</w:t>
      </w:r>
      <w:r>
        <w:rPr>
          <w:rFonts w:ascii="FangSong" w:hAnsi="FangSong" w:eastAsia="FangSong" w:cs="FangSong"/>
          <w:sz w:val="24"/>
          <w:szCs w:val="24"/>
          <w:spacing w:val="-3"/>
        </w:rPr>
        <w:t>善的治理和处理、处置措施，在一定程度上减少了污</w:t>
      </w:r>
      <w:r>
        <w:rPr>
          <w:rFonts w:ascii="FangSong" w:hAnsi="FangSong" w:eastAsia="FangSong" w:cs="FangSong"/>
          <w:sz w:val="24"/>
          <w:szCs w:val="24"/>
          <w:spacing w:val="-4"/>
        </w:rPr>
        <w:t>染物的排放标准，污染物均</w:t>
      </w:r>
      <w:r>
        <w:rPr>
          <w:rFonts w:ascii="FangSong" w:hAnsi="FangSong" w:eastAsia="FangSong" w:cs="FangSong"/>
          <w:sz w:val="24"/>
          <w:szCs w:val="24"/>
          <w:spacing w:val="-4"/>
        </w:rPr>
        <w:t>能达标排放。</w:t>
      </w:r>
    </w:p>
    <w:p>
      <w:pPr>
        <w:ind w:left="27" w:firstLine="482"/>
        <w:spacing w:before="12" w:line="359" w:lineRule="auto"/>
        <w:jc w:val="both"/>
        <w:rPr>
          <w:rFonts w:ascii="FangSong" w:hAnsi="FangSong" w:eastAsia="FangSong" w:cs="FangSong"/>
          <w:sz w:val="24"/>
          <w:szCs w:val="24"/>
        </w:rPr>
      </w:pPr>
      <w:r>
        <w:rPr>
          <w:rFonts w:ascii="FangSong" w:hAnsi="FangSong" w:eastAsia="FangSong" w:cs="FangSong"/>
          <w:sz w:val="24"/>
          <w:szCs w:val="24"/>
          <w:spacing w:val="-1"/>
        </w:rPr>
        <w:t>经预测分析可知：工程实施后不会对周围环境空气质量产生明显污染影响，</w:t>
      </w:r>
      <w:r>
        <w:rPr>
          <w:rFonts w:ascii="FangSong" w:hAnsi="FangSong" w:eastAsia="FangSong" w:cs="FangSong"/>
          <w:sz w:val="24"/>
          <w:szCs w:val="24"/>
          <w:spacing w:val="-5"/>
        </w:rPr>
        <w:t>能够满足《大气污染物综合排放标准》（</w:t>
      </w:r>
      <w:r>
        <w:rPr>
          <w:rFonts w:ascii="Times New Roman" w:hAnsi="Times New Roman" w:eastAsia="Times New Roman" w:cs="Times New Roman"/>
          <w:sz w:val="24"/>
          <w:szCs w:val="24"/>
          <w:spacing w:val="-5"/>
        </w:rPr>
        <w:t>GB</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5"/>
        </w:rPr>
        <w:t>16297-1</w:t>
      </w:r>
      <w:r>
        <w:rPr>
          <w:rFonts w:ascii="Times New Roman" w:hAnsi="Times New Roman" w:eastAsia="Times New Roman" w:cs="Times New Roman"/>
          <w:sz w:val="24"/>
          <w:szCs w:val="24"/>
          <w:spacing w:val="-6"/>
        </w:rPr>
        <w:t>996</w:t>
      </w:r>
      <w:r>
        <w:rPr>
          <w:rFonts w:ascii="FangSong" w:hAnsi="FangSong" w:eastAsia="FangSong" w:cs="FangSong"/>
          <w:sz w:val="24"/>
          <w:szCs w:val="24"/>
          <w:spacing w:val="-6"/>
        </w:rPr>
        <w:t>）表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46"/>
          <w:w w:val="101"/>
        </w:rPr>
        <w:t xml:space="preserve"> </w:t>
      </w:r>
      <w:r>
        <w:rPr>
          <w:rFonts w:ascii="FangSong" w:hAnsi="FangSong" w:eastAsia="FangSong" w:cs="FangSong"/>
          <w:sz w:val="24"/>
          <w:szCs w:val="24"/>
          <w:spacing w:val="-6"/>
        </w:rPr>
        <w:t>中标准现值要求。</w:t>
      </w:r>
      <w:r>
        <w:rPr>
          <w:rFonts w:ascii="FangSong" w:hAnsi="FangSong" w:eastAsia="FangSong" w:cs="FangSong"/>
          <w:sz w:val="24"/>
          <w:szCs w:val="24"/>
          <w:spacing w:val="-2"/>
        </w:rPr>
        <w:t>选矿厂厂界满足《工业企业厂界环境噪声排放标准》（</w:t>
      </w:r>
      <w:r>
        <w:rPr>
          <w:rFonts w:ascii="Times New Roman" w:hAnsi="Times New Roman" w:eastAsia="Times New Roman" w:cs="Times New Roman"/>
          <w:sz w:val="24"/>
          <w:szCs w:val="24"/>
          <w:spacing w:val="-2"/>
        </w:rPr>
        <w:t>GB</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
        </w:rPr>
        <w:t>2348-2008</w:t>
      </w:r>
      <w:r>
        <w:rPr>
          <w:rFonts w:ascii="FangSong" w:hAnsi="FangSong" w:eastAsia="FangSong" w:cs="FangSong"/>
          <w:sz w:val="24"/>
          <w:szCs w:val="24"/>
          <w:spacing w:val="-3"/>
        </w:rPr>
        <w:t>）</w:t>
      </w:r>
      <w:r>
        <w:rPr>
          <w:rFonts w:ascii="FangSong" w:hAnsi="FangSong" w:eastAsia="FangSong" w:cs="FangSong"/>
          <w:sz w:val="24"/>
          <w:szCs w:val="24"/>
          <w:spacing w:val="-71"/>
        </w:rPr>
        <w:t xml:space="preserve"> </w:t>
      </w:r>
      <w:r>
        <w:rPr>
          <w:rFonts w:ascii="FangSong" w:hAnsi="FangSong" w:eastAsia="FangSong" w:cs="FangSong"/>
          <w:sz w:val="24"/>
          <w:szCs w:val="24"/>
          <w:spacing w:val="-3"/>
        </w:rPr>
        <w:t>中</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类</w:t>
      </w:r>
      <w:r>
        <w:rPr>
          <w:rFonts w:ascii="FangSong" w:hAnsi="FangSong" w:eastAsia="FangSong" w:cs="FangSong"/>
          <w:sz w:val="24"/>
          <w:szCs w:val="24"/>
          <w:spacing w:val="-3"/>
        </w:rPr>
        <w:t>区标准限值，选矿厂运营后不会对厂界周围声环境产生明显影响。产生的</w:t>
      </w:r>
      <w:r>
        <w:rPr>
          <w:rFonts w:ascii="FangSong" w:hAnsi="FangSong" w:eastAsia="FangSong" w:cs="FangSong"/>
          <w:sz w:val="24"/>
          <w:szCs w:val="24"/>
          <w:spacing w:val="-4"/>
        </w:rPr>
        <w:t>生产废</w:t>
      </w:r>
      <w:r>
        <w:rPr>
          <w:rFonts w:ascii="FangSong" w:hAnsi="FangSong" w:eastAsia="FangSong" w:cs="FangSong"/>
          <w:sz w:val="24"/>
          <w:szCs w:val="24"/>
          <w:spacing w:val="-3"/>
        </w:rPr>
        <w:t>水经沉淀处理后全部回用，生活污水和经隔油池处理后的食堂废水排入防</w:t>
      </w:r>
      <w:r>
        <w:rPr>
          <w:rFonts w:ascii="FangSong" w:hAnsi="FangSong" w:eastAsia="FangSong" w:cs="FangSong"/>
          <w:sz w:val="24"/>
          <w:szCs w:val="24"/>
          <w:spacing w:val="-4"/>
        </w:rPr>
        <w:t>渗储池</w:t>
      </w:r>
      <w:r>
        <w:rPr>
          <w:rFonts w:ascii="FangSong" w:hAnsi="FangSong" w:eastAsia="FangSong" w:cs="FangSong"/>
          <w:sz w:val="24"/>
          <w:szCs w:val="24"/>
          <w:spacing w:val="-3"/>
        </w:rPr>
        <w:t>内定期拉运至内蒙古锡林郭勒盟苏尼特右旗赛汉塔拉镇污水处理厂处理，</w:t>
      </w:r>
      <w:r>
        <w:rPr>
          <w:rFonts w:ascii="FangSong" w:hAnsi="FangSong" w:eastAsia="FangSong" w:cs="FangSong"/>
          <w:sz w:val="24"/>
          <w:szCs w:val="24"/>
          <w:spacing w:val="-4"/>
        </w:rPr>
        <w:t>不直接</w:t>
      </w:r>
      <w:r>
        <w:rPr>
          <w:rFonts w:ascii="FangSong" w:hAnsi="FangSong" w:eastAsia="FangSong" w:cs="FangSong"/>
          <w:sz w:val="24"/>
          <w:szCs w:val="24"/>
          <w:spacing w:val="-3"/>
        </w:rPr>
        <w:t>排入环境中；厂区内按要求提出了分区防渗措施，对区域地下水环境质量</w:t>
      </w:r>
      <w:r>
        <w:rPr>
          <w:rFonts w:ascii="FangSong" w:hAnsi="FangSong" w:eastAsia="FangSong" w:cs="FangSong"/>
          <w:sz w:val="24"/>
          <w:szCs w:val="24"/>
          <w:spacing w:val="-4"/>
        </w:rPr>
        <w:t>影响很</w:t>
      </w:r>
      <w:r>
        <w:rPr>
          <w:rFonts w:ascii="FangSong" w:hAnsi="FangSong" w:eastAsia="FangSong" w:cs="FangSong"/>
          <w:sz w:val="24"/>
          <w:szCs w:val="24"/>
          <w:spacing w:val="-1"/>
        </w:rPr>
        <w:t>小；项目产生的各类固体废物均得到妥善处置，不会对环境产生明显不利影响。</w:t>
      </w:r>
      <w:r>
        <w:rPr>
          <w:rFonts w:ascii="FangSong" w:hAnsi="FangSong" w:eastAsia="FangSong" w:cs="FangSong"/>
          <w:sz w:val="24"/>
          <w:szCs w:val="24"/>
          <w:spacing w:val="-1"/>
        </w:rPr>
        <w:t>因此，本项目的实施符合环境质量底线的要求。</w:t>
      </w:r>
    </w:p>
    <w:p>
      <w:pPr>
        <w:ind w:left="514"/>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）资源利用上线</w:t>
      </w:r>
    </w:p>
    <w:p>
      <w:pPr>
        <w:ind w:left="29" w:right="83"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本项目主要原料萤石矿，主要来项目开采，本</w:t>
      </w:r>
      <w:r>
        <w:rPr>
          <w:rFonts w:ascii="FangSong" w:hAnsi="FangSong" w:eastAsia="FangSong" w:cs="FangSong"/>
          <w:sz w:val="24"/>
          <w:szCs w:val="24"/>
          <w:spacing w:val="-4"/>
        </w:rPr>
        <w:t>项目生产用水以混凝沉淀后的</w:t>
      </w:r>
      <w:r>
        <w:rPr>
          <w:rFonts w:ascii="FangSong" w:hAnsi="FangSong" w:eastAsia="FangSong" w:cs="FangSong"/>
          <w:sz w:val="24"/>
          <w:szCs w:val="24"/>
          <w:spacing w:val="-1"/>
        </w:rPr>
        <w:t>矿井涌水和选矿废水作为生产用水主要水源。</w:t>
      </w:r>
    </w:p>
    <w:p>
      <w:pPr>
        <w:ind w:left="36" w:right="83" w:firstLine="476"/>
        <w:spacing w:before="1" w:line="360" w:lineRule="auto"/>
        <w:rPr>
          <w:rFonts w:ascii="FangSong" w:hAnsi="FangSong" w:eastAsia="FangSong" w:cs="FangSong"/>
          <w:sz w:val="24"/>
          <w:szCs w:val="24"/>
        </w:rPr>
      </w:pPr>
      <w:r>
        <w:rPr>
          <w:rFonts w:ascii="FangSong" w:hAnsi="FangSong" w:eastAsia="FangSong" w:cs="FangSong"/>
          <w:sz w:val="24"/>
          <w:szCs w:val="24"/>
          <w:spacing w:val="-4"/>
        </w:rPr>
        <w:t>综上所述，项目所在区域原料资源充足，用水符合水资源配置要求，因此符</w:t>
      </w:r>
      <w:r>
        <w:rPr>
          <w:rFonts w:ascii="FangSong" w:hAnsi="FangSong" w:eastAsia="FangSong" w:cs="FangSong"/>
          <w:sz w:val="24"/>
          <w:szCs w:val="24"/>
          <w:spacing w:val="-3"/>
        </w:rPr>
        <w:t>合资源利用上线的要求。</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）生态环境准入清单</w:t>
      </w:r>
    </w:p>
    <w:p>
      <w:pPr>
        <w:ind w:left="30" w:right="83" w:firstLine="480"/>
        <w:spacing w:before="180" w:line="360" w:lineRule="auto"/>
        <w:rPr>
          <w:rFonts w:ascii="FangSong" w:hAnsi="FangSong" w:eastAsia="FangSong" w:cs="FangSong"/>
          <w:sz w:val="24"/>
          <w:szCs w:val="24"/>
        </w:rPr>
      </w:pPr>
      <w:r>
        <w:rPr>
          <w:rFonts w:ascii="FangSong" w:hAnsi="FangSong" w:eastAsia="FangSong" w:cs="FangSong"/>
          <w:sz w:val="24"/>
          <w:szCs w:val="24"/>
        </w:rPr>
        <w:t>本项目位于苏尼特右旗旗政府所在地赛汉塔拉镇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rPr>
        <w:t>25°</w:t>
      </w:r>
      <w:r>
        <w:rPr>
          <w:rFonts w:ascii="FangSong" w:hAnsi="FangSong" w:eastAsia="FangSong" w:cs="FangSong"/>
          <w:sz w:val="24"/>
          <w:szCs w:val="24"/>
        </w:rPr>
        <w:t>方位直距</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spacing w:val="-1"/>
        </w:rPr>
        <w:t>0km</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处，管</w:t>
      </w:r>
      <w:r>
        <w:rPr>
          <w:rFonts w:ascii="FangSong" w:hAnsi="FangSong" w:eastAsia="FangSong" w:cs="FangSong"/>
          <w:sz w:val="24"/>
          <w:szCs w:val="24"/>
          <w:spacing w:val="-3"/>
        </w:rPr>
        <w:t>控单元分类属于重点管控单元，管控单元名称为：苏尼特右旗采</w:t>
      </w:r>
      <w:r>
        <w:rPr>
          <w:rFonts w:ascii="FangSong" w:hAnsi="FangSong" w:eastAsia="FangSong" w:cs="FangSong"/>
          <w:sz w:val="24"/>
          <w:szCs w:val="24"/>
          <w:spacing w:val="-4"/>
        </w:rPr>
        <w:t>矿用地（管控单</w:t>
      </w:r>
      <w:r>
        <w:rPr>
          <w:rFonts w:ascii="FangSong" w:hAnsi="FangSong" w:eastAsia="FangSong" w:cs="FangSong"/>
          <w:sz w:val="24"/>
          <w:szCs w:val="24"/>
        </w:rPr>
        <w:t>元编码为</w:t>
      </w:r>
      <w:r>
        <w:rPr>
          <w:rFonts w:ascii="Times New Roman" w:hAnsi="Times New Roman" w:eastAsia="Times New Roman" w:cs="Times New Roman"/>
          <w:sz w:val="24"/>
          <w:szCs w:val="24"/>
        </w:rPr>
        <w:t>ZH15252420003</w:t>
      </w:r>
      <w:r>
        <w:rPr>
          <w:rFonts w:ascii="FangSong" w:hAnsi="FangSong" w:eastAsia="FangSong" w:cs="FangSong"/>
          <w:sz w:val="24"/>
          <w:szCs w:val="24"/>
        </w:rPr>
        <w:t>）本项目与管控要求符合性分析见下表</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rPr>
        <w:t>1.4-5</w:t>
      </w:r>
      <w:r>
        <w:rPr>
          <w:rFonts w:ascii="FangSong" w:hAnsi="FangSong" w:eastAsia="FangSong" w:cs="FangSong"/>
          <w:sz w:val="24"/>
          <w:szCs w:val="24"/>
        </w:rPr>
        <w:t>。</w:t>
      </w:r>
    </w:p>
    <w:p>
      <w:pPr>
        <w:spacing w:line="360" w:lineRule="auto"/>
        <w:sectPr>
          <w:headerReference w:type="default" r:id="rId17"/>
          <w:footerReference w:type="default" r:id="rId45"/>
          <w:pgSz w:w="11906" w:h="16839"/>
          <w:pgMar w:top="1250" w:right="1716" w:bottom="1349" w:left="1785" w:header="831" w:footer="1162" w:gutter="0"/>
        </w:sectPr>
        <w:rPr>
          <w:rFonts w:ascii="FangSong" w:hAnsi="FangSong" w:eastAsia="FangSong" w:cs="FangSong"/>
          <w:sz w:val="24"/>
          <w:szCs w:val="24"/>
        </w:rPr>
      </w:pPr>
    </w:p>
    <w:p>
      <w:pPr>
        <w:ind w:left="2371"/>
        <w:spacing w:before="303" w:line="221" w:lineRule="auto"/>
        <w:rPr>
          <w:rFonts w:ascii="FangSong" w:hAnsi="FangSong" w:eastAsia="FangSong" w:cs="FangSong"/>
          <w:sz w:val="24"/>
          <w:szCs w:val="24"/>
        </w:rPr>
      </w:pPr>
      <w:bookmarkStart w:name="bookmark503" w:id="33"/>
      <w:bookmarkEnd w:id="33"/>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1.4-5  </w:t>
      </w:r>
      <w:r>
        <w:rPr>
          <w:rFonts w:ascii="FangSong" w:hAnsi="FangSong" w:eastAsia="FangSong" w:cs="FangSong"/>
          <w:sz w:val="24"/>
          <w:szCs w:val="24"/>
          <w:b/>
          <w:bCs/>
          <w:spacing w:val="-3"/>
        </w:rPr>
        <w:t>本项目准入清单情况分析表</w:t>
      </w:r>
    </w:p>
    <w:p>
      <w:pPr>
        <w:spacing w:line="66" w:lineRule="exact"/>
        <w:rPr/>
      </w:pPr>
      <w:r/>
    </w:p>
    <w:tbl>
      <w:tblPr>
        <w:tblStyle w:val="TableNormal"/>
        <w:tblW w:w="8519"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0"/>
        <w:gridCol w:w="3516"/>
        <w:gridCol w:w="3511"/>
        <w:gridCol w:w="752"/>
      </w:tblGrid>
      <w:tr>
        <w:trPr>
          <w:trHeight w:val="635" w:hRule="atLeast"/>
        </w:trPr>
        <w:tc>
          <w:tcPr>
            <w:tcW w:w="4256" w:type="dxa"/>
            <w:vAlign w:val="top"/>
            <w:gridSpan w:val="2"/>
            <w:tcBorders>
              <w:top w:val="single" w:color="000000" w:sz="10" w:space="0"/>
              <w:left w:val="nil"/>
            </w:tcBorders>
          </w:tcPr>
          <w:p>
            <w:pPr>
              <w:pStyle w:val="TableText"/>
              <w:ind w:left="1733"/>
              <w:spacing w:before="211" w:line="231" w:lineRule="auto"/>
              <w:rPr/>
            </w:pPr>
            <w:r>
              <w:rPr>
                <w:spacing w:val="3"/>
              </w:rPr>
              <w:t>管控要求</w:t>
            </w:r>
          </w:p>
        </w:tc>
        <w:tc>
          <w:tcPr>
            <w:tcW w:w="3511" w:type="dxa"/>
            <w:vAlign w:val="top"/>
            <w:tcBorders>
              <w:top w:val="single" w:color="000000" w:sz="10" w:space="0"/>
            </w:tcBorders>
          </w:tcPr>
          <w:p>
            <w:pPr>
              <w:pStyle w:val="TableText"/>
              <w:ind w:left="1239"/>
              <w:spacing w:before="211" w:line="231" w:lineRule="auto"/>
              <w:rPr/>
            </w:pPr>
            <w:r>
              <w:rPr>
                <w:spacing w:val="6"/>
              </w:rPr>
              <w:t>本项目建设</w:t>
            </w:r>
          </w:p>
        </w:tc>
        <w:tc>
          <w:tcPr>
            <w:tcW w:w="752" w:type="dxa"/>
            <w:vAlign w:val="top"/>
            <w:tcBorders>
              <w:top w:val="single" w:color="000000" w:sz="10" w:space="0"/>
              <w:right w:val="nil"/>
            </w:tcBorders>
          </w:tcPr>
          <w:p>
            <w:pPr>
              <w:pStyle w:val="TableText"/>
              <w:ind w:left="283" w:right="167" w:hanging="103"/>
              <w:spacing w:before="55" w:line="263" w:lineRule="auto"/>
              <w:rPr/>
            </w:pPr>
            <w:r>
              <w:rPr>
                <w:spacing w:val="-1"/>
              </w:rPr>
              <w:t>符合</w:t>
            </w:r>
            <w:r>
              <w:rPr/>
              <w:t>性</w:t>
            </w:r>
          </w:p>
        </w:tc>
      </w:tr>
      <w:tr>
        <w:trPr>
          <w:trHeight w:val="11215" w:hRule="atLeast"/>
        </w:trPr>
        <w:tc>
          <w:tcPr>
            <w:tcW w:w="740" w:type="dxa"/>
            <w:vAlign w:val="top"/>
            <w:tcBorders>
              <w:left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75" w:right="157" w:firstLine="9"/>
              <w:spacing w:before="65" w:line="287" w:lineRule="auto"/>
              <w:rPr/>
            </w:pPr>
            <w:r>
              <w:rPr>
                <w:spacing w:val="-4"/>
              </w:rPr>
              <w:t>空间</w:t>
            </w:r>
            <w:r>
              <w:rPr>
                <w:spacing w:val="1"/>
              </w:rPr>
              <w:t>布局</w:t>
            </w:r>
          </w:p>
          <w:p>
            <w:pPr>
              <w:pStyle w:val="TableText"/>
              <w:ind w:left="175"/>
              <w:spacing w:before="1" w:line="229" w:lineRule="auto"/>
              <w:rPr/>
            </w:pPr>
            <w:r>
              <w:rPr>
                <w:spacing w:val="1"/>
              </w:rPr>
              <w:t>约束</w:t>
            </w:r>
          </w:p>
        </w:tc>
        <w:tc>
          <w:tcPr>
            <w:tcW w:w="3516" w:type="dxa"/>
            <w:vAlign w:val="top"/>
          </w:tcPr>
          <w:p>
            <w:pPr>
              <w:pStyle w:val="TableText"/>
              <w:ind w:left="116" w:right="76" w:firstLine="420"/>
              <w:spacing w:before="51" w:line="288" w:lineRule="auto"/>
              <w:rPr/>
            </w:pPr>
            <w:r>
              <w:rPr>
                <w:spacing w:val="20"/>
              </w:rPr>
              <w:t>执行锡林郭勒盟总体准入要求</w:t>
            </w:r>
            <w:r>
              <w:rPr>
                <w:spacing w:val="5"/>
              </w:rPr>
              <w:t>中第十七条关于自然保护区、饮用水</w:t>
            </w:r>
            <w:r>
              <w:rPr>
                <w:spacing w:val="18"/>
              </w:rPr>
              <w:t>源保护区等区域内矿产资源开发活</w:t>
            </w:r>
            <w:r>
              <w:rPr>
                <w:spacing w:val="5"/>
              </w:rPr>
              <w:t>动准入及退出的要求。非经国务院授</w:t>
            </w:r>
            <w:r>
              <w:rPr>
                <w:spacing w:val="5"/>
              </w:rPr>
              <w:t>权的有关主管部门同意，不得在以下</w:t>
            </w:r>
            <w:r>
              <w:rPr>
                <w:spacing w:val="9"/>
              </w:rPr>
              <w:t>地区开采矿产资源</w:t>
            </w:r>
            <w:r>
              <w:rPr>
                <w:spacing w:val="-11"/>
              </w:rPr>
              <w:t>：</w:t>
            </w:r>
            <w:r>
              <w:rPr>
                <w:spacing w:val="-77"/>
              </w:rPr>
              <w:t xml:space="preserve"> </w:t>
            </w:r>
            <w:r>
              <w:rPr>
                <w:spacing w:val="-11"/>
              </w:rPr>
              <w:t>（</w:t>
            </w:r>
            <w:r>
              <w:rPr>
                <w:rFonts w:ascii="Times New Roman" w:hAnsi="Times New Roman" w:eastAsia="Times New Roman" w:cs="Times New Roman"/>
                <w:spacing w:val="9"/>
              </w:rPr>
              <w:t>1</w:t>
            </w:r>
            <w:r>
              <w:rPr>
                <w:spacing w:val="9"/>
              </w:rPr>
              <w:t>）港</w:t>
            </w:r>
            <w:r>
              <w:rPr>
                <w:spacing w:val="-44"/>
              </w:rPr>
              <w:t xml:space="preserve"> </w:t>
            </w:r>
            <w:r>
              <w:rPr>
                <w:spacing w:val="9"/>
              </w:rPr>
              <w:t>口、机</w:t>
            </w:r>
            <w:r>
              <w:rPr>
                <w:spacing w:val="12"/>
              </w:rPr>
              <w:t>场</w:t>
            </w:r>
            <w:r>
              <w:rPr>
                <w:spacing w:val="-52"/>
              </w:rPr>
              <w:t xml:space="preserve"> </w:t>
            </w:r>
            <w:r>
              <w:rPr>
                <w:spacing w:val="12"/>
              </w:rPr>
              <w:t>、</w:t>
            </w:r>
            <w:r>
              <w:rPr>
                <w:spacing w:val="-45"/>
              </w:rPr>
              <w:t xml:space="preserve"> </w:t>
            </w:r>
            <w:r>
              <w:rPr>
                <w:spacing w:val="12"/>
              </w:rPr>
              <w:t>国防工程建设设施圈定地区以</w:t>
            </w:r>
            <w:r>
              <w:rPr>
                <w:spacing w:val="15"/>
              </w:rPr>
              <w:t>内</w:t>
            </w:r>
            <w:r>
              <w:rPr>
                <w:spacing w:val="-14"/>
              </w:rPr>
              <w:t>；（</w:t>
            </w:r>
            <w:r>
              <w:rPr>
                <w:rFonts w:ascii="Times New Roman" w:hAnsi="Times New Roman" w:eastAsia="Times New Roman" w:cs="Times New Roman"/>
                <w:spacing w:val="15"/>
              </w:rPr>
              <w:t>2</w:t>
            </w:r>
            <w:r>
              <w:rPr>
                <w:spacing w:val="15"/>
              </w:rPr>
              <w:t>）重要工业区、大型水利工</w:t>
            </w:r>
            <w:r>
              <w:rPr>
                <w:spacing w:val="5"/>
              </w:rPr>
              <w:t>程设施、城镇市政工程设施附近一定</w:t>
            </w:r>
            <w:r>
              <w:rPr>
                <w:spacing w:val="15"/>
              </w:rPr>
              <w:t>距离以内</w:t>
            </w:r>
            <w:r>
              <w:rPr>
                <w:spacing w:val="-14"/>
              </w:rPr>
              <w:t>；（</w:t>
            </w:r>
            <w:r>
              <w:rPr>
                <w:rFonts w:ascii="Times New Roman" w:hAnsi="Times New Roman" w:eastAsia="Times New Roman" w:cs="Times New Roman"/>
                <w:spacing w:val="15"/>
              </w:rPr>
              <w:t>3</w:t>
            </w:r>
            <w:r>
              <w:rPr>
                <w:spacing w:val="15"/>
              </w:rPr>
              <w:t>）铁路、重要公路两</w:t>
            </w:r>
            <w:r>
              <w:rPr>
                <w:spacing w:val="17"/>
              </w:rPr>
              <w:t>侧一定距离以内</w:t>
            </w:r>
            <w:r>
              <w:rPr>
                <w:spacing w:val="-17"/>
              </w:rPr>
              <w:t>；（</w:t>
            </w:r>
            <w:r>
              <w:rPr>
                <w:rFonts w:ascii="Times New Roman" w:hAnsi="Times New Roman" w:eastAsia="Times New Roman" w:cs="Times New Roman"/>
                <w:spacing w:val="17"/>
              </w:rPr>
              <w:t>4</w:t>
            </w:r>
            <w:r>
              <w:rPr>
                <w:spacing w:val="17"/>
              </w:rPr>
              <w:t>）重要河流、</w:t>
            </w:r>
            <w:r>
              <w:rPr>
                <w:spacing w:val="12"/>
              </w:rPr>
              <w:t>堤坝两侧一定距离以内</w:t>
            </w:r>
            <w:r>
              <w:rPr>
                <w:spacing w:val="-19"/>
              </w:rPr>
              <w:t>；（</w:t>
            </w:r>
            <w:r>
              <w:rPr>
                <w:rFonts w:ascii="Times New Roman" w:hAnsi="Times New Roman" w:eastAsia="Times New Roman" w:cs="Times New Roman"/>
                <w:spacing w:val="12"/>
              </w:rPr>
              <w:t>5</w:t>
            </w:r>
            <w:r>
              <w:rPr>
                <w:spacing w:val="12"/>
              </w:rPr>
              <w:t>）</w:t>
            </w:r>
            <w:r>
              <w:rPr>
                <w:spacing w:val="-47"/>
              </w:rPr>
              <w:t xml:space="preserve"> </w:t>
            </w:r>
            <w:r>
              <w:rPr>
                <w:spacing w:val="12"/>
              </w:rPr>
              <w:t>国家</w:t>
            </w:r>
            <w:r>
              <w:rPr>
                <w:spacing w:val="11"/>
              </w:rPr>
              <w:t>划定的</w:t>
            </w:r>
            <w:r>
              <w:rPr>
                <w:spacing w:val="-23"/>
              </w:rPr>
              <w:t xml:space="preserve"> </w:t>
            </w:r>
            <w:r>
              <w:rPr>
                <w:spacing w:val="11"/>
              </w:rPr>
              <w:t>自然保护区</w:t>
            </w:r>
            <w:r>
              <w:rPr>
                <w:spacing w:val="-59"/>
              </w:rPr>
              <w:t xml:space="preserve"> </w:t>
            </w:r>
            <w:r>
              <w:rPr>
                <w:spacing w:val="11"/>
              </w:rPr>
              <w:t>、重要风景名胜</w:t>
            </w:r>
            <w:r>
              <w:rPr>
                <w:spacing w:val="5"/>
              </w:rPr>
              <w:t>区，国家重点保护的不能移动的历史</w:t>
            </w:r>
            <w:r>
              <w:rPr>
                <w:spacing w:val="12"/>
              </w:rPr>
              <w:t>文物和名胜古迹所在地</w:t>
            </w:r>
            <w:r>
              <w:rPr>
                <w:spacing w:val="-19"/>
              </w:rPr>
              <w:t>；（</w:t>
            </w:r>
            <w:r>
              <w:rPr>
                <w:rFonts w:ascii="Times New Roman" w:hAnsi="Times New Roman" w:eastAsia="Times New Roman" w:cs="Times New Roman"/>
                <w:spacing w:val="12"/>
              </w:rPr>
              <w:t>6</w:t>
            </w:r>
            <w:r>
              <w:rPr>
                <w:spacing w:val="12"/>
              </w:rPr>
              <w:t>）</w:t>
            </w:r>
            <w:r>
              <w:rPr>
                <w:spacing w:val="-47"/>
              </w:rPr>
              <w:t xml:space="preserve"> </w:t>
            </w:r>
            <w:r>
              <w:rPr>
                <w:spacing w:val="12"/>
              </w:rPr>
              <w:t>国家</w:t>
            </w:r>
            <w:r>
              <w:rPr>
                <w:spacing w:val="7"/>
              </w:rPr>
              <w:t>规定不得开采矿产资源的其他地区。</w:t>
            </w:r>
          </w:p>
          <w:p>
            <w:pPr>
              <w:pStyle w:val="TableText"/>
              <w:ind w:left="66" w:right="76" w:firstLine="57"/>
              <w:spacing w:line="288" w:lineRule="auto"/>
              <w:rPr/>
            </w:pPr>
            <w:r>
              <w:rPr>
                <w:spacing w:val="6"/>
              </w:rPr>
              <w:t>禁止在自然保护区内从事开采活动。</w:t>
            </w:r>
            <w:r>
              <w:rPr>
                <w:spacing w:val="10"/>
              </w:rPr>
              <w:t>自然保护区内已有探矿权和采矿权，</w:t>
            </w:r>
            <w:r>
              <w:rPr>
                <w:spacing w:val="10"/>
              </w:rPr>
              <w:t>在维护矿业权人合法权益的前提下，</w:t>
            </w:r>
            <w:r>
              <w:rPr>
                <w:spacing w:val="8"/>
              </w:rPr>
              <w:t>依法有序退出。禁止在地质灾害危险</w:t>
            </w:r>
            <w:r>
              <w:rPr>
                <w:spacing w:val="8"/>
              </w:rPr>
              <w:t>区开采矿产资源。禁止新建煤层含硫</w:t>
            </w:r>
            <w:r>
              <w:rPr>
                <w:spacing w:val="16"/>
              </w:rPr>
              <w:t>量大于</w:t>
            </w:r>
            <w:r>
              <w:rPr>
                <w:rFonts w:ascii="Times New Roman" w:hAnsi="Times New Roman" w:eastAsia="Times New Roman" w:cs="Times New Roman"/>
                <w:spacing w:val="16"/>
              </w:rPr>
              <w:t>3%</w:t>
            </w:r>
            <w:r>
              <w:rPr>
                <w:spacing w:val="16"/>
              </w:rPr>
              <w:t>的煤矿实行严格的矿山地</w:t>
            </w:r>
            <w:r>
              <w:rPr>
                <w:spacing w:val="8"/>
              </w:rPr>
              <w:t>质环境准入制度。全面实行矿山地质</w:t>
            </w:r>
            <w:r>
              <w:rPr>
                <w:spacing w:val="8"/>
              </w:rPr>
              <w:t>环境保护与治理恢复方案、矿产资源</w:t>
            </w:r>
            <w:r>
              <w:rPr>
                <w:spacing w:val="7"/>
              </w:rPr>
              <w:t>开发利用方案同步编制、</w:t>
            </w:r>
            <w:r>
              <w:rPr>
                <w:spacing w:val="-51"/>
              </w:rPr>
              <w:t xml:space="preserve"> </w:t>
            </w:r>
            <w:r>
              <w:rPr>
                <w:spacing w:val="7"/>
              </w:rPr>
              <w:t>同步审查、</w:t>
            </w:r>
            <w:r>
              <w:rPr>
                <w:spacing w:val="23"/>
              </w:rPr>
              <w:t>同步实施的制度和社会公示制度。</w:t>
            </w:r>
            <w:r>
              <w:rPr>
                <w:spacing w:val="9"/>
              </w:rPr>
              <w:t xml:space="preserve"> </w:t>
            </w:r>
            <w:r>
              <w:rPr>
                <w:rFonts w:ascii="Times New Roman" w:hAnsi="Times New Roman" w:eastAsia="Times New Roman" w:cs="Times New Roman"/>
                <w:spacing w:val="20"/>
              </w:rPr>
              <w:t>“</w:t>
            </w:r>
            <w:r>
              <w:rPr>
                <w:rFonts w:ascii="Times New Roman" w:hAnsi="Times New Roman" w:eastAsia="Times New Roman" w:cs="Times New Roman"/>
                <w:spacing w:val="-14"/>
              </w:rPr>
              <w:t xml:space="preserve"> </w:t>
            </w:r>
            <w:r>
              <w:rPr>
                <w:spacing w:val="20"/>
              </w:rPr>
              <w:t>三区两线</w:t>
            </w:r>
            <w:r>
              <w:rPr>
                <w:rFonts w:ascii="Times New Roman" w:hAnsi="Times New Roman" w:eastAsia="Times New Roman" w:cs="Times New Roman"/>
                <w:spacing w:val="20"/>
              </w:rPr>
              <w:t>”</w:t>
            </w:r>
            <w:r>
              <w:rPr>
                <w:spacing w:val="20"/>
              </w:rPr>
              <w:t>范围和矿产资源禁止开</w:t>
            </w:r>
            <w:r>
              <w:rPr>
                <w:spacing w:val="11"/>
              </w:rPr>
              <w:t>采区内不得新设置开采矿山。</w:t>
            </w:r>
          </w:p>
          <w:p>
            <w:pPr>
              <w:pStyle w:val="TableText"/>
              <w:ind w:left="116" w:right="104" w:firstLine="420"/>
              <w:spacing w:before="8" w:line="278" w:lineRule="auto"/>
              <w:jc w:val="both"/>
              <w:rPr/>
            </w:pPr>
            <w:r>
              <w:rPr>
                <w:spacing w:val="20"/>
              </w:rPr>
              <w:t>规划期内未达到绿色矿山建设</w:t>
            </w:r>
            <w:r>
              <w:rPr>
                <w:spacing w:val="5"/>
              </w:rPr>
              <w:t>标准的停产矿山，依法依规逐步退出</w:t>
            </w:r>
            <w:r>
              <w:rPr>
                <w:spacing w:val="5"/>
              </w:rPr>
              <w:t>市场。禁止建设不符合国家产业结构</w:t>
            </w:r>
            <w:r>
              <w:rPr>
                <w:spacing w:val="5"/>
              </w:rPr>
              <w:t>调整指导目录中的项目。禁止在城区</w:t>
            </w:r>
            <w:r>
              <w:rPr>
                <w:spacing w:val="5"/>
              </w:rPr>
              <w:t>和国省干线公路、二级公路可视范围</w:t>
            </w:r>
            <w:r>
              <w:rPr>
                <w:spacing w:val="3"/>
              </w:rPr>
              <w:t>内（或</w:t>
            </w:r>
            <w:r>
              <w:rPr>
                <w:spacing w:val="-37"/>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2"/>
                <w:w w:val="101"/>
              </w:rPr>
              <w:t xml:space="preserve"> </w:t>
            </w:r>
            <w:r>
              <w:rPr>
                <w:spacing w:val="3"/>
              </w:rPr>
              <w:t>公里以上）及河道两侧等水</w:t>
            </w:r>
            <w:r>
              <w:rPr>
                <w:spacing w:val="5"/>
              </w:rPr>
              <w:t>土流失重点防控区进行采矿、选矿活</w:t>
            </w:r>
            <w:r>
              <w:rPr>
                <w:spacing w:val="-3"/>
              </w:rPr>
              <w:t>动。</w:t>
            </w:r>
          </w:p>
        </w:tc>
        <w:tc>
          <w:tcPr>
            <w:tcW w:w="3511"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9" w:right="104" w:firstLine="411"/>
              <w:spacing w:before="65" w:line="269" w:lineRule="auto"/>
              <w:rPr/>
            </w:pPr>
            <w:r>
              <w:rPr>
                <w:spacing w:val="2"/>
              </w:rPr>
              <w:t>①</w:t>
            </w:r>
            <w:r>
              <w:rPr>
                <w:spacing w:val="2"/>
              </w:rPr>
              <w:t xml:space="preserve"> </w:t>
            </w:r>
            <w:r>
              <w:rPr>
                <w:spacing w:val="2"/>
              </w:rPr>
              <w:t>根据</w:t>
            </w:r>
            <w:r>
              <w:rPr>
                <w:spacing w:val="-14"/>
              </w:rPr>
              <w:t xml:space="preserve"> </w:t>
            </w:r>
            <w:r>
              <w:rPr>
                <w:rFonts w:ascii="Times New Roman" w:hAnsi="Times New Roman" w:eastAsia="Times New Roman" w:cs="Times New Roman"/>
                <w:spacing w:val="2"/>
              </w:rPr>
              <w:t>1.4.2.</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7"/>
                <w:w w:val="101"/>
              </w:rPr>
              <w:t xml:space="preserve"> </w:t>
            </w:r>
            <w:r>
              <w:rPr>
                <w:spacing w:val="2"/>
              </w:rPr>
              <w:t>章节，本项目不</w:t>
            </w:r>
            <w:r>
              <w:rPr>
                <w:spacing w:val="18"/>
              </w:rPr>
              <w:t>涉及锡林郭勒盟总体准入要求中第</w:t>
            </w:r>
            <w:r>
              <w:rPr>
                <w:spacing w:val="8"/>
              </w:rPr>
              <w:t>十七条中所要求的各管控区域内；</w:t>
            </w:r>
          </w:p>
          <w:p>
            <w:pPr>
              <w:pStyle w:val="TableText"/>
              <w:ind w:left="112" w:right="101" w:firstLine="417"/>
              <w:spacing w:before="63" w:line="273" w:lineRule="auto"/>
              <w:rPr/>
            </w:pPr>
            <w:r>
              <w:rPr>
                <w:spacing w:val="12"/>
              </w:rPr>
              <w:t>②</w:t>
            </w:r>
            <w:r>
              <w:rPr>
                <w:spacing w:val="12"/>
              </w:rPr>
              <w:t xml:space="preserve"> </w:t>
            </w:r>
            <w:r>
              <w:rPr>
                <w:spacing w:val="12"/>
              </w:rPr>
              <w:t>本项目为萤石矿采选项目，</w:t>
            </w:r>
            <w:r>
              <w:rPr>
                <w:spacing w:val="14"/>
              </w:rPr>
              <w:t>项</w:t>
            </w:r>
            <w:r>
              <w:rPr>
                <w:spacing w:val="-27"/>
              </w:rPr>
              <w:t xml:space="preserve"> </w:t>
            </w:r>
            <w:r>
              <w:rPr>
                <w:spacing w:val="14"/>
              </w:rPr>
              <w:t>目矿石按照《绿色矿山建设规范</w:t>
            </w:r>
            <w:r>
              <w:rPr>
                <w:spacing w:val="-1"/>
              </w:rPr>
              <w:t>第</w:t>
            </w:r>
            <w:r>
              <w:rPr>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spacing w:val="-1"/>
              </w:rPr>
              <w:t>部分：非金属矿行业》（</w:t>
            </w:r>
            <w:r>
              <w:rPr>
                <w:rFonts w:ascii="Times New Roman" w:hAnsi="Times New Roman" w:eastAsia="Times New Roman" w:cs="Times New Roman"/>
                <w:spacing w:val="-1"/>
              </w:rPr>
              <w:t>DB15/T</w:t>
            </w:r>
            <w:r>
              <w:rPr>
                <w:rFonts w:ascii="Times New Roman" w:hAnsi="Times New Roman" w:eastAsia="Times New Roman" w:cs="Times New Roman"/>
              </w:rPr>
              <w:t xml:space="preserve"> </w:t>
            </w:r>
            <w:r>
              <w:rPr>
                <w:rFonts w:ascii="Times New Roman" w:hAnsi="Times New Roman" w:eastAsia="Times New Roman" w:cs="Times New Roman"/>
                <w:spacing w:val="3"/>
              </w:rPr>
              <w:t>3962.</w:t>
            </w:r>
            <w:r>
              <w:rPr>
                <w:rFonts w:ascii="Times New Roman" w:hAnsi="Times New Roman" w:eastAsia="Times New Roman" w:cs="Times New Roman"/>
                <w:spacing w:val="-13"/>
              </w:rPr>
              <w:t xml:space="preserve"> </w:t>
            </w:r>
            <w:r>
              <w:rPr>
                <w:rFonts w:ascii="Times New Roman" w:hAnsi="Times New Roman" w:eastAsia="Times New Roman" w:cs="Times New Roman"/>
                <w:spacing w:val="3"/>
              </w:rPr>
              <w:t>1-2025</w:t>
            </w:r>
            <w:r>
              <w:rPr>
                <w:spacing w:val="3"/>
              </w:rPr>
              <w:t>）进行设计。</w:t>
            </w:r>
          </w:p>
        </w:tc>
        <w:tc>
          <w:tcPr>
            <w:tcW w:w="752" w:type="dxa"/>
            <w:vAlign w:val="top"/>
            <w:tcBorders>
              <w:right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80"/>
              <w:spacing w:before="65" w:line="229" w:lineRule="auto"/>
              <w:rPr/>
            </w:pPr>
            <w:r>
              <w:rPr>
                <w:spacing w:val="-1"/>
              </w:rPr>
              <w:t>符合</w:t>
            </w:r>
          </w:p>
        </w:tc>
      </w:tr>
      <w:tr>
        <w:trPr>
          <w:trHeight w:val="1270" w:hRule="atLeast"/>
        </w:trPr>
        <w:tc>
          <w:tcPr>
            <w:tcW w:w="740" w:type="dxa"/>
            <w:vAlign w:val="top"/>
            <w:tcBorders>
              <w:bottom w:val="single" w:color="000000" w:sz="10" w:space="0"/>
              <w:left w:val="nil"/>
            </w:tcBorders>
          </w:tcPr>
          <w:p>
            <w:pPr>
              <w:pStyle w:val="TableText"/>
              <w:ind w:left="177"/>
              <w:spacing w:before="72" w:line="231" w:lineRule="auto"/>
              <w:rPr/>
            </w:pPr>
            <w:r>
              <w:rPr>
                <w:spacing w:val="-1"/>
              </w:rPr>
              <w:t>污染</w:t>
            </w:r>
          </w:p>
          <w:p>
            <w:pPr>
              <w:pStyle w:val="TableText"/>
              <w:ind w:left="174"/>
              <w:spacing w:before="62" w:line="229" w:lineRule="auto"/>
              <w:rPr/>
            </w:pPr>
            <w:r>
              <w:rPr>
                <w:spacing w:val="1"/>
              </w:rPr>
              <w:t>物排</w:t>
            </w:r>
          </w:p>
          <w:p>
            <w:pPr>
              <w:pStyle w:val="TableText"/>
              <w:ind w:left="279" w:right="157" w:hanging="105"/>
              <w:spacing w:before="63" w:line="260" w:lineRule="auto"/>
              <w:rPr/>
            </w:pPr>
            <w:r>
              <w:rPr>
                <w:spacing w:val="1"/>
              </w:rPr>
              <w:t>放管</w:t>
            </w:r>
            <w:r>
              <w:rPr/>
              <w:t>控</w:t>
            </w:r>
          </w:p>
        </w:tc>
        <w:tc>
          <w:tcPr>
            <w:tcW w:w="3516" w:type="dxa"/>
            <w:vAlign w:val="top"/>
            <w:tcBorders>
              <w:bottom w:val="single" w:color="000000" w:sz="10" w:space="0"/>
            </w:tcBorders>
          </w:tcPr>
          <w:p>
            <w:pPr>
              <w:pStyle w:val="TableText"/>
              <w:ind w:left="119" w:right="104" w:firstLine="417"/>
              <w:spacing w:before="72" w:line="274" w:lineRule="auto"/>
              <w:jc w:val="both"/>
              <w:rPr/>
            </w:pPr>
            <w:r>
              <w:rPr>
                <w:spacing w:val="20"/>
              </w:rPr>
              <w:t>执行锡林郭勒盟总体准入要求</w:t>
            </w:r>
            <w:r>
              <w:rPr>
                <w:spacing w:val="18"/>
              </w:rPr>
              <w:t>中第三条关于环境风险防控的准入</w:t>
            </w:r>
            <w:r>
              <w:rPr>
                <w:spacing w:val="5"/>
              </w:rPr>
              <w:t>要求严防矿产资源开发污染土壤。矿</w:t>
            </w:r>
            <w:r>
              <w:rPr>
                <w:spacing w:val="5"/>
              </w:rPr>
              <w:t>产资源开发活动集中的区域，执行重</w:t>
            </w:r>
          </w:p>
        </w:tc>
        <w:tc>
          <w:tcPr>
            <w:tcW w:w="3511" w:type="dxa"/>
            <w:vAlign w:val="top"/>
            <w:tcBorders>
              <w:bottom w:val="single" w:color="000000" w:sz="10" w:space="0"/>
            </w:tcBorders>
          </w:tcPr>
          <w:p>
            <w:pPr>
              <w:pStyle w:val="TableText"/>
              <w:ind w:left="118" w:right="71" w:firstLine="412"/>
              <w:spacing w:before="72" w:line="259" w:lineRule="auto"/>
              <w:rPr/>
            </w:pPr>
            <w:r>
              <w:rPr>
                <w:spacing w:val="13"/>
              </w:rPr>
              <w:t>①</w:t>
            </w:r>
            <w:r>
              <w:rPr>
                <w:spacing w:val="13"/>
              </w:rPr>
              <w:t xml:space="preserve"> </w:t>
            </w:r>
            <w:r>
              <w:rPr>
                <w:spacing w:val="13"/>
              </w:rPr>
              <w:t>本项目所设置的工业广场、</w:t>
            </w:r>
            <w:r>
              <w:rPr>
                <w:spacing w:val="6"/>
              </w:rPr>
              <w:t>各类堆场选址均满足相关选址要求。</w:t>
            </w:r>
          </w:p>
          <w:p>
            <w:pPr>
              <w:pStyle w:val="TableText"/>
              <w:ind w:left="117" w:right="104" w:firstLine="412"/>
              <w:spacing w:before="64" w:line="259" w:lineRule="auto"/>
              <w:rPr/>
            </w:pPr>
            <w:r>
              <w:rPr>
                <w:spacing w:val="11"/>
              </w:rPr>
              <w:t>②</w:t>
            </w:r>
            <w:r>
              <w:rPr>
                <w:spacing w:val="11"/>
              </w:rPr>
              <w:t xml:space="preserve"> </w:t>
            </w:r>
            <w:r>
              <w:rPr>
                <w:spacing w:val="11"/>
              </w:rPr>
              <w:t>本项目设计阶段按照《绿色</w:t>
            </w:r>
            <w:r>
              <w:rPr>
                <w:spacing w:val="6"/>
              </w:rPr>
              <w:t>矿山建设规范</w:t>
            </w:r>
            <w:r>
              <w:rPr>
                <w:spacing w:val="37"/>
              </w:rPr>
              <w:t xml:space="preserve"> </w:t>
            </w:r>
            <w:r>
              <w:rPr>
                <w:spacing w:val="6"/>
              </w:rPr>
              <w:t>第</w:t>
            </w:r>
            <w:r>
              <w:rPr>
                <w:spacing w:val="-20"/>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部分：非金属矿</w:t>
            </w:r>
          </w:p>
        </w:tc>
        <w:tc>
          <w:tcPr>
            <w:tcW w:w="752" w:type="dxa"/>
            <w:vAlign w:val="top"/>
            <w:tcBorders>
              <w:bottom w:val="single" w:color="000000" w:sz="10" w:space="0"/>
              <w:right w:val="nil"/>
            </w:tcBorders>
          </w:tcPr>
          <w:p>
            <w:pPr>
              <w:spacing w:line="473" w:lineRule="auto"/>
              <w:rPr>
                <w:rFonts w:ascii="Arial"/>
                <w:sz w:val="21"/>
              </w:rPr>
            </w:pPr>
            <w:r/>
          </w:p>
          <w:p>
            <w:pPr>
              <w:pStyle w:val="TableText"/>
              <w:ind w:left="180"/>
              <w:spacing w:before="65" w:line="229" w:lineRule="auto"/>
              <w:rPr/>
            </w:pPr>
            <w:r>
              <w:rPr>
                <w:spacing w:val="-1"/>
              </w:rPr>
              <w:t>符合</w:t>
            </w:r>
          </w:p>
        </w:tc>
      </w:tr>
    </w:tbl>
    <w:p>
      <w:pPr>
        <w:pStyle w:val="BodyText"/>
        <w:rPr/>
      </w:pPr>
      <w:r/>
    </w:p>
    <w:p>
      <w:pPr>
        <w:sectPr>
          <w:headerReference w:type="default" r:id="rId46"/>
          <w:footerReference w:type="default" r:id="rId47"/>
          <w:pgSz w:w="11906" w:h="16839"/>
          <w:pgMar w:top="1250" w:right="1692" w:bottom="1349" w:left="1693" w:header="831" w:footer="1162" w:gutter="0"/>
        </w:sectPr>
        <w:rPr/>
      </w:pPr>
    </w:p>
    <w:p>
      <w:pPr>
        <w:spacing w:line="189" w:lineRule="exact"/>
        <w:rPr/>
      </w:pPr>
      <w:r/>
    </w:p>
    <w:tbl>
      <w:tblPr>
        <w:tblStyle w:val="TableNormal"/>
        <w:tblW w:w="8519"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0"/>
        <w:gridCol w:w="3516"/>
        <w:gridCol w:w="3511"/>
        <w:gridCol w:w="752"/>
      </w:tblGrid>
      <w:tr>
        <w:trPr>
          <w:trHeight w:val="5914" w:hRule="atLeast"/>
        </w:trPr>
        <w:tc>
          <w:tcPr>
            <w:tcW w:w="740" w:type="dxa"/>
            <w:vAlign w:val="top"/>
            <w:tcBorders>
              <w:top w:val="single" w:color="000000" w:sz="10" w:space="0"/>
              <w:left w:val="nil"/>
            </w:tcBorders>
          </w:tcPr>
          <w:p>
            <w:pPr>
              <w:rPr>
                <w:rFonts w:ascii="Arial"/>
                <w:sz w:val="21"/>
              </w:rPr>
            </w:pPr>
            <w:r/>
          </w:p>
        </w:tc>
        <w:tc>
          <w:tcPr>
            <w:tcW w:w="3516" w:type="dxa"/>
            <w:vAlign w:val="top"/>
            <w:tcBorders>
              <w:top w:val="single" w:color="000000" w:sz="10" w:space="0"/>
            </w:tcBorders>
          </w:tcPr>
          <w:p>
            <w:pPr>
              <w:pStyle w:val="TableText"/>
              <w:ind w:left="128"/>
              <w:spacing w:before="41" w:line="229" w:lineRule="auto"/>
              <w:rPr/>
            </w:pPr>
            <w:bookmarkStart w:name="bookmark504" w:id="34"/>
            <w:bookmarkEnd w:id="34"/>
            <w:r>
              <w:rPr>
                <w:spacing w:val="6"/>
              </w:rPr>
              <w:t>点污染物排放限值要求。</w:t>
            </w:r>
          </w:p>
          <w:p>
            <w:pPr>
              <w:pStyle w:val="TableText"/>
              <w:ind w:left="115" w:right="36" w:firstLine="422"/>
              <w:spacing w:before="63" w:line="288" w:lineRule="auto"/>
              <w:jc w:val="both"/>
              <w:rPr/>
            </w:pPr>
            <w:r>
              <w:rPr>
                <w:spacing w:val="20"/>
              </w:rPr>
              <w:t>矿产资源勘查以及采选过程中</w:t>
            </w:r>
            <w:r>
              <w:rPr>
                <w:spacing w:val="5"/>
              </w:rPr>
              <w:t>排土场、露天采场、尾矿库、矿区专</w:t>
            </w:r>
            <w:r>
              <w:rPr>
                <w:spacing w:val="5"/>
              </w:rPr>
              <w:t>用道路、矿山工业场地、沉陷区、矸</w:t>
            </w:r>
            <w:r>
              <w:rPr>
                <w:spacing w:val="5"/>
              </w:rPr>
              <w:t>石场、矿山污染场地等的生态环境保</w:t>
            </w:r>
            <w:r>
              <w:rPr>
                <w:spacing w:val="5"/>
              </w:rPr>
              <w:t>护与治理恢复工作须满足《矿山生态</w:t>
            </w:r>
            <w:r>
              <w:rPr>
                <w:spacing w:val="19"/>
              </w:rPr>
              <w:t>环境保护与治理恢复技术规范（试</w:t>
            </w:r>
            <w:r>
              <w:rPr>
                <w:spacing w:val="5"/>
              </w:rPr>
              <w:t>行）》（</w:t>
            </w:r>
            <w:r>
              <w:rPr>
                <w:rFonts w:ascii="Times New Roman" w:hAnsi="Times New Roman" w:eastAsia="Times New Roman" w:cs="Times New Roman"/>
              </w:rPr>
              <w:t>HJ</w:t>
            </w:r>
            <w:r>
              <w:rPr>
                <w:rFonts w:ascii="Times New Roman" w:hAnsi="Times New Roman" w:eastAsia="Times New Roman" w:cs="Times New Roman"/>
                <w:spacing w:val="5"/>
              </w:rPr>
              <w:t>651-2013</w:t>
            </w:r>
            <w:r>
              <w:rPr>
                <w:spacing w:val="5"/>
              </w:rPr>
              <w:t>）要求落实边开</w:t>
            </w:r>
            <w:r>
              <w:rPr>
                <w:spacing w:val="-3"/>
              </w:rPr>
              <w:t>采、边保护、边复星的要求，使新建、</w:t>
            </w:r>
            <w:r>
              <w:rPr>
                <w:spacing w:val="19"/>
              </w:rPr>
              <w:t>在建矿山损毁士地得到全面复垦新</w:t>
            </w:r>
            <w:r>
              <w:rPr>
                <w:spacing w:val="5"/>
              </w:rPr>
              <w:t>设立矿山执行绿色矿山标准建设，新</w:t>
            </w:r>
            <w:r>
              <w:rPr>
                <w:spacing w:val="19"/>
              </w:rPr>
              <w:t>建矿山全部按照绿色矿山标准进行</w:t>
            </w:r>
            <w:r>
              <w:rPr>
                <w:spacing w:val="8"/>
              </w:rPr>
              <w:t>规划、设计、建设和运营管理。</w:t>
            </w:r>
          </w:p>
          <w:p>
            <w:pPr>
              <w:pStyle w:val="TableText"/>
              <w:ind w:left="115" w:right="104" w:firstLine="427"/>
              <w:spacing w:before="6" w:line="277" w:lineRule="auto"/>
              <w:jc w:val="both"/>
              <w:rPr/>
            </w:pPr>
            <w:r>
              <w:rPr>
                <w:spacing w:val="19"/>
              </w:rPr>
              <w:t>全面推进在期生产矿山的绿色</w:t>
            </w:r>
            <w:r>
              <w:rPr>
                <w:spacing w:val="12"/>
              </w:rPr>
              <w:t>矿山建设，加快矿山企业技术改造</w:t>
            </w:r>
            <w:r>
              <w:rPr>
                <w:rFonts w:ascii="Times New Roman" w:hAnsi="Times New Roman" w:eastAsia="Times New Roman" w:cs="Times New Roman"/>
                <w:spacing w:val="12"/>
              </w:rPr>
              <w:t>"</w:t>
            </w:r>
            <w:r>
              <w:rPr>
                <w:spacing w:val="12"/>
              </w:rPr>
              <w:t>三废</w:t>
            </w:r>
            <w:r>
              <w:rPr>
                <w:rFonts w:ascii="Times New Roman" w:hAnsi="Times New Roman" w:eastAsia="Times New Roman" w:cs="Times New Roman"/>
                <w:spacing w:val="12"/>
              </w:rPr>
              <w:t>”</w:t>
            </w:r>
            <w:r>
              <w:rPr>
                <w:spacing w:val="12"/>
              </w:rPr>
              <w:t>排放符合环保指标要求。新建</w:t>
            </w:r>
            <w:r>
              <w:rPr>
                <w:spacing w:val="19"/>
              </w:rPr>
              <w:t>排放重金属污染物的建设项目全面</w:t>
            </w:r>
            <w:r>
              <w:rPr>
                <w:spacing w:val="19"/>
              </w:rPr>
              <w:t>执行重金属重点污染物排放限值要</w:t>
            </w:r>
            <w:r>
              <w:rPr/>
              <w:t>求</w:t>
            </w:r>
          </w:p>
        </w:tc>
        <w:tc>
          <w:tcPr>
            <w:tcW w:w="3511" w:type="dxa"/>
            <w:vAlign w:val="top"/>
            <w:tcBorders>
              <w:top w:val="single" w:color="000000" w:sz="10" w:space="0"/>
            </w:tcBorders>
          </w:tcPr>
          <w:p>
            <w:pPr>
              <w:pStyle w:val="TableText"/>
              <w:ind w:left="116" w:right="104" w:firstLine="2"/>
              <w:spacing w:before="41" w:line="288" w:lineRule="auto"/>
              <w:jc w:val="both"/>
              <w:rPr/>
            </w:pPr>
            <w:r>
              <w:rPr>
                <w:spacing w:val="4"/>
              </w:rPr>
              <w:t>行业》</w:t>
            </w:r>
            <w:r>
              <w:rPr>
                <w:spacing w:val="-63"/>
              </w:rPr>
              <w:t xml:space="preserve"> </w:t>
            </w:r>
            <w:r>
              <w:rPr>
                <w:spacing w:val="4"/>
              </w:rPr>
              <w:t>（</w:t>
            </w:r>
            <w:r>
              <w:rPr>
                <w:rFonts w:ascii="Times New Roman" w:hAnsi="Times New Roman" w:eastAsia="Times New Roman" w:cs="Times New Roman"/>
              </w:rPr>
              <w:t>DB</w:t>
            </w:r>
            <w:r>
              <w:rPr>
                <w:rFonts w:ascii="Times New Roman" w:hAnsi="Times New Roman" w:eastAsia="Times New Roman" w:cs="Times New Roman"/>
                <w:spacing w:val="4"/>
              </w:rPr>
              <w:t>15/T 3962.</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1-2025</w:t>
            </w:r>
            <w:r>
              <w:rPr>
                <w:spacing w:val="4"/>
              </w:rPr>
              <w:t>）进行</w:t>
            </w:r>
            <w:r>
              <w:rPr>
                <w:spacing w:val="4"/>
              </w:rPr>
              <w:t>设计。符合《矿山生态环境保护与治</w:t>
            </w:r>
            <w:r>
              <w:rPr>
                <w:spacing w:val="-9"/>
              </w:rPr>
              <w:t>理</w:t>
            </w:r>
            <w:r>
              <w:rPr>
                <w:spacing w:val="-9"/>
              </w:rPr>
              <w:t xml:space="preserve"> </w:t>
            </w:r>
            <w:r>
              <w:rPr>
                <w:spacing w:val="-9"/>
              </w:rPr>
              <w:t>恢</w:t>
            </w:r>
            <w:r>
              <w:rPr>
                <w:spacing w:val="-9"/>
              </w:rPr>
              <w:t xml:space="preserve"> </w:t>
            </w:r>
            <w:r>
              <w:rPr>
                <w:spacing w:val="-9"/>
              </w:rPr>
              <w:t>复</w:t>
            </w:r>
            <w:r>
              <w:rPr>
                <w:spacing w:val="-9"/>
              </w:rPr>
              <w:t xml:space="preserve"> </w:t>
            </w:r>
            <w:r>
              <w:rPr>
                <w:spacing w:val="-9"/>
              </w:rPr>
              <w:t>技</w:t>
            </w:r>
            <w:r>
              <w:rPr>
                <w:spacing w:val="-3"/>
              </w:rPr>
              <w:t xml:space="preserve"> </w:t>
            </w:r>
            <w:r>
              <w:rPr>
                <w:spacing w:val="-9"/>
              </w:rPr>
              <w:t>术</w:t>
            </w:r>
            <w:r>
              <w:rPr>
                <w:spacing w:val="-15"/>
              </w:rPr>
              <w:t xml:space="preserve"> </w:t>
            </w:r>
            <w:r>
              <w:rPr>
                <w:spacing w:val="-9"/>
              </w:rPr>
              <w:t>规</w:t>
            </w:r>
            <w:r>
              <w:rPr>
                <w:spacing w:val="-9"/>
              </w:rPr>
              <w:t xml:space="preserve"> </w:t>
            </w:r>
            <w:r>
              <w:rPr>
                <w:spacing w:val="-9"/>
              </w:rPr>
              <w:t>范</w:t>
            </w:r>
            <w:r>
              <w:rPr>
                <w:spacing w:val="-24"/>
              </w:rPr>
              <w:t xml:space="preserve"> </w:t>
            </w:r>
            <w:r>
              <w:rPr>
                <w:spacing w:val="-9"/>
              </w:rPr>
              <w:t>（</w:t>
            </w:r>
            <w:r>
              <w:rPr>
                <w:spacing w:val="-9"/>
              </w:rPr>
              <w:t xml:space="preserve"> </w:t>
            </w:r>
            <w:r>
              <w:rPr>
                <w:spacing w:val="-9"/>
              </w:rPr>
              <w:t>试</w:t>
            </w:r>
            <w:r>
              <w:rPr>
                <w:spacing w:val="-9"/>
              </w:rPr>
              <w:t xml:space="preserve"> </w:t>
            </w:r>
            <w:r>
              <w:rPr>
                <w:spacing w:val="-9"/>
              </w:rPr>
              <w:t>行</w:t>
            </w:r>
            <w:r>
              <w:rPr>
                <w:spacing w:val="-9"/>
              </w:rPr>
              <w:t xml:space="preserve"> </w:t>
            </w:r>
            <w:r>
              <w:rPr>
                <w:spacing w:val="-9"/>
              </w:rPr>
              <w:t>）</w:t>
            </w:r>
            <w:r>
              <w:rPr>
                <w:spacing w:val="-9"/>
              </w:rPr>
              <w:t xml:space="preserve"> </w:t>
            </w:r>
            <w:r>
              <w:rPr>
                <w:spacing w:val="-9"/>
              </w:rPr>
              <w:t>》</w:t>
            </w:r>
            <w:r>
              <w:rPr/>
              <w:t xml:space="preserve"> </w:t>
            </w:r>
            <w:r>
              <w:rPr>
                <w:spacing w:val="4"/>
              </w:rPr>
              <w:t>（</w:t>
            </w:r>
            <w:r>
              <w:rPr>
                <w:rFonts w:ascii="Times New Roman" w:hAnsi="Times New Roman" w:eastAsia="Times New Roman" w:cs="Times New Roman"/>
              </w:rPr>
              <w:t>HJ</w:t>
            </w:r>
            <w:r>
              <w:rPr>
                <w:rFonts w:ascii="Times New Roman" w:hAnsi="Times New Roman" w:eastAsia="Times New Roman" w:cs="Times New Roman"/>
                <w:spacing w:val="4"/>
              </w:rPr>
              <w:t>651-2013</w:t>
            </w:r>
            <w:r>
              <w:rPr>
                <w:spacing w:val="4"/>
              </w:rPr>
              <w:t>）</w:t>
            </w:r>
          </w:p>
          <w:p>
            <w:pPr>
              <w:pStyle w:val="TableText"/>
              <w:ind w:left="117" w:right="104" w:firstLine="412"/>
              <w:spacing w:before="1" w:line="274" w:lineRule="auto"/>
              <w:rPr/>
            </w:pPr>
            <w:r>
              <w:rPr>
                <w:spacing w:val="11"/>
              </w:rPr>
              <w:t>③</w:t>
            </w:r>
            <w:r>
              <w:rPr>
                <w:spacing w:val="11"/>
              </w:rPr>
              <w:t xml:space="preserve"> </w:t>
            </w:r>
            <w:r>
              <w:rPr>
                <w:spacing w:val="11"/>
              </w:rPr>
              <w:t>本项目原矿储存库设有雾炮</w:t>
            </w:r>
            <w:r>
              <w:rPr>
                <w:spacing w:val="4"/>
              </w:rPr>
              <w:t>机除尘，破碎后的粉状物料在粉矿仓</w:t>
            </w:r>
            <w:r>
              <w:rPr>
                <w:spacing w:val="4"/>
              </w:rPr>
              <w:t>内封闭储存，并设有集气罩与布袋除</w:t>
            </w:r>
            <w:r>
              <w:rPr>
                <w:spacing w:val="1"/>
              </w:rPr>
              <w:t>尘器。</w:t>
            </w:r>
          </w:p>
          <w:p>
            <w:pPr>
              <w:pStyle w:val="TableText"/>
              <w:ind w:left="119" w:right="104" w:firstLine="411"/>
              <w:spacing w:before="60" w:line="269" w:lineRule="auto"/>
              <w:rPr/>
            </w:pPr>
            <w:r>
              <w:rPr>
                <w:spacing w:val="11"/>
              </w:rPr>
              <w:t>④</w:t>
            </w:r>
            <w:r>
              <w:rPr>
                <w:spacing w:val="11"/>
              </w:rPr>
              <w:t xml:space="preserve"> </w:t>
            </w:r>
            <w:r>
              <w:rPr>
                <w:spacing w:val="11"/>
              </w:rPr>
              <w:t>本项目建设防渗储池用于处</w:t>
            </w:r>
            <w:r>
              <w:rPr>
                <w:spacing w:val="18"/>
              </w:rPr>
              <w:t>理生活污水及经隔油池处理后的食</w:t>
            </w:r>
            <w:r>
              <w:rPr>
                <w:spacing w:val="3"/>
              </w:rPr>
              <w:t>堂废水。</w:t>
            </w:r>
          </w:p>
          <w:p>
            <w:pPr>
              <w:pStyle w:val="TableText"/>
              <w:ind w:left="123" w:right="104" w:firstLine="406"/>
              <w:spacing w:before="62" w:line="259" w:lineRule="auto"/>
              <w:rPr/>
            </w:pPr>
            <w:r>
              <w:rPr>
                <w:spacing w:val="11"/>
              </w:rPr>
              <w:t>⑤</w:t>
            </w:r>
            <w:r>
              <w:rPr>
                <w:spacing w:val="11"/>
              </w:rPr>
              <w:t xml:space="preserve"> </w:t>
            </w:r>
            <w:r>
              <w:rPr>
                <w:spacing w:val="11"/>
              </w:rPr>
              <w:t>本项目产生的各类固废去向</w:t>
            </w:r>
            <w:r>
              <w:rPr>
                <w:spacing w:val="7"/>
              </w:rPr>
              <w:t>合理，不会产生二次污染。</w:t>
            </w:r>
          </w:p>
        </w:tc>
        <w:tc>
          <w:tcPr>
            <w:tcW w:w="752" w:type="dxa"/>
            <w:vAlign w:val="top"/>
            <w:tcBorders>
              <w:top w:val="single" w:color="000000" w:sz="10" w:space="0"/>
              <w:right w:val="nil"/>
            </w:tcBorders>
          </w:tcPr>
          <w:p>
            <w:pPr>
              <w:rPr>
                <w:rFonts w:ascii="Arial"/>
                <w:sz w:val="21"/>
              </w:rPr>
            </w:pPr>
            <w:r/>
          </w:p>
        </w:tc>
      </w:tr>
      <w:tr>
        <w:trPr>
          <w:trHeight w:val="4365" w:hRule="atLeast"/>
        </w:trPr>
        <w:tc>
          <w:tcPr>
            <w:tcW w:w="740" w:type="dxa"/>
            <w:vAlign w:val="top"/>
            <w:tcBorders>
              <w:left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74" w:right="157" w:hanging="1"/>
              <w:spacing w:before="65" w:line="288" w:lineRule="auto"/>
              <w:jc w:val="both"/>
              <w:rPr/>
            </w:pPr>
            <w:r>
              <w:rPr>
                <w:spacing w:val="2"/>
              </w:rPr>
              <w:t>环境</w:t>
            </w:r>
            <w:r>
              <w:rPr>
                <w:spacing w:val="1"/>
              </w:rPr>
              <w:t>风险</w:t>
            </w:r>
            <w:r>
              <w:rPr>
                <w:spacing w:val="1"/>
              </w:rPr>
              <w:t>防控</w:t>
            </w:r>
          </w:p>
        </w:tc>
        <w:tc>
          <w:tcPr>
            <w:tcW w:w="3516" w:type="dxa"/>
            <w:vAlign w:val="top"/>
          </w:tcPr>
          <w:p>
            <w:pPr>
              <w:pStyle w:val="TableText"/>
              <w:ind w:left="117" w:right="104" w:firstLine="419"/>
              <w:spacing w:before="59" w:line="288" w:lineRule="auto"/>
              <w:jc w:val="both"/>
              <w:rPr/>
            </w:pPr>
            <w:r>
              <w:rPr>
                <w:spacing w:val="20"/>
              </w:rPr>
              <w:t>执行锡林郭勒盟总体准入要求</w:t>
            </w:r>
            <w:r>
              <w:rPr>
                <w:spacing w:val="18"/>
              </w:rPr>
              <w:t>中第三条关于环境风险防控的准入</w:t>
            </w:r>
            <w:r>
              <w:rPr>
                <w:spacing w:val="5"/>
              </w:rPr>
              <w:t>要求制定环境风险应急预案，成立应</w:t>
            </w:r>
            <w:r>
              <w:rPr>
                <w:spacing w:val="5"/>
              </w:rPr>
              <w:t>急组织机构，配备必要的应急设施和</w:t>
            </w:r>
            <w:r>
              <w:rPr>
                <w:spacing w:val="5"/>
              </w:rPr>
              <w:t>应急物资，定期开展环境风险应急演</w:t>
            </w:r>
            <w:r>
              <w:rPr>
                <w:spacing w:val="-3"/>
              </w:rPr>
              <w:t>练。</w:t>
            </w:r>
          </w:p>
          <w:p>
            <w:pPr>
              <w:pStyle w:val="TableText"/>
              <w:ind w:left="118" w:right="104" w:firstLine="424"/>
              <w:spacing w:before="5" w:line="279" w:lineRule="auto"/>
              <w:jc w:val="both"/>
              <w:rPr/>
            </w:pPr>
            <w:r>
              <w:rPr>
                <w:spacing w:val="4"/>
              </w:rPr>
              <w:t>全面整治历史遗留尾矿库，完善</w:t>
            </w:r>
            <w:r>
              <w:rPr>
                <w:spacing w:val="5"/>
              </w:rPr>
              <w:t>膜、压士、排洪、堤坝加固等隐患治</w:t>
            </w:r>
            <w:r>
              <w:rPr>
                <w:spacing w:val="5"/>
              </w:rPr>
              <w:t>理和闭库措施。有重点监管尾矿库的</w:t>
            </w:r>
            <w:r>
              <w:rPr>
                <w:spacing w:val="5"/>
              </w:rPr>
              <w:t>企业要开展环境风险评估，完善污染</w:t>
            </w:r>
            <w:r>
              <w:rPr>
                <w:spacing w:val="5"/>
              </w:rPr>
              <w:t>治理设施，储备应急物资。加强对矿</w:t>
            </w:r>
            <w:r>
              <w:rPr>
                <w:spacing w:val="18"/>
              </w:rPr>
              <w:t>产资源开发利用活动的辐射安全监</w:t>
            </w:r>
            <w:r>
              <w:rPr>
                <w:spacing w:val="5"/>
              </w:rPr>
              <w:t>管，有关企业每年要对本矿区土壤进</w:t>
            </w:r>
            <w:r>
              <w:rPr>
                <w:spacing w:val="6"/>
              </w:rPr>
              <w:t>行辐射环境监测。</w:t>
            </w:r>
          </w:p>
        </w:tc>
        <w:tc>
          <w:tcPr>
            <w:tcW w:w="3511" w:type="dxa"/>
            <w:vAlign w:val="top"/>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116" w:right="104" w:firstLine="414"/>
              <w:spacing w:before="65" w:line="268" w:lineRule="auto"/>
              <w:rPr/>
            </w:pPr>
            <w:r>
              <w:rPr>
                <w:spacing w:val="11"/>
              </w:rPr>
              <w:t>①</w:t>
            </w:r>
            <w:r>
              <w:rPr>
                <w:spacing w:val="11"/>
              </w:rPr>
              <w:t xml:space="preserve"> </w:t>
            </w:r>
            <w:r>
              <w:rPr>
                <w:spacing w:val="11"/>
              </w:rPr>
              <w:t>本环评要求进行应急预案编</w:t>
            </w:r>
            <w:r>
              <w:rPr>
                <w:spacing w:val="4"/>
              </w:rPr>
              <w:t>制工作，并按照要求进行定期演练及</w:t>
            </w:r>
            <w:r>
              <w:rPr>
                <w:spacing w:val="4"/>
              </w:rPr>
              <w:t>修编工作。</w:t>
            </w:r>
          </w:p>
          <w:p>
            <w:pPr>
              <w:pStyle w:val="TableText"/>
              <w:ind w:left="117" w:right="104" w:firstLine="412"/>
              <w:spacing w:before="62" w:line="277" w:lineRule="auto"/>
              <w:rPr/>
            </w:pPr>
            <w:r>
              <w:rPr>
                <w:spacing w:val="11"/>
              </w:rPr>
              <w:t>②</w:t>
            </w:r>
            <w:r>
              <w:rPr>
                <w:spacing w:val="11"/>
              </w:rPr>
              <w:t xml:space="preserve"> </w:t>
            </w:r>
            <w:r>
              <w:rPr>
                <w:spacing w:val="11"/>
              </w:rPr>
              <w:t>本项目采用素混凝土地面、</w:t>
            </w:r>
            <w:r>
              <w:rPr>
                <w:spacing w:val="18"/>
              </w:rPr>
              <w:t>全封闭彩钢结构进行尾矿临时堆场</w:t>
            </w:r>
            <w:r>
              <w:rPr>
                <w:spacing w:val="4"/>
              </w:rPr>
              <w:t>建设，并要求防渗等级达到本环评要</w:t>
            </w:r>
            <w:r>
              <w:rPr>
                <w:spacing w:val="4"/>
              </w:rPr>
              <w:t>求的防渗等级，同时要求定期进行监</w:t>
            </w:r>
            <w:r>
              <w:rPr>
                <w:spacing w:val="-3"/>
              </w:rPr>
              <w:t>测。</w:t>
            </w:r>
          </w:p>
        </w:tc>
        <w:tc>
          <w:tcPr>
            <w:tcW w:w="752" w:type="dxa"/>
            <w:vAlign w:val="top"/>
            <w:tcBorders>
              <w:right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80"/>
              <w:spacing w:before="65" w:line="229" w:lineRule="auto"/>
              <w:rPr/>
            </w:pPr>
            <w:r>
              <w:rPr>
                <w:spacing w:val="-1"/>
              </w:rPr>
              <w:t>符合</w:t>
            </w:r>
          </w:p>
        </w:tc>
      </w:tr>
      <w:tr>
        <w:trPr>
          <w:trHeight w:val="3452" w:hRule="atLeast"/>
        </w:trPr>
        <w:tc>
          <w:tcPr>
            <w:tcW w:w="740" w:type="dxa"/>
            <w:vAlign w:val="top"/>
            <w:tcBorders>
              <w:bottom w:val="single" w:color="000000" w:sz="10" w:space="0"/>
              <w:left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72" w:right="157" w:firstLine="11"/>
              <w:spacing w:before="65" w:line="288" w:lineRule="auto"/>
              <w:jc w:val="both"/>
              <w:rPr/>
            </w:pPr>
            <w:r>
              <w:rPr>
                <w:spacing w:val="-4"/>
              </w:rPr>
              <w:t>资源</w:t>
            </w:r>
            <w:r>
              <w:rPr>
                <w:spacing w:val="2"/>
              </w:rPr>
              <w:t>利用</w:t>
            </w:r>
            <w:r>
              <w:rPr>
                <w:spacing w:val="2"/>
              </w:rPr>
              <w:t>效率</w:t>
            </w:r>
            <w:r>
              <w:rPr>
                <w:spacing w:val="2"/>
              </w:rPr>
              <w:t>要求</w:t>
            </w:r>
          </w:p>
        </w:tc>
        <w:tc>
          <w:tcPr>
            <w:tcW w:w="3516" w:type="dxa"/>
            <w:vAlign w:val="top"/>
            <w:tcBorders>
              <w:bottom w:val="single" w:color="000000" w:sz="10" w:space="0"/>
            </w:tcBorders>
          </w:tcPr>
          <w:p>
            <w:pPr>
              <w:spacing w:line="314" w:lineRule="auto"/>
              <w:rPr>
                <w:rFonts w:ascii="Arial"/>
                <w:sz w:val="21"/>
              </w:rPr>
            </w:pPr>
            <w:r/>
          </w:p>
          <w:p>
            <w:pPr>
              <w:pStyle w:val="TableText"/>
              <w:ind w:left="116" w:right="102" w:firstLine="420"/>
              <w:spacing w:before="65" w:line="288" w:lineRule="auto"/>
              <w:jc w:val="both"/>
              <w:rPr/>
            </w:pPr>
            <w:r>
              <w:rPr>
                <w:spacing w:val="13"/>
              </w:rPr>
              <w:t>矿山</w:t>
            </w:r>
            <w:r>
              <w:rPr>
                <w:rFonts w:ascii="Times New Roman" w:hAnsi="Times New Roman" w:eastAsia="Times New Roman" w:cs="Times New Roman"/>
                <w:spacing w:val="13"/>
              </w:rPr>
              <w:t>“</w:t>
            </w:r>
            <w:r>
              <w:rPr>
                <w:spacing w:val="13"/>
              </w:rPr>
              <w:t>三率</w:t>
            </w:r>
            <w:r>
              <w:rPr>
                <w:rFonts w:ascii="Times New Roman" w:hAnsi="Times New Roman" w:eastAsia="Times New Roman" w:cs="Times New Roman"/>
                <w:spacing w:val="13"/>
              </w:rPr>
              <w:t>”</w:t>
            </w:r>
            <w:r>
              <w:rPr>
                <w:spacing w:val="13"/>
              </w:rPr>
              <w:t>水平达到国</w:t>
            </w:r>
            <w:r>
              <w:rPr>
                <w:spacing w:val="-47"/>
              </w:rPr>
              <w:t xml:space="preserve"> </w:t>
            </w:r>
            <w:r>
              <w:rPr>
                <w:spacing w:val="13"/>
              </w:rPr>
              <w:t>内</w:t>
            </w:r>
            <w:r>
              <w:rPr>
                <w:spacing w:val="-48"/>
              </w:rPr>
              <w:t xml:space="preserve"> </w:t>
            </w:r>
            <w:r>
              <w:rPr>
                <w:spacing w:val="13"/>
              </w:rPr>
              <w:t>同行</w:t>
            </w:r>
            <w:r>
              <w:rPr>
                <w:spacing w:val="6"/>
              </w:rPr>
              <w:t>业先进水平，矿山</w:t>
            </w:r>
            <w:r>
              <w:rPr>
                <w:rFonts w:ascii="Times New Roman" w:hAnsi="Times New Roman" w:eastAsia="Times New Roman" w:cs="Times New Roman"/>
                <w:spacing w:val="6"/>
              </w:rPr>
              <w:t>“</w:t>
            </w:r>
            <w:r>
              <w:rPr>
                <w:spacing w:val="6"/>
              </w:rPr>
              <w:t>三率</w:t>
            </w:r>
            <w:r>
              <w:rPr>
                <w:rFonts w:ascii="Times New Roman" w:hAnsi="Times New Roman" w:eastAsia="Times New Roman" w:cs="Times New Roman"/>
                <w:spacing w:val="6"/>
              </w:rPr>
              <w:t>”</w:t>
            </w:r>
            <w:r>
              <w:rPr>
                <w:spacing w:val="6"/>
              </w:rPr>
              <w:t>水平达标率</w:t>
            </w:r>
            <w:r>
              <w:rPr>
                <w:spacing w:val="3"/>
              </w:rPr>
              <w:t>达</w:t>
            </w:r>
            <w:r>
              <w:rPr>
                <w:spacing w:val="-35"/>
              </w:rPr>
              <w:t xml:space="preserve"> </w:t>
            </w:r>
            <w:r>
              <w:rPr>
                <w:rFonts w:ascii="Times New Roman" w:hAnsi="Times New Roman" w:eastAsia="Times New Roman" w:cs="Times New Roman"/>
                <w:spacing w:val="3"/>
              </w:rPr>
              <w:t>85%</w:t>
            </w:r>
            <w:r>
              <w:rPr>
                <w:spacing w:val="3"/>
              </w:rPr>
              <w:t>以上，尾矿排放重金属残留水</w:t>
            </w:r>
            <w:r>
              <w:rPr>
                <w:spacing w:val="5"/>
              </w:rPr>
              <w:t>平进一步降低。严控地下水超采。严</w:t>
            </w:r>
            <w:r>
              <w:rPr>
                <w:spacing w:val="5"/>
              </w:rPr>
              <w:t>格执行《地下水超采区和重要地下水</w:t>
            </w:r>
            <w:r>
              <w:rPr>
                <w:spacing w:val="7"/>
              </w:rPr>
              <w:t>水源地水位与水量双控方案》。</w:t>
            </w:r>
          </w:p>
          <w:p>
            <w:pPr>
              <w:pStyle w:val="TableText"/>
              <w:ind w:left="118" w:right="31" w:firstLine="423"/>
              <w:spacing w:before="3" w:line="287" w:lineRule="auto"/>
              <w:jc w:val="both"/>
              <w:rPr/>
            </w:pPr>
            <w:r>
              <w:rPr>
                <w:spacing w:val="2"/>
              </w:rPr>
              <w:t>实行地下水“五控</w:t>
            </w:r>
            <w:r>
              <w:rPr>
                <w:spacing w:val="-70"/>
              </w:rPr>
              <w:t xml:space="preserve"> </w:t>
            </w:r>
            <w:r>
              <w:rPr>
                <w:spacing w:val="2"/>
              </w:rPr>
              <w:t>”制度。“五</w:t>
            </w:r>
            <w:r>
              <w:rPr>
                <w:spacing w:val="16"/>
              </w:rPr>
              <w:t>控</w:t>
            </w:r>
            <w:r>
              <w:rPr>
                <w:spacing w:val="-58"/>
              </w:rPr>
              <w:t xml:space="preserve"> </w:t>
            </w:r>
            <w:r>
              <w:rPr>
                <w:spacing w:val="16"/>
              </w:rPr>
              <w:t>”即严格管控地下水开发利用总</w:t>
            </w:r>
            <w:r>
              <w:rPr>
                <w:spacing w:val="-3"/>
              </w:rPr>
              <w:t>量、水位、用途、水质及机电井数量。</w:t>
            </w:r>
          </w:p>
        </w:tc>
        <w:tc>
          <w:tcPr>
            <w:tcW w:w="3511" w:type="dxa"/>
            <w:vAlign w:val="top"/>
            <w:tcBorders>
              <w:bottom w:val="single" w:color="000000" w:sz="10" w:space="0"/>
            </w:tcBorders>
          </w:tcPr>
          <w:p>
            <w:pPr>
              <w:pStyle w:val="TableText"/>
              <w:ind w:left="118" w:right="87" w:firstLine="420"/>
              <w:spacing w:before="69" w:line="288" w:lineRule="auto"/>
              <w:jc w:val="both"/>
              <w:rPr/>
            </w:pPr>
            <w:r>
              <w:rPr>
                <w:spacing w:val="4"/>
              </w:rPr>
              <w:t>项目采用地下开采，采矿回采率</w:t>
            </w:r>
            <w:r>
              <w:rPr>
                <w:spacing w:val="8"/>
              </w:rPr>
              <w:t>为</w:t>
            </w:r>
            <w:r>
              <w:rPr>
                <w:spacing w:val="-21"/>
              </w:rPr>
              <w:t xml:space="preserve"> </w:t>
            </w:r>
            <w:r>
              <w:rPr>
                <w:rFonts w:ascii="Times New Roman" w:hAnsi="Times New Roman" w:eastAsia="Times New Roman" w:cs="Times New Roman"/>
                <w:spacing w:val="8"/>
              </w:rPr>
              <w:t>89.05%</w:t>
            </w:r>
            <w:r>
              <w:rPr>
                <w:rFonts w:ascii="Times New Roman" w:hAnsi="Times New Roman" w:eastAsia="Times New Roman" w:cs="Times New Roman"/>
                <w:spacing w:val="-13"/>
              </w:rPr>
              <w:t xml:space="preserve"> </w:t>
            </w:r>
            <w:r>
              <w:rPr>
                <w:spacing w:val="8"/>
              </w:rPr>
              <w:t>，废物产生量较少，产生</w:t>
            </w:r>
            <w:r>
              <w:rPr>
                <w:spacing w:val="18"/>
              </w:rPr>
              <w:t>的废石和尾矿均回用与井下采空区</w:t>
            </w:r>
            <w:r>
              <w:rPr>
                <w:spacing w:val="5"/>
              </w:rPr>
              <w:t>充填使用；项目采选工艺先进合理，</w:t>
            </w:r>
            <w:r>
              <w:rPr>
                <w:spacing w:val="18"/>
              </w:rPr>
              <w:t>产生的各类生产废水均回用于生产</w:t>
            </w:r>
            <w:r>
              <w:rPr>
                <w:spacing w:val="8"/>
              </w:rPr>
              <w:t>不外排，减轻对生态环境影响。</w:t>
            </w:r>
          </w:p>
          <w:p>
            <w:pPr>
              <w:pStyle w:val="TableText"/>
              <w:ind w:left="118" w:right="104" w:firstLine="420"/>
              <w:spacing w:before="2" w:line="288" w:lineRule="auto"/>
              <w:jc w:val="both"/>
              <w:rPr/>
            </w:pPr>
            <w:r>
              <w:rPr>
                <w:spacing w:val="9"/>
              </w:rPr>
              <w:t>项</w:t>
            </w:r>
            <w:r>
              <w:rPr>
                <w:spacing w:val="-27"/>
              </w:rPr>
              <w:t xml:space="preserve"> </w:t>
            </w:r>
            <w:r>
              <w:rPr>
                <w:spacing w:val="9"/>
              </w:rPr>
              <w:t>目生活用水水源取</w:t>
            </w:r>
            <w:r>
              <w:rPr>
                <w:spacing w:val="-33"/>
              </w:rPr>
              <w:t xml:space="preserve"> </w:t>
            </w:r>
            <w:r>
              <w:rPr>
                <w:spacing w:val="9"/>
              </w:rPr>
              <w:t>自矿区西</w:t>
            </w:r>
            <w:r>
              <w:rPr>
                <w:spacing w:val="4"/>
              </w:rPr>
              <w:t>部沟谷中建有一口机井，生产用水以</w:t>
            </w:r>
            <w:r>
              <w:rPr>
                <w:spacing w:val="18"/>
              </w:rPr>
              <w:t>混凝沉淀后的矿下涌水和选矿废水</w:t>
            </w:r>
            <w:r>
              <w:rPr>
                <w:spacing w:val="4"/>
              </w:rPr>
              <w:t>回用为主。</w:t>
            </w:r>
          </w:p>
        </w:tc>
        <w:tc>
          <w:tcPr>
            <w:tcW w:w="752" w:type="dxa"/>
            <w:vAlign w:val="top"/>
            <w:tcBorders>
              <w:bottom w:val="single" w:color="000000" w:sz="10" w:space="0"/>
              <w:right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80"/>
              <w:spacing w:before="65" w:line="229" w:lineRule="auto"/>
              <w:rPr/>
            </w:pPr>
            <w:r>
              <w:rPr>
                <w:spacing w:val="-1"/>
              </w:rPr>
              <w:t>符合</w:t>
            </w:r>
          </w:p>
        </w:tc>
      </w:tr>
    </w:tbl>
    <w:p>
      <w:pPr>
        <w:pStyle w:val="BodyText"/>
        <w:spacing w:line="237" w:lineRule="exact"/>
        <w:rPr>
          <w:sz w:val="20"/>
        </w:rPr>
      </w:pPr>
      <w:r/>
    </w:p>
    <w:p>
      <w:pPr>
        <w:spacing w:line="237" w:lineRule="exact"/>
        <w:sectPr>
          <w:footerReference w:type="default" r:id="rId48"/>
          <w:pgSz w:w="11906" w:h="16839"/>
          <w:pgMar w:top="1250" w:right="1692" w:bottom="1349" w:left="1693" w:header="831" w:footer="1162" w:gutter="0"/>
        </w:sectPr>
        <w:rPr>
          <w:sz w:val="20"/>
          <w:szCs w:val="20"/>
        </w:rPr>
      </w:pPr>
    </w:p>
    <w:p>
      <w:pPr>
        <w:pStyle w:val="BodyText"/>
        <w:spacing w:line="344" w:lineRule="auto"/>
        <w:rPr/>
      </w:pPr>
      <w:r/>
    </w:p>
    <w:p>
      <w:pPr>
        <w:pStyle w:val="BodyText"/>
        <w:spacing w:line="345" w:lineRule="auto"/>
        <w:rPr/>
      </w:pPr>
      <w:r/>
    </w:p>
    <w:p>
      <w:pPr>
        <w:ind w:left="29"/>
        <w:spacing w:before="78" w:line="220" w:lineRule="auto"/>
        <w:outlineLvl w:val="2"/>
        <w:rPr>
          <w:rFonts w:ascii="FangSong" w:hAnsi="FangSong" w:eastAsia="FangSong" w:cs="FangSong"/>
          <w:sz w:val="24"/>
          <w:szCs w:val="24"/>
        </w:rPr>
      </w:pPr>
      <w:bookmarkStart w:name="bookmark20" w:id="35"/>
      <w:bookmarkEnd w:id="35"/>
      <w:bookmarkStart w:name="bookmark19" w:id="36"/>
      <w:bookmarkEnd w:id="36"/>
      <w:r>
        <w:rPr>
          <w:rFonts w:ascii="Times New Roman" w:hAnsi="Times New Roman" w:eastAsia="Times New Roman" w:cs="Times New Roman"/>
          <w:sz w:val="24"/>
          <w:szCs w:val="24"/>
          <w:b/>
          <w:bCs/>
          <w:spacing w:val="-2"/>
        </w:rPr>
        <w:t>1.4.5  </w:t>
      </w:r>
      <w:r>
        <w:rPr>
          <w:rFonts w:ascii="FangSong" w:hAnsi="FangSong" w:eastAsia="FangSong" w:cs="FangSong"/>
          <w:sz w:val="24"/>
          <w:szCs w:val="24"/>
          <w:b/>
          <w:bCs/>
          <w:spacing w:val="-2"/>
        </w:rPr>
        <w:t>公众参与认同性分析</w:t>
      </w:r>
    </w:p>
    <w:p>
      <w:pPr>
        <w:ind w:left="29" w:right="11"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2"/>
        </w:rPr>
        <w:t>根据《环境影响评价公众参与办法》（生态环境部部令第</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2"/>
        </w:rPr>
        <w:t>号</w:t>
      </w:r>
      <w:r>
        <w:rPr>
          <w:rFonts w:ascii="FangSong" w:hAnsi="FangSong" w:eastAsia="FangSong" w:cs="FangSong"/>
          <w:sz w:val="24"/>
          <w:szCs w:val="24"/>
          <w:spacing w:val="-3"/>
        </w:rPr>
        <w:t>）有关规定，</w:t>
      </w:r>
      <w:r>
        <w:rPr>
          <w:rFonts w:ascii="FangSong" w:hAnsi="FangSong" w:eastAsia="FangSong" w:cs="FangSong"/>
          <w:sz w:val="24"/>
          <w:szCs w:val="24"/>
          <w:spacing w:val="-3"/>
        </w:rPr>
        <w:t>建设单位于</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3"/>
        </w:rPr>
        <w:t>2025</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3"/>
        </w:rPr>
        <w:t>年</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月</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17  </w:t>
      </w:r>
      <w:r>
        <w:rPr>
          <w:rFonts w:ascii="FangSong" w:hAnsi="FangSong" w:eastAsia="FangSong" w:cs="FangSong"/>
          <w:sz w:val="24"/>
          <w:szCs w:val="24"/>
          <w:spacing w:val="-3"/>
        </w:rPr>
        <w:t>日在环评论坛网站上进行了网络信息公开，于</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2025</w:t>
      </w:r>
      <w:r>
        <w:rPr>
          <w:rFonts w:ascii="FangSong" w:hAnsi="FangSong" w:eastAsia="FangSong" w:cs="FangSong"/>
          <w:sz w:val="24"/>
          <w:szCs w:val="24"/>
          <w:spacing w:val="-9"/>
        </w:rPr>
        <w:t>年</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9"/>
        </w:rPr>
        <w:t>10 </w:t>
      </w:r>
      <w:r>
        <w:rPr>
          <w:rFonts w:ascii="FangSong" w:hAnsi="FangSong" w:eastAsia="FangSong" w:cs="FangSong"/>
          <w:sz w:val="24"/>
          <w:szCs w:val="24"/>
          <w:spacing w:val="-9"/>
        </w:rPr>
        <w:t>月</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13</w:t>
      </w:r>
      <w:r>
        <w:rPr>
          <w:rFonts w:ascii="Times New Roman" w:hAnsi="Times New Roman" w:eastAsia="Times New Roman" w:cs="Times New Roman"/>
          <w:sz w:val="24"/>
          <w:szCs w:val="24"/>
          <w:spacing w:val="45"/>
          <w:w w:val="101"/>
        </w:rPr>
        <w:t xml:space="preserve"> </w:t>
      </w:r>
      <w:r>
        <w:rPr>
          <w:rFonts w:ascii="FangSong" w:hAnsi="FangSong" w:eastAsia="FangSong" w:cs="FangSong"/>
          <w:sz w:val="24"/>
          <w:szCs w:val="24"/>
          <w:spacing w:val="-9"/>
        </w:rPr>
        <w:t>日在环评论坛网站及报纸进行了网络信息二次公开，信息公开时限内，</w:t>
      </w:r>
      <w:r>
        <w:rPr>
          <w:rFonts w:ascii="FangSong" w:hAnsi="FangSong" w:eastAsia="FangSong" w:cs="FangSong"/>
          <w:sz w:val="24"/>
          <w:szCs w:val="24"/>
          <w:spacing w:val="-1"/>
        </w:rPr>
        <w:t>未接到咨询电话与邮件反馈。由此可见，本项目公众参与认同性较好。</w:t>
      </w:r>
    </w:p>
    <w:p>
      <w:pPr>
        <w:ind w:left="32"/>
        <w:spacing w:before="58" w:line="223" w:lineRule="auto"/>
        <w:outlineLvl w:val="1"/>
        <w:rPr>
          <w:rFonts w:ascii="FangSong" w:hAnsi="FangSong" w:eastAsia="FangSong" w:cs="FangSong"/>
          <w:sz w:val="28"/>
          <w:szCs w:val="28"/>
        </w:rPr>
      </w:pPr>
      <w:bookmarkStart w:name="bookmark22" w:id="37"/>
      <w:bookmarkEnd w:id="37"/>
      <w:bookmarkStart w:name="bookmark21" w:id="38"/>
      <w:bookmarkEnd w:id="38"/>
      <w:r>
        <w:rPr>
          <w:rFonts w:ascii="Times New Roman" w:hAnsi="Times New Roman" w:eastAsia="Times New Roman" w:cs="Times New Roman"/>
          <w:sz w:val="28"/>
          <w:szCs w:val="28"/>
          <w:b/>
          <w:bCs/>
          <w:spacing w:val="-3"/>
        </w:rPr>
        <w:t>1.5  </w:t>
      </w:r>
      <w:r>
        <w:rPr>
          <w:rFonts w:ascii="FangSong" w:hAnsi="FangSong" w:eastAsia="FangSong" w:cs="FangSong"/>
          <w:sz w:val="28"/>
          <w:szCs w:val="28"/>
          <w:b/>
          <w:bCs/>
          <w:spacing w:val="-3"/>
        </w:rPr>
        <w:t>关注的主要环境问题及环境影响</w:t>
      </w:r>
    </w:p>
    <w:p>
      <w:pPr>
        <w:ind w:left="514"/>
        <w:spacing w:before="227"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）废气：关注项目施工期汽车尾气、扬尘等废气等对大气环境的影响。</w:t>
      </w:r>
    </w:p>
    <w:p>
      <w:pPr>
        <w:ind w:left="31" w:right="76" w:firstLine="483"/>
        <w:spacing w:before="183"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）废水：关注项目施工期产生的施工废水、施工人员生活污水对周围地</w:t>
      </w:r>
      <w:r>
        <w:rPr>
          <w:rFonts w:ascii="FangSong" w:hAnsi="FangSong" w:eastAsia="FangSong" w:cs="FangSong"/>
          <w:sz w:val="24"/>
          <w:szCs w:val="24"/>
          <w:spacing w:val="-3"/>
        </w:rPr>
        <w:t>表水体和水环境产生的影响；由于项目运营期主要关注生活污</w:t>
      </w:r>
      <w:r>
        <w:rPr>
          <w:rFonts w:ascii="FangSong" w:hAnsi="FangSong" w:eastAsia="FangSong" w:cs="FangSong"/>
          <w:sz w:val="24"/>
          <w:szCs w:val="24"/>
          <w:spacing w:val="-4"/>
        </w:rPr>
        <w:t>水、生产废水、矿</w:t>
      </w:r>
      <w:r>
        <w:rPr>
          <w:rFonts w:ascii="FangSong" w:hAnsi="FangSong" w:eastAsia="FangSong" w:cs="FangSong"/>
          <w:sz w:val="24"/>
          <w:szCs w:val="24"/>
          <w:spacing w:val="-2"/>
        </w:rPr>
        <w:t>井涌水对周围地表水体的影响。</w:t>
      </w:r>
    </w:p>
    <w:p>
      <w:pPr>
        <w:ind w:left="39" w:right="76" w:firstLine="475"/>
        <w:spacing w:before="180"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）噪声：关注项目施工期和运营期噪声的影响，重点关注运营期噪声生</w:t>
      </w:r>
      <w:r>
        <w:rPr>
          <w:rFonts w:ascii="FangSong" w:hAnsi="FangSong" w:eastAsia="FangSong" w:cs="FangSong"/>
          <w:sz w:val="24"/>
          <w:szCs w:val="24"/>
          <w:spacing w:val="-2"/>
        </w:rPr>
        <w:t>态环境影响，并提出相应的噪声防治措施。</w:t>
      </w:r>
    </w:p>
    <w:p>
      <w:pPr>
        <w:ind w:left="31" w:right="14" w:firstLine="483"/>
        <w:spacing w:before="181" w:line="314"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4</w:t>
      </w:r>
      <w:r>
        <w:rPr>
          <w:rFonts w:ascii="FangSong" w:hAnsi="FangSong" w:eastAsia="FangSong" w:cs="FangSong"/>
          <w:sz w:val="24"/>
          <w:szCs w:val="24"/>
          <w:spacing w:val="-5"/>
        </w:rPr>
        <w:t>）固体废物：施工期和运营期固废物分类暂存方式、处理措施以</w:t>
      </w:r>
      <w:r>
        <w:rPr>
          <w:rFonts w:ascii="FangSong" w:hAnsi="FangSong" w:eastAsia="FangSong" w:cs="FangSong"/>
          <w:sz w:val="24"/>
          <w:szCs w:val="24"/>
          <w:spacing w:val="-6"/>
        </w:rPr>
        <w:t>及去向；</w:t>
      </w:r>
      <w:r>
        <w:rPr>
          <w:rFonts w:ascii="FangSong" w:hAnsi="FangSong" w:eastAsia="FangSong" w:cs="FangSong"/>
          <w:sz w:val="24"/>
          <w:szCs w:val="24"/>
          <w:spacing w:val="-3"/>
        </w:rPr>
        <w:t>重点关注运营期危险废物泄露对周围地表水体、地下水体及土</w:t>
      </w:r>
      <w:r>
        <w:rPr>
          <w:rFonts w:ascii="FangSong" w:hAnsi="FangSong" w:eastAsia="FangSong" w:cs="FangSong"/>
          <w:sz w:val="24"/>
          <w:szCs w:val="24"/>
          <w:spacing w:val="-4"/>
        </w:rPr>
        <w:t>壤环境的影响，并</w:t>
      </w:r>
      <w:r>
        <w:rPr>
          <w:rFonts w:ascii="FangSong" w:hAnsi="FangSong" w:eastAsia="FangSong" w:cs="FangSong"/>
          <w:sz w:val="24"/>
          <w:szCs w:val="24"/>
          <w:spacing w:val="-2"/>
        </w:rPr>
        <w:t>提出相应的防治措施。</w:t>
      </w:r>
    </w:p>
    <w:p>
      <w:pPr>
        <w:ind w:left="29" w:right="78" w:firstLine="485"/>
        <w:spacing w:before="180"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5</w:t>
      </w:r>
      <w:r>
        <w:rPr>
          <w:rFonts w:ascii="FangSong" w:hAnsi="FangSong" w:eastAsia="FangSong" w:cs="FangSong"/>
          <w:sz w:val="24"/>
          <w:szCs w:val="24"/>
        </w:rPr>
        <w:t>）环境风险：关注项目营运过程中可能产生的环境风险因素，重点关注</w:t>
      </w:r>
      <w:r>
        <w:rPr>
          <w:rFonts w:ascii="FangSong" w:hAnsi="FangSong" w:eastAsia="FangSong" w:cs="FangSong"/>
          <w:sz w:val="24"/>
          <w:szCs w:val="24"/>
          <w:spacing w:val="-1"/>
        </w:rPr>
        <w:t>环境风险的影响范围、程度及措施。</w:t>
      </w:r>
    </w:p>
    <w:p>
      <w:pPr>
        <w:ind w:left="44" w:right="79" w:firstLine="470"/>
        <w:spacing w:before="180"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）生态环境：关注项目在施工过程以及营运过程中对周围土地资源、陆</w:t>
      </w:r>
      <w:r>
        <w:rPr>
          <w:rFonts w:ascii="FangSong" w:hAnsi="FangSong" w:eastAsia="FangSong" w:cs="FangSong"/>
          <w:sz w:val="24"/>
          <w:szCs w:val="24"/>
          <w:spacing w:val="-1"/>
        </w:rPr>
        <w:t>生生物产生的影响，重点关注施工过程以及营运过程中对陆生生物的影响。</w:t>
      </w:r>
    </w:p>
    <w:p>
      <w:pPr>
        <w:ind w:left="32"/>
        <w:spacing w:before="240" w:line="223" w:lineRule="auto"/>
        <w:outlineLvl w:val="1"/>
        <w:rPr>
          <w:rFonts w:ascii="FangSong" w:hAnsi="FangSong" w:eastAsia="FangSong" w:cs="FangSong"/>
          <w:sz w:val="28"/>
          <w:szCs w:val="28"/>
        </w:rPr>
      </w:pPr>
      <w:bookmarkStart w:name="bookmark24" w:id="39"/>
      <w:bookmarkEnd w:id="39"/>
      <w:bookmarkStart w:name="bookmark23" w:id="40"/>
      <w:bookmarkEnd w:id="40"/>
      <w:r>
        <w:rPr>
          <w:rFonts w:ascii="Times New Roman" w:hAnsi="Times New Roman" w:eastAsia="Times New Roman" w:cs="Times New Roman"/>
          <w:sz w:val="28"/>
          <w:szCs w:val="28"/>
          <w:b/>
          <w:bCs/>
          <w:spacing w:val="-3"/>
        </w:rPr>
        <w:t>1.6  </w:t>
      </w:r>
      <w:r>
        <w:rPr>
          <w:rFonts w:ascii="FangSong" w:hAnsi="FangSong" w:eastAsia="FangSong" w:cs="FangSong"/>
          <w:sz w:val="28"/>
          <w:szCs w:val="28"/>
          <w:b/>
          <w:bCs/>
          <w:spacing w:val="-3"/>
        </w:rPr>
        <w:t>环境影响评价的主要结论</w:t>
      </w:r>
    </w:p>
    <w:p>
      <w:pPr>
        <w:ind w:left="16" w:firstLine="500"/>
        <w:spacing w:before="231" w:line="360" w:lineRule="auto"/>
        <w:jc w:val="both"/>
        <w:rPr>
          <w:rFonts w:ascii="FangSong" w:hAnsi="FangSong" w:eastAsia="FangSong" w:cs="FangSong"/>
          <w:sz w:val="24"/>
          <w:szCs w:val="24"/>
        </w:rPr>
      </w:pPr>
      <w:r>
        <w:rPr>
          <w:rFonts w:ascii="FangSong" w:hAnsi="FangSong" w:eastAsia="FangSong" w:cs="FangSong"/>
          <w:sz w:val="24"/>
          <w:szCs w:val="24"/>
          <w:spacing w:val="-2"/>
        </w:rPr>
        <w:t>苏尼特右旗富邦矿业有限公司苏尼特右旗桑宝力嘎额尔登塔拉萤石</w:t>
      </w:r>
      <w:r>
        <w:rPr>
          <w:rFonts w:ascii="FangSong" w:hAnsi="FangSong" w:eastAsia="FangSong" w:cs="FangSong"/>
          <w:sz w:val="24"/>
          <w:szCs w:val="24"/>
          <w:spacing w:val="-3"/>
        </w:rPr>
        <w:t>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3"/>
        </w:rPr>
        <w:t>采选项目符合国家产业政策，符合环境保</w:t>
      </w:r>
      <w:r>
        <w:rPr>
          <w:rFonts w:ascii="FangSong" w:hAnsi="FangSong" w:eastAsia="FangSong" w:cs="FangSong"/>
          <w:sz w:val="24"/>
          <w:szCs w:val="24"/>
          <w:spacing w:val="2"/>
        </w:rPr>
        <w:t>护相关法律法规和政策文件要求，</w:t>
      </w:r>
      <w:r>
        <w:rPr>
          <w:rFonts w:ascii="FangSong" w:hAnsi="FangSong" w:eastAsia="FangSong" w:cs="FangSong"/>
          <w:sz w:val="24"/>
          <w:szCs w:val="24"/>
          <w:spacing w:val="-4"/>
        </w:rPr>
        <w:t>符合《“十四五</w:t>
      </w:r>
      <w:r>
        <w:rPr>
          <w:rFonts w:ascii="FangSong" w:hAnsi="FangSong" w:eastAsia="FangSong" w:cs="FangSong"/>
          <w:sz w:val="24"/>
          <w:szCs w:val="24"/>
          <w:spacing w:val="-78"/>
        </w:rPr>
        <w:t xml:space="preserve"> </w:t>
      </w:r>
      <w:r>
        <w:rPr>
          <w:rFonts w:ascii="FangSong" w:hAnsi="FangSong" w:eastAsia="FangSong" w:cs="FangSong"/>
          <w:sz w:val="24"/>
          <w:szCs w:val="24"/>
          <w:spacing w:val="-4"/>
        </w:rPr>
        <w:t>”重点流域水环境综合治理规划》要求，项目布局、开发方式及</w:t>
      </w:r>
      <w:r>
        <w:rPr>
          <w:rFonts w:ascii="FangSong" w:hAnsi="FangSong" w:eastAsia="FangSong" w:cs="FangSong"/>
          <w:sz w:val="24"/>
          <w:szCs w:val="24"/>
          <w:spacing w:val="-7"/>
        </w:rPr>
        <w:t>工程规模等重要参数符合相关规划要求。施工期及运行期产生</w:t>
      </w:r>
      <w:r>
        <w:rPr>
          <w:rFonts w:ascii="FangSong" w:hAnsi="FangSong" w:eastAsia="FangSong" w:cs="FangSong"/>
          <w:sz w:val="24"/>
          <w:szCs w:val="24"/>
          <w:spacing w:val="-8"/>
        </w:rPr>
        <w:t>的各类废（污）水、</w:t>
      </w:r>
      <w:r>
        <w:rPr>
          <w:rFonts w:ascii="FangSong" w:hAnsi="FangSong" w:eastAsia="FangSong" w:cs="FangSong"/>
          <w:sz w:val="24"/>
          <w:szCs w:val="24"/>
          <w:spacing w:val="-3"/>
        </w:rPr>
        <w:t>废气、噪声、固体废物等在采取本报告要求的污染防治措施或处置措施后，对周</w:t>
      </w:r>
      <w:r>
        <w:rPr>
          <w:rFonts w:ascii="FangSong" w:hAnsi="FangSong" w:eastAsia="FangSong" w:cs="FangSong"/>
          <w:sz w:val="24"/>
          <w:szCs w:val="24"/>
          <w:spacing w:val="-3"/>
        </w:rPr>
        <w:t>围生态环境影像可接受，符合环境保护相关标准和要求。项目未触及生态保护红</w:t>
      </w:r>
      <w:r>
        <w:rPr>
          <w:rFonts w:ascii="FangSong" w:hAnsi="FangSong" w:eastAsia="FangSong" w:cs="FangSong"/>
          <w:sz w:val="24"/>
          <w:szCs w:val="24"/>
          <w:spacing w:val="-3"/>
        </w:rPr>
        <w:t>线，不涉及自然保护区、风景名胜区、永久基本农田，亦不涉及饮用水水源保护</w:t>
      </w:r>
      <w:r>
        <w:rPr>
          <w:rFonts w:ascii="FangSong" w:hAnsi="FangSong" w:eastAsia="FangSong" w:cs="FangSong"/>
          <w:sz w:val="24"/>
          <w:szCs w:val="24"/>
          <w:spacing w:val="-1"/>
        </w:rPr>
        <w:t>区等。</w:t>
      </w:r>
    </w:p>
    <w:p>
      <w:pPr>
        <w:spacing w:line="360" w:lineRule="auto"/>
        <w:sectPr>
          <w:headerReference w:type="default" r:id="rId11"/>
          <w:footerReference w:type="default" r:id="rId49"/>
          <w:pgSz w:w="11906" w:h="16839"/>
          <w:pgMar w:top="1250" w:right="1723" w:bottom="1349" w:left="1785" w:header="831" w:footer="1162" w:gutter="0"/>
        </w:sectPr>
        <w:rPr>
          <w:rFonts w:ascii="FangSong" w:hAnsi="FangSong" w:eastAsia="FangSong" w:cs="FangSong"/>
          <w:sz w:val="24"/>
          <w:szCs w:val="24"/>
        </w:rPr>
      </w:pPr>
    </w:p>
    <w:p>
      <w:pPr>
        <w:ind w:left="29" w:right="13" w:firstLine="483"/>
        <w:spacing w:before="303" w:line="360" w:lineRule="auto"/>
        <w:jc w:val="both"/>
        <w:rPr>
          <w:rFonts w:ascii="FangSong" w:hAnsi="FangSong" w:eastAsia="FangSong" w:cs="FangSong"/>
          <w:sz w:val="24"/>
          <w:szCs w:val="24"/>
        </w:rPr>
      </w:pPr>
      <w:bookmarkStart w:name="bookmark505" w:id="41"/>
      <w:bookmarkEnd w:id="41"/>
      <w:r>
        <w:rPr>
          <w:rFonts w:ascii="FangSong" w:hAnsi="FangSong" w:eastAsia="FangSong" w:cs="FangSong"/>
          <w:sz w:val="24"/>
          <w:szCs w:val="24"/>
          <w:spacing w:val="-4"/>
        </w:rPr>
        <w:t>综合来看，本项目工程的建设对生态与环境的影响有利有弊，而弊端均可以</w:t>
      </w:r>
      <w:r>
        <w:rPr>
          <w:rFonts w:ascii="FangSong" w:hAnsi="FangSong" w:eastAsia="FangSong" w:cs="FangSong"/>
          <w:sz w:val="24"/>
          <w:szCs w:val="24"/>
          <w:spacing w:val="-3"/>
        </w:rPr>
        <w:t>釆取防治和改善措施予以减免。建设单位如切实落实本评价报告所提</w:t>
      </w:r>
      <w:r>
        <w:rPr>
          <w:rFonts w:ascii="FangSong" w:hAnsi="FangSong" w:eastAsia="FangSong" w:cs="FangSong"/>
          <w:sz w:val="24"/>
          <w:szCs w:val="24"/>
          <w:spacing w:val="-4"/>
        </w:rPr>
        <w:t>岀的各项措</w:t>
      </w:r>
      <w:r>
        <w:rPr>
          <w:rFonts w:ascii="FangSong" w:hAnsi="FangSong" w:eastAsia="FangSong" w:cs="FangSong"/>
          <w:sz w:val="24"/>
          <w:szCs w:val="24"/>
          <w:spacing w:val="-1"/>
        </w:rPr>
        <w:t>施和对策，做到开发与保护并重，本项目建设从环境保护角度来看是可行的。</w:t>
      </w:r>
    </w:p>
    <w:p>
      <w:pPr>
        <w:spacing w:line="360" w:lineRule="auto"/>
        <w:sectPr>
          <w:headerReference w:type="default" r:id="rId50"/>
          <w:footerReference w:type="default" r:id="rId51"/>
          <w:pgSz w:w="11906" w:h="16839"/>
          <w:pgMar w:top="1250" w:right="1785" w:bottom="1349" w:left="1785" w:header="831" w:footer="1162" w:gutter="0"/>
        </w:sectPr>
        <w:rPr>
          <w:rFonts w:ascii="FangSong" w:hAnsi="FangSong" w:eastAsia="FangSong" w:cs="FangSong"/>
          <w:sz w:val="24"/>
          <w:szCs w:val="24"/>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18"/>
        <w:spacing w:before="98" w:line="224" w:lineRule="auto"/>
        <w:outlineLvl w:val="0"/>
        <w:rPr>
          <w:rFonts w:ascii="FangSong" w:hAnsi="FangSong" w:eastAsia="FangSong" w:cs="FangSong"/>
          <w:sz w:val="30"/>
          <w:szCs w:val="30"/>
        </w:rPr>
      </w:pPr>
      <w:bookmarkStart w:name="bookmark26" w:id="42"/>
      <w:bookmarkEnd w:id="42"/>
      <w:bookmarkStart w:name="bookmark28" w:id="43"/>
      <w:bookmarkEnd w:id="43"/>
      <w:bookmarkStart w:name="bookmark30" w:id="44"/>
      <w:bookmarkEnd w:id="44"/>
      <w:bookmarkStart w:name="bookmark25" w:id="45"/>
      <w:bookmarkEnd w:id="45"/>
      <w:bookmarkStart w:name="bookmark27" w:id="46"/>
      <w:bookmarkEnd w:id="46"/>
      <w:bookmarkStart w:name="bookmark29" w:id="47"/>
      <w:bookmarkEnd w:id="47"/>
      <w:r>
        <w:rPr>
          <w:rFonts w:ascii="Times New Roman" w:hAnsi="Times New Roman" w:eastAsia="Times New Roman" w:cs="Times New Roman"/>
          <w:sz w:val="30"/>
          <w:szCs w:val="30"/>
          <w:b/>
          <w:bCs/>
          <w:spacing w:val="-16"/>
        </w:rPr>
        <w:t>2</w:t>
      </w:r>
      <w:r>
        <w:rPr>
          <w:rFonts w:ascii="Times New Roman" w:hAnsi="Times New Roman" w:eastAsia="Times New Roman" w:cs="Times New Roman"/>
          <w:sz w:val="30"/>
          <w:szCs w:val="30"/>
          <w:b/>
          <w:bCs/>
          <w:spacing w:val="16"/>
        </w:rPr>
        <w:t xml:space="preserve">  </w:t>
      </w:r>
      <w:r>
        <w:rPr>
          <w:rFonts w:ascii="FangSong" w:hAnsi="FangSong" w:eastAsia="FangSong" w:cs="FangSong"/>
          <w:sz w:val="30"/>
          <w:szCs w:val="30"/>
          <w:b/>
          <w:bCs/>
          <w:spacing w:val="-16"/>
        </w:rPr>
        <w:t>总则</w:t>
      </w:r>
    </w:p>
    <w:p>
      <w:pPr>
        <w:ind w:left="17"/>
        <w:spacing w:before="214" w:line="222" w:lineRule="auto"/>
        <w:outlineLvl w:val="1"/>
        <w:rPr>
          <w:rFonts w:ascii="FangSong" w:hAnsi="FangSong" w:eastAsia="FangSong" w:cs="FangSong"/>
          <w:sz w:val="28"/>
          <w:szCs w:val="28"/>
        </w:rPr>
      </w:pPr>
      <w:bookmarkStart w:name="bookmark506" w:id="48"/>
      <w:bookmarkEnd w:id="48"/>
      <w:r>
        <w:rPr>
          <w:rFonts w:ascii="Times New Roman" w:hAnsi="Times New Roman" w:eastAsia="Times New Roman" w:cs="Times New Roman"/>
          <w:sz w:val="28"/>
          <w:szCs w:val="28"/>
          <w:b/>
          <w:bCs/>
          <w:spacing w:val="-5"/>
        </w:rPr>
        <w:t>2.1</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编制依据</w:t>
      </w:r>
    </w:p>
    <w:p>
      <w:pPr>
        <w:ind w:left="16"/>
        <w:spacing w:before="201" w:line="222" w:lineRule="auto"/>
        <w:outlineLvl w:val="2"/>
        <w:rPr>
          <w:rFonts w:ascii="FangSong" w:hAnsi="FangSong" w:eastAsia="FangSong" w:cs="FangSong"/>
          <w:sz w:val="24"/>
          <w:szCs w:val="24"/>
        </w:rPr>
      </w:pPr>
      <w:bookmarkStart w:name="bookmark507" w:id="49"/>
      <w:bookmarkEnd w:id="49"/>
      <w:r>
        <w:rPr>
          <w:rFonts w:ascii="Times New Roman" w:hAnsi="Times New Roman" w:eastAsia="Times New Roman" w:cs="Times New Roman"/>
          <w:sz w:val="24"/>
          <w:szCs w:val="24"/>
          <w:b/>
          <w:bCs/>
          <w:spacing w:val="-5"/>
        </w:rPr>
        <w:t>2.1.1</w:t>
      </w:r>
      <w:r>
        <w:rPr>
          <w:rFonts w:ascii="Times New Roman" w:hAnsi="Times New Roman" w:eastAsia="Times New Roman" w:cs="Times New Roman"/>
          <w:sz w:val="24"/>
          <w:szCs w:val="24"/>
          <w:b/>
          <w:bCs/>
          <w:spacing w:val="27"/>
        </w:rPr>
        <w:t xml:space="preserve">  </w:t>
      </w:r>
      <w:r>
        <w:rPr>
          <w:rFonts w:ascii="FangSong" w:hAnsi="FangSong" w:eastAsia="FangSong" w:cs="FangSong"/>
          <w:sz w:val="24"/>
          <w:szCs w:val="24"/>
          <w:b/>
          <w:bCs/>
          <w:spacing w:val="-5"/>
        </w:rPr>
        <w:t>国家相关法律法规及规划</w:t>
      </w:r>
    </w:p>
    <w:p>
      <w:pPr>
        <w:spacing w:before="179" w:line="221" w:lineRule="auto"/>
        <w:jc w:val="right"/>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w:t>
      </w:r>
      <w:r>
        <w:rPr>
          <w:rFonts w:ascii="FangSong" w:hAnsi="FangSong" w:eastAsia="FangSong" w:cs="FangSong"/>
          <w:sz w:val="24"/>
          <w:szCs w:val="24"/>
          <w:spacing w:val="-8"/>
        </w:rPr>
        <w:t>）《中华人民共和国环境保护法》（</w:t>
      </w:r>
      <w:r>
        <w:rPr>
          <w:rFonts w:ascii="Times New Roman" w:hAnsi="Times New Roman" w:eastAsia="Times New Roman" w:cs="Times New Roman"/>
          <w:sz w:val="24"/>
          <w:szCs w:val="24"/>
          <w:spacing w:val="-8"/>
        </w:rPr>
        <w:t>2014</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8"/>
        </w:rPr>
        <w:t>年修订</w:t>
      </w:r>
      <w:r>
        <w:rPr>
          <w:rFonts w:ascii="FangSong" w:hAnsi="FangSong" w:eastAsia="FangSong" w:cs="FangSong"/>
          <w:sz w:val="24"/>
          <w:szCs w:val="24"/>
          <w:spacing w:val="-67"/>
        </w:rPr>
        <w:t>）（</w:t>
      </w:r>
      <w:r>
        <w:rPr>
          <w:rFonts w:ascii="Times New Roman" w:hAnsi="Times New Roman" w:eastAsia="Times New Roman" w:cs="Times New Roman"/>
          <w:sz w:val="24"/>
          <w:szCs w:val="24"/>
          <w:spacing w:val="-8"/>
        </w:rPr>
        <w:t>2015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8"/>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  </w:t>
      </w:r>
      <w:r>
        <w:rPr>
          <w:rFonts w:ascii="FangSong" w:hAnsi="FangSong" w:eastAsia="FangSong" w:cs="FangSong"/>
          <w:sz w:val="24"/>
          <w:szCs w:val="24"/>
          <w:spacing w:val="-8"/>
        </w:rPr>
        <w:t>日施行</w:t>
      </w:r>
      <w:r>
        <w:rPr>
          <w:rFonts w:ascii="FangSong" w:hAnsi="FangSong" w:eastAsia="FangSong" w:cs="FangSong"/>
          <w:sz w:val="24"/>
          <w:szCs w:val="24"/>
          <w:spacing w:val="-67"/>
        </w:rPr>
        <w:t>）；</w:t>
      </w:r>
    </w:p>
    <w:p>
      <w:pPr>
        <w:ind w:left="511"/>
        <w:spacing w:before="181"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）《中华人民共和国环境影响评价法》（</w:t>
      </w:r>
      <w:r>
        <w:rPr>
          <w:rFonts w:ascii="Times New Roman" w:hAnsi="Times New Roman" w:eastAsia="Times New Roman" w:cs="Times New Roman"/>
          <w:sz w:val="24"/>
          <w:szCs w:val="24"/>
          <w:spacing w:val="-5"/>
        </w:rPr>
        <w:t>2018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29  </w:t>
      </w:r>
      <w:r>
        <w:rPr>
          <w:rFonts w:ascii="FangSong" w:hAnsi="FangSong" w:eastAsia="FangSong" w:cs="FangSong"/>
          <w:sz w:val="24"/>
          <w:szCs w:val="24"/>
          <w:spacing w:val="-5"/>
        </w:rPr>
        <w:t>日施行</w:t>
      </w:r>
      <w:r>
        <w:rPr>
          <w:rFonts w:ascii="FangSong" w:hAnsi="FangSong" w:eastAsia="FangSong" w:cs="FangSong"/>
          <w:sz w:val="24"/>
          <w:szCs w:val="24"/>
          <w:spacing w:val="6"/>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FangSong" w:hAnsi="FangSong" w:eastAsia="FangSong" w:cs="FangSong"/>
          <w:sz w:val="24"/>
          <w:szCs w:val="24"/>
          <w:spacing w:val="-5"/>
        </w:rPr>
        <w:t>）《中华人民共和国大气污染防治法》（</w:t>
      </w:r>
      <w:r>
        <w:rPr>
          <w:rFonts w:ascii="Times New Roman" w:hAnsi="Times New Roman" w:eastAsia="Times New Roman" w:cs="Times New Roman"/>
          <w:sz w:val="24"/>
          <w:szCs w:val="24"/>
          <w:spacing w:val="-5"/>
        </w:rPr>
        <w:t>2018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26  </w:t>
      </w:r>
      <w:r>
        <w:rPr>
          <w:rFonts w:ascii="FangSong" w:hAnsi="FangSong" w:eastAsia="FangSong" w:cs="FangSong"/>
          <w:sz w:val="24"/>
          <w:szCs w:val="24"/>
          <w:spacing w:val="-5"/>
        </w:rPr>
        <w:t>日施行</w:t>
      </w:r>
      <w:r>
        <w:rPr>
          <w:rFonts w:ascii="FangSong" w:hAnsi="FangSong" w:eastAsia="FangSong" w:cs="FangSong"/>
          <w:sz w:val="24"/>
          <w:szCs w:val="24"/>
          <w:spacing w:val="6"/>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4</w:t>
      </w:r>
      <w:r>
        <w:rPr>
          <w:rFonts w:ascii="FangSong" w:hAnsi="FangSong" w:eastAsia="FangSong" w:cs="FangSong"/>
          <w:sz w:val="24"/>
          <w:szCs w:val="24"/>
          <w:spacing w:val="-6"/>
        </w:rPr>
        <w:t>）《中华人民共和国水污染防治法》（</w:t>
      </w:r>
      <w:r>
        <w:rPr>
          <w:rFonts w:ascii="Times New Roman" w:hAnsi="Times New Roman" w:eastAsia="Times New Roman" w:cs="Times New Roman"/>
          <w:sz w:val="24"/>
          <w:szCs w:val="24"/>
          <w:spacing w:val="-6"/>
        </w:rPr>
        <w:t>2018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  </w:t>
      </w:r>
      <w:r>
        <w:rPr>
          <w:rFonts w:ascii="FangSong" w:hAnsi="FangSong" w:eastAsia="FangSong" w:cs="FangSong"/>
          <w:sz w:val="24"/>
          <w:szCs w:val="24"/>
          <w:spacing w:val="-6"/>
        </w:rPr>
        <w:t>日施行</w:t>
      </w:r>
      <w:r>
        <w:rPr>
          <w:rFonts w:ascii="FangSong" w:hAnsi="FangSong" w:eastAsia="FangSong" w:cs="FangSong"/>
          <w:sz w:val="24"/>
          <w:szCs w:val="24"/>
          <w:spacing w:val="3"/>
        </w:rPr>
        <w:t>）；</w:t>
      </w:r>
    </w:p>
    <w:p>
      <w:pPr>
        <w:ind w:left="511"/>
        <w:spacing w:before="181" w:line="221"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5</w:t>
      </w:r>
      <w:r>
        <w:rPr>
          <w:rFonts w:ascii="FangSong" w:hAnsi="FangSong" w:eastAsia="FangSong" w:cs="FangSong"/>
          <w:sz w:val="24"/>
          <w:szCs w:val="24"/>
          <w:spacing w:val="-4"/>
        </w:rPr>
        <w:t>）《中华人民共和国环境噪声污染防治法》（</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5"/>
        </w:rPr>
        <w:t>022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5"/>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5"/>
        </w:rPr>
        <w:t>月</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  </w:t>
      </w:r>
      <w:r>
        <w:rPr>
          <w:rFonts w:ascii="FangSong" w:hAnsi="FangSong" w:eastAsia="FangSong" w:cs="FangSong"/>
          <w:sz w:val="24"/>
          <w:szCs w:val="24"/>
          <w:spacing w:val="-5"/>
        </w:rPr>
        <w:t>日施行</w:t>
      </w:r>
      <w:r>
        <w:rPr>
          <w:rFonts w:ascii="FangSong" w:hAnsi="FangSong" w:eastAsia="FangSong" w:cs="FangSong"/>
          <w:sz w:val="24"/>
          <w:szCs w:val="24"/>
        </w:rPr>
        <w:t>）；</w:t>
      </w:r>
    </w:p>
    <w:p>
      <w:pPr>
        <w:spacing w:before="178" w:line="221" w:lineRule="auto"/>
        <w:jc w:val="right"/>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6</w:t>
      </w:r>
      <w:r>
        <w:rPr>
          <w:rFonts w:ascii="FangSong" w:hAnsi="FangSong" w:eastAsia="FangSong" w:cs="FangSong"/>
          <w:sz w:val="24"/>
          <w:szCs w:val="24"/>
          <w:spacing w:val="-6"/>
        </w:rPr>
        <w:t>）《中华人民共和国固体废物污染环境防治法》（</w:t>
      </w:r>
      <w:r>
        <w:rPr>
          <w:rFonts w:ascii="Times New Roman" w:hAnsi="Times New Roman" w:eastAsia="Times New Roman" w:cs="Times New Roman"/>
          <w:sz w:val="24"/>
          <w:szCs w:val="24"/>
          <w:spacing w:val="-6"/>
        </w:rPr>
        <w:t>2020</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7"/>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29  </w:t>
      </w:r>
      <w:r>
        <w:rPr>
          <w:rFonts w:ascii="FangSong" w:hAnsi="FangSong" w:eastAsia="FangSong" w:cs="FangSong"/>
          <w:sz w:val="24"/>
          <w:szCs w:val="24"/>
          <w:spacing w:val="-7"/>
        </w:rPr>
        <w:t>日修订</w:t>
      </w:r>
      <w:r>
        <w:rPr>
          <w:rFonts w:ascii="FangSong" w:hAnsi="FangSong" w:eastAsia="FangSong" w:cs="FangSong"/>
          <w:sz w:val="24"/>
          <w:szCs w:val="24"/>
          <w:spacing w:val="-42"/>
        </w:rPr>
        <w:t>）；</w:t>
      </w:r>
    </w:p>
    <w:p>
      <w:pPr>
        <w:ind w:left="511"/>
        <w:spacing w:before="181" w:line="221"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7</w:t>
      </w:r>
      <w:r>
        <w:rPr>
          <w:rFonts w:ascii="FangSong" w:hAnsi="FangSong" w:eastAsia="FangSong" w:cs="FangSong"/>
          <w:sz w:val="24"/>
          <w:szCs w:val="24"/>
          <w:spacing w:val="-6"/>
        </w:rPr>
        <w:t>）《中华人民共和国土壤污染防治法》（</w:t>
      </w:r>
      <w:r>
        <w:rPr>
          <w:rFonts w:ascii="Times New Roman" w:hAnsi="Times New Roman" w:eastAsia="Times New Roman" w:cs="Times New Roman"/>
          <w:sz w:val="24"/>
          <w:szCs w:val="24"/>
          <w:spacing w:val="-6"/>
        </w:rPr>
        <w:t>2019</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  </w:t>
      </w:r>
      <w:r>
        <w:rPr>
          <w:rFonts w:ascii="FangSong" w:hAnsi="FangSong" w:eastAsia="FangSong" w:cs="FangSong"/>
          <w:sz w:val="24"/>
          <w:szCs w:val="24"/>
          <w:spacing w:val="-6"/>
        </w:rPr>
        <w:t>日起施行</w:t>
      </w:r>
      <w:r>
        <w:rPr>
          <w:rFonts w:ascii="FangSong" w:hAnsi="FangSong" w:eastAsia="FangSong" w:cs="FangSong"/>
          <w:sz w:val="24"/>
          <w:szCs w:val="24"/>
          <w:spacing w:val="9"/>
        </w:rPr>
        <w:t>）；</w:t>
      </w:r>
    </w:p>
    <w:p>
      <w:pPr>
        <w:ind w:left="511"/>
        <w:spacing w:before="181"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8</w:t>
      </w:r>
      <w:r>
        <w:rPr>
          <w:rFonts w:ascii="FangSong" w:hAnsi="FangSong" w:eastAsia="FangSong" w:cs="FangSong"/>
          <w:sz w:val="24"/>
          <w:szCs w:val="24"/>
          <w:spacing w:val="-5"/>
        </w:rPr>
        <w:t>）《中华人民共和国清洁生产促进法》（</w:t>
      </w:r>
      <w:r>
        <w:rPr>
          <w:rFonts w:ascii="Times New Roman" w:hAnsi="Times New Roman" w:eastAsia="Times New Roman" w:cs="Times New Roman"/>
          <w:sz w:val="24"/>
          <w:szCs w:val="24"/>
          <w:spacing w:val="-5"/>
        </w:rPr>
        <w:t>2012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5"/>
        </w:rPr>
        <w:t>年</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日</w:t>
      </w:r>
      <w:r>
        <w:rPr>
          <w:rFonts w:ascii="FangSong" w:hAnsi="FangSong" w:eastAsia="FangSong" w:cs="FangSong"/>
          <w:sz w:val="24"/>
          <w:szCs w:val="24"/>
          <w:spacing w:val="-6"/>
        </w:rPr>
        <w:t>施行</w:t>
      </w:r>
      <w:r>
        <w:rPr>
          <w:rFonts w:ascii="FangSong" w:hAnsi="FangSong" w:eastAsia="FangSong" w:cs="FangSong"/>
          <w:sz w:val="24"/>
          <w:szCs w:val="24"/>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9</w:t>
      </w:r>
      <w:r>
        <w:rPr>
          <w:rFonts w:ascii="FangSong" w:hAnsi="FangSong" w:eastAsia="FangSong" w:cs="FangSong"/>
          <w:sz w:val="24"/>
          <w:szCs w:val="24"/>
          <w:spacing w:val="-6"/>
        </w:rPr>
        <w:t>）《中华人民共和国城乡规划法》（</w:t>
      </w:r>
      <w:r>
        <w:rPr>
          <w:rFonts w:ascii="Times New Roman" w:hAnsi="Times New Roman" w:eastAsia="Times New Roman" w:cs="Times New Roman"/>
          <w:sz w:val="24"/>
          <w:szCs w:val="24"/>
          <w:spacing w:val="-6"/>
        </w:rPr>
        <w:t>2008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  </w:t>
      </w:r>
      <w:r>
        <w:rPr>
          <w:rFonts w:ascii="FangSong" w:hAnsi="FangSong" w:eastAsia="FangSong" w:cs="FangSong"/>
          <w:sz w:val="24"/>
          <w:szCs w:val="24"/>
          <w:spacing w:val="-6"/>
        </w:rPr>
        <w:t>日施行</w:t>
      </w:r>
      <w:r>
        <w:rPr>
          <w:rFonts w:ascii="FangSong" w:hAnsi="FangSong" w:eastAsia="FangSong" w:cs="FangSong"/>
          <w:sz w:val="24"/>
          <w:szCs w:val="24"/>
        </w:rPr>
        <w:t>）；</w:t>
      </w:r>
    </w:p>
    <w:p>
      <w:pPr>
        <w:ind w:left="511"/>
        <w:spacing w:before="181"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）《中华人民共和国水土保持法》（</w:t>
      </w:r>
      <w:r>
        <w:rPr>
          <w:rFonts w:ascii="Times New Roman" w:hAnsi="Times New Roman" w:eastAsia="Times New Roman" w:cs="Times New Roman"/>
          <w:sz w:val="24"/>
          <w:szCs w:val="24"/>
          <w:spacing w:val="-6"/>
        </w:rPr>
        <w:t>2011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  </w:t>
      </w:r>
      <w:r>
        <w:rPr>
          <w:rFonts w:ascii="FangSong" w:hAnsi="FangSong" w:eastAsia="FangSong" w:cs="FangSong"/>
          <w:sz w:val="24"/>
          <w:szCs w:val="24"/>
          <w:spacing w:val="-6"/>
        </w:rPr>
        <w:t>日施行</w:t>
      </w:r>
      <w:r>
        <w:rPr>
          <w:rFonts w:ascii="FangSong" w:hAnsi="FangSong" w:eastAsia="FangSong" w:cs="FangSong"/>
          <w:sz w:val="24"/>
          <w:szCs w:val="24"/>
        </w:rPr>
        <w:t>）；</w:t>
      </w:r>
    </w:p>
    <w:p>
      <w:pPr>
        <w:spacing w:before="177" w:line="222" w:lineRule="auto"/>
        <w:jc w:val="right"/>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11</w:t>
      </w:r>
      <w:r>
        <w:rPr>
          <w:rFonts w:ascii="FangSong" w:hAnsi="FangSong" w:eastAsia="FangSong" w:cs="FangSong"/>
          <w:sz w:val="24"/>
          <w:szCs w:val="24"/>
          <w:spacing w:val="-5"/>
        </w:rPr>
        <w:t>）《中华人民共和国土地管理法（</w:t>
      </w:r>
      <w:r>
        <w:rPr>
          <w:rFonts w:ascii="Times New Roman" w:hAnsi="Times New Roman" w:eastAsia="Times New Roman" w:cs="Times New Roman"/>
          <w:sz w:val="24"/>
          <w:szCs w:val="24"/>
          <w:spacing w:val="-5"/>
        </w:rPr>
        <w:t>2019</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年修正）》（</w:t>
      </w:r>
      <w:r>
        <w:rPr>
          <w:rFonts w:ascii="Times New Roman" w:hAnsi="Times New Roman" w:eastAsia="Times New Roman" w:cs="Times New Roman"/>
          <w:sz w:val="24"/>
          <w:szCs w:val="24"/>
          <w:spacing w:val="-5"/>
        </w:rPr>
        <w:t>2019</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26  </w:t>
      </w:r>
      <w:r>
        <w:rPr>
          <w:rFonts w:ascii="FangSong" w:hAnsi="FangSong" w:eastAsia="FangSong" w:cs="FangSong"/>
          <w:sz w:val="24"/>
          <w:szCs w:val="24"/>
          <w:spacing w:val="-5"/>
        </w:rPr>
        <w:t>日</w:t>
      </w:r>
      <w:r>
        <w:rPr>
          <w:rFonts w:ascii="FangSong" w:hAnsi="FangSong" w:eastAsia="FangSong" w:cs="FangSong"/>
          <w:sz w:val="24"/>
          <w:szCs w:val="24"/>
          <w:spacing w:val="-47"/>
        </w:rPr>
        <w:t>）；</w:t>
      </w:r>
    </w:p>
    <w:p>
      <w:pPr>
        <w:ind w:left="511"/>
        <w:spacing w:before="180"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12</w:t>
      </w:r>
      <w:r>
        <w:rPr>
          <w:rFonts w:ascii="FangSong" w:hAnsi="FangSong" w:eastAsia="FangSong" w:cs="FangSong"/>
          <w:sz w:val="24"/>
          <w:szCs w:val="24"/>
          <w:spacing w:val="-5"/>
        </w:rPr>
        <w:t>）《中华人民共和国循环经济促进法》（</w:t>
      </w:r>
      <w:r>
        <w:rPr>
          <w:rFonts w:ascii="Times New Roman" w:hAnsi="Times New Roman" w:eastAsia="Times New Roman" w:cs="Times New Roman"/>
          <w:sz w:val="24"/>
          <w:szCs w:val="24"/>
          <w:spacing w:val="-5"/>
        </w:rPr>
        <w:t>2009</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日</w:t>
      </w:r>
      <w:r>
        <w:rPr>
          <w:rFonts w:ascii="FangSong" w:hAnsi="FangSong" w:eastAsia="FangSong" w:cs="FangSong"/>
          <w:sz w:val="24"/>
          <w:szCs w:val="24"/>
          <w:spacing w:val="-13"/>
        </w:rPr>
        <w:t>）；</w:t>
      </w:r>
    </w:p>
    <w:p>
      <w:pPr>
        <w:spacing w:before="178" w:line="222" w:lineRule="auto"/>
        <w:jc w:val="right"/>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13</w:t>
      </w:r>
      <w:r>
        <w:rPr>
          <w:rFonts w:ascii="FangSong" w:hAnsi="FangSong" w:eastAsia="FangSong" w:cs="FangSong"/>
          <w:sz w:val="24"/>
          <w:szCs w:val="24"/>
          <w:spacing w:val="-5"/>
        </w:rPr>
        <w:t>）《中华人民共和国草原法（</w:t>
      </w:r>
      <w:r>
        <w:rPr>
          <w:rFonts w:ascii="Times New Roman" w:hAnsi="Times New Roman" w:eastAsia="Times New Roman" w:cs="Times New Roman"/>
          <w:sz w:val="24"/>
          <w:szCs w:val="24"/>
          <w:spacing w:val="-5"/>
        </w:rPr>
        <w:t>2013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年修正）》</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2021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29  </w:t>
      </w:r>
      <w:r>
        <w:rPr>
          <w:rFonts w:ascii="FangSong" w:hAnsi="FangSong" w:eastAsia="FangSong" w:cs="FangSong"/>
          <w:sz w:val="24"/>
          <w:szCs w:val="24"/>
          <w:spacing w:val="-6"/>
        </w:rPr>
        <w:t>日修订</w:t>
      </w:r>
      <w:r>
        <w:rPr>
          <w:rFonts w:ascii="FangSong" w:hAnsi="FangSong" w:eastAsia="FangSong" w:cs="FangSong"/>
          <w:sz w:val="24"/>
          <w:szCs w:val="24"/>
          <w:spacing w:val="-34"/>
        </w:rPr>
        <w:t>）；</w:t>
      </w:r>
    </w:p>
    <w:p>
      <w:pPr>
        <w:spacing w:before="180" w:line="222" w:lineRule="auto"/>
        <w:jc w:val="right"/>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14</w:t>
      </w:r>
      <w:r>
        <w:rPr>
          <w:rFonts w:ascii="FangSong" w:hAnsi="FangSong" w:eastAsia="FangSong" w:cs="FangSong"/>
          <w:sz w:val="24"/>
          <w:szCs w:val="24"/>
          <w:spacing w:val="-7"/>
        </w:rPr>
        <w:t>）《中华人民共和国节约能源法（</w:t>
      </w:r>
      <w:r>
        <w:rPr>
          <w:rFonts w:ascii="Times New Roman" w:hAnsi="Times New Roman" w:eastAsia="Times New Roman" w:cs="Times New Roman"/>
          <w:sz w:val="24"/>
          <w:szCs w:val="24"/>
          <w:spacing w:val="-7"/>
        </w:rPr>
        <w:t>2018</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7"/>
        </w:rPr>
        <w:t>年修正）》（</w:t>
      </w:r>
      <w:r>
        <w:rPr>
          <w:rFonts w:ascii="Times New Roman" w:hAnsi="Times New Roman" w:eastAsia="Times New Roman" w:cs="Times New Roman"/>
          <w:sz w:val="24"/>
          <w:szCs w:val="24"/>
          <w:spacing w:val="-7"/>
        </w:rPr>
        <w:t>201</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8"/>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26  </w:t>
      </w:r>
      <w:r>
        <w:rPr>
          <w:rFonts w:ascii="FangSong" w:hAnsi="FangSong" w:eastAsia="FangSong" w:cs="FangSong"/>
          <w:sz w:val="24"/>
          <w:szCs w:val="24"/>
          <w:spacing w:val="-8"/>
        </w:rPr>
        <w:t>日</w:t>
      </w:r>
      <w:r>
        <w:rPr>
          <w:rFonts w:ascii="FangSong" w:hAnsi="FangSong" w:eastAsia="FangSong" w:cs="FangSong"/>
          <w:sz w:val="24"/>
          <w:szCs w:val="24"/>
          <w:spacing w:val="-65"/>
        </w:rPr>
        <w:t>）；</w:t>
      </w:r>
    </w:p>
    <w:p>
      <w:pPr>
        <w:spacing w:before="177" w:line="222" w:lineRule="auto"/>
        <w:jc w:val="right"/>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15</w:t>
      </w:r>
      <w:r>
        <w:rPr>
          <w:rFonts w:ascii="FangSong" w:hAnsi="FangSong" w:eastAsia="FangSong" w:cs="FangSong"/>
          <w:sz w:val="24"/>
          <w:szCs w:val="24"/>
          <w:spacing w:val="-7"/>
        </w:rPr>
        <w:t>）《中华人民共和国防沙治沙法（</w:t>
      </w:r>
      <w:r>
        <w:rPr>
          <w:rFonts w:ascii="Times New Roman" w:hAnsi="Times New Roman" w:eastAsia="Times New Roman" w:cs="Times New Roman"/>
          <w:sz w:val="24"/>
          <w:szCs w:val="24"/>
          <w:spacing w:val="-7"/>
        </w:rPr>
        <w:t>2018</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7"/>
        </w:rPr>
        <w:t>年修正）》（</w:t>
      </w:r>
      <w:r>
        <w:rPr>
          <w:rFonts w:ascii="Times New Roman" w:hAnsi="Times New Roman" w:eastAsia="Times New Roman" w:cs="Times New Roman"/>
          <w:sz w:val="24"/>
          <w:szCs w:val="24"/>
          <w:spacing w:val="-7"/>
        </w:rPr>
        <w:t>201</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8"/>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26  </w:t>
      </w:r>
      <w:r>
        <w:rPr>
          <w:rFonts w:ascii="FangSong" w:hAnsi="FangSong" w:eastAsia="FangSong" w:cs="FangSong"/>
          <w:sz w:val="24"/>
          <w:szCs w:val="24"/>
          <w:spacing w:val="-8"/>
        </w:rPr>
        <w:t>日</w:t>
      </w:r>
      <w:r>
        <w:rPr>
          <w:rFonts w:ascii="FangSong" w:hAnsi="FangSong" w:eastAsia="FangSong" w:cs="FangSong"/>
          <w:sz w:val="24"/>
          <w:szCs w:val="24"/>
          <w:spacing w:val="-65"/>
        </w:rPr>
        <w:t>）；</w:t>
      </w:r>
    </w:p>
    <w:p>
      <w:pPr>
        <w:spacing w:before="179" w:line="222" w:lineRule="auto"/>
        <w:jc w:val="right"/>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16</w:t>
      </w:r>
      <w:r>
        <w:rPr>
          <w:rFonts w:ascii="FangSong" w:hAnsi="FangSong" w:eastAsia="FangSong" w:cs="FangSong"/>
          <w:sz w:val="24"/>
          <w:szCs w:val="24"/>
          <w:spacing w:val="-5"/>
        </w:rPr>
        <w:t>）《中华人民共和国矿产资源法（</w:t>
      </w:r>
      <w:r>
        <w:rPr>
          <w:rFonts w:ascii="Times New Roman" w:hAnsi="Times New Roman" w:eastAsia="Times New Roman" w:cs="Times New Roman"/>
          <w:sz w:val="24"/>
          <w:szCs w:val="24"/>
          <w:spacing w:val="-5"/>
        </w:rPr>
        <w:t>2009</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年修正）》（</w:t>
      </w:r>
      <w:r>
        <w:rPr>
          <w:rFonts w:ascii="Times New Roman" w:hAnsi="Times New Roman" w:eastAsia="Times New Roman" w:cs="Times New Roman"/>
          <w:sz w:val="24"/>
          <w:szCs w:val="24"/>
          <w:spacing w:val="-5"/>
        </w:rPr>
        <w:t>2009</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27  </w:t>
      </w:r>
      <w:r>
        <w:rPr>
          <w:rFonts w:ascii="FangSong" w:hAnsi="FangSong" w:eastAsia="FangSong" w:cs="FangSong"/>
          <w:sz w:val="24"/>
          <w:szCs w:val="24"/>
          <w:spacing w:val="-5"/>
        </w:rPr>
        <w:t>日</w:t>
      </w:r>
      <w:r>
        <w:rPr>
          <w:rFonts w:ascii="FangSong" w:hAnsi="FangSong" w:eastAsia="FangSong" w:cs="FangSong"/>
          <w:sz w:val="24"/>
          <w:szCs w:val="24"/>
          <w:spacing w:val="-47"/>
        </w:rPr>
        <w:t>）；</w:t>
      </w:r>
    </w:p>
    <w:p>
      <w:pPr>
        <w:ind w:left="511"/>
        <w:spacing w:before="177"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17</w:t>
      </w:r>
      <w:r>
        <w:rPr>
          <w:rFonts w:ascii="FangSong" w:hAnsi="FangSong" w:eastAsia="FangSong" w:cs="FangSong"/>
          <w:sz w:val="24"/>
          <w:szCs w:val="24"/>
          <w:spacing w:val="-5"/>
        </w:rPr>
        <w:t>）《土地复垦条例》，国务院第</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592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号令，</w:t>
      </w:r>
      <w:r>
        <w:rPr>
          <w:rFonts w:ascii="Times New Roman" w:hAnsi="Times New Roman" w:eastAsia="Times New Roman" w:cs="Times New Roman"/>
          <w:sz w:val="24"/>
          <w:szCs w:val="24"/>
          <w:spacing w:val="-5"/>
        </w:rPr>
        <w:t>2011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5"/>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月</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  </w:t>
      </w:r>
      <w:r>
        <w:rPr>
          <w:rFonts w:ascii="FangSong" w:hAnsi="FangSong" w:eastAsia="FangSong" w:cs="FangSong"/>
          <w:sz w:val="24"/>
          <w:szCs w:val="24"/>
          <w:spacing w:val="-6"/>
        </w:rPr>
        <w:t>日施行；</w:t>
      </w:r>
    </w:p>
    <w:p>
      <w:pPr>
        <w:ind w:left="26" w:right="62" w:firstLine="485"/>
        <w:spacing w:before="180" w:line="290"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18</w:t>
      </w:r>
      <w:r>
        <w:rPr>
          <w:rFonts w:ascii="FangSong" w:hAnsi="FangSong" w:eastAsia="FangSong" w:cs="FangSong"/>
          <w:sz w:val="24"/>
          <w:szCs w:val="24"/>
          <w:spacing w:val="-4"/>
        </w:rPr>
        <w:t>）《土地复垦条例实施办法》</w:t>
      </w:r>
      <w:r>
        <w:rPr>
          <w:rFonts w:ascii="Times New Roman" w:hAnsi="Times New Roman" w:eastAsia="Times New Roman" w:cs="Times New Roman"/>
          <w:sz w:val="24"/>
          <w:szCs w:val="24"/>
          <w:spacing w:val="-4"/>
        </w:rPr>
        <w:t>2012</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4"/>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11  </w:t>
      </w:r>
      <w:r>
        <w:rPr>
          <w:rFonts w:ascii="FangSong" w:hAnsi="FangSong" w:eastAsia="FangSong" w:cs="FangSong"/>
          <w:sz w:val="24"/>
          <w:szCs w:val="24"/>
          <w:spacing w:val="-4"/>
        </w:rPr>
        <w:t>日国土资源部第</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次部务会</w:t>
      </w:r>
      <w:r>
        <w:rPr>
          <w:rFonts w:ascii="FangSong" w:hAnsi="FangSong" w:eastAsia="FangSong" w:cs="FangSong"/>
          <w:sz w:val="24"/>
          <w:szCs w:val="24"/>
          <w:spacing w:val="-8"/>
        </w:rPr>
        <w:t>议审议通过，</w:t>
      </w:r>
      <w:r>
        <w:rPr>
          <w:rFonts w:ascii="Times New Roman" w:hAnsi="Times New Roman" w:eastAsia="Times New Roman" w:cs="Times New Roman"/>
          <w:sz w:val="24"/>
          <w:szCs w:val="24"/>
          <w:spacing w:val="-8"/>
        </w:rPr>
        <w:t>2013</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8"/>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  </w:t>
      </w:r>
      <w:r>
        <w:rPr>
          <w:rFonts w:ascii="FangSong" w:hAnsi="FangSong" w:eastAsia="FangSong" w:cs="FangSong"/>
          <w:sz w:val="24"/>
          <w:szCs w:val="24"/>
          <w:spacing w:val="-8"/>
        </w:rPr>
        <w:t>日起施行；</w:t>
      </w:r>
    </w:p>
    <w:p>
      <w:pPr>
        <w:ind w:left="26" w:right="62" w:firstLine="485"/>
        <w:spacing w:before="180" w:line="290"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19</w:t>
      </w:r>
      <w:r>
        <w:rPr>
          <w:rFonts w:ascii="FangSong" w:hAnsi="FangSong" w:eastAsia="FangSong" w:cs="FangSong"/>
          <w:sz w:val="24"/>
          <w:szCs w:val="24"/>
          <w:spacing w:val="-4"/>
        </w:rPr>
        <w:t>）《建设项目环境保护管理条例》</w:t>
      </w:r>
      <w:r>
        <w:rPr>
          <w:rFonts w:ascii="FangSong" w:hAnsi="FangSong" w:eastAsia="FangSong" w:cs="FangSong"/>
          <w:sz w:val="24"/>
          <w:szCs w:val="24"/>
          <w:spacing w:val="-70"/>
        </w:rPr>
        <w:t xml:space="preserve"> </w:t>
      </w:r>
      <w:r>
        <w:rPr>
          <w:rFonts w:ascii="FangSong" w:hAnsi="FangSong" w:eastAsia="FangSong" w:cs="FangSong"/>
          <w:sz w:val="24"/>
          <w:szCs w:val="24"/>
          <w:spacing w:val="-4"/>
        </w:rPr>
        <w:t>国务院令第</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5"/>
        </w:rPr>
        <w:t>682</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5"/>
        </w:rPr>
        <w:t>号，</w:t>
      </w:r>
      <w:r>
        <w:rPr>
          <w:rFonts w:ascii="Times New Roman" w:hAnsi="Times New Roman" w:eastAsia="Times New Roman" w:cs="Times New Roman"/>
          <w:sz w:val="24"/>
          <w:szCs w:val="24"/>
          <w:spacing w:val="-5"/>
        </w:rPr>
        <w:t>2017</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年</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32"/>
          <w:w w:val="101"/>
        </w:rPr>
        <w:t xml:space="preserve"> </w:t>
      </w:r>
      <w:r>
        <w:rPr>
          <w:rFonts w:ascii="FangSong" w:hAnsi="FangSong" w:eastAsia="FangSong" w:cs="FangSong"/>
          <w:sz w:val="24"/>
          <w:szCs w:val="24"/>
          <w:spacing w:val="-5"/>
        </w:rPr>
        <w:t>月</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日</w:t>
      </w:r>
      <w:r>
        <w:rPr>
          <w:rFonts w:ascii="FangSong" w:hAnsi="FangSong" w:eastAsia="FangSong" w:cs="FangSong"/>
          <w:sz w:val="24"/>
          <w:szCs w:val="24"/>
          <w:spacing w:val="-6"/>
        </w:rPr>
        <w:t>施行；</w:t>
      </w:r>
    </w:p>
    <w:p>
      <w:pPr>
        <w:ind w:left="511"/>
        <w:spacing w:before="181" w:line="222"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20</w:t>
      </w:r>
      <w:r>
        <w:rPr>
          <w:rFonts w:ascii="FangSong" w:hAnsi="FangSong" w:eastAsia="FangSong" w:cs="FangSong"/>
          <w:sz w:val="24"/>
          <w:szCs w:val="24"/>
          <w:spacing w:val="-5"/>
        </w:rPr>
        <w:t>）国务院《土地复垦条例》，国务院第</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592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号令，</w:t>
      </w:r>
      <w:r>
        <w:rPr>
          <w:rFonts w:ascii="Times New Roman" w:hAnsi="Times New Roman" w:eastAsia="Times New Roman" w:cs="Times New Roman"/>
          <w:sz w:val="24"/>
          <w:szCs w:val="24"/>
          <w:spacing w:val="-5"/>
        </w:rPr>
        <w:t>2011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5"/>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月</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  </w:t>
      </w:r>
      <w:r>
        <w:rPr>
          <w:rFonts w:ascii="FangSong" w:hAnsi="FangSong" w:eastAsia="FangSong" w:cs="FangSong"/>
          <w:sz w:val="24"/>
          <w:szCs w:val="24"/>
          <w:spacing w:val="-5"/>
        </w:rPr>
        <w:t>日；</w:t>
      </w:r>
    </w:p>
    <w:p>
      <w:pPr>
        <w:ind w:left="39" w:right="62" w:firstLine="472"/>
        <w:spacing w:before="179"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21</w:t>
      </w:r>
      <w:r>
        <w:rPr>
          <w:rFonts w:ascii="FangSong" w:hAnsi="FangSong" w:eastAsia="FangSong" w:cs="FangSong"/>
          <w:sz w:val="24"/>
          <w:szCs w:val="24"/>
          <w:spacing w:val="-3"/>
        </w:rPr>
        <w:t>）国务院《大气污染防治行动计划》（国发〔</w:t>
      </w:r>
      <w:r>
        <w:rPr>
          <w:rFonts w:ascii="Times New Roman" w:hAnsi="Times New Roman" w:eastAsia="Times New Roman" w:cs="Times New Roman"/>
          <w:sz w:val="24"/>
          <w:szCs w:val="24"/>
          <w:spacing w:val="-3"/>
        </w:rPr>
        <w:t>2013</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37</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号</w:t>
      </w:r>
      <w:r>
        <w:rPr>
          <w:rFonts w:ascii="FangSong" w:hAnsi="FangSong" w:eastAsia="FangSong" w:cs="FangSong"/>
          <w:sz w:val="24"/>
          <w:szCs w:val="24"/>
          <w:spacing w:val="-26"/>
        </w:rPr>
        <w:t>）（</w:t>
      </w:r>
      <w:r>
        <w:rPr>
          <w:rFonts w:ascii="Times New Roman" w:hAnsi="Times New Roman" w:eastAsia="Times New Roman" w:cs="Times New Roman"/>
          <w:sz w:val="24"/>
          <w:szCs w:val="24"/>
          <w:spacing w:val="-3"/>
        </w:rPr>
        <w:t>2013</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月</w:t>
      </w:r>
      <w:r>
        <w:rPr>
          <w:rFonts w:ascii="Times New Roman" w:hAnsi="Times New Roman" w:eastAsia="Times New Roman" w:cs="Times New Roman"/>
          <w:sz w:val="24"/>
          <w:szCs w:val="24"/>
          <w:spacing w:val="-24"/>
        </w:rPr>
        <w:t>10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4"/>
        </w:rPr>
        <w:t>日；</w:t>
      </w:r>
    </w:p>
    <w:p>
      <w:pPr>
        <w:ind w:left="77" w:right="62" w:firstLine="434"/>
        <w:spacing w:before="180" w:line="29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22</w:t>
      </w:r>
      <w:r>
        <w:rPr>
          <w:rFonts w:ascii="FangSong" w:hAnsi="FangSong" w:eastAsia="FangSong" w:cs="FangSong"/>
          <w:sz w:val="24"/>
          <w:szCs w:val="24"/>
          <w:spacing w:val="-2"/>
        </w:rPr>
        <w:t>）国务院《水污染防治行动计划》（国发〔</w:t>
      </w:r>
      <w:r>
        <w:rPr>
          <w:rFonts w:ascii="Times New Roman" w:hAnsi="Times New Roman" w:eastAsia="Times New Roman" w:cs="Times New Roman"/>
          <w:sz w:val="24"/>
          <w:szCs w:val="24"/>
          <w:spacing w:val="-2"/>
        </w:rPr>
        <w:t>2015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17</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2"/>
        </w:rPr>
        <w:t>号</w:t>
      </w:r>
      <w:r>
        <w:rPr>
          <w:rFonts w:ascii="FangSong" w:hAnsi="FangSong" w:eastAsia="FangSong" w:cs="FangSong"/>
          <w:sz w:val="24"/>
          <w:szCs w:val="24"/>
          <w:spacing w:val="-15"/>
        </w:rPr>
        <w:t>）（</w:t>
      </w:r>
      <w:r>
        <w:rPr>
          <w:rFonts w:ascii="Times New Roman" w:hAnsi="Times New Roman" w:eastAsia="Times New Roman" w:cs="Times New Roman"/>
          <w:sz w:val="24"/>
          <w:szCs w:val="24"/>
          <w:spacing w:val="-2"/>
        </w:rPr>
        <w:t>2015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2"/>
        </w:rPr>
        <w:t>年</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w:t>
      </w:r>
      <w:r>
        <w:rPr>
          <w:rFonts w:ascii="FangSong" w:hAnsi="FangSong" w:eastAsia="FangSong" w:cs="FangSong"/>
          <w:sz w:val="24"/>
          <w:szCs w:val="24"/>
          <w:spacing w:val="-34"/>
        </w:rPr>
        <w:t>日；</w:t>
      </w:r>
    </w:p>
    <w:p>
      <w:pPr>
        <w:spacing w:line="290" w:lineRule="auto"/>
        <w:sectPr>
          <w:headerReference w:type="default" r:id="rId52"/>
          <w:footerReference w:type="default" r:id="rId53"/>
          <w:pgSz w:w="11911" w:h="16839"/>
          <w:pgMar w:top="400" w:right="135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5" w:right="75" w:firstLine="495"/>
        <w:spacing w:before="78" w:line="35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23</w:t>
      </w:r>
      <w:r>
        <w:rPr>
          <w:rFonts w:ascii="FangSong" w:hAnsi="FangSong" w:eastAsia="FangSong" w:cs="FangSong"/>
          <w:sz w:val="24"/>
          <w:szCs w:val="24"/>
          <w:spacing w:val="-3"/>
        </w:rPr>
        <w:t>）国务院《土壤污染防治行动计划》（国发〔</w:t>
      </w:r>
      <w:r>
        <w:rPr>
          <w:rFonts w:ascii="Times New Roman" w:hAnsi="Times New Roman" w:eastAsia="Times New Roman" w:cs="Times New Roman"/>
          <w:sz w:val="24"/>
          <w:szCs w:val="24"/>
          <w:spacing w:val="-3"/>
        </w:rPr>
        <w:t>2016</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号</w:t>
      </w:r>
      <w:r>
        <w:rPr>
          <w:rFonts w:ascii="FangSong" w:hAnsi="FangSong" w:eastAsia="FangSong" w:cs="FangSong"/>
          <w:sz w:val="24"/>
          <w:szCs w:val="24"/>
          <w:spacing w:val="-26"/>
        </w:rPr>
        <w:t>）（</w:t>
      </w:r>
      <w:r>
        <w:rPr>
          <w:rFonts w:ascii="Times New Roman" w:hAnsi="Times New Roman" w:eastAsia="Times New Roman" w:cs="Times New Roman"/>
          <w:sz w:val="24"/>
          <w:szCs w:val="24"/>
          <w:spacing w:val="-3"/>
        </w:rPr>
        <w:t>2016</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4"/>
        </w:rPr>
        <w:t>月</w:t>
      </w:r>
      <w:r>
        <w:rPr>
          <w:rFonts w:ascii="Times New Roman" w:hAnsi="Times New Roman" w:eastAsia="Times New Roman" w:cs="Times New Roman"/>
          <w:sz w:val="24"/>
          <w:szCs w:val="24"/>
          <w:spacing w:val="-18"/>
        </w:rPr>
        <w:t>28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18"/>
        </w:rPr>
        <w:t>日。</w:t>
      </w:r>
    </w:p>
    <w:p>
      <w:pPr>
        <w:ind w:left="16"/>
        <w:spacing w:line="220" w:lineRule="auto"/>
        <w:outlineLvl w:val="2"/>
        <w:rPr>
          <w:rFonts w:ascii="FangSong" w:hAnsi="FangSong" w:eastAsia="FangSong" w:cs="FangSong"/>
          <w:sz w:val="24"/>
          <w:szCs w:val="24"/>
        </w:rPr>
      </w:pPr>
      <w:bookmarkStart w:name="bookmark32" w:id="50"/>
      <w:bookmarkEnd w:id="50"/>
      <w:bookmarkStart w:name="bookmark31" w:id="51"/>
      <w:bookmarkEnd w:id="51"/>
      <w:r>
        <w:rPr>
          <w:rFonts w:ascii="Times New Roman" w:hAnsi="Times New Roman" w:eastAsia="Times New Roman" w:cs="Times New Roman"/>
          <w:sz w:val="24"/>
          <w:szCs w:val="24"/>
          <w:b/>
          <w:bCs/>
          <w:spacing w:val="-2"/>
        </w:rPr>
        <w:t>2.1.2  </w:t>
      </w:r>
      <w:r>
        <w:rPr>
          <w:rFonts w:ascii="FangSong" w:hAnsi="FangSong" w:eastAsia="FangSong" w:cs="FangSong"/>
          <w:sz w:val="24"/>
          <w:szCs w:val="24"/>
          <w:b/>
          <w:bCs/>
          <w:spacing w:val="-2"/>
        </w:rPr>
        <w:t>部门规章及规范性文件</w:t>
      </w:r>
    </w:p>
    <w:p>
      <w:pPr>
        <w:ind w:left="31" w:right="25" w:firstLine="480"/>
        <w:spacing w:before="182"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）国家环境保护总局《关于进一步加强建设项目环境保护管理工作的通</w:t>
      </w:r>
      <w:r>
        <w:rPr>
          <w:rFonts w:ascii="FangSong" w:hAnsi="FangSong" w:eastAsia="FangSong" w:cs="FangSong"/>
          <w:sz w:val="24"/>
          <w:szCs w:val="24"/>
          <w:spacing w:val="-2"/>
        </w:rPr>
        <w:t>知》</w:t>
      </w:r>
      <w:r>
        <w:rPr>
          <w:rFonts w:ascii="FangSong" w:hAnsi="FangSong" w:eastAsia="FangSong" w:cs="FangSong"/>
          <w:sz w:val="24"/>
          <w:szCs w:val="24"/>
        </w:rPr>
        <w:t xml:space="preserve"> </w:t>
      </w:r>
      <w:r>
        <w:rPr>
          <w:rFonts w:ascii="FangSong" w:hAnsi="FangSong" w:eastAsia="FangSong" w:cs="FangSong"/>
          <w:sz w:val="24"/>
          <w:szCs w:val="24"/>
          <w:spacing w:val="-4"/>
        </w:rPr>
        <w:t>（环发〔</w:t>
      </w:r>
      <w:r>
        <w:rPr>
          <w:rFonts w:ascii="Times New Roman" w:hAnsi="Times New Roman" w:eastAsia="Times New Roman" w:cs="Times New Roman"/>
          <w:sz w:val="24"/>
          <w:szCs w:val="24"/>
          <w:spacing w:val="-4"/>
        </w:rPr>
        <w:t>2001</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号</w:t>
      </w:r>
      <w:r>
        <w:rPr>
          <w:rFonts w:ascii="FangSong" w:hAnsi="FangSong" w:eastAsia="FangSong" w:cs="FangSong"/>
          <w:sz w:val="24"/>
          <w:szCs w:val="24"/>
          <w:spacing w:val="-17"/>
        </w:rPr>
        <w:t>）（</w:t>
      </w:r>
      <w:r>
        <w:rPr>
          <w:rFonts w:ascii="Times New Roman" w:hAnsi="Times New Roman" w:eastAsia="Times New Roman" w:cs="Times New Roman"/>
          <w:sz w:val="24"/>
          <w:szCs w:val="24"/>
          <w:spacing w:val="-4"/>
        </w:rPr>
        <w:t>2001</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年</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21  </w:t>
      </w:r>
      <w:r>
        <w:rPr>
          <w:rFonts w:ascii="FangSong" w:hAnsi="FangSong" w:eastAsia="FangSong" w:cs="FangSong"/>
          <w:sz w:val="24"/>
          <w:szCs w:val="24"/>
          <w:spacing w:val="-4"/>
        </w:rPr>
        <w:t>日</w:t>
      </w:r>
      <w:r>
        <w:rPr>
          <w:rFonts w:ascii="FangSong" w:hAnsi="FangSong" w:eastAsia="FangSong" w:cs="FangSong"/>
          <w:sz w:val="24"/>
          <w:szCs w:val="24"/>
          <w:spacing w:val="-17"/>
        </w:rPr>
        <w:t>）；</w:t>
      </w:r>
    </w:p>
    <w:p>
      <w:pPr>
        <w:ind w:left="33" w:right="75" w:firstLine="478"/>
        <w:spacing w:before="179" w:line="290" w:lineRule="auto"/>
        <w:rPr>
          <w:rFonts w:ascii="FangSong" w:hAnsi="FangSong" w:eastAsia="FangSong" w:cs="FangSong"/>
          <w:sz w:val="24"/>
          <w:szCs w:val="24"/>
        </w:rPr>
      </w:pP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2</w:t>
      </w:r>
      <w:r>
        <w:rPr>
          <w:rFonts w:ascii="FangSong" w:hAnsi="FangSong" w:eastAsia="FangSong" w:cs="FangSong"/>
          <w:sz w:val="24"/>
          <w:szCs w:val="24"/>
          <w:spacing w:val="-9"/>
        </w:rPr>
        <w:t>）环境保护部《关于进一步加强环境影响评价管理防范环境风险的通知</w:t>
      </w:r>
      <w:r>
        <w:rPr>
          <w:rFonts w:ascii="FangSong" w:hAnsi="FangSong" w:eastAsia="FangSong" w:cs="FangSong"/>
          <w:sz w:val="24"/>
          <w:szCs w:val="24"/>
          <w:spacing w:val="-10"/>
        </w:rPr>
        <w:t>》（环</w:t>
      </w:r>
      <w:r>
        <w:rPr>
          <w:rFonts w:ascii="FangSong" w:hAnsi="FangSong" w:eastAsia="FangSong" w:cs="FangSong"/>
          <w:sz w:val="24"/>
          <w:szCs w:val="24"/>
          <w:spacing w:val="-5"/>
        </w:rPr>
        <w:t>发〔</w:t>
      </w:r>
      <w:r>
        <w:rPr>
          <w:rFonts w:ascii="Times New Roman" w:hAnsi="Times New Roman" w:eastAsia="Times New Roman" w:cs="Times New Roman"/>
          <w:sz w:val="24"/>
          <w:szCs w:val="24"/>
          <w:spacing w:val="-5"/>
        </w:rPr>
        <w:t>2012</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77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5"/>
        </w:rPr>
        <w:t>号</w:t>
      </w:r>
      <w:r>
        <w:rPr>
          <w:rFonts w:ascii="FangSong" w:hAnsi="FangSong" w:eastAsia="FangSong" w:cs="FangSong"/>
          <w:sz w:val="24"/>
          <w:szCs w:val="24"/>
          <w:spacing w:val="-17"/>
        </w:rPr>
        <w:t>）（</w:t>
      </w:r>
      <w:r>
        <w:rPr>
          <w:rFonts w:ascii="Times New Roman" w:hAnsi="Times New Roman" w:eastAsia="Times New Roman" w:cs="Times New Roman"/>
          <w:sz w:val="24"/>
          <w:szCs w:val="24"/>
          <w:spacing w:val="-5"/>
        </w:rPr>
        <w:t>2012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3  </w:t>
      </w:r>
      <w:r>
        <w:rPr>
          <w:rFonts w:ascii="FangSong" w:hAnsi="FangSong" w:eastAsia="FangSong" w:cs="FangSong"/>
          <w:sz w:val="24"/>
          <w:szCs w:val="24"/>
          <w:spacing w:val="-5"/>
        </w:rPr>
        <w:t>日</w:t>
      </w:r>
      <w:r>
        <w:rPr>
          <w:rFonts w:ascii="FangSong" w:hAnsi="FangSong" w:eastAsia="FangSong" w:cs="FangSong"/>
          <w:sz w:val="24"/>
          <w:szCs w:val="24"/>
          <w:spacing w:val="-17"/>
        </w:rPr>
        <w:t>）；</w:t>
      </w:r>
    </w:p>
    <w:p>
      <w:pPr>
        <w:ind w:left="33" w:right="75" w:firstLine="478"/>
        <w:spacing w:before="179"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）环境保护部《关于切实加强风险防范严格环境影响评价管理的通知》（环</w:t>
      </w:r>
      <w:r>
        <w:rPr>
          <w:rFonts w:ascii="FangSong" w:hAnsi="FangSong" w:eastAsia="FangSong" w:cs="FangSong"/>
          <w:sz w:val="24"/>
          <w:szCs w:val="24"/>
          <w:spacing w:val="-5"/>
        </w:rPr>
        <w:t>发（</w:t>
      </w:r>
      <w:r>
        <w:rPr>
          <w:rFonts w:ascii="Times New Roman" w:hAnsi="Times New Roman" w:eastAsia="Times New Roman" w:cs="Times New Roman"/>
          <w:sz w:val="24"/>
          <w:szCs w:val="24"/>
          <w:spacing w:val="-5"/>
        </w:rPr>
        <w:t>2012</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98</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5"/>
        </w:rPr>
        <w:t>号文</w:t>
      </w:r>
      <w:r>
        <w:rPr>
          <w:rFonts w:ascii="FangSong" w:hAnsi="FangSong" w:eastAsia="FangSong" w:cs="FangSong"/>
          <w:sz w:val="24"/>
          <w:szCs w:val="24"/>
          <w:spacing w:val="-17"/>
        </w:rPr>
        <w:t>）（</w:t>
      </w:r>
      <w:r>
        <w:rPr>
          <w:rFonts w:ascii="Times New Roman" w:hAnsi="Times New Roman" w:eastAsia="Times New Roman" w:cs="Times New Roman"/>
          <w:sz w:val="24"/>
          <w:szCs w:val="24"/>
          <w:spacing w:val="-5"/>
        </w:rPr>
        <w:t>2012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月</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7  </w:t>
      </w:r>
      <w:r>
        <w:rPr>
          <w:rFonts w:ascii="FangSong" w:hAnsi="FangSong" w:eastAsia="FangSong" w:cs="FangSong"/>
          <w:sz w:val="24"/>
          <w:szCs w:val="24"/>
          <w:spacing w:val="-5"/>
        </w:rPr>
        <w:t>日</w:t>
      </w:r>
      <w:r>
        <w:rPr>
          <w:rFonts w:ascii="FangSong" w:hAnsi="FangSong" w:eastAsia="FangSong" w:cs="FangSong"/>
          <w:sz w:val="24"/>
          <w:szCs w:val="24"/>
          <w:spacing w:val="-17"/>
        </w:rPr>
        <w:t>）；</w:t>
      </w:r>
    </w:p>
    <w:p>
      <w:pPr>
        <w:ind w:left="28" w:right="75" w:firstLine="483"/>
        <w:spacing w:before="177"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）环境保护部《关于落实大气污染防治行动计划严格环境影响评价准入的通</w:t>
      </w:r>
      <w:r>
        <w:rPr>
          <w:rFonts w:ascii="FangSong" w:hAnsi="FangSong" w:eastAsia="FangSong" w:cs="FangSong"/>
          <w:sz w:val="24"/>
          <w:szCs w:val="24"/>
          <w:spacing w:val="-4"/>
        </w:rPr>
        <w:t>知》（环办〔</w:t>
      </w:r>
      <w:r>
        <w:rPr>
          <w:rFonts w:ascii="Times New Roman" w:hAnsi="Times New Roman" w:eastAsia="Times New Roman" w:cs="Times New Roman"/>
          <w:sz w:val="24"/>
          <w:szCs w:val="24"/>
          <w:spacing w:val="-4"/>
        </w:rPr>
        <w:t>2014</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号</w:t>
      </w:r>
      <w:r>
        <w:rPr>
          <w:rFonts w:ascii="FangSong" w:hAnsi="FangSong" w:eastAsia="FangSong" w:cs="FangSong"/>
          <w:sz w:val="24"/>
          <w:szCs w:val="24"/>
          <w:spacing w:val="-15"/>
        </w:rPr>
        <w:t>）（</w:t>
      </w:r>
      <w:r>
        <w:rPr>
          <w:rFonts w:ascii="Times New Roman" w:hAnsi="Times New Roman" w:eastAsia="Times New Roman" w:cs="Times New Roman"/>
          <w:sz w:val="24"/>
          <w:szCs w:val="24"/>
          <w:spacing w:val="-4"/>
        </w:rPr>
        <w:t>2014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4"/>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25  </w:t>
      </w:r>
      <w:r>
        <w:rPr>
          <w:rFonts w:ascii="FangSong" w:hAnsi="FangSong" w:eastAsia="FangSong" w:cs="FangSong"/>
          <w:sz w:val="24"/>
          <w:szCs w:val="24"/>
          <w:spacing w:val="-4"/>
        </w:rPr>
        <w:t>日</w:t>
      </w:r>
      <w:r>
        <w:rPr>
          <w:rFonts w:ascii="FangSong" w:hAnsi="FangSong" w:eastAsia="FangSong" w:cs="FangSong"/>
          <w:sz w:val="24"/>
          <w:szCs w:val="24"/>
          <w:spacing w:val="-15"/>
        </w:rPr>
        <w:t>）；</w:t>
      </w:r>
    </w:p>
    <w:p>
      <w:pPr>
        <w:ind w:left="32" w:right="75" w:firstLine="479"/>
        <w:spacing w:before="180" w:line="29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）生态环境部《建设项目环境影响评价分类管理名录》（</w:t>
      </w:r>
      <w:r>
        <w:rPr>
          <w:rFonts w:ascii="FangSong" w:hAnsi="FangSong" w:eastAsia="FangSong" w:cs="FangSong"/>
          <w:sz w:val="24"/>
          <w:szCs w:val="24"/>
          <w:spacing w:val="1"/>
        </w:rPr>
        <w:t>生态环境部令</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16</w:t>
      </w:r>
      <w:r>
        <w:rPr>
          <w:rFonts w:ascii="FangSong" w:hAnsi="FangSong" w:eastAsia="FangSong" w:cs="FangSong"/>
          <w:sz w:val="24"/>
          <w:szCs w:val="24"/>
          <w:spacing w:val="-10"/>
        </w:rPr>
        <w:t>号</w:t>
      </w:r>
      <w:r>
        <w:rPr>
          <w:rFonts w:ascii="FangSong" w:hAnsi="FangSong" w:eastAsia="FangSong" w:cs="FangSong"/>
          <w:sz w:val="24"/>
          <w:szCs w:val="24"/>
          <w:spacing w:val="-17"/>
        </w:rPr>
        <w:t>）（</w:t>
      </w:r>
      <w:r>
        <w:rPr>
          <w:rFonts w:ascii="Times New Roman" w:hAnsi="Times New Roman" w:eastAsia="Times New Roman" w:cs="Times New Roman"/>
          <w:sz w:val="24"/>
          <w:szCs w:val="24"/>
          <w:spacing w:val="-10"/>
        </w:rPr>
        <w:t>2021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0"/>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0"/>
        </w:rPr>
        <w:t>1  </w:t>
      </w:r>
      <w:r>
        <w:rPr>
          <w:rFonts w:ascii="FangSong" w:hAnsi="FangSong" w:eastAsia="FangSong" w:cs="FangSong"/>
          <w:sz w:val="24"/>
          <w:szCs w:val="24"/>
          <w:spacing w:val="-10"/>
        </w:rPr>
        <w:t>日</w:t>
      </w:r>
      <w:r>
        <w:rPr>
          <w:rFonts w:ascii="FangSong" w:hAnsi="FangSong" w:eastAsia="FangSong" w:cs="FangSong"/>
          <w:sz w:val="24"/>
          <w:szCs w:val="24"/>
          <w:spacing w:val="-17"/>
        </w:rPr>
        <w:t>）；</w:t>
      </w:r>
    </w:p>
    <w:p>
      <w:pPr>
        <w:ind w:left="31" w:right="75" w:firstLine="480"/>
        <w:spacing w:before="177" w:line="29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）生态环境部《环境影响评价公众参与办法》（生态环境部令</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号</w:t>
      </w:r>
      <w:r>
        <w:rPr>
          <w:rFonts w:ascii="FangSong" w:hAnsi="FangSong" w:eastAsia="FangSong" w:cs="FangSong"/>
          <w:sz w:val="24"/>
          <w:szCs w:val="24"/>
          <w:spacing w:val="-22"/>
        </w:rPr>
        <w:t>）（</w:t>
      </w:r>
      <w:r>
        <w:rPr>
          <w:rFonts w:ascii="Times New Roman" w:hAnsi="Times New Roman" w:eastAsia="Times New Roman" w:cs="Times New Roman"/>
          <w:sz w:val="24"/>
          <w:szCs w:val="24"/>
          <w:spacing w:val="-2"/>
        </w:rPr>
        <w:t>2018</w:t>
      </w:r>
      <w:r>
        <w:rPr>
          <w:rFonts w:ascii="FangSong" w:hAnsi="FangSong" w:eastAsia="FangSong" w:cs="FangSong"/>
          <w:sz w:val="24"/>
          <w:szCs w:val="24"/>
          <w:spacing w:val="-20"/>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0"/>
        </w:rPr>
        <w:t>7</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20"/>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0"/>
        </w:rPr>
        <w:t>16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0"/>
        </w:rPr>
        <w:t>日</w:t>
      </w:r>
      <w:r>
        <w:rPr>
          <w:rFonts w:ascii="FangSong" w:hAnsi="FangSong" w:eastAsia="FangSong" w:cs="FangSong"/>
          <w:sz w:val="24"/>
          <w:szCs w:val="24"/>
          <w:spacing w:val="-17"/>
        </w:rPr>
        <w:t>）；</w:t>
      </w:r>
    </w:p>
    <w:p>
      <w:pPr>
        <w:ind w:left="14" w:firstLine="496"/>
        <w:spacing w:before="177" w:line="291"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7</w:t>
      </w:r>
      <w:r>
        <w:rPr>
          <w:rFonts w:ascii="FangSong" w:hAnsi="FangSong" w:eastAsia="FangSong" w:cs="FangSong"/>
          <w:sz w:val="24"/>
          <w:szCs w:val="24"/>
          <w:spacing w:val="-7"/>
        </w:rPr>
        <w:t>）六部门联合印发《关于加快建设绿色矿山的实施意见》（国土资规〔</w:t>
      </w:r>
      <w:r>
        <w:rPr>
          <w:rFonts w:ascii="Times New Roman" w:hAnsi="Times New Roman" w:eastAsia="Times New Roman" w:cs="Times New Roman"/>
          <w:sz w:val="24"/>
          <w:szCs w:val="24"/>
          <w:spacing w:val="-7"/>
        </w:rPr>
        <w:t>2017</w:t>
      </w:r>
      <w:r>
        <w:rPr>
          <w:rFonts w:ascii="FangSong" w:hAnsi="FangSong" w:eastAsia="FangSong" w:cs="FangSong"/>
          <w:sz w:val="24"/>
          <w:szCs w:val="24"/>
          <w:spacing w:val="-7"/>
        </w:rPr>
        <w:t>〕</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6"/>
        </w:rPr>
        <w:t>号</w:t>
      </w:r>
      <w:r>
        <w:rPr>
          <w:rFonts w:ascii="FangSong" w:hAnsi="FangSong" w:eastAsia="FangSong" w:cs="FangSong"/>
          <w:sz w:val="24"/>
          <w:szCs w:val="24"/>
          <w:spacing w:val="-17"/>
        </w:rPr>
        <w:t>）（</w:t>
      </w:r>
      <w:r>
        <w:rPr>
          <w:rFonts w:ascii="Times New Roman" w:hAnsi="Times New Roman" w:eastAsia="Times New Roman" w:cs="Times New Roman"/>
          <w:sz w:val="24"/>
          <w:szCs w:val="24"/>
          <w:spacing w:val="-6"/>
        </w:rPr>
        <w:t>2017</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6"/>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22  </w:t>
      </w:r>
      <w:r>
        <w:rPr>
          <w:rFonts w:ascii="FangSong" w:hAnsi="FangSong" w:eastAsia="FangSong" w:cs="FangSong"/>
          <w:sz w:val="24"/>
          <w:szCs w:val="24"/>
          <w:spacing w:val="-6"/>
        </w:rPr>
        <w:t>日</w:t>
      </w:r>
      <w:r>
        <w:rPr>
          <w:rFonts w:ascii="FangSong" w:hAnsi="FangSong" w:eastAsia="FangSong" w:cs="FangSong"/>
          <w:sz w:val="24"/>
          <w:szCs w:val="24"/>
          <w:spacing w:val="-17"/>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8</w:t>
      </w:r>
      <w:r>
        <w:rPr>
          <w:rFonts w:ascii="FangSong" w:hAnsi="FangSong" w:eastAsia="FangSong" w:cs="FangSong"/>
          <w:sz w:val="24"/>
          <w:szCs w:val="24"/>
          <w:spacing w:val="-4"/>
        </w:rPr>
        <w:t>）《排污许可条例》（国务院令第</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736</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号</w:t>
      </w:r>
      <w:r>
        <w:rPr>
          <w:rFonts w:ascii="FangSong" w:hAnsi="FangSong" w:eastAsia="FangSong" w:cs="FangSong"/>
          <w:sz w:val="24"/>
          <w:szCs w:val="24"/>
          <w:spacing w:val="-16"/>
        </w:rPr>
        <w:t>）（</w:t>
      </w:r>
      <w:r>
        <w:rPr>
          <w:rFonts w:ascii="Times New Roman" w:hAnsi="Times New Roman" w:eastAsia="Times New Roman" w:cs="Times New Roman"/>
          <w:sz w:val="24"/>
          <w:szCs w:val="24"/>
          <w:spacing w:val="-4"/>
        </w:rPr>
        <w:t>2021</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24  </w:t>
      </w:r>
      <w:r>
        <w:rPr>
          <w:rFonts w:ascii="FangSong" w:hAnsi="FangSong" w:eastAsia="FangSong" w:cs="FangSong"/>
          <w:sz w:val="24"/>
          <w:szCs w:val="24"/>
          <w:spacing w:val="-4"/>
        </w:rPr>
        <w:t>日</w:t>
      </w:r>
      <w:r>
        <w:rPr>
          <w:rFonts w:ascii="FangSong" w:hAnsi="FangSong" w:eastAsia="FangSong" w:cs="FangSong"/>
          <w:sz w:val="24"/>
          <w:szCs w:val="24"/>
          <w:spacing w:val="-16"/>
        </w:rPr>
        <w:t>）；</w:t>
      </w:r>
    </w:p>
    <w:p>
      <w:pPr>
        <w:ind w:left="30" w:right="75" w:firstLine="481"/>
        <w:spacing w:before="179"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9</w:t>
      </w:r>
      <w:r>
        <w:rPr>
          <w:rFonts w:ascii="FangSong" w:hAnsi="FangSong" w:eastAsia="FangSong" w:cs="FangSong"/>
          <w:sz w:val="24"/>
          <w:szCs w:val="24"/>
        </w:rPr>
        <w:t>）</w:t>
      </w:r>
      <w:r>
        <w:rPr>
          <w:rFonts w:ascii="FangSong" w:hAnsi="FangSong" w:eastAsia="FangSong" w:cs="FangSong"/>
          <w:sz w:val="24"/>
          <w:szCs w:val="24"/>
          <w:spacing w:val="-50"/>
        </w:rPr>
        <w:t xml:space="preserve"> </w:t>
      </w:r>
      <w:r>
        <w:rPr>
          <w:rFonts w:ascii="FangSong" w:hAnsi="FangSong" w:eastAsia="FangSong" w:cs="FangSong"/>
          <w:sz w:val="24"/>
          <w:szCs w:val="24"/>
        </w:rPr>
        <w:t>国家发展和改革委员会《产业结构调整指导目录（</w:t>
      </w:r>
      <w:r>
        <w:rPr>
          <w:rFonts w:ascii="Times New Roman" w:hAnsi="Times New Roman" w:eastAsia="Times New Roman" w:cs="Times New Roman"/>
          <w:sz w:val="24"/>
          <w:szCs w:val="24"/>
        </w:rPr>
        <w:t>2024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年本）》（中华</w:t>
      </w:r>
      <w:r>
        <w:rPr>
          <w:rFonts w:ascii="FangSong" w:hAnsi="FangSong" w:eastAsia="FangSong" w:cs="FangSong"/>
          <w:sz w:val="24"/>
          <w:szCs w:val="24"/>
          <w:spacing w:val="-4"/>
        </w:rPr>
        <w:t>人民共和国国家发展和改革委员会令〔</w:t>
      </w:r>
      <w:r>
        <w:rPr>
          <w:rFonts w:ascii="Times New Roman" w:hAnsi="Times New Roman" w:eastAsia="Times New Roman" w:cs="Times New Roman"/>
          <w:sz w:val="24"/>
          <w:szCs w:val="24"/>
          <w:spacing w:val="-4"/>
        </w:rPr>
        <w:t>2023</w:t>
      </w:r>
      <w:r>
        <w:rPr>
          <w:rFonts w:ascii="FangSong" w:hAnsi="FangSong" w:eastAsia="FangSong" w:cs="FangSong"/>
          <w:sz w:val="24"/>
          <w:szCs w:val="24"/>
          <w:spacing w:val="-4"/>
        </w:rPr>
        <w:t>〕第</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号</w:t>
      </w:r>
      <w:r>
        <w:rPr>
          <w:rFonts w:ascii="FangSong" w:hAnsi="FangSong" w:eastAsia="FangSong" w:cs="FangSong"/>
          <w:sz w:val="24"/>
          <w:szCs w:val="24"/>
          <w:spacing w:val="-17"/>
        </w:rPr>
        <w:t>）（</w:t>
      </w:r>
      <w:r>
        <w:rPr>
          <w:rFonts w:ascii="Times New Roman" w:hAnsi="Times New Roman" w:eastAsia="Times New Roman" w:cs="Times New Roman"/>
          <w:sz w:val="24"/>
          <w:szCs w:val="24"/>
          <w:spacing w:val="-4"/>
        </w:rPr>
        <w:t>2024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年</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日）。</w:t>
      </w:r>
    </w:p>
    <w:p>
      <w:pPr>
        <w:ind w:left="16"/>
        <w:spacing w:before="179" w:line="222" w:lineRule="auto"/>
        <w:outlineLvl w:val="2"/>
        <w:rPr>
          <w:rFonts w:ascii="FangSong" w:hAnsi="FangSong" w:eastAsia="FangSong" w:cs="FangSong"/>
          <w:sz w:val="24"/>
          <w:szCs w:val="24"/>
        </w:rPr>
      </w:pPr>
      <w:bookmarkStart w:name="bookmark34" w:id="52"/>
      <w:bookmarkEnd w:id="52"/>
      <w:bookmarkStart w:name="bookmark33" w:id="53"/>
      <w:bookmarkEnd w:id="53"/>
      <w:r>
        <w:rPr>
          <w:rFonts w:ascii="Times New Roman" w:hAnsi="Times New Roman" w:eastAsia="Times New Roman" w:cs="Times New Roman"/>
          <w:sz w:val="24"/>
          <w:szCs w:val="24"/>
          <w:b/>
          <w:bCs/>
          <w:spacing w:val="-4"/>
        </w:rPr>
        <w:t>2.1.3</w:t>
      </w:r>
      <w:r>
        <w:rPr>
          <w:rFonts w:ascii="Times New Roman" w:hAnsi="Times New Roman" w:eastAsia="Times New Roman" w:cs="Times New Roman"/>
          <w:sz w:val="24"/>
          <w:szCs w:val="24"/>
          <w:b/>
          <w:bCs/>
          <w:spacing w:val="26"/>
          <w:w w:val="101"/>
        </w:rPr>
        <w:t xml:space="preserve"> </w:t>
      </w:r>
      <w:r>
        <w:rPr>
          <w:rFonts w:ascii="FangSong" w:hAnsi="FangSong" w:eastAsia="FangSong" w:cs="FangSong"/>
          <w:sz w:val="24"/>
          <w:szCs w:val="24"/>
          <w:b/>
          <w:bCs/>
          <w:spacing w:val="-4"/>
        </w:rPr>
        <w:t>相关规划纲要</w:t>
      </w:r>
    </w:p>
    <w:p>
      <w:pPr>
        <w:ind w:left="511"/>
        <w:spacing w:before="178"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）《苏尼特右旗矿产资源总体规划》（</w:t>
      </w:r>
      <w:r>
        <w:rPr>
          <w:rFonts w:ascii="Times New Roman" w:hAnsi="Times New Roman" w:eastAsia="Times New Roman" w:cs="Times New Roman"/>
          <w:sz w:val="24"/>
          <w:szCs w:val="24"/>
          <w:spacing w:val="-2"/>
        </w:rPr>
        <w:t>2016-2020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年</w:t>
      </w:r>
      <w:r>
        <w:rPr>
          <w:rFonts w:ascii="FangSong" w:hAnsi="FangSong" w:eastAsia="FangSong" w:cs="FangSong"/>
          <w:sz w:val="24"/>
          <w:szCs w:val="24"/>
          <w:spacing w:val="7"/>
        </w:rPr>
        <w:t>）；</w:t>
      </w:r>
    </w:p>
    <w:p>
      <w:pPr>
        <w:ind w:left="511"/>
        <w:spacing w:before="178" w:line="222"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）《全国主体功能区规划》（</w:t>
      </w:r>
      <w:r>
        <w:rPr>
          <w:rFonts w:ascii="Times New Roman" w:hAnsi="Times New Roman" w:eastAsia="Times New Roman" w:cs="Times New Roman"/>
          <w:sz w:val="24"/>
          <w:szCs w:val="24"/>
          <w:spacing w:val="-5"/>
        </w:rPr>
        <w:t>2010</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21  </w:t>
      </w:r>
      <w:r>
        <w:rPr>
          <w:rFonts w:ascii="FangSong" w:hAnsi="FangSong" w:eastAsia="FangSong" w:cs="FangSong"/>
          <w:sz w:val="24"/>
          <w:szCs w:val="24"/>
          <w:spacing w:val="-5"/>
        </w:rPr>
        <w:t>日</w:t>
      </w:r>
      <w:r>
        <w:rPr>
          <w:rFonts w:ascii="FangSong" w:hAnsi="FangSong" w:eastAsia="FangSong" w:cs="FangSong"/>
          <w:sz w:val="24"/>
          <w:szCs w:val="24"/>
          <w:spacing w:val="-12"/>
        </w:rPr>
        <w:t>）；</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）《全国生态功能区划（修编版）》（</w:t>
      </w:r>
      <w:r>
        <w:rPr>
          <w:rFonts w:ascii="Times New Roman" w:hAnsi="Times New Roman" w:eastAsia="Times New Roman" w:cs="Times New Roman"/>
          <w:sz w:val="24"/>
          <w:szCs w:val="24"/>
          <w:spacing w:val="-4"/>
        </w:rPr>
        <w:t>2015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23  </w:t>
      </w:r>
      <w:r>
        <w:rPr>
          <w:rFonts w:ascii="FangSong" w:hAnsi="FangSong" w:eastAsia="FangSong" w:cs="FangSong"/>
          <w:sz w:val="24"/>
          <w:szCs w:val="24"/>
          <w:spacing w:val="-5"/>
        </w:rPr>
        <w:t>日</w:t>
      </w:r>
      <w:r>
        <w:rPr>
          <w:rFonts w:ascii="FangSong" w:hAnsi="FangSong" w:eastAsia="FangSong" w:cs="FangSong"/>
          <w:sz w:val="24"/>
          <w:szCs w:val="24"/>
          <w:spacing w:val="-18"/>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）《“十四五</w:t>
      </w:r>
      <w:r>
        <w:rPr>
          <w:rFonts w:ascii="FangSong" w:hAnsi="FangSong" w:eastAsia="FangSong" w:cs="FangSong"/>
          <w:sz w:val="24"/>
          <w:szCs w:val="24"/>
          <w:spacing w:val="-85"/>
        </w:rPr>
        <w:t xml:space="preserve"> </w:t>
      </w:r>
      <w:r>
        <w:rPr>
          <w:rFonts w:ascii="FangSong" w:hAnsi="FangSong" w:eastAsia="FangSong" w:cs="FangSong"/>
          <w:sz w:val="24"/>
          <w:szCs w:val="24"/>
          <w:spacing w:val="-3"/>
        </w:rPr>
        <w:t>”现代能源体系规划》；</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）《“十四五</w:t>
      </w:r>
      <w:r>
        <w:rPr>
          <w:rFonts w:ascii="FangSong" w:hAnsi="FangSong" w:eastAsia="FangSong" w:cs="FangSong"/>
          <w:sz w:val="24"/>
          <w:szCs w:val="24"/>
          <w:spacing w:val="-70"/>
        </w:rPr>
        <w:t xml:space="preserve"> </w:t>
      </w:r>
      <w:r>
        <w:rPr>
          <w:rFonts w:ascii="FangSong" w:hAnsi="FangSong" w:eastAsia="FangSong" w:cs="FangSong"/>
          <w:sz w:val="24"/>
          <w:szCs w:val="24"/>
          <w:spacing w:val="-3"/>
        </w:rPr>
        <w:t>”重点流域水环境综合治理规划》；</w:t>
      </w:r>
    </w:p>
    <w:p>
      <w:pPr>
        <w:ind w:left="52" w:right="75" w:firstLine="459"/>
        <w:spacing w:before="180"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）内蒙古自治区人民政府《内蒙古自治区主体功能区规划的通知》（内政发</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2012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85</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6"/>
        </w:rPr>
        <w:t>号</w:t>
      </w:r>
      <w:r>
        <w:rPr>
          <w:rFonts w:ascii="FangSong" w:hAnsi="FangSong" w:eastAsia="FangSong" w:cs="FangSong"/>
          <w:sz w:val="24"/>
          <w:szCs w:val="24"/>
          <w:spacing w:val="-15"/>
        </w:rPr>
        <w:t>）（</w:t>
      </w:r>
      <w:r>
        <w:rPr>
          <w:rFonts w:ascii="Times New Roman" w:hAnsi="Times New Roman" w:eastAsia="Times New Roman" w:cs="Times New Roman"/>
          <w:sz w:val="24"/>
          <w:szCs w:val="24"/>
          <w:spacing w:val="-6"/>
        </w:rPr>
        <w:t>2012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25  </w:t>
      </w:r>
      <w:r>
        <w:rPr>
          <w:rFonts w:ascii="FangSong" w:hAnsi="FangSong" w:eastAsia="FangSong" w:cs="FangSong"/>
          <w:sz w:val="24"/>
          <w:szCs w:val="24"/>
          <w:spacing w:val="-6"/>
        </w:rPr>
        <w:t>日</w:t>
      </w:r>
      <w:r>
        <w:rPr>
          <w:rFonts w:ascii="FangSong" w:hAnsi="FangSong" w:eastAsia="FangSong" w:cs="FangSong"/>
          <w:sz w:val="24"/>
          <w:szCs w:val="24"/>
          <w:spacing w:val="-15"/>
        </w:rPr>
        <w:t>）；</w:t>
      </w:r>
    </w:p>
    <w:p>
      <w:pPr>
        <w:ind w:left="39" w:firstLine="472"/>
        <w:spacing w:before="179" w:line="291" w:lineRule="auto"/>
        <w:rPr>
          <w:rFonts w:ascii="FangSong" w:hAnsi="FangSong" w:eastAsia="FangSong" w:cs="FangSong"/>
          <w:sz w:val="24"/>
          <w:szCs w:val="24"/>
        </w:rPr>
      </w:pP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7</w:t>
      </w:r>
      <w:r>
        <w:rPr>
          <w:rFonts w:ascii="FangSong" w:hAnsi="FangSong" w:eastAsia="FangSong" w:cs="FangSong"/>
          <w:sz w:val="24"/>
          <w:szCs w:val="24"/>
          <w:spacing w:val="-13"/>
        </w:rPr>
        <w:t>）内蒙古自治区人民政府《贯彻落实土壤污染防治行动计划》（内政发〔</w:t>
      </w:r>
      <w:r>
        <w:rPr>
          <w:rFonts w:ascii="Times New Roman" w:hAnsi="Times New Roman" w:eastAsia="Times New Roman" w:cs="Times New Roman"/>
          <w:sz w:val="24"/>
          <w:szCs w:val="24"/>
          <w:spacing w:val="-13"/>
        </w:rPr>
        <w:t>2016</w:t>
      </w:r>
      <w:r>
        <w:rPr>
          <w:rFonts w:ascii="FangSong" w:hAnsi="FangSong" w:eastAsia="FangSong" w:cs="FangSong"/>
          <w:sz w:val="24"/>
          <w:szCs w:val="24"/>
          <w:spacing w:val="-13"/>
        </w:rPr>
        <w:t>〕</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9"/>
        </w:rPr>
        <w:t>127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9"/>
        </w:rPr>
        <w:t>号</w:t>
      </w:r>
      <w:r>
        <w:rPr>
          <w:rFonts w:ascii="FangSong" w:hAnsi="FangSong" w:eastAsia="FangSong" w:cs="FangSong"/>
          <w:sz w:val="24"/>
          <w:szCs w:val="24"/>
          <w:spacing w:val="-17"/>
        </w:rPr>
        <w:t>）（</w:t>
      </w:r>
      <w:r>
        <w:rPr>
          <w:rFonts w:ascii="Times New Roman" w:hAnsi="Times New Roman" w:eastAsia="Times New Roman" w:cs="Times New Roman"/>
          <w:sz w:val="24"/>
          <w:szCs w:val="24"/>
          <w:spacing w:val="-9"/>
        </w:rPr>
        <w:t>2016</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9"/>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9"/>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14  </w:t>
      </w:r>
      <w:r>
        <w:rPr>
          <w:rFonts w:ascii="FangSong" w:hAnsi="FangSong" w:eastAsia="FangSong" w:cs="FangSong"/>
          <w:sz w:val="24"/>
          <w:szCs w:val="24"/>
          <w:spacing w:val="-9"/>
        </w:rPr>
        <w:t>日</w:t>
      </w:r>
      <w:r>
        <w:rPr>
          <w:rFonts w:ascii="FangSong" w:hAnsi="FangSong" w:eastAsia="FangSong" w:cs="FangSong"/>
          <w:sz w:val="24"/>
          <w:szCs w:val="24"/>
          <w:spacing w:val="-17"/>
        </w:rPr>
        <w:t>）；</w:t>
      </w:r>
    </w:p>
    <w:p>
      <w:pPr>
        <w:spacing w:line="291" w:lineRule="auto"/>
        <w:sectPr>
          <w:footerReference w:type="default" r:id="rId54"/>
          <w:pgSz w:w="11911" w:h="16839"/>
          <w:pgMar w:top="400" w:right="1342"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1" w:firstLine="480"/>
        <w:spacing w:before="78"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8</w:t>
      </w:r>
      <w:r>
        <w:rPr>
          <w:rFonts w:ascii="FangSong" w:hAnsi="FangSong" w:eastAsia="FangSong" w:cs="FangSong"/>
          <w:sz w:val="24"/>
          <w:szCs w:val="24"/>
          <w:spacing w:val="-3"/>
        </w:rPr>
        <w:t>）内蒙古自治区人民政府《关于印发自治区国民经济和社会发展第十四个五</w:t>
      </w:r>
      <w:r>
        <w:rPr>
          <w:rFonts w:ascii="FangSong" w:hAnsi="FangSong" w:eastAsia="FangSong" w:cs="FangSong"/>
          <w:sz w:val="24"/>
          <w:szCs w:val="24"/>
          <w:spacing w:val="-8"/>
        </w:rPr>
        <w:t>年规划和</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8"/>
        </w:rPr>
        <w:t>2035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8"/>
        </w:rPr>
        <w:t>年远景目标纲要的通知》（</w:t>
      </w:r>
      <w:r>
        <w:rPr>
          <w:rFonts w:ascii="FangSong" w:hAnsi="FangSong" w:eastAsia="FangSong" w:cs="FangSong"/>
          <w:sz w:val="24"/>
          <w:szCs w:val="24"/>
          <w:spacing w:val="-9"/>
        </w:rPr>
        <w:t>内政发〔</w:t>
      </w:r>
      <w:r>
        <w:rPr>
          <w:rFonts w:ascii="Times New Roman" w:hAnsi="Times New Roman" w:eastAsia="Times New Roman" w:cs="Times New Roman"/>
          <w:sz w:val="24"/>
          <w:szCs w:val="24"/>
          <w:spacing w:val="-9"/>
        </w:rPr>
        <w:t>2021</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9"/>
        </w:rPr>
        <w:t>号</w:t>
      </w:r>
      <w:r>
        <w:rPr>
          <w:rFonts w:ascii="FangSong" w:hAnsi="FangSong" w:eastAsia="FangSong" w:cs="FangSong"/>
          <w:sz w:val="24"/>
          <w:szCs w:val="24"/>
          <w:spacing w:val="-63"/>
          <w:w w:val="93"/>
        </w:rPr>
        <w:t>）（</w:t>
      </w:r>
      <w:r>
        <w:rPr>
          <w:rFonts w:ascii="Times New Roman" w:hAnsi="Times New Roman" w:eastAsia="Times New Roman" w:cs="Times New Roman"/>
          <w:sz w:val="24"/>
          <w:szCs w:val="24"/>
          <w:spacing w:val="-9"/>
        </w:rPr>
        <w:t>2021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9"/>
        </w:rPr>
        <w:t>年</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9"/>
        </w:rPr>
        <w:t>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9"/>
        </w:rPr>
        <w:t>7  </w:t>
      </w:r>
      <w:r>
        <w:rPr>
          <w:rFonts w:ascii="FangSong" w:hAnsi="FangSong" w:eastAsia="FangSong" w:cs="FangSong"/>
          <w:sz w:val="24"/>
          <w:szCs w:val="24"/>
          <w:spacing w:val="-9"/>
        </w:rPr>
        <w:t>日</w:t>
      </w:r>
      <w:r>
        <w:rPr>
          <w:rFonts w:ascii="FangSong" w:hAnsi="FangSong" w:eastAsia="FangSong" w:cs="FangSong"/>
          <w:sz w:val="24"/>
          <w:szCs w:val="24"/>
          <w:spacing w:val="-63"/>
          <w:w w:val="93"/>
        </w:rPr>
        <w:t>）；</w:t>
      </w:r>
    </w:p>
    <w:p>
      <w:pPr>
        <w:ind w:left="31" w:right="62" w:firstLine="480"/>
        <w:spacing w:before="177" w:line="291" w:lineRule="auto"/>
        <w:rPr>
          <w:rFonts w:ascii="FangSong" w:hAnsi="FangSong" w:eastAsia="FangSong" w:cs="FangSong"/>
          <w:sz w:val="24"/>
          <w:szCs w:val="24"/>
        </w:rPr>
      </w:pP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9</w:t>
      </w:r>
      <w:r>
        <w:rPr>
          <w:rFonts w:ascii="FangSong" w:hAnsi="FangSong" w:eastAsia="FangSong" w:cs="FangSong"/>
          <w:sz w:val="24"/>
          <w:szCs w:val="24"/>
          <w:spacing w:val="-9"/>
        </w:rPr>
        <w:t>）内蒙古人民代表大会常务委员会《内蒙古自治区矿产资源管理条例》（</w:t>
      </w:r>
      <w:r>
        <w:rPr>
          <w:rFonts w:ascii="Times New Roman" w:hAnsi="Times New Roman" w:eastAsia="Times New Roman" w:cs="Times New Roman"/>
          <w:sz w:val="24"/>
          <w:szCs w:val="24"/>
          <w:spacing w:val="-9"/>
        </w:rPr>
        <w:t>1999</w:t>
      </w:r>
      <w:r>
        <w:rPr>
          <w:rFonts w:ascii="FangSong" w:hAnsi="FangSong" w:eastAsia="FangSong" w:cs="FangSong"/>
          <w:sz w:val="24"/>
          <w:szCs w:val="24"/>
          <w:spacing w:val="-17"/>
        </w:rPr>
        <w:t>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7"/>
        </w:rPr>
        <w:t>7</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7"/>
        </w:rPr>
        <w:t>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7"/>
        </w:rPr>
        <w:t>31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17"/>
        </w:rPr>
        <w:t>日</w:t>
      </w:r>
      <w:r>
        <w:rPr>
          <w:rFonts w:ascii="FangSong" w:hAnsi="FangSong" w:eastAsia="FangSong" w:cs="FangSong"/>
          <w:sz w:val="24"/>
          <w:szCs w:val="24"/>
          <w:spacing w:val="-16"/>
        </w:rPr>
        <w:t>）；</w:t>
      </w:r>
    </w:p>
    <w:p>
      <w:pPr>
        <w:ind w:left="38" w:right="62" w:firstLine="473"/>
        <w:spacing w:before="178" w:line="313"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）内蒙古生态环境厅《内蒙古自治区水污染防</w:t>
      </w:r>
      <w:r>
        <w:rPr>
          <w:rFonts w:ascii="FangSong" w:hAnsi="FangSong" w:eastAsia="FangSong" w:cs="FangSong"/>
          <w:sz w:val="24"/>
          <w:szCs w:val="24"/>
          <w:spacing w:val="-2"/>
        </w:rPr>
        <w:t>治条例》（</w:t>
      </w:r>
      <w:r>
        <w:rPr>
          <w:rFonts w:ascii="Times New Roman" w:hAnsi="Times New Roman" w:eastAsia="Times New Roman" w:cs="Times New Roman"/>
          <w:sz w:val="24"/>
          <w:szCs w:val="24"/>
          <w:spacing w:val="-2"/>
        </w:rPr>
        <w:t>2019</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2"/>
        </w:rPr>
        <w:t>年</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月</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28</w:t>
      </w:r>
      <w:r>
        <w:rPr>
          <w:rFonts w:ascii="FangSong" w:hAnsi="FangSong" w:eastAsia="FangSong" w:cs="FangSong"/>
          <w:sz w:val="24"/>
          <w:szCs w:val="24"/>
          <w:spacing w:val="-1"/>
        </w:rPr>
        <w:t>日内蒙古自治区第十三届人民代表大会常务委员会</w:t>
      </w:r>
      <w:r>
        <w:rPr>
          <w:rFonts w:ascii="FangSong" w:hAnsi="FangSong" w:eastAsia="FangSong" w:cs="FangSong"/>
          <w:sz w:val="24"/>
          <w:szCs w:val="24"/>
          <w:spacing w:val="-2"/>
        </w:rPr>
        <w:t>第十六次会议通过</w:t>
      </w:r>
      <w:r>
        <w:rPr>
          <w:rFonts w:ascii="FangSong" w:hAnsi="FangSong" w:eastAsia="FangSong" w:cs="FangSong"/>
          <w:sz w:val="24"/>
          <w:szCs w:val="24"/>
          <w:spacing w:val="-45"/>
        </w:rPr>
        <w:t>）（</w:t>
      </w:r>
      <w:r>
        <w:rPr>
          <w:rFonts w:ascii="Times New Roman" w:hAnsi="Times New Roman" w:eastAsia="Times New Roman" w:cs="Times New Roman"/>
          <w:sz w:val="24"/>
          <w:szCs w:val="24"/>
          <w:spacing w:val="-2"/>
        </w:rPr>
        <w:t>2019</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2"/>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11</w:t>
      </w:r>
      <w:r>
        <w:rPr>
          <w:rFonts w:ascii="FangSong" w:hAnsi="FangSong" w:eastAsia="FangSong" w:cs="FangSong"/>
          <w:sz w:val="24"/>
          <w:szCs w:val="24"/>
          <w:spacing w:val="-16"/>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6"/>
        </w:rPr>
        <w:t>28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16"/>
        </w:rPr>
        <w:t>日</w:t>
      </w:r>
      <w:r>
        <w:rPr>
          <w:rFonts w:ascii="FangSong" w:hAnsi="FangSong" w:eastAsia="FangSong" w:cs="FangSong"/>
          <w:sz w:val="24"/>
          <w:szCs w:val="24"/>
          <w:spacing w:val="-18"/>
        </w:rPr>
        <w:t>）；</w:t>
      </w:r>
    </w:p>
    <w:p>
      <w:pPr>
        <w:ind w:left="38" w:right="62" w:firstLine="473"/>
        <w:spacing w:before="180" w:line="313"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11</w:t>
      </w:r>
      <w:r>
        <w:rPr>
          <w:rFonts w:ascii="FangSong" w:hAnsi="FangSong" w:eastAsia="FangSong" w:cs="FangSong"/>
          <w:sz w:val="24"/>
          <w:szCs w:val="24"/>
          <w:spacing w:val="-5"/>
        </w:rPr>
        <w:t>）内蒙古生态环境厅《内蒙古自治区大气污染防治条例》（</w:t>
      </w:r>
      <w:r>
        <w:rPr>
          <w:rFonts w:ascii="Times New Roman" w:hAnsi="Times New Roman" w:eastAsia="Times New Roman" w:cs="Times New Roman"/>
          <w:sz w:val="24"/>
          <w:szCs w:val="24"/>
          <w:spacing w:val="-5"/>
        </w:rPr>
        <w:t>2018</w:t>
      </w:r>
      <w:r>
        <w:rPr>
          <w:rFonts w:ascii="Times New Roman" w:hAnsi="Times New Roman" w:eastAsia="Times New Roman" w:cs="Times New Roman"/>
          <w:sz w:val="24"/>
          <w:szCs w:val="24"/>
          <w:spacing w:val="37"/>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w:t>
      </w:r>
      <w:r>
        <w:rPr>
          <w:rFonts w:ascii="FangSong" w:hAnsi="FangSong" w:eastAsia="FangSong" w:cs="FangSong"/>
          <w:sz w:val="24"/>
          <w:szCs w:val="24"/>
          <w:spacing w:val="2"/>
        </w:rPr>
        <w:t>日</w:t>
      </w:r>
      <w:r>
        <w:rPr>
          <w:rFonts w:ascii="FangSong" w:hAnsi="FangSong" w:eastAsia="FangSong" w:cs="FangSong"/>
          <w:sz w:val="24"/>
          <w:szCs w:val="24"/>
          <w:spacing w:val="-70"/>
        </w:rPr>
        <w:t xml:space="preserve"> </w:t>
      </w:r>
      <w:r>
        <w:rPr>
          <w:rFonts w:ascii="FangSong" w:hAnsi="FangSong" w:eastAsia="FangSong" w:cs="FangSong"/>
          <w:sz w:val="24"/>
          <w:szCs w:val="24"/>
          <w:spacing w:val="2"/>
        </w:rPr>
        <w:t>内蒙古自治区第十三届人民代表大会常务委员会第十次会议通</w:t>
      </w:r>
      <w:r>
        <w:rPr>
          <w:rFonts w:ascii="FangSong" w:hAnsi="FangSong" w:eastAsia="FangSong" w:cs="FangSong"/>
          <w:sz w:val="24"/>
          <w:szCs w:val="24"/>
          <w:spacing w:val="1"/>
        </w:rPr>
        <w:t>过</w:t>
      </w:r>
      <w:r>
        <w:rPr>
          <w:rFonts w:ascii="FangSong" w:hAnsi="FangSong" w:eastAsia="FangSong" w:cs="FangSong"/>
          <w:sz w:val="24"/>
          <w:szCs w:val="24"/>
          <w:spacing w:val="-13"/>
        </w:rPr>
        <w:t>）（</w:t>
      </w:r>
      <w:r>
        <w:rPr>
          <w:rFonts w:ascii="Times New Roman" w:hAnsi="Times New Roman" w:eastAsia="Times New Roman" w:cs="Times New Roman"/>
          <w:sz w:val="24"/>
          <w:szCs w:val="24"/>
          <w:spacing w:val="1"/>
        </w:rPr>
        <w:t>2018</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年</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12</w:t>
      </w:r>
      <w:r>
        <w:rPr>
          <w:rFonts w:ascii="FangSong" w:hAnsi="FangSong" w:eastAsia="FangSong" w:cs="FangSong"/>
          <w:sz w:val="24"/>
          <w:szCs w:val="24"/>
          <w:spacing w:val="-35"/>
        </w:rPr>
        <w:t>月</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5"/>
        </w:rPr>
        <w:t>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5"/>
        </w:rPr>
        <w:t>日</w:t>
      </w:r>
      <w:r>
        <w:rPr>
          <w:rFonts w:ascii="FangSong" w:hAnsi="FangSong" w:eastAsia="FangSong" w:cs="FangSong"/>
          <w:sz w:val="24"/>
          <w:szCs w:val="24"/>
          <w:spacing w:val="-85"/>
        </w:rPr>
        <w:t xml:space="preserve"> </w:t>
      </w:r>
      <w:r>
        <w:rPr>
          <w:rFonts w:ascii="FangSong" w:hAnsi="FangSong" w:eastAsia="FangSong" w:cs="FangSong"/>
          <w:sz w:val="24"/>
          <w:szCs w:val="24"/>
          <w:spacing w:val="-18"/>
        </w:rPr>
        <w:t>）；</w:t>
      </w:r>
    </w:p>
    <w:p>
      <w:pPr>
        <w:ind w:left="37" w:right="62" w:firstLine="474"/>
        <w:spacing w:before="177" w:line="29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12</w:t>
      </w:r>
      <w:r>
        <w:rPr>
          <w:rFonts w:ascii="FangSong" w:hAnsi="FangSong" w:eastAsia="FangSong" w:cs="FangSong"/>
          <w:sz w:val="24"/>
          <w:szCs w:val="24"/>
          <w:spacing w:val="-1"/>
        </w:rPr>
        <w:t>）</w:t>
      </w:r>
      <w:r>
        <w:rPr>
          <w:rFonts w:ascii="FangSong" w:hAnsi="FangSong" w:eastAsia="FangSong" w:cs="FangSong"/>
          <w:sz w:val="24"/>
          <w:szCs w:val="24"/>
          <w:spacing w:val="-52"/>
        </w:rPr>
        <w:t xml:space="preserve"> </w:t>
      </w:r>
      <w:r>
        <w:rPr>
          <w:rFonts w:ascii="FangSong" w:hAnsi="FangSong" w:eastAsia="FangSong" w:cs="FangSong"/>
          <w:sz w:val="24"/>
          <w:szCs w:val="24"/>
          <w:spacing w:val="-1"/>
        </w:rPr>
        <w:t>内蒙古生态环境厅《内蒙古自治区土壤污染防治条例》（内蒙古自治区</w:t>
      </w:r>
      <w:r>
        <w:rPr>
          <w:rFonts w:ascii="FangSong" w:hAnsi="FangSong" w:eastAsia="FangSong" w:cs="FangSong"/>
          <w:sz w:val="24"/>
          <w:szCs w:val="24"/>
          <w:spacing w:val="-3"/>
        </w:rPr>
        <w:t>第十三届人民代表大会常务委员会公告</w:t>
      </w:r>
      <w:r>
        <w:rPr>
          <w:rFonts w:ascii="FangSong" w:hAnsi="FangSong" w:eastAsia="FangSong" w:cs="FangSong"/>
          <w:sz w:val="24"/>
          <w:szCs w:val="24"/>
          <w:spacing w:val="-3"/>
        </w:rPr>
        <w:t xml:space="preserve"> </w:t>
      </w:r>
      <w:r>
        <w:rPr>
          <w:rFonts w:ascii="FangSong" w:hAnsi="FangSong" w:eastAsia="FangSong" w:cs="FangSong"/>
          <w:sz w:val="24"/>
          <w:szCs w:val="24"/>
          <w:spacing w:val="-3"/>
        </w:rPr>
        <w:t>第四十三号</w:t>
      </w:r>
      <w:r>
        <w:rPr>
          <w:rFonts w:ascii="FangSong" w:hAnsi="FangSong" w:eastAsia="FangSong" w:cs="FangSong"/>
          <w:sz w:val="24"/>
          <w:szCs w:val="24"/>
          <w:spacing w:val="-17"/>
        </w:rPr>
        <w:t>）（</w:t>
      </w:r>
      <w:r>
        <w:rPr>
          <w:rFonts w:ascii="Times New Roman" w:hAnsi="Times New Roman" w:eastAsia="Times New Roman" w:cs="Times New Roman"/>
          <w:sz w:val="24"/>
          <w:szCs w:val="24"/>
          <w:spacing w:val="-3"/>
        </w:rPr>
        <w:t>2020</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3"/>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3"/>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26  </w:t>
      </w:r>
      <w:r>
        <w:rPr>
          <w:rFonts w:ascii="FangSong" w:hAnsi="FangSong" w:eastAsia="FangSong" w:cs="FangSong"/>
          <w:sz w:val="24"/>
          <w:szCs w:val="24"/>
          <w:spacing w:val="-3"/>
        </w:rPr>
        <w:t>日</w:t>
      </w:r>
      <w:r>
        <w:rPr>
          <w:rFonts w:ascii="FangSong" w:hAnsi="FangSong" w:eastAsia="FangSong" w:cs="FangSong"/>
          <w:sz w:val="24"/>
          <w:szCs w:val="24"/>
          <w:spacing w:val="-17"/>
        </w:rPr>
        <w:t>）；</w:t>
      </w:r>
    </w:p>
    <w:p>
      <w:pPr>
        <w:ind w:left="38" w:right="62" w:firstLine="473"/>
        <w:spacing w:before="179" w:line="290"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13</w:t>
      </w:r>
      <w:r>
        <w:rPr>
          <w:rFonts w:ascii="FangSong" w:hAnsi="FangSong" w:eastAsia="FangSong" w:cs="FangSong"/>
          <w:sz w:val="24"/>
          <w:szCs w:val="24"/>
          <w:spacing w:val="-4"/>
        </w:rPr>
        <w:t>）《内蒙古自治区环境保护条例》，内蒙古自治区人大常委会（</w:t>
      </w:r>
      <w:r>
        <w:rPr>
          <w:rFonts w:ascii="Times New Roman" w:hAnsi="Times New Roman" w:eastAsia="Times New Roman" w:cs="Times New Roman"/>
          <w:sz w:val="24"/>
          <w:szCs w:val="24"/>
          <w:spacing w:val="-4"/>
        </w:rPr>
        <w:t>2018</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4"/>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12</w:t>
      </w:r>
      <w:r>
        <w:rPr>
          <w:rFonts w:ascii="FangSong" w:hAnsi="FangSong" w:eastAsia="FangSong" w:cs="FangSong"/>
          <w:sz w:val="24"/>
          <w:szCs w:val="24"/>
          <w:spacing w:val="-35"/>
        </w:rPr>
        <w:t>月</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5"/>
        </w:rPr>
        <w:t>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5"/>
        </w:rPr>
        <w:t>日</w:t>
      </w:r>
      <w:r>
        <w:rPr>
          <w:rFonts w:ascii="FangSong" w:hAnsi="FangSong" w:eastAsia="FangSong" w:cs="FangSong"/>
          <w:sz w:val="24"/>
          <w:szCs w:val="24"/>
          <w:spacing w:val="-85"/>
        </w:rPr>
        <w:t xml:space="preserve"> </w:t>
      </w:r>
      <w:r>
        <w:rPr>
          <w:rFonts w:ascii="FangSong" w:hAnsi="FangSong" w:eastAsia="FangSong" w:cs="FangSong"/>
          <w:sz w:val="24"/>
          <w:szCs w:val="24"/>
          <w:spacing w:val="-18"/>
        </w:rPr>
        <w:t>）；</w:t>
      </w:r>
    </w:p>
    <w:p>
      <w:pPr>
        <w:ind w:left="38" w:right="117" w:firstLine="473"/>
        <w:spacing w:before="179"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14</w:t>
      </w:r>
      <w:r>
        <w:rPr>
          <w:rFonts w:ascii="FangSong" w:hAnsi="FangSong" w:eastAsia="FangSong" w:cs="FangSong"/>
          <w:sz w:val="24"/>
          <w:szCs w:val="24"/>
          <w:spacing w:val="-1"/>
        </w:rPr>
        <w:t>）《内蒙古自治区草原管理条例》，内蒙</w:t>
      </w:r>
      <w:r>
        <w:rPr>
          <w:rFonts w:ascii="FangSong" w:hAnsi="FangSong" w:eastAsia="FangSong" w:cs="FangSong"/>
          <w:sz w:val="24"/>
          <w:szCs w:val="24"/>
          <w:spacing w:val="-2"/>
        </w:rPr>
        <w:t>古自治区人大常委会（</w:t>
      </w: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w:t>
      </w:r>
      <w:r>
        <w:rPr>
          <w:rFonts w:ascii="FangSong" w:hAnsi="FangSong" w:eastAsia="FangSong" w:cs="FangSong"/>
          <w:sz w:val="24"/>
          <w:szCs w:val="24"/>
          <w:spacing w:val="-18"/>
        </w:rPr>
        <w:t>月</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8"/>
        </w:rPr>
        <w:t>30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18"/>
        </w:rPr>
        <w:t>日</w:t>
      </w:r>
      <w:r>
        <w:rPr>
          <w:rFonts w:ascii="FangSong" w:hAnsi="FangSong" w:eastAsia="FangSong" w:cs="FangSong"/>
          <w:sz w:val="24"/>
          <w:szCs w:val="24"/>
          <w:spacing w:val="-17"/>
        </w:rPr>
        <w:t>）；</w:t>
      </w:r>
    </w:p>
    <w:p>
      <w:pPr>
        <w:ind w:left="511"/>
        <w:spacing w:before="179"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15</w:t>
      </w:r>
      <w:r>
        <w:rPr>
          <w:rFonts w:ascii="FangSong" w:hAnsi="FangSong" w:eastAsia="FangSong" w:cs="FangSong"/>
          <w:sz w:val="24"/>
          <w:szCs w:val="24"/>
          <w:spacing w:val="-5"/>
        </w:rPr>
        <w:t>）《内蒙古自治区土壤污染防治条例》（</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日</w:t>
      </w:r>
      <w:r>
        <w:rPr>
          <w:rFonts w:ascii="FangSong" w:hAnsi="FangSong" w:eastAsia="FangSong" w:cs="FangSong"/>
          <w:sz w:val="24"/>
          <w:szCs w:val="24"/>
          <w:spacing w:val="-13"/>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16</w:t>
      </w:r>
      <w:r>
        <w:rPr>
          <w:rFonts w:ascii="FangSong" w:hAnsi="FangSong" w:eastAsia="FangSong" w:cs="FangSong"/>
          <w:sz w:val="24"/>
          <w:szCs w:val="24"/>
          <w:spacing w:val="-4"/>
        </w:rPr>
        <w:t>）《内蒙古自治区地下水保护和管理</w:t>
      </w:r>
      <w:r>
        <w:rPr>
          <w:rFonts w:ascii="FangSong" w:hAnsi="FangSong" w:eastAsia="FangSong" w:cs="FangSong"/>
          <w:sz w:val="24"/>
          <w:szCs w:val="24"/>
          <w:spacing w:val="-5"/>
        </w:rPr>
        <w:t>条例》（</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  </w:t>
      </w:r>
      <w:r>
        <w:rPr>
          <w:rFonts w:ascii="FangSong" w:hAnsi="FangSong" w:eastAsia="FangSong" w:cs="FangSong"/>
          <w:sz w:val="24"/>
          <w:szCs w:val="24"/>
          <w:spacing w:val="-5"/>
        </w:rPr>
        <w:t>日</w:t>
      </w:r>
      <w:r>
        <w:rPr>
          <w:rFonts w:ascii="FangSong" w:hAnsi="FangSong" w:eastAsia="FangSong" w:cs="FangSong"/>
          <w:sz w:val="24"/>
          <w:szCs w:val="24"/>
          <w:spacing w:val="-18"/>
        </w:rPr>
        <w:t>）；</w:t>
      </w:r>
    </w:p>
    <w:p>
      <w:pPr>
        <w:ind w:left="40" w:right="62" w:firstLine="470"/>
        <w:spacing w:before="182"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17</w:t>
      </w:r>
      <w:r>
        <w:rPr>
          <w:rFonts w:ascii="FangSong" w:hAnsi="FangSong" w:eastAsia="FangSong" w:cs="FangSong"/>
          <w:sz w:val="24"/>
          <w:szCs w:val="24"/>
          <w:spacing w:val="1"/>
        </w:rPr>
        <w:t>）《内蒙古自治区人民政府办公厅关于矿产资源开发中加强草原生态</w:t>
      </w:r>
      <w:r>
        <w:rPr>
          <w:rFonts w:ascii="FangSong" w:hAnsi="FangSong" w:eastAsia="FangSong" w:cs="FangSong"/>
          <w:sz w:val="24"/>
          <w:szCs w:val="24"/>
        </w:rPr>
        <w:t>保护</w:t>
      </w:r>
      <w:r>
        <w:rPr>
          <w:rFonts w:ascii="FangSong" w:hAnsi="FangSong" w:eastAsia="FangSong" w:cs="FangSong"/>
          <w:sz w:val="24"/>
          <w:szCs w:val="24"/>
          <w:spacing w:val="-4"/>
        </w:rPr>
        <w:t>的意见》（内政办发〔</w:t>
      </w:r>
      <w:r>
        <w:rPr>
          <w:rFonts w:ascii="Times New Roman" w:hAnsi="Times New Roman" w:eastAsia="Times New Roman" w:cs="Times New Roman"/>
          <w:sz w:val="24"/>
          <w:szCs w:val="24"/>
          <w:spacing w:val="-4"/>
        </w:rPr>
        <w:t>2021</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号</w:t>
      </w:r>
      <w:r>
        <w:rPr>
          <w:rFonts w:ascii="FangSong" w:hAnsi="FangSong" w:eastAsia="FangSong" w:cs="FangSong"/>
          <w:sz w:val="24"/>
          <w:szCs w:val="24"/>
          <w:spacing w:val="7"/>
        </w:rPr>
        <w:t>）；</w:t>
      </w:r>
    </w:p>
    <w:p>
      <w:pPr>
        <w:ind w:left="28" w:right="62" w:firstLine="483"/>
        <w:spacing w:before="179"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18</w:t>
      </w:r>
      <w:r>
        <w:rPr>
          <w:rFonts w:ascii="FangSong" w:hAnsi="FangSong" w:eastAsia="FangSong" w:cs="FangSong"/>
          <w:sz w:val="24"/>
          <w:szCs w:val="24"/>
          <w:spacing w:val="-3"/>
        </w:rPr>
        <w:t>）《锡林郭勒盟国民经济和社会发展第十四个五年规划和</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2035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年远景</w:t>
      </w:r>
      <w:r>
        <w:rPr>
          <w:rFonts w:ascii="FangSong" w:hAnsi="FangSong" w:eastAsia="FangSong" w:cs="FangSong"/>
          <w:sz w:val="24"/>
          <w:szCs w:val="24"/>
          <w:spacing w:val="-4"/>
        </w:rPr>
        <w:t>目标</w:t>
      </w:r>
      <w:r>
        <w:rPr>
          <w:rFonts w:ascii="FangSong" w:hAnsi="FangSong" w:eastAsia="FangSong" w:cs="FangSong"/>
          <w:sz w:val="24"/>
          <w:szCs w:val="24"/>
          <w:spacing w:val="-5"/>
        </w:rPr>
        <w:t>纲要》（锡署发〔</w:t>
      </w:r>
      <w:r>
        <w:rPr>
          <w:rFonts w:ascii="Times New Roman" w:hAnsi="Times New Roman" w:eastAsia="Times New Roman" w:cs="Times New Roman"/>
          <w:sz w:val="24"/>
          <w:szCs w:val="24"/>
          <w:spacing w:val="-5"/>
        </w:rPr>
        <w:t>2021</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51</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5"/>
        </w:rPr>
        <w:t>号</w:t>
      </w:r>
      <w:r>
        <w:rPr>
          <w:rFonts w:ascii="FangSong" w:hAnsi="FangSong" w:eastAsia="FangSong" w:cs="FangSong"/>
          <w:sz w:val="24"/>
          <w:szCs w:val="24"/>
          <w:spacing w:val="-18"/>
        </w:rPr>
        <w:t>）（</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5"/>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16  </w:t>
      </w:r>
      <w:r>
        <w:rPr>
          <w:rFonts w:ascii="FangSong" w:hAnsi="FangSong" w:eastAsia="FangSong" w:cs="FangSong"/>
          <w:sz w:val="24"/>
          <w:szCs w:val="24"/>
          <w:spacing w:val="-5"/>
        </w:rPr>
        <w:t>日</w:t>
      </w:r>
      <w:r>
        <w:rPr>
          <w:rFonts w:ascii="FangSong" w:hAnsi="FangSong" w:eastAsia="FangSong" w:cs="FangSong"/>
          <w:sz w:val="24"/>
          <w:szCs w:val="24"/>
          <w:spacing w:val="-6"/>
        </w:rPr>
        <w:t>）。</w:t>
      </w:r>
    </w:p>
    <w:p>
      <w:pPr>
        <w:ind w:left="16"/>
        <w:spacing w:before="180" w:line="222" w:lineRule="auto"/>
        <w:outlineLvl w:val="2"/>
        <w:rPr>
          <w:rFonts w:ascii="FangSong" w:hAnsi="FangSong" w:eastAsia="FangSong" w:cs="FangSong"/>
          <w:sz w:val="24"/>
          <w:szCs w:val="24"/>
        </w:rPr>
      </w:pPr>
      <w:bookmarkStart w:name="bookmark36" w:id="54"/>
      <w:bookmarkEnd w:id="54"/>
      <w:bookmarkStart w:name="bookmark35" w:id="55"/>
      <w:bookmarkEnd w:id="55"/>
      <w:r>
        <w:rPr>
          <w:rFonts w:ascii="Times New Roman" w:hAnsi="Times New Roman" w:eastAsia="Times New Roman" w:cs="Times New Roman"/>
          <w:sz w:val="24"/>
          <w:szCs w:val="24"/>
          <w:b/>
          <w:bCs/>
          <w:spacing w:val="-3"/>
        </w:rPr>
        <w:t>2.1.4</w:t>
      </w:r>
      <w:r>
        <w:rPr>
          <w:rFonts w:ascii="Times New Roman" w:hAnsi="Times New Roman" w:eastAsia="Times New Roman" w:cs="Times New Roman"/>
          <w:sz w:val="24"/>
          <w:szCs w:val="24"/>
          <w:b/>
          <w:bCs/>
          <w:spacing w:val="27"/>
        </w:rPr>
        <w:t xml:space="preserve"> </w:t>
      </w:r>
      <w:r>
        <w:rPr>
          <w:rFonts w:ascii="FangSong" w:hAnsi="FangSong" w:eastAsia="FangSong" w:cs="FangSong"/>
          <w:sz w:val="24"/>
          <w:szCs w:val="24"/>
          <w:b/>
          <w:bCs/>
          <w:spacing w:val="-3"/>
        </w:rPr>
        <w:t>环境影响评价技术导则及技术规范</w:t>
      </w:r>
    </w:p>
    <w:p>
      <w:pPr>
        <w:ind w:left="511"/>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）《建设项目环境影响评价技术导则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总纲》（</w:t>
      </w:r>
      <w:r>
        <w:rPr>
          <w:rFonts w:ascii="Times New Roman" w:hAnsi="Times New Roman" w:eastAsia="Times New Roman" w:cs="Times New Roman"/>
          <w:sz w:val="24"/>
          <w:szCs w:val="24"/>
          <w:spacing w:val="-2"/>
        </w:rPr>
        <w:t>HJ2.</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2"/>
        </w:rPr>
        <w:t>1-2016</w:t>
      </w:r>
      <w:r>
        <w:rPr>
          <w:rFonts w:ascii="FangSong" w:hAnsi="FangSong" w:eastAsia="FangSong" w:cs="FangSong"/>
          <w:sz w:val="24"/>
          <w:szCs w:val="24"/>
          <w:spacing w:val="7"/>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大气环境》（</w:t>
      </w:r>
      <w:r>
        <w:rPr>
          <w:rFonts w:ascii="Times New Roman" w:hAnsi="Times New Roman" w:eastAsia="Times New Roman" w:cs="Times New Roman"/>
          <w:sz w:val="24"/>
          <w:szCs w:val="24"/>
          <w:spacing w:val="-1"/>
        </w:rPr>
        <w:t>HJ2.2-2018</w:t>
      </w:r>
      <w:r>
        <w:rPr>
          <w:rFonts w:ascii="FangSong" w:hAnsi="FangSong" w:eastAsia="FangSong" w:cs="FangSong"/>
          <w:sz w:val="24"/>
          <w:szCs w:val="24"/>
          <w:spacing w:val="4"/>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声环境》（</w:t>
      </w:r>
      <w:r>
        <w:rPr>
          <w:rFonts w:ascii="Times New Roman" w:hAnsi="Times New Roman" w:eastAsia="Times New Roman" w:cs="Times New Roman"/>
          <w:sz w:val="24"/>
          <w:szCs w:val="24"/>
          <w:spacing w:val="-1"/>
        </w:rPr>
        <w:t>HJ2.4-2021</w:t>
      </w:r>
      <w:r>
        <w:rPr>
          <w:rFonts w:ascii="FangSong" w:hAnsi="FangSong" w:eastAsia="FangSong" w:cs="FangSong"/>
          <w:sz w:val="24"/>
          <w:szCs w:val="24"/>
          <w:spacing w:val="3"/>
        </w:rPr>
        <w:t>）；</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地表水环境》（</w:t>
      </w:r>
      <w:r>
        <w:rPr>
          <w:rFonts w:ascii="Times New Roman" w:hAnsi="Times New Roman" w:eastAsia="Times New Roman" w:cs="Times New Roman"/>
          <w:sz w:val="24"/>
          <w:szCs w:val="24"/>
          <w:spacing w:val="-1"/>
        </w:rPr>
        <w:t>HJ2.3-2018</w:t>
      </w:r>
      <w:r>
        <w:rPr>
          <w:rFonts w:ascii="FangSong" w:hAnsi="FangSong" w:eastAsia="FangSong" w:cs="FangSong"/>
          <w:sz w:val="24"/>
          <w:szCs w:val="24"/>
          <w:spacing w:val="4"/>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地下水环境》（</w:t>
      </w:r>
      <w:r>
        <w:rPr>
          <w:rFonts w:ascii="Times New Roman" w:hAnsi="Times New Roman" w:eastAsia="Times New Roman" w:cs="Times New Roman"/>
          <w:sz w:val="24"/>
          <w:szCs w:val="24"/>
          <w:spacing w:val="-1"/>
        </w:rPr>
        <w:t>HJ610-2016</w:t>
      </w:r>
      <w:r>
        <w:rPr>
          <w:rFonts w:ascii="FangSong" w:hAnsi="FangSong" w:eastAsia="FangSong" w:cs="FangSong"/>
          <w:sz w:val="24"/>
          <w:szCs w:val="24"/>
          <w:spacing w:val="4"/>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6</w:t>
      </w:r>
      <w:r>
        <w:rPr>
          <w:rFonts w:ascii="FangSong" w:hAnsi="FangSong" w:eastAsia="FangSong" w:cs="FangSong"/>
          <w:sz w:val="24"/>
          <w:szCs w:val="24"/>
          <w:spacing w:val="-1"/>
        </w:rPr>
        <w:t>）《环境影响评价技术导则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土壤环境（试行）》（</w:t>
      </w:r>
      <w:r>
        <w:rPr>
          <w:rFonts w:ascii="Times New Roman" w:hAnsi="Times New Roman" w:eastAsia="Times New Roman" w:cs="Times New Roman"/>
          <w:sz w:val="24"/>
          <w:szCs w:val="24"/>
          <w:spacing w:val="-1"/>
        </w:rPr>
        <w:t>HJ964-2018</w:t>
      </w:r>
      <w:r>
        <w:rPr>
          <w:rFonts w:ascii="FangSong" w:hAnsi="FangSong" w:eastAsia="FangSong" w:cs="FangSong"/>
          <w:sz w:val="24"/>
          <w:szCs w:val="24"/>
          <w:spacing w:val="6"/>
        </w:rPr>
        <w:t>）；</w:t>
      </w:r>
    </w:p>
    <w:p>
      <w:pPr>
        <w:ind w:left="511"/>
        <w:spacing w:before="182"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）《环境影响评价技术导则</w:t>
      </w:r>
      <w:r>
        <w:rPr>
          <w:rFonts w:ascii="FangSong" w:hAnsi="FangSong" w:eastAsia="FangSong" w:cs="FangSong"/>
          <w:sz w:val="24"/>
          <w:szCs w:val="24"/>
          <w:spacing w:val="31"/>
        </w:rPr>
        <w:t xml:space="preserve"> </w:t>
      </w:r>
      <w:r>
        <w:rPr>
          <w:rFonts w:ascii="FangSong" w:hAnsi="FangSong" w:eastAsia="FangSong" w:cs="FangSong"/>
          <w:sz w:val="24"/>
          <w:szCs w:val="24"/>
          <w:spacing w:val="-2"/>
        </w:rPr>
        <w:t>生态影响》（</w:t>
      </w:r>
      <w:r>
        <w:rPr>
          <w:rFonts w:ascii="Times New Roman" w:hAnsi="Times New Roman" w:eastAsia="Times New Roman" w:cs="Times New Roman"/>
          <w:sz w:val="24"/>
          <w:szCs w:val="24"/>
          <w:spacing w:val="-2"/>
        </w:rPr>
        <w:t>HJ19-2022</w:t>
      </w:r>
      <w:r>
        <w:rPr>
          <w:rFonts w:ascii="FangSong" w:hAnsi="FangSong" w:eastAsia="FangSong" w:cs="FangSong"/>
          <w:sz w:val="24"/>
          <w:szCs w:val="24"/>
          <w:spacing w:val="2"/>
        </w:rPr>
        <w:t>）；</w:t>
      </w:r>
    </w:p>
    <w:p>
      <w:pPr>
        <w:spacing w:line="222" w:lineRule="auto"/>
        <w:sectPr>
          <w:footerReference w:type="default" r:id="rId55"/>
          <w:pgSz w:w="11911" w:h="16839"/>
          <w:pgMar w:top="400" w:right="135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511"/>
        <w:spacing w:before="78" w:line="222" w:lineRule="auto"/>
        <w:rPr>
          <w:rFonts w:ascii="FangSong" w:hAnsi="FangSong" w:eastAsia="FangSong" w:cs="FangSong"/>
          <w:sz w:val="24"/>
          <w:szCs w:val="24"/>
        </w:rPr>
      </w:pPr>
      <w:bookmarkStart w:name="bookmark508" w:id="56"/>
      <w:bookmarkEnd w:id="56"/>
      <w:r>
        <w:rPr>
          <w:rFonts w:ascii="FangSong" w:hAnsi="FangSong" w:eastAsia="FangSong" w:cs="FangSong"/>
          <w:sz w:val="24"/>
          <w:szCs w:val="24"/>
          <w:spacing w:val="-1"/>
        </w:rPr>
        <w:t>（</w:t>
      </w:r>
      <w:r>
        <w:rPr>
          <w:rFonts w:ascii="Times New Roman" w:hAnsi="Times New Roman" w:eastAsia="Times New Roman" w:cs="Times New Roman"/>
          <w:sz w:val="24"/>
          <w:szCs w:val="24"/>
          <w:spacing w:val="-1"/>
        </w:rPr>
        <w:t>8</w:t>
      </w:r>
      <w:r>
        <w:rPr>
          <w:rFonts w:ascii="FangSong" w:hAnsi="FangSong" w:eastAsia="FangSong" w:cs="FangSong"/>
          <w:sz w:val="24"/>
          <w:szCs w:val="24"/>
          <w:spacing w:val="-1"/>
        </w:rPr>
        <w:t>）《建设项目环境风险评价技术导则》（</w:t>
      </w:r>
      <w:r>
        <w:rPr>
          <w:rFonts w:ascii="Times New Roman" w:hAnsi="Times New Roman" w:eastAsia="Times New Roman" w:cs="Times New Roman"/>
          <w:sz w:val="24"/>
          <w:szCs w:val="24"/>
          <w:spacing w:val="-1"/>
        </w:rPr>
        <w:t>HJ169-2018</w:t>
      </w:r>
      <w:r>
        <w:rPr>
          <w:rFonts w:ascii="FangSong" w:hAnsi="FangSong" w:eastAsia="FangSong" w:cs="FangSong"/>
          <w:sz w:val="24"/>
          <w:szCs w:val="24"/>
          <w:spacing w:val="3"/>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9</w:t>
      </w:r>
      <w:r>
        <w:rPr>
          <w:rFonts w:ascii="FangSong" w:hAnsi="FangSong" w:eastAsia="FangSong" w:cs="FangSong"/>
          <w:sz w:val="24"/>
          <w:szCs w:val="24"/>
          <w:spacing w:val="-1"/>
        </w:rPr>
        <w:t>）《排污单位自行监测技术指南</w:t>
      </w:r>
      <w:r>
        <w:rPr>
          <w:rFonts w:ascii="FangSong" w:hAnsi="FangSong" w:eastAsia="FangSong" w:cs="FangSong"/>
          <w:sz w:val="24"/>
          <w:szCs w:val="24"/>
          <w:spacing w:val="-1"/>
        </w:rPr>
        <w:t xml:space="preserve"> </w:t>
      </w:r>
      <w:r>
        <w:rPr>
          <w:rFonts w:ascii="FangSong" w:hAnsi="FangSong" w:eastAsia="FangSong" w:cs="FangSong"/>
          <w:sz w:val="24"/>
          <w:szCs w:val="24"/>
          <w:spacing w:val="-1"/>
        </w:rPr>
        <w:t>总纲》（</w:t>
      </w:r>
      <w:r>
        <w:rPr>
          <w:rFonts w:ascii="Times New Roman" w:hAnsi="Times New Roman" w:eastAsia="Times New Roman" w:cs="Times New Roman"/>
          <w:sz w:val="24"/>
          <w:szCs w:val="24"/>
          <w:spacing w:val="-1"/>
        </w:rPr>
        <w:t>HJ820-2017</w:t>
      </w:r>
      <w:r>
        <w:rPr>
          <w:rFonts w:ascii="FangSong" w:hAnsi="FangSong" w:eastAsia="FangSong" w:cs="FangSong"/>
          <w:sz w:val="24"/>
          <w:szCs w:val="24"/>
          <w:spacing w:val="4"/>
        </w:rPr>
        <w:t>）；</w:t>
      </w:r>
    </w:p>
    <w:p>
      <w:pPr>
        <w:ind w:left="511"/>
        <w:spacing w:before="178"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）《尾矿库安全规程》（</w:t>
      </w:r>
      <w:r>
        <w:rPr>
          <w:rFonts w:ascii="Times New Roman" w:hAnsi="Times New Roman" w:eastAsia="Times New Roman" w:cs="Times New Roman"/>
          <w:sz w:val="24"/>
          <w:szCs w:val="24"/>
          <w:spacing w:val="-1"/>
        </w:rPr>
        <w:t>GB 39496-2020</w:t>
      </w:r>
      <w:r>
        <w:rPr>
          <w:rFonts w:ascii="FangSong" w:hAnsi="FangSong" w:eastAsia="FangSong" w:cs="FangSong"/>
          <w:sz w:val="24"/>
          <w:szCs w:val="24"/>
          <w:spacing w:val="1"/>
        </w:rPr>
        <w:t>）；</w:t>
      </w:r>
    </w:p>
    <w:p>
      <w:pPr>
        <w:ind w:left="511"/>
        <w:spacing w:before="179"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11</w:t>
      </w:r>
      <w:r>
        <w:rPr>
          <w:rFonts w:ascii="FangSong" w:hAnsi="FangSong" w:eastAsia="FangSong" w:cs="FangSong"/>
          <w:sz w:val="24"/>
          <w:szCs w:val="24"/>
          <w:spacing w:val="-1"/>
        </w:rPr>
        <w:t>）《尾矿设施设计规范》（</w:t>
      </w:r>
      <w:r>
        <w:rPr>
          <w:rFonts w:ascii="Times New Roman" w:hAnsi="Times New Roman" w:eastAsia="Times New Roman" w:cs="Times New Roman"/>
          <w:sz w:val="24"/>
          <w:szCs w:val="24"/>
          <w:spacing w:val="-1"/>
        </w:rPr>
        <w:t>GB50863-2</w:t>
      </w:r>
      <w:r>
        <w:rPr>
          <w:rFonts w:ascii="Times New Roman" w:hAnsi="Times New Roman" w:eastAsia="Times New Roman" w:cs="Times New Roman"/>
          <w:sz w:val="24"/>
          <w:szCs w:val="24"/>
          <w:spacing w:val="-2"/>
        </w:rPr>
        <w:t>013</w:t>
      </w:r>
      <w:r>
        <w:rPr>
          <w:rFonts w:ascii="FangSong" w:hAnsi="FangSong" w:eastAsia="FangSong" w:cs="FangSong"/>
          <w:sz w:val="24"/>
          <w:szCs w:val="24"/>
          <w:spacing w:val="-2"/>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12</w:t>
      </w:r>
      <w:r>
        <w:rPr>
          <w:rFonts w:ascii="FangSong" w:hAnsi="FangSong" w:eastAsia="FangSong" w:cs="FangSong"/>
          <w:sz w:val="24"/>
          <w:szCs w:val="24"/>
          <w:spacing w:val="-1"/>
        </w:rPr>
        <w:t>）《土地利用现状分类》（</w:t>
      </w:r>
      <w:r>
        <w:rPr>
          <w:rFonts w:ascii="Times New Roman" w:hAnsi="Times New Roman" w:eastAsia="Times New Roman" w:cs="Times New Roman"/>
          <w:sz w:val="24"/>
          <w:szCs w:val="24"/>
          <w:spacing w:val="-1"/>
        </w:rPr>
        <w:t>GB/T21010-2017</w:t>
      </w:r>
      <w:r>
        <w:rPr>
          <w:rFonts w:ascii="FangSong" w:hAnsi="FangSong" w:eastAsia="FangSong" w:cs="FangSong"/>
          <w:sz w:val="24"/>
          <w:szCs w:val="24"/>
          <w:spacing w:val="2"/>
        </w:rPr>
        <w:t>）；</w:t>
      </w:r>
    </w:p>
    <w:p>
      <w:pPr>
        <w:ind w:left="511"/>
        <w:spacing w:before="179"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13</w:t>
      </w:r>
      <w:r>
        <w:rPr>
          <w:rFonts w:ascii="FangSong" w:hAnsi="FangSong" w:eastAsia="FangSong" w:cs="FangSong"/>
          <w:sz w:val="24"/>
          <w:szCs w:val="24"/>
          <w:spacing w:val="-2"/>
        </w:rPr>
        <w:t>）《扬尘源颗粒物排放清单编制技术指南》（</w:t>
      </w:r>
      <w:r>
        <w:rPr>
          <w:rFonts w:ascii="FangSong" w:hAnsi="FangSong" w:eastAsia="FangSong" w:cs="FangSong"/>
          <w:sz w:val="24"/>
          <w:szCs w:val="24"/>
          <w:spacing w:val="-3"/>
        </w:rPr>
        <w:t>公告</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2014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年第</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92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号</w:t>
      </w:r>
      <w:r>
        <w:rPr>
          <w:rFonts w:ascii="FangSong" w:hAnsi="FangSong" w:eastAsia="FangSong" w:cs="FangSong"/>
          <w:sz w:val="24"/>
          <w:szCs w:val="24"/>
        </w:rPr>
        <w:t>）；</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14</w:t>
      </w:r>
      <w:r>
        <w:rPr>
          <w:rFonts w:ascii="FangSong" w:hAnsi="FangSong" w:eastAsia="FangSong" w:cs="FangSong"/>
          <w:sz w:val="24"/>
          <w:szCs w:val="24"/>
          <w:spacing w:val="-1"/>
        </w:rPr>
        <w:t>）《危险废物鉴别技术规范》（</w:t>
      </w:r>
      <w:r>
        <w:rPr>
          <w:rFonts w:ascii="Times New Roman" w:hAnsi="Times New Roman" w:eastAsia="Times New Roman" w:cs="Times New Roman"/>
          <w:sz w:val="24"/>
          <w:szCs w:val="24"/>
          <w:spacing w:val="-1"/>
        </w:rPr>
        <w:t>HJ/T298-2019</w:t>
      </w:r>
      <w:r>
        <w:rPr>
          <w:rFonts w:ascii="FangSong" w:hAnsi="FangSong" w:eastAsia="FangSong" w:cs="FangSong"/>
          <w:sz w:val="24"/>
          <w:szCs w:val="24"/>
          <w:spacing w:val="3"/>
        </w:rPr>
        <w:t>）；</w:t>
      </w:r>
    </w:p>
    <w:p>
      <w:pPr>
        <w:ind w:left="31" w:firstLine="480"/>
        <w:spacing w:before="181"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15</w:t>
      </w:r>
      <w:r>
        <w:rPr>
          <w:rFonts w:ascii="FangSong" w:hAnsi="FangSong" w:eastAsia="FangSong" w:cs="FangSong"/>
          <w:sz w:val="24"/>
          <w:szCs w:val="24"/>
          <w:spacing w:val="-3"/>
        </w:rPr>
        <w:t>）《国家危险废物名录（</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3"/>
        </w:rPr>
        <w:t>年版）》（生态环境部令〔</w:t>
      </w:r>
      <w:r>
        <w:rPr>
          <w:rFonts w:ascii="Times New Roman" w:hAnsi="Times New Roman" w:eastAsia="Times New Roman" w:cs="Times New Roman"/>
          <w:sz w:val="24"/>
          <w:szCs w:val="24"/>
          <w:spacing w:val="-3"/>
        </w:rPr>
        <w:t>2020</w:t>
      </w:r>
      <w:r>
        <w:rPr>
          <w:rFonts w:ascii="FangSong" w:hAnsi="FangSong" w:eastAsia="FangSong" w:cs="FangSong"/>
          <w:sz w:val="24"/>
          <w:szCs w:val="24"/>
          <w:spacing w:val="-3"/>
        </w:rPr>
        <w:t>〕第</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15</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号）</w:t>
      </w:r>
      <w:r>
        <w:rPr>
          <w:rFonts w:ascii="FangSong" w:hAnsi="FangSong" w:eastAsia="FangSong" w:cs="FangSong"/>
          <w:sz w:val="24"/>
          <w:szCs w:val="24"/>
        </w:rPr>
        <w:t xml:space="preserve"> </w:t>
      </w:r>
      <w:r>
        <w:rPr>
          <w:rFonts w:ascii="FangSong" w:hAnsi="FangSong" w:eastAsia="FangSong" w:cs="FangSong"/>
          <w:sz w:val="24"/>
          <w:szCs w:val="24"/>
          <w:spacing w:val="-19"/>
        </w:rPr>
        <w:t>（</w:t>
      </w:r>
      <w:r>
        <w:rPr>
          <w:rFonts w:ascii="Times New Roman" w:hAnsi="Times New Roman" w:eastAsia="Times New Roman" w:cs="Times New Roman"/>
          <w:sz w:val="24"/>
          <w:szCs w:val="24"/>
          <w:spacing w:val="-19"/>
        </w:rPr>
        <w:t>2021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9"/>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9"/>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19"/>
        </w:rPr>
        <w:t>日</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9"/>
        </w:rPr>
        <w:t>1</w:t>
      </w:r>
      <w:r>
        <w:rPr>
          <w:rFonts w:ascii="FangSong" w:hAnsi="FangSong" w:eastAsia="FangSong" w:cs="FangSong"/>
          <w:sz w:val="24"/>
          <w:szCs w:val="24"/>
        </w:rPr>
        <w:t>）；</w:t>
      </w:r>
    </w:p>
    <w:p>
      <w:pPr>
        <w:ind w:left="511"/>
        <w:spacing w:before="177" w:line="22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16</w:t>
      </w:r>
      <w:r>
        <w:rPr>
          <w:rFonts w:ascii="FangSong" w:hAnsi="FangSong" w:eastAsia="FangSong" w:cs="FangSong"/>
          <w:sz w:val="24"/>
          <w:szCs w:val="24"/>
        </w:rPr>
        <w:t>）《矿山生态环境保护与恢复治理技术规范》（试行</w:t>
      </w:r>
      <w:r>
        <w:rPr>
          <w:rFonts w:ascii="FangSong" w:hAnsi="FangSong" w:eastAsia="FangSong" w:cs="FangSong"/>
          <w:sz w:val="24"/>
          <w:szCs w:val="24"/>
          <w:spacing w:val="-6"/>
        </w:rPr>
        <w:t>）（</w:t>
      </w:r>
      <w:r>
        <w:rPr>
          <w:rFonts w:ascii="Times New Roman" w:hAnsi="Times New Roman" w:eastAsia="Times New Roman" w:cs="Times New Roman"/>
          <w:sz w:val="24"/>
          <w:szCs w:val="24"/>
        </w:rPr>
        <w:t>HJ651-2013</w:t>
      </w:r>
      <w:r>
        <w:rPr>
          <w:rFonts w:ascii="FangSong" w:hAnsi="FangSong" w:eastAsia="FangSong" w:cs="FangSong"/>
          <w:sz w:val="24"/>
          <w:szCs w:val="24"/>
          <w:spacing w:val="-6"/>
        </w:rPr>
        <w:t>）；</w:t>
      </w:r>
    </w:p>
    <w:p>
      <w:pPr>
        <w:ind w:left="31" w:right="120" w:firstLine="480"/>
        <w:spacing w:before="180" w:line="291" w:lineRule="auto"/>
        <w:rPr>
          <w:rFonts w:ascii="FangSong" w:hAnsi="FangSong" w:eastAsia="FangSong" w:cs="FangSong"/>
          <w:sz w:val="24"/>
          <w:szCs w:val="24"/>
        </w:rPr>
      </w:pP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17</w:t>
      </w:r>
      <w:r>
        <w:rPr>
          <w:rFonts w:ascii="FangSong" w:hAnsi="FangSong" w:eastAsia="FangSong" w:cs="FangSong"/>
          <w:sz w:val="24"/>
          <w:szCs w:val="24"/>
          <w:spacing w:val="11"/>
        </w:rPr>
        <w:t>）</w:t>
      </w:r>
      <w:r>
        <w:rPr>
          <w:rFonts w:ascii="FangSong" w:hAnsi="FangSong" w:eastAsia="FangSong" w:cs="FangSong"/>
          <w:sz w:val="24"/>
          <w:szCs w:val="24"/>
          <w:spacing w:val="-81"/>
        </w:rPr>
        <w:t xml:space="preserve"> </w:t>
      </w:r>
      <w:r>
        <w:rPr>
          <w:rFonts w:ascii="FangSong" w:hAnsi="FangSong" w:eastAsia="FangSong" w:cs="FangSong"/>
          <w:sz w:val="24"/>
          <w:szCs w:val="24"/>
          <w:spacing w:val="11"/>
        </w:rPr>
        <w:t>《矿山生态环境保护与恢复治理方案（规划）</w:t>
      </w:r>
      <w:r>
        <w:rPr>
          <w:rFonts w:ascii="FangSong" w:hAnsi="FangSong" w:eastAsia="FangSong" w:cs="FangSong"/>
          <w:sz w:val="24"/>
          <w:szCs w:val="24"/>
          <w:spacing w:val="-66"/>
        </w:rPr>
        <w:t xml:space="preserve"> </w:t>
      </w:r>
      <w:r>
        <w:rPr>
          <w:rFonts w:ascii="FangSong" w:hAnsi="FangSong" w:eastAsia="FangSong" w:cs="FangSong"/>
          <w:sz w:val="24"/>
          <w:szCs w:val="24"/>
          <w:spacing w:val="11"/>
        </w:rPr>
        <w:t>编制规范》</w:t>
      </w:r>
      <w:r>
        <w:rPr>
          <w:rFonts w:ascii="FangSong" w:hAnsi="FangSong" w:eastAsia="FangSong" w:cs="FangSong"/>
          <w:sz w:val="24"/>
          <w:szCs w:val="24"/>
          <w:spacing w:val="-84"/>
        </w:rPr>
        <w:t xml:space="preserve"> </w:t>
      </w:r>
      <w:r>
        <w:rPr>
          <w:rFonts w:ascii="FangSong" w:hAnsi="FangSong" w:eastAsia="FangSong" w:cs="FangSong"/>
          <w:sz w:val="24"/>
          <w:szCs w:val="24"/>
          <w:spacing w:val="11"/>
        </w:rPr>
        <w:t>（试行）</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HJ652-2013</w:t>
      </w:r>
      <w:r>
        <w:rPr>
          <w:rFonts w:ascii="FangSong" w:hAnsi="FangSong" w:eastAsia="FangSong" w:cs="FangSong"/>
          <w:sz w:val="24"/>
          <w:szCs w:val="24"/>
        </w:rPr>
        <w:t>）；</w:t>
      </w:r>
    </w:p>
    <w:p>
      <w:pPr>
        <w:ind w:left="511"/>
        <w:spacing w:before="179"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18</w:t>
      </w:r>
      <w:r>
        <w:rPr>
          <w:rFonts w:ascii="FangSong" w:hAnsi="FangSong" w:eastAsia="FangSong" w:cs="FangSong"/>
          <w:sz w:val="24"/>
          <w:szCs w:val="24"/>
          <w:spacing w:val="-1"/>
        </w:rPr>
        <w:t>）《一般工业固体废物贮存和填埋污染控制标准》（</w:t>
      </w:r>
      <w:r>
        <w:rPr>
          <w:rFonts w:ascii="Times New Roman" w:hAnsi="Times New Roman" w:eastAsia="Times New Roman" w:cs="Times New Roman"/>
          <w:sz w:val="24"/>
          <w:szCs w:val="24"/>
          <w:spacing w:val="-1"/>
        </w:rPr>
        <w:t>GB</w:t>
      </w:r>
      <w:r>
        <w:rPr>
          <w:rFonts w:ascii="Times New Roman" w:hAnsi="Times New Roman" w:eastAsia="Times New Roman" w:cs="Times New Roman"/>
          <w:sz w:val="24"/>
          <w:szCs w:val="24"/>
          <w:spacing w:val="27"/>
        </w:rPr>
        <w:t xml:space="preserve"> </w:t>
      </w:r>
      <w:r>
        <w:rPr>
          <w:rFonts w:ascii="Times New Roman" w:hAnsi="Times New Roman" w:eastAsia="Times New Roman" w:cs="Times New Roman"/>
          <w:sz w:val="24"/>
          <w:szCs w:val="24"/>
          <w:spacing w:val="-2"/>
        </w:rPr>
        <w:t>18599-2020</w:t>
      </w:r>
      <w:r>
        <w:rPr>
          <w:rFonts w:ascii="FangSong" w:hAnsi="FangSong" w:eastAsia="FangSong" w:cs="FangSong"/>
          <w:sz w:val="24"/>
          <w:szCs w:val="24"/>
          <w:spacing w:val="-2"/>
        </w:rPr>
        <w:t>）。</w:t>
      </w:r>
    </w:p>
    <w:p>
      <w:pPr>
        <w:ind w:left="16"/>
        <w:spacing w:before="181" w:line="220" w:lineRule="auto"/>
        <w:outlineLvl w:val="2"/>
        <w:rPr>
          <w:rFonts w:ascii="FangSong" w:hAnsi="FangSong" w:eastAsia="FangSong" w:cs="FangSong"/>
          <w:sz w:val="24"/>
          <w:szCs w:val="24"/>
        </w:rPr>
      </w:pPr>
      <w:bookmarkStart w:name="bookmark38" w:id="57"/>
      <w:bookmarkEnd w:id="57"/>
      <w:bookmarkStart w:name="bookmark37" w:id="58"/>
      <w:bookmarkEnd w:id="58"/>
      <w:r>
        <w:rPr>
          <w:rFonts w:ascii="Times New Roman" w:hAnsi="Times New Roman" w:eastAsia="Times New Roman" w:cs="Times New Roman"/>
          <w:sz w:val="24"/>
          <w:szCs w:val="24"/>
          <w:b/>
          <w:bCs/>
          <w:spacing w:val="-4"/>
        </w:rPr>
        <w:t>2.1.5</w:t>
      </w:r>
      <w:r>
        <w:rPr>
          <w:rFonts w:ascii="Times New Roman" w:hAnsi="Times New Roman" w:eastAsia="Times New Roman" w:cs="Times New Roman"/>
          <w:sz w:val="24"/>
          <w:szCs w:val="24"/>
          <w:b/>
          <w:bCs/>
          <w:spacing w:val="26"/>
          <w:w w:val="101"/>
        </w:rPr>
        <w:t xml:space="preserve"> </w:t>
      </w:r>
      <w:r>
        <w:rPr>
          <w:rFonts w:ascii="FangSong" w:hAnsi="FangSong" w:eastAsia="FangSong" w:cs="FangSong"/>
          <w:sz w:val="24"/>
          <w:szCs w:val="24"/>
          <w:b/>
          <w:bCs/>
          <w:spacing w:val="-4"/>
        </w:rPr>
        <w:t>其它相关资料</w:t>
      </w:r>
    </w:p>
    <w:p>
      <w:pPr>
        <w:ind w:left="511"/>
        <w:spacing w:before="182"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）项目环评委托书；</w:t>
      </w:r>
    </w:p>
    <w:p>
      <w:pPr>
        <w:ind w:left="26" w:right="99" w:firstLine="485"/>
        <w:spacing w:before="177"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）《内蒙古自治区苏尼特右旗桑宝力嘎额尔登塔拉矿区萤石矿资源储量核实</w:t>
      </w:r>
      <w:r>
        <w:rPr>
          <w:rFonts w:ascii="FangSong" w:hAnsi="FangSong" w:eastAsia="FangSong" w:cs="FangSong"/>
          <w:sz w:val="24"/>
          <w:szCs w:val="24"/>
          <w:spacing w:val="-4"/>
        </w:rPr>
        <w:t>报告》；</w:t>
      </w:r>
    </w:p>
    <w:p>
      <w:pPr>
        <w:ind w:left="31" w:right="99" w:firstLine="480"/>
        <w:spacing w:before="177" w:line="29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&lt;</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1"/>
        </w:rPr>
        <w:t>内蒙古自治区苏尼特右旗桑宝力嘎额尔登塔拉矿区萤石矿资源储量核</w:t>
      </w:r>
      <w:r>
        <w:rPr>
          <w:rFonts w:ascii="FangSong" w:hAnsi="FangSong" w:eastAsia="FangSong" w:cs="FangSong"/>
          <w:sz w:val="24"/>
          <w:szCs w:val="24"/>
          <w:spacing w:val="-1"/>
        </w:rPr>
        <w:t>实报告</w:t>
      </w:r>
      <w:r>
        <w:rPr>
          <w:rFonts w:ascii="Times New Roman" w:hAnsi="Times New Roman" w:eastAsia="Times New Roman" w:cs="Times New Roman"/>
          <w:sz w:val="24"/>
          <w:szCs w:val="24"/>
          <w:spacing w:val="-1"/>
        </w:rPr>
        <w:t>&gt;</w:t>
      </w:r>
      <w:r>
        <w:rPr>
          <w:rFonts w:ascii="FangSong" w:hAnsi="FangSong" w:eastAsia="FangSong" w:cs="FangSong"/>
          <w:sz w:val="24"/>
          <w:szCs w:val="24"/>
          <w:spacing w:val="-1"/>
        </w:rPr>
        <w:t>矿产资源储量评审意见书》（内自然资</w:t>
      </w:r>
      <w:r>
        <w:rPr>
          <w:rFonts w:ascii="FangSong" w:hAnsi="FangSong" w:eastAsia="FangSong" w:cs="FangSong"/>
          <w:sz w:val="24"/>
          <w:szCs w:val="24"/>
          <w:spacing w:val="-2"/>
        </w:rPr>
        <w:t>储评字﹝</w:t>
      </w:r>
      <w:r>
        <w:rPr>
          <w:rFonts w:ascii="Times New Roman" w:hAnsi="Times New Roman" w:eastAsia="Times New Roman" w:cs="Times New Roman"/>
          <w:sz w:val="24"/>
          <w:szCs w:val="24"/>
          <w:spacing w:val="-2"/>
        </w:rPr>
        <w:t>2025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97</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号</w:t>
      </w:r>
      <w:r>
        <w:rPr>
          <w:rFonts w:ascii="FangSong" w:hAnsi="FangSong" w:eastAsia="FangSong" w:cs="FangSong"/>
          <w:sz w:val="24"/>
          <w:szCs w:val="24"/>
        </w:rPr>
        <w:t>）；</w:t>
      </w:r>
    </w:p>
    <w:p>
      <w:pPr>
        <w:ind w:left="28" w:right="99" w:firstLine="483"/>
        <w:spacing w:before="177" w:line="29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）苏尼特右旗富邦矿业有限公司苏尼特右旗桑宝力嘎额尔</w:t>
      </w:r>
      <w:r>
        <w:rPr>
          <w:rFonts w:ascii="FangSong" w:hAnsi="FangSong" w:eastAsia="FangSong" w:cs="FangSong"/>
          <w:sz w:val="24"/>
          <w:szCs w:val="24"/>
          <w:spacing w:val="1"/>
        </w:rPr>
        <w:t>登塔拉萤石矿</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10</w:t>
      </w:r>
      <w:r>
        <w:rPr>
          <w:rFonts w:ascii="FangSong" w:hAnsi="FangSong" w:eastAsia="FangSong" w:cs="FangSong"/>
          <w:sz w:val="24"/>
          <w:szCs w:val="24"/>
          <w:spacing w:val="-3"/>
        </w:rPr>
        <w:t>万</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采选项目可行性研究报告；</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）《苏尼特右旗桑宝力嘎额尔登塔拉萤石矿开采方案》；</w:t>
      </w:r>
    </w:p>
    <w:p>
      <w:pPr>
        <w:ind w:left="23" w:right="96" w:firstLine="488"/>
        <w:spacing w:before="179" w:line="31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）苏尼特右旗自然资源局《关于核实苏尼特右旗富邦矿业有限公司苏尼特右</w:t>
      </w:r>
      <w:r>
        <w:rPr>
          <w:rFonts w:ascii="FangSong" w:hAnsi="FangSong" w:eastAsia="FangSong" w:cs="FangSong"/>
          <w:sz w:val="24"/>
          <w:szCs w:val="24"/>
          <w:spacing w:val="1"/>
        </w:rPr>
        <w:t>旗桑宝力嘎额尔登塔拉萤石矿区采矿权范围内是否涉及生态保护红线的复函》（苏</w:t>
      </w:r>
      <w:r>
        <w:rPr>
          <w:rFonts w:ascii="FangSong" w:hAnsi="FangSong" w:eastAsia="FangSong" w:cs="FangSong"/>
          <w:sz w:val="24"/>
          <w:szCs w:val="24"/>
          <w:spacing w:val="-3"/>
        </w:rPr>
        <w:t>右自然资规函</w:t>
      </w:r>
      <w:r>
        <w:rPr>
          <w:rFonts w:ascii="Times New Roman" w:hAnsi="Times New Roman" w:eastAsia="Times New Roman" w:cs="Times New Roman"/>
          <w:sz w:val="24"/>
          <w:szCs w:val="24"/>
          <w:spacing w:val="-3"/>
        </w:rPr>
        <w:t>[2025]124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号</w:t>
      </w:r>
      <w:r>
        <w:rPr>
          <w:rFonts w:ascii="FangSong" w:hAnsi="FangSong" w:eastAsia="FangSong" w:cs="FangSong"/>
          <w:sz w:val="24"/>
          <w:szCs w:val="24"/>
          <w:spacing w:val="5"/>
        </w:rPr>
        <w:t>）；</w:t>
      </w:r>
    </w:p>
    <w:p>
      <w:pPr>
        <w:ind w:left="26" w:right="96" w:firstLine="485"/>
        <w:spacing w:before="192" w:line="313"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7</w:t>
      </w:r>
      <w:r>
        <w:rPr>
          <w:rFonts w:ascii="FangSong" w:hAnsi="FangSong" w:eastAsia="FangSong" w:cs="FangSong"/>
          <w:sz w:val="24"/>
          <w:szCs w:val="24"/>
          <w:spacing w:val="1"/>
        </w:rPr>
        <w:t>）苏尼特右旗自然资源局《关于</w:t>
      </w:r>
      <w:r>
        <w:rPr>
          <w:rFonts w:ascii="Times New Roman" w:hAnsi="Times New Roman" w:eastAsia="Times New Roman" w:cs="Times New Roman"/>
          <w:sz w:val="24"/>
          <w:szCs w:val="24"/>
          <w:spacing w:val="1"/>
        </w:rPr>
        <w:t>&lt;</w:t>
      </w:r>
      <w:r>
        <w:rPr>
          <w:rFonts w:ascii="FangSong" w:hAnsi="FangSong" w:eastAsia="FangSong" w:cs="FangSong"/>
          <w:sz w:val="24"/>
          <w:szCs w:val="24"/>
          <w:spacing w:val="1"/>
        </w:rPr>
        <w:t>核实内</w:t>
      </w:r>
      <w:r>
        <w:rPr>
          <w:rFonts w:ascii="FangSong" w:hAnsi="FangSong" w:eastAsia="FangSong" w:cs="FangSong"/>
          <w:sz w:val="24"/>
          <w:szCs w:val="24"/>
        </w:rPr>
        <w:t>蒙古自治区苏尼特右旗富邦矿业有</w:t>
      </w:r>
      <w:r>
        <w:rPr>
          <w:rFonts w:ascii="FangSong" w:hAnsi="FangSong" w:eastAsia="FangSong" w:cs="FangSong"/>
          <w:sz w:val="24"/>
          <w:szCs w:val="24"/>
          <w:spacing w:val="1"/>
        </w:rPr>
        <w:t>限公司桑宝力嘎额尔登塔拉矿区矿产资源选址是否涉及永久基本农田和城镇开发边</w:t>
      </w:r>
      <w:r>
        <w:rPr>
          <w:rFonts w:ascii="FangSong" w:hAnsi="FangSong" w:eastAsia="FangSong" w:cs="FangSong"/>
          <w:sz w:val="24"/>
          <w:szCs w:val="24"/>
          <w:spacing w:val="-2"/>
        </w:rPr>
        <w:t>界与矿区不重叠的函</w:t>
      </w:r>
      <w:r>
        <w:rPr>
          <w:rFonts w:ascii="Times New Roman" w:hAnsi="Times New Roman" w:eastAsia="Times New Roman" w:cs="Times New Roman"/>
          <w:sz w:val="24"/>
          <w:szCs w:val="24"/>
          <w:spacing w:val="-2"/>
        </w:rPr>
        <w:t>&gt;</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2"/>
        </w:rPr>
        <w:t>的复函》（</w:t>
      </w:r>
      <w:r>
        <w:rPr>
          <w:rFonts w:ascii="Times New Roman" w:hAnsi="Times New Roman" w:eastAsia="Times New Roman" w:cs="Times New Roman"/>
          <w:sz w:val="24"/>
          <w:szCs w:val="24"/>
          <w:spacing w:val="-2"/>
        </w:rPr>
        <w:t>2025.7.25</w:t>
      </w:r>
      <w:r>
        <w:rPr>
          <w:rFonts w:ascii="FangSong" w:hAnsi="FangSong" w:eastAsia="FangSong" w:cs="FangSong"/>
          <w:sz w:val="24"/>
          <w:szCs w:val="24"/>
        </w:rPr>
        <w:t>）；</w:t>
      </w:r>
    </w:p>
    <w:p>
      <w:pPr>
        <w:ind w:left="31" w:right="96" w:firstLine="480"/>
        <w:spacing w:before="179"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8</w:t>
      </w:r>
      <w:r>
        <w:rPr>
          <w:rFonts w:ascii="FangSong" w:hAnsi="FangSong" w:eastAsia="FangSong" w:cs="FangSong"/>
          <w:sz w:val="24"/>
          <w:szCs w:val="24"/>
          <w:spacing w:val="-3"/>
        </w:rPr>
        <w:t>）苏尼特右旗自然资源局《关于苏尼特右旗富邦矿业有限公司桑宝力嘎额尔</w:t>
      </w:r>
      <w:r>
        <w:rPr>
          <w:rFonts w:ascii="FangSong" w:hAnsi="FangSong" w:eastAsia="FangSong" w:cs="FangSong"/>
          <w:sz w:val="24"/>
          <w:szCs w:val="24"/>
          <w:spacing w:val="1"/>
        </w:rPr>
        <w:t>登塔拉萤石矿区采矿权范围内是否涉及城镇开发边界与矿区不重叠的复函》（苏右</w:t>
      </w:r>
    </w:p>
    <w:p>
      <w:pPr>
        <w:spacing w:line="291" w:lineRule="auto"/>
        <w:sectPr>
          <w:footerReference w:type="default" r:id="rId56"/>
          <w:pgSz w:w="11911" w:h="16839"/>
          <w:pgMar w:top="400" w:right="1319"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71"/>
        <w:spacing w:before="78" w:line="212" w:lineRule="auto"/>
        <w:rPr>
          <w:rFonts w:ascii="FangSong" w:hAnsi="FangSong" w:eastAsia="FangSong" w:cs="FangSong"/>
          <w:sz w:val="24"/>
          <w:szCs w:val="24"/>
        </w:rPr>
      </w:pPr>
      <w:bookmarkStart w:name="bookmark509" w:id="59"/>
      <w:bookmarkEnd w:id="59"/>
      <w:r>
        <w:rPr>
          <w:rFonts w:ascii="FangSong" w:hAnsi="FangSong" w:eastAsia="FangSong" w:cs="FangSong"/>
          <w:sz w:val="24"/>
          <w:szCs w:val="24"/>
          <w:spacing w:val="-6"/>
        </w:rPr>
        <w:t>自然资规函</w:t>
      </w:r>
      <w:r>
        <w:rPr>
          <w:rFonts w:ascii="Times New Roman" w:hAnsi="Times New Roman" w:eastAsia="Times New Roman" w:cs="Times New Roman"/>
          <w:sz w:val="24"/>
          <w:szCs w:val="24"/>
          <w:spacing w:val="-6"/>
        </w:rPr>
        <w:t>[2025]132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6"/>
        </w:rPr>
        <w:t>号</w:t>
      </w:r>
      <w:r>
        <w:rPr>
          <w:rFonts w:ascii="FangSong" w:hAnsi="FangSong" w:eastAsia="FangSong" w:cs="FangSong"/>
          <w:sz w:val="24"/>
          <w:szCs w:val="24"/>
          <w:spacing w:val="2"/>
        </w:rPr>
        <w:t>）；</w:t>
      </w:r>
    </w:p>
    <w:p>
      <w:pPr>
        <w:ind w:left="26" w:firstLine="485"/>
        <w:spacing w:before="194"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9</w:t>
      </w:r>
      <w:r>
        <w:rPr>
          <w:rFonts w:ascii="FangSong" w:hAnsi="FangSong" w:eastAsia="FangSong" w:cs="FangSong"/>
          <w:sz w:val="24"/>
          <w:szCs w:val="24"/>
        </w:rPr>
        <w:t>）苏尼特右旗林业和草原局《关于</w:t>
      </w:r>
      <w:r>
        <w:rPr>
          <w:rFonts w:ascii="Times New Roman" w:hAnsi="Times New Roman" w:eastAsia="Times New Roman" w:cs="Times New Roman"/>
          <w:sz w:val="24"/>
          <w:szCs w:val="24"/>
        </w:rPr>
        <w:t>&lt;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rPr>
        <w:t>苏尼特右旗富邦矿业有</w:t>
      </w:r>
      <w:r>
        <w:rPr>
          <w:rFonts w:ascii="FangSong" w:hAnsi="FangSong" w:eastAsia="FangSong" w:cs="FangSong"/>
          <w:sz w:val="24"/>
          <w:szCs w:val="24"/>
          <w:spacing w:val="-1"/>
        </w:rPr>
        <w:t>限公司桑宝力嘎</w:t>
      </w:r>
      <w:r>
        <w:rPr>
          <w:rFonts w:ascii="FangSong" w:hAnsi="FangSong" w:eastAsia="FangSong" w:cs="FangSong"/>
          <w:sz w:val="24"/>
          <w:szCs w:val="24"/>
          <w:spacing w:val="-3"/>
        </w:rPr>
        <w:t>额尔登塔拉萤石矿区采矿权范围内是否涉及各级各类</w:t>
      </w:r>
      <w:r>
        <w:rPr>
          <w:rFonts w:ascii="FangSong" w:hAnsi="FangSong" w:eastAsia="FangSong" w:cs="FangSong"/>
          <w:sz w:val="24"/>
          <w:szCs w:val="24"/>
          <w:spacing w:val="-4"/>
        </w:rPr>
        <w:t>自然保护地、基本草原、林地、</w:t>
      </w:r>
      <w:r>
        <w:rPr>
          <w:rFonts w:ascii="FangSong" w:hAnsi="FangSong" w:eastAsia="FangSong" w:cs="FangSong"/>
          <w:sz w:val="24"/>
          <w:szCs w:val="24"/>
          <w:spacing w:val="-3"/>
        </w:rPr>
        <w:t>湿地的函</w:t>
      </w:r>
      <w:r>
        <w:rPr>
          <w:rFonts w:ascii="Times New Roman" w:hAnsi="Times New Roman" w:eastAsia="Times New Roman" w:cs="Times New Roman"/>
          <w:sz w:val="24"/>
          <w:szCs w:val="24"/>
          <w:spacing w:val="-3"/>
        </w:rPr>
        <w:t>&gt;</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的复函》（苏右林草函（</w:t>
      </w:r>
      <w:r>
        <w:rPr>
          <w:rFonts w:ascii="Times New Roman" w:hAnsi="Times New Roman" w:eastAsia="Times New Roman" w:cs="Times New Roman"/>
          <w:sz w:val="24"/>
          <w:szCs w:val="24"/>
          <w:spacing w:val="-3"/>
        </w:rPr>
        <w:t>2025</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191</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号</w:t>
      </w:r>
      <w:r>
        <w:rPr>
          <w:rFonts w:ascii="FangSong" w:hAnsi="FangSong" w:eastAsia="FangSong" w:cs="FangSong"/>
          <w:sz w:val="24"/>
          <w:szCs w:val="24"/>
          <w:spacing w:val="3"/>
        </w:rPr>
        <w:t>）；</w:t>
      </w:r>
    </w:p>
    <w:p>
      <w:pPr>
        <w:ind w:left="24" w:right="74" w:firstLine="487"/>
        <w:spacing w:before="176" w:line="313"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）锡林郭勒盟生态环境局苏尼特右旗分局《关于核查苏尼特右旗富邦矿业</w:t>
      </w:r>
      <w:r>
        <w:rPr>
          <w:rFonts w:ascii="FangSong" w:hAnsi="FangSong" w:eastAsia="FangSong" w:cs="FangSong"/>
          <w:sz w:val="24"/>
          <w:szCs w:val="24"/>
          <w:spacing w:val="-1"/>
        </w:rPr>
        <w:t>有限公司苏尼特右旗桑宝力嘎额尔登塔拉萤石矿</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采选项目用地是否位于饮</w:t>
      </w:r>
      <w:r>
        <w:rPr>
          <w:rFonts w:ascii="FangSong" w:hAnsi="FangSong" w:eastAsia="FangSong" w:cs="FangSong"/>
          <w:sz w:val="24"/>
          <w:szCs w:val="24"/>
          <w:spacing w:val="-2"/>
        </w:rPr>
        <w:t>用水水源保护区的复函》（</w:t>
      </w:r>
      <w:r>
        <w:rPr>
          <w:rFonts w:ascii="Times New Roman" w:hAnsi="Times New Roman" w:eastAsia="Times New Roman" w:cs="Times New Roman"/>
          <w:sz w:val="24"/>
          <w:szCs w:val="24"/>
          <w:spacing w:val="-2"/>
        </w:rPr>
        <w:t>2025.6.</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18</w:t>
      </w:r>
      <w:r>
        <w:rPr>
          <w:rFonts w:ascii="FangSong" w:hAnsi="FangSong" w:eastAsia="FangSong" w:cs="FangSong"/>
          <w:sz w:val="24"/>
          <w:szCs w:val="24"/>
        </w:rPr>
        <w:t>）；</w:t>
      </w:r>
    </w:p>
    <w:p>
      <w:pPr>
        <w:ind w:left="30" w:right="14" w:firstLine="481"/>
        <w:spacing w:before="182"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11</w:t>
      </w:r>
      <w:r>
        <w:rPr>
          <w:rFonts w:ascii="FangSong" w:hAnsi="FangSong" w:eastAsia="FangSong" w:cs="FangSong"/>
          <w:sz w:val="24"/>
          <w:szCs w:val="24"/>
          <w:spacing w:val="1"/>
        </w:rPr>
        <w:t>）苏尼特右旗文体旅游广电局《关于对苏尼特右旗富邦矿业有限公司</w:t>
      </w:r>
      <w:r>
        <w:rPr>
          <w:rFonts w:ascii="FangSong" w:hAnsi="FangSong" w:eastAsia="FangSong" w:cs="FangSong"/>
          <w:sz w:val="24"/>
          <w:szCs w:val="24"/>
        </w:rPr>
        <w:t>桑宝</w:t>
      </w:r>
      <w:r>
        <w:rPr>
          <w:rFonts w:ascii="FangSong" w:hAnsi="FangSong" w:eastAsia="FangSong" w:cs="FangSong"/>
          <w:sz w:val="24"/>
          <w:szCs w:val="24"/>
          <w:spacing w:val="-2"/>
        </w:rPr>
        <w:t>力嘎额尔登塔拉萤石矿区采矿权范围是否涉及文物保护单位的复</w:t>
      </w:r>
      <w:r>
        <w:rPr>
          <w:rFonts w:ascii="FangSong" w:hAnsi="FangSong" w:eastAsia="FangSong" w:cs="FangSong"/>
          <w:sz w:val="24"/>
          <w:szCs w:val="24"/>
          <w:spacing w:val="-3"/>
        </w:rPr>
        <w:t>函》（</w:t>
      </w:r>
      <w:r>
        <w:rPr>
          <w:rFonts w:ascii="Times New Roman" w:hAnsi="Times New Roman" w:eastAsia="Times New Roman" w:cs="Times New Roman"/>
          <w:sz w:val="24"/>
          <w:szCs w:val="24"/>
          <w:spacing w:val="-3"/>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11</w:t>
      </w:r>
      <w:r>
        <w:rPr>
          <w:rFonts w:ascii="FangSong" w:hAnsi="FangSong" w:eastAsia="FangSong" w:cs="FangSong"/>
          <w:sz w:val="24"/>
          <w:szCs w:val="24"/>
          <w:spacing w:val="-40"/>
        </w:rPr>
        <w:t>）；</w:t>
      </w:r>
    </w:p>
    <w:p>
      <w:pPr>
        <w:ind w:left="34" w:right="76" w:firstLine="477"/>
        <w:spacing w:before="180"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12</w:t>
      </w:r>
      <w:r>
        <w:rPr>
          <w:rFonts w:ascii="FangSong" w:hAnsi="FangSong" w:eastAsia="FangSong" w:cs="FangSong"/>
          <w:sz w:val="24"/>
          <w:szCs w:val="24"/>
          <w:spacing w:val="-3"/>
        </w:rPr>
        <w:t>）苏尼特右旗农牧和科技局《关于</w:t>
      </w:r>
      <w:r>
        <w:rPr>
          <w:rFonts w:ascii="Times New Roman" w:hAnsi="Times New Roman" w:eastAsia="Times New Roman" w:cs="Times New Roman"/>
          <w:sz w:val="24"/>
          <w:szCs w:val="24"/>
          <w:spacing w:val="-3"/>
        </w:rPr>
        <w:t>&lt;</w:t>
      </w:r>
      <w:r>
        <w:rPr>
          <w:rFonts w:ascii="FangSong" w:hAnsi="FangSong" w:eastAsia="FangSong" w:cs="FangSong"/>
          <w:sz w:val="24"/>
          <w:szCs w:val="24"/>
          <w:spacing w:val="-3"/>
        </w:rPr>
        <w:t>苏尼特右旗富邦矿业有限公司关于核实</w:t>
      </w:r>
      <w:r>
        <w:rPr>
          <w:rFonts w:ascii="FangSong" w:hAnsi="FangSong" w:eastAsia="FangSong" w:cs="FangSong"/>
          <w:sz w:val="24"/>
          <w:szCs w:val="24"/>
          <w:spacing w:val="3"/>
        </w:rPr>
        <w:t>桑宝力嘎额尔登塔拉萤石矿区采矿权范围内是否影响河道行洪和水源区域</w:t>
      </w:r>
      <w:r>
        <w:rPr>
          <w:rFonts w:ascii="FangSong" w:hAnsi="FangSong" w:eastAsia="FangSong" w:cs="FangSong"/>
          <w:sz w:val="24"/>
          <w:szCs w:val="24"/>
          <w:spacing w:val="2"/>
        </w:rPr>
        <w:t>的函</w:t>
      </w:r>
      <w:r>
        <w:rPr>
          <w:rFonts w:ascii="Times New Roman" w:hAnsi="Times New Roman" w:eastAsia="Times New Roman" w:cs="Times New Roman"/>
          <w:sz w:val="24"/>
          <w:szCs w:val="24"/>
          <w:spacing w:val="2"/>
        </w:rPr>
        <w:t>&gt;</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复</w:t>
      </w:r>
      <w:r>
        <w:rPr>
          <w:rFonts w:ascii="FangSong" w:hAnsi="FangSong" w:eastAsia="FangSong" w:cs="FangSong"/>
          <w:sz w:val="24"/>
          <w:szCs w:val="24"/>
          <w:spacing w:val="-5"/>
        </w:rPr>
        <w:t>函》（</w:t>
      </w:r>
      <w:r>
        <w:rPr>
          <w:rFonts w:ascii="Times New Roman" w:hAnsi="Times New Roman" w:eastAsia="Times New Roman" w:cs="Times New Roman"/>
          <w:sz w:val="24"/>
          <w:szCs w:val="24"/>
          <w:spacing w:val="-5"/>
        </w:rPr>
        <w:t>2025.7.</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5"/>
        </w:rPr>
        <w:t>14</w:t>
      </w:r>
      <w:r>
        <w:rPr>
          <w:rFonts w:ascii="FangSong" w:hAnsi="FangSong" w:eastAsia="FangSong" w:cs="FangSong"/>
          <w:sz w:val="24"/>
          <w:szCs w:val="24"/>
          <w:spacing w:val="3"/>
        </w:rPr>
        <w:t>）；</w:t>
      </w:r>
    </w:p>
    <w:p>
      <w:pPr>
        <w:ind w:left="36" w:right="74" w:firstLine="475"/>
        <w:spacing w:before="179"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13</w:t>
      </w:r>
      <w:r>
        <w:rPr>
          <w:rFonts w:ascii="FangSong" w:hAnsi="FangSong" w:eastAsia="FangSong" w:cs="FangSong"/>
          <w:sz w:val="24"/>
          <w:szCs w:val="24"/>
          <w:spacing w:val="1"/>
        </w:rPr>
        <w:t>）苏尼特右旗交通运输局《关于苏尼特右旗富邦矿业有限公司桑宝力嘎额</w:t>
      </w:r>
      <w:r>
        <w:rPr>
          <w:rFonts w:ascii="FangSong" w:hAnsi="FangSong" w:eastAsia="FangSong" w:cs="FangSong"/>
          <w:sz w:val="24"/>
          <w:szCs w:val="24"/>
          <w:spacing w:val="-1"/>
        </w:rPr>
        <w:t>尔登塔拉萤石矿区采矿权范围内是否涉及公路占</w:t>
      </w:r>
      <w:r>
        <w:rPr>
          <w:rFonts w:ascii="FangSong" w:hAnsi="FangSong" w:eastAsia="FangSong" w:cs="FangSong"/>
          <w:sz w:val="24"/>
          <w:szCs w:val="24"/>
          <w:spacing w:val="-2"/>
        </w:rPr>
        <w:t>地重叠的复函》（</w:t>
      </w:r>
      <w:r>
        <w:rPr>
          <w:rFonts w:ascii="Times New Roman" w:hAnsi="Times New Roman" w:eastAsia="Times New Roman" w:cs="Times New Roman"/>
          <w:sz w:val="24"/>
          <w:szCs w:val="24"/>
          <w:spacing w:val="-2"/>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14</w:t>
      </w:r>
      <w:r>
        <w:rPr>
          <w:rFonts w:ascii="FangSong" w:hAnsi="FangSong" w:eastAsia="FangSong" w:cs="FangSong"/>
          <w:sz w:val="24"/>
          <w:szCs w:val="24"/>
        </w:rPr>
        <w:t>）；</w:t>
      </w:r>
    </w:p>
    <w:p>
      <w:pPr>
        <w:ind w:left="26" w:right="74" w:firstLine="485"/>
        <w:spacing w:before="181" w:line="313"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14</w:t>
      </w:r>
      <w:r>
        <w:rPr>
          <w:rFonts w:ascii="FangSong" w:hAnsi="FangSong" w:eastAsia="FangSong" w:cs="FangSong"/>
          <w:sz w:val="24"/>
          <w:szCs w:val="24"/>
          <w:spacing w:val="1"/>
        </w:rPr>
        <w:t>）苏尼特右旗发展和改革委员会《关于苏尼特右旗富邦矿业有限公司苏尼</w:t>
      </w:r>
      <w:r>
        <w:rPr>
          <w:rFonts w:ascii="FangSong" w:hAnsi="FangSong" w:eastAsia="FangSong" w:cs="FangSong"/>
          <w:sz w:val="24"/>
          <w:szCs w:val="24"/>
          <w:spacing w:val="3"/>
        </w:rPr>
        <w:t>特右旗桑宝力嘎额尔登塔拉萤石矿</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3"/>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年采选项目是否符合产业政策的复函》</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2025.7.8</w:t>
      </w:r>
      <w:r>
        <w:rPr>
          <w:rFonts w:ascii="FangSong" w:hAnsi="FangSong" w:eastAsia="FangSong" w:cs="FangSong"/>
          <w:sz w:val="24"/>
          <w:szCs w:val="24"/>
        </w:rPr>
        <w:t>）；</w:t>
      </w:r>
    </w:p>
    <w:p>
      <w:pPr>
        <w:ind w:left="36" w:right="74" w:firstLine="475"/>
        <w:spacing w:before="176"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w:t>
      </w:r>
      <w:r>
        <w:rPr>
          <w:rFonts w:ascii="FangSong" w:hAnsi="FangSong" w:eastAsia="FangSong" w:cs="FangSong"/>
          <w:sz w:val="24"/>
          <w:szCs w:val="24"/>
          <w:spacing w:val="1"/>
        </w:rPr>
        <w:t>）苏尼特右旗信访局《关于核实苏尼特右旗富邦矿业有限公司桑宝力嘎额</w:t>
      </w:r>
      <w:r>
        <w:rPr>
          <w:rFonts w:ascii="FangSong" w:hAnsi="FangSong" w:eastAsia="FangSong" w:cs="FangSong"/>
          <w:sz w:val="24"/>
          <w:szCs w:val="24"/>
          <w:spacing w:val="-1"/>
        </w:rPr>
        <w:t>尔登塔拉萤石矿采矿权范围是否存在信访违法举</w:t>
      </w:r>
      <w:r>
        <w:rPr>
          <w:rFonts w:ascii="FangSong" w:hAnsi="FangSong" w:eastAsia="FangSong" w:cs="FangSong"/>
          <w:sz w:val="24"/>
          <w:szCs w:val="24"/>
          <w:spacing w:val="-2"/>
        </w:rPr>
        <w:t>报问题的复函》（</w:t>
      </w:r>
      <w:r>
        <w:rPr>
          <w:rFonts w:ascii="Times New Roman" w:hAnsi="Times New Roman" w:eastAsia="Times New Roman" w:cs="Times New Roman"/>
          <w:sz w:val="24"/>
          <w:szCs w:val="24"/>
          <w:spacing w:val="-2"/>
        </w:rPr>
        <w:t>2025.7.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17</w:t>
      </w:r>
      <w:r>
        <w:rPr>
          <w:rFonts w:ascii="FangSong" w:hAnsi="FangSong" w:eastAsia="FangSong" w:cs="FangSong"/>
          <w:sz w:val="24"/>
          <w:szCs w:val="24"/>
        </w:rPr>
        <w:t>）；</w:t>
      </w:r>
    </w:p>
    <w:p>
      <w:pPr>
        <w:ind w:left="24" w:right="76" w:firstLine="487"/>
        <w:spacing w:before="182"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16</w:t>
      </w:r>
      <w:r>
        <w:rPr>
          <w:rFonts w:ascii="FangSong" w:hAnsi="FangSong" w:eastAsia="FangSong" w:cs="FangSong"/>
          <w:sz w:val="24"/>
          <w:szCs w:val="24"/>
          <w:spacing w:val="-3"/>
        </w:rPr>
        <w:t>）苏尼特右旗国防动员办公室《关于对</w:t>
      </w:r>
      <w:r>
        <w:rPr>
          <w:rFonts w:ascii="Times New Roman" w:hAnsi="Times New Roman" w:eastAsia="Times New Roman" w:cs="Times New Roman"/>
          <w:sz w:val="24"/>
          <w:szCs w:val="24"/>
          <w:spacing w:val="-3"/>
        </w:rPr>
        <w:t>&lt;</w:t>
      </w:r>
      <w:r>
        <w:rPr>
          <w:rFonts w:ascii="FangSong" w:hAnsi="FangSong" w:eastAsia="FangSong" w:cs="FangSong"/>
          <w:sz w:val="24"/>
          <w:szCs w:val="24"/>
          <w:spacing w:val="-3"/>
        </w:rPr>
        <w:t>关于申请查询苏尼特右旗富邦矿业</w:t>
      </w:r>
      <w:r>
        <w:rPr>
          <w:rFonts w:ascii="FangSong" w:hAnsi="FangSong" w:eastAsia="FangSong" w:cs="FangSong"/>
          <w:sz w:val="24"/>
          <w:szCs w:val="24"/>
          <w:spacing w:val="3"/>
        </w:rPr>
        <w:t>有限公司桑宝力嘎额尔登塔拉萤石矿区采矿权范围内是否涉及军事设施的函</w:t>
      </w:r>
      <w:r>
        <w:rPr>
          <w:rFonts w:ascii="Times New Roman" w:hAnsi="Times New Roman" w:eastAsia="Times New Roman" w:cs="Times New Roman"/>
          <w:sz w:val="24"/>
          <w:szCs w:val="24"/>
          <w:spacing w:val="3"/>
        </w:rPr>
        <w:t>&gt;</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的复</w:t>
      </w:r>
      <w:r>
        <w:rPr>
          <w:rFonts w:ascii="FangSong" w:hAnsi="FangSong" w:eastAsia="FangSong" w:cs="FangSong"/>
          <w:sz w:val="24"/>
          <w:szCs w:val="24"/>
          <w:spacing w:val="-3"/>
        </w:rPr>
        <w:t>函》（苏右国动函〔</w:t>
      </w:r>
      <w:r>
        <w:rPr>
          <w:rFonts w:ascii="Times New Roman" w:hAnsi="Times New Roman" w:eastAsia="Times New Roman" w:cs="Times New Roman"/>
          <w:sz w:val="24"/>
          <w:szCs w:val="24"/>
          <w:spacing w:val="-3"/>
        </w:rPr>
        <w:t>2025</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68</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3"/>
        </w:rPr>
        <w:t>号</w:t>
      </w:r>
      <w:r>
        <w:rPr>
          <w:rFonts w:ascii="FangSong" w:hAnsi="FangSong" w:eastAsia="FangSong" w:cs="FangSong"/>
          <w:sz w:val="24"/>
          <w:szCs w:val="24"/>
          <w:spacing w:val="7"/>
        </w:rPr>
        <w:t>）；</w:t>
      </w:r>
    </w:p>
    <w:p>
      <w:pPr>
        <w:ind w:left="32" w:right="74" w:firstLine="479"/>
        <w:spacing w:before="181" w:line="313"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17</w:t>
      </w:r>
      <w:r>
        <w:rPr>
          <w:rFonts w:ascii="FangSong" w:hAnsi="FangSong" w:eastAsia="FangSong" w:cs="FangSong"/>
          <w:sz w:val="24"/>
          <w:szCs w:val="24"/>
          <w:spacing w:val="1"/>
        </w:rPr>
        <w:t>）苏尼特右旗自然资源局《关于核实苏尼特右旗富邦矿业有限公司桑宝力</w:t>
      </w:r>
      <w:r>
        <w:rPr>
          <w:rFonts w:ascii="FangSong" w:hAnsi="FangSong" w:eastAsia="FangSong" w:cs="FangSong"/>
          <w:sz w:val="24"/>
          <w:szCs w:val="24"/>
          <w:spacing w:val="-1"/>
        </w:rPr>
        <w:t>嘎额尔登塔拉萤石矿是否压覆重要矿产资源的复函》（苏右自然资预函〔</w:t>
      </w:r>
      <w:r>
        <w:rPr>
          <w:rFonts w:ascii="Times New Roman" w:hAnsi="Times New Roman" w:eastAsia="Times New Roman" w:cs="Times New Roman"/>
          <w:sz w:val="24"/>
          <w:szCs w:val="24"/>
          <w:spacing w:val="-1"/>
        </w:rPr>
        <w:t>2025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67</w:t>
      </w:r>
      <w:r>
        <w:rPr>
          <w:rFonts w:ascii="FangSong" w:hAnsi="FangSong" w:eastAsia="FangSong" w:cs="FangSong"/>
          <w:sz w:val="24"/>
          <w:szCs w:val="24"/>
          <w:spacing w:val="-22"/>
        </w:rPr>
        <w:t>号</w:t>
      </w:r>
      <w:r>
        <w:rPr>
          <w:rFonts w:ascii="FangSong" w:hAnsi="FangSong" w:eastAsia="FangSong" w:cs="FangSong"/>
          <w:sz w:val="24"/>
          <w:szCs w:val="24"/>
        </w:rPr>
        <w:t>）；</w:t>
      </w:r>
    </w:p>
    <w:p>
      <w:pPr>
        <w:ind w:left="511"/>
        <w:spacing w:before="177"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18</w:t>
      </w:r>
      <w:r>
        <w:rPr>
          <w:rFonts w:ascii="FangSong" w:hAnsi="FangSong" w:eastAsia="FangSong" w:cs="FangSong"/>
          <w:sz w:val="24"/>
          <w:szCs w:val="24"/>
          <w:spacing w:val="-2"/>
        </w:rPr>
        <w:t>）建设单位其他资料。</w:t>
      </w:r>
    </w:p>
    <w:p>
      <w:pPr>
        <w:ind w:left="17"/>
        <w:spacing w:before="187" w:line="223" w:lineRule="auto"/>
        <w:outlineLvl w:val="1"/>
        <w:rPr>
          <w:rFonts w:ascii="FangSong" w:hAnsi="FangSong" w:eastAsia="FangSong" w:cs="FangSong"/>
          <w:sz w:val="28"/>
          <w:szCs w:val="28"/>
        </w:rPr>
      </w:pPr>
      <w:bookmarkStart w:name="bookmark40" w:id="60"/>
      <w:bookmarkEnd w:id="60"/>
      <w:bookmarkStart w:name="bookmark42" w:id="61"/>
      <w:bookmarkEnd w:id="61"/>
      <w:bookmarkStart w:name="bookmark39" w:id="62"/>
      <w:bookmarkEnd w:id="62"/>
      <w:bookmarkStart w:name="bookmark41" w:id="63"/>
      <w:bookmarkEnd w:id="63"/>
      <w:r>
        <w:rPr>
          <w:rFonts w:ascii="Times New Roman" w:hAnsi="Times New Roman" w:eastAsia="Times New Roman" w:cs="Times New Roman"/>
          <w:sz w:val="28"/>
          <w:szCs w:val="28"/>
          <w:b/>
          <w:bCs/>
          <w:spacing w:val="-2"/>
        </w:rPr>
        <w:t>2.2  </w:t>
      </w:r>
      <w:r>
        <w:rPr>
          <w:rFonts w:ascii="FangSong" w:hAnsi="FangSong" w:eastAsia="FangSong" w:cs="FangSong"/>
          <w:sz w:val="28"/>
          <w:szCs w:val="28"/>
          <w:b/>
          <w:bCs/>
          <w:spacing w:val="-2"/>
        </w:rPr>
        <w:t>评价目的及原则</w:t>
      </w:r>
    </w:p>
    <w:p>
      <w:pPr>
        <w:ind w:left="16"/>
        <w:spacing w:before="202" w:line="222" w:lineRule="auto"/>
        <w:outlineLvl w:val="2"/>
        <w:rPr>
          <w:rFonts w:ascii="FangSong" w:hAnsi="FangSong" w:eastAsia="FangSong" w:cs="FangSong"/>
          <w:sz w:val="24"/>
          <w:szCs w:val="24"/>
        </w:rPr>
      </w:pPr>
      <w:bookmarkStart w:name="bookmark510" w:id="64"/>
      <w:bookmarkEnd w:id="64"/>
      <w:r>
        <w:rPr>
          <w:rFonts w:ascii="Times New Roman" w:hAnsi="Times New Roman" w:eastAsia="Times New Roman" w:cs="Times New Roman"/>
          <w:sz w:val="24"/>
          <w:szCs w:val="24"/>
          <w:b/>
          <w:bCs/>
          <w:spacing w:val="-4"/>
        </w:rPr>
        <w:t>2.2.1</w:t>
      </w:r>
      <w:r>
        <w:rPr>
          <w:rFonts w:ascii="Times New Roman" w:hAnsi="Times New Roman" w:eastAsia="Times New Roman" w:cs="Times New Roman"/>
          <w:sz w:val="24"/>
          <w:szCs w:val="24"/>
          <w:b/>
          <w:bCs/>
          <w:spacing w:val="21"/>
        </w:rPr>
        <w:t xml:space="preserve"> </w:t>
      </w:r>
      <w:r>
        <w:rPr>
          <w:rFonts w:ascii="FangSong" w:hAnsi="FangSong" w:eastAsia="FangSong" w:cs="FangSong"/>
          <w:sz w:val="24"/>
          <w:szCs w:val="24"/>
          <w:b/>
          <w:bCs/>
          <w:spacing w:val="-4"/>
        </w:rPr>
        <w:t>评价目的</w:t>
      </w:r>
    </w:p>
    <w:p>
      <w:pPr>
        <w:ind w:left="28" w:right="74" w:firstLine="479"/>
        <w:spacing w:before="180" w:line="358" w:lineRule="auto"/>
        <w:rPr>
          <w:rFonts w:ascii="FangSong" w:hAnsi="FangSong" w:eastAsia="FangSong" w:cs="FangSong"/>
          <w:sz w:val="24"/>
          <w:szCs w:val="24"/>
        </w:rPr>
      </w:pPr>
      <w:r>
        <w:rPr>
          <w:rFonts w:ascii="FangSong" w:hAnsi="FangSong" w:eastAsia="FangSong" w:cs="FangSong"/>
          <w:sz w:val="24"/>
          <w:szCs w:val="24"/>
          <w:spacing w:val="1"/>
        </w:rPr>
        <w:t>本项目的环境影响评价旨在查明工程地区的生态环境现状，分析预测工程运营</w:t>
      </w:r>
      <w:r>
        <w:rPr>
          <w:rFonts w:ascii="FangSong" w:hAnsi="FangSong" w:eastAsia="FangSong" w:cs="FangSong"/>
          <w:sz w:val="24"/>
          <w:szCs w:val="24"/>
          <w:spacing w:val="1"/>
        </w:rPr>
        <w:t>对周边区域生态环境和区域社会经济可能造成的影响，针对工程运营期产生的不利</w:t>
      </w:r>
    </w:p>
    <w:p>
      <w:pPr>
        <w:spacing w:line="358" w:lineRule="auto"/>
        <w:sectPr>
          <w:footerReference w:type="default" r:id="rId57"/>
          <w:pgSz w:w="11911" w:h="16839"/>
          <w:pgMar w:top="400" w:right="1341"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6" w:right="65"/>
        <w:spacing w:before="78" w:line="359" w:lineRule="auto"/>
        <w:rPr>
          <w:rFonts w:ascii="FangSong" w:hAnsi="FangSong" w:eastAsia="FangSong" w:cs="FangSong"/>
          <w:sz w:val="24"/>
          <w:szCs w:val="24"/>
        </w:rPr>
      </w:pPr>
      <w:bookmarkStart w:name="bookmark511" w:id="65"/>
      <w:bookmarkEnd w:id="65"/>
      <w:r>
        <w:rPr>
          <w:rFonts w:ascii="FangSong" w:hAnsi="FangSong" w:eastAsia="FangSong" w:cs="FangSong"/>
          <w:sz w:val="24"/>
          <w:szCs w:val="24"/>
          <w:spacing w:val="1"/>
        </w:rPr>
        <w:t>环境影响提出建议，并制定防治对策和措施，从环境污染控制与生态保护的角度论</w:t>
      </w:r>
      <w:r>
        <w:rPr>
          <w:rFonts w:ascii="FangSong" w:hAnsi="FangSong" w:eastAsia="FangSong" w:cs="FangSong"/>
          <w:sz w:val="24"/>
          <w:szCs w:val="24"/>
          <w:spacing w:val="-1"/>
        </w:rPr>
        <w:t>证工程建设的可行性。具体目的如下：</w:t>
      </w:r>
    </w:p>
    <w:p>
      <w:pPr>
        <w:ind w:left="39" w:right="65" w:firstLine="472"/>
        <w:spacing w:line="290"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w:t>
      </w:r>
      <w:r>
        <w:rPr>
          <w:rFonts w:ascii="FangSong" w:hAnsi="FangSong" w:eastAsia="FangSong" w:cs="FangSong"/>
          <w:sz w:val="24"/>
          <w:szCs w:val="24"/>
          <w:spacing w:val="-6"/>
        </w:rPr>
        <w:t>）调查了解受工程影响区域的</w:t>
      </w:r>
      <w:r>
        <w:rPr>
          <w:rFonts w:ascii="FangSong" w:hAnsi="FangSong" w:eastAsia="FangSong" w:cs="FangSong"/>
          <w:sz w:val="24"/>
          <w:szCs w:val="24"/>
          <w:spacing w:val="-70"/>
        </w:rPr>
        <w:t xml:space="preserve"> </w:t>
      </w:r>
      <w:r>
        <w:rPr>
          <w:rFonts w:ascii="FangSong" w:hAnsi="FangSong" w:eastAsia="FangSong" w:cs="FangSong"/>
          <w:sz w:val="24"/>
          <w:szCs w:val="24"/>
          <w:spacing w:val="-6"/>
        </w:rPr>
        <w:t>″三线一单</w:t>
      </w:r>
      <w:r>
        <w:rPr>
          <w:rFonts w:ascii="FangSong" w:hAnsi="FangSong" w:eastAsia="FangSong" w:cs="FangSong"/>
          <w:sz w:val="24"/>
          <w:szCs w:val="24"/>
          <w:spacing w:val="-76"/>
        </w:rPr>
        <w:t xml:space="preserve"> </w:t>
      </w:r>
      <w:r>
        <w:rPr>
          <w:rFonts w:ascii="FangSong" w:hAnsi="FangSong" w:eastAsia="FangSong" w:cs="FangSong"/>
          <w:sz w:val="24"/>
          <w:szCs w:val="24"/>
          <w:spacing w:val="-6"/>
        </w:rPr>
        <w:t>″</w:t>
      </w:r>
      <w:r>
        <w:rPr>
          <w:rFonts w:ascii="FangSong" w:hAnsi="FangSong" w:eastAsia="FangSong" w:cs="FangSong"/>
          <w:sz w:val="24"/>
          <w:szCs w:val="24"/>
          <w:spacing w:val="-91"/>
        </w:rPr>
        <w:t xml:space="preserve"> </w:t>
      </w:r>
      <w:r>
        <w:rPr>
          <w:rFonts w:ascii="FangSong" w:hAnsi="FangSong" w:eastAsia="FangSong" w:cs="FangSong"/>
          <w:sz w:val="24"/>
          <w:szCs w:val="24"/>
          <w:spacing w:val="-6"/>
        </w:rPr>
        <w:t>管控、生态环境保护规划、矿产</w:t>
      </w:r>
      <w:r>
        <w:rPr>
          <w:rFonts w:ascii="FangSong" w:hAnsi="FangSong" w:eastAsia="FangSong" w:cs="FangSong"/>
          <w:sz w:val="24"/>
          <w:szCs w:val="24"/>
          <w:spacing w:val="-1"/>
        </w:rPr>
        <w:t>资源规划、产业发展规划及城镇总体规划等情况，分析工程与之符合性；</w:t>
      </w:r>
    </w:p>
    <w:p>
      <w:pPr>
        <w:ind w:left="31" w:right="65" w:firstLine="480"/>
        <w:spacing w:before="178"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）结合本项目地理位置，采用查阅历史资料、现场踏查、实际监测、卫星遥</w:t>
      </w:r>
      <w:r>
        <w:rPr>
          <w:rFonts w:ascii="FangSong" w:hAnsi="FangSong" w:eastAsia="FangSong" w:cs="FangSong"/>
          <w:sz w:val="24"/>
          <w:szCs w:val="24"/>
          <w:spacing w:val="-1"/>
        </w:rPr>
        <w:t>感等手段开展现状调查，进行项目所在地及所在区域的生态环境现状和情况；</w:t>
      </w:r>
    </w:p>
    <w:p>
      <w:pPr>
        <w:ind w:left="30" w:right="63" w:firstLine="481"/>
        <w:spacing w:before="179" w:line="31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）针对工程建设对周边，尤其是对环境敏感点带来的不利影响，提出并制定</w:t>
      </w:r>
      <w:r>
        <w:rPr>
          <w:rFonts w:ascii="FangSong" w:hAnsi="FangSong" w:eastAsia="FangSong" w:cs="FangSong"/>
          <w:sz w:val="24"/>
          <w:szCs w:val="24"/>
          <w:spacing w:val="1"/>
        </w:rPr>
        <w:t>可行的对策和污染防治措施，充分发挥工程的经济效益、社会效益与生态效益，保</w:t>
      </w:r>
      <w:r>
        <w:rPr>
          <w:rFonts w:ascii="FangSong" w:hAnsi="FangSong" w:eastAsia="FangSong" w:cs="FangSong"/>
          <w:sz w:val="24"/>
          <w:szCs w:val="24"/>
          <w:spacing w:val="-1"/>
        </w:rPr>
        <w:t>障工程周边生态环境质量不因项目的建设而受到严重干扰；</w:t>
      </w:r>
    </w:p>
    <w:p>
      <w:pPr>
        <w:ind w:left="27" w:right="63" w:firstLine="484"/>
        <w:spacing w:before="177"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）分析项目运营期区域生态环境，尤其是周围地上、地下生态环境状况的变</w:t>
      </w:r>
      <w:r>
        <w:rPr>
          <w:rFonts w:ascii="FangSong" w:hAnsi="FangSong" w:eastAsia="FangSong" w:cs="FangSong"/>
          <w:sz w:val="24"/>
          <w:szCs w:val="24"/>
          <w:spacing w:val="1"/>
        </w:rPr>
        <w:t>化趋势，分析探讨有利和不利影响的程度、范围与强度，从生态环境保护角度论证</w:t>
      </w:r>
      <w:r>
        <w:rPr>
          <w:rFonts w:ascii="FangSong" w:hAnsi="FangSong" w:eastAsia="FangSong" w:cs="FangSong"/>
          <w:sz w:val="24"/>
          <w:szCs w:val="24"/>
          <w:spacing w:val="-2"/>
        </w:rPr>
        <w:t>项目建设的可行性；</w:t>
      </w:r>
    </w:p>
    <w:p>
      <w:pPr>
        <w:ind w:left="28" w:right="65" w:firstLine="483"/>
        <w:spacing w:before="182"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）为该项目的审批机关提供环境保护方面的审批依据，为该项目的管理机关</w:t>
      </w:r>
      <w:r>
        <w:rPr>
          <w:rFonts w:ascii="FangSong" w:hAnsi="FangSong" w:eastAsia="FangSong" w:cs="FangSong"/>
          <w:sz w:val="24"/>
          <w:szCs w:val="24"/>
          <w:spacing w:val="1"/>
        </w:rPr>
        <w:t>提供环境保护方面的建议和结论，为本项目的设计、建设单位提供减免不利环境影</w:t>
      </w:r>
      <w:r>
        <w:rPr>
          <w:rFonts w:ascii="FangSong" w:hAnsi="FangSong" w:eastAsia="FangSong" w:cs="FangSong"/>
          <w:sz w:val="24"/>
          <w:szCs w:val="24"/>
          <w:spacing w:val="-2"/>
        </w:rPr>
        <w:t>响的可靠与可行设计依据。</w:t>
      </w:r>
    </w:p>
    <w:p>
      <w:pPr>
        <w:ind w:left="16"/>
        <w:spacing w:before="178" w:line="222" w:lineRule="auto"/>
        <w:outlineLvl w:val="2"/>
        <w:rPr>
          <w:rFonts w:ascii="FangSong" w:hAnsi="FangSong" w:eastAsia="FangSong" w:cs="FangSong"/>
          <w:sz w:val="24"/>
          <w:szCs w:val="24"/>
        </w:rPr>
      </w:pPr>
      <w:bookmarkStart w:name="bookmark44" w:id="66"/>
      <w:bookmarkEnd w:id="66"/>
      <w:bookmarkStart w:name="bookmark43" w:id="67"/>
      <w:bookmarkEnd w:id="67"/>
      <w:r>
        <w:rPr>
          <w:rFonts w:ascii="Times New Roman" w:hAnsi="Times New Roman" w:eastAsia="Times New Roman" w:cs="Times New Roman"/>
          <w:sz w:val="24"/>
          <w:szCs w:val="24"/>
          <w:b/>
          <w:bCs/>
          <w:spacing w:val="-4"/>
        </w:rPr>
        <w:t>2.2.2</w:t>
      </w:r>
      <w:r>
        <w:rPr>
          <w:rFonts w:ascii="Times New Roman" w:hAnsi="Times New Roman" w:eastAsia="Times New Roman" w:cs="Times New Roman"/>
          <w:sz w:val="24"/>
          <w:szCs w:val="24"/>
          <w:b/>
          <w:bCs/>
          <w:spacing w:val="21"/>
        </w:rPr>
        <w:t xml:space="preserve"> </w:t>
      </w:r>
      <w:r>
        <w:rPr>
          <w:rFonts w:ascii="FangSong" w:hAnsi="FangSong" w:eastAsia="FangSong" w:cs="FangSong"/>
          <w:sz w:val="24"/>
          <w:szCs w:val="24"/>
          <w:b/>
          <w:bCs/>
          <w:spacing w:val="-4"/>
        </w:rPr>
        <w:t>评价原则</w:t>
      </w:r>
    </w:p>
    <w:p>
      <w:pPr>
        <w:ind w:left="507"/>
        <w:spacing w:before="180" w:line="222" w:lineRule="auto"/>
        <w:rPr>
          <w:rFonts w:ascii="FangSong" w:hAnsi="FangSong" w:eastAsia="FangSong" w:cs="FangSong"/>
          <w:sz w:val="24"/>
          <w:szCs w:val="24"/>
        </w:rPr>
      </w:pPr>
      <w:r>
        <w:rPr>
          <w:rFonts w:ascii="FangSong" w:hAnsi="FangSong" w:eastAsia="FangSong" w:cs="FangSong"/>
          <w:sz w:val="24"/>
          <w:szCs w:val="24"/>
          <w:spacing w:val="-2"/>
        </w:rPr>
        <w:t>本项目环境影响评价遵循以下原则：</w:t>
      </w:r>
    </w:p>
    <w:p>
      <w:pPr>
        <w:ind w:left="39" w:right="65" w:firstLine="471"/>
        <w:spacing w:before="177" w:line="313"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w:t>
      </w:r>
      <w:r>
        <w:rPr>
          <w:rFonts w:ascii="FangSong" w:hAnsi="FangSong" w:eastAsia="FangSong" w:cs="FangSong"/>
          <w:sz w:val="24"/>
          <w:szCs w:val="24"/>
          <w:spacing w:val="-6"/>
        </w:rPr>
        <w:t>）坚持</w:t>
      </w:r>
      <w:r>
        <w:rPr>
          <w:rFonts w:ascii="FangSong" w:hAnsi="FangSong" w:eastAsia="FangSong" w:cs="FangSong"/>
          <w:sz w:val="24"/>
          <w:szCs w:val="24"/>
          <w:spacing w:val="-71"/>
        </w:rPr>
        <w:t xml:space="preserve"> </w:t>
      </w:r>
      <w:r>
        <w:rPr>
          <w:rFonts w:ascii="FangSong" w:hAnsi="FangSong" w:eastAsia="FangSong" w:cs="FangSong"/>
          <w:sz w:val="24"/>
          <w:szCs w:val="24"/>
          <w:spacing w:val="-6"/>
        </w:rPr>
        <w:t>″</w:t>
      </w:r>
      <w:r>
        <w:rPr>
          <w:rFonts w:ascii="FangSong" w:hAnsi="FangSong" w:eastAsia="FangSong" w:cs="FangSong"/>
          <w:sz w:val="24"/>
          <w:szCs w:val="24"/>
          <w:spacing w:val="-90"/>
        </w:rPr>
        <w:t xml:space="preserve"> </w:t>
      </w:r>
      <w:r>
        <w:rPr>
          <w:rFonts w:ascii="FangSong" w:hAnsi="FangSong" w:eastAsia="FangSong" w:cs="FangSong"/>
          <w:sz w:val="24"/>
          <w:szCs w:val="24"/>
          <w:spacing w:val="-6"/>
        </w:rPr>
        <w:t>生态优先、统筹考虑、适度开发、确保底线</w:t>
      </w:r>
      <w:r>
        <w:rPr>
          <w:rFonts w:ascii="FangSong" w:hAnsi="FangSong" w:eastAsia="FangSong" w:cs="FangSong"/>
          <w:sz w:val="24"/>
          <w:szCs w:val="24"/>
          <w:spacing w:val="-76"/>
        </w:rPr>
        <w:t xml:space="preserve"> </w:t>
      </w:r>
      <w:r>
        <w:rPr>
          <w:rFonts w:ascii="FangSong" w:hAnsi="FangSong" w:eastAsia="FangSong" w:cs="FangSong"/>
          <w:sz w:val="24"/>
          <w:szCs w:val="24"/>
          <w:spacing w:val="-6"/>
        </w:rPr>
        <w:t>″原则，优先考虑流域</w:t>
      </w:r>
      <w:r>
        <w:rPr>
          <w:rFonts w:ascii="FangSong" w:hAnsi="FangSong" w:eastAsia="FangSong" w:cs="FangSong"/>
          <w:sz w:val="24"/>
          <w:szCs w:val="24"/>
          <w:spacing w:val="1"/>
        </w:rPr>
        <w:t>生态保护，统筹考虑矿产资源开发利用与生态环境保护协</w:t>
      </w:r>
      <w:r>
        <w:rPr>
          <w:rFonts w:ascii="FangSong" w:hAnsi="FangSong" w:eastAsia="FangSong" w:cs="FangSong"/>
          <w:sz w:val="24"/>
          <w:szCs w:val="24"/>
        </w:rPr>
        <w:t>调发展，保留必要的生态</w:t>
      </w:r>
      <w:r>
        <w:rPr>
          <w:rFonts w:ascii="FangSong" w:hAnsi="FangSong" w:eastAsia="FangSong" w:cs="FangSong"/>
          <w:sz w:val="24"/>
          <w:szCs w:val="24"/>
          <w:spacing w:val="-2"/>
        </w:rPr>
        <w:t>空间，维护生态系统功能，坚持生态系统健康的底线。</w:t>
      </w:r>
    </w:p>
    <w:p>
      <w:pPr>
        <w:ind w:left="33" w:firstLine="478"/>
        <w:spacing w:before="179" w:line="290"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2</w:t>
      </w:r>
      <w:r>
        <w:rPr>
          <w:rFonts w:ascii="FangSong" w:hAnsi="FangSong" w:eastAsia="FangSong" w:cs="FangSong"/>
          <w:sz w:val="24"/>
          <w:szCs w:val="24"/>
          <w:spacing w:val="-7"/>
        </w:rPr>
        <w:t>）符合流域开发规划的原则。工程建设应符合流域总体</w:t>
      </w:r>
      <w:r>
        <w:rPr>
          <w:rFonts w:ascii="FangSong" w:hAnsi="FangSong" w:eastAsia="FangSong" w:cs="FangSong"/>
          <w:sz w:val="24"/>
          <w:szCs w:val="24"/>
          <w:spacing w:val="-8"/>
        </w:rPr>
        <w:t>规划，合理布局选点，</w:t>
      </w:r>
      <w:r>
        <w:rPr>
          <w:rFonts w:ascii="FangSong" w:hAnsi="FangSong" w:eastAsia="FangSong" w:cs="FangSong"/>
          <w:sz w:val="24"/>
          <w:szCs w:val="24"/>
          <w:spacing w:val="-1"/>
        </w:rPr>
        <w:t>合理开发利用矿产资源，使环境保护与矿产资源开发协调发展。</w:t>
      </w:r>
    </w:p>
    <w:p>
      <w:pPr>
        <w:ind w:left="31" w:right="65" w:firstLine="480"/>
        <w:spacing w:before="183"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）符合产业政策的原则。工程建设应符合当地国民经济计划发展纲要的总体</w:t>
      </w:r>
      <w:r>
        <w:rPr>
          <w:rFonts w:ascii="FangSong" w:hAnsi="FangSong" w:eastAsia="FangSong" w:cs="FangSong"/>
          <w:sz w:val="24"/>
          <w:szCs w:val="24"/>
          <w:spacing w:val="1"/>
        </w:rPr>
        <w:t>战略要求，符合苏尼特右旗矿产资源开发利用的基本思路，符合国家相关产</w:t>
      </w:r>
      <w:r>
        <w:rPr>
          <w:rFonts w:ascii="FangSong" w:hAnsi="FangSong" w:eastAsia="FangSong" w:cs="FangSong"/>
          <w:sz w:val="24"/>
          <w:szCs w:val="24"/>
        </w:rPr>
        <w:t>业政策</w:t>
      </w:r>
      <w:r>
        <w:rPr>
          <w:rFonts w:ascii="FangSong" w:hAnsi="FangSong" w:eastAsia="FangSong" w:cs="FangSong"/>
          <w:sz w:val="24"/>
          <w:szCs w:val="24"/>
          <w:spacing w:val="-7"/>
        </w:rPr>
        <w:t>要求。</w:t>
      </w:r>
    </w:p>
    <w:p>
      <w:pPr>
        <w:ind w:left="40" w:right="65" w:firstLine="470"/>
        <w:spacing w:before="176"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）合理分配利用资源、能源原则。合理分配利用资源、能源，确保当地居民</w:t>
      </w:r>
      <w:r>
        <w:rPr>
          <w:rFonts w:ascii="FangSong" w:hAnsi="FangSong" w:eastAsia="FangSong" w:cs="FangSong"/>
          <w:sz w:val="24"/>
          <w:szCs w:val="24"/>
          <w:spacing w:val="-2"/>
        </w:rPr>
        <w:t>生产、生活及区域生态环境资源、能源利用的需要。</w:t>
      </w:r>
    </w:p>
    <w:p>
      <w:pPr>
        <w:ind w:left="26" w:right="65" w:firstLine="485"/>
        <w:spacing w:before="177"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）污染物达标排放原则。针对现有各类污染物的产生及排放情况，结合区域</w:t>
      </w:r>
      <w:r>
        <w:rPr>
          <w:rFonts w:ascii="FangSong" w:hAnsi="FangSong" w:eastAsia="FangSong" w:cs="FangSong"/>
          <w:sz w:val="24"/>
          <w:szCs w:val="24"/>
          <w:spacing w:val="-1"/>
        </w:rPr>
        <w:t>环境功能要求，提出污染防治措施，做到达标排放，降低影响程度。</w:t>
      </w:r>
    </w:p>
    <w:p>
      <w:pPr>
        <w:ind w:left="511"/>
        <w:spacing w:before="180"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）环保措施合理性原则。环保措施的拟定，应具有针对性和可操作性，做到</w:t>
      </w:r>
    </w:p>
    <w:p>
      <w:pPr>
        <w:spacing w:line="220" w:lineRule="auto"/>
        <w:sectPr>
          <w:footerReference w:type="default" r:id="rId58"/>
          <w:pgSz w:w="11911" w:h="16839"/>
          <w:pgMar w:top="400" w:right="1352"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24"/>
        <w:spacing w:before="78" w:line="221" w:lineRule="auto"/>
        <w:rPr>
          <w:rFonts w:ascii="FangSong" w:hAnsi="FangSong" w:eastAsia="FangSong" w:cs="FangSong"/>
          <w:sz w:val="24"/>
          <w:szCs w:val="24"/>
        </w:rPr>
      </w:pPr>
      <w:r>
        <w:rPr>
          <w:rFonts w:ascii="FangSong" w:hAnsi="FangSong" w:eastAsia="FangSong" w:cs="FangSong"/>
          <w:sz w:val="24"/>
          <w:szCs w:val="24"/>
          <w:spacing w:val="-1"/>
        </w:rPr>
        <w:t>经济、可靠、实用，便于环保部门进行监督和管理。</w:t>
      </w:r>
    </w:p>
    <w:p>
      <w:pPr>
        <w:ind w:left="115"/>
        <w:spacing w:before="186" w:line="223" w:lineRule="auto"/>
        <w:outlineLvl w:val="1"/>
        <w:rPr>
          <w:rFonts w:ascii="FangSong" w:hAnsi="FangSong" w:eastAsia="FangSong" w:cs="FangSong"/>
          <w:sz w:val="28"/>
          <w:szCs w:val="28"/>
        </w:rPr>
      </w:pPr>
      <w:bookmarkStart w:name="bookmark46" w:id="68"/>
      <w:bookmarkEnd w:id="68"/>
      <w:bookmarkStart w:name="bookmark48" w:id="69"/>
      <w:bookmarkEnd w:id="69"/>
      <w:bookmarkStart w:name="bookmark45" w:id="70"/>
      <w:bookmarkEnd w:id="70"/>
      <w:bookmarkStart w:name="bookmark47" w:id="71"/>
      <w:bookmarkEnd w:id="71"/>
      <w:r>
        <w:rPr>
          <w:rFonts w:ascii="Times New Roman" w:hAnsi="Times New Roman" w:eastAsia="Times New Roman" w:cs="Times New Roman"/>
          <w:sz w:val="28"/>
          <w:szCs w:val="28"/>
          <w:b/>
          <w:bCs/>
          <w:spacing w:val="-2"/>
        </w:rPr>
        <w:t>2.3  </w:t>
      </w:r>
      <w:r>
        <w:rPr>
          <w:rFonts w:ascii="FangSong" w:hAnsi="FangSong" w:eastAsia="FangSong" w:cs="FangSong"/>
          <w:sz w:val="28"/>
          <w:szCs w:val="28"/>
          <w:b/>
          <w:bCs/>
          <w:spacing w:val="-2"/>
        </w:rPr>
        <w:t>环境影响因素识别和评价因子筛选</w:t>
      </w:r>
    </w:p>
    <w:p>
      <w:pPr>
        <w:ind w:left="114"/>
        <w:spacing w:before="201" w:line="222" w:lineRule="auto"/>
        <w:outlineLvl w:val="2"/>
        <w:rPr>
          <w:rFonts w:ascii="FangSong" w:hAnsi="FangSong" w:eastAsia="FangSong" w:cs="FangSong"/>
          <w:sz w:val="24"/>
          <w:szCs w:val="24"/>
        </w:rPr>
      </w:pPr>
      <w:bookmarkStart w:name="bookmark512" w:id="72"/>
      <w:bookmarkEnd w:id="72"/>
      <w:r>
        <w:rPr>
          <w:rFonts w:ascii="Times New Roman" w:hAnsi="Times New Roman" w:eastAsia="Times New Roman" w:cs="Times New Roman"/>
          <w:sz w:val="24"/>
          <w:szCs w:val="24"/>
          <w:b/>
          <w:bCs/>
          <w:spacing w:val="-3"/>
        </w:rPr>
        <w:t>2.3.1</w:t>
      </w:r>
      <w:r>
        <w:rPr>
          <w:rFonts w:ascii="Times New Roman" w:hAnsi="Times New Roman" w:eastAsia="Times New Roman" w:cs="Times New Roman"/>
          <w:sz w:val="24"/>
          <w:szCs w:val="24"/>
          <w:b/>
          <w:bCs/>
          <w:spacing w:val="19"/>
        </w:rPr>
        <w:t xml:space="preserve"> </w:t>
      </w:r>
      <w:r>
        <w:rPr>
          <w:rFonts w:ascii="FangSong" w:hAnsi="FangSong" w:eastAsia="FangSong" w:cs="FangSong"/>
          <w:sz w:val="24"/>
          <w:szCs w:val="24"/>
          <w:b/>
          <w:bCs/>
          <w:spacing w:val="-3"/>
        </w:rPr>
        <w:t>环境影响因素识别</w:t>
      </w:r>
    </w:p>
    <w:p>
      <w:pPr>
        <w:ind w:left="138" w:right="32" w:firstLine="466"/>
        <w:spacing w:before="177" w:line="359" w:lineRule="auto"/>
        <w:jc w:val="both"/>
        <w:rPr>
          <w:rFonts w:ascii="FangSong" w:hAnsi="FangSong" w:eastAsia="FangSong" w:cs="FangSong"/>
          <w:sz w:val="24"/>
          <w:szCs w:val="24"/>
        </w:rPr>
      </w:pPr>
      <w:r>
        <w:rPr>
          <w:rFonts w:ascii="FangSong" w:hAnsi="FangSong" w:eastAsia="FangSong" w:cs="FangSong"/>
          <w:sz w:val="24"/>
          <w:szCs w:val="24"/>
          <w:spacing w:val="-4"/>
        </w:rPr>
        <w:t>根据矿山开发项目的工程特点及工程所在区域的环境特征分析，工程在施工期、</w:t>
      </w:r>
      <w:r>
        <w:rPr>
          <w:rFonts w:ascii="FangSong" w:hAnsi="FangSong" w:eastAsia="FangSong" w:cs="FangSong"/>
          <w:sz w:val="24"/>
          <w:szCs w:val="24"/>
          <w:spacing w:val="2"/>
        </w:rPr>
        <w:t>生产期和闭矿期影响周围环境的因素主要有环境空气、</w:t>
      </w:r>
      <w:r>
        <w:rPr>
          <w:rFonts w:ascii="FangSong" w:hAnsi="FangSong" w:eastAsia="FangSong" w:cs="FangSong"/>
          <w:sz w:val="24"/>
          <w:szCs w:val="24"/>
          <w:spacing w:val="1"/>
        </w:rPr>
        <w:t>地表水、地下水、声环境、</w:t>
      </w:r>
      <w:r>
        <w:rPr>
          <w:rFonts w:ascii="FangSong" w:hAnsi="FangSong" w:eastAsia="FangSong" w:cs="FangSong"/>
          <w:sz w:val="24"/>
          <w:szCs w:val="24"/>
          <w:spacing w:val="-2"/>
        </w:rPr>
        <w:t>生态环境、固体废物、事故风险等。</w:t>
      </w:r>
    </w:p>
    <w:p>
      <w:pPr>
        <w:ind w:left="130" w:right="109" w:firstLine="479"/>
        <w:spacing w:before="1" w:line="28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）施工期影响主要表现为：采区、工业广场、矿区道路施工等工程产生的施</w:t>
      </w:r>
      <w:r>
        <w:rPr>
          <w:rFonts w:ascii="FangSong" w:hAnsi="FangSong" w:eastAsia="FangSong" w:cs="FangSong"/>
          <w:sz w:val="24"/>
          <w:szCs w:val="24"/>
          <w:spacing w:val="-1"/>
        </w:rPr>
        <w:t>工扬尘、施工废气、施工机械噪声、施工废水、固体废物等对环境的影响。</w:t>
      </w:r>
    </w:p>
    <w:p>
      <w:pPr>
        <w:ind w:left="126" w:right="107" w:firstLine="483"/>
        <w:spacing w:before="179" w:line="325"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）生产期对环境的影响主要表现为：矿井涌水、淋溶水、选矿废水、人员生</w:t>
      </w:r>
      <w:r>
        <w:rPr>
          <w:rFonts w:ascii="FangSong" w:hAnsi="FangSong" w:eastAsia="FangSong" w:cs="FangSong"/>
          <w:sz w:val="24"/>
          <w:szCs w:val="24"/>
          <w:spacing w:val="1"/>
        </w:rPr>
        <w:t>活污水对地表水环境的影响；淋溶水、选矿废水对地下水的影响；堆场扬尘、车辆</w:t>
      </w:r>
      <w:r>
        <w:rPr>
          <w:rFonts w:ascii="FangSong" w:hAnsi="FangSong" w:eastAsia="FangSong" w:cs="FangSong"/>
          <w:sz w:val="24"/>
          <w:szCs w:val="24"/>
          <w:spacing w:val="1"/>
        </w:rPr>
        <w:t>尾气、道路运输扬尘等对空气环境的影响；工业广场内选矿设备噪声的影响；永久</w:t>
      </w:r>
      <w:r>
        <w:rPr>
          <w:rFonts w:ascii="FangSong" w:hAnsi="FangSong" w:eastAsia="FangSong" w:cs="FangSong"/>
          <w:sz w:val="24"/>
          <w:szCs w:val="24"/>
          <w:spacing w:val="-1"/>
        </w:rPr>
        <w:t>占地对植被破坏、土壤侵蚀、对景观破坏等生态环境的影响。</w:t>
      </w:r>
    </w:p>
    <w:p>
      <w:pPr>
        <w:ind w:left="125" w:right="109" w:firstLine="484"/>
        <w:spacing w:before="179"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）闭矿期对环境的影响将会比生产期明显减弱，不利影响主要表现为临时堆</w:t>
      </w:r>
      <w:r>
        <w:rPr>
          <w:rFonts w:ascii="FangSong" w:hAnsi="FangSong" w:eastAsia="FangSong" w:cs="FangSong"/>
          <w:sz w:val="24"/>
          <w:szCs w:val="24"/>
          <w:spacing w:val="-1"/>
        </w:rPr>
        <w:t>场在植被恢复前对土壤侵蚀的影响，以及扬尘对空气环境的影响等。</w:t>
      </w:r>
    </w:p>
    <w:p>
      <w:pPr>
        <w:ind w:left="125" w:right="107" w:firstLine="480"/>
        <w:spacing w:before="181" w:line="359" w:lineRule="auto"/>
        <w:rPr>
          <w:rFonts w:ascii="FangSong" w:hAnsi="FangSong" w:eastAsia="FangSong" w:cs="FangSong"/>
          <w:sz w:val="24"/>
          <w:szCs w:val="24"/>
        </w:rPr>
      </w:pPr>
      <w:r>
        <w:rPr>
          <w:rFonts w:ascii="FangSong" w:hAnsi="FangSong" w:eastAsia="FangSong" w:cs="FangSong"/>
          <w:sz w:val="24"/>
          <w:szCs w:val="24"/>
          <w:spacing w:val="1"/>
        </w:rPr>
        <w:t>采用矩阵法对建设工程产生的环境影响程度进行识别，根据本项目工程特点和</w:t>
      </w:r>
      <w:r>
        <w:rPr>
          <w:rFonts w:ascii="FangSong" w:hAnsi="FangSong" w:eastAsia="FangSong" w:cs="FangSong"/>
          <w:sz w:val="24"/>
          <w:szCs w:val="24"/>
        </w:rPr>
        <w:t>评价区环境特征，按施工期、运营期和闭矿期</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rPr>
        <w:t>个时段产生的主要环境影响因素、</w:t>
      </w:r>
      <w:r>
        <w:rPr>
          <w:rFonts w:ascii="FangSong" w:hAnsi="FangSong" w:eastAsia="FangSong" w:cs="FangSong"/>
          <w:sz w:val="24"/>
          <w:szCs w:val="24"/>
          <w:spacing w:val="-1"/>
        </w:rPr>
        <w:t>影响类型和影响程度进行识别，识别结果详见表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2.3-1</w:t>
      </w:r>
      <w:r>
        <w:rPr>
          <w:rFonts w:ascii="FangSong" w:hAnsi="FangSong" w:eastAsia="FangSong" w:cs="FangSong"/>
          <w:sz w:val="24"/>
          <w:szCs w:val="24"/>
          <w:spacing w:val="-1"/>
        </w:rPr>
        <w:t>。</w:t>
      </w:r>
    </w:p>
    <w:p>
      <w:pPr>
        <w:ind w:left="2929"/>
        <w:spacing w:line="21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2.3-1  </w:t>
      </w:r>
      <w:r>
        <w:rPr>
          <w:rFonts w:ascii="FangSong" w:hAnsi="FangSong" w:eastAsia="FangSong" w:cs="FangSong"/>
          <w:sz w:val="24"/>
          <w:szCs w:val="24"/>
          <w:b/>
          <w:bCs/>
          <w:spacing w:val="-3"/>
        </w:rPr>
        <w:t>项目影响因子识别表</w:t>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5"/>
        <w:gridCol w:w="878"/>
        <w:gridCol w:w="520"/>
        <w:gridCol w:w="486"/>
        <w:gridCol w:w="515"/>
        <w:gridCol w:w="573"/>
        <w:gridCol w:w="866"/>
        <w:gridCol w:w="680"/>
        <w:gridCol w:w="680"/>
        <w:gridCol w:w="550"/>
        <w:gridCol w:w="530"/>
        <w:gridCol w:w="550"/>
        <w:gridCol w:w="550"/>
        <w:gridCol w:w="498"/>
        <w:gridCol w:w="591"/>
      </w:tblGrid>
      <w:tr>
        <w:trPr>
          <w:trHeight w:val="178" w:hRule="atLeast"/>
        </w:trPr>
        <w:tc>
          <w:tcPr>
            <w:tcW w:w="445" w:type="dxa"/>
            <w:vAlign w:val="top"/>
            <w:vMerge w:val="restart"/>
            <w:textDirection w:val="tbRlV"/>
            <w:tcBorders>
              <w:left w:val="nil"/>
              <w:top w:val="single" w:color="000000" w:sz="10" w:space="0"/>
              <w:bottom w:val="nil"/>
            </w:tcBorders>
          </w:tcPr>
          <w:p>
            <w:pPr>
              <w:pStyle w:val="TableText"/>
              <w:ind w:left="131"/>
              <w:spacing w:before="156" w:line="213" w:lineRule="auto"/>
              <w:rPr>
                <w:sz w:val="12"/>
                <w:szCs w:val="12"/>
              </w:rPr>
            </w:pPr>
            <w:r>
              <w:rPr>
                <w:sz w:val="12"/>
                <w:szCs w:val="12"/>
                <w:spacing w:val="1"/>
              </w:rPr>
              <w:t>工</w:t>
            </w:r>
            <w:r>
              <w:rPr>
                <w:sz w:val="12"/>
                <w:szCs w:val="12"/>
                <w:spacing w:val="1"/>
              </w:rPr>
              <w:t xml:space="preserve"> </w:t>
            </w:r>
            <w:r>
              <w:rPr>
                <w:sz w:val="12"/>
                <w:szCs w:val="12"/>
                <w:spacing w:val="1"/>
              </w:rPr>
              <w:t>程</w:t>
            </w:r>
            <w:r>
              <w:rPr>
                <w:sz w:val="12"/>
                <w:szCs w:val="12"/>
                <w:spacing w:val="-25"/>
              </w:rPr>
              <w:t xml:space="preserve"> </w:t>
            </w:r>
            <w:r>
              <w:rPr>
                <w:sz w:val="12"/>
                <w:szCs w:val="12"/>
                <w:spacing w:val="1"/>
              </w:rPr>
              <w:t>阶</w:t>
            </w:r>
            <w:r>
              <w:rPr>
                <w:sz w:val="12"/>
                <w:szCs w:val="12"/>
                <w:spacing w:val="-25"/>
              </w:rPr>
              <w:t xml:space="preserve"> </w:t>
            </w:r>
            <w:r>
              <w:rPr>
                <w:sz w:val="12"/>
                <w:szCs w:val="12"/>
                <w:spacing w:val="1"/>
              </w:rPr>
              <w:t>段</w:t>
            </w:r>
          </w:p>
        </w:tc>
        <w:tc>
          <w:tcPr>
            <w:tcW w:w="878" w:type="dxa"/>
            <w:vAlign w:val="top"/>
            <w:vMerge w:val="restart"/>
            <w:tcBorders>
              <w:top w:val="single" w:color="000000" w:sz="10" w:space="0"/>
              <w:bottom w:val="nil"/>
            </w:tcBorders>
          </w:tcPr>
          <w:p>
            <w:pPr>
              <w:pStyle w:val="TableText"/>
              <w:ind w:left="386" w:right="109" w:hanging="263"/>
              <w:spacing w:before="278" w:line="260" w:lineRule="auto"/>
              <w:rPr>
                <w:sz w:val="12"/>
                <w:szCs w:val="12"/>
              </w:rPr>
            </w:pPr>
            <w:r>
              <w:rPr>
                <w:sz w:val="12"/>
                <w:szCs w:val="12"/>
                <w:spacing w:val="7"/>
              </w:rPr>
              <w:t>工程作用因</w:t>
            </w:r>
            <w:r>
              <w:rPr>
                <w:sz w:val="12"/>
                <w:szCs w:val="12"/>
              </w:rPr>
              <w:t>素</w:t>
            </w:r>
          </w:p>
        </w:tc>
        <w:tc>
          <w:tcPr>
            <w:tcW w:w="7589" w:type="dxa"/>
            <w:vAlign w:val="top"/>
            <w:gridSpan w:val="13"/>
            <w:tcBorders>
              <w:right w:val="nil"/>
              <w:top w:val="single" w:color="000000" w:sz="10" w:space="0"/>
            </w:tcBorders>
          </w:tcPr>
          <w:p>
            <w:pPr>
              <w:pStyle w:val="TableText"/>
              <w:ind w:left="2893"/>
              <w:spacing w:before="22" w:line="224" w:lineRule="auto"/>
              <w:rPr>
                <w:sz w:val="12"/>
                <w:szCs w:val="12"/>
              </w:rPr>
            </w:pPr>
            <w:r>
              <w:rPr>
                <w:sz w:val="12"/>
                <w:szCs w:val="12"/>
                <w:spacing w:val="9"/>
              </w:rPr>
              <w:t>工程引起的环境影响及影响程度</w:t>
            </w:r>
          </w:p>
        </w:tc>
      </w:tr>
      <w:tr>
        <w:trPr>
          <w:trHeight w:val="675" w:hRule="atLeast"/>
        </w:trPr>
        <w:tc>
          <w:tcPr>
            <w:tcW w:w="445" w:type="dxa"/>
            <w:vAlign w:val="top"/>
            <w:vMerge w:val="continue"/>
            <w:textDirection w:val="tbRlV"/>
            <w:tcBorders>
              <w:left w:val="nil"/>
              <w:top w:val="nil"/>
            </w:tcBorders>
          </w:tcPr>
          <w:p>
            <w:pPr>
              <w:rPr>
                <w:rFonts w:ascii="Arial"/>
                <w:sz w:val="21"/>
              </w:rPr>
            </w:pPr>
            <w:r/>
          </w:p>
        </w:tc>
        <w:tc>
          <w:tcPr>
            <w:tcW w:w="878" w:type="dxa"/>
            <w:vAlign w:val="top"/>
            <w:vMerge w:val="continue"/>
            <w:tcBorders>
              <w:top w:val="nil"/>
            </w:tcBorders>
          </w:tcPr>
          <w:p>
            <w:pPr>
              <w:rPr>
                <w:rFonts w:ascii="Arial"/>
                <w:sz w:val="21"/>
              </w:rPr>
            </w:pPr>
            <w:r/>
          </w:p>
        </w:tc>
        <w:tc>
          <w:tcPr>
            <w:tcW w:w="520" w:type="dxa"/>
            <w:vAlign w:val="top"/>
          </w:tcPr>
          <w:p>
            <w:pPr>
              <w:pStyle w:val="TableText"/>
              <w:ind w:left="135"/>
              <w:spacing w:before="271" w:line="239" w:lineRule="auto"/>
              <w:rPr>
                <w:sz w:val="12"/>
                <w:szCs w:val="12"/>
              </w:rPr>
            </w:pPr>
            <w:r>
              <w:rPr>
                <w:sz w:val="12"/>
                <w:szCs w:val="12"/>
                <w:spacing w:val="5"/>
              </w:rPr>
              <w:t>水文</w:t>
            </w:r>
          </w:p>
        </w:tc>
        <w:tc>
          <w:tcPr>
            <w:tcW w:w="486" w:type="dxa"/>
            <w:vAlign w:val="top"/>
          </w:tcPr>
          <w:p>
            <w:pPr>
              <w:pStyle w:val="TableText"/>
              <w:ind w:left="119"/>
              <w:spacing w:before="271" w:line="239" w:lineRule="auto"/>
              <w:rPr>
                <w:sz w:val="12"/>
                <w:szCs w:val="12"/>
              </w:rPr>
            </w:pPr>
            <w:r>
              <w:rPr>
                <w:sz w:val="12"/>
                <w:szCs w:val="12"/>
                <w:spacing w:val="5"/>
              </w:rPr>
              <w:t>水质</w:t>
            </w:r>
          </w:p>
        </w:tc>
        <w:tc>
          <w:tcPr>
            <w:tcW w:w="515" w:type="dxa"/>
            <w:vAlign w:val="top"/>
          </w:tcPr>
          <w:p>
            <w:pPr>
              <w:pStyle w:val="TableText"/>
              <w:ind w:left="133" w:right="126" w:firstLine="1"/>
              <w:spacing w:before="186" w:line="259" w:lineRule="auto"/>
              <w:rPr>
                <w:sz w:val="12"/>
                <w:szCs w:val="12"/>
              </w:rPr>
            </w:pPr>
            <w:r>
              <w:rPr>
                <w:sz w:val="12"/>
                <w:szCs w:val="12"/>
                <w:spacing w:val="4"/>
              </w:rPr>
              <w:t>土壤</w:t>
            </w:r>
            <w:r>
              <w:rPr>
                <w:sz w:val="12"/>
                <w:szCs w:val="12"/>
                <w:spacing w:val="5"/>
              </w:rPr>
              <w:t>侵蚀</w:t>
            </w:r>
          </w:p>
        </w:tc>
        <w:tc>
          <w:tcPr>
            <w:tcW w:w="573" w:type="dxa"/>
            <w:vAlign w:val="top"/>
          </w:tcPr>
          <w:p>
            <w:pPr>
              <w:pStyle w:val="TableText"/>
              <w:ind w:left="165" w:right="154" w:hanging="1"/>
              <w:spacing w:before="187" w:line="258" w:lineRule="auto"/>
              <w:rPr>
                <w:sz w:val="12"/>
                <w:szCs w:val="12"/>
              </w:rPr>
            </w:pPr>
            <w:r>
              <w:rPr>
                <w:sz w:val="12"/>
                <w:szCs w:val="12"/>
                <w:spacing w:val="4"/>
              </w:rPr>
              <w:t>土壤</w:t>
            </w:r>
            <w:r>
              <w:rPr>
                <w:sz w:val="12"/>
                <w:szCs w:val="12"/>
                <w:spacing w:val="4"/>
              </w:rPr>
              <w:t>污染</w:t>
            </w:r>
          </w:p>
        </w:tc>
        <w:tc>
          <w:tcPr>
            <w:tcW w:w="866" w:type="dxa"/>
            <w:vAlign w:val="top"/>
          </w:tcPr>
          <w:p>
            <w:pPr>
              <w:pStyle w:val="TableText"/>
              <w:ind w:left="244"/>
              <w:spacing w:before="271" w:line="238" w:lineRule="auto"/>
              <w:rPr>
                <w:sz w:val="12"/>
                <w:szCs w:val="12"/>
              </w:rPr>
            </w:pPr>
            <w:r>
              <w:rPr>
                <w:sz w:val="12"/>
                <w:szCs w:val="12"/>
                <w:spacing w:val="6"/>
              </w:rPr>
              <w:t>声环境</w:t>
            </w:r>
          </w:p>
        </w:tc>
        <w:tc>
          <w:tcPr>
            <w:tcW w:w="680" w:type="dxa"/>
            <w:vAlign w:val="top"/>
          </w:tcPr>
          <w:p>
            <w:pPr>
              <w:pStyle w:val="TableText"/>
              <w:ind w:left="285" w:right="142" w:hanging="134"/>
              <w:spacing w:before="187" w:line="259" w:lineRule="auto"/>
              <w:rPr>
                <w:sz w:val="12"/>
                <w:szCs w:val="12"/>
              </w:rPr>
            </w:pPr>
            <w:r>
              <w:rPr>
                <w:sz w:val="12"/>
                <w:szCs w:val="12"/>
                <w:spacing w:val="6"/>
              </w:rPr>
              <w:t>环境空</w:t>
            </w:r>
            <w:r>
              <w:rPr>
                <w:sz w:val="12"/>
                <w:szCs w:val="12"/>
              </w:rPr>
              <w:t>气</w:t>
            </w:r>
          </w:p>
        </w:tc>
        <w:tc>
          <w:tcPr>
            <w:tcW w:w="680" w:type="dxa"/>
            <w:vAlign w:val="top"/>
          </w:tcPr>
          <w:p>
            <w:pPr>
              <w:pStyle w:val="TableText"/>
              <w:ind w:left="284" w:right="143" w:hanging="124"/>
              <w:spacing w:before="187" w:line="260" w:lineRule="auto"/>
              <w:rPr>
                <w:sz w:val="12"/>
                <w:szCs w:val="12"/>
              </w:rPr>
            </w:pPr>
            <w:r>
              <w:rPr>
                <w:sz w:val="12"/>
                <w:szCs w:val="12"/>
                <w:spacing w:val="3"/>
              </w:rPr>
              <w:t>陆生生</w:t>
            </w:r>
            <w:r>
              <w:rPr>
                <w:sz w:val="12"/>
                <w:szCs w:val="12"/>
              </w:rPr>
              <w:t>态</w:t>
            </w:r>
          </w:p>
        </w:tc>
        <w:tc>
          <w:tcPr>
            <w:tcW w:w="550" w:type="dxa"/>
            <w:vAlign w:val="top"/>
          </w:tcPr>
          <w:p>
            <w:pPr>
              <w:pStyle w:val="TableText"/>
              <w:ind w:left="150"/>
              <w:spacing w:before="271" w:line="238" w:lineRule="auto"/>
              <w:rPr>
                <w:sz w:val="12"/>
                <w:szCs w:val="12"/>
              </w:rPr>
            </w:pPr>
            <w:r>
              <w:rPr>
                <w:sz w:val="12"/>
                <w:szCs w:val="12"/>
                <w:spacing w:val="5"/>
              </w:rPr>
              <w:t>景观</w:t>
            </w:r>
          </w:p>
        </w:tc>
        <w:tc>
          <w:tcPr>
            <w:tcW w:w="530" w:type="dxa"/>
            <w:vAlign w:val="top"/>
          </w:tcPr>
          <w:p>
            <w:pPr>
              <w:pStyle w:val="TableText"/>
              <w:ind w:left="140"/>
              <w:spacing w:before="271" w:line="237" w:lineRule="auto"/>
              <w:rPr>
                <w:sz w:val="12"/>
                <w:szCs w:val="12"/>
              </w:rPr>
            </w:pPr>
            <w:r>
              <w:rPr>
                <w:sz w:val="12"/>
                <w:szCs w:val="12"/>
                <w:spacing w:val="5"/>
              </w:rPr>
              <w:t>文物</w:t>
            </w:r>
          </w:p>
        </w:tc>
        <w:tc>
          <w:tcPr>
            <w:tcW w:w="550" w:type="dxa"/>
            <w:vAlign w:val="top"/>
          </w:tcPr>
          <w:p>
            <w:pPr>
              <w:pStyle w:val="TableText"/>
              <w:ind w:left="152" w:right="143" w:hanging="2"/>
              <w:spacing w:before="187" w:line="263" w:lineRule="auto"/>
              <w:rPr>
                <w:sz w:val="12"/>
                <w:szCs w:val="12"/>
              </w:rPr>
            </w:pPr>
            <w:r>
              <w:rPr>
                <w:sz w:val="12"/>
                <w:szCs w:val="12"/>
                <w:spacing w:val="5"/>
              </w:rPr>
              <w:t>环境</w:t>
            </w:r>
            <w:r>
              <w:rPr>
                <w:sz w:val="12"/>
                <w:szCs w:val="12"/>
                <w:spacing w:val="4"/>
              </w:rPr>
              <w:t>卫生</w:t>
            </w:r>
          </w:p>
        </w:tc>
        <w:tc>
          <w:tcPr>
            <w:tcW w:w="550" w:type="dxa"/>
            <w:vAlign w:val="top"/>
          </w:tcPr>
          <w:p>
            <w:pPr>
              <w:pStyle w:val="TableText"/>
              <w:ind w:left="151" w:right="141" w:firstLine="2"/>
              <w:spacing w:before="187" w:line="258" w:lineRule="auto"/>
              <w:rPr>
                <w:sz w:val="12"/>
                <w:szCs w:val="12"/>
              </w:rPr>
            </w:pPr>
            <w:r>
              <w:rPr>
                <w:sz w:val="12"/>
                <w:szCs w:val="12"/>
                <w:spacing w:val="4"/>
              </w:rPr>
              <w:t>人群</w:t>
            </w:r>
            <w:r>
              <w:rPr>
                <w:sz w:val="12"/>
                <w:szCs w:val="12"/>
                <w:spacing w:val="5"/>
              </w:rPr>
              <w:t>健康</w:t>
            </w:r>
          </w:p>
        </w:tc>
        <w:tc>
          <w:tcPr>
            <w:tcW w:w="498" w:type="dxa"/>
            <w:vAlign w:val="top"/>
          </w:tcPr>
          <w:p>
            <w:pPr>
              <w:pStyle w:val="TableText"/>
              <w:ind w:left="125" w:right="116"/>
              <w:spacing w:before="187" w:line="258" w:lineRule="auto"/>
              <w:rPr>
                <w:sz w:val="12"/>
                <w:szCs w:val="12"/>
              </w:rPr>
            </w:pPr>
            <w:r>
              <w:rPr>
                <w:sz w:val="12"/>
                <w:szCs w:val="12"/>
                <w:spacing w:val="5"/>
              </w:rPr>
              <w:t>就业</w:t>
            </w:r>
            <w:r>
              <w:rPr>
                <w:sz w:val="12"/>
                <w:szCs w:val="12"/>
                <w:spacing w:val="5"/>
              </w:rPr>
              <w:t>机会</w:t>
            </w:r>
          </w:p>
        </w:tc>
        <w:tc>
          <w:tcPr>
            <w:tcW w:w="591" w:type="dxa"/>
            <w:vAlign w:val="top"/>
            <w:tcBorders>
              <w:right w:val="nil"/>
            </w:tcBorders>
          </w:tcPr>
          <w:p>
            <w:pPr>
              <w:pStyle w:val="TableText"/>
              <w:ind w:left="172"/>
              <w:spacing w:before="19" w:line="238" w:lineRule="auto"/>
              <w:rPr>
                <w:sz w:val="12"/>
                <w:szCs w:val="12"/>
              </w:rPr>
            </w:pPr>
            <w:r>
              <w:rPr>
                <w:sz w:val="12"/>
                <w:szCs w:val="12"/>
                <w:spacing w:val="5"/>
              </w:rPr>
              <w:t>科技</w:t>
            </w:r>
          </w:p>
          <w:p>
            <w:pPr>
              <w:pStyle w:val="TableText"/>
              <w:ind w:left="177"/>
              <w:spacing w:before="13" w:line="241" w:lineRule="auto"/>
              <w:rPr>
                <w:sz w:val="12"/>
                <w:szCs w:val="12"/>
              </w:rPr>
            </w:pPr>
            <w:r>
              <w:rPr>
                <w:sz w:val="12"/>
                <w:szCs w:val="12"/>
                <w:spacing w:val="2"/>
              </w:rPr>
              <w:t>与经</w:t>
            </w:r>
          </w:p>
          <w:p>
            <w:pPr>
              <w:pStyle w:val="TableText"/>
              <w:ind w:left="237" w:right="165" w:hanging="64"/>
              <w:spacing w:before="11" w:line="238" w:lineRule="auto"/>
              <w:rPr>
                <w:sz w:val="12"/>
                <w:szCs w:val="12"/>
              </w:rPr>
            </w:pPr>
            <w:r>
              <w:rPr>
                <w:sz w:val="12"/>
                <w:szCs w:val="12"/>
                <w:spacing w:val="4"/>
              </w:rPr>
              <w:t>济发</w:t>
            </w:r>
            <w:r>
              <w:rPr>
                <w:sz w:val="12"/>
                <w:szCs w:val="12"/>
              </w:rPr>
              <w:t>展</w:t>
            </w:r>
          </w:p>
        </w:tc>
      </w:tr>
      <w:tr>
        <w:trPr>
          <w:trHeight w:val="173" w:hRule="atLeast"/>
        </w:trPr>
        <w:tc>
          <w:tcPr>
            <w:tcW w:w="445" w:type="dxa"/>
            <w:vAlign w:val="top"/>
            <w:vMerge w:val="restart"/>
            <w:textDirection w:val="tbRlV"/>
            <w:tcBorders>
              <w:left w:val="nil"/>
              <w:bottom w:val="nil"/>
            </w:tcBorders>
          </w:tcPr>
          <w:p>
            <w:pPr>
              <w:pStyle w:val="TableText"/>
              <w:ind w:left="464"/>
              <w:spacing w:before="155" w:line="217" w:lineRule="auto"/>
              <w:rPr>
                <w:sz w:val="12"/>
                <w:szCs w:val="12"/>
              </w:rPr>
            </w:pPr>
            <w:r>
              <w:rPr>
                <w:sz w:val="12"/>
                <w:szCs w:val="12"/>
                <w:spacing w:val="-2"/>
              </w:rPr>
              <w:t>施</w:t>
            </w:r>
            <w:r>
              <w:rPr>
                <w:sz w:val="12"/>
                <w:szCs w:val="12"/>
                <w:spacing w:val="-5"/>
              </w:rPr>
              <w:t xml:space="preserve"> </w:t>
            </w:r>
            <w:r>
              <w:rPr>
                <w:sz w:val="12"/>
                <w:szCs w:val="12"/>
                <w:spacing w:val="-2"/>
              </w:rPr>
              <w:t>工</w:t>
            </w:r>
            <w:r>
              <w:rPr>
                <w:sz w:val="12"/>
                <w:szCs w:val="12"/>
                <w:spacing w:val="-2"/>
              </w:rPr>
              <w:t xml:space="preserve"> </w:t>
            </w:r>
            <w:r>
              <w:rPr>
                <w:sz w:val="12"/>
                <w:szCs w:val="12"/>
                <w:spacing w:val="-2"/>
              </w:rPr>
              <w:t>期</w:t>
            </w:r>
          </w:p>
        </w:tc>
        <w:tc>
          <w:tcPr>
            <w:tcW w:w="878" w:type="dxa"/>
            <w:vAlign w:val="top"/>
          </w:tcPr>
          <w:p>
            <w:pPr>
              <w:pStyle w:val="TableText"/>
              <w:ind w:left="187"/>
              <w:spacing w:before="23" w:line="215" w:lineRule="auto"/>
              <w:rPr>
                <w:sz w:val="12"/>
                <w:szCs w:val="12"/>
              </w:rPr>
            </w:pPr>
            <w:r>
              <w:rPr>
                <w:sz w:val="12"/>
                <w:szCs w:val="12"/>
                <w:spacing w:val="7"/>
              </w:rPr>
              <w:t>汽车运输</w:t>
            </w:r>
          </w:p>
        </w:tc>
        <w:tc>
          <w:tcPr>
            <w:tcW w:w="520" w:type="dxa"/>
            <w:vAlign w:val="top"/>
          </w:tcPr>
          <w:p>
            <w:pPr>
              <w:ind w:left="201"/>
              <w:spacing w:before="23" w:line="215" w:lineRule="auto"/>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85"/>
              <w:spacing w:before="23" w:line="215" w:lineRule="auto"/>
              <w:rPr>
                <w:rFonts w:ascii="SimSun" w:hAnsi="SimSun" w:eastAsia="SimSun" w:cs="SimSun"/>
                <w:sz w:val="12"/>
                <w:szCs w:val="12"/>
              </w:rPr>
            </w:pPr>
            <w:r>
              <w:rPr>
                <w:rFonts w:ascii="SimSun" w:hAnsi="SimSun" w:eastAsia="SimSun" w:cs="SimSun"/>
                <w:sz w:val="12"/>
                <w:szCs w:val="12"/>
              </w:rPr>
              <w:t>△</w:t>
            </w:r>
          </w:p>
        </w:tc>
        <w:tc>
          <w:tcPr>
            <w:tcW w:w="515" w:type="dxa"/>
            <w:vAlign w:val="top"/>
          </w:tcPr>
          <w:p>
            <w:pPr>
              <w:ind w:left="198"/>
              <w:spacing w:before="23" w:line="215" w:lineRule="auto"/>
              <w:rPr>
                <w:rFonts w:ascii="SimSun" w:hAnsi="SimSun" w:eastAsia="SimSun" w:cs="SimSun"/>
                <w:sz w:val="12"/>
                <w:szCs w:val="12"/>
              </w:rPr>
            </w:pPr>
            <w:r>
              <w:rPr>
                <w:rFonts w:ascii="SimSun" w:hAnsi="SimSun" w:eastAsia="SimSun" w:cs="SimSun"/>
                <w:sz w:val="12"/>
                <w:szCs w:val="12"/>
              </w:rPr>
              <w:t>△</w:t>
            </w:r>
          </w:p>
        </w:tc>
        <w:tc>
          <w:tcPr>
            <w:tcW w:w="573" w:type="dxa"/>
            <w:vAlign w:val="top"/>
          </w:tcPr>
          <w:p>
            <w:pPr>
              <w:ind w:left="227"/>
              <w:spacing w:before="23" w:line="215" w:lineRule="auto"/>
              <w:rPr>
                <w:rFonts w:ascii="SimSun" w:hAnsi="SimSun" w:eastAsia="SimSun" w:cs="SimSun"/>
                <w:sz w:val="12"/>
                <w:szCs w:val="12"/>
              </w:rPr>
            </w:pPr>
            <w:r>
              <w:rPr>
                <w:rFonts w:ascii="SimSun" w:hAnsi="SimSun" w:eastAsia="SimSun" w:cs="SimSun"/>
                <w:sz w:val="12"/>
                <w:szCs w:val="12"/>
              </w:rPr>
              <w:t>△</w:t>
            </w:r>
          </w:p>
        </w:tc>
        <w:tc>
          <w:tcPr>
            <w:tcW w:w="866" w:type="dxa"/>
            <w:vAlign w:val="top"/>
          </w:tcPr>
          <w:p>
            <w:pPr>
              <w:pStyle w:val="TableText"/>
              <w:ind w:left="245"/>
              <w:spacing w:before="23" w:line="215" w:lineRule="auto"/>
              <w:rPr>
                <w:sz w:val="12"/>
                <w:szCs w:val="12"/>
              </w:rPr>
            </w:pPr>
            <w:r>
              <w:rPr>
                <w:rFonts w:ascii="SimSun" w:hAnsi="SimSun" w:eastAsia="SimSun" w:cs="SimSun"/>
                <w:sz w:val="12"/>
                <w:szCs w:val="12"/>
                <w:spacing w:val="6"/>
              </w:rPr>
              <w:t>△</w:t>
            </w:r>
            <w:r>
              <w:rPr>
                <w:sz w:val="12"/>
                <w:szCs w:val="12"/>
                <w:spacing w:val="6"/>
              </w:rPr>
              <w:t>□⊕</w:t>
            </w:r>
          </w:p>
        </w:tc>
        <w:tc>
          <w:tcPr>
            <w:tcW w:w="680" w:type="dxa"/>
            <w:vAlign w:val="top"/>
          </w:tcPr>
          <w:p>
            <w:pPr>
              <w:pStyle w:val="TableText"/>
              <w:ind w:left="216"/>
              <w:spacing w:before="23" w:line="215" w:lineRule="auto"/>
              <w:rPr>
                <w:sz w:val="12"/>
                <w:szCs w:val="12"/>
              </w:rPr>
            </w:pPr>
            <w:r>
              <w:rPr>
                <w:rFonts w:ascii="SimSun" w:hAnsi="SimSun" w:eastAsia="SimSun" w:cs="SimSun"/>
                <w:sz w:val="12"/>
                <w:szCs w:val="12"/>
                <w:spacing w:val="5"/>
              </w:rPr>
              <w:t>△</w:t>
            </w:r>
            <w:r>
              <w:rPr>
                <w:sz w:val="12"/>
                <w:szCs w:val="12"/>
                <w:spacing w:val="5"/>
              </w:rPr>
              <w:t>□</w:t>
            </w:r>
          </w:p>
        </w:tc>
        <w:tc>
          <w:tcPr>
            <w:tcW w:w="680" w:type="dxa"/>
            <w:vAlign w:val="top"/>
          </w:tcPr>
          <w:p>
            <w:pPr>
              <w:pStyle w:val="TableText"/>
              <w:ind w:left="216"/>
              <w:spacing w:before="23" w:line="215" w:lineRule="auto"/>
              <w:rPr>
                <w:sz w:val="12"/>
                <w:szCs w:val="12"/>
              </w:rPr>
            </w:pPr>
            <w:r>
              <w:rPr>
                <w:rFonts w:ascii="SimSun" w:hAnsi="SimSun" w:eastAsia="SimSun" w:cs="SimSun"/>
                <w:sz w:val="12"/>
                <w:szCs w:val="12"/>
                <w:spacing w:val="5"/>
              </w:rPr>
              <w:t>△</w:t>
            </w:r>
            <w:r>
              <w:rPr>
                <w:sz w:val="12"/>
                <w:szCs w:val="12"/>
                <w:spacing w:val="5"/>
              </w:rPr>
              <w:t>□</w:t>
            </w:r>
          </w:p>
        </w:tc>
        <w:tc>
          <w:tcPr>
            <w:tcW w:w="550" w:type="dxa"/>
            <w:vAlign w:val="top"/>
          </w:tcPr>
          <w:p>
            <w:pPr>
              <w:ind w:left="215"/>
              <w:spacing w:before="23" w:line="215" w:lineRule="auto"/>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23" w:line="215"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25"/>
              <w:spacing w:before="43"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27"/>
              <w:spacing w:before="43"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98" w:type="dxa"/>
            <w:vAlign w:val="top"/>
          </w:tcPr>
          <w:p>
            <w:pPr>
              <w:ind w:left="212"/>
              <w:spacing w:before="56"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59"/>
              <w:spacing w:before="56"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r>
      <w:tr>
        <w:trPr>
          <w:trHeight w:val="340"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379" w:right="109" w:hanging="259"/>
              <w:spacing w:before="25" w:line="234" w:lineRule="auto"/>
              <w:rPr>
                <w:sz w:val="12"/>
                <w:szCs w:val="12"/>
              </w:rPr>
            </w:pPr>
            <w:r>
              <w:rPr>
                <w:sz w:val="12"/>
                <w:szCs w:val="12"/>
                <w:spacing w:val="8"/>
              </w:rPr>
              <w:t>施工机械噪</w:t>
            </w:r>
            <w:r>
              <w:rPr>
                <w:sz w:val="12"/>
                <w:szCs w:val="12"/>
                <w:spacing w:val="1"/>
              </w:rPr>
              <w:t>声</w:t>
            </w:r>
          </w:p>
        </w:tc>
        <w:tc>
          <w:tcPr>
            <w:tcW w:w="520" w:type="dxa"/>
            <w:vAlign w:val="top"/>
          </w:tcPr>
          <w:p>
            <w:pPr>
              <w:ind w:left="201"/>
              <w:spacing w:before="109" w:line="164" w:lineRule="exact"/>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85"/>
              <w:spacing w:before="109" w:line="164" w:lineRule="exact"/>
              <w:rPr>
                <w:rFonts w:ascii="SimSun" w:hAnsi="SimSun" w:eastAsia="SimSun" w:cs="SimSun"/>
                <w:sz w:val="12"/>
                <w:szCs w:val="12"/>
              </w:rPr>
            </w:pPr>
            <w:r>
              <w:rPr>
                <w:rFonts w:ascii="SimSun" w:hAnsi="SimSun" w:eastAsia="SimSun" w:cs="SimSun"/>
                <w:sz w:val="12"/>
                <w:szCs w:val="12"/>
              </w:rPr>
              <w:t>△</w:t>
            </w:r>
          </w:p>
        </w:tc>
        <w:tc>
          <w:tcPr>
            <w:tcW w:w="515" w:type="dxa"/>
            <w:vAlign w:val="top"/>
          </w:tcPr>
          <w:p>
            <w:pPr>
              <w:ind w:left="198"/>
              <w:spacing w:before="109" w:line="164" w:lineRule="exact"/>
              <w:rPr>
                <w:rFonts w:ascii="SimSun" w:hAnsi="SimSun" w:eastAsia="SimSun" w:cs="SimSun"/>
                <w:sz w:val="12"/>
                <w:szCs w:val="12"/>
              </w:rPr>
            </w:pPr>
            <w:r>
              <w:rPr>
                <w:rFonts w:ascii="SimSun" w:hAnsi="SimSun" w:eastAsia="SimSun" w:cs="SimSun"/>
                <w:sz w:val="12"/>
                <w:szCs w:val="12"/>
              </w:rPr>
              <w:t>△</w:t>
            </w:r>
          </w:p>
        </w:tc>
        <w:tc>
          <w:tcPr>
            <w:tcW w:w="573" w:type="dxa"/>
            <w:vAlign w:val="top"/>
          </w:tcPr>
          <w:p>
            <w:pPr>
              <w:ind w:left="227"/>
              <w:spacing w:before="109" w:line="164" w:lineRule="exact"/>
              <w:rPr>
                <w:rFonts w:ascii="SimSun" w:hAnsi="SimSun" w:eastAsia="SimSun" w:cs="SimSun"/>
                <w:sz w:val="12"/>
                <w:szCs w:val="12"/>
              </w:rPr>
            </w:pPr>
            <w:r>
              <w:rPr>
                <w:rFonts w:ascii="SimSun" w:hAnsi="SimSun" w:eastAsia="SimSun" w:cs="SimSun"/>
                <w:sz w:val="12"/>
                <w:szCs w:val="12"/>
              </w:rPr>
              <w:t>△</w:t>
            </w:r>
          </w:p>
        </w:tc>
        <w:tc>
          <w:tcPr>
            <w:tcW w:w="866" w:type="dxa"/>
            <w:vAlign w:val="top"/>
          </w:tcPr>
          <w:p>
            <w:pPr>
              <w:pStyle w:val="TableText"/>
              <w:ind w:left="319"/>
              <w:spacing w:before="109" w:line="167" w:lineRule="exact"/>
              <w:rPr>
                <w:sz w:val="12"/>
                <w:szCs w:val="12"/>
              </w:rPr>
            </w:pPr>
            <w:r>
              <w:rPr>
                <w:sz w:val="12"/>
                <w:szCs w:val="12"/>
                <w:position w:val="1"/>
              </w:rPr>
              <w:t>□⊕</w:t>
            </w:r>
          </w:p>
        </w:tc>
        <w:tc>
          <w:tcPr>
            <w:tcW w:w="680" w:type="dxa"/>
            <w:vAlign w:val="top"/>
          </w:tcPr>
          <w:p>
            <w:pPr>
              <w:ind w:left="281"/>
              <w:spacing w:before="109" w:line="164" w:lineRule="exact"/>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0"/>
              <w:spacing w:before="109" w:line="164"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15"/>
              <w:spacing w:before="109" w:line="164" w:lineRule="exact"/>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109" w:line="164"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25"/>
              <w:spacing w:before="127"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27"/>
              <w:spacing w:before="127"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98" w:type="dxa"/>
            <w:vAlign w:val="top"/>
          </w:tcPr>
          <w:p>
            <w:pPr>
              <w:ind w:left="212"/>
              <w:spacing w:before="140"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37"/>
              <w:spacing w:before="109" w:line="164" w:lineRule="exact"/>
              <w:rPr>
                <w:rFonts w:ascii="SimSun" w:hAnsi="SimSun" w:eastAsia="SimSun" w:cs="SimSun"/>
                <w:sz w:val="12"/>
                <w:szCs w:val="12"/>
              </w:rPr>
            </w:pPr>
            <w:r>
              <w:rPr>
                <w:rFonts w:ascii="SimSun" w:hAnsi="SimSun" w:eastAsia="SimSun" w:cs="SimSun"/>
                <w:sz w:val="12"/>
                <w:szCs w:val="12"/>
              </w:rPr>
              <w:t>△</w:t>
            </w:r>
          </w:p>
        </w:tc>
      </w:tr>
      <w:tr>
        <w:trPr>
          <w:trHeight w:val="340"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378" w:right="109" w:hanging="258"/>
              <w:spacing w:before="25" w:line="234" w:lineRule="auto"/>
              <w:rPr>
                <w:sz w:val="12"/>
                <w:szCs w:val="12"/>
              </w:rPr>
            </w:pPr>
            <w:r>
              <w:rPr>
                <w:sz w:val="12"/>
                <w:szCs w:val="12"/>
                <w:spacing w:val="8"/>
              </w:rPr>
              <w:t>施工生活垃</w:t>
            </w:r>
            <w:r>
              <w:rPr>
                <w:sz w:val="12"/>
                <w:szCs w:val="12"/>
                <w:spacing w:val="2"/>
              </w:rPr>
              <w:t>圾</w:t>
            </w:r>
          </w:p>
        </w:tc>
        <w:tc>
          <w:tcPr>
            <w:tcW w:w="520" w:type="dxa"/>
            <w:vAlign w:val="top"/>
          </w:tcPr>
          <w:p>
            <w:pPr>
              <w:ind w:left="211"/>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86" w:type="dxa"/>
            <w:vAlign w:val="top"/>
          </w:tcPr>
          <w:p>
            <w:pPr>
              <w:ind w:left="195"/>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15" w:type="dxa"/>
            <w:vAlign w:val="top"/>
          </w:tcPr>
          <w:p>
            <w:pPr>
              <w:ind w:left="198"/>
              <w:spacing w:before="109" w:line="165" w:lineRule="exact"/>
              <w:rPr>
                <w:rFonts w:ascii="SimSun" w:hAnsi="SimSun" w:eastAsia="SimSun" w:cs="SimSun"/>
                <w:sz w:val="12"/>
                <w:szCs w:val="12"/>
              </w:rPr>
            </w:pPr>
            <w:r>
              <w:rPr>
                <w:rFonts w:ascii="SimSun" w:hAnsi="SimSun" w:eastAsia="SimSun" w:cs="SimSun"/>
                <w:sz w:val="12"/>
                <w:szCs w:val="12"/>
              </w:rPr>
              <w:t>△</w:t>
            </w:r>
          </w:p>
        </w:tc>
        <w:tc>
          <w:tcPr>
            <w:tcW w:w="573" w:type="dxa"/>
            <w:vAlign w:val="top"/>
          </w:tcPr>
          <w:p>
            <w:pPr>
              <w:pStyle w:val="TableText"/>
              <w:ind w:left="173"/>
              <w:spacing w:before="109" w:line="168" w:lineRule="exact"/>
              <w:rPr>
                <w:sz w:val="12"/>
                <w:szCs w:val="12"/>
              </w:rPr>
            </w:pPr>
            <w:r>
              <w:rPr>
                <w:rFonts w:ascii="Times New Roman" w:hAnsi="Times New Roman" w:eastAsia="Times New Roman" w:cs="Times New Roman"/>
                <w:sz w:val="12"/>
                <w:szCs w:val="12"/>
                <w:spacing w:val="-1"/>
                <w:position w:val="1"/>
              </w:rPr>
              <w:t>▲</w:t>
            </w:r>
            <w:r>
              <w:rPr>
                <w:sz w:val="12"/>
                <w:szCs w:val="12"/>
                <w:spacing w:val="-1"/>
                <w:position w:val="1"/>
              </w:rPr>
              <w:t>⊕</w:t>
            </w:r>
          </w:p>
        </w:tc>
        <w:tc>
          <w:tcPr>
            <w:tcW w:w="866" w:type="dxa"/>
            <w:vAlign w:val="top"/>
          </w:tcPr>
          <w:p>
            <w:pPr>
              <w:ind w:left="374"/>
              <w:spacing w:before="109" w:line="165" w:lineRule="exact"/>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1"/>
              <w:spacing w:before="109" w:line="165" w:lineRule="exact"/>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0"/>
              <w:spacing w:before="109" w:line="165"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15"/>
              <w:spacing w:before="109" w:line="165" w:lineRule="exact"/>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109" w:line="165"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25"/>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27"/>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98" w:type="dxa"/>
            <w:vAlign w:val="top"/>
          </w:tcPr>
          <w:p>
            <w:pPr>
              <w:ind w:left="190"/>
              <w:spacing w:before="109" w:line="165" w:lineRule="exact"/>
              <w:rPr>
                <w:rFonts w:ascii="SimSun" w:hAnsi="SimSun" w:eastAsia="SimSun" w:cs="SimSun"/>
                <w:sz w:val="12"/>
                <w:szCs w:val="12"/>
              </w:rPr>
            </w:pPr>
            <w:r>
              <w:rPr>
                <w:rFonts w:ascii="SimSun" w:hAnsi="SimSun" w:eastAsia="SimSun" w:cs="SimSun"/>
                <w:sz w:val="12"/>
                <w:szCs w:val="12"/>
              </w:rPr>
              <w:t>△</w:t>
            </w:r>
          </w:p>
        </w:tc>
        <w:tc>
          <w:tcPr>
            <w:tcW w:w="591" w:type="dxa"/>
            <w:vAlign w:val="top"/>
            <w:tcBorders>
              <w:right w:val="nil"/>
            </w:tcBorders>
          </w:tcPr>
          <w:p>
            <w:pPr>
              <w:ind w:left="237"/>
              <w:spacing w:before="109" w:line="165" w:lineRule="exact"/>
              <w:rPr>
                <w:rFonts w:ascii="SimSun" w:hAnsi="SimSun" w:eastAsia="SimSun" w:cs="SimSun"/>
                <w:sz w:val="12"/>
                <w:szCs w:val="12"/>
              </w:rPr>
            </w:pPr>
            <w:r>
              <w:rPr>
                <w:rFonts w:ascii="SimSun" w:hAnsi="SimSun" w:eastAsia="SimSun" w:cs="SimSun"/>
                <w:sz w:val="12"/>
                <w:szCs w:val="12"/>
              </w:rPr>
              <w:t>△</w:t>
            </w:r>
          </w:p>
        </w:tc>
      </w:tr>
      <w:tr>
        <w:trPr>
          <w:trHeight w:val="340"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379" w:right="109" w:hanging="259"/>
              <w:spacing w:before="28" w:line="232" w:lineRule="auto"/>
              <w:rPr>
                <w:sz w:val="12"/>
                <w:szCs w:val="12"/>
              </w:rPr>
            </w:pPr>
            <w:r>
              <w:rPr>
                <w:sz w:val="12"/>
                <w:szCs w:val="12"/>
                <w:spacing w:val="8"/>
              </w:rPr>
              <w:t>施工生活污</w:t>
            </w:r>
            <w:r>
              <w:rPr>
                <w:sz w:val="12"/>
                <w:szCs w:val="12"/>
                <w:spacing w:val="1"/>
              </w:rPr>
              <w:t>水</w:t>
            </w:r>
          </w:p>
        </w:tc>
        <w:tc>
          <w:tcPr>
            <w:tcW w:w="520" w:type="dxa"/>
            <w:vAlign w:val="top"/>
          </w:tcPr>
          <w:p>
            <w:pPr>
              <w:ind w:left="211"/>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86" w:type="dxa"/>
            <w:vAlign w:val="top"/>
          </w:tcPr>
          <w:p>
            <w:pPr>
              <w:pStyle w:val="TableText"/>
              <w:ind w:left="130"/>
              <w:spacing w:before="112" w:line="168" w:lineRule="exact"/>
              <w:rPr>
                <w:sz w:val="12"/>
                <w:szCs w:val="12"/>
              </w:rPr>
            </w:pPr>
            <w:r>
              <w:rPr>
                <w:rFonts w:ascii="Times New Roman" w:hAnsi="Times New Roman" w:eastAsia="Times New Roman" w:cs="Times New Roman"/>
                <w:sz w:val="12"/>
                <w:szCs w:val="12"/>
                <w:spacing w:val="-1"/>
                <w:position w:val="1"/>
              </w:rPr>
              <w:t>▲</w:t>
            </w:r>
            <w:r>
              <w:rPr>
                <w:sz w:val="12"/>
                <w:szCs w:val="12"/>
                <w:spacing w:val="-1"/>
                <w:position w:val="1"/>
              </w:rPr>
              <w:t>⊕</w:t>
            </w:r>
          </w:p>
        </w:tc>
        <w:tc>
          <w:tcPr>
            <w:tcW w:w="515" w:type="dxa"/>
            <w:vAlign w:val="top"/>
          </w:tcPr>
          <w:p>
            <w:pPr>
              <w:ind w:left="198"/>
              <w:spacing w:before="112" w:line="165" w:lineRule="exact"/>
              <w:rPr>
                <w:rFonts w:ascii="SimSun" w:hAnsi="SimSun" w:eastAsia="SimSun" w:cs="SimSun"/>
                <w:sz w:val="12"/>
                <w:szCs w:val="12"/>
              </w:rPr>
            </w:pPr>
            <w:r>
              <w:rPr>
                <w:rFonts w:ascii="SimSun" w:hAnsi="SimSun" w:eastAsia="SimSun" w:cs="SimSun"/>
                <w:sz w:val="12"/>
                <w:szCs w:val="12"/>
              </w:rPr>
              <w:t>△</w:t>
            </w:r>
          </w:p>
        </w:tc>
        <w:tc>
          <w:tcPr>
            <w:tcW w:w="573" w:type="dxa"/>
            <w:vAlign w:val="top"/>
          </w:tcPr>
          <w:p>
            <w:pPr>
              <w:ind w:left="238"/>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866" w:type="dxa"/>
            <w:vAlign w:val="top"/>
          </w:tcPr>
          <w:p>
            <w:pPr>
              <w:ind w:left="374"/>
              <w:spacing w:before="112" w:line="165" w:lineRule="exact"/>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1"/>
              <w:spacing w:before="112" w:line="165" w:lineRule="exact"/>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0"/>
              <w:spacing w:before="112" w:line="165"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15"/>
              <w:spacing w:before="112" w:line="165" w:lineRule="exact"/>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112" w:line="165"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25"/>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27"/>
              <w:spacing w:before="130"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98" w:type="dxa"/>
            <w:vAlign w:val="top"/>
          </w:tcPr>
          <w:p>
            <w:pPr>
              <w:ind w:left="190"/>
              <w:spacing w:before="112" w:line="165" w:lineRule="exact"/>
              <w:rPr>
                <w:rFonts w:ascii="SimSun" w:hAnsi="SimSun" w:eastAsia="SimSun" w:cs="SimSun"/>
                <w:sz w:val="12"/>
                <w:szCs w:val="12"/>
              </w:rPr>
            </w:pPr>
            <w:r>
              <w:rPr>
                <w:rFonts w:ascii="SimSun" w:hAnsi="SimSun" w:eastAsia="SimSun" w:cs="SimSun"/>
                <w:sz w:val="12"/>
                <w:szCs w:val="12"/>
              </w:rPr>
              <w:t>△</w:t>
            </w:r>
          </w:p>
        </w:tc>
        <w:tc>
          <w:tcPr>
            <w:tcW w:w="591" w:type="dxa"/>
            <w:vAlign w:val="top"/>
            <w:tcBorders>
              <w:right w:val="nil"/>
            </w:tcBorders>
          </w:tcPr>
          <w:p>
            <w:pPr>
              <w:ind w:left="237"/>
              <w:spacing w:before="112" w:line="165" w:lineRule="exact"/>
              <w:rPr>
                <w:rFonts w:ascii="SimSun" w:hAnsi="SimSun" w:eastAsia="SimSun" w:cs="SimSun"/>
                <w:sz w:val="12"/>
                <w:szCs w:val="12"/>
              </w:rPr>
            </w:pPr>
            <w:r>
              <w:rPr>
                <w:rFonts w:ascii="SimSun" w:hAnsi="SimSun" w:eastAsia="SimSun" w:cs="SimSun"/>
                <w:sz w:val="12"/>
                <w:szCs w:val="12"/>
              </w:rPr>
              <w:t>△</w:t>
            </w:r>
          </w:p>
        </w:tc>
      </w:tr>
      <w:tr>
        <w:trPr>
          <w:trHeight w:val="173" w:hRule="atLeast"/>
        </w:trPr>
        <w:tc>
          <w:tcPr>
            <w:tcW w:w="445" w:type="dxa"/>
            <w:vAlign w:val="top"/>
            <w:vMerge w:val="continue"/>
            <w:textDirection w:val="tbRlV"/>
            <w:tcBorders>
              <w:left w:val="nil"/>
              <w:top w:val="nil"/>
            </w:tcBorders>
          </w:tcPr>
          <w:p>
            <w:pPr>
              <w:rPr>
                <w:rFonts w:ascii="Arial"/>
                <w:sz w:val="21"/>
              </w:rPr>
            </w:pPr>
            <w:r/>
          </w:p>
        </w:tc>
        <w:tc>
          <w:tcPr>
            <w:tcW w:w="878" w:type="dxa"/>
            <w:vAlign w:val="top"/>
          </w:tcPr>
          <w:p>
            <w:pPr>
              <w:pStyle w:val="TableText"/>
              <w:ind w:left="185"/>
              <w:spacing w:before="31" w:line="202" w:lineRule="auto"/>
              <w:rPr>
                <w:sz w:val="12"/>
                <w:szCs w:val="12"/>
              </w:rPr>
            </w:pPr>
            <w:r>
              <w:rPr>
                <w:sz w:val="12"/>
                <w:szCs w:val="12"/>
                <w:spacing w:val="7"/>
              </w:rPr>
              <w:t>施工扬尘</w:t>
            </w:r>
          </w:p>
        </w:tc>
        <w:tc>
          <w:tcPr>
            <w:tcW w:w="520" w:type="dxa"/>
            <w:vAlign w:val="top"/>
          </w:tcPr>
          <w:p>
            <w:pPr>
              <w:ind w:left="211"/>
              <w:spacing w:before="49" w:line="197"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86" w:type="dxa"/>
            <w:vAlign w:val="top"/>
          </w:tcPr>
          <w:p>
            <w:pPr>
              <w:ind w:left="195"/>
              <w:spacing w:before="49" w:line="197"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15" w:type="dxa"/>
            <w:vAlign w:val="top"/>
          </w:tcPr>
          <w:p>
            <w:pPr>
              <w:ind w:left="198"/>
              <w:spacing w:before="31" w:line="202" w:lineRule="auto"/>
              <w:rPr>
                <w:rFonts w:ascii="SimSun" w:hAnsi="SimSun" w:eastAsia="SimSun" w:cs="SimSun"/>
                <w:sz w:val="12"/>
                <w:szCs w:val="12"/>
              </w:rPr>
            </w:pPr>
            <w:r>
              <w:rPr>
                <w:rFonts w:ascii="SimSun" w:hAnsi="SimSun" w:eastAsia="SimSun" w:cs="SimSun"/>
                <w:sz w:val="12"/>
                <w:szCs w:val="12"/>
              </w:rPr>
              <w:t>△</w:t>
            </w:r>
          </w:p>
        </w:tc>
        <w:tc>
          <w:tcPr>
            <w:tcW w:w="573" w:type="dxa"/>
            <w:vAlign w:val="top"/>
          </w:tcPr>
          <w:p>
            <w:pPr>
              <w:ind w:left="227"/>
              <w:spacing w:before="31" w:line="202" w:lineRule="auto"/>
              <w:rPr>
                <w:rFonts w:ascii="SimSun" w:hAnsi="SimSun" w:eastAsia="SimSun" w:cs="SimSun"/>
                <w:sz w:val="12"/>
                <w:szCs w:val="12"/>
              </w:rPr>
            </w:pPr>
            <w:r>
              <w:rPr>
                <w:rFonts w:ascii="SimSun" w:hAnsi="SimSun" w:eastAsia="SimSun" w:cs="SimSun"/>
                <w:sz w:val="12"/>
                <w:szCs w:val="12"/>
              </w:rPr>
              <w:t>△</w:t>
            </w:r>
          </w:p>
        </w:tc>
        <w:tc>
          <w:tcPr>
            <w:tcW w:w="866" w:type="dxa"/>
            <w:vAlign w:val="top"/>
          </w:tcPr>
          <w:p>
            <w:pPr>
              <w:ind w:left="374"/>
              <w:spacing w:before="31" w:line="202" w:lineRule="auto"/>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1"/>
              <w:spacing w:before="31" w:line="202" w:lineRule="auto"/>
              <w:rPr>
                <w:rFonts w:ascii="SimSun" w:hAnsi="SimSun" w:eastAsia="SimSun" w:cs="SimSun"/>
                <w:sz w:val="12"/>
                <w:szCs w:val="12"/>
              </w:rPr>
            </w:pPr>
            <w:r>
              <w:rPr>
                <w:rFonts w:ascii="SimSun" w:hAnsi="SimSun" w:eastAsia="SimSun" w:cs="SimSun"/>
                <w:sz w:val="12"/>
                <w:szCs w:val="12"/>
              </w:rPr>
              <w:t>△</w:t>
            </w:r>
          </w:p>
        </w:tc>
        <w:tc>
          <w:tcPr>
            <w:tcW w:w="680" w:type="dxa"/>
            <w:vAlign w:val="top"/>
          </w:tcPr>
          <w:p>
            <w:pPr>
              <w:ind w:left="280"/>
              <w:spacing w:before="31" w:line="202"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15"/>
              <w:spacing w:before="31" w:line="202" w:lineRule="auto"/>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31" w:line="202"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25"/>
              <w:spacing w:before="49" w:line="197"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27"/>
              <w:spacing w:before="49" w:line="197"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98" w:type="dxa"/>
            <w:vAlign w:val="top"/>
          </w:tcPr>
          <w:p>
            <w:pPr>
              <w:ind w:left="190"/>
              <w:spacing w:before="31" w:line="202" w:lineRule="auto"/>
              <w:rPr>
                <w:rFonts w:ascii="SimSun" w:hAnsi="SimSun" w:eastAsia="SimSun" w:cs="SimSun"/>
                <w:sz w:val="12"/>
                <w:szCs w:val="12"/>
              </w:rPr>
            </w:pPr>
            <w:r>
              <w:rPr>
                <w:rFonts w:ascii="SimSun" w:hAnsi="SimSun" w:eastAsia="SimSun" w:cs="SimSun"/>
                <w:sz w:val="12"/>
                <w:szCs w:val="12"/>
              </w:rPr>
              <w:t>△</w:t>
            </w:r>
          </w:p>
        </w:tc>
        <w:tc>
          <w:tcPr>
            <w:tcW w:w="591" w:type="dxa"/>
            <w:vAlign w:val="top"/>
            <w:tcBorders>
              <w:right w:val="nil"/>
            </w:tcBorders>
          </w:tcPr>
          <w:p>
            <w:pPr>
              <w:ind w:left="237"/>
              <w:spacing w:before="31" w:line="202" w:lineRule="auto"/>
              <w:rPr>
                <w:rFonts w:ascii="SimSun" w:hAnsi="SimSun" w:eastAsia="SimSun" w:cs="SimSun"/>
                <w:sz w:val="12"/>
                <w:szCs w:val="12"/>
              </w:rPr>
            </w:pPr>
            <w:r>
              <w:rPr>
                <w:rFonts w:ascii="SimSun" w:hAnsi="SimSun" w:eastAsia="SimSun" w:cs="SimSun"/>
                <w:sz w:val="12"/>
                <w:szCs w:val="12"/>
              </w:rPr>
              <w:t>△</w:t>
            </w:r>
          </w:p>
        </w:tc>
      </w:tr>
      <w:tr>
        <w:trPr>
          <w:trHeight w:val="172" w:hRule="atLeast"/>
        </w:trPr>
        <w:tc>
          <w:tcPr>
            <w:tcW w:w="445" w:type="dxa"/>
            <w:vAlign w:val="top"/>
            <w:vMerge w:val="restart"/>
            <w:textDirection w:val="tbRlV"/>
            <w:tcBorders>
              <w:left w:val="nil"/>
              <w:bottom w:val="nil"/>
            </w:tcBorders>
          </w:tcPr>
          <w:p>
            <w:pPr>
              <w:pStyle w:val="TableText"/>
              <w:ind w:left="477"/>
              <w:spacing w:before="156" w:line="216" w:lineRule="auto"/>
              <w:rPr>
                <w:sz w:val="12"/>
                <w:szCs w:val="12"/>
              </w:rPr>
            </w:pPr>
            <w:r>
              <w:rPr>
                <w:sz w:val="12"/>
                <w:szCs w:val="12"/>
                <w:spacing w:val="12"/>
              </w:rPr>
              <w:t>运</w:t>
            </w:r>
            <w:r>
              <w:rPr>
                <w:sz w:val="12"/>
                <w:szCs w:val="12"/>
                <w:spacing w:val="-24"/>
              </w:rPr>
              <w:t xml:space="preserve"> </w:t>
            </w:r>
            <w:r>
              <w:rPr>
                <w:sz w:val="12"/>
                <w:szCs w:val="12"/>
                <w:spacing w:val="12"/>
              </w:rPr>
              <w:t>营</w:t>
            </w:r>
            <w:r>
              <w:rPr>
                <w:sz w:val="12"/>
                <w:szCs w:val="12"/>
                <w:spacing w:val="-25"/>
              </w:rPr>
              <w:t xml:space="preserve"> </w:t>
            </w:r>
            <w:r>
              <w:rPr>
                <w:sz w:val="12"/>
                <w:szCs w:val="12"/>
                <w:spacing w:val="12"/>
              </w:rPr>
              <w:t>期</w:t>
            </w:r>
          </w:p>
        </w:tc>
        <w:tc>
          <w:tcPr>
            <w:tcW w:w="878" w:type="dxa"/>
            <w:vAlign w:val="top"/>
          </w:tcPr>
          <w:p>
            <w:pPr>
              <w:pStyle w:val="TableText"/>
              <w:ind w:left="316"/>
              <w:spacing w:before="31" w:line="201" w:lineRule="auto"/>
              <w:rPr>
                <w:sz w:val="12"/>
                <w:szCs w:val="12"/>
              </w:rPr>
            </w:pPr>
            <w:r>
              <w:rPr>
                <w:sz w:val="12"/>
                <w:szCs w:val="12"/>
                <w:spacing w:val="4"/>
              </w:rPr>
              <w:t>废气</w:t>
            </w:r>
          </w:p>
        </w:tc>
        <w:tc>
          <w:tcPr>
            <w:tcW w:w="520" w:type="dxa"/>
            <w:vAlign w:val="top"/>
          </w:tcPr>
          <w:p>
            <w:pPr>
              <w:ind w:left="201"/>
              <w:spacing w:before="31" w:line="201" w:lineRule="auto"/>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85"/>
              <w:spacing w:before="31" w:line="201" w:lineRule="auto"/>
              <w:rPr>
                <w:rFonts w:ascii="SimSun" w:hAnsi="SimSun" w:eastAsia="SimSun" w:cs="SimSun"/>
                <w:sz w:val="12"/>
                <w:szCs w:val="12"/>
              </w:rPr>
            </w:pPr>
            <w:r>
              <w:rPr>
                <w:rFonts w:ascii="SimSun" w:hAnsi="SimSun" w:eastAsia="SimSun" w:cs="SimSun"/>
                <w:sz w:val="12"/>
                <w:szCs w:val="12"/>
              </w:rPr>
              <w:t>△</w:t>
            </w:r>
          </w:p>
        </w:tc>
        <w:tc>
          <w:tcPr>
            <w:tcW w:w="515" w:type="dxa"/>
            <w:vAlign w:val="top"/>
          </w:tcPr>
          <w:p>
            <w:pPr>
              <w:ind w:left="133"/>
              <w:spacing w:before="31" w:line="201" w:lineRule="auto"/>
              <w:rPr>
                <w:rFonts w:ascii="SimSun" w:hAnsi="SimSun" w:eastAsia="SimSun" w:cs="SimSun"/>
                <w:sz w:val="12"/>
                <w:szCs w:val="12"/>
              </w:rPr>
            </w:pPr>
            <w:r>
              <w:rPr>
                <w:rFonts w:ascii="SimSun" w:hAnsi="SimSun" w:eastAsia="SimSun" w:cs="SimSun"/>
                <w:sz w:val="12"/>
                <w:szCs w:val="12"/>
                <w:spacing w:val="5"/>
              </w:rPr>
              <w:t>△◇</w:t>
            </w:r>
          </w:p>
        </w:tc>
        <w:tc>
          <w:tcPr>
            <w:tcW w:w="573" w:type="dxa"/>
            <w:vAlign w:val="top"/>
          </w:tcPr>
          <w:p>
            <w:pPr>
              <w:ind w:left="227"/>
              <w:spacing w:before="31" w:line="201" w:lineRule="auto"/>
              <w:rPr>
                <w:rFonts w:ascii="SimSun" w:hAnsi="SimSun" w:eastAsia="SimSun" w:cs="SimSun"/>
                <w:sz w:val="12"/>
                <w:szCs w:val="12"/>
              </w:rPr>
            </w:pPr>
            <w:r>
              <w:rPr>
                <w:rFonts w:ascii="SimSun" w:hAnsi="SimSun" w:eastAsia="SimSun" w:cs="SimSun"/>
                <w:sz w:val="12"/>
                <w:szCs w:val="12"/>
              </w:rPr>
              <w:t>△</w:t>
            </w:r>
          </w:p>
        </w:tc>
        <w:tc>
          <w:tcPr>
            <w:tcW w:w="866" w:type="dxa"/>
            <w:vAlign w:val="top"/>
          </w:tcPr>
          <w:p>
            <w:pPr>
              <w:pStyle w:val="TableText"/>
              <w:ind w:left="384"/>
              <w:spacing w:before="31" w:line="201" w:lineRule="auto"/>
              <w:rPr>
                <w:sz w:val="12"/>
                <w:szCs w:val="12"/>
              </w:rPr>
            </w:pPr>
            <w:r>
              <w:rPr>
                <w:sz w:val="12"/>
                <w:szCs w:val="12"/>
              </w:rPr>
              <w:t>□</w:t>
            </w:r>
          </w:p>
        </w:tc>
        <w:tc>
          <w:tcPr>
            <w:tcW w:w="680" w:type="dxa"/>
            <w:vAlign w:val="top"/>
          </w:tcPr>
          <w:p>
            <w:pPr>
              <w:pStyle w:val="TableText"/>
              <w:ind w:left="162"/>
              <w:spacing w:before="31" w:line="201" w:lineRule="auto"/>
              <w:rPr>
                <w:rFonts w:ascii="SimSun" w:hAnsi="SimSun" w:eastAsia="SimSun" w:cs="SimSun"/>
                <w:sz w:val="12"/>
                <w:szCs w:val="12"/>
              </w:rPr>
            </w:pPr>
            <w:r>
              <w:rPr>
                <w:rFonts w:ascii="Times New Roman" w:hAnsi="Times New Roman" w:eastAsia="Times New Roman" w:cs="Times New Roman"/>
                <w:sz w:val="12"/>
                <w:szCs w:val="12"/>
                <w:spacing w:val="2"/>
              </w:rPr>
              <w:t>▲</w:t>
            </w:r>
            <w:r>
              <w:rPr>
                <w:sz w:val="12"/>
                <w:szCs w:val="12"/>
                <w:spacing w:val="2"/>
              </w:rPr>
              <w:t>⊕</w:t>
            </w:r>
            <w:r>
              <w:rPr>
                <w:rFonts w:ascii="SimSun" w:hAnsi="SimSun" w:eastAsia="SimSun" w:cs="SimSun"/>
                <w:sz w:val="12"/>
                <w:szCs w:val="12"/>
                <w:spacing w:val="2"/>
              </w:rPr>
              <w:t>◇</w:t>
            </w:r>
          </w:p>
        </w:tc>
        <w:tc>
          <w:tcPr>
            <w:tcW w:w="680" w:type="dxa"/>
            <w:vAlign w:val="top"/>
          </w:tcPr>
          <w:p>
            <w:pPr>
              <w:ind w:left="280"/>
              <w:spacing w:before="31" w:line="201"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15"/>
              <w:spacing w:before="31" w:line="201" w:lineRule="auto"/>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31" w:line="201"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160"/>
              <w:spacing w:before="31" w:line="201" w:lineRule="auto"/>
              <w:rPr>
                <w:rFonts w:ascii="SimSun" w:hAnsi="SimSun" w:eastAsia="SimSun" w:cs="SimSun"/>
                <w:sz w:val="12"/>
                <w:szCs w:val="12"/>
              </w:rPr>
            </w:pPr>
            <w:r>
              <w:rPr>
                <w:rFonts w:ascii="Times New Roman" w:hAnsi="Times New Roman" w:eastAsia="Times New Roman" w:cs="Times New Roman"/>
                <w:sz w:val="12"/>
                <w:szCs w:val="12"/>
              </w:rPr>
              <w:t>▲</w:t>
            </w:r>
            <w:r>
              <w:rPr>
                <w:rFonts w:ascii="SimSun" w:hAnsi="SimSun" w:eastAsia="SimSun" w:cs="SimSun"/>
                <w:sz w:val="12"/>
                <w:szCs w:val="12"/>
              </w:rPr>
              <w:t>◇</w:t>
            </w:r>
          </w:p>
        </w:tc>
        <w:tc>
          <w:tcPr>
            <w:tcW w:w="550" w:type="dxa"/>
            <w:vAlign w:val="top"/>
          </w:tcPr>
          <w:p>
            <w:pPr>
              <w:ind w:left="162"/>
              <w:spacing w:before="31" w:line="201" w:lineRule="auto"/>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tc>
        <w:tc>
          <w:tcPr>
            <w:tcW w:w="498" w:type="dxa"/>
            <w:vAlign w:val="top"/>
          </w:tcPr>
          <w:p>
            <w:pPr>
              <w:ind w:left="212"/>
              <w:spacing w:before="62" w:line="17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37"/>
              <w:spacing w:before="31" w:line="201" w:lineRule="auto"/>
              <w:rPr>
                <w:rFonts w:ascii="SimSun" w:hAnsi="SimSun" w:eastAsia="SimSun" w:cs="SimSun"/>
                <w:sz w:val="12"/>
                <w:szCs w:val="12"/>
              </w:rPr>
            </w:pPr>
            <w:r>
              <w:rPr>
                <w:rFonts w:ascii="SimSun" w:hAnsi="SimSun" w:eastAsia="SimSun" w:cs="SimSun"/>
                <w:sz w:val="12"/>
                <w:szCs w:val="12"/>
              </w:rPr>
              <w:t>△</w:t>
            </w:r>
          </w:p>
        </w:tc>
      </w:tr>
      <w:tr>
        <w:trPr>
          <w:trHeight w:val="173"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320"/>
              <w:spacing w:before="32" w:line="201" w:lineRule="auto"/>
              <w:rPr>
                <w:sz w:val="12"/>
                <w:szCs w:val="12"/>
              </w:rPr>
            </w:pPr>
            <w:r>
              <w:rPr>
                <w:sz w:val="12"/>
                <w:szCs w:val="12"/>
                <w:spacing w:val="2"/>
              </w:rPr>
              <w:t>噪声</w:t>
            </w:r>
          </w:p>
        </w:tc>
        <w:tc>
          <w:tcPr>
            <w:tcW w:w="520" w:type="dxa"/>
            <w:vAlign w:val="top"/>
          </w:tcPr>
          <w:p>
            <w:pPr>
              <w:ind w:left="201"/>
              <w:spacing w:before="32" w:line="201" w:lineRule="auto"/>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85"/>
              <w:spacing w:before="32" w:line="201" w:lineRule="auto"/>
              <w:rPr>
                <w:rFonts w:ascii="SimSun" w:hAnsi="SimSun" w:eastAsia="SimSun" w:cs="SimSun"/>
                <w:sz w:val="12"/>
                <w:szCs w:val="12"/>
              </w:rPr>
            </w:pPr>
            <w:r>
              <w:rPr>
                <w:rFonts w:ascii="SimSun" w:hAnsi="SimSun" w:eastAsia="SimSun" w:cs="SimSun"/>
                <w:sz w:val="12"/>
                <w:szCs w:val="12"/>
              </w:rPr>
              <w:t>△</w:t>
            </w:r>
          </w:p>
        </w:tc>
        <w:tc>
          <w:tcPr>
            <w:tcW w:w="515" w:type="dxa"/>
            <w:vAlign w:val="top"/>
          </w:tcPr>
          <w:p>
            <w:pPr>
              <w:ind w:left="198"/>
              <w:spacing w:before="32" w:line="201" w:lineRule="auto"/>
              <w:rPr>
                <w:rFonts w:ascii="SimSun" w:hAnsi="SimSun" w:eastAsia="SimSun" w:cs="SimSun"/>
                <w:sz w:val="12"/>
                <w:szCs w:val="12"/>
              </w:rPr>
            </w:pPr>
            <w:r>
              <w:rPr>
                <w:rFonts w:ascii="SimSun" w:hAnsi="SimSun" w:eastAsia="SimSun" w:cs="SimSun"/>
                <w:sz w:val="12"/>
                <w:szCs w:val="12"/>
              </w:rPr>
              <w:t>△</w:t>
            </w:r>
          </w:p>
        </w:tc>
        <w:tc>
          <w:tcPr>
            <w:tcW w:w="573" w:type="dxa"/>
            <w:vAlign w:val="top"/>
          </w:tcPr>
          <w:p>
            <w:pPr>
              <w:ind w:left="227"/>
              <w:spacing w:before="32" w:line="201" w:lineRule="auto"/>
              <w:rPr>
                <w:rFonts w:ascii="SimSun" w:hAnsi="SimSun" w:eastAsia="SimSun" w:cs="SimSun"/>
                <w:sz w:val="12"/>
                <w:szCs w:val="12"/>
              </w:rPr>
            </w:pPr>
            <w:r>
              <w:rPr>
                <w:rFonts w:ascii="SimSun" w:hAnsi="SimSun" w:eastAsia="SimSun" w:cs="SimSun"/>
                <w:sz w:val="12"/>
                <w:szCs w:val="12"/>
              </w:rPr>
              <w:t>△</w:t>
            </w:r>
          </w:p>
        </w:tc>
        <w:tc>
          <w:tcPr>
            <w:tcW w:w="866" w:type="dxa"/>
            <w:vAlign w:val="top"/>
          </w:tcPr>
          <w:p>
            <w:pPr>
              <w:pStyle w:val="TableText"/>
              <w:ind w:left="190"/>
              <w:spacing w:before="32" w:line="201" w:lineRule="auto"/>
              <w:rPr>
                <w:sz w:val="12"/>
                <w:szCs w:val="12"/>
              </w:rPr>
            </w:pPr>
            <w:r>
              <w:rPr>
                <w:rFonts w:ascii="Times New Roman" w:hAnsi="Times New Roman" w:eastAsia="Times New Roman" w:cs="Times New Roman"/>
                <w:sz w:val="12"/>
                <w:szCs w:val="12"/>
                <w:spacing w:val="4"/>
              </w:rPr>
              <w:t>▲</w:t>
            </w:r>
            <w:r>
              <w:rPr>
                <w:rFonts w:ascii="SimSun" w:hAnsi="SimSun" w:eastAsia="SimSun" w:cs="SimSun"/>
                <w:sz w:val="12"/>
                <w:szCs w:val="12"/>
                <w:spacing w:val="4"/>
              </w:rPr>
              <w:t>◇</w:t>
            </w:r>
            <w:r>
              <w:rPr>
                <w:sz w:val="12"/>
                <w:szCs w:val="12"/>
                <w:spacing w:val="4"/>
              </w:rPr>
              <w:t>⊕—</w:t>
            </w:r>
          </w:p>
        </w:tc>
        <w:tc>
          <w:tcPr>
            <w:tcW w:w="680" w:type="dxa"/>
            <w:vAlign w:val="top"/>
          </w:tcPr>
          <w:p>
            <w:pPr>
              <w:ind w:left="227"/>
              <w:spacing w:before="32" w:line="201" w:lineRule="auto"/>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tc>
        <w:tc>
          <w:tcPr>
            <w:tcW w:w="680" w:type="dxa"/>
            <w:vAlign w:val="top"/>
          </w:tcPr>
          <w:p>
            <w:pPr>
              <w:pStyle w:val="TableText"/>
              <w:ind w:left="161"/>
              <w:spacing w:before="32" w:line="201" w:lineRule="auto"/>
              <w:rPr>
                <w:sz w:val="12"/>
                <w:szCs w:val="12"/>
              </w:rPr>
            </w:pPr>
            <w:r>
              <w:rPr>
                <w:rFonts w:ascii="Times New Roman" w:hAnsi="Times New Roman" w:eastAsia="Times New Roman" w:cs="Times New Roman"/>
                <w:sz w:val="12"/>
                <w:szCs w:val="12"/>
                <w:spacing w:val="2"/>
              </w:rPr>
              <w:t>▲</w:t>
            </w:r>
            <w:r>
              <w:rPr>
                <w:sz w:val="12"/>
                <w:szCs w:val="12"/>
                <w:spacing w:val="2"/>
              </w:rPr>
              <w:t>□⊕</w:t>
            </w:r>
          </w:p>
        </w:tc>
        <w:tc>
          <w:tcPr>
            <w:tcW w:w="550" w:type="dxa"/>
            <w:vAlign w:val="top"/>
          </w:tcPr>
          <w:p>
            <w:pPr>
              <w:ind w:left="215"/>
              <w:spacing w:before="32" w:line="201" w:lineRule="auto"/>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32" w:line="201"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160"/>
              <w:spacing w:before="32" w:line="201" w:lineRule="auto"/>
              <w:rPr>
                <w:rFonts w:ascii="SimSun" w:hAnsi="SimSun" w:eastAsia="SimSun" w:cs="SimSun"/>
                <w:sz w:val="12"/>
                <w:szCs w:val="12"/>
              </w:rPr>
            </w:pPr>
            <w:r>
              <w:rPr>
                <w:rFonts w:ascii="Times New Roman" w:hAnsi="Times New Roman" w:eastAsia="Times New Roman" w:cs="Times New Roman"/>
                <w:sz w:val="12"/>
                <w:szCs w:val="12"/>
              </w:rPr>
              <w:t>▲</w:t>
            </w:r>
            <w:r>
              <w:rPr>
                <w:rFonts w:ascii="SimSun" w:hAnsi="SimSun" w:eastAsia="SimSun" w:cs="SimSun"/>
                <w:sz w:val="12"/>
                <w:szCs w:val="12"/>
              </w:rPr>
              <w:t>◇</w:t>
            </w:r>
          </w:p>
        </w:tc>
        <w:tc>
          <w:tcPr>
            <w:tcW w:w="550" w:type="dxa"/>
            <w:vAlign w:val="top"/>
          </w:tcPr>
          <w:p>
            <w:pPr>
              <w:ind w:left="162"/>
              <w:spacing w:before="32" w:line="201" w:lineRule="auto"/>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tc>
        <w:tc>
          <w:tcPr>
            <w:tcW w:w="498" w:type="dxa"/>
            <w:vAlign w:val="top"/>
          </w:tcPr>
          <w:p>
            <w:pPr>
              <w:ind w:left="212"/>
              <w:spacing w:before="65" w:line="17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37"/>
              <w:spacing w:before="32" w:line="201" w:lineRule="auto"/>
              <w:rPr>
                <w:rFonts w:ascii="SimSun" w:hAnsi="SimSun" w:eastAsia="SimSun" w:cs="SimSun"/>
                <w:sz w:val="12"/>
                <w:szCs w:val="12"/>
              </w:rPr>
            </w:pPr>
            <w:r>
              <w:rPr>
                <w:rFonts w:ascii="SimSun" w:hAnsi="SimSun" w:eastAsia="SimSun" w:cs="SimSun"/>
                <w:sz w:val="12"/>
                <w:szCs w:val="12"/>
              </w:rPr>
              <w:t>△</w:t>
            </w:r>
          </w:p>
        </w:tc>
      </w:tr>
      <w:tr>
        <w:trPr>
          <w:trHeight w:val="340"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316"/>
              <w:spacing w:before="117" w:line="239" w:lineRule="auto"/>
              <w:rPr>
                <w:sz w:val="12"/>
                <w:szCs w:val="12"/>
              </w:rPr>
            </w:pPr>
            <w:r>
              <w:rPr>
                <w:sz w:val="12"/>
                <w:szCs w:val="12"/>
                <w:spacing w:val="4"/>
              </w:rPr>
              <w:t>废水</w:t>
            </w:r>
          </w:p>
        </w:tc>
        <w:tc>
          <w:tcPr>
            <w:tcW w:w="520" w:type="dxa"/>
            <w:vAlign w:val="top"/>
          </w:tcPr>
          <w:p>
            <w:pPr>
              <w:ind w:left="201"/>
              <w:spacing w:before="118" w:line="164" w:lineRule="exact"/>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30"/>
              <w:spacing w:before="34" w:line="161" w:lineRule="exact"/>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p>
            <w:pPr>
              <w:pStyle w:val="TableText"/>
              <w:ind w:left="129"/>
              <w:spacing w:before="6" w:line="197" w:lineRule="auto"/>
              <w:rPr>
                <w:sz w:val="12"/>
                <w:szCs w:val="12"/>
              </w:rPr>
            </w:pPr>
            <w:r>
              <w:rPr>
                <w:sz w:val="12"/>
                <w:szCs w:val="12"/>
              </w:rPr>
              <w:t>⊕—</w:t>
            </w:r>
          </w:p>
        </w:tc>
        <w:tc>
          <w:tcPr>
            <w:tcW w:w="515" w:type="dxa"/>
            <w:vAlign w:val="top"/>
          </w:tcPr>
          <w:p>
            <w:pPr>
              <w:ind w:left="210"/>
              <w:spacing w:before="136"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73" w:type="dxa"/>
            <w:vAlign w:val="top"/>
          </w:tcPr>
          <w:p>
            <w:pPr>
              <w:ind w:left="238"/>
              <w:spacing w:before="136"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866" w:type="dxa"/>
            <w:vAlign w:val="top"/>
          </w:tcPr>
          <w:p>
            <w:pPr>
              <w:ind w:left="385"/>
              <w:spacing w:before="136"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680" w:type="dxa"/>
            <w:vAlign w:val="top"/>
          </w:tcPr>
          <w:p>
            <w:pPr>
              <w:ind w:left="227"/>
              <w:spacing w:before="118" w:line="161" w:lineRule="exact"/>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tc>
        <w:tc>
          <w:tcPr>
            <w:tcW w:w="680" w:type="dxa"/>
            <w:vAlign w:val="top"/>
          </w:tcPr>
          <w:p>
            <w:pPr>
              <w:pStyle w:val="TableText"/>
              <w:ind w:left="226"/>
              <w:spacing w:before="118" w:line="167" w:lineRule="exact"/>
              <w:rPr>
                <w:sz w:val="12"/>
                <w:szCs w:val="12"/>
              </w:rPr>
            </w:pPr>
            <w:r>
              <w:rPr>
                <w:rFonts w:ascii="Times New Roman" w:hAnsi="Times New Roman" w:eastAsia="Times New Roman" w:cs="Times New Roman"/>
                <w:sz w:val="12"/>
                <w:szCs w:val="12"/>
                <w:spacing w:val="-1"/>
                <w:position w:val="1"/>
              </w:rPr>
              <w:t>▲</w:t>
            </w:r>
            <w:r>
              <w:rPr>
                <w:sz w:val="12"/>
                <w:szCs w:val="12"/>
                <w:spacing w:val="-1"/>
                <w:position w:val="1"/>
              </w:rPr>
              <w:t>□</w:t>
            </w:r>
          </w:p>
        </w:tc>
        <w:tc>
          <w:tcPr>
            <w:tcW w:w="550" w:type="dxa"/>
            <w:vAlign w:val="top"/>
          </w:tcPr>
          <w:p>
            <w:pPr>
              <w:ind w:left="215"/>
              <w:spacing w:before="118" w:line="164" w:lineRule="exact"/>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118" w:line="164"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160"/>
              <w:spacing w:before="118" w:line="161" w:lineRule="exact"/>
              <w:rPr>
                <w:rFonts w:ascii="SimSun" w:hAnsi="SimSun" w:eastAsia="SimSun" w:cs="SimSun"/>
                <w:sz w:val="12"/>
                <w:szCs w:val="12"/>
              </w:rPr>
            </w:pPr>
            <w:r>
              <w:rPr>
                <w:rFonts w:ascii="Times New Roman" w:hAnsi="Times New Roman" w:eastAsia="Times New Roman" w:cs="Times New Roman"/>
                <w:sz w:val="12"/>
                <w:szCs w:val="12"/>
              </w:rPr>
              <w:t>▲</w:t>
            </w:r>
            <w:r>
              <w:rPr>
                <w:rFonts w:ascii="SimSun" w:hAnsi="SimSun" w:eastAsia="SimSun" w:cs="SimSun"/>
                <w:sz w:val="12"/>
                <w:szCs w:val="12"/>
              </w:rPr>
              <w:t>◇</w:t>
            </w:r>
          </w:p>
        </w:tc>
        <w:tc>
          <w:tcPr>
            <w:tcW w:w="550" w:type="dxa"/>
            <w:vAlign w:val="top"/>
          </w:tcPr>
          <w:p>
            <w:pPr>
              <w:ind w:left="162"/>
              <w:spacing w:before="118" w:line="161" w:lineRule="exact"/>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tc>
        <w:tc>
          <w:tcPr>
            <w:tcW w:w="498" w:type="dxa"/>
            <w:vAlign w:val="top"/>
          </w:tcPr>
          <w:p>
            <w:pPr>
              <w:ind w:left="212"/>
              <w:spacing w:before="149"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37"/>
              <w:spacing w:before="118" w:line="164" w:lineRule="exact"/>
              <w:rPr>
                <w:rFonts w:ascii="SimSun" w:hAnsi="SimSun" w:eastAsia="SimSun" w:cs="SimSun"/>
                <w:sz w:val="12"/>
                <w:szCs w:val="12"/>
              </w:rPr>
            </w:pPr>
            <w:r>
              <w:rPr>
                <w:rFonts w:ascii="SimSun" w:hAnsi="SimSun" w:eastAsia="SimSun" w:cs="SimSun"/>
                <w:sz w:val="12"/>
                <w:szCs w:val="12"/>
              </w:rPr>
              <w:t>△</w:t>
            </w:r>
          </w:p>
        </w:tc>
      </w:tr>
      <w:tr>
        <w:trPr>
          <w:trHeight w:val="340"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199"/>
              <w:spacing w:before="120" w:line="237" w:lineRule="auto"/>
              <w:rPr>
                <w:sz w:val="12"/>
                <w:szCs w:val="12"/>
              </w:rPr>
            </w:pPr>
            <w:r>
              <w:rPr>
                <w:sz w:val="12"/>
                <w:szCs w:val="12"/>
                <w:spacing w:val="4"/>
              </w:rPr>
              <w:t>固体废物</w:t>
            </w:r>
          </w:p>
        </w:tc>
        <w:tc>
          <w:tcPr>
            <w:tcW w:w="520" w:type="dxa"/>
            <w:vAlign w:val="top"/>
          </w:tcPr>
          <w:p>
            <w:pPr>
              <w:ind w:left="201"/>
              <w:spacing w:before="121" w:line="164" w:lineRule="exact"/>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95"/>
              <w:spacing w:before="139"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15" w:type="dxa"/>
            <w:vAlign w:val="top"/>
          </w:tcPr>
          <w:p>
            <w:pPr>
              <w:ind w:left="143"/>
              <w:spacing w:before="37" w:line="161" w:lineRule="exact"/>
              <w:rPr>
                <w:rFonts w:ascii="SimSun" w:hAnsi="SimSun" w:eastAsia="SimSun" w:cs="SimSun"/>
                <w:sz w:val="12"/>
                <w:szCs w:val="12"/>
              </w:rPr>
            </w:pPr>
            <w:r>
              <w:rPr>
                <w:rFonts w:ascii="Times New Roman" w:hAnsi="Times New Roman" w:eastAsia="Times New Roman" w:cs="Times New Roman"/>
                <w:sz w:val="12"/>
                <w:szCs w:val="12"/>
              </w:rPr>
              <w:t>▲</w:t>
            </w:r>
            <w:r>
              <w:rPr>
                <w:rFonts w:ascii="SimSun" w:hAnsi="SimSun" w:eastAsia="SimSun" w:cs="SimSun"/>
                <w:sz w:val="12"/>
                <w:szCs w:val="12"/>
              </w:rPr>
              <w:t>◇</w:t>
            </w:r>
          </w:p>
          <w:p>
            <w:pPr>
              <w:pStyle w:val="TableText"/>
              <w:ind w:left="142"/>
              <w:spacing w:before="7" w:line="192" w:lineRule="auto"/>
              <w:rPr>
                <w:sz w:val="12"/>
                <w:szCs w:val="12"/>
              </w:rPr>
            </w:pPr>
            <w:r>
              <w:rPr>
                <w:sz w:val="12"/>
                <w:szCs w:val="12"/>
              </w:rPr>
              <w:t>⊕—</w:t>
            </w:r>
          </w:p>
        </w:tc>
        <w:tc>
          <w:tcPr>
            <w:tcW w:w="573" w:type="dxa"/>
            <w:vAlign w:val="top"/>
          </w:tcPr>
          <w:p>
            <w:pPr>
              <w:ind w:left="173"/>
              <w:spacing w:before="37" w:line="161" w:lineRule="exact"/>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p>
            <w:pPr>
              <w:pStyle w:val="TableText"/>
              <w:ind w:left="172"/>
              <w:spacing w:before="7" w:line="192" w:lineRule="auto"/>
              <w:rPr>
                <w:sz w:val="12"/>
                <w:szCs w:val="12"/>
              </w:rPr>
            </w:pPr>
            <w:r>
              <w:rPr>
                <w:sz w:val="12"/>
                <w:szCs w:val="12"/>
              </w:rPr>
              <w:t>⊕—</w:t>
            </w:r>
          </w:p>
        </w:tc>
        <w:tc>
          <w:tcPr>
            <w:tcW w:w="866" w:type="dxa"/>
            <w:vAlign w:val="top"/>
          </w:tcPr>
          <w:p>
            <w:pPr>
              <w:ind w:left="385"/>
              <w:spacing w:before="139"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680" w:type="dxa"/>
            <w:vAlign w:val="top"/>
          </w:tcPr>
          <w:p>
            <w:pPr>
              <w:ind w:left="291"/>
              <w:spacing w:before="139"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680" w:type="dxa"/>
            <w:vAlign w:val="top"/>
          </w:tcPr>
          <w:p>
            <w:pPr>
              <w:pStyle w:val="TableText"/>
              <w:ind w:left="161"/>
              <w:spacing w:before="121" w:line="164" w:lineRule="exact"/>
              <w:rPr>
                <w:sz w:val="12"/>
                <w:szCs w:val="12"/>
              </w:rPr>
            </w:pPr>
            <w:r>
              <w:rPr>
                <w:rFonts w:ascii="Times New Roman" w:hAnsi="Times New Roman" w:eastAsia="Times New Roman" w:cs="Times New Roman"/>
                <w:sz w:val="12"/>
                <w:szCs w:val="12"/>
                <w:spacing w:val="3"/>
                <w:position w:val="1"/>
              </w:rPr>
              <w:t>▲</w:t>
            </w:r>
            <w:r>
              <w:rPr>
                <w:rFonts w:ascii="SimSun" w:hAnsi="SimSun" w:eastAsia="SimSun" w:cs="SimSun"/>
                <w:sz w:val="12"/>
                <w:szCs w:val="12"/>
                <w:spacing w:val="3"/>
                <w:position w:val="1"/>
              </w:rPr>
              <w:t>◇</w:t>
            </w:r>
            <w:r>
              <w:rPr>
                <w:sz w:val="12"/>
                <w:szCs w:val="12"/>
                <w:spacing w:val="3"/>
                <w:position w:val="1"/>
              </w:rPr>
              <w:t>⊕</w:t>
            </w:r>
          </w:p>
        </w:tc>
        <w:tc>
          <w:tcPr>
            <w:tcW w:w="550" w:type="dxa"/>
            <w:vAlign w:val="top"/>
          </w:tcPr>
          <w:p>
            <w:pPr>
              <w:ind w:left="215"/>
              <w:spacing w:before="121" w:line="164" w:lineRule="exact"/>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121" w:line="164"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160"/>
              <w:spacing w:before="121" w:line="161" w:lineRule="exact"/>
              <w:rPr>
                <w:rFonts w:ascii="SimSun" w:hAnsi="SimSun" w:eastAsia="SimSun" w:cs="SimSun"/>
                <w:sz w:val="12"/>
                <w:szCs w:val="12"/>
              </w:rPr>
            </w:pPr>
            <w:r>
              <w:rPr>
                <w:rFonts w:ascii="Times New Roman" w:hAnsi="Times New Roman" w:eastAsia="Times New Roman" w:cs="Times New Roman"/>
                <w:sz w:val="12"/>
                <w:szCs w:val="12"/>
              </w:rPr>
              <w:t>▲</w:t>
            </w:r>
            <w:r>
              <w:rPr>
                <w:rFonts w:ascii="SimSun" w:hAnsi="SimSun" w:eastAsia="SimSun" w:cs="SimSun"/>
                <w:sz w:val="12"/>
                <w:szCs w:val="12"/>
              </w:rPr>
              <w:t>◇</w:t>
            </w:r>
          </w:p>
        </w:tc>
        <w:tc>
          <w:tcPr>
            <w:tcW w:w="550" w:type="dxa"/>
            <w:vAlign w:val="top"/>
          </w:tcPr>
          <w:p>
            <w:pPr>
              <w:ind w:left="162"/>
              <w:spacing w:before="121" w:line="161" w:lineRule="exact"/>
              <w:rPr>
                <w:rFonts w:ascii="SimSun" w:hAnsi="SimSun" w:eastAsia="SimSun" w:cs="SimSun"/>
                <w:sz w:val="12"/>
                <w:szCs w:val="12"/>
              </w:rPr>
            </w:pPr>
            <w:r>
              <w:rPr>
                <w:rFonts w:ascii="Times New Roman" w:hAnsi="Times New Roman" w:eastAsia="Times New Roman" w:cs="Times New Roman"/>
                <w:sz w:val="12"/>
                <w:szCs w:val="12"/>
                <w:spacing w:val="-1"/>
              </w:rPr>
              <w:t>▲</w:t>
            </w:r>
            <w:r>
              <w:rPr>
                <w:rFonts w:ascii="SimSun" w:hAnsi="SimSun" w:eastAsia="SimSun" w:cs="SimSun"/>
                <w:sz w:val="12"/>
                <w:szCs w:val="12"/>
                <w:spacing w:val="-1"/>
              </w:rPr>
              <w:t>◇</w:t>
            </w:r>
          </w:p>
        </w:tc>
        <w:tc>
          <w:tcPr>
            <w:tcW w:w="498" w:type="dxa"/>
            <w:vAlign w:val="top"/>
          </w:tcPr>
          <w:p>
            <w:pPr>
              <w:ind w:left="212"/>
              <w:spacing w:before="152"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37"/>
              <w:spacing w:before="121" w:line="164" w:lineRule="exact"/>
              <w:rPr>
                <w:rFonts w:ascii="SimSun" w:hAnsi="SimSun" w:eastAsia="SimSun" w:cs="SimSun"/>
                <w:sz w:val="12"/>
                <w:szCs w:val="12"/>
              </w:rPr>
            </w:pPr>
            <w:r>
              <w:rPr>
                <w:rFonts w:ascii="SimSun" w:hAnsi="SimSun" w:eastAsia="SimSun" w:cs="SimSun"/>
                <w:sz w:val="12"/>
                <w:szCs w:val="12"/>
              </w:rPr>
              <w:t>△</w:t>
            </w:r>
          </w:p>
        </w:tc>
      </w:tr>
      <w:tr>
        <w:trPr>
          <w:trHeight w:val="173" w:hRule="atLeast"/>
        </w:trPr>
        <w:tc>
          <w:tcPr>
            <w:tcW w:w="445" w:type="dxa"/>
            <w:vAlign w:val="top"/>
            <w:vMerge w:val="continue"/>
            <w:textDirection w:val="tbRlV"/>
            <w:tcBorders>
              <w:left w:val="nil"/>
              <w:top w:val="nil"/>
              <w:bottom w:val="nil"/>
            </w:tcBorders>
          </w:tcPr>
          <w:p>
            <w:pPr>
              <w:rPr>
                <w:rFonts w:ascii="Arial"/>
                <w:sz w:val="21"/>
              </w:rPr>
            </w:pPr>
            <w:r/>
          </w:p>
        </w:tc>
        <w:tc>
          <w:tcPr>
            <w:tcW w:w="878" w:type="dxa"/>
            <w:vAlign w:val="top"/>
          </w:tcPr>
          <w:p>
            <w:pPr>
              <w:pStyle w:val="TableText"/>
              <w:ind w:left="185"/>
              <w:spacing w:before="37" w:line="193" w:lineRule="auto"/>
              <w:rPr>
                <w:sz w:val="12"/>
                <w:szCs w:val="12"/>
              </w:rPr>
            </w:pPr>
            <w:r>
              <w:rPr>
                <w:sz w:val="12"/>
                <w:szCs w:val="12"/>
                <w:spacing w:val="7"/>
              </w:rPr>
              <w:t>环境风险</w:t>
            </w:r>
          </w:p>
        </w:tc>
        <w:tc>
          <w:tcPr>
            <w:tcW w:w="520" w:type="dxa"/>
            <w:vAlign w:val="top"/>
          </w:tcPr>
          <w:p>
            <w:pPr>
              <w:ind w:left="201"/>
              <w:spacing w:before="37" w:line="193" w:lineRule="auto"/>
              <w:rPr>
                <w:rFonts w:ascii="SimSun" w:hAnsi="SimSun" w:eastAsia="SimSun" w:cs="SimSun"/>
                <w:sz w:val="12"/>
                <w:szCs w:val="12"/>
              </w:rPr>
            </w:pPr>
            <w:r>
              <w:rPr>
                <w:rFonts w:ascii="SimSun" w:hAnsi="SimSun" w:eastAsia="SimSun" w:cs="SimSun"/>
                <w:sz w:val="12"/>
                <w:szCs w:val="12"/>
              </w:rPr>
              <w:t>△</w:t>
            </w:r>
          </w:p>
        </w:tc>
        <w:tc>
          <w:tcPr>
            <w:tcW w:w="486" w:type="dxa"/>
            <w:vAlign w:val="top"/>
          </w:tcPr>
          <w:p>
            <w:pPr>
              <w:ind w:left="195"/>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15" w:type="dxa"/>
            <w:vAlign w:val="top"/>
          </w:tcPr>
          <w:p>
            <w:pPr>
              <w:ind w:left="210"/>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73" w:type="dxa"/>
            <w:vAlign w:val="top"/>
          </w:tcPr>
          <w:p>
            <w:pPr>
              <w:ind w:left="238"/>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866" w:type="dxa"/>
            <w:vAlign w:val="top"/>
          </w:tcPr>
          <w:p>
            <w:pPr>
              <w:ind w:left="385"/>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680" w:type="dxa"/>
            <w:vAlign w:val="top"/>
          </w:tcPr>
          <w:p>
            <w:pPr>
              <w:ind w:left="291"/>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680" w:type="dxa"/>
            <w:vAlign w:val="top"/>
          </w:tcPr>
          <w:p>
            <w:pPr>
              <w:ind w:left="291"/>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15"/>
              <w:spacing w:before="37" w:line="193" w:lineRule="auto"/>
              <w:rPr>
                <w:rFonts w:ascii="SimSun" w:hAnsi="SimSun" w:eastAsia="SimSun" w:cs="SimSun"/>
                <w:sz w:val="12"/>
                <w:szCs w:val="12"/>
              </w:rPr>
            </w:pPr>
            <w:r>
              <w:rPr>
                <w:rFonts w:ascii="SimSun" w:hAnsi="SimSun" w:eastAsia="SimSun" w:cs="SimSun"/>
                <w:sz w:val="12"/>
                <w:szCs w:val="12"/>
              </w:rPr>
              <w:t>△</w:t>
            </w:r>
          </w:p>
        </w:tc>
        <w:tc>
          <w:tcPr>
            <w:tcW w:w="530" w:type="dxa"/>
            <w:vAlign w:val="top"/>
          </w:tcPr>
          <w:p>
            <w:pPr>
              <w:ind w:left="205"/>
              <w:spacing w:before="37" w:line="193"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25"/>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550" w:type="dxa"/>
            <w:vAlign w:val="top"/>
          </w:tcPr>
          <w:p>
            <w:pPr>
              <w:ind w:left="227"/>
              <w:spacing w:before="57" w:line="18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w:t>
            </w:r>
          </w:p>
        </w:tc>
        <w:tc>
          <w:tcPr>
            <w:tcW w:w="498" w:type="dxa"/>
            <w:vAlign w:val="top"/>
          </w:tcPr>
          <w:p>
            <w:pPr>
              <w:ind w:left="212"/>
              <w:spacing w:before="71" w:line="16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91" w:type="dxa"/>
            <w:vAlign w:val="top"/>
            <w:tcBorders>
              <w:right w:val="nil"/>
            </w:tcBorders>
          </w:tcPr>
          <w:p>
            <w:pPr>
              <w:ind w:left="237"/>
              <w:spacing w:before="37" w:line="193" w:lineRule="auto"/>
              <w:rPr>
                <w:rFonts w:ascii="SimSun" w:hAnsi="SimSun" w:eastAsia="SimSun" w:cs="SimSun"/>
                <w:sz w:val="12"/>
                <w:szCs w:val="12"/>
              </w:rPr>
            </w:pPr>
            <w:r>
              <w:rPr>
                <w:rFonts w:ascii="SimSun" w:hAnsi="SimSun" w:eastAsia="SimSun" w:cs="SimSun"/>
                <w:sz w:val="12"/>
                <w:szCs w:val="12"/>
              </w:rPr>
              <w:t>△</w:t>
            </w:r>
          </w:p>
        </w:tc>
      </w:tr>
      <w:tr>
        <w:trPr>
          <w:trHeight w:val="172" w:hRule="atLeast"/>
        </w:trPr>
        <w:tc>
          <w:tcPr>
            <w:tcW w:w="445" w:type="dxa"/>
            <w:vAlign w:val="top"/>
            <w:vMerge w:val="continue"/>
            <w:textDirection w:val="tbRlV"/>
            <w:tcBorders>
              <w:left w:val="nil"/>
              <w:top w:val="nil"/>
            </w:tcBorders>
          </w:tcPr>
          <w:p>
            <w:pPr>
              <w:rPr>
                <w:rFonts w:ascii="Arial"/>
                <w:sz w:val="21"/>
              </w:rPr>
            </w:pPr>
            <w:r/>
          </w:p>
        </w:tc>
        <w:tc>
          <w:tcPr>
            <w:tcW w:w="878" w:type="dxa"/>
            <w:vAlign w:val="top"/>
          </w:tcPr>
          <w:p>
            <w:pPr>
              <w:pStyle w:val="TableText"/>
              <w:ind w:left="193"/>
              <w:spacing w:before="37" w:line="192" w:lineRule="auto"/>
              <w:rPr>
                <w:sz w:val="12"/>
                <w:szCs w:val="12"/>
              </w:rPr>
            </w:pPr>
            <w:r>
              <w:rPr>
                <w:sz w:val="12"/>
                <w:szCs w:val="12"/>
                <w:spacing w:val="5"/>
              </w:rPr>
              <w:t>生态环境</w:t>
            </w:r>
          </w:p>
        </w:tc>
        <w:tc>
          <w:tcPr>
            <w:tcW w:w="520" w:type="dxa"/>
            <w:vAlign w:val="top"/>
          </w:tcPr>
          <w:p>
            <w:pPr>
              <w:pStyle w:val="TableText"/>
              <w:ind w:left="145"/>
              <w:spacing w:before="37" w:line="192" w:lineRule="auto"/>
              <w:rPr>
                <w:sz w:val="12"/>
                <w:szCs w:val="12"/>
              </w:rPr>
            </w:pPr>
            <w:r>
              <w:rPr>
                <w:sz w:val="12"/>
                <w:szCs w:val="12"/>
              </w:rPr>
              <w:t>⊕—</w:t>
            </w:r>
          </w:p>
        </w:tc>
        <w:tc>
          <w:tcPr>
            <w:tcW w:w="486" w:type="dxa"/>
            <w:vAlign w:val="top"/>
          </w:tcPr>
          <w:p>
            <w:pPr>
              <w:pStyle w:val="TableText"/>
              <w:ind w:left="129"/>
              <w:spacing w:before="37" w:line="192" w:lineRule="auto"/>
              <w:rPr>
                <w:sz w:val="12"/>
                <w:szCs w:val="12"/>
              </w:rPr>
            </w:pPr>
            <w:r>
              <w:rPr>
                <w:sz w:val="12"/>
                <w:szCs w:val="12"/>
              </w:rPr>
              <w:t>⊕—</w:t>
            </w:r>
          </w:p>
        </w:tc>
        <w:tc>
          <w:tcPr>
            <w:tcW w:w="515" w:type="dxa"/>
            <w:vAlign w:val="top"/>
          </w:tcPr>
          <w:p>
            <w:pPr>
              <w:pStyle w:val="TableText"/>
              <w:ind w:left="142"/>
              <w:spacing w:before="37" w:line="192" w:lineRule="auto"/>
              <w:rPr>
                <w:sz w:val="12"/>
                <w:szCs w:val="12"/>
              </w:rPr>
            </w:pPr>
            <w:r>
              <w:rPr>
                <w:sz w:val="12"/>
                <w:szCs w:val="12"/>
              </w:rPr>
              <w:t>⊕—</w:t>
            </w:r>
          </w:p>
        </w:tc>
        <w:tc>
          <w:tcPr>
            <w:tcW w:w="573" w:type="dxa"/>
            <w:vAlign w:val="top"/>
          </w:tcPr>
          <w:p>
            <w:pPr>
              <w:pStyle w:val="TableText"/>
              <w:ind w:left="172"/>
              <w:spacing w:before="37" w:line="192" w:lineRule="auto"/>
              <w:rPr>
                <w:sz w:val="12"/>
                <w:szCs w:val="12"/>
              </w:rPr>
            </w:pPr>
            <w:r>
              <w:rPr>
                <w:sz w:val="12"/>
                <w:szCs w:val="12"/>
              </w:rPr>
              <w:t>⊕—</w:t>
            </w:r>
          </w:p>
        </w:tc>
        <w:tc>
          <w:tcPr>
            <w:tcW w:w="866" w:type="dxa"/>
            <w:vAlign w:val="top"/>
          </w:tcPr>
          <w:p>
            <w:pPr>
              <w:pStyle w:val="TableText"/>
              <w:ind w:left="113"/>
              <w:spacing w:before="37" w:line="192" w:lineRule="auto"/>
              <w:rPr>
                <w:rFonts w:ascii="SimSun" w:hAnsi="SimSun" w:eastAsia="SimSun" w:cs="SimSun"/>
                <w:sz w:val="12"/>
                <w:szCs w:val="12"/>
              </w:rPr>
            </w:pPr>
            <w:r>
              <w:rPr>
                <w:rFonts w:ascii="SimSun" w:hAnsi="SimSun" w:eastAsia="SimSun" w:cs="SimSun"/>
                <w:sz w:val="12"/>
                <w:szCs w:val="12"/>
                <w:spacing w:val="8"/>
              </w:rPr>
              <w:t>△</w:t>
            </w:r>
            <w:r>
              <w:rPr>
                <w:sz w:val="12"/>
                <w:szCs w:val="12"/>
                <w:spacing w:val="8"/>
              </w:rPr>
              <w:t>□</w:t>
            </w:r>
            <w:r>
              <w:rPr>
                <w:rFonts w:ascii="SimSun" w:hAnsi="SimSun" w:eastAsia="SimSun" w:cs="SimSun"/>
                <w:sz w:val="12"/>
                <w:szCs w:val="12"/>
                <w:spacing w:val="8"/>
              </w:rPr>
              <w:t>⊙</w:t>
            </w:r>
            <w:r>
              <w:rPr>
                <w:sz w:val="12"/>
                <w:szCs w:val="12"/>
                <w:spacing w:val="8"/>
              </w:rPr>
              <w:t>—</w:t>
            </w:r>
            <w:r>
              <w:rPr>
                <w:rFonts w:ascii="SimSun" w:hAnsi="SimSun" w:eastAsia="SimSun" w:cs="SimSun"/>
                <w:sz w:val="12"/>
                <w:szCs w:val="12"/>
                <w:spacing w:val="8"/>
              </w:rPr>
              <w:t>◇</w:t>
            </w:r>
          </w:p>
        </w:tc>
        <w:tc>
          <w:tcPr>
            <w:tcW w:w="680" w:type="dxa"/>
            <w:vAlign w:val="top"/>
          </w:tcPr>
          <w:p>
            <w:pPr>
              <w:pStyle w:val="TableText"/>
              <w:ind w:left="107"/>
              <w:spacing w:before="37" w:line="192" w:lineRule="auto"/>
              <w:rPr>
                <w:rFonts w:ascii="SimSun" w:hAnsi="SimSun" w:eastAsia="SimSun" w:cs="SimSun"/>
                <w:sz w:val="12"/>
                <w:szCs w:val="12"/>
              </w:rPr>
            </w:pPr>
            <w:r>
              <w:rPr>
                <w:rFonts w:ascii="Times New Roman" w:hAnsi="Times New Roman" w:eastAsia="Times New Roman" w:cs="Times New Roman"/>
                <w:sz w:val="12"/>
                <w:szCs w:val="12"/>
                <w:spacing w:val="8"/>
              </w:rPr>
              <w:t>+</w:t>
            </w:r>
            <w:r>
              <w:rPr>
                <w:sz w:val="12"/>
                <w:szCs w:val="12"/>
                <w:spacing w:val="8"/>
              </w:rPr>
              <w:t>—</w:t>
            </w:r>
            <w:r>
              <w:rPr>
                <w:rFonts w:ascii="SimSun" w:hAnsi="SimSun" w:eastAsia="SimSun" w:cs="SimSun"/>
                <w:sz w:val="12"/>
                <w:szCs w:val="12"/>
                <w:spacing w:val="8"/>
              </w:rPr>
              <w:t>⊙◇</w:t>
            </w:r>
          </w:p>
        </w:tc>
        <w:tc>
          <w:tcPr>
            <w:tcW w:w="680" w:type="dxa"/>
            <w:vAlign w:val="top"/>
          </w:tcPr>
          <w:p>
            <w:pPr>
              <w:pStyle w:val="TableText"/>
              <w:ind w:left="108"/>
              <w:spacing w:before="37" w:line="192" w:lineRule="auto"/>
              <w:rPr>
                <w:rFonts w:ascii="SimSun" w:hAnsi="SimSun" w:eastAsia="SimSun" w:cs="SimSun"/>
                <w:sz w:val="12"/>
                <w:szCs w:val="12"/>
              </w:rPr>
            </w:pPr>
            <w:r>
              <w:rPr>
                <w:rFonts w:ascii="Times New Roman" w:hAnsi="Times New Roman" w:eastAsia="Times New Roman" w:cs="Times New Roman"/>
                <w:sz w:val="12"/>
                <w:szCs w:val="12"/>
                <w:spacing w:val="7"/>
              </w:rPr>
              <w:t>+</w:t>
            </w:r>
            <w:r>
              <w:rPr>
                <w:sz w:val="12"/>
                <w:szCs w:val="12"/>
                <w:spacing w:val="7"/>
              </w:rPr>
              <w:t>—</w:t>
            </w:r>
            <w:r>
              <w:rPr>
                <w:rFonts w:ascii="SimSun" w:hAnsi="SimSun" w:eastAsia="SimSun" w:cs="SimSun"/>
                <w:sz w:val="12"/>
                <w:szCs w:val="12"/>
                <w:spacing w:val="7"/>
              </w:rPr>
              <w:t>⊙◇</w:t>
            </w:r>
          </w:p>
        </w:tc>
        <w:tc>
          <w:tcPr>
            <w:tcW w:w="550" w:type="dxa"/>
            <w:vAlign w:val="top"/>
          </w:tcPr>
          <w:p>
            <w:pPr>
              <w:ind w:left="107"/>
              <w:spacing w:before="37" w:line="192" w:lineRule="auto"/>
              <w:rPr>
                <w:rFonts w:ascii="SimSun" w:hAnsi="SimSun" w:eastAsia="SimSun" w:cs="SimSun"/>
                <w:sz w:val="12"/>
                <w:szCs w:val="12"/>
              </w:rPr>
            </w:pPr>
            <w:r>
              <w:rPr>
                <w:rFonts w:ascii="Times New Roman" w:hAnsi="Times New Roman" w:eastAsia="Times New Roman" w:cs="Times New Roman"/>
                <w:sz w:val="12"/>
                <w:szCs w:val="12"/>
                <w:spacing w:val="7"/>
              </w:rPr>
              <w:t>+</w:t>
            </w:r>
            <w:r>
              <w:rPr>
                <w:rFonts w:ascii="SimSun" w:hAnsi="SimSun" w:eastAsia="SimSun" w:cs="SimSun"/>
                <w:sz w:val="12"/>
                <w:szCs w:val="12"/>
                <w:spacing w:val="7"/>
              </w:rPr>
              <w:t>⊙◇</w:t>
            </w:r>
          </w:p>
        </w:tc>
        <w:tc>
          <w:tcPr>
            <w:tcW w:w="530" w:type="dxa"/>
            <w:vAlign w:val="top"/>
          </w:tcPr>
          <w:p>
            <w:pPr>
              <w:ind w:left="205"/>
              <w:spacing w:before="37" w:line="192" w:lineRule="auto"/>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107"/>
              <w:spacing w:before="37" w:line="192" w:lineRule="auto"/>
              <w:rPr>
                <w:rFonts w:ascii="SimSun" w:hAnsi="SimSun" w:eastAsia="SimSun" w:cs="SimSun"/>
                <w:sz w:val="12"/>
                <w:szCs w:val="12"/>
              </w:rPr>
            </w:pPr>
            <w:r>
              <w:rPr>
                <w:rFonts w:ascii="Times New Roman" w:hAnsi="Times New Roman" w:eastAsia="Times New Roman" w:cs="Times New Roman"/>
                <w:sz w:val="12"/>
                <w:szCs w:val="12"/>
                <w:spacing w:val="7"/>
              </w:rPr>
              <w:t>+</w:t>
            </w:r>
            <w:r>
              <w:rPr>
                <w:rFonts w:ascii="SimSun" w:hAnsi="SimSun" w:eastAsia="SimSun" w:cs="SimSun"/>
                <w:sz w:val="12"/>
                <w:szCs w:val="12"/>
                <w:spacing w:val="7"/>
              </w:rPr>
              <w:t>⊙◇</w:t>
            </w:r>
          </w:p>
        </w:tc>
        <w:tc>
          <w:tcPr>
            <w:tcW w:w="550" w:type="dxa"/>
            <w:vAlign w:val="top"/>
          </w:tcPr>
          <w:p>
            <w:pPr>
              <w:ind w:left="107"/>
              <w:spacing w:before="37" w:line="192" w:lineRule="auto"/>
              <w:rPr>
                <w:rFonts w:ascii="SimSun" w:hAnsi="SimSun" w:eastAsia="SimSun" w:cs="SimSun"/>
                <w:sz w:val="12"/>
                <w:szCs w:val="12"/>
              </w:rPr>
            </w:pPr>
            <w:r>
              <w:rPr>
                <w:rFonts w:ascii="Times New Roman" w:hAnsi="Times New Roman" w:eastAsia="Times New Roman" w:cs="Times New Roman"/>
                <w:sz w:val="12"/>
                <w:szCs w:val="12"/>
                <w:spacing w:val="2"/>
              </w:rPr>
              <w:t>+</w:t>
            </w:r>
            <w:r>
              <w:rPr>
                <w:rFonts w:ascii="Times New Roman" w:hAnsi="Times New Roman" w:eastAsia="Times New Roman" w:cs="Times New Roman"/>
                <w:sz w:val="12"/>
                <w:szCs w:val="12"/>
                <w:spacing w:val="-14"/>
              </w:rPr>
              <w:t xml:space="preserve"> </w:t>
            </w:r>
            <w:r>
              <w:rPr>
                <w:rFonts w:ascii="SimSun" w:hAnsi="SimSun" w:eastAsia="SimSun" w:cs="SimSun"/>
                <w:sz w:val="12"/>
                <w:szCs w:val="12"/>
                <w:spacing w:val="2"/>
              </w:rPr>
              <w:t>⊙◇</w:t>
            </w:r>
          </w:p>
        </w:tc>
        <w:tc>
          <w:tcPr>
            <w:tcW w:w="498" w:type="dxa"/>
            <w:vAlign w:val="top"/>
          </w:tcPr>
          <w:p>
            <w:pPr>
              <w:ind w:left="125"/>
              <w:spacing w:before="37" w:line="192" w:lineRule="auto"/>
              <w:rPr>
                <w:rFonts w:ascii="SimSun" w:hAnsi="SimSun" w:eastAsia="SimSun" w:cs="SimSun"/>
                <w:sz w:val="12"/>
                <w:szCs w:val="12"/>
              </w:rPr>
            </w:pPr>
            <w:r>
              <w:rPr>
                <w:rFonts w:ascii="SimSun" w:hAnsi="SimSun" w:eastAsia="SimSun" w:cs="SimSun"/>
                <w:sz w:val="12"/>
                <w:szCs w:val="12"/>
                <w:spacing w:val="5"/>
              </w:rPr>
              <w:t>△⊙</w:t>
            </w:r>
          </w:p>
        </w:tc>
        <w:tc>
          <w:tcPr>
            <w:tcW w:w="591" w:type="dxa"/>
            <w:vAlign w:val="top"/>
            <w:tcBorders>
              <w:right w:val="nil"/>
            </w:tcBorders>
          </w:tcPr>
          <w:p>
            <w:pPr>
              <w:ind w:left="194"/>
              <w:spacing w:before="37" w:line="192" w:lineRule="auto"/>
              <w:rPr>
                <w:rFonts w:ascii="SimSun" w:hAnsi="SimSun" w:eastAsia="SimSun" w:cs="SimSun"/>
                <w:sz w:val="12"/>
                <w:szCs w:val="12"/>
              </w:rPr>
            </w:pPr>
            <w:r>
              <w:rPr>
                <w:rFonts w:ascii="Times New Roman" w:hAnsi="Times New Roman" w:eastAsia="Times New Roman" w:cs="Times New Roman"/>
                <w:sz w:val="12"/>
                <w:szCs w:val="12"/>
                <w:spacing w:val="5"/>
              </w:rPr>
              <w:t>+</w:t>
            </w:r>
            <w:r>
              <w:rPr>
                <w:rFonts w:ascii="SimSun" w:hAnsi="SimSun" w:eastAsia="SimSun" w:cs="SimSun"/>
                <w:sz w:val="12"/>
                <w:szCs w:val="12"/>
                <w:spacing w:val="5"/>
              </w:rPr>
              <w:t>⊙</w:t>
            </w:r>
          </w:p>
        </w:tc>
      </w:tr>
      <w:tr>
        <w:trPr>
          <w:trHeight w:val="508" w:hRule="atLeast"/>
        </w:trPr>
        <w:tc>
          <w:tcPr>
            <w:tcW w:w="445" w:type="dxa"/>
            <w:vAlign w:val="top"/>
            <w:textDirection w:val="tbRlV"/>
            <w:tcBorders>
              <w:left w:val="nil"/>
            </w:tcBorders>
          </w:tcPr>
          <w:p>
            <w:pPr>
              <w:pStyle w:val="TableText"/>
              <w:spacing w:before="155" w:line="215" w:lineRule="auto"/>
              <w:jc w:val="right"/>
              <w:rPr>
                <w:sz w:val="12"/>
                <w:szCs w:val="12"/>
              </w:rPr>
            </w:pPr>
            <w:r>
              <w:rPr>
                <w:sz w:val="12"/>
                <w:szCs w:val="12"/>
                <w:spacing w:val="12"/>
              </w:rPr>
              <w:t>闭</w:t>
            </w:r>
            <w:r>
              <w:rPr>
                <w:sz w:val="12"/>
                <w:szCs w:val="12"/>
                <w:spacing w:val="-25"/>
              </w:rPr>
              <w:t xml:space="preserve"> </w:t>
            </w:r>
            <w:r>
              <w:rPr>
                <w:sz w:val="12"/>
                <w:szCs w:val="12"/>
                <w:spacing w:val="12"/>
              </w:rPr>
              <w:t>矿</w:t>
            </w:r>
            <w:r>
              <w:rPr>
                <w:sz w:val="12"/>
                <w:szCs w:val="12"/>
                <w:spacing w:val="-25"/>
              </w:rPr>
              <w:t xml:space="preserve"> </w:t>
            </w:r>
            <w:r>
              <w:rPr>
                <w:sz w:val="12"/>
                <w:szCs w:val="12"/>
                <w:spacing w:val="12"/>
              </w:rPr>
              <w:t>期</w:t>
            </w:r>
          </w:p>
        </w:tc>
        <w:tc>
          <w:tcPr>
            <w:tcW w:w="878" w:type="dxa"/>
            <w:vAlign w:val="top"/>
          </w:tcPr>
          <w:p>
            <w:pPr>
              <w:pStyle w:val="TableText"/>
              <w:ind w:left="193"/>
              <w:spacing w:before="208" w:line="236" w:lineRule="auto"/>
              <w:rPr>
                <w:sz w:val="12"/>
                <w:szCs w:val="12"/>
              </w:rPr>
            </w:pPr>
            <w:r>
              <w:rPr>
                <w:sz w:val="12"/>
                <w:szCs w:val="12"/>
                <w:spacing w:val="5"/>
              </w:rPr>
              <w:t>生态恢复</w:t>
            </w:r>
          </w:p>
        </w:tc>
        <w:tc>
          <w:tcPr>
            <w:tcW w:w="520" w:type="dxa"/>
            <w:vAlign w:val="top"/>
          </w:tcPr>
          <w:p>
            <w:pPr>
              <w:ind w:left="223"/>
              <w:spacing w:before="241"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486" w:type="dxa"/>
            <w:vAlign w:val="top"/>
          </w:tcPr>
          <w:p>
            <w:pPr>
              <w:ind w:left="204"/>
              <w:spacing w:before="241"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15" w:type="dxa"/>
            <w:vAlign w:val="top"/>
          </w:tcPr>
          <w:p>
            <w:pPr>
              <w:ind w:left="155"/>
              <w:spacing w:before="208" w:line="161" w:lineRule="exact"/>
              <w:rPr>
                <w:rFonts w:ascii="SimSun" w:hAnsi="SimSun" w:eastAsia="SimSun" w:cs="SimSun"/>
                <w:sz w:val="12"/>
                <w:szCs w:val="12"/>
              </w:rPr>
            </w:pPr>
            <w:r>
              <w:rPr>
                <w:rFonts w:ascii="Times New Roman" w:hAnsi="Times New Roman" w:eastAsia="Times New Roman" w:cs="Times New Roman"/>
                <w:sz w:val="12"/>
                <w:szCs w:val="12"/>
                <w:spacing w:val="7"/>
              </w:rPr>
              <w:t>+</w:t>
            </w:r>
            <w:r>
              <w:rPr>
                <w:rFonts w:ascii="SimSun" w:hAnsi="SimSun" w:eastAsia="SimSun" w:cs="SimSun"/>
                <w:sz w:val="12"/>
                <w:szCs w:val="12"/>
                <w:spacing w:val="7"/>
              </w:rPr>
              <w:t>◆</w:t>
            </w:r>
          </w:p>
        </w:tc>
        <w:tc>
          <w:tcPr>
            <w:tcW w:w="573" w:type="dxa"/>
            <w:vAlign w:val="top"/>
          </w:tcPr>
          <w:p>
            <w:pPr>
              <w:ind w:left="264"/>
              <w:spacing w:before="228" w:line="204"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2"/>
              </w:rPr>
              <w:t>/</w:t>
            </w:r>
          </w:p>
        </w:tc>
        <w:tc>
          <w:tcPr>
            <w:tcW w:w="866" w:type="dxa"/>
            <w:vAlign w:val="top"/>
          </w:tcPr>
          <w:p>
            <w:pPr>
              <w:ind w:left="394"/>
              <w:spacing w:before="241"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680" w:type="dxa"/>
            <w:vAlign w:val="top"/>
          </w:tcPr>
          <w:p>
            <w:pPr>
              <w:ind w:left="303"/>
              <w:spacing w:before="241"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680" w:type="dxa"/>
            <w:vAlign w:val="top"/>
          </w:tcPr>
          <w:p>
            <w:pPr>
              <w:ind w:left="238"/>
              <w:spacing w:before="208" w:line="161" w:lineRule="exact"/>
              <w:rPr>
                <w:rFonts w:ascii="SimSun" w:hAnsi="SimSun" w:eastAsia="SimSun" w:cs="SimSun"/>
                <w:sz w:val="12"/>
                <w:szCs w:val="12"/>
              </w:rPr>
            </w:pPr>
            <w:r>
              <w:rPr>
                <w:rFonts w:ascii="Times New Roman" w:hAnsi="Times New Roman" w:eastAsia="Times New Roman" w:cs="Times New Roman"/>
                <w:sz w:val="12"/>
                <w:szCs w:val="12"/>
                <w:spacing w:val="5"/>
              </w:rPr>
              <w:t>+</w:t>
            </w:r>
            <w:r>
              <w:rPr>
                <w:rFonts w:ascii="SimSun" w:hAnsi="SimSun" w:eastAsia="SimSun" w:cs="SimSun"/>
                <w:sz w:val="12"/>
                <w:szCs w:val="12"/>
                <w:spacing w:val="5"/>
              </w:rPr>
              <w:t>◆</w:t>
            </w:r>
          </w:p>
        </w:tc>
        <w:tc>
          <w:tcPr>
            <w:tcW w:w="550" w:type="dxa"/>
            <w:vAlign w:val="top"/>
          </w:tcPr>
          <w:p>
            <w:pPr>
              <w:ind w:left="237"/>
              <w:spacing w:before="241"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30" w:type="dxa"/>
            <w:vAlign w:val="top"/>
          </w:tcPr>
          <w:p>
            <w:pPr>
              <w:ind w:left="205"/>
              <w:spacing w:before="208" w:line="164" w:lineRule="exact"/>
              <w:rPr>
                <w:rFonts w:ascii="SimSun" w:hAnsi="SimSun" w:eastAsia="SimSun" w:cs="SimSun"/>
                <w:sz w:val="12"/>
                <w:szCs w:val="12"/>
              </w:rPr>
            </w:pPr>
            <w:r>
              <w:rPr>
                <w:rFonts w:ascii="SimSun" w:hAnsi="SimSun" w:eastAsia="SimSun" w:cs="SimSun"/>
                <w:sz w:val="12"/>
                <w:szCs w:val="12"/>
              </w:rPr>
              <w:t>△</w:t>
            </w:r>
          </w:p>
        </w:tc>
        <w:tc>
          <w:tcPr>
            <w:tcW w:w="550" w:type="dxa"/>
            <w:vAlign w:val="top"/>
          </w:tcPr>
          <w:p>
            <w:pPr>
              <w:ind w:left="237"/>
              <w:spacing w:before="241" w:line="18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3"/>
              </w:rPr>
              <w:t>+</w:t>
            </w:r>
          </w:p>
        </w:tc>
        <w:tc>
          <w:tcPr>
            <w:tcW w:w="550" w:type="dxa"/>
            <w:vAlign w:val="top"/>
          </w:tcPr>
          <w:p>
            <w:pPr>
              <w:ind w:left="172"/>
              <w:spacing w:before="208" w:line="161" w:lineRule="exact"/>
              <w:rPr>
                <w:rFonts w:ascii="SimSun" w:hAnsi="SimSun" w:eastAsia="SimSun" w:cs="SimSun"/>
                <w:sz w:val="12"/>
                <w:szCs w:val="12"/>
              </w:rPr>
            </w:pPr>
            <w:r>
              <w:rPr>
                <w:rFonts w:ascii="Times New Roman" w:hAnsi="Times New Roman" w:eastAsia="Times New Roman" w:cs="Times New Roman"/>
                <w:sz w:val="12"/>
                <w:szCs w:val="12"/>
                <w:spacing w:val="7"/>
              </w:rPr>
              <w:t>+</w:t>
            </w:r>
            <w:r>
              <w:rPr>
                <w:rFonts w:ascii="SimSun" w:hAnsi="SimSun" w:eastAsia="SimSun" w:cs="SimSun"/>
                <w:sz w:val="12"/>
                <w:szCs w:val="12"/>
                <w:spacing w:val="7"/>
              </w:rPr>
              <w:t>◆</w:t>
            </w:r>
          </w:p>
        </w:tc>
        <w:tc>
          <w:tcPr>
            <w:tcW w:w="498" w:type="dxa"/>
            <w:vAlign w:val="top"/>
          </w:tcPr>
          <w:p>
            <w:pPr>
              <w:ind w:left="190"/>
              <w:spacing w:before="208" w:line="164" w:lineRule="exact"/>
              <w:rPr>
                <w:rFonts w:ascii="SimSun" w:hAnsi="SimSun" w:eastAsia="SimSun" w:cs="SimSun"/>
                <w:sz w:val="12"/>
                <w:szCs w:val="12"/>
              </w:rPr>
            </w:pPr>
            <w:r>
              <w:rPr>
                <w:rFonts w:ascii="SimSun" w:hAnsi="SimSun" w:eastAsia="SimSun" w:cs="SimSun"/>
                <w:sz w:val="12"/>
                <w:szCs w:val="12"/>
              </w:rPr>
              <w:t>△</w:t>
            </w:r>
          </w:p>
        </w:tc>
        <w:tc>
          <w:tcPr>
            <w:tcW w:w="591" w:type="dxa"/>
            <w:vAlign w:val="top"/>
            <w:tcBorders>
              <w:right w:val="nil"/>
            </w:tcBorders>
          </w:tcPr>
          <w:p>
            <w:pPr>
              <w:ind w:left="172"/>
              <w:spacing w:before="208" w:line="161" w:lineRule="exact"/>
              <w:rPr>
                <w:rFonts w:ascii="SimSun" w:hAnsi="SimSun" w:eastAsia="SimSun" w:cs="SimSun"/>
                <w:sz w:val="12"/>
                <w:szCs w:val="12"/>
              </w:rPr>
            </w:pPr>
            <w:r>
              <w:rPr>
                <w:rFonts w:ascii="SimSun" w:hAnsi="SimSun" w:eastAsia="SimSun" w:cs="SimSun"/>
                <w:sz w:val="12"/>
                <w:szCs w:val="12"/>
                <w:spacing w:val="5"/>
              </w:rPr>
              <w:t>△◆</w:t>
            </w:r>
          </w:p>
        </w:tc>
      </w:tr>
      <w:tr>
        <w:trPr>
          <w:trHeight w:val="364" w:hRule="atLeast"/>
        </w:trPr>
        <w:tc>
          <w:tcPr>
            <w:tcW w:w="445" w:type="dxa"/>
            <w:vAlign w:val="top"/>
            <w:textDirection w:val="tbRlV"/>
            <w:tcBorders>
              <w:left w:val="nil"/>
              <w:bottom w:val="single" w:color="000000" w:sz="10" w:space="0"/>
            </w:tcBorders>
          </w:tcPr>
          <w:p>
            <w:pPr>
              <w:pStyle w:val="TableText"/>
              <w:ind w:left="43"/>
              <w:spacing w:before="155" w:line="216" w:lineRule="auto"/>
              <w:rPr>
                <w:sz w:val="12"/>
                <w:szCs w:val="12"/>
              </w:rPr>
            </w:pPr>
            <w:r>
              <w:rPr>
                <w:sz w:val="12"/>
                <w:szCs w:val="12"/>
                <w:spacing w:val="12"/>
              </w:rPr>
              <w:t>备</w:t>
            </w:r>
            <w:r>
              <w:rPr>
                <w:sz w:val="12"/>
                <w:szCs w:val="12"/>
                <w:spacing w:val="-25"/>
              </w:rPr>
              <w:t xml:space="preserve"> </w:t>
            </w:r>
            <w:r>
              <w:rPr>
                <w:sz w:val="12"/>
                <w:szCs w:val="12"/>
                <w:spacing w:val="12"/>
              </w:rPr>
              <w:t>注</w:t>
            </w:r>
          </w:p>
        </w:tc>
        <w:tc>
          <w:tcPr>
            <w:tcW w:w="8467" w:type="dxa"/>
            <w:vAlign w:val="top"/>
            <w:gridSpan w:val="14"/>
            <w:tcBorders>
              <w:right w:val="nil"/>
              <w:bottom w:val="single" w:color="000000" w:sz="10" w:space="0"/>
            </w:tcBorders>
          </w:tcPr>
          <w:p>
            <w:pPr>
              <w:pStyle w:val="TableText"/>
              <w:ind w:left="124"/>
              <w:spacing w:before="43" w:line="196" w:lineRule="auto"/>
              <w:rPr>
                <w:sz w:val="12"/>
                <w:szCs w:val="12"/>
              </w:rPr>
            </w:pPr>
            <w:r>
              <w:rPr>
                <w:rFonts w:ascii="Times New Roman" w:hAnsi="Times New Roman" w:eastAsia="Times New Roman" w:cs="Times New Roman"/>
                <w:sz w:val="12"/>
                <w:szCs w:val="12"/>
                <w:spacing w:val="6"/>
              </w:rPr>
              <w:t>▲</w:t>
            </w:r>
            <w:r>
              <w:rPr>
                <w:rFonts w:ascii="Times New Roman" w:hAnsi="Times New Roman" w:eastAsia="Times New Roman" w:cs="Times New Roman"/>
                <w:sz w:val="12"/>
                <w:szCs w:val="12"/>
                <w:spacing w:val="-13"/>
              </w:rPr>
              <w:t xml:space="preserve"> </w:t>
            </w:r>
            <w:r>
              <w:rPr>
                <w:sz w:val="12"/>
                <w:szCs w:val="12"/>
                <w:spacing w:val="6"/>
              </w:rPr>
              <w:t>：影响程度中等；</w:t>
            </w:r>
            <w:r>
              <w:rPr>
                <w:rFonts w:ascii="SimSun" w:hAnsi="SimSun" w:eastAsia="SimSun" w:cs="SimSun"/>
                <w:sz w:val="12"/>
                <w:szCs w:val="12"/>
                <w:spacing w:val="6"/>
              </w:rPr>
              <w:t>△</w:t>
            </w:r>
            <w:r>
              <w:rPr>
                <w:rFonts w:ascii="SimSun" w:hAnsi="SimSun" w:eastAsia="SimSun" w:cs="SimSun"/>
                <w:sz w:val="12"/>
                <w:szCs w:val="12"/>
                <w:spacing w:val="-40"/>
              </w:rPr>
              <w:t xml:space="preserve"> </w:t>
            </w:r>
            <w:r>
              <w:rPr>
                <w:sz w:val="12"/>
                <w:szCs w:val="12"/>
                <w:spacing w:val="6"/>
              </w:rPr>
              <w:t>：影响程度较小；</w:t>
            </w:r>
            <w:r>
              <w:rPr>
                <w:rFonts w:ascii="Microsoft YaHei" w:hAnsi="Microsoft YaHei" w:eastAsia="Microsoft YaHei" w:cs="Microsoft YaHei"/>
                <w:sz w:val="12"/>
                <w:szCs w:val="12"/>
                <w:spacing w:val="6"/>
              </w:rPr>
              <w:t>。</w:t>
            </w:r>
            <w:r>
              <w:rPr>
                <w:sz w:val="12"/>
                <w:szCs w:val="12"/>
                <w:spacing w:val="6"/>
              </w:rPr>
              <w:t>：长期影响；</w:t>
            </w:r>
            <w:r>
              <w:rPr>
                <w:sz w:val="12"/>
                <w:szCs w:val="12"/>
                <w:spacing w:val="-35"/>
              </w:rPr>
              <w:t xml:space="preserve"> </w:t>
            </w:r>
            <w:r>
              <w:rPr>
                <w:sz w:val="12"/>
                <w:szCs w:val="12"/>
                <w:spacing w:val="6"/>
              </w:rPr>
              <w:t>□</w:t>
            </w:r>
            <w:r>
              <w:rPr>
                <w:sz w:val="12"/>
                <w:szCs w:val="12"/>
                <w:spacing w:val="-42"/>
              </w:rPr>
              <w:t xml:space="preserve"> </w:t>
            </w:r>
            <w:r>
              <w:rPr>
                <w:sz w:val="12"/>
                <w:szCs w:val="12"/>
                <w:spacing w:val="6"/>
              </w:rPr>
              <w:t>：短期影响；</w:t>
            </w:r>
            <w:r>
              <w:rPr>
                <w:rFonts w:ascii="Times New Roman" w:hAnsi="Times New Roman" w:eastAsia="Times New Roman" w:cs="Times New Roman"/>
                <w:sz w:val="12"/>
                <w:szCs w:val="12"/>
                <w:spacing w:val="6"/>
              </w:rPr>
              <w:t>+</w:t>
            </w:r>
            <w:r>
              <w:rPr>
                <w:rFonts w:ascii="Times New Roman" w:hAnsi="Times New Roman" w:eastAsia="Times New Roman" w:cs="Times New Roman"/>
                <w:sz w:val="12"/>
                <w:szCs w:val="12"/>
                <w:spacing w:val="-13"/>
              </w:rPr>
              <w:t xml:space="preserve"> </w:t>
            </w:r>
            <w:r>
              <w:rPr>
                <w:sz w:val="12"/>
                <w:szCs w:val="12"/>
                <w:spacing w:val="6"/>
              </w:rPr>
              <w:t>：有利影响；</w:t>
            </w:r>
            <w:r>
              <w:rPr>
                <w:sz w:val="12"/>
                <w:szCs w:val="12"/>
                <w:spacing w:val="5"/>
              </w:rPr>
              <w:t>—：不利影响；</w:t>
            </w:r>
            <w:r>
              <w:rPr>
                <w:sz w:val="12"/>
                <w:szCs w:val="12"/>
                <w:spacing w:val="-37"/>
              </w:rPr>
              <w:t xml:space="preserve"> </w:t>
            </w:r>
            <w:r>
              <w:rPr>
                <w:sz w:val="12"/>
                <w:szCs w:val="12"/>
                <w:spacing w:val="5"/>
              </w:rPr>
              <w:t>⊕</w:t>
            </w:r>
            <w:r>
              <w:rPr>
                <w:sz w:val="12"/>
                <w:szCs w:val="12"/>
                <w:spacing w:val="-42"/>
              </w:rPr>
              <w:t xml:space="preserve"> </w:t>
            </w:r>
            <w:r>
              <w:rPr>
                <w:sz w:val="12"/>
                <w:szCs w:val="12"/>
                <w:spacing w:val="5"/>
              </w:rPr>
              <w:t>：直接影响；</w:t>
            </w:r>
            <w:r>
              <w:rPr>
                <w:sz w:val="12"/>
                <w:szCs w:val="12"/>
                <w:spacing w:val="-37"/>
              </w:rPr>
              <w:t xml:space="preserve"> </w:t>
            </w:r>
            <w:r>
              <w:rPr>
                <w:rFonts w:ascii="SimSun" w:hAnsi="SimSun" w:eastAsia="SimSun" w:cs="SimSun"/>
                <w:sz w:val="12"/>
                <w:szCs w:val="12"/>
                <w:spacing w:val="5"/>
              </w:rPr>
              <w:t>⊙</w:t>
            </w:r>
            <w:r>
              <w:rPr>
                <w:rFonts w:ascii="SimSun" w:hAnsi="SimSun" w:eastAsia="SimSun" w:cs="SimSun"/>
                <w:sz w:val="12"/>
                <w:szCs w:val="12"/>
                <w:spacing w:val="-42"/>
              </w:rPr>
              <w:t xml:space="preserve"> </w:t>
            </w:r>
            <w:r>
              <w:rPr>
                <w:sz w:val="12"/>
                <w:szCs w:val="12"/>
                <w:spacing w:val="5"/>
              </w:rPr>
              <w:t>：</w:t>
            </w:r>
            <w:r>
              <w:rPr>
                <w:sz w:val="12"/>
                <w:szCs w:val="12"/>
                <w:spacing w:val="-32"/>
              </w:rPr>
              <w:t xml:space="preserve"> </w:t>
            </w:r>
            <w:r>
              <w:rPr>
                <w:sz w:val="12"/>
                <w:szCs w:val="12"/>
                <w:spacing w:val="5"/>
              </w:rPr>
              <w:t>间接影响；</w:t>
            </w:r>
            <w:r>
              <w:rPr>
                <w:sz w:val="12"/>
                <w:szCs w:val="12"/>
                <w:spacing w:val="-40"/>
              </w:rPr>
              <w:t xml:space="preserve"> </w:t>
            </w:r>
            <w:r>
              <w:rPr>
                <w:rFonts w:ascii="SimSun" w:hAnsi="SimSun" w:eastAsia="SimSun" w:cs="SimSun"/>
                <w:sz w:val="12"/>
                <w:szCs w:val="12"/>
                <w:spacing w:val="5"/>
              </w:rPr>
              <w:t>◆</w:t>
            </w:r>
            <w:r>
              <w:rPr>
                <w:rFonts w:ascii="SimSun" w:hAnsi="SimSun" w:eastAsia="SimSun" w:cs="SimSun"/>
                <w:sz w:val="12"/>
                <w:szCs w:val="12"/>
                <w:spacing w:val="-42"/>
              </w:rPr>
              <w:t xml:space="preserve"> </w:t>
            </w:r>
            <w:r>
              <w:rPr>
                <w:sz w:val="12"/>
                <w:szCs w:val="12"/>
                <w:spacing w:val="5"/>
              </w:rPr>
              <w:t>：累计</w:t>
            </w:r>
          </w:p>
          <w:p>
            <w:pPr>
              <w:pStyle w:val="TableText"/>
              <w:ind w:left="3590"/>
              <w:spacing w:line="219" w:lineRule="auto"/>
              <w:rPr>
                <w:sz w:val="12"/>
                <w:szCs w:val="12"/>
              </w:rPr>
            </w:pPr>
            <w:r>
              <w:rPr>
                <w:sz w:val="12"/>
                <w:szCs w:val="12"/>
                <w:spacing w:val="4"/>
              </w:rPr>
              <w:t>影响；</w:t>
            </w:r>
            <w:r>
              <w:rPr>
                <w:sz w:val="12"/>
                <w:szCs w:val="12"/>
                <w:spacing w:val="-28"/>
              </w:rPr>
              <w:t xml:space="preserve"> </w:t>
            </w:r>
            <w:r>
              <w:rPr>
                <w:rFonts w:ascii="SimSun" w:hAnsi="SimSun" w:eastAsia="SimSun" w:cs="SimSun"/>
                <w:sz w:val="12"/>
                <w:szCs w:val="12"/>
                <w:spacing w:val="4"/>
              </w:rPr>
              <w:t>◇</w:t>
            </w:r>
            <w:r>
              <w:rPr>
                <w:rFonts w:ascii="SimSun" w:hAnsi="SimSun" w:eastAsia="SimSun" w:cs="SimSun"/>
                <w:sz w:val="12"/>
                <w:szCs w:val="12"/>
                <w:spacing w:val="-42"/>
              </w:rPr>
              <w:t xml:space="preserve"> </w:t>
            </w:r>
            <w:r>
              <w:rPr>
                <w:sz w:val="12"/>
                <w:szCs w:val="12"/>
                <w:spacing w:val="4"/>
              </w:rPr>
              <w:t>：非累计影响</w:t>
            </w:r>
          </w:p>
        </w:tc>
      </w:tr>
    </w:tbl>
    <w:p>
      <w:pPr>
        <w:pStyle w:val="BodyText"/>
        <w:spacing w:line="371" w:lineRule="auto"/>
        <w:rPr/>
      </w:pPr>
      <w:r/>
    </w:p>
    <w:p>
      <w:pPr>
        <w:ind w:left="635"/>
        <w:spacing w:before="78" w:line="221" w:lineRule="auto"/>
        <w:rPr>
          <w:rFonts w:ascii="FangSong" w:hAnsi="FangSong" w:eastAsia="FangSong" w:cs="FangSong"/>
          <w:sz w:val="24"/>
          <w:szCs w:val="24"/>
        </w:rPr>
      </w:pPr>
      <w:r>
        <w:rPr>
          <w:rFonts w:ascii="FangSong" w:hAnsi="FangSong" w:eastAsia="FangSong" w:cs="FangSong"/>
          <w:sz w:val="24"/>
          <w:szCs w:val="24"/>
          <w:spacing w:val="-4"/>
        </w:rPr>
        <w:t>由表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2.3-1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可知，施工期包括堆场施工建设及道路建设，</w:t>
      </w:r>
      <w:r>
        <w:rPr>
          <w:rFonts w:ascii="FangSong" w:hAnsi="FangSong" w:eastAsia="FangSong" w:cs="FangSong"/>
          <w:sz w:val="24"/>
          <w:szCs w:val="24"/>
          <w:spacing w:val="-5"/>
        </w:rPr>
        <w:t>对自然环境要素及生态</w:t>
      </w:r>
    </w:p>
    <w:p>
      <w:pPr>
        <w:spacing w:line="221" w:lineRule="auto"/>
        <w:sectPr>
          <w:footerReference w:type="default" r:id="rId59"/>
          <w:pgSz w:w="11911" w:h="16839"/>
          <w:pgMar w:top="400" w:right="1309" w:bottom="1146" w:left="1689"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23" w:right="107"/>
        <w:spacing w:before="78" w:line="359" w:lineRule="auto"/>
        <w:rPr>
          <w:rFonts w:ascii="FangSong" w:hAnsi="FangSong" w:eastAsia="FangSong" w:cs="FangSong"/>
          <w:sz w:val="24"/>
          <w:szCs w:val="24"/>
        </w:rPr>
      </w:pPr>
      <w:bookmarkStart w:name="bookmark513" w:id="73"/>
      <w:bookmarkEnd w:id="73"/>
      <w:r>
        <w:rPr>
          <w:rFonts w:ascii="FangSong" w:hAnsi="FangSong" w:eastAsia="FangSong" w:cs="FangSong"/>
          <w:sz w:val="24"/>
          <w:szCs w:val="24"/>
          <w:spacing w:val="1"/>
        </w:rPr>
        <w:t>环境产生一定程度的负面影响，主要环境影响因素为环境空气、地表水、地下水、</w:t>
      </w:r>
      <w:r>
        <w:rPr>
          <w:rFonts w:ascii="FangSong" w:hAnsi="FangSong" w:eastAsia="FangSong" w:cs="FangSong"/>
          <w:sz w:val="24"/>
          <w:szCs w:val="24"/>
          <w:spacing w:val="1"/>
        </w:rPr>
        <w:t>声环境、土壤等自然环境，以及土地利用、植被、景观、动物、水土流失等生态环</w:t>
      </w:r>
      <w:r>
        <w:rPr>
          <w:rFonts w:ascii="FangSong" w:hAnsi="FangSong" w:eastAsia="FangSong" w:cs="FangSong"/>
          <w:sz w:val="24"/>
          <w:szCs w:val="24"/>
          <w:spacing w:val="1"/>
        </w:rPr>
        <w:t>境。运营期主要对环境空气、地下水、声环境等自然要是有一定负面影响；阶段闭</w:t>
      </w:r>
      <w:r>
        <w:rPr>
          <w:rFonts w:ascii="FangSong" w:hAnsi="FangSong" w:eastAsia="FangSong" w:cs="FangSong"/>
          <w:sz w:val="24"/>
          <w:szCs w:val="24"/>
          <w:spacing w:val="1"/>
        </w:rPr>
        <w:t>矿期开展生态恢复治理工程，可能对周围产生轻微的噪声影响，但对环境空气、地</w:t>
      </w:r>
      <w:r>
        <w:rPr>
          <w:rFonts w:ascii="FangSong" w:hAnsi="FangSong" w:eastAsia="FangSong" w:cs="FangSong"/>
          <w:sz w:val="24"/>
          <w:szCs w:val="24"/>
        </w:rPr>
        <w:t>下水、土壤、土地利用、植被、动物、水土</w:t>
      </w:r>
      <w:r>
        <w:rPr>
          <w:rFonts w:ascii="FangSong" w:hAnsi="FangSong" w:eastAsia="FangSong" w:cs="FangSong"/>
          <w:sz w:val="24"/>
          <w:szCs w:val="24"/>
          <w:spacing w:val="-1"/>
        </w:rPr>
        <w:t>流失等生态环境产生长期的有利作用。</w:t>
      </w:r>
    </w:p>
    <w:p>
      <w:pPr>
        <w:ind w:left="114"/>
        <w:spacing w:before="1" w:line="222" w:lineRule="auto"/>
        <w:outlineLvl w:val="2"/>
        <w:rPr>
          <w:rFonts w:ascii="FangSong" w:hAnsi="FangSong" w:eastAsia="FangSong" w:cs="FangSong"/>
          <w:sz w:val="24"/>
          <w:szCs w:val="24"/>
        </w:rPr>
      </w:pPr>
      <w:bookmarkStart w:name="bookmark50" w:id="74"/>
      <w:bookmarkEnd w:id="74"/>
      <w:bookmarkStart w:name="bookmark49" w:id="75"/>
      <w:bookmarkEnd w:id="75"/>
      <w:r>
        <w:rPr>
          <w:rFonts w:ascii="Times New Roman" w:hAnsi="Times New Roman" w:eastAsia="Times New Roman" w:cs="Times New Roman"/>
          <w:sz w:val="24"/>
          <w:szCs w:val="24"/>
          <w:b/>
          <w:bCs/>
          <w:spacing w:val="-3"/>
        </w:rPr>
        <w:t>2.3.2</w:t>
      </w:r>
      <w:r>
        <w:rPr>
          <w:rFonts w:ascii="Times New Roman" w:hAnsi="Times New Roman" w:eastAsia="Times New Roman" w:cs="Times New Roman"/>
          <w:sz w:val="24"/>
          <w:szCs w:val="24"/>
          <w:b/>
          <w:bCs/>
          <w:spacing w:val="16"/>
          <w:w w:val="101"/>
        </w:rPr>
        <w:t xml:space="preserve"> </w:t>
      </w:r>
      <w:r>
        <w:rPr>
          <w:rFonts w:ascii="FangSong" w:hAnsi="FangSong" w:eastAsia="FangSong" w:cs="FangSong"/>
          <w:sz w:val="24"/>
          <w:szCs w:val="24"/>
          <w:b/>
          <w:bCs/>
          <w:spacing w:val="-3"/>
        </w:rPr>
        <w:t>评价因子筛选</w:t>
      </w:r>
    </w:p>
    <w:p>
      <w:pPr>
        <w:ind w:left="605"/>
        <w:spacing w:before="176" w:line="221" w:lineRule="auto"/>
        <w:rPr>
          <w:rFonts w:ascii="FangSong" w:hAnsi="FangSong" w:eastAsia="FangSong" w:cs="FangSong"/>
          <w:sz w:val="24"/>
          <w:szCs w:val="24"/>
        </w:rPr>
      </w:pPr>
      <w:r>
        <w:rPr>
          <w:rFonts w:ascii="FangSong" w:hAnsi="FangSong" w:eastAsia="FangSong" w:cs="FangSong"/>
          <w:sz w:val="24"/>
          <w:szCs w:val="24"/>
          <w:spacing w:val="-1"/>
        </w:rPr>
        <w:t>根据工程分析结合环境特征，项目评价因子具体见表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2.3-2</w:t>
      </w:r>
      <w:r>
        <w:rPr>
          <w:rFonts w:ascii="FangSong" w:hAnsi="FangSong" w:eastAsia="FangSong" w:cs="FangSong"/>
          <w:sz w:val="24"/>
          <w:szCs w:val="24"/>
          <w:spacing w:val="-1"/>
        </w:rPr>
        <w:t>。</w:t>
      </w:r>
    </w:p>
    <w:p>
      <w:pPr>
        <w:ind w:left="2084"/>
        <w:spacing w:before="181"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2.3-2  </w:t>
      </w:r>
      <w:r>
        <w:rPr>
          <w:rFonts w:ascii="FangSong" w:hAnsi="FangSong" w:eastAsia="FangSong" w:cs="FangSong"/>
          <w:sz w:val="24"/>
          <w:szCs w:val="24"/>
          <w:b/>
          <w:bCs/>
          <w:spacing w:val="-2"/>
        </w:rPr>
        <w:t>建设项目各环境要素的评价</w:t>
      </w:r>
      <w:r>
        <w:rPr>
          <w:rFonts w:ascii="FangSong" w:hAnsi="FangSong" w:eastAsia="FangSong" w:cs="FangSong"/>
          <w:sz w:val="24"/>
          <w:szCs w:val="24"/>
          <w:b/>
          <w:bCs/>
          <w:spacing w:val="-3"/>
        </w:rPr>
        <w:t>因子筛选</w:t>
      </w:r>
    </w:p>
    <w:p>
      <w:pPr>
        <w:spacing w:line="142"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7"/>
        <w:gridCol w:w="1448"/>
        <w:gridCol w:w="6337"/>
      </w:tblGrid>
      <w:tr>
        <w:trPr>
          <w:trHeight w:val="280" w:hRule="atLeast"/>
        </w:trPr>
        <w:tc>
          <w:tcPr>
            <w:tcW w:w="1127" w:type="dxa"/>
            <w:vAlign w:val="top"/>
            <w:tcBorders>
              <w:left w:val="nil"/>
              <w:top w:val="single" w:color="000000" w:sz="10" w:space="0"/>
            </w:tcBorders>
          </w:tcPr>
          <w:p>
            <w:pPr>
              <w:pStyle w:val="TableText"/>
              <w:ind w:left="155"/>
              <w:spacing w:before="36" w:line="216" w:lineRule="auto"/>
              <w:rPr/>
            </w:pPr>
            <w:r>
              <w:rPr>
                <w:spacing w:val="5"/>
              </w:rPr>
              <w:t>环境要素</w:t>
            </w:r>
          </w:p>
        </w:tc>
        <w:tc>
          <w:tcPr>
            <w:tcW w:w="1448" w:type="dxa"/>
            <w:vAlign w:val="top"/>
            <w:tcBorders>
              <w:top w:val="single" w:color="000000" w:sz="10" w:space="0"/>
            </w:tcBorders>
          </w:tcPr>
          <w:p>
            <w:pPr>
              <w:pStyle w:val="TableText"/>
              <w:ind w:left="316"/>
              <w:spacing w:before="36" w:line="216" w:lineRule="auto"/>
              <w:rPr/>
            </w:pPr>
            <w:r>
              <w:rPr>
                <w:spacing w:val="5"/>
              </w:rPr>
              <w:t>评价专题</w:t>
            </w:r>
          </w:p>
        </w:tc>
        <w:tc>
          <w:tcPr>
            <w:tcW w:w="6337" w:type="dxa"/>
            <w:vAlign w:val="top"/>
            <w:tcBorders>
              <w:right w:val="nil"/>
              <w:top w:val="single" w:color="000000" w:sz="10" w:space="0"/>
            </w:tcBorders>
          </w:tcPr>
          <w:p>
            <w:pPr>
              <w:pStyle w:val="TableText"/>
              <w:ind w:left="2760"/>
              <w:spacing w:before="36" w:line="216" w:lineRule="auto"/>
              <w:rPr/>
            </w:pPr>
            <w:r>
              <w:rPr>
                <w:spacing w:val="5"/>
              </w:rPr>
              <w:t>评价因子</w:t>
            </w:r>
          </w:p>
        </w:tc>
      </w:tr>
      <w:tr>
        <w:trPr>
          <w:trHeight w:val="277" w:hRule="atLeast"/>
        </w:trPr>
        <w:tc>
          <w:tcPr>
            <w:tcW w:w="1127" w:type="dxa"/>
            <w:vAlign w:val="top"/>
            <w:vMerge w:val="restart"/>
            <w:tcBorders>
              <w:left w:val="nil"/>
              <w:bottom w:val="nil"/>
            </w:tcBorders>
          </w:tcPr>
          <w:p>
            <w:pPr>
              <w:pStyle w:val="TableText"/>
              <w:ind w:left="155"/>
              <w:spacing w:before="173" w:line="231" w:lineRule="auto"/>
              <w:rPr/>
            </w:pPr>
            <w:r>
              <w:rPr>
                <w:spacing w:val="5"/>
              </w:rPr>
              <w:t>环境空气</w:t>
            </w:r>
          </w:p>
        </w:tc>
        <w:tc>
          <w:tcPr>
            <w:tcW w:w="1448" w:type="dxa"/>
            <w:vAlign w:val="top"/>
          </w:tcPr>
          <w:p>
            <w:pPr>
              <w:pStyle w:val="TableText"/>
              <w:ind w:left="314"/>
              <w:spacing w:before="34" w:line="215" w:lineRule="auto"/>
              <w:rPr/>
            </w:pPr>
            <w:r>
              <w:rPr>
                <w:spacing w:val="6"/>
              </w:rPr>
              <w:t>现状评价</w:t>
            </w:r>
          </w:p>
        </w:tc>
        <w:tc>
          <w:tcPr>
            <w:tcW w:w="6337" w:type="dxa"/>
            <w:vAlign w:val="top"/>
            <w:tcBorders>
              <w:right w:val="nil"/>
            </w:tcBorders>
          </w:tcPr>
          <w:p>
            <w:pPr>
              <w:pStyle w:val="TableText"/>
              <w:ind w:left="592"/>
              <w:spacing w:before="34" w:line="215" w:lineRule="auto"/>
              <w:rPr>
                <w:rFonts w:ascii="Times New Roman" w:hAnsi="Times New Roman" w:eastAsia="Times New Roman" w:cs="Times New Roman"/>
                <w:sz w:val="13"/>
                <w:szCs w:val="13"/>
              </w:rPr>
            </w:pPr>
            <w:r>
              <w:rPr>
                <w:rFonts w:ascii="Times New Roman" w:hAnsi="Times New Roman" w:eastAsia="Times New Roman" w:cs="Times New Roman"/>
              </w:rPr>
              <w:t>SO</w:t>
            </w:r>
            <w:r>
              <w:rPr>
                <w:rFonts w:ascii="Times New Roman" w:hAnsi="Times New Roman" w:eastAsia="Times New Roman" w:cs="Times New Roman"/>
                <w:sz w:val="13"/>
                <w:szCs w:val="13"/>
                <w:position w:val="-1"/>
              </w:rPr>
              <w:t>2 </w:t>
            </w:r>
            <w:r>
              <w:rPr/>
              <w:t>、</w:t>
            </w:r>
            <w:r>
              <w:rPr>
                <w:rFonts w:ascii="Times New Roman" w:hAnsi="Times New Roman" w:eastAsia="Times New Roman" w:cs="Times New Roman"/>
              </w:rPr>
              <w:t>NO</w:t>
            </w:r>
            <w:r>
              <w:rPr>
                <w:rFonts w:ascii="Times New Roman" w:hAnsi="Times New Roman" w:eastAsia="Times New Roman" w:cs="Times New Roman"/>
                <w:sz w:val="13"/>
                <w:szCs w:val="13"/>
                <w:position w:val="-1"/>
              </w:rPr>
              <w:t>2 </w:t>
            </w:r>
            <w:r>
              <w:rPr/>
              <w:t>、</w:t>
            </w:r>
            <w:r>
              <w:rPr>
                <w:rFonts w:ascii="Times New Roman" w:hAnsi="Times New Roman" w:eastAsia="Times New Roman" w:cs="Times New Roman"/>
              </w:rPr>
              <w:t>PM</w:t>
            </w:r>
            <w:r>
              <w:rPr>
                <w:rFonts w:ascii="Times New Roman" w:hAnsi="Times New Roman" w:eastAsia="Times New Roman" w:cs="Times New Roman"/>
                <w:sz w:val="13"/>
                <w:szCs w:val="13"/>
                <w:position w:val="-1"/>
              </w:rPr>
              <w:t>10 </w:t>
            </w:r>
            <w:r>
              <w:rPr/>
              <w:t>、</w:t>
            </w:r>
            <w:r>
              <w:rPr>
                <w:rFonts w:ascii="Times New Roman" w:hAnsi="Times New Roman" w:eastAsia="Times New Roman" w:cs="Times New Roman"/>
              </w:rPr>
              <w:t>PM</w:t>
            </w:r>
            <w:r>
              <w:rPr>
                <w:rFonts w:ascii="Times New Roman" w:hAnsi="Times New Roman" w:eastAsia="Times New Roman" w:cs="Times New Roman"/>
                <w:sz w:val="13"/>
                <w:szCs w:val="13"/>
                <w:position w:val="-1"/>
              </w:rPr>
              <w:t>2.5 </w:t>
            </w:r>
            <w:r>
              <w:rPr/>
              <w:t>、</w:t>
            </w:r>
            <w:r>
              <w:rPr>
                <w:rFonts w:ascii="Times New Roman" w:hAnsi="Times New Roman" w:eastAsia="Times New Roman" w:cs="Times New Roman"/>
              </w:rPr>
              <w:t>CO</w:t>
            </w:r>
            <w:r>
              <w:rPr>
                <w:rFonts w:ascii="Times New Roman" w:hAnsi="Times New Roman" w:eastAsia="Times New Roman" w:cs="Times New Roman"/>
                <w:spacing w:val="-13"/>
              </w:rPr>
              <w:t xml:space="preserve"> </w:t>
            </w:r>
            <w:r>
              <w:rPr/>
              <w:t>、</w:t>
            </w:r>
            <w:r>
              <w:rPr>
                <w:rFonts w:ascii="Times New Roman" w:hAnsi="Times New Roman" w:eastAsia="Times New Roman" w:cs="Times New Roman"/>
              </w:rPr>
              <w:t>O</w:t>
            </w:r>
            <w:r>
              <w:rPr>
                <w:rFonts w:ascii="Times New Roman" w:hAnsi="Times New Roman" w:eastAsia="Times New Roman" w:cs="Times New Roman"/>
                <w:sz w:val="13"/>
                <w:szCs w:val="13"/>
                <w:position w:val="-1"/>
              </w:rPr>
              <w:t>3 </w:t>
            </w:r>
            <w:r>
              <w:rPr/>
              <w:t>、</w:t>
            </w:r>
            <w:r>
              <w:rPr>
                <w:rFonts w:ascii="Times New Roman" w:hAnsi="Times New Roman" w:eastAsia="Times New Roman" w:cs="Times New Roman"/>
              </w:rPr>
              <w:t>TSP</w:t>
            </w:r>
            <w:r>
              <w:rPr>
                <w:rFonts w:ascii="Times New Roman" w:hAnsi="Times New Roman" w:eastAsia="Times New Roman" w:cs="Times New Roman"/>
                <w:spacing w:val="-19"/>
              </w:rPr>
              <w:t xml:space="preserve"> </w:t>
            </w:r>
            <w:r>
              <w:rPr/>
              <w:t>、氟化物、</w:t>
            </w: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p>
        </w:tc>
      </w:tr>
      <w:tr>
        <w:trPr>
          <w:trHeight w:val="276" w:hRule="atLeast"/>
        </w:trPr>
        <w:tc>
          <w:tcPr>
            <w:tcW w:w="1127" w:type="dxa"/>
            <w:vAlign w:val="top"/>
            <w:vMerge w:val="continue"/>
            <w:tcBorders>
              <w:left w:val="nil"/>
              <w:top w:val="nil"/>
            </w:tcBorders>
          </w:tcPr>
          <w:p>
            <w:pPr>
              <w:rPr>
                <w:rFonts w:ascii="Arial"/>
                <w:sz w:val="21"/>
              </w:rPr>
            </w:pPr>
            <w:r/>
          </w:p>
        </w:tc>
        <w:tc>
          <w:tcPr>
            <w:tcW w:w="1448" w:type="dxa"/>
            <w:vAlign w:val="top"/>
          </w:tcPr>
          <w:p>
            <w:pPr>
              <w:pStyle w:val="TableText"/>
              <w:ind w:left="213"/>
              <w:spacing w:before="33" w:line="215" w:lineRule="auto"/>
              <w:rPr/>
            </w:pPr>
            <w:r>
              <w:rPr>
                <w:spacing w:val="6"/>
              </w:rPr>
              <w:t>污染源评价</w:t>
            </w:r>
          </w:p>
        </w:tc>
        <w:tc>
          <w:tcPr>
            <w:tcW w:w="6337" w:type="dxa"/>
            <w:vAlign w:val="top"/>
            <w:tcBorders>
              <w:right w:val="nil"/>
            </w:tcBorders>
          </w:tcPr>
          <w:p>
            <w:pPr>
              <w:pStyle w:val="TableText"/>
              <w:ind w:left="1904"/>
              <w:spacing w:before="33" w:line="215" w:lineRule="auto"/>
              <w:rPr>
                <w:rFonts w:ascii="Times New Roman" w:hAnsi="Times New Roman" w:eastAsia="Times New Roman" w:cs="Times New Roman"/>
              </w:rPr>
            </w:pPr>
            <w:r>
              <w:rPr>
                <w:spacing w:val="7"/>
              </w:rPr>
              <w:t>颗粒物、氟化物、</w:t>
            </w: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r>
              <w:rPr>
                <w:rFonts w:ascii="Times New Roman" w:hAnsi="Times New Roman" w:eastAsia="Times New Roman" w:cs="Times New Roman"/>
                <w:sz w:val="13"/>
                <w:szCs w:val="13"/>
                <w:spacing w:val="7"/>
                <w:position w:val="-1"/>
              </w:rPr>
              <w:t xml:space="preserve"> </w:t>
            </w:r>
            <w:r>
              <w:rPr>
                <w:spacing w:val="7"/>
              </w:rPr>
              <w:t>、</w:t>
            </w:r>
            <w:r>
              <w:rPr>
                <w:rFonts w:ascii="Times New Roman" w:hAnsi="Times New Roman" w:eastAsia="Times New Roman" w:cs="Times New Roman"/>
              </w:rPr>
              <w:t>CO</w:t>
            </w:r>
          </w:p>
        </w:tc>
      </w:tr>
      <w:tr>
        <w:trPr>
          <w:trHeight w:val="1089" w:hRule="atLeast"/>
        </w:trPr>
        <w:tc>
          <w:tcPr>
            <w:tcW w:w="1127" w:type="dxa"/>
            <w:vAlign w:val="top"/>
            <w:vMerge w:val="restart"/>
            <w:tcBorders>
              <w:left w:val="nil"/>
              <w:bottom w:val="nil"/>
            </w:tcBorders>
          </w:tcPr>
          <w:p>
            <w:pPr>
              <w:spacing w:line="258" w:lineRule="auto"/>
              <w:rPr>
                <w:rFonts w:ascii="Arial"/>
                <w:sz w:val="21"/>
              </w:rPr>
            </w:pPr>
            <w:r/>
          </w:p>
          <w:p>
            <w:pPr>
              <w:spacing w:line="258" w:lineRule="auto"/>
              <w:rPr>
                <w:rFonts w:ascii="Arial"/>
                <w:sz w:val="21"/>
              </w:rPr>
            </w:pPr>
            <w:r/>
          </w:p>
          <w:p>
            <w:pPr>
              <w:pStyle w:val="TableText"/>
              <w:ind w:left="262"/>
              <w:spacing w:before="65" w:line="231" w:lineRule="auto"/>
              <w:rPr/>
            </w:pPr>
            <w:r>
              <w:rPr>
                <w:spacing w:val="4"/>
              </w:rPr>
              <w:t>地下水</w:t>
            </w:r>
          </w:p>
        </w:tc>
        <w:tc>
          <w:tcPr>
            <w:tcW w:w="1448" w:type="dxa"/>
            <w:vAlign w:val="top"/>
          </w:tcPr>
          <w:p>
            <w:pPr>
              <w:spacing w:line="375" w:lineRule="auto"/>
              <w:rPr>
                <w:rFonts w:ascii="Arial"/>
                <w:sz w:val="21"/>
              </w:rPr>
            </w:pPr>
            <w:r/>
          </w:p>
          <w:p>
            <w:pPr>
              <w:pStyle w:val="TableText"/>
              <w:ind w:left="314"/>
              <w:spacing w:before="65" w:line="231" w:lineRule="auto"/>
              <w:rPr/>
            </w:pPr>
            <w:r>
              <w:rPr>
                <w:spacing w:val="6"/>
              </w:rPr>
              <w:t>现状评价</w:t>
            </w:r>
          </w:p>
        </w:tc>
        <w:tc>
          <w:tcPr>
            <w:tcW w:w="6337" w:type="dxa"/>
            <w:vAlign w:val="top"/>
            <w:tcBorders>
              <w:right w:val="nil"/>
            </w:tcBorders>
          </w:tcPr>
          <w:p>
            <w:pPr>
              <w:pStyle w:val="TableText"/>
              <w:ind w:left="105"/>
              <w:spacing w:before="35" w:line="221" w:lineRule="auto"/>
              <w:rPr/>
            </w:pPr>
            <w:r>
              <w:rPr>
                <w:rFonts w:ascii="Times New Roman" w:hAnsi="Times New Roman" w:eastAsia="Times New Roman" w:cs="Times New Roman"/>
              </w:rPr>
              <w:t>pH</w:t>
            </w:r>
            <w:r>
              <w:rPr>
                <w:rFonts w:ascii="Times New Roman" w:hAnsi="Times New Roman" w:eastAsia="Times New Roman" w:cs="Times New Roman"/>
                <w:spacing w:val="-22"/>
              </w:rPr>
              <w:t xml:space="preserve"> </w:t>
            </w:r>
            <w:r>
              <w:rPr>
                <w:spacing w:val="9"/>
              </w:rPr>
              <w:t>、总硬度、总大肠菌群、菌落总数、溶解性总固体、</w:t>
            </w:r>
            <w:r>
              <w:rPr>
                <w:spacing w:val="8"/>
              </w:rPr>
              <w:t>高锰酸盐指</w:t>
            </w:r>
          </w:p>
          <w:p>
            <w:pPr>
              <w:pStyle w:val="TableText"/>
              <w:ind w:left="153"/>
              <w:spacing w:before="31" w:line="228" w:lineRule="auto"/>
              <w:rPr/>
            </w:pPr>
            <w:r>
              <w:rPr>
                <w:spacing w:val="8"/>
              </w:rPr>
              <w:t>数、</w:t>
            </w:r>
            <w:r>
              <w:rPr>
                <w:rFonts w:ascii="Times New Roman" w:hAnsi="Times New Roman" w:eastAsia="Times New Roman" w:cs="Times New Roman"/>
              </w:rPr>
              <w:t>NH</w:t>
            </w:r>
            <w:r>
              <w:rPr>
                <w:rFonts w:ascii="Times New Roman" w:hAnsi="Times New Roman" w:eastAsia="Times New Roman" w:cs="Times New Roman"/>
                <w:sz w:val="13"/>
                <w:szCs w:val="13"/>
                <w:spacing w:val="8"/>
                <w:position w:val="-1"/>
              </w:rPr>
              <w:t>3</w:t>
            </w:r>
            <w:r>
              <w:rPr>
                <w:rFonts w:ascii="Times New Roman" w:hAnsi="Times New Roman" w:eastAsia="Times New Roman" w:cs="Times New Roman"/>
                <w:spacing w:val="8"/>
              </w:rPr>
              <w:t>-N</w:t>
            </w:r>
            <w:r>
              <w:rPr>
                <w:rFonts w:ascii="Times New Roman" w:hAnsi="Times New Roman" w:eastAsia="Times New Roman" w:cs="Times New Roman"/>
                <w:spacing w:val="-20"/>
              </w:rPr>
              <w:t xml:space="preserve"> </w:t>
            </w:r>
            <w:r>
              <w:rPr>
                <w:spacing w:val="8"/>
              </w:rPr>
              <w:t>、硝酸盐氮、亚硝酸盐氮、挥发酚、氰化物、砷、</w:t>
            </w:r>
            <w:r>
              <w:rPr>
                <w:spacing w:val="7"/>
              </w:rPr>
              <w:t>汞、</w:t>
            </w:r>
          </w:p>
          <w:p>
            <w:pPr>
              <w:pStyle w:val="TableText"/>
              <w:ind w:right="11"/>
              <w:spacing w:before="27" w:line="229" w:lineRule="auto"/>
              <w:jc w:val="right"/>
              <w:rPr/>
            </w:pPr>
            <w:r>
              <w:rPr>
                <w:spacing w:val="2"/>
              </w:rPr>
              <w:t>六价铬、铅、氟化物、镉、铁、锰、铜、锌、硫化物、铝、</w:t>
            </w:r>
            <w:r>
              <w:rPr>
                <w:rFonts w:ascii="Times New Roman" w:hAnsi="Times New Roman" w:eastAsia="Times New Roman" w:cs="Times New Roman"/>
                <w:spacing w:val="2"/>
              </w:rPr>
              <w:t>K</w:t>
            </w:r>
            <w:r>
              <w:rPr>
                <w:rFonts w:ascii="Times New Roman" w:hAnsi="Times New Roman" w:eastAsia="Times New Roman" w:cs="Times New Roman"/>
                <w:sz w:val="13"/>
                <w:szCs w:val="13"/>
                <w:spacing w:val="2"/>
                <w:position w:val="6"/>
              </w:rPr>
              <w:t>+</w:t>
            </w:r>
            <w:r>
              <w:rPr>
                <w:spacing w:val="2"/>
              </w:rPr>
              <w:t>、</w:t>
            </w:r>
            <w:r>
              <w:rPr>
                <w:rFonts w:ascii="Times New Roman" w:hAnsi="Times New Roman" w:eastAsia="Times New Roman" w:cs="Times New Roman"/>
              </w:rPr>
              <w:t>Na</w:t>
            </w:r>
            <w:r>
              <w:rPr>
                <w:rFonts w:ascii="Times New Roman" w:hAnsi="Times New Roman" w:eastAsia="Times New Roman" w:cs="Times New Roman"/>
                <w:sz w:val="13"/>
                <w:szCs w:val="13"/>
                <w:spacing w:val="2"/>
                <w:position w:val="6"/>
              </w:rPr>
              <w:t>+</w:t>
            </w:r>
            <w:r>
              <w:rPr>
                <w:spacing w:val="2"/>
              </w:rPr>
              <w:t>、</w:t>
            </w:r>
          </w:p>
          <w:p>
            <w:pPr>
              <w:pStyle w:val="TableText"/>
              <w:ind w:left="1186"/>
              <w:spacing w:before="25" w:line="208" w:lineRule="auto"/>
              <w:rPr/>
            </w:pPr>
            <w:r>
              <w:rPr>
                <w:rFonts w:ascii="Times New Roman" w:hAnsi="Times New Roman" w:eastAsia="Times New Roman" w:cs="Times New Roman"/>
              </w:rPr>
              <w:t>Ca</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4"/>
                <w:position w:val="6"/>
              </w:rPr>
              <w:t xml:space="preserve"> </w:t>
            </w:r>
            <w:r>
              <w:rPr>
                <w:spacing w:val="1"/>
              </w:rPr>
              <w:t>、</w:t>
            </w:r>
            <w:r>
              <w:rPr>
                <w:rFonts w:ascii="Times New Roman" w:hAnsi="Times New Roman" w:eastAsia="Times New Roman" w:cs="Times New Roman"/>
              </w:rPr>
              <w:t>Mg</w:t>
            </w:r>
            <w:r>
              <w:rPr>
                <w:rFonts w:ascii="Times New Roman" w:hAnsi="Times New Roman" w:eastAsia="Times New Roman" w:cs="Times New Roman"/>
                <w:sz w:val="13"/>
                <w:szCs w:val="13"/>
                <w:spacing w:val="1"/>
                <w:position w:val="6"/>
              </w:rPr>
              <w:t>2+ </w:t>
            </w:r>
            <w:r>
              <w:rPr>
                <w:spacing w:val="1"/>
              </w:rPr>
              <w:t>、</w:t>
            </w:r>
            <w:r>
              <w:rPr>
                <w:rFonts w:ascii="Times New Roman" w:hAnsi="Times New Roman" w:eastAsia="Times New Roman" w:cs="Times New Roman"/>
              </w:rPr>
              <w:t>CO</w:t>
            </w:r>
            <w:r>
              <w:rPr>
                <w:rFonts w:ascii="Times New Roman" w:hAnsi="Times New Roman" w:eastAsia="Times New Roman" w:cs="Times New Roman"/>
                <w:sz w:val="13"/>
                <w:szCs w:val="13"/>
                <w:spacing w:val="1"/>
                <w:position w:val="-2"/>
              </w:rPr>
              <w:t>3</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6"/>
                <w:position w:val="6"/>
              </w:rPr>
              <w:t xml:space="preserve"> </w:t>
            </w:r>
            <w:r>
              <w:rPr>
                <w:spacing w:val="1"/>
              </w:rPr>
              <w:t>、</w:t>
            </w:r>
            <w:r>
              <w:rPr>
                <w:rFonts w:ascii="Times New Roman" w:hAnsi="Times New Roman" w:eastAsia="Times New Roman" w:cs="Times New Roman"/>
              </w:rPr>
              <w:t>HCO</w:t>
            </w:r>
            <w:r>
              <w:rPr>
                <w:rFonts w:ascii="Times New Roman" w:hAnsi="Times New Roman" w:eastAsia="Times New Roman" w:cs="Times New Roman"/>
                <w:sz w:val="13"/>
                <w:szCs w:val="13"/>
                <w:spacing w:val="1"/>
                <w:position w:val="-2"/>
              </w:rPr>
              <w:t>3</w:t>
            </w:r>
            <w:r>
              <w:rPr>
                <w:rFonts w:ascii="Times New Roman" w:hAnsi="Times New Roman" w:eastAsia="Times New Roman" w:cs="Times New Roman"/>
                <w:sz w:val="13"/>
                <w:szCs w:val="13"/>
                <w:spacing w:val="1"/>
                <w:position w:val="6"/>
              </w:rPr>
              <w:t>- </w:t>
            </w:r>
            <w:r>
              <w:rPr>
                <w:spacing w:val="1"/>
              </w:rPr>
              <w:t>、</w:t>
            </w:r>
            <w:r>
              <w:rPr>
                <w:rFonts w:ascii="Times New Roman" w:hAnsi="Times New Roman" w:eastAsia="Times New Roman" w:cs="Times New Roman"/>
              </w:rPr>
              <w:t>SO</w:t>
            </w:r>
            <w:r>
              <w:rPr>
                <w:rFonts w:ascii="Times New Roman" w:hAnsi="Times New Roman" w:eastAsia="Times New Roman" w:cs="Times New Roman"/>
                <w:sz w:val="13"/>
                <w:szCs w:val="13"/>
                <w:spacing w:val="1"/>
                <w:position w:val="-2"/>
              </w:rPr>
              <w:t>4</w:t>
            </w:r>
            <w:r>
              <w:rPr>
                <w:rFonts w:ascii="Times New Roman" w:hAnsi="Times New Roman" w:eastAsia="Times New Roman" w:cs="Times New Roman"/>
                <w:sz w:val="13"/>
                <w:szCs w:val="13"/>
                <w:spacing w:val="1"/>
                <w:position w:val="6"/>
              </w:rPr>
              <w:t>2- </w:t>
            </w:r>
            <w:r>
              <w:rPr>
                <w:spacing w:val="1"/>
              </w:rPr>
              <w:t>、氯化物</w:t>
            </w:r>
          </w:p>
        </w:tc>
      </w:tr>
      <w:tr>
        <w:trPr>
          <w:trHeight w:val="276" w:hRule="atLeast"/>
        </w:trPr>
        <w:tc>
          <w:tcPr>
            <w:tcW w:w="1127" w:type="dxa"/>
            <w:vAlign w:val="top"/>
            <w:vMerge w:val="continue"/>
            <w:tcBorders>
              <w:left w:val="nil"/>
              <w:top w:val="nil"/>
            </w:tcBorders>
          </w:tcPr>
          <w:p>
            <w:pPr>
              <w:rPr>
                <w:rFonts w:ascii="Arial"/>
                <w:sz w:val="21"/>
              </w:rPr>
            </w:pPr>
            <w:r/>
          </w:p>
        </w:tc>
        <w:tc>
          <w:tcPr>
            <w:tcW w:w="1448" w:type="dxa"/>
            <w:vAlign w:val="top"/>
          </w:tcPr>
          <w:p>
            <w:pPr>
              <w:pStyle w:val="TableText"/>
              <w:ind w:left="213"/>
              <w:spacing w:before="40" w:line="208" w:lineRule="auto"/>
              <w:rPr/>
            </w:pPr>
            <w:r>
              <w:rPr>
                <w:spacing w:val="6"/>
              </w:rPr>
              <w:t>污染源评价</w:t>
            </w:r>
          </w:p>
        </w:tc>
        <w:tc>
          <w:tcPr>
            <w:tcW w:w="6337" w:type="dxa"/>
            <w:vAlign w:val="top"/>
            <w:tcBorders>
              <w:right w:val="nil"/>
            </w:tcBorders>
          </w:tcPr>
          <w:p>
            <w:pPr>
              <w:pStyle w:val="TableText"/>
              <w:ind w:left="2871"/>
              <w:spacing w:before="40" w:line="208" w:lineRule="auto"/>
              <w:rPr/>
            </w:pPr>
            <w:r>
              <w:rPr>
                <w:spacing w:val="3"/>
              </w:rPr>
              <w:t>氟化物</w:t>
            </w:r>
          </w:p>
        </w:tc>
      </w:tr>
      <w:tr>
        <w:trPr>
          <w:trHeight w:val="276" w:hRule="atLeast"/>
        </w:trPr>
        <w:tc>
          <w:tcPr>
            <w:tcW w:w="1127" w:type="dxa"/>
            <w:vAlign w:val="top"/>
            <w:vMerge w:val="restart"/>
            <w:tcBorders>
              <w:left w:val="nil"/>
              <w:bottom w:val="nil"/>
            </w:tcBorders>
          </w:tcPr>
          <w:p>
            <w:pPr>
              <w:pStyle w:val="TableText"/>
              <w:ind w:left="369"/>
              <w:spacing w:before="181" w:line="232" w:lineRule="auto"/>
              <w:rPr/>
            </w:pPr>
            <w:r>
              <w:rPr/>
              <w:t>土壤</w:t>
            </w:r>
          </w:p>
        </w:tc>
        <w:tc>
          <w:tcPr>
            <w:tcW w:w="1448" w:type="dxa"/>
            <w:vAlign w:val="top"/>
          </w:tcPr>
          <w:p>
            <w:pPr>
              <w:pStyle w:val="TableText"/>
              <w:ind w:left="314"/>
              <w:spacing w:before="42" w:line="206" w:lineRule="auto"/>
              <w:rPr/>
            </w:pPr>
            <w:r>
              <w:rPr>
                <w:spacing w:val="6"/>
              </w:rPr>
              <w:t>现状评价</w:t>
            </w:r>
          </w:p>
        </w:tc>
        <w:tc>
          <w:tcPr>
            <w:tcW w:w="6337" w:type="dxa"/>
            <w:vAlign w:val="top"/>
            <w:tcBorders>
              <w:right w:val="nil"/>
            </w:tcBorders>
          </w:tcPr>
          <w:p>
            <w:pPr>
              <w:pStyle w:val="TableText"/>
              <w:ind w:left="1605"/>
              <w:spacing w:before="42" w:line="206" w:lineRule="auto"/>
              <w:rPr/>
            </w:pPr>
            <w:r>
              <w:rPr>
                <w:spacing w:val="9"/>
              </w:rPr>
              <w:t>砷、汞、铅、镉、铬、铜、镍、锌</w:t>
            </w:r>
          </w:p>
        </w:tc>
      </w:tr>
      <w:tr>
        <w:trPr>
          <w:trHeight w:val="276" w:hRule="atLeast"/>
        </w:trPr>
        <w:tc>
          <w:tcPr>
            <w:tcW w:w="1127" w:type="dxa"/>
            <w:vAlign w:val="top"/>
            <w:vMerge w:val="continue"/>
            <w:tcBorders>
              <w:left w:val="nil"/>
              <w:top w:val="nil"/>
            </w:tcBorders>
          </w:tcPr>
          <w:p>
            <w:pPr>
              <w:rPr>
                <w:rFonts w:ascii="Arial"/>
                <w:sz w:val="21"/>
              </w:rPr>
            </w:pPr>
            <w:r/>
          </w:p>
        </w:tc>
        <w:tc>
          <w:tcPr>
            <w:tcW w:w="1448" w:type="dxa"/>
            <w:vAlign w:val="top"/>
          </w:tcPr>
          <w:p>
            <w:pPr>
              <w:pStyle w:val="TableText"/>
              <w:ind w:left="213"/>
              <w:spacing w:before="41" w:line="207" w:lineRule="auto"/>
              <w:rPr/>
            </w:pPr>
            <w:r>
              <w:rPr>
                <w:spacing w:val="6"/>
              </w:rPr>
              <w:t>污染源评价</w:t>
            </w:r>
          </w:p>
        </w:tc>
        <w:tc>
          <w:tcPr>
            <w:tcW w:w="6337" w:type="dxa"/>
            <w:vAlign w:val="top"/>
            <w:tcBorders>
              <w:right w:val="nil"/>
            </w:tcBorders>
          </w:tcPr>
          <w:p>
            <w:pPr>
              <w:pStyle w:val="TableText"/>
              <w:ind w:left="2445"/>
              <w:spacing w:before="41" w:line="207" w:lineRule="auto"/>
              <w:rPr/>
            </w:pPr>
            <w:r>
              <w:rPr>
                <w:spacing w:val="7"/>
              </w:rPr>
              <w:t>石油烃、氟化物</w:t>
            </w:r>
          </w:p>
        </w:tc>
      </w:tr>
      <w:tr>
        <w:trPr>
          <w:trHeight w:val="277" w:hRule="atLeast"/>
        </w:trPr>
        <w:tc>
          <w:tcPr>
            <w:tcW w:w="1127" w:type="dxa"/>
            <w:vAlign w:val="top"/>
            <w:vMerge w:val="restart"/>
            <w:tcBorders>
              <w:left w:val="nil"/>
              <w:bottom w:val="nil"/>
            </w:tcBorders>
          </w:tcPr>
          <w:p>
            <w:pPr>
              <w:pStyle w:val="TableText"/>
              <w:ind w:left="260"/>
              <w:spacing w:before="183" w:line="231" w:lineRule="auto"/>
              <w:rPr/>
            </w:pPr>
            <w:r>
              <w:rPr>
                <w:spacing w:val="5"/>
              </w:rPr>
              <w:t>声环境</w:t>
            </w:r>
          </w:p>
        </w:tc>
        <w:tc>
          <w:tcPr>
            <w:tcW w:w="1448" w:type="dxa"/>
            <w:vAlign w:val="top"/>
          </w:tcPr>
          <w:p>
            <w:pPr>
              <w:pStyle w:val="TableText"/>
              <w:ind w:left="314"/>
              <w:spacing w:before="44" w:line="205" w:lineRule="auto"/>
              <w:rPr/>
            </w:pPr>
            <w:r>
              <w:rPr>
                <w:spacing w:val="6"/>
              </w:rPr>
              <w:t>现状评价</w:t>
            </w:r>
          </w:p>
        </w:tc>
        <w:tc>
          <w:tcPr>
            <w:tcW w:w="6337" w:type="dxa"/>
            <w:vAlign w:val="top"/>
            <w:tcBorders>
              <w:right w:val="nil"/>
            </w:tcBorders>
          </w:tcPr>
          <w:p>
            <w:pPr>
              <w:pStyle w:val="TableText"/>
              <w:ind w:left="2493"/>
              <w:spacing w:before="44" w:line="205" w:lineRule="auto"/>
              <w:rPr/>
            </w:pPr>
            <w:r>
              <w:rPr>
                <w:rFonts w:ascii="Times New Roman" w:hAnsi="Times New Roman" w:eastAsia="Times New Roman" w:cs="Times New Roman"/>
              </w:rPr>
              <w:t>Leq</w:t>
            </w:r>
            <w:r>
              <w:rPr>
                <w:spacing w:val="12"/>
              </w:rPr>
              <w:t>：</w:t>
            </w:r>
            <w:r>
              <w:rPr>
                <w:rFonts w:ascii="Times New Roman" w:hAnsi="Times New Roman" w:eastAsia="Times New Roman" w:cs="Times New Roman"/>
              </w:rPr>
              <w:t>dB</w:t>
            </w:r>
            <w:r>
              <w:rPr>
                <w:spacing w:val="12"/>
              </w:rPr>
              <w:t>（</w:t>
            </w:r>
            <w:r>
              <w:rPr>
                <w:rFonts w:ascii="Times New Roman" w:hAnsi="Times New Roman" w:eastAsia="Times New Roman" w:cs="Times New Roman"/>
                <w:spacing w:val="12"/>
              </w:rPr>
              <w:t>A</w:t>
            </w:r>
            <w:r>
              <w:rPr>
                <w:spacing w:val="12"/>
              </w:rPr>
              <w:t>）</w:t>
            </w:r>
          </w:p>
        </w:tc>
      </w:tr>
      <w:tr>
        <w:trPr>
          <w:trHeight w:val="276" w:hRule="atLeast"/>
        </w:trPr>
        <w:tc>
          <w:tcPr>
            <w:tcW w:w="1127" w:type="dxa"/>
            <w:vAlign w:val="top"/>
            <w:vMerge w:val="continue"/>
            <w:tcBorders>
              <w:left w:val="nil"/>
              <w:top w:val="nil"/>
            </w:tcBorders>
          </w:tcPr>
          <w:p>
            <w:pPr>
              <w:rPr>
                <w:rFonts w:ascii="Arial"/>
                <w:sz w:val="21"/>
              </w:rPr>
            </w:pPr>
            <w:r/>
          </w:p>
        </w:tc>
        <w:tc>
          <w:tcPr>
            <w:tcW w:w="1448" w:type="dxa"/>
            <w:vAlign w:val="top"/>
          </w:tcPr>
          <w:p>
            <w:pPr>
              <w:pStyle w:val="TableText"/>
              <w:ind w:left="213"/>
              <w:spacing w:before="42" w:line="206" w:lineRule="auto"/>
              <w:rPr/>
            </w:pPr>
            <w:r>
              <w:rPr>
                <w:spacing w:val="6"/>
              </w:rPr>
              <w:t>污染源评价</w:t>
            </w:r>
          </w:p>
        </w:tc>
        <w:tc>
          <w:tcPr>
            <w:tcW w:w="6337" w:type="dxa"/>
            <w:vAlign w:val="top"/>
            <w:tcBorders>
              <w:right w:val="nil"/>
            </w:tcBorders>
          </w:tcPr>
          <w:p>
            <w:pPr>
              <w:pStyle w:val="TableText"/>
              <w:ind w:left="2493"/>
              <w:spacing w:before="42" w:line="206" w:lineRule="auto"/>
              <w:rPr/>
            </w:pPr>
            <w:r>
              <w:rPr>
                <w:rFonts w:ascii="Times New Roman" w:hAnsi="Times New Roman" w:eastAsia="Times New Roman" w:cs="Times New Roman"/>
              </w:rPr>
              <w:t>Leq</w:t>
            </w:r>
            <w:r>
              <w:rPr>
                <w:spacing w:val="12"/>
              </w:rPr>
              <w:t>：</w:t>
            </w:r>
            <w:r>
              <w:rPr>
                <w:rFonts w:ascii="Times New Roman" w:hAnsi="Times New Roman" w:eastAsia="Times New Roman" w:cs="Times New Roman"/>
              </w:rPr>
              <w:t>dB</w:t>
            </w:r>
            <w:r>
              <w:rPr>
                <w:spacing w:val="12"/>
              </w:rPr>
              <w:t>（</w:t>
            </w:r>
            <w:r>
              <w:rPr>
                <w:rFonts w:ascii="Times New Roman" w:hAnsi="Times New Roman" w:eastAsia="Times New Roman" w:cs="Times New Roman"/>
                <w:spacing w:val="12"/>
              </w:rPr>
              <w:t>A</w:t>
            </w:r>
            <w:r>
              <w:rPr>
                <w:spacing w:val="12"/>
              </w:rPr>
              <w:t>）</w:t>
            </w:r>
          </w:p>
        </w:tc>
      </w:tr>
      <w:tr>
        <w:trPr>
          <w:trHeight w:val="547" w:hRule="atLeast"/>
        </w:trPr>
        <w:tc>
          <w:tcPr>
            <w:tcW w:w="1127" w:type="dxa"/>
            <w:vAlign w:val="top"/>
            <w:tcBorders>
              <w:left w:val="nil"/>
            </w:tcBorders>
          </w:tcPr>
          <w:p>
            <w:pPr>
              <w:pStyle w:val="TableText"/>
              <w:ind w:left="178"/>
              <w:spacing w:before="182" w:line="229" w:lineRule="auto"/>
              <w:rPr/>
            </w:pPr>
            <w:r>
              <w:rPr/>
              <w:t>固体废物</w:t>
            </w:r>
          </w:p>
        </w:tc>
        <w:tc>
          <w:tcPr>
            <w:tcW w:w="1448" w:type="dxa"/>
            <w:vAlign w:val="top"/>
          </w:tcPr>
          <w:p>
            <w:pPr>
              <w:pStyle w:val="TableText"/>
              <w:ind w:left="213"/>
              <w:spacing w:before="182" w:line="231" w:lineRule="auto"/>
              <w:rPr/>
            </w:pPr>
            <w:r>
              <w:rPr>
                <w:spacing w:val="6"/>
              </w:rPr>
              <w:t>污染源评价</w:t>
            </w:r>
          </w:p>
        </w:tc>
        <w:tc>
          <w:tcPr>
            <w:tcW w:w="6337" w:type="dxa"/>
            <w:vAlign w:val="top"/>
            <w:tcBorders>
              <w:right w:val="nil"/>
            </w:tcBorders>
          </w:tcPr>
          <w:p>
            <w:pPr>
              <w:pStyle w:val="TableText"/>
              <w:ind w:left="136"/>
              <w:spacing w:before="45" w:line="231" w:lineRule="auto"/>
              <w:rPr/>
            </w:pPr>
            <w:r>
              <w:rPr>
                <w:spacing w:val="9"/>
              </w:rPr>
              <w:t>尾矿、废机油、废油桶、废石、生活垃圾、餐厨垃圾、除尘灰、废</w:t>
            </w:r>
          </w:p>
          <w:p>
            <w:pPr>
              <w:pStyle w:val="TableText"/>
              <w:ind w:left="2341"/>
              <w:spacing w:before="23" w:line="201" w:lineRule="auto"/>
              <w:rPr/>
            </w:pPr>
            <w:r>
              <w:rPr>
                <w:spacing w:val="7"/>
              </w:rPr>
              <w:t>布袋、含油抹布等</w:t>
            </w:r>
          </w:p>
        </w:tc>
      </w:tr>
      <w:tr>
        <w:trPr>
          <w:trHeight w:val="547" w:hRule="atLeast"/>
        </w:trPr>
        <w:tc>
          <w:tcPr>
            <w:tcW w:w="1127" w:type="dxa"/>
            <w:vAlign w:val="top"/>
            <w:vMerge w:val="restart"/>
            <w:tcBorders>
              <w:left w:val="nil"/>
              <w:bottom w:val="nil"/>
            </w:tcBorders>
          </w:tcPr>
          <w:p>
            <w:pPr>
              <w:spacing w:line="393" w:lineRule="auto"/>
              <w:rPr>
                <w:rFonts w:ascii="Arial"/>
                <w:sz w:val="21"/>
              </w:rPr>
            </w:pPr>
            <w:r/>
          </w:p>
          <w:p>
            <w:pPr>
              <w:pStyle w:val="TableText"/>
              <w:ind w:left="168"/>
              <w:spacing w:before="65" w:line="231" w:lineRule="auto"/>
              <w:rPr/>
            </w:pPr>
            <w:r>
              <w:rPr>
                <w:spacing w:val="2"/>
              </w:rPr>
              <w:t>生态环境</w:t>
            </w:r>
          </w:p>
        </w:tc>
        <w:tc>
          <w:tcPr>
            <w:tcW w:w="1448" w:type="dxa"/>
            <w:vAlign w:val="top"/>
          </w:tcPr>
          <w:p>
            <w:pPr>
              <w:pStyle w:val="TableText"/>
              <w:ind w:left="314"/>
              <w:spacing w:before="182" w:line="231" w:lineRule="auto"/>
              <w:rPr/>
            </w:pPr>
            <w:r>
              <w:rPr>
                <w:spacing w:val="6"/>
              </w:rPr>
              <w:t>现状评价</w:t>
            </w:r>
          </w:p>
        </w:tc>
        <w:tc>
          <w:tcPr>
            <w:tcW w:w="6337" w:type="dxa"/>
            <w:vAlign w:val="top"/>
            <w:tcBorders>
              <w:right w:val="nil"/>
            </w:tcBorders>
          </w:tcPr>
          <w:p>
            <w:pPr>
              <w:pStyle w:val="TableText"/>
              <w:ind w:left="135" w:right="125"/>
              <w:spacing w:before="47" w:line="226" w:lineRule="auto"/>
              <w:rPr/>
            </w:pPr>
            <w:r>
              <w:rPr>
                <w:spacing w:val="9"/>
              </w:rPr>
              <w:t>物种分布范围、种群数量、种群结构、行为等；生境面积；生物多</w:t>
            </w:r>
            <w:r>
              <w:rPr>
                <w:spacing w:val="9"/>
              </w:rPr>
              <w:t>样性；生态系统；植被覆盖度、生产力、生物量、生态系统功能等</w:t>
            </w:r>
          </w:p>
        </w:tc>
      </w:tr>
      <w:tr>
        <w:trPr>
          <w:trHeight w:val="546" w:hRule="atLeast"/>
        </w:trPr>
        <w:tc>
          <w:tcPr>
            <w:tcW w:w="1127" w:type="dxa"/>
            <w:vAlign w:val="top"/>
            <w:vMerge w:val="continue"/>
            <w:tcBorders>
              <w:left w:val="nil"/>
              <w:top w:val="nil"/>
            </w:tcBorders>
          </w:tcPr>
          <w:p>
            <w:pPr>
              <w:rPr>
                <w:rFonts w:ascii="Arial"/>
                <w:sz w:val="21"/>
              </w:rPr>
            </w:pPr>
            <w:r/>
          </w:p>
        </w:tc>
        <w:tc>
          <w:tcPr>
            <w:tcW w:w="1448" w:type="dxa"/>
            <w:vAlign w:val="top"/>
          </w:tcPr>
          <w:p>
            <w:pPr>
              <w:pStyle w:val="TableText"/>
              <w:ind w:left="213"/>
              <w:spacing w:before="186" w:line="231" w:lineRule="auto"/>
              <w:rPr/>
            </w:pPr>
            <w:r>
              <w:rPr>
                <w:spacing w:val="6"/>
              </w:rPr>
              <w:t>污染源评价</w:t>
            </w:r>
          </w:p>
        </w:tc>
        <w:tc>
          <w:tcPr>
            <w:tcW w:w="6337" w:type="dxa"/>
            <w:vAlign w:val="top"/>
            <w:tcBorders>
              <w:right w:val="nil"/>
            </w:tcBorders>
          </w:tcPr>
          <w:p>
            <w:pPr>
              <w:pStyle w:val="TableText"/>
              <w:ind w:left="135" w:right="125"/>
              <w:spacing w:before="50" w:line="224" w:lineRule="auto"/>
              <w:rPr/>
            </w:pPr>
            <w:r>
              <w:rPr>
                <w:spacing w:val="9"/>
              </w:rPr>
              <w:t>物种分布范围、种群数量、种群结构、行为等；生境面积；生物多</w:t>
            </w:r>
            <w:r>
              <w:rPr>
                <w:spacing w:val="9"/>
              </w:rPr>
              <w:t>样性；生态系统；植被覆盖度、生产力、生物量、生态系统功能等</w:t>
            </w:r>
          </w:p>
        </w:tc>
      </w:tr>
      <w:tr>
        <w:trPr>
          <w:trHeight w:val="300" w:hRule="atLeast"/>
        </w:trPr>
        <w:tc>
          <w:tcPr>
            <w:tcW w:w="1127" w:type="dxa"/>
            <w:vAlign w:val="top"/>
            <w:tcBorders>
              <w:left w:val="nil"/>
              <w:bottom w:val="single" w:color="000000" w:sz="10" w:space="0"/>
            </w:tcBorders>
          </w:tcPr>
          <w:p>
            <w:pPr>
              <w:pStyle w:val="TableText"/>
              <w:ind w:left="155"/>
              <w:spacing w:before="56" w:line="216" w:lineRule="auto"/>
              <w:rPr/>
            </w:pPr>
            <w:r>
              <w:rPr>
                <w:spacing w:val="6"/>
              </w:rPr>
              <w:t>环境风险</w:t>
            </w:r>
          </w:p>
        </w:tc>
        <w:tc>
          <w:tcPr>
            <w:tcW w:w="1448" w:type="dxa"/>
            <w:vAlign w:val="top"/>
            <w:tcBorders>
              <w:bottom w:val="single" w:color="000000" w:sz="10" w:space="0"/>
            </w:tcBorders>
          </w:tcPr>
          <w:p>
            <w:pPr>
              <w:pStyle w:val="TableText"/>
              <w:ind w:left="213"/>
              <w:spacing w:before="56" w:line="216" w:lineRule="auto"/>
              <w:rPr/>
            </w:pPr>
            <w:r>
              <w:rPr>
                <w:spacing w:val="6"/>
              </w:rPr>
              <w:t>污染源评价</w:t>
            </w:r>
          </w:p>
        </w:tc>
        <w:tc>
          <w:tcPr>
            <w:tcW w:w="6337" w:type="dxa"/>
            <w:vAlign w:val="top"/>
            <w:tcBorders>
              <w:right w:val="nil"/>
              <w:bottom w:val="single" w:color="000000" w:sz="10" w:space="0"/>
            </w:tcBorders>
          </w:tcPr>
          <w:p>
            <w:pPr>
              <w:pStyle w:val="TableText"/>
              <w:ind w:left="1395"/>
              <w:spacing w:before="56" w:line="216" w:lineRule="auto"/>
              <w:rPr/>
            </w:pPr>
            <w:r>
              <w:rPr>
                <w:spacing w:val="9"/>
              </w:rPr>
              <w:t>柴油、润滑油、废机油、炸药、雷管等</w:t>
            </w:r>
          </w:p>
        </w:tc>
      </w:tr>
    </w:tbl>
    <w:p>
      <w:pPr>
        <w:pStyle w:val="BodyText"/>
        <w:spacing w:line="362" w:lineRule="auto"/>
        <w:rPr/>
      </w:pPr>
      <w:r/>
    </w:p>
    <w:p>
      <w:pPr>
        <w:ind w:left="115"/>
        <w:spacing w:before="92" w:line="222" w:lineRule="auto"/>
        <w:outlineLvl w:val="1"/>
        <w:rPr>
          <w:rFonts w:ascii="FangSong" w:hAnsi="FangSong" w:eastAsia="FangSong" w:cs="FangSong"/>
          <w:sz w:val="28"/>
          <w:szCs w:val="28"/>
        </w:rPr>
      </w:pPr>
      <w:bookmarkStart w:name="bookmark52" w:id="76"/>
      <w:bookmarkEnd w:id="76"/>
      <w:bookmarkStart w:name="bookmark54" w:id="77"/>
      <w:bookmarkEnd w:id="77"/>
      <w:bookmarkStart w:name="bookmark51" w:id="78"/>
      <w:bookmarkEnd w:id="78"/>
      <w:bookmarkStart w:name="bookmark53" w:id="79"/>
      <w:bookmarkEnd w:id="79"/>
      <w:r>
        <w:rPr>
          <w:rFonts w:ascii="Times New Roman" w:hAnsi="Times New Roman" w:eastAsia="Times New Roman" w:cs="Times New Roman"/>
          <w:sz w:val="28"/>
          <w:szCs w:val="28"/>
          <w:b/>
          <w:bCs/>
          <w:spacing w:val="-2"/>
        </w:rPr>
        <w:t>2.4  </w:t>
      </w:r>
      <w:r>
        <w:rPr>
          <w:rFonts w:ascii="FangSong" w:hAnsi="FangSong" w:eastAsia="FangSong" w:cs="FangSong"/>
          <w:sz w:val="28"/>
          <w:szCs w:val="28"/>
          <w:b/>
          <w:bCs/>
          <w:spacing w:val="-2"/>
        </w:rPr>
        <w:t>环境功能区划</w:t>
      </w:r>
    </w:p>
    <w:p>
      <w:pPr>
        <w:ind w:left="114"/>
        <w:spacing w:before="202" w:line="222" w:lineRule="auto"/>
        <w:outlineLvl w:val="2"/>
        <w:rPr>
          <w:rFonts w:ascii="FangSong" w:hAnsi="FangSong" w:eastAsia="FangSong" w:cs="FangSong"/>
          <w:sz w:val="24"/>
          <w:szCs w:val="24"/>
        </w:rPr>
      </w:pPr>
      <w:bookmarkStart w:name="bookmark514" w:id="80"/>
      <w:bookmarkEnd w:id="80"/>
      <w:r>
        <w:rPr>
          <w:rFonts w:ascii="Times New Roman" w:hAnsi="Times New Roman" w:eastAsia="Times New Roman" w:cs="Times New Roman"/>
          <w:sz w:val="24"/>
          <w:szCs w:val="24"/>
          <w:b/>
          <w:bCs/>
          <w:spacing w:val="-2"/>
        </w:rPr>
        <w:t>2.4.1  </w:t>
      </w:r>
      <w:r>
        <w:rPr>
          <w:rFonts w:ascii="FangSong" w:hAnsi="FangSong" w:eastAsia="FangSong" w:cs="FangSong"/>
          <w:sz w:val="24"/>
          <w:szCs w:val="24"/>
          <w:b/>
          <w:bCs/>
          <w:spacing w:val="-2"/>
        </w:rPr>
        <w:t>大气环境功能区划</w:t>
      </w:r>
    </w:p>
    <w:p>
      <w:pPr>
        <w:ind w:left="127" w:right="107" w:firstLine="478"/>
        <w:spacing w:before="180" w:line="359" w:lineRule="auto"/>
        <w:jc w:val="both"/>
        <w:rPr>
          <w:rFonts w:ascii="FangSong" w:hAnsi="FangSong" w:eastAsia="FangSong" w:cs="FangSong"/>
          <w:sz w:val="24"/>
          <w:szCs w:val="24"/>
        </w:rPr>
      </w:pPr>
      <w:r>
        <w:rPr>
          <w:rFonts w:ascii="FangSong" w:hAnsi="FangSong" w:eastAsia="FangSong" w:cs="FangSong"/>
          <w:sz w:val="24"/>
          <w:szCs w:val="24"/>
          <w:spacing w:val="-3"/>
        </w:rPr>
        <w:t>根据《环境空气质量标准》（</w:t>
      </w:r>
      <w:r>
        <w:rPr>
          <w:rFonts w:ascii="Times New Roman" w:hAnsi="Times New Roman" w:eastAsia="Times New Roman" w:cs="Times New Roman"/>
          <w:sz w:val="24"/>
          <w:szCs w:val="24"/>
          <w:spacing w:val="-3"/>
        </w:rPr>
        <w:t>GB3095-2012</w:t>
      </w:r>
      <w:r>
        <w:rPr>
          <w:rFonts w:ascii="FangSong" w:hAnsi="FangSong" w:eastAsia="FangSong" w:cs="FangSong"/>
          <w:sz w:val="24"/>
          <w:szCs w:val="24"/>
          <w:spacing w:val="-4"/>
        </w:rPr>
        <w:t>）环境空气质量功能区分类，城镇规</w:t>
      </w:r>
      <w:r>
        <w:rPr>
          <w:rFonts w:ascii="FangSong" w:hAnsi="FangSong" w:eastAsia="FangSong" w:cs="FangSong"/>
          <w:sz w:val="24"/>
          <w:szCs w:val="24"/>
          <w:spacing w:val="1"/>
        </w:rPr>
        <w:t>划中确定的居住区、商业交通居民混合区、文化区、一般工业区和农村地区属于二</w:t>
      </w:r>
      <w:r>
        <w:rPr>
          <w:rFonts w:ascii="FangSong" w:hAnsi="FangSong" w:eastAsia="FangSong" w:cs="FangSong"/>
          <w:sz w:val="24"/>
          <w:szCs w:val="24"/>
          <w:spacing w:val="-3"/>
        </w:rPr>
        <w:t>类功能区。本项目环境空气功能区划为《环境空气质量标准》（</w:t>
      </w:r>
      <w:r>
        <w:rPr>
          <w:rFonts w:ascii="Times New Roman" w:hAnsi="Times New Roman" w:eastAsia="Times New Roman" w:cs="Times New Roman"/>
          <w:sz w:val="24"/>
          <w:szCs w:val="24"/>
          <w:spacing w:val="-3"/>
        </w:rPr>
        <w:t>GB</w:t>
      </w:r>
      <w:r>
        <w:rPr>
          <w:rFonts w:ascii="Times New Roman" w:hAnsi="Times New Roman" w:eastAsia="Times New Roman" w:cs="Times New Roman"/>
          <w:sz w:val="24"/>
          <w:szCs w:val="24"/>
          <w:spacing w:val="-4"/>
        </w:rPr>
        <w:t>3095-2012</w:t>
      </w:r>
      <w:r>
        <w:rPr>
          <w:rFonts w:ascii="FangSong" w:hAnsi="FangSong" w:eastAsia="FangSong" w:cs="FangSong"/>
          <w:sz w:val="24"/>
          <w:szCs w:val="24"/>
          <w:spacing w:val="-4"/>
        </w:rPr>
        <w:t>）二类</w:t>
      </w:r>
      <w:r>
        <w:rPr>
          <w:rFonts w:ascii="FangSong" w:hAnsi="FangSong" w:eastAsia="FangSong" w:cs="FangSong"/>
          <w:sz w:val="24"/>
          <w:szCs w:val="24"/>
          <w:spacing w:val="-10"/>
        </w:rPr>
        <w:t>区。</w:t>
      </w:r>
    </w:p>
    <w:p>
      <w:pPr>
        <w:ind w:left="114"/>
        <w:spacing w:before="1" w:line="221" w:lineRule="auto"/>
        <w:outlineLvl w:val="2"/>
        <w:rPr>
          <w:rFonts w:ascii="FangSong" w:hAnsi="FangSong" w:eastAsia="FangSong" w:cs="FangSong"/>
          <w:sz w:val="24"/>
          <w:szCs w:val="24"/>
        </w:rPr>
      </w:pPr>
      <w:bookmarkStart w:name="bookmark57" w:id="81"/>
      <w:bookmarkEnd w:id="81"/>
      <w:bookmarkStart w:name="bookmark56" w:id="82"/>
      <w:bookmarkEnd w:id="82"/>
      <w:r>
        <w:rPr>
          <w:rFonts w:ascii="Times New Roman" w:hAnsi="Times New Roman" w:eastAsia="Times New Roman" w:cs="Times New Roman"/>
          <w:sz w:val="24"/>
          <w:szCs w:val="24"/>
          <w:b/>
          <w:bCs/>
          <w:spacing w:val="-2"/>
        </w:rPr>
        <w:t>2.4.2  </w:t>
      </w:r>
      <w:r>
        <w:rPr>
          <w:rFonts w:ascii="FangSong" w:hAnsi="FangSong" w:eastAsia="FangSong" w:cs="FangSong"/>
          <w:sz w:val="24"/>
          <w:szCs w:val="24"/>
          <w:b/>
          <w:bCs/>
          <w:spacing w:val="-2"/>
        </w:rPr>
        <w:t>声环境功能区划</w:t>
      </w:r>
    </w:p>
    <w:p>
      <w:pPr>
        <w:ind w:left="129" w:right="32" w:firstLine="476"/>
        <w:spacing w:before="176" w:line="360" w:lineRule="auto"/>
        <w:rPr>
          <w:rFonts w:ascii="FangSong" w:hAnsi="FangSong" w:eastAsia="FangSong" w:cs="FangSong"/>
          <w:sz w:val="24"/>
          <w:szCs w:val="24"/>
        </w:rPr>
      </w:pPr>
      <w:r>
        <w:rPr>
          <w:rFonts w:ascii="FangSong" w:hAnsi="FangSong" w:eastAsia="FangSong" w:cs="FangSong"/>
          <w:sz w:val="24"/>
          <w:szCs w:val="24"/>
          <w:spacing w:val="-2"/>
        </w:rPr>
        <w:t>本项目位于位于苏尼特右旗旗政府所在地赛</w:t>
      </w:r>
      <w:r>
        <w:rPr>
          <w:rFonts w:ascii="FangSong" w:hAnsi="FangSong" w:eastAsia="FangSong" w:cs="FangSong"/>
          <w:sz w:val="24"/>
          <w:szCs w:val="24"/>
          <w:spacing w:val="-3"/>
        </w:rPr>
        <w:t>汉塔拉镇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25°</w:t>
      </w:r>
      <w:r>
        <w:rPr>
          <w:rFonts w:ascii="FangSong" w:hAnsi="FangSong" w:eastAsia="FangSong" w:cs="FangSong"/>
          <w:sz w:val="24"/>
          <w:szCs w:val="24"/>
          <w:spacing w:val="-3"/>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40km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处，周</w:t>
      </w:r>
      <w:r>
        <w:rPr>
          <w:rFonts w:ascii="FangSong" w:hAnsi="FangSong" w:eastAsia="FangSong" w:cs="FangSong"/>
          <w:sz w:val="24"/>
          <w:szCs w:val="24"/>
          <w:spacing w:val="-5"/>
        </w:rPr>
        <w:t>边无人口密集的村屯，仅在工业广场的西南侧</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5"/>
        </w:rPr>
        <w:t>1.6km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5"/>
        </w:rPr>
        <w:t>分布有几户牧民，独立于村庄、</w:t>
      </w:r>
    </w:p>
    <w:p>
      <w:pPr>
        <w:spacing w:line="360" w:lineRule="auto"/>
        <w:sectPr>
          <w:footerReference w:type="default" r:id="rId60"/>
          <w:pgSz w:w="11911" w:h="16839"/>
          <w:pgMar w:top="400" w:right="1309" w:bottom="1146" w:left="1689" w:header="0" w:footer="984" w:gutter="0"/>
        </w:sectPr>
        <w:rPr>
          <w:rFonts w:ascii="FangSong" w:hAnsi="FangSong" w:eastAsia="FangSong" w:cs="FangSong"/>
          <w:sz w:val="24"/>
          <w:szCs w:val="24"/>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23" w:right="3" w:firstLine="2"/>
        <w:spacing w:before="78" w:line="359" w:lineRule="auto"/>
        <w:jc w:val="both"/>
        <w:rPr>
          <w:rFonts w:ascii="FangSong" w:hAnsi="FangSong" w:eastAsia="FangSong" w:cs="FangSong"/>
          <w:sz w:val="24"/>
          <w:szCs w:val="24"/>
        </w:rPr>
      </w:pPr>
      <w:r>
        <w:rPr>
          <w:rFonts w:ascii="FangSong" w:hAnsi="FangSong" w:eastAsia="FangSong" w:cs="FangSong"/>
          <w:sz w:val="24"/>
          <w:szCs w:val="24"/>
          <w:spacing w:val="-3"/>
        </w:rPr>
        <w:t>集镇之外，需要防止工业噪声对周围环境产生严重影响。故依据《声环境质量标准》</w:t>
      </w:r>
      <w:r>
        <w:rPr>
          <w:rFonts w:ascii="FangSong" w:hAnsi="FangSong" w:eastAsia="FangSong" w:cs="FangSong"/>
          <w:sz w:val="24"/>
          <w:szCs w:val="24"/>
          <w:spacing w:val="1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GB3096-2008</w:t>
      </w:r>
      <w:r>
        <w:rPr>
          <w:rFonts w:ascii="FangSong" w:hAnsi="FangSong" w:eastAsia="FangSong" w:cs="FangSong"/>
          <w:sz w:val="24"/>
          <w:szCs w:val="24"/>
          <w:spacing w:val="-2"/>
        </w:rPr>
        <w:t>）中</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7.2</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和《声环境功能</w:t>
      </w:r>
      <w:r>
        <w:rPr>
          <w:rFonts w:ascii="FangSong" w:hAnsi="FangSong" w:eastAsia="FangSong" w:cs="FangSong"/>
          <w:sz w:val="24"/>
          <w:szCs w:val="24"/>
          <w:spacing w:val="-3"/>
        </w:rPr>
        <w:t>区划分技术规范》（</w:t>
      </w:r>
      <w:r>
        <w:rPr>
          <w:rFonts w:ascii="Times New Roman" w:hAnsi="Times New Roman" w:eastAsia="Times New Roman" w:cs="Times New Roman"/>
          <w:sz w:val="24"/>
          <w:szCs w:val="24"/>
          <w:spacing w:val="-3"/>
        </w:rPr>
        <w:t>GB/T15190-2014</w:t>
      </w:r>
      <w:r>
        <w:rPr>
          <w:rFonts w:ascii="FangSong" w:hAnsi="FangSong" w:eastAsia="FangSong" w:cs="FangSong"/>
          <w:sz w:val="24"/>
          <w:szCs w:val="24"/>
          <w:spacing w:val="-3"/>
        </w:rPr>
        <w:t>）中第</w:t>
      </w:r>
      <w:r>
        <w:rPr>
          <w:rFonts w:ascii="Times New Roman" w:hAnsi="Times New Roman" w:eastAsia="Times New Roman" w:cs="Times New Roman"/>
          <w:sz w:val="24"/>
          <w:szCs w:val="24"/>
          <w:spacing w:val="-3"/>
        </w:rPr>
        <w:t>8.4</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3"/>
        </w:rPr>
        <w:t>条所述内容确定项目区为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3"/>
        </w:rPr>
        <w:t>类声环境质量功能区。</w:t>
      </w:r>
    </w:p>
    <w:p>
      <w:pPr>
        <w:ind w:left="114"/>
        <w:spacing w:line="221" w:lineRule="auto"/>
        <w:outlineLvl w:val="2"/>
        <w:rPr>
          <w:rFonts w:ascii="FangSong" w:hAnsi="FangSong" w:eastAsia="FangSong" w:cs="FangSong"/>
          <w:sz w:val="24"/>
          <w:szCs w:val="24"/>
        </w:rPr>
      </w:pPr>
      <w:bookmarkStart w:name="bookmark59" w:id="83"/>
      <w:bookmarkEnd w:id="83"/>
      <w:bookmarkStart w:name="bookmark58" w:id="84"/>
      <w:bookmarkEnd w:id="84"/>
      <w:r>
        <w:rPr>
          <w:rFonts w:ascii="Times New Roman" w:hAnsi="Times New Roman" w:eastAsia="Times New Roman" w:cs="Times New Roman"/>
          <w:sz w:val="24"/>
          <w:szCs w:val="24"/>
          <w:b/>
          <w:bCs/>
          <w:spacing w:val="-2"/>
        </w:rPr>
        <w:t>2.4.3  </w:t>
      </w:r>
      <w:r>
        <w:rPr>
          <w:rFonts w:ascii="FangSong" w:hAnsi="FangSong" w:eastAsia="FangSong" w:cs="FangSong"/>
          <w:sz w:val="24"/>
          <w:szCs w:val="24"/>
          <w:b/>
          <w:bCs/>
          <w:spacing w:val="-2"/>
        </w:rPr>
        <w:t>地下水环境功能区划</w:t>
      </w:r>
    </w:p>
    <w:p>
      <w:pPr>
        <w:ind w:left="126" w:right="107" w:firstLine="479"/>
        <w:spacing w:before="179" w:line="359" w:lineRule="auto"/>
        <w:jc w:val="both"/>
        <w:rPr>
          <w:rFonts w:ascii="FangSong" w:hAnsi="FangSong" w:eastAsia="FangSong" w:cs="FangSong"/>
          <w:sz w:val="24"/>
          <w:szCs w:val="24"/>
        </w:rPr>
      </w:pPr>
      <w:r>
        <w:rPr>
          <w:rFonts w:ascii="FangSong" w:hAnsi="FangSong" w:eastAsia="FangSong" w:cs="FangSong"/>
          <w:sz w:val="24"/>
          <w:szCs w:val="24"/>
          <w:spacing w:val="1"/>
        </w:rPr>
        <w:t>根据地下水质量分类，以人体健康基准值为依据，本区域内地下水主要适用于</w:t>
      </w:r>
      <w:r>
        <w:rPr>
          <w:rFonts w:ascii="FangSong" w:hAnsi="FangSong" w:eastAsia="FangSong" w:cs="FangSong"/>
          <w:sz w:val="24"/>
          <w:szCs w:val="24"/>
          <w:spacing w:val="19"/>
        </w:rPr>
        <w:t>周边工业用水及牧民用水</w:t>
      </w:r>
      <w:r>
        <w:rPr>
          <w:rFonts w:ascii="FangSong" w:hAnsi="FangSong" w:eastAsia="FangSong" w:cs="FangSong"/>
          <w:sz w:val="24"/>
          <w:szCs w:val="24"/>
          <w:spacing w:val="-62"/>
        </w:rPr>
        <w:t xml:space="preserve"> </w:t>
      </w:r>
      <w:r>
        <w:rPr>
          <w:rFonts w:ascii="FangSong" w:hAnsi="FangSong" w:eastAsia="FangSong" w:cs="FangSong"/>
          <w:sz w:val="24"/>
          <w:szCs w:val="24"/>
          <w:spacing w:val="19"/>
        </w:rPr>
        <w:t>，</w:t>
      </w:r>
      <w:r>
        <w:rPr>
          <w:rFonts w:ascii="FangSong" w:hAnsi="FangSong" w:eastAsia="FangSong" w:cs="FangSong"/>
          <w:sz w:val="24"/>
          <w:szCs w:val="24"/>
          <w:spacing w:val="-56"/>
        </w:rPr>
        <w:t xml:space="preserve"> </w:t>
      </w:r>
      <w:r>
        <w:rPr>
          <w:rFonts w:ascii="FangSong" w:hAnsi="FangSong" w:eastAsia="FangSong" w:cs="FangSong"/>
          <w:sz w:val="24"/>
          <w:szCs w:val="24"/>
          <w:spacing w:val="19"/>
        </w:rPr>
        <w:t>因此确定地下水环境功能为《地下水质量标准》</w:t>
      </w:r>
      <w:r>
        <w:rPr>
          <w:rFonts w:ascii="FangSong" w:hAnsi="FangSong" w:eastAsia="FangSong" w:cs="FangSong"/>
          <w:sz w:val="24"/>
          <w:szCs w:val="2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GB/T14848-2017</w:t>
      </w:r>
      <w:r>
        <w:rPr>
          <w:rFonts w:ascii="FangSong" w:hAnsi="FangSong" w:eastAsia="FangSong" w:cs="FangSong"/>
          <w:sz w:val="24"/>
          <w:szCs w:val="24"/>
          <w:spacing w:val="-4"/>
        </w:rPr>
        <w:t>）</w:t>
      </w:r>
      <w:r>
        <w:rPr>
          <w:rFonts w:ascii="FangSong" w:hAnsi="FangSong" w:eastAsia="FangSong" w:cs="FangSong"/>
          <w:sz w:val="24"/>
          <w:szCs w:val="24"/>
          <w:spacing w:val="-56"/>
        </w:rPr>
        <w:t xml:space="preserve"> </w:t>
      </w:r>
      <w:r>
        <w:rPr>
          <w:rFonts w:ascii="FangSong" w:hAnsi="FangSong" w:eastAsia="FangSong" w:cs="FangSong"/>
          <w:sz w:val="24"/>
          <w:szCs w:val="24"/>
          <w:spacing w:val="-4"/>
        </w:rPr>
        <w:t>中规定的</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III</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类功能区。</w:t>
      </w:r>
    </w:p>
    <w:p>
      <w:pPr>
        <w:ind w:left="114"/>
        <w:spacing w:line="221" w:lineRule="auto"/>
        <w:outlineLvl w:val="2"/>
        <w:rPr>
          <w:rFonts w:ascii="FangSong" w:hAnsi="FangSong" w:eastAsia="FangSong" w:cs="FangSong"/>
          <w:sz w:val="24"/>
          <w:szCs w:val="24"/>
        </w:rPr>
      </w:pPr>
      <w:bookmarkStart w:name="bookmark61" w:id="85"/>
      <w:bookmarkEnd w:id="85"/>
      <w:bookmarkStart w:name="bookmark60" w:id="86"/>
      <w:bookmarkEnd w:id="86"/>
      <w:r>
        <w:rPr>
          <w:rFonts w:ascii="Times New Roman" w:hAnsi="Times New Roman" w:eastAsia="Times New Roman" w:cs="Times New Roman"/>
          <w:sz w:val="24"/>
          <w:szCs w:val="24"/>
          <w:b/>
          <w:bCs/>
          <w:spacing w:val="-4"/>
        </w:rPr>
        <w:t>2.4.4</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生态环境功能区划</w:t>
      </w:r>
    </w:p>
    <w:p>
      <w:pPr>
        <w:ind w:left="129" w:right="109" w:firstLine="476"/>
        <w:spacing w:before="178" w:line="359" w:lineRule="auto"/>
        <w:jc w:val="both"/>
        <w:rPr>
          <w:rFonts w:ascii="FangSong" w:hAnsi="FangSong" w:eastAsia="FangSong" w:cs="FangSong"/>
          <w:sz w:val="24"/>
          <w:szCs w:val="24"/>
        </w:rPr>
      </w:pPr>
      <w:r>
        <w:rPr>
          <w:rFonts w:ascii="FangSong" w:hAnsi="FangSong" w:eastAsia="FangSong" w:cs="FangSong"/>
          <w:sz w:val="24"/>
          <w:szCs w:val="24"/>
          <w:spacing w:val="-6"/>
        </w:rPr>
        <w:t>本项目位于苏尼特右旗旗政府所在地赛汉塔拉镇</w:t>
      </w:r>
      <w:r>
        <w:rPr>
          <w:rFonts w:ascii="FangSong" w:hAnsi="FangSong" w:eastAsia="FangSong" w:cs="FangSong"/>
          <w:sz w:val="24"/>
          <w:szCs w:val="24"/>
          <w:spacing w:val="-67"/>
        </w:rPr>
        <w:t xml:space="preserve"> </w:t>
      </w:r>
      <w:r>
        <w:rPr>
          <w:rFonts w:ascii="Times New Roman" w:hAnsi="Times New Roman" w:eastAsia="Times New Roman" w:cs="Times New Roman"/>
          <w:sz w:val="24"/>
          <w:szCs w:val="24"/>
          <w:spacing w:val="-6"/>
        </w:rPr>
        <w:t>25°</w:t>
      </w:r>
      <w:r>
        <w:rPr>
          <w:rFonts w:ascii="FangSong" w:hAnsi="FangSong" w:eastAsia="FangSong" w:cs="FangSong"/>
          <w:sz w:val="24"/>
          <w:szCs w:val="24"/>
          <w:spacing w:val="-6"/>
        </w:rPr>
        <w:t>方位直距</w:t>
      </w:r>
      <w:r>
        <w:rPr>
          <w:rFonts w:ascii="FangSong" w:hAnsi="FangSong" w:eastAsia="FangSong" w:cs="FangSong"/>
          <w:sz w:val="24"/>
          <w:szCs w:val="24"/>
          <w:spacing w:val="-71"/>
        </w:rPr>
        <w:t xml:space="preserve"> </w:t>
      </w:r>
      <w:r>
        <w:rPr>
          <w:rFonts w:ascii="Times New Roman" w:hAnsi="Times New Roman" w:eastAsia="Times New Roman" w:cs="Times New Roman"/>
          <w:sz w:val="24"/>
          <w:szCs w:val="24"/>
          <w:spacing w:val="-6"/>
        </w:rPr>
        <w:t>40km</w:t>
      </w:r>
      <w:r>
        <w:rPr>
          <w:rFonts w:ascii="FangSong" w:hAnsi="FangSong" w:eastAsia="FangSong" w:cs="FangSong"/>
          <w:sz w:val="24"/>
          <w:szCs w:val="24"/>
          <w:spacing w:val="-6"/>
        </w:rPr>
        <w:t>处，根据《内</w:t>
      </w:r>
      <w:r>
        <w:rPr>
          <w:rFonts w:ascii="FangSong" w:hAnsi="FangSong" w:eastAsia="FangSong" w:cs="FangSong"/>
          <w:sz w:val="24"/>
          <w:szCs w:val="24"/>
          <w:spacing w:val="-1"/>
        </w:rPr>
        <w:t>蒙古自治区生态功能区划》，项目属于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IV-1-2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苏尼特、二连</w:t>
      </w:r>
      <w:r>
        <w:rPr>
          <w:rFonts w:ascii="FangSong" w:hAnsi="FangSong" w:eastAsia="FangSong" w:cs="FangSong"/>
          <w:sz w:val="24"/>
          <w:szCs w:val="24"/>
          <w:spacing w:val="-2"/>
        </w:rPr>
        <w:t>荒漠草原防风固沙生态</w:t>
      </w:r>
      <w:r>
        <w:rPr>
          <w:rFonts w:ascii="FangSong" w:hAnsi="FangSong" w:eastAsia="FangSong" w:cs="FangSong"/>
          <w:sz w:val="24"/>
          <w:szCs w:val="24"/>
          <w:spacing w:val="-3"/>
        </w:rPr>
        <w:t>功能区。具体见附图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2-1</w:t>
      </w:r>
      <w:r>
        <w:rPr>
          <w:rFonts w:ascii="FangSong" w:hAnsi="FangSong" w:eastAsia="FangSong" w:cs="FangSong"/>
          <w:sz w:val="24"/>
          <w:szCs w:val="24"/>
          <w:spacing w:val="-3"/>
        </w:rPr>
        <w:t>。</w:t>
      </w:r>
    </w:p>
    <w:p>
      <w:pPr>
        <w:ind w:left="114"/>
        <w:spacing w:line="222" w:lineRule="auto"/>
        <w:outlineLvl w:val="2"/>
        <w:rPr>
          <w:rFonts w:ascii="FangSong" w:hAnsi="FangSong" w:eastAsia="FangSong" w:cs="FangSong"/>
          <w:sz w:val="24"/>
          <w:szCs w:val="24"/>
        </w:rPr>
      </w:pPr>
      <w:bookmarkStart w:name="bookmark63" w:id="87"/>
      <w:bookmarkEnd w:id="87"/>
      <w:bookmarkStart w:name="bookmark62" w:id="88"/>
      <w:bookmarkEnd w:id="88"/>
      <w:r>
        <w:rPr>
          <w:rFonts w:ascii="Times New Roman" w:hAnsi="Times New Roman" w:eastAsia="Times New Roman" w:cs="Times New Roman"/>
          <w:sz w:val="24"/>
          <w:szCs w:val="24"/>
          <w:b/>
          <w:bCs/>
          <w:spacing w:val="-2"/>
        </w:rPr>
        <w:t>2.4.5  </w:t>
      </w:r>
      <w:r>
        <w:rPr>
          <w:rFonts w:ascii="FangSong" w:hAnsi="FangSong" w:eastAsia="FangSong" w:cs="FangSong"/>
          <w:sz w:val="24"/>
          <w:szCs w:val="24"/>
          <w:b/>
          <w:bCs/>
          <w:spacing w:val="-2"/>
        </w:rPr>
        <w:t>土壤环境功能区划</w:t>
      </w:r>
    </w:p>
    <w:p>
      <w:pPr>
        <w:ind w:left="124" w:right="86" w:firstLine="480"/>
        <w:spacing w:before="177" w:line="359" w:lineRule="auto"/>
        <w:jc w:val="both"/>
        <w:rPr>
          <w:rFonts w:ascii="FangSong" w:hAnsi="FangSong" w:eastAsia="FangSong" w:cs="FangSong"/>
          <w:sz w:val="24"/>
          <w:szCs w:val="24"/>
        </w:rPr>
      </w:pPr>
      <w:r>
        <w:rPr>
          <w:rFonts w:ascii="FangSong" w:hAnsi="FangSong" w:eastAsia="FangSong" w:cs="FangSong"/>
          <w:sz w:val="24"/>
          <w:szCs w:val="24"/>
          <w:spacing w:val="1"/>
        </w:rPr>
        <w:t>根据《关于苏尼特右旗富邦矿业有限公司苏尼特右旗桑宝力嘎额尔登塔拉萤石</w:t>
      </w:r>
      <w:r>
        <w:rPr>
          <w:rFonts w:ascii="FangSong" w:hAnsi="FangSong" w:eastAsia="FangSong" w:cs="FangSong"/>
          <w:sz w:val="24"/>
          <w:szCs w:val="24"/>
          <w:spacing w:val="-1"/>
        </w:rPr>
        <w:t>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
        </w:rPr>
        <w:t>采选项目用地预审与选址意见书的批复</w:t>
      </w:r>
      <w:r>
        <w:rPr>
          <w:rFonts w:ascii="FangSong" w:hAnsi="FangSong" w:eastAsia="FangSong" w:cs="FangSong"/>
          <w:sz w:val="24"/>
          <w:szCs w:val="24"/>
          <w:spacing w:val="-2"/>
        </w:rPr>
        <w:t>》（苏右自然资发</w:t>
      </w:r>
      <w:r>
        <w:rPr>
          <w:rFonts w:ascii="Times New Roman" w:hAnsi="Times New Roman" w:eastAsia="Times New Roman" w:cs="Times New Roman"/>
          <w:sz w:val="24"/>
          <w:szCs w:val="24"/>
          <w:spacing w:val="-2"/>
        </w:rPr>
        <w:t>[2025]248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号）</w:t>
      </w:r>
      <w:r>
        <w:rPr>
          <w:rFonts w:ascii="FangSong" w:hAnsi="FangSong" w:eastAsia="FangSong" w:cs="FangSong"/>
          <w:sz w:val="24"/>
          <w:szCs w:val="24"/>
          <w:spacing w:val="1"/>
        </w:rPr>
        <w:t>本项目办公生活区、道路及工业广场等永久占地占地范围内为天然牧草地为主，周</w:t>
      </w:r>
      <w:r>
        <w:rPr>
          <w:rFonts w:ascii="FangSong" w:hAnsi="FangSong" w:eastAsia="FangSong" w:cs="FangSong"/>
          <w:sz w:val="24"/>
          <w:szCs w:val="24"/>
          <w:spacing w:val="-2"/>
        </w:rPr>
        <w:t>围均为天然牧草地，属于农用地，故土壤环境功能为《土壤环境质</w:t>
      </w:r>
      <w:r>
        <w:rPr>
          <w:rFonts w:ascii="FangSong" w:hAnsi="FangSong" w:eastAsia="FangSong" w:cs="FangSong"/>
          <w:sz w:val="24"/>
          <w:szCs w:val="24"/>
          <w:spacing w:val="-3"/>
        </w:rPr>
        <w:t>量</w:t>
      </w:r>
      <w:r>
        <w:rPr>
          <w:rFonts w:ascii="FangSong" w:hAnsi="FangSong" w:eastAsia="FangSong" w:cs="FangSong"/>
          <w:sz w:val="24"/>
          <w:szCs w:val="24"/>
          <w:spacing w:val="-3"/>
        </w:rPr>
        <w:t xml:space="preserve"> </w:t>
      </w:r>
      <w:r>
        <w:rPr>
          <w:rFonts w:ascii="FangSong" w:hAnsi="FangSong" w:eastAsia="FangSong" w:cs="FangSong"/>
          <w:sz w:val="24"/>
          <w:szCs w:val="24"/>
          <w:spacing w:val="-3"/>
        </w:rPr>
        <w:t>农用地土壤污</w:t>
      </w:r>
      <w:r>
        <w:rPr>
          <w:rFonts w:ascii="FangSong" w:hAnsi="FangSong" w:eastAsia="FangSong" w:cs="FangSong"/>
          <w:sz w:val="24"/>
          <w:szCs w:val="24"/>
          <w:spacing w:val="-2"/>
        </w:rPr>
        <w:t>染风险管控标准（试行）》（</w:t>
      </w:r>
      <w:r>
        <w:rPr>
          <w:rFonts w:ascii="Times New Roman" w:hAnsi="Times New Roman" w:eastAsia="Times New Roman" w:cs="Times New Roman"/>
          <w:sz w:val="24"/>
          <w:szCs w:val="24"/>
          <w:spacing w:val="-2"/>
        </w:rPr>
        <w:t>GB15618-2018</w:t>
      </w:r>
      <w:r>
        <w:rPr>
          <w:rFonts w:ascii="FangSong" w:hAnsi="FangSong" w:eastAsia="FangSong" w:cs="FangSong"/>
          <w:sz w:val="24"/>
          <w:szCs w:val="24"/>
          <w:spacing w:val="-2"/>
        </w:rPr>
        <w:t>）</w:t>
      </w:r>
      <w:r>
        <w:rPr>
          <w:rFonts w:ascii="FangSong" w:hAnsi="FangSong" w:eastAsia="FangSong" w:cs="FangSong"/>
          <w:sz w:val="24"/>
          <w:szCs w:val="24"/>
          <w:spacing w:val="-71"/>
        </w:rPr>
        <w:t xml:space="preserve"> </w:t>
      </w:r>
      <w:r>
        <w:rPr>
          <w:rFonts w:ascii="FangSong" w:hAnsi="FangSong" w:eastAsia="FangSong" w:cs="FangSong"/>
          <w:sz w:val="24"/>
          <w:szCs w:val="24"/>
          <w:spacing w:val="-2"/>
        </w:rPr>
        <w:t>中其它</w:t>
      </w:r>
      <w:r>
        <w:rPr>
          <w:rFonts w:ascii="FangSong" w:hAnsi="FangSong" w:eastAsia="FangSong" w:cs="FangSong"/>
          <w:sz w:val="24"/>
          <w:szCs w:val="24"/>
          <w:spacing w:val="-3"/>
        </w:rPr>
        <w:t>用地。</w:t>
      </w:r>
    </w:p>
    <w:p>
      <w:pPr>
        <w:ind w:left="115"/>
        <w:spacing w:before="7" w:line="221" w:lineRule="auto"/>
        <w:outlineLvl w:val="1"/>
        <w:rPr>
          <w:rFonts w:ascii="FangSong" w:hAnsi="FangSong" w:eastAsia="FangSong" w:cs="FangSong"/>
          <w:sz w:val="28"/>
          <w:szCs w:val="28"/>
        </w:rPr>
      </w:pPr>
      <w:bookmarkStart w:name="bookmark65" w:id="89"/>
      <w:bookmarkEnd w:id="89"/>
      <w:bookmarkStart w:name="bookmark67" w:id="90"/>
      <w:bookmarkEnd w:id="90"/>
      <w:bookmarkStart w:name="bookmark64" w:id="91"/>
      <w:bookmarkEnd w:id="91"/>
      <w:bookmarkStart w:name="bookmark66" w:id="92"/>
      <w:bookmarkEnd w:id="92"/>
      <w:r>
        <w:rPr>
          <w:rFonts w:ascii="Times New Roman" w:hAnsi="Times New Roman" w:eastAsia="Times New Roman" w:cs="Times New Roman"/>
          <w:sz w:val="28"/>
          <w:szCs w:val="28"/>
          <w:b/>
          <w:bCs/>
          <w:spacing w:val="-2"/>
        </w:rPr>
        <w:t>2.5  </w:t>
      </w:r>
      <w:r>
        <w:rPr>
          <w:rFonts w:ascii="FangSong" w:hAnsi="FangSong" w:eastAsia="FangSong" w:cs="FangSong"/>
          <w:sz w:val="28"/>
          <w:szCs w:val="28"/>
          <w:b/>
          <w:bCs/>
          <w:spacing w:val="-2"/>
        </w:rPr>
        <w:t>评价工作等级及范围</w:t>
      </w:r>
    </w:p>
    <w:p>
      <w:pPr>
        <w:ind w:left="114"/>
        <w:spacing w:before="205" w:line="222" w:lineRule="auto"/>
        <w:outlineLvl w:val="2"/>
        <w:rPr>
          <w:rFonts w:ascii="FangSong" w:hAnsi="FangSong" w:eastAsia="FangSong" w:cs="FangSong"/>
          <w:sz w:val="24"/>
          <w:szCs w:val="24"/>
        </w:rPr>
      </w:pPr>
      <w:bookmarkStart w:name="bookmark515" w:id="93"/>
      <w:bookmarkEnd w:id="93"/>
      <w:r>
        <w:rPr>
          <w:rFonts w:ascii="Times New Roman" w:hAnsi="Times New Roman" w:eastAsia="Times New Roman" w:cs="Times New Roman"/>
          <w:sz w:val="24"/>
          <w:szCs w:val="24"/>
          <w:b/>
          <w:bCs/>
          <w:spacing w:val="-4"/>
        </w:rPr>
        <w:t>2.5.1</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地表水环境</w:t>
      </w:r>
    </w:p>
    <w:p>
      <w:pPr>
        <w:ind w:left="126" w:right="26" w:firstLine="479"/>
        <w:spacing w:before="179" w:line="358" w:lineRule="auto"/>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地表水环境》（</w:t>
      </w:r>
      <w:r>
        <w:rPr>
          <w:rFonts w:ascii="Times New Roman" w:hAnsi="Times New Roman" w:eastAsia="Times New Roman" w:cs="Times New Roman"/>
          <w:sz w:val="24"/>
          <w:szCs w:val="24"/>
          <w:spacing w:val="-2"/>
        </w:rPr>
        <w:t>HJ2.3-2</w:t>
      </w:r>
      <w:r>
        <w:rPr>
          <w:rFonts w:ascii="Times New Roman" w:hAnsi="Times New Roman" w:eastAsia="Times New Roman" w:cs="Times New Roman"/>
          <w:sz w:val="24"/>
          <w:szCs w:val="24"/>
          <w:spacing w:val="-3"/>
        </w:rPr>
        <w:t>018</w:t>
      </w:r>
      <w:r>
        <w:rPr>
          <w:rFonts w:ascii="FangSong" w:hAnsi="FangSong" w:eastAsia="FangSong" w:cs="FangSong"/>
          <w:sz w:val="24"/>
          <w:szCs w:val="24"/>
          <w:spacing w:val="-3"/>
        </w:rPr>
        <w:t>）表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中所列出的地</w:t>
      </w:r>
      <w:r>
        <w:rPr>
          <w:rFonts w:ascii="FangSong" w:hAnsi="FangSong" w:eastAsia="FangSong" w:cs="FangSong"/>
          <w:sz w:val="24"/>
          <w:szCs w:val="24"/>
          <w:spacing w:val="-3"/>
        </w:rPr>
        <w:t>表水环境影响评价分级判据标准，地表水环</w:t>
      </w:r>
      <w:r>
        <w:rPr>
          <w:rFonts w:ascii="FangSong" w:hAnsi="FangSong" w:eastAsia="FangSong" w:cs="FangSong"/>
          <w:sz w:val="24"/>
          <w:szCs w:val="24"/>
          <w:spacing w:val="-4"/>
        </w:rPr>
        <w:t>境影响评价工作等级确定因素见表</w:t>
      </w:r>
      <w:r>
        <w:rPr>
          <w:rFonts w:ascii="Times New Roman" w:hAnsi="Times New Roman" w:eastAsia="Times New Roman" w:cs="Times New Roman"/>
          <w:sz w:val="24"/>
          <w:szCs w:val="24"/>
          <w:spacing w:val="-4"/>
        </w:rPr>
        <w:t>2.5-1</w:t>
      </w:r>
      <w:r>
        <w:rPr>
          <w:rFonts w:ascii="FangSong" w:hAnsi="FangSong" w:eastAsia="FangSong" w:cs="FangSong"/>
          <w:sz w:val="24"/>
          <w:szCs w:val="24"/>
          <w:spacing w:val="-4"/>
        </w:rPr>
        <w:t>。</w:t>
      </w:r>
    </w:p>
    <w:p>
      <w:pPr>
        <w:ind w:left="2207"/>
        <w:spacing w:before="3"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2.5-1  </w:t>
      </w:r>
      <w:r>
        <w:rPr>
          <w:rFonts w:ascii="FangSong" w:hAnsi="FangSong" w:eastAsia="FangSong" w:cs="FangSong"/>
          <w:sz w:val="24"/>
          <w:szCs w:val="24"/>
          <w:b/>
          <w:bCs/>
          <w:spacing w:val="-3"/>
        </w:rPr>
        <w:t>建设项目地表水评价等级判定依据</w:t>
      </w:r>
    </w:p>
    <w:p>
      <w:pPr>
        <w:spacing w:line="142"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633"/>
        <w:gridCol w:w="5892"/>
      </w:tblGrid>
      <w:tr>
        <w:trPr>
          <w:trHeight w:val="281" w:hRule="atLeast"/>
        </w:trPr>
        <w:tc>
          <w:tcPr>
            <w:tcW w:w="1387" w:type="dxa"/>
            <w:vAlign w:val="top"/>
            <w:vMerge w:val="restart"/>
            <w:tcBorders>
              <w:left w:val="nil"/>
              <w:top w:val="single" w:color="000000" w:sz="10" w:space="0"/>
              <w:bottom w:val="nil"/>
            </w:tcBorders>
          </w:tcPr>
          <w:p>
            <w:pPr>
              <w:pStyle w:val="TableText"/>
              <w:ind w:left="286"/>
              <w:spacing w:before="175" w:line="231" w:lineRule="auto"/>
              <w:rPr/>
            </w:pPr>
            <w:r>
              <w:rPr>
                <w:spacing w:val="5"/>
              </w:rPr>
              <w:t>评价等级</w:t>
            </w:r>
          </w:p>
        </w:tc>
        <w:tc>
          <w:tcPr>
            <w:tcW w:w="7525" w:type="dxa"/>
            <w:vAlign w:val="top"/>
            <w:gridSpan w:val="2"/>
            <w:tcBorders>
              <w:right w:val="nil"/>
              <w:top w:val="single" w:color="000000" w:sz="10" w:space="0"/>
            </w:tcBorders>
          </w:tcPr>
          <w:p>
            <w:pPr>
              <w:pStyle w:val="TableText"/>
              <w:ind w:left="3358"/>
              <w:spacing w:before="35" w:line="217" w:lineRule="auto"/>
              <w:rPr/>
            </w:pPr>
            <w:r>
              <w:rPr>
                <w:spacing w:val="5"/>
              </w:rPr>
              <w:t>判定依据</w:t>
            </w:r>
          </w:p>
        </w:tc>
      </w:tr>
      <w:tr>
        <w:trPr>
          <w:trHeight w:val="277" w:hRule="atLeast"/>
        </w:trPr>
        <w:tc>
          <w:tcPr>
            <w:tcW w:w="1387" w:type="dxa"/>
            <w:vAlign w:val="top"/>
            <w:vMerge w:val="continue"/>
            <w:tcBorders>
              <w:left w:val="nil"/>
              <w:top w:val="nil"/>
            </w:tcBorders>
          </w:tcPr>
          <w:p>
            <w:pPr>
              <w:rPr>
                <w:rFonts w:ascii="Arial"/>
                <w:sz w:val="21"/>
              </w:rPr>
            </w:pPr>
            <w:r/>
          </w:p>
        </w:tc>
        <w:tc>
          <w:tcPr>
            <w:tcW w:w="1633" w:type="dxa"/>
            <w:vAlign w:val="top"/>
          </w:tcPr>
          <w:p>
            <w:pPr>
              <w:pStyle w:val="TableText"/>
              <w:ind w:left="405"/>
              <w:spacing w:before="33" w:line="216" w:lineRule="auto"/>
              <w:rPr/>
            </w:pPr>
            <w:r>
              <w:rPr>
                <w:spacing w:val="6"/>
              </w:rPr>
              <w:t>排放方式</w:t>
            </w:r>
          </w:p>
        </w:tc>
        <w:tc>
          <w:tcPr>
            <w:tcW w:w="5892" w:type="dxa"/>
            <w:vAlign w:val="top"/>
            <w:tcBorders>
              <w:right w:val="nil"/>
            </w:tcBorders>
          </w:tcPr>
          <w:p>
            <w:pPr>
              <w:pStyle w:val="TableText"/>
              <w:ind w:left="404"/>
              <w:spacing w:before="33" w:line="216" w:lineRule="auto"/>
              <w:rPr/>
            </w:pPr>
            <w:r>
              <w:rPr>
                <w:spacing w:val="6"/>
              </w:rPr>
              <w:t>废水排放量</w:t>
            </w:r>
            <w:r>
              <w:rPr>
                <w:spacing w:val="-38"/>
              </w:rPr>
              <w:t xml:space="preserve"> </w:t>
            </w:r>
            <w:r>
              <w:rPr>
                <w:rFonts w:ascii="Times New Roman" w:hAnsi="Times New Roman" w:eastAsia="Times New Roman" w:cs="Times New Roman"/>
                <w:spacing w:val="6"/>
              </w:rPr>
              <w:t>Q</w:t>
            </w:r>
            <w:r>
              <w:rPr>
                <w:spacing w:val="6"/>
              </w:rPr>
              <w:t>（</w:t>
            </w:r>
            <w:r>
              <w:rPr>
                <w:rFonts w:ascii="Times New Roman" w:hAnsi="Times New Roman" w:eastAsia="Times New Roman" w:cs="Times New Roman"/>
                <w:spacing w:val="6"/>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pacing w:val="6"/>
              </w:rPr>
              <w:t>/d</w:t>
            </w:r>
            <w:r>
              <w:rPr>
                <w:spacing w:val="23"/>
              </w:rPr>
              <w:t>），</w:t>
            </w:r>
            <w:r>
              <w:rPr>
                <w:spacing w:val="6"/>
              </w:rPr>
              <w:t>水污染物当量数</w:t>
            </w:r>
            <w:r>
              <w:rPr>
                <w:spacing w:val="-45"/>
              </w:rPr>
              <w:t xml:space="preserve"> </w:t>
            </w:r>
            <w:r>
              <w:rPr>
                <w:rFonts w:ascii="Times New Roman" w:hAnsi="Times New Roman" w:eastAsia="Times New Roman" w:cs="Times New Roman"/>
                <w:spacing w:val="6"/>
              </w:rPr>
              <w:t>W/</w:t>
            </w:r>
            <w:r>
              <w:rPr>
                <w:spacing w:val="6"/>
              </w:rPr>
              <w:t>（无量纲）</w:t>
            </w:r>
          </w:p>
        </w:tc>
      </w:tr>
      <w:tr>
        <w:trPr>
          <w:trHeight w:val="276" w:hRule="atLeast"/>
        </w:trPr>
        <w:tc>
          <w:tcPr>
            <w:tcW w:w="1387" w:type="dxa"/>
            <w:vAlign w:val="top"/>
            <w:tcBorders>
              <w:left w:val="nil"/>
            </w:tcBorders>
          </w:tcPr>
          <w:p>
            <w:pPr>
              <w:pStyle w:val="TableText"/>
              <w:ind w:left="500"/>
              <w:spacing w:before="32" w:line="216" w:lineRule="auto"/>
              <w:rPr/>
            </w:pPr>
            <w:r>
              <w:rPr/>
              <w:t>一级</w:t>
            </w:r>
          </w:p>
        </w:tc>
        <w:tc>
          <w:tcPr>
            <w:tcW w:w="1633" w:type="dxa"/>
            <w:vAlign w:val="top"/>
          </w:tcPr>
          <w:p>
            <w:pPr>
              <w:pStyle w:val="TableText"/>
              <w:ind w:left="408"/>
              <w:spacing w:before="32" w:line="216" w:lineRule="auto"/>
              <w:rPr/>
            </w:pPr>
            <w:r>
              <w:rPr>
                <w:spacing w:val="5"/>
              </w:rPr>
              <w:t>直接排放</w:t>
            </w:r>
          </w:p>
        </w:tc>
        <w:tc>
          <w:tcPr>
            <w:tcW w:w="5892" w:type="dxa"/>
            <w:vAlign w:val="top"/>
            <w:tcBorders>
              <w:right w:val="nil"/>
            </w:tcBorders>
          </w:tcPr>
          <w:p>
            <w:pPr>
              <w:pStyle w:val="TableText"/>
              <w:ind w:left="1830"/>
              <w:spacing w:before="32" w:line="216" w:lineRule="auto"/>
              <w:rPr>
                <w:rFonts w:ascii="Times New Roman" w:hAnsi="Times New Roman" w:eastAsia="Times New Roman" w:cs="Times New Roman"/>
              </w:rPr>
            </w:pP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20000</w:t>
            </w:r>
            <w:r>
              <w:rPr>
                <w:rFonts w:ascii="Times New Roman" w:hAnsi="Times New Roman" w:eastAsia="Times New Roman" w:cs="Times New Roman"/>
                <w:spacing w:val="27"/>
              </w:rPr>
              <w:t xml:space="preserve"> </w:t>
            </w:r>
            <w:r>
              <w:rPr>
                <w:spacing w:val="4"/>
              </w:rPr>
              <w:t>或</w:t>
            </w:r>
            <w:r>
              <w:rPr>
                <w:spacing w:val="-45"/>
              </w:rPr>
              <w:t xml:space="preserve"> </w:t>
            </w:r>
            <w:r>
              <w:rPr>
                <w:rFonts w:ascii="Times New Roman" w:hAnsi="Times New Roman" w:eastAsia="Times New Roman" w:cs="Times New Roman"/>
                <w:spacing w:val="4"/>
              </w:rPr>
              <w:t>W</w:t>
            </w:r>
            <w:r>
              <w:rPr>
                <w:spacing w:val="4"/>
              </w:rPr>
              <w:t>≥</w:t>
            </w:r>
            <w:r>
              <w:rPr>
                <w:rFonts w:ascii="Times New Roman" w:hAnsi="Times New Roman" w:eastAsia="Times New Roman" w:cs="Times New Roman"/>
                <w:spacing w:val="4"/>
              </w:rPr>
              <w:t>600000</w:t>
            </w:r>
          </w:p>
        </w:tc>
      </w:tr>
      <w:tr>
        <w:trPr>
          <w:trHeight w:val="276" w:hRule="atLeast"/>
        </w:trPr>
        <w:tc>
          <w:tcPr>
            <w:tcW w:w="1387" w:type="dxa"/>
            <w:vAlign w:val="top"/>
            <w:tcBorders>
              <w:left w:val="nil"/>
            </w:tcBorders>
          </w:tcPr>
          <w:p>
            <w:pPr>
              <w:pStyle w:val="TableText"/>
              <w:ind w:left="503"/>
              <w:spacing w:before="34" w:line="214" w:lineRule="auto"/>
              <w:rPr/>
            </w:pPr>
            <w:r>
              <w:rPr>
                <w:spacing w:val="2"/>
              </w:rPr>
              <w:t>二级</w:t>
            </w:r>
          </w:p>
        </w:tc>
        <w:tc>
          <w:tcPr>
            <w:tcW w:w="1633" w:type="dxa"/>
            <w:vAlign w:val="top"/>
          </w:tcPr>
          <w:p>
            <w:pPr>
              <w:pStyle w:val="TableText"/>
              <w:ind w:left="408"/>
              <w:spacing w:before="34" w:line="214" w:lineRule="auto"/>
              <w:rPr/>
            </w:pPr>
            <w:r>
              <w:rPr>
                <w:spacing w:val="5"/>
              </w:rPr>
              <w:t>直接排放</w:t>
            </w:r>
          </w:p>
        </w:tc>
        <w:tc>
          <w:tcPr>
            <w:tcW w:w="5892" w:type="dxa"/>
            <w:vAlign w:val="top"/>
            <w:tcBorders>
              <w:right w:val="nil"/>
            </w:tcBorders>
          </w:tcPr>
          <w:p>
            <w:pPr>
              <w:pStyle w:val="TableText"/>
              <w:ind w:left="2748"/>
              <w:spacing w:before="34" w:line="214" w:lineRule="auto"/>
              <w:rPr/>
            </w:pPr>
            <w:r>
              <w:rPr>
                <w:spacing w:val="1"/>
              </w:rPr>
              <w:t>其他</w:t>
            </w:r>
          </w:p>
        </w:tc>
      </w:tr>
      <w:tr>
        <w:trPr>
          <w:trHeight w:val="277" w:hRule="atLeast"/>
        </w:trPr>
        <w:tc>
          <w:tcPr>
            <w:tcW w:w="1387" w:type="dxa"/>
            <w:vAlign w:val="top"/>
            <w:tcBorders>
              <w:left w:val="nil"/>
            </w:tcBorders>
          </w:tcPr>
          <w:p>
            <w:pPr>
              <w:pStyle w:val="TableText"/>
              <w:ind w:left="399"/>
              <w:spacing w:before="34" w:line="215" w:lineRule="auto"/>
              <w:rPr>
                <w:rFonts w:ascii="Times New Roman" w:hAnsi="Times New Roman" w:eastAsia="Times New Roman" w:cs="Times New Roman"/>
              </w:rPr>
            </w:pPr>
            <w:r>
              <w:rPr/>
              <w:t>三级</w:t>
            </w:r>
            <w:r>
              <w:rPr>
                <w:spacing w:val="-42"/>
              </w:rPr>
              <w:t xml:space="preserve"> </w:t>
            </w:r>
            <w:r>
              <w:rPr>
                <w:rFonts w:ascii="Times New Roman" w:hAnsi="Times New Roman" w:eastAsia="Times New Roman" w:cs="Times New Roman"/>
              </w:rPr>
              <w:t>A</w:t>
            </w:r>
          </w:p>
        </w:tc>
        <w:tc>
          <w:tcPr>
            <w:tcW w:w="1633" w:type="dxa"/>
            <w:vAlign w:val="top"/>
          </w:tcPr>
          <w:p>
            <w:pPr>
              <w:pStyle w:val="TableText"/>
              <w:ind w:left="408"/>
              <w:spacing w:before="34" w:line="215" w:lineRule="auto"/>
              <w:rPr/>
            </w:pPr>
            <w:r>
              <w:rPr>
                <w:spacing w:val="5"/>
              </w:rPr>
              <w:t>直接排放</w:t>
            </w:r>
          </w:p>
        </w:tc>
        <w:tc>
          <w:tcPr>
            <w:tcW w:w="5892" w:type="dxa"/>
            <w:vAlign w:val="top"/>
            <w:tcBorders>
              <w:right w:val="nil"/>
            </w:tcBorders>
          </w:tcPr>
          <w:p>
            <w:pPr>
              <w:pStyle w:val="TableText"/>
              <w:ind w:left="2039"/>
              <w:spacing w:before="34" w:line="215" w:lineRule="auto"/>
              <w:rPr>
                <w:rFonts w:ascii="Times New Roman" w:hAnsi="Times New Roman" w:eastAsia="Times New Roman" w:cs="Times New Roman"/>
              </w:rPr>
            </w:pP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200</w:t>
            </w:r>
            <w:r>
              <w:rPr>
                <w:rFonts w:ascii="Times New Roman" w:hAnsi="Times New Roman" w:eastAsia="Times New Roman" w:cs="Times New Roman"/>
                <w:spacing w:val="25"/>
                <w:w w:val="101"/>
              </w:rPr>
              <w:t xml:space="preserve"> </w:t>
            </w:r>
            <w:r>
              <w:rPr>
                <w:spacing w:val="4"/>
              </w:rPr>
              <w:t>或</w:t>
            </w:r>
            <w:r>
              <w:rPr>
                <w:spacing w:val="-45"/>
              </w:rPr>
              <w:t xml:space="preserve"> </w:t>
            </w:r>
            <w:r>
              <w:rPr>
                <w:rFonts w:ascii="Times New Roman" w:hAnsi="Times New Roman" w:eastAsia="Times New Roman" w:cs="Times New Roman"/>
                <w:spacing w:val="4"/>
              </w:rPr>
              <w:t>W</w:t>
            </w:r>
            <w:r>
              <w:rPr>
                <w:spacing w:val="4"/>
              </w:rPr>
              <w:t>＜</w:t>
            </w:r>
            <w:r>
              <w:rPr>
                <w:rFonts w:ascii="Times New Roman" w:hAnsi="Times New Roman" w:eastAsia="Times New Roman" w:cs="Times New Roman"/>
                <w:spacing w:val="4"/>
              </w:rPr>
              <w:t>6000</w:t>
            </w:r>
          </w:p>
        </w:tc>
      </w:tr>
      <w:tr>
        <w:trPr>
          <w:trHeight w:val="281" w:hRule="atLeast"/>
        </w:trPr>
        <w:tc>
          <w:tcPr>
            <w:tcW w:w="1387" w:type="dxa"/>
            <w:vAlign w:val="top"/>
            <w:tcBorders>
              <w:left w:val="nil"/>
            </w:tcBorders>
          </w:tcPr>
          <w:p>
            <w:pPr>
              <w:pStyle w:val="TableText"/>
              <w:ind w:left="406"/>
              <w:spacing w:before="35" w:line="217" w:lineRule="auto"/>
              <w:rPr>
                <w:rFonts w:ascii="Times New Roman" w:hAnsi="Times New Roman" w:eastAsia="Times New Roman" w:cs="Times New Roman"/>
              </w:rPr>
            </w:pPr>
            <w:r>
              <w:rPr/>
              <w:t>三级</w:t>
            </w:r>
            <w:r>
              <w:rPr>
                <w:spacing w:val="-42"/>
              </w:rPr>
              <w:t xml:space="preserve"> </w:t>
            </w:r>
            <w:r>
              <w:rPr>
                <w:rFonts w:ascii="Times New Roman" w:hAnsi="Times New Roman" w:eastAsia="Times New Roman" w:cs="Times New Roman"/>
              </w:rPr>
              <w:t>B</w:t>
            </w:r>
          </w:p>
        </w:tc>
        <w:tc>
          <w:tcPr>
            <w:tcW w:w="1633" w:type="dxa"/>
            <w:vAlign w:val="top"/>
          </w:tcPr>
          <w:p>
            <w:pPr>
              <w:pStyle w:val="TableText"/>
              <w:ind w:left="427"/>
              <w:spacing w:before="35" w:line="217" w:lineRule="auto"/>
              <w:rPr/>
            </w:pPr>
            <w:r>
              <w:rPr>
                <w:spacing w:val="1"/>
              </w:rPr>
              <w:t>间接排放</w:t>
            </w:r>
          </w:p>
        </w:tc>
        <w:tc>
          <w:tcPr>
            <w:tcW w:w="5892" w:type="dxa"/>
            <w:vAlign w:val="top"/>
            <w:tcBorders>
              <w:right w:val="nil"/>
            </w:tcBorders>
          </w:tcPr>
          <w:p>
            <w:pPr>
              <w:ind w:left="2845"/>
              <w:spacing w:line="182" w:lineRule="auto"/>
              <w:tabs>
                <w:tab w:val="left" w:pos="3047"/>
              </w:tabs>
              <w:rPr>
                <w:rFonts w:ascii="Arial"/>
                <w:sz w:val="21"/>
              </w:rPr>
            </w:pPr>
            <w:r>
              <w:rPr>
                <w:rFonts w:ascii="Arial" w:hAnsi="Arial" w:eastAsia="Arial" w:cs="Arial"/>
                <w:sz w:val="21"/>
                <w:szCs w:val="21"/>
                <w:u w:val="single" w:color="auto"/>
              </w:rPr>
              <w:tab/>
            </w:r>
          </w:p>
        </w:tc>
      </w:tr>
    </w:tbl>
    <w:p>
      <w:pPr>
        <w:ind w:left="120" w:right="109" w:firstLine="8"/>
        <w:spacing w:before="33" w:line="251" w:lineRule="auto"/>
        <w:rPr>
          <w:rFonts w:ascii="FangSong" w:hAnsi="FangSong" w:eastAsia="FangSong" w:cs="FangSong"/>
          <w:sz w:val="20"/>
          <w:szCs w:val="20"/>
        </w:rPr>
      </w:pPr>
      <w:r>
        <w:rPr>
          <w:rFonts w:ascii="FangSong" w:hAnsi="FangSong" w:eastAsia="FangSong" w:cs="FangSong"/>
          <w:sz w:val="20"/>
          <w:szCs w:val="20"/>
          <w:spacing w:val="8"/>
        </w:rPr>
        <w:t>注</w:t>
      </w:r>
      <w:r>
        <w:rPr>
          <w:rFonts w:ascii="FangSong" w:hAnsi="FangSong" w:eastAsia="FangSong" w:cs="FangSong"/>
          <w:sz w:val="20"/>
          <w:szCs w:val="20"/>
          <w:spacing w:val="-22"/>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8"/>
        </w:rPr>
        <w:t>：水污染物当量数等于该污染物的年排放量除以该污染物的污染当量值（见附录</w:t>
      </w:r>
      <w:r>
        <w:rPr>
          <w:rFonts w:ascii="Times New Roman" w:hAnsi="Times New Roman" w:eastAsia="Times New Roman" w:cs="Times New Roman"/>
          <w:sz w:val="20"/>
          <w:szCs w:val="20"/>
          <w:spacing w:val="7"/>
        </w:rPr>
        <w:t>A</w:t>
      </w:r>
      <w:r>
        <w:rPr>
          <w:rFonts w:ascii="FangSong" w:hAnsi="FangSong" w:eastAsia="FangSong" w:cs="FangSong"/>
          <w:sz w:val="20"/>
          <w:szCs w:val="20"/>
          <w:spacing w:val="1"/>
        </w:rPr>
        <w:t>），</w:t>
      </w:r>
      <w:r>
        <w:rPr>
          <w:rFonts w:ascii="FangSong" w:hAnsi="FangSong" w:eastAsia="FangSong" w:cs="FangSong"/>
          <w:sz w:val="20"/>
          <w:szCs w:val="20"/>
          <w:spacing w:val="7"/>
        </w:rPr>
        <w:t>计算</w:t>
      </w:r>
      <w:r>
        <w:rPr>
          <w:rFonts w:ascii="FangSong" w:hAnsi="FangSong" w:eastAsia="FangSong" w:cs="FangSong"/>
          <w:sz w:val="20"/>
          <w:szCs w:val="20"/>
          <w:spacing w:val="12"/>
        </w:rPr>
        <w:t>排放污染物的污染物当量数，应区分第一类水污染物和其他类水污染物</w:t>
      </w:r>
      <w:r>
        <w:rPr>
          <w:rFonts w:ascii="FangSong" w:hAnsi="FangSong" w:eastAsia="FangSong" w:cs="FangSong"/>
          <w:sz w:val="20"/>
          <w:szCs w:val="20"/>
          <w:spacing w:val="11"/>
        </w:rPr>
        <w:t>，统计第一类污染物当</w:t>
      </w:r>
      <w:r>
        <w:rPr>
          <w:rFonts w:ascii="FangSong" w:hAnsi="FangSong" w:eastAsia="FangSong" w:cs="FangSong"/>
          <w:sz w:val="20"/>
          <w:szCs w:val="20"/>
          <w:spacing w:val="12"/>
        </w:rPr>
        <w:t>量数总和，然后与其他类污染物按照污染物当量数从大到小排序，取最</w:t>
      </w:r>
      <w:r>
        <w:rPr>
          <w:rFonts w:ascii="FangSong" w:hAnsi="FangSong" w:eastAsia="FangSong" w:cs="FangSong"/>
          <w:sz w:val="20"/>
          <w:szCs w:val="20"/>
          <w:spacing w:val="11"/>
        </w:rPr>
        <w:t>大当量数作为建设项目</w:t>
      </w:r>
      <w:r>
        <w:rPr>
          <w:rFonts w:ascii="FangSong" w:hAnsi="FangSong" w:eastAsia="FangSong" w:cs="FangSong"/>
          <w:sz w:val="20"/>
          <w:szCs w:val="20"/>
          <w:spacing w:val="7"/>
        </w:rPr>
        <w:t>评价等级确定的依据。</w:t>
      </w:r>
    </w:p>
    <w:p>
      <w:pPr>
        <w:ind w:left="124" w:right="109" w:firstLine="4"/>
        <w:spacing w:line="250" w:lineRule="auto"/>
        <w:rPr>
          <w:rFonts w:ascii="FangSong" w:hAnsi="FangSong" w:eastAsia="FangSong" w:cs="FangSong"/>
          <w:sz w:val="20"/>
          <w:szCs w:val="20"/>
        </w:rPr>
      </w:pPr>
      <w:r>
        <w:rPr>
          <w:rFonts w:ascii="FangSong" w:hAnsi="FangSong" w:eastAsia="FangSong" w:cs="FangSong"/>
          <w:sz w:val="20"/>
          <w:szCs w:val="20"/>
          <w:spacing w:val="8"/>
        </w:rPr>
        <w:t>注</w:t>
      </w:r>
      <w:r>
        <w:rPr>
          <w:rFonts w:ascii="FangSong" w:hAnsi="FangSong" w:eastAsia="FangSong" w:cs="FangSong"/>
          <w:sz w:val="20"/>
          <w:szCs w:val="20"/>
          <w:spacing w:val="-43"/>
        </w:rPr>
        <w:t xml:space="preserve"> </w:t>
      </w:r>
      <w:r>
        <w:rPr>
          <w:rFonts w:ascii="Times New Roman" w:hAnsi="Times New Roman" w:eastAsia="Times New Roman" w:cs="Times New Roman"/>
          <w:sz w:val="20"/>
          <w:szCs w:val="20"/>
          <w:spacing w:val="8"/>
        </w:rPr>
        <w:t>2</w:t>
      </w:r>
      <w:r>
        <w:rPr>
          <w:rFonts w:ascii="FangSong" w:hAnsi="FangSong" w:eastAsia="FangSong" w:cs="FangSong"/>
          <w:sz w:val="20"/>
          <w:szCs w:val="20"/>
          <w:spacing w:val="8"/>
        </w:rPr>
        <w:t>：废水排放量按行业排放标准中规定的废水</w:t>
      </w:r>
      <w:r>
        <w:rPr>
          <w:rFonts w:ascii="FangSong" w:hAnsi="FangSong" w:eastAsia="FangSong" w:cs="FangSong"/>
          <w:sz w:val="20"/>
          <w:szCs w:val="20"/>
          <w:spacing w:val="7"/>
        </w:rPr>
        <w:t>种类统计，没有相关行业排放标准要求的通过工</w:t>
      </w:r>
      <w:r>
        <w:rPr>
          <w:rFonts w:ascii="FangSong" w:hAnsi="FangSong" w:eastAsia="FangSong" w:cs="FangSong"/>
          <w:sz w:val="20"/>
          <w:szCs w:val="20"/>
          <w:spacing w:val="12"/>
        </w:rPr>
        <w:t>程分析合理确定，应统计含热量大的冷却水的排放量，可不统</w:t>
      </w:r>
      <w:r>
        <w:rPr>
          <w:rFonts w:ascii="FangSong" w:hAnsi="FangSong" w:eastAsia="FangSong" w:cs="FangSong"/>
          <w:sz w:val="20"/>
          <w:szCs w:val="20"/>
          <w:spacing w:val="11"/>
        </w:rPr>
        <w:t>计间接冷却水、循环水以及其他</w:t>
      </w:r>
    </w:p>
    <w:p>
      <w:pPr>
        <w:spacing w:line="29" w:lineRule="exact"/>
        <w:rPr/>
      </w:pPr>
      <w:r>
        <w:rPr/>
        <w:pict>
          <v:shape id="_x0000_s2" style="mso-position-vertical-relative:line;mso-position-horizontal-relative:char;width:445.65pt;height:1.45pt;" filled="false" strokecolor="#000000" strokeweight="1.44pt" coordsize="8912,29" coordorigin="0,0" path="m0,14l8912,14e">
            <v:stroke joinstyle="bevel" miterlimit="2"/>
          </v:shape>
        </w:pict>
      </w:r>
    </w:p>
    <w:p>
      <w:pPr>
        <w:spacing w:line="29" w:lineRule="exact"/>
        <w:sectPr>
          <w:footerReference w:type="default" r:id="rId61"/>
          <w:pgSz w:w="11911" w:h="16839"/>
          <w:pgMar w:top="400" w:right="1309" w:bottom="1146" w:left="1689" w:header="0" w:footer="984" w:gutter="0"/>
        </w:sectPr>
        <w:rPr/>
      </w:pPr>
    </w:p>
    <w:p>
      <w:pPr>
        <w:ind w:left="124"/>
        <w:spacing w:before="33" w:line="229" w:lineRule="auto"/>
        <w:rPr>
          <w:rFonts w:ascii="FangSong" w:hAnsi="FangSong" w:eastAsia="FangSong" w:cs="FangSong"/>
          <w:sz w:val="20"/>
          <w:szCs w:val="20"/>
        </w:rPr>
      </w:pPr>
      <w:bookmarkStart w:name="bookmark516" w:id="94"/>
      <w:bookmarkEnd w:id="94"/>
      <w:r>
        <w:rPr>
          <w:rFonts w:ascii="FangSong" w:hAnsi="FangSong" w:eastAsia="FangSong" w:cs="FangSong"/>
          <w:sz w:val="20"/>
          <w:szCs w:val="20"/>
          <w:spacing w:val="8"/>
        </w:rPr>
        <w:t>含污染物极少的清净下水的排放量。</w:t>
      </w:r>
    </w:p>
    <w:p>
      <w:pPr>
        <w:ind w:left="122" w:right="111" w:firstLine="5"/>
        <w:spacing w:before="22" w:line="250" w:lineRule="auto"/>
        <w:rPr>
          <w:rFonts w:ascii="FangSong" w:hAnsi="FangSong" w:eastAsia="FangSong" w:cs="FangSong"/>
          <w:sz w:val="20"/>
          <w:szCs w:val="20"/>
        </w:rPr>
      </w:pPr>
      <w:r>
        <w:rPr>
          <w:rFonts w:ascii="FangSong" w:hAnsi="FangSong" w:eastAsia="FangSong" w:cs="FangSong"/>
          <w:sz w:val="20"/>
          <w:szCs w:val="20"/>
          <w:spacing w:val="7"/>
        </w:rPr>
        <w:t>注</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7"/>
        </w:rPr>
        <w:t>：厂区存在堆积物（露天堆放的原料、燃料、废渣等以及垃</w:t>
      </w:r>
      <w:r>
        <w:rPr>
          <w:rFonts w:ascii="FangSong" w:hAnsi="FangSong" w:eastAsia="FangSong" w:cs="FangSong"/>
          <w:sz w:val="20"/>
          <w:szCs w:val="20"/>
          <w:spacing w:val="6"/>
        </w:rPr>
        <w:t>圾堆放场）、降尘污染的，应将</w:t>
      </w:r>
      <w:r>
        <w:rPr>
          <w:rFonts w:ascii="FangSong" w:hAnsi="FangSong" w:eastAsia="FangSong" w:cs="FangSong"/>
          <w:sz w:val="20"/>
          <w:szCs w:val="20"/>
          <w:spacing w:val="9"/>
        </w:rPr>
        <w:t>初期雨污水纳入废水排放量，相应的主要污染物纳入水污染当量计算。</w:t>
      </w:r>
    </w:p>
    <w:p>
      <w:pPr>
        <w:ind w:left="124" w:right="111" w:firstLine="3"/>
        <w:spacing w:before="2" w:line="251" w:lineRule="auto"/>
        <w:rPr>
          <w:rFonts w:ascii="FangSong" w:hAnsi="FangSong" w:eastAsia="FangSong" w:cs="FangSong"/>
          <w:sz w:val="20"/>
          <w:szCs w:val="20"/>
        </w:rPr>
      </w:pPr>
      <w:r>
        <w:rPr>
          <w:rFonts w:ascii="FangSong" w:hAnsi="FangSong" w:eastAsia="FangSong" w:cs="FangSong"/>
          <w:sz w:val="20"/>
          <w:szCs w:val="20"/>
          <w:spacing w:val="7"/>
        </w:rPr>
        <w:t>注</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7"/>
        </w:rPr>
        <w:t>：建设项目直接排放第一类污染物的，其评价等级为一级；建设项目直</w:t>
      </w:r>
      <w:r>
        <w:rPr>
          <w:rFonts w:ascii="FangSong" w:hAnsi="FangSong" w:eastAsia="FangSong" w:cs="FangSong"/>
          <w:sz w:val="20"/>
          <w:szCs w:val="20"/>
          <w:spacing w:val="6"/>
        </w:rPr>
        <w:t>接排放的污染物为受</w:t>
      </w:r>
      <w:r>
        <w:rPr>
          <w:rFonts w:ascii="FangSong" w:hAnsi="FangSong" w:eastAsia="FangSong" w:cs="FangSong"/>
          <w:sz w:val="20"/>
          <w:szCs w:val="20"/>
          <w:spacing w:val="8"/>
        </w:rPr>
        <w:t>纳水体超标因子的，评价等级不低于二级。</w:t>
      </w:r>
    </w:p>
    <w:p>
      <w:pPr>
        <w:ind w:left="134" w:right="109" w:hanging="6"/>
        <w:spacing w:before="1" w:line="250" w:lineRule="auto"/>
        <w:rPr>
          <w:rFonts w:ascii="FangSong" w:hAnsi="FangSong" w:eastAsia="FangSong" w:cs="FangSong"/>
          <w:sz w:val="20"/>
          <w:szCs w:val="20"/>
        </w:rPr>
      </w:pPr>
      <w:r>
        <w:rPr>
          <w:rFonts w:ascii="FangSong" w:hAnsi="FangSong" w:eastAsia="FangSong" w:cs="FangSong"/>
          <w:sz w:val="20"/>
          <w:szCs w:val="20"/>
          <w:spacing w:val="6"/>
        </w:rPr>
        <w:t>注</w:t>
      </w:r>
      <w:r>
        <w:rPr>
          <w:rFonts w:ascii="FangSong" w:hAnsi="FangSong" w:eastAsia="FangSong" w:cs="FangSong"/>
          <w:sz w:val="20"/>
          <w:szCs w:val="20"/>
          <w:spacing w:val="-38"/>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6"/>
        </w:rPr>
        <w:t>：直接排放受纳水体影响范围涉及饮用水</w:t>
      </w:r>
      <w:r>
        <w:rPr>
          <w:rFonts w:ascii="FangSong" w:hAnsi="FangSong" w:eastAsia="FangSong" w:cs="FangSong"/>
          <w:sz w:val="20"/>
          <w:szCs w:val="20"/>
          <w:spacing w:val="5"/>
        </w:rPr>
        <w:t>水源保护区、饮用水取水</w:t>
      </w:r>
      <w:r>
        <w:rPr>
          <w:rFonts w:ascii="FangSong" w:hAnsi="FangSong" w:eastAsia="FangSong" w:cs="FangSong"/>
          <w:sz w:val="20"/>
          <w:szCs w:val="20"/>
          <w:spacing w:val="-49"/>
        </w:rPr>
        <w:t xml:space="preserve"> </w:t>
      </w:r>
      <w:r>
        <w:rPr>
          <w:rFonts w:ascii="FangSong" w:hAnsi="FangSong" w:eastAsia="FangSong" w:cs="FangSong"/>
          <w:sz w:val="20"/>
          <w:szCs w:val="20"/>
          <w:spacing w:val="5"/>
        </w:rPr>
        <w:t>口、重点保护与珍稀水生</w:t>
      </w:r>
      <w:r>
        <w:rPr>
          <w:rFonts w:ascii="FangSong" w:hAnsi="FangSong" w:eastAsia="FangSong" w:cs="FangSong"/>
          <w:sz w:val="20"/>
          <w:szCs w:val="20"/>
          <w:spacing w:val="9"/>
        </w:rPr>
        <w:t>生物的栖息地、重要水生生物的自然产卵场等保护目标时，评价等级不低于</w:t>
      </w:r>
      <w:r>
        <w:rPr>
          <w:rFonts w:ascii="FangSong" w:hAnsi="FangSong" w:eastAsia="FangSong" w:cs="FangSong"/>
          <w:sz w:val="20"/>
          <w:szCs w:val="20"/>
          <w:spacing w:val="8"/>
        </w:rPr>
        <w:t>二级。</w:t>
      </w:r>
    </w:p>
    <w:p>
      <w:pPr>
        <w:ind w:left="123" w:right="111" w:firstLine="5"/>
        <w:spacing w:before="2" w:line="251" w:lineRule="auto"/>
        <w:rPr>
          <w:rFonts w:ascii="FangSong" w:hAnsi="FangSong" w:eastAsia="FangSong" w:cs="FangSong"/>
          <w:sz w:val="20"/>
          <w:szCs w:val="20"/>
        </w:rPr>
      </w:pPr>
      <w:r>
        <w:rPr>
          <w:rFonts w:ascii="FangSong" w:hAnsi="FangSong" w:eastAsia="FangSong" w:cs="FangSong"/>
          <w:sz w:val="20"/>
          <w:szCs w:val="20"/>
          <w:spacing w:val="7"/>
        </w:rPr>
        <w:t>注</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19"/>
        </w:rPr>
        <w:t xml:space="preserve"> </w:t>
      </w:r>
      <w:r>
        <w:rPr>
          <w:rFonts w:ascii="FangSong" w:hAnsi="FangSong" w:eastAsia="FangSong" w:cs="FangSong"/>
          <w:sz w:val="20"/>
          <w:szCs w:val="20"/>
          <w:spacing w:val="7"/>
        </w:rPr>
        <w:t>：建设项目向河流、湖库排放温排水引起受纳水体水温变化</w:t>
      </w:r>
      <w:r>
        <w:rPr>
          <w:rFonts w:ascii="FangSong" w:hAnsi="FangSong" w:eastAsia="FangSong" w:cs="FangSong"/>
          <w:sz w:val="20"/>
          <w:szCs w:val="20"/>
          <w:spacing w:val="6"/>
        </w:rPr>
        <w:t>超过水环境质量标准要求，且评</w:t>
      </w:r>
      <w:r>
        <w:rPr>
          <w:rFonts w:ascii="FangSong" w:hAnsi="FangSong" w:eastAsia="FangSong" w:cs="FangSong"/>
          <w:sz w:val="20"/>
          <w:szCs w:val="20"/>
          <w:spacing w:val="8"/>
        </w:rPr>
        <w:t>价范围有水温敏感目标时，评价等级为一级。</w:t>
      </w:r>
    </w:p>
    <w:p>
      <w:pPr>
        <w:ind w:left="131" w:right="111" w:hanging="3"/>
        <w:spacing w:before="1" w:line="251" w:lineRule="auto"/>
        <w:rPr>
          <w:rFonts w:ascii="FangSong" w:hAnsi="FangSong" w:eastAsia="FangSong" w:cs="FangSong"/>
          <w:sz w:val="20"/>
          <w:szCs w:val="20"/>
        </w:rPr>
      </w:pPr>
      <w:r>
        <w:rPr>
          <w:rFonts w:ascii="FangSong" w:hAnsi="FangSong" w:eastAsia="FangSong" w:cs="FangSong"/>
          <w:sz w:val="20"/>
          <w:szCs w:val="20"/>
          <w:spacing w:val="5"/>
        </w:rPr>
        <w:t>注</w:t>
      </w:r>
      <w:r>
        <w:rPr>
          <w:rFonts w:ascii="FangSong" w:hAnsi="FangSong" w:eastAsia="FangSong" w:cs="FangSong"/>
          <w:sz w:val="20"/>
          <w:szCs w:val="20"/>
          <w:spacing w:val="-25"/>
        </w:rPr>
        <w:t xml:space="preserve"> </w:t>
      </w:r>
      <w:r>
        <w:rPr>
          <w:rFonts w:ascii="Times New Roman" w:hAnsi="Times New Roman" w:eastAsia="Times New Roman" w:cs="Times New Roman"/>
          <w:sz w:val="20"/>
          <w:szCs w:val="20"/>
          <w:spacing w:val="5"/>
        </w:rPr>
        <w:t>7</w:t>
      </w:r>
      <w:r>
        <w:rPr>
          <w:rFonts w:ascii="FangSong" w:hAnsi="FangSong" w:eastAsia="FangSong" w:cs="FangSong"/>
          <w:sz w:val="20"/>
          <w:szCs w:val="20"/>
          <w:spacing w:val="5"/>
        </w:rPr>
        <w:t>：建设项目利用海水作为调节温度介质，排水量≥</w:t>
      </w:r>
      <w:r>
        <w:rPr>
          <w:rFonts w:ascii="Times New Roman" w:hAnsi="Times New Roman" w:eastAsia="Times New Roman" w:cs="Times New Roman"/>
          <w:sz w:val="20"/>
          <w:szCs w:val="20"/>
          <w:spacing w:val="5"/>
        </w:rPr>
        <w:t>500  </w:t>
      </w:r>
      <w:r>
        <w:rPr>
          <w:rFonts w:ascii="FangSong" w:hAnsi="FangSong" w:eastAsia="FangSong" w:cs="FangSong"/>
          <w:sz w:val="20"/>
          <w:szCs w:val="20"/>
          <w:spacing w:val="5"/>
        </w:rPr>
        <w:t>万</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w:t>
      </w:r>
      <w:r>
        <w:rPr>
          <w:rFonts w:ascii="Times New Roman" w:hAnsi="Times New Roman" w:eastAsia="Times New Roman" w:cs="Times New Roman"/>
          <w:sz w:val="20"/>
          <w:szCs w:val="20"/>
          <w:spacing w:val="5"/>
        </w:rPr>
        <w:t>/d</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5"/>
        </w:rPr>
        <w:t>，评价等级为一级；排水用量</w:t>
      </w:r>
      <w:r>
        <w:rPr>
          <w:rFonts w:ascii="FangSong" w:hAnsi="FangSong" w:eastAsia="FangSong" w:cs="FangSong"/>
          <w:sz w:val="20"/>
          <w:szCs w:val="20"/>
          <w:spacing w:val="9"/>
        </w:rPr>
        <w:t>&lt;</w:t>
      </w:r>
      <w:r>
        <w:rPr>
          <w:rFonts w:ascii="Times New Roman" w:hAnsi="Times New Roman" w:eastAsia="Times New Roman" w:cs="Times New Roman"/>
          <w:sz w:val="20"/>
          <w:szCs w:val="20"/>
          <w:spacing w:val="9"/>
        </w:rPr>
        <w:t>500  </w:t>
      </w:r>
      <w:r>
        <w:rPr>
          <w:rFonts w:ascii="FangSong" w:hAnsi="FangSong" w:eastAsia="FangSong" w:cs="FangSong"/>
          <w:sz w:val="20"/>
          <w:szCs w:val="20"/>
          <w:spacing w:val="9"/>
        </w:rPr>
        <w:t>万</w:t>
      </w:r>
      <w:r>
        <w:rPr>
          <w:rFonts w:ascii="FangSong" w:hAnsi="FangSong" w:eastAsia="FangSong" w:cs="FangSong"/>
          <w:sz w:val="20"/>
          <w:szCs w:val="20"/>
          <w:spacing w:val="-46"/>
        </w:rPr>
        <w:t xml:space="preserve"> </w:t>
      </w:r>
      <w:r>
        <w:rPr>
          <w:rFonts w:ascii="Times New Roman" w:hAnsi="Times New Roman" w:eastAsia="Times New Roman" w:cs="Times New Roman"/>
          <w:sz w:val="20"/>
          <w:szCs w:val="20"/>
          <w:spacing w:val="9"/>
        </w:rPr>
        <w:t>m</w:t>
      </w:r>
      <w:r>
        <w:rPr>
          <w:rFonts w:ascii="Times New Roman" w:hAnsi="Times New Roman" w:eastAsia="Times New Roman" w:cs="Times New Roman"/>
          <w:sz w:val="13"/>
          <w:szCs w:val="13"/>
          <w:spacing w:val="9"/>
          <w:position w:val="6"/>
        </w:rPr>
        <w:t>3</w:t>
      </w:r>
      <w:r>
        <w:rPr>
          <w:rFonts w:ascii="Times New Roman" w:hAnsi="Times New Roman" w:eastAsia="Times New Roman" w:cs="Times New Roman"/>
          <w:sz w:val="20"/>
          <w:szCs w:val="20"/>
          <w:spacing w:val="9"/>
        </w:rPr>
        <w:t>/d</w:t>
      </w:r>
      <w:r>
        <w:rPr>
          <w:rFonts w:ascii="Times New Roman" w:hAnsi="Times New Roman" w:eastAsia="Times New Roman" w:cs="Times New Roman"/>
          <w:sz w:val="20"/>
          <w:szCs w:val="20"/>
          <w:spacing w:val="-21"/>
        </w:rPr>
        <w:t xml:space="preserve"> </w:t>
      </w:r>
      <w:r>
        <w:rPr>
          <w:rFonts w:ascii="FangSong" w:hAnsi="FangSong" w:eastAsia="FangSong" w:cs="FangSong"/>
          <w:sz w:val="20"/>
          <w:szCs w:val="20"/>
          <w:spacing w:val="9"/>
        </w:rPr>
        <w:t>，评价等级为二级。</w:t>
      </w:r>
    </w:p>
    <w:p>
      <w:pPr>
        <w:ind w:left="128" w:right="109"/>
        <w:spacing w:before="2" w:line="251" w:lineRule="auto"/>
        <w:rPr>
          <w:rFonts w:ascii="FangSong" w:hAnsi="FangSong" w:eastAsia="FangSong" w:cs="FangSong"/>
          <w:sz w:val="20"/>
          <w:szCs w:val="20"/>
        </w:rPr>
      </w:pPr>
      <w:r>
        <w:rPr>
          <w:rFonts w:ascii="FangSong" w:hAnsi="FangSong" w:eastAsia="FangSong" w:cs="FangSong"/>
          <w:sz w:val="20"/>
          <w:szCs w:val="20"/>
          <w:spacing w:val="7"/>
        </w:rPr>
        <w:t>注</w:t>
      </w:r>
      <w:r>
        <w:rPr>
          <w:rFonts w:ascii="FangSong" w:hAnsi="FangSong" w:eastAsia="FangSong" w:cs="FangSong"/>
          <w:sz w:val="20"/>
          <w:szCs w:val="20"/>
          <w:spacing w:val="-34"/>
        </w:rPr>
        <w:t xml:space="preserve"> </w:t>
      </w:r>
      <w:r>
        <w:rPr>
          <w:rFonts w:ascii="Times New Roman" w:hAnsi="Times New Roman" w:eastAsia="Times New Roman" w:cs="Times New Roman"/>
          <w:sz w:val="20"/>
          <w:szCs w:val="20"/>
          <w:spacing w:val="7"/>
        </w:rPr>
        <w:t>8</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7"/>
        </w:rPr>
        <w:t>：仅涉及清净下水排放的，如其排放水质满足受纳水体</w:t>
      </w:r>
      <w:r>
        <w:rPr>
          <w:rFonts w:ascii="FangSong" w:hAnsi="FangSong" w:eastAsia="FangSong" w:cs="FangSong"/>
          <w:sz w:val="20"/>
          <w:szCs w:val="20"/>
          <w:spacing w:val="6"/>
        </w:rPr>
        <w:t>水环境质量标准要求的，评价等级为</w:t>
      </w:r>
      <w:r>
        <w:rPr>
          <w:rFonts w:ascii="FangSong" w:hAnsi="FangSong" w:eastAsia="FangSong" w:cs="FangSong"/>
          <w:sz w:val="20"/>
          <w:szCs w:val="20"/>
        </w:rPr>
        <w:t>三级</w:t>
      </w:r>
      <w:r>
        <w:rPr>
          <w:rFonts w:ascii="FangSong" w:hAnsi="FangSong" w:eastAsia="FangSong" w:cs="FangSong"/>
          <w:sz w:val="20"/>
          <w:szCs w:val="20"/>
          <w:spacing w:val="-44"/>
        </w:rPr>
        <w:t xml:space="preserve"> </w:t>
      </w:r>
      <w:r>
        <w:rPr>
          <w:rFonts w:ascii="Times New Roman" w:hAnsi="Times New Roman" w:eastAsia="Times New Roman" w:cs="Times New Roman"/>
          <w:sz w:val="20"/>
          <w:szCs w:val="20"/>
        </w:rPr>
        <w:t>A</w:t>
      </w:r>
      <w:r>
        <w:rPr>
          <w:rFonts w:ascii="FangSong" w:hAnsi="FangSong" w:eastAsia="FangSong" w:cs="FangSong"/>
          <w:sz w:val="20"/>
          <w:szCs w:val="20"/>
        </w:rPr>
        <w:t>。</w:t>
      </w:r>
    </w:p>
    <w:p>
      <w:pPr>
        <w:ind w:left="120" w:right="111" w:firstLine="8"/>
        <w:spacing w:before="2" w:line="250" w:lineRule="auto"/>
        <w:rPr>
          <w:rFonts w:ascii="FangSong" w:hAnsi="FangSong" w:eastAsia="FangSong" w:cs="FangSong"/>
          <w:sz w:val="20"/>
          <w:szCs w:val="20"/>
        </w:rPr>
      </w:pPr>
      <w:r>
        <w:rPr>
          <w:rFonts w:ascii="FangSong" w:hAnsi="FangSong" w:eastAsia="FangSong" w:cs="FangSong"/>
          <w:sz w:val="20"/>
          <w:szCs w:val="20"/>
          <w:spacing w:val="5"/>
        </w:rPr>
        <w:t>注</w:t>
      </w:r>
      <w:r>
        <w:rPr>
          <w:rFonts w:ascii="FangSong" w:hAnsi="FangSong" w:eastAsia="FangSong" w:cs="FangSong"/>
          <w:sz w:val="20"/>
          <w:szCs w:val="20"/>
          <w:spacing w:val="-22"/>
        </w:rPr>
        <w:t xml:space="preserve"> </w:t>
      </w:r>
      <w:r>
        <w:rPr>
          <w:rFonts w:ascii="Times New Roman" w:hAnsi="Times New Roman" w:eastAsia="Times New Roman" w:cs="Times New Roman"/>
          <w:sz w:val="20"/>
          <w:szCs w:val="20"/>
          <w:spacing w:val="5"/>
        </w:rPr>
        <w:t>9</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5"/>
        </w:rPr>
        <w:t>：依托现有排放</w:t>
      </w:r>
      <w:r>
        <w:rPr>
          <w:rFonts w:ascii="FangSong" w:hAnsi="FangSong" w:eastAsia="FangSong" w:cs="FangSong"/>
          <w:sz w:val="20"/>
          <w:szCs w:val="20"/>
          <w:spacing w:val="-46"/>
        </w:rPr>
        <w:t xml:space="preserve"> </w:t>
      </w:r>
      <w:r>
        <w:rPr>
          <w:rFonts w:ascii="FangSong" w:hAnsi="FangSong" w:eastAsia="FangSong" w:cs="FangSong"/>
          <w:sz w:val="20"/>
          <w:szCs w:val="20"/>
          <w:spacing w:val="5"/>
        </w:rPr>
        <w:t>口，且对外环境未新增排放污染物的直接排放建设项目，评价等级参照间接</w:t>
      </w:r>
      <w:r>
        <w:rPr>
          <w:rFonts w:ascii="FangSong" w:hAnsi="FangSong" w:eastAsia="FangSong" w:cs="FangSong"/>
          <w:sz w:val="20"/>
          <w:szCs w:val="20"/>
          <w:spacing w:val="6"/>
        </w:rPr>
        <w:t>排放，定为三级</w:t>
      </w:r>
      <w:r>
        <w:rPr>
          <w:rFonts w:ascii="FangSong" w:hAnsi="FangSong" w:eastAsia="FangSong" w:cs="FangSong"/>
          <w:sz w:val="20"/>
          <w:szCs w:val="20"/>
          <w:spacing w:val="-40"/>
        </w:rPr>
        <w:t xml:space="preserve"> </w:t>
      </w:r>
      <w:r>
        <w:rPr>
          <w:rFonts w:ascii="Times New Roman" w:hAnsi="Times New Roman" w:eastAsia="Times New Roman" w:cs="Times New Roman"/>
          <w:sz w:val="20"/>
          <w:szCs w:val="20"/>
          <w:spacing w:val="6"/>
        </w:rPr>
        <w:t>B</w:t>
      </w:r>
      <w:r>
        <w:rPr>
          <w:rFonts w:ascii="FangSong" w:hAnsi="FangSong" w:eastAsia="FangSong" w:cs="FangSong"/>
          <w:sz w:val="20"/>
          <w:szCs w:val="20"/>
          <w:spacing w:val="6"/>
        </w:rPr>
        <w:t>。</w:t>
      </w:r>
    </w:p>
    <w:p>
      <w:pPr>
        <w:spacing w:before="1" w:line="229" w:lineRule="auto"/>
        <w:tabs>
          <w:tab w:val="left" w:pos="128"/>
        </w:tabs>
        <w:rPr>
          <w:rFonts w:ascii="FangSong" w:hAnsi="FangSong" w:eastAsia="FangSong" w:cs="FangSong"/>
          <w:sz w:val="20"/>
          <w:szCs w:val="20"/>
        </w:rPr>
      </w:pPr>
      <w:r>
        <w:rPr>
          <w:rFonts w:ascii="FangSong" w:hAnsi="FangSong" w:eastAsia="FangSong" w:cs="FangSong"/>
          <w:sz w:val="20"/>
          <w:szCs w:val="20"/>
          <w:u w:val="single" w:color="auto"/>
        </w:rPr>
        <w:tab/>
      </w:r>
      <w:r>
        <w:rPr>
          <w:rFonts w:ascii="FangSong" w:hAnsi="FangSong" w:eastAsia="FangSong" w:cs="FangSong"/>
          <w:sz w:val="20"/>
          <w:szCs w:val="20"/>
          <w:u w:val="single" w:color="auto"/>
          <w:spacing w:val="6"/>
        </w:rPr>
        <w:t>注</w:t>
      </w:r>
      <w:r>
        <w:rPr>
          <w:rFonts w:ascii="FangSong" w:hAnsi="FangSong" w:eastAsia="FangSong" w:cs="FangSong"/>
          <w:sz w:val="20"/>
          <w:szCs w:val="20"/>
          <w:u w:val="single" w:color="auto"/>
          <w:spacing w:val="-23"/>
        </w:rPr>
        <w:t xml:space="preserve"> </w:t>
      </w:r>
      <w:r>
        <w:rPr>
          <w:rFonts w:ascii="Times New Roman" w:hAnsi="Times New Roman" w:eastAsia="Times New Roman" w:cs="Times New Roman"/>
          <w:sz w:val="20"/>
          <w:szCs w:val="20"/>
          <w:u w:val="single" w:color="auto"/>
          <w:spacing w:val="6"/>
        </w:rPr>
        <w:t>10</w:t>
      </w:r>
      <w:r>
        <w:rPr>
          <w:rFonts w:ascii="FangSong" w:hAnsi="FangSong" w:eastAsia="FangSong" w:cs="FangSong"/>
          <w:sz w:val="20"/>
          <w:szCs w:val="20"/>
          <w:u w:val="single" w:color="auto"/>
          <w:spacing w:val="6"/>
        </w:rPr>
        <w:t>：建设项目生产工艺中有废水产生，但作为回水利用，不排放到外</w:t>
      </w:r>
      <w:r>
        <w:rPr>
          <w:rFonts w:ascii="FangSong" w:hAnsi="FangSong" w:eastAsia="FangSong" w:cs="FangSong"/>
          <w:sz w:val="20"/>
          <w:szCs w:val="20"/>
          <w:u w:val="single" w:color="auto"/>
          <w:spacing w:val="5"/>
        </w:rPr>
        <w:t>环境的，按三级</w:t>
      </w:r>
      <w:r>
        <w:rPr>
          <w:rFonts w:ascii="FangSong" w:hAnsi="FangSong" w:eastAsia="FangSong" w:cs="FangSong"/>
          <w:sz w:val="20"/>
          <w:szCs w:val="20"/>
          <w:u w:val="single" w:color="auto"/>
          <w:spacing w:val="-44"/>
        </w:rPr>
        <w:t xml:space="preserve"> </w:t>
      </w:r>
      <w:r>
        <w:rPr>
          <w:rFonts w:ascii="Times New Roman" w:hAnsi="Times New Roman" w:eastAsia="Times New Roman" w:cs="Times New Roman"/>
          <w:sz w:val="20"/>
          <w:szCs w:val="20"/>
          <w:u w:val="single" w:color="auto"/>
          <w:spacing w:val="5"/>
        </w:rPr>
        <w:t>B</w:t>
      </w:r>
      <w:r>
        <w:rPr>
          <w:rFonts w:ascii="Times New Roman" w:hAnsi="Times New Roman" w:eastAsia="Times New Roman" w:cs="Times New Roman"/>
          <w:sz w:val="20"/>
          <w:szCs w:val="20"/>
          <w:u w:val="single" w:color="auto"/>
          <w:spacing w:val="20"/>
          <w:w w:val="101"/>
        </w:rPr>
        <w:t xml:space="preserve"> </w:t>
      </w:r>
      <w:r>
        <w:rPr>
          <w:rFonts w:ascii="FangSong" w:hAnsi="FangSong" w:eastAsia="FangSong" w:cs="FangSong"/>
          <w:sz w:val="20"/>
          <w:szCs w:val="20"/>
          <w:u w:val="single" w:color="auto"/>
          <w:spacing w:val="5"/>
        </w:rPr>
        <w:t>评价。</w:t>
      </w:r>
    </w:p>
    <w:p>
      <w:pPr>
        <w:pStyle w:val="BodyText"/>
        <w:spacing w:line="393" w:lineRule="auto"/>
        <w:rPr/>
      </w:pPr>
      <w:r/>
    </w:p>
    <w:p>
      <w:pPr>
        <w:ind w:left="123" w:right="106" w:firstLine="481"/>
        <w:spacing w:before="79" w:line="359" w:lineRule="auto"/>
        <w:jc w:val="both"/>
        <w:rPr>
          <w:rFonts w:ascii="FangSong" w:hAnsi="FangSong" w:eastAsia="FangSong" w:cs="FangSong"/>
          <w:sz w:val="24"/>
          <w:szCs w:val="24"/>
        </w:rPr>
      </w:pPr>
      <w:r>
        <w:rPr>
          <w:rFonts w:ascii="FangSong" w:hAnsi="FangSong" w:eastAsia="FangSong" w:cs="FangSong"/>
          <w:sz w:val="24"/>
          <w:szCs w:val="24"/>
          <w:spacing w:val="1"/>
        </w:rPr>
        <w:t>本项目产生的废水主要为选矿废水、矿井涌水和生活污水、食堂废水，矿井涌</w:t>
      </w:r>
      <w:r>
        <w:rPr>
          <w:rFonts w:ascii="FangSong" w:hAnsi="FangSong" w:eastAsia="FangSong" w:cs="FangSong"/>
          <w:sz w:val="24"/>
          <w:szCs w:val="24"/>
          <w:spacing w:val="1"/>
        </w:rPr>
        <w:t>水经地表高位水池沉淀后部分回用水地下开采和厂区、道路洒水降尘，部分排入回</w:t>
      </w:r>
      <w:r>
        <w:rPr>
          <w:rFonts w:ascii="FangSong" w:hAnsi="FangSong" w:eastAsia="FangSong" w:cs="FangSong"/>
          <w:sz w:val="24"/>
          <w:szCs w:val="24"/>
          <w:spacing w:val="1"/>
        </w:rPr>
        <w:t>水池能和选矿废水经过混凝沉淀后进入蓄水池内回用于选矿工艺，不外排；食堂废</w:t>
      </w:r>
      <w:r>
        <w:rPr>
          <w:rFonts w:ascii="FangSong" w:hAnsi="FangSong" w:eastAsia="FangSong" w:cs="FangSong"/>
          <w:sz w:val="24"/>
          <w:szCs w:val="24"/>
          <w:spacing w:val="1"/>
        </w:rPr>
        <w:t>水经隔油池处理后与生活污水一起排入防渗储池内，定期运至内蒙古锡林郭勒盟苏</w:t>
      </w:r>
      <w:r>
        <w:rPr>
          <w:rFonts w:ascii="FangSong" w:hAnsi="FangSong" w:eastAsia="FangSong" w:cs="FangSong"/>
          <w:sz w:val="24"/>
          <w:szCs w:val="24"/>
        </w:rPr>
        <w:t>尼特右旗赛汉塔拉镇污水处理厂处理。因此地表水评价工作等级为三级</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，本次评</w:t>
      </w:r>
      <w:r>
        <w:rPr>
          <w:rFonts w:ascii="FangSong" w:hAnsi="FangSong" w:eastAsia="FangSong" w:cs="FangSong"/>
          <w:sz w:val="24"/>
          <w:szCs w:val="24"/>
          <w:spacing w:val="1"/>
        </w:rPr>
        <w:t>价不进行地表水环境影响进行预测，仅对水污染控制措施有效性环境可行性进行评</w:t>
      </w:r>
      <w:r>
        <w:rPr>
          <w:rFonts w:ascii="FangSong" w:hAnsi="FangSong" w:eastAsia="FangSong" w:cs="FangSong"/>
          <w:sz w:val="24"/>
          <w:szCs w:val="24"/>
          <w:spacing w:val="-8"/>
        </w:rPr>
        <w:t>价。</w:t>
      </w:r>
    </w:p>
    <w:p>
      <w:pPr>
        <w:ind w:left="114"/>
        <w:spacing w:line="222" w:lineRule="auto"/>
        <w:outlineLvl w:val="2"/>
        <w:rPr>
          <w:rFonts w:ascii="FangSong" w:hAnsi="FangSong" w:eastAsia="FangSong" w:cs="FangSong"/>
          <w:sz w:val="24"/>
          <w:szCs w:val="24"/>
        </w:rPr>
      </w:pPr>
      <w:bookmarkStart w:name="bookmark69" w:id="95"/>
      <w:bookmarkEnd w:id="95"/>
      <w:bookmarkStart w:name="bookmark68" w:id="96"/>
      <w:bookmarkEnd w:id="96"/>
      <w:r>
        <w:rPr>
          <w:rFonts w:ascii="Times New Roman" w:hAnsi="Times New Roman" w:eastAsia="Times New Roman" w:cs="Times New Roman"/>
          <w:sz w:val="24"/>
          <w:szCs w:val="24"/>
          <w:b/>
          <w:bCs/>
          <w:spacing w:val="-4"/>
        </w:rPr>
        <w:t>2.5.2</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环境空气</w:t>
      </w:r>
    </w:p>
    <w:p>
      <w:pPr>
        <w:ind w:left="114"/>
        <w:spacing w:before="177"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2.5.2.1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评价等级</w:t>
      </w:r>
    </w:p>
    <w:p>
      <w:pPr>
        <w:pStyle w:val="BodyText"/>
        <w:spacing w:line="241" w:lineRule="auto"/>
        <w:rPr/>
      </w:pPr>
      <w:r/>
    </w:p>
    <w:p>
      <w:pPr>
        <w:ind w:left="609"/>
        <w:spacing w:before="79"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）评价等级的判定</w:t>
      </w:r>
    </w:p>
    <w:p>
      <w:pPr>
        <w:ind w:left="127" w:right="109" w:firstLine="478"/>
        <w:spacing w:before="192" w:line="369" w:lineRule="auto"/>
        <w:rPr>
          <w:rFonts w:ascii="FangSong" w:hAnsi="FangSong" w:eastAsia="FangSong" w:cs="FangSong"/>
          <w:sz w:val="24"/>
          <w:szCs w:val="24"/>
        </w:rPr>
      </w:pPr>
      <w:r>
        <w:rPr>
          <w:rFonts w:ascii="FangSong" w:hAnsi="FangSong" w:eastAsia="FangSong" w:cs="FangSong"/>
          <w:sz w:val="24"/>
          <w:szCs w:val="24"/>
        </w:rPr>
        <w:t>根据《环境影响评价技术导则</w:t>
      </w:r>
      <w:r>
        <w:rPr>
          <w:rFonts w:ascii="FangSong" w:hAnsi="FangSong" w:eastAsia="FangSong" w:cs="FangSong"/>
          <w:sz w:val="24"/>
          <w:szCs w:val="24"/>
        </w:rPr>
        <w:t xml:space="preserve"> </w:t>
      </w:r>
      <w:r>
        <w:rPr>
          <w:rFonts w:ascii="FangSong" w:hAnsi="FangSong" w:eastAsia="FangSong" w:cs="FangSong"/>
          <w:sz w:val="24"/>
          <w:szCs w:val="24"/>
        </w:rPr>
        <w:t>大气环境》（</w:t>
      </w:r>
      <w:r>
        <w:rPr>
          <w:rFonts w:ascii="Times New Roman" w:hAnsi="Times New Roman" w:eastAsia="Times New Roman" w:cs="Times New Roman"/>
          <w:sz w:val="24"/>
          <w:szCs w:val="24"/>
        </w:rPr>
        <w:t>HJ2.2-2018</w:t>
      </w:r>
      <w:r>
        <w:rPr>
          <w:rFonts w:ascii="FangSong" w:hAnsi="FangSong" w:eastAsia="FangSong" w:cs="FangSong"/>
          <w:sz w:val="24"/>
          <w:szCs w:val="24"/>
          <w:spacing w:val="-1"/>
        </w:rPr>
        <w:t>）中评价等级确定的原</w:t>
      </w:r>
      <w:r>
        <w:rPr>
          <w:rFonts w:ascii="FangSong" w:hAnsi="FangSong" w:eastAsia="FangSong" w:cs="FangSong"/>
          <w:sz w:val="24"/>
          <w:szCs w:val="24"/>
        </w:rPr>
        <w:t>则，利用</w:t>
      </w:r>
      <w:r>
        <w:rPr>
          <w:rFonts w:ascii="Times New Roman" w:hAnsi="Times New Roman" w:eastAsia="Times New Roman" w:cs="Times New Roman"/>
          <w:sz w:val="24"/>
          <w:szCs w:val="24"/>
        </w:rPr>
        <w:t>AERSCREEN</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rPr>
        <w:t>估算模式，分别计算项目各大气污染源排放主要污</w:t>
      </w:r>
      <w:r>
        <w:rPr>
          <w:rFonts w:ascii="FangSong" w:hAnsi="FangSong" w:eastAsia="FangSong" w:cs="FangSong"/>
          <w:sz w:val="24"/>
          <w:szCs w:val="24"/>
          <w:spacing w:val="-1"/>
        </w:rPr>
        <w:t>染物的最</w:t>
      </w:r>
      <w:r>
        <w:rPr>
          <w:rFonts w:ascii="FangSong" w:hAnsi="FangSong" w:eastAsia="FangSong" w:cs="FangSong"/>
          <w:sz w:val="24"/>
          <w:szCs w:val="24"/>
          <w:spacing w:val="2"/>
        </w:rPr>
        <w:t>大地面空气质量浓度占标率</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z w:val="15"/>
          <w:szCs w:val="15"/>
          <w:position w:val="-1"/>
        </w:rPr>
        <w:t>i</w:t>
      </w:r>
      <w:r>
        <w:rPr>
          <w:rFonts w:ascii="Times New Roman" w:hAnsi="Times New Roman" w:eastAsia="Times New Roman" w:cs="Times New Roman"/>
          <w:sz w:val="15"/>
          <w:szCs w:val="15"/>
          <w:spacing w:val="2"/>
          <w:position w:val="-1"/>
        </w:rPr>
        <w:t xml:space="preserve"> </w:t>
      </w:r>
      <w:r>
        <w:rPr>
          <w:rFonts w:ascii="FangSong" w:hAnsi="FangSong" w:eastAsia="FangSong" w:cs="FangSong"/>
          <w:sz w:val="24"/>
          <w:szCs w:val="24"/>
          <w:spacing w:val="2"/>
        </w:rPr>
        <w:t>，及第</w:t>
      </w:r>
      <w:r>
        <w:rPr>
          <w:rFonts w:ascii="Times New Roman" w:hAnsi="Times New Roman" w:eastAsia="Times New Roman" w:cs="Times New Roman"/>
          <w:sz w:val="24"/>
          <w:szCs w:val="24"/>
          <w:spacing w:val="2"/>
        </w:rPr>
        <w:t>i</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个污染物的地面空气质量浓度达到标准值的</w:t>
      </w:r>
    </w:p>
    <w:p>
      <w:pPr>
        <w:ind w:left="113" w:right="109" w:firstLine="23"/>
        <w:spacing w:before="1" w:line="352" w:lineRule="auto"/>
        <w:rPr>
          <w:rFonts w:ascii="FangSong" w:hAnsi="FangSong" w:eastAsia="FangSong" w:cs="FangSong"/>
          <w:sz w:val="24"/>
          <w:szCs w:val="24"/>
        </w:rPr>
      </w:pP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时所对应的最远距离</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D</w:t>
      </w:r>
      <w:r>
        <w:rPr>
          <w:rFonts w:ascii="Times New Roman" w:hAnsi="Times New Roman" w:eastAsia="Times New Roman" w:cs="Times New Roman"/>
          <w:sz w:val="15"/>
          <w:szCs w:val="15"/>
          <w:spacing w:val="5"/>
          <w:position w:val="-1"/>
        </w:rPr>
        <w:t>10% </w:t>
      </w:r>
      <w:r>
        <w:rPr>
          <w:rFonts w:ascii="FangSong" w:hAnsi="FangSong" w:eastAsia="FangSong" w:cs="FangSong"/>
          <w:sz w:val="24"/>
          <w:szCs w:val="24"/>
          <w:spacing w:val="5"/>
        </w:rPr>
        <w:t>。污染物的最大地面质量浓度占标率</w:t>
      </w:r>
      <w:r>
        <w:rPr>
          <w:rFonts w:ascii="Times New Roman" w:hAnsi="Times New Roman" w:eastAsia="Times New Roman" w:cs="Times New Roman"/>
          <w:sz w:val="24"/>
          <w:szCs w:val="24"/>
        </w:rPr>
        <w:t>Pi</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计算公式如</w:t>
      </w:r>
      <w:r>
        <w:rPr>
          <w:rFonts w:ascii="Times New Roman" w:hAnsi="Times New Roman" w:eastAsia="Times New Roman" w:cs="Times New Roman"/>
          <w:sz w:val="24"/>
          <w:szCs w:val="24"/>
          <w:spacing w:val="-1"/>
        </w:rPr>
        <w:t>2.5-1</w:t>
      </w:r>
      <w:r>
        <w:rPr>
          <w:rFonts w:ascii="FangSong" w:hAnsi="FangSong" w:eastAsia="FangSong" w:cs="FangSong"/>
          <w:sz w:val="24"/>
          <w:szCs w:val="24"/>
          <w:spacing w:val="-1"/>
        </w:rPr>
        <w:t>：</w:t>
      </w:r>
    </w:p>
    <w:p>
      <w:pPr>
        <w:ind w:left="3268"/>
        <w:spacing w:line="323" w:lineRule="exact"/>
        <w:rPr>
          <w:rFonts w:ascii="FangSong" w:hAnsi="FangSong" w:eastAsia="FangSong" w:cs="FangSong"/>
          <w:sz w:val="24"/>
          <w:szCs w:val="24"/>
        </w:rPr>
      </w:pPr>
      <w:r>
        <w:rPr>
          <w:rFonts w:ascii="Times New Roman" w:hAnsi="Times New Roman" w:eastAsia="Times New Roman" w:cs="Times New Roman"/>
          <w:sz w:val="24"/>
          <w:szCs w:val="24"/>
          <w:spacing w:val="-1"/>
          <w:position w:val="1"/>
        </w:rPr>
        <w:t>P</w:t>
      </w:r>
      <w:r>
        <w:rPr>
          <w:rFonts w:ascii="Times New Roman" w:hAnsi="Times New Roman" w:eastAsia="Times New Roman" w:cs="Times New Roman"/>
          <w:sz w:val="15"/>
          <w:szCs w:val="15"/>
          <w:spacing w:val="-1"/>
        </w:rPr>
        <w:t>i</w:t>
      </w:r>
      <w:r>
        <w:rPr>
          <w:rFonts w:ascii="Times New Roman" w:hAnsi="Times New Roman" w:eastAsia="Times New Roman" w:cs="Times New Roman"/>
          <w:sz w:val="24"/>
          <w:szCs w:val="24"/>
          <w:spacing w:val="-1"/>
          <w:position w:val="1"/>
        </w:rPr>
        <w:t>=C</w:t>
      </w:r>
      <w:r>
        <w:rPr>
          <w:rFonts w:ascii="Times New Roman" w:hAnsi="Times New Roman" w:eastAsia="Times New Roman" w:cs="Times New Roman"/>
          <w:sz w:val="15"/>
          <w:szCs w:val="15"/>
          <w:spacing w:val="-1"/>
        </w:rPr>
        <w:t>i</w:t>
      </w:r>
      <w:r>
        <w:rPr>
          <w:rFonts w:ascii="Times New Roman" w:hAnsi="Times New Roman" w:eastAsia="Times New Roman" w:cs="Times New Roman"/>
          <w:sz w:val="24"/>
          <w:szCs w:val="24"/>
          <w:spacing w:val="-1"/>
          <w:position w:val="1"/>
        </w:rPr>
        <w:t>/C</w:t>
      </w:r>
      <w:r>
        <w:rPr>
          <w:rFonts w:ascii="Times New Roman" w:hAnsi="Times New Roman" w:eastAsia="Times New Roman" w:cs="Times New Roman"/>
          <w:sz w:val="15"/>
          <w:szCs w:val="15"/>
          <w:spacing w:val="-1"/>
        </w:rPr>
        <w:t>0i</w:t>
      </w:r>
      <w:r>
        <w:rPr>
          <w:rFonts w:ascii="Times New Roman" w:hAnsi="Times New Roman" w:eastAsia="Times New Roman" w:cs="Times New Roman"/>
          <w:sz w:val="15"/>
          <w:szCs w:val="15"/>
          <w:spacing w:val="3"/>
        </w:rPr>
        <w:t xml:space="preserve">            </w:t>
      </w:r>
      <w:r>
        <w:rPr>
          <w:rFonts w:ascii="FangSong" w:hAnsi="FangSong" w:eastAsia="FangSong" w:cs="FangSong"/>
          <w:sz w:val="24"/>
          <w:szCs w:val="24"/>
          <w:spacing w:val="-1"/>
          <w:position w:val="1"/>
        </w:rPr>
        <w:t>（公式</w:t>
      </w:r>
      <w:r>
        <w:rPr>
          <w:rFonts w:ascii="FangSong" w:hAnsi="FangSong" w:eastAsia="FangSong" w:cs="FangSong"/>
          <w:sz w:val="24"/>
          <w:szCs w:val="24"/>
          <w:spacing w:val="-48"/>
          <w:position w:val="1"/>
        </w:rPr>
        <w:t xml:space="preserve"> </w:t>
      </w:r>
      <w:r>
        <w:rPr>
          <w:rFonts w:ascii="Times New Roman" w:hAnsi="Times New Roman" w:eastAsia="Times New Roman" w:cs="Times New Roman"/>
          <w:sz w:val="24"/>
          <w:szCs w:val="24"/>
          <w:spacing w:val="-1"/>
          <w:position w:val="1"/>
        </w:rPr>
        <w:t>2.5-1</w:t>
      </w:r>
      <w:r>
        <w:rPr>
          <w:rFonts w:ascii="FangSong" w:hAnsi="FangSong" w:eastAsia="FangSong" w:cs="FangSong"/>
          <w:sz w:val="24"/>
          <w:szCs w:val="24"/>
          <w:spacing w:val="-1"/>
          <w:position w:val="1"/>
        </w:rPr>
        <w:t>）</w:t>
      </w:r>
    </w:p>
    <w:p>
      <w:pPr>
        <w:ind w:left="610"/>
        <w:spacing w:before="200" w:line="221"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P</w:t>
      </w:r>
      <w:r>
        <w:rPr>
          <w:rFonts w:ascii="Times New Roman" w:hAnsi="Times New Roman" w:eastAsia="Times New Roman" w:cs="Times New Roman"/>
          <w:sz w:val="15"/>
          <w:szCs w:val="15"/>
          <w:spacing w:val="-1"/>
          <w:position w:val="-1"/>
        </w:rPr>
        <w:t>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第</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i</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个污染物的最大地面空气质量浓度</w:t>
      </w:r>
      <w:r>
        <w:rPr>
          <w:rFonts w:ascii="FangSong" w:hAnsi="FangSong" w:eastAsia="FangSong" w:cs="FangSong"/>
          <w:sz w:val="24"/>
          <w:szCs w:val="24"/>
          <w:spacing w:val="-2"/>
        </w:rPr>
        <w:t>占标率，</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w:t>
      </w:r>
    </w:p>
    <w:p>
      <w:pPr>
        <w:ind w:left="2288" w:right="375" w:hanging="971"/>
        <w:spacing w:before="194" w:line="367" w:lineRule="auto"/>
        <w:rPr>
          <w:rFonts w:ascii="FangSong" w:hAnsi="FangSong" w:eastAsia="FangSong" w:cs="FangSong"/>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z w:val="15"/>
          <w:szCs w:val="15"/>
          <w:position w:val="-1"/>
        </w:rPr>
        <w:t>i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采用估算模式计算出的第</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rPr>
        <w:t>个污染物的最大</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1h</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rPr>
        <w:t>地</w:t>
      </w:r>
      <w:r>
        <w:rPr>
          <w:rFonts w:ascii="FangSong" w:hAnsi="FangSong" w:eastAsia="FangSong" w:cs="FangSong"/>
          <w:sz w:val="24"/>
          <w:szCs w:val="24"/>
          <w:spacing w:val="-1"/>
        </w:rPr>
        <w:t>面空气质量</w:t>
      </w:r>
      <w:r>
        <w:rPr>
          <w:rFonts w:ascii="FangSong" w:hAnsi="FangSong" w:eastAsia="FangSong" w:cs="FangSong"/>
          <w:sz w:val="24"/>
          <w:szCs w:val="24"/>
          <w:spacing w:val="-3"/>
        </w:rPr>
        <w:t>浓度，</w:t>
      </w:r>
      <w:r>
        <w:rPr>
          <w:rFonts w:ascii="Times New Roman" w:hAnsi="Times New Roman" w:eastAsia="Times New Roman" w:cs="Times New Roman"/>
          <w:sz w:val="24"/>
          <w:szCs w:val="24"/>
          <w:spacing w:val="-3"/>
        </w:rPr>
        <w:t>μg/m</w:t>
      </w:r>
      <w:r>
        <w:rPr>
          <w:rFonts w:ascii="Times New Roman" w:hAnsi="Times New Roman" w:eastAsia="Times New Roman" w:cs="Times New Roman"/>
          <w:sz w:val="15"/>
          <w:szCs w:val="15"/>
          <w:spacing w:val="-3"/>
          <w:position w:val="7"/>
        </w:rPr>
        <w:t>3</w:t>
      </w:r>
      <w:r>
        <w:rPr>
          <w:rFonts w:ascii="FangSong" w:hAnsi="FangSong" w:eastAsia="FangSong" w:cs="FangSong"/>
          <w:sz w:val="24"/>
          <w:szCs w:val="24"/>
          <w:spacing w:val="-3"/>
        </w:rPr>
        <w:t>；</w:t>
      </w:r>
    </w:p>
    <w:p>
      <w:pPr>
        <w:spacing w:line="367" w:lineRule="auto"/>
        <w:sectPr>
          <w:headerReference w:type="default" r:id="rId62"/>
          <w:footerReference w:type="default" r:id="rId63"/>
          <w:pgSz w:w="11911" w:h="16839"/>
          <w:pgMar w:top="1449" w:right="1309" w:bottom="1146" w:left="1689" w:header="1440" w:footer="984" w:gutter="0"/>
        </w:sectPr>
        <w:rPr>
          <w:rFonts w:ascii="FangSong" w:hAnsi="FangSong" w:eastAsia="FangSong" w:cs="FangSong"/>
          <w:sz w:val="24"/>
          <w:szCs w:val="24"/>
        </w:rPr>
      </w:pP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4" w:lineRule="auto"/>
        <w:rPr/>
      </w:pPr>
      <w:r/>
    </w:p>
    <w:p>
      <w:pPr>
        <w:ind w:left="1317"/>
        <w:spacing w:before="78" w:line="212" w:lineRule="auto"/>
        <w:rPr>
          <w:rFonts w:ascii="FangSong" w:hAnsi="FangSong" w:eastAsia="FangSong" w:cs="FangSong"/>
          <w:sz w:val="24"/>
          <w:szCs w:val="24"/>
        </w:rPr>
      </w:pPr>
      <w:bookmarkStart w:name="bookmark517" w:id="97"/>
      <w:bookmarkEnd w:id="97"/>
      <w:r>
        <w:rPr>
          <w:rFonts w:ascii="Times New Roman" w:hAnsi="Times New Roman" w:eastAsia="Times New Roman" w:cs="Times New Roman"/>
          <w:sz w:val="24"/>
          <w:szCs w:val="24"/>
          <w:spacing w:val="-1"/>
        </w:rPr>
        <w:t>C</w:t>
      </w:r>
      <w:r>
        <w:rPr>
          <w:rFonts w:ascii="Times New Roman" w:hAnsi="Times New Roman" w:eastAsia="Times New Roman" w:cs="Times New Roman"/>
          <w:sz w:val="15"/>
          <w:szCs w:val="15"/>
          <w:spacing w:val="-1"/>
          <w:position w:val="-1"/>
        </w:rPr>
        <w:t>0i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第</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1"/>
        </w:rPr>
        <w:t>i</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个污染物的环境空气质量浓度标准，</w:t>
      </w:r>
      <w:r>
        <w:rPr>
          <w:rFonts w:ascii="Times New Roman" w:hAnsi="Times New Roman" w:eastAsia="Times New Roman" w:cs="Times New Roman"/>
          <w:sz w:val="24"/>
          <w:szCs w:val="24"/>
          <w:spacing w:val="-1"/>
        </w:rPr>
        <w:t>μg/m</w:t>
      </w:r>
      <w:r>
        <w:rPr>
          <w:rFonts w:ascii="Times New Roman" w:hAnsi="Times New Roman" w:eastAsia="Times New Roman" w:cs="Times New Roman"/>
          <w:sz w:val="15"/>
          <w:szCs w:val="15"/>
          <w:spacing w:val="-1"/>
          <w:position w:val="8"/>
        </w:rPr>
        <w:t>3</w:t>
      </w:r>
      <w:r>
        <w:rPr>
          <w:rFonts w:ascii="FangSong" w:hAnsi="FangSong" w:eastAsia="FangSong" w:cs="FangSong"/>
          <w:sz w:val="24"/>
          <w:szCs w:val="24"/>
          <w:spacing w:val="-1"/>
        </w:rPr>
        <w:t>。</w:t>
      </w:r>
    </w:p>
    <w:p>
      <w:pPr>
        <w:ind w:left="123" w:right="43" w:firstLine="484"/>
        <w:spacing w:before="206" w:line="369" w:lineRule="auto"/>
        <w:jc w:val="both"/>
        <w:rPr>
          <w:rFonts w:ascii="FangSong" w:hAnsi="FangSong" w:eastAsia="FangSong" w:cs="FangSong"/>
          <w:sz w:val="24"/>
          <w:szCs w:val="24"/>
        </w:rPr>
      </w:pPr>
      <w:r>
        <w:rPr>
          <w:rFonts w:ascii="FangSong" w:hAnsi="FangSong" w:eastAsia="FangSong" w:cs="FangSong"/>
          <w:sz w:val="24"/>
          <w:szCs w:val="24"/>
          <w:spacing w:val="-3"/>
        </w:rPr>
        <w:t>一般选用《环境空气质量标准》（</w:t>
      </w:r>
      <w:r>
        <w:rPr>
          <w:rFonts w:ascii="Times New Roman" w:hAnsi="Times New Roman" w:eastAsia="Times New Roman" w:cs="Times New Roman"/>
          <w:sz w:val="24"/>
          <w:szCs w:val="24"/>
          <w:spacing w:val="-3"/>
        </w:rPr>
        <w:t>GB3095-2012</w:t>
      </w:r>
      <w:r>
        <w:rPr>
          <w:rFonts w:ascii="FangSong" w:hAnsi="FangSong" w:eastAsia="FangSong" w:cs="FangSong"/>
          <w:sz w:val="24"/>
          <w:szCs w:val="24"/>
          <w:spacing w:val="-3"/>
        </w:rPr>
        <w:t>）</w:t>
      </w:r>
      <w:r>
        <w:rPr>
          <w:rFonts w:ascii="FangSong" w:hAnsi="FangSong" w:eastAsia="FangSong" w:cs="FangSong"/>
          <w:sz w:val="24"/>
          <w:szCs w:val="24"/>
          <w:spacing w:val="-61"/>
        </w:rPr>
        <w:t xml:space="preserve"> </w:t>
      </w:r>
      <w:r>
        <w:rPr>
          <w:rFonts w:ascii="FangSong" w:hAnsi="FangSong" w:eastAsia="FangSong" w:cs="FangSong"/>
          <w:sz w:val="24"/>
          <w:szCs w:val="24"/>
          <w:spacing w:val="-3"/>
        </w:rPr>
        <w:t>中</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1h</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平均质量浓度的二级浓</w:t>
      </w:r>
      <w:r>
        <w:rPr>
          <w:rFonts w:ascii="FangSong" w:hAnsi="FangSong" w:eastAsia="FangSong" w:cs="FangSong"/>
          <w:sz w:val="24"/>
          <w:szCs w:val="24"/>
          <w:spacing w:val="-2"/>
        </w:rPr>
        <w:t>度限值，对该标准中未包含的污染物，使用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确定的各评价因子</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1h</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平均质量浓度</w:t>
      </w:r>
      <w:r>
        <w:rPr>
          <w:rFonts w:ascii="FangSong" w:hAnsi="FangSong" w:eastAsia="FangSong" w:cs="FangSong"/>
          <w:sz w:val="24"/>
          <w:szCs w:val="24"/>
          <w:spacing w:val="-8"/>
        </w:rPr>
        <w:t>限值。对仅有</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8"/>
        </w:rPr>
        <w:t>8h</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8"/>
        </w:rPr>
        <w:t>平均质量浓度限值、日平均质量浓度限值或年平均质量浓度限值的，</w:t>
      </w:r>
      <w:r>
        <w:rPr>
          <w:rFonts w:ascii="FangSong" w:hAnsi="FangSong" w:eastAsia="FangSong" w:cs="FangSong"/>
          <w:sz w:val="24"/>
          <w:szCs w:val="24"/>
          <w:spacing w:val="-2"/>
        </w:rPr>
        <w:t>可分别按</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倍、</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倍、</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2"/>
        </w:rPr>
        <w:t>倍折算为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1h</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平均质量浓度限值。评价级别判据依据《环境</w:t>
      </w:r>
      <w:r>
        <w:rPr>
          <w:rFonts w:ascii="FangSong" w:hAnsi="FangSong" w:eastAsia="FangSong" w:cs="FangSong"/>
          <w:sz w:val="24"/>
          <w:szCs w:val="24"/>
        </w:rPr>
        <w:t>影响评价技术导则</w:t>
      </w:r>
      <w:r>
        <w:rPr>
          <w:rFonts w:ascii="FangSong" w:hAnsi="FangSong" w:eastAsia="FangSong" w:cs="FangSong"/>
          <w:sz w:val="24"/>
          <w:szCs w:val="24"/>
        </w:rPr>
        <w:t xml:space="preserve"> </w:t>
      </w:r>
      <w:r>
        <w:rPr>
          <w:rFonts w:ascii="FangSong" w:hAnsi="FangSong" w:eastAsia="FangSong" w:cs="FangSong"/>
          <w:sz w:val="24"/>
          <w:szCs w:val="24"/>
        </w:rPr>
        <w:t>大气环境》（</w:t>
      </w:r>
      <w:r>
        <w:rPr>
          <w:rFonts w:ascii="Times New Roman" w:hAnsi="Times New Roman" w:eastAsia="Times New Roman" w:cs="Times New Roman"/>
          <w:sz w:val="24"/>
          <w:szCs w:val="24"/>
        </w:rPr>
        <w:t>HJ2.</w:t>
      </w:r>
      <w:r>
        <w:rPr>
          <w:rFonts w:ascii="Times New Roman" w:hAnsi="Times New Roman" w:eastAsia="Times New Roman" w:cs="Times New Roman"/>
          <w:sz w:val="24"/>
          <w:szCs w:val="24"/>
          <w:spacing w:val="-1"/>
        </w:rPr>
        <w:t>2-2018</w:t>
      </w:r>
      <w:r>
        <w:rPr>
          <w:rFonts w:ascii="FangSong" w:hAnsi="FangSong" w:eastAsia="FangSong" w:cs="FangSong"/>
          <w:sz w:val="24"/>
          <w:szCs w:val="24"/>
          <w:spacing w:val="-1"/>
        </w:rPr>
        <w:t>）</w:t>
      </w:r>
      <w:r>
        <w:rPr>
          <w:rFonts w:ascii="FangSong" w:hAnsi="FangSong" w:eastAsia="FangSong" w:cs="FangSong"/>
          <w:sz w:val="24"/>
          <w:szCs w:val="24"/>
          <w:spacing w:val="-64"/>
        </w:rPr>
        <w:t xml:space="preserve"> </w:t>
      </w:r>
      <w:r>
        <w:rPr>
          <w:rFonts w:ascii="FangSong" w:hAnsi="FangSong" w:eastAsia="FangSong" w:cs="FangSong"/>
          <w:sz w:val="24"/>
          <w:szCs w:val="24"/>
          <w:spacing w:val="-1"/>
        </w:rPr>
        <w:t>中规定，如污染物数</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i</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大于</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，取</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P</w:t>
      </w:r>
      <w:r>
        <w:rPr>
          <w:rFonts w:ascii="FangSong" w:hAnsi="FangSong" w:eastAsia="FangSong" w:cs="FangSong"/>
          <w:sz w:val="24"/>
          <w:szCs w:val="24"/>
          <w:spacing w:val="-4"/>
        </w:rPr>
        <w:t>值中最大者（</w:t>
      </w:r>
      <w:r>
        <w:rPr>
          <w:rFonts w:ascii="Times New Roman" w:hAnsi="Times New Roman" w:eastAsia="Times New Roman" w:cs="Times New Roman"/>
          <w:sz w:val="24"/>
          <w:szCs w:val="24"/>
          <w:spacing w:val="-4"/>
        </w:rPr>
        <w:t>P</w:t>
      </w:r>
      <w:r>
        <w:rPr>
          <w:rFonts w:ascii="Times New Roman" w:hAnsi="Times New Roman" w:eastAsia="Times New Roman" w:cs="Times New Roman"/>
          <w:sz w:val="15"/>
          <w:szCs w:val="15"/>
          <w:spacing w:val="-4"/>
          <w:position w:val="-1"/>
        </w:rPr>
        <w:t>max </w:t>
      </w:r>
      <w:r>
        <w:rPr>
          <w:rFonts w:ascii="FangSong" w:hAnsi="FangSong" w:eastAsia="FangSong" w:cs="FangSong"/>
          <w:sz w:val="24"/>
          <w:szCs w:val="24"/>
          <w:spacing w:val="-4"/>
        </w:rPr>
        <w:t>）。</w:t>
      </w:r>
    </w:p>
    <w:p>
      <w:pPr>
        <w:ind w:left="607"/>
        <w:spacing w:line="222" w:lineRule="auto"/>
        <w:rPr>
          <w:rFonts w:ascii="FangSong" w:hAnsi="FangSong" w:eastAsia="FangSong" w:cs="FangSong"/>
          <w:sz w:val="24"/>
          <w:szCs w:val="24"/>
        </w:rPr>
      </w:pPr>
      <w:r>
        <w:rPr>
          <w:rFonts w:ascii="FangSong" w:hAnsi="FangSong" w:eastAsia="FangSong" w:cs="FangSong"/>
          <w:sz w:val="24"/>
          <w:szCs w:val="24"/>
          <w:spacing w:val="-2"/>
        </w:rPr>
        <w:t>大气评价等级判定见表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2.5-2</w:t>
      </w:r>
      <w:r>
        <w:rPr>
          <w:rFonts w:ascii="FangSong" w:hAnsi="FangSong" w:eastAsia="FangSong" w:cs="FangSong"/>
          <w:sz w:val="24"/>
          <w:szCs w:val="24"/>
          <w:spacing w:val="-2"/>
        </w:rPr>
        <w:t>。</w:t>
      </w:r>
    </w:p>
    <w:p>
      <w:pPr>
        <w:ind w:left="3529"/>
        <w:spacing w:before="191" w:line="220"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b/>
          <w:bCs/>
          <w:spacing w:val="-5"/>
        </w:rPr>
        <w:t>2.5-2</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5"/>
        </w:rPr>
        <w:t>评价工作等级</w:t>
      </w:r>
    </w:p>
    <w:p>
      <w:pPr>
        <w:spacing w:line="14"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94"/>
        <w:gridCol w:w="5518"/>
      </w:tblGrid>
      <w:tr>
        <w:trPr>
          <w:trHeight w:val="398" w:hRule="atLeast"/>
        </w:trPr>
        <w:tc>
          <w:tcPr>
            <w:tcW w:w="3394" w:type="dxa"/>
            <w:vAlign w:val="top"/>
            <w:tcBorders>
              <w:left w:val="nil"/>
              <w:top w:val="single" w:color="000000" w:sz="10" w:space="0"/>
            </w:tcBorders>
          </w:tcPr>
          <w:p>
            <w:pPr>
              <w:pStyle w:val="TableText"/>
              <w:ind w:left="1080"/>
              <w:spacing w:before="96" w:line="229" w:lineRule="auto"/>
              <w:rPr/>
            </w:pPr>
            <w:r>
              <w:rPr>
                <w:spacing w:val="7"/>
              </w:rPr>
              <w:t>评价工作等级</w:t>
            </w:r>
          </w:p>
        </w:tc>
        <w:tc>
          <w:tcPr>
            <w:tcW w:w="5518" w:type="dxa"/>
            <w:vAlign w:val="top"/>
            <w:tcBorders>
              <w:right w:val="nil"/>
              <w:top w:val="single" w:color="000000" w:sz="10" w:space="0"/>
            </w:tcBorders>
          </w:tcPr>
          <w:p>
            <w:pPr>
              <w:pStyle w:val="TableText"/>
              <w:ind w:left="1929"/>
              <w:spacing w:before="96" w:line="229" w:lineRule="auto"/>
              <w:rPr/>
            </w:pPr>
            <w:r>
              <w:rPr>
                <w:spacing w:val="7"/>
              </w:rPr>
              <w:t>评价工作分级判据</w:t>
            </w:r>
          </w:p>
        </w:tc>
      </w:tr>
      <w:tr>
        <w:trPr>
          <w:trHeight w:val="414" w:hRule="atLeast"/>
        </w:trPr>
        <w:tc>
          <w:tcPr>
            <w:tcW w:w="3394" w:type="dxa"/>
            <w:vAlign w:val="top"/>
            <w:tcBorders>
              <w:left w:val="nil"/>
            </w:tcBorders>
          </w:tcPr>
          <w:p>
            <w:pPr>
              <w:pStyle w:val="TableText"/>
              <w:ind w:left="1503"/>
              <w:spacing w:before="108" w:line="232" w:lineRule="auto"/>
              <w:rPr/>
            </w:pPr>
            <w:r>
              <w:rPr/>
              <w:t>一级</w:t>
            </w:r>
          </w:p>
        </w:tc>
        <w:tc>
          <w:tcPr>
            <w:tcW w:w="5518" w:type="dxa"/>
            <w:vAlign w:val="top"/>
            <w:tcBorders>
              <w:right w:val="nil"/>
            </w:tcBorders>
          </w:tcPr>
          <w:p>
            <w:pPr>
              <w:ind w:left="2334"/>
              <w:spacing w:before="144"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z w:val="13"/>
                <w:szCs w:val="13"/>
                <w:position w:val="-1"/>
              </w:rPr>
              <w:t>max</w:t>
            </w:r>
            <w:r>
              <w:rPr>
                <w:rFonts w:ascii="Times New Roman" w:hAnsi="Times New Roman" w:eastAsia="Times New Roman" w:cs="Times New Roman"/>
                <w:sz w:val="20"/>
                <w:szCs w:val="20"/>
                <w:spacing w:val="9"/>
              </w:rPr>
              <w:t>≥10%</w:t>
            </w:r>
          </w:p>
        </w:tc>
      </w:tr>
      <w:tr>
        <w:trPr>
          <w:trHeight w:val="414" w:hRule="atLeast"/>
        </w:trPr>
        <w:tc>
          <w:tcPr>
            <w:tcW w:w="3394" w:type="dxa"/>
            <w:vAlign w:val="top"/>
            <w:tcBorders>
              <w:left w:val="nil"/>
            </w:tcBorders>
          </w:tcPr>
          <w:p>
            <w:pPr>
              <w:pStyle w:val="TableText"/>
              <w:ind w:left="1506"/>
              <w:spacing w:before="114" w:line="232" w:lineRule="auto"/>
              <w:rPr/>
            </w:pPr>
            <w:r>
              <w:rPr>
                <w:spacing w:val="2"/>
              </w:rPr>
              <w:t>二级</w:t>
            </w:r>
          </w:p>
        </w:tc>
        <w:tc>
          <w:tcPr>
            <w:tcW w:w="5518" w:type="dxa"/>
            <w:vAlign w:val="top"/>
            <w:tcBorders>
              <w:right w:val="nil"/>
            </w:tcBorders>
          </w:tcPr>
          <w:p>
            <w:pPr>
              <w:pStyle w:val="TableText"/>
              <w:ind w:left="2110"/>
              <w:spacing w:before="114" w:line="236" w:lineRule="auto"/>
              <w:rPr>
                <w:rFonts w:ascii="Times New Roman" w:hAnsi="Times New Roman" w:eastAsia="Times New Roman" w:cs="Times New Roman"/>
              </w:rPr>
            </w:pPr>
            <w:r>
              <w:rPr>
                <w:rFonts w:ascii="Times New Roman" w:hAnsi="Times New Roman" w:eastAsia="Times New Roman" w:cs="Times New Roman"/>
                <w:spacing w:val="5"/>
              </w:rPr>
              <w:t>1%≤</w:t>
            </w:r>
            <w:r>
              <w:rPr>
                <w:rFonts w:ascii="Times New Roman" w:hAnsi="Times New Roman" w:eastAsia="Times New Roman" w:cs="Times New Roman"/>
              </w:rPr>
              <w:t>P</w:t>
            </w:r>
            <w:r>
              <w:rPr>
                <w:rFonts w:ascii="Times New Roman" w:hAnsi="Times New Roman" w:eastAsia="Times New Roman" w:cs="Times New Roman"/>
                <w:sz w:val="13"/>
                <w:szCs w:val="13"/>
                <w:position w:val="-1"/>
              </w:rPr>
              <w:t>max</w:t>
            </w:r>
            <w:r>
              <w:rPr>
                <w:spacing w:val="5"/>
              </w:rPr>
              <w:t>＜</w:t>
            </w:r>
            <w:r>
              <w:rPr>
                <w:rFonts w:ascii="Times New Roman" w:hAnsi="Times New Roman" w:eastAsia="Times New Roman" w:cs="Times New Roman"/>
                <w:spacing w:val="5"/>
              </w:rPr>
              <w:t>10%</w:t>
            </w:r>
          </w:p>
        </w:tc>
      </w:tr>
      <w:tr>
        <w:trPr>
          <w:trHeight w:val="437" w:hRule="atLeast"/>
        </w:trPr>
        <w:tc>
          <w:tcPr>
            <w:tcW w:w="3394" w:type="dxa"/>
            <w:vAlign w:val="top"/>
            <w:tcBorders>
              <w:left w:val="nil"/>
              <w:bottom w:val="single" w:color="000000" w:sz="10" w:space="0"/>
            </w:tcBorders>
          </w:tcPr>
          <w:p>
            <w:pPr>
              <w:pStyle w:val="TableText"/>
              <w:ind w:left="1505"/>
              <w:spacing w:before="120" w:line="232" w:lineRule="auto"/>
              <w:rPr/>
            </w:pPr>
            <w:r>
              <w:rPr>
                <w:spacing w:val="-1"/>
              </w:rPr>
              <w:t>三级</w:t>
            </w:r>
          </w:p>
        </w:tc>
        <w:tc>
          <w:tcPr>
            <w:tcW w:w="5518" w:type="dxa"/>
            <w:vAlign w:val="top"/>
            <w:tcBorders>
              <w:right w:val="nil"/>
              <w:bottom w:val="single" w:color="000000" w:sz="10" w:space="0"/>
            </w:tcBorders>
          </w:tcPr>
          <w:p>
            <w:pPr>
              <w:pStyle w:val="TableText"/>
              <w:ind w:left="2338"/>
              <w:spacing w:before="119" w:line="241" w:lineRule="auto"/>
              <w:rPr>
                <w:rFonts w:ascii="Times New Roman" w:hAnsi="Times New Roman" w:eastAsia="Times New Roman" w:cs="Times New Roman"/>
              </w:rPr>
            </w:pPr>
            <w:r>
              <w:rPr>
                <w:rFonts w:ascii="Times New Roman" w:hAnsi="Times New Roman" w:eastAsia="Times New Roman" w:cs="Times New Roman"/>
              </w:rPr>
              <w:t>P</w:t>
            </w:r>
            <w:r>
              <w:rPr>
                <w:rFonts w:ascii="Times New Roman" w:hAnsi="Times New Roman" w:eastAsia="Times New Roman" w:cs="Times New Roman"/>
                <w:sz w:val="13"/>
                <w:szCs w:val="13"/>
                <w:position w:val="-1"/>
              </w:rPr>
              <w:t>max</w:t>
            </w:r>
            <w:r>
              <w:rPr>
                <w:spacing w:val="12"/>
              </w:rPr>
              <w:t>＜</w:t>
            </w:r>
            <w:r>
              <w:rPr>
                <w:rFonts w:ascii="Times New Roman" w:hAnsi="Times New Roman" w:eastAsia="Times New Roman" w:cs="Times New Roman"/>
                <w:spacing w:val="12"/>
              </w:rPr>
              <w:t>1%</w:t>
            </w:r>
          </w:p>
        </w:tc>
      </w:tr>
    </w:tbl>
    <w:p>
      <w:pPr>
        <w:pStyle w:val="BodyText"/>
        <w:spacing w:line="289" w:lineRule="auto"/>
        <w:rPr/>
      </w:pPr>
      <w:r/>
    </w:p>
    <w:p>
      <w:pPr>
        <w:pStyle w:val="BodyText"/>
        <w:spacing w:line="290" w:lineRule="auto"/>
        <w:rPr/>
      </w:pPr>
      <w:r/>
    </w:p>
    <w:p>
      <w:pPr>
        <w:ind w:left="609"/>
        <w:spacing w:before="78"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）评价因子和评价标准筛选</w:t>
      </w:r>
    </w:p>
    <w:p>
      <w:pPr>
        <w:ind w:left="127" w:right="43" w:firstLine="478"/>
        <w:spacing w:before="192" w:line="369" w:lineRule="auto"/>
        <w:rPr>
          <w:rFonts w:ascii="FangSong" w:hAnsi="FangSong" w:eastAsia="FangSong" w:cs="FangSong"/>
          <w:sz w:val="24"/>
          <w:szCs w:val="24"/>
        </w:rPr>
      </w:pPr>
      <w:r>
        <w:rPr>
          <w:rFonts w:ascii="FangSong" w:hAnsi="FangSong" w:eastAsia="FangSong" w:cs="FangSong"/>
          <w:sz w:val="24"/>
          <w:szCs w:val="24"/>
          <w:spacing w:val="-8"/>
        </w:rPr>
        <w:t>本项目区域环境空气功能区划为《环境空气质量标准》（</w:t>
      </w:r>
      <w:r>
        <w:rPr>
          <w:rFonts w:ascii="Times New Roman" w:hAnsi="Times New Roman" w:eastAsia="Times New Roman" w:cs="Times New Roman"/>
          <w:sz w:val="24"/>
          <w:szCs w:val="24"/>
          <w:spacing w:val="-8"/>
        </w:rPr>
        <w:t>GB3095-2012</w:t>
      </w:r>
      <w:r>
        <w:rPr>
          <w:rFonts w:ascii="FangSong" w:hAnsi="FangSong" w:eastAsia="FangSong" w:cs="FangSong"/>
          <w:sz w:val="24"/>
          <w:szCs w:val="24"/>
          <w:spacing w:val="-8"/>
        </w:rPr>
        <w:t>）二类区，</w:t>
      </w:r>
      <w:r>
        <w:rPr>
          <w:rFonts w:ascii="FangSong" w:hAnsi="FangSong" w:eastAsia="FangSong" w:cs="FangSong"/>
          <w:sz w:val="24"/>
          <w:szCs w:val="24"/>
          <w:spacing w:val="-2"/>
        </w:rPr>
        <w:t>具体评价因子和评价标准见</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2.5-3</w:t>
      </w:r>
      <w:r>
        <w:rPr>
          <w:rFonts w:ascii="FangSong" w:hAnsi="FangSong" w:eastAsia="FangSong" w:cs="FangSong"/>
          <w:sz w:val="24"/>
          <w:szCs w:val="24"/>
          <w:spacing w:val="-2"/>
        </w:rPr>
        <w:t>。</w:t>
      </w:r>
    </w:p>
    <w:p>
      <w:pPr>
        <w:ind w:left="2807"/>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2.5-3  </w:t>
      </w:r>
      <w:r>
        <w:rPr>
          <w:rFonts w:ascii="FangSong" w:hAnsi="FangSong" w:eastAsia="FangSong" w:cs="FangSong"/>
          <w:sz w:val="24"/>
          <w:szCs w:val="24"/>
          <w:b/>
          <w:bCs/>
          <w:spacing w:val="-3"/>
        </w:rPr>
        <w:t>评价因子和评价标准一览表</w:t>
      </w:r>
    </w:p>
    <w:p>
      <w:pPr>
        <w:spacing w:line="131" w:lineRule="auto"/>
        <w:rPr>
          <w:rFonts w:ascii="Arial"/>
          <w:sz w:val="2"/>
        </w:rPr>
      </w:pPr>
      <w:r>
        <w:rPr>
          <w:rFonts w:ascii="Arial"/>
          <w:sz w:val="2"/>
        </w:rPr>
      </w:r>
    </w:p>
    <w:tbl>
      <w:tblPr>
        <w:tblStyle w:val="TableNormal"/>
        <w:tblW w:w="8908" w:type="dxa"/>
        <w:tblInd w:w="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3"/>
        <w:gridCol w:w="1668"/>
        <w:gridCol w:w="1928"/>
        <w:gridCol w:w="3649"/>
      </w:tblGrid>
      <w:tr>
        <w:trPr>
          <w:trHeight w:val="433" w:hRule="atLeast"/>
        </w:trPr>
        <w:tc>
          <w:tcPr>
            <w:tcW w:w="1663" w:type="dxa"/>
            <w:vAlign w:val="top"/>
            <w:tcBorders>
              <w:left w:val="nil"/>
              <w:top w:val="single" w:color="000000" w:sz="10" w:space="0"/>
            </w:tcBorders>
          </w:tcPr>
          <w:p>
            <w:pPr>
              <w:pStyle w:val="TableText"/>
              <w:ind w:left="426"/>
              <w:spacing w:before="111" w:line="231" w:lineRule="auto"/>
              <w:rPr/>
            </w:pPr>
            <w:r>
              <w:rPr>
                <w:spacing w:val="5"/>
              </w:rPr>
              <w:t>评价因子</w:t>
            </w:r>
          </w:p>
        </w:tc>
        <w:tc>
          <w:tcPr>
            <w:tcW w:w="1668" w:type="dxa"/>
            <w:vAlign w:val="top"/>
            <w:tcBorders>
              <w:top w:val="single" w:color="000000" w:sz="10" w:space="0"/>
            </w:tcBorders>
          </w:tcPr>
          <w:p>
            <w:pPr>
              <w:pStyle w:val="TableText"/>
              <w:ind w:left="426"/>
              <w:spacing w:before="111" w:line="231" w:lineRule="auto"/>
              <w:rPr/>
            </w:pPr>
            <w:r>
              <w:rPr>
                <w:spacing w:val="5"/>
              </w:rPr>
              <w:t>评价时段</w:t>
            </w:r>
          </w:p>
        </w:tc>
        <w:tc>
          <w:tcPr>
            <w:tcW w:w="1928" w:type="dxa"/>
            <w:vAlign w:val="top"/>
            <w:tcBorders>
              <w:top w:val="single" w:color="000000" w:sz="10" w:space="0"/>
            </w:tcBorders>
          </w:tcPr>
          <w:p>
            <w:pPr>
              <w:pStyle w:val="TableText"/>
              <w:ind w:left="165"/>
              <w:spacing w:before="111" w:line="221" w:lineRule="auto"/>
              <w:rPr/>
            </w:pPr>
            <w:r>
              <w:rPr>
                <w:spacing w:val="3"/>
              </w:rPr>
              <w:t>标准值</w:t>
            </w:r>
            <w:r>
              <w:rPr>
                <w:rFonts w:ascii="Times New Roman" w:hAnsi="Times New Roman" w:eastAsia="Times New Roman" w:cs="Times New Roman"/>
                <w:spacing w:val="3"/>
              </w:rPr>
              <w:t>/</w:t>
            </w:r>
            <w:r>
              <w:rPr>
                <w:rFonts w:ascii="Times New Roman" w:hAnsi="Times New Roman" w:eastAsia="Times New Roman" w:cs="Times New Roman"/>
                <w:spacing w:val="10"/>
              </w:rPr>
              <w:t xml:space="preserve">  </w:t>
            </w:r>
            <w:r>
              <w:rPr>
                <w:spacing w:val="3"/>
              </w:rPr>
              <w:t>(</w:t>
            </w:r>
            <w:r>
              <w:rPr>
                <w:rFonts w:ascii="Times New Roman" w:hAnsi="Times New Roman" w:eastAsia="Times New Roman" w:cs="Times New Roman"/>
                <w:spacing w:val="3"/>
              </w:rPr>
              <w:t>μg/m</w:t>
            </w:r>
            <w:r>
              <w:rPr>
                <w:rFonts w:ascii="Times New Roman" w:hAnsi="Times New Roman" w:eastAsia="Times New Roman" w:cs="Times New Roman"/>
                <w:sz w:val="13"/>
                <w:szCs w:val="13"/>
                <w:spacing w:val="3"/>
                <w:position w:val="6"/>
              </w:rPr>
              <w:t>3</w:t>
            </w:r>
            <w:r>
              <w:rPr>
                <w:spacing w:val="3"/>
              </w:rPr>
              <w:t>）</w:t>
            </w:r>
          </w:p>
        </w:tc>
        <w:tc>
          <w:tcPr>
            <w:tcW w:w="3649" w:type="dxa"/>
            <w:vAlign w:val="top"/>
            <w:tcBorders>
              <w:right w:val="nil"/>
              <w:top w:val="single" w:color="000000" w:sz="10" w:space="0"/>
            </w:tcBorders>
          </w:tcPr>
          <w:p>
            <w:pPr>
              <w:pStyle w:val="TableText"/>
              <w:ind w:left="1415"/>
              <w:spacing w:before="111" w:line="230" w:lineRule="auto"/>
              <w:rPr/>
            </w:pPr>
            <w:r>
              <w:rPr>
                <w:spacing w:val="6"/>
              </w:rPr>
              <w:t>标准来源</w:t>
            </w:r>
          </w:p>
        </w:tc>
      </w:tr>
      <w:tr>
        <w:trPr>
          <w:trHeight w:val="429" w:hRule="atLeast"/>
        </w:trPr>
        <w:tc>
          <w:tcPr>
            <w:tcW w:w="1663" w:type="dxa"/>
            <w:vAlign w:val="top"/>
            <w:tcBorders>
              <w:left w:val="nil"/>
            </w:tcBorders>
          </w:tcPr>
          <w:p>
            <w:pPr>
              <w:ind w:left="65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668" w:type="dxa"/>
            <w:vAlign w:val="top"/>
          </w:tcPr>
          <w:p>
            <w:pPr>
              <w:pStyle w:val="TableText"/>
              <w:ind w:left="283"/>
              <w:spacing w:before="109" w:line="232" w:lineRule="auto"/>
              <w:rPr/>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1928" w:type="dxa"/>
            <w:vAlign w:val="top"/>
          </w:tcPr>
          <w:p>
            <w:pPr>
              <w:ind w:left="81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3649" w:type="dxa"/>
            <w:vAlign w:val="top"/>
            <w:vMerge w:val="restart"/>
            <w:tcBorders>
              <w:right w:val="nil"/>
              <w:bottom w:val="nil"/>
            </w:tcBorders>
          </w:tcPr>
          <w:p>
            <w:pPr>
              <w:spacing w:line="340" w:lineRule="auto"/>
              <w:rPr>
                <w:rFonts w:ascii="Arial"/>
                <w:sz w:val="21"/>
              </w:rPr>
            </w:pPr>
            <w:r/>
          </w:p>
          <w:p>
            <w:pPr>
              <w:pStyle w:val="TableText"/>
              <w:ind w:right="12"/>
              <w:spacing w:before="65" w:line="231" w:lineRule="auto"/>
              <w:jc w:val="right"/>
              <w:rPr/>
            </w:pPr>
            <w:r>
              <w:rPr>
                <w:spacing w:val="-2"/>
              </w:rPr>
              <w:t>《环境空气质量标准》（</w:t>
            </w:r>
            <w:r>
              <w:rPr>
                <w:rFonts w:ascii="Times New Roman" w:hAnsi="Times New Roman" w:eastAsia="Times New Roman" w:cs="Times New Roman"/>
                <w:spacing w:val="-2"/>
              </w:rPr>
              <w:t>GB3095-2012</w:t>
            </w:r>
            <w:r>
              <w:rPr>
                <w:spacing w:val="-2"/>
              </w:rPr>
              <w:t>）</w:t>
            </w:r>
          </w:p>
          <w:p>
            <w:pPr>
              <w:pStyle w:val="TableText"/>
              <w:ind w:left="1337"/>
              <w:spacing w:before="23" w:line="231" w:lineRule="auto"/>
              <w:rPr/>
            </w:pPr>
            <w:r>
              <w:rPr>
                <w:spacing w:val="1"/>
              </w:rPr>
              <w:t>中二级标准</w:t>
            </w:r>
          </w:p>
        </w:tc>
      </w:tr>
      <w:tr>
        <w:trPr>
          <w:trHeight w:val="429" w:hRule="atLeast"/>
        </w:trPr>
        <w:tc>
          <w:tcPr>
            <w:tcW w:w="1663" w:type="dxa"/>
            <w:vAlign w:val="top"/>
            <w:tcBorders>
              <w:left w:val="nil"/>
            </w:tcBorders>
          </w:tcPr>
          <w:p>
            <w:pPr>
              <w:ind w:left="644"/>
              <w:spacing w:before="146"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668" w:type="dxa"/>
            <w:vAlign w:val="top"/>
          </w:tcPr>
          <w:p>
            <w:pPr>
              <w:pStyle w:val="TableText"/>
              <w:ind w:left="356"/>
              <w:spacing w:before="109" w:line="232" w:lineRule="auto"/>
              <w:rPr/>
            </w:pPr>
            <w:r>
              <w:rPr>
                <w:rFonts w:ascii="Times New Roman" w:hAnsi="Times New Roman" w:eastAsia="Times New Roman" w:cs="Times New Roman"/>
              </w:rPr>
              <w:t>1</w:t>
            </w:r>
            <w:r>
              <w:rPr>
                <w:rFonts w:ascii="Times New Roman" w:hAnsi="Times New Roman" w:eastAsia="Times New Roman" w:cs="Times New Roman"/>
                <w:spacing w:val="18"/>
              </w:rPr>
              <w:t xml:space="preserve"> </w:t>
            </w:r>
            <w:r>
              <w:rPr/>
              <w:t>小时平均</w:t>
            </w:r>
          </w:p>
        </w:tc>
        <w:tc>
          <w:tcPr>
            <w:tcW w:w="1928" w:type="dxa"/>
            <w:vAlign w:val="top"/>
          </w:tcPr>
          <w:p>
            <w:pPr>
              <w:ind w:left="80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3649" w:type="dxa"/>
            <w:vAlign w:val="top"/>
            <w:vMerge w:val="continue"/>
            <w:tcBorders>
              <w:right w:val="nil"/>
              <w:top w:val="nil"/>
              <w:bottom w:val="nil"/>
            </w:tcBorders>
          </w:tcPr>
          <w:p>
            <w:pPr>
              <w:rPr>
                <w:rFonts w:ascii="Arial"/>
                <w:sz w:val="21"/>
              </w:rPr>
            </w:pPr>
            <w:r/>
          </w:p>
        </w:tc>
      </w:tr>
      <w:tr>
        <w:trPr>
          <w:trHeight w:val="433" w:hRule="atLeast"/>
        </w:trPr>
        <w:tc>
          <w:tcPr>
            <w:tcW w:w="1663" w:type="dxa"/>
            <w:vAlign w:val="top"/>
            <w:tcBorders>
              <w:left w:val="nil"/>
            </w:tcBorders>
          </w:tcPr>
          <w:p>
            <w:pPr>
              <w:pStyle w:val="TableText"/>
              <w:ind w:left="536"/>
              <w:spacing w:before="111" w:line="229" w:lineRule="auto"/>
              <w:rPr/>
            </w:pPr>
            <w:r>
              <w:rPr>
                <w:spacing w:val="3"/>
              </w:rPr>
              <w:t>氟化物</w:t>
            </w:r>
          </w:p>
        </w:tc>
        <w:tc>
          <w:tcPr>
            <w:tcW w:w="1668" w:type="dxa"/>
            <w:vAlign w:val="top"/>
          </w:tcPr>
          <w:p>
            <w:pPr>
              <w:pStyle w:val="TableText"/>
              <w:ind w:left="356"/>
              <w:spacing w:before="110" w:line="232" w:lineRule="auto"/>
              <w:rPr/>
            </w:pPr>
            <w:r>
              <w:rPr>
                <w:rFonts w:ascii="Times New Roman" w:hAnsi="Times New Roman" w:eastAsia="Times New Roman" w:cs="Times New Roman"/>
              </w:rPr>
              <w:t>1</w:t>
            </w:r>
            <w:r>
              <w:rPr>
                <w:rFonts w:ascii="Times New Roman" w:hAnsi="Times New Roman" w:eastAsia="Times New Roman" w:cs="Times New Roman"/>
                <w:spacing w:val="18"/>
              </w:rPr>
              <w:t xml:space="preserve"> </w:t>
            </w:r>
            <w:r>
              <w:rPr/>
              <w:t>小时平均</w:t>
            </w:r>
          </w:p>
        </w:tc>
        <w:tc>
          <w:tcPr>
            <w:tcW w:w="1928" w:type="dxa"/>
            <w:vAlign w:val="top"/>
          </w:tcPr>
          <w:p>
            <w:pPr>
              <w:ind w:left="859"/>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3649" w:type="dxa"/>
            <w:vAlign w:val="top"/>
            <w:vMerge w:val="continue"/>
            <w:tcBorders>
              <w:right w:val="nil"/>
              <w:top w:val="nil"/>
            </w:tcBorders>
          </w:tcPr>
          <w:p>
            <w:pPr>
              <w:rPr>
                <w:rFonts w:ascii="Arial"/>
                <w:sz w:val="21"/>
              </w:rPr>
            </w:pPr>
            <w:r/>
          </w:p>
        </w:tc>
      </w:tr>
    </w:tbl>
    <w:p>
      <w:pPr>
        <w:ind w:left="961"/>
        <w:spacing w:before="106" w:line="231" w:lineRule="auto"/>
        <w:rPr>
          <w:rFonts w:ascii="FangSong" w:hAnsi="FangSong" w:eastAsia="FangSong" w:cs="FangSong"/>
          <w:sz w:val="20"/>
          <w:szCs w:val="20"/>
        </w:rPr>
      </w:pPr>
      <w:r>
        <w:rPr>
          <w:rFonts w:ascii="FangSong" w:hAnsi="FangSong" w:eastAsia="FangSong" w:cs="FangSong"/>
          <w:sz w:val="20"/>
          <w:szCs w:val="20"/>
          <w:spacing w:val="6"/>
        </w:rPr>
        <w:t>注：</w:t>
      </w:r>
      <w:r>
        <w:rPr>
          <w:rFonts w:ascii="Times New Roman" w:hAnsi="Times New Roman" w:eastAsia="Times New Roman" w:cs="Times New Roman"/>
          <w:sz w:val="20"/>
          <w:szCs w:val="20"/>
        </w:rPr>
        <w:t>TSP</w:t>
      </w:r>
      <w:r>
        <w:rPr>
          <w:rFonts w:ascii="Times New Roman" w:hAnsi="Times New Roman" w:eastAsia="Times New Roman" w:cs="Times New Roman"/>
          <w:sz w:val="20"/>
          <w:szCs w:val="20"/>
          <w:spacing w:val="20"/>
          <w:w w:val="101"/>
        </w:rPr>
        <w:t xml:space="preserve"> </w:t>
      </w:r>
      <w:r>
        <w:rPr>
          <w:rFonts w:ascii="FangSong" w:hAnsi="FangSong" w:eastAsia="FangSong" w:cs="FangSong"/>
          <w:sz w:val="20"/>
          <w:szCs w:val="20"/>
          <w:spacing w:val="6"/>
        </w:rPr>
        <w:t>无</w:t>
      </w:r>
      <w:r>
        <w:rPr>
          <w:rFonts w:ascii="FangSong" w:hAnsi="FangSong" w:eastAsia="FangSong" w:cs="FangSong"/>
          <w:sz w:val="20"/>
          <w:szCs w:val="20"/>
          <w:spacing w:val="-23"/>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8"/>
        </w:rPr>
        <w:t xml:space="preserve"> </w:t>
      </w:r>
      <w:r>
        <w:rPr>
          <w:rFonts w:ascii="FangSong" w:hAnsi="FangSong" w:eastAsia="FangSong" w:cs="FangSong"/>
          <w:sz w:val="20"/>
          <w:szCs w:val="20"/>
          <w:spacing w:val="6"/>
        </w:rPr>
        <w:t>小时平均质量浓度，本次评价取</w:t>
      </w:r>
      <w:r>
        <w:rPr>
          <w:rFonts w:ascii="FangSong" w:hAnsi="FangSong" w:eastAsia="FangSong" w:cs="FangSong"/>
          <w:sz w:val="20"/>
          <w:szCs w:val="20"/>
          <w:spacing w:val="-41"/>
        </w:rPr>
        <w:t xml:space="preserve"> </w:t>
      </w:r>
      <w:r>
        <w:rPr>
          <w:rFonts w:ascii="Times New Roman" w:hAnsi="Times New Roman" w:eastAsia="Times New Roman" w:cs="Times New Roman"/>
          <w:sz w:val="20"/>
          <w:szCs w:val="20"/>
          <w:spacing w:val="6"/>
        </w:rPr>
        <w:t>24</w:t>
      </w:r>
      <w:r>
        <w:rPr>
          <w:rFonts w:ascii="Times New Roman" w:hAnsi="Times New Roman" w:eastAsia="Times New Roman" w:cs="Times New Roman"/>
          <w:sz w:val="20"/>
          <w:szCs w:val="20"/>
          <w:spacing w:val="18"/>
        </w:rPr>
        <w:t xml:space="preserve"> </w:t>
      </w:r>
      <w:r>
        <w:rPr>
          <w:rFonts w:ascii="FangSong" w:hAnsi="FangSong" w:eastAsia="FangSong" w:cs="FangSong"/>
          <w:sz w:val="20"/>
          <w:szCs w:val="20"/>
          <w:spacing w:val="5"/>
        </w:rPr>
        <w:t>小时评价质量浓度的</w:t>
      </w:r>
      <w:r>
        <w:rPr>
          <w:rFonts w:ascii="FangSong" w:hAnsi="FangSong" w:eastAsia="FangSong" w:cs="FangSong"/>
          <w:sz w:val="20"/>
          <w:szCs w:val="20"/>
          <w:spacing w:val="-39"/>
        </w:rPr>
        <w:t xml:space="preserve"> </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19"/>
          <w:w w:val="101"/>
        </w:rPr>
        <w:t xml:space="preserve"> </w:t>
      </w:r>
      <w:r>
        <w:rPr>
          <w:rFonts w:ascii="FangSong" w:hAnsi="FangSong" w:eastAsia="FangSong" w:cs="FangSong"/>
          <w:sz w:val="20"/>
          <w:szCs w:val="20"/>
          <w:spacing w:val="5"/>
        </w:rPr>
        <w:t>倍。</w:t>
      </w:r>
    </w:p>
    <w:p>
      <w:pPr>
        <w:ind w:firstLine="1"/>
        <w:spacing w:before="69" w:line="29" w:lineRule="exact"/>
        <w:rPr/>
      </w:pPr>
      <w:r>
        <w:rPr/>
        <w:pict>
          <v:shape id="_x0000_s6" style="mso-position-vertical-relative:line;mso-position-horizontal-relative:char;width:445.45pt;height:1.45pt;" filled="false" strokecolor="#000000" strokeweight="1.44pt" coordsize="8909,29" coordorigin="0,0" path="m0,14l8908,14e">
            <v:stroke joinstyle="bevel" miterlimit="2"/>
          </v:shape>
        </w:pict>
      </w:r>
    </w:p>
    <w:p>
      <w:pPr>
        <w:pStyle w:val="BodyText"/>
        <w:spacing w:line="289" w:lineRule="auto"/>
        <w:rPr/>
      </w:pPr>
      <w:r/>
    </w:p>
    <w:p>
      <w:pPr>
        <w:pStyle w:val="BodyText"/>
        <w:spacing w:line="289" w:lineRule="auto"/>
        <w:rPr/>
      </w:pPr>
      <w:r/>
    </w:p>
    <w:p>
      <w:pPr>
        <w:ind w:left="609"/>
        <w:spacing w:before="78"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SimSun" w:hAnsi="SimSun" w:eastAsia="SimSun" w:cs="SimSun"/>
          <w:sz w:val="24"/>
          <w:szCs w:val="24"/>
          <w:spacing w:val="-3"/>
        </w:rPr>
        <w:t>3</w:t>
      </w:r>
      <w:r>
        <w:rPr>
          <w:rFonts w:ascii="FangSong" w:hAnsi="FangSong" w:eastAsia="FangSong" w:cs="FangSong"/>
          <w:sz w:val="24"/>
          <w:szCs w:val="24"/>
          <w:spacing w:val="-3"/>
        </w:rPr>
        <w:t>）估算模型参数</w:t>
      </w:r>
    </w:p>
    <w:p>
      <w:pPr>
        <w:ind w:left="124" w:right="43" w:firstLine="480"/>
        <w:spacing w:before="195" w:line="369" w:lineRule="auto"/>
        <w:rPr>
          <w:rFonts w:ascii="FangSong" w:hAnsi="FangSong" w:eastAsia="FangSong" w:cs="FangSong"/>
          <w:sz w:val="24"/>
          <w:szCs w:val="24"/>
        </w:rPr>
      </w:pPr>
      <w:r>
        <w:rPr>
          <w:rFonts w:ascii="FangSong" w:hAnsi="FangSong" w:eastAsia="FangSong" w:cs="FangSong"/>
          <w:sz w:val="24"/>
          <w:szCs w:val="24"/>
          <w:spacing w:val="-4"/>
        </w:rPr>
        <w:t>根据拟建项目地区的地貌特征及气象条件，对大气环境影响预测工作进行分析，</w:t>
      </w:r>
      <w:r>
        <w:rPr>
          <w:rFonts w:ascii="FangSong" w:hAnsi="FangSong" w:eastAsia="FangSong" w:cs="FangSong"/>
          <w:sz w:val="24"/>
          <w:szCs w:val="24"/>
        </w:rPr>
        <w:t>直接采用估算模式（</w:t>
      </w:r>
      <w:r>
        <w:rPr>
          <w:rFonts w:ascii="Times New Roman" w:hAnsi="Times New Roman" w:eastAsia="Times New Roman" w:cs="Times New Roman"/>
          <w:sz w:val="24"/>
          <w:szCs w:val="24"/>
        </w:rPr>
        <w:t>AERSCREEN </w:t>
      </w:r>
      <w:r>
        <w:rPr>
          <w:rFonts w:ascii="FangSong" w:hAnsi="FangSong" w:eastAsia="FangSong" w:cs="FangSong"/>
          <w:sz w:val="24"/>
          <w:szCs w:val="24"/>
          <w:spacing w:val="-1"/>
        </w:rPr>
        <w:t>模型）的计算结果作为预测与分析依据。</w:t>
      </w:r>
    </w:p>
    <w:p>
      <w:pPr>
        <w:ind w:left="608"/>
        <w:spacing w:line="220" w:lineRule="auto"/>
        <w:rPr>
          <w:rFonts w:ascii="FangSong" w:hAnsi="FangSong" w:eastAsia="FangSong" w:cs="FangSong"/>
          <w:sz w:val="24"/>
          <w:szCs w:val="24"/>
        </w:rPr>
      </w:pPr>
      <w:r>
        <w:rPr>
          <w:rFonts w:ascii="FangSong" w:hAnsi="FangSong" w:eastAsia="FangSong" w:cs="FangSong"/>
          <w:sz w:val="24"/>
          <w:szCs w:val="24"/>
          <w:spacing w:val="-2"/>
        </w:rPr>
        <w:t>估算模型参数见表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2.5-4</w:t>
      </w:r>
      <w:r>
        <w:rPr>
          <w:rFonts w:ascii="FangSong" w:hAnsi="FangSong" w:eastAsia="FangSong" w:cs="FangSong"/>
          <w:sz w:val="24"/>
          <w:szCs w:val="24"/>
          <w:spacing w:val="-2"/>
        </w:rPr>
        <w:t>。</w:t>
      </w:r>
    </w:p>
    <w:p>
      <w:pPr>
        <w:spacing w:line="220" w:lineRule="auto"/>
        <w:sectPr>
          <w:headerReference w:type="default" r:id="rId52"/>
          <w:footerReference w:type="default" r:id="rId64"/>
          <w:pgSz w:w="11911" w:h="16839"/>
          <w:pgMar w:top="400" w:right="1309" w:bottom="1146" w:left="1689" w:header="0" w:footer="984" w:gutter="0"/>
        </w:sectPr>
        <w:rPr>
          <w:rFonts w:ascii="FangSong" w:hAnsi="FangSong" w:eastAsia="FangSong" w:cs="FangSong"/>
          <w:sz w:val="24"/>
          <w:szCs w:val="24"/>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2687"/>
        <w:spacing w:before="78"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2.5-4  </w:t>
      </w:r>
      <w:r>
        <w:rPr>
          <w:rFonts w:ascii="FangSong" w:hAnsi="FangSong" w:eastAsia="FangSong" w:cs="FangSong"/>
          <w:sz w:val="24"/>
          <w:szCs w:val="24"/>
          <w:b/>
          <w:bCs/>
          <w:spacing w:val="-3"/>
        </w:rPr>
        <w:t>估算模式所需参数选取一览表</w:t>
      </w:r>
    </w:p>
    <w:p>
      <w:pPr>
        <w:spacing w:line="14"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9"/>
        <w:gridCol w:w="3067"/>
        <w:gridCol w:w="4316"/>
      </w:tblGrid>
      <w:tr>
        <w:trPr>
          <w:trHeight w:val="432" w:hRule="atLeast"/>
        </w:trPr>
        <w:tc>
          <w:tcPr>
            <w:tcW w:w="4596" w:type="dxa"/>
            <w:vAlign w:val="top"/>
            <w:gridSpan w:val="2"/>
            <w:tcBorders>
              <w:left w:val="nil"/>
              <w:top w:val="single" w:color="000000" w:sz="10" w:space="0"/>
            </w:tcBorders>
          </w:tcPr>
          <w:p>
            <w:pPr>
              <w:pStyle w:val="TableText"/>
              <w:ind w:left="2105"/>
              <w:spacing w:before="107" w:line="232" w:lineRule="auto"/>
              <w:rPr/>
            </w:pPr>
            <w:r>
              <w:rPr/>
              <w:t>参数</w:t>
            </w:r>
          </w:p>
        </w:tc>
        <w:tc>
          <w:tcPr>
            <w:tcW w:w="4316" w:type="dxa"/>
            <w:vAlign w:val="top"/>
            <w:tcBorders>
              <w:right w:val="nil"/>
              <w:top w:val="single" w:color="000000" w:sz="10" w:space="0"/>
            </w:tcBorders>
          </w:tcPr>
          <w:p>
            <w:pPr>
              <w:pStyle w:val="TableText"/>
              <w:ind w:left="1959"/>
              <w:spacing w:before="108" w:line="231" w:lineRule="auto"/>
              <w:rPr/>
            </w:pPr>
            <w:r>
              <w:rPr>
                <w:spacing w:val="1"/>
              </w:rPr>
              <w:t>取值</w:t>
            </w:r>
          </w:p>
        </w:tc>
      </w:tr>
      <w:tr>
        <w:trPr>
          <w:trHeight w:val="428" w:hRule="atLeast"/>
        </w:trPr>
        <w:tc>
          <w:tcPr>
            <w:tcW w:w="1529" w:type="dxa"/>
            <w:vAlign w:val="top"/>
            <w:vMerge w:val="restart"/>
            <w:tcBorders>
              <w:left w:val="nil"/>
              <w:bottom w:val="nil"/>
            </w:tcBorders>
          </w:tcPr>
          <w:p>
            <w:pPr>
              <w:pStyle w:val="TableText"/>
              <w:ind w:left="672" w:right="210" w:hanging="445"/>
              <w:spacing w:before="204" w:line="227" w:lineRule="auto"/>
              <w:rPr/>
            </w:pPr>
            <w:r>
              <w:rPr>
                <w:spacing w:val="5"/>
              </w:rPr>
              <w:t>城市</w:t>
            </w:r>
            <w:r>
              <w:rPr>
                <w:rFonts w:ascii="Times New Roman" w:hAnsi="Times New Roman" w:eastAsia="Times New Roman" w:cs="Times New Roman"/>
                <w:spacing w:val="5"/>
              </w:rPr>
              <w:t>/</w:t>
            </w:r>
            <w:r>
              <w:rPr>
                <w:spacing w:val="5"/>
              </w:rPr>
              <w:t>农村选</w:t>
            </w:r>
            <w:r>
              <w:rPr/>
              <w:t>项</w:t>
            </w:r>
          </w:p>
        </w:tc>
        <w:tc>
          <w:tcPr>
            <w:tcW w:w="3067" w:type="dxa"/>
            <w:vAlign w:val="top"/>
          </w:tcPr>
          <w:p>
            <w:pPr>
              <w:pStyle w:val="TableText"/>
              <w:ind w:left="1098"/>
              <w:spacing w:before="108" w:line="230" w:lineRule="auto"/>
              <w:rPr/>
            </w:pPr>
            <w:r>
              <w:rPr>
                <w:spacing w:val="4"/>
              </w:rPr>
              <w:t>城市</w:t>
            </w:r>
            <w:r>
              <w:rPr>
                <w:rFonts w:ascii="Times New Roman" w:hAnsi="Times New Roman" w:eastAsia="Times New Roman" w:cs="Times New Roman"/>
                <w:spacing w:val="4"/>
              </w:rPr>
              <w:t>/</w:t>
            </w:r>
            <w:r>
              <w:rPr>
                <w:spacing w:val="4"/>
              </w:rPr>
              <w:t>农村</w:t>
            </w:r>
          </w:p>
        </w:tc>
        <w:tc>
          <w:tcPr>
            <w:tcW w:w="4316" w:type="dxa"/>
            <w:vAlign w:val="top"/>
            <w:tcBorders>
              <w:right w:val="nil"/>
            </w:tcBorders>
          </w:tcPr>
          <w:p>
            <w:pPr>
              <w:pStyle w:val="TableText"/>
              <w:ind w:left="1959"/>
              <w:spacing w:before="108" w:line="230" w:lineRule="auto"/>
              <w:rPr/>
            </w:pPr>
            <w:r>
              <w:rPr>
                <w:spacing w:val="1"/>
              </w:rPr>
              <w:t>农村</w:t>
            </w:r>
          </w:p>
        </w:tc>
      </w:tr>
      <w:tr>
        <w:trPr>
          <w:trHeight w:val="428" w:hRule="atLeast"/>
        </w:trPr>
        <w:tc>
          <w:tcPr>
            <w:tcW w:w="1529" w:type="dxa"/>
            <w:vAlign w:val="top"/>
            <w:vMerge w:val="continue"/>
            <w:tcBorders>
              <w:left w:val="nil"/>
              <w:top w:val="nil"/>
            </w:tcBorders>
          </w:tcPr>
          <w:p>
            <w:pPr>
              <w:rPr>
                <w:rFonts w:ascii="Arial"/>
                <w:sz w:val="21"/>
              </w:rPr>
            </w:pPr>
            <w:r/>
          </w:p>
        </w:tc>
        <w:tc>
          <w:tcPr>
            <w:tcW w:w="3067" w:type="dxa"/>
            <w:vAlign w:val="top"/>
          </w:tcPr>
          <w:p>
            <w:pPr>
              <w:pStyle w:val="TableText"/>
              <w:ind w:left="497"/>
              <w:spacing w:before="109" w:line="231" w:lineRule="auto"/>
              <w:rPr/>
            </w:pPr>
            <w:r>
              <w:rPr>
                <w:spacing w:val="7"/>
              </w:rPr>
              <w:t>人口数（城市选项时）</w:t>
            </w:r>
          </w:p>
        </w:tc>
        <w:tc>
          <w:tcPr>
            <w:tcW w:w="4316" w:type="dxa"/>
            <w:vAlign w:val="top"/>
            <w:tcBorders>
              <w:right w:val="nil"/>
            </w:tcBorders>
          </w:tcPr>
          <w:p>
            <w:pPr>
              <w:ind w:left="2127"/>
              <w:spacing w:before="1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28" w:hRule="atLeast"/>
        </w:trPr>
        <w:tc>
          <w:tcPr>
            <w:tcW w:w="4596" w:type="dxa"/>
            <w:vAlign w:val="top"/>
            <w:gridSpan w:val="2"/>
            <w:tcBorders>
              <w:left w:val="nil"/>
            </w:tcBorders>
          </w:tcPr>
          <w:p>
            <w:pPr>
              <w:pStyle w:val="TableText"/>
              <w:ind w:left="1551"/>
              <w:spacing w:before="110" w:line="231" w:lineRule="auto"/>
              <w:rPr>
                <w:rFonts w:ascii="Times New Roman" w:hAnsi="Times New Roman" w:eastAsia="Times New Roman" w:cs="Times New Roman"/>
              </w:rPr>
            </w:pPr>
            <w:r>
              <w:rPr>
                <w:spacing w:val="6"/>
              </w:rPr>
              <w:t>最高环境温度</w:t>
            </w:r>
            <w:r>
              <w:rPr>
                <w:rFonts w:ascii="Times New Roman" w:hAnsi="Times New Roman" w:eastAsia="Times New Roman" w:cs="Times New Roman"/>
                <w:spacing w:val="6"/>
              </w:rPr>
              <w:t>/℃</w:t>
            </w:r>
          </w:p>
        </w:tc>
        <w:tc>
          <w:tcPr>
            <w:tcW w:w="4316" w:type="dxa"/>
            <w:vAlign w:val="top"/>
            <w:tcBorders>
              <w:right w:val="nil"/>
            </w:tcBorders>
          </w:tcPr>
          <w:p>
            <w:pPr>
              <w:ind w:left="1873"/>
              <w:spacing w:before="15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38.7</w:t>
            </w:r>
            <w:r>
              <w:rPr>
                <w:rFonts w:ascii="Times New Roman" w:hAnsi="Times New Roman" w:eastAsia="Times New Roman" w:cs="Times New Roman"/>
                <w:sz w:val="19"/>
                <w:szCs w:val="19"/>
                <w:spacing w:val="-31"/>
              </w:rPr>
              <w:t xml:space="preserve"> </w:t>
            </w:r>
            <w:r>
              <w:rPr>
                <w:rFonts w:ascii="Times New Roman" w:hAnsi="Times New Roman" w:eastAsia="Times New Roman" w:cs="Times New Roman"/>
                <w:sz w:val="19"/>
                <w:szCs w:val="19"/>
                <w:spacing w:val="3"/>
              </w:rPr>
              <w:t>°C</w:t>
            </w:r>
          </w:p>
        </w:tc>
      </w:tr>
      <w:tr>
        <w:trPr>
          <w:trHeight w:val="428" w:hRule="atLeast"/>
        </w:trPr>
        <w:tc>
          <w:tcPr>
            <w:tcW w:w="4596" w:type="dxa"/>
            <w:vAlign w:val="top"/>
            <w:gridSpan w:val="2"/>
            <w:tcBorders>
              <w:left w:val="nil"/>
            </w:tcBorders>
          </w:tcPr>
          <w:p>
            <w:pPr>
              <w:pStyle w:val="TableText"/>
              <w:ind w:left="1551"/>
              <w:spacing w:before="112" w:line="231" w:lineRule="auto"/>
              <w:rPr>
                <w:rFonts w:ascii="Times New Roman" w:hAnsi="Times New Roman" w:eastAsia="Times New Roman" w:cs="Times New Roman"/>
              </w:rPr>
            </w:pPr>
            <w:r>
              <w:rPr>
                <w:spacing w:val="6"/>
              </w:rPr>
              <w:t>最低环境温度</w:t>
            </w:r>
            <w:r>
              <w:rPr>
                <w:rFonts w:ascii="Times New Roman" w:hAnsi="Times New Roman" w:eastAsia="Times New Roman" w:cs="Times New Roman"/>
                <w:spacing w:val="6"/>
              </w:rPr>
              <w:t>/℃</w:t>
            </w:r>
          </w:p>
        </w:tc>
        <w:tc>
          <w:tcPr>
            <w:tcW w:w="4316" w:type="dxa"/>
            <w:vAlign w:val="top"/>
            <w:tcBorders>
              <w:right w:val="nil"/>
            </w:tcBorders>
          </w:tcPr>
          <w:p>
            <w:pPr>
              <w:ind w:left="1837"/>
              <w:spacing w:before="15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-31.4</w:t>
            </w:r>
            <w:r>
              <w:rPr>
                <w:rFonts w:ascii="Times New Roman" w:hAnsi="Times New Roman" w:eastAsia="Times New Roman" w:cs="Times New Roman"/>
                <w:sz w:val="19"/>
                <w:szCs w:val="19"/>
                <w:spacing w:val="-26"/>
              </w:rPr>
              <w:t xml:space="preserve"> </w:t>
            </w:r>
            <w:r>
              <w:rPr>
                <w:rFonts w:ascii="Times New Roman" w:hAnsi="Times New Roman" w:eastAsia="Times New Roman" w:cs="Times New Roman"/>
                <w:sz w:val="19"/>
                <w:szCs w:val="19"/>
                <w:spacing w:val="3"/>
              </w:rPr>
              <w:t>°C</w:t>
            </w:r>
          </w:p>
        </w:tc>
      </w:tr>
      <w:tr>
        <w:trPr>
          <w:trHeight w:val="428" w:hRule="atLeast"/>
        </w:trPr>
        <w:tc>
          <w:tcPr>
            <w:tcW w:w="4596" w:type="dxa"/>
            <w:vAlign w:val="top"/>
            <w:gridSpan w:val="2"/>
            <w:tcBorders>
              <w:left w:val="nil"/>
            </w:tcBorders>
          </w:tcPr>
          <w:p>
            <w:pPr>
              <w:pStyle w:val="TableText"/>
              <w:ind w:left="1684"/>
              <w:spacing w:before="116" w:line="231" w:lineRule="auto"/>
              <w:rPr/>
            </w:pPr>
            <w:r>
              <w:rPr>
                <w:spacing w:val="6"/>
              </w:rPr>
              <w:t>土地利用类型</w:t>
            </w:r>
          </w:p>
        </w:tc>
        <w:tc>
          <w:tcPr>
            <w:tcW w:w="4316" w:type="dxa"/>
            <w:vAlign w:val="top"/>
            <w:tcBorders>
              <w:right w:val="nil"/>
            </w:tcBorders>
          </w:tcPr>
          <w:p>
            <w:pPr>
              <w:pStyle w:val="TableText"/>
              <w:ind w:left="1961"/>
              <w:spacing w:before="116" w:line="231" w:lineRule="auto"/>
              <w:rPr/>
            </w:pPr>
            <w:r>
              <w:rPr/>
              <w:t>草地</w:t>
            </w:r>
          </w:p>
        </w:tc>
      </w:tr>
      <w:tr>
        <w:trPr>
          <w:trHeight w:val="428" w:hRule="atLeast"/>
        </w:trPr>
        <w:tc>
          <w:tcPr>
            <w:tcW w:w="4596" w:type="dxa"/>
            <w:vAlign w:val="top"/>
            <w:gridSpan w:val="2"/>
            <w:tcBorders>
              <w:left w:val="nil"/>
            </w:tcBorders>
          </w:tcPr>
          <w:p>
            <w:pPr>
              <w:pStyle w:val="TableText"/>
              <w:ind w:left="1700"/>
              <w:spacing w:before="117" w:line="231" w:lineRule="auto"/>
              <w:rPr/>
            </w:pPr>
            <w:r>
              <w:rPr>
                <w:spacing w:val="4"/>
              </w:rPr>
              <w:t>区域湿度条件</w:t>
            </w:r>
          </w:p>
        </w:tc>
        <w:tc>
          <w:tcPr>
            <w:tcW w:w="4316" w:type="dxa"/>
            <w:vAlign w:val="top"/>
            <w:tcBorders>
              <w:right w:val="nil"/>
            </w:tcBorders>
          </w:tcPr>
          <w:p>
            <w:pPr>
              <w:pStyle w:val="TableText"/>
              <w:ind w:left="1964"/>
              <w:spacing w:before="117" w:line="231" w:lineRule="auto"/>
              <w:rPr/>
            </w:pPr>
            <w:r>
              <w:rPr>
                <w:spacing w:val="-2"/>
              </w:rPr>
              <w:t>干旱</w:t>
            </w:r>
          </w:p>
        </w:tc>
      </w:tr>
      <w:tr>
        <w:trPr>
          <w:trHeight w:val="428" w:hRule="atLeast"/>
        </w:trPr>
        <w:tc>
          <w:tcPr>
            <w:tcW w:w="1529" w:type="dxa"/>
            <w:vAlign w:val="top"/>
            <w:vMerge w:val="restart"/>
            <w:tcBorders>
              <w:left w:val="nil"/>
              <w:bottom w:val="nil"/>
            </w:tcBorders>
          </w:tcPr>
          <w:p>
            <w:pPr>
              <w:spacing w:line="270" w:lineRule="auto"/>
              <w:rPr>
                <w:rFonts w:ascii="Arial"/>
                <w:sz w:val="21"/>
              </w:rPr>
            </w:pPr>
            <w:r/>
          </w:p>
          <w:p>
            <w:pPr>
              <w:pStyle w:val="TableText"/>
              <w:ind w:left="149"/>
              <w:spacing w:before="65" w:line="231" w:lineRule="auto"/>
              <w:rPr/>
            </w:pPr>
            <w:r>
              <w:rPr>
                <w:spacing w:val="7"/>
              </w:rPr>
              <w:t>是否考虑地形</w:t>
            </w:r>
          </w:p>
        </w:tc>
        <w:tc>
          <w:tcPr>
            <w:tcW w:w="3067" w:type="dxa"/>
            <w:vAlign w:val="top"/>
          </w:tcPr>
          <w:p>
            <w:pPr>
              <w:pStyle w:val="TableText"/>
              <w:ind w:left="1126"/>
              <w:spacing w:before="118" w:line="231" w:lineRule="auto"/>
              <w:rPr/>
            </w:pPr>
            <w:r>
              <w:rPr>
                <w:spacing w:val="5"/>
              </w:rPr>
              <w:t>考虑地形</w:t>
            </w:r>
          </w:p>
        </w:tc>
        <w:tc>
          <w:tcPr>
            <w:tcW w:w="4316" w:type="dxa"/>
            <w:vAlign w:val="top"/>
            <w:tcBorders>
              <w:right w:val="nil"/>
            </w:tcBorders>
          </w:tcPr>
          <w:p>
            <w:pPr>
              <w:pStyle w:val="TableText"/>
              <w:ind w:left="1669"/>
              <w:spacing w:before="119" w:line="233" w:lineRule="auto"/>
              <w:rPr/>
            </w:pPr>
            <w:r>
              <w:rPr>
                <w:rFonts w:ascii="MS UI Gothic" w:hAnsi="MS UI Gothic" w:eastAsia="MS UI Gothic" w:cs="MS UI Gothic"/>
                <w:sz w:val="12"/>
                <w:szCs w:val="12"/>
              </w:rPr>
              <w:t>☑</w:t>
            </w:r>
            <w:r>
              <w:rPr/>
              <w:t>是</w:t>
            </w:r>
            <w:r>
              <w:rPr>
                <w:spacing w:val="11"/>
              </w:rPr>
              <w:t xml:space="preserve">   </w:t>
            </w:r>
            <w:r>
              <w:rPr>
                <w:sz w:val="12"/>
                <w:szCs w:val="12"/>
              </w:rPr>
              <w:t>□</w:t>
            </w:r>
            <w:r>
              <w:rPr>
                <w:sz w:val="12"/>
                <w:szCs w:val="12"/>
                <w:spacing w:val="-41"/>
              </w:rPr>
              <w:t xml:space="preserve"> </w:t>
            </w:r>
            <w:r>
              <w:rPr/>
              <w:t>否</w:t>
            </w:r>
          </w:p>
        </w:tc>
      </w:tr>
      <w:tr>
        <w:trPr>
          <w:trHeight w:val="428" w:hRule="atLeast"/>
        </w:trPr>
        <w:tc>
          <w:tcPr>
            <w:tcW w:w="1529" w:type="dxa"/>
            <w:vAlign w:val="top"/>
            <w:vMerge w:val="continue"/>
            <w:tcBorders>
              <w:left w:val="nil"/>
              <w:top w:val="nil"/>
            </w:tcBorders>
          </w:tcPr>
          <w:p>
            <w:pPr>
              <w:rPr>
                <w:rFonts w:ascii="Arial"/>
                <w:sz w:val="21"/>
              </w:rPr>
            </w:pPr>
            <w:r/>
          </w:p>
        </w:tc>
        <w:tc>
          <w:tcPr>
            <w:tcW w:w="3067" w:type="dxa"/>
            <w:vAlign w:val="top"/>
          </w:tcPr>
          <w:p>
            <w:pPr>
              <w:pStyle w:val="TableText"/>
              <w:ind w:left="698"/>
              <w:spacing w:before="120" w:line="231" w:lineRule="auto"/>
              <w:rPr>
                <w:rFonts w:ascii="Times New Roman" w:hAnsi="Times New Roman" w:eastAsia="Times New Roman" w:cs="Times New Roman"/>
              </w:rPr>
            </w:pPr>
            <w:r>
              <w:rPr>
                <w:spacing w:val="7"/>
              </w:rPr>
              <w:t>地形数据分辨率</w:t>
            </w:r>
            <w:r>
              <w:rPr>
                <w:rFonts w:ascii="Times New Roman" w:hAnsi="Times New Roman" w:eastAsia="Times New Roman" w:cs="Times New Roman"/>
                <w:spacing w:val="7"/>
              </w:rPr>
              <w:t>/m</w:t>
            </w:r>
          </w:p>
        </w:tc>
        <w:tc>
          <w:tcPr>
            <w:tcW w:w="4316" w:type="dxa"/>
            <w:vAlign w:val="top"/>
            <w:tcBorders>
              <w:right w:val="nil"/>
            </w:tcBorders>
          </w:tcPr>
          <w:p>
            <w:pPr>
              <w:ind w:left="2127"/>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28" w:hRule="atLeast"/>
        </w:trPr>
        <w:tc>
          <w:tcPr>
            <w:tcW w:w="1529" w:type="dxa"/>
            <w:vAlign w:val="top"/>
            <w:vMerge w:val="restart"/>
            <w:tcBorders>
              <w:left w:val="nil"/>
              <w:bottom w:val="nil"/>
            </w:tcBorders>
          </w:tcPr>
          <w:p>
            <w:pPr>
              <w:spacing w:line="370" w:lineRule="auto"/>
              <w:rPr>
                <w:rFonts w:ascii="Arial"/>
                <w:sz w:val="21"/>
              </w:rPr>
            </w:pPr>
            <w:r/>
          </w:p>
          <w:p>
            <w:pPr>
              <w:pStyle w:val="TableText"/>
              <w:ind w:left="578" w:right="133" w:hanging="429"/>
              <w:spacing w:before="65" w:line="227" w:lineRule="auto"/>
              <w:rPr/>
            </w:pPr>
            <w:r>
              <w:rPr>
                <w:spacing w:val="7"/>
              </w:rPr>
              <w:t>是否考虑岸线</w:t>
            </w:r>
            <w:r>
              <w:rPr>
                <w:spacing w:val="-4"/>
              </w:rPr>
              <w:t>熏烟</w:t>
            </w:r>
          </w:p>
        </w:tc>
        <w:tc>
          <w:tcPr>
            <w:tcW w:w="3067" w:type="dxa"/>
            <w:vAlign w:val="top"/>
          </w:tcPr>
          <w:p>
            <w:pPr>
              <w:pStyle w:val="TableText"/>
              <w:ind w:left="914"/>
              <w:spacing w:before="124" w:line="230" w:lineRule="auto"/>
              <w:rPr/>
            </w:pPr>
            <w:r>
              <w:rPr>
                <w:spacing w:val="7"/>
              </w:rPr>
              <w:t>考虑岸线熏烟</w:t>
            </w:r>
          </w:p>
        </w:tc>
        <w:tc>
          <w:tcPr>
            <w:tcW w:w="4316" w:type="dxa"/>
            <w:vAlign w:val="top"/>
            <w:tcBorders>
              <w:right w:val="nil"/>
            </w:tcBorders>
          </w:tcPr>
          <w:p>
            <w:pPr>
              <w:pStyle w:val="TableText"/>
              <w:ind w:left="1677"/>
              <w:spacing w:before="124" w:line="233" w:lineRule="auto"/>
              <w:rPr/>
            </w:pPr>
            <w:r>
              <w:rPr>
                <w:sz w:val="12"/>
                <w:szCs w:val="12"/>
              </w:rPr>
              <w:t>□</w:t>
            </w:r>
            <w:r>
              <w:rPr/>
              <w:t>是</w:t>
            </w:r>
            <w:r>
              <w:rPr>
                <w:spacing w:val="8"/>
              </w:rPr>
              <w:t xml:space="preserve">   </w:t>
            </w:r>
            <w:r>
              <w:rPr>
                <w:rFonts w:ascii="MS UI Gothic" w:hAnsi="MS UI Gothic" w:eastAsia="MS UI Gothic" w:cs="MS UI Gothic"/>
                <w:sz w:val="12"/>
                <w:szCs w:val="12"/>
              </w:rPr>
              <w:t>☑</w:t>
            </w:r>
            <w:r>
              <w:rPr>
                <w:rFonts w:ascii="MS UI Gothic" w:hAnsi="MS UI Gothic" w:eastAsia="MS UI Gothic" w:cs="MS UI Gothic"/>
                <w:sz w:val="12"/>
                <w:szCs w:val="12"/>
                <w:spacing w:val="-17"/>
              </w:rPr>
              <w:t xml:space="preserve"> </w:t>
            </w:r>
            <w:r>
              <w:rPr/>
              <w:t>否</w:t>
            </w:r>
          </w:p>
        </w:tc>
      </w:tr>
      <w:tr>
        <w:trPr>
          <w:trHeight w:val="428" w:hRule="atLeast"/>
        </w:trPr>
        <w:tc>
          <w:tcPr>
            <w:tcW w:w="1529" w:type="dxa"/>
            <w:vAlign w:val="top"/>
            <w:vMerge w:val="continue"/>
            <w:tcBorders>
              <w:left w:val="nil"/>
              <w:bottom w:val="nil"/>
              <w:top w:val="nil"/>
            </w:tcBorders>
          </w:tcPr>
          <w:p>
            <w:pPr>
              <w:rPr>
                <w:rFonts w:ascii="Arial"/>
                <w:sz w:val="21"/>
              </w:rPr>
            </w:pPr>
            <w:r/>
          </w:p>
        </w:tc>
        <w:tc>
          <w:tcPr>
            <w:tcW w:w="3067" w:type="dxa"/>
            <w:vAlign w:val="top"/>
          </w:tcPr>
          <w:p>
            <w:pPr>
              <w:pStyle w:val="TableText"/>
              <w:ind w:left="962"/>
              <w:spacing w:before="125" w:line="230" w:lineRule="auto"/>
              <w:rPr>
                <w:rFonts w:ascii="Times New Roman" w:hAnsi="Times New Roman" w:eastAsia="Times New Roman" w:cs="Times New Roman"/>
              </w:rPr>
            </w:pPr>
            <w:r>
              <w:rPr>
                <w:spacing w:val="7"/>
              </w:rPr>
              <w:t>岸线距离</w:t>
            </w:r>
            <w:r>
              <w:rPr>
                <w:rFonts w:ascii="Times New Roman" w:hAnsi="Times New Roman" w:eastAsia="Times New Roman" w:cs="Times New Roman"/>
                <w:spacing w:val="7"/>
              </w:rPr>
              <w:t>/</w:t>
            </w:r>
            <w:r>
              <w:rPr>
                <w:rFonts w:ascii="Times New Roman" w:hAnsi="Times New Roman" w:eastAsia="Times New Roman" w:cs="Times New Roman"/>
              </w:rPr>
              <w:t>km</w:t>
            </w:r>
          </w:p>
        </w:tc>
        <w:tc>
          <w:tcPr>
            <w:tcW w:w="4316" w:type="dxa"/>
            <w:vAlign w:val="top"/>
            <w:tcBorders>
              <w:right w:val="nil"/>
            </w:tcBorders>
          </w:tcPr>
          <w:p>
            <w:pPr>
              <w:ind w:left="2127"/>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51" w:hRule="atLeast"/>
        </w:trPr>
        <w:tc>
          <w:tcPr>
            <w:tcW w:w="1529" w:type="dxa"/>
            <w:vAlign w:val="top"/>
            <w:vMerge w:val="continue"/>
            <w:tcBorders>
              <w:left w:val="nil"/>
              <w:bottom w:val="single" w:color="000000" w:sz="10" w:space="0"/>
              <w:top w:val="nil"/>
            </w:tcBorders>
          </w:tcPr>
          <w:p>
            <w:pPr>
              <w:rPr>
                <w:rFonts w:ascii="Arial"/>
                <w:sz w:val="21"/>
              </w:rPr>
            </w:pPr>
            <w:r/>
          </w:p>
        </w:tc>
        <w:tc>
          <w:tcPr>
            <w:tcW w:w="3067" w:type="dxa"/>
            <w:vAlign w:val="top"/>
            <w:tcBorders>
              <w:bottom w:val="single" w:color="000000" w:sz="10" w:space="0"/>
            </w:tcBorders>
          </w:tcPr>
          <w:p>
            <w:pPr>
              <w:pStyle w:val="TableText"/>
              <w:ind w:left="1054"/>
              <w:spacing w:before="127" w:line="230" w:lineRule="auto"/>
              <w:rPr>
                <w:rFonts w:ascii="Times New Roman" w:hAnsi="Times New Roman" w:eastAsia="Times New Roman" w:cs="Times New Roman"/>
              </w:rPr>
            </w:pPr>
            <w:r>
              <w:rPr>
                <w:spacing w:val="5"/>
              </w:rPr>
              <w:t>岸线方向</w:t>
            </w:r>
            <w:r>
              <w:rPr>
                <w:rFonts w:ascii="Times New Roman" w:hAnsi="Times New Roman" w:eastAsia="Times New Roman" w:cs="Times New Roman"/>
                <w:spacing w:val="5"/>
              </w:rPr>
              <w:t>/°</w:t>
            </w:r>
          </w:p>
        </w:tc>
        <w:tc>
          <w:tcPr>
            <w:tcW w:w="4316" w:type="dxa"/>
            <w:vAlign w:val="top"/>
            <w:tcBorders>
              <w:right w:val="nil"/>
              <w:bottom w:val="single" w:color="000000" w:sz="10" w:space="0"/>
            </w:tcBorders>
          </w:tcPr>
          <w:p>
            <w:pPr>
              <w:ind w:left="2127"/>
              <w:spacing w:before="1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spacing w:line="315" w:lineRule="auto"/>
        <w:rPr/>
      </w:pPr>
      <w:r/>
    </w:p>
    <w:p>
      <w:pPr>
        <w:pStyle w:val="BodyText"/>
        <w:spacing w:line="316" w:lineRule="auto"/>
        <w:rPr/>
      </w:pPr>
      <w:r/>
    </w:p>
    <w:p>
      <w:pPr>
        <w:ind w:left="609"/>
        <w:spacing w:before="78"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SimSun" w:hAnsi="SimSun" w:eastAsia="SimSun" w:cs="SimSun"/>
          <w:sz w:val="24"/>
          <w:szCs w:val="24"/>
          <w:spacing w:val="-2"/>
        </w:rPr>
        <w:t>4</w:t>
      </w:r>
      <w:r>
        <w:rPr>
          <w:rFonts w:ascii="FangSong" w:hAnsi="FangSong" w:eastAsia="FangSong" w:cs="FangSong"/>
          <w:sz w:val="24"/>
          <w:szCs w:val="24"/>
          <w:spacing w:val="-2"/>
        </w:rPr>
        <w:t>）大气污染源计算清单</w:t>
      </w:r>
    </w:p>
    <w:p>
      <w:pPr>
        <w:ind w:left="605"/>
        <w:spacing w:before="192" w:line="221" w:lineRule="auto"/>
        <w:rPr>
          <w:rFonts w:ascii="FangSong" w:hAnsi="FangSong" w:eastAsia="FangSong" w:cs="FangSong"/>
          <w:sz w:val="24"/>
          <w:szCs w:val="24"/>
        </w:rPr>
      </w:pPr>
      <w:r>
        <w:rPr>
          <w:rFonts w:ascii="FangSong" w:hAnsi="FangSong" w:eastAsia="FangSong" w:cs="FangSong"/>
          <w:sz w:val="24"/>
          <w:szCs w:val="24"/>
          <w:spacing w:val="-2"/>
        </w:rPr>
        <w:t>根据项目的工程分析，本项目主要废气污染源排放情况见表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2.5-5</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2.5-6</w:t>
      </w:r>
      <w:r>
        <w:rPr>
          <w:rFonts w:ascii="FangSong" w:hAnsi="FangSong" w:eastAsia="FangSong" w:cs="FangSong"/>
          <w:sz w:val="24"/>
          <w:szCs w:val="24"/>
          <w:spacing w:val="-2"/>
        </w:rPr>
        <w:t>。</w:t>
      </w:r>
    </w:p>
    <w:p>
      <w:pPr>
        <w:ind w:left="1844"/>
        <w:spacing w:before="48"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b/>
          <w:bCs/>
          <w:spacing w:val="-2"/>
        </w:rPr>
        <w:t>2.5-5  </w:t>
      </w:r>
      <w:r>
        <w:rPr>
          <w:rFonts w:ascii="FangSong" w:hAnsi="FangSong" w:eastAsia="FangSong" w:cs="FangSong"/>
          <w:sz w:val="24"/>
          <w:szCs w:val="24"/>
          <w:b/>
          <w:bCs/>
          <w:spacing w:val="-2"/>
        </w:rPr>
        <w:t>本项目无组织大气污染物源强参数一</w:t>
      </w:r>
      <w:r>
        <w:rPr>
          <w:rFonts w:ascii="FangSong" w:hAnsi="FangSong" w:eastAsia="FangSong" w:cs="FangSong"/>
          <w:sz w:val="24"/>
          <w:szCs w:val="24"/>
          <w:b/>
          <w:bCs/>
          <w:spacing w:val="-3"/>
        </w:rPr>
        <w:t>览表</w:t>
      </w:r>
    </w:p>
    <w:p>
      <w:pPr>
        <w:spacing w:line="147" w:lineRule="exact"/>
        <w:rPr/>
      </w:pPr>
      <w:r/>
    </w:p>
    <w:tbl>
      <w:tblPr>
        <w:tblStyle w:val="TableNormal"/>
        <w:tblW w:w="89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1"/>
        <w:gridCol w:w="1560"/>
        <w:gridCol w:w="941"/>
        <w:gridCol w:w="940"/>
        <w:gridCol w:w="941"/>
        <w:gridCol w:w="1340"/>
        <w:gridCol w:w="2114"/>
      </w:tblGrid>
      <w:tr>
        <w:trPr>
          <w:trHeight w:val="552" w:hRule="atLeast"/>
        </w:trPr>
        <w:tc>
          <w:tcPr>
            <w:tcW w:w="1071" w:type="dxa"/>
            <w:vAlign w:val="top"/>
            <w:tcBorders>
              <w:left w:val="nil"/>
              <w:top w:val="single" w:color="000000" w:sz="10" w:space="0"/>
            </w:tcBorders>
          </w:tcPr>
          <w:p>
            <w:pPr>
              <w:pStyle w:val="TableText"/>
              <w:ind w:left="342"/>
              <w:spacing w:before="171" w:line="232" w:lineRule="auto"/>
              <w:rPr/>
            </w:pPr>
            <w:r>
              <w:rPr>
                <w:spacing w:val="-1"/>
              </w:rPr>
              <w:t>工段</w:t>
            </w:r>
          </w:p>
        </w:tc>
        <w:tc>
          <w:tcPr>
            <w:tcW w:w="1560" w:type="dxa"/>
            <w:vAlign w:val="top"/>
            <w:tcBorders>
              <w:top w:val="single" w:color="000000" w:sz="10" w:space="0"/>
            </w:tcBorders>
          </w:tcPr>
          <w:p>
            <w:pPr>
              <w:pStyle w:val="TableText"/>
              <w:ind w:left="480"/>
              <w:spacing w:before="172" w:line="229" w:lineRule="auto"/>
              <w:rPr/>
            </w:pPr>
            <w:r>
              <w:rPr>
                <w:spacing w:val="3"/>
              </w:rPr>
              <w:t>污染物</w:t>
            </w:r>
          </w:p>
        </w:tc>
        <w:tc>
          <w:tcPr>
            <w:tcW w:w="941" w:type="dxa"/>
            <w:vAlign w:val="top"/>
            <w:tcBorders>
              <w:top w:val="single" w:color="000000" w:sz="10" w:space="0"/>
            </w:tcBorders>
          </w:tcPr>
          <w:p>
            <w:pPr>
              <w:pStyle w:val="TableText"/>
              <w:ind w:left="164"/>
              <w:spacing w:before="171" w:line="232" w:lineRule="auto"/>
              <w:rPr>
                <w:rFonts w:ascii="Times New Roman" w:hAnsi="Times New Roman" w:eastAsia="Times New Roman" w:cs="Times New Roman"/>
              </w:rPr>
            </w:pPr>
            <w:r>
              <w:rPr>
                <w:spacing w:val="3"/>
              </w:rPr>
              <w:t>长度</w:t>
            </w:r>
            <w:r>
              <w:rPr>
                <w:spacing w:val="-46"/>
              </w:rPr>
              <w:t xml:space="preserve"> </w:t>
            </w:r>
            <w:r>
              <w:rPr>
                <w:rFonts w:ascii="Times New Roman" w:hAnsi="Times New Roman" w:eastAsia="Times New Roman" w:cs="Times New Roman"/>
                <w:spacing w:val="3"/>
              </w:rPr>
              <w:t>m</w:t>
            </w:r>
          </w:p>
        </w:tc>
        <w:tc>
          <w:tcPr>
            <w:tcW w:w="940" w:type="dxa"/>
            <w:vAlign w:val="top"/>
            <w:tcBorders>
              <w:top w:val="single" w:color="000000" w:sz="10" w:space="0"/>
            </w:tcBorders>
          </w:tcPr>
          <w:p>
            <w:pPr>
              <w:pStyle w:val="TableText"/>
              <w:ind w:left="165"/>
              <w:spacing w:before="171" w:line="232" w:lineRule="auto"/>
              <w:rPr>
                <w:rFonts w:ascii="Times New Roman" w:hAnsi="Times New Roman" w:eastAsia="Times New Roman" w:cs="Times New Roman"/>
              </w:rPr>
            </w:pPr>
            <w:r>
              <w:rPr>
                <w:spacing w:val="2"/>
              </w:rPr>
              <w:t>宽度</w:t>
            </w:r>
            <w:r>
              <w:rPr>
                <w:spacing w:val="-46"/>
              </w:rPr>
              <w:t xml:space="preserve"> </w:t>
            </w:r>
            <w:r>
              <w:rPr>
                <w:rFonts w:ascii="Times New Roman" w:hAnsi="Times New Roman" w:eastAsia="Times New Roman" w:cs="Times New Roman"/>
                <w:spacing w:val="2"/>
              </w:rPr>
              <w:t>m</w:t>
            </w:r>
          </w:p>
        </w:tc>
        <w:tc>
          <w:tcPr>
            <w:tcW w:w="941" w:type="dxa"/>
            <w:vAlign w:val="top"/>
            <w:tcBorders>
              <w:top w:val="single" w:color="000000" w:sz="10" w:space="0"/>
            </w:tcBorders>
          </w:tcPr>
          <w:p>
            <w:pPr>
              <w:pStyle w:val="TableText"/>
              <w:ind w:left="171"/>
              <w:spacing w:before="171" w:line="232" w:lineRule="auto"/>
              <w:rPr>
                <w:rFonts w:ascii="Times New Roman" w:hAnsi="Times New Roman" w:eastAsia="Times New Roman" w:cs="Times New Roman"/>
              </w:rPr>
            </w:pPr>
            <w:r>
              <w:rPr/>
              <w:t>高度</w:t>
            </w:r>
            <w:r>
              <w:rPr>
                <w:spacing w:val="-45"/>
              </w:rPr>
              <w:t xml:space="preserve"> </w:t>
            </w:r>
            <w:r>
              <w:rPr>
                <w:rFonts w:ascii="Times New Roman" w:hAnsi="Times New Roman" w:eastAsia="Times New Roman" w:cs="Times New Roman"/>
              </w:rPr>
              <w:t>m</w:t>
            </w:r>
          </w:p>
        </w:tc>
        <w:tc>
          <w:tcPr>
            <w:tcW w:w="1340" w:type="dxa"/>
            <w:vAlign w:val="top"/>
            <w:tcBorders>
              <w:top w:val="single" w:color="000000" w:sz="10" w:space="0"/>
            </w:tcBorders>
          </w:tcPr>
          <w:p>
            <w:pPr>
              <w:pStyle w:val="TableText"/>
              <w:ind w:left="122"/>
              <w:spacing w:before="172" w:line="229" w:lineRule="auto"/>
              <w:rPr>
                <w:rFonts w:ascii="Times New Roman" w:hAnsi="Times New Roman" w:eastAsia="Times New Roman" w:cs="Times New Roman"/>
              </w:rPr>
            </w:pPr>
            <w:r>
              <w:rPr>
                <w:spacing w:val="9"/>
              </w:rPr>
              <w:t>作业时间</w:t>
            </w:r>
            <w:r>
              <w:rPr>
                <w:rFonts w:ascii="Times New Roman" w:hAnsi="Times New Roman" w:eastAsia="Times New Roman" w:cs="Times New Roman"/>
                <w:spacing w:val="9"/>
              </w:rPr>
              <w:t>h/a</w:t>
            </w:r>
          </w:p>
        </w:tc>
        <w:tc>
          <w:tcPr>
            <w:tcW w:w="2114" w:type="dxa"/>
            <w:vAlign w:val="top"/>
            <w:tcBorders>
              <w:right w:val="nil"/>
              <w:top w:val="single" w:color="000000" w:sz="10" w:space="0"/>
            </w:tcBorders>
          </w:tcPr>
          <w:p>
            <w:pPr>
              <w:pStyle w:val="TableText"/>
              <w:ind w:left="338"/>
              <w:spacing w:before="36" w:line="229" w:lineRule="auto"/>
              <w:rPr/>
            </w:pPr>
            <w:r>
              <w:rPr>
                <w:spacing w:val="7"/>
              </w:rPr>
              <w:t>污染物排放速率</w:t>
            </w:r>
          </w:p>
          <w:p>
            <w:pPr>
              <w:pStyle w:val="TableText"/>
              <w:ind w:left="677"/>
              <w:spacing w:before="24" w:line="215" w:lineRule="auto"/>
              <w:rPr/>
            </w:pP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p>
        </w:tc>
      </w:tr>
      <w:tr>
        <w:trPr>
          <w:trHeight w:val="428" w:hRule="atLeast"/>
        </w:trPr>
        <w:tc>
          <w:tcPr>
            <w:tcW w:w="1071" w:type="dxa"/>
            <w:vAlign w:val="top"/>
            <w:tcBorders>
              <w:left w:val="nil"/>
            </w:tcBorders>
          </w:tcPr>
          <w:p>
            <w:pPr>
              <w:pStyle w:val="TableText"/>
              <w:ind w:left="133"/>
              <w:spacing w:before="110" w:line="229" w:lineRule="auto"/>
              <w:rPr/>
            </w:pPr>
            <w:r>
              <w:rPr>
                <w:spacing w:val="4"/>
              </w:rPr>
              <w:t>原矿堆场</w:t>
            </w:r>
          </w:p>
        </w:tc>
        <w:tc>
          <w:tcPr>
            <w:tcW w:w="1560" w:type="dxa"/>
            <w:vAlign w:val="top"/>
          </w:tcPr>
          <w:p>
            <w:pPr>
              <w:ind w:left="60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tcPr>
          <w:p>
            <w:pPr>
              <w:ind w:left="36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940" w:type="dxa"/>
            <w:vAlign w:val="top"/>
          </w:tcPr>
          <w:p>
            <w:pPr>
              <w:ind w:left="36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941" w:type="dxa"/>
            <w:vAlign w:val="top"/>
          </w:tcPr>
          <w:p>
            <w:pPr>
              <w:ind w:left="426"/>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40" w:type="dxa"/>
            <w:vAlign w:val="top"/>
          </w:tcPr>
          <w:p>
            <w:pPr>
              <w:ind w:left="46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0.367</w:t>
            </w:r>
          </w:p>
        </w:tc>
      </w:tr>
      <w:tr>
        <w:trPr>
          <w:trHeight w:val="428" w:hRule="atLeast"/>
        </w:trPr>
        <w:tc>
          <w:tcPr>
            <w:tcW w:w="1071" w:type="dxa"/>
            <w:vAlign w:val="top"/>
            <w:tcBorders>
              <w:left w:val="nil"/>
            </w:tcBorders>
          </w:tcPr>
          <w:p>
            <w:pPr>
              <w:pStyle w:val="TableText"/>
              <w:ind w:left="130"/>
              <w:spacing w:before="111" w:line="229" w:lineRule="auto"/>
              <w:rPr/>
            </w:pPr>
            <w:r>
              <w:rPr>
                <w:spacing w:val="5"/>
              </w:rPr>
              <w:t>表土堆场</w:t>
            </w:r>
          </w:p>
        </w:tc>
        <w:tc>
          <w:tcPr>
            <w:tcW w:w="1560" w:type="dxa"/>
            <w:vAlign w:val="top"/>
          </w:tcPr>
          <w:p>
            <w:pPr>
              <w:ind w:left="60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tcPr>
          <w:p>
            <w:pPr>
              <w:ind w:left="36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w:t>
            </w:r>
          </w:p>
        </w:tc>
        <w:tc>
          <w:tcPr>
            <w:tcW w:w="940" w:type="dxa"/>
            <w:vAlign w:val="top"/>
          </w:tcPr>
          <w:p>
            <w:pPr>
              <w:ind w:left="37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41" w:type="dxa"/>
            <w:vAlign w:val="top"/>
          </w:tcPr>
          <w:p>
            <w:pPr>
              <w:ind w:left="42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40" w:type="dxa"/>
            <w:vAlign w:val="top"/>
          </w:tcPr>
          <w:p>
            <w:pPr>
              <w:ind w:left="46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0.278</w:t>
            </w:r>
          </w:p>
        </w:tc>
      </w:tr>
      <w:tr>
        <w:trPr>
          <w:trHeight w:val="546" w:hRule="atLeast"/>
        </w:trPr>
        <w:tc>
          <w:tcPr>
            <w:tcW w:w="1071" w:type="dxa"/>
            <w:vAlign w:val="top"/>
            <w:tcBorders>
              <w:left w:val="nil"/>
            </w:tcBorders>
          </w:tcPr>
          <w:p>
            <w:pPr>
              <w:pStyle w:val="TableText"/>
              <w:ind w:left="337" w:right="115" w:hanging="207"/>
              <w:spacing w:before="37" w:line="230" w:lineRule="auto"/>
              <w:rPr/>
            </w:pPr>
            <w:r>
              <w:rPr>
                <w:spacing w:val="5"/>
              </w:rPr>
              <w:t>尾矿临时</w:t>
            </w:r>
            <w:r>
              <w:rPr>
                <w:spacing w:val="1"/>
              </w:rPr>
              <w:t>堆场</w:t>
            </w:r>
          </w:p>
        </w:tc>
        <w:tc>
          <w:tcPr>
            <w:tcW w:w="1560" w:type="dxa"/>
            <w:vAlign w:val="top"/>
          </w:tcPr>
          <w:p>
            <w:pPr>
              <w:ind w:left="603"/>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tcPr>
          <w:p>
            <w:pPr>
              <w:ind w:left="370"/>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40" w:type="dxa"/>
            <w:vAlign w:val="top"/>
          </w:tcPr>
          <w:p>
            <w:pPr>
              <w:ind w:left="370"/>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41" w:type="dxa"/>
            <w:vAlign w:val="top"/>
          </w:tcPr>
          <w:p>
            <w:pPr>
              <w:ind w:left="386"/>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340" w:type="dxa"/>
            <w:vAlign w:val="top"/>
          </w:tcPr>
          <w:p>
            <w:pPr>
              <w:ind w:left="461"/>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0.131</w:t>
            </w:r>
          </w:p>
        </w:tc>
      </w:tr>
      <w:tr>
        <w:trPr>
          <w:trHeight w:val="428" w:hRule="atLeast"/>
        </w:trPr>
        <w:tc>
          <w:tcPr>
            <w:tcW w:w="1071" w:type="dxa"/>
            <w:vAlign w:val="top"/>
            <w:tcBorders>
              <w:left w:val="nil"/>
            </w:tcBorders>
          </w:tcPr>
          <w:p>
            <w:pPr>
              <w:pStyle w:val="TableText"/>
              <w:ind w:left="237"/>
              <w:spacing w:before="118" w:line="231" w:lineRule="auto"/>
              <w:rPr/>
            </w:pPr>
            <w:r>
              <w:rPr>
                <w:spacing w:val="3"/>
              </w:rPr>
              <w:t>成品库</w:t>
            </w:r>
          </w:p>
        </w:tc>
        <w:tc>
          <w:tcPr>
            <w:tcW w:w="1560" w:type="dxa"/>
            <w:vAlign w:val="top"/>
          </w:tcPr>
          <w:p>
            <w:pPr>
              <w:ind w:left="603"/>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tcPr>
          <w:p>
            <w:pPr>
              <w:ind w:left="36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940" w:type="dxa"/>
            <w:vAlign w:val="top"/>
          </w:tcPr>
          <w:p>
            <w:pPr>
              <w:ind w:left="370"/>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41" w:type="dxa"/>
            <w:vAlign w:val="top"/>
          </w:tcPr>
          <w:p>
            <w:pPr>
              <w:ind w:left="386"/>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340" w:type="dxa"/>
            <w:vAlign w:val="top"/>
          </w:tcPr>
          <w:p>
            <w:pPr>
              <w:ind w:left="461"/>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0.108</w:t>
            </w:r>
          </w:p>
        </w:tc>
      </w:tr>
      <w:tr>
        <w:trPr>
          <w:trHeight w:val="428" w:hRule="atLeast"/>
        </w:trPr>
        <w:tc>
          <w:tcPr>
            <w:tcW w:w="1071" w:type="dxa"/>
            <w:vAlign w:val="top"/>
            <w:vMerge w:val="restart"/>
            <w:tcBorders>
              <w:left w:val="nil"/>
              <w:bottom w:val="nil"/>
            </w:tcBorders>
          </w:tcPr>
          <w:p>
            <w:pPr>
              <w:pStyle w:val="TableText"/>
              <w:ind w:left="462" w:right="115" w:hanging="334"/>
              <w:spacing w:before="201" w:line="251" w:lineRule="auto"/>
              <w:rPr/>
            </w:pPr>
            <w:r>
              <w:rPr>
                <w:spacing w:val="5"/>
              </w:rPr>
              <w:t>粗破碎车</w:t>
            </w:r>
            <w:r>
              <w:rPr/>
              <w:t>间</w:t>
            </w:r>
          </w:p>
        </w:tc>
        <w:tc>
          <w:tcPr>
            <w:tcW w:w="1560" w:type="dxa"/>
            <w:vAlign w:val="top"/>
          </w:tcPr>
          <w:p>
            <w:pPr>
              <w:ind w:left="603"/>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vMerge w:val="restart"/>
            <w:tcBorders>
              <w:bottom w:val="nil"/>
            </w:tcBorders>
          </w:tcPr>
          <w:p>
            <w:pPr>
              <w:spacing w:line="314" w:lineRule="auto"/>
              <w:rPr>
                <w:rFonts w:ascii="Arial"/>
                <w:sz w:val="21"/>
              </w:rPr>
            </w:pPr>
            <w:r/>
          </w:p>
          <w:p>
            <w:pPr>
              <w:ind w:left="38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940" w:type="dxa"/>
            <w:vAlign w:val="top"/>
            <w:vMerge w:val="restart"/>
            <w:tcBorders>
              <w:bottom w:val="nil"/>
            </w:tcBorders>
          </w:tcPr>
          <w:p>
            <w:pPr>
              <w:spacing w:line="314" w:lineRule="auto"/>
              <w:rPr>
                <w:rFonts w:ascii="Arial"/>
                <w:sz w:val="21"/>
              </w:rPr>
            </w:pPr>
            <w:r/>
          </w:p>
          <w:p>
            <w:pPr>
              <w:ind w:left="38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941" w:type="dxa"/>
            <w:vAlign w:val="top"/>
            <w:vMerge w:val="restart"/>
            <w:tcBorders>
              <w:bottom w:val="nil"/>
            </w:tcBorders>
          </w:tcPr>
          <w:p>
            <w:pPr>
              <w:spacing w:line="314" w:lineRule="auto"/>
              <w:rPr>
                <w:rFonts w:ascii="Arial"/>
                <w:sz w:val="21"/>
              </w:rPr>
            </w:pPr>
            <w:r/>
          </w:p>
          <w:p>
            <w:pPr>
              <w:ind w:left="38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340" w:type="dxa"/>
            <w:vAlign w:val="top"/>
          </w:tcPr>
          <w:p>
            <w:pPr>
              <w:ind w:left="461"/>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9"/>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0.117</w:t>
            </w:r>
          </w:p>
        </w:tc>
      </w:tr>
      <w:tr>
        <w:trPr>
          <w:trHeight w:val="428" w:hRule="atLeast"/>
        </w:trPr>
        <w:tc>
          <w:tcPr>
            <w:tcW w:w="1071" w:type="dxa"/>
            <w:vAlign w:val="top"/>
            <w:vMerge w:val="continue"/>
            <w:tcBorders>
              <w:left w:val="nil"/>
              <w:top w:val="nil"/>
            </w:tcBorders>
          </w:tcPr>
          <w:p>
            <w:pPr>
              <w:rPr>
                <w:rFonts w:ascii="Arial"/>
                <w:sz w:val="21"/>
              </w:rPr>
            </w:pPr>
            <w:r/>
          </w:p>
        </w:tc>
        <w:tc>
          <w:tcPr>
            <w:tcW w:w="1560" w:type="dxa"/>
            <w:vAlign w:val="top"/>
          </w:tcPr>
          <w:p>
            <w:pPr>
              <w:pStyle w:val="TableText"/>
              <w:ind w:left="482"/>
              <w:spacing w:before="121" w:line="229" w:lineRule="auto"/>
              <w:rPr/>
            </w:pPr>
            <w:r>
              <w:rPr>
                <w:spacing w:val="3"/>
              </w:rPr>
              <w:t>氟化物</w:t>
            </w:r>
          </w:p>
        </w:tc>
        <w:tc>
          <w:tcPr>
            <w:tcW w:w="941" w:type="dxa"/>
            <w:vAlign w:val="top"/>
            <w:vMerge w:val="continue"/>
            <w:tcBorders>
              <w:top w:val="nil"/>
            </w:tcBorders>
          </w:tcPr>
          <w:p>
            <w:pPr>
              <w:rPr>
                <w:rFonts w:ascii="Arial"/>
                <w:sz w:val="21"/>
              </w:rPr>
            </w:pPr>
            <w:r/>
          </w:p>
        </w:tc>
        <w:tc>
          <w:tcPr>
            <w:tcW w:w="940" w:type="dxa"/>
            <w:vAlign w:val="top"/>
            <w:vMerge w:val="continue"/>
            <w:tcBorders>
              <w:top w:val="nil"/>
            </w:tcBorders>
          </w:tcPr>
          <w:p>
            <w:pPr>
              <w:rPr>
                <w:rFonts w:ascii="Arial"/>
                <w:sz w:val="21"/>
              </w:rPr>
            </w:pPr>
            <w:r/>
          </w:p>
        </w:tc>
        <w:tc>
          <w:tcPr>
            <w:tcW w:w="941" w:type="dxa"/>
            <w:vAlign w:val="top"/>
            <w:vMerge w:val="continue"/>
            <w:tcBorders>
              <w:top w:val="nil"/>
            </w:tcBorders>
          </w:tcPr>
          <w:p>
            <w:pPr>
              <w:rPr>
                <w:rFonts w:ascii="Arial"/>
                <w:sz w:val="21"/>
              </w:rPr>
            </w:pPr>
            <w:r/>
          </w:p>
        </w:tc>
        <w:tc>
          <w:tcPr>
            <w:tcW w:w="1340" w:type="dxa"/>
            <w:vAlign w:val="top"/>
          </w:tcPr>
          <w:p>
            <w:pPr>
              <w:ind w:left="461"/>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0.080</w:t>
            </w:r>
          </w:p>
        </w:tc>
      </w:tr>
      <w:tr>
        <w:trPr>
          <w:trHeight w:val="428" w:hRule="atLeast"/>
        </w:trPr>
        <w:tc>
          <w:tcPr>
            <w:tcW w:w="1071" w:type="dxa"/>
            <w:vAlign w:val="top"/>
            <w:vMerge w:val="restart"/>
            <w:tcBorders>
              <w:left w:val="nil"/>
              <w:bottom w:val="nil"/>
            </w:tcBorders>
          </w:tcPr>
          <w:p>
            <w:pPr>
              <w:pStyle w:val="TableText"/>
              <w:ind w:left="462" w:right="115" w:hanging="329"/>
              <w:spacing w:before="204" w:line="251" w:lineRule="auto"/>
              <w:rPr/>
            </w:pPr>
            <w:r>
              <w:rPr>
                <w:spacing w:val="4"/>
              </w:rPr>
              <w:t>细破碎车</w:t>
            </w:r>
            <w:r>
              <w:rPr/>
              <w:t>间</w:t>
            </w:r>
          </w:p>
        </w:tc>
        <w:tc>
          <w:tcPr>
            <w:tcW w:w="1560" w:type="dxa"/>
            <w:vAlign w:val="top"/>
          </w:tcPr>
          <w:p>
            <w:pPr>
              <w:ind w:left="603"/>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vMerge w:val="restart"/>
            <w:tcBorders>
              <w:bottom w:val="nil"/>
            </w:tcBorders>
          </w:tcPr>
          <w:p>
            <w:pPr>
              <w:spacing w:line="317" w:lineRule="auto"/>
              <w:rPr>
                <w:rFonts w:ascii="Arial"/>
                <w:sz w:val="21"/>
              </w:rPr>
            </w:pPr>
            <w:r/>
          </w:p>
          <w:p>
            <w:pPr>
              <w:ind w:left="36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940" w:type="dxa"/>
            <w:vAlign w:val="top"/>
            <w:vMerge w:val="restart"/>
            <w:tcBorders>
              <w:bottom w:val="nil"/>
            </w:tcBorders>
          </w:tcPr>
          <w:p>
            <w:pPr>
              <w:spacing w:line="317" w:lineRule="auto"/>
              <w:rPr>
                <w:rFonts w:ascii="Arial"/>
                <w:sz w:val="21"/>
              </w:rPr>
            </w:pPr>
            <w:r/>
          </w:p>
          <w:p>
            <w:pPr>
              <w:ind w:left="38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941" w:type="dxa"/>
            <w:vAlign w:val="top"/>
            <w:vMerge w:val="restart"/>
            <w:tcBorders>
              <w:bottom w:val="nil"/>
            </w:tcBorders>
          </w:tcPr>
          <w:p>
            <w:pPr>
              <w:spacing w:line="317" w:lineRule="auto"/>
              <w:rPr>
                <w:rFonts w:ascii="Arial"/>
                <w:sz w:val="21"/>
              </w:rPr>
            </w:pPr>
            <w:r/>
          </w:p>
          <w:p>
            <w:pPr>
              <w:ind w:left="38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340" w:type="dxa"/>
            <w:vAlign w:val="top"/>
          </w:tcPr>
          <w:p>
            <w:pPr>
              <w:ind w:left="461"/>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9"/>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0.117</w:t>
            </w:r>
          </w:p>
        </w:tc>
      </w:tr>
      <w:tr>
        <w:trPr>
          <w:trHeight w:val="428" w:hRule="atLeast"/>
        </w:trPr>
        <w:tc>
          <w:tcPr>
            <w:tcW w:w="1071" w:type="dxa"/>
            <w:vAlign w:val="top"/>
            <w:vMerge w:val="continue"/>
            <w:tcBorders>
              <w:left w:val="nil"/>
              <w:top w:val="nil"/>
            </w:tcBorders>
          </w:tcPr>
          <w:p>
            <w:pPr>
              <w:rPr>
                <w:rFonts w:ascii="Arial"/>
                <w:sz w:val="21"/>
              </w:rPr>
            </w:pPr>
            <w:r/>
          </w:p>
        </w:tc>
        <w:tc>
          <w:tcPr>
            <w:tcW w:w="1560" w:type="dxa"/>
            <w:vAlign w:val="top"/>
          </w:tcPr>
          <w:p>
            <w:pPr>
              <w:pStyle w:val="TableText"/>
              <w:ind w:left="482"/>
              <w:spacing w:before="126" w:line="229" w:lineRule="auto"/>
              <w:rPr/>
            </w:pPr>
            <w:r>
              <w:rPr>
                <w:spacing w:val="3"/>
              </w:rPr>
              <w:t>氟化物</w:t>
            </w:r>
          </w:p>
        </w:tc>
        <w:tc>
          <w:tcPr>
            <w:tcW w:w="941" w:type="dxa"/>
            <w:vAlign w:val="top"/>
            <w:vMerge w:val="continue"/>
            <w:tcBorders>
              <w:top w:val="nil"/>
            </w:tcBorders>
          </w:tcPr>
          <w:p>
            <w:pPr>
              <w:rPr>
                <w:rFonts w:ascii="Arial"/>
                <w:sz w:val="21"/>
              </w:rPr>
            </w:pPr>
            <w:r/>
          </w:p>
        </w:tc>
        <w:tc>
          <w:tcPr>
            <w:tcW w:w="940" w:type="dxa"/>
            <w:vAlign w:val="top"/>
            <w:vMerge w:val="continue"/>
            <w:tcBorders>
              <w:top w:val="nil"/>
            </w:tcBorders>
          </w:tcPr>
          <w:p>
            <w:pPr>
              <w:rPr>
                <w:rFonts w:ascii="Arial"/>
                <w:sz w:val="21"/>
              </w:rPr>
            </w:pPr>
            <w:r/>
          </w:p>
        </w:tc>
        <w:tc>
          <w:tcPr>
            <w:tcW w:w="941" w:type="dxa"/>
            <w:vAlign w:val="top"/>
            <w:vMerge w:val="continue"/>
            <w:tcBorders>
              <w:top w:val="nil"/>
            </w:tcBorders>
          </w:tcPr>
          <w:p>
            <w:pPr>
              <w:rPr>
                <w:rFonts w:ascii="Arial"/>
                <w:sz w:val="21"/>
              </w:rPr>
            </w:pPr>
            <w:r/>
          </w:p>
        </w:tc>
        <w:tc>
          <w:tcPr>
            <w:tcW w:w="1340" w:type="dxa"/>
            <w:vAlign w:val="top"/>
          </w:tcPr>
          <w:p>
            <w:pPr>
              <w:ind w:left="461"/>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0.080</w:t>
            </w:r>
          </w:p>
        </w:tc>
      </w:tr>
      <w:tr>
        <w:trPr>
          <w:trHeight w:val="428" w:hRule="atLeast"/>
        </w:trPr>
        <w:tc>
          <w:tcPr>
            <w:tcW w:w="1071" w:type="dxa"/>
            <w:vAlign w:val="top"/>
            <w:vMerge w:val="restart"/>
            <w:tcBorders>
              <w:left w:val="nil"/>
              <w:bottom w:val="nil"/>
            </w:tcBorders>
          </w:tcPr>
          <w:p>
            <w:pPr>
              <w:spacing w:line="277" w:lineRule="auto"/>
              <w:rPr>
                <w:rFonts w:ascii="Arial"/>
                <w:sz w:val="21"/>
              </w:rPr>
            </w:pPr>
            <w:r/>
          </w:p>
          <w:p>
            <w:pPr>
              <w:pStyle w:val="TableText"/>
              <w:ind w:left="131"/>
              <w:spacing w:before="65" w:line="228" w:lineRule="auto"/>
              <w:rPr/>
            </w:pPr>
            <w:r>
              <w:rPr>
                <w:spacing w:val="5"/>
              </w:rPr>
              <w:t>筛选车间</w:t>
            </w:r>
          </w:p>
        </w:tc>
        <w:tc>
          <w:tcPr>
            <w:tcW w:w="1560" w:type="dxa"/>
            <w:vAlign w:val="top"/>
          </w:tcPr>
          <w:p>
            <w:pPr>
              <w:ind w:left="603"/>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vMerge w:val="restart"/>
            <w:tcBorders>
              <w:bottom w:val="nil"/>
            </w:tcBorders>
          </w:tcPr>
          <w:p>
            <w:pPr>
              <w:spacing w:line="322" w:lineRule="auto"/>
              <w:rPr>
                <w:rFonts w:ascii="Arial"/>
                <w:sz w:val="21"/>
              </w:rPr>
            </w:pPr>
            <w:r/>
          </w:p>
          <w:p>
            <w:pPr>
              <w:ind w:left="36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940" w:type="dxa"/>
            <w:vAlign w:val="top"/>
            <w:vMerge w:val="restart"/>
            <w:tcBorders>
              <w:bottom w:val="nil"/>
            </w:tcBorders>
          </w:tcPr>
          <w:p>
            <w:pPr>
              <w:spacing w:line="322" w:lineRule="auto"/>
              <w:rPr>
                <w:rFonts w:ascii="Arial"/>
                <w:sz w:val="21"/>
              </w:rPr>
            </w:pPr>
            <w:r/>
          </w:p>
          <w:p>
            <w:pPr>
              <w:ind w:left="38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941" w:type="dxa"/>
            <w:vAlign w:val="top"/>
            <w:vMerge w:val="restart"/>
            <w:tcBorders>
              <w:bottom w:val="nil"/>
            </w:tcBorders>
          </w:tcPr>
          <w:p>
            <w:pPr>
              <w:spacing w:line="322" w:lineRule="auto"/>
              <w:rPr>
                <w:rFonts w:ascii="Arial"/>
                <w:sz w:val="21"/>
              </w:rPr>
            </w:pPr>
            <w:r/>
          </w:p>
          <w:p>
            <w:pPr>
              <w:ind w:left="38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340" w:type="dxa"/>
            <w:vAlign w:val="top"/>
          </w:tcPr>
          <w:p>
            <w:pPr>
              <w:ind w:left="461"/>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9"/>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0.117</w:t>
            </w:r>
          </w:p>
        </w:tc>
      </w:tr>
      <w:tr>
        <w:trPr>
          <w:trHeight w:val="428" w:hRule="atLeast"/>
        </w:trPr>
        <w:tc>
          <w:tcPr>
            <w:tcW w:w="1071" w:type="dxa"/>
            <w:vAlign w:val="top"/>
            <w:vMerge w:val="continue"/>
            <w:tcBorders>
              <w:left w:val="nil"/>
              <w:top w:val="nil"/>
            </w:tcBorders>
          </w:tcPr>
          <w:p>
            <w:pPr>
              <w:rPr>
                <w:rFonts w:ascii="Arial"/>
                <w:sz w:val="21"/>
              </w:rPr>
            </w:pPr>
            <w:r/>
          </w:p>
        </w:tc>
        <w:tc>
          <w:tcPr>
            <w:tcW w:w="1560" w:type="dxa"/>
            <w:vAlign w:val="top"/>
          </w:tcPr>
          <w:p>
            <w:pPr>
              <w:pStyle w:val="TableText"/>
              <w:ind w:left="482"/>
              <w:spacing w:before="129" w:line="229" w:lineRule="auto"/>
              <w:rPr/>
            </w:pPr>
            <w:r>
              <w:rPr>
                <w:spacing w:val="3"/>
              </w:rPr>
              <w:t>氟化物</w:t>
            </w:r>
          </w:p>
        </w:tc>
        <w:tc>
          <w:tcPr>
            <w:tcW w:w="941" w:type="dxa"/>
            <w:vAlign w:val="top"/>
            <w:vMerge w:val="continue"/>
            <w:tcBorders>
              <w:top w:val="nil"/>
            </w:tcBorders>
          </w:tcPr>
          <w:p>
            <w:pPr>
              <w:rPr>
                <w:rFonts w:ascii="Arial"/>
                <w:sz w:val="21"/>
              </w:rPr>
            </w:pPr>
            <w:r/>
          </w:p>
        </w:tc>
        <w:tc>
          <w:tcPr>
            <w:tcW w:w="940" w:type="dxa"/>
            <w:vAlign w:val="top"/>
            <w:vMerge w:val="continue"/>
            <w:tcBorders>
              <w:top w:val="nil"/>
            </w:tcBorders>
          </w:tcPr>
          <w:p>
            <w:pPr>
              <w:rPr>
                <w:rFonts w:ascii="Arial"/>
                <w:sz w:val="21"/>
              </w:rPr>
            </w:pPr>
            <w:r/>
          </w:p>
        </w:tc>
        <w:tc>
          <w:tcPr>
            <w:tcW w:w="941" w:type="dxa"/>
            <w:vAlign w:val="top"/>
            <w:vMerge w:val="continue"/>
            <w:tcBorders>
              <w:top w:val="nil"/>
            </w:tcBorders>
          </w:tcPr>
          <w:p>
            <w:pPr>
              <w:rPr>
                <w:rFonts w:ascii="Arial"/>
                <w:sz w:val="21"/>
              </w:rPr>
            </w:pPr>
            <w:r/>
          </w:p>
        </w:tc>
        <w:tc>
          <w:tcPr>
            <w:tcW w:w="1340" w:type="dxa"/>
            <w:vAlign w:val="top"/>
          </w:tcPr>
          <w:p>
            <w:pPr>
              <w:ind w:left="461"/>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tcBorders>
          </w:tcPr>
          <w:p>
            <w:pPr>
              <w:ind w:left="824"/>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0.080</w:t>
            </w:r>
          </w:p>
        </w:tc>
      </w:tr>
      <w:tr>
        <w:trPr>
          <w:trHeight w:val="450" w:hRule="atLeast"/>
        </w:trPr>
        <w:tc>
          <w:tcPr>
            <w:tcW w:w="1071" w:type="dxa"/>
            <w:vAlign w:val="top"/>
            <w:tcBorders>
              <w:left w:val="nil"/>
              <w:bottom w:val="single" w:color="000000" w:sz="10" w:space="0"/>
            </w:tcBorders>
          </w:tcPr>
          <w:p>
            <w:pPr>
              <w:pStyle w:val="TableText"/>
              <w:ind w:left="235"/>
              <w:spacing w:before="130" w:line="232" w:lineRule="auto"/>
              <w:rPr/>
            </w:pPr>
            <w:r>
              <w:rPr>
                <w:spacing w:val="4"/>
              </w:rPr>
              <w:t>粉矿仓</w:t>
            </w:r>
          </w:p>
        </w:tc>
        <w:tc>
          <w:tcPr>
            <w:tcW w:w="1560" w:type="dxa"/>
            <w:vAlign w:val="top"/>
            <w:tcBorders>
              <w:bottom w:val="single" w:color="000000" w:sz="10" w:space="0"/>
            </w:tcBorders>
          </w:tcPr>
          <w:p>
            <w:pPr>
              <w:ind w:left="603"/>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941" w:type="dxa"/>
            <w:vAlign w:val="top"/>
            <w:tcBorders>
              <w:bottom w:val="single" w:color="000000" w:sz="10" w:space="0"/>
            </w:tcBorders>
          </w:tcPr>
          <w:p>
            <w:pPr>
              <w:ind w:left="386"/>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940" w:type="dxa"/>
            <w:vAlign w:val="top"/>
            <w:tcBorders>
              <w:bottom w:val="single" w:color="000000" w:sz="10" w:space="0"/>
            </w:tcBorders>
          </w:tcPr>
          <w:p>
            <w:pPr>
              <w:ind w:left="385"/>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941" w:type="dxa"/>
            <w:vAlign w:val="top"/>
            <w:tcBorders>
              <w:bottom w:val="single" w:color="000000" w:sz="10" w:space="0"/>
            </w:tcBorders>
          </w:tcPr>
          <w:p>
            <w:pPr>
              <w:ind w:left="386"/>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340" w:type="dxa"/>
            <w:vAlign w:val="top"/>
            <w:tcBorders>
              <w:bottom w:val="single" w:color="000000" w:sz="10" w:space="0"/>
            </w:tcBorders>
          </w:tcPr>
          <w:p>
            <w:pPr>
              <w:ind w:left="461"/>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right w:val="nil"/>
              <w:bottom w:val="single" w:color="000000" w:sz="10" w:space="0"/>
            </w:tcBorders>
          </w:tcPr>
          <w:p>
            <w:pPr>
              <w:ind w:left="824"/>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0.009</w:t>
            </w:r>
          </w:p>
        </w:tc>
      </w:tr>
    </w:tbl>
    <w:p>
      <w:pPr>
        <w:pStyle w:val="BodyText"/>
        <w:rPr/>
      </w:pPr>
      <w:r/>
    </w:p>
    <w:p>
      <w:pPr>
        <w:sectPr>
          <w:footerReference w:type="default" r:id="rId65"/>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07" w:type="dxa"/>
        <w:tblInd w:w="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071"/>
        <w:gridCol w:w="1560"/>
        <w:gridCol w:w="941"/>
        <w:gridCol w:w="940"/>
        <w:gridCol w:w="941"/>
        <w:gridCol w:w="1340"/>
        <w:gridCol w:w="2114"/>
      </w:tblGrid>
      <w:tr>
        <w:trPr>
          <w:trHeight w:val="433" w:hRule="atLeast"/>
        </w:trPr>
        <w:tc>
          <w:tcPr>
            <w:tcW w:w="1071" w:type="dxa"/>
            <w:vAlign w:val="top"/>
            <w:tcBorders>
              <w:right w:val="single" w:color="000000" w:sz="2" w:space="0"/>
              <w:left w:val="nil"/>
            </w:tcBorders>
          </w:tcPr>
          <w:p>
            <w:pPr>
              <w:rPr>
                <w:rFonts w:ascii="Arial"/>
                <w:sz w:val="21"/>
              </w:rPr>
            </w:pPr>
            <w:r/>
          </w:p>
        </w:tc>
        <w:tc>
          <w:tcPr>
            <w:tcW w:w="1560" w:type="dxa"/>
            <w:vAlign w:val="top"/>
            <w:tcBorders>
              <w:left w:val="single" w:color="000000" w:sz="2" w:space="0"/>
              <w:right w:val="single" w:color="000000" w:sz="2" w:space="0"/>
            </w:tcBorders>
          </w:tcPr>
          <w:p>
            <w:pPr>
              <w:pStyle w:val="TableText"/>
              <w:ind w:left="482"/>
              <w:spacing w:before="113" w:line="229" w:lineRule="auto"/>
              <w:rPr/>
            </w:pPr>
            <w:r>
              <w:rPr>
                <w:spacing w:val="3"/>
              </w:rPr>
              <w:t>氟化物</w:t>
            </w:r>
          </w:p>
        </w:tc>
        <w:tc>
          <w:tcPr>
            <w:tcW w:w="941" w:type="dxa"/>
            <w:vAlign w:val="top"/>
            <w:tcBorders>
              <w:left w:val="single" w:color="000000" w:sz="2" w:space="0"/>
              <w:right w:val="single" w:color="000000" w:sz="2" w:space="0"/>
            </w:tcBorders>
          </w:tcPr>
          <w:p>
            <w:pPr>
              <w:rPr>
                <w:rFonts w:ascii="Arial"/>
                <w:sz w:val="21"/>
              </w:rPr>
            </w:pPr>
            <w:r/>
          </w:p>
        </w:tc>
        <w:tc>
          <w:tcPr>
            <w:tcW w:w="940" w:type="dxa"/>
            <w:vAlign w:val="top"/>
            <w:tcBorders>
              <w:left w:val="single" w:color="000000" w:sz="2" w:space="0"/>
              <w:right w:val="single" w:color="000000" w:sz="2" w:space="0"/>
            </w:tcBorders>
          </w:tcPr>
          <w:p>
            <w:pPr>
              <w:rPr>
                <w:rFonts w:ascii="Arial"/>
                <w:sz w:val="21"/>
              </w:rPr>
            </w:pPr>
            <w:r/>
          </w:p>
        </w:tc>
        <w:tc>
          <w:tcPr>
            <w:tcW w:w="941" w:type="dxa"/>
            <w:vAlign w:val="top"/>
            <w:tcBorders>
              <w:left w:val="single" w:color="000000" w:sz="2" w:space="0"/>
              <w:right w:val="single" w:color="000000" w:sz="2" w:space="0"/>
            </w:tcBorders>
          </w:tcPr>
          <w:p>
            <w:pPr>
              <w:rPr>
                <w:rFonts w:ascii="Arial"/>
                <w:sz w:val="21"/>
              </w:rPr>
            </w:pPr>
            <w:r/>
          </w:p>
        </w:tc>
        <w:tc>
          <w:tcPr>
            <w:tcW w:w="1340" w:type="dxa"/>
            <w:vAlign w:val="top"/>
            <w:tcBorders>
              <w:left w:val="single" w:color="000000" w:sz="2" w:space="0"/>
              <w:right w:val="single" w:color="000000" w:sz="2" w:space="0"/>
            </w:tcBorders>
          </w:tcPr>
          <w:p>
            <w:pPr>
              <w:ind w:left="461"/>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4800</w:t>
            </w:r>
          </w:p>
        </w:tc>
        <w:tc>
          <w:tcPr>
            <w:tcW w:w="2114" w:type="dxa"/>
            <w:vAlign w:val="top"/>
            <w:tcBorders>
              <w:left w:val="single" w:color="000000" w:sz="2" w:space="0"/>
              <w:right w:val="nil"/>
            </w:tcBorders>
          </w:tcPr>
          <w:p>
            <w:pPr>
              <w:ind w:left="82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w:t>
            </w:r>
          </w:p>
        </w:tc>
      </w:tr>
    </w:tbl>
    <w:p>
      <w:pPr>
        <w:pStyle w:val="BodyText"/>
        <w:spacing w:line="370" w:lineRule="auto"/>
        <w:rPr/>
      </w:pPr>
      <w:r/>
    </w:p>
    <w:p>
      <w:pPr>
        <w:ind w:left="1844"/>
        <w:spacing w:before="78" w:line="221" w:lineRule="auto"/>
        <w:rPr>
          <w:rFonts w:ascii="FangSong" w:hAnsi="FangSong" w:eastAsia="FangSong" w:cs="FangSong"/>
          <w:sz w:val="24"/>
          <w:szCs w:val="24"/>
        </w:rPr>
      </w:pPr>
      <w:bookmarkStart w:name="bookmark518" w:id="98"/>
      <w:bookmarkEnd w:id="98"/>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2.5-6  </w:t>
      </w:r>
      <w:r>
        <w:rPr>
          <w:rFonts w:ascii="FangSong" w:hAnsi="FangSong" w:eastAsia="FangSong" w:cs="FangSong"/>
          <w:sz w:val="24"/>
          <w:szCs w:val="24"/>
          <w:b/>
          <w:bCs/>
          <w:spacing w:val="-2"/>
        </w:rPr>
        <w:t>本项目有组织废气污染物排放</w:t>
      </w:r>
      <w:r>
        <w:rPr>
          <w:rFonts w:ascii="FangSong" w:hAnsi="FangSong" w:eastAsia="FangSong" w:cs="FangSong"/>
          <w:sz w:val="24"/>
          <w:szCs w:val="24"/>
          <w:b/>
          <w:bCs/>
          <w:spacing w:val="-3"/>
        </w:rPr>
        <w:t>情况一览表</w:t>
      </w:r>
    </w:p>
    <w:p>
      <w:pPr>
        <w:spacing w:line="145"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853"/>
        <w:gridCol w:w="1473"/>
        <w:gridCol w:w="1386"/>
        <w:gridCol w:w="758"/>
        <w:gridCol w:w="758"/>
        <w:gridCol w:w="758"/>
        <w:gridCol w:w="810"/>
        <w:gridCol w:w="953"/>
      </w:tblGrid>
      <w:tr>
        <w:trPr>
          <w:trHeight w:val="730" w:hRule="atLeast"/>
        </w:trPr>
        <w:tc>
          <w:tcPr>
            <w:tcW w:w="1163" w:type="dxa"/>
            <w:vAlign w:val="top"/>
            <w:vMerge w:val="restart"/>
            <w:tcBorders>
              <w:left w:val="nil"/>
              <w:top w:val="single" w:color="000000" w:sz="10" w:space="0"/>
              <w:bottom w:val="nil"/>
            </w:tcBorders>
          </w:tcPr>
          <w:p>
            <w:pPr>
              <w:spacing w:line="255" w:lineRule="auto"/>
              <w:rPr>
                <w:rFonts w:ascii="Arial"/>
                <w:sz w:val="21"/>
              </w:rPr>
            </w:pPr>
            <w:r/>
          </w:p>
          <w:p>
            <w:pPr>
              <w:spacing w:line="256" w:lineRule="auto"/>
              <w:rPr>
                <w:rFonts w:ascii="Arial"/>
                <w:sz w:val="21"/>
              </w:rPr>
            </w:pPr>
            <w:r/>
          </w:p>
          <w:p>
            <w:pPr>
              <w:pStyle w:val="TableText"/>
              <w:ind w:left="489" w:right="161" w:hanging="310"/>
              <w:spacing w:before="65" w:line="250" w:lineRule="auto"/>
              <w:rPr/>
            </w:pPr>
            <w:r>
              <w:rPr>
                <w:spacing w:val="4"/>
              </w:rPr>
              <w:t>污染源名</w:t>
            </w:r>
            <w:r>
              <w:rPr/>
              <w:t>称</w:t>
            </w:r>
          </w:p>
        </w:tc>
        <w:tc>
          <w:tcPr>
            <w:tcW w:w="853" w:type="dxa"/>
            <w:vAlign w:val="top"/>
            <w:vMerge w:val="restart"/>
            <w:tcBorders>
              <w:top w:val="single" w:color="000000" w:sz="10" w:space="0"/>
              <w:bottom w:val="nil"/>
            </w:tcBorders>
          </w:tcPr>
          <w:p>
            <w:pPr>
              <w:spacing w:line="322" w:lineRule="auto"/>
              <w:rPr>
                <w:rFonts w:ascii="Arial"/>
                <w:sz w:val="21"/>
              </w:rPr>
            </w:pPr>
            <w:r/>
          </w:p>
          <w:p>
            <w:pPr>
              <w:spacing w:line="323" w:lineRule="auto"/>
              <w:rPr>
                <w:rFonts w:ascii="Arial"/>
                <w:sz w:val="21"/>
              </w:rPr>
            </w:pPr>
            <w:r/>
          </w:p>
          <w:p>
            <w:pPr>
              <w:pStyle w:val="TableText"/>
              <w:ind w:left="127"/>
              <w:spacing w:before="65" w:line="229" w:lineRule="auto"/>
              <w:rPr/>
            </w:pPr>
            <w:r>
              <w:rPr>
                <w:spacing w:val="3"/>
              </w:rPr>
              <w:t>污染物</w:t>
            </w:r>
          </w:p>
        </w:tc>
        <w:tc>
          <w:tcPr>
            <w:tcW w:w="2859" w:type="dxa"/>
            <w:vAlign w:val="top"/>
            <w:gridSpan w:val="2"/>
            <w:tcBorders>
              <w:top w:val="single" w:color="000000" w:sz="10" w:space="0"/>
            </w:tcBorders>
          </w:tcPr>
          <w:p>
            <w:pPr>
              <w:pStyle w:val="TableText"/>
              <w:ind w:left="239"/>
              <w:spacing w:before="260" w:line="231" w:lineRule="auto"/>
              <w:rPr/>
            </w:pPr>
            <w:r>
              <w:rPr>
                <w:spacing w:val="7"/>
              </w:rPr>
              <w:t>排气筒底部中心坐标</w:t>
            </w:r>
            <w:r>
              <w:rPr>
                <w:spacing w:val="7"/>
              </w:rPr>
              <w:t xml:space="preserve"> </w:t>
            </w:r>
            <w:r>
              <w:rPr>
                <w:spacing w:val="7"/>
              </w:rPr>
              <w:t>(</w:t>
            </w:r>
            <w:r>
              <w:rPr>
                <w:rFonts w:ascii="Times New Roman" w:hAnsi="Times New Roman" w:eastAsia="Times New Roman" w:cs="Times New Roman"/>
                <w:spacing w:val="7"/>
              </w:rPr>
              <w:t>°</w:t>
            </w:r>
            <w:r>
              <w:rPr>
                <w:spacing w:val="7"/>
              </w:rPr>
              <w:t>)</w:t>
            </w:r>
          </w:p>
        </w:tc>
        <w:tc>
          <w:tcPr>
            <w:tcW w:w="758" w:type="dxa"/>
            <w:vAlign w:val="top"/>
            <w:vMerge w:val="restart"/>
            <w:tcBorders>
              <w:top w:val="single" w:color="000000" w:sz="10" w:space="0"/>
              <w:bottom w:val="nil"/>
            </w:tcBorders>
          </w:tcPr>
          <w:p>
            <w:pPr>
              <w:pStyle w:val="TableText"/>
              <w:ind w:left="176"/>
              <w:spacing w:before="34" w:line="231" w:lineRule="auto"/>
              <w:rPr/>
            </w:pPr>
            <w:r>
              <w:rPr>
                <w:spacing w:val="3"/>
              </w:rPr>
              <w:t>排气</w:t>
            </w:r>
          </w:p>
          <w:p>
            <w:pPr>
              <w:pStyle w:val="TableText"/>
              <w:ind w:left="182"/>
              <w:spacing w:before="20" w:line="231" w:lineRule="auto"/>
              <w:rPr/>
            </w:pPr>
            <w:r>
              <w:rPr/>
              <w:t>筒底</w:t>
            </w:r>
          </w:p>
          <w:p>
            <w:pPr>
              <w:pStyle w:val="TableText"/>
              <w:ind w:left="180"/>
              <w:spacing w:before="23" w:line="231" w:lineRule="auto"/>
              <w:rPr/>
            </w:pPr>
            <w:r>
              <w:rPr>
                <w:spacing w:val="1"/>
              </w:rPr>
              <w:t>部海</w:t>
            </w:r>
          </w:p>
          <w:p>
            <w:pPr>
              <w:pStyle w:val="TableText"/>
              <w:ind w:left="180"/>
              <w:spacing w:before="23" w:line="233" w:lineRule="auto"/>
              <w:rPr/>
            </w:pPr>
            <w:r>
              <w:rPr>
                <w:spacing w:val="1"/>
              </w:rPr>
              <w:t>拔高</w:t>
            </w:r>
          </w:p>
          <w:p>
            <w:pPr>
              <w:pStyle w:val="TableText"/>
              <w:ind w:left="284"/>
              <w:spacing w:before="18" w:line="232" w:lineRule="auto"/>
              <w:rPr/>
            </w:pPr>
            <w:r>
              <w:rPr/>
              <w:t>度</w:t>
            </w:r>
          </w:p>
          <w:p>
            <w:pPr>
              <w:pStyle w:val="TableText"/>
              <w:ind w:left="123"/>
              <w:spacing w:before="21" w:line="212" w:lineRule="auto"/>
              <w:rPr/>
            </w:pPr>
            <w:r>
              <w:rPr>
                <w:spacing w:val="-1"/>
              </w:rPr>
              <w:t>（</w:t>
            </w:r>
            <w:r>
              <w:rPr>
                <w:rFonts w:ascii="Times New Roman" w:hAnsi="Times New Roman" w:eastAsia="Times New Roman" w:cs="Times New Roman"/>
                <w:spacing w:val="-1"/>
              </w:rPr>
              <w:t>m</w:t>
            </w:r>
            <w:r>
              <w:rPr>
                <w:spacing w:val="-1"/>
              </w:rPr>
              <w:t>）</w:t>
            </w:r>
          </w:p>
        </w:tc>
        <w:tc>
          <w:tcPr>
            <w:tcW w:w="2326" w:type="dxa"/>
            <w:vAlign w:val="top"/>
            <w:gridSpan w:val="3"/>
            <w:tcBorders>
              <w:top w:val="single" w:color="000000" w:sz="10" w:space="0"/>
            </w:tcBorders>
          </w:tcPr>
          <w:p>
            <w:pPr>
              <w:pStyle w:val="TableText"/>
              <w:ind w:left="647"/>
              <w:spacing w:before="260" w:line="231" w:lineRule="auto"/>
              <w:rPr/>
            </w:pPr>
            <w:r>
              <w:rPr>
                <w:spacing w:val="7"/>
              </w:rPr>
              <w:t>排气筒参数</w:t>
            </w:r>
          </w:p>
        </w:tc>
        <w:tc>
          <w:tcPr>
            <w:tcW w:w="953" w:type="dxa"/>
            <w:vAlign w:val="top"/>
            <w:vMerge w:val="restart"/>
            <w:tcBorders>
              <w:right w:val="nil"/>
              <w:top w:val="single" w:color="000000" w:sz="10" w:space="0"/>
              <w:bottom w:val="nil"/>
            </w:tcBorders>
          </w:tcPr>
          <w:p>
            <w:pPr>
              <w:rPr>
                <w:rFonts w:ascii="Arial"/>
                <w:sz w:val="21"/>
              </w:rPr>
            </w:pPr>
            <w:r/>
          </w:p>
          <w:p>
            <w:pPr>
              <w:pStyle w:val="TableText"/>
              <w:ind w:left="176"/>
              <w:spacing w:before="65" w:line="229" w:lineRule="auto"/>
              <w:rPr/>
            </w:pPr>
            <w:r>
              <w:rPr>
                <w:spacing w:val="3"/>
              </w:rPr>
              <w:t>污染物</w:t>
            </w:r>
          </w:p>
          <w:p>
            <w:pPr>
              <w:pStyle w:val="TableText"/>
              <w:ind w:left="169"/>
              <w:spacing w:before="24" w:line="231" w:lineRule="auto"/>
              <w:rPr/>
            </w:pPr>
            <w:r>
              <w:rPr>
                <w:spacing w:val="5"/>
              </w:rPr>
              <w:t>排放速</w:t>
            </w:r>
          </w:p>
          <w:p>
            <w:pPr>
              <w:pStyle w:val="TableText"/>
              <w:ind w:left="389"/>
              <w:spacing w:before="20" w:line="232" w:lineRule="auto"/>
              <w:rPr/>
            </w:pPr>
            <w:r>
              <w:rPr/>
              <w:t>率</w:t>
            </w:r>
          </w:p>
          <w:p>
            <w:pPr>
              <w:pStyle w:val="TableText"/>
              <w:ind w:left="123"/>
              <w:spacing w:before="22" w:line="221" w:lineRule="auto"/>
              <w:rPr/>
            </w:pP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p>
        </w:tc>
      </w:tr>
      <w:tr>
        <w:trPr>
          <w:trHeight w:val="901" w:hRule="atLeast"/>
        </w:trPr>
        <w:tc>
          <w:tcPr>
            <w:tcW w:w="1163" w:type="dxa"/>
            <w:vAlign w:val="top"/>
            <w:vMerge w:val="continue"/>
            <w:tcBorders>
              <w:left w:val="nil"/>
              <w:top w:val="nil"/>
            </w:tcBorders>
          </w:tcPr>
          <w:p>
            <w:pPr>
              <w:rPr>
                <w:rFonts w:ascii="Arial"/>
                <w:sz w:val="21"/>
              </w:rPr>
            </w:pPr>
            <w:r/>
          </w:p>
        </w:tc>
        <w:tc>
          <w:tcPr>
            <w:tcW w:w="853" w:type="dxa"/>
            <w:vAlign w:val="top"/>
            <w:vMerge w:val="continue"/>
            <w:tcBorders>
              <w:top w:val="nil"/>
            </w:tcBorders>
          </w:tcPr>
          <w:p>
            <w:pPr>
              <w:rPr>
                <w:rFonts w:ascii="Arial"/>
                <w:sz w:val="21"/>
              </w:rPr>
            </w:pPr>
            <w:r/>
          </w:p>
        </w:tc>
        <w:tc>
          <w:tcPr>
            <w:tcW w:w="1473" w:type="dxa"/>
            <w:vAlign w:val="top"/>
          </w:tcPr>
          <w:p>
            <w:pPr>
              <w:spacing w:line="279" w:lineRule="auto"/>
              <w:rPr>
                <w:rFonts w:ascii="Arial"/>
                <w:sz w:val="21"/>
              </w:rPr>
            </w:pPr>
            <w:r/>
          </w:p>
          <w:p>
            <w:pPr>
              <w:pStyle w:val="TableText"/>
              <w:ind w:left="537"/>
              <w:spacing w:before="65" w:line="232" w:lineRule="auto"/>
              <w:rPr/>
            </w:pPr>
            <w:r>
              <w:rPr>
                <w:spacing w:val="2"/>
              </w:rPr>
              <w:t>经度</w:t>
            </w:r>
          </w:p>
        </w:tc>
        <w:tc>
          <w:tcPr>
            <w:tcW w:w="1386" w:type="dxa"/>
            <w:vAlign w:val="top"/>
          </w:tcPr>
          <w:p>
            <w:pPr>
              <w:spacing w:line="280" w:lineRule="auto"/>
              <w:rPr>
                <w:rFonts w:ascii="Arial"/>
                <w:sz w:val="21"/>
              </w:rPr>
            </w:pPr>
            <w:r/>
          </w:p>
          <w:p>
            <w:pPr>
              <w:pStyle w:val="TableText"/>
              <w:ind w:left="497"/>
              <w:spacing w:before="65" w:line="229" w:lineRule="auto"/>
              <w:rPr/>
            </w:pPr>
            <w:r>
              <w:rPr/>
              <w:t>纬度</w:t>
            </w:r>
          </w:p>
        </w:tc>
        <w:tc>
          <w:tcPr>
            <w:tcW w:w="758" w:type="dxa"/>
            <w:vAlign w:val="top"/>
            <w:vMerge w:val="continue"/>
            <w:tcBorders>
              <w:top w:val="nil"/>
            </w:tcBorders>
          </w:tcPr>
          <w:p>
            <w:pPr>
              <w:rPr>
                <w:rFonts w:ascii="Arial"/>
                <w:sz w:val="21"/>
              </w:rPr>
            </w:pPr>
            <w:r/>
          </w:p>
        </w:tc>
        <w:tc>
          <w:tcPr>
            <w:tcW w:w="758" w:type="dxa"/>
            <w:vAlign w:val="top"/>
          </w:tcPr>
          <w:p>
            <w:pPr>
              <w:pStyle w:val="TableText"/>
              <w:ind w:left="124" w:right="84" w:firstLine="62"/>
              <w:spacing w:before="213" w:line="257" w:lineRule="auto"/>
              <w:rPr/>
            </w:pPr>
            <w:r>
              <w:rPr>
                <w:spacing w:val="-2"/>
              </w:rPr>
              <w:t>高度</w:t>
            </w:r>
            <w:r>
              <w:rPr>
                <w:spacing w:val="-4"/>
              </w:rPr>
              <w:t>（</w:t>
            </w:r>
            <w:r>
              <w:rPr>
                <w:rFonts w:ascii="Times New Roman" w:hAnsi="Times New Roman" w:eastAsia="Times New Roman" w:cs="Times New Roman"/>
                <w:spacing w:val="-4"/>
              </w:rPr>
              <w:t>m</w:t>
            </w:r>
            <w:r>
              <w:rPr>
                <w:spacing w:val="-4"/>
              </w:rPr>
              <w:t>）</w:t>
            </w:r>
          </w:p>
        </w:tc>
        <w:tc>
          <w:tcPr>
            <w:tcW w:w="758" w:type="dxa"/>
            <w:vAlign w:val="top"/>
          </w:tcPr>
          <w:p>
            <w:pPr>
              <w:pStyle w:val="TableText"/>
              <w:ind w:left="124" w:right="83" w:firstLine="80"/>
              <w:spacing w:before="213" w:line="257" w:lineRule="auto"/>
              <w:rPr/>
            </w:pPr>
            <w:r>
              <w:rPr>
                <w:spacing w:val="-11"/>
              </w:rPr>
              <w:t>内径</w:t>
            </w:r>
            <w:r>
              <w:rPr>
                <w:spacing w:val="-4"/>
              </w:rPr>
              <w:t>（</w:t>
            </w:r>
            <w:r>
              <w:rPr>
                <w:rFonts w:ascii="Times New Roman" w:hAnsi="Times New Roman" w:eastAsia="Times New Roman" w:cs="Times New Roman"/>
                <w:spacing w:val="-4"/>
              </w:rPr>
              <w:t>m</w:t>
            </w:r>
            <w:r>
              <w:rPr>
                <w:spacing w:val="-4"/>
              </w:rPr>
              <w:t>）</w:t>
            </w:r>
          </w:p>
        </w:tc>
        <w:tc>
          <w:tcPr>
            <w:tcW w:w="810" w:type="dxa"/>
            <w:vAlign w:val="top"/>
          </w:tcPr>
          <w:p>
            <w:pPr>
              <w:pStyle w:val="TableText"/>
              <w:ind w:left="222" w:right="182" w:hanging="13"/>
              <w:spacing w:before="212" w:line="251" w:lineRule="auto"/>
              <w:rPr/>
            </w:pPr>
            <w:r>
              <w:rPr/>
              <w:t>温度</w:t>
            </w:r>
            <w:r>
              <w:rPr>
                <w:spacing w:val="-2"/>
              </w:rPr>
              <w:t>(</w:t>
            </w:r>
            <w:r>
              <w:rPr>
                <w:rFonts w:ascii="Times New Roman" w:hAnsi="Times New Roman" w:eastAsia="Times New Roman" w:cs="Times New Roman"/>
                <w:spacing w:val="-2"/>
              </w:rPr>
              <w:t>℃</w:t>
            </w:r>
            <w:r>
              <w:rPr>
                <w:spacing w:val="-2"/>
              </w:rPr>
              <w:t>)</w:t>
            </w:r>
          </w:p>
        </w:tc>
        <w:tc>
          <w:tcPr>
            <w:tcW w:w="953" w:type="dxa"/>
            <w:vAlign w:val="top"/>
            <w:vMerge w:val="continue"/>
            <w:tcBorders>
              <w:right w:val="nil"/>
              <w:top w:val="nil"/>
            </w:tcBorders>
          </w:tcPr>
          <w:p>
            <w:pPr>
              <w:rPr>
                <w:rFonts w:ascii="Arial"/>
                <w:sz w:val="21"/>
              </w:rPr>
            </w:pPr>
            <w:r/>
          </w:p>
        </w:tc>
      </w:tr>
      <w:tr>
        <w:trPr>
          <w:trHeight w:val="548" w:hRule="atLeast"/>
        </w:trPr>
        <w:tc>
          <w:tcPr>
            <w:tcW w:w="1163" w:type="dxa"/>
            <w:vAlign w:val="top"/>
            <w:tcBorders>
              <w:left w:val="nil"/>
            </w:tcBorders>
          </w:tcPr>
          <w:p>
            <w:pPr>
              <w:pStyle w:val="TableText"/>
              <w:ind w:left="175"/>
              <w:spacing w:before="172" w:line="231" w:lineRule="auto"/>
              <w:rPr/>
            </w:pPr>
            <w:r>
              <w:rPr>
                <w:spacing w:val="5"/>
              </w:rPr>
              <w:t>开采爆破</w:t>
            </w:r>
          </w:p>
        </w:tc>
        <w:tc>
          <w:tcPr>
            <w:tcW w:w="853" w:type="dxa"/>
            <w:vAlign w:val="top"/>
          </w:tcPr>
          <w:p>
            <w:pPr>
              <w:ind w:left="236"/>
              <w:spacing w:before="21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473" w:type="dxa"/>
            <w:vAlign w:val="top"/>
          </w:tcPr>
          <w:p>
            <w:pPr>
              <w:pStyle w:val="TableText"/>
              <w:ind w:left="288"/>
              <w:spacing w:before="52" w:line="206" w:lineRule="auto"/>
              <w:rPr/>
            </w:pPr>
            <w:r>
              <w:rPr>
                <w:rFonts w:ascii="Times New Roman" w:hAnsi="Times New Roman" w:eastAsia="Times New Roman" w:cs="Times New Roman"/>
                <w:spacing w:val="-4"/>
              </w:rPr>
              <w:t>112</w:t>
            </w:r>
            <w:r>
              <w:rPr>
                <w:rFonts w:ascii="Times New Roman" w:hAnsi="Times New Roman" w:eastAsia="Times New Roman" w:cs="Times New Roman"/>
                <w:spacing w:val="-19"/>
              </w:rPr>
              <w:t xml:space="preserve"> </w:t>
            </w:r>
            <w:r>
              <w:rPr>
                <w:spacing w:val="-4"/>
              </w:rPr>
              <w:t>°</w:t>
            </w:r>
            <w:r>
              <w:rPr>
                <w:rFonts w:ascii="Times New Roman" w:hAnsi="Times New Roman" w:eastAsia="Times New Roman" w:cs="Times New Roman"/>
                <w:spacing w:val="-4"/>
              </w:rPr>
              <w:t>55</w:t>
            </w:r>
            <w:r>
              <w:rPr>
                <w:rFonts w:ascii="Times New Roman" w:hAnsi="Times New Roman" w:eastAsia="Times New Roman" w:cs="Times New Roman"/>
                <w:spacing w:val="-14"/>
              </w:rPr>
              <w:t xml:space="preserve"> </w:t>
            </w:r>
            <w:r>
              <w:rPr>
                <w:spacing w:val="-4"/>
              </w:rPr>
              <w:t>′</w:t>
            </w:r>
          </w:p>
          <w:p>
            <w:pPr>
              <w:pStyle w:val="TableText"/>
              <w:ind w:left="237"/>
              <w:spacing w:before="47" w:line="198" w:lineRule="auto"/>
              <w:rPr/>
            </w:pPr>
            <w:r>
              <w:rPr>
                <w:rFonts w:ascii="Times New Roman" w:hAnsi="Times New Roman" w:eastAsia="Times New Roman" w:cs="Times New Roman"/>
                <w:spacing w:val="3"/>
              </w:rPr>
              <w:t>23.27556</w:t>
            </w:r>
            <w:r>
              <w:rPr>
                <w:rFonts w:ascii="Times New Roman" w:hAnsi="Times New Roman" w:eastAsia="Times New Roman" w:cs="Times New Roman"/>
                <w:spacing w:val="-7"/>
              </w:rPr>
              <w:t xml:space="preserve"> </w:t>
            </w:r>
            <w:r>
              <w:rPr>
                <w:spacing w:val="3"/>
              </w:rPr>
              <w:t>″</w:t>
            </w:r>
          </w:p>
        </w:tc>
        <w:tc>
          <w:tcPr>
            <w:tcW w:w="1386" w:type="dxa"/>
            <w:vAlign w:val="top"/>
          </w:tcPr>
          <w:p>
            <w:pPr>
              <w:pStyle w:val="TableText"/>
              <w:ind w:left="326"/>
              <w:spacing w:before="52" w:line="206" w:lineRule="auto"/>
              <w:rPr/>
            </w:pPr>
            <w:r>
              <w:rPr>
                <w:rFonts w:ascii="Times New Roman" w:hAnsi="Times New Roman" w:eastAsia="Times New Roman" w:cs="Times New Roman"/>
                <w:spacing w:val="-7"/>
              </w:rPr>
              <w:t>43</w:t>
            </w:r>
            <w:r>
              <w:rPr>
                <w:rFonts w:ascii="Times New Roman" w:hAnsi="Times New Roman" w:eastAsia="Times New Roman" w:cs="Times New Roman"/>
                <w:spacing w:val="-22"/>
              </w:rPr>
              <w:t xml:space="preserve"> </w:t>
            </w:r>
            <w:r>
              <w:rPr>
                <w:spacing w:val="-7"/>
              </w:rPr>
              <w:t>°</w:t>
            </w:r>
            <w:r>
              <w:rPr>
                <w:spacing w:val="-7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w:t>
            </w:r>
          </w:p>
          <w:p>
            <w:pPr>
              <w:pStyle w:val="TableText"/>
              <w:ind w:left="199"/>
              <w:spacing w:before="47" w:line="198" w:lineRule="auto"/>
              <w:rPr/>
            </w:pPr>
            <w:r>
              <w:rPr>
                <w:rFonts w:ascii="Times New Roman" w:hAnsi="Times New Roman" w:eastAsia="Times New Roman" w:cs="Times New Roman"/>
                <w:spacing w:val="3"/>
              </w:rPr>
              <w:t>39.86224</w:t>
            </w:r>
            <w:r>
              <w:rPr>
                <w:rFonts w:ascii="Times New Roman" w:hAnsi="Times New Roman" w:eastAsia="Times New Roman" w:cs="Times New Roman"/>
                <w:spacing w:val="-11"/>
              </w:rPr>
              <w:t xml:space="preserve"> </w:t>
            </w:r>
            <w:r>
              <w:rPr>
                <w:spacing w:val="3"/>
              </w:rPr>
              <w:t>″</w:t>
            </w:r>
          </w:p>
        </w:tc>
        <w:tc>
          <w:tcPr>
            <w:tcW w:w="758" w:type="dxa"/>
            <w:vAlign w:val="top"/>
          </w:tcPr>
          <w:p>
            <w:pPr>
              <w:ind w:left="189"/>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w:t>
            </w:r>
          </w:p>
        </w:tc>
        <w:tc>
          <w:tcPr>
            <w:tcW w:w="758" w:type="dxa"/>
            <w:vAlign w:val="top"/>
          </w:tcPr>
          <w:p>
            <w:pPr>
              <w:ind w:left="163"/>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758" w:type="dxa"/>
            <w:vAlign w:val="top"/>
          </w:tcPr>
          <w:p>
            <w:pPr>
              <w:ind w:left="200"/>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810" w:type="dxa"/>
            <w:vAlign w:val="top"/>
          </w:tcPr>
          <w:p>
            <w:pPr>
              <w:ind w:left="168"/>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953" w:type="dxa"/>
            <w:vAlign w:val="top"/>
            <w:tcBorders>
              <w:right w:val="nil"/>
            </w:tcBorders>
          </w:tcPr>
          <w:p>
            <w:pPr>
              <w:ind w:left="245"/>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0.026</w:t>
            </w:r>
          </w:p>
        </w:tc>
      </w:tr>
      <w:tr>
        <w:trPr>
          <w:trHeight w:val="467" w:hRule="atLeast"/>
        </w:trPr>
        <w:tc>
          <w:tcPr>
            <w:tcW w:w="1163" w:type="dxa"/>
            <w:vAlign w:val="top"/>
            <w:vMerge w:val="restart"/>
            <w:tcBorders>
              <w:left w:val="nil"/>
              <w:bottom w:val="nil"/>
            </w:tcBorders>
          </w:tcPr>
          <w:p>
            <w:pPr>
              <w:pStyle w:val="TableText"/>
              <w:ind w:left="509" w:right="161" w:hanging="334"/>
              <w:spacing w:before="174" w:line="253" w:lineRule="auto"/>
              <w:rPr/>
            </w:pPr>
            <w:r>
              <w:rPr>
                <w:spacing w:val="5"/>
              </w:rPr>
              <w:t>粗破碎车</w:t>
            </w:r>
            <w:r>
              <w:rPr/>
              <w:t>间</w:t>
            </w:r>
          </w:p>
        </w:tc>
        <w:tc>
          <w:tcPr>
            <w:tcW w:w="853" w:type="dxa"/>
            <w:vAlign w:val="top"/>
          </w:tcPr>
          <w:p>
            <w:pPr>
              <w:ind w:left="206"/>
              <w:spacing w:before="174"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473" w:type="dxa"/>
            <w:vAlign w:val="top"/>
            <w:vMerge w:val="restart"/>
            <w:tcBorders>
              <w:bottom w:val="nil"/>
            </w:tcBorders>
          </w:tcPr>
          <w:p>
            <w:pPr>
              <w:pStyle w:val="TableText"/>
              <w:ind w:left="288"/>
              <w:spacing w:before="188" w:line="206" w:lineRule="auto"/>
              <w:rPr/>
            </w:pPr>
            <w:r>
              <w:rPr>
                <w:rFonts w:ascii="Times New Roman" w:hAnsi="Times New Roman" w:eastAsia="Times New Roman" w:cs="Times New Roman"/>
                <w:spacing w:val="-4"/>
              </w:rPr>
              <w:t>112</w:t>
            </w:r>
            <w:r>
              <w:rPr>
                <w:rFonts w:ascii="Times New Roman" w:hAnsi="Times New Roman" w:eastAsia="Times New Roman" w:cs="Times New Roman"/>
                <w:spacing w:val="-19"/>
              </w:rPr>
              <w:t xml:space="preserve"> </w:t>
            </w:r>
            <w:r>
              <w:rPr>
                <w:spacing w:val="-4"/>
              </w:rPr>
              <w:t>°</w:t>
            </w:r>
            <w:r>
              <w:rPr>
                <w:rFonts w:ascii="Times New Roman" w:hAnsi="Times New Roman" w:eastAsia="Times New Roman" w:cs="Times New Roman"/>
                <w:spacing w:val="-4"/>
              </w:rPr>
              <w:t>55</w:t>
            </w:r>
            <w:r>
              <w:rPr>
                <w:rFonts w:ascii="Times New Roman" w:hAnsi="Times New Roman" w:eastAsia="Times New Roman" w:cs="Times New Roman"/>
                <w:spacing w:val="-14"/>
              </w:rPr>
              <w:t xml:space="preserve"> </w:t>
            </w:r>
            <w:r>
              <w:rPr>
                <w:spacing w:val="-4"/>
              </w:rPr>
              <w:t>′</w:t>
            </w:r>
          </w:p>
          <w:p>
            <w:pPr>
              <w:pStyle w:val="TableText"/>
              <w:ind w:left="237"/>
              <w:spacing w:before="49" w:line="207" w:lineRule="auto"/>
              <w:rPr/>
            </w:pPr>
            <w:r>
              <w:rPr>
                <w:rFonts w:ascii="Times New Roman" w:hAnsi="Times New Roman" w:eastAsia="Times New Roman" w:cs="Times New Roman"/>
                <w:spacing w:val="3"/>
              </w:rPr>
              <w:t>26.12407</w:t>
            </w:r>
            <w:r>
              <w:rPr>
                <w:rFonts w:ascii="Times New Roman" w:hAnsi="Times New Roman" w:eastAsia="Times New Roman" w:cs="Times New Roman"/>
                <w:spacing w:val="-7"/>
              </w:rPr>
              <w:t xml:space="preserve"> </w:t>
            </w:r>
            <w:r>
              <w:rPr>
                <w:spacing w:val="3"/>
              </w:rPr>
              <w:t>″</w:t>
            </w:r>
          </w:p>
        </w:tc>
        <w:tc>
          <w:tcPr>
            <w:tcW w:w="1386" w:type="dxa"/>
            <w:vAlign w:val="top"/>
            <w:vMerge w:val="restart"/>
            <w:tcBorders>
              <w:bottom w:val="nil"/>
            </w:tcBorders>
          </w:tcPr>
          <w:p>
            <w:pPr>
              <w:pStyle w:val="TableText"/>
              <w:ind w:left="326"/>
              <w:spacing w:before="188" w:line="206" w:lineRule="auto"/>
              <w:rPr/>
            </w:pPr>
            <w:r>
              <w:rPr>
                <w:rFonts w:ascii="Times New Roman" w:hAnsi="Times New Roman" w:eastAsia="Times New Roman" w:cs="Times New Roman"/>
                <w:spacing w:val="-7"/>
              </w:rPr>
              <w:t>43</w:t>
            </w:r>
            <w:r>
              <w:rPr>
                <w:rFonts w:ascii="Times New Roman" w:hAnsi="Times New Roman" w:eastAsia="Times New Roman" w:cs="Times New Roman"/>
                <w:spacing w:val="-22"/>
              </w:rPr>
              <w:t xml:space="preserve"> </w:t>
            </w:r>
            <w:r>
              <w:rPr>
                <w:spacing w:val="-7"/>
              </w:rPr>
              <w:t>°</w:t>
            </w:r>
            <w:r>
              <w:rPr>
                <w:spacing w:val="-7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w:t>
            </w:r>
          </w:p>
          <w:p>
            <w:pPr>
              <w:pStyle w:val="TableText"/>
              <w:ind w:left="195"/>
              <w:spacing w:before="49" w:line="207" w:lineRule="auto"/>
              <w:rPr/>
            </w:pPr>
            <w:r>
              <w:rPr>
                <w:rFonts w:ascii="Times New Roman" w:hAnsi="Times New Roman" w:eastAsia="Times New Roman" w:cs="Times New Roman"/>
                <w:spacing w:val="3"/>
              </w:rPr>
              <w:t>22.74223</w:t>
            </w:r>
            <w:r>
              <w:rPr>
                <w:rFonts w:ascii="Times New Roman" w:hAnsi="Times New Roman" w:eastAsia="Times New Roman" w:cs="Times New Roman"/>
                <w:spacing w:val="-7"/>
              </w:rPr>
              <w:t xml:space="preserve"> </w:t>
            </w:r>
            <w:r>
              <w:rPr>
                <w:spacing w:val="3"/>
              </w:rPr>
              <w:t>″</w:t>
            </w:r>
          </w:p>
        </w:tc>
        <w:tc>
          <w:tcPr>
            <w:tcW w:w="758" w:type="dxa"/>
            <w:vAlign w:val="top"/>
            <w:vMerge w:val="restart"/>
            <w:tcBorders>
              <w:bottom w:val="nil"/>
            </w:tcBorders>
          </w:tcPr>
          <w:p>
            <w:pPr>
              <w:spacing w:line="287" w:lineRule="auto"/>
              <w:rPr>
                <w:rFonts w:ascii="Arial"/>
                <w:sz w:val="21"/>
              </w:rPr>
            </w:pPr>
            <w:r/>
          </w:p>
          <w:p>
            <w:pPr>
              <w:ind w:left="18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w:t>
            </w:r>
          </w:p>
        </w:tc>
        <w:tc>
          <w:tcPr>
            <w:tcW w:w="758" w:type="dxa"/>
            <w:vAlign w:val="top"/>
            <w:vMerge w:val="restart"/>
            <w:tcBorders>
              <w:bottom w:val="nil"/>
            </w:tcBorders>
          </w:tcPr>
          <w:p>
            <w:pPr>
              <w:spacing w:line="287" w:lineRule="auto"/>
              <w:rPr>
                <w:rFonts w:ascii="Arial"/>
                <w:sz w:val="21"/>
              </w:rPr>
            </w:pPr>
            <w:r/>
          </w:p>
          <w:p>
            <w:pPr>
              <w:ind w:left="16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758" w:type="dxa"/>
            <w:vAlign w:val="top"/>
            <w:vMerge w:val="restart"/>
            <w:tcBorders>
              <w:bottom w:val="nil"/>
            </w:tcBorders>
          </w:tcPr>
          <w:p>
            <w:pPr>
              <w:spacing w:line="287"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810" w:type="dxa"/>
            <w:vAlign w:val="top"/>
            <w:vMerge w:val="restart"/>
            <w:tcBorders>
              <w:bottom w:val="nil"/>
            </w:tcBorders>
          </w:tcPr>
          <w:p>
            <w:pPr>
              <w:spacing w:line="287" w:lineRule="auto"/>
              <w:rPr>
                <w:rFonts w:ascii="Arial"/>
                <w:sz w:val="21"/>
              </w:rPr>
            </w:pPr>
            <w:r/>
          </w:p>
          <w:p>
            <w:pPr>
              <w:ind w:left="1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953" w:type="dxa"/>
            <w:vAlign w:val="top"/>
            <w:tcBorders>
              <w:right w:val="nil"/>
            </w:tcBorders>
          </w:tcPr>
          <w:p>
            <w:pPr>
              <w:ind w:left="245"/>
              <w:spacing w:before="1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w:t>
            </w:r>
          </w:p>
        </w:tc>
      </w:tr>
      <w:tr>
        <w:trPr>
          <w:trHeight w:val="343" w:hRule="atLeast"/>
        </w:trPr>
        <w:tc>
          <w:tcPr>
            <w:tcW w:w="1163" w:type="dxa"/>
            <w:vAlign w:val="top"/>
            <w:vMerge w:val="continue"/>
            <w:tcBorders>
              <w:left w:val="nil"/>
              <w:top w:val="nil"/>
            </w:tcBorders>
          </w:tcPr>
          <w:p>
            <w:pPr>
              <w:rPr>
                <w:rFonts w:ascii="Arial"/>
                <w:sz w:val="21"/>
              </w:rPr>
            </w:pPr>
            <w:r/>
          </w:p>
        </w:tc>
        <w:tc>
          <w:tcPr>
            <w:tcW w:w="853" w:type="dxa"/>
            <w:vAlign w:val="top"/>
          </w:tcPr>
          <w:p>
            <w:pPr>
              <w:pStyle w:val="TableText"/>
              <w:ind w:left="129"/>
              <w:spacing w:before="76" w:line="229" w:lineRule="auto"/>
              <w:rPr/>
            </w:pPr>
            <w:r>
              <w:rPr>
                <w:spacing w:val="3"/>
              </w:rPr>
              <w:t>氟化物</w:t>
            </w:r>
          </w:p>
        </w:tc>
        <w:tc>
          <w:tcPr>
            <w:tcW w:w="1473" w:type="dxa"/>
            <w:vAlign w:val="top"/>
            <w:vMerge w:val="continue"/>
            <w:tcBorders>
              <w:top w:val="nil"/>
            </w:tcBorders>
          </w:tcPr>
          <w:p>
            <w:pPr>
              <w:rPr>
                <w:rFonts w:ascii="Arial"/>
                <w:sz w:val="21"/>
              </w:rPr>
            </w:pPr>
            <w:r/>
          </w:p>
        </w:tc>
        <w:tc>
          <w:tcPr>
            <w:tcW w:w="1386"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953" w:type="dxa"/>
            <w:vAlign w:val="top"/>
            <w:tcBorders>
              <w:right w:val="nil"/>
            </w:tcBorders>
          </w:tcPr>
          <w:p>
            <w:pPr>
              <w:ind w:left="245"/>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0.041</w:t>
            </w:r>
          </w:p>
        </w:tc>
      </w:tr>
      <w:tr>
        <w:trPr>
          <w:trHeight w:val="410" w:hRule="atLeast"/>
        </w:trPr>
        <w:tc>
          <w:tcPr>
            <w:tcW w:w="1163" w:type="dxa"/>
            <w:vAlign w:val="top"/>
            <w:vMerge w:val="restart"/>
            <w:tcBorders>
              <w:left w:val="nil"/>
              <w:bottom w:val="nil"/>
            </w:tcBorders>
          </w:tcPr>
          <w:p>
            <w:pPr>
              <w:pStyle w:val="TableText"/>
              <w:ind w:left="508" w:right="161" w:hanging="329"/>
              <w:spacing w:before="150" w:line="251" w:lineRule="auto"/>
              <w:rPr/>
            </w:pPr>
            <w:r>
              <w:rPr>
                <w:spacing w:val="4"/>
              </w:rPr>
              <w:t>细破碎车</w:t>
            </w:r>
            <w:r>
              <w:rPr/>
              <w:t>间</w:t>
            </w:r>
          </w:p>
        </w:tc>
        <w:tc>
          <w:tcPr>
            <w:tcW w:w="853" w:type="dxa"/>
            <w:vAlign w:val="top"/>
          </w:tcPr>
          <w:p>
            <w:pPr>
              <w:ind w:left="206"/>
              <w:spacing w:before="151"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473" w:type="dxa"/>
            <w:vAlign w:val="top"/>
            <w:vMerge w:val="restart"/>
            <w:tcBorders>
              <w:bottom w:val="nil"/>
            </w:tcBorders>
          </w:tcPr>
          <w:p>
            <w:pPr>
              <w:pStyle w:val="TableText"/>
              <w:ind w:left="288"/>
              <w:spacing w:before="165" w:line="206" w:lineRule="auto"/>
              <w:rPr/>
            </w:pPr>
            <w:r>
              <w:rPr>
                <w:rFonts w:ascii="Times New Roman" w:hAnsi="Times New Roman" w:eastAsia="Times New Roman" w:cs="Times New Roman"/>
                <w:spacing w:val="-4"/>
              </w:rPr>
              <w:t>112</w:t>
            </w:r>
            <w:r>
              <w:rPr>
                <w:rFonts w:ascii="Times New Roman" w:hAnsi="Times New Roman" w:eastAsia="Times New Roman" w:cs="Times New Roman"/>
                <w:spacing w:val="-19"/>
              </w:rPr>
              <w:t xml:space="preserve"> </w:t>
            </w:r>
            <w:r>
              <w:rPr>
                <w:spacing w:val="-4"/>
              </w:rPr>
              <w:t>°</w:t>
            </w:r>
            <w:r>
              <w:rPr>
                <w:rFonts w:ascii="Times New Roman" w:hAnsi="Times New Roman" w:eastAsia="Times New Roman" w:cs="Times New Roman"/>
                <w:spacing w:val="-4"/>
              </w:rPr>
              <w:t>55</w:t>
            </w:r>
            <w:r>
              <w:rPr>
                <w:rFonts w:ascii="Times New Roman" w:hAnsi="Times New Roman" w:eastAsia="Times New Roman" w:cs="Times New Roman"/>
                <w:spacing w:val="-14"/>
              </w:rPr>
              <w:t xml:space="preserve"> </w:t>
            </w:r>
            <w:r>
              <w:rPr>
                <w:spacing w:val="-4"/>
              </w:rPr>
              <w:t>′</w:t>
            </w:r>
          </w:p>
          <w:p>
            <w:pPr>
              <w:pStyle w:val="TableText"/>
              <w:ind w:left="237"/>
              <w:spacing w:before="46" w:line="207" w:lineRule="auto"/>
              <w:rPr/>
            </w:pPr>
            <w:r>
              <w:rPr>
                <w:rFonts w:ascii="Times New Roman" w:hAnsi="Times New Roman" w:eastAsia="Times New Roman" w:cs="Times New Roman"/>
                <w:spacing w:val="3"/>
              </w:rPr>
              <w:t>27.69799</w:t>
            </w:r>
            <w:r>
              <w:rPr>
                <w:rFonts w:ascii="Times New Roman" w:hAnsi="Times New Roman" w:eastAsia="Times New Roman" w:cs="Times New Roman"/>
                <w:spacing w:val="-7"/>
              </w:rPr>
              <w:t xml:space="preserve"> </w:t>
            </w:r>
            <w:r>
              <w:rPr>
                <w:spacing w:val="3"/>
              </w:rPr>
              <w:t>″</w:t>
            </w:r>
          </w:p>
        </w:tc>
        <w:tc>
          <w:tcPr>
            <w:tcW w:w="1386" w:type="dxa"/>
            <w:vAlign w:val="top"/>
            <w:vMerge w:val="restart"/>
            <w:tcBorders>
              <w:bottom w:val="nil"/>
            </w:tcBorders>
          </w:tcPr>
          <w:p>
            <w:pPr>
              <w:pStyle w:val="TableText"/>
              <w:ind w:left="326"/>
              <w:spacing w:before="165" w:line="206" w:lineRule="auto"/>
              <w:rPr/>
            </w:pPr>
            <w:r>
              <w:rPr>
                <w:rFonts w:ascii="Times New Roman" w:hAnsi="Times New Roman" w:eastAsia="Times New Roman" w:cs="Times New Roman"/>
                <w:spacing w:val="-7"/>
              </w:rPr>
              <w:t>43</w:t>
            </w:r>
            <w:r>
              <w:rPr>
                <w:rFonts w:ascii="Times New Roman" w:hAnsi="Times New Roman" w:eastAsia="Times New Roman" w:cs="Times New Roman"/>
                <w:spacing w:val="-22"/>
              </w:rPr>
              <w:t xml:space="preserve"> </w:t>
            </w:r>
            <w:r>
              <w:rPr>
                <w:spacing w:val="-7"/>
              </w:rPr>
              <w:t>°</w:t>
            </w:r>
            <w:r>
              <w:rPr>
                <w:spacing w:val="-7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w:t>
            </w:r>
          </w:p>
          <w:p>
            <w:pPr>
              <w:pStyle w:val="TableText"/>
              <w:ind w:left="195"/>
              <w:spacing w:before="46" w:line="207" w:lineRule="auto"/>
              <w:rPr/>
            </w:pPr>
            <w:r>
              <w:rPr>
                <w:rFonts w:ascii="Times New Roman" w:hAnsi="Times New Roman" w:eastAsia="Times New Roman" w:cs="Times New Roman"/>
                <w:spacing w:val="3"/>
              </w:rPr>
              <w:t>22.73258</w:t>
            </w:r>
            <w:r>
              <w:rPr>
                <w:rFonts w:ascii="Times New Roman" w:hAnsi="Times New Roman" w:eastAsia="Times New Roman" w:cs="Times New Roman"/>
                <w:spacing w:val="-7"/>
              </w:rPr>
              <w:t xml:space="preserve"> </w:t>
            </w:r>
            <w:r>
              <w:rPr>
                <w:spacing w:val="3"/>
              </w:rPr>
              <w:t>″</w:t>
            </w:r>
          </w:p>
        </w:tc>
        <w:tc>
          <w:tcPr>
            <w:tcW w:w="758" w:type="dxa"/>
            <w:vAlign w:val="top"/>
            <w:vMerge w:val="restart"/>
            <w:tcBorders>
              <w:bottom w:val="nil"/>
            </w:tcBorders>
          </w:tcPr>
          <w:p>
            <w:pPr>
              <w:spacing w:line="264" w:lineRule="auto"/>
              <w:rPr>
                <w:rFonts w:ascii="Arial"/>
                <w:sz w:val="21"/>
              </w:rPr>
            </w:pPr>
            <w:r/>
          </w:p>
          <w:p>
            <w:pPr>
              <w:ind w:left="18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w:t>
            </w:r>
          </w:p>
        </w:tc>
        <w:tc>
          <w:tcPr>
            <w:tcW w:w="758" w:type="dxa"/>
            <w:vAlign w:val="top"/>
            <w:vMerge w:val="restart"/>
            <w:tcBorders>
              <w:bottom w:val="nil"/>
            </w:tcBorders>
          </w:tcPr>
          <w:p>
            <w:pPr>
              <w:spacing w:line="264" w:lineRule="auto"/>
              <w:rPr>
                <w:rFonts w:ascii="Arial"/>
                <w:sz w:val="21"/>
              </w:rPr>
            </w:pPr>
            <w:r/>
          </w:p>
          <w:p>
            <w:pPr>
              <w:ind w:left="16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758" w:type="dxa"/>
            <w:vAlign w:val="top"/>
            <w:vMerge w:val="restart"/>
            <w:tcBorders>
              <w:bottom w:val="nil"/>
            </w:tcBorders>
          </w:tcPr>
          <w:p>
            <w:pPr>
              <w:spacing w:line="264"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810" w:type="dxa"/>
            <w:vAlign w:val="top"/>
            <w:vMerge w:val="restart"/>
            <w:tcBorders>
              <w:bottom w:val="nil"/>
            </w:tcBorders>
          </w:tcPr>
          <w:p>
            <w:pPr>
              <w:spacing w:line="264" w:lineRule="auto"/>
              <w:rPr>
                <w:rFonts w:ascii="Arial"/>
                <w:sz w:val="21"/>
              </w:rPr>
            </w:pPr>
            <w:r/>
          </w:p>
          <w:p>
            <w:pPr>
              <w:ind w:left="1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953" w:type="dxa"/>
            <w:vAlign w:val="top"/>
            <w:tcBorders>
              <w:right w:val="nil"/>
            </w:tcBorders>
          </w:tcPr>
          <w:p>
            <w:pPr>
              <w:ind w:left="245"/>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w:t>
            </w:r>
          </w:p>
        </w:tc>
      </w:tr>
      <w:tr>
        <w:trPr>
          <w:trHeight w:val="343" w:hRule="atLeast"/>
        </w:trPr>
        <w:tc>
          <w:tcPr>
            <w:tcW w:w="1163" w:type="dxa"/>
            <w:vAlign w:val="top"/>
            <w:vMerge w:val="continue"/>
            <w:tcBorders>
              <w:left w:val="nil"/>
              <w:top w:val="nil"/>
            </w:tcBorders>
          </w:tcPr>
          <w:p>
            <w:pPr>
              <w:rPr>
                <w:rFonts w:ascii="Arial"/>
                <w:sz w:val="21"/>
              </w:rPr>
            </w:pPr>
            <w:r/>
          </w:p>
        </w:tc>
        <w:tc>
          <w:tcPr>
            <w:tcW w:w="853" w:type="dxa"/>
            <w:vAlign w:val="top"/>
          </w:tcPr>
          <w:p>
            <w:pPr>
              <w:pStyle w:val="TableText"/>
              <w:ind w:left="129"/>
              <w:spacing w:before="79" w:line="229" w:lineRule="auto"/>
              <w:rPr/>
            </w:pPr>
            <w:r>
              <w:rPr>
                <w:spacing w:val="3"/>
              </w:rPr>
              <w:t>氟化物</w:t>
            </w:r>
          </w:p>
        </w:tc>
        <w:tc>
          <w:tcPr>
            <w:tcW w:w="1473" w:type="dxa"/>
            <w:vAlign w:val="top"/>
            <w:vMerge w:val="continue"/>
            <w:tcBorders>
              <w:top w:val="nil"/>
            </w:tcBorders>
          </w:tcPr>
          <w:p>
            <w:pPr>
              <w:rPr>
                <w:rFonts w:ascii="Arial"/>
                <w:sz w:val="21"/>
              </w:rPr>
            </w:pPr>
            <w:r/>
          </w:p>
        </w:tc>
        <w:tc>
          <w:tcPr>
            <w:tcW w:w="1386"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953" w:type="dxa"/>
            <w:vAlign w:val="top"/>
            <w:tcBorders>
              <w:right w:val="nil"/>
            </w:tcBorders>
          </w:tcPr>
          <w:p>
            <w:pPr>
              <w:ind w:left="24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0.041</w:t>
            </w:r>
          </w:p>
        </w:tc>
      </w:tr>
      <w:tr>
        <w:trPr>
          <w:trHeight w:val="343" w:hRule="atLeast"/>
        </w:trPr>
        <w:tc>
          <w:tcPr>
            <w:tcW w:w="1163" w:type="dxa"/>
            <w:vAlign w:val="top"/>
            <w:vMerge w:val="restart"/>
            <w:tcBorders>
              <w:left w:val="nil"/>
              <w:bottom w:val="nil"/>
            </w:tcBorders>
          </w:tcPr>
          <w:p>
            <w:pPr>
              <w:pStyle w:val="TableText"/>
              <w:ind w:left="177"/>
              <w:spacing w:before="256" w:line="228" w:lineRule="auto"/>
              <w:rPr/>
            </w:pPr>
            <w:r>
              <w:rPr>
                <w:spacing w:val="5"/>
              </w:rPr>
              <w:t>筛选车间</w:t>
            </w:r>
          </w:p>
        </w:tc>
        <w:tc>
          <w:tcPr>
            <w:tcW w:w="853" w:type="dxa"/>
            <w:vAlign w:val="top"/>
          </w:tcPr>
          <w:p>
            <w:pPr>
              <w:ind w:left="206"/>
              <w:spacing w:before="120" w:line="201"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473" w:type="dxa"/>
            <w:vAlign w:val="top"/>
            <w:vMerge w:val="restart"/>
            <w:tcBorders>
              <w:bottom w:val="nil"/>
            </w:tcBorders>
          </w:tcPr>
          <w:p>
            <w:pPr>
              <w:pStyle w:val="TableText"/>
              <w:ind w:left="288"/>
              <w:spacing w:before="134" w:line="206" w:lineRule="auto"/>
              <w:rPr/>
            </w:pPr>
            <w:r>
              <w:rPr>
                <w:rFonts w:ascii="Times New Roman" w:hAnsi="Times New Roman" w:eastAsia="Times New Roman" w:cs="Times New Roman"/>
                <w:spacing w:val="-4"/>
              </w:rPr>
              <w:t>112</w:t>
            </w:r>
            <w:r>
              <w:rPr>
                <w:rFonts w:ascii="Times New Roman" w:hAnsi="Times New Roman" w:eastAsia="Times New Roman" w:cs="Times New Roman"/>
                <w:spacing w:val="-19"/>
              </w:rPr>
              <w:t xml:space="preserve"> </w:t>
            </w:r>
            <w:r>
              <w:rPr>
                <w:spacing w:val="-4"/>
              </w:rPr>
              <w:t>°</w:t>
            </w:r>
            <w:r>
              <w:rPr>
                <w:rFonts w:ascii="Times New Roman" w:hAnsi="Times New Roman" w:eastAsia="Times New Roman" w:cs="Times New Roman"/>
                <w:spacing w:val="-4"/>
              </w:rPr>
              <w:t>55</w:t>
            </w:r>
            <w:r>
              <w:rPr>
                <w:rFonts w:ascii="Times New Roman" w:hAnsi="Times New Roman" w:eastAsia="Times New Roman" w:cs="Times New Roman"/>
                <w:spacing w:val="-14"/>
              </w:rPr>
              <w:t xml:space="preserve"> </w:t>
            </w:r>
            <w:r>
              <w:rPr>
                <w:spacing w:val="-4"/>
              </w:rPr>
              <w:t>′</w:t>
            </w:r>
          </w:p>
          <w:p>
            <w:pPr>
              <w:pStyle w:val="TableText"/>
              <w:ind w:left="237"/>
              <w:spacing w:before="49" w:line="207" w:lineRule="auto"/>
              <w:rPr/>
            </w:pPr>
            <w:r>
              <w:rPr>
                <w:rFonts w:ascii="Times New Roman" w:hAnsi="Times New Roman" w:eastAsia="Times New Roman" w:cs="Times New Roman"/>
                <w:spacing w:val="3"/>
              </w:rPr>
              <w:t>29.29605</w:t>
            </w:r>
            <w:r>
              <w:rPr>
                <w:rFonts w:ascii="Times New Roman" w:hAnsi="Times New Roman" w:eastAsia="Times New Roman" w:cs="Times New Roman"/>
                <w:spacing w:val="-7"/>
              </w:rPr>
              <w:t xml:space="preserve"> </w:t>
            </w:r>
            <w:r>
              <w:rPr>
                <w:spacing w:val="3"/>
              </w:rPr>
              <w:t>″</w:t>
            </w:r>
          </w:p>
        </w:tc>
        <w:tc>
          <w:tcPr>
            <w:tcW w:w="1386" w:type="dxa"/>
            <w:vAlign w:val="top"/>
            <w:vMerge w:val="restart"/>
            <w:tcBorders>
              <w:bottom w:val="nil"/>
            </w:tcBorders>
          </w:tcPr>
          <w:p>
            <w:pPr>
              <w:pStyle w:val="TableText"/>
              <w:ind w:left="326"/>
              <w:spacing w:before="134" w:line="206" w:lineRule="auto"/>
              <w:rPr/>
            </w:pPr>
            <w:r>
              <w:rPr>
                <w:rFonts w:ascii="Times New Roman" w:hAnsi="Times New Roman" w:eastAsia="Times New Roman" w:cs="Times New Roman"/>
                <w:spacing w:val="-7"/>
              </w:rPr>
              <w:t>43</w:t>
            </w:r>
            <w:r>
              <w:rPr>
                <w:rFonts w:ascii="Times New Roman" w:hAnsi="Times New Roman" w:eastAsia="Times New Roman" w:cs="Times New Roman"/>
                <w:spacing w:val="-22"/>
              </w:rPr>
              <w:t xml:space="preserve"> </w:t>
            </w:r>
            <w:r>
              <w:rPr>
                <w:spacing w:val="-7"/>
              </w:rPr>
              <w:t>°</w:t>
            </w:r>
            <w:r>
              <w:rPr>
                <w:spacing w:val="-7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w:t>
            </w:r>
          </w:p>
          <w:p>
            <w:pPr>
              <w:pStyle w:val="TableText"/>
              <w:ind w:left="195"/>
              <w:spacing w:before="49" w:line="207" w:lineRule="auto"/>
              <w:rPr/>
            </w:pPr>
            <w:r>
              <w:rPr>
                <w:rFonts w:ascii="Times New Roman" w:hAnsi="Times New Roman" w:eastAsia="Times New Roman" w:cs="Times New Roman"/>
                <w:spacing w:val="3"/>
              </w:rPr>
              <w:t>22.74706</w:t>
            </w:r>
            <w:r>
              <w:rPr>
                <w:rFonts w:ascii="Times New Roman" w:hAnsi="Times New Roman" w:eastAsia="Times New Roman" w:cs="Times New Roman"/>
                <w:spacing w:val="-7"/>
              </w:rPr>
              <w:t xml:space="preserve"> </w:t>
            </w:r>
            <w:r>
              <w:rPr>
                <w:spacing w:val="3"/>
              </w:rPr>
              <w:t>″</w:t>
            </w:r>
          </w:p>
        </w:tc>
        <w:tc>
          <w:tcPr>
            <w:tcW w:w="758" w:type="dxa"/>
            <w:vAlign w:val="top"/>
            <w:vMerge w:val="restart"/>
            <w:tcBorders>
              <w:bottom w:val="nil"/>
            </w:tcBorders>
          </w:tcPr>
          <w:p>
            <w:pPr>
              <w:ind w:left="189"/>
              <w:spacing w:before="2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w:t>
            </w:r>
          </w:p>
        </w:tc>
        <w:tc>
          <w:tcPr>
            <w:tcW w:w="758" w:type="dxa"/>
            <w:vAlign w:val="top"/>
            <w:vMerge w:val="restart"/>
            <w:tcBorders>
              <w:bottom w:val="nil"/>
            </w:tcBorders>
          </w:tcPr>
          <w:p>
            <w:pPr>
              <w:ind w:left="163"/>
              <w:spacing w:before="2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758" w:type="dxa"/>
            <w:vAlign w:val="top"/>
            <w:vMerge w:val="restart"/>
            <w:tcBorders>
              <w:bottom w:val="nil"/>
            </w:tcBorders>
          </w:tcPr>
          <w:p>
            <w:pPr>
              <w:ind w:left="200"/>
              <w:spacing w:before="2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810" w:type="dxa"/>
            <w:vAlign w:val="top"/>
            <w:vMerge w:val="restart"/>
            <w:tcBorders>
              <w:bottom w:val="nil"/>
            </w:tcBorders>
          </w:tcPr>
          <w:p>
            <w:pPr>
              <w:ind w:left="168"/>
              <w:spacing w:before="2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953" w:type="dxa"/>
            <w:vAlign w:val="top"/>
            <w:tcBorders>
              <w:right w:val="nil"/>
            </w:tcBorders>
          </w:tcPr>
          <w:p>
            <w:pPr>
              <w:ind w:left="24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w:t>
            </w:r>
          </w:p>
        </w:tc>
      </w:tr>
      <w:tr>
        <w:trPr>
          <w:trHeight w:val="343" w:hRule="atLeast"/>
        </w:trPr>
        <w:tc>
          <w:tcPr>
            <w:tcW w:w="1163" w:type="dxa"/>
            <w:vAlign w:val="top"/>
            <w:vMerge w:val="continue"/>
            <w:tcBorders>
              <w:left w:val="nil"/>
              <w:top w:val="nil"/>
            </w:tcBorders>
          </w:tcPr>
          <w:p>
            <w:pPr>
              <w:rPr>
                <w:rFonts w:ascii="Arial"/>
                <w:sz w:val="21"/>
              </w:rPr>
            </w:pPr>
            <w:r/>
          </w:p>
        </w:tc>
        <w:tc>
          <w:tcPr>
            <w:tcW w:w="853" w:type="dxa"/>
            <w:vAlign w:val="top"/>
          </w:tcPr>
          <w:p>
            <w:pPr>
              <w:pStyle w:val="TableText"/>
              <w:ind w:left="129"/>
              <w:spacing w:before="84" w:line="229" w:lineRule="auto"/>
              <w:rPr/>
            </w:pPr>
            <w:r>
              <w:rPr>
                <w:spacing w:val="3"/>
              </w:rPr>
              <w:t>氟化物</w:t>
            </w:r>
          </w:p>
        </w:tc>
        <w:tc>
          <w:tcPr>
            <w:tcW w:w="1473" w:type="dxa"/>
            <w:vAlign w:val="top"/>
            <w:vMerge w:val="continue"/>
            <w:tcBorders>
              <w:top w:val="nil"/>
            </w:tcBorders>
          </w:tcPr>
          <w:p>
            <w:pPr>
              <w:rPr>
                <w:rFonts w:ascii="Arial"/>
                <w:sz w:val="21"/>
              </w:rPr>
            </w:pPr>
            <w:r/>
          </w:p>
        </w:tc>
        <w:tc>
          <w:tcPr>
            <w:tcW w:w="1386"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758"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953" w:type="dxa"/>
            <w:vAlign w:val="top"/>
            <w:tcBorders>
              <w:right w:val="nil"/>
            </w:tcBorders>
          </w:tcPr>
          <w:p>
            <w:pPr>
              <w:ind w:left="245"/>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0.041</w:t>
            </w:r>
          </w:p>
        </w:tc>
      </w:tr>
      <w:tr>
        <w:trPr>
          <w:trHeight w:val="343" w:hRule="atLeast"/>
        </w:trPr>
        <w:tc>
          <w:tcPr>
            <w:tcW w:w="1163" w:type="dxa"/>
            <w:vAlign w:val="top"/>
            <w:vMerge w:val="restart"/>
            <w:tcBorders>
              <w:left w:val="nil"/>
              <w:bottom w:val="nil"/>
            </w:tcBorders>
          </w:tcPr>
          <w:p>
            <w:pPr>
              <w:pStyle w:val="TableText"/>
              <w:ind w:left="281"/>
              <w:spacing w:before="260" w:line="232" w:lineRule="auto"/>
              <w:rPr/>
            </w:pPr>
            <w:r>
              <w:rPr>
                <w:spacing w:val="4"/>
              </w:rPr>
              <w:t>粉矿仓</w:t>
            </w:r>
          </w:p>
        </w:tc>
        <w:tc>
          <w:tcPr>
            <w:tcW w:w="853" w:type="dxa"/>
            <w:vAlign w:val="top"/>
          </w:tcPr>
          <w:p>
            <w:pPr>
              <w:ind w:left="206"/>
              <w:spacing w:before="124"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473" w:type="dxa"/>
            <w:vAlign w:val="top"/>
            <w:vMerge w:val="restart"/>
            <w:tcBorders>
              <w:bottom w:val="nil"/>
            </w:tcBorders>
          </w:tcPr>
          <w:p>
            <w:pPr>
              <w:pStyle w:val="TableText"/>
              <w:ind w:left="288"/>
              <w:spacing w:before="138" w:line="206" w:lineRule="auto"/>
              <w:rPr/>
            </w:pPr>
            <w:r>
              <w:rPr>
                <w:rFonts w:ascii="Times New Roman" w:hAnsi="Times New Roman" w:eastAsia="Times New Roman" w:cs="Times New Roman"/>
                <w:spacing w:val="-4"/>
              </w:rPr>
              <w:t>112</w:t>
            </w:r>
            <w:r>
              <w:rPr>
                <w:rFonts w:ascii="Times New Roman" w:hAnsi="Times New Roman" w:eastAsia="Times New Roman" w:cs="Times New Roman"/>
                <w:spacing w:val="-19"/>
              </w:rPr>
              <w:t xml:space="preserve"> </w:t>
            </w:r>
            <w:r>
              <w:rPr>
                <w:spacing w:val="-4"/>
              </w:rPr>
              <w:t>°</w:t>
            </w:r>
            <w:r>
              <w:rPr>
                <w:rFonts w:ascii="Times New Roman" w:hAnsi="Times New Roman" w:eastAsia="Times New Roman" w:cs="Times New Roman"/>
                <w:spacing w:val="-4"/>
              </w:rPr>
              <w:t>55</w:t>
            </w:r>
            <w:r>
              <w:rPr>
                <w:rFonts w:ascii="Times New Roman" w:hAnsi="Times New Roman" w:eastAsia="Times New Roman" w:cs="Times New Roman"/>
                <w:spacing w:val="-14"/>
              </w:rPr>
              <w:t xml:space="preserve"> </w:t>
            </w:r>
            <w:r>
              <w:rPr>
                <w:spacing w:val="-4"/>
              </w:rPr>
              <w:t>′</w:t>
            </w:r>
          </w:p>
          <w:p>
            <w:pPr>
              <w:pStyle w:val="TableText"/>
              <w:ind w:left="241"/>
              <w:spacing w:before="46" w:line="207" w:lineRule="auto"/>
              <w:rPr/>
            </w:pPr>
            <w:r>
              <w:rPr>
                <w:rFonts w:ascii="Times New Roman" w:hAnsi="Times New Roman" w:eastAsia="Times New Roman" w:cs="Times New Roman"/>
                <w:spacing w:val="3"/>
              </w:rPr>
              <w:t>30.71547</w:t>
            </w:r>
            <w:r>
              <w:rPr>
                <w:rFonts w:ascii="Times New Roman" w:hAnsi="Times New Roman" w:eastAsia="Times New Roman" w:cs="Times New Roman"/>
                <w:spacing w:val="-11"/>
              </w:rPr>
              <w:t xml:space="preserve"> </w:t>
            </w:r>
            <w:r>
              <w:rPr>
                <w:spacing w:val="3"/>
              </w:rPr>
              <w:t>″</w:t>
            </w:r>
          </w:p>
        </w:tc>
        <w:tc>
          <w:tcPr>
            <w:tcW w:w="1386" w:type="dxa"/>
            <w:vAlign w:val="top"/>
            <w:vMerge w:val="restart"/>
            <w:tcBorders>
              <w:bottom w:val="nil"/>
            </w:tcBorders>
          </w:tcPr>
          <w:p>
            <w:pPr>
              <w:pStyle w:val="TableText"/>
              <w:ind w:left="326"/>
              <w:spacing w:before="138" w:line="206" w:lineRule="auto"/>
              <w:rPr/>
            </w:pPr>
            <w:r>
              <w:rPr>
                <w:rFonts w:ascii="Times New Roman" w:hAnsi="Times New Roman" w:eastAsia="Times New Roman" w:cs="Times New Roman"/>
                <w:spacing w:val="-7"/>
              </w:rPr>
              <w:t>43</w:t>
            </w:r>
            <w:r>
              <w:rPr>
                <w:rFonts w:ascii="Times New Roman" w:hAnsi="Times New Roman" w:eastAsia="Times New Roman" w:cs="Times New Roman"/>
                <w:spacing w:val="-22"/>
              </w:rPr>
              <w:t xml:space="preserve"> </w:t>
            </w:r>
            <w:r>
              <w:rPr>
                <w:spacing w:val="-7"/>
              </w:rPr>
              <w:t>°</w:t>
            </w:r>
            <w:r>
              <w:rPr>
                <w:spacing w:val="-7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w:t>
            </w:r>
          </w:p>
          <w:p>
            <w:pPr>
              <w:pStyle w:val="TableText"/>
              <w:ind w:left="195"/>
              <w:spacing w:before="46" w:line="207" w:lineRule="auto"/>
              <w:rPr/>
            </w:pPr>
            <w:r>
              <w:rPr>
                <w:rFonts w:ascii="Times New Roman" w:hAnsi="Times New Roman" w:eastAsia="Times New Roman" w:cs="Times New Roman"/>
                <w:spacing w:val="3"/>
              </w:rPr>
              <w:t>22.72775</w:t>
            </w:r>
            <w:r>
              <w:rPr>
                <w:rFonts w:ascii="Times New Roman" w:hAnsi="Times New Roman" w:eastAsia="Times New Roman" w:cs="Times New Roman"/>
                <w:spacing w:val="-7"/>
              </w:rPr>
              <w:t xml:space="preserve"> </w:t>
            </w:r>
            <w:r>
              <w:rPr>
                <w:spacing w:val="3"/>
              </w:rPr>
              <w:t>″</w:t>
            </w:r>
          </w:p>
        </w:tc>
        <w:tc>
          <w:tcPr>
            <w:tcW w:w="758" w:type="dxa"/>
            <w:vAlign w:val="top"/>
            <w:vMerge w:val="restart"/>
            <w:tcBorders>
              <w:bottom w:val="nil"/>
            </w:tcBorders>
          </w:tcPr>
          <w:p>
            <w:pPr>
              <w:ind w:left="189"/>
              <w:spacing w:before="2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w:t>
            </w:r>
          </w:p>
        </w:tc>
        <w:tc>
          <w:tcPr>
            <w:tcW w:w="758" w:type="dxa"/>
            <w:vAlign w:val="top"/>
            <w:vMerge w:val="restart"/>
            <w:tcBorders>
              <w:bottom w:val="nil"/>
            </w:tcBorders>
          </w:tcPr>
          <w:p>
            <w:pPr>
              <w:ind w:left="163"/>
              <w:spacing w:before="2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758" w:type="dxa"/>
            <w:vAlign w:val="top"/>
            <w:vMerge w:val="restart"/>
            <w:tcBorders>
              <w:bottom w:val="nil"/>
            </w:tcBorders>
          </w:tcPr>
          <w:p>
            <w:pPr>
              <w:ind w:left="200"/>
              <w:spacing w:before="2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810" w:type="dxa"/>
            <w:vAlign w:val="top"/>
            <w:vMerge w:val="restart"/>
            <w:tcBorders>
              <w:bottom w:val="nil"/>
            </w:tcBorders>
          </w:tcPr>
          <w:p>
            <w:pPr>
              <w:ind w:left="168"/>
              <w:spacing w:before="2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953" w:type="dxa"/>
            <w:vAlign w:val="top"/>
            <w:tcBorders>
              <w:right w:val="nil"/>
            </w:tcBorders>
          </w:tcPr>
          <w:p>
            <w:pPr>
              <w:ind w:left="192"/>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0.0046</w:t>
            </w:r>
          </w:p>
        </w:tc>
      </w:tr>
      <w:tr>
        <w:trPr>
          <w:trHeight w:val="367" w:hRule="atLeast"/>
        </w:trPr>
        <w:tc>
          <w:tcPr>
            <w:tcW w:w="1163" w:type="dxa"/>
            <w:vAlign w:val="top"/>
            <w:vMerge w:val="continue"/>
            <w:tcBorders>
              <w:left w:val="nil"/>
              <w:bottom w:val="single" w:color="000000" w:sz="10" w:space="0"/>
              <w:top w:val="nil"/>
            </w:tcBorders>
          </w:tcPr>
          <w:p>
            <w:pPr>
              <w:rPr>
                <w:rFonts w:ascii="Arial"/>
                <w:sz w:val="21"/>
              </w:rPr>
            </w:pPr>
            <w:r/>
          </w:p>
        </w:tc>
        <w:tc>
          <w:tcPr>
            <w:tcW w:w="853" w:type="dxa"/>
            <w:vAlign w:val="top"/>
            <w:tcBorders>
              <w:bottom w:val="single" w:color="000000" w:sz="10" w:space="0"/>
            </w:tcBorders>
          </w:tcPr>
          <w:p>
            <w:pPr>
              <w:pStyle w:val="TableText"/>
              <w:ind w:left="129"/>
              <w:spacing w:before="88" w:line="229" w:lineRule="auto"/>
              <w:rPr/>
            </w:pPr>
            <w:r>
              <w:rPr>
                <w:spacing w:val="3"/>
              </w:rPr>
              <w:t>氟化物</w:t>
            </w:r>
          </w:p>
        </w:tc>
        <w:tc>
          <w:tcPr>
            <w:tcW w:w="1473" w:type="dxa"/>
            <w:vAlign w:val="top"/>
            <w:vMerge w:val="continue"/>
            <w:tcBorders>
              <w:bottom w:val="single" w:color="000000" w:sz="10" w:space="0"/>
              <w:top w:val="nil"/>
            </w:tcBorders>
          </w:tcPr>
          <w:p>
            <w:pPr>
              <w:rPr>
                <w:rFonts w:ascii="Arial"/>
                <w:sz w:val="21"/>
              </w:rPr>
            </w:pPr>
            <w:r/>
          </w:p>
        </w:tc>
        <w:tc>
          <w:tcPr>
            <w:tcW w:w="1386" w:type="dxa"/>
            <w:vAlign w:val="top"/>
            <w:vMerge w:val="continue"/>
            <w:tcBorders>
              <w:bottom w:val="single" w:color="000000" w:sz="10" w:space="0"/>
              <w:top w:val="nil"/>
            </w:tcBorders>
          </w:tcPr>
          <w:p>
            <w:pPr>
              <w:rPr>
                <w:rFonts w:ascii="Arial"/>
                <w:sz w:val="21"/>
              </w:rPr>
            </w:pPr>
            <w:r/>
          </w:p>
        </w:tc>
        <w:tc>
          <w:tcPr>
            <w:tcW w:w="758" w:type="dxa"/>
            <w:vAlign w:val="top"/>
            <w:vMerge w:val="continue"/>
            <w:tcBorders>
              <w:bottom w:val="single" w:color="000000" w:sz="10" w:space="0"/>
              <w:top w:val="nil"/>
            </w:tcBorders>
          </w:tcPr>
          <w:p>
            <w:pPr>
              <w:rPr>
                <w:rFonts w:ascii="Arial"/>
                <w:sz w:val="21"/>
              </w:rPr>
            </w:pPr>
            <w:r/>
          </w:p>
        </w:tc>
        <w:tc>
          <w:tcPr>
            <w:tcW w:w="758" w:type="dxa"/>
            <w:vAlign w:val="top"/>
            <w:vMerge w:val="continue"/>
            <w:tcBorders>
              <w:bottom w:val="single" w:color="000000" w:sz="10" w:space="0"/>
              <w:top w:val="nil"/>
            </w:tcBorders>
          </w:tcPr>
          <w:p>
            <w:pPr>
              <w:rPr>
                <w:rFonts w:ascii="Arial"/>
                <w:sz w:val="21"/>
              </w:rPr>
            </w:pPr>
            <w:r/>
          </w:p>
        </w:tc>
        <w:tc>
          <w:tcPr>
            <w:tcW w:w="758" w:type="dxa"/>
            <w:vAlign w:val="top"/>
            <w:vMerge w:val="continue"/>
            <w:tcBorders>
              <w:bottom w:val="single" w:color="000000" w:sz="10" w:space="0"/>
              <w:top w:val="nil"/>
            </w:tcBorders>
          </w:tcPr>
          <w:p>
            <w:pPr>
              <w:rPr>
                <w:rFonts w:ascii="Arial"/>
                <w:sz w:val="21"/>
              </w:rPr>
            </w:pPr>
            <w:r/>
          </w:p>
        </w:tc>
        <w:tc>
          <w:tcPr>
            <w:tcW w:w="810" w:type="dxa"/>
            <w:vAlign w:val="top"/>
            <w:vMerge w:val="continue"/>
            <w:tcBorders>
              <w:bottom w:val="single" w:color="000000" w:sz="10" w:space="0"/>
              <w:top w:val="nil"/>
            </w:tcBorders>
          </w:tcPr>
          <w:p>
            <w:pPr>
              <w:rPr>
                <w:rFonts w:ascii="Arial"/>
                <w:sz w:val="21"/>
              </w:rPr>
            </w:pPr>
            <w:r/>
          </w:p>
        </w:tc>
        <w:tc>
          <w:tcPr>
            <w:tcW w:w="953" w:type="dxa"/>
            <w:vAlign w:val="top"/>
            <w:tcBorders>
              <w:right w:val="nil"/>
              <w:bottom w:val="single" w:color="000000" w:sz="10" w:space="0"/>
            </w:tcBorders>
          </w:tcPr>
          <w:p>
            <w:pPr>
              <w:ind w:left="245"/>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w:t>
            </w:r>
          </w:p>
        </w:tc>
      </w:tr>
    </w:tbl>
    <w:p>
      <w:pPr>
        <w:pStyle w:val="BodyText"/>
        <w:spacing w:line="368" w:lineRule="auto"/>
        <w:rPr/>
      </w:pPr>
      <w:r/>
    </w:p>
    <w:p>
      <w:pPr>
        <w:ind w:left="609"/>
        <w:spacing w:before="78"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）主要污染源估算模型计算结果</w:t>
      </w:r>
    </w:p>
    <w:p>
      <w:pPr>
        <w:ind w:left="135" w:right="109" w:firstLine="469"/>
        <w:spacing w:before="181" w:line="359" w:lineRule="auto"/>
        <w:rPr>
          <w:rFonts w:ascii="FangSong" w:hAnsi="FangSong" w:eastAsia="FangSong" w:cs="FangSong"/>
          <w:sz w:val="24"/>
          <w:szCs w:val="24"/>
        </w:rPr>
      </w:pPr>
      <w:r>
        <w:rPr>
          <w:rFonts w:ascii="FangSong" w:hAnsi="FangSong" w:eastAsia="FangSong" w:cs="FangSong"/>
          <w:sz w:val="24"/>
          <w:szCs w:val="24"/>
        </w:rPr>
        <w:t>根据《环境影响评价技术导则</w:t>
      </w:r>
      <w:r>
        <w:rPr>
          <w:rFonts w:ascii="FangSong" w:hAnsi="FangSong" w:eastAsia="FangSong" w:cs="FangSong"/>
          <w:sz w:val="24"/>
          <w:szCs w:val="24"/>
        </w:rPr>
        <w:t xml:space="preserve"> </w:t>
      </w:r>
      <w:r>
        <w:rPr>
          <w:rFonts w:ascii="FangSong" w:hAnsi="FangSong" w:eastAsia="FangSong" w:cs="FangSong"/>
          <w:sz w:val="24"/>
          <w:szCs w:val="24"/>
        </w:rPr>
        <w:t>大气环境》（</w:t>
      </w:r>
      <w:r>
        <w:rPr>
          <w:rFonts w:ascii="Times New Roman" w:hAnsi="Times New Roman" w:eastAsia="Times New Roman" w:cs="Times New Roman"/>
          <w:sz w:val="24"/>
          <w:szCs w:val="24"/>
        </w:rPr>
        <w:t>HJ2.2-2018</w:t>
      </w:r>
      <w:r>
        <w:rPr>
          <w:rFonts w:ascii="FangSong" w:hAnsi="FangSong" w:eastAsia="FangSong" w:cs="FangSong"/>
          <w:sz w:val="24"/>
          <w:szCs w:val="24"/>
          <w:spacing w:val="-1"/>
        </w:rPr>
        <w:t>）的规定，采用估算模</w:t>
      </w:r>
      <w:r>
        <w:rPr>
          <w:rFonts w:ascii="FangSong" w:hAnsi="FangSong" w:eastAsia="FangSong" w:cs="FangSong"/>
          <w:sz w:val="24"/>
          <w:szCs w:val="24"/>
          <w:spacing w:val="-3"/>
        </w:rPr>
        <w:t>型预测结果见表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2.5-7</w:t>
      </w:r>
      <w:r>
        <w:rPr>
          <w:rFonts w:ascii="FangSong" w:hAnsi="FangSong" w:eastAsia="FangSong" w:cs="FangSong"/>
          <w:sz w:val="24"/>
          <w:szCs w:val="24"/>
          <w:spacing w:val="-3"/>
        </w:rPr>
        <w:t>。</w:t>
      </w:r>
    </w:p>
    <w:p>
      <w:pPr>
        <w:ind w:left="2929"/>
        <w:spacing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2.5-7  </w:t>
      </w:r>
      <w:r>
        <w:rPr>
          <w:rFonts w:ascii="FangSong" w:hAnsi="FangSong" w:eastAsia="FangSong" w:cs="FangSong"/>
          <w:sz w:val="24"/>
          <w:szCs w:val="24"/>
          <w:b/>
          <w:bCs/>
          <w:spacing w:val="-3"/>
        </w:rPr>
        <w:t>估算模型计算结果表</w:t>
      </w:r>
    </w:p>
    <w:p>
      <w:pPr>
        <w:spacing w:line="146" w:lineRule="exact"/>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5"/>
        <w:gridCol w:w="1305"/>
        <w:gridCol w:w="1305"/>
        <w:gridCol w:w="1488"/>
        <w:gridCol w:w="1343"/>
        <w:gridCol w:w="1441"/>
      </w:tblGrid>
      <w:tr>
        <w:trPr>
          <w:trHeight w:val="552" w:hRule="atLeast"/>
        </w:trPr>
        <w:tc>
          <w:tcPr>
            <w:tcW w:w="2025" w:type="dxa"/>
            <w:vAlign w:val="top"/>
            <w:tcBorders>
              <w:left w:val="nil"/>
              <w:top w:val="single" w:color="000000" w:sz="10" w:space="0"/>
            </w:tcBorders>
          </w:tcPr>
          <w:p>
            <w:pPr>
              <w:pStyle w:val="TableText"/>
              <w:ind w:left="504"/>
              <w:spacing w:before="173" w:line="224" w:lineRule="auto"/>
              <w:rPr/>
            </w:pPr>
            <w:r>
              <w:rPr>
                <w:spacing w:val="6"/>
              </w:rPr>
              <w:t>污染源名称</w:t>
            </w:r>
          </w:p>
        </w:tc>
        <w:tc>
          <w:tcPr>
            <w:tcW w:w="1305" w:type="dxa"/>
            <w:vAlign w:val="top"/>
            <w:tcBorders>
              <w:top w:val="single" w:color="000000" w:sz="10" w:space="0"/>
            </w:tcBorders>
          </w:tcPr>
          <w:p>
            <w:pPr>
              <w:pStyle w:val="TableText"/>
              <w:ind w:left="237"/>
              <w:spacing w:before="173" w:line="225" w:lineRule="auto"/>
              <w:rPr/>
            </w:pPr>
            <w:r>
              <w:rPr>
                <w:spacing w:val="7"/>
              </w:rPr>
              <w:t>评价因子</w:t>
            </w:r>
          </w:p>
        </w:tc>
        <w:tc>
          <w:tcPr>
            <w:tcW w:w="1305" w:type="dxa"/>
            <w:vAlign w:val="top"/>
            <w:tcBorders>
              <w:top w:val="single" w:color="000000" w:sz="10" w:space="0"/>
            </w:tcBorders>
          </w:tcPr>
          <w:p>
            <w:pPr>
              <w:pStyle w:val="TableText"/>
              <w:ind w:left="303" w:right="205" w:hanging="66"/>
              <w:spacing w:before="37" w:line="233" w:lineRule="auto"/>
              <w:rPr>
                <w:rFonts w:ascii="SimSun" w:hAnsi="SimSun" w:eastAsia="SimSun" w:cs="SimSun"/>
              </w:rPr>
            </w:pPr>
            <w:r>
              <w:rPr>
                <w:spacing w:val="7"/>
              </w:rPr>
              <w:t>评价标准</w:t>
            </w:r>
            <w:r>
              <w:rPr>
                <w:rFonts w:ascii="SimSun" w:hAnsi="SimSun" w:eastAsia="SimSun" w:cs="SimSun"/>
              </w:rPr>
              <w:t>(</w:t>
            </w:r>
            <w:r>
              <w:rPr>
                <w:rFonts w:ascii="Times New Roman" w:hAnsi="Times New Roman" w:eastAsia="Times New Roman" w:cs="Times New Roman"/>
              </w:rPr>
              <w:t>μg/m</w:t>
            </w:r>
            <w:r>
              <w:rPr>
                <w:rFonts w:ascii="Times New Roman" w:hAnsi="Times New Roman" w:eastAsia="Times New Roman" w:cs="Times New Roman"/>
                <w:sz w:val="13"/>
                <w:szCs w:val="13"/>
                <w:position w:val="6"/>
              </w:rPr>
              <w:t>3</w:t>
            </w:r>
            <w:r>
              <w:rPr>
                <w:rFonts w:ascii="SimSun" w:hAnsi="SimSun" w:eastAsia="SimSun" w:cs="SimSun"/>
              </w:rPr>
              <w:t>）</w:t>
            </w:r>
          </w:p>
        </w:tc>
        <w:tc>
          <w:tcPr>
            <w:tcW w:w="1488" w:type="dxa"/>
            <w:vAlign w:val="top"/>
            <w:tcBorders>
              <w:top w:val="single" w:color="000000" w:sz="10" w:space="0"/>
            </w:tcBorders>
          </w:tcPr>
          <w:p>
            <w:pPr>
              <w:ind w:left="561"/>
              <w:spacing w:before="71"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C</w:t>
            </w:r>
            <w:r>
              <w:rPr>
                <w:rFonts w:ascii="Times New Roman" w:hAnsi="Times New Roman" w:eastAsia="Times New Roman" w:cs="Times New Roman"/>
                <w:sz w:val="13"/>
                <w:szCs w:val="13"/>
                <w:spacing w:val="2"/>
                <w:position w:val="-1"/>
              </w:rPr>
              <w:t>max</w:t>
            </w:r>
          </w:p>
          <w:p>
            <w:pPr>
              <w:pStyle w:val="TableText"/>
              <w:ind w:left="382"/>
              <w:spacing w:before="28" w:line="220" w:lineRule="auto"/>
              <w:rPr/>
            </w:pPr>
            <w:r>
              <w:rPr>
                <w:spacing w:val="3"/>
              </w:rPr>
              <w:t>(</w:t>
            </w:r>
            <w:r>
              <w:rPr>
                <w:rFonts w:ascii="Times New Roman" w:hAnsi="Times New Roman" w:eastAsia="Times New Roman" w:cs="Times New Roman"/>
                <w:spacing w:val="3"/>
              </w:rPr>
              <w:t>μg/m</w:t>
            </w:r>
            <w:r>
              <w:rPr>
                <w:rFonts w:ascii="Times New Roman" w:hAnsi="Times New Roman" w:eastAsia="Times New Roman" w:cs="Times New Roman"/>
                <w:sz w:val="13"/>
                <w:szCs w:val="13"/>
                <w:spacing w:val="3"/>
                <w:position w:val="6"/>
              </w:rPr>
              <w:t>3 </w:t>
            </w:r>
            <w:r>
              <w:rPr>
                <w:spacing w:val="3"/>
              </w:rPr>
              <w:t>）</w:t>
            </w:r>
          </w:p>
        </w:tc>
        <w:tc>
          <w:tcPr>
            <w:tcW w:w="1343" w:type="dxa"/>
            <w:vAlign w:val="top"/>
            <w:tcBorders>
              <w:top w:val="single" w:color="000000" w:sz="10" w:space="0"/>
            </w:tcBorders>
          </w:tcPr>
          <w:p>
            <w:pPr>
              <w:ind w:left="497"/>
              <w:spacing w:before="74"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P</w:t>
            </w:r>
            <w:r>
              <w:rPr>
                <w:rFonts w:ascii="Times New Roman" w:hAnsi="Times New Roman" w:eastAsia="Times New Roman" w:cs="Times New Roman"/>
                <w:sz w:val="13"/>
                <w:szCs w:val="13"/>
                <w:spacing w:val="2"/>
                <w:position w:val="-1"/>
              </w:rPr>
              <w:t>max</w:t>
            </w:r>
          </w:p>
          <w:p>
            <w:pPr>
              <w:ind w:left="390"/>
              <w:spacing w:before="27" w:line="230" w:lineRule="auto"/>
              <w:rPr>
                <w:rFonts w:ascii="SimSun" w:hAnsi="SimSun" w:eastAsia="SimSun" w:cs="SimSun"/>
                <w:sz w:val="20"/>
                <w:szCs w:val="20"/>
              </w:rPr>
            </w:pPr>
            <w:r>
              <w:rPr>
                <w:rFonts w:ascii="SimSun" w:hAnsi="SimSun" w:eastAsia="SimSun" w:cs="SimSun"/>
                <w:sz w:val="20"/>
                <w:szCs w:val="20"/>
              </w:rPr>
              <w:t>（</w:t>
            </w:r>
            <w:r>
              <w:rPr>
                <w:rFonts w:ascii="Times New Roman" w:hAnsi="Times New Roman" w:eastAsia="Times New Roman" w:cs="Times New Roman"/>
                <w:sz w:val="20"/>
                <w:szCs w:val="20"/>
              </w:rPr>
              <w:t>%</w:t>
            </w:r>
            <w:r>
              <w:rPr>
                <w:rFonts w:ascii="SimSun" w:hAnsi="SimSun" w:eastAsia="SimSun" w:cs="SimSun"/>
                <w:sz w:val="20"/>
                <w:szCs w:val="20"/>
              </w:rPr>
              <w:t>）</w:t>
            </w:r>
          </w:p>
        </w:tc>
        <w:tc>
          <w:tcPr>
            <w:tcW w:w="1441" w:type="dxa"/>
            <w:vAlign w:val="top"/>
            <w:tcBorders>
              <w:right w:val="nil"/>
              <w:top w:val="single" w:color="000000" w:sz="10" w:space="0"/>
            </w:tcBorders>
          </w:tcPr>
          <w:p>
            <w:pPr>
              <w:pStyle w:val="TableText"/>
              <w:ind w:left="524" w:right="302" w:hanging="218"/>
              <w:spacing w:before="37" w:line="233" w:lineRule="auto"/>
              <w:rPr/>
            </w:pPr>
            <w:r>
              <w:rPr>
                <w:spacing w:val="7"/>
              </w:rPr>
              <w:t>推荐评价</w:t>
            </w:r>
            <w:r>
              <w:rPr>
                <w:spacing w:val="-1"/>
              </w:rPr>
              <w:t>等级</w:t>
            </w:r>
          </w:p>
        </w:tc>
      </w:tr>
      <w:tr>
        <w:trPr>
          <w:trHeight w:val="276" w:hRule="atLeast"/>
        </w:trPr>
        <w:tc>
          <w:tcPr>
            <w:tcW w:w="2025" w:type="dxa"/>
            <w:vAlign w:val="top"/>
            <w:tcBorders>
              <w:left w:val="nil"/>
            </w:tcBorders>
          </w:tcPr>
          <w:p>
            <w:pPr>
              <w:pStyle w:val="TableText"/>
              <w:ind w:left="402"/>
              <w:spacing w:before="34" w:line="214" w:lineRule="auto"/>
              <w:rPr/>
            </w:pPr>
            <w:r>
              <w:rPr>
                <w:spacing w:val="6"/>
              </w:rPr>
              <w:t>井下采矿废气</w:t>
            </w:r>
          </w:p>
        </w:tc>
        <w:tc>
          <w:tcPr>
            <w:tcW w:w="1305" w:type="dxa"/>
            <w:vAlign w:val="top"/>
          </w:tcPr>
          <w:p>
            <w:pPr>
              <w:ind w:left="461"/>
              <w:spacing w:before="69"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305" w:type="dxa"/>
            <w:vAlign w:val="top"/>
          </w:tcPr>
          <w:p>
            <w:pPr>
              <w:ind w:left="495"/>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488" w:type="dxa"/>
            <w:vAlign w:val="top"/>
          </w:tcPr>
          <w:p>
            <w:pPr>
              <w:ind w:left="564"/>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343" w:type="dxa"/>
            <w:vAlign w:val="top"/>
          </w:tcPr>
          <w:p>
            <w:pPr>
              <w:ind w:left="492"/>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w:t>
            </w:r>
          </w:p>
        </w:tc>
        <w:tc>
          <w:tcPr>
            <w:tcW w:w="1441" w:type="dxa"/>
            <w:vAlign w:val="top"/>
            <w:tcBorders>
              <w:right w:val="nil"/>
            </w:tcBorders>
          </w:tcPr>
          <w:p>
            <w:pPr>
              <w:ind w:left="515"/>
              <w:spacing w:before="33" w:line="215" w:lineRule="auto"/>
              <w:rPr>
                <w:rFonts w:ascii="SimSun" w:hAnsi="SimSun" w:eastAsia="SimSun" w:cs="SimSun"/>
                <w:sz w:val="20"/>
                <w:szCs w:val="20"/>
              </w:rPr>
            </w:pPr>
            <w:r>
              <w:rPr>
                <w:rFonts w:ascii="SimSun" w:hAnsi="SimSun" w:eastAsia="SimSun" w:cs="SimSun"/>
                <w:sz w:val="20"/>
                <w:szCs w:val="20"/>
                <w:spacing w:val="4"/>
              </w:rPr>
              <w:t>三级</w:t>
            </w:r>
          </w:p>
        </w:tc>
      </w:tr>
      <w:tr>
        <w:trPr>
          <w:trHeight w:val="275" w:hRule="atLeast"/>
        </w:trPr>
        <w:tc>
          <w:tcPr>
            <w:tcW w:w="2025" w:type="dxa"/>
            <w:vAlign w:val="top"/>
            <w:vMerge w:val="restart"/>
            <w:tcBorders>
              <w:left w:val="nil"/>
              <w:bottom w:val="nil"/>
            </w:tcBorders>
          </w:tcPr>
          <w:p>
            <w:pPr>
              <w:pStyle w:val="TableText"/>
              <w:ind w:left="495"/>
              <w:spacing w:before="40" w:line="223" w:lineRule="auto"/>
              <w:rPr/>
            </w:pPr>
            <w:r>
              <w:rPr>
                <w:spacing w:val="8"/>
              </w:rPr>
              <w:t>粗破碎车间</w:t>
            </w:r>
          </w:p>
          <w:p>
            <w:pPr>
              <w:pStyle w:val="TableText"/>
              <w:ind w:left="492"/>
              <w:spacing w:before="30" w:line="216" w:lineRule="auto"/>
              <w:rPr/>
            </w:pPr>
            <w:r>
              <w:rPr>
                <w:spacing w:val="12"/>
              </w:rPr>
              <w:t>（有组织）</w:t>
            </w:r>
          </w:p>
        </w:tc>
        <w:tc>
          <w:tcPr>
            <w:tcW w:w="1305" w:type="dxa"/>
            <w:vAlign w:val="top"/>
          </w:tcPr>
          <w:p>
            <w:pPr>
              <w:ind w:left="431"/>
              <w:spacing w:before="74"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10"/>
                <w:position w:val="-1"/>
              </w:rPr>
              <w:t>10</w:t>
            </w:r>
          </w:p>
        </w:tc>
        <w:tc>
          <w:tcPr>
            <w:tcW w:w="1305" w:type="dxa"/>
            <w:vAlign w:val="top"/>
          </w:tcPr>
          <w:p>
            <w:pPr>
              <w:ind w:left="494"/>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88" w:type="dxa"/>
            <w:vAlign w:val="top"/>
          </w:tcPr>
          <w:p>
            <w:pPr>
              <w:ind w:left="58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1.25</w:t>
            </w:r>
          </w:p>
        </w:tc>
        <w:tc>
          <w:tcPr>
            <w:tcW w:w="1343" w:type="dxa"/>
            <w:vAlign w:val="top"/>
          </w:tcPr>
          <w:p>
            <w:pPr>
              <w:ind w:left="492"/>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w:t>
            </w:r>
          </w:p>
        </w:tc>
        <w:tc>
          <w:tcPr>
            <w:tcW w:w="1441" w:type="dxa"/>
            <w:vAlign w:val="top"/>
            <w:tcBorders>
              <w:right w:val="nil"/>
            </w:tcBorders>
          </w:tcPr>
          <w:p>
            <w:pPr>
              <w:ind w:left="515"/>
              <w:spacing w:before="35" w:line="212" w:lineRule="auto"/>
              <w:rPr>
                <w:rFonts w:ascii="SimSun" w:hAnsi="SimSun" w:eastAsia="SimSun" w:cs="SimSun"/>
                <w:sz w:val="20"/>
                <w:szCs w:val="20"/>
              </w:rPr>
            </w:pPr>
            <w:r>
              <w:rPr>
                <w:rFonts w:ascii="SimSun" w:hAnsi="SimSun" w:eastAsia="SimSun" w:cs="SimSun"/>
                <w:sz w:val="20"/>
                <w:szCs w:val="20"/>
                <w:spacing w:val="4"/>
              </w:rPr>
              <w:t>三级</w:t>
            </w:r>
          </w:p>
        </w:tc>
      </w:tr>
      <w:tr>
        <w:trPr>
          <w:trHeight w:val="276" w:hRule="atLeast"/>
        </w:trPr>
        <w:tc>
          <w:tcPr>
            <w:tcW w:w="2025" w:type="dxa"/>
            <w:vAlign w:val="top"/>
            <w:vMerge w:val="continue"/>
            <w:tcBorders>
              <w:left w:val="nil"/>
              <w:top w:val="nil"/>
            </w:tcBorders>
          </w:tcPr>
          <w:p>
            <w:pPr>
              <w:rPr>
                <w:rFonts w:ascii="Arial"/>
                <w:sz w:val="21"/>
              </w:rPr>
            </w:pPr>
            <w:r/>
          </w:p>
        </w:tc>
        <w:tc>
          <w:tcPr>
            <w:tcW w:w="1305" w:type="dxa"/>
            <w:vAlign w:val="top"/>
          </w:tcPr>
          <w:p>
            <w:pPr>
              <w:pStyle w:val="TableText"/>
              <w:ind w:left="354"/>
              <w:spacing w:before="39" w:line="209" w:lineRule="auto"/>
              <w:rPr/>
            </w:pPr>
            <w:r>
              <w:rPr>
                <w:spacing w:val="3"/>
              </w:rPr>
              <w:t>氟化物</w:t>
            </w:r>
          </w:p>
        </w:tc>
        <w:tc>
          <w:tcPr>
            <w:tcW w:w="1305" w:type="dxa"/>
            <w:vAlign w:val="top"/>
          </w:tcPr>
          <w:p>
            <w:pPr>
              <w:ind w:left="548"/>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Pr>
          <w:p>
            <w:pPr>
              <w:ind w:left="56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0.85</w:t>
            </w:r>
          </w:p>
        </w:tc>
        <w:tc>
          <w:tcPr>
            <w:tcW w:w="1343" w:type="dxa"/>
            <w:vAlign w:val="top"/>
          </w:tcPr>
          <w:p>
            <w:pPr>
              <w:ind w:left="488"/>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4.26</w:t>
            </w:r>
          </w:p>
        </w:tc>
        <w:tc>
          <w:tcPr>
            <w:tcW w:w="1441" w:type="dxa"/>
            <w:vAlign w:val="top"/>
            <w:tcBorders>
              <w:right w:val="nil"/>
            </w:tcBorders>
          </w:tcPr>
          <w:p>
            <w:pPr>
              <w:ind w:left="515"/>
              <w:spacing w:before="38" w:line="210" w:lineRule="auto"/>
              <w:rPr>
                <w:rFonts w:ascii="SimSun" w:hAnsi="SimSun" w:eastAsia="SimSun" w:cs="SimSun"/>
                <w:sz w:val="20"/>
                <w:szCs w:val="20"/>
              </w:rPr>
            </w:pPr>
            <w:r>
              <w:rPr>
                <w:rFonts w:ascii="SimSun" w:hAnsi="SimSun" w:eastAsia="SimSun" w:cs="SimSun"/>
                <w:sz w:val="20"/>
                <w:szCs w:val="20"/>
                <w:spacing w:val="4"/>
              </w:rPr>
              <w:t>三级</w:t>
            </w:r>
          </w:p>
        </w:tc>
      </w:tr>
      <w:tr>
        <w:trPr>
          <w:trHeight w:val="275" w:hRule="atLeast"/>
        </w:trPr>
        <w:tc>
          <w:tcPr>
            <w:tcW w:w="2025" w:type="dxa"/>
            <w:vAlign w:val="top"/>
            <w:vMerge w:val="restart"/>
            <w:tcBorders>
              <w:left w:val="nil"/>
              <w:bottom w:val="nil"/>
            </w:tcBorders>
          </w:tcPr>
          <w:p>
            <w:pPr>
              <w:pStyle w:val="TableText"/>
              <w:ind w:left="502"/>
              <w:spacing w:before="43" w:line="223" w:lineRule="auto"/>
              <w:rPr/>
            </w:pPr>
            <w:r>
              <w:rPr>
                <w:spacing w:val="6"/>
              </w:rPr>
              <w:t>细破碎车间</w:t>
            </w:r>
          </w:p>
          <w:p>
            <w:pPr>
              <w:pStyle w:val="TableText"/>
              <w:ind w:left="492"/>
              <w:spacing w:before="30" w:line="213" w:lineRule="auto"/>
              <w:rPr/>
            </w:pPr>
            <w:r>
              <w:rPr>
                <w:spacing w:val="12"/>
              </w:rPr>
              <w:t>（有组织）</w:t>
            </w:r>
          </w:p>
        </w:tc>
        <w:tc>
          <w:tcPr>
            <w:tcW w:w="1305" w:type="dxa"/>
            <w:vAlign w:val="top"/>
          </w:tcPr>
          <w:p>
            <w:pPr>
              <w:ind w:left="431"/>
              <w:spacing w:before="77" w:line="19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10"/>
                <w:position w:val="-1"/>
              </w:rPr>
              <w:t>10</w:t>
            </w:r>
          </w:p>
        </w:tc>
        <w:tc>
          <w:tcPr>
            <w:tcW w:w="1305" w:type="dxa"/>
            <w:vAlign w:val="top"/>
          </w:tcPr>
          <w:p>
            <w:pPr>
              <w:ind w:left="49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88" w:type="dxa"/>
            <w:vAlign w:val="top"/>
          </w:tcPr>
          <w:p>
            <w:pPr>
              <w:ind w:left="713"/>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43" w:type="dxa"/>
            <w:vAlign w:val="top"/>
          </w:tcPr>
          <w:p>
            <w:pPr>
              <w:ind w:left="492"/>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0.22</w:t>
            </w:r>
          </w:p>
        </w:tc>
        <w:tc>
          <w:tcPr>
            <w:tcW w:w="1441" w:type="dxa"/>
            <w:vAlign w:val="top"/>
            <w:tcBorders>
              <w:right w:val="nil"/>
            </w:tcBorders>
          </w:tcPr>
          <w:p>
            <w:pPr>
              <w:ind w:left="518"/>
              <w:spacing w:before="38" w:line="209" w:lineRule="auto"/>
              <w:rPr>
                <w:rFonts w:ascii="SimSun" w:hAnsi="SimSun" w:eastAsia="SimSun" w:cs="SimSun"/>
                <w:sz w:val="20"/>
                <w:szCs w:val="20"/>
              </w:rPr>
            </w:pPr>
            <w:r>
              <w:rPr>
                <w:rFonts w:ascii="SimSun" w:hAnsi="SimSun" w:eastAsia="SimSun" w:cs="SimSun"/>
                <w:sz w:val="20"/>
                <w:szCs w:val="20"/>
                <w:spacing w:val="3"/>
              </w:rPr>
              <w:t>二级</w:t>
            </w:r>
          </w:p>
        </w:tc>
      </w:tr>
      <w:tr>
        <w:trPr>
          <w:trHeight w:val="276" w:hRule="atLeast"/>
        </w:trPr>
        <w:tc>
          <w:tcPr>
            <w:tcW w:w="2025" w:type="dxa"/>
            <w:vAlign w:val="top"/>
            <w:vMerge w:val="continue"/>
            <w:tcBorders>
              <w:left w:val="nil"/>
              <w:top w:val="nil"/>
            </w:tcBorders>
          </w:tcPr>
          <w:p>
            <w:pPr>
              <w:rPr>
                <w:rFonts w:ascii="Arial"/>
                <w:sz w:val="21"/>
              </w:rPr>
            </w:pPr>
            <w:r/>
          </w:p>
        </w:tc>
        <w:tc>
          <w:tcPr>
            <w:tcW w:w="1305" w:type="dxa"/>
            <w:vAlign w:val="top"/>
          </w:tcPr>
          <w:p>
            <w:pPr>
              <w:pStyle w:val="TableText"/>
              <w:ind w:left="354"/>
              <w:spacing w:before="42" w:line="206" w:lineRule="auto"/>
              <w:rPr/>
            </w:pPr>
            <w:r>
              <w:rPr>
                <w:spacing w:val="3"/>
              </w:rPr>
              <w:t>氟化物</w:t>
            </w:r>
          </w:p>
        </w:tc>
        <w:tc>
          <w:tcPr>
            <w:tcW w:w="1305" w:type="dxa"/>
            <w:vAlign w:val="top"/>
          </w:tcPr>
          <w:p>
            <w:pPr>
              <w:ind w:left="548"/>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Pr>
          <w:p>
            <w:pPr>
              <w:ind w:left="564"/>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0.68</w:t>
            </w:r>
          </w:p>
        </w:tc>
        <w:tc>
          <w:tcPr>
            <w:tcW w:w="1343" w:type="dxa"/>
            <w:vAlign w:val="top"/>
          </w:tcPr>
          <w:p>
            <w:pPr>
              <w:ind w:left="493"/>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3.42</w:t>
            </w:r>
          </w:p>
        </w:tc>
        <w:tc>
          <w:tcPr>
            <w:tcW w:w="1441" w:type="dxa"/>
            <w:vAlign w:val="top"/>
            <w:tcBorders>
              <w:right w:val="nil"/>
            </w:tcBorders>
          </w:tcPr>
          <w:p>
            <w:pPr>
              <w:ind w:left="515"/>
              <w:spacing w:before="41" w:line="207" w:lineRule="auto"/>
              <w:rPr>
                <w:rFonts w:ascii="SimSun" w:hAnsi="SimSun" w:eastAsia="SimSun" w:cs="SimSun"/>
                <w:sz w:val="20"/>
                <w:szCs w:val="20"/>
              </w:rPr>
            </w:pPr>
            <w:r>
              <w:rPr>
                <w:rFonts w:ascii="SimSun" w:hAnsi="SimSun" w:eastAsia="SimSun" w:cs="SimSun"/>
                <w:sz w:val="20"/>
                <w:szCs w:val="20"/>
                <w:spacing w:val="4"/>
              </w:rPr>
              <w:t>三级</w:t>
            </w:r>
          </w:p>
        </w:tc>
      </w:tr>
      <w:tr>
        <w:trPr>
          <w:trHeight w:val="276" w:hRule="atLeast"/>
        </w:trPr>
        <w:tc>
          <w:tcPr>
            <w:tcW w:w="2025" w:type="dxa"/>
            <w:vAlign w:val="top"/>
            <w:vMerge w:val="restart"/>
            <w:tcBorders>
              <w:left w:val="nil"/>
              <w:bottom w:val="nil"/>
            </w:tcBorders>
          </w:tcPr>
          <w:p>
            <w:pPr>
              <w:pStyle w:val="TableText"/>
              <w:ind w:left="492" w:right="490" w:firstLine="114"/>
              <w:spacing w:before="46" w:line="231" w:lineRule="auto"/>
              <w:rPr/>
            </w:pPr>
            <w:r>
              <w:rPr>
                <w:spacing w:val="5"/>
              </w:rPr>
              <w:t>筛分车间</w:t>
            </w:r>
            <w:r>
              <w:rPr>
                <w:spacing w:val="7"/>
              </w:rPr>
              <w:t>（有组织）</w:t>
            </w:r>
          </w:p>
        </w:tc>
        <w:tc>
          <w:tcPr>
            <w:tcW w:w="1305" w:type="dxa"/>
            <w:vAlign w:val="top"/>
          </w:tcPr>
          <w:p>
            <w:pPr>
              <w:ind w:left="431"/>
              <w:spacing w:before="80" w:line="19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10"/>
                <w:position w:val="-1"/>
              </w:rPr>
              <w:t>10</w:t>
            </w:r>
          </w:p>
        </w:tc>
        <w:tc>
          <w:tcPr>
            <w:tcW w:w="1305" w:type="dxa"/>
            <w:vAlign w:val="top"/>
          </w:tcPr>
          <w:p>
            <w:pPr>
              <w:ind w:left="494"/>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88" w:type="dxa"/>
            <w:vAlign w:val="top"/>
          </w:tcPr>
          <w:p>
            <w:pPr>
              <w:ind w:left="58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1.15</w:t>
            </w:r>
          </w:p>
        </w:tc>
        <w:tc>
          <w:tcPr>
            <w:tcW w:w="1343" w:type="dxa"/>
            <w:vAlign w:val="top"/>
          </w:tcPr>
          <w:p>
            <w:pPr>
              <w:ind w:left="492"/>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0.26</w:t>
            </w:r>
          </w:p>
        </w:tc>
        <w:tc>
          <w:tcPr>
            <w:tcW w:w="1441" w:type="dxa"/>
            <w:vAlign w:val="top"/>
            <w:tcBorders>
              <w:right w:val="nil"/>
            </w:tcBorders>
          </w:tcPr>
          <w:p>
            <w:pPr>
              <w:ind w:left="518"/>
              <w:spacing w:before="41" w:line="207" w:lineRule="auto"/>
              <w:rPr>
                <w:rFonts w:ascii="SimSun" w:hAnsi="SimSun" w:eastAsia="SimSun" w:cs="SimSun"/>
                <w:sz w:val="20"/>
                <w:szCs w:val="20"/>
              </w:rPr>
            </w:pPr>
            <w:r>
              <w:rPr>
                <w:rFonts w:ascii="SimSun" w:hAnsi="SimSun" w:eastAsia="SimSun" w:cs="SimSun"/>
                <w:sz w:val="20"/>
                <w:szCs w:val="20"/>
                <w:spacing w:val="3"/>
              </w:rPr>
              <w:t>二级</w:t>
            </w:r>
          </w:p>
        </w:tc>
      </w:tr>
      <w:tr>
        <w:trPr>
          <w:trHeight w:val="276" w:hRule="atLeast"/>
        </w:trPr>
        <w:tc>
          <w:tcPr>
            <w:tcW w:w="2025" w:type="dxa"/>
            <w:vAlign w:val="top"/>
            <w:vMerge w:val="continue"/>
            <w:tcBorders>
              <w:left w:val="nil"/>
              <w:top w:val="nil"/>
            </w:tcBorders>
          </w:tcPr>
          <w:p>
            <w:pPr>
              <w:rPr>
                <w:rFonts w:ascii="Arial"/>
                <w:sz w:val="21"/>
              </w:rPr>
            </w:pPr>
            <w:r/>
          </w:p>
        </w:tc>
        <w:tc>
          <w:tcPr>
            <w:tcW w:w="1305" w:type="dxa"/>
            <w:vAlign w:val="top"/>
          </w:tcPr>
          <w:p>
            <w:pPr>
              <w:pStyle w:val="TableText"/>
              <w:ind w:left="354"/>
              <w:spacing w:before="43" w:line="205" w:lineRule="auto"/>
              <w:rPr/>
            </w:pPr>
            <w:r>
              <w:rPr>
                <w:spacing w:val="3"/>
              </w:rPr>
              <w:t>氟化物</w:t>
            </w:r>
          </w:p>
        </w:tc>
        <w:tc>
          <w:tcPr>
            <w:tcW w:w="1305" w:type="dxa"/>
            <w:vAlign w:val="top"/>
          </w:tcPr>
          <w:p>
            <w:pPr>
              <w:ind w:left="548"/>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Pr>
          <w:p>
            <w:pPr>
              <w:ind w:left="564"/>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0.79</w:t>
            </w:r>
          </w:p>
        </w:tc>
        <w:tc>
          <w:tcPr>
            <w:tcW w:w="1343" w:type="dxa"/>
            <w:vAlign w:val="top"/>
          </w:tcPr>
          <w:p>
            <w:pPr>
              <w:ind w:left="493"/>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1441" w:type="dxa"/>
            <w:vAlign w:val="top"/>
            <w:tcBorders>
              <w:right w:val="nil"/>
            </w:tcBorders>
          </w:tcPr>
          <w:p>
            <w:pPr>
              <w:ind w:left="515"/>
              <w:spacing w:before="43" w:line="205" w:lineRule="auto"/>
              <w:rPr>
                <w:rFonts w:ascii="SimSun" w:hAnsi="SimSun" w:eastAsia="SimSun" w:cs="SimSun"/>
                <w:sz w:val="20"/>
                <w:szCs w:val="20"/>
              </w:rPr>
            </w:pPr>
            <w:r>
              <w:rPr>
                <w:rFonts w:ascii="SimSun" w:hAnsi="SimSun" w:eastAsia="SimSun" w:cs="SimSun"/>
                <w:sz w:val="20"/>
                <w:szCs w:val="20"/>
                <w:spacing w:val="4"/>
              </w:rPr>
              <w:t>三级</w:t>
            </w:r>
          </w:p>
        </w:tc>
      </w:tr>
      <w:tr>
        <w:trPr>
          <w:trHeight w:val="276" w:hRule="atLeast"/>
        </w:trPr>
        <w:tc>
          <w:tcPr>
            <w:tcW w:w="2025" w:type="dxa"/>
            <w:vAlign w:val="top"/>
            <w:vMerge w:val="restart"/>
            <w:tcBorders>
              <w:left w:val="nil"/>
              <w:bottom w:val="nil"/>
            </w:tcBorders>
          </w:tcPr>
          <w:p>
            <w:pPr>
              <w:pStyle w:val="TableText"/>
              <w:ind w:left="492" w:right="490" w:firstLine="214"/>
              <w:spacing w:before="50" w:line="229" w:lineRule="auto"/>
              <w:rPr/>
            </w:pPr>
            <w:r>
              <w:rPr>
                <w:spacing w:val="6"/>
              </w:rPr>
              <w:t>粉矿仓</w:t>
            </w:r>
            <w:r>
              <w:rPr/>
              <w:t xml:space="preserve"> </w:t>
            </w:r>
            <w:r>
              <w:rPr>
                <w:spacing w:val="7"/>
              </w:rPr>
              <w:t>（有组织）</w:t>
            </w:r>
          </w:p>
        </w:tc>
        <w:tc>
          <w:tcPr>
            <w:tcW w:w="1305" w:type="dxa"/>
            <w:vAlign w:val="top"/>
          </w:tcPr>
          <w:p>
            <w:pPr>
              <w:ind w:left="431"/>
              <w:spacing w:before="84" w:line="18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10"/>
                <w:position w:val="-1"/>
              </w:rPr>
              <w:t>10</w:t>
            </w:r>
          </w:p>
        </w:tc>
        <w:tc>
          <w:tcPr>
            <w:tcW w:w="1305" w:type="dxa"/>
            <w:vAlign w:val="top"/>
          </w:tcPr>
          <w:p>
            <w:pPr>
              <w:ind w:left="494"/>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88" w:type="dxa"/>
            <w:vAlign w:val="top"/>
          </w:tcPr>
          <w:p>
            <w:pPr>
              <w:ind w:left="617"/>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343" w:type="dxa"/>
            <w:vAlign w:val="top"/>
          </w:tcPr>
          <w:p>
            <w:pPr>
              <w:ind w:left="492"/>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441" w:type="dxa"/>
            <w:vAlign w:val="top"/>
            <w:tcBorders>
              <w:right w:val="nil"/>
            </w:tcBorders>
          </w:tcPr>
          <w:p>
            <w:pPr>
              <w:ind w:left="518"/>
              <w:spacing w:before="46" w:line="203" w:lineRule="auto"/>
              <w:rPr>
                <w:rFonts w:ascii="SimSun" w:hAnsi="SimSun" w:eastAsia="SimSun" w:cs="SimSun"/>
                <w:sz w:val="20"/>
                <w:szCs w:val="20"/>
              </w:rPr>
            </w:pPr>
            <w:r>
              <w:rPr>
                <w:rFonts w:ascii="SimSun" w:hAnsi="SimSun" w:eastAsia="SimSun" w:cs="SimSun"/>
                <w:sz w:val="20"/>
                <w:szCs w:val="20"/>
                <w:spacing w:val="3"/>
              </w:rPr>
              <w:t>二级</w:t>
            </w:r>
          </w:p>
        </w:tc>
      </w:tr>
      <w:tr>
        <w:trPr>
          <w:trHeight w:val="276" w:hRule="atLeast"/>
        </w:trPr>
        <w:tc>
          <w:tcPr>
            <w:tcW w:w="2025" w:type="dxa"/>
            <w:vAlign w:val="top"/>
            <w:vMerge w:val="continue"/>
            <w:tcBorders>
              <w:left w:val="nil"/>
              <w:top w:val="nil"/>
            </w:tcBorders>
          </w:tcPr>
          <w:p>
            <w:pPr>
              <w:rPr>
                <w:rFonts w:ascii="Arial"/>
                <w:sz w:val="21"/>
              </w:rPr>
            </w:pPr>
            <w:r/>
          </w:p>
        </w:tc>
        <w:tc>
          <w:tcPr>
            <w:tcW w:w="1305" w:type="dxa"/>
            <w:vAlign w:val="top"/>
          </w:tcPr>
          <w:p>
            <w:pPr>
              <w:pStyle w:val="TableText"/>
              <w:ind w:left="354"/>
              <w:spacing w:before="46" w:line="203" w:lineRule="auto"/>
              <w:rPr/>
            </w:pPr>
            <w:r>
              <w:rPr>
                <w:spacing w:val="3"/>
              </w:rPr>
              <w:t>氟化物</w:t>
            </w:r>
          </w:p>
        </w:tc>
        <w:tc>
          <w:tcPr>
            <w:tcW w:w="1305" w:type="dxa"/>
            <w:vAlign w:val="top"/>
          </w:tcPr>
          <w:p>
            <w:pPr>
              <w:ind w:left="548"/>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Pr>
          <w:p>
            <w:pPr>
              <w:ind w:left="564"/>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w:t>
            </w:r>
          </w:p>
        </w:tc>
        <w:tc>
          <w:tcPr>
            <w:tcW w:w="1343" w:type="dxa"/>
            <w:vAlign w:val="top"/>
          </w:tcPr>
          <w:p>
            <w:pPr>
              <w:ind w:left="492"/>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0.34</w:t>
            </w:r>
          </w:p>
        </w:tc>
        <w:tc>
          <w:tcPr>
            <w:tcW w:w="1441" w:type="dxa"/>
            <w:vAlign w:val="top"/>
            <w:tcBorders>
              <w:right w:val="nil"/>
            </w:tcBorders>
          </w:tcPr>
          <w:p>
            <w:pPr>
              <w:ind w:left="515"/>
              <w:spacing w:before="45" w:line="204" w:lineRule="auto"/>
              <w:rPr>
                <w:rFonts w:ascii="SimSun" w:hAnsi="SimSun" w:eastAsia="SimSun" w:cs="SimSun"/>
                <w:sz w:val="20"/>
                <w:szCs w:val="20"/>
              </w:rPr>
            </w:pPr>
            <w:r>
              <w:rPr>
                <w:rFonts w:ascii="SimSun" w:hAnsi="SimSun" w:eastAsia="SimSun" w:cs="SimSun"/>
                <w:sz w:val="20"/>
                <w:szCs w:val="20"/>
                <w:spacing w:val="4"/>
              </w:rPr>
              <w:t>三级</w:t>
            </w:r>
          </w:p>
        </w:tc>
      </w:tr>
      <w:tr>
        <w:trPr>
          <w:trHeight w:val="276" w:hRule="atLeast"/>
        </w:trPr>
        <w:tc>
          <w:tcPr>
            <w:tcW w:w="2025" w:type="dxa"/>
            <w:vAlign w:val="top"/>
            <w:tcBorders>
              <w:left w:val="nil"/>
            </w:tcBorders>
          </w:tcPr>
          <w:p>
            <w:pPr>
              <w:pStyle w:val="TableText"/>
              <w:ind w:left="604"/>
              <w:spacing w:before="48" w:line="201" w:lineRule="auto"/>
              <w:rPr/>
            </w:pPr>
            <w:r>
              <w:rPr>
                <w:spacing w:val="5"/>
              </w:rPr>
              <w:t>原矿堆场</w:t>
            </w:r>
          </w:p>
        </w:tc>
        <w:tc>
          <w:tcPr>
            <w:tcW w:w="1305" w:type="dxa"/>
            <w:vAlign w:val="top"/>
          </w:tcPr>
          <w:p>
            <w:pPr>
              <w:ind w:left="475"/>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519"/>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86.78</w:t>
            </w:r>
          </w:p>
        </w:tc>
        <w:tc>
          <w:tcPr>
            <w:tcW w:w="1343" w:type="dxa"/>
            <w:vAlign w:val="top"/>
          </w:tcPr>
          <w:p>
            <w:pPr>
              <w:ind w:left="493"/>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9.64</w:t>
            </w:r>
          </w:p>
        </w:tc>
        <w:tc>
          <w:tcPr>
            <w:tcW w:w="1441" w:type="dxa"/>
            <w:vAlign w:val="top"/>
            <w:tcBorders>
              <w:right w:val="nil"/>
            </w:tcBorders>
          </w:tcPr>
          <w:p>
            <w:pPr>
              <w:ind w:left="515"/>
              <w:spacing w:before="47" w:line="202" w:lineRule="auto"/>
              <w:rPr>
                <w:rFonts w:ascii="SimSun" w:hAnsi="SimSun" w:eastAsia="SimSun" w:cs="SimSun"/>
                <w:sz w:val="20"/>
                <w:szCs w:val="20"/>
              </w:rPr>
            </w:pPr>
            <w:r>
              <w:rPr>
                <w:rFonts w:ascii="SimSun" w:hAnsi="SimSun" w:eastAsia="SimSun" w:cs="SimSun"/>
                <w:sz w:val="20"/>
                <w:szCs w:val="20"/>
                <w:spacing w:val="4"/>
              </w:rPr>
              <w:t>三级</w:t>
            </w:r>
          </w:p>
        </w:tc>
      </w:tr>
      <w:tr>
        <w:trPr>
          <w:trHeight w:val="276" w:hRule="atLeast"/>
        </w:trPr>
        <w:tc>
          <w:tcPr>
            <w:tcW w:w="2025" w:type="dxa"/>
            <w:vAlign w:val="top"/>
            <w:tcBorders>
              <w:left w:val="nil"/>
            </w:tcBorders>
          </w:tcPr>
          <w:p>
            <w:pPr>
              <w:pStyle w:val="TableText"/>
              <w:ind w:left="597"/>
              <w:spacing w:before="50" w:line="199" w:lineRule="auto"/>
              <w:rPr/>
            </w:pPr>
            <w:r>
              <w:rPr>
                <w:spacing w:val="7"/>
              </w:rPr>
              <w:t>表土堆场</w:t>
            </w:r>
          </w:p>
        </w:tc>
        <w:tc>
          <w:tcPr>
            <w:tcW w:w="1305" w:type="dxa"/>
            <w:vAlign w:val="top"/>
          </w:tcPr>
          <w:p>
            <w:pPr>
              <w:ind w:left="475"/>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633"/>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w:t>
            </w:r>
          </w:p>
        </w:tc>
        <w:tc>
          <w:tcPr>
            <w:tcW w:w="1343" w:type="dxa"/>
            <w:vAlign w:val="top"/>
          </w:tcPr>
          <w:p>
            <w:pPr>
              <w:ind w:left="492"/>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441" w:type="dxa"/>
            <w:vAlign w:val="top"/>
            <w:tcBorders>
              <w:right w:val="nil"/>
            </w:tcBorders>
          </w:tcPr>
          <w:p>
            <w:pPr>
              <w:ind w:left="518"/>
              <w:spacing w:before="49" w:line="200" w:lineRule="auto"/>
              <w:rPr>
                <w:rFonts w:ascii="SimSun" w:hAnsi="SimSun" w:eastAsia="SimSun" w:cs="SimSun"/>
                <w:sz w:val="20"/>
                <w:szCs w:val="20"/>
              </w:rPr>
            </w:pPr>
            <w:r>
              <w:rPr>
                <w:rFonts w:ascii="SimSun" w:hAnsi="SimSun" w:eastAsia="SimSun" w:cs="SimSun"/>
                <w:sz w:val="20"/>
                <w:szCs w:val="20"/>
                <w:spacing w:val="3"/>
              </w:rPr>
              <w:t>二级</w:t>
            </w:r>
          </w:p>
        </w:tc>
      </w:tr>
      <w:tr>
        <w:trPr>
          <w:trHeight w:val="276" w:hRule="atLeast"/>
        </w:trPr>
        <w:tc>
          <w:tcPr>
            <w:tcW w:w="2025" w:type="dxa"/>
            <w:vAlign w:val="top"/>
            <w:tcBorders>
              <w:left w:val="nil"/>
            </w:tcBorders>
          </w:tcPr>
          <w:p>
            <w:pPr>
              <w:pStyle w:val="TableText"/>
              <w:ind w:left="395"/>
              <w:spacing w:before="50" w:line="199" w:lineRule="auto"/>
              <w:rPr/>
            </w:pPr>
            <w:r>
              <w:rPr>
                <w:spacing w:val="7"/>
              </w:rPr>
              <w:t>尾矿临时堆场</w:t>
            </w:r>
          </w:p>
        </w:tc>
        <w:tc>
          <w:tcPr>
            <w:tcW w:w="1305" w:type="dxa"/>
            <w:vAlign w:val="top"/>
          </w:tcPr>
          <w:p>
            <w:pPr>
              <w:ind w:left="475"/>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509"/>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46.59</w:t>
            </w:r>
          </w:p>
        </w:tc>
        <w:tc>
          <w:tcPr>
            <w:tcW w:w="1343" w:type="dxa"/>
            <w:vAlign w:val="top"/>
          </w:tcPr>
          <w:p>
            <w:pPr>
              <w:ind w:left="494"/>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5.18</w:t>
            </w:r>
          </w:p>
        </w:tc>
        <w:tc>
          <w:tcPr>
            <w:tcW w:w="1441" w:type="dxa"/>
            <w:vAlign w:val="top"/>
            <w:tcBorders>
              <w:right w:val="nil"/>
            </w:tcBorders>
          </w:tcPr>
          <w:p>
            <w:pPr>
              <w:ind w:left="515"/>
              <w:spacing w:before="49" w:line="200" w:lineRule="auto"/>
              <w:rPr>
                <w:rFonts w:ascii="SimSun" w:hAnsi="SimSun" w:eastAsia="SimSun" w:cs="SimSun"/>
                <w:sz w:val="20"/>
                <w:szCs w:val="20"/>
              </w:rPr>
            </w:pPr>
            <w:r>
              <w:rPr>
                <w:rFonts w:ascii="SimSun" w:hAnsi="SimSun" w:eastAsia="SimSun" w:cs="SimSun"/>
                <w:sz w:val="20"/>
                <w:szCs w:val="20"/>
                <w:spacing w:val="4"/>
              </w:rPr>
              <w:t>三级</w:t>
            </w:r>
          </w:p>
        </w:tc>
      </w:tr>
      <w:tr>
        <w:trPr>
          <w:trHeight w:val="276" w:hRule="atLeast"/>
        </w:trPr>
        <w:tc>
          <w:tcPr>
            <w:tcW w:w="2025" w:type="dxa"/>
            <w:vAlign w:val="top"/>
            <w:tcBorders>
              <w:left w:val="nil"/>
            </w:tcBorders>
          </w:tcPr>
          <w:p>
            <w:pPr>
              <w:pStyle w:val="TableText"/>
              <w:ind w:left="709"/>
              <w:spacing w:before="52" w:line="197" w:lineRule="auto"/>
              <w:rPr/>
            </w:pPr>
            <w:r>
              <w:rPr>
                <w:spacing w:val="5"/>
              </w:rPr>
              <w:t>成品库</w:t>
            </w:r>
          </w:p>
        </w:tc>
        <w:tc>
          <w:tcPr>
            <w:tcW w:w="1305" w:type="dxa"/>
            <w:vAlign w:val="top"/>
          </w:tcPr>
          <w:p>
            <w:pPr>
              <w:ind w:left="475"/>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514"/>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35.36</w:t>
            </w:r>
          </w:p>
        </w:tc>
        <w:tc>
          <w:tcPr>
            <w:tcW w:w="1343" w:type="dxa"/>
            <w:vAlign w:val="top"/>
          </w:tcPr>
          <w:p>
            <w:pPr>
              <w:ind w:left="493"/>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3.93</w:t>
            </w:r>
          </w:p>
        </w:tc>
        <w:tc>
          <w:tcPr>
            <w:tcW w:w="1441" w:type="dxa"/>
            <w:vAlign w:val="top"/>
            <w:tcBorders>
              <w:right w:val="nil"/>
            </w:tcBorders>
          </w:tcPr>
          <w:p>
            <w:pPr>
              <w:ind w:left="518"/>
              <w:spacing w:before="51" w:line="198" w:lineRule="auto"/>
              <w:rPr>
                <w:rFonts w:ascii="SimSun" w:hAnsi="SimSun" w:eastAsia="SimSun" w:cs="SimSun"/>
                <w:sz w:val="20"/>
                <w:szCs w:val="20"/>
              </w:rPr>
            </w:pPr>
            <w:r>
              <w:rPr>
                <w:rFonts w:ascii="SimSun" w:hAnsi="SimSun" w:eastAsia="SimSun" w:cs="SimSun"/>
                <w:sz w:val="20"/>
                <w:szCs w:val="20"/>
                <w:spacing w:val="3"/>
              </w:rPr>
              <w:t>二级</w:t>
            </w:r>
          </w:p>
        </w:tc>
      </w:tr>
      <w:tr>
        <w:trPr>
          <w:trHeight w:val="276" w:hRule="atLeast"/>
        </w:trPr>
        <w:tc>
          <w:tcPr>
            <w:tcW w:w="2025" w:type="dxa"/>
            <w:vAlign w:val="top"/>
            <w:vMerge w:val="restart"/>
            <w:tcBorders>
              <w:left w:val="nil"/>
              <w:bottom w:val="nil"/>
            </w:tcBorders>
          </w:tcPr>
          <w:p>
            <w:pPr>
              <w:pStyle w:val="TableText"/>
              <w:ind w:left="495"/>
              <w:spacing w:before="56" w:line="223" w:lineRule="auto"/>
              <w:rPr/>
            </w:pPr>
            <w:r>
              <w:rPr>
                <w:spacing w:val="8"/>
              </w:rPr>
              <w:t>粗破碎车间</w:t>
            </w:r>
          </w:p>
          <w:p>
            <w:pPr>
              <w:pStyle w:val="TableText"/>
              <w:ind w:left="492"/>
              <w:spacing w:before="32" w:line="219" w:lineRule="auto"/>
              <w:rPr/>
            </w:pPr>
            <w:r>
              <w:rPr>
                <w:spacing w:val="12"/>
              </w:rPr>
              <w:t>（无组织）</w:t>
            </w:r>
          </w:p>
        </w:tc>
        <w:tc>
          <w:tcPr>
            <w:tcW w:w="1305" w:type="dxa"/>
            <w:vAlign w:val="top"/>
          </w:tcPr>
          <w:p>
            <w:pPr>
              <w:ind w:left="475"/>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514"/>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76.87</w:t>
            </w:r>
          </w:p>
        </w:tc>
        <w:tc>
          <w:tcPr>
            <w:tcW w:w="1343" w:type="dxa"/>
            <w:vAlign w:val="top"/>
          </w:tcPr>
          <w:p>
            <w:pPr>
              <w:ind w:left="497"/>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8.54</w:t>
            </w:r>
          </w:p>
        </w:tc>
        <w:tc>
          <w:tcPr>
            <w:tcW w:w="1441" w:type="dxa"/>
            <w:vAlign w:val="top"/>
            <w:tcBorders>
              <w:right w:val="nil"/>
            </w:tcBorders>
          </w:tcPr>
          <w:p>
            <w:pPr>
              <w:ind w:left="518"/>
              <w:spacing w:before="53" w:line="196" w:lineRule="auto"/>
              <w:rPr>
                <w:rFonts w:ascii="SimSun" w:hAnsi="SimSun" w:eastAsia="SimSun" w:cs="SimSun"/>
                <w:sz w:val="20"/>
                <w:szCs w:val="20"/>
              </w:rPr>
            </w:pPr>
            <w:r>
              <w:rPr>
                <w:rFonts w:ascii="SimSun" w:hAnsi="SimSun" w:eastAsia="SimSun" w:cs="SimSun"/>
                <w:sz w:val="20"/>
                <w:szCs w:val="20"/>
                <w:spacing w:val="3"/>
              </w:rPr>
              <w:t>二级</w:t>
            </w:r>
          </w:p>
        </w:tc>
      </w:tr>
      <w:tr>
        <w:trPr>
          <w:trHeight w:val="297" w:hRule="atLeast"/>
        </w:trPr>
        <w:tc>
          <w:tcPr>
            <w:tcW w:w="2025" w:type="dxa"/>
            <w:vAlign w:val="top"/>
            <w:vMerge w:val="continue"/>
            <w:tcBorders>
              <w:left w:val="nil"/>
              <w:bottom w:val="single" w:color="000000" w:sz="10" w:space="0"/>
              <w:top w:val="nil"/>
            </w:tcBorders>
          </w:tcPr>
          <w:p>
            <w:pPr>
              <w:rPr>
                <w:rFonts w:ascii="Arial"/>
                <w:sz w:val="21"/>
              </w:rPr>
            </w:pPr>
            <w:r/>
          </w:p>
        </w:tc>
        <w:tc>
          <w:tcPr>
            <w:tcW w:w="1305" w:type="dxa"/>
            <w:vAlign w:val="top"/>
            <w:tcBorders>
              <w:bottom w:val="single" w:color="000000" w:sz="10" w:space="0"/>
            </w:tcBorders>
          </w:tcPr>
          <w:p>
            <w:pPr>
              <w:pStyle w:val="TableText"/>
              <w:ind w:left="354"/>
              <w:spacing w:before="55" w:line="214" w:lineRule="auto"/>
              <w:rPr/>
            </w:pPr>
            <w:r>
              <w:rPr>
                <w:spacing w:val="3"/>
              </w:rPr>
              <w:t>氟化物</w:t>
            </w:r>
          </w:p>
        </w:tc>
        <w:tc>
          <w:tcPr>
            <w:tcW w:w="1305" w:type="dxa"/>
            <w:vAlign w:val="top"/>
            <w:tcBorders>
              <w:bottom w:val="single" w:color="000000" w:sz="10" w:space="0"/>
            </w:tcBorders>
          </w:tcPr>
          <w:p>
            <w:pPr>
              <w:ind w:left="548"/>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Borders>
              <w:bottom w:val="single" w:color="000000" w:sz="10" w:space="0"/>
            </w:tcBorders>
          </w:tcPr>
          <w:p>
            <w:pPr>
              <w:ind w:left="58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tcW w:w="1343" w:type="dxa"/>
            <w:vAlign w:val="top"/>
            <w:tcBorders>
              <w:bottom w:val="single" w:color="000000" w:sz="10" w:space="0"/>
            </w:tcBorders>
          </w:tcPr>
          <w:p>
            <w:pPr>
              <w:ind w:left="49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441" w:type="dxa"/>
            <w:vAlign w:val="top"/>
            <w:tcBorders>
              <w:right w:val="nil"/>
              <w:bottom w:val="single" w:color="000000" w:sz="10" w:space="0"/>
            </w:tcBorders>
          </w:tcPr>
          <w:p>
            <w:pPr>
              <w:ind w:left="518"/>
              <w:spacing w:before="54" w:line="215" w:lineRule="auto"/>
              <w:rPr>
                <w:rFonts w:ascii="SimSun" w:hAnsi="SimSun" w:eastAsia="SimSun" w:cs="SimSun"/>
                <w:sz w:val="20"/>
                <w:szCs w:val="20"/>
              </w:rPr>
            </w:pPr>
            <w:r>
              <w:rPr>
                <w:rFonts w:ascii="SimSun" w:hAnsi="SimSun" w:eastAsia="SimSun" w:cs="SimSun"/>
                <w:sz w:val="20"/>
                <w:szCs w:val="20"/>
                <w:spacing w:val="3"/>
              </w:rPr>
              <w:t>二级</w:t>
            </w:r>
          </w:p>
        </w:tc>
      </w:tr>
    </w:tbl>
    <w:p>
      <w:pPr>
        <w:pStyle w:val="BodyText"/>
        <w:rPr/>
      </w:pPr>
      <w:r/>
    </w:p>
    <w:p>
      <w:pPr>
        <w:sectPr>
          <w:footerReference w:type="default" r:id="rId66"/>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5"/>
        <w:gridCol w:w="1305"/>
        <w:gridCol w:w="1305"/>
        <w:gridCol w:w="1488"/>
        <w:gridCol w:w="1343"/>
        <w:gridCol w:w="1441"/>
      </w:tblGrid>
      <w:tr>
        <w:trPr>
          <w:trHeight w:val="277" w:hRule="atLeast"/>
        </w:trPr>
        <w:tc>
          <w:tcPr>
            <w:tcW w:w="2025" w:type="dxa"/>
            <w:vAlign w:val="top"/>
            <w:vMerge w:val="restart"/>
            <w:tcBorders>
              <w:top w:val="single" w:color="000000" w:sz="10" w:space="0"/>
              <w:left w:val="nil"/>
              <w:bottom w:val="nil"/>
            </w:tcBorders>
          </w:tcPr>
          <w:p>
            <w:pPr>
              <w:pStyle w:val="TableText"/>
              <w:ind w:left="502"/>
              <w:spacing w:before="41" w:line="223" w:lineRule="auto"/>
              <w:rPr/>
            </w:pPr>
            <w:r>
              <w:rPr>
                <w:spacing w:val="6"/>
              </w:rPr>
              <w:t>细破碎车间</w:t>
            </w:r>
          </w:p>
          <w:p>
            <w:pPr>
              <w:pStyle w:val="TableText"/>
              <w:ind w:left="492"/>
              <w:spacing w:before="29" w:line="215" w:lineRule="auto"/>
              <w:rPr/>
            </w:pPr>
            <w:r>
              <w:rPr>
                <w:spacing w:val="12"/>
              </w:rPr>
              <w:t>（无组织）</w:t>
            </w:r>
          </w:p>
        </w:tc>
        <w:tc>
          <w:tcPr>
            <w:tcW w:w="1305" w:type="dxa"/>
            <w:vAlign w:val="top"/>
            <w:tcBorders>
              <w:top w:val="single" w:color="000000" w:sz="10" w:space="0"/>
            </w:tcBorders>
          </w:tcPr>
          <w:p>
            <w:pPr>
              <w:ind w:left="47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Borders>
              <w:top w:val="single" w:color="000000" w:sz="10" w:space="0"/>
            </w:tcBorders>
          </w:tcPr>
          <w:p>
            <w:pPr>
              <w:ind w:left="49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Borders>
              <w:top w:val="single" w:color="000000" w:sz="10" w:space="0"/>
            </w:tcBorders>
          </w:tcPr>
          <w:p>
            <w:pPr>
              <w:ind w:left="56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82.7</w:t>
            </w:r>
          </w:p>
        </w:tc>
        <w:tc>
          <w:tcPr>
            <w:tcW w:w="1343" w:type="dxa"/>
            <w:vAlign w:val="top"/>
            <w:tcBorders>
              <w:top w:val="single" w:color="000000" w:sz="10" w:space="0"/>
            </w:tcBorders>
          </w:tcPr>
          <w:p>
            <w:pPr>
              <w:ind w:left="493"/>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9.19</w:t>
            </w:r>
          </w:p>
        </w:tc>
        <w:tc>
          <w:tcPr>
            <w:tcW w:w="1441" w:type="dxa"/>
            <w:vAlign w:val="top"/>
            <w:tcBorders>
              <w:top w:val="single" w:color="000000" w:sz="10" w:space="0"/>
              <w:right w:val="nil"/>
            </w:tcBorders>
          </w:tcPr>
          <w:p>
            <w:pPr>
              <w:ind w:left="518"/>
              <w:spacing w:before="36" w:line="213" w:lineRule="auto"/>
              <w:rPr>
                <w:rFonts w:ascii="SimSun" w:hAnsi="SimSun" w:eastAsia="SimSun" w:cs="SimSun"/>
                <w:sz w:val="20"/>
                <w:szCs w:val="20"/>
              </w:rPr>
            </w:pPr>
            <w:r>
              <w:rPr>
                <w:rFonts w:ascii="SimSun" w:hAnsi="SimSun" w:eastAsia="SimSun" w:cs="SimSun"/>
                <w:sz w:val="20"/>
                <w:szCs w:val="20"/>
                <w:spacing w:val="3"/>
              </w:rPr>
              <w:t>二级</w:t>
            </w:r>
          </w:p>
        </w:tc>
      </w:tr>
      <w:tr>
        <w:trPr>
          <w:trHeight w:val="274" w:hRule="atLeast"/>
        </w:trPr>
        <w:tc>
          <w:tcPr>
            <w:tcW w:w="2025" w:type="dxa"/>
            <w:vAlign w:val="top"/>
            <w:vMerge w:val="continue"/>
            <w:tcBorders>
              <w:top w:val="nil"/>
              <w:left w:val="nil"/>
            </w:tcBorders>
          </w:tcPr>
          <w:p>
            <w:pPr>
              <w:rPr>
                <w:rFonts w:ascii="Arial"/>
                <w:sz w:val="21"/>
              </w:rPr>
            </w:pPr>
            <w:r/>
          </w:p>
        </w:tc>
        <w:tc>
          <w:tcPr>
            <w:tcW w:w="1305" w:type="dxa"/>
            <w:vAlign w:val="top"/>
          </w:tcPr>
          <w:p>
            <w:pPr>
              <w:pStyle w:val="TableText"/>
              <w:ind w:left="354"/>
              <w:spacing w:before="36" w:line="210" w:lineRule="auto"/>
              <w:rPr/>
            </w:pPr>
            <w:r>
              <w:rPr>
                <w:spacing w:val="3"/>
              </w:rPr>
              <w:t>氟化物</w:t>
            </w:r>
          </w:p>
        </w:tc>
        <w:tc>
          <w:tcPr>
            <w:tcW w:w="1305" w:type="dxa"/>
            <w:vAlign w:val="top"/>
          </w:tcPr>
          <w:p>
            <w:pPr>
              <w:ind w:left="54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Pr>
          <w:p>
            <w:pPr>
              <w:ind w:left="58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1.97</w:t>
            </w:r>
          </w:p>
        </w:tc>
        <w:tc>
          <w:tcPr>
            <w:tcW w:w="1343" w:type="dxa"/>
            <w:vAlign w:val="top"/>
          </w:tcPr>
          <w:p>
            <w:pPr>
              <w:ind w:left="49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9.84</w:t>
            </w:r>
          </w:p>
        </w:tc>
        <w:tc>
          <w:tcPr>
            <w:tcW w:w="1441" w:type="dxa"/>
            <w:vAlign w:val="top"/>
            <w:tcBorders>
              <w:right w:val="nil"/>
            </w:tcBorders>
          </w:tcPr>
          <w:p>
            <w:pPr>
              <w:ind w:left="518"/>
              <w:spacing w:before="35" w:line="211" w:lineRule="auto"/>
              <w:rPr>
                <w:rFonts w:ascii="SimSun" w:hAnsi="SimSun" w:eastAsia="SimSun" w:cs="SimSun"/>
                <w:sz w:val="20"/>
                <w:szCs w:val="20"/>
              </w:rPr>
            </w:pPr>
            <w:r>
              <w:rPr>
                <w:rFonts w:ascii="SimSun" w:hAnsi="SimSun" w:eastAsia="SimSun" w:cs="SimSun"/>
                <w:sz w:val="20"/>
                <w:szCs w:val="20"/>
                <w:spacing w:val="3"/>
              </w:rPr>
              <w:t>二级</w:t>
            </w:r>
          </w:p>
        </w:tc>
      </w:tr>
      <w:tr>
        <w:trPr>
          <w:trHeight w:val="273" w:hRule="atLeast"/>
        </w:trPr>
        <w:tc>
          <w:tcPr>
            <w:tcW w:w="2025" w:type="dxa"/>
            <w:vAlign w:val="top"/>
            <w:vMerge w:val="restart"/>
            <w:tcBorders>
              <w:left w:val="nil"/>
              <w:bottom w:val="nil"/>
            </w:tcBorders>
          </w:tcPr>
          <w:p>
            <w:pPr>
              <w:pStyle w:val="TableText"/>
              <w:ind w:left="492" w:right="490" w:firstLine="114"/>
              <w:spacing w:before="44" w:line="229" w:lineRule="auto"/>
              <w:rPr/>
            </w:pPr>
            <w:r>
              <w:rPr>
                <w:spacing w:val="5"/>
              </w:rPr>
              <w:t>筛分车间</w:t>
            </w:r>
            <w:r>
              <w:rPr>
                <w:spacing w:val="7"/>
              </w:rPr>
              <w:t>（无组织）</w:t>
            </w:r>
          </w:p>
        </w:tc>
        <w:tc>
          <w:tcPr>
            <w:tcW w:w="1305" w:type="dxa"/>
            <w:vAlign w:val="top"/>
          </w:tcPr>
          <w:p>
            <w:pPr>
              <w:ind w:left="47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51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76.87</w:t>
            </w:r>
          </w:p>
        </w:tc>
        <w:tc>
          <w:tcPr>
            <w:tcW w:w="1343" w:type="dxa"/>
            <w:vAlign w:val="top"/>
          </w:tcPr>
          <w:p>
            <w:pPr>
              <w:ind w:left="50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1.54</w:t>
            </w:r>
          </w:p>
        </w:tc>
        <w:tc>
          <w:tcPr>
            <w:tcW w:w="1441" w:type="dxa"/>
            <w:vAlign w:val="top"/>
            <w:tcBorders>
              <w:right w:val="nil"/>
            </w:tcBorders>
          </w:tcPr>
          <w:p>
            <w:pPr>
              <w:ind w:left="518"/>
              <w:spacing w:before="39" w:line="206" w:lineRule="auto"/>
              <w:rPr>
                <w:rFonts w:ascii="SimSun" w:hAnsi="SimSun" w:eastAsia="SimSun" w:cs="SimSun"/>
                <w:sz w:val="20"/>
                <w:szCs w:val="20"/>
              </w:rPr>
            </w:pPr>
            <w:r>
              <w:rPr>
                <w:rFonts w:ascii="SimSun" w:hAnsi="SimSun" w:eastAsia="SimSun" w:cs="SimSun"/>
                <w:sz w:val="20"/>
                <w:szCs w:val="20"/>
                <w:spacing w:val="3"/>
              </w:rPr>
              <w:t>二级</w:t>
            </w:r>
          </w:p>
        </w:tc>
      </w:tr>
      <w:tr>
        <w:trPr>
          <w:trHeight w:val="273" w:hRule="atLeast"/>
        </w:trPr>
        <w:tc>
          <w:tcPr>
            <w:tcW w:w="2025" w:type="dxa"/>
            <w:vAlign w:val="top"/>
            <w:vMerge w:val="continue"/>
            <w:tcBorders>
              <w:left w:val="nil"/>
              <w:top w:val="nil"/>
            </w:tcBorders>
          </w:tcPr>
          <w:p>
            <w:pPr>
              <w:rPr>
                <w:rFonts w:ascii="Arial"/>
                <w:sz w:val="21"/>
              </w:rPr>
            </w:pPr>
            <w:r/>
          </w:p>
        </w:tc>
        <w:tc>
          <w:tcPr>
            <w:tcW w:w="1305" w:type="dxa"/>
            <w:vAlign w:val="top"/>
          </w:tcPr>
          <w:p>
            <w:pPr>
              <w:pStyle w:val="TableText"/>
              <w:ind w:left="354"/>
              <w:spacing w:before="45" w:line="201" w:lineRule="auto"/>
              <w:rPr/>
            </w:pPr>
            <w:r>
              <w:rPr>
                <w:spacing w:val="3"/>
              </w:rPr>
              <w:t>氟化物</w:t>
            </w:r>
          </w:p>
        </w:tc>
        <w:tc>
          <w:tcPr>
            <w:tcW w:w="1305" w:type="dxa"/>
            <w:vAlign w:val="top"/>
          </w:tcPr>
          <w:p>
            <w:pPr>
              <w:ind w:left="548"/>
              <w:spacing w:before="8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Pr>
          <w:p>
            <w:pPr>
              <w:ind w:left="581"/>
              <w:spacing w:before="8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tcW w:w="1343" w:type="dxa"/>
            <w:vAlign w:val="top"/>
          </w:tcPr>
          <w:p>
            <w:pPr>
              <w:ind w:left="493"/>
              <w:spacing w:before="8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441" w:type="dxa"/>
            <w:vAlign w:val="top"/>
            <w:tcBorders>
              <w:right w:val="nil"/>
            </w:tcBorders>
          </w:tcPr>
          <w:p>
            <w:pPr>
              <w:ind w:left="518"/>
              <w:spacing w:before="44" w:line="202" w:lineRule="auto"/>
              <w:rPr>
                <w:rFonts w:ascii="SimSun" w:hAnsi="SimSun" w:eastAsia="SimSun" w:cs="SimSun"/>
                <w:sz w:val="20"/>
                <w:szCs w:val="20"/>
              </w:rPr>
            </w:pPr>
            <w:r>
              <w:rPr>
                <w:rFonts w:ascii="SimSun" w:hAnsi="SimSun" w:eastAsia="SimSun" w:cs="SimSun"/>
                <w:sz w:val="20"/>
                <w:szCs w:val="20"/>
                <w:spacing w:val="3"/>
              </w:rPr>
              <w:t>二级</w:t>
            </w:r>
          </w:p>
        </w:tc>
      </w:tr>
      <w:tr>
        <w:trPr>
          <w:trHeight w:val="274" w:hRule="atLeast"/>
        </w:trPr>
        <w:tc>
          <w:tcPr>
            <w:tcW w:w="2025" w:type="dxa"/>
            <w:vAlign w:val="top"/>
            <w:vMerge w:val="restart"/>
            <w:tcBorders>
              <w:bottom w:val="nil"/>
              <w:left w:val="nil"/>
            </w:tcBorders>
          </w:tcPr>
          <w:p>
            <w:pPr>
              <w:pStyle w:val="TableText"/>
              <w:ind w:left="492" w:right="490" w:firstLine="214"/>
              <w:spacing w:before="53" w:line="236" w:lineRule="auto"/>
              <w:rPr/>
            </w:pPr>
            <w:r>
              <w:rPr>
                <w:spacing w:val="6"/>
              </w:rPr>
              <w:t>粉矿仓</w:t>
            </w:r>
            <w:r>
              <w:rPr/>
              <w:t xml:space="preserve"> </w:t>
            </w:r>
            <w:r>
              <w:rPr>
                <w:spacing w:val="7"/>
              </w:rPr>
              <w:t>（无组织）</w:t>
            </w:r>
          </w:p>
        </w:tc>
        <w:tc>
          <w:tcPr>
            <w:tcW w:w="1305" w:type="dxa"/>
            <w:vAlign w:val="top"/>
          </w:tcPr>
          <w:p>
            <w:pPr>
              <w:ind w:left="475"/>
              <w:spacing w:before="8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1305" w:type="dxa"/>
            <w:vAlign w:val="top"/>
          </w:tcPr>
          <w:p>
            <w:pPr>
              <w:ind w:left="499"/>
              <w:spacing w:before="8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88" w:type="dxa"/>
            <w:vAlign w:val="top"/>
          </w:tcPr>
          <w:p>
            <w:pPr>
              <w:ind w:left="530"/>
              <w:spacing w:before="8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13.86</w:t>
            </w:r>
          </w:p>
        </w:tc>
        <w:tc>
          <w:tcPr>
            <w:tcW w:w="1343" w:type="dxa"/>
            <w:vAlign w:val="top"/>
          </w:tcPr>
          <w:p>
            <w:pPr>
              <w:ind w:left="493"/>
              <w:spacing w:before="8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9.64</w:t>
            </w:r>
          </w:p>
        </w:tc>
        <w:tc>
          <w:tcPr>
            <w:tcW w:w="1441" w:type="dxa"/>
            <w:vAlign w:val="top"/>
            <w:tcBorders>
              <w:right w:val="nil"/>
            </w:tcBorders>
          </w:tcPr>
          <w:p>
            <w:pPr>
              <w:ind w:left="518"/>
              <w:spacing w:before="47" w:line="200" w:lineRule="auto"/>
              <w:rPr>
                <w:rFonts w:ascii="SimSun" w:hAnsi="SimSun" w:eastAsia="SimSun" w:cs="SimSun"/>
                <w:sz w:val="20"/>
                <w:szCs w:val="20"/>
              </w:rPr>
            </w:pPr>
            <w:r>
              <w:rPr>
                <w:rFonts w:ascii="SimSun" w:hAnsi="SimSun" w:eastAsia="SimSun" w:cs="SimSun"/>
                <w:sz w:val="20"/>
                <w:szCs w:val="20"/>
                <w:spacing w:val="3"/>
              </w:rPr>
              <w:t>二级</w:t>
            </w:r>
          </w:p>
        </w:tc>
      </w:tr>
      <w:tr>
        <w:trPr>
          <w:trHeight w:val="296" w:hRule="atLeast"/>
        </w:trPr>
        <w:tc>
          <w:tcPr>
            <w:tcW w:w="2025" w:type="dxa"/>
            <w:vAlign w:val="top"/>
            <w:vMerge w:val="continue"/>
            <w:tcBorders>
              <w:bottom w:val="single" w:color="000000" w:sz="10" w:space="0"/>
              <w:left w:val="nil"/>
              <w:top w:val="nil"/>
            </w:tcBorders>
          </w:tcPr>
          <w:p>
            <w:pPr>
              <w:rPr>
                <w:rFonts w:ascii="Arial"/>
                <w:sz w:val="21"/>
              </w:rPr>
            </w:pPr>
            <w:r/>
          </w:p>
        </w:tc>
        <w:tc>
          <w:tcPr>
            <w:tcW w:w="1305" w:type="dxa"/>
            <w:vAlign w:val="top"/>
            <w:tcBorders>
              <w:bottom w:val="single" w:color="000000" w:sz="10" w:space="0"/>
            </w:tcBorders>
          </w:tcPr>
          <w:p>
            <w:pPr>
              <w:pStyle w:val="TableText"/>
              <w:ind w:left="354"/>
              <w:spacing w:before="51" w:line="216" w:lineRule="auto"/>
              <w:rPr/>
            </w:pPr>
            <w:r>
              <w:rPr>
                <w:spacing w:val="3"/>
              </w:rPr>
              <w:t>氟化物</w:t>
            </w:r>
          </w:p>
        </w:tc>
        <w:tc>
          <w:tcPr>
            <w:tcW w:w="1305" w:type="dxa"/>
            <w:vAlign w:val="top"/>
            <w:tcBorders>
              <w:bottom w:val="single" w:color="000000" w:sz="10" w:space="0"/>
            </w:tcBorders>
          </w:tcPr>
          <w:p>
            <w:pPr>
              <w:ind w:left="548"/>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88" w:type="dxa"/>
            <w:vAlign w:val="top"/>
            <w:tcBorders>
              <w:bottom w:val="single" w:color="000000" w:sz="10" w:space="0"/>
            </w:tcBorders>
          </w:tcPr>
          <w:p>
            <w:pPr>
              <w:ind w:left="617"/>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w:t>
            </w:r>
          </w:p>
        </w:tc>
        <w:tc>
          <w:tcPr>
            <w:tcW w:w="1343" w:type="dxa"/>
            <w:vAlign w:val="top"/>
            <w:tcBorders>
              <w:bottom w:val="single" w:color="000000" w:sz="10" w:space="0"/>
            </w:tcBorders>
          </w:tcPr>
          <w:p>
            <w:pPr>
              <w:ind w:left="488"/>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4.51</w:t>
            </w:r>
          </w:p>
        </w:tc>
        <w:tc>
          <w:tcPr>
            <w:tcW w:w="1441" w:type="dxa"/>
            <w:vAlign w:val="top"/>
            <w:tcBorders>
              <w:bottom w:val="single" w:color="000000" w:sz="10" w:space="0"/>
              <w:right w:val="nil"/>
            </w:tcBorders>
          </w:tcPr>
          <w:p>
            <w:pPr>
              <w:ind w:left="518"/>
              <w:spacing w:before="51" w:line="216" w:lineRule="auto"/>
              <w:rPr>
                <w:rFonts w:ascii="SimSun" w:hAnsi="SimSun" w:eastAsia="SimSun" w:cs="SimSun"/>
                <w:sz w:val="20"/>
                <w:szCs w:val="20"/>
              </w:rPr>
            </w:pPr>
            <w:r>
              <w:rPr>
                <w:rFonts w:ascii="SimSun" w:hAnsi="SimSun" w:eastAsia="SimSun" w:cs="SimSun"/>
                <w:sz w:val="20"/>
                <w:szCs w:val="20"/>
                <w:spacing w:val="3"/>
              </w:rPr>
              <w:t>二级</w:t>
            </w:r>
          </w:p>
        </w:tc>
      </w:tr>
    </w:tbl>
    <w:p>
      <w:pPr>
        <w:pStyle w:val="BodyText"/>
        <w:spacing w:line="371" w:lineRule="auto"/>
        <w:rPr/>
      </w:pPr>
      <w:r/>
    </w:p>
    <w:p>
      <w:pPr>
        <w:ind w:left="609"/>
        <w:spacing w:before="78" w:line="22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）等级判定</w:t>
      </w:r>
    </w:p>
    <w:p>
      <w:pPr>
        <w:ind w:left="125" w:firstLine="480"/>
        <w:spacing w:before="128" w:line="355" w:lineRule="auto"/>
        <w:rPr>
          <w:rFonts w:ascii="FangSong" w:hAnsi="FangSong" w:eastAsia="FangSong" w:cs="FangSong"/>
          <w:sz w:val="24"/>
          <w:szCs w:val="24"/>
        </w:rPr>
      </w:pPr>
      <w:r>
        <w:rPr>
          <w:rFonts w:ascii="FangSong" w:hAnsi="FangSong" w:eastAsia="FangSong" w:cs="FangSong"/>
          <w:sz w:val="24"/>
          <w:szCs w:val="24"/>
          <w:spacing w:val="-8"/>
        </w:rPr>
        <w:t>根据估算模式预测结果，在正常排放工况下，本项目</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8"/>
        </w:rPr>
        <w:t>P</w:t>
      </w:r>
      <w:r>
        <w:rPr>
          <w:rFonts w:ascii="Times New Roman" w:hAnsi="Times New Roman" w:eastAsia="Times New Roman" w:cs="Times New Roman"/>
          <w:sz w:val="15"/>
          <w:szCs w:val="15"/>
          <w:spacing w:val="-8"/>
          <w:position w:val="-1"/>
        </w:rPr>
        <w:t>max</w:t>
      </w:r>
      <w:r>
        <w:rPr>
          <w:rFonts w:ascii="Times New Roman" w:hAnsi="Times New Roman" w:eastAsia="Times New Roman" w:cs="Times New Roman"/>
          <w:sz w:val="24"/>
          <w:szCs w:val="24"/>
          <w:spacing w:val="-8"/>
        </w:rPr>
        <w:t>=9.84%</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1%≤P</w:t>
      </w:r>
      <w:r>
        <w:rPr>
          <w:rFonts w:ascii="Times New Roman" w:hAnsi="Times New Roman" w:eastAsia="Times New Roman" w:cs="Times New Roman"/>
          <w:sz w:val="15"/>
          <w:szCs w:val="15"/>
          <w:spacing w:val="-8"/>
          <w:position w:val="-1"/>
        </w:rPr>
        <w:t>max</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10%</w:t>
      </w:r>
      <w:r>
        <w:rPr>
          <w:rFonts w:ascii="FangSong" w:hAnsi="FangSong" w:eastAsia="FangSong" w:cs="FangSong"/>
          <w:sz w:val="24"/>
          <w:szCs w:val="24"/>
          <w:spacing w:val="-8"/>
        </w:rPr>
        <w:t>，</w:t>
      </w:r>
      <w:r>
        <w:rPr>
          <w:rFonts w:ascii="FangSong" w:hAnsi="FangSong" w:eastAsia="FangSong" w:cs="FangSong"/>
          <w:sz w:val="24"/>
          <w:szCs w:val="24"/>
          <w:spacing w:val="-1"/>
        </w:rPr>
        <w:t>根据评价工作等级判定表，本项目大气环境评价工作级别为二级。</w:t>
      </w:r>
    </w:p>
    <w:p>
      <w:pPr>
        <w:ind w:left="114"/>
        <w:spacing w:before="57"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2.5.2.2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评价范围</w:t>
      </w:r>
    </w:p>
    <w:p>
      <w:pPr>
        <w:ind w:left="125" w:firstLine="480"/>
        <w:spacing w:before="176" w:line="360" w:lineRule="auto"/>
        <w:rPr>
          <w:rFonts w:ascii="FangSong" w:hAnsi="FangSong" w:eastAsia="FangSong" w:cs="FangSong"/>
          <w:sz w:val="24"/>
          <w:szCs w:val="24"/>
        </w:rPr>
      </w:pPr>
      <w:r>
        <w:rPr>
          <w:rFonts w:ascii="FangSong" w:hAnsi="FangSong" w:eastAsia="FangSong" w:cs="FangSong"/>
          <w:sz w:val="24"/>
          <w:szCs w:val="24"/>
          <w:spacing w:val="-9"/>
        </w:rPr>
        <w:t>本次大气影响评价范围以项目区为中心，边长</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9"/>
        </w:rPr>
        <w:t>5km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9"/>
        </w:rPr>
        <w:t>的矩形区域，面</w:t>
      </w:r>
      <w:r>
        <w:rPr>
          <w:rFonts w:ascii="FangSong" w:hAnsi="FangSong" w:eastAsia="FangSong" w:cs="FangSong"/>
          <w:sz w:val="24"/>
          <w:szCs w:val="24"/>
          <w:spacing w:val="-10"/>
        </w:rPr>
        <w:t>积为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0"/>
        </w:rPr>
        <w:t>14.99km</w:t>
      </w:r>
      <w:r>
        <w:rPr>
          <w:rFonts w:ascii="Times New Roman" w:hAnsi="Times New Roman" w:eastAsia="Times New Roman" w:cs="Times New Roman"/>
          <w:sz w:val="15"/>
          <w:szCs w:val="15"/>
          <w:spacing w:val="-10"/>
          <w:position w:val="7"/>
        </w:rPr>
        <w:t>2</w:t>
      </w:r>
      <w:r>
        <w:rPr>
          <w:rFonts w:ascii="FangSong" w:hAnsi="FangSong" w:eastAsia="FangSong" w:cs="FangSong"/>
          <w:sz w:val="24"/>
          <w:szCs w:val="24"/>
          <w:spacing w:val="-10"/>
        </w:rPr>
        <w:t>，</w:t>
      </w:r>
      <w:r>
        <w:rPr>
          <w:rFonts w:ascii="FangSong" w:hAnsi="FangSong" w:eastAsia="FangSong" w:cs="FangSong"/>
          <w:sz w:val="24"/>
          <w:szCs w:val="24"/>
          <w:spacing w:val="-3"/>
        </w:rPr>
        <w:t>评价范围见附图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2-2</w:t>
      </w:r>
      <w:r>
        <w:rPr>
          <w:rFonts w:ascii="FangSong" w:hAnsi="FangSong" w:eastAsia="FangSong" w:cs="FangSong"/>
          <w:sz w:val="24"/>
          <w:szCs w:val="24"/>
          <w:spacing w:val="-3"/>
        </w:rPr>
        <w:t>。</w:t>
      </w:r>
    </w:p>
    <w:p>
      <w:pPr>
        <w:ind w:left="114"/>
        <w:spacing w:line="222" w:lineRule="auto"/>
        <w:outlineLvl w:val="2"/>
        <w:rPr>
          <w:rFonts w:ascii="FangSong" w:hAnsi="FangSong" w:eastAsia="FangSong" w:cs="FangSong"/>
          <w:sz w:val="24"/>
          <w:szCs w:val="24"/>
        </w:rPr>
      </w:pPr>
      <w:bookmarkStart w:name="bookmark71" w:id="99"/>
      <w:bookmarkEnd w:id="99"/>
      <w:bookmarkStart w:name="bookmark70" w:id="100"/>
      <w:bookmarkEnd w:id="100"/>
      <w:r>
        <w:rPr>
          <w:rFonts w:ascii="Times New Roman" w:hAnsi="Times New Roman" w:eastAsia="Times New Roman" w:cs="Times New Roman"/>
          <w:sz w:val="24"/>
          <w:szCs w:val="24"/>
          <w:b/>
          <w:bCs/>
          <w:spacing w:val="-4"/>
        </w:rPr>
        <w:t>2.5.3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声环境</w:t>
      </w:r>
    </w:p>
    <w:p>
      <w:pPr>
        <w:ind w:left="114"/>
        <w:spacing w:before="177"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2.5.3.1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评价等级</w:t>
      </w:r>
    </w:p>
    <w:p>
      <w:pPr>
        <w:ind w:left="123" w:right="185" w:firstLine="481"/>
        <w:spacing w:before="179" w:line="359" w:lineRule="auto"/>
        <w:jc w:val="both"/>
        <w:rPr>
          <w:rFonts w:ascii="FangSong" w:hAnsi="FangSong" w:eastAsia="FangSong" w:cs="FangSong"/>
          <w:sz w:val="24"/>
          <w:szCs w:val="24"/>
        </w:rPr>
      </w:pPr>
      <w:r>
        <w:rPr>
          <w:rFonts w:ascii="FangSong" w:hAnsi="FangSong" w:eastAsia="FangSong" w:cs="FangSong"/>
          <w:sz w:val="24"/>
          <w:szCs w:val="24"/>
          <w:spacing w:val="-1"/>
        </w:rPr>
        <w:t>根据《项目环境影响评价技术导则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声环境》（</w:t>
      </w:r>
      <w:r>
        <w:rPr>
          <w:rFonts w:ascii="Times New Roman" w:hAnsi="Times New Roman" w:eastAsia="Times New Roman" w:cs="Times New Roman"/>
          <w:sz w:val="24"/>
          <w:szCs w:val="24"/>
          <w:spacing w:val="-1"/>
        </w:rPr>
        <w:t>HJ 2.4-2021</w:t>
      </w:r>
      <w:r>
        <w:rPr>
          <w:rFonts w:ascii="FangSong" w:hAnsi="FangSong" w:eastAsia="FangSong" w:cs="FangSong"/>
          <w:sz w:val="24"/>
          <w:szCs w:val="24"/>
          <w:spacing w:val="-1"/>
        </w:rPr>
        <w:t>）</w:t>
      </w:r>
      <w:r>
        <w:rPr>
          <w:rFonts w:ascii="FangSong" w:hAnsi="FangSong" w:eastAsia="FangSong" w:cs="FangSong"/>
          <w:sz w:val="24"/>
          <w:szCs w:val="24"/>
          <w:spacing w:val="-60"/>
        </w:rPr>
        <w:t xml:space="preserve"> </w:t>
      </w:r>
      <w:r>
        <w:rPr>
          <w:rFonts w:ascii="FangSong" w:hAnsi="FangSong" w:eastAsia="FangSong" w:cs="FangSong"/>
          <w:sz w:val="24"/>
          <w:szCs w:val="24"/>
          <w:spacing w:val="-1"/>
        </w:rPr>
        <w:t>中</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5.1.4</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1"/>
        </w:rPr>
        <w:t>所述“建</w:t>
      </w:r>
      <w:r>
        <w:rPr>
          <w:rFonts w:ascii="FangSong" w:hAnsi="FangSong" w:eastAsia="FangSong" w:cs="FangSong"/>
          <w:sz w:val="24"/>
          <w:szCs w:val="24"/>
          <w:spacing w:val="-1"/>
        </w:rPr>
        <w:t>设项目所处的声环境功能区为《声环境质量标准》（</w:t>
      </w:r>
      <w:r>
        <w:rPr>
          <w:rFonts w:ascii="Times New Roman" w:hAnsi="Times New Roman" w:eastAsia="Times New Roman" w:cs="Times New Roman"/>
          <w:sz w:val="24"/>
          <w:szCs w:val="24"/>
          <w:spacing w:val="-1"/>
        </w:rPr>
        <w:t>GB3096-2008</w:t>
      </w:r>
      <w:r>
        <w:rPr>
          <w:rFonts w:ascii="FangSong" w:hAnsi="FangSong" w:eastAsia="FangSong" w:cs="FangSong"/>
          <w:sz w:val="24"/>
          <w:szCs w:val="24"/>
          <w:spacing w:val="-1"/>
        </w:rPr>
        <w:t>）规定的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类、</w:t>
      </w:r>
      <w:r>
        <w:rPr>
          <w:rFonts w:ascii="Times New Roman" w:hAnsi="Times New Roman" w:eastAsia="Times New Roman" w:cs="Times New Roman"/>
          <w:sz w:val="24"/>
          <w:szCs w:val="24"/>
          <w:spacing w:val="-2"/>
        </w:rPr>
        <w:t>4</w:t>
      </w:r>
      <w:r>
        <w:rPr>
          <w:rFonts w:ascii="FangSong" w:hAnsi="FangSong" w:eastAsia="FangSong" w:cs="FangSong"/>
          <w:sz w:val="24"/>
          <w:szCs w:val="24"/>
          <w:spacing w:val="-3"/>
        </w:rPr>
        <w:t>类地区，或建设项目建设前后评价范围内敏感目标噪声级增量</w:t>
      </w:r>
      <w:r>
        <w:rPr>
          <w:rFonts w:ascii="FangSong" w:hAnsi="FangSong" w:eastAsia="FangSong" w:cs="FangSong"/>
          <w:sz w:val="24"/>
          <w:szCs w:val="24"/>
          <w:spacing w:val="-4"/>
        </w:rPr>
        <w:t>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3dB</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A</w:t>
      </w:r>
      <w:r>
        <w:rPr>
          <w:rFonts w:ascii="FangSong" w:hAnsi="FangSong" w:eastAsia="FangSong" w:cs="FangSong"/>
          <w:sz w:val="24"/>
          <w:szCs w:val="24"/>
          <w:spacing w:val="-4"/>
        </w:rPr>
        <w:t>）以下（不</w:t>
      </w:r>
      <w:r>
        <w:rPr>
          <w:rFonts w:ascii="FangSong" w:hAnsi="FangSong" w:eastAsia="FangSong" w:cs="FangSong"/>
          <w:sz w:val="24"/>
          <w:szCs w:val="24"/>
          <w:spacing w:val="-2"/>
        </w:rPr>
        <w:t>含</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3dB</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A</w:t>
      </w:r>
      <w:r>
        <w:rPr>
          <w:rFonts w:ascii="FangSong" w:hAnsi="FangSong" w:eastAsia="FangSong" w:cs="FangSong"/>
          <w:sz w:val="24"/>
          <w:szCs w:val="24"/>
          <w:spacing w:val="9"/>
        </w:rPr>
        <w:t>）），</w:t>
      </w:r>
      <w:r>
        <w:rPr>
          <w:rFonts w:ascii="FangSong" w:hAnsi="FangSong" w:eastAsia="FangSong" w:cs="FangSong"/>
          <w:sz w:val="24"/>
          <w:szCs w:val="24"/>
          <w:spacing w:val="-2"/>
        </w:rPr>
        <w:t>且受影响人口数量变化不大时，按三级评价</w:t>
      </w:r>
      <w:r>
        <w:rPr>
          <w:rFonts w:ascii="FangSong" w:hAnsi="FangSong" w:eastAsia="FangSong" w:cs="FangSong"/>
          <w:sz w:val="24"/>
          <w:szCs w:val="24"/>
          <w:spacing w:val="-88"/>
        </w:rPr>
        <w:t xml:space="preserve"> </w:t>
      </w:r>
      <w:r>
        <w:rPr>
          <w:rFonts w:ascii="FangSong" w:hAnsi="FangSong" w:eastAsia="FangSong" w:cs="FangSong"/>
          <w:sz w:val="24"/>
          <w:szCs w:val="24"/>
          <w:spacing w:val="-2"/>
        </w:rPr>
        <w:t>”。</w:t>
      </w:r>
    </w:p>
    <w:p>
      <w:pPr>
        <w:ind w:left="124" w:right="183" w:firstLine="480"/>
        <w:spacing w:before="3" w:line="358" w:lineRule="auto"/>
        <w:jc w:val="both"/>
        <w:rPr>
          <w:rFonts w:ascii="FangSong" w:hAnsi="FangSong" w:eastAsia="FangSong" w:cs="FangSong"/>
          <w:sz w:val="24"/>
          <w:szCs w:val="24"/>
        </w:rPr>
      </w:pPr>
      <w:r>
        <w:rPr>
          <w:rFonts w:ascii="FangSong" w:hAnsi="FangSong" w:eastAsia="FangSong" w:cs="FangSong"/>
          <w:sz w:val="24"/>
          <w:szCs w:val="24"/>
          <w:spacing w:val="-2"/>
        </w:rPr>
        <w:t>本项目位于位于苏尼特右旗旗政府所在地赛</w:t>
      </w:r>
      <w:r>
        <w:rPr>
          <w:rFonts w:ascii="FangSong" w:hAnsi="FangSong" w:eastAsia="FangSong" w:cs="FangSong"/>
          <w:sz w:val="24"/>
          <w:szCs w:val="24"/>
          <w:spacing w:val="-3"/>
        </w:rPr>
        <w:t>汉塔拉镇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25°</w:t>
      </w:r>
      <w:r>
        <w:rPr>
          <w:rFonts w:ascii="FangSong" w:hAnsi="FangSong" w:eastAsia="FangSong" w:cs="FangSong"/>
          <w:sz w:val="24"/>
          <w:szCs w:val="24"/>
          <w:spacing w:val="-3"/>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40km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处，声</w:t>
      </w:r>
      <w:r>
        <w:rPr>
          <w:rFonts w:ascii="FangSong" w:hAnsi="FangSong" w:eastAsia="FangSong" w:cs="FangSong"/>
          <w:sz w:val="24"/>
          <w:szCs w:val="24"/>
          <w:spacing w:val="-5"/>
        </w:rPr>
        <w:t>环境划分为《声环境质量标准》（</w:t>
      </w:r>
      <w:r>
        <w:rPr>
          <w:rFonts w:ascii="Times New Roman" w:hAnsi="Times New Roman" w:eastAsia="Times New Roman" w:cs="Times New Roman"/>
          <w:sz w:val="24"/>
          <w:szCs w:val="24"/>
          <w:spacing w:val="-5"/>
        </w:rPr>
        <w:t>GB3096-2008</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5"/>
        </w:rPr>
        <w:t>类区，且建设项目厂界周围</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200m</w:t>
      </w:r>
      <w:r>
        <w:rPr>
          <w:rFonts w:ascii="FangSong" w:hAnsi="FangSong" w:eastAsia="FangSong" w:cs="FangSong"/>
          <w:sz w:val="24"/>
          <w:szCs w:val="24"/>
          <w:spacing w:val="-1"/>
        </w:rPr>
        <w:t>范围内无声环境敏感目标，因此判定本项目声环境影响评价工作等级为三级。</w:t>
      </w:r>
    </w:p>
    <w:p>
      <w:pPr>
        <w:ind w:left="114"/>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2.5.3.2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评价范围</w:t>
      </w:r>
    </w:p>
    <w:p>
      <w:pPr>
        <w:ind w:left="125" w:right="183" w:firstLine="480"/>
        <w:spacing w:before="180" w:line="359" w:lineRule="auto"/>
        <w:jc w:val="both"/>
        <w:rPr>
          <w:rFonts w:ascii="FangSong" w:hAnsi="FangSong" w:eastAsia="FangSong" w:cs="FangSong"/>
          <w:sz w:val="24"/>
          <w:szCs w:val="24"/>
        </w:rPr>
      </w:pPr>
      <w:r>
        <w:rPr>
          <w:rFonts w:ascii="FangSong" w:hAnsi="FangSong" w:eastAsia="FangSong" w:cs="FangSong"/>
          <w:sz w:val="24"/>
          <w:szCs w:val="24"/>
          <w:spacing w:val="-3"/>
        </w:rPr>
        <w:t>根据《项目环境影响评价技术导则</w:t>
      </w:r>
      <w:r>
        <w:rPr>
          <w:rFonts w:ascii="FangSong" w:hAnsi="FangSong" w:eastAsia="FangSong" w:cs="FangSong"/>
          <w:sz w:val="24"/>
          <w:szCs w:val="24"/>
          <w:spacing w:val="-3"/>
        </w:rPr>
        <w:t xml:space="preserve"> </w:t>
      </w:r>
      <w:r>
        <w:rPr>
          <w:rFonts w:ascii="FangSong" w:hAnsi="FangSong" w:eastAsia="FangSong" w:cs="FangSong"/>
          <w:sz w:val="24"/>
          <w:szCs w:val="24"/>
          <w:spacing w:val="-3"/>
        </w:rPr>
        <w:t>声环境》（</w:t>
      </w:r>
      <w:r>
        <w:rPr>
          <w:rFonts w:ascii="Times New Roman" w:hAnsi="Times New Roman" w:eastAsia="Times New Roman" w:cs="Times New Roman"/>
          <w:sz w:val="24"/>
          <w:szCs w:val="24"/>
          <w:spacing w:val="-3"/>
        </w:rPr>
        <w:t>HJ 2.4-2</w:t>
      </w:r>
      <w:r>
        <w:rPr>
          <w:rFonts w:ascii="Times New Roman" w:hAnsi="Times New Roman" w:eastAsia="Times New Roman" w:cs="Times New Roman"/>
          <w:sz w:val="24"/>
          <w:szCs w:val="24"/>
          <w:spacing w:val="-4"/>
        </w:rPr>
        <w:t>021</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6.1.2</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所述，对于以</w:t>
      </w:r>
      <w:r>
        <w:rPr>
          <w:rFonts w:ascii="FangSong" w:hAnsi="FangSong" w:eastAsia="FangSong" w:cs="FangSong"/>
          <w:sz w:val="24"/>
          <w:szCs w:val="24"/>
          <w:spacing w:val="-2"/>
        </w:rPr>
        <w:t>固定声源为主的建设项目（如工厂、港</w:t>
      </w:r>
      <w:r>
        <w:rPr>
          <w:rFonts w:ascii="FangSong" w:hAnsi="FangSong" w:eastAsia="FangSong" w:cs="FangSong"/>
          <w:sz w:val="24"/>
          <w:szCs w:val="24"/>
          <w:spacing w:val="-59"/>
        </w:rPr>
        <w:t xml:space="preserve"> </w:t>
      </w:r>
      <w:r>
        <w:rPr>
          <w:rFonts w:ascii="FangSong" w:hAnsi="FangSong" w:eastAsia="FangSong" w:cs="FangSong"/>
          <w:sz w:val="24"/>
          <w:szCs w:val="24"/>
          <w:spacing w:val="-2"/>
        </w:rPr>
        <w:t>口、施工工地、铁路站场等</w:t>
      </w:r>
      <w:r>
        <w:rPr>
          <w:rFonts w:ascii="FangSong" w:hAnsi="FangSong" w:eastAsia="FangSong" w:cs="FangSong"/>
          <w:sz w:val="24"/>
          <w:szCs w:val="24"/>
          <w:spacing w:val="23"/>
        </w:rPr>
        <w:t>）：</w:t>
      </w:r>
      <w:r>
        <w:rPr>
          <w:rFonts w:ascii="FangSong" w:hAnsi="FangSong" w:eastAsia="FangSong" w:cs="FangSong"/>
          <w:sz w:val="24"/>
          <w:szCs w:val="24"/>
          <w:spacing w:val="-2"/>
        </w:rPr>
        <w:t>二级、三级</w:t>
      </w:r>
      <w:r>
        <w:rPr>
          <w:rFonts w:ascii="FangSong" w:hAnsi="FangSong" w:eastAsia="FangSong" w:cs="FangSong"/>
          <w:sz w:val="24"/>
          <w:szCs w:val="24"/>
          <w:spacing w:val="1"/>
        </w:rPr>
        <w:t>评价范围可根据建设项目所在区域和相邻区域的声环境功能区类别即敏感目标等实</w:t>
      </w:r>
      <w:r>
        <w:rPr>
          <w:rFonts w:ascii="FangSong" w:hAnsi="FangSong" w:eastAsia="FangSong" w:cs="FangSong"/>
          <w:sz w:val="24"/>
          <w:szCs w:val="24"/>
          <w:spacing w:val="2"/>
        </w:rPr>
        <w:t>际情况适当缩小；如依据建设项目声源计算得到的贡献值到</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200m</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处，仍不能满足</w:t>
      </w:r>
      <w:r>
        <w:rPr>
          <w:rFonts w:ascii="FangSong" w:hAnsi="FangSong" w:eastAsia="FangSong" w:cs="FangSong"/>
          <w:sz w:val="24"/>
          <w:szCs w:val="24"/>
          <w:spacing w:val="-1"/>
        </w:rPr>
        <w:t>相应功能区标准时，应将评价范围扩大到满足标准值的距离。</w:t>
      </w:r>
    </w:p>
    <w:p>
      <w:pPr>
        <w:ind w:left="129" w:right="134" w:firstLine="475"/>
        <w:spacing w:before="3" w:line="359" w:lineRule="auto"/>
        <w:jc w:val="both"/>
        <w:rPr>
          <w:rFonts w:ascii="FangSong" w:hAnsi="FangSong" w:eastAsia="FangSong" w:cs="FangSong"/>
          <w:sz w:val="24"/>
          <w:szCs w:val="24"/>
        </w:rPr>
      </w:pPr>
      <w:r>
        <w:rPr>
          <w:rFonts w:ascii="FangSong" w:hAnsi="FangSong" w:eastAsia="FangSong" w:cs="FangSong"/>
          <w:sz w:val="24"/>
          <w:szCs w:val="24"/>
          <w:spacing w:val="-1"/>
        </w:rPr>
        <w:t>本项目产噪设备均位于工业广场内，故根据《环境影响评价技术导则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声环境》</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HJ2.4-2021</w:t>
      </w:r>
      <w:r>
        <w:rPr>
          <w:rFonts w:ascii="FangSong" w:hAnsi="FangSong" w:eastAsia="FangSong" w:cs="FangSong"/>
          <w:sz w:val="24"/>
          <w:szCs w:val="24"/>
          <w:spacing w:val="-11"/>
        </w:rPr>
        <w:t>），</w:t>
      </w:r>
      <w:r>
        <w:rPr>
          <w:rFonts w:ascii="FangSong" w:hAnsi="FangSong" w:eastAsia="FangSong" w:cs="FangSong"/>
          <w:sz w:val="24"/>
          <w:szCs w:val="24"/>
          <w:spacing w:val="-2"/>
        </w:rPr>
        <w:t>确定本项目声环境评价范围为工业广场场</w:t>
      </w:r>
      <w:r>
        <w:rPr>
          <w:rFonts w:ascii="FangSong" w:hAnsi="FangSong" w:eastAsia="FangSong" w:cs="FangSong"/>
          <w:sz w:val="24"/>
          <w:szCs w:val="24"/>
          <w:spacing w:val="-3"/>
        </w:rPr>
        <w:t>界外延</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200m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范围，面积</w:t>
      </w:r>
      <w:r>
        <w:rPr>
          <w:rFonts w:ascii="FangSong" w:hAnsi="FangSong" w:eastAsia="FangSong" w:cs="FangSong"/>
          <w:sz w:val="24"/>
          <w:szCs w:val="24"/>
          <w:spacing w:val="-4"/>
        </w:rPr>
        <w:t>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4"/>
        </w:rPr>
        <w:t>0.697km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，评价范围见附图</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2-2</w:t>
      </w:r>
      <w:r>
        <w:rPr>
          <w:rFonts w:ascii="FangSong" w:hAnsi="FangSong" w:eastAsia="FangSong" w:cs="FangSong"/>
          <w:sz w:val="24"/>
          <w:szCs w:val="24"/>
          <w:spacing w:val="-4"/>
        </w:rPr>
        <w:t>。</w:t>
      </w:r>
    </w:p>
    <w:p>
      <w:pPr>
        <w:spacing w:line="359" w:lineRule="auto"/>
        <w:sectPr>
          <w:footerReference w:type="default" r:id="rId67"/>
          <w:pgSz w:w="11911" w:h="16839"/>
          <w:pgMar w:top="400" w:right="1232" w:bottom="1146" w:left="1689" w:header="0" w:footer="984" w:gutter="0"/>
        </w:sectPr>
        <w:rPr>
          <w:rFonts w:ascii="FangSong" w:hAnsi="FangSong" w:eastAsia="FangSong" w:cs="FangSong"/>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14"/>
        <w:spacing w:before="78" w:line="222" w:lineRule="auto"/>
        <w:outlineLvl w:val="2"/>
        <w:rPr>
          <w:rFonts w:ascii="FangSong" w:hAnsi="FangSong" w:eastAsia="FangSong" w:cs="FangSong"/>
          <w:sz w:val="24"/>
          <w:szCs w:val="24"/>
        </w:rPr>
      </w:pPr>
      <w:bookmarkStart w:name="bookmark73" w:id="101"/>
      <w:bookmarkEnd w:id="101"/>
      <w:bookmarkStart w:name="bookmark72" w:id="102"/>
      <w:bookmarkEnd w:id="102"/>
      <w:r>
        <w:rPr>
          <w:rFonts w:ascii="Times New Roman" w:hAnsi="Times New Roman" w:eastAsia="Times New Roman" w:cs="Times New Roman"/>
          <w:sz w:val="24"/>
          <w:szCs w:val="24"/>
          <w:b/>
          <w:bCs/>
          <w:spacing w:val="-4"/>
        </w:rPr>
        <w:t>2.5.4</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地下水环境</w:t>
      </w:r>
    </w:p>
    <w:p>
      <w:pPr>
        <w:ind w:left="114"/>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2.5.4.1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评价等级</w:t>
      </w:r>
    </w:p>
    <w:p>
      <w:pPr>
        <w:ind w:left="609"/>
        <w:spacing w:before="176"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）行业分类</w:t>
      </w:r>
    </w:p>
    <w:p>
      <w:pPr>
        <w:ind w:left="124" w:right="106" w:firstLine="480"/>
        <w:spacing w:before="179" w:line="359" w:lineRule="auto"/>
        <w:rPr>
          <w:rFonts w:ascii="FangSong" w:hAnsi="FangSong" w:eastAsia="FangSong" w:cs="FangSong"/>
          <w:sz w:val="24"/>
          <w:szCs w:val="24"/>
        </w:rPr>
      </w:pPr>
      <w:r>
        <w:rPr>
          <w:rFonts w:ascii="FangSong" w:hAnsi="FangSong" w:eastAsia="FangSong" w:cs="FangSong"/>
          <w:sz w:val="24"/>
          <w:szCs w:val="24"/>
          <w:spacing w:val="-3"/>
        </w:rPr>
        <w:t>根据《环境影响评价技术导则</w:t>
      </w:r>
      <w:r>
        <w:rPr>
          <w:rFonts w:ascii="FangSong" w:hAnsi="FangSong" w:eastAsia="FangSong" w:cs="FangSong"/>
          <w:sz w:val="24"/>
          <w:szCs w:val="24"/>
          <w:spacing w:val="-3"/>
        </w:rPr>
        <w:t xml:space="preserve"> </w:t>
      </w:r>
      <w:r>
        <w:rPr>
          <w:rFonts w:ascii="FangSong" w:hAnsi="FangSong" w:eastAsia="FangSong" w:cs="FangSong"/>
          <w:sz w:val="24"/>
          <w:szCs w:val="24"/>
          <w:spacing w:val="-3"/>
        </w:rPr>
        <w:t>地下水环境</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HJ610-2016</w:t>
      </w:r>
      <w:r>
        <w:rPr>
          <w:rFonts w:ascii="FangSong" w:hAnsi="FangSong" w:eastAsia="FangSong" w:cs="FangSong"/>
          <w:sz w:val="24"/>
          <w:szCs w:val="24"/>
          <w:spacing w:val="-4"/>
        </w:rPr>
        <w:t>）附录</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地下水环境</w:t>
      </w:r>
      <w:r>
        <w:rPr>
          <w:rFonts w:ascii="FangSong" w:hAnsi="FangSong" w:eastAsia="FangSong" w:cs="FangSong"/>
          <w:sz w:val="24"/>
          <w:szCs w:val="24"/>
        </w:rPr>
        <w:t>影响评价行业分类表，本项目属于“</w:t>
      </w:r>
      <w:r>
        <w:rPr>
          <w:rFonts w:ascii="Times New Roman" w:hAnsi="Times New Roman" w:eastAsia="Times New Roman" w:cs="Times New Roman"/>
          <w:sz w:val="24"/>
          <w:szCs w:val="24"/>
        </w:rPr>
        <w:t>J</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非金属矿采选及制</w:t>
      </w:r>
      <w:r>
        <w:rPr>
          <w:rFonts w:ascii="FangSong" w:hAnsi="FangSong" w:eastAsia="FangSong" w:cs="FangSong"/>
          <w:sz w:val="24"/>
          <w:szCs w:val="24"/>
          <w:spacing w:val="-1"/>
        </w:rPr>
        <w:t>品制造</w:t>
      </w:r>
      <w:r>
        <w:rPr>
          <w:rFonts w:ascii="Times New Roman" w:hAnsi="Times New Roman" w:eastAsia="Times New Roman" w:cs="Times New Roman"/>
          <w:sz w:val="24"/>
          <w:szCs w:val="24"/>
          <w:spacing w:val="-1"/>
        </w:rPr>
        <w:t>-57</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、石棉及其他非</w:t>
      </w:r>
      <w:r>
        <w:rPr>
          <w:rFonts w:ascii="FangSong" w:hAnsi="FangSong" w:eastAsia="FangSong" w:cs="FangSong"/>
          <w:sz w:val="24"/>
          <w:szCs w:val="24"/>
          <w:spacing w:val="-2"/>
        </w:rPr>
        <w:t>金属矿采选</w:t>
      </w:r>
      <w:r>
        <w:rPr>
          <w:rFonts w:ascii="FangSong" w:hAnsi="FangSong" w:eastAsia="FangSong" w:cs="FangSong"/>
          <w:sz w:val="24"/>
          <w:szCs w:val="24"/>
          <w:spacing w:val="-88"/>
        </w:rPr>
        <w:t xml:space="preserve"> </w:t>
      </w:r>
      <w:r>
        <w:rPr>
          <w:rFonts w:ascii="FangSong" w:hAnsi="FangSong" w:eastAsia="FangSong" w:cs="FangSong"/>
          <w:sz w:val="24"/>
          <w:szCs w:val="24"/>
          <w:spacing w:val="-2"/>
        </w:rPr>
        <w:t>”，环评要求为报告书类别，本项目属于地下水</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I</w:t>
      </w:r>
      <w:r>
        <w:rPr>
          <w:rFonts w:ascii="Times New Roman" w:hAnsi="Times New Roman" w:eastAsia="Times New Roman" w:cs="Times New Roman"/>
          <w:sz w:val="24"/>
          <w:szCs w:val="24"/>
          <w:spacing w:val="-3"/>
        </w:rPr>
        <w:t>II</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类建设项目。</w:t>
      </w:r>
    </w:p>
    <w:p>
      <w:pPr>
        <w:ind w:left="609"/>
        <w:spacing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）建设项目敏感程度</w:t>
      </w:r>
    </w:p>
    <w:p>
      <w:pPr>
        <w:ind w:left="127" w:right="109" w:firstLine="477"/>
        <w:spacing w:before="178" w:line="359" w:lineRule="auto"/>
        <w:rPr>
          <w:rFonts w:ascii="FangSong" w:hAnsi="FangSong" w:eastAsia="FangSong" w:cs="FangSong"/>
          <w:sz w:val="24"/>
          <w:szCs w:val="24"/>
        </w:rPr>
      </w:pPr>
      <w:r>
        <w:rPr>
          <w:rFonts w:ascii="FangSong" w:hAnsi="FangSong" w:eastAsia="FangSong" w:cs="FangSong"/>
          <w:sz w:val="24"/>
          <w:szCs w:val="24"/>
          <w:spacing w:val="1"/>
        </w:rPr>
        <w:t>建设项目的地下水环境敏感程度分为敏感、较敏感、不敏感三个类别，分级原</w:t>
      </w:r>
      <w:r>
        <w:rPr>
          <w:rFonts w:ascii="FangSong" w:hAnsi="FangSong" w:eastAsia="FangSong" w:cs="FangSong"/>
          <w:sz w:val="24"/>
          <w:szCs w:val="24"/>
          <w:spacing w:val="-3"/>
        </w:rPr>
        <w:t>则见表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2.5-8</w:t>
      </w:r>
      <w:r>
        <w:rPr>
          <w:rFonts w:ascii="FangSong" w:hAnsi="FangSong" w:eastAsia="FangSong" w:cs="FangSong"/>
          <w:sz w:val="24"/>
          <w:szCs w:val="24"/>
          <w:spacing w:val="-3"/>
        </w:rPr>
        <w:t>。</w:t>
      </w:r>
    </w:p>
    <w:p>
      <w:pPr>
        <w:ind w:left="2567"/>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2.5-8  </w:t>
      </w:r>
      <w:r>
        <w:rPr>
          <w:rFonts w:ascii="FangSong" w:hAnsi="FangSong" w:eastAsia="FangSong" w:cs="FangSong"/>
          <w:sz w:val="24"/>
          <w:szCs w:val="24"/>
          <w:b/>
          <w:bCs/>
          <w:spacing w:val="-3"/>
        </w:rPr>
        <w:t>地下水环境敏感程度分级表</w:t>
      </w:r>
    </w:p>
    <w:p>
      <w:pPr>
        <w:spacing w:line="143" w:lineRule="exact"/>
        <w:rPr/>
      </w:pPr>
      <w:r/>
    </w:p>
    <w:tbl>
      <w:tblPr>
        <w:tblStyle w:val="TableNormal"/>
        <w:tblW w:w="8912"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62"/>
        <w:gridCol w:w="7650"/>
      </w:tblGrid>
      <w:tr>
        <w:trPr>
          <w:trHeight w:val="323" w:hRule="atLeast"/>
        </w:trPr>
        <w:tc>
          <w:tcPr>
            <w:tcW w:w="1262" w:type="dxa"/>
            <w:vAlign w:val="top"/>
            <w:tcBorders>
              <w:left w:val="nil"/>
              <w:top w:val="single" w:color="000000" w:sz="10" w:space="0"/>
            </w:tcBorders>
          </w:tcPr>
          <w:p>
            <w:pPr>
              <w:pStyle w:val="TableText"/>
              <w:ind w:left="225"/>
              <w:spacing w:before="54" w:line="232" w:lineRule="auto"/>
              <w:rPr/>
            </w:pPr>
            <w:r>
              <w:rPr>
                <w:spacing w:val="5"/>
              </w:rPr>
              <w:t>敏感程度</w:t>
            </w:r>
          </w:p>
        </w:tc>
        <w:tc>
          <w:tcPr>
            <w:tcW w:w="7650" w:type="dxa"/>
            <w:vAlign w:val="top"/>
            <w:tcBorders>
              <w:right w:val="nil"/>
              <w:top w:val="single" w:color="000000" w:sz="10" w:space="0"/>
            </w:tcBorders>
          </w:tcPr>
          <w:p>
            <w:pPr>
              <w:pStyle w:val="TableText"/>
              <w:ind w:left="3099"/>
              <w:spacing w:before="54" w:line="231" w:lineRule="auto"/>
              <w:rPr/>
            </w:pPr>
            <w:r>
              <w:rPr>
                <w:spacing w:val="7"/>
              </w:rPr>
              <w:t>地下水环境特征</w:t>
            </w:r>
          </w:p>
        </w:tc>
      </w:tr>
      <w:tr>
        <w:trPr>
          <w:trHeight w:val="819" w:hRule="atLeast"/>
        </w:trPr>
        <w:tc>
          <w:tcPr>
            <w:tcW w:w="1262" w:type="dxa"/>
            <w:vAlign w:val="top"/>
            <w:tcBorders>
              <w:left w:val="nil"/>
            </w:tcBorders>
          </w:tcPr>
          <w:p>
            <w:pPr>
              <w:pStyle w:val="TableText"/>
              <w:ind w:left="434"/>
              <w:spacing w:before="301" w:line="232" w:lineRule="auto"/>
              <w:rPr/>
            </w:pPr>
            <w:r>
              <w:rPr>
                <w:spacing w:val="2"/>
              </w:rPr>
              <w:t>敏感</w:t>
            </w:r>
          </w:p>
        </w:tc>
        <w:tc>
          <w:tcPr>
            <w:tcW w:w="7650" w:type="dxa"/>
            <w:vAlign w:val="top"/>
            <w:tcBorders>
              <w:right w:val="nil"/>
            </w:tcBorders>
          </w:tcPr>
          <w:p>
            <w:pPr>
              <w:pStyle w:val="TableText"/>
              <w:ind w:left="120" w:right="108" w:firstLine="418"/>
              <w:spacing w:before="29"/>
              <w:jc w:val="both"/>
              <w:rPr/>
            </w:pPr>
            <w:r>
              <w:rPr>
                <w:spacing w:val="12"/>
              </w:rPr>
              <w:t>集中式饮用水源（包括已建成的在用、备用、应急水源）准保护区，除集中</w:t>
            </w:r>
            <w:r>
              <w:rPr>
                <w:spacing w:val="12"/>
              </w:rPr>
              <w:t>式饮用水水源以外的国家或地方政府设立的与地下水环境相关的其他</w:t>
            </w:r>
            <w:r>
              <w:rPr>
                <w:spacing w:val="11"/>
              </w:rPr>
              <w:t>保护区，如</w:t>
            </w:r>
            <w:r>
              <w:rPr>
                <w:spacing w:val="9"/>
              </w:rPr>
              <w:t>热水、矿泉水、温泉等特殊的地下水资源保护区</w:t>
            </w:r>
          </w:p>
        </w:tc>
      </w:tr>
      <w:tr>
        <w:trPr>
          <w:trHeight w:val="1089" w:hRule="atLeast"/>
        </w:trPr>
        <w:tc>
          <w:tcPr>
            <w:tcW w:w="1262" w:type="dxa"/>
            <w:vAlign w:val="top"/>
            <w:tcBorders>
              <w:left w:val="nil"/>
            </w:tcBorders>
          </w:tcPr>
          <w:p>
            <w:pPr>
              <w:spacing w:line="373" w:lineRule="auto"/>
              <w:rPr>
                <w:rFonts w:ascii="Arial"/>
                <w:sz w:val="21"/>
              </w:rPr>
            </w:pPr>
            <w:r/>
          </w:p>
          <w:p>
            <w:pPr>
              <w:pStyle w:val="TableText"/>
              <w:ind w:left="329"/>
              <w:spacing w:before="65" w:line="230" w:lineRule="auto"/>
              <w:rPr/>
            </w:pPr>
            <w:r>
              <w:rPr>
                <w:spacing w:val="4"/>
              </w:rPr>
              <w:t>较敏感</w:t>
            </w:r>
          </w:p>
        </w:tc>
        <w:tc>
          <w:tcPr>
            <w:tcW w:w="7650" w:type="dxa"/>
            <w:vAlign w:val="top"/>
            <w:tcBorders>
              <w:right w:val="nil"/>
            </w:tcBorders>
          </w:tcPr>
          <w:p>
            <w:pPr>
              <w:pStyle w:val="TableText"/>
              <w:ind w:left="120" w:right="52" w:firstLine="418"/>
              <w:spacing w:before="34" w:line="241" w:lineRule="auto"/>
              <w:jc w:val="both"/>
              <w:rPr/>
            </w:pPr>
            <w:r>
              <w:rPr>
                <w:spacing w:val="12"/>
              </w:rPr>
              <w:t>集中式饮用水水源（包括已建成的在用、备用、应急水源）准保护区以外的</w:t>
            </w:r>
            <w:r>
              <w:rPr>
                <w:spacing w:val="8"/>
              </w:rPr>
              <w:t>补给径流区；未划定准保护区的集中式饮用</w:t>
            </w:r>
            <w:r>
              <w:rPr>
                <w:spacing w:val="7"/>
              </w:rPr>
              <w:t>水水源，其保护区以外的补给径流区；</w:t>
            </w:r>
            <w:r>
              <w:rPr>
                <w:spacing w:val="12"/>
              </w:rPr>
              <w:t>分散式饮用水水源地；特殊地下水资源（如矿泉水、温泉等）保护区</w:t>
            </w:r>
            <w:r>
              <w:rPr>
                <w:spacing w:val="11"/>
              </w:rPr>
              <w:t>以外的分布</w:t>
            </w:r>
            <w:r>
              <w:rPr>
                <w:spacing w:val="9"/>
              </w:rPr>
              <w:t>区等其他未列入上述敏感分级的环境敏感区</w:t>
            </w:r>
          </w:p>
        </w:tc>
      </w:tr>
      <w:tr>
        <w:trPr>
          <w:trHeight w:val="323" w:hRule="atLeast"/>
        </w:trPr>
        <w:tc>
          <w:tcPr>
            <w:tcW w:w="1262" w:type="dxa"/>
            <w:vAlign w:val="top"/>
            <w:tcBorders>
              <w:left w:val="nil"/>
            </w:tcBorders>
          </w:tcPr>
          <w:p>
            <w:pPr>
              <w:pStyle w:val="TableText"/>
              <w:ind w:left="333"/>
              <w:spacing w:before="56" w:line="232" w:lineRule="auto"/>
              <w:rPr/>
            </w:pPr>
            <w:r>
              <w:rPr>
                <w:spacing w:val="3"/>
              </w:rPr>
              <w:t>不敏感</w:t>
            </w:r>
          </w:p>
        </w:tc>
        <w:tc>
          <w:tcPr>
            <w:tcW w:w="7650" w:type="dxa"/>
            <w:vAlign w:val="top"/>
            <w:tcBorders>
              <w:right w:val="nil"/>
            </w:tcBorders>
          </w:tcPr>
          <w:p>
            <w:pPr>
              <w:pStyle w:val="TableText"/>
              <w:ind w:left="539"/>
              <w:spacing w:before="56" w:line="230" w:lineRule="auto"/>
              <w:rPr/>
            </w:pPr>
            <w:r>
              <w:rPr>
                <w:spacing w:val="8"/>
              </w:rPr>
              <w:t>上述地区之外的其他地区</w:t>
            </w:r>
          </w:p>
        </w:tc>
      </w:tr>
    </w:tbl>
    <w:p>
      <w:pPr>
        <w:ind w:left="126" w:right="109" w:firstLine="421"/>
        <w:spacing w:before="32" w:line="237" w:lineRule="auto"/>
        <w:rPr>
          <w:rFonts w:ascii="FangSong" w:hAnsi="FangSong" w:eastAsia="FangSong" w:cs="FangSong"/>
          <w:sz w:val="20"/>
          <w:szCs w:val="20"/>
        </w:rPr>
      </w:pPr>
      <w:r>
        <w:rPr>
          <w:rFonts w:ascii="FangSong" w:hAnsi="FangSong" w:eastAsia="FangSong" w:cs="FangSong"/>
          <w:sz w:val="20"/>
          <w:szCs w:val="20"/>
          <w:spacing w:val="9"/>
        </w:rPr>
        <w:t>注：表中“环境敏感区</w:t>
      </w:r>
      <w:r>
        <w:rPr>
          <w:rFonts w:ascii="FangSong" w:hAnsi="FangSong" w:eastAsia="FangSong" w:cs="FangSong"/>
          <w:sz w:val="20"/>
          <w:szCs w:val="20"/>
          <w:spacing w:val="-54"/>
        </w:rPr>
        <w:t xml:space="preserve"> </w:t>
      </w:r>
      <w:r>
        <w:rPr>
          <w:rFonts w:ascii="FangSong" w:hAnsi="FangSong" w:eastAsia="FangSong" w:cs="FangSong"/>
          <w:sz w:val="20"/>
          <w:szCs w:val="20"/>
          <w:spacing w:val="9"/>
        </w:rPr>
        <w:t>”是指《建设项目环境影响评价分类管理名录》</w:t>
      </w:r>
      <w:r>
        <w:rPr>
          <w:rFonts w:ascii="FangSong" w:hAnsi="FangSong" w:eastAsia="FangSong" w:cs="FangSong"/>
          <w:sz w:val="20"/>
          <w:szCs w:val="20"/>
          <w:spacing w:val="-43"/>
        </w:rPr>
        <w:t xml:space="preserve"> </w:t>
      </w:r>
      <w:r>
        <w:rPr>
          <w:rFonts w:ascii="FangSong" w:hAnsi="FangSong" w:eastAsia="FangSong" w:cs="FangSong"/>
          <w:sz w:val="20"/>
          <w:szCs w:val="20"/>
          <w:spacing w:val="9"/>
        </w:rPr>
        <w:t>中所界定的涉及地</w:t>
      </w:r>
      <w:r>
        <w:rPr>
          <w:rFonts w:ascii="FangSong" w:hAnsi="FangSong" w:eastAsia="FangSong" w:cs="FangSong"/>
          <w:sz w:val="20"/>
          <w:szCs w:val="20"/>
          <w:spacing w:val="7"/>
        </w:rPr>
        <w:t>下的环境敏感区</w:t>
      </w:r>
    </w:p>
    <w:p>
      <w:pPr>
        <w:spacing w:line="29" w:lineRule="exact"/>
        <w:rPr/>
      </w:pPr>
      <w:r>
        <w:rPr/>
        <w:pict>
          <v:shape id="_x0000_s8" style="mso-position-vertical-relative:line;mso-position-horizontal-relative:char;width:445.65pt;height:1.45pt;" filled="false" strokecolor="#000000" strokeweight="1.44pt" coordsize="8912,29" coordorigin="0,0" path="m0,14l8912,14e">
            <v:stroke joinstyle="bevel" miterlimit="2"/>
          </v:shape>
        </w:pict>
      </w:r>
    </w:p>
    <w:p>
      <w:pPr>
        <w:pStyle w:val="BodyText"/>
        <w:spacing w:line="371" w:lineRule="auto"/>
        <w:rPr/>
      </w:pPr>
      <w:r/>
    </w:p>
    <w:p>
      <w:pPr>
        <w:ind w:left="123" w:right="32" w:firstLine="481"/>
        <w:spacing w:before="78" w:line="359" w:lineRule="auto"/>
        <w:jc w:val="both"/>
        <w:rPr>
          <w:rFonts w:ascii="FangSong" w:hAnsi="FangSong" w:eastAsia="FangSong" w:cs="FangSong"/>
          <w:sz w:val="24"/>
          <w:szCs w:val="24"/>
        </w:rPr>
      </w:pPr>
      <w:r>
        <w:rPr>
          <w:rFonts w:ascii="FangSong" w:hAnsi="FangSong" w:eastAsia="FangSong" w:cs="FangSong"/>
          <w:sz w:val="24"/>
          <w:szCs w:val="24"/>
          <w:spacing w:val="1"/>
        </w:rPr>
        <w:t>根据《关于核查苏尼特右旗富邦矿业有限公司苏尼特右旗桑宝力嘎额尔登塔拉</w:t>
      </w:r>
      <w:r>
        <w:rPr>
          <w:rFonts w:ascii="FangSong" w:hAnsi="FangSong" w:eastAsia="FangSong" w:cs="FangSong"/>
          <w:sz w:val="24"/>
          <w:szCs w:val="24"/>
        </w:rPr>
        <w:t>萤石矿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rPr>
        <w:t>万</w:t>
      </w:r>
      <w:r>
        <w:rPr>
          <w:rFonts w:ascii="Times New Roman" w:hAnsi="Times New Roman" w:eastAsia="Times New Roman" w:cs="Times New Roman"/>
          <w:sz w:val="24"/>
          <w:szCs w:val="24"/>
        </w:rPr>
        <w:t>t/a</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rPr>
        <w:t>采选项目用地是否位于饮用水水源保护区的复函》（</w:t>
      </w:r>
      <w:r>
        <w:rPr>
          <w:rFonts w:ascii="Times New Roman" w:hAnsi="Times New Roman" w:eastAsia="Times New Roman" w:cs="Times New Roman"/>
          <w:sz w:val="24"/>
          <w:szCs w:val="24"/>
        </w:rPr>
        <w:t>2025.6.</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rPr>
        <w:t>18</w:t>
      </w:r>
      <w:r>
        <w:rPr>
          <w:rFonts w:ascii="FangSong" w:hAnsi="FangSong" w:eastAsia="FangSong" w:cs="FangSong"/>
          <w:sz w:val="24"/>
          <w:szCs w:val="24"/>
          <w:spacing w:val="18"/>
        </w:rPr>
        <w:t>），</w:t>
      </w:r>
      <w:r>
        <w:rPr>
          <w:rFonts w:ascii="FangSong" w:hAnsi="FangSong" w:eastAsia="FangSong" w:cs="FangSong"/>
          <w:sz w:val="24"/>
          <w:szCs w:val="24"/>
          <w:spacing w:val="-3"/>
        </w:rPr>
        <w:t>本项目地下水环境影响评价范围内不存在集中式饮用</w:t>
      </w:r>
      <w:r>
        <w:rPr>
          <w:rFonts w:ascii="FangSong" w:hAnsi="FangSong" w:eastAsia="FangSong" w:cs="FangSong"/>
          <w:sz w:val="24"/>
          <w:szCs w:val="24"/>
          <w:spacing w:val="-4"/>
        </w:rPr>
        <w:t>水水源地（包括已建成的在用、</w:t>
      </w:r>
      <w:r>
        <w:rPr>
          <w:rFonts w:ascii="FangSong" w:hAnsi="FangSong" w:eastAsia="FangSong" w:cs="FangSong"/>
          <w:sz w:val="24"/>
          <w:szCs w:val="24"/>
          <w:spacing w:val="1"/>
        </w:rPr>
        <w:t>备用、应急水源，在建和规划的饮用水水源）准保护区；也不存在除集中式饮用水</w:t>
      </w:r>
      <w:r>
        <w:rPr>
          <w:rFonts w:ascii="FangSong" w:hAnsi="FangSong" w:eastAsia="FangSong" w:cs="FangSong"/>
          <w:sz w:val="24"/>
          <w:szCs w:val="24"/>
          <w:spacing w:val="1"/>
        </w:rPr>
        <w:t>水源地以外的国家或地方政府设定的与地下水环境相关其他保护区，如热水、矿泉</w:t>
      </w:r>
      <w:r>
        <w:rPr>
          <w:rFonts w:ascii="FangSong" w:hAnsi="FangSong" w:eastAsia="FangSong" w:cs="FangSong"/>
          <w:sz w:val="24"/>
          <w:szCs w:val="24"/>
          <w:spacing w:val="1"/>
        </w:rPr>
        <w:t>水、温泉等特殊地下水资源保护区，同时也不在上述保护区的补给径流区，项目周</w:t>
      </w:r>
      <w:r>
        <w:rPr>
          <w:rFonts w:ascii="FangSong" w:hAnsi="FangSong" w:eastAsia="FangSong" w:cs="FangSong"/>
          <w:sz w:val="24"/>
          <w:szCs w:val="24"/>
        </w:rPr>
        <w:t>边存在分散式牧民用水水源井，因此，本项</w:t>
      </w:r>
      <w:r>
        <w:rPr>
          <w:rFonts w:ascii="FangSong" w:hAnsi="FangSong" w:eastAsia="FangSong" w:cs="FangSong"/>
          <w:sz w:val="24"/>
          <w:szCs w:val="24"/>
          <w:spacing w:val="-1"/>
        </w:rPr>
        <w:t>目地下水敏感程度为“较敏感</w:t>
      </w:r>
      <w:r>
        <w:rPr>
          <w:rFonts w:ascii="FangSong" w:hAnsi="FangSong" w:eastAsia="FangSong" w:cs="FangSong"/>
          <w:sz w:val="24"/>
          <w:szCs w:val="24"/>
          <w:spacing w:val="-88"/>
        </w:rPr>
        <w:t xml:space="preserve"> </w:t>
      </w:r>
      <w:r>
        <w:rPr>
          <w:rFonts w:ascii="FangSong" w:hAnsi="FangSong" w:eastAsia="FangSong" w:cs="FangSong"/>
          <w:sz w:val="24"/>
          <w:szCs w:val="24"/>
          <w:spacing w:val="-1"/>
        </w:rPr>
        <w:t>”。</w:t>
      </w:r>
    </w:p>
    <w:p>
      <w:pPr>
        <w:ind w:left="609"/>
        <w:spacing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）评价等级</w:t>
      </w:r>
    </w:p>
    <w:p>
      <w:pPr>
        <w:ind w:left="605"/>
        <w:spacing w:before="177" w:line="220" w:lineRule="auto"/>
        <w:rPr>
          <w:rFonts w:ascii="FangSong" w:hAnsi="FangSong" w:eastAsia="FangSong" w:cs="FangSong"/>
          <w:sz w:val="24"/>
          <w:szCs w:val="24"/>
        </w:rPr>
      </w:pPr>
      <w:r>
        <w:rPr>
          <w:rFonts w:ascii="FangSong" w:hAnsi="FangSong" w:eastAsia="FangSong" w:cs="FangSong"/>
          <w:sz w:val="24"/>
          <w:szCs w:val="24"/>
          <w:spacing w:val="-1"/>
        </w:rPr>
        <w:t>地下水环境影响评价工作等级划分见表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2.5-9</w:t>
      </w:r>
      <w:r>
        <w:rPr>
          <w:rFonts w:ascii="FangSong" w:hAnsi="FangSong" w:eastAsia="FangSong" w:cs="FangSong"/>
          <w:sz w:val="24"/>
          <w:szCs w:val="24"/>
          <w:spacing w:val="-1"/>
        </w:rPr>
        <w:t>。</w:t>
      </w:r>
    </w:p>
    <w:p>
      <w:pPr>
        <w:ind w:left="2327"/>
        <w:spacing w:before="182"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2.5-9  </w:t>
      </w:r>
      <w:r>
        <w:rPr>
          <w:rFonts w:ascii="FangSong" w:hAnsi="FangSong" w:eastAsia="FangSong" w:cs="FangSong"/>
          <w:sz w:val="24"/>
          <w:szCs w:val="24"/>
          <w:b/>
          <w:bCs/>
          <w:spacing w:val="-3"/>
        </w:rPr>
        <w:t>地下水环境影响评价等级划分表</w:t>
      </w:r>
    </w:p>
    <w:p>
      <w:pPr>
        <w:spacing w:line="144" w:lineRule="exact"/>
        <w:rPr/>
      </w:pPr>
      <w:r/>
    </w:p>
    <w:tbl>
      <w:tblPr>
        <w:tblStyle w:val="TableNormal"/>
        <w:tblW w:w="8912"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13"/>
        <w:gridCol w:w="1999"/>
        <w:gridCol w:w="1999"/>
        <w:gridCol w:w="2001"/>
      </w:tblGrid>
      <w:tr>
        <w:trPr>
          <w:trHeight w:val="311" w:hRule="atLeast"/>
        </w:trPr>
        <w:tc>
          <w:tcPr>
            <w:tcW w:w="2913" w:type="dxa"/>
            <w:vAlign w:val="top"/>
            <w:vMerge w:val="restart"/>
            <w:tcBorders>
              <w:bottom w:val="nil"/>
              <w:top w:val="single" w:color="000000" w:sz="10" w:space="0"/>
              <w:left w:val="nil"/>
            </w:tcBorders>
          </w:tcPr>
          <w:p>
            <w:pPr>
              <w:pStyle w:val="TableText"/>
              <w:ind w:left="839"/>
              <w:spacing w:before="217" w:line="231" w:lineRule="auto"/>
              <w:rPr/>
            </w:pPr>
            <w:r>
              <w:rPr>
                <w:spacing w:val="7"/>
              </w:rPr>
              <w:t>环境敏感程度</w:t>
            </w:r>
          </w:p>
        </w:tc>
        <w:tc>
          <w:tcPr>
            <w:tcW w:w="5999" w:type="dxa"/>
            <w:vAlign w:val="top"/>
            <w:gridSpan w:val="3"/>
            <w:tcBorders>
              <w:top w:val="single" w:color="000000" w:sz="10" w:space="0"/>
              <w:right w:val="nil"/>
            </w:tcBorders>
          </w:tcPr>
          <w:p>
            <w:pPr>
              <w:pStyle w:val="TableText"/>
              <w:ind w:left="2588"/>
              <w:spacing w:before="54" w:line="228" w:lineRule="auto"/>
              <w:rPr/>
            </w:pPr>
            <w:r>
              <w:rPr>
                <w:spacing w:val="5"/>
              </w:rPr>
              <w:t>项目类别</w:t>
            </w:r>
          </w:p>
        </w:tc>
      </w:tr>
      <w:tr>
        <w:trPr>
          <w:trHeight w:val="324" w:hRule="atLeast"/>
        </w:trPr>
        <w:tc>
          <w:tcPr>
            <w:tcW w:w="2913" w:type="dxa"/>
            <w:vAlign w:val="top"/>
            <w:vMerge w:val="continue"/>
            <w:tcBorders>
              <w:bottom w:val="single" w:color="000000" w:sz="10" w:space="0"/>
              <w:top w:val="nil"/>
              <w:left w:val="nil"/>
            </w:tcBorders>
          </w:tcPr>
          <w:p>
            <w:pPr>
              <w:rPr>
                <w:rFonts w:ascii="Arial"/>
                <w:sz w:val="21"/>
              </w:rPr>
            </w:pPr>
            <w:r/>
          </w:p>
        </w:tc>
        <w:tc>
          <w:tcPr>
            <w:tcW w:w="1999" w:type="dxa"/>
            <w:vAlign w:val="top"/>
            <w:tcBorders>
              <w:bottom w:val="single" w:color="000000" w:sz="10" w:space="0"/>
            </w:tcBorders>
          </w:tcPr>
          <w:p>
            <w:pPr>
              <w:pStyle w:val="TableText"/>
              <w:ind w:left="649"/>
              <w:spacing w:before="59" w:line="232" w:lineRule="auto"/>
              <w:rPr/>
            </w:pPr>
            <w:r>
              <w:rPr>
                <w:rFonts w:ascii="Times New Roman" w:hAnsi="Times New Roman" w:eastAsia="Times New Roman" w:cs="Times New Roman"/>
                <w:spacing w:val="6"/>
              </w:rPr>
              <w:t>Ⅰ</w:t>
            </w:r>
            <w:r>
              <w:rPr>
                <w:spacing w:val="6"/>
              </w:rPr>
              <w:t>类项目</w:t>
            </w:r>
          </w:p>
        </w:tc>
        <w:tc>
          <w:tcPr>
            <w:tcW w:w="1999" w:type="dxa"/>
            <w:vAlign w:val="top"/>
            <w:tcBorders>
              <w:bottom w:val="single" w:color="000000" w:sz="10" w:space="0"/>
            </w:tcBorders>
          </w:tcPr>
          <w:p>
            <w:pPr>
              <w:pStyle w:val="TableText"/>
              <w:ind w:left="587"/>
              <w:spacing w:before="59" w:line="232" w:lineRule="auto"/>
              <w:rPr/>
            </w:pPr>
            <w:r>
              <w:rPr>
                <w:rFonts w:ascii="Times New Roman" w:hAnsi="Times New Roman" w:eastAsia="Times New Roman" w:cs="Times New Roman"/>
              </w:rPr>
              <w:t>II</w:t>
            </w:r>
            <w:r>
              <w:rPr>
                <w:rFonts w:ascii="Times New Roman" w:hAnsi="Times New Roman" w:eastAsia="Times New Roman" w:cs="Times New Roman"/>
                <w:spacing w:val="19"/>
                <w:w w:val="101"/>
              </w:rPr>
              <w:t xml:space="preserve"> </w:t>
            </w:r>
            <w:r>
              <w:rPr>
                <w:spacing w:val="4"/>
              </w:rPr>
              <w:t>类项目</w:t>
            </w:r>
          </w:p>
        </w:tc>
        <w:tc>
          <w:tcPr>
            <w:tcW w:w="2001" w:type="dxa"/>
            <w:vAlign w:val="top"/>
            <w:tcBorders>
              <w:bottom w:val="single" w:color="000000" w:sz="10" w:space="0"/>
              <w:right w:val="nil"/>
            </w:tcBorders>
          </w:tcPr>
          <w:p>
            <w:pPr>
              <w:pStyle w:val="TableText"/>
              <w:ind w:left="556"/>
              <w:spacing w:before="59" w:line="232" w:lineRule="auto"/>
              <w:rPr/>
            </w:pPr>
            <w:r>
              <w:rPr>
                <w:rFonts w:ascii="Times New Roman" w:hAnsi="Times New Roman" w:eastAsia="Times New Roman" w:cs="Times New Roman"/>
              </w:rPr>
              <w:t>III</w:t>
            </w:r>
            <w:r>
              <w:rPr>
                <w:rFonts w:ascii="Times New Roman" w:hAnsi="Times New Roman" w:eastAsia="Times New Roman" w:cs="Times New Roman"/>
                <w:spacing w:val="22"/>
                <w:w w:val="101"/>
              </w:rPr>
              <w:t xml:space="preserve"> </w:t>
            </w:r>
            <w:r>
              <w:rPr>
                <w:spacing w:val="4"/>
              </w:rPr>
              <w:t>类项目</w:t>
            </w:r>
          </w:p>
        </w:tc>
      </w:tr>
    </w:tbl>
    <w:p>
      <w:pPr>
        <w:pStyle w:val="BodyText"/>
        <w:rPr/>
      </w:pPr>
      <w:r/>
    </w:p>
    <w:p>
      <w:pPr>
        <w:sectPr>
          <w:footerReference w:type="default" r:id="rId68"/>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12"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13"/>
        <w:gridCol w:w="1999"/>
        <w:gridCol w:w="1999"/>
        <w:gridCol w:w="2001"/>
      </w:tblGrid>
      <w:tr>
        <w:trPr>
          <w:trHeight w:val="315" w:hRule="atLeast"/>
        </w:trPr>
        <w:tc>
          <w:tcPr>
            <w:tcW w:w="2913" w:type="dxa"/>
            <w:vAlign w:val="top"/>
            <w:tcBorders>
              <w:top w:val="single" w:color="000000" w:sz="10" w:space="0"/>
              <w:left w:val="nil"/>
            </w:tcBorders>
          </w:tcPr>
          <w:p>
            <w:pPr>
              <w:pStyle w:val="TableText"/>
              <w:ind w:left="1259"/>
              <w:spacing w:before="55" w:line="230" w:lineRule="auto"/>
              <w:rPr/>
            </w:pPr>
            <w:r>
              <w:rPr>
                <w:spacing w:val="2"/>
              </w:rPr>
              <w:t>敏感</w:t>
            </w:r>
          </w:p>
        </w:tc>
        <w:tc>
          <w:tcPr>
            <w:tcW w:w="1999" w:type="dxa"/>
            <w:vAlign w:val="top"/>
            <w:tcBorders>
              <w:top w:val="single" w:color="000000" w:sz="10" w:space="0"/>
            </w:tcBorders>
          </w:tcPr>
          <w:p>
            <w:pPr>
              <w:pStyle w:val="TableText"/>
              <w:ind w:left="906"/>
              <w:spacing w:before="139" w:line="151" w:lineRule="exact"/>
              <w:rPr/>
            </w:pPr>
            <w:r>
              <w:rPr>
                <w:position w:val="-3"/>
              </w:rPr>
              <w:t>一</w:t>
            </w:r>
          </w:p>
        </w:tc>
        <w:tc>
          <w:tcPr>
            <w:tcW w:w="1999" w:type="dxa"/>
            <w:vAlign w:val="top"/>
            <w:tcBorders>
              <w:top w:val="single" w:color="000000" w:sz="10" w:space="0"/>
            </w:tcBorders>
          </w:tcPr>
          <w:p>
            <w:pPr>
              <w:pStyle w:val="TableText"/>
              <w:ind w:left="906"/>
              <w:spacing w:before="139" w:line="151" w:lineRule="exact"/>
              <w:rPr/>
            </w:pPr>
            <w:r>
              <w:rPr>
                <w:position w:val="-3"/>
              </w:rPr>
              <w:t>一</w:t>
            </w:r>
          </w:p>
        </w:tc>
        <w:tc>
          <w:tcPr>
            <w:tcW w:w="2001" w:type="dxa"/>
            <w:vAlign w:val="top"/>
            <w:tcBorders>
              <w:top w:val="single" w:color="000000" w:sz="10" w:space="0"/>
              <w:right w:val="nil"/>
            </w:tcBorders>
          </w:tcPr>
          <w:p>
            <w:pPr>
              <w:pStyle w:val="TableText"/>
              <w:ind w:left="912"/>
              <w:spacing w:before="97" w:line="180" w:lineRule="auto"/>
              <w:rPr/>
            </w:pPr>
            <w:r>
              <w:rPr/>
              <w:t>二</w:t>
            </w:r>
          </w:p>
        </w:tc>
      </w:tr>
      <w:tr>
        <w:trPr>
          <w:trHeight w:val="309" w:hRule="atLeast"/>
        </w:trPr>
        <w:tc>
          <w:tcPr>
            <w:tcW w:w="2913" w:type="dxa"/>
            <w:vAlign w:val="top"/>
            <w:tcBorders>
              <w:left w:val="nil"/>
            </w:tcBorders>
          </w:tcPr>
          <w:p>
            <w:pPr>
              <w:pStyle w:val="TableText"/>
              <w:ind w:left="1155"/>
              <w:spacing w:before="57" w:line="223" w:lineRule="auto"/>
              <w:rPr/>
            </w:pPr>
            <w:r>
              <w:rPr>
                <w:spacing w:val="4"/>
              </w:rPr>
              <w:t>较敏感</w:t>
            </w:r>
          </w:p>
        </w:tc>
        <w:tc>
          <w:tcPr>
            <w:tcW w:w="1999" w:type="dxa"/>
            <w:vAlign w:val="top"/>
          </w:tcPr>
          <w:p>
            <w:pPr>
              <w:pStyle w:val="TableText"/>
              <w:ind w:left="906"/>
              <w:spacing w:before="141" w:line="150" w:lineRule="exact"/>
              <w:rPr/>
            </w:pPr>
            <w:r>
              <w:rPr>
                <w:position w:val="-3"/>
              </w:rPr>
              <w:t>一</w:t>
            </w:r>
          </w:p>
        </w:tc>
        <w:tc>
          <w:tcPr>
            <w:tcW w:w="1999" w:type="dxa"/>
            <w:vAlign w:val="top"/>
          </w:tcPr>
          <w:p>
            <w:pPr>
              <w:pStyle w:val="TableText"/>
              <w:ind w:left="909"/>
              <w:spacing w:before="99" w:line="180" w:lineRule="auto"/>
              <w:rPr/>
            </w:pPr>
            <w:r>
              <w:rPr/>
              <w:t>二</w:t>
            </w:r>
          </w:p>
        </w:tc>
        <w:tc>
          <w:tcPr>
            <w:tcW w:w="2001" w:type="dxa"/>
            <w:vAlign w:val="top"/>
            <w:tcBorders>
              <w:right w:val="nil"/>
            </w:tcBorders>
          </w:tcPr>
          <w:p>
            <w:pPr>
              <w:pStyle w:val="TableText"/>
              <w:ind w:left="911"/>
              <w:spacing w:before="84" w:line="194" w:lineRule="auto"/>
              <w:rPr/>
            </w:pPr>
            <w:r>
              <w:rPr/>
              <w:t>三</w:t>
            </w:r>
          </w:p>
        </w:tc>
      </w:tr>
      <w:tr>
        <w:trPr>
          <w:trHeight w:val="330" w:hRule="atLeast"/>
        </w:trPr>
        <w:tc>
          <w:tcPr>
            <w:tcW w:w="2913" w:type="dxa"/>
            <w:vAlign w:val="top"/>
            <w:tcBorders>
              <w:bottom w:val="single" w:color="000000" w:sz="10" w:space="0"/>
              <w:left w:val="nil"/>
            </w:tcBorders>
          </w:tcPr>
          <w:p>
            <w:pPr>
              <w:pStyle w:val="TableText"/>
              <w:ind w:left="1159"/>
              <w:spacing w:before="63" w:line="232" w:lineRule="auto"/>
              <w:rPr/>
            </w:pPr>
            <w:r>
              <w:rPr>
                <w:spacing w:val="3"/>
              </w:rPr>
              <w:t>不敏感</w:t>
            </w:r>
          </w:p>
        </w:tc>
        <w:tc>
          <w:tcPr>
            <w:tcW w:w="1999" w:type="dxa"/>
            <w:vAlign w:val="top"/>
            <w:tcBorders>
              <w:bottom w:val="single" w:color="000000" w:sz="10" w:space="0"/>
            </w:tcBorders>
          </w:tcPr>
          <w:p>
            <w:pPr>
              <w:pStyle w:val="TableText"/>
              <w:ind w:left="909"/>
              <w:spacing w:before="106" w:line="180" w:lineRule="auto"/>
              <w:rPr/>
            </w:pPr>
            <w:r>
              <w:rPr/>
              <w:t>二</w:t>
            </w:r>
          </w:p>
        </w:tc>
        <w:tc>
          <w:tcPr>
            <w:tcW w:w="1999" w:type="dxa"/>
            <w:vAlign w:val="top"/>
            <w:tcBorders>
              <w:bottom w:val="single" w:color="000000" w:sz="10" w:space="0"/>
            </w:tcBorders>
          </w:tcPr>
          <w:p>
            <w:pPr>
              <w:pStyle w:val="TableText"/>
              <w:ind w:left="908"/>
              <w:spacing w:before="91" w:line="194" w:lineRule="auto"/>
              <w:rPr/>
            </w:pPr>
            <w:r>
              <w:rPr/>
              <w:t>三</w:t>
            </w:r>
          </w:p>
        </w:tc>
        <w:tc>
          <w:tcPr>
            <w:tcW w:w="2001" w:type="dxa"/>
            <w:vAlign w:val="top"/>
            <w:tcBorders>
              <w:bottom w:val="single" w:color="000000" w:sz="10" w:space="0"/>
              <w:right w:val="nil"/>
            </w:tcBorders>
          </w:tcPr>
          <w:p>
            <w:pPr>
              <w:pStyle w:val="TableText"/>
              <w:ind w:left="911"/>
              <w:spacing w:before="91" w:line="194" w:lineRule="auto"/>
              <w:rPr/>
            </w:pPr>
            <w:r>
              <w:rPr/>
              <w:t>三</w:t>
            </w:r>
          </w:p>
        </w:tc>
      </w:tr>
    </w:tbl>
    <w:p>
      <w:pPr>
        <w:pStyle w:val="BodyText"/>
        <w:spacing w:line="369" w:lineRule="auto"/>
        <w:rPr/>
      </w:pPr>
      <w:r/>
    </w:p>
    <w:p>
      <w:pPr>
        <w:ind w:left="166" w:right="109" w:firstLine="462"/>
        <w:spacing w:before="78" w:line="359" w:lineRule="auto"/>
        <w:rPr>
          <w:rFonts w:ascii="FangSong" w:hAnsi="FangSong" w:eastAsia="FangSong" w:cs="FangSong"/>
          <w:sz w:val="24"/>
          <w:szCs w:val="24"/>
        </w:rPr>
      </w:pPr>
      <w:r>
        <w:rPr>
          <w:rFonts w:ascii="FangSong" w:hAnsi="FangSong" w:eastAsia="FangSong" w:cs="FangSong"/>
          <w:sz w:val="24"/>
          <w:szCs w:val="24"/>
          <w:spacing w:val="-4"/>
        </w:rPr>
        <w:t>因此，根据《环境影响评价技术导则</w:t>
      </w:r>
      <w:r>
        <w:rPr>
          <w:rFonts w:ascii="FangSong" w:hAnsi="FangSong" w:eastAsia="FangSong" w:cs="FangSong"/>
          <w:sz w:val="24"/>
          <w:szCs w:val="24"/>
          <w:spacing w:val="-4"/>
        </w:rPr>
        <w:t xml:space="preserve"> </w:t>
      </w:r>
      <w:r>
        <w:rPr>
          <w:rFonts w:ascii="FangSong" w:hAnsi="FangSong" w:eastAsia="FangSong" w:cs="FangSong"/>
          <w:sz w:val="24"/>
          <w:szCs w:val="24"/>
          <w:spacing w:val="-4"/>
        </w:rPr>
        <w:t>地下水环境》（</w:t>
      </w:r>
      <w:r>
        <w:rPr>
          <w:rFonts w:ascii="Times New Roman" w:hAnsi="Times New Roman" w:eastAsia="Times New Roman" w:cs="Times New Roman"/>
          <w:sz w:val="24"/>
          <w:szCs w:val="24"/>
          <w:spacing w:val="-4"/>
        </w:rPr>
        <w:t>HJ 610-2016</w:t>
      </w:r>
      <w:r>
        <w:rPr>
          <w:rFonts w:ascii="FangSong" w:hAnsi="FangSong" w:eastAsia="FangSong" w:cs="FangSong"/>
          <w:sz w:val="24"/>
          <w:szCs w:val="24"/>
          <w:spacing w:val="-4"/>
        </w:rPr>
        <w:t>）规定，本项</w:t>
      </w:r>
      <w:r>
        <w:rPr>
          <w:rFonts w:ascii="FangSong" w:hAnsi="FangSong" w:eastAsia="FangSong" w:cs="FangSong"/>
          <w:sz w:val="24"/>
          <w:szCs w:val="24"/>
          <w:spacing w:val="-4"/>
        </w:rPr>
        <w:t>目地下水环境评价工作等级为三级。</w:t>
      </w:r>
    </w:p>
    <w:p>
      <w:pPr>
        <w:ind w:left="114"/>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2.5.4.2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评价范围</w:t>
      </w:r>
    </w:p>
    <w:p>
      <w:pPr>
        <w:ind w:left="126" w:right="109" w:firstLine="479"/>
        <w:spacing w:before="178" w:line="359" w:lineRule="auto"/>
        <w:jc w:val="both"/>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地下水环境》（</w:t>
      </w:r>
      <w:r>
        <w:rPr>
          <w:rFonts w:ascii="Times New Roman" w:hAnsi="Times New Roman" w:eastAsia="Times New Roman" w:cs="Times New Roman"/>
          <w:sz w:val="24"/>
          <w:szCs w:val="24"/>
          <w:spacing w:val="-2"/>
        </w:rPr>
        <w:t>HJ610-2016</w:t>
      </w:r>
      <w:r>
        <w:rPr>
          <w:rFonts w:ascii="FangSong" w:hAnsi="FangSong" w:eastAsia="FangSong" w:cs="FangSong"/>
          <w:sz w:val="24"/>
          <w:szCs w:val="24"/>
          <w:spacing w:val="3"/>
        </w:rPr>
        <w:t>），</w:t>
      </w:r>
      <w:r>
        <w:rPr>
          <w:rFonts w:ascii="FangSong" w:hAnsi="FangSong" w:eastAsia="FangSong" w:cs="FangSong"/>
          <w:sz w:val="24"/>
          <w:szCs w:val="24"/>
          <w:spacing w:val="-2"/>
        </w:rPr>
        <w:t>采用查表法确定</w:t>
      </w:r>
      <w:r>
        <w:rPr>
          <w:rFonts w:ascii="FangSong" w:hAnsi="FangSong" w:eastAsia="FangSong" w:cs="FangSong"/>
          <w:sz w:val="24"/>
          <w:szCs w:val="24"/>
          <w:spacing w:val="-5"/>
        </w:rPr>
        <w:t>其地下水调查评价范围，为项目占地范围下游</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1000m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、上</w:t>
      </w:r>
      <w:r>
        <w:rPr>
          <w:rFonts w:ascii="FangSong" w:hAnsi="FangSong" w:eastAsia="FangSong" w:cs="FangSong"/>
          <w:sz w:val="24"/>
          <w:szCs w:val="24"/>
          <w:spacing w:val="-6"/>
        </w:rPr>
        <w:t>游</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1000m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、两侧</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6"/>
        </w:rPr>
        <w:t>1000m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范</w:t>
      </w:r>
      <w:r>
        <w:rPr>
          <w:rFonts w:ascii="FangSong" w:hAnsi="FangSong" w:eastAsia="FangSong" w:cs="FangSong"/>
          <w:sz w:val="24"/>
          <w:szCs w:val="24"/>
          <w:spacing w:val="-3"/>
        </w:rPr>
        <w:t>围内，评价面积为</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3"/>
        </w:rPr>
        <w:t>10.97km</w:t>
      </w:r>
      <w:r>
        <w:rPr>
          <w:rFonts w:ascii="Times New Roman" w:hAnsi="Times New Roman" w:eastAsia="Times New Roman" w:cs="Times New Roman"/>
          <w:sz w:val="15"/>
          <w:szCs w:val="15"/>
          <w:spacing w:val="-3"/>
          <w:position w:val="8"/>
        </w:rPr>
        <w:t>2 </w:t>
      </w:r>
      <w:r>
        <w:rPr>
          <w:rFonts w:ascii="FangSong" w:hAnsi="FangSong" w:eastAsia="FangSong" w:cs="FangSong"/>
          <w:sz w:val="24"/>
          <w:szCs w:val="24"/>
          <w:spacing w:val="-3"/>
        </w:rPr>
        <w:t>。地下水评价范围详见附图</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2-2</w:t>
      </w:r>
      <w:r>
        <w:rPr>
          <w:rFonts w:ascii="FangSong" w:hAnsi="FangSong" w:eastAsia="FangSong" w:cs="FangSong"/>
          <w:sz w:val="24"/>
          <w:szCs w:val="24"/>
          <w:spacing w:val="-3"/>
        </w:rPr>
        <w:t>。</w:t>
      </w:r>
    </w:p>
    <w:p>
      <w:pPr>
        <w:ind w:left="114"/>
        <w:spacing w:line="222" w:lineRule="auto"/>
        <w:outlineLvl w:val="2"/>
        <w:rPr>
          <w:rFonts w:ascii="FangSong" w:hAnsi="FangSong" w:eastAsia="FangSong" w:cs="FangSong"/>
          <w:sz w:val="24"/>
          <w:szCs w:val="24"/>
        </w:rPr>
      </w:pPr>
      <w:bookmarkStart w:name="bookmark75" w:id="103"/>
      <w:bookmarkEnd w:id="103"/>
      <w:bookmarkStart w:name="bookmark74" w:id="104"/>
      <w:bookmarkEnd w:id="104"/>
      <w:r>
        <w:rPr>
          <w:rFonts w:ascii="Times New Roman" w:hAnsi="Times New Roman" w:eastAsia="Times New Roman" w:cs="Times New Roman"/>
          <w:sz w:val="24"/>
          <w:szCs w:val="24"/>
          <w:b/>
          <w:bCs/>
          <w:spacing w:val="-4"/>
        </w:rPr>
        <w:t>2.5.5</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土壤环境</w:t>
      </w:r>
    </w:p>
    <w:p>
      <w:pPr>
        <w:ind w:left="114"/>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2.5.5.1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评价等级</w:t>
      </w:r>
    </w:p>
    <w:p>
      <w:pPr>
        <w:ind w:left="126" w:right="43" w:firstLine="479"/>
        <w:spacing w:before="174" w:line="360" w:lineRule="auto"/>
        <w:jc w:val="both"/>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土壤环境（试行）》（</w:t>
      </w:r>
      <w:r>
        <w:rPr>
          <w:rFonts w:ascii="Times New Roman" w:hAnsi="Times New Roman" w:eastAsia="Times New Roman" w:cs="Times New Roman"/>
          <w:sz w:val="24"/>
          <w:szCs w:val="24"/>
          <w:spacing w:val="-2"/>
        </w:rPr>
        <w:t>HJ964-2018</w:t>
      </w:r>
      <w:r>
        <w:rPr>
          <w:rFonts w:ascii="FangSong" w:hAnsi="FangSong" w:eastAsia="FangSong" w:cs="FangSong"/>
          <w:sz w:val="24"/>
          <w:szCs w:val="24"/>
          <w:spacing w:val="3"/>
        </w:rPr>
        <w:t>），</w:t>
      </w:r>
      <w:r>
        <w:rPr>
          <w:rFonts w:ascii="FangSong" w:hAnsi="FangSong" w:eastAsia="FangSong" w:cs="FangSong"/>
          <w:sz w:val="24"/>
          <w:szCs w:val="24"/>
          <w:spacing w:val="-2"/>
        </w:rPr>
        <w:t>建设项目</w:t>
      </w:r>
      <w:r>
        <w:rPr>
          <w:rFonts w:ascii="FangSong" w:hAnsi="FangSong" w:eastAsia="FangSong" w:cs="FangSong"/>
          <w:sz w:val="24"/>
          <w:szCs w:val="24"/>
          <w:spacing w:val="-4"/>
        </w:rPr>
        <w:t>对土壤环境可能产生的影响，将土壤环境影响类型划分为生态影响型与污染影响型，</w:t>
      </w:r>
      <w:r>
        <w:rPr>
          <w:rFonts w:ascii="FangSong" w:hAnsi="FangSong" w:eastAsia="FangSong" w:cs="FangSong"/>
          <w:sz w:val="24"/>
          <w:szCs w:val="24"/>
          <w:spacing w:val="1"/>
        </w:rPr>
        <w:t>其中土壤生态影响重点指土壤环境的盐化、酸化、碱化等。土壤造成盐碱化的主要</w:t>
      </w:r>
      <w:r>
        <w:rPr>
          <w:rFonts w:ascii="FangSong" w:hAnsi="FangSong" w:eastAsia="FangSong" w:cs="FangSong"/>
          <w:sz w:val="24"/>
          <w:szCs w:val="24"/>
          <w:spacing w:val="-4"/>
        </w:rPr>
        <w:t>原因如下：</w:t>
      </w:r>
    </w:p>
    <w:p>
      <w:pPr>
        <w:ind w:left="129" w:right="99" w:firstLine="480"/>
        <w:spacing w:before="2" w:line="31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）气候干燥和地下水位高，地下水都含有一定的盐分，如其</w:t>
      </w:r>
      <w:r>
        <w:rPr>
          <w:rFonts w:ascii="FangSong" w:hAnsi="FangSong" w:eastAsia="FangSong" w:cs="FangSong"/>
          <w:sz w:val="24"/>
          <w:szCs w:val="24"/>
          <w:spacing w:val="-3"/>
        </w:rPr>
        <w:t>水面接近地面，</w:t>
      </w:r>
      <w:r>
        <w:rPr>
          <w:rFonts w:ascii="FangSong" w:hAnsi="FangSong" w:eastAsia="FangSong" w:cs="FangSong"/>
          <w:sz w:val="24"/>
          <w:szCs w:val="24"/>
          <w:spacing w:val="-1"/>
        </w:rPr>
        <w:t>而该地区又比较干旱由于毛细作用上升到地表的水分蒸发后，便留下盐分，</w:t>
      </w:r>
      <w:r>
        <w:rPr>
          <w:rFonts w:ascii="FangSong" w:hAnsi="FangSong" w:eastAsia="FangSong" w:cs="FangSong"/>
          <w:sz w:val="24"/>
          <w:szCs w:val="24"/>
          <w:spacing w:val="-49"/>
        </w:rPr>
        <w:t xml:space="preserve"> </w:t>
      </w:r>
      <w:r>
        <w:rPr>
          <w:rFonts w:ascii="FangSong" w:hAnsi="FangSong" w:eastAsia="FangSong" w:cs="FangSong"/>
          <w:sz w:val="24"/>
          <w:szCs w:val="24"/>
          <w:spacing w:val="-1"/>
        </w:rPr>
        <w:t>日积月</w:t>
      </w:r>
      <w:r>
        <w:rPr>
          <w:rFonts w:ascii="FangSong" w:hAnsi="FangSong" w:eastAsia="FangSong" w:cs="FangSong"/>
          <w:sz w:val="24"/>
          <w:szCs w:val="24"/>
          <w:spacing w:val="-2"/>
        </w:rPr>
        <w:t>累，土壤含盐量逐渐增加，形成盐碱土；</w:t>
      </w:r>
    </w:p>
    <w:p>
      <w:pPr>
        <w:ind w:left="124" w:right="107" w:firstLine="485"/>
        <w:spacing w:before="176"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）另一是地势低洼，没有排水出路。洼地水分蒸发后，即留下盐分，也形成</w:t>
      </w:r>
      <w:r>
        <w:rPr>
          <w:rFonts w:ascii="FangSong" w:hAnsi="FangSong" w:eastAsia="FangSong" w:cs="FangSong"/>
          <w:sz w:val="24"/>
          <w:szCs w:val="24"/>
          <w:spacing w:val="1"/>
        </w:rPr>
        <w:t>盐碱地；土壤造成酸化的主要原因是土壤吸收性复合体接受了一定数量交换性氢离</w:t>
      </w:r>
      <w:r>
        <w:rPr>
          <w:rFonts w:ascii="FangSong" w:hAnsi="FangSong" w:eastAsia="FangSong" w:cs="FangSong"/>
          <w:sz w:val="24"/>
          <w:szCs w:val="24"/>
          <w:spacing w:val="-1"/>
        </w:rPr>
        <w:t>子或氯离子，使土壤中碱性（盐基）离子淋失的过程，与酸雨、施肥等有关。</w:t>
      </w:r>
    </w:p>
    <w:p>
      <w:pPr>
        <w:ind w:left="126" w:right="109" w:firstLine="479"/>
        <w:spacing w:before="181" w:line="359" w:lineRule="auto"/>
        <w:jc w:val="both"/>
        <w:rPr>
          <w:rFonts w:ascii="FangSong" w:hAnsi="FangSong" w:eastAsia="FangSong" w:cs="FangSong"/>
          <w:sz w:val="24"/>
          <w:szCs w:val="24"/>
        </w:rPr>
      </w:pPr>
      <w:r>
        <w:rPr>
          <w:rFonts w:ascii="FangSong" w:hAnsi="FangSong" w:eastAsia="FangSong" w:cs="FangSong"/>
          <w:sz w:val="24"/>
          <w:szCs w:val="24"/>
          <w:spacing w:val="1"/>
        </w:rPr>
        <w:t>本项目开采方式为地下开采，导致地下水涌出，水位下降，涌出的地下水经地</w:t>
      </w:r>
      <w:r>
        <w:rPr>
          <w:rFonts w:ascii="FangSong" w:hAnsi="FangSong" w:eastAsia="FangSong" w:cs="FangSong"/>
          <w:sz w:val="24"/>
          <w:szCs w:val="24"/>
          <w:spacing w:val="1"/>
        </w:rPr>
        <w:t>表高位水池沉淀沉淀后，全部回用于生产，不会引</w:t>
      </w:r>
      <w:r>
        <w:rPr>
          <w:rFonts w:ascii="FangSong" w:hAnsi="FangSong" w:eastAsia="FangSong" w:cs="FangSong"/>
          <w:sz w:val="24"/>
          <w:szCs w:val="24"/>
        </w:rPr>
        <w:t>起地表水分蒸发、碱性（盐基）</w:t>
      </w:r>
      <w:r>
        <w:rPr>
          <w:rFonts w:ascii="FangSong" w:hAnsi="FangSong" w:eastAsia="FangSong" w:cs="FangSong"/>
          <w:sz w:val="24"/>
          <w:szCs w:val="24"/>
          <w:spacing w:val="-1"/>
        </w:rPr>
        <w:t>离子淋失等情况。故土壤环境影响类型划分为污染影响型。</w:t>
      </w:r>
    </w:p>
    <w:p>
      <w:pPr>
        <w:ind w:left="129" w:right="109" w:firstLine="475"/>
        <w:spacing w:before="2" w:line="359" w:lineRule="auto"/>
        <w:rPr>
          <w:rFonts w:ascii="FangSong" w:hAnsi="FangSong" w:eastAsia="FangSong" w:cs="FangSong"/>
          <w:sz w:val="24"/>
          <w:szCs w:val="24"/>
        </w:rPr>
      </w:pPr>
      <w:r>
        <w:rPr>
          <w:rFonts w:ascii="FangSong" w:hAnsi="FangSong" w:eastAsia="FangSong" w:cs="FangSong"/>
          <w:sz w:val="24"/>
          <w:szCs w:val="24"/>
          <w:spacing w:val="1"/>
        </w:rPr>
        <w:t>根据污染影响型划分依据，将建设项目占地规模分为大型</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rPr>
        <w:t>hm</w:t>
      </w:r>
      <w:r>
        <w:rPr>
          <w:rFonts w:ascii="Times New Roman" w:hAnsi="Times New Roman" w:eastAsia="Times New Roman" w:cs="Times New Roman"/>
          <w:sz w:val="15"/>
          <w:szCs w:val="15"/>
          <w:spacing w:val="1"/>
          <w:position w:val="7"/>
        </w:rPr>
        <w:t>2 </w:t>
      </w:r>
      <w:r>
        <w:rPr>
          <w:rFonts w:ascii="FangSong" w:hAnsi="FangSong" w:eastAsia="FangSong" w:cs="FangSong"/>
          <w:sz w:val="24"/>
          <w:szCs w:val="24"/>
          <w:spacing w:val="1"/>
        </w:rPr>
        <w:t>）、</w:t>
      </w:r>
      <w:r>
        <w:rPr>
          <w:rFonts w:ascii="FangSong" w:hAnsi="FangSong" w:eastAsia="FangSong" w:cs="FangSong"/>
          <w:sz w:val="24"/>
          <w:szCs w:val="24"/>
          <w:spacing w:val="-58"/>
        </w:rPr>
        <w:t xml:space="preserve"> </w:t>
      </w:r>
      <w:r>
        <w:rPr>
          <w:rFonts w:ascii="FangSong" w:hAnsi="FangSong" w:eastAsia="FangSong" w:cs="FangSong"/>
          <w:sz w:val="24"/>
          <w:szCs w:val="24"/>
          <w:spacing w:val="1"/>
        </w:rPr>
        <w:t>中型</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5-50hm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）、小型</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5hm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10"/>
        </w:rPr>
        <w:t>），</w:t>
      </w:r>
      <w:r>
        <w:rPr>
          <w:rFonts w:ascii="FangSong" w:hAnsi="FangSong" w:eastAsia="FangSong" w:cs="FangSong"/>
          <w:sz w:val="24"/>
          <w:szCs w:val="24"/>
          <w:spacing w:val="-2"/>
        </w:rPr>
        <w:t>建设项目占地主要为永</w:t>
      </w:r>
      <w:r>
        <w:rPr>
          <w:rFonts w:ascii="FangSong" w:hAnsi="FangSong" w:eastAsia="FangSong" w:cs="FangSong"/>
          <w:sz w:val="24"/>
          <w:szCs w:val="24"/>
          <w:spacing w:val="-3"/>
        </w:rPr>
        <w:t>久占地。</w:t>
      </w:r>
    </w:p>
    <w:p>
      <w:pPr>
        <w:ind w:left="125" w:right="109" w:firstLine="480"/>
        <w:spacing w:before="1" w:line="358" w:lineRule="auto"/>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土壤环境（试</w:t>
      </w:r>
      <w:r>
        <w:rPr>
          <w:rFonts w:ascii="FangSong" w:hAnsi="FangSong" w:eastAsia="FangSong" w:cs="FangSong"/>
          <w:sz w:val="24"/>
          <w:szCs w:val="24"/>
          <w:spacing w:val="-3"/>
        </w:rPr>
        <w:t>行）》（</w:t>
      </w:r>
      <w:r>
        <w:rPr>
          <w:rFonts w:ascii="Times New Roman" w:hAnsi="Times New Roman" w:eastAsia="Times New Roman" w:cs="Times New Roman"/>
          <w:sz w:val="24"/>
          <w:szCs w:val="24"/>
          <w:spacing w:val="-3"/>
        </w:rPr>
        <w:t>HJ964-2018</w:t>
      </w:r>
      <w:r>
        <w:rPr>
          <w:rFonts w:ascii="FangSong" w:hAnsi="FangSong" w:eastAsia="FangSong" w:cs="FangSong"/>
          <w:sz w:val="24"/>
          <w:szCs w:val="24"/>
          <w:spacing w:val="-3"/>
        </w:rPr>
        <w:t>）附录</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，本</w:t>
      </w:r>
      <w:r>
        <w:rPr>
          <w:rFonts w:ascii="FangSong" w:hAnsi="FangSong" w:eastAsia="FangSong" w:cs="FangSong"/>
          <w:sz w:val="24"/>
          <w:szCs w:val="24"/>
          <w:spacing w:val="-3"/>
        </w:rPr>
        <w:t>项目属采矿业</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其他，为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III</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3"/>
        </w:rPr>
        <w:t>类项目。</w:t>
      </w:r>
    </w:p>
    <w:p>
      <w:pPr>
        <w:ind w:left="125" w:right="107" w:firstLine="479"/>
        <w:spacing w:line="361" w:lineRule="auto"/>
        <w:rPr>
          <w:rFonts w:ascii="FangSong" w:hAnsi="FangSong" w:eastAsia="FangSong" w:cs="FangSong"/>
          <w:sz w:val="24"/>
          <w:szCs w:val="24"/>
        </w:rPr>
      </w:pPr>
      <w:r>
        <w:rPr>
          <w:rFonts w:ascii="FangSong" w:hAnsi="FangSong" w:eastAsia="FangSong" w:cs="FangSong"/>
          <w:sz w:val="24"/>
          <w:szCs w:val="24"/>
          <w:spacing w:val="1"/>
        </w:rPr>
        <w:t>建设项目所在地周边的土壤环境敏感程度分为敏感、较敏感、不敏感，判别依</w:t>
      </w:r>
      <w:r>
        <w:rPr>
          <w:rFonts w:ascii="FangSong" w:hAnsi="FangSong" w:eastAsia="FangSong" w:cs="FangSong"/>
          <w:sz w:val="24"/>
          <w:szCs w:val="24"/>
          <w:spacing w:val="-3"/>
        </w:rPr>
        <w:t>据见表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2.5-10</w:t>
      </w:r>
      <w:r>
        <w:rPr>
          <w:rFonts w:ascii="FangSong" w:hAnsi="FangSong" w:eastAsia="FangSong" w:cs="FangSong"/>
          <w:sz w:val="24"/>
          <w:szCs w:val="24"/>
          <w:spacing w:val="-3"/>
        </w:rPr>
        <w:t>。</w:t>
      </w:r>
    </w:p>
    <w:p>
      <w:pPr>
        <w:spacing w:line="361" w:lineRule="auto"/>
        <w:sectPr>
          <w:footerReference w:type="default" r:id="rId69"/>
          <w:pgSz w:w="11911" w:h="16839"/>
          <w:pgMar w:top="400" w:right="1309" w:bottom="1146" w:left="1689" w:header="0" w:footer="984" w:gutter="0"/>
        </w:sectPr>
        <w:rPr>
          <w:rFonts w:ascii="FangSong" w:hAnsi="FangSong" w:eastAsia="FangSong" w:cs="FangSong"/>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507"/>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2.5-10  </w:t>
      </w:r>
      <w:r>
        <w:rPr>
          <w:rFonts w:ascii="FangSong" w:hAnsi="FangSong" w:eastAsia="FangSong" w:cs="FangSong"/>
          <w:sz w:val="24"/>
          <w:szCs w:val="24"/>
          <w:b/>
          <w:bCs/>
          <w:spacing w:val="-3"/>
        </w:rPr>
        <w:t>污染影响型敏感程度分级表</w:t>
      </w:r>
    </w:p>
    <w:p>
      <w:pPr>
        <w:spacing w:line="143"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5"/>
        <w:gridCol w:w="7457"/>
      </w:tblGrid>
      <w:tr>
        <w:trPr>
          <w:trHeight w:val="389" w:hRule="atLeast"/>
        </w:trPr>
        <w:tc>
          <w:tcPr>
            <w:tcW w:w="1455" w:type="dxa"/>
            <w:vAlign w:val="top"/>
            <w:tcBorders>
              <w:left w:val="nil"/>
              <w:top w:val="single" w:color="000000" w:sz="10" w:space="0"/>
            </w:tcBorders>
          </w:tcPr>
          <w:p>
            <w:pPr>
              <w:pStyle w:val="TableText"/>
              <w:ind w:left="321"/>
              <w:spacing w:before="89" w:line="232" w:lineRule="auto"/>
              <w:rPr/>
            </w:pPr>
            <w:r>
              <w:rPr>
                <w:spacing w:val="5"/>
              </w:rPr>
              <w:t>敏感程度</w:t>
            </w:r>
          </w:p>
        </w:tc>
        <w:tc>
          <w:tcPr>
            <w:tcW w:w="7457" w:type="dxa"/>
            <w:vAlign w:val="top"/>
            <w:tcBorders>
              <w:right w:val="nil"/>
              <w:top w:val="single" w:color="000000" w:sz="10" w:space="0"/>
            </w:tcBorders>
          </w:tcPr>
          <w:p>
            <w:pPr>
              <w:pStyle w:val="TableText"/>
              <w:ind w:left="3324"/>
              <w:spacing w:before="89" w:line="232" w:lineRule="auto"/>
              <w:rPr/>
            </w:pPr>
            <w:r>
              <w:rPr>
                <w:spacing w:val="5"/>
              </w:rPr>
              <w:t>判别依据</w:t>
            </w:r>
          </w:p>
        </w:tc>
      </w:tr>
      <w:tr>
        <w:trPr>
          <w:trHeight w:val="715" w:hRule="atLeast"/>
        </w:trPr>
        <w:tc>
          <w:tcPr>
            <w:tcW w:w="1455" w:type="dxa"/>
            <w:vAlign w:val="top"/>
            <w:tcBorders>
              <w:left w:val="nil"/>
            </w:tcBorders>
          </w:tcPr>
          <w:p>
            <w:pPr>
              <w:pStyle w:val="TableText"/>
              <w:ind w:left="530"/>
              <w:spacing w:before="259" w:line="232" w:lineRule="auto"/>
              <w:rPr/>
            </w:pPr>
            <w:r>
              <w:rPr>
                <w:spacing w:val="2"/>
              </w:rPr>
              <w:t>敏感</w:t>
            </w:r>
          </w:p>
        </w:tc>
        <w:tc>
          <w:tcPr>
            <w:tcW w:w="7457" w:type="dxa"/>
            <w:vAlign w:val="top"/>
            <w:tcBorders>
              <w:right w:val="nil"/>
            </w:tcBorders>
          </w:tcPr>
          <w:p>
            <w:pPr>
              <w:pStyle w:val="TableText"/>
              <w:ind w:right="13"/>
              <w:spacing w:before="123" w:line="228" w:lineRule="auto"/>
              <w:jc w:val="right"/>
              <w:rPr/>
            </w:pPr>
            <w:r>
              <w:rPr>
                <w:spacing w:val="9"/>
              </w:rPr>
              <w:t>建设项目周边存在耕地、园地、牧草地、饮用水水源地或居民区、学校、医院、</w:t>
            </w:r>
          </w:p>
          <w:p>
            <w:pPr>
              <w:pStyle w:val="TableText"/>
              <w:ind w:left="1958"/>
              <w:spacing w:before="24" w:line="229" w:lineRule="auto"/>
              <w:rPr/>
            </w:pPr>
            <w:r>
              <w:rPr>
                <w:spacing w:val="8"/>
              </w:rPr>
              <w:t>疗养院、养老院等土壤环境敏感目标的</w:t>
            </w:r>
          </w:p>
        </w:tc>
      </w:tr>
      <w:tr>
        <w:trPr>
          <w:trHeight w:val="380" w:hRule="atLeast"/>
        </w:trPr>
        <w:tc>
          <w:tcPr>
            <w:tcW w:w="1455" w:type="dxa"/>
            <w:vAlign w:val="top"/>
            <w:tcBorders>
              <w:left w:val="nil"/>
            </w:tcBorders>
          </w:tcPr>
          <w:p>
            <w:pPr>
              <w:pStyle w:val="TableText"/>
              <w:ind w:left="425"/>
              <w:spacing w:before="99" w:line="230" w:lineRule="auto"/>
              <w:rPr/>
            </w:pPr>
            <w:r>
              <w:rPr>
                <w:spacing w:val="4"/>
              </w:rPr>
              <w:t>较敏感</w:t>
            </w:r>
          </w:p>
        </w:tc>
        <w:tc>
          <w:tcPr>
            <w:tcW w:w="7457" w:type="dxa"/>
            <w:vAlign w:val="top"/>
            <w:tcBorders>
              <w:right w:val="nil"/>
            </w:tcBorders>
          </w:tcPr>
          <w:p>
            <w:pPr>
              <w:pStyle w:val="TableText"/>
              <w:ind w:left="1744"/>
              <w:spacing w:before="99" w:line="228" w:lineRule="auto"/>
              <w:rPr/>
            </w:pPr>
            <w:r>
              <w:rPr>
                <w:spacing w:val="9"/>
              </w:rPr>
              <w:t>建设项目周边存在其他土壤环境敏感目标的</w:t>
            </w:r>
          </w:p>
        </w:tc>
      </w:tr>
      <w:tr>
        <w:trPr>
          <w:trHeight w:val="399" w:hRule="atLeast"/>
        </w:trPr>
        <w:tc>
          <w:tcPr>
            <w:tcW w:w="1455" w:type="dxa"/>
            <w:vAlign w:val="top"/>
            <w:tcBorders>
              <w:left w:val="nil"/>
              <w:bottom w:val="single" w:color="000000" w:sz="10" w:space="0"/>
            </w:tcBorders>
          </w:tcPr>
          <w:p>
            <w:pPr>
              <w:pStyle w:val="TableText"/>
              <w:ind w:left="429"/>
              <w:spacing w:before="102" w:line="232" w:lineRule="auto"/>
              <w:rPr/>
            </w:pPr>
            <w:r>
              <w:rPr>
                <w:spacing w:val="3"/>
              </w:rPr>
              <w:t>不敏感</w:t>
            </w:r>
          </w:p>
        </w:tc>
        <w:tc>
          <w:tcPr>
            <w:tcW w:w="7457" w:type="dxa"/>
            <w:vAlign w:val="top"/>
            <w:tcBorders>
              <w:right w:val="nil"/>
              <w:bottom w:val="single" w:color="000000" w:sz="10" w:space="0"/>
            </w:tcBorders>
          </w:tcPr>
          <w:p>
            <w:pPr>
              <w:pStyle w:val="TableText"/>
              <w:ind w:left="3322"/>
              <w:spacing w:before="103" w:line="230" w:lineRule="auto"/>
              <w:rPr/>
            </w:pPr>
            <w:r>
              <w:rPr>
                <w:spacing w:val="5"/>
              </w:rPr>
              <w:t>其他情况</w:t>
            </w:r>
          </w:p>
        </w:tc>
      </w:tr>
    </w:tbl>
    <w:p>
      <w:pPr>
        <w:pStyle w:val="BodyText"/>
        <w:spacing w:line="371" w:lineRule="auto"/>
        <w:rPr/>
      </w:pPr>
      <w:r/>
    </w:p>
    <w:p>
      <w:pPr>
        <w:ind w:left="125" w:right="107" w:firstLine="480"/>
        <w:spacing w:before="78" w:line="359" w:lineRule="auto"/>
        <w:rPr>
          <w:rFonts w:ascii="FangSong" w:hAnsi="FangSong" w:eastAsia="FangSong" w:cs="FangSong"/>
          <w:sz w:val="24"/>
          <w:szCs w:val="24"/>
        </w:rPr>
      </w:pPr>
      <w:r>
        <w:rPr>
          <w:rFonts w:ascii="FangSong" w:hAnsi="FangSong" w:eastAsia="FangSong" w:cs="FangSong"/>
          <w:sz w:val="24"/>
          <w:szCs w:val="24"/>
          <w:spacing w:val="-1"/>
        </w:rPr>
        <w:t>根据土壤环境影响评价项目类别、</w:t>
      </w:r>
      <w:r>
        <w:rPr>
          <w:rFonts w:ascii="FangSong" w:hAnsi="FangSong" w:eastAsia="FangSong" w:cs="FangSong"/>
          <w:sz w:val="24"/>
          <w:szCs w:val="24"/>
          <w:spacing w:val="-47"/>
        </w:rPr>
        <w:t xml:space="preserve"> </w:t>
      </w:r>
      <w:r>
        <w:rPr>
          <w:rFonts w:ascii="FangSong" w:hAnsi="FangSong" w:eastAsia="FangSong" w:cs="FangSong"/>
          <w:sz w:val="24"/>
          <w:szCs w:val="24"/>
          <w:spacing w:val="-1"/>
        </w:rPr>
        <w:t>占地规模与敏感程度划分评价工作等级，具</w:t>
      </w:r>
      <w:r>
        <w:rPr>
          <w:rFonts w:ascii="FangSong" w:hAnsi="FangSong" w:eastAsia="FangSong" w:cs="FangSong"/>
          <w:sz w:val="24"/>
          <w:szCs w:val="24"/>
          <w:spacing w:val="-3"/>
        </w:rPr>
        <w:t>体见表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2.5-11</w:t>
      </w:r>
      <w:r>
        <w:rPr>
          <w:rFonts w:ascii="FangSong" w:hAnsi="FangSong" w:eastAsia="FangSong" w:cs="FangSong"/>
          <w:sz w:val="24"/>
          <w:szCs w:val="24"/>
          <w:spacing w:val="-3"/>
        </w:rPr>
        <w:t>。</w:t>
      </w:r>
    </w:p>
    <w:p>
      <w:pPr>
        <w:pStyle w:val="BodyText"/>
        <w:spacing w:line="332" w:lineRule="auto"/>
        <w:rPr/>
      </w:pPr>
      <w:r/>
    </w:p>
    <w:p>
      <w:pPr>
        <w:ind w:left="2274"/>
        <w:spacing w:before="78"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spacing w:val="-3"/>
        </w:rPr>
        <w:t>2.5-11  </w:t>
      </w:r>
      <w:r>
        <w:rPr>
          <w:rFonts w:ascii="FangSong" w:hAnsi="FangSong" w:eastAsia="FangSong" w:cs="FangSong"/>
          <w:sz w:val="24"/>
          <w:szCs w:val="24"/>
          <w:b/>
          <w:bCs/>
          <w:spacing w:val="-3"/>
        </w:rPr>
        <w:t>污染影响型评价工作等级划分表</w:t>
      </w:r>
    </w:p>
    <w:p>
      <w:pPr>
        <w:spacing w:line="145"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33"/>
        <w:gridCol w:w="772"/>
        <w:gridCol w:w="774"/>
        <w:gridCol w:w="702"/>
        <w:gridCol w:w="845"/>
        <w:gridCol w:w="773"/>
        <w:gridCol w:w="818"/>
        <w:gridCol w:w="726"/>
        <w:gridCol w:w="774"/>
        <w:gridCol w:w="795"/>
      </w:tblGrid>
      <w:tr>
        <w:trPr>
          <w:trHeight w:val="276" w:hRule="atLeast"/>
        </w:trPr>
        <w:tc>
          <w:tcPr>
            <w:tcW w:w="1933" w:type="dxa"/>
            <w:vAlign w:val="top"/>
            <w:tcBorders>
              <w:left w:val="nil"/>
              <w:bottom w:val="nil"/>
              <w:top w:val="single" w:color="000000" w:sz="10" w:space="0"/>
            </w:tcBorders>
          </w:tcPr>
          <w:p>
            <w:pPr>
              <w:pStyle w:val="TableText"/>
              <w:ind w:left="142"/>
              <w:spacing w:before="35" w:line="213" w:lineRule="auto"/>
              <w:rPr/>
            </w:pPr>
            <w:r>
              <w:drawing>
                <wp:anchor distT="0" distB="0" distL="0" distR="0" simplePos="0" relativeHeight="251658240" behindDoc="1" locked="0" layoutInCell="1" allowOverlap="1">
                  <wp:simplePos x="0" y="0"/>
                  <wp:positionH relativeFrom="column">
                    <wp:posOffset>608965</wp:posOffset>
                  </wp:positionH>
                  <wp:positionV relativeFrom="paragraph">
                    <wp:posOffset>-139</wp:posOffset>
                  </wp:positionV>
                  <wp:extent cx="618489" cy="892175"/>
                  <wp:effectExtent l="0" t="0" r="0" b="0"/>
                  <wp:wrapNone/>
                  <wp:docPr id="6" name="IM 6"/>
                  <wp:cNvGraphicFramePr/>
                  <a:graphic>
                    <a:graphicData uri="http://schemas.openxmlformats.org/drawingml/2006/picture">
                      <pic:pic>
                        <pic:nvPicPr>
                          <pic:cNvPr id="6" name="IM 6"/>
                          <pic:cNvPicPr/>
                        </pic:nvPicPr>
                        <pic:blipFill>
                          <a:blip r:embed="rId71"/>
                          <a:stretch>
                            <a:fillRect/>
                          </a:stretch>
                        </pic:blipFill>
                        <pic:spPr>
                          <a:xfrm rot="0">
                            <a:off x="0" y="0"/>
                            <a:ext cx="618489" cy="892175"/>
                          </a:xfrm>
                          <a:prstGeom prst="rect">
                            <a:avLst/>
                          </a:prstGeom>
                        </pic:spPr>
                      </pic:pic>
                    </a:graphicData>
                  </a:graphic>
                </wp:anchor>
              </w:drawing>
            </w:r>
            <w:r>
              <w:rPr>
                <w:spacing w:val="5"/>
              </w:rPr>
              <w:t>评价工作</w:t>
            </w:r>
            <w:r>
              <w:rPr>
                <w:spacing w:val="14"/>
              </w:rPr>
              <w:t xml:space="preserve">  </w:t>
            </w:r>
            <w:r>
              <w:rPr>
                <w:spacing w:val="5"/>
              </w:rPr>
              <w:t>项目类</w:t>
            </w:r>
          </w:p>
        </w:tc>
        <w:tc>
          <w:tcPr>
            <w:tcW w:w="2248" w:type="dxa"/>
            <w:vAlign w:val="top"/>
            <w:gridSpan w:val="3"/>
            <w:tcBorders>
              <w:bottom w:val="nil"/>
              <w:top w:val="single" w:color="000000" w:sz="10" w:space="0"/>
            </w:tcBorders>
          </w:tcPr>
          <w:p>
            <w:pPr>
              <w:rPr>
                <w:rFonts w:ascii="Arial"/>
                <w:sz w:val="21"/>
              </w:rPr>
            </w:pPr>
            <w:r/>
          </w:p>
        </w:tc>
        <w:tc>
          <w:tcPr>
            <w:tcW w:w="2436" w:type="dxa"/>
            <w:vAlign w:val="top"/>
            <w:gridSpan w:val="3"/>
            <w:tcBorders>
              <w:bottom w:val="nil"/>
              <w:top w:val="single" w:color="000000" w:sz="10" w:space="0"/>
            </w:tcBorders>
          </w:tcPr>
          <w:p>
            <w:pPr>
              <w:rPr>
                <w:rFonts w:ascii="Arial"/>
                <w:sz w:val="21"/>
              </w:rPr>
            </w:pPr>
            <w:r/>
          </w:p>
        </w:tc>
        <w:tc>
          <w:tcPr>
            <w:tcW w:w="2295" w:type="dxa"/>
            <w:vAlign w:val="top"/>
            <w:gridSpan w:val="3"/>
            <w:tcBorders>
              <w:bottom w:val="nil"/>
              <w:right w:val="nil"/>
              <w:top w:val="single" w:color="000000" w:sz="10" w:space="0"/>
            </w:tcBorders>
          </w:tcPr>
          <w:p>
            <w:pPr>
              <w:rPr>
                <w:rFonts w:ascii="Arial"/>
                <w:sz w:val="21"/>
              </w:rPr>
            </w:pPr>
            <w:r/>
          </w:p>
        </w:tc>
      </w:tr>
      <w:tr>
        <w:trPr>
          <w:trHeight w:val="679" w:hRule="atLeast"/>
        </w:trPr>
        <w:tc>
          <w:tcPr>
            <w:tcW w:w="1933" w:type="dxa"/>
            <w:vAlign w:val="top"/>
            <w:vMerge w:val="restart"/>
            <w:tcBorders>
              <w:left w:val="nil"/>
              <w:top w:val="nil"/>
              <w:bottom w:val="nil"/>
            </w:tcBorders>
          </w:tcPr>
          <w:p>
            <w:pPr>
              <w:pStyle w:val="TableText"/>
              <w:spacing w:before="33" w:line="1088" w:lineRule="exact"/>
              <w:rPr/>
            </w:pPr>
            <w:r>
              <w:rPr>
                <w:position w:val="-22"/>
              </w:rPr>
              <w:pict>
                <v:group id="_x0000_s10" style="mso-position-vertical-relative:line;mso-position-horizontal-relative:char;width:96.7pt;height:54.8pt;" filled="false" stroked="false" coordsize="1933,1095" coordorigin="0,0">
                  <v:shape id="_x0000_s12" style="position:absolute;left:0;top:390;width:1933;height:705;" filled="false" stroked="false" type="#_x0000_t75">
                    <v:imagedata o:title="" r:id="rId72"/>
                  </v:shape>
                  <v:shape id="_x0000_s14" style="position:absolute;left:109;top:-20;width:1695;height:1065;" filled="false" stroked="false" type="#_x0000_t202">
                    <v:fill on="false"/>
                    <v:stroke on="false"/>
                    <v:path/>
                    <v:imagedata o:title=""/>
                    <o:lock v:ext="edit" aspectratio="false"/>
                    <v:textbox inset="0mm,0mm,0mm,0mm">
                      <w:txbxContent>
                        <w:p>
                          <w:pPr>
                            <w:ind w:left="341"/>
                            <w:spacing w:before="19" w:line="232" w:lineRule="auto"/>
                            <w:rPr>
                              <w:rFonts w:ascii="FangSong" w:hAnsi="FangSong" w:eastAsia="FangSong" w:cs="FangSong"/>
                              <w:sz w:val="20"/>
                              <w:szCs w:val="20"/>
                            </w:rPr>
                          </w:pPr>
                          <w:r>
                            <w:rPr>
                              <w:rFonts w:ascii="FangSong" w:hAnsi="FangSong" w:eastAsia="FangSong" w:cs="FangSong"/>
                              <w:sz w:val="20"/>
                              <w:szCs w:val="20"/>
                              <w:spacing w:val="-2"/>
                            </w:rPr>
                            <w:t>等级</w:t>
                          </w:r>
                          <w:r>
                            <w:rPr>
                              <w:rFonts w:ascii="FangSong" w:hAnsi="FangSong" w:eastAsia="FangSong" w:cs="FangSong"/>
                              <w:sz w:val="20"/>
                              <w:szCs w:val="20"/>
                              <w:spacing w:val="8"/>
                            </w:rPr>
                            <w:t xml:space="preserve">      </w:t>
                          </w:r>
                          <w:r>
                            <w:rPr>
                              <w:rFonts w:ascii="FangSong" w:hAnsi="FangSong" w:eastAsia="FangSong" w:cs="FangSong"/>
                              <w:sz w:val="20"/>
                              <w:szCs w:val="20"/>
                              <w:spacing w:val="-2"/>
                            </w:rPr>
                            <w:t>别</w:t>
                          </w:r>
                        </w:p>
                        <w:p>
                          <w:pPr>
                            <w:ind w:left="20" w:right="20" w:firstLine="1461"/>
                            <w:spacing w:before="19" w:line="249" w:lineRule="auto"/>
                            <w:rPr>
                              <w:rFonts w:ascii="FangSong" w:hAnsi="FangSong" w:eastAsia="FangSong" w:cs="FangSong"/>
                              <w:sz w:val="20"/>
                              <w:szCs w:val="20"/>
                            </w:rPr>
                          </w:pPr>
                          <w:r>
                            <w:rPr>
                              <w:rFonts w:ascii="FangSong" w:hAnsi="FangSong" w:eastAsia="FangSong" w:cs="FangSong"/>
                              <w:sz w:val="20"/>
                              <w:szCs w:val="20"/>
                              <w:spacing w:val="-8"/>
                            </w:rPr>
                            <w:t>类</w:t>
                          </w:r>
                          <w:r>
                            <w:rPr>
                              <w:rFonts w:ascii="FangSong" w:hAnsi="FangSong" w:eastAsia="FangSong" w:cs="FangSong"/>
                              <w:sz w:val="20"/>
                              <w:szCs w:val="20"/>
                            </w:rPr>
                            <w:t>敏</w:t>
                          </w:r>
                        </w:p>
                        <w:p>
                          <w:pPr>
                            <w:ind w:left="187"/>
                            <w:spacing w:line="232" w:lineRule="auto"/>
                            <w:rPr>
                              <w:rFonts w:ascii="FangSong" w:hAnsi="FangSong" w:eastAsia="FangSong" w:cs="FangSong"/>
                              <w:sz w:val="20"/>
                              <w:szCs w:val="20"/>
                            </w:rPr>
                          </w:pPr>
                          <w:r>
                            <w:rPr>
                              <w:rFonts w:ascii="FangSong" w:hAnsi="FangSong" w:eastAsia="FangSong" w:cs="FangSong"/>
                              <w:sz w:val="20"/>
                              <w:szCs w:val="20"/>
                              <w:spacing w:val="3"/>
                            </w:rPr>
                            <w:t>感程度</w:t>
                          </w:r>
                        </w:p>
                      </w:txbxContent>
                    </v:textbox>
                  </v:shape>
                </v:group>
              </w:pict>
            </w:r>
          </w:p>
        </w:tc>
        <w:tc>
          <w:tcPr>
            <w:tcW w:w="2248" w:type="dxa"/>
            <w:vAlign w:val="top"/>
            <w:gridSpan w:val="3"/>
            <w:tcBorders>
              <w:top w:val="nil"/>
            </w:tcBorders>
          </w:tcPr>
          <w:p>
            <w:pPr>
              <w:pStyle w:val="TableText"/>
              <w:ind w:left="959"/>
              <w:spacing w:before="97" w:line="233" w:lineRule="auto"/>
              <w:rPr/>
            </w:pPr>
            <w:r>
              <w:rPr>
                <w:rFonts w:ascii="Times New Roman" w:hAnsi="Times New Roman" w:eastAsia="Times New Roman" w:cs="Times New Roman"/>
                <w:spacing w:val="-2"/>
              </w:rPr>
              <w:t>I</w:t>
            </w:r>
            <w:r>
              <w:rPr>
                <w:rFonts w:ascii="Times New Roman" w:hAnsi="Times New Roman" w:eastAsia="Times New Roman" w:cs="Times New Roman"/>
                <w:spacing w:val="19"/>
                <w:w w:val="101"/>
              </w:rPr>
              <w:t xml:space="preserve"> </w:t>
            </w:r>
            <w:r>
              <w:rPr>
                <w:spacing w:val="-2"/>
              </w:rPr>
              <w:t>类</w:t>
            </w:r>
          </w:p>
        </w:tc>
        <w:tc>
          <w:tcPr>
            <w:tcW w:w="2436" w:type="dxa"/>
            <w:vAlign w:val="top"/>
            <w:gridSpan w:val="3"/>
            <w:tcBorders>
              <w:top w:val="nil"/>
            </w:tcBorders>
          </w:tcPr>
          <w:p>
            <w:pPr>
              <w:pStyle w:val="TableText"/>
              <w:ind w:left="1020"/>
              <w:spacing w:before="97" w:line="233" w:lineRule="auto"/>
              <w:rPr/>
            </w:pPr>
            <w:r>
              <w:rPr>
                <w:rFonts w:ascii="Times New Roman" w:hAnsi="Times New Roman" w:eastAsia="Times New Roman" w:cs="Times New Roman"/>
                <w:spacing w:val="-1"/>
              </w:rPr>
              <w:t>II</w:t>
            </w:r>
            <w:r>
              <w:rPr>
                <w:rFonts w:ascii="Times New Roman" w:hAnsi="Times New Roman" w:eastAsia="Times New Roman" w:cs="Times New Roman"/>
                <w:spacing w:val="21"/>
                <w:w w:val="101"/>
              </w:rPr>
              <w:t xml:space="preserve"> </w:t>
            </w:r>
            <w:r>
              <w:rPr>
                <w:spacing w:val="-1"/>
              </w:rPr>
              <w:t>类</w:t>
            </w:r>
          </w:p>
        </w:tc>
        <w:tc>
          <w:tcPr>
            <w:tcW w:w="2295" w:type="dxa"/>
            <w:vAlign w:val="top"/>
            <w:gridSpan w:val="3"/>
            <w:tcBorders>
              <w:right w:val="nil"/>
              <w:top w:val="nil"/>
            </w:tcBorders>
          </w:tcPr>
          <w:p>
            <w:pPr>
              <w:pStyle w:val="TableText"/>
              <w:ind w:left="915"/>
              <w:spacing w:before="97" w:line="233" w:lineRule="auto"/>
              <w:rPr/>
            </w:pPr>
            <w:r>
              <w:rPr>
                <w:rFonts w:ascii="Times New Roman" w:hAnsi="Times New Roman" w:eastAsia="Times New Roman" w:cs="Times New Roman"/>
              </w:rPr>
              <w:t>III</w:t>
            </w:r>
            <w:r>
              <w:rPr>
                <w:rFonts w:ascii="Times New Roman" w:hAnsi="Times New Roman" w:eastAsia="Times New Roman" w:cs="Times New Roman"/>
                <w:spacing w:val="21"/>
                <w:w w:val="101"/>
              </w:rPr>
              <w:t xml:space="preserve"> </w:t>
            </w:r>
            <w:r>
              <w:rPr>
                <w:spacing w:val="1"/>
              </w:rPr>
              <w:t>类</w:t>
            </w:r>
          </w:p>
        </w:tc>
      </w:tr>
      <w:tr>
        <w:trPr>
          <w:trHeight w:val="447" w:hRule="atLeast"/>
        </w:trPr>
        <w:tc>
          <w:tcPr>
            <w:tcW w:w="1933" w:type="dxa"/>
            <w:vAlign w:val="top"/>
            <w:vMerge w:val="continue"/>
            <w:tcBorders>
              <w:left w:val="nil"/>
              <w:top w:val="nil"/>
            </w:tcBorders>
          </w:tcPr>
          <w:p>
            <w:pPr>
              <w:rPr>
                <w:rFonts w:ascii="Arial"/>
                <w:sz w:val="21"/>
              </w:rPr>
            </w:pPr>
            <w:r/>
          </w:p>
        </w:tc>
        <w:tc>
          <w:tcPr>
            <w:tcW w:w="772" w:type="dxa"/>
            <w:vAlign w:val="top"/>
          </w:tcPr>
          <w:p>
            <w:pPr>
              <w:pStyle w:val="TableText"/>
              <w:ind w:left="294"/>
              <w:spacing w:before="119" w:line="232" w:lineRule="auto"/>
              <w:rPr/>
            </w:pPr>
            <w:r>
              <w:rPr/>
              <w:t>大</w:t>
            </w:r>
          </w:p>
        </w:tc>
        <w:tc>
          <w:tcPr>
            <w:tcW w:w="774" w:type="dxa"/>
            <w:vAlign w:val="top"/>
          </w:tcPr>
          <w:p>
            <w:pPr>
              <w:pStyle w:val="TableText"/>
              <w:ind w:left="319"/>
              <w:spacing w:before="119" w:line="231" w:lineRule="auto"/>
              <w:rPr/>
            </w:pPr>
            <w:r>
              <w:rPr/>
              <w:t>中</w:t>
            </w:r>
          </w:p>
        </w:tc>
        <w:tc>
          <w:tcPr>
            <w:tcW w:w="702" w:type="dxa"/>
            <w:vAlign w:val="top"/>
          </w:tcPr>
          <w:p>
            <w:pPr>
              <w:pStyle w:val="TableText"/>
              <w:ind w:left="257"/>
              <w:spacing w:before="119" w:line="234" w:lineRule="auto"/>
              <w:rPr/>
            </w:pPr>
            <w:r>
              <w:rPr/>
              <w:t>小</w:t>
            </w:r>
          </w:p>
        </w:tc>
        <w:tc>
          <w:tcPr>
            <w:tcW w:w="845" w:type="dxa"/>
            <w:vAlign w:val="top"/>
          </w:tcPr>
          <w:p>
            <w:pPr>
              <w:pStyle w:val="TableText"/>
              <w:ind w:left="330"/>
              <w:spacing w:before="119" w:line="232" w:lineRule="auto"/>
              <w:rPr/>
            </w:pPr>
            <w:r>
              <w:rPr/>
              <w:t>大</w:t>
            </w:r>
          </w:p>
        </w:tc>
        <w:tc>
          <w:tcPr>
            <w:tcW w:w="773" w:type="dxa"/>
            <w:vAlign w:val="top"/>
          </w:tcPr>
          <w:p>
            <w:pPr>
              <w:pStyle w:val="TableText"/>
              <w:ind w:left="319"/>
              <w:spacing w:before="119" w:line="231" w:lineRule="auto"/>
              <w:rPr/>
            </w:pPr>
            <w:r>
              <w:rPr/>
              <w:t>中</w:t>
            </w:r>
          </w:p>
        </w:tc>
        <w:tc>
          <w:tcPr>
            <w:tcW w:w="818" w:type="dxa"/>
            <w:vAlign w:val="top"/>
          </w:tcPr>
          <w:p>
            <w:pPr>
              <w:pStyle w:val="TableText"/>
              <w:ind w:left="316"/>
              <w:spacing w:before="119" w:line="234" w:lineRule="auto"/>
              <w:rPr/>
            </w:pPr>
            <w:r>
              <w:rPr/>
              <w:t>小</w:t>
            </w:r>
          </w:p>
        </w:tc>
        <w:tc>
          <w:tcPr>
            <w:tcW w:w="726" w:type="dxa"/>
            <w:vAlign w:val="top"/>
          </w:tcPr>
          <w:p>
            <w:pPr>
              <w:pStyle w:val="TableText"/>
              <w:ind w:left="273"/>
              <w:spacing w:before="119" w:line="232" w:lineRule="auto"/>
              <w:rPr/>
            </w:pPr>
            <w:r>
              <w:rPr/>
              <w:t>大</w:t>
            </w:r>
          </w:p>
        </w:tc>
        <w:tc>
          <w:tcPr>
            <w:tcW w:w="774" w:type="dxa"/>
            <w:vAlign w:val="top"/>
          </w:tcPr>
          <w:p>
            <w:pPr>
              <w:pStyle w:val="TableText"/>
              <w:ind w:left="320"/>
              <w:spacing w:before="119" w:line="231" w:lineRule="auto"/>
              <w:rPr/>
            </w:pPr>
            <w:r>
              <w:rPr/>
              <w:t>中</w:t>
            </w:r>
          </w:p>
        </w:tc>
        <w:tc>
          <w:tcPr>
            <w:tcW w:w="795" w:type="dxa"/>
            <w:vAlign w:val="top"/>
            <w:tcBorders>
              <w:right w:val="nil"/>
            </w:tcBorders>
          </w:tcPr>
          <w:p>
            <w:pPr>
              <w:pStyle w:val="TableText"/>
              <w:ind w:left="304"/>
              <w:spacing w:before="119" w:line="234" w:lineRule="auto"/>
              <w:rPr/>
            </w:pPr>
            <w:r>
              <w:rPr/>
              <w:t>小</w:t>
            </w:r>
          </w:p>
        </w:tc>
      </w:tr>
      <w:tr>
        <w:trPr>
          <w:trHeight w:val="287" w:hRule="atLeast"/>
        </w:trPr>
        <w:tc>
          <w:tcPr>
            <w:tcW w:w="1933" w:type="dxa"/>
            <w:vAlign w:val="top"/>
            <w:tcBorders>
              <w:left w:val="nil"/>
            </w:tcBorders>
          </w:tcPr>
          <w:p>
            <w:pPr>
              <w:pStyle w:val="TableText"/>
              <w:ind w:left="770"/>
              <w:spacing w:before="39" w:line="219" w:lineRule="auto"/>
              <w:rPr/>
            </w:pPr>
            <w:r>
              <w:rPr>
                <w:spacing w:val="2"/>
              </w:rPr>
              <w:t>敏感</w:t>
            </w:r>
          </w:p>
        </w:tc>
        <w:tc>
          <w:tcPr>
            <w:tcW w:w="772" w:type="dxa"/>
            <w:vAlign w:val="top"/>
          </w:tcPr>
          <w:p>
            <w:pPr>
              <w:pStyle w:val="TableText"/>
              <w:ind w:left="189"/>
              <w:spacing w:before="39" w:line="219" w:lineRule="auto"/>
              <w:rPr/>
            </w:pPr>
            <w:r>
              <w:rPr/>
              <w:t>一级</w:t>
            </w:r>
          </w:p>
        </w:tc>
        <w:tc>
          <w:tcPr>
            <w:tcW w:w="774" w:type="dxa"/>
            <w:vAlign w:val="top"/>
          </w:tcPr>
          <w:p>
            <w:pPr>
              <w:pStyle w:val="TableText"/>
              <w:ind w:left="192"/>
              <w:spacing w:before="39" w:line="219" w:lineRule="auto"/>
              <w:rPr/>
            </w:pPr>
            <w:r>
              <w:rPr/>
              <w:t>一级</w:t>
            </w:r>
          </w:p>
        </w:tc>
        <w:tc>
          <w:tcPr>
            <w:tcW w:w="702" w:type="dxa"/>
            <w:vAlign w:val="top"/>
          </w:tcPr>
          <w:p>
            <w:pPr>
              <w:pStyle w:val="TableText"/>
              <w:ind w:left="155"/>
              <w:spacing w:before="39" w:line="219" w:lineRule="auto"/>
              <w:rPr/>
            </w:pPr>
            <w:r>
              <w:rPr/>
              <w:t>一级</w:t>
            </w:r>
          </w:p>
        </w:tc>
        <w:tc>
          <w:tcPr>
            <w:tcW w:w="845" w:type="dxa"/>
            <w:vAlign w:val="top"/>
          </w:tcPr>
          <w:p>
            <w:pPr>
              <w:pStyle w:val="TableText"/>
              <w:ind w:left="229"/>
              <w:spacing w:before="39" w:line="219" w:lineRule="auto"/>
              <w:rPr/>
            </w:pPr>
            <w:r>
              <w:rPr>
                <w:spacing w:val="2"/>
              </w:rPr>
              <w:t>二级</w:t>
            </w:r>
          </w:p>
        </w:tc>
        <w:tc>
          <w:tcPr>
            <w:tcW w:w="773" w:type="dxa"/>
            <w:vAlign w:val="top"/>
          </w:tcPr>
          <w:p>
            <w:pPr>
              <w:pStyle w:val="TableText"/>
              <w:ind w:left="195"/>
              <w:spacing w:before="39" w:line="219" w:lineRule="auto"/>
              <w:rPr/>
            </w:pPr>
            <w:r>
              <w:rPr>
                <w:spacing w:val="2"/>
              </w:rPr>
              <w:t>二级</w:t>
            </w:r>
          </w:p>
        </w:tc>
        <w:tc>
          <w:tcPr>
            <w:tcW w:w="818" w:type="dxa"/>
            <w:vAlign w:val="top"/>
          </w:tcPr>
          <w:p>
            <w:pPr>
              <w:pStyle w:val="TableText"/>
              <w:ind w:left="217"/>
              <w:spacing w:before="39" w:line="219" w:lineRule="auto"/>
              <w:rPr/>
            </w:pPr>
            <w:r>
              <w:rPr>
                <w:spacing w:val="2"/>
              </w:rPr>
              <w:t>二级</w:t>
            </w:r>
          </w:p>
        </w:tc>
        <w:tc>
          <w:tcPr>
            <w:tcW w:w="726" w:type="dxa"/>
            <w:vAlign w:val="top"/>
          </w:tcPr>
          <w:p>
            <w:pPr>
              <w:pStyle w:val="TableText"/>
              <w:ind w:left="171"/>
              <w:spacing w:before="39" w:line="219" w:lineRule="auto"/>
              <w:rPr/>
            </w:pPr>
            <w:r>
              <w:rPr>
                <w:spacing w:val="-1"/>
              </w:rPr>
              <w:t>三级</w:t>
            </w:r>
          </w:p>
        </w:tc>
        <w:tc>
          <w:tcPr>
            <w:tcW w:w="774" w:type="dxa"/>
            <w:vAlign w:val="top"/>
          </w:tcPr>
          <w:p>
            <w:pPr>
              <w:pStyle w:val="TableText"/>
              <w:ind w:left="193"/>
              <w:spacing w:before="39" w:line="219" w:lineRule="auto"/>
              <w:rPr/>
            </w:pPr>
            <w:r>
              <w:rPr>
                <w:spacing w:val="-1"/>
              </w:rPr>
              <w:t>三级</w:t>
            </w:r>
          </w:p>
        </w:tc>
        <w:tc>
          <w:tcPr>
            <w:tcW w:w="795" w:type="dxa"/>
            <w:vAlign w:val="top"/>
            <w:tcBorders>
              <w:right w:val="nil"/>
            </w:tcBorders>
          </w:tcPr>
          <w:p>
            <w:pPr>
              <w:pStyle w:val="TableText"/>
              <w:ind w:left="204"/>
              <w:spacing w:before="39" w:line="219" w:lineRule="auto"/>
              <w:rPr/>
            </w:pPr>
            <w:r>
              <w:rPr>
                <w:spacing w:val="-1"/>
              </w:rPr>
              <w:t>三级</w:t>
            </w:r>
          </w:p>
        </w:tc>
      </w:tr>
      <w:tr>
        <w:trPr>
          <w:trHeight w:val="287" w:hRule="atLeast"/>
        </w:trPr>
        <w:tc>
          <w:tcPr>
            <w:tcW w:w="1933" w:type="dxa"/>
            <w:vAlign w:val="top"/>
            <w:tcBorders>
              <w:left w:val="nil"/>
            </w:tcBorders>
          </w:tcPr>
          <w:p>
            <w:pPr>
              <w:pStyle w:val="TableText"/>
              <w:ind w:left="665"/>
              <w:spacing w:before="39" w:line="219" w:lineRule="auto"/>
              <w:rPr/>
            </w:pPr>
            <w:r>
              <w:rPr>
                <w:spacing w:val="4"/>
              </w:rPr>
              <w:t>较敏感</w:t>
            </w:r>
          </w:p>
        </w:tc>
        <w:tc>
          <w:tcPr>
            <w:tcW w:w="772" w:type="dxa"/>
            <w:vAlign w:val="top"/>
          </w:tcPr>
          <w:p>
            <w:pPr>
              <w:pStyle w:val="TableText"/>
              <w:ind w:left="189"/>
              <w:spacing w:before="39" w:line="219" w:lineRule="auto"/>
              <w:rPr/>
            </w:pPr>
            <w:r>
              <w:rPr/>
              <w:t>一级</w:t>
            </w:r>
          </w:p>
        </w:tc>
        <w:tc>
          <w:tcPr>
            <w:tcW w:w="774" w:type="dxa"/>
            <w:vAlign w:val="top"/>
          </w:tcPr>
          <w:p>
            <w:pPr>
              <w:pStyle w:val="TableText"/>
              <w:ind w:left="192"/>
              <w:spacing w:before="39" w:line="219" w:lineRule="auto"/>
              <w:rPr/>
            </w:pPr>
            <w:r>
              <w:rPr/>
              <w:t>一级</w:t>
            </w:r>
          </w:p>
        </w:tc>
        <w:tc>
          <w:tcPr>
            <w:tcW w:w="702" w:type="dxa"/>
            <w:vAlign w:val="top"/>
          </w:tcPr>
          <w:p>
            <w:pPr>
              <w:pStyle w:val="TableText"/>
              <w:ind w:left="158"/>
              <w:spacing w:before="39" w:line="219" w:lineRule="auto"/>
              <w:rPr/>
            </w:pPr>
            <w:r>
              <w:rPr>
                <w:spacing w:val="2"/>
              </w:rPr>
              <w:t>二级</w:t>
            </w:r>
          </w:p>
        </w:tc>
        <w:tc>
          <w:tcPr>
            <w:tcW w:w="845" w:type="dxa"/>
            <w:vAlign w:val="top"/>
          </w:tcPr>
          <w:p>
            <w:pPr>
              <w:pStyle w:val="TableText"/>
              <w:ind w:left="229"/>
              <w:spacing w:before="39" w:line="219" w:lineRule="auto"/>
              <w:rPr/>
            </w:pPr>
            <w:r>
              <w:rPr>
                <w:spacing w:val="2"/>
              </w:rPr>
              <w:t>二级</w:t>
            </w:r>
          </w:p>
        </w:tc>
        <w:tc>
          <w:tcPr>
            <w:tcW w:w="773" w:type="dxa"/>
            <w:vAlign w:val="top"/>
          </w:tcPr>
          <w:p>
            <w:pPr>
              <w:pStyle w:val="TableText"/>
              <w:ind w:left="195"/>
              <w:spacing w:before="39" w:line="219" w:lineRule="auto"/>
              <w:rPr/>
            </w:pPr>
            <w:r>
              <w:rPr>
                <w:spacing w:val="2"/>
              </w:rPr>
              <w:t>二级</w:t>
            </w:r>
          </w:p>
        </w:tc>
        <w:tc>
          <w:tcPr>
            <w:tcW w:w="818" w:type="dxa"/>
            <w:vAlign w:val="top"/>
          </w:tcPr>
          <w:p>
            <w:pPr>
              <w:pStyle w:val="TableText"/>
              <w:ind w:left="216"/>
              <w:spacing w:before="39" w:line="219" w:lineRule="auto"/>
              <w:rPr/>
            </w:pPr>
            <w:r>
              <w:rPr>
                <w:spacing w:val="-1"/>
              </w:rPr>
              <w:t>三级</w:t>
            </w:r>
          </w:p>
        </w:tc>
        <w:tc>
          <w:tcPr>
            <w:tcW w:w="726" w:type="dxa"/>
            <w:vAlign w:val="top"/>
          </w:tcPr>
          <w:p>
            <w:pPr>
              <w:pStyle w:val="TableText"/>
              <w:ind w:left="171"/>
              <w:spacing w:before="39" w:line="219" w:lineRule="auto"/>
              <w:rPr/>
            </w:pPr>
            <w:r>
              <w:rPr>
                <w:spacing w:val="-1"/>
              </w:rPr>
              <w:t>三级</w:t>
            </w:r>
          </w:p>
        </w:tc>
        <w:tc>
          <w:tcPr>
            <w:tcW w:w="774" w:type="dxa"/>
            <w:vAlign w:val="top"/>
          </w:tcPr>
          <w:p>
            <w:pPr>
              <w:pStyle w:val="TableText"/>
              <w:ind w:left="193"/>
              <w:spacing w:before="39" w:line="219" w:lineRule="auto"/>
              <w:rPr/>
            </w:pPr>
            <w:r>
              <w:rPr>
                <w:spacing w:val="-1"/>
              </w:rPr>
              <w:t>三级</w:t>
            </w:r>
          </w:p>
        </w:tc>
        <w:tc>
          <w:tcPr>
            <w:tcW w:w="795" w:type="dxa"/>
            <w:vAlign w:val="top"/>
            <w:tcBorders>
              <w:right w:val="nil"/>
            </w:tcBorders>
          </w:tcPr>
          <w:p>
            <w:pPr>
              <w:ind w:left="368"/>
              <w:spacing w:before="164"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292" w:hRule="atLeast"/>
        </w:trPr>
        <w:tc>
          <w:tcPr>
            <w:tcW w:w="1933" w:type="dxa"/>
            <w:vAlign w:val="top"/>
            <w:tcBorders>
              <w:left w:val="nil"/>
            </w:tcBorders>
          </w:tcPr>
          <w:p>
            <w:pPr>
              <w:pStyle w:val="TableText"/>
              <w:ind w:left="669"/>
              <w:spacing w:before="41" w:line="222" w:lineRule="auto"/>
              <w:rPr/>
            </w:pPr>
            <w:r>
              <w:rPr>
                <w:spacing w:val="3"/>
              </w:rPr>
              <w:t>不敏感</w:t>
            </w:r>
          </w:p>
        </w:tc>
        <w:tc>
          <w:tcPr>
            <w:tcW w:w="772" w:type="dxa"/>
            <w:vAlign w:val="top"/>
          </w:tcPr>
          <w:p>
            <w:pPr>
              <w:pStyle w:val="TableText"/>
              <w:ind w:left="189"/>
              <w:spacing w:before="41" w:line="222" w:lineRule="auto"/>
              <w:rPr/>
            </w:pPr>
            <w:r>
              <w:rPr/>
              <w:t>一级</w:t>
            </w:r>
          </w:p>
        </w:tc>
        <w:tc>
          <w:tcPr>
            <w:tcW w:w="774" w:type="dxa"/>
            <w:vAlign w:val="top"/>
          </w:tcPr>
          <w:p>
            <w:pPr>
              <w:pStyle w:val="TableText"/>
              <w:ind w:left="195"/>
              <w:spacing w:before="41" w:line="222" w:lineRule="auto"/>
              <w:rPr/>
            </w:pPr>
            <w:r>
              <w:rPr>
                <w:spacing w:val="2"/>
              </w:rPr>
              <w:t>二级</w:t>
            </w:r>
          </w:p>
        </w:tc>
        <w:tc>
          <w:tcPr>
            <w:tcW w:w="702" w:type="dxa"/>
            <w:vAlign w:val="top"/>
          </w:tcPr>
          <w:p>
            <w:pPr>
              <w:pStyle w:val="TableText"/>
              <w:ind w:left="158"/>
              <w:spacing w:before="41" w:line="222" w:lineRule="auto"/>
              <w:rPr/>
            </w:pPr>
            <w:r>
              <w:rPr>
                <w:spacing w:val="2"/>
              </w:rPr>
              <w:t>二级</w:t>
            </w:r>
          </w:p>
        </w:tc>
        <w:tc>
          <w:tcPr>
            <w:tcW w:w="845" w:type="dxa"/>
            <w:vAlign w:val="top"/>
          </w:tcPr>
          <w:p>
            <w:pPr>
              <w:pStyle w:val="TableText"/>
              <w:ind w:left="229"/>
              <w:spacing w:before="41" w:line="222" w:lineRule="auto"/>
              <w:rPr/>
            </w:pPr>
            <w:r>
              <w:rPr>
                <w:spacing w:val="2"/>
              </w:rPr>
              <w:t>二级</w:t>
            </w:r>
          </w:p>
        </w:tc>
        <w:tc>
          <w:tcPr>
            <w:tcW w:w="773" w:type="dxa"/>
            <w:vAlign w:val="top"/>
          </w:tcPr>
          <w:p>
            <w:pPr>
              <w:pStyle w:val="TableText"/>
              <w:ind w:left="194"/>
              <w:spacing w:before="41" w:line="222" w:lineRule="auto"/>
              <w:rPr/>
            </w:pPr>
            <w:r>
              <w:rPr>
                <w:spacing w:val="-1"/>
              </w:rPr>
              <w:t>三级</w:t>
            </w:r>
          </w:p>
        </w:tc>
        <w:tc>
          <w:tcPr>
            <w:tcW w:w="818" w:type="dxa"/>
            <w:vAlign w:val="top"/>
          </w:tcPr>
          <w:p>
            <w:pPr>
              <w:pStyle w:val="TableText"/>
              <w:ind w:left="216"/>
              <w:spacing w:before="41" w:line="222" w:lineRule="auto"/>
              <w:rPr/>
            </w:pPr>
            <w:r>
              <w:rPr>
                <w:spacing w:val="-1"/>
              </w:rPr>
              <w:t>三级</w:t>
            </w:r>
          </w:p>
        </w:tc>
        <w:tc>
          <w:tcPr>
            <w:tcW w:w="726" w:type="dxa"/>
            <w:vAlign w:val="top"/>
          </w:tcPr>
          <w:p>
            <w:pPr>
              <w:pStyle w:val="TableText"/>
              <w:ind w:left="171"/>
              <w:spacing w:before="41" w:line="222" w:lineRule="auto"/>
              <w:rPr/>
            </w:pPr>
            <w:r>
              <w:rPr>
                <w:spacing w:val="-1"/>
              </w:rPr>
              <w:t>三级</w:t>
            </w:r>
          </w:p>
        </w:tc>
        <w:tc>
          <w:tcPr>
            <w:tcW w:w="774" w:type="dxa"/>
            <w:vAlign w:val="top"/>
          </w:tcPr>
          <w:p>
            <w:pPr>
              <w:ind w:left="358"/>
              <w:spacing w:before="165"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5" w:type="dxa"/>
            <w:vAlign w:val="top"/>
            <w:tcBorders>
              <w:right w:val="nil"/>
            </w:tcBorders>
          </w:tcPr>
          <w:p>
            <w:pPr>
              <w:ind w:left="368"/>
              <w:spacing w:before="165"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bl>
    <w:p>
      <w:pPr>
        <w:ind w:left="128"/>
        <w:spacing w:before="36" w:line="228" w:lineRule="auto"/>
        <w:rPr>
          <w:rFonts w:ascii="FangSong" w:hAnsi="FangSong" w:eastAsia="FangSong" w:cs="FangSong"/>
          <w:sz w:val="20"/>
          <w:szCs w:val="20"/>
        </w:rPr>
      </w:pPr>
      <w:r>
        <w:rPr>
          <w:rFonts w:ascii="FangSong" w:hAnsi="FangSong" w:eastAsia="FangSong" w:cs="FangSong"/>
          <w:sz w:val="20"/>
          <w:szCs w:val="20"/>
          <w:spacing w:val="6"/>
        </w:rPr>
        <w:t>注：“</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5"/>
        </w:rPr>
        <w:t xml:space="preserve"> </w:t>
      </w:r>
      <w:r>
        <w:rPr>
          <w:rFonts w:ascii="FangSong" w:hAnsi="FangSong" w:eastAsia="FangSong" w:cs="FangSong"/>
          <w:sz w:val="20"/>
          <w:szCs w:val="20"/>
          <w:spacing w:val="6"/>
        </w:rPr>
        <w:t>”表示可不开展土壤环境影响评价工作。</w:t>
      </w:r>
    </w:p>
    <w:p>
      <w:pPr>
        <w:spacing w:line="28" w:lineRule="exact"/>
        <w:rPr/>
      </w:pPr>
      <w:r>
        <w:rPr/>
        <w:pict>
          <v:shape id="_x0000_s16" style="mso-position-vertical-relative:line;mso-position-horizontal-relative:char;width:445.65pt;height:1.45pt;" filled="false" strokecolor="#000000" strokeweight="1.44pt" coordsize="8912,29" coordorigin="0,0" path="m0,14l8912,14e">
            <v:stroke joinstyle="bevel" miterlimit="2"/>
          </v:shape>
        </w:pict>
      </w:r>
    </w:p>
    <w:p>
      <w:pPr>
        <w:pStyle w:val="BodyText"/>
        <w:spacing w:line="371" w:lineRule="auto"/>
        <w:rPr/>
      </w:pPr>
      <w:r/>
    </w:p>
    <w:p>
      <w:pPr>
        <w:ind w:left="125" w:right="101" w:firstLine="481"/>
        <w:spacing w:before="79" w:line="359" w:lineRule="auto"/>
        <w:jc w:val="both"/>
        <w:rPr>
          <w:rFonts w:ascii="FangSong" w:hAnsi="FangSong" w:eastAsia="FangSong" w:cs="FangSong"/>
          <w:sz w:val="24"/>
          <w:szCs w:val="24"/>
        </w:rPr>
      </w:pPr>
      <w:r>
        <w:rPr>
          <w:rFonts w:ascii="FangSong" w:hAnsi="FangSong" w:eastAsia="FangSong" w:cs="FangSong"/>
          <w:sz w:val="24"/>
          <w:szCs w:val="24"/>
          <w:spacing w:val="-1"/>
        </w:rPr>
        <w:t>综上分析，本项目为</w:t>
      </w:r>
      <w:r>
        <w:rPr>
          <w:rFonts w:ascii="Times New Roman" w:hAnsi="Times New Roman" w:eastAsia="Times New Roman" w:cs="Times New Roman"/>
          <w:sz w:val="24"/>
          <w:szCs w:val="24"/>
          <w:spacing w:val="-1"/>
        </w:rPr>
        <w:t>III</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类项目；项目永久占地范围内及周边存在天然牧草地，</w:t>
      </w:r>
      <w:r>
        <w:rPr>
          <w:rFonts w:ascii="FangSong" w:hAnsi="FangSong" w:eastAsia="FangSong" w:cs="FangSong"/>
          <w:sz w:val="24"/>
          <w:szCs w:val="24"/>
          <w:spacing w:val="1"/>
        </w:rPr>
        <w:t>故判定土壤环境敏感程度为敏感；项目道路、办公生活区及工业广场等永久占地面</w:t>
      </w:r>
      <w:r>
        <w:rPr>
          <w:rFonts w:ascii="FangSong" w:hAnsi="FangSong" w:eastAsia="FangSong" w:cs="FangSong"/>
          <w:sz w:val="24"/>
          <w:szCs w:val="24"/>
          <w:spacing w:val="-2"/>
        </w:rPr>
        <w:t>积共</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7.2203hm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w:t>
      </w:r>
      <w:r>
        <w:rPr>
          <w:rFonts w:ascii="FangSong" w:hAnsi="FangSong" w:eastAsia="FangSong" w:cs="FangSong"/>
          <w:sz w:val="24"/>
          <w:szCs w:val="24"/>
          <w:spacing w:val="-60"/>
        </w:rPr>
        <w:t xml:space="preserve"> </w:t>
      </w:r>
      <w:r>
        <w:rPr>
          <w:rFonts w:ascii="FangSong" w:hAnsi="FangSong" w:eastAsia="FangSong" w:cs="FangSong"/>
          <w:sz w:val="24"/>
          <w:szCs w:val="24"/>
          <w:spacing w:val="-2"/>
        </w:rPr>
        <w:t>占地规模属于中型（</w:t>
      </w:r>
      <w:r>
        <w:rPr>
          <w:rFonts w:ascii="Times New Roman" w:hAnsi="Times New Roman" w:eastAsia="Times New Roman" w:cs="Times New Roman"/>
          <w:sz w:val="24"/>
          <w:szCs w:val="24"/>
          <w:spacing w:val="-2"/>
        </w:rPr>
        <w:t>5-50hm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w:t>
      </w:r>
      <w:r>
        <w:rPr>
          <w:rFonts w:ascii="FangSong" w:hAnsi="FangSong" w:eastAsia="FangSong" w:cs="FangSong"/>
          <w:sz w:val="24"/>
          <w:szCs w:val="24"/>
          <w:spacing w:val="-3"/>
        </w:rPr>
        <w:t>。故确定本次评价土壤环境评价工</w:t>
      </w:r>
      <w:r>
        <w:rPr>
          <w:rFonts w:ascii="FangSong" w:hAnsi="FangSong" w:eastAsia="FangSong" w:cs="FangSong"/>
          <w:sz w:val="24"/>
          <w:szCs w:val="24"/>
          <w:spacing w:val="-3"/>
        </w:rPr>
        <w:t>作等级为三级。</w:t>
      </w:r>
    </w:p>
    <w:p>
      <w:pPr>
        <w:ind w:left="114"/>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2.5.5.2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评价范围</w:t>
      </w:r>
    </w:p>
    <w:p>
      <w:pPr>
        <w:ind w:left="125" w:right="107" w:firstLine="480"/>
        <w:spacing w:before="174" w:line="360" w:lineRule="auto"/>
        <w:jc w:val="both"/>
        <w:rPr>
          <w:rFonts w:ascii="FangSong" w:hAnsi="FangSong" w:eastAsia="FangSong" w:cs="FangSong"/>
          <w:sz w:val="24"/>
          <w:szCs w:val="24"/>
        </w:rPr>
      </w:pPr>
      <w:r>
        <w:rPr>
          <w:rFonts w:ascii="FangSong" w:hAnsi="FangSong" w:eastAsia="FangSong" w:cs="FangSong"/>
          <w:sz w:val="24"/>
          <w:szCs w:val="24"/>
          <w:spacing w:val="1"/>
        </w:rPr>
        <w:t>本项目土壤影响因素主要位于项目拟建工业广场内，故根据《环境影响评价技</w:t>
      </w:r>
      <w:r>
        <w:rPr>
          <w:rFonts w:ascii="FangSong" w:hAnsi="FangSong" w:eastAsia="FangSong" w:cs="FangSong"/>
          <w:sz w:val="24"/>
          <w:szCs w:val="24"/>
          <w:spacing w:val="-3"/>
        </w:rPr>
        <w:t>术导则</w:t>
      </w:r>
      <w:r>
        <w:rPr>
          <w:rFonts w:ascii="FangSong" w:hAnsi="FangSong" w:eastAsia="FangSong" w:cs="FangSong"/>
          <w:sz w:val="24"/>
          <w:szCs w:val="24"/>
          <w:spacing w:val="-3"/>
        </w:rPr>
        <w:t xml:space="preserve"> </w:t>
      </w:r>
      <w:r>
        <w:rPr>
          <w:rFonts w:ascii="FangSong" w:hAnsi="FangSong" w:eastAsia="FangSong" w:cs="FangSong"/>
          <w:sz w:val="24"/>
          <w:szCs w:val="24"/>
          <w:spacing w:val="-3"/>
        </w:rPr>
        <w:t>土壤环境（试行）》（</w:t>
      </w:r>
      <w:r>
        <w:rPr>
          <w:rFonts w:ascii="Times New Roman" w:hAnsi="Times New Roman" w:eastAsia="Times New Roman" w:cs="Times New Roman"/>
          <w:sz w:val="24"/>
          <w:szCs w:val="24"/>
          <w:spacing w:val="-3"/>
        </w:rPr>
        <w:t>HJ964-2018</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7.2.2</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所述内</w:t>
      </w:r>
      <w:r>
        <w:rPr>
          <w:rFonts w:ascii="FangSong" w:hAnsi="FangSong" w:eastAsia="FangSong" w:cs="FangSong"/>
          <w:sz w:val="24"/>
          <w:szCs w:val="24"/>
          <w:spacing w:val="-4"/>
        </w:rPr>
        <w:t>容，本项目土壤评价范围为</w:t>
      </w:r>
      <w:r>
        <w:rPr>
          <w:rFonts w:ascii="FangSong" w:hAnsi="FangSong" w:eastAsia="FangSong" w:cs="FangSong"/>
          <w:sz w:val="24"/>
          <w:szCs w:val="24"/>
          <w:spacing w:val="-2"/>
        </w:rPr>
        <w:t>工业广场永久占地范围内全部区域以及占地范围外</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0.05km</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2"/>
        </w:rPr>
        <w:t>范围内，共</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3.59km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。见</w:t>
      </w:r>
      <w:r>
        <w:rPr>
          <w:rFonts w:ascii="FangSong" w:hAnsi="FangSong" w:eastAsia="FangSong" w:cs="FangSong"/>
          <w:sz w:val="24"/>
          <w:szCs w:val="24"/>
          <w:spacing w:val="-4"/>
        </w:rPr>
        <w:t>附图</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2-2</w:t>
      </w:r>
      <w:r>
        <w:rPr>
          <w:rFonts w:ascii="FangSong" w:hAnsi="FangSong" w:eastAsia="FangSong" w:cs="FangSong"/>
          <w:sz w:val="24"/>
          <w:szCs w:val="24"/>
          <w:spacing w:val="-4"/>
        </w:rPr>
        <w:t>。</w:t>
      </w:r>
    </w:p>
    <w:p>
      <w:pPr>
        <w:ind w:left="114"/>
        <w:spacing w:before="1" w:line="222" w:lineRule="auto"/>
        <w:outlineLvl w:val="2"/>
        <w:rPr>
          <w:rFonts w:ascii="FangSong" w:hAnsi="FangSong" w:eastAsia="FangSong" w:cs="FangSong"/>
          <w:sz w:val="24"/>
          <w:szCs w:val="24"/>
        </w:rPr>
      </w:pPr>
      <w:bookmarkStart w:name="bookmark77" w:id="105"/>
      <w:bookmarkEnd w:id="105"/>
      <w:bookmarkStart w:name="bookmark76" w:id="106"/>
      <w:bookmarkEnd w:id="106"/>
      <w:r>
        <w:rPr>
          <w:rFonts w:ascii="Times New Roman" w:hAnsi="Times New Roman" w:eastAsia="Times New Roman" w:cs="Times New Roman"/>
          <w:sz w:val="24"/>
          <w:szCs w:val="24"/>
          <w:b/>
          <w:bCs/>
          <w:spacing w:val="-5"/>
        </w:rPr>
        <w:t>2.5.6</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5"/>
        </w:rPr>
        <w:t>生态环境</w:t>
      </w:r>
    </w:p>
    <w:p>
      <w:pPr>
        <w:ind w:left="114"/>
        <w:spacing w:before="177"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2.5.6.1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评价等级</w:t>
      </w:r>
    </w:p>
    <w:p>
      <w:pPr>
        <w:ind w:left="127" w:right="109" w:firstLine="478"/>
        <w:spacing w:before="179" w:line="358" w:lineRule="auto"/>
        <w:rPr>
          <w:rFonts w:ascii="FangSong" w:hAnsi="FangSong" w:eastAsia="FangSong" w:cs="FangSong"/>
          <w:sz w:val="24"/>
          <w:szCs w:val="24"/>
        </w:rPr>
      </w:pPr>
      <w:r>
        <w:rPr>
          <w:rFonts w:ascii="FangSong" w:hAnsi="FangSong" w:eastAsia="FangSong" w:cs="FangSong"/>
          <w:sz w:val="24"/>
          <w:szCs w:val="24"/>
        </w:rPr>
        <w:t>根据《环境影响评价技术导则</w:t>
      </w:r>
      <w:r>
        <w:rPr>
          <w:rFonts w:ascii="FangSong" w:hAnsi="FangSong" w:eastAsia="FangSong" w:cs="FangSong"/>
          <w:sz w:val="24"/>
          <w:szCs w:val="24"/>
          <w:spacing w:val="33"/>
        </w:rPr>
        <w:t xml:space="preserve"> </w:t>
      </w:r>
      <w:r>
        <w:rPr>
          <w:rFonts w:ascii="FangSong" w:hAnsi="FangSong" w:eastAsia="FangSong" w:cs="FangSong"/>
          <w:sz w:val="24"/>
          <w:szCs w:val="24"/>
        </w:rPr>
        <w:t>生态影响》（</w:t>
      </w:r>
      <w:r>
        <w:rPr>
          <w:rFonts w:ascii="Times New Roman" w:hAnsi="Times New Roman" w:eastAsia="Times New Roman" w:cs="Times New Roman"/>
          <w:sz w:val="24"/>
          <w:szCs w:val="24"/>
        </w:rPr>
        <w:t>HJ19-2022</w:t>
      </w:r>
      <w:r>
        <w:rPr>
          <w:rFonts w:ascii="FangSong" w:hAnsi="FangSong" w:eastAsia="FangSong" w:cs="FangSong"/>
          <w:sz w:val="24"/>
          <w:szCs w:val="24"/>
          <w:spacing w:val="10"/>
        </w:rPr>
        <w:t>），</w:t>
      </w:r>
      <w:r>
        <w:rPr>
          <w:rFonts w:ascii="FangSong" w:hAnsi="FangSong" w:eastAsia="FangSong" w:cs="FangSong"/>
          <w:sz w:val="24"/>
          <w:szCs w:val="24"/>
        </w:rPr>
        <w:t>建设项目生</w:t>
      </w:r>
      <w:r>
        <w:rPr>
          <w:rFonts w:ascii="FangSong" w:hAnsi="FangSong" w:eastAsia="FangSong" w:cs="FangSong"/>
          <w:sz w:val="24"/>
          <w:szCs w:val="24"/>
          <w:spacing w:val="-1"/>
        </w:rPr>
        <w:t>态环境</w:t>
      </w:r>
      <w:r>
        <w:rPr>
          <w:rFonts w:ascii="FangSong" w:hAnsi="FangSong" w:eastAsia="FangSong" w:cs="FangSong"/>
          <w:sz w:val="24"/>
          <w:szCs w:val="24"/>
          <w:spacing w:val="-1"/>
        </w:rPr>
        <w:t>影响评</w:t>
      </w:r>
      <w:r>
        <w:rPr>
          <w:rFonts w:ascii="FangSong" w:hAnsi="FangSong" w:eastAsia="FangSong" w:cs="FangSong"/>
          <w:sz w:val="24"/>
          <w:szCs w:val="24"/>
          <w:spacing w:val="-1"/>
        </w:rPr>
        <w:t xml:space="preserve"> </w:t>
      </w:r>
      <w:r>
        <w:rPr>
          <w:rFonts w:ascii="FangSong" w:hAnsi="FangSong" w:eastAsia="FangSong" w:cs="FangSong"/>
          <w:sz w:val="24"/>
          <w:szCs w:val="24"/>
          <w:spacing w:val="-1"/>
        </w:rPr>
        <w:t>价等级依据区域的生态敏感性和影响程度确定，具体确定原则如下：</w:t>
      </w:r>
    </w:p>
    <w:p>
      <w:pPr>
        <w:spacing w:line="358" w:lineRule="auto"/>
        <w:sectPr>
          <w:footerReference w:type="default" r:id="rId70"/>
          <w:pgSz w:w="11911" w:h="16839"/>
          <w:pgMar w:top="400" w:right="1309" w:bottom="1146" w:left="1689"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spacing w:before="78" w:line="221" w:lineRule="auto"/>
        <w:jc w:val="right"/>
        <w:rPr>
          <w:rFonts w:ascii="FangSong" w:hAnsi="FangSong" w:eastAsia="FangSong" w:cs="FangSong"/>
          <w:sz w:val="24"/>
          <w:szCs w:val="24"/>
        </w:rPr>
      </w:pPr>
      <w:r>
        <w:rPr>
          <w:rFonts w:ascii="Times New Roman" w:hAnsi="Times New Roman" w:eastAsia="Times New Roman" w:cs="Times New Roman"/>
          <w:sz w:val="24"/>
          <w:szCs w:val="24"/>
          <w:spacing w:val="-7"/>
        </w:rPr>
        <w:t>a</w:t>
      </w:r>
      <w:r>
        <w:rPr>
          <w:rFonts w:ascii="FangSong" w:hAnsi="FangSong" w:eastAsia="FangSong" w:cs="FangSong"/>
          <w:sz w:val="24"/>
          <w:szCs w:val="24"/>
          <w:spacing w:val="-7"/>
        </w:rPr>
        <w:t>）涉及国家公园、自然保护区、世界自然遗产、重要生境时，评价等级为一级；</w:t>
      </w:r>
    </w:p>
    <w:p>
      <w:pPr>
        <w:ind w:left="490"/>
        <w:spacing w:before="181" w:line="222" w:lineRule="auto"/>
        <w:rPr>
          <w:rFonts w:ascii="FangSong" w:hAnsi="FangSong" w:eastAsia="FangSong" w:cs="FangSong"/>
          <w:sz w:val="24"/>
          <w:szCs w:val="24"/>
        </w:rPr>
      </w:pPr>
      <w:r>
        <w:rPr>
          <w:rFonts w:ascii="Times New Roman" w:hAnsi="Times New Roman" w:eastAsia="Times New Roman" w:cs="Times New Roman"/>
          <w:sz w:val="24"/>
          <w:szCs w:val="24"/>
        </w:rPr>
        <w:t>b</w:t>
      </w:r>
      <w:r>
        <w:rPr>
          <w:rFonts w:ascii="FangSong" w:hAnsi="FangSong" w:eastAsia="FangSong" w:cs="FangSong"/>
          <w:sz w:val="24"/>
          <w:szCs w:val="24"/>
        </w:rPr>
        <w:t>）涉及自然公园时，评价等级为二级；</w:t>
      </w:r>
    </w:p>
    <w:p>
      <w:pPr>
        <w:ind w:left="499"/>
        <w:spacing w:before="176" w:line="221" w:lineRule="auto"/>
        <w:rPr>
          <w:rFonts w:ascii="FangSong" w:hAnsi="FangSong" w:eastAsia="FangSong" w:cs="FangSong"/>
          <w:sz w:val="24"/>
          <w:szCs w:val="24"/>
        </w:rPr>
      </w:pPr>
      <w:r>
        <w:rPr>
          <w:rFonts w:ascii="Times New Roman" w:hAnsi="Times New Roman" w:eastAsia="Times New Roman" w:cs="Times New Roman"/>
          <w:sz w:val="24"/>
          <w:szCs w:val="24"/>
          <w:spacing w:val="-1"/>
        </w:rPr>
        <w:t>c</w:t>
      </w:r>
      <w:r>
        <w:rPr>
          <w:rFonts w:ascii="FangSong" w:hAnsi="FangSong" w:eastAsia="FangSong" w:cs="FangSong"/>
          <w:sz w:val="24"/>
          <w:szCs w:val="24"/>
          <w:spacing w:val="-1"/>
        </w:rPr>
        <w:t>）涉及生态保护红线时，评价等级不低于二级；</w:t>
      </w:r>
    </w:p>
    <w:p>
      <w:pPr>
        <w:ind w:left="27" w:right="62" w:firstLine="471"/>
        <w:spacing w:before="181" w:line="290"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）根据</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2.3  </w:t>
      </w:r>
      <w:r>
        <w:rPr>
          <w:rFonts w:ascii="FangSong" w:hAnsi="FangSong" w:eastAsia="FangSong" w:cs="FangSong"/>
          <w:sz w:val="24"/>
          <w:szCs w:val="24"/>
          <w:spacing w:val="2"/>
        </w:rPr>
        <w:t>判断属于水文要素影响型且地表水评价等级不低于二级的建设</w:t>
      </w:r>
      <w:r>
        <w:rPr>
          <w:rFonts w:ascii="FangSong" w:hAnsi="FangSong" w:eastAsia="FangSong" w:cs="FangSong"/>
          <w:sz w:val="24"/>
          <w:szCs w:val="24"/>
          <w:spacing w:val="-1"/>
        </w:rPr>
        <w:t>项目，生</w:t>
      </w:r>
      <w:r>
        <w:rPr>
          <w:rFonts w:ascii="FangSong" w:hAnsi="FangSong" w:eastAsia="FangSong" w:cs="FangSong"/>
          <w:sz w:val="24"/>
          <w:szCs w:val="24"/>
          <w:spacing w:val="-1"/>
        </w:rPr>
        <w:t xml:space="preserve"> </w:t>
      </w:r>
      <w:r>
        <w:rPr>
          <w:rFonts w:ascii="FangSong" w:hAnsi="FangSong" w:eastAsia="FangSong" w:cs="FangSong"/>
          <w:sz w:val="24"/>
          <w:szCs w:val="24"/>
          <w:spacing w:val="-1"/>
        </w:rPr>
        <w:t>态影响评价等级不低于二级；</w:t>
      </w:r>
    </w:p>
    <w:p>
      <w:pPr>
        <w:ind w:left="29" w:right="62" w:firstLine="470"/>
        <w:spacing w:before="177" w:line="290" w:lineRule="auto"/>
        <w:rPr>
          <w:rFonts w:ascii="FangSong" w:hAnsi="FangSong" w:eastAsia="FangSong" w:cs="FangSong"/>
          <w:sz w:val="24"/>
          <w:szCs w:val="24"/>
        </w:rPr>
      </w:pPr>
      <w:r>
        <w:rPr>
          <w:rFonts w:ascii="Times New Roman" w:hAnsi="Times New Roman" w:eastAsia="Times New Roman" w:cs="Times New Roman"/>
          <w:sz w:val="24"/>
          <w:szCs w:val="24"/>
          <w:spacing w:val="-1"/>
        </w:rPr>
        <w:t>e</w:t>
      </w:r>
      <w:r>
        <w:rPr>
          <w:rFonts w:ascii="FangSong" w:hAnsi="FangSong" w:eastAsia="FangSong" w:cs="FangSong"/>
          <w:sz w:val="24"/>
          <w:szCs w:val="24"/>
          <w:spacing w:val="-1"/>
        </w:rPr>
        <w:t>）根据</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HJ610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HJ964  </w:t>
      </w:r>
      <w:r>
        <w:rPr>
          <w:rFonts w:ascii="FangSong" w:hAnsi="FangSong" w:eastAsia="FangSong" w:cs="FangSong"/>
          <w:sz w:val="24"/>
          <w:szCs w:val="24"/>
          <w:spacing w:val="-1"/>
        </w:rPr>
        <w:t>判断地下水水位或土壤影响范围内分布有天然林、公</w:t>
      </w:r>
      <w:r>
        <w:rPr>
          <w:rFonts w:ascii="FangSong" w:hAnsi="FangSong" w:eastAsia="FangSong" w:cs="FangSong"/>
          <w:sz w:val="24"/>
          <w:szCs w:val="24"/>
          <w:spacing w:val="-1"/>
        </w:rPr>
        <w:t>益林、湿地等生态保护目标的建设项目，生态影响评价等级不低于二级；</w:t>
      </w:r>
    </w:p>
    <w:p>
      <w:pPr>
        <w:ind w:left="29" w:right="62" w:firstLine="470"/>
        <w:spacing w:before="181" w:line="291" w:lineRule="auto"/>
        <w:rPr>
          <w:rFonts w:ascii="FangSong" w:hAnsi="FangSong" w:eastAsia="FangSong" w:cs="FangSong"/>
          <w:sz w:val="24"/>
          <w:szCs w:val="24"/>
        </w:rPr>
      </w:pPr>
      <w:r>
        <w:rPr>
          <w:rFonts w:ascii="Times New Roman" w:hAnsi="Times New Roman" w:eastAsia="Times New Roman" w:cs="Times New Roman"/>
          <w:sz w:val="24"/>
          <w:szCs w:val="24"/>
          <w:spacing w:val="-2"/>
        </w:rPr>
        <w:t>f</w:t>
      </w:r>
      <w:r>
        <w:rPr>
          <w:rFonts w:ascii="FangSong" w:hAnsi="FangSong" w:eastAsia="FangSong" w:cs="FangSong"/>
          <w:sz w:val="24"/>
          <w:szCs w:val="24"/>
          <w:spacing w:val="-2"/>
        </w:rPr>
        <w:t>）当工程占地规模大于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20km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32"/>
          <w:w w:val="101"/>
          <w:position w:val="8"/>
        </w:rPr>
        <w:t xml:space="preserve"> </w:t>
      </w:r>
      <w:r>
        <w:rPr>
          <w:rFonts w:ascii="FangSong" w:hAnsi="FangSong" w:eastAsia="FangSong" w:cs="FangSong"/>
          <w:sz w:val="24"/>
          <w:szCs w:val="24"/>
          <w:spacing w:val="-2"/>
        </w:rPr>
        <w:t>时（包括永久和临时占用陆</w:t>
      </w:r>
      <w:r>
        <w:rPr>
          <w:rFonts w:ascii="FangSong" w:hAnsi="FangSong" w:eastAsia="FangSong" w:cs="FangSong"/>
          <w:sz w:val="24"/>
          <w:szCs w:val="24"/>
          <w:spacing w:val="-3"/>
        </w:rPr>
        <w:t>域和水域</w:t>
      </w:r>
      <w:r>
        <w:rPr>
          <w:rFonts w:ascii="FangSong" w:hAnsi="FangSong" w:eastAsia="FangSong" w:cs="FangSong"/>
          <w:sz w:val="24"/>
          <w:szCs w:val="24"/>
          <w:spacing w:val="2"/>
        </w:rPr>
        <w:t>），</w:t>
      </w:r>
      <w:r>
        <w:rPr>
          <w:rFonts w:ascii="FangSong" w:hAnsi="FangSong" w:eastAsia="FangSong" w:cs="FangSong"/>
          <w:sz w:val="24"/>
          <w:szCs w:val="24"/>
          <w:spacing w:val="-3"/>
        </w:rPr>
        <w:t>评价等</w:t>
      </w:r>
      <w:r>
        <w:rPr>
          <w:rFonts w:ascii="FangSong" w:hAnsi="FangSong" w:eastAsia="FangSong" w:cs="FangSong"/>
          <w:sz w:val="24"/>
          <w:szCs w:val="24"/>
          <w:spacing w:val="-1"/>
        </w:rPr>
        <w:t>级不低于二级；改扩建项目的占地范围以新增占地（包括陆域和水域）确定；</w:t>
      </w:r>
    </w:p>
    <w:p>
      <w:pPr>
        <w:ind w:left="498"/>
        <w:spacing w:before="177" w:line="210" w:lineRule="auto"/>
        <w:rPr>
          <w:rFonts w:ascii="FangSong" w:hAnsi="FangSong" w:eastAsia="FangSong" w:cs="FangSong"/>
          <w:sz w:val="24"/>
          <w:szCs w:val="24"/>
        </w:rPr>
      </w:pPr>
      <w:r>
        <w:rPr>
          <w:rFonts w:ascii="Times New Roman" w:hAnsi="Times New Roman" w:eastAsia="Times New Roman" w:cs="Times New Roman"/>
          <w:sz w:val="24"/>
          <w:szCs w:val="24"/>
        </w:rPr>
        <w:t>g</w:t>
      </w:r>
      <w:r>
        <w:rPr>
          <w:rFonts w:ascii="FangSong" w:hAnsi="FangSong" w:eastAsia="FangSong" w:cs="FangSong"/>
          <w:sz w:val="24"/>
          <w:szCs w:val="24"/>
        </w:rPr>
        <w:t>）除本条</w:t>
      </w:r>
      <w:r>
        <w:rPr>
          <w:rFonts w:ascii="FangSong" w:hAnsi="FangSong" w:eastAsia="FangSong" w:cs="FangSong"/>
          <w:sz w:val="24"/>
          <w:szCs w:val="24"/>
        </w:rPr>
        <w:t xml:space="preserve"> </w:t>
      </w:r>
      <w:r>
        <w:rPr>
          <w:rFonts w:ascii="Times New Roman" w:hAnsi="Times New Roman" w:eastAsia="Times New Roman" w:cs="Times New Roman"/>
          <w:sz w:val="24"/>
          <w:szCs w:val="24"/>
        </w:rPr>
        <w:t>a</w:t>
      </w:r>
      <w:r>
        <w:rPr>
          <w:rFonts w:ascii="FangSong" w:hAnsi="FangSong" w:eastAsia="FangSong" w:cs="FangSong"/>
          <w:sz w:val="24"/>
          <w:szCs w:val="24"/>
        </w:rPr>
        <w:t>）、</w:t>
      </w:r>
      <w:r>
        <w:rPr>
          <w:rFonts w:ascii="Times New Roman" w:hAnsi="Times New Roman" w:eastAsia="Times New Roman" w:cs="Times New Roman"/>
          <w:sz w:val="24"/>
          <w:szCs w:val="24"/>
        </w:rPr>
        <w:t>b</w:t>
      </w:r>
      <w:r>
        <w:rPr>
          <w:rFonts w:ascii="FangSong" w:hAnsi="FangSong" w:eastAsia="FangSong" w:cs="FangSong"/>
          <w:sz w:val="24"/>
          <w:szCs w:val="24"/>
        </w:rPr>
        <w:t>）、</w:t>
      </w:r>
      <w:r>
        <w:rPr>
          <w:rFonts w:ascii="Times New Roman" w:hAnsi="Times New Roman" w:eastAsia="Times New Roman" w:cs="Times New Roman"/>
          <w:sz w:val="24"/>
          <w:szCs w:val="24"/>
        </w:rPr>
        <w:t>c</w:t>
      </w:r>
      <w:r>
        <w:rPr>
          <w:rFonts w:ascii="FangSong" w:hAnsi="FangSong" w:eastAsia="FangSong" w:cs="FangSong"/>
          <w:sz w:val="24"/>
          <w:szCs w:val="24"/>
        </w:rPr>
        <w:t>）、</w:t>
      </w:r>
      <w:r>
        <w:rPr>
          <w:rFonts w:ascii="Times New Roman" w:hAnsi="Times New Roman" w:eastAsia="Times New Roman" w:cs="Times New Roman"/>
          <w:sz w:val="24"/>
          <w:szCs w:val="24"/>
        </w:rPr>
        <w:t>d</w:t>
      </w:r>
      <w:r>
        <w:rPr>
          <w:rFonts w:ascii="FangSong" w:hAnsi="FangSong" w:eastAsia="FangSong" w:cs="FangSong"/>
          <w:sz w:val="24"/>
          <w:szCs w:val="24"/>
        </w:rPr>
        <w:t>）、</w:t>
      </w:r>
      <w:r>
        <w:rPr>
          <w:rFonts w:ascii="Times New Roman" w:hAnsi="Times New Roman" w:eastAsia="Times New Roman" w:cs="Times New Roman"/>
          <w:sz w:val="24"/>
          <w:szCs w:val="24"/>
        </w:rPr>
        <w:t>e</w:t>
      </w:r>
      <w:r>
        <w:rPr>
          <w:rFonts w:ascii="FangSong" w:hAnsi="FangSong" w:eastAsia="FangSong" w:cs="FangSong"/>
          <w:sz w:val="24"/>
          <w:szCs w:val="24"/>
        </w:rPr>
        <w:t>）、</w:t>
      </w:r>
      <w:r>
        <w:rPr>
          <w:rFonts w:ascii="Times New Roman" w:hAnsi="Times New Roman" w:eastAsia="Times New Roman" w:cs="Times New Roman"/>
          <w:sz w:val="24"/>
          <w:szCs w:val="24"/>
        </w:rPr>
        <w:t>f</w:t>
      </w:r>
      <w:r>
        <w:rPr>
          <w:rFonts w:ascii="FangSong" w:hAnsi="FangSong" w:eastAsia="FangSong" w:cs="FangSong"/>
          <w:sz w:val="24"/>
          <w:szCs w:val="24"/>
        </w:rPr>
        <w:t>）以外的情</w:t>
      </w:r>
      <w:r>
        <w:rPr>
          <w:rFonts w:ascii="FangSong" w:hAnsi="FangSong" w:eastAsia="FangSong" w:cs="FangSong"/>
          <w:sz w:val="24"/>
          <w:szCs w:val="24"/>
          <w:spacing w:val="-1"/>
        </w:rPr>
        <w:t>况，评价等级为三级；</w:t>
      </w:r>
    </w:p>
    <w:p>
      <w:pPr>
        <w:ind w:left="492"/>
        <w:spacing w:before="192" w:line="221" w:lineRule="auto"/>
        <w:rPr>
          <w:rFonts w:ascii="FangSong" w:hAnsi="FangSong" w:eastAsia="FangSong" w:cs="FangSong"/>
          <w:sz w:val="24"/>
          <w:szCs w:val="24"/>
        </w:rPr>
      </w:pPr>
      <w:r>
        <w:rPr>
          <w:rFonts w:ascii="Times New Roman" w:hAnsi="Times New Roman" w:eastAsia="Times New Roman" w:cs="Times New Roman"/>
          <w:sz w:val="24"/>
          <w:szCs w:val="24"/>
        </w:rPr>
        <w:t>h</w:t>
      </w:r>
      <w:r>
        <w:rPr>
          <w:rFonts w:ascii="FangSong" w:hAnsi="FangSong" w:eastAsia="FangSong" w:cs="FangSong"/>
          <w:sz w:val="24"/>
          <w:szCs w:val="24"/>
        </w:rPr>
        <w:t>）当评价等级判定同时符合上述多种情况时，应采用其中最高的评价</w:t>
      </w:r>
      <w:r>
        <w:rPr>
          <w:rFonts w:ascii="FangSong" w:hAnsi="FangSong" w:eastAsia="FangSong" w:cs="FangSong"/>
          <w:sz w:val="24"/>
          <w:szCs w:val="24"/>
          <w:spacing w:val="-1"/>
        </w:rPr>
        <w:t>等级。</w:t>
      </w:r>
    </w:p>
    <w:p>
      <w:pPr>
        <w:ind w:left="34" w:right="60" w:firstLine="474"/>
        <w:spacing w:before="181" w:line="359" w:lineRule="auto"/>
        <w:rPr>
          <w:rFonts w:ascii="FangSong" w:hAnsi="FangSong" w:eastAsia="FangSong" w:cs="FangSong"/>
          <w:sz w:val="24"/>
          <w:szCs w:val="24"/>
        </w:rPr>
      </w:pPr>
      <w:r>
        <w:rPr>
          <w:rFonts w:ascii="FangSong" w:hAnsi="FangSong" w:eastAsia="FangSong" w:cs="FangSong"/>
          <w:sz w:val="24"/>
          <w:szCs w:val="24"/>
          <w:spacing w:val="1"/>
        </w:rPr>
        <w:t>在矿山开采可能导致矿区土地利用类型明显改变，或拦河闸坝建设可能明显改</w:t>
      </w:r>
      <w:r>
        <w:rPr>
          <w:rFonts w:ascii="FangSong" w:hAnsi="FangSong" w:eastAsia="FangSong" w:cs="FangSong"/>
          <w:sz w:val="24"/>
          <w:szCs w:val="24"/>
          <w:spacing w:val="-2"/>
        </w:rPr>
        <w:t>变水文情势等情况下，评价等级应上调一级。</w:t>
      </w:r>
    </w:p>
    <w:p>
      <w:pPr>
        <w:ind w:left="26" w:right="60" w:firstLine="480"/>
        <w:spacing w:before="2" w:line="359" w:lineRule="auto"/>
        <w:jc w:val="both"/>
        <w:rPr>
          <w:rFonts w:ascii="FangSong" w:hAnsi="FangSong" w:eastAsia="FangSong" w:cs="FangSong"/>
          <w:sz w:val="24"/>
          <w:szCs w:val="24"/>
        </w:rPr>
      </w:pPr>
      <w:r>
        <w:rPr>
          <w:rFonts w:ascii="FangSong" w:hAnsi="FangSong" w:eastAsia="FangSong" w:cs="FangSong"/>
          <w:sz w:val="24"/>
          <w:szCs w:val="24"/>
          <w:spacing w:val="-3"/>
        </w:rPr>
        <w:t>根据项目特性，本项目采用地下开采方式采矿；根据《</w:t>
      </w:r>
      <w:r>
        <w:rPr>
          <w:rFonts w:ascii="Times New Roman" w:hAnsi="Times New Roman" w:eastAsia="Times New Roman" w:cs="Times New Roman"/>
          <w:sz w:val="24"/>
          <w:szCs w:val="24"/>
          <w:spacing w:val="-3"/>
        </w:rPr>
        <w:t>&lt;</w:t>
      </w:r>
      <w:r>
        <w:rPr>
          <w:rFonts w:ascii="FangSong" w:hAnsi="FangSong" w:eastAsia="FangSong" w:cs="FangSong"/>
          <w:sz w:val="24"/>
          <w:szCs w:val="24"/>
          <w:spacing w:val="-3"/>
        </w:rPr>
        <w:t>关于苏尼特右旗富邦矿</w:t>
      </w:r>
      <w:r>
        <w:rPr>
          <w:rFonts w:ascii="FangSong" w:hAnsi="FangSong" w:eastAsia="FangSong" w:cs="FangSong"/>
          <w:sz w:val="24"/>
          <w:szCs w:val="24"/>
          <w:spacing w:val="1"/>
        </w:rPr>
        <w:t>业有限公司桑宝力嘎额尔登塔拉萤石矿区采矿权范围内是否涉及各级各类自然保护</w:t>
      </w:r>
      <w:r>
        <w:rPr>
          <w:rFonts w:ascii="FangSong" w:hAnsi="FangSong" w:eastAsia="FangSong" w:cs="FangSong"/>
          <w:sz w:val="24"/>
          <w:szCs w:val="24"/>
          <w:spacing w:val="-3"/>
        </w:rPr>
        <w:t>地、基本草原、林地、湿地的函</w:t>
      </w:r>
      <w:r>
        <w:rPr>
          <w:rFonts w:ascii="Times New Roman" w:hAnsi="Times New Roman" w:eastAsia="Times New Roman" w:cs="Times New Roman"/>
          <w:sz w:val="24"/>
          <w:szCs w:val="24"/>
          <w:spacing w:val="-3"/>
        </w:rPr>
        <w:t>&gt;</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的复函》和《</w:t>
      </w:r>
      <w:r>
        <w:rPr>
          <w:rFonts w:ascii="FangSong" w:hAnsi="FangSong" w:eastAsia="FangSong" w:cs="FangSong"/>
          <w:sz w:val="24"/>
          <w:szCs w:val="24"/>
          <w:spacing w:val="-4"/>
        </w:rPr>
        <w:t>关于苏尼特右旗富邦矿业有限公司苏</w:t>
      </w:r>
      <w:r>
        <w:rPr>
          <w:rFonts w:ascii="FangSong" w:hAnsi="FangSong" w:eastAsia="FangSong" w:cs="FangSong"/>
          <w:sz w:val="24"/>
          <w:szCs w:val="24"/>
          <w:spacing w:val="1"/>
        </w:rPr>
        <w:t>尼特右旗桑宝力嘎额尔登塔拉萤石矿</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1"/>
        </w:rPr>
        <w:t>采选项目用地预审</w:t>
      </w:r>
      <w:r>
        <w:rPr>
          <w:rFonts w:ascii="FangSong" w:hAnsi="FangSong" w:eastAsia="FangSong" w:cs="FangSong"/>
          <w:sz w:val="24"/>
          <w:szCs w:val="24"/>
        </w:rPr>
        <w:t>与选址意见书的批</w:t>
      </w:r>
      <w:r>
        <w:rPr>
          <w:rFonts w:ascii="FangSong" w:hAnsi="FangSong" w:eastAsia="FangSong" w:cs="FangSong"/>
          <w:sz w:val="24"/>
          <w:szCs w:val="24"/>
          <w:spacing w:val="-2"/>
        </w:rPr>
        <w:t>复》（苏右自然资发</w:t>
      </w:r>
      <w:r>
        <w:rPr>
          <w:rFonts w:ascii="Times New Roman" w:hAnsi="Times New Roman" w:eastAsia="Times New Roman" w:cs="Times New Roman"/>
          <w:sz w:val="24"/>
          <w:szCs w:val="24"/>
          <w:spacing w:val="-2"/>
        </w:rPr>
        <w:t>[2025]248</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号）可知本项目不涉及各级自然保护区、不涉及生态</w:t>
      </w:r>
      <w:r>
        <w:rPr>
          <w:rFonts w:ascii="FangSong" w:hAnsi="FangSong" w:eastAsia="FangSong" w:cs="FangSong"/>
          <w:sz w:val="24"/>
          <w:szCs w:val="24"/>
          <w:spacing w:val="1"/>
        </w:rPr>
        <w:t>保护红线、不涉及占用永久基本农田和基本草原；地下水水位及土壤影响范围内不</w:t>
      </w:r>
      <w:r>
        <w:rPr>
          <w:rFonts w:ascii="FangSong" w:hAnsi="FangSong" w:eastAsia="FangSong" w:cs="FangSong"/>
          <w:sz w:val="24"/>
          <w:szCs w:val="24"/>
          <w:spacing w:val="-3"/>
        </w:rPr>
        <w:t>涉及天然林、公益林、湿地等生态保护目标；本项目新增占地规模为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7.2203hm</w:t>
      </w:r>
      <w:r>
        <w:rPr>
          <w:rFonts w:ascii="Times New Roman" w:hAnsi="Times New Roman" w:eastAsia="Times New Roman" w:cs="Times New Roman"/>
          <w:sz w:val="15"/>
          <w:szCs w:val="15"/>
          <w:spacing w:val="-3"/>
          <w:position w:val="8"/>
        </w:rPr>
        <w:t>2</w:t>
      </w:r>
      <w:r>
        <w:rPr>
          <w:rFonts w:ascii="FangSong" w:hAnsi="FangSong" w:eastAsia="FangSong" w:cs="FangSong"/>
          <w:sz w:val="24"/>
          <w:szCs w:val="24"/>
          <w:spacing w:val="-3"/>
        </w:rPr>
        <w:t>，小</w:t>
      </w:r>
      <w:r>
        <w:rPr>
          <w:rFonts w:ascii="FangSong" w:hAnsi="FangSong" w:eastAsia="FangSong" w:cs="FangSong"/>
          <w:sz w:val="24"/>
          <w:szCs w:val="24"/>
        </w:rPr>
        <w:t>于</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20km</w:t>
      </w:r>
      <w:r>
        <w:rPr>
          <w:rFonts w:ascii="Times New Roman" w:hAnsi="Times New Roman" w:eastAsia="Times New Roman" w:cs="Times New Roman"/>
          <w:sz w:val="15"/>
          <w:szCs w:val="15"/>
          <w:position w:val="8"/>
        </w:rPr>
        <w:t>2 </w:t>
      </w:r>
      <w:r>
        <w:rPr>
          <w:rFonts w:ascii="FangSong" w:hAnsi="FangSong" w:eastAsia="FangSong" w:cs="FangSong"/>
          <w:sz w:val="24"/>
          <w:szCs w:val="24"/>
        </w:rPr>
        <w:t>；</w:t>
      </w:r>
      <w:r>
        <w:rPr>
          <w:rFonts w:ascii="FangSong" w:hAnsi="FangSong" w:eastAsia="FangSong" w:cs="FangSong"/>
          <w:sz w:val="24"/>
          <w:szCs w:val="24"/>
          <w:spacing w:val="-71"/>
        </w:rPr>
        <w:t xml:space="preserve"> </w:t>
      </w:r>
      <w:r>
        <w:rPr>
          <w:rFonts w:ascii="FangSong" w:hAnsi="FangSong" w:eastAsia="FangSong" w:cs="FangSong"/>
          <w:sz w:val="24"/>
          <w:szCs w:val="24"/>
        </w:rPr>
        <w:t>由于本项目为新建项目，新建</w:t>
      </w:r>
      <w:r>
        <w:rPr>
          <w:rFonts w:ascii="FangSong" w:hAnsi="FangSong" w:eastAsia="FangSong" w:cs="FangSong"/>
          <w:sz w:val="24"/>
          <w:szCs w:val="24"/>
          <w:spacing w:val="-1"/>
        </w:rPr>
        <w:t>办公生活区、道路、工业广场等，土地利</w:t>
      </w:r>
      <w:r>
        <w:rPr>
          <w:rFonts w:ascii="FangSong" w:hAnsi="FangSong" w:eastAsia="FangSong" w:cs="FangSong"/>
          <w:sz w:val="24"/>
          <w:szCs w:val="24"/>
          <w:spacing w:val="-3"/>
        </w:rPr>
        <w:t>用情况由“农用地</w:t>
      </w:r>
      <w:r>
        <w:rPr>
          <w:rFonts w:ascii="FangSong" w:hAnsi="FangSong" w:eastAsia="FangSong" w:cs="FangSong"/>
          <w:sz w:val="24"/>
          <w:szCs w:val="24"/>
          <w:spacing w:val="-81"/>
        </w:rPr>
        <w:t xml:space="preserve"> </w:t>
      </w:r>
      <w:r>
        <w:rPr>
          <w:rFonts w:ascii="FangSong" w:hAnsi="FangSong" w:eastAsia="FangSong" w:cs="FangSong"/>
          <w:sz w:val="24"/>
          <w:szCs w:val="24"/>
          <w:spacing w:val="-3"/>
        </w:rPr>
        <w:t>”变为“采矿用地</w:t>
      </w:r>
      <w:r>
        <w:rPr>
          <w:rFonts w:ascii="FangSong" w:hAnsi="FangSong" w:eastAsia="FangSong" w:cs="FangSong"/>
          <w:sz w:val="24"/>
          <w:szCs w:val="24"/>
          <w:spacing w:val="-89"/>
        </w:rPr>
        <w:t xml:space="preserve"> </w:t>
      </w:r>
      <w:r>
        <w:rPr>
          <w:rFonts w:ascii="FangSong" w:hAnsi="FangSong" w:eastAsia="FangSong" w:cs="FangSong"/>
          <w:sz w:val="24"/>
          <w:szCs w:val="24"/>
          <w:spacing w:val="-3"/>
        </w:rPr>
        <w:t>”。</w:t>
      </w:r>
    </w:p>
    <w:p>
      <w:pPr>
        <w:ind w:left="509"/>
        <w:spacing w:before="1" w:line="222" w:lineRule="auto"/>
        <w:rPr>
          <w:rFonts w:ascii="FangSong" w:hAnsi="FangSong" w:eastAsia="FangSong" w:cs="FangSong"/>
          <w:sz w:val="24"/>
          <w:szCs w:val="24"/>
        </w:rPr>
      </w:pPr>
      <w:r>
        <w:rPr>
          <w:rFonts w:ascii="FangSong" w:hAnsi="FangSong" w:eastAsia="FangSong" w:cs="FangSong"/>
          <w:sz w:val="24"/>
          <w:szCs w:val="24"/>
          <w:spacing w:val="-1"/>
        </w:rPr>
        <w:t>综上所述本项目生态环境影响评价等级为二级。</w:t>
      </w:r>
    </w:p>
    <w:p>
      <w:pPr>
        <w:ind w:left="16"/>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2.5.6.2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评价范围</w:t>
      </w:r>
    </w:p>
    <w:p>
      <w:pPr>
        <w:ind w:left="27" w:right="60" w:firstLine="497"/>
        <w:spacing w:before="176" w:line="359" w:lineRule="auto"/>
        <w:jc w:val="both"/>
        <w:rPr>
          <w:rFonts w:ascii="FangSong" w:hAnsi="FangSong" w:eastAsia="FangSong" w:cs="FangSong"/>
          <w:sz w:val="24"/>
          <w:szCs w:val="24"/>
        </w:rPr>
      </w:pPr>
      <w:r>
        <w:rPr>
          <w:rFonts w:ascii="FangSong" w:hAnsi="FangSong" w:eastAsia="FangSong" w:cs="FangSong"/>
          <w:sz w:val="24"/>
          <w:szCs w:val="24"/>
          <w:spacing w:val="1"/>
        </w:rPr>
        <w:t>陆生生态评价范围：为充分体现生态完整性，涵盖</w:t>
      </w:r>
      <w:r>
        <w:rPr>
          <w:rFonts w:ascii="FangSong" w:hAnsi="FangSong" w:eastAsia="FangSong" w:cs="FangSong"/>
          <w:sz w:val="24"/>
          <w:szCs w:val="24"/>
        </w:rPr>
        <w:t>工程活动的直接影响区和间</w:t>
      </w:r>
      <w:r>
        <w:rPr>
          <w:rFonts w:ascii="FangSong" w:hAnsi="FangSong" w:eastAsia="FangSong" w:cs="FangSong"/>
          <w:sz w:val="24"/>
          <w:szCs w:val="24"/>
          <w:spacing w:val="-3"/>
        </w:rPr>
        <w:t>接影响区域。陆生生态评价范围主要包括采区外延</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2km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范围，面积为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64.</w:t>
      </w:r>
      <w:r>
        <w:rPr>
          <w:rFonts w:ascii="Times New Roman" w:hAnsi="Times New Roman" w:eastAsia="Times New Roman" w:cs="Times New Roman"/>
          <w:sz w:val="24"/>
          <w:szCs w:val="24"/>
          <w:spacing w:val="-4"/>
        </w:rPr>
        <w:t>55km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，见</w:t>
      </w:r>
      <w:r>
        <w:rPr>
          <w:rFonts w:ascii="FangSong" w:hAnsi="FangSong" w:eastAsia="FangSong" w:cs="FangSong"/>
          <w:sz w:val="24"/>
          <w:szCs w:val="24"/>
          <w:spacing w:val="-4"/>
        </w:rPr>
        <w:t>附图</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2-2</w:t>
      </w:r>
      <w:r>
        <w:rPr>
          <w:rFonts w:ascii="FangSong" w:hAnsi="FangSong" w:eastAsia="FangSong" w:cs="FangSong"/>
          <w:sz w:val="24"/>
          <w:szCs w:val="24"/>
          <w:spacing w:val="-4"/>
        </w:rPr>
        <w:t>。</w:t>
      </w:r>
    </w:p>
    <w:p>
      <w:pPr>
        <w:ind w:left="16"/>
        <w:spacing w:line="222" w:lineRule="auto"/>
        <w:outlineLvl w:val="2"/>
        <w:rPr>
          <w:rFonts w:ascii="FangSong" w:hAnsi="FangSong" w:eastAsia="FangSong" w:cs="FangSong"/>
          <w:sz w:val="24"/>
          <w:szCs w:val="24"/>
        </w:rPr>
      </w:pPr>
      <w:bookmarkStart w:name="bookmark79" w:id="107"/>
      <w:bookmarkEnd w:id="107"/>
      <w:bookmarkStart w:name="bookmark78" w:id="108"/>
      <w:bookmarkEnd w:id="108"/>
      <w:r>
        <w:rPr>
          <w:rFonts w:ascii="Times New Roman" w:hAnsi="Times New Roman" w:eastAsia="Times New Roman" w:cs="Times New Roman"/>
          <w:sz w:val="24"/>
          <w:szCs w:val="24"/>
          <w:b/>
          <w:bCs/>
          <w:spacing w:val="-4"/>
        </w:rPr>
        <w:t>2.5.7</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环境风险</w:t>
      </w:r>
    </w:p>
    <w:p>
      <w:pPr>
        <w:ind w:left="16"/>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2.5.7.1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评价等级</w:t>
      </w:r>
    </w:p>
    <w:p>
      <w:pPr>
        <w:ind w:left="507"/>
        <w:spacing w:before="179" w:line="221" w:lineRule="auto"/>
        <w:rPr>
          <w:rFonts w:ascii="FangSong" w:hAnsi="FangSong" w:eastAsia="FangSong" w:cs="FangSong"/>
          <w:sz w:val="24"/>
          <w:szCs w:val="24"/>
        </w:rPr>
      </w:pPr>
      <w:r>
        <w:rPr>
          <w:rFonts w:ascii="FangSong" w:hAnsi="FangSong" w:eastAsia="FangSong" w:cs="FangSong"/>
          <w:sz w:val="24"/>
          <w:szCs w:val="24"/>
          <w:spacing w:val="1"/>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169-2018</w:t>
      </w:r>
      <w:r>
        <w:rPr>
          <w:rFonts w:ascii="FangSong" w:hAnsi="FangSong" w:eastAsia="FangSong" w:cs="FangSong"/>
          <w:sz w:val="24"/>
          <w:szCs w:val="24"/>
          <w:spacing w:val="1"/>
        </w:rPr>
        <w:t>）和《企业突发环境事</w:t>
      </w:r>
    </w:p>
    <w:p>
      <w:pPr>
        <w:spacing w:line="221" w:lineRule="auto"/>
        <w:sectPr>
          <w:footerReference w:type="default" r:id="rId73"/>
          <w:pgSz w:w="11911" w:h="16839"/>
          <w:pgMar w:top="400" w:right="135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124" w:right="107"/>
        <w:spacing w:before="78" w:line="359" w:lineRule="auto"/>
        <w:jc w:val="both"/>
        <w:rPr>
          <w:rFonts w:ascii="FangSong" w:hAnsi="FangSong" w:eastAsia="FangSong" w:cs="FangSong"/>
          <w:sz w:val="24"/>
          <w:szCs w:val="24"/>
        </w:rPr>
      </w:pPr>
      <w:bookmarkStart w:name="bookmark519" w:id="109"/>
      <w:bookmarkEnd w:id="109"/>
      <w:r>
        <w:rPr>
          <w:rFonts w:ascii="FangSong" w:hAnsi="FangSong" w:eastAsia="FangSong" w:cs="FangSong"/>
          <w:sz w:val="24"/>
          <w:szCs w:val="24"/>
          <w:spacing w:val="1"/>
        </w:rPr>
        <w:t>件风险分级方法》（</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941-2018</w:t>
      </w:r>
      <w:r>
        <w:rPr>
          <w:rFonts w:ascii="FangSong" w:hAnsi="FangSong" w:eastAsia="FangSong" w:cs="FangSong"/>
          <w:sz w:val="24"/>
          <w:szCs w:val="24"/>
          <w:spacing w:val="1"/>
        </w:rPr>
        <w:t>）的规定，计算项目涉及的每种危险物质在厂界内</w:t>
      </w:r>
      <w:r>
        <w:rPr>
          <w:rFonts w:ascii="FangSong" w:hAnsi="FangSong" w:eastAsia="FangSong" w:cs="FangSong"/>
          <w:sz w:val="24"/>
          <w:szCs w:val="24"/>
          <w:spacing w:val="2"/>
        </w:rPr>
        <w:t>的最大存在总量与其在《建设项目环境风险评价技术导则</w:t>
      </w:r>
      <w:r>
        <w:rPr>
          <w:rFonts w:ascii="FangSong" w:hAnsi="FangSong" w:eastAsia="FangSong" w:cs="FangSong"/>
          <w:sz w:val="24"/>
          <w:szCs w:val="24"/>
          <w:spacing w:val="1"/>
        </w:rPr>
        <w:t>》（</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169-2018</w:t>
      </w:r>
      <w:r>
        <w:rPr>
          <w:rFonts w:ascii="FangSong" w:hAnsi="FangSong" w:eastAsia="FangSong" w:cs="FangSong"/>
          <w:sz w:val="24"/>
          <w:szCs w:val="24"/>
          <w:spacing w:val="1"/>
        </w:rPr>
        <w:t>）附录</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B</w:t>
      </w:r>
      <w:r>
        <w:rPr>
          <w:rFonts w:ascii="FangSong" w:hAnsi="FangSong" w:eastAsia="FangSong" w:cs="FangSong"/>
          <w:sz w:val="24"/>
          <w:szCs w:val="24"/>
        </w:rPr>
        <w:t>中对应临界量的比值</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rPr>
        <w:t>Q</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。在不同厂区的同一种物质，按其在厂界内的最大存在总量</w:t>
      </w:r>
      <w:r>
        <w:rPr>
          <w:rFonts w:ascii="FangSong" w:hAnsi="FangSong" w:eastAsia="FangSong" w:cs="FangSong"/>
          <w:sz w:val="24"/>
          <w:szCs w:val="24"/>
          <w:spacing w:val="-6"/>
        </w:rPr>
        <w:t>计算。</w:t>
      </w:r>
    </w:p>
    <w:p>
      <w:pPr>
        <w:ind w:left="629"/>
        <w:spacing w:before="1" w:line="212" w:lineRule="auto"/>
        <w:rPr>
          <w:rFonts w:ascii="FangSong" w:hAnsi="FangSong" w:eastAsia="FangSong" w:cs="FangSong"/>
          <w:sz w:val="24"/>
          <w:szCs w:val="24"/>
        </w:rPr>
      </w:pPr>
      <w:r>
        <w:rPr>
          <w:rFonts w:ascii="FangSong" w:hAnsi="FangSong" w:eastAsia="FangSong" w:cs="FangSong"/>
          <w:sz w:val="24"/>
          <w:szCs w:val="24"/>
          <w:spacing w:val="-2"/>
        </w:rPr>
        <w:t>当只涉及一种危险物质时，计算该物质的总量与其临界量比值，即为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Q</w:t>
      </w:r>
      <w:r>
        <w:rPr>
          <w:rFonts w:ascii="FangSong" w:hAnsi="FangSong" w:eastAsia="FangSong" w:cs="FangSong"/>
          <w:sz w:val="24"/>
          <w:szCs w:val="24"/>
          <w:spacing w:val="-2"/>
        </w:rPr>
        <w:t>；</w:t>
      </w:r>
    </w:p>
    <w:p>
      <w:pPr>
        <w:spacing w:before="192" w:line="210" w:lineRule="auto"/>
        <w:jc w:val="right"/>
        <w:rPr>
          <w:rFonts w:ascii="FangSong" w:hAnsi="FangSong" w:eastAsia="FangSong" w:cs="FangSong"/>
          <w:sz w:val="24"/>
          <w:szCs w:val="24"/>
        </w:rPr>
      </w:pPr>
      <w:r>
        <w:rPr>
          <w:rFonts w:ascii="FangSong" w:hAnsi="FangSong" w:eastAsia="FangSong" w:cs="FangSong"/>
          <w:sz w:val="24"/>
          <w:szCs w:val="24"/>
          <w:spacing w:val="-7"/>
        </w:rPr>
        <w:t>当存在多种危险物质时，则按式（公式</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7"/>
        </w:rPr>
        <w:t>2.5-2</w:t>
      </w:r>
      <w:r>
        <w:rPr>
          <w:rFonts w:ascii="FangSong" w:hAnsi="FangSong" w:eastAsia="FangSong" w:cs="FangSong"/>
          <w:sz w:val="24"/>
          <w:szCs w:val="24"/>
          <w:spacing w:val="-7"/>
        </w:rPr>
        <w:t>）计算物质总量与其临界量比值</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Q</w:t>
      </w:r>
      <w:r>
        <w:rPr>
          <w:rFonts w:ascii="FangSong" w:hAnsi="FangSong" w:eastAsia="FangSong" w:cs="FangSong"/>
          <w:sz w:val="24"/>
          <w:szCs w:val="24"/>
          <w:spacing w:val="-7"/>
        </w:rPr>
        <w:t>：</w:t>
      </w:r>
    </w:p>
    <w:p>
      <w:pPr>
        <w:ind w:left="2211"/>
        <w:spacing w:before="275" w:line="658" w:lineRule="exact"/>
        <w:rPr>
          <w:rFonts w:ascii="FangSong" w:hAnsi="FangSong" w:eastAsia="FangSong" w:cs="FangSong"/>
          <w:sz w:val="24"/>
          <w:szCs w:val="24"/>
        </w:rPr>
      </w:pPr>
      <w:r>
        <w:rPr>
          <w:rFonts w:ascii="Times New Roman" w:hAnsi="Times New Roman" w:eastAsia="Times New Roman" w:cs="Times New Roman"/>
          <w:sz w:val="24"/>
          <w:szCs w:val="24"/>
          <w:spacing w:val="-2"/>
          <w:position w:val="21"/>
        </w:rPr>
        <w:t>Q</w:t>
      </w:r>
      <w:r>
        <w:rPr>
          <w:rFonts w:ascii="Times New Roman" w:hAnsi="Times New Roman" w:eastAsia="Times New Roman" w:cs="Times New Roman"/>
          <w:sz w:val="24"/>
          <w:szCs w:val="24"/>
          <w:spacing w:val="41"/>
          <w:w w:val="101"/>
          <w:position w:val="21"/>
        </w:rPr>
        <w:t xml:space="preserve"> </w:t>
      </w:r>
      <w:r>
        <w:rPr>
          <w:sz w:val="24"/>
          <w:szCs w:val="24"/>
          <w:position w:val="-2"/>
        </w:rPr>
        <w:drawing>
          <wp:inline distT="0" distB="0" distL="0" distR="0">
            <wp:extent cx="1408789" cy="330181"/>
            <wp:effectExtent l="0" t="0" r="0" b="0"/>
            <wp:docPr id="8" name="IM 8"/>
            <wp:cNvGraphicFramePr/>
            <a:graphic>
              <a:graphicData uri="http://schemas.openxmlformats.org/drawingml/2006/picture">
                <pic:pic>
                  <pic:nvPicPr>
                    <pic:cNvPr id="8" name="IM 8"/>
                    <pic:cNvPicPr/>
                  </pic:nvPicPr>
                  <pic:blipFill>
                    <a:blip r:embed="rId75"/>
                    <a:stretch>
                      <a:fillRect/>
                    </a:stretch>
                  </pic:blipFill>
                  <pic:spPr>
                    <a:xfrm rot="0">
                      <a:off x="0" y="0"/>
                      <a:ext cx="1408789" cy="330181"/>
                    </a:xfrm>
                    <a:prstGeom prst="rect">
                      <a:avLst/>
                    </a:prstGeom>
                  </pic:spPr>
                </pic:pic>
              </a:graphicData>
            </a:graphic>
          </wp:inline>
        </w:drawing>
      </w:r>
      <w:r>
        <w:rPr>
          <w:rFonts w:ascii="Times New Roman" w:hAnsi="Times New Roman" w:eastAsia="Times New Roman" w:cs="Times New Roman"/>
          <w:sz w:val="24"/>
          <w:szCs w:val="24"/>
          <w:spacing w:val="7"/>
          <w:position w:val="21"/>
        </w:rPr>
        <w:t xml:space="preserve">        </w:t>
      </w:r>
      <w:r>
        <w:rPr>
          <w:rFonts w:ascii="FangSong" w:hAnsi="FangSong" w:eastAsia="FangSong" w:cs="FangSong"/>
          <w:sz w:val="24"/>
          <w:szCs w:val="24"/>
          <w:spacing w:val="-2"/>
          <w:position w:val="-8"/>
        </w:rPr>
        <w:t>（公式</w:t>
      </w:r>
      <w:r>
        <w:rPr>
          <w:rFonts w:ascii="FangSong" w:hAnsi="FangSong" w:eastAsia="FangSong" w:cs="FangSong"/>
          <w:sz w:val="24"/>
          <w:szCs w:val="24"/>
          <w:spacing w:val="-55"/>
          <w:position w:val="-8"/>
        </w:rPr>
        <w:t xml:space="preserve"> </w:t>
      </w:r>
      <w:r>
        <w:rPr>
          <w:rFonts w:ascii="Times New Roman" w:hAnsi="Times New Roman" w:eastAsia="Times New Roman" w:cs="Times New Roman"/>
          <w:sz w:val="24"/>
          <w:szCs w:val="24"/>
          <w:spacing w:val="-2"/>
          <w:position w:val="-8"/>
        </w:rPr>
        <w:t>2.5-2</w:t>
      </w:r>
      <w:r>
        <w:rPr>
          <w:rFonts w:ascii="FangSong" w:hAnsi="FangSong" w:eastAsia="FangSong" w:cs="FangSong"/>
          <w:sz w:val="24"/>
          <w:szCs w:val="24"/>
          <w:spacing w:val="-2"/>
          <w:position w:val="-8"/>
        </w:rPr>
        <w:t>）</w:t>
      </w:r>
    </w:p>
    <w:p>
      <w:pPr>
        <w:ind w:left="610"/>
        <w:spacing w:before="178" w:line="210" w:lineRule="auto"/>
        <w:rPr>
          <w:rFonts w:ascii="FangSong" w:hAnsi="FangSong" w:eastAsia="FangSong" w:cs="FangSong"/>
          <w:sz w:val="24"/>
          <w:szCs w:val="24"/>
        </w:rPr>
      </w:pPr>
      <w:r>
        <w:rPr>
          <w:rFonts w:ascii="FangSong" w:hAnsi="FangSong" w:eastAsia="FangSong" w:cs="FangSong"/>
          <w:sz w:val="24"/>
          <w:szCs w:val="24"/>
          <w:spacing w:val="-7"/>
        </w:rPr>
        <w:t>式中：</w:t>
      </w:r>
      <w:r>
        <w:rPr>
          <w:rFonts w:ascii="Times New Roman" w:hAnsi="Times New Roman" w:eastAsia="Times New Roman" w:cs="Times New Roman"/>
          <w:sz w:val="24"/>
          <w:szCs w:val="24"/>
          <w:spacing w:val="-7"/>
        </w:rPr>
        <w:t>q</w:t>
      </w:r>
      <w:r>
        <w:rPr>
          <w:rFonts w:ascii="Times New Roman" w:hAnsi="Times New Roman" w:eastAsia="Times New Roman" w:cs="Times New Roman"/>
          <w:sz w:val="15"/>
          <w:szCs w:val="15"/>
          <w:spacing w:val="-7"/>
          <w:position w:val="-1"/>
        </w:rPr>
        <w:t>1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q</w:t>
      </w:r>
      <w:r>
        <w:rPr>
          <w:rFonts w:ascii="Times New Roman" w:hAnsi="Times New Roman" w:eastAsia="Times New Roman" w:cs="Times New Roman"/>
          <w:sz w:val="15"/>
          <w:szCs w:val="15"/>
          <w:spacing w:val="-7"/>
          <w:position w:val="-1"/>
        </w:rPr>
        <w:t>2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q</w:t>
      </w:r>
      <w:r>
        <w:rPr>
          <w:rFonts w:ascii="Times New Roman" w:hAnsi="Times New Roman" w:eastAsia="Times New Roman" w:cs="Times New Roman"/>
          <w:sz w:val="15"/>
          <w:szCs w:val="15"/>
        </w:rPr>
        <w:t>n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每种危险物质的最大存在总量，</w:t>
      </w:r>
      <w:r>
        <w:rPr>
          <w:rFonts w:ascii="Times New Roman" w:hAnsi="Times New Roman" w:eastAsia="Times New Roman" w:cs="Times New Roman"/>
          <w:sz w:val="24"/>
          <w:szCs w:val="24"/>
        </w:rPr>
        <w:t>t</w:t>
      </w:r>
      <w:r>
        <w:rPr>
          <w:rFonts w:ascii="FangSong" w:hAnsi="FangSong" w:eastAsia="FangSong" w:cs="FangSong"/>
          <w:sz w:val="24"/>
          <w:szCs w:val="24"/>
        </w:rPr>
        <w:t>；</w:t>
      </w:r>
    </w:p>
    <w:p>
      <w:pPr>
        <w:ind w:left="1316"/>
        <w:spacing w:before="193" w:line="212" w:lineRule="auto"/>
        <w:rPr>
          <w:rFonts w:ascii="FangSong" w:hAnsi="FangSong" w:eastAsia="FangSong" w:cs="FangSong"/>
          <w:sz w:val="24"/>
          <w:szCs w:val="24"/>
        </w:rPr>
      </w:pP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1"/>
        </w:rPr>
        <w:t>1</w:t>
      </w:r>
      <w:r>
        <w:rPr>
          <w:rFonts w:ascii="Times New Roman" w:hAnsi="Times New Roman" w:eastAsia="Times New Roman" w:cs="Times New Roman"/>
          <w:sz w:val="15"/>
          <w:szCs w:val="15"/>
          <w:spacing w:val="1"/>
          <w:position w:val="-1"/>
        </w:rPr>
        <w:t xml:space="preserve"> </w:t>
      </w:r>
      <w:r>
        <w:rPr>
          <w:rFonts w:ascii="FangSong" w:hAnsi="FangSong" w:eastAsia="FangSong" w:cs="FangSong"/>
          <w:sz w:val="24"/>
          <w:szCs w:val="24"/>
          <w:spacing w:val="-17"/>
        </w:rPr>
        <w:t>，</w:t>
      </w:r>
      <w:r>
        <w:rPr>
          <w:rFonts w:ascii="Times New Roman" w:hAnsi="Times New Roman" w:eastAsia="Times New Roman" w:cs="Times New Roman"/>
          <w:sz w:val="24"/>
          <w:szCs w:val="24"/>
          <w:spacing w:val="-17"/>
        </w:rPr>
        <w:t>Q</w:t>
      </w:r>
      <w:r>
        <w:rPr>
          <w:rFonts w:ascii="Times New Roman" w:hAnsi="Times New Roman" w:eastAsia="Times New Roman" w:cs="Times New Roman"/>
          <w:sz w:val="15"/>
          <w:szCs w:val="15"/>
          <w:spacing w:val="-7"/>
          <w:position w:val="-1"/>
        </w:rPr>
        <w:t>2</w:t>
      </w:r>
      <w:r>
        <w:rPr>
          <w:rFonts w:ascii="Times New Roman" w:hAnsi="Times New Roman" w:eastAsia="Times New Roman" w:cs="Times New Roman"/>
          <w:sz w:val="15"/>
          <w:szCs w:val="15"/>
          <w:spacing w:val="-6"/>
          <w:position w:val="-1"/>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Q</w:t>
      </w:r>
      <w:r>
        <w:rPr>
          <w:rFonts w:ascii="Times New Roman" w:hAnsi="Times New Roman" w:eastAsia="Times New Roman" w:cs="Times New Roman"/>
          <w:sz w:val="15"/>
          <w:szCs w:val="15"/>
          <w:spacing w:val="-1"/>
        </w:rPr>
        <w:t>n   </w:t>
      </w:r>
      <w:r>
        <w:rPr>
          <w:rFonts w:ascii="FangSong" w:hAnsi="FangSong" w:eastAsia="FangSong" w:cs="FangSong"/>
          <w:sz w:val="24"/>
          <w:szCs w:val="24"/>
          <w:spacing w:val="-1"/>
        </w:rPr>
        <w:t>——</w:t>
      </w:r>
      <w:r>
        <w:rPr>
          <w:rFonts w:ascii="FangSong" w:hAnsi="FangSong" w:eastAsia="FangSong" w:cs="FangSong"/>
          <w:sz w:val="24"/>
          <w:szCs w:val="24"/>
          <w:spacing w:val="24"/>
        </w:rPr>
        <w:t xml:space="preserve"> </w:t>
      </w:r>
      <w:r>
        <w:rPr>
          <w:rFonts w:ascii="FangSong" w:hAnsi="FangSong" w:eastAsia="FangSong" w:cs="FangSong"/>
          <w:sz w:val="24"/>
          <w:szCs w:val="24"/>
          <w:spacing w:val="-1"/>
        </w:rPr>
        <w:t>每种危险物质的临界量，</w:t>
      </w:r>
      <w:r>
        <w:rPr>
          <w:rFonts w:ascii="Times New Roman" w:hAnsi="Times New Roman" w:eastAsia="Times New Roman" w:cs="Times New Roman"/>
          <w:sz w:val="24"/>
          <w:szCs w:val="24"/>
          <w:spacing w:val="-1"/>
        </w:rPr>
        <w:t>t</w:t>
      </w:r>
      <w:r>
        <w:rPr>
          <w:rFonts w:ascii="FangSong" w:hAnsi="FangSong" w:eastAsia="FangSong" w:cs="FangSong"/>
          <w:sz w:val="24"/>
          <w:szCs w:val="24"/>
          <w:spacing w:val="-1"/>
        </w:rPr>
        <w:t>。</w:t>
      </w:r>
    </w:p>
    <w:p>
      <w:pPr>
        <w:ind w:left="629"/>
        <w:spacing w:before="192" w:line="210" w:lineRule="auto"/>
        <w:rPr>
          <w:rFonts w:ascii="FangSong" w:hAnsi="FangSong" w:eastAsia="FangSong" w:cs="FangSong"/>
          <w:sz w:val="24"/>
          <w:szCs w:val="24"/>
        </w:rPr>
      </w:pPr>
      <w:r>
        <w:rPr>
          <w:rFonts w:ascii="FangSong" w:hAnsi="FangSong" w:eastAsia="FangSong" w:cs="FangSong"/>
          <w:sz w:val="24"/>
          <w:szCs w:val="24"/>
          <w:spacing w:val="-10"/>
        </w:rPr>
        <w:t>当</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0"/>
        </w:rPr>
        <w:t>Q</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10"/>
        </w:rPr>
        <w:t>时，该项目环境风险潜势为</w:t>
      </w:r>
      <w:r>
        <w:rPr>
          <w:rFonts w:ascii="FangSong" w:hAnsi="FangSong" w:eastAsia="FangSong" w:cs="FangSong"/>
          <w:sz w:val="24"/>
          <w:szCs w:val="24"/>
          <w:spacing w:val="-33"/>
        </w:rPr>
        <w:t xml:space="preserve"> </w:t>
      </w:r>
      <w:r>
        <w:rPr>
          <w:rFonts w:ascii="FangSong" w:hAnsi="FangSong" w:eastAsia="FangSong" w:cs="FangSong"/>
          <w:sz w:val="24"/>
          <w:szCs w:val="24"/>
          <w:spacing w:val="-10"/>
        </w:rPr>
        <w:t>Ⅰ。</w:t>
      </w:r>
    </w:p>
    <w:p>
      <w:pPr>
        <w:ind w:left="629"/>
        <w:spacing w:before="193" w:line="210" w:lineRule="auto"/>
        <w:rPr>
          <w:rFonts w:ascii="Times New Roman" w:hAnsi="Times New Roman" w:eastAsia="Times New Roman" w:cs="Times New Roman"/>
          <w:sz w:val="24"/>
          <w:szCs w:val="24"/>
        </w:rPr>
      </w:pPr>
      <w:r>
        <w:rPr>
          <w:rFonts w:ascii="FangSong" w:hAnsi="FangSong" w:eastAsia="FangSong" w:cs="FangSong"/>
          <w:sz w:val="24"/>
          <w:szCs w:val="24"/>
          <w:spacing w:val="-2"/>
        </w:rPr>
        <w:t>当</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Q</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2"/>
        </w:rPr>
        <w:t>时，将</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Q</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值划分为</w:t>
      </w:r>
      <w:r>
        <w:rPr>
          <w:rFonts w:ascii="FangSong" w:hAnsi="FangSong" w:eastAsia="FangSong" w:cs="FangSong"/>
          <w:sz w:val="24"/>
          <w:szCs w:val="24"/>
          <w:spacing w:val="-38"/>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Q</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
        </w:rPr>
        <w:t>0</w:t>
      </w:r>
      <w:r>
        <w:rPr>
          <w:rFonts w:ascii="FangSong" w:hAnsi="FangSong" w:eastAsia="FangSong" w:cs="FangSong"/>
          <w:sz w:val="24"/>
          <w:szCs w:val="24"/>
          <w:spacing w:val="-38"/>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Q</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100</w:t>
      </w:r>
      <w:r>
        <w:rPr>
          <w:rFonts w:ascii="FangSong" w:hAnsi="FangSong" w:eastAsia="FangSong" w:cs="FangSong"/>
          <w:sz w:val="24"/>
          <w:szCs w:val="24"/>
          <w:spacing w:val="-38"/>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Q</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100</w:t>
      </w:r>
    </w:p>
    <w:p>
      <w:pPr>
        <w:ind w:left="130" w:right="107" w:firstLine="475"/>
        <w:spacing w:before="191" w:line="360" w:lineRule="auto"/>
        <w:rPr>
          <w:rFonts w:ascii="FangSong" w:hAnsi="FangSong" w:eastAsia="FangSong" w:cs="FangSong"/>
          <w:sz w:val="24"/>
          <w:szCs w:val="24"/>
        </w:rPr>
      </w:pPr>
      <w:r>
        <w:rPr>
          <w:rFonts w:ascii="FangSong" w:hAnsi="FangSong" w:eastAsia="FangSong" w:cs="FangSong"/>
          <w:sz w:val="24"/>
          <w:szCs w:val="24"/>
          <w:spacing w:val="1"/>
        </w:rPr>
        <w:t>本项目掘进、回采使用的炸药、雷管、柴油、润滑油，设备检修维护产生的废</w:t>
      </w:r>
      <w:r>
        <w:rPr>
          <w:rFonts w:ascii="FangSong" w:hAnsi="FangSong" w:eastAsia="FangSong" w:cs="FangSong"/>
          <w:sz w:val="24"/>
          <w:szCs w:val="24"/>
          <w:spacing w:val="-1"/>
        </w:rPr>
        <w:t>油，属于环境风险物质，其储存情况见表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2.5</w:t>
      </w:r>
      <w:r>
        <w:rPr>
          <w:rFonts w:ascii="Times New Roman" w:hAnsi="Times New Roman" w:eastAsia="Times New Roman" w:cs="Times New Roman"/>
          <w:sz w:val="24"/>
          <w:szCs w:val="24"/>
          <w:spacing w:val="-2"/>
        </w:rPr>
        <w:t>-12</w:t>
      </w:r>
      <w:r>
        <w:rPr>
          <w:rFonts w:ascii="FangSong" w:hAnsi="FangSong" w:eastAsia="FangSong" w:cs="FangSong"/>
          <w:sz w:val="24"/>
          <w:szCs w:val="24"/>
          <w:spacing w:val="-2"/>
        </w:rPr>
        <w:t>。</w:t>
      </w:r>
    </w:p>
    <w:p>
      <w:pPr>
        <w:ind w:left="2024"/>
        <w:spacing w:before="2" w:line="219"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2.5-12  </w:t>
      </w:r>
      <w:r>
        <w:rPr>
          <w:rFonts w:ascii="FangSong" w:hAnsi="FangSong" w:eastAsia="FangSong" w:cs="FangSong"/>
          <w:sz w:val="24"/>
          <w:szCs w:val="24"/>
          <w:b/>
          <w:bCs/>
          <w:spacing w:val="-2"/>
        </w:rPr>
        <w:t>本项目环境风险物质存储情况一</w:t>
      </w:r>
      <w:r>
        <w:rPr>
          <w:rFonts w:ascii="FangSong" w:hAnsi="FangSong" w:eastAsia="FangSong" w:cs="FangSong"/>
          <w:sz w:val="24"/>
          <w:szCs w:val="24"/>
          <w:b/>
          <w:bCs/>
          <w:spacing w:val="-3"/>
        </w:rPr>
        <w:t>览表</w:t>
      </w:r>
    </w:p>
    <w:p>
      <w:pPr>
        <w:spacing w:line="145" w:lineRule="exact"/>
        <w:rPr/>
      </w:pPr>
      <w:r/>
    </w:p>
    <w:tbl>
      <w:tblPr>
        <w:tblStyle w:val="TableNormal"/>
        <w:tblW w:w="8809" w:type="dxa"/>
        <w:tblInd w:w="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9"/>
        <w:gridCol w:w="1268"/>
        <w:gridCol w:w="1448"/>
        <w:gridCol w:w="1735"/>
        <w:gridCol w:w="1079"/>
        <w:gridCol w:w="1290"/>
        <w:gridCol w:w="1200"/>
      </w:tblGrid>
      <w:tr>
        <w:trPr>
          <w:trHeight w:val="280" w:hRule="atLeast"/>
        </w:trPr>
        <w:tc>
          <w:tcPr>
            <w:tcW w:w="789" w:type="dxa"/>
            <w:vAlign w:val="top"/>
            <w:tcBorders>
              <w:top w:val="single" w:color="000000" w:sz="10" w:space="0"/>
              <w:left w:val="nil"/>
            </w:tcBorders>
          </w:tcPr>
          <w:p>
            <w:pPr>
              <w:pStyle w:val="TableText"/>
              <w:ind w:left="198"/>
              <w:spacing w:before="37" w:line="215" w:lineRule="auto"/>
              <w:rPr/>
            </w:pPr>
            <w:r>
              <w:rPr>
                <w:spacing w:val="2"/>
              </w:rPr>
              <w:t>序号</w:t>
            </w:r>
          </w:p>
        </w:tc>
        <w:tc>
          <w:tcPr>
            <w:tcW w:w="1268" w:type="dxa"/>
            <w:vAlign w:val="top"/>
            <w:tcBorders>
              <w:top w:val="single" w:color="000000" w:sz="10" w:space="0"/>
            </w:tcBorders>
          </w:tcPr>
          <w:p>
            <w:pPr>
              <w:pStyle w:val="TableText"/>
              <w:ind w:left="227"/>
              <w:spacing w:before="37" w:line="215" w:lineRule="auto"/>
              <w:rPr/>
            </w:pPr>
            <w:r>
              <w:rPr>
                <w:spacing w:val="5"/>
              </w:rPr>
              <w:t>风险物质</w:t>
            </w:r>
          </w:p>
        </w:tc>
        <w:tc>
          <w:tcPr>
            <w:tcW w:w="1448" w:type="dxa"/>
            <w:vAlign w:val="top"/>
            <w:tcBorders>
              <w:top w:val="single" w:color="000000" w:sz="10" w:space="0"/>
            </w:tcBorders>
          </w:tcPr>
          <w:p>
            <w:pPr>
              <w:pStyle w:val="TableText"/>
              <w:ind w:left="317"/>
              <w:spacing w:before="37" w:line="215" w:lineRule="auto"/>
              <w:rPr/>
            </w:pPr>
            <w:r>
              <w:rPr>
                <w:spacing w:val="5"/>
              </w:rPr>
              <w:t>风险成分</w:t>
            </w:r>
          </w:p>
        </w:tc>
        <w:tc>
          <w:tcPr>
            <w:tcW w:w="1735" w:type="dxa"/>
            <w:vAlign w:val="top"/>
            <w:tcBorders>
              <w:top w:val="single" w:color="000000" w:sz="10" w:space="0"/>
            </w:tcBorders>
          </w:tcPr>
          <w:p>
            <w:pPr>
              <w:pStyle w:val="TableText"/>
              <w:ind w:left="359"/>
              <w:spacing w:before="37" w:line="215" w:lineRule="auto"/>
              <w:rPr/>
            </w:pPr>
            <w:r>
              <w:rPr>
                <w:spacing w:val="5"/>
              </w:rPr>
              <w:t>最大存储量</w:t>
            </w:r>
          </w:p>
        </w:tc>
        <w:tc>
          <w:tcPr>
            <w:tcW w:w="1079" w:type="dxa"/>
            <w:vAlign w:val="top"/>
            <w:tcBorders>
              <w:top w:val="single" w:color="000000" w:sz="10" w:space="0"/>
            </w:tcBorders>
          </w:tcPr>
          <w:p>
            <w:pPr>
              <w:pStyle w:val="TableText"/>
              <w:ind w:left="190"/>
              <w:spacing w:before="37" w:line="215" w:lineRule="auto"/>
              <w:rPr>
                <w:rFonts w:ascii="Times New Roman" w:hAnsi="Times New Roman" w:eastAsia="Times New Roman" w:cs="Times New Roman"/>
              </w:rPr>
            </w:pPr>
            <w:r>
              <w:rPr>
                <w:spacing w:val="1"/>
              </w:rPr>
              <w:t>临界量</w:t>
            </w:r>
            <w:r>
              <w:rPr>
                <w:rFonts w:ascii="Times New Roman" w:hAnsi="Times New Roman" w:eastAsia="Times New Roman" w:cs="Times New Roman"/>
                <w:spacing w:val="1"/>
              </w:rPr>
              <w:t>/t</w:t>
            </w:r>
          </w:p>
        </w:tc>
        <w:tc>
          <w:tcPr>
            <w:tcW w:w="1290" w:type="dxa"/>
            <w:vAlign w:val="top"/>
            <w:tcBorders>
              <w:top w:val="single" w:color="000000" w:sz="10" w:space="0"/>
            </w:tcBorders>
          </w:tcPr>
          <w:p>
            <w:pPr>
              <w:pStyle w:val="TableText"/>
              <w:ind w:left="240"/>
              <w:spacing w:before="37" w:line="215" w:lineRule="auto"/>
              <w:rPr/>
            </w:pPr>
            <w:r>
              <w:rPr>
                <w:spacing w:val="5"/>
              </w:rPr>
              <w:t>存储位置</w:t>
            </w:r>
          </w:p>
        </w:tc>
        <w:tc>
          <w:tcPr>
            <w:tcW w:w="1200" w:type="dxa"/>
            <w:vAlign w:val="top"/>
            <w:tcBorders>
              <w:top w:val="single" w:color="000000" w:sz="10" w:space="0"/>
              <w:right w:val="nil"/>
            </w:tcBorders>
          </w:tcPr>
          <w:p>
            <w:pPr>
              <w:pStyle w:val="TableText"/>
              <w:ind w:left="399"/>
              <w:spacing w:before="37" w:line="215" w:lineRule="auto"/>
              <w:rPr/>
            </w:pPr>
            <w:r>
              <w:rPr>
                <w:rFonts w:ascii="Times New Roman" w:hAnsi="Times New Roman" w:eastAsia="Times New Roman" w:cs="Times New Roman"/>
                <w:spacing w:val="-1"/>
              </w:rPr>
              <w:t>Q</w:t>
            </w:r>
            <w:r>
              <w:rPr>
                <w:rFonts w:ascii="Times New Roman" w:hAnsi="Times New Roman" w:eastAsia="Times New Roman" w:cs="Times New Roman"/>
                <w:spacing w:val="16"/>
              </w:rPr>
              <w:t xml:space="preserve"> </w:t>
            </w:r>
            <w:r>
              <w:rPr>
                <w:spacing w:val="-1"/>
              </w:rPr>
              <w:t>值</w:t>
            </w:r>
          </w:p>
        </w:tc>
      </w:tr>
      <w:tr>
        <w:trPr>
          <w:trHeight w:val="543" w:hRule="atLeast"/>
        </w:trPr>
        <w:tc>
          <w:tcPr>
            <w:tcW w:w="789" w:type="dxa"/>
            <w:vAlign w:val="top"/>
            <w:tcBorders>
              <w:left w:val="nil"/>
            </w:tcBorders>
          </w:tcPr>
          <w:p>
            <w:pPr>
              <w:ind w:left="365"/>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8" w:type="dxa"/>
            <w:vAlign w:val="top"/>
          </w:tcPr>
          <w:p>
            <w:pPr>
              <w:pStyle w:val="TableText"/>
              <w:ind w:left="433" w:right="107" w:hanging="323"/>
              <w:spacing w:before="32" w:line="231" w:lineRule="auto"/>
              <w:rPr/>
            </w:pPr>
            <w:r>
              <w:rPr>
                <w:rFonts w:ascii="Times New Roman" w:hAnsi="Times New Roman" w:eastAsia="Times New Roman" w:cs="Times New Roman"/>
                <w:spacing w:val="7"/>
              </w:rPr>
              <w:t>2#</w:t>
            </w:r>
            <w:r>
              <w:rPr>
                <w:spacing w:val="7"/>
              </w:rPr>
              <w:t>岩石乳化</w:t>
            </w:r>
            <w:r>
              <w:rPr>
                <w:spacing w:val="2"/>
              </w:rPr>
              <w:t>炸药</w:t>
            </w:r>
          </w:p>
        </w:tc>
        <w:tc>
          <w:tcPr>
            <w:tcW w:w="1448" w:type="dxa"/>
            <w:vAlign w:val="top"/>
          </w:tcPr>
          <w:p>
            <w:pPr>
              <w:ind w:left="352"/>
              <w:spacing w:before="205"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20"/>
                <w:szCs w:val="20"/>
                <w:spacing w:val="15"/>
              </w:rPr>
              <w:t>₄</w:t>
            </w:r>
            <w:r>
              <w:rPr>
                <w:rFonts w:ascii="Times New Roman" w:hAnsi="Times New Roman" w:eastAsia="Times New Roman" w:cs="Times New Roman"/>
                <w:sz w:val="20"/>
                <w:szCs w:val="20"/>
              </w:rPr>
              <w:t>NO</w:t>
            </w:r>
            <w:r>
              <w:rPr>
                <w:rFonts w:ascii="Times New Roman" w:hAnsi="Times New Roman" w:eastAsia="Times New Roman" w:cs="Times New Roman"/>
                <w:sz w:val="20"/>
                <w:szCs w:val="20"/>
                <w:spacing w:val="15"/>
              </w:rPr>
              <w:t>3</w:t>
            </w:r>
          </w:p>
        </w:tc>
        <w:tc>
          <w:tcPr>
            <w:tcW w:w="1735" w:type="dxa"/>
            <w:vAlign w:val="top"/>
          </w:tcPr>
          <w:p>
            <w:pPr>
              <w:ind w:left="82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79" w:type="dxa"/>
            <w:vAlign w:val="top"/>
          </w:tcPr>
          <w:p>
            <w:pPr>
              <w:ind w:left="44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90" w:type="dxa"/>
            <w:vAlign w:val="top"/>
            <w:vMerge w:val="restart"/>
            <w:tcBorders>
              <w:bottom w:val="nil"/>
            </w:tcBorders>
          </w:tcPr>
          <w:p>
            <w:pPr>
              <w:pStyle w:val="TableText"/>
              <w:ind w:left="153"/>
              <w:spacing w:before="32" w:line="232" w:lineRule="auto"/>
              <w:rPr/>
            </w:pPr>
            <w:r>
              <w:rPr>
                <w:spacing w:val="2"/>
              </w:rPr>
              <w:t>当地民爆公</w:t>
            </w:r>
          </w:p>
          <w:p>
            <w:pPr>
              <w:pStyle w:val="TableText"/>
              <w:ind w:left="147"/>
              <w:spacing w:before="22" w:line="232" w:lineRule="auto"/>
              <w:rPr/>
            </w:pPr>
            <w:r>
              <w:rPr>
                <w:spacing w:val="3"/>
              </w:rPr>
              <w:t>司，专人专</w:t>
            </w:r>
          </w:p>
          <w:p>
            <w:pPr>
              <w:pStyle w:val="TableText"/>
              <w:ind w:left="136"/>
              <w:spacing w:before="20" w:line="228" w:lineRule="auto"/>
              <w:rPr/>
            </w:pPr>
            <w:r>
              <w:rPr>
                <w:spacing w:val="8"/>
              </w:rPr>
              <w:t>车运送，随</w:t>
            </w:r>
          </w:p>
          <w:p>
            <w:pPr>
              <w:pStyle w:val="TableText"/>
              <w:ind w:left="254" w:right="118" w:hanging="123"/>
              <w:spacing w:before="25" w:line="227" w:lineRule="auto"/>
              <w:rPr/>
            </w:pPr>
            <w:r>
              <w:rPr>
                <w:spacing w:val="7"/>
              </w:rPr>
              <w:t>用随取，矿</w:t>
            </w:r>
            <w:r>
              <w:rPr>
                <w:spacing w:val="1"/>
              </w:rPr>
              <w:t>区不储存</w:t>
            </w:r>
          </w:p>
        </w:tc>
        <w:tc>
          <w:tcPr>
            <w:tcW w:w="1200" w:type="dxa"/>
            <w:vAlign w:val="top"/>
            <w:tcBorders>
              <w:right w:val="nil"/>
            </w:tcBorders>
          </w:tcPr>
          <w:p>
            <w:pPr>
              <w:ind w:left="55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804" w:hRule="atLeast"/>
        </w:trPr>
        <w:tc>
          <w:tcPr>
            <w:tcW w:w="789" w:type="dxa"/>
            <w:vAlign w:val="top"/>
            <w:tcBorders>
              <w:left w:val="nil"/>
            </w:tcBorders>
          </w:tcPr>
          <w:p>
            <w:pPr>
              <w:spacing w:line="284" w:lineRule="auto"/>
              <w:rPr>
                <w:rFonts w:ascii="Arial"/>
                <w:sz w:val="21"/>
              </w:rPr>
            </w:pPr>
            <w:r/>
          </w:p>
          <w:p>
            <w:pPr>
              <w:ind w:left="34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8" w:type="dxa"/>
            <w:vAlign w:val="top"/>
          </w:tcPr>
          <w:p>
            <w:pPr>
              <w:pStyle w:val="TableText"/>
              <w:ind w:left="550" w:right="107" w:hanging="408"/>
              <w:spacing w:before="171" w:line="251" w:lineRule="auto"/>
              <w:rPr/>
            </w:pPr>
            <w:r>
              <w:rPr>
                <w:spacing w:val="2"/>
              </w:rPr>
              <w:t>电子数码雷</w:t>
            </w:r>
            <w:r>
              <w:rPr/>
              <w:t>管</w:t>
            </w:r>
          </w:p>
        </w:tc>
        <w:tc>
          <w:tcPr>
            <w:tcW w:w="1448" w:type="dxa"/>
            <w:vAlign w:val="top"/>
          </w:tcPr>
          <w:p>
            <w:pPr>
              <w:spacing w:line="280" w:lineRule="auto"/>
              <w:rPr>
                <w:rFonts w:ascii="Arial"/>
                <w:sz w:val="21"/>
              </w:rPr>
            </w:pPr>
            <w:r/>
          </w:p>
          <w:p>
            <w:pPr>
              <w:ind w:left="693"/>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35" w:type="dxa"/>
            <w:vAlign w:val="top"/>
          </w:tcPr>
          <w:p>
            <w:pPr>
              <w:spacing w:line="284" w:lineRule="auto"/>
              <w:rPr>
                <w:rFonts w:ascii="Arial"/>
                <w:sz w:val="21"/>
              </w:rPr>
            </w:pPr>
            <w:r/>
          </w:p>
          <w:p>
            <w:pPr>
              <w:ind w:left="82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79" w:type="dxa"/>
            <w:vAlign w:val="top"/>
          </w:tcPr>
          <w:p>
            <w:pPr>
              <w:spacing w:line="284" w:lineRule="auto"/>
              <w:rPr>
                <w:rFonts w:ascii="Arial"/>
                <w:sz w:val="21"/>
              </w:rPr>
            </w:pPr>
            <w:r/>
          </w:p>
          <w:p>
            <w:pPr>
              <w:ind w:left="51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0" w:type="dxa"/>
            <w:vAlign w:val="top"/>
            <w:vMerge w:val="continue"/>
            <w:tcBorders>
              <w:top w:val="nil"/>
            </w:tcBorders>
          </w:tcPr>
          <w:p>
            <w:pPr>
              <w:rPr>
                <w:rFonts w:ascii="Arial"/>
                <w:sz w:val="21"/>
              </w:rPr>
            </w:pPr>
            <w:r/>
          </w:p>
        </w:tc>
        <w:tc>
          <w:tcPr>
            <w:tcW w:w="1200" w:type="dxa"/>
            <w:vAlign w:val="top"/>
            <w:tcBorders>
              <w:right w:val="nil"/>
            </w:tcBorders>
          </w:tcPr>
          <w:p>
            <w:pPr>
              <w:spacing w:line="284" w:lineRule="auto"/>
              <w:rPr>
                <w:rFonts w:ascii="Arial"/>
                <w:sz w:val="21"/>
              </w:rPr>
            </w:pPr>
            <w:r/>
          </w:p>
          <w:p>
            <w:pPr>
              <w:ind w:left="55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275" w:hRule="atLeast"/>
        </w:trPr>
        <w:tc>
          <w:tcPr>
            <w:tcW w:w="789" w:type="dxa"/>
            <w:vAlign w:val="top"/>
            <w:tcBorders>
              <w:left w:val="nil"/>
            </w:tcBorders>
          </w:tcPr>
          <w:p>
            <w:pPr>
              <w:ind w:left="349"/>
              <w:spacing w:before="84"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68" w:type="dxa"/>
            <w:vAlign w:val="top"/>
          </w:tcPr>
          <w:p>
            <w:pPr>
              <w:pStyle w:val="TableText"/>
              <w:ind w:left="435"/>
              <w:spacing w:before="48" w:line="200" w:lineRule="auto"/>
              <w:rPr/>
            </w:pPr>
            <w:r>
              <w:rPr>
                <w:spacing w:val="1"/>
              </w:rPr>
              <w:t>柴油</w:t>
            </w:r>
          </w:p>
        </w:tc>
        <w:tc>
          <w:tcPr>
            <w:tcW w:w="1448" w:type="dxa"/>
            <w:vAlign w:val="top"/>
          </w:tcPr>
          <w:p>
            <w:pPr>
              <w:pStyle w:val="TableText"/>
              <w:ind w:left="419"/>
              <w:spacing w:before="48" w:line="200" w:lineRule="auto"/>
              <w:rPr/>
            </w:pPr>
            <w:r>
              <w:rPr>
                <w:spacing w:val="5"/>
              </w:rPr>
              <w:t>矿物油</w:t>
            </w:r>
          </w:p>
        </w:tc>
        <w:tc>
          <w:tcPr>
            <w:tcW w:w="1735" w:type="dxa"/>
            <w:vAlign w:val="top"/>
          </w:tcPr>
          <w:p>
            <w:pPr>
              <w:ind w:left="711"/>
              <w:spacing w:before="84"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w:t>
            </w:r>
          </w:p>
        </w:tc>
        <w:tc>
          <w:tcPr>
            <w:tcW w:w="1079" w:type="dxa"/>
            <w:vAlign w:val="top"/>
          </w:tcPr>
          <w:p>
            <w:pPr>
              <w:ind w:left="332"/>
              <w:spacing w:before="84"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2500</w:t>
            </w:r>
          </w:p>
        </w:tc>
        <w:tc>
          <w:tcPr>
            <w:tcW w:w="1290" w:type="dxa"/>
            <w:vAlign w:val="top"/>
          </w:tcPr>
          <w:p>
            <w:pPr>
              <w:pStyle w:val="TableText"/>
              <w:ind w:left="452"/>
              <w:spacing w:before="48" w:line="200" w:lineRule="auto"/>
              <w:rPr/>
            </w:pPr>
            <w:r>
              <w:rPr>
                <w:spacing w:val="-1"/>
              </w:rPr>
              <w:t>仓库</w:t>
            </w:r>
          </w:p>
        </w:tc>
        <w:tc>
          <w:tcPr>
            <w:tcW w:w="1200" w:type="dxa"/>
            <w:vAlign w:val="top"/>
            <w:tcBorders>
              <w:right w:val="nil"/>
            </w:tcBorders>
          </w:tcPr>
          <w:p>
            <w:pPr>
              <w:ind w:left="368"/>
              <w:spacing w:before="84"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0.088</w:t>
            </w:r>
          </w:p>
        </w:tc>
      </w:tr>
      <w:tr>
        <w:trPr>
          <w:trHeight w:val="274" w:hRule="atLeast"/>
        </w:trPr>
        <w:tc>
          <w:tcPr>
            <w:tcW w:w="789" w:type="dxa"/>
            <w:vAlign w:val="top"/>
            <w:tcBorders>
              <w:left w:val="nil"/>
            </w:tcBorders>
          </w:tcPr>
          <w:p>
            <w:pPr>
              <w:ind w:left="344"/>
              <w:spacing w:before="8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268" w:type="dxa"/>
            <w:vAlign w:val="top"/>
          </w:tcPr>
          <w:p>
            <w:pPr>
              <w:pStyle w:val="TableText"/>
              <w:ind w:left="329"/>
              <w:spacing w:before="49" w:line="198" w:lineRule="auto"/>
              <w:rPr/>
            </w:pPr>
            <w:r>
              <w:rPr>
                <w:spacing w:val="5"/>
              </w:rPr>
              <w:t>润滑油</w:t>
            </w:r>
          </w:p>
        </w:tc>
        <w:tc>
          <w:tcPr>
            <w:tcW w:w="1448" w:type="dxa"/>
            <w:vAlign w:val="top"/>
          </w:tcPr>
          <w:p>
            <w:pPr>
              <w:pStyle w:val="TableText"/>
              <w:ind w:left="419"/>
              <w:spacing w:before="49" w:line="198" w:lineRule="auto"/>
              <w:rPr/>
            </w:pPr>
            <w:r>
              <w:rPr>
                <w:spacing w:val="5"/>
              </w:rPr>
              <w:t>矿物油</w:t>
            </w:r>
          </w:p>
        </w:tc>
        <w:tc>
          <w:tcPr>
            <w:tcW w:w="1735" w:type="dxa"/>
            <w:vAlign w:val="top"/>
          </w:tcPr>
          <w:p>
            <w:pPr>
              <w:ind w:left="731"/>
              <w:spacing w:before="8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079" w:type="dxa"/>
            <w:vAlign w:val="top"/>
          </w:tcPr>
          <w:p>
            <w:pPr>
              <w:ind w:left="332"/>
              <w:spacing w:before="8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2500</w:t>
            </w:r>
          </w:p>
        </w:tc>
        <w:tc>
          <w:tcPr>
            <w:tcW w:w="1290" w:type="dxa"/>
            <w:vAlign w:val="top"/>
          </w:tcPr>
          <w:p>
            <w:pPr>
              <w:pStyle w:val="TableText"/>
              <w:ind w:left="342"/>
              <w:spacing w:before="49" w:line="198" w:lineRule="auto"/>
              <w:rPr/>
            </w:pPr>
            <w:r>
              <w:rPr>
                <w:spacing w:val="5"/>
              </w:rPr>
              <w:t>机修室</w:t>
            </w:r>
          </w:p>
        </w:tc>
        <w:tc>
          <w:tcPr>
            <w:tcW w:w="1200" w:type="dxa"/>
            <w:vAlign w:val="top"/>
            <w:tcBorders>
              <w:right w:val="nil"/>
            </w:tcBorders>
          </w:tcPr>
          <w:p>
            <w:pPr>
              <w:ind w:left="368"/>
              <w:spacing w:before="8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0.048</w:t>
            </w:r>
          </w:p>
        </w:tc>
      </w:tr>
      <w:tr>
        <w:trPr>
          <w:trHeight w:val="298" w:hRule="atLeast"/>
        </w:trPr>
        <w:tc>
          <w:tcPr>
            <w:tcW w:w="789" w:type="dxa"/>
            <w:vAlign w:val="top"/>
            <w:tcBorders>
              <w:bottom w:val="single" w:color="000000" w:sz="10" w:space="0"/>
              <w:left w:val="nil"/>
            </w:tcBorders>
          </w:tcPr>
          <w:p>
            <w:pPr>
              <w:ind w:left="350"/>
              <w:spacing w:before="9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8" w:type="dxa"/>
            <w:vAlign w:val="top"/>
            <w:tcBorders>
              <w:bottom w:val="single" w:color="000000" w:sz="10" w:space="0"/>
            </w:tcBorders>
          </w:tcPr>
          <w:p>
            <w:pPr>
              <w:pStyle w:val="TableText"/>
              <w:ind w:left="333"/>
              <w:spacing w:before="53" w:line="216" w:lineRule="auto"/>
              <w:rPr/>
            </w:pPr>
            <w:r>
              <w:rPr>
                <w:spacing w:val="4"/>
              </w:rPr>
              <w:t>废机油</w:t>
            </w:r>
          </w:p>
        </w:tc>
        <w:tc>
          <w:tcPr>
            <w:tcW w:w="1448" w:type="dxa"/>
            <w:vAlign w:val="top"/>
            <w:tcBorders>
              <w:bottom w:val="single" w:color="000000" w:sz="10" w:space="0"/>
            </w:tcBorders>
          </w:tcPr>
          <w:p>
            <w:pPr>
              <w:pStyle w:val="TableText"/>
              <w:ind w:left="318"/>
              <w:spacing w:before="53" w:line="216" w:lineRule="auto"/>
              <w:rPr/>
            </w:pPr>
            <w:r>
              <w:rPr>
                <w:spacing w:val="5"/>
              </w:rPr>
              <w:t>废矿物油</w:t>
            </w:r>
          </w:p>
        </w:tc>
        <w:tc>
          <w:tcPr>
            <w:tcW w:w="1735" w:type="dxa"/>
            <w:vAlign w:val="top"/>
            <w:tcBorders>
              <w:bottom w:val="single" w:color="000000" w:sz="10" w:space="0"/>
            </w:tcBorders>
          </w:tcPr>
          <w:p>
            <w:pPr>
              <w:ind w:left="74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079" w:type="dxa"/>
            <w:vAlign w:val="top"/>
            <w:tcBorders>
              <w:bottom w:val="single" w:color="000000" w:sz="10" w:space="0"/>
            </w:tcBorders>
          </w:tcPr>
          <w:p>
            <w:pPr>
              <w:ind w:left="332"/>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2500</w:t>
            </w:r>
          </w:p>
        </w:tc>
        <w:tc>
          <w:tcPr>
            <w:tcW w:w="1290" w:type="dxa"/>
            <w:vAlign w:val="top"/>
            <w:tcBorders>
              <w:bottom w:val="single" w:color="000000" w:sz="10" w:space="0"/>
            </w:tcBorders>
          </w:tcPr>
          <w:p>
            <w:pPr>
              <w:pStyle w:val="TableText"/>
              <w:ind w:left="347"/>
              <w:spacing w:before="53" w:line="216" w:lineRule="auto"/>
              <w:rPr/>
            </w:pPr>
            <w:r>
              <w:rPr>
                <w:spacing w:val="3"/>
              </w:rPr>
              <w:t>危废间</w:t>
            </w:r>
          </w:p>
        </w:tc>
        <w:tc>
          <w:tcPr>
            <w:tcW w:w="1200" w:type="dxa"/>
            <w:vAlign w:val="top"/>
            <w:tcBorders>
              <w:bottom w:val="single" w:color="000000" w:sz="10" w:space="0"/>
              <w:right w:val="nil"/>
            </w:tcBorders>
          </w:tcPr>
          <w:p>
            <w:pPr>
              <w:ind w:left="316"/>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0.0002</w:t>
            </w:r>
          </w:p>
        </w:tc>
      </w:tr>
    </w:tbl>
    <w:p>
      <w:pPr>
        <w:pStyle w:val="BodyText"/>
        <w:spacing w:line="326" w:lineRule="auto"/>
        <w:rPr/>
      </w:pPr>
      <w:r/>
    </w:p>
    <w:p>
      <w:pPr>
        <w:ind w:left="635"/>
        <w:spacing w:before="78" w:line="323" w:lineRule="exact"/>
        <w:rPr>
          <w:rFonts w:ascii="Times New Roman" w:hAnsi="Times New Roman" w:eastAsia="Times New Roman" w:cs="Times New Roman"/>
          <w:sz w:val="24"/>
          <w:szCs w:val="24"/>
        </w:rPr>
      </w:pPr>
      <w:r>
        <w:rPr>
          <w:rFonts w:ascii="FangSong" w:hAnsi="FangSong" w:eastAsia="FangSong" w:cs="FangSong"/>
          <w:sz w:val="24"/>
          <w:szCs w:val="24"/>
          <w:spacing w:val="-1"/>
          <w:position w:val="2"/>
        </w:rPr>
        <w:t>由上表可知，项目区环境风险物质数量与临界量的比值</w:t>
      </w:r>
      <w:r>
        <w:rPr>
          <w:rFonts w:ascii="Times New Roman" w:hAnsi="Times New Roman" w:eastAsia="Times New Roman" w:cs="Times New Roman"/>
          <w:sz w:val="24"/>
          <w:szCs w:val="24"/>
          <w:spacing w:val="-1"/>
          <w:position w:val="2"/>
        </w:rPr>
        <w:t>Q=0.</w:t>
      </w:r>
      <w:r>
        <w:rPr>
          <w:rFonts w:ascii="Times New Roman" w:hAnsi="Times New Roman" w:eastAsia="Times New Roman" w:cs="Times New Roman"/>
          <w:sz w:val="24"/>
          <w:szCs w:val="24"/>
          <w:spacing w:val="-16"/>
          <w:position w:val="2"/>
        </w:rPr>
        <w:t xml:space="preserve"> </w:t>
      </w:r>
      <w:r>
        <w:rPr>
          <w:rFonts w:ascii="Times New Roman" w:hAnsi="Times New Roman" w:eastAsia="Times New Roman" w:cs="Times New Roman"/>
          <w:sz w:val="24"/>
          <w:szCs w:val="24"/>
          <w:spacing w:val="-1"/>
          <w:position w:val="2"/>
        </w:rPr>
        <w:t>1362</w:t>
      </w:r>
      <w:r>
        <w:rPr>
          <w:rFonts w:ascii="FangSong" w:hAnsi="FangSong" w:eastAsia="FangSong" w:cs="FangSong"/>
          <w:sz w:val="24"/>
          <w:szCs w:val="24"/>
          <w:spacing w:val="-1"/>
          <w:position w:val="2"/>
        </w:rPr>
        <w:t>＜</w:t>
      </w:r>
      <w:r>
        <w:rPr>
          <w:rFonts w:ascii="Times New Roman" w:hAnsi="Times New Roman" w:eastAsia="Times New Roman" w:cs="Times New Roman"/>
          <w:sz w:val="24"/>
          <w:szCs w:val="24"/>
          <w:spacing w:val="-1"/>
          <w:position w:val="2"/>
        </w:rPr>
        <w:t>1</w:t>
      </w:r>
    </w:p>
    <w:p>
      <w:pPr>
        <w:ind w:left="114" w:right="105" w:firstLine="489"/>
        <w:spacing w:before="189" w:line="359" w:lineRule="auto"/>
        <w:rPr>
          <w:rFonts w:ascii="FangSong" w:hAnsi="FangSong" w:eastAsia="FangSong" w:cs="FangSong"/>
          <w:sz w:val="24"/>
          <w:szCs w:val="24"/>
        </w:rPr>
      </w:pPr>
      <w:r>
        <w:rPr>
          <w:rFonts w:ascii="FangSong" w:hAnsi="FangSong" w:eastAsia="FangSong" w:cs="FangSong"/>
          <w:sz w:val="24"/>
          <w:szCs w:val="24"/>
          <w:spacing w:val="1"/>
        </w:rPr>
        <w:t>按照《建设项目环境风险评价技术导则》（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169-2018</w:t>
      </w:r>
      <w:r>
        <w:rPr>
          <w:rFonts w:ascii="FangSong" w:hAnsi="FangSong" w:eastAsia="FangSong" w:cs="FangSong"/>
          <w:sz w:val="24"/>
          <w:szCs w:val="24"/>
          <w:spacing w:val="11"/>
        </w:rPr>
        <w:t>），</w:t>
      </w:r>
      <w:r>
        <w:rPr>
          <w:rFonts w:ascii="FangSong" w:hAnsi="FangSong" w:eastAsia="FangSong" w:cs="FangSong"/>
          <w:sz w:val="24"/>
          <w:szCs w:val="24"/>
          <w:spacing w:val="1"/>
        </w:rPr>
        <w:t>环</w:t>
      </w:r>
      <w:r>
        <w:rPr>
          <w:rFonts w:ascii="FangSong" w:hAnsi="FangSong" w:eastAsia="FangSong" w:cs="FangSong"/>
          <w:sz w:val="24"/>
          <w:szCs w:val="24"/>
        </w:rPr>
        <w:t>境风险评价工作</w:t>
      </w:r>
      <w:r>
        <w:rPr>
          <w:rFonts w:ascii="FangSong" w:hAnsi="FangSong" w:eastAsia="FangSong" w:cs="FangSong"/>
          <w:sz w:val="24"/>
          <w:szCs w:val="24"/>
          <w:spacing w:val="1"/>
        </w:rPr>
        <w:t>等级划分为一级、二级、三级。根据建设项目涉及的物质及工艺系统危险性和所在</w:t>
      </w:r>
      <w:r>
        <w:rPr>
          <w:rFonts w:ascii="FangSong" w:hAnsi="FangSong" w:eastAsia="FangSong" w:cs="FangSong"/>
          <w:sz w:val="24"/>
          <w:szCs w:val="24"/>
          <w:spacing w:val="-1"/>
        </w:rPr>
        <w:t>地的环境敏感性确定环境风险潜势。按照表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2.5-13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确定评价工作等级。风险潜势为</w:t>
      </w:r>
      <w:r>
        <w:rPr>
          <w:rFonts w:ascii="Times New Roman" w:hAnsi="Times New Roman" w:eastAsia="Times New Roman" w:cs="Times New Roman"/>
          <w:sz w:val="24"/>
          <w:szCs w:val="24"/>
          <w:spacing w:val="-6"/>
        </w:rPr>
        <w:t>IV</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6"/>
        </w:rPr>
        <w:t>及以上，进行一级评价；风险潜势为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6"/>
        </w:rPr>
        <w:t>III</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6"/>
        </w:rPr>
        <w:t>，进行二级评价；风险潜势为Ⅱ</w:t>
      </w:r>
      <w:r>
        <w:rPr>
          <w:rFonts w:ascii="FangSong" w:hAnsi="FangSong" w:eastAsia="FangSong" w:cs="FangSong"/>
          <w:sz w:val="24"/>
          <w:szCs w:val="24"/>
          <w:spacing w:val="-88"/>
        </w:rPr>
        <w:t xml:space="preserve"> </w:t>
      </w:r>
      <w:r>
        <w:rPr>
          <w:rFonts w:ascii="FangSong" w:hAnsi="FangSong" w:eastAsia="FangSong" w:cs="FangSong"/>
          <w:sz w:val="24"/>
          <w:szCs w:val="24"/>
          <w:spacing w:val="-6"/>
        </w:rPr>
        <w:t>,</w:t>
      </w:r>
      <w:r>
        <w:rPr>
          <w:rFonts w:ascii="FangSong" w:hAnsi="FangSong" w:eastAsia="FangSong" w:cs="FangSong"/>
          <w:sz w:val="24"/>
          <w:szCs w:val="24"/>
          <w:spacing w:val="51"/>
        </w:rPr>
        <w:t xml:space="preserve"> </w:t>
      </w:r>
      <w:r>
        <w:rPr>
          <w:rFonts w:ascii="FangSong" w:hAnsi="FangSong" w:eastAsia="FangSong" w:cs="FangSong"/>
          <w:sz w:val="24"/>
          <w:szCs w:val="24"/>
          <w:spacing w:val="-6"/>
        </w:rPr>
        <w:t>进行三</w:t>
      </w:r>
      <w:r>
        <w:rPr>
          <w:rFonts w:ascii="FangSong" w:hAnsi="FangSong" w:eastAsia="FangSong" w:cs="FangSong"/>
          <w:sz w:val="24"/>
          <w:szCs w:val="24"/>
          <w:spacing w:val="-3"/>
        </w:rPr>
        <w:t>级评价；风险潜势为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I</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，可开展简单分析。</w:t>
      </w:r>
    </w:p>
    <w:p>
      <w:pPr>
        <w:ind w:left="2147"/>
        <w:spacing w:before="1"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b/>
          <w:bCs/>
          <w:spacing w:val="-3"/>
        </w:rPr>
        <w:t>2.5-13  </w:t>
      </w:r>
      <w:r>
        <w:rPr>
          <w:rFonts w:ascii="FangSong" w:hAnsi="FangSong" w:eastAsia="FangSong" w:cs="FangSong"/>
          <w:sz w:val="24"/>
          <w:szCs w:val="24"/>
          <w:b/>
          <w:bCs/>
          <w:spacing w:val="-3"/>
        </w:rPr>
        <w:t>环境风险评价工作等级判据一览表</w:t>
      </w:r>
    </w:p>
    <w:p>
      <w:pPr>
        <w:spacing w:line="145" w:lineRule="exact"/>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81"/>
        <w:gridCol w:w="1765"/>
        <w:gridCol w:w="1788"/>
        <w:gridCol w:w="1788"/>
        <w:gridCol w:w="1788"/>
      </w:tblGrid>
      <w:tr>
        <w:trPr>
          <w:trHeight w:val="382" w:hRule="atLeast"/>
        </w:trPr>
        <w:tc>
          <w:tcPr>
            <w:tcW w:w="1781" w:type="dxa"/>
            <w:vAlign w:val="top"/>
            <w:tcBorders>
              <w:top w:val="single" w:color="000000" w:sz="10" w:space="0"/>
              <w:left w:val="nil"/>
            </w:tcBorders>
          </w:tcPr>
          <w:p>
            <w:pPr>
              <w:pStyle w:val="TableText"/>
              <w:ind w:left="273"/>
              <w:spacing w:before="85" w:line="231" w:lineRule="auto"/>
              <w:rPr/>
            </w:pPr>
            <w:r>
              <w:rPr>
                <w:spacing w:val="7"/>
              </w:rPr>
              <w:t>环境风险潜势</w:t>
            </w:r>
          </w:p>
        </w:tc>
        <w:tc>
          <w:tcPr>
            <w:tcW w:w="1765" w:type="dxa"/>
            <w:vAlign w:val="top"/>
            <w:tcBorders>
              <w:top w:val="single" w:color="000000" w:sz="10" w:space="0"/>
            </w:tcBorders>
          </w:tcPr>
          <w:p>
            <w:pPr>
              <w:pStyle w:val="TableText"/>
              <w:ind w:left="499"/>
              <w:spacing w:before="132" w:line="177" w:lineRule="auto"/>
              <w:rPr>
                <w:rFonts w:ascii="Times New Roman" w:hAnsi="Times New Roman" w:eastAsia="Times New Roman" w:cs="Times New Roman"/>
              </w:rPr>
            </w:pPr>
            <w:r>
              <w:rPr>
                <w:rFonts w:ascii="Times New Roman" w:hAnsi="Times New Roman" w:eastAsia="Times New Roman" w:cs="Times New Roman"/>
                <w:spacing w:val="-1"/>
              </w:rPr>
              <w:t>IV</w:t>
            </w:r>
            <w:r>
              <w:rPr>
                <w:rFonts w:ascii="Times New Roman" w:hAnsi="Times New Roman" w:eastAsia="Times New Roman" w:cs="Times New Roman"/>
                <w:spacing w:val="-18"/>
              </w:rPr>
              <w:t xml:space="preserve"> </w:t>
            </w:r>
            <w:r>
              <w:rPr>
                <w:spacing w:val="-1"/>
              </w:rPr>
              <w:t>、</w:t>
            </w:r>
            <w:r>
              <w:rPr>
                <w:rFonts w:ascii="Times New Roman" w:hAnsi="Times New Roman" w:eastAsia="Times New Roman" w:cs="Times New Roman"/>
                <w:spacing w:val="-1"/>
              </w:rPr>
              <w:t>IV+</w:t>
            </w:r>
          </w:p>
        </w:tc>
        <w:tc>
          <w:tcPr>
            <w:tcW w:w="1788" w:type="dxa"/>
            <w:vAlign w:val="top"/>
            <w:tcBorders>
              <w:top w:val="single" w:color="000000" w:sz="10" w:space="0"/>
            </w:tcBorders>
          </w:tcPr>
          <w:p>
            <w:pPr>
              <w:ind w:left="791"/>
              <w:spacing w:before="12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III</w:t>
            </w:r>
          </w:p>
        </w:tc>
        <w:tc>
          <w:tcPr>
            <w:tcW w:w="1788" w:type="dxa"/>
            <w:vAlign w:val="top"/>
            <w:tcBorders>
              <w:top w:val="single" w:color="000000" w:sz="10" w:space="0"/>
            </w:tcBorders>
          </w:tcPr>
          <w:p>
            <w:pPr>
              <w:ind w:left="827"/>
              <w:spacing w:before="12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1788" w:type="dxa"/>
            <w:vAlign w:val="top"/>
            <w:tcBorders>
              <w:top w:val="single" w:color="000000" w:sz="10" w:space="0"/>
              <w:right w:val="nil"/>
            </w:tcBorders>
          </w:tcPr>
          <w:p>
            <w:pPr>
              <w:ind w:left="863"/>
              <w:spacing w:before="12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r>
    </w:tbl>
    <w:p>
      <w:pPr>
        <w:pStyle w:val="BodyText"/>
        <w:rPr/>
      </w:pPr>
      <w:r/>
    </w:p>
    <w:p>
      <w:pPr>
        <w:sectPr>
          <w:footerReference w:type="default" r:id="rId74"/>
          <w:pgSz w:w="11911" w:h="16839"/>
          <w:pgMar w:top="400" w:right="1310"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81"/>
        <w:gridCol w:w="1765"/>
        <w:gridCol w:w="1788"/>
        <w:gridCol w:w="1788"/>
        <w:gridCol w:w="1788"/>
      </w:tblGrid>
      <w:tr>
        <w:trPr>
          <w:trHeight w:val="389" w:hRule="atLeast"/>
        </w:trPr>
        <w:tc>
          <w:tcPr>
            <w:tcW w:w="1781" w:type="dxa"/>
            <w:vAlign w:val="top"/>
            <w:tcBorders>
              <w:left w:val="nil"/>
            </w:tcBorders>
          </w:tcPr>
          <w:p>
            <w:pPr>
              <w:pStyle w:val="TableText"/>
              <w:ind w:left="274"/>
              <w:spacing w:before="89" w:line="229" w:lineRule="auto"/>
              <w:rPr/>
            </w:pPr>
            <w:bookmarkStart w:name="bookmark520" w:id="110"/>
            <w:bookmarkEnd w:id="110"/>
            <w:r>
              <w:rPr>
                <w:spacing w:val="7"/>
              </w:rPr>
              <w:t>评价工作等级</w:t>
            </w:r>
          </w:p>
        </w:tc>
        <w:tc>
          <w:tcPr>
            <w:tcW w:w="1765" w:type="dxa"/>
            <w:vAlign w:val="top"/>
          </w:tcPr>
          <w:p>
            <w:pPr>
              <w:pStyle w:val="TableText"/>
              <w:ind w:left="792"/>
              <w:spacing w:before="174" w:line="150" w:lineRule="exact"/>
              <w:rPr/>
            </w:pPr>
            <w:r>
              <w:rPr>
                <w:position w:val="-3"/>
              </w:rPr>
              <w:t>一</w:t>
            </w:r>
          </w:p>
        </w:tc>
        <w:tc>
          <w:tcPr>
            <w:tcW w:w="1788" w:type="dxa"/>
            <w:vAlign w:val="top"/>
          </w:tcPr>
          <w:p>
            <w:pPr>
              <w:pStyle w:val="TableText"/>
              <w:ind w:left="806"/>
              <w:spacing w:before="132" w:line="180" w:lineRule="auto"/>
              <w:rPr/>
            </w:pPr>
            <w:r>
              <w:rPr/>
              <w:t>二</w:t>
            </w:r>
          </w:p>
        </w:tc>
        <w:tc>
          <w:tcPr>
            <w:tcW w:w="1788" w:type="dxa"/>
            <w:vAlign w:val="top"/>
          </w:tcPr>
          <w:p>
            <w:pPr>
              <w:pStyle w:val="TableText"/>
              <w:ind w:left="806"/>
              <w:spacing w:before="117" w:line="194" w:lineRule="auto"/>
              <w:rPr/>
            </w:pPr>
            <w:r>
              <w:rPr/>
              <w:t>三</w:t>
            </w:r>
          </w:p>
        </w:tc>
        <w:tc>
          <w:tcPr>
            <w:tcW w:w="1788" w:type="dxa"/>
            <w:vAlign w:val="top"/>
            <w:tcBorders>
              <w:right w:val="nil"/>
            </w:tcBorders>
          </w:tcPr>
          <w:p>
            <w:pPr>
              <w:pStyle w:val="TableText"/>
              <w:ind w:left="439"/>
              <w:spacing w:before="90" w:line="229" w:lineRule="auto"/>
              <w:rPr>
                <w:rFonts w:ascii="Times New Roman" w:hAnsi="Times New Roman" w:eastAsia="Times New Roman" w:cs="Times New Roman"/>
                <w:sz w:val="13"/>
                <w:szCs w:val="13"/>
              </w:rPr>
            </w:pPr>
            <w:r>
              <w:rPr>
                <w:spacing w:val="2"/>
              </w:rPr>
              <w:t>简单分析</w:t>
            </w:r>
            <w:r>
              <w:rPr>
                <w:spacing w:val="-39"/>
              </w:rPr>
              <w:t xml:space="preserve"> </w:t>
            </w:r>
            <w:r>
              <w:rPr>
                <w:rFonts w:ascii="Times New Roman" w:hAnsi="Times New Roman" w:eastAsia="Times New Roman" w:cs="Times New Roman"/>
                <w:sz w:val="13"/>
                <w:szCs w:val="13"/>
                <w:spacing w:val="2"/>
                <w:position w:val="6"/>
              </w:rPr>
              <w:t>a</w:t>
            </w:r>
          </w:p>
        </w:tc>
      </w:tr>
    </w:tbl>
    <w:p>
      <w:pPr>
        <w:ind w:left="122" w:right="111" w:hanging="6"/>
        <w:spacing w:before="133" w:line="250" w:lineRule="auto"/>
        <w:rPr>
          <w:rFonts w:ascii="FangSong" w:hAnsi="FangSong" w:eastAsia="FangSong" w:cs="FangSong"/>
          <w:sz w:val="20"/>
          <w:szCs w:val="20"/>
        </w:rPr>
      </w:pPr>
      <w:r>
        <w:rPr>
          <w:rFonts w:ascii="Times New Roman" w:hAnsi="Times New Roman" w:eastAsia="Times New Roman" w:cs="Times New Roman"/>
          <w:sz w:val="20"/>
          <w:szCs w:val="20"/>
          <w:spacing w:val="8"/>
        </w:rPr>
        <w:t>a</w:t>
      </w:r>
      <w:r>
        <w:rPr>
          <w:rFonts w:ascii="Times New Roman" w:hAnsi="Times New Roman" w:eastAsia="Times New Roman" w:cs="Times New Roman"/>
          <w:sz w:val="20"/>
          <w:szCs w:val="20"/>
          <w:spacing w:val="16"/>
          <w:w w:val="101"/>
        </w:rPr>
        <w:t xml:space="preserve"> </w:t>
      </w:r>
      <w:r>
        <w:rPr>
          <w:rFonts w:ascii="FangSong" w:hAnsi="FangSong" w:eastAsia="FangSong" w:cs="FangSong"/>
          <w:sz w:val="20"/>
          <w:szCs w:val="20"/>
          <w:spacing w:val="8"/>
        </w:rPr>
        <w:t>是相对于详细评价工作内容而言，在描述危险物质、环境影响途经、环境危害</w:t>
      </w:r>
      <w:r>
        <w:rPr>
          <w:rFonts w:ascii="FangSong" w:hAnsi="FangSong" w:eastAsia="FangSong" w:cs="FangSong"/>
          <w:sz w:val="20"/>
          <w:szCs w:val="20"/>
          <w:spacing w:val="7"/>
        </w:rPr>
        <w:t>后果、风险防范</w:t>
      </w:r>
      <w:r>
        <w:rPr>
          <w:rFonts w:ascii="FangSong" w:hAnsi="FangSong" w:eastAsia="FangSong" w:cs="FangSong"/>
          <w:sz w:val="20"/>
          <w:szCs w:val="20"/>
          <w:spacing w:val="8"/>
        </w:rPr>
        <w:t>措施等方面给出定性的说明。见附录</w:t>
      </w:r>
      <w:r>
        <w:rPr>
          <w:rFonts w:ascii="FangSong" w:hAnsi="FangSong" w:eastAsia="FangSong" w:cs="FangSong"/>
          <w:sz w:val="20"/>
          <w:szCs w:val="20"/>
          <w:spacing w:val="-42"/>
        </w:rPr>
        <w:t xml:space="preserve"> </w:t>
      </w:r>
      <w:r>
        <w:rPr>
          <w:rFonts w:ascii="Times New Roman" w:hAnsi="Times New Roman" w:eastAsia="Times New Roman" w:cs="Times New Roman"/>
          <w:sz w:val="20"/>
          <w:szCs w:val="20"/>
          <w:spacing w:val="8"/>
        </w:rPr>
        <w:t>A</w:t>
      </w:r>
      <w:r>
        <w:rPr>
          <w:rFonts w:ascii="FangSong" w:hAnsi="FangSong" w:eastAsia="FangSong" w:cs="FangSong"/>
          <w:sz w:val="20"/>
          <w:szCs w:val="20"/>
          <w:spacing w:val="8"/>
        </w:rPr>
        <w:t>。</w:t>
      </w:r>
    </w:p>
    <w:p>
      <w:pPr>
        <w:spacing w:before="75" w:line="28" w:lineRule="exact"/>
        <w:rPr/>
      </w:pPr>
      <w:r>
        <w:rPr/>
        <w:pict>
          <v:shape id="_x0000_s18" style="mso-position-vertical-relative:line;mso-position-horizontal-relative:char;width:445.55pt;height:1.45pt;" filled="false" strokecolor="#000000" strokeweight="1.44pt" coordsize="8910,29" coordorigin="0,0" path="m0,14l8910,14e">
            <v:stroke joinstyle="bevel" miterlimit="2"/>
          </v:shape>
        </w:pict>
      </w:r>
    </w:p>
    <w:p>
      <w:pPr>
        <w:pStyle w:val="BodyText"/>
        <w:spacing w:line="368" w:lineRule="auto"/>
        <w:rPr/>
      </w:pPr>
      <w:r/>
    </w:p>
    <w:p>
      <w:pPr>
        <w:ind w:left="133" w:right="109" w:firstLine="472"/>
        <w:spacing w:before="78" w:line="356" w:lineRule="auto"/>
        <w:rPr>
          <w:rFonts w:ascii="FangSong" w:hAnsi="FangSong" w:eastAsia="FangSong" w:cs="FangSong"/>
          <w:sz w:val="24"/>
          <w:szCs w:val="24"/>
        </w:rPr>
      </w:pPr>
      <w:r>
        <w:rPr>
          <w:rFonts w:ascii="FangSong" w:hAnsi="FangSong" w:eastAsia="FangSong" w:cs="FangSong"/>
          <w:sz w:val="24"/>
          <w:szCs w:val="24"/>
          <w:spacing w:val="-3"/>
        </w:rPr>
        <w:t>根据导则规定，当</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Q</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3"/>
        </w:rPr>
        <w:t>时，该项目环境风险潜势</w:t>
      </w:r>
      <w:r>
        <w:rPr>
          <w:rFonts w:ascii="FangSong" w:hAnsi="FangSong" w:eastAsia="FangSong" w:cs="FangSong"/>
          <w:sz w:val="24"/>
          <w:szCs w:val="24"/>
          <w:spacing w:val="-4"/>
        </w:rPr>
        <w:t>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，故本项目环境风险潜势</w:t>
      </w:r>
      <w:r>
        <w:rPr>
          <w:rFonts w:ascii="FangSong" w:hAnsi="FangSong" w:eastAsia="FangSong" w:cs="FangSong"/>
          <w:sz w:val="24"/>
          <w:szCs w:val="24"/>
          <w:spacing w:val="-5"/>
        </w:rPr>
        <w:t>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I</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，评价工作等级为简单分析。</w:t>
      </w:r>
    </w:p>
    <w:p>
      <w:pPr>
        <w:ind w:left="114"/>
        <w:spacing w:before="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2.5.7.2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评价范围</w:t>
      </w:r>
    </w:p>
    <w:p>
      <w:pPr>
        <w:ind w:left="123" w:right="109" w:firstLine="481"/>
        <w:spacing w:before="178" w:line="359" w:lineRule="auto"/>
        <w:rPr>
          <w:rFonts w:ascii="FangSong" w:hAnsi="FangSong" w:eastAsia="FangSong" w:cs="FangSong"/>
          <w:sz w:val="24"/>
          <w:szCs w:val="24"/>
        </w:rPr>
      </w:pPr>
      <w:r>
        <w:rPr>
          <w:rFonts w:ascii="FangSong" w:hAnsi="FangSong" w:eastAsia="FangSong" w:cs="FangSong"/>
          <w:sz w:val="24"/>
          <w:szCs w:val="24"/>
          <w:spacing w:val="-2"/>
        </w:rPr>
        <w:t>根据《建设项目环境风险评价技术导则》（</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2"/>
        </w:rPr>
        <w:t>169-2018</w:t>
      </w:r>
      <w:r>
        <w:rPr>
          <w:rFonts w:ascii="FangSong" w:hAnsi="FangSong" w:eastAsia="FangSong" w:cs="FangSong"/>
          <w:sz w:val="24"/>
          <w:szCs w:val="24"/>
          <w:spacing w:val="-2"/>
        </w:rPr>
        <w:t>）</w:t>
      </w:r>
      <w:r>
        <w:rPr>
          <w:rFonts w:ascii="FangSong" w:hAnsi="FangSong" w:eastAsia="FangSong" w:cs="FangSong"/>
          <w:sz w:val="24"/>
          <w:szCs w:val="24"/>
          <w:spacing w:val="-71"/>
        </w:rPr>
        <w:t xml:space="preserve"> </w:t>
      </w:r>
      <w:r>
        <w:rPr>
          <w:rFonts w:ascii="FangSong" w:hAnsi="FangSong" w:eastAsia="FangSong" w:cs="FangSong"/>
          <w:sz w:val="24"/>
          <w:szCs w:val="24"/>
          <w:spacing w:val="-3"/>
        </w:rPr>
        <w:t>中可知：对于简单分</w:t>
      </w:r>
      <w:r>
        <w:rPr>
          <w:rFonts w:ascii="FangSong" w:hAnsi="FangSong" w:eastAsia="FangSong" w:cs="FangSong"/>
          <w:sz w:val="24"/>
          <w:szCs w:val="24"/>
          <w:spacing w:val="-2"/>
        </w:rPr>
        <w:t>析项目，可不设评价范围。</w:t>
      </w:r>
    </w:p>
    <w:p>
      <w:pPr>
        <w:ind w:left="114"/>
        <w:spacing w:before="1" w:line="224" w:lineRule="auto"/>
        <w:outlineLvl w:val="2"/>
        <w:rPr>
          <w:rFonts w:ascii="FangSong" w:hAnsi="FangSong" w:eastAsia="FangSong" w:cs="FangSong"/>
          <w:sz w:val="24"/>
          <w:szCs w:val="24"/>
        </w:rPr>
      </w:pPr>
      <w:bookmarkStart w:name="bookmark81" w:id="111"/>
      <w:bookmarkEnd w:id="111"/>
      <w:bookmarkStart w:name="bookmark80" w:id="112"/>
      <w:bookmarkEnd w:id="112"/>
      <w:r>
        <w:rPr>
          <w:rFonts w:ascii="Times New Roman" w:hAnsi="Times New Roman" w:eastAsia="Times New Roman" w:cs="Times New Roman"/>
          <w:sz w:val="24"/>
          <w:szCs w:val="24"/>
          <w:b/>
          <w:bCs/>
          <w:spacing w:val="-4"/>
        </w:rPr>
        <w:t>2.5.8</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4"/>
        </w:rPr>
        <w:t>小结</w:t>
      </w:r>
    </w:p>
    <w:p>
      <w:pPr>
        <w:ind w:left="114"/>
        <w:spacing w:before="177"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2.5.8.1  </w:t>
      </w:r>
      <w:r>
        <w:rPr>
          <w:rFonts w:ascii="FangSong" w:hAnsi="FangSong" w:eastAsia="FangSong" w:cs="FangSong"/>
          <w:sz w:val="24"/>
          <w:szCs w:val="24"/>
          <w:b/>
          <w:bCs/>
          <w:spacing w:val="-2"/>
        </w:rPr>
        <w:t>各环境要素评价工作等级</w:t>
      </w:r>
    </w:p>
    <w:p>
      <w:pPr>
        <w:ind w:left="605"/>
        <w:spacing w:before="180" w:line="220" w:lineRule="auto"/>
        <w:rPr>
          <w:rFonts w:ascii="FangSong" w:hAnsi="FangSong" w:eastAsia="FangSong" w:cs="FangSong"/>
          <w:sz w:val="24"/>
          <w:szCs w:val="24"/>
        </w:rPr>
      </w:pPr>
      <w:r>
        <w:rPr>
          <w:rFonts w:ascii="FangSong" w:hAnsi="FangSong" w:eastAsia="FangSong" w:cs="FangSong"/>
          <w:sz w:val="24"/>
          <w:szCs w:val="24"/>
          <w:spacing w:val="-2"/>
        </w:rPr>
        <w:t>各环境要素评价工作等级见表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2.5-14</w:t>
      </w:r>
      <w:r>
        <w:rPr>
          <w:rFonts w:ascii="FangSong" w:hAnsi="FangSong" w:eastAsia="FangSong" w:cs="FangSong"/>
          <w:sz w:val="24"/>
          <w:szCs w:val="24"/>
          <w:spacing w:val="-2"/>
        </w:rPr>
        <w:t>。</w:t>
      </w:r>
    </w:p>
    <w:p>
      <w:pPr>
        <w:ind w:left="2147"/>
        <w:spacing w:before="179" w:line="220"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2.5-14  </w:t>
      </w:r>
      <w:r>
        <w:rPr>
          <w:rFonts w:ascii="FangSong" w:hAnsi="FangSong" w:eastAsia="FangSong" w:cs="FangSong"/>
          <w:sz w:val="24"/>
          <w:szCs w:val="24"/>
          <w:b/>
          <w:bCs/>
          <w:spacing w:val="-2"/>
        </w:rPr>
        <w:t>建设项目各环境要素评价</w:t>
      </w:r>
      <w:r>
        <w:rPr>
          <w:rFonts w:ascii="FangSong" w:hAnsi="FangSong" w:eastAsia="FangSong" w:cs="FangSong"/>
          <w:sz w:val="24"/>
          <w:szCs w:val="24"/>
          <w:b/>
          <w:bCs/>
          <w:spacing w:val="-3"/>
        </w:rPr>
        <w:t>工作等级</w:t>
      </w:r>
    </w:p>
    <w:p>
      <w:pPr>
        <w:spacing w:line="147"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3"/>
        <w:gridCol w:w="3731"/>
        <w:gridCol w:w="3448"/>
      </w:tblGrid>
      <w:tr>
        <w:trPr>
          <w:trHeight w:val="318" w:hRule="atLeast"/>
        </w:trPr>
        <w:tc>
          <w:tcPr>
            <w:tcW w:w="1733" w:type="dxa"/>
            <w:vAlign w:val="top"/>
            <w:tcBorders>
              <w:left w:val="nil"/>
              <w:top w:val="single" w:color="000000" w:sz="10" w:space="0"/>
            </w:tcBorders>
          </w:tcPr>
          <w:p>
            <w:pPr>
              <w:pStyle w:val="TableText"/>
              <w:ind w:left="669"/>
              <w:spacing w:before="53" w:line="231" w:lineRule="auto"/>
              <w:rPr/>
            </w:pPr>
            <w:r>
              <w:rPr>
                <w:spacing w:val="2"/>
              </w:rPr>
              <w:t>序号</w:t>
            </w:r>
          </w:p>
        </w:tc>
        <w:tc>
          <w:tcPr>
            <w:tcW w:w="3731" w:type="dxa"/>
            <w:vAlign w:val="top"/>
            <w:tcBorders>
              <w:top w:val="single" w:color="000000" w:sz="10" w:space="0"/>
            </w:tcBorders>
          </w:tcPr>
          <w:p>
            <w:pPr>
              <w:pStyle w:val="TableText"/>
              <w:ind w:left="1458"/>
              <w:spacing w:before="52" w:line="232" w:lineRule="auto"/>
              <w:rPr/>
            </w:pPr>
            <w:r>
              <w:rPr>
                <w:spacing w:val="5"/>
              </w:rPr>
              <w:t>影响因素</w:t>
            </w:r>
          </w:p>
        </w:tc>
        <w:tc>
          <w:tcPr>
            <w:tcW w:w="3448" w:type="dxa"/>
            <w:vAlign w:val="top"/>
            <w:tcBorders>
              <w:right w:val="nil"/>
              <w:top w:val="single" w:color="000000" w:sz="10" w:space="0"/>
            </w:tcBorders>
          </w:tcPr>
          <w:p>
            <w:pPr>
              <w:pStyle w:val="TableText"/>
              <w:ind w:left="1320"/>
              <w:spacing w:before="52" w:line="229" w:lineRule="auto"/>
              <w:rPr/>
            </w:pPr>
            <w:r>
              <w:rPr>
                <w:spacing w:val="4"/>
              </w:rPr>
              <w:t>工作等级</w:t>
            </w:r>
          </w:p>
        </w:tc>
      </w:tr>
      <w:tr>
        <w:trPr>
          <w:trHeight w:val="314" w:hRule="atLeast"/>
        </w:trPr>
        <w:tc>
          <w:tcPr>
            <w:tcW w:w="1733" w:type="dxa"/>
            <w:vAlign w:val="top"/>
            <w:tcBorders>
              <w:left w:val="nil"/>
            </w:tcBorders>
          </w:tcPr>
          <w:p>
            <w:pPr>
              <w:ind w:left="838"/>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731" w:type="dxa"/>
            <w:vAlign w:val="top"/>
          </w:tcPr>
          <w:p>
            <w:pPr>
              <w:pStyle w:val="TableText"/>
              <w:ind w:left="1351"/>
              <w:spacing w:before="53" w:line="231" w:lineRule="auto"/>
              <w:rPr/>
            </w:pPr>
            <w:r>
              <w:rPr>
                <w:spacing w:val="6"/>
              </w:rPr>
              <w:t>地表水环境</w:t>
            </w:r>
          </w:p>
        </w:tc>
        <w:tc>
          <w:tcPr>
            <w:tcW w:w="3448" w:type="dxa"/>
            <w:vAlign w:val="top"/>
            <w:tcBorders>
              <w:right w:val="nil"/>
            </w:tcBorders>
          </w:tcPr>
          <w:p>
            <w:pPr>
              <w:pStyle w:val="TableText"/>
              <w:ind w:left="1530"/>
              <w:spacing w:before="53" w:line="231" w:lineRule="auto"/>
              <w:rPr/>
            </w:pPr>
            <w:r>
              <w:rPr/>
              <w:t>三级</w:t>
            </w:r>
          </w:p>
        </w:tc>
      </w:tr>
      <w:tr>
        <w:trPr>
          <w:trHeight w:val="314" w:hRule="atLeast"/>
        </w:trPr>
        <w:tc>
          <w:tcPr>
            <w:tcW w:w="1733" w:type="dxa"/>
            <w:vAlign w:val="top"/>
            <w:tcBorders>
              <w:left w:val="nil"/>
            </w:tcBorders>
          </w:tcPr>
          <w:p>
            <w:pPr>
              <w:ind w:left="81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731" w:type="dxa"/>
            <w:vAlign w:val="top"/>
          </w:tcPr>
          <w:p>
            <w:pPr>
              <w:pStyle w:val="TableText"/>
              <w:ind w:left="1458"/>
              <w:spacing w:before="57" w:line="228" w:lineRule="auto"/>
              <w:rPr/>
            </w:pPr>
            <w:r>
              <w:rPr>
                <w:spacing w:val="5"/>
              </w:rPr>
              <w:t>大气环境</w:t>
            </w:r>
          </w:p>
        </w:tc>
        <w:tc>
          <w:tcPr>
            <w:tcW w:w="3448" w:type="dxa"/>
            <w:vAlign w:val="top"/>
            <w:tcBorders>
              <w:right w:val="nil"/>
            </w:tcBorders>
          </w:tcPr>
          <w:p>
            <w:pPr>
              <w:pStyle w:val="TableText"/>
              <w:ind w:left="1531"/>
              <w:spacing w:before="57" w:line="228" w:lineRule="auto"/>
              <w:rPr/>
            </w:pPr>
            <w:r>
              <w:rPr>
                <w:spacing w:val="3"/>
              </w:rPr>
              <w:t>二级</w:t>
            </w:r>
          </w:p>
        </w:tc>
      </w:tr>
      <w:tr>
        <w:trPr>
          <w:trHeight w:val="274" w:hRule="atLeast"/>
        </w:trPr>
        <w:tc>
          <w:tcPr>
            <w:tcW w:w="1733" w:type="dxa"/>
            <w:vAlign w:val="top"/>
            <w:tcBorders>
              <w:left w:val="nil"/>
            </w:tcBorders>
          </w:tcPr>
          <w:p>
            <w:pPr>
              <w:ind w:left="82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731" w:type="dxa"/>
            <w:vAlign w:val="top"/>
          </w:tcPr>
          <w:p>
            <w:pPr>
              <w:pStyle w:val="TableText"/>
              <w:ind w:left="1561"/>
              <w:spacing w:before="39" w:line="207" w:lineRule="auto"/>
              <w:rPr/>
            </w:pPr>
            <w:r>
              <w:rPr>
                <w:spacing w:val="5"/>
              </w:rPr>
              <w:t>声环境</w:t>
            </w:r>
          </w:p>
        </w:tc>
        <w:tc>
          <w:tcPr>
            <w:tcW w:w="3448" w:type="dxa"/>
            <w:vAlign w:val="top"/>
            <w:tcBorders>
              <w:right w:val="nil"/>
            </w:tcBorders>
          </w:tcPr>
          <w:p>
            <w:pPr>
              <w:pStyle w:val="TableText"/>
              <w:ind w:left="1530"/>
              <w:spacing w:before="39" w:line="207" w:lineRule="auto"/>
              <w:rPr/>
            </w:pPr>
            <w:r>
              <w:rPr/>
              <w:t>三级</w:t>
            </w:r>
          </w:p>
        </w:tc>
      </w:tr>
      <w:tr>
        <w:trPr>
          <w:trHeight w:val="314" w:hRule="atLeast"/>
        </w:trPr>
        <w:tc>
          <w:tcPr>
            <w:tcW w:w="1733" w:type="dxa"/>
            <w:vAlign w:val="top"/>
            <w:tcBorders>
              <w:left w:val="nil"/>
            </w:tcBorders>
          </w:tcPr>
          <w:p>
            <w:pPr>
              <w:ind w:left="81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731" w:type="dxa"/>
            <w:vAlign w:val="top"/>
          </w:tcPr>
          <w:p>
            <w:pPr>
              <w:pStyle w:val="TableText"/>
              <w:ind w:left="1351"/>
              <w:spacing w:before="63" w:line="222" w:lineRule="auto"/>
              <w:rPr/>
            </w:pPr>
            <w:r>
              <w:rPr>
                <w:spacing w:val="6"/>
              </w:rPr>
              <w:t>地下水环境</w:t>
            </w:r>
          </w:p>
        </w:tc>
        <w:tc>
          <w:tcPr>
            <w:tcW w:w="3448" w:type="dxa"/>
            <w:vAlign w:val="top"/>
            <w:tcBorders>
              <w:right w:val="nil"/>
            </w:tcBorders>
          </w:tcPr>
          <w:p>
            <w:pPr>
              <w:pStyle w:val="TableText"/>
              <w:ind w:left="1530"/>
              <w:spacing w:before="63" w:line="222" w:lineRule="auto"/>
              <w:rPr/>
            </w:pPr>
            <w:r>
              <w:rPr>
                <w:spacing w:val="-1"/>
              </w:rPr>
              <w:t>三级</w:t>
            </w:r>
          </w:p>
        </w:tc>
      </w:tr>
      <w:tr>
        <w:trPr>
          <w:trHeight w:val="314" w:hRule="atLeast"/>
        </w:trPr>
        <w:tc>
          <w:tcPr>
            <w:tcW w:w="1733" w:type="dxa"/>
            <w:vAlign w:val="top"/>
            <w:tcBorders>
              <w:left w:val="nil"/>
            </w:tcBorders>
          </w:tcPr>
          <w:p>
            <w:pPr>
              <w:ind w:left="824"/>
              <w:spacing w:before="10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731" w:type="dxa"/>
            <w:vAlign w:val="top"/>
          </w:tcPr>
          <w:p>
            <w:pPr>
              <w:pStyle w:val="TableText"/>
              <w:ind w:left="1458"/>
              <w:spacing w:before="66" w:line="219" w:lineRule="auto"/>
              <w:rPr/>
            </w:pPr>
            <w:r>
              <w:rPr>
                <w:spacing w:val="5"/>
              </w:rPr>
              <w:t>土壤环境</w:t>
            </w:r>
          </w:p>
        </w:tc>
        <w:tc>
          <w:tcPr>
            <w:tcW w:w="3448" w:type="dxa"/>
            <w:vAlign w:val="top"/>
            <w:tcBorders>
              <w:right w:val="nil"/>
            </w:tcBorders>
          </w:tcPr>
          <w:p>
            <w:pPr>
              <w:pStyle w:val="TableText"/>
              <w:ind w:left="1530"/>
              <w:spacing w:before="66" w:line="219" w:lineRule="auto"/>
              <w:rPr/>
            </w:pPr>
            <w:r>
              <w:rPr>
                <w:spacing w:val="-1"/>
              </w:rPr>
              <w:t>三级</w:t>
            </w:r>
          </w:p>
        </w:tc>
      </w:tr>
      <w:tr>
        <w:trPr>
          <w:trHeight w:val="314" w:hRule="atLeast"/>
        </w:trPr>
        <w:tc>
          <w:tcPr>
            <w:tcW w:w="1733" w:type="dxa"/>
            <w:vAlign w:val="top"/>
            <w:tcBorders>
              <w:left w:val="nil"/>
            </w:tcBorders>
          </w:tcPr>
          <w:p>
            <w:pPr>
              <w:ind w:left="82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731" w:type="dxa"/>
            <w:vAlign w:val="top"/>
          </w:tcPr>
          <w:p>
            <w:pPr>
              <w:pStyle w:val="TableText"/>
              <w:ind w:left="1468"/>
              <w:spacing w:before="68" w:line="217" w:lineRule="auto"/>
              <w:rPr/>
            </w:pPr>
            <w:r>
              <w:rPr>
                <w:spacing w:val="2"/>
              </w:rPr>
              <w:t>生态环境</w:t>
            </w:r>
          </w:p>
        </w:tc>
        <w:tc>
          <w:tcPr>
            <w:tcW w:w="3448" w:type="dxa"/>
            <w:vAlign w:val="top"/>
            <w:tcBorders>
              <w:right w:val="nil"/>
            </w:tcBorders>
          </w:tcPr>
          <w:p>
            <w:pPr>
              <w:pStyle w:val="TableText"/>
              <w:ind w:left="1531"/>
              <w:spacing w:before="68" w:line="217" w:lineRule="auto"/>
              <w:rPr/>
            </w:pPr>
            <w:r>
              <w:rPr>
                <w:spacing w:val="3"/>
              </w:rPr>
              <w:t>二级</w:t>
            </w:r>
          </w:p>
        </w:tc>
      </w:tr>
      <w:tr>
        <w:trPr>
          <w:trHeight w:val="337" w:hRule="atLeast"/>
        </w:trPr>
        <w:tc>
          <w:tcPr>
            <w:tcW w:w="1733" w:type="dxa"/>
            <w:vAlign w:val="top"/>
            <w:tcBorders>
              <w:left w:val="nil"/>
              <w:bottom w:val="single" w:color="000000" w:sz="10" w:space="0"/>
            </w:tcBorders>
          </w:tcPr>
          <w:p>
            <w:pPr>
              <w:ind w:left="821"/>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731" w:type="dxa"/>
            <w:vAlign w:val="top"/>
            <w:tcBorders>
              <w:bottom w:val="single" w:color="000000" w:sz="10" w:space="0"/>
            </w:tcBorders>
          </w:tcPr>
          <w:p>
            <w:pPr>
              <w:pStyle w:val="TableText"/>
              <w:ind w:left="1456"/>
              <w:spacing w:before="71" w:line="231" w:lineRule="auto"/>
              <w:rPr/>
            </w:pPr>
            <w:r>
              <w:rPr>
                <w:spacing w:val="5"/>
              </w:rPr>
              <w:t>环境风险</w:t>
            </w:r>
          </w:p>
        </w:tc>
        <w:tc>
          <w:tcPr>
            <w:tcW w:w="3448" w:type="dxa"/>
            <w:vAlign w:val="top"/>
            <w:tcBorders>
              <w:right w:val="nil"/>
              <w:bottom w:val="single" w:color="000000" w:sz="10" w:space="0"/>
            </w:tcBorders>
          </w:tcPr>
          <w:p>
            <w:pPr>
              <w:pStyle w:val="TableText"/>
              <w:ind w:left="1327"/>
              <w:spacing w:before="71" w:line="229" w:lineRule="auto"/>
              <w:rPr/>
            </w:pPr>
            <w:r>
              <w:rPr>
                <w:spacing w:val="3"/>
              </w:rPr>
              <w:t>简单分析</w:t>
            </w:r>
          </w:p>
        </w:tc>
      </w:tr>
    </w:tbl>
    <w:p>
      <w:pPr>
        <w:pStyle w:val="BodyText"/>
        <w:spacing w:line="370" w:lineRule="auto"/>
        <w:rPr/>
      </w:pPr>
      <w:r/>
    </w:p>
    <w:p>
      <w:pPr>
        <w:ind w:left="114"/>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2.5.8.2  </w:t>
      </w:r>
      <w:r>
        <w:rPr>
          <w:rFonts w:ascii="FangSong" w:hAnsi="FangSong" w:eastAsia="FangSong" w:cs="FangSong"/>
          <w:sz w:val="24"/>
          <w:szCs w:val="24"/>
          <w:b/>
          <w:bCs/>
          <w:spacing w:val="-2"/>
        </w:rPr>
        <w:t>各环境要素评价范围</w:t>
      </w:r>
    </w:p>
    <w:p>
      <w:pPr>
        <w:ind w:left="605"/>
        <w:spacing w:before="179" w:line="221" w:lineRule="auto"/>
        <w:rPr>
          <w:rFonts w:ascii="FangSong" w:hAnsi="FangSong" w:eastAsia="FangSong" w:cs="FangSong"/>
          <w:sz w:val="24"/>
          <w:szCs w:val="24"/>
        </w:rPr>
      </w:pPr>
      <w:r>
        <w:rPr>
          <w:rFonts w:ascii="FangSong" w:hAnsi="FangSong" w:eastAsia="FangSong" w:cs="FangSong"/>
          <w:sz w:val="24"/>
          <w:szCs w:val="24"/>
          <w:spacing w:val="-2"/>
        </w:rPr>
        <w:t>各环境要素评价范围详见表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2.5-15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，评价范围内环境功能要求见表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2.5-16</w:t>
      </w:r>
      <w:r>
        <w:rPr>
          <w:rFonts w:ascii="FangSong" w:hAnsi="FangSong" w:eastAsia="FangSong" w:cs="FangSong"/>
          <w:sz w:val="24"/>
          <w:szCs w:val="24"/>
          <w:spacing w:val="-2"/>
        </w:rPr>
        <w:t>。</w:t>
      </w:r>
    </w:p>
    <w:p>
      <w:pPr>
        <w:ind w:left="2387"/>
        <w:spacing w:before="179"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2.5-15  </w:t>
      </w:r>
      <w:r>
        <w:rPr>
          <w:rFonts w:ascii="FangSong" w:hAnsi="FangSong" w:eastAsia="FangSong" w:cs="FangSong"/>
          <w:sz w:val="24"/>
          <w:szCs w:val="24"/>
          <w:b/>
          <w:bCs/>
          <w:spacing w:val="-3"/>
        </w:rPr>
        <w:t>建设项目各环境要素评价范围</w:t>
      </w:r>
    </w:p>
    <w:p>
      <w:pPr>
        <w:spacing w:line="144" w:lineRule="exact"/>
        <w:rPr/>
      </w:pPr>
      <w:r/>
    </w:p>
    <w:tbl>
      <w:tblPr>
        <w:tblStyle w:val="TableNormal"/>
        <w:tblW w:w="8912"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18"/>
        <w:gridCol w:w="1317"/>
        <w:gridCol w:w="6477"/>
      </w:tblGrid>
      <w:tr>
        <w:trPr>
          <w:trHeight w:val="322" w:hRule="atLeast"/>
        </w:trPr>
        <w:tc>
          <w:tcPr>
            <w:tcW w:w="1118" w:type="dxa"/>
            <w:vAlign w:val="top"/>
            <w:tcBorders>
              <w:left w:val="nil"/>
              <w:top w:val="single" w:color="000000" w:sz="10" w:space="0"/>
            </w:tcBorders>
          </w:tcPr>
          <w:p>
            <w:pPr>
              <w:pStyle w:val="TableText"/>
              <w:ind w:left="362"/>
              <w:spacing w:before="53" w:line="231" w:lineRule="auto"/>
              <w:rPr/>
            </w:pPr>
            <w:r>
              <w:rPr>
                <w:spacing w:val="2"/>
              </w:rPr>
              <w:t>序号</w:t>
            </w:r>
          </w:p>
        </w:tc>
        <w:tc>
          <w:tcPr>
            <w:tcW w:w="1317" w:type="dxa"/>
            <w:vAlign w:val="top"/>
            <w:tcBorders>
              <w:top w:val="single" w:color="000000" w:sz="10" w:space="0"/>
            </w:tcBorders>
          </w:tcPr>
          <w:p>
            <w:pPr>
              <w:pStyle w:val="TableText"/>
              <w:ind w:left="247"/>
              <w:spacing w:before="53" w:line="231" w:lineRule="auto"/>
              <w:rPr/>
            </w:pPr>
            <w:r>
              <w:rPr>
                <w:spacing w:val="5"/>
              </w:rPr>
              <w:t>环境要素</w:t>
            </w:r>
          </w:p>
        </w:tc>
        <w:tc>
          <w:tcPr>
            <w:tcW w:w="6477" w:type="dxa"/>
            <w:vAlign w:val="top"/>
            <w:tcBorders>
              <w:right w:val="nil"/>
              <w:top w:val="single" w:color="000000" w:sz="10" w:space="0"/>
            </w:tcBorders>
          </w:tcPr>
          <w:p>
            <w:pPr>
              <w:pStyle w:val="TableText"/>
              <w:ind w:left="2828"/>
              <w:spacing w:before="53" w:line="231" w:lineRule="auto"/>
              <w:rPr/>
            </w:pPr>
            <w:r>
              <w:rPr>
                <w:spacing w:val="5"/>
              </w:rPr>
              <w:t>评价范围</w:t>
            </w:r>
          </w:p>
        </w:tc>
      </w:tr>
      <w:tr>
        <w:trPr>
          <w:trHeight w:val="314" w:hRule="atLeast"/>
        </w:trPr>
        <w:tc>
          <w:tcPr>
            <w:tcW w:w="1118" w:type="dxa"/>
            <w:vAlign w:val="top"/>
            <w:tcBorders>
              <w:left w:val="nil"/>
            </w:tcBorders>
          </w:tcPr>
          <w:p>
            <w:pPr>
              <w:ind w:left="531"/>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7" w:type="dxa"/>
            <w:vAlign w:val="top"/>
          </w:tcPr>
          <w:p>
            <w:pPr>
              <w:pStyle w:val="TableText"/>
              <w:ind w:left="142"/>
              <w:spacing w:before="48" w:line="231" w:lineRule="auto"/>
              <w:rPr/>
            </w:pPr>
            <w:r>
              <w:rPr>
                <w:spacing w:val="6"/>
              </w:rPr>
              <w:t>地表水环境</w:t>
            </w:r>
          </w:p>
        </w:tc>
        <w:tc>
          <w:tcPr>
            <w:tcW w:w="6477" w:type="dxa"/>
            <w:vAlign w:val="top"/>
            <w:tcBorders>
              <w:right w:val="nil"/>
            </w:tcBorders>
          </w:tcPr>
          <w:p>
            <w:pPr>
              <w:ind w:left="3205"/>
              <w:spacing w:before="8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545" w:hRule="atLeast"/>
        </w:trPr>
        <w:tc>
          <w:tcPr>
            <w:tcW w:w="1118" w:type="dxa"/>
            <w:vAlign w:val="top"/>
            <w:tcBorders>
              <w:left w:val="nil"/>
            </w:tcBorders>
          </w:tcPr>
          <w:p>
            <w:pPr>
              <w:ind w:left="51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17" w:type="dxa"/>
            <w:vAlign w:val="top"/>
          </w:tcPr>
          <w:p>
            <w:pPr>
              <w:pStyle w:val="TableText"/>
              <w:ind w:left="247"/>
              <w:spacing w:before="168" w:line="231" w:lineRule="auto"/>
              <w:rPr/>
            </w:pPr>
            <w:r>
              <w:rPr>
                <w:spacing w:val="5"/>
              </w:rPr>
              <w:t>环境空气</w:t>
            </w:r>
          </w:p>
        </w:tc>
        <w:tc>
          <w:tcPr>
            <w:tcW w:w="6477" w:type="dxa"/>
            <w:vAlign w:val="top"/>
            <w:tcBorders>
              <w:right w:val="nil"/>
            </w:tcBorders>
          </w:tcPr>
          <w:p>
            <w:pPr>
              <w:pStyle w:val="TableText"/>
              <w:ind w:left="137"/>
              <w:spacing w:before="33" w:line="231" w:lineRule="auto"/>
              <w:rPr/>
            </w:pPr>
            <w:r>
              <w:rPr>
                <w:spacing w:val="6"/>
              </w:rPr>
              <w:t>以包括办公区、道路、工业广场（含选矿厂）为中心，</w:t>
            </w:r>
            <w:r>
              <w:rPr>
                <w:rFonts w:ascii="Times New Roman" w:hAnsi="Times New Roman" w:eastAsia="Times New Roman" w:cs="Times New Roman"/>
                <w:spacing w:val="6"/>
              </w:rPr>
              <w:t>5</w:t>
            </w:r>
            <w:r>
              <w:rPr>
                <w:rFonts w:ascii="Times New Roman" w:hAnsi="Times New Roman" w:eastAsia="Times New Roman" w:cs="Times New Roman"/>
              </w:rPr>
              <w:t>km</w:t>
            </w:r>
            <w:r>
              <w:rPr>
                <w:rFonts w:ascii="Times New Roman" w:hAnsi="Times New Roman" w:eastAsia="Times New Roman" w:cs="Times New Roman"/>
                <w:spacing w:val="43"/>
                <w:w w:val="101"/>
              </w:rPr>
              <w:t xml:space="preserve"> </w:t>
            </w:r>
            <w:r>
              <w:rPr>
                <w:spacing w:val="6"/>
              </w:rPr>
              <w:t>为边长的</w:t>
            </w:r>
          </w:p>
          <w:p>
            <w:pPr>
              <w:pStyle w:val="TableText"/>
              <w:ind w:left="1349"/>
              <w:spacing w:before="21" w:line="212" w:lineRule="auto"/>
              <w:rPr/>
            </w:pPr>
            <w:r>
              <w:rPr>
                <w:spacing w:val="6"/>
              </w:rPr>
              <w:t>正方形区域组成，评价面积约</w:t>
            </w:r>
            <w:r>
              <w:rPr>
                <w:spacing w:val="-17"/>
              </w:rPr>
              <w:t xml:space="preserve"> </w:t>
            </w:r>
            <w:r>
              <w:rPr>
                <w:rFonts w:ascii="Times New Roman" w:hAnsi="Times New Roman" w:eastAsia="Times New Roman" w:cs="Times New Roman"/>
                <w:spacing w:val="6"/>
              </w:rPr>
              <w:t>14.99</w:t>
            </w:r>
            <w:r>
              <w:rPr>
                <w:rFonts w:ascii="Times New Roman" w:hAnsi="Times New Roman" w:eastAsia="Times New Roman" w:cs="Times New Roman"/>
              </w:rPr>
              <w:t>km</w:t>
            </w:r>
            <w:r>
              <w:rPr>
                <w:rFonts w:ascii="Times New Roman" w:hAnsi="Times New Roman" w:eastAsia="Times New Roman" w:cs="Times New Roman"/>
                <w:sz w:val="13"/>
                <w:szCs w:val="13"/>
                <w:spacing w:val="6"/>
                <w:position w:val="6"/>
              </w:rPr>
              <w:t>2</w:t>
            </w:r>
            <w:r>
              <w:rPr>
                <w:spacing w:val="6"/>
              </w:rPr>
              <w:t>。</w:t>
            </w:r>
          </w:p>
        </w:tc>
      </w:tr>
      <w:tr>
        <w:trPr>
          <w:trHeight w:val="314" w:hRule="atLeast"/>
        </w:trPr>
        <w:tc>
          <w:tcPr>
            <w:tcW w:w="1118" w:type="dxa"/>
            <w:vAlign w:val="top"/>
            <w:tcBorders>
              <w:left w:val="nil"/>
            </w:tcBorders>
          </w:tcPr>
          <w:p>
            <w:pPr>
              <w:ind w:left="515"/>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17" w:type="dxa"/>
            <w:vAlign w:val="top"/>
          </w:tcPr>
          <w:p>
            <w:pPr>
              <w:pStyle w:val="TableText"/>
              <w:ind w:left="349"/>
              <w:spacing w:before="56" w:line="228" w:lineRule="auto"/>
              <w:rPr/>
            </w:pPr>
            <w:r>
              <w:rPr>
                <w:spacing w:val="5"/>
              </w:rPr>
              <w:t>声环境</w:t>
            </w:r>
          </w:p>
        </w:tc>
        <w:tc>
          <w:tcPr>
            <w:tcW w:w="6477" w:type="dxa"/>
            <w:vAlign w:val="top"/>
            <w:tcBorders>
              <w:right w:val="nil"/>
            </w:tcBorders>
          </w:tcPr>
          <w:p>
            <w:pPr>
              <w:pStyle w:val="TableText"/>
              <w:ind w:right="12"/>
              <w:spacing w:before="56" w:line="228" w:lineRule="auto"/>
              <w:jc w:val="right"/>
              <w:rPr/>
            </w:pPr>
            <w:r>
              <w:rPr>
                <w:spacing w:val="-2"/>
              </w:rPr>
              <w:t>本项目工业广场（含选矿厂）以外的</w:t>
            </w:r>
            <w:r>
              <w:rPr>
                <w:spacing w:val="-43"/>
              </w:rPr>
              <w:t xml:space="preserve"> </w:t>
            </w:r>
            <w:r>
              <w:rPr>
                <w:rFonts w:ascii="Times New Roman" w:hAnsi="Times New Roman" w:eastAsia="Times New Roman" w:cs="Times New Roman"/>
                <w:spacing w:val="-2"/>
              </w:rPr>
              <w:t>200m</w:t>
            </w:r>
            <w:r>
              <w:rPr>
                <w:rFonts w:ascii="Times New Roman" w:hAnsi="Times New Roman" w:eastAsia="Times New Roman" w:cs="Times New Roman"/>
                <w:spacing w:val="24"/>
                <w:w w:val="101"/>
              </w:rPr>
              <w:t xml:space="preserve"> </w:t>
            </w:r>
            <w:r>
              <w:rPr>
                <w:spacing w:val="-2"/>
              </w:rPr>
              <w:t>范围，评价面积约</w:t>
            </w:r>
            <w:r>
              <w:rPr>
                <w:spacing w:val="-42"/>
              </w:rPr>
              <w:t xml:space="preserve"> </w:t>
            </w:r>
            <w:r>
              <w:rPr>
                <w:rFonts w:ascii="Times New Roman" w:hAnsi="Times New Roman" w:eastAsia="Times New Roman" w:cs="Times New Roman"/>
                <w:spacing w:val="-2"/>
              </w:rPr>
              <w:t>0.697km</w:t>
            </w:r>
            <w:r>
              <w:rPr>
                <w:rFonts w:ascii="Times New Roman" w:hAnsi="Times New Roman" w:eastAsia="Times New Roman" w:cs="Times New Roman"/>
                <w:sz w:val="13"/>
                <w:szCs w:val="13"/>
                <w:spacing w:val="-2"/>
                <w:position w:val="6"/>
              </w:rPr>
              <w:t>2</w:t>
            </w:r>
            <w:r>
              <w:rPr>
                <w:spacing w:val="-2"/>
              </w:rPr>
              <w:t>。</w:t>
            </w:r>
          </w:p>
        </w:tc>
      </w:tr>
      <w:tr>
        <w:trPr>
          <w:trHeight w:val="546" w:hRule="atLeast"/>
        </w:trPr>
        <w:tc>
          <w:tcPr>
            <w:tcW w:w="1118" w:type="dxa"/>
            <w:vAlign w:val="top"/>
            <w:tcBorders>
              <w:left w:val="nil"/>
            </w:tcBorders>
          </w:tcPr>
          <w:p>
            <w:pPr>
              <w:ind w:left="510"/>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317" w:type="dxa"/>
            <w:vAlign w:val="top"/>
          </w:tcPr>
          <w:p>
            <w:pPr>
              <w:pStyle w:val="TableText"/>
              <w:ind w:left="142"/>
              <w:spacing w:before="177" w:line="231" w:lineRule="auto"/>
              <w:rPr/>
            </w:pPr>
            <w:r>
              <w:rPr>
                <w:spacing w:val="6"/>
              </w:rPr>
              <w:t>地下水环境</w:t>
            </w:r>
          </w:p>
        </w:tc>
        <w:tc>
          <w:tcPr>
            <w:tcW w:w="6477" w:type="dxa"/>
            <w:vAlign w:val="top"/>
            <w:tcBorders>
              <w:right w:val="nil"/>
            </w:tcBorders>
          </w:tcPr>
          <w:p>
            <w:pPr>
              <w:pStyle w:val="TableText"/>
              <w:ind w:right="13"/>
              <w:spacing w:before="40" w:line="231" w:lineRule="auto"/>
              <w:jc w:val="right"/>
              <w:rPr/>
            </w:pPr>
            <w:r>
              <w:rPr>
                <w:spacing w:val="3"/>
              </w:rPr>
              <w:t>本项目项目占地范围下游</w:t>
            </w:r>
            <w:r>
              <w:rPr>
                <w:spacing w:val="-23"/>
              </w:rPr>
              <w:t xml:space="preserve"> </w:t>
            </w:r>
            <w:r>
              <w:rPr>
                <w:rFonts w:ascii="Times New Roman" w:hAnsi="Times New Roman" w:eastAsia="Times New Roman" w:cs="Times New Roman"/>
                <w:spacing w:val="3"/>
              </w:rPr>
              <w:t>1000m</w:t>
            </w:r>
            <w:r>
              <w:rPr>
                <w:rFonts w:ascii="Times New Roman" w:hAnsi="Times New Roman" w:eastAsia="Times New Roman" w:cs="Times New Roman"/>
                <w:spacing w:val="-20"/>
              </w:rPr>
              <w:t xml:space="preserve"> </w:t>
            </w:r>
            <w:r>
              <w:rPr>
                <w:spacing w:val="3"/>
              </w:rPr>
              <w:t>、上游</w:t>
            </w:r>
            <w:r>
              <w:rPr>
                <w:spacing w:val="-20"/>
              </w:rPr>
              <w:t xml:space="preserve"> </w:t>
            </w:r>
            <w:r>
              <w:rPr>
                <w:rFonts w:ascii="Times New Roman" w:hAnsi="Times New Roman" w:eastAsia="Times New Roman" w:cs="Times New Roman"/>
                <w:spacing w:val="3"/>
              </w:rPr>
              <w:t>1000m</w:t>
            </w:r>
            <w:r>
              <w:rPr>
                <w:rFonts w:ascii="Times New Roman" w:hAnsi="Times New Roman" w:eastAsia="Times New Roman" w:cs="Times New Roman"/>
                <w:spacing w:val="-20"/>
              </w:rPr>
              <w:t xml:space="preserve"> </w:t>
            </w:r>
            <w:r>
              <w:rPr>
                <w:spacing w:val="3"/>
              </w:rPr>
              <w:t>、两</w:t>
            </w:r>
            <w:r>
              <w:rPr>
                <w:spacing w:val="2"/>
              </w:rPr>
              <w:t>侧</w:t>
            </w:r>
            <w:r>
              <w:rPr>
                <w:spacing w:val="-21"/>
              </w:rPr>
              <w:t xml:space="preserve"> </w:t>
            </w:r>
            <w:r>
              <w:rPr>
                <w:rFonts w:ascii="Times New Roman" w:hAnsi="Times New Roman" w:eastAsia="Times New Roman" w:cs="Times New Roman"/>
                <w:spacing w:val="2"/>
              </w:rPr>
              <w:t>1000m</w:t>
            </w:r>
            <w:r>
              <w:rPr>
                <w:rFonts w:ascii="Times New Roman" w:hAnsi="Times New Roman" w:eastAsia="Times New Roman" w:cs="Times New Roman"/>
                <w:spacing w:val="29"/>
                <w:w w:val="101"/>
              </w:rPr>
              <w:t xml:space="preserve"> </w:t>
            </w:r>
            <w:r>
              <w:rPr>
                <w:spacing w:val="2"/>
              </w:rPr>
              <w:t>范围内，</w:t>
            </w:r>
          </w:p>
          <w:p>
            <w:pPr>
              <w:pStyle w:val="TableText"/>
              <w:ind w:left="2188"/>
              <w:spacing w:before="23" w:line="205" w:lineRule="auto"/>
              <w:rPr/>
            </w:pPr>
            <w:r>
              <w:rPr>
                <w:spacing w:val="4"/>
              </w:rPr>
              <w:t>评价面积为</w:t>
            </w:r>
            <w:r>
              <w:rPr>
                <w:spacing w:val="-23"/>
              </w:rPr>
              <w:t xml:space="preserve"> </w:t>
            </w:r>
            <w:r>
              <w:rPr>
                <w:rFonts w:ascii="Times New Roman" w:hAnsi="Times New Roman" w:eastAsia="Times New Roman" w:cs="Times New Roman"/>
                <w:spacing w:val="4"/>
              </w:rPr>
              <w:t>10.97</w:t>
            </w:r>
            <w:r>
              <w:rPr>
                <w:rFonts w:ascii="Times New Roman" w:hAnsi="Times New Roman" w:eastAsia="Times New Roman" w:cs="Times New Roman"/>
              </w:rPr>
              <w:t>km</w:t>
            </w:r>
            <w:r>
              <w:rPr>
                <w:rFonts w:ascii="Times New Roman" w:hAnsi="Times New Roman" w:eastAsia="Times New Roman" w:cs="Times New Roman"/>
                <w:sz w:val="13"/>
                <w:szCs w:val="13"/>
                <w:spacing w:val="4"/>
                <w:position w:val="6"/>
              </w:rPr>
              <w:t>2</w:t>
            </w:r>
            <w:r>
              <w:rPr>
                <w:spacing w:val="4"/>
              </w:rPr>
              <w:t>。</w:t>
            </w:r>
          </w:p>
        </w:tc>
      </w:tr>
      <w:tr>
        <w:trPr>
          <w:trHeight w:val="546" w:hRule="atLeast"/>
        </w:trPr>
        <w:tc>
          <w:tcPr>
            <w:tcW w:w="1118" w:type="dxa"/>
            <w:vAlign w:val="top"/>
            <w:tcBorders>
              <w:left w:val="nil"/>
            </w:tcBorders>
          </w:tcPr>
          <w:p>
            <w:pPr>
              <w:ind w:left="517"/>
              <w:spacing w:before="21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17" w:type="dxa"/>
            <w:vAlign w:val="top"/>
          </w:tcPr>
          <w:p>
            <w:pPr>
              <w:pStyle w:val="TableText"/>
              <w:ind w:left="249"/>
              <w:spacing w:before="180" w:line="231" w:lineRule="auto"/>
              <w:rPr/>
            </w:pPr>
            <w:r>
              <w:rPr>
                <w:spacing w:val="5"/>
              </w:rPr>
              <w:t>土壤环境</w:t>
            </w:r>
          </w:p>
        </w:tc>
        <w:tc>
          <w:tcPr>
            <w:tcW w:w="6477" w:type="dxa"/>
            <w:vAlign w:val="top"/>
            <w:tcBorders>
              <w:right w:val="nil"/>
            </w:tcBorders>
          </w:tcPr>
          <w:p>
            <w:pPr>
              <w:pStyle w:val="TableText"/>
              <w:ind w:left="116"/>
              <w:spacing w:before="45" w:line="231" w:lineRule="auto"/>
              <w:rPr/>
            </w:pPr>
            <w:r>
              <w:rPr>
                <w:spacing w:val="8"/>
              </w:rPr>
              <w:t>本项目工业广场（含选矿厂）永久占地范围内全部区域以及占地范围</w:t>
            </w:r>
          </w:p>
          <w:p>
            <w:pPr>
              <w:pStyle w:val="TableText"/>
              <w:ind w:left="1347"/>
              <w:spacing w:before="21" w:line="202" w:lineRule="auto"/>
              <w:rPr/>
            </w:pPr>
            <w:r>
              <w:rPr>
                <w:spacing w:val="5"/>
              </w:rPr>
              <w:t>外</w:t>
            </w:r>
            <w:r>
              <w:rPr>
                <w:spacing w:val="-40"/>
              </w:rPr>
              <w:t xml:space="preserve"> </w:t>
            </w:r>
            <w:r>
              <w:rPr>
                <w:rFonts w:ascii="Times New Roman" w:hAnsi="Times New Roman" w:eastAsia="Times New Roman" w:cs="Times New Roman"/>
                <w:spacing w:val="5"/>
              </w:rPr>
              <w:t>0.05</w:t>
            </w:r>
            <w:r>
              <w:rPr>
                <w:rFonts w:ascii="Times New Roman" w:hAnsi="Times New Roman" w:eastAsia="Times New Roman" w:cs="Times New Roman"/>
              </w:rPr>
              <w:t>km</w:t>
            </w:r>
            <w:r>
              <w:rPr>
                <w:rFonts w:ascii="Times New Roman" w:hAnsi="Times New Roman" w:eastAsia="Times New Roman" w:cs="Times New Roman"/>
                <w:spacing w:val="29"/>
              </w:rPr>
              <w:t xml:space="preserve"> </w:t>
            </w:r>
            <w:r>
              <w:rPr>
                <w:spacing w:val="5"/>
              </w:rPr>
              <w:t>范围内，评价面积约</w:t>
            </w:r>
            <w:r>
              <w:rPr>
                <w:spacing w:val="-36"/>
              </w:rPr>
              <w:t xml:space="preserve"> </w:t>
            </w:r>
            <w:r>
              <w:rPr>
                <w:rFonts w:ascii="Times New Roman" w:hAnsi="Times New Roman" w:eastAsia="Times New Roman" w:cs="Times New Roman"/>
                <w:spacing w:val="5"/>
              </w:rPr>
              <w:t>3.59</w:t>
            </w:r>
            <w:r>
              <w:rPr>
                <w:rFonts w:ascii="Times New Roman" w:hAnsi="Times New Roman" w:eastAsia="Times New Roman" w:cs="Times New Roman"/>
              </w:rPr>
              <w:t>km</w:t>
            </w:r>
            <w:r>
              <w:rPr>
                <w:rFonts w:ascii="Times New Roman" w:hAnsi="Times New Roman" w:eastAsia="Times New Roman" w:cs="Times New Roman"/>
                <w:sz w:val="13"/>
                <w:szCs w:val="13"/>
                <w:spacing w:val="5"/>
                <w:position w:val="6"/>
              </w:rPr>
              <w:t>2</w:t>
            </w:r>
            <w:r>
              <w:rPr>
                <w:spacing w:val="5"/>
              </w:rPr>
              <w:t>。</w:t>
            </w:r>
          </w:p>
        </w:tc>
      </w:tr>
      <w:tr>
        <w:trPr>
          <w:trHeight w:val="314" w:hRule="atLeast"/>
        </w:trPr>
        <w:tc>
          <w:tcPr>
            <w:tcW w:w="1118" w:type="dxa"/>
            <w:vAlign w:val="top"/>
            <w:tcBorders>
              <w:left w:val="nil"/>
            </w:tcBorders>
          </w:tcPr>
          <w:p>
            <w:pPr>
              <w:ind w:left="51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17" w:type="dxa"/>
            <w:vAlign w:val="top"/>
          </w:tcPr>
          <w:p>
            <w:pPr>
              <w:pStyle w:val="TableText"/>
              <w:ind w:left="259"/>
              <w:spacing w:before="68" w:line="217" w:lineRule="auto"/>
              <w:rPr/>
            </w:pPr>
            <w:r>
              <w:rPr>
                <w:spacing w:val="2"/>
              </w:rPr>
              <w:t>生态环境</w:t>
            </w:r>
          </w:p>
        </w:tc>
        <w:tc>
          <w:tcPr>
            <w:tcW w:w="6477" w:type="dxa"/>
            <w:vAlign w:val="top"/>
            <w:tcBorders>
              <w:right w:val="nil"/>
            </w:tcBorders>
          </w:tcPr>
          <w:p>
            <w:pPr>
              <w:pStyle w:val="TableText"/>
              <w:ind w:left="1003"/>
              <w:spacing w:before="68" w:line="217" w:lineRule="auto"/>
              <w:rPr/>
            </w:pPr>
            <w:r>
              <w:rPr>
                <w:spacing w:val="6"/>
              </w:rPr>
              <w:t>采区外延</w:t>
            </w:r>
            <w:r>
              <w:rPr>
                <w:spacing w:val="-39"/>
              </w:rPr>
              <w:t xml:space="preserve"> </w:t>
            </w:r>
            <w:r>
              <w:rPr>
                <w:rFonts w:ascii="Times New Roman" w:hAnsi="Times New Roman" w:eastAsia="Times New Roman" w:cs="Times New Roman"/>
                <w:spacing w:val="6"/>
              </w:rPr>
              <w:t>2</w:t>
            </w:r>
            <w:r>
              <w:rPr>
                <w:rFonts w:ascii="Times New Roman" w:hAnsi="Times New Roman" w:eastAsia="Times New Roman" w:cs="Times New Roman"/>
              </w:rPr>
              <w:t>km</w:t>
            </w:r>
            <w:r>
              <w:rPr>
                <w:rFonts w:ascii="Times New Roman" w:hAnsi="Times New Roman" w:eastAsia="Times New Roman" w:cs="Times New Roman"/>
                <w:spacing w:val="33"/>
              </w:rPr>
              <w:t xml:space="preserve"> </w:t>
            </w:r>
            <w:r>
              <w:rPr>
                <w:spacing w:val="6"/>
              </w:rPr>
              <w:t>陆域范围，评价面积约</w:t>
            </w:r>
            <w:r>
              <w:rPr>
                <w:spacing w:val="-39"/>
              </w:rPr>
              <w:t xml:space="preserve"> </w:t>
            </w:r>
            <w:r>
              <w:rPr>
                <w:rFonts w:ascii="Times New Roman" w:hAnsi="Times New Roman" w:eastAsia="Times New Roman" w:cs="Times New Roman"/>
                <w:spacing w:val="6"/>
              </w:rPr>
              <w:t>64.55</w:t>
            </w:r>
            <w:r>
              <w:rPr>
                <w:rFonts w:ascii="Times New Roman" w:hAnsi="Times New Roman" w:eastAsia="Times New Roman" w:cs="Times New Roman"/>
              </w:rPr>
              <w:t>km</w:t>
            </w:r>
            <w:r>
              <w:rPr>
                <w:rFonts w:ascii="Times New Roman" w:hAnsi="Times New Roman" w:eastAsia="Times New Roman" w:cs="Times New Roman"/>
                <w:sz w:val="13"/>
                <w:szCs w:val="13"/>
                <w:spacing w:val="6"/>
                <w:position w:val="6"/>
              </w:rPr>
              <w:t>2</w:t>
            </w:r>
            <w:r>
              <w:rPr>
                <w:spacing w:val="6"/>
              </w:rPr>
              <w:t>。</w:t>
            </w:r>
          </w:p>
        </w:tc>
      </w:tr>
      <w:tr>
        <w:trPr>
          <w:trHeight w:val="336" w:hRule="atLeast"/>
        </w:trPr>
        <w:tc>
          <w:tcPr>
            <w:tcW w:w="1118" w:type="dxa"/>
            <w:vAlign w:val="top"/>
            <w:tcBorders>
              <w:left w:val="nil"/>
              <w:bottom w:val="single" w:color="000000" w:sz="10" w:space="0"/>
            </w:tcBorders>
          </w:tcPr>
          <w:p>
            <w:pPr>
              <w:ind w:left="514"/>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17" w:type="dxa"/>
            <w:vAlign w:val="top"/>
            <w:tcBorders>
              <w:bottom w:val="single" w:color="000000" w:sz="10" w:space="0"/>
            </w:tcBorders>
          </w:tcPr>
          <w:p>
            <w:pPr>
              <w:pStyle w:val="TableText"/>
              <w:ind w:left="247"/>
              <w:spacing w:before="70" w:line="231" w:lineRule="auto"/>
              <w:rPr/>
            </w:pPr>
            <w:r>
              <w:rPr>
                <w:spacing w:val="5"/>
              </w:rPr>
              <w:t>环境风险</w:t>
            </w:r>
          </w:p>
        </w:tc>
        <w:tc>
          <w:tcPr>
            <w:tcW w:w="6477" w:type="dxa"/>
            <w:vAlign w:val="top"/>
            <w:tcBorders>
              <w:right w:val="nil"/>
              <w:bottom w:val="single" w:color="000000" w:sz="10" w:space="0"/>
            </w:tcBorders>
          </w:tcPr>
          <w:p>
            <w:pPr>
              <w:ind w:left="3205"/>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rPr/>
      </w:pPr>
      <w:r/>
    </w:p>
    <w:p>
      <w:pPr>
        <w:sectPr>
          <w:footerReference w:type="default" r:id="rId76"/>
          <w:pgSz w:w="11911" w:h="16839"/>
          <w:pgMar w:top="400" w:right="1309" w:bottom="1146" w:left="1689" w:header="0" w:footer="984" w:gutter="0"/>
        </w:sectPr>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267"/>
        <w:spacing w:before="78" w:line="222" w:lineRule="auto"/>
        <w:rPr>
          <w:rFonts w:ascii="FangSong" w:hAnsi="FangSong" w:eastAsia="FangSong" w:cs="FangSong"/>
          <w:sz w:val="24"/>
          <w:szCs w:val="24"/>
        </w:rPr>
      </w:pPr>
      <w:bookmarkStart w:name="bookmark521" w:id="113"/>
      <w:bookmarkEnd w:id="113"/>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2.5-16  </w:t>
      </w:r>
      <w:r>
        <w:rPr>
          <w:rFonts w:ascii="FangSong" w:hAnsi="FangSong" w:eastAsia="FangSong" w:cs="FangSong"/>
          <w:sz w:val="24"/>
          <w:szCs w:val="24"/>
          <w:b/>
          <w:bCs/>
          <w:spacing w:val="-2"/>
        </w:rPr>
        <w:t>评价范围内环境功能要求</w:t>
      </w:r>
      <w:r>
        <w:rPr>
          <w:rFonts w:ascii="FangSong" w:hAnsi="FangSong" w:eastAsia="FangSong" w:cs="FangSong"/>
          <w:sz w:val="24"/>
          <w:szCs w:val="24"/>
          <w:b/>
          <w:bCs/>
          <w:spacing w:val="-3"/>
        </w:rPr>
        <w:t>一览表</w:t>
      </w:r>
    </w:p>
    <w:p>
      <w:pPr>
        <w:spacing w:line="144" w:lineRule="exact"/>
        <w:rPr/>
      </w:pPr>
      <w:r/>
    </w:p>
    <w:tbl>
      <w:tblPr>
        <w:tblStyle w:val="TableNormal"/>
        <w:tblW w:w="8908"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80"/>
        <w:gridCol w:w="1359"/>
        <w:gridCol w:w="6769"/>
      </w:tblGrid>
      <w:tr>
        <w:trPr>
          <w:trHeight w:val="323" w:hRule="atLeast"/>
        </w:trPr>
        <w:tc>
          <w:tcPr>
            <w:tcW w:w="780" w:type="dxa"/>
            <w:vAlign w:val="top"/>
            <w:tcBorders>
              <w:left w:val="nil"/>
              <w:top w:val="single" w:color="000000" w:sz="10" w:space="0"/>
            </w:tcBorders>
          </w:tcPr>
          <w:p>
            <w:pPr>
              <w:pStyle w:val="TableText"/>
              <w:ind w:left="194"/>
              <w:spacing w:before="54" w:line="231" w:lineRule="auto"/>
              <w:rPr/>
            </w:pPr>
            <w:r>
              <w:rPr>
                <w:spacing w:val="2"/>
              </w:rPr>
              <w:t>序号</w:t>
            </w:r>
          </w:p>
        </w:tc>
        <w:tc>
          <w:tcPr>
            <w:tcW w:w="1359" w:type="dxa"/>
            <w:vAlign w:val="top"/>
            <w:tcBorders>
              <w:top w:val="single" w:color="000000" w:sz="10" w:space="0"/>
            </w:tcBorders>
          </w:tcPr>
          <w:p>
            <w:pPr>
              <w:pStyle w:val="TableText"/>
              <w:ind w:left="480"/>
              <w:spacing w:before="54" w:line="232" w:lineRule="auto"/>
              <w:rPr/>
            </w:pPr>
            <w:r>
              <w:rPr>
                <w:spacing w:val="1"/>
              </w:rPr>
              <w:t>项目</w:t>
            </w:r>
          </w:p>
        </w:tc>
        <w:tc>
          <w:tcPr>
            <w:tcW w:w="6769" w:type="dxa"/>
            <w:vAlign w:val="top"/>
            <w:tcBorders>
              <w:right w:val="nil"/>
              <w:top w:val="single" w:color="000000" w:sz="10" w:space="0"/>
            </w:tcBorders>
          </w:tcPr>
          <w:p>
            <w:pPr>
              <w:pStyle w:val="TableText"/>
              <w:ind w:left="2556"/>
              <w:spacing w:before="54" w:line="229" w:lineRule="auto"/>
              <w:rPr/>
            </w:pPr>
            <w:r>
              <w:rPr>
                <w:spacing w:val="7"/>
              </w:rPr>
              <w:t>功能区和执行标准</w:t>
            </w:r>
          </w:p>
        </w:tc>
      </w:tr>
      <w:tr>
        <w:trPr>
          <w:trHeight w:val="315" w:hRule="atLeast"/>
        </w:trPr>
        <w:tc>
          <w:tcPr>
            <w:tcW w:w="780" w:type="dxa"/>
            <w:vAlign w:val="top"/>
            <w:tcBorders>
              <w:left w:val="nil"/>
            </w:tcBorders>
          </w:tcPr>
          <w:p>
            <w:pPr>
              <w:ind w:left="361"/>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59" w:type="dxa"/>
            <w:vAlign w:val="top"/>
          </w:tcPr>
          <w:p>
            <w:pPr>
              <w:pStyle w:val="TableText"/>
              <w:ind w:left="163"/>
              <w:spacing w:before="47" w:line="231" w:lineRule="auto"/>
              <w:rPr/>
            </w:pPr>
            <w:r>
              <w:rPr>
                <w:spacing w:val="6"/>
              </w:rPr>
              <w:t>地表水环境</w:t>
            </w:r>
          </w:p>
        </w:tc>
        <w:tc>
          <w:tcPr>
            <w:tcW w:w="6769" w:type="dxa"/>
            <w:vAlign w:val="top"/>
            <w:tcBorders>
              <w:right w:val="nil"/>
            </w:tcBorders>
          </w:tcPr>
          <w:p>
            <w:pPr>
              <w:ind w:left="3350"/>
              <w:spacing w:before="8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15" w:hRule="atLeast"/>
        </w:trPr>
        <w:tc>
          <w:tcPr>
            <w:tcW w:w="780" w:type="dxa"/>
            <w:vAlign w:val="top"/>
            <w:tcBorders>
              <w:left w:val="nil"/>
            </w:tcBorders>
          </w:tcPr>
          <w:p>
            <w:pPr>
              <w:ind w:left="340"/>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59" w:type="dxa"/>
            <w:vAlign w:val="top"/>
          </w:tcPr>
          <w:p>
            <w:pPr>
              <w:pStyle w:val="TableText"/>
              <w:ind w:left="271"/>
              <w:spacing w:before="51" w:line="231" w:lineRule="auto"/>
              <w:rPr/>
            </w:pPr>
            <w:r>
              <w:rPr>
                <w:spacing w:val="5"/>
              </w:rPr>
              <w:t>大气环境</w:t>
            </w:r>
          </w:p>
        </w:tc>
        <w:tc>
          <w:tcPr>
            <w:tcW w:w="6769" w:type="dxa"/>
            <w:vAlign w:val="top"/>
            <w:tcBorders>
              <w:right w:val="nil"/>
            </w:tcBorders>
          </w:tcPr>
          <w:p>
            <w:pPr>
              <w:pStyle w:val="TableText"/>
              <w:ind w:left="1006"/>
              <w:spacing w:before="51" w:line="231" w:lineRule="auto"/>
              <w:rPr/>
            </w:pPr>
            <w:r>
              <w:rPr>
                <w:spacing w:val="6"/>
              </w:rPr>
              <w:t>《环境空气质量标准》（</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6"/>
              </w:rPr>
              <w:t>）</w:t>
            </w:r>
            <w:r>
              <w:rPr>
                <w:spacing w:val="-46"/>
              </w:rPr>
              <w:t xml:space="preserve"> </w:t>
            </w:r>
            <w:r>
              <w:rPr>
                <w:spacing w:val="6"/>
              </w:rPr>
              <w:t>中二级标准</w:t>
            </w:r>
          </w:p>
        </w:tc>
      </w:tr>
      <w:tr>
        <w:trPr>
          <w:trHeight w:val="315" w:hRule="atLeast"/>
        </w:trPr>
        <w:tc>
          <w:tcPr>
            <w:tcW w:w="780" w:type="dxa"/>
            <w:vAlign w:val="top"/>
            <w:tcBorders>
              <w:left w:val="nil"/>
            </w:tcBorders>
          </w:tcPr>
          <w:p>
            <w:pPr>
              <w:ind w:left="34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9" w:type="dxa"/>
            <w:vAlign w:val="top"/>
          </w:tcPr>
          <w:p>
            <w:pPr>
              <w:pStyle w:val="TableText"/>
              <w:ind w:left="373"/>
              <w:spacing w:before="52" w:line="231" w:lineRule="auto"/>
              <w:rPr/>
            </w:pPr>
            <w:r>
              <w:rPr>
                <w:spacing w:val="5"/>
              </w:rPr>
              <w:t>声环境</w:t>
            </w:r>
          </w:p>
        </w:tc>
        <w:tc>
          <w:tcPr>
            <w:tcW w:w="6769" w:type="dxa"/>
            <w:vAlign w:val="top"/>
            <w:tcBorders>
              <w:right w:val="nil"/>
            </w:tcBorders>
          </w:tcPr>
          <w:p>
            <w:pPr>
              <w:pStyle w:val="TableText"/>
              <w:ind w:left="1112"/>
              <w:spacing w:before="52" w:line="231" w:lineRule="auto"/>
              <w:rPr/>
            </w:pPr>
            <w:r>
              <w:rPr>
                <w:spacing w:val="5"/>
              </w:rPr>
              <w:t>《声环境质量标准》（</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4"/>
              </w:rPr>
              <w:t>）</w:t>
            </w:r>
            <w:r>
              <w:rPr>
                <w:spacing w:val="-52"/>
              </w:rPr>
              <w:t xml:space="preserve"> </w:t>
            </w:r>
            <w:r>
              <w:rPr>
                <w:spacing w:val="4"/>
              </w:rPr>
              <w:t>中</w:t>
            </w:r>
            <w:r>
              <w:rPr>
                <w:spacing w:val="-36"/>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0"/>
              </w:rPr>
              <w:t xml:space="preserve"> </w:t>
            </w:r>
            <w:r>
              <w:rPr>
                <w:spacing w:val="4"/>
              </w:rPr>
              <w:t>类标准</w:t>
            </w:r>
          </w:p>
        </w:tc>
      </w:tr>
      <w:tr>
        <w:trPr>
          <w:trHeight w:val="315" w:hRule="atLeast"/>
        </w:trPr>
        <w:tc>
          <w:tcPr>
            <w:tcW w:w="780" w:type="dxa"/>
            <w:vAlign w:val="top"/>
            <w:tcBorders>
              <w:left w:val="nil"/>
            </w:tcBorders>
          </w:tcPr>
          <w:p>
            <w:pPr>
              <w:ind w:left="33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359" w:type="dxa"/>
            <w:vAlign w:val="top"/>
          </w:tcPr>
          <w:p>
            <w:pPr>
              <w:pStyle w:val="TableText"/>
              <w:ind w:left="163"/>
              <w:spacing w:before="54" w:line="231" w:lineRule="auto"/>
              <w:rPr/>
            </w:pPr>
            <w:r>
              <w:rPr>
                <w:spacing w:val="6"/>
              </w:rPr>
              <w:t>地下水环境</w:t>
            </w:r>
          </w:p>
        </w:tc>
        <w:tc>
          <w:tcPr>
            <w:tcW w:w="6769" w:type="dxa"/>
            <w:vAlign w:val="top"/>
            <w:tcBorders>
              <w:right w:val="nil"/>
            </w:tcBorders>
          </w:tcPr>
          <w:p>
            <w:pPr>
              <w:pStyle w:val="TableText"/>
              <w:ind w:left="913"/>
              <w:spacing w:before="54" w:line="231" w:lineRule="auto"/>
              <w:rPr/>
            </w:pPr>
            <w:r>
              <w:rPr>
                <w:spacing w:val="5"/>
              </w:rPr>
              <w:t>《地下水质量标准》（</w:t>
            </w:r>
            <w:r>
              <w:rPr>
                <w:rFonts w:ascii="Times New Roman" w:hAnsi="Times New Roman" w:eastAsia="Times New Roman" w:cs="Times New Roman"/>
              </w:rPr>
              <w:t>GB</w:t>
            </w:r>
            <w:r>
              <w:rPr>
                <w:rFonts w:ascii="Times New Roman" w:hAnsi="Times New Roman" w:eastAsia="Times New Roman" w:cs="Times New Roman"/>
                <w:spacing w:val="5"/>
              </w:rPr>
              <w:t>/T14848-2017</w:t>
            </w:r>
            <w:r>
              <w:rPr>
                <w:spacing w:val="5"/>
              </w:rPr>
              <w:t>）</w:t>
            </w:r>
            <w:r>
              <w:rPr>
                <w:spacing w:val="-43"/>
              </w:rPr>
              <w:t xml:space="preserve"> </w:t>
            </w:r>
            <w:r>
              <w:rPr>
                <w:spacing w:val="5"/>
              </w:rPr>
              <w:t>中</w:t>
            </w:r>
            <w:r>
              <w:rPr>
                <w:spacing w:val="-42"/>
              </w:rPr>
              <w:t xml:space="preserve"> </w:t>
            </w:r>
            <w:r>
              <w:rPr>
                <w:rFonts w:ascii="Times New Roman" w:hAnsi="Times New Roman" w:eastAsia="Times New Roman" w:cs="Times New Roman"/>
              </w:rPr>
              <w:t>III</w:t>
            </w:r>
            <w:r>
              <w:rPr>
                <w:rFonts w:ascii="Times New Roman" w:hAnsi="Times New Roman" w:eastAsia="Times New Roman" w:cs="Times New Roman"/>
                <w:spacing w:val="22"/>
              </w:rPr>
              <w:t xml:space="preserve"> </w:t>
            </w:r>
            <w:r>
              <w:rPr>
                <w:spacing w:val="5"/>
              </w:rPr>
              <w:t>类标准</w:t>
            </w:r>
          </w:p>
        </w:tc>
      </w:tr>
      <w:tr>
        <w:trPr>
          <w:trHeight w:val="315" w:hRule="atLeast"/>
        </w:trPr>
        <w:tc>
          <w:tcPr>
            <w:tcW w:w="780" w:type="dxa"/>
            <w:vAlign w:val="top"/>
            <w:tcBorders>
              <w:left w:val="nil"/>
            </w:tcBorders>
          </w:tcPr>
          <w:p>
            <w:pPr>
              <w:ind w:left="346"/>
              <w:spacing w:before="9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9" w:type="dxa"/>
            <w:vAlign w:val="top"/>
          </w:tcPr>
          <w:p>
            <w:pPr>
              <w:pStyle w:val="TableText"/>
              <w:ind w:left="280"/>
              <w:spacing w:before="55" w:line="230" w:lineRule="auto"/>
              <w:rPr/>
            </w:pPr>
            <w:r>
              <w:rPr>
                <w:spacing w:val="2"/>
              </w:rPr>
              <w:t>生态环境</w:t>
            </w:r>
          </w:p>
        </w:tc>
        <w:tc>
          <w:tcPr>
            <w:tcW w:w="6769" w:type="dxa"/>
            <w:vAlign w:val="top"/>
            <w:tcBorders>
              <w:right w:val="nil"/>
            </w:tcBorders>
          </w:tcPr>
          <w:p>
            <w:pPr>
              <w:ind w:left="3350"/>
              <w:spacing w:before="9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548" w:hRule="atLeast"/>
        </w:trPr>
        <w:tc>
          <w:tcPr>
            <w:tcW w:w="780" w:type="dxa"/>
            <w:vAlign w:val="top"/>
            <w:tcBorders>
              <w:left w:val="nil"/>
            </w:tcBorders>
          </w:tcPr>
          <w:p>
            <w:pPr>
              <w:ind w:left="345"/>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59" w:type="dxa"/>
            <w:vAlign w:val="top"/>
          </w:tcPr>
          <w:p>
            <w:pPr>
              <w:pStyle w:val="TableText"/>
              <w:ind w:left="271"/>
              <w:spacing w:before="174" w:line="231" w:lineRule="auto"/>
              <w:rPr/>
            </w:pPr>
            <w:r>
              <w:rPr>
                <w:spacing w:val="5"/>
              </w:rPr>
              <w:t>土壤环境</w:t>
            </w:r>
          </w:p>
        </w:tc>
        <w:tc>
          <w:tcPr>
            <w:tcW w:w="6769" w:type="dxa"/>
            <w:vAlign w:val="top"/>
            <w:tcBorders>
              <w:right w:val="nil"/>
            </w:tcBorders>
          </w:tcPr>
          <w:p>
            <w:pPr>
              <w:pStyle w:val="TableText"/>
              <w:ind w:left="121" w:right="121" w:firstLine="415"/>
              <w:spacing w:before="39" w:line="230" w:lineRule="auto"/>
              <w:rPr/>
            </w:pPr>
            <w:r>
              <w:rPr>
                <w:spacing w:val="-3"/>
              </w:rPr>
              <w:t>《</w:t>
            </w:r>
            <w:r>
              <w:rPr>
                <w:spacing w:val="-27"/>
              </w:rPr>
              <w:t xml:space="preserve"> </w:t>
            </w:r>
            <w:r>
              <w:rPr>
                <w:spacing w:val="-3"/>
              </w:rPr>
              <w:t>土</w:t>
            </w:r>
            <w:r>
              <w:rPr>
                <w:spacing w:val="-53"/>
              </w:rPr>
              <w:t xml:space="preserve"> </w:t>
            </w:r>
            <w:r>
              <w:rPr>
                <w:spacing w:val="-3"/>
              </w:rPr>
              <w:t>壤</w:t>
            </w:r>
            <w:r>
              <w:rPr>
                <w:spacing w:val="-55"/>
              </w:rPr>
              <w:t xml:space="preserve"> </w:t>
            </w:r>
            <w:r>
              <w:rPr>
                <w:spacing w:val="-3"/>
              </w:rPr>
              <w:t>环</w:t>
            </w:r>
            <w:r>
              <w:rPr>
                <w:spacing w:val="-51"/>
              </w:rPr>
              <w:t xml:space="preserve"> </w:t>
            </w:r>
            <w:r>
              <w:rPr>
                <w:spacing w:val="-3"/>
              </w:rPr>
              <w:t>境</w:t>
            </w:r>
            <w:r>
              <w:rPr>
                <w:spacing w:val="-50"/>
              </w:rPr>
              <w:t xml:space="preserve"> </w:t>
            </w:r>
            <w:r>
              <w:rPr>
                <w:spacing w:val="-3"/>
              </w:rPr>
              <w:t>质</w:t>
            </w:r>
            <w:r>
              <w:rPr>
                <w:spacing w:val="-49"/>
              </w:rPr>
              <w:t xml:space="preserve"> </w:t>
            </w:r>
            <w:r>
              <w:rPr>
                <w:spacing w:val="-3"/>
              </w:rPr>
              <w:t>量</w:t>
            </w:r>
            <w:r>
              <w:rPr>
                <w:spacing w:val="82"/>
              </w:rPr>
              <w:t xml:space="preserve"> </w:t>
            </w:r>
            <w:r>
              <w:rPr>
                <w:spacing w:val="-3"/>
              </w:rPr>
              <w:t>农</w:t>
            </w:r>
            <w:r>
              <w:rPr>
                <w:spacing w:val="-55"/>
              </w:rPr>
              <w:t xml:space="preserve"> </w:t>
            </w:r>
            <w:r>
              <w:rPr>
                <w:spacing w:val="-3"/>
              </w:rPr>
              <w:t>用地</w:t>
            </w:r>
            <w:r>
              <w:rPr>
                <w:spacing w:val="-53"/>
              </w:rPr>
              <w:t xml:space="preserve"> </w:t>
            </w:r>
            <w:r>
              <w:rPr>
                <w:spacing w:val="-3"/>
              </w:rPr>
              <w:t>土</w:t>
            </w:r>
            <w:r>
              <w:rPr>
                <w:spacing w:val="-53"/>
              </w:rPr>
              <w:t xml:space="preserve"> </w:t>
            </w:r>
            <w:r>
              <w:rPr>
                <w:spacing w:val="-3"/>
              </w:rPr>
              <w:t>壤</w:t>
            </w:r>
            <w:r>
              <w:rPr>
                <w:spacing w:val="-51"/>
              </w:rPr>
              <w:t xml:space="preserve"> </w:t>
            </w:r>
            <w:r>
              <w:rPr>
                <w:spacing w:val="-3"/>
              </w:rPr>
              <w:t>污</w:t>
            </w:r>
            <w:r>
              <w:rPr>
                <w:spacing w:val="-51"/>
              </w:rPr>
              <w:t xml:space="preserve"> </w:t>
            </w:r>
            <w:r>
              <w:rPr>
                <w:spacing w:val="-3"/>
              </w:rPr>
              <w:t>染</w:t>
            </w:r>
            <w:r>
              <w:rPr>
                <w:spacing w:val="-53"/>
              </w:rPr>
              <w:t xml:space="preserve"> </w:t>
            </w:r>
            <w:r>
              <w:rPr>
                <w:spacing w:val="-3"/>
              </w:rPr>
              <w:t>风</w:t>
            </w:r>
            <w:r>
              <w:rPr>
                <w:spacing w:val="-43"/>
              </w:rPr>
              <w:t xml:space="preserve"> </w:t>
            </w:r>
            <w:r>
              <w:rPr>
                <w:spacing w:val="-3"/>
              </w:rPr>
              <w:t>险</w:t>
            </w:r>
            <w:r>
              <w:rPr>
                <w:spacing w:val="-44"/>
              </w:rPr>
              <w:t xml:space="preserve"> </w:t>
            </w:r>
            <w:r>
              <w:rPr>
                <w:spacing w:val="-3"/>
              </w:rPr>
              <w:t>管</w:t>
            </w:r>
            <w:r>
              <w:rPr>
                <w:spacing w:val="-52"/>
              </w:rPr>
              <w:t xml:space="preserve"> </w:t>
            </w:r>
            <w:r>
              <w:rPr>
                <w:spacing w:val="-3"/>
              </w:rPr>
              <w:t>控</w:t>
            </w:r>
            <w:r>
              <w:rPr>
                <w:spacing w:val="-56"/>
              </w:rPr>
              <w:t xml:space="preserve"> </w:t>
            </w:r>
            <w:r>
              <w:rPr>
                <w:spacing w:val="-3"/>
              </w:rPr>
              <w:t>标</w:t>
            </w:r>
            <w:r>
              <w:rPr>
                <w:spacing w:val="-50"/>
              </w:rPr>
              <w:t xml:space="preserve"> </w:t>
            </w:r>
            <w:r>
              <w:rPr>
                <w:spacing w:val="-3"/>
              </w:rPr>
              <w:t>准（试</w:t>
            </w:r>
            <w:r>
              <w:rPr>
                <w:spacing w:val="-54"/>
              </w:rPr>
              <w:t xml:space="preserve"> </w:t>
            </w:r>
            <w:r>
              <w:rPr>
                <w:spacing w:val="-3"/>
              </w:rPr>
              <w:t>行）</w:t>
            </w:r>
            <w:r>
              <w:rPr>
                <w:spacing w:val="-3"/>
              </w:rPr>
              <w:t xml:space="preserve"> </w:t>
            </w:r>
            <w:r>
              <w:rPr>
                <w:spacing w:val="-3"/>
              </w:rPr>
              <w:t>》</w:t>
            </w:r>
            <w:r>
              <w:rPr/>
              <w:t xml:space="preserve"> </w:t>
            </w: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15618-2018</w:t>
            </w:r>
            <w:r>
              <w:rPr>
                <w:spacing w:val="3"/>
              </w:rPr>
              <w:t>）</w:t>
            </w:r>
            <w:r>
              <w:rPr>
                <w:spacing w:val="-41"/>
              </w:rPr>
              <w:t xml:space="preserve"> </w:t>
            </w:r>
            <w:r>
              <w:rPr>
                <w:spacing w:val="3"/>
              </w:rPr>
              <w:t>中其它用地</w:t>
            </w:r>
          </w:p>
        </w:tc>
      </w:tr>
      <w:tr>
        <w:trPr>
          <w:trHeight w:val="547" w:hRule="atLeast"/>
        </w:trPr>
        <w:tc>
          <w:tcPr>
            <w:tcW w:w="780" w:type="dxa"/>
            <w:vAlign w:val="top"/>
            <w:tcBorders>
              <w:left w:val="nil"/>
            </w:tcBorders>
          </w:tcPr>
          <w:p>
            <w:pPr>
              <w:ind w:left="344"/>
              <w:spacing w:before="21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59" w:type="dxa"/>
            <w:vAlign w:val="top"/>
          </w:tcPr>
          <w:p>
            <w:pPr>
              <w:pStyle w:val="TableText"/>
              <w:ind w:left="274" w:right="150" w:hanging="111"/>
              <w:spacing w:before="40" w:line="229" w:lineRule="auto"/>
              <w:rPr/>
            </w:pPr>
            <w:r>
              <w:rPr>
                <w:spacing w:val="6"/>
              </w:rPr>
              <w:t>是否生态红</w:t>
            </w:r>
            <w:r>
              <w:rPr>
                <w:spacing w:val="4"/>
              </w:rPr>
              <w:t>线范围内</w:t>
            </w:r>
          </w:p>
        </w:tc>
        <w:tc>
          <w:tcPr>
            <w:tcW w:w="6769" w:type="dxa"/>
            <w:vAlign w:val="top"/>
            <w:tcBorders>
              <w:right w:val="nil"/>
            </w:tcBorders>
          </w:tcPr>
          <w:p>
            <w:pPr>
              <w:pStyle w:val="TableText"/>
              <w:ind w:left="3294"/>
              <w:spacing w:before="175" w:line="233" w:lineRule="auto"/>
              <w:rPr/>
            </w:pPr>
            <w:r>
              <w:rPr/>
              <w:t>否</w:t>
            </w:r>
          </w:p>
        </w:tc>
      </w:tr>
      <w:tr>
        <w:trPr>
          <w:trHeight w:val="548" w:hRule="atLeast"/>
        </w:trPr>
        <w:tc>
          <w:tcPr>
            <w:tcW w:w="780" w:type="dxa"/>
            <w:vAlign w:val="top"/>
            <w:tcBorders>
              <w:left w:val="nil"/>
            </w:tcBorders>
          </w:tcPr>
          <w:p>
            <w:pPr>
              <w:ind w:left="349"/>
              <w:spacing w:before="2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59" w:type="dxa"/>
            <w:vAlign w:val="top"/>
          </w:tcPr>
          <w:p>
            <w:pPr>
              <w:pStyle w:val="TableText"/>
              <w:ind w:left="271" w:right="150" w:hanging="108"/>
              <w:spacing w:before="44" w:line="228" w:lineRule="auto"/>
              <w:rPr/>
            </w:pPr>
            <w:r>
              <w:rPr>
                <w:spacing w:val="6"/>
              </w:rPr>
              <w:t>是否饮用水</w:t>
            </w:r>
            <w:r>
              <w:rPr>
                <w:spacing w:val="4"/>
              </w:rPr>
              <w:t>源保护区</w:t>
            </w:r>
          </w:p>
        </w:tc>
        <w:tc>
          <w:tcPr>
            <w:tcW w:w="6769" w:type="dxa"/>
            <w:vAlign w:val="top"/>
            <w:tcBorders>
              <w:right w:val="nil"/>
            </w:tcBorders>
          </w:tcPr>
          <w:p>
            <w:pPr>
              <w:pStyle w:val="TableText"/>
              <w:ind w:left="3294"/>
              <w:spacing w:before="180" w:line="233" w:lineRule="auto"/>
              <w:rPr/>
            </w:pPr>
            <w:r>
              <w:rPr/>
              <w:t>否</w:t>
            </w:r>
          </w:p>
        </w:tc>
      </w:tr>
      <w:tr>
        <w:trPr>
          <w:trHeight w:val="548" w:hRule="atLeast"/>
        </w:trPr>
        <w:tc>
          <w:tcPr>
            <w:tcW w:w="780" w:type="dxa"/>
            <w:vAlign w:val="top"/>
            <w:tcBorders>
              <w:left w:val="nil"/>
            </w:tcBorders>
          </w:tcPr>
          <w:p>
            <w:pPr>
              <w:ind w:left="344"/>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59" w:type="dxa"/>
            <w:vAlign w:val="top"/>
          </w:tcPr>
          <w:p>
            <w:pPr>
              <w:pStyle w:val="TableText"/>
              <w:ind w:left="297" w:right="150" w:hanging="134"/>
              <w:spacing w:before="44" w:line="228" w:lineRule="auto"/>
              <w:rPr/>
            </w:pPr>
            <w:r>
              <w:rPr>
                <w:spacing w:val="6"/>
              </w:rPr>
              <w:t>是否基本农</w:t>
            </w:r>
            <w:r>
              <w:rPr>
                <w:spacing w:val="-2"/>
              </w:rPr>
              <w:t>田保护区</w:t>
            </w:r>
          </w:p>
        </w:tc>
        <w:tc>
          <w:tcPr>
            <w:tcW w:w="6769" w:type="dxa"/>
            <w:vAlign w:val="top"/>
            <w:tcBorders>
              <w:right w:val="nil"/>
            </w:tcBorders>
          </w:tcPr>
          <w:p>
            <w:pPr>
              <w:pStyle w:val="TableText"/>
              <w:ind w:left="3294"/>
              <w:spacing w:before="179" w:line="233" w:lineRule="auto"/>
              <w:rPr/>
            </w:pPr>
            <w:r>
              <w:rPr/>
              <w:t>否</w:t>
            </w:r>
          </w:p>
        </w:tc>
      </w:tr>
      <w:tr>
        <w:trPr>
          <w:trHeight w:val="547" w:hRule="atLeast"/>
        </w:trPr>
        <w:tc>
          <w:tcPr>
            <w:tcW w:w="780" w:type="dxa"/>
            <w:vAlign w:val="top"/>
            <w:tcBorders>
              <w:left w:val="nil"/>
            </w:tcBorders>
          </w:tcPr>
          <w:p>
            <w:pPr>
              <w:ind w:left="308"/>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359" w:type="dxa"/>
            <w:vAlign w:val="top"/>
          </w:tcPr>
          <w:p>
            <w:pPr>
              <w:pStyle w:val="TableText"/>
              <w:ind w:left="268" w:right="150" w:hanging="105"/>
              <w:spacing w:before="49" w:line="225" w:lineRule="auto"/>
              <w:rPr/>
            </w:pPr>
            <w:r>
              <w:rPr>
                <w:spacing w:val="6"/>
              </w:rPr>
              <w:t>是否风景名</w:t>
            </w:r>
            <w:r>
              <w:rPr>
                <w:spacing w:val="5"/>
              </w:rPr>
              <w:t>胜保护区</w:t>
            </w:r>
          </w:p>
        </w:tc>
        <w:tc>
          <w:tcPr>
            <w:tcW w:w="6769" w:type="dxa"/>
            <w:vAlign w:val="top"/>
            <w:tcBorders>
              <w:right w:val="nil"/>
            </w:tcBorders>
          </w:tcPr>
          <w:p>
            <w:pPr>
              <w:pStyle w:val="TableText"/>
              <w:ind w:left="3294"/>
              <w:spacing w:before="182" w:line="233" w:lineRule="auto"/>
              <w:rPr/>
            </w:pPr>
            <w:r>
              <w:rPr/>
              <w:t>否</w:t>
            </w:r>
          </w:p>
        </w:tc>
      </w:tr>
      <w:tr>
        <w:trPr>
          <w:trHeight w:val="548" w:hRule="atLeast"/>
        </w:trPr>
        <w:tc>
          <w:tcPr>
            <w:tcW w:w="780" w:type="dxa"/>
            <w:vAlign w:val="top"/>
            <w:tcBorders>
              <w:left w:val="nil"/>
            </w:tcBorders>
          </w:tcPr>
          <w:p>
            <w:pPr>
              <w:ind w:left="313"/>
              <w:spacing w:before="2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359" w:type="dxa"/>
            <w:vAlign w:val="top"/>
          </w:tcPr>
          <w:p>
            <w:pPr>
              <w:pStyle w:val="TableText"/>
              <w:ind w:left="478" w:right="150" w:hanging="315"/>
              <w:spacing w:before="50" w:line="225" w:lineRule="auto"/>
              <w:rPr/>
            </w:pPr>
            <w:r>
              <w:rPr>
                <w:spacing w:val="6"/>
              </w:rPr>
              <w:t>是否自然保</w:t>
            </w:r>
            <w:r>
              <w:rPr>
                <w:spacing w:val="2"/>
              </w:rPr>
              <w:t>护区</w:t>
            </w:r>
          </w:p>
        </w:tc>
        <w:tc>
          <w:tcPr>
            <w:tcW w:w="6769" w:type="dxa"/>
            <w:vAlign w:val="top"/>
            <w:tcBorders>
              <w:right w:val="nil"/>
            </w:tcBorders>
          </w:tcPr>
          <w:p>
            <w:pPr>
              <w:pStyle w:val="TableText"/>
              <w:ind w:left="3294"/>
              <w:spacing w:before="185" w:line="233" w:lineRule="auto"/>
              <w:rPr/>
            </w:pPr>
            <w:r>
              <w:rPr/>
              <w:t>否</w:t>
            </w:r>
          </w:p>
        </w:tc>
      </w:tr>
      <w:tr>
        <w:trPr>
          <w:trHeight w:val="569" w:hRule="atLeast"/>
        </w:trPr>
        <w:tc>
          <w:tcPr>
            <w:tcW w:w="780" w:type="dxa"/>
            <w:vAlign w:val="top"/>
            <w:tcBorders>
              <w:left w:val="nil"/>
              <w:bottom w:val="single" w:color="000000" w:sz="10" w:space="0"/>
            </w:tcBorders>
          </w:tcPr>
          <w:p>
            <w:pPr>
              <w:ind w:left="308"/>
              <w:spacing w:before="2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359" w:type="dxa"/>
            <w:vAlign w:val="top"/>
            <w:tcBorders>
              <w:bottom w:val="single" w:color="000000" w:sz="10" w:space="0"/>
            </w:tcBorders>
          </w:tcPr>
          <w:p>
            <w:pPr>
              <w:pStyle w:val="TableText"/>
              <w:ind w:left="602" w:right="150" w:hanging="439"/>
              <w:spacing w:before="52" w:line="234" w:lineRule="auto"/>
              <w:rPr/>
            </w:pPr>
            <w:r>
              <w:rPr>
                <w:spacing w:val="6"/>
              </w:rPr>
              <w:t>是否湿地公</w:t>
            </w:r>
            <w:r>
              <w:rPr/>
              <w:t>园</w:t>
            </w:r>
          </w:p>
        </w:tc>
        <w:tc>
          <w:tcPr>
            <w:tcW w:w="6769" w:type="dxa"/>
            <w:vAlign w:val="top"/>
            <w:tcBorders>
              <w:right w:val="nil"/>
              <w:bottom w:val="single" w:color="000000" w:sz="10" w:space="0"/>
            </w:tcBorders>
          </w:tcPr>
          <w:p>
            <w:pPr>
              <w:pStyle w:val="TableText"/>
              <w:ind w:left="3294"/>
              <w:spacing w:before="186" w:line="233" w:lineRule="auto"/>
              <w:rPr/>
            </w:pPr>
            <w:r>
              <w:rPr/>
              <w:t>否</w:t>
            </w:r>
          </w:p>
        </w:tc>
      </w:tr>
    </w:tbl>
    <w:p>
      <w:pPr>
        <w:pStyle w:val="BodyText"/>
        <w:spacing w:line="362" w:lineRule="auto"/>
        <w:rPr/>
      </w:pPr>
      <w:r/>
    </w:p>
    <w:p>
      <w:pPr>
        <w:ind w:left="115"/>
        <w:spacing w:before="91" w:line="223" w:lineRule="auto"/>
        <w:outlineLvl w:val="1"/>
        <w:rPr>
          <w:rFonts w:ascii="FangSong" w:hAnsi="FangSong" w:eastAsia="FangSong" w:cs="FangSong"/>
          <w:sz w:val="28"/>
          <w:szCs w:val="28"/>
        </w:rPr>
      </w:pPr>
      <w:bookmarkStart w:name="bookmark83" w:id="114"/>
      <w:bookmarkEnd w:id="114"/>
      <w:bookmarkStart w:name="bookmark85" w:id="115"/>
      <w:bookmarkEnd w:id="115"/>
      <w:bookmarkStart w:name="bookmark82" w:id="116"/>
      <w:bookmarkEnd w:id="116"/>
      <w:bookmarkStart w:name="bookmark84" w:id="117"/>
      <w:bookmarkEnd w:id="117"/>
      <w:r>
        <w:rPr>
          <w:rFonts w:ascii="Times New Roman" w:hAnsi="Times New Roman" w:eastAsia="Times New Roman" w:cs="Times New Roman"/>
          <w:sz w:val="28"/>
          <w:szCs w:val="28"/>
          <w:b/>
          <w:bCs/>
          <w:spacing w:val="-5"/>
        </w:rPr>
        <w:t>2.6</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评价标准</w:t>
      </w:r>
    </w:p>
    <w:p>
      <w:pPr>
        <w:ind w:left="114"/>
        <w:spacing w:before="200" w:line="221" w:lineRule="auto"/>
        <w:outlineLvl w:val="2"/>
        <w:rPr>
          <w:rFonts w:ascii="FangSong" w:hAnsi="FangSong" w:eastAsia="FangSong" w:cs="FangSong"/>
          <w:sz w:val="24"/>
          <w:szCs w:val="24"/>
        </w:rPr>
      </w:pPr>
      <w:bookmarkStart w:name="bookmark522" w:id="118"/>
      <w:bookmarkEnd w:id="118"/>
      <w:r>
        <w:rPr>
          <w:rFonts w:ascii="Times New Roman" w:hAnsi="Times New Roman" w:eastAsia="Times New Roman" w:cs="Times New Roman"/>
          <w:sz w:val="24"/>
          <w:szCs w:val="24"/>
          <w:b/>
          <w:bCs/>
          <w:spacing w:val="-2"/>
        </w:rPr>
        <w:t>2.6.1  </w:t>
      </w:r>
      <w:r>
        <w:rPr>
          <w:rFonts w:ascii="FangSong" w:hAnsi="FangSong" w:eastAsia="FangSong" w:cs="FangSong"/>
          <w:sz w:val="24"/>
          <w:szCs w:val="24"/>
          <w:b/>
          <w:bCs/>
          <w:spacing w:val="-2"/>
        </w:rPr>
        <w:t>环境质量执行标准</w:t>
      </w:r>
    </w:p>
    <w:p>
      <w:pPr>
        <w:ind w:left="114"/>
        <w:spacing w:before="1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2.6.1.1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环境空气</w:t>
      </w:r>
    </w:p>
    <w:p>
      <w:pPr>
        <w:ind w:left="117" w:right="31" w:firstLine="488"/>
        <w:spacing w:before="178" w:line="359" w:lineRule="auto"/>
        <w:jc w:val="both"/>
        <w:rPr>
          <w:rFonts w:ascii="FangSong" w:hAnsi="FangSong" w:eastAsia="FangSong" w:cs="FangSong"/>
          <w:sz w:val="24"/>
          <w:szCs w:val="24"/>
        </w:rPr>
      </w:pPr>
      <w:r>
        <w:rPr>
          <w:rFonts w:ascii="FangSong" w:hAnsi="FangSong" w:eastAsia="FangSong" w:cs="FangSong"/>
          <w:sz w:val="24"/>
          <w:szCs w:val="24"/>
          <w:spacing w:val="-3"/>
        </w:rPr>
        <w:t>根据区域大气环境功能区分类，环境空气中的污染物</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3"/>
        </w:rPr>
        <w:t>SO</w:t>
      </w:r>
      <w:r>
        <w:rPr>
          <w:rFonts w:ascii="Times New Roman" w:hAnsi="Times New Roman" w:eastAsia="Times New Roman" w:cs="Times New Roman"/>
          <w:sz w:val="15"/>
          <w:szCs w:val="15"/>
          <w:spacing w:val="-3"/>
          <w:position w:val="-1"/>
        </w:rPr>
        <w:t>2</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2</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10</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2.5</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CO</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O</w:t>
      </w:r>
      <w:r>
        <w:rPr>
          <w:rFonts w:ascii="Times New Roman" w:hAnsi="Times New Roman" w:eastAsia="Times New Roman" w:cs="Times New Roman"/>
          <w:sz w:val="15"/>
          <w:szCs w:val="15"/>
          <w:spacing w:val="-3"/>
          <w:position w:val="-1"/>
        </w:rPr>
        <w:t>3</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TSP</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x </w:t>
      </w:r>
      <w:r>
        <w:rPr>
          <w:rFonts w:ascii="FangSong" w:hAnsi="FangSong" w:eastAsia="FangSong" w:cs="FangSong"/>
          <w:sz w:val="24"/>
          <w:szCs w:val="24"/>
          <w:spacing w:val="-3"/>
        </w:rPr>
        <w:t>、氟化物执行《环境空气质量标准》（</w:t>
      </w:r>
      <w:r>
        <w:rPr>
          <w:rFonts w:ascii="Times New Roman" w:hAnsi="Times New Roman" w:eastAsia="Times New Roman" w:cs="Times New Roman"/>
          <w:sz w:val="24"/>
          <w:szCs w:val="24"/>
          <w:spacing w:val="-3"/>
        </w:rPr>
        <w:t>GB3095-2012</w:t>
      </w:r>
      <w:r>
        <w:rPr>
          <w:rFonts w:ascii="FangSong" w:hAnsi="FangSong" w:eastAsia="FangSong" w:cs="FangSong"/>
          <w:sz w:val="24"/>
          <w:szCs w:val="24"/>
          <w:spacing w:val="-3"/>
        </w:rPr>
        <w:t>）中二</w:t>
      </w:r>
      <w:r>
        <w:rPr>
          <w:rFonts w:ascii="FangSong" w:hAnsi="FangSong" w:eastAsia="FangSong" w:cs="FangSong"/>
          <w:sz w:val="24"/>
          <w:szCs w:val="24"/>
          <w:spacing w:val="-4"/>
        </w:rPr>
        <w:t>级标</w:t>
      </w:r>
      <w:r>
        <w:rPr>
          <w:rFonts w:ascii="FangSong" w:hAnsi="FangSong" w:eastAsia="FangSong" w:cs="FangSong"/>
          <w:sz w:val="24"/>
          <w:szCs w:val="24"/>
          <w:spacing w:val="-2"/>
        </w:rPr>
        <w:t>准。详见表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2.6-1</w:t>
      </w:r>
      <w:r>
        <w:rPr>
          <w:rFonts w:ascii="FangSong" w:hAnsi="FangSong" w:eastAsia="FangSong" w:cs="FangSong"/>
          <w:sz w:val="24"/>
          <w:szCs w:val="24"/>
          <w:spacing w:val="-2"/>
        </w:rPr>
        <w:t>。</w:t>
      </w:r>
    </w:p>
    <w:p>
      <w:pPr>
        <w:ind w:left="3049"/>
        <w:spacing w:before="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2.6-1  </w:t>
      </w:r>
      <w:r>
        <w:rPr>
          <w:rFonts w:ascii="FangSong" w:hAnsi="FangSong" w:eastAsia="FangSong" w:cs="FangSong"/>
          <w:sz w:val="24"/>
          <w:szCs w:val="24"/>
          <w:b/>
          <w:bCs/>
          <w:spacing w:val="-3"/>
        </w:rPr>
        <w:t>环境空气质量标准</w:t>
      </w:r>
    </w:p>
    <w:p>
      <w:pPr>
        <w:spacing w:line="144" w:lineRule="exact"/>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2"/>
        <w:gridCol w:w="3426"/>
        <w:gridCol w:w="1592"/>
        <w:gridCol w:w="2400"/>
      </w:tblGrid>
      <w:tr>
        <w:trPr>
          <w:trHeight w:val="279" w:hRule="atLeast"/>
        </w:trPr>
        <w:tc>
          <w:tcPr>
            <w:tcW w:w="1492" w:type="dxa"/>
            <w:vAlign w:val="top"/>
            <w:tcBorders>
              <w:left w:val="nil"/>
              <w:top w:val="single" w:color="000000" w:sz="10" w:space="0"/>
            </w:tcBorders>
          </w:tcPr>
          <w:p>
            <w:pPr>
              <w:pStyle w:val="TableText"/>
              <w:ind w:left="449"/>
              <w:spacing w:before="36" w:line="215" w:lineRule="auto"/>
              <w:rPr/>
            </w:pPr>
            <w:r>
              <w:rPr>
                <w:spacing w:val="3"/>
              </w:rPr>
              <w:t>污染物</w:t>
            </w:r>
          </w:p>
        </w:tc>
        <w:tc>
          <w:tcPr>
            <w:tcW w:w="3426" w:type="dxa"/>
            <w:vAlign w:val="top"/>
            <w:tcBorders>
              <w:top w:val="single" w:color="000000" w:sz="10" w:space="0"/>
            </w:tcBorders>
          </w:tcPr>
          <w:p>
            <w:pPr>
              <w:pStyle w:val="TableText"/>
              <w:ind w:left="1203"/>
              <w:spacing w:before="36" w:line="215" w:lineRule="auto"/>
              <w:rPr/>
            </w:pPr>
            <w:r>
              <w:rPr>
                <w:spacing w:val="6"/>
              </w:rPr>
              <w:t>年评价指标</w:t>
            </w:r>
          </w:p>
        </w:tc>
        <w:tc>
          <w:tcPr>
            <w:tcW w:w="1592" w:type="dxa"/>
            <w:vAlign w:val="top"/>
            <w:tcBorders>
              <w:top w:val="single" w:color="000000" w:sz="10" w:space="0"/>
            </w:tcBorders>
          </w:tcPr>
          <w:p>
            <w:pPr>
              <w:pStyle w:val="TableText"/>
              <w:ind w:left="492"/>
              <w:spacing w:before="36" w:line="215" w:lineRule="auto"/>
              <w:rPr/>
            </w:pPr>
            <w:r>
              <w:rPr>
                <w:spacing w:val="5"/>
              </w:rPr>
              <w:t>标准值</w:t>
            </w:r>
          </w:p>
        </w:tc>
        <w:tc>
          <w:tcPr>
            <w:tcW w:w="2400" w:type="dxa"/>
            <w:vAlign w:val="top"/>
            <w:tcBorders>
              <w:right w:val="nil"/>
              <w:top w:val="single" w:color="000000" w:sz="10" w:space="0"/>
            </w:tcBorders>
          </w:tcPr>
          <w:p>
            <w:pPr>
              <w:pStyle w:val="TableText"/>
              <w:ind w:left="791"/>
              <w:spacing w:before="36" w:line="215" w:lineRule="auto"/>
              <w:rPr/>
            </w:pPr>
            <w:r>
              <w:rPr>
                <w:spacing w:val="6"/>
              </w:rPr>
              <w:t>标准来源</w:t>
            </w:r>
          </w:p>
        </w:tc>
      </w:tr>
      <w:tr>
        <w:trPr>
          <w:trHeight w:val="275" w:hRule="atLeast"/>
        </w:trPr>
        <w:tc>
          <w:tcPr>
            <w:tcW w:w="1492" w:type="dxa"/>
            <w:vAlign w:val="top"/>
            <w:tcBorders>
              <w:left w:val="nil"/>
            </w:tcBorders>
          </w:tcPr>
          <w:p>
            <w:pPr>
              <w:ind w:left="591"/>
              <w:spacing w:before="69"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3426" w:type="dxa"/>
            <w:vAlign w:val="top"/>
          </w:tcPr>
          <w:p>
            <w:pPr>
              <w:pStyle w:val="TableText"/>
              <w:ind w:left="1412"/>
              <w:spacing w:before="33" w:line="214" w:lineRule="auto"/>
              <w:rPr/>
            </w:pPr>
            <w:r>
              <w:rPr>
                <w:spacing w:val="3"/>
              </w:rPr>
              <w:t>年平均</w:t>
            </w:r>
          </w:p>
        </w:tc>
        <w:tc>
          <w:tcPr>
            <w:tcW w:w="1592" w:type="dxa"/>
            <w:vAlign w:val="top"/>
          </w:tcPr>
          <w:p>
            <w:pPr>
              <w:ind w:left="418"/>
              <w:spacing w:before="48"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1"/>
              </w:rPr>
              <w:t>μg/m</w:t>
            </w:r>
            <w:r>
              <w:rPr>
                <w:rFonts w:ascii="Times New Roman" w:hAnsi="Times New Roman" w:eastAsia="Times New Roman" w:cs="Times New Roman"/>
                <w:sz w:val="13"/>
                <w:szCs w:val="13"/>
                <w:spacing w:val="1"/>
                <w:position w:val="6"/>
              </w:rPr>
              <w:t>3</w:t>
            </w:r>
          </w:p>
        </w:tc>
        <w:tc>
          <w:tcPr>
            <w:tcW w:w="2400" w:type="dxa"/>
            <w:vAlign w:val="top"/>
            <w:vMerge w:val="restart"/>
            <w:tcBorders>
              <w:right w:val="nil"/>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62"/>
              <w:spacing w:before="65" w:line="231" w:lineRule="auto"/>
              <w:rPr/>
            </w:pPr>
            <w:r>
              <w:rPr>
                <w:spacing w:val="7"/>
              </w:rPr>
              <w:t>《环境空气质量标准》</w:t>
            </w:r>
          </w:p>
          <w:p>
            <w:pPr>
              <w:pStyle w:val="TableText"/>
              <w:ind w:left="124"/>
              <w:spacing w:before="23" w:line="231" w:lineRule="auto"/>
              <w:rPr/>
            </w:pP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）二级标</w:t>
            </w:r>
          </w:p>
          <w:p>
            <w:pPr>
              <w:pStyle w:val="TableText"/>
              <w:ind w:left="1108"/>
              <w:spacing w:before="20" w:line="231" w:lineRule="auto"/>
              <w:rPr/>
            </w:pPr>
            <w:r>
              <w:rPr/>
              <w:t>准</w:t>
            </w:r>
          </w:p>
        </w:tc>
      </w:tr>
      <w:tr>
        <w:trPr>
          <w:trHeight w:val="276" w:hRule="atLeast"/>
        </w:trPr>
        <w:tc>
          <w:tcPr>
            <w:tcW w:w="1492" w:type="dxa"/>
            <w:vAlign w:val="top"/>
            <w:tcBorders>
              <w:left w:val="nil"/>
            </w:tcBorders>
          </w:tcPr>
          <w:p>
            <w:pPr>
              <w:ind w:left="556"/>
              <w:spacing w:before="7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2</w:t>
            </w:r>
          </w:p>
        </w:tc>
        <w:tc>
          <w:tcPr>
            <w:tcW w:w="3426" w:type="dxa"/>
            <w:vAlign w:val="top"/>
          </w:tcPr>
          <w:p>
            <w:pPr>
              <w:pStyle w:val="TableText"/>
              <w:ind w:left="1412"/>
              <w:spacing w:before="36" w:line="212" w:lineRule="auto"/>
              <w:rPr/>
            </w:pPr>
            <w:r>
              <w:rPr>
                <w:spacing w:val="3"/>
              </w:rPr>
              <w:t>年平均</w:t>
            </w:r>
          </w:p>
        </w:tc>
        <w:tc>
          <w:tcPr>
            <w:tcW w:w="1592" w:type="dxa"/>
            <w:vAlign w:val="top"/>
          </w:tcPr>
          <w:p>
            <w:pPr>
              <w:ind w:left="412"/>
              <w:spacing w:before="52"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17"/>
                <w:w w:val="101"/>
              </w:rPr>
              <w:t xml:space="preserve"> </w:t>
            </w:r>
            <w:r>
              <w:rPr>
                <w:rFonts w:ascii="Times New Roman" w:hAnsi="Times New Roman" w:eastAsia="Times New Roman" w:cs="Times New Roman"/>
                <w:sz w:val="20"/>
                <w:szCs w:val="20"/>
                <w:spacing w:val="2"/>
              </w:rPr>
              <w:t>μg/m</w:t>
            </w:r>
            <w:r>
              <w:rPr>
                <w:rFonts w:ascii="Times New Roman" w:hAnsi="Times New Roman" w:eastAsia="Times New Roman" w:cs="Times New Roman"/>
                <w:sz w:val="13"/>
                <w:szCs w:val="13"/>
                <w:spacing w:val="2"/>
                <w:position w:val="6"/>
              </w:rPr>
              <w:t>3</w:t>
            </w:r>
          </w:p>
        </w:tc>
        <w:tc>
          <w:tcPr>
            <w:tcW w:w="2400" w:type="dxa"/>
            <w:vAlign w:val="top"/>
            <w:vMerge w:val="continue"/>
            <w:tcBorders>
              <w:right w:val="nil"/>
              <w:bottom w:val="nil"/>
              <w:top w:val="nil"/>
            </w:tcBorders>
          </w:tcPr>
          <w:p>
            <w:pPr>
              <w:rPr>
                <w:rFonts w:ascii="Arial"/>
                <w:sz w:val="21"/>
              </w:rPr>
            </w:pPr>
            <w:r/>
          </w:p>
        </w:tc>
      </w:tr>
      <w:tr>
        <w:trPr>
          <w:trHeight w:val="275" w:hRule="atLeast"/>
        </w:trPr>
        <w:tc>
          <w:tcPr>
            <w:tcW w:w="1492" w:type="dxa"/>
            <w:vAlign w:val="top"/>
            <w:tcBorders>
              <w:left w:val="nil"/>
            </w:tcBorders>
          </w:tcPr>
          <w:p>
            <w:pPr>
              <w:ind w:left="528"/>
              <w:spacing w:before="75" w:line="19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3426" w:type="dxa"/>
            <w:vAlign w:val="top"/>
          </w:tcPr>
          <w:p>
            <w:pPr>
              <w:pStyle w:val="TableText"/>
              <w:ind w:left="1412"/>
              <w:spacing w:before="36" w:line="211" w:lineRule="auto"/>
              <w:rPr/>
            </w:pPr>
            <w:r>
              <w:rPr>
                <w:spacing w:val="3"/>
              </w:rPr>
              <w:t>年平均</w:t>
            </w:r>
          </w:p>
        </w:tc>
        <w:tc>
          <w:tcPr>
            <w:tcW w:w="1592" w:type="dxa"/>
            <w:vAlign w:val="top"/>
          </w:tcPr>
          <w:p>
            <w:pPr>
              <w:ind w:left="417"/>
              <w:spacing w:before="54"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70</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2"/>
              </w:rPr>
              <w:t>μg/m</w:t>
            </w:r>
            <w:r>
              <w:rPr>
                <w:rFonts w:ascii="Times New Roman" w:hAnsi="Times New Roman" w:eastAsia="Times New Roman" w:cs="Times New Roman"/>
                <w:sz w:val="13"/>
                <w:szCs w:val="13"/>
                <w:spacing w:val="2"/>
                <w:position w:val="6"/>
              </w:rPr>
              <w:t>3</w:t>
            </w:r>
          </w:p>
        </w:tc>
        <w:tc>
          <w:tcPr>
            <w:tcW w:w="2400" w:type="dxa"/>
            <w:vAlign w:val="top"/>
            <w:vMerge w:val="continue"/>
            <w:tcBorders>
              <w:right w:val="nil"/>
              <w:bottom w:val="nil"/>
              <w:top w:val="nil"/>
            </w:tcBorders>
          </w:tcPr>
          <w:p>
            <w:pPr>
              <w:rPr>
                <w:rFonts w:ascii="Arial"/>
                <w:sz w:val="21"/>
              </w:rPr>
            </w:pPr>
            <w:r/>
          </w:p>
        </w:tc>
      </w:tr>
      <w:tr>
        <w:trPr>
          <w:trHeight w:val="275" w:hRule="atLeast"/>
        </w:trPr>
        <w:tc>
          <w:tcPr>
            <w:tcW w:w="1492" w:type="dxa"/>
            <w:vAlign w:val="top"/>
            <w:tcBorders>
              <w:left w:val="nil"/>
            </w:tcBorders>
          </w:tcPr>
          <w:p>
            <w:pPr>
              <w:ind w:left="511"/>
              <w:spacing w:before="78" w:line="19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3426" w:type="dxa"/>
            <w:vAlign w:val="top"/>
          </w:tcPr>
          <w:p>
            <w:pPr>
              <w:pStyle w:val="TableText"/>
              <w:ind w:left="1412"/>
              <w:spacing w:before="39" w:line="208" w:lineRule="auto"/>
              <w:rPr/>
            </w:pPr>
            <w:r>
              <w:rPr>
                <w:spacing w:val="3"/>
              </w:rPr>
              <w:t>年平均</w:t>
            </w:r>
          </w:p>
        </w:tc>
        <w:tc>
          <w:tcPr>
            <w:tcW w:w="1592" w:type="dxa"/>
            <w:vAlign w:val="top"/>
          </w:tcPr>
          <w:p>
            <w:pPr>
              <w:ind w:left="418"/>
              <w:spacing w:before="55"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35</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1"/>
              </w:rPr>
              <w:t>μg/m</w:t>
            </w:r>
            <w:r>
              <w:rPr>
                <w:rFonts w:ascii="Times New Roman" w:hAnsi="Times New Roman" w:eastAsia="Times New Roman" w:cs="Times New Roman"/>
                <w:sz w:val="13"/>
                <w:szCs w:val="13"/>
                <w:spacing w:val="1"/>
                <w:position w:val="6"/>
              </w:rPr>
              <w:t>3</w:t>
            </w:r>
          </w:p>
        </w:tc>
        <w:tc>
          <w:tcPr>
            <w:tcW w:w="2400" w:type="dxa"/>
            <w:vAlign w:val="top"/>
            <w:vMerge w:val="continue"/>
            <w:tcBorders>
              <w:right w:val="nil"/>
              <w:bottom w:val="nil"/>
              <w:top w:val="nil"/>
            </w:tcBorders>
          </w:tcPr>
          <w:p>
            <w:pPr>
              <w:rPr>
                <w:rFonts w:ascii="Arial"/>
                <w:sz w:val="21"/>
              </w:rPr>
            </w:pPr>
            <w:r/>
          </w:p>
        </w:tc>
      </w:tr>
      <w:tr>
        <w:trPr>
          <w:trHeight w:val="276" w:hRule="atLeast"/>
        </w:trPr>
        <w:tc>
          <w:tcPr>
            <w:tcW w:w="1492" w:type="dxa"/>
            <w:vAlign w:val="top"/>
            <w:tcBorders>
              <w:left w:val="nil"/>
            </w:tcBorders>
          </w:tcPr>
          <w:p>
            <w:pPr>
              <w:ind w:left="607"/>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3426" w:type="dxa"/>
            <w:vAlign w:val="top"/>
          </w:tcPr>
          <w:p>
            <w:pPr>
              <w:pStyle w:val="TableText"/>
              <w:ind w:left="479"/>
              <w:spacing w:before="42" w:line="206" w:lineRule="auto"/>
              <w:rPr/>
            </w:pPr>
            <w:r>
              <w:rPr>
                <w:rFonts w:ascii="Times New Roman" w:hAnsi="Times New Roman" w:eastAsia="Times New Roman" w:cs="Times New Roman"/>
                <w:spacing w:val="4"/>
              </w:rPr>
              <w:t>24</w:t>
            </w:r>
            <w:r>
              <w:rPr>
                <w:rFonts w:ascii="Times New Roman" w:hAnsi="Times New Roman" w:eastAsia="Times New Roman" w:cs="Times New Roman"/>
                <w:spacing w:val="20"/>
                <w:w w:val="101"/>
              </w:rPr>
              <w:t xml:space="preserve"> </w:t>
            </w:r>
            <w:r>
              <w:rPr>
                <w:spacing w:val="4"/>
              </w:rPr>
              <w:t>小时平均第</w:t>
            </w:r>
            <w:r>
              <w:rPr>
                <w:spacing w:val="-39"/>
              </w:rPr>
              <w:t xml:space="preserve"> </w:t>
            </w:r>
            <w:r>
              <w:rPr>
                <w:rFonts w:ascii="Times New Roman" w:hAnsi="Times New Roman" w:eastAsia="Times New Roman" w:cs="Times New Roman"/>
                <w:spacing w:val="4"/>
              </w:rPr>
              <w:t>95</w:t>
            </w:r>
            <w:r>
              <w:rPr>
                <w:rFonts w:ascii="Times New Roman" w:hAnsi="Times New Roman" w:eastAsia="Times New Roman" w:cs="Times New Roman"/>
                <w:spacing w:val="26"/>
              </w:rPr>
              <w:t xml:space="preserve"> </w:t>
            </w:r>
            <w:r>
              <w:rPr>
                <w:spacing w:val="4"/>
              </w:rPr>
              <w:t>百分位数</w:t>
            </w:r>
          </w:p>
        </w:tc>
        <w:tc>
          <w:tcPr>
            <w:tcW w:w="1592" w:type="dxa"/>
            <w:vAlign w:val="top"/>
          </w:tcPr>
          <w:p>
            <w:pPr>
              <w:ind w:left="439"/>
              <w:spacing w:before="59"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4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p>
        </w:tc>
        <w:tc>
          <w:tcPr>
            <w:tcW w:w="2400" w:type="dxa"/>
            <w:vAlign w:val="top"/>
            <w:vMerge w:val="continue"/>
            <w:tcBorders>
              <w:right w:val="nil"/>
              <w:bottom w:val="nil"/>
              <w:top w:val="nil"/>
            </w:tcBorders>
          </w:tcPr>
          <w:p>
            <w:pPr>
              <w:rPr>
                <w:rFonts w:ascii="Arial"/>
                <w:sz w:val="21"/>
              </w:rPr>
            </w:pPr>
            <w:r/>
          </w:p>
        </w:tc>
      </w:tr>
      <w:tr>
        <w:trPr>
          <w:trHeight w:val="275" w:hRule="atLeast"/>
        </w:trPr>
        <w:tc>
          <w:tcPr>
            <w:tcW w:w="1492" w:type="dxa"/>
            <w:vAlign w:val="top"/>
            <w:tcBorders>
              <w:left w:val="nil"/>
            </w:tcBorders>
          </w:tcPr>
          <w:p>
            <w:pPr>
              <w:ind w:left="642"/>
              <w:spacing w:before="78" w:line="19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O</w:t>
            </w:r>
            <w:r>
              <w:rPr>
                <w:rFonts w:ascii="Times New Roman" w:hAnsi="Times New Roman" w:eastAsia="Times New Roman" w:cs="Times New Roman"/>
                <w:sz w:val="13"/>
                <w:szCs w:val="13"/>
                <w:spacing w:val="1"/>
                <w:position w:val="-1"/>
              </w:rPr>
              <w:t>3</w:t>
            </w:r>
          </w:p>
        </w:tc>
        <w:tc>
          <w:tcPr>
            <w:tcW w:w="3426" w:type="dxa"/>
            <w:vAlign w:val="top"/>
          </w:tcPr>
          <w:p>
            <w:pPr>
              <w:pStyle w:val="TableText"/>
              <w:ind w:left="245"/>
              <w:spacing w:before="42" w:line="205" w:lineRule="auto"/>
              <w:rPr/>
            </w:pPr>
            <w:r>
              <w:rPr/>
              <w:t>日最大</w:t>
            </w:r>
            <w:r>
              <w:rPr>
                <w:spacing w:val="-21"/>
              </w:rPr>
              <w:t xml:space="preserve"> </w:t>
            </w:r>
            <w:r>
              <w:rPr>
                <w:rFonts w:ascii="Times New Roman" w:hAnsi="Times New Roman" w:eastAsia="Times New Roman" w:cs="Times New Roman"/>
              </w:rPr>
              <w:t>8</w:t>
            </w:r>
            <w:r>
              <w:rPr>
                <w:rFonts w:ascii="Times New Roman" w:hAnsi="Times New Roman" w:eastAsia="Times New Roman" w:cs="Times New Roman"/>
                <w:spacing w:val="16"/>
              </w:rPr>
              <w:t xml:space="preserve"> </w:t>
            </w:r>
            <w:r>
              <w:rPr/>
              <w:t>小时平均第</w:t>
            </w:r>
            <w:r>
              <w:rPr>
                <w:spacing w:val="-37"/>
              </w:rPr>
              <w:t xml:space="preserve"> </w:t>
            </w:r>
            <w:r>
              <w:rPr>
                <w:rFonts w:ascii="Times New Roman" w:hAnsi="Times New Roman" w:eastAsia="Times New Roman" w:cs="Times New Roman"/>
              </w:rPr>
              <w:t>90</w:t>
            </w:r>
            <w:r>
              <w:rPr>
                <w:rFonts w:ascii="Times New Roman" w:hAnsi="Times New Roman" w:eastAsia="Times New Roman" w:cs="Times New Roman"/>
                <w:spacing w:val="26"/>
              </w:rPr>
              <w:t xml:space="preserve"> </w:t>
            </w:r>
            <w:r>
              <w:rPr/>
              <w:t>百分位数</w:t>
            </w:r>
          </w:p>
        </w:tc>
        <w:tc>
          <w:tcPr>
            <w:tcW w:w="1592" w:type="dxa"/>
            <w:vAlign w:val="top"/>
          </w:tcPr>
          <w:p>
            <w:pPr>
              <w:ind w:left="381"/>
              <w:spacing w:before="60"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160</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μg/m</w:t>
            </w:r>
            <w:r>
              <w:rPr>
                <w:rFonts w:ascii="Times New Roman" w:hAnsi="Times New Roman" w:eastAsia="Times New Roman" w:cs="Times New Roman"/>
                <w:sz w:val="13"/>
                <w:szCs w:val="13"/>
                <w:position w:val="6"/>
              </w:rPr>
              <w:t>3</w:t>
            </w:r>
          </w:p>
        </w:tc>
        <w:tc>
          <w:tcPr>
            <w:tcW w:w="2400" w:type="dxa"/>
            <w:vAlign w:val="top"/>
            <w:vMerge w:val="continue"/>
            <w:tcBorders>
              <w:right w:val="nil"/>
              <w:bottom w:val="nil"/>
              <w:top w:val="nil"/>
            </w:tcBorders>
          </w:tcPr>
          <w:p>
            <w:pPr>
              <w:rPr>
                <w:rFonts w:ascii="Arial"/>
                <w:sz w:val="21"/>
              </w:rPr>
            </w:pPr>
            <w:r/>
          </w:p>
        </w:tc>
      </w:tr>
      <w:tr>
        <w:trPr>
          <w:trHeight w:val="275" w:hRule="atLeast"/>
        </w:trPr>
        <w:tc>
          <w:tcPr>
            <w:tcW w:w="1492" w:type="dxa"/>
            <w:vAlign w:val="top"/>
            <w:tcBorders>
              <w:left w:val="nil"/>
            </w:tcBorders>
          </w:tcPr>
          <w:p>
            <w:pPr>
              <w:ind w:left="572"/>
              <w:spacing w:before="8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3426" w:type="dxa"/>
            <w:vAlign w:val="top"/>
          </w:tcPr>
          <w:p>
            <w:pPr>
              <w:pStyle w:val="TableText"/>
              <w:ind w:left="1319"/>
              <w:spacing w:before="46" w:line="202"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平均</w:t>
            </w:r>
          </w:p>
        </w:tc>
        <w:tc>
          <w:tcPr>
            <w:tcW w:w="1592" w:type="dxa"/>
            <w:vAlign w:val="top"/>
          </w:tcPr>
          <w:p>
            <w:pPr>
              <w:ind w:left="391"/>
              <w:spacing w:before="61" w:line="21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300μg/m</w:t>
            </w:r>
            <w:r>
              <w:rPr>
                <w:rFonts w:ascii="Times New Roman" w:hAnsi="Times New Roman" w:eastAsia="Times New Roman" w:cs="Times New Roman"/>
                <w:sz w:val="13"/>
                <w:szCs w:val="13"/>
                <w:spacing w:val="3"/>
                <w:position w:val="6"/>
              </w:rPr>
              <w:t>3</w:t>
            </w:r>
          </w:p>
        </w:tc>
        <w:tc>
          <w:tcPr>
            <w:tcW w:w="2400" w:type="dxa"/>
            <w:vAlign w:val="top"/>
            <w:vMerge w:val="continue"/>
            <w:tcBorders>
              <w:right w:val="nil"/>
              <w:bottom w:val="nil"/>
              <w:top w:val="nil"/>
            </w:tcBorders>
          </w:tcPr>
          <w:p>
            <w:pPr>
              <w:rPr>
                <w:rFonts w:ascii="Arial"/>
                <w:sz w:val="21"/>
              </w:rPr>
            </w:pPr>
            <w:r/>
          </w:p>
        </w:tc>
      </w:tr>
      <w:tr>
        <w:trPr>
          <w:trHeight w:val="276" w:hRule="atLeast"/>
        </w:trPr>
        <w:tc>
          <w:tcPr>
            <w:tcW w:w="1492" w:type="dxa"/>
            <w:vAlign w:val="top"/>
            <w:vMerge w:val="restart"/>
            <w:tcBorders>
              <w:left w:val="nil"/>
              <w:bottom w:val="nil"/>
            </w:tcBorders>
          </w:tcPr>
          <w:p>
            <w:pPr>
              <w:ind w:left="556"/>
              <w:spacing w:before="226"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x</w:t>
            </w:r>
          </w:p>
        </w:tc>
        <w:tc>
          <w:tcPr>
            <w:tcW w:w="3426" w:type="dxa"/>
            <w:vAlign w:val="top"/>
          </w:tcPr>
          <w:p>
            <w:pPr>
              <w:pStyle w:val="TableText"/>
              <w:ind w:left="1392"/>
              <w:spacing w:before="49" w:line="200" w:lineRule="auto"/>
              <w:rPr/>
            </w:pPr>
            <w:r>
              <w:rPr>
                <w:rFonts w:ascii="Times New Roman" w:hAnsi="Times New Roman" w:eastAsia="Times New Roman" w:cs="Times New Roman"/>
                <w:spacing w:val="-3"/>
              </w:rPr>
              <w:t>1h</w:t>
            </w:r>
            <w:r>
              <w:rPr>
                <w:rFonts w:ascii="Times New Roman" w:hAnsi="Times New Roman" w:eastAsia="Times New Roman" w:cs="Times New Roman"/>
                <w:spacing w:val="18"/>
              </w:rPr>
              <w:t xml:space="preserve"> </w:t>
            </w:r>
            <w:r>
              <w:rPr>
                <w:spacing w:val="-3"/>
              </w:rPr>
              <w:t>平均</w:t>
            </w:r>
          </w:p>
        </w:tc>
        <w:tc>
          <w:tcPr>
            <w:tcW w:w="1592" w:type="dxa"/>
            <w:vAlign w:val="top"/>
          </w:tcPr>
          <w:p>
            <w:pPr>
              <w:ind w:left="387"/>
              <w:spacing w:before="64" w:line="21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250μg/m</w:t>
            </w:r>
            <w:r>
              <w:rPr>
                <w:rFonts w:ascii="Times New Roman" w:hAnsi="Times New Roman" w:eastAsia="Times New Roman" w:cs="Times New Roman"/>
                <w:sz w:val="13"/>
                <w:szCs w:val="13"/>
                <w:spacing w:val="4"/>
                <w:position w:val="6"/>
              </w:rPr>
              <w:t>3</w:t>
            </w:r>
          </w:p>
        </w:tc>
        <w:tc>
          <w:tcPr>
            <w:tcW w:w="2400" w:type="dxa"/>
            <w:vAlign w:val="top"/>
            <w:vMerge w:val="continue"/>
            <w:tcBorders>
              <w:right w:val="nil"/>
              <w:bottom w:val="nil"/>
              <w:top w:val="nil"/>
            </w:tcBorders>
          </w:tcPr>
          <w:p>
            <w:pPr>
              <w:rPr>
                <w:rFonts w:ascii="Arial"/>
                <w:sz w:val="21"/>
              </w:rPr>
            </w:pPr>
            <w:r/>
          </w:p>
        </w:tc>
      </w:tr>
      <w:tr>
        <w:trPr>
          <w:trHeight w:val="275" w:hRule="atLeast"/>
        </w:trPr>
        <w:tc>
          <w:tcPr>
            <w:tcW w:w="1492" w:type="dxa"/>
            <w:vAlign w:val="top"/>
            <w:vMerge w:val="continue"/>
            <w:tcBorders>
              <w:left w:val="nil"/>
              <w:top w:val="nil"/>
            </w:tcBorders>
          </w:tcPr>
          <w:p>
            <w:pPr>
              <w:rPr>
                <w:rFonts w:ascii="Arial"/>
                <w:sz w:val="21"/>
              </w:rPr>
            </w:pPr>
            <w:r/>
          </w:p>
        </w:tc>
        <w:tc>
          <w:tcPr>
            <w:tcW w:w="3426" w:type="dxa"/>
            <w:vAlign w:val="top"/>
          </w:tcPr>
          <w:p>
            <w:pPr>
              <w:pStyle w:val="TableText"/>
              <w:ind w:left="1319"/>
              <w:spacing w:before="48" w:line="200"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平均</w:t>
            </w:r>
          </w:p>
        </w:tc>
        <w:tc>
          <w:tcPr>
            <w:tcW w:w="1592" w:type="dxa"/>
            <w:vAlign w:val="top"/>
          </w:tcPr>
          <w:p>
            <w:pPr>
              <w:ind w:left="407"/>
              <w:spacing w:before="66" w:line="207"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100μg/m</w:t>
            </w:r>
            <w:r>
              <w:rPr>
                <w:rFonts w:ascii="Times New Roman" w:hAnsi="Times New Roman" w:eastAsia="Times New Roman" w:cs="Times New Roman"/>
                <w:sz w:val="13"/>
                <w:szCs w:val="13"/>
                <w:spacing w:val="1"/>
                <w:position w:val="6"/>
              </w:rPr>
              <w:t>3</w:t>
            </w:r>
          </w:p>
        </w:tc>
        <w:tc>
          <w:tcPr>
            <w:tcW w:w="2400" w:type="dxa"/>
            <w:vAlign w:val="top"/>
            <w:vMerge w:val="continue"/>
            <w:tcBorders>
              <w:right w:val="nil"/>
              <w:bottom w:val="nil"/>
              <w:top w:val="nil"/>
            </w:tcBorders>
          </w:tcPr>
          <w:p>
            <w:pPr>
              <w:rPr>
                <w:rFonts w:ascii="Arial"/>
                <w:sz w:val="21"/>
              </w:rPr>
            </w:pPr>
            <w:r/>
          </w:p>
        </w:tc>
      </w:tr>
      <w:tr>
        <w:trPr>
          <w:trHeight w:val="275" w:hRule="atLeast"/>
        </w:trPr>
        <w:tc>
          <w:tcPr>
            <w:tcW w:w="1492" w:type="dxa"/>
            <w:vAlign w:val="top"/>
            <w:vMerge w:val="restart"/>
            <w:tcBorders>
              <w:left w:val="nil"/>
              <w:bottom w:val="nil"/>
            </w:tcBorders>
          </w:tcPr>
          <w:p>
            <w:pPr>
              <w:pStyle w:val="TableText"/>
              <w:ind w:left="451"/>
              <w:spacing w:before="193" w:line="229" w:lineRule="auto"/>
              <w:rPr/>
            </w:pPr>
            <w:r>
              <w:rPr>
                <w:spacing w:val="3"/>
              </w:rPr>
              <w:t>氟化物</w:t>
            </w:r>
          </w:p>
        </w:tc>
        <w:tc>
          <w:tcPr>
            <w:tcW w:w="3426" w:type="dxa"/>
            <w:vAlign w:val="top"/>
          </w:tcPr>
          <w:p>
            <w:pPr>
              <w:pStyle w:val="TableText"/>
              <w:ind w:left="1392"/>
              <w:spacing w:before="51" w:line="197" w:lineRule="auto"/>
              <w:rPr/>
            </w:pPr>
            <w:r>
              <w:rPr>
                <w:rFonts w:ascii="Times New Roman" w:hAnsi="Times New Roman" w:eastAsia="Times New Roman" w:cs="Times New Roman"/>
                <w:spacing w:val="-3"/>
              </w:rPr>
              <w:t>1h</w:t>
            </w:r>
            <w:r>
              <w:rPr>
                <w:rFonts w:ascii="Times New Roman" w:hAnsi="Times New Roman" w:eastAsia="Times New Roman" w:cs="Times New Roman"/>
                <w:spacing w:val="18"/>
              </w:rPr>
              <w:t xml:space="preserve"> </w:t>
            </w:r>
            <w:r>
              <w:rPr>
                <w:spacing w:val="-3"/>
              </w:rPr>
              <w:t>平均</w:t>
            </w:r>
          </w:p>
        </w:tc>
        <w:tc>
          <w:tcPr>
            <w:tcW w:w="1592" w:type="dxa"/>
            <w:vAlign w:val="top"/>
          </w:tcPr>
          <w:p>
            <w:pPr>
              <w:ind w:left="440"/>
              <w:spacing w:before="67" w:line="20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20μg/m</w:t>
            </w:r>
            <w:r>
              <w:rPr>
                <w:rFonts w:ascii="Times New Roman" w:hAnsi="Times New Roman" w:eastAsia="Times New Roman" w:cs="Times New Roman"/>
                <w:sz w:val="13"/>
                <w:szCs w:val="13"/>
                <w:spacing w:val="4"/>
                <w:position w:val="6"/>
              </w:rPr>
              <w:t>3</w:t>
            </w:r>
          </w:p>
        </w:tc>
        <w:tc>
          <w:tcPr>
            <w:tcW w:w="2400" w:type="dxa"/>
            <w:vAlign w:val="top"/>
            <w:vMerge w:val="continue"/>
            <w:tcBorders>
              <w:right w:val="nil"/>
              <w:bottom w:val="nil"/>
              <w:top w:val="nil"/>
            </w:tcBorders>
          </w:tcPr>
          <w:p>
            <w:pPr>
              <w:rPr>
                <w:rFonts w:ascii="Arial"/>
                <w:sz w:val="21"/>
              </w:rPr>
            </w:pPr>
            <w:r/>
          </w:p>
        </w:tc>
      </w:tr>
      <w:tr>
        <w:trPr>
          <w:trHeight w:val="299" w:hRule="atLeast"/>
        </w:trPr>
        <w:tc>
          <w:tcPr>
            <w:tcW w:w="1492" w:type="dxa"/>
            <w:vAlign w:val="top"/>
            <w:vMerge w:val="continue"/>
            <w:tcBorders>
              <w:left w:val="nil"/>
              <w:bottom w:val="single" w:color="000000" w:sz="10" w:space="0"/>
              <w:top w:val="nil"/>
            </w:tcBorders>
          </w:tcPr>
          <w:p>
            <w:pPr>
              <w:rPr>
                <w:rFonts w:ascii="Arial"/>
                <w:sz w:val="21"/>
              </w:rPr>
            </w:pPr>
            <w:r/>
          </w:p>
        </w:tc>
        <w:tc>
          <w:tcPr>
            <w:tcW w:w="3426" w:type="dxa"/>
            <w:vAlign w:val="top"/>
            <w:tcBorders>
              <w:bottom w:val="single" w:color="000000" w:sz="10" w:space="0"/>
            </w:tcBorders>
          </w:tcPr>
          <w:p>
            <w:pPr>
              <w:pStyle w:val="TableText"/>
              <w:ind w:left="1319"/>
              <w:spacing w:before="54" w:line="216"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平均</w:t>
            </w:r>
          </w:p>
        </w:tc>
        <w:tc>
          <w:tcPr>
            <w:tcW w:w="1592" w:type="dxa"/>
            <w:vAlign w:val="top"/>
            <w:tcBorders>
              <w:bottom w:val="single" w:color="000000" w:sz="10" w:space="0"/>
            </w:tcBorders>
          </w:tcPr>
          <w:p>
            <w:pPr>
              <w:ind w:left="496"/>
              <w:spacing w:before="70"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7μg/m</w:t>
            </w:r>
            <w:r>
              <w:rPr>
                <w:rFonts w:ascii="Times New Roman" w:hAnsi="Times New Roman" w:eastAsia="Times New Roman" w:cs="Times New Roman"/>
                <w:sz w:val="13"/>
                <w:szCs w:val="13"/>
                <w:spacing w:val="3"/>
                <w:position w:val="6"/>
              </w:rPr>
              <w:t>3</w:t>
            </w:r>
          </w:p>
        </w:tc>
        <w:tc>
          <w:tcPr>
            <w:tcW w:w="2400"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footerReference w:type="default" r:id="rId77"/>
          <w:pgSz w:w="11911" w:h="16839"/>
          <w:pgMar w:top="400" w:right="1310" w:bottom="1146" w:left="1689" w:header="0" w:footer="984" w:gutter="0"/>
        </w:sectPr>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14"/>
        <w:spacing w:before="78" w:line="222" w:lineRule="auto"/>
        <w:outlineLvl w:val="3"/>
        <w:rPr>
          <w:rFonts w:ascii="FangSong" w:hAnsi="FangSong" w:eastAsia="FangSong" w:cs="FangSong"/>
          <w:sz w:val="24"/>
          <w:szCs w:val="24"/>
        </w:rPr>
      </w:pPr>
      <w:bookmarkStart w:name="bookmark523" w:id="119"/>
      <w:bookmarkEnd w:id="119"/>
      <w:r>
        <w:rPr>
          <w:rFonts w:ascii="Times New Roman" w:hAnsi="Times New Roman" w:eastAsia="Times New Roman" w:cs="Times New Roman"/>
          <w:sz w:val="24"/>
          <w:szCs w:val="24"/>
          <w:b/>
          <w:bCs/>
          <w:spacing w:val="-3"/>
        </w:rPr>
        <w:t>2.6.1.2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声环境</w:t>
      </w:r>
    </w:p>
    <w:p>
      <w:pPr>
        <w:ind w:left="605"/>
        <w:spacing w:before="178" w:line="221" w:lineRule="auto"/>
        <w:rPr>
          <w:rFonts w:ascii="FangSong" w:hAnsi="FangSong" w:eastAsia="FangSong" w:cs="FangSong"/>
          <w:sz w:val="24"/>
          <w:szCs w:val="24"/>
        </w:rPr>
      </w:pPr>
      <w:r>
        <w:rPr>
          <w:rFonts w:ascii="FangSong" w:hAnsi="FangSong" w:eastAsia="FangSong" w:cs="FangSong"/>
          <w:sz w:val="24"/>
          <w:szCs w:val="24"/>
        </w:rPr>
        <w:t>根据《声环境功能区划分技术规范》（</w:t>
      </w:r>
      <w:r>
        <w:rPr>
          <w:rFonts w:ascii="Times New Roman" w:hAnsi="Times New Roman" w:eastAsia="Times New Roman" w:cs="Times New Roman"/>
          <w:sz w:val="24"/>
          <w:szCs w:val="24"/>
        </w:rPr>
        <w:t>GB/T15190-2</w:t>
      </w:r>
      <w:r>
        <w:rPr>
          <w:rFonts w:ascii="Times New Roman" w:hAnsi="Times New Roman" w:eastAsia="Times New Roman" w:cs="Times New Roman"/>
          <w:sz w:val="24"/>
          <w:szCs w:val="24"/>
          <w:spacing w:val="-1"/>
        </w:rPr>
        <w:t>014</w:t>
      </w:r>
      <w:r>
        <w:rPr>
          <w:rFonts w:ascii="FangSong" w:hAnsi="FangSong" w:eastAsia="FangSong" w:cs="FangSong"/>
          <w:sz w:val="24"/>
          <w:szCs w:val="24"/>
          <w:spacing w:val="10"/>
        </w:rPr>
        <w:t>），</w:t>
      </w:r>
      <w:r>
        <w:rPr>
          <w:rFonts w:ascii="FangSong" w:hAnsi="FangSong" w:eastAsia="FangSong" w:cs="FangSong"/>
          <w:sz w:val="24"/>
          <w:szCs w:val="24"/>
          <w:spacing w:val="-1"/>
        </w:rPr>
        <w:t>本项目声环境执行</w:t>
      </w:r>
    </w:p>
    <w:p>
      <w:pPr>
        <w:ind w:left="123"/>
        <w:spacing w:before="178" w:line="221" w:lineRule="auto"/>
        <w:rPr>
          <w:rFonts w:ascii="FangSong" w:hAnsi="FangSong" w:eastAsia="FangSong" w:cs="FangSong"/>
          <w:sz w:val="24"/>
          <w:szCs w:val="24"/>
        </w:rPr>
      </w:pPr>
      <w:r>
        <w:rPr>
          <w:rFonts w:ascii="FangSong" w:hAnsi="FangSong" w:eastAsia="FangSong" w:cs="FangSong"/>
          <w:sz w:val="24"/>
          <w:szCs w:val="24"/>
          <w:spacing w:val="-2"/>
        </w:rPr>
        <w:t>《声环境质量标准》（</w:t>
      </w:r>
      <w:r>
        <w:rPr>
          <w:rFonts w:ascii="Times New Roman" w:hAnsi="Times New Roman" w:eastAsia="Times New Roman" w:cs="Times New Roman"/>
          <w:sz w:val="24"/>
          <w:szCs w:val="24"/>
          <w:spacing w:val="-2"/>
        </w:rPr>
        <w:t>GB3096-20</w:t>
      </w:r>
      <w:r>
        <w:rPr>
          <w:rFonts w:ascii="Times New Roman" w:hAnsi="Times New Roman" w:eastAsia="Times New Roman" w:cs="Times New Roman"/>
          <w:sz w:val="24"/>
          <w:szCs w:val="24"/>
          <w:spacing w:val="-3"/>
        </w:rPr>
        <w:t>08</w:t>
      </w:r>
      <w:r>
        <w:rPr>
          <w:rFonts w:ascii="FangSong" w:hAnsi="FangSong" w:eastAsia="FangSong" w:cs="FangSong"/>
          <w:sz w:val="24"/>
          <w:szCs w:val="24"/>
          <w:spacing w:val="-3"/>
        </w:rPr>
        <w:t>）</w:t>
      </w:r>
      <w:r>
        <w:rPr>
          <w:rFonts w:ascii="FangSong" w:hAnsi="FangSong" w:eastAsia="FangSong" w:cs="FangSong"/>
          <w:sz w:val="24"/>
          <w:szCs w:val="24"/>
          <w:spacing w:val="-71"/>
        </w:rPr>
        <w:t xml:space="preserve"> </w:t>
      </w:r>
      <w:r>
        <w:rPr>
          <w:rFonts w:ascii="FangSong" w:hAnsi="FangSong" w:eastAsia="FangSong" w:cs="FangSong"/>
          <w:sz w:val="24"/>
          <w:szCs w:val="24"/>
          <w:spacing w:val="-3"/>
        </w:rPr>
        <w:t>中</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类区标准，具体详见表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2.6-2</w:t>
      </w:r>
      <w:r>
        <w:rPr>
          <w:rFonts w:ascii="FangSong" w:hAnsi="FangSong" w:eastAsia="FangSong" w:cs="FangSong"/>
          <w:sz w:val="24"/>
          <w:szCs w:val="24"/>
          <w:spacing w:val="-3"/>
        </w:rPr>
        <w:t>。</w:t>
      </w:r>
    </w:p>
    <w:p>
      <w:pPr>
        <w:ind w:left="3169"/>
        <w:spacing w:before="18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spacing w:val="-3"/>
        </w:rPr>
        <w:t>2.6-2  </w:t>
      </w:r>
      <w:r>
        <w:rPr>
          <w:rFonts w:ascii="FangSong" w:hAnsi="FangSong" w:eastAsia="FangSong" w:cs="FangSong"/>
          <w:sz w:val="24"/>
          <w:szCs w:val="24"/>
          <w:b/>
          <w:bCs/>
          <w:spacing w:val="-3"/>
        </w:rPr>
        <w:t>声环境质量标准</w:t>
      </w:r>
    </w:p>
    <w:p>
      <w:pPr>
        <w:spacing w:line="142"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5"/>
        <w:gridCol w:w="1483"/>
        <w:gridCol w:w="1417"/>
        <w:gridCol w:w="3887"/>
      </w:tblGrid>
      <w:tr>
        <w:trPr>
          <w:trHeight w:val="275" w:hRule="atLeast"/>
        </w:trPr>
        <w:tc>
          <w:tcPr>
            <w:tcW w:w="2125" w:type="dxa"/>
            <w:vAlign w:val="top"/>
            <w:vMerge w:val="restart"/>
            <w:tcBorders>
              <w:top w:val="single" w:color="000000" w:sz="10" w:space="0"/>
              <w:left w:val="nil"/>
              <w:bottom w:val="nil"/>
            </w:tcBorders>
          </w:tcPr>
          <w:p>
            <w:pPr>
              <w:pStyle w:val="TableText"/>
              <w:ind w:left="445"/>
              <w:spacing w:before="174" w:line="230" w:lineRule="auto"/>
              <w:rPr/>
            </w:pPr>
            <w:r>
              <w:rPr>
                <w:spacing w:val="7"/>
              </w:rPr>
              <w:t>声功能区类别</w:t>
            </w:r>
          </w:p>
        </w:tc>
        <w:tc>
          <w:tcPr>
            <w:tcW w:w="2900" w:type="dxa"/>
            <w:vAlign w:val="top"/>
            <w:gridSpan w:val="2"/>
            <w:tcBorders>
              <w:top w:val="single" w:color="000000" w:sz="10" w:space="0"/>
            </w:tcBorders>
          </w:tcPr>
          <w:p>
            <w:pPr>
              <w:pStyle w:val="TableText"/>
              <w:ind w:left="605"/>
              <w:spacing w:before="35" w:line="212" w:lineRule="auto"/>
              <w:rPr/>
            </w:pPr>
            <w:r>
              <w:rPr>
                <w:spacing w:val="6"/>
              </w:rPr>
              <w:t>标准限值</w:t>
            </w:r>
            <w:r>
              <w:rPr>
                <w:spacing w:val="-37"/>
              </w:rPr>
              <w:t xml:space="preserve"> </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tc>
        <w:tc>
          <w:tcPr>
            <w:tcW w:w="3887" w:type="dxa"/>
            <w:vAlign w:val="top"/>
            <w:vMerge w:val="restart"/>
            <w:tcBorders>
              <w:top w:val="single" w:color="000000" w:sz="10" w:space="0"/>
              <w:right w:val="nil"/>
              <w:bottom w:val="nil"/>
            </w:tcBorders>
          </w:tcPr>
          <w:p>
            <w:pPr>
              <w:pStyle w:val="TableText"/>
              <w:ind w:left="1533"/>
              <w:spacing w:before="174" w:line="230" w:lineRule="auto"/>
              <w:rPr/>
            </w:pPr>
            <w:r>
              <w:rPr>
                <w:spacing w:val="6"/>
              </w:rPr>
              <w:t>标准来源</w:t>
            </w:r>
          </w:p>
        </w:tc>
      </w:tr>
      <w:tr>
        <w:trPr>
          <w:trHeight w:val="271" w:hRule="atLeast"/>
        </w:trPr>
        <w:tc>
          <w:tcPr>
            <w:tcW w:w="2125" w:type="dxa"/>
            <w:vAlign w:val="top"/>
            <w:vMerge w:val="continue"/>
            <w:tcBorders>
              <w:top w:val="nil"/>
              <w:left w:val="nil"/>
            </w:tcBorders>
          </w:tcPr>
          <w:p>
            <w:pPr>
              <w:rPr>
                <w:rFonts w:ascii="Arial"/>
                <w:sz w:val="21"/>
              </w:rPr>
            </w:pPr>
            <w:r/>
          </w:p>
        </w:tc>
        <w:tc>
          <w:tcPr>
            <w:tcW w:w="1483" w:type="dxa"/>
            <w:vAlign w:val="top"/>
          </w:tcPr>
          <w:p>
            <w:pPr>
              <w:pStyle w:val="TableText"/>
              <w:ind w:left="541"/>
              <w:spacing w:before="36" w:line="207" w:lineRule="auto"/>
              <w:rPr/>
            </w:pPr>
            <w:r>
              <w:rPr>
                <w:spacing w:val="2"/>
              </w:rPr>
              <w:t>昼间</w:t>
            </w:r>
          </w:p>
        </w:tc>
        <w:tc>
          <w:tcPr>
            <w:tcW w:w="1417" w:type="dxa"/>
            <w:vAlign w:val="top"/>
          </w:tcPr>
          <w:p>
            <w:pPr>
              <w:pStyle w:val="TableText"/>
              <w:ind w:left="510"/>
              <w:spacing w:before="36" w:line="207" w:lineRule="auto"/>
              <w:rPr/>
            </w:pPr>
            <w:r>
              <w:rPr>
                <w:spacing w:val="2"/>
              </w:rPr>
              <w:t>夜间</w:t>
            </w:r>
          </w:p>
        </w:tc>
        <w:tc>
          <w:tcPr>
            <w:tcW w:w="3887" w:type="dxa"/>
            <w:vAlign w:val="top"/>
            <w:vMerge w:val="continue"/>
            <w:tcBorders>
              <w:top w:val="nil"/>
              <w:right w:val="nil"/>
            </w:tcBorders>
          </w:tcPr>
          <w:p>
            <w:pPr>
              <w:rPr>
                <w:rFonts w:ascii="Arial"/>
                <w:sz w:val="21"/>
              </w:rPr>
            </w:pPr>
            <w:r/>
          </w:p>
        </w:tc>
      </w:tr>
      <w:tr>
        <w:trPr>
          <w:trHeight w:val="561" w:hRule="atLeast"/>
        </w:trPr>
        <w:tc>
          <w:tcPr>
            <w:tcW w:w="2125" w:type="dxa"/>
            <w:vAlign w:val="top"/>
            <w:tcBorders>
              <w:bottom w:val="single" w:color="000000" w:sz="10" w:space="0"/>
              <w:left w:val="nil"/>
            </w:tcBorders>
          </w:tcPr>
          <w:p>
            <w:pPr>
              <w:pStyle w:val="TableText"/>
              <w:ind w:left="781"/>
              <w:spacing w:before="180" w:line="233" w:lineRule="auto"/>
              <w:rPr/>
            </w:pPr>
            <w:r>
              <w:rPr>
                <w:rFonts w:ascii="Times New Roman" w:hAnsi="Times New Roman" w:eastAsia="Times New Roman" w:cs="Times New Roman"/>
                <w:spacing w:val="-1"/>
              </w:rPr>
              <w:t>3</w:t>
            </w:r>
            <w:r>
              <w:rPr>
                <w:rFonts w:ascii="Times New Roman" w:hAnsi="Times New Roman" w:eastAsia="Times New Roman" w:cs="Times New Roman"/>
                <w:spacing w:val="17"/>
                <w:w w:val="101"/>
              </w:rPr>
              <w:t xml:space="preserve"> </w:t>
            </w:r>
            <w:r>
              <w:rPr>
                <w:spacing w:val="-1"/>
              </w:rPr>
              <w:t>类区</w:t>
            </w:r>
          </w:p>
        </w:tc>
        <w:tc>
          <w:tcPr>
            <w:tcW w:w="1483" w:type="dxa"/>
            <w:vAlign w:val="top"/>
            <w:tcBorders>
              <w:bottom w:val="single" w:color="000000" w:sz="10" w:space="0"/>
            </w:tcBorders>
          </w:tcPr>
          <w:p>
            <w:pPr>
              <w:ind w:left="642"/>
              <w:spacing w:before="2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417" w:type="dxa"/>
            <w:vAlign w:val="top"/>
            <w:tcBorders>
              <w:bottom w:val="single" w:color="000000" w:sz="10" w:space="0"/>
            </w:tcBorders>
          </w:tcPr>
          <w:p>
            <w:pPr>
              <w:ind w:left="609"/>
              <w:spacing w:before="21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3887" w:type="dxa"/>
            <w:vAlign w:val="top"/>
            <w:tcBorders>
              <w:bottom w:val="single" w:color="000000" w:sz="10" w:space="0"/>
              <w:right w:val="nil"/>
            </w:tcBorders>
          </w:tcPr>
          <w:p>
            <w:pPr>
              <w:pStyle w:val="TableText"/>
              <w:ind w:left="117"/>
              <w:spacing w:before="43" w:line="231" w:lineRule="auto"/>
              <w:rPr/>
            </w:pPr>
            <w:r>
              <w:rPr>
                <w:spacing w:val="7"/>
              </w:rPr>
              <w:t>《声环境质量标准》（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6"/>
              </w:rPr>
              <w:t>）中</w:t>
            </w:r>
          </w:p>
          <w:p>
            <w:pPr>
              <w:pStyle w:val="TableText"/>
              <w:ind w:left="1452"/>
              <w:spacing w:before="23" w:line="216" w:lineRule="auto"/>
              <w:rPr/>
            </w:pPr>
            <w:r>
              <w:rPr>
                <w:rFonts w:ascii="Times New Roman" w:hAnsi="Times New Roman" w:eastAsia="Times New Roman" w:cs="Times New Roman"/>
                <w:spacing w:val="3"/>
              </w:rPr>
              <w:t>3</w:t>
            </w:r>
            <w:r>
              <w:rPr>
                <w:rFonts w:ascii="Times New Roman" w:hAnsi="Times New Roman" w:eastAsia="Times New Roman" w:cs="Times New Roman"/>
                <w:spacing w:val="19"/>
              </w:rPr>
              <w:t xml:space="preserve"> </w:t>
            </w:r>
            <w:r>
              <w:rPr>
                <w:spacing w:val="3"/>
              </w:rPr>
              <w:t>类区标准</w:t>
            </w:r>
          </w:p>
        </w:tc>
      </w:tr>
    </w:tbl>
    <w:p>
      <w:pPr>
        <w:pStyle w:val="BodyText"/>
        <w:spacing w:line="370" w:lineRule="auto"/>
        <w:rPr/>
      </w:pPr>
      <w:r/>
    </w:p>
    <w:p>
      <w:pPr>
        <w:ind w:left="114"/>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2.6.1.3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地下水</w:t>
      </w:r>
    </w:p>
    <w:p>
      <w:pPr>
        <w:ind w:left="126" w:right="107" w:firstLine="479"/>
        <w:spacing w:before="178" w:line="359" w:lineRule="auto"/>
        <w:jc w:val="both"/>
        <w:rPr>
          <w:rFonts w:ascii="FangSong" w:hAnsi="FangSong" w:eastAsia="FangSong" w:cs="FangSong"/>
          <w:sz w:val="24"/>
          <w:szCs w:val="24"/>
        </w:rPr>
      </w:pPr>
      <w:r>
        <w:rPr>
          <w:rFonts w:ascii="FangSong" w:hAnsi="FangSong" w:eastAsia="FangSong" w:cs="FangSong"/>
          <w:sz w:val="24"/>
          <w:szCs w:val="24"/>
          <w:spacing w:val="1"/>
        </w:rPr>
        <w:t>评价区内地下水主要适用于集中式生活饮用水水源及工、农业用水，因此，地</w:t>
      </w:r>
      <w:r>
        <w:rPr>
          <w:rFonts w:ascii="FangSong" w:hAnsi="FangSong" w:eastAsia="FangSong" w:cs="FangSong"/>
          <w:sz w:val="24"/>
          <w:szCs w:val="24"/>
          <w:spacing w:val="-3"/>
        </w:rPr>
        <w:t>下水环境质量标准执行《地下水质量标准》（</w:t>
      </w:r>
      <w:r>
        <w:rPr>
          <w:rFonts w:ascii="Times New Roman" w:hAnsi="Times New Roman" w:eastAsia="Times New Roman" w:cs="Times New Roman"/>
          <w:sz w:val="24"/>
          <w:szCs w:val="24"/>
          <w:spacing w:val="-3"/>
        </w:rPr>
        <w:t>GH/T1484</w:t>
      </w:r>
      <w:r>
        <w:rPr>
          <w:rFonts w:ascii="Times New Roman" w:hAnsi="Times New Roman" w:eastAsia="Times New Roman" w:cs="Times New Roman"/>
          <w:sz w:val="24"/>
          <w:szCs w:val="24"/>
          <w:spacing w:val="-4"/>
        </w:rPr>
        <w:t>8-2017</w:t>
      </w:r>
      <w:r>
        <w:rPr>
          <w:rFonts w:ascii="FangSong" w:hAnsi="FangSong" w:eastAsia="FangSong" w:cs="FangSong"/>
          <w:sz w:val="24"/>
          <w:szCs w:val="24"/>
          <w:spacing w:val="-4"/>
        </w:rPr>
        <w:t>）中的</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III</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类标准。详</w:t>
      </w:r>
      <w:r>
        <w:rPr>
          <w:rFonts w:ascii="FangSong" w:hAnsi="FangSong" w:eastAsia="FangSong" w:cs="FangSong"/>
          <w:sz w:val="24"/>
          <w:szCs w:val="24"/>
          <w:spacing w:val="-3"/>
        </w:rPr>
        <w:t>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2.6-3</w:t>
      </w:r>
      <w:r>
        <w:rPr>
          <w:rFonts w:ascii="FangSong" w:hAnsi="FangSong" w:eastAsia="FangSong" w:cs="FangSong"/>
          <w:sz w:val="24"/>
          <w:szCs w:val="24"/>
          <w:spacing w:val="-3"/>
        </w:rPr>
        <w:t>。</w:t>
      </w:r>
    </w:p>
    <w:p>
      <w:pPr>
        <w:ind w:left="3169"/>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b/>
          <w:bCs/>
          <w:spacing w:val="-3"/>
        </w:rPr>
        <w:t>2.6-3  </w:t>
      </w:r>
      <w:r>
        <w:rPr>
          <w:rFonts w:ascii="FangSong" w:hAnsi="FangSong" w:eastAsia="FangSong" w:cs="FangSong"/>
          <w:sz w:val="24"/>
          <w:szCs w:val="24"/>
          <w:b/>
          <w:bCs/>
          <w:spacing w:val="-3"/>
        </w:rPr>
        <w:t>地下水质量标准</w:t>
      </w:r>
    </w:p>
    <w:p>
      <w:pPr>
        <w:spacing w:line="143" w:lineRule="exact"/>
        <w:rPr/>
      </w:pPr>
      <w:r/>
    </w:p>
    <w:tbl>
      <w:tblPr>
        <w:tblStyle w:val="TableNormal"/>
        <w:tblW w:w="890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1861"/>
        <w:gridCol w:w="1638"/>
        <w:gridCol w:w="1531"/>
        <w:gridCol w:w="3072"/>
      </w:tblGrid>
      <w:tr>
        <w:trPr>
          <w:trHeight w:val="348" w:hRule="atLeast"/>
        </w:trPr>
        <w:tc>
          <w:tcPr>
            <w:tcW w:w="806" w:type="dxa"/>
            <w:vAlign w:val="top"/>
            <w:tcBorders>
              <w:left w:val="nil"/>
              <w:top w:val="single" w:color="000000" w:sz="10" w:space="0"/>
            </w:tcBorders>
          </w:tcPr>
          <w:p>
            <w:pPr>
              <w:pStyle w:val="TableText"/>
              <w:ind w:left="206"/>
              <w:spacing w:before="68" w:line="231" w:lineRule="auto"/>
              <w:rPr/>
            </w:pPr>
            <w:r>
              <w:rPr>
                <w:spacing w:val="2"/>
              </w:rPr>
              <w:t>序号</w:t>
            </w:r>
          </w:p>
        </w:tc>
        <w:tc>
          <w:tcPr>
            <w:tcW w:w="1861" w:type="dxa"/>
            <w:vAlign w:val="top"/>
            <w:tcBorders>
              <w:top w:val="single" w:color="000000" w:sz="10" w:space="0"/>
            </w:tcBorders>
          </w:tcPr>
          <w:p>
            <w:pPr>
              <w:pStyle w:val="TableText"/>
              <w:ind w:left="733"/>
              <w:spacing w:before="69" w:line="232" w:lineRule="auto"/>
              <w:rPr/>
            </w:pPr>
            <w:r>
              <w:rPr>
                <w:spacing w:val="1"/>
              </w:rPr>
              <w:t>项目</w:t>
            </w:r>
          </w:p>
        </w:tc>
        <w:tc>
          <w:tcPr>
            <w:tcW w:w="1638" w:type="dxa"/>
            <w:vAlign w:val="top"/>
            <w:tcBorders>
              <w:top w:val="single" w:color="000000" w:sz="10" w:space="0"/>
            </w:tcBorders>
          </w:tcPr>
          <w:p>
            <w:pPr>
              <w:pStyle w:val="TableText"/>
              <w:ind w:left="625"/>
              <w:spacing w:before="69" w:line="229" w:lineRule="auto"/>
              <w:rPr/>
            </w:pPr>
            <w:r>
              <w:rPr>
                <w:spacing w:val="-1"/>
              </w:rPr>
              <w:t>单位</w:t>
            </w:r>
          </w:p>
        </w:tc>
        <w:tc>
          <w:tcPr>
            <w:tcW w:w="1531" w:type="dxa"/>
            <w:vAlign w:val="top"/>
            <w:tcBorders>
              <w:top w:val="single" w:color="000000" w:sz="10" w:space="0"/>
            </w:tcBorders>
          </w:tcPr>
          <w:p>
            <w:pPr>
              <w:pStyle w:val="TableText"/>
              <w:ind w:left="355"/>
              <w:spacing w:before="68" w:line="231" w:lineRule="auto"/>
              <w:rPr/>
            </w:pPr>
            <w:r>
              <w:rPr>
                <w:spacing w:val="6"/>
              </w:rPr>
              <w:t>标准限值</w:t>
            </w:r>
          </w:p>
        </w:tc>
        <w:tc>
          <w:tcPr>
            <w:tcW w:w="3072" w:type="dxa"/>
            <w:vAlign w:val="top"/>
            <w:tcBorders>
              <w:right w:val="nil"/>
              <w:top w:val="single" w:color="000000" w:sz="10" w:space="0"/>
            </w:tcBorders>
          </w:tcPr>
          <w:p>
            <w:pPr>
              <w:pStyle w:val="TableText"/>
              <w:ind w:left="1125"/>
              <w:spacing w:before="69" w:line="230" w:lineRule="auto"/>
              <w:rPr/>
            </w:pPr>
            <w:r>
              <w:rPr>
                <w:spacing w:val="6"/>
              </w:rPr>
              <w:t>标准来源</w:t>
            </w:r>
          </w:p>
        </w:tc>
      </w:tr>
      <w:tr>
        <w:trPr>
          <w:trHeight w:val="343" w:hRule="atLeast"/>
        </w:trPr>
        <w:tc>
          <w:tcPr>
            <w:tcW w:w="806" w:type="dxa"/>
            <w:vAlign w:val="top"/>
            <w:tcBorders>
              <w:left w:val="nil"/>
            </w:tcBorders>
          </w:tcPr>
          <w:p>
            <w:pPr>
              <w:ind w:left="375"/>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1" w:type="dxa"/>
            <w:vAlign w:val="top"/>
          </w:tcPr>
          <w:p>
            <w:pPr>
              <w:ind w:left="799"/>
              <w:spacing w:before="10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1638" w:type="dxa"/>
            <w:vAlign w:val="top"/>
          </w:tcPr>
          <w:p>
            <w:pPr>
              <w:pStyle w:val="TableText"/>
              <w:ind w:left="517"/>
              <w:spacing w:before="66" w:line="233" w:lineRule="auto"/>
              <w:rPr/>
            </w:pPr>
            <w:r>
              <w:rPr>
                <w:spacing w:val="4"/>
              </w:rPr>
              <w:t>无量纲</w:t>
            </w:r>
          </w:p>
        </w:tc>
        <w:tc>
          <w:tcPr>
            <w:tcW w:w="1531" w:type="dxa"/>
            <w:vAlign w:val="top"/>
          </w:tcPr>
          <w:p>
            <w:pPr>
              <w:ind w:left="47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6.5-8.5</w:t>
            </w:r>
          </w:p>
        </w:tc>
        <w:tc>
          <w:tcPr>
            <w:tcW w:w="3072" w:type="dxa"/>
            <w:vAlign w:val="top"/>
            <w:vMerge w:val="restart"/>
            <w:tcBorders>
              <w:right w:val="nil"/>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602"/>
              <w:spacing w:before="65" w:line="231" w:lineRule="auto"/>
              <w:rPr/>
            </w:pPr>
            <w:r>
              <w:rPr>
                <w:spacing w:val="7"/>
              </w:rPr>
              <w:t>《地下水质量标准》</w:t>
            </w:r>
          </w:p>
          <w:p>
            <w:pPr>
              <w:pStyle w:val="TableText"/>
              <w:ind w:left="357"/>
              <w:spacing w:before="21" w:line="233" w:lineRule="auto"/>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/T14848-2017</w:t>
            </w:r>
            <w:r>
              <w:rPr>
                <w:spacing w:val="5"/>
              </w:rPr>
              <w:t>）</w:t>
            </w:r>
            <w:r>
              <w:rPr>
                <w:rFonts w:ascii="Times New Roman" w:hAnsi="Times New Roman" w:eastAsia="Times New Roman" w:cs="Times New Roman"/>
              </w:rPr>
              <w:t>III</w:t>
            </w:r>
            <w:r>
              <w:rPr>
                <w:rFonts w:ascii="Times New Roman" w:hAnsi="Times New Roman" w:eastAsia="Times New Roman" w:cs="Times New Roman"/>
                <w:spacing w:val="26"/>
                <w:w w:val="101"/>
              </w:rPr>
              <w:t xml:space="preserve"> </w:t>
            </w:r>
            <w:r>
              <w:rPr>
                <w:spacing w:val="5"/>
              </w:rPr>
              <w:t>类</w:t>
            </w:r>
          </w:p>
        </w:tc>
      </w:tr>
      <w:tr>
        <w:trPr>
          <w:trHeight w:val="344" w:hRule="atLeast"/>
        </w:trPr>
        <w:tc>
          <w:tcPr>
            <w:tcW w:w="806" w:type="dxa"/>
            <w:vAlign w:val="top"/>
            <w:tcBorders>
              <w:left w:val="nil"/>
            </w:tcBorders>
          </w:tcPr>
          <w:p>
            <w:pPr>
              <w:ind w:left="35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61" w:type="dxa"/>
            <w:vAlign w:val="top"/>
          </w:tcPr>
          <w:p>
            <w:pPr>
              <w:pStyle w:val="TableText"/>
              <w:ind w:left="635"/>
              <w:spacing w:before="68" w:line="232" w:lineRule="auto"/>
              <w:rPr/>
            </w:pPr>
            <w:r>
              <w:rPr>
                <w:spacing w:val="2"/>
              </w:rPr>
              <w:t>总硬度</w:t>
            </w:r>
          </w:p>
        </w:tc>
        <w:tc>
          <w:tcPr>
            <w:tcW w:w="1638" w:type="dxa"/>
            <w:vAlign w:val="top"/>
          </w:tcPr>
          <w:p>
            <w:pPr>
              <w:ind w:left="589"/>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523"/>
              <w:spacing w:before="68" w:line="266"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450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5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1" w:type="dxa"/>
            <w:vAlign w:val="top"/>
          </w:tcPr>
          <w:p>
            <w:pPr>
              <w:pStyle w:val="TableText"/>
              <w:ind w:left="424"/>
              <w:spacing w:before="70" w:line="231" w:lineRule="auto"/>
              <w:rPr/>
            </w:pPr>
            <w:r>
              <w:rPr>
                <w:spacing w:val="5"/>
              </w:rPr>
              <w:t>总大肠菌群</w:t>
            </w:r>
          </w:p>
        </w:tc>
        <w:tc>
          <w:tcPr>
            <w:tcW w:w="1638" w:type="dxa"/>
            <w:vAlign w:val="top"/>
          </w:tcPr>
          <w:p>
            <w:pPr>
              <w:ind w:left="497"/>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z w:val="20"/>
                <w:szCs w:val="20"/>
                <w:spacing w:val="11"/>
              </w:rPr>
              <w:t>/L</w:t>
            </w:r>
          </w:p>
        </w:tc>
        <w:tc>
          <w:tcPr>
            <w:tcW w:w="1531" w:type="dxa"/>
            <w:vAlign w:val="top"/>
          </w:tcPr>
          <w:p>
            <w:pPr>
              <w:pStyle w:val="TableText"/>
              <w:ind w:left="575"/>
              <w:spacing w:before="70" w:line="264" w:lineRule="exact"/>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30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5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861" w:type="dxa"/>
            <w:vAlign w:val="top"/>
          </w:tcPr>
          <w:p>
            <w:pPr>
              <w:pStyle w:val="TableText"/>
              <w:ind w:left="525"/>
              <w:spacing w:before="68" w:line="232" w:lineRule="auto"/>
              <w:rPr/>
            </w:pPr>
            <w:r>
              <w:rPr>
                <w:spacing w:val="4"/>
              </w:rPr>
              <w:t>菌落总数</w:t>
            </w:r>
          </w:p>
        </w:tc>
        <w:tc>
          <w:tcPr>
            <w:tcW w:w="1638" w:type="dxa"/>
            <w:vAlign w:val="top"/>
          </w:tcPr>
          <w:p>
            <w:pPr>
              <w:ind w:left="444"/>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CFU/mL</w:t>
            </w:r>
          </w:p>
        </w:tc>
        <w:tc>
          <w:tcPr>
            <w:tcW w:w="1531" w:type="dxa"/>
            <w:vAlign w:val="top"/>
          </w:tcPr>
          <w:p>
            <w:pPr>
              <w:pStyle w:val="TableText"/>
              <w:ind w:left="523"/>
              <w:spacing w:before="69" w:line="265"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100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61"/>
              <w:spacing w:before="11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61" w:type="dxa"/>
            <w:vAlign w:val="top"/>
          </w:tcPr>
          <w:p>
            <w:pPr>
              <w:pStyle w:val="TableText"/>
              <w:ind w:left="311"/>
              <w:spacing w:before="70" w:line="229" w:lineRule="auto"/>
              <w:rPr/>
            </w:pPr>
            <w:r>
              <w:rPr>
                <w:spacing w:val="7"/>
              </w:rPr>
              <w:t>溶解性总固体</w:t>
            </w:r>
          </w:p>
        </w:tc>
        <w:tc>
          <w:tcPr>
            <w:tcW w:w="1638" w:type="dxa"/>
            <w:vAlign w:val="top"/>
          </w:tcPr>
          <w:p>
            <w:pPr>
              <w:ind w:left="589"/>
              <w:spacing w:before="10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70"/>
              <w:spacing w:before="70" w:line="264"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1000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5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61" w:type="dxa"/>
            <w:vAlign w:val="top"/>
          </w:tcPr>
          <w:p>
            <w:pPr>
              <w:pStyle w:val="TableText"/>
              <w:ind w:left="318"/>
              <w:spacing w:before="71" w:line="232" w:lineRule="auto"/>
              <w:rPr/>
            </w:pPr>
            <w:r>
              <w:rPr>
                <w:spacing w:val="6"/>
              </w:rPr>
              <w:t>高锰酸盐指数</w:t>
            </w:r>
          </w:p>
        </w:tc>
        <w:tc>
          <w:tcPr>
            <w:tcW w:w="1638" w:type="dxa"/>
            <w:vAlign w:val="top"/>
          </w:tcPr>
          <w:p>
            <w:pPr>
              <w:ind w:left="589"/>
              <w:spacing w:before="10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549"/>
              <w:spacing w:before="71" w:line="242"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3.0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58"/>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61" w:type="dxa"/>
            <w:vAlign w:val="top"/>
          </w:tcPr>
          <w:p>
            <w:pPr>
              <w:ind w:left="629"/>
              <w:spacing w:before="112"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1638" w:type="dxa"/>
            <w:vAlign w:val="top"/>
          </w:tcPr>
          <w:p>
            <w:pPr>
              <w:ind w:left="589"/>
              <w:spacing w:before="10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74"/>
              <w:rPr>
                <w:rFonts w:ascii="Times New Roman" w:hAnsi="Times New Roman" w:eastAsia="Times New Roman" w:cs="Times New Roman"/>
              </w:rPr>
            </w:pPr>
            <w:r>
              <w:rPr/>
              <w:t>≤</w:t>
            </w:r>
            <w:r>
              <w:rPr>
                <w:rFonts w:ascii="Times New Roman" w:hAnsi="Times New Roman" w:eastAsia="Times New Roman" w:cs="Times New Roman"/>
              </w:rPr>
              <w:t>0.50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6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61" w:type="dxa"/>
            <w:vAlign w:val="top"/>
          </w:tcPr>
          <w:p>
            <w:pPr>
              <w:pStyle w:val="TableText"/>
              <w:ind w:left="521"/>
              <w:spacing w:before="74" w:line="228" w:lineRule="auto"/>
              <w:rPr/>
            </w:pPr>
            <w:r>
              <w:rPr>
                <w:spacing w:val="5"/>
              </w:rPr>
              <w:t>硝酸盐氮</w:t>
            </w:r>
          </w:p>
        </w:tc>
        <w:tc>
          <w:tcPr>
            <w:tcW w:w="1638" w:type="dxa"/>
            <w:vAlign w:val="top"/>
          </w:tcPr>
          <w:p>
            <w:pPr>
              <w:ind w:left="589"/>
              <w:spacing w:before="10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75" w:line="239" w:lineRule="auto"/>
              <w:rPr>
                <w:rFonts w:ascii="Times New Roman" w:hAnsi="Times New Roman" w:eastAsia="Times New Roman" w:cs="Times New Roman"/>
              </w:rPr>
            </w:pPr>
            <w:r>
              <w:rPr/>
              <w:t>≤</w:t>
            </w:r>
            <w:r>
              <w:rPr>
                <w:rFonts w:ascii="Times New Roman" w:hAnsi="Times New Roman" w:eastAsia="Times New Roman" w:cs="Times New Roman"/>
              </w:rPr>
              <w:t>20.0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5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861" w:type="dxa"/>
            <w:vAlign w:val="top"/>
          </w:tcPr>
          <w:p>
            <w:pPr>
              <w:pStyle w:val="TableText"/>
              <w:ind w:left="418"/>
              <w:spacing w:before="76" w:line="228" w:lineRule="auto"/>
              <w:rPr/>
            </w:pPr>
            <w:r>
              <w:rPr>
                <w:spacing w:val="6"/>
              </w:rPr>
              <w:t>亚硝酸盐氮</w:t>
            </w:r>
          </w:p>
        </w:tc>
        <w:tc>
          <w:tcPr>
            <w:tcW w:w="1638" w:type="dxa"/>
            <w:vAlign w:val="top"/>
          </w:tcPr>
          <w:p>
            <w:pPr>
              <w:ind w:left="589"/>
              <w:spacing w:before="10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76" w:line="238" w:lineRule="auto"/>
              <w:rPr>
                <w:rFonts w:ascii="Times New Roman" w:hAnsi="Times New Roman" w:eastAsia="Times New Roman" w:cs="Times New Roman"/>
              </w:rPr>
            </w:pPr>
            <w:r>
              <w:rPr/>
              <w:t>≤</w:t>
            </w:r>
            <w:r>
              <w:rPr>
                <w:rFonts w:ascii="Times New Roman" w:hAnsi="Times New Roman" w:eastAsia="Times New Roman" w:cs="Times New Roman"/>
              </w:rPr>
              <w:t>1.00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861" w:type="dxa"/>
            <w:vAlign w:val="top"/>
          </w:tcPr>
          <w:p>
            <w:pPr>
              <w:pStyle w:val="TableText"/>
              <w:ind w:left="628"/>
              <w:spacing w:before="75" w:line="231" w:lineRule="auto"/>
              <w:rPr/>
            </w:pPr>
            <w:r>
              <w:rPr>
                <w:spacing w:val="4"/>
              </w:rPr>
              <w:t>挥发酚</w:t>
            </w:r>
          </w:p>
        </w:tc>
        <w:tc>
          <w:tcPr>
            <w:tcW w:w="1638" w:type="dxa"/>
            <w:vAlign w:val="top"/>
          </w:tcPr>
          <w:p>
            <w:pPr>
              <w:ind w:left="589"/>
              <w:spacing w:before="10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43"/>
              <w:spacing w:before="75" w:line="239"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0.002</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7"/>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861" w:type="dxa"/>
            <w:vAlign w:val="top"/>
          </w:tcPr>
          <w:p>
            <w:pPr>
              <w:pStyle w:val="TableText"/>
              <w:ind w:left="636"/>
              <w:spacing w:before="77" w:line="229" w:lineRule="auto"/>
              <w:rPr/>
            </w:pPr>
            <w:r>
              <w:rPr>
                <w:spacing w:val="1"/>
              </w:rPr>
              <w:t>氰化物</w:t>
            </w:r>
          </w:p>
        </w:tc>
        <w:tc>
          <w:tcPr>
            <w:tcW w:w="1638" w:type="dxa"/>
            <w:vAlign w:val="top"/>
          </w:tcPr>
          <w:p>
            <w:pPr>
              <w:ind w:left="589"/>
              <w:spacing w:before="11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76" w:line="238" w:lineRule="auto"/>
              <w:rPr>
                <w:rFonts w:ascii="Times New Roman" w:hAnsi="Times New Roman" w:eastAsia="Times New Roman" w:cs="Times New Roman"/>
              </w:rPr>
            </w:pPr>
            <w:r>
              <w:rPr/>
              <w:t>≤</w:t>
            </w:r>
            <w:r>
              <w:rPr>
                <w:rFonts w:ascii="Times New Roman" w:hAnsi="Times New Roman" w:eastAsia="Times New Roman" w:cs="Times New Roman"/>
              </w:rPr>
              <w:t>0.05</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861" w:type="dxa"/>
            <w:vAlign w:val="top"/>
          </w:tcPr>
          <w:p>
            <w:pPr>
              <w:pStyle w:val="TableText"/>
              <w:ind w:left="835"/>
              <w:spacing w:before="77" w:line="229" w:lineRule="auto"/>
              <w:rPr/>
            </w:pPr>
            <w:r>
              <w:rPr/>
              <w:t>砷</w:t>
            </w:r>
          </w:p>
        </w:tc>
        <w:tc>
          <w:tcPr>
            <w:tcW w:w="1638" w:type="dxa"/>
            <w:vAlign w:val="top"/>
          </w:tcPr>
          <w:p>
            <w:pPr>
              <w:ind w:left="589"/>
              <w:spacing w:before="11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78" w:line="236" w:lineRule="auto"/>
              <w:rPr>
                <w:rFonts w:ascii="Times New Roman" w:hAnsi="Times New Roman" w:eastAsia="Times New Roman" w:cs="Times New Roman"/>
              </w:rPr>
            </w:pPr>
            <w:r>
              <w:rPr/>
              <w:t>≤</w:t>
            </w:r>
            <w:r>
              <w:rPr>
                <w:rFonts w:ascii="Times New Roman" w:hAnsi="Times New Roman" w:eastAsia="Times New Roman" w:cs="Times New Roman"/>
              </w:rPr>
              <w:t>0.01</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861" w:type="dxa"/>
            <w:vAlign w:val="top"/>
          </w:tcPr>
          <w:p>
            <w:pPr>
              <w:pStyle w:val="TableText"/>
              <w:ind w:left="836"/>
              <w:spacing w:before="79" w:line="232" w:lineRule="auto"/>
              <w:rPr/>
            </w:pPr>
            <w:r>
              <w:rPr/>
              <w:t>汞</w:t>
            </w:r>
          </w:p>
        </w:tc>
        <w:tc>
          <w:tcPr>
            <w:tcW w:w="1638" w:type="dxa"/>
            <w:vAlign w:val="top"/>
          </w:tcPr>
          <w:p>
            <w:pPr>
              <w:ind w:left="589"/>
              <w:spacing w:before="11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43"/>
              <w:spacing w:before="79" w:line="235"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0.001</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861" w:type="dxa"/>
            <w:vAlign w:val="top"/>
          </w:tcPr>
          <w:p>
            <w:pPr>
              <w:pStyle w:val="TableText"/>
              <w:ind w:left="628"/>
              <w:spacing w:before="80" w:line="230" w:lineRule="auto"/>
              <w:rPr/>
            </w:pPr>
            <w:r>
              <w:rPr>
                <w:spacing w:val="4"/>
              </w:rPr>
              <w:t>六价铬</w:t>
            </w:r>
          </w:p>
        </w:tc>
        <w:tc>
          <w:tcPr>
            <w:tcW w:w="1638" w:type="dxa"/>
            <w:vAlign w:val="top"/>
          </w:tcPr>
          <w:p>
            <w:pPr>
              <w:ind w:left="589"/>
              <w:spacing w:before="11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80" w:line="234" w:lineRule="auto"/>
              <w:rPr>
                <w:rFonts w:ascii="Times New Roman" w:hAnsi="Times New Roman" w:eastAsia="Times New Roman" w:cs="Times New Roman"/>
              </w:rPr>
            </w:pPr>
            <w:r>
              <w:rPr/>
              <w:t>≤</w:t>
            </w:r>
            <w:r>
              <w:rPr>
                <w:rFonts w:ascii="Times New Roman" w:hAnsi="Times New Roman" w:eastAsia="Times New Roman" w:cs="Times New Roman"/>
              </w:rPr>
              <w:t>0.05</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861" w:type="dxa"/>
            <w:vAlign w:val="top"/>
          </w:tcPr>
          <w:p>
            <w:pPr>
              <w:pStyle w:val="TableText"/>
              <w:ind w:left="834"/>
              <w:spacing w:before="82" w:line="231" w:lineRule="auto"/>
              <w:rPr/>
            </w:pPr>
            <w:r>
              <w:rPr/>
              <w:t>铅</w:t>
            </w:r>
          </w:p>
        </w:tc>
        <w:tc>
          <w:tcPr>
            <w:tcW w:w="1638" w:type="dxa"/>
            <w:vAlign w:val="top"/>
          </w:tcPr>
          <w:p>
            <w:pPr>
              <w:ind w:left="589"/>
              <w:spacing w:before="11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82" w:line="232" w:lineRule="auto"/>
              <w:rPr>
                <w:rFonts w:ascii="Times New Roman" w:hAnsi="Times New Roman" w:eastAsia="Times New Roman" w:cs="Times New Roman"/>
              </w:rPr>
            </w:pPr>
            <w:r>
              <w:rPr/>
              <w:t>≤</w:t>
            </w:r>
            <w:r>
              <w:rPr>
                <w:rFonts w:ascii="Times New Roman" w:hAnsi="Times New Roman" w:eastAsia="Times New Roman" w:cs="Times New Roman"/>
              </w:rPr>
              <w:t>0.01</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861" w:type="dxa"/>
            <w:vAlign w:val="top"/>
          </w:tcPr>
          <w:p>
            <w:pPr>
              <w:pStyle w:val="TableText"/>
              <w:ind w:left="632"/>
              <w:spacing w:before="81" w:line="229" w:lineRule="auto"/>
              <w:rPr/>
            </w:pPr>
            <w:r>
              <w:rPr>
                <w:spacing w:val="3"/>
              </w:rPr>
              <w:t>氟化物</w:t>
            </w:r>
          </w:p>
        </w:tc>
        <w:tc>
          <w:tcPr>
            <w:tcW w:w="1638" w:type="dxa"/>
            <w:vAlign w:val="top"/>
          </w:tcPr>
          <w:p>
            <w:pPr>
              <w:ind w:left="589"/>
              <w:spacing w:before="11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549"/>
              <w:spacing w:before="81" w:line="233"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1.0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861" w:type="dxa"/>
            <w:vAlign w:val="top"/>
          </w:tcPr>
          <w:p>
            <w:pPr>
              <w:pStyle w:val="TableText"/>
              <w:ind w:left="836"/>
              <w:spacing w:before="82" w:line="232" w:lineRule="auto"/>
              <w:rPr/>
            </w:pPr>
            <w:r>
              <w:rPr/>
              <w:t>镉</w:t>
            </w:r>
          </w:p>
        </w:tc>
        <w:tc>
          <w:tcPr>
            <w:tcW w:w="1638" w:type="dxa"/>
            <w:vAlign w:val="top"/>
          </w:tcPr>
          <w:p>
            <w:pPr>
              <w:ind w:left="589"/>
              <w:spacing w:before="11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43"/>
              <w:spacing w:before="82" w:line="232"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0.005</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861" w:type="dxa"/>
            <w:vAlign w:val="top"/>
          </w:tcPr>
          <w:p>
            <w:pPr>
              <w:pStyle w:val="TableText"/>
              <w:ind w:left="837"/>
              <w:spacing w:before="83" w:line="231" w:lineRule="auto"/>
              <w:rPr/>
            </w:pPr>
            <w:r>
              <w:rPr/>
              <w:t>铁</w:t>
            </w:r>
          </w:p>
        </w:tc>
        <w:tc>
          <w:tcPr>
            <w:tcW w:w="1638" w:type="dxa"/>
            <w:vAlign w:val="top"/>
          </w:tcPr>
          <w:p>
            <w:pPr>
              <w:ind w:left="589"/>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549"/>
              <w:spacing w:before="83" w:line="231"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0.3</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22"/>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861" w:type="dxa"/>
            <w:vAlign w:val="top"/>
          </w:tcPr>
          <w:p>
            <w:pPr>
              <w:pStyle w:val="TableText"/>
              <w:ind w:left="835"/>
              <w:spacing w:before="85" w:line="229" w:lineRule="auto"/>
              <w:rPr/>
            </w:pPr>
            <w:r>
              <w:rPr/>
              <w:t>锰</w:t>
            </w:r>
          </w:p>
        </w:tc>
        <w:tc>
          <w:tcPr>
            <w:tcW w:w="1638" w:type="dxa"/>
            <w:vAlign w:val="top"/>
          </w:tcPr>
          <w:p>
            <w:pPr>
              <w:ind w:left="589"/>
              <w:spacing w:before="11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85" w:line="229" w:lineRule="auto"/>
              <w:rPr>
                <w:rFonts w:ascii="Times New Roman" w:hAnsi="Times New Roman" w:eastAsia="Times New Roman" w:cs="Times New Roman"/>
              </w:rPr>
            </w:pPr>
            <w:r>
              <w:rPr/>
              <w:t>≤</w:t>
            </w:r>
            <w:r>
              <w:rPr>
                <w:rFonts w:ascii="Times New Roman" w:hAnsi="Times New Roman" w:eastAsia="Times New Roman" w:cs="Times New Roman"/>
              </w:rPr>
              <w:t>0.10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0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861" w:type="dxa"/>
            <w:vAlign w:val="top"/>
          </w:tcPr>
          <w:p>
            <w:pPr>
              <w:pStyle w:val="TableText"/>
              <w:ind w:left="837"/>
              <w:spacing w:before="86" w:line="228" w:lineRule="auto"/>
              <w:rPr/>
            </w:pPr>
            <w:r>
              <w:rPr/>
              <w:t>铜</w:t>
            </w:r>
          </w:p>
        </w:tc>
        <w:tc>
          <w:tcPr>
            <w:tcW w:w="1638" w:type="dxa"/>
            <w:vAlign w:val="top"/>
          </w:tcPr>
          <w:p>
            <w:pPr>
              <w:ind w:left="589"/>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86" w:line="228" w:lineRule="auto"/>
              <w:rPr>
                <w:rFonts w:ascii="Times New Roman" w:hAnsi="Times New Roman" w:eastAsia="Times New Roman" w:cs="Times New Roman"/>
              </w:rPr>
            </w:pPr>
            <w:r>
              <w:rPr/>
              <w:t>≤</w:t>
            </w:r>
            <w:r>
              <w:rPr>
                <w:rFonts w:ascii="Times New Roman" w:hAnsi="Times New Roman" w:eastAsia="Times New Roman" w:cs="Times New Roman"/>
              </w:rPr>
              <w:t>1.00</w:t>
            </w:r>
          </w:p>
        </w:tc>
        <w:tc>
          <w:tcPr>
            <w:tcW w:w="3072" w:type="dxa"/>
            <w:vAlign w:val="top"/>
            <w:vMerge w:val="continue"/>
            <w:tcBorders>
              <w:right w:val="nil"/>
              <w:bottom w:val="nil"/>
              <w:top w:val="nil"/>
            </w:tcBorders>
          </w:tcPr>
          <w:p>
            <w:pPr>
              <w:rPr>
                <w:rFonts w:ascii="Arial"/>
                <w:sz w:val="21"/>
              </w:rPr>
            </w:pPr>
            <w:r/>
          </w:p>
        </w:tc>
      </w:tr>
      <w:tr>
        <w:trPr>
          <w:trHeight w:val="344" w:hRule="atLeast"/>
        </w:trPr>
        <w:tc>
          <w:tcPr>
            <w:tcW w:w="806" w:type="dxa"/>
            <w:vAlign w:val="top"/>
            <w:tcBorders>
              <w:left w:val="nil"/>
            </w:tcBorders>
          </w:tcPr>
          <w:p>
            <w:pPr>
              <w:ind w:left="30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861" w:type="dxa"/>
            <w:vAlign w:val="top"/>
          </w:tcPr>
          <w:p>
            <w:pPr>
              <w:pStyle w:val="TableText"/>
              <w:ind w:left="835"/>
              <w:spacing w:before="88" w:line="227" w:lineRule="auto"/>
              <w:rPr/>
            </w:pPr>
            <w:r>
              <w:rPr/>
              <w:t>锌</w:t>
            </w:r>
          </w:p>
        </w:tc>
        <w:tc>
          <w:tcPr>
            <w:tcW w:w="1638" w:type="dxa"/>
            <w:vAlign w:val="top"/>
          </w:tcPr>
          <w:p>
            <w:pPr>
              <w:ind w:left="589"/>
              <w:spacing w:before="12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496"/>
              <w:spacing w:before="88" w:line="227" w:lineRule="auto"/>
              <w:rPr>
                <w:rFonts w:ascii="Times New Roman" w:hAnsi="Times New Roman" w:eastAsia="Times New Roman" w:cs="Times New Roman"/>
              </w:rPr>
            </w:pPr>
            <w:r>
              <w:rPr/>
              <w:t>≤</w:t>
            </w:r>
            <w:r>
              <w:rPr>
                <w:rFonts w:ascii="Times New Roman" w:hAnsi="Times New Roman" w:eastAsia="Times New Roman" w:cs="Times New Roman"/>
              </w:rPr>
              <w:t>1.00</w:t>
            </w:r>
          </w:p>
        </w:tc>
        <w:tc>
          <w:tcPr>
            <w:tcW w:w="3072" w:type="dxa"/>
            <w:vAlign w:val="top"/>
            <w:vMerge w:val="continue"/>
            <w:tcBorders>
              <w:right w:val="nil"/>
              <w:bottom w:val="nil"/>
              <w:top w:val="nil"/>
            </w:tcBorders>
          </w:tcPr>
          <w:p>
            <w:pPr>
              <w:rPr>
                <w:rFonts w:ascii="Arial"/>
                <w:sz w:val="21"/>
              </w:rPr>
            </w:pPr>
            <w:r/>
          </w:p>
        </w:tc>
      </w:tr>
      <w:tr>
        <w:trPr>
          <w:trHeight w:val="365" w:hRule="atLeast"/>
        </w:trPr>
        <w:tc>
          <w:tcPr>
            <w:tcW w:w="806" w:type="dxa"/>
            <w:vAlign w:val="top"/>
            <w:tcBorders>
              <w:left w:val="nil"/>
              <w:bottom w:val="single" w:color="000000" w:sz="10" w:space="0"/>
            </w:tcBorders>
          </w:tcPr>
          <w:p>
            <w:pPr>
              <w:ind w:left="302"/>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861" w:type="dxa"/>
            <w:vAlign w:val="top"/>
            <w:tcBorders>
              <w:bottom w:val="single" w:color="000000" w:sz="10" w:space="0"/>
            </w:tcBorders>
          </w:tcPr>
          <w:p>
            <w:pPr>
              <w:pStyle w:val="TableText"/>
              <w:ind w:left="626"/>
              <w:spacing w:before="87" w:line="229" w:lineRule="auto"/>
              <w:rPr/>
            </w:pPr>
            <w:r>
              <w:rPr>
                <w:spacing w:val="5"/>
              </w:rPr>
              <w:t>硫化物</w:t>
            </w:r>
          </w:p>
        </w:tc>
        <w:tc>
          <w:tcPr>
            <w:tcW w:w="1638" w:type="dxa"/>
            <w:vAlign w:val="top"/>
            <w:tcBorders>
              <w:bottom w:val="single" w:color="000000" w:sz="10" w:space="0"/>
            </w:tcBorders>
          </w:tcPr>
          <w:p>
            <w:pPr>
              <w:ind w:left="589"/>
              <w:spacing w:before="12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Borders>
              <w:bottom w:val="single" w:color="000000" w:sz="10" w:space="0"/>
            </w:tcBorders>
          </w:tcPr>
          <w:p>
            <w:pPr>
              <w:pStyle w:val="TableText"/>
              <w:ind w:left="496"/>
              <w:spacing w:before="87" w:line="267"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0.02</w:t>
            </w:r>
          </w:p>
        </w:tc>
        <w:tc>
          <w:tcPr>
            <w:tcW w:w="3072"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footerReference w:type="default" r:id="rId78"/>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1861"/>
        <w:gridCol w:w="1638"/>
        <w:gridCol w:w="1531"/>
        <w:gridCol w:w="3073"/>
      </w:tblGrid>
      <w:tr>
        <w:trPr>
          <w:trHeight w:val="347" w:hRule="atLeast"/>
        </w:trPr>
        <w:tc>
          <w:tcPr>
            <w:tcW w:w="806" w:type="dxa"/>
            <w:vAlign w:val="top"/>
            <w:tcBorders>
              <w:left w:val="nil"/>
              <w:top w:val="single" w:color="000000" w:sz="10" w:space="0"/>
            </w:tcBorders>
          </w:tcPr>
          <w:p>
            <w:pPr>
              <w:ind w:left="302"/>
              <w:spacing w:before="105" w:line="195" w:lineRule="auto"/>
              <w:rPr>
                <w:rFonts w:ascii="Times New Roman" w:hAnsi="Times New Roman" w:eastAsia="Times New Roman" w:cs="Times New Roman"/>
                <w:sz w:val="20"/>
                <w:szCs w:val="20"/>
              </w:rPr>
            </w:pPr>
            <w:bookmarkStart w:name="bookmark524" w:id="120"/>
            <w:bookmarkEnd w:id="120"/>
            <w:r>
              <w:rPr>
                <w:rFonts w:ascii="Times New Roman" w:hAnsi="Times New Roman" w:eastAsia="Times New Roman" w:cs="Times New Roman"/>
                <w:sz w:val="20"/>
                <w:szCs w:val="20"/>
                <w:spacing w:val="2"/>
              </w:rPr>
              <w:t>23</w:t>
            </w:r>
          </w:p>
        </w:tc>
        <w:tc>
          <w:tcPr>
            <w:tcW w:w="1861" w:type="dxa"/>
            <w:vAlign w:val="top"/>
            <w:tcBorders>
              <w:top w:val="single" w:color="000000" w:sz="10" w:space="0"/>
            </w:tcBorders>
          </w:tcPr>
          <w:p>
            <w:pPr>
              <w:pStyle w:val="TableText"/>
              <w:ind w:left="836"/>
              <w:spacing w:before="70" w:line="233" w:lineRule="auto"/>
              <w:rPr/>
            </w:pPr>
            <w:r>
              <w:rPr/>
              <w:t>铝</w:t>
            </w:r>
          </w:p>
        </w:tc>
        <w:tc>
          <w:tcPr>
            <w:tcW w:w="1638" w:type="dxa"/>
            <w:vAlign w:val="top"/>
            <w:tcBorders>
              <w:top w:val="single" w:color="000000" w:sz="10" w:space="0"/>
            </w:tcBorders>
          </w:tcPr>
          <w:p>
            <w:pPr>
              <w:ind w:left="589"/>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Borders>
              <w:top w:val="single" w:color="000000" w:sz="10" w:space="0"/>
            </w:tcBorders>
          </w:tcPr>
          <w:p>
            <w:pPr>
              <w:pStyle w:val="TableText"/>
              <w:ind w:left="496"/>
              <w:spacing w:before="70" w:line="266"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0.20</w:t>
            </w:r>
          </w:p>
        </w:tc>
        <w:tc>
          <w:tcPr>
            <w:tcW w:w="3073" w:type="dxa"/>
            <w:vAlign w:val="top"/>
            <w:vMerge w:val="restart"/>
            <w:tcBorders>
              <w:right w:val="nil"/>
              <w:bottom w:val="nil"/>
              <w:top w:val="single" w:color="000000" w:sz="10" w:space="0"/>
            </w:tcBorders>
          </w:tcPr>
          <w:p>
            <w:pPr>
              <w:rPr>
                <w:rFonts w:ascii="Arial"/>
                <w:sz w:val="21"/>
              </w:rPr>
            </w:pPr>
            <w:r/>
          </w:p>
        </w:tc>
      </w:tr>
      <w:tr>
        <w:trPr>
          <w:trHeight w:val="342" w:hRule="atLeast"/>
        </w:trPr>
        <w:tc>
          <w:tcPr>
            <w:tcW w:w="806" w:type="dxa"/>
            <w:vAlign w:val="top"/>
            <w:tcBorders>
              <w:left w:val="nil"/>
            </w:tcBorders>
          </w:tcPr>
          <w:p>
            <w:pPr>
              <w:ind w:left="30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861" w:type="dxa"/>
            <w:vAlign w:val="top"/>
          </w:tcPr>
          <w:p>
            <w:pPr>
              <w:ind w:left="818"/>
              <w:spacing w:before="95"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position w:val="-1"/>
              </w:rPr>
              <w:t>K</w:t>
            </w:r>
            <w:r>
              <w:rPr>
                <w:rFonts w:ascii="Times New Roman" w:hAnsi="Times New Roman" w:eastAsia="Times New Roman" w:cs="Times New Roman"/>
                <w:sz w:val="13"/>
                <w:szCs w:val="13"/>
                <w:spacing w:val="2"/>
                <w:position w:val="5"/>
              </w:rPr>
              <w:t>+</w:t>
            </w:r>
          </w:p>
        </w:tc>
        <w:tc>
          <w:tcPr>
            <w:tcW w:w="1638" w:type="dxa"/>
            <w:vAlign w:val="top"/>
          </w:tcPr>
          <w:p>
            <w:pPr>
              <w:ind w:left="589"/>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ind w:left="736"/>
              <w:spacing w:before="192"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3073" w:type="dxa"/>
            <w:vAlign w:val="top"/>
            <w:vMerge w:val="continue"/>
            <w:tcBorders>
              <w:right w:val="nil"/>
              <w:bottom w:val="nil"/>
              <w:top w:val="nil"/>
            </w:tcBorders>
          </w:tcPr>
          <w:p>
            <w:pPr>
              <w:rPr>
                <w:rFonts w:ascii="Arial"/>
                <w:sz w:val="21"/>
              </w:rPr>
            </w:pPr>
            <w:r/>
          </w:p>
        </w:tc>
      </w:tr>
      <w:tr>
        <w:trPr>
          <w:trHeight w:val="342" w:hRule="atLeast"/>
        </w:trPr>
        <w:tc>
          <w:tcPr>
            <w:tcW w:w="806" w:type="dxa"/>
            <w:vAlign w:val="top"/>
            <w:tcBorders>
              <w:left w:val="nil"/>
            </w:tcBorders>
          </w:tcPr>
          <w:p>
            <w:pPr>
              <w:ind w:left="30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861" w:type="dxa"/>
            <w:vAlign w:val="top"/>
          </w:tcPr>
          <w:p>
            <w:pPr>
              <w:ind w:left="763"/>
              <w:spacing w:before="99"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Na</w:t>
            </w:r>
            <w:r>
              <w:rPr>
                <w:rFonts w:ascii="Times New Roman" w:hAnsi="Times New Roman" w:eastAsia="Times New Roman" w:cs="Times New Roman"/>
                <w:sz w:val="13"/>
                <w:szCs w:val="13"/>
                <w:spacing w:val="17"/>
                <w:position w:val="5"/>
              </w:rPr>
              <w:t>+</w:t>
            </w:r>
          </w:p>
        </w:tc>
        <w:tc>
          <w:tcPr>
            <w:tcW w:w="1638" w:type="dxa"/>
            <w:vAlign w:val="top"/>
          </w:tcPr>
          <w:p>
            <w:pPr>
              <w:ind w:left="589"/>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523"/>
              <w:spacing w:before="69" w:line="242"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200</w:t>
            </w:r>
          </w:p>
        </w:tc>
        <w:tc>
          <w:tcPr>
            <w:tcW w:w="3073" w:type="dxa"/>
            <w:vAlign w:val="top"/>
            <w:vMerge w:val="continue"/>
            <w:tcBorders>
              <w:right w:val="nil"/>
              <w:bottom w:val="nil"/>
              <w:top w:val="nil"/>
            </w:tcBorders>
          </w:tcPr>
          <w:p>
            <w:pPr>
              <w:rPr>
                <w:rFonts w:ascii="Arial"/>
                <w:sz w:val="21"/>
              </w:rPr>
            </w:pPr>
            <w:r/>
          </w:p>
        </w:tc>
      </w:tr>
      <w:tr>
        <w:trPr>
          <w:trHeight w:val="342" w:hRule="atLeast"/>
        </w:trPr>
        <w:tc>
          <w:tcPr>
            <w:tcW w:w="806" w:type="dxa"/>
            <w:vAlign w:val="top"/>
            <w:tcBorders>
              <w:left w:val="nil"/>
            </w:tcBorders>
          </w:tcPr>
          <w:p>
            <w:pPr>
              <w:ind w:left="302"/>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861" w:type="dxa"/>
            <w:vAlign w:val="top"/>
          </w:tcPr>
          <w:p>
            <w:pPr>
              <w:ind w:left="745"/>
              <w:spacing w:before="90"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Ca</w:t>
            </w:r>
            <w:r>
              <w:rPr>
                <w:rFonts w:ascii="Times New Roman" w:hAnsi="Times New Roman" w:eastAsia="Times New Roman" w:cs="Times New Roman"/>
                <w:sz w:val="13"/>
                <w:szCs w:val="13"/>
                <w:spacing w:val="5"/>
                <w:position w:val="4"/>
              </w:rPr>
              <w:t>2+</w:t>
            </w:r>
          </w:p>
        </w:tc>
        <w:tc>
          <w:tcPr>
            <w:tcW w:w="1638" w:type="dxa"/>
            <w:vAlign w:val="top"/>
          </w:tcPr>
          <w:p>
            <w:pPr>
              <w:ind w:left="589"/>
              <w:spacing w:before="10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ind w:left="736"/>
              <w:spacing w:before="199"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3073" w:type="dxa"/>
            <w:vAlign w:val="top"/>
            <w:vMerge w:val="continue"/>
            <w:tcBorders>
              <w:right w:val="nil"/>
              <w:bottom w:val="nil"/>
              <w:top w:val="nil"/>
            </w:tcBorders>
          </w:tcPr>
          <w:p>
            <w:pPr>
              <w:rPr>
                <w:rFonts w:ascii="Arial"/>
                <w:sz w:val="21"/>
              </w:rPr>
            </w:pPr>
            <w:r/>
          </w:p>
        </w:tc>
      </w:tr>
      <w:tr>
        <w:trPr>
          <w:trHeight w:val="342" w:hRule="atLeast"/>
        </w:trPr>
        <w:tc>
          <w:tcPr>
            <w:tcW w:w="806" w:type="dxa"/>
            <w:vAlign w:val="top"/>
            <w:tcBorders>
              <w:left w:val="nil"/>
            </w:tcBorders>
          </w:tcPr>
          <w:p>
            <w:pPr>
              <w:ind w:left="30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861" w:type="dxa"/>
            <w:vAlign w:val="top"/>
          </w:tcPr>
          <w:p>
            <w:pPr>
              <w:ind w:left="712"/>
              <w:spacing w:before="94"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Mg</w:t>
            </w:r>
            <w:r>
              <w:rPr>
                <w:rFonts w:ascii="Times New Roman" w:hAnsi="Times New Roman" w:eastAsia="Times New Roman" w:cs="Times New Roman"/>
                <w:sz w:val="13"/>
                <w:szCs w:val="13"/>
                <w:spacing w:val="8"/>
                <w:position w:val="4"/>
              </w:rPr>
              <w:t>2+</w:t>
            </w:r>
          </w:p>
        </w:tc>
        <w:tc>
          <w:tcPr>
            <w:tcW w:w="1638" w:type="dxa"/>
            <w:vAlign w:val="top"/>
          </w:tcPr>
          <w:p>
            <w:pPr>
              <w:ind w:left="589"/>
              <w:spacing w:before="10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ind w:left="736"/>
              <w:spacing w:before="200"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3073" w:type="dxa"/>
            <w:vAlign w:val="top"/>
            <w:vMerge w:val="continue"/>
            <w:tcBorders>
              <w:right w:val="nil"/>
              <w:bottom w:val="nil"/>
              <w:top w:val="nil"/>
            </w:tcBorders>
          </w:tcPr>
          <w:p>
            <w:pPr>
              <w:rPr>
                <w:rFonts w:ascii="Arial"/>
                <w:sz w:val="21"/>
              </w:rPr>
            </w:pPr>
            <w:r/>
          </w:p>
        </w:tc>
      </w:tr>
      <w:tr>
        <w:trPr>
          <w:trHeight w:val="342" w:hRule="atLeast"/>
        </w:trPr>
        <w:tc>
          <w:tcPr>
            <w:tcW w:w="806" w:type="dxa"/>
            <w:vAlign w:val="top"/>
            <w:tcBorders>
              <w:left w:val="nil"/>
            </w:tcBorders>
          </w:tcPr>
          <w:p>
            <w:pPr>
              <w:ind w:left="302"/>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861" w:type="dxa"/>
            <w:vAlign w:val="top"/>
          </w:tcPr>
          <w:p>
            <w:pPr>
              <w:ind w:left="699"/>
              <w:spacing w:before="98" w:line="21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z w:val="13"/>
                <w:szCs w:val="13"/>
                <w:spacing w:val="4"/>
                <w:position w:val="-2"/>
              </w:rPr>
              <w:t>3</w:t>
            </w:r>
            <w:r>
              <w:rPr>
                <w:rFonts w:ascii="Times New Roman" w:hAnsi="Times New Roman" w:eastAsia="Times New Roman" w:cs="Times New Roman"/>
                <w:sz w:val="13"/>
                <w:szCs w:val="13"/>
                <w:spacing w:val="4"/>
                <w:position w:val="5"/>
              </w:rPr>
              <w:t>2-</w:t>
            </w:r>
          </w:p>
        </w:tc>
        <w:tc>
          <w:tcPr>
            <w:tcW w:w="1638" w:type="dxa"/>
            <w:vAlign w:val="top"/>
          </w:tcPr>
          <w:p>
            <w:pPr>
              <w:ind w:left="589"/>
              <w:spacing w:before="11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ind w:left="736"/>
              <w:spacing w:before="203"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3073" w:type="dxa"/>
            <w:vAlign w:val="top"/>
            <w:vMerge w:val="continue"/>
            <w:tcBorders>
              <w:right w:val="nil"/>
              <w:bottom w:val="nil"/>
              <w:top w:val="nil"/>
            </w:tcBorders>
          </w:tcPr>
          <w:p>
            <w:pPr>
              <w:rPr>
                <w:rFonts w:ascii="Arial"/>
                <w:sz w:val="21"/>
              </w:rPr>
            </w:pPr>
            <w:r/>
          </w:p>
        </w:tc>
      </w:tr>
      <w:tr>
        <w:trPr>
          <w:trHeight w:val="342" w:hRule="atLeast"/>
        </w:trPr>
        <w:tc>
          <w:tcPr>
            <w:tcW w:w="806" w:type="dxa"/>
            <w:vAlign w:val="top"/>
            <w:tcBorders>
              <w:left w:val="nil"/>
            </w:tcBorders>
          </w:tcPr>
          <w:p>
            <w:pPr>
              <w:ind w:left="302"/>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1861" w:type="dxa"/>
            <w:vAlign w:val="top"/>
          </w:tcPr>
          <w:p>
            <w:pPr>
              <w:ind w:left="652"/>
              <w:spacing w:before="98"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z w:val="13"/>
                <w:szCs w:val="13"/>
                <w:spacing w:val="12"/>
                <w:position w:val="6"/>
              </w:rPr>
              <w:t>3-</w:t>
            </w:r>
          </w:p>
        </w:tc>
        <w:tc>
          <w:tcPr>
            <w:tcW w:w="1638" w:type="dxa"/>
            <w:vAlign w:val="top"/>
          </w:tcPr>
          <w:p>
            <w:pPr>
              <w:ind w:left="589"/>
              <w:spacing w:before="11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ind w:left="736"/>
              <w:spacing w:before="207"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3073" w:type="dxa"/>
            <w:vAlign w:val="top"/>
            <w:vMerge w:val="continue"/>
            <w:tcBorders>
              <w:right w:val="nil"/>
              <w:bottom w:val="nil"/>
              <w:top w:val="nil"/>
            </w:tcBorders>
          </w:tcPr>
          <w:p>
            <w:pPr>
              <w:rPr>
                <w:rFonts w:ascii="Arial"/>
                <w:sz w:val="21"/>
              </w:rPr>
            </w:pPr>
            <w:r/>
          </w:p>
        </w:tc>
      </w:tr>
      <w:tr>
        <w:trPr>
          <w:trHeight w:val="343" w:hRule="atLeast"/>
        </w:trPr>
        <w:tc>
          <w:tcPr>
            <w:tcW w:w="806" w:type="dxa"/>
            <w:vAlign w:val="top"/>
            <w:tcBorders>
              <w:left w:val="nil"/>
            </w:tcBorders>
          </w:tcPr>
          <w:p>
            <w:pPr>
              <w:ind w:left="30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61" w:type="dxa"/>
            <w:vAlign w:val="top"/>
          </w:tcPr>
          <w:p>
            <w:pPr>
              <w:ind w:left="714"/>
              <w:spacing w:before="101"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2"/>
              </w:rPr>
              <w:t>4</w:t>
            </w:r>
            <w:r>
              <w:rPr>
                <w:rFonts w:ascii="Times New Roman" w:hAnsi="Times New Roman" w:eastAsia="Times New Roman" w:cs="Times New Roman"/>
                <w:sz w:val="13"/>
                <w:szCs w:val="13"/>
                <w:spacing w:val="3"/>
                <w:position w:val="6"/>
              </w:rPr>
              <w:t>2-</w:t>
            </w:r>
          </w:p>
        </w:tc>
        <w:tc>
          <w:tcPr>
            <w:tcW w:w="1638" w:type="dxa"/>
            <w:vAlign w:val="top"/>
          </w:tcPr>
          <w:p>
            <w:pPr>
              <w:ind w:left="589"/>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Pr>
          <w:p>
            <w:pPr>
              <w:pStyle w:val="TableText"/>
              <w:ind w:left="523"/>
              <w:spacing w:before="86" w:line="228"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250</w:t>
            </w:r>
          </w:p>
        </w:tc>
        <w:tc>
          <w:tcPr>
            <w:tcW w:w="3073" w:type="dxa"/>
            <w:vAlign w:val="top"/>
            <w:vMerge w:val="continue"/>
            <w:tcBorders>
              <w:right w:val="nil"/>
              <w:bottom w:val="nil"/>
              <w:top w:val="nil"/>
            </w:tcBorders>
          </w:tcPr>
          <w:p>
            <w:pPr>
              <w:rPr>
                <w:rFonts w:ascii="Arial"/>
                <w:sz w:val="21"/>
              </w:rPr>
            </w:pPr>
            <w:r/>
          </w:p>
        </w:tc>
      </w:tr>
      <w:tr>
        <w:trPr>
          <w:trHeight w:val="366" w:hRule="atLeast"/>
        </w:trPr>
        <w:tc>
          <w:tcPr>
            <w:tcW w:w="806" w:type="dxa"/>
            <w:vAlign w:val="top"/>
            <w:tcBorders>
              <w:left w:val="nil"/>
              <w:bottom w:val="single" w:color="000000" w:sz="10" w:space="0"/>
            </w:tcBorders>
          </w:tcPr>
          <w:p>
            <w:pPr>
              <w:ind w:left="306"/>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861" w:type="dxa"/>
            <w:vAlign w:val="top"/>
            <w:tcBorders>
              <w:bottom w:val="single" w:color="000000" w:sz="10" w:space="0"/>
            </w:tcBorders>
          </w:tcPr>
          <w:p>
            <w:pPr>
              <w:pStyle w:val="TableText"/>
              <w:ind w:left="630"/>
              <w:spacing w:before="86" w:line="229" w:lineRule="auto"/>
              <w:rPr/>
            </w:pPr>
            <w:r>
              <w:rPr>
                <w:spacing w:val="3"/>
              </w:rPr>
              <w:t>氯化物</w:t>
            </w:r>
          </w:p>
        </w:tc>
        <w:tc>
          <w:tcPr>
            <w:tcW w:w="1638" w:type="dxa"/>
            <w:vAlign w:val="top"/>
            <w:tcBorders>
              <w:bottom w:val="single" w:color="000000" w:sz="10" w:space="0"/>
            </w:tcBorders>
          </w:tcPr>
          <w:p>
            <w:pPr>
              <w:ind w:left="589"/>
              <w:spacing w:before="12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531" w:type="dxa"/>
            <w:vAlign w:val="top"/>
            <w:tcBorders>
              <w:bottom w:val="single" w:color="000000" w:sz="10" w:space="0"/>
            </w:tcBorders>
          </w:tcPr>
          <w:p>
            <w:pPr>
              <w:pStyle w:val="TableText"/>
              <w:ind w:left="523"/>
              <w:spacing w:before="86" w:line="269"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250</w:t>
            </w:r>
          </w:p>
        </w:tc>
        <w:tc>
          <w:tcPr>
            <w:tcW w:w="3073" w:type="dxa"/>
            <w:vAlign w:val="top"/>
            <w:vMerge w:val="continue"/>
            <w:tcBorders>
              <w:right w:val="nil"/>
              <w:bottom w:val="single" w:color="000000" w:sz="10" w:space="0"/>
              <w:top w:val="nil"/>
            </w:tcBorders>
          </w:tcPr>
          <w:p>
            <w:pPr>
              <w:rPr>
                <w:rFonts w:ascii="Arial"/>
                <w:sz w:val="21"/>
              </w:rPr>
            </w:pPr>
            <w:r/>
          </w:p>
        </w:tc>
      </w:tr>
    </w:tbl>
    <w:p>
      <w:pPr>
        <w:pStyle w:val="BodyText"/>
        <w:spacing w:line="370" w:lineRule="auto"/>
        <w:rPr/>
      </w:pPr>
      <w:r/>
    </w:p>
    <w:p>
      <w:pPr>
        <w:ind w:left="114"/>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2.6.1.4</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土壤环境</w:t>
      </w:r>
    </w:p>
    <w:p>
      <w:pPr>
        <w:ind w:left="123" w:right="106" w:firstLine="481"/>
        <w:spacing w:before="174" w:line="358" w:lineRule="auto"/>
        <w:jc w:val="both"/>
        <w:rPr>
          <w:rFonts w:ascii="FangSong" w:hAnsi="FangSong" w:eastAsia="FangSong" w:cs="FangSong"/>
          <w:sz w:val="24"/>
          <w:szCs w:val="24"/>
        </w:rPr>
      </w:pPr>
      <w:r>
        <w:rPr>
          <w:rFonts w:ascii="FangSong" w:hAnsi="FangSong" w:eastAsia="FangSong" w:cs="FangSong"/>
          <w:sz w:val="24"/>
          <w:szCs w:val="24"/>
          <w:spacing w:val="-4"/>
        </w:rPr>
        <w:t>根据查阅相关资料可知，本项目所在地区土壤为碱性土，</w:t>
      </w:r>
      <w:r>
        <w:rPr>
          <w:rFonts w:ascii="Times New Roman" w:hAnsi="Times New Roman" w:eastAsia="Times New Roman" w:cs="Times New Roman"/>
          <w:sz w:val="24"/>
          <w:szCs w:val="24"/>
          <w:spacing w:val="-4"/>
        </w:rPr>
        <w:t>pH</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8</w:t>
      </w:r>
      <w:r>
        <w:rPr>
          <w:rFonts w:ascii="FangSong" w:hAnsi="FangSong" w:eastAsia="FangSong" w:cs="FangSong"/>
          <w:sz w:val="24"/>
          <w:szCs w:val="24"/>
          <w:spacing w:val="-4"/>
        </w:rPr>
        <w:t>，故本项目区内</w:t>
      </w:r>
      <w:r>
        <w:rPr>
          <w:rFonts w:ascii="FangSong" w:hAnsi="FangSong" w:eastAsia="FangSong" w:cs="FangSong"/>
          <w:sz w:val="24"/>
          <w:szCs w:val="24"/>
          <w:spacing w:val="-2"/>
        </w:rPr>
        <w:t>建设用地的土壤环境质量执行农林用地土壤环境质量执行《土壤环境</w:t>
      </w:r>
      <w:r>
        <w:rPr>
          <w:rFonts w:ascii="FangSong" w:hAnsi="FangSong" w:eastAsia="FangSong" w:cs="FangSong"/>
          <w:sz w:val="24"/>
          <w:szCs w:val="24"/>
          <w:spacing w:val="-3"/>
        </w:rPr>
        <w:t>质量</w:t>
      </w:r>
      <w:r>
        <w:rPr>
          <w:rFonts w:ascii="FangSong" w:hAnsi="FangSong" w:eastAsia="FangSong" w:cs="FangSong"/>
          <w:sz w:val="24"/>
          <w:szCs w:val="24"/>
          <w:spacing w:val="-3"/>
        </w:rPr>
        <w:t xml:space="preserve"> </w:t>
      </w:r>
      <w:r>
        <w:rPr>
          <w:rFonts w:ascii="FangSong" w:hAnsi="FangSong" w:eastAsia="FangSong" w:cs="FangSong"/>
          <w:sz w:val="24"/>
          <w:szCs w:val="24"/>
          <w:spacing w:val="-3"/>
        </w:rPr>
        <w:t>农用地土</w:t>
      </w:r>
      <w:r>
        <w:rPr>
          <w:rFonts w:ascii="FangSong" w:hAnsi="FangSong" w:eastAsia="FangSong" w:cs="FangSong"/>
          <w:sz w:val="24"/>
          <w:szCs w:val="24"/>
          <w:spacing w:val="-1"/>
        </w:rPr>
        <w:t>壤污染风险管控标准（试行）》（</w:t>
      </w:r>
      <w:r>
        <w:rPr>
          <w:rFonts w:ascii="Times New Roman" w:hAnsi="Times New Roman" w:eastAsia="Times New Roman" w:cs="Times New Roman"/>
          <w:sz w:val="24"/>
          <w:szCs w:val="24"/>
          <w:spacing w:val="-1"/>
        </w:rPr>
        <w:t>GB15618-2018</w:t>
      </w:r>
      <w:r>
        <w:rPr>
          <w:rFonts w:ascii="FangSong" w:hAnsi="FangSong" w:eastAsia="FangSong" w:cs="FangSong"/>
          <w:sz w:val="24"/>
          <w:szCs w:val="24"/>
          <w:spacing w:val="-2"/>
        </w:rPr>
        <w:t>）表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农用地土壤污染风险筛选值</w:t>
      </w:r>
      <w:r>
        <w:rPr>
          <w:rFonts w:ascii="FangSong" w:hAnsi="FangSong" w:eastAsia="FangSong" w:cs="FangSong"/>
          <w:sz w:val="24"/>
          <w:szCs w:val="24"/>
          <w:spacing w:val="-2"/>
        </w:rPr>
        <w:t>（基本项目）中</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pH</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7.5</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范围内风险筛选值。详见表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2.6-4</w:t>
      </w:r>
      <w:r>
        <w:rPr>
          <w:rFonts w:ascii="FangSong" w:hAnsi="FangSong" w:eastAsia="FangSong" w:cs="FangSong"/>
          <w:sz w:val="24"/>
          <w:szCs w:val="24"/>
          <w:spacing w:val="-2"/>
        </w:rPr>
        <w:t>。</w:t>
      </w:r>
    </w:p>
    <w:p>
      <w:pPr>
        <w:ind w:left="2447"/>
        <w:spacing w:before="10"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2.6-4  </w:t>
      </w:r>
      <w:r>
        <w:rPr>
          <w:rFonts w:ascii="FangSong" w:hAnsi="FangSong" w:eastAsia="FangSong" w:cs="FangSong"/>
          <w:sz w:val="24"/>
          <w:szCs w:val="24"/>
          <w:b/>
          <w:bCs/>
          <w:spacing w:val="-3"/>
        </w:rPr>
        <w:t>土壤环境质量执行标准一览表</w:t>
      </w:r>
    </w:p>
    <w:p>
      <w:pPr>
        <w:spacing w:line="143"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9"/>
        <w:gridCol w:w="2518"/>
        <w:gridCol w:w="1043"/>
        <w:gridCol w:w="1390"/>
        <w:gridCol w:w="2712"/>
      </w:tblGrid>
      <w:tr>
        <w:trPr>
          <w:trHeight w:val="280" w:hRule="atLeast"/>
        </w:trPr>
        <w:tc>
          <w:tcPr>
            <w:tcW w:w="1249" w:type="dxa"/>
            <w:vAlign w:val="top"/>
            <w:tcBorders>
              <w:top w:val="single" w:color="000000" w:sz="10" w:space="0"/>
              <w:left w:val="nil"/>
            </w:tcBorders>
          </w:tcPr>
          <w:p>
            <w:pPr>
              <w:pStyle w:val="TableText"/>
              <w:ind w:left="218"/>
              <w:spacing w:before="37" w:line="215" w:lineRule="auto"/>
              <w:rPr/>
            </w:pPr>
            <w:r>
              <w:rPr>
                <w:spacing w:val="5"/>
              </w:rPr>
              <w:t>用地类型</w:t>
            </w:r>
          </w:p>
        </w:tc>
        <w:tc>
          <w:tcPr>
            <w:tcW w:w="2518" w:type="dxa"/>
            <w:vAlign w:val="top"/>
            <w:tcBorders>
              <w:top w:val="single" w:color="000000" w:sz="10" w:space="0"/>
            </w:tcBorders>
          </w:tcPr>
          <w:p>
            <w:pPr>
              <w:pStyle w:val="TableText"/>
              <w:ind w:left="958"/>
              <w:spacing w:before="37" w:line="215" w:lineRule="auto"/>
              <w:rPr/>
            </w:pPr>
            <w:r>
              <w:rPr>
                <w:spacing w:val="3"/>
              </w:rPr>
              <w:t>污染物</w:t>
            </w:r>
          </w:p>
        </w:tc>
        <w:tc>
          <w:tcPr>
            <w:tcW w:w="1043" w:type="dxa"/>
            <w:vAlign w:val="top"/>
            <w:tcBorders>
              <w:top w:val="single" w:color="000000" w:sz="10" w:space="0"/>
            </w:tcBorders>
          </w:tcPr>
          <w:p>
            <w:pPr>
              <w:pStyle w:val="TableText"/>
              <w:ind w:left="326"/>
              <w:spacing w:before="37" w:line="215" w:lineRule="auto"/>
              <w:rPr/>
            </w:pPr>
            <w:r>
              <w:rPr>
                <w:spacing w:val="-1"/>
              </w:rPr>
              <w:t>单位</w:t>
            </w:r>
          </w:p>
        </w:tc>
        <w:tc>
          <w:tcPr>
            <w:tcW w:w="1390" w:type="dxa"/>
            <w:vAlign w:val="top"/>
            <w:tcBorders>
              <w:top w:val="single" w:color="000000" w:sz="10" w:space="0"/>
            </w:tcBorders>
          </w:tcPr>
          <w:p>
            <w:pPr>
              <w:pStyle w:val="TableText"/>
              <w:ind w:left="286"/>
              <w:spacing w:before="37" w:line="215" w:lineRule="auto"/>
              <w:rPr/>
            </w:pPr>
            <w:r>
              <w:rPr>
                <w:spacing w:val="6"/>
              </w:rPr>
              <w:t>标准限值</w:t>
            </w:r>
          </w:p>
        </w:tc>
        <w:tc>
          <w:tcPr>
            <w:tcW w:w="2712" w:type="dxa"/>
            <w:vAlign w:val="top"/>
            <w:tcBorders>
              <w:top w:val="single" w:color="000000" w:sz="10" w:space="0"/>
              <w:right w:val="nil"/>
            </w:tcBorders>
          </w:tcPr>
          <w:p>
            <w:pPr>
              <w:pStyle w:val="TableText"/>
              <w:ind w:left="946"/>
              <w:spacing w:before="37" w:line="215" w:lineRule="auto"/>
              <w:rPr/>
            </w:pPr>
            <w:r>
              <w:rPr>
                <w:spacing w:val="6"/>
              </w:rPr>
              <w:t>标准来源</w:t>
            </w:r>
          </w:p>
        </w:tc>
      </w:tr>
      <w:tr>
        <w:trPr>
          <w:trHeight w:val="274" w:hRule="atLeast"/>
        </w:trPr>
        <w:tc>
          <w:tcPr>
            <w:tcW w:w="1249" w:type="dxa"/>
            <w:vAlign w:val="top"/>
            <w:vMerge w:val="restart"/>
            <w:textDirection w:val="tbRlV"/>
            <w:tcBorders>
              <w:bottom w:val="nil"/>
              <w:left w:val="nil"/>
            </w:tcBorders>
          </w:tcPr>
          <w:p>
            <w:pPr>
              <w:spacing w:line="437" w:lineRule="auto"/>
              <w:rPr>
                <w:rFonts w:ascii="Arial"/>
                <w:sz w:val="21"/>
              </w:rPr>
            </w:pPr>
            <w:r/>
          </w:p>
          <w:p>
            <w:pPr>
              <w:pStyle w:val="TableText"/>
              <w:ind w:left="747"/>
              <w:spacing w:before="67" w:line="211" w:lineRule="auto"/>
              <w:rPr/>
            </w:pPr>
            <w:r>
              <w:rPr>
                <w:spacing w:val="13"/>
              </w:rPr>
              <w:t>农</w:t>
            </w:r>
            <w:r>
              <w:rPr>
                <w:spacing w:val="-39"/>
              </w:rPr>
              <w:t xml:space="preserve"> </w:t>
            </w:r>
            <w:r>
              <w:rPr>
                <w:spacing w:val="13"/>
              </w:rPr>
              <w:t>用</w:t>
            </w:r>
            <w:r>
              <w:rPr>
                <w:spacing w:val="-43"/>
              </w:rPr>
              <w:t xml:space="preserve"> </w:t>
            </w:r>
            <w:r>
              <w:rPr>
                <w:spacing w:val="13"/>
              </w:rPr>
              <w:t>地</w:t>
            </w:r>
          </w:p>
        </w:tc>
        <w:tc>
          <w:tcPr>
            <w:tcW w:w="2518" w:type="dxa"/>
            <w:vAlign w:val="top"/>
          </w:tcPr>
          <w:p>
            <w:pPr>
              <w:pStyle w:val="TableText"/>
              <w:ind w:left="1166"/>
              <w:spacing w:before="32" w:line="214" w:lineRule="auto"/>
              <w:rPr/>
            </w:pPr>
            <w:r>
              <w:rPr/>
              <w:t>镉</w:t>
            </w:r>
          </w:p>
        </w:tc>
        <w:tc>
          <w:tcPr>
            <w:tcW w:w="1043" w:type="dxa"/>
            <w:vAlign w:val="top"/>
          </w:tcPr>
          <w:p>
            <w:pPr>
              <w:ind w:left="252"/>
              <w:spacing w:before="6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69"/>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2712" w:type="dxa"/>
            <w:vAlign w:val="top"/>
            <w:vMerge w:val="restart"/>
            <w:tcBorders>
              <w:bottom w:val="nil"/>
              <w:right w:val="nil"/>
            </w:tcBorders>
          </w:tcPr>
          <w:p>
            <w:pPr>
              <w:spacing w:line="272" w:lineRule="auto"/>
              <w:rPr>
                <w:rFonts w:ascii="Arial"/>
                <w:sz w:val="21"/>
              </w:rPr>
            </w:pPr>
            <w:r/>
          </w:p>
          <w:p>
            <w:pPr>
              <w:pStyle w:val="TableText"/>
              <w:ind w:left="113" w:right="20" w:firstLine="425"/>
              <w:spacing w:before="65" w:line="251" w:lineRule="auto"/>
              <w:jc w:val="both"/>
              <w:rPr/>
            </w:pPr>
            <w:r>
              <w:rPr>
                <w:spacing w:val="13"/>
              </w:rPr>
              <w:t>《土壤环境质量</w:t>
            </w:r>
            <w:r>
              <w:rPr>
                <w:spacing w:val="44"/>
              </w:rPr>
              <w:t xml:space="preserve"> </w:t>
            </w:r>
            <w:r>
              <w:rPr>
                <w:spacing w:val="13"/>
              </w:rPr>
              <w:t>农用</w:t>
            </w:r>
            <w:r>
              <w:rPr>
                <w:spacing w:val="26"/>
              </w:rPr>
              <w:t>地土壤污染风险管控标准</w:t>
            </w:r>
            <w:r>
              <w:rPr>
                <w:spacing w:val="-4"/>
              </w:rPr>
              <w:t>（试行）》（</w:t>
            </w:r>
            <w:r>
              <w:rPr>
                <w:rFonts w:ascii="Times New Roman" w:hAnsi="Times New Roman" w:eastAsia="Times New Roman" w:cs="Times New Roman"/>
                <w:spacing w:val="-4"/>
              </w:rPr>
              <w:t>GB15618-2018</w:t>
            </w:r>
            <w:r>
              <w:rPr>
                <w:spacing w:val="-4"/>
              </w:rPr>
              <w:t>）</w:t>
            </w:r>
            <w:r>
              <w:rPr>
                <w:spacing w:val="5"/>
              </w:rPr>
              <w:t>表</w:t>
            </w:r>
            <w:r>
              <w:rPr>
                <w:spacing w:val="-30"/>
              </w:rPr>
              <w:t xml:space="preserve"> </w:t>
            </w:r>
            <w:r>
              <w:rPr>
                <w:rFonts w:ascii="Times New Roman" w:hAnsi="Times New Roman" w:eastAsia="Times New Roman" w:cs="Times New Roman"/>
                <w:spacing w:val="5"/>
              </w:rPr>
              <w:t>1 </w:t>
            </w:r>
            <w:r>
              <w:rPr>
                <w:spacing w:val="5"/>
              </w:rPr>
              <w:t>农用地土壤污染风险筛</w:t>
            </w:r>
            <w:r>
              <w:rPr>
                <w:spacing w:val="10"/>
              </w:rPr>
              <w:t>选值（基本项目）</w:t>
            </w:r>
            <w:r>
              <w:rPr>
                <w:spacing w:val="-38"/>
              </w:rPr>
              <w:t xml:space="preserve"> </w:t>
            </w:r>
            <w:r>
              <w:rPr>
                <w:spacing w:val="10"/>
              </w:rPr>
              <w:t>中</w:t>
            </w:r>
            <w:r>
              <w:rPr>
                <w:spacing w:val="-38"/>
              </w:rPr>
              <w:t xml:space="preserve"> </w:t>
            </w:r>
            <w:r>
              <w:rPr>
                <w:rFonts w:ascii="Times New Roman" w:hAnsi="Times New Roman" w:eastAsia="Times New Roman" w:cs="Times New Roman"/>
              </w:rPr>
              <w:t>pH</w:t>
            </w:r>
            <w:r>
              <w:rPr>
                <w:spacing w:val="10"/>
              </w:rPr>
              <w:t>＞</w:t>
            </w:r>
            <w:r>
              <w:rPr/>
              <w:t xml:space="preserve"> </w:t>
            </w:r>
            <w:r>
              <w:rPr>
                <w:rFonts w:ascii="Times New Roman" w:hAnsi="Times New Roman" w:eastAsia="Times New Roman" w:cs="Times New Roman"/>
                <w:spacing w:val="4"/>
              </w:rPr>
              <w:t>7.5</w:t>
            </w:r>
            <w:r>
              <w:rPr>
                <w:rFonts w:ascii="Times New Roman" w:hAnsi="Times New Roman" w:eastAsia="Times New Roman" w:cs="Times New Roman"/>
                <w:spacing w:val="37"/>
                <w:w w:val="101"/>
              </w:rPr>
              <w:t xml:space="preserve"> </w:t>
            </w:r>
            <w:r>
              <w:rPr>
                <w:spacing w:val="4"/>
              </w:rPr>
              <w:t>范围内风险筛选值。</w:t>
            </w:r>
          </w:p>
        </w:tc>
      </w:tr>
      <w:tr>
        <w:trPr>
          <w:trHeight w:val="274" w:hRule="atLeast"/>
        </w:trPr>
        <w:tc>
          <w:tcPr>
            <w:tcW w:w="1249" w:type="dxa"/>
            <w:vAlign w:val="top"/>
            <w:vMerge w:val="continue"/>
            <w:textDirection w:val="tbRlV"/>
            <w:tcBorders>
              <w:bottom w:val="nil"/>
              <w:left w:val="nil"/>
              <w:top w:val="nil"/>
            </w:tcBorders>
          </w:tcPr>
          <w:p>
            <w:pPr>
              <w:rPr>
                <w:rFonts w:ascii="Arial"/>
                <w:sz w:val="21"/>
              </w:rPr>
            </w:pPr>
            <w:r/>
          </w:p>
        </w:tc>
        <w:tc>
          <w:tcPr>
            <w:tcW w:w="2518" w:type="dxa"/>
            <w:vAlign w:val="top"/>
          </w:tcPr>
          <w:p>
            <w:pPr>
              <w:pStyle w:val="TableText"/>
              <w:ind w:left="1166"/>
              <w:spacing w:before="36" w:line="210" w:lineRule="auto"/>
              <w:rPr/>
            </w:pPr>
            <w:r>
              <w:rPr/>
              <w:t>汞</w:t>
            </w:r>
          </w:p>
        </w:tc>
        <w:tc>
          <w:tcPr>
            <w:tcW w:w="1043" w:type="dxa"/>
            <w:vAlign w:val="top"/>
          </w:tcPr>
          <w:p>
            <w:pPr>
              <w:ind w:left="252"/>
              <w:spacing w:before="6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7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3.4</w:t>
            </w:r>
          </w:p>
        </w:tc>
        <w:tc>
          <w:tcPr>
            <w:tcW w:w="2712" w:type="dxa"/>
            <w:vAlign w:val="top"/>
            <w:vMerge w:val="continue"/>
            <w:tcBorders>
              <w:bottom w:val="nil"/>
              <w:right w:val="nil"/>
              <w:top w:val="nil"/>
            </w:tcBorders>
          </w:tcPr>
          <w:p>
            <w:pPr>
              <w:rPr>
                <w:rFonts w:ascii="Arial"/>
                <w:sz w:val="21"/>
              </w:rPr>
            </w:pPr>
            <w:r/>
          </w:p>
        </w:tc>
      </w:tr>
      <w:tr>
        <w:trPr>
          <w:trHeight w:val="275" w:hRule="atLeast"/>
        </w:trPr>
        <w:tc>
          <w:tcPr>
            <w:tcW w:w="1249" w:type="dxa"/>
            <w:vAlign w:val="top"/>
            <w:vMerge w:val="continue"/>
            <w:textDirection w:val="tbRlV"/>
            <w:tcBorders>
              <w:bottom w:val="nil"/>
              <w:left w:val="nil"/>
              <w:top w:val="nil"/>
            </w:tcBorders>
          </w:tcPr>
          <w:p>
            <w:pPr>
              <w:rPr>
                <w:rFonts w:ascii="Arial"/>
                <w:sz w:val="21"/>
              </w:rPr>
            </w:pPr>
            <w:r/>
          </w:p>
        </w:tc>
        <w:tc>
          <w:tcPr>
            <w:tcW w:w="2518" w:type="dxa"/>
            <w:vAlign w:val="top"/>
          </w:tcPr>
          <w:p>
            <w:pPr>
              <w:pStyle w:val="TableText"/>
              <w:ind w:left="1165"/>
              <w:spacing w:before="40" w:line="207" w:lineRule="auto"/>
              <w:rPr/>
            </w:pPr>
            <w:r>
              <w:rPr/>
              <w:t>砷</w:t>
            </w:r>
          </w:p>
        </w:tc>
        <w:tc>
          <w:tcPr>
            <w:tcW w:w="1043" w:type="dxa"/>
            <w:vAlign w:val="top"/>
          </w:tcPr>
          <w:p>
            <w:pPr>
              <w:ind w:left="252"/>
              <w:spacing w:before="73" w:line="20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9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712" w:type="dxa"/>
            <w:vAlign w:val="top"/>
            <w:vMerge w:val="continue"/>
            <w:tcBorders>
              <w:bottom w:val="nil"/>
              <w:right w:val="nil"/>
              <w:top w:val="nil"/>
            </w:tcBorders>
          </w:tcPr>
          <w:p>
            <w:pPr>
              <w:rPr>
                <w:rFonts w:ascii="Arial"/>
                <w:sz w:val="21"/>
              </w:rPr>
            </w:pPr>
            <w:r/>
          </w:p>
        </w:tc>
      </w:tr>
      <w:tr>
        <w:trPr>
          <w:trHeight w:val="274" w:hRule="atLeast"/>
        </w:trPr>
        <w:tc>
          <w:tcPr>
            <w:tcW w:w="1249" w:type="dxa"/>
            <w:vAlign w:val="top"/>
            <w:vMerge w:val="continue"/>
            <w:textDirection w:val="tbRlV"/>
            <w:tcBorders>
              <w:bottom w:val="nil"/>
              <w:left w:val="nil"/>
              <w:top w:val="nil"/>
            </w:tcBorders>
          </w:tcPr>
          <w:p>
            <w:pPr>
              <w:rPr>
                <w:rFonts w:ascii="Arial"/>
                <w:sz w:val="21"/>
              </w:rPr>
            </w:pPr>
            <w:r/>
          </w:p>
        </w:tc>
        <w:tc>
          <w:tcPr>
            <w:tcW w:w="2518" w:type="dxa"/>
            <w:vAlign w:val="top"/>
          </w:tcPr>
          <w:p>
            <w:pPr>
              <w:pStyle w:val="TableText"/>
              <w:ind w:left="1164"/>
              <w:spacing w:before="41" w:line="205" w:lineRule="auto"/>
              <w:rPr/>
            </w:pPr>
            <w:r>
              <w:rPr/>
              <w:t>铅</w:t>
            </w:r>
          </w:p>
        </w:tc>
        <w:tc>
          <w:tcPr>
            <w:tcW w:w="1043" w:type="dxa"/>
            <w:vAlign w:val="top"/>
          </w:tcPr>
          <w:p>
            <w:pPr>
              <w:ind w:left="252"/>
              <w:spacing w:before="74"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59"/>
              <w:spacing w:before="7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170</w:t>
            </w:r>
          </w:p>
        </w:tc>
        <w:tc>
          <w:tcPr>
            <w:tcW w:w="2712" w:type="dxa"/>
            <w:vAlign w:val="top"/>
            <w:vMerge w:val="continue"/>
            <w:tcBorders>
              <w:bottom w:val="nil"/>
              <w:right w:val="nil"/>
              <w:top w:val="nil"/>
            </w:tcBorders>
          </w:tcPr>
          <w:p>
            <w:pPr>
              <w:rPr>
                <w:rFonts w:ascii="Arial"/>
                <w:sz w:val="21"/>
              </w:rPr>
            </w:pPr>
            <w:r/>
          </w:p>
        </w:tc>
      </w:tr>
      <w:tr>
        <w:trPr>
          <w:trHeight w:val="274" w:hRule="atLeast"/>
        </w:trPr>
        <w:tc>
          <w:tcPr>
            <w:tcW w:w="1249" w:type="dxa"/>
            <w:vAlign w:val="top"/>
            <w:vMerge w:val="continue"/>
            <w:textDirection w:val="tbRlV"/>
            <w:tcBorders>
              <w:bottom w:val="nil"/>
              <w:left w:val="nil"/>
              <w:top w:val="nil"/>
            </w:tcBorders>
          </w:tcPr>
          <w:p>
            <w:pPr>
              <w:rPr>
                <w:rFonts w:ascii="Arial"/>
                <w:sz w:val="21"/>
              </w:rPr>
            </w:pPr>
            <w:r/>
          </w:p>
        </w:tc>
        <w:tc>
          <w:tcPr>
            <w:tcW w:w="2518" w:type="dxa"/>
            <w:vAlign w:val="top"/>
          </w:tcPr>
          <w:p>
            <w:pPr>
              <w:pStyle w:val="TableText"/>
              <w:ind w:left="1166"/>
              <w:spacing w:before="46" w:line="201" w:lineRule="auto"/>
              <w:rPr/>
            </w:pPr>
            <w:r>
              <w:rPr/>
              <w:t>铬</w:t>
            </w:r>
          </w:p>
        </w:tc>
        <w:tc>
          <w:tcPr>
            <w:tcW w:w="1043" w:type="dxa"/>
            <w:vAlign w:val="top"/>
          </w:tcPr>
          <w:p>
            <w:pPr>
              <w:ind w:left="252"/>
              <w:spacing w:before="7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39"/>
              <w:spacing w:before="8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2712" w:type="dxa"/>
            <w:vAlign w:val="top"/>
            <w:vMerge w:val="continue"/>
            <w:tcBorders>
              <w:bottom w:val="nil"/>
              <w:right w:val="nil"/>
              <w:top w:val="nil"/>
            </w:tcBorders>
          </w:tcPr>
          <w:p>
            <w:pPr>
              <w:rPr>
                <w:rFonts w:ascii="Arial"/>
                <w:sz w:val="21"/>
              </w:rPr>
            </w:pPr>
            <w:r/>
          </w:p>
        </w:tc>
      </w:tr>
      <w:tr>
        <w:trPr>
          <w:trHeight w:val="275" w:hRule="atLeast"/>
        </w:trPr>
        <w:tc>
          <w:tcPr>
            <w:tcW w:w="1249" w:type="dxa"/>
            <w:vAlign w:val="top"/>
            <w:vMerge w:val="continue"/>
            <w:textDirection w:val="tbRlV"/>
            <w:tcBorders>
              <w:bottom w:val="nil"/>
              <w:left w:val="nil"/>
              <w:top w:val="nil"/>
            </w:tcBorders>
          </w:tcPr>
          <w:p>
            <w:pPr>
              <w:rPr>
                <w:rFonts w:ascii="Arial"/>
                <w:sz w:val="21"/>
              </w:rPr>
            </w:pPr>
            <w:r/>
          </w:p>
        </w:tc>
        <w:tc>
          <w:tcPr>
            <w:tcW w:w="2518" w:type="dxa"/>
            <w:vAlign w:val="top"/>
          </w:tcPr>
          <w:p>
            <w:pPr>
              <w:pStyle w:val="TableText"/>
              <w:ind w:left="1166"/>
              <w:spacing w:before="50" w:line="198" w:lineRule="auto"/>
              <w:rPr/>
            </w:pPr>
            <w:r>
              <w:rPr/>
              <w:t>铜</w:t>
            </w:r>
          </w:p>
        </w:tc>
        <w:tc>
          <w:tcPr>
            <w:tcW w:w="1043" w:type="dxa"/>
            <w:vAlign w:val="top"/>
          </w:tcPr>
          <w:p>
            <w:pPr>
              <w:ind w:left="252"/>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59"/>
              <w:spacing w:before="8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2712" w:type="dxa"/>
            <w:vAlign w:val="top"/>
            <w:vMerge w:val="continue"/>
            <w:tcBorders>
              <w:bottom w:val="nil"/>
              <w:right w:val="nil"/>
              <w:top w:val="nil"/>
            </w:tcBorders>
          </w:tcPr>
          <w:p>
            <w:pPr>
              <w:rPr>
                <w:rFonts w:ascii="Arial"/>
                <w:sz w:val="21"/>
              </w:rPr>
            </w:pPr>
            <w:r/>
          </w:p>
        </w:tc>
      </w:tr>
      <w:tr>
        <w:trPr>
          <w:trHeight w:val="275" w:hRule="atLeast"/>
        </w:trPr>
        <w:tc>
          <w:tcPr>
            <w:tcW w:w="1249" w:type="dxa"/>
            <w:vAlign w:val="top"/>
            <w:vMerge w:val="continue"/>
            <w:textDirection w:val="tbRlV"/>
            <w:tcBorders>
              <w:bottom w:val="nil"/>
              <w:left w:val="nil"/>
              <w:top w:val="nil"/>
            </w:tcBorders>
          </w:tcPr>
          <w:p>
            <w:pPr>
              <w:rPr>
                <w:rFonts w:ascii="Arial"/>
                <w:sz w:val="21"/>
              </w:rPr>
            </w:pPr>
            <w:r/>
          </w:p>
        </w:tc>
        <w:tc>
          <w:tcPr>
            <w:tcW w:w="2518" w:type="dxa"/>
            <w:vAlign w:val="top"/>
          </w:tcPr>
          <w:p>
            <w:pPr>
              <w:pStyle w:val="TableText"/>
              <w:ind w:left="1166"/>
              <w:spacing w:before="50" w:line="198" w:lineRule="auto"/>
              <w:rPr/>
            </w:pPr>
            <w:r>
              <w:rPr/>
              <w:t>镍</w:t>
            </w:r>
          </w:p>
        </w:tc>
        <w:tc>
          <w:tcPr>
            <w:tcW w:w="1043" w:type="dxa"/>
            <w:vAlign w:val="top"/>
          </w:tcPr>
          <w:p>
            <w:pPr>
              <w:ind w:left="252"/>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Pr>
          <w:p>
            <w:pPr>
              <w:ind w:left="559"/>
              <w:spacing w:before="8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190</w:t>
            </w:r>
          </w:p>
        </w:tc>
        <w:tc>
          <w:tcPr>
            <w:tcW w:w="2712" w:type="dxa"/>
            <w:vAlign w:val="top"/>
            <w:vMerge w:val="continue"/>
            <w:tcBorders>
              <w:bottom w:val="nil"/>
              <w:right w:val="nil"/>
              <w:top w:val="nil"/>
            </w:tcBorders>
          </w:tcPr>
          <w:p>
            <w:pPr>
              <w:rPr>
                <w:rFonts w:ascii="Arial"/>
                <w:sz w:val="21"/>
              </w:rPr>
            </w:pPr>
            <w:r/>
          </w:p>
        </w:tc>
      </w:tr>
      <w:tr>
        <w:trPr>
          <w:trHeight w:val="298" w:hRule="atLeast"/>
        </w:trPr>
        <w:tc>
          <w:tcPr>
            <w:tcW w:w="1249" w:type="dxa"/>
            <w:vAlign w:val="top"/>
            <w:vMerge w:val="continue"/>
            <w:textDirection w:val="tbRlV"/>
            <w:tcBorders>
              <w:bottom w:val="single" w:color="000000" w:sz="10" w:space="0"/>
              <w:left w:val="nil"/>
              <w:top w:val="nil"/>
            </w:tcBorders>
          </w:tcPr>
          <w:p>
            <w:pPr>
              <w:rPr>
                <w:rFonts w:ascii="Arial"/>
                <w:sz w:val="21"/>
              </w:rPr>
            </w:pPr>
            <w:r/>
          </w:p>
        </w:tc>
        <w:tc>
          <w:tcPr>
            <w:tcW w:w="2518" w:type="dxa"/>
            <w:vAlign w:val="top"/>
            <w:tcBorders>
              <w:bottom w:val="single" w:color="000000" w:sz="10" w:space="0"/>
            </w:tcBorders>
          </w:tcPr>
          <w:p>
            <w:pPr>
              <w:pStyle w:val="TableText"/>
              <w:ind w:left="1165"/>
              <w:spacing w:before="53" w:line="216" w:lineRule="auto"/>
              <w:rPr/>
            </w:pPr>
            <w:r>
              <w:rPr/>
              <w:t>锌</w:t>
            </w:r>
          </w:p>
        </w:tc>
        <w:tc>
          <w:tcPr>
            <w:tcW w:w="1043" w:type="dxa"/>
            <w:vAlign w:val="top"/>
            <w:tcBorders>
              <w:bottom w:val="single" w:color="000000" w:sz="10" w:space="0"/>
            </w:tcBorders>
          </w:tcPr>
          <w:p>
            <w:pPr>
              <w:ind w:left="252"/>
              <w:spacing w:before="8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390" w:type="dxa"/>
            <w:vAlign w:val="top"/>
            <w:tcBorders>
              <w:bottom w:val="single" w:color="000000" w:sz="10" w:space="0"/>
            </w:tcBorders>
          </w:tcPr>
          <w:p>
            <w:pPr>
              <w:ind w:left="54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2712" w:type="dxa"/>
            <w:vAlign w:val="top"/>
            <w:vMerge w:val="continue"/>
            <w:tcBorders>
              <w:bottom w:val="single" w:color="000000" w:sz="10" w:space="0"/>
              <w:right w:val="nil"/>
              <w:top w:val="nil"/>
            </w:tcBorders>
          </w:tcPr>
          <w:p>
            <w:pPr>
              <w:rPr>
                <w:rFonts w:ascii="Arial"/>
                <w:sz w:val="21"/>
              </w:rPr>
            </w:pPr>
            <w:r/>
          </w:p>
        </w:tc>
      </w:tr>
    </w:tbl>
    <w:p>
      <w:pPr>
        <w:pStyle w:val="BodyText"/>
        <w:spacing w:line="369" w:lineRule="auto"/>
        <w:rPr/>
      </w:pPr>
      <w:r/>
    </w:p>
    <w:p>
      <w:pPr>
        <w:ind w:left="114"/>
        <w:spacing w:before="78" w:line="221" w:lineRule="auto"/>
        <w:outlineLvl w:val="2"/>
        <w:rPr>
          <w:rFonts w:ascii="FangSong" w:hAnsi="FangSong" w:eastAsia="FangSong" w:cs="FangSong"/>
          <w:sz w:val="24"/>
          <w:szCs w:val="24"/>
        </w:rPr>
      </w:pPr>
      <w:bookmarkStart w:name="bookmark87" w:id="121"/>
      <w:bookmarkEnd w:id="121"/>
      <w:bookmarkStart w:name="bookmark86" w:id="122"/>
      <w:bookmarkEnd w:id="122"/>
      <w:r>
        <w:rPr>
          <w:rFonts w:ascii="Times New Roman" w:hAnsi="Times New Roman" w:eastAsia="Times New Roman" w:cs="Times New Roman"/>
          <w:sz w:val="24"/>
          <w:szCs w:val="24"/>
          <w:b/>
          <w:bCs/>
          <w:spacing w:val="-2"/>
        </w:rPr>
        <w:t>2.6.2  </w:t>
      </w:r>
      <w:r>
        <w:rPr>
          <w:rFonts w:ascii="FangSong" w:hAnsi="FangSong" w:eastAsia="FangSong" w:cs="FangSong"/>
          <w:sz w:val="24"/>
          <w:szCs w:val="24"/>
          <w:b/>
          <w:bCs/>
          <w:spacing w:val="-2"/>
        </w:rPr>
        <w:t>污染物排放执行标准</w:t>
      </w:r>
    </w:p>
    <w:p>
      <w:pPr>
        <w:ind w:left="114"/>
        <w:spacing w:before="18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2.6.2.1</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废水</w:t>
      </w:r>
    </w:p>
    <w:p>
      <w:pPr>
        <w:ind w:left="125" w:right="106" w:firstLine="480"/>
        <w:spacing w:before="177" w:line="359" w:lineRule="auto"/>
        <w:jc w:val="both"/>
        <w:rPr>
          <w:rFonts w:ascii="FangSong" w:hAnsi="FangSong" w:eastAsia="FangSong" w:cs="FangSong"/>
          <w:sz w:val="24"/>
          <w:szCs w:val="24"/>
        </w:rPr>
      </w:pPr>
      <w:r>
        <w:rPr>
          <w:rFonts w:ascii="FangSong" w:hAnsi="FangSong" w:eastAsia="FangSong" w:cs="FangSong"/>
          <w:sz w:val="24"/>
          <w:szCs w:val="24"/>
          <w:spacing w:val="1"/>
        </w:rPr>
        <w:t>项目食堂废水经隔油池处理后与生活污水排入厂区防渗储池内，满足《污水综</w:t>
      </w:r>
      <w:r>
        <w:rPr>
          <w:rFonts w:ascii="FangSong" w:hAnsi="FangSong" w:eastAsia="FangSong" w:cs="FangSong"/>
          <w:sz w:val="24"/>
          <w:szCs w:val="24"/>
          <w:spacing w:val="-3"/>
        </w:rPr>
        <w:t>合排放标准》（</w:t>
      </w:r>
      <w:r>
        <w:rPr>
          <w:rFonts w:ascii="Times New Roman" w:hAnsi="Times New Roman" w:eastAsia="Times New Roman" w:cs="Times New Roman"/>
          <w:sz w:val="24"/>
          <w:szCs w:val="24"/>
          <w:spacing w:val="-3"/>
        </w:rPr>
        <w:t>GB8978-1996</w:t>
      </w:r>
      <w:r>
        <w:rPr>
          <w:rFonts w:ascii="FangSong" w:hAnsi="FangSong" w:eastAsia="FangSong" w:cs="FangSong"/>
          <w:sz w:val="24"/>
          <w:szCs w:val="24"/>
          <w:spacing w:val="-3"/>
        </w:rPr>
        <w:t>）中三级排放限值和内蒙古锡林</w:t>
      </w:r>
      <w:r>
        <w:rPr>
          <w:rFonts w:ascii="FangSong" w:hAnsi="FangSong" w:eastAsia="FangSong" w:cs="FangSong"/>
          <w:sz w:val="24"/>
          <w:szCs w:val="24"/>
          <w:spacing w:val="-4"/>
        </w:rPr>
        <w:t>郭勒盟苏尼特右旗赛汉</w:t>
      </w:r>
      <w:r>
        <w:rPr>
          <w:rFonts w:ascii="FangSong" w:hAnsi="FangSong" w:eastAsia="FangSong" w:cs="FangSong"/>
          <w:sz w:val="24"/>
          <w:szCs w:val="24"/>
          <w:spacing w:val="1"/>
        </w:rPr>
        <w:t>塔拉镇污水处理厂进水指标后，定期运至内蒙古锡林郭勒盟苏尼特右旗赛汉塔拉镇</w:t>
      </w:r>
      <w:r>
        <w:rPr>
          <w:rFonts w:ascii="FangSong" w:hAnsi="FangSong" w:eastAsia="FangSong" w:cs="FangSong"/>
          <w:sz w:val="24"/>
          <w:szCs w:val="24"/>
          <w:spacing w:val="-2"/>
        </w:rPr>
        <w:t>污水处理厂处理，详见表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2.6-5</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；地下涌水、淋溶水、选矿废水等经沉淀</w:t>
      </w:r>
      <w:r>
        <w:rPr>
          <w:rFonts w:ascii="FangSong" w:hAnsi="FangSong" w:eastAsia="FangSong" w:cs="FangSong"/>
          <w:sz w:val="24"/>
          <w:szCs w:val="24"/>
          <w:spacing w:val="-3"/>
        </w:rPr>
        <w:t>处理后回用</w:t>
      </w:r>
      <w:r>
        <w:rPr>
          <w:rFonts w:ascii="FangSong" w:hAnsi="FangSong" w:eastAsia="FangSong" w:cs="FangSong"/>
          <w:sz w:val="24"/>
          <w:szCs w:val="24"/>
          <w:spacing w:val="1"/>
        </w:rPr>
        <w:t>于生产或洒水降尘，不外排；项目回用于选矿工艺的回用水水质执行《城市污水再</w:t>
      </w:r>
      <w:r>
        <w:rPr>
          <w:rFonts w:ascii="FangSong" w:hAnsi="FangSong" w:eastAsia="FangSong" w:cs="FangSong"/>
          <w:sz w:val="24"/>
          <w:szCs w:val="24"/>
        </w:rPr>
        <w:t>生利用</w:t>
      </w:r>
      <w:r>
        <w:rPr>
          <w:rFonts w:ascii="FangSong" w:hAnsi="FangSong" w:eastAsia="FangSong" w:cs="FangSong"/>
          <w:sz w:val="24"/>
          <w:szCs w:val="24"/>
        </w:rPr>
        <w:t xml:space="preserve"> </w:t>
      </w:r>
      <w:r>
        <w:rPr>
          <w:rFonts w:ascii="FangSong" w:hAnsi="FangSong" w:eastAsia="FangSong" w:cs="FangSong"/>
          <w:sz w:val="24"/>
          <w:szCs w:val="24"/>
        </w:rPr>
        <w:t>工业用水水质》（</w:t>
      </w:r>
      <w:r>
        <w:rPr>
          <w:rFonts w:ascii="Times New Roman" w:hAnsi="Times New Roman" w:eastAsia="Times New Roman" w:cs="Times New Roman"/>
          <w:sz w:val="24"/>
          <w:szCs w:val="24"/>
        </w:rPr>
        <w:t>GB/T1992</w:t>
      </w:r>
      <w:r>
        <w:rPr>
          <w:rFonts w:ascii="Times New Roman" w:hAnsi="Times New Roman" w:eastAsia="Times New Roman" w:cs="Times New Roman"/>
          <w:sz w:val="24"/>
          <w:szCs w:val="24"/>
          <w:spacing w:val="-1"/>
        </w:rPr>
        <w:t>3-2024</w:t>
      </w:r>
      <w:r>
        <w:rPr>
          <w:rFonts w:ascii="FangSong" w:hAnsi="FangSong" w:eastAsia="FangSong" w:cs="FangSong"/>
          <w:sz w:val="24"/>
          <w:szCs w:val="24"/>
          <w:spacing w:val="-1"/>
        </w:rPr>
        <w:t>）中工艺用水标准，详见表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2.6-6</w:t>
      </w:r>
      <w:r>
        <w:rPr>
          <w:rFonts w:ascii="FangSong" w:hAnsi="FangSong" w:eastAsia="FangSong" w:cs="FangSong"/>
          <w:sz w:val="24"/>
          <w:szCs w:val="24"/>
          <w:spacing w:val="-1"/>
        </w:rPr>
        <w:t>。</w:t>
      </w:r>
    </w:p>
    <w:p>
      <w:pPr>
        <w:ind w:left="2447"/>
        <w:spacing w:before="1" w:line="221"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5"/>
        </w:rPr>
        <w:t>2.6-5</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5"/>
        </w:rPr>
        <w:t>生活污水外运执行标准一览表</w:t>
      </w:r>
    </w:p>
    <w:p>
      <w:pPr>
        <w:spacing w:line="143"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4"/>
        <w:gridCol w:w="771"/>
        <w:gridCol w:w="826"/>
        <w:gridCol w:w="882"/>
        <w:gridCol w:w="926"/>
        <w:gridCol w:w="931"/>
        <w:gridCol w:w="1187"/>
        <w:gridCol w:w="2275"/>
      </w:tblGrid>
      <w:tr>
        <w:trPr>
          <w:trHeight w:val="279" w:hRule="atLeast"/>
        </w:trPr>
        <w:tc>
          <w:tcPr>
            <w:tcW w:w="1114" w:type="dxa"/>
            <w:vAlign w:val="top"/>
            <w:tcBorders>
              <w:top w:val="single" w:color="000000" w:sz="10" w:space="0"/>
              <w:left w:val="nil"/>
            </w:tcBorders>
          </w:tcPr>
          <w:p>
            <w:pPr>
              <w:pStyle w:val="TableText"/>
              <w:ind w:left="360"/>
              <w:spacing w:before="37" w:line="214" w:lineRule="auto"/>
              <w:rPr/>
            </w:pPr>
            <w:r>
              <w:rPr>
                <w:spacing w:val="1"/>
              </w:rPr>
              <w:t>项目</w:t>
            </w:r>
          </w:p>
        </w:tc>
        <w:tc>
          <w:tcPr>
            <w:tcW w:w="771" w:type="dxa"/>
            <w:vAlign w:val="top"/>
            <w:tcBorders>
              <w:top w:val="single" w:color="000000" w:sz="10" w:space="0"/>
            </w:tcBorders>
          </w:tcPr>
          <w:p>
            <w:pPr>
              <w:ind w:left="254"/>
              <w:spacing w:before="7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826" w:type="dxa"/>
            <w:vAlign w:val="top"/>
            <w:tcBorders>
              <w:top w:val="single" w:color="000000" w:sz="10" w:space="0"/>
            </w:tcBorders>
          </w:tcPr>
          <w:p>
            <w:pPr>
              <w:ind w:left="196"/>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882" w:type="dxa"/>
            <w:vAlign w:val="top"/>
            <w:tcBorders>
              <w:top w:val="single" w:color="000000" w:sz="10" w:space="0"/>
            </w:tcBorders>
          </w:tcPr>
          <w:p>
            <w:pPr>
              <w:ind w:left="185"/>
              <w:spacing w:before="7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BOD</w:t>
            </w:r>
            <w:r>
              <w:rPr>
                <w:rFonts w:ascii="Times New Roman" w:hAnsi="Times New Roman" w:eastAsia="Times New Roman" w:cs="Times New Roman"/>
                <w:sz w:val="13"/>
                <w:szCs w:val="13"/>
                <w:spacing w:val="5"/>
                <w:position w:val="-1"/>
              </w:rPr>
              <w:t>5</w:t>
            </w:r>
          </w:p>
        </w:tc>
        <w:tc>
          <w:tcPr>
            <w:tcW w:w="926" w:type="dxa"/>
            <w:vAlign w:val="top"/>
            <w:tcBorders>
              <w:top w:val="single" w:color="000000" w:sz="10" w:space="0"/>
            </w:tcBorders>
          </w:tcPr>
          <w:p>
            <w:pPr>
              <w:ind w:left="160"/>
              <w:spacing w:before="7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931" w:type="dxa"/>
            <w:vAlign w:val="top"/>
            <w:tcBorders>
              <w:top w:val="single" w:color="000000" w:sz="10" w:space="0"/>
            </w:tcBorders>
          </w:tcPr>
          <w:p>
            <w:pPr>
              <w:ind w:left="35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1187" w:type="dxa"/>
            <w:vAlign w:val="top"/>
            <w:tcBorders>
              <w:top w:val="single" w:color="000000" w:sz="10" w:space="0"/>
            </w:tcBorders>
          </w:tcPr>
          <w:p>
            <w:pPr>
              <w:pStyle w:val="TableText"/>
              <w:ind w:left="187"/>
              <w:spacing w:before="37" w:line="214" w:lineRule="auto"/>
              <w:rPr/>
            </w:pPr>
            <w:r>
              <w:rPr>
                <w:spacing w:val="5"/>
              </w:rPr>
              <w:t>动植物油</w:t>
            </w:r>
          </w:p>
        </w:tc>
        <w:tc>
          <w:tcPr>
            <w:tcW w:w="2275" w:type="dxa"/>
            <w:vAlign w:val="top"/>
            <w:tcBorders>
              <w:top w:val="single" w:color="000000" w:sz="10" w:space="0"/>
              <w:right w:val="nil"/>
            </w:tcBorders>
          </w:tcPr>
          <w:p>
            <w:pPr>
              <w:pStyle w:val="TableText"/>
              <w:ind w:left="727"/>
              <w:spacing w:before="37" w:line="214" w:lineRule="auto"/>
              <w:rPr/>
            </w:pPr>
            <w:r>
              <w:rPr>
                <w:spacing w:val="6"/>
              </w:rPr>
              <w:t>标准来源</w:t>
            </w:r>
          </w:p>
        </w:tc>
      </w:tr>
    </w:tbl>
    <w:p>
      <w:pPr>
        <w:pStyle w:val="BodyText"/>
        <w:rPr/>
      </w:pPr>
      <w:r/>
    </w:p>
    <w:p>
      <w:pPr>
        <w:sectPr>
          <w:footerReference w:type="default" r:id="rId79"/>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4"/>
        <w:gridCol w:w="771"/>
        <w:gridCol w:w="826"/>
        <w:gridCol w:w="882"/>
        <w:gridCol w:w="926"/>
        <w:gridCol w:w="931"/>
        <w:gridCol w:w="1187"/>
        <w:gridCol w:w="2275"/>
      </w:tblGrid>
      <w:tr>
        <w:trPr>
          <w:trHeight w:val="814" w:hRule="atLeast"/>
        </w:trPr>
        <w:tc>
          <w:tcPr>
            <w:tcW w:w="1114" w:type="dxa"/>
            <w:vAlign w:val="top"/>
            <w:vMerge w:val="restart"/>
            <w:tcBorders>
              <w:bottom w:val="nil"/>
              <w:left w:val="nil"/>
            </w:tcBorders>
          </w:tcPr>
          <w:p>
            <w:pPr>
              <w:spacing w:line="326" w:lineRule="auto"/>
              <w:rPr>
                <w:rFonts w:ascii="Arial"/>
                <w:sz w:val="21"/>
              </w:rPr>
            </w:pPr>
            <w:r/>
          </w:p>
          <w:p>
            <w:pPr>
              <w:spacing w:line="326" w:lineRule="auto"/>
              <w:rPr>
                <w:rFonts w:ascii="Arial"/>
                <w:sz w:val="21"/>
              </w:rPr>
            </w:pPr>
            <w:r/>
          </w:p>
          <w:p>
            <w:pPr>
              <w:pStyle w:val="TableText"/>
              <w:ind w:left="164"/>
              <w:spacing w:before="65" w:line="231" w:lineRule="auto"/>
              <w:rPr/>
            </w:pPr>
            <w:r>
              <w:rPr>
                <w:spacing w:val="2"/>
              </w:rPr>
              <w:t>限值要求</w:t>
            </w:r>
          </w:p>
        </w:tc>
        <w:tc>
          <w:tcPr>
            <w:tcW w:w="771" w:type="dxa"/>
            <w:vAlign w:val="top"/>
          </w:tcPr>
          <w:p>
            <w:pPr>
              <w:spacing w:line="285" w:lineRule="auto"/>
              <w:rPr>
                <w:rFonts w:ascii="Arial"/>
                <w:sz w:val="21"/>
              </w:rPr>
            </w:pPr>
            <w:r/>
          </w:p>
          <w:p>
            <w:pPr>
              <w:ind w:left="251"/>
              <w:spacing w:before="57" w:line="195" w:lineRule="auto"/>
              <w:rPr>
                <w:rFonts w:ascii="Times New Roman" w:hAnsi="Times New Roman" w:eastAsia="Times New Roman" w:cs="Times New Roman"/>
                <w:sz w:val="20"/>
                <w:szCs w:val="20"/>
              </w:rPr>
            </w:pPr>
            <w:bookmarkStart w:name="bookmark525" w:id="123"/>
            <w:bookmarkEnd w:id="123"/>
            <w:r>
              <w:rPr>
                <w:rFonts w:ascii="Times New Roman" w:hAnsi="Times New Roman" w:eastAsia="Times New Roman" w:cs="Times New Roman"/>
                <w:sz w:val="20"/>
                <w:szCs w:val="20"/>
              </w:rPr>
              <w:t>6-9</w:t>
            </w:r>
          </w:p>
        </w:tc>
        <w:tc>
          <w:tcPr>
            <w:tcW w:w="826" w:type="dxa"/>
            <w:vAlign w:val="top"/>
          </w:tcPr>
          <w:p>
            <w:pPr>
              <w:spacing w:line="285" w:lineRule="auto"/>
              <w:rPr>
                <w:rFonts w:ascii="Arial"/>
                <w:sz w:val="21"/>
              </w:rPr>
            </w:pPr>
            <w:r/>
          </w:p>
          <w:p>
            <w:pPr>
              <w:ind w:left="2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882" w:type="dxa"/>
            <w:vAlign w:val="top"/>
          </w:tcPr>
          <w:p>
            <w:pPr>
              <w:spacing w:line="285" w:lineRule="auto"/>
              <w:rPr>
                <w:rFonts w:ascii="Arial"/>
                <w:sz w:val="21"/>
              </w:rPr>
            </w:pPr>
            <w:r/>
          </w:p>
          <w:p>
            <w:pPr>
              <w:ind w:left="28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926" w:type="dxa"/>
            <w:vAlign w:val="top"/>
          </w:tcPr>
          <w:p>
            <w:pPr>
              <w:spacing w:line="281" w:lineRule="auto"/>
              <w:rPr>
                <w:rFonts w:ascii="Arial"/>
                <w:sz w:val="21"/>
              </w:rPr>
            </w:pPr>
            <w:r/>
          </w:p>
          <w:p>
            <w:pPr>
              <w:ind w:left="432"/>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31" w:type="dxa"/>
            <w:vAlign w:val="top"/>
          </w:tcPr>
          <w:p>
            <w:pPr>
              <w:spacing w:line="285" w:lineRule="auto"/>
              <w:rPr>
                <w:rFonts w:ascii="Arial"/>
                <w:sz w:val="21"/>
              </w:rPr>
            </w:pPr>
            <w:r/>
          </w:p>
          <w:p>
            <w:pPr>
              <w:ind w:left="30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w:t>
            </w:r>
          </w:p>
        </w:tc>
        <w:tc>
          <w:tcPr>
            <w:tcW w:w="1187" w:type="dxa"/>
            <w:vAlign w:val="top"/>
          </w:tcPr>
          <w:p>
            <w:pPr>
              <w:spacing w:line="285" w:lineRule="auto"/>
              <w:rPr>
                <w:rFonts w:ascii="Arial"/>
                <w:sz w:val="21"/>
              </w:rPr>
            </w:pPr>
            <w:r/>
          </w:p>
          <w:p>
            <w:pPr>
              <w:ind w:left="45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2275" w:type="dxa"/>
            <w:vAlign w:val="top"/>
            <w:tcBorders>
              <w:right w:val="nil"/>
            </w:tcBorders>
          </w:tcPr>
          <w:p>
            <w:pPr>
              <w:pStyle w:val="TableText"/>
              <w:ind w:left="118"/>
              <w:spacing w:before="37" w:line="231" w:lineRule="auto"/>
              <w:rPr/>
            </w:pPr>
            <w:r>
              <w:rPr>
                <w:spacing w:val="7"/>
              </w:rPr>
              <w:t>《污水综合排放标准》</w:t>
            </w:r>
          </w:p>
          <w:p>
            <w:pPr>
              <w:pStyle w:val="TableText"/>
              <w:ind w:left="132"/>
              <w:spacing w:before="20" w:line="231" w:lineRule="auto"/>
              <w:rPr/>
            </w:pP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8978-1996</w:t>
            </w:r>
            <w:r>
              <w:rPr>
                <w:spacing w:val="2"/>
              </w:rPr>
              <w:t>）</w:t>
            </w:r>
            <w:r>
              <w:rPr>
                <w:spacing w:val="-50"/>
              </w:rPr>
              <w:t xml:space="preserve"> </w:t>
            </w:r>
            <w:r>
              <w:rPr>
                <w:spacing w:val="2"/>
              </w:rPr>
              <w:t>中三</w:t>
            </w:r>
          </w:p>
          <w:p>
            <w:pPr>
              <w:pStyle w:val="TableText"/>
              <w:ind w:left="627"/>
              <w:spacing w:before="21" w:line="207" w:lineRule="auto"/>
              <w:rPr/>
            </w:pPr>
            <w:r>
              <w:rPr>
                <w:spacing w:val="6"/>
              </w:rPr>
              <w:t>级排放限值</w:t>
            </w:r>
          </w:p>
        </w:tc>
      </w:tr>
      <w:tr>
        <w:trPr>
          <w:trHeight w:val="833" w:hRule="atLeast"/>
        </w:trPr>
        <w:tc>
          <w:tcPr>
            <w:tcW w:w="1114" w:type="dxa"/>
            <w:vAlign w:val="top"/>
            <w:vMerge w:val="continue"/>
            <w:tcBorders>
              <w:bottom w:val="single" w:color="000000" w:sz="10" w:space="0"/>
              <w:left w:val="nil"/>
              <w:top w:val="nil"/>
            </w:tcBorders>
          </w:tcPr>
          <w:p>
            <w:pPr>
              <w:rPr>
                <w:rFonts w:ascii="Arial"/>
                <w:sz w:val="21"/>
              </w:rPr>
            </w:pPr>
            <w:r/>
          </w:p>
        </w:tc>
        <w:tc>
          <w:tcPr>
            <w:tcW w:w="771" w:type="dxa"/>
            <w:vAlign w:val="top"/>
            <w:tcBorders>
              <w:bottom w:val="single" w:color="000000" w:sz="10" w:space="0"/>
            </w:tcBorders>
          </w:tcPr>
          <w:p>
            <w:pPr>
              <w:spacing w:line="294" w:lineRule="auto"/>
              <w:rPr>
                <w:rFonts w:ascii="Arial"/>
                <w:sz w:val="21"/>
              </w:rPr>
            </w:pPr>
            <w:r/>
          </w:p>
          <w:p>
            <w:pPr>
              <w:ind w:left="25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826" w:type="dxa"/>
            <w:vAlign w:val="top"/>
            <w:tcBorders>
              <w:bottom w:val="single" w:color="000000" w:sz="10" w:space="0"/>
            </w:tcBorders>
          </w:tcPr>
          <w:p>
            <w:pPr>
              <w:spacing w:line="294" w:lineRule="auto"/>
              <w:rPr>
                <w:rFonts w:ascii="Arial"/>
                <w:sz w:val="21"/>
              </w:rPr>
            </w:pPr>
            <w:r/>
          </w:p>
          <w:p>
            <w:pPr>
              <w:ind w:left="2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550</w:t>
            </w:r>
          </w:p>
        </w:tc>
        <w:tc>
          <w:tcPr>
            <w:tcW w:w="882" w:type="dxa"/>
            <w:vAlign w:val="top"/>
            <w:tcBorders>
              <w:bottom w:val="single" w:color="000000" w:sz="10" w:space="0"/>
            </w:tcBorders>
          </w:tcPr>
          <w:p>
            <w:pPr>
              <w:spacing w:line="294" w:lineRule="auto"/>
              <w:rPr>
                <w:rFonts w:ascii="Arial"/>
                <w:sz w:val="21"/>
              </w:rPr>
            </w:pPr>
            <w:r/>
          </w:p>
          <w:p>
            <w:pPr>
              <w:ind w:left="3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170</w:t>
            </w:r>
          </w:p>
        </w:tc>
        <w:tc>
          <w:tcPr>
            <w:tcW w:w="926" w:type="dxa"/>
            <w:vAlign w:val="top"/>
            <w:tcBorders>
              <w:bottom w:val="single" w:color="000000" w:sz="10" w:space="0"/>
            </w:tcBorders>
          </w:tcPr>
          <w:p>
            <w:pPr>
              <w:spacing w:line="296" w:lineRule="auto"/>
              <w:rPr>
                <w:rFonts w:ascii="Arial"/>
                <w:sz w:val="21"/>
              </w:rPr>
            </w:pPr>
            <w:r/>
          </w:p>
          <w:p>
            <w:pPr>
              <w:ind w:left="365"/>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931" w:type="dxa"/>
            <w:vAlign w:val="top"/>
            <w:tcBorders>
              <w:bottom w:val="single" w:color="000000" w:sz="10" w:space="0"/>
            </w:tcBorders>
          </w:tcPr>
          <w:p>
            <w:pPr>
              <w:spacing w:line="294" w:lineRule="auto"/>
              <w:rPr>
                <w:rFonts w:ascii="Arial"/>
                <w:sz w:val="21"/>
              </w:rPr>
            </w:pPr>
            <w:r/>
          </w:p>
          <w:p>
            <w:pPr>
              <w:ind w:left="30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420</w:t>
            </w:r>
          </w:p>
        </w:tc>
        <w:tc>
          <w:tcPr>
            <w:tcW w:w="1187" w:type="dxa"/>
            <w:vAlign w:val="top"/>
            <w:tcBorders>
              <w:bottom w:val="single" w:color="000000" w:sz="10" w:space="0"/>
            </w:tcBorders>
          </w:tcPr>
          <w:p>
            <w:pPr>
              <w:spacing w:line="290" w:lineRule="auto"/>
              <w:rPr>
                <w:rFonts w:ascii="Arial"/>
                <w:sz w:val="21"/>
              </w:rPr>
            </w:pPr>
            <w:r/>
          </w:p>
          <w:p>
            <w:pPr>
              <w:ind w:left="562"/>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275" w:type="dxa"/>
            <w:vAlign w:val="top"/>
            <w:tcBorders>
              <w:bottom w:val="single" w:color="000000" w:sz="10" w:space="0"/>
              <w:right w:val="nil"/>
            </w:tcBorders>
          </w:tcPr>
          <w:p>
            <w:pPr>
              <w:pStyle w:val="TableText"/>
              <w:ind w:left="205" w:right="192" w:firstLine="25"/>
              <w:spacing w:before="43"/>
              <w:jc w:val="both"/>
              <w:rPr/>
            </w:pPr>
            <w:r>
              <w:rPr>
                <w:spacing w:val="5"/>
              </w:rPr>
              <w:t>内蒙古锡林郭勒盟苏</w:t>
            </w:r>
            <w:r>
              <w:rPr>
                <w:spacing w:val="8"/>
              </w:rPr>
              <w:t>尼特右旗赛汉塔拉镇</w:t>
            </w:r>
            <w:r>
              <w:rPr>
                <w:spacing w:val="8"/>
              </w:rPr>
              <w:t>污水处理厂进水指标</w:t>
            </w:r>
          </w:p>
        </w:tc>
      </w:tr>
    </w:tbl>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2809"/>
        <w:spacing w:before="78" w:line="222" w:lineRule="auto"/>
        <w:rPr>
          <w:rFonts w:ascii="FangSong" w:hAnsi="FangSong" w:eastAsia="FangSong" w:cs="FangSong"/>
          <w:sz w:val="24"/>
          <w:szCs w:val="24"/>
        </w:rPr>
      </w:pPr>
      <w:r>
        <w:rPr>
          <w:rFonts w:ascii="FangSong" w:hAnsi="FangSong" w:eastAsia="FangSong" w:cs="FangSong"/>
          <w:sz w:val="24"/>
          <w:szCs w:val="24"/>
          <w:b/>
          <w:bCs/>
          <w:spacing w:val="-6"/>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6"/>
        </w:rPr>
        <w:t>2.6-6</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6"/>
        </w:rPr>
        <w:t>回用水水质标准一览表</w:t>
      </w:r>
    </w:p>
    <w:p>
      <w:pPr>
        <w:spacing w:line="142"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6"/>
        <w:gridCol w:w="1428"/>
        <w:gridCol w:w="2939"/>
        <w:gridCol w:w="1699"/>
        <w:gridCol w:w="2130"/>
      </w:tblGrid>
      <w:tr>
        <w:trPr>
          <w:trHeight w:val="820" w:hRule="atLeast"/>
        </w:trPr>
        <w:tc>
          <w:tcPr>
            <w:tcW w:w="716" w:type="dxa"/>
            <w:vAlign w:val="top"/>
            <w:tcBorders>
              <w:left w:val="nil"/>
              <w:top w:val="single" w:color="000000" w:sz="10" w:space="0"/>
            </w:tcBorders>
          </w:tcPr>
          <w:p>
            <w:pPr>
              <w:rPr>
                <w:rFonts w:ascii="Arial"/>
                <w:sz w:val="21"/>
              </w:rPr>
            </w:pPr>
            <w:r/>
          </w:p>
          <w:p>
            <w:pPr>
              <w:pStyle w:val="TableText"/>
              <w:ind w:left="160"/>
              <w:spacing w:before="65" w:line="231" w:lineRule="auto"/>
              <w:rPr/>
            </w:pPr>
            <w:r>
              <w:rPr>
                <w:spacing w:val="2"/>
              </w:rPr>
              <w:t>序号</w:t>
            </w:r>
          </w:p>
        </w:tc>
        <w:tc>
          <w:tcPr>
            <w:tcW w:w="1428" w:type="dxa"/>
            <w:vAlign w:val="top"/>
            <w:tcBorders>
              <w:top w:val="single" w:color="000000" w:sz="10" w:space="0"/>
            </w:tcBorders>
          </w:tcPr>
          <w:p>
            <w:pPr>
              <w:rPr>
                <w:rFonts w:ascii="Arial"/>
                <w:sz w:val="21"/>
              </w:rPr>
            </w:pPr>
            <w:r/>
          </w:p>
          <w:p>
            <w:pPr>
              <w:pStyle w:val="TableText"/>
              <w:ind w:left="307"/>
              <w:spacing w:before="65" w:line="230" w:lineRule="auto"/>
              <w:rPr/>
            </w:pPr>
            <w:r>
              <w:rPr>
                <w:spacing w:val="5"/>
              </w:rPr>
              <w:t>控制项目</w:t>
            </w:r>
          </w:p>
        </w:tc>
        <w:tc>
          <w:tcPr>
            <w:tcW w:w="2939" w:type="dxa"/>
            <w:vAlign w:val="top"/>
            <w:tcBorders>
              <w:top w:val="single" w:color="000000" w:sz="10" w:space="0"/>
            </w:tcBorders>
          </w:tcPr>
          <w:p>
            <w:pPr>
              <w:pStyle w:val="TableText"/>
              <w:ind w:left="138"/>
              <w:spacing w:before="35" w:line="230" w:lineRule="auto"/>
              <w:rPr/>
            </w:pPr>
            <w:r>
              <w:rPr>
                <w:spacing w:val="6"/>
              </w:rPr>
              <w:t>间冷开式循环冷却水补充水、</w:t>
            </w:r>
          </w:p>
          <w:p>
            <w:pPr>
              <w:pStyle w:val="TableText"/>
              <w:ind w:left="119"/>
              <w:spacing w:before="22" w:line="230" w:lineRule="auto"/>
              <w:rPr/>
            </w:pPr>
            <w:r>
              <w:rPr>
                <w:spacing w:val="8"/>
              </w:rPr>
              <w:t>锅炉补给水、工艺用水、产品</w:t>
            </w:r>
          </w:p>
          <w:p>
            <w:pPr>
              <w:pStyle w:val="TableText"/>
              <w:ind w:left="1271"/>
              <w:spacing w:before="21" w:line="214" w:lineRule="auto"/>
              <w:rPr/>
            </w:pPr>
            <w:r>
              <w:rPr>
                <w:spacing w:val="2"/>
              </w:rPr>
              <w:t>用水</w:t>
            </w:r>
          </w:p>
        </w:tc>
        <w:tc>
          <w:tcPr>
            <w:tcW w:w="1699" w:type="dxa"/>
            <w:vAlign w:val="top"/>
            <w:tcBorders>
              <w:top w:val="single" w:color="000000" w:sz="10" w:space="0"/>
            </w:tcBorders>
          </w:tcPr>
          <w:p>
            <w:pPr>
              <w:pStyle w:val="TableText"/>
              <w:ind w:left="545" w:right="111" w:hanging="418"/>
              <w:spacing w:before="170" w:line="253" w:lineRule="auto"/>
              <w:rPr/>
            </w:pPr>
            <w:r>
              <w:rPr>
                <w:spacing w:val="7"/>
              </w:rPr>
              <w:t>直流冷却水、洗</w:t>
            </w:r>
            <w:r>
              <w:rPr>
                <w:spacing w:val="5"/>
              </w:rPr>
              <w:t>涤用水</w:t>
            </w:r>
          </w:p>
        </w:tc>
        <w:tc>
          <w:tcPr>
            <w:tcW w:w="2130" w:type="dxa"/>
            <w:vAlign w:val="top"/>
            <w:tcBorders>
              <w:right w:val="nil"/>
              <w:top w:val="single" w:color="000000" w:sz="10" w:space="0"/>
            </w:tcBorders>
          </w:tcPr>
          <w:p>
            <w:pPr>
              <w:rPr>
                <w:rFonts w:ascii="Arial"/>
                <w:sz w:val="21"/>
              </w:rPr>
            </w:pPr>
            <w:r/>
          </w:p>
          <w:p>
            <w:pPr>
              <w:pStyle w:val="TableText"/>
              <w:ind w:left="657"/>
              <w:spacing w:before="65" w:line="230" w:lineRule="auto"/>
              <w:rPr/>
            </w:pPr>
            <w:r>
              <w:rPr>
                <w:spacing w:val="6"/>
              </w:rPr>
              <w:t>标准来源</w:t>
            </w:r>
          </w:p>
        </w:tc>
      </w:tr>
      <w:tr>
        <w:trPr>
          <w:trHeight w:val="275" w:hRule="atLeast"/>
        </w:trPr>
        <w:tc>
          <w:tcPr>
            <w:tcW w:w="716" w:type="dxa"/>
            <w:vAlign w:val="top"/>
            <w:tcBorders>
              <w:left w:val="nil"/>
            </w:tcBorders>
          </w:tcPr>
          <w:p>
            <w:pPr>
              <w:ind w:left="32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8" w:type="dxa"/>
            <w:vAlign w:val="top"/>
          </w:tcPr>
          <w:p>
            <w:pPr>
              <w:pStyle w:val="TableText"/>
              <w:ind w:left="104"/>
              <w:spacing w:before="36" w:line="211" w:lineRule="auto"/>
              <w:rPr/>
            </w:pPr>
            <w:r>
              <w:rPr>
                <w:rFonts w:ascii="Times New Roman" w:hAnsi="Times New Roman" w:eastAsia="Times New Roman" w:cs="Times New Roman"/>
              </w:rPr>
              <w:t>pH</w:t>
            </w:r>
            <w:r>
              <w:rPr>
                <w:spacing w:val="10"/>
              </w:rPr>
              <w:t>（无量纲）</w:t>
            </w:r>
          </w:p>
        </w:tc>
        <w:tc>
          <w:tcPr>
            <w:tcW w:w="2939" w:type="dxa"/>
            <w:vAlign w:val="top"/>
          </w:tcPr>
          <w:p>
            <w:pPr>
              <w:ind w:left="1177"/>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6.0-9.0</w:t>
            </w:r>
          </w:p>
        </w:tc>
        <w:tc>
          <w:tcPr>
            <w:tcW w:w="1699" w:type="dxa"/>
            <w:vAlign w:val="top"/>
          </w:tcPr>
          <w:p>
            <w:pPr>
              <w:ind w:left="55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6.0-9.0</w:t>
            </w:r>
          </w:p>
        </w:tc>
        <w:tc>
          <w:tcPr>
            <w:tcW w:w="2130" w:type="dxa"/>
            <w:vAlign w:val="top"/>
            <w:vMerge w:val="restart"/>
            <w:tcBorders>
              <w:right w:val="nil"/>
              <w:bottom w:val="nil"/>
            </w:tcBorders>
          </w:tcPr>
          <w:p>
            <w:pPr>
              <w:spacing w:line="328" w:lineRule="auto"/>
              <w:rPr>
                <w:rFonts w:ascii="Arial"/>
                <w:sz w:val="21"/>
              </w:rPr>
            </w:pPr>
            <w:r/>
          </w:p>
          <w:p>
            <w:pPr>
              <w:spacing w:line="328" w:lineRule="auto"/>
              <w:rPr>
                <w:rFonts w:ascii="Arial"/>
                <w:sz w:val="21"/>
              </w:rPr>
            </w:pPr>
            <w:r/>
          </w:p>
          <w:p>
            <w:pPr>
              <w:pStyle w:val="TableText"/>
              <w:ind w:left="131"/>
              <w:spacing w:before="65" w:line="231" w:lineRule="auto"/>
              <w:rPr/>
            </w:pPr>
            <w:r>
              <w:rPr>
                <w:spacing w:val="8"/>
              </w:rPr>
              <w:t>《城市污水再生利用</w:t>
            </w:r>
          </w:p>
          <w:p>
            <w:pPr>
              <w:pStyle w:val="TableText"/>
              <w:ind w:left="346"/>
              <w:spacing w:before="23" w:line="232" w:lineRule="auto"/>
              <w:rPr/>
            </w:pPr>
            <w:r>
              <w:rPr>
                <w:spacing w:val="5"/>
              </w:rPr>
              <w:t>工业用水水质》</w:t>
            </w:r>
          </w:p>
          <w:p>
            <w:pPr>
              <w:pStyle w:val="TableText"/>
              <w:ind w:left="124"/>
              <w:spacing w:before="20" w:line="265" w:lineRule="exact"/>
              <w:rPr/>
            </w:pPr>
            <w:r>
              <w:rPr>
                <w:spacing w:val="4"/>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4"/>
                <w:position w:val="1"/>
              </w:rPr>
              <w:t>/T19923-2024</w:t>
            </w:r>
            <w:r>
              <w:rPr>
                <w:spacing w:val="4"/>
                <w:position w:val="1"/>
              </w:rPr>
              <w:t>）</w:t>
            </w:r>
          </w:p>
        </w:tc>
      </w:tr>
      <w:tr>
        <w:trPr>
          <w:trHeight w:val="276" w:hRule="atLeast"/>
        </w:trPr>
        <w:tc>
          <w:tcPr>
            <w:tcW w:w="716" w:type="dxa"/>
            <w:vAlign w:val="top"/>
            <w:tcBorders>
              <w:left w:val="nil"/>
            </w:tcBorders>
          </w:tcPr>
          <w:p>
            <w:pPr>
              <w:ind w:left="30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28" w:type="dxa"/>
            <w:vAlign w:val="top"/>
          </w:tcPr>
          <w:p>
            <w:pPr>
              <w:pStyle w:val="TableText"/>
              <w:ind w:right="13"/>
              <w:spacing w:before="39" w:line="209" w:lineRule="auto"/>
              <w:jc w:val="right"/>
              <w:rPr/>
            </w:pPr>
            <w:r>
              <w:rPr>
                <w:rFonts w:ascii="Times New Roman" w:hAnsi="Times New Roman" w:eastAsia="Times New Roman" w:cs="Times New Roman"/>
                <w:spacing w:val="5"/>
              </w:rPr>
              <w:t>BOD</w:t>
            </w:r>
            <w:r>
              <w:rPr>
                <w:rFonts w:ascii="Times New Roman" w:hAnsi="Times New Roman" w:eastAsia="Times New Roman" w:cs="Times New Roman"/>
                <w:sz w:val="13"/>
                <w:szCs w:val="13"/>
                <w:spacing w:val="5"/>
                <w:position w:val="-1"/>
              </w:rPr>
              <w:t>5</w:t>
            </w:r>
            <w:r>
              <w:rPr>
                <w:spacing w:val="-7"/>
              </w:rPr>
              <w:t>（</w:t>
            </w:r>
            <w:r>
              <w:rPr>
                <w:rFonts w:ascii="Times New Roman" w:hAnsi="Times New Roman" w:eastAsia="Times New Roman" w:cs="Times New Roman"/>
                <w:spacing w:val="-7"/>
              </w:rPr>
              <w:t>mg/L</w:t>
            </w:r>
            <w:r>
              <w:rPr>
                <w:spacing w:val="-7"/>
              </w:rPr>
              <w:t>）</w:t>
            </w:r>
          </w:p>
        </w:tc>
        <w:tc>
          <w:tcPr>
            <w:tcW w:w="2939" w:type="dxa"/>
            <w:vAlign w:val="top"/>
          </w:tcPr>
          <w:p>
            <w:pPr>
              <w:ind w:left="138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699" w:type="dxa"/>
            <w:vAlign w:val="top"/>
          </w:tcPr>
          <w:p>
            <w:pPr>
              <w:ind w:left="766"/>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130" w:type="dxa"/>
            <w:vAlign w:val="top"/>
            <w:vMerge w:val="continue"/>
            <w:tcBorders>
              <w:right w:val="nil"/>
              <w:top w:val="nil"/>
              <w:bottom w:val="nil"/>
            </w:tcBorders>
          </w:tcPr>
          <w:p>
            <w:pPr>
              <w:rPr>
                <w:rFonts w:ascii="Arial"/>
                <w:sz w:val="21"/>
              </w:rPr>
            </w:pPr>
            <w:r/>
          </w:p>
        </w:tc>
      </w:tr>
      <w:tr>
        <w:trPr>
          <w:trHeight w:val="275" w:hRule="atLeast"/>
        </w:trPr>
        <w:tc>
          <w:tcPr>
            <w:tcW w:w="716" w:type="dxa"/>
            <w:vAlign w:val="top"/>
            <w:tcBorders>
              <w:left w:val="nil"/>
            </w:tcBorders>
          </w:tcPr>
          <w:p>
            <w:pPr>
              <w:ind w:left="313"/>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8" w:type="dxa"/>
            <w:vAlign w:val="top"/>
          </w:tcPr>
          <w:p>
            <w:pPr>
              <w:pStyle w:val="TableText"/>
              <w:ind w:right="13"/>
              <w:spacing w:before="41" w:line="206" w:lineRule="auto"/>
              <w:jc w:val="right"/>
              <w:rPr/>
            </w:pPr>
            <w:r>
              <w:rPr>
                <w:rFonts w:ascii="Times New Roman" w:hAnsi="Times New Roman" w:eastAsia="Times New Roman" w:cs="Times New Roman"/>
              </w:rPr>
              <w:t>COD</w:t>
            </w:r>
            <w:r>
              <w:rPr>
                <w:spacing w:val="10"/>
              </w:rPr>
              <w:t>（</w:t>
            </w:r>
            <w:r>
              <w:rPr>
                <w:rFonts w:ascii="Times New Roman" w:hAnsi="Times New Roman" w:eastAsia="Times New Roman" w:cs="Times New Roman"/>
              </w:rPr>
              <w:t>mg</w:t>
            </w:r>
            <w:r>
              <w:rPr>
                <w:rFonts w:ascii="Times New Roman" w:hAnsi="Times New Roman" w:eastAsia="Times New Roman" w:cs="Times New Roman"/>
                <w:spacing w:val="10"/>
              </w:rPr>
              <w:t>/L</w:t>
            </w:r>
            <w:r>
              <w:rPr>
                <w:spacing w:val="10"/>
              </w:rPr>
              <w:t>）</w:t>
            </w:r>
          </w:p>
        </w:tc>
        <w:tc>
          <w:tcPr>
            <w:tcW w:w="2939" w:type="dxa"/>
            <w:vAlign w:val="top"/>
          </w:tcPr>
          <w:p>
            <w:pPr>
              <w:ind w:left="1372"/>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99" w:type="dxa"/>
            <w:vAlign w:val="top"/>
          </w:tcPr>
          <w:p>
            <w:pPr>
              <w:ind w:left="752"/>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130" w:type="dxa"/>
            <w:vAlign w:val="top"/>
            <w:vMerge w:val="continue"/>
            <w:tcBorders>
              <w:right w:val="nil"/>
              <w:top w:val="nil"/>
              <w:bottom w:val="nil"/>
            </w:tcBorders>
          </w:tcPr>
          <w:p>
            <w:pPr>
              <w:rPr>
                <w:rFonts w:ascii="Arial"/>
                <w:sz w:val="21"/>
              </w:rPr>
            </w:pPr>
            <w:r/>
          </w:p>
        </w:tc>
      </w:tr>
      <w:tr>
        <w:trPr>
          <w:trHeight w:val="515" w:hRule="atLeast"/>
        </w:trPr>
        <w:tc>
          <w:tcPr>
            <w:tcW w:w="716" w:type="dxa"/>
            <w:vAlign w:val="top"/>
            <w:tcBorders>
              <w:left w:val="nil"/>
            </w:tcBorders>
          </w:tcPr>
          <w:p>
            <w:pPr>
              <w:ind w:left="308"/>
              <w:spacing w:before="1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428" w:type="dxa"/>
            <w:vAlign w:val="top"/>
          </w:tcPr>
          <w:p>
            <w:pPr>
              <w:ind w:left="412"/>
              <w:spacing w:before="66"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p>
            <w:pPr>
              <w:pStyle w:val="TableText"/>
              <w:ind w:left="291"/>
              <w:spacing w:before="17" w:line="203" w:lineRule="auto"/>
              <w:rPr/>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2939" w:type="dxa"/>
            <w:vAlign w:val="top"/>
          </w:tcPr>
          <w:p>
            <w:pPr>
              <w:ind w:left="1423"/>
              <w:spacing w:before="20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99" w:type="dxa"/>
            <w:vAlign w:val="top"/>
          </w:tcPr>
          <w:p>
            <w:pPr>
              <w:ind w:left="805"/>
              <w:spacing w:before="20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0" w:type="dxa"/>
            <w:vAlign w:val="top"/>
            <w:vMerge w:val="continue"/>
            <w:tcBorders>
              <w:right w:val="nil"/>
              <w:top w:val="nil"/>
              <w:bottom w:val="nil"/>
            </w:tcBorders>
          </w:tcPr>
          <w:p>
            <w:pPr>
              <w:rPr>
                <w:rFonts w:ascii="Arial"/>
                <w:sz w:val="21"/>
              </w:rPr>
            </w:pPr>
            <w:r/>
          </w:p>
        </w:tc>
      </w:tr>
      <w:tr>
        <w:trPr>
          <w:trHeight w:val="545" w:hRule="atLeast"/>
        </w:trPr>
        <w:tc>
          <w:tcPr>
            <w:tcW w:w="716" w:type="dxa"/>
            <w:vAlign w:val="top"/>
            <w:tcBorders>
              <w:left w:val="nil"/>
            </w:tcBorders>
          </w:tcPr>
          <w:p>
            <w:pPr>
              <w:ind w:left="315"/>
              <w:spacing w:before="22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28" w:type="dxa"/>
            <w:vAlign w:val="top"/>
          </w:tcPr>
          <w:p>
            <w:pPr>
              <w:pStyle w:val="TableText"/>
              <w:ind w:left="291" w:right="294" w:firstLine="117"/>
              <w:spacing w:before="47" w:line="225" w:lineRule="auto"/>
              <w:rPr/>
            </w:pPr>
            <w:r>
              <w:rPr>
                <w:spacing w:val="5"/>
              </w:rPr>
              <w:t>石油类</w:t>
            </w:r>
            <w:r>
              <w:rPr/>
              <w:t>（</w:t>
            </w:r>
            <w:r>
              <w:rPr>
                <w:rFonts w:ascii="Times New Roman" w:hAnsi="Times New Roman" w:eastAsia="Times New Roman" w:cs="Times New Roman"/>
              </w:rPr>
              <w:t>mg/L</w:t>
            </w:r>
            <w:r>
              <w:rPr/>
              <w:t>）</w:t>
            </w:r>
          </w:p>
        </w:tc>
        <w:tc>
          <w:tcPr>
            <w:tcW w:w="2939" w:type="dxa"/>
            <w:vAlign w:val="top"/>
          </w:tcPr>
          <w:p>
            <w:pPr>
              <w:ind w:left="1360"/>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1699" w:type="dxa"/>
            <w:vAlign w:val="top"/>
          </w:tcPr>
          <w:p>
            <w:pPr>
              <w:ind w:left="740"/>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2130" w:type="dxa"/>
            <w:vAlign w:val="top"/>
            <w:vMerge w:val="continue"/>
            <w:tcBorders>
              <w:right w:val="nil"/>
              <w:top w:val="nil"/>
              <w:bottom w:val="nil"/>
            </w:tcBorders>
          </w:tcPr>
          <w:p>
            <w:pPr>
              <w:rPr>
                <w:rFonts w:ascii="Arial"/>
                <w:sz w:val="21"/>
              </w:rPr>
            </w:pPr>
            <w:r/>
          </w:p>
        </w:tc>
      </w:tr>
      <w:tr>
        <w:trPr>
          <w:trHeight w:val="276" w:hRule="atLeast"/>
        </w:trPr>
        <w:tc>
          <w:tcPr>
            <w:tcW w:w="716" w:type="dxa"/>
            <w:vAlign w:val="top"/>
            <w:tcBorders>
              <w:left w:val="nil"/>
            </w:tcBorders>
          </w:tcPr>
          <w:p>
            <w:pPr>
              <w:ind w:left="314"/>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28" w:type="dxa"/>
            <w:vAlign w:val="top"/>
          </w:tcPr>
          <w:p>
            <w:pPr>
              <w:pStyle w:val="TableText"/>
              <w:ind w:left="415"/>
              <w:spacing w:before="52" w:line="197" w:lineRule="auto"/>
              <w:rPr/>
            </w:pPr>
            <w:r>
              <w:rPr>
                <w:spacing w:val="3"/>
              </w:rPr>
              <w:t>氟化物</w:t>
            </w:r>
          </w:p>
        </w:tc>
        <w:tc>
          <w:tcPr>
            <w:tcW w:w="2939" w:type="dxa"/>
            <w:vAlign w:val="top"/>
            <w:tcBorders>
              <w:right w:val="nil"/>
            </w:tcBorders>
          </w:tcPr>
          <w:p>
            <w:pPr>
              <w:ind w:left="2190"/>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699" w:type="dxa"/>
            <w:vAlign w:val="top"/>
            <w:tcBorders>
              <w:left w:val="nil"/>
            </w:tcBorders>
          </w:tcPr>
          <w:p>
            <w:pPr>
              <w:rPr>
                <w:rFonts w:ascii="Arial"/>
                <w:sz w:val="21"/>
              </w:rPr>
            </w:pPr>
            <w:r/>
          </w:p>
        </w:tc>
        <w:tc>
          <w:tcPr>
            <w:tcW w:w="2130" w:type="dxa"/>
            <w:vAlign w:val="top"/>
            <w:vMerge w:val="continue"/>
            <w:tcBorders>
              <w:right w:val="nil"/>
              <w:top w:val="nil"/>
            </w:tcBorders>
          </w:tcPr>
          <w:p>
            <w:pPr>
              <w:rPr>
                <w:rFonts w:ascii="Arial"/>
                <w:sz w:val="21"/>
              </w:rPr>
            </w:pPr>
            <w:r/>
          </w:p>
        </w:tc>
      </w:tr>
      <w:tr>
        <w:trPr>
          <w:trHeight w:val="298" w:hRule="atLeast"/>
        </w:trPr>
        <w:tc>
          <w:tcPr>
            <w:tcW w:w="716" w:type="dxa"/>
            <w:vAlign w:val="top"/>
            <w:tcBorders>
              <w:left w:val="nil"/>
              <w:bottom w:val="single" w:color="000000" w:sz="10" w:space="0"/>
            </w:tcBorders>
          </w:tcPr>
          <w:p>
            <w:pPr>
              <w:ind w:left="313"/>
              <w:spacing w:before="9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28" w:type="dxa"/>
            <w:vAlign w:val="top"/>
            <w:tcBorders>
              <w:bottom w:val="single" w:color="000000" w:sz="10" w:space="0"/>
            </w:tcBorders>
          </w:tcPr>
          <w:p>
            <w:pPr>
              <w:pStyle w:val="TableText"/>
              <w:ind w:left="168"/>
              <w:spacing w:before="52" w:line="217" w:lineRule="auto"/>
              <w:rPr/>
            </w:pPr>
            <w:r>
              <w:rPr>
                <w:rFonts w:ascii="Times New Roman" w:hAnsi="Times New Roman" w:eastAsia="Times New Roman" w:cs="Times New Roman"/>
              </w:rPr>
              <w:t>SS</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2939" w:type="dxa"/>
            <w:vAlign w:val="top"/>
            <w:tcBorders>
              <w:right w:val="nil"/>
              <w:bottom w:val="single" w:color="000000" w:sz="10" w:space="0"/>
            </w:tcBorders>
          </w:tcPr>
          <w:p>
            <w:pPr>
              <w:ind w:left="2221"/>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99" w:type="dxa"/>
            <w:vAlign w:val="top"/>
            <w:tcBorders>
              <w:left w:val="nil"/>
              <w:bottom w:val="single" w:color="000000" w:sz="10" w:space="0"/>
            </w:tcBorders>
          </w:tcPr>
          <w:p>
            <w:pPr>
              <w:rPr>
                <w:rFonts w:ascii="Arial"/>
                <w:sz w:val="21"/>
              </w:rPr>
            </w:pPr>
            <w:r/>
          </w:p>
        </w:tc>
        <w:tc>
          <w:tcPr>
            <w:tcW w:w="2130" w:type="dxa"/>
            <w:vAlign w:val="top"/>
            <w:tcBorders>
              <w:right w:val="nil"/>
              <w:bottom w:val="single" w:color="000000" w:sz="10" w:space="0"/>
            </w:tcBorders>
          </w:tcPr>
          <w:p>
            <w:pPr>
              <w:pStyle w:val="TableText"/>
              <w:ind w:left="451"/>
              <w:spacing w:before="52" w:line="217" w:lineRule="auto"/>
              <w:rPr/>
            </w:pPr>
            <w:r>
              <w:rPr>
                <w:spacing w:val="6"/>
              </w:rPr>
              <w:t>工艺设计要求</w:t>
            </w:r>
          </w:p>
        </w:tc>
      </w:tr>
    </w:tbl>
    <w:p>
      <w:pPr>
        <w:pStyle w:val="BodyText"/>
        <w:spacing w:line="371" w:lineRule="auto"/>
        <w:rPr/>
      </w:pPr>
      <w:r/>
    </w:p>
    <w:p>
      <w:pPr>
        <w:ind w:left="114"/>
        <w:spacing w:before="78"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2.6.2.2</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废气</w:t>
      </w:r>
    </w:p>
    <w:p>
      <w:pPr>
        <w:spacing w:before="173" w:line="221" w:lineRule="auto"/>
        <w:jc w:val="right"/>
        <w:rPr>
          <w:rFonts w:ascii="FangSong" w:hAnsi="FangSong" w:eastAsia="FangSong" w:cs="FangSong"/>
          <w:sz w:val="24"/>
          <w:szCs w:val="24"/>
        </w:rPr>
      </w:pPr>
      <w:r>
        <w:rPr>
          <w:rFonts w:ascii="FangSong" w:hAnsi="FangSong" w:eastAsia="FangSong" w:cs="FangSong"/>
          <w:sz w:val="24"/>
          <w:szCs w:val="24"/>
          <w:spacing w:val="-4"/>
        </w:rPr>
        <w:t>本项目施工期无组织颗粒物执行《大气污染物综合排放标准》（</w:t>
      </w:r>
      <w:r>
        <w:rPr>
          <w:rFonts w:ascii="Times New Roman" w:hAnsi="Times New Roman" w:eastAsia="Times New Roman" w:cs="Times New Roman"/>
          <w:sz w:val="24"/>
          <w:szCs w:val="24"/>
          <w:spacing w:val="-4"/>
        </w:rPr>
        <w:t>GB16297-1996</w:t>
      </w:r>
      <w:r>
        <w:rPr>
          <w:rFonts w:ascii="FangSong" w:hAnsi="FangSong" w:eastAsia="FangSong" w:cs="FangSong"/>
          <w:sz w:val="24"/>
          <w:szCs w:val="24"/>
          <w:spacing w:val="-4"/>
        </w:rPr>
        <w:t>）</w:t>
      </w:r>
    </w:p>
    <w:p>
      <w:pPr>
        <w:ind w:left="125" w:right="3"/>
        <w:spacing w:before="181" w:line="359" w:lineRule="auto"/>
        <w:jc w:val="both"/>
        <w:rPr>
          <w:rFonts w:ascii="FangSong" w:hAnsi="FangSong" w:eastAsia="FangSong" w:cs="FangSong"/>
          <w:sz w:val="24"/>
          <w:szCs w:val="24"/>
        </w:rPr>
      </w:pPr>
      <w:r>
        <w:rPr>
          <w:rFonts w:ascii="FangSong" w:hAnsi="FangSong" w:eastAsia="FangSong" w:cs="FangSong"/>
          <w:sz w:val="24"/>
          <w:szCs w:val="24"/>
        </w:rPr>
        <w:t>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rPr>
        <w:t>新污染源大气污染物排放限制中无组织排放浓度限值要求；项目掘进、回采过</w:t>
      </w:r>
      <w:r>
        <w:rPr>
          <w:rFonts w:ascii="FangSong" w:hAnsi="FangSong" w:eastAsia="FangSong" w:cs="FangSong"/>
          <w:sz w:val="24"/>
          <w:szCs w:val="24"/>
        </w:rPr>
        <w:t>程爆破产生的有组织废气</w:t>
      </w:r>
      <w:r>
        <w:rPr>
          <w:rFonts w:ascii="FangSong" w:hAnsi="FangSong" w:eastAsia="FangSong" w:cs="FangSong"/>
          <w:sz w:val="24"/>
          <w:szCs w:val="24"/>
          <w:spacing w:val="-65"/>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z w:val="15"/>
          <w:szCs w:val="15"/>
          <w:position w:val="-1"/>
        </w:rPr>
        <w:t>x</w:t>
      </w:r>
      <w:r>
        <w:rPr>
          <w:rFonts w:ascii="Times New Roman" w:hAnsi="Times New Roman" w:eastAsia="Times New Roman" w:cs="Times New Roman"/>
          <w:sz w:val="15"/>
          <w:szCs w:val="15"/>
          <w:spacing w:val="15"/>
          <w:w w:val="101"/>
          <w:position w:val="-1"/>
        </w:rPr>
        <w:t xml:space="preserve"> </w:t>
      </w:r>
      <w:r>
        <w:rPr>
          <w:rFonts w:ascii="FangSong" w:hAnsi="FangSong" w:eastAsia="FangSong" w:cs="FangSong"/>
          <w:sz w:val="24"/>
          <w:szCs w:val="24"/>
        </w:rPr>
        <w:t>和项目破碎、筛分、储存等选</w:t>
      </w:r>
      <w:r>
        <w:rPr>
          <w:rFonts w:ascii="FangSong" w:hAnsi="FangSong" w:eastAsia="FangSong" w:cs="FangSong"/>
          <w:sz w:val="24"/>
          <w:szCs w:val="24"/>
          <w:spacing w:val="-1"/>
        </w:rPr>
        <w:t>矿过程产生有组织废气</w:t>
      </w:r>
      <w:r>
        <w:rPr>
          <w:rFonts w:ascii="FangSong" w:hAnsi="FangSong" w:eastAsia="FangSong" w:cs="FangSong"/>
          <w:sz w:val="24"/>
          <w:szCs w:val="24"/>
          <w:spacing w:val="-1"/>
        </w:rPr>
        <w:t>颗粒物、氟化物执行《大气污染物综合排放标准》（</w:t>
      </w:r>
      <w:r>
        <w:rPr>
          <w:rFonts w:ascii="Times New Roman" w:hAnsi="Times New Roman" w:eastAsia="Times New Roman" w:cs="Times New Roman"/>
          <w:sz w:val="24"/>
          <w:szCs w:val="24"/>
          <w:spacing w:val="-1"/>
        </w:rPr>
        <w:t>GB16297-1996</w:t>
      </w:r>
      <w:r>
        <w:rPr>
          <w:rFonts w:ascii="FangSong" w:hAnsi="FangSong" w:eastAsia="FangSong" w:cs="FangSong"/>
          <w:sz w:val="24"/>
          <w:szCs w:val="24"/>
          <w:spacing w:val="-1"/>
        </w:rPr>
        <w:t>）表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
        </w:rPr>
        <w:t>新污染源</w:t>
      </w:r>
      <w:r>
        <w:rPr>
          <w:rFonts w:ascii="FangSong" w:hAnsi="FangSong" w:eastAsia="FangSong" w:cs="FangSong"/>
          <w:sz w:val="24"/>
          <w:szCs w:val="24"/>
          <w:spacing w:val="1"/>
        </w:rPr>
        <w:t>大气污染物排放限制中相关标准；项目破碎、筛分、储存等选矿过程产生的无组织</w:t>
      </w:r>
      <w:r>
        <w:rPr>
          <w:rFonts w:ascii="FangSong" w:hAnsi="FangSong" w:eastAsia="FangSong" w:cs="FangSong"/>
          <w:sz w:val="24"/>
          <w:szCs w:val="24"/>
          <w:spacing w:val="1"/>
        </w:rPr>
        <w:t>废气颗粒物和氟化物、道路扬尘和原矿堆场、废石场、尾矿场等各类堆场产生的无</w:t>
      </w:r>
      <w:r>
        <w:rPr>
          <w:rFonts w:ascii="FangSong" w:hAnsi="FangSong" w:eastAsia="FangSong" w:cs="FangSong"/>
          <w:sz w:val="24"/>
          <w:szCs w:val="24"/>
          <w:spacing w:val="-1"/>
        </w:rPr>
        <w:t>组织废气颗粒物执行《大气污染物综合排放标准》（</w:t>
      </w:r>
      <w:r>
        <w:rPr>
          <w:rFonts w:ascii="Times New Roman" w:hAnsi="Times New Roman" w:eastAsia="Times New Roman" w:cs="Times New Roman"/>
          <w:sz w:val="24"/>
          <w:szCs w:val="24"/>
          <w:spacing w:val="-1"/>
        </w:rPr>
        <w:t>GB16297-1996</w:t>
      </w:r>
      <w:r>
        <w:rPr>
          <w:rFonts w:ascii="FangSong" w:hAnsi="FangSong" w:eastAsia="FangSong" w:cs="FangSong"/>
          <w:sz w:val="24"/>
          <w:szCs w:val="24"/>
          <w:spacing w:val="-1"/>
        </w:rPr>
        <w:t>）中表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
        </w:rPr>
        <w:t>新污染</w:t>
      </w:r>
      <w:r>
        <w:rPr>
          <w:rFonts w:ascii="FangSong" w:hAnsi="FangSong" w:eastAsia="FangSong" w:cs="FangSong"/>
          <w:sz w:val="24"/>
          <w:szCs w:val="24"/>
          <w:spacing w:val="-3"/>
        </w:rPr>
        <w:t>源大气污染物排放限制中相关标准；食堂油烟执行《饮食业油烟排放标准（试行）》</w:t>
      </w:r>
      <w:r>
        <w:rPr>
          <w:rFonts w:ascii="FangSong" w:hAnsi="FangSong" w:eastAsia="FangSong" w:cs="FangSong"/>
          <w:sz w:val="24"/>
          <w:szCs w:val="24"/>
          <w:spacing w:val="1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GB18483-2001</w:t>
      </w:r>
      <w:r>
        <w:rPr>
          <w:rFonts w:ascii="FangSong" w:hAnsi="FangSong" w:eastAsia="FangSong" w:cs="FangSong"/>
          <w:sz w:val="24"/>
          <w:szCs w:val="24"/>
          <w:spacing w:val="-2"/>
        </w:rPr>
        <w:t>）</w:t>
      </w:r>
      <w:r>
        <w:rPr>
          <w:rFonts w:ascii="FangSong" w:hAnsi="FangSong" w:eastAsia="FangSong" w:cs="FangSong"/>
          <w:sz w:val="24"/>
          <w:szCs w:val="24"/>
          <w:spacing w:val="-71"/>
        </w:rPr>
        <w:t xml:space="preserve"> </w:t>
      </w:r>
      <w:r>
        <w:rPr>
          <w:rFonts w:ascii="FangSong" w:hAnsi="FangSong" w:eastAsia="FangSong" w:cs="FangSong"/>
          <w:sz w:val="24"/>
          <w:szCs w:val="24"/>
          <w:spacing w:val="-2"/>
        </w:rPr>
        <w:t>中型规模的标准要求，具体见表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2.6-7</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和表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2.6-8</w:t>
      </w:r>
      <w:r>
        <w:rPr>
          <w:rFonts w:ascii="FangSong" w:hAnsi="FangSong" w:eastAsia="FangSong" w:cs="FangSong"/>
          <w:sz w:val="24"/>
          <w:szCs w:val="24"/>
          <w:spacing w:val="-3"/>
        </w:rPr>
        <w:t>。</w:t>
      </w:r>
    </w:p>
    <w:p>
      <w:pPr>
        <w:ind w:left="2567"/>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2.6-7  </w:t>
      </w:r>
      <w:r>
        <w:rPr>
          <w:rFonts w:ascii="FangSong" w:hAnsi="FangSong" w:eastAsia="FangSong" w:cs="FangSong"/>
          <w:sz w:val="24"/>
          <w:szCs w:val="24"/>
          <w:b/>
          <w:bCs/>
          <w:spacing w:val="-3"/>
        </w:rPr>
        <w:t>本项目废气排放限值一览表</w:t>
      </w:r>
    </w:p>
    <w:p>
      <w:pPr>
        <w:spacing w:line="144" w:lineRule="exact"/>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8"/>
        <w:gridCol w:w="1157"/>
        <w:gridCol w:w="1380"/>
        <w:gridCol w:w="1340"/>
        <w:gridCol w:w="1423"/>
        <w:gridCol w:w="2699"/>
      </w:tblGrid>
      <w:tr>
        <w:trPr>
          <w:trHeight w:val="274" w:hRule="atLeast"/>
        </w:trPr>
        <w:tc>
          <w:tcPr>
            <w:tcW w:w="908" w:type="dxa"/>
            <w:vAlign w:val="top"/>
            <w:tcBorders>
              <w:top w:val="single" w:color="000000" w:sz="10" w:space="0"/>
              <w:left w:val="nil"/>
            </w:tcBorders>
          </w:tcPr>
          <w:p>
            <w:pPr>
              <w:pStyle w:val="TableText"/>
              <w:ind w:left="271"/>
              <w:spacing w:before="34" w:line="212" w:lineRule="auto"/>
              <w:rPr/>
            </w:pPr>
            <w:r>
              <w:rPr>
                <w:spacing w:val="-6"/>
              </w:rPr>
              <w:t>阶段</w:t>
            </w:r>
          </w:p>
        </w:tc>
        <w:tc>
          <w:tcPr>
            <w:tcW w:w="1157" w:type="dxa"/>
            <w:vAlign w:val="top"/>
            <w:tcBorders>
              <w:top w:val="single" w:color="000000" w:sz="10" w:space="0"/>
            </w:tcBorders>
          </w:tcPr>
          <w:p>
            <w:pPr>
              <w:pStyle w:val="TableText"/>
              <w:ind w:left="167"/>
              <w:spacing w:before="34" w:line="212" w:lineRule="auto"/>
              <w:rPr/>
            </w:pPr>
            <w:r>
              <w:rPr>
                <w:spacing w:val="6"/>
              </w:rPr>
              <w:t>排放形式</w:t>
            </w:r>
          </w:p>
        </w:tc>
        <w:tc>
          <w:tcPr>
            <w:tcW w:w="1380" w:type="dxa"/>
            <w:vAlign w:val="top"/>
            <w:tcBorders>
              <w:top w:val="single" w:color="000000" w:sz="10" w:space="0"/>
            </w:tcBorders>
          </w:tcPr>
          <w:p>
            <w:pPr>
              <w:pStyle w:val="TableText"/>
              <w:ind w:left="389"/>
              <w:spacing w:before="34" w:line="212" w:lineRule="auto"/>
              <w:rPr/>
            </w:pPr>
            <w:r>
              <w:rPr>
                <w:spacing w:val="3"/>
              </w:rPr>
              <w:t>污染物</w:t>
            </w:r>
          </w:p>
        </w:tc>
        <w:tc>
          <w:tcPr>
            <w:tcW w:w="1340" w:type="dxa"/>
            <w:vAlign w:val="top"/>
            <w:tcBorders>
              <w:top w:val="single" w:color="000000" w:sz="10" w:space="0"/>
            </w:tcBorders>
          </w:tcPr>
          <w:p>
            <w:pPr>
              <w:pStyle w:val="TableText"/>
              <w:ind w:left="475"/>
              <w:spacing w:before="34" w:line="212" w:lineRule="auto"/>
              <w:rPr/>
            </w:pPr>
            <w:r>
              <w:rPr>
                <w:spacing w:val="-1"/>
              </w:rPr>
              <w:t>单位</w:t>
            </w:r>
          </w:p>
        </w:tc>
        <w:tc>
          <w:tcPr>
            <w:tcW w:w="1423" w:type="dxa"/>
            <w:vAlign w:val="top"/>
            <w:tcBorders>
              <w:top w:val="single" w:color="000000" w:sz="10" w:space="0"/>
            </w:tcBorders>
          </w:tcPr>
          <w:p>
            <w:pPr>
              <w:pStyle w:val="TableText"/>
              <w:ind w:left="302"/>
              <w:spacing w:before="34" w:line="212" w:lineRule="auto"/>
              <w:rPr/>
            </w:pPr>
            <w:r>
              <w:rPr>
                <w:spacing w:val="6"/>
              </w:rPr>
              <w:t>标准限值</w:t>
            </w:r>
          </w:p>
        </w:tc>
        <w:tc>
          <w:tcPr>
            <w:tcW w:w="2699" w:type="dxa"/>
            <w:vAlign w:val="top"/>
            <w:tcBorders>
              <w:top w:val="single" w:color="000000" w:sz="10" w:space="0"/>
              <w:right w:val="nil"/>
            </w:tcBorders>
          </w:tcPr>
          <w:p>
            <w:pPr>
              <w:pStyle w:val="TableText"/>
              <w:ind w:left="940"/>
              <w:spacing w:before="34" w:line="212" w:lineRule="auto"/>
              <w:rPr/>
            </w:pPr>
            <w:r>
              <w:rPr>
                <w:spacing w:val="6"/>
              </w:rPr>
              <w:t>执行标准</w:t>
            </w:r>
          </w:p>
        </w:tc>
      </w:tr>
      <w:tr>
        <w:trPr>
          <w:trHeight w:val="448" w:hRule="atLeast"/>
        </w:trPr>
        <w:tc>
          <w:tcPr>
            <w:tcW w:w="908" w:type="dxa"/>
            <w:vAlign w:val="top"/>
            <w:tcBorders>
              <w:left w:val="nil"/>
            </w:tcBorders>
          </w:tcPr>
          <w:p>
            <w:pPr>
              <w:pStyle w:val="TableText"/>
              <w:ind w:left="152"/>
              <w:spacing w:before="127" w:line="232" w:lineRule="auto"/>
              <w:rPr/>
            </w:pPr>
            <w:r>
              <w:rPr>
                <w:spacing w:val="5"/>
              </w:rPr>
              <w:t>施工期</w:t>
            </w:r>
          </w:p>
        </w:tc>
        <w:tc>
          <w:tcPr>
            <w:tcW w:w="1157" w:type="dxa"/>
            <w:vAlign w:val="top"/>
          </w:tcPr>
          <w:p>
            <w:pPr>
              <w:pStyle w:val="TableText"/>
              <w:ind w:left="277"/>
              <w:spacing w:before="127" w:line="234" w:lineRule="auto"/>
              <w:rPr/>
            </w:pPr>
            <w:r>
              <w:rPr>
                <w:spacing w:val="4"/>
              </w:rPr>
              <w:t>无组织</w:t>
            </w:r>
          </w:p>
        </w:tc>
        <w:tc>
          <w:tcPr>
            <w:tcW w:w="1380" w:type="dxa"/>
            <w:vAlign w:val="top"/>
          </w:tcPr>
          <w:p>
            <w:pPr>
              <w:pStyle w:val="TableText"/>
              <w:ind w:left="386"/>
              <w:spacing w:before="128" w:line="229" w:lineRule="auto"/>
              <w:rPr/>
            </w:pPr>
            <w:r>
              <w:rPr>
                <w:spacing w:val="4"/>
              </w:rPr>
              <w:t>颗粒物</w:t>
            </w:r>
          </w:p>
        </w:tc>
        <w:tc>
          <w:tcPr>
            <w:tcW w:w="1340" w:type="dxa"/>
            <w:vAlign w:val="top"/>
          </w:tcPr>
          <w:p>
            <w:pPr>
              <w:ind w:left="389"/>
              <w:spacing w:before="145"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423" w:type="dxa"/>
            <w:vAlign w:val="top"/>
          </w:tcPr>
          <w:p>
            <w:pPr>
              <w:ind w:left="603"/>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1.0</w:t>
            </w:r>
          </w:p>
        </w:tc>
        <w:tc>
          <w:tcPr>
            <w:tcW w:w="2699" w:type="dxa"/>
            <w:vAlign w:val="top"/>
            <w:vMerge w:val="restart"/>
            <w:tcBorders>
              <w:bottom w:val="nil"/>
              <w:right w:val="nil"/>
            </w:tcBorders>
          </w:tcPr>
          <w:p>
            <w:pPr>
              <w:pStyle w:val="TableText"/>
              <w:ind w:left="121" w:right="44" w:firstLine="418"/>
              <w:spacing w:before="117" w:line="251" w:lineRule="auto"/>
              <w:rPr/>
            </w:pPr>
            <w:r>
              <w:rPr>
                <w:spacing w:val="27"/>
              </w:rPr>
              <w:t>《大气污染物综合排</w:t>
            </w:r>
            <w:r>
              <w:rPr>
                <w:spacing w:val="5"/>
              </w:rPr>
              <w:t>放标准》（</w:t>
            </w:r>
            <w:r>
              <w:rPr>
                <w:rFonts w:ascii="Times New Roman" w:hAnsi="Times New Roman" w:eastAsia="Times New Roman" w:cs="Times New Roman"/>
              </w:rPr>
              <w:t>GB</w:t>
            </w:r>
            <w:r>
              <w:rPr>
                <w:rFonts w:ascii="Times New Roman" w:hAnsi="Times New Roman" w:eastAsia="Times New Roman" w:cs="Times New Roman"/>
                <w:spacing w:val="5"/>
              </w:rPr>
              <w:t>16297-1996</w:t>
            </w:r>
            <w:r>
              <w:rPr>
                <w:spacing w:val="5"/>
              </w:rPr>
              <w:t>）</w:t>
            </w:r>
          </w:p>
        </w:tc>
      </w:tr>
      <w:tr>
        <w:trPr>
          <w:trHeight w:val="261" w:hRule="atLeast"/>
        </w:trPr>
        <w:tc>
          <w:tcPr>
            <w:tcW w:w="908" w:type="dxa"/>
            <w:vAlign w:val="top"/>
            <w:tcBorders>
              <w:bottom w:val="single" w:color="000000" w:sz="10" w:space="0"/>
              <w:left w:val="nil"/>
            </w:tcBorders>
          </w:tcPr>
          <w:p>
            <w:pPr>
              <w:pStyle w:val="TableText"/>
              <w:ind w:left="155"/>
              <w:spacing w:before="49" w:line="186" w:lineRule="auto"/>
              <w:rPr/>
            </w:pPr>
            <w:r>
              <w:rPr>
                <w:spacing w:val="4"/>
              </w:rPr>
              <w:t>运营期</w:t>
            </w:r>
          </w:p>
        </w:tc>
        <w:tc>
          <w:tcPr>
            <w:tcW w:w="1157" w:type="dxa"/>
            <w:vAlign w:val="top"/>
            <w:tcBorders>
              <w:bottom w:val="single" w:color="000000" w:sz="10" w:space="0"/>
            </w:tcBorders>
          </w:tcPr>
          <w:p>
            <w:pPr>
              <w:pStyle w:val="TableText"/>
              <w:ind w:left="272"/>
              <w:spacing w:before="49" w:line="186" w:lineRule="auto"/>
              <w:rPr/>
            </w:pPr>
            <w:r>
              <w:rPr>
                <w:spacing w:val="5"/>
              </w:rPr>
              <w:t>有组织</w:t>
            </w:r>
          </w:p>
        </w:tc>
        <w:tc>
          <w:tcPr>
            <w:tcW w:w="1380" w:type="dxa"/>
            <w:vAlign w:val="top"/>
            <w:tcBorders>
              <w:bottom w:val="single" w:color="000000" w:sz="10" w:space="0"/>
            </w:tcBorders>
          </w:tcPr>
          <w:p>
            <w:pPr>
              <w:pStyle w:val="TableText"/>
              <w:ind w:left="386"/>
              <w:spacing w:before="49" w:line="186" w:lineRule="auto"/>
              <w:rPr/>
            </w:pPr>
            <w:r>
              <w:rPr>
                <w:spacing w:val="4"/>
              </w:rPr>
              <w:t>颗粒物</w:t>
            </w:r>
          </w:p>
        </w:tc>
        <w:tc>
          <w:tcPr>
            <w:tcW w:w="1340" w:type="dxa"/>
            <w:vAlign w:val="top"/>
            <w:tcBorders>
              <w:bottom w:val="single" w:color="000000" w:sz="10" w:space="0"/>
            </w:tcBorders>
          </w:tcPr>
          <w:p>
            <w:pPr>
              <w:ind w:left="389"/>
              <w:spacing w:before="50" w:line="20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423" w:type="dxa"/>
            <w:vAlign w:val="top"/>
            <w:tcBorders>
              <w:bottom w:val="single" w:color="000000" w:sz="10" w:space="0"/>
            </w:tcBorders>
          </w:tcPr>
          <w:p>
            <w:pPr>
              <w:ind w:left="577"/>
              <w:spacing w:before="70"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2699"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footerReference w:type="default" r:id="rId80"/>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8"/>
        <w:gridCol w:w="1157"/>
        <w:gridCol w:w="1380"/>
        <w:gridCol w:w="1341"/>
        <w:gridCol w:w="1423"/>
        <w:gridCol w:w="2698"/>
      </w:tblGrid>
      <w:tr>
        <w:trPr>
          <w:trHeight w:val="228" w:hRule="atLeast"/>
        </w:trPr>
        <w:tc>
          <w:tcPr>
            <w:tcW w:w="908" w:type="dxa"/>
            <w:vAlign w:val="top"/>
            <w:vMerge w:val="restart"/>
            <w:tcBorders>
              <w:bottom w:val="nil"/>
              <w:top w:val="single" w:color="000000" w:sz="10" w:space="0"/>
              <w:left w:val="nil"/>
            </w:tcBorders>
          </w:tcPr>
          <w:p>
            <w:pPr>
              <w:rPr>
                <w:rFonts w:ascii="Arial"/>
                <w:sz w:val="21"/>
              </w:rPr>
            </w:pPr>
            <w:r/>
          </w:p>
        </w:tc>
        <w:tc>
          <w:tcPr>
            <w:tcW w:w="1157" w:type="dxa"/>
            <w:vAlign w:val="top"/>
            <w:vMerge w:val="restart"/>
            <w:tcBorders>
              <w:top w:val="single" w:color="000000" w:sz="10" w:space="0"/>
              <w:bottom w:val="nil"/>
            </w:tcBorders>
          </w:tcPr>
          <w:p>
            <w:pPr>
              <w:rPr>
                <w:rFonts w:ascii="Arial"/>
                <w:sz w:val="21"/>
              </w:rPr>
            </w:pPr>
            <w:r/>
          </w:p>
        </w:tc>
        <w:tc>
          <w:tcPr>
            <w:tcW w:w="1380" w:type="dxa"/>
            <w:vAlign w:val="top"/>
            <w:vMerge w:val="restart"/>
            <w:tcBorders>
              <w:top w:val="single" w:color="000000" w:sz="10" w:space="0"/>
              <w:bottom w:val="nil"/>
            </w:tcBorders>
          </w:tcPr>
          <w:p>
            <w:pPr>
              <w:rPr>
                <w:rFonts w:ascii="Arial"/>
                <w:sz w:val="21"/>
              </w:rPr>
            </w:pPr>
            <w:r/>
          </w:p>
        </w:tc>
        <w:tc>
          <w:tcPr>
            <w:tcW w:w="1341" w:type="dxa"/>
            <w:vAlign w:val="top"/>
            <w:tcBorders>
              <w:top w:val="single" w:color="000000" w:sz="10" w:space="0"/>
            </w:tcBorders>
          </w:tcPr>
          <w:p>
            <w:pPr>
              <w:ind w:left="589"/>
              <w:spacing w:before="82" w:line="13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1"/>
              </w:rPr>
              <w:t>m</w:t>
            </w:r>
          </w:p>
        </w:tc>
        <w:tc>
          <w:tcPr>
            <w:tcW w:w="1423" w:type="dxa"/>
            <w:vAlign w:val="top"/>
            <w:tcBorders>
              <w:top w:val="single" w:color="000000" w:sz="10" w:space="0"/>
            </w:tcBorders>
          </w:tcPr>
          <w:p>
            <w:pPr>
              <w:ind w:left="626"/>
              <w:spacing w:before="36" w:line="189" w:lineRule="auto"/>
              <w:rPr>
                <w:rFonts w:ascii="Times New Roman" w:hAnsi="Times New Roman" w:eastAsia="Times New Roman" w:cs="Times New Roman"/>
                <w:sz w:val="20"/>
                <w:szCs w:val="20"/>
              </w:rPr>
            </w:pPr>
            <w:bookmarkStart w:name="bookmark526" w:id="124"/>
            <w:bookmarkEnd w:id="124"/>
            <w:r>
              <w:rPr>
                <w:rFonts w:ascii="Times New Roman" w:hAnsi="Times New Roman" w:eastAsia="Times New Roman" w:cs="Times New Roman"/>
                <w:sz w:val="20"/>
                <w:szCs w:val="20"/>
                <w:spacing w:val="-8"/>
              </w:rPr>
              <w:t>15</w:t>
            </w:r>
          </w:p>
        </w:tc>
        <w:tc>
          <w:tcPr>
            <w:tcW w:w="2698" w:type="dxa"/>
            <w:vAlign w:val="top"/>
            <w:vMerge w:val="restart"/>
            <w:tcBorders>
              <w:bottom w:val="nil"/>
              <w:top w:val="single" w:color="000000" w:sz="10" w:space="0"/>
              <w:right w:val="nil"/>
            </w:tcBorders>
          </w:tcPr>
          <w:p>
            <w:pPr>
              <w:pStyle w:val="TableText"/>
              <w:ind w:left="120" w:right="107"/>
              <w:spacing w:before="15" w:line="251" w:lineRule="auto"/>
              <w:jc w:val="both"/>
              <w:rPr/>
            </w:pPr>
            <w:r>
              <w:rPr>
                <w:spacing w:val="8"/>
              </w:rPr>
              <w:t>表</w:t>
            </w:r>
            <w:r>
              <w:rPr>
                <w:rFonts w:ascii="Times New Roman" w:hAnsi="Times New Roman" w:eastAsia="Times New Roman" w:cs="Times New Roman"/>
                <w:spacing w:val="8"/>
              </w:rPr>
              <w:t>2 </w:t>
            </w:r>
            <w:r>
              <w:rPr>
                <w:spacing w:val="8"/>
              </w:rPr>
              <w:t>新污染源大气污染物排</w:t>
            </w:r>
            <w:r>
              <w:rPr>
                <w:spacing w:val="24"/>
              </w:rPr>
              <w:t>放限值中二级标准及无组</w:t>
            </w:r>
            <w:r>
              <w:rPr>
                <w:spacing w:val="5"/>
              </w:rPr>
              <w:t>织排放标准。</w:t>
            </w:r>
          </w:p>
        </w:tc>
      </w:tr>
      <w:tr>
        <w:trPr>
          <w:trHeight w:val="24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bottom w:val="nil"/>
            </w:tcBorders>
          </w:tcPr>
          <w:p>
            <w:pPr>
              <w:rPr>
                <w:rFonts w:ascii="Arial"/>
                <w:sz w:val="21"/>
              </w:rPr>
            </w:pPr>
            <w:r/>
          </w:p>
        </w:tc>
        <w:tc>
          <w:tcPr>
            <w:tcW w:w="1380" w:type="dxa"/>
            <w:vAlign w:val="top"/>
            <w:vMerge w:val="continue"/>
            <w:tcBorders>
              <w:top w:val="nil"/>
            </w:tcBorders>
          </w:tcPr>
          <w:p>
            <w:pPr>
              <w:rPr>
                <w:rFonts w:ascii="Arial"/>
                <w:sz w:val="21"/>
              </w:rPr>
            </w:pPr>
            <w:r/>
          </w:p>
        </w:tc>
        <w:tc>
          <w:tcPr>
            <w:tcW w:w="1341" w:type="dxa"/>
            <w:vAlign w:val="top"/>
          </w:tcPr>
          <w:p>
            <w:pPr>
              <w:ind w:left="48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/h</w:t>
            </w:r>
          </w:p>
        </w:tc>
        <w:tc>
          <w:tcPr>
            <w:tcW w:w="1423" w:type="dxa"/>
            <w:vAlign w:val="top"/>
          </w:tcPr>
          <w:p>
            <w:pPr>
              <w:ind w:left="587"/>
              <w:spacing w:before="5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w:t>
            </w:r>
          </w:p>
        </w:tc>
        <w:tc>
          <w:tcPr>
            <w:tcW w:w="2698" w:type="dxa"/>
            <w:vAlign w:val="top"/>
            <w:vMerge w:val="continue"/>
            <w:tcBorders>
              <w:bottom w:val="nil"/>
              <w:top w:val="nil"/>
              <w:right w:val="nil"/>
            </w:tcBorders>
          </w:tcPr>
          <w:p>
            <w:pPr>
              <w:rPr>
                <w:rFonts w:ascii="Arial"/>
                <w:sz w:val="21"/>
              </w:rPr>
            </w:pPr>
            <w:r/>
          </w:p>
        </w:tc>
      </w:tr>
      <w:tr>
        <w:trPr>
          <w:trHeight w:val="24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bottom w:val="nil"/>
            </w:tcBorders>
          </w:tcPr>
          <w:p>
            <w:pPr>
              <w:rPr>
                <w:rFonts w:ascii="Arial"/>
                <w:sz w:val="21"/>
              </w:rPr>
            </w:pPr>
            <w:r/>
          </w:p>
        </w:tc>
        <w:tc>
          <w:tcPr>
            <w:tcW w:w="1380" w:type="dxa"/>
            <w:vAlign w:val="top"/>
            <w:vMerge w:val="restart"/>
            <w:tcBorders>
              <w:bottom w:val="nil"/>
            </w:tcBorders>
          </w:tcPr>
          <w:p>
            <w:pPr>
              <w:pStyle w:val="TableText"/>
              <w:ind w:left="391"/>
              <w:spacing w:before="272" w:line="229" w:lineRule="auto"/>
              <w:rPr/>
            </w:pPr>
            <w:r>
              <w:rPr>
                <w:spacing w:val="3"/>
              </w:rPr>
              <w:t>氟化物</w:t>
            </w:r>
          </w:p>
        </w:tc>
        <w:tc>
          <w:tcPr>
            <w:tcW w:w="1341" w:type="dxa"/>
            <w:vAlign w:val="top"/>
          </w:tcPr>
          <w:p>
            <w:pPr>
              <w:ind w:left="389"/>
              <w:spacing w:before="38"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423" w:type="dxa"/>
            <w:vAlign w:val="top"/>
          </w:tcPr>
          <w:p>
            <w:pPr>
              <w:ind w:left="586"/>
              <w:spacing w:before="58"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9.0</w:t>
            </w:r>
          </w:p>
        </w:tc>
        <w:tc>
          <w:tcPr>
            <w:tcW w:w="2698" w:type="dxa"/>
            <w:vAlign w:val="top"/>
            <w:vMerge w:val="continue"/>
            <w:tcBorders>
              <w:bottom w:val="nil"/>
              <w:top w:val="nil"/>
              <w:right w:val="nil"/>
            </w:tcBorders>
          </w:tcPr>
          <w:p>
            <w:pPr>
              <w:rPr>
                <w:rFonts w:ascii="Arial"/>
                <w:sz w:val="21"/>
              </w:rPr>
            </w:pPr>
            <w:r/>
          </w:p>
        </w:tc>
      </w:tr>
      <w:tr>
        <w:trPr>
          <w:trHeight w:val="24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bottom w:val="nil"/>
            </w:tcBorders>
          </w:tcPr>
          <w:p>
            <w:pPr>
              <w:rPr>
                <w:rFonts w:ascii="Arial"/>
                <w:sz w:val="21"/>
              </w:rPr>
            </w:pPr>
            <w:r/>
          </w:p>
        </w:tc>
        <w:tc>
          <w:tcPr>
            <w:tcW w:w="1380" w:type="dxa"/>
            <w:vAlign w:val="top"/>
            <w:vMerge w:val="continue"/>
            <w:tcBorders>
              <w:top w:val="nil"/>
              <w:bottom w:val="nil"/>
            </w:tcBorders>
          </w:tcPr>
          <w:p>
            <w:pPr>
              <w:rPr>
                <w:rFonts w:ascii="Arial"/>
                <w:sz w:val="21"/>
              </w:rPr>
            </w:pPr>
            <w:r/>
          </w:p>
        </w:tc>
        <w:tc>
          <w:tcPr>
            <w:tcW w:w="1341" w:type="dxa"/>
            <w:vAlign w:val="top"/>
          </w:tcPr>
          <w:p>
            <w:pPr>
              <w:ind w:left="589"/>
              <w:spacing w:before="107" w:line="12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1"/>
              </w:rPr>
              <w:t>m</w:t>
            </w:r>
          </w:p>
        </w:tc>
        <w:tc>
          <w:tcPr>
            <w:tcW w:w="1423" w:type="dxa"/>
            <w:vAlign w:val="top"/>
          </w:tcPr>
          <w:p>
            <w:pPr>
              <w:ind w:left="626"/>
              <w:spacing w:before="61"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698" w:type="dxa"/>
            <w:vAlign w:val="top"/>
            <w:vMerge w:val="continue"/>
            <w:tcBorders>
              <w:bottom w:val="nil"/>
              <w:top w:val="nil"/>
              <w:right w:val="nil"/>
            </w:tcBorders>
          </w:tcPr>
          <w:p>
            <w:pPr>
              <w:rPr>
                <w:rFonts w:ascii="Arial"/>
                <w:sz w:val="21"/>
              </w:rPr>
            </w:pPr>
            <w:r/>
          </w:p>
        </w:tc>
      </w:tr>
      <w:tr>
        <w:trPr>
          <w:trHeight w:val="24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bottom w:val="nil"/>
            </w:tcBorders>
          </w:tcPr>
          <w:p>
            <w:pPr>
              <w:rPr>
                <w:rFonts w:ascii="Arial"/>
                <w:sz w:val="21"/>
              </w:rPr>
            </w:pPr>
            <w:r/>
          </w:p>
        </w:tc>
        <w:tc>
          <w:tcPr>
            <w:tcW w:w="1380" w:type="dxa"/>
            <w:vAlign w:val="top"/>
            <w:vMerge w:val="continue"/>
            <w:tcBorders>
              <w:top w:val="nil"/>
            </w:tcBorders>
          </w:tcPr>
          <w:p>
            <w:pPr>
              <w:rPr>
                <w:rFonts w:ascii="Arial"/>
                <w:sz w:val="21"/>
              </w:rPr>
            </w:pPr>
            <w:r/>
          </w:p>
        </w:tc>
        <w:tc>
          <w:tcPr>
            <w:tcW w:w="1341" w:type="dxa"/>
            <w:vAlign w:val="top"/>
          </w:tcPr>
          <w:p>
            <w:pPr>
              <w:ind w:left="483"/>
              <w:spacing w:before="58"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/h</w:t>
            </w:r>
          </w:p>
        </w:tc>
        <w:tc>
          <w:tcPr>
            <w:tcW w:w="1423" w:type="dxa"/>
            <w:vAlign w:val="top"/>
          </w:tcPr>
          <w:p>
            <w:pPr>
              <w:ind w:left="530"/>
              <w:spacing w:before="62"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c>
          <w:tcPr>
            <w:tcW w:w="2698" w:type="dxa"/>
            <w:vAlign w:val="top"/>
            <w:vMerge w:val="continue"/>
            <w:tcBorders>
              <w:bottom w:val="nil"/>
              <w:top w:val="nil"/>
              <w:right w:val="nil"/>
            </w:tcBorders>
          </w:tcPr>
          <w:p>
            <w:pPr>
              <w:rPr>
                <w:rFonts w:ascii="Arial"/>
                <w:sz w:val="21"/>
              </w:rPr>
            </w:pPr>
            <w:r/>
          </w:p>
        </w:tc>
      </w:tr>
      <w:tr>
        <w:trPr>
          <w:trHeight w:val="245"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bottom w:val="nil"/>
            </w:tcBorders>
          </w:tcPr>
          <w:p>
            <w:pPr>
              <w:rPr>
                <w:rFonts w:ascii="Arial"/>
                <w:sz w:val="21"/>
              </w:rPr>
            </w:pPr>
            <w:r/>
          </w:p>
        </w:tc>
        <w:tc>
          <w:tcPr>
            <w:tcW w:w="1380" w:type="dxa"/>
            <w:vAlign w:val="top"/>
            <w:vMerge w:val="restart"/>
            <w:tcBorders>
              <w:bottom w:val="nil"/>
            </w:tcBorders>
          </w:tcPr>
          <w:p>
            <w:pPr>
              <w:spacing w:line="258" w:lineRule="auto"/>
              <w:rPr>
                <w:rFonts w:ascii="Arial"/>
                <w:sz w:val="21"/>
              </w:rPr>
            </w:pPr>
            <w:r/>
          </w:p>
          <w:p>
            <w:pPr>
              <w:ind w:left="498"/>
              <w:spacing w:before="5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341" w:type="dxa"/>
            <w:vAlign w:val="top"/>
          </w:tcPr>
          <w:p>
            <w:pPr>
              <w:ind w:left="389"/>
              <w:spacing w:before="45" w:line="19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423" w:type="dxa"/>
            <w:vAlign w:val="top"/>
          </w:tcPr>
          <w:p>
            <w:pPr>
              <w:ind w:left="556"/>
              <w:spacing w:before="65"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240</w:t>
            </w:r>
          </w:p>
        </w:tc>
        <w:tc>
          <w:tcPr>
            <w:tcW w:w="2698" w:type="dxa"/>
            <w:vAlign w:val="top"/>
            <w:vMerge w:val="continue"/>
            <w:tcBorders>
              <w:bottom w:val="nil"/>
              <w:top w:val="nil"/>
              <w:right w:val="nil"/>
            </w:tcBorders>
          </w:tcPr>
          <w:p>
            <w:pPr>
              <w:rPr>
                <w:rFonts w:ascii="Arial"/>
                <w:sz w:val="21"/>
              </w:rPr>
            </w:pPr>
            <w:r/>
          </w:p>
        </w:tc>
      </w:tr>
      <w:tr>
        <w:trPr>
          <w:trHeight w:val="24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bottom w:val="nil"/>
            </w:tcBorders>
          </w:tcPr>
          <w:p>
            <w:pPr>
              <w:rPr>
                <w:rFonts w:ascii="Arial"/>
                <w:sz w:val="21"/>
              </w:rPr>
            </w:pPr>
            <w:r/>
          </w:p>
        </w:tc>
        <w:tc>
          <w:tcPr>
            <w:tcW w:w="1380" w:type="dxa"/>
            <w:vAlign w:val="top"/>
            <w:vMerge w:val="continue"/>
            <w:tcBorders>
              <w:top w:val="nil"/>
              <w:bottom w:val="nil"/>
            </w:tcBorders>
          </w:tcPr>
          <w:p>
            <w:pPr>
              <w:rPr>
                <w:rFonts w:ascii="Arial"/>
                <w:sz w:val="21"/>
              </w:rPr>
            </w:pPr>
            <w:r/>
          </w:p>
        </w:tc>
        <w:tc>
          <w:tcPr>
            <w:tcW w:w="1341" w:type="dxa"/>
            <w:vAlign w:val="top"/>
          </w:tcPr>
          <w:p>
            <w:pPr>
              <w:ind w:left="589"/>
              <w:spacing w:before="112" w:line="12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1"/>
              </w:rPr>
              <w:t>m</w:t>
            </w:r>
          </w:p>
        </w:tc>
        <w:tc>
          <w:tcPr>
            <w:tcW w:w="1423" w:type="dxa"/>
            <w:vAlign w:val="top"/>
          </w:tcPr>
          <w:p>
            <w:pPr>
              <w:ind w:left="626"/>
              <w:spacing w:before="67"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698" w:type="dxa"/>
            <w:vAlign w:val="top"/>
            <w:vMerge w:val="continue"/>
            <w:tcBorders>
              <w:bottom w:val="nil"/>
              <w:top w:val="nil"/>
              <w:right w:val="nil"/>
            </w:tcBorders>
          </w:tcPr>
          <w:p>
            <w:pPr>
              <w:rPr>
                <w:rFonts w:ascii="Arial"/>
                <w:sz w:val="21"/>
              </w:rPr>
            </w:pPr>
            <w:r/>
          </w:p>
        </w:tc>
      </w:tr>
      <w:tr>
        <w:trPr>
          <w:trHeight w:val="24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continue"/>
            <w:tcBorders>
              <w:top w:val="nil"/>
            </w:tcBorders>
          </w:tcPr>
          <w:p>
            <w:pPr>
              <w:rPr>
                <w:rFonts w:ascii="Arial"/>
                <w:sz w:val="21"/>
              </w:rPr>
            </w:pPr>
            <w:r/>
          </w:p>
        </w:tc>
        <w:tc>
          <w:tcPr>
            <w:tcW w:w="1380" w:type="dxa"/>
            <w:vAlign w:val="top"/>
            <w:vMerge w:val="continue"/>
            <w:tcBorders>
              <w:top w:val="nil"/>
            </w:tcBorders>
          </w:tcPr>
          <w:p>
            <w:pPr>
              <w:rPr>
                <w:rFonts w:ascii="Arial"/>
                <w:sz w:val="21"/>
              </w:rPr>
            </w:pPr>
            <w:r/>
          </w:p>
        </w:tc>
        <w:tc>
          <w:tcPr>
            <w:tcW w:w="1341" w:type="dxa"/>
            <w:vAlign w:val="top"/>
          </w:tcPr>
          <w:p>
            <w:pPr>
              <w:ind w:left="483"/>
              <w:spacing w:before="66" w:line="17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/h</w:t>
            </w:r>
          </w:p>
        </w:tc>
        <w:tc>
          <w:tcPr>
            <w:tcW w:w="1423" w:type="dxa"/>
            <w:vAlign w:val="top"/>
          </w:tcPr>
          <w:p>
            <w:pPr>
              <w:ind w:left="530"/>
              <w:spacing w:before="70" w:line="17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0.77</w:t>
            </w:r>
          </w:p>
        </w:tc>
        <w:tc>
          <w:tcPr>
            <w:tcW w:w="2698" w:type="dxa"/>
            <w:vAlign w:val="top"/>
            <w:vMerge w:val="continue"/>
            <w:tcBorders>
              <w:bottom w:val="nil"/>
              <w:top w:val="nil"/>
              <w:right w:val="nil"/>
            </w:tcBorders>
          </w:tcPr>
          <w:p>
            <w:pPr>
              <w:rPr>
                <w:rFonts w:ascii="Arial"/>
                <w:sz w:val="21"/>
              </w:rPr>
            </w:pPr>
            <w:r/>
          </w:p>
        </w:tc>
      </w:tr>
      <w:tr>
        <w:trPr>
          <w:trHeight w:val="274" w:hRule="atLeast"/>
        </w:trPr>
        <w:tc>
          <w:tcPr>
            <w:tcW w:w="908" w:type="dxa"/>
            <w:vAlign w:val="top"/>
            <w:vMerge w:val="continue"/>
            <w:tcBorders>
              <w:bottom w:val="nil"/>
              <w:top w:val="nil"/>
              <w:left w:val="nil"/>
            </w:tcBorders>
          </w:tcPr>
          <w:p>
            <w:pPr>
              <w:rPr>
                <w:rFonts w:ascii="Arial"/>
                <w:sz w:val="21"/>
              </w:rPr>
            </w:pPr>
            <w:r/>
          </w:p>
        </w:tc>
        <w:tc>
          <w:tcPr>
            <w:tcW w:w="1157" w:type="dxa"/>
            <w:vAlign w:val="top"/>
            <w:vMerge w:val="restart"/>
            <w:tcBorders>
              <w:bottom w:val="nil"/>
            </w:tcBorders>
          </w:tcPr>
          <w:p>
            <w:pPr>
              <w:pStyle w:val="TableText"/>
              <w:ind w:left="277"/>
              <w:spacing w:before="190" w:line="234" w:lineRule="auto"/>
              <w:rPr/>
            </w:pPr>
            <w:r>
              <w:rPr>
                <w:spacing w:val="4"/>
              </w:rPr>
              <w:t>无组织</w:t>
            </w:r>
          </w:p>
        </w:tc>
        <w:tc>
          <w:tcPr>
            <w:tcW w:w="1380" w:type="dxa"/>
            <w:vAlign w:val="top"/>
          </w:tcPr>
          <w:p>
            <w:pPr>
              <w:pStyle w:val="TableText"/>
              <w:ind w:left="386"/>
              <w:spacing w:before="51" w:line="196" w:lineRule="auto"/>
              <w:rPr/>
            </w:pPr>
            <w:r>
              <w:rPr>
                <w:spacing w:val="4"/>
              </w:rPr>
              <w:t>颗粒物</w:t>
            </w:r>
          </w:p>
        </w:tc>
        <w:tc>
          <w:tcPr>
            <w:tcW w:w="1341" w:type="dxa"/>
            <w:vAlign w:val="top"/>
          </w:tcPr>
          <w:p>
            <w:pPr>
              <w:ind w:left="389"/>
              <w:spacing w:before="67" w:line="20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423" w:type="dxa"/>
            <w:vAlign w:val="top"/>
          </w:tcPr>
          <w:p>
            <w:pPr>
              <w:ind w:left="602"/>
              <w:spacing w:before="87"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1.0</w:t>
            </w:r>
          </w:p>
        </w:tc>
        <w:tc>
          <w:tcPr>
            <w:tcW w:w="2698" w:type="dxa"/>
            <w:vAlign w:val="top"/>
            <w:vMerge w:val="continue"/>
            <w:tcBorders>
              <w:bottom w:val="nil"/>
              <w:top w:val="nil"/>
              <w:right w:val="nil"/>
            </w:tcBorders>
          </w:tcPr>
          <w:p>
            <w:pPr>
              <w:rPr>
                <w:rFonts w:ascii="Arial"/>
                <w:sz w:val="21"/>
              </w:rPr>
            </w:pPr>
            <w:r/>
          </w:p>
        </w:tc>
      </w:tr>
      <w:tr>
        <w:trPr>
          <w:trHeight w:val="299" w:hRule="atLeast"/>
        </w:trPr>
        <w:tc>
          <w:tcPr>
            <w:tcW w:w="908" w:type="dxa"/>
            <w:vAlign w:val="top"/>
            <w:vMerge w:val="continue"/>
            <w:tcBorders>
              <w:bottom w:val="single" w:color="000000" w:sz="10" w:space="0"/>
              <w:top w:val="nil"/>
              <w:left w:val="nil"/>
            </w:tcBorders>
          </w:tcPr>
          <w:p>
            <w:pPr>
              <w:rPr>
                <w:rFonts w:ascii="Arial"/>
                <w:sz w:val="21"/>
              </w:rPr>
            </w:pPr>
            <w:r/>
          </w:p>
        </w:tc>
        <w:tc>
          <w:tcPr>
            <w:tcW w:w="1157" w:type="dxa"/>
            <w:vAlign w:val="top"/>
            <w:vMerge w:val="continue"/>
            <w:tcBorders>
              <w:bottom w:val="single" w:color="000000" w:sz="10" w:space="0"/>
              <w:top w:val="nil"/>
            </w:tcBorders>
          </w:tcPr>
          <w:p>
            <w:pPr>
              <w:rPr>
                <w:rFonts w:ascii="Arial"/>
                <w:sz w:val="21"/>
              </w:rPr>
            </w:pPr>
            <w:r/>
          </w:p>
        </w:tc>
        <w:tc>
          <w:tcPr>
            <w:tcW w:w="1380" w:type="dxa"/>
            <w:vAlign w:val="top"/>
            <w:tcBorders>
              <w:bottom w:val="single" w:color="000000" w:sz="10" w:space="0"/>
            </w:tcBorders>
          </w:tcPr>
          <w:p>
            <w:pPr>
              <w:pStyle w:val="TableText"/>
              <w:ind w:left="391"/>
              <w:spacing w:before="52" w:line="218" w:lineRule="auto"/>
              <w:rPr/>
            </w:pPr>
            <w:r>
              <w:rPr>
                <w:spacing w:val="3"/>
              </w:rPr>
              <w:t>氟化物</w:t>
            </w:r>
          </w:p>
        </w:tc>
        <w:tc>
          <w:tcPr>
            <w:tcW w:w="1341" w:type="dxa"/>
            <w:vAlign w:val="top"/>
            <w:tcBorders>
              <w:bottom w:val="single" w:color="000000" w:sz="10" w:space="0"/>
            </w:tcBorders>
          </w:tcPr>
          <w:p>
            <w:pPr>
              <w:ind w:left="426"/>
              <w:spacing w:before="71"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μg/m</w:t>
            </w:r>
            <w:r>
              <w:rPr>
                <w:rFonts w:ascii="Times New Roman" w:hAnsi="Times New Roman" w:eastAsia="Times New Roman" w:cs="Times New Roman"/>
                <w:sz w:val="13"/>
                <w:szCs w:val="13"/>
                <w:spacing w:val="2"/>
                <w:position w:val="5"/>
              </w:rPr>
              <w:t>3</w:t>
            </w:r>
          </w:p>
        </w:tc>
        <w:tc>
          <w:tcPr>
            <w:tcW w:w="1423" w:type="dxa"/>
            <w:vAlign w:val="top"/>
            <w:tcBorders>
              <w:bottom w:val="single" w:color="000000" w:sz="10" w:space="0"/>
            </w:tcBorders>
          </w:tcPr>
          <w:p>
            <w:pPr>
              <w:ind w:left="606"/>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698" w:type="dxa"/>
            <w:vAlign w:val="top"/>
            <w:vMerge w:val="continue"/>
            <w:tcBorders>
              <w:bottom w:val="single" w:color="000000" w:sz="10" w:space="0"/>
              <w:top w:val="nil"/>
              <w:right w:val="nil"/>
            </w:tcBorders>
          </w:tcPr>
          <w:p>
            <w:pPr>
              <w:rPr>
                <w:rFonts w:ascii="Arial"/>
                <w:sz w:val="21"/>
              </w:rPr>
            </w:pPr>
            <w:r/>
          </w:p>
        </w:tc>
      </w:tr>
    </w:tbl>
    <w:p>
      <w:pPr>
        <w:pStyle w:val="BodyText"/>
        <w:spacing w:line="260" w:lineRule="auto"/>
        <w:rPr/>
      </w:pPr>
      <w:r/>
    </w:p>
    <w:p>
      <w:pPr>
        <w:pStyle w:val="BodyText"/>
        <w:spacing w:line="260" w:lineRule="auto"/>
        <w:rPr/>
      </w:pPr>
      <w:r/>
    </w:p>
    <w:p>
      <w:pPr>
        <w:pStyle w:val="BodyText"/>
        <w:spacing w:line="261" w:lineRule="auto"/>
        <w:rPr/>
      </w:pPr>
      <w:r/>
    </w:p>
    <w:p>
      <w:pPr>
        <w:ind w:left="1364"/>
        <w:spacing w:before="78"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2.6-8  </w:t>
      </w:r>
      <w:r>
        <w:rPr>
          <w:rFonts w:ascii="FangSong" w:hAnsi="FangSong" w:eastAsia="FangSong" w:cs="FangSong"/>
          <w:sz w:val="24"/>
          <w:szCs w:val="24"/>
          <w:b/>
          <w:bCs/>
          <w:spacing w:val="-2"/>
        </w:rPr>
        <w:t>油烟最高允许排放浓度和油烟净化设施</w:t>
      </w:r>
      <w:r>
        <w:rPr>
          <w:rFonts w:ascii="FangSong" w:hAnsi="FangSong" w:eastAsia="FangSong" w:cs="FangSong"/>
          <w:sz w:val="24"/>
          <w:szCs w:val="24"/>
          <w:b/>
          <w:bCs/>
          <w:spacing w:val="-3"/>
        </w:rPr>
        <w:t>最低去除率</w:t>
      </w:r>
    </w:p>
    <w:p>
      <w:pPr>
        <w:spacing w:line="142" w:lineRule="exact"/>
        <w:rPr/>
      </w:pPr>
      <w:r/>
    </w:p>
    <w:tbl>
      <w:tblPr>
        <w:tblStyle w:val="TableNormal"/>
        <w:tblW w:w="8693" w:type="dxa"/>
        <w:tblInd w:w="108"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4303"/>
        <w:gridCol w:w="1466"/>
        <w:gridCol w:w="1466"/>
        <w:gridCol w:w="1458"/>
      </w:tblGrid>
      <w:tr>
        <w:trPr>
          <w:trHeight w:val="276" w:hRule="atLeast"/>
        </w:trPr>
        <w:tc>
          <w:tcPr>
            <w:tcW w:w="4303" w:type="dxa"/>
            <w:vAlign w:val="top"/>
            <w:tcBorders>
              <w:left w:val="nil"/>
              <w:top w:val="single" w:color="00000A" w:sz="10" w:space="0"/>
            </w:tcBorders>
          </w:tcPr>
          <w:p>
            <w:pPr>
              <w:pStyle w:val="TableText"/>
              <w:ind w:left="1952"/>
              <w:spacing w:before="35" w:line="213" w:lineRule="auto"/>
              <w:rPr/>
            </w:pPr>
            <w:r>
              <w:rPr>
                <w:spacing w:val="2"/>
              </w:rPr>
              <w:t>规模</w:t>
            </w:r>
          </w:p>
        </w:tc>
        <w:tc>
          <w:tcPr>
            <w:tcW w:w="1466" w:type="dxa"/>
            <w:vAlign w:val="top"/>
            <w:tcBorders>
              <w:top w:val="single" w:color="00000A" w:sz="10" w:space="0"/>
            </w:tcBorders>
          </w:tcPr>
          <w:p>
            <w:pPr>
              <w:pStyle w:val="TableText"/>
              <w:ind w:left="535"/>
              <w:spacing w:before="35" w:line="213" w:lineRule="auto"/>
              <w:rPr/>
            </w:pPr>
            <w:r>
              <w:rPr>
                <w:spacing w:val="2"/>
              </w:rPr>
              <w:t>小型</w:t>
            </w:r>
          </w:p>
        </w:tc>
        <w:tc>
          <w:tcPr>
            <w:tcW w:w="1466" w:type="dxa"/>
            <w:vAlign w:val="top"/>
            <w:tcBorders>
              <w:top w:val="single" w:color="00000A" w:sz="10" w:space="0"/>
            </w:tcBorders>
          </w:tcPr>
          <w:p>
            <w:pPr>
              <w:pStyle w:val="TableText"/>
              <w:ind w:left="560"/>
              <w:spacing w:before="35" w:line="213" w:lineRule="auto"/>
              <w:rPr/>
            </w:pPr>
            <w:r>
              <w:rPr>
                <w:spacing w:val="-12"/>
              </w:rPr>
              <w:t>中型</w:t>
            </w:r>
          </w:p>
        </w:tc>
        <w:tc>
          <w:tcPr>
            <w:tcW w:w="1458" w:type="dxa"/>
            <w:vAlign w:val="top"/>
            <w:tcBorders>
              <w:right w:val="nil"/>
              <w:top w:val="single" w:color="00000A" w:sz="10" w:space="0"/>
            </w:tcBorders>
          </w:tcPr>
          <w:p>
            <w:pPr>
              <w:pStyle w:val="TableText"/>
              <w:ind w:left="536"/>
              <w:spacing w:before="35" w:line="213" w:lineRule="auto"/>
              <w:rPr/>
            </w:pPr>
            <w:r>
              <w:rPr/>
              <w:t>大型</w:t>
            </w:r>
          </w:p>
        </w:tc>
      </w:tr>
      <w:tr>
        <w:trPr>
          <w:trHeight w:val="271" w:hRule="atLeast"/>
        </w:trPr>
        <w:tc>
          <w:tcPr>
            <w:tcW w:w="4303" w:type="dxa"/>
            <w:vAlign w:val="top"/>
            <w:tcBorders>
              <w:left w:val="nil"/>
            </w:tcBorders>
          </w:tcPr>
          <w:p>
            <w:pPr>
              <w:pStyle w:val="TableText"/>
              <w:ind w:left="1636"/>
              <w:spacing w:before="37" w:line="206" w:lineRule="auto"/>
              <w:rPr/>
            </w:pPr>
            <w:r>
              <w:rPr>
                <w:spacing w:val="7"/>
              </w:rPr>
              <w:t>基准灶头数</w:t>
            </w:r>
          </w:p>
        </w:tc>
        <w:tc>
          <w:tcPr>
            <w:tcW w:w="1466" w:type="dxa"/>
            <w:vAlign w:val="top"/>
          </w:tcPr>
          <w:p>
            <w:pPr>
              <w:pStyle w:val="TableText"/>
              <w:ind w:left="353"/>
              <w:spacing w:before="73" w:line="173" w:lineRule="auto"/>
              <w:rPr>
                <w:rFonts w:ascii="Times New Roman" w:hAnsi="Times New Roman" w:eastAsia="Times New Roman" w:cs="Times New Roman"/>
              </w:rPr>
            </w:pPr>
            <w:r>
              <w:rPr>
                <w:rFonts w:ascii="Times New Roman" w:hAnsi="Times New Roman" w:eastAsia="Times New Roman" w:cs="Times New Roman"/>
                <w:spacing w:val="-1"/>
              </w:rPr>
              <w:t>≥1</w:t>
            </w:r>
            <w:r>
              <w:rPr>
                <w:rFonts w:ascii="Times New Roman" w:hAnsi="Times New Roman" w:eastAsia="Times New Roman" w:cs="Times New Roman"/>
                <w:spacing w:val="18"/>
              </w:rPr>
              <w:t xml:space="preserve">  </w:t>
            </w:r>
            <w:r>
              <w:rPr>
                <w:spacing w:val="-1"/>
              </w:rPr>
              <w:t>，</w:t>
            </w:r>
            <w:r>
              <w:rPr>
                <w:rFonts w:ascii="Times New Roman" w:hAnsi="Times New Roman" w:eastAsia="Times New Roman" w:cs="Times New Roman"/>
                <w:spacing w:val="-1"/>
              </w:rPr>
              <w:t>&lt;3</w:t>
            </w:r>
          </w:p>
        </w:tc>
        <w:tc>
          <w:tcPr>
            <w:tcW w:w="1466" w:type="dxa"/>
            <w:vAlign w:val="top"/>
          </w:tcPr>
          <w:p>
            <w:pPr>
              <w:pStyle w:val="TableText"/>
              <w:ind w:left="354"/>
              <w:spacing w:before="73" w:line="173" w:lineRule="auto"/>
              <w:rPr>
                <w:rFonts w:ascii="Times New Roman" w:hAnsi="Times New Roman" w:eastAsia="Times New Roman" w:cs="Times New Roman"/>
              </w:rPr>
            </w:pPr>
            <w:r>
              <w:rPr>
                <w:rFonts w:ascii="Times New Roman" w:hAnsi="Times New Roman" w:eastAsia="Times New Roman" w:cs="Times New Roman"/>
                <w:spacing w:val="-2"/>
              </w:rPr>
              <w:t>≥3</w:t>
            </w:r>
            <w:r>
              <w:rPr>
                <w:rFonts w:ascii="Times New Roman" w:hAnsi="Times New Roman" w:eastAsia="Times New Roman" w:cs="Times New Roman"/>
                <w:spacing w:val="19"/>
              </w:rPr>
              <w:t xml:space="preserve">  </w:t>
            </w:r>
            <w:r>
              <w:rPr>
                <w:spacing w:val="-2"/>
              </w:rPr>
              <w:t>，</w:t>
            </w:r>
            <w:r>
              <w:rPr>
                <w:rFonts w:ascii="Times New Roman" w:hAnsi="Times New Roman" w:eastAsia="Times New Roman" w:cs="Times New Roman"/>
                <w:spacing w:val="-2"/>
              </w:rPr>
              <w:t>&lt;6</w:t>
            </w:r>
          </w:p>
        </w:tc>
        <w:tc>
          <w:tcPr>
            <w:tcW w:w="1458" w:type="dxa"/>
            <w:vAlign w:val="top"/>
            <w:tcBorders>
              <w:right w:val="nil"/>
            </w:tcBorders>
          </w:tcPr>
          <w:p>
            <w:pPr>
              <w:ind w:left="620"/>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w:t>
            </w:r>
          </w:p>
        </w:tc>
      </w:tr>
      <w:tr>
        <w:trPr>
          <w:trHeight w:val="271" w:hRule="atLeast"/>
        </w:trPr>
        <w:tc>
          <w:tcPr>
            <w:tcW w:w="4303" w:type="dxa"/>
            <w:vAlign w:val="top"/>
            <w:tcBorders>
              <w:left w:val="nil"/>
            </w:tcBorders>
          </w:tcPr>
          <w:p>
            <w:pPr>
              <w:pStyle w:val="TableText"/>
              <w:ind w:left="838"/>
              <w:spacing w:before="44" w:line="200" w:lineRule="auto"/>
              <w:rPr/>
            </w:pPr>
            <w:r>
              <w:rPr>
                <w:spacing w:val="7"/>
              </w:rPr>
              <w:t>最高允许排放浓度（</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z w:val="13"/>
                <w:szCs w:val="13"/>
                <w:spacing w:val="7"/>
                <w:position w:val="6"/>
              </w:rPr>
              <w:t>3</w:t>
            </w:r>
            <w:r>
              <w:rPr>
                <w:spacing w:val="7"/>
              </w:rPr>
              <w:t>）</w:t>
            </w:r>
          </w:p>
        </w:tc>
        <w:tc>
          <w:tcPr>
            <w:tcW w:w="4390" w:type="dxa"/>
            <w:vAlign w:val="top"/>
            <w:gridSpan w:val="3"/>
            <w:tcBorders>
              <w:right w:val="nil"/>
            </w:tcBorders>
          </w:tcPr>
          <w:p>
            <w:pPr>
              <w:ind w:left="2066"/>
              <w:spacing w:before="80"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295" w:hRule="atLeast"/>
        </w:trPr>
        <w:tc>
          <w:tcPr>
            <w:tcW w:w="4303" w:type="dxa"/>
            <w:vAlign w:val="top"/>
            <w:tcBorders>
              <w:left w:val="nil"/>
              <w:bottom w:val="single" w:color="00000A" w:sz="10" w:space="0"/>
            </w:tcBorders>
          </w:tcPr>
          <w:p>
            <w:pPr>
              <w:pStyle w:val="TableText"/>
              <w:ind w:left="815"/>
              <w:spacing w:before="49" w:line="217" w:lineRule="auto"/>
              <w:rPr/>
            </w:pPr>
            <w:r>
              <w:rPr>
                <w:spacing w:val="7"/>
              </w:rPr>
              <w:t>净化设施最低去除效率（</w:t>
            </w:r>
            <w:r>
              <w:rPr>
                <w:rFonts w:ascii="Times New Roman" w:hAnsi="Times New Roman" w:eastAsia="Times New Roman" w:cs="Times New Roman"/>
                <w:spacing w:val="7"/>
              </w:rPr>
              <w:t>%</w:t>
            </w:r>
            <w:r>
              <w:rPr>
                <w:spacing w:val="7"/>
              </w:rPr>
              <w:t>）</w:t>
            </w:r>
          </w:p>
        </w:tc>
        <w:tc>
          <w:tcPr>
            <w:tcW w:w="1466" w:type="dxa"/>
            <w:vAlign w:val="top"/>
            <w:tcBorders>
              <w:bottom w:val="single" w:color="00000A" w:sz="10" w:space="0"/>
            </w:tcBorders>
          </w:tcPr>
          <w:p>
            <w:pPr>
              <w:ind w:left="633"/>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466" w:type="dxa"/>
            <w:vAlign w:val="top"/>
            <w:tcBorders>
              <w:bottom w:val="single" w:color="00000A" w:sz="10" w:space="0"/>
            </w:tcBorders>
          </w:tcPr>
          <w:p>
            <w:pPr>
              <w:ind w:left="632"/>
              <w:spacing w:before="8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458" w:type="dxa"/>
            <w:vAlign w:val="top"/>
            <w:tcBorders>
              <w:right w:val="nil"/>
              <w:bottom w:val="single" w:color="00000A" w:sz="10" w:space="0"/>
            </w:tcBorders>
          </w:tcPr>
          <w:p>
            <w:pPr>
              <w:ind w:left="638"/>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r>
    </w:tbl>
    <w:p>
      <w:pPr>
        <w:pStyle w:val="BodyText"/>
        <w:spacing w:line="371" w:lineRule="auto"/>
        <w:rPr/>
      </w:pPr>
      <w:r/>
    </w:p>
    <w:p>
      <w:pPr>
        <w:ind w:left="114"/>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2.6.2.3</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5"/>
        </w:rPr>
        <w:t>噪声</w:t>
      </w:r>
    </w:p>
    <w:p>
      <w:pPr>
        <w:ind w:left="134" w:right="106" w:firstLine="470"/>
        <w:spacing w:before="178" w:line="359" w:lineRule="auto"/>
        <w:jc w:val="both"/>
        <w:rPr>
          <w:rFonts w:ascii="FangSong" w:hAnsi="FangSong" w:eastAsia="FangSong" w:cs="FangSong"/>
          <w:sz w:val="24"/>
          <w:szCs w:val="24"/>
        </w:rPr>
      </w:pPr>
      <w:r>
        <w:rPr>
          <w:rFonts w:ascii="FangSong" w:hAnsi="FangSong" w:eastAsia="FangSong" w:cs="FangSong"/>
          <w:sz w:val="24"/>
          <w:szCs w:val="24"/>
        </w:rPr>
        <w:t>本项目施工期噪声执行《建筑施工场界环境噪声排放标</w:t>
      </w:r>
      <w:r>
        <w:rPr>
          <w:rFonts w:ascii="FangSong" w:hAnsi="FangSong" w:eastAsia="FangSong" w:cs="FangSong"/>
          <w:sz w:val="24"/>
          <w:szCs w:val="24"/>
          <w:spacing w:val="-1"/>
        </w:rPr>
        <w:t>准》（</w:t>
      </w:r>
      <w:r>
        <w:rPr>
          <w:rFonts w:ascii="Times New Roman" w:hAnsi="Times New Roman" w:eastAsia="Times New Roman" w:cs="Times New Roman"/>
          <w:sz w:val="24"/>
          <w:szCs w:val="24"/>
          <w:spacing w:val="-1"/>
        </w:rPr>
        <w:t>GB12523-2011</w:t>
      </w:r>
      <w:r>
        <w:rPr>
          <w:rFonts w:ascii="FangSong" w:hAnsi="FangSong" w:eastAsia="FangSong" w:cs="FangSong"/>
          <w:sz w:val="24"/>
          <w:szCs w:val="24"/>
          <w:spacing w:val="-1"/>
        </w:rPr>
        <w:t>）</w:t>
      </w:r>
      <w:r>
        <w:rPr>
          <w:rFonts w:ascii="FangSong" w:hAnsi="FangSong" w:eastAsia="FangSong" w:cs="FangSong"/>
          <w:sz w:val="24"/>
          <w:szCs w:val="24"/>
        </w:rPr>
        <w:t>中表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rPr>
        <w:t>建筑施工场界环境噪声排放限值。项目</w:t>
      </w:r>
      <w:r>
        <w:rPr>
          <w:rFonts w:ascii="FangSong" w:hAnsi="FangSong" w:eastAsia="FangSong" w:cs="FangSong"/>
          <w:sz w:val="24"/>
          <w:szCs w:val="24"/>
          <w:spacing w:val="-1"/>
        </w:rPr>
        <w:t>运营期噪声执行《工业企业厂界环境</w:t>
      </w:r>
      <w:r>
        <w:rPr>
          <w:rFonts w:ascii="FangSong" w:hAnsi="FangSong" w:eastAsia="FangSong" w:cs="FangSong"/>
          <w:sz w:val="24"/>
          <w:szCs w:val="24"/>
          <w:spacing w:val="-3"/>
        </w:rPr>
        <w:t>噪声排放标准》（</w:t>
      </w:r>
      <w:r>
        <w:rPr>
          <w:rFonts w:ascii="Times New Roman" w:hAnsi="Times New Roman" w:eastAsia="Times New Roman" w:cs="Times New Roman"/>
          <w:sz w:val="24"/>
          <w:szCs w:val="24"/>
          <w:spacing w:val="-3"/>
        </w:rPr>
        <w:t>GB12348-2008</w:t>
      </w:r>
      <w:r>
        <w:rPr>
          <w:rFonts w:ascii="FangSong" w:hAnsi="FangSong" w:eastAsia="FangSong" w:cs="FangSong"/>
          <w:sz w:val="24"/>
          <w:szCs w:val="24"/>
          <w:spacing w:val="-3"/>
        </w:rPr>
        <w:t>）</w:t>
      </w:r>
      <w:r>
        <w:rPr>
          <w:rFonts w:ascii="FangSong" w:hAnsi="FangSong" w:eastAsia="FangSong" w:cs="FangSong"/>
          <w:sz w:val="24"/>
          <w:szCs w:val="24"/>
          <w:spacing w:val="-66"/>
        </w:rPr>
        <w:t xml:space="preserve"> </w:t>
      </w:r>
      <w:r>
        <w:rPr>
          <w:rFonts w:ascii="FangSong" w:hAnsi="FangSong" w:eastAsia="FangSong" w:cs="FangSong"/>
          <w:sz w:val="24"/>
          <w:szCs w:val="24"/>
          <w:spacing w:val="-3"/>
        </w:rPr>
        <w:t>中</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类标准要求，具体见表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2.6-9</w:t>
      </w:r>
      <w:r>
        <w:rPr>
          <w:rFonts w:ascii="FangSong" w:hAnsi="FangSong" w:eastAsia="FangSong" w:cs="FangSong"/>
          <w:sz w:val="24"/>
          <w:szCs w:val="24"/>
          <w:spacing w:val="-3"/>
        </w:rPr>
        <w:t>。</w:t>
      </w:r>
    </w:p>
    <w:p>
      <w:pPr>
        <w:ind w:left="2327"/>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2.6-9  </w:t>
      </w:r>
      <w:r>
        <w:rPr>
          <w:rFonts w:ascii="FangSong" w:hAnsi="FangSong" w:eastAsia="FangSong" w:cs="FangSong"/>
          <w:sz w:val="24"/>
          <w:szCs w:val="24"/>
          <w:b/>
          <w:bCs/>
          <w:spacing w:val="-3"/>
        </w:rPr>
        <w:t>工业企业厂界环境噪声排放标准</w:t>
      </w:r>
    </w:p>
    <w:p>
      <w:pPr>
        <w:spacing w:line="141" w:lineRule="exact"/>
        <w:rPr/>
      </w:pPr>
      <w:r/>
    </w:p>
    <w:tbl>
      <w:tblPr>
        <w:tblStyle w:val="TableNormal"/>
        <w:tblW w:w="8908" w:type="dxa"/>
        <w:tblInd w:w="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2"/>
        <w:gridCol w:w="1636"/>
        <w:gridCol w:w="1722"/>
        <w:gridCol w:w="3358"/>
      </w:tblGrid>
      <w:tr>
        <w:trPr>
          <w:trHeight w:val="320" w:hRule="atLeast"/>
        </w:trPr>
        <w:tc>
          <w:tcPr>
            <w:tcW w:w="2192" w:type="dxa"/>
            <w:vAlign w:val="top"/>
            <w:vMerge w:val="restart"/>
            <w:tcBorders>
              <w:top w:val="single" w:color="000000" w:sz="10" w:space="0"/>
              <w:left w:val="nil"/>
              <w:bottom w:val="nil"/>
            </w:tcBorders>
          </w:tcPr>
          <w:p>
            <w:pPr>
              <w:pStyle w:val="TableText"/>
              <w:ind w:left="915"/>
              <w:spacing w:before="218" w:line="230" w:lineRule="auto"/>
              <w:rPr/>
            </w:pPr>
            <w:r>
              <w:rPr>
                <w:spacing w:val="-6"/>
              </w:rPr>
              <w:t>阶段</w:t>
            </w:r>
          </w:p>
        </w:tc>
        <w:tc>
          <w:tcPr>
            <w:tcW w:w="3358" w:type="dxa"/>
            <w:vAlign w:val="top"/>
            <w:gridSpan w:val="2"/>
            <w:tcBorders>
              <w:top w:val="single" w:color="000000" w:sz="10" w:space="0"/>
            </w:tcBorders>
          </w:tcPr>
          <w:p>
            <w:pPr>
              <w:pStyle w:val="TableText"/>
              <w:ind w:left="1492"/>
              <w:spacing w:before="54" w:line="232" w:lineRule="auto"/>
              <w:rPr/>
            </w:pPr>
            <w:r>
              <w:rPr>
                <w:spacing w:val="-6"/>
              </w:rPr>
              <w:t>时段</w:t>
            </w:r>
          </w:p>
        </w:tc>
        <w:tc>
          <w:tcPr>
            <w:tcW w:w="3358" w:type="dxa"/>
            <w:vAlign w:val="top"/>
            <w:vMerge w:val="restart"/>
            <w:tcBorders>
              <w:top w:val="single" w:color="000000" w:sz="10" w:space="0"/>
              <w:right w:val="nil"/>
              <w:bottom w:val="nil"/>
            </w:tcBorders>
          </w:tcPr>
          <w:p>
            <w:pPr>
              <w:pStyle w:val="TableText"/>
              <w:ind w:left="1267"/>
              <w:spacing w:before="219" w:line="229" w:lineRule="auto"/>
              <w:rPr/>
            </w:pPr>
            <w:r>
              <w:rPr>
                <w:spacing w:val="6"/>
              </w:rPr>
              <w:t>执行标准</w:t>
            </w:r>
          </w:p>
        </w:tc>
      </w:tr>
      <w:tr>
        <w:trPr>
          <w:trHeight w:val="313" w:hRule="atLeast"/>
        </w:trPr>
        <w:tc>
          <w:tcPr>
            <w:tcW w:w="2192" w:type="dxa"/>
            <w:vAlign w:val="top"/>
            <w:vMerge w:val="continue"/>
            <w:tcBorders>
              <w:top w:val="nil"/>
              <w:left w:val="nil"/>
            </w:tcBorders>
          </w:tcPr>
          <w:p>
            <w:pPr>
              <w:rPr>
                <w:rFonts w:ascii="Arial"/>
                <w:sz w:val="21"/>
              </w:rPr>
            </w:pPr>
            <w:r/>
          </w:p>
        </w:tc>
        <w:tc>
          <w:tcPr>
            <w:tcW w:w="1636" w:type="dxa"/>
            <w:vAlign w:val="top"/>
          </w:tcPr>
          <w:p>
            <w:pPr>
              <w:pStyle w:val="TableText"/>
              <w:ind w:left="510"/>
              <w:spacing w:before="51" w:line="232" w:lineRule="auto"/>
              <w:rPr/>
            </w:pPr>
            <w:r>
              <w:rPr>
                <w:spacing w:val="-3"/>
              </w:rPr>
              <w:t>昼</w:t>
            </w:r>
            <w:r>
              <w:rPr>
                <w:spacing w:val="22"/>
              </w:rPr>
              <w:t xml:space="preserve">  </w:t>
            </w:r>
            <w:r>
              <w:rPr>
                <w:spacing w:val="-3"/>
              </w:rPr>
              <w:t>间</w:t>
            </w:r>
          </w:p>
        </w:tc>
        <w:tc>
          <w:tcPr>
            <w:tcW w:w="1722" w:type="dxa"/>
            <w:vAlign w:val="top"/>
          </w:tcPr>
          <w:p>
            <w:pPr>
              <w:pStyle w:val="TableText"/>
              <w:ind w:left="554"/>
              <w:spacing w:before="51" w:line="231" w:lineRule="auto"/>
              <w:rPr/>
            </w:pPr>
            <w:r>
              <w:rPr>
                <w:spacing w:val="-3"/>
              </w:rPr>
              <w:t>夜</w:t>
            </w:r>
            <w:r>
              <w:rPr>
                <w:spacing w:val="22"/>
              </w:rPr>
              <w:t xml:space="preserve">  </w:t>
            </w:r>
            <w:r>
              <w:rPr>
                <w:spacing w:val="-3"/>
              </w:rPr>
              <w:t>间</w:t>
            </w:r>
          </w:p>
        </w:tc>
        <w:tc>
          <w:tcPr>
            <w:tcW w:w="3358" w:type="dxa"/>
            <w:vAlign w:val="top"/>
            <w:vMerge w:val="continue"/>
            <w:tcBorders>
              <w:top w:val="nil"/>
              <w:right w:val="nil"/>
            </w:tcBorders>
          </w:tcPr>
          <w:p>
            <w:pPr>
              <w:rPr>
                <w:rFonts w:ascii="Arial"/>
                <w:sz w:val="21"/>
              </w:rPr>
            </w:pPr>
            <w:r/>
          </w:p>
        </w:tc>
      </w:tr>
      <w:tr>
        <w:trPr>
          <w:trHeight w:val="813" w:hRule="atLeast"/>
        </w:trPr>
        <w:tc>
          <w:tcPr>
            <w:tcW w:w="2192" w:type="dxa"/>
            <w:vAlign w:val="top"/>
            <w:tcBorders>
              <w:left w:val="nil"/>
            </w:tcBorders>
          </w:tcPr>
          <w:p>
            <w:pPr>
              <w:spacing w:line="242" w:lineRule="auto"/>
              <w:rPr>
                <w:rFonts w:ascii="Arial"/>
                <w:sz w:val="21"/>
              </w:rPr>
            </w:pPr>
            <w:r/>
          </w:p>
          <w:p>
            <w:pPr>
              <w:pStyle w:val="TableText"/>
              <w:ind w:left="794"/>
              <w:spacing w:before="65" w:line="232" w:lineRule="auto"/>
              <w:rPr/>
            </w:pPr>
            <w:r>
              <w:rPr>
                <w:spacing w:val="5"/>
              </w:rPr>
              <w:t>施工期</w:t>
            </w:r>
          </w:p>
        </w:tc>
        <w:tc>
          <w:tcPr>
            <w:tcW w:w="1636" w:type="dxa"/>
            <w:vAlign w:val="top"/>
          </w:tcPr>
          <w:p>
            <w:pPr>
              <w:spacing w:line="243" w:lineRule="auto"/>
              <w:rPr>
                <w:rFonts w:ascii="Arial"/>
                <w:sz w:val="21"/>
              </w:rPr>
            </w:pPr>
            <w:r/>
          </w:p>
          <w:p>
            <w:pPr>
              <w:pStyle w:val="TableText"/>
              <w:ind w:left="307"/>
              <w:spacing w:before="65" w:line="265" w:lineRule="exact"/>
              <w:rPr/>
            </w:pPr>
            <w:r>
              <w:rPr>
                <w:rFonts w:ascii="Times New Roman" w:hAnsi="Times New Roman" w:eastAsia="Times New Roman" w:cs="Times New Roman"/>
                <w:spacing w:val="6"/>
                <w:position w:val="1"/>
              </w:rPr>
              <w:t>70</w:t>
            </w:r>
            <w:r>
              <w:rPr>
                <w:rFonts w:ascii="Times New Roman" w:hAnsi="Times New Roman" w:eastAsia="Times New Roman" w:cs="Times New Roman"/>
                <w:position w:val="1"/>
              </w:rPr>
              <w:t>dB</w:t>
            </w:r>
            <w:r>
              <w:rPr>
                <w:spacing w:val="6"/>
                <w:position w:val="1"/>
              </w:rPr>
              <w:t>（</w:t>
            </w:r>
            <w:r>
              <w:rPr>
                <w:rFonts w:ascii="Times New Roman" w:hAnsi="Times New Roman" w:eastAsia="Times New Roman" w:cs="Times New Roman"/>
                <w:spacing w:val="6"/>
                <w:position w:val="1"/>
              </w:rPr>
              <w:t>A</w:t>
            </w:r>
            <w:r>
              <w:rPr>
                <w:spacing w:val="6"/>
                <w:position w:val="1"/>
              </w:rPr>
              <w:t>）</w:t>
            </w:r>
          </w:p>
        </w:tc>
        <w:tc>
          <w:tcPr>
            <w:tcW w:w="1722" w:type="dxa"/>
            <w:vAlign w:val="top"/>
          </w:tcPr>
          <w:p>
            <w:pPr>
              <w:spacing w:line="243" w:lineRule="auto"/>
              <w:rPr>
                <w:rFonts w:ascii="Arial"/>
                <w:sz w:val="21"/>
              </w:rPr>
            </w:pPr>
            <w:r/>
          </w:p>
          <w:p>
            <w:pPr>
              <w:pStyle w:val="TableText"/>
              <w:ind w:left="351"/>
              <w:spacing w:before="65" w:line="265" w:lineRule="exact"/>
              <w:rPr/>
            </w:pPr>
            <w:r>
              <w:rPr>
                <w:rFonts w:ascii="Times New Roman" w:hAnsi="Times New Roman" w:eastAsia="Times New Roman" w:cs="Times New Roman"/>
                <w:spacing w:val="5"/>
                <w:position w:val="1"/>
              </w:rPr>
              <w:t>55</w:t>
            </w:r>
            <w:r>
              <w:rPr>
                <w:rFonts w:ascii="Times New Roman" w:hAnsi="Times New Roman" w:eastAsia="Times New Roman" w:cs="Times New Roman"/>
                <w:position w:val="1"/>
              </w:rPr>
              <w:t>dB</w:t>
            </w:r>
            <w:r>
              <w:rPr>
                <w:spacing w:val="5"/>
                <w:position w:val="1"/>
              </w:rPr>
              <w:t>（</w:t>
            </w:r>
            <w:r>
              <w:rPr>
                <w:rFonts w:ascii="Times New Roman" w:hAnsi="Times New Roman" w:eastAsia="Times New Roman" w:cs="Times New Roman"/>
                <w:spacing w:val="5"/>
                <w:position w:val="1"/>
              </w:rPr>
              <w:t>A</w:t>
            </w:r>
            <w:r>
              <w:rPr>
                <w:spacing w:val="5"/>
                <w:position w:val="1"/>
              </w:rPr>
              <w:t>）</w:t>
            </w:r>
          </w:p>
        </w:tc>
        <w:tc>
          <w:tcPr>
            <w:tcW w:w="3358" w:type="dxa"/>
            <w:vAlign w:val="top"/>
            <w:tcBorders>
              <w:right w:val="nil"/>
            </w:tcBorders>
          </w:tcPr>
          <w:p>
            <w:pPr>
              <w:pStyle w:val="TableText"/>
              <w:ind w:left="217"/>
              <w:spacing w:before="38" w:line="231" w:lineRule="auto"/>
              <w:rPr/>
            </w:pPr>
            <w:r>
              <w:rPr>
                <w:spacing w:val="8"/>
              </w:rPr>
              <w:t>《建筑施工场界环境噪声排放标</w:t>
            </w:r>
          </w:p>
          <w:p>
            <w:pPr>
              <w:pStyle w:val="TableText"/>
              <w:ind w:left="119"/>
              <w:spacing w:before="20" w:line="231" w:lineRule="auto"/>
              <w:rPr/>
            </w:pPr>
            <w:r>
              <w:rPr>
                <w:spacing w:val="1"/>
              </w:rPr>
              <w:t>准》（</w:t>
            </w:r>
            <w:r>
              <w:rPr>
                <w:rFonts w:ascii="Times New Roman" w:hAnsi="Times New Roman" w:eastAsia="Times New Roman" w:cs="Times New Roman"/>
              </w:rPr>
              <w:t>GB</w:t>
            </w:r>
            <w:r>
              <w:rPr>
                <w:rFonts w:ascii="Times New Roman" w:hAnsi="Times New Roman" w:eastAsia="Times New Roman" w:cs="Times New Roman"/>
                <w:spacing w:val="1"/>
              </w:rPr>
              <w:t>12523-2011</w:t>
            </w:r>
            <w:r>
              <w:rPr>
                <w:spacing w:val="1"/>
              </w:rPr>
              <w:t>）中表</w:t>
            </w:r>
            <w:r>
              <w:rPr>
                <w:spacing w:val="-1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8"/>
                <w:w w:val="101"/>
              </w:rPr>
              <w:t xml:space="preserve"> </w:t>
            </w:r>
            <w:r>
              <w:rPr>
                <w:spacing w:val="1"/>
              </w:rPr>
              <w:t>建筑</w:t>
            </w:r>
          </w:p>
          <w:p>
            <w:pPr>
              <w:pStyle w:val="TableText"/>
              <w:ind w:left="427"/>
              <w:spacing w:before="21" w:line="205" w:lineRule="auto"/>
              <w:rPr/>
            </w:pPr>
            <w:r>
              <w:rPr>
                <w:spacing w:val="8"/>
              </w:rPr>
              <w:t>施工场界环境噪声排放限值</w:t>
            </w:r>
          </w:p>
        </w:tc>
      </w:tr>
      <w:tr>
        <w:trPr>
          <w:trHeight w:val="835" w:hRule="atLeast"/>
        </w:trPr>
        <w:tc>
          <w:tcPr>
            <w:tcW w:w="2192" w:type="dxa"/>
            <w:vAlign w:val="top"/>
            <w:tcBorders>
              <w:bottom w:val="single" w:color="000000" w:sz="10" w:space="0"/>
              <w:left w:val="nil"/>
            </w:tcBorders>
          </w:tcPr>
          <w:p>
            <w:pPr>
              <w:spacing w:line="252" w:lineRule="auto"/>
              <w:rPr>
                <w:rFonts w:ascii="Arial"/>
                <w:sz w:val="21"/>
              </w:rPr>
            </w:pPr>
            <w:r/>
          </w:p>
          <w:p>
            <w:pPr>
              <w:pStyle w:val="TableText"/>
              <w:ind w:left="796"/>
              <w:spacing w:before="65" w:line="232" w:lineRule="auto"/>
              <w:rPr/>
            </w:pPr>
            <w:r>
              <w:rPr>
                <w:spacing w:val="4"/>
              </w:rPr>
              <w:t>运营期</w:t>
            </w:r>
          </w:p>
        </w:tc>
        <w:tc>
          <w:tcPr>
            <w:tcW w:w="1636" w:type="dxa"/>
            <w:vAlign w:val="top"/>
            <w:tcBorders>
              <w:bottom w:val="single" w:color="000000" w:sz="10" w:space="0"/>
            </w:tcBorders>
          </w:tcPr>
          <w:p>
            <w:pPr>
              <w:spacing w:line="252" w:lineRule="auto"/>
              <w:rPr>
                <w:rFonts w:ascii="Arial"/>
                <w:sz w:val="21"/>
              </w:rPr>
            </w:pPr>
            <w:r/>
          </w:p>
          <w:p>
            <w:pPr>
              <w:pStyle w:val="TableText"/>
              <w:ind w:left="308"/>
              <w:spacing w:before="65" w:line="265" w:lineRule="exact"/>
              <w:rPr/>
            </w:pPr>
            <w:r>
              <w:rPr>
                <w:rFonts w:ascii="Times New Roman" w:hAnsi="Times New Roman" w:eastAsia="Times New Roman" w:cs="Times New Roman"/>
                <w:spacing w:val="5"/>
                <w:position w:val="1"/>
              </w:rPr>
              <w:t>65</w:t>
            </w:r>
            <w:r>
              <w:rPr>
                <w:rFonts w:ascii="Times New Roman" w:hAnsi="Times New Roman" w:eastAsia="Times New Roman" w:cs="Times New Roman"/>
                <w:position w:val="1"/>
              </w:rPr>
              <w:t>dB</w:t>
            </w:r>
            <w:r>
              <w:rPr>
                <w:spacing w:val="5"/>
                <w:position w:val="1"/>
              </w:rPr>
              <w:t>（</w:t>
            </w:r>
            <w:r>
              <w:rPr>
                <w:rFonts w:ascii="Times New Roman" w:hAnsi="Times New Roman" w:eastAsia="Times New Roman" w:cs="Times New Roman"/>
                <w:spacing w:val="5"/>
                <w:position w:val="1"/>
              </w:rPr>
              <w:t>A</w:t>
            </w:r>
            <w:r>
              <w:rPr>
                <w:spacing w:val="5"/>
                <w:position w:val="1"/>
              </w:rPr>
              <w:t>）</w:t>
            </w:r>
          </w:p>
        </w:tc>
        <w:tc>
          <w:tcPr>
            <w:tcW w:w="1722" w:type="dxa"/>
            <w:vAlign w:val="top"/>
            <w:tcBorders>
              <w:bottom w:val="single" w:color="000000" w:sz="10" w:space="0"/>
            </w:tcBorders>
          </w:tcPr>
          <w:p>
            <w:pPr>
              <w:spacing w:line="252" w:lineRule="auto"/>
              <w:rPr>
                <w:rFonts w:ascii="Arial"/>
                <w:sz w:val="21"/>
              </w:rPr>
            </w:pPr>
            <w:r/>
          </w:p>
          <w:p>
            <w:pPr>
              <w:pStyle w:val="TableText"/>
              <w:ind w:left="351"/>
              <w:spacing w:before="65" w:line="265" w:lineRule="exact"/>
              <w:rPr/>
            </w:pPr>
            <w:r>
              <w:rPr>
                <w:rFonts w:ascii="Times New Roman" w:hAnsi="Times New Roman" w:eastAsia="Times New Roman" w:cs="Times New Roman"/>
                <w:spacing w:val="5"/>
                <w:position w:val="1"/>
              </w:rPr>
              <w:t>55</w:t>
            </w:r>
            <w:r>
              <w:rPr>
                <w:rFonts w:ascii="Times New Roman" w:hAnsi="Times New Roman" w:eastAsia="Times New Roman" w:cs="Times New Roman"/>
                <w:position w:val="1"/>
              </w:rPr>
              <w:t>dB</w:t>
            </w:r>
            <w:r>
              <w:rPr>
                <w:spacing w:val="5"/>
                <w:position w:val="1"/>
              </w:rPr>
              <w:t>（</w:t>
            </w:r>
            <w:r>
              <w:rPr>
                <w:rFonts w:ascii="Times New Roman" w:hAnsi="Times New Roman" w:eastAsia="Times New Roman" w:cs="Times New Roman"/>
                <w:spacing w:val="5"/>
                <w:position w:val="1"/>
              </w:rPr>
              <w:t>A</w:t>
            </w:r>
            <w:r>
              <w:rPr>
                <w:spacing w:val="5"/>
                <w:position w:val="1"/>
              </w:rPr>
              <w:t>）</w:t>
            </w:r>
          </w:p>
        </w:tc>
        <w:tc>
          <w:tcPr>
            <w:tcW w:w="3358" w:type="dxa"/>
            <w:vAlign w:val="top"/>
            <w:tcBorders>
              <w:bottom w:val="single" w:color="000000" w:sz="10" w:space="0"/>
              <w:right w:val="nil"/>
            </w:tcBorders>
          </w:tcPr>
          <w:p>
            <w:pPr>
              <w:pStyle w:val="TableText"/>
              <w:ind w:left="217"/>
              <w:spacing w:before="45" w:line="231" w:lineRule="auto"/>
              <w:rPr/>
            </w:pPr>
            <w:r>
              <w:rPr>
                <w:spacing w:val="8"/>
              </w:rPr>
              <w:t>《工业企业厂界环境噪声排放标</w:t>
            </w:r>
          </w:p>
          <w:p>
            <w:pPr>
              <w:pStyle w:val="TableText"/>
              <w:ind w:left="119"/>
              <w:spacing w:before="23" w:line="231" w:lineRule="auto"/>
              <w:rPr/>
            </w:pPr>
            <w:r>
              <w:rPr>
                <w:spacing w:val="2"/>
              </w:rPr>
              <w:t>准》（</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）中</w:t>
            </w:r>
            <w:r>
              <w:rPr>
                <w:spacing w:val="-29"/>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1"/>
              </w:rPr>
              <w:t xml:space="preserve"> </w:t>
            </w:r>
            <w:r>
              <w:rPr>
                <w:spacing w:val="2"/>
              </w:rPr>
              <w:t>类标准</w:t>
            </w:r>
          </w:p>
          <w:p>
            <w:pPr>
              <w:pStyle w:val="TableText"/>
              <w:ind w:left="1481"/>
              <w:spacing w:before="21" w:line="216" w:lineRule="auto"/>
              <w:rPr/>
            </w:pPr>
            <w:r>
              <w:rPr>
                <w:spacing w:val="-1"/>
              </w:rPr>
              <w:t>要求</w:t>
            </w:r>
          </w:p>
        </w:tc>
      </w:tr>
    </w:tbl>
    <w:p>
      <w:pPr>
        <w:pStyle w:val="BodyText"/>
        <w:spacing w:line="371" w:lineRule="auto"/>
        <w:rPr/>
      </w:pPr>
      <w:r/>
    </w:p>
    <w:p>
      <w:pPr>
        <w:ind w:left="114"/>
        <w:spacing w:before="79"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2.6.2.4</w:t>
      </w:r>
      <w:r>
        <w:rPr>
          <w:rFonts w:ascii="Times New Roman" w:hAnsi="Times New Roman" w:eastAsia="Times New Roman" w:cs="Times New Roman"/>
          <w:sz w:val="24"/>
          <w:szCs w:val="24"/>
          <w:b/>
          <w:bCs/>
          <w:spacing w:val="20"/>
          <w:w w:val="101"/>
        </w:rPr>
        <w:t xml:space="preserve">  </w:t>
      </w:r>
      <w:r>
        <w:rPr>
          <w:rFonts w:ascii="FangSong" w:hAnsi="FangSong" w:eastAsia="FangSong" w:cs="FangSong"/>
          <w:sz w:val="24"/>
          <w:szCs w:val="24"/>
          <w:b/>
          <w:bCs/>
          <w:spacing w:val="-5"/>
        </w:rPr>
        <w:t>固体废物</w:t>
      </w:r>
    </w:p>
    <w:p>
      <w:pPr>
        <w:ind w:left="123" w:right="106" w:firstLine="484"/>
        <w:spacing w:before="180" w:line="359" w:lineRule="auto"/>
        <w:jc w:val="both"/>
        <w:rPr>
          <w:rFonts w:ascii="FangSong" w:hAnsi="FangSong" w:eastAsia="FangSong" w:cs="FangSong"/>
          <w:sz w:val="24"/>
          <w:szCs w:val="24"/>
        </w:rPr>
      </w:pPr>
      <w:r>
        <w:rPr>
          <w:rFonts w:ascii="FangSong" w:hAnsi="FangSong" w:eastAsia="FangSong" w:cs="FangSong"/>
          <w:sz w:val="24"/>
          <w:szCs w:val="24"/>
          <w:spacing w:val="-10"/>
        </w:rPr>
        <w:t>一</w:t>
      </w:r>
      <w:r>
        <w:rPr>
          <w:rFonts w:ascii="FangSong" w:hAnsi="FangSong" w:eastAsia="FangSong" w:cs="FangSong"/>
          <w:sz w:val="24"/>
          <w:szCs w:val="24"/>
          <w:spacing w:val="-43"/>
        </w:rPr>
        <w:t xml:space="preserve"> </w:t>
      </w:r>
      <w:r>
        <w:rPr>
          <w:rFonts w:ascii="FangSong" w:hAnsi="FangSong" w:eastAsia="FangSong" w:cs="FangSong"/>
          <w:sz w:val="24"/>
          <w:szCs w:val="24"/>
          <w:spacing w:val="-10"/>
        </w:rPr>
        <w:t>般</w:t>
      </w:r>
      <w:r>
        <w:rPr>
          <w:rFonts w:ascii="FangSong" w:hAnsi="FangSong" w:eastAsia="FangSong" w:cs="FangSong"/>
          <w:sz w:val="24"/>
          <w:szCs w:val="24"/>
          <w:spacing w:val="-36"/>
        </w:rPr>
        <w:t xml:space="preserve"> </w:t>
      </w:r>
      <w:r>
        <w:rPr>
          <w:rFonts w:ascii="FangSong" w:hAnsi="FangSong" w:eastAsia="FangSong" w:cs="FangSong"/>
          <w:sz w:val="24"/>
          <w:szCs w:val="24"/>
          <w:spacing w:val="-10"/>
        </w:rPr>
        <w:t>固</w:t>
      </w:r>
      <w:r>
        <w:rPr>
          <w:rFonts w:ascii="FangSong" w:hAnsi="FangSong" w:eastAsia="FangSong" w:cs="FangSong"/>
          <w:sz w:val="24"/>
          <w:szCs w:val="24"/>
          <w:spacing w:val="-58"/>
        </w:rPr>
        <w:t xml:space="preserve"> </w:t>
      </w:r>
      <w:r>
        <w:rPr>
          <w:rFonts w:ascii="FangSong" w:hAnsi="FangSong" w:eastAsia="FangSong" w:cs="FangSong"/>
          <w:sz w:val="24"/>
          <w:szCs w:val="24"/>
          <w:spacing w:val="-10"/>
        </w:rPr>
        <w:t>体</w:t>
      </w:r>
      <w:r>
        <w:rPr>
          <w:rFonts w:ascii="FangSong" w:hAnsi="FangSong" w:eastAsia="FangSong" w:cs="FangSong"/>
          <w:sz w:val="24"/>
          <w:szCs w:val="24"/>
          <w:spacing w:val="-55"/>
        </w:rPr>
        <w:t xml:space="preserve"> </w:t>
      </w:r>
      <w:r>
        <w:rPr>
          <w:rFonts w:ascii="FangSong" w:hAnsi="FangSong" w:eastAsia="FangSong" w:cs="FangSong"/>
          <w:sz w:val="24"/>
          <w:szCs w:val="24"/>
          <w:spacing w:val="-10"/>
        </w:rPr>
        <w:t>废</w:t>
      </w:r>
      <w:r>
        <w:rPr>
          <w:rFonts w:ascii="FangSong" w:hAnsi="FangSong" w:eastAsia="FangSong" w:cs="FangSong"/>
          <w:sz w:val="24"/>
          <w:szCs w:val="24"/>
          <w:spacing w:val="-58"/>
        </w:rPr>
        <w:t xml:space="preserve"> </w:t>
      </w:r>
      <w:r>
        <w:rPr>
          <w:rFonts w:ascii="FangSong" w:hAnsi="FangSong" w:eastAsia="FangSong" w:cs="FangSong"/>
          <w:sz w:val="24"/>
          <w:szCs w:val="24"/>
          <w:spacing w:val="-10"/>
        </w:rPr>
        <w:t>物</w:t>
      </w:r>
      <w:r>
        <w:rPr>
          <w:rFonts w:ascii="FangSong" w:hAnsi="FangSong" w:eastAsia="FangSong" w:cs="FangSong"/>
          <w:sz w:val="24"/>
          <w:szCs w:val="24"/>
          <w:spacing w:val="-62"/>
        </w:rPr>
        <w:t xml:space="preserve"> </w:t>
      </w:r>
      <w:r>
        <w:rPr>
          <w:rFonts w:ascii="FangSong" w:hAnsi="FangSong" w:eastAsia="FangSong" w:cs="FangSong"/>
          <w:sz w:val="24"/>
          <w:szCs w:val="24"/>
          <w:spacing w:val="-10"/>
        </w:rPr>
        <w:t>执</w:t>
      </w:r>
      <w:r>
        <w:rPr>
          <w:rFonts w:ascii="FangSong" w:hAnsi="FangSong" w:eastAsia="FangSong" w:cs="FangSong"/>
          <w:sz w:val="24"/>
          <w:szCs w:val="24"/>
          <w:spacing w:val="-56"/>
        </w:rPr>
        <w:t xml:space="preserve"> </w:t>
      </w:r>
      <w:r>
        <w:rPr>
          <w:rFonts w:ascii="FangSong" w:hAnsi="FangSong" w:eastAsia="FangSong" w:cs="FangSong"/>
          <w:sz w:val="24"/>
          <w:szCs w:val="24"/>
          <w:spacing w:val="-10"/>
        </w:rPr>
        <w:t>行《</w:t>
      </w:r>
      <w:r>
        <w:rPr>
          <w:rFonts w:ascii="FangSong" w:hAnsi="FangSong" w:eastAsia="FangSong" w:cs="FangSong"/>
          <w:sz w:val="24"/>
          <w:szCs w:val="24"/>
          <w:spacing w:val="-34"/>
        </w:rPr>
        <w:t xml:space="preserve"> </w:t>
      </w:r>
      <w:r>
        <w:rPr>
          <w:rFonts w:ascii="FangSong" w:hAnsi="FangSong" w:eastAsia="FangSong" w:cs="FangSong"/>
          <w:sz w:val="24"/>
          <w:szCs w:val="24"/>
          <w:spacing w:val="-10"/>
        </w:rPr>
        <w:t>一</w:t>
      </w:r>
      <w:r>
        <w:rPr>
          <w:rFonts w:ascii="FangSong" w:hAnsi="FangSong" w:eastAsia="FangSong" w:cs="FangSong"/>
          <w:sz w:val="24"/>
          <w:szCs w:val="24"/>
          <w:spacing w:val="-57"/>
        </w:rPr>
        <w:t xml:space="preserve"> </w:t>
      </w:r>
      <w:r>
        <w:rPr>
          <w:rFonts w:ascii="FangSong" w:hAnsi="FangSong" w:eastAsia="FangSong" w:cs="FangSong"/>
          <w:sz w:val="24"/>
          <w:szCs w:val="24"/>
          <w:spacing w:val="-10"/>
        </w:rPr>
        <w:t>般工</w:t>
      </w:r>
      <w:r>
        <w:rPr>
          <w:rFonts w:ascii="FangSong" w:hAnsi="FangSong" w:eastAsia="FangSong" w:cs="FangSong"/>
          <w:sz w:val="24"/>
          <w:szCs w:val="24"/>
          <w:spacing w:val="-61"/>
        </w:rPr>
        <w:t xml:space="preserve"> </w:t>
      </w:r>
      <w:r>
        <w:rPr>
          <w:rFonts w:ascii="FangSong" w:hAnsi="FangSong" w:eastAsia="FangSong" w:cs="FangSong"/>
          <w:sz w:val="24"/>
          <w:szCs w:val="24"/>
          <w:spacing w:val="-10"/>
        </w:rPr>
        <w:t>业</w:t>
      </w:r>
      <w:r>
        <w:rPr>
          <w:rFonts w:ascii="FangSong" w:hAnsi="FangSong" w:eastAsia="FangSong" w:cs="FangSong"/>
          <w:sz w:val="24"/>
          <w:szCs w:val="24"/>
          <w:spacing w:val="-34"/>
        </w:rPr>
        <w:t xml:space="preserve"> </w:t>
      </w:r>
      <w:r>
        <w:rPr>
          <w:rFonts w:ascii="FangSong" w:hAnsi="FangSong" w:eastAsia="FangSong" w:cs="FangSong"/>
          <w:sz w:val="24"/>
          <w:szCs w:val="24"/>
          <w:spacing w:val="-10"/>
        </w:rPr>
        <w:t>固</w:t>
      </w:r>
      <w:r>
        <w:rPr>
          <w:rFonts w:ascii="FangSong" w:hAnsi="FangSong" w:eastAsia="FangSong" w:cs="FangSong"/>
          <w:sz w:val="24"/>
          <w:szCs w:val="24"/>
          <w:spacing w:val="-57"/>
        </w:rPr>
        <w:t xml:space="preserve"> </w:t>
      </w:r>
      <w:r>
        <w:rPr>
          <w:rFonts w:ascii="FangSong" w:hAnsi="FangSong" w:eastAsia="FangSong" w:cs="FangSong"/>
          <w:sz w:val="24"/>
          <w:szCs w:val="24"/>
          <w:spacing w:val="-10"/>
        </w:rPr>
        <w:t>体</w:t>
      </w:r>
      <w:r>
        <w:rPr>
          <w:rFonts w:ascii="FangSong" w:hAnsi="FangSong" w:eastAsia="FangSong" w:cs="FangSong"/>
          <w:sz w:val="24"/>
          <w:szCs w:val="24"/>
          <w:spacing w:val="-56"/>
        </w:rPr>
        <w:t xml:space="preserve"> </w:t>
      </w:r>
      <w:r>
        <w:rPr>
          <w:rFonts w:ascii="FangSong" w:hAnsi="FangSong" w:eastAsia="FangSong" w:cs="FangSong"/>
          <w:sz w:val="24"/>
          <w:szCs w:val="24"/>
          <w:spacing w:val="-10"/>
        </w:rPr>
        <w:t>废</w:t>
      </w:r>
      <w:r>
        <w:rPr>
          <w:rFonts w:ascii="FangSong" w:hAnsi="FangSong" w:eastAsia="FangSong" w:cs="FangSong"/>
          <w:sz w:val="24"/>
          <w:szCs w:val="24"/>
          <w:spacing w:val="-60"/>
        </w:rPr>
        <w:t xml:space="preserve"> </w:t>
      </w:r>
      <w:r>
        <w:rPr>
          <w:rFonts w:ascii="FangSong" w:hAnsi="FangSong" w:eastAsia="FangSong" w:cs="FangSong"/>
          <w:sz w:val="24"/>
          <w:szCs w:val="24"/>
          <w:spacing w:val="-10"/>
        </w:rPr>
        <w:t>物</w:t>
      </w:r>
      <w:r>
        <w:rPr>
          <w:rFonts w:ascii="FangSong" w:hAnsi="FangSong" w:eastAsia="FangSong" w:cs="FangSong"/>
          <w:sz w:val="24"/>
          <w:szCs w:val="24"/>
          <w:spacing w:val="-57"/>
        </w:rPr>
        <w:t xml:space="preserve"> </w:t>
      </w:r>
      <w:r>
        <w:rPr>
          <w:rFonts w:ascii="FangSong" w:hAnsi="FangSong" w:eastAsia="FangSong" w:cs="FangSong"/>
          <w:sz w:val="24"/>
          <w:szCs w:val="24"/>
          <w:spacing w:val="-10"/>
        </w:rPr>
        <w:t>贮</w:t>
      </w:r>
      <w:r>
        <w:rPr>
          <w:rFonts w:ascii="FangSong" w:hAnsi="FangSong" w:eastAsia="FangSong" w:cs="FangSong"/>
          <w:sz w:val="24"/>
          <w:szCs w:val="24"/>
          <w:spacing w:val="-55"/>
        </w:rPr>
        <w:t xml:space="preserve"> </w:t>
      </w:r>
      <w:r>
        <w:rPr>
          <w:rFonts w:ascii="FangSong" w:hAnsi="FangSong" w:eastAsia="FangSong" w:cs="FangSong"/>
          <w:sz w:val="24"/>
          <w:szCs w:val="24"/>
          <w:spacing w:val="-10"/>
        </w:rPr>
        <w:t>存</w:t>
      </w:r>
      <w:r>
        <w:rPr>
          <w:rFonts w:ascii="FangSong" w:hAnsi="FangSong" w:eastAsia="FangSong" w:cs="FangSong"/>
          <w:sz w:val="24"/>
          <w:szCs w:val="24"/>
          <w:spacing w:val="-61"/>
        </w:rPr>
        <w:t xml:space="preserve"> </w:t>
      </w:r>
      <w:r>
        <w:rPr>
          <w:rFonts w:ascii="FangSong" w:hAnsi="FangSong" w:eastAsia="FangSong" w:cs="FangSong"/>
          <w:sz w:val="24"/>
          <w:szCs w:val="24"/>
          <w:spacing w:val="-10"/>
        </w:rPr>
        <w:t>和填</w:t>
      </w:r>
      <w:r>
        <w:rPr>
          <w:rFonts w:ascii="FangSong" w:hAnsi="FangSong" w:eastAsia="FangSong" w:cs="FangSong"/>
          <w:sz w:val="24"/>
          <w:szCs w:val="24"/>
          <w:spacing w:val="-60"/>
        </w:rPr>
        <w:t xml:space="preserve"> </w:t>
      </w:r>
      <w:r>
        <w:rPr>
          <w:rFonts w:ascii="FangSong" w:hAnsi="FangSong" w:eastAsia="FangSong" w:cs="FangSong"/>
          <w:sz w:val="24"/>
          <w:szCs w:val="24"/>
          <w:spacing w:val="-10"/>
        </w:rPr>
        <w:t>埋</w:t>
      </w:r>
      <w:r>
        <w:rPr>
          <w:rFonts w:ascii="FangSong" w:hAnsi="FangSong" w:eastAsia="FangSong" w:cs="FangSong"/>
          <w:sz w:val="24"/>
          <w:szCs w:val="24"/>
          <w:spacing w:val="-54"/>
        </w:rPr>
        <w:t xml:space="preserve"> </w:t>
      </w:r>
      <w:r>
        <w:rPr>
          <w:rFonts w:ascii="FangSong" w:hAnsi="FangSong" w:eastAsia="FangSong" w:cs="FangSong"/>
          <w:sz w:val="24"/>
          <w:szCs w:val="24"/>
          <w:spacing w:val="-10"/>
        </w:rPr>
        <w:t>污</w:t>
      </w:r>
      <w:r>
        <w:rPr>
          <w:rFonts w:ascii="FangSong" w:hAnsi="FangSong" w:eastAsia="FangSong" w:cs="FangSong"/>
          <w:sz w:val="24"/>
          <w:szCs w:val="24"/>
          <w:spacing w:val="-58"/>
        </w:rPr>
        <w:t xml:space="preserve"> </w:t>
      </w:r>
      <w:r>
        <w:rPr>
          <w:rFonts w:ascii="FangSong" w:hAnsi="FangSong" w:eastAsia="FangSong" w:cs="FangSong"/>
          <w:sz w:val="24"/>
          <w:szCs w:val="24"/>
          <w:spacing w:val="-10"/>
        </w:rPr>
        <w:t>染</w:t>
      </w:r>
      <w:r>
        <w:rPr>
          <w:rFonts w:ascii="FangSong" w:hAnsi="FangSong" w:eastAsia="FangSong" w:cs="FangSong"/>
          <w:sz w:val="24"/>
          <w:szCs w:val="24"/>
          <w:spacing w:val="-58"/>
        </w:rPr>
        <w:t xml:space="preserve"> </w:t>
      </w:r>
      <w:r>
        <w:rPr>
          <w:rFonts w:ascii="FangSong" w:hAnsi="FangSong" w:eastAsia="FangSong" w:cs="FangSong"/>
          <w:sz w:val="24"/>
          <w:szCs w:val="24"/>
          <w:spacing w:val="-10"/>
        </w:rPr>
        <w:t>控</w:t>
      </w:r>
      <w:r>
        <w:rPr>
          <w:rFonts w:ascii="FangSong" w:hAnsi="FangSong" w:eastAsia="FangSong" w:cs="FangSong"/>
          <w:sz w:val="24"/>
          <w:szCs w:val="24"/>
          <w:spacing w:val="-57"/>
        </w:rPr>
        <w:t xml:space="preserve"> </w:t>
      </w:r>
      <w:r>
        <w:rPr>
          <w:rFonts w:ascii="FangSong" w:hAnsi="FangSong" w:eastAsia="FangSong" w:cs="FangSong"/>
          <w:sz w:val="24"/>
          <w:szCs w:val="24"/>
          <w:spacing w:val="-10"/>
        </w:rPr>
        <w:t>制标</w:t>
      </w:r>
      <w:r>
        <w:rPr>
          <w:rFonts w:ascii="FangSong" w:hAnsi="FangSong" w:eastAsia="FangSong" w:cs="FangSong"/>
          <w:sz w:val="24"/>
          <w:szCs w:val="24"/>
          <w:spacing w:val="-56"/>
        </w:rPr>
        <w:t xml:space="preserve"> </w:t>
      </w:r>
      <w:r>
        <w:rPr>
          <w:rFonts w:ascii="FangSong" w:hAnsi="FangSong" w:eastAsia="FangSong" w:cs="FangSong"/>
          <w:sz w:val="24"/>
          <w:szCs w:val="24"/>
          <w:spacing w:val="-10"/>
        </w:rPr>
        <w:t>准》</w:t>
      </w:r>
      <w:r>
        <w:rPr>
          <w:rFonts w:ascii="FangSong" w:hAnsi="FangSong" w:eastAsia="FangSong" w:cs="FangSong"/>
          <w:sz w:val="24"/>
          <w:szCs w:val="24"/>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9"/>
        </w:rPr>
        <w:t>18599-2020</w:t>
      </w:r>
      <w:r>
        <w:rPr>
          <w:rFonts w:ascii="FangSong" w:hAnsi="FangSong" w:eastAsia="FangSong" w:cs="FangSong"/>
          <w:sz w:val="24"/>
          <w:szCs w:val="24"/>
          <w:spacing w:val="9"/>
        </w:rPr>
        <w:t>）</w:t>
      </w:r>
      <w:r>
        <w:rPr>
          <w:rFonts w:ascii="FangSong" w:hAnsi="FangSong" w:eastAsia="FangSong" w:cs="FangSong"/>
          <w:sz w:val="24"/>
          <w:szCs w:val="24"/>
          <w:spacing w:val="-40"/>
        </w:rPr>
        <w:t xml:space="preserve"> </w:t>
      </w:r>
      <w:r>
        <w:rPr>
          <w:rFonts w:ascii="FangSong" w:hAnsi="FangSong" w:eastAsia="FangSong" w:cs="FangSong"/>
          <w:sz w:val="24"/>
          <w:szCs w:val="24"/>
          <w:spacing w:val="9"/>
        </w:rPr>
        <w:t>中相关规定</w:t>
      </w:r>
      <w:r>
        <w:rPr>
          <w:rFonts w:ascii="FangSong" w:hAnsi="FangSong" w:eastAsia="FangSong" w:cs="FangSong"/>
          <w:sz w:val="24"/>
          <w:szCs w:val="24"/>
          <w:spacing w:val="-70"/>
        </w:rPr>
        <w:t xml:space="preserve"> </w:t>
      </w:r>
      <w:r>
        <w:rPr>
          <w:rFonts w:ascii="FangSong" w:hAnsi="FangSong" w:eastAsia="FangSong" w:cs="FangSong"/>
          <w:sz w:val="24"/>
          <w:szCs w:val="24"/>
          <w:spacing w:val="9"/>
        </w:rPr>
        <w:t>；危险废物</w:t>
      </w:r>
      <w:r>
        <w:rPr>
          <w:rFonts w:ascii="FangSong" w:hAnsi="FangSong" w:eastAsia="FangSong" w:cs="FangSong"/>
          <w:sz w:val="24"/>
          <w:szCs w:val="24"/>
          <w:spacing w:val="8"/>
        </w:rPr>
        <w:t>执行《危险废物贮存污染控制标准》</w:t>
      </w:r>
      <w:r>
        <w:rPr>
          <w:rFonts w:ascii="FangSong" w:hAnsi="FangSong" w:eastAsia="FangSong" w:cs="FangSong"/>
          <w:sz w:val="24"/>
          <w:szCs w:val="24"/>
        </w:rPr>
        <w:t xml:space="preserve"> </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GB18597-2023</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12"/>
        </w:rPr>
        <w:t>）</w:t>
      </w:r>
      <w:r>
        <w:rPr>
          <w:rFonts w:ascii="FangSong" w:hAnsi="FangSong" w:eastAsia="FangSong" w:cs="FangSong"/>
          <w:sz w:val="24"/>
          <w:szCs w:val="24"/>
          <w:spacing w:val="-37"/>
        </w:rPr>
        <w:t xml:space="preserve"> </w:t>
      </w:r>
      <w:r>
        <w:rPr>
          <w:rFonts w:ascii="FangSong" w:hAnsi="FangSong" w:eastAsia="FangSong" w:cs="FangSong"/>
          <w:sz w:val="24"/>
          <w:szCs w:val="24"/>
          <w:spacing w:val="-12"/>
        </w:rPr>
        <w:t>中</w:t>
      </w:r>
      <w:r>
        <w:rPr>
          <w:rFonts w:ascii="FangSong" w:hAnsi="FangSong" w:eastAsia="FangSong" w:cs="FangSong"/>
          <w:sz w:val="24"/>
          <w:szCs w:val="24"/>
          <w:spacing w:val="-67"/>
        </w:rPr>
        <w:t xml:space="preserve"> </w:t>
      </w:r>
      <w:r>
        <w:rPr>
          <w:rFonts w:ascii="FangSong" w:hAnsi="FangSong" w:eastAsia="FangSong" w:cs="FangSong"/>
          <w:sz w:val="24"/>
          <w:szCs w:val="24"/>
          <w:spacing w:val="-12"/>
        </w:rPr>
        <w:t>相</w:t>
      </w:r>
      <w:r>
        <w:rPr>
          <w:rFonts w:ascii="FangSong" w:hAnsi="FangSong" w:eastAsia="FangSong" w:cs="FangSong"/>
          <w:sz w:val="24"/>
          <w:szCs w:val="24"/>
          <w:spacing w:val="-59"/>
        </w:rPr>
        <w:t xml:space="preserve"> </w:t>
      </w:r>
      <w:r>
        <w:rPr>
          <w:rFonts w:ascii="FangSong" w:hAnsi="FangSong" w:eastAsia="FangSong" w:cs="FangSong"/>
          <w:sz w:val="24"/>
          <w:szCs w:val="24"/>
          <w:spacing w:val="-12"/>
        </w:rPr>
        <w:t>关</w:t>
      </w:r>
      <w:r>
        <w:rPr>
          <w:rFonts w:ascii="FangSong" w:hAnsi="FangSong" w:eastAsia="FangSong" w:cs="FangSong"/>
          <w:sz w:val="24"/>
          <w:szCs w:val="24"/>
          <w:spacing w:val="-69"/>
        </w:rPr>
        <w:t xml:space="preserve"> </w:t>
      </w:r>
      <w:r>
        <w:rPr>
          <w:rFonts w:ascii="FangSong" w:hAnsi="FangSong" w:eastAsia="FangSong" w:cs="FangSong"/>
          <w:sz w:val="24"/>
          <w:szCs w:val="24"/>
          <w:spacing w:val="-12"/>
        </w:rPr>
        <w:t>规</w:t>
      </w:r>
      <w:r>
        <w:rPr>
          <w:rFonts w:ascii="FangSong" w:hAnsi="FangSong" w:eastAsia="FangSong" w:cs="FangSong"/>
          <w:sz w:val="24"/>
          <w:szCs w:val="24"/>
          <w:spacing w:val="-61"/>
        </w:rPr>
        <w:t xml:space="preserve"> </w:t>
      </w:r>
      <w:r>
        <w:rPr>
          <w:rFonts w:ascii="FangSong" w:hAnsi="FangSong" w:eastAsia="FangSong" w:cs="FangSong"/>
          <w:sz w:val="24"/>
          <w:szCs w:val="24"/>
          <w:spacing w:val="-12"/>
        </w:rPr>
        <w:t>定</w:t>
      </w:r>
      <w:r>
        <w:rPr>
          <w:rFonts w:ascii="FangSong" w:hAnsi="FangSong" w:eastAsia="FangSong" w:cs="FangSong"/>
          <w:sz w:val="24"/>
          <w:szCs w:val="24"/>
          <w:spacing w:val="-50"/>
        </w:rPr>
        <w:t xml:space="preserve"> </w:t>
      </w:r>
      <w:r>
        <w:rPr>
          <w:rFonts w:ascii="FangSong" w:hAnsi="FangSong" w:eastAsia="FangSong" w:cs="FangSong"/>
          <w:sz w:val="24"/>
          <w:szCs w:val="24"/>
          <w:spacing w:val="-12"/>
        </w:rPr>
        <w:t>。</w:t>
      </w:r>
      <w:r>
        <w:rPr>
          <w:rFonts w:ascii="FangSong" w:hAnsi="FangSong" w:eastAsia="FangSong" w:cs="FangSong"/>
          <w:sz w:val="24"/>
          <w:szCs w:val="24"/>
          <w:spacing w:val="-64"/>
        </w:rPr>
        <w:t xml:space="preserve"> </w:t>
      </w:r>
      <w:r>
        <w:rPr>
          <w:rFonts w:ascii="FangSong" w:hAnsi="FangSong" w:eastAsia="FangSong" w:cs="FangSong"/>
          <w:sz w:val="24"/>
          <w:szCs w:val="24"/>
          <w:spacing w:val="-12"/>
        </w:rPr>
        <w:t>根</w:t>
      </w:r>
      <w:r>
        <w:rPr>
          <w:rFonts w:ascii="FangSong" w:hAnsi="FangSong" w:eastAsia="FangSong" w:cs="FangSong"/>
          <w:sz w:val="24"/>
          <w:szCs w:val="24"/>
          <w:spacing w:val="-68"/>
        </w:rPr>
        <w:t xml:space="preserve"> </w:t>
      </w:r>
      <w:r>
        <w:rPr>
          <w:rFonts w:ascii="FangSong" w:hAnsi="FangSong" w:eastAsia="FangSong" w:cs="FangSong"/>
          <w:sz w:val="24"/>
          <w:szCs w:val="24"/>
          <w:spacing w:val="-12"/>
        </w:rPr>
        <w:t>据《</w:t>
      </w:r>
      <w:r>
        <w:rPr>
          <w:rFonts w:ascii="FangSong" w:hAnsi="FangSong" w:eastAsia="FangSong" w:cs="FangSong"/>
          <w:sz w:val="24"/>
          <w:szCs w:val="24"/>
          <w:spacing w:val="-39"/>
        </w:rPr>
        <w:t xml:space="preserve"> </w:t>
      </w:r>
      <w:r>
        <w:rPr>
          <w:rFonts w:ascii="FangSong" w:hAnsi="FangSong" w:eastAsia="FangSong" w:cs="FangSong"/>
          <w:sz w:val="24"/>
          <w:szCs w:val="24"/>
          <w:spacing w:val="-12"/>
        </w:rPr>
        <w:t>危</w:t>
      </w:r>
      <w:r>
        <w:rPr>
          <w:rFonts w:ascii="FangSong" w:hAnsi="FangSong" w:eastAsia="FangSong" w:cs="FangSong"/>
          <w:sz w:val="24"/>
          <w:szCs w:val="24"/>
          <w:spacing w:val="-56"/>
        </w:rPr>
        <w:t xml:space="preserve"> </w:t>
      </w:r>
      <w:r>
        <w:rPr>
          <w:rFonts w:ascii="FangSong" w:hAnsi="FangSong" w:eastAsia="FangSong" w:cs="FangSong"/>
          <w:sz w:val="24"/>
          <w:szCs w:val="24"/>
          <w:spacing w:val="-12"/>
        </w:rPr>
        <w:t>险</w:t>
      </w:r>
      <w:r>
        <w:rPr>
          <w:rFonts w:ascii="FangSong" w:hAnsi="FangSong" w:eastAsia="FangSong" w:cs="FangSong"/>
          <w:sz w:val="24"/>
          <w:szCs w:val="24"/>
          <w:spacing w:val="-63"/>
        </w:rPr>
        <w:t xml:space="preserve"> </w:t>
      </w:r>
      <w:r>
        <w:rPr>
          <w:rFonts w:ascii="FangSong" w:hAnsi="FangSong" w:eastAsia="FangSong" w:cs="FangSong"/>
          <w:sz w:val="24"/>
          <w:szCs w:val="24"/>
          <w:spacing w:val="-12"/>
        </w:rPr>
        <w:t>废</w:t>
      </w:r>
      <w:r>
        <w:rPr>
          <w:rFonts w:ascii="FangSong" w:hAnsi="FangSong" w:eastAsia="FangSong" w:cs="FangSong"/>
          <w:sz w:val="24"/>
          <w:szCs w:val="24"/>
          <w:spacing w:val="-68"/>
        </w:rPr>
        <w:t xml:space="preserve"> </w:t>
      </w:r>
      <w:r>
        <w:rPr>
          <w:rFonts w:ascii="FangSong" w:hAnsi="FangSong" w:eastAsia="FangSong" w:cs="FangSong"/>
          <w:sz w:val="24"/>
          <w:szCs w:val="24"/>
          <w:spacing w:val="-12"/>
        </w:rPr>
        <w:t>物</w:t>
      </w:r>
      <w:r>
        <w:rPr>
          <w:rFonts w:ascii="FangSong" w:hAnsi="FangSong" w:eastAsia="FangSong" w:cs="FangSong"/>
          <w:sz w:val="24"/>
          <w:szCs w:val="24"/>
          <w:spacing w:val="-61"/>
        </w:rPr>
        <w:t xml:space="preserve"> </w:t>
      </w:r>
      <w:r>
        <w:rPr>
          <w:rFonts w:ascii="FangSong" w:hAnsi="FangSong" w:eastAsia="FangSong" w:cs="FangSong"/>
          <w:sz w:val="24"/>
          <w:szCs w:val="24"/>
          <w:spacing w:val="-12"/>
        </w:rPr>
        <w:t>鉴</w:t>
      </w:r>
      <w:r>
        <w:rPr>
          <w:rFonts w:ascii="FangSong" w:hAnsi="FangSong" w:eastAsia="FangSong" w:cs="FangSong"/>
          <w:sz w:val="24"/>
          <w:szCs w:val="24"/>
          <w:spacing w:val="-66"/>
        </w:rPr>
        <w:t xml:space="preserve"> </w:t>
      </w:r>
      <w:r>
        <w:rPr>
          <w:rFonts w:ascii="FangSong" w:hAnsi="FangSong" w:eastAsia="FangSong" w:cs="FangSong"/>
          <w:sz w:val="24"/>
          <w:szCs w:val="24"/>
          <w:spacing w:val="-12"/>
        </w:rPr>
        <w:t>别</w:t>
      </w:r>
      <w:r>
        <w:rPr>
          <w:rFonts w:ascii="FangSong" w:hAnsi="FangSong" w:eastAsia="FangSong" w:cs="FangSong"/>
          <w:sz w:val="24"/>
          <w:szCs w:val="24"/>
          <w:spacing w:val="-66"/>
        </w:rPr>
        <w:t xml:space="preserve"> </w:t>
      </w:r>
      <w:r>
        <w:rPr>
          <w:rFonts w:ascii="FangSong" w:hAnsi="FangSong" w:eastAsia="FangSong" w:cs="FangSong"/>
          <w:sz w:val="24"/>
          <w:szCs w:val="24"/>
          <w:spacing w:val="-12"/>
        </w:rPr>
        <w:t>标</w:t>
      </w:r>
      <w:r>
        <w:rPr>
          <w:rFonts w:ascii="FangSong" w:hAnsi="FangSong" w:eastAsia="FangSong" w:cs="FangSong"/>
          <w:sz w:val="24"/>
          <w:szCs w:val="24"/>
          <w:spacing w:val="-66"/>
        </w:rPr>
        <w:t xml:space="preserve"> </w:t>
      </w:r>
      <w:r>
        <w:rPr>
          <w:rFonts w:ascii="FangSong" w:hAnsi="FangSong" w:eastAsia="FangSong" w:cs="FangSong"/>
          <w:sz w:val="24"/>
          <w:szCs w:val="24"/>
          <w:spacing w:val="-12"/>
        </w:rPr>
        <w:t>准</w:t>
      </w:r>
      <w:r>
        <w:rPr>
          <w:rFonts w:ascii="FangSong" w:hAnsi="FangSong" w:eastAsia="FangSong" w:cs="FangSong"/>
          <w:sz w:val="24"/>
          <w:szCs w:val="24"/>
          <w:spacing w:val="-65"/>
        </w:rPr>
        <w:t xml:space="preserve"> </w:t>
      </w:r>
      <w:r>
        <w:rPr>
          <w:rFonts w:ascii="FangSong" w:hAnsi="FangSong" w:eastAsia="FangSong" w:cs="FangSong"/>
          <w:sz w:val="24"/>
          <w:szCs w:val="24"/>
          <w:spacing w:val="-12"/>
        </w:rPr>
        <w:t>浸</w:t>
      </w:r>
      <w:r>
        <w:rPr>
          <w:rFonts w:ascii="FangSong" w:hAnsi="FangSong" w:eastAsia="FangSong" w:cs="FangSong"/>
          <w:sz w:val="24"/>
          <w:szCs w:val="24"/>
          <w:spacing w:val="-44"/>
        </w:rPr>
        <w:t xml:space="preserve"> </w:t>
      </w:r>
      <w:r>
        <w:rPr>
          <w:rFonts w:ascii="FangSong" w:hAnsi="FangSong" w:eastAsia="FangSong" w:cs="FangSong"/>
          <w:sz w:val="24"/>
          <w:szCs w:val="24"/>
          <w:spacing w:val="-12"/>
        </w:rPr>
        <w:t>出</w:t>
      </w:r>
      <w:r>
        <w:rPr>
          <w:rFonts w:ascii="FangSong" w:hAnsi="FangSong" w:eastAsia="FangSong" w:cs="FangSong"/>
          <w:sz w:val="24"/>
          <w:szCs w:val="24"/>
          <w:spacing w:val="-63"/>
        </w:rPr>
        <w:t xml:space="preserve"> </w:t>
      </w:r>
      <w:r>
        <w:rPr>
          <w:rFonts w:ascii="FangSong" w:hAnsi="FangSong" w:eastAsia="FangSong" w:cs="FangSong"/>
          <w:sz w:val="24"/>
          <w:szCs w:val="24"/>
          <w:spacing w:val="-12"/>
        </w:rPr>
        <w:t>毒</w:t>
      </w:r>
      <w:r>
        <w:rPr>
          <w:rFonts w:ascii="FangSong" w:hAnsi="FangSong" w:eastAsia="FangSong" w:cs="FangSong"/>
          <w:sz w:val="24"/>
          <w:szCs w:val="24"/>
          <w:spacing w:val="-64"/>
        </w:rPr>
        <w:t xml:space="preserve"> </w:t>
      </w:r>
      <w:r>
        <w:rPr>
          <w:rFonts w:ascii="FangSong" w:hAnsi="FangSong" w:eastAsia="FangSong" w:cs="FangSong"/>
          <w:sz w:val="24"/>
          <w:szCs w:val="24"/>
          <w:spacing w:val="-12"/>
        </w:rPr>
        <w:t>性</w:t>
      </w:r>
      <w:r>
        <w:rPr>
          <w:rFonts w:ascii="FangSong" w:hAnsi="FangSong" w:eastAsia="FangSong" w:cs="FangSong"/>
          <w:sz w:val="24"/>
          <w:szCs w:val="24"/>
          <w:spacing w:val="-65"/>
        </w:rPr>
        <w:t xml:space="preserve"> </w:t>
      </w:r>
      <w:r>
        <w:rPr>
          <w:rFonts w:ascii="FangSong" w:hAnsi="FangSong" w:eastAsia="FangSong" w:cs="FangSong"/>
          <w:sz w:val="24"/>
          <w:szCs w:val="24"/>
          <w:spacing w:val="-12"/>
        </w:rPr>
        <w:t>鉴</w:t>
      </w:r>
      <w:r>
        <w:rPr>
          <w:rFonts w:ascii="FangSong" w:hAnsi="FangSong" w:eastAsia="FangSong" w:cs="FangSong"/>
          <w:sz w:val="24"/>
          <w:szCs w:val="24"/>
          <w:spacing w:val="-62"/>
        </w:rPr>
        <w:t xml:space="preserve"> </w:t>
      </w:r>
      <w:r>
        <w:rPr>
          <w:rFonts w:ascii="FangSong" w:hAnsi="FangSong" w:eastAsia="FangSong" w:cs="FangSong"/>
          <w:sz w:val="24"/>
          <w:szCs w:val="24"/>
          <w:spacing w:val="-12"/>
        </w:rPr>
        <w:t>别》</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GB5085.3-2007</w:t>
      </w:r>
      <w:r>
        <w:rPr>
          <w:rFonts w:ascii="FangSong" w:hAnsi="FangSong" w:eastAsia="FangSong" w:cs="FangSong"/>
          <w:sz w:val="24"/>
          <w:szCs w:val="24"/>
          <w:spacing w:val="-2"/>
        </w:rPr>
        <w:t>）对本项目废石、尾砂的鉴别，本项目产生的废石、尾矿不属于危</w:t>
      </w:r>
      <w:r>
        <w:rPr>
          <w:rFonts w:ascii="FangSong" w:hAnsi="FangSong" w:eastAsia="FangSong" w:cs="FangSong"/>
          <w:sz w:val="24"/>
          <w:szCs w:val="24"/>
          <w:spacing w:val="1"/>
        </w:rPr>
        <w:t>险固体废物，其标准值见表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2.6-10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，再对废石、尾砂进行浸出实验（</w:t>
      </w:r>
      <w:r>
        <w:rPr>
          <w:rFonts w:ascii="FangSong" w:hAnsi="FangSong" w:eastAsia="FangSong" w:cs="FangSong"/>
          <w:sz w:val="24"/>
          <w:szCs w:val="24"/>
        </w:rPr>
        <w:t>实验方法采取</w:t>
      </w:r>
      <w:r>
        <w:rPr>
          <w:rFonts w:ascii="FangSong" w:hAnsi="FangSong" w:eastAsia="FangSong" w:cs="FangSong"/>
          <w:sz w:val="24"/>
          <w:szCs w:val="24"/>
          <w:spacing w:val="1"/>
        </w:rPr>
        <w:t>《固体废物出毒性浸出方法水平振荡法》（</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557-201</w:t>
      </w:r>
      <w:r>
        <w:rPr>
          <w:rFonts w:ascii="Times New Roman" w:hAnsi="Times New Roman" w:eastAsia="Times New Roman" w:cs="Times New Roman"/>
          <w:sz w:val="24"/>
          <w:szCs w:val="24"/>
        </w:rPr>
        <w:t>0</w:t>
      </w:r>
      <w:r>
        <w:rPr>
          <w:rFonts w:ascii="FangSong" w:hAnsi="FangSong" w:eastAsia="FangSong" w:cs="FangSong"/>
          <w:sz w:val="24"/>
          <w:szCs w:val="24"/>
          <w:spacing w:val="8"/>
        </w:rPr>
        <w:t>）），</w:t>
      </w:r>
      <w:r>
        <w:rPr>
          <w:rFonts w:ascii="FangSong" w:hAnsi="FangSong" w:eastAsia="FangSong" w:cs="FangSong"/>
          <w:sz w:val="24"/>
          <w:szCs w:val="24"/>
        </w:rPr>
        <w:t>浸出试验所测各项指</w:t>
      </w:r>
    </w:p>
    <w:p>
      <w:pPr>
        <w:spacing w:line="359" w:lineRule="auto"/>
        <w:sectPr>
          <w:footerReference w:type="default" r:id="rId81"/>
          <w:pgSz w:w="11911" w:h="16839"/>
          <w:pgMar w:top="400" w:right="1311" w:bottom="1146" w:left="1689" w:header="0" w:footer="984" w:gutter="0"/>
        </w:sectPr>
        <w:rPr>
          <w:rFonts w:ascii="FangSong" w:hAnsi="FangSong" w:eastAsia="FangSong" w:cs="FangSong"/>
          <w:sz w:val="24"/>
          <w:szCs w:val="24"/>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113" w:right="107" w:firstLine="10"/>
        <w:spacing w:before="78" w:line="359" w:lineRule="auto"/>
        <w:jc w:val="both"/>
        <w:rPr>
          <w:rFonts w:ascii="FangSong" w:hAnsi="FangSong" w:eastAsia="FangSong" w:cs="FangSong"/>
          <w:sz w:val="24"/>
          <w:szCs w:val="24"/>
        </w:rPr>
      </w:pPr>
      <w:r>
        <w:rPr>
          <w:rFonts w:ascii="FangSong" w:hAnsi="FangSong" w:eastAsia="FangSong" w:cs="FangSong"/>
          <w:sz w:val="24"/>
          <w:szCs w:val="24"/>
          <w:spacing w:val="-3"/>
        </w:rPr>
        <w:t>标与《污水综合排放标准》（</w:t>
      </w:r>
      <w:r>
        <w:rPr>
          <w:rFonts w:ascii="Times New Roman" w:hAnsi="Times New Roman" w:eastAsia="Times New Roman" w:cs="Times New Roman"/>
          <w:sz w:val="24"/>
          <w:szCs w:val="24"/>
          <w:spacing w:val="-3"/>
        </w:rPr>
        <w:t>GB8978-1996</w:t>
      </w:r>
      <w:r>
        <w:rPr>
          <w:rFonts w:ascii="FangSong" w:hAnsi="FangSong" w:eastAsia="FangSong" w:cs="FangSong"/>
          <w:sz w:val="24"/>
          <w:szCs w:val="24"/>
          <w:spacing w:val="-3"/>
        </w:rPr>
        <w:t>）中一级排放标准规</w:t>
      </w:r>
      <w:r>
        <w:rPr>
          <w:rFonts w:ascii="FangSong" w:hAnsi="FangSong" w:eastAsia="FangSong" w:cs="FangSong"/>
          <w:sz w:val="24"/>
          <w:szCs w:val="24"/>
          <w:spacing w:val="-4"/>
        </w:rPr>
        <w:t>定限值比较，详见表</w:t>
      </w:r>
      <w:r>
        <w:rPr>
          <w:rFonts w:ascii="Times New Roman" w:hAnsi="Times New Roman" w:eastAsia="Times New Roman" w:cs="Times New Roman"/>
          <w:sz w:val="24"/>
          <w:szCs w:val="24"/>
          <w:spacing w:val="-2"/>
        </w:rPr>
        <w:t>2.6-11</w:t>
      </w:r>
      <w:r>
        <w:rPr>
          <w:rFonts w:ascii="FangSong" w:hAnsi="FangSong" w:eastAsia="FangSong" w:cs="FangSong"/>
          <w:sz w:val="24"/>
          <w:szCs w:val="24"/>
          <w:spacing w:val="-2"/>
        </w:rPr>
        <w:t>。根据本项目开发方案和可行性研究报告，结合参考</w:t>
      </w:r>
      <w:r>
        <w:rPr>
          <w:rFonts w:ascii="FangSong" w:hAnsi="FangSong" w:eastAsia="FangSong" w:cs="FangSong"/>
          <w:sz w:val="24"/>
          <w:szCs w:val="24"/>
          <w:spacing w:val="-3"/>
        </w:rPr>
        <w:t>《苏尼特右旗珑辉矿业有</w:t>
      </w:r>
      <w:r>
        <w:rPr>
          <w:rFonts w:ascii="FangSong" w:hAnsi="FangSong" w:eastAsia="FangSong" w:cs="FangSong"/>
          <w:sz w:val="24"/>
          <w:szCs w:val="24"/>
          <w:spacing w:val="1"/>
        </w:rPr>
        <w:t>限责任公司萤石选厂技术改造项目（变更）环境影响报告书》（该项目位于本项目</w:t>
      </w:r>
      <w:r>
        <w:rPr>
          <w:rFonts w:ascii="FangSong" w:hAnsi="FangSong" w:eastAsia="FangSong" w:cs="FangSong"/>
          <w:sz w:val="24"/>
          <w:szCs w:val="24"/>
          <w:spacing w:val="2"/>
        </w:rPr>
        <w:t>采区北侧紧邻）浸出毒性检测结果可知，本项目开采产生的废石、尾矿均属于第</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2"/>
        </w:rPr>
        <w:t>1</w:t>
      </w:r>
      <w:r>
        <w:rPr>
          <w:rFonts w:ascii="FangSong" w:hAnsi="FangSong" w:eastAsia="FangSong" w:cs="FangSong"/>
          <w:sz w:val="24"/>
          <w:szCs w:val="24"/>
          <w:spacing w:val="1"/>
        </w:rPr>
        <w:t>类般工业固体废物。废石、尾砂临时堆存应按照《一般工业固体废物贮存和填埋污</w:t>
      </w:r>
      <w:r>
        <w:rPr>
          <w:rFonts w:ascii="FangSong" w:hAnsi="FangSong" w:eastAsia="FangSong" w:cs="FangSong"/>
          <w:sz w:val="24"/>
          <w:szCs w:val="24"/>
          <w:spacing w:val="-2"/>
        </w:rPr>
        <w:t>染控制标准》（</w:t>
      </w:r>
      <w:r>
        <w:rPr>
          <w:rFonts w:ascii="Times New Roman" w:hAnsi="Times New Roman" w:eastAsia="Times New Roman" w:cs="Times New Roman"/>
          <w:sz w:val="24"/>
          <w:szCs w:val="24"/>
          <w:spacing w:val="-2"/>
        </w:rPr>
        <w:t>GB18599-2020</w:t>
      </w:r>
      <w:r>
        <w:rPr>
          <w:rFonts w:ascii="FangSong" w:hAnsi="FangSong" w:eastAsia="FangSong" w:cs="FangSong"/>
          <w:sz w:val="24"/>
          <w:szCs w:val="24"/>
          <w:spacing w:val="-2"/>
        </w:rPr>
        <w:t>）第</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类固体废物的规定处理</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处置，详见表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2.6-12</w:t>
      </w:r>
      <w:r>
        <w:rPr>
          <w:rFonts w:ascii="FangSong" w:hAnsi="FangSong" w:eastAsia="FangSong" w:cs="FangSong"/>
          <w:sz w:val="24"/>
          <w:szCs w:val="24"/>
          <w:spacing w:val="-2"/>
        </w:rPr>
        <w:t>。</w:t>
      </w:r>
    </w:p>
    <w:p>
      <w:pPr>
        <w:pStyle w:val="BodyText"/>
        <w:spacing w:line="333" w:lineRule="auto"/>
        <w:rPr/>
      </w:pPr>
      <w:r/>
    </w:p>
    <w:p>
      <w:pPr>
        <w:ind w:left="1002"/>
        <w:spacing w:before="78" w:line="220" w:lineRule="auto"/>
        <w:rPr>
          <w:rFonts w:ascii="FangSong" w:hAnsi="FangSong" w:eastAsia="FangSong" w:cs="FangSong"/>
          <w:sz w:val="24"/>
          <w:szCs w:val="24"/>
        </w:rPr>
      </w:pPr>
      <w:r>
        <w:rPr>
          <w:rFonts w:ascii="FangSong" w:hAnsi="FangSong" w:eastAsia="FangSong" w:cs="FangSong"/>
          <w:sz w:val="24"/>
          <w:szCs w:val="24"/>
          <w:b/>
          <w:bCs/>
          <w:spacing w:val="-1"/>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1"/>
        </w:rPr>
        <w:t>2.6-10  </w:t>
      </w:r>
      <w:r>
        <w:rPr>
          <w:rFonts w:ascii="FangSong" w:hAnsi="FangSong" w:eastAsia="FangSong" w:cs="FangSong"/>
          <w:sz w:val="24"/>
          <w:szCs w:val="24"/>
          <w:b/>
          <w:bCs/>
          <w:spacing w:val="-1"/>
        </w:rPr>
        <w:t>《危险废物鉴别标准浸出毒</w:t>
      </w:r>
      <w:r>
        <w:rPr>
          <w:rFonts w:ascii="FangSong" w:hAnsi="FangSong" w:eastAsia="FangSong" w:cs="FangSong"/>
          <w:sz w:val="24"/>
          <w:szCs w:val="24"/>
          <w:b/>
          <w:bCs/>
          <w:spacing w:val="-2"/>
        </w:rPr>
        <w:t>性鉴别》（</w:t>
      </w:r>
      <w:r>
        <w:rPr>
          <w:rFonts w:ascii="Times New Roman" w:hAnsi="Times New Roman" w:eastAsia="Times New Roman" w:cs="Times New Roman"/>
          <w:sz w:val="24"/>
          <w:szCs w:val="24"/>
          <w:b/>
          <w:bCs/>
          <w:spacing w:val="-2"/>
        </w:rPr>
        <w:t>GB5085.3-2007</w:t>
      </w:r>
      <w:r>
        <w:rPr>
          <w:rFonts w:ascii="FangSong" w:hAnsi="FangSong" w:eastAsia="FangSong" w:cs="FangSong"/>
          <w:sz w:val="24"/>
          <w:szCs w:val="24"/>
          <w:b/>
          <w:bCs/>
          <w:spacing w:val="-2"/>
        </w:rPr>
        <w:t>）</w:t>
      </w:r>
    </w:p>
    <w:p>
      <w:pPr>
        <w:spacing w:line="144"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6"/>
        <w:gridCol w:w="2881"/>
        <w:gridCol w:w="1298"/>
        <w:gridCol w:w="3827"/>
      </w:tblGrid>
      <w:tr>
        <w:trPr>
          <w:trHeight w:val="404" w:hRule="atLeast"/>
        </w:trPr>
        <w:tc>
          <w:tcPr>
            <w:tcW w:w="906" w:type="dxa"/>
            <w:vAlign w:val="top"/>
            <w:tcBorders>
              <w:left w:val="nil"/>
              <w:top w:val="single" w:color="000000" w:sz="10" w:space="0"/>
            </w:tcBorders>
          </w:tcPr>
          <w:p>
            <w:pPr>
              <w:pStyle w:val="TableText"/>
              <w:ind w:left="256"/>
              <w:spacing w:before="98" w:line="231" w:lineRule="auto"/>
              <w:rPr/>
            </w:pPr>
            <w:r>
              <w:rPr>
                <w:spacing w:val="2"/>
              </w:rPr>
              <w:t>序号</w:t>
            </w:r>
          </w:p>
        </w:tc>
        <w:tc>
          <w:tcPr>
            <w:tcW w:w="2881" w:type="dxa"/>
            <w:vAlign w:val="top"/>
            <w:tcBorders>
              <w:top w:val="single" w:color="000000" w:sz="10" w:space="0"/>
            </w:tcBorders>
          </w:tcPr>
          <w:p>
            <w:pPr>
              <w:pStyle w:val="TableText"/>
              <w:ind w:left="1242"/>
              <w:spacing w:before="98" w:line="232" w:lineRule="auto"/>
              <w:rPr/>
            </w:pPr>
            <w:r>
              <w:rPr>
                <w:spacing w:val="1"/>
              </w:rPr>
              <w:t>项且</w:t>
            </w:r>
          </w:p>
        </w:tc>
        <w:tc>
          <w:tcPr>
            <w:tcW w:w="1298" w:type="dxa"/>
            <w:vAlign w:val="top"/>
            <w:tcBorders>
              <w:top w:val="single" w:color="000000" w:sz="10" w:space="0"/>
            </w:tcBorders>
          </w:tcPr>
          <w:p>
            <w:pPr>
              <w:pStyle w:val="TableText"/>
              <w:ind w:left="455"/>
              <w:spacing w:before="98" w:line="229" w:lineRule="auto"/>
              <w:rPr/>
            </w:pPr>
            <w:r>
              <w:rPr>
                <w:spacing w:val="-1"/>
              </w:rPr>
              <w:t>单位</w:t>
            </w:r>
          </w:p>
        </w:tc>
        <w:tc>
          <w:tcPr>
            <w:tcW w:w="3827" w:type="dxa"/>
            <w:vAlign w:val="top"/>
            <w:tcBorders>
              <w:right w:val="nil"/>
              <w:top w:val="single" w:color="000000" w:sz="10" w:space="0"/>
            </w:tcBorders>
          </w:tcPr>
          <w:p>
            <w:pPr>
              <w:pStyle w:val="TableText"/>
              <w:ind w:left="665"/>
              <w:spacing w:before="98" w:line="231" w:lineRule="auto"/>
              <w:rPr/>
            </w:pPr>
            <w:r>
              <w:rPr>
                <w:spacing w:val="8"/>
              </w:rPr>
              <w:t>浸出液中危害成分浓度限值</w:t>
            </w:r>
          </w:p>
        </w:tc>
      </w:tr>
      <w:tr>
        <w:trPr>
          <w:trHeight w:val="380" w:hRule="atLeast"/>
        </w:trPr>
        <w:tc>
          <w:tcPr>
            <w:tcW w:w="906" w:type="dxa"/>
            <w:vAlign w:val="top"/>
            <w:tcBorders>
              <w:left w:val="nil"/>
            </w:tcBorders>
          </w:tcPr>
          <w:p>
            <w:pPr>
              <w:ind w:left="42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81" w:type="dxa"/>
            <w:vAlign w:val="top"/>
          </w:tcPr>
          <w:p>
            <w:pPr>
              <w:pStyle w:val="TableText"/>
              <w:ind w:left="717"/>
              <w:spacing w:before="82" w:line="231" w:lineRule="auto"/>
              <w:rPr/>
            </w:pPr>
            <w:r>
              <w:rPr>
                <w:spacing w:val="6"/>
              </w:rPr>
              <w:t>铜（以总铜计）</w:t>
            </w:r>
          </w:p>
        </w:tc>
        <w:tc>
          <w:tcPr>
            <w:tcW w:w="1298" w:type="dxa"/>
            <w:vAlign w:val="top"/>
          </w:tcPr>
          <w:p>
            <w:pPr>
              <w:ind w:left="419"/>
              <w:spacing w:before="11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77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r>
        <w:trPr>
          <w:trHeight w:val="380" w:hRule="atLeast"/>
        </w:trPr>
        <w:tc>
          <w:tcPr>
            <w:tcW w:w="906" w:type="dxa"/>
            <w:vAlign w:val="top"/>
            <w:tcBorders>
              <w:left w:val="nil"/>
            </w:tcBorders>
          </w:tcPr>
          <w:p>
            <w:pPr>
              <w:ind w:left="40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81" w:type="dxa"/>
            <w:vAlign w:val="top"/>
          </w:tcPr>
          <w:p>
            <w:pPr>
              <w:pStyle w:val="TableText"/>
              <w:ind w:left="716"/>
              <w:spacing w:before="84" w:line="231" w:lineRule="auto"/>
              <w:rPr/>
            </w:pPr>
            <w:r>
              <w:rPr>
                <w:spacing w:val="6"/>
              </w:rPr>
              <w:t>锌（以总锌计）</w:t>
            </w:r>
          </w:p>
        </w:tc>
        <w:tc>
          <w:tcPr>
            <w:tcW w:w="1298" w:type="dxa"/>
            <w:vAlign w:val="top"/>
          </w:tcPr>
          <w:p>
            <w:pPr>
              <w:ind w:left="419"/>
              <w:spacing w:before="11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779"/>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r>
        <w:trPr>
          <w:trHeight w:val="384" w:hRule="atLeast"/>
        </w:trPr>
        <w:tc>
          <w:tcPr>
            <w:tcW w:w="906" w:type="dxa"/>
            <w:vAlign w:val="top"/>
            <w:tcBorders>
              <w:left w:val="nil"/>
            </w:tcBorders>
          </w:tcPr>
          <w:p>
            <w:pPr>
              <w:ind w:left="407"/>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81" w:type="dxa"/>
            <w:vAlign w:val="top"/>
          </w:tcPr>
          <w:p>
            <w:pPr>
              <w:pStyle w:val="TableText"/>
              <w:ind w:left="717"/>
              <w:spacing w:before="85" w:line="231" w:lineRule="auto"/>
              <w:rPr/>
            </w:pPr>
            <w:r>
              <w:rPr>
                <w:spacing w:val="6"/>
              </w:rPr>
              <w:t>镉（以总镉计）</w:t>
            </w:r>
          </w:p>
        </w:tc>
        <w:tc>
          <w:tcPr>
            <w:tcW w:w="1298" w:type="dxa"/>
            <w:vAlign w:val="top"/>
          </w:tcPr>
          <w:p>
            <w:pPr>
              <w:ind w:left="419"/>
              <w:spacing w:before="11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8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80" w:hRule="atLeast"/>
        </w:trPr>
        <w:tc>
          <w:tcPr>
            <w:tcW w:w="906" w:type="dxa"/>
            <w:vAlign w:val="top"/>
            <w:tcBorders>
              <w:left w:val="nil"/>
            </w:tcBorders>
          </w:tcPr>
          <w:p>
            <w:pPr>
              <w:ind w:left="402"/>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881" w:type="dxa"/>
            <w:vAlign w:val="top"/>
          </w:tcPr>
          <w:p>
            <w:pPr>
              <w:pStyle w:val="TableText"/>
              <w:ind w:left="715"/>
              <w:spacing w:before="83" w:line="231" w:lineRule="auto"/>
              <w:rPr/>
            </w:pPr>
            <w:r>
              <w:rPr>
                <w:spacing w:val="6"/>
              </w:rPr>
              <w:t>铅（以总铅计）</w:t>
            </w:r>
          </w:p>
        </w:tc>
        <w:tc>
          <w:tcPr>
            <w:tcW w:w="1298" w:type="dxa"/>
            <w:vAlign w:val="top"/>
          </w:tcPr>
          <w:p>
            <w:pPr>
              <w:ind w:left="419"/>
              <w:spacing w:before="11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68"/>
              <w:spacing w:before="12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384" w:hRule="atLeast"/>
        </w:trPr>
        <w:tc>
          <w:tcPr>
            <w:tcW w:w="906" w:type="dxa"/>
            <w:vAlign w:val="top"/>
            <w:tcBorders>
              <w:left w:val="nil"/>
            </w:tcBorders>
          </w:tcPr>
          <w:p>
            <w:pPr>
              <w:ind w:left="409"/>
              <w:spacing w:before="12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81" w:type="dxa"/>
            <w:vAlign w:val="top"/>
          </w:tcPr>
          <w:p>
            <w:pPr>
              <w:pStyle w:val="TableText"/>
              <w:ind w:left="1250"/>
              <w:spacing w:before="87" w:line="230" w:lineRule="auto"/>
              <w:rPr/>
            </w:pPr>
            <w:r>
              <w:rPr>
                <w:spacing w:val="-3"/>
              </w:rPr>
              <w:t>总铬</w:t>
            </w:r>
          </w:p>
        </w:tc>
        <w:tc>
          <w:tcPr>
            <w:tcW w:w="1298" w:type="dxa"/>
            <w:vAlign w:val="top"/>
          </w:tcPr>
          <w:p>
            <w:pPr>
              <w:ind w:left="419"/>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30"/>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r>
      <w:tr>
        <w:trPr>
          <w:trHeight w:val="380" w:hRule="atLeast"/>
        </w:trPr>
        <w:tc>
          <w:tcPr>
            <w:tcW w:w="906" w:type="dxa"/>
            <w:vAlign w:val="top"/>
            <w:tcBorders>
              <w:left w:val="nil"/>
            </w:tcBorders>
          </w:tcPr>
          <w:p>
            <w:pPr>
              <w:ind w:left="40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81" w:type="dxa"/>
            <w:vAlign w:val="top"/>
          </w:tcPr>
          <w:p>
            <w:pPr>
              <w:pStyle w:val="TableText"/>
              <w:ind w:left="928"/>
              <w:spacing w:before="84" w:line="230" w:lineRule="auto"/>
              <w:rPr/>
            </w:pPr>
            <w:r>
              <w:rPr>
                <w:spacing w:val="4"/>
              </w:rPr>
              <w:t>铬（六价）</w:t>
            </w:r>
          </w:p>
        </w:tc>
        <w:tc>
          <w:tcPr>
            <w:tcW w:w="1298" w:type="dxa"/>
            <w:vAlign w:val="top"/>
          </w:tcPr>
          <w:p>
            <w:pPr>
              <w:ind w:left="419"/>
              <w:spacing w:before="11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68"/>
              <w:spacing w:before="12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380" w:hRule="atLeast"/>
        </w:trPr>
        <w:tc>
          <w:tcPr>
            <w:tcW w:w="906" w:type="dxa"/>
            <w:vAlign w:val="top"/>
            <w:tcBorders>
              <w:left w:val="nil"/>
            </w:tcBorders>
          </w:tcPr>
          <w:p>
            <w:pPr>
              <w:ind w:left="406"/>
              <w:spacing w:before="12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81" w:type="dxa"/>
            <w:vAlign w:val="top"/>
          </w:tcPr>
          <w:p>
            <w:pPr>
              <w:pStyle w:val="TableText"/>
              <w:ind w:left="1138"/>
              <w:spacing w:before="86" w:line="232" w:lineRule="auto"/>
              <w:rPr/>
            </w:pPr>
            <w:r>
              <w:rPr>
                <w:spacing w:val="4"/>
              </w:rPr>
              <w:t>烷基汞</w:t>
            </w:r>
          </w:p>
        </w:tc>
        <w:tc>
          <w:tcPr>
            <w:tcW w:w="1298" w:type="dxa"/>
            <w:vAlign w:val="top"/>
          </w:tcPr>
          <w:p>
            <w:pPr>
              <w:ind w:left="419"/>
              <w:spacing w:before="11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pStyle w:val="TableText"/>
              <w:ind w:left="1510"/>
              <w:spacing w:before="85" w:line="229" w:lineRule="auto"/>
              <w:rPr/>
            </w:pPr>
            <w:r>
              <w:rPr>
                <w:spacing w:val="4"/>
              </w:rPr>
              <w:t>不得检出</w:t>
            </w:r>
          </w:p>
        </w:tc>
      </w:tr>
      <w:tr>
        <w:trPr>
          <w:trHeight w:val="384" w:hRule="atLeast"/>
        </w:trPr>
        <w:tc>
          <w:tcPr>
            <w:tcW w:w="906" w:type="dxa"/>
            <w:vAlign w:val="top"/>
            <w:tcBorders>
              <w:left w:val="nil"/>
            </w:tcBorders>
          </w:tcPr>
          <w:p>
            <w:pPr>
              <w:ind w:left="411"/>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81" w:type="dxa"/>
            <w:vAlign w:val="top"/>
          </w:tcPr>
          <w:p>
            <w:pPr>
              <w:pStyle w:val="TableText"/>
              <w:ind w:left="717"/>
              <w:spacing w:before="87" w:line="231" w:lineRule="auto"/>
              <w:rPr/>
            </w:pPr>
            <w:r>
              <w:rPr>
                <w:spacing w:val="6"/>
              </w:rPr>
              <w:t>汞（以总汞计）</w:t>
            </w:r>
          </w:p>
        </w:tc>
        <w:tc>
          <w:tcPr>
            <w:tcW w:w="1298" w:type="dxa"/>
            <w:vAlign w:val="top"/>
          </w:tcPr>
          <w:p>
            <w:pPr>
              <w:ind w:left="419"/>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787"/>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r>
      <w:tr>
        <w:trPr>
          <w:trHeight w:val="380" w:hRule="atLeast"/>
        </w:trPr>
        <w:tc>
          <w:tcPr>
            <w:tcW w:w="906" w:type="dxa"/>
            <w:vAlign w:val="top"/>
            <w:tcBorders>
              <w:left w:val="nil"/>
            </w:tcBorders>
          </w:tcPr>
          <w:p>
            <w:pPr>
              <w:ind w:left="407"/>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81" w:type="dxa"/>
            <w:vAlign w:val="top"/>
          </w:tcPr>
          <w:p>
            <w:pPr>
              <w:pStyle w:val="TableText"/>
              <w:ind w:left="717"/>
              <w:spacing w:before="86" w:line="231" w:lineRule="auto"/>
              <w:rPr/>
            </w:pPr>
            <w:r>
              <w:rPr>
                <w:spacing w:val="6"/>
              </w:rPr>
              <w:t>铍（以总铍计）</w:t>
            </w:r>
          </w:p>
        </w:tc>
        <w:tc>
          <w:tcPr>
            <w:tcW w:w="1298" w:type="dxa"/>
            <w:vAlign w:val="top"/>
          </w:tcPr>
          <w:p>
            <w:pPr>
              <w:ind w:left="419"/>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734"/>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r>
      <w:tr>
        <w:trPr>
          <w:trHeight w:val="380" w:hRule="atLeast"/>
        </w:trPr>
        <w:tc>
          <w:tcPr>
            <w:tcW w:w="906" w:type="dxa"/>
            <w:vAlign w:val="top"/>
            <w:tcBorders>
              <w:left w:val="nil"/>
            </w:tcBorders>
          </w:tcPr>
          <w:p>
            <w:pPr>
              <w:ind w:left="37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881" w:type="dxa"/>
            <w:vAlign w:val="top"/>
          </w:tcPr>
          <w:p>
            <w:pPr>
              <w:pStyle w:val="TableText"/>
              <w:ind w:left="717"/>
              <w:spacing w:before="85" w:line="231" w:lineRule="auto"/>
              <w:rPr/>
            </w:pPr>
            <w:r>
              <w:rPr>
                <w:spacing w:val="6"/>
              </w:rPr>
              <w:t>钡（以总钡计）</w:t>
            </w:r>
          </w:p>
        </w:tc>
        <w:tc>
          <w:tcPr>
            <w:tcW w:w="1298" w:type="dxa"/>
            <w:vAlign w:val="top"/>
          </w:tcPr>
          <w:p>
            <w:pPr>
              <w:ind w:left="419"/>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779"/>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r>
        <w:trPr>
          <w:trHeight w:val="384" w:hRule="atLeast"/>
        </w:trPr>
        <w:tc>
          <w:tcPr>
            <w:tcW w:w="906" w:type="dxa"/>
            <w:vAlign w:val="top"/>
            <w:tcBorders>
              <w:left w:val="nil"/>
            </w:tcBorders>
          </w:tcPr>
          <w:p>
            <w:pPr>
              <w:ind w:left="37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881" w:type="dxa"/>
            <w:vAlign w:val="top"/>
          </w:tcPr>
          <w:p>
            <w:pPr>
              <w:pStyle w:val="TableText"/>
              <w:ind w:left="717"/>
              <w:spacing w:before="87" w:line="231" w:lineRule="auto"/>
              <w:rPr/>
            </w:pPr>
            <w:r>
              <w:rPr>
                <w:spacing w:val="6"/>
              </w:rPr>
              <w:t>镍（以总镍计）</w:t>
            </w:r>
          </w:p>
        </w:tc>
        <w:tc>
          <w:tcPr>
            <w:tcW w:w="1298" w:type="dxa"/>
            <w:vAlign w:val="top"/>
          </w:tcPr>
          <w:p>
            <w:pPr>
              <w:ind w:left="419"/>
              <w:spacing w:before="12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68"/>
              <w:spacing w:before="12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380" w:hRule="atLeast"/>
        </w:trPr>
        <w:tc>
          <w:tcPr>
            <w:tcW w:w="906" w:type="dxa"/>
            <w:vAlign w:val="top"/>
            <w:tcBorders>
              <w:left w:val="nil"/>
            </w:tcBorders>
          </w:tcPr>
          <w:p>
            <w:pPr>
              <w:ind w:left="37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881" w:type="dxa"/>
            <w:vAlign w:val="top"/>
          </w:tcPr>
          <w:p>
            <w:pPr>
              <w:pStyle w:val="TableText"/>
              <w:ind w:left="1250"/>
              <w:spacing w:before="87" w:line="233" w:lineRule="auto"/>
              <w:rPr/>
            </w:pPr>
            <w:r>
              <w:rPr>
                <w:spacing w:val="-3"/>
              </w:rPr>
              <w:t>总银</w:t>
            </w:r>
          </w:p>
        </w:tc>
        <w:tc>
          <w:tcPr>
            <w:tcW w:w="1298" w:type="dxa"/>
            <w:vAlign w:val="top"/>
          </w:tcPr>
          <w:p>
            <w:pPr>
              <w:ind w:left="419"/>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68"/>
              <w:spacing w:before="12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380" w:hRule="atLeast"/>
        </w:trPr>
        <w:tc>
          <w:tcPr>
            <w:tcW w:w="906" w:type="dxa"/>
            <w:vAlign w:val="top"/>
            <w:tcBorders>
              <w:left w:val="nil"/>
            </w:tcBorders>
          </w:tcPr>
          <w:p>
            <w:pPr>
              <w:ind w:left="37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881" w:type="dxa"/>
            <w:vAlign w:val="top"/>
          </w:tcPr>
          <w:p>
            <w:pPr>
              <w:pStyle w:val="TableText"/>
              <w:ind w:left="716"/>
              <w:spacing w:before="85" w:line="229" w:lineRule="auto"/>
              <w:rPr/>
            </w:pPr>
            <w:r>
              <w:rPr>
                <w:spacing w:val="6"/>
              </w:rPr>
              <w:t>砷（以总砷计）</w:t>
            </w:r>
          </w:p>
        </w:tc>
        <w:tc>
          <w:tcPr>
            <w:tcW w:w="1298" w:type="dxa"/>
            <w:vAlign w:val="top"/>
          </w:tcPr>
          <w:p>
            <w:pPr>
              <w:ind w:left="419"/>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68"/>
              <w:spacing w:before="12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380" w:hRule="atLeast"/>
        </w:trPr>
        <w:tc>
          <w:tcPr>
            <w:tcW w:w="906" w:type="dxa"/>
            <w:vAlign w:val="top"/>
            <w:tcBorders>
              <w:left w:val="nil"/>
            </w:tcBorders>
          </w:tcPr>
          <w:p>
            <w:pPr>
              <w:ind w:left="37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881" w:type="dxa"/>
            <w:vAlign w:val="top"/>
          </w:tcPr>
          <w:p>
            <w:pPr>
              <w:pStyle w:val="TableText"/>
              <w:ind w:left="715"/>
              <w:spacing w:before="87" w:line="231" w:lineRule="auto"/>
              <w:rPr/>
            </w:pPr>
            <w:r>
              <w:rPr>
                <w:spacing w:val="6"/>
              </w:rPr>
              <w:t>硒（以总硒计）</w:t>
            </w:r>
          </w:p>
        </w:tc>
        <w:tc>
          <w:tcPr>
            <w:tcW w:w="1298" w:type="dxa"/>
            <w:vAlign w:val="top"/>
          </w:tcPr>
          <w:p>
            <w:pPr>
              <w:ind w:left="419"/>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8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80" w:hRule="atLeast"/>
        </w:trPr>
        <w:tc>
          <w:tcPr>
            <w:tcW w:w="906" w:type="dxa"/>
            <w:vAlign w:val="top"/>
            <w:tcBorders>
              <w:left w:val="nil"/>
            </w:tcBorders>
          </w:tcPr>
          <w:p>
            <w:pPr>
              <w:ind w:left="37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881" w:type="dxa"/>
            <w:vAlign w:val="top"/>
          </w:tcPr>
          <w:p>
            <w:pPr>
              <w:pStyle w:val="TableText"/>
              <w:ind w:left="121"/>
              <w:spacing w:before="87" w:line="229" w:lineRule="auto"/>
              <w:rPr/>
            </w:pPr>
            <w:r>
              <w:rPr>
                <w:spacing w:val="7"/>
              </w:rPr>
              <w:t>无机氟化物（不包括氟化钙）</w:t>
            </w:r>
          </w:p>
        </w:tc>
        <w:tc>
          <w:tcPr>
            <w:tcW w:w="1298" w:type="dxa"/>
            <w:vAlign w:val="top"/>
          </w:tcPr>
          <w:p>
            <w:pPr>
              <w:ind w:left="419"/>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77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r>
        <w:trPr>
          <w:trHeight w:val="384" w:hRule="atLeast"/>
        </w:trPr>
        <w:tc>
          <w:tcPr>
            <w:tcW w:w="906" w:type="dxa"/>
            <w:vAlign w:val="top"/>
            <w:tcBorders>
              <w:left w:val="nil"/>
            </w:tcBorders>
          </w:tcPr>
          <w:p>
            <w:pPr>
              <w:ind w:left="37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881" w:type="dxa"/>
            <w:vAlign w:val="top"/>
          </w:tcPr>
          <w:p>
            <w:pPr>
              <w:pStyle w:val="TableText"/>
              <w:ind w:left="519"/>
              <w:spacing w:before="88" w:line="229" w:lineRule="auto"/>
              <w:rPr/>
            </w:pPr>
            <w:r>
              <w:rPr>
                <w:spacing w:val="5"/>
              </w:rPr>
              <w:t>氰化物（以</w:t>
            </w:r>
            <w:r>
              <w:rPr>
                <w:spacing w:val="-37"/>
              </w:rPr>
              <w:t xml:space="preserve"> </w:t>
            </w:r>
            <w:r>
              <w:rPr>
                <w:rFonts w:ascii="Times New Roman" w:hAnsi="Times New Roman" w:eastAsia="Times New Roman" w:cs="Times New Roman"/>
              </w:rPr>
              <w:t>CN</w:t>
            </w:r>
            <w:r>
              <w:rPr>
                <w:rFonts w:ascii="Times New Roman" w:hAnsi="Times New Roman" w:eastAsia="Times New Roman" w:cs="Times New Roman"/>
                <w:spacing w:val="5"/>
              </w:rPr>
              <w:t>-</w:t>
            </w:r>
            <w:r>
              <w:rPr>
                <w:spacing w:val="5"/>
              </w:rPr>
              <w:t>计）</w:t>
            </w:r>
          </w:p>
        </w:tc>
        <w:tc>
          <w:tcPr>
            <w:tcW w:w="1298" w:type="dxa"/>
            <w:vAlign w:val="top"/>
          </w:tcPr>
          <w:p>
            <w:pPr>
              <w:ind w:left="419"/>
              <w:spacing w:before="12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3827" w:type="dxa"/>
            <w:vAlign w:val="top"/>
            <w:tcBorders>
              <w:right w:val="nil"/>
            </w:tcBorders>
          </w:tcPr>
          <w:p>
            <w:pPr>
              <w:ind w:left="1868"/>
              <w:spacing w:before="12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bl>
    <w:p>
      <w:pPr>
        <w:ind w:left="2019"/>
        <w:spacing w:before="87" w:line="221" w:lineRule="auto"/>
        <w:rPr>
          <w:rFonts w:ascii="FangSong" w:hAnsi="FangSong" w:eastAsia="FangSong" w:cs="FangSong"/>
          <w:sz w:val="20"/>
          <w:szCs w:val="20"/>
        </w:rPr>
      </w:pPr>
      <w:r>
        <w:rPr>
          <w:rFonts w:ascii="FangSong" w:hAnsi="FangSong" w:eastAsia="FangSong" w:cs="FangSong"/>
          <w:sz w:val="20"/>
          <w:szCs w:val="20"/>
          <w:spacing w:val="9"/>
        </w:rPr>
        <w:t>注：</w:t>
      </w:r>
      <w:r>
        <w:rPr>
          <w:rFonts w:ascii="Times New Roman" w:hAnsi="Times New Roman" w:eastAsia="Times New Roman" w:cs="Times New Roman"/>
          <w:sz w:val="20"/>
          <w:szCs w:val="20"/>
          <w:spacing w:val="9"/>
        </w:rPr>
        <w:t>1</w:t>
      </w:r>
      <w:r>
        <w:rPr>
          <w:rFonts w:ascii="FangSong" w:hAnsi="FangSong" w:eastAsia="FangSong" w:cs="FangSong"/>
          <w:sz w:val="20"/>
          <w:szCs w:val="20"/>
          <w:spacing w:val="9"/>
        </w:rPr>
        <w:t>“不得检出指甲基汞</w:t>
      </w:r>
      <w:r>
        <w:rPr>
          <w:rFonts w:ascii="Times New Roman" w:hAnsi="Times New Roman" w:eastAsia="Times New Roman" w:cs="Times New Roman"/>
          <w:sz w:val="20"/>
          <w:szCs w:val="20"/>
          <w:spacing w:val="9"/>
        </w:rPr>
        <w:t>&lt;10</w:t>
      </w:r>
      <w:r>
        <w:rPr>
          <w:rFonts w:ascii="Times New Roman" w:hAnsi="Times New Roman" w:eastAsia="Times New Roman" w:cs="Times New Roman"/>
          <w:sz w:val="20"/>
          <w:szCs w:val="20"/>
        </w:rPr>
        <w:t>ng</w:t>
      </w:r>
      <w:r>
        <w:rPr>
          <w:rFonts w:ascii="Times New Roman" w:hAnsi="Times New Roman" w:eastAsia="Times New Roman" w:cs="Times New Roman"/>
          <w:sz w:val="20"/>
          <w:szCs w:val="20"/>
          <w:spacing w:val="9"/>
        </w:rPr>
        <w:t>/L</w:t>
      </w:r>
      <w:r>
        <w:rPr>
          <w:rFonts w:ascii="Times New Roman" w:hAnsi="Times New Roman" w:eastAsia="Times New Roman" w:cs="Times New Roman"/>
          <w:sz w:val="20"/>
          <w:szCs w:val="20"/>
          <w:spacing w:val="-12"/>
        </w:rPr>
        <w:t xml:space="preserve"> </w:t>
      </w:r>
      <w:r>
        <w:rPr>
          <w:rFonts w:ascii="FangSong" w:hAnsi="FangSong" w:eastAsia="FangSong" w:cs="FangSong"/>
          <w:sz w:val="20"/>
          <w:szCs w:val="20"/>
          <w:spacing w:val="9"/>
        </w:rPr>
        <w:t>、乙基汞</w:t>
      </w:r>
      <w:r>
        <w:rPr>
          <w:rFonts w:ascii="Times New Roman" w:hAnsi="Times New Roman" w:eastAsia="Times New Roman" w:cs="Times New Roman"/>
          <w:sz w:val="20"/>
          <w:szCs w:val="20"/>
          <w:spacing w:val="9"/>
        </w:rPr>
        <w:t>&lt;20</w:t>
      </w:r>
      <w:r>
        <w:rPr>
          <w:rFonts w:ascii="Times New Roman" w:hAnsi="Times New Roman" w:eastAsia="Times New Roman" w:cs="Times New Roman"/>
          <w:sz w:val="20"/>
          <w:szCs w:val="20"/>
        </w:rPr>
        <w:t>ng</w:t>
      </w:r>
      <w:r>
        <w:rPr>
          <w:rFonts w:ascii="Times New Roman" w:hAnsi="Times New Roman" w:eastAsia="Times New Roman" w:cs="Times New Roman"/>
          <w:sz w:val="20"/>
          <w:szCs w:val="20"/>
          <w:spacing w:val="9"/>
        </w:rPr>
        <w:t>/L</w:t>
      </w:r>
      <w:r>
        <w:rPr>
          <w:rFonts w:ascii="Times New Roman" w:hAnsi="Times New Roman" w:eastAsia="Times New Roman" w:cs="Times New Roman"/>
          <w:sz w:val="20"/>
          <w:szCs w:val="20"/>
          <w:spacing w:val="-20"/>
        </w:rPr>
        <w:t xml:space="preserve"> </w:t>
      </w:r>
      <w:r>
        <w:rPr>
          <w:rFonts w:ascii="FangSong" w:hAnsi="FangSong" w:eastAsia="FangSong" w:cs="FangSong"/>
          <w:sz w:val="20"/>
          <w:szCs w:val="20"/>
          <w:spacing w:val="9"/>
        </w:rPr>
        <w:t>”</w:t>
      </w:r>
    </w:p>
    <w:p>
      <w:pPr>
        <w:spacing w:before="58" w:line="29" w:lineRule="exact"/>
        <w:rPr/>
      </w:pPr>
      <w:r>
        <w:rPr/>
        <w:pict>
          <v:shape id="_x0000_s20" style="mso-position-vertical-relative:line;mso-position-horizontal-relative:char;width:445.65pt;height:1.45pt;" filled="false" strokecolor="#000000" strokeweight="1.44pt" coordsize="8912,29" coordorigin="0,0" path="m0,14l8912,14e">
            <v:stroke joinstyle="bevel" miterlimit="2"/>
          </v:shape>
        </w:pict>
      </w:r>
    </w:p>
    <w:p>
      <w:pPr>
        <w:pStyle w:val="BodyText"/>
        <w:spacing w:line="370" w:lineRule="auto"/>
        <w:rPr/>
      </w:pPr>
      <w:r/>
    </w:p>
    <w:p>
      <w:pPr>
        <w:ind w:left="1038"/>
        <w:spacing w:before="78"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b/>
          <w:bCs/>
          <w:spacing w:val="-2"/>
        </w:rPr>
        <w:t>2.6-11</w:t>
      </w:r>
      <w:r>
        <w:rPr>
          <w:rFonts w:ascii="Times New Roman" w:hAnsi="Times New Roman" w:eastAsia="Times New Roman" w:cs="Times New Roman"/>
          <w:sz w:val="24"/>
          <w:szCs w:val="24"/>
          <w:b/>
          <w:bCs/>
          <w:spacing w:val="57"/>
          <w:w w:val="101"/>
        </w:rPr>
        <w:t xml:space="preserve"> </w:t>
      </w:r>
      <w:r>
        <w:rPr>
          <w:rFonts w:ascii="FangSong" w:hAnsi="FangSong" w:eastAsia="FangSong" w:cs="FangSong"/>
          <w:sz w:val="24"/>
          <w:szCs w:val="24"/>
          <w:b/>
          <w:bCs/>
          <w:spacing w:val="-2"/>
        </w:rPr>
        <w:t>《污水综合排放标准》（</w:t>
      </w:r>
      <w:r>
        <w:rPr>
          <w:rFonts w:ascii="Times New Roman" w:hAnsi="Times New Roman" w:eastAsia="Times New Roman" w:cs="Times New Roman"/>
          <w:sz w:val="24"/>
          <w:szCs w:val="24"/>
          <w:b/>
          <w:bCs/>
          <w:spacing w:val="-2"/>
        </w:rPr>
        <w:t>GB8978-1996</w:t>
      </w:r>
      <w:r>
        <w:rPr>
          <w:rFonts w:ascii="FangSong" w:hAnsi="FangSong" w:eastAsia="FangSong" w:cs="FangSong"/>
          <w:sz w:val="24"/>
          <w:szCs w:val="24"/>
          <w:b/>
          <w:bCs/>
          <w:spacing w:val="-2"/>
        </w:rPr>
        <w:t>）</w:t>
      </w:r>
      <w:r>
        <w:rPr>
          <w:rFonts w:ascii="FangSong" w:hAnsi="FangSong" w:eastAsia="FangSong" w:cs="FangSong"/>
          <w:sz w:val="24"/>
          <w:szCs w:val="24"/>
          <w:spacing w:val="-2"/>
        </w:rPr>
        <w:t xml:space="preserve"> </w:t>
      </w:r>
      <w:r>
        <w:rPr>
          <w:rFonts w:ascii="FangSong" w:hAnsi="FangSong" w:eastAsia="FangSong" w:cs="FangSong"/>
          <w:sz w:val="24"/>
          <w:szCs w:val="24"/>
          <w:b/>
          <w:bCs/>
          <w:spacing w:val="-2"/>
        </w:rPr>
        <w:t>一级排放标准</w:t>
      </w:r>
    </w:p>
    <w:p>
      <w:pPr>
        <w:spacing w:line="143"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6"/>
        <w:gridCol w:w="1423"/>
        <w:gridCol w:w="1223"/>
        <w:gridCol w:w="5360"/>
      </w:tblGrid>
      <w:tr>
        <w:trPr>
          <w:trHeight w:val="409" w:hRule="atLeast"/>
        </w:trPr>
        <w:tc>
          <w:tcPr>
            <w:tcW w:w="906" w:type="dxa"/>
            <w:vAlign w:val="top"/>
            <w:tcBorders>
              <w:left w:val="nil"/>
              <w:top w:val="single" w:color="000000" w:sz="10" w:space="0"/>
            </w:tcBorders>
          </w:tcPr>
          <w:p>
            <w:pPr>
              <w:pStyle w:val="TableText"/>
              <w:ind w:left="256"/>
              <w:spacing w:before="100" w:line="231" w:lineRule="auto"/>
              <w:rPr/>
            </w:pPr>
            <w:r>
              <w:rPr>
                <w:spacing w:val="2"/>
              </w:rPr>
              <w:t>序号</w:t>
            </w:r>
          </w:p>
        </w:tc>
        <w:tc>
          <w:tcPr>
            <w:tcW w:w="1423" w:type="dxa"/>
            <w:vAlign w:val="top"/>
            <w:tcBorders>
              <w:top w:val="single" w:color="000000" w:sz="10" w:space="0"/>
            </w:tcBorders>
          </w:tcPr>
          <w:p>
            <w:pPr>
              <w:pStyle w:val="TableText"/>
              <w:ind w:left="513"/>
              <w:spacing w:before="100" w:line="232" w:lineRule="auto"/>
              <w:rPr/>
            </w:pPr>
            <w:r>
              <w:rPr>
                <w:spacing w:val="1"/>
              </w:rPr>
              <w:t>项且</w:t>
            </w:r>
          </w:p>
        </w:tc>
        <w:tc>
          <w:tcPr>
            <w:tcW w:w="1223" w:type="dxa"/>
            <w:vAlign w:val="top"/>
            <w:tcBorders>
              <w:top w:val="single" w:color="000000" w:sz="10" w:space="0"/>
            </w:tcBorders>
          </w:tcPr>
          <w:p>
            <w:pPr>
              <w:pStyle w:val="TableText"/>
              <w:ind w:left="415"/>
              <w:spacing w:before="100" w:line="229" w:lineRule="auto"/>
              <w:rPr/>
            </w:pPr>
            <w:r>
              <w:rPr>
                <w:spacing w:val="-1"/>
              </w:rPr>
              <w:t>单位</w:t>
            </w:r>
          </w:p>
        </w:tc>
        <w:tc>
          <w:tcPr>
            <w:tcW w:w="5360" w:type="dxa"/>
            <w:vAlign w:val="top"/>
            <w:tcBorders>
              <w:right w:val="nil"/>
              <w:top w:val="single" w:color="000000" w:sz="10" w:space="0"/>
            </w:tcBorders>
          </w:tcPr>
          <w:p>
            <w:pPr>
              <w:pStyle w:val="TableText"/>
              <w:ind w:left="198"/>
              <w:spacing w:before="100" w:line="231" w:lineRule="auto"/>
              <w:rPr/>
            </w:pPr>
            <w:r>
              <w:rPr>
                <w:spacing w:val="8"/>
              </w:rPr>
              <w:t>《污水综合排放标准》（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）一级排放标准</w:t>
            </w:r>
          </w:p>
        </w:tc>
      </w:tr>
      <w:tr>
        <w:trPr>
          <w:trHeight w:val="430" w:hRule="atLeast"/>
        </w:trPr>
        <w:tc>
          <w:tcPr>
            <w:tcW w:w="906" w:type="dxa"/>
            <w:vAlign w:val="top"/>
            <w:tcBorders>
              <w:left w:val="nil"/>
            </w:tcBorders>
          </w:tcPr>
          <w:p>
            <w:pPr>
              <w:ind w:left="423"/>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3" w:type="dxa"/>
            <w:vAlign w:val="top"/>
          </w:tcPr>
          <w:p>
            <w:pPr>
              <w:ind w:left="579"/>
              <w:spacing w:before="15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1223" w:type="dxa"/>
            <w:vAlign w:val="top"/>
          </w:tcPr>
          <w:p>
            <w:pPr>
              <w:pStyle w:val="TableText"/>
              <w:ind w:left="308"/>
              <w:spacing w:before="113" w:line="233" w:lineRule="auto"/>
              <w:rPr/>
            </w:pPr>
            <w:r>
              <w:rPr>
                <w:spacing w:val="4"/>
              </w:rPr>
              <w:t>无量纲</w:t>
            </w:r>
          </w:p>
        </w:tc>
        <w:tc>
          <w:tcPr>
            <w:tcW w:w="5360" w:type="dxa"/>
            <w:vAlign w:val="top"/>
            <w:tcBorders>
              <w:right w:val="nil"/>
            </w:tcBorders>
          </w:tcPr>
          <w:p>
            <w:pPr>
              <w:ind w:left="2582"/>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trPr>
          <w:trHeight w:val="405" w:hRule="atLeast"/>
        </w:trPr>
        <w:tc>
          <w:tcPr>
            <w:tcW w:w="906" w:type="dxa"/>
            <w:vAlign w:val="top"/>
            <w:tcBorders>
              <w:left w:val="nil"/>
            </w:tcBorders>
          </w:tcPr>
          <w:p>
            <w:pPr>
              <w:ind w:left="403"/>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23" w:type="dxa"/>
            <w:vAlign w:val="top"/>
          </w:tcPr>
          <w:p>
            <w:pPr>
              <w:pStyle w:val="TableText"/>
              <w:ind w:left="416"/>
              <w:spacing w:before="108" w:line="229" w:lineRule="auto"/>
              <w:rPr/>
            </w:pPr>
            <w:r>
              <w:rPr>
                <w:spacing w:val="1"/>
              </w:rPr>
              <w:t>氰化物</w:t>
            </w:r>
          </w:p>
        </w:tc>
        <w:tc>
          <w:tcPr>
            <w:tcW w:w="1223" w:type="dxa"/>
            <w:vAlign w:val="top"/>
          </w:tcPr>
          <w:p>
            <w:pPr>
              <w:ind w:left="382"/>
              <w:spacing w:before="1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0" w:type="dxa"/>
            <w:vAlign w:val="top"/>
            <w:tcBorders>
              <w:right w:val="nil"/>
            </w:tcBorders>
          </w:tcPr>
          <w:p>
            <w:pPr>
              <w:ind w:left="2554"/>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430" w:hRule="atLeast"/>
        </w:trPr>
        <w:tc>
          <w:tcPr>
            <w:tcW w:w="906" w:type="dxa"/>
            <w:vAlign w:val="top"/>
            <w:tcBorders>
              <w:left w:val="nil"/>
            </w:tcBorders>
          </w:tcPr>
          <w:p>
            <w:pPr>
              <w:ind w:left="407"/>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3" w:type="dxa"/>
            <w:vAlign w:val="top"/>
          </w:tcPr>
          <w:p>
            <w:pPr>
              <w:pStyle w:val="TableText"/>
              <w:ind w:left="200"/>
              <w:spacing w:before="125" w:line="229" w:lineRule="auto"/>
              <w:rPr/>
            </w:pPr>
            <w:r>
              <w:rPr>
                <w:spacing w:val="6"/>
              </w:rPr>
              <w:t>无机氟化物</w:t>
            </w:r>
          </w:p>
        </w:tc>
        <w:tc>
          <w:tcPr>
            <w:tcW w:w="1223" w:type="dxa"/>
            <w:vAlign w:val="top"/>
          </w:tcPr>
          <w:p>
            <w:pPr>
              <w:ind w:left="382"/>
              <w:spacing w:before="15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0" w:type="dxa"/>
            <w:vAlign w:val="top"/>
            <w:tcBorders>
              <w:right w:val="nil"/>
            </w:tcBorders>
          </w:tcPr>
          <w:p>
            <w:pPr>
              <w:ind w:left="2597"/>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r>
      <w:tr>
        <w:trPr>
          <w:trHeight w:val="427" w:hRule="atLeast"/>
        </w:trPr>
        <w:tc>
          <w:tcPr>
            <w:tcW w:w="906" w:type="dxa"/>
            <w:vAlign w:val="top"/>
            <w:tcBorders>
              <w:left w:val="nil"/>
              <w:bottom w:val="single" w:color="000000" w:sz="10" w:space="0"/>
            </w:tcBorders>
          </w:tcPr>
          <w:p>
            <w:pPr>
              <w:ind w:left="40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423" w:type="dxa"/>
            <w:vAlign w:val="top"/>
            <w:tcBorders>
              <w:bottom w:val="single" w:color="000000" w:sz="10" w:space="0"/>
            </w:tcBorders>
          </w:tcPr>
          <w:p>
            <w:pPr>
              <w:pStyle w:val="TableText"/>
              <w:ind w:left="408"/>
              <w:spacing w:before="117" w:line="230" w:lineRule="auto"/>
              <w:rPr/>
            </w:pPr>
            <w:r>
              <w:rPr>
                <w:spacing w:val="4"/>
              </w:rPr>
              <w:t>六价铬</w:t>
            </w:r>
          </w:p>
        </w:tc>
        <w:tc>
          <w:tcPr>
            <w:tcW w:w="1223" w:type="dxa"/>
            <w:vAlign w:val="top"/>
            <w:tcBorders>
              <w:bottom w:val="single" w:color="000000" w:sz="10" w:space="0"/>
            </w:tcBorders>
          </w:tcPr>
          <w:p>
            <w:pPr>
              <w:ind w:left="382"/>
              <w:spacing w:before="14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0" w:type="dxa"/>
            <w:vAlign w:val="top"/>
            <w:tcBorders>
              <w:right w:val="nil"/>
              <w:bottom w:val="single" w:color="000000" w:sz="10" w:space="0"/>
            </w:tcBorders>
          </w:tcPr>
          <w:p>
            <w:pPr>
              <w:ind w:left="255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bl>
    <w:p>
      <w:pPr>
        <w:pStyle w:val="BodyText"/>
        <w:rPr/>
      </w:pPr>
      <w:r/>
    </w:p>
    <w:p>
      <w:pPr>
        <w:sectPr>
          <w:footerReference w:type="default" r:id="rId82"/>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5"/>
        <w:gridCol w:w="1423"/>
        <w:gridCol w:w="1223"/>
        <w:gridCol w:w="5361"/>
      </w:tblGrid>
      <w:tr>
        <w:trPr>
          <w:trHeight w:val="438" w:hRule="atLeast"/>
        </w:trPr>
        <w:tc>
          <w:tcPr>
            <w:tcW w:w="905" w:type="dxa"/>
            <w:vAlign w:val="top"/>
            <w:tcBorders>
              <w:left w:val="nil"/>
              <w:top w:val="single" w:color="000000" w:sz="10" w:space="0"/>
            </w:tcBorders>
          </w:tcPr>
          <w:p>
            <w:pPr>
              <w:ind w:left="409"/>
              <w:spacing w:before="15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23" w:type="dxa"/>
            <w:vAlign w:val="top"/>
            <w:tcBorders>
              <w:top w:val="single" w:color="000000" w:sz="10" w:space="0"/>
            </w:tcBorders>
          </w:tcPr>
          <w:p>
            <w:pPr>
              <w:pStyle w:val="TableText"/>
              <w:ind w:left="619"/>
              <w:spacing w:before="113" w:line="232" w:lineRule="auto"/>
              <w:rPr/>
            </w:pPr>
            <w:r>
              <w:rPr/>
              <w:t>汞</w:t>
            </w:r>
          </w:p>
        </w:tc>
        <w:tc>
          <w:tcPr>
            <w:tcW w:w="1223" w:type="dxa"/>
            <w:vAlign w:val="top"/>
            <w:tcBorders>
              <w:top w:val="single" w:color="000000" w:sz="10" w:space="0"/>
            </w:tcBorders>
          </w:tcPr>
          <w:p>
            <w:pPr>
              <w:ind w:left="383"/>
              <w:spacing w:before="14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op w:val="single" w:color="000000" w:sz="10" w:space="0"/>
            </w:tcBorders>
          </w:tcPr>
          <w:p>
            <w:pPr>
              <w:ind w:left="2502"/>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r>
      <w:tr>
        <w:trPr>
          <w:trHeight w:val="408" w:hRule="atLeast"/>
        </w:trPr>
        <w:tc>
          <w:tcPr>
            <w:tcW w:w="905" w:type="dxa"/>
            <w:vAlign w:val="top"/>
            <w:tcBorders>
              <w:left w:val="nil"/>
            </w:tcBorders>
          </w:tcPr>
          <w:p>
            <w:pPr>
              <w:ind w:left="40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23" w:type="dxa"/>
            <w:vAlign w:val="top"/>
          </w:tcPr>
          <w:p>
            <w:pPr>
              <w:pStyle w:val="TableText"/>
              <w:ind w:left="618"/>
              <w:spacing w:before="99" w:line="229" w:lineRule="auto"/>
              <w:rPr/>
            </w:pPr>
            <w:r>
              <w:rPr/>
              <w:t>砷</w:t>
            </w:r>
          </w:p>
        </w:tc>
        <w:tc>
          <w:tcPr>
            <w:tcW w:w="1223" w:type="dxa"/>
            <w:vAlign w:val="top"/>
          </w:tcPr>
          <w:p>
            <w:pPr>
              <w:ind w:left="383"/>
              <w:spacing w:before="13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5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433" w:hRule="atLeast"/>
        </w:trPr>
        <w:tc>
          <w:tcPr>
            <w:tcW w:w="905" w:type="dxa"/>
            <w:vAlign w:val="top"/>
            <w:tcBorders>
              <w:left w:val="nil"/>
            </w:tcBorders>
          </w:tcPr>
          <w:p>
            <w:pPr>
              <w:ind w:left="406"/>
              <w:spacing w:before="1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23" w:type="dxa"/>
            <w:vAlign w:val="top"/>
          </w:tcPr>
          <w:p>
            <w:pPr>
              <w:pStyle w:val="TableText"/>
              <w:ind w:left="618"/>
              <w:spacing w:before="113" w:line="232" w:lineRule="auto"/>
              <w:rPr/>
            </w:pPr>
            <w:r>
              <w:rPr/>
              <w:t>硒</w:t>
            </w:r>
          </w:p>
        </w:tc>
        <w:tc>
          <w:tcPr>
            <w:tcW w:w="1223" w:type="dxa"/>
            <w:vAlign w:val="top"/>
          </w:tcPr>
          <w:p>
            <w:pPr>
              <w:ind w:left="383"/>
              <w:spacing w:before="14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55"/>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r>
      <w:tr>
        <w:trPr>
          <w:trHeight w:val="408" w:hRule="atLeast"/>
        </w:trPr>
        <w:tc>
          <w:tcPr>
            <w:tcW w:w="905" w:type="dxa"/>
            <w:vAlign w:val="top"/>
            <w:tcBorders>
              <w:left w:val="nil"/>
            </w:tcBorders>
          </w:tcPr>
          <w:p>
            <w:pPr>
              <w:ind w:left="41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23" w:type="dxa"/>
            <w:vAlign w:val="top"/>
          </w:tcPr>
          <w:p>
            <w:pPr>
              <w:pStyle w:val="TableText"/>
              <w:ind w:left="618"/>
              <w:spacing w:before="103" w:line="231" w:lineRule="auto"/>
              <w:rPr/>
            </w:pPr>
            <w:r>
              <w:rPr/>
              <w:t>铅</w:t>
            </w:r>
          </w:p>
        </w:tc>
        <w:tc>
          <w:tcPr>
            <w:tcW w:w="1223" w:type="dxa"/>
            <w:vAlign w:val="top"/>
          </w:tcPr>
          <w:p>
            <w:pPr>
              <w:ind w:left="383"/>
              <w:spacing w:before="13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5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433" w:hRule="atLeast"/>
        </w:trPr>
        <w:tc>
          <w:tcPr>
            <w:tcW w:w="905" w:type="dxa"/>
            <w:vAlign w:val="top"/>
            <w:tcBorders>
              <w:left w:val="nil"/>
            </w:tcBorders>
          </w:tcPr>
          <w:p>
            <w:pPr>
              <w:ind w:left="40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23" w:type="dxa"/>
            <w:vAlign w:val="top"/>
          </w:tcPr>
          <w:p>
            <w:pPr>
              <w:pStyle w:val="TableText"/>
              <w:ind w:left="619"/>
              <w:spacing w:before="117" w:line="232" w:lineRule="auto"/>
              <w:rPr/>
            </w:pPr>
            <w:r>
              <w:rPr/>
              <w:t>镉</w:t>
            </w:r>
          </w:p>
        </w:tc>
        <w:tc>
          <w:tcPr>
            <w:tcW w:w="1223" w:type="dxa"/>
            <w:vAlign w:val="top"/>
          </w:tcPr>
          <w:p>
            <w:pPr>
              <w:ind w:left="383"/>
              <w:spacing w:before="14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5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r>
      <w:tr>
        <w:trPr>
          <w:trHeight w:val="408" w:hRule="atLeast"/>
        </w:trPr>
        <w:tc>
          <w:tcPr>
            <w:tcW w:w="905" w:type="dxa"/>
            <w:vAlign w:val="top"/>
            <w:tcBorders>
              <w:left w:val="nil"/>
            </w:tcBorders>
          </w:tcPr>
          <w:p>
            <w:pPr>
              <w:ind w:left="373"/>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423" w:type="dxa"/>
            <w:vAlign w:val="top"/>
          </w:tcPr>
          <w:p>
            <w:pPr>
              <w:pStyle w:val="TableText"/>
              <w:ind w:left="620"/>
              <w:spacing w:before="106" w:line="232" w:lineRule="auto"/>
              <w:rPr/>
            </w:pPr>
            <w:r>
              <w:rPr/>
              <w:t>铜</w:t>
            </w:r>
          </w:p>
        </w:tc>
        <w:tc>
          <w:tcPr>
            <w:tcW w:w="1223" w:type="dxa"/>
            <w:vAlign w:val="top"/>
          </w:tcPr>
          <w:p>
            <w:pPr>
              <w:ind w:left="383"/>
              <w:spacing w:before="13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55"/>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433" w:hRule="atLeast"/>
        </w:trPr>
        <w:tc>
          <w:tcPr>
            <w:tcW w:w="905" w:type="dxa"/>
            <w:vAlign w:val="top"/>
            <w:tcBorders>
              <w:left w:val="nil"/>
            </w:tcBorders>
          </w:tcPr>
          <w:p>
            <w:pPr>
              <w:ind w:left="375"/>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423" w:type="dxa"/>
            <w:vAlign w:val="top"/>
          </w:tcPr>
          <w:p>
            <w:pPr>
              <w:pStyle w:val="TableText"/>
              <w:ind w:left="618"/>
              <w:spacing w:before="120" w:line="231" w:lineRule="auto"/>
              <w:rPr/>
            </w:pPr>
            <w:r>
              <w:rPr/>
              <w:t>锌</w:t>
            </w:r>
          </w:p>
        </w:tc>
        <w:tc>
          <w:tcPr>
            <w:tcW w:w="1223" w:type="dxa"/>
            <w:vAlign w:val="top"/>
          </w:tcPr>
          <w:p>
            <w:pPr>
              <w:ind w:left="383"/>
              <w:spacing w:before="15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63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408" w:hRule="atLeast"/>
        </w:trPr>
        <w:tc>
          <w:tcPr>
            <w:tcW w:w="905" w:type="dxa"/>
            <w:vAlign w:val="top"/>
            <w:tcBorders>
              <w:left w:val="nil"/>
            </w:tcBorders>
          </w:tcPr>
          <w:p>
            <w:pPr>
              <w:ind w:left="373"/>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423" w:type="dxa"/>
            <w:vAlign w:val="top"/>
          </w:tcPr>
          <w:p>
            <w:pPr>
              <w:pStyle w:val="TableText"/>
              <w:ind w:left="522"/>
              <w:spacing w:before="112" w:line="230" w:lineRule="auto"/>
              <w:rPr/>
            </w:pPr>
            <w:r>
              <w:rPr>
                <w:spacing w:val="-3"/>
              </w:rPr>
              <w:t>总铬</w:t>
            </w:r>
          </w:p>
        </w:tc>
        <w:tc>
          <w:tcPr>
            <w:tcW w:w="1223" w:type="dxa"/>
            <w:vAlign w:val="top"/>
          </w:tcPr>
          <w:p>
            <w:pPr>
              <w:ind w:left="383"/>
              <w:spacing w:before="1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72"/>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r>
      <w:tr>
        <w:trPr>
          <w:trHeight w:val="423" w:hRule="atLeast"/>
        </w:trPr>
        <w:tc>
          <w:tcPr>
            <w:tcW w:w="905" w:type="dxa"/>
            <w:vAlign w:val="top"/>
            <w:tcBorders>
              <w:left w:val="nil"/>
            </w:tcBorders>
          </w:tcPr>
          <w:p>
            <w:pPr>
              <w:ind w:left="373"/>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423" w:type="dxa"/>
            <w:vAlign w:val="top"/>
          </w:tcPr>
          <w:p>
            <w:pPr>
              <w:pStyle w:val="TableText"/>
              <w:ind w:left="620"/>
              <w:spacing w:before="119" w:line="231" w:lineRule="auto"/>
              <w:rPr/>
            </w:pPr>
            <w:r>
              <w:rPr/>
              <w:t>镍</w:t>
            </w:r>
          </w:p>
        </w:tc>
        <w:tc>
          <w:tcPr>
            <w:tcW w:w="1223" w:type="dxa"/>
            <w:vAlign w:val="top"/>
          </w:tcPr>
          <w:p>
            <w:pPr>
              <w:ind w:left="383"/>
              <w:spacing w:before="15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651"/>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13" w:hRule="atLeast"/>
        </w:trPr>
        <w:tc>
          <w:tcPr>
            <w:tcW w:w="905" w:type="dxa"/>
            <w:vAlign w:val="top"/>
            <w:tcBorders>
              <w:left w:val="nil"/>
            </w:tcBorders>
          </w:tcPr>
          <w:p>
            <w:pPr>
              <w:ind w:left="373"/>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423" w:type="dxa"/>
            <w:vAlign w:val="top"/>
          </w:tcPr>
          <w:p>
            <w:pPr>
              <w:pStyle w:val="TableText"/>
              <w:ind w:left="522"/>
              <w:spacing w:before="116" w:line="233" w:lineRule="auto"/>
              <w:rPr/>
            </w:pPr>
            <w:r>
              <w:rPr>
                <w:spacing w:val="-3"/>
              </w:rPr>
              <w:t>总银</w:t>
            </w:r>
          </w:p>
        </w:tc>
        <w:tc>
          <w:tcPr>
            <w:tcW w:w="1223" w:type="dxa"/>
            <w:vAlign w:val="top"/>
          </w:tcPr>
          <w:p>
            <w:pPr>
              <w:ind w:left="383"/>
              <w:spacing w:before="15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55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413" w:hRule="atLeast"/>
        </w:trPr>
        <w:tc>
          <w:tcPr>
            <w:tcW w:w="905" w:type="dxa"/>
            <w:vAlign w:val="top"/>
            <w:tcBorders>
              <w:left w:val="nil"/>
            </w:tcBorders>
          </w:tcPr>
          <w:p>
            <w:pPr>
              <w:ind w:left="373"/>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423" w:type="dxa"/>
            <w:vAlign w:val="top"/>
          </w:tcPr>
          <w:p>
            <w:pPr>
              <w:pStyle w:val="TableText"/>
              <w:ind w:left="620"/>
              <w:spacing w:before="117" w:line="232" w:lineRule="auto"/>
              <w:rPr/>
            </w:pPr>
            <w:r>
              <w:rPr/>
              <w:t>铍</w:t>
            </w:r>
          </w:p>
        </w:tc>
        <w:tc>
          <w:tcPr>
            <w:tcW w:w="1223" w:type="dxa"/>
            <w:vAlign w:val="top"/>
          </w:tcPr>
          <w:p>
            <w:pPr>
              <w:ind w:left="383"/>
              <w:spacing w:before="15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449"/>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0.005</w:t>
            </w:r>
          </w:p>
        </w:tc>
      </w:tr>
      <w:tr>
        <w:trPr>
          <w:trHeight w:val="423" w:hRule="atLeast"/>
        </w:trPr>
        <w:tc>
          <w:tcPr>
            <w:tcW w:w="905" w:type="dxa"/>
            <w:vAlign w:val="top"/>
            <w:tcBorders>
              <w:left w:val="nil"/>
            </w:tcBorders>
          </w:tcPr>
          <w:p>
            <w:pPr>
              <w:ind w:left="373"/>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423" w:type="dxa"/>
            <w:vAlign w:val="top"/>
          </w:tcPr>
          <w:p>
            <w:pPr>
              <w:pStyle w:val="TableText"/>
              <w:ind w:left="619"/>
              <w:spacing w:before="127" w:line="232" w:lineRule="auto"/>
              <w:rPr/>
            </w:pPr>
            <w:r>
              <w:rPr/>
              <w:t>钡</w:t>
            </w:r>
          </w:p>
        </w:tc>
        <w:tc>
          <w:tcPr>
            <w:tcW w:w="1223" w:type="dxa"/>
            <w:vAlign w:val="top"/>
          </w:tcPr>
          <w:p>
            <w:pPr>
              <w:ind w:left="383"/>
              <w:spacing w:before="15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tcBorders>
          </w:tcPr>
          <w:p>
            <w:pPr>
              <w:ind w:left="2634"/>
              <w:spacing w:before="1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rPr>
          <w:trHeight w:val="462" w:hRule="atLeast"/>
        </w:trPr>
        <w:tc>
          <w:tcPr>
            <w:tcW w:w="905" w:type="dxa"/>
            <w:vAlign w:val="top"/>
            <w:tcBorders>
              <w:left w:val="nil"/>
              <w:bottom w:val="single" w:color="000000" w:sz="10" w:space="0"/>
            </w:tcBorders>
          </w:tcPr>
          <w:p>
            <w:pPr>
              <w:ind w:left="373"/>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423" w:type="dxa"/>
            <w:vAlign w:val="top"/>
            <w:tcBorders>
              <w:bottom w:val="single" w:color="000000" w:sz="10" w:space="0"/>
            </w:tcBorders>
          </w:tcPr>
          <w:p>
            <w:pPr>
              <w:pStyle w:val="TableText"/>
              <w:ind w:left="410"/>
              <w:spacing w:before="136" w:line="232" w:lineRule="auto"/>
              <w:rPr/>
            </w:pPr>
            <w:r>
              <w:rPr>
                <w:spacing w:val="4"/>
              </w:rPr>
              <w:t>烷基汞</w:t>
            </w:r>
          </w:p>
        </w:tc>
        <w:tc>
          <w:tcPr>
            <w:tcW w:w="1223" w:type="dxa"/>
            <w:vAlign w:val="top"/>
            <w:tcBorders>
              <w:bottom w:val="single" w:color="000000" w:sz="10" w:space="0"/>
            </w:tcBorders>
          </w:tcPr>
          <w:p>
            <w:pPr>
              <w:ind w:left="383"/>
              <w:spacing w:before="16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5361" w:type="dxa"/>
            <w:vAlign w:val="top"/>
            <w:tcBorders>
              <w:right w:val="nil"/>
              <w:bottom w:val="single" w:color="000000" w:sz="10" w:space="0"/>
            </w:tcBorders>
          </w:tcPr>
          <w:p>
            <w:pPr>
              <w:pStyle w:val="TableText"/>
              <w:ind w:left="2276"/>
              <w:spacing w:before="135" w:line="229" w:lineRule="auto"/>
              <w:rPr/>
            </w:pPr>
            <w:r>
              <w:rPr>
                <w:spacing w:val="4"/>
              </w:rPr>
              <w:t>不得检出</w:t>
            </w:r>
          </w:p>
        </w:tc>
      </w:tr>
    </w:tbl>
    <w:p>
      <w:pPr>
        <w:pStyle w:val="BodyText"/>
        <w:spacing w:line="370" w:lineRule="auto"/>
        <w:rPr/>
      </w:pPr>
      <w:r/>
    </w:p>
    <w:p>
      <w:pPr>
        <w:ind w:left="188"/>
        <w:spacing w:before="78" w:line="219" w:lineRule="auto"/>
        <w:rPr>
          <w:rFonts w:ascii="FangSong" w:hAnsi="FangSong" w:eastAsia="FangSong" w:cs="FangSong"/>
          <w:sz w:val="24"/>
          <w:szCs w:val="24"/>
        </w:rPr>
      </w:pPr>
      <w:r>
        <w:rPr>
          <w:rFonts w:ascii="FangSong" w:hAnsi="FangSong" w:eastAsia="FangSong" w:cs="FangSong"/>
          <w:sz w:val="24"/>
          <w:szCs w:val="24"/>
          <w:b/>
          <w:bCs/>
          <w:spacing w:val="-1"/>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1"/>
        </w:rPr>
        <w:t>2.6-12</w:t>
      </w:r>
      <w:r>
        <w:rPr>
          <w:rFonts w:ascii="Times New Roman" w:hAnsi="Times New Roman" w:eastAsia="Times New Roman" w:cs="Times New Roman"/>
          <w:sz w:val="24"/>
          <w:szCs w:val="24"/>
          <w:b/>
          <w:bCs/>
          <w:spacing w:val="60"/>
        </w:rPr>
        <w:t xml:space="preserve"> </w:t>
      </w:r>
      <w:r>
        <w:rPr>
          <w:rFonts w:ascii="FangSong" w:hAnsi="FangSong" w:eastAsia="FangSong" w:cs="FangSong"/>
          <w:sz w:val="24"/>
          <w:szCs w:val="24"/>
          <w:b/>
          <w:bCs/>
          <w:spacing w:val="-1"/>
        </w:rPr>
        <w:t>《一般工业固体废物贮存和填埋</w:t>
      </w:r>
      <w:r>
        <w:rPr>
          <w:rFonts w:ascii="FangSong" w:hAnsi="FangSong" w:eastAsia="FangSong" w:cs="FangSong"/>
          <w:sz w:val="24"/>
          <w:szCs w:val="24"/>
          <w:b/>
          <w:bCs/>
          <w:spacing w:val="-2"/>
        </w:rPr>
        <w:t>污染控制标准》（</w:t>
      </w:r>
      <w:r>
        <w:rPr>
          <w:rFonts w:ascii="Times New Roman" w:hAnsi="Times New Roman" w:eastAsia="Times New Roman" w:cs="Times New Roman"/>
          <w:sz w:val="24"/>
          <w:szCs w:val="24"/>
          <w:b/>
          <w:bCs/>
          <w:spacing w:val="-2"/>
        </w:rPr>
        <w:t>GB18599-2020</w:t>
      </w:r>
      <w:r>
        <w:rPr>
          <w:rFonts w:ascii="FangSong" w:hAnsi="FangSong" w:eastAsia="FangSong" w:cs="FangSong"/>
          <w:sz w:val="24"/>
          <w:szCs w:val="24"/>
          <w:b/>
          <w:bCs/>
          <w:spacing w:val="-2"/>
        </w:rPr>
        <w:t>）摘录</w:t>
      </w:r>
    </w:p>
    <w:p>
      <w:pPr>
        <w:spacing w:line="147"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7"/>
        <w:gridCol w:w="3360"/>
        <w:gridCol w:w="1748"/>
        <w:gridCol w:w="2687"/>
      </w:tblGrid>
      <w:tr>
        <w:trPr>
          <w:trHeight w:val="280" w:hRule="atLeast"/>
        </w:trPr>
        <w:tc>
          <w:tcPr>
            <w:tcW w:w="1117" w:type="dxa"/>
            <w:vAlign w:val="top"/>
            <w:tcBorders>
              <w:top w:val="single" w:color="000000" w:sz="10" w:space="0"/>
              <w:left w:val="nil"/>
            </w:tcBorders>
          </w:tcPr>
          <w:p>
            <w:pPr>
              <w:pStyle w:val="TableText"/>
              <w:ind w:left="155"/>
              <w:spacing w:before="34" w:line="217" w:lineRule="auto"/>
              <w:rPr/>
            </w:pPr>
            <w:r>
              <w:rPr>
                <w:spacing w:val="4"/>
              </w:rPr>
              <w:t>要求项目</w:t>
            </w:r>
          </w:p>
        </w:tc>
        <w:tc>
          <w:tcPr>
            <w:tcW w:w="3360" w:type="dxa"/>
            <w:vAlign w:val="top"/>
            <w:tcBorders>
              <w:top w:val="single" w:color="000000" w:sz="10" w:space="0"/>
            </w:tcBorders>
          </w:tcPr>
          <w:p>
            <w:pPr>
              <w:pStyle w:val="TableText"/>
              <w:ind w:left="503"/>
              <w:spacing w:before="34" w:line="217" w:lineRule="auto"/>
              <w:rPr/>
            </w:pPr>
            <w:r>
              <w:rPr>
                <w:rFonts w:ascii="Times New Roman" w:hAnsi="Times New Roman" w:eastAsia="Times New Roman" w:cs="Times New Roman"/>
                <w:spacing w:val="7"/>
              </w:rPr>
              <w:t>I</w:t>
            </w:r>
            <w:r>
              <w:rPr>
                <w:rFonts w:ascii="Times New Roman" w:hAnsi="Times New Roman" w:eastAsia="Times New Roman" w:cs="Times New Roman"/>
                <w:spacing w:val="20"/>
                <w:w w:val="101"/>
              </w:rPr>
              <w:t xml:space="preserve"> </w:t>
            </w:r>
            <w:r>
              <w:rPr>
                <w:spacing w:val="7"/>
              </w:rPr>
              <w:t>类场和</w:t>
            </w:r>
            <w:r>
              <w:rPr>
                <w:rFonts w:ascii="Times New Roman" w:hAnsi="Times New Roman" w:eastAsia="Times New Roman" w:cs="Times New Roman"/>
                <w:spacing w:val="7"/>
              </w:rPr>
              <w:t>Ⅱ</w:t>
            </w:r>
            <w:r>
              <w:rPr>
                <w:spacing w:val="7"/>
              </w:rPr>
              <w:t>类场的共同要求</w:t>
            </w:r>
          </w:p>
        </w:tc>
        <w:tc>
          <w:tcPr>
            <w:tcW w:w="1748" w:type="dxa"/>
            <w:vAlign w:val="top"/>
            <w:tcBorders>
              <w:top w:val="single" w:color="000000" w:sz="10" w:space="0"/>
            </w:tcBorders>
          </w:tcPr>
          <w:p>
            <w:pPr>
              <w:pStyle w:val="TableText"/>
              <w:ind w:left="184"/>
              <w:spacing w:before="34" w:line="217" w:lineRule="auto"/>
              <w:rPr/>
            </w:pPr>
            <w:r>
              <w:rPr>
                <w:rFonts w:ascii="Times New Roman" w:hAnsi="Times New Roman" w:eastAsia="Times New Roman" w:cs="Times New Roman"/>
                <w:spacing w:val="5"/>
              </w:rPr>
              <w:t>I</w:t>
            </w:r>
            <w:r>
              <w:rPr>
                <w:rFonts w:ascii="Times New Roman" w:hAnsi="Times New Roman" w:eastAsia="Times New Roman" w:cs="Times New Roman"/>
                <w:spacing w:val="22"/>
              </w:rPr>
              <w:t xml:space="preserve"> </w:t>
            </w:r>
            <w:r>
              <w:rPr>
                <w:spacing w:val="5"/>
              </w:rPr>
              <w:t>类场其它要求</w:t>
            </w:r>
          </w:p>
        </w:tc>
        <w:tc>
          <w:tcPr>
            <w:tcW w:w="2687" w:type="dxa"/>
            <w:vAlign w:val="top"/>
            <w:tcBorders>
              <w:top w:val="single" w:color="000000" w:sz="10" w:space="0"/>
              <w:right w:val="nil"/>
            </w:tcBorders>
          </w:tcPr>
          <w:p>
            <w:pPr>
              <w:pStyle w:val="TableText"/>
              <w:ind w:left="649"/>
              <w:spacing w:before="34" w:line="217" w:lineRule="auto"/>
              <w:rPr/>
            </w:pPr>
            <w:r>
              <w:rPr>
                <w:rFonts w:ascii="Times New Roman" w:hAnsi="Times New Roman" w:eastAsia="Times New Roman" w:cs="Times New Roman"/>
                <w:spacing w:val="8"/>
              </w:rPr>
              <w:t>Ⅱ</w:t>
            </w:r>
            <w:r>
              <w:rPr>
                <w:spacing w:val="8"/>
              </w:rPr>
              <w:t>类场其它要求</w:t>
            </w:r>
          </w:p>
        </w:tc>
      </w:tr>
      <w:tr>
        <w:trPr>
          <w:trHeight w:val="7084" w:hRule="atLeast"/>
        </w:trPr>
        <w:tc>
          <w:tcPr>
            <w:tcW w:w="1117" w:type="dxa"/>
            <w:vAlign w:val="top"/>
            <w:tcBorders>
              <w:bottom w:val="single" w:color="000000" w:sz="10" w:space="0"/>
              <w:left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54"/>
              <w:spacing w:before="65" w:line="233" w:lineRule="auto"/>
              <w:rPr/>
            </w:pPr>
            <w:r>
              <w:rPr>
                <w:spacing w:val="5"/>
              </w:rPr>
              <w:t>一般规定</w:t>
            </w:r>
          </w:p>
          <w:p>
            <w:pPr>
              <w:pStyle w:val="TableText"/>
              <w:ind w:left="153"/>
              <w:spacing w:before="18" w:line="231" w:lineRule="auto"/>
              <w:rPr/>
            </w:pPr>
            <w:r>
              <w:rPr>
                <w:spacing w:val="5"/>
              </w:rPr>
              <w:t>及技术要</w:t>
            </w:r>
          </w:p>
          <w:p>
            <w:pPr>
              <w:pStyle w:val="TableText"/>
              <w:ind w:left="471"/>
              <w:spacing w:before="20" w:line="231" w:lineRule="auto"/>
              <w:rPr/>
            </w:pPr>
            <w:r>
              <w:rPr/>
              <w:t>求</w:t>
            </w:r>
          </w:p>
        </w:tc>
        <w:tc>
          <w:tcPr>
            <w:tcW w:w="3360" w:type="dxa"/>
            <w:vAlign w:val="top"/>
            <w:tcBorders>
              <w:bottom w:val="single" w:color="000000" w:sz="10" w:space="0"/>
            </w:tcBorders>
          </w:tcPr>
          <w:p>
            <w:pPr>
              <w:pStyle w:val="TableText"/>
              <w:ind w:left="120" w:right="105" w:firstLine="414"/>
              <w:spacing w:before="32" w:line="245" w:lineRule="auto"/>
              <w:rPr/>
            </w:pPr>
            <w:r>
              <w:rPr>
                <w:rFonts w:ascii="Times New Roman" w:hAnsi="Times New Roman" w:eastAsia="Times New Roman" w:cs="Times New Roman"/>
                <w:spacing w:val="-1"/>
              </w:rPr>
              <w:t>5.</w:t>
            </w:r>
            <w:r>
              <w:rPr>
                <w:rFonts w:ascii="Times New Roman" w:hAnsi="Times New Roman" w:eastAsia="Times New Roman" w:cs="Times New Roman"/>
                <w:spacing w:val="-1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spacing w:val="-1"/>
              </w:rPr>
              <w:t>根据建设、运行、封场等</w:t>
            </w:r>
            <w:r>
              <w:rPr>
                <w:spacing w:val="8"/>
              </w:rPr>
              <w:t>污染控制技术要求不同，贮存场、</w:t>
            </w:r>
            <w:r>
              <w:rPr>
                <w:spacing w:val="9"/>
              </w:rPr>
              <w:t>填埋场分为</w:t>
            </w:r>
            <w:r>
              <w:rPr>
                <w:rFonts w:ascii="Times New Roman" w:hAnsi="Times New Roman" w:eastAsia="Times New Roman" w:cs="Times New Roman"/>
                <w:spacing w:val="9"/>
              </w:rPr>
              <w:t>I</w:t>
            </w:r>
            <w:r>
              <w:rPr>
                <w:rFonts w:ascii="Times New Roman" w:hAnsi="Times New Roman" w:eastAsia="Times New Roman" w:cs="Times New Roman"/>
                <w:spacing w:val="28"/>
              </w:rPr>
              <w:t xml:space="preserve"> </w:t>
            </w:r>
            <w:r>
              <w:rPr>
                <w:spacing w:val="9"/>
              </w:rPr>
              <w:t>类场和</w:t>
            </w:r>
            <w:r>
              <w:rPr>
                <w:rFonts w:ascii="Times New Roman" w:hAnsi="Times New Roman" w:eastAsia="Times New Roman" w:cs="Times New Roman"/>
                <w:spacing w:val="9"/>
              </w:rPr>
              <w:t>Ⅱ</w:t>
            </w:r>
            <w:r>
              <w:rPr>
                <w:spacing w:val="9"/>
              </w:rPr>
              <w:t>类场。</w:t>
            </w:r>
          </w:p>
          <w:p>
            <w:pPr>
              <w:pStyle w:val="TableText"/>
              <w:ind w:left="121" w:right="105" w:firstLine="413"/>
              <w:spacing w:before="22" w:line="246" w:lineRule="auto"/>
              <w:rPr/>
            </w:pPr>
            <w:r>
              <w:rPr>
                <w:rFonts w:ascii="Times New Roman" w:hAnsi="Times New Roman" w:eastAsia="Times New Roman" w:cs="Times New Roman"/>
                <w:spacing w:val="1"/>
              </w:rPr>
              <w:t>5.</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7"/>
              </w:rPr>
              <w:t xml:space="preserve"> </w:t>
            </w:r>
            <w:r>
              <w:rPr>
                <w:spacing w:val="1"/>
              </w:rPr>
              <w:t>贮存场、填埋场的防洪标</w:t>
            </w:r>
            <w:r>
              <w:rPr>
                <w:spacing w:val="11"/>
              </w:rPr>
              <w:t>准应按重现期不小于</w:t>
            </w:r>
            <w:r>
              <w:rPr>
                <w:spacing w:val="-18"/>
              </w:rPr>
              <w:t xml:space="preserve"> </w:t>
            </w:r>
            <w:r>
              <w:rPr>
                <w:rFonts w:ascii="Times New Roman" w:hAnsi="Times New Roman" w:eastAsia="Times New Roman" w:cs="Times New Roman"/>
                <w:spacing w:val="11"/>
              </w:rPr>
              <w:t>50</w:t>
            </w:r>
            <w:r>
              <w:rPr>
                <w:rFonts w:ascii="Times New Roman" w:hAnsi="Times New Roman" w:eastAsia="Times New Roman" w:cs="Times New Roman"/>
                <w:spacing w:val="29"/>
                <w:w w:val="101"/>
              </w:rPr>
              <w:t xml:space="preserve"> </w:t>
            </w:r>
            <w:r>
              <w:rPr>
                <w:spacing w:val="11"/>
              </w:rPr>
              <w:t>年一遇的</w:t>
            </w:r>
            <w:r>
              <w:rPr>
                <w:spacing w:val="8"/>
              </w:rPr>
              <w:t>洪水位设计，国家已有标准提出更</w:t>
            </w:r>
            <w:r>
              <w:rPr>
                <w:spacing w:val="5"/>
              </w:rPr>
              <w:t>高要求的除外。</w:t>
            </w:r>
          </w:p>
          <w:p>
            <w:pPr>
              <w:pStyle w:val="TableText"/>
              <w:ind w:left="127" w:right="108" w:firstLine="408"/>
              <w:spacing w:before="21" w:line="241" w:lineRule="auto"/>
              <w:rPr/>
            </w:pPr>
            <w:r>
              <w:rPr>
                <w:rFonts w:ascii="Times New Roman" w:hAnsi="Times New Roman" w:eastAsia="Times New Roman" w:cs="Times New Roman"/>
                <w:spacing w:val="13"/>
              </w:rPr>
              <w:t>5.</w:t>
            </w:r>
            <w:r>
              <w:rPr>
                <w:rFonts w:ascii="Times New Roman" w:hAnsi="Times New Roman" w:eastAsia="Times New Roman" w:cs="Times New Roman"/>
                <w:spacing w:val="-15"/>
              </w:rPr>
              <w:t xml:space="preserve"> </w:t>
            </w:r>
            <w:r>
              <w:rPr>
                <w:rFonts w:ascii="Times New Roman" w:hAnsi="Times New Roman" w:eastAsia="Times New Roman" w:cs="Times New Roman"/>
                <w:spacing w:val="13"/>
              </w:rPr>
              <w:t>1.3</w:t>
            </w:r>
            <w:r>
              <w:rPr>
                <w:rFonts w:ascii="Times New Roman" w:hAnsi="Times New Roman" w:eastAsia="Times New Roman" w:cs="Times New Roman"/>
                <w:spacing w:val="30"/>
                <w:w w:val="101"/>
              </w:rPr>
              <w:t xml:space="preserve"> </w:t>
            </w:r>
            <w:r>
              <w:rPr>
                <w:spacing w:val="13"/>
              </w:rPr>
              <w:t>贮存场和填埋场一般应</w:t>
            </w:r>
            <w:r>
              <w:rPr>
                <w:spacing w:val="5"/>
              </w:rPr>
              <w:t>包括以下单元：</w:t>
            </w:r>
          </w:p>
          <w:p>
            <w:pPr>
              <w:pStyle w:val="TableText"/>
              <w:ind w:left="116" w:right="105" w:firstLine="416"/>
              <w:spacing w:before="22" w:line="242" w:lineRule="auto"/>
              <w:rPr/>
            </w:pPr>
            <w:r>
              <w:rPr>
                <w:rFonts w:ascii="Times New Roman" w:hAnsi="Times New Roman" w:eastAsia="Times New Roman" w:cs="Times New Roman"/>
                <w:spacing w:val="1"/>
              </w:rPr>
              <w:t>a</w:t>
            </w:r>
            <w:r>
              <w:rPr>
                <w:spacing w:val="1"/>
              </w:rPr>
              <w:t>）防渗系统、渗滤液收集和导</w:t>
            </w:r>
            <w:r>
              <w:rPr/>
              <w:t>排系</w:t>
            </w:r>
            <w:r>
              <w:rPr>
                <w:spacing w:val="28"/>
              </w:rPr>
              <w:t xml:space="preserve"> </w:t>
            </w:r>
            <w:r>
              <w:rPr/>
              <w:t>统</w:t>
            </w:r>
            <w:r>
              <w:rPr/>
              <w:t xml:space="preserve"> </w:t>
            </w:r>
            <w:r>
              <w:rPr/>
              <w:t>；</w:t>
            </w:r>
          </w:p>
          <w:p>
            <w:pPr>
              <w:pStyle w:val="TableText"/>
              <w:ind w:left="524"/>
              <w:spacing w:before="20" w:line="231" w:lineRule="auto"/>
              <w:rPr/>
            </w:pPr>
            <w:r>
              <w:rPr>
                <w:rFonts w:ascii="Times New Roman" w:hAnsi="Times New Roman" w:eastAsia="Times New Roman" w:cs="Times New Roman"/>
                <w:spacing w:val="8"/>
              </w:rPr>
              <w:t>b</w:t>
            </w:r>
            <w:r>
              <w:rPr>
                <w:spacing w:val="8"/>
              </w:rPr>
              <w:t>）雨污分流系统；</w:t>
            </w:r>
          </w:p>
          <w:p>
            <w:pPr>
              <w:pStyle w:val="TableText"/>
              <w:ind w:right="18"/>
              <w:spacing w:before="23" w:line="230" w:lineRule="auto"/>
              <w:jc w:val="right"/>
              <w:rPr/>
            </w:pPr>
            <w:r>
              <w:rPr>
                <w:rFonts w:ascii="Times New Roman" w:hAnsi="Times New Roman" w:eastAsia="Times New Roman" w:cs="Times New Roman"/>
                <w:spacing w:val="8"/>
              </w:rPr>
              <w:t>c</w:t>
            </w:r>
            <w:r>
              <w:rPr>
                <w:spacing w:val="8"/>
              </w:rPr>
              <w:t>）分析化验与环境监测系统；</w:t>
            </w:r>
          </w:p>
          <w:p>
            <w:pPr>
              <w:pStyle w:val="TableText"/>
              <w:ind w:left="531"/>
              <w:spacing w:before="22" w:line="231" w:lineRule="auto"/>
              <w:rPr/>
            </w:pPr>
            <w:r>
              <w:rPr>
                <w:rFonts w:ascii="Times New Roman" w:hAnsi="Times New Roman" w:eastAsia="Times New Roman" w:cs="Times New Roman"/>
                <w:spacing w:val="8"/>
              </w:rPr>
              <w:t>d</w:t>
            </w:r>
            <w:r>
              <w:rPr>
                <w:spacing w:val="8"/>
              </w:rPr>
              <w:t>）公用工程和配套设施；</w:t>
            </w:r>
          </w:p>
          <w:p>
            <w:pPr>
              <w:pStyle w:val="TableText"/>
              <w:ind w:left="127" w:right="108" w:firstLine="405"/>
              <w:spacing w:before="20" w:line="241" w:lineRule="auto"/>
              <w:rPr/>
            </w:pPr>
            <w:r>
              <w:rPr>
                <w:rFonts w:ascii="Times New Roman" w:hAnsi="Times New Roman" w:eastAsia="Times New Roman" w:cs="Times New Roman"/>
                <w:spacing w:val="1"/>
              </w:rPr>
              <w:t>e</w:t>
            </w:r>
            <w:r>
              <w:rPr>
                <w:spacing w:val="1"/>
              </w:rPr>
              <w:t>）地下水导排系统和废水处理</w:t>
            </w:r>
            <w:r>
              <w:rPr>
                <w:spacing w:val="7"/>
              </w:rPr>
              <w:t>系统（根据具体情况选择设置）。</w:t>
            </w:r>
          </w:p>
          <w:p>
            <w:pPr>
              <w:pStyle w:val="TableText"/>
              <w:ind w:left="118" w:right="105" w:firstLine="416"/>
              <w:spacing w:before="25" w:line="248" w:lineRule="auto"/>
              <w:rPr/>
            </w:pPr>
            <w:r>
              <w:rPr>
                <w:rFonts w:ascii="Times New Roman" w:hAnsi="Times New Roman" w:eastAsia="Times New Roman" w:cs="Times New Roman"/>
                <w:spacing w:val="13"/>
              </w:rPr>
              <w:t>5.</w:t>
            </w:r>
            <w:r>
              <w:rPr>
                <w:rFonts w:ascii="Times New Roman" w:hAnsi="Times New Roman" w:eastAsia="Times New Roman" w:cs="Times New Roman"/>
                <w:spacing w:val="-15"/>
              </w:rPr>
              <w:t xml:space="preserve"> </w:t>
            </w:r>
            <w:r>
              <w:rPr>
                <w:rFonts w:ascii="Times New Roman" w:hAnsi="Times New Roman" w:eastAsia="Times New Roman" w:cs="Times New Roman"/>
                <w:spacing w:val="13"/>
              </w:rPr>
              <w:t>1.4</w:t>
            </w:r>
            <w:r>
              <w:rPr>
                <w:rFonts w:ascii="Times New Roman" w:hAnsi="Times New Roman" w:eastAsia="Times New Roman" w:cs="Times New Roman"/>
                <w:spacing w:val="30"/>
                <w:w w:val="101"/>
              </w:rPr>
              <w:t xml:space="preserve"> </w:t>
            </w:r>
            <w:r>
              <w:rPr>
                <w:spacing w:val="13"/>
              </w:rPr>
              <w:t>贮存场及填埋场施工方</w:t>
            </w:r>
            <w:r>
              <w:rPr>
                <w:spacing w:val="23"/>
              </w:rPr>
              <w:t>案中应包括施工质量保证和施工</w:t>
            </w:r>
            <w:r>
              <w:rPr>
                <w:spacing w:val="8"/>
              </w:rPr>
              <w:t>质量控制内容，明确环保条款和责</w:t>
            </w:r>
            <w:r>
              <w:rPr>
                <w:spacing w:val="8"/>
              </w:rPr>
              <w:t>任，作为项目竣工环境保护验收的</w:t>
            </w:r>
            <w:r>
              <w:rPr>
                <w:spacing w:val="8"/>
              </w:rPr>
              <w:t>依据，同时可作为建设环境监理的</w:t>
            </w:r>
            <w:r>
              <w:rPr>
                <w:spacing w:val="4"/>
              </w:rPr>
              <w:t>主要内容。</w:t>
            </w:r>
          </w:p>
          <w:p>
            <w:pPr>
              <w:pStyle w:val="TableText"/>
              <w:ind w:left="118" w:right="105" w:firstLine="416"/>
              <w:spacing w:before="23" w:line="242" w:lineRule="auto"/>
              <w:rPr/>
            </w:pPr>
            <w:r>
              <w:rPr>
                <w:rFonts w:ascii="Times New Roman" w:hAnsi="Times New Roman" w:eastAsia="Times New Roman" w:cs="Times New Roman"/>
                <w:spacing w:val="13"/>
              </w:rPr>
              <w:t>5.</w:t>
            </w:r>
            <w:r>
              <w:rPr>
                <w:rFonts w:ascii="Times New Roman" w:hAnsi="Times New Roman" w:eastAsia="Times New Roman" w:cs="Times New Roman"/>
                <w:spacing w:val="-15"/>
              </w:rPr>
              <w:t xml:space="preserve"> </w:t>
            </w:r>
            <w:r>
              <w:rPr>
                <w:rFonts w:ascii="Times New Roman" w:hAnsi="Times New Roman" w:eastAsia="Times New Roman" w:cs="Times New Roman"/>
                <w:spacing w:val="13"/>
              </w:rPr>
              <w:t>1.5</w:t>
            </w:r>
            <w:r>
              <w:rPr>
                <w:rFonts w:ascii="Times New Roman" w:hAnsi="Times New Roman" w:eastAsia="Times New Roman" w:cs="Times New Roman"/>
                <w:spacing w:val="30"/>
                <w:w w:val="101"/>
              </w:rPr>
              <w:t xml:space="preserve"> </w:t>
            </w:r>
            <w:r>
              <w:rPr>
                <w:spacing w:val="13"/>
              </w:rPr>
              <w:t>贮存场及填埋场在施工</w:t>
            </w:r>
            <w:r>
              <w:rPr>
                <w:spacing w:val="8"/>
              </w:rPr>
              <w:t>完毕后应保存施工报告、全套竣工</w:t>
            </w:r>
            <w:r>
              <w:rPr>
                <w:spacing w:val="8"/>
              </w:rPr>
              <w:t>图、所有材料的现场及实验室检测</w:t>
            </w:r>
            <w:r>
              <w:rPr>
                <w:spacing w:val="8"/>
              </w:rPr>
              <w:t>报告。采用高密度聚乙烯膜作为人</w:t>
            </w:r>
          </w:p>
        </w:tc>
        <w:tc>
          <w:tcPr>
            <w:tcW w:w="1748" w:type="dxa"/>
            <w:vAlign w:val="top"/>
            <w:tcBorders>
              <w:bottom w:val="single" w:color="000000" w:sz="10" w:space="0"/>
            </w:tcBorders>
          </w:tcPr>
          <w:p>
            <w:pPr>
              <w:spacing w:line="321" w:lineRule="auto"/>
              <w:rPr>
                <w:rFonts w:ascii="Arial"/>
                <w:sz w:val="21"/>
              </w:rPr>
            </w:pPr>
            <w:r/>
          </w:p>
          <w:p>
            <w:pPr>
              <w:spacing w:line="322" w:lineRule="auto"/>
              <w:rPr>
                <w:rFonts w:ascii="Arial"/>
                <w:sz w:val="21"/>
              </w:rPr>
            </w:pPr>
            <w:r/>
          </w:p>
          <w:p>
            <w:pPr>
              <w:pStyle w:val="TableText"/>
              <w:ind w:left="118" w:right="105" w:firstLine="416"/>
              <w:spacing w:before="65" w:line="249" w:lineRule="auto"/>
              <w:rPr/>
            </w:pPr>
            <w:r>
              <w:rPr>
                <w:rFonts w:ascii="Times New Roman" w:hAnsi="Times New Roman" w:eastAsia="Times New Roman" w:cs="Times New Roman"/>
                <w:spacing w:val="-2"/>
              </w:rPr>
              <w:t>5.2.</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9"/>
                <w:w w:val="101"/>
              </w:rPr>
              <w:t xml:space="preserve"> </w:t>
            </w:r>
            <w:r>
              <w:rPr>
                <w:spacing w:val="-2"/>
              </w:rPr>
              <w:t>当天然</w:t>
            </w:r>
            <w:r>
              <w:rPr>
                <w:spacing w:val="16"/>
              </w:rPr>
              <w:t>基础层饱和渗透</w:t>
            </w:r>
            <w:r>
              <w:rPr>
                <w:spacing w:val="-8"/>
              </w:rPr>
              <w:t>系</w:t>
            </w:r>
            <w:r>
              <w:rPr>
                <w:spacing w:val="39"/>
              </w:rPr>
              <w:t xml:space="preserve"> </w:t>
            </w:r>
            <w:r>
              <w:rPr>
                <w:spacing w:val="-8"/>
              </w:rPr>
              <w:t>数</w:t>
            </w:r>
            <w:r>
              <w:rPr>
                <w:spacing w:val="38"/>
              </w:rPr>
              <w:t xml:space="preserve"> </w:t>
            </w:r>
            <w:r>
              <w:rPr>
                <w:spacing w:val="-8"/>
              </w:rPr>
              <w:t>不</w:t>
            </w:r>
            <w:r>
              <w:rPr>
                <w:spacing w:val="39"/>
              </w:rPr>
              <w:t xml:space="preserve"> </w:t>
            </w:r>
            <w:r>
              <w:rPr>
                <w:spacing w:val="-8"/>
              </w:rPr>
              <w:t>大</w:t>
            </w:r>
            <w:r>
              <w:rPr>
                <w:spacing w:val="40"/>
              </w:rPr>
              <w:t xml:space="preserve"> </w:t>
            </w:r>
            <w:r>
              <w:rPr>
                <w:spacing w:val="-8"/>
              </w:rPr>
              <w:t>于</w:t>
            </w:r>
            <w:r>
              <w:rPr>
                <w:rFonts w:ascii="Times New Roman" w:hAnsi="Times New Roman" w:eastAsia="Times New Roman" w:cs="Times New Roman"/>
                <w:spacing w:val="3"/>
              </w:rPr>
              <w:t>1.0×10</w:t>
            </w:r>
            <w:r>
              <w:rPr>
                <w:rFonts w:ascii="Times New Roman" w:hAnsi="Times New Roman" w:eastAsia="Times New Roman" w:cs="Times New Roman"/>
                <w:sz w:val="13"/>
                <w:szCs w:val="13"/>
                <w:spacing w:val="3"/>
                <w:position w:val="6"/>
              </w:rPr>
              <w:t>5</w:t>
            </w:r>
            <w:r>
              <w:rPr>
                <w:rFonts w:ascii="Times New Roman" w:hAnsi="Times New Roman" w:eastAsia="Times New Roman" w:cs="Times New Roman"/>
              </w:rPr>
              <w:t>cm</w:t>
            </w:r>
            <w:r>
              <w:rPr>
                <w:rFonts w:ascii="Times New Roman" w:hAnsi="Times New Roman" w:eastAsia="Times New Roman" w:cs="Times New Roman"/>
                <w:spacing w:val="3"/>
              </w:rPr>
              <w:t>/s,</w:t>
            </w:r>
            <w:r>
              <w:rPr>
                <w:rFonts w:ascii="Times New Roman" w:hAnsi="Times New Roman" w:eastAsia="Times New Roman" w:cs="Times New Roman"/>
                <w:spacing w:val="-25"/>
              </w:rPr>
              <w:t xml:space="preserve"> </w:t>
            </w:r>
            <w:r>
              <w:rPr>
                <w:spacing w:val="3"/>
              </w:rPr>
              <w:t>且厚</w:t>
            </w:r>
            <w:r>
              <w:rPr>
                <w:spacing w:val="-2"/>
              </w:rPr>
              <w:t>度</w:t>
            </w:r>
            <w:r>
              <w:rPr>
                <w:spacing w:val="-46"/>
              </w:rPr>
              <w:t xml:space="preserve"> </w:t>
            </w:r>
            <w:r>
              <w:rPr>
                <w:spacing w:val="-2"/>
              </w:rPr>
              <w:t>不</w:t>
            </w:r>
            <w:r>
              <w:rPr>
                <w:spacing w:val="-57"/>
              </w:rPr>
              <w:t xml:space="preserve"> </w:t>
            </w:r>
            <w:r>
              <w:rPr>
                <w:spacing w:val="-2"/>
              </w:rPr>
              <w:t>小</w:t>
            </w:r>
            <w:r>
              <w:rPr>
                <w:spacing w:val="-54"/>
              </w:rPr>
              <w:t xml:space="preserve"> </w:t>
            </w:r>
            <w:r>
              <w:rPr>
                <w:spacing w:val="-2"/>
              </w:rPr>
              <w:t>于</w:t>
            </w:r>
            <w:r>
              <w:rPr>
                <w:spacing w:val="-13"/>
              </w:rPr>
              <w:t xml:space="preserve"> </w:t>
            </w:r>
            <w:r>
              <w:rPr>
                <w:rFonts w:ascii="Times New Roman" w:hAnsi="Times New Roman" w:eastAsia="Times New Roman" w:cs="Times New Roman"/>
                <w:spacing w:val="-2"/>
              </w:rPr>
              <w:t>0.75m</w:t>
            </w:r>
            <w:r>
              <w:rPr>
                <w:spacing w:val="11"/>
              </w:rPr>
              <w:t>时</w:t>
            </w:r>
            <w:r>
              <w:rPr>
                <w:spacing w:val="-60"/>
              </w:rPr>
              <w:t xml:space="preserve"> </w:t>
            </w:r>
            <w:r>
              <w:rPr>
                <w:spacing w:val="11"/>
              </w:rPr>
              <w:t>，可以采用天</w:t>
            </w:r>
            <w:r>
              <w:rPr>
                <w:spacing w:val="16"/>
              </w:rPr>
              <w:t>然基础层作为防</w:t>
            </w:r>
            <w:r>
              <w:rPr>
                <w:spacing w:val="3"/>
              </w:rPr>
              <w:t>渗衬层。</w:t>
            </w:r>
          </w:p>
          <w:p>
            <w:pPr>
              <w:pStyle w:val="TableText"/>
              <w:ind w:left="115" w:right="105" w:firstLine="420"/>
              <w:spacing w:before="19" w:line="250" w:lineRule="auto"/>
              <w:rPr/>
            </w:pPr>
            <w:r>
              <w:rPr>
                <w:rFonts w:ascii="Times New Roman" w:hAnsi="Times New Roman" w:eastAsia="Times New Roman" w:cs="Times New Roman"/>
                <w:spacing w:val="1"/>
              </w:rPr>
              <w:t>5.2.2</w:t>
            </w:r>
            <w:r>
              <w:rPr>
                <w:rFonts w:ascii="Times New Roman" w:hAnsi="Times New Roman" w:eastAsia="Times New Roman" w:cs="Times New Roman"/>
                <w:spacing w:val="39"/>
                <w:w w:val="101"/>
              </w:rPr>
              <w:t xml:space="preserve"> </w:t>
            </w:r>
            <w:r>
              <w:rPr>
                <w:spacing w:val="1"/>
              </w:rPr>
              <w:t>当天然</w:t>
            </w:r>
            <w:r>
              <w:rPr>
                <w:spacing w:val="17"/>
              </w:rPr>
              <w:t>基础层不能满足</w:t>
            </w:r>
            <w:r>
              <w:rPr>
                <w:rFonts w:ascii="Times New Roman" w:hAnsi="Times New Roman" w:eastAsia="Times New Roman" w:cs="Times New Roman"/>
                <w:spacing w:val="2"/>
              </w:rPr>
              <w:t>5.2.</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条防渗要求</w:t>
            </w:r>
            <w:r>
              <w:rPr>
                <w:spacing w:val="11"/>
              </w:rPr>
              <w:t>时</w:t>
            </w:r>
            <w:r>
              <w:rPr>
                <w:spacing w:val="-57"/>
              </w:rPr>
              <w:t xml:space="preserve"> </w:t>
            </w:r>
            <w:r>
              <w:rPr>
                <w:spacing w:val="11"/>
              </w:rPr>
              <w:t>，可采用改性</w:t>
            </w:r>
            <w:r>
              <w:rPr>
                <w:spacing w:val="17"/>
              </w:rPr>
              <w:t>压实粘土类衬层</w:t>
            </w:r>
            <w:r>
              <w:rPr>
                <w:spacing w:val="17"/>
              </w:rPr>
              <w:t>或具有同等以上</w:t>
            </w:r>
            <w:r>
              <w:rPr>
                <w:spacing w:val="17"/>
              </w:rPr>
              <w:t>隔水效力的其他</w:t>
            </w:r>
            <w:r>
              <w:rPr>
                <w:spacing w:val="11"/>
              </w:rPr>
              <w:t>材料防渗衬层</w:t>
            </w:r>
            <w:r>
              <w:rPr>
                <w:spacing w:val="-56"/>
              </w:rPr>
              <w:t xml:space="preserve"> </w:t>
            </w:r>
            <w:r>
              <w:rPr>
                <w:spacing w:val="11"/>
              </w:rPr>
              <w:t>，</w:t>
            </w:r>
            <w:r>
              <w:rPr>
                <w:spacing w:val="17"/>
              </w:rPr>
              <w:t>其防渗性能应至</w:t>
            </w:r>
            <w:r>
              <w:rPr>
                <w:spacing w:val="-10"/>
              </w:rPr>
              <w:t>少</w:t>
            </w:r>
            <w:r>
              <w:rPr>
                <w:spacing w:val="-25"/>
              </w:rPr>
              <w:t xml:space="preserve"> </w:t>
            </w:r>
            <w:r>
              <w:rPr>
                <w:spacing w:val="-10"/>
              </w:rPr>
              <w:t>相</w:t>
            </w:r>
            <w:r>
              <w:rPr>
                <w:spacing w:val="-10"/>
              </w:rPr>
              <w:t xml:space="preserve"> </w:t>
            </w:r>
            <w:r>
              <w:rPr>
                <w:spacing w:val="-10"/>
              </w:rPr>
              <w:t>当</w:t>
            </w:r>
            <w:r>
              <w:rPr>
                <w:spacing w:val="-27"/>
              </w:rPr>
              <w:t xml:space="preserve"> </w:t>
            </w:r>
            <w:r>
              <w:rPr>
                <w:spacing w:val="-10"/>
              </w:rPr>
              <w:t>于</w:t>
            </w:r>
            <w:r>
              <w:rPr>
                <w:spacing w:val="-27"/>
              </w:rPr>
              <w:t xml:space="preserve"> </w:t>
            </w:r>
            <w:r>
              <w:rPr>
                <w:spacing w:val="-10"/>
              </w:rPr>
              <w:t>渗</w:t>
            </w:r>
            <w:r>
              <w:rPr>
                <w:spacing w:val="-31"/>
              </w:rPr>
              <w:t xml:space="preserve"> </w:t>
            </w:r>
            <w:r>
              <w:rPr>
                <w:spacing w:val="-10"/>
              </w:rPr>
              <w:t>透</w:t>
            </w:r>
            <w:r>
              <w:rPr>
                <w:spacing w:val="3"/>
              </w:rPr>
              <w:t>系数</w:t>
            </w:r>
            <w:r>
              <w:rPr>
                <w:spacing w:val="-21"/>
              </w:rPr>
              <w:t xml:space="preserve"> </w:t>
            </w:r>
            <w:r>
              <w:rPr>
                <w:rFonts w:ascii="Times New Roman" w:hAnsi="Times New Roman" w:eastAsia="Times New Roman" w:cs="Times New Roman"/>
                <w:spacing w:val="3"/>
              </w:rPr>
              <w:t>1.0×10</w:t>
            </w:r>
            <w:r>
              <w:rPr>
                <w:rFonts w:ascii="Times New Roman" w:hAnsi="Times New Roman" w:eastAsia="Times New Roman" w:cs="Times New Roman"/>
                <w:sz w:val="13"/>
                <w:szCs w:val="13"/>
                <w:spacing w:val="3"/>
                <w:position w:val="6"/>
              </w:rPr>
              <w:t>5</w:t>
            </w:r>
            <w:r>
              <w:rPr>
                <w:rFonts w:ascii="Times New Roman" w:hAnsi="Times New Roman" w:eastAsia="Times New Roman" w:cs="Times New Roman"/>
              </w:rPr>
              <w:t>cm</w:t>
            </w:r>
            <w:r>
              <w:rPr>
                <w:rFonts w:ascii="Times New Roman" w:hAnsi="Times New Roman" w:eastAsia="Times New Roman" w:cs="Times New Roman"/>
                <w:spacing w:val="3"/>
              </w:rPr>
              <w:t>/s</w:t>
            </w:r>
            <w:r>
              <w:rPr>
                <w:spacing w:val="-1"/>
              </w:rPr>
              <w:t>且</w:t>
            </w:r>
            <w:r>
              <w:rPr>
                <w:spacing w:val="-54"/>
              </w:rPr>
              <w:t xml:space="preserve"> </w:t>
            </w:r>
            <w:r>
              <w:rPr>
                <w:spacing w:val="-1"/>
              </w:rPr>
              <w:t>厚</w:t>
            </w:r>
            <w:r>
              <w:rPr>
                <w:spacing w:val="-58"/>
              </w:rPr>
              <w:t xml:space="preserve"> </w:t>
            </w:r>
            <w:r>
              <w:rPr>
                <w:spacing w:val="-1"/>
              </w:rPr>
              <w:t>度</w:t>
            </w:r>
            <w:r>
              <w:rPr>
                <w:spacing w:val="-50"/>
              </w:rPr>
              <w:t xml:space="preserve"> </w:t>
            </w:r>
            <w:r>
              <w:rPr>
                <w:spacing w:val="-1"/>
              </w:rPr>
              <w:t>为</w:t>
            </w:r>
            <w:r>
              <w:rPr>
                <w:spacing w:val="-13"/>
              </w:rPr>
              <w:t xml:space="preserve"> </w:t>
            </w:r>
            <w:r>
              <w:rPr>
                <w:rFonts w:ascii="Times New Roman" w:hAnsi="Times New Roman" w:eastAsia="Times New Roman" w:cs="Times New Roman"/>
                <w:spacing w:val="-1"/>
              </w:rPr>
              <w:t>0.75m</w:t>
            </w:r>
            <w:r>
              <w:rPr>
                <w:spacing w:val="6"/>
              </w:rPr>
              <w:t>的天然基础层。</w:t>
            </w:r>
          </w:p>
        </w:tc>
        <w:tc>
          <w:tcPr>
            <w:tcW w:w="2687" w:type="dxa"/>
            <w:vAlign w:val="top"/>
            <w:tcBorders>
              <w:bottom w:val="single" w:color="000000" w:sz="10" w:space="0"/>
              <w:right w:val="nil"/>
            </w:tcBorders>
          </w:tcPr>
          <w:p>
            <w:pPr>
              <w:pStyle w:val="TableText"/>
              <w:ind w:left="120" w:right="107" w:firstLine="413"/>
              <w:spacing w:before="32" w:line="251" w:lineRule="auto"/>
              <w:jc w:val="both"/>
              <w:rPr/>
            </w:pPr>
            <w:r>
              <w:rPr>
                <w:rFonts w:ascii="Times New Roman" w:hAnsi="Times New Roman" w:eastAsia="Times New Roman" w:cs="Times New Roman"/>
                <w:spacing w:val="6"/>
              </w:rPr>
              <w:t>5.3.</w:t>
            </w:r>
            <w:r>
              <w:rPr>
                <w:rFonts w:ascii="Times New Roman" w:hAnsi="Times New Roman" w:eastAsia="Times New Roman" w:cs="Times New Roman"/>
                <w:spacing w:val="-19"/>
              </w:rPr>
              <w:t xml:space="preserve"> </w:t>
            </w:r>
            <w:r>
              <w:rPr>
                <w:rFonts w:ascii="Times New Roman" w:hAnsi="Times New Roman" w:eastAsia="Times New Roman" w:cs="Times New Roman"/>
                <w:spacing w:val="6"/>
              </w:rPr>
              <w:t>1Ⅱ</w:t>
            </w:r>
            <w:r>
              <w:rPr>
                <w:spacing w:val="6"/>
              </w:rPr>
              <w:t>类场应采用单人</w:t>
            </w:r>
            <w:r>
              <w:rPr>
                <w:spacing w:val="4"/>
              </w:rPr>
              <w:t>工复合衬层作为防渗衬层，</w:t>
            </w:r>
            <w:r>
              <w:rPr>
                <w:spacing w:val="7"/>
              </w:rPr>
              <w:t>并符合以下技术要求：</w:t>
            </w:r>
          </w:p>
          <w:p>
            <w:pPr>
              <w:pStyle w:val="TableText"/>
              <w:ind w:left="111" w:right="107" w:firstLine="420"/>
              <w:spacing w:before="3" w:line="251" w:lineRule="auto"/>
              <w:jc w:val="both"/>
              <w:rPr/>
            </w:pPr>
            <w:r>
              <w:rPr>
                <w:rFonts w:ascii="Times New Roman" w:hAnsi="Times New Roman" w:eastAsia="Times New Roman" w:cs="Times New Roman"/>
                <w:spacing w:val="11"/>
              </w:rPr>
              <w:t>a</w:t>
            </w:r>
            <w:r>
              <w:rPr>
                <w:spacing w:val="11"/>
              </w:rPr>
              <w:t>）</w:t>
            </w:r>
            <w:r>
              <w:rPr>
                <w:spacing w:val="-56"/>
              </w:rPr>
              <w:t xml:space="preserve"> </w:t>
            </w:r>
            <w:r>
              <w:rPr>
                <w:spacing w:val="11"/>
              </w:rPr>
              <w:t>人工合成材料应采</w:t>
            </w:r>
            <w:r>
              <w:rPr>
                <w:spacing w:val="5"/>
              </w:rPr>
              <w:t>用高密度聚乙烯膜，厚度不</w:t>
            </w:r>
            <w:r>
              <w:rPr>
                <w:spacing w:val="-3"/>
              </w:rPr>
              <w:t>小</w:t>
            </w:r>
            <w:r>
              <w:rPr>
                <w:spacing w:val="-3"/>
              </w:rPr>
              <w:t xml:space="preserve"> </w:t>
            </w:r>
            <w:r>
              <w:rPr>
                <w:spacing w:val="-3"/>
              </w:rPr>
              <w:t>于</w:t>
            </w:r>
            <w:r>
              <w:rPr>
                <w:spacing w:val="73"/>
              </w:rPr>
              <w:t xml:space="preserve"> </w:t>
            </w:r>
            <w:r>
              <w:rPr>
                <w:rFonts w:ascii="Times New Roman" w:hAnsi="Times New Roman" w:eastAsia="Times New Roman" w:cs="Times New Roman"/>
                <w:spacing w:val="-3"/>
              </w:rPr>
              <w:t>1.5mm</w:t>
            </w:r>
            <w:r>
              <w:rPr>
                <w:rFonts w:ascii="Times New Roman" w:hAnsi="Times New Roman" w:eastAsia="Times New Roman" w:cs="Times New Roman"/>
                <w:spacing w:val="12"/>
                <w:w w:val="101"/>
              </w:rPr>
              <w:t xml:space="preserve">  </w:t>
            </w:r>
            <w:r>
              <w:rPr>
                <w:spacing w:val="-3"/>
              </w:rPr>
              <w:t>，</w:t>
            </w:r>
            <w:r>
              <w:rPr>
                <w:spacing w:val="18"/>
              </w:rPr>
              <w:t xml:space="preserve"> </w:t>
            </w:r>
            <w:r>
              <w:rPr>
                <w:spacing w:val="-3"/>
              </w:rPr>
              <w:t>并</w:t>
            </w:r>
            <w:r>
              <w:rPr>
                <w:spacing w:val="11"/>
              </w:rPr>
              <w:t xml:space="preserve"> </w:t>
            </w:r>
            <w:r>
              <w:rPr>
                <w:spacing w:val="-3"/>
              </w:rPr>
              <w:t>满</w:t>
            </w:r>
            <w:r>
              <w:rPr>
                <w:spacing w:val="11"/>
              </w:rPr>
              <w:t xml:space="preserve"> </w:t>
            </w:r>
            <w:r>
              <w:rPr>
                <w:spacing w:val="-3"/>
              </w:rPr>
              <w:t>足</w:t>
            </w:r>
            <w:r>
              <w:rPr>
                <w:rFonts w:ascii="Times New Roman" w:hAnsi="Times New Roman" w:eastAsia="Times New Roman" w:cs="Times New Roman"/>
                <w:spacing w:val="-1"/>
              </w:rPr>
              <w:t>GB/T17643</w:t>
            </w:r>
            <w:r>
              <w:rPr>
                <w:rFonts w:ascii="Times New Roman" w:hAnsi="Times New Roman" w:eastAsia="Times New Roman" w:cs="Times New Roman"/>
                <w:spacing w:val="50"/>
              </w:rPr>
              <w:t xml:space="preserve"> </w:t>
            </w:r>
            <w:r>
              <w:rPr>
                <w:spacing w:val="-1"/>
              </w:rPr>
              <w:t>规</w:t>
            </w:r>
            <w:r>
              <w:rPr>
                <w:spacing w:val="-56"/>
              </w:rPr>
              <w:t xml:space="preserve"> </w:t>
            </w:r>
            <w:r>
              <w:rPr>
                <w:spacing w:val="-1"/>
              </w:rPr>
              <w:t>定</w:t>
            </w:r>
            <w:r>
              <w:rPr>
                <w:spacing w:val="-45"/>
              </w:rPr>
              <w:t xml:space="preserve"> </w:t>
            </w:r>
            <w:r>
              <w:rPr>
                <w:spacing w:val="-1"/>
              </w:rPr>
              <w:t>的</w:t>
            </w:r>
            <w:r>
              <w:rPr>
                <w:spacing w:val="-59"/>
              </w:rPr>
              <w:t xml:space="preserve"> </w:t>
            </w:r>
            <w:r>
              <w:rPr>
                <w:spacing w:val="-1"/>
              </w:rPr>
              <w:t>技</w:t>
            </w:r>
            <w:r>
              <w:rPr>
                <w:spacing w:val="-60"/>
              </w:rPr>
              <w:t xml:space="preserve"> </w:t>
            </w:r>
            <w:r>
              <w:rPr>
                <w:spacing w:val="-1"/>
              </w:rPr>
              <w:t>术</w:t>
            </w:r>
            <w:r>
              <w:rPr>
                <w:spacing w:val="-57"/>
              </w:rPr>
              <w:t xml:space="preserve"> </w:t>
            </w:r>
            <w:r>
              <w:rPr>
                <w:spacing w:val="-1"/>
              </w:rPr>
              <w:t>指</w:t>
            </w:r>
            <w:r>
              <w:rPr>
                <w:spacing w:val="5"/>
              </w:rPr>
              <w:t>标要求。采用其他人工合成</w:t>
            </w:r>
            <w:r>
              <w:rPr>
                <w:spacing w:val="5"/>
              </w:rPr>
              <w:t>材料的，其防渗性能至少相</w:t>
            </w:r>
            <w:r>
              <w:rPr>
                <w:spacing w:val="9"/>
              </w:rPr>
              <w:t>当于</w:t>
            </w:r>
            <w:r>
              <w:rPr>
                <w:spacing w:val="9"/>
              </w:rPr>
              <w:t xml:space="preserve"> </w:t>
            </w:r>
            <w:r>
              <w:rPr>
                <w:rFonts w:ascii="Times New Roman" w:hAnsi="Times New Roman" w:eastAsia="Times New Roman" w:cs="Times New Roman"/>
                <w:spacing w:val="9"/>
              </w:rPr>
              <w:t>1.5</w:t>
            </w:r>
            <w:r>
              <w:rPr>
                <w:rFonts w:ascii="Times New Roman" w:hAnsi="Times New Roman" w:eastAsia="Times New Roman" w:cs="Times New Roman"/>
              </w:rPr>
              <w:t>mm</w:t>
            </w:r>
            <w:r>
              <w:rPr>
                <w:rFonts w:ascii="Times New Roman" w:hAnsi="Times New Roman" w:eastAsia="Times New Roman" w:cs="Times New Roman"/>
                <w:spacing w:val="44"/>
                <w:w w:val="101"/>
              </w:rPr>
              <w:t xml:space="preserve"> </w:t>
            </w:r>
            <w:r>
              <w:rPr>
                <w:spacing w:val="9"/>
              </w:rPr>
              <w:t>高密度聚乙烯</w:t>
            </w:r>
            <w:r>
              <w:rPr>
                <w:spacing w:val="7"/>
              </w:rPr>
              <w:t>膜的防渗性能。</w:t>
            </w:r>
          </w:p>
          <w:p>
            <w:pPr>
              <w:pStyle w:val="TableText"/>
              <w:ind w:left="118" w:right="107" w:firstLine="405"/>
              <w:spacing w:before="4" w:line="250" w:lineRule="auto"/>
              <w:jc w:val="both"/>
              <w:rPr/>
            </w:pPr>
            <w:r>
              <w:rPr>
                <w:rFonts w:ascii="Times New Roman" w:hAnsi="Times New Roman" w:eastAsia="Times New Roman" w:cs="Times New Roman"/>
                <w:spacing w:val="15"/>
              </w:rPr>
              <w:t>b</w:t>
            </w:r>
            <w:r>
              <w:rPr>
                <w:spacing w:val="15"/>
              </w:rPr>
              <w:t>）粘土衬层厚度应不</w:t>
            </w:r>
            <w:r>
              <w:rPr>
                <w:spacing w:val="4"/>
              </w:rPr>
              <w:t>小于</w:t>
            </w:r>
            <w:r>
              <w:rPr>
                <w:spacing w:val="-32"/>
              </w:rPr>
              <w:t xml:space="preserve"> </w:t>
            </w:r>
            <w:r>
              <w:rPr>
                <w:rFonts w:ascii="Times New Roman" w:hAnsi="Times New Roman" w:eastAsia="Times New Roman" w:cs="Times New Roman"/>
                <w:spacing w:val="4"/>
              </w:rPr>
              <w:t>0.75m</w:t>
            </w:r>
            <w:r>
              <w:rPr>
                <w:rFonts w:ascii="Times New Roman" w:hAnsi="Times New Roman" w:eastAsia="Times New Roman" w:cs="Times New Roman"/>
                <w:spacing w:val="-23"/>
              </w:rPr>
              <w:t xml:space="preserve"> </w:t>
            </w:r>
            <w:r>
              <w:rPr>
                <w:spacing w:val="4"/>
              </w:rPr>
              <w:t>，且经压实、人</w:t>
            </w:r>
            <w:r>
              <w:rPr>
                <w:spacing w:val="23"/>
              </w:rPr>
              <w:t>工改性等措施处理后的饱</w:t>
            </w:r>
            <w:r>
              <w:rPr>
                <w:spacing w:val="-8"/>
              </w:rPr>
              <w:t>和</w:t>
            </w:r>
            <w:r>
              <w:rPr>
                <w:spacing w:val="-8"/>
              </w:rPr>
              <w:t xml:space="preserve"> </w:t>
            </w:r>
            <w:r>
              <w:rPr>
                <w:spacing w:val="-8"/>
              </w:rPr>
              <w:t>渗</w:t>
            </w:r>
            <w:r>
              <w:rPr>
                <w:spacing w:val="-5"/>
              </w:rPr>
              <w:t xml:space="preserve"> </w:t>
            </w:r>
            <w:r>
              <w:rPr>
                <w:spacing w:val="-8"/>
              </w:rPr>
              <w:t>透</w:t>
            </w:r>
            <w:r>
              <w:rPr>
                <w:spacing w:val="-8"/>
              </w:rPr>
              <w:t xml:space="preserve"> </w:t>
            </w:r>
            <w:r>
              <w:rPr>
                <w:spacing w:val="-8"/>
              </w:rPr>
              <w:t>系</w:t>
            </w:r>
            <w:r>
              <w:rPr>
                <w:spacing w:val="-13"/>
              </w:rPr>
              <w:t xml:space="preserve"> </w:t>
            </w:r>
            <w:r>
              <w:rPr>
                <w:spacing w:val="-8"/>
              </w:rPr>
              <w:t>数</w:t>
            </w:r>
            <w:r>
              <w:rPr>
                <w:spacing w:val="-8"/>
              </w:rPr>
              <w:t xml:space="preserve"> </w:t>
            </w:r>
            <w:r>
              <w:rPr>
                <w:spacing w:val="-8"/>
              </w:rPr>
              <w:t>不</w:t>
            </w:r>
            <w:r>
              <w:rPr>
                <w:spacing w:val="-12"/>
              </w:rPr>
              <w:t xml:space="preserve"> </w:t>
            </w:r>
            <w:r>
              <w:rPr>
                <w:spacing w:val="-8"/>
              </w:rPr>
              <w:t>应</w:t>
            </w:r>
            <w:r>
              <w:rPr>
                <w:spacing w:val="-9"/>
              </w:rPr>
              <w:t xml:space="preserve"> </w:t>
            </w:r>
            <w:r>
              <w:rPr>
                <w:spacing w:val="-8"/>
              </w:rPr>
              <w:t>大</w:t>
            </w:r>
            <w:r>
              <w:rPr>
                <w:spacing w:val="-8"/>
              </w:rPr>
              <w:t xml:space="preserve"> </w:t>
            </w:r>
            <w:r>
              <w:rPr>
                <w:spacing w:val="-8"/>
              </w:rPr>
              <w:t>于</w:t>
            </w:r>
            <w:r>
              <w:rPr>
                <w:rFonts w:ascii="Times New Roman" w:hAnsi="Times New Roman" w:eastAsia="Times New Roman" w:cs="Times New Roman"/>
                <w:spacing w:val="3"/>
              </w:rPr>
              <w:t>1.0×10</w:t>
            </w:r>
            <w:r>
              <w:rPr>
                <w:rFonts w:ascii="Times New Roman" w:hAnsi="Times New Roman" w:eastAsia="Times New Roman" w:cs="Times New Roman"/>
                <w:sz w:val="13"/>
                <w:szCs w:val="13"/>
                <w:spacing w:val="3"/>
                <w:position w:val="6"/>
              </w:rPr>
              <w:t>-7</w:t>
            </w:r>
            <w:r>
              <w:rPr>
                <w:rFonts w:ascii="Times New Roman" w:hAnsi="Times New Roman" w:eastAsia="Times New Roman" w:cs="Times New Roman"/>
              </w:rPr>
              <w:t>cm</w:t>
            </w:r>
            <w:r>
              <w:rPr>
                <w:rFonts w:ascii="Times New Roman" w:hAnsi="Times New Roman" w:eastAsia="Times New Roman" w:cs="Times New Roman"/>
                <w:spacing w:val="3"/>
              </w:rPr>
              <w:t>/s</w:t>
            </w:r>
            <w:r>
              <w:rPr>
                <w:spacing w:val="3"/>
              </w:rPr>
              <w:t>。</w:t>
            </w:r>
          </w:p>
          <w:p>
            <w:pPr>
              <w:pStyle w:val="TableText"/>
              <w:ind w:left="117" w:right="110" w:firstLine="421"/>
              <w:spacing w:before="5" w:line="251" w:lineRule="auto"/>
              <w:jc w:val="both"/>
              <w:rPr/>
            </w:pPr>
            <w:r>
              <w:rPr>
                <w:spacing w:val="26"/>
              </w:rPr>
              <w:t>使用其他粘土类防渗</w:t>
            </w:r>
            <w:r>
              <w:rPr>
                <w:spacing w:val="4"/>
              </w:rPr>
              <w:t>衬层材料时，应具有同等以</w:t>
            </w:r>
            <w:r>
              <w:rPr>
                <w:spacing w:val="5"/>
              </w:rPr>
              <w:t>上隔水效力。</w:t>
            </w:r>
          </w:p>
          <w:p>
            <w:pPr>
              <w:pStyle w:val="TableText"/>
              <w:ind w:left="118" w:right="106" w:firstLine="415"/>
              <w:spacing w:before="1" w:line="246" w:lineRule="auto"/>
              <w:jc w:val="both"/>
              <w:rPr/>
            </w:pPr>
            <w:r>
              <w:rPr>
                <w:rFonts w:ascii="Times New Roman" w:hAnsi="Times New Roman" w:eastAsia="Times New Roman" w:cs="Times New Roman"/>
                <w:spacing w:val="4"/>
              </w:rPr>
              <w:t>5.3.2</w:t>
            </w:r>
            <w:r>
              <w:rPr>
                <w:rFonts w:ascii="Times New Roman" w:hAnsi="Times New Roman" w:eastAsia="Times New Roman" w:cs="Times New Roman"/>
                <w:spacing w:val="42"/>
                <w:w w:val="101"/>
              </w:rPr>
              <w:t xml:space="preserve"> </w:t>
            </w:r>
            <w:r>
              <w:rPr>
                <w:rFonts w:ascii="Times New Roman" w:hAnsi="Times New Roman" w:eastAsia="Times New Roman" w:cs="Times New Roman"/>
                <w:spacing w:val="4"/>
              </w:rPr>
              <w:t>Ⅱ</w:t>
            </w:r>
            <w:r>
              <w:rPr>
                <w:spacing w:val="4"/>
              </w:rPr>
              <w:t>类</w:t>
            </w:r>
            <w:r>
              <w:rPr>
                <w:spacing w:val="-60"/>
              </w:rPr>
              <w:t xml:space="preserve"> </w:t>
            </w:r>
            <w:r>
              <w:rPr>
                <w:spacing w:val="4"/>
              </w:rPr>
              <w:t>场</w:t>
            </w:r>
            <w:r>
              <w:rPr>
                <w:spacing w:val="-57"/>
              </w:rPr>
              <w:t xml:space="preserve"> </w:t>
            </w:r>
            <w:r>
              <w:rPr>
                <w:spacing w:val="4"/>
              </w:rPr>
              <w:t>基础</w:t>
            </w:r>
            <w:r>
              <w:rPr>
                <w:spacing w:val="-56"/>
              </w:rPr>
              <w:t xml:space="preserve"> </w:t>
            </w:r>
            <w:r>
              <w:rPr>
                <w:spacing w:val="4"/>
              </w:rPr>
              <w:t>层</w:t>
            </w:r>
            <w:r>
              <w:rPr>
                <w:spacing w:val="-59"/>
              </w:rPr>
              <w:t xml:space="preserve"> </w:t>
            </w:r>
            <w:r>
              <w:rPr>
                <w:spacing w:val="4"/>
              </w:rPr>
              <w:t>表</w:t>
            </w:r>
            <w:r>
              <w:rPr>
                <w:spacing w:val="23"/>
              </w:rPr>
              <w:t>面应与地下水年最高水位</w:t>
            </w:r>
            <w:r>
              <w:rPr/>
              <w:t>保持</w:t>
            </w:r>
            <w:r>
              <w:rPr/>
              <w:t xml:space="preserve"> </w:t>
            </w:r>
            <w:r>
              <w:rPr>
                <w:rFonts w:ascii="Times New Roman" w:hAnsi="Times New Roman" w:eastAsia="Times New Roman" w:cs="Times New Roman"/>
              </w:rPr>
              <w:t>1.5m</w:t>
            </w:r>
            <w:r>
              <w:rPr>
                <w:rFonts w:ascii="Times New Roman" w:hAnsi="Times New Roman" w:eastAsia="Times New Roman" w:cs="Times New Roman"/>
                <w:spacing w:val="49"/>
                <w:w w:val="101"/>
              </w:rPr>
              <w:t xml:space="preserve"> </w:t>
            </w:r>
            <w:r>
              <w:rPr/>
              <w:t>以上的距离。</w:t>
            </w:r>
            <w:r>
              <w:rPr>
                <w:spacing w:val="-51"/>
              </w:rPr>
              <w:t xml:space="preserve"> </w:t>
            </w:r>
            <w:r>
              <w:rPr/>
              <w:t>当</w:t>
            </w:r>
            <w:r>
              <w:rPr>
                <w:spacing w:val="23"/>
              </w:rPr>
              <w:t>场区基础层表面与地下水</w:t>
            </w:r>
            <w:r>
              <w:rPr>
                <w:spacing w:val="10"/>
              </w:rPr>
              <w:t>年最高水位距离不足</w:t>
            </w:r>
            <w:r>
              <w:rPr>
                <w:spacing w:val="10"/>
              </w:rPr>
              <w:t xml:space="preserve"> </w:t>
            </w:r>
            <w:r>
              <w:rPr>
                <w:rFonts w:ascii="Times New Roman" w:hAnsi="Times New Roman" w:eastAsia="Times New Roman" w:cs="Times New Roman"/>
                <w:spacing w:val="10"/>
              </w:rPr>
              <w:t>1.5m</w:t>
            </w:r>
            <w:r>
              <w:rPr>
                <w:spacing w:val="19"/>
              </w:rPr>
              <w:t>时</w:t>
            </w:r>
            <w:r>
              <w:rPr>
                <w:spacing w:val="-55"/>
              </w:rPr>
              <w:t xml:space="preserve"> </w:t>
            </w:r>
            <w:r>
              <w:rPr>
                <w:spacing w:val="19"/>
              </w:rPr>
              <w:t>，应建设地下水导排系</w:t>
            </w:r>
            <w:r>
              <w:rPr>
                <w:spacing w:val="4"/>
              </w:rPr>
              <w:t>统。地下水导排系统应确保</w:t>
            </w:r>
          </w:p>
        </w:tc>
      </w:tr>
    </w:tbl>
    <w:p>
      <w:pPr>
        <w:pStyle w:val="BodyText"/>
        <w:rPr/>
      </w:pPr>
      <w:r/>
    </w:p>
    <w:p>
      <w:pPr>
        <w:sectPr>
          <w:footerReference w:type="default" r:id="rId83"/>
          <w:pgSz w:w="11911" w:h="16839"/>
          <w:pgMar w:top="400" w:right="1309" w:bottom="1146"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7"/>
        <w:gridCol w:w="3360"/>
        <w:gridCol w:w="1748"/>
        <w:gridCol w:w="2687"/>
      </w:tblGrid>
      <w:tr>
        <w:trPr>
          <w:trHeight w:val="5698" w:hRule="atLeast"/>
        </w:trPr>
        <w:tc>
          <w:tcPr>
            <w:tcW w:w="1117" w:type="dxa"/>
            <w:vAlign w:val="top"/>
            <w:tcBorders>
              <w:top w:val="single" w:color="000000" w:sz="10" w:space="0"/>
              <w:left w:val="nil"/>
            </w:tcBorders>
          </w:tcPr>
          <w:p>
            <w:pPr>
              <w:rPr>
                <w:rFonts w:ascii="Arial"/>
                <w:sz w:val="21"/>
              </w:rPr>
            </w:pPr>
            <w:r/>
          </w:p>
        </w:tc>
        <w:tc>
          <w:tcPr>
            <w:tcW w:w="3360" w:type="dxa"/>
            <w:vAlign w:val="top"/>
            <w:tcBorders>
              <w:top w:val="single" w:color="000000" w:sz="10" w:space="0"/>
            </w:tcBorders>
          </w:tcPr>
          <w:p>
            <w:pPr>
              <w:pStyle w:val="TableText"/>
              <w:ind w:left="119" w:right="108" w:firstLine="4"/>
              <w:spacing w:before="18" w:line="251" w:lineRule="auto"/>
              <w:jc w:val="both"/>
              <w:rPr/>
            </w:pPr>
            <w:r>
              <w:rPr>
                <w:spacing w:val="23"/>
              </w:rPr>
              <w:t>工合成材料衬层的贮存场及填埋</w:t>
            </w:r>
            <w:r>
              <w:rPr>
                <w:spacing w:val="23"/>
              </w:rPr>
              <w:t>场还应提交人工防渗衬层完整性</w:t>
            </w:r>
            <w:r>
              <w:rPr>
                <w:spacing w:val="8"/>
              </w:rPr>
              <w:t>检测报告。上述材料连同施工质量</w:t>
            </w:r>
            <w:r>
              <w:rPr>
                <w:spacing w:val="23"/>
              </w:rPr>
              <w:t>保证书作为竣工环境保护验收的</w:t>
            </w:r>
            <w:r>
              <w:rPr>
                <w:spacing w:val="1"/>
              </w:rPr>
              <w:t>依据。</w:t>
            </w:r>
          </w:p>
          <w:p>
            <w:pPr>
              <w:pStyle w:val="TableText"/>
              <w:ind w:left="119" w:right="108" w:firstLine="415"/>
              <w:spacing w:before="2" w:line="243" w:lineRule="auto"/>
              <w:rPr/>
            </w:pPr>
            <w:r>
              <w:rPr>
                <w:rFonts w:ascii="Times New Roman" w:hAnsi="Times New Roman" w:eastAsia="Times New Roman" w:cs="Times New Roman"/>
                <w:spacing w:val="13"/>
              </w:rPr>
              <w:t>5.</w:t>
            </w:r>
            <w:r>
              <w:rPr>
                <w:rFonts w:ascii="Times New Roman" w:hAnsi="Times New Roman" w:eastAsia="Times New Roman" w:cs="Times New Roman"/>
                <w:spacing w:val="-15"/>
              </w:rPr>
              <w:t xml:space="preserve"> </w:t>
            </w:r>
            <w:r>
              <w:rPr>
                <w:rFonts w:ascii="Times New Roman" w:hAnsi="Times New Roman" w:eastAsia="Times New Roman" w:cs="Times New Roman"/>
                <w:spacing w:val="13"/>
              </w:rPr>
              <w:t>1.6</w:t>
            </w:r>
            <w:r>
              <w:rPr>
                <w:rFonts w:ascii="Times New Roman" w:hAnsi="Times New Roman" w:eastAsia="Times New Roman" w:cs="Times New Roman"/>
                <w:spacing w:val="30"/>
                <w:w w:val="101"/>
              </w:rPr>
              <w:t xml:space="preserve"> </w:t>
            </w:r>
            <w:r>
              <w:rPr>
                <w:spacing w:val="13"/>
              </w:rPr>
              <w:t>贮存场及填埋场渗滤液</w:t>
            </w:r>
            <w:r>
              <w:rPr>
                <w:spacing w:val="23"/>
              </w:rPr>
              <w:t>收集池的防渗要求应不低于对应</w:t>
            </w:r>
            <w:r>
              <w:rPr>
                <w:spacing w:val="7"/>
              </w:rPr>
              <w:t>贮存场、填埋场的防渗要求。</w:t>
            </w:r>
          </w:p>
          <w:p>
            <w:pPr>
              <w:pStyle w:val="TableText"/>
              <w:ind w:left="118" w:right="105" w:firstLine="416"/>
              <w:spacing w:before="25" w:line="247" w:lineRule="auto"/>
              <w:rPr/>
            </w:pPr>
            <w:r>
              <w:rPr>
                <w:rFonts w:ascii="Times New Roman" w:hAnsi="Times New Roman" w:eastAsia="Times New Roman" w:cs="Times New Roman"/>
                <w:spacing w:val="13"/>
              </w:rPr>
              <w:t>5.</w:t>
            </w:r>
            <w:r>
              <w:rPr>
                <w:rFonts w:ascii="Times New Roman" w:hAnsi="Times New Roman" w:eastAsia="Times New Roman" w:cs="Times New Roman"/>
                <w:spacing w:val="-15"/>
              </w:rPr>
              <w:t xml:space="preserve"> </w:t>
            </w:r>
            <w:r>
              <w:rPr>
                <w:rFonts w:ascii="Times New Roman" w:hAnsi="Times New Roman" w:eastAsia="Times New Roman" w:cs="Times New Roman"/>
                <w:spacing w:val="13"/>
              </w:rPr>
              <w:t>1.7</w:t>
            </w:r>
            <w:r>
              <w:rPr>
                <w:rFonts w:ascii="Times New Roman" w:hAnsi="Times New Roman" w:eastAsia="Times New Roman" w:cs="Times New Roman"/>
                <w:spacing w:val="30"/>
                <w:w w:val="101"/>
              </w:rPr>
              <w:t xml:space="preserve"> </w:t>
            </w:r>
            <w:r>
              <w:rPr>
                <w:spacing w:val="13"/>
              </w:rPr>
              <w:t>贮存场除应符合本标准</w:t>
            </w:r>
            <w:r>
              <w:rPr>
                <w:spacing w:val="8"/>
              </w:rPr>
              <w:t>规定污染控制技术要求之外，其设</w:t>
            </w:r>
            <w:r>
              <w:rPr>
                <w:spacing w:val="8"/>
              </w:rPr>
              <w:t>计、施工、运行、封场等还应符合</w:t>
            </w:r>
            <w:r>
              <w:rPr>
                <w:spacing w:val="8"/>
              </w:rPr>
              <w:t>相关行政法规规定、国家及行业标</w:t>
            </w:r>
            <w:r>
              <w:rPr>
                <w:spacing w:val="3"/>
              </w:rPr>
              <w:t>准要求。</w:t>
            </w:r>
          </w:p>
          <w:p>
            <w:pPr>
              <w:pStyle w:val="TableText"/>
              <w:ind w:left="118" w:right="105" w:firstLine="416"/>
              <w:spacing w:before="22" w:line="246" w:lineRule="auto"/>
              <w:rPr/>
            </w:pPr>
            <w:r>
              <w:rPr>
                <w:rFonts w:ascii="Times New Roman" w:hAnsi="Times New Roman" w:eastAsia="Times New Roman" w:cs="Times New Roman"/>
                <w:spacing w:val="1"/>
              </w:rPr>
              <w:t>5.</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1.8</w:t>
            </w:r>
            <w:r>
              <w:rPr>
                <w:rFonts w:ascii="Times New Roman" w:hAnsi="Times New Roman" w:eastAsia="Times New Roman" w:cs="Times New Roman"/>
                <w:spacing w:val="16"/>
              </w:rPr>
              <w:t xml:space="preserve"> </w:t>
            </w:r>
            <w:r>
              <w:rPr>
                <w:spacing w:val="1"/>
              </w:rPr>
              <w:t>食品制造业、纺织服装和</w:t>
            </w:r>
            <w:r>
              <w:rPr>
                <w:spacing w:val="8"/>
              </w:rPr>
              <w:t>服饰业、造纸和纸制品业、农副食</w:t>
            </w:r>
            <w:r>
              <w:rPr>
                <w:spacing w:val="15"/>
              </w:rPr>
              <w:t>品加工业等为</w:t>
            </w:r>
            <w:r>
              <w:rPr>
                <w:spacing w:val="-25"/>
              </w:rPr>
              <w:t xml:space="preserve"> </w:t>
            </w:r>
            <w:r>
              <w:rPr>
                <w:spacing w:val="15"/>
              </w:rPr>
              <w:t>日</w:t>
            </w:r>
            <w:r>
              <w:rPr>
                <w:spacing w:val="-58"/>
              </w:rPr>
              <w:t xml:space="preserve"> </w:t>
            </w:r>
            <w:r>
              <w:rPr>
                <w:spacing w:val="15"/>
              </w:rPr>
              <w:t>常生活提供服务</w:t>
            </w:r>
            <w:r>
              <w:rPr>
                <w:spacing w:val="23"/>
              </w:rPr>
              <w:t>的活动中产生的与生活垃圾性质</w:t>
            </w:r>
            <w:r>
              <w:rPr>
                <w:spacing w:val="8"/>
              </w:rPr>
              <w:t>相近的一般工业固体废物，以及有</w:t>
            </w:r>
            <w:r>
              <w:rPr>
                <w:spacing w:val="13"/>
              </w:rPr>
              <w:t>机质含体废物贮存、填量超过</w:t>
            </w:r>
            <w:r>
              <w:rPr>
                <w:spacing w:val="-33"/>
              </w:rPr>
              <w:t xml:space="preserve"> </w:t>
            </w:r>
            <w:r>
              <w:rPr>
                <w:rFonts w:ascii="Times New Roman" w:hAnsi="Times New Roman" w:eastAsia="Times New Roman" w:cs="Times New Roman"/>
                <w:spacing w:val="13"/>
              </w:rPr>
              <w:t>5%</w:t>
            </w:r>
            <w:r>
              <w:rPr>
                <w:spacing w:val="4"/>
              </w:rPr>
              <w:t>的一般工业固（煤研石除外）</w:t>
            </w:r>
            <w:r>
              <w:rPr>
                <w:rFonts w:ascii="Times New Roman" w:hAnsi="Times New Roman" w:eastAsia="Times New Roman" w:cs="Times New Roman"/>
                <w:spacing w:val="4"/>
              </w:rPr>
              <w:t>,</w:t>
            </w:r>
            <w:r>
              <w:rPr>
                <w:spacing w:val="4"/>
              </w:rPr>
              <w:t>其直</w:t>
            </w:r>
            <w:r>
              <w:rPr>
                <w:spacing w:val="5"/>
              </w:rPr>
              <w:t>接埋处置应符合</w:t>
            </w:r>
            <w:r>
              <w:rPr>
                <w:spacing w:val="-29"/>
              </w:rPr>
              <w:t xml:space="preserve"> </w:t>
            </w:r>
            <w:r>
              <w:rPr>
                <w:rFonts w:ascii="Times New Roman" w:hAnsi="Times New Roman" w:eastAsia="Times New Roman" w:cs="Times New Roman"/>
              </w:rPr>
              <w:t>GB</w:t>
            </w:r>
            <w:r>
              <w:rPr>
                <w:rFonts w:ascii="Times New Roman" w:hAnsi="Times New Roman" w:eastAsia="Times New Roman" w:cs="Times New Roman"/>
                <w:spacing w:val="5"/>
              </w:rPr>
              <w:t>16889</w:t>
            </w:r>
            <w:r>
              <w:rPr>
                <w:rFonts w:ascii="Times New Roman" w:hAnsi="Times New Roman" w:eastAsia="Times New Roman" w:cs="Times New Roman"/>
                <w:spacing w:val="20"/>
              </w:rPr>
              <w:t xml:space="preserve"> </w:t>
            </w:r>
            <w:r>
              <w:rPr>
                <w:spacing w:val="5"/>
              </w:rPr>
              <w:t>要求。</w:t>
            </w:r>
          </w:p>
        </w:tc>
        <w:tc>
          <w:tcPr>
            <w:tcW w:w="1748" w:type="dxa"/>
            <w:vAlign w:val="top"/>
            <w:tcBorders>
              <w:top w:val="single" w:color="000000" w:sz="10" w:space="0"/>
            </w:tcBorders>
          </w:tcPr>
          <w:p>
            <w:pPr>
              <w:rPr>
                <w:rFonts w:ascii="Arial"/>
                <w:sz w:val="21"/>
              </w:rPr>
            </w:pPr>
            <w:r/>
          </w:p>
        </w:tc>
        <w:tc>
          <w:tcPr>
            <w:tcW w:w="2687" w:type="dxa"/>
            <w:vAlign w:val="top"/>
            <w:tcBorders>
              <w:top w:val="single" w:color="000000" w:sz="10" w:space="0"/>
              <w:right w:val="nil"/>
            </w:tcBorders>
          </w:tcPr>
          <w:p>
            <w:pPr>
              <w:pStyle w:val="TableText"/>
              <w:ind w:left="119" w:right="107" w:hanging="10"/>
              <w:spacing w:before="15" w:line="251" w:lineRule="auto"/>
              <w:jc w:val="both"/>
              <w:rPr/>
            </w:pPr>
            <w:r>
              <w:rPr>
                <w:rFonts w:ascii="Times New Roman" w:hAnsi="Times New Roman" w:eastAsia="Times New Roman" w:cs="Times New Roman"/>
                <w:spacing w:val="11"/>
              </w:rPr>
              <w:t>Ⅱ</w:t>
            </w:r>
            <w:r>
              <w:rPr>
                <w:spacing w:val="11"/>
              </w:rPr>
              <w:t>类场运行期地下水水位维</w:t>
            </w:r>
            <w:r>
              <w:rPr>
                <w:spacing w:val="-1"/>
              </w:rPr>
              <w:t>持</w:t>
            </w:r>
            <w:r>
              <w:rPr>
                <w:spacing w:val="-49"/>
              </w:rPr>
              <w:t xml:space="preserve"> </w:t>
            </w:r>
            <w:r>
              <w:rPr>
                <w:spacing w:val="-1"/>
              </w:rPr>
              <w:t>在</w:t>
            </w:r>
            <w:r>
              <w:rPr>
                <w:spacing w:val="-53"/>
              </w:rPr>
              <w:t xml:space="preserve"> </w:t>
            </w:r>
            <w:r>
              <w:rPr>
                <w:spacing w:val="-1"/>
              </w:rPr>
              <w:t>基</w:t>
            </w:r>
            <w:r>
              <w:rPr>
                <w:spacing w:val="-53"/>
              </w:rPr>
              <w:t xml:space="preserve"> </w:t>
            </w:r>
            <w:r>
              <w:rPr>
                <w:spacing w:val="-1"/>
              </w:rPr>
              <w:t>础</w:t>
            </w:r>
            <w:r>
              <w:rPr>
                <w:spacing w:val="-51"/>
              </w:rPr>
              <w:t xml:space="preserve"> </w:t>
            </w:r>
            <w:r>
              <w:rPr>
                <w:spacing w:val="-1"/>
              </w:rPr>
              <w:t>层</w:t>
            </w:r>
            <w:r>
              <w:rPr>
                <w:spacing w:val="-51"/>
              </w:rPr>
              <w:t xml:space="preserve"> </w:t>
            </w:r>
            <w:r>
              <w:rPr>
                <w:spacing w:val="-1"/>
              </w:rPr>
              <w:t>表面</w:t>
            </w:r>
            <w:r>
              <w:rPr>
                <w:spacing w:val="-1"/>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10"/>
              </w:rPr>
              <w:t xml:space="preserve">  </w:t>
            </w:r>
            <w:r>
              <w:rPr>
                <w:spacing w:val="-1"/>
              </w:rPr>
              <w:t>以</w:t>
            </w:r>
            <w:r>
              <w:rPr>
                <w:spacing w:val="-4"/>
              </w:rPr>
              <w:t>下。</w:t>
            </w:r>
          </w:p>
          <w:p>
            <w:pPr>
              <w:pStyle w:val="TableText"/>
              <w:ind w:left="117" w:right="108" w:firstLine="416"/>
              <w:spacing w:before="1" w:line="248" w:lineRule="auto"/>
              <w:rPr/>
            </w:pPr>
            <w:r>
              <w:rPr>
                <w:rFonts w:ascii="Times New Roman" w:hAnsi="Times New Roman" w:eastAsia="Times New Roman" w:cs="Times New Roman"/>
                <w:spacing w:val="4"/>
              </w:rPr>
              <w:t>5.3.3</w:t>
            </w:r>
            <w:r>
              <w:rPr>
                <w:rFonts w:ascii="Times New Roman" w:hAnsi="Times New Roman" w:eastAsia="Times New Roman" w:cs="Times New Roman"/>
                <w:spacing w:val="43"/>
              </w:rPr>
              <w:t xml:space="preserve"> </w:t>
            </w:r>
            <w:r>
              <w:rPr>
                <w:rFonts w:ascii="Times New Roman" w:hAnsi="Times New Roman" w:eastAsia="Times New Roman" w:cs="Times New Roman"/>
                <w:spacing w:val="4"/>
              </w:rPr>
              <w:t>Ⅱ</w:t>
            </w:r>
            <w:r>
              <w:rPr>
                <w:spacing w:val="4"/>
              </w:rPr>
              <w:t>类</w:t>
            </w:r>
            <w:r>
              <w:rPr>
                <w:spacing w:val="-59"/>
              </w:rPr>
              <w:t xml:space="preserve"> </w:t>
            </w:r>
            <w:r>
              <w:rPr>
                <w:spacing w:val="4"/>
              </w:rPr>
              <w:t>场</w:t>
            </w:r>
            <w:r>
              <w:rPr>
                <w:spacing w:val="-58"/>
              </w:rPr>
              <w:t xml:space="preserve"> </w:t>
            </w:r>
            <w:r>
              <w:rPr>
                <w:spacing w:val="4"/>
              </w:rPr>
              <w:t>应设</w:t>
            </w:r>
            <w:r>
              <w:rPr>
                <w:spacing w:val="-57"/>
              </w:rPr>
              <w:t xml:space="preserve"> </w:t>
            </w:r>
            <w:r>
              <w:rPr>
                <w:spacing w:val="4"/>
              </w:rPr>
              <w:t>置</w:t>
            </w:r>
            <w:r>
              <w:rPr>
                <w:spacing w:val="-58"/>
              </w:rPr>
              <w:t xml:space="preserve"> </w:t>
            </w:r>
            <w:r>
              <w:rPr>
                <w:spacing w:val="4"/>
              </w:rPr>
              <w:t>渗</w:t>
            </w:r>
            <w:r>
              <w:rPr>
                <w:spacing w:val="4"/>
              </w:rPr>
              <w:t>漏监控系统，监控防渗衬层</w:t>
            </w:r>
            <w:r>
              <w:rPr>
                <w:spacing w:val="4"/>
              </w:rPr>
              <w:t>的完整性。渗漏监控系统的</w:t>
            </w:r>
            <w:r>
              <w:rPr>
                <w:spacing w:val="23"/>
              </w:rPr>
              <w:t>构成包括但不限于防渗衬</w:t>
            </w:r>
            <w:r>
              <w:rPr>
                <w:spacing w:val="4"/>
              </w:rPr>
              <w:t>层渗漏监测设备、地下水监</w:t>
            </w:r>
            <w:r>
              <w:rPr>
                <w:spacing w:val="1"/>
              </w:rPr>
              <w:t>测井。</w:t>
            </w:r>
          </w:p>
          <w:p>
            <w:pPr>
              <w:pStyle w:val="TableText"/>
              <w:ind w:left="119" w:right="108" w:firstLine="414"/>
              <w:spacing w:before="22" w:line="246" w:lineRule="auto"/>
              <w:rPr/>
            </w:pPr>
            <w:r>
              <w:rPr>
                <w:rFonts w:ascii="Times New Roman" w:hAnsi="Times New Roman" w:eastAsia="Times New Roman" w:cs="Times New Roman"/>
                <w:spacing w:val="13"/>
              </w:rPr>
              <w:t>5.3.4</w:t>
            </w:r>
            <w:r>
              <w:rPr>
                <w:rFonts w:ascii="Times New Roman" w:hAnsi="Times New Roman" w:eastAsia="Times New Roman" w:cs="Times New Roman"/>
                <w:spacing w:val="35"/>
              </w:rPr>
              <w:t xml:space="preserve"> </w:t>
            </w:r>
            <w:r>
              <w:rPr>
                <w:spacing w:val="13"/>
              </w:rPr>
              <w:t>人工合成材料衬</w:t>
            </w:r>
            <w:r>
              <w:rPr>
                <w:spacing w:val="4"/>
              </w:rPr>
              <w:t>层、渗滤液收集和导排系统</w:t>
            </w:r>
            <w:r>
              <w:rPr>
                <w:spacing w:val="23"/>
              </w:rPr>
              <w:t>的施工不应对粘土衬层造</w:t>
            </w:r>
            <w:r>
              <w:rPr>
                <w:spacing w:val="3"/>
              </w:rPr>
              <w:t>成破坏。</w:t>
            </w:r>
          </w:p>
        </w:tc>
      </w:tr>
      <w:tr>
        <w:trPr>
          <w:trHeight w:val="4627" w:hRule="atLeast"/>
        </w:trPr>
        <w:tc>
          <w:tcPr>
            <w:tcW w:w="1117" w:type="dxa"/>
            <w:vAlign w:val="top"/>
            <w:tcBorders>
              <w:left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51"/>
              <w:spacing w:before="65" w:line="231" w:lineRule="auto"/>
              <w:rPr/>
            </w:pPr>
            <w:r>
              <w:rPr>
                <w:spacing w:val="5"/>
              </w:rPr>
              <w:t>入场要求</w:t>
            </w:r>
          </w:p>
        </w:tc>
        <w:tc>
          <w:tcPr>
            <w:tcW w:w="3360"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20" w:right="108" w:firstLine="413"/>
              <w:spacing w:before="65" w:line="250" w:lineRule="auto"/>
              <w:jc w:val="both"/>
              <w:rPr/>
            </w:pPr>
            <w:r>
              <w:rPr>
                <w:rFonts w:ascii="Times New Roman" w:hAnsi="Times New Roman" w:eastAsia="Times New Roman" w:cs="Times New Roman"/>
                <w:spacing w:val="5"/>
              </w:rPr>
              <w:t>6.3</w:t>
            </w:r>
            <w:r>
              <w:rPr>
                <w:rFonts w:ascii="Times New Roman" w:hAnsi="Times New Roman" w:eastAsia="Times New Roman" w:cs="Times New Roman"/>
                <w:spacing w:val="29"/>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1.8</w:t>
            </w:r>
            <w:r>
              <w:rPr>
                <w:rFonts w:ascii="Times New Roman" w:hAnsi="Times New Roman" w:eastAsia="Times New Roman" w:cs="Times New Roman"/>
                <w:spacing w:val="22"/>
                <w:w w:val="101"/>
              </w:rPr>
              <w:t xml:space="preserve"> </w:t>
            </w:r>
            <w:r>
              <w:rPr>
                <w:spacing w:val="5"/>
              </w:rPr>
              <w:t>条所规定的一般工业</w:t>
            </w:r>
            <w:r>
              <w:rPr>
                <w:spacing w:val="8"/>
              </w:rPr>
              <w:t>固体废物经处理并满足</w:t>
            </w:r>
            <w:r>
              <w:rPr>
                <w:spacing w:val="-26"/>
              </w:rPr>
              <w:t xml:space="preserve"> </w:t>
            </w:r>
            <w:r>
              <w:rPr>
                <w:rFonts w:ascii="Times New Roman" w:hAnsi="Times New Roman" w:eastAsia="Times New Roman" w:cs="Times New Roman"/>
                <w:spacing w:val="8"/>
              </w:rPr>
              <w:t>6.2</w:t>
            </w:r>
            <w:r>
              <w:rPr>
                <w:rFonts w:ascii="Times New Roman" w:hAnsi="Times New Roman" w:eastAsia="Times New Roman" w:cs="Times New Roman"/>
                <w:spacing w:val="23"/>
              </w:rPr>
              <w:t xml:space="preserve"> </w:t>
            </w:r>
            <w:r>
              <w:rPr>
                <w:spacing w:val="8"/>
              </w:rPr>
              <w:t>条要求</w:t>
            </w:r>
            <w:r>
              <w:rPr>
                <w:spacing w:val="7"/>
              </w:rPr>
              <w:t>后仅可进入</w:t>
            </w:r>
            <w:r>
              <w:rPr>
                <w:rFonts w:ascii="Times New Roman" w:hAnsi="Times New Roman" w:eastAsia="Times New Roman" w:cs="Times New Roman"/>
                <w:spacing w:val="7"/>
              </w:rPr>
              <w:t>Ⅱ</w:t>
            </w:r>
            <w:r>
              <w:rPr>
                <w:spacing w:val="7"/>
              </w:rPr>
              <w:t>类场贮存、填埋。</w:t>
            </w:r>
          </w:p>
          <w:p>
            <w:pPr>
              <w:pStyle w:val="TableText"/>
              <w:ind w:left="119" w:right="108" w:firstLine="414"/>
              <w:spacing w:before="4" w:line="244" w:lineRule="auto"/>
              <w:rPr/>
            </w:pPr>
            <w:r>
              <w:rPr>
                <w:rFonts w:ascii="Times New Roman" w:hAnsi="Times New Roman" w:eastAsia="Times New Roman" w:cs="Times New Roman"/>
                <w:spacing w:val="13"/>
              </w:rPr>
              <w:t>6.4</w:t>
            </w:r>
            <w:r>
              <w:rPr>
                <w:rFonts w:ascii="Times New Roman" w:hAnsi="Times New Roman" w:eastAsia="Times New Roman" w:cs="Times New Roman"/>
                <w:spacing w:val="29"/>
                <w:w w:val="101"/>
              </w:rPr>
              <w:t xml:space="preserve"> </w:t>
            </w:r>
            <w:r>
              <w:rPr>
                <w:spacing w:val="13"/>
              </w:rPr>
              <w:t>不相容的一般工业固体废</w:t>
            </w:r>
            <w:r>
              <w:rPr>
                <w:spacing w:val="23"/>
              </w:rPr>
              <w:t>物应设置不同的分区进行贮存和</w:t>
            </w:r>
            <w:r>
              <w:rPr>
                <w:spacing w:val="4"/>
              </w:rPr>
              <w:t>填埋作业。</w:t>
            </w:r>
          </w:p>
          <w:p>
            <w:pPr>
              <w:pStyle w:val="TableText"/>
              <w:ind w:left="120" w:right="108" w:firstLine="413"/>
              <w:spacing w:before="26" w:line="244" w:lineRule="auto"/>
              <w:rPr/>
            </w:pPr>
            <w:r>
              <w:rPr>
                <w:rFonts w:ascii="Times New Roman" w:hAnsi="Times New Roman" w:eastAsia="Times New Roman" w:cs="Times New Roman"/>
                <w:spacing w:val="13"/>
              </w:rPr>
              <w:t>6.5</w:t>
            </w:r>
            <w:r>
              <w:rPr>
                <w:rFonts w:ascii="Times New Roman" w:hAnsi="Times New Roman" w:eastAsia="Times New Roman" w:cs="Times New Roman"/>
                <w:spacing w:val="29"/>
                <w:w w:val="101"/>
              </w:rPr>
              <w:t xml:space="preserve"> </w:t>
            </w:r>
            <w:r>
              <w:rPr>
                <w:spacing w:val="13"/>
              </w:rPr>
              <w:t>危险废物和生活垃圾不得</w:t>
            </w:r>
            <w:r>
              <w:rPr>
                <w:spacing w:val="23"/>
              </w:rPr>
              <w:t>进入一般工业固体废物贮存场及</w:t>
            </w:r>
            <w:r>
              <w:rPr>
                <w:spacing w:val="3"/>
              </w:rPr>
              <w:t>填埋场。</w:t>
            </w:r>
          </w:p>
          <w:p>
            <w:pPr>
              <w:pStyle w:val="TableText"/>
              <w:ind w:left="121" w:right="105" w:firstLine="441"/>
              <w:spacing w:before="21" w:line="251" w:lineRule="auto"/>
              <w:rPr/>
            </w:pPr>
            <w:r>
              <w:rPr>
                <w:spacing w:val="6"/>
              </w:rPr>
              <w:t>国家及地方有关法律法规、标</w:t>
            </w:r>
            <w:r>
              <w:rPr>
                <w:spacing w:val="6"/>
              </w:rPr>
              <w:t>准另有规定的除外。</w:t>
            </w:r>
          </w:p>
        </w:tc>
        <w:tc>
          <w:tcPr>
            <w:tcW w:w="1748" w:type="dxa"/>
            <w:vAlign w:val="top"/>
          </w:tcPr>
          <w:p>
            <w:pPr>
              <w:pStyle w:val="TableText"/>
              <w:ind w:left="110" w:right="106" w:firstLine="422"/>
              <w:spacing w:before="45" w:line="248" w:lineRule="auto"/>
              <w:rPr/>
            </w:pPr>
            <w:r>
              <w:rPr>
                <w:rFonts w:ascii="Times New Roman" w:hAnsi="Times New Roman" w:eastAsia="Times New Roman" w:cs="Times New Roman"/>
                <w:spacing w:val="3"/>
              </w:rPr>
              <w:t>a</w:t>
            </w:r>
            <w:r>
              <w:rPr>
                <w:spacing w:val="3"/>
              </w:rPr>
              <w:t>）第</w:t>
            </w:r>
            <w:r>
              <w:rPr>
                <w:spacing w:val="-40"/>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19"/>
              </w:rPr>
              <w:t xml:space="preserve"> </w:t>
            </w:r>
            <w:r>
              <w:rPr>
                <w:spacing w:val="3"/>
              </w:rPr>
              <w:t>类一</w:t>
            </w:r>
            <w:r>
              <w:rPr>
                <w:spacing w:val="18"/>
              </w:rPr>
              <w:t>般工业固体废物</w:t>
            </w:r>
            <w:r>
              <w:rPr>
                <w:spacing w:val="22"/>
              </w:rPr>
              <w:t>（包括第</w:t>
            </w:r>
            <w:r>
              <w:rPr>
                <w:rFonts w:ascii="Times New Roman" w:hAnsi="Times New Roman" w:eastAsia="Times New Roman" w:cs="Times New Roman"/>
                <w:spacing w:val="22"/>
              </w:rPr>
              <w:t>Ⅱ</w:t>
            </w:r>
            <w:r>
              <w:rPr>
                <w:spacing w:val="22"/>
              </w:rPr>
              <w:t>类</w:t>
            </w:r>
            <w:r>
              <w:rPr>
                <w:spacing w:val="-59"/>
              </w:rPr>
              <w:t xml:space="preserve"> </w:t>
            </w:r>
            <w:r>
              <w:rPr>
                <w:spacing w:val="22"/>
              </w:rPr>
              <w:t>一</w:t>
            </w:r>
            <w:r>
              <w:rPr>
                <w:spacing w:val="18"/>
              </w:rPr>
              <w:t>般工业固体废物</w:t>
            </w:r>
            <w:r>
              <w:rPr>
                <w:spacing w:val="18"/>
              </w:rPr>
              <w:t>经处理后属于第</w:t>
            </w:r>
            <w:r>
              <w:rPr>
                <w:rFonts w:ascii="Times New Roman" w:hAnsi="Times New Roman" w:eastAsia="Times New Roman" w:cs="Times New Roman"/>
                <w:spacing w:val="5"/>
              </w:rPr>
              <w:t>I</w:t>
            </w:r>
            <w:r>
              <w:rPr>
                <w:rFonts w:ascii="Times New Roman" w:hAnsi="Times New Roman" w:eastAsia="Times New Roman" w:cs="Times New Roman"/>
                <w:spacing w:val="44"/>
              </w:rPr>
              <w:t xml:space="preserve"> </w:t>
            </w:r>
            <w:r>
              <w:rPr>
                <w:spacing w:val="5"/>
              </w:rPr>
              <w:t>类</w:t>
            </w:r>
            <w:r>
              <w:rPr>
                <w:spacing w:val="-57"/>
              </w:rPr>
              <w:t xml:space="preserve"> </w:t>
            </w:r>
            <w:r>
              <w:rPr>
                <w:spacing w:val="5"/>
              </w:rPr>
              <w:t>一</w:t>
            </w:r>
            <w:r>
              <w:rPr>
                <w:spacing w:val="-59"/>
              </w:rPr>
              <w:t xml:space="preserve"> </w:t>
            </w:r>
            <w:r>
              <w:rPr>
                <w:spacing w:val="5"/>
              </w:rPr>
              <w:t>般</w:t>
            </w:r>
            <w:r>
              <w:rPr>
                <w:spacing w:val="-55"/>
              </w:rPr>
              <w:t xml:space="preserve"> </w:t>
            </w:r>
            <w:r>
              <w:rPr>
                <w:spacing w:val="5"/>
              </w:rPr>
              <w:t>工业固</w:t>
            </w:r>
            <w:r>
              <w:rPr>
                <w:spacing w:val="8"/>
              </w:rPr>
              <w:t>体废物的</w:t>
            </w:r>
            <w:r>
              <w:rPr/>
              <w:t>）；</w:t>
            </w:r>
          </w:p>
          <w:p>
            <w:pPr>
              <w:pStyle w:val="TableText"/>
              <w:ind w:left="118" w:right="106" w:firstLine="405"/>
              <w:spacing w:before="22" w:line="247" w:lineRule="auto"/>
              <w:rPr/>
            </w:pPr>
            <w:r>
              <w:rPr>
                <w:rFonts w:ascii="Times New Roman" w:hAnsi="Times New Roman" w:eastAsia="Times New Roman" w:cs="Times New Roman"/>
                <w:spacing w:val="1"/>
              </w:rPr>
              <w:t>b</w:t>
            </w:r>
            <w:r>
              <w:rPr>
                <w:spacing w:val="1"/>
              </w:rPr>
              <w:t>）有机质含</w:t>
            </w:r>
            <w:r>
              <w:rPr>
                <w:spacing w:val="-2"/>
              </w:rPr>
              <w:t>量小于</w:t>
            </w:r>
            <w:r>
              <w:rPr>
                <w:spacing w:val="-37"/>
              </w:rPr>
              <w:t xml:space="preserve"> </w:t>
            </w:r>
            <w:r>
              <w:rPr>
                <w:rFonts w:ascii="Times New Roman" w:hAnsi="Times New Roman" w:eastAsia="Times New Roman" w:cs="Times New Roman"/>
                <w:spacing w:val="-2"/>
              </w:rPr>
              <w:t>2%</w:t>
            </w:r>
            <w:r>
              <w:rPr>
                <w:spacing w:val="-2"/>
              </w:rPr>
              <w:t>（煤研</w:t>
            </w:r>
            <w:r>
              <w:rPr>
                <w:spacing w:val="10"/>
              </w:rPr>
              <w:t>石除外</w:t>
            </w:r>
            <w:r>
              <w:rPr>
                <w:spacing w:val="2"/>
              </w:rPr>
              <w:t>）</w:t>
            </w:r>
            <w:r>
              <w:rPr>
                <w:spacing w:val="-38"/>
              </w:rPr>
              <w:t xml:space="preserve"> </w:t>
            </w:r>
            <w:r>
              <w:rPr>
                <w:spacing w:val="2"/>
              </w:rPr>
              <w:t>，</w:t>
            </w:r>
            <w:r>
              <w:rPr>
                <w:spacing w:val="10"/>
              </w:rPr>
              <w:t>测定</w:t>
            </w:r>
            <w:r>
              <w:rPr>
                <w:spacing w:val="16"/>
              </w:rPr>
              <w:t>方法按照</w:t>
            </w:r>
            <w:r>
              <w:rPr>
                <w:spacing w:val="-19"/>
              </w:rPr>
              <w:t xml:space="preserve"> </w:t>
            </w:r>
            <w:r>
              <w:rPr>
                <w:rFonts w:ascii="Times New Roman" w:hAnsi="Times New Roman" w:eastAsia="Times New Roman" w:cs="Times New Roman"/>
              </w:rPr>
              <w:t>HJ</w:t>
            </w:r>
            <w:r>
              <w:rPr>
                <w:rFonts w:ascii="Times New Roman" w:hAnsi="Times New Roman" w:eastAsia="Times New Roman" w:cs="Times New Roman"/>
                <w:spacing w:val="16"/>
              </w:rPr>
              <w:t>761</w:t>
            </w:r>
            <w:r>
              <w:rPr>
                <w:spacing w:val="-4"/>
              </w:rPr>
              <w:t>进</w:t>
            </w:r>
            <w:r>
              <w:rPr>
                <w:spacing w:val="20"/>
              </w:rPr>
              <w:t xml:space="preserve"> </w:t>
            </w:r>
            <w:r>
              <w:rPr>
                <w:spacing w:val="-4"/>
              </w:rPr>
              <w:t>行</w:t>
            </w:r>
            <w:r>
              <w:rPr>
                <w:spacing w:val="9"/>
              </w:rPr>
              <w:t xml:space="preserve"> </w:t>
            </w:r>
            <w:r>
              <w:rPr>
                <w:spacing w:val="-4"/>
              </w:rPr>
              <w:t>；</w:t>
            </w:r>
          </w:p>
          <w:p>
            <w:pPr>
              <w:pStyle w:val="TableText"/>
              <w:ind w:left="102" w:right="106" w:firstLine="429"/>
              <w:spacing w:before="24" w:line="241" w:lineRule="auto"/>
              <w:rPr/>
            </w:pPr>
            <w:r>
              <w:rPr>
                <w:rFonts w:ascii="Times New Roman" w:hAnsi="Times New Roman" w:eastAsia="Times New Roman" w:cs="Times New Roman"/>
                <w:spacing w:val="2"/>
              </w:rPr>
              <w:t>c</w:t>
            </w:r>
            <w:r>
              <w:rPr>
                <w:spacing w:val="2"/>
              </w:rPr>
              <w:t>）水溶性盐</w:t>
            </w:r>
            <w:r>
              <w:rPr>
                <w:spacing w:val="13"/>
              </w:rPr>
              <w:t>总量小于</w:t>
            </w:r>
            <w:r>
              <w:rPr>
                <w:spacing w:val="-24"/>
              </w:rPr>
              <w:t xml:space="preserve"> </w:t>
            </w:r>
            <w:r>
              <w:rPr>
                <w:rFonts w:ascii="Times New Roman" w:hAnsi="Times New Roman" w:eastAsia="Times New Roman" w:cs="Times New Roman"/>
                <w:spacing w:val="13"/>
              </w:rPr>
              <w:t>2%,</w:t>
            </w:r>
            <w:r>
              <w:rPr>
                <w:rFonts w:ascii="Times New Roman" w:hAnsi="Times New Roman" w:eastAsia="Times New Roman" w:cs="Times New Roman"/>
                <w:spacing w:val="-14"/>
              </w:rPr>
              <w:t xml:space="preserve"> </w:t>
            </w:r>
            <w:r>
              <w:rPr>
                <w:spacing w:val="13"/>
              </w:rPr>
              <w:t>测</w:t>
            </w:r>
            <w:r>
              <w:rPr>
                <w:spacing w:val="-5"/>
              </w:rPr>
              <w:t>定</w:t>
            </w:r>
            <w:r>
              <w:rPr>
                <w:spacing w:val="40"/>
              </w:rPr>
              <w:t xml:space="preserve"> </w:t>
            </w:r>
            <w:r>
              <w:rPr>
                <w:spacing w:val="-5"/>
              </w:rPr>
              <w:t>方</w:t>
            </w:r>
            <w:r>
              <w:rPr>
                <w:spacing w:val="40"/>
              </w:rPr>
              <w:t xml:space="preserve"> </w:t>
            </w:r>
            <w:r>
              <w:rPr>
                <w:spacing w:val="-5"/>
              </w:rPr>
              <w:t>法</w:t>
            </w:r>
            <w:r>
              <w:rPr>
                <w:spacing w:val="36"/>
              </w:rPr>
              <w:t xml:space="preserve"> </w:t>
            </w:r>
            <w:r>
              <w:rPr>
                <w:spacing w:val="-5"/>
              </w:rPr>
              <w:t>按</w:t>
            </w:r>
            <w:r>
              <w:rPr>
                <w:spacing w:val="41"/>
              </w:rPr>
              <w:t xml:space="preserve"> </w:t>
            </w:r>
            <w:r>
              <w:rPr>
                <w:spacing w:val="-5"/>
              </w:rPr>
              <w:t>照</w:t>
            </w:r>
            <w:r>
              <w:rPr>
                <w:rFonts w:ascii="Times New Roman" w:hAnsi="Times New Roman" w:eastAsia="Times New Roman" w:cs="Times New Roman"/>
              </w:rPr>
              <w:t>NY</w:t>
            </w:r>
            <w:r>
              <w:rPr>
                <w:rFonts w:ascii="Times New Roman" w:hAnsi="Times New Roman" w:eastAsia="Times New Roman" w:cs="Times New Roman"/>
                <w:spacing w:val="4"/>
              </w:rPr>
              <w:t>/T1121.16</w:t>
            </w:r>
            <w:r>
              <w:rPr>
                <w:rFonts w:ascii="Times New Roman" w:hAnsi="Times New Roman" w:eastAsia="Times New Roman" w:cs="Times New Roman"/>
                <w:spacing w:val="8"/>
              </w:rPr>
              <w:t xml:space="preserve">   </w:t>
            </w:r>
            <w:r>
              <w:rPr>
                <w:spacing w:val="4"/>
              </w:rPr>
              <w:t>进</w:t>
            </w:r>
            <w:r>
              <w:rPr>
                <w:spacing w:val="5"/>
              </w:rPr>
              <w:t>行。</w:t>
            </w:r>
          </w:p>
        </w:tc>
        <w:tc>
          <w:tcPr>
            <w:tcW w:w="2687" w:type="dxa"/>
            <w:vAlign w:val="top"/>
            <w:tcBorders>
              <w:right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8" w:right="106" w:firstLine="413"/>
              <w:spacing w:before="65" w:line="244" w:lineRule="auto"/>
              <w:rPr/>
            </w:pPr>
            <w:r>
              <w:rPr>
                <w:rFonts w:ascii="Times New Roman" w:hAnsi="Times New Roman" w:eastAsia="Times New Roman" w:cs="Times New Roman"/>
                <w:spacing w:val="2"/>
              </w:rPr>
              <w:t>a</w:t>
            </w:r>
            <w:r>
              <w:rPr>
                <w:spacing w:val="2"/>
              </w:rPr>
              <w:t>）有机质含量小于</w:t>
            </w:r>
            <w:r>
              <w:rPr>
                <w:spacing w:val="-33"/>
              </w:rPr>
              <w:t xml:space="preserve"> </w:t>
            </w:r>
            <w:r>
              <w:rPr>
                <w:rFonts w:ascii="Times New Roman" w:hAnsi="Times New Roman" w:eastAsia="Times New Roman" w:cs="Times New Roman"/>
                <w:spacing w:val="2"/>
              </w:rPr>
              <w:t>5%</w:t>
            </w:r>
            <w:r>
              <w:rPr>
                <w:rFonts w:ascii="Times New Roman" w:hAnsi="Times New Roman" w:eastAsia="Times New Roman" w:cs="Times New Roman"/>
              </w:rPr>
              <w:t xml:space="preserve"> </w:t>
            </w:r>
            <w:r>
              <w:rPr>
                <w:spacing w:val="7"/>
              </w:rPr>
              <w:t>（煤研石除外</w:t>
            </w:r>
            <w:r>
              <w:rPr>
                <w:spacing w:val="-8"/>
              </w:rPr>
              <w:t>），</w:t>
            </w:r>
            <w:r>
              <w:rPr>
                <w:spacing w:val="7"/>
              </w:rPr>
              <w:t>测定方法</w:t>
            </w:r>
            <w:r>
              <w:rPr>
                <w:spacing w:val="3"/>
              </w:rPr>
              <w:t>按照</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761</w:t>
            </w:r>
            <w:r>
              <w:rPr>
                <w:rFonts w:ascii="Times New Roman" w:hAnsi="Times New Roman" w:eastAsia="Times New Roman" w:cs="Times New Roman"/>
                <w:spacing w:val="19"/>
                <w:w w:val="101"/>
              </w:rPr>
              <w:t xml:space="preserve"> </w:t>
            </w:r>
            <w:r>
              <w:rPr>
                <w:spacing w:val="3"/>
              </w:rPr>
              <w:t>进行；</w:t>
            </w:r>
          </w:p>
          <w:p>
            <w:pPr>
              <w:pStyle w:val="TableText"/>
              <w:ind w:left="101" w:right="107" w:firstLine="422"/>
              <w:spacing w:before="25" w:line="244" w:lineRule="auto"/>
              <w:rPr/>
            </w:pPr>
            <w:r>
              <w:rPr>
                <w:rFonts w:ascii="Times New Roman" w:hAnsi="Times New Roman" w:eastAsia="Times New Roman" w:cs="Times New Roman"/>
                <w:spacing w:val="15"/>
              </w:rPr>
              <w:t>b</w:t>
            </w:r>
            <w:r>
              <w:rPr>
                <w:spacing w:val="15"/>
              </w:rPr>
              <w:t>）水溶性盐总量小于</w:t>
            </w:r>
            <w:r>
              <w:rPr>
                <w:rFonts w:ascii="Times New Roman" w:hAnsi="Times New Roman" w:eastAsia="Times New Roman" w:cs="Times New Roman"/>
                <w:spacing w:val="-7"/>
              </w:rPr>
              <w:t>5%</w:t>
            </w:r>
            <w:r>
              <w:rPr>
                <w:rFonts w:ascii="Times New Roman" w:hAnsi="Times New Roman" w:eastAsia="Times New Roman" w:cs="Times New Roman"/>
                <w:spacing w:val="17"/>
              </w:rPr>
              <w:t xml:space="preserve">  </w:t>
            </w:r>
            <w:r>
              <w:rPr>
                <w:spacing w:val="-7"/>
              </w:rPr>
              <w:t>，</w:t>
            </w:r>
            <w:r>
              <w:rPr>
                <w:spacing w:val="24"/>
              </w:rPr>
              <w:t xml:space="preserve"> </w:t>
            </w:r>
            <w:r>
              <w:rPr>
                <w:spacing w:val="-7"/>
              </w:rPr>
              <w:t>测</w:t>
            </w:r>
            <w:r>
              <w:rPr>
                <w:spacing w:val="21"/>
              </w:rPr>
              <w:t xml:space="preserve"> </w:t>
            </w:r>
            <w:r>
              <w:rPr>
                <w:spacing w:val="-7"/>
              </w:rPr>
              <w:t>定</w:t>
            </w:r>
            <w:r>
              <w:rPr>
                <w:spacing w:val="24"/>
              </w:rPr>
              <w:t xml:space="preserve"> </w:t>
            </w:r>
            <w:r>
              <w:rPr>
                <w:spacing w:val="-7"/>
              </w:rPr>
              <w:t>方</w:t>
            </w:r>
            <w:r>
              <w:rPr>
                <w:spacing w:val="23"/>
              </w:rPr>
              <w:t xml:space="preserve"> </w:t>
            </w:r>
            <w:r>
              <w:rPr>
                <w:spacing w:val="-7"/>
              </w:rPr>
              <w:t>法</w:t>
            </w:r>
            <w:r>
              <w:rPr>
                <w:spacing w:val="19"/>
              </w:rPr>
              <w:t xml:space="preserve"> </w:t>
            </w:r>
            <w:r>
              <w:rPr>
                <w:spacing w:val="-7"/>
              </w:rPr>
              <w:t>按</w:t>
            </w:r>
            <w:r>
              <w:rPr>
                <w:spacing w:val="25"/>
              </w:rPr>
              <w:t xml:space="preserve"> </w:t>
            </w:r>
            <w:r>
              <w:rPr>
                <w:spacing w:val="-7"/>
              </w:rPr>
              <w:t>照</w:t>
            </w:r>
            <w:r>
              <w:rPr>
                <w:rFonts w:ascii="Times New Roman" w:hAnsi="Times New Roman" w:eastAsia="Times New Roman" w:cs="Times New Roman"/>
              </w:rPr>
              <w:t>NY</w:t>
            </w:r>
            <w:r>
              <w:rPr>
                <w:rFonts w:ascii="Times New Roman" w:hAnsi="Times New Roman" w:eastAsia="Times New Roman" w:cs="Times New Roman"/>
                <w:spacing w:val="2"/>
              </w:rPr>
              <w:t>/T1121.</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19"/>
                <w:w w:val="101"/>
              </w:rPr>
              <w:t xml:space="preserve"> </w:t>
            </w:r>
            <w:r>
              <w:rPr>
                <w:spacing w:val="2"/>
              </w:rPr>
              <w:t>进行。</w:t>
            </w:r>
          </w:p>
        </w:tc>
      </w:tr>
      <w:tr>
        <w:trPr>
          <w:trHeight w:val="3591" w:hRule="atLeast"/>
        </w:trPr>
        <w:tc>
          <w:tcPr>
            <w:tcW w:w="1117" w:type="dxa"/>
            <w:vAlign w:val="top"/>
            <w:tcBorders>
              <w:bottom w:val="single" w:color="000000" w:sz="10" w:space="0"/>
              <w:left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52"/>
              <w:spacing w:before="65" w:line="232" w:lineRule="auto"/>
              <w:rPr/>
            </w:pPr>
            <w:r>
              <w:rPr>
                <w:spacing w:val="5"/>
              </w:rPr>
              <w:t>充填及回</w:t>
            </w:r>
          </w:p>
          <w:p>
            <w:pPr>
              <w:pStyle w:val="TableText"/>
              <w:ind w:left="152"/>
              <w:spacing w:before="22" w:line="231" w:lineRule="auto"/>
              <w:rPr/>
            </w:pPr>
            <w:r>
              <w:rPr>
                <w:spacing w:val="5"/>
              </w:rPr>
              <w:t>填利用污</w:t>
            </w:r>
          </w:p>
          <w:p>
            <w:pPr>
              <w:pStyle w:val="TableText"/>
              <w:ind w:left="153"/>
              <w:spacing w:before="21" w:line="230" w:lineRule="auto"/>
              <w:rPr/>
            </w:pPr>
            <w:r>
              <w:rPr>
                <w:spacing w:val="5"/>
              </w:rPr>
              <w:t>染控制要</w:t>
            </w:r>
          </w:p>
          <w:p>
            <w:pPr>
              <w:pStyle w:val="TableText"/>
              <w:ind w:left="471"/>
              <w:spacing w:before="24" w:line="231" w:lineRule="auto"/>
              <w:rPr/>
            </w:pPr>
            <w:r>
              <w:rPr/>
              <w:t>求</w:t>
            </w:r>
          </w:p>
        </w:tc>
        <w:tc>
          <w:tcPr>
            <w:tcW w:w="3360" w:type="dxa"/>
            <w:vAlign w:val="top"/>
            <w:tcBorders>
              <w:bottom w:val="single" w:color="000000" w:sz="10" w:space="0"/>
            </w:tcBorders>
          </w:tcPr>
          <w:p>
            <w:pPr>
              <w:pStyle w:val="TableText"/>
              <w:ind w:left="119" w:right="108" w:firstLine="418"/>
              <w:spacing w:before="50" w:line="244" w:lineRule="auto"/>
              <w:rPr/>
            </w:pPr>
            <w:r>
              <w:rPr>
                <w:rFonts w:ascii="Times New Roman" w:hAnsi="Times New Roman" w:eastAsia="Times New Roman" w:cs="Times New Roman"/>
                <w:spacing w:val="12"/>
              </w:rPr>
              <w:t>8.3</w:t>
            </w:r>
            <w:r>
              <w:rPr>
                <w:rFonts w:ascii="Times New Roman" w:hAnsi="Times New Roman" w:eastAsia="Times New Roman" w:cs="Times New Roman"/>
                <w:spacing w:val="39"/>
                <w:w w:val="101"/>
              </w:rPr>
              <w:t xml:space="preserve"> </w:t>
            </w:r>
            <w:r>
              <w:rPr>
                <w:spacing w:val="12"/>
              </w:rPr>
              <w:t>不应在充填物料中掺加除</w:t>
            </w:r>
            <w:r>
              <w:rPr>
                <w:spacing w:val="23"/>
              </w:rPr>
              <w:t>充填作业所需要的添加剂之外的</w:t>
            </w:r>
            <w:r>
              <w:rPr>
                <w:spacing w:val="6"/>
              </w:rPr>
              <w:t>其他固体废物。</w:t>
            </w:r>
          </w:p>
          <w:p>
            <w:pPr>
              <w:pStyle w:val="TableText"/>
              <w:ind w:left="118" w:right="105" w:firstLine="419"/>
              <w:spacing w:before="20" w:line="247" w:lineRule="auto"/>
              <w:rPr/>
            </w:pPr>
            <w:r>
              <w:rPr>
                <w:rFonts w:ascii="Times New Roman" w:hAnsi="Times New Roman" w:eastAsia="Times New Roman" w:cs="Times New Roman"/>
                <w:spacing w:val="12"/>
              </w:rPr>
              <w:t>8.4</w:t>
            </w:r>
            <w:r>
              <w:rPr>
                <w:rFonts w:ascii="Times New Roman" w:hAnsi="Times New Roman" w:eastAsia="Times New Roman" w:cs="Times New Roman"/>
                <w:spacing w:val="39"/>
                <w:w w:val="101"/>
              </w:rPr>
              <w:t xml:space="preserve"> </w:t>
            </w:r>
            <w:r>
              <w:rPr>
                <w:spacing w:val="12"/>
              </w:rPr>
              <w:t>一般工业固体废物回填作</w:t>
            </w:r>
            <w:r>
              <w:rPr>
                <w:spacing w:val="3"/>
              </w:rPr>
              <w:t>业结束后应立即实施土地复垦（</w:t>
            </w:r>
            <w:r>
              <w:rPr>
                <w:spacing w:val="-15"/>
              </w:rPr>
              <w:t xml:space="preserve"> </w:t>
            </w:r>
            <w:r>
              <w:rPr>
                <w:spacing w:val="3"/>
              </w:rPr>
              <w:t>回</w:t>
            </w:r>
            <w:r>
              <w:rPr>
                <w:spacing w:val="4"/>
              </w:rPr>
              <w:t>填地下的除外）</w:t>
            </w:r>
            <w:r>
              <w:rPr>
                <w:rFonts w:ascii="Times New Roman" w:hAnsi="Times New Roman" w:eastAsia="Times New Roman" w:cs="Times New Roman"/>
                <w:spacing w:val="4"/>
              </w:rPr>
              <w:t>,</w:t>
            </w:r>
            <w:r>
              <w:rPr>
                <w:spacing w:val="4"/>
              </w:rPr>
              <w:t>土地复垦应符合本</w:t>
            </w:r>
            <w:r>
              <w:rPr>
                <w:spacing w:val="3"/>
              </w:rPr>
              <w:t>标准</w:t>
            </w:r>
            <w:r>
              <w:rPr>
                <w:spacing w:val="-37"/>
              </w:rPr>
              <w:t xml:space="preserve"> </w:t>
            </w:r>
            <w:r>
              <w:rPr>
                <w:rFonts w:ascii="Times New Roman" w:hAnsi="Times New Roman" w:eastAsia="Times New Roman" w:cs="Times New Roman"/>
                <w:spacing w:val="3"/>
              </w:rPr>
              <w:t>9.9</w:t>
            </w:r>
            <w:r>
              <w:rPr>
                <w:rFonts w:ascii="Times New Roman" w:hAnsi="Times New Roman" w:eastAsia="Times New Roman" w:cs="Times New Roman"/>
                <w:spacing w:val="17"/>
                <w:w w:val="101"/>
              </w:rPr>
              <w:t xml:space="preserve"> </w:t>
            </w:r>
            <w:r>
              <w:rPr>
                <w:spacing w:val="3"/>
              </w:rPr>
              <w:t>条的规定。</w:t>
            </w:r>
          </w:p>
          <w:p>
            <w:pPr>
              <w:pStyle w:val="TableText"/>
              <w:ind w:left="118" w:right="105" w:firstLine="419"/>
              <w:spacing w:before="20" w:line="248" w:lineRule="auto"/>
              <w:rPr/>
            </w:pPr>
            <w:r>
              <w:rPr>
                <w:rFonts w:ascii="Times New Roman" w:hAnsi="Times New Roman" w:eastAsia="Times New Roman" w:cs="Times New Roman"/>
                <w:spacing w:val="13"/>
              </w:rPr>
              <w:t>8.5</w:t>
            </w:r>
            <w:r>
              <w:rPr>
                <w:rFonts w:ascii="Times New Roman" w:hAnsi="Times New Roman" w:eastAsia="Times New Roman" w:cs="Times New Roman"/>
                <w:spacing w:val="25"/>
                <w:w w:val="101"/>
              </w:rPr>
              <w:t xml:space="preserve"> </w:t>
            </w:r>
            <w:r>
              <w:rPr>
                <w:spacing w:val="13"/>
              </w:rPr>
              <w:t>食品制造业、纺织服装和</w:t>
            </w:r>
            <w:r>
              <w:rPr>
                <w:spacing w:val="8"/>
              </w:rPr>
              <w:t>服饰业、造纸和纸制品业、农副食</w:t>
            </w:r>
            <w:r>
              <w:rPr>
                <w:spacing w:val="15"/>
              </w:rPr>
              <w:t>品加工业等为</w:t>
            </w:r>
            <w:r>
              <w:rPr>
                <w:spacing w:val="-25"/>
              </w:rPr>
              <w:t xml:space="preserve"> </w:t>
            </w:r>
            <w:r>
              <w:rPr>
                <w:spacing w:val="15"/>
              </w:rPr>
              <w:t>日</w:t>
            </w:r>
            <w:r>
              <w:rPr>
                <w:spacing w:val="-58"/>
              </w:rPr>
              <w:t xml:space="preserve"> </w:t>
            </w:r>
            <w:r>
              <w:rPr>
                <w:spacing w:val="15"/>
              </w:rPr>
              <w:t>常生活提供服务</w:t>
            </w:r>
            <w:r>
              <w:rPr>
                <w:spacing w:val="23"/>
              </w:rPr>
              <w:t>的活动中产生的与生活垃圾性质</w:t>
            </w:r>
            <w:r>
              <w:rPr>
                <w:spacing w:val="23"/>
              </w:rPr>
              <w:t>相近的一般工业固体废物以及其</w:t>
            </w:r>
            <w:r>
              <w:rPr>
                <w:spacing w:val="9"/>
              </w:rPr>
              <w:t>他有机物含量超过</w:t>
            </w:r>
            <w:r>
              <w:rPr>
                <w:spacing w:val="-30"/>
              </w:rPr>
              <w:t xml:space="preserve"> </w:t>
            </w:r>
            <w:r>
              <w:rPr>
                <w:rFonts w:ascii="Times New Roman" w:hAnsi="Times New Roman" w:eastAsia="Times New Roman" w:cs="Times New Roman"/>
                <w:spacing w:val="9"/>
              </w:rPr>
              <w:t>5%</w:t>
            </w:r>
            <w:r>
              <w:rPr>
                <w:spacing w:val="9"/>
              </w:rPr>
              <w:t>的</w:t>
            </w:r>
            <w:r>
              <w:rPr>
                <w:spacing w:val="33"/>
              </w:rPr>
              <w:t xml:space="preserve"> </w:t>
            </w:r>
            <w:r>
              <w:rPr>
                <w:spacing w:val="9"/>
              </w:rPr>
              <w:t>一</w:t>
            </w:r>
            <w:r>
              <w:rPr>
                <w:spacing w:val="34"/>
              </w:rPr>
              <w:t xml:space="preserve"> </w:t>
            </w:r>
            <w:r>
              <w:rPr>
                <w:spacing w:val="9"/>
              </w:rPr>
              <w:t>般工</w:t>
            </w:r>
          </w:p>
        </w:tc>
        <w:tc>
          <w:tcPr>
            <w:tcW w:w="1748" w:type="dxa"/>
            <w:vAlign w:val="top"/>
            <w:tcBorders>
              <w:bottom w:val="single" w:color="000000" w:sz="10" w:space="0"/>
            </w:tcBorders>
          </w:tcPr>
          <w:p>
            <w:pPr>
              <w:pStyle w:val="TableText"/>
              <w:ind w:left="118" w:right="106" w:firstLine="418"/>
              <w:spacing w:before="51" w:line="251" w:lineRule="auto"/>
              <w:jc w:val="both"/>
              <w:rPr/>
            </w:pPr>
            <w:r>
              <w:rPr>
                <w:rFonts w:ascii="Times New Roman" w:hAnsi="Times New Roman" w:eastAsia="Times New Roman" w:cs="Times New Roman"/>
                <w:spacing w:val="-6"/>
              </w:rPr>
              <w:t>8.</w:t>
            </w:r>
            <w:r>
              <w:rPr>
                <w:rFonts w:ascii="Times New Roman" w:hAnsi="Times New Roman" w:eastAsia="Times New Roman" w:cs="Times New Roman"/>
                <w:spacing w:val="-2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2"/>
                <w:w w:val="101"/>
              </w:rPr>
              <w:t xml:space="preserve"> </w:t>
            </w:r>
            <w:r>
              <w:rPr>
                <w:spacing w:val="-6"/>
              </w:rPr>
              <w:t>第</w:t>
            </w:r>
            <w:r>
              <w:rPr>
                <w:spacing w:val="-45"/>
              </w:rPr>
              <w:t xml:space="preserve"> </w:t>
            </w:r>
            <w:r>
              <w:rPr>
                <w:rFonts w:ascii="Times New Roman" w:hAnsi="Times New Roman" w:eastAsia="Times New Roman" w:cs="Times New Roman"/>
                <w:spacing w:val="-6"/>
              </w:rPr>
              <w:t>I</w:t>
            </w:r>
            <w:r>
              <w:rPr>
                <w:rFonts w:ascii="Times New Roman" w:hAnsi="Times New Roman" w:eastAsia="Times New Roman" w:cs="Times New Roman"/>
                <w:spacing w:val="17"/>
              </w:rPr>
              <w:t xml:space="preserve"> </w:t>
            </w:r>
            <w:r>
              <w:rPr>
                <w:spacing w:val="-6"/>
              </w:rPr>
              <w:t>类一</w:t>
            </w:r>
            <w:r>
              <w:rPr>
                <w:spacing w:val="16"/>
              </w:rPr>
              <w:t>般工业固体废物</w:t>
            </w:r>
            <w:r>
              <w:rPr>
                <w:spacing w:val="16"/>
              </w:rPr>
              <w:t>可按下列途径进</w:t>
            </w:r>
            <w:r>
              <w:rPr>
                <w:spacing w:val="16"/>
              </w:rPr>
              <w:t>行充填或回填作</w:t>
            </w:r>
            <w:r>
              <w:rPr>
                <w:spacing w:val="-3"/>
              </w:rPr>
              <w:t>业：</w:t>
            </w:r>
          </w:p>
          <w:p>
            <w:pPr>
              <w:pStyle w:val="TableText"/>
              <w:ind w:left="120" w:right="106" w:firstLine="412"/>
              <w:spacing w:before="2" w:line="246" w:lineRule="auto"/>
              <w:rPr/>
            </w:pPr>
            <w:r>
              <w:rPr>
                <w:rFonts w:ascii="Times New Roman" w:hAnsi="Times New Roman" w:eastAsia="Times New Roman" w:cs="Times New Roman"/>
                <w:spacing w:val="2"/>
              </w:rPr>
              <w:t>a</w:t>
            </w:r>
            <w:r>
              <w:rPr>
                <w:spacing w:val="2"/>
              </w:rPr>
              <w:t>）粉煤灰可</w:t>
            </w:r>
            <w:r>
              <w:rPr>
                <w:spacing w:val="16"/>
              </w:rPr>
              <w:t>在煤炭开采矿区</w:t>
            </w:r>
            <w:r>
              <w:rPr>
                <w:spacing w:val="16"/>
              </w:rPr>
              <w:t>的采空区中充填</w:t>
            </w:r>
            <w:r>
              <w:rPr>
                <w:spacing w:val="3"/>
              </w:rPr>
              <w:t>或回填；</w:t>
            </w:r>
          </w:p>
          <w:p>
            <w:pPr>
              <w:pStyle w:val="TableText"/>
              <w:ind w:left="120" w:right="106" w:firstLine="404"/>
              <w:spacing w:before="19" w:line="247" w:lineRule="auto"/>
              <w:rPr/>
            </w:pPr>
            <w:r>
              <w:rPr>
                <w:rFonts w:ascii="Times New Roman" w:hAnsi="Times New Roman" w:eastAsia="Times New Roman" w:cs="Times New Roman"/>
                <w:spacing w:val="1"/>
              </w:rPr>
              <w:t>b</w:t>
            </w:r>
            <w:r>
              <w:rPr>
                <w:spacing w:val="1"/>
              </w:rPr>
              <w:t>）煤研石可</w:t>
            </w:r>
            <w:r>
              <w:rPr>
                <w:spacing w:val="-6"/>
              </w:rPr>
              <w:t>在</w:t>
            </w:r>
            <w:r>
              <w:rPr>
                <w:spacing w:val="-30"/>
              </w:rPr>
              <w:t xml:space="preserve"> </w:t>
            </w:r>
            <w:r>
              <w:rPr>
                <w:spacing w:val="-6"/>
              </w:rPr>
              <w:t>煤</w:t>
            </w:r>
            <w:r>
              <w:rPr>
                <w:spacing w:val="-30"/>
              </w:rPr>
              <w:t xml:space="preserve"> </w:t>
            </w:r>
            <w:r>
              <w:rPr>
                <w:spacing w:val="-6"/>
              </w:rPr>
              <w:t>炭</w:t>
            </w:r>
            <w:r>
              <w:rPr>
                <w:spacing w:val="-31"/>
              </w:rPr>
              <w:t xml:space="preserve"> </w:t>
            </w:r>
            <w:r>
              <w:rPr>
                <w:spacing w:val="-6"/>
              </w:rPr>
              <w:t>开</w:t>
            </w:r>
            <w:r>
              <w:rPr>
                <w:spacing w:val="-27"/>
              </w:rPr>
              <w:t xml:space="preserve"> </w:t>
            </w:r>
            <w:r>
              <w:rPr>
                <w:spacing w:val="-6"/>
              </w:rPr>
              <w:t>采</w:t>
            </w:r>
            <w:r>
              <w:rPr>
                <w:spacing w:val="-32"/>
              </w:rPr>
              <w:t xml:space="preserve"> </w:t>
            </w:r>
            <w:r>
              <w:rPr>
                <w:spacing w:val="-6"/>
              </w:rPr>
              <w:t>矿</w:t>
            </w:r>
            <w:r>
              <w:rPr>
                <w:spacing w:val="10"/>
              </w:rPr>
              <w:t>井</w:t>
            </w:r>
            <w:r>
              <w:rPr>
                <w:spacing w:val="-56"/>
              </w:rPr>
              <w:t xml:space="preserve"> </w:t>
            </w:r>
            <w:r>
              <w:rPr>
                <w:spacing w:val="10"/>
              </w:rPr>
              <w:t>、矿坑等采空</w:t>
            </w:r>
            <w:r>
              <w:rPr>
                <w:spacing w:val="-13"/>
              </w:rPr>
              <w:t>区</w:t>
            </w:r>
            <w:r>
              <w:rPr>
                <w:spacing w:val="-13"/>
              </w:rPr>
              <w:t xml:space="preserve"> </w:t>
            </w:r>
            <w:r>
              <w:rPr>
                <w:spacing w:val="-13"/>
              </w:rPr>
              <w:t>中</w:t>
            </w:r>
            <w:r>
              <w:rPr>
                <w:spacing w:val="-27"/>
              </w:rPr>
              <w:t xml:space="preserve"> </w:t>
            </w:r>
            <w:r>
              <w:rPr>
                <w:spacing w:val="-13"/>
              </w:rPr>
              <w:t>充</w:t>
            </w:r>
            <w:r>
              <w:rPr>
                <w:spacing w:val="-29"/>
              </w:rPr>
              <w:t xml:space="preserve"> </w:t>
            </w:r>
            <w:r>
              <w:rPr>
                <w:spacing w:val="-13"/>
              </w:rPr>
              <w:t>填</w:t>
            </w:r>
            <w:r>
              <w:rPr>
                <w:spacing w:val="-26"/>
              </w:rPr>
              <w:t xml:space="preserve"> </w:t>
            </w:r>
            <w:r>
              <w:rPr>
                <w:spacing w:val="-13"/>
              </w:rPr>
              <w:t>或</w:t>
            </w:r>
            <w:r>
              <w:rPr>
                <w:spacing w:val="-13"/>
              </w:rPr>
              <w:t xml:space="preserve"> </w:t>
            </w:r>
            <w:r>
              <w:rPr>
                <w:spacing w:val="-13"/>
              </w:rPr>
              <w:t>回</w:t>
            </w:r>
          </w:p>
        </w:tc>
        <w:tc>
          <w:tcPr>
            <w:tcW w:w="2687" w:type="dxa"/>
            <w:vAlign w:val="top"/>
            <w:tcBorders>
              <w:bottom w:val="single" w:color="000000" w:sz="10" w:space="0"/>
              <w:right w:val="nil"/>
            </w:tcBorders>
          </w:tcPr>
          <w:p>
            <w:pPr>
              <w:pStyle w:val="TableText"/>
              <w:ind w:left="118" w:right="107" w:firstLine="418"/>
              <w:spacing w:before="46" w:line="251" w:lineRule="auto"/>
              <w:jc w:val="both"/>
              <w:rPr/>
            </w:pPr>
            <w:r>
              <w:rPr>
                <w:rFonts w:ascii="Times New Roman" w:hAnsi="Times New Roman" w:eastAsia="Times New Roman" w:cs="Times New Roman"/>
                <w:spacing w:val="15"/>
              </w:rPr>
              <w:t>8.2</w:t>
            </w:r>
            <w:r>
              <w:rPr>
                <w:rFonts w:ascii="Times New Roman" w:hAnsi="Times New Roman" w:eastAsia="Times New Roman" w:cs="Times New Roman"/>
                <w:spacing w:val="44"/>
              </w:rPr>
              <w:t xml:space="preserve"> </w:t>
            </w:r>
            <w:r>
              <w:rPr>
                <w:spacing w:val="15"/>
              </w:rPr>
              <w:t>第</w:t>
            </w:r>
            <w:r>
              <w:rPr>
                <w:rFonts w:ascii="Times New Roman" w:hAnsi="Times New Roman" w:eastAsia="Times New Roman" w:cs="Times New Roman"/>
                <w:spacing w:val="15"/>
              </w:rPr>
              <w:t>Ⅱ</w:t>
            </w:r>
            <w:r>
              <w:rPr>
                <w:spacing w:val="15"/>
              </w:rPr>
              <w:t>类一般工业固</w:t>
            </w:r>
            <w:r>
              <w:rPr>
                <w:spacing w:val="3"/>
              </w:rPr>
              <w:t>体废物以及不符合</w:t>
            </w:r>
            <w:r>
              <w:rPr>
                <w:spacing w:val="-27"/>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0"/>
              </w:rPr>
              <w:t xml:space="preserve"> </w:t>
            </w:r>
            <w:r>
              <w:rPr>
                <w:spacing w:val="3"/>
              </w:rPr>
              <w:t>条充</w:t>
            </w:r>
            <w:r>
              <w:rPr>
                <w:spacing w:val="6"/>
              </w:rPr>
              <w:t>填或回填途径的第</w:t>
            </w:r>
            <w:r>
              <w:rPr>
                <w:spacing w:val="-38"/>
              </w:rPr>
              <w:t xml:space="preserve"> </w:t>
            </w:r>
            <w:r>
              <w:rPr>
                <w:rFonts w:ascii="Times New Roman" w:hAnsi="Times New Roman" w:eastAsia="Times New Roman" w:cs="Times New Roman"/>
                <w:spacing w:val="6"/>
              </w:rPr>
              <w:t>I </w:t>
            </w:r>
            <w:r>
              <w:rPr>
                <w:spacing w:val="6"/>
              </w:rPr>
              <w:t>类一般</w:t>
            </w:r>
            <w:r>
              <w:rPr>
                <w:spacing w:val="4"/>
              </w:rPr>
              <w:t>工业固体废物，其充填或回</w:t>
            </w:r>
            <w:r>
              <w:rPr>
                <w:spacing w:val="23"/>
              </w:rPr>
              <w:t>填活动前应开展环境本底</w:t>
            </w:r>
            <w:r>
              <w:rPr>
                <w:spacing w:val="7"/>
              </w:rPr>
              <w:t>调查</w:t>
            </w:r>
            <w:r>
              <w:rPr>
                <w:spacing w:val="-52"/>
              </w:rPr>
              <w:t xml:space="preserve"> </w:t>
            </w:r>
            <w:r>
              <w:rPr>
                <w:spacing w:val="7"/>
              </w:rPr>
              <w:t>，并按照</w:t>
            </w:r>
            <w:r>
              <w:rPr>
                <w:spacing w:val="-32"/>
              </w:rPr>
              <w:t xml:space="preserve"> </w:t>
            </w:r>
            <w:r>
              <w:rPr>
                <w:rFonts w:ascii="Times New Roman" w:hAnsi="Times New Roman" w:eastAsia="Times New Roman" w:cs="Times New Roman"/>
              </w:rPr>
              <w:t>HJ</w:t>
            </w:r>
            <w:r>
              <w:rPr>
                <w:rFonts w:ascii="Times New Roman" w:hAnsi="Times New Roman" w:eastAsia="Times New Roman" w:cs="Times New Roman"/>
                <w:spacing w:val="7"/>
              </w:rPr>
              <w:t>25.3</w:t>
            </w:r>
            <w:r>
              <w:rPr>
                <w:rFonts w:ascii="Times New Roman" w:hAnsi="Times New Roman" w:eastAsia="Times New Roman" w:cs="Times New Roman"/>
                <w:spacing w:val="35"/>
              </w:rPr>
              <w:t xml:space="preserve"> </w:t>
            </w:r>
            <w:r>
              <w:rPr>
                <w:spacing w:val="7"/>
              </w:rPr>
              <w:t>等相</w:t>
            </w:r>
            <w:r>
              <w:rPr>
                <w:spacing w:val="4"/>
              </w:rPr>
              <w:t>关标准进行环境风险评估，</w:t>
            </w:r>
            <w:r>
              <w:rPr>
                <w:spacing w:val="4"/>
              </w:rPr>
              <w:t>重点评估对地下水、地表水</w:t>
            </w:r>
            <w:r>
              <w:rPr>
                <w:spacing w:val="23"/>
              </w:rPr>
              <w:t>及周边土壤的环境污染风</w:t>
            </w:r>
            <w:r>
              <w:rPr>
                <w:spacing w:val="19"/>
              </w:rPr>
              <w:t>险</w:t>
            </w:r>
            <w:r>
              <w:rPr>
                <w:spacing w:val="-55"/>
              </w:rPr>
              <w:t xml:space="preserve"> </w:t>
            </w:r>
            <w:r>
              <w:rPr>
                <w:spacing w:val="19"/>
              </w:rPr>
              <w:t>，确保环境风险可以接</w:t>
            </w:r>
            <w:r>
              <w:rPr>
                <w:spacing w:val="19"/>
              </w:rPr>
              <w:t>受</w:t>
            </w:r>
            <w:r>
              <w:rPr>
                <w:spacing w:val="-54"/>
              </w:rPr>
              <w:t xml:space="preserve"> </w:t>
            </w:r>
            <w:r>
              <w:rPr>
                <w:spacing w:val="19"/>
              </w:rPr>
              <w:t>。充填或回填活动结束</w:t>
            </w:r>
            <w:r>
              <w:rPr>
                <w:spacing w:val="4"/>
              </w:rPr>
              <w:t>后，应根据风险评估结果对</w:t>
            </w:r>
            <w:r>
              <w:rPr>
                <w:spacing w:val="4"/>
              </w:rPr>
              <w:t>可能受到影响的土壤、地表</w:t>
            </w:r>
          </w:p>
        </w:tc>
      </w:tr>
    </w:tbl>
    <w:p>
      <w:pPr>
        <w:pStyle w:val="BodyText"/>
        <w:rPr/>
      </w:pPr>
      <w:r/>
    </w:p>
    <w:p>
      <w:pPr>
        <w:sectPr>
          <w:footerReference w:type="default" r:id="rId84"/>
          <w:pgSz w:w="11911" w:h="16839"/>
          <w:pgMar w:top="400" w:right="1309" w:bottom="1144" w:left="1689" w:header="0" w:footer="984" w:gutter="0"/>
        </w:sectPr>
        <w:rPr/>
      </w:pPr>
    </w:p>
    <w:p>
      <w:pPr>
        <w:spacing w:before="19"/>
        <w:rPr/>
      </w:pPr>
      <w:r/>
    </w:p>
    <w:p>
      <w:pPr>
        <w:spacing w:before="19"/>
        <w:rPr/>
      </w:pPr>
      <w:r/>
    </w:p>
    <w:p>
      <w:pPr>
        <w:spacing w:before="18"/>
        <w:rPr/>
      </w:pPr>
      <w:r/>
    </w:p>
    <w:p>
      <w:pPr>
        <w:spacing w:before="18"/>
        <w:rPr/>
      </w:pPr>
      <w:r/>
    </w:p>
    <w:tbl>
      <w:tblPr>
        <w:tblStyle w:val="TableNormal"/>
        <w:tblW w:w="8912"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117"/>
        <w:gridCol w:w="3360"/>
        <w:gridCol w:w="1748"/>
        <w:gridCol w:w="2687"/>
      </w:tblGrid>
      <w:tr>
        <w:trPr>
          <w:trHeight w:val="1894" w:hRule="atLeast"/>
        </w:trPr>
        <w:tc>
          <w:tcPr>
            <w:tcW w:w="1117" w:type="dxa"/>
            <w:vAlign w:val="top"/>
            <w:tcBorders>
              <w:right w:val="single" w:color="000000" w:sz="2" w:space="0"/>
              <w:left w:val="nil"/>
            </w:tcBorders>
          </w:tcPr>
          <w:p>
            <w:pPr>
              <w:rPr>
                <w:rFonts w:ascii="Arial"/>
                <w:sz w:val="21"/>
              </w:rPr>
            </w:pPr>
            <w:r/>
          </w:p>
        </w:tc>
        <w:tc>
          <w:tcPr>
            <w:tcW w:w="3360" w:type="dxa"/>
            <w:vAlign w:val="top"/>
            <w:tcBorders>
              <w:left w:val="single" w:color="000000" w:sz="2" w:space="0"/>
              <w:right w:val="single" w:color="000000" w:sz="2" w:space="0"/>
            </w:tcBorders>
          </w:tcPr>
          <w:p>
            <w:pPr>
              <w:pStyle w:val="TableText"/>
              <w:ind w:left="119" w:right="105" w:hanging="1"/>
              <w:spacing w:before="16" w:line="250" w:lineRule="auto"/>
              <w:rPr/>
            </w:pPr>
            <w:r>
              <w:rPr>
                <w:spacing w:val="8"/>
              </w:rPr>
              <w:t>业固体废物（煤研石除外）不得进</w:t>
            </w:r>
            <w:r>
              <w:rPr>
                <w:spacing w:val="1"/>
              </w:rPr>
              <w:t>行充填、</w:t>
            </w:r>
            <w:r>
              <w:rPr>
                <w:spacing w:val="-48"/>
              </w:rPr>
              <w:t xml:space="preserve"> </w:t>
            </w:r>
            <w:r>
              <w:rPr>
                <w:spacing w:val="1"/>
              </w:rPr>
              <w:t>回填作业。</w:t>
            </w:r>
          </w:p>
        </w:tc>
        <w:tc>
          <w:tcPr>
            <w:tcW w:w="1748" w:type="dxa"/>
            <w:vAlign w:val="top"/>
            <w:tcBorders>
              <w:left w:val="single" w:color="000000" w:sz="2" w:space="0"/>
              <w:right w:val="single" w:color="000000" w:sz="2" w:space="0"/>
            </w:tcBorders>
          </w:tcPr>
          <w:p>
            <w:pPr>
              <w:pStyle w:val="TableText"/>
              <w:ind w:left="120"/>
              <w:spacing w:before="17" w:line="231" w:lineRule="auto"/>
              <w:rPr/>
            </w:pPr>
            <w:r>
              <w:rPr>
                <w:spacing w:val="-4"/>
              </w:rPr>
              <w:t>填</w:t>
            </w:r>
            <w:r>
              <w:rPr>
                <w:spacing w:val="7"/>
              </w:rPr>
              <w:t xml:space="preserve"> </w:t>
            </w:r>
            <w:r>
              <w:rPr>
                <w:spacing w:val="-4"/>
              </w:rPr>
              <w:t>；</w:t>
            </w:r>
          </w:p>
          <w:p>
            <w:pPr>
              <w:pStyle w:val="TableText"/>
              <w:ind w:left="118" w:right="106" w:firstLine="413"/>
              <w:spacing w:before="24" w:line="245" w:lineRule="auto"/>
              <w:jc w:val="both"/>
              <w:rPr/>
            </w:pPr>
            <w:r>
              <w:rPr>
                <w:rFonts w:ascii="Times New Roman" w:hAnsi="Times New Roman" w:eastAsia="Times New Roman" w:cs="Times New Roman"/>
                <w:spacing w:val="2"/>
              </w:rPr>
              <w:t>c</w:t>
            </w:r>
            <w:r>
              <w:rPr>
                <w:spacing w:val="2"/>
              </w:rPr>
              <w:t>）尾矿、矿</w:t>
            </w:r>
            <w:r>
              <w:rPr>
                <w:spacing w:val="16"/>
              </w:rPr>
              <w:t>山废石等可在原</w:t>
            </w:r>
            <w:r>
              <w:rPr>
                <w:spacing w:val="-11"/>
              </w:rPr>
              <w:t>矿</w:t>
            </w:r>
            <w:r>
              <w:rPr>
                <w:spacing w:val="-27"/>
              </w:rPr>
              <w:t xml:space="preserve"> </w:t>
            </w:r>
            <w:r>
              <w:rPr>
                <w:spacing w:val="-11"/>
              </w:rPr>
              <w:t>开</w:t>
            </w:r>
            <w:r>
              <w:rPr>
                <w:spacing w:val="-30"/>
              </w:rPr>
              <w:t xml:space="preserve"> </w:t>
            </w:r>
            <w:r>
              <w:rPr>
                <w:spacing w:val="-11"/>
              </w:rPr>
              <w:t>采</w:t>
            </w:r>
            <w:r>
              <w:rPr>
                <w:spacing w:val="-13"/>
              </w:rPr>
              <w:t xml:space="preserve"> </w:t>
            </w:r>
            <w:r>
              <w:rPr>
                <w:spacing w:val="-11"/>
              </w:rPr>
              <w:t>区</w:t>
            </w:r>
            <w:r>
              <w:rPr>
                <w:spacing w:val="-17"/>
              </w:rPr>
              <w:t xml:space="preserve"> </w:t>
            </w:r>
            <w:r>
              <w:rPr>
                <w:spacing w:val="-11"/>
              </w:rPr>
              <w:t>的</w:t>
            </w:r>
            <w:r>
              <w:rPr>
                <w:spacing w:val="-31"/>
              </w:rPr>
              <w:t xml:space="preserve"> </w:t>
            </w:r>
            <w:r>
              <w:rPr>
                <w:spacing w:val="-11"/>
              </w:rPr>
              <w:t>矿</w:t>
            </w:r>
            <w:r>
              <w:rPr>
                <w:spacing w:val="10"/>
              </w:rPr>
              <w:t>井</w:t>
            </w:r>
            <w:r>
              <w:rPr>
                <w:spacing w:val="-54"/>
              </w:rPr>
              <w:t xml:space="preserve"> </w:t>
            </w:r>
            <w:r>
              <w:rPr>
                <w:spacing w:val="10"/>
              </w:rPr>
              <w:t>、矿坑等采空</w:t>
            </w:r>
            <w:r>
              <w:rPr>
                <w:spacing w:val="-13"/>
              </w:rPr>
              <w:t>区</w:t>
            </w:r>
            <w:r>
              <w:rPr>
                <w:spacing w:val="-13"/>
              </w:rPr>
              <w:t xml:space="preserve"> </w:t>
            </w:r>
            <w:r>
              <w:rPr>
                <w:spacing w:val="-13"/>
              </w:rPr>
              <w:t>中</w:t>
            </w:r>
            <w:r>
              <w:rPr>
                <w:spacing w:val="-25"/>
              </w:rPr>
              <w:t xml:space="preserve"> </w:t>
            </w:r>
            <w:r>
              <w:rPr>
                <w:spacing w:val="-13"/>
              </w:rPr>
              <w:t>充</w:t>
            </w:r>
            <w:r>
              <w:rPr>
                <w:spacing w:val="-29"/>
              </w:rPr>
              <w:t xml:space="preserve"> </w:t>
            </w:r>
            <w:r>
              <w:rPr>
                <w:spacing w:val="-13"/>
              </w:rPr>
              <w:t>填</w:t>
            </w:r>
            <w:r>
              <w:rPr>
                <w:spacing w:val="-26"/>
              </w:rPr>
              <w:t xml:space="preserve"> </w:t>
            </w:r>
            <w:r>
              <w:rPr>
                <w:spacing w:val="-13"/>
              </w:rPr>
              <w:t>或</w:t>
            </w:r>
            <w:r>
              <w:rPr>
                <w:spacing w:val="-13"/>
              </w:rPr>
              <w:t xml:space="preserve"> </w:t>
            </w:r>
            <w:r>
              <w:rPr>
                <w:spacing w:val="-13"/>
              </w:rPr>
              <w:t>回</w:t>
            </w:r>
            <w:r>
              <w:rPr>
                <w:spacing w:val="-3"/>
              </w:rPr>
              <w:t>填。</w:t>
            </w:r>
          </w:p>
        </w:tc>
        <w:tc>
          <w:tcPr>
            <w:tcW w:w="2687" w:type="dxa"/>
            <w:vAlign w:val="top"/>
            <w:tcBorders>
              <w:left w:val="single" w:color="000000" w:sz="2" w:space="0"/>
              <w:right w:val="nil"/>
            </w:tcBorders>
          </w:tcPr>
          <w:p>
            <w:pPr>
              <w:pStyle w:val="TableText"/>
              <w:ind w:left="123" w:right="107" w:hanging="6"/>
              <w:spacing w:before="16" w:line="251" w:lineRule="auto"/>
              <w:rPr/>
            </w:pPr>
            <w:r>
              <w:rPr>
                <w:spacing w:val="4"/>
              </w:rPr>
              <w:t>水及地下水开展长期监测，</w:t>
            </w:r>
            <w:r>
              <w:rPr>
                <w:spacing w:val="3"/>
              </w:rPr>
              <w:t>监测频次至少每年</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7"/>
                <w:w w:val="101"/>
              </w:rPr>
              <w:t xml:space="preserve"> </w:t>
            </w:r>
            <w:r>
              <w:rPr>
                <w:spacing w:val="3"/>
              </w:rPr>
              <w:t>次。</w:t>
            </w:r>
          </w:p>
        </w:tc>
      </w:tr>
    </w:tbl>
    <w:p>
      <w:pPr>
        <w:pStyle w:val="BodyText"/>
        <w:spacing w:line="363" w:lineRule="auto"/>
        <w:rPr/>
      </w:pPr>
      <w:r/>
    </w:p>
    <w:p>
      <w:pPr>
        <w:ind w:left="115"/>
        <w:spacing w:before="91" w:line="222" w:lineRule="auto"/>
        <w:outlineLvl w:val="1"/>
        <w:rPr>
          <w:rFonts w:ascii="FangSong" w:hAnsi="FangSong" w:eastAsia="FangSong" w:cs="FangSong"/>
          <w:sz w:val="28"/>
          <w:szCs w:val="28"/>
        </w:rPr>
      </w:pPr>
      <w:bookmarkStart w:name="bookmark89" w:id="125"/>
      <w:bookmarkEnd w:id="125"/>
      <w:bookmarkStart w:name="bookmark88" w:id="126"/>
      <w:bookmarkEnd w:id="126"/>
      <w:r>
        <w:rPr>
          <w:rFonts w:ascii="Times New Roman" w:hAnsi="Times New Roman" w:eastAsia="Times New Roman" w:cs="Times New Roman"/>
          <w:sz w:val="28"/>
          <w:szCs w:val="28"/>
          <w:b/>
          <w:bCs/>
          <w:spacing w:val="-5"/>
        </w:rPr>
        <w:t>2.7</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5"/>
        </w:rPr>
        <w:t>主要环境保护目标</w:t>
      </w:r>
    </w:p>
    <w:p>
      <w:pPr>
        <w:ind w:left="125" w:right="107" w:firstLine="480"/>
        <w:spacing w:before="202" w:line="359" w:lineRule="auto"/>
        <w:jc w:val="both"/>
        <w:rPr>
          <w:rFonts w:ascii="FangSong" w:hAnsi="FangSong" w:eastAsia="FangSong" w:cs="FangSong"/>
          <w:sz w:val="24"/>
          <w:szCs w:val="24"/>
        </w:rPr>
      </w:pPr>
      <w:r>
        <w:rPr>
          <w:rFonts w:ascii="FangSong" w:hAnsi="FangSong" w:eastAsia="FangSong" w:cs="FangSong"/>
          <w:sz w:val="24"/>
          <w:szCs w:val="24"/>
          <w:spacing w:val="-2"/>
        </w:rPr>
        <w:t>本项目位于位于苏尼特右旗旗政府所在地赛</w:t>
      </w:r>
      <w:r>
        <w:rPr>
          <w:rFonts w:ascii="FangSong" w:hAnsi="FangSong" w:eastAsia="FangSong" w:cs="FangSong"/>
          <w:sz w:val="24"/>
          <w:szCs w:val="24"/>
          <w:spacing w:val="-3"/>
        </w:rPr>
        <w:t>汉塔拉镇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25°</w:t>
      </w:r>
      <w:r>
        <w:rPr>
          <w:rFonts w:ascii="FangSong" w:hAnsi="FangSong" w:eastAsia="FangSong" w:cs="FangSong"/>
          <w:sz w:val="24"/>
          <w:szCs w:val="24"/>
          <w:spacing w:val="-3"/>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40km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处，评</w:t>
      </w:r>
      <w:r>
        <w:rPr>
          <w:rFonts w:ascii="FangSong" w:hAnsi="FangSong" w:eastAsia="FangSong" w:cs="FangSong"/>
          <w:sz w:val="24"/>
          <w:szCs w:val="24"/>
          <w:spacing w:val="1"/>
        </w:rPr>
        <w:t>价范围内无人口密集的村屯，无文物古迹，不涉及自然保护区、风景名胜区、水源</w:t>
      </w:r>
      <w:r>
        <w:rPr>
          <w:rFonts w:ascii="FangSong" w:hAnsi="FangSong" w:eastAsia="FangSong" w:cs="FangSong"/>
          <w:sz w:val="24"/>
          <w:szCs w:val="24"/>
          <w:spacing w:val="1"/>
        </w:rPr>
        <w:t>保护区等特殊生态敏感和重要生态敏感区。根据现场调查，本项目环境保护目标见</w:t>
      </w:r>
    </w:p>
    <w:p>
      <w:pPr>
        <w:ind w:left="126"/>
        <w:spacing w:before="1" w:line="220" w:lineRule="auto"/>
        <w:rPr>
          <w:rFonts w:ascii="FangSong" w:hAnsi="FangSong" w:eastAsia="FangSong" w:cs="FangSong"/>
          <w:sz w:val="24"/>
          <w:szCs w:val="24"/>
        </w:rPr>
      </w:pPr>
      <w:r>
        <w:rPr>
          <w:rFonts w:ascii="FangSong" w:hAnsi="FangSong" w:eastAsia="FangSong" w:cs="FangSong"/>
          <w:sz w:val="24"/>
          <w:szCs w:val="24"/>
          <w:spacing w:val="-4"/>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4"/>
        </w:rPr>
        <w:t>2.7-1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。环境保护目标见附图</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2-3</w:t>
      </w:r>
      <w:r>
        <w:rPr>
          <w:rFonts w:ascii="FangSong" w:hAnsi="FangSong" w:eastAsia="FangSong" w:cs="FangSong"/>
          <w:sz w:val="24"/>
          <w:szCs w:val="24"/>
          <w:spacing w:val="-4"/>
        </w:rPr>
        <w:t>。</w:t>
      </w:r>
    </w:p>
    <w:p>
      <w:pPr>
        <w:ind w:left="2567"/>
        <w:spacing w:before="180"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2.7-1  </w:t>
      </w:r>
      <w:r>
        <w:rPr>
          <w:rFonts w:ascii="FangSong" w:hAnsi="FangSong" w:eastAsia="FangSong" w:cs="FangSong"/>
          <w:sz w:val="24"/>
          <w:szCs w:val="24"/>
          <w:b/>
          <w:bCs/>
          <w:spacing w:val="-3"/>
        </w:rPr>
        <w:t>本项目环境保护目标一览表</w:t>
      </w:r>
    </w:p>
    <w:p>
      <w:pPr>
        <w:spacing w:line="143" w:lineRule="exact"/>
        <w:rPr/>
      </w:pPr>
      <w:r/>
    </w:p>
    <w:tbl>
      <w:tblPr>
        <w:tblStyle w:val="TableNormal"/>
        <w:tblW w:w="891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3"/>
        <w:gridCol w:w="747"/>
        <w:gridCol w:w="765"/>
        <w:gridCol w:w="595"/>
        <w:gridCol w:w="1029"/>
        <w:gridCol w:w="580"/>
        <w:gridCol w:w="1336"/>
        <w:gridCol w:w="374"/>
        <w:gridCol w:w="537"/>
        <w:gridCol w:w="2527"/>
      </w:tblGrid>
      <w:tr>
        <w:trPr>
          <w:trHeight w:val="475" w:hRule="atLeast"/>
        </w:trPr>
        <w:tc>
          <w:tcPr>
            <w:tcW w:w="1170" w:type="dxa"/>
            <w:vAlign w:val="top"/>
            <w:gridSpan w:val="2"/>
            <w:tcBorders>
              <w:left w:val="nil"/>
              <w:top w:val="single" w:color="000000" w:sz="10" w:space="0"/>
            </w:tcBorders>
          </w:tcPr>
          <w:p>
            <w:pPr>
              <w:pStyle w:val="TableText"/>
              <w:ind w:left="506" w:right="132" w:hanging="359"/>
              <w:spacing w:before="32" w:line="222" w:lineRule="auto"/>
              <w:rPr>
                <w:sz w:val="18"/>
                <w:szCs w:val="18"/>
              </w:rPr>
            </w:pPr>
            <w:r>
              <w:rPr>
                <w:sz w:val="18"/>
                <w:szCs w:val="18"/>
                <w:spacing w:val="-3"/>
              </w:rPr>
              <w:t>保护目标名</w:t>
            </w:r>
            <w:r>
              <w:rPr>
                <w:sz w:val="18"/>
                <w:szCs w:val="18"/>
              </w:rPr>
              <w:t>称</w:t>
            </w:r>
          </w:p>
        </w:tc>
        <w:tc>
          <w:tcPr>
            <w:tcW w:w="765" w:type="dxa"/>
            <w:vAlign w:val="top"/>
            <w:tcBorders>
              <w:top w:val="single" w:color="000000" w:sz="10" w:space="0"/>
            </w:tcBorders>
          </w:tcPr>
          <w:p>
            <w:pPr>
              <w:pStyle w:val="TableText"/>
              <w:ind w:left="118"/>
              <w:spacing w:before="148" w:line="222" w:lineRule="auto"/>
              <w:rPr>
                <w:rFonts w:ascii="Times New Roman" w:hAnsi="Times New Roman" w:eastAsia="Times New Roman" w:cs="Times New Roman"/>
                <w:sz w:val="18"/>
                <w:szCs w:val="18"/>
              </w:rPr>
            </w:pPr>
            <w:r>
              <w:rPr>
                <w:sz w:val="18"/>
                <w:szCs w:val="18"/>
                <w:spacing w:val="-4"/>
              </w:rPr>
              <w:t>距离</w:t>
            </w:r>
            <w:r>
              <w:rPr>
                <w:sz w:val="18"/>
                <w:szCs w:val="18"/>
                <w:spacing w:val="-43"/>
              </w:rPr>
              <w:t xml:space="preserve"> </w:t>
            </w:r>
            <w:r>
              <w:rPr>
                <w:rFonts w:ascii="Times New Roman" w:hAnsi="Times New Roman" w:eastAsia="Times New Roman" w:cs="Times New Roman"/>
                <w:sz w:val="18"/>
                <w:szCs w:val="18"/>
                <w:spacing w:val="-4"/>
              </w:rPr>
              <w:t>m</w:t>
            </w:r>
          </w:p>
        </w:tc>
        <w:tc>
          <w:tcPr>
            <w:tcW w:w="595" w:type="dxa"/>
            <w:vAlign w:val="top"/>
            <w:tcBorders>
              <w:top w:val="single" w:color="000000" w:sz="10" w:space="0"/>
            </w:tcBorders>
          </w:tcPr>
          <w:p>
            <w:pPr>
              <w:pStyle w:val="TableText"/>
              <w:ind w:left="131"/>
              <w:spacing w:before="147" w:line="222" w:lineRule="auto"/>
              <w:rPr>
                <w:sz w:val="18"/>
                <w:szCs w:val="18"/>
              </w:rPr>
            </w:pPr>
            <w:r>
              <w:rPr>
                <w:sz w:val="18"/>
                <w:szCs w:val="18"/>
                <w:spacing w:val="-9"/>
              </w:rPr>
              <w:t>方位</w:t>
            </w:r>
          </w:p>
        </w:tc>
        <w:tc>
          <w:tcPr>
            <w:tcW w:w="1029" w:type="dxa"/>
            <w:vAlign w:val="top"/>
            <w:tcBorders>
              <w:top w:val="single" w:color="000000" w:sz="10" w:space="0"/>
            </w:tcBorders>
          </w:tcPr>
          <w:p>
            <w:pPr>
              <w:pStyle w:val="TableText"/>
              <w:ind w:left="163"/>
              <w:spacing w:before="148" w:line="222" w:lineRule="auto"/>
              <w:rPr>
                <w:sz w:val="18"/>
                <w:szCs w:val="18"/>
              </w:rPr>
            </w:pPr>
            <w:r>
              <w:rPr>
                <w:sz w:val="18"/>
                <w:szCs w:val="18"/>
                <w:spacing w:val="-3"/>
              </w:rPr>
              <w:t>居民人数</w:t>
            </w:r>
          </w:p>
        </w:tc>
        <w:tc>
          <w:tcPr>
            <w:tcW w:w="2827" w:type="dxa"/>
            <w:vAlign w:val="top"/>
            <w:gridSpan w:val="4"/>
            <w:tcBorders>
              <w:top w:val="single" w:color="000000" w:sz="10" w:space="0"/>
            </w:tcBorders>
          </w:tcPr>
          <w:p>
            <w:pPr>
              <w:pStyle w:val="TableText"/>
              <w:ind w:left="1064"/>
              <w:spacing w:before="147" w:line="222" w:lineRule="auto"/>
              <w:rPr>
                <w:sz w:val="18"/>
                <w:szCs w:val="18"/>
              </w:rPr>
            </w:pPr>
            <w:r>
              <w:rPr>
                <w:sz w:val="18"/>
                <w:szCs w:val="18"/>
                <w:spacing w:val="-4"/>
              </w:rPr>
              <w:t>位置坐标</w:t>
            </w:r>
          </w:p>
        </w:tc>
        <w:tc>
          <w:tcPr>
            <w:tcW w:w="2527" w:type="dxa"/>
            <w:vAlign w:val="top"/>
            <w:tcBorders>
              <w:right w:val="nil"/>
              <w:top w:val="single" w:color="000000" w:sz="10" w:space="0"/>
            </w:tcBorders>
          </w:tcPr>
          <w:p>
            <w:pPr>
              <w:pStyle w:val="TableText"/>
              <w:ind w:left="913"/>
              <w:spacing w:before="147" w:line="221" w:lineRule="auto"/>
              <w:rPr>
                <w:sz w:val="18"/>
                <w:szCs w:val="18"/>
              </w:rPr>
            </w:pPr>
            <w:r>
              <w:rPr>
                <w:sz w:val="18"/>
                <w:szCs w:val="18"/>
                <w:spacing w:val="-4"/>
              </w:rPr>
              <w:t>保护要求</w:t>
            </w:r>
          </w:p>
        </w:tc>
      </w:tr>
      <w:tr>
        <w:trPr>
          <w:trHeight w:val="470" w:hRule="atLeast"/>
        </w:trPr>
        <w:tc>
          <w:tcPr>
            <w:tcW w:w="423" w:type="dxa"/>
            <w:vAlign w:val="top"/>
            <w:vMerge w:val="restart"/>
            <w:textDirection w:val="tbRlV"/>
            <w:tcBorders>
              <w:left w:val="nil"/>
              <w:bottom w:val="nil"/>
            </w:tcBorders>
          </w:tcPr>
          <w:p>
            <w:pPr>
              <w:pStyle w:val="TableText"/>
              <w:ind w:left="987"/>
              <w:spacing w:before="119" w:line="202" w:lineRule="auto"/>
              <w:rPr>
                <w:sz w:val="18"/>
                <w:szCs w:val="18"/>
              </w:rPr>
            </w:pPr>
            <w:r>
              <w:rPr>
                <w:sz w:val="18"/>
                <w:szCs w:val="18"/>
                <w:spacing w:val="40"/>
              </w:rPr>
              <w:t>环境空气</w:t>
            </w:r>
          </w:p>
        </w:tc>
        <w:tc>
          <w:tcPr>
            <w:tcW w:w="747" w:type="dxa"/>
            <w:vAlign w:val="top"/>
          </w:tcPr>
          <w:p>
            <w:pPr>
              <w:pStyle w:val="TableText"/>
              <w:ind w:left="135"/>
              <w:spacing w:before="145" w:line="222" w:lineRule="auto"/>
              <w:rPr>
                <w:rFonts w:ascii="Times New Roman" w:hAnsi="Times New Roman" w:eastAsia="Times New Roman" w:cs="Times New Roman"/>
                <w:sz w:val="18"/>
                <w:szCs w:val="18"/>
              </w:rPr>
            </w:pPr>
            <w:r>
              <w:rPr>
                <w:sz w:val="18"/>
                <w:szCs w:val="18"/>
                <w:spacing w:val="-5"/>
              </w:rPr>
              <w:t>牧户</w:t>
            </w:r>
            <w:r>
              <w:rPr>
                <w:sz w:val="18"/>
                <w:szCs w:val="18"/>
                <w:spacing w:val="-23"/>
              </w:rPr>
              <w:t xml:space="preserve"> </w:t>
            </w:r>
            <w:r>
              <w:rPr>
                <w:rFonts w:ascii="Times New Roman" w:hAnsi="Times New Roman" w:eastAsia="Times New Roman" w:cs="Times New Roman"/>
                <w:sz w:val="18"/>
                <w:szCs w:val="18"/>
                <w:spacing w:val="-5"/>
              </w:rPr>
              <w:t>1</w:t>
            </w:r>
          </w:p>
        </w:tc>
        <w:tc>
          <w:tcPr>
            <w:tcW w:w="765" w:type="dxa"/>
            <w:vAlign w:val="top"/>
          </w:tcPr>
          <w:p>
            <w:pPr>
              <w:ind w:left="18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833.6</w:t>
            </w:r>
          </w:p>
        </w:tc>
        <w:tc>
          <w:tcPr>
            <w:tcW w:w="595" w:type="dxa"/>
            <w:vAlign w:val="top"/>
          </w:tcPr>
          <w:p>
            <w:pPr>
              <w:pStyle w:val="TableText"/>
              <w:ind w:left="116"/>
              <w:spacing w:before="42" w:line="226" w:lineRule="auto"/>
              <w:rPr>
                <w:sz w:val="18"/>
                <w:szCs w:val="18"/>
              </w:rPr>
            </w:pPr>
            <w:r>
              <w:rPr>
                <w:sz w:val="18"/>
                <w:szCs w:val="18"/>
                <w:spacing w:val="-6"/>
              </w:rPr>
              <w:t>厂区</w:t>
            </w:r>
          </w:p>
          <w:p>
            <w:pPr>
              <w:ind w:left="193"/>
              <w:spacing w:before="2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ES</w:t>
            </w:r>
          </w:p>
        </w:tc>
        <w:tc>
          <w:tcPr>
            <w:tcW w:w="1029" w:type="dxa"/>
            <w:vAlign w:val="top"/>
          </w:tcPr>
          <w:p>
            <w:pPr>
              <w:pStyle w:val="TableText"/>
              <w:ind w:left="362"/>
              <w:spacing w:before="145" w:line="227" w:lineRule="auto"/>
              <w:rPr>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14"/>
              </w:rPr>
              <w:t xml:space="preserve"> </w:t>
            </w:r>
            <w:r>
              <w:rPr>
                <w:sz w:val="18"/>
                <w:szCs w:val="18"/>
                <w:spacing w:val="-4"/>
              </w:rPr>
              <w:t>人</w:t>
            </w:r>
          </w:p>
        </w:tc>
        <w:tc>
          <w:tcPr>
            <w:tcW w:w="580" w:type="dxa"/>
            <w:vAlign w:val="top"/>
            <w:tcBorders>
              <w:right w:val="nil"/>
            </w:tcBorders>
          </w:tcPr>
          <w:p>
            <w:pPr>
              <w:ind w:left="242"/>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tc>
        <w:tc>
          <w:tcPr>
            <w:tcW w:w="1336" w:type="dxa"/>
            <w:vAlign w:val="top"/>
            <w:tcBorders>
              <w:left w:val="nil"/>
              <w:right w:val="nil"/>
            </w:tcBorders>
          </w:tcPr>
          <w:p>
            <w:pPr>
              <w:pStyle w:val="TableText"/>
              <w:ind w:left="452" w:hanging="453"/>
              <w:spacing w:before="42" w:line="214" w:lineRule="auto"/>
              <w:rPr>
                <w:sz w:val="18"/>
                <w:szCs w:val="18"/>
              </w:rPr>
            </w:pPr>
            <w:r>
              <w:rPr>
                <w:sz w:val="18"/>
                <w:szCs w:val="18"/>
                <w:spacing w:val="-17"/>
              </w:rPr>
              <w:t>°</w:t>
            </w:r>
            <w:r>
              <w:rPr>
                <w:rFonts w:ascii="Times New Roman" w:hAnsi="Times New Roman" w:eastAsia="Times New Roman" w:cs="Times New Roman"/>
                <w:sz w:val="18"/>
                <w:szCs w:val="18"/>
                <w:spacing w:val="-17"/>
              </w:rPr>
              <w:t>56</w:t>
            </w:r>
            <w:r>
              <w:rPr>
                <w:rFonts w:ascii="Times New Roman" w:hAnsi="Times New Roman" w:eastAsia="Times New Roman" w:cs="Times New Roman"/>
                <w:sz w:val="18"/>
                <w:szCs w:val="18"/>
                <w:spacing w:val="-5"/>
              </w:rPr>
              <w:t xml:space="preserve"> </w:t>
            </w:r>
            <w:r>
              <w:rPr>
                <w:sz w:val="18"/>
                <w:szCs w:val="18"/>
                <w:spacing w:val="-17"/>
              </w:rPr>
              <w:t>′</w:t>
            </w:r>
            <w:r>
              <w:rPr>
                <w:rFonts w:ascii="Times New Roman" w:hAnsi="Times New Roman" w:eastAsia="Times New Roman" w:cs="Times New Roman"/>
                <w:sz w:val="18"/>
                <w:szCs w:val="18"/>
                <w:spacing w:val="-17"/>
              </w:rPr>
              <w:t>8.27227</w:t>
            </w:r>
            <w:r>
              <w:rPr>
                <w:rFonts w:ascii="Times New Roman" w:hAnsi="Times New Roman" w:eastAsia="Times New Roman" w:cs="Times New Roman"/>
                <w:sz w:val="18"/>
                <w:szCs w:val="18"/>
                <w:spacing w:val="-15"/>
              </w:rPr>
              <w:t xml:space="preserve"> </w:t>
            </w:r>
            <w:r>
              <w:rPr>
                <w:sz w:val="18"/>
                <w:szCs w:val="18"/>
                <w:spacing w:val="-17"/>
              </w:rPr>
              <w:t>″，</w:t>
            </w:r>
            <w:r>
              <w:rPr>
                <w:sz w:val="18"/>
                <w:szCs w:val="18"/>
              </w:rPr>
              <w:t xml:space="preserve"> </w:t>
            </w:r>
            <w:r>
              <w:rPr>
                <w:rFonts w:ascii="Times New Roman" w:hAnsi="Times New Roman" w:eastAsia="Times New Roman" w:cs="Times New Roman"/>
                <w:sz w:val="18"/>
                <w:szCs w:val="18"/>
                <w:spacing w:val="-6"/>
              </w:rPr>
              <w:t>51.44919</w:t>
            </w:r>
            <w:r>
              <w:rPr>
                <w:rFonts w:ascii="Times New Roman" w:hAnsi="Times New Roman" w:eastAsia="Times New Roman" w:cs="Times New Roman"/>
                <w:sz w:val="18"/>
                <w:szCs w:val="18"/>
                <w:spacing w:val="-7"/>
              </w:rPr>
              <w:t xml:space="preserve"> </w:t>
            </w:r>
            <w:r>
              <w:rPr>
                <w:sz w:val="18"/>
                <w:szCs w:val="18"/>
                <w:spacing w:val="-6"/>
              </w:rPr>
              <w:t>″</w:t>
            </w:r>
          </w:p>
        </w:tc>
        <w:tc>
          <w:tcPr>
            <w:tcW w:w="374" w:type="dxa"/>
            <w:vAlign w:val="top"/>
            <w:tcBorders>
              <w:left w:val="nil"/>
              <w:right w:val="nil"/>
            </w:tcBorders>
          </w:tcPr>
          <w:p>
            <w:pPr>
              <w:pStyle w:val="TableText"/>
              <w:spacing w:before="55" w:line="184" w:lineRule="auto"/>
              <w:jc w:val="right"/>
              <w:rPr>
                <w:sz w:val="18"/>
                <w:szCs w:val="18"/>
              </w:rPr>
            </w:pPr>
            <w:r>
              <w:rPr>
                <w:rFonts w:ascii="Times New Roman" w:hAnsi="Times New Roman" w:eastAsia="Times New Roman" w:cs="Times New Roman"/>
                <w:sz w:val="18"/>
                <w:szCs w:val="18"/>
                <w:spacing w:val="-23"/>
              </w:rPr>
              <w:t>43</w:t>
            </w:r>
            <w:r>
              <w:rPr>
                <w:rFonts w:ascii="Times New Roman" w:hAnsi="Times New Roman" w:eastAsia="Times New Roman" w:cs="Times New Roman"/>
                <w:sz w:val="18"/>
                <w:szCs w:val="18"/>
                <w:spacing w:val="-24"/>
              </w:rPr>
              <w:t xml:space="preserve"> </w:t>
            </w:r>
            <w:r>
              <w:rPr>
                <w:sz w:val="18"/>
                <w:szCs w:val="18"/>
                <w:spacing w:val="-23"/>
              </w:rPr>
              <w:t>°</w:t>
            </w:r>
          </w:p>
        </w:tc>
        <w:tc>
          <w:tcPr>
            <w:tcW w:w="537" w:type="dxa"/>
            <w:vAlign w:val="top"/>
            <w:tcBorders>
              <w:left w:val="nil"/>
            </w:tcBorders>
          </w:tcPr>
          <w:p>
            <w:pPr>
              <w:pStyle w:val="TableText"/>
              <w:ind w:left="64"/>
              <w:spacing w:before="42" w:line="197" w:lineRule="auto"/>
              <w:rPr>
                <w:sz w:val="18"/>
                <w:szCs w:val="18"/>
              </w:rPr>
            </w:pPr>
            <w:r>
              <w:rPr>
                <w:rFonts w:ascii="Times New Roman" w:hAnsi="Times New Roman" w:eastAsia="Times New Roman" w:cs="Times New Roman"/>
                <w:sz w:val="18"/>
                <w:szCs w:val="18"/>
                <w:spacing w:val="5"/>
              </w:rPr>
              <w:t>1</w:t>
            </w:r>
            <w:r>
              <w:rPr>
                <w:sz w:val="18"/>
                <w:szCs w:val="18"/>
                <w:spacing w:val="5"/>
              </w:rPr>
              <w:t>′</w:t>
            </w:r>
          </w:p>
        </w:tc>
        <w:tc>
          <w:tcPr>
            <w:tcW w:w="2527" w:type="dxa"/>
            <w:vAlign w:val="top"/>
            <w:vMerge w:val="restart"/>
            <w:tcBorders>
              <w:right w:val="nil"/>
              <w:bottom w:val="nil"/>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373"/>
              <w:spacing w:before="58" w:line="222" w:lineRule="auto"/>
              <w:rPr>
                <w:sz w:val="18"/>
                <w:szCs w:val="18"/>
              </w:rPr>
            </w:pPr>
            <w:r>
              <w:rPr>
                <w:sz w:val="18"/>
                <w:szCs w:val="18"/>
                <w:spacing w:val="-2"/>
              </w:rPr>
              <w:t>《环境空气质量标准》</w:t>
            </w:r>
          </w:p>
          <w:p>
            <w:pPr>
              <w:pStyle w:val="TableText"/>
              <w:ind w:left="132"/>
              <w:spacing w:before="16" w:line="222" w:lineRule="auto"/>
              <w:rPr>
                <w:sz w:val="18"/>
                <w:szCs w:val="18"/>
              </w:rPr>
            </w:pPr>
            <w:r>
              <w:rPr>
                <w:sz w:val="18"/>
                <w:szCs w:val="18"/>
                <w:spacing w:val="-1"/>
              </w:rPr>
              <w:t>（</w:t>
            </w:r>
            <w:r>
              <w:rPr>
                <w:rFonts w:ascii="Times New Roman" w:hAnsi="Times New Roman" w:eastAsia="Times New Roman" w:cs="Times New Roman"/>
                <w:sz w:val="18"/>
                <w:szCs w:val="18"/>
                <w:spacing w:val="-1"/>
              </w:rPr>
              <w:t>GB3095-2012</w:t>
            </w:r>
            <w:r>
              <w:rPr>
                <w:sz w:val="18"/>
                <w:szCs w:val="18"/>
                <w:spacing w:val="-1"/>
              </w:rPr>
              <w:t>）中二级标准</w:t>
            </w:r>
          </w:p>
        </w:tc>
      </w:tr>
      <w:tr>
        <w:trPr>
          <w:trHeight w:val="470" w:hRule="atLeast"/>
        </w:trPr>
        <w:tc>
          <w:tcPr>
            <w:tcW w:w="423" w:type="dxa"/>
            <w:vAlign w:val="top"/>
            <w:vMerge w:val="continue"/>
            <w:textDirection w:val="tbRlV"/>
            <w:tcBorders>
              <w:left w:val="nil"/>
              <w:top w:val="nil"/>
              <w:bottom w:val="nil"/>
            </w:tcBorders>
          </w:tcPr>
          <w:p>
            <w:pPr>
              <w:rPr>
                <w:rFonts w:ascii="Arial"/>
                <w:sz w:val="21"/>
              </w:rPr>
            </w:pPr>
            <w:r/>
          </w:p>
        </w:tc>
        <w:tc>
          <w:tcPr>
            <w:tcW w:w="747" w:type="dxa"/>
            <w:vAlign w:val="top"/>
          </w:tcPr>
          <w:p>
            <w:pPr>
              <w:pStyle w:val="TableText"/>
              <w:ind w:left="135"/>
              <w:spacing w:before="148" w:line="222" w:lineRule="auto"/>
              <w:rPr>
                <w:rFonts w:ascii="Times New Roman" w:hAnsi="Times New Roman" w:eastAsia="Times New Roman" w:cs="Times New Roman"/>
                <w:sz w:val="18"/>
                <w:szCs w:val="18"/>
              </w:rPr>
            </w:pPr>
            <w:r>
              <w:rPr>
                <w:sz w:val="18"/>
                <w:szCs w:val="18"/>
                <w:spacing w:val="-5"/>
              </w:rPr>
              <w:t>牧户</w:t>
            </w:r>
            <w:r>
              <w:rPr>
                <w:sz w:val="18"/>
                <w:szCs w:val="18"/>
                <w:spacing w:val="-40"/>
              </w:rPr>
              <w:t xml:space="preserve"> </w:t>
            </w:r>
            <w:r>
              <w:rPr>
                <w:rFonts w:ascii="Times New Roman" w:hAnsi="Times New Roman" w:eastAsia="Times New Roman" w:cs="Times New Roman"/>
                <w:sz w:val="18"/>
                <w:szCs w:val="18"/>
                <w:spacing w:val="-5"/>
              </w:rPr>
              <w:t>2</w:t>
            </w:r>
          </w:p>
        </w:tc>
        <w:tc>
          <w:tcPr>
            <w:tcW w:w="765" w:type="dxa"/>
            <w:vAlign w:val="top"/>
          </w:tcPr>
          <w:p>
            <w:pPr>
              <w:ind w:left="21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1400</w:t>
            </w:r>
          </w:p>
        </w:tc>
        <w:tc>
          <w:tcPr>
            <w:tcW w:w="595" w:type="dxa"/>
            <w:vAlign w:val="top"/>
          </w:tcPr>
          <w:p>
            <w:pPr>
              <w:pStyle w:val="TableText"/>
              <w:ind w:left="116"/>
              <w:spacing w:before="42" w:line="226" w:lineRule="auto"/>
              <w:rPr>
                <w:sz w:val="18"/>
                <w:szCs w:val="18"/>
              </w:rPr>
            </w:pPr>
            <w:r>
              <w:rPr>
                <w:sz w:val="18"/>
                <w:szCs w:val="18"/>
                <w:spacing w:val="-6"/>
              </w:rPr>
              <w:t>厂区</w:t>
            </w:r>
          </w:p>
          <w:p>
            <w:pPr>
              <w:ind w:left="19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ES</w:t>
            </w:r>
          </w:p>
        </w:tc>
        <w:tc>
          <w:tcPr>
            <w:tcW w:w="1029" w:type="dxa"/>
            <w:vAlign w:val="top"/>
          </w:tcPr>
          <w:p>
            <w:pPr>
              <w:pStyle w:val="TableText"/>
              <w:ind w:left="358"/>
              <w:spacing w:before="147" w:line="227" w:lineRule="auto"/>
              <w:rPr>
                <w:sz w:val="18"/>
                <w:szCs w:val="18"/>
              </w:rPr>
            </w:pPr>
            <w:r>
              <w:rPr>
                <w:rFonts w:ascii="Times New Roman" w:hAnsi="Times New Roman" w:eastAsia="Times New Roman" w:cs="Times New Roman"/>
                <w:sz w:val="18"/>
                <w:szCs w:val="18"/>
                <w:spacing w:val="-2"/>
              </w:rPr>
              <w:t>4</w:t>
            </w:r>
            <w:r>
              <w:rPr>
                <w:rFonts w:ascii="Times New Roman" w:hAnsi="Times New Roman" w:eastAsia="Times New Roman" w:cs="Times New Roman"/>
                <w:sz w:val="18"/>
                <w:szCs w:val="18"/>
                <w:spacing w:val="14"/>
              </w:rPr>
              <w:t xml:space="preserve"> </w:t>
            </w:r>
            <w:r>
              <w:rPr>
                <w:sz w:val="18"/>
                <w:szCs w:val="18"/>
                <w:spacing w:val="-2"/>
              </w:rPr>
              <w:t>人</w:t>
            </w:r>
          </w:p>
        </w:tc>
        <w:tc>
          <w:tcPr>
            <w:tcW w:w="580" w:type="dxa"/>
            <w:vAlign w:val="top"/>
            <w:tcBorders>
              <w:right w:val="nil"/>
            </w:tcBorders>
          </w:tcPr>
          <w:p>
            <w:pPr>
              <w:pStyle w:val="TableText"/>
              <w:spacing w:before="56" w:line="186" w:lineRule="auto"/>
              <w:jc w:val="right"/>
              <w:rPr>
                <w:sz w:val="18"/>
                <w:szCs w:val="18"/>
              </w:rPr>
            </w:pPr>
            <w:r>
              <w:rPr>
                <w:rFonts w:ascii="Times New Roman" w:hAnsi="Times New Roman" w:eastAsia="Times New Roman" w:cs="Times New Roman"/>
                <w:sz w:val="18"/>
                <w:szCs w:val="18"/>
                <w:spacing w:val="-23"/>
              </w:rPr>
              <w:t>112</w:t>
            </w:r>
            <w:r>
              <w:rPr>
                <w:rFonts w:ascii="Times New Roman" w:hAnsi="Times New Roman" w:eastAsia="Times New Roman" w:cs="Times New Roman"/>
                <w:sz w:val="18"/>
                <w:szCs w:val="18"/>
                <w:spacing w:val="-26"/>
              </w:rPr>
              <w:t xml:space="preserve"> </w:t>
            </w:r>
            <w:r>
              <w:rPr>
                <w:sz w:val="18"/>
                <w:szCs w:val="18"/>
                <w:spacing w:val="-23"/>
              </w:rPr>
              <w:t>°</w:t>
            </w:r>
          </w:p>
        </w:tc>
        <w:tc>
          <w:tcPr>
            <w:tcW w:w="1336" w:type="dxa"/>
            <w:vAlign w:val="top"/>
            <w:tcBorders>
              <w:left w:val="nil"/>
              <w:right w:val="nil"/>
            </w:tcBorders>
          </w:tcPr>
          <w:p>
            <w:pPr>
              <w:pStyle w:val="TableText"/>
              <w:ind w:left="392" w:hanging="341"/>
              <w:spacing w:before="42" w:line="214" w:lineRule="auto"/>
              <w:rPr>
                <w:sz w:val="18"/>
                <w:szCs w:val="18"/>
              </w:rPr>
            </w:pPr>
            <w:r>
              <w:rPr>
                <w:rFonts w:ascii="Times New Roman" w:hAnsi="Times New Roman" w:eastAsia="Times New Roman" w:cs="Times New Roman"/>
                <w:sz w:val="18"/>
                <w:szCs w:val="18"/>
                <w:spacing w:val="-14"/>
              </w:rPr>
              <w:t>56</w:t>
            </w:r>
            <w:r>
              <w:rPr>
                <w:rFonts w:ascii="Times New Roman" w:hAnsi="Times New Roman" w:eastAsia="Times New Roman" w:cs="Times New Roman"/>
                <w:sz w:val="18"/>
                <w:szCs w:val="18"/>
                <w:spacing w:val="-5"/>
              </w:rPr>
              <w:t xml:space="preserve"> </w:t>
            </w:r>
            <w:r>
              <w:rPr>
                <w:sz w:val="18"/>
                <w:szCs w:val="18"/>
                <w:spacing w:val="-14"/>
              </w:rPr>
              <w:t>′</w:t>
            </w:r>
            <w:r>
              <w:rPr>
                <w:rFonts w:ascii="Times New Roman" w:hAnsi="Times New Roman" w:eastAsia="Times New Roman" w:cs="Times New Roman"/>
                <w:sz w:val="18"/>
                <w:szCs w:val="18"/>
                <w:spacing w:val="-14"/>
              </w:rPr>
              <w:t>35.65655</w:t>
            </w:r>
            <w:r>
              <w:rPr>
                <w:rFonts w:ascii="Times New Roman" w:hAnsi="Times New Roman" w:eastAsia="Times New Roman" w:cs="Times New Roman"/>
                <w:sz w:val="18"/>
                <w:szCs w:val="18"/>
                <w:spacing w:val="-15"/>
              </w:rPr>
              <w:t xml:space="preserve"> </w:t>
            </w:r>
            <w:r>
              <w:rPr>
                <w:sz w:val="18"/>
                <w:szCs w:val="18"/>
                <w:spacing w:val="-14"/>
              </w:rPr>
              <w:t>″，</w:t>
            </w:r>
            <w:r>
              <w:rPr>
                <w:sz w:val="18"/>
                <w:szCs w:val="18"/>
              </w:rPr>
              <w:t xml:space="preserve"> </w:t>
            </w:r>
            <w:r>
              <w:rPr>
                <w:rFonts w:ascii="Times New Roman" w:hAnsi="Times New Roman" w:eastAsia="Times New Roman" w:cs="Times New Roman"/>
                <w:sz w:val="18"/>
                <w:szCs w:val="18"/>
                <w:spacing w:val="-4"/>
              </w:rPr>
              <w:t>42.02498</w:t>
            </w:r>
            <w:r>
              <w:rPr>
                <w:rFonts w:ascii="Times New Roman" w:hAnsi="Times New Roman" w:eastAsia="Times New Roman" w:cs="Times New Roman"/>
                <w:sz w:val="18"/>
                <w:szCs w:val="18"/>
                <w:spacing w:val="-9"/>
              </w:rPr>
              <w:t xml:space="preserve"> </w:t>
            </w:r>
            <w:r>
              <w:rPr>
                <w:sz w:val="18"/>
                <w:szCs w:val="18"/>
                <w:spacing w:val="-4"/>
              </w:rPr>
              <w:t>″</w:t>
            </w:r>
          </w:p>
        </w:tc>
        <w:tc>
          <w:tcPr>
            <w:tcW w:w="374" w:type="dxa"/>
            <w:vAlign w:val="top"/>
            <w:tcBorders>
              <w:left w:val="nil"/>
              <w:right w:val="nil"/>
            </w:tcBorders>
          </w:tcPr>
          <w:p>
            <w:pPr>
              <w:ind w:left="103"/>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537" w:type="dxa"/>
            <w:vAlign w:val="top"/>
            <w:tcBorders>
              <w:left w:val="nil"/>
            </w:tcBorders>
          </w:tcPr>
          <w:p>
            <w:pPr>
              <w:pStyle w:val="TableText"/>
              <w:spacing w:before="43" w:line="199" w:lineRule="auto"/>
              <w:rPr>
                <w:sz w:val="18"/>
                <w:szCs w:val="18"/>
              </w:rPr>
            </w:pPr>
            <w:r>
              <w:rPr>
                <w:sz w:val="18"/>
                <w:szCs w:val="18"/>
                <w:spacing w:val="-28"/>
              </w:rPr>
              <w:t>°</w:t>
            </w:r>
            <w:r>
              <w:rPr>
                <w:sz w:val="18"/>
                <w:szCs w:val="18"/>
                <w:spacing w:val="-71"/>
              </w:rPr>
              <w:t xml:space="preserve"> </w:t>
            </w:r>
            <w:r>
              <w:rPr>
                <w:rFonts w:ascii="Times New Roman" w:hAnsi="Times New Roman" w:eastAsia="Times New Roman" w:cs="Times New Roman"/>
                <w:sz w:val="18"/>
                <w:szCs w:val="18"/>
                <w:spacing w:val="-28"/>
              </w:rPr>
              <w:t>1</w:t>
            </w:r>
            <w:r>
              <w:rPr>
                <w:rFonts w:ascii="Times New Roman" w:hAnsi="Times New Roman" w:eastAsia="Times New Roman" w:cs="Times New Roman"/>
                <w:sz w:val="18"/>
                <w:szCs w:val="18"/>
                <w:spacing w:val="-17"/>
              </w:rPr>
              <w:t xml:space="preserve"> </w:t>
            </w:r>
            <w:r>
              <w:rPr>
                <w:sz w:val="18"/>
                <w:szCs w:val="18"/>
                <w:spacing w:val="-28"/>
              </w:rPr>
              <w:t>′</w:t>
            </w:r>
          </w:p>
        </w:tc>
        <w:tc>
          <w:tcPr>
            <w:tcW w:w="2527" w:type="dxa"/>
            <w:vAlign w:val="top"/>
            <w:vMerge w:val="continue"/>
            <w:tcBorders>
              <w:right w:val="nil"/>
              <w:top w:val="nil"/>
              <w:bottom w:val="nil"/>
            </w:tcBorders>
          </w:tcPr>
          <w:p>
            <w:pPr>
              <w:rPr>
                <w:rFonts w:ascii="Arial"/>
                <w:sz w:val="21"/>
              </w:rPr>
            </w:pPr>
            <w:r/>
          </w:p>
        </w:tc>
      </w:tr>
      <w:tr>
        <w:trPr>
          <w:trHeight w:val="470" w:hRule="atLeast"/>
        </w:trPr>
        <w:tc>
          <w:tcPr>
            <w:tcW w:w="423" w:type="dxa"/>
            <w:vAlign w:val="top"/>
            <w:vMerge w:val="continue"/>
            <w:textDirection w:val="tbRlV"/>
            <w:tcBorders>
              <w:left w:val="nil"/>
              <w:top w:val="nil"/>
              <w:bottom w:val="nil"/>
            </w:tcBorders>
          </w:tcPr>
          <w:p>
            <w:pPr>
              <w:rPr>
                <w:rFonts w:ascii="Arial"/>
                <w:sz w:val="21"/>
              </w:rPr>
            </w:pPr>
            <w:r/>
          </w:p>
        </w:tc>
        <w:tc>
          <w:tcPr>
            <w:tcW w:w="747" w:type="dxa"/>
            <w:vAlign w:val="top"/>
          </w:tcPr>
          <w:p>
            <w:pPr>
              <w:pStyle w:val="TableText"/>
              <w:ind w:left="135"/>
              <w:spacing w:before="148" w:line="222" w:lineRule="auto"/>
              <w:rPr>
                <w:rFonts w:ascii="Times New Roman" w:hAnsi="Times New Roman" w:eastAsia="Times New Roman" w:cs="Times New Roman"/>
                <w:sz w:val="18"/>
                <w:szCs w:val="18"/>
              </w:rPr>
            </w:pPr>
            <w:r>
              <w:rPr>
                <w:sz w:val="18"/>
                <w:szCs w:val="18"/>
                <w:spacing w:val="-5"/>
              </w:rPr>
              <w:t>牧户</w:t>
            </w:r>
            <w:r>
              <w:rPr>
                <w:sz w:val="18"/>
                <w:szCs w:val="18"/>
                <w:spacing w:val="-37"/>
              </w:rPr>
              <w:t xml:space="preserve"> </w:t>
            </w:r>
            <w:r>
              <w:rPr>
                <w:rFonts w:ascii="Times New Roman" w:hAnsi="Times New Roman" w:eastAsia="Times New Roman" w:cs="Times New Roman"/>
                <w:sz w:val="18"/>
                <w:szCs w:val="18"/>
                <w:spacing w:val="-5"/>
              </w:rPr>
              <w:t>3</w:t>
            </w:r>
          </w:p>
        </w:tc>
        <w:tc>
          <w:tcPr>
            <w:tcW w:w="765" w:type="dxa"/>
            <w:vAlign w:val="top"/>
          </w:tcPr>
          <w:p>
            <w:pPr>
              <w:ind w:left="21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1315</w:t>
            </w:r>
          </w:p>
        </w:tc>
        <w:tc>
          <w:tcPr>
            <w:tcW w:w="595" w:type="dxa"/>
            <w:vAlign w:val="top"/>
          </w:tcPr>
          <w:p>
            <w:pPr>
              <w:pStyle w:val="TableText"/>
              <w:ind w:left="116"/>
              <w:spacing w:before="45" w:line="226" w:lineRule="auto"/>
              <w:rPr>
                <w:sz w:val="18"/>
                <w:szCs w:val="18"/>
              </w:rPr>
            </w:pPr>
            <w:r>
              <w:rPr>
                <w:sz w:val="18"/>
                <w:szCs w:val="18"/>
                <w:spacing w:val="-6"/>
              </w:rPr>
              <w:t>厂区</w:t>
            </w:r>
          </w:p>
          <w:p>
            <w:pPr>
              <w:ind w:left="146"/>
              <w:spacing w:before="3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WN</w:t>
            </w:r>
          </w:p>
        </w:tc>
        <w:tc>
          <w:tcPr>
            <w:tcW w:w="1029" w:type="dxa"/>
            <w:vAlign w:val="top"/>
          </w:tcPr>
          <w:p>
            <w:pPr>
              <w:pStyle w:val="TableText"/>
              <w:ind w:left="362"/>
              <w:spacing w:before="148" w:line="227" w:lineRule="auto"/>
              <w:rPr>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14"/>
              </w:rPr>
              <w:t xml:space="preserve"> </w:t>
            </w:r>
            <w:r>
              <w:rPr>
                <w:sz w:val="18"/>
                <w:szCs w:val="18"/>
                <w:spacing w:val="-4"/>
              </w:rPr>
              <w:t>人</w:t>
            </w:r>
          </w:p>
        </w:tc>
        <w:tc>
          <w:tcPr>
            <w:tcW w:w="580" w:type="dxa"/>
            <w:vAlign w:val="top"/>
            <w:tcBorders>
              <w:right w:val="nil"/>
            </w:tcBorders>
          </w:tcPr>
          <w:p>
            <w:pPr>
              <w:pStyle w:val="TableText"/>
              <w:spacing w:before="58" w:line="186" w:lineRule="auto"/>
              <w:jc w:val="right"/>
              <w:rPr>
                <w:sz w:val="18"/>
                <w:szCs w:val="18"/>
              </w:rPr>
            </w:pPr>
            <w:r>
              <w:rPr>
                <w:rFonts w:ascii="Times New Roman" w:hAnsi="Times New Roman" w:eastAsia="Times New Roman" w:cs="Times New Roman"/>
                <w:sz w:val="18"/>
                <w:szCs w:val="18"/>
                <w:spacing w:val="-23"/>
              </w:rPr>
              <w:t>112</w:t>
            </w:r>
            <w:r>
              <w:rPr>
                <w:rFonts w:ascii="Times New Roman" w:hAnsi="Times New Roman" w:eastAsia="Times New Roman" w:cs="Times New Roman"/>
                <w:sz w:val="18"/>
                <w:szCs w:val="18"/>
                <w:spacing w:val="-26"/>
              </w:rPr>
              <w:t xml:space="preserve"> </w:t>
            </w:r>
            <w:r>
              <w:rPr>
                <w:sz w:val="18"/>
                <w:szCs w:val="18"/>
                <w:spacing w:val="-23"/>
              </w:rPr>
              <w:t>°</w:t>
            </w:r>
          </w:p>
        </w:tc>
        <w:tc>
          <w:tcPr>
            <w:tcW w:w="1336" w:type="dxa"/>
            <w:vAlign w:val="top"/>
            <w:tcBorders>
              <w:left w:val="nil"/>
              <w:right w:val="nil"/>
            </w:tcBorders>
          </w:tcPr>
          <w:p>
            <w:pPr>
              <w:pStyle w:val="TableText"/>
              <w:ind w:left="392" w:hanging="341"/>
              <w:spacing w:before="44" w:line="213" w:lineRule="auto"/>
              <w:rPr>
                <w:sz w:val="18"/>
                <w:szCs w:val="18"/>
              </w:rPr>
            </w:pPr>
            <w:r>
              <w:rPr>
                <w:rFonts w:ascii="Times New Roman" w:hAnsi="Times New Roman" w:eastAsia="Times New Roman" w:cs="Times New Roman"/>
                <w:sz w:val="18"/>
                <w:szCs w:val="18"/>
                <w:spacing w:val="-14"/>
              </w:rPr>
              <w:t>54</w:t>
            </w:r>
            <w:r>
              <w:rPr>
                <w:rFonts w:ascii="Times New Roman" w:hAnsi="Times New Roman" w:eastAsia="Times New Roman" w:cs="Times New Roman"/>
                <w:sz w:val="18"/>
                <w:szCs w:val="18"/>
                <w:spacing w:val="-5"/>
              </w:rPr>
              <w:t xml:space="preserve"> </w:t>
            </w:r>
            <w:r>
              <w:rPr>
                <w:sz w:val="18"/>
                <w:szCs w:val="18"/>
                <w:spacing w:val="-14"/>
              </w:rPr>
              <w:t>′</w:t>
            </w:r>
            <w:r>
              <w:rPr>
                <w:rFonts w:ascii="Times New Roman" w:hAnsi="Times New Roman" w:eastAsia="Times New Roman" w:cs="Times New Roman"/>
                <w:sz w:val="18"/>
                <w:szCs w:val="18"/>
                <w:spacing w:val="-14"/>
              </w:rPr>
              <w:t>21.80574</w:t>
            </w:r>
            <w:r>
              <w:rPr>
                <w:rFonts w:ascii="Times New Roman" w:hAnsi="Times New Roman" w:eastAsia="Times New Roman" w:cs="Times New Roman"/>
                <w:sz w:val="18"/>
                <w:szCs w:val="18"/>
                <w:spacing w:val="-15"/>
              </w:rPr>
              <w:t xml:space="preserve"> </w:t>
            </w:r>
            <w:r>
              <w:rPr>
                <w:sz w:val="18"/>
                <w:szCs w:val="18"/>
                <w:spacing w:val="-14"/>
              </w:rPr>
              <w:t>″，</w:t>
            </w:r>
            <w:r>
              <w:rPr>
                <w:sz w:val="18"/>
                <w:szCs w:val="18"/>
              </w:rPr>
              <w:t xml:space="preserve"> </w:t>
            </w:r>
            <w:r>
              <w:rPr>
                <w:rFonts w:ascii="Times New Roman" w:hAnsi="Times New Roman" w:eastAsia="Times New Roman" w:cs="Times New Roman"/>
                <w:sz w:val="18"/>
                <w:szCs w:val="18"/>
                <w:spacing w:val="-4"/>
              </w:rPr>
              <w:t>48.64687</w:t>
            </w:r>
            <w:r>
              <w:rPr>
                <w:rFonts w:ascii="Times New Roman" w:hAnsi="Times New Roman" w:eastAsia="Times New Roman" w:cs="Times New Roman"/>
                <w:sz w:val="18"/>
                <w:szCs w:val="18"/>
                <w:spacing w:val="-9"/>
              </w:rPr>
              <w:t xml:space="preserve"> </w:t>
            </w:r>
            <w:r>
              <w:rPr>
                <w:sz w:val="18"/>
                <w:szCs w:val="18"/>
                <w:spacing w:val="-4"/>
              </w:rPr>
              <w:t>″</w:t>
            </w:r>
          </w:p>
        </w:tc>
        <w:tc>
          <w:tcPr>
            <w:tcW w:w="374" w:type="dxa"/>
            <w:vAlign w:val="top"/>
            <w:tcBorders>
              <w:left w:val="nil"/>
              <w:right w:val="nil"/>
            </w:tcBorders>
          </w:tcPr>
          <w:p>
            <w:pPr>
              <w:ind w:left="103"/>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537" w:type="dxa"/>
            <w:vAlign w:val="top"/>
            <w:tcBorders>
              <w:left w:val="nil"/>
            </w:tcBorders>
          </w:tcPr>
          <w:p>
            <w:pPr>
              <w:pStyle w:val="TableText"/>
              <w:spacing w:before="45" w:line="199" w:lineRule="auto"/>
              <w:rPr>
                <w:sz w:val="18"/>
                <w:szCs w:val="18"/>
              </w:rPr>
            </w:pPr>
            <w:r>
              <w:rPr>
                <w:sz w:val="18"/>
                <w:szCs w:val="18"/>
                <w:spacing w:val="-22"/>
              </w:rPr>
              <w:t>°</w:t>
            </w:r>
            <w:r>
              <w:rPr>
                <w:rFonts w:ascii="Times New Roman" w:hAnsi="Times New Roman" w:eastAsia="Times New Roman" w:cs="Times New Roman"/>
                <w:sz w:val="18"/>
                <w:szCs w:val="18"/>
                <w:spacing w:val="-22"/>
              </w:rPr>
              <w:t>0</w:t>
            </w:r>
            <w:r>
              <w:rPr>
                <w:rFonts w:ascii="Times New Roman" w:hAnsi="Times New Roman" w:eastAsia="Times New Roman" w:cs="Times New Roman"/>
                <w:sz w:val="18"/>
                <w:szCs w:val="18"/>
                <w:spacing w:val="-16"/>
              </w:rPr>
              <w:t xml:space="preserve"> </w:t>
            </w:r>
            <w:r>
              <w:rPr>
                <w:sz w:val="18"/>
                <w:szCs w:val="18"/>
                <w:spacing w:val="-22"/>
              </w:rPr>
              <w:t>′</w:t>
            </w:r>
          </w:p>
        </w:tc>
        <w:tc>
          <w:tcPr>
            <w:tcW w:w="2527" w:type="dxa"/>
            <w:vAlign w:val="top"/>
            <w:vMerge w:val="continue"/>
            <w:tcBorders>
              <w:right w:val="nil"/>
              <w:top w:val="nil"/>
              <w:bottom w:val="nil"/>
            </w:tcBorders>
          </w:tcPr>
          <w:p>
            <w:pPr>
              <w:rPr>
                <w:rFonts w:ascii="Arial"/>
                <w:sz w:val="21"/>
              </w:rPr>
            </w:pPr>
            <w:r/>
          </w:p>
        </w:tc>
      </w:tr>
      <w:tr>
        <w:trPr>
          <w:trHeight w:val="470" w:hRule="atLeast"/>
        </w:trPr>
        <w:tc>
          <w:tcPr>
            <w:tcW w:w="423" w:type="dxa"/>
            <w:vAlign w:val="top"/>
            <w:vMerge w:val="continue"/>
            <w:textDirection w:val="tbRlV"/>
            <w:tcBorders>
              <w:left w:val="nil"/>
              <w:top w:val="nil"/>
              <w:bottom w:val="nil"/>
            </w:tcBorders>
          </w:tcPr>
          <w:p>
            <w:pPr>
              <w:rPr>
                <w:rFonts w:ascii="Arial"/>
                <w:sz w:val="21"/>
              </w:rPr>
            </w:pPr>
            <w:r/>
          </w:p>
        </w:tc>
        <w:tc>
          <w:tcPr>
            <w:tcW w:w="747" w:type="dxa"/>
            <w:vAlign w:val="top"/>
          </w:tcPr>
          <w:p>
            <w:pPr>
              <w:pStyle w:val="TableText"/>
              <w:ind w:left="135"/>
              <w:spacing w:before="151" w:line="222" w:lineRule="auto"/>
              <w:rPr>
                <w:rFonts w:ascii="Times New Roman" w:hAnsi="Times New Roman" w:eastAsia="Times New Roman" w:cs="Times New Roman"/>
                <w:sz w:val="18"/>
                <w:szCs w:val="18"/>
              </w:rPr>
            </w:pPr>
            <w:r>
              <w:rPr>
                <w:sz w:val="18"/>
                <w:szCs w:val="18"/>
                <w:spacing w:val="-5"/>
              </w:rPr>
              <w:t>牧户</w:t>
            </w:r>
            <w:r>
              <w:rPr>
                <w:sz w:val="18"/>
                <w:szCs w:val="18"/>
                <w:spacing w:val="-41"/>
              </w:rPr>
              <w:t xml:space="preserve"> </w:t>
            </w:r>
            <w:r>
              <w:rPr>
                <w:rFonts w:ascii="Times New Roman" w:hAnsi="Times New Roman" w:eastAsia="Times New Roman" w:cs="Times New Roman"/>
                <w:sz w:val="18"/>
                <w:szCs w:val="18"/>
                <w:spacing w:val="-5"/>
              </w:rPr>
              <w:t>4</w:t>
            </w:r>
          </w:p>
        </w:tc>
        <w:tc>
          <w:tcPr>
            <w:tcW w:w="765" w:type="dxa"/>
            <w:vAlign w:val="top"/>
          </w:tcPr>
          <w:p>
            <w:pPr>
              <w:ind w:left="21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1373</w:t>
            </w:r>
          </w:p>
        </w:tc>
        <w:tc>
          <w:tcPr>
            <w:tcW w:w="595" w:type="dxa"/>
            <w:vAlign w:val="top"/>
          </w:tcPr>
          <w:p>
            <w:pPr>
              <w:pStyle w:val="TableText"/>
              <w:ind w:left="116"/>
              <w:spacing w:before="45" w:line="226" w:lineRule="auto"/>
              <w:rPr>
                <w:sz w:val="18"/>
                <w:szCs w:val="18"/>
              </w:rPr>
            </w:pPr>
            <w:r>
              <w:rPr>
                <w:sz w:val="18"/>
                <w:szCs w:val="18"/>
                <w:spacing w:val="-6"/>
              </w:rPr>
              <w:t>厂区</w:t>
            </w:r>
          </w:p>
          <w:p>
            <w:pPr>
              <w:ind w:left="146"/>
              <w:spacing w:before="3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WN</w:t>
            </w:r>
          </w:p>
        </w:tc>
        <w:tc>
          <w:tcPr>
            <w:tcW w:w="1029" w:type="dxa"/>
            <w:vAlign w:val="top"/>
          </w:tcPr>
          <w:p>
            <w:pPr>
              <w:pStyle w:val="TableText"/>
              <w:ind w:left="359"/>
              <w:spacing w:before="150" w:line="227"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14"/>
              </w:rPr>
              <w:t xml:space="preserve"> </w:t>
            </w:r>
            <w:r>
              <w:rPr>
                <w:sz w:val="18"/>
                <w:szCs w:val="18"/>
                <w:spacing w:val="-2"/>
              </w:rPr>
              <w:t>人</w:t>
            </w:r>
          </w:p>
        </w:tc>
        <w:tc>
          <w:tcPr>
            <w:tcW w:w="580" w:type="dxa"/>
            <w:vAlign w:val="top"/>
            <w:tcBorders>
              <w:right w:val="nil"/>
            </w:tcBorders>
          </w:tcPr>
          <w:p>
            <w:pPr>
              <w:pStyle w:val="TableText"/>
              <w:spacing w:before="58" w:line="186" w:lineRule="auto"/>
              <w:jc w:val="right"/>
              <w:rPr>
                <w:sz w:val="18"/>
                <w:szCs w:val="18"/>
              </w:rPr>
            </w:pPr>
            <w:r>
              <w:rPr>
                <w:rFonts w:ascii="Times New Roman" w:hAnsi="Times New Roman" w:eastAsia="Times New Roman" w:cs="Times New Roman"/>
                <w:sz w:val="18"/>
                <w:szCs w:val="18"/>
                <w:spacing w:val="-23"/>
              </w:rPr>
              <w:t>112</w:t>
            </w:r>
            <w:r>
              <w:rPr>
                <w:rFonts w:ascii="Times New Roman" w:hAnsi="Times New Roman" w:eastAsia="Times New Roman" w:cs="Times New Roman"/>
                <w:sz w:val="18"/>
                <w:szCs w:val="18"/>
                <w:spacing w:val="-26"/>
              </w:rPr>
              <w:t xml:space="preserve"> </w:t>
            </w:r>
            <w:r>
              <w:rPr>
                <w:sz w:val="18"/>
                <w:szCs w:val="18"/>
                <w:spacing w:val="-23"/>
              </w:rPr>
              <w:t>°</w:t>
            </w:r>
          </w:p>
        </w:tc>
        <w:tc>
          <w:tcPr>
            <w:tcW w:w="1336" w:type="dxa"/>
            <w:vAlign w:val="top"/>
            <w:tcBorders>
              <w:left w:val="nil"/>
              <w:right w:val="nil"/>
            </w:tcBorders>
          </w:tcPr>
          <w:p>
            <w:pPr>
              <w:pStyle w:val="TableText"/>
              <w:ind w:left="392" w:hanging="341"/>
              <w:spacing w:before="44" w:line="213" w:lineRule="auto"/>
              <w:rPr>
                <w:sz w:val="18"/>
                <w:szCs w:val="18"/>
              </w:rPr>
            </w:pPr>
            <w:r>
              <w:rPr>
                <w:rFonts w:ascii="Times New Roman" w:hAnsi="Times New Roman" w:eastAsia="Times New Roman" w:cs="Times New Roman"/>
                <w:sz w:val="18"/>
                <w:szCs w:val="18"/>
                <w:spacing w:val="-15"/>
              </w:rPr>
              <w:t>54</w:t>
            </w:r>
            <w:r>
              <w:rPr>
                <w:rFonts w:ascii="Times New Roman" w:hAnsi="Times New Roman" w:eastAsia="Times New Roman" w:cs="Times New Roman"/>
                <w:sz w:val="18"/>
                <w:szCs w:val="18"/>
                <w:spacing w:val="-12"/>
              </w:rPr>
              <w:t xml:space="preserve"> </w:t>
            </w:r>
            <w:r>
              <w:rPr>
                <w:sz w:val="18"/>
                <w:szCs w:val="18"/>
                <w:spacing w:val="-15"/>
              </w:rPr>
              <w:t>′</w:t>
            </w:r>
            <w:r>
              <w:rPr>
                <w:sz w:val="18"/>
                <w:szCs w:val="18"/>
                <w:spacing w:val="-70"/>
              </w:rPr>
              <w:t xml:space="preserve"> </w:t>
            </w:r>
            <w:r>
              <w:rPr>
                <w:rFonts w:ascii="Times New Roman" w:hAnsi="Times New Roman" w:eastAsia="Times New Roman" w:cs="Times New Roman"/>
                <w:sz w:val="18"/>
                <w:szCs w:val="18"/>
                <w:spacing w:val="-15"/>
              </w:rPr>
              <w:t>19.95180 </w:t>
            </w:r>
            <w:r>
              <w:rPr>
                <w:sz w:val="18"/>
                <w:szCs w:val="18"/>
                <w:spacing w:val="-15"/>
              </w:rPr>
              <w:t>″，</w:t>
            </w:r>
            <w:r>
              <w:rPr>
                <w:sz w:val="18"/>
                <w:szCs w:val="18"/>
              </w:rPr>
              <w:t xml:space="preserve"> </w:t>
            </w:r>
            <w:r>
              <w:rPr>
                <w:rFonts w:ascii="Times New Roman" w:hAnsi="Times New Roman" w:eastAsia="Times New Roman" w:cs="Times New Roman"/>
                <w:sz w:val="18"/>
                <w:szCs w:val="18"/>
                <w:spacing w:val="-4"/>
              </w:rPr>
              <w:t>42.27394</w:t>
            </w:r>
            <w:r>
              <w:rPr>
                <w:rFonts w:ascii="Times New Roman" w:hAnsi="Times New Roman" w:eastAsia="Times New Roman" w:cs="Times New Roman"/>
                <w:sz w:val="18"/>
                <w:szCs w:val="18"/>
                <w:spacing w:val="-9"/>
              </w:rPr>
              <w:t xml:space="preserve"> </w:t>
            </w:r>
            <w:r>
              <w:rPr>
                <w:sz w:val="18"/>
                <w:szCs w:val="18"/>
                <w:spacing w:val="-4"/>
              </w:rPr>
              <w:t>″</w:t>
            </w:r>
          </w:p>
        </w:tc>
        <w:tc>
          <w:tcPr>
            <w:tcW w:w="374" w:type="dxa"/>
            <w:vAlign w:val="top"/>
            <w:tcBorders>
              <w:left w:val="nil"/>
              <w:right w:val="nil"/>
            </w:tcBorders>
          </w:tcPr>
          <w:p>
            <w:pPr>
              <w:ind w:left="103"/>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537" w:type="dxa"/>
            <w:vAlign w:val="top"/>
            <w:tcBorders>
              <w:left w:val="nil"/>
            </w:tcBorders>
          </w:tcPr>
          <w:p>
            <w:pPr>
              <w:pStyle w:val="TableText"/>
              <w:spacing w:before="46" w:line="199" w:lineRule="auto"/>
              <w:rPr>
                <w:sz w:val="18"/>
                <w:szCs w:val="18"/>
              </w:rPr>
            </w:pPr>
            <w:r>
              <w:rPr>
                <w:sz w:val="18"/>
                <w:szCs w:val="18"/>
                <w:spacing w:val="-22"/>
              </w:rPr>
              <w:t>°</w:t>
            </w:r>
            <w:r>
              <w:rPr>
                <w:rFonts w:ascii="Times New Roman" w:hAnsi="Times New Roman" w:eastAsia="Times New Roman" w:cs="Times New Roman"/>
                <w:sz w:val="18"/>
                <w:szCs w:val="18"/>
                <w:spacing w:val="-22"/>
              </w:rPr>
              <w:t>0</w:t>
            </w:r>
            <w:r>
              <w:rPr>
                <w:rFonts w:ascii="Times New Roman" w:hAnsi="Times New Roman" w:eastAsia="Times New Roman" w:cs="Times New Roman"/>
                <w:sz w:val="18"/>
                <w:szCs w:val="18"/>
                <w:spacing w:val="-16"/>
              </w:rPr>
              <w:t xml:space="preserve"> </w:t>
            </w:r>
            <w:r>
              <w:rPr>
                <w:sz w:val="18"/>
                <w:szCs w:val="18"/>
                <w:spacing w:val="-22"/>
              </w:rPr>
              <w:t>′</w:t>
            </w:r>
          </w:p>
        </w:tc>
        <w:tc>
          <w:tcPr>
            <w:tcW w:w="2527" w:type="dxa"/>
            <w:vAlign w:val="top"/>
            <w:vMerge w:val="continue"/>
            <w:tcBorders>
              <w:right w:val="nil"/>
              <w:top w:val="nil"/>
              <w:bottom w:val="nil"/>
            </w:tcBorders>
          </w:tcPr>
          <w:p>
            <w:pPr>
              <w:rPr>
                <w:rFonts w:ascii="Arial"/>
                <w:sz w:val="21"/>
              </w:rPr>
            </w:pPr>
            <w:r/>
          </w:p>
        </w:tc>
      </w:tr>
      <w:tr>
        <w:trPr>
          <w:trHeight w:val="470" w:hRule="atLeast"/>
        </w:trPr>
        <w:tc>
          <w:tcPr>
            <w:tcW w:w="423" w:type="dxa"/>
            <w:vAlign w:val="top"/>
            <w:vMerge w:val="continue"/>
            <w:textDirection w:val="tbRlV"/>
            <w:tcBorders>
              <w:left w:val="nil"/>
              <w:top w:val="nil"/>
              <w:bottom w:val="nil"/>
            </w:tcBorders>
          </w:tcPr>
          <w:p>
            <w:pPr>
              <w:rPr>
                <w:rFonts w:ascii="Arial"/>
                <w:sz w:val="21"/>
              </w:rPr>
            </w:pPr>
            <w:r/>
          </w:p>
        </w:tc>
        <w:tc>
          <w:tcPr>
            <w:tcW w:w="747" w:type="dxa"/>
            <w:vAlign w:val="top"/>
          </w:tcPr>
          <w:p>
            <w:pPr>
              <w:pStyle w:val="TableText"/>
              <w:ind w:left="135"/>
              <w:spacing w:before="151" w:line="222" w:lineRule="auto"/>
              <w:rPr>
                <w:rFonts w:ascii="Times New Roman" w:hAnsi="Times New Roman" w:eastAsia="Times New Roman" w:cs="Times New Roman"/>
                <w:sz w:val="18"/>
                <w:szCs w:val="18"/>
              </w:rPr>
            </w:pPr>
            <w:r>
              <w:rPr>
                <w:sz w:val="18"/>
                <w:szCs w:val="18"/>
                <w:spacing w:val="-5"/>
              </w:rPr>
              <w:t>牧户</w:t>
            </w:r>
            <w:r>
              <w:rPr>
                <w:sz w:val="18"/>
                <w:szCs w:val="18"/>
                <w:spacing w:val="-36"/>
              </w:rPr>
              <w:t xml:space="preserve"> </w:t>
            </w:r>
            <w:r>
              <w:rPr>
                <w:rFonts w:ascii="Times New Roman" w:hAnsi="Times New Roman" w:eastAsia="Times New Roman" w:cs="Times New Roman"/>
                <w:sz w:val="18"/>
                <w:szCs w:val="18"/>
                <w:spacing w:val="-5"/>
              </w:rPr>
              <w:t>5</w:t>
            </w:r>
          </w:p>
        </w:tc>
        <w:tc>
          <w:tcPr>
            <w:tcW w:w="765" w:type="dxa"/>
            <w:vAlign w:val="top"/>
          </w:tcPr>
          <w:p>
            <w:pPr>
              <w:ind w:left="21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1621</w:t>
            </w:r>
          </w:p>
        </w:tc>
        <w:tc>
          <w:tcPr>
            <w:tcW w:w="595" w:type="dxa"/>
            <w:vAlign w:val="top"/>
          </w:tcPr>
          <w:p>
            <w:pPr>
              <w:pStyle w:val="TableText"/>
              <w:ind w:left="116"/>
              <w:spacing w:before="47" w:line="226" w:lineRule="auto"/>
              <w:rPr>
                <w:sz w:val="18"/>
                <w:szCs w:val="18"/>
              </w:rPr>
            </w:pPr>
            <w:r>
              <w:rPr>
                <w:sz w:val="18"/>
                <w:szCs w:val="18"/>
                <w:spacing w:val="-6"/>
              </w:rPr>
              <w:t>厂区</w:t>
            </w:r>
          </w:p>
          <w:p>
            <w:pPr>
              <w:ind w:left="146"/>
              <w:spacing w:before="3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WN</w:t>
            </w:r>
          </w:p>
        </w:tc>
        <w:tc>
          <w:tcPr>
            <w:tcW w:w="1029" w:type="dxa"/>
            <w:vAlign w:val="top"/>
          </w:tcPr>
          <w:p>
            <w:pPr>
              <w:pStyle w:val="TableText"/>
              <w:ind w:left="376"/>
              <w:spacing w:before="150" w:line="227"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14"/>
              </w:rPr>
              <w:t xml:space="preserve"> </w:t>
            </w:r>
            <w:r>
              <w:rPr>
                <w:sz w:val="18"/>
                <w:szCs w:val="18"/>
                <w:spacing w:val="-11"/>
              </w:rPr>
              <w:t>人</w:t>
            </w:r>
          </w:p>
        </w:tc>
        <w:tc>
          <w:tcPr>
            <w:tcW w:w="580" w:type="dxa"/>
            <w:vAlign w:val="top"/>
            <w:tcBorders>
              <w:right w:val="nil"/>
            </w:tcBorders>
          </w:tcPr>
          <w:p>
            <w:pPr>
              <w:ind w:left="242"/>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tc>
        <w:tc>
          <w:tcPr>
            <w:tcW w:w="1336" w:type="dxa"/>
            <w:vAlign w:val="top"/>
            <w:tcBorders>
              <w:left w:val="nil"/>
              <w:right w:val="nil"/>
            </w:tcBorders>
          </w:tcPr>
          <w:p>
            <w:pPr>
              <w:pStyle w:val="TableText"/>
              <w:ind w:left="452" w:hanging="452"/>
              <w:spacing w:before="48" w:line="211" w:lineRule="auto"/>
              <w:rPr>
                <w:sz w:val="18"/>
                <w:szCs w:val="18"/>
              </w:rPr>
            </w:pPr>
            <w:r>
              <w:rPr>
                <w:sz w:val="18"/>
                <w:szCs w:val="18"/>
                <w:spacing w:val="-17"/>
              </w:rPr>
              <w:t>°</w:t>
            </w:r>
            <w:r>
              <w:rPr>
                <w:rFonts w:ascii="Times New Roman" w:hAnsi="Times New Roman" w:eastAsia="Times New Roman" w:cs="Times New Roman"/>
                <w:sz w:val="18"/>
                <w:szCs w:val="18"/>
                <w:spacing w:val="-17"/>
              </w:rPr>
              <w:t>54</w:t>
            </w:r>
            <w:r>
              <w:rPr>
                <w:rFonts w:ascii="Times New Roman" w:hAnsi="Times New Roman" w:eastAsia="Times New Roman" w:cs="Times New Roman"/>
                <w:sz w:val="18"/>
                <w:szCs w:val="18"/>
                <w:spacing w:val="-5"/>
              </w:rPr>
              <w:t xml:space="preserve"> </w:t>
            </w:r>
            <w:r>
              <w:rPr>
                <w:sz w:val="18"/>
                <w:szCs w:val="18"/>
                <w:spacing w:val="-17"/>
              </w:rPr>
              <w:t>′</w:t>
            </w:r>
            <w:r>
              <w:rPr>
                <w:rFonts w:ascii="Times New Roman" w:hAnsi="Times New Roman" w:eastAsia="Times New Roman" w:cs="Times New Roman"/>
                <w:sz w:val="18"/>
                <w:szCs w:val="18"/>
                <w:spacing w:val="-17"/>
              </w:rPr>
              <w:t>7.93979</w:t>
            </w:r>
            <w:r>
              <w:rPr>
                <w:rFonts w:ascii="Times New Roman" w:hAnsi="Times New Roman" w:eastAsia="Times New Roman" w:cs="Times New Roman"/>
                <w:sz w:val="18"/>
                <w:szCs w:val="18"/>
                <w:spacing w:val="-15"/>
              </w:rPr>
              <w:t xml:space="preserve"> </w:t>
            </w:r>
            <w:r>
              <w:rPr>
                <w:sz w:val="18"/>
                <w:szCs w:val="18"/>
                <w:spacing w:val="-17"/>
              </w:rPr>
              <w:t>″，</w:t>
            </w:r>
            <w:r>
              <w:rPr>
                <w:sz w:val="18"/>
                <w:szCs w:val="18"/>
              </w:rPr>
              <w:t xml:space="preserve"> </w:t>
            </w:r>
            <w:r>
              <w:rPr>
                <w:rFonts w:ascii="Times New Roman" w:hAnsi="Times New Roman" w:eastAsia="Times New Roman" w:cs="Times New Roman"/>
                <w:sz w:val="18"/>
                <w:szCs w:val="18"/>
                <w:spacing w:val="-6"/>
              </w:rPr>
              <w:t>39.60890 </w:t>
            </w:r>
            <w:r>
              <w:rPr>
                <w:sz w:val="18"/>
                <w:szCs w:val="18"/>
                <w:spacing w:val="-6"/>
              </w:rPr>
              <w:t>″</w:t>
            </w:r>
          </w:p>
        </w:tc>
        <w:tc>
          <w:tcPr>
            <w:tcW w:w="374" w:type="dxa"/>
            <w:vAlign w:val="top"/>
            <w:tcBorders>
              <w:left w:val="nil"/>
              <w:right w:val="nil"/>
            </w:tcBorders>
          </w:tcPr>
          <w:p>
            <w:pPr>
              <w:pStyle w:val="TableText"/>
              <w:spacing w:before="61" w:line="186" w:lineRule="auto"/>
              <w:jc w:val="right"/>
              <w:rPr>
                <w:sz w:val="18"/>
                <w:szCs w:val="18"/>
              </w:rPr>
            </w:pPr>
            <w:r>
              <w:rPr>
                <w:rFonts w:ascii="Times New Roman" w:hAnsi="Times New Roman" w:eastAsia="Times New Roman" w:cs="Times New Roman"/>
                <w:sz w:val="18"/>
                <w:szCs w:val="18"/>
                <w:spacing w:val="-23"/>
              </w:rPr>
              <w:t>43</w:t>
            </w:r>
            <w:r>
              <w:rPr>
                <w:rFonts w:ascii="Times New Roman" w:hAnsi="Times New Roman" w:eastAsia="Times New Roman" w:cs="Times New Roman"/>
                <w:sz w:val="18"/>
                <w:szCs w:val="18"/>
                <w:spacing w:val="-24"/>
              </w:rPr>
              <w:t xml:space="preserve"> </w:t>
            </w:r>
            <w:r>
              <w:rPr>
                <w:sz w:val="18"/>
                <w:szCs w:val="18"/>
                <w:spacing w:val="-23"/>
              </w:rPr>
              <w:t>°</w:t>
            </w:r>
          </w:p>
        </w:tc>
        <w:tc>
          <w:tcPr>
            <w:tcW w:w="537" w:type="dxa"/>
            <w:vAlign w:val="top"/>
            <w:tcBorders>
              <w:left w:val="nil"/>
            </w:tcBorders>
          </w:tcPr>
          <w:p>
            <w:pPr>
              <w:pStyle w:val="TableText"/>
              <w:ind w:left="50"/>
              <w:spacing w:before="48" w:line="199" w:lineRule="auto"/>
              <w:rPr>
                <w:sz w:val="18"/>
                <w:szCs w:val="18"/>
              </w:rPr>
            </w:pPr>
            <w:r>
              <w:rPr>
                <w:rFonts w:ascii="Times New Roman" w:hAnsi="Times New Roman" w:eastAsia="Times New Roman" w:cs="Times New Roman"/>
                <w:sz w:val="18"/>
                <w:szCs w:val="18"/>
                <w:spacing w:val="12"/>
              </w:rPr>
              <w:t>0</w:t>
            </w:r>
            <w:r>
              <w:rPr>
                <w:sz w:val="18"/>
                <w:szCs w:val="18"/>
                <w:spacing w:val="12"/>
              </w:rPr>
              <w:t>′</w:t>
            </w:r>
          </w:p>
        </w:tc>
        <w:tc>
          <w:tcPr>
            <w:tcW w:w="2527" w:type="dxa"/>
            <w:vAlign w:val="top"/>
            <w:vMerge w:val="continue"/>
            <w:tcBorders>
              <w:right w:val="nil"/>
              <w:top w:val="nil"/>
              <w:bottom w:val="nil"/>
            </w:tcBorders>
          </w:tcPr>
          <w:p>
            <w:pPr>
              <w:rPr>
                <w:rFonts w:ascii="Arial"/>
                <w:sz w:val="21"/>
              </w:rPr>
            </w:pPr>
            <w:r/>
          </w:p>
        </w:tc>
      </w:tr>
      <w:tr>
        <w:trPr>
          <w:trHeight w:val="470" w:hRule="atLeast"/>
        </w:trPr>
        <w:tc>
          <w:tcPr>
            <w:tcW w:w="423" w:type="dxa"/>
            <w:vAlign w:val="top"/>
            <w:vMerge w:val="continue"/>
            <w:textDirection w:val="tbRlV"/>
            <w:tcBorders>
              <w:left w:val="nil"/>
              <w:top w:val="nil"/>
            </w:tcBorders>
          </w:tcPr>
          <w:p>
            <w:pPr>
              <w:rPr>
                <w:rFonts w:ascii="Arial"/>
                <w:sz w:val="21"/>
              </w:rPr>
            </w:pPr>
            <w:r/>
          </w:p>
        </w:tc>
        <w:tc>
          <w:tcPr>
            <w:tcW w:w="747" w:type="dxa"/>
            <w:vAlign w:val="top"/>
          </w:tcPr>
          <w:p>
            <w:pPr>
              <w:pStyle w:val="TableText"/>
              <w:ind w:left="135"/>
              <w:spacing w:before="154" w:line="222" w:lineRule="auto"/>
              <w:rPr>
                <w:rFonts w:ascii="Times New Roman" w:hAnsi="Times New Roman" w:eastAsia="Times New Roman" w:cs="Times New Roman"/>
                <w:sz w:val="18"/>
                <w:szCs w:val="18"/>
              </w:rPr>
            </w:pPr>
            <w:r>
              <w:rPr>
                <w:sz w:val="18"/>
                <w:szCs w:val="18"/>
                <w:spacing w:val="-5"/>
              </w:rPr>
              <w:t>牧户</w:t>
            </w:r>
            <w:r>
              <w:rPr>
                <w:sz w:val="18"/>
                <w:szCs w:val="18"/>
                <w:spacing w:val="-36"/>
              </w:rPr>
              <w:t xml:space="preserve"> </w:t>
            </w:r>
            <w:r>
              <w:rPr>
                <w:rFonts w:ascii="Times New Roman" w:hAnsi="Times New Roman" w:eastAsia="Times New Roman" w:cs="Times New Roman"/>
                <w:sz w:val="18"/>
                <w:szCs w:val="18"/>
                <w:spacing w:val="-5"/>
              </w:rPr>
              <w:t>6</w:t>
            </w:r>
          </w:p>
        </w:tc>
        <w:tc>
          <w:tcPr>
            <w:tcW w:w="765" w:type="dxa"/>
            <w:vAlign w:val="top"/>
          </w:tcPr>
          <w:p>
            <w:pPr>
              <w:ind w:left="219"/>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1834</w:t>
            </w:r>
          </w:p>
        </w:tc>
        <w:tc>
          <w:tcPr>
            <w:tcW w:w="595" w:type="dxa"/>
            <w:vAlign w:val="top"/>
          </w:tcPr>
          <w:p>
            <w:pPr>
              <w:pStyle w:val="TableText"/>
              <w:ind w:left="116"/>
              <w:spacing w:before="50" w:line="226" w:lineRule="auto"/>
              <w:rPr>
                <w:sz w:val="18"/>
                <w:szCs w:val="18"/>
              </w:rPr>
            </w:pPr>
            <w:r>
              <w:rPr>
                <w:sz w:val="18"/>
                <w:szCs w:val="18"/>
                <w:spacing w:val="-6"/>
              </w:rPr>
              <w:t>厂区</w:t>
            </w:r>
          </w:p>
          <w:p>
            <w:pPr>
              <w:ind w:left="146"/>
              <w:spacing w:before="32"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WN</w:t>
            </w:r>
          </w:p>
        </w:tc>
        <w:tc>
          <w:tcPr>
            <w:tcW w:w="1029" w:type="dxa"/>
            <w:vAlign w:val="top"/>
          </w:tcPr>
          <w:p>
            <w:pPr>
              <w:ind w:left="473"/>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580" w:type="dxa"/>
            <w:vAlign w:val="top"/>
            <w:tcBorders>
              <w:right w:val="nil"/>
            </w:tcBorders>
          </w:tcPr>
          <w:p>
            <w:pPr>
              <w:pStyle w:val="TableText"/>
              <w:spacing w:before="63" w:line="184" w:lineRule="auto"/>
              <w:jc w:val="right"/>
              <w:rPr>
                <w:sz w:val="18"/>
                <w:szCs w:val="18"/>
              </w:rPr>
            </w:pPr>
            <w:r>
              <w:rPr>
                <w:rFonts w:ascii="Times New Roman" w:hAnsi="Times New Roman" w:eastAsia="Times New Roman" w:cs="Times New Roman"/>
                <w:sz w:val="18"/>
                <w:szCs w:val="18"/>
                <w:spacing w:val="-24"/>
              </w:rPr>
              <w:t>112</w:t>
            </w:r>
            <w:r>
              <w:rPr>
                <w:rFonts w:ascii="Times New Roman" w:hAnsi="Times New Roman" w:eastAsia="Times New Roman" w:cs="Times New Roman"/>
                <w:sz w:val="18"/>
                <w:szCs w:val="18"/>
                <w:spacing w:val="-25"/>
              </w:rPr>
              <w:t xml:space="preserve"> </w:t>
            </w:r>
            <w:r>
              <w:rPr>
                <w:sz w:val="18"/>
                <w:szCs w:val="18"/>
                <w:spacing w:val="-24"/>
              </w:rPr>
              <w:t>°</w:t>
            </w:r>
          </w:p>
        </w:tc>
        <w:tc>
          <w:tcPr>
            <w:tcW w:w="1336" w:type="dxa"/>
            <w:vAlign w:val="top"/>
            <w:tcBorders>
              <w:left w:val="nil"/>
              <w:right w:val="nil"/>
            </w:tcBorders>
          </w:tcPr>
          <w:p>
            <w:pPr>
              <w:pStyle w:val="TableText"/>
              <w:ind w:left="396" w:hanging="343"/>
              <w:spacing w:before="50" w:line="210" w:lineRule="auto"/>
              <w:rPr>
                <w:sz w:val="18"/>
                <w:szCs w:val="18"/>
              </w:rPr>
            </w:pPr>
            <w:r>
              <w:rPr>
                <w:rFonts w:ascii="Times New Roman" w:hAnsi="Times New Roman" w:eastAsia="Times New Roman" w:cs="Times New Roman"/>
                <w:sz w:val="18"/>
                <w:szCs w:val="18"/>
                <w:spacing w:val="-16"/>
              </w:rPr>
              <w:t>54</w:t>
            </w:r>
            <w:r>
              <w:rPr>
                <w:rFonts w:ascii="Times New Roman" w:hAnsi="Times New Roman" w:eastAsia="Times New Roman" w:cs="Times New Roman"/>
                <w:sz w:val="18"/>
                <w:szCs w:val="18"/>
                <w:spacing w:val="-4"/>
              </w:rPr>
              <w:t xml:space="preserve"> </w:t>
            </w:r>
            <w:r>
              <w:rPr>
                <w:sz w:val="18"/>
                <w:szCs w:val="18"/>
                <w:spacing w:val="-16"/>
              </w:rPr>
              <w:t>′</w:t>
            </w:r>
            <w:r>
              <w:rPr>
                <w:sz w:val="18"/>
                <w:szCs w:val="18"/>
                <w:spacing w:val="-70"/>
              </w:rPr>
              <w:t xml:space="preserve"> </w:t>
            </w:r>
            <w:r>
              <w:rPr>
                <w:rFonts w:ascii="Times New Roman" w:hAnsi="Times New Roman" w:eastAsia="Times New Roman" w:cs="Times New Roman"/>
                <w:sz w:val="18"/>
                <w:szCs w:val="18"/>
                <w:spacing w:val="-16"/>
              </w:rPr>
              <w:t>10.41171</w:t>
            </w:r>
            <w:r>
              <w:rPr>
                <w:rFonts w:ascii="Times New Roman" w:hAnsi="Times New Roman" w:eastAsia="Times New Roman" w:cs="Times New Roman"/>
                <w:sz w:val="18"/>
                <w:szCs w:val="18"/>
                <w:spacing w:val="-12"/>
              </w:rPr>
              <w:t xml:space="preserve"> </w:t>
            </w:r>
            <w:r>
              <w:rPr>
                <w:sz w:val="18"/>
                <w:szCs w:val="18"/>
                <w:spacing w:val="-16"/>
              </w:rPr>
              <w:t>″，</w:t>
            </w:r>
            <w:r>
              <w:rPr>
                <w:sz w:val="18"/>
                <w:szCs w:val="18"/>
              </w:rPr>
              <w:t xml:space="preserve"> </w:t>
            </w:r>
            <w:r>
              <w:rPr>
                <w:rFonts w:ascii="Times New Roman" w:hAnsi="Times New Roman" w:eastAsia="Times New Roman" w:cs="Times New Roman"/>
                <w:sz w:val="18"/>
                <w:szCs w:val="18"/>
                <w:spacing w:val="-4"/>
              </w:rPr>
              <w:t>33.35184</w:t>
            </w:r>
            <w:r>
              <w:rPr>
                <w:rFonts w:ascii="Times New Roman" w:hAnsi="Times New Roman" w:eastAsia="Times New Roman" w:cs="Times New Roman"/>
                <w:sz w:val="18"/>
                <w:szCs w:val="18"/>
                <w:spacing w:val="-12"/>
              </w:rPr>
              <w:t xml:space="preserve"> </w:t>
            </w:r>
            <w:r>
              <w:rPr>
                <w:sz w:val="18"/>
                <w:szCs w:val="18"/>
                <w:spacing w:val="-4"/>
              </w:rPr>
              <w:t>″</w:t>
            </w:r>
          </w:p>
        </w:tc>
        <w:tc>
          <w:tcPr>
            <w:tcW w:w="374" w:type="dxa"/>
            <w:vAlign w:val="top"/>
            <w:tcBorders>
              <w:left w:val="nil"/>
              <w:right w:val="nil"/>
            </w:tcBorders>
          </w:tcPr>
          <w:p>
            <w:pPr>
              <w:ind w:left="101"/>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537" w:type="dxa"/>
            <w:vAlign w:val="top"/>
            <w:tcBorders>
              <w:left w:val="nil"/>
            </w:tcBorders>
          </w:tcPr>
          <w:p>
            <w:pPr>
              <w:pStyle w:val="TableText"/>
              <w:spacing w:before="50" w:line="197" w:lineRule="auto"/>
              <w:rPr>
                <w:sz w:val="18"/>
                <w:szCs w:val="18"/>
              </w:rPr>
            </w:pPr>
            <w:r>
              <w:rPr>
                <w:sz w:val="18"/>
                <w:szCs w:val="18"/>
                <w:spacing w:val="-22"/>
              </w:rPr>
              <w:t>°</w:t>
            </w:r>
            <w:r>
              <w:rPr>
                <w:rFonts w:ascii="Times New Roman" w:hAnsi="Times New Roman" w:eastAsia="Times New Roman" w:cs="Times New Roman"/>
                <w:sz w:val="18"/>
                <w:szCs w:val="18"/>
                <w:spacing w:val="-22"/>
              </w:rPr>
              <w:t>0</w:t>
            </w:r>
            <w:r>
              <w:rPr>
                <w:rFonts w:ascii="Times New Roman" w:hAnsi="Times New Roman" w:eastAsia="Times New Roman" w:cs="Times New Roman"/>
                <w:sz w:val="18"/>
                <w:szCs w:val="18"/>
                <w:spacing w:val="-20"/>
              </w:rPr>
              <w:t xml:space="preserve"> </w:t>
            </w:r>
            <w:r>
              <w:rPr>
                <w:sz w:val="18"/>
                <w:szCs w:val="18"/>
                <w:spacing w:val="-22"/>
              </w:rPr>
              <w:t>′</w:t>
            </w:r>
          </w:p>
        </w:tc>
        <w:tc>
          <w:tcPr>
            <w:tcW w:w="2527" w:type="dxa"/>
            <w:vAlign w:val="top"/>
            <w:vMerge w:val="continue"/>
            <w:tcBorders>
              <w:right w:val="nil"/>
              <w:top w:val="nil"/>
            </w:tcBorders>
          </w:tcPr>
          <w:p>
            <w:pPr>
              <w:rPr>
                <w:rFonts w:ascii="Arial"/>
                <w:sz w:val="21"/>
              </w:rPr>
            </w:pPr>
            <w:r/>
          </w:p>
        </w:tc>
      </w:tr>
      <w:tr>
        <w:trPr>
          <w:trHeight w:val="1399" w:hRule="atLeast"/>
        </w:trPr>
        <w:tc>
          <w:tcPr>
            <w:tcW w:w="1170" w:type="dxa"/>
            <w:vAlign w:val="top"/>
            <w:gridSpan w:val="2"/>
            <w:vMerge w:val="restart"/>
            <w:tcBorders>
              <w:left w:val="nil"/>
              <w:bottom w:val="nil"/>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left="417"/>
              <w:spacing w:before="59" w:line="224" w:lineRule="auto"/>
              <w:rPr>
                <w:sz w:val="18"/>
                <w:szCs w:val="18"/>
              </w:rPr>
            </w:pPr>
            <w:r>
              <w:rPr>
                <w:sz w:val="18"/>
                <w:szCs w:val="18"/>
                <w:spacing w:val="-8"/>
              </w:rPr>
              <w:t>土壤</w:t>
            </w:r>
          </w:p>
        </w:tc>
        <w:tc>
          <w:tcPr>
            <w:tcW w:w="5216" w:type="dxa"/>
            <w:vAlign w:val="top"/>
            <w:gridSpan w:val="7"/>
          </w:tcPr>
          <w:p>
            <w:pPr>
              <w:spacing w:line="281" w:lineRule="auto"/>
              <w:rPr>
                <w:rFonts w:ascii="Arial"/>
                <w:sz w:val="21"/>
              </w:rPr>
            </w:pPr>
            <w:r/>
          </w:p>
          <w:p>
            <w:pPr>
              <w:spacing w:line="281" w:lineRule="auto"/>
              <w:rPr>
                <w:rFonts w:ascii="Arial"/>
                <w:sz w:val="21"/>
              </w:rPr>
            </w:pPr>
            <w:r/>
          </w:p>
          <w:p>
            <w:pPr>
              <w:pStyle w:val="TableText"/>
              <w:ind w:left="1987"/>
              <w:spacing w:before="59" w:line="222" w:lineRule="auto"/>
              <w:rPr>
                <w:sz w:val="18"/>
                <w:szCs w:val="18"/>
              </w:rPr>
            </w:pPr>
            <w:r>
              <w:rPr>
                <w:sz w:val="18"/>
                <w:szCs w:val="18"/>
                <w:spacing w:val="-2"/>
              </w:rPr>
              <w:t>项目占地范围内</w:t>
            </w:r>
          </w:p>
        </w:tc>
        <w:tc>
          <w:tcPr>
            <w:tcW w:w="2527" w:type="dxa"/>
            <w:vAlign w:val="top"/>
            <w:tcBorders>
              <w:right w:val="nil"/>
            </w:tcBorders>
          </w:tcPr>
          <w:p>
            <w:pPr>
              <w:pStyle w:val="TableText"/>
              <w:ind w:left="117" w:right="34" w:firstLine="30"/>
              <w:spacing w:before="43" w:line="230" w:lineRule="auto"/>
              <w:jc w:val="both"/>
              <w:rPr>
                <w:sz w:val="18"/>
                <w:szCs w:val="18"/>
              </w:rPr>
            </w:pPr>
            <w:r>
              <w:rPr>
                <w:sz w:val="18"/>
                <w:szCs w:val="18"/>
                <w:spacing w:val="-1"/>
              </w:rPr>
              <w:t>《土壤环境质量</w:t>
            </w:r>
            <w:r>
              <w:rPr>
                <w:sz w:val="18"/>
                <w:szCs w:val="18"/>
                <w:spacing w:val="-1"/>
              </w:rPr>
              <w:t xml:space="preserve"> </w:t>
            </w:r>
            <w:r>
              <w:rPr>
                <w:sz w:val="18"/>
                <w:szCs w:val="18"/>
                <w:spacing w:val="-1"/>
              </w:rPr>
              <w:t>建设用地土</w:t>
            </w:r>
            <w:r>
              <w:rPr>
                <w:sz w:val="18"/>
                <w:szCs w:val="18"/>
                <w:spacing w:val="-2"/>
              </w:rPr>
              <w:t>壤污染风险管控标准（试行）</w:t>
            </w:r>
            <w:r>
              <w:rPr>
                <w:sz w:val="18"/>
                <w:szCs w:val="18"/>
                <w:spacing w:val="1"/>
              </w:rPr>
              <w:t xml:space="preserve"> </w:t>
            </w:r>
            <w:r>
              <w:rPr>
                <w:sz w:val="18"/>
                <w:szCs w:val="18"/>
                <w:spacing w:val="-5"/>
              </w:rPr>
              <w:t>（</w:t>
            </w:r>
            <w:r>
              <w:rPr>
                <w:rFonts w:ascii="Times New Roman" w:hAnsi="Times New Roman" w:eastAsia="Times New Roman" w:cs="Times New Roman"/>
                <w:sz w:val="18"/>
                <w:szCs w:val="18"/>
                <w:spacing w:val="-5"/>
              </w:rPr>
              <w:t>GB36600-2018</w:t>
            </w:r>
            <w:r>
              <w:rPr>
                <w:sz w:val="18"/>
                <w:szCs w:val="18"/>
                <w:spacing w:val="-5"/>
              </w:rPr>
              <w:t>）》筛选值第</w:t>
            </w:r>
            <w:r>
              <w:rPr>
                <w:sz w:val="18"/>
                <w:szCs w:val="18"/>
                <w:spacing w:val="-4"/>
              </w:rPr>
              <w:t>二类用地标准和《土壤环境质</w:t>
            </w:r>
            <w:r>
              <w:rPr>
                <w:sz w:val="18"/>
                <w:szCs w:val="18"/>
                <w:spacing w:val="1"/>
              </w:rPr>
              <w:t>量</w:t>
            </w:r>
            <w:r>
              <w:rPr>
                <w:sz w:val="18"/>
                <w:szCs w:val="18"/>
                <w:spacing w:val="1"/>
              </w:rPr>
              <w:t xml:space="preserve"> </w:t>
            </w:r>
            <w:r>
              <w:rPr>
                <w:sz w:val="18"/>
                <w:szCs w:val="18"/>
                <w:spacing w:val="1"/>
              </w:rPr>
              <w:t>农用地土壤污染风险管控</w:t>
            </w:r>
            <w:r>
              <w:rPr>
                <w:sz w:val="18"/>
                <w:szCs w:val="18"/>
                <w:spacing w:val="-18"/>
              </w:rPr>
              <w:t>标准（试行）》（</w:t>
            </w:r>
            <w:r>
              <w:rPr>
                <w:rFonts w:ascii="Times New Roman" w:hAnsi="Times New Roman" w:eastAsia="Times New Roman" w:cs="Times New Roman"/>
                <w:sz w:val="18"/>
                <w:szCs w:val="18"/>
                <w:spacing w:val="-18"/>
              </w:rPr>
              <w:t>GB15618-2018</w:t>
            </w:r>
            <w:r>
              <w:rPr>
                <w:sz w:val="18"/>
                <w:szCs w:val="18"/>
                <w:spacing w:val="-18"/>
              </w:rPr>
              <w:t>）</w:t>
            </w:r>
          </w:p>
        </w:tc>
      </w:tr>
      <w:tr>
        <w:trPr>
          <w:trHeight w:val="702" w:hRule="atLeast"/>
        </w:trPr>
        <w:tc>
          <w:tcPr>
            <w:tcW w:w="1170" w:type="dxa"/>
            <w:vAlign w:val="top"/>
            <w:gridSpan w:val="2"/>
            <w:vMerge w:val="continue"/>
            <w:tcBorders>
              <w:left w:val="nil"/>
              <w:top w:val="nil"/>
            </w:tcBorders>
          </w:tcPr>
          <w:p>
            <w:pPr>
              <w:rPr>
                <w:rFonts w:ascii="Arial"/>
                <w:sz w:val="21"/>
              </w:rPr>
            </w:pPr>
            <w:r/>
          </w:p>
        </w:tc>
        <w:tc>
          <w:tcPr>
            <w:tcW w:w="5216" w:type="dxa"/>
            <w:vAlign w:val="top"/>
            <w:gridSpan w:val="7"/>
          </w:tcPr>
          <w:p>
            <w:pPr>
              <w:pStyle w:val="TableText"/>
              <w:ind w:left="1087"/>
              <w:spacing w:before="281" w:line="222" w:lineRule="auto"/>
              <w:rPr>
                <w:sz w:val="18"/>
                <w:szCs w:val="18"/>
              </w:rPr>
            </w:pPr>
            <w:r>
              <w:rPr>
                <w:sz w:val="18"/>
                <w:szCs w:val="18"/>
                <w:spacing w:val="-1"/>
              </w:rPr>
              <w:t>项目占地范围外周边、土壤评价范围内</w:t>
            </w:r>
          </w:p>
        </w:tc>
        <w:tc>
          <w:tcPr>
            <w:tcW w:w="2527" w:type="dxa"/>
            <w:vAlign w:val="top"/>
            <w:tcBorders>
              <w:right w:val="nil"/>
            </w:tcBorders>
          </w:tcPr>
          <w:p>
            <w:pPr>
              <w:pStyle w:val="TableText"/>
              <w:ind w:left="148"/>
              <w:spacing w:before="48" w:line="222" w:lineRule="auto"/>
              <w:rPr>
                <w:sz w:val="18"/>
                <w:szCs w:val="18"/>
              </w:rPr>
            </w:pPr>
            <w:r>
              <w:rPr>
                <w:sz w:val="18"/>
                <w:szCs w:val="18"/>
                <w:spacing w:val="-1"/>
              </w:rPr>
              <w:t>《土壤环境质量</w:t>
            </w:r>
            <w:r>
              <w:rPr>
                <w:sz w:val="18"/>
                <w:szCs w:val="18"/>
                <w:spacing w:val="-1"/>
              </w:rPr>
              <w:t xml:space="preserve"> </w:t>
            </w:r>
            <w:r>
              <w:rPr>
                <w:sz w:val="18"/>
                <w:szCs w:val="18"/>
                <w:spacing w:val="-1"/>
              </w:rPr>
              <w:t>农用地土壤</w:t>
            </w:r>
          </w:p>
          <w:p>
            <w:pPr>
              <w:pStyle w:val="TableText"/>
              <w:ind w:left="121"/>
              <w:spacing w:before="15" w:line="221" w:lineRule="auto"/>
              <w:rPr>
                <w:sz w:val="18"/>
                <w:szCs w:val="18"/>
              </w:rPr>
            </w:pPr>
            <w:r>
              <w:rPr>
                <w:sz w:val="18"/>
                <w:szCs w:val="18"/>
              </w:rPr>
              <w:t>污染风险管控标准（试行）》</w:t>
            </w:r>
          </w:p>
          <w:p>
            <w:pPr>
              <w:pStyle w:val="TableText"/>
              <w:ind w:left="538"/>
              <w:spacing w:before="17" w:line="183" w:lineRule="auto"/>
              <w:rPr>
                <w:sz w:val="18"/>
                <w:szCs w:val="18"/>
              </w:rPr>
            </w:pPr>
            <w:r>
              <w:rPr>
                <w:sz w:val="18"/>
                <w:szCs w:val="18"/>
                <w:spacing w:val="-2"/>
              </w:rPr>
              <w:t>（</w:t>
            </w:r>
            <w:r>
              <w:rPr>
                <w:rFonts w:ascii="Times New Roman" w:hAnsi="Times New Roman" w:eastAsia="Times New Roman" w:cs="Times New Roman"/>
                <w:sz w:val="18"/>
                <w:szCs w:val="18"/>
                <w:spacing w:val="-2"/>
              </w:rPr>
              <w:t>GB15618-2018</w:t>
            </w:r>
            <w:r>
              <w:rPr>
                <w:sz w:val="18"/>
                <w:szCs w:val="18"/>
                <w:spacing w:val="-2"/>
              </w:rPr>
              <w:t>）</w:t>
            </w:r>
          </w:p>
        </w:tc>
      </w:tr>
      <w:tr>
        <w:trPr>
          <w:trHeight w:val="571" w:hRule="atLeast"/>
        </w:trPr>
        <w:tc>
          <w:tcPr>
            <w:tcW w:w="1170" w:type="dxa"/>
            <w:vAlign w:val="top"/>
            <w:gridSpan w:val="2"/>
            <w:tcBorders>
              <w:left w:val="nil"/>
              <w:bottom w:val="single" w:color="000000" w:sz="10" w:space="0"/>
            </w:tcBorders>
          </w:tcPr>
          <w:p>
            <w:pPr>
              <w:pStyle w:val="TableText"/>
              <w:ind w:left="426"/>
              <w:spacing w:before="205" w:line="226" w:lineRule="auto"/>
              <w:rPr>
                <w:sz w:val="18"/>
                <w:szCs w:val="18"/>
              </w:rPr>
            </w:pPr>
            <w:r>
              <w:rPr>
                <w:sz w:val="18"/>
                <w:szCs w:val="18"/>
                <w:spacing w:val="-12"/>
              </w:rPr>
              <w:t>生态</w:t>
            </w:r>
          </w:p>
        </w:tc>
        <w:tc>
          <w:tcPr>
            <w:tcW w:w="5216" w:type="dxa"/>
            <w:vAlign w:val="top"/>
            <w:gridSpan w:val="7"/>
            <w:tcBorders>
              <w:bottom w:val="single" w:color="000000" w:sz="10" w:space="0"/>
            </w:tcBorders>
          </w:tcPr>
          <w:p>
            <w:pPr>
              <w:pStyle w:val="TableText"/>
              <w:ind w:left="1603"/>
              <w:spacing w:before="205" w:line="222" w:lineRule="auto"/>
              <w:rPr>
                <w:sz w:val="18"/>
                <w:szCs w:val="18"/>
              </w:rPr>
            </w:pPr>
            <w:r>
              <w:rPr>
                <w:sz w:val="18"/>
                <w:szCs w:val="18"/>
                <w:spacing w:val="-4"/>
              </w:rPr>
              <w:t>项目矿界外扩</w:t>
            </w:r>
            <w:r>
              <w:rPr>
                <w:sz w:val="18"/>
                <w:szCs w:val="18"/>
                <w:spacing w:val="-35"/>
              </w:rPr>
              <w:t xml:space="preserve"> </w:t>
            </w:r>
            <w:r>
              <w:rPr>
                <w:rFonts w:ascii="Times New Roman" w:hAnsi="Times New Roman" w:eastAsia="Times New Roman" w:cs="Times New Roman"/>
                <w:sz w:val="18"/>
                <w:szCs w:val="18"/>
                <w:spacing w:val="-4"/>
              </w:rPr>
              <w:t>2km</w:t>
            </w:r>
            <w:r>
              <w:rPr>
                <w:rFonts w:ascii="Times New Roman" w:hAnsi="Times New Roman" w:eastAsia="Times New Roman" w:cs="Times New Roman"/>
                <w:sz w:val="18"/>
                <w:szCs w:val="18"/>
                <w:spacing w:val="24"/>
                <w:w w:val="101"/>
              </w:rPr>
              <w:t xml:space="preserve"> </w:t>
            </w:r>
            <w:r>
              <w:rPr>
                <w:sz w:val="18"/>
                <w:szCs w:val="18"/>
                <w:spacing w:val="-4"/>
              </w:rPr>
              <w:t>范围内</w:t>
            </w:r>
          </w:p>
        </w:tc>
        <w:tc>
          <w:tcPr>
            <w:tcW w:w="2527" w:type="dxa"/>
            <w:vAlign w:val="top"/>
            <w:tcBorders>
              <w:right w:val="nil"/>
              <w:bottom w:val="single" w:color="000000" w:sz="10" w:space="0"/>
            </w:tcBorders>
          </w:tcPr>
          <w:p>
            <w:pPr>
              <w:pStyle w:val="TableText"/>
              <w:ind w:left="288"/>
              <w:spacing w:before="205" w:line="222" w:lineRule="auto"/>
              <w:rPr>
                <w:sz w:val="18"/>
                <w:szCs w:val="18"/>
              </w:rPr>
            </w:pPr>
            <w:r>
              <w:rPr>
                <w:sz w:val="18"/>
                <w:szCs w:val="18"/>
                <w:spacing w:val="-2"/>
              </w:rPr>
              <w:t>不影响项目周边生态环境</w:t>
            </w:r>
          </w:p>
        </w:tc>
      </w:tr>
    </w:tbl>
    <w:p>
      <w:pPr>
        <w:pStyle w:val="BodyText"/>
        <w:rPr/>
      </w:pPr>
      <w:r/>
    </w:p>
    <w:p>
      <w:pPr>
        <w:sectPr>
          <w:footerReference w:type="default" r:id="rId85"/>
          <w:pgSz w:w="11911" w:h="16839"/>
          <w:pgMar w:top="400" w:right="1308" w:bottom="1146" w:left="1689" w:header="0" w:footer="984" w:gutter="0"/>
        </w:sectPr>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111"/>
        <w:spacing w:before="98" w:line="222" w:lineRule="auto"/>
        <w:outlineLvl w:val="0"/>
        <w:rPr>
          <w:rFonts w:ascii="FangSong" w:hAnsi="FangSong" w:eastAsia="FangSong" w:cs="FangSong"/>
          <w:sz w:val="30"/>
          <w:szCs w:val="30"/>
        </w:rPr>
      </w:pPr>
      <w:bookmarkStart w:name="bookmark91" w:id="127"/>
      <w:bookmarkEnd w:id="127"/>
      <w:bookmarkStart w:name="bookmark90" w:id="128"/>
      <w:bookmarkEnd w:id="128"/>
      <w:r>
        <w:rPr>
          <w:rFonts w:ascii="Times New Roman" w:hAnsi="Times New Roman" w:eastAsia="Times New Roman" w:cs="Times New Roman"/>
          <w:sz w:val="30"/>
          <w:szCs w:val="30"/>
          <w:b/>
          <w:bCs/>
          <w:spacing w:val="-3"/>
        </w:rPr>
        <w:t>3  </w:t>
      </w:r>
      <w:r>
        <w:rPr>
          <w:rFonts w:ascii="FangSong" w:hAnsi="FangSong" w:eastAsia="FangSong" w:cs="FangSong"/>
          <w:sz w:val="30"/>
          <w:szCs w:val="30"/>
          <w:b/>
          <w:bCs/>
          <w:spacing w:val="-3"/>
        </w:rPr>
        <w:t>变更前项目概况及工程分析</w:t>
      </w:r>
    </w:p>
    <w:p>
      <w:pPr>
        <w:ind w:left="122" w:right="104" w:firstLine="480"/>
        <w:spacing w:before="212" w:line="359" w:lineRule="auto"/>
        <w:rPr>
          <w:rFonts w:ascii="FangSong" w:hAnsi="FangSong" w:eastAsia="FangSong" w:cs="FangSong"/>
          <w:sz w:val="24"/>
          <w:szCs w:val="24"/>
        </w:rPr>
      </w:pPr>
      <w:r>
        <w:rPr>
          <w:rFonts w:ascii="FangSong" w:hAnsi="FangSong" w:eastAsia="FangSong" w:cs="FangSong"/>
          <w:sz w:val="24"/>
          <w:szCs w:val="24"/>
        </w:rPr>
        <w:t>本次评价参照《苏尼特右旗桑宝力嘎额尔登塔拉萤石矿年开采</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rPr>
        <w:t>万吨萤石项目</w:t>
      </w:r>
      <w:r>
        <w:rPr>
          <w:rFonts w:ascii="FangSong" w:hAnsi="FangSong" w:eastAsia="FangSong" w:cs="FangSong"/>
          <w:sz w:val="24"/>
          <w:szCs w:val="24"/>
          <w:spacing w:val="-1"/>
        </w:rPr>
        <w:t>环境影响报告表》就变更前项目建设内容进行介绍。</w:t>
      </w:r>
    </w:p>
    <w:p>
      <w:pPr>
        <w:ind w:left="121" w:right="105" w:firstLine="481"/>
        <w:spacing w:before="2" w:line="360" w:lineRule="auto"/>
        <w:jc w:val="both"/>
        <w:rPr>
          <w:rFonts w:ascii="FangSong" w:hAnsi="FangSong" w:eastAsia="FangSong" w:cs="FangSong"/>
          <w:sz w:val="24"/>
          <w:szCs w:val="24"/>
        </w:rPr>
      </w:pPr>
      <w:r>
        <w:rPr>
          <w:rFonts w:ascii="FangSong" w:hAnsi="FangSong" w:eastAsia="FangSong" w:cs="FangSong"/>
          <w:sz w:val="24"/>
          <w:szCs w:val="24"/>
          <w:spacing w:val="1"/>
        </w:rPr>
        <w:t>本次变更项目扩大了开采规模，并对整个工业场地等生产设施用地及辅助生产</w:t>
      </w:r>
      <w:r>
        <w:rPr>
          <w:rFonts w:ascii="FangSong" w:hAnsi="FangSong" w:eastAsia="FangSong" w:cs="FangSong"/>
          <w:sz w:val="24"/>
          <w:szCs w:val="24"/>
          <w:spacing w:val="1"/>
        </w:rPr>
        <w:t>设施用地、办公生活区、矿区道路进行了重新规划设计。因此本次评价仅进行基本</w:t>
      </w:r>
      <w:r>
        <w:rPr>
          <w:rFonts w:ascii="FangSong" w:hAnsi="FangSong" w:eastAsia="FangSong" w:cs="FangSong"/>
          <w:sz w:val="24"/>
          <w:szCs w:val="24"/>
          <w:spacing w:val="-4"/>
        </w:rPr>
        <w:t>情况介绍。</w:t>
      </w:r>
    </w:p>
    <w:p>
      <w:pPr>
        <w:ind w:left="111"/>
        <w:spacing w:line="223" w:lineRule="auto"/>
        <w:outlineLvl w:val="1"/>
        <w:rPr>
          <w:rFonts w:ascii="FangSong" w:hAnsi="FangSong" w:eastAsia="FangSong" w:cs="FangSong"/>
          <w:sz w:val="28"/>
          <w:szCs w:val="28"/>
        </w:rPr>
      </w:pPr>
      <w:bookmarkStart w:name="bookmark93" w:id="129"/>
      <w:bookmarkEnd w:id="129"/>
      <w:bookmarkStart w:name="bookmark92" w:id="130"/>
      <w:bookmarkEnd w:id="130"/>
      <w:r>
        <w:rPr>
          <w:rFonts w:ascii="Times New Roman" w:hAnsi="Times New Roman" w:eastAsia="Times New Roman" w:cs="Times New Roman"/>
          <w:sz w:val="28"/>
          <w:szCs w:val="28"/>
          <w:b/>
          <w:bCs/>
          <w:spacing w:val="-5"/>
        </w:rPr>
        <w:t>3.1</w:t>
      </w:r>
      <w:r>
        <w:rPr>
          <w:rFonts w:ascii="Times New Roman" w:hAnsi="Times New Roman" w:eastAsia="Times New Roman" w:cs="Times New Roman"/>
          <w:sz w:val="28"/>
          <w:szCs w:val="28"/>
          <w:b/>
          <w:bCs/>
          <w:spacing w:val="10"/>
        </w:rPr>
        <w:t xml:space="preserve">  </w:t>
      </w:r>
      <w:r>
        <w:rPr>
          <w:rFonts w:ascii="FangSong" w:hAnsi="FangSong" w:eastAsia="FangSong" w:cs="FangSong"/>
          <w:sz w:val="28"/>
          <w:szCs w:val="28"/>
          <w:b/>
          <w:bCs/>
          <w:spacing w:val="-5"/>
        </w:rPr>
        <w:t>基本情况</w:t>
      </w:r>
    </w:p>
    <w:p>
      <w:pPr>
        <w:ind w:left="607"/>
        <w:spacing w:before="200" w:line="22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）建设地点</w:t>
      </w:r>
    </w:p>
    <w:p>
      <w:pPr>
        <w:ind w:left="123" w:right="105" w:firstLine="478"/>
        <w:spacing w:before="176" w:line="359" w:lineRule="auto"/>
        <w:rPr>
          <w:rFonts w:ascii="FangSong" w:hAnsi="FangSong" w:eastAsia="FangSong" w:cs="FangSong"/>
          <w:sz w:val="24"/>
          <w:szCs w:val="24"/>
        </w:rPr>
      </w:pPr>
      <w:r>
        <w:rPr>
          <w:rFonts w:ascii="FangSong" w:hAnsi="FangSong" w:eastAsia="FangSong" w:cs="FangSong"/>
          <w:sz w:val="24"/>
          <w:szCs w:val="24"/>
          <w:spacing w:val="1"/>
        </w:rPr>
        <w:t>现有项目位于内蒙古苏尼特右旗旗政府驻地桑宝力嘎苏木额尔登塔拉嘎查，行</w:t>
      </w:r>
      <w:r>
        <w:rPr>
          <w:rFonts w:ascii="FangSong" w:hAnsi="FangSong" w:eastAsia="FangSong" w:cs="FangSong"/>
          <w:sz w:val="24"/>
          <w:szCs w:val="24"/>
          <w:spacing w:val="1"/>
        </w:rPr>
        <w:t>政区划隶属于内蒙古锡林郭勒盟苏尼特右旗桑宝力嘎苏木所辖。矿区范围地理坐标</w:t>
      </w:r>
      <w:r>
        <w:rPr>
          <w:rFonts w:ascii="FangSong" w:hAnsi="FangSong" w:eastAsia="FangSong" w:cs="FangSong"/>
          <w:sz w:val="24"/>
          <w:szCs w:val="24"/>
          <w:spacing w:val="-9"/>
        </w:rPr>
        <w:t>为：</w:t>
      </w:r>
    </w:p>
    <w:p>
      <w:pPr>
        <w:ind w:left="608"/>
        <w:spacing w:before="1" w:line="224" w:lineRule="auto"/>
        <w:rPr>
          <w:rFonts w:ascii="FangSong" w:hAnsi="FangSong" w:eastAsia="FangSong" w:cs="FangSong"/>
          <w:sz w:val="24"/>
          <w:szCs w:val="24"/>
        </w:rPr>
      </w:pPr>
      <w:r>
        <w:rPr>
          <w:rFonts w:ascii="FangSong" w:hAnsi="FangSong" w:eastAsia="FangSong" w:cs="FangSong"/>
          <w:sz w:val="24"/>
          <w:szCs w:val="24"/>
          <w:spacing w:val="-10"/>
        </w:rPr>
        <w:t>东经：</w:t>
      </w:r>
      <w:r>
        <w:rPr>
          <w:rFonts w:ascii="Times New Roman" w:hAnsi="Times New Roman" w:eastAsia="Times New Roman" w:cs="Times New Roman"/>
          <w:sz w:val="24"/>
          <w:szCs w:val="24"/>
          <w:spacing w:val="-10"/>
        </w:rPr>
        <w:t>112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55</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27</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112</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59</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30</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w:t>
      </w:r>
    </w:p>
    <w:p>
      <w:pPr>
        <w:ind w:left="609"/>
        <w:spacing w:before="176" w:line="221" w:lineRule="auto"/>
        <w:rPr>
          <w:rFonts w:ascii="FangSong" w:hAnsi="FangSong" w:eastAsia="FangSong" w:cs="FangSong"/>
          <w:sz w:val="24"/>
          <w:szCs w:val="24"/>
        </w:rPr>
      </w:pPr>
      <w:r>
        <w:rPr>
          <w:rFonts w:ascii="FangSong" w:hAnsi="FangSong" w:eastAsia="FangSong" w:cs="FangSong"/>
          <w:sz w:val="24"/>
          <w:szCs w:val="24"/>
          <w:spacing w:val="-10"/>
        </w:rPr>
        <w:t>北纬：</w:t>
      </w:r>
      <w:r>
        <w:rPr>
          <w:rFonts w:ascii="Times New Roman" w:hAnsi="Times New Roman" w:eastAsia="Times New Roman" w:cs="Times New Roman"/>
          <w:sz w:val="24"/>
          <w:szCs w:val="24"/>
          <w:spacing w:val="-10"/>
        </w:rPr>
        <w:t>43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56</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30</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43</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59</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30</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w:t>
      </w:r>
    </w:p>
    <w:p>
      <w:pPr>
        <w:ind w:left="128" w:right="107" w:firstLine="474"/>
        <w:spacing w:before="178" w:line="359" w:lineRule="auto"/>
        <w:rPr>
          <w:rFonts w:ascii="FangSong" w:hAnsi="FangSong" w:eastAsia="FangSong" w:cs="FangSong"/>
          <w:sz w:val="24"/>
          <w:szCs w:val="24"/>
        </w:rPr>
      </w:pPr>
      <w:r>
        <w:rPr>
          <w:rFonts w:ascii="FangSong" w:hAnsi="FangSong" w:eastAsia="FangSong" w:cs="FangSong"/>
          <w:sz w:val="24"/>
          <w:szCs w:val="24"/>
          <w:spacing w:val="-6"/>
        </w:rPr>
        <w:t>矿区范围由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19</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个拐点圈定，面积为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1776km</w:t>
      </w:r>
      <w:r>
        <w:rPr>
          <w:rFonts w:ascii="Times New Roman" w:hAnsi="Times New Roman" w:eastAsia="Times New Roman" w:cs="Times New Roman"/>
          <w:sz w:val="15"/>
          <w:szCs w:val="15"/>
          <w:spacing w:val="-6"/>
          <w:position w:val="8"/>
        </w:rPr>
        <w:t>2 </w:t>
      </w:r>
      <w:r>
        <w:rPr>
          <w:rFonts w:ascii="FangSong" w:hAnsi="FangSong" w:eastAsia="FangSong" w:cs="FangSong"/>
          <w:sz w:val="24"/>
          <w:szCs w:val="24"/>
          <w:spacing w:val="-6"/>
        </w:rPr>
        <w:t>，采深标高</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1065-980m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，其拐点</w:t>
      </w:r>
      <w:r>
        <w:rPr>
          <w:rFonts w:ascii="FangSong" w:hAnsi="FangSong" w:eastAsia="FangSong" w:cs="FangSong"/>
          <w:sz w:val="24"/>
          <w:szCs w:val="24"/>
          <w:spacing w:val="-4"/>
        </w:rPr>
        <w:t>坐标见表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4"/>
        </w:rPr>
        <w:t>3.1-1</w:t>
      </w:r>
      <w:r>
        <w:rPr>
          <w:rFonts w:ascii="FangSong" w:hAnsi="FangSong" w:eastAsia="FangSong" w:cs="FangSong"/>
          <w:sz w:val="24"/>
          <w:szCs w:val="24"/>
          <w:spacing w:val="-4"/>
        </w:rPr>
        <w:t>。</w:t>
      </w:r>
    </w:p>
    <w:p>
      <w:pPr>
        <w:ind w:left="1962"/>
        <w:spacing w:before="1"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b/>
          <w:bCs/>
          <w:spacing w:val="-2"/>
        </w:rPr>
        <w:t>3.1-1  </w:t>
      </w:r>
      <w:r>
        <w:rPr>
          <w:rFonts w:ascii="FangSong" w:hAnsi="FangSong" w:eastAsia="FangSong" w:cs="FangSong"/>
          <w:sz w:val="24"/>
          <w:szCs w:val="24"/>
          <w:b/>
          <w:bCs/>
          <w:spacing w:val="-2"/>
        </w:rPr>
        <w:t>变更前矿区范围拐点坐标及面积一</w:t>
      </w:r>
      <w:r>
        <w:rPr>
          <w:rFonts w:ascii="FangSong" w:hAnsi="FangSong" w:eastAsia="FangSong" w:cs="FangSong"/>
          <w:sz w:val="24"/>
          <w:szCs w:val="24"/>
          <w:b/>
          <w:bCs/>
          <w:spacing w:val="-3"/>
        </w:rPr>
        <w:t>览表</w:t>
      </w:r>
    </w:p>
    <w:p>
      <w:pPr>
        <w:spacing w:line="145" w:lineRule="exact"/>
        <w:rPr/>
      </w:pPr>
      <w:r/>
    </w:p>
    <w:tbl>
      <w:tblPr>
        <w:tblStyle w:val="TableNormal"/>
        <w:tblW w:w="89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3"/>
        <w:gridCol w:w="2734"/>
        <w:gridCol w:w="2488"/>
        <w:gridCol w:w="1734"/>
      </w:tblGrid>
      <w:tr>
        <w:trPr>
          <w:trHeight w:val="307" w:hRule="atLeast"/>
        </w:trPr>
        <w:tc>
          <w:tcPr>
            <w:tcW w:w="1953" w:type="dxa"/>
            <w:vAlign w:val="top"/>
            <w:tcBorders>
              <w:left w:val="nil"/>
              <w:top w:val="single" w:color="000000" w:sz="10" w:space="0"/>
            </w:tcBorders>
          </w:tcPr>
          <w:p>
            <w:pPr>
              <w:pStyle w:val="TableText"/>
              <w:ind w:left="568"/>
              <w:spacing w:before="48" w:line="229" w:lineRule="auto"/>
              <w:rPr/>
            </w:pPr>
            <w:r>
              <w:rPr>
                <w:spacing w:val="6"/>
              </w:rPr>
              <w:t>拐点编号</w:t>
            </w:r>
          </w:p>
        </w:tc>
        <w:tc>
          <w:tcPr>
            <w:tcW w:w="2734" w:type="dxa"/>
            <w:vAlign w:val="top"/>
            <w:tcBorders>
              <w:top w:val="single" w:color="000000" w:sz="10" w:space="0"/>
            </w:tcBorders>
          </w:tcPr>
          <w:p>
            <w:pPr>
              <w:pStyle w:val="TableText"/>
              <w:ind w:left="775"/>
              <w:spacing w:before="48" w:line="229" w:lineRule="auto"/>
              <w:rPr/>
            </w:pPr>
            <w:r>
              <w:rPr>
                <w:spacing w:val="5"/>
              </w:rPr>
              <w:t>横坐标（</w:t>
            </w:r>
            <w:r>
              <w:rPr>
                <w:rFonts w:ascii="Times New Roman" w:hAnsi="Times New Roman" w:eastAsia="Times New Roman" w:cs="Times New Roman"/>
                <w:spacing w:val="5"/>
              </w:rPr>
              <w:t>X</w:t>
            </w:r>
            <w:r>
              <w:rPr>
                <w:spacing w:val="5"/>
              </w:rPr>
              <w:t>）</w:t>
            </w:r>
          </w:p>
        </w:tc>
        <w:tc>
          <w:tcPr>
            <w:tcW w:w="2488" w:type="dxa"/>
            <w:vAlign w:val="top"/>
            <w:tcBorders>
              <w:top w:val="single" w:color="000000" w:sz="10" w:space="0"/>
            </w:tcBorders>
          </w:tcPr>
          <w:p>
            <w:pPr>
              <w:pStyle w:val="TableText"/>
              <w:ind w:left="654"/>
              <w:spacing w:before="48" w:line="229" w:lineRule="auto"/>
              <w:rPr/>
            </w:pPr>
            <w:r>
              <w:rPr>
                <w:spacing w:val="5"/>
              </w:rPr>
              <w:t>纵坐标（</w:t>
            </w:r>
            <w:r>
              <w:rPr>
                <w:rFonts w:ascii="Times New Roman" w:hAnsi="Times New Roman" w:eastAsia="Times New Roman" w:cs="Times New Roman"/>
                <w:spacing w:val="5"/>
              </w:rPr>
              <w:t>Y</w:t>
            </w:r>
            <w:r>
              <w:rPr>
                <w:spacing w:val="5"/>
              </w:rPr>
              <w:t>）</w:t>
            </w:r>
          </w:p>
        </w:tc>
        <w:tc>
          <w:tcPr>
            <w:tcW w:w="1734" w:type="dxa"/>
            <w:vAlign w:val="top"/>
            <w:tcBorders>
              <w:right w:val="nil"/>
              <w:top w:val="single" w:color="000000" w:sz="10" w:space="0"/>
            </w:tcBorders>
          </w:tcPr>
          <w:p>
            <w:pPr>
              <w:pStyle w:val="TableText"/>
              <w:ind w:left="670"/>
              <w:spacing w:before="48" w:line="229" w:lineRule="auto"/>
              <w:rPr/>
            </w:pPr>
            <w:r>
              <w:rPr>
                <w:spacing w:val="1"/>
              </w:rPr>
              <w:t>备注</w:t>
            </w:r>
          </w:p>
        </w:tc>
      </w:tr>
      <w:tr>
        <w:trPr>
          <w:trHeight w:val="323" w:hRule="atLeast"/>
        </w:trPr>
        <w:tc>
          <w:tcPr>
            <w:tcW w:w="1953" w:type="dxa"/>
            <w:vAlign w:val="top"/>
            <w:tcBorders>
              <w:left w:val="nil"/>
            </w:tcBorders>
          </w:tcPr>
          <w:p>
            <w:pPr>
              <w:ind w:left="94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34" w:type="dxa"/>
            <w:vAlign w:val="top"/>
          </w:tcPr>
          <w:p>
            <w:pPr>
              <w:ind w:left="83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19654137.00</w:t>
            </w:r>
          </w:p>
        </w:tc>
        <w:tc>
          <w:tcPr>
            <w:tcW w:w="2488" w:type="dxa"/>
            <w:vAlign w:val="top"/>
          </w:tcPr>
          <w:p>
            <w:pPr>
              <w:ind w:left="746"/>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4767657.00</w:t>
            </w:r>
          </w:p>
        </w:tc>
        <w:tc>
          <w:tcPr>
            <w:tcW w:w="1734" w:type="dxa"/>
            <w:vAlign w:val="top"/>
            <w:vMerge w:val="restart"/>
            <w:tcBorders>
              <w:right w:val="nil"/>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567"/>
              <w:spacing w:before="65" w:line="232" w:lineRule="auto"/>
              <w:rPr/>
            </w:pPr>
            <w:r>
              <w:rPr>
                <w:spacing w:val="3"/>
              </w:rPr>
              <w:t>面积为</w:t>
            </w:r>
          </w:p>
          <w:p>
            <w:pPr>
              <w:pStyle w:val="TableText"/>
              <w:ind w:left="155"/>
              <w:spacing w:before="20" w:line="231" w:lineRule="auto"/>
              <w:rPr/>
            </w:pPr>
            <w:r>
              <w:rPr>
                <w:rFonts w:ascii="Times New Roman" w:hAnsi="Times New Roman" w:eastAsia="Times New Roman" w:cs="Times New Roman"/>
                <w:spacing w:val="-1"/>
              </w:rPr>
              <w:t>11.</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1776km2</w:t>
            </w:r>
            <w:r>
              <w:rPr>
                <w:rFonts w:ascii="Times New Roman" w:hAnsi="Times New Roman" w:eastAsia="Times New Roman" w:cs="Times New Roman"/>
                <w:spacing w:val="-21"/>
              </w:rPr>
              <w:t xml:space="preserve"> </w:t>
            </w:r>
            <w:r>
              <w:rPr>
                <w:spacing w:val="-1"/>
              </w:rPr>
              <w:t>，采</w:t>
            </w:r>
          </w:p>
          <w:p>
            <w:pPr>
              <w:pStyle w:val="TableText"/>
              <w:ind w:left="564"/>
              <w:spacing w:before="23" w:line="231" w:lineRule="auto"/>
              <w:rPr/>
            </w:pPr>
            <w:r>
              <w:rPr>
                <w:spacing w:val="4"/>
              </w:rPr>
              <w:t>深标高</w:t>
            </w:r>
          </w:p>
          <w:p>
            <w:pPr>
              <w:ind w:left="405"/>
              <w:spacing w:before="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1065-980m</w:t>
            </w:r>
          </w:p>
        </w:tc>
      </w:tr>
      <w:tr>
        <w:trPr>
          <w:trHeight w:val="323" w:hRule="atLeast"/>
        </w:trPr>
        <w:tc>
          <w:tcPr>
            <w:tcW w:w="1953" w:type="dxa"/>
            <w:vAlign w:val="top"/>
            <w:tcBorders>
              <w:left w:val="nil"/>
            </w:tcBorders>
          </w:tcPr>
          <w:p>
            <w:pPr>
              <w:ind w:left="92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34" w:type="dxa"/>
            <w:vAlign w:val="top"/>
          </w:tcPr>
          <w:p>
            <w:pPr>
              <w:ind w:left="83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19653182.00</w:t>
            </w:r>
          </w:p>
        </w:tc>
        <w:tc>
          <w:tcPr>
            <w:tcW w:w="2488" w:type="dxa"/>
            <w:vAlign w:val="top"/>
          </w:tcPr>
          <w:p>
            <w:pPr>
              <w:ind w:left="746"/>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4766833.00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933"/>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34" w:type="dxa"/>
            <w:vAlign w:val="top"/>
          </w:tcPr>
          <w:p>
            <w:pPr>
              <w:ind w:left="837"/>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19652109.00</w:t>
            </w:r>
          </w:p>
        </w:tc>
        <w:tc>
          <w:tcPr>
            <w:tcW w:w="2488" w:type="dxa"/>
            <w:vAlign w:val="top"/>
          </w:tcPr>
          <w:p>
            <w:pPr>
              <w:ind w:left="74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4768229.00</w:t>
            </w:r>
          </w:p>
        </w:tc>
        <w:tc>
          <w:tcPr>
            <w:tcW w:w="1734" w:type="dxa"/>
            <w:vAlign w:val="top"/>
            <w:vMerge w:val="continue"/>
            <w:tcBorders>
              <w:right w:val="nil"/>
              <w:bottom w:val="nil"/>
              <w:top w:val="nil"/>
            </w:tcBorders>
          </w:tcPr>
          <w:p>
            <w:pPr>
              <w:rPr>
                <w:rFonts w:ascii="Arial"/>
                <w:sz w:val="21"/>
              </w:rPr>
            </w:pPr>
            <w:r/>
          </w:p>
        </w:tc>
      </w:tr>
      <w:tr>
        <w:trPr>
          <w:trHeight w:val="322" w:hRule="atLeast"/>
        </w:trPr>
        <w:tc>
          <w:tcPr>
            <w:tcW w:w="1953" w:type="dxa"/>
            <w:vAlign w:val="top"/>
            <w:tcBorders>
              <w:left w:val="nil"/>
            </w:tcBorders>
          </w:tcPr>
          <w:p>
            <w:pPr>
              <w:ind w:left="928"/>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734" w:type="dxa"/>
            <w:vAlign w:val="top"/>
          </w:tcPr>
          <w:p>
            <w:pPr>
              <w:ind w:left="837"/>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19653459.00</w:t>
            </w:r>
          </w:p>
        </w:tc>
        <w:tc>
          <w:tcPr>
            <w:tcW w:w="2488" w:type="dxa"/>
            <w:vAlign w:val="top"/>
          </w:tcPr>
          <w:p>
            <w:pPr>
              <w:ind w:left="746"/>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4769618.00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935"/>
              <w:spacing w:before="9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34" w:type="dxa"/>
            <w:vAlign w:val="top"/>
          </w:tcPr>
          <w:p>
            <w:pPr>
              <w:ind w:left="83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19654804.00</w:t>
            </w:r>
          </w:p>
        </w:tc>
        <w:tc>
          <w:tcPr>
            <w:tcW w:w="2488" w:type="dxa"/>
            <w:vAlign w:val="top"/>
          </w:tcPr>
          <w:p>
            <w:pPr>
              <w:ind w:left="746"/>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4768228.00</w:t>
            </w:r>
          </w:p>
        </w:tc>
        <w:tc>
          <w:tcPr>
            <w:tcW w:w="1734" w:type="dxa"/>
            <w:vAlign w:val="top"/>
            <w:vMerge w:val="continue"/>
            <w:tcBorders>
              <w:right w:val="nil"/>
              <w:bottom w:val="nil"/>
              <w:top w:val="nil"/>
            </w:tcBorders>
          </w:tcPr>
          <w:p>
            <w:pPr>
              <w:rPr>
                <w:rFonts w:ascii="Arial"/>
                <w:sz w:val="21"/>
              </w:rPr>
            </w:pPr>
            <w:r/>
          </w:p>
        </w:tc>
      </w:tr>
      <w:tr>
        <w:trPr>
          <w:trHeight w:val="322" w:hRule="atLeast"/>
        </w:trPr>
        <w:tc>
          <w:tcPr>
            <w:tcW w:w="1953" w:type="dxa"/>
            <w:vAlign w:val="top"/>
            <w:tcBorders>
              <w:left w:val="nil"/>
            </w:tcBorders>
          </w:tcPr>
          <w:p>
            <w:pPr>
              <w:ind w:left="93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34" w:type="dxa"/>
            <w:vAlign w:val="top"/>
          </w:tcPr>
          <w:p>
            <w:pPr>
              <w:ind w:left="837"/>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19654515.00</w:t>
            </w:r>
          </w:p>
        </w:tc>
        <w:tc>
          <w:tcPr>
            <w:tcW w:w="2488" w:type="dxa"/>
            <w:vAlign w:val="top"/>
          </w:tcPr>
          <w:p>
            <w:pPr>
              <w:ind w:left="746"/>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4768005.00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932"/>
              <w:spacing w:before="10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34" w:type="dxa"/>
            <w:vAlign w:val="top"/>
          </w:tcPr>
          <w:p>
            <w:pPr>
              <w:ind w:left="837"/>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19655224.00</w:t>
            </w:r>
          </w:p>
        </w:tc>
        <w:tc>
          <w:tcPr>
            <w:tcW w:w="2488" w:type="dxa"/>
            <w:vAlign w:val="top"/>
          </w:tcPr>
          <w:p>
            <w:pPr>
              <w:ind w:left="746"/>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4767481.00</w:t>
            </w:r>
          </w:p>
        </w:tc>
        <w:tc>
          <w:tcPr>
            <w:tcW w:w="1734" w:type="dxa"/>
            <w:vAlign w:val="top"/>
            <w:vMerge w:val="continue"/>
            <w:tcBorders>
              <w:right w:val="nil"/>
              <w:bottom w:val="nil"/>
              <w:top w:val="nil"/>
            </w:tcBorders>
          </w:tcPr>
          <w:p>
            <w:pPr>
              <w:rPr>
                <w:rFonts w:ascii="Arial"/>
                <w:sz w:val="21"/>
              </w:rPr>
            </w:pPr>
            <w:r/>
          </w:p>
        </w:tc>
      </w:tr>
      <w:tr>
        <w:trPr>
          <w:trHeight w:val="322" w:hRule="atLeast"/>
        </w:trPr>
        <w:tc>
          <w:tcPr>
            <w:tcW w:w="1953" w:type="dxa"/>
            <w:vAlign w:val="top"/>
            <w:tcBorders>
              <w:left w:val="nil"/>
            </w:tcBorders>
          </w:tcPr>
          <w:p>
            <w:pPr>
              <w:ind w:left="93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34" w:type="dxa"/>
            <w:vAlign w:val="top"/>
          </w:tcPr>
          <w:p>
            <w:pPr>
              <w:ind w:left="83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19655463.00</w:t>
            </w:r>
          </w:p>
        </w:tc>
        <w:tc>
          <w:tcPr>
            <w:tcW w:w="2488" w:type="dxa"/>
            <w:vAlign w:val="top"/>
          </w:tcPr>
          <w:p>
            <w:pPr>
              <w:ind w:left="746"/>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4768150.00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933"/>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734" w:type="dxa"/>
            <w:vAlign w:val="top"/>
          </w:tcPr>
          <w:p>
            <w:pPr>
              <w:ind w:left="837"/>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19655538.00</w:t>
            </w:r>
          </w:p>
        </w:tc>
        <w:tc>
          <w:tcPr>
            <w:tcW w:w="2488" w:type="dxa"/>
            <w:vAlign w:val="top"/>
          </w:tcPr>
          <w:p>
            <w:pPr>
              <w:ind w:left="746"/>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4768831.00</w:t>
            </w:r>
          </w:p>
        </w:tc>
        <w:tc>
          <w:tcPr>
            <w:tcW w:w="1734" w:type="dxa"/>
            <w:vAlign w:val="top"/>
            <w:vMerge w:val="continue"/>
            <w:tcBorders>
              <w:right w:val="nil"/>
              <w:bottom w:val="nil"/>
              <w:top w:val="nil"/>
            </w:tcBorders>
          </w:tcPr>
          <w:p>
            <w:pPr>
              <w:rPr>
                <w:rFonts w:ascii="Arial"/>
                <w:sz w:val="21"/>
              </w:rPr>
            </w:pPr>
            <w:r/>
          </w:p>
        </w:tc>
      </w:tr>
      <w:tr>
        <w:trPr>
          <w:trHeight w:val="322" w:hRule="atLeast"/>
        </w:trPr>
        <w:tc>
          <w:tcPr>
            <w:tcW w:w="1953" w:type="dxa"/>
            <w:vAlign w:val="top"/>
            <w:tcBorders>
              <w:left w:val="nil"/>
            </w:tcBorders>
          </w:tcPr>
          <w:p>
            <w:pPr>
              <w:ind w:left="894"/>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734" w:type="dxa"/>
            <w:vAlign w:val="top"/>
          </w:tcPr>
          <w:p>
            <w:pPr>
              <w:ind w:left="837"/>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19657373.00</w:t>
            </w:r>
          </w:p>
        </w:tc>
        <w:tc>
          <w:tcPr>
            <w:tcW w:w="2488" w:type="dxa"/>
            <w:vAlign w:val="top"/>
          </w:tcPr>
          <w:p>
            <w:pPr>
              <w:ind w:left="74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4769799.00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89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734" w:type="dxa"/>
            <w:vAlign w:val="top"/>
          </w:tcPr>
          <w:p>
            <w:pPr>
              <w:ind w:left="83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19657741.00</w:t>
            </w:r>
          </w:p>
        </w:tc>
        <w:tc>
          <w:tcPr>
            <w:tcW w:w="2488" w:type="dxa"/>
            <w:vAlign w:val="top"/>
          </w:tcPr>
          <w:p>
            <w:pPr>
              <w:ind w:left="74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4769530.00</w:t>
            </w:r>
          </w:p>
        </w:tc>
        <w:tc>
          <w:tcPr>
            <w:tcW w:w="1734" w:type="dxa"/>
            <w:vAlign w:val="top"/>
            <w:vMerge w:val="continue"/>
            <w:tcBorders>
              <w:right w:val="nil"/>
              <w:bottom w:val="nil"/>
              <w:top w:val="nil"/>
            </w:tcBorders>
          </w:tcPr>
          <w:p>
            <w:pPr>
              <w:rPr>
                <w:rFonts w:ascii="Arial"/>
                <w:sz w:val="21"/>
              </w:rPr>
            </w:pPr>
            <w:r/>
          </w:p>
        </w:tc>
      </w:tr>
      <w:tr>
        <w:trPr>
          <w:trHeight w:val="322" w:hRule="atLeast"/>
        </w:trPr>
        <w:tc>
          <w:tcPr>
            <w:tcW w:w="1953" w:type="dxa"/>
            <w:vAlign w:val="top"/>
            <w:tcBorders>
              <w:left w:val="nil"/>
            </w:tcBorders>
          </w:tcPr>
          <w:p>
            <w:pPr>
              <w:ind w:left="89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734" w:type="dxa"/>
            <w:vAlign w:val="top"/>
          </w:tcPr>
          <w:p>
            <w:pPr>
              <w:ind w:left="83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19657036.00</w:t>
            </w:r>
          </w:p>
        </w:tc>
        <w:tc>
          <w:tcPr>
            <w:tcW w:w="2488" w:type="dxa"/>
            <w:vAlign w:val="top"/>
          </w:tcPr>
          <w:p>
            <w:pPr>
              <w:ind w:left="74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4767692.00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894"/>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734" w:type="dxa"/>
            <w:vAlign w:val="top"/>
          </w:tcPr>
          <w:p>
            <w:pPr>
              <w:ind w:left="83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19657057.00</w:t>
            </w:r>
          </w:p>
        </w:tc>
        <w:tc>
          <w:tcPr>
            <w:tcW w:w="2488" w:type="dxa"/>
            <w:vAlign w:val="top"/>
          </w:tcPr>
          <w:p>
            <w:pPr>
              <w:ind w:left="74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4766797.00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894"/>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734" w:type="dxa"/>
            <w:vAlign w:val="top"/>
          </w:tcPr>
          <w:p>
            <w:pPr>
              <w:ind w:left="83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19656468.00</w:t>
            </w:r>
          </w:p>
        </w:tc>
        <w:tc>
          <w:tcPr>
            <w:tcW w:w="2488" w:type="dxa"/>
            <w:vAlign w:val="top"/>
          </w:tcPr>
          <w:p>
            <w:pPr>
              <w:ind w:left="74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4766783.00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894"/>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734" w:type="dxa"/>
            <w:vAlign w:val="top"/>
          </w:tcPr>
          <w:p>
            <w:pPr>
              <w:ind w:left="83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19656478.00</w:t>
            </w:r>
          </w:p>
        </w:tc>
        <w:tc>
          <w:tcPr>
            <w:tcW w:w="2488" w:type="dxa"/>
            <w:vAlign w:val="top"/>
          </w:tcPr>
          <w:p>
            <w:pPr>
              <w:ind w:left="74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4764375.00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894"/>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734" w:type="dxa"/>
            <w:vAlign w:val="top"/>
          </w:tcPr>
          <w:p>
            <w:pPr>
              <w:ind w:left="837"/>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19655980.00</w:t>
            </w:r>
          </w:p>
        </w:tc>
        <w:tc>
          <w:tcPr>
            <w:tcW w:w="2488" w:type="dxa"/>
            <w:vAlign w:val="top"/>
          </w:tcPr>
          <w:p>
            <w:pPr>
              <w:ind w:left="746"/>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4764333.00</w:t>
            </w:r>
          </w:p>
        </w:tc>
        <w:tc>
          <w:tcPr>
            <w:tcW w:w="1734" w:type="dxa"/>
            <w:vAlign w:val="top"/>
            <w:vMerge w:val="continue"/>
            <w:tcBorders>
              <w:right w:val="nil"/>
              <w:bottom w:val="nil"/>
              <w:top w:val="nil"/>
            </w:tcBorders>
          </w:tcPr>
          <w:p>
            <w:pPr>
              <w:rPr>
                <w:rFonts w:ascii="Arial"/>
                <w:sz w:val="21"/>
              </w:rPr>
            </w:pPr>
            <w:r/>
          </w:p>
        </w:tc>
      </w:tr>
      <w:tr>
        <w:trPr>
          <w:trHeight w:val="323" w:hRule="atLeast"/>
        </w:trPr>
        <w:tc>
          <w:tcPr>
            <w:tcW w:w="1953" w:type="dxa"/>
            <w:vAlign w:val="top"/>
            <w:tcBorders>
              <w:left w:val="nil"/>
            </w:tcBorders>
          </w:tcPr>
          <w:p>
            <w:pPr>
              <w:ind w:left="894"/>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734" w:type="dxa"/>
            <w:vAlign w:val="top"/>
          </w:tcPr>
          <w:p>
            <w:pPr>
              <w:ind w:left="837"/>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19655882.00</w:t>
            </w:r>
          </w:p>
        </w:tc>
        <w:tc>
          <w:tcPr>
            <w:tcW w:w="2488" w:type="dxa"/>
            <w:vAlign w:val="top"/>
          </w:tcPr>
          <w:p>
            <w:pPr>
              <w:ind w:left="746"/>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4766647.00</w:t>
            </w:r>
          </w:p>
        </w:tc>
        <w:tc>
          <w:tcPr>
            <w:tcW w:w="1734" w:type="dxa"/>
            <w:vAlign w:val="top"/>
            <w:vMerge w:val="continue"/>
            <w:tcBorders>
              <w:right w:val="nil"/>
              <w:bottom w:val="nil"/>
              <w:top w:val="nil"/>
            </w:tcBorders>
          </w:tcPr>
          <w:p>
            <w:pPr>
              <w:rPr>
                <w:rFonts w:ascii="Arial"/>
                <w:sz w:val="21"/>
              </w:rPr>
            </w:pPr>
            <w:r/>
          </w:p>
        </w:tc>
      </w:tr>
      <w:tr>
        <w:trPr>
          <w:trHeight w:val="344" w:hRule="atLeast"/>
        </w:trPr>
        <w:tc>
          <w:tcPr>
            <w:tcW w:w="1953" w:type="dxa"/>
            <w:vAlign w:val="top"/>
            <w:tcBorders>
              <w:left w:val="nil"/>
              <w:bottom w:val="single" w:color="000000" w:sz="10" w:space="0"/>
            </w:tcBorders>
          </w:tcPr>
          <w:p>
            <w:pPr>
              <w:ind w:left="894"/>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734" w:type="dxa"/>
            <w:vAlign w:val="top"/>
            <w:tcBorders>
              <w:bottom w:val="single" w:color="000000" w:sz="10" w:space="0"/>
            </w:tcBorders>
          </w:tcPr>
          <w:p>
            <w:pPr>
              <w:ind w:left="837"/>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19654014.00</w:t>
            </w:r>
          </w:p>
        </w:tc>
        <w:tc>
          <w:tcPr>
            <w:tcW w:w="2488" w:type="dxa"/>
            <w:vAlign w:val="top"/>
            <w:tcBorders>
              <w:bottom w:val="single" w:color="000000" w:sz="10" w:space="0"/>
            </w:tcBorders>
          </w:tcPr>
          <w:p>
            <w:pPr>
              <w:ind w:left="750"/>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4766110.00</w:t>
            </w:r>
          </w:p>
        </w:tc>
        <w:tc>
          <w:tcPr>
            <w:tcW w:w="1734"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footerReference w:type="default" r:id="rId86"/>
          <w:pgSz w:w="11911" w:h="16839"/>
          <w:pgMar w:top="400" w:right="1310" w:bottom="1144" w:left="1691" w:header="0" w:footer="984" w:gutter="0"/>
        </w:sectPr>
        <w:rPr/>
      </w:pPr>
    </w:p>
    <w:p>
      <w:pPr>
        <w:spacing w:before="19"/>
        <w:rPr/>
      </w:pPr>
      <w:r/>
    </w:p>
    <w:p>
      <w:pPr>
        <w:spacing w:before="19"/>
        <w:rPr/>
      </w:pPr>
      <w:r/>
    </w:p>
    <w:p>
      <w:pPr>
        <w:spacing w:before="18"/>
        <w:rPr/>
      </w:pPr>
      <w:r/>
    </w:p>
    <w:p>
      <w:pPr>
        <w:spacing w:before="18"/>
        <w:rPr/>
      </w:pPr>
      <w:r/>
    </w:p>
    <w:tbl>
      <w:tblPr>
        <w:tblStyle w:val="TableNormal"/>
        <w:tblW w:w="8909"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953"/>
        <w:gridCol w:w="2734"/>
        <w:gridCol w:w="2488"/>
        <w:gridCol w:w="1734"/>
      </w:tblGrid>
      <w:tr>
        <w:trPr>
          <w:trHeight w:val="307" w:hRule="atLeast"/>
        </w:trPr>
        <w:tc>
          <w:tcPr>
            <w:tcW w:w="1953" w:type="dxa"/>
            <w:vAlign w:val="top"/>
            <w:tcBorders>
              <w:right w:val="single" w:color="000000" w:sz="2" w:space="0"/>
              <w:left w:val="nil"/>
            </w:tcBorders>
          </w:tcPr>
          <w:p>
            <w:pPr>
              <w:ind w:left="894"/>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734" w:type="dxa"/>
            <w:vAlign w:val="top"/>
            <w:tcBorders>
              <w:left w:val="single" w:color="000000" w:sz="2" w:space="0"/>
              <w:right w:val="single" w:color="000000" w:sz="2" w:space="0"/>
            </w:tcBorders>
          </w:tcPr>
          <w:p>
            <w:pPr>
              <w:ind w:left="837"/>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19654785.00</w:t>
            </w:r>
          </w:p>
        </w:tc>
        <w:tc>
          <w:tcPr>
            <w:tcW w:w="2488" w:type="dxa"/>
            <w:vAlign w:val="top"/>
            <w:tcBorders>
              <w:left w:val="single" w:color="000000" w:sz="2" w:space="0"/>
              <w:right w:val="single" w:color="000000" w:sz="2" w:space="0"/>
            </w:tcBorders>
          </w:tcPr>
          <w:p>
            <w:pPr>
              <w:ind w:left="746"/>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4767084.00</w:t>
            </w:r>
          </w:p>
        </w:tc>
        <w:tc>
          <w:tcPr>
            <w:tcW w:w="1734" w:type="dxa"/>
            <w:vAlign w:val="top"/>
            <w:tcBorders>
              <w:left w:val="single" w:color="000000" w:sz="2" w:space="0"/>
              <w:right w:val="nil"/>
            </w:tcBorders>
          </w:tcPr>
          <w:p>
            <w:pPr>
              <w:rPr>
                <w:rFonts w:ascii="Arial"/>
                <w:sz w:val="21"/>
              </w:rPr>
            </w:pPr>
            <w:r/>
          </w:p>
        </w:tc>
      </w:tr>
    </w:tbl>
    <w:p>
      <w:pPr>
        <w:pStyle w:val="BodyText"/>
        <w:spacing w:line="369" w:lineRule="auto"/>
        <w:rPr/>
      </w:pPr>
      <w:r/>
    </w:p>
    <w:p>
      <w:pPr>
        <w:ind w:left="607"/>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）建设规模：项目现年开采萤石</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t</w:t>
      </w:r>
      <w:r>
        <w:rPr>
          <w:rFonts w:ascii="FangSong" w:hAnsi="FangSong" w:eastAsia="FangSong" w:cs="FangSong"/>
          <w:sz w:val="24"/>
          <w:szCs w:val="24"/>
          <w:spacing w:val="-3"/>
        </w:rPr>
        <w:t>。</w:t>
      </w:r>
    </w:p>
    <w:p>
      <w:pPr>
        <w:ind w:left="122" w:right="107" w:firstLine="485"/>
        <w:spacing w:before="177"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）开拓方案：根据矿体赋存状况、厚度、埋藏深度、开采技术条件、矿区地</w:t>
      </w:r>
      <w:r>
        <w:rPr>
          <w:rFonts w:ascii="FangSong" w:hAnsi="FangSong" w:eastAsia="FangSong" w:cs="FangSong"/>
          <w:sz w:val="24"/>
          <w:szCs w:val="24"/>
          <w:spacing w:val="-1"/>
        </w:rPr>
        <w:t>形及环保、生态以及矿山开采现状等因素，本矿采用竖井开采方式。</w:t>
      </w:r>
    </w:p>
    <w:p>
      <w:pPr>
        <w:ind w:left="128" w:right="159" w:firstLine="479"/>
        <w:spacing w:before="181" w:line="28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）劳动定员及工作制度：劳动定员</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人，其中管理</w:t>
      </w:r>
      <w:r>
        <w:rPr>
          <w:rFonts w:ascii="FangSong" w:hAnsi="FangSong" w:eastAsia="FangSong" w:cs="FangSong"/>
          <w:sz w:val="24"/>
          <w:szCs w:val="24"/>
          <w:spacing w:val="-3"/>
        </w:rPr>
        <w:t>人员及技术人员</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人，</w:t>
      </w:r>
      <w:r>
        <w:rPr>
          <w:rFonts w:ascii="FangSong" w:hAnsi="FangSong" w:eastAsia="FangSong" w:cs="FangSong"/>
          <w:sz w:val="24"/>
          <w:szCs w:val="24"/>
          <w:spacing w:val="-5"/>
        </w:rPr>
        <w:t>工人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5"/>
        </w:rPr>
        <w:t>人。工作制度为年工作</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200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天，实行</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5"/>
        </w:rPr>
        <w:t>班制，每班工作</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小时。</w:t>
      </w:r>
    </w:p>
    <w:p>
      <w:pPr>
        <w:ind w:left="102" w:right="104" w:firstLine="505"/>
        <w:spacing w:before="180" w:line="325"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w:t>
      </w:r>
      <w:r>
        <w:rPr>
          <w:rFonts w:ascii="FangSong" w:hAnsi="FangSong" w:eastAsia="FangSong" w:cs="FangSong"/>
          <w:sz w:val="24"/>
          <w:szCs w:val="24"/>
          <w:spacing w:val="-6"/>
        </w:rPr>
        <w:t>）环保手续情况：该项目由原苏尼特右旗环境保护局于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6"/>
        </w:rPr>
        <w:t>2015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19  </w:t>
      </w:r>
      <w:r>
        <w:rPr>
          <w:rFonts w:ascii="FangSong" w:hAnsi="FangSong" w:eastAsia="FangSong" w:cs="FangSong"/>
          <w:sz w:val="24"/>
          <w:szCs w:val="24"/>
          <w:spacing w:val="-7"/>
        </w:rPr>
        <w:t>日以</w:t>
      </w:r>
      <w:r>
        <w:rPr>
          <w:rFonts w:ascii="FangSong" w:hAnsi="FangSong" w:eastAsia="FangSong" w:cs="FangSong"/>
          <w:sz w:val="24"/>
          <w:szCs w:val="24"/>
          <w:spacing w:val="2"/>
        </w:rPr>
        <w:t>“苏右环审表【</w:t>
      </w:r>
      <w:r>
        <w:rPr>
          <w:rFonts w:ascii="Times New Roman" w:hAnsi="Times New Roman" w:eastAsia="Times New Roman" w:cs="Times New Roman"/>
          <w:sz w:val="24"/>
          <w:szCs w:val="24"/>
          <w:spacing w:val="2"/>
        </w:rPr>
        <w:t>2015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号</w:t>
      </w:r>
      <w:r>
        <w:rPr>
          <w:rFonts w:ascii="FangSong" w:hAnsi="FangSong" w:eastAsia="FangSong" w:cs="FangSong"/>
          <w:sz w:val="24"/>
          <w:szCs w:val="24"/>
          <w:spacing w:val="-86"/>
        </w:rPr>
        <w:t xml:space="preserve"> </w:t>
      </w:r>
      <w:r>
        <w:rPr>
          <w:rFonts w:ascii="FangSong" w:hAnsi="FangSong" w:eastAsia="FangSong" w:cs="FangSong"/>
          <w:sz w:val="24"/>
          <w:szCs w:val="24"/>
          <w:spacing w:val="2"/>
        </w:rPr>
        <w:t>”文进行了《苏尼</w:t>
      </w:r>
      <w:r>
        <w:rPr>
          <w:rFonts w:ascii="FangSong" w:hAnsi="FangSong" w:eastAsia="FangSong" w:cs="FangSong"/>
          <w:sz w:val="24"/>
          <w:szCs w:val="24"/>
          <w:spacing w:val="1"/>
        </w:rPr>
        <w:t>特右旗环境保护局苏尼特右旗桑宝力</w:t>
      </w:r>
      <w:r>
        <w:rPr>
          <w:rFonts w:ascii="FangSong" w:hAnsi="FangSong" w:eastAsia="FangSong" w:cs="FangSong"/>
          <w:sz w:val="24"/>
          <w:szCs w:val="24"/>
          <w:spacing w:val="1"/>
        </w:rPr>
        <w:t>嘎额尔登塔拉萤石矿年开采</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万吨萤石扩建项目环境影响报</w:t>
      </w:r>
      <w:r>
        <w:rPr>
          <w:rFonts w:ascii="FangSong" w:hAnsi="FangSong" w:eastAsia="FangSong" w:cs="FangSong"/>
          <w:sz w:val="24"/>
          <w:szCs w:val="24"/>
        </w:rPr>
        <w:t>告表的批复》，具体批</w:t>
      </w:r>
      <w:r>
        <w:rPr>
          <w:rFonts w:ascii="FangSong" w:hAnsi="FangSong" w:eastAsia="FangSong" w:cs="FangSong"/>
          <w:sz w:val="24"/>
          <w:szCs w:val="24"/>
        </w:rPr>
        <w:t>复内容见附件。</w:t>
      </w:r>
    </w:p>
    <w:p>
      <w:pPr>
        <w:ind w:left="111"/>
        <w:spacing w:before="185" w:line="222" w:lineRule="auto"/>
        <w:outlineLvl w:val="1"/>
        <w:rPr>
          <w:rFonts w:ascii="FangSong" w:hAnsi="FangSong" w:eastAsia="FangSong" w:cs="FangSong"/>
          <w:sz w:val="28"/>
          <w:szCs w:val="28"/>
        </w:rPr>
      </w:pPr>
      <w:bookmarkStart w:name="bookmark95" w:id="131"/>
      <w:bookmarkEnd w:id="131"/>
      <w:bookmarkStart w:name="bookmark97" w:id="132"/>
      <w:bookmarkEnd w:id="132"/>
      <w:bookmarkStart w:name="bookmark94" w:id="133"/>
      <w:bookmarkEnd w:id="133"/>
      <w:bookmarkStart w:name="bookmark96" w:id="134"/>
      <w:bookmarkEnd w:id="134"/>
      <w:r>
        <w:rPr>
          <w:rFonts w:ascii="Times New Roman" w:hAnsi="Times New Roman" w:eastAsia="Times New Roman" w:cs="Times New Roman"/>
          <w:sz w:val="28"/>
          <w:szCs w:val="28"/>
          <w:b/>
          <w:bCs/>
          <w:spacing w:val="-5"/>
        </w:rPr>
        <w:t>3.2</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5"/>
        </w:rPr>
        <w:t>变更前建设内容</w:t>
      </w:r>
    </w:p>
    <w:p>
      <w:pPr>
        <w:ind w:left="110"/>
        <w:spacing w:before="202" w:line="222" w:lineRule="auto"/>
        <w:outlineLvl w:val="2"/>
        <w:rPr>
          <w:rFonts w:ascii="FangSong" w:hAnsi="FangSong" w:eastAsia="FangSong" w:cs="FangSong"/>
          <w:sz w:val="24"/>
          <w:szCs w:val="24"/>
        </w:rPr>
      </w:pPr>
      <w:bookmarkStart w:name="bookmark527" w:id="135"/>
      <w:bookmarkEnd w:id="135"/>
      <w:r>
        <w:rPr>
          <w:rFonts w:ascii="Times New Roman" w:hAnsi="Times New Roman" w:eastAsia="Times New Roman" w:cs="Times New Roman"/>
          <w:sz w:val="24"/>
          <w:szCs w:val="24"/>
          <w:b/>
          <w:bCs/>
          <w:spacing w:val="-4"/>
        </w:rPr>
        <w:t>3.2.1</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4"/>
        </w:rPr>
        <w:t>工程内容</w:t>
      </w:r>
    </w:p>
    <w:p>
      <w:pPr>
        <w:ind w:left="110"/>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3.2.1.1</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3"/>
        </w:rPr>
        <w:t>主要工程内容</w:t>
      </w:r>
    </w:p>
    <w:p>
      <w:pPr>
        <w:ind w:left="610"/>
        <w:spacing w:before="177" w:line="222" w:lineRule="auto"/>
        <w:rPr>
          <w:rFonts w:ascii="FangSong" w:hAnsi="FangSong" w:eastAsia="FangSong" w:cs="FangSong"/>
          <w:sz w:val="24"/>
          <w:szCs w:val="24"/>
        </w:rPr>
      </w:pPr>
      <w:r>
        <w:rPr>
          <w:rFonts w:ascii="FangSong" w:hAnsi="FangSong" w:eastAsia="FangSong" w:cs="FangSong"/>
          <w:sz w:val="24"/>
          <w:szCs w:val="24"/>
          <w:spacing w:val="-3"/>
        </w:rPr>
        <w:t>变更前工程组成见表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3.2-1</w:t>
      </w:r>
      <w:r>
        <w:rPr>
          <w:rFonts w:ascii="FangSong" w:hAnsi="FangSong" w:eastAsia="FangSong" w:cs="FangSong"/>
          <w:sz w:val="24"/>
          <w:szCs w:val="24"/>
          <w:spacing w:val="-3"/>
        </w:rPr>
        <w:t>。</w:t>
      </w:r>
    </w:p>
    <w:p>
      <w:pPr>
        <w:ind w:left="2565"/>
        <w:spacing w:before="179"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3.2-1  </w:t>
      </w:r>
      <w:r>
        <w:rPr>
          <w:rFonts w:ascii="FangSong" w:hAnsi="FangSong" w:eastAsia="FangSong" w:cs="FangSong"/>
          <w:sz w:val="24"/>
          <w:szCs w:val="24"/>
          <w:b/>
          <w:bCs/>
          <w:spacing w:val="-3"/>
        </w:rPr>
        <w:t>变更前工程组成情况一览表</w:t>
      </w:r>
    </w:p>
    <w:p>
      <w:pPr>
        <w:spacing w:line="142" w:lineRule="exact"/>
        <w:rPr/>
      </w:pPr>
      <w:r/>
    </w:p>
    <w:tbl>
      <w:tblPr>
        <w:tblStyle w:val="TableNormal"/>
        <w:tblW w:w="89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453"/>
        <w:gridCol w:w="3435"/>
        <w:gridCol w:w="1403"/>
        <w:gridCol w:w="1403"/>
      </w:tblGrid>
      <w:tr>
        <w:trPr>
          <w:trHeight w:val="552" w:hRule="atLeast"/>
        </w:trPr>
        <w:tc>
          <w:tcPr>
            <w:tcW w:w="2668" w:type="dxa"/>
            <w:vAlign w:val="top"/>
            <w:gridSpan w:val="2"/>
            <w:tcBorders>
              <w:top w:val="single" w:color="000000" w:sz="10" w:space="0"/>
              <w:left w:val="nil"/>
            </w:tcBorders>
          </w:tcPr>
          <w:p>
            <w:pPr>
              <w:pStyle w:val="TableText"/>
              <w:ind w:left="1138"/>
              <w:spacing w:before="171" w:line="232" w:lineRule="auto"/>
              <w:rPr/>
            </w:pPr>
            <w:r>
              <w:rPr>
                <w:spacing w:val="1"/>
              </w:rPr>
              <w:t>项目</w:t>
            </w:r>
          </w:p>
        </w:tc>
        <w:tc>
          <w:tcPr>
            <w:tcW w:w="3435" w:type="dxa"/>
            <w:vAlign w:val="top"/>
            <w:tcBorders>
              <w:top w:val="single" w:color="000000" w:sz="10" w:space="0"/>
            </w:tcBorders>
          </w:tcPr>
          <w:p>
            <w:pPr>
              <w:pStyle w:val="TableText"/>
              <w:ind w:left="1543"/>
              <w:spacing w:before="170" w:line="231" w:lineRule="auto"/>
              <w:rPr/>
            </w:pPr>
            <w:r>
              <w:rPr>
                <w:spacing w:val="-11"/>
              </w:rPr>
              <w:t>内容</w:t>
            </w:r>
          </w:p>
        </w:tc>
        <w:tc>
          <w:tcPr>
            <w:tcW w:w="1403" w:type="dxa"/>
            <w:vAlign w:val="top"/>
            <w:tcBorders>
              <w:top w:val="single" w:color="000000" w:sz="10" w:space="0"/>
            </w:tcBorders>
          </w:tcPr>
          <w:p>
            <w:pPr>
              <w:pStyle w:val="TableText"/>
              <w:ind w:left="503"/>
              <w:spacing w:before="171" w:line="233" w:lineRule="auto"/>
              <w:rPr/>
            </w:pPr>
            <w:r>
              <w:rPr>
                <w:spacing w:val="1"/>
              </w:rPr>
              <w:t>备注</w:t>
            </w:r>
          </w:p>
        </w:tc>
        <w:tc>
          <w:tcPr>
            <w:tcW w:w="1403" w:type="dxa"/>
            <w:vAlign w:val="top"/>
            <w:tcBorders>
              <w:top w:val="single" w:color="000000" w:sz="10" w:space="0"/>
              <w:right w:val="nil"/>
            </w:tcBorders>
          </w:tcPr>
          <w:p>
            <w:pPr>
              <w:pStyle w:val="TableText"/>
              <w:ind w:left="606" w:right="179" w:hanging="416"/>
              <w:spacing w:before="37" w:line="233" w:lineRule="auto"/>
              <w:rPr/>
            </w:pPr>
            <w:r>
              <w:rPr>
                <w:spacing w:val="6"/>
              </w:rPr>
              <w:t>实际建设情</w:t>
            </w:r>
            <w:r>
              <w:rPr/>
              <w:t>况</w:t>
            </w:r>
          </w:p>
        </w:tc>
      </w:tr>
      <w:tr>
        <w:trPr>
          <w:trHeight w:val="3530" w:hRule="atLeast"/>
        </w:trPr>
        <w:tc>
          <w:tcPr>
            <w:tcW w:w="1215" w:type="dxa"/>
            <w:vAlign w:val="top"/>
            <w:tcBorders>
              <w:left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05"/>
              <w:spacing w:before="65" w:line="231" w:lineRule="auto"/>
              <w:rPr/>
            </w:pPr>
            <w:r>
              <w:rPr>
                <w:spacing w:val="4"/>
              </w:rPr>
              <w:t>主体工程</w:t>
            </w:r>
          </w:p>
        </w:tc>
        <w:tc>
          <w:tcPr>
            <w:tcW w:w="145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423"/>
              <w:spacing w:before="65" w:line="231" w:lineRule="auto"/>
              <w:rPr/>
            </w:pPr>
            <w:r>
              <w:rPr>
                <w:spacing w:val="4"/>
              </w:rPr>
              <w:t>采矿区</w:t>
            </w:r>
          </w:p>
        </w:tc>
        <w:tc>
          <w:tcPr>
            <w:tcW w:w="3435" w:type="dxa"/>
            <w:vAlign w:val="top"/>
          </w:tcPr>
          <w:p>
            <w:pPr>
              <w:pStyle w:val="TableText"/>
              <w:ind w:left="118" w:right="38" w:firstLine="426"/>
              <w:spacing w:before="36" w:line="251" w:lineRule="auto"/>
              <w:jc w:val="both"/>
              <w:rPr/>
            </w:pPr>
            <w:r>
              <w:rPr>
                <w:spacing w:val="6"/>
              </w:rPr>
              <w:t>主竖井（</w:t>
            </w:r>
            <w:r>
              <w:rPr>
                <w:rFonts w:ascii="Times New Roman" w:hAnsi="Times New Roman" w:eastAsia="Times New Roman" w:cs="Times New Roman"/>
              </w:rPr>
              <w:t>SJ</w:t>
            </w:r>
            <w:r>
              <w:rPr>
                <w:rFonts w:ascii="Times New Roman" w:hAnsi="Times New Roman" w:eastAsia="Times New Roman" w:cs="Times New Roman"/>
                <w:spacing w:val="6"/>
              </w:rPr>
              <w:t>1</w:t>
            </w:r>
            <w:r>
              <w:rPr>
                <w:spacing w:val="10"/>
              </w:rPr>
              <w:t>）：</w:t>
            </w:r>
            <w:r>
              <w:rPr>
                <w:spacing w:val="6"/>
              </w:rPr>
              <w:t>位于矿体南侧</w:t>
            </w:r>
            <w:r>
              <w:rPr>
                <w:spacing w:val="13"/>
              </w:rPr>
              <w:t>东翼；进风井，井口设卷扬；规格</w:t>
            </w:r>
            <w:r>
              <w:rPr>
                <w:spacing w:val="5"/>
              </w:rPr>
              <w:t>为</w:t>
            </w:r>
            <w:r>
              <w:rPr>
                <w:spacing w:val="-31"/>
              </w:rPr>
              <w:t xml:space="preserve"> </w:t>
            </w:r>
            <w:r>
              <w:rPr>
                <w:rFonts w:ascii="Times New Roman" w:hAnsi="Times New Roman" w:eastAsia="Times New Roman" w:cs="Times New Roman"/>
                <w:spacing w:val="5"/>
              </w:rPr>
              <w:t>2.4m×2.6m</w:t>
            </w:r>
            <w:r>
              <w:rPr>
                <w:rFonts w:ascii="Times New Roman" w:hAnsi="Times New Roman" w:eastAsia="Times New Roman" w:cs="Times New Roman"/>
                <w:spacing w:val="-11"/>
              </w:rPr>
              <w:t xml:space="preserve"> </w:t>
            </w:r>
            <w:r>
              <w:rPr>
                <w:spacing w:val="5"/>
              </w:rPr>
              <w:t>，井筒深</w:t>
            </w:r>
            <w:r>
              <w:rPr>
                <w:spacing w:val="-23"/>
              </w:rPr>
              <w:t xml:space="preserve"> </w:t>
            </w:r>
            <w:r>
              <w:rPr>
                <w:rFonts w:ascii="Times New Roman" w:hAnsi="Times New Roman" w:eastAsia="Times New Roman" w:cs="Times New Roman"/>
                <w:spacing w:val="5"/>
              </w:rPr>
              <w:t>80m</w:t>
            </w:r>
            <w:r>
              <w:rPr>
                <w:rFonts w:ascii="Times New Roman" w:hAnsi="Times New Roman" w:eastAsia="Times New Roman" w:cs="Times New Roman"/>
                <w:spacing w:val="-11"/>
              </w:rPr>
              <w:t xml:space="preserve"> </w:t>
            </w:r>
            <w:r>
              <w:rPr>
                <w:spacing w:val="5"/>
              </w:rPr>
              <w:t>，主要</w:t>
            </w:r>
            <w:r>
              <w:rPr>
                <w:spacing w:val="4"/>
              </w:rPr>
              <w:t>承担矿石、废石的运输任务及材料、</w:t>
            </w:r>
            <w:r>
              <w:rPr>
                <w:spacing w:val="13"/>
              </w:rPr>
              <w:t>设备、人员的出入，其次兼作进风</w:t>
            </w:r>
            <w:r>
              <w:rPr>
                <w:spacing w:val="-3"/>
              </w:rPr>
              <w:t>井。</w:t>
            </w:r>
          </w:p>
          <w:p>
            <w:pPr>
              <w:pStyle w:val="TableText"/>
              <w:ind w:left="118" w:right="33" w:firstLine="446"/>
              <w:spacing w:before="1" w:line="250" w:lineRule="auto"/>
              <w:jc w:val="both"/>
              <w:rPr/>
            </w:pPr>
            <w:r>
              <w:rPr>
                <w:spacing w:val="-2"/>
              </w:rPr>
              <w:t>回风井（</w:t>
            </w:r>
            <w:r>
              <w:rPr>
                <w:rFonts w:ascii="Times New Roman" w:hAnsi="Times New Roman" w:eastAsia="Times New Roman" w:cs="Times New Roman"/>
                <w:spacing w:val="-2"/>
              </w:rPr>
              <w:t>SJ2</w:t>
            </w:r>
            <w:r>
              <w:rPr>
                <w:spacing w:val="5"/>
              </w:rPr>
              <w:t>）：</w:t>
            </w:r>
            <w:r>
              <w:rPr>
                <w:spacing w:val="-58"/>
              </w:rPr>
              <w:t xml:space="preserve"> </w:t>
            </w:r>
            <w:r>
              <w:rPr>
                <w:spacing w:val="-2"/>
              </w:rPr>
              <w:t>回风井，</w:t>
            </w:r>
            <w:r>
              <w:rPr>
                <w:spacing w:val="-60"/>
              </w:rPr>
              <w:t xml:space="preserve"> </w:t>
            </w:r>
            <w:r>
              <w:rPr>
                <w:spacing w:val="-2"/>
              </w:rPr>
              <w:t>内设</w:t>
            </w:r>
            <w:r>
              <w:rPr>
                <w:spacing w:val="9"/>
              </w:rPr>
              <w:t>梯子间兼作安全出</w:t>
            </w:r>
            <w:r>
              <w:rPr>
                <w:spacing w:val="-31"/>
              </w:rPr>
              <w:t xml:space="preserve"> </w:t>
            </w:r>
            <w:r>
              <w:rPr>
                <w:spacing w:val="9"/>
              </w:rPr>
              <w:t>口。位于矿体北</w:t>
            </w:r>
            <w:r>
              <w:rPr>
                <w:spacing w:val="-4"/>
              </w:rPr>
              <w:t>侧西翼，井筒直径</w:t>
            </w:r>
            <w:r>
              <w:rPr>
                <w:spacing w:val="-22"/>
              </w:rPr>
              <w:t xml:space="preserve"> </w:t>
            </w:r>
            <w:r>
              <w:rPr>
                <w:rFonts w:ascii="Times New Roman" w:hAnsi="Times New Roman" w:eastAsia="Times New Roman" w:cs="Times New Roman"/>
                <w:spacing w:val="-4"/>
              </w:rPr>
              <w:t>3m</w:t>
            </w:r>
            <w:r>
              <w:rPr>
                <w:spacing w:val="-4"/>
              </w:rPr>
              <w:t>，井垂深</w:t>
            </w:r>
            <w:r>
              <w:rPr>
                <w:spacing w:val="-40"/>
              </w:rPr>
              <w:t xml:space="preserve"> </w:t>
            </w:r>
            <w:r>
              <w:rPr>
                <w:rFonts w:ascii="Times New Roman" w:hAnsi="Times New Roman" w:eastAsia="Times New Roman" w:cs="Times New Roman"/>
                <w:spacing w:val="-4"/>
              </w:rPr>
              <w:t>70m</w:t>
            </w:r>
            <w:r>
              <w:rPr>
                <w:spacing w:val="-4"/>
              </w:rPr>
              <w:t>。</w:t>
            </w:r>
          </w:p>
          <w:p>
            <w:pPr>
              <w:pStyle w:val="TableText"/>
              <w:ind w:left="120" w:right="14" w:firstLine="418"/>
              <w:spacing w:before="1" w:line="239" w:lineRule="auto"/>
              <w:jc w:val="both"/>
              <w:rPr/>
            </w:pPr>
            <w:r>
              <w:rPr>
                <w:spacing w:val="6"/>
              </w:rPr>
              <w:t>矿体设三个中段</w:t>
            </w:r>
            <w:r>
              <w:rPr>
                <w:spacing w:val="-40"/>
              </w:rPr>
              <w:t xml:space="preserve"> </w:t>
            </w:r>
            <w:r>
              <w:rPr>
                <w:spacing w:val="6"/>
              </w:rPr>
              <w:t>，</w:t>
            </w:r>
            <w:r>
              <w:rPr>
                <w:spacing w:val="72"/>
              </w:rPr>
              <w:t xml:space="preserve"> </w:t>
            </w:r>
            <w:r>
              <w:rPr>
                <w:rFonts w:ascii="Times New Roman" w:hAnsi="Times New Roman" w:eastAsia="Times New Roman" w:cs="Times New Roman"/>
                <w:spacing w:val="6"/>
              </w:rPr>
              <w:t>1020m  </w:t>
            </w:r>
            <w:r>
              <w:rPr>
                <w:spacing w:val="6"/>
              </w:rPr>
              <w:t>中</w:t>
            </w:r>
            <w:r>
              <w:rPr>
                <w:spacing w:val="7"/>
              </w:rPr>
              <w:t>段、</w:t>
            </w:r>
            <w:r>
              <w:rPr>
                <w:rFonts w:ascii="Times New Roman" w:hAnsi="Times New Roman" w:eastAsia="Times New Roman" w:cs="Times New Roman"/>
                <w:spacing w:val="7"/>
              </w:rPr>
              <w:t>1000</w:t>
            </w:r>
            <w:r>
              <w:rPr>
                <w:rFonts w:ascii="Times New Roman" w:hAnsi="Times New Roman" w:eastAsia="Times New Roman" w:cs="Times New Roman"/>
                <w:spacing w:val="47"/>
              </w:rPr>
              <w:t xml:space="preserve"> </w:t>
            </w:r>
            <w:r>
              <w:rPr>
                <w:spacing w:val="7"/>
              </w:rPr>
              <w:t>中段、</w:t>
            </w:r>
            <w:r>
              <w:rPr>
                <w:rFonts w:ascii="Times New Roman" w:hAnsi="Times New Roman" w:eastAsia="Times New Roman" w:cs="Times New Roman"/>
                <w:spacing w:val="7"/>
              </w:rPr>
              <w:t>970</w:t>
            </w:r>
            <w:r>
              <w:rPr>
                <w:rFonts w:ascii="Times New Roman" w:hAnsi="Times New Roman" w:eastAsia="Times New Roman" w:cs="Times New Roman"/>
                <w:spacing w:val="47"/>
              </w:rPr>
              <w:t xml:space="preserve"> </w:t>
            </w:r>
            <w:r>
              <w:rPr>
                <w:spacing w:val="7"/>
              </w:rPr>
              <w:t>中段。沿脉，</w:t>
            </w:r>
            <w:r>
              <w:rPr/>
              <w:t>主运巷道，井底连通主竖井（</w:t>
            </w:r>
            <w:r>
              <w:rPr>
                <w:rFonts w:ascii="Times New Roman" w:hAnsi="Times New Roman" w:eastAsia="Times New Roman" w:cs="Times New Roman"/>
              </w:rPr>
              <w:t>SJ1</w:t>
            </w:r>
            <w:r>
              <w:rPr/>
              <w:t>）、</w:t>
            </w:r>
            <w:r>
              <w:rPr>
                <w:spacing w:val="5"/>
              </w:rPr>
              <w:t>回风井（</w:t>
            </w:r>
            <w:r>
              <w:rPr>
                <w:rFonts w:ascii="Times New Roman" w:hAnsi="Times New Roman" w:eastAsia="Times New Roman" w:cs="Times New Roman"/>
              </w:rPr>
              <w:t>SJ</w:t>
            </w:r>
            <w:r>
              <w:rPr>
                <w:rFonts w:ascii="Times New Roman" w:hAnsi="Times New Roman" w:eastAsia="Times New Roman" w:cs="Times New Roman"/>
                <w:spacing w:val="5"/>
              </w:rPr>
              <w:t>2</w:t>
            </w:r>
            <w:r>
              <w:rPr>
                <w:spacing w:val="5"/>
              </w:rPr>
              <w:t>）。</w:t>
            </w:r>
          </w:p>
        </w:tc>
        <w:tc>
          <w:tcPr>
            <w:tcW w:w="1403" w:type="dxa"/>
            <w:vAlign w:val="top"/>
          </w:tcPr>
          <w:p>
            <w:pPr>
              <w:rPr>
                <w:rFonts w:ascii="Arial"/>
                <w:sz w:val="21"/>
              </w:rPr>
            </w:pPr>
            <w:r/>
          </w:p>
        </w:tc>
        <w:tc>
          <w:tcPr>
            <w:tcW w:w="1403" w:type="dxa"/>
            <w:vAlign w:val="top"/>
            <w:tcBorders>
              <w:right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399"/>
              <w:spacing w:before="65" w:line="231" w:lineRule="auto"/>
              <w:rPr/>
            </w:pPr>
            <w:r>
              <w:rPr>
                <w:spacing w:val="4"/>
              </w:rPr>
              <w:t>未建设</w:t>
            </w:r>
          </w:p>
        </w:tc>
      </w:tr>
      <w:tr>
        <w:trPr>
          <w:trHeight w:val="818" w:hRule="atLeast"/>
        </w:trPr>
        <w:tc>
          <w:tcPr>
            <w:tcW w:w="1215" w:type="dxa"/>
            <w:vAlign w:val="top"/>
            <w:vMerge w:val="restart"/>
            <w:tcBorders>
              <w:bottom w:val="nil"/>
              <w:left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198"/>
              <w:spacing w:before="65" w:line="229" w:lineRule="auto"/>
              <w:rPr/>
            </w:pPr>
            <w:r>
              <w:rPr>
                <w:spacing w:val="6"/>
              </w:rPr>
              <w:t>辅助工程</w:t>
            </w:r>
          </w:p>
        </w:tc>
        <w:tc>
          <w:tcPr>
            <w:tcW w:w="1453" w:type="dxa"/>
            <w:vAlign w:val="top"/>
          </w:tcPr>
          <w:p>
            <w:pPr>
              <w:spacing w:line="255" w:lineRule="auto"/>
              <w:rPr>
                <w:rFonts w:ascii="Arial"/>
                <w:sz w:val="21"/>
              </w:rPr>
            </w:pPr>
            <w:r/>
          </w:p>
          <w:p>
            <w:pPr>
              <w:pStyle w:val="TableText"/>
              <w:ind w:left="316"/>
              <w:spacing w:before="65" w:line="232" w:lineRule="auto"/>
              <w:rPr/>
            </w:pPr>
            <w:r>
              <w:rPr>
                <w:spacing w:val="5"/>
              </w:rPr>
              <w:t>矿山道路</w:t>
            </w:r>
          </w:p>
        </w:tc>
        <w:tc>
          <w:tcPr>
            <w:tcW w:w="3435" w:type="dxa"/>
            <w:vAlign w:val="top"/>
          </w:tcPr>
          <w:p>
            <w:pPr>
              <w:pStyle w:val="TableText"/>
              <w:ind w:left="118" w:right="106" w:firstLine="420"/>
              <w:spacing w:before="47" w:line="234" w:lineRule="auto"/>
              <w:jc w:val="both"/>
              <w:rPr/>
            </w:pPr>
            <w:r>
              <w:rPr>
                <w:spacing w:val="-1"/>
              </w:rPr>
              <w:t>矿山道路长约</w:t>
            </w:r>
            <w:r>
              <w:rPr>
                <w:spacing w:val="-33"/>
              </w:rPr>
              <w:t xml:space="preserve"> </w:t>
            </w:r>
            <w:r>
              <w:rPr>
                <w:rFonts w:ascii="Times New Roman" w:hAnsi="Times New Roman" w:eastAsia="Times New Roman" w:cs="Times New Roman"/>
                <w:spacing w:val="-1"/>
              </w:rPr>
              <w:t>5km</w:t>
            </w:r>
            <w:r>
              <w:rPr>
                <w:rFonts w:ascii="Times New Roman" w:hAnsi="Times New Roman" w:eastAsia="Times New Roman" w:cs="Times New Roman"/>
                <w:spacing w:val="-21"/>
              </w:rPr>
              <w:t xml:space="preserve"> </w:t>
            </w:r>
            <w:r>
              <w:rPr>
                <w:spacing w:val="-1"/>
              </w:rPr>
              <w:t>，宽</w:t>
            </w:r>
            <w:r>
              <w:rPr>
                <w:spacing w:val="-38"/>
              </w:rPr>
              <w:t xml:space="preserve"> </w:t>
            </w:r>
            <w:r>
              <w:rPr>
                <w:rFonts w:ascii="Times New Roman" w:hAnsi="Times New Roman" w:eastAsia="Times New Roman" w:cs="Times New Roman"/>
                <w:spacing w:val="-1"/>
              </w:rPr>
              <w:t>6m</w:t>
            </w:r>
            <w:r>
              <w:rPr>
                <w:rFonts w:ascii="Times New Roman" w:hAnsi="Times New Roman" w:eastAsia="Times New Roman" w:cs="Times New Roman"/>
                <w:spacing w:val="-21"/>
              </w:rPr>
              <w:t xml:space="preserve"> </w:t>
            </w:r>
            <w:r>
              <w:rPr>
                <w:spacing w:val="-1"/>
              </w:rPr>
              <w:t>，为</w:t>
            </w:r>
            <w:r>
              <w:rPr>
                <w:spacing w:val="13"/>
              </w:rPr>
              <w:t>砂石路面。包括矿区内道路、场外</w:t>
            </w:r>
            <w:r>
              <w:rPr>
                <w:spacing w:val="2"/>
              </w:rPr>
              <w:t>道路</w:t>
            </w:r>
          </w:p>
        </w:tc>
        <w:tc>
          <w:tcPr>
            <w:tcW w:w="1403" w:type="dxa"/>
            <w:vAlign w:val="top"/>
          </w:tcPr>
          <w:p>
            <w:pPr>
              <w:rPr>
                <w:rFonts w:ascii="Arial"/>
                <w:sz w:val="21"/>
              </w:rPr>
            </w:pPr>
            <w:r/>
          </w:p>
        </w:tc>
        <w:tc>
          <w:tcPr>
            <w:tcW w:w="1403" w:type="dxa"/>
            <w:vAlign w:val="top"/>
            <w:tcBorders>
              <w:right w:val="nil"/>
            </w:tcBorders>
          </w:tcPr>
          <w:p>
            <w:pPr>
              <w:spacing w:line="255" w:lineRule="auto"/>
              <w:rPr>
                <w:rFonts w:ascii="Arial"/>
                <w:sz w:val="21"/>
              </w:rPr>
            </w:pPr>
            <w:r/>
          </w:p>
          <w:p>
            <w:pPr>
              <w:pStyle w:val="TableText"/>
              <w:ind w:left="399"/>
              <w:spacing w:before="65" w:line="231" w:lineRule="auto"/>
              <w:rPr/>
            </w:pPr>
            <w:r>
              <w:rPr>
                <w:spacing w:val="4"/>
              </w:rPr>
              <w:t>未建设</w:t>
            </w:r>
          </w:p>
        </w:tc>
      </w:tr>
      <w:tr>
        <w:trPr>
          <w:trHeight w:val="548" w:hRule="atLeast"/>
        </w:trPr>
        <w:tc>
          <w:tcPr>
            <w:tcW w:w="1215" w:type="dxa"/>
            <w:vAlign w:val="top"/>
            <w:vMerge w:val="continue"/>
            <w:tcBorders>
              <w:bottom w:val="nil"/>
              <w:left w:val="nil"/>
              <w:top w:val="nil"/>
            </w:tcBorders>
          </w:tcPr>
          <w:p>
            <w:pPr>
              <w:rPr>
                <w:rFonts w:ascii="Arial"/>
                <w:sz w:val="21"/>
              </w:rPr>
            </w:pPr>
            <w:r/>
          </w:p>
        </w:tc>
        <w:tc>
          <w:tcPr>
            <w:tcW w:w="1453" w:type="dxa"/>
            <w:vAlign w:val="top"/>
          </w:tcPr>
          <w:p>
            <w:pPr>
              <w:pStyle w:val="TableText"/>
              <w:ind w:left="428"/>
              <w:spacing w:before="188" w:line="233" w:lineRule="auto"/>
              <w:rPr/>
            </w:pPr>
            <w:r>
              <w:rPr>
                <w:spacing w:val="2"/>
              </w:rPr>
              <w:t>办公区</w:t>
            </w:r>
          </w:p>
        </w:tc>
        <w:tc>
          <w:tcPr>
            <w:tcW w:w="3435" w:type="dxa"/>
            <w:vAlign w:val="top"/>
          </w:tcPr>
          <w:p>
            <w:pPr>
              <w:pStyle w:val="TableText"/>
              <w:ind w:left="119" w:right="106" w:firstLine="425"/>
              <w:spacing w:before="52" w:line="224" w:lineRule="auto"/>
              <w:rPr>
                <w:rFonts w:ascii="Times New Roman" w:hAnsi="Times New Roman" w:eastAsia="Times New Roman" w:cs="Times New Roman"/>
              </w:rPr>
            </w:pPr>
            <w:r>
              <w:rPr>
                <w:spacing w:val="8"/>
              </w:rPr>
              <w:t>办公室、职工宿舍、食堂、</w:t>
            </w:r>
            <w:r>
              <w:rPr>
                <w:spacing w:val="-27"/>
              </w:rPr>
              <w:t xml:space="preserve"> </w:t>
            </w:r>
            <w:r>
              <w:rPr>
                <w:spacing w:val="8"/>
              </w:rPr>
              <w:t>占</w:t>
            </w:r>
            <w:r>
              <w:rPr>
                <w:spacing w:val="4"/>
              </w:rPr>
              <w:t>地面积</w:t>
            </w:r>
            <w:r>
              <w:rPr>
                <w:spacing w:val="-40"/>
              </w:rPr>
              <w:t xml:space="preserve"> </w:t>
            </w:r>
            <w:r>
              <w:rPr>
                <w:rFonts w:ascii="Times New Roman" w:hAnsi="Times New Roman" w:eastAsia="Times New Roman" w:cs="Times New Roman"/>
                <w:spacing w:val="4"/>
              </w:rPr>
              <w:t>200m2</w:t>
            </w:r>
          </w:p>
        </w:tc>
        <w:tc>
          <w:tcPr>
            <w:tcW w:w="1403" w:type="dxa"/>
            <w:vAlign w:val="top"/>
          </w:tcPr>
          <w:p>
            <w:pPr>
              <w:pStyle w:val="TableText"/>
              <w:ind w:left="407"/>
              <w:spacing w:before="188" w:line="229" w:lineRule="auto"/>
              <w:rPr/>
            </w:pPr>
            <w:r>
              <w:rPr>
                <w:spacing w:val="1"/>
              </w:rPr>
              <w:t>简易房</w:t>
            </w:r>
          </w:p>
        </w:tc>
        <w:tc>
          <w:tcPr>
            <w:tcW w:w="1403" w:type="dxa"/>
            <w:vAlign w:val="top"/>
            <w:tcBorders>
              <w:right w:val="nil"/>
            </w:tcBorders>
          </w:tcPr>
          <w:p>
            <w:pPr>
              <w:pStyle w:val="TableText"/>
              <w:ind w:left="399"/>
              <w:spacing w:before="187" w:line="231" w:lineRule="auto"/>
              <w:rPr/>
            </w:pPr>
            <w:r>
              <w:rPr>
                <w:spacing w:val="4"/>
              </w:rPr>
              <w:t>未建设</w:t>
            </w:r>
          </w:p>
        </w:tc>
      </w:tr>
      <w:tr>
        <w:trPr>
          <w:trHeight w:val="539" w:hRule="atLeast"/>
        </w:trPr>
        <w:tc>
          <w:tcPr>
            <w:tcW w:w="1215" w:type="dxa"/>
            <w:vAlign w:val="top"/>
            <w:vMerge w:val="continue"/>
            <w:tcBorders>
              <w:bottom w:val="single" w:color="000000" w:sz="10" w:space="0"/>
              <w:left w:val="nil"/>
              <w:top w:val="nil"/>
            </w:tcBorders>
          </w:tcPr>
          <w:p>
            <w:pPr>
              <w:rPr>
                <w:rFonts w:ascii="Arial"/>
                <w:sz w:val="21"/>
              </w:rPr>
            </w:pPr>
            <w:r/>
          </w:p>
        </w:tc>
        <w:tc>
          <w:tcPr>
            <w:tcW w:w="1453" w:type="dxa"/>
            <w:vAlign w:val="top"/>
            <w:tcBorders>
              <w:bottom w:val="single" w:color="000000" w:sz="10" w:space="0"/>
            </w:tcBorders>
          </w:tcPr>
          <w:p>
            <w:pPr>
              <w:pStyle w:val="TableText"/>
              <w:ind w:left="214"/>
              <w:spacing w:before="175" w:line="229" w:lineRule="auto"/>
              <w:rPr/>
            </w:pPr>
            <w:r>
              <w:rPr>
                <w:spacing w:val="6"/>
              </w:rPr>
              <w:t>其它辅助工</w:t>
            </w:r>
          </w:p>
        </w:tc>
        <w:tc>
          <w:tcPr>
            <w:tcW w:w="3435" w:type="dxa"/>
            <w:vAlign w:val="top"/>
            <w:tcBorders>
              <w:bottom w:val="single" w:color="000000" w:sz="10" w:space="0"/>
            </w:tcBorders>
          </w:tcPr>
          <w:p>
            <w:pPr>
              <w:pStyle w:val="TableText"/>
              <w:ind w:left="541"/>
              <w:spacing w:before="54" w:line="229" w:lineRule="auto"/>
              <w:rPr>
                <w:rFonts w:ascii="Times New Roman" w:hAnsi="Times New Roman" w:eastAsia="Times New Roman" w:cs="Times New Roman"/>
              </w:rPr>
            </w:pPr>
            <w:r>
              <w:rPr>
                <w:spacing w:val="1"/>
              </w:rPr>
              <w:t>废石场</w:t>
            </w:r>
            <w:r>
              <w:rPr>
                <w:spacing w:val="-8"/>
              </w:rPr>
              <w:t xml:space="preserve"> </w:t>
            </w:r>
            <w:r>
              <w:rPr>
                <w:rFonts w:ascii="Times New Roman" w:hAnsi="Times New Roman" w:eastAsia="Times New Roman" w:cs="Times New Roman"/>
                <w:spacing w:val="1"/>
              </w:rPr>
              <w:t>1000 m</w:t>
            </w:r>
            <w:r>
              <w:rPr>
                <w:rFonts w:ascii="Times New Roman" w:hAnsi="Times New Roman" w:eastAsia="Times New Roman" w:cs="Times New Roman"/>
                <w:sz w:val="13"/>
                <w:szCs w:val="13"/>
                <w:spacing w:val="1"/>
                <w:position w:val="6"/>
              </w:rPr>
              <w:t>2 </w:t>
            </w:r>
            <w:r>
              <w:rPr>
                <w:spacing w:val="1"/>
              </w:rPr>
              <w:t>、堆料堆场</w:t>
            </w:r>
            <w:r>
              <w:rPr>
                <w:spacing w:val="-32"/>
              </w:rPr>
              <w:t xml:space="preserve"> </w:t>
            </w:r>
            <w:r>
              <w:rPr>
                <w:rFonts w:ascii="Times New Roman" w:hAnsi="Times New Roman" w:eastAsia="Times New Roman" w:cs="Times New Roman"/>
                <w:spacing w:val="1"/>
              </w:rPr>
              <w:t>800</w:t>
            </w:r>
          </w:p>
          <w:p>
            <w:pPr>
              <w:ind w:left="270"/>
              <w:spacing w:before="25" w:line="80"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position w:val="-2"/>
              </w:rPr>
              <w:t>2</w:t>
            </w:r>
          </w:p>
          <w:p>
            <w:pPr>
              <w:ind w:left="106"/>
              <w:spacing w:line="12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2"/>
              </w:rPr>
              <w:t>m</w:t>
            </w:r>
          </w:p>
        </w:tc>
        <w:tc>
          <w:tcPr>
            <w:tcW w:w="1403" w:type="dxa"/>
            <w:vAlign w:val="top"/>
            <w:tcBorders>
              <w:bottom w:val="single" w:color="000000" w:sz="10" w:space="0"/>
            </w:tcBorders>
          </w:tcPr>
          <w:p>
            <w:pPr>
              <w:rPr>
                <w:rFonts w:ascii="Arial"/>
                <w:sz w:val="21"/>
              </w:rPr>
            </w:pPr>
            <w:r/>
          </w:p>
        </w:tc>
        <w:tc>
          <w:tcPr>
            <w:tcW w:w="1403" w:type="dxa"/>
            <w:vAlign w:val="top"/>
            <w:tcBorders>
              <w:bottom w:val="single" w:color="000000" w:sz="10" w:space="0"/>
              <w:right w:val="nil"/>
            </w:tcBorders>
          </w:tcPr>
          <w:p>
            <w:pPr>
              <w:pStyle w:val="TableText"/>
              <w:ind w:left="399"/>
              <w:spacing w:before="174" w:line="231" w:lineRule="auto"/>
              <w:rPr/>
            </w:pPr>
            <w:r>
              <w:rPr>
                <w:spacing w:val="4"/>
              </w:rPr>
              <w:t>未建设</w:t>
            </w:r>
          </w:p>
        </w:tc>
      </w:tr>
    </w:tbl>
    <w:p>
      <w:pPr>
        <w:pStyle w:val="BodyText"/>
        <w:rPr/>
      </w:pPr>
      <w:r/>
    </w:p>
    <w:p>
      <w:pPr>
        <w:sectPr>
          <w:footerReference w:type="default" r:id="rId87"/>
          <w:pgSz w:w="11911" w:h="16839"/>
          <w:pgMar w:top="400" w:right="1310" w:bottom="1146" w:left="1691" w:header="0" w:footer="984" w:gutter="0"/>
        </w:sectPr>
        <w:rPr/>
      </w:pPr>
    </w:p>
    <w:p>
      <w:pPr>
        <w:spacing w:before="19"/>
        <w:rPr/>
      </w:pPr>
      <w:r/>
    </w:p>
    <w:p>
      <w:pPr>
        <w:spacing w:before="19"/>
        <w:rPr/>
      </w:pPr>
      <w:r/>
    </w:p>
    <w:p>
      <w:pPr>
        <w:spacing w:before="18"/>
        <w:rPr/>
      </w:pPr>
      <w:r/>
    </w:p>
    <w:p>
      <w:pPr>
        <w:spacing w:before="18"/>
        <w:rPr/>
      </w:pPr>
      <w:r/>
    </w:p>
    <w:tbl>
      <w:tblPr>
        <w:tblStyle w:val="TableNormal"/>
        <w:tblW w:w="89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5"/>
        <w:gridCol w:w="1453"/>
        <w:gridCol w:w="3435"/>
        <w:gridCol w:w="1403"/>
        <w:gridCol w:w="1403"/>
      </w:tblGrid>
      <w:tr>
        <w:trPr>
          <w:trHeight w:val="542" w:hRule="atLeast"/>
        </w:trPr>
        <w:tc>
          <w:tcPr>
            <w:tcW w:w="1215" w:type="dxa"/>
            <w:vAlign w:val="top"/>
            <w:vMerge w:val="restart"/>
            <w:tcBorders>
              <w:top w:val="single" w:color="000000" w:sz="10" w:space="0"/>
              <w:left w:val="nil"/>
              <w:bottom w:val="nil"/>
            </w:tcBorders>
          </w:tcPr>
          <w:p>
            <w:pPr>
              <w:spacing w:line="381" w:lineRule="auto"/>
              <w:rPr>
                <w:rFonts w:ascii="Arial"/>
                <w:sz w:val="21"/>
              </w:rPr>
            </w:pPr>
            <w:r/>
          </w:p>
          <w:p>
            <w:pPr>
              <w:pStyle w:val="TableText"/>
              <w:ind w:left="203"/>
              <w:spacing w:before="65" w:line="232" w:lineRule="auto"/>
              <w:rPr/>
            </w:pPr>
            <w:bookmarkStart w:name="bookmark528" w:id="136"/>
            <w:bookmarkEnd w:id="136"/>
            <w:r>
              <w:rPr>
                <w:spacing w:val="4"/>
              </w:rPr>
              <w:t>公用工程</w:t>
            </w:r>
          </w:p>
        </w:tc>
        <w:tc>
          <w:tcPr>
            <w:tcW w:w="1453" w:type="dxa"/>
            <w:vAlign w:val="top"/>
            <w:tcBorders>
              <w:top w:val="single" w:color="000000" w:sz="10" w:space="0"/>
            </w:tcBorders>
          </w:tcPr>
          <w:p>
            <w:pPr>
              <w:pStyle w:val="TableText"/>
              <w:ind w:left="339"/>
              <w:spacing w:before="167" w:line="232" w:lineRule="auto"/>
              <w:rPr/>
            </w:pPr>
            <w:r>
              <w:rPr/>
              <w:t>电气工程</w:t>
            </w:r>
          </w:p>
        </w:tc>
        <w:tc>
          <w:tcPr>
            <w:tcW w:w="3435" w:type="dxa"/>
            <w:vAlign w:val="top"/>
            <w:tcBorders>
              <w:top w:val="single" w:color="000000" w:sz="10" w:space="0"/>
            </w:tcBorders>
          </w:tcPr>
          <w:p>
            <w:pPr>
              <w:pStyle w:val="TableText"/>
              <w:ind w:left="538"/>
              <w:spacing w:before="168" w:line="233" w:lineRule="auto"/>
              <w:rPr/>
            </w:pPr>
            <w:r>
              <w:rPr>
                <w:rFonts w:ascii="Times New Roman" w:hAnsi="Times New Roman" w:eastAsia="Times New Roman" w:cs="Times New Roman"/>
                <w:spacing w:val="2"/>
              </w:rPr>
              <w:t>S11-150</w:t>
            </w:r>
            <w:r>
              <w:rPr>
                <w:rFonts w:ascii="Times New Roman" w:hAnsi="Times New Roman" w:eastAsia="Times New Roman" w:cs="Times New Roman"/>
                <w:spacing w:val="22"/>
                <w:w w:val="101"/>
              </w:rPr>
              <w:t xml:space="preserve"> </w:t>
            </w:r>
            <w:r>
              <w:rPr>
                <w:spacing w:val="2"/>
              </w:rPr>
              <w:t>变压器</w:t>
            </w:r>
          </w:p>
        </w:tc>
        <w:tc>
          <w:tcPr>
            <w:tcW w:w="1403" w:type="dxa"/>
            <w:vAlign w:val="top"/>
            <w:tcBorders>
              <w:top w:val="single" w:color="000000" w:sz="10" w:space="0"/>
            </w:tcBorders>
          </w:tcPr>
          <w:p>
            <w:pPr>
              <w:ind w:left="414"/>
              <w:spacing w:before="2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50</w:t>
            </w:r>
            <w:r>
              <w:rPr>
                <w:rFonts w:ascii="Times New Roman" w:hAnsi="Times New Roman" w:eastAsia="Times New Roman" w:cs="Times New Roman"/>
                <w:sz w:val="20"/>
                <w:szCs w:val="20"/>
              </w:rPr>
              <w:t>kVA</w:t>
            </w:r>
          </w:p>
        </w:tc>
        <w:tc>
          <w:tcPr>
            <w:tcW w:w="1403" w:type="dxa"/>
            <w:vAlign w:val="top"/>
            <w:tcBorders>
              <w:top w:val="single" w:color="000000" w:sz="10" w:space="0"/>
              <w:right w:val="nil"/>
            </w:tcBorders>
          </w:tcPr>
          <w:p>
            <w:pPr>
              <w:pStyle w:val="TableText"/>
              <w:ind w:left="399"/>
              <w:spacing w:before="168" w:line="231" w:lineRule="auto"/>
              <w:rPr/>
            </w:pPr>
            <w:r>
              <w:rPr>
                <w:spacing w:val="4"/>
              </w:rPr>
              <w:t>未建设</w:t>
            </w:r>
          </w:p>
        </w:tc>
      </w:tr>
      <w:tr>
        <w:trPr>
          <w:trHeight w:val="275" w:hRule="atLeast"/>
        </w:trPr>
        <w:tc>
          <w:tcPr>
            <w:tcW w:w="1215" w:type="dxa"/>
            <w:vAlign w:val="top"/>
            <w:vMerge w:val="continue"/>
            <w:tcBorders>
              <w:top w:val="nil"/>
              <w:left w:val="nil"/>
              <w:bottom w:val="nil"/>
            </w:tcBorders>
          </w:tcPr>
          <w:p>
            <w:pPr>
              <w:rPr>
                <w:rFonts w:ascii="Arial"/>
                <w:sz w:val="21"/>
              </w:rPr>
            </w:pPr>
            <w:r/>
          </w:p>
        </w:tc>
        <w:tc>
          <w:tcPr>
            <w:tcW w:w="1453" w:type="dxa"/>
            <w:vAlign w:val="top"/>
          </w:tcPr>
          <w:p>
            <w:pPr>
              <w:pStyle w:val="TableText"/>
              <w:ind w:left="318"/>
              <w:spacing w:before="36" w:line="211" w:lineRule="auto"/>
              <w:rPr/>
            </w:pPr>
            <w:r>
              <w:rPr>
                <w:spacing w:val="5"/>
              </w:rPr>
              <w:t>给水工程</w:t>
            </w:r>
          </w:p>
        </w:tc>
        <w:tc>
          <w:tcPr>
            <w:tcW w:w="3435" w:type="dxa"/>
            <w:vAlign w:val="top"/>
          </w:tcPr>
          <w:p>
            <w:pPr>
              <w:pStyle w:val="TableText"/>
              <w:ind w:left="538"/>
              <w:spacing w:before="36" w:line="211" w:lineRule="auto"/>
              <w:rPr/>
            </w:pPr>
            <w:r>
              <w:rPr>
                <w:spacing w:val="7"/>
              </w:rPr>
              <w:t>拉水车拉水</w:t>
            </w:r>
          </w:p>
        </w:tc>
        <w:tc>
          <w:tcPr>
            <w:tcW w:w="1403" w:type="dxa"/>
            <w:vAlign w:val="top"/>
          </w:tcPr>
          <w:p>
            <w:pPr>
              <w:rPr>
                <w:rFonts w:ascii="Arial"/>
                <w:sz w:val="21"/>
              </w:rPr>
            </w:pPr>
            <w:r/>
          </w:p>
        </w:tc>
        <w:tc>
          <w:tcPr>
            <w:tcW w:w="1403" w:type="dxa"/>
            <w:vAlign w:val="top"/>
            <w:tcBorders>
              <w:right w:val="nil"/>
            </w:tcBorders>
          </w:tcPr>
          <w:p>
            <w:pPr>
              <w:pStyle w:val="TableText"/>
              <w:ind w:left="399"/>
              <w:spacing w:before="36" w:line="211" w:lineRule="auto"/>
              <w:rPr/>
            </w:pPr>
            <w:r>
              <w:rPr>
                <w:spacing w:val="4"/>
              </w:rPr>
              <w:t>未建设</w:t>
            </w:r>
          </w:p>
        </w:tc>
      </w:tr>
      <w:tr>
        <w:trPr>
          <w:trHeight w:val="276" w:hRule="atLeast"/>
        </w:trPr>
        <w:tc>
          <w:tcPr>
            <w:tcW w:w="1215" w:type="dxa"/>
            <w:vAlign w:val="top"/>
            <w:vMerge w:val="continue"/>
            <w:tcBorders>
              <w:top w:val="nil"/>
              <w:left w:val="nil"/>
            </w:tcBorders>
          </w:tcPr>
          <w:p>
            <w:pPr>
              <w:rPr>
                <w:rFonts w:ascii="Arial"/>
                <w:sz w:val="21"/>
              </w:rPr>
            </w:pPr>
            <w:r/>
          </w:p>
        </w:tc>
        <w:tc>
          <w:tcPr>
            <w:tcW w:w="1453" w:type="dxa"/>
            <w:vAlign w:val="top"/>
          </w:tcPr>
          <w:p>
            <w:pPr>
              <w:pStyle w:val="TableText"/>
              <w:ind w:left="317"/>
              <w:spacing w:before="37" w:line="211" w:lineRule="auto"/>
              <w:rPr/>
            </w:pPr>
            <w:r>
              <w:rPr>
                <w:spacing w:val="5"/>
              </w:rPr>
              <w:t>取暖工程</w:t>
            </w:r>
          </w:p>
        </w:tc>
        <w:tc>
          <w:tcPr>
            <w:tcW w:w="3435" w:type="dxa"/>
            <w:vAlign w:val="top"/>
          </w:tcPr>
          <w:p>
            <w:pPr>
              <w:pStyle w:val="TableText"/>
              <w:ind w:left="539"/>
              <w:spacing w:before="37" w:line="211" w:lineRule="auto"/>
              <w:rPr/>
            </w:pPr>
            <w:r>
              <w:rPr>
                <w:spacing w:val="8"/>
              </w:rPr>
              <w:t>项目办公室取暖由电暖器提供</w:t>
            </w:r>
          </w:p>
        </w:tc>
        <w:tc>
          <w:tcPr>
            <w:tcW w:w="1403" w:type="dxa"/>
            <w:vAlign w:val="top"/>
          </w:tcPr>
          <w:p>
            <w:pPr>
              <w:rPr>
                <w:rFonts w:ascii="Arial"/>
                <w:sz w:val="21"/>
              </w:rPr>
            </w:pPr>
            <w:r/>
          </w:p>
        </w:tc>
        <w:tc>
          <w:tcPr>
            <w:tcW w:w="1403" w:type="dxa"/>
            <w:vAlign w:val="top"/>
            <w:tcBorders>
              <w:right w:val="nil"/>
            </w:tcBorders>
          </w:tcPr>
          <w:p>
            <w:pPr>
              <w:pStyle w:val="TableText"/>
              <w:ind w:left="399"/>
              <w:spacing w:before="37" w:line="211" w:lineRule="auto"/>
              <w:rPr/>
            </w:pPr>
            <w:r>
              <w:rPr>
                <w:spacing w:val="4"/>
              </w:rPr>
              <w:t>未建设</w:t>
            </w:r>
          </w:p>
        </w:tc>
      </w:tr>
      <w:tr>
        <w:trPr>
          <w:trHeight w:val="545" w:hRule="atLeast"/>
        </w:trPr>
        <w:tc>
          <w:tcPr>
            <w:tcW w:w="1215" w:type="dxa"/>
            <w:vAlign w:val="top"/>
            <w:vMerge w:val="restart"/>
            <w:tcBorders>
              <w:bottom w:val="nil"/>
              <w:left w:val="nil"/>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99"/>
              <w:spacing w:before="65" w:line="229" w:lineRule="auto"/>
              <w:rPr/>
            </w:pPr>
            <w:r>
              <w:rPr>
                <w:spacing w:val="5"/>
              </w:rPr>
              <w:t>环保工程</w:t>
            </w:r>
          </w:p>
        </w:tc>
        <w:tc>
          <w:tcPr>
            <w:tcW w:w="1453" w:type="dxa"/>
            <w:vAlign w:val="top"/>
          </w:tcPr>
          <w:p>
            <w:pPr>
              <w:pStyle w:val="TableText"/>
              <w:ind w:left="632" w:right="199" w:hanging="418"/>
              <w:spacing w:before="38" w:line="229" w:lineRule="auto"/>
              <w:rPr/>
            </w:pPr>
            <w:r>
              <w:rPr>
                <w:spacing w:val="6"/>
              </w:rPr>
              <w:t>粉尘防治措</w:t>
            </w:r>
            <w:r>
              <w:rPr/>
              <w:t>施</w:t>
            </w:r>
          </w:p>
        </w:tc>
        <w:tc>
          <w:tcPr>
            <w:tcW w:w="3435" w:type="dxa"/>
            <w:vAlign w:val="top"/>
          </w:tcPr>
          <w:p>
            <w:pPr>
              <w:pStyle w:val="TableText"/>
              <w:ind w:left="538"/>
              <w:spacing w:before="173" w:line="232" w:lineRule="auto"/>
              <w:rPr/>
            </w:pPr>
            <w:r>
              <w:rPr>
                <w:spacing w:val="8"/>
              </w:rPr>
              <w:t>矿区和道路洒水降尘</w:t>
            </w:r>
          </w:p>
        </w:tc>
        <w:tc>
          <w:tcPr>
            <w:tcW w:w="1403" w:type="dxa"/>
            <w:vAlign w:val="top"/>
          </w:tcPr>
          <w:p>
            <w:pPr>
              <w:rPr>
                <w:rFonts w:ascii="Arial"/>
                <w:sz w:val="21"/>
              </w:rPr>
            </w:pPr>
            <w:r/>
          </w:p>
        </w:tc>
        <w:tc>
          <w:tcPr>
            <w:tcW w:w="1403" w:type="dxa"/>
            <w:vAlign w:val="top"/>
            <w:tcBorders>
              <w:right w:val="nil"/>
            </w:tcBorders>
          </w:tcPr>
          <w:p>
            <w:pPr>
              <w:pStyle w:val="TableText"/>
              <w:ind w:left="399"/>
              <w:spacing w:before="173" w:line="231" w:lineRule="auto"/>
              <w:rPr/>
            </w:pPr>
            <w:r>
              <w:rPr>
                <w:spacing w:val="4"/>
              </w:rPr>
              <w:t>未建设</w:t>
            </w:r>
          </w:p>
        </w:tc>
      </w:tr>
      <w:tr>
        <w:trPr>
          <w:trHeight w:val="546" w:hRule="atLeast"/>
        </w:trPr>
        <w:tc>
          <w:tcPr>
            <w:tcW w:w="1215" w:type="dxa"/>
            <w:vAlign w:val="top"/>
            <w:vMerge w:val="continue"/>
            <w:tcBorders>
              <w:bottom w:val="nil"/>
              <w:left w:val="nil"/>
              <w:top w:val="nil"/>
            </w:tcBorders>
          </w:tcPr>
          <w:p>
            <w:pPr>
              <w:rPr>
                <w:rFonts w:ascii="Arial"/>
                <w:sz w:val="21"/>
              </w:rPr>
            </w:pPr>
            <w:r/>
          </w:p>
        </w:tc>
        <w:tc>
          <w:tcPr>
            <w:tcW w:w="1453" w:type="dxa"/>
            <w:vAlign w:val="top"/>
          </w:tcPr>
          <w:p>
            <w:pPr>
              <w:pStyle w:val="TableText"/>
              <w:ind w:left="631" w:right="199" w:hanging="416"/>
              <w:spacing w:before="44" w:line="227" w:lineRule="auto"/>
              <w:rPr/>
            </w:pPr>
            <w:r>
              <w:rPr>
                <w:spacing w:val="6"/>
              </w:rPr>
              <w:t>废水治理设</w:t>
            </w:r>
            <w:r>
              <w:rPr/>
              <w:t>施</w:t>
            </w:r>
          </w:p>
        </w:tc>
        <w:tc>
          <w:tcPr>
            <w:tcW w:w="3435" w:type="dxa"/>
            <w:vAlign w:val="top"/>
          </w:tcPr>
          <w:p>
            <w:pPr>
              <w:pStyle w:val="TableText"/>
              <w:ind w:left="538"/>
              <w:spacing w:before="177" w:line="232" w:lineRule="auto"/>
              <w:rPr/>
            </w:pPr>
            <w:r>
              <w:rPr>
                <w:spacing w:val="8"/>
              </w:rPr>
              <w:t>建设一套地埋式污水处理设备</w:t>
            </w:r>
          </w:p>
        </w:tc>
        <w:tc>
          <w:tcPr>
            <w:tcW w:w="1403" w:type="dxa"/>
            <w:vAlign w:val="top"/>
          </w:tcPr>
          <w:p>
            <w:pPr>
              <w:rPr>
                <w:rFonts w:ascii="Arial"/>
                <w:sz w:val="21"/>
              </w:rPr>
            </w:pPr>
            <w:r/>
          </w:p>
        </w:tc>
        <w:tc>
          <w:tcPr>
            <w:tcW w:w="1403" w:type="dxa"/>
            <w:vAlign w:val="top"/>
            <w:tcBorders>
              <w:right w:val="nil"/>
            </w:tcBorders>
          </w:tcPr>
          <w:p>
            <w:pPr>
              <w:pStyle w:val="TableText"/>
              <w:ind w:left="399"/>
              <w:spacing w:before="178" w:line="231" w:lineRule="auto"/>
              <w:rPr/>
            </w:pPr>
            <w:r>
              <w:rPr>
                <w:spacing w:val="4"/>
              </w:rPr>
              <w:t>未建设</w:t>
            </w:r>
          </w:p>
        </w:tc>
      </w:tr>
      <w:tr>
        <w:trPr>
          <w:trHeight w:val="520" w:hRule="atLeast"/>
        </w:trPr>
        <w:tc>
          <w:tcPr>
            <w:tcW w:w="1215" w:type="dxa"/>
            <w:vAlign w:val="top"/>
            <w:vMerge w:val="continue"/>
            <w:tcBorders>
              <w:bottom w:val="nil"/>
              <w:left w:val="nil"/>
              <w:top w:val="nil"/>
            </w:tcBorders>
          </w:tcPr>
          <w:p>
            <w:pPr>
              <w:rPr>
                <w:rFonts w:ascii="Arial"/>
                <w:sz w:val="21"/>
              </w:rPr>
            </w:pPr>
            <w:r/>
          </w:p>
        </w:tc>
        <w:tc>
          <w:tcPr>
            <w:tcW w:w="1453" w:type="dxa"/>
            <w:vAlign w:val="top"/>
          </w:tcPr>
          <w:p>
            <w:pPr>
              <w:pStyle w:val="TableText"/>
              <w:ind w:left="222"/>
              <w:spacing w:before="172" w:line="231" w:lineRule="auto"/>
              <w:rPr/>
            </w:pPr>
            <w:r>
              <w:rPr>
                <w:spacing w:val="5"/>
              </w:rPr>
              <w:t>噪声防治措</w:t>
            </w:r>
          </w:p>
        </w:tc>
        <w:tc>
          <w:tcPr>
            <w:tcW w:w="3435" w:type="dxa"/>
            <w:vAlign w:val="top"/>
          </w:tcPr>
          <w:p>
            <w:pPr>
              <w:pStyle w:val="TableText"/>
              <w:ind w:left="550"/>
              <w:spacing w:before="171" w:line="232" w:lineRule="auto"/>
              <w:rPr/>
            </w:pPr>
            <w:r>
              <w:rPr>
                <w:spacing w:val="7"/>
              </w:rPr>
              <w:t>隔声、减震垫等减振措施</w:t>
            </w:r>
          </w:p>
        </w:tc>
        <w:tc>
          <w:tcPr>
            <w:tcW w:w="1403" w:type="dxa"/>
            <w:vAlign w:val="top"/>
          </w:tcPr>
          <w:p>
            <w:pPr>
              <w:rPr>
                <w:rFonts w:ascii="Arial"/>
                <w:sz w:val="21"/>
              </w:rPr>
            </w:pPr>
            <w:r/>
          </w:p>
        </w:tc>
        <w:tc>
          <w:tcPr>
            <w:tcW w:w="1403" w:type="dxa"/>
            <w:vAlign w:val="top"/>
            <w:tcBorders>
              <w:right w:val="nil"/>
            </w:tcBorders>
          </w:tcPr>
          <w:p>
            <w:pPr>
              <w:pStyle w:val="TableText"/>
              <w:ind w:left="399"/>
              <w:spacing w:before="172" w:line="231" w:lineRule="auto"/>
              <w:rPr/>
            </w:pPr>
            <w:r>
              <w:rPr>
                <w:spacing w:val="4"/>
              </w:rPr>
              <w:t>未建设</w:t>
            </w:r>
          </w:p>
        </w:tc>
      </w:tr>
      <w:tr>
        <w:trPr>
          <w:trHeight w:val="571" w:hRule="atLeast"/>
        </w:trPr>
        <w:tc>
          <w:tcPr>
            <w:tcW w:w="1215" w:type="dxa"/>
            <w:vAlign w:val="top"/>
            <w:vMerge w:val="continue"/>
            <w:tcBorders>
              <w:bottom w:val="single" w:color="000000" w:sz="10" w:space="0"/>
              <w:left w:val="nil"/>
              <w:top w:val="nil"/>
            </w:tcBorders>
          </w:tcPr>
          <w:p>
            <w:pPr>
              <w:rPr>
                <w:rFonts w:ascii="Arial"/>
                <w:sz w:val="21"/>
              </w:rPr>
            </w:pPr>
            <w:r/>
          </w:p>
        </w:tc>
        <w:tc>
          <w:tcPr>
            <w:tcW w:w="1453" w:type="dxa"/>
            <w:vAlign w:val="top"/>
            <w:tcBorders>
              <w:bottom w:val="single" w:color="000000" w:sz="10" w:space="0"/>
            </w:tcBorders>
          </w:tcPr>
          <w:p>
            <w:pPr>
              <w:pStyle w:val="TableText"/>
              <w:ind w:left="632" w:right="199" w:hanging="397"/>
              <w:spacing w:before="51" w:line="235" w:lineRule="auto"/>
              <w:rPr/>
            </w:pPr>
            <w:r>
              <w:rPr>
                <w:spacing w:val="2"/>
              </w:rPr>
              <w:t>固废处置措</w:t>
            </w:r>
            <w:r>
              <w:rPr/>
              <w:t>施</w:t>
            </w:r>
          </w:p>
        </w:tc>
        <w:tc>
          <w:tcPr>
            <w:tcW w:w="3435" w:type="dxa"/>
            <w:vAlign w:val="top"/>
            <w:tcBorders>
              <w:bottom w:val="single" w:color="000000" w:sz="10" w:space="0"/>
            </w:tcBorders>
          </w:tcPr>
          <w:p>
            <w:pPr>
              <w:pStyle w:val="TableText"/>
              <w:ind w:left="538"/>
              <w:spacing w:before="189" w:line="230" w:lineRule="auto"/>
              <w:rPr/>
            </w:pPr>
            <w:r>
              <w:rPr>
                <w:spacing w:val="8"/>
              </w:rPr>
              <w:t>建设防渗垃圾收集池</w:t>
            </w:r>
          </w:p>
        </w:tc>
        <w:tc>
          <w:tcPr>
            <w:tcW w:w="1403" w:type="dxa"/>
            <w:vAlign w:val="top"/>
            <w:tcBorders>
              <w:bottom w:val="single" w:color="000000" w:sz="10" w:space="0"/>
            </w:tcBorders>
          </w:tcPr>
          <w:p>
            <w:pPr>
              <w:rPr>
                <w:rFonts w:ascii="Arial"/>
                <w:sz w:val="21"/>
              </w:rPr>
            </w:pPr>
            <w:r/>
          </w:p>
        </w:tc>
        <w:tc>
          <w:tcPr>
            <w:tcW w:w="1403" w:type="dxa"/>
            <w:vAlign w:val="top"/>
            <w:tcBorders>
              <w:bottom w:val="single" w:color="000000" w:sz="10" w:space="0"/>
              <w:right w:val="nil"/>
            </w:tcBorders>
          </w:tcPr>
          <w:p>
            <w:pPr>
              <w:pStyle w:val="TableText"/>
              <w:ind w:left="399"/>
              <w:spacing w:before="189" w:line="231" w:lineRule="auto"/>
              <w:rPr/>
            </w:pPr>
            <w:r>
              <w:rPr>
                <w:spacing w:val="4"/>
              </w:rPr>
              <w:t>未建设</w:t>
            </w:r>
          </w:p>
        </w:tc>
      </w:tr>
    </w:tbl>
    <w:p>
      <w:pPr>
        <w:pStyle w:val="BodyText"/>
        <w:spacing w:line="371" w:lineRule="auto"/>
        <w:rPr/>
      </w:pPr>
      <w:r/>
    </w:p>
    <w:p>
      <w:pPr>
        <w:ind w:left="110"/>
        <w:spacing w:before="78"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3.2.1.2  </w:t>
      </w:r>
      <w:r>
        <w:rPr>
          <w:rFonts w:ascii="FangSong" w:hAnsi="FangSong" w:eastAsia="FangSong" w:cs="FangSong"/>
          <w:sz w:val="24"/>
          <w:szCs w:val="24"/>
          <w:b/>
          <w:bCs/>
          <w:spacing w:val="-2"/>
        </w:rPr>
        <w:t>变更前平面布置情况</w:t>
      </w:r>
    </w:p>
    <w:p>
      <w:pPr>
        <w:ind w:left="121" w:right="24" w:firstLine="488"/>
        <w:spacing w:before="179" w:line="359" w:lineRule="auto"/>
        <w:jc w:val="both"/>
        <w:rPr>
          <w:rFonts w:ascii="FangSong" w:hAnsi="FangSong" w:eastAsia="FangSong" w:cs="FangSong"/>
          <w:sz w:val="24"/>
          <w:szCs w:val="24"/>
        </w:rPr>
      </w:pPr>
      <w:r>
        <w:rPr>
          <w:rFonts w:ascii="FangSong" w:hAnsi="FangSong" w:eastAsia="FangSong" w:cs="FangSong"/>
          <w:sz w:val="24"/>
          <w:szCs w:val="24"/>
          <w:spacing w:val="1"/>
        </w:rPr>
        <w:t>变更前矿山总平面主要包括：工业场地、矿山道路、废石场、临时堆矿场</w:t>
      </w:r>
      <w:r>
        <w:rPr>
          <w:rFonts w:ascii="FangSong" w:hAnsi="FangSong" w:eastAsia="FangSong" w:cs="FangSong"/>
          <w:sz w:val="24"/>
          <w:szCs w:val="24"/>
        </w:rPr>
        <w:t>、办</w:t>
      </w:r>
      <w:r>
        <w:rPr>
          <w:rFonts w:ascii="FangSong" w:hAnsi="FangSong" w:eastAsia="FangSong" w:cs="FangSong"/>
          <w:sz w:val="24"/>
          <w:szCs w:val="24"/>
          <w:spacing w:val="1"/>
        </w:rPr>
        <w:t>公区等。采矿区位于整个占地范围的西侧，废石场设置本着远离道路的原则，布置</w:t>
      </w:r>
      <w:r>
        <w:rPr>
          <w:rFonts w:ascii="FangSong" w:hAnsi="FangSong" w:eastAsia="FangSong" w:cs="FangSong"/>
          <w:sz w:val="24"/>
          <w:szCs w:val="24"/>
          <w:spacing w:val="-3"/>
        </w:rPr>
        <w:t>于于厂区东侧，临时堆矿场布置在废石场西南侧，办公区、门卫室布</w:t>
      </w:r>
      <w:r>
        <w:rPr>
          <w:rFonts w:ascii="FangSong" w:hAnsi="FangSong" w:eastAsia="FangSong" w:cs="FangSong"/>
          <w:sz w:val="24"/>
          <w:szCs w:val="24"/>
          <w:spacing w:val="-4"/>
        </w:rPr>
        <w:t>置在厂区北部。</w:t>
      </w:r>
      <w:r>
        <w:rPr>
          <w:rFonts w:ascii="FangSong" w:hAnsi="FangSong" w:eastAsia="FangSong" w:cs="FangSong"/>
          <w:sz w:val="24"/>
          <w:szCs w:val="24"/>
          <w:spacing w:val="-2"/>
        </w:rPr>
        <w:t>厂区平面布置及周边关系见附图</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3-1</w:t>
      </w:r>
      <w:r>
        <w:rPr>
          <w:rFonts w:ascii="FangSong" w:hAnsi="FangSong" w:eastAsia="FangSong" w:cs="FangSong"/>
          <w:sz w:val="24"/>
          <w:szCs w:val="24"/>
          <w:spacing w:val="-2"/>
        </w:rPr>
        <w:t>。</w:t>
      </w:r>
    </w:p>
    <w:p>
      <w:pPr>
        <w:ind w:left="110"/>
        <w:spacing w:line="221" w:lineRule="auto"/>
        <w:outlineLvl w:val="2"/>
        <w:rPr>
          <w:rFonts w:ascii="FangSong" w:hAnsi="FangSong" w:eastAsia="FangSong" w:cs="FangSong"/>
          <w:sz w:val="24"/>
          <w:szCs w:val="24"/>
        </w:rPr>
      </w:pPr>
      <w:bookmarkStart w:name="bookmark99" w:id="137"/>
      <w:bookmarkEnd w:id="137"/>
      <w:bookmarkStart w:name="bookmark98" w:id="138"/>
      <w:bookmarkEnd w:id="138"/>
      <w:r>
        <w:rPr>
          <w:rFonts w:ascii="Times New Roman" w:hAnsi="Times New Roman" w:eastAsia="Times New Roman" w:cs="Times New Roman"/>
          <w:sz w:val="24"/>
          <w:szCs w:val="24"/>
          <w:b/>
          <w:bCs/>
          <w:spacing w:val="-2"/>
        </w:rPr>
        <w:t>3.2.2  </w:t>
      </w:r>
      <w:r>
        <w:rPr>
          <w:rFonts w:ascii="FangSong" w:hAnsi="FangSong" w:eastAsia="FangSong" w:cs="FangSong"/>
          <w:sz w:val="24"/>
          <w:szCs w:val="24"/>
          <w:b/>
          <w:bCs/>
          <w:spacing w:val="-2"/>
        </w:rPr>
        <w:t>变更前主要生产设备</w:t>
      </w:r>
    </w:p>
    <w:p>
      <w:pPr>
        <w:ind w:left="603"/>
        <w:spacing w:before="179" w:line="222" w:lineRule="auto"/>
        <w:rPr>
          <w:rFonts w:ascii="FangSong" w:hAnsi="FangSong" w:eastAsia="FangSong" w:cs="FangSong"/>
          <w:sz w:val="24"/>
          <w:szCs w:val="24"/>
        </w:rPr>
      </w:pPr>
      <w:r>
        <w:rPr>
          <w:rFonts w:ascii="FangSong" w:hAnsi="FangSong" w:eastAsia="FangSong" w:cs="FangSong"/>
          <w:sz w:val="24"/>
          <w:szCs w:val="24"/>
          <w:spacing w:val="-2"/>
        </w:rPr>
        <w:t>项目变更前主要生产设备情况见表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3.2-2</w:t>
      </w:r>
      <w:r>
        <w:rPr>
          <w:rFonts w:ascii="FangSong" w:hAnsi="FangSong" w:eastAsia="FangSong" w:cs="FangSong"/>
          <w:sz w:val="24"/>
          <w:szCs w:val="24"/>
          <w:spacing w:val="-2"/>
        </w:rPr>
        <w:t>。</w:t>
      </w:r>
    </w:p>
    <w:p>
      <w:pPr>
        <w:ind w:left="2082"/>
        <w:spacing w:before="177"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b/>
          <w:bCs/>
          <w:spacing w:val="-2"/>
        </w:rPr>
        <w:t>3.2-2  </w:t>
      </w:r>
      <w:r>
        <w:rPr>
          <w:rFonts w:ascii="FangSong" w:hAnsi="FangSong" w:eastAsia="FangSong" w:cs="FangSong"/>
          <w:sz w:val="24"/>
          <w:szCs w:val="24"/>
          <w:b/>
          <w:bCs/>
          <w:spacing w:val="-2"/>
        </w:rPr>
        <w:t>项目变更前主要生产设备情况一</w:t>
      </w:r>
      <w:r>
        <w:rPr>
          <w:rFonts w:ascii="FangSong" w:hAnsi="FangSong" w:eastAsia="FangSong" w:cs="FangSong"/>
          <w:sz w:val="24"/>
          <w:szCs w:val="24"/>
          <w:b/>
          <w:bCs/>
          <w:spacing w:val="-3"/>
        </w:rPr>
        <w:t>览表</w:t>
      </w:r>
    </w:p>
    <w:p>
      <w:pPr>
        <w:spacing w:line="144" w:lineRule="exact"/>
        <w:rPr/>
      </w:pPr>
      <w:r/>
    </w:p>
    <w:tbl>
      <w:tblPr>
        <w:tblStyle w:val="TableNormal"/>
        <w:tblW w:w="89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9"/>
        <w:gridCol w:w="1746"/>
        <w:gridCol w:w="2243"/>
        <w:gridCol w:w="1141"/>
        <w:gridCol w:w="1214"/>
        <w:gridCol w:w="1536"/>
      </w:tblGrid>
      <w:tr>
        <w:trPr>
          <w:trHeight w:val="280" w:hRule="atLeast"/>
        </w:trPr>
        <w:tc>
          <w:tcPr>
            <w:tcW w:w="1029" w:type="dxa"/>
            <w:vAlign w:val="top"/>
            <w:tcBorders>
              <w:left w:val="nil"/>
              <w:top w:val="single" w:color="000000" w:sz="10" w:space="0"/>
            </w:tcBorders>
          </w:tcPr>
          <w:p>
            <w:pPr>
              <w:pStyle w:val="TableText"/>
              <w:ind w:left="317"/>
              <w:spacing w:before="34" w:line="217" w:lineRule="auto"/>
              <w:rPr/>
            </w:pPr>
            <w:r>
              <w:rPr>
                <w:spacing w:val="2"/>
              </w:rPr>
              <w:t>序号</w:t>
            </w:r>
          </w:p>
        </w:tc>
        <w:tc>
          <w:tcPr>
            <w:tcW w:w="1746" w:type="dxa"/>
            <w:vAlign w:val="top"/>
            <w:tcBorders>
              <w:top w:val="single" w:color="000000" w:sz="10" w:space="0"/>
            </w:tcBorders>
          </w:tcPr>
          <w:p>
            <w:pPr>
              <w:pStyle w:val="TableText"/>
              <w:ind w:left="463"/>
              <w:spacing w:before="34" w:line="217" w:lineRule="auto"/>
              <w:rPr/>
            </w:pPr>
            <w:r>
              <w:rPr>
                <w:spacing w:val="6"/>
              </w:rPr>
              <w:t>设备名称</w:t>
            </w:r>
          </w:p>
        </w:tc>
        <w:tc>
          <w:tcPr>
            <w:tcW w:w="2243" w:type="dxa"/>
            <w:vAlign w:val="top"/>
            <w:tcBorders>
              <w:top w:val="single" w:color="000000" w:sz="10" w:space="0"/>
            </w:tcBorders>
          </w:tcPr>
          <w:p>
            <w:pPr>
              <w:pStyle w:val="TableText"/>
              <w:ind w:left="931"/>
              <w:spacing w:before="34" w:line="217" w:lineRule="auto"/>
              <w:rPr/>
            </w:pPr>
            <w:r>
              <w:rPr>
                <w:spacing w:val="-3"/>
              </w:rPr>
              <w:t>型号</w:t>
            </w:r>
          </w:p>
        </w:tc>
        <w:tc>
          <w:tcPr>
            <w:tcW w:w="1141" w:type="dxa"/>
            <w:vAlign w:val="top"/>
            <w:tcBorders>
              <w:top w:val="single" w:color="000000" w:sz="10" w:space="0"/>
            </w:tcBorders>
          </w:tcPr>
          <w:p>
            <w:pPr>
              <w:pStyle w:val="TableText"/>
              <w:ind w:left="369"/>
              <w:spacing w:before="34" w:line="217" w:lineRule="auto"/>
              <w:rPr/>
            </w:pPr>
            <w:r>
              <w:rPr>
                <w:spacing w:val="2"/>
              </w:rPr>
              <w:t>数量</w:t>
            </w:r>
          </w:p>
        </w:tc>
        <w:tc>
          <w:tcPr>
            <w:tcW w:w="1214" w:type="dxa"/>
            <w:vAlign w:val="top"/>
            <w:tcBorders>
              <w:top w:val="single" w:color="000000" w:sz="10" w:space="0"/>
            </w:tcBorders>
          </w:tcPr>
          <w:p>
            <w:pPr>
              <w:pStyle w:val="TableText"/>
              <w:ind w:left="411"/>
              <w:spacing w:before="34" w:line="217" w:lineRule="auto"/>
              <w:rPr/>
            </w:pPr>
            <w:r>
              <w:rPr>
                <w:spacing w:val="-1"/>
              </w:rPr>
              <w:t>单位</w:t>
            </w:r>
          </w:p>
        </w:tc>
        <w:tc>
          <w:tcPr>
            <w:tcW w:w="1536" w:type="dxa"/>
            <w:vAlign w:val="top"/>
            <w:tcBorders>
              <w:right w:val="nil"/>
              <w:top w:val="single" w:color="000000" w:sz="10" w:space="0"/>
            </w:tcBorders>
          </w:tcPr>
          <w:p>
            <w:pPr>
              <w:pStyle w:val="TableText"/>
              <w:ind w:left="570"/>
              <w:spacing w:before="34" w:line="217" w:lineRule="auto"/>
              <w:rPr/>
            </w:pPr>
            <w:r>
              <w:rPr>
                <w:spacing w:val="1"/>
              </w:rPr>
              <w:t>备注</w:t>
            </w:r>
          </w:p>
        </w:tc>
      </w:tr>
      <w:tr>
        <w:trPr>
          <w:trHeight w:val="276" w:hRule="atLeast"/>
        </w:trPr>
        <w:tc>
          <w:tcPr>
            <w:tcW w:w="1029" w:type="dxa"/>
            <w:vAlign w:val="top"/>
            <w:tcBorders>
              <w:left w:val="nil"/>
            </w:tcBorders>
          </w:tcPr>
          <w:p>
            <w:pPr>
              <w:ind w:left="486"/>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6" w:type="dxa"/>
            <w:vAlign w:val="top"/>
          </w:tcPr>
          <w:p>
            <w:pPr>
              <w:pStyle w:val="TableText"/>
              <w:ind w:left="674"/>
              <w:spacing w:before="33" w:line="215" w:lineRule="auto"/>
              <w:rPr/>
            </w:pPr>
            <w:r>
              <w:rPr>
                <w:spacing w:val="2"/>
              </w:rPr>
              <w:t>水泵</w:t>
            </w:r>
          </w:p>
        </w:tc>
        <w:tc>
          <w:tcPr>
            <w:tcW w:w="2243" w:type="dxa"/>
            <w:vAlign w:val="top"/>
          </w:tcPr>
          <w:p>
            <w:pPr>
              <w:ind w:left="747"/>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D6-25x4</w:t>
            </w:r>
          </w:p>
        </w:tc>
        <w:tc>
          <w:tcPr>
            <w:tcW w:w="1141" w:type="dxa"/>
            <w:vAlign w:val="top"/>
          </w:tcPr>
          <w:p>
            <w:pPr>
              <w:ind w:left="523"/>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14" w:type="dxa"/>
            <w:vAlign w:val="top"/>
          </w:tcPr>
          <w:p>
            <w:pPr>
              <w:pStyle w:val="TableText"/>
              <w:ind w:left="532"/>
              <w:spacing w:before="33" w:line="215" w:lineRule="auto"/>
              <w:rPr/>
            </w:pPr>
            <w:r>
              <w:rPr/>
              <w:t>台</w:t>
            </w:r>
          </w:p>
        </w:tc>
        <w:tc>
          <w:tcPr>
            <w:tcW w:w="1536" w:type="dxa"/>
            <w:vAlign w:val="top"/>
            <w:tcBorders>
              <w:right w:val="nil"/>
            </w:tcBorders>
          </w:tcPr>
          <w:p>
            <w:pPr>
              <w:pStyle w:val="TableText"/>
              <w:ind w:left="374"/>
              <w:spacing w:before="33" w:line="215" w:lineRule="auto"/>
              <w:rPr/>
            </w:pPr>
            <w:r>
              <w:rPr>
                <w:rFonts w:ascii="Times New Roman" w:hAnsi="Times New Roman" w:eastAsia="Times New Roman" w:cs="Times New Roman"/>
                <w:spacing w:val="-7"/>
              </w:rPr>
              <w:t>2</w:t>
            </w:r>
            <w:r>
              <w:rPr>
                <w:rFonts w:ascii="Times New Roman" w:hAnsi="Times New Roman" w:eastAsia="Times New Roman" w:cs="Times New Roman"/>
                <w:spacing w:val="20"/>
              </w:rPr>
              <w:t xml:space="preserve"> </w:t>
            </w:r>
            <w:r>
              <w:rPr>
                <w:spacing w:val="-7"/>
              </w:rPr>
              <w:t>用</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备</w:t>
            </w:r>
          </w:p>
        </w:tc>
      </w:tr>
      <w:tr>
        <w:trPr>
          <w:trHeight w:val="275" w:hRule="atLeast"/>
        </w:trPr>
        <w:tc>
          <w:tcPr>
            <w:tcW w:w="1029" w:type="dxa"/>
            <w:vAlign w:val="top"/>
            <w:tcBorders>
              <w:left w:val="nil"/>
            </w:tcBorders>
          </w:tcPr>
          <w:p>
            <w:pPr>
              <w:ind w:left="466"/>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46" w:type="dxa"/>
            <w:vAlign w:val="top"/>
          </w:tcPr>
          <w:p>
            <w:pPr>
              <w:pStyle w:val="TableText"/>
              <w:ind w:left="676"/>
              <w:spacing w:before="33" w:line="214" w:lineRule="auto"/>
              <w:rPr/>
            </w:pPr>
            <w:r>
              <w:rPr>
                <w:spacing w:val="1"/>
              </w:rPr>
              <w:t>风机</w:t>
            </w:r>
          </w:p>
        </w:tc>
        <w:tc>
          <w:tcPr>
            <w:tcW w:w="2243" w:type="dxa"/>
            <w:vAlign w:val="top"/>
          </w:tcPr>
          <w:p>
            <w:pPr>
              <w:ind w:left="658"/>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FBC</w:t>
            </w:r>
            <w:r>
              <w:rPr>
                <w:rFonts w:ascii="Times New Roman" w:hAnsi="Times New Roman" w:eastAsia="Times New Roman" w:cs="Times New Roman"/>
                <w:sz w:val="20"/>
                <w:szCs w:val="20"/>
                <w:spacing w:val="6"/>
              </w:rPr>
              <w:t>6-11A</w:t>
            </w:r>
          </w:p>
        </w:tc>
        <w:tc>
          <w:tcPr>
            <w:tcW w:w="1141" w:type="dxa"/>
            <w:vAlign w:val="top"/>
          </w:tcPr>
          <w:p>
            <w:pPr>
              <w:ind w:left="51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4" w:type="dxa"/>
            <w:vAlign w:val="top"/>
          </w:tcPr>
          <w:p>
            <w:pPr>
              <w:pStyle w:val="TableText"/>
              <w:ind w:left="532"/>
              <w:spacing w:before="33" w:line="214" w:lineRule="auto"/>
              <w:rPr/>
            </w:pPr>
            <w:r>
              <w:rPr/>
              <w:t>台</w:t>
            </w:r>
          </w:p>
        </w:tc>
        <w:tc>
          <w:tcPr>
            <w:tcW w:w="1536" w:type="dxa"/>
            <w:vAlign w:val="top"/>
            <w:tcBorders>
              <w:right w:val="nil"/>
            </w:tcBorders>
          </w:tcPr>
          <w:p>
            <w:pPr>
              <w:pStyle w:val="TableText"/>
              <w:ind w:left="394"/>
              <w:spacing w:before="33" w:line="214" w:lineRule="auto"/>
              <w:rPr/>
            </w:pPr>
            <w:r>
              <w:rPr>
                <w:rFonts w:ascii="Times New Roman" w:hAnsi="Times New Roman" w:eastAsia="Times New Roman" w:cs="Times New Roman"/>
                <w:spacing w:val="-12"/>
              </w:rPr>
              <w:t>1</w:t>
            </w:r>
            <w:r>
              <w:rPr>
                <w:rFonts w:ascii="Times New Roman" w:hAnsi="Times New Roman" w:eastAsia="Times New Roman" w:cs="Times New Roman"/>
                <w:spacing w:val="19"/>
                <w:w w:val="101"/>
              </w:rPr>
              <w:t xml:space="preserve"> </w:t>
            </w:r>
            <w:r>
              <w:rPr>
                <w:spacing w:val="-12"/>
              </w:rPr>
              <w:t>用</w:t>
            </w:r>
            <w:r>
              <w:rPr>
                <w:spacing w:val="-23"/>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19"/>
                <w:w w:val="101"/>
              </w:rPr>
              <w:t xml:space="preserve"> </w:t>
            </w:r>
            <w:r>
              <w:rPr>
                <w:spacing w:val="-12"/>
              </w:rPr>
              <w:t>备</w:t>
            </w:r>
          </w:p>
        </w:tc>
      </w:tr>
      <w:tr>
        <w:trPr>
          <w:trHeight w:val="276" w:hRule="atLeast"/>
        </w:trPr>
        <w:tc>
          <w:tcPr>
            <w:tcW w:w="1029" w:type="dxa"/>
            <w:vAlign w:val="top"/>
            <w:tcBorders>
              <w:left w:val="nil"/>
            </w:tcBorders>
          </w:tcPr>
          <w:p>
            <w:pPr>
              <w:ind w:left="47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46" w:type="dxa"/>
            <w:vAlign w:val="top"/>
          </w:tcPr>
          <w:p>
            <w:pPr>
              <w:pStyle w:val="TableText"/>
              <w:ind w:left="675"/>
              <w:spacing w:before="36" w:line="212" w:lineRule="auto"/>
              <w:rPr/>
            </w:pPr>
            <w:r>
              <w:rPr>
                <w:spacing w:val="2"/>
              </w:rPr>
              <w:t>罐笼</w:t>
            </w:r>
          </w:p>
        </w:tc>
        <w:tc>
          <w:tcPr>
            <w:tcW w:w="2243" w:type="dxa"/>
            <w:vAlign w:val="top"/>
          </w:tcPr>
          <w:p>
            <w:pPr>
              <w:rPr>
                <w:rFonts w:ascii="Arial"/>
                <w:sz w:val="21"/>
              </w:rPr>
            </w:pPr>
            <w:r/>
          </w:p>
        </w:tc>
        <w:tc>
          <w:tcPr>
            <w:tcW w:w="1141" w:type="dxa"/>
            <w:vAlign w:val="top"/>
          </w:tcPr>
          <w:p>
            <w:pPr>
              <w:ind w:left="53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32"/>
              <w:spacing w:before="36" w:line="212" w:lineRule="auto"/>
              <w:rPr/>
            </w:pPr>
            <w:r>
              <w:rPr/>
              <w:t>台</w:t>
            </w:r>
          </w:p>
        </w:tc>
        <w:tc>
          <w:tcPr>
            <w:tcW w:w="1536" w:type="dxa"/>
            <w:vAlign w:val="top"/>
            <w:tcBorders>
              <w:right w:val="nil"/>
            </w:tcBorders>
          </w:tcPr>
          <w:p>
            <w:pPr>
              <w:rPr>
                <w:rFonts w:ascii="Arial"/>
                <w:sz w:val="21"/>
              </w:rPr>
            </w:pPr>
            <w:r/>
          </w:p>
        </w:tc>
      </w:tr>
      <w:tr>
        <w:trPr>
          <w:trHeight w:val="276" w:hRule="atLeast"/>
        </w:trPr>
        <w:tc>
          <w:tcPr>
            <w:tcW w:w="1029" w:type="dxa"/>
            <w:vAlign w:val="top"/>
            <w:tcBorders>
              <w:left w:val="nil"/>
            </w:tcBorders>
          </w:tcPr>
          <w:p>
            <w:pPr>
              <w:ind w:left="46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746" w:type="dxa"/>
            <w:vAlign w:val="top"/>
          </w:tcPr>
          <w:p>
            <w:pPr>
              <w:pStyle w:val="TableText"/>
              <w:ind w:left="576"/>
              <w:spacing w:before="38" w:line="210" w:lineRule="auto"/>
              <w:rPr/>
            </w:pPr>
            <w:r>
              <w:rPr>
                <w:spacing w:val="2"/>
              </w:rPr>
              <w:t>变压器</w:t>
            </w:r>
          </w:p>
        </w:tc>
        <w:tc>
          <w:tcPr>
            <w:tcW w:w="2243" w:type="dxa"/>
            <w:vAlign w:val="top"/>
          </w:tcPr>
          <w:p>
            <w:pPr>
              <w:ind w:left="80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50</w:t>
            </w:r>
            <w:r>
              <w:rPr>
                <w:rFonts w:ascii="Times New Roman" w:hAnsi="Times New Roman" w:eastAsia="Times New Roman" w:cs="Times New Roman"/>
                <w:sz w:val="20"/>
                <w:szCs w:val="20"/>
              </w:rPr>
              <w:t>KVA</w:t>
            </w:r>
          </w:p>
        </w:tc>
        <w:tc>
          <w:tcPr>
            <w:tcW w:w="1141" w:type="dxa"/>
            <w:vAlign w:val="top"/>
          </w:tcPr>
          <w:p>
            <w:pPr>
              <w:ind w:left="53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32"/>
              <w:spacing w:before="38" w:line="210" w:lineRule="auto"/>
              <w:rPr/>
            </w:pPr>
            <w:r>
              <w:rPr/>
              <w:t>台</w:t>
            </w:r>
          </w:p>
        </w:tc>
        <w:tc>
          <w:tcPr>
            <w:tcW w:w="1536" w:type="dxa"/>
            <w:vAlign w:val="top"/>
            <w:tcBorders>
              <w:right w:val="nil"/>
            </w:tcBorders>
          </w:tcPr>
          <w:p>
            <w:pPr>
              <w:rPr>
                <w:rFonts w:ascii="Arial"/>
                <w:sz w:val="21"/>
              </w:rPr>
            </w:pPr>
            <w:r/>
          </w:p>
        </w:tc>
      </w:tr>
      <w:tr>
        <w:trPr>
          <w:trHeight w:val="276" w:hRule="atLeast"/>
        </w:trPr>
        <w:tc>
          <w:tcPr>
            <w:tcW w:w="1029" w:type="dxa"/>
            <w:vAlign w:val="top"/>
            <w:tcBorders>
              <w:left w:val="nil"/>
            </w:tcBorders>
          </w:tcPr>
          <w:p>
            <w:pPr>
              <w:ind w:left="471"/>
              <w:spacing w:before="7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46" w:type="dxa"/>
            <w:vAlign w:val="top"/>
          </w:tcPr>
          <w:p>
            <w:pPr>
              <w:pStyle w:val="TableText"/>
              <w:ind w:left="573"/>
              <w:spacing w:before="38" w:line="210" w:lineRule="auto"/>
              <w:rPr/>
            </w:pPr>
            <w:r>
              <w:rPr>
                <w:spacing w:val="3"/>
              </w:rPr>
              <w:t>装载机</w:t>
            </w:r>
          </w:p>
        </w:tc>
        <w:tc>
          <w:tcPr>
            <w:tcW w:w="2243" w:type="dxa"/>
            <w:vAlign w:val="top"/>
          </w:tcPr>
          <w:p>
            <w:pPr>
              <w:ind w:left="952"/>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L50</w:t>
            </w:r>
          </w:p>
        </w:tc>
        <w:tc>
          <w:tcPr>
            <w:tcW w:w="1141" w:type="dxa"/>
            <w:vAlign w:val="top"/>
          </w:tcPr>
          <w:p>
            <w:pPr>
              <w:ind w:left="53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12"/>
              <w:spacing w:before="38" w:line="210" w:lineRule="auto"/>
              <w:rPr/>
            </w:pPr>
            <w:r>
              <w:rPr/>
              <w:t>辆</w:t>
            </w:r>
          </w:p>
        </w:tc>
        <w:tc>
          <w:tcPr>
            <w:tcW w:w="1536" w:type="dxa"/>
            <w:vAlign w:val="top"/>
            <w:tcBorders>
              <w:right w:val="nil"/>
            </w:tcBorders>
          </w:tcPr>
          <w:p>
            <w:pPr>
              <w:rPr>
                <w:rFonts w:ascii="Arial"/>
                <w:sz w:val="21"/>
              </w:rPr>
            </w:pPr>
            <w:r/>
          </w:p>
        </w:tc>
      </w:tr>
      <w:tr>
        <w:trPr>
          <w:trHeight w:val="275" w:hRule="atLeast"/>
        </w:trPr>
        <w:tc>
          <w:tcPr>
            <w:tcW w:w="1029" w:type="dxa"/>
            <w:vAlign w:val="top"/>
            <w:tcBorders>
              <w:left w:val="nil"/>
            </w:tcBorders>
          </w:tcPr>
          <w:p>
            <w:pPr>
              <w:ind w:left="47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46" w:type="dxa"/>
            <w:vAlign w:val="top"/>
          </w:tcPr>
          <w:p>
            <w:pPr>
              <w:pStyle w:val="TableText"/>
              <w:ind w:left="681"/>
              <w:spacing w:before="40" w:line="207" w:lineRule="auto"/>
              <w:rPr/>
            </w:pPr>
            <w:r>
              <w:rPr>
                <w:spacing w:val="-1"/>
              </w:rPr>
              <w:t>卡车</w:t>
            </w:r>
          </w:p>
        </w:tc>
        <w:tc>
          <w:tcPr>
            <w:tcW w:w="2243" w:type="dxa"/>
            <w:vAlign w:val="top"/>
          </w:tcPr>
          <w:p>
            <w:pPr>
              <w:rPr>
                <w:rFonts w:ascii="Arial"/>
                <w:sz w:val="21"/>
              </w:rPr>
            </w:pPr>
            <w:r/>
          </w:p>
        </w:tc>
        <w:tc>
          <w:tcPr>
            <w:tcW w:w="1141" w:type="dxa"/>
            <w:vAlign w:val="top"/>
          </w:tcPr>
          <w:p>
            <w:pPr>
              <w:ind w:left="51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4" w:type="dxa"/>
            <w:vAlign w:val="top"/>
          </w:tcPr>
          <w:p>
            <w:pPr>
              <w:pStyle w:val="TableText"/>
              <w:ind w:left="512"/>
              <w:spacing w:before="40" w:line="207" w:lineRule="auto"/>
              <w:rPr/>
            </w:pPr>
            <w:r>
              <w:rPr/>
              <w:t>辆</w:t>
            </w:r>
          </w:p>
        </w:tc>
        <w:tc>
          <w:tcPr>
            <w:tcW w:w="1536" w:type="dxa"/>
            <w:vAlign w:val="top"/>
            <w:tcBorders>
              <w:right w:val="nil"/>
            </w:tcBorders>
          </w:tcPr>
          <w:p>
            <w:pPr>
              <w:rPr>
                <w:rFonts w:ascii="Arial"/>
                <w:sz w:val="21"/>
              </w:rPr>
            </w:pPr>
            <w:r/>
          </w:p>
        </w:tc>
      </w:tr>
      <w:tr>
        <w:trPr>
          <w:trHeight w:val="276" w:hRule="atLeast"/>
        </w:trPr>
        <w:tc>
          <w:tcPr>
            <w:tcW w:w="1029" w:type="dxa"/>
            <w:vAlign w:val="top"/>
            <w:tcBorders>
              <w:left w:val="nil"/>
            </w:tcBorders>
          </w:tcPr>
          <w:p>
            <w:pPr>
              <w:ind w:left="469"/>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46" w:type="dxa"/>
            <w:vAlign w:val="top"/>
          </w:tcPr>
          <w:p>
            <w:pPr>
              <w:pStyle w:val="TableText"/>
              <w:ind w:left="465"/>
              <w:spacing w:before="43" w:line="205" w:lineRule="auto"/>
              <w:rPr/>
            </w:pPr>
            <w:r>
              <w:rPr>
                <w:spacing w:val="5"/>
              </w:rPr>
              <w:t>提升绞车</w:t>
            </w:r>
          </w:p>
        </w:tc>
        <w:tc>
          <w:tcPr>
            <w:tcW w:w="2243" w:type="dxa"/>
            <w:vAlign w:val="top"/>
          </w:tcPr>
          <w:p>
            <w:pPr>
              <w:ind w:left="763"/>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rPr>
              <w:t>JTB</w:t>
            </w:r>
            <w:r>
              <w:rPr>
                <w:rFonts w:ascii="Times New Roman" w:hAnsi="Times New Roman" w:eastAsia="Times New Roman" w:cs="Times New Roman"/>
                <w:sz w:val="20"/>
                <w:szCs w:val="20"/>
                <w:spacing w:val="7"/>
              </w:rPr>
              <w:t>1.6</w:t>
            </w:r>
          </w:p>
        </w:tc>
        <w:tc>
          <w:tcPr>
            <w:tcW w:w="1141" w:type="dxa"/>
            <w:vAlign w:val="top"/>
          </w:tcPr>
          <w:p>
            <w:pPr>
              <w:ind w:left="539"/>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32"/>
              <w:spacing w:before="43" w:line="205" w:lineRule="auto"/>
              <w:rPr/>
            </w:pPr>
            <w:r>
              <w:rPr/>
              <w:t>台</w:t>
            </w:r>
          </w:p>
        </w:tc>
        <w:tc>
          <w:tcPr>
            <w:tcW w:w="1536" w:type="dxa"/>
            <w:vAlign w:val="top"/>
            <w:tcBorders>
              <w:right w:val="nil"/>
            </w:tcBorders>
          </w:tcPr>
          <w:p>
            <w:pPr>
              <w:rPr>
                <w:rFonts w:ascii="Arial"/>
                <w:sz w:val="21"/>
              </w:rPr>
            </w:pPr>
            <w:r/>
          </w:p>
        </w:tc>
      </w:tr>
      <w:tr>
        <w:trPr>
          <w:trHeight w:val="275" w:hRule="atLeast"/>
        </w:trPr>
        <w:tc>
          <w:tcPr>
            <w:tcW w:w="1029" w:type="dxa"/>
            <w:vAlign w:val="top"/>
            <w:tcBorders>
              <w:left w:val="nil"/>
            </w:tcBorders>
          </w:tcPr>
          <w:p>
            <w:pPr>
              <w:ind w:left="474"/>
              <w:spacing w:before="8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46" w:type="dxa"/>
            <w:vAlign w:val="top"/>
          </w:tcPr>
          <w:p>
            <w:pPr>
              <w:pStyle w:val="TableText"/>
              <w:ind w:left="469"/>
              <w:spacing w:before="43" w:line="204" w:lineRule="auto"/>
              <w:rPr/>
            </w:pPr>
            <w:r>
              <w:rPr>
                <w:spacing w:val="4"/>
              </w:rPr>
              <w:t>竖井井架</w:t>
            </w:r>
          </w:p>
        </w:tc>
        <w:tc>
          <w:tcPr>
            <w:tcW w:w="2243" w:type="dxa"/>
            <w:vAlign w:val="top"/>
          </w:tcPr>
          <w:p>
            <w:pPr>
              <w:rPr>
                <w:rFonts w:ascii="Arial"/>
                <w:sz w:val="21"/>
              </w:rPr>
            </w:pPr>
            <w:r/>
          </w:p>
        </w:tc>
        <w:tc>
          <w:tcPr>
            <w:tcW w:w="1141" w:type="dxa"/>
            <w:vAlign w:val="top"/>
          </w:tcPr>
          <w:p>
            <w:pPr>
              <w:ind w:left="539"/>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13"/>
              <w:spacing w:before="43" w:line="204" w:lineRule="auto"/>
              <w:rPr/>
            </w:pPr>
            <w:r>
              <w:rPr/>
              <w:t>套</w:t>
            </w:r>
          </w:p>
        </w:tc>
        <w:tc>
          <w:tcPr>
            <w:tcW w:w="1536" w:type="dxa"/>
            <w:vAlign w:val="top"/>
            <w:tcBorders>
              <w:right w:val="nil"/>
            </w:tcBorders>
          </w:tcPr>
          <w:p>
            <w:pPr>
              <w:rPr>
                <w:rFonts w:ascii="Arial"/>
                <w:sz w:val="21"/>
              </w:rPr>
            </w:pPr>
            <w:r/>
          </w:p>
        </w:tc>
      </w:tr>
      <w:tr>
        <w:trPr>
          <w:trHeight w:val="275" w:hRule="atLeast"/>
        </w:trPr>
        <w:tc>
          <w:tcPr>
            <w:tcW w:w="1029" w:type="dxa"/>
            <w:vAlign w:val="top"/>
            <w:tcBorders>
              <w:left w:val="nil"/>
            </w:tcBorders>
          </w:tcPr>
          <w:p>
            <w:pPr>
              <w:ind w:left="470"/>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46" w:type="dxa"/>
            <w:vAlign w:val="top"/>
          </w:tcPr>
          <w:p>
            <w:pPr>
              <w:pStyle w:val="TableText"/>
              <w:ind w:left="478"/>
              <w:spacing w:before="47" w:line="201" w:lineRule="auto"/>
              <w:rPr/>
            </w:pPr>
            <w:r>
              <w:rPr>
                <w:spacing w:val="2"/>
              </w:rPr>
              <w:t>防坠装置</w:t>
            </w:r>
          </w:p>
        </w:tc>
        <w:tc>
          <w:tcPr>
            <w:tcW w:w="2243" w:type="dxa"/>
            <w:vAlign w:val="top"/>
          </w:tcPr>
          <w:p>
            <w:pPr>
              <w:rPr>
                <w:rFonts w:ascii="Arial"/>
                <w:sz w:val="21"/>
              </w:rPr>
            </w:pPr>
            <w:r/>
          </w:p>
        </w:tc>
        <w:tc>
          <w:tcPr>
            <w:tcW w:w="1141" w:type="dxa"/>
            <w:vAlign w:val="top"/>
          </w:tcPr>
          <w:p>
            <w:pPr>
              <w:ind w:left="539"/>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13"/>
              <w:spacing w:before="47" w:line="201" w:lineRule="auto"/>
              <w:rPr/>
            </w:pPr>
            <w:r>
              <w:rPr/>
              <w:t>套</w:t>
            </w:r>
          </w:p>
        </w:tc>
        <w:tc>
          <w:tcPr>
            <w:tcW w:w="1536" w:type="dxa"/>
            <w:vAlign w:val="top"/>
            <w:tcBorders>
              <w:right w:val="nil"/>
            </w:tcBorders>
          </w:tcPr>
          <w:p>
            <w:pPr>
              <w:rPr>
                <w:rFonts w:ascii="Arial"/>
                <w:sz w:val="21"/>
              </w:rPr>
            </w:pPr>
            <w:r/>
          </w:p>
        </w:tc>
      </w:tr>
      <w:tr>
        <w:trPr>
          <w:trHeight w:val="276" w:hRule="atLeast"/>
        </w:trPr>
        <w:tc>
          <w:tcPr>
            <w:tcW w:w="1029" w:type="dxa"/>
            <w:vAlign w:val="top"/>
            <w:tcBorders>
              <w:left w:val="nil"/>
            </w:tcBorders>
          </w:tcPr>
          <w:p>
            <w:pPr>
              <w:ind w:left="433"/>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746" w:type="dxa"/>
            <w:vAlign w:val="top"/>
          </w:tcPr>
          <w:p>
            <w:pPr>
              <w:pStyle w:val="TableText"/>
              <w:ind w:left="575"/>
              <w:spacing w:before="50" w:line="199" w:lineRule="auto"/>
              <w:rPr/>
            </w:pPr>
            <w:r>
              <w:rPr>
                <w:spacing w:val="3"/>
              </w:rPr>
              <w:t>发电机</w:t>
            </w:r>
          </w:p>
        </w:tc>
        <w:tc>
          <w:tcPr>
            <w:tcW w:w="2243" w:type="dxa"/>
            <w:vAlign w:val="top"/>
          </w:tcPr>
          <w:p>
            <w:pPr>
              <w:ind w:left="847"/>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50</w:t>
            </w:r>
            <w:r>
              <w:rPr>
                <w:rFonts w:ascii="Times New Roman" w:hAnsi="Times New Roman" w:eastAsia="Times New Roman" w:cs="Times New Roman"/>
                <w:sz w:val="20"/>
                <w:szCs w:val="20"/>
              </w:rPr>
              <w:t>KW</w:t>
            </w:r>
          </w:p>
        </w:tc>
        <w:tc>
          <w:tcPr>
            <w:tcW w:w="1141" w:type="dxa"/>
            <w:vAlign w:val="top"/>
          </w:tcPr>
          <w:p>
            <w:pPr>
              <w:ind w:left="53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4" w:type="dxa"/>
            <w:vAlign w:val="top"/>
          </w:tcPr>
          <w:p>
            <w:pPr>
              <w:pStyle w:val="TableText"/>
              <w:ind w:left="532"/>
              <w:spacing w:before="50" w:line="199" w:lineRule="auto"/>
              <w:rPr/>
            </w:pPr>
            <w:r>
              <w:rPr/>
              <w:t>台</w:t>
            </w:r>
          </w:p>
        </w:tc>
        <w:tc>
          <w:tcPr>
            <w:tcW w:w="1536" w:type="dxa"/>
            <w:vAlign w:val="top"/>
            <w:tcBorders>
              <w:right w:val="nil"/>
            </w:tcBorders>
          </w:tcPr>
          <w:p>
            <w:pPr>
              <w:rPr>
                <w:rFonts w:ascii="Arial"/>
                <w:sz w:val="21"/>
              </w:rPr>
            </w:pPr>
            <w:r/>
          </w:p>
        </w:tc>
      </w:tr>
      <w:tr>
        <w:trPr>
          <w:trHeight w:val="276" w:hRule="atLeast"/>
        </w:trPr>
        <w:tc>
          <w:tcPr>
            <w:tcW w:w="1029" w:type="dxa"/>
            <w:vAlign w:val="top"/>
            <w:tcBorders>
              <w:left w:val="nil"/>
            </w:tcBorders>
          </w:tcPr>
          <w:p>
            <w:pPr>
              <w:ind w:left="438"/>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746" w:type="dxa"/>
            <w:vAlign w:val="top"/>
          </w:tcPr>
          <w:p>
            <w:pPr>
              <w:pStyle w:val="TableText"/>
              <w:ind w:left="675"/>
              <w:spacing w:before="49" w:line="200" w:lineRule="auto"/>
              <w:rPr/>
            </w:pPr>
            <w:r>
              <w:rPr>
                <w:spacing w:val="2"/>
              </w:rPr>
              <w:t>矿车</w:t>
            </w:r>
          </w:p>
        </w:tc>
        <w:tc>
          <w:tcPr>
            <w:tcW w:w="2243" w:type="dxa"/>
            <w:vAlign w:val="top"/>
          </w:tcPr>
          <w:p>
            <w:pPr>
              <w:ind w:left="675"/>
              <w:spacing w:before="8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z w:val="20"/>
                <w:szCs w:val="20"/>
                <w:spacing w:val="6"/>
              </w:rPr>
              <w:t>0.5-6U</w:t>
            </w:r>
          </w:p>
        </w:tc>
        <w:tc>
          <w:tcPr>
            <w:tcW w:w="1141" w:type="dxa"/>
            <w:vAlign w:val="top"/>
          </w:tcPr>
          <w:p>
            <w:pPr>
              <w:ind w:left="524"/>
              <w:spacing w:before="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4" w:type="dxa"/>
            <w:vAlign w:val="top"/>
          </w:tcPr>
          <w:p>
            <w:pPr>
              <w:pStyle w:val="TableText"/>
              <w:ind w:left="512"/>
              <w:spacing w:before="49" w:line="200" w:lineRule="auto"/>
              <w:rPr/>
            </w:pPr>
            <w:r>
              <w:rPr/>
              <w:t>辆</w:t>
            </w:r>
          </w:p>
        </w:tc>
        <w:tc>
          <w:tcPr>
            <w:tcW w:w="1536" w:type="dxa"/>
            <w:vAlign w:val="top"/>
            <w:tcBorders>
              <w:right w:val="nil"/>
            </w:tcBorders>
          </w:tcPr>
          <w:p>
            <w:pPr>
              <w:rPr>
                <w:rFonts w:ascii="Arial"/>
                <w:sz w:val="21"/>
              </w:rPr>
            </w:pPr>
            <w:r/>
          </w:p>
        </w:tc>
      </w:tr>
      <w:tr>
        <w:trPr>
          <w:trHeight w:val="276" w:hRule="atLeast"/>
        </w:trPr>
        <w:tc>
          <w:tcPr>
            <w:tcW w:w="1029" w:type="dxa"/>
            <w:vAlign w:val="top"/>
            <w:tcBorders>
              <w:left w:val="nil"/>
            </w:tcBorders>
          </w:tcPr>
          <w:p>
            <w:pPr>
              <w:ind w:left="433"/>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746" w:type="dxa"/>
            <w:vAlign w:val="top"/>
          </w:tcPr>
          <w:p>
            <w:pPr>
              <w:pStyle w:val="TableText"/>
              <w:ind w:left="573"/>
              <w:spacing w:before="52" w:line="197" w:lineRule="auto"/>
              <w:rPr/>
            </w:pPr>
            <w:r>
              <w:rPr>
                <w:spacing w:val="3"/>
              </w:rPr>
              <w:t>凿岩机</w:t>
            </w:r>
          </w:p>
        </w:tc>
        <w:tc>
          <w:tcPr>
            <w:tcW w:w="2243" w:type="dxa"/>
            <w:vAlign w:val="top"/>
          </w:tcPr>
          <w:p>
            <w:pPr>
              <w:ind w:left="849"/>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YT</w:t>
            </w:r>
            <w:r>
              <w:rPr>
                <w:rFonts w:ascii="Times New Roman" w:hAnsi="Times New Roman" w:eastAsia="Times New Roman" w:cs="Times New Roman"/>
                <w:sz w:val="20"/>
                <w:szCs w:val="20"/>
                <w:spacing w:val="2"/>
              </w:rPr>
              <w:t>-23</w:t>
            </w:r>
          </w:p>
        </w:tc>
        <w:tc>
          <w:tcPr>
            <w:tcW w:w="1141" w:type="dxa"/>
            <w:vAlign w:val="top"/>
          </w:tcPr>
          <w:p>
            <w:pPr>
              <w:ind w:left="523"/>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14" w:type="dxa"/>
            <w:vAlign w:val="top"/>
          </w:tcPr>
          <w:p>
            <w:pPr>
              <w:pStyle w:val="TableText"/>
              <w:ind w:left="532"/>
              <w:spacing w:before="52" w:line="197" w:lineRule="auto"/>
              <w:rPr/>
            </w:pPr>
            <w:r>
              <w:rPr/>
              <w:t>台</w:t>
            </w:r>
          </w:p>
        </w:tc>
        <w:tc>
          <w:tcPr>
            <w:tcW w:w="1536" w:type="dxa"/>
            <w:vAlign w:val="top"/>
            <w:tcBorders>
              <w:right w:val="nil"/>
            </w:tcBorders>
          </w:tcPr>
          <w:p>
            <w:pPr>
              <w:pStyle w:val="TableText"/>
              <w:ind w:left="374"/>
              <w:spacing w:before="52" w:line="197" w:lineRule="auto"/>
              <w:rPr/>
            </w:pPr>
            <w:r>
              <w:rPr>
                <w:rFonts w:ascii="Times New Roman" w:hAnsi="Times New Roman" w:eastAsia="Times New Roman" w:cs="Times New Roman"/>
                <w:spacing w:val="-7"/>
              </w:rPr>
              <w:t>2</w:t>
            </w:r>
            <w:r>
              <w:rPr>
                <w:rFonts w:ascii="Times New Roman" w:hAnsi="Times New Roman" w:eastAsia="Times New Roman" w:cs="Times New Roman"/>
                <w:spacing w:val="20"/>
              </w:rPr>
              <w:t xml:space="preserve"> </w:t>
            </w:r>
            <w:r>
              <w:rPr>
                <w:spacing w:val="-7"/>
              </w:rPr>
              <w:t>用</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备</w:t>
            </w:r>
          </w:p>
        </w:tc>
      </w:tr>
      <w:tr>
        <w:trPr>
          <w:trHeight w:val="276" w:hRule="atLeast"/>
        </w:trPr>
        <w:tc>
          <w:tcPr>
            <w:tcW w:w="1029" w:type="dxa"/>
            <w:vAlign w:val="top"/>
            <w:tcBorders>
              <w:left w:val="nil"/>
            </w:tcBorders>
          </w:tcPr>
          <w:p>
            <w:pPr>
              <w:ind w:left="433"/>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746" w:type="dxa"/>
            <w:vAlign w:val="top"/>
          </w:tcPr>
          <w:p>
            <w:pPr>
              <w:pStyle w:val="TableText"/>
              <w:ind w:left="581"/>
              <w:spacing w:before="54" w:line="195" w:lineRule="auto"/>
              <w:rPr/>
            </w:pPr>
            <w:r>
              <w:rPr>
                <w:spacing w:val="1"/>
              </w:rPr>
              <w:t>空压机</w:t>
            </w:r>
          </w:p>
        </w:tc>
        <w:tc>
          <w:tcPr>
            <w:tcW w:w="2243" w:type="dxa"/>
            <w:vAlign w:val="top"/>
          </w:tcPr>
          <w:p>
            <w:pPr>
              <w:ind w:left="779"/>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JQ</w:t>
            </w:r>
            <w:r>
              <w:rPr>
                <w:rFonts w:ascii="Times New Roman" w:hAnsi="Times New Roman" w:eastAsia="Times New Roman" w:cs="Times New Roman"/>
                <w:sz w:val="20"/>
                <w:szCs w:val="20"/>
                <w:spacing w:val="5"/>
              </w:rPr>
              <w:t>-82-6</w:t>
            </w:r>
          </w:p>
        </w:tc>
        <w:tc>
          <w:tcPr>
            <w:tcW w:w="1141" w:type="dxa"/>
            <w:vAlign w:val="top"/>
          </w:tcPr>
          <w:p>
            <w:pPr>
              <w:ind w:left="523"/>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14" w:type="dxa"/>
            <w:vAlign w:val="top"/>
          </w:tcPr>
          <w:p>
            <w:pPr>
              <w:pStyle w:val="TableText"/>
              <w:ind w:left="532"/>
              <w:spacing w:before="54" w:line="195" w:lineRule="auto"/>
              <w:rPr/>
            </w:pPr>
            <w:r>
              <w:rPr/>
              <w:t>台</w:t>
            </w:r>
          </w:p>
        </w:tc>
        <w:tc>
          <w:tcPr>
            <w:tcW w:w="1536" w:type="dxa"/>
            <w:vAlign w:val="top"/>
            <w:tcBorders>
              <w:right w:val="nil"/>
            </w:tcBorders>
          </w:tcPr>
          <w:p>
            <w:pPr>
              <w:pStyle w:val="TableText"/>
              <w:ind w:left="374"/>
              <w:spacing w:before="54" w:line="195" w:lineRule="auto"/>
              <w:rPr/>
            </w:pPr>
            <w:r>
              <w:rPr>
                <w:rFonts w:ascii="Times New Roman" w:hAnsi="Times New Roman" w:eastAsia="Times New Roman" w:cs="Times New Roman"/>
                <w:spacing w:val="-7"/>
              </w:rPr>
              <w:t>2</w:t>
            </w:r>
            <w:r>
              <w:rPr>
                <w:rFonts w:ascii="Times New Roman" w:hAnsi="Times New Roman" w:eastAsia="Times New Roman" w:cs="Times New Roman"/>
                <w:spacing w:val="20"/>
              </w:rPr>
              <w:t xml:space="preserve"> </w:t>
            </w:r>
            <w:r>
              <w:rPr>
                <w:spacing w:val="-7"/>
              </w:rPr>
              <w:t>用</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备</w:t>
            </w:r>
          </w:p>
        </w:tc>
      </w:tr>
      <w:tr>
        <w:trPr>
          <w:trHeight w:val="299" w:hRule="atLeast"/>
        </w:trPr>
        <w:tc>
          <w:tcPr>
            <w:tcW w:w="1029" w:type="dxa"/>
            <w:vAlign w:val="top"/>
            <w:tcBorders>
              <w:left w:val="nil"/>
              <w:bottom w:val="single" w:color="000000" w:sz="10" w:space="0"/>
            </w:tcBorders>
          </w:tcPr>
          <w:p>
            <w:pPr>
              <w:ind w:left="433"/>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746" w:type="dxa"/>
            <w:vAlign w:val="top"/>
            <w:tcBorders>
              <w:bottom w:val="single" w:color="000000" w:sz="10" w:space="0"/>
            </w:tcBorders>
          </w:tcPr>
          <w:p>
            <w:pPr>
              <w:pStyle w:val="TableText"/>
              <w:ind w:left="678"/>
              <w:spacing w:before="53" w:line="217" w:lineRule="auto"/>
              <w:rPr/>
            </w:pPr>
            <w:r>
              <w:rPr/>
              <w:t>局扇</w:t>
            </w:r>
          </w:p>
        </w:tc>
        <w:tc>
          <w:tcPr>
            <w:tcW w:w="2243" w:type="dxa"/>
            <w:vAlign w:val="top"/>
            <w:tcBorders>
              <w:bottom w:val="single" w:color="000000" w:sz="10" w:space="0"/>
            </w:tcBorders>
          </w:tcPr>
          <w:p>
            <w:pPr>
              <w:ind w:left="74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BKJ</w:t>
            </w:r>
            <w:r>
              <w:rPr>
                <w:rFonts w:ascii="Times New Roman" w:hAnsi="Times New Roman" w:eastAsia="Times New Roman" w:cs="Times New Roman"/>
                <w:sz w:val="20"/>
                <w:szCs w:val="20"/>
                <w:spacing w:val="7"/>
              </w:rPr>
              <w:t>66-1</w:t>
            </w:r>
          </w:p>
        </w:tc>
        <w:tc>
          <w:tcPr>
            <w:tcW w:w="1141" w:type="dxa"/>
            <w:vAlign w:val="top"/>
            <w:tcBorders>
              <w:bottom w:val="single" w:color="000000" w:sz="10" w:space="0"/>
            </w:tcBorders>
          </w:tcPr>
          <w:p>
            <w:pPr>
              <w:ind w:left="52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14" w:type="dxa"/>
            <w:vAlign w:val="top"/>
            <w:tcBorders>
              <w:bottom w:val="single" w:color="000000" w:sz="10" w:space="0"/>
            </w:tcBorders>
          </w:tcPr>
          <w:p>
            <w:pPr>
              <w:pStyle w:val="TableText"/>
              <w:ind w:left="532"/>
              <w:spacing w:before="53" w:line="217" w:lineRule="auto"/>
              <w:rPr/>
            </w:pPr>
            <w:r>
              <w:rPr/>
              <w:t>台</w:t>
            </w:r>
          </w:p>
        </w:tc>
        <w:tc>
          <w:tcPr>
            <w:tcW w:w="1536" w:type="dxa"/>
            <w:vAlign w:val="top"/>
            <w:tcBorders>
              <w:right w:val="nil"/>
              <w:bottom w:val="single" w:color="000000" w:sz="10" w:space="0"/>
            </w:tcBorders>
          </w:tcPr>
          <w:p>
            <w:pPr>
              <w:pStyle w:val="TableText"/>
              <w:ind w:left="374"/>
              <w:spacing w:before="53" w:line="217" w:lineRule="auto"/>
              <w:rPr/>
            </w:pPr>
            <w:r>
              <w:rPr>
                <w:rFonts w:ascii="Times New Roman" w:hAnsi="Times New Roman" w:eastAsia="Times New Roman" w:cs="Times New Roman"/>
                <w:spacing w:val="-7"/>
              </w:rPr>
              <w:t>2</w:t>
            </w:r>
            <w:r>
              <w:rPr>
                <w:rFonts w:ascii="Times New Roman" w:hAnsi="Times New Roman" w:eastAsia="Times New Roman" w:cs="Times New Roman"/>
                <w:spacing w:val="20"/>
              </w:rPr>
              <w:t xml:space="preserve"> </w:t>
            </w:r>
            <w:r>
              <w:rPr>
                <w:spacing w:val="-7"/>
              </w:rPr>
              <w:t>用</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备</w:t>
            </w:r>
          </w:p>
        </w:tc>
      </w:tr>
    </w:tbl>
    <w:p>
      <w:pPr>
        <w:pStyle w:val="BodyText"/>
        <w:spacing w:line="371" w:lineRule="auto"/>
        <w:rPr/>
      </w:pPr>
      <w:r/>
    </w:p>
    <w:p>
      <w:pPr>
        <w:ind w:left="110"/>
        <w:spacing w:before="79" w:line="220" w:lineRule="auto"/>
        <w:outlineLvl w:val="2"/>
        <w:rPr>
          <w:rFonts w:ascii="FangSong" w:hAnsi="FangSong" w:eastAsia="FangSong" w:cs="FangSong"/>
          <w:sz w:val="24"/>
          <w:szCs w:val="24"/>
        </w:rPr>
      </w:pPr>
      <w:bookmarkStart w:name="bookmark101" w:id="139"/>
      <w:bookmarkEnd w:id="139"/>
      <w:bookmarkStart w:name="bookmark100" w:id="140"/>
      <w:bookmarkEnd w:id="140"/>
      <w:r>
        <w:rPr>
          <w:rFonts w:ascii="Times New Roman" w:hAnsi="Times New Roman" w:eastAsia="Times New Roman" w:cs="Times New Roman"/>
          <w:sz w:val="24"/>
          <w:szCs w:val="24"/>
          <w:b/>
          <w:bCs/>
          <w:spacing w:val="-2"/>
        </w:rPr>
        <w:t>3.2.3  </w:t>
      </w:r>
      <w:r>
        <w:rPr>
          <w:rFonts w:ascii="FangSong" w:hAnsi="FangSong" w:eastAsia="FangSong" w:cs="FangSong"/>
          <w:sz w:val="24"/>
          <w:szCs w:val="24"/>
          <w:b/>
          <w:bCs/>
          <w:spacing w:val="-2"/>
        </w:rPr>
        <w:t>变更前主要原辅材料</w:t>
      </w:r>
    </w:p>
    <w:p>
      <w:pPr>
        <w:ind w:left="603"/>
        <w:spacing w:before="179" w:line="220" w:lineRule="auto"/>
        <w:rPr>
          <w:rFonts w:ascii="FangSong" w:hAnsi="FangSong" w:eastAsia="FangSong" w:cs="FangSong"/>
          <w:sz w:val="24"/>
          <w:szCs w:val="24"/>
        </w:rPr>
      </w:pPr>
      <w:r>
        <w:rPr>
          <w:rFonts w:ascii="FangSong" w:hAnsi="FangSong" w:eastAsia="FangSong" w:cs="FangSong"/>
          <w:sz w:val="24"/>
          <w:szCs w:val="24"/>
          <w:spacing w:val="-2"/>
        </w:rPr>
        <w:t>项目变更前主要原辅材料情况见表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3.2-3</w:t>
      </w:r>
      <w:r>
        <w:rPr>
          <w:rFonts w:ascii="FangSong" w:hAnsi="FangSong" w:eastAsia="FangSong" w:cs="FangSong"/>
          <w:sz w:val="24"/>
          <w:szCs w:val="24"/>
          <w:spacing w:val="-2"/>
        </w:rPr>
        <w:t>。</w:t>
      </w:r>
    </w:p>
    <w:p>
      <w:pPr>
        <w:ind w:left="2082"/>
        <w:spacing w:before="182" w:line="220"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b/>
          <w:bCs/>
          <w:spacing w:val="-2"/>
        </w:rPr>
        <w:t>3.2-3  </w:t>
      </w:r>
      <w:r>
        <w:rPr>
          <w:rFonts w:ascii="FangSong" w:hAnsi="FangSong" w:eastAsia="FangSong" w:cs="FangSong"/>
          <w:sz w:val="24"/>
          <w:szCs w:val="24"/>
          <w:b/>
          <w:bCs/>
          <w:spacing w:val="-2"/>
        </w:rPr>
        <w:t>项目变更前主要原辅材料情况一</w:t>
      </w:r>
      <w:r>
        <w:rPr>
          <w:rFonts w:ascii="FangSong" w:hAnsi="FangSong" w:eastAsia="FangSong" w:cs="FangSong"/>
          <w:sz w:val="24"/>
          <w:szCs w:val="24"/>
          <w:b/>
          <w:bCs/>
          <w:spacing w:val="-3"/>
        </w:rPr>
        <w:t>览表</w:t>
      </w:r>
    </w:p>
    <w:p>
      <w:pPr>
        <w:spacing w:line="220" w:lineRule="auto"/>
        <w:sectPr>
          <w:footerReference w:type="default" r:id="rId88"/>
          <w:pgSz w:w="11911" w:h="16839"/>
          <w:pgMar w:top="400" w:right="1310" w:bottom="1146" w:left="1691" w:header="0" w:footer="984" w:gutter="0"/>
        </w:sectPr>
        <w:rPr>
          <w:rFonts w:ascii="FangSong" w:hAnsi="FangSong" w:eastAsia="FangSong" w:cs="FangSong"/>
          <w:sz w:val="24"/>
          <w:szCs w:val="24"/>
        </w:rPr>
      </w:pPr>
    </w:p>
    <w:p>
      <w:pPr>
        <w:spacing w:before="19"/>
        <w:rPr/>
      </w:pPr>
      <w:r/>
    </w:p>
    <w:p>
      <w:pPr>
        <w:spacing w:before="19"/>
        <w:rPr/>
      </w:pPr>
      <w:r/>
    </w:p>
    <w:p>
      <w:pPr>
        <w:spacing w:before="18"/>
        <w:rPr/>
      </w:pPr>
      <w:r/>
    </w:p>
    <w:p>
      <w:pPr>
        <w:spacing w:before="18"/>
        <w:rPr/>
      </w:pPr>
      <w:r/>
    </w:p>
    <w:tbl>
      <w:tblPr>
        <w:tblStyle w:val="TableNormal"/>
        <w:tblW w:w="890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4"/>
        <w:gridCol w:w="1321"/>
        <w:gridCol w:w="1838"/>
        <w:gridCol w:w="1838"/>
        <w:gridCol w:w="2997"/>
      </w:tblGrid>
      <w:tr>
        <w:trPr>
          <w:trHeight w:val="350" w:hRule="atLeast"/>
        </w:trPr>
        <w:tc>
          <w:tcPr>
            <w:tcW w:w="914" w:type="dxa"/>
            <w:vAlign w:val="top"/>
            <w:tcBorders>
              <w:left w:val="nil"/>
              <w:top w:val="single" w:color="000000" w:sz="10" w:space="0"/>
            </w:tcBorders>
          </w:tcPr>
          <w:p>
            <w:pPr>
              <w:pStyle w:val="TableText"/>
              <w:ind w:left="261"/>
              <w:spacing w:before="72" w:line="231" w:lineRule="auto"/>
              <w:rPr/>
            </w:pPr>
            <w:r>
              <w:rPr>
                <w:spacing w:val="2"/>
              </w:rPr>
              <w:t>序号</w:t>
            </w:r>
          </w:p>
        </w:tc>
        <w:tc>
          <w:tcPr>
            <w:tcW w:w="1321" w:type="dxa"/>
            <w:vAlign w:val="top"/>
            <w:tcBorders>
              <w:top w:val="single" w:color="000000" w:sz="10" w:space="0"/>
            </w:tcBorders>
          </w:tcPr>
          <w:p>
            <w:pPr>
              <w:pStyle w:val="TableText"/>
              <w:ind w:left="461"/>
              <w:spacing w:before="72" w:line="229" w:lineRule="auto"/>
              <w:rPr/>
            </w:pPr>
            <w:r>
              <w:rPr>
                <w:spacing w:val="1"/>
              </w:rPr>
              <w:t>名称</w:t>
            </w:r>
          </w:p>
        </w:tc>
        <w:tc>
          <w:tcPr>
            <w:tcW w:w="1838" w:type="dxa"/>
            <w:vAlign w:val="top"/>
            <w:tcBorders>
              <w:top w:val="single" w:color="000000" w:sz="10" w:space="0"/>
            </w:tcBorders>
          </w:tcPr>
          <w:p>
            <w:pPr>
              <w:pStyle w:val="TableText"/>
              <w:ind w:left="725"/>
              <w:spacing w:before="72" w:line="229" w:lineRule="auto"/>
              <w:rPr/>
            </w:pPr>
            <w:r>
              <w:rPr>
                <w:spacing w:val="-1"/>
              </w:rPr>
              <w:t>单位</w:t>
            </w:r>
          </w:p>
        </w:tc>
        <w:tc>
          <w:tcPr>
            <w:tcW w:w="1838" w:type="dxa"/>
            <w:vAlign w:val="top"/>
            <w:tcBorders>
              <w:top w:val="single" w:color="000000" w:sz="10" w:space="0"/>
            </w:tcBorders>
          </w:tcPr>
          <w:p>
            <w:pPr>
              <w:pStyle w:val="TableText"/>
              <w:ind w:left="409"/>
              <w:spacing w:before="72" w:line="230" w:lineRule="auto"/>
              <w:rPr/>
            </w:pPr>
            <w:r>
              <w:rPr>
                <w:spacing w:val="6"/>
              </w:rPr>
              <w:t>年消耗数量</w:t>
            </w:r>
          </w:p>
        </w:tc>
        <w:tc>
          <w:tcPr>
            <w:tcW w:w="2997" w:type="dxa"/>
            <w:vAlign w:val="top"/>
            <w:tcBorders>
              <w:right w:val="nil"/>
              <w:top w:val="single" w:color="000000" w:sz="10" w:space="0"/>
            </w:tcBorders>
          </w:tcPr>
          <w:p>
            <w:pPr>
              <w:pStyle w:val="TableText"/>
              <w:ind w:left="1302"/>
              <w:spacing w:before="72" w:line="233" w:lineRule="auto"/>
              <w:rPr/>
            </w:pPr>
            <w:r>
              <w:rPr>
                <w:spacing w:val="1"/>
              </w:rPr>
              <w:t>备注</w:t>
            </w:r>
          </w:p>
        </w:tc>
      </w:tr>
      <w:tr>
        <w:trPr>
          <w:trHeight w:val="345" w:hRule="atLeast"/>
        </w:trPr>
        <w:tc>
          <w:tcPr>
            <w:tcW w:w="914" w:type="dxa"/>
            <w:vAlign w:val="top"/>
            <w:tcBorders>
              <w:left w:val="nil"/>
            </w:tcBorders>
          </w:tcPr>
          <w:p>
            <w:pPr>
              <w:ind w:left="42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1" w:type="dxa"/>
            <w:vAlign w:val="top"/>
          </w:tcPr>
          <w:p>
            <w:pPr>
              <w:pStyle w:val="TableText"/>
              <w:ind w:left="460"/>
              <w:spacing w:before="72" w:line="231" w:lineRule="auto"/>
              <w:rPr/>
            </w:pPr>
            <w:r>
              <w:rPr>
                <w:spacing w:val="2"/>
              </w:rPr>
              <w:t>炸药</w:t>
            </w:r>
          </w:p>
        </w:tc>
        <w:tc>
          <w:tcPr>
            <w:tcW w:w="1838" w:type="dxa"/>
            <w:vAlign w:val="top"/>
          </w:tcPr>
          <w:p>
            <w:pPr>
              <w:ind w:left="889"/>
              <w:spacing w:before="126"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838" w:type="dxa"/>
            <w:vAlign w:val="top"/>
          </w:tcPr>
          <w:p>
            <w:pPr>
              <w:ind w:left="820"/>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997" w:type="dxa"/>
            <w:vAlign w:val="top"/>
            <w:tcBorders>
              <w:right w:val="nil"/>
            </w:tcBorders>
          </w:tcPr>
          <w:p>
            <w:pPr>
              <w:rPr>
                <w:rFonts w:ascii="Arial"/>
                <w:sz w:val="21"/>
              </w:rPr>
            </w:pPr>
            <w:r/>
          </w:p>
        </w:tc>
      </w:tr>
      <w:tr>
        <w:trPr>
          <w:trHeight w:val="345" w:hRule="atLeast"/>
        </w:trPr>
        <w:tc>
          <w:tcPr>
            <w:tcW w:w="914" w:type="dxa"/>
            <w:vAlign w:val="top"/>
            <w:tcBorders>
              <w:left w:val="nil"/>
            </w:tcBorders>
          </w:tcPr>
          <w:p>
            <w:pPr>
              <w:ind w:left="408"/>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1" w:type="dxa"/>
            <w:vAlign w:val="top"/>
          </w:tcPr>
          <w:p>
            <w:pPr>
              <w:pStyle w:val="TableText"/>
              <w:ind w:left="472"/>
              <w:spacing w:before="77" w:line="232" w:lineRule="auto"/>
              <w:rPr/>
            </w:pPr>
            <w:r>
              <w:rPr>
                <w:spacing w:val="-4"/>
              </w:rPr>
              <w:t>雷管</w:t>
            </w:r>
          </w:p>
        </w:tc>
        <w:tc>
          <w:tcPr>
            <w:tcW w:w="1838" w:type="dxa"/>
            <w:vAlign w:val="top"/>
          </w:tcPr>
          <w:p>
            <w:pPr>
              <w:pStyle w:val="TableText"/>
              <w:ind w:left="723"/>
              <w:spacing w:before="77" w:line="232" w:lineRule="auto"/>
              <w:rPr/>
            </w:pPr>
            <w:r>
              <w:rPr>
                <w:spacing w:val="1"/>
              </w:rPr>
              <w:t>万个</w:t>
            </w:r>
          </w:p>
        </w:tc>
        <w:tc>
          <w:tcPr>
            <w:tcW w:w="1838" w:type="dxa"/>
            <w:vAlign w:val="top"/>
          </w:tcPr>
          <w:p>
            <w:pPr>
              <w:ind w:left="794"/>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6.8</w:t>
            </w:r>
          </w:p>
        </w:tc>
        <w:tc>
          <w:tcPr>
            <w:tcW w:w="2997" w:type="dxa"/>
            <w:vAlign w:val="top"/>
            <w:tcBorders>
              <w:right w:val="nil"/>
            </w:tcBorders>
          </w:tcPr>
          <w:p>
            <w:pPr>
              <w:rPr>
                <w:rFonts w:ascii="Arial"/>
                <w:sz w:val="21"/>
              </w:rPr>
            </w:pPr>
            <w:r/>
          </w:p>
        </w:tc>
      </w:tr>
      <w:tr>
        <w:trPr>
          <w:trHeight w:val="273" w:hRule="atLeast"/>
        </w:trPr>
        <w:tc>
          <w:tcPr>
            <w:tcW w:w="914" w:type="dxa"/>
            <w:vAlign w:val="top"/>
            <w:tcBorders>
              <w:left w:val="nil"/>
            </w:tcBorders>
          </w:tcPr>
          <w:p>
            <w:pPr>
              <w:ind w:left="412"/>
              <w:spacing w:before="82"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1" w:type="dxa"/>
            <w:vAlign w:val="top"/>
          </w:tcPr>
          <w:p>
            <w:pPr>
              <w:pStyle w:val="TableText"/>
              <w:ind w:left="566"/>
              <w:spacing w:before="47" w:line="199" w:lineRule="auto"/>
              <w:rPr/>
            </w:pPr>
            <w:r>
              <w:rPr/>
              <w:t>水</w:t>
            </w:r>
          </w:p>
        </w:tc>
        <w:tc>
          <w:tcPr>
            <w:tcW w:w="1838" w:type="dxa"/>
            <w:vAlign w:val="top"/>
          </w:tcPr>
          <w:p>
            <w:pPr>
              <w:ind w:left="783"/>
              <w:spacing w:before="82"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m3</w:t>
            </w:r>
          </w:p>
        </w:tc>
        <w:tc>
          <w:tcPr>
            <w:tcW w:w="1838" w:type="dxa"/>
            <w:vAlign w:val="top"/>
          </w:tcPr>
          <w:p>
            <w:pPr>
              <w:ind w:left="766"/>
              <w:spacing w:before="85"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775</w:t>
            </w:r>
          </w:p>
        </w:tc>
        <w:tc>
          <w:tcPr>
            <w:tcW w:w="2997" w:type="dxa"/>
            <w:vAlign w:val="top"/>
            <w:tcBorders>
              <w:right w:val="nil"/>
            </w:tcBorders>
          </w:tcPr>
          <w:p>
            <w:pPr>
              <w:pStyle w:val="TableText"/>
              <w:ind w:left="1102"/>
              <w:spacing w:before="47" w:line="199" w:lineRule="auto"/>
              <w:rPr/>
            </w:pPr>
            <w:r>
              <w:rPr>
                <w:spacing w:val="2"/>
              </w:rPr>
              <w:t>生活用水</w:t>
            </w:r>
          </w:p>
        </w:tc>
      </w:tr>
      <w:tr>
        <w:trPr>
          <w:trHeight w:val="458" w:hRule="atLeast"/>
        </w:trPr>
        <w:tc>
          <w:tcPr>
            <w:tcW w:w="914" w:type="dxa"/>
            <w:vAlign w:val="top"/>
            <w:tcBorders>
              <w:left w:val="nil"/>
              <w:bottom w:val="single" w:color="000000" w:sz="10" w:space="0"/>
            </w:tcBorders>
          </w:tcPr>
          <w:p>
            <w:pPr>
              <w:ind w:left="407"/>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321" w:type="dxa"/>
            <w:vAlign w:val="top"/>
            <w:tcBorders>
              <w:bottom w:val="single" w:color="000000" w:sz="10" w:space="0"/>
            </w:tcBorders>
          </w:tcPr>
          <w:p>
            <w:pPr>
              <w:pStyle w:val="TableText"/>
              <w:ind w:left="589"/>
              <w:spacing w:before="131" w:line="237" w:lineRule="auto"/>
              <w:rPr/>
            </w:pPr>
            <w:r>
              <w:rPr/>
              <w:t>电</w:t>
            </w:r>
          </w:p>
        </w:tc>
        <w:tc>
          <w:tcPr>
            <w:tcW w:w="1838" w:type="dxa"/>
            <w:vAlign w:val="top"/>
            <w:tcBorders>
              <w:bottom w:val="single" w:color="000000" w:sz="10" w:space="0"/>
            </w:tcBorders>
          </w:tcPr>
          <w:p>
            <w:pPr>
              <w:pStyle w:val="TableText"/>
              <w:ind w:left="521"/>
              <w:spacing w:before="131" w:line="234" w:lineRule="auto"/>
              <w:rPr>
                <w:rFonts w:ascii="Times New Roman" w:hAnsi="Times New Roman" w:eastAsia="Times New Roman" w:cs="Times New Roman"/>
              </w:rPr>
            </w:pPr>
            <w:r>
              <w:rPr>
                <w:spacing w:val="4"/>
              </w:rPr>
              <w:t>万</w:t>
            </w:r>
            <w:r>
              <w:rPr>
                <w:spacing w:val="-42"/>
              </w:rPr>
              <w:t xml:space="preserve"> </w:t>
            </w:r>
            <w:r>
              <w:rPr>
                <w:rFonts w:ascii="Times New Roman" w:hAnsi="Times New Roman" w:eastAsia="Times New Roman" w:cs="Times New Roman"/>
              </w:rPr>
              <w:t>Kwh</w:t>
            </w:r>
            <w:r>
              <w:rPr>
                <w:rFonts w:ascii="Times New Roman" w:hAnsi="Times New Roman" w:eastAsia="Times New Roman" w:cs="Times New Roman"/>
                <w:spacing w:val="4"/>
              </w:rPr>
              <w:t>/a</w:t>
            </w:r>
          </w:p>
        </w:tc>
        <w:tc>
          <w:tcPr>
            <w:tcW w:w="1838" w:type="dxa"/>
            <w:vAlign w:val="top"/>
            <w:tcBorders>
              <w:bottom w:val="single" w:color="000000" w:sz="10" w:space="0"/>
            </w:tcBorders>
          </w:tcPr>
          <w:p>
            <w:pPr>
              <w:ind w:left="683"/>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21.22</w:t>
            </w:r>
          </w:p>
        </w:tc>
        <w:tc>
          <w:tcPr>
            <w:tcW w:w="2997" w:type="dxa"/>
            <w:vAlign w:val="top"/>
            <w:tcBorders>
              <w:right w:val="nil"/>
              <w:bottom w:val="single" w:color="000000" w:sz="10" w:space="0"/>
            </w:tcBorders>
          </w:tcPr>
          <w:p>
            <w:pPr>
              <w:pStyle w:val="TableText"/>
              <w:ind w:left="1089"/>
              <w:spacing w:before="131" w:line="232" w:lineRule="auto"/>
              <w:rPr/>
            </w:pPr>
            <w:r>
              <w:rPr>
                <w:spacing w:val="5"/>
              </w:rPr>
              <w:t>矿区供电</w:t>
            </w:r>
          </w:p>
        </w:tc>
      </w:tr>
    </w:tbl>
    <w:p>
      <w:pPr>
        <w:pStyle w:val="BodyText"/>
        <w:spacing w:line="364" w:lineRule="auto"/>
        <w:rPr/>
      </w:pPr>
      <w:r/>
    </w:p>
    <w:p>
      <w:pPr>
        <w:ind w:left="113"/>
        <w:spacing w:before="91" w:line="222" w:lineRule="auto"/>
        <w:outlineLvl w:val="1"/>
        <w:rPr>
          <w:rFonts w:ascii="FangSong" w:hAnsi="FangSong" w:eastAsia="FangSong" w:cs="FangSong"/>
          <w:sz w:val="28"/>
          <w:szCs w:val="28"/>
        </w:rPr>
      </w:pPr>
      <w:bookmarkStart w:name="bookmark103" w:id="141"/>
      <w:bookmarkEnd w:id="141"/>
      <w:bookmarkStart w:name="bookmark105" w:id="142"/>
      <w:bookmarkEnd w:id="142"/>
      <w:bookmarkStart w:name="bookmark102" w:id="143"/>
      <w:bookmarkEnd w:id="143"/>
      <w:bookmarkStart w:name="bookmark104" w:id="144"/>
      <w:bookmarkEnd w:id="144"/>
      <w:r>
        <w:rPr>
          <w:rFonts w:ascii="Times New Roman" w:hAnsi="Times New Roman" w:eastAsia="Times New Roman" w:cs="Times New Roman"/>
          <w:sz w:val="28"/>
          <w:szCs w:val="28"/>
          <w:b/>
          <w:bCs/>
          <w:spacing w:val="-2"/>
        </w:rPr>
        <w:t>3.3  </w:t>
      </w:r>
      <w:r>
        <w:rPr>
          <w:rFonts w:ascii="FangSong" w:hAnsi="FangSong" w:eastAsia="FangSong" w:cs="FangSong"/>
          <w:sz w:val="28"/>
          <w:szCs w:val="28"/>
          <w:b/>
          <w:bCs/>
          <w:spacing w:val="-2"/>
        </w:rPr>
        <w:t>变更前公用工程情况</w:t>
      </w:r>
    </w:p>
    <w:p>
      <w:pPr>
        <w:ind w:left="112"/>
        <w:spacing w:before="200" w:line="222" w:lineRule="auto"/>
        <w:outlineLvl w:val="2"/>
        <w:rPr>
          <w:rFonts w:ascii="FangSong" w:hAnsi="FangSong" w:eastAsia="FangSong" w:cs="FangSong"/>
          <w:sz w:val="24"/>
          <w:szCs w:val="24"/>
        </w:rPr>
      </w:pPr>
      <w:bookmarkStart w:name="bookmark529" w:id="145"/>
      <w:bookmarkEnd w:id="145"/>
      <w:r>
        <w:rPr>
          <w:rFonts w:ascii="Times New Roman" w:hAnsi="Times New Roman" w:eastAsia="Times New Roman" w:cs="Times New Roman"/>
          <w:sz w:val="24"/>
          <w:szCs w:val="24"/>
          <w:b/>
          <w:bCs/>
          <w:spacing w:val="-3"/>
        </w:rPr>
        <w:t>3.3.1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给排水工程</w:t>
      </w:r>
    </w:p>
    <w:p>
      <w:pPr>
        <w:ind w:left="112"/>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3.3.1.1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3"/>
        </w:rPr>
        <w:t>给水工程</w:t>
      </w:r>
    </w:p>
    <w:p>
      <w:pPr>
        <w:ind w:left="123" w:right="430" w:firstLine="488"/>
        <w:spacing w:before="179" w:line="351" w:lineRule="auto"/>
        <w:jc w:val="both"/>
        <w:rPr>
          <w:rFonts w:ascii="FangSong" w:hAnsi="FangSong" w:eastAsia="FangSong" w:cs="FangSong"/>
          <w:sz w:val="24"/>
          <w:szCs w:val="24"/>
        </w:rPr>
      </w:pPr>
      <w:r>
        <w:rPr>
          <w:rFonts w:ascii="FangSong" w:hAnsi="FangSong" w:eastAsia="FangSong" w:cs="FangSong"/>
          <w:sz w:val="24"/>
          <w:szCs w:val="24"/>
          <w:spacing w:val="1"/>
        </w:rPr>
        <w:t>变更前本项目运营期用水主要为生活用水和生产用水。项目生活用水由拉</w:t>
      </w:r>
      <w:r>
        <w:rPr>
          <w:rFonts w:ascii="FangSong" w:hAnsi="FangSong" w:eastAsia="FangSong" w:cs="FangSong"/>
          <w:sz w:val="24"/>
          <w:szCs w:val="24"/>
        </w:rPr>
        <w:t>水车</w:t>
      </w:r>
      <w:r>
        <w:rPr>
          <w:rFonts w:ascii="FangSong" w:hAnsi="FangSong" w:eastAsia="FangSong" w:cs="FangSong"/>
          <w:sz w:val="24"/>
          <w:szCs w:val="24"/>
          <w:spacing w:val="-6"/>
        </w:rPr>
        <w:t>拉水，职工生活用水定额为</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6"/>
        </w:rPr>
        <w:t>100L/</w:t>
      </w:r>
      <w:r>
        <w:rPr>
          <w:rFonts w:ascii="FangSong" w:hAnsi="FangSong" w:eastAsia="FangSong" w:cs="FangSong"/>
          <w:sz w:val="24"/>
          <w:szCs w:val="24"/>
          <w:spacing w:val="-6"/>
        </w:rPr>
        <w:t>人</w:t>
      </w:r>
      <w:r>
        <w:rPr>
          <w:rFonts w:ascii="FangSong" w:hAnsi="FangSong" w:eastAsia="FangSong" w:cs="FangSong"/>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d</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6"/>
        </w:rPr>
        <w:t>，职工为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6"/>
        </w:rPr>
        <w:t>人，经计算生活用水量为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100L/</w:t>
      </w:r>
      <w:r>
        <w:rPr>
          <w:rFonts w:ascii="FangSong" w:hAnsi="FangSong" w:eastAsia="FangSong" w:cs="FangSong"/>
          <w:sz w:val="24"/>
          <w:szCs w:val="24"/>
          <w:spacing w:val="-15"/>
        </w:rPr>
        <w:t>人</w:t>
      </w:r>
      <w:r>
        <w:rPr>
          <w:rFonts w:ascii="FangSong" w:hAnsi="FangSong" w:eastAsia="FangSong" w:cs="FangSong"/>
          <w:sz w:val="24"/>
          <w:szCs w:val="24"/>
          <w:spacing w:val="-20"/>
        </w:rPr>
        <w:t xml:space="preserve"> </w:t>
      </w: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d×31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5"/>
        </w:rPr>
        <w:t>人</w:t>
      </w:r>
      <w:r>
        <w:rPr>
          <w:rFonts w:ascii="Times New Roman" w:hAnsi="Times New Roman" w:eastAsia="Times New Roman" w:cs="Times New Roman"/>
          <w:sz w:val="24"/>
          <w:szCs w:val="24"/>
          <w:spacing w:val="-15"/>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5"/>
        </w:rPr>
        <w:t>1m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1"/>
        </w:rPr>
        <w:t>，即</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1"/>
        </w:rPr>
        <w:t>775m</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。采矿期间生产用水主要为洒水降尘用水，全部使</w:t>
      </w:r>
      <w:r>
        <w:rPr>
          <w:rFonts w:ascii="FangSong" w:hAnsi="FangSong" w:eastAsia="FangSong" w:cs="FangSong"/>
          <w:sz w:val="24"/>
          <w:szCs w:val="24"/>
          <w:spacing w:val="-2"/>
        </w:rPr>
        <w:t>用处理达标的生活污水和沉淀的矿井疏干水，用水量为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62</w:t>
      </w:r>
      <w:r>
        <w:rPr>
          <w:rFonts w:ascii="Times New Roman" w:hAnsi="Times New Roman" w:eastAsia="Times New Roman" w:cs="Times New Roman"/>
          <w:sz w:val="24"/>
          <w:szCs w:val="24"/>
          <w:spacing w:val="-3"/>
        </w:rPr>
        <w:t>0m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，不再另取新鲜水。</w:t>
      </w:r>
    </w:p>
    <w:p>
      <w:pPr>
        <w:ind w:left="112"/>
        <w:spacing w:before="4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3.3.1.2  </w:t>
      </w:r>
      <w:r>
        <w:rPr>
          <w:rFonts w:ascii="FangSong" w:hAnsi="FangSong" w:eastAsia="FangSong" w:cs="FangSong"/>
          <w:sz w:val="24"/>
          <w:szCs w:val="24"/>
          <w:b/>
          <w:bCs/>
          <w:spacing w:val="-1"/>
        </w:rPr>
        <w:t>排水工程</w:t>
      </w:r>
    </w:p>
    <w:p>
      <w:pPr>
        <w:ind w:left="130" w:right="475" w:firstLine="481"/>
        <w:spacing w:before="179" w:line="358" w:lineRule="auto"/>
        <w:rPr>
          <w:rFonts w:ascii="FangSong" w:hAnsi="FangSong" w:eastAsia="FangSong" w:cs="FangSong"/>
          <w:sz w:val="24"/>
          <w:szCs w:val="24"/>
        </w:rPr>
      </w:pPr>
      <w:r>
        <w:rPr>
          <w:rFonts w:ascii="FangSong" w:hAnsi="FangSong" w:eastAsia="FangSong" w:cs="FangSong"/>
          <w:sz w:val="24"/>
          <w:szCs w:val="24"/>
          <w:spacing w:val="-4"/>
        </w:rPr>
        <w:t>变更前本项目生活污水按用水量的</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4"/>
        </w:rPr>
        <w:t>80%</w:t>
      </w:r>
      <w:r>
        <w:rPr>
          <w:rFonts w:ascii="FangSong" w:hAnsi="FangSong" w:eastAsia="FangSong" w:cs="FangSong"/>
          <w:sz w:val="24"/>
          <w:szCs w:val="24"/>
          <w:spacing w:val="-4"/>
        </w:rPr>
        <w:t>计算，即</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620m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24"/>
          <w:szCs w:val="24"/>
          <w:spacing w:val="-4"/>
        </w:rPr>
        <w:t>/a</w:t>
      </w:r>
      <w:r>
        <w:rPr>
          <w:rFonts w:ascii="FangSong" w:hAnsi="FangSong" w:eastAsia="FangSong" w:cs="FangSong"/>
          <w:sz w:val="24"/>
          <w:szCs w:val="24"/>
          <w:spacing w:val="-4"/>
        </w:rPr>
        <w:t>，污水量较少，经地埋</w:t>
      </w:r>
      <w:r>
        <w:rPr>
          <w:rFonts w:ascii="FangSong" w:hAnsi="FangSong" w:eastAsia="FangSong" w:cs="FangSong"/>
          <w:sz w:val="24"/>
          <w:szCs w:val="24"/>
          <w:spacing w:val="-1"/>
        </w:rPr>
        <w:t>式生化一体化设备处理后用于道路洒水，也可用于植物绿化，不外排。</w:t>
      </w:r>
    </w:p>
    <w:p>
      <w:pPr>
        <w:ind w:left="126" w:right="472" w:firstLine="478"/>
        <w:spacing w:before="1" w:line="359" w:lineRule="auto"/>
        <w:jc w:val="both"/>
        <w:rPr>
          <w:rFonts w:ascii="FangSong" w:hAnsi="FangSong" w:eastAsia="FangSong" w:cs="FangSong"/>
          <w:sz w:val="24"/>
          <w:szCs w:val="24"/>
        </w:rPr>
      </w:pPr>
      <w:r>
        <w:rPr>
          <w:rFonts w:ascii="FangSong" w:hAnsi="FangSong" w:eastAsia="FangSong" w:cs="FangSong"/>
          <w:sz w:val="24"/>
          <w:szCs w:val="24"/>
          <w:spacing w:val="1"/>
        </w:rPr>
        <w:t>矿井采用竖井开拓，井下采用集中排水，根据项目提供的技术资料，矿井昼日</w:t>
      </w:r>
      <w:r>
        <w:rPr>
          <w:rFonts w:ascii="FangSong" w:hAnsi="FangSong" w:eastAsia="FangSong" w:cs="FangSong"/>
          <w:sz w:val="24"/>
          <w:szCs w:val="24"/>
          <w:spacing w:val="-1"/>
        </w:rPr>
        <w:t>涌水量为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10m</w:t>
      </w:r>
      <w:r>
        <w:rPr>
          <w:rFonts w:ascii="Times New Roman" w:hAnsi="Times New Roman" w:eastAsia="Times New Roman" w:cs="Times New Roman"/>
          <w:sz w:val="15"/>
          <w:szCs w:val="15"/>
          <w:spacing w:val="-1"/>
          <w:position w:val="8"/>
        </w:rPr>
        <w:t>3 </w:t>
      </w:r>
      <w:r>
        <w:rPr>
          <w:rFonts w:ascii="FangSong" w:hAnsi="FangSong" w:eastAsia="FangSong" w:cs="FangSong"/>
          <w:sz w:val="24"/>
          <w:szCs w:val="24"/>
          <w:spacing w:val="-1"/>
        </w:rPr>
        <w:t>，井下涌水先收集后由井下设一容积为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50m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35"/>
          <w:w w:val="101"/>
          <w:position w:val="8"/>
        </w:rPr>
        <w:t xml:space="preserve"> </w:t>
      </w:r>
      <w:r>
        <w:rPr>
          <w:rFonts w:ascii="FangSong" w:hAnsi="FangSong" w:eastAsia="FangSong" w:cs="FangSong"/>
          <w:sz w:val="24"/>
          <w:szCs w:val="24"/>
          <w:spacing w:val="-1"/>
        </w:rPr>
        <w:t>的水仓，用水泵排至地</w:t>
      </w:r>
      <w:r>
        <w:rPr>
          <w:rFonts w:ascii="FangSong" w:hAnsi="FangSong" w:eastAsia="FangSong" w:cs="FangSong"/>
          <w:sz w:val="24"/>
          <w:szCs w:val="24"/>
          <w:spacing w:val="1"/>
        </w:rPr>
        <w:t>表井口的沉淀池，然后在高位水池存储，高位水池容积为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200m</w:t>
      </w:r>
      <w:r>
        <w:rPr>
          <w:rFonts w:ascii="Times New Roman" w:hAnsi="Times New Roman" w:eastAsia="Times New Roman" w:cs="Times New Roman"/>
          <w:sz w:val="15"/>
          <w:szCs w:val="15"/>
          <w:position w:val="7"/>
        </w:rPr>
        <w:t>3 </w:t>
      </w:r>
      <w:r>
        <w:rPr>
          <w:rFonts w:ascii="FangSong" w:hAnsi="FangSong" w:eastAsia="FangSong" w:cs="FangSong"/>
          <w:sz w:val="24"/>
          <w:szCs w:val="24"/>
        </w:rPr>
        <w:t>。该项目生产废水</w:t>
      </w:r>
      <w:r>
        <w:rPr>
          <w:rFonts w:ascii="FangSong" w:hAnsi="FangSong" w:eastAsia="FangSong" w:cs="FangSong"/>
          <w:sz w:val="24"/>
          <w:szCs w:val="24"/>
          <w:spacing w:val="1"/>
        </w:rPr>
        <w:t>实现零排放，矿井涌水主要分为两部分综合利用：</w:t>
      </w:r>
      <w:r>
        <w:rPr>
          <w:rFonts w:ascii="SimSun" w:hAnsi="SimSun" w:eastAsia="SimSun" w:cs="SimSun"/>
          <w:sz w:val="24"/>
          <w:szCs w:val="24"/>
          <w:spacing w:val="1"/>
        </w:rPr>
        <w:t>①</w:t>
      </w:r>
      <w:r>
        <w:rPr>
          <w:rFonts w:ascii="FangSong" w:hAnsi="FangSong" w:eastAsia="FangSong" w:cs="FangSong"/>
          <w:sz w:val="24"/>
          <w:szCs w:val="24"/>
          <w:spacing w:val="1"/>
        </w:rPr>
        <w:t>采掘工作面喷洒降尘水；</w:t>
      </w:r>
      <w:r>
        <w:rPr>
          <w:rFonts w:ascii="SimSun" w:hAnsi="SimSun" w:eastAsia="SimSun" w:cs="SimSun"/>
          <w:sz w:val="24"/>
          <w:szCs w:val="24"/>
          <w:spacing w:val="1"/>
        </w:rPr>
        <w:t>②</w:t>
      </w:r>
      <w:r>
        <w:rPr>
          <w:rFonts w:ascii="FangSong" w:hAnsi="FangSong" w:eastAsia="FangSong" w:cs="FangSong"/>
          <w:sz w:val="24"/>
          <w:szCs w:val="24"/>
          <w:spacing w:val="1"/>
        </w:rPr>
        <w:t>路</w:t>
      </w:r>
      <w:r>
        <w:rPr>
          <w:rFonts w:ascii="FangSong" w:hAnsi="FangSong" w:eastAsia="FangSong" w:cs="FangSong"/>
          <w:sz w:val="24"/>
          <w:szCs w:val="24"/>
          <w:spacing w:val="-2"/>
        </w:rPr>
        <w:t>面的降尘洒水及绿化用水。</w:t>
      </w:r>
    </w:p>
    <w:p>
      <w:pPr>
        <w:ind w:left="612"/>
        <w:spacing w:line="220" w:lineRule="auto"/>
        <w:rPr>
          <w:rFonts w:ascii="FangSong" w:hAnsi="FangSong" w:eastAsia="FangSong" w:cs="FangSong"/>
          <w:sz w:val="24"/>
          <w:szCs w:val="24"/>
        </w:rPr>
      </w:pPr>
      <w:r>
        <w:rPr>
          <w:rFonts w:ascii="FangSong" w:hAnsi="FangSong" w:eastAsia="FangSong" w:cs="FangSong"/>
          <w:sz w:val="24"/>
          <w:szCs w:val="24"/>
          <w:spacing w:val="-1"/>
        </w:rPr>
        <w:t>变更前本项目厕所采用旱厕，集中的大小便当地农牧民用作农肥使用。</w:t>
      </w:r>
    </w:p>
    <w:p>
      <w:pPr>
        <w:ind w:left="612"/>
        <w:spacing w:before="181" w:line="222" w:lineRule="auto"/>
        <w:rPr>
          <w:rFonts w:ascii="FangSong" w:hAnsi="FangSong" w:eastAsia="FangSong" w:cs="FangSong"/>
          <w:sz w:val="24"/>
          <w:szCs w:val="24"/>
        </w:rPr>
      </w:pPr>
      <w:r>
        <w:rPr>
          <w:rFonts w:ascii="FangSong" w:hAnsi="FangSong" w:eastAsia="FangSong" w:cs="FangSong"/>
          <w:sz w:val="24"/>
          <w:szCs w:val="24"/>
          <w:spacing w:val="-2"/>
        </w:rPr>
        <w:t>变更前本项目水平衡图见图</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3.3-1</w:t>
      </w:r>
      <w:r>
        <w:rPr>
          <w:rFonts w:ascii="FangSong" w:hAnsi="FangSong" w:eastAsia="FangSong" w:cs="FangSong"/>
          <w:sz w:val="24"/>
          <w:szCs w:val="24"/>
          <w:spacing w:val="-2"/>
        </w:rPr>
        <w:t>。</w:t>
      </w:r>
    </w:p>
    <w:p>
      <w:pPr>
        <w:ind w:firstLine="588"/>
        <w:spacing w:before="143" w:line="3612" w:lineRule="exact"/>
        <w:rPr/>
      </w:pPr>
      <w:r>
        <w:rPr>
          <w:position w:val="-72"/>
        </w:rPr>
        <w:drawing>
          <wp:inline distT="0" distB="0" distL="0" distR="0">
            <wp:extent cx="5518404" cy="2293620"/>
            <wp:effectExtent l="0" t="0" r="0" b="0"/>
            <wp:docPr id="10" name="IM 10"/>
            <wp:cNvGraphicFramePr/>
            <a:graphic>
              <a:graphicData uri="http://schemas.openxmlformats.org/drawingml/2006/picture">
                <pic:pic>
                  <pic:nvPicPr>
                    <pic:cNvPr id="10" name="IM 10"/>
                    <pic:cNvPicPr/>
                  </pic:nvPicPr>
                  <pic:blipFill>
                    <a:blip r:embed="rId90"/>
                    <a:stretch>
                      <a:fillRect/>
                    </a:stretch>
                  </pic:blipFill>
                  <pic:spPr>
                    <a:xfrm rot="0">
                      <a:off x="0" y="0"/>
                      <a:ext cx="5518404" cy="2293620"/>
                    </a:xfrm>
                    <a:prstGeom prst="rect">
                      <a:avLst/>
                    </a:prstGeom>
                  </pic:spPr>
                </pic:pic>
              </a:graphicData>
            </a:graphic>
          </wp:inline>
        </w:drawing>
      </w:r>
    </w:p>
    <w:p>
      <w:pPr>
        <w:spacing w:line="3612" w:lineRule="exact"/>
        <w:sectPr>
          <w:footerReference w:type="default" r:id="rId89"/>
          <w:pgSz w:w="11911" w:h="16839"/>
          <w:pgMar w:top="400" w:right="942" w:bottom="1146" w:left="1689" w:header="0" w:footer="984" w:gutter="0"/>
        </w:sectPr>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853"/>
        <w:spacing w:before="78" w:line="222" w:lineRule="auto"/>
        <w:rPr>
          <w:rFonts w:ascii="FangSong" w:hAnsi="FangSong" w:eastAsia="FangSong" w:cs="FangSong"/>
          <w:sz w:val="24"/>
          <w:szCs w:val="24"/>
        </w:rPr>
      </w:pPr>
      <w:bookmarkStart w:name="bookmark107" w:id="146"/>
      <w:bookmarkEnd w:id="146"/>
      <w:bookmarkStart w:name="bookmark106" w:id="147"/>
      <w:bookmarkEnd w:id="147"/>
      <w:r>
        <w:rPr>
          <w:rFonts w:ascii="FangSong" w:hAnsi="FangSong" w:eastAsia="FangSong" w:cs="FangSong"/>
          <w:sz w:val="24"/>
          <w:szCs w:val="24"/>
          <w:b/>
          <w:bCs/>
          <w:spacing w:val="-4"/>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4"/>
        </w:rPr>
        <w:t>3.3-1  </w:t>
      </w:r>
      <w:r>
        <w:rPr>
          <w:rFonts w:ascii="FangSong" w:hAnsi="FangSong" w:eastAsia="FangSong" w:cs="FangSong"/>
          <w:sz w:val="24"/>
          <w:szCs w:val="24"/>
          <w:b/>
          <w:bCs/>
          <w:spacing w:val="-4"/>
        </w:rPr>
        <w:t>变更前项目水平衡图</w:t>
      </w:r>
    </w:p>
    <w:p>
      <w:pPr>
        <w:ind w:left="14"/>
        <w:spacing w:before="179" w:line="224" w:lineRule="auto"/>
        <w:outlineLvl w:val="2"/>
        <w:rPr>
          <w:rFonts w:ascii="FangSong" w:hAnsi="FangSong" w:eastAsia="FangSong" w:cs="FangSong"/>
          <w:sz w:val="24"/>
          <w:szCs w:val="24"/>
        </w:rPr>
      </w:pPr>
      <w:bookmarkStart w:name="bookmark530" w:id="148"/>
      <w:bookmarkEnd w:id="148"/>
      <w:r>
        <w:rPr>
          <w:rFonts w:ascii="Times New Roman" w:hAnsi="Times New Roman" w:eastAsia="Times New Roman" w:cs="Times New Roman"/>
          <w:sz w:val="24"/>
          <w:szCs w:val="24"/>
          <w:b/>
          <w:bCs/>
          <w:spacing w:val="-4"/>
        </w:rPr>
        <w:t>3.3.2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供电</w:t>
      </w:r>
    </w:p>
    <w:p>
      <w:pPr>
        <w:ind w:left="514"/>
        <w:spacing w:before="174" w:line="222" w:lineRule="auto"/>
        <w:rPr>
          <w:rFonts w:ascii="FangSong" w:hAnsi="FangSong" w:eastAsia="FangSong" w:cs="FangSong"/>
          <w:sz w:val="24"/>
          <w:szCs w:val="24"/>
        </w:rPr>
      </w:pPr>
      <w:r>
        <w:rPr>
          <w:rFonts w:ascii="FangSong" w:hAnsi="FangSong" w:eastAsia="FangSong" w:cs="FangSong"/>
          <w:sz w:val="24"/>
          <w:szCs w:val="24"/>
          <w:spacing w:val="-2"/>
        </w:rPr>
        <w:t>变更前项目供电从当地变电站接入，容量为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400</w:t>
      </w:r>
      <w:r>
        <w:rPr>
          <w:rFonts w:ascii="Times New Roman" w:hAnsi="Times New Roman" w:eastAsia="Times New Roman" w:cs="Times New Roman"/>
          <w:sz w:val="24"/>
          <w:szCs w:val="24"/>
          <w:spacing w:val="-3"/>
        </w:rPr>
        <w:t>kVA</w:t>
      </w:r>
      <w:r>
        <w:rPr>
          <w:rFonts w:ascii="FangSong" w:hAnsi="FangSong" w:eastAsia="FangSong" w:cs="FangSong"/>
          <w:sz w:val="24"/>
          <w:szCs w:val="24"/>
          <w:spacing w:val="-3"/>
        </w:rPr>
        <w:t>。</w:t>
      </w:r>
    </w:p>
    <w:p>
      <w:pPr>
        <w:ind w:left="14"/>
        <w:spacing w:before="179" w:line="223" w:lineRule="auto"/>
        <w:outlineLvl w:val="2"/>
        <w:rPr>
          <w:rFonts w:ascii="FangSong" w:hAnsi="FangSong" w:eastAsia="FangSong" w:cs="FangSong"/>
          <w:sz w:val="24"/>
          <w:szCs w:val="24"/>
        </w:rPr>
      </w:pPr>
      <w:bookmarkStart w:name="bookmark109" w:id="149"/>
      <w:bookmarkEnd w:id="149"/>
      <w:bookmarkStart w:name="bookmark108" w:id="150"/>
      <w:bookmarkEnd w:id="150"/>
      <w:r>
        <w:rPr>
          <w:rFonts w:ascii="Times New Roman" w:hAnsi="Times New Roman" w:eastAsia="Times New Roman" w:cs="Times New Roman"/>
          <w:sz w:val="24"/>
          <w:szCs w:val="24"/>
          <w:b/>
          <w:bCs/>
          <w:spacing w:val="-4"/>
        </w:rPr>
        <w:t>3.3.3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供暖</w:t>
      </w:r>
    </w:p>
    <w:p>
      <w:pPr>
        <w:ind w:left="36" w:firstLine="478"/>
        <w:spacing w:before="176" w:line="361" w:lineRule="auto"/>
        <w:rPr>
          <w:rFonts w:ascii="FangSong" w:hAnsi="FangSong" w:eastAsia="FangSong" w:cs="FangSong"/>
          <w:sz w:val="24"/>
          <w:szCs w:val="24"/>
        </w:rPr>
      </w:pPr>
      <w:r>
        <w:rPr>
          <w:rFonts w:ascii="FangSong" w:hAnsi="FangSong" w:eastAsia="FangSong" w:cs="FangSong"/>
          <w:sz w:val="24"/>
          <w:szCs w:val="24"/>
          <w:spacing w:val="1"/>
        </w:rPr>
        <w:t>变更前项目冬季生产时间较短，涉及采暖的主要地方为办公区，采用电暖</w:t>
      </w:r>
      <w:r>
        <w:rPr>
          <w:rFonts w:ascii="FangSong" w:hAnsi="FangSong" w:eastAsia="FangSong" w:cs="FangSong"/>
          <w:sz w:val="24"/>
          <w:szCs w:val="24"/>
        </w:rPr>
        <w:t>气取</w:t>
      </w:r>
      <w:r>
        <w:rPr>
          <w:rFonts w:ascii="FangSong" w:hAnsi="FangSong" w:eastAsia="FangSong" w:cs="FangSong"/>
          <w:sz w:val="24"/>
          <w:szCs w:val="24"/>
          <w:spacing w:val="-13"/>
        </w:rPr>
        <w:t>暖。</w:t>
      </w:r>
    </w:p>
    <w:p>
      <w:pPr>
        <w:ind w:left="15"/>
        <w:spacing w:before="3" w:line="222" w:lineRule="auto"/>
        <w:outlineLvl w:val="1"/>
        <w:rPr>
          <w:rFonts w:ascii="FangSong" w:hAnsi="FangSong" w:eastAsia="FangSong" w:cs="FangSong"/>
          <w:sz w:val="28"/>
          <w:szCs w:val="28"/>
        </w:rPr>
      </w:pPr>
      <w:bookmarkStart w:name="bookmark111" w:id="151"/>
      <w:bookmarkEnd w:id="151"/>
      <w:bookmarkStart w:name="bookmark113" w:id="152"/>
      <w:bookmarkEnd w:id="152"/>
      <w:bookmarkStart w:name="bookmark110" w:id="153"/>
      <w:bookmarkEnd w:id="153"/>
      <w:bookmarkStart w:name="bookmark112" w:id="154"/>
      <w:bookmarkEnd w:id="154"/>
      <w:r>
        <w:rPr>
          <w:rFonts w:ascii="Times New Roman" w:hAnsi="Times New Roman" w:eastAsia="Times New Roman" w:cs="Times New Roman"/>
          <w:sz w:val="28"/>
          <w:szCs w:val="28"/>
          <w:b/>
          <w:bCs/>
          <w:spacing w:val="-2"/>
        </w:rPr>
        <w:t>3.4  </w:t>
      </w:r>
      <w:r>
        <w:rPr>
          <w:rFonts w:ascii="FangSong" w:hAnsi="FangSong" w:eastAsia="FangSong" w:cs="FangSong"/>
          <w:sz w:val="28"/>
          <w:szCs w:val="28"/>
          <w:b/>
          <w:bCs/>
          <w:spacing w:val="-2"/>
        </w:rPr>
        <w:t>变更前工艺流程及产排污情况</w:t>
      </w:r>
    </w:p>
    <w:p>
      <w:pPr>
        <w:ind w:left="14"/>
        <w:spacing w:before="199" w:line="222" w:lineRule="auto"/>
        <w:outlineLvl w:val="2"/>
        <w:rPr>
          <w:rFonts w:ascii="FangSong" w:hAnsi="FangSong" w:eastAsia="FangSong" w:cs="FangSong"/>
          <w:sz w:val="24"/>
          <w:szCs w:val="24"/>
        </w:rPr>
      </w:pPr>
      <w:bookmarkStart w:name="bookmark531" w:id="155"/>
      <w:bookmarkEnd w:id="155"/>
      <w:r>
        <w:rPr>
          <w:rFonts w:ascii="Times New Roman" w:hAnsi="Times New Roman" w:eastAsia="Times New Roman" w:cs="Times New Roman"/>
          <w:sz w:val="24"/>
          <w:szCs w:val="24"/>
          <w:b/>
          <w:bCs/>
          <w:spacing w:val="-4"/>
        </w:rPr>
        <w:t>3.4.1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变更前工艺流程</w:t>
      </w:r>
    </w:p>
    <w:p>
      <w:pPr>
        <w:ind w:left="514"/>
        <w:spacing w:before="179" w:line="222" w:lineRule="auto"/>
        <w:rPr>
          <w:rFonts w:ascii="FangSong" w:hAnsi="FangSong" w:eastAsia="FangSong" w:cs="FangSong"/>
          <w:sz w:val="24"/>
          <w:szCs w:val="24"/>
        </w:rPr>
      </w:pPr>
      <w:r>
        <w:rPr>
          <w:rFonts w:ascii="FangSong" w:hAnsi="FangSong" w:eastAsia="FangSong" w:cs="FangSong"/>
          <w:sz w:val="24"/>
          <w:szCs w:val="24"/>
          <w:spacing w:val="-2"/>
        </w:rPr>
        <w:t>变更前项目工艺流程情况见图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3.4-1</w:t>
      </w:r>
      <w:r>
        <w:rPr>
          <w:rFonts w:ascii="FangSong" w:hAnsi="FangSong" w:eastAsia="FangSong" w:cs="FangSong"/>
          <w:sz w:val="24"/>
          <w:szCs w:val="24"/>
          <w:spacing w:val="-2"/>
        </w:rPr>
        <w:t>。</w:t>
      </w:r>
    </w:p>
    <w:p>
      <w:pPr>
        <w:ind w:firstLine="649"/>
        <w:spacing w:before="143" w:line="7841" w:lineRule="exact"/>
        <w:rPr/>
      </w:pPr>
      <w:r>
        <w:rPr>
          <w:position w:val="-156"/>
        </w:rPr>
        <w:drawing>
          <wp:inline distT="0" distB="0" distL="0" distR="0">
            <wp:extent cx="4704588" cy="4978908"/>
            <wp:effectExtent l="0" t="0" r="0" b="0"/>
            <wp:docPr id="12" name="IM 12"/>
            <wp:cNvGraphicFramePr/>
            <a:graphic>
              <a:graphicData uri="http://schemas.openxmlformats.org/drawingml/2006/picture">
                <pic:pic>
                  <pic:nvPicPr>
                    <pic:cNvPr id="12" name="IM 12"/>
                    <pic:cNvPicPr/>
                  </pic:nvPicPr>
                  <pic:blipFill>
                    <a:blip r:embed="rId92"/>
                    <a:stretch>
                      <a:fillRect/>
                    </a:stretch>
                  </pic:blipFill>
                  <pic:spPr>
                    <a:xfrm rot="0">
                      <a:off x="0" y="0"/>
                      <a:ext cx="4704588" cy="4978908"/>
                    </a:xfrm>
                    <a:prstGeom prst="rect">
                      <a:avLst/>
                    </a:prstGeom>
                  </pic:spPr>
                </pic:pic>
              </a:graphicData>
            </a:graphic>
          </wp:inline>
        </w:drawing>
      </w:r>
    </w:p>
    <w:p>
      <w:pPr>
        <w:ind w:left="2613"/>
        <w:spacing w:before="193" w:line="221" w:lineRule="auto"/>
        <w:rPr>
          <w:rFonts w:ascii="FangSong" w:hAnsi="FangSong" w:eastAsia="FangSong" w:cs="FangSong"/>
          <w:sz w:val="24"/>
          <w:szCs w:val="24"/>
        </w:rPr>
      </w:pPr>
      <w:r>
        <w:rPr>
          <w:rFonts w:ascii="FangSong" w:hAnsi="FangSong" w:eastAsia="FangSong" w:cs="FangSong"/>
          <w:sz w:val="24"/>
          <w:szCs w:val="24"/>
          <w:b/>
          <w:bCs/>
          <w:spacing w:val="-4"/>
        </w:rPr>
        <w:t>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b/>
          <w:bCs/>
          <w:spacing w:val="-4"/>
        </w:rPr>
        <w:t>3.4-1  </w:t>
      </w:r>
      <w:r>
        <w:rPr>
          <w:rFonts w:ascii="FangSong" w:hAnsi="FangSong" w:eastAsia="FangSong" w:cs="FangSong"/>
          <w:sz w:val="24"/>
          <w:szCs w:val="24"/>
          <w:b/>
          <w:bCs/>
          <w:spacing w:val="-4"/>
        </w:rPr>
        <w:t>变更前项目工艺流程简图</w:t>
      </w:r>
    </w:p>
    <w:p>
      <w:pPr>
        <w:spacing w:line="221" w:lineRule="auto"/>
        <w:sectPr>
          <w:footerReference w:type="default" r:id="rId91"/>
          <w:pgSz w:w="11911" w:h="16839"/>
          <w:pgMar w:top="400" w:right="141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4"/>
        <w:spacing w:before="78" w:line="222" w:lineRule="auto"/>
        <w:outlineLvl w:val="2"/>
        <w:rPr>
          <w:rFonts w:ascii="FangSong" w:hAnsi="FangSong" w:eastAsia="FangSong" w:cs="FangSong"/>
          <w:sz w:val="24"/>
          <w:szCs w:val="24"/>
        </w:rPr>
      </w:pPr>
      <w:bookmarkStart w:name="bookmark115" w:id="156"/>
      <w:bookmarkEnd w:id="156"/>
      <w:bookmarkStart w:name="bookmark114" w:id="157"/>
      <w:bookmarkEnd w:id="157"/>
      <w:r>
        <w:rPr>
          <w:rFonts w:ascii="Times New Roman" w:hAnsi="Times New Roman" w:eastAsia="Times New Roman" w:cs="Times New Roman"/>
          <w:sz w:val="24"/>
          <w:szCs w:val="24"/>
          <w:b/>
          <w:bCs/>
          <w:spacing w:val="-2"/>
        </w:rPr>
        <w:t>3.4.2  </w:t>
      </w:r>
      <w:r>
        <w:rPr>
          <w:rFonts w:ascii="FangSong" w:hAnsi="FangSong" w:eastAsia="FangSong" w:cs="FangSong"/>
          <w:sz w:val="24"/>
          <w:szCs w:val="24"/>
          <w:b/>
          <w:bCs/>
          <w:spacing w:val="-2"/>
        </w:rPr>
        <w:t>变更前项目产排污情况分析</w:t>
      </w:r>
    </w:p>
    <w:p>
      <w:pPr>
        <w:ind w:left="14"/>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3.4.2.1  </w:t>
      </w:r>
      <w:r>
        <w:rPr>
          <w:rFonts w:ascii="FangSong" w:hAnsi="FangSong" w:eastAsia="FangSong" w:cs="FangSong"/>
          <w:sz w:val="24"/>
          <w:szCs w:val="24"/>
          <w:b/>
          <w:bCs/>
          <w:spacing w:val="-2"/>
        </w:rPr>
        <w:t>施工期主要污染工序</w:t>
      </w:r>
    </w:p>
    <w:p>
      <w:pPr>
        <w:ind w:left="26" w:right="74" w:firstLine="480"/>
        <w:spacing w:before="175" w:line="359" w:lineRule="auto"/>
        <w:rPr>
          <w:rFonts w:ascii="FangSong" w:hAnsi="FangSong" w:eastAsia="FangSong" w:cs="FangSong"/>
          <w:sz w:val="24"/>
          <w:szCs w:val="24"/>
        </w:rPr>
      </w:pPr>
      <w:r>
        <w:rPr>
          <w:rFonts w:ascii="FangSong" w:hAnsi="FangSong" w:eastAsia="FangSong" w:cs="FangSong"/>
          <w:sz w:val="24"/>
          <w:szCs w:val="24"/>
          <w:spacing w:val="1"/>
        </w:rPr>
        <w:t>施工对环境的影响主要表现在场地清理平整、工程压占土地、施工扰动地貌、</w:t>
      </w:r>
      <w:r>
        <w:rPr>
          <w:rFonts w:ascii="FangSong" w:hAnsi="FangSong" w:eastAsia="FangSong" w:cs="FangSong"/>
          <w:sz w:val="24"/>
          <w:szCs w:val="24"/>
          <w:spacing w:val="1"/>
        </w:rPr>
        <w:t>破坏植被等对生态方面的影响。施工过程中产生的粉尘、废水、噪声等污染都是暂</w:t>
      </w:r>
      <w:r>
        <w:rPr>
          <w:rFonts w:ascii="FangSong" w:hAnsi="FangSong" w:eastAsia="FangSong" w:cs="FangSong"/>
          <w:sz w:val="24"/>
          <w:szCs w:val="24"/>
          <w:spacing w:val="-1"/>
        </w:rPr>
        <w:t>时的，随着施工过程的结束，影响也将在短期内消失。</w:t>
      </w:r>
    </w:p>
    <w:p>
      <w:pPr>
        <w:ind w:left="511"/>
        <w:spacing w:before="2"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）对生态环境的影响</w:t>
      </w:r>
    </w:p>
    <w:p>
      <w:pPr>
        <w:ind w:left="499"/>
        <w:spacing w:before="176" w:line="222"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20"/>
        </w:rPr>
        <w:t xml:space="preserve"> </w:t>
      </w:r>
      <w:r>
        <w:rPr>
          <w:rFonts w:ascii="FangSong" w:hAnsi="FangSong" w:eastAsia="FangSong" w:cs="FangSong"/>
          <w:sz w:val="24"/>
          <w:szCs w:val="24"/>
          <w:spacing w:val="-6"/>
        </w:rPr>
        <w:t>地形地貌</w:t>
      </w:r>
    </w:p>
    <w:p>
      <w:pPr>
        <w:ind w:left="40" w:right="74" w:firstLine="465"/>
        <w:spacing w:before="180" w:line="359" w:lineRule="auto"/>
        <w:rPr>
          <w:rFonts w:ascii="FangSong" w:hAnsi="FangSong" w:eastAsia="FangSong" w:cs="FangSong"/>
          <w:sz w:val="24"/>
          <w:szCs w:val="24"/>
        </w:rPr>
      </w:pPr>
      <w:r>
        <w:rPr>
          <w:rFonts w:ascii="FangSong" w:hAnsi="FangSong" w:eastAsia="FangSong" w:cs="FangSong"/>
          <w:sz w:val="24"/>
          <w:szCs w:val="24"/>
          <w:spacing w:val="1"/>
        </w:rPr>
        <w:t>矿山建设过程中的开挖、平整，将造成地表形态的改变。矿山建设期间对地形</w:t>
      </w:r>
      <w:r>
        <w:rPr>
          <w:rFonts w:ascii="FangSong" w:hAnsi="FangSong" w:eastAsia="FangSong" w:cs="FangSong"/>
          <w:sz w:val="24"/>
          <w:szCs w:val="24"/>
          <w:spacing w:val="-1"/>
        </w:rPr>
        <w:t>的影响主要是地面平整、道路修建、场地建设、运输系</w:t>
      </w:r>
      <w:r>
        <w:rPr>
          <w:rFonts w:ascii="FangSong" w:hAnsi="FangSong" w:eastAsia="FangSong" w:cs="FangSong"/>
          <w:sz w:val="24"/>
          <w:szCs w:val="24"/>
          <w:spacing w:val="-2"/>
        </w:rPr>
        <w:t>统建设。</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21"/>
        </w:rPr>
        <w:t xml:space="preserve"> </w:t>
      </w:r>
      <w:r>
        <w:rPr>
          <w:rFonts w:ascii="FangSong" w:hAnsi="FangSong" w:eastAsia="FangSong" w:cs="FangSong"/>
          <w:sz w:val="24"/>
          <w:szCs w:val="24"/>
          <w:spacing w:val="-6"/>
        </w:rPr>
        <w:t>土地占用</w:t>
      </w:r>
    </w:p>
    <w:p>
      <w:pPr>
        <w:ind w:left="26" w:right="11" w:firstLine="480"/>
        <w:spacing w:before="179" w:line="359" w:lineRule="auto"/>
        <w:rPr>
          <w:rFonts w:ascii="FangSong" w:hAnsi="FangSong" w:eastAsia="FangSong" w:cs="FangSong"/>
          <w:sz w:val="24"/>
          <w:szCs w:val="24"/>
        </w:rPr>
      </w:pPr>
      <w:r>
        <w:rPr>
          <w:rFonts w:ascii="FangSong" w:hAnsi="FangSong" w:eastAsia="FangSong" w:cs="FangSong"/>
          <w:sz w:val="24"/>
          <w:szCs w:val="24"/>
          <w:spacing w:val="-4"/>
        </w:rPr>
        <w:t>矿体开采和基础设施的建设需要开挖土地，基础设施也占用一定的土地；同时，</w:t>
      </w:r>
      <w:r>
        <w:rPr>
          <w:rFonts w:ascii="FangSong" w:hAnsi="FangSong" w:eastAsia="FangSong" w:cs="FangSong"/>
          <w:sz w:val="24"/>
          <w:szCs w:val="24"/>
          <w:spacing w:val="1"/>
        </w:rPr>
        <w:t>建设期间产生的弃土、石和运营期间的废石堆置均要占压大量土地。这些弃石除了</w:t>
      </w:r>
      <w:r>
        <w:rPr>
          <w:rFonts w:ascii="FangSong" w:hAnsi="FangSong" w:eastAsia="FangSong" w:cs="FangSong"/>
          <w:sz w:val="24"/>
          <w:szCs w:val="24"/>
          <w:spacing w:val="-1"/>
        </w:rPr>
        <w:t>在废石场集中处理外，大部分以临时堆放的形式占压土地。</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21"/>
        </w:rPr>
        <w:t xml:space="preserve"> </w:t>
      </w:r>
      <w:r>
        <w:rPr>
          <w:rFonts w:ascii="FangSong" w:hAnsi="FangSong" w:eastAsia="FangSong" w:cs="FangSong"/>
          <w:sz w:val="24"/>
          <w:szCs w:val="24"/>
          <w:spacing w:val="-6"/>
        </w:rPr>
        <w:t>土壤侵蚀</w:t>
      </w:r>
    </w:p>
    <w:p>
      <w:pPr>
        <w:ind w:left="26" w:firstLine="482"/>
        <w:spacing w:before="181" w:line="359" w:lineRule="auto"/>
        <w:rPr>
          <w:rFonts w:ascii="FangSong" w:hAnsi="FangSong" w:eastAsia="FangSong" w:cs="FangSong"/>
          <w:sz w:val="24"/>
          <w:szCs w:val="24"/>
        </w:rPr>
      </w:pPr>
      <w:r>
        <w:rPr>
          <w:rFonts w:ascii="FangSong" w:hAnsi="FangSong" w:eastAsia="FangSong" w:cs="FangSong"/>
          <w:sz w:val="24"/>
          <w:szCs w:val="24"/>
          <w:spacing w:val="1"/>
        </w:rPr>
        <w:t>在正常状态下，土壤侵蚀与自然因素和人为活动有关。在采矿活动中，地表植</w:t>
      </w:r>
      <w:r>
        <w:rPr>
          <w:rFonts w:ascii="FangSong" w:hAnsi="FangSong" w:eastAsia="FangSong" w:cs="FangSong"/>
          <w:sz w:val="24"/>
          <w:szCs w:val="24"/>
          <w:spacing w:val="1"/>
        </w:rPr>
        <w:t>被剥离、矿石抛遗、废石堆积等，都会扩大和增强土壤侵蚀的范围和强度，引起水</w:t>
      </w:r>
      <w:r>
        <w:rPr>
          <w:rFonts w:ascii="FangSong" w:hAnsi="FangSong" w:eastAsia="FangSong" w:cs="FangSong"/>
          <w:sz w:val="24"/>
          <w:szCs w:val="24"/>
          <w:spacing w:val="-3"/>
        </w:rPr>
        <w:t>土流失，造成严重的生态影响。在矿山建设期，从地</w:t>
      </w:r>
      <w:r>
        <w:rPr>
          <w:rFonts w:ascii="FangSong" w:hAnsi="FangSong" w:eastAsia="FangSong" w:cs="FangSong"/>
          <w:sz w:val="24"/>
          <w:szCs w:val="24"/>
          <w:spacing w:val="-4"/>
        </w:rPr>
        <w:t>形因素来看，基建工作面修建、</w:t>
      </w:r>
      <w:r>
        <w:rPr>
          <w:rFonts w:ascii="FangSong" w:hAnsi="FangSong" w:eastAsia="FangSong" w:cs="FangSong"/>
          <w:sz w:val="24"/>
          <w:szCs w:val="24"/>
          <w:spacing w:val="1"/>
        </w:rPr>
        <w:t>工业场地建设及火药库建设的前期工作中的地面局部乎整，降低了地面坡度，对土</w:t>
      </w:r>
      <w:r>
        <w:rPr>
          <w:rFonts w:ascii="FangSong" w:hAnsi="FangSong" w:eastAsia="FangSong" w:cs="FangSong"/>
          <w:sz w:val="24"/>
          <w:szCs w:val="24"/>
          <w:spacing w:val="-3"/>
        </w:rPr>
        <w:t>壤侵蚀的影响有减轻的趋势。通过地形因子对水土流</w:t>
      </w:r>
      <w:r>
        <w:rPr>
          <w:rFonts w:ascii="FangSong" w:hAnsi="FangSong" w:eastAsia="FangSong" w:cs="FangSong"/>
          <w:sz w:val="24"/>
          <w:szCs w:val="24"/>
          <w:spacing w:val="-4"/>
        </w:rPr>
        <w:t>失有增强作用的过程，有道路、</w:t>
      </w:r>
      <w:r>
        <w:rPr>
          <w:rFonts w:ascii="FangSong" w:hAnsi="FangSong" w:eastAsia="FangSong" w:cs="FangSong"/>
          <w:sz w:val="24"/>
          <w:szCs w:val="24"/>
          <w:spacing w:val="1"/>
        </w:rPr>
        <w:t>各种工作面、废石场的边坡处及弃土的任意堆放场，这些地方土壤侵蚀增强的地形</w:t>
      </w:r>
      <w:r>
        <w:rPr>
          <w:rFonts w:ascii="FangSong" w:hAnsi="FangSong" w:eastAsia="FangSong" w:cs="FangSong"/>
          <w:sz w:val="24"/>
          <w:szCs w:val="24"/>
          <w:spacing w:val="1"/>
        </w:rPr>
        <w:t>因子作用均源于废弃物堆放形成的人工坡面增加了坡度。容易引发塌方、泥石流等</w:t>
      </w:r>
      <w:r>
        <w:rPr>
          <w:rFonts w:ascii="FangSong" w:hAnsi="FangSong" w:eastAsia="FangSong" w:cs="FangSong"/>
          <w:sz w:val="24"/>
          <w:szCs w:val="24"/>
          <w:spacing w:val="-4"/>
        </w:rPr>
        <w:t>地质灾害。</w:t>
      </w:r>
    </w:p>
    <w:p>
      <w:pPr>
        <w:ind w:left="26" w:right="74" w:firstLine="479"/>
        <w:spacing w:line="359" w:lineRule="auto"/>
        <w:rPr>
          <w:rFonts w:ascii="FangSong" w:hAnsi="FangSong" w:eastAsia="FangSong" w:cs="FangSong"/>
          <w:sz w:val="24"/>
          <w:szCs w:val="24"/>
        </w:rPr>
      </w:pPr>
      <w:r>
        <w:rPr>
          <w:rFonts w:ascii="FangSong" w:hAnsi="FangSong" w:eastAsia="FangSong" w:cs="FangSong"/>
          <w:sz w:val="24"/>
          <w:szCs w:val="24"/>
          <w:spacing w:val="1"/>
        </w:rPr>
        <w:t>从抗蚀性因素来看，所有清除及压占地表植被的过程，均严重破坏原有地表植</w:t>
      </w:r>
      <w:r>
        <w:rPr>
          <w:rFonts w:ascii="FangSong" w:hAnsi="FangSong" w:eastAsia="FangSong" w:cs="FangSong"/>
          <w:sz w:val="24"/>
          <w:szCs w:val="24"/>
          <w:spacing w:val="-1"/>
        </w:rPr>
        <w:t>被，增大了地表的松散程度，降低了地表的抗蚀性。</w:t>
      </w:r>
    </w:p>
    <w:p>
      <w:pPr>
        <w:ind w:left="498"/>
        <w:spacing w:before="1" w:line="220"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野生动植物、植被</w:t>
      </w:r>
    </w:p>
    <w:p>
      <w:pPr>
        <w:ind w:left="26" w:right="74" w:firstLine="480"/>
        <w:spacing w:before="178" w:line="360" w:lineRule="auto"/>
        <w:rPr>
          <w:rFonts w:ascii="FangSong" w:hAnsi="FangSong" w:eastAsia="FangSong" w:cs="FangSong"/>
          <w:sz w:val="24"/>
          <w:szCs w:val="24"/>
        </w:rPr>
      </w:pPr>
      <w:r>
        <w:rPr>
          <w:rFonts w:ascii="FangSong" w:hAnsi="FangSong" w:eastAsia="FangSong" w:cs="FangSong"/>
          <w:sz w:val="24"/>
          <w:szCs w:val="24"/>
          <w:spacing w:val="1"/>
        </w:rPr>
        <w:t>矿区在建设期间，不可避免地会破坏动植物的生境，使生态系统的组成和结构</w:t>
      </w:r>
      <w:r>
        <w:rPr>
          <w:rFonts w:ascii="FangSong" w:hAnsi="FangSong" w:eastAsia="FangSong" w:cs="FangSong"/>
          <w:sz w:val="24"/>
          <w:szCs w:val="24"/>
          <w:spacing w:val="1"/>
        </w:rPr>
        <w:t>发生改变。地表植被剥离不仅使植被丧失殆尽，而且使栖息其中的动物迁移；施工</w:t>
      </w:r>
      <w:r>
        <w:rPr>
          <w:rFonts w:ascii="FangSong" w:hAnsi="FangSong" w:eastAsia="FangSong" w:cs="FangSong"/>
          <w:sz w:val="24"/>
          <w:szCs w:val="24"/>
          <w:spacing w:val="1"/>
        </w:rPr>
        <w:t>期间弃土的临时堆放和运营期间矿石运输抛遗压占植被，均会对植被产生一定的负</w:t>
      </w:r>
      <w:r>
        <w:rPr>
          <w:rFonts w:ascii="FangSong" w:hAnsi="FangSong" w:eastAsia="FangSong" w:cs="FangSong"/>
          <w:sz w:val="24"/>
          <w:szCs w:val="24"/>
          <w:spacing w:val="1"/>
        </w:rPr>
        <w:t>面影响，矿区开发活动所产生的噪声、振动会使得矿区附近的动物发生迁移，其影</w:t>
      </w:r>
      <w:r>
        <w:rPr>
          <w:rFonts w:ascii="FangSong" w:hAnsi="FangSong" w:eastAsia="FangSong" w:cs="FangSong"/>
          <w:sz w:val="24"/>
          <w:szCs w:val="24"/>
          <w:spacing w:val="-3"/>
        </w:rPr>
        <w:t>响范围可达矿山面积的</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5-10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倍。</w:t>
      </w:r>
    </w:p>
    <w:p>
      <w:pPr>
        <w:spacing w:line="360" w:lineRule="auto"/>
        <w:sectPr>
          <w:footerReference w:type="default" r:id="rId93"/>
          <w:pgSz w:w="11911" w:h="16839"/>
          <w:pgMar w:top="400" w:right="1341"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9" w:right="63" w:firstLine="508"/>
        <w:spacing w:before="78" w:line="359" w:lineRule="auto"/>
        <w:jc w:val="both"/>
        <w:rPr>
          <w:rFonts w:ascii="FangSong" w:hAnsi="FangSong" w:eastAsia="FangSong" w:cs="FangSong"/>
          <w:sz w:val="24"/>
          <w:szCs w:val="24"/>
        </w:rPr>
      </w:pPr>
      <w:r>
        <w:rPr>
          <w:rFonts w:ascii="FangSong" w:hAnsi="FangSong" w:eastAsia="FangSong" w:cs="FangSong"/>
          <w:sz w:val="24"/>
          <w:szCs w:val="24"/>
        </w:rPr>
        <w:t>由于植物生境的破坏，使得植被覆盖率降低，植物生产能力下降，生物多样性</w:t>
      </w:r>
      <w:r>
        <w:rPr>
          <w:rFonts w:ascii="FangSong" w:hAnsi="FangSong" w:eastAsia="FangSong" w:cs="FangSong"/>
          <w:sz w:val="24"/>
          <w:szCs w:val="24"/>
          <w:spacing w:val="1"/>
        </w:rPr>
        <w:t>降低，从而导致环境功能的下降：再加上动物的迁移，使系统的总生物量减少，对</w:t>
      </w:r>
      <w:r>
        <w:rPr>
          <w:rFonts w:ascii="FangSong" w:hAnsi="FangSong" w:eastAsia="FangSong" w:cs="FangSong"/>
          <w:sz w:val="24"/>
          <w:szCs w:val="24"/>
          <w:spacing w:val="1"/>
        </w:rPr>
        <w:t>局部区域的生物量有较大的影响，但对整个地区生态系统的功能和稳定性不会产生</w:t>
      </w:r>
      <w:r>
        <w:rPr>
          <w:rFonts w:ascii="FangSong" w:hAnsi="FangSong" w:eastAsia="FangSong" w:cs="FangSong"/>
          <w:sz w:val="24"/>
          <w:szCs w:val="24"/>
          <w:spacing w:val="-2"/>
        </w:rPr>
        <w:t>大的影响，也不会引起物种的损失。</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5"/>
        </w:rPr>
        <w:t>⑤</w:t>
      </w:r>
      <w:r>
        <w:rPr>
          <w:rFonts w:ascii="FangSong" w:hAnsi="FangSong" w:eastAsia="FangSong" w:cs="FangSong"/>
          <w:sz w:val="24"/>
          <w:szCs w:val="24"/>
          <w:spacing w:val="16"/>
        </w:rPr>
        <w:t xml:space="preserve"> </w:t>
      </w:r>
      <w:r>
        <w:rPr>
          <w:rFonts w:ascii="FangSong" w:hAnsi="FangSong" w:eastAsia="FangSong" w:cs="FangSong"/>
          <w:sz w:val="24"/>
          <w:szCs w:val="24"/>
          <w:spacing w:val="-5"/>
        </w:rPr>
        <w:t>景观格局</w:t>
      </w:r>
    </w:p>
    <w:p>
      <w:pPr>
        <w:ind w:left="28" w:right="63" w:firstLine="480"/>
        <w:spacing w:before="181" w:line="359" w:lineRule="auto"/>
        <w:rPr>
          <w:rFonts w:ascii="FangSong" w:hAnsi="FangSong" w:eastAsia="FangSong" w:cs="FangSong"/>
          <w:sz w:val="24"/>
          <w:szCs w:val="24"/>
        </w:rPr>
      </w:pPr>
      <w:r>
        <w:rPr>
          <w:rFonts w:ascii="FangSong" w:hAnsi="FangSong" w:eastAsia="FangSong" w:cs="FangSong"/>
          <w:sz w:val="24"/>
          <w:szCs w:val="24"/>
          <w:spacing w:val="1"/>
        </w:rPr>
        <w:t>采矿造成的景观影响包括场区、道路、废石场等引起的景观影响等。采矿活动</w:t>
      </w:r>
      <w:r>
        <w:rPr>
          <w:rFonts w:ascii="FangSong" w:hAnsi="FangSong" w:eastAsia="FangSong" w:cs="FangSong"/>
          <w:sz w:val="24"/>
          <w:szCs w:val="24"/>
          <w:spacing w:val="1"/>
        </w:rPr>
        <w:t>对地表的干扰，改变了地区的地形、地貌，形成许多人工景观，降低了矿区原有的</w:t>
      </w:r>
      <w:r>
        <w:rPr>
          <w:rFonts w:ascii="FangSong" w:hAnsi="FangSong" w:eastAsia="FangSong" w:cs="FangSong"/>
          <w:sz w:val="24"/>
          <w:szCs w:val="24"/>
          <w:spacing w:val="-2"/>
        </w:rPr>
        <w:t>自然景观美学价值。</w:t>
      </w:r>
    </w:p>
    <w:p>
      <w:pPr>
        <w:ind w:left="511"/>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）大气污染物产生环节</w:t>
      </w:r>
    </w:p>
    <w:p>
      <w:pPr>
        <w:ind w:left="499"/>
        <w:spacing w:before="179" w:line="219"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运输车辆产生的粉尘：</w:t>
      </w:r>
    </w:p>
    <w:p>
      <w:pPr>
        <w:ind w:left="40" w:right="65" w:firstLine="466"/>
        <w:spacing w:before="181" w:line="331" w:lineRule="auto"/>
        <w:rPr>
          <w:rFonts w:ascii="FangSong" w:hAnsi="FangSong" w:eastAsia="FangSong" w:cs="FangSong"/>
          <w:sz w:val="24"/>
          <w:szCs w:val="24"/>
        </w:rPr>
      </w:pPr>
      <w:r>
        <w:rPr>
          <w:rFonts w:ascii="FangSong" w:hAnsi="FangSong" w:eastAsia="FangSong" w:cs="FangSong"/>
          <w:sz w:val="24"/>
          <w:szCs w:val="24"/>
          <w:spacing w:val="2"/>
        </w:rPr>
        <w:t>根据有关资料介绍，车辆行驶产生的扬尘占总扬尘的</w:t>
      </w:r>
      <w:r>
        <w:rPr>
          <w:rFonts w:ascii="Times New Roman" w:hAnsi="Times New Roman" w:eastAsia="Times New Roman" w:cs="Times New Roman"/>
          <w:sz w:val="24"/>
          <w:szCs w:val="24"/>
          <w:spacing w:val="2"/>
        </w:rPr>
        <w:t>60%</w:t>
      </w:r>
      <w:r>
        <w:rPr>
          <w:rFonts w:ascii="FangSong" w:hAnsi="FangSong" w:eastAsia="FangSong" w:cs="FangSong"/>
          <w:sz w:val="24"/>
          <w:szCs w:val="24"/>
          <w:spacing w:val="2"/>
        </w:rPr>
        <w:t>以上。车辆行驶产生</w:t>
      </w:r>
      <w:r>
        <w:rPr>
          <w:rFonts w:ascii="FangSong" w:hAnsi="FangSong" w:eastAsia="FangSong" w:cs="FangSong"/>
          <w:sz w:val="24"/>
          <w:szCs w:val="24"/>
          <w:spacing w:val="-3"/>
        </w:rPr>
        <w:t>的扬尘，在完全干燥情况下，可按公式</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3"/>
        </w:rPr>
        <w:t>3.4-1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计算：</w:t>
      </w:r>
    </w:p>
    <w:p>
      <w:pPr>
        <w:pStyle w:val="BodyText"/>
        <w:ind w:left="1568"/>
        <w:spacing w:line="384" w:lineRule="exact"/>
        <w:rPr>
          <w:rFonts w:ascii="FangSong" w:hAnsi="FangSong" w:eastAsia="FangSong" w:cs="FangSong"/>
          <w:sz w:val="24"/>
          <w:szCs w:val="24"/>
        </w:rPr>
      </w:pPr>
      <w:r>
        <w:rPr>
          <w:rFonts w:ascii="Times New Roman" w:hAnsi="Times New Roman" w:eastAsia="Times New Roman" w:cs="Times New Roman"/>
          <w:sz w:val="23"/>
          <w:szCs w:val="23"/>
          <w:spacing w:val="-4"/>
          <w:position w:val="4"/>
        </w:rPr>
        <w:t>Q </w:t>
      </w:r>
      <w:r>
        <w:rPr>
          <w:sz w:val="23"/>
          <w:szCs w:val="23"/>
          <w:spacing w:val="-4"/>
          <w:position w:val="4"/>
        </w:rPr>
        <w:t>= </w:t>
      </w:r>
      <w:r>
        <w:rPr>
          <w:rFonts w:ascii="Times New Roman" w:hAnsi="Times New Roman" w:eastAsia="Times New Roman" w:cs="Times New Roman"/>
          <w:sz w:val="23"/>
          <w:szCs w:val="23"/>
          <w:spacing w:val="-4"/>
          <w:position w:val="4"/>
        </w:rPr>
        <w:t>0.123</w:t>
      </w:r>
      <w:r>
        <w:rPr>
          <w:sz w:val="31"/>
          <w:szCs w:val="31"/>
          <w:spacing w:val="-4"/>
          <w:position w:val="4"/>
        </w:rPr>
        <w:t>(</w:t>
      </w:r>
      <w:r>
        <w:rPr>
          <w:rFonts w:ascii="Times New Roman" w:hAnsi="Times New Roman" w:eastAsia="Times New Roman" w:cs="Times New Roman"/>
          <w:sz w:val="23"/>
          <w:szCs w:val="23"/>
          <w:spacing w:val="-4"/>
          <w:position w:val="4"/>
        </w:rPr>
        <w:t>V</w:t>
      </w:r>
      <w:r>
        <w:rPr>
          <w:rFonts w:ascii="Times New Roman" w:hAnsi="Times New Roman" w:eastAsia="Times New Roman" w:cs="Times New Roman"/>
          <w:sz w:val="23"/>
          <w:szCs w:val="23"/>
          <w:spacing w:val="-15"/>
          <w:position w:val="4"/>
        </w:rPr>
        <w:t xml:space="preserve"> </w:t>
      </w:r>
      <w:r>
        <w:rPr>
          <w:rFonts w:ascii="Times New Roman" w:hAnsi="Times New Roman" w:eastAsia="Times New Roman" w:cs="Times New Roman"/>
          <w:sz w:val="23"/>
          <w:szCs w:val="23"/>
          <w:spacing w:val="-4"/>
          <w:position w:val="4"/>
        </w:rPr>
        <w:t>/ 5</w:t>
      </w:r>
      <w:r>
        <w:rPr>
          <w:sz w:val="31"/>
          <w:szCs w:val="31"/>
          <w:spacing w:val="-4"/>
          <w:position w:val="4"/>
        </w:rPr>
        <w:t>)(</w:t>
      </w:r>
      <w:r>
        <w:rPr>
          <w:rFonts w:ascii="Times New Roman" w:hAnsi="Times New Roman" w:eastAsia="Times New Roman" w:cs="Times New Roman"/>
          <w:sz w:val="23"/>
          <w:szCs w:val="23"/>
          <w:spacing w:val="-4"/>
          <w:position w:val="4"/>
        </w:rPr>
        <w:t>W</w:t>
      </w:r>
      <w:r>
        <w:rPr>
          <w:rFonts w:ascii="Times New Roman" w:hAnsi="Times New Roman" w:eastAsia="Times New Roman" w:cs="Times New Roman"/>
          <w:sz w:val="23"/>
          <w:szCs w:val="23"/>
          <w:spacing w:val="-11"/>
          <w:position w:val="4"/>
        </w:rPr>
        <w:t xml:space="preserve"> </w:t>
      </w:r>
      <w:r>
        <w:rPr>
          <w:rFonts w:ascii="Times New Roman" w:hAnsi="Times New Roman" w:eastAsia="Times New Roman" w:cs="Times New Roman"/>
          <w:sz w:val="23"/>
          <w:szCs w:val="23"/>
          <w:spacing w:val="-4"/>
          <w:position w:val="4"/>
        </w:rPr>
        <w:t>/ 6.8</w:t>
      </w:r>
      <w:r>
        <w:rPr>
          <w:sz w:val="31"/>
          <w:szCs w:val="31"/>
          <w:spacing w:val="-4"/>
          <w:position w:val="4"/>
        </w:rPr>
        <w:t>)</w:t>
      </w:r>
      <w:r>
        <w:rPr>
          <w:rFonts w:ascii="Times New Roman" w:hAnsi="Times New Roman" w:eastAsia="Times New Roman" w:cs="Times New Roman"/>
          <w:sz w:val="13"/>
          <w:szCs w:val="13"/>
          <w:spacing w:val="-4"/>
          <w:position w:val="16"/>
        </w:rPr>
        <w:t>0.85 </w:t>
      </w:r>
      <w:r>
        <w:rPr>
          <w:sz w:val="31"/>
          <w:szCs w:val="31"/>
          <w:spacing w:val="-3"/>
          <w:position w:val="4"/>
        </w:rPr>
        <w:t>(</w:t>
      </w:r>
      <w:r>
        <w:rPr>
          <w:rFonts w:ascii="Times New Roman" w:hAnsi="Times New Roman" w:eastAsia="Times New Roman" w:cs="Times New Roman"/>
          <w:sz w:val="23"/>
          <w:szCs w:val="23"/>
          <w:spacing w:val="-3"/>
          <w:position w:val="4"/>
        </w:rPr>
        <w:t>P</w:t>
      </w:r>
      <w:r>
        <w:rPr>
          <w:rFonts w:ascii="Times New Roman" w:hAnsi="Times New Roman" w:eastAsia="Times New Roman" w:cs="Times New Roman"/>
          <w:sz w:val="23"/>
          <w:szCs w:val="23"/>
          <w:spacing w:val="-18"/>
          <w:position w:val="4"/>
        </w:rPr>
        <w:t xml:space="preserve"> </w:t>
      </w:r>
      <w:r>
        <w:rPr>
          <w:rFonts w:ascii="Times New Roman" w:hAnsi="Times New Roman" w:eastAsia="Times New Roman" w:cs="Times New Roman"/>
          <w:sz w:val="23"/>
          <w:szCs w:val="23"/>
          <w:spacing w:val="-3"/>
          <w:position w:val="4"/>
        </w:rPr>
        <w:t>/ 0.5</w:t>
      </w:r>
      <w:r>
        <w:rPr>
          <w:sz w:val="31"/>
          <w:szCs w:val="31"/>
          <w:spacing w:val="-3"/>
          <w:position w:val="4"/>
        </w:rPr>
        <w:t>)</w:t>
      </w:r>
      <w:r>
        <w:rPr>
          <w:rFonts w:ascii="Times New Roman" w:hAnsi="Times New Roman" w:eastAsia="Times New Roman" w:cs="Times New Roman"/>
          <w:sz w:val="13"/>
          <w:szCs w:val="13"/>
          <w:spacing w:val="-3"/>
          <w:position w:val="16"/>
        </w:rPr>
        <w:t>0.75</w:t>
      </w:r>
      <w:r>
        <w:rPr>
          <w:rFonts w:ascii="Times New Roman" w:hAnsi="Times New Roman" w:eastAsia="Times New Roman" w:cs="Times New Roman"/>
          <w:sz w:val="13"/>
          <w:szCs w:val="13"/>
          <w:position w:val="16"/>
        </w:rPr>
        <w:t xml:space="preserve">                </w:t>
      </w:r>
      <w:r>
        <w:rPr>
          <w:rFonts w:ascii="FangSong" w:hAnsi="FangSong" w:eastAsia="FangSong" w:cs="FangSong"/>
          <w:sz w:val="24"/>
          <w:szCs w:val="24"/>
          <w:spacing w:val="-3"/>
          <w:position w:val="4"/>
        </w:rPr>
        <w:t>（公式</w:t>
      </w:r>
      <w:r>
        <w:rPr>
          <w:rFonts w:ascii="FangSong" w:hAnsi="FangSong" w:eastAsia="FangSong" w:cs="FangSong"/>
          <w:sz w:val="24"/>
          <w:szCs w:val="24"/>
          <w:spacing w:val="-48"/>
          <w:position w:val="4"/>
        </w:rPr>
        <w:t xml:space="preserve"> </w:t>
      </w:r>
      <w:r>
        <w:rPr>
          <w:rFonts w:ascii="Times New Roman" w:hAnsi="Times New Roman" w:eastAsia="Times New Roman" w:cs="Times New Roman"/>
          <w:sz w:val="24"/>
          <w:szCs w:val="24"/>
          <w:spacing w:val="-3"/>
          <w:position w:val="4"/>
        </w:rPr>
        <w:t>3.4-1</w:t>
      </w:r>
      <w:r>
        <w:rPr>
          <w:rFonts w:ascii="FangSong" w:hAnsi="FangSong" w:eastAsia="FangSong" w:cs="FangSong"/>
          <w:sz w:val="24"/>
          <w:szCs w:val="24"/>
          <w:spacing w:val="-3"/>
          <w:position w:val="4"/>
        </w:rPr>
        <w:t>）</w:t>
      </w:r>
    </w:p>
    <w:p>
      <w:pPr>
        <w:ind w:left="512"/>
        <w:spacing w:before="225" w:line="210"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Q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汽车行驶产生的扬尘量，</w:t>
      </w:r>
      <w:r>
        <w:rPr>
          <w:rFonts w:ascii="Times New Roman" w:hAnsi="Times New Roman" w:eastAsia="Times New Roman" w:cs="Times New Roman"/>
          <w:sz w:val="24"/>
          <w:szCs w:val="24"/>
          <w:spacing w:val="-1"/>
        </w:rPr>
        <w:t>kg/km.</w:t>
      </w:r>
      <w:r>
        <w:rPr>
          <w:rFonts w:ascii="FangSong" w:hAnsi="FangSong" w:eastAsia="FangSong" w:cs="FangSong"/>
          <w:sz w:val="24"/>
          <w:szCs w:val="24"/>
          <w:spacing w:val="-1"/>
        </w:rPr>
        <w:t>辆；</w:t>
      </w:r>
    </w:p>
    <w:p>
      <w:pPr>
        <w:ind w:left="1213"/>
        <w:spacing w:before="193"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V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汽车速度，</w:t>
      </w:r>
      <w:r>
        <w:rPr>
          <w:rFonts w:ascii="Times New Roman" w:hAnsi="Times New Roman" w:eastAsia="Times New Roman" w:cs="Times New Roman"/>
          <w:sz w:val="24"/>
          <w:szCs w:val="24"/>
          <w:spacing w:val="-1"/>
        </w:rPr>
        <w:t>km/h</w:t>
      </w:r>
      <w:r>
        <w:rPr>
          <w:rFonts w:ascii="FangSong" w:hAnsi="FangSong" w:eastAsia="FangSong" w:cs="FangSong"/>
          <w:sz w:val="24"/>
          <w:szCs w:val="24"/>
          <w:spacing w:val="-1"/>
        </w:rPr>
        <w:t>；</w:t>
      </w:r>
    </w:p>
    <w:p>
      <w:pPr>
        <w:ind w:left="1214"/>
        <w:spacing w:before="183" w:line="219" w:lineRule="auto"/>
        <w:rPr>
          <w:rFonts w:ascii="FangSong" w:hAnsi="FangSong" w:eastAsia="FangSong" w:cs="FangSong"/>
          <w:sz w:val="24"/>
          <w:szCs w:val="24"/>
        </w:rPr>
      </w:pPr>
      <w:r>
        <w:rPr>
          <w:rFonts w:ascii="Times New Roman" w:hAnsi="Times New Roman" w:eastAsia="Times New Roman" w:cs="Times New Roman"/>
          <w:sz w:val="24"/>
          <w:szCs w:val="24"/>
          <w:spacing w:val="-3"/>
        </w:rPr>
        <w:t>W  </w:t>
      </w:r>
      <w:r>
        <w:rPr>
          <w:rFonts w:ascii="FangSong" w:hAnsi="FangSong" w:eastAsia="FangSong" w:cs="FangSong"/>
          <w:sz w:val="24"/>
          <w:szCs w:val="24"/>
          <w:spacing w:val="-3"/>
        </w:rPr>
        <w:t>——</w:t>
      </w:r>
      <w:r>
        <w:rPr>
          <w:rFonts w:ascii="FangSong" w:hAnsi="FangSong" w:eastAsia="FangSong" w:cs="FangSong"/>
          <w:sz w:val="24"/>
          <w:szCs w:val="24"/>
          <w:spacing w:val="29"/>
        </w:rPr>
        <w:t xml:space="preserve"> </w:t>
      </w:r>
      <w:r>
        <w:rPr>
          <w:rFonts w:ascii="FangSong" w:hAnsi="FangSong" w:eastAsia="FangSong" w:cs="FangSong"/>
          <w:sz w:val="24"/>
          <w:szCs w:val="24"/>
          <w:spacing w:val="-3"/>
        </w:rPr>
        <w:t>汽车载重量，</w:t>
      </w:r>
      <w:r>
        <w:rPr>
          <w:rFonts w:ascii="Times New Roman" w:hAnsi="Times New Roman" w:eastAsia="Times New Roman" w:cs="Times New Roman"/>
          <w:sz w:val="24"/>
          <w:szCs w:val="24"/>
          <w:spacing w:val="-3"/>
        </w:rPr>
        <w:t>t</w:t>
      </w:r>
      <w:r>
        <w:rPr>
          <w:rFonts w:ascii="FangSong" w:hAnsi="FangSong" w:eastAsia="FangSong" w:cs="FangSong"/>
          <w:sz w:val="24"/>
          <w:szCs w:val="24"/>
          <w:spacing w:val="-3"/>
        </w:rPr>
        <w:t>；</w:t>
      </w:r>
    </w:p>
    <w:p>
      <w:pPr>
        <w:ind w:left="1215"/>
        <w:spacing w:before="181" w:line="212" w:lineRule="auto"/>
        <w:rPr>
          <w:rFonts w:ascii="FangSong" w:hAnsi="FangSong" w:eastAsia="FangSong" w:cs="FangSong"/>
          <w:sz w:val="24"/>
          <w:szCs w:val="24"/>
        </w:rPr>
      </w:pPr>
      <w:r>
        <w:rPr>
          <w:rFonts w:ascii="Times New Roman" w:hAnsi="Times New Roman" w:eastAsia="Times New Roman" w:cs="Times New Roman"/>
          <w:sz w:val="24"/>
          <w:szCs w:val="24"/>
          <w:spacing w:val="-1"/>
        </w:rPr>
        <w:t>P</w:t>
      </w:r>
      <w:r>
        <w:rPr>
          <w:rFonts w:ascii="Times New Roman" w:hAnsi="Times New Roman" w:eastAsia="Times New Roman" w:cs="Times New Roman"/>
          <w:sz w:val="24"/>
          <w:szCs w:val="24"/>
          <w:spacing w:val="65"/>
          <w:w w:val="10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道路表面粉尘量，</w:t>
      </w:r>
      <w:r>
        <w:rPr>
          <w:rFonts w:ascii="Times New Roman" w:hAnsi="Times New Roman" w:eastAsia="Times New Roman" w:cs="Times New Roman"/>
          <w:sz w:val="24"/>
          <w:szCs w:val="24"/>
          <w:spacing w:val="-1"/>
        </w:rPr>
        <w:t>kg/m</w:t>
      </w:r>
      <w:r>
        <w:rPr>
          <w:rFonts w:ascii="Times New Roman" w:hAnsi="Times New Roman" w:eastAsia="Times New Roman" w:cs="Times New Roman"/>
          <w:sz w:val="15"/>
          <w:szCs w:val="15"/>
          <w:spacing w:val="-1"/>
          <w:position w:val="7"/>
        </w:rPr>
        <w:t>2</w:t>
      </w:r>
      <w:r>
        <w:rPr>
          <w:rFonts w:ascii="FangSong" w:hAnsi="FangSong" w:eastAsia="FangSong" w:cs="FangSong"/>
          <w:sz w:val="24"/>
          <w:szCs w:val="24"/>
          <w:spacing w:val="-1"/>
        </w:rPr>
        <w:t>。</w:t>
      </w:r>
    </w:p>
    <w:p>
      <w:pPr>
        <w:ind w:left="28" w:firstLine="481"/>
        <w:spacing w:before="192" w:line="350" w:lineRule="auto"/>
        <w:rPr>
          <w:rFonts w:ascii="FangSong" w:hAnsi="FangSong" w:eastAsia="FangSong" w:cs="FangSong"/>
          <w:sz w:val="24"/>
          <w:szCs w:val="24"/>
        </w:rPr>
      </w:pPr>
      <w:r>
        <w:rPr>
          <w:rFonts w:ascii="FangSong" w:hAnsi="FangSong" w:eastAsia="FangSong" w:cs="FangSong"/>
          <w:sz w:val="24"/>
          <w:szCs w:val="24"/>
          <w:spacing w:val="-7"/>
        </w:rPr>
        <w:t>一辆载重</w:t>
      </w:r>
      <w:r>
        <w:rPr>
          <w:rFonts w:ascii="Times New Roman" w:hAnsi="Times New Roman" w:eastAsia="Times New Roman" w:cs="Times New Roman"/>
          <w:sz w:val="24"/>
          <w:szCs w:val="24"/>
          <w:spacing w:val="-7"/>
        </w:rPr>
        <w:t>40t</w:t>
      </w:r>
      <w:r>
        <w:rPr>
          <w:rFonts w:ascii="FangSong" w:hAnsi="FangSong" w:eastAsia="FangSong" w:cs="FangSong"/>
          <w:sz w:val="24"/>
          <w:szCs w:val="24"/>
          <w:spacing w:val="-7"/>
        </w:rPr>
        <w:t>的卡车，通过一段长度为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7"/>
        </w:rPr>
        <w:t>1km </w:t>
      </w:r>
      <w:r>
        <w:rPr>
          <w:rFonts w:ascii="FangSong" w:hAnsi="FangSong" w:eastAsia="FangSong" w:cs="FangSong"/>
          <w:sz w:val="24"/>
          <w:szCs w:val="24"/>
          <w:spacing w:val="-7"/>
        </w:rPr>
        <w:t>的路面时，路面清洁程度取</w:t>
      </w:r>
      <w:r>
        <w:rPr>
          <w:rFonts w:ascii="FangSong" w:hAnsi="FangSong" w:eastAsia="FangSong" w:cs="FangSong"/>
          <w:sz w:val="24"/>
          <w:szCs w:val="24"/>
          <w:spacing w:val="-70"/>
        </w:rPr>
        <w:t xml:space="preserve"> </w:t>
      </w:r>
      <w:r>
        <w:rPr>
          <w:rFonts w:ascii="Times New Roman" w:hAnsi="Times New Roman" w:eastAsia="Times New Roman" w:cs="Times New Roman"/>
          <w:sz w:val="24"/>
          <w:szCs w:val="24"/>
          <w:spacing w:val="-7"/>
        </w:rPr>
        <w:t>0.3 kg/m</w:t>
      </w:r>
      <w:r>
        <w:rPr>
          <w:rFonts w:ascii="Times New Roman" w:hAnsi="Times New Roman" w:eastAsia="Times New Roman" w:cs="Times New Roman"/>
          <w:sz w:val="15"/>
          <w:szCs w:val="15"/>
          <w:spacing w:val="-7"/>
          <w:position w:val="8"/>
        </w:rPr>
        <w:t>2</w:t>
      </w:r>
      <w:r>
        <w:rPr>
          <w:rFonts w:ascii="FangSong" w:hAnsi="FangSong" w:eastAsia="FangSong" w:cs="FangSong"/>
          <w:sz w:val="24"/>
          <w:szCs w:val="24"/>
          <w:spacing w:val="-7"/>
        </w:rPr>
        <w:t>，</w:t>
      </w:r>
      <w:r>
        <w:rPr>
          <w:rFonts w:ascii="FangSong" w:hAnsi="FangSong" w:eastAsia="FangSong" w:cs="FangSong"/>
          <w:sz w:val="24"/>
          <w:szCs w:val="24"/>
          <w:spacing w:val="-4"/>
        </w:rPr>
        <w:t>行驶速度为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4"/>
        </w:rPr>
        <w:t>20 km/h</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4"/>
        </w:rPr>
        <w:t>的情况下的扬尘量为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184 kg</w:t>
      </w:r>
      <w:r>
        <w:rPr>
          <w:rFonts w:ascii="FangSong" w:hAnsi="FangSong" w:eastAsia="FangSong" w:cs="FangSong"/>
          <w:sz w:val="24"/>
          <w:szCs w:val="24"/>
          <w:spacing w:val="-4"/>
        </w:rPr>
        <w:t>。</w:t>
      </w:r>
    </w:p>
    <w:p>
      <w:pPr>
        <w:ind w:left="498"/>
        <w:spacing w:before="24"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场地剥离平整及露天堆场产生的粉尘</w:t>
      </w:r>
    </w:p>
    <w:p>
      <w:pPr>
        <w:ind w:left="30" w:right="63" w:firstLine="475"/>
        <w:spacing w:before="181" w:line="345" w:lineRule="auto"/>
        <w:rPr>
          <w:rFonts w:ascii="FangSong" w:hAnsi="FangSong" w:eastAsia="FangSong" w:cs="FangSong"/>
          <w:sz w:val="24"/>
          <w:szCs w:val="24"/>
        </w:rPr>
      </w:pPr>
      <w:r>
        <w:rPr>
          <w:rFonts w:ascii="FangSong" w:hAnsi="FangSong" w:eastAsia="FangSong" w:cs="FangSong"/>
          <w:sz w:val="24"/>
          <w:szCs w:val="24"/>
        </w:rPr>
        <w:t>施工期产生扬尘的主要有场地剥离整理及露天堆场、裸露场</w:t>
      </w:r>
      <w:r>
        <w:rPr>
          <w:rFonts w:ascii="FangSong" w:hAnsi="FangSong" w:eastAsia="FangSong" w:cs="FangSong"/>
          <w:sz w:val="24"/>
          <w:szCs w:val="24"/>
          <w:spacing w:val="-1"/>
        </w:rPr>
        <w:t>地的风力扬尘。</w:t>
      </w:r>
      <w:r>
        <w:rPr>
          <w:rFonts w:ascii="FangSong" w:hAnsi="FangSong" w:eastAsia="FangSong" w:cs="FangSong"/>
          <w:sz w:val="24"/>
          <w:szCs w:val="24"/>
          <w:spacing w:val="-71"/>
        </w:rPr>
        <w:t xml:space="preserve"> </w:t>
      </w:r>
      <w:r>
        <w:rPr>
          <w:rFonts w:ascii="FangSong" w:hAnsi="FangSong" w:eastAsia="FangSong" w:cs="FangSong"/>
          <w:sz w:val="24"/>
          <w:szCs w:val="24"/>
          <w:spacing w:val="-1"/>
        </w:rPr>
        <w:t>由</w:t>
      </w:r>
      <w:r>
        <w:rPr>
          <w:rFonts w:ascii="FangSong" w:hAnsi="FangSong" w:eastAsia="FangSong" w:cs="FangSong"/>
          <w:sz w:val="24"/>
          <w:szCs w:val="24"/>
          <w:spacing w:val="1"/>
        </w:rPr>
        <w:t>于施工的需要，一些建材露天堆放、表层土壤需开挖、堆放，在气候干燥又有风的</w:t>
      </w:r>
      <w:r>
        <w:rPr>
          <w:rFonts w:ascii="FangSong" w:hAnsi="FangSong" w:eastAsia="FangSong" w:cs="FangSong"/>
          <w:sz w:val="24"/>
          <w:szCs w:val="24"/>
          <w:spacing w:val="1"/>
        </w:rPr>
        <w:t>情况下，会产生扬尘。本项目开采方式为井下开采，地表剥离面积较小，扬尘产生</w:t>
      </w:r>
      <w:r>
        <w:rPr>
          <w:rFonts w:ascii="FangSong" w:hAnsi="FangSong" w:eastAsia="FangSong" w:cs="FangSong"/>
          <w:sz w:val="24"/>
          <w:szCs w:val="24"/>
          <w:spacing w:val="-2"/>
        </w:rPr>
        <w:t>量较少。其扬尘可按堆场起尘的经验公式</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3.4-2</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计算：</w:t>
      </w:r>
    </w:p>
    <w:p>
      <w:pPr>
        <w:pStyle w:val="BodyText"/>
        <w:ind w:left="2572"/>
        <w:spacing w:line="385" w:lineRule="exact"/>
        <w:rPr>
          <w:rFonts w:ascii="FangSong" w:hAnsi="FangSong" w:eastAsia="FangSong" w:cs="FangSong"/>
          <w:sz w:val="24"/>
          <w:szCs w:val="24"/>
        </w:rPr>
      </w:pPr>
      <w:r>
        <w:rPr>
          <w:rFonts w:ascii="Times New Roman" w:hAnsi="Times New Roman" w:eastAsia="Times New Roman" w:cs="Times New Roman"/>
          <w:sz w:val="23"/>
          <w:szCs w:val="23"/>
          <w:spacing w:val="1"/>
          <w:position w:val="4"/>
        </w:rPr>
        <w:t>Q </w:t>
      </w:r>
      <w:r>
        <w:rPr>
          <w:sz w:val="23"/>
          <w:szCs w:val="23"/>
          <w:spacing w:val="1"/>
          <w:position w:val="4"/>
        </w:rPr>
        <w:t>= </w:t>
      </w:r>
      <w:r>
        <w:rPr>
          <w:rFonts w:ascii="Times New Roman" w:hAnsi="Times New Roman" w:eastAsia="Times New Roman" w:cs="Times New Roman"/>
          <w:sz w:val="23"/>
          <w:szCs w:val="23"/>
          <w:spacing w:val="1"/>
          <w:position w:val="4"/>
        </w:rPr>
        <w:t>2.1</w:t>
      </w:r>
      <w:r>
        <w:rPr>
          <w:sz w:val="31"/>
          <w:szCs w:val="31"/>
          <w:spacing w:val="1"/>
          <w:position w:val="4"/>
        </w:rPr>
        <w:t>(</w:t>
      </w:r>
      <w:r>
        <w:rPr>
          <w:rFonts w:ascii="Times New Roman" w:hAnsi="Times New Roman" w:eastAsia="Times New Roman" w:cs="Times New Roman"/>
          <w:sz w:val="23"/>
          <w:szCs w:val="23"/>
          <w:spacing w:val="1"/>
          <w:position w:val="4"/>
        </w:rPr>
        <w:t>V</w:t>
      </w:r>
      <w:r>
        <w:rPr>
          <w:rFonts w:ascii="Times New Roman" w:hAnsi="Times New Roman" w:eastAsia="Times New Roman" w:cs="Times New Roman"/>
          <w:sz w:val="13"/>
          <w:szCs w:val="13"/>
          <w:spacing w:val="1"/>
          <w:position w:val="-2"/>
        </w:rPr>
        <w:t>50  </w:t>
      </w:r>
      <w:r>
        <w:rPr>
          <w:sz w:val="23"/>
          <w:szCs w:val="23"/>
          <w:spacing w:val="1"/>
          <w:position w:val="4"/>
        </w:rPr>
        <w:t>-</w:t>
      </w:r>
      <w:r>
        <w:rPr>
          <w:sz w:val="23"/>
          <w:szCs w:val="23"/>
          <w:spacing w:val="-20"/>
          <w:position w:val="4"/>
        </w:rPr>
        <w:t xml:space="preserve"> </w:t>
      </w:r>
      <w:r>
        <w:rPr>
          <w:rFonts w:ascii="Times New Roman" w:hAnsi="Times New Roman" w:eastAsia="Times New Roman" w:cs="Times New Roman"/>
          <w:sz w:val="23"/>
          <w:szCs w:val="23"/>
          <w:spacing w:val="1"/>
          <w:position w:val="4"/>
        </w:rPr>
        <w:t>V</w:t>
      </w:r>
      <w:r>
        <w:rPr>
          <w:rFonts w:ascii="Times New Roman" w:hAnsi="Times New Roman" w:eastAsia="Times New Roman" w:cs="Times New Roman"/>
          <w:sz w:val="13"/>
          <w:szCs w:val="13"/>
          <w:spacing w:val="1"/>
          <w:position w:val="-2"/>
        </w:rPr>
        <w:t>0 </w:t>
      </w:r>
      <w:r>
        <w:rPr>
          <w:sz w:val="31"/>
          <w:szCs w:val="31"/>
          <w:spacing w:val="1"/>
          <w:position w:val="4"/>
        </w:rPr>
        <w:t>)</w:t>
      </w:r>
      <w:r>
        <w:rPr>
          <w:rFonts w:ascii="Times New Roman" w:hAnsi="Times New Roman" w:eastAsia="Times New Roman" w:cs="Times New Roman"/>
          <w:sz w:val="13"/>
          <w:szCs w:val="13"/>
          <w:spacing w:val="1"/>
          <w:position w:val="15"/>
        </w:rPr>
        <w:t>3 </w:t>
      </w:r>
      <w:r>
        <w:rPr>
          <w:rFonts w:ascii="Times New Roman" w:hAnsi="Times New Roman" w:eastAsia="Times New Roman" w:cs="Times New Roman"/>
          <w:sz w:val="23"/>
          <w:szCs w:val="23"/>
          <w:spacing w:val="1"/>
          <w:position w:val="4"/>
        </w:rPr>
        <w:t>e</w:t>
      </w:r>
      <w:r>
        <w:rPr>
          <w:sz w:val="13"/>
          <w:szCs w:val="13"/>
          <w:spacing w:val="1"/>
          <w:position w:val="14"/>
        </w:rPr>
        <w:t>-</w:t>
      </w:r>
      <w:r>
        <w:rPr>
          <w:rFonts w:ascii="Times New Roman" w:hAnsi="Times New Roman" w:eastAsia="Times New Roman" w:cs="Times New Roman"/>
          <w:sz w:val="13"/>
          <w:szCs w:val="13"/>
          <w:spacing w:val="1"/>
          <w:position w:val="14"/>
        </w:rPr>
        <w:t>1.023W</w:t>
      </w:r>
      <w:r>
        <w:rPr>
          <w:rFonts w:ascii="Times New Roman" w:hAnsi="Times New Roman" w:eastAsia="Times New Roman" w:cs="Times New Roman"/>
          <w:sz w:val="13"/>
          <w:szCs w:val="13"/>
          <w:position w:val="14"/>
        </w:rPr>
        <w:t xml:space="preserve">                </w:t>
      </w:r>
      <w:r>
        <w:rPr>
          <w:rFonts w:ascii="FangSong" w:hAnsi="FangSong" w:eastAsia="FangSong" w:cs="FangSong"/>
          <w:sz w:val="24"/>
          <w:szCs w:val="24"/>
          <w:spacing w:val="1"/>
          <w:position w:val="4"/>
        </w:rPr>
        <w:t>（公式</w:t>
      </w:r>
      <w:r>
        <w:rPr>
          <w:rFonts w:ascii="FangSong" w:hAnsi="FangSong" w:eastAsia="FangSong" w:cs="FangSong"/>
          <w:sz w:val="24"/>
          <w:szCs w:val="24"/>
          <w:spacing w:val="-36"/>
          <w:position w:val="4"/>
        </w:rPr>
        <w:t xml:space="preserve"> </w:t>
      </w:r>
      <w:r>
        <w:rPr>
          <w:rFonts w:ascii="Times New Roman" w:hAnsi="Times New Roman" w:eastAsia="Times New Roman" w:cs="Times New Roman"/>
          <w:sz w:val="24"/>
          <w:szCs w:val="24"/>
          <w:spacing w:val="1"/>
          <w:position w:val="4"/>
        </w:rPr>
        <w:t>3.</w:t>
      </w:r>
      <w:r>
        <w:rPr>
          <w:rFonts w:ascii="Times New Roman" w:hAnsi="Times New Roman" w:eastAsia="Times New Roman" w:cs="Times New Roman"/>
          <w:sz w:val="24"/>
          <w:szCs w:val="24"/>
          <w:position w:val="4"/>
        </w:rPr>
        <w:t>4-2</w:t>
      </w:r>
      <w:r>
        <w:rPr>
          <w:rFonts w:ascii="FangSong" w:hAnsi="FangSong" w:eastAsia="FangSong" w:cs="FangSong"/>
          <w:sz w:val="24"/>
          <w:szCs w:val="24"/>
          <w:position w:val="4"/>
        </w:rPr>
        <w:t>）</w:t>
      </w:r>
    </w:p>
    <w:p>
      <w:pPr>
        <w:ind w:left="508"/>
        <w:spacing w:before="242" w:line="212" w:lineRule="auto"/>
        <w:rPr>
          <w:rFonts w:ascii="FangSong" w:hAnsi="FangSong" w:eastAsia="FangSong" w:cs="FangSong"/>
          <w:sz w:val="24"/>
          <w:szCs w:val="24"/>
        </w:rPr>
      </w:pPr>
      <w:r>
        <w:rPr>
          <w:rFonts w:ascii="FangSong" w:hAnsi="FangSong" w:eastAsia="FangSong" w:cs="FangSong"/>
          <w:sz w:val="24"/>
          <w:szCs w:val="24"/>
          <w:spacing w:val="-3"/>
        </w:rPr>
        <w:t>其中：</w:t>
      </w:r>
      <w:r>
        <w:rPr>
          <w:rFonts w:ascii="Times New Roman" w:hAnsi="Times New Roman" w:eastAsia="Times New Roman" w:cs="Times New Roman"/>
          <w:sz w:val="24"/>
          <w:szCs w:val="24"/>
          <w:spacing w:val="-3"/>
        </w:rPr>
        <w:t>Q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起尘量，</w:t>
      </w:r>
      <w:r>
        <w:rPr>
          <w:rFonts w:ascii="Times New Roman" w:hAnsi="Times New Roman" w:eastAsia="Times New Roman" w:cs="Times New Roman"/>
          <w:sz w:val="24"/>
          <w:szCs w:val="24"/>
          <w:spacing w:val="-3"/>
        </w:rPr>
        <w:t>kg/t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3"/>
        </w:rPr>
        <w:t>年；</w:t>
      </w:r>
    </w:p>
    <w:p>
      <w:pPr>
        <w:ind w:left="1213"/>
        <w:spacing w:before="193"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V</w:t>
      </w:r>
      <w:r>
        <w:rPr>
          <w:rFonts w:ascii="Times New Roman" w:hAnsi="Times New Roman" w:eastAsia="Times New Roman" w:cs="Times New Roman"/>
          <w:sz w:val="15"/>
          <w:szCs w:val="15"/>
          <w:spacing w:val="-1"/>
          <w:position w:val="-1"/>
        </w:rPr>
        <w:t>50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距地面</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50m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处风速，</w:t>
      </w:r>
      <w:r>
        <w:rPr>
          <w:rFonts w:ascii="Times New Roman" w:hAnsi="Times New Roman" w:eastAsia="Times New Roman" w:cs="Times New Roman"/>
          <w:sz w:val="24"/>
          <w:szCs w:val="24"/>
          <w:spacing w:val="-1"/>
        </w:rPr>
        <w:t>m/s</w:t>
      </w:r>
      <w:r>
        <w:rPr>
          <w:rFonts w:ascii="FangSong" w:hAnsi="FangSong" w:eastAsia="FangSong" w:cs="FangSong"/>
          <w:sz w:val="24"/>
          <w:szCs w:val="24"/>
          <w:spacing w:val="-1"/>
        </w:rPr>
        <w:t>；</w:t>
      </w:r>
    </w:p>
    <w:p>
      <w:pPr>
        <w:ind w:left="1213"/>
        <w:spacing w:before="177"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V</w:t>
      </w:r>
      <w:r>
        <w:rPr>
          <w:rFonts w:ascii="Times New Roman" w:hAnsi="Times New Roman" w:eastAsia="Times New Roman" w:cs="Times New Roman"/>
          <w:sz w:val="15"/>
          <w:szCs w:val="15"/>
          <w:spacing w:val="-1"/>
          <w:position w:val="-1"/>
        </w:rPr>
        <w:t>0   </w:t>
      </w:r>
      <w:r>
        <w:rPr>
          <w:rFonts w:ascii="FangSong" w:hAnsi="FangSong" w:eastAsia="FangSong" w:cs="FangSong"/>
          <w:sz w:val="24"/>
          <w:szCs w:val="24"/>
          <w:spacing w:val="-1"/>
        </w:rPr>
        <w:t>——</w:t>
      </w:r>
      <w:r>
        <w:rPr>
          <w:rFonts w:ascii="FangSong" w:hAnsi="FangSong" w:eastAsia="FangSong" w:cs="FangSong"/>
          <w:sz w:val="24"/>
          <w:szCs w:val="24"/>
          <w:spacing w:val="22"/>
        </w:rPr>
        <w:t xml:space="preserve"> </w:t>
      </w:r>
      <w:r>
        <w:rPr>
          <w:rFonts w:ascii="FangSong" w:hAnsi="FangSong" w:eastAsia="FangSong" w:cs="FangSong"/>
          <w:sz w:val="24"/>
          <w:szCs w:val="24"/>
          <w:spacing w:val="-1"/>
        </w:rPr>
        <w:t>起尘风速，</w:t>
      </w:r>
      <w:r>
        <w:rPr>
          <w:rFonts w:ascii="Times New Roman" w:hAnsi="Times New Roman" w:eastAsia="Times New Roman" w:cs="Times New Roman"/>
          <w:sz w:val="24"/>
          <w:szCs w:val="24"/>
          <w:spacing w:val="-1"/>
        </w:rPr>
        <w:t>m/s</w:t>
      </w:r>
      <w:r>
        <w:rPr>
          <w:rFonts w:ascii="FangSong" w:hAnsi="FangSong" w:eastAsia="FangSong" w:cs="FangSong"/>
          <w:sz w:val="24"/>
          <w:szCs w:val="24"/>
          <w:spacing w:val="-1"/>
        </w:rPr>
        <w:t>；</w:t>
      </w:r>
    </w:p>
    <w:p>
      <w:pPr>
        <w:ind w:left="1214"/>
        <w:spacing w:before="179" w:line="221" w:lineRule="auto"/>
        <w:rPr>
          <w:rFonts w:ascii="FangSong" w:hAnsi="FangSong" w:eastAsia="FangSong" w:cs="FangSong"/>
          <w:sz w:val="24"/>
          <w:szCs w:val="24"/>
        </w:rPr>
      </w:pPr>
      <w:r>
        <w:rPr>
          <w:rFonts w:ascii="Times New Roman" w:hAnsi="Times New Roman" w:eastAsia="Times New Roman" w:cs="Times New Roman"/>
          <w:sz w:val="24"/>
          <w:szCs w:val="24"/>
          <w:spacing w:val="-1"/>
        </w:rPr>
        <w:t>W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尘粒的含水率，</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w:t>
      </w:r>
    </w:p>
    <w:p>
      <w:pPr>
        <w:spacing w:line="221" w:lineRule="auto"/>
        <w:sectPr>
          <w:footerReference w:type="default" r:id="rId94"/>
          <w:pgSz w:w="11911" w:h="16839"/>
          <w:pgMar w:top="400" w:right="1352"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507"/>
        <w:spacing w:before="78" w:line="212" w:lineRule="auto"/>
        <w:rPr>
          <w:rFonts w:ascii="FangSong" w:hAnsi="FangSong" w:eastAsia="FangSong" w:cs="FangSong"/>
          <w:sz w:val="24"/>
          <w:szCs w:val="24"/>
        </w:rPr>
      </w:pPr>
      <w:r>
        <w:rPr>
          <w:rFonts w:ascii="FangSong" w:hAnsi="FangSong" w:eastAsia="FangSong" w:cs="FangSong"/>
          <w:sz w:val="24"/>
          <w:szCs w:val="24"/>
          <w:spacing w:val="-5"/>
        </w:rPr>
        <w:t>本地区的</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5"/>
        </w:rPr>
        <w:t>V</w:t>
      </w:r>
      <w:r>
        <w:rPr>
          <w:rFonts w:ascii="Times New Roman" w:hAnsi="Times New Roman" w:eastAsia="Times New Roman" w:cs="Times New Roman"/>
          <w:sz w:val="15"/>
          <w:szCs w:val="15"/>
          <w:spacing w:val="-5"/>
          <w:position w:val="-1"/>
        </w:rPr>
        <w:t>50</w:t>
      </w:r>
      <w:r>
        <w:rPr>
          <w:rFonts w:ascii="Times New Roman" w:hAnsi="Times New Roman" w:eastAsia="Times New Roman" w:cs="Times New Roman"/>
          <w:sz w:val="15"/>
          <w:szCs w:val="15"/>
          <w:spacing w:val="24"/>
          <w:position w:val="-1"/>
        </w:rPr>
        <w:t xml:space="preserve"> </w:t>
      </w:r>
      <w:r>
        <w:rPr>
          <w:rFonts w:ascii="FangSong" w:hAnsi="FangSong" w:eastAsia="FangSong" w:cs="FangSong"/>
          <w:sz w:val="24"/>
          <w:szCs w:val="24"/>
          <w:spacing w:val="-5"/>
        </w:rPr>
        <w:t>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6m/s</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V</w:t>
      </w:r>
      <w:r>
        <w:rPr>
          <w:rFonts w:ascii="Times New Roman" w:hAnsi="Times New Roman" w:eastAsia="Times New Roman" w:cs="Times New Roman"/>
          <w:sz w:val="15"/>
          <w:szCs w:val="15"/>
          <w:spacing w:val="-5"/>
          <w:position w:val="-1"/>
        </w:rPr>
        <w:t>0</w:t>
      </w:r>
      <w:r>
        <w:rPr>
          <w:rFonts w:ascii="Times New Roman" w:hAnsi="Times New Roman" w:eastAsia="Times New Roman" w:cs="Times New Roman"/>
          <w:sz w:val="15"/>
          <w:szCs w:val="15"/>
          <w:spacing w:val="19"/>
          <w:position w:val="-1"/>
        </w:rPr>
        <w:t xml:space="preserve"> </w:t>
      </w:r>
      <w:r>
        <w:rPr>
          <w:rFonts w:ascii="FangSong" w:hAnsi="FangSong" w:eastAsia="FangSong" w:cs="FangSong"/>
          <w:sz w:val="24"/>
          <w:szCs w:val="24"/>
          <w:spacing w:val="-5"/>
        </w:rPr>
        <w:t>取</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4m/s</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W</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5"/>
        </w:rPr>
        <w:t>取</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，起</w:t>
      </w:r>
      <w:r>
        <w:rPr>
          <w:rFonts w:ascii="FangSong" w:hAnsi="FangSong" w:eastAsia="FangSong" w:cs="FangSong"/>
          <w:sz w:val="24"/>
          <w:szCs w:val="24"/>
          <w:spacing w:val="-6"/>
        </w:rPr>
        <w:t>尘量为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3.26kg/t</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6"/>
        </w:rPr>
        <w:t>年。</w:t>
      </w:r>
    </w:p>
    <w:p>
      <w:pPr>
        <w:ind w:left="498"/>
        <w:spacing w:before="192" w:line="219"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21"/>
        </w:rPr>
        <w:t xml:space="preserve"> </w:t>
      </w:r>
      <w:r>
        <w:rPr>
          <w:rFonts w:ascii="FangSong" w:hAnsi="FangSong" w:eastAsia="FangSong" w:cs="FangSong"/>
          <w:sz w:val="24"/>
          <w:szCs w:val="24"/>
          <w:spacing w:val="-6"/>
        </w:rPr>
        <w:t>汽车尾气</w:t>
      </w:r>
    </w:p>
    <w:p>
      <w:pPr>
        <w:ind w:left="512"/>
        <w:spacing w:before="180" w:line="219" w:lineRule="auto"/>
        <w:rPr>
          <w:rFonts w:ascii="FangSong" w:hAnsi="FangSong" w:eastAsia="FangSong" w:cs="FangSong"/>
          <w:sz w:val="24"/>
          <w:szCs w:val="24"/>
        </w:rPr>
      </w:pPr>
      <w:r>
        <w:rPr>
          <w:rFonts w:ascii="FangSong" w:hAnsi="FangSong" w:eastAsia="FangSong" w:cs="FangSong"/>
          <w:sz w:val="24"/>
          <w:szCs w:val="24"/>
          <w:spacing w:val="-1"/>
        </w:rPr>
        <w:t>工程建设时，由运输车辆的运输过程中产生的汽车尾气，产生量较少。</w:t>
      </w:r>
    </w:p>
    <w:p>
      <w:pPr>
        <w:ind w:left="511"/>
        <w:spacing w:before="182"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）废水产生环节</w:t>
      </w:r>
    </w:p>
    <w:p>
      <w:pPr>
        <w:ind w:left="499"/>
        <w:spacing w:before="177" w:line="222"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施工过程中施工人员产生的生活污水：</w:t>
      </w:r>
    </w:p>
    <w:p>
      <w:pPr>
        <w:ind w:left="19" w:firstLine="501"/>
        <w:spacing w:before="180" w:line="354" w:lineRule="auto"/>
        <w:rPr>
          <w:rFonts w:ascii="FangSong" w:hAnsi="FangSong" w:eastAsia="FangSong" w:cs="FangSong"/>
          <w:sz w:val="24"/>
          <w:szCs w:val="24"/>
        </w:rPr>
      </w:pPr>
      <w:r>
        <w:rPr>
          <w:rFonts w:ascii="FangSong" w:hAnsi="FangSong" w:eastAsia="FangSong" w:cs="FangSong"/>
          <w:sz w:val="24"/>
          <w:szCs w:val="24"/>
          <w:spacing w:val="-3"/>
        </w:rPr>
        <w:t>生活废水包括食堂用水和洗涤废水。施工期</w:t>
      </w:r>
      <w:r>
        <w:rPr>
          <w:rFonts w:ascii="FangSong" w:hAnsi="FangSong" w:eastAsia="FangSong" w:cs="FangSong"/>
          <w:sz w:val="24"/>
          <w:szCs w:val="24"/>
          <w:spacing w:val="-4"/>
        </w:rPr>
        <w:t>高峰人数为每天</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人，用水定额为</w:t>
      </w:r>
      <w:r>
        <w:rPr>
          <w:rFonts w:ascii="Times New Roman" w:hAnsi="Times New Roman" w:eastAsia="Times New Roman" w:cs="Times New Roman"/>
          <w:sz w:val="24"/>
          <w:szCs w:val="24"/>
          <w:spacing w:val="-2"/>
        </w:rPr>
        <w:t>60L/</w:t>
      </w:r>
      <w:r>
        <w:rPr>
          <w:rFonts w:ascii="FangSong" w:hAnsi="FangSong" w:eastAsia="FangSong" w:cs="FangSong"/>
          <w:sz w:val="24"/>
          <w:szCs w:val="24"/>
          <w:spacing w:val="-2"/>
        </w:rPr>
        <w:t>人</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，经计算可知生活用水量为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60L/</w:t>
      </w:r>
      <w:r>
        <w:rPr>
          <w:rFonts w:ascii="FangSong" w:hAnsi="FangSong" w:eastAsia="FangSong" w:cs="FangSong"/>
          <w:sz w:val="24"/>
          <w:szCs w:val="24"/>
          <w:spacing w:val="-2"/>
        </w:rPr>
        <w:t>人</w:t>
      </w:r>
      <w:r>
        <w:rPr>
          <w:rFonts w:ascii="Times New Roman" w:hAnsi="Times New Roman" w:eastAsia="Times New Roman" w:cs="Times New Roman"/>
          <w:sz w:val="24"/>
          <w:szCs w:val="24"/>
          <w:spacing w:val="-2"/>
        </w:rPr>
        <w:t>•d×20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人</w:t>
      </w:r>
      <w:r>
        <w:rPr>
          <w:rFonts w:ascii="Times New Roman" w:hAnsi="Times New Roman" w:eastAsia="Times New Roman" w:cs="Times New Roman"/>
          <w:sz w:val="24"/>
          <w:szCs w:val="24"/>
          <w:spacing w:val="-2"/>
        </w:rPr>
        <w:t>=1.2m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。污水量按</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80%</w:t>
      </w:r>
      <w:r>
        <w:rPr>
          <w:rFonts w:ascii="FangSong" w:hAnsi="FangSong" w:eastAsia="FangSong" w:cs="FangSong"/>
          <w:sz w:val="24"/>
          <w:szCs w:val="24"/>
          <w:spacing w:val="-2"/>
        </w:rPr>
        <w:t>计算，</w:t>
      </w:r>
      <w:r>
        <w:rPr>
          <w:rFonts w:ascii="FangSong" w:hAnsi="FangSong" w:eastAsia="FangSong" w:cs="FangSong"/>
          <w:sz w:val="24"/>
          <w:szCs w:val="24"/>
          <w:spacing w:val="1"/>
        </w:rPr>
        <w:t>生活污水排放量为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0.96m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，类比《苏尼特左</w:t>
      </w:r>
      <w:r>
        <w:rPr>
          <w:rFonts w:ascii="FangSong" w:hAnsi="FangSong" w:eastAsia="FangSong" w:cs="FangSong"/>
          <w:sz w:val="24"/>
          <w:szCs w:val="24"/>
        </w:rPr>
        <w:t>旗满都拉图镇昌图敖包采石场项目》</w:t>
      </w:r>
      <w:r>
        <w:rPr>
          <w:rFonts w:ascii="FangSong" w:hAnsi="FangSong" w:eastAsia="FangSong" w:cs="FangSong"/>
          <w:sz w:val="24"/>
          <w:szCs w:val="24"/>
          <w:spacing w:val="-5"/>
        </w:rPr>
        <w:t>生活污水污染物排放浓度计算，其中</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COD 300mg/L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NH</w:t>
      </w:r>
      <w:r>
        <w:rPr>
          <w:rFonts w:ascii="Times New Roman" w:hAnsi="Times New Roman" w:eastAsia="Times New Roman" w:cs="Times New Roman"/>
          <w:sz w:val="15"/>
          <w:szCs w:val="15"/>
          <w:spacing w:val="-5"/>
        </w:rPr>
        <w:t>3</w:t>
      </w:r>
      <w:r>
        <w:rPr>
          <w:rFonts w:ascii="Times New Roman" w:hAnsi="Times New Roman" w:eastAsia="Times New Roman" w:cs="Times New Roman"/>
          <w:sz w:val="24"/>
          <w:szCs w:val="24"/>
          <w:spacing w:val="-5"/>
        </w:rPr>
        <w:t>-N40mg/L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BOD</w:t>
      </w:r>
      <w:r>
        <w:rPr>
          <w:rFonts w:ascii="Times New Roman" w:hAnsi="Times New Roman" w:eastAsia="Times New Roman" w:cs="Times New Roman"/>
          <w:sz w:val="15"/>
          <w:szCs w:val="15"/>
          <w:spacing w:val="-5"/>
          <w:position w:val="-1"/>
        </w:rPr>
        <w:t>5 </w:t>
      </w:r>
      <w:r>
        <w:rPr>
          <w:rFonts w:ascii="Times New Roman" w:hAnsi="Times New Roman" w:eastAsia="Times New Roman" w:cs="Times New Roman"/>
          <w:sz w:val="24"/>
          <w:szCs w:val="24"/>
          <w:spacing w:val="-5"/>
        </w:rPr>
        <w:t>200mg/L</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z w:val="24"/>
          <w:szCs w:val="24"/>
          <w:spacing w:val="52"/>
          <w:w w:val="101"/>
        </w:rPr>
        <w:t xml:space="preserve"> </w:t>
      </w:r>
      <w:r>
        <w:rPr>
          <w:rFonts w:ascii="Times New Roman" w:hAnsi="Times New Roman" w:eastAsia="Times New Roman" w:cs="Times New Roman"/>
          <w:sz w:val="24"/>
          <w:szCs w:val="24"/>
          <w:spacing w:val="1"/>
        </w:rPr>
        <w:t>100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/L </w:t>
      </w:r>
      <w:r>
        <w:rPr>
          <w:rFonts w:ascii="FangSong" w:hAnsi="FangSong" w:eastAsia="FangSong" w:cs="FangSong"/>
          <w:sz w:val="24"/>
          <w:szCs w:val="24"/>
          <w:spacing w:val="1"/>
        </w:rPr>
        <w:t>。预测本项</w:t>
      </w:r>
      <w:r>
        <w:rPr>
          <w:rFonts w:ascii="FangSong" w:hAnsi="FangSong" w:eastAsia="FangSong" w:cs="FangSong"/>
          <w:sz w:val="24"/>
          <w:szCs w:val="24"/>
          <w:spacing w:val="-48"/>
        </w:rPr>
        <w:t xml:space="preserve"> </w:t>
      </w:r>
      <w:r>
        <w:rPr>
          <w:rFonts w:ascii="FangSong" w:hAnsi="FangSong" w:eastAsia="FangSong" w:cs="FangSong"/>
          <w:sz w:val="24"/>
          <w:szCs w:val="24"/>
          <w:spacing w:val="1"/>
        </w:rPr>
        <w:t>目施工期间：</w:t>
      </w:r>
      <w:r>
        <w:rPr>
          <w:rFonts w:ascii="Times New Roman" w:hAnsi="Times New Roman" w:eastAsia="Times New Roman" w:cs="Times New Roman"/>
          <w:sz w:val="24"/>
          <w:szCs w:val="24"/>
        </w:rPr>
        <w:t>COD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1"/>
        </w:rPr>
        <w:t>排放量为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1"/>
        </w:rPr>
        <w:t>0.288</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1"/>
        </w:rPr>
        <w:t>排放量为</w:t>
      </w:r>
      <w:r>
        <w:rPr>
          <w:rFonts w:ascii="Times New Roman" w:hAnsi="Times New Roman" w:eastAsia="Times New Roman" w:cs="Times New Roman"/>
          <w:sz w:val="24"/>
          <w:szCs w:val="24"/>
          <w:spacing w:val="-3"/>
        </w:rPr>
        <w:t>0.038kg/d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BOD</w:t>
      </w:r>
      <w:r>
        <w:rPr>
          <w:rFonts w:ascii="Times New Roman" w:hAnsi="Times New Roman" w:eastAsia="Times New Roman" w:cs="Times New Roman"/>
          <w:sz w:val="15"/>
          <w:szCs w:val="15"/>
          <w:spacing w:val="-3"/>
          <w:position w:val="-1"/>
        </w:rPr>
        <w:t>5</w:t>
      </w:r>
      <w:r>
        <w:rPr>
          <w:rFonts w:ascii="Times New Roman" w:hAnsi="Times New Roman" w:eastAsia="Times New Roman" w:cs="Times New Roman"/>
          <w:sz w:val="15"/>
          <w:szCs w:val="15"/>
          <w:spacing w:val="15"/>
          <w:w w:val="101"/>
          <w:position w:val="-1"/>
        </w:rPr>
        <w:t xml:space="preserve"> </w:t>
      </w:r>
      <w:r>
        <w:rPr>
          <w:rFonts w:ascii="FangSong" w:hAnsi="FangSong" w:eastAsia="FangSong" w:cs="FangSong"/>
          <w:sz w:val="24"/>
          <w:szCs w:val="24"/>
          <w:spacing w:val="-3"/>
        </w:rPr>
        <w:t>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192kg/d</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SS </w:t>
      </w:r>
      <w:r>
        <w:rPr>
          <w:rFonts w:ascii="FangSong" w:hAnsi="FangSong" w:eastAsia="FangSong" w:cs="FangSong"/>
          <w:sz w:val="24"/>
          <w:szCs w:val="24"/>
          <w:spacing w:val="-3"/>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0.096kg/</w:t>
      </w:r>
      <w:r>
        <w:rPr>
          <w:rFonts w:ascii="Times New Roman" w:hAnsi="Times New Roman" w:eastAsia="Times New Roman" w:cs="Times New Roman"/>
          <w:sz w:val="24"/>
          <w:szCs w:val="24"/>
          <w:spacing w:val="-4"/>
        </w:rPr>
        <w:t>d</w:t>
      </w:r>
      <w:r>
        <w:rPr>
          <w:rFonts w:ascii="FangSong" w:hAnsi="FangSong" w:eastAsia="FangSong" w:cs="FangSong"/>
          <w:sz w:val="24"/>
          <w:szCs w:val="24"/>
          <w:spacing w:val="-4"/>
        </w:rPr>
        <w:t>。</w:t>
      </w:r>
    </w:p>
    <w:p>
      <w:pPr>
        <w:ind w:left="498"/>
        <w:spacing w:before="40" w:line="219"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施工机械、施工车辆轮胎冲洗废水：</w:t>
      </w:r>
    </w:p>
    <w:p>
      <w:pPr>
        <w:ind w:left="27" w:right="65" w:firstLine="478"/>
        <w:spacing w:before="182" w:line="359" w:lineRule="auto"/>
        <w:jc w:val="both"/>
        <w:rPr>
          <w:rFonts w:ascii="FangSong" w:hAnsi="FangSong" w:eastAsia="FangSong" w:cs="FangSong"/>
          <w:sz w:val="24"/>
          <w:szCs w:val="24"/>
        </w:rPr>
      </w:pPr>
      <w:r>
        <w:rPr>
          <w:rFonts w:ascii="FangSong" w:hAnsi="FangSong" w:eastAsia="FangSong" w:cs="FangSong"/>
          <w:sz w:val="24"/>
          <w:szCs w:val="24"/>
          <w:spacing w:val="-3"/>
        </w:rPr>
        <w:t>施工现场机械设备和轮胎冲洗会产生清洗废水，主要污染物为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3"/>
        </w:rPr>
        <w:t>SS</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、石油类等。</w:t>
      </w:r>
      <w:r>
        <w:rPr>
          <w:rFonts w:ascii="FangSong" w:hAnsi="FangSong" w:eastAsia="FangSong" w:cs="FangSong"/>
          <w:sz w:val="24"/>
          <w:szCs w:val="24"/>
          <w:spacing w:val="-3"/>
        </w:rPr>
        <w:t>本项目施工现场施工机械较少，施工废水产生量为</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3"/>
        </w:rPr>
        <w:t>1.2m</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24"/>
          <w:szCs w:val="24"/>
          <w:spacing w:val="-3"/>
        </w:rPr>
        <w:t>/d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，废水产生量较小，对环</w:t>
      </w:r>
      <w:r>
        <w:rPr>
          <w:rFonts w:ascii="FangSong" w:hAnsi="FangSong" w:eastAsia="FangSong" w:cs="FangSong"/>
          <w:sz w:val="24"/>
          <w:szCs w:val="24"/>
          <w:spacing w:val="-3"/>
        </w:rPr>
        <w:t>境影响较小。</w:t>
      </w:r>
    </w:p>
    <w:p>
      <w:pPr>
        <w:ind w:left="511"/>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）噪声产生环节</w:t>
      </w:r>
    </w:p>
    <w:p>
      <w:pPr>
        <w:ind w:left="27" w:right="63" w:firstLine="480"/>
        <w:spacing w:before="179" w:line="357" w:lineRule="auto"/>
        <w:rPr>
          <w:rFonts w:ascii="FangSong" w:hAnsi="FangSong" w:eastAsia="FangSong" w:cs="FangSong"/>
          <w:sz w:val="24"/>
          <w:szCs w:val="24"/>
        </w:rPr>
      </w:pPr>
      <w:r>
        <w:rPr>
          <w:rFonts w:ascii="FangSong" w:hAnsi="FangSong" w:eastAsia="FangSong" w:cs="FangSong"/>
          <w:sz w:val="24"/>
          <w:szCs w:val="24"/>
        </w:rPr>
        <w:t>在施工过程中，</w:t>
      </w:r>
      <w:r>
        <w:rPr>
          <w:rFonts w:ascii="FangSong" w:hAnsi="FangSong" w:eastAsia="FangSong" w:cs="FangSong"/>
          <w:sz w:val="24"/>
          <w:szCs w:val="24"/>
          <w:spacing w:val="-71"/>
        </w:rPr>
        <w:t xml:space="preserve"> </w:t>
      </w:r>
      <w:r>
        <w:rPr>
          <w:rFonts w:ascii="FangSong" w:hAnsi="FangSong" w:eastAsia="FangSong" w:cs="FangSong"/>
          <w:sz w:val="24"/>
          <w:szCs w:val="24"/>
        </w:rPr>
        <w:t>由于各种施工机械设备的运转和各类</w:t>
      </w:r>
      <w:r>
        <w:rPr>
          <w:rFonts w:ascii="FangSong" w:hAnsi="FangSong" w:eastAsia="FangSong" w:cs="FangSong"/>
          <w:sz w:val="24"/>
          <w:szCs w:val="24"/>
          <w:spacing w:val="-1"/>
        </w:rPr>
        <w:t>车辆的运行，不可避免的</w:t>
      </w:r>
      <w:r>
        <w:rPr>
          <w:rFonts w:ascii="FangSong" w:hAnsi="FangSong" w:eastAsia="FangSong" w:cs="FangSong"/>
          <w:sz w:val="24"/>
          <w:szCs w:val="24"/>
          <w:spacing w:val="1"/>
        </w:rPr>
        <w:t>将产生噪声污染。施工中使用的各种施工机械、运输车辆等都是噪声的产生源。根</w:t>
      </w:r>
      <w:r>
        <w:rPr>
          <w:rFonts w:ascii="FangSong" w:hAnsi="FangSong" w:eastAsia="FangSong" w:cs="FangSong"/>
          <w:sz w:val="24"/>
          <w:szCs w:val="24"/>
          <w:spacing w:val="-1"/>
        </w:rPr>
        <w:t>据有关资料主要施工机械的噪声在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76 dB(A)-93 dB(A)</w:t>
      </w:r>
      <w:r>
        <w:rPr>
          <w:rFonts w:ascii="FangSong" w:hAnsi="FangSong" w:eastAsia="FangSong" w:cs="FangSong"/>
          <w:sz w:val="24"/>
          <w:szCs w:val="24"/>
          <w:spacing w:val="-1"/>
        </w:rPr>
        <w:t>范围内。</w:t>
      </w:r>
    </w:p>
    <w:p>
      <w:pPr>
        <w:ind w:left="511"/>
        <w:spacing w:before="8"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）固体废物产生环节</w:t>
      </w:r>
    </w:p>
    <w:p>
      <w:pPr>
        <w:ind w:left="25" w:right="63" w:firstLine="480"/>
        <w:spacing w:before="183" w:line="358" w:lineRule="auto"/>
        <w:rPr>
          <w:rFonts w:ascii="FangSong" w:hAnsi="FangSong" w:eastAsia="FangSong" w:cs="FangSong"/>
          <w:sz w:val="24"/>
          <w:szCs w:val="24"/>
        </w:rPr>
      </w:pPr>
      <w:r>
        <w:rPr>
          <w:rFonts w:ascii="FangSong" w:hAnsi="FangSong" w:eastAsia="FangSong" w:cs="FangSong"/>
          <w:sz w:val="24"/>
          <w:szCs w:val="24"/>
          <w:spacing w:val="1"/>
        </w:rPr>
        <w:t>施工期间也将有一定数量矿山剥离物、废弃石料、建筑材料如砂石、石灰、混</w:t>
      </w:r>
      <w:r>
        <w:rPr>
          <w:rFonts w:ascii="FangSong" w:hAnsi="FangSong" w:eastAsia="FangSong" w:cs="FangSong"/>
          <w:sz w:val="24"/>
          <w:szCs w:val="24"/>
          <w:spacing w:val="1"/>
        </w:rPr>
        <w:t>凝土、木材、废砖等。矿山剥离物和废弃石材堆放在企业指定的废石场。施工期高</w:t>
      </w:r>
      <w:r>
        <w:rPr>
          <w:rFonts w:ascii="FangSong" w:hAnsi="FangSong" w:eastAsia="FangSong" w:cs="FangSong"/>
          <w:sz w:val="24"/>
          <w:szCs w:val="24"/>
          <w:spacing w:val="-3"/>
        </w:rPr>
        <w:t>峰人数为每天</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20</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3"/>
        </w:rPr>
        <w:t>人，生活垃圾按</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0.5kg/</w:t>
      </w:r>
      <w:r>
        <w:rPr>
          <w:rFonts w:ascii="FangSong" w:hAnsi="FangSong" w:eastAsia="FangSong" w:cs="FangSong"/>
          <w:sz w:val="24"/>
          <w:szCs w:val="24"/>
          <w:spacing w:val="-3"/>
        </w:rPr>
        <w:t>人</w:t>
      </w:r>
      <w:r>
        <w:rPr>
          <w:rFonts w:ascii="FangSong" w:hAnsi="FangSong" w:eastAsia="FangSong" w:cs="FangSong"/>
          <w:sz w:val="24"/>
          <w:szCs w:val="24"/>
          <w:spacing w:val="-28"/>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计，工程施工高峰日生活垃圾产生量</w:t>
      </w:r>
      <w:r>
        <w:rPr>
          <w:rFonts w:ascii="FangSong" w:hAnsi="FangSong" w:eastAsia="FangSong" w:cs="FangSong"/>
          <w:sz w:val="24"/>
          <w:szCs w:val="24"/>
          <w:spacing w:val="-2"/>
        </w:rPr>
        <w:t>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0.001t</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，本项目施工期为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2"/>
        </w:rPr>
        <w:t>个月，施工期生</w:t>
      </w:r>
      <w:r>
        <w:rPr>
          <w:rFonts w:ascii="FangSong" w:hAnsi="FangSong" w:eastAsia="FangSong" w:cs="FangSong"/>
          <w:sz w:val="24"/>
          <w:szCs w:val="24"/>
          <w:spacing w:val="-3"/>
        </w:rPr>
        <w:t>活垃圾产生量一共为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0.015t</w:t>
      </w:r>
      <w:r>
        <w:rPr>
          <w:rFonts w:ascii="FangSong" w:hAnsi="FangSong" w:eastAsia="FangSong" w:cs="FangSong"/>
          <w:sz w:val="24"/>
          <w:szCs w:val="24"/>
          <w:spacing w:val="-3"/>
        </w:rPr>
        <w:t>。</w:t>
      </w:r>
    </w:p>
    <w:p>
      <w:pPr>
        <w:ind w:left="14"/>
        <w:spacing w:before="4"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3.4.2.2  </w:t>
      </w:r>
      <w:r>
        <w:rPr>
          <w:rFonts w:ascii="FangSong" w:hAnsi="FangSong" w:eastAsia="FangSong" w:cs="FangSong"/>
          <w:sz w:val="24"/>
          <w:szCs w:val="24"/>
          <w:b/>
          <w:bCs/>
          <w:spacing w:val="-2"/>
        </w:rPr>
        <w:t>运营期主要污染工序</w:t>
      </w:r>
    </w:p>
    <w:p>
      <w:pPr>
        <w:ind w:left="508"/>
        <w:spacing w:before="177" w:line="222" w:lineRule="auto"/>
        <w:rPr>
          <w:rFonts w:ascii="FangSong" w:hAnsi="FangSong" w:eastAsia="FangSong" w:cs="FangSong"/>
          <w:sz w:val="24"/>
          <w:szCs w:val="24"/>
        </w:rPr>
      </w:pPr>
      <w:r>
        <w:rPr>
          <w:rFonts w:ascii="FangSong" w:hAnsi="FangSong" w:eastAsia="FangSong" w:cs="FangSong"/>
          <w:sz w:val="24"/>
          <w:szCs w:val="24"/>
          <w:spacing w:val="-2"/>
        </w:rPr>
        <w:t>运营期主要污染工序如下：</w:t>
      </w:r>
    </w:p>
    <w:p>
      <w:pPr>
        <w:ind w:left="511"/>
        <w:spacing w:before="1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）废气产生环节</w:t>
      </w:r>
    </w:p>
    <w:p>
      <w:pPr>
        <w:ind w:left="499"/>
        <w:spacing w:before="177" w:line="222"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矿山开采产生的粉尘</w:t>
      </w:r>
    </w:p>
    <w:p>
      <w:pPr>
        <w:ind w:left="32" w:right="63" w:firstLine="505"/>
        <w:spacing w:before="181" w:line="360" w:lineRule="auto"/>
        <w:rPr>
          <w:rFonts w:ascii="FangSong" w:hAnsi="FangSong" w:eastAsia="FangSong" w:cs="FangSong"/>
          <w:sz w:val="24"/>
          <w:szCs w:val="24"/>
        </w:rPr>
      </w:pPr>
      <w:r>
        <w:rPr>
          <w:rFonts w:ascii="FangSong" w:hAnsi="FangSong" w:eastAsia="FangSong" w:cs="FangSong"/>
          <w:sz w:val="24"/>
          <w:szCs w:val="24"/>
        </w:rPr>
        <w:t>由于本矿山开采方式为井工开采，对大气环境基本无影响。主要是对井下作业</w:t>
      </w:r>
      <w:r>
        <w:rPr>
          <w:rFonts w:ascii="FangSong" w:hAnsi="FangSong" w:eastAsia="FangSong" w:cs="FangSong"/>
          <w:sz w:val="24"/>
          <w:szCs w:val="24"/>
          <w:spacing w:val="1"/>
        </w:rPr>
        <w:t>工人的影响，设计中采用湿法凿岩方式进行多排孔微差爆破，减少爆破粉</w:t>
      </w:r>
      <w:r>
        <w:rPr>
          <w:rFonts w:ascii="FangSong" w:hAnsi="FangSong" w:eastAsia="FangSong" w:cs="FangSong"/>
          <w:sz w:val="24"/>
          <w:szCs w:val="24"/>
        </w:rPr>
        <w:t>尘产生，</w:t>
      </w:r>
    </w:p>
    <w:p>
      <w:pPr>
        <w:spacing w:line="360" w:lineRule="auto"/>
        <w:sectPr>
          <w:footerReference w:type="default" r:id="rId95"/>
          <w:pgSz w:w="11911" w:h="16839"/>
          <w:pgMar w:top="400" w:right="1352"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28"/>
        <w:spacing w:before="78" w:line="220" w:lineRule="auto"/>
        <w:rPr>
          <w:rFonts w:ascii="FangSong" w:hAnsi="FangSong" w:eastAsia="FangSong" w:cs="FangSong"/>
          <w:sz w:val="24"/>
          <w:szCs w:val="24"/>
        </w:rPr>
      </w:pPr>
      <w:bookmarkStart w:name="bookmark532" w:id="158"/>
      <w:bookmarkEnd w:id="158"/>
      <w:r>
        <w:rPr>
          <w:rFonts w:ascii="FangSong" w:hAnsi="FangSong" w:eastAsia="FangSong" w:cs="FangSong"/>
          <w:sz w:val="24"/>
          <w:szCs w:val="24"/>
          <w:spacing w:val="-2"/>
        </w:rPr>
        <w:t>可以很大程度上减少对作业工人的影响。</w:t>
      </w:r>
    </w:p>
    <w:p>
      <w:pPr>
        <w:ind w:left="596"/>
        <w:spacing w:before="181" w:line="222"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21"/>
        </w:rPr>
        <w:t xml:space="preserve"> </w:t>
      </w:r>
      <w:r>
        <w:rPr>
          <w:rFonts w:ascii="FangSong" w:hAnsi="FangSong" w:eastAsia="FangSong" w:cs="FangSong"/>
          <w:sz w:val="24"/>
          <w:szCs w:val="24"/>
          <w:spacing w:val="-5"/>
        </w:rPr>
        <w:t>废石场扬尘</w:t>
      </w:r>
    </w:p>
    <w:p>
      <w:pPr>
        <w:ind w:left="125" w:right="200" w:firstLine="481"/>
        <w:spacing w:before="177" w:line="358" w:lineRule="auto"/>
        <w:rPr>
          <w:rFonts w:ascii="FangSong" w:hAnsi="FangSong" w:eastAsia="FangSong" w:cs="FangSong"/>
          <w:sz w:val="24"/>
          <w:szCs w:val="24"/>
        </w:rPr>
      </w:pPr>
      <w:r>
        <w:rPr>
          <w:rFonts w:ascii="FangSong" w:hAnsi="FangSong" w:eastAsia="FangSong" w:cs="FangSong"/>
          <w:sz w:val="24"/>
          <w:szCs w:val="24"/>
          <w:spacing w:val="1"/>
        </w:rPr>
        <w:t>废弃土石渣等均运往废石场堆放，成品萤石矿石集中堆放在成品堆场，随出随</w:t>
      </w:r>
      <w:r>
        <w:rPr>
          <w:rFonts w:ascii="FangSong" w:hAnsi="FangSong" w:eastAsia="FangSong" w:cs="FangSong"/>
          <w:sz w:val="24"/>
          <w:szCs w:val="24"/>
          <w:spacing w:val="-4"/>
        </w:rPr>
        <w:t>运。堆放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1t</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4"/>
        </w:rPr>
        <w:t>的矿石产生的粉尘约为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0.22kg</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，废石场年堆放量</w:t>
      </w:r>
      <w:r>
        <w:rPr>
          <w:rFonts w:ascii="FangSong" w:hAnsi="FangSong" w:eastAsia="FangSong" w:cs="FangSong"/>
          <w:sz w:val="24"/>
          <w:szCs w:val="24"/>
          <w:spacing w:val="-5"/>
        </w:rPr>
        <w:t>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680t</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，经计算扬尘排</w:t>
      </w:r>
      <w:r>
        <w:rPr>
          <w:rFonts w:ascii="FangSong" w:hAnsi="FangSong" w:eastAsia="FangSong" w:cs="FangSong"/>
          <w:sz w:val="24"/>
          <w:szCs w:val="24"/>
          <w:spacing w:val="-5"/>
        </w:rPr>
        <w:t>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5"/>
        </w:rPr>
        <w:t>15t/a</w:t>
      </w:r>
      <w:r>
        <w:rPr>
          <w:rFonts w:ascii="FangSong" w:hAnsi="FangSong" w:eastAsia="FangSong" w:cs="FangSong"/>
          <w:sz w:val="24"/>
          <w:szCs w:val="24"/>
          <w:spacing w:val="-5"/>
        </w:rPr>
        <w:t>。</w:t>
      </w:r>
    </w:p>
    <w:p>
      <w:pPr>
        <w:ind w:left="596"/>
        <w:spacing w:before="5" w:line="222" w:lineRule="auto"/>
        <w:rPr>
          <w:rFonts w:ascii="FangSong" w:hAnsi="FangSong" w:eastAsia="FangSong" w:cs="FangSong"/>
          <w:sz w:val="24"/>
          <w:szCs w:val="24"/>
        </w:rPr>
      </w:pPr>
      <w:r>
        <w:rPr>
          <w:rFonts w:ascii="FangSong" w:hAnsi="FangSong" w:eastAsia="FangSong" w:cs="FangSong"/>
          <w:sz w:val="24"/>
          <w:szCs w:val="24"/>
          <w:spacing w:val="-4"/>
        </w:rPr>
        <w:t>③</w:t>
      </w:r>
      <w:r>
        <w:rPr>
          <w:rFonts w:ascii="FangSong" w:hAnsi="FangSong" w:eastAsia="FangSong" w:cs="FangSong"/>
          <w:sz w:val="24"/>
          <w:szCs w:val="24"/>
          <w:spacing w:val="19"/>
        </w:rPr>
        <w:t xml:space="preserve"> </w:t>
      </w:r>
      <w:r>
        <w:rPr>
          <w:rFonts w:ascii="FangSong" w:hAnsi="FangSong" w:eastAsia="FangSong" w:cs="FangSong"/>
          <w:sz w:val="24"/>
          <w:szCs w:val="24"/>
          <w:spacing w:val="-4"/>
        </w:rPr>
        <w:t>道路运输扬尘</w:t>
      </w:r>
    </w:p>
    <w:p>
      <w:pPr>
        <w:ind w:left="605"/>
        <w:spacing w:before="177" w:line="222" w:lineRule="auto"/>
        <w:rPr>
          <w:rFonts w:ascii="FangSong" w:hAnsi="FangSong" w:eastAsia="FangSong" w:cs="FangSong"/>
          <w:sz w:val="24"/>
          <w:szCs w:val="24"/>
        </w:rPr>
      </w:pPr>
      <w:r>
        <w:rPr>
          <w:rFonts w:ascii="FangSong" w:hAnsi="FangSong" w:eastAsia="FangSong" w:cs="FangSong"/>
          <w:sz w:val="24"/>
          <w:szCs w:val="24"/>
          <w:spacing w:val="-2"/>
        </w:rPr>
        <w:t>道路运输起尘量计算，采用公式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3.4-1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计算：</w:t>
      </w:r>
    </w:p>
    <w:p>
      <w:pPr>
        <w:ind w:left="110" w:firstLine="494"/>
        <w:spacing w:before="181" w:line="356" w:lineRule="auto"/>
        <w:rPr>
          <w:rFonts w:ascii="FangSong" w:hAnsi="FangSong" w:eastAsia="FangSong" w:cs="FangSong"/>
          <w:sz w:val="24"/>
          <w:szCs w:val="24"/>
        </w:rPr>
      </w:pPr>
      <w:r>
        <w:rPr>
          <w:rFonts w:ascii="FangSong" w:hAnsi="FangSong" w:eastAsia="FangSong" w:cs="FangSong"/>
          <w:sz w:val="24"/>
          <w:szCs w:val="24"/>
          <w:spacing w:val="3"/>
        </w:rPr>
        <w:t>本项目汽车行驶速度为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20 </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3"/>
        </w:rPr>
        <w:t>/h</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，汽车载重量为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40t</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，道路表面粉尘量为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0.15</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8"/>
        </w:rPr>
        <w:t>kg/m2</w:t>
      </w:r>
      <w:r>
        <w:rPr>
          <w:rFonts w:ascii="FangSong" w:hAnsi="FangSong" w:eastAsia="FangSong" w:cs="FangSong"/>
          <w:sz w:val="24"/>
          <w:szCs w:val="24"/>
          <w:spacing w:val="-8"/>
        </w:rPr>
        <w:t>。本项目砂石道路长为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8"/>
        </w:rPr>
        <w:t>5km</w:t>
      </w:r>
      <w:r>
        <w:rPr>
          <w:rFonts w:ascii="FangSong" w:hAnsi="FangSong" w:eastAsia="FangSong" w:cs="FangSong"/>
          <w:sz w:val="24"/>
          <w:szCs w:val="24"/>
          <w:spacing w:val="-8"/>
        </w:rPr>
        <w:t>，经计算，本项目运输</w:t>
      </w:r>
      <w:r>
        <w:rPr>
          <w:rFonts w:ascii="FangSong" w:hAnsi="FangSong" w:eastAsia="FangSong" w:cs="FangSong"/>
          <w:sz w:val="24"/>
          <w:szCs w:val="24"/>
          <w:spacing w:val="-9"/>
        </w:rPr>
        <w:t>道路运输扬尘排放量为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3.79t/a</w:t>
      </w:r>
      <w:r>
        <w:rPr>
          <w:rFonts w:ascii="FangSong" w:hAnsi="FangSong" w:eastAsia="FangSong" w:cs="FangSong"/>
          <w:sz w:val="24"/>
          <w:szCs w:val="24"/>
          <w:spacing w:val="-9"/>
        </w:rPr>
        <w:t>。</w:t>
      </w:r>
    </w:p>
    <w:p>
      <w:pPr>
        <w:ind w:left="596"/>
        <w:spacing w:before="6" w:line="222" w:lineRule="auto"/>
        <w:rPr>
          <w:rFonts w:ascii="FangSong" w:hAnsi="FangSong" w:eastAsia="FangSong" w:cs="FangSong"/>
          <w:sz w:val="24"/>
          <w:szCs w:val="24"/>
        </w:rPr>
      </w:pPr>
      <w:r>
        <w:rPr>
          <w:rFonts w:ascii="FangSong" w:hAnsi="FangSong" w:eastAsia="FangSong" w:cs="FangSong"/>
          <w:sz w:val="24"/>
          <w:szCs w:val="24"/>
          <w:spacing w:val="-5"/>
        </w:rPr>
        <w:t>④</w:t>
      </w:r>
      <w:r>
        <w:rPr>
          <w:rFonts w:ascii="FangSong" w:hAnsi="FangSong" w:eastAsia="FangSong" w:cs="FangSong"/>
          <w:sz w:val="24"/>
          <w:szCs w:val="24"/>
          <w:spacing w:val="16"/>
        </w:rPr>
        <w:t xml:space="preserve"> </w:t>
      </w:r>
      <w:r>
        <w:rPr>
          <w:rFonts w:ascii="FangSong" w:hAnsi="FangSong" w:eastAsia="FangSong" w:cs="FangSong"/>
          <w:sz w:val="24"/>
          <w:szCs w:val="24"/>
          <w:spacing w:val="-5"/>
        </w:rPr>
        <w:t>爆破废气</w:t>
      </w:r>
    </w:p>
    <w:p>
      <w:pPr>
        <w:ind w:left="126" w:right="200" w:firstLine="477"/>
        <w:spacing w:before="178" w:line="359" w:lineRule="auto"/>
        <w:rPr>
          <w:rFonts w:ascii="FangSong" w:hAnsi="FangSong" w:eastAsia="FangSong" w:cs="FangSong"/>
          <w:sz w:val="24"/>
          <w:szCs w:val="24"/>
        </w:rPr>
      </w:pPr>
      <w:r>
        <w:rPr>
          <w:rFonts w:ascii="FangSong" w:hAnsi="FangSong" w:eastAsia="FangSong" w:cs="FangSong"/>
          <w:sz w:val="24"/>
          <w:szCs w:val="24"/>
        </w:rPr>
        <w:t>爆破过程产生的污染物主要是</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CO</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NO</w:t>
      </w:r>
      <w:r>
        <w:rPr>
          <w:rFonts w:ascii="Times New Roman" w:hAnsi="Times New Roman" w:eastAsia="Times New Roman" w:cs="Times New Roman"/>
          <w:sz w:val="15"/>
          <w:szCs w:val="15"/>
          <w:position w:val="-1"/>
        </w:rPr>
        <w:t>x</w:t>
      </w:r>
      <w:r>
        <w:rPr>
          <w:rFonts w:ascii="Times New Roman" w:hAnsi="Times New Roman" w:eastAsia="Times New Roman" w:cs="Times New Roman"/>
          <w:sz w:val="15"/>
          <w:szCs w:val="15"/>
          <w:spacing w:val="29"/>
          <w:w w:val="102"/>
          <w:position w:val="-1"/>
        </w:rPr>
        <w:t xml:space="preserve"> </w:t>
      </w:r>
      <w:r>
        <w:rPr>
          <w:rFonts w:ascii="FangSong" w:hAnsi="FangSong" w:eastAsia="FangSong" w:cs="FangSong"/>
          <w:sz w:val="24"/>
          <w:szCs w:val="24"/>
        </w:rPr>
        <w:t>等气体，烟中含有</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z w:val="15"/>
          <w:szCs w:val="15"/>
          <w:position w:val="-1"/>
        </w:rPr>
        <w:t>x</w:t>
      </w:r>
      <w:r>
        <w:rPr>
          <w:rFonts w:ascii="Times New Roman" w:hAnsi="Times New Roman" w:eastAsia="Times New Roman" w:cs="Times New Roman"/>
          <w:sz w:val="15"/>
          <w:szCs w:val="15"/>
          <w:spacing w:val="31"/>
          <w:w w:val="101"/>
          <w:position w:val="-1"/>
        </w:rPr>
        <w:t xml:space="preserve"> </w:t>
      </w:r>
      <w:r>
        <w:rPr>
          <w:rFonts w:ascii="FangSong" w:hAnsi="FangSong" w:eastAsia="FangSong" w:cs="FangSong"/>
          <w:sz w:val="24"/>
          <w:szCs w:val="24"/>
        </w:rPr>
        <w:t>吸入后可</w:t>
      </w:r>
      <w:r>
        <w:rPr>
          <w:rFonts w:ascii="FangSong" w:hAnsi="FangSong" w:eastAsia="FangSong" w:cs="FangSong"/>
          <w:sz w:val="24"/>
          <w:szCs w:val="24"/>
          <w:spacing w:val="-1"/>
        </w:rPr>
        <w:t>使人</w:t>
      </w:r>
      <w:r>
        <w:rPr>
          <w:rFonts w:ascii="FangSong" w:hAnsi="FangSong" w:eastAsia="FangSong" w:cs="FangSong"/>
          <w:sz w:val="24"/>
          <w:szCs w:val="24"/>
          <w:spacing w:val="-3"/>
        </w:rPr>
        <w:t>暂时失去知觉，对人体有害。本项目炸药使用量为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68t/a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，爆破过程中</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x</w:t>
      </w:r>
      <w:r>
        <w:rPr>
          <w:rFonts w:ascii="Times New Roman" w:hAnsi="Times New Roman" w:eastAsia="Times New Roman" w:cs="Times New Roman"/>
          <w:sz w:val="15"/>
          <w:szCs w:val="15"/>
          <w:spacing w:val="18"/>
          <w:w w:val="101"/>
          <w:position w:val="-1"/>
        </w:rPr>
        <w:t xml:space="preserve"> </w:t>
      </w:r>
      <w:r>
        <w:rPr>
          <w:rFonts w:ascii="FangSong" w:hAnsi="FangSong" w:eastAsia="FangSong" w:cs="FangSong"/>
          <w:sz w:val="24"/>
          <w:szCs w:val="24"/>
          <w:spacing w:val="-3"/>
        </w:rPr>
        <w:t>产生系数</w:t>
      </w:r>
      <w:r>
        <w:rPr>
          <w:rFonts w:ascii="FangSong" w:hAnsi="FangSong" w:eastAsia="FangSong" w:cs="FangSong"/>
          <w:sz w:val="24"/>
          <w:szCs w:val="24"/>
          <w:spacing w:val="-1"/>
        </w:rPr>
        <w:t>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8kg/t</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，相应的爆破过程</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1"/>
        </w:rPr>
        <w:t>NO</w:t>
      </w:r>
      <w:r>
        <w:rPr>
          <w:rFonts w:ascii="Times New Roman" w:hAnsi="Times New Roman" w:eastAsia="Times New Roman" w:cs="Times New Roman"/>
          <w:sz w:val="15"/>
          <w:szCs w:val="15"/>
          <w:spacing w:val="-1"/>
          <w:position w:val="-1"/>
        </w:rPr>
        <w:t>2</w:t>
      </w:r>
      <w:r>
        <w:rPr>
          <w:rFonts w:ascii="Times New Roman" w:hAnsi="Times New Roman" w:eastAsia="Times New Roman" w:cs="Times New Roman"/>
          <w:sz w:val="15"/>
          <w:szCs w:val="15"/>
          <w:spacing w:val="20"/>
          <w:w w:val="101"/>
          <w:position w:val="-1"/>
        </w:rPr>
        <w:t xml:space="preserve"> </w:t>
      </w:r>
      <w:r>
        <w:rPr>
          <w:rFonts w:ascii="FangSong" w:hAnsi="FangSong" w:eastAsia="FangSong" w:cs="FangSong"/>
          <w:sz w:val="24"/>
          <w:szCs w:val="24"/>
          <w:spacing w:val="-1"/>
        </w:rPr>
        <w:t>产生</w:t>
      </w:r>
      <w:r>
        <w:rPr>
          <w:rFonts w:ascii="FangSong" w:hAnsi="FangSong" w:eastAsia="FangSong" w:cs="FangSong"/>
          <w:sz w:val="24"/>
          <w:szCs w:val="24"/>
          <w:spacing w:val="-2"/>
        </w:rPr>
        <w:t>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0.544t/a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，呈间断性无组织排放，集中分布</w:t>
      </w:r>
      <w:r>
        <w:rPr>
          <w:rFonts w:ascii="FangSong" w:hAnsi="FangSong" w:eastAsia="FangSong" w:cs="FangSong"/>
          <w:sz w:val="24"/>
          <w:szCs w:val="24"/>
          <w:spacing w:val="1"/>
        </w:rPr>
        <w:t>在开采区。操作人员可通过佩戴防毒面具或暂时撒离爆破现场的办法解决，爆破方</w:t>
      </w:r>
      <w:r>
        <w:rPr>
          <w:rFonts w:ascii="FangSong" w:hAnsi="FangSong" w:eastAsia="FangSong" w:cs="FangSong"/>
          <w:sz w:val="24"/>
          <w:szCs w:val="24"/>
          <w:spacing w:val="1"/>
        </w:rPr>
        <w:t>式采用控制导爆管微差技术进行爆破，降低用药量，减少扬尘量和爆破废气量，另</w:t>
      </w:r>
      <w:r>
        <w:rPr>
          <w:rFonts w:ascii="FangSong" w:hAnsi="FangSong" w:eastAsia="FangSong" w:cs="FangSong"/>
          <w:sz w:val="24"/>
          <w:szCs w:val="24"/>
          <w:spacing w:val="-1"/>
        </w:rPr>
        <w:t>外加强矿井通风，大气扩散条件良好，有助于爆破废气尽快扩散。</w:t>
      </w:r>
    </w:p>
    <w:p>
      <w:pPr>
        <w:ind w:left="133" w:right="203" w:firstLine="475"/>
        <w:spacing w:before="1" w:line="358"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）汽车等燃油废气在项目运营期间，运输车辆的运输过程中会产生的汽车尾</w:t>
      </w:r>
      <w:r>
        <w:rPr>
          <w:rFonts w:ascii="FangSong" w:hAnsi="FangSong" w:eastAsia="FangSong" w:cs="FangSong"/>
          <w:sz w:val="24"/>
          <w:szCs w:val="24"/>
          <w:spacing w:val="-4"/>
        </w:rPr>
        <w:t>气，汽车废气中主要污染因子为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4"/>
        </w:rPr>
        <w:t>CO</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NO</w:t>
      </w:r>
      <w:r>
        <w:rPr>
          <w:rFonts w:ascii="Times New Roman" w:hAnsi="Times New Roman" w:eastAsia="Times New Roman" w:cs="Times New Roman"/>
          <w:sz w:val="15"/>
          <w:szCs w:val="15"/>
          <w:spacing w:val="-4"/>
          <w:position w:val="-1"/>
        </w:rPr>
        <w:t>x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THC</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等。</w:t>
      </w:r>
    </w:p>
    <w:p>
      <w:pPr>
        <w:ind w:left="124" w:right="200" w:firstLine="480"/>
        <w:spacing w:before="3" w:line="358" w:lineRule="auto"/>
        <w:rPr>
          <w:rFonts w:ascii="FangSong" w:hAnsi="FangSong" w:eastAsia="FangSong" w:cs="FangSong"/>
          <w:sz w:val="24"/>
          <w:szCs w:val="24"/>
        </w:rPr>
      </w:pPr>
      <w:r>
        <w:rPr>
          <w:rFonts w:ascii="FangSong" w:hAnsi="FangSong" w:eastAsia="FangSong" w:cs="FangSong"/>
          <w:sz w:val="24"/>
          <w:szCs w:val="24"/>
          <w:spacing w:val="1"/>
        </w:rPr>
        <w:t>本项目汽车尾气为无组织排放，废气排放量小，且项目区周围空旷，利于尾气</w:t>
      </w:r>
      <w:r>
        <w:rPr>
          <w:rFonts w:ascii="FangSong" w:hAnsi="FangSong" w:eastAsia="FangSong" w:cs="FangSong"/>
          <w:sz w:val="24"/>
          <w:szCs w:val="24"/>
          <w:spacing w:val="-1"/>
        </w:rPr>
        <w:t>扩散，因此，汽车尾气对环境影响不大。</w:t>
      </w:r>
    </w:p>
    <w:p>
      <w:pPr>
        <w:ind w:left="608"/>
        <w:spacing w:before="4" w:line="219" w:lineRule="auto"/>
        <w:rPr>
          <w:rFonts w:ascii="FangSong" w:hAnsi="FangSong" w:eastAsia="FangSong" w:cs="FangSong"/>
          <w:sz w:val="24"/>
          <w:szCs w:val="24"/>
        </w:rPr>
      </w:pPr>
      <w:r>
        <w:rPr>
          <w:rFonts w:ascii="FangSong" w:hAnsi="FangSong" w:eastAsia="FangSong" w:cs="FangSong"/>
          <w:sz w:val="24"/>
          <w:szCs w:val="24"/>
          <w:spacing w:val="-1"/>
        </w:rPr>
        <w:t>汽车废气的测定结果和大气污染物排放系数见表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
        </w:rPr>
        <w:t>.4-1</w:t>
      </w:r>
      <w:r>
        <w:rPr>
          <w:rFonts w:ascii="FangSong" w:hAnsi="FangSong" w:eastAsia="FangSong" w:cs="FangSong"/>
          <w:sz w:val="24"/>
          <w:szCs w:val="24"/>
          <w:spacing w:val="-2"/>
        </w:rPr>
        <w:t>。</w:t>
      </w:r>
    </w:p>
    <w:p>
      <w:pPr>
        <w:ind w:left="1844"/>
        <w:spacing w:before="181" w:line="219"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b/>
          <w:bCs/>
          <w:spacing w:val="-2"/>
        </w:rPr>
        <w:t>3.4-1  </w:t>
      </w:r>
      <w:r>
        <w:rPr>
          <w:rFonts w:ascii="FangSong" w:hAnsi="FangSong" w:eastAsia="FangSong" w:cs="FangSong"/>
          <w:sz w:val="24"/>
          <w:szCs w:val="24"/>
          <w:b/>
          <w:bCs/>
          <w:spacing w:val="-2"/>
        </w:rPr>
        <w:t>机动车消耗单位燃料大气污染物排</w:t>
      </w:r>
      <w:r>
        <w:rPr>
          <w:rFonts w:ascii="FangSong" w:hAnsi="FangSong" w:eastAsia="FangSong" w:cs="FangSong"/>
          <w:sz w:val="24"/>
          <w:szCs w:val="24"/>
          <w:b/>
          <w:bCs/>
          <w:spacing w:val="-3"/>
        </w:rPr>
        <w:t>放系数</w:t>
      </w:r>
    </w:p>
    <w:p>
      <w:pPr>
        <w:spacing w:line="147"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27"/>
        <w:gridCol w:w="2227"/>
        <w:gridCol w:w="2227"/>
        <w:gridCol w:w="2231"/>
      </w:tblGrid>
      <w:tr>
        <w:trPr>
          <w:trHeight w:val="274" w:hRule="atLeast"/>
        </w:trPr>
        <w:tc>
          <w:tcPr>
            <w:tcW w:w="2227" w:type="dxa"/>
            <w:vAlign w:val="top"/>
            <w:vMerge w:val="restart"/>
            <w:tcBorders>
              <w:top w:val="single" w:color="000000" w:sz="10" w:space="0"/>
              <w:left w:val="nil"/>
              <w:bottom w:val="nil"/>
            </w:tcBorders>
          </w:tcPr>
          <w:p>
            <w:pPr>
              <w:pStyle w:val="TableText"/>
              <w:ind w:left="921"/>
              <w:spacing w:before="162" w:line="228" w:lineRule="auto"/>
              <w:rPr/>
            </w:pPr>
            <w:r>
              <w:rPr>
                <w:spacing w:val="-1"/>
              </w:rPr>
              <w:t>车种</w:t>
            </w:r>
          </w:p>
        </w:tc>
        <w:tc>
          <w:tcPr>
            <w:tcW w:w="6685" w:type="dxa"/>
            <w:vAlign w:val="top"/>
            <w:gridSpan w:val="3"/>
            <w:tcBorders>
              <w:top w:val="single" w:color="000000" w:sz="10" w:space="0"/>
              <w:right w:val="nil"/>
            </w:tcBorders>
          </w:tcPr>
          <w:p>
            <w:pPr>
              <w:pStyle w:val="TableText"/>
              <w:ind w:left="2687"/>
              <w:spacing w:before="37" w:line="209" w:lineRule="auto"/>
              <w:rPr/>
            </w:pPr>
            <w:r>
              <w:rPr>
                <w:spacing w:val="4"/>
              </w:rPr>
              <w:t>污染物（</w:t>
            </w:r>
            <w:r>
              <w:rPr>
                <w:rFonts w:ascii="Times New Roman" w:hAnsi="Times New Roman" w:eastAsia="Times New Roman" w:cs="Times New Roman"/>
                <w:spacing w:val="4"/>
              </w:rPr>
              <w:t>g/L</w:t>
            </w:r>
            <w:r>
              <w:rPr>
                <w:spacing w:val="4"/>
              </w:rPr>
              <w:t>）</w:t>
            </w:r>
          </w:p>
        </w:tc>
      </w:tr>
      <w:tr>
        <w:trPr>
          <w:trHeight w:val="238" w:hRule="atLeast"/>
        </w:trPr>
        <w:tc>
          <w:tcPr>
            <w:tcW w:w="2227" w:type="dxa"/>
            <w:vAlign w:val="top"/>
            <w:vMerge w:val="continue"/>
            <w:tcBorders>
              <w:top w:val="nil"/>
              <w:left w:val="nil"/>
            </w:tcBorders>
          </w:tcPr>
          <w:p>
            <w:pPr>
              <w:rPr>
                <w:rFonts w:ascii="Arial"/>
                <w:sz w:val="21"/>
              </w:rPr>
            </w:pPr>
            <w:r/>
          </w:p>
        </w:tc>
        <w:tc>
          <w:tcPr>
            <w:tcW w:w="2227" w:type="dxa"/>
            <w:vAlign w:val="top"/>
          </w:tcPr>
          <w:p>
            <w:pPr>
              <w:ind w:left="973"/>
              <w:spacing w:before="61"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2227" w:type="dxa"/>
            <w:vAlign w:val="top"/>
          </w:tcPr>
          <w:p>
            <w:pPr>
              <w:ind w:left="922"/>
              <w:spacing w:before="61" w:line="17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2231" w:type="dxa"/>
            <w:vAlign w:val="top"/>
            <w:tcBorders>
              <w:right w:val="nil"/>
            </w:tcBorders>
          </w:tcPr>
          <w:p>
            <w:pPr>
              <w:ind w:left="909"/>
              <w:spacing w:before="61"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THC</w:t>
            </w:r>
          </w:p>
        </w:tc>
      </w:tr>
      <w:tr>
        <w:trPr>
          <w:trHeight w:val="292" w:hRule="atLeast"/>
        </w:trPr>
        <w:tc>
          <w:tcPr>
            <w:tcW w:w="2227" w:type="dxa"/>
            <w:vAlign w:val="top"/>
            <w:tcBorders>
              <w:bottom w:val="single" w:color="000000" w:sz="10" w:space="0"/>
              <w:left w:val="nil"/>
            </w:tcBorders>
          </w:tcPr>
          <w:p>
            <w:pPr>
              <w:pStyle w:val="TableText"/>
              <w:ind w:left="394"/>
              <w:spacing w:before="48" w:line="216" w:lineRule="auto"/>
              <w:rPr/>
            </w:pPr>
            <w:r>
              <w:rPr>
                <w:spacing w:val="5"/>
              </w:rPr>
              <w:t>汽车（用柴油）</w:t>
            </w:r>
          </w:p>
        </w:tc>
        <w:tc>
          <w:tcPr>
            <w:tcW w:w="2227" w:type="dxa"/>
            <w:vAlign w:val="top"/>
            <w:tcBorders>
              <w:bottom w:val="single" w:color="000000" w:sz="10" w:space="0"/>
            </w:tcBorders>
          </w:tcPr>
          <w:p>
            <w:pPr>
              <w:ind w:left="977"/>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191</w:t>
            </w:r>
          </w:p>
        </w:tc>
        <w:tc>
          <w:tcPr>
            <w:tcW w:w="2227" w:type="dxa"/>
            <w:vAlign w:val="top"/>
            <w:tcBorders>
              <w:bottom w:val="single" w:color="000000" w:sz="10" w:space="0"/>
            </w:tcBorders>
          </w:tcPr>
          <w:p>
            <w:pPr>
              <w:ind w:left="931"/>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22.3</w:t>
            </w:r>
          </w:p>
        </w:tc>
        <w:tc>
          <w:tcPr>
            <w:tcW w:w="2231" w:type="dxa"/>
            <w:vAlign w:val="top"/>
            <w:tcBorders>
              <w:bottom w:val="single" w:color="000000" w:sz="10" w:space="0"/>
              <w:right w:val="nil"/>
            </w:tcBorders>
          </w:tcPr>
          <w:p>
            <w:pPr>
              <w:ind w:left="934"/>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r>
    </w:tbl>
    <w:p>
      <w:pPr>
        <w:pStyle w:val="BodyText"/>
        <w:spacing w:line="371" w:lineRule="auto"/>
        <w:rPr/>
      </w:pPr>
      <w:r/>
    </w:p>
    <w:p>
      <w:pPr>
        <w:ind w:left="124" w:right="200" w:firstLine="483"/>
        <w:spacing w:before="78" w:line="359" w:lineRule="auto"/>
        <w:jc w:val="both"/>
        <w:rPr>
          <w:rFonts w:ascii="FangSong" w:hAnsi="FangSong" w:eastAsia="FangSong" w:cs="FangSong"/>
          <w:sz w:val="24"/>
          <w:szCs w:val="24"/>
        </w:rPr>
      </w:pPr>
      <w:r>
        <w:rPr>
          <w:rFonts w:ascii="FangSong" w:hAnsi="FangSong" w:eastAsia="FangSong" w:cs="FangSong"/>
          <w:sz w:val="24"/>
          <w:szCs w:val="24"/>
          <w:spacing w:val="1"/>
        </w:rPr>
        <w:t>汽车尾气排放量与汽车在采矿区内的运行时间和车流量有关。一般汽车出入采</w:t>
      </w:r>
      <w:r>
        <w:rPr>
          <w:rFonts w:ascii="FangSong" w:hAnsi="FangSong" w:eastAsia="FangSong" w:cs="FangSong"/>
          <w:sz w:val="24"/>
          <w:szCs w:val="24"/>
          <w:spacing w:val="-1"/>
        </w:rPr>
        <w:t>矿区的行驶速度要求不大于</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20km/h</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1"/>
        </w:rPr>
        <w:t>，出入采矿区的平均距离如按照</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
        </w:rPr>
        <w:t>00m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计算，汽</w:t>
      </w:r>
      <w:r>
        <w:rPr>
          <w:rFonts w:ascii="FangSong" w:hAnsi="FangSong" w:eastAsia="FangSong" w:cs="FangSong"/>
          <w:sz w:val="24"/>
          <w:szCs w:val="24"/>
          <w:spacing w:val="-3"/>
        </w:rPr>
        <w:t>车从出入口到泊位的运行时间约为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40s</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，故汽车出入采矿区的运行时间约为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80s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。根</w:t>
      </w:r>
      <w:r>
        <w:rPr>
          <w:rFonts w:ascii="FangSong" w:hAnsi="FangSong" w:eastAsia="FangSong" w:cs="FangSong"/>
          <w:sz w:val="24"/>
          <w:szCs w:val="24"/>
          <w:spacing w:val="-1"/>
        </w:rPr>
        <w:t>据调查，同类车辆平均耗油速率为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0.20L/km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，则每辆汽车进出采矿区产生</w:t>
      </w:r>
      <w:r>
        <w:rPr>
          <w:rFonts w:ascii="FangSong" w:hAnsi="FangSong" w:eastAsia="FangSong" w:cs="FangSong"/>
          <w:sz w:val="24"/>
          <w:szCs w:val="24"/>
          <w:spacing w:val="-2"/>
        </w:rPr>
        <w:t>的废气污</w:t>
      </w:r>
      <w:r>
        <w:rPr>
          <w:rFonts w:ascii="FangSong" w:hAnsi="FangSong" w:eastAsia="FangSong" w:cs="FangSong"/>
          <w:sz w:val="24"/>
          <w:szCs w:val="24"/>
          <w:spacing w:val="-3"/>
        </w:rPr>
        <w:t>染物的量可由公式</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3.4-3</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计算：</w:t>
      </w:r>
    </w:p>
    <w:p>
      <w:pPr>
        <w:spacing w:line="359" w:lineRule="auto"/>
        <w:sectPr>
          <w:footerReference w:type="default" r:id="rId96"/>
          <w:pgSz w:w="11911" w:h="16839"/>
          <w:pgMar w:top="400" w:right="1215" w:bottom="1146" w:left="1689" w:header="0" w:footer="984" w:gutter="0"/>
        </w:sectPr>
        <w:rPr>
          <w:rFonts w:ascii="FangSong" w:hAnsi="FangSong" w:eastAsia="FangSong" w:cs="FangSong"/>
          <w:sz w:val="24"/>
          <w:szCs w:val="24"/>
        </w:rPr>
      </w:pPr>
    </w:p>
    <w:p>
      <w:pPr>
        <w:pStyle w:val="BodyText"/>
        <w:spacing w:line="319" w:lineRule="auto"/>
        <w:rPr/>
      </w:pPr>
      <w:r/>
    </w:p>
    <w:p>
      <w:pPr>
        <w:pStyle w:val="BodyText"/>
        <w:spacing w:line="319" w:lineRule="auto"/>
        <w:rPr/>
      </w:pPr>
      <w:r/>
    </w:p>
    <w:p>
      <w:pPr>
        <w:pStyle w:val="BodyText"/>
        <w:spacing w:line="320" w:lineRule="auto"/>
        <w:rPr/>
      </w:pPr>
      <w:r/>
    </w:p>
    <w:p>
      <w:pPr>
        <w:pStyle w:val="BodyText"/>
        <w:ind w:left="3015"/>
        <w:spacing w:before="78"/>
        <w:rPr>
          <w:rFonts w:ascii="FangSong" w:hAnsi="FangSong" w:eastAsia="FangSong" w:cs="FangSong"/>
          <w:sz w:val="24"/>
          <w:szCs w:val="24"/>
        </w:rPr>
      </w:pPr>
      <w:r>
        <w:rPr>
          <w:rFonts w:ascii="Times New Roman" w:hAnsi="Times New Roman" w:eastAsia="Times New Roman" w:cs="Times New Roman"/>
          <w:sz w:val="23"/>
          <w:szCs w:val="23"/>
          <w:spacing w:val="-1"/>
        </w:rPr>
        <w:t>g </w:t>
      </w:r>
      <w:r>
        <w:rPr>
          <w:sz w:val="23"/>
          <w:szCs w:val="23"/>
          <w:spacing w:val="-1"/>
        </w:rPr>
        <w:t>= </w:t>
      </w:r>
      <w:r>
        <w:rPr>
          <w:rFonts w:ascii="Times New Roman" w:hAnsi="Times New Roman" w:eastAsia="Times New Roman" w:cs="Times New Roman"/>
          <w:sz w:val="23"/>
          <w:szCs w:val="23"/>
          <w:spacing w:val="-1"/>
        </w:rPr>
        <w:t>f </w:t>
      </w:r>
      <w:r>
        <w:rPr>
          <w:sz w:val="23"/>
          <w:szCs w:val="23"/>
          <w:spacing w:val="-1"/>
        </w:rPr>
        <w:t>×</w:t>
      </w:r>
      <w:r>
        <w:rPr>
          <w:sz w:val="23"/>
          <w:szCs w:val="23"/>
          <w:spacing w:val="-11"/>
        </w:rPr>
        <w:t xml:space="preserve"> </w:t>
      </w:r>
      <w:r>
        <w:rPr>
          <w:rFonts w:ascii="Times New Roman" w:hAnsi="Times New Roman" w:eastAsia="Times New Roman" w:cs="Times New Roman"/>
          <w:sz w:val="23"/>
          <w:szCs w:val="23"/>
          <w:spacing w:val="-1"/>
        </w:rPr>
        <w:t>M         </w:t>
      </w:r>
      <w:r>
        <w:rPr>
          <w:rFonts w:ascii="FangSong" w:hAnsi="FangSong" w:eastAsia="FangSong" w:cs="FangSong"/>
          <w:sz w:val="24"/>
          <w:szCs w:val="24"/>
          <w:spacing w:val="-1"/>
        </w:rPr>
        <w:t>（公式</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3.4-3</w:t>
      </w:r>
      <w:r>
        <w:rPr>
          <w:rFonts w:ascii="FangSong" w:hAnsi="FangSong" w:eastAsia="FangSong" w:cs="FangSong"/>
          <w:sz w:val="24"/>
          <w:szCs w:val="24"/>
          <w:spacing w:val="-1"/>
        </w:rPr>
        <w:t>）</w:t>
      </w:r>
    </w:p>
    <w:p>
      <w:pPr>
        <w:ind w:left="605"/>
        <w:spacing w:before="174" w:line="323" w:lineRule="exact"/>
        <w:rPr>
          <w:rFonts w:ascii="Times New Roman" w:hAnsi="Times New Roman" w:eastAsia="Times New Roman" w:cs="Times New Roman"/>
          <w:sz w:val="24"/>
          <w:szCs w:val="24"/>
        </w:rPr>
      </w:pPr>
      <w:r>
        <w:rPr>
          <w:rFonts w:ascii="FangSong" w:hAnsi="FangSong" w:eastAsia="FangSong" w:cs="FangSong"/>
          <w:sz w:val="24"/>
          <w:szCs w:val="24"/>
          <w:spacing w:val="-8"/>
          <w:position w:val="1"/>
        </w:rPr>
        <w:t>其中：</w:t>
      </w:r>
      <w:r>
        <w:rPr>
          <w:rFonts w:ascii="Times New Roman" w:hAnsi="Times New Roman" w:eastAsia="Times New Roman" w:cs="Times New Roman"/>
          <w:sz w:val="24"/>
          <w:szCs w:val="24"/>
          <w:spacing w:val="-8"/>
          <w:position w:val="1"/>
        </w:rPr>
        <w:t>M=m</w:t>
      </w:r>
      <w:r>
        <w:rPr>
          <w:rFonts w:ascii="Times New Roman" w:hAnsi="Times New Roman" w:eastAsia="Times New Roman" w:cs="Times New Roman"/>
          <w:sz w:val="24"/>
          <w:szCs w:val="24"/>
          <w:spacing w:val="-15"/>
          <w:position w:val="1"/>
        </w:rPr>
        <w:t xml:space="preserve"> </w:t>
      </w:r>
      <w:r>
        <w:rPr>
          <w:rFonts w:ascii="FangSong" w:hAnsi="FangSong" w:eastAsia="FangSong" w:cs="FangSong"/>
          <w:sz w:val="24"/>
          <w:szCs w:val="24"/>
          <w:spacing w:val="-8"/>
          <w:position w:val="1"/>
        </w:rPr>
        <w:t>×</w:t>
      </w:r>
      <w:r>
        <w:rPr>
          <w:rFonts w:ascii="Times New Roman" w:hAnsi="Times New Roman" w:eastAsia="Times New Roman" w:cs="Times New Roman"/>
          <w:sz w:val="24"/>
          <w:szCs w:val="24"/>
          <w:spacing w:val="-8"/>
          <w:position w:val="1"/>
        </w:rPr>
        <w:t>t</w:t>
      </w:r>
    </w:p>
    <w:p>
      <w:pPr>
        <w:ind w:left="609"/>
        <w:spacing w:before="188" w:line="212"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f</w:t>
      </w:r>
      <w:r>
        <w:rPr>
          <w:rFonts w:ascii="Times New Roman" w:hAnsi="Times New Roman" w:eastAsia="Times New Roman" w:cs="Times New Roman"/>
          <w:sz w:val="24"/>
          <w:szCs w:val="24"/>
          <w:spacing w:val="42"/>
          <w:w w:val="10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大气污染物排放系数（</w:t>
      </w:r>
      <w:r>
        <w:rPr>
          <w:rFonts w:ascii="Times New Roman" w:hAnsi="Times New Roman" w:eastAsia="Times New Roman" w:cs="Times New Roman"/>
          <w:sz w:val="24"/>
          <w:szCs w:val="24"/>
          <w:spacing w:val="-1"/>
        </w:rPr>
        <w:t>g/</w:t>
      </w:r>
      <w:r>
        <w:rPr>
          <w:rFonts w:ascii="Times New Roman" w:hAnsi="Times New Roman" w:eastAsia="Times New Roman" w:cs="Times New Roman"/>
          <w:sz w:val="24"/>
          <w:szCs w:val="24"/>
          <w:spacing w:val="-2"/>
        </w:rPr>
        <w:t>L</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柴油</w:t>
      </w:r>
      <w:r>
        <w:rPr>
          <w:rFonts w:ascii="FangSong" w:hAnsi="FangSong" w:eastAsia="FangSong" w:cs="FangSong"/>
          <w:sz w:val="24"/>
          <w:szCs w:val="24"/>
        </w:rPr>
        <w:t>）；</w:t>
      </w:r>
    </w:p>
    <w:p>
      <w:pPr>
        <w:ind w:left="1311"/>
        <w:spacing w:before="192" w:line="219" w:lineRule="auto"/>
        <w:rPr>
          <w:rFonts w:ascii="FangSong" w:hAnsi="FangSong" w:eastAsia="FangSong" w:cs="FangSong"/>
          <w:sz w:val="24"/>
          <w:szCs w:val="24"/>
        </w:rPr>
      </w:pPr>
      <w:r>
        <w:rPr>
          <w:rFonts w:ascii="Times New Roman" w:hAnsi="Times New Roman" w:eastAsia="Times New Roman" w:cs="Times New Roman"/>
          <w:sz w:val="24"/>
          <w:szCs w:val="24"/>
          <w:spacing w:val="-3"/>
        </w:rPr>
        <w:t>M  </w:t>
      </w:r>
      <w:r>
        <w:rPr>
          <w:rFonts w:ascii="FangSong" w:hAnsi="FangSong" w:eastAsia="FangSong" w:cs="FangSong"/>
          <w:sz w:val="24"/>
          <w:szCs w:val="24"/>
          <w:spacing w:val="-3"/>
        </w:rPr>
        <w:t>——</w:t>
      </w:r>
      <w:r>
        <w:rPr>
          <w:rFonts w:ascii="FangSong" w:hAnsi="FangSong" w:eastAsia="FangSong" w:cs="FangSong"/>
          <w:sz w:val="24"/>
          <w:szCs w:val="24"/>
          <w:spacing w:val="24"/>
        </w:rPr>
        <w:t xml:space="preserve"> </w:t>
      </w:r>
      <w:r>
        <w:rPr>
          <w:rFonts w:ascii="FangSong" w:hAnsi="FangSong" w:eastAsia="FangSong" w:cs="FangSong"/>
          <w:sz w:val="24"/>
          <w:szCs w:val="24"/>
          <w:spacing w:val="-3"/>
        </w:rPr>
        <w:t>每辆汽车耗油量（</w:t>
      </w:r>
      <w:r>
        <w:rPr>
          <w:rFonts w:ascii="Times New Roman" w:hAnsi="Times New Roman" w:eastAsia="Times New Roman" w:cs="Times New Roman"/>
          <w:sz w:val="24"/>
          <w:szCs w:val="24"/>
          <w:spacing w:val="-3"/>
        </w:rPr>
        <w:t>L</w:t>
      </w:r>
      <w:r>
        <w:rPr>
          <w:rFonts w:ascii="FangSong" w:hAnsi="FangSong" w:eastAsia="FangSong" w:cs="FangSong"/>
          <w:sz w:val="24"/>
          <w:szCs w:val="24"/>
          <w:spacing w:val="5"/>
        </w:rPr>
        <w:t>）；</w:t>
      </w:r>
    </w:p>
    <w:p>
      <w:pPr>
        <w:ind w:left="1309" w:right="242"/>
        <w:spacing w:before="180"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t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汽车出入采矿区的运行时间总和，由上述分析可</w:t>
      </w:r>
      <w:r>
        <w:rPr>
          <w:rFonts w:ascii="FangSong" w:hAnsi="FangSong" w:eastAsia="FangSong" w:cs="FangSong"/>
          <w:sz w:val="24"/>
          <w:szCs w:val="24"/>
          <w:spacing w:val="-3"/>
        </w:rPr>
        <w:t>知，约为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80s</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m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车辆进出停车场的平均耗油速率，约为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
        </w:rPr>
        <w:t>0.20L/km</w:t>
      </w:r>
      <w:r>
        <w:rPr>
          <w:rFonts w:ascii="FangSong" w:hAnsi="FangSong" w:eastAsia="FangSong" w:cs="FangSong"/>
          <w:sz w:val="24"/>
          <w:szCs w:val="24"/>
          <w:spacing w:val="-1"/>
        </w:rPr>
        <w:t>；</w:t>
      </w:r>
    </w:p>
    <w:p>
      <w:pPr>
        <w:ind w:left="137" w:right="108" w:firstLine="465"/>
        <w:spacing w:before="1" w:line="356" w:lineRule="auto"/>
        <w:rPr>
          <w:rFonts w:ascii="FangSong" w:hAnsi="FangSong" w:eastAsia="FangSong" w:cs="FangSong"/>
          <w:sz w:val="24"/>
          <w:szCs w:val="24"/>
        </w:rPr>
      </w:pPr>
      <w:r>
        <w:rPr>
          <w:rFonts w:ascii="FangSong" w:hAnsi="FangSong" w:eastAsia="FangSong" w:cs="FangSong"/>
          <w:sz w:val="24"/>
          <w:szCs w:val="24"/>
          <w:spacing w:val="-3"/>
        </w:rPr>
        <w:t>按照车速</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20km/h </w:t>
      </w:r>
      <w:r>
        <w:rPr>
          <w:rFonts w:ascii="FangSong" w:hAnsi="FangSong" w:eastAsia="FangSong" w:cs="FangSong"/>
          <w:sz w:val="24"/>
          <w:szCs w:val="24"/>
          <w:spacing w:val="-3"/>
        </w:rPr>
        <w:t>计算，可得每辆汽车车耗油量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0.08</w:t>
      </w:r>
      <w:r>
        <w:rPr>
          <w:rFonts w:ascii="Times New Roman" w:hAnsi="Times New Roman" w:eastAsia="Times New Roman" w:cs="Times New Roman"/>
          <w:sz w:val="24"/>
          <w:szCs w:val="24"/>
          <w:spacing w:val="-4"/>
        </w:rPr>
        <w:t>8L</w:t>
      </w:r>
      <w:r>
        <w:rPr>
          <w:rFonts w:ascii="FangSong" w:hAnsi="FangSong" w:eastAsia="FangSong" w:cs="FangSong"/>
          <w:sz w:val="24"/>
          <w:szCs w:val="24"/>
          <w:spacing w:val="-4"/>
        </w:rPr>
        <w:t>，每辆汽车进出采矿区产</w:t>
      </w:r>
      <w:r>
        <w:rPr>
          <w:rFonts w:ascii="FangSong" w:hAnsi="FangSong" w:eastAsia="FangSong" w:cs="FangSong"/>
          <w:sz w:val="24"/>
          <w:szCs w:val="24"/>
          <w:spacing w:val="-5"/>
        </w:rPr>
        <w:t>生的废气污染物</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CO</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NO</w:t>
      </w:r>
      <w:r>
        <w:rPr>
          <w:rFonts w:ascii="Times New Roman" w:hAnsi="Times New Roman" w:eastAsia="Times New Roman" w:cs="Times New Roman"/>
          <w:sz w:val="15"/>
          <w:szCs w:val="15"/>
          <w:spacing w:val="-5"/>
          <w:position w:val="-1"/>
        </w:rPr>
        <w:t>x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THC</w:t>
      </w:r>
      <w:r>
        <w:rPr>
          <w:rFonts w:ascii="Times New Roman" w:hAnsi="Times New Roman" w:eastAsia="Times New Roman" w:cs="Times New Roman"/>
          <w:sz w:val="24"/>
          <w:szCs w:val="24"/>
          <w:spacing w:val="31"/>
          <w:w w:val="101"/>
        </w:rPr>
        <w:t xml:space="preserve"> </w:t>
      </w:r>
      <w:r>
        <w:rPr>
          <w:rFonts w:ascii="FangSong" w:hAnsi="FangSong" w:eastAsia="FangSong" w:cs="FangSong"/>
          <w:sz w:val="24"/>
          <w:szCs w:val="24"/>
          <w:spacing w:val="-5"/>
        </w:rPr>
        <w:t>的量分</w:t>
      </w:r>
      <w:r>
        <w:rPr>
          <w:rFonts w:ascii="FangSong" w:hAnsi="FangSong" w:eastAsia="FangSong" w:cs="FangSong"/>
          <w:sz w:val="24"/>
          <w:szCs w:val="24"/>
          <w:spacing w:val="-6"/>
        </w:rPr>
        <w:t>别为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16.88g</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1.96g</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12g</w:t>
      </w:r>
      <w:r>
        <w:rPr>
          <w:rFonts w:ascii="FangSong" w:hAnsi="FangSong" w:eastAsia="FangSong" w:cs="FangSong"/>
          <w:sz w:val="24"/>
          <w:szCs w:val="24"/>
          <w:spacing w:val="-6"/>
        </w:rPr>
        <w:t>。</w:t>
      </w:r>
    </w:p>
    <w:p>
      <w:pPr>
        <w:ind w:left="128" w:right="108" w:firstLine="476"/>
        <w:spacing w:before="8" w:line="359" w:lineRule="auto"/>
        <w:jc w:val="both"/>
        <w:rPr>
          <w:rFonts w:ascii="FangSong" w:hAnsi="FangSong" w:eastAsia="FangSong" w:cs="FangSong"/>
          <w:sz w:val="24"/>
          <w:szCs w:val="24"/>
        </w:rPr>
      </w:pPr>
      <w:r>
        <w:rPr>
          <w:rFonts w:ascii="FangSong" w:hAnsi="FangSong" w:eastAsia="FangSong" w:cs="FangSong"/>
          <w:sz w:val="24"/>
          <w:szCs w:val="24"/>
        </w:rPr>
        <w:t>项目共有运输车辆</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rPr>
        <w:t>辆车辆进出具有随机性，亦即单位时间内进出车辆数是不</w:t>
      </w:r>
      <w:r>
        <w:rPr>
          <w:rFonts w:ascii="FangSong" w:hAnsi="FangSong" w:eastAsia="FangSong" w:cs="FangSong"/>
          <w:sz w:val="24"/>
          <w:szCs w:val="24"/>
          <w:spacing w:val="-3"/>
        </w:rPr>
        <w:t>定的。据对现有采石场的类比调查，每天进、出车采矿区的车辆数为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35</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辆，计算出</w:t>
      </w:r>
      <w:r>
        <w:rPr>
          <w:rFonts w:ascii="FangSong" w:hAnsi="FangSong" w:eastAsia="FangSong" w:cs="FangSong"/>
          <w:sz w:val="24"/>
          <w:szCs w:val="24"/>
          <w:spacing w:val="-2"/>
        </w:rPr>
        <w:t>年的废气排放情况，见表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3.4-2</w:t>
      </w:r>
      <w:r>
        <w:rPr>
          <w:rFonts w:ascii="FangSong" w:hAnsi="FangSong" w:eastAsia="FangSong" w:cs="FangSong"/>
          <w:sz w:val="24"/>
          <w:szCs w:val="24"/>
          <w:spacing w:val="-2"/>
        </w:rPr>
        <w:t>。</w:t>
      </w:r>
    </w:p>
    <w:p>
      <w:pPr>
        <w:ind w:left="2326"/>
        <w:spacing w:before="1"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3.4-2  </w:t>
      </w:r>
      <w:r>
        <w:rPr>
          <w:rFonts w:ascii="FangSong" w:hAnsi="FangSong" w:eastAsia="FangSong" w:cs="FangSong"/>
          <w:sz w:val="24"/>
          <w:szCs w:val="24"/>
          <w:b/>
          <w:bCs/>
          <w:spacing w:val="-3"/>
        </w:rPr>
        <w:t>停车场汽车废气污染物产生情况</w:t>
      </w:r>
    </w:p>
    <w:p>
      <w:pPr>
        <w:spacing w:line="145" w:lineRule="exact"/>
        <w:rPr/>
      </w:pPr>
      <w:r/>
    </w:p>
    <w:tbl>
      <w:tblPr>
        <w:tblStyle w:val="TableNormal"/>
        <w:tblW w:w="8910"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69"/>
        <w:gridCol w:w="2216"/>
        <w:gridCol w:w="2215"/>
        <w:gridCol w:w="2210"/>
      </w:tblGrid>
      <w:tr>
        <w:trPr>
          <w:trHeight w:val="348" w:hRule="atLeast"/>
        </w:trPr>
        <w:tc>
          <w:tcPr>
            <w:tcW w:w="2269" w:type="dxa"/>
            <w:vAlign w:val="top"/>
            <w:vMerge w:val="restart"/>
            <w:tcBorders>
              <w:top w:val="single" w:color="000000" w:sz="10" w:space="0"/>
              <w:left w:val="nil"/>
              <w:bottom w:val="nil"/>
            </w:tcBorders>
          </w:tcPr>
          <w:p>
            <w:pPr>
              <w:pStyle w:val="TableText"/>
              <w:ind w:left="323"/>
              <w:spacing w:before="252" w:line="228" w:lineRule="auto"/>
              <w:rPr/>
            </w:pPr>
            <w:r>
              <w:rPr>
                <w:spacing w:val="1"/>
              </w:rPr>
              <w:t>日车流量（辆</w:t>
            </w:r>
            <w:r>
              <w:rPr>
                <w:rFonts w:ascii="Times New Roman" w:hAnsi="Times New Roman" w:eastAsia="Times New Roman" w:cs="Times New Roman"/>
                <w:spacing w:val="1"/>
              </w:rPr>
              <w:t>/</w:t>
            </w:r>
            <w:r>
              <w:rPr>
                <w:spacing w:val="1"/>
              </w:rPr>
              <w:t>日）</w:t>
            </w:r>
          </w:p>
        </w:tc>
        <w:tc>
          <w:tcPr>
            <w:tcW w:w="6641" w:type="dxa"/>
            <w:vAlign w:val="top"/>
            <w:gridSpan w:val="3"/>
            <w:tcBorders>
              <w:top w:val="single" w:color="000000" w:sz="10" w:space="0"/>
              <w:right w:val="nil"/>
            </w:tcBorders>
          </w:tcPr>
          <w:p>
            <w:pPr>
              <w:pStyle w:val="TableText"/>
              <w:ind w:left="2389"/>
              <w:spacing w:before="72" w:line="229" w:lineRule="auto"/>
              <w:rPr/>
            </w:pPr>
            <w:r>
              <w:rPr>
                <w:spacing w:val="5"/>
              </w:rPr>
              <w:t>污染物排放量（</w:t>
            </w:r>
            <w:r>
              <w:rPr>
                <w:rFonts w:ascii="Times New Roman" w:hAnsi="Times New Roman" w:eastAsia="Times New Roman" w:cs="Times New Roman"/>
                <w:spacing w:val="5"/>
              </w:rPr>
              <w:t>t/a</w:t>
            </w:r>
            <w:r>
              <w:rPr>
                <w:spacing w:val="5"/>
              </w:rPr>
              <w:t>）</w:t>
            </w:r>
          </w:p>
        </w:tc>
      </w:tr>
      <w:tr>
        <w:trPr>
          <w:trHeight w:val="342" w:hRule="atLeast"/>
        </w:trPr>
        <w:tc>
          <w:tcPr>
            <w:tcW w:w="2269" w:type="dxa"/>
            <w:vAlign w:val="top"/>
            <w:vMerge w:val="continue"/>
            <w:tcBorders>
              <w:top w:val="nil"/>
              <w:left w:val="nil"/>
            </w:tcBorders>
          </w:tcPr>
          <w:p>
            <w:pPr>
              <w:rPr>
                <w:rFonts w:ascii="Arial"/>
                <w:sz w:val="21"/>
              </w:rPr>
            </w:pPr>
            <w:r/>
          </w:p>
        </w:tc>
        <w:tc>
          <w:tcPr>
            <w:tcW w:w="2216" w:type="dxa"/>
            <w:vAlign w:val="top"/>
          </w:tcPr>
          <w:p>
            <w:pPr>
              <w:ind w:left="96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2215" w:type="dxa"/>
            <w:vAlign w:val="top"/>
          </w:tcPr>
          <w:p>
            <w:pPr>
              <w:ind w:left="914"/>
              <w:spacing w:before="11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2210" w:type="dxa"/>
            <w:vAlign w:val="top"/>
            <w:tcBorders>
              <w:right w:val="nil"/>
            </w:tcBorders>
          </w:tcPr>
          <w:p>
            <w:pPr>
              <w:ind w:left="89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THC</w:t>
            </w:r>
          </w:p>
        </w:tc>
      </w:tr>
      <w:tr>
        <w:trPr>
          <w:trHeight w:val="363" w:hRule="atLeast"/>
        </w:trPr>
        <w:tc>
          <w:tcPr>
            <w:tcW w:w="2269" w:type="dxa"/>
            <w:vAlign w:val="top"/>
            <w:tcBorders>
              <w:bottom w:val="single" w:color="000000" w:sz="10" w:space="0"/>
              <w:left w:val="nil"/>
            </w:tcBorders>
          </w:tcPr>
          <w:p>
            <w:pPr>
              <w:ind w:left="103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216" w:type="dxa"/>
            <w:vAlign w:val="top"/>
            <w:tcBorders>
              <w:bottom w:val="single" w:color="000000" w:sz="10" w:space="0"/>
            </w:tcBorders>
          </w:tcPr>
          <w:p>
            <w:pPr>
              <w:ind w:left="92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2215" w:type="dxa"/>
            <w:vAlign w:val="top"/>
            <w:tcBorders>
              <w:bottom w:val="single" w:color="000000" w:sz="10" w:space="0"/>
            </w:tcBorders>
          </w:tcPr>
          <w:p>
            <w:pPr>
              <w:ind w:left="87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0.017</w:t>
            </w:r>
          </w:p>
        </w:tc>
        <w:tc>
          <w:tcPr>
            <w:tcW w:w="2210" w:type="dxa"/>
            <w:vAlign w:val="top"/>
            <w:tcBorders>
              <w:bottom w:val="single" w:color="000000" w:sz="10" w:space="0"/>
              <w:right w:val="nil"/>
            </w:tcBorders>
          </w:tcPr>
          <w:p>
            <w:pPr>
              <w:ind w:left="871"/>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w:t>
            </w:r>
          </w:p>
        </w:tc>
      </w:tr>
    </w:tbl>
    <w:p>
      <w:pPr>
        <w:pStyle w:val="BodyText"/>
        <w:spacing w:line="371" w:lineRule="auto"/>
        <w:rPr/>
      </w:pPr>
      <w:r/>
    </w:p>
    <w:p>
      <w:pPr>
        <w:ind w:left="124" w:right="106" w:firstLine="510"/>
        <w:spacing w:before="79" w:line="358" w:lineRule="auto"/>
        <w:rPr>
          <w:rFonts w:ascii="FangSong" w:hAnsi="FangSong" w:eastAsia="FangSong" w:cs="FangSong"/>
          <w:sz w:val="24"/>
          <w:szCs w:val="24"/>
        </w:rPr>
      </w:pPr>
      <w:r>
        <w:rPr>
          <w:rFonts w:ascii="FangSong" w:hAnsi="FangSong" w:eastAsia="FangSong" w:cs="FangSong"/>
          <w:sz w:val="24"/>
          <w:szCs w:val="24"/>
        </w:rPr>
        <w:t>由于项目周围地势空旷，利于扩散，所以项目运营期间汽车尾气对环境的影响</w:t>
      </w:r>
      <w:r>
        <w:rPr>
          <w:rFonts w:ascii="FangSong" w:hAnsi="FangSong" w:eastAsia="FangSong" w:cs="FangSong"/>
          <w:sz w:val="24"/>
          <w:szCs w:val="24"/>
          <w:spacing w:val="-6"/>
        </w:rPr>
        <w:t>较小。</w:t>
      </w:r>
    </w:p>
    <w:p>
      <w:pPr>
        <w:ind w:left="608"/>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）食堂油烟废气</w:t>
      </w:r>
    </w:p>
    <w:p>
      <w:pPr>
        <w:ind w:left="122" w:right="160" w:firstLine="482"/>
        <w:spacing w:before="180" w:line="359" w:lineRule="auto"/>
        <w:rPr>
          <w:rFonts w:ascii="FangSong" w:hAnsi="FangSong" w:eastAsia="FangSong" w:cs="FangSong"/>
          <w:sz w:val="24"/>
          <w:szCs w:val="24"/>
        </w:rPr>
      </w:pPr>
      <w:r>
        <w:rPr>
          <w:rFonts w:ascii="FangSong" w:hAnsi="FangSong" w:eastAsia="FangSong" w:cs="FangSong"/>
          <w:sz w:val="24"/>
          <w:szCs w:val="24"/>
          <w:spacing w:val="-1"/>
        </w:rPr>
        <w:t>根据提供的资料，食堂主要是为职工提供饭食。据类比调查，不同类型餐饮，</w:t>
      </w:r>
      <w:r>
        <w:rPr>
          <w:rFonts w:ascii="FangSong" w:hAnsi="FangSong" w:eastAsia="FangSong" w:cs="FangSong"/>
          <w:sz w:val="24"/>
          <w:szCs w:val="24"/>
          <w:spacing w:val="-2"/>
        </w:rPr>
        <w:t>油烟气中烟气浓度及挥发量均有所不同，本项目基准灶头</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个，油烟按总耗油量的</w:t>
      </w:r>
      <w:r>
        <w:rPr>
          <w:rFonts w:ascii="Times New Roman" w:hAnsi="Times New Roman" w:eastAsia="Times New Roman" w:cs="Times New Roman"/>
          <w:sz w:val="24"/>
          <w:szCs w:val="24"/>
          <w:spacing w:val="-1"/>
        </w:rPr>
        <w:t>8%</w:t>
      </w:r>
      <w:r>
        <w:rPr>
          <w:rFonts w:ascii="FangSong" w:hAnsi="FangSong" w:eastAsia="FangSong" w:cs="FangSong"/>
          <w:sz w:val="24"/>
          <w:szCs w:val="24"/>
          <w:spacing w:val="-1"/>
        </w:rPr>
        <w:t>计，本项目产生油烟量为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0.043t</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w:t>
      </w:r>
    </w:p>
    <w:p>
      <w:pPr>
        <w:ind w:left="608"/>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）废水产生环节</w:t>
      </w:r>
    </w:p>
    <w:p>
      <w:pPr>
        <w:ind w:left="617"/>
        <w:spacing w:before="178" w:line="222" w:lineRule="auto"/>
        <w:rPr>
          <w:rFonts w:ascii="FangSong" w:hAnsi="FangSong" w:eastAsia="FangSong" w:cs="FangSong"/>
          <w:sz w:val="24"/>
          <w:szCs w:val="24"/>
        </w:rPr>
      </w:pPr>
      <w:r>
        <w:rPr>
          <w:rFonts w:ascii="FangSong" w:hAnsi="FangSong" w:eastAsia="FangSong" w:cs="FangSong"/>
          <w:sz w:val="24"/>
          <w:szCs w:val="24"/>
          <w:spacing w:val="-2"/>
        </w:rPr>
        <w:t>生产期废水主要为井下疏干水和生活污水。</w:t>
      </w:r>
    </w:p>
    <w:p>
      <w:pPr>
        <w:ind w:left="122" w:right="102" w:firstLine="488"/>
        <w:spacing w:before="178" w:line="357" w:lineRule="auto"/>
        <w:rPr>
          <w:rFonts w:ascii="FangSong" w:hAnsi="FangSong" w:eastAsia="FangSong" w:cs="FangSong"/>
          <w:sz w:val="24"/>
          <w:szCs w:val="24"/>
        </w:rPr>
      </w:pPr>
      <w:r>
        <w:rPr>
          <w:rFonts w:ascii="FangSong" w:hAnsi="FangSong" w:eastAsia="FangSong" w:cs="FangSong"/>
          <w:sz w:val="24"/>
          <w:szCs w:val="24"/>
          <w:spacing w:val="-4"/>
        </w:rPr>
        <w:t>萤石矿开采过程中地下涌水无有害物质，涌水量为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4"/>
        </w:rPr>
        <w:t>，主要污染物为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SS</w:t>
      </w:r>
      <w:r>
        <w:rPr>
          <w:rFonts w:ascii="FangSong" w:hAnsi="FangSong" w:eastAsia="FangSong" w:cs="FangSong"/>
          <w:sz w:val="24"/>
          <w:szCs w:val="24"/>
          <w:spacing w:val="-4"/>
        </w:rPr>
        <w:t>，</w:t>
      </w:r>
      <w:r>
        <w:rPr>
          <w:rFonts w:ascii="FangSong" w:hAnsi="FangSong" w:eastAsia="FangSong" w:cs="FangSong"/>
          <w:sz w:val="24"/>
          <w:szCs w:val="24"/>
        </w:rPr>
        <w:t>浓度约</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rPr>
        <w:t>200mg/L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。根据建设方提供的有关技术资料和实地情况勘察，该项目生产废</w:t>
      </w:r>
      <w:r>
        <w:rPr>
          <w:rFonts w:ascii="FangSong" w:hAnsi="FangSong" w:eastAsia="FangSong" w:cs="FangSong"/>
          <w:sz w:val="24"/>
          <w:szCs w:val="24"/>
          <w:spacing w:val="-1"/>
        </w:rPr>
        <w:t>水实现零排放，其用水主要分为三部分：</w:t>
      </w:r>
    </w:p>
    <w:p>
      <w:pPr>
        <w:ind w:left="596"/>
        <w:spacing w:before="8" w:line="22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采掘工作面喷洒降尘水；</w:t>
      </w:r>
    </w:p>
    <w:p>
      <w:pPr>
        <w:ind w:left="595"/>
        <w:spacing w:before="181" w:line="222"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空压机等设备的冷却循环水等。</w:t>
      </w:r>
    </w:p>
    <w:p>
      <w:pPr>
        <w:ind w:left="604"/>
        <w:spacing w:before="178" w:line="222" w:lineRule="auto"/>
        <w:rPr>
          <w:rFonts w:ascii="Times New Roman" w:hAnsi="Times New Roman" w:eastAsia="Times New Roman" w:cs="Times New Roman"/>
          <w:sz w:val="24"/>
          <w:szCs w:val="24"/>
        </w:rPr>
      </w:pPr>
      <w:r>
        <w:rPr>
          <w:rFonts w:ascii="FangSong" w:hAnsi="FangSong" w:eastAsia="FangSong" w:cs="FangSong"/>
          <w:sz w:val="24"/>
          <w:szCs w:val="24"/>
          <w:spacing w:val="1"/>
        </w:rPr>
        <w:t>本项目共有员工</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31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人，生活用水主要为员工的日常生活用水，按每人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100L/d</w:t>
      </w:r>
    </w:p>
    <w:p>
      <w:pPr>
        <w:spacing w:line="222" w:lineRule="auto"/>
        <w:sectPr>
          <w:footerReference w:type="default" r:id="rId97"/>
          <w:pgSz w:w="11911" w:h="16839"/>
          <w:pgMar w:top="400" w:right="1310" w:bottom="1146" w:left="1690" w:header="0" w:footer="984" w:gutter="0"/>
        </w:sectPr>
        <w:rPr>
          <w:rFonts w:ascii="Times New Roman" w:hAnsi="Times New Roman" w:eastAsia="Times New Roman" w:cs="Times New Roman"/>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8" w:firstLine="18"/>
        <w:spacing w:before="78" w:line="353" w:lineRule="auto"/>
        <w:jc w:val="both"/>
        <w:rPr>
          <w:rFonts w:ascii="FangSong" w:hAnsi="FangSong" w:eastAsia="FangSong" w:cs="FangSong"/>
          <w:sz w:val="24"/>
          <w:szCs w:val="24"/>
        </w:rPr>
      </w:pPr>
      <w:bookmarkStart w:name="bookmark533" w:id="159"/>
      <w:bookmarkEnd w:id="159"/>
      <w:r>
        <w:rPr>
          <w:rFonts w:ascii="FangSong" w:hAnsi="FangSong" w:eastAsia="FangSong" w:cs="FangSong"/>
          <w:sz w:val="24"/>
          <w:szCs w:val="24"/>
          <w:spacing w:val="-12"/>
        </w:rPr>
        <w:t>计，用水量为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2"/>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2"/>
        </w:rPr>
        <w:t>1m</w:t>
      </w:r>
      <w:r>
        <w:rPr>
          <w:rFonts w:ascii="Times New Roman" w:hAnsi="Times New Roman" w:eastAsia="Times New Roman" w:cs="Times New Roman"/>
          <w:sz w:val="15"/>
          <w:szCs w:val="15"/>
          <w:spacing w:val="-5"/>
          <w:position w:val="7"/>
        </w:rPr>
        <w:t>3</w:t>
      </w:r>
      <w:r>
        <w:rPr>
          <w:rFonts w:ascii="Times New Roman" w:hAnsi="Times New Roman" w:eastAsia="Times New Roman" w:cs="Times New Roman"/>
          <w:sz w:val="24"/>
          <w:szCs w:val="24"/>
          <w:spacing w:val="-5"/>
        </w:rPr>
        <w:t>/d</w:t>
      </w:r>
      <w:r>
        <w:rPr>
          <w:rFonts w:ascii="FangSong" w:hAnsi="FangSong" w:eastAsia="FangSong" w:cs="FangSong"/>
          <w:sz w:val="24"/>
          <w:szCs w:val="24"/>
          <w:spacing w:val="-5"/>
        </w:rPr>
        <w:t>，生活污水产生量约为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2.48m</w:t>
      </w:r>
      <w:r>
        <w:rPr>
          <w:rFonts w:ascii="Times New Roman" w:hAnsi="Times New Roman" w:eastAsia="Times New Roman" w:cs="Times New Roman"/>
          <w:sz w:val="15"/>
          <w:szCs w:val="15"/>
          <w:spacing w:val="-5"/>
          <w:position w:val="7"/>
        </w:rPr>
        <w:t>3</w:t>
      </w:r>
      <w:r>
        <w:rPr>
          <w:rFonts w:ascii="Times New Roman" w:hAnsi="Times New Roman" w:eastAsia="Times New Roman" w:cs="Times New Roman"/>
          <w:sz w:val="24"/>
          <w:szCs w:val="24"/>
          <w:spacing w:val="-5"/>
        </w:rPr>
        <w:t>/d</w:t>
      </w:r>
      <w:r>
        <w:rPr>
          <w:rFonts w:ascii="FangSong" w:hAnsi="FangSong" w:eastAsia="FangSong" w:cs="FangSong"/>
          <w:sz w:val="24"/>
          <w:szCs w:val="24"/>
          <w:spacing w:val="-5"/>
        </w:rPr>
        <w:t>，按生活污水中</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COD 300mg/L</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5"/>
        </w:rPr>
        <w:t>NH</w:t>
      </w:r>
      <w:r>
        <w:rPr>
          <w:rFonts w:ascii="Times New Roman" w:hAnsi="Times New Roman" w:eastAsia="Times New Roman" w:cs="Times New Roman"/>
          <w:sz w:val="15"/>
          <w:szCs w:val="15"/>
          <w:spacing w:val="-5"/>
        </w:rPr>
        <w:t>3</w:t>
      </w:r>
      <w:r>
        <w:rPr>
          <w:rFonts w:ascii="Times New Roman" w:hAnsi="Times New Roman" w:eastAsia="Times New Roman" w:cs="Times New Roman"/>
          <w:sz w:val="24"/>
          <w:szCs w:val="24"/>
          <w:spacing w:val="-5"/>
        </w:rPr>
        <w:t>-N 40mg/L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BOD</w:t>
      </w:r>
      <w:r>
        <w:rPr>
          <w:rFonts w:ascii="Times New Roman" w:hAnsi="Times New Roman" w:eastAsia="Times New Roman" w:cs="Times New Roman"/>
          <w:sz w:val="15"/>
          <w:szCs w:val="15"/>
          <w:spacing w:val="-5"/>
          <w:position w:val="-1"/>
        </w:rPr>
        <w:t>5 </w:t>
      </w:r>
      <w:r>
        <w:rPr>
          <w:rFonts w:ascii="Times New Roman" w:hAnsi="Times New Roman" w:eastAsia="Times New Roman" w:cs="Times New Roman"/>
          <w:sz w:val="24"/>
          <w:szCs w:val="24"/>
          <w:spacing w:val="-5"/>
        </w:rPr>
        <w:t>200mg/L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SS</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5"/>
        </w:rPr>
        <w:t>100mg/L</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5"/>
        </w:rPr>
        <w:t>计算，</w:t>
      </w:r>
      <w:r>
        <w:rPr>
          <w:rFonts w:ascii="Times New Roman" w:hAnsi="Times New Roman" w:eastAsia="Times New Roman" w:cs="Times New Roman"/>
          <w:sz w:val="24"/>
          <w:szCs w:val="24"/>
          <w:spacing w:val="-5"/>
        </w:rPr>
        <w:t>COD</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5"/>
        </w:rPr>
        <w:t>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0.744kg/d</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NH</w:t>
      </w:r>
      <w:r>
        <w:rPr>
          <w:rFonts w:ascii="Times New Roman" w:hAnsi="Times New Roman" w:eastAsia="Times New Roman" w:cs="Times New Roman"/>
          <w:sz w:val="15"/>
          <w:szCs w:val="15"/>
          <w:spacing w:val="-5"/>
        </w:rPr>
        <w:t>3</w:t>
      </w:r>
      <w:r>
        <w:rPr>
          <w:rFonts w:ascii="Times New Roman" w:hAnsi="Times New Roman" w:eastAsia="Times New Roman" w:cs="Times New Roman"/>
          <w:sz w:val="24"/>
          <w:szCs w:val="24"/>
          <w:spacing w:val="-5"/>
        </w:rPr>
        <w:t>-N</w:t>
      </w:r>
      <w:r>
        <w:rPr>
          <w:rFonts w:ascii="FangSong" w:hAnsi="FangSong" w:eastAsia="FangSong" w:cs="FangSong"/>
          <w:sz w:val="24"/>
          <w:szCs w:val="24"/>
          <w:spacing w:val="-2"/>
        </w:rPr>
        <w:t>排放量为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0.0992kg/d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BOD</w:t>
      </w:r>
      <w:r>
        <w:rPr>
          <w:rFonts w:ascii="Times New Roman" w:hAnsi="Times New Roman" w:eastAsia="Times New Roman" w:cs="Times New Roman"/>
          <w:sz w:val="15"/>
          <w:szCs w:val="15"/>
          <w:spacing w:val="-2"/>
          <w:position w:val="-1"/>
        </w:rPr>
        <w:t>5  </w:t>
      </w:r>
      <w:r>
        <w:rPr>
          <w:rFonts w:ascii="FangSong" w:hAnsi="FangSong" w:eastAsia="FangSong" w:cs="FangSong"/>
          <w:sz w:val="24"/>
          <w:szCs w:val="24"/>
          <w:spacing w:val="-2"/>
        </w:rPr>
        <w:t>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0.496kg/d</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  </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0.248kg/d</w:t>
      </w:r>
      <w:r>
        <w:rPr>
          <w:rFonts w:ascii="FangSong" w:hAnsi="FangSong" w:eastAsia="FangSong" w:cs="FangSong"/>
          <w:sz w:val="24"/>
          <w:szCs w:val="24"/>
          <w:spacing w:val="-2"/>
        </w:rPr>
        <w:t>。</w:t>
      </w:r>
    </w:p>
    <w:p>
      <w:pPr>
        <w:ind w:left="511"/>
        <w:spacing w:before="23"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）噪声污染因素分析</w:t>
      </w:r>
    </w:p>
    <w:p>
      <w:pPr>
        <w:ind w:left="24" w:right="74" w:firstLine="484"/>
        <w:spacing w:before="176" w:line="358" w:lineRule="auto"/>
        <w:rPr>
          <w:rFonts w:ascii="FangSong" w:hAnsi="FangSong" w:eastAsia="FangSong" w:cs="FangSong"/>
          <w:sz w:val="24"/>
          <w:szCs w:val="24"/>
        </w:rPr>
      </w:pPr>
      <w:r>
        <w:rPr>
          <w:rFonts w:ascii="FangSong" w:hAnsi="FangSong" w:eastAsia="FangSong" w:cs="FangSong"/>
          <w:sz w:val="24"/>
          <w:szCs w:val="24"/>
          <w:spacing w:val="1"/>
        </w:rPr>
        <w:t>运营期产生强噪声源的作业场所主要有工业场地产生强噪声源的作业场所主要</w:t>
      </w:r>
      <w:r>
        <w:rPr>
          <w:rFonts w:ascii="FangSong" w:hAnsi="FangSong" w:eastAsia="FangSong" w:cs="FangSong"/>
          <w:sz w:val="24"/>
          <w:szCs w:val="24"/>
          <w:spacing w:val="1"/>
        </w:rPr>
        <w:t>有主井井口房、机修车间、空气加热室、风井通风机以及装载机、运输汽车等，根</w:t>
      </w:r>
      <w:r>
        <w:rPr>
          <w:rFonts w:ascii="FangSong" w:hAnsi="FangSong" w:eastAsia="FangSong" w:cs="FangSong"/>
          <w:sz w:val="24"/>
          <w:szCs w:val="24"/>
          <w:spacing w:val="-1"/>
        </w:rPr>
        <w:t>据对同类加工企业现有噪声源的监测，其噪声范围为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
        </w:rPr>
        <w:t>75-95dB(A)</w:t>
      </w:r>
      <w:r>
        <w:rPr>
          <w:rFonts w:ascii="FangSong" w:hAnsi="FangSong" w:eastAsia="FangSong" w:cs="FangSong"/>
          <w:sz w:val="24"/>
          <w:szCs w:val="24"/>
          <w:spacing w:val="-1"/>
        </w:rPr>
        <w:t>。</w:t>
      </w:r>
    </w:p>
    <w:p>
      <w:pPr>
        <w:ind w:left="511"/>
        <w:spacing w:before="6"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）固体废物污染因素分析</w:t>
      </w:r>
    </w:p>
    <w:p>
      <w:pPr>
        <w:ind w:left="506"/>
        <w:spacing w:before="180" w:line="222" w:lineRule="auto"/>
        <w:rPr>
          <w:rFonts w:ascii="FangSong" w:hAnsi="FangSong" w:eastAsia="FangSong" w:cs="FangSong"/>
          <w:sz w:val="24"/>
          <w:szCs w:val="24"/>
        </w:rPr>
      </w:pPr>
      <w:r>
        <w:rPr>
          <w:rFonts w:ascii="FangSong" w:hAnsi="FangSong" w:eastAsia="FangSong" w:cs="FangSong"/>
          <w:sz w:val="24"/>
          <w:szCs w:val="24"/>
          <w:spacing w:val="-1"/>
        </w:rPr>
        <w:t>该项目固废主要来自采矿剥离时产生的废弃土石和职工生活垃圾。</w:t>
      </w:r>
    </w:p>
    <w:p>
      <w:pPr>
        <w:ind w:left="28" w:right="76" w:firstLine="470"/>
        <w:spacing w:before="177" w:line="31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废石：根据项目开发利用方案，矿山采出的矿石有</w:t>
      </w:r>
      <w:r>
        <w:rPr>
          <w:rFonts w:ascii="Times New Roman" w:hAnsi="Times New Roman" w:eastAsia="Times New Roman" w:cs="Times New Roman"/>
          <w:sz w:val="24"/>
          <w:szCs w:val="24"/>
          <w:spacing w:val="-1"/>
        </w:rPr>
        <w:t>98%</w:t>
      </w:r>
      <w:r>
        <w:rPr>
          <w:rFonts w:ascii="FangSong" w:hAnsi="FangSong" w:eastAsia="FangSong" w:cs="FangSong"/>
          <w:sz w:val="24"/>
          <w:szCs w:val="24"/>
          <w:spacing w:val="-1"/>
        </w:rPr>
        <w:t>以上的可以利用，剩</w:t>
      </w:r>
      <w:r>
        <w:rPr>
          <w:rFonts w:ascii="FangSong" w:hAnsi="FangSong" w:eastAsia="FangSong" w:cs="FangSong"/>
          <w:sz w:val="24"/>
          <w:szCs w:val="24"/>
          <w:spacing w:val="10"/>
        </w:rPr>
        <w:t>余废石通过设备运送至废石场。即废石产生量按</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10"/>
        </w:rPr>
        <w:t>2%</w:t>
      </w:r>
      <w:r>
        <w:rPr>
          <w:rFonts w:ascii="FangSong" w:hAnsi="FangSong" w:eastAsia="FangSong" w:cs="FangSong"/>
          <w:sz w:val="24"/>
          <w:szCs w:val="24"/>
          <w:spacing w:val="10"/>
        </w:rPr>
        <w:t>计算，则本项目产生废石为</w:t>
      </w:r>
      <w:r>
        <w:rPr>
          <w:rFonts w:ascii="Times New Roman" w:hAnsi="Times New Roman" w:eastAsia="Times New Roman" w:cs="Times New Roman"/>
          <w:sz w:val="24"/>
          <w:szCs w:val="24"/>
          <w:spacing w:val="-3"/>
        </w:rPr>
        <w:t>1000t/a</w:t>
      </w:r>
      <w:r>
        <w:rPr>
          <w:rFonts w:ascii="FangSong" w:hAnsi="FangSong" w:eastAsia="FangSong" w:cs="FangSong"/>
          <w:sz w:val="24"/>
          <w:szCs w:val="24"/>
          <w:spacing w:val="-3"/>
        </w:rPr>
        <w:t>。</w:t>
      </w:r>
    </w:p>
    <w:p>
      <w:pPr>
        <w:ind w:left="20" w:right="76" w:firstLine="477"/>
        <w:spacing w:before="193" w:line="285" w:lineRule="auto"/>
        <w:rPr>
          <w:rFonts w:ascii="FangSong" w:hAnsi="FangSong" w:eastAsia="FangSong" w:cs="FangSong"/>
          <w:sz w:val="24"/>
          <w:szCs w:val="24"/>
        </w:rPr>
      </w:pPr>
      <w:r>
        <w:rPr>
          <w:rFonts w:ascii="FangSong" w:hAnsi="FangSong" w:eastAsia="FangSong" w:cs="FangSong"/>
          <w:sz w:val="24"/>
          <w:szCs w:val="24"/>
          <w:spacing w:val="2"/>
        </w:rPr>
        <w:t>②</w:t>
      </w:r>
      <w:r>
        <w:rPr>
          <w:rFonts w:ascii="FangSong" w:hAnsi="FangSong" w:eastAsia="FangSong" w:cs="FangSong"/>
          <w:sz w:val="24"/>
          <w:szCs w:val="24"/>
          <w:spacing w:val="47"/>
        </w:rPr>
        <w:t xml:space="preserve"> </w:t>
      </w:r>
      <w:r>
        <w:rPr>
          <w:rFonts w:ascii="FangSong" w:hAnsi="FangSong" w:eastAsia="FangSong" w:cs="FangSong"/>
          <w:sz w:val="24"/>
          <w:szCs w:val="24"/>
          <w:spacing w:val="2"/>
        </w:rPr>
        <w:t>生活垃圾：生活垃圾按每人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0.5</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、劳动定员</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人计算，则年产生量约</w:t>
      </w:r>
      <w:r>
        <w:rPr>
          <w:rFonts w:ascii="Times New Roman" w:hAnsi="Times New Roman" w:eastAsia="Times New Roman" w:cs="Times New Roman"/>
          <w:sz w:val="24"/>
          <w:szCs w:val="24"/>
          <w:spacing w:val="-2"/>
        </w:rPr>
        <w:t>3.875t/a</w:t>
      </w:r>
      <w:r>
        <w:rPr>
          <w:rFonts w:ascii="FangSong" w:hAnsi="FangSong" w:eastAsia="FangSong" w:cs="FangSong"/>
          <w:sz w:val="24"/>
          <w:szCs w:val="24"/>
          <w:spacing w:val="-2"/>
        </w:rPr>
        <w:t>。</w:t>
      </w:r>
    </w:p>
    <w:p>
      <w:pPr>
        <w:ind w:left="15"/>
        <w:spacing w:before="197" w:line="222" w:lineRule="auto"/>
        <w:outlineLvl w:val="1"/>
        <w:rPr>
          <w:rFonts w:ascii="FangSong" w:hAnsi="FangSong" w:eastAsia="FangSong" w:cs="FangSong"/>
          <w:sz w:val="28"/>
          <w:szCs w:val="28"/>
        </w:rPr>
      </w:pPr>
      <w:bookmarkStart w:name="bookmark117" w:id="160"/>
      <w:bookmarkEnd w:id="160"/>
      <w:bookmarkStart w:name="bookmark119" w:id="161"/>
      <w:bookmarkEnd w:id="161"/>
      <w:bookmarkStart w:name="bookmark116" w:id="162"/>
      <w:bookmarkEnd w:id="162"/>
      <w:bookmarkStart w:name="bookmark118" w:id="163"/>
      <w:bookmarkEnd w:id="163"/>
      <w:r>
        <w:rPr>
          <w:rFonts w:ascii="Times New Roman" w:hAnsi="Times New Roman" w:eastAsia="Times New Roman" w:cs="Times New Roman"/>
          <w:sz w:val="28"/>
          <w:szCs w:val="28"/>
          <w:b/>
          <w:bCs/>
          <w:spacing w:val="-2"/>
        </w:rPr>
        <w:t>3.5  </w:t>
      </w:r>
      <w:r>
        <w:rPr>
          <w:rFonts w:ascii="FangSong" w:hAnsi="FangSong" w:eastAsia="FangSong" w:cs="FangSong"/>
          <w:sz w:val="28"/>
          <w:szCs w:val="28"/>
          <w:b/>
          <w:bCs/>
          <w:spacing w:val="-2"/>
        </w:rPr>
        <w:t>变更前污染物治理措施情况</w:t>
      </w:r>
    </w:p>
    <w:p>
      <w:pPr>
        <w:ind w:left="14"/>
        <w:spacing w:before="201" w:line="221" w:lineRule="auto"/>
        <w:outlineLvl w:val="2"/>
        <w:rPr>
          <w:rFonts w:ascii="FangSong" w:hAnsi="FangSong" w:eastAsia="FangSong" w:cs="FangSong"/>
          <w:sz w:val="24"/>
          <w:szCs w:val="24"/>
        </w:rPr>
      </w:pPr>
      <w:bookmarkStart w:name="bookmark534" w:id="164"/>
      <w:bookmarkEnd w:id="164"/>
      <w:r>
        <w:rPr>
          <w:rFonts w:ascii="Times New Roman" w:hAnsi="Times New Roman" w:eastAsia="Times New Roman" w:cs="Times New Roman"/>
          <w:sz w:val="24"/>
          <w:szCs w:val="24"/>
          <w:b/>
          <w:bCs/>
          <w:spacing w:val="-2"/>
        </w:rPr>
        <w:t>3.5.1  </w:t>
      </w:r>
      <w:r>
        <w:rPr>
          <w:rFonts w:ascii="FangSong" w:hAnsi="FangSong" w:eastAsia="FangSong" w:cs="FangSong"/>
          <w:sz w:val="24"/>
          <w:szCs w:val="24"/>
          <w:b/>
          <w:bCs/>
          <w:spacing w:val="-2"/>
        </w:rPr>
        <w:t>施工期污染物治理措施情况</w:t>
      </w:r>
    </w:p>
    <w:p>
      <w:pPr>
        <w:ind w:left="14"/>
        <w:spacing w:before="18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3.5.1.1  </w:t>
      </w:r>
      <w:r>
        <w:rPr>
          <w:rFonts w:ascii="FangSong" w:hAnsi="FangSong" w:eastAsia="FangSong" w:cs="FangSong"/>
          <w:sz w:val="24"/>
          <w:szCs w:val="24"/>
          <w:b/>
          <w:bCs/>
          <w:spacing w:val="-2"/>
        </w:rPr>
        <w:t>施工期大气污染防治措施</w:t>
      </w:r>
    </w:p>
    <w:p>
      <w:pPr>
        <w:ind w:left="26" w:right="74" w:firstLine="479"/>
        <w:spacing w:before="178" w:line="359" w:lineRule="auto"/>
        <w:jc w:val="both"/>
        <w:rPr>
          <w:rFonts w:ascii="FangSong" w:hAnsi="FangSong" w:eastAsia="FangSong" w:cs="FangSong"/>
          <w:sz w:val="24"/>
          <w:szCs w:val="24"/>
        </w:rPr>
      </w:pPr>
      <w:r>
        <w:rPr>
          <w:rFonts w:ascii="FangSong" w:hAnsi="FangSong" w:eastAsia="FangSong" w:cs="FangSong"/>
          <w:sz w:val="24"/>
          <w:szCs w:val="24"/>
          <w:spacing w:val="1"/>
        </w:rPr>
        <w:t>施工期间伴随着建筑材料运输和厂房建设等施工过程，可能产生扬尘，将对附</w:t>
      </w:r>
      <w:r>
        <w:rPr>
          <w:rFonts w:ascii="FangSong" w:hAnsi="FangSong" w:eastAsia="FangSong" w:cs="FangSong"/>
          <w:sz w:val="24"/>
          <w:szCs w:val="24"/>
          <w:spacing w:val="1"/>
        </w:rPr>
        <w:t>近的大气环境带来不利的影响。因此必须采取合理可行的控制措施，尽量减轻其污</w:t>
      </w:r>
      <w:r>
        <w:rPr>
          <w:rFonts w:ascii="FangSong" w:hAnsi="FangSong" w:eastAsia="FangSong" w:cs="FangSong"/>
          <w:sz w:val="24"/>
          <w:szCs w:val="24"/>
          <w:spacing w:val="-1"/>
        </w:rPr>
        <w:t>染程度，缩小其污染范围。其主要对策有：</w:t>
      </w:r>
    </w:p>
    <w:p>
      <w:pPr>
        <w:ind w:left="511"/>
        <w:spacing w:before="1" w:line="212" w:lineRule="auto"/>
        <w:rPr>
          <w:rFonts w:ascii="Times New Roman" w:hAnsi="Times New Roman" w:eastAsia="Times New Roman" w:cs="Times New Roman"/>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）对施工现场进行科学管理，砂石料应统一堆放</w:t>
      </w:r>
      <w:r>
        <w:rPr>
          <w:rFonts w:ascii="Times New Roman" w:hAnsi="Times New Roman" w:eastAsia="Times New Roman" w:cs="Times New Roman"/>
          <w:sz w:val="24"/>
          <w:szCs w:val="24"/>
          <w:spacing w:val="-1"/>
        </w:rPr>
        <w:t>;</w:t>
      </w:r>
    </w:p>
    <w:p>
      <w:pPr>
        <w:ind w:left="30" w:right="76" w:firstLine="481"/>
        <w:spacing w:before="192" w:line="28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）场地开挖平整时，对作业面适当喷水，使其保持一定的湿度，以减少扬尘</w:t>
      </w:r>
      <w:r>
        <w:rPr>
          <w:rFonts w:ascii="FangSong" w:hAnsi="FangSong" w:eastAsia="FangSong" w:cs="FangSong"/>
          <w:sz w:val="24"/>
          <w:szCs w:val="24"/>
          <w:spacing w:val="-1"/>
        </w:rPr>
        <w:t>量。而且，建筑材料和建筑垃圾应及时运走；</w:t>
      </w:r>
    </w:p>
    <w:p>
      <w:pPr>
        <w:ind w:left="29" w:right="66" w:firstLine="482"/>
        <w:spacing w:before="184" w:line="31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）谨防运输车辆装载过满，并尽量采取遮盖、密闭措施，减</w:t>
      </w:r>
      <w:r>
        <w:rPr>
          <w:rFonts w:ascii="FangSong" w:hAnsi="FangSong" w:eastAsia="FangSong" w:cs="FangSong"/>
          <w:sz w:val="24"/>
          <w:szCs w:val="24"/>
          <w:spacing w:val="-3"/>
        </w:rPr>
        <w:t>少其沿途抛洒，</w:t>
      </w:r>
      <w:r>
        <w:rPr>
          <w:rFonts w:ascii="FangSong" w:hAnsi="FangSong" w:eastAsia="FangSong" w:cs="FangSong"/>
          <w:sz w:val="24"/>
          <w:szCs w:val="24"/>
          <w:spacing w:val="1"/>
        </w:rPr>
        <w:t>并及时清扫散落在地面的泥土和灰尘，冲洗轮胎，定时洒水压尘，减少运输过程中</w:t>
      </w:r>
      <w:r>
        <w:rPr>
          <w:rFonts w:ascii="FangSong" w:hAnsi="FangSong" w:eastAsia="FangSong" w:cs="FangSong"/>
          <w:sz w:val="24"/>
          <w:szCs w:val="24"/>
          <w:spacing w:val="-5"/>
        </w:rPr>
        <w:t>的扬尘；</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）施工现场要围栏或部分围栏，减少施工扬尘范围；</w:t>
      </w:r>
    </w:p>
    <w:p>
      <w:pPr>
        <w:ind w:left="508" w:right="48" w:firstLine="3"/>
        <w:spacing w:before="178" w:line="29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）风速过大适应停止施工作业，并对堆放的砂石等建筑材料进行遮盖处理。</w:t>
      </w:r>
      <w:r>
        <w:rPr>
          <w:rFonts w:ascii="FangSong" w:hAnsi="FangSong" w:eastAsia="FangSong" w:cs="FangSong"/>
          <w:sz w:val="24"/>
          <w:szCs w:val="24"/>
          <w:spacing w:val="1"/>
        </w:rPr>
        <w:t>在加强管理、切实落实好这些措施，施工场地扬尘可以达到《大气污染物综合</w:t>
      </w:r>
    </w:p>
    <w:p>
      <w:pPr>
        <w:ind w:left="24"/>
        <w:spacing w:before="181" w:line="212" w:lineRule="auto"/>
        <w:rPr>
          <w:rFonts w:ascii="Times New Roman" w:hAnsi="Times New Roman" w:eastAsia="Times New Roman" w:cs="Times New Roman"/>
          <w:sz w:val="15"/>
          <w:szCs w:val="15"/>
        </w:rPr>
      </w:pPr>
      <w:r>
        <w:rPr>
          <w:rFonts w:ascii="FangSong" w:hAnsi="FangSong" w:eastAsia="FangSong" w:cs="FangSong"/>
          <w:sz w:val="24"/>
          <w:szCs w:val="24"/>
          <w:spacing w:val="-6"/>
        </w:rPr>
        <w:t>排放标准》（</w:t>
      </w:r>
      <w:r>
        <w:rPr>
          <w:rFonts w:ascii="Times New Roman" w:hAnsi="Times New Roman" w:eastAsia="Times New Roman" w:cs="Times New Roman"/>
          <w:sz w:val="24"/>
          <w:szCs w:val="24"/>
          <w:spacing w:val="-6"/>
        </w:rPr>
        <w:t>GB16297-1996</w:t>
      </w:r>
      <w:r>
        <w:rPr>
          <w:rFonts w:ascii="FangSong" w:hAnsi="FangSong" w:eastAsia="FangSong" w:cs="FangSong"/>
          <w:sz w:val="24"/>
          <w:szCs w:val="24"/>
          <w:spacing w:val="-6"/>
        </w:rPr>
        <w:t>）中表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47"/>
        </w:rPr>
        <w:t xml:space="preserve"> </w:t>
      </w:r>
      <w:r>
        <w:rPr>
          <w:rFonts w:ascii="FangSong" w:hAnsi="FangSong" w:eastAsia="FangSong" w:cs="FangSong"/>
          <w:sz w:val="24"/>
          <w:szCs w:val="24"/>
          <w:spacing w:val="-6"/>
        </w:rPr>
        <w:t>中所规定的无组</w:t>
      </w:r>
      <w:r>
        <w:rPr>
          <w:rFonts w:ascii="FangSong" w:hAnsi="FangSong" w:eastAsia="FangSong" w:cs="FangSong"/>
          <w:sz w:val="24"/>
          <w:szCs w:val="24"/>
          <w:spacing w:val="-7"/>
        </w:rPr>
        <w:t>织排放监控浓度限值</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1.0mg/Nm</w:t>
      </w:r>
      <w:r>
        <w:rPr>
          <w:rFonts w:ascii="Times New Roman" w:hAnsi="Times New Roman" w:eastAsia="Times New Roman" w:cs="Times New Roman"/>
          <w:sz w:val="15"/>
          <w:szCs w:val="15"/>
          <w:spacing w:val="-7"/>
          <w:position w:val="8"/>
        </w:rPr>
        <w:t>3</w:t>
      </w:r>
    </w:p>
    <w:p>
      <w:pPr>
        <w:spacing w:line="212" w:lineRule="auto"/>
        <w:sectPr>
          <w:footerReference w:type="default" r:id="rId98"/>
          <w:pgSz w:w="11911" w:h="16839"/>
          <w:pgMar w:top="400" w:right="1341" w:bottom="1146" w:left="1786" w:header="0" w:footer="984" w:gutter="0"/>
        </w:sectPr>
        <w:rPr>
          <w:rFonts w:ascii="Times New Roman" w:hAnsi="Times New Roman" w:eastAsia="Times New Roman" w:cs="Times New Roman"/>
          <w:sz w:val="15"/>
          <w:szCs w:val="15"/>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6" w:right="80" w:firstLine="14"/>
        <w:spacing w:before="78" w:line="359" w:lineRule="auto"/>
        <w:rPr>
          <w:rFonts w:ascii="FangSong" w:hAnsi="FangSong" w:eastAsia="FangSong" w:cs="FangSong"/>
          <w:sz w:val="24"/>
          <w:szCs w:val="24"/>
        </w:rPr>
      </w:pPr>
      <w:r>
        <w:rPr>
          <w:rFonts w:ascii="FangSong" w:hAnsi="FangSong" w:eastAsia="FangSong" w:cs="FangSong"/>
          <w:sz w:val="24"/>
          <w:szCs w:val="24"/>
          <w:spacing w:val="1"/>
        </w:rPr>
        <w:t>的要求，对环境的不良影响将会大大降低，同时其对环境的</w:t>
      </w:r>
      <w:r>
        <w:rPr>
          <w:rFonts w:ascii="FangSong" w:hAnsi="FangSong" w:eastAsia="FangSong" w:cs="FangSong"/>
          <w:sz w:val="24"/>
          <w:szCs w:val="24"/>
        </w:rPr>
        <w:t>影响也将随着施工的结</w:t>
      </w:r>
      <w:r>
        <w:rPr>
          <w:rFonts w:ascii="FangSong" w:hAnsi="FangSong" w:eastAsia="FangSong" w:cs="FangSong"/>
          <w:sz w:val="24"/>
          <w:szCs w:val="24"/>
          <w:spacing w:val="-4"/>
        </w:rPr>
        <w:t>束而消失。</w:t>
      </w:r>
    </w:p>
    <w:p>
      <w:pPr>
        <w:ind w:left="14"/>
        <w:spacing w:line="222" w:lineRule="auto"/>
        <w:outlineLvl w:val="3"/>
        <w:rPr>
          <w:rFonts w:ascii="FangSong" w:hAnsi="FangSong" w:eastAsia="FangSong" w:cs="FangSong"/>
          <w:sz w:val="24"/>
          <w:szCs w:val="24"/>
        </w:rPr>
      </w:pPr>
      <w:bookmarkStart w:name="bookmark535" w:id="165"/>
      <w:bookmarkEnd w:id="165"/>
      <w:r>
        <w:rPr>
          <w:rFonts w:ascii="Times New Roman" w:hAnsi="Times New Roman" w:eastAsia="Times New Roman" w:cs="Times New Roman"/>
          <w:sz w:val="24"/>
          <w:szCs w:val="24"/>
          <w:b/>
          <w:bCs/>
          <w:spacing w:val="-2"/>
        </w:rPr>
        <w:t>3.5.1.2  </w:t>
      </w:r>
      <w:r>
        <w:rPr>
          <w:rFonts w:ascii="FangSong" w:hAnsi="FangSong" w:eastAsia="FangSong" w:cs="FangSong"/>
          <w:sz w:val="24"/>
          <w:szCs w:val="24"/>
          <w:b/>
          <w:bCs/>
          <w:spacing w:val="-2"/>
        </w:rPr>
        <w:t>施工期水环境污染防治措施</w:t>
      </w:r>
    </w:p>
    <w:p>
      <w:pPr>
        <w:ind w:left="506"/>
        <w:spacing w:before="179" w:line="222" w:lineRule="auto"/>
        <w:rPr>
          <w:rFonts w:ascii="FangSong" w:hAnsi="FangSong" w:eastAsia="FangSong" w:cs="FangSong"/>
          <w:sz w:val="24"/>
          <w:szCs w:val="24"/>
        </w:rPr>
      </w:pPr>
      <w:r>
        <w:rPr>
          <w:rFonts w:ascii="FangSong" w:hAnsi="FangSong" w:eastAsia="FangSong" w:cs="FangSong"/>
          <w:sz w:val="24"/>
          <w:szCs w:val="24"/>
          <w:spacing w:val="-1"/>
        </w:rPr>
        <w:t>施工期产生的废水主要是施工人员的生活污水和施工现场清理废水</w:t>
      </w:r>
    </w:p>
    <w:p>
      <w:pPr>
        <w:ind w:left="511"/>
        <w:spacing w:before="176"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）生活废水</w:t>
      </w:r>
    </w:p>
    <w:p>
      <w:pPr>
        <w:ind w:left="15" w:right="80" w:firstLine="504"/>
        <w:spacing w:before="174" w:line="358" w:lineRule="auto"/>
        <w:rPr>
          <w:rFonts w:ascii="FangSong" w:hAnsi="FangSong" w:eastAsia="FangSong" w:cs="FangSong"/>
          <w:sz w:val="24"/>
          <w:szCs w:val="24"/>
        </w:rPr>
      </w:pPr>
      <w:r>
        <w:rPr>
          <w:rFonts w:ascii="FangSong" w:hAnsi="FangSong" w:eastAsia="FangSong" w:cs="FangSong"/>
          <w:sz w:val="24"/>
          <w:szCs w:val="24"/>
        </w:rPr>
        <w:t>生活污水排放量为</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rPr>
        <w:t>0.96m</w:t>
      </w:r>
      <w:r>
        <w:rPr>
          <w:rFonts w:ascii="Times New Roman" w:hAnsi="Times New Roman" w:eastAsia="Times New Roman" w:cs="Times New Roman"/>
          <w:sz w:val="15"/>
          <w:szCs w:val="15"/>
          <w:position w:val="8"/>
        </w:rPr>
        <w:t>3</w:t>
      </w:r>
      <w:r>
        <w:rPr>
          <w:rFonts w:ascii="Times New Roman" w:hAnsi="Times New Roman" w:eastAsia="Times New Roman" w:cs="Times New Roman"/>
          <w:sz w:val="24"/>
          <w:szCs w:val="24"/>
        </w:rPr>
        <w:t>/d</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，类比《苏尼特左旗满都拉图镇昌图敖包采石场项</w:t>
      </w:r>
      <w:r>
        <w:rPr>
          <w:rFonts w:ascii="FangSong" w:hAnsi="FangSong" w:eastAsia="FangSong" w:cs="FangSong"/>
          <w:sz w:val="24"/>
          <w:szCs w:val="24"/>
          <w:spacing w:val="4"/>
        </w:rPr>
        <w:t>目》生活污水污染物排放浓度计算，其中</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sz w:val="24"/>
          <w:szCs w:val="24"/>
          <w:spacing w:val="24"/>
          <w:w w:val="101"/>
        </w:rPr>
        <w:t xml:space="preserve"> </w:t>
      </w:r>
      <w:r>
        <w:rPr>
          <w:rFonts w:ascii="Times New Roman" w:hAnsi="Times New Roman" w:eastAsia="Times New Roman" w:cs="Times New Roman"/>
          <w:sz w:val="24"/>
          <w:szCs w:val="24"/>
          <w:spacing w:val="4"/>
        </w:rPr>
        <w:t>300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4"/>
        </w:rPr>
        <w:t>/L</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18"/>
        </w:rPr>
        <w:t xml:space="preserve"> </w:t>
      </w:r>
      <w:r>
        <w:rPr>
          <w:rFonts w:ascii="Times New Roman" w:hAnsi="Times New Roman" w:eastAsia="Times New Roman" w:cs="Times New Roman"/>
          <w:sz w:val="24"/>
          <w:szCs w:val="24"/>
          <w:spacing w:val="4"/>
        </w:rPr>
        <w:t>40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4"/>
        </w:rPr>
        <w:t>/L</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rPr>
        <w:t>BOD</w:t>
      </w:r>
      <w:r>
        <w:rPr>
          <w:rFonts w:ascii="Times New Roman" w:hAnsi="Times New Roman" w:eastAsia="Times New Roman" w:cs="Times New Roman"/>
          <w:sz w:val="15"/>
          <w:szCs w:val="15"/>
          <w:spacing w:val="4"/>
          <w:position w:val="-1"/>
        </w:rPr>
        <w:t>5</w:t>
      </w:r>
      <w:r>
        <w:rPr>
          <w:rFonts w:ascii="Times New Roman" w:hAnsi="Times New Roman" w:eastAsia="Times New Roman" w:cs="Times New Roman"/>
          <w:sz w:val="15"/>
          <w:szCs w:val="15"/>
          <w:position w:val="-1"/>
        </w:rPr>
        <w:t xml:space="preserve"> </w:t>
      </w:r>
      <w:r>
        <w:rPr>
          <w:rFonts w:ascii="Times New Roman" w:hAnsi="Times New Roman" w:eastAsia="Times New Roman" w:cs="Times New Roman"/>
          <w:sz w:val="24"/>
          <w:szCs w:val="24"/>
          <w:spacing w:val="-3"/>
        </w:rPr>
        <w:t>200mg/L</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SS</w:t>
      </w:r>
      <w:r>
        <w:rPr>
          <w:rFonts w:ascii="Times New Roman" w:hAnsi="Times New Roman" w:eastAsia="Times New Roman" w:cs="Times New Roman"/>
          <w:sz w:val="24"/>
          <w:szCs w:val="24"/>
          <w:spacing w:val="26"/>
          <w:w w:val="101"/>
        </w:rPr>
        <w:t xml:space="preserve"> </w:t>
      </w:r>
      <w:r>
        <w:rPr>
          <w:rFonts w:ascii="Times New Roman" w:hAnsi="Times New Roman" w:eastAsia="Times New Roman" w:cs="Times New Roman"/>
          <w:sz w:val="24"/>
          <w:szCs w:val="24"/>
          <w:spacing w:val="-3"/>
        </w:rPr>
        <w:t>100mg/L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。预测本项目施工期间：</w:t>
      </w:r>
      <w:r>
        <w:rPr>
          <w:rFonts w:ascii="Times New Roman" w:hAnsi="Times New Roman" w:eastAsia="Times New Roman" w:cs="Times New Roman"/>
          <w:sz w:val="24"/>
          <w:szCs w:val="24"/>
          <w:spacing w:val="-3"/>
        </w:rPr>
        <w:t>COD</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3"/>
        </w:rPr>
        <w:t>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0.288kg</w:t>
      </w:r>
      <w:r>
        <w:rPr>
          <w:rFonts w:ascii="Times New Roman" w:hAnsi="Times New Roman" w:eastAsia="Times New Roman" w:cs="Times New Roman"/>
          <w:sz w:val="24"/>
          <w:szCs w:val="24"/>
          <w:spacing w:val="-4"/>
        </w:rPr>
        <w:t>/d</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 </w:t>
      </w:r>
      <w:r>
        <w:rPr>
          <w:rFonts w:ascii="FangSong" w:hAnsi="FangSong" w:eastAsia="FangSong" w:cs="FangSong"/>
          <w:sz w:val="24"/>
          <w:szCs w:val="24"/>
          <w:spacing w:val="-4"/>
        </w:rPr>
        <w:t>排</w:t>
      </w:r>
      <w:r>
        <w:rPr>
          <w:rFonts w:ascii="FangSong" w:hAnsi="FangSong" w:eastAsia="FangSong" w:cs="FangSong"/>
          <w:sz w:val="24"/>
          <w:szCs w:val="24"/>
          <w:spacing w:val="-2"/>
        </w:rPr>
        <w:t>放量为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0.038kg/d</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BOD</w:t>
      </w:r>
      <w:r>
        <w:rPr>
          <w:rFonts w:ascii="Times New Roman" w:hAnsi="Times New Roman" w:eastAsia="Times New Roman" w:cs="Times New Roman"/>
          <w:sz w:val="15"/>
          <w:szCs w:val="15"/>
          <w:spacing w:val="-2"/>
          <w:position w:val="-1"/>
        </w:rPr>
        <w:t>5</w:t>
      </w:r>
      <w:r>
        <w:rPr>
          <w:rFonts w:ascii="Times New Roman" w:hAnsi="Times New Roman" w:eastAsia="Times New Roman" w:cs="Times New Roman"/>
          <w:sz w:val="15"/>
          <w:szCs w:val="15"/>
          <w:spacing w:val="18"/>
          <w:w w:val="101"/>
          <w:position w:val="-1"/>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192kg/d</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2"/>
        </w:rPr>
        <w:t>0.09</w:t>
      </w:r>
      <w:r>
        <w:rPr>
          <w:rFonts w:ascii="Times New Roman" w:hAnsi="Times New Roman" w:eastAsia="Times New Roman" w:cs="Times New Roman"/>
          <w:sz w:val="24"/>
          <w:szCs w:val="24"/>
          <w:spacing w:val="-3"/>
        </w:rPr>
        <w:t>6kg/d</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。项目施工期</w:t>
      </w:r>
      <w:r>
        <w:rPr>
          <w:rFonts w:ascii="FangSong" w:hAnsi="FangSong" w:eastAsia="FangSong" w:cs="FangSong"/>
          <w:sz w:val="24"/>
          <w:szCs w:val="24"/>
          <w:spacing w:val="1"/>
        </w:rPr>
        <w:t>建设隔油池、化粪池，废水处理后暂时储存在临时废水池，不外排，待项目地埋式</w:t>
      </w:r>
      <w:r>
        <w:rPr>
          <w:rFonts w:ascii="FangSong" w:hAnsi="FangSong" w:eastAsia="FangSong" w:cs="FangSong"/>
          <w:sz w:val="24"/>
          <w:szCs w:val="24"/>
        </w:rPr>
        <w:t>污水处理设备后建成处理用于绿化及洒水，对周围</w:t>
      </w:r>
      <w:r>
        <w:rPr>
          <w:rFonts w:ascii="FangSong" w:hAnsi="FangSong" w:eastAsia="FangSong" w:cs="FangSong"/>
          <w:sz w:val="24"/>
          <w:szCs w:val="24"/>
          <w:spacing w:val="-1"/>
        </w:rPr>
        <w:t>环境影响较小。</w:t>
      </w:r>
    </w:p>
    <w:p>
      <w:pPr>
        <w:ind w:left="511"/>
        <w:spacing w:before="13"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）施工现场清洗废水</w:t>
      </w:r>
    </w:p>
    <w:p>
      <w:pPr>
        <w:ind w:left="26" w:right="17" w:firstLine="480"/>
        <w:spacing w:before="179" w:line="359" w:lineRule="auto"/>
        <w:rPr>
          <w:rFonts w:ascii="FangSong" w:hAnsi="FangSong" w:eastAsia="FangSong" w:cs="FangSong"/>
          <w:sz w:val="24"/>
          <w:szCs w:val="24"/>
        </w:rPr>
      </w:pPr>
      <w:r>
        <w:rPr>
          <w:rFonts w:ascii="FangSong" w:hAnsi="FangSong" w:eastAsia="FangSong" w:cs="FangSong"/>
          <w:sz w:val="24"/>
          <w:szCs w:val="24"/>
          <w:spacing w:val="-4"/>
        </w:rPr>
        <w:t>施工现场机械设备和轮胎冲洗会产生清洗废水，本项目施工现场施工机械较少，</w:t>
      </w:r>
      <w:r>
        <w:rPr>
          <w:rFonts w:ascii="FangSong" w:hAnsi="FangSong" w:eastAsia="FangSong" w:cs="FangSong"/>
          <w:sz w:val="24"/>
          <w:szCs w:val="24"/>
          <w:spacing w:val="1"/>
        </w:rPr>
        <w:t>施工废水产生量较小，其中可能含有较多的泥土、砂石和少量的地表油污等。项目</w:t>
      </w:r>
      <w:r>
        <w:rPr>
          <w:rFonts w:ascii="FangSong" w:hAnsi="FangSong" w:eastAsia="FangSong" w:cs="FangSong"/>
          <w:sz w:val="24"/>
          <w:szCs w:val="24"/>
          <w:spacing w:val="1"/>
        </w:rPr>
        <w:t>施工期建设隔油池、化粪池，废水处理后暂时储存在临时废水池，不外排，待项目</w:t>
      </w:r>
      <w:r>
        <w:rPr>
          <w:rFonts w:ascii="FangSong" w:hAnsi="FangSong" w:eastAsia="FangSong" w:cs="FangSong"/>
          <w:sz w:val="24"/>
          <w:szCs w:val="24"/>
          <w:spacing w:val="-1"/>
        </w:rPr>
        <w:t>地埋式污水处理设备后建成处理用于绿化及洒水，对周围环境影响较小。</w:t>
      </w:r>
    </w:p>
    <w:p>
      <w:pPr>
        <w:ind w:left="14"/>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3.5.1.3  </w:t>
      </w:r>
      <w:r>
        <w:rPr>
          <w:rFonts w:ascii="FangSong" w:hAnsi="FangSong" w:eastAsia="FangSong" w:cs="FangSong"/>
          <w:sz w:val="24"/>
          <w:szCs w:val="24"/>
          <w:b/>
          <w:bCs/>
          <w:spacing w:val="-2"/>
        </w:rPr>
        <w:t>施工期噪声污染防治措施</w:t>
      </w:r>
    </w:p>
    <w:p>
      <w:pPr>
        <w:ind w:left="34" w:right="17" w:firstLine="471"/>
        <w:spacing w:before="178" w:line="359" w:lineRule="auto"/>
        <w:jc w:val="both"/>
        <w:rPr>
          <w:rFonts w:ascii="FangSong" w:hAnsi="FangSong" w:eastAsia="FangSong" w:cs="FangSong"/>
          <w:sz w:val="24"/>
          <w:szCs w:val="24"/>
        </w:rPr>
      </w:pPr>
      <w:r>
        <w:rPr>
          <w:rFonts w:ascii="FangSong" w:hAnsi="FangSong" w:eastAsia="FangSong" w:cs="FangSong"/>
          <w:sz w:val="24"/>
          <w:szCs w:val="24"/>
        </w:rPr>
        <w:t>施工噪声会对项目拟建地周围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100</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rPr>
        <w:t>米范围内的施工人</w:t>
      </w:r>
      <w:r>
        <w:rPr>
          <w:rFonts w:ascii="FangSong" w:hAnsi="FangSong" w:eastAsia="FangSong" w:cs="FangSong"/>
          <w:sz w:val="24"/>
          <w:szCs w:val="24"/>
          <w:spacing w:val="-1"/>
        </w:rPr>
        <w:t>员产生一定程度的污染影</w:t>
      </w:r>
      <w:r>
        <w:rPr>
          <w:rFonts w:ascii="FangSong" w:hAnsi="FangSong" w:eastAsia="FangSong" w:cs="FangSong"/>
          <w:sz w:val="24"/>
          <w:szCs w:val="24"/>
          <w:spacing w:val="-5"/>
        </w:rPr>
        <w:t>响，建议为工人佩戴噪声防护设备。拟建项目周围</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公里范围内无居民区等敏感点，</w:t>
      </w:r>
      <w:r>
        <w:rPr>
          <w:rFonts w:ascii="FangSong" w:hAnsi="FangSong" w:eastAsia="FangSong" w:cs="FangSong"/>
          <w:sz w:val="24"/>
          <w:szCs w:val="24"/>
          <w:spacing w:val="-2"/>
        </w:rPr>
        <w:t>因此，项目的建设对周围声环境影响较小。</w:t>
      </w:r>
    </w:p>
    <w:p>
      <w:pPr>
        <w:ind w:left="14"/>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3.5.1.4  </w:t>
      </w:r>
      <w:r>
        <w:rPr>
          <w:rFonts w:ascii="FangSong" w:hAnsi="FangSong" w:eastAsia="FangSong" w:cs="FangSong"/>
          <w:sz w:val="24"/>
          <w:szCs w:val="24"/>
          <w:b/>
          <w:bCs/>
          <w:spacing w:val="-2"/>
        </w:rPr>
        <w:t>施工期固体废物污染防治措施</w:t>
      </w:r>
    </w:p>
    <w:p>
      <w:pPr>
        <w:ind w:left="26" w:right="80" w:firstLine="480"/>
        <w:spacing w:before="180" w:line="359" w:lineRule="auto"/>
        <w:jc w:val="both"/>
        <w:rPr>
          <w:rFonts w:ascii="FangSong" w:hAnsi="FangSong" w:eastAsia="FangSong" w:cs="FangSong"/>
          <w:sz w:val="24"/>
          <w:szCs w:val="24"/>
        </w:rPr>
      </w:pPr>
      <w:r>
        <w:rPr>
          <w:rFonts w:ascii="FangSong" w:hAnsi="FangSong" w:eastAsia="FangSong" w:cs="FangSong"/>
          <w:sz w:val="24"/>
          <w:szCs w:val="24"/>
          <w:spacing w:val="1"/>
        </w:rPr>
        <w:t>施工期产生的固体废弃物主要有挖掘土方、拆除建筑物、建筑施工和设备安装</w:t>
      </w:r>
      <w:r>
        <w:rPr>
          <w:rFonts w:ascii="FangSong" w:hAnsi="FangSong" w:eastAsia="FangSong" w:cs="FangSong"/>
          <w:sz w:val="24"/>
          <w:szCs w:val="24"/>
          <w:spacing w:val="1"/>
        </w:rPr>
        <w:t>过程中产生的废物及生活垃圾。如不及时清理和妥善处理，都将对厂容卫生、公众</w:t>
      </w:r>
      <w:r>
        <w:rPr>
          <w:rFonts w:ascii="FangSong" w:hAnsi="FangSong" w:eastAsia="FangSong" w:cs="FangSong"/>
          <w:sz w:val="24"/>
          <w:szCs w:val="24"/>
          <w:spacing w:val="-1"/>
        </w:rPr>
        <w:t>健康、道路交通及周围环境产生不利影响。处理方法如下：</w:t>
      </w:r>
    </w:p>
    <w:p>
      <w:pPr>
        <w:ind w:left="511"/>
        <w:spacing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）在施工场地内应设临时收集施工垃圾的垃圾站。</w:t>
      </w:r>
    </w:p>
    <w:p>
      <w:pPr>
        <w:spacing w:before="181" w:line="219" w:lineRule="auto"/>
        <w:jc w:val="right"/>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2</w:t>
      </w:r>
      <w:r>
        <w:rPr>
          <w:rFonts w:ascii="FangSong" w:hAnsi="FangSong" w:eastAsia="FangSong" w:cs="FangSong"/>
          <w:sz w:val="24"/>
          <w:szCs w:val="24"/>
          <w:spacing w:val="-7"/>
        </w:rPr>
        <w:t>）建设单位在施工期间对其产生的施工废物及时收集、清运，避免产生污染。</w:t>
      </w:r>
    </w:p>
    <w:p>
      <w:pPr>
        <w:ind w:left="29" w:right="83" w:firstLine="482"/>
        <w:spacing w:before="182"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）加强宣传，树立环保意识，不随意乱丢废弃物，以保证施工中生活区的环</w:t>
      </w:r>
      <w:r>
        <w:rPr>
          <w:rFonts w:ascii="FangSong" w:hAnsi="FangSong" w:eastAsia="FangSong" w:cs="FangSong"/>
          <w:sz w:val="24"/>
          <w:szCs w:val="24"/>
          <w:spacing w:val="-4"/>
        </w:rPr>
        <w:t>境卫生面貌。</w:t>
      </w:r>
    </w:p>
    <w:p>
      <w:pPr>
        <w:ind w:left="14"/>
        <w:spacing w:before="1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3.5.1.5  </w:t>
      </w:r>
      <w:r>
        <w:rPr>
          <w:rFonts w:ascii="FangSong" w:hAnsi="FangSong" w:eastAsia="FangSong" w:cs="FangSong"/>
          <w:sz w:val="24"/>
          <w:szCs w:val="24"/>
          <w:b/>
          <w:bCs/>
          <w:spacing w:val="-2"/>
        </w:rPr>
        <w:t>施工期生态环境影响</w:t>
      </w:r>
    </w:p>
    <w:p>
      <w:pPr>
        <w:ind w:left="506"/>
        <w:spacing w:before="180" w:line="219" w:lineRule="auto"/>
        <w:rPr>
          <w:rFonts w:ascii="FangSong" w:hAnsi="FangSong" w:eastAsia="FangSong" w:cs="FangSong"/>
          <w:sz w:val="24"/>
          <w:szCs w:val="24"/>
        </w:rPr>
      </w:pPr>
      <w:r>
        <w:rPr>
          <w:rFonts w:ascii="FangSong" w:hAnsi="FangSong" w:eastAsia="FangSong" w:cs="FangSong"/>
          <w:sz w:val="24"/>
          <w:szCs w:val="24"/>
          <w:spacing w:val="1"/>
        </w:rPr>
        <w:t>矿区在施工期对植被的影响主要是土地、临时用地、取弃土占地及机械碾压、</w:t>
      </w:r>
    </w:p>
    <w:p>
      <w:pPr>
        <w:spacing w:line="219" w:lineRule="auto"/>
        <w:sectPr>
          <w:footerReference w:type="default" r:id="rId99"/>
          <w:pgSz w:w="11911" w:h="16839"/>
          <w:pgMar w:top="400" w:right="133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8" w:right="63" w:hanging="2"/>
        <w:spacing w:before="78" w:line="359" w:lineRule="auto"/>
        <w:rPr>
          <w:rFonts w:ascii="FangSong" w:hAnsi="FangSong" w:eastAsia="FangSong" w:cs="FangSong"/>
          <w:sz w:val="24"/>
          <w:szCs w:val="24"/>
        </w:rPr>
      </w:pPr>
      <w:r>
        <w:rPr>
          <w:rFonts w:ascii="FangSong" w:hAnsi="FangSong" w:eastAsia="FangSong" w:cs="FangSong"/>
          <w:sz w:val="24"/>
          <w:szCs w:val="24"/>
          <w:spacing w:val="1"/>
        </w:rPr>
        <w:t>施工人员践踏等破坏施工区域内的植被，损失一定的生物量，并破坏和影响工作区</w:t>
      </w:r>
      <w:r>
        <w:rPr>
          <w:rFonts w:ascii="FangSong" w:hAnsi="FangSong" w:eastAsia="FangSong" w:cs="FangSong"/>
          <w:sz w:val="24"/>
          <w:szCs w:val="24"/>
          <w:spacing w:val="-2"/>
        </w:rPr>
        <w:t>周围环境的植被覆盖率和数量分布。</w:t>
      </w:r>
    </w:p>
    <w:p>
      <w:pPr>
        <w:ind w:left="26" w:right="63" w:firstLine="480"/>
        <w:spacing w:line="359" w:lineRule="auto"/>
        <w:jc w:val="both"/>
        <w:rPr>
          <w:rFonts w:ascii="FangSong" w:hAnsi="FangSong" w:eastAsia="FangSong" w:cs="FangSong"/>
          <w:sz w:val="24"/>
          <w:szCs w:val="24"/>
        </w:rPr>
      </w:pPr>
      <w:r>
        <w:rPr>
          <w:rFonts w:ascii="FangSong" w:hAnsi="FangSong" w:eastAsia="FangSong" w:cs="FangSong"/>
          <w:sz w:val="24"/>
          <w:szCs w:val="24"/>
          <w:spacing w:val="1"/>
        </w:rPr>
        <w:t>矿区建设占地对植被的破坏是永久的，这部分植被将永远失去生产能力，矿区</w:t>
      </w:r>
      <w:r>
        <w:rPr>
          <w:rFonts w:ascii="FangSong" w:hAnsi="FangSong" w:eastAsia="FangSong" w:cs="FangSong"/>
          <w:sz w:val="24"/>
          <w:szCs w:val="24"/>
          <w:spacing w:val="1"/>
        </w:rPr>
        <w:t>建设临时占地将干扰和破坏影响范围内的植被生长，影响区域内的植被群落种类组</w:t>
      </w:r>
      <w:r>
        <w:rPr>
          <w:rFonts w:ascii="FangSong" w:hAnsi="FangSong" w:eastAsia="FangSong" w:cs="FangSong"/>
          <w:sz w:val="24"/>
          <w:szCs w:val="24"/>
          <w:spacing w:val="1"/>
        </w:rPr>
        <w:t>成和数量分布，因而在施工过程中要注意保护植被，减少植被破坏面积，尽快恢复</w:t>
      </w:r>
      <w:r>
        <w:rPr>
          <w:rFonts w:ascii="FangSong" w:hAnsi="FangSong" w:eastAsia="FangSong" w:cs="FangSong"/>
          <w:sz w:val="24"/>
          <w:szCs w:val="24"/>
          <w:spacing w:val="-6"/>
        </w:rPr>
        <w:t>植被。</w:t>
      </w:r>
    </w:p>
    <w:p>
      <w:pPr>
        <w:ind w:left="14"/>
        <w:spacing w:before="1" w:line="220" w:lineRule="auto"/>
        <w:outlineLvl w:val="2"/>
        <w:rPr>
          <w:rFonts w:ascii="FangSong" w:hAnsi="FangSong" w:eastAsia="FangSong" w:cs="FangSong"/>
          <w:sz w:val="24"/>
          <w:szCs w:val="24"/>
        </w:rPr>
      </w:pPr>
      <w:bookmarkStart w:name="bookmark121" w:id="166"/>
      <w:bookmarkEnd w:id="166"/>
      <w:bookmarkStart w:name="bookmark120" w:id="167"/>
      <w:bookmarkEnd w:id="167"/>
      <w:r>
        <w:rPr>
          <w:rFonts w:ascii="Times New Roman" w:hAnsi="Times New Roman" w:eastAsia="Times New Roman" w:cs="Times New Roman"/>
          <w:sz w:val="24"/>
          <w:szCs w:val="24"/>
          <w:b/>
          <w:bCs/>
          <w:spacing w:val="-2"/>
        </w:rPr>
        <w:t>3.5.2  </w:t>
      </w:r>
      <w:r>
        <w:rPr>
          <w:rFonts w:ascii="FangSong" w:hAnsi="FangSong" w:eastAsia="FangSong" w:cs="FangSong"/>
          <w:sz w:val="24"/>
          <w:szCs w:val="24"/>
          <w:b/>
          <w:bCs/>
          <w:spacing w:val="-2"/>
        </w:rPr>
        <w:t>运营期污染物治理措施情况</w:t>
      </w:r>
    </w:p>
    <w:p>
      <w:pPr>
        <w:ind w:left="14"/>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3.5.2.1  </w:t>
      </w:r>
      <w:r>
        <w:rPr>
          <w:rFonts w:ascii="FangSong" w:hAnsi="FangSong" w:eastAsia="FangSong" w:cs="FangSong"/>
          <w:sz w:val="24"/>
          <w:szCs w:val="24"/>
          <w:b/>
          <w:bCs/>
          <w:spacing w:val="-2"/>
        </w:rPr>
        <w:t>运营期大气污染防治措施及分析</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）矿山开采产生的粉尘</w:t>
      </w:r>
    </w:p>
    <w:p>
      <w:pPr>
        <w:ind w:left="26" w:right="63" w:firstLine="480"/>
        <w:spacing w:before="176" w:line="359" w:lineRule="auto"/>
        <w:rPr>
          <w:rFonts w:ascii="FangSong" w:hAnsi="FangSong" w:eastAsia="FangSong" w:cs="FangSong"/>
          <w:sz w:val="24"/>
          <w:szCs w:val="24"/>
        </w:rPr>
      </w:pPr>
      <w:r>
        <w:rPr>
          <w:rFonts w:ascii="FangSong" w:hAnsi="FangSong" w:eastAsia="FangSong" w:cs="FangSong"/>
          <w:sz w:val="24"/>
          <w:szCs w:val="24"/>
          <w:spacing w:val="1"/>
        </w:rPr>
        <w:t>矿山开采设计中采用湿法凿岩方式进行多排孔微差爆破，减少爆破粉尘产生，</w:t>
      </w:r>
      <w:r>
        <w:rPr>
          <w:rFonts w:ascii="FangSong" w:hAnsi="FangSong" w:eastAsia="FangSong" w:cs="FangSong"/>
          <w:sz w:val="24"/>
          <w:szCs w:val="24"/>
          <w:spacing w:val="1"/>
        </w:rPr>
        <w:t>爆破点周围经常洒水降尘，降低采装时粉尘产生量，经采取措施后，矿山开采过程</w:t>
      </w:r>
      <w:r>
        <w:rPr>
          <w:rFonts w:ascii="FangSong" w:hAnsi="FangSong" w:eastAsia="FangSong" w:cs="FangSong"/>
          <w:sz w:val="24"/>
          <w:szCs w:val="24"/>
          <w:spacing w:val="-1"/>
        </w:rPr>
        <w:t>中产生的粉尘对工作人员和大气的影响较小。</w:t>
      </w:r>
    </w:p>
    <w:p>
      <w:pPr>
        <w:ind w:left="511"/>
        <w:spacing w:before="2"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）废石场扬尘</w:t>
      </w:r>
    </w:p>
    <w:p>
      <w:pPr>
        <w:ind w:left="26" w:right="65" w:firstLine="483"/>
        <w:spacing w:before="176" w:line="359" w:lineRule="auto"/>
        <w:rPr>
          <w:rFonts w:ascii="FangSong" w:hAnsi="FangSong" w:eastAsia="FangSong" w:cs="FangSong"/>
          <w:sz w:val="24"/>
          <w:szCs w:val="24"/>
        </w:rPr>
      </w:pPr>
      <w:r>
        <w:rPr>
          <w:rFonts w:ascii="FangSong" w:hAnsi="FangSong" w:eastAsia="FangSong" w:cs="FangSong"/>
          <w:sz w:val="24"/>
          <w:szCs w:val="24"/>
          <w:spacing w:val="-1"/>
        </w:rPr>
        <w:t>废弃土石渣等均运往废石场堆放。废石场扬尘排放量为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15t/a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。为了减少扬尘</w:t>
      </w:r>
      <w:r>
        <w:rPr>
          <w:rFonts w:ascii="FangSong" w:hAnsi="FangSong" w:eastAsia="FangSong" w:cs="FangSong"/>
          <w:sz w:val="24"/>
          <w:szCs w:val="24"/>
          <w:spacing w:val="-2"/>
        </w:rPr>
        <w:t>对环境空气的影响，环评要求对废石场周围设置</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12m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高的防风抑尘网、进</w:t>
      </w:r>
      <w:r>
        <w:rPr>
          <w:rFonts w:ascii="FangSong" w:hAnsi="FangSong" w:eastAsia="FangSong" w:cs="FangSong"/>
          <w:sz w:val="24"/>
          <w:szCs w:val="24"/>
          <w:spacing w:val="-3"/>
        </w:rPr>
        <w:t>行定期洒</w:t>
      </w:r>
      <w:r>
        <w:rPr>
          <w:rFonts w:ascii="FangSong" w:hAnsi="FangSong" w:eastAsia="FangSong" w:cs="FangSong"/>
          <w:sz w:val="24"/>
          <w:szCs w:val="24"/>
          <w:spacing w:val="-1"/>
        </w:rPr>
        <w:t>水降尘，采取此措施后，可减少扬尘量</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
        </w:rPr>
        <w:t>60%</w:t>
      </w:r>
      <w:r>
        <w:rPr>
          <w:rFonts w:ascii="FangSong" w:hAnsi="FangSong" w:eastAsia="FangSong" w:cs="FangSong"/>
          <w:sz w:val="24"/>
          <w:szCs w:val="24"/>
          <w:spacing w:val="-1"/>
        </w:rPr>
        <w:t>以上，粉尘排放量为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0.06t/a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
        </w:rPr>
        <w:t>，对大气的</w:t>
      </w:r>
      <w:r>
        <w:rPr>
          <w:rFonts w:ascii="FangSong" w:hAnsi="FangSong" w:eastAsia="FangSong" w:cs="FangSong"/>
          <w:sz w:val="24"/>
          <w:szCs w:val="24"/>
          <w:spacing w:val="-4"/>
        </w:rPr>
        <w:t>影响较小。</w:t>
      </w:r>
    </w:p>
    <w:p>
      <w:pPr>
        <w:ind w:left="511"/>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）道路运输扬尘</w:t>
      </w:r>
    </w:p>
    <w:p>
      <w:pPr>
        <w:ind w:left="28"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运输道路运输扬尘排放量为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19t/a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。针对道路运输引起的扬尘，要求运输道路</w:t>
      </w:r>
      <w:r>
        <w:rPr>
          <w:rFonts w:ascii="FangSong" w:hAnsi="FangSong" w:eastAsia="FangSong" w:cs="FangSong"/>
          <w:sz w:val="24"/>
          <w:szCs w:val="24"/>
          <w:spacing w:val="1"/>
        </w:rPr>
        <w:t>必须硬化、洒水降尘；运输时采用篷布遮盖密闭运输，降低运输速度，对于采场和</w:t>
      </w:r>
      <w:r>
        <w:rPr>
          <w:rFonts w:ascii="FangSong" w:hAnsi="FangSong" w:eastAsia="FangSong" w:cs="FangSong"/>
          <w:sz w:val="24"/>
          <w:szCs w:val="24"/>
          <w:spacing w:val="1"/>
        </w:rPr>
        <w:t>公路上的扬尘，选用一台洒水车，按季节定时向采场和公路上喷雾洒水，以控制扬</w:t>
      </w:r>
      <w:r>
        <w:rPr>
          <w:rFonts w:ascii="FangSong" w:hAnsi="FangSong" w:eastAsia="FangSong" w:cs="FangSong"/>
          <w:sz w:val="24"/>
          <w:szCs w:val="24"/>
          <w:spacing w:val="-1"/>
        </w:rPr>
        <w:t>尘，避免对周围环境的影响。采取措施后，抑尘效率可达到</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，运输扬尘排放量</w:t>
      </w:r>
      <w:r>
        <w:rPr>
          <w:rFonts w:ascii="FangSong" w:hAnsi="FangSong" w:eastAsia="FangSong" w:cs="FangSong"/>
          <w:sz w:val="24"/>
          <w:szCs w:val="24"/>
          <w:spacing w:val="-2"/>
        </w:rPr>
        <w:t>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1.52 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。一般情况下，在自然风作用</w:t>
      </w:r>
      <w:r>
        <w:rPr>
          <w:rFonts w:ascii="FangSong" w:hAnsi="FangSong" w:eastAsia="FangSong" w:cs="FangSong"/>
          <w:sz w:val="24"/>
          <w:szCs w:val="24"/>
          <w:spacing w:val="-3"/>
        </w:rPr>
        <w:t>下，道路扬尘影响范围在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100m</w:t>
      </w:r>
      <w:r>
        <w:rPr>
          <w:rFonts w:ascii="Times New Roman" w:hAnsi="Times New Roman" w:eastAsia="Times New Roman" w:cs="Times New Roman"/>
          <w:sz w:val="24"/>
          <w:szCs w:val="24"/>
          <w:spacing w:val="44"/>
        </w:rPr>
        <w:t xml:space="preserve"> </w:t>
      </w:r>
      <w:r>
        <w:rPr>
          <w:rFonts w:ascii="FangSong" w:hAnsi="FangSong" w:eastAsia="FangSong" w:cs="FangSong"/>
          <w:sz w:val="24"/>
          <w:szCs w:val="24"/>
          <w:spacing w:val="-3"/>
        </w:rPr>
        <w:t>以内。在大</w:t>
      </w:r>
      <w:r>
        <w:rPr>
          <w:rFonts w:ascii="FangSong" w:hAnsi="FangSong" w:eastAsia="FangSong" w:cs="FangSong"/>
          <w:sz w:val="24"/>
          <w:szCs w:val="24"/>
          <w:spacing w:val="-3"/>
        </w:rPr>
        <w:t>风天气，扬尘量及影响范围将有所扩大，影响距离可达</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200m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远。采取以上措施后，</w:t>
      </w:r>
      <w:r>
        <w:rPr>
          <w:rFonts w:ascii="FangSong" w:hAnsi="FangSong" w:eastAsia="FangSong" w:cs="FangSong"/>
          <w:sz w:val="24"/>
          <w:szCs w:val="24"/>
          <w:spacing w:val="-2"/>
        </w:rPr>
        <w:t>运输道路扬尘能够满足《大气污染物综合排放标准》（</w:t>
      </w:r>
      <w:r>
        <w:rPr>
          <w:rFonts w:ascii="Times New Roman" w:hAnsi="Times New Roman" w:eastAsia="Times New Roman" w:cs="Times New Roman"/>
          <w:sz w:val="24"/>
          <w:szCs w:val="24"/>
          <w:spacing w:val="-2"/>
        </w:rPr>
        <w:t>GB16297-1996</w:t>
      </w:r>
      <w:r>
        <w:rPr>
          <w:rFonts w:ascii="FangSong" w:hAnsi="FangSong" w:eastAsia="FangSong" w:cs="FangSong"/>
          <w:sz w:val="24"/>
          <w:szCs w:val="24"/>
          <w:spacing w:val="-2"/>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47"/>
        </w:rPr>
        <w:t xml:space="preserve"> </w:t>
      </w:r>
      <w:r>
        <w:rPr>
          <w:rFonts w:ascii="FangSong" w:hAnsi="FangSong" w:eastAsia="FangSong" w:cs="FangSong"/>
          <w:sz w:val="24"/>
          <w:szCs w:val="24"/>
          <w:spacing w:val="-2"/>
        </w:rPr>
        <w:t>中无组</w:t>
      </w:r>
      <w:r>
        <w:rPr>
          <w:rFonts w:ascii="FangSong" w:hAnsi="FangSong" w:eastAsia="FangSong" w:cs="FangSong"/>
          <w:sz w:val="24"/>
          <w:szCs w:val="24"/>
          <w:spacing w:val="-2"/>
        </w:rPr>
        <w:t>织排放监控浓度限值。</w:t>
      </w:r>
    </w:p>
    <w:p>
      <w:pPr>
        <w:ind w:left="511"/>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）爆破废气</w:t>
      </w:r>
    </w:p>
    <w:p>
      <w:pPr>
        <w:ind w:left="27" w:right="63" w:firstLine="480"/>
        <w:spacing w:before="176" w:line="360" w:lineRule="auto"/>
        <w:rPr>
          <w:rFonts w:ascii="FangSong" w:hAnsi="FangSong" w:eastAsia="FangSong" w:cs="FangSong"/>
          <w:sz w:val="24"/>
          <w:szCs w:val="24"/>
        </w:rPr>
      </w:pPr>
      <w:r>
        <w:rPr>
          <w:rFonts w:ascii="FangSong" w:hAnsi="FangSong" w:eastAsia="FangSong" w:cs="FangSong"/>
          <w:sz w:val="24"/>
          <w:szCs w:val="24"/>
          <w:spacing w:val="-2"/>
        </w:rPr>
        <w:t>本项目爆破过程产生的</w:t>
      </w:r>
      <w:r>
        <w:rPr>
          <w:rFonts w:ascii="Times New Roman" w:hAnsi="Times New Roman" w:eastAsia="Times New Roman" w:cs="Times New Roman"/>
          <w:sz w:val="24"/>
          <w:szCs w:val="24"/>
          <w:spacing w:val="-2"/>
        </w:rPr>
        <w:t>CO </w:t>
      </w:r>
      <w:r>
        <w:rPr>
          <w:rFonts w:ascii="FangSong" w:hAnsi="FangSong" w:eastAsia="FangSong" w:cs="FangSong"/>
          <w:sz w:val="24"/>
          <w:szCs w:val="24"/>
          <w:spacing w:val="-2"/>
        </w:rPr>
        <w:t>和</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NO x</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等属于间断性无组织排放，操作人员可通过</w:t>
      </w:r>
      <w:r>
        <w:rPr>
          <w:rFonts w:ascii="FangSong" w:hAnsi="FangSong" w:eastAsia="FangSong" w:cs="FangSong"/>
          <w:sz w:val="24"/>
          <w:szCs w:val="24"/>
          <w:spacing w:val="1"/>
        </w:rPr>
        <w:t>佩戴防毒面具或暂时撒离爆破现场的办法解决，爆破方式采用控制导爆管微差技术</w:t>
      </w:r>
      <w:r>
        <w:rPr>
          <w:rFonts w:ascii="FangSong" w:hAnsi="FangSong" w:eastAsia="FangSong" w:cs="FangSong"/>
          <w:sz w:val="24"/>
          <w:szCs w:val="24"/>
          <w:spacing w:val="1"/>
        </w:rPr>
        <w:t>进行爆破，降低用药量，减少扬尘量和爆破废气量，项目采矿区的大气扩散条件有</w:t>
      </w:r>
    </w:p>
    <w:p>
      <w:pPr>
        <w:spacing w:line="360" w:lineRule="auto"/>
        <w:sectPr>
          <w:footerReference w:type="default" r:id="rId100"/>
          <w:pgSz w:w="11911" w:h="16839"/>
          <w:pgMar w:top="400" w:right="1352"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22"/>
        <w:spacing w:before="78" w:line="222" w:lineRule="auto"/>
        <w:rPr>
          <w:rFonts w:ascii="FangSong" w:hAnsi="FangSong" w:eastAsia="FangSong" w:cs="FangSong"/>
          <w:sz w:val="24"/>
          <w:szCs w:val="24"/>
        </w:rPr>
      </w:pPr>
      <w:r>
        <w:rPr>
          <w:rFonts w:ascii="FangSong" w:hAnsi="FangSong" w:eastAsia="FangSong" w:cs="FangSong"/>
          <w:sz w:val="24"/>
          <w:szCs w:val="24"/>
          <w:spacing w:val="-1"/>
        </w:rPr>
        <w:t>助于爆破废气尽快扩散，对环境影响较小。</w:t>
      </w:r>
    </w:p>
    <w:p>
      <w:pPr>
        <w:ind w:left="608"/>
        <w:spacing w:before="180"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）汽车等燃油废气</w:t>
      </w:r>
    </w:p>
    <w:p>
      <w:pPr>
        <w:ind w:left="128" w:right="106" w:firstLine="477"/>
        <w:spacing w:before="180" w:line="359" w:lineRule="auto"/>
        <w:rPr>
          <w:rFonts w:ascii="FangSong" w:hAnsi="FangSong" w:eastAsia="FangSong" w:cs="FangSong"/>
          <w:sz w:val="24"/>
          <w:szCs w:val="24"/>
        </w:rPr>
      </w:pPr>
      <w:r>
        <w:rPr>
          <w:rFonts w:ascii="FangSong" w:hAnsi="FangSong" w:eastAsia="FangSong" w:cs="FangSong"/>
          <w:sz w:val="24"/>
          <w:szCs w:val="24"/>
        </w:rPr>
        <w:t>在项目运营期间，运输车辆的运输过程中会产生的汽</w:t>
      </w:r>
      <w:r>
        <w:rPr>
          <w:rFonts w:ascii="FangSong" w:hAnsi="FangSong" w:eastAsia="FangSong" w:cs="FangSong"/>
          <w:sz w:val="24"/>
          <w:szCs w:val="24"/>
          <w:spacing w:val="-1"/>
        </w:rPr>
        <w:t>车尾气，产生量较少。</w:t>
      </w:r>
      <w:r>
        <w:rPr>
          <w:rFonts w:ascii="FangSong" w:hAnsi="FangSong" w:eastAsia="FangSong" w:cs="FangSong"/>
          <w:sz w:val="24"/>
          <w:szCs w:val="24"/>
          <w:spacing w:val="-71"/>
        </w:rPr>
        <w:t xml:space="preserve"> </w:t>
      </w:r>
      <w:r>
        <w:rPr>
          <w:rFonts w:ascii="FangSong" w:hAnsi="FangSong" w:eastAsia="FangSong" w:cs="FangSong"/>
          <w:sz w:val="24"/>
          <w:szCs w:val="24"/>
          <w:spacing w:val="-1"/>
        </w:rPr>
        <w:t>由</w:t>
      </w:r>
      <w:r>
        <w:rPr>
          <w:rFonts w:ascii="FangSong" w:hAnsi="FangSong" w:eastAsia="FangSong" w:cs="FangSong"/>
          <w:sz w:val="24"/>
          <w:szCs w:val="24"/>
          <w:spacing w:val="-1"/>
        </w:rPr>
        <w:t>于项目周围地势空旷，利于扩散，所以项目运营期间汽车尾气对环境的影响较小。</w:t>
      </w:r>
    </w:p>
    <w:p>
      <w:pPr>
        <w:ind w:left="608"/>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）食堂油烟</w:t>
      </w:r>
    </w:p>
    <w:p>
      <w:pPr>
        <w:ind w:left="122" w:right="105" w:firstLine="481"/>
        <w:spacing w:before="180" w:line="357" w:lineRule="auto"/>
        <w:rPr>
          <w:rFonts w:ascii="FangSong" w:hAnsi="FangSong" w:eastAsia="FangSong" w:cs="FangSong"/>
          <w:sz w:val="24"/>
          <w:szCs w:val="24"/>
        </w:rPr>
      </w:pPr>
      <w:r>
        <w:rPr>
          <w:rFonts w:ascii="FangSong" w:hAnsi="FangSong" w:eastAsia="FangSong" w:cs="FangSong"/>
          <w:sz w:val="24"/>
          <w:szCs w:val="24"/>
          <w:spacing w:val="1"/>
        </w:rPr>
        <w:t>根据提供的资料，食堂主要是为职工提供饭食。根据类比经验数据，一般食堂</w:t>
      </w:r>
      <w:r>
        <w:rPr>
          <w:rFonts w:ascii="FangSong" w:hAnsi="FangSong" w:eastAsia="FangSong" w:cs="FangSong"/>
          <w:sz w:val="24"/>
          <w:szCs w:val="24"/>
          <w:spacing w:val="-1"/>
        </w:rPr>
        <w:t>食用油消耗系数以</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7kg/100</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
        </w:rPr>
        <w:t>人</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天计，由此计算本项目食</w:t>
      </w:r>
      <w:r>
        <w:rPr>
          <w:rFonts w:ascii="FangSong" w:hAnsi="FangSong" w:eastAsia="FangSong" w:cs="FangSong"/>
          <w:sz w:val="24"/>
          <w:szCs w:val="24"/>
          <w:spacing w:val="-2"/>
        </w:rPr>
        <w:t>用油耗用量为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0.54t/a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，烹饪</w:t>
      </w:r>
      <w:r>
        <w:rPr>
          <w:rFonts w:ascii="FangSong" w:hAnsi="FangSong" w:eastAsia="FangSong" w:cs="FangSong"/>
          <w:sz w:val="24"/>
          <w:szCs w:val="24"/>
          <w:spacing w:val="-3"/>
        </w:rPr>
        <w:t>过程中的挥发损失为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8%</w:t>
      </w:r>
      <w:r>
        <w:rPr>
          <w:rFonts w:ascii="FangSong" w:hAnsi="FangSong" w:eastAsia="FangSong" w:cs="FangSong"/>
          <w:sz w:val="24"/>
          <w:szCs w:val="24"/>
          <w:spacing w:val="-3"/>
        </w:rPr>
        <w:t>左右，即油烟产生量为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0.043 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。食堂一天运行</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小时，采</w:t>
      </w:r>
      <w:r>
        <w:rPr>
          <w:rFonts w:ascii="FangSong" w:hAnsi="FangSong" w:eastAsia="FangSong" w:cs="FangSong"/>
          <w:sz w:val="24"/>
          <w:szCs w:val="24"/>
          <w:spacing w:val="-1"/>
        </w:rPr>
        <w:t>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EA-700</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
        </w:rPr>
        <w:t>餐饮业除油烟机，风量为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2000m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/h</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，处理效率为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95%</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。油烟的初始浓度</w:t>
      </w:r>
      <w:r>
        <w:rPr>
          <w:rFonts w:ascii="FangSong" w:hAnsi="FangSong" w:eastAsia="FangSong" w:cs="FangSong"/>
          <w:sz w:val="24"/>
          <w:szCs w:val="24"/>
          <w:spacing w:val="-4"/>
        </w:rPr>
        <w:t>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4"/>
        </w:rPr>
        <w:t>28.6mg/m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15"/>
          <w:szCs w:val="15"/>
          <w:spacing w:val="15"/>
          <w:w w:val="101"/>
          <w:position w:val="8"/>
        </w:rPr>
        <w:t xml:space="preserve"> </w:t>
      </w:r>
      <w:r>
        <w:rPr>
          <w:rFonts w:ascii="FangSong" w:hAnsi="FangSong" w:eastAsia="FangSong" w:cs="FangSong"/>
          <w:sz w:val="24"/>
          <w:szCs w:val="24"/>
          <w:spacing w:val="-4"/>
        </w:rPr>
        <w:t>食堂设有基准灶头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个，经净化设施后排放浓度为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1.43mg/m</w:t>
      </w:r>
      <w:r>
        <w:rPr>
          <w:rFonts w:ascii="Times New Roman" w:hAnsi="Times New Roman" w:eastAsia="Times New Roman" w:cs="Times New Roman"/>
          <w:sz w:val="15"/>
          <w:szCs w:val="15"/>
          <w:spacing w:val="-4"/>
          <w:position w:val="8"/>
        </w:rPr>
        <w:t>3</w:t>
      </w:r>
      <w:r>
        <w:rPr>
          <w:rFonts w:ascii="FangSong" w:hAnsi="FangSong" w:eastAsia="FangSong" w:cs="FangSong"/>
          <w:sz w:val="24"/>
          <w:szCs w:val="24"/>
          <w:spacing w:val="-4"/>
        </w:rPr>
        <w:t>，处理后</w:t>
      </w:r>
      <w:r>
        <w:rPr>
          <w:rFonts w:ascii="FangSong" w:hAnsi="FangSong" w:eastAsia="FangSong" w:cs="FangSong"/>
          <w:sz w:val="24"/>
          <w:szCs w:val="24"/>
        </w:rPr>
        <w:t>的油烟排放量为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0.0022t/a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。根据《饮食业油烟排放标准》</w:t>
      </w:r>
      <w:r>
        <w:rPr>
          <w:rFonts w:ascii="Times New Roman" w:hAnsi="Times New Roman" w:eastAsia="Times New Roman" w:cs="Times New Roman"/>
          <w:sz w:val="24"/>
          <w:szCs w:val="24"/>
          <w:spacing w:val="-1"/>
        </w:rPr>
        <w:t>(GB18483-2001)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，属小型</w:t>
      </w:r>
      <w:r>
        <w:rPr>
          <w:rFonts w:ascii="FangSong" w:hAnsi="FangSong" w:eastAsia="FangSong" w:cs="FangSong"/>
          <w:sz w:val="24"/>
          <w:szCs w:val="24"/>
          <w:spacing w:val="-1"/>
        </w:rPr>
        <w:t>规模，其油烟最高允许排放浓度不得超过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2.0mg/m</w:t>
      </w:r>
      <w:r>
        <w:rPr>
          <w:rFonts w:ascii="Times New Roman" w:hAnsi="Times New Roman" w:eastAsia="Times New Roman" w:cs="Times New Roman"/>
          <w:sz w:val="15"/>
          <w:szCs w:val="15"/>
          <w:spacing w:val="-1"/>
          <w:position w:val="8"/>
        </w:rPr>
        <w:t>3 </w:t>
      </w:r>
      <w:r>
        <w:rPr>
          <w:rFonts w:ascii="FangSong" w:hAnsi="FangSong" w:eastAsia="FangSong" w:cs="FangSong"/>
          <w:sz w:val="24"/>
          <w:szCs w:val="24"/>
          <w:spacing w:val="-1"/>
        </w:rPr>
        <w:t>，油烟净化设施最低去除率不得</w:t>
      </w:r>
      <w:r>
        <w:rPr>
          <w:rFonts w:ascii="FangSong" w:hAnsi="FangSong" w:eastAsia="FangSong" w:cs="FangSong"/>
          <w:sz w:val="24"/>
          <w:szCs w:val="24"/>
          <w:spacing w:val="-1"/>
        </w:rPr>
        <w:t>低于</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。本项目能够满足《饮食业油烟排放标准》</w:t>
      </w:r>
      <w:r>
        <w:rPr>
          <w:rFonts w:ascii="Times New Roman" w:hAnsi="Times New Roman" w:eastAsia="Times New Roman" w:cs="Times New Roman"/>
          <w:sz w:val="24"/>
          <w:szCs w:val="24"/>
          <w:spacing w:val="-1"/>
        </w:rPr>
        <w:t>(GB1</w:t>
      </w:r>
      <w:r>
        <w:rPr>
          <w:rFonts w:ascii="Times New Roman" w:hAnsi="Times New Roman" w:eastAsia="Times New Roman" w:cs="Times New Roman"/>
          <w:sz w:val="24"/>
          <w:szCs w:val="24"/>
          <w:spacing w:val="-2"/>
        </w:rPr>
        <w:t>8483-2001)</w:t>
      </w:r>
      <w:r>
        <w:rPr>
          <w:rFonts w:ascii="FangSong" w:hAnsi="FangSong" w:eastAsia="FangSong" w:cs="FangSong"/>
          <w:sz w:val="24"/>
          <w:szCs w:val="24"/>
          <w:spacing w:val="-2"/>
        </w:rPr>
        <w:t>的相关要求。</w:t>
      </w:r>
    </w:p>
    <w:p>
      <w:pPr>
        <w:ind w:left="126" w:right="106" w:firstLine="480"/>
        <w:spacing w:before="19" w:line="359" w:lineRule="auto"/>
        <w:rPr>
          <w:rFonts w:ascii="FangSong" w:hAnsi="FangSong" w:eastAsia="FangSong" w:cs="FangSong"/>
          <w:sz w:val="24"/>
          <w:szCs w:val="24"/>
        </w:rPr>
      </w:pPr>
      <w:r>
        <w:rPr>
          <w:rFonts w:ascii="FangSong" w:hAnsi="FangSong" w:eastAsia="FangSong" w:cs="FangSong"/>
          <w:sz w:val="24"/>
          <w:szCs w:val="24"/>
          <w:spacing w:val="1"/>
        </w:rPr>
        <w:t>综上分析，本项目运营期对各生产环节采取措施后，废气产生量较小，对环境</w:t>
      </w:r>
      <w:r>
        <w:rPr>
          <w:rFonts w:ascii="FangSong" w:hAnsi="FangSong" w:eastAsia="FangSong" w:cs="FangSong"/>
          <w:sz w:val="24"/>
          <w:szCs w:val="24"/>
          <w:spacing w:val="-4"/>
        </w:rPr>
        <w:t>影响较小。</w:t>
      </w:r>
    </w:p>
    <w:p>
      <w:pPr>
        <w:ind w:left="111"/>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3.5.2.2  </w:t>
      </w:r>
      <w:r>
        <w:rPr>
          <w:rFonts w:ascii="FangSong" w:hAnsi="FangSong" w:eastAsia="FangSong" w:cs="FangSong"/>
          <w:sz w:val="24"/>
          <w:szCs w:val="24"/>
          <w:b/>
          <w:bCs/>
          <w:spacing w:val="-2"/>
        </w:rPr>
        <w:t>运营期水污染防治措施及分析</w:t>
      </w:r>
    </w:p>
    <w:p>
      <w:pPr>
        <w:ind w:left="112" w:right="42" w:firstLine="491"/>
        <w:spacing w:before="180" w:line="357" w:lineRule="auto"/>
        <w:jc w:val="both"/>
        <w:rPr>
          <w:rFonts w:ascii="FangSong" w:hAnsi="FangSong" w:eastAsia="FangSong" w:cs="FangSong"/>
          <w:sz w:val="24"/>
          <w:szCs w:val="24"/>
        </w:rPr>
      </w:pPr>
      <w:r>
        <w:rPr>
          <w:rFonts w:ascii="FangSong" w:hAnsi="FangSong" w:eastAsia="FangSong" w:cs="FangSong"/>
          <w:sz w:val="24"/>
          <w:szCs w:val="24"/>
          <w:spacing w:val="2"/>
        </w:rPr>
        <w:t>本项</w:t>
      </w:r>
      <w:r>
        <w:rPr>
          <w:rFonts w:ascii="FangSong" w:hAnsi="FangSong" w:eastAsia="FangSong" w:cs="FangSong"/>
          <w:sz w:val="24"/>
          <w:szCs w:val="24"/>
          <w:spacing w:val="-29"/>
        </w:rPr>
        <w:t xml:space="preserve"> </w:t>
      </w:r>
      <w:r>
        <w:rPr>
          <w:rFonts w:ascii="FangSong" w:hAnsi="FangSong" w:eastAsia="FangSong" w:cs="FangSong"/>
          <w:sz w:val="24"/>
          <w:szCs w:val="24"/>
          <w:spacing w:val="2"/>
        </w:rPr>
        <w:t>目生活用水按每人</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spacing w:val="2"/>
        </w:rPr>
        <w:t>100L/d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2"/>
        </w:rPr>
        <w:t>计，用水量为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，生活污水产生量约为</w:t>
      </w:r>
      <w:r>
        <w:rPr>
          <w:rFonts w:ascii="Times New Roman" w:hAnsi="Times New Roman" w:eastAsia="Times New Roman" w:cs="Times New Roman"/>
          <w:sz w:val="24"/>
          <w:szCs w:val="24"/>
          <w:spacing w:val="-8"/>
        </w:rPr>
        <w:t>2.48m3/d</w:t>
      </w:r>
      <w:r>
        <w:rPr>
          <w:rFonts w:ascii="FangSong" w:hAnsi="FangSong" w:eastAsia="FangSong" w:cs="FangSong"/>
          <w:sz w:val="24"/>
          <w:szCs w:val="24"/>
          <w:spacing w:val="-8"/>
        </w:rPr>
        <w:t>，按生活污水中</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8"/>
        </w:rPr>
        <w:t>COD </w:t>
      </w:r>
      <w:r>
        <w:rPr>
          <w:rFonts w:ascii="Times New Roman" w:hAnsi="Times New Roman" w:eastAsia="Times New Roman" w:cs="Times New Roman"/>
          <w:sz w:val="24"/>
          <w:szCs w:val="24"/>
          <w:spacing w:val="-9"/>
        </w:rPr>
        <w:t>300mg/L</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 40mg/L</w:t>
      </w:r>
      <w:r>
        <w:rPr>
          <w:rFonts w:ascii="FangSong" w:hAnsi="FangSong" w:eastAsia="FangSong" w:cs="FangSong"/>
          <w:sz w:val="24"/>
          <w:szCs w:val="24"/>
          <w:spacing w:val="-28"/>
        </w:rPr>
        <w:t>，</w:t>
      </w:r>
      <w:r>
        <w:rPr>
          <w:rFonts w:ascii="Times New Roman" w:hAnsi="Times New Roman" w:eastAsia="Times New Roman" w:cs="Times New Roman"/>
          <w:sz w:val="24"/>
          <w:szCs w:val="24"/>
          <w:spacing w:val="-28"/>
        </w:rPr>
        <w:t>BOD</w:t>
      </w:r>
      <w:r>
        <w:rPr>
          <w:rFonts w:ascii="Times New Roman" w:hAnsi="Times New Roman" w:eastAsia="Times New Roman" w:cs="Times New Roman"/>
          <w:sz w:val="15"/>
          <w:szCs w:val="15"/>
          <w:position w:val="-1"/>
        </w:rPr>
        <w:t>5 </w:t>
      </w:r>
      <w:r>
        <w:rPr>
          <w:rFonts w:ascii="Times New Roman" w:hAnsi="Times New Roman" w:eastAsia="Times New Roman" w:cs="Times New Roman"/>
          <w:sz w:val="24"/>
          <w:szCs w:val="24"/>
        </w:rPr>
        <w:t>200mg/L</w:t>
      </w:r>
      <w:r>
        <w:rPr>
          <w:rFonts w:ascii="FangSong" w:hAnsi="FangSong" w:eastAsia="FangSong" w:cs="FangSong"/>
          <w:sz w:val="24"/>
          <w:szCs w:val="24"/>
          <w:spacing w:val="-18"/>
        </w:rPr>
        <w:t>，</w:t>
      </w:r>
      <w:r>
        <w:rPr>
          <w:rFonts w:ascii="Times New Roman" w:hAnsi="Times New Roman" w:eastAsia="Times New Roman" w:cs="Times New Roman"/>
          <w:sz w:val="24"/>
          <w:szCs w:val="24"/>
          <w:spacing w:val="-18"/>
        </w:rPr>
        <w:t>SS</w:t>
      </w:r>
      <w:r>
        <w:rPr>
          <w:rFonts w:ascii="Times New Roman" w:hAnsi="Times New Roman" w:eastAsia="Times New Roman" w:cs="Times New Roman"/>
          <w:sz w:val="24"/>
          <w:szCs w:val="24"/>
          <w:spacing w:val="27"/>
        </w:rPr>
        <w:t xml:space="preserve"> </w:t>
      </w:r>
      <w:r>
        <w:rPr>
          <w:rFonts w:ascii="Times New Roman" w:hAnsi="Times New Roman" w:eastAsia="Times New Roman" w:cs="Times New Roman"/>
          <w:sz w:val="24"/>
          <w:szCs w:val="24"/>
          <w:spacing w:val="-18"/>
        </w:rPr>
        <w:t>100mg/L</w:t>
      </w:r>
      <w:r>
        <w:rPr>
          <w:rFonts w:ascii="FangSong" w:hAnsi="FangSong" w:eastAsia="FangSong" w:cs="FangSong"/>
          <w:sz w:val="24"/>
          <w:szCs w:val="24"/>
          <w:spacing w:val="-18"/>
        </w:rPr>
        <w:t>，</w:t>
      </w:r>
      <w:r>
        <w:rPr>
          <w:rFonts w:ascii="FangSong" w:hAnsi="FangSong" w:eastAsia="FangSong" w:cs="FangSong"/>
          <w:sz w:val="24"/>
          <w:szCs w:val="24"/>
          <w:spacing w:val="2"/>
        </w:rPr>
        <w:t>经计算，</w:t>
      </w:r>
      <w:r>
        <w:rPr>
          <w:rFonts w:ascii="Times New Roman" w:hAnsi="Times New Roman" w:eastAsia="Times New Roman" w:cs="Times New Roman"/>
          <w:sz w:val="24"/>
          <w:szCs w:val="24"/>
        </w:rPr>
        <w:t>COD</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0.744</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-N</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1"/>
        </w:rPr>
        <w:t>0.0992</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BOD</w:t>
      </w:r>
      <w:r>
        <w:rPr>
          <w:rFonts w:ascii="Times New Roman" w:hAnsi="Times New Roman" w:eastAsia="Times New Roman" w:cs="Times New Roman"/>
          <w:sz w:val="15"/>
          <w:szCs w:val="15"/>
          <w:spacing w:val="1"/>
          <w:position w:val="-1"/>
        </w:rPr>
        <w:t>5</w:t>
      </w:r>
      <w:r>
        <w:rPr>
          <w:rFonts w:ascii="Times New Roman" w:hAnsi="Times New Roman" w:eastAsia="Times New Roman" w:cs="Times New Roman"/>
          <w:sz w:val="15"/>
          <w:szCs w:val="15"/>
          <w:spacing w:val="27"/>
          <w:w w:val="101"/>
          <w:position w:val="-1"/>
        </w:rPr>
        <w:t xml:space="preserve"> </w:t>
      </w:r>
      <w:r>
        <w:rPr>
          <w:rFonts w:ascii="FangSong" w:hAnsi="FangSong" w:eastAsia="FangSong" w:cs="FangSong"/>
          <w:sz w:val="24"/>
          <w:szCs w:val="24"/>
          <w:spacing w:val="1"/>
        </w:rPr>
        <w:t>排放量为</w:t>
      </w:r>
      <w:r>
        <w:rPr>
          <w:rFonts w:ascii="Times New Roman" w:hAnsi="Times New Roman" w:eastAsia="Times New Roman" w:cs="Times New Roman"/>
          <w:sz w:val="24"/>
          <w:szCs w:val="24"/>
          <w:spacing w:val="-2"/>
        </w:rPr>
        <w:t>0.496kg/d</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 </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0.24</w:t>
      </w:r>
      <w:r>
        <w:rPr>
          <w:rFonts w:ascii="Times New Roman" w:hAnsi="Times New Roman" w:eastAsia="Times New Roman" w:cs="Times New Roman"/>
          <w:sz w:val="24"/>
          <w:szCs w:val="24"/>
          <w:spacing w:val="-3"/>
        </w:rPr>
        <w:t>8kg/d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。。本项目设计采用地埋式一体化污水处理设备，</w:t>
      </w:r>
      <w:r>
        <w:rPr>
          <w:rFonts w:ascii="FangSong" w:hAnsi="FangSong" w:eastAsia="FangSong" w:cs="FangSong"/>
          <w:sz w:val="24"/>
          <w:szCs w:val="24"/>
          <w:spacing w:val="-2"/>
        </w:rPr>
        <w:t>设计处理能力为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4m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2"/>
        </w:rPr>
        <w:t>，该设备的处理效率见表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3.5-1</w:t>
      </w:r>
      <w:r>
        <w:rPr>
          <w:rFonts w:ascii="FangSong" w:hAnsi="FangSong" w:eastAsia="FangSong" w:cs="FangSong"/>
          <w:sz w:val="24"/>
          <w:szCs w:val="24"/>
          <w:spacing w:val="-2"/>
        </w:rPr>
        <w:t>。</w:t>
      </w:r>
    </w:p>
    <w:p>
      <w:pPr>
        <w:ind w:left="2566"/>
        <w:spacing w:before="13"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3.5-1  </w:t>
      </w:r>
      <w:r>
        <w:rPr>
          <w:rFonts w:ascii="FangSong" w:hAnsi="FangSong" w:eastAsia="FangSong" w:cs="FangSong"/>
          <w:sz w:val="24"/>
          <w:szCs w:val="24"/>
          <w:b/>
          <w:bCs/>
          <w:spacing w:val="-3"/>
        </w:rPr>
        <w:t>地埋式一体化污水处理设备</w:t>
      </w:r>
    </w:p>
    <w:p>
      <w:pPr>
        <w:spacing w:line="143" w:lineRule="exact"/>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5"/>
        <w:gridCol w:w="1803"/>
        <w:gridCol w:w="1852"/>
        <w:gridCol w:w="1804"/>
        <w:gridCol w:w="1806"/>
      </w:tblGrid>
      <w:tr>
        <w:trPr>
          <w:trHeight w:val="319" w:hRule="atLeast"/>
        </w:trPr>
        <w:tc>
          <w:tcPr>
            <w:tcW w:w="1645" w:type="dxa"/>
            <w:vAlign w:val="top"/>
            <w:tcBorders>
              <w:top w:val="single" w:color="000000" w:sz="10" w:space="0"/>
              <w:left w:val="nil"/>
            </w:tcBorders>
          </w:tcPr>
          <w:p>
            <w:pPr>
              <w:pStyle w:val="TableText"/>
              <w:ind w:left="523"/>
              <w:spacing w:before="59" w:line="229" w:lineRule="auto"/>
              <w:rPr/>
            </w:pPr>
            <w:r>
              <w:rPr>
                <w:spacing w:val="3"/>
              </w:rPr>
              <w:t>污染物</w:t>
            </w:r>
          </w:p>
        </w:tc>
        <w:tc>
          <w:tcPr>
            <w:tcW w:w="7265" w:type="dxa"/>
            <w:vAlign w:val="top"/>
            <w:gridSpan w:val="4"/>
            <w:tcBorders>
              <w:top w:val="single" w:color="000000" w:sz="10" w:space="0"/>
              <w:right w:val="nil"/>
            </w:tcBorders>
          </w:tcPr>
          <w:p>
            <w:pPr>
              <w:pStyle w:val="TableText"/>
              <w:ind w:left="2930"/>
              <w:spacing w:before="59" w:line="229" w:lineRule="auto"/>
              <w:rPr>
                <w:rFonts w:ascii="Times New Roman" w:hAnsi="Times New Roman" w:eastAsia="Times New Roman" w:cs="Times New Roman"/>
              </w:rPr>
            </w:pPr>
            <w:r>
              <w:rPr>
                <w:spacing w:val="7"/>
              </w:rPr>
              <w:t>污染物去除率</w:t>
            </w:r>
            <w:r>
              <w:rPr>
                <w:rFonts w:ascii="Times New Roman" w:hAnsi="Times New Roman" w:eastAsia="Times New Roman" w:cs="Times New Roman"/>
                <w:spacing w:val="7"/>
              </w:rPr>
              <w:t>%</w:t>
            </w:r>
          </w:p>
        </w:tc>
      </w:tr>
      <w:tr>
        <w:trPr>
          <w:trHeight w:val="306" w:hRule="atLeast"/>
        </w:trPr>
        <w:tc>
          <w:tcPr>
            <w:tcW w:w="1645" w:type="dxa"/>
            <w:vAlign w:val="top"/>
            <w:vMerge w:val="restart"/>
            <w:tcBorders>
              <w:bottom w:val="nil"/>
              <w:left w:val="nil"/>
            </w:tcBorders>
          </w:tcPr>
          <w:p>
            <w:pPr>
              <w:pStyle w:val="TableText"/>
              <w:ind w:left="428"/>
              <w:spacing w:before="185" w:line="232" w:lineRule="auto"/>
              <w:rPr/>
            </w:pPr>
            <w:r>
              <w:rPr>
                <w:spacing w:val="2"/>
              </w:rPr>
              <w:t>生活污水</w:t>
            </w:r>
          </w:p>
        </w:tc>
        <w:tc>
          <w:tcPr>
            <w:tcW w:w="1803" w:type="dxa"/>
            <w:vAlign w:val="top"/>
          </w:tcPr>
          <w:p>
            <w:pPr>
              <w:ind w:left="68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1852" w:type="dxa"/>
            <w:vAlign w:val="top"/>
          </w:tcPr>
          <w:p>
            <w:pPr>
              <w:ind w:left="671"/>
              <w:spacing w:before="9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BOD</w:t>
            </w:r>
            <w:r>
              <w:rPr>
                <w:rFonts w:ascii="Times New Roman" w:hAnsi="Times New Roman" w:eastAsia="Times New Roman" w:cs="Times New Roman"/>
                <w:sz w:val="13"/>
                <w:szCs w:val="13"/>
                <w:spacing w:val="5"/>
                <w:position w:val="-1"/>
              </w:rPr>
              <w:t>5</w:t>
            </w:r>
          </w:p>
        </w:tc>
        <w:tc>
          <w:tcPr>
            <w:tcW w:w="1804" w:type="dxa"/>
            <w:vAlign w:val="top"/>
          </w:tcPr>
          <w:p>
            <w:pPr>
              <w:ind w:left="796"/>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1806" w:type="dxa"/>
            <w:vAlign w:val="top"/>
            <w:tcBorders>
              <w:right w:val="nil"/>
            </w:tcBorders>
          </w:tcPr>
          <w:p>
            <w:pPr>
              <w:ind w:left="601"/>
              <w:spacing w:before="10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r>
      <w:tr>
        <w:trPr>
          <w:trHeight w:val="264" w:hRule="atLeast"/>
        </w:trPr>
        <w:tc>
          <w:tcPr>
            <w:tcW w:w="1645" w:type="dxa"/>
            <w:vAlign w:val="top"/>
            <w:vMerge w:val="continue"/>
            <w:tcBorders>
              <w:bottom w:val="single" w:color="000000" w:sz="10" w:space="0"/>
              <w:left w:val="nil"/>
              <w:top w:val="nil"/>
            </w:tcBorders>
          </w:tcPr>
          <w:p>
            <w:pPr>
              <w:rPr>
                <w:rFonts w:ascii="Arial"/>
                <w:sz w:val="21"/>
              </w:rPr>
            </w:pPr>
            <w:r/>
          </w:p>
        </w:tc>
        <w:tc>
          <w:tcPr>
            <w:tcW w:w="1803" w:type="dxa"/>
            <w:vAlign w:val="top"/>
            <w:tcBorders>
              <w:bottom w:val="single" w:color="000000" w:sz="10" w:space="0"/>
            </w:tcBorders>
          </w:tcPr>
          <w:p>
            <w:pPr>
              <w:ind w:left="661"/>
              <w:spacing w:before="7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70-80</w:t>
            </w:r>
          </w:p>
        </w:tc>
        <w:tc>
          <w:tcPr>
            <w:tcW w:w="1852" w:type="dxa"/>
            <w:vAlign w:val="top"/>
            <w:tcBorders>
              <w:bottom w:val="single" w:color="000000" w:sz="10" w:space="0"/>
            </w:tcBorders>
          </w:tcPr>
          <w:p>
            <w:pPr>
              <w:ind w:left="687"/>
              <w:spacing w:before="7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90-95</w:t>
            </w:r>
          </w:p>
        </w:tc>
        <w:tc>
          <w:tcPr>
            <w:tcW w:w="1804" w:type="dxa"/>
            <w:vAlign w:val="top"/>
            <w:tcBorders>
              <w:bottom w:val="single" w:color="000000" w:sz="10" w:space="0"/>
            </w:tcBorders>
          </w:tcPr>
          <w:p>
            <w:pPr>
              <w:ind w:left="669"/>
              <w:spacing w:before="7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80-95</w:t>
            </w:r>
          </w:p>
        </w:tc>
        <w:tc>
          <w:tcPr>
            <w:tcW w:w="1806" w:type="dxa"/>
            <w:vAlign w:val="top"/>
            <w:tcBorders>
              <w:bottom w:val="single" w:color="000000" w:sz="10" w:space="0"/>
              <w:right w:val="nil"/>
            </w:tcBorders>
          </w:tcPr>
          <w:p>
            <w:pPr>
              <w:ind w:left="666"/>
              <w:spacing w:before="7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60-70</w:t>
            </w:r>
          </w:p>
        </w:tc>
      </w:tr>
    </w:tbl>
    <w:p>
      <w:pPr>
        <w:pStyle w:val="BodyText"/>
        <w:spacing w:line="370" w:lineRule="auto"/>
        <w:rPr/>
      </w:pPr>
      <w:r/>
    </w:p>
    <w:p>
      <w:pPr>
        <w:ind w:left="112" w:right="106" w:firstLine="491"/>
        <w:spacing w:before="79" w:line="357" w:lineRule="auto"/>
        <w:rPr>
          <w:rFonts w:ascii="FangSong" w:hAnsi="FangSong" w:eastAsia="FangSong" w:cs="FangSong"/>
          <w:sz w:val="24"/>
          <w:szCs w:val="24"/>
        </w:rPr>
      </w:pPr>
      <w:r>
        <w:rPr>
          <w:rFonts w:ascii="FangSong" w:hAnsi="FangSong" w:eastAsia="FangSong" w:cs="FangSong"/>
          <w:sz w:val="24"/>
          <w:szCs w:val="24"/>
          <w:spacing w:val="1"/>
        </w:rPr>
        <w:t>本项目处理效率选最低限，经过地埋式一体化污水处理设备处理后，项目主要</w:t>
      </w:r>
      <w:r>
        <w:rPr>
          <w:rFonts w:ascii="FangSong" w:hAnsi="FangSong" w:eastAsia="FangSong" w:cs="FangSong"/>
          <w:sz w:val="24"/>
          <w:szCs w:val="24"/>
          <w:spacing w:val="-2"/>
        </w:rPr>
        <w:t>污染物排放浓度分别为：</w:t>
      </w:r>
      <w:r>
        <w:rPr>
          <w:rFonts w:ascii="Times New Roman" w:hAnsi="Times New Roman" w:eastAsia="Times New Roman" w:cs="Times New Roman"/>
          <w:sz w:val="24"/>
          <w:szCs w:val="24"/>
          <w:spacing w:val="-2"/>
        </w:rPr>
        <w:t>COD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90mg/L</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NH</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-N</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20mg/L</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BOD</w:t>
      </w:r>
      <w:r>
        <w:rPr>
          <w:rFonts w:ascii="Times New Roman" w:hAnsi="Times New Roman" w:eastAsia="Times New Roman" w:cs="Times New Roman"/>
          <w:sz w:val="15"/>
          <w:szCs w:val="15"/>
          <w:spacing w:val="-2"/>
          <w:position w:val="-1"/>
        </w:rPr>
        <w:t>5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20mg/L</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20mg/L</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
        </w:rPr>
        <w:t>，污水处理后用于道路降尘，不外排，污水处理后污染物处理后的排放浓满</w:t>
      </w:r>
      <w:r>
        <w:rPr>
          <w:rFonts w:ascii="FangSong" w:hAnsi="FangSong" w:eastAsia="FangSong" w:cs="FangSong"/>
          <w:sz w:val="24"/>
          <w:szCs w:val="24"/>
        </w:rPr>
        <w:t>足《城市污水再生利用</w:t>
      </w:r>
      <w:r>
        <w:rPr>
          <w:rFonts w:ascii="FangSong" w:hAnsi="FangSong" w:eastAsia="FangSong" w:cs="FangSong"/>
          <w:sz w:val="24"/>
          <w:szCs w:val="24"/>
        </w:rPr>
        <w:t xml:space="preserve"> </w:t>
      </w:r>
      <w:r>
        <w:rPr>
          <w:rFonts w:ascii="FangSong" w:hAnsi="FangSong" w:eastAsia="FangSong" w:cs="FangSong"/>
          <w:sz w:val="24"/>
          <w:szCs w:val="24"/>
        </w:rPr>
        <w:t>城市杂用水水质》（</w:t>
      </w:r>
      <w:r>
        <w:rPr>
          <w:rFonts w:ascii="Times New Roman" w:hAnsi="Times New Roman" w:eastAsia="Times New Roman" w:cs="Times New Roman"/>
          <w:sz w:val="24"/>
          <w:szCs w:val="24"/>
        </w:rPr>
        <w:t>GB18920-2</w:t>
      </w:r>
      <w:r>
        <w:rPr>
          <w:rFonts w:ascii="Times New Roman" w:hAnsi="Times New Roman" w:eastAsia="Times New Roman" w:cs="Times New Roman"/>
          <w:sz w:val="24"/>
          <w:szCs w:val="24"/>
          <w:spacing w:val="-1"/>
        </w:rPr>
        <w:t>002</w:t>
      </w:r>
      <w:r>
        <w:rPr>
          <w:rFonts w:ascii="FangSong" w:hAnsi="FangSong" w:eastAsia="FangSong" w:cs="FangSong"/>
          <w:sz w:val="24"/>
          <w:szCs w:val="24"/>
          <w:spacing w:val="-1"/>
        </w:rPr>
        <w:t>）标准。</w:t>
      </w:r>
    </w:p>
    <w:p>
      <w:pPr>
        <w:ind w:left="608"/>
        <w:spacing w:before="12" w:line="222" w:lineRule="auto"/>
        <w:rPr>
          <w:rFonts w:ascii="FangSong" w:hAnsi="FangSong" w:eastAsia="FangSong" w:cs="FangSong"/>
          <w:sz w:val="24"/>
          <w:szCs w:val="24"/>
        </w:rPr>
      </w:pPr>
      <w:r>
        <w:rPr>
          <w:rFonts w:ascii="FangSong" w:hAnsi="FangSong" w:eastAsia="FangSong" w:cs="FangSong"/>
          <w:sz w:val="24"/>
          <w:szCs w:val="24"/>
          <w:spacing w:val="1"/>
        </w:rPr>
        <w:t>污水处理后用于道路降尘，不外排，且项目附近无地表径，故对地表水环境产</w:t>
      </w:r>
    </w:p>
    <w:p>
      <w:pPr>
        <w:spacing w:line="222" w:lineRule="auto"/>
        <w:sectPr>
          <w:footerReference w:type="default" r:id="rId101"/>
          <w:pgSz w:w="11911" w:h="16839"/>
          <w:pgMar w:top="400" w:right="1310" w:bottom="1146" w:left="1690"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0"/>
        <w:spacing w:before="78" w:line="222" w:lineRule="auto"/>
        <w:rPr>
          <w:rFonts w:ascii="FangSong" w:hAnsi="FangSong" w:eastAsia="FangSong" w:cs="FangSong"/>
          <w:sz w:val="24"/>
          <w:szCs w:val="24"/>
        </w:rPr>
      </w:pPr>
      <w:r>
        <w:rPr>
          <w:rFonts w:ascii="FangSong" w:hAnsi="FangSong" w:eastAsia="FangSong" w:cs="FangSong"/>
          <w:sz w:val="24"/>
          <w:szCs w:val="24"/>
          <w:spacing w:val="-5"/>
        </w:rPr>
        <w:t>生影响较小。</w:t>
      </w:r>
    </w:p>
    <w:p>
      <w:pPr>
        <w:ind w:left="14"/>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3.5.2.3  </w:t>
      </w:r>
      <w:r>
        <w:rPr>
          <w:rFonts w:ascii="FangSong" w:hAnsi="FangSong" w:eastAsia="FangSong" w:cs="FangSong"/>
          <w:sz w:val="24"/>
          <w:szCs w:val="24"/>
          <w:b/>
          <w:bCs/>
          <w:spacing w:val="-2"/>
        </w:rPr>
        <w:t>运营期噪声污染防治措施及分析</w:t>
      </w:r>
    </w:p>
    <w:p>
      <w:pPr>
        <w:ind w:left="511"/>
        <w:spacing w:before="176"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）噪声源及影响分析</w:t>
      </w:r>
    </w:p>
    <w:p>
      <w:pPr>
        <w:ind w:left="26" w:firstLine="481"/>
        <w:spacing w:before="179" w:line="358" w:lineRule="auto"/>
        <w:rPr>
          <w:rFonts w:ascii="FangSong" w:hAnsi="FangSong" w:eastAsia="FangSong" w:cs="FangSong"/>
          <w:sz w:val="24"/>
          <w:szCs w:val="24"/>
        </w:rPr>
      </w:pPr>
      <w:r>
        <w:rPr>
          <w:rFonts w:ascii="FangSong" w:hAnsi="FangSong" w:eastAsia="FangSong" w:cs="FangSong"/>
          <w:sz w:val="24"/>
          <w:szCs w:val="24"/>
          <w:spacing w:val="1"/>
        </w:rPr>
        <w:t>本项目噪声主要为凿岩、爆破、运输等产生的机械噪声，根据对同类加工企业</w:t>
      </w:r>
      <w:r>
        <w:rPr>
          <w:rFonts w:ascii="FangSong" w:hAnsi="FangSong" w:eastAsia="FangSong" w:cs="FangSong"/>
          <w:sz w:val="24"/>
          <w:szCs w:val="24"/>
          <w:spacing w:val="-1"/>
        </w:rPr>
        <w:t>现有噪声源的监测，其噪声范围为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75-95dB(A)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。本项目通过减震、隔声、厂房屏蔽</w:t>
      </w:r>
      <w:r>
        <w:rPr>
          <w:rFonts w:ascii="FangSong" w:hAnsi="FangSong" w:eastAsia="FangSong" w:cs="FangSong"/>
          <w:sz w:val="24"/>
          <w:szCs w:val="24"/>
        </w:rPr>
        <w:t>等措施，可消减噪声</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20-40dB</w:t>
      </w:r>
      <w:r>
        <w:rPr>
          <w:rFonts w:ascii="FangSong" w:hAnsi="FangSong" w:eastAsia="FangSong" w:cs="FangSong"/>
          <w:sz w:val="24"/>
          <w:szCs w:val="24"/>
        </w:rPr>
        <w:t>（</w:t>
      </w:r>
      <w:r>
        <w:rPr>
          <w:rFonts w:ascii="Times New Roman" w:hAnsi="Times New Roman" w:eastAsia="Times New Roman" w:cs="Times New Roman"/>
          <w:sz w:val="24"/>
          <w:szCs w:val="24"/>
        </w:rPr>
        <w:t>A</w:t>
      </w:r>
      <w:r>
        <w:rPr>
          <w:rFonts w:ascii="FangSong" w:hAnsi="FangSong" w:eastAsia="FangSong" w:cs="FangSong"/>
          <w:sz w:val="24"/>
          <w:szCs w:val="24"/>
          <w:spacing w:val="22"/>
        </w:rPr>
        <w:t>），</w:t>
      </w:r>
      <w:r>
        <w:rPr>
          <w:rFonts w:ascii="FangSong" w:hAnsi="FangSong" w:eastAsia="FangSong" w:cs="FangSong"/>
          <w:sz w:val="24"/>
          <w:szCs w:val="24"/>
        </w:rPr>
        <w:t>又因为项目周围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rPr>
        <w:t>3000m</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rPr>
        <w:t>范围内无居民，所以</w:t>
      </w:r>
      <w:r>
        <w:rPr>
          <w:rFonts w:ascii="FangSong" w:hAnsi="FangSong" w:eastAsia="FangSong" w:cs="FangSong"/>
          <w:sz w:val="24"/>
          <w:szCs w:val="24"/>
          <w:spacing w:val="-2"/>
        </w:rPr>
        <w:t>本项目对声环境影响甚微。</w:t>
      </w:r>
    </w:p>
    <w:p>
      <w:pPr>
        <w:ind w:left="511"/>
        <w:spacing w:before="5"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）振动、冲击影响分析</w:t>
      </w:r>
    </w:p>
    <w:p>
      <w:pPr>
        <w:ind w:left="26" w:firstLine="480"/>
        <w:spacing w:before="180" w:line="359" w:lineRule="auto"/>
        <w:rPr>
          <w:rFonts w:ascii="FangSong" w:hAnsi="FangSong" w:eastAsia="FangSong" w:cs="FangSong"/>
          <w:sz w:val="24"/>
          <w:szCs w:val="24"/>
        </w:rPr>
      </w:pPr>
      <w:r>
        <w:rPr>
          <w:rFonts w:ascii="FangSong" w:hAnsi="FangSong" w:eastAsia="FangSong" w:cs="FangSong"/>
          <w:sz w:val="24"/>
          <w:szCs w:val="24"/>
          <w:spacing w:val="1"/>
        </w:rPr>
        <w:t>项目开采爆破过程中会产生振动，振动所产生的影响主要表现为对振动源附近</w:t>
      </w:r>
      <w:r>
        <w:rPr>
          <w:rFonts w:ascii="FangSong" w:hAnsi="FangSong" w:eastAsia="FangSong" w:cs="FangSong"/>
          <w:sz w:val="24"/>
          <w:szCs w:val="24"/>
          <w:spacing w:val="1"/>
        </w:rPr>
        <w:t>临近建筑物的影响，其严重程度与噪声相当，可分别采用间接隔振和地基减振处理</w:t>
      </w:r>
      <w:r>
        <w:rPr>
          <w:rFonts w:ascii="FangSong" w:hAnsi="FangSong" w:eastAsia="FangSong" w:cs="FangSong"/>
          <w:sz w:val="24"/>
          <w:szCs w:val="24"/>
        </w:rPr>
        <w:t>措施加以削减。</w:t>
      </w:r>
      <w:r>
        <w:rPr>
          <w:rFonts w:ascii="FangSong" w:hAnsi="FangSong" w:eastAsia="FangSong" w:cs="FangSong"/>
          <w:sz w:val="24"/>
          <w:szCs w:val="24"/>
          <w:spacing w:val="-71"/>
        </w:rPr>
        <w:t xml:space="preserve"> </w:t>
      </w:r>
      <w:r>
        <w:rPr>
          <w:rFonts w:ascii="FangSong" w:hAnsi="FangSong" w:eastAsia="FangSong" w:cs="FangSong"/>
          <w:sz w:val="24"/>
          <w:szCs w:val="24"/>
        </w:rPr>
        <w:t>由于爆破时间极短，一般仅为几秒到十几秒，</w:t>
      </w:r>
      <w:r>
        <w:rPr>
          <w:rFonts w:ascii="FangSong" w:hAnsi="FangSong" w:eastAsia="FangSong" w:cs="FangSong"/>
          <w:sz w:val="24"/>
          <w:szCs w:val="24"/>
          <w:spacing w:val="-1"/>
        </w:rPr>
        <w:t>因此从总体上看其影</w:t>
      </w:r>
      <w:r>
        <w:rPr>
          <w:rFonts w:ascii="FangSong" w:hAnsi="FangSong" w:eastAsia="FangSong" w:cs="FangSong"/>
          <w:sz w:val="24"/>
          <w:szCs w:val="24"/>
          <w:spacing w:val="-4"/>
        </w:rPr>
        <w:t>响不大。</w:t>
      </w:r>
    </w:p>
    <w:p>
      <w:pPr>
        <w:ind w:left="26" w:firstLine="487"/>
        <w:spacing w:before="1" w:line="359" w:lineRule="auto"/>
        <w:jc w:val="both"/>
        <w:rPr>
          <w:rFonts w:ascii="FangSong" w:hAnsi="FangSong" w:eastAsia="FangSong" w:cs="FangSong"/>
          <w:sz w:val="24"/>
          <w:szCs w:val="24"/>
        </w:rPr>
      </w:pPr>
      <w:r>
        <w:rPr>
          <w:rFonts w:ascii="FangSong" w:hAnsi="FangSong" w:eastAsia="FangSong" w:cs="FangSong"/>
          <w:sz w:val="24"/>
          <w:szCs w:val="24"/>
          <w:spacing w:val="1"/>
        </w:rPr>
        <w:t>另外矿区内目前无任何人造建筑存在，也无国家和地方珍贵文物、古建筑和高</w:t>
      </w:r>
      <w:r>
        <w:rPr>
          <w:rFonts w:ascii="FangSong" w:hAnsi="FangSong" w:eastAsia="FangSong" w:cs="FangSong"/>
          <w:sz w:val="24"/>
          <w:szCs w:val="24"/>
          <w:spacing w:val="-2"/>
        </w:rPr>
        <w:t>楼灯保护单位存在，项目周围</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3000m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2"/>
        </w:rPr>
        <w:t>范围内无居民，因此，该项目实际振动影响相</w:t>
      </w:r>
      <w:r>
        <w:rPr>
          <w:rFonts w:ascii="FangSong" w:hAnsi="FangSong" w:eastAsia="FangSong" w:cs="FangSong"/>
          <w:sz w:val="24"/>
          <w:szCs w:val="24"/>
          <w:spacing w:val="1"/>
        </w:rPr>
        <w:t>对小，采取采用间接隔振和地基减振处理措施加以削减后，振动影响在环境可接受</w:t>
      </w:r>
      <w:r>
        <w:rPr>
          <w:rFonts w:ascii="FangSong" w:hAnsi="FangSong" w:eastAsia="FangSong" w:cs="FangSong"/>
          <w:sz w:val="24"/>
          <w:szCs w:val="24"/>
          <w:spacing w:val="-4"/>
        </w:rPr>
        <w:t>范围内。</w:t>
      </w:r>
    </w:p>
    <w:p>
      <w:pPr>
        <w:ind w:left="14"/>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3.5.2.4  </w:t>
      </w:r>
      <w:r>
        <w:rPr>
          <w:rFonts w:ascii="FangSong" w:hAnsi="FangSong" w:eastAsia="FangSong" w:cs="FangSong"/>
          <w:sz w:val="24"/>
          <w:szCs w:val="24"/>
          <w:b/>
          <w:bCs/>
          <w:spacing w:val="-2"/>
        </w:rPr>
        <w:t>运营期固体废物污染防治措施及分析</w:t>
      </w:r>
    </w:p>
    <w:p>
      <w:pPr>
        <w:ind w:left="507"/>
        <w:spacing w:before="178" w:line="221" w:lineRule="auto"/>
        <w:rPr>
          <w:rFonts w:ascii="FangSong" w:hAnsi="FangSong" w:eastAsia="FangSong" w:cs="FangSong"/>
          <w:sz w:val="24"/>
          <w:szCs w:val="24"/>
        </w:rPr>
      </w:pPr>
      <w:r>
        <w:rPr>
          <w:rFonts w:ascii="FangSong" w:hAnsi="FangSong" w:eastAsia="FangSong" w:cs="FangSong"/>
          <w:sz w:val="24"/>
          <w:szCs w:val="24"/>
          <w:spacing w:val="-1"/>
        </w:rPr>
        <w:t>本项目产生的固体废弃物主要是废石和生活垃圾。</w:t>
      </w:r>
    </w:p>
    <w:p>
      <w:pPr>
        <w:ind w:left="500"/>
        <w:spacing w:before="182" w:line="224" w:lineRule="auto"/>
        <w:rPr>
          <w:rFonts w:ascii="FangSong" w:hAnsi="FangSong" w:eastAsia="FangSong" w:cs="FangSong"/>
          <w:sz w:val="24"/>
          <w:szCs w:val="24"/>
        </w:rPr>
      </w:pPr>
      <w:r>
        <w:rPr>
          <w:rFonts w:ascii="SimSun" w:hAnsi="SimSun" w:eastAsia="SimSun" w:cs="SimSun"/>
          <w:sz w:val="24"/>
          <w:szCs w:val="24"/>
          <w:spacing w:val="36"/>
        </w:rPr>
        <w:t>w</w:t>
      </w:r>
      <w:r>
        <w:rPr>
          <w:rFonts w:ascii="FangSong" w:hAnsi="FangSong" w:eastAsia="FangSong" w:cs="FangSong"/>
          <w:sz w:val="24"/>
          <w:szCs w:val="24"/>
          <w:spacing w:val="36"/>
        </w:rPr>
        <w:t>废石</w:t>
      </w:r>
    </w:p>
    <w:p>
      <w:pPr>
        <w:ind w:left="26" w:firstLine="481"/>
        <w:spacing w:before="175" w:line="359" w:lineRule="auto"/>
        <w:rPr>
          <w:rFonts w:ascii="FangSong" w:hAnsi="FangSong" w:eastAsia="FangSong" w:cs="FangSong"/>
          <w:sz w:val="24"/>
          <w:szCs w:val="24"/>
        </w:rPr>
      </w:pPr>
      <w:r>
        <w:rPr>
          <w:rFonts w:ascii="FangSong" w:hAnsi="FangSong" w:eastAsia="FangSong" w:cs="FangSong"/>
          <w:sz w:val="24"/>
          <w:szCs w:val="24"/>
          <w:spacing w:val="1"/>
        </w:rPr>
        <w:t>运营期废石运往废石场排弃，萤石矿建设初期采出的废石可用于修建矿区道路</w:t>
      </w:r>
      <w:r>
        <w:rPr>
          <w:rFonts w:ascii="FangSong" w:hAnsi="FangSong" w:eastAsia="FangSong" w:cs="FangSong"/>
          <w:sz w:val="24"/>
          <w:szCs w:val="24"/>
          <w:spacing w:val="-2"/>
        </w:rPr>
        <w:t>和平垫工业场地，剩余废石由汽车运往废石场，废石堆放量为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1000t/a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2"/>
        </w:rPr>
        <w:t>。本项目废石</w:t>
      </w:r>
      <w:r>
        <w:rPr>
          <w:rFonts w:ascii="FangSong" w:hAnsi="FangSong" w:eastAsia="FangSong" w:cs="FangSong"/>
          <w:sz w:val="24"/>
          <w:szCs w:val="24"/>
          <w:spacing w:val="-3"/>
        </w:rPr>
        <w:t>场占地面积</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3"/>
        </w:rPr>
        <w:t>1000m2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，储量为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20000t</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，能够完全满足项目</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3"/>
        </w:rPr>
        <w:t>年的废石排放量。生产</w:t>
      </w:r>
      <w:r>
        <w:rPr>
          <w:rFonts w:ascii="FangSong" w:hAnsi="FangSong" w:eastAsia="FangSong" w:cs="FangSong"/>
          <w:sz w:val="24"/>
          <w:szCs w:val="24"/>
          <w:spacing w:val="1"/>
        </w:rPr>
        <w:t>后期萤石矿可根据井下生产条件部分废石不出井。矿井所排废石符合《一般工业固</w:t>
      </w:r>
      <w:r>
        <w:rPr>
          <w:rFonts w:ascii="FangSong" w:hAnsi="FangSong" w:eastAsia="FangSong" w:cs="FangSong"/>
          <w:sz w:val="24"/>
          <w:szCs w:val="24"/>
          <w:spacing w:val="-1"/>
        </w:rPr>
        <w:t>体废物贮存、处置场污染控制标准》的要求，不会对外界环境造成太大影响。</w:t>
      </w:r>
    </w:p>
    <w:p>
      <w:pPr>
        <w:ind w:left="500"/>
        <w:spacing w:before="1" w:line="223" w:lineRule="auto"/>
        <w:rPr>
          <w:rFonts w:ascii="FangSong" w:hAnsi="FangSong" w:eastAsia="FangSong" w:cs="FangSong"/>
          <w:sz w:val="24"/>
          <w:szCs w:val="24"/>
        </w:rPr>
      </w:pPr>
      <w:r>
        <w:rPr>
          <w:rFonts w:ascii="SimSun" w:hAnsi="SimSun" w:eastAsia="SimSun" w:cs="SimSun"/>
          <w:sz w:val="24"/>
          <w:szCs w:val="24"/>
          <w:spacing w:val="-2"/>
        </w:rPr>
        <w:t>⑵</w:t>
      </w:r>
      <w:r>
        <w:rPr>
          <w:rFonts w:ascii="FangSong" w:hAnsi="FangSong" w:eastAsia="FangSong" w:cs="FangSong"/>
          <w:sz w:val="24"/>
          <w:szCs w:val="24"/>
          <w:spacing w:val="-2"/>
        </w:rPr>
        <w:t>生活垃圾</w:t>
      </w:r>
    </w:p>
    <w:p>
      <w:pPr>
        <w:ind w:left="20" w:right="2" w:firstLine="500"/>
        <w:spacing w:before="176" w:line="357" w:lineRule="auto"/>
        <w:rPr>
          <w:rFonts w:ascii="FangSong" w:hAnsi="FangSong" w:eastAsia="FangSong" w:cs="FangSong"/>
          <w:sz w:val="24"/>
          <w:szCs w:val="24"/>
        </w:rPr>
      </w:pPr>
      <w:r>
        <w:rPr>
          <w:rFonts w:ascii="FangSong" w:hAnsi="FangSong" w:eastAsia="FangSong" w:cs="FangSong"/>
          <w:sz w:val="24"/>
          <w:szCs w:val="24"/>
          <w:spacing w:val="4"/>
        </w:rPr>
        <w:t>生活垃圾按照每天</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4"/>
        </w:rPr>
        <w:t>0.5</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人计算，厂区共有职工</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人，生活垃圾总排</w:t>
      </w:r>
      <w:r>
        <w:rPr>
          <w:rFonts w:ascii="FangSong" w:hAnsi="FangSong" w:eastAsia="FangSong" w:cs="FangSong"/>
          <w:sz w:val="24"/>
          <w:szCs w:val="24"/>
          <w:spacing w:val="3"/>
        </w:rPr>
        <w:t>放量为</w:t>
      </w:r>
      <w:r>
        <w:rPr>
          <w:rFonts w:ascii="Times New Roman" w:hAnsi="Times New Roman" w:eastAsia="Times New Roman" w:cs="Times New Roman"/>
          <w:sz w:val="24"/>
          <w:szCs w:val="24"/>
          <w:spacing w:val="-1"/>
        </w:rPr>
        <w:t>3.875t/a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1"/>
        </w:rPr>
        <w:t>，在场地定点设置垃圾箱，定期收集后交由运往当地环卫部门指</w:t>
      </w:r>
      <w:r>
        <w:rPr>
          <w:rFonts w:ascii="FangSong" w:hAnsi="FangSong" w:eastAsia="FangSong" w:cs="FangSong"/>
          <w:sz w:val="24"/>
          <w:szCs w:val="24"/>
          <w:spacing w:val="-2"/>
        </w:rPr>
        <w:t>定地点集中</w:t>
      </w:r>
      <w:r>
        <w:rPr>
          <w:rFonts w:ascii="FangSong" w:hAnsi="FangSong" w:eastAsia="FangSong" w:cs="FangSong"/>
          <w:sz w:val="24"/>
          <w:szCs w:val="24"/>
          <w:spacing w:val="-2"/>
        </w:rPr>
        <w:t>进行处理。</w:t>
      </w:r>
    </w:p>
    <w:p>
      <w:pPr>
        <w:ind w:left="14"/>
        <w:spacing w:before="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3.5.2.5  </w:t>
      </w:r>
      <w:r>
        <w:rPr>
          <w:rFonts w:ascii="FangSong" w:hAnsi="FangSong" w:eastAsia="FangSong" w:cs="FangSong"/>
          <w:sz w:val="24"/>
          <w:szCs w:val="24"/>
          <w:b/>
          <w:bCs/>
          <w:spacing w:val="-2"/>
        </w:rPr>
        <w:t>运营期地下水污染防治措施及分析</w:t>
      </w:r>
    </w:p>
    <w:p>
      <w:pPr>
        <w:spacing w:before="180" w:line="220" w:lineRule="auto"/>
        <w:jc w:val="right"/>
        <w:rPr>
          <w:rFonts w:ascii="FangSong" w:hAnsi="FangSong" w:eastAsia="FangSong" w:cs="FangSong"/>
          <w:sz w:val="24"/>
          <w:szCs w:val="24"/>
        </w:rPr>
      </w:pPr>
      <w:r>
        <w:rPr>
          <w:rFonts w:ascii="FangSong" w:hAnsi="FangSong" w:eastAsia="FangSong" w:cs="FangSong"/>
          <w:sz w:val="24"/>
          <w:szCs w:val="24"/>
          <w:spacing w:val="1"/>
        </w:rPr>
        <w:t>萤石矿开采影响地下水的方式，主要是矿石层顶板发生垮落，形成冒落带</w:t>
      </w:r>
      <w:r>
        <w:rPr>
          <w:rFonts w:ascii="FangSong" w:hAnsi="FangSong" w:eastAsia="FangSong" w:cs="FangSong"/>
          <w:sz w:val="24"/>
          <w:szCs w:val="24"/>
        </w:rPr>
        <w:t>和导</w:t>
      </w:r>
    </w:p>
    <w:p>
      <w:pPr>
        <w:spacing w:line="220" w:lineRule="auto"/>
        <w:sectPr>
          <w:footerReference w:type="default" r:id="rId102"/>
          <w:pgSz w:w="11911" w:h="16839"/>
          <w:pgMar w:top="400" w:right="1416" w:bottom="1146" w:left="1786" w:header="0" w:footer="984" w:gutter="0"/>
        </w:sectPr>
        <w:rPr>
          <w:rFonts w:ascii="FangSong" w:hAnsi="FangSong" w:eastAsia="FangSong" w:cs="FangSong"/>
          <w:sz w:val="24"/>
          <w:szCs w:val="24"/>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6"/>
        <w:spacing w:before="78" w:line="359" w:lineRule="auto"/>
        <w:jc w:val="both"/>
        <w:rPr>
          <w:rFonts w:ascii="FangSong" w:hAnsi="FangSong" w:eastAsia="FangSong" w:cs="FangSong"/>
          <w:sz w:val="24"/>
          <w:szCs w:val="24"/>
        </w:rPr>
      </w:pPr>
      <w:r>
        <w:rPr>
          <w:rFonts w:ascii="FangSong" w:hAnsi="FangSong" w:eastAsia="FangSong" w:cs="FangSong"/>
          <w:sz w:val="24"/>
          <w:szCs w:val="24"/>
          <w:spacing w:val="1"/>
        </w:rPr>
        <w:t>水裂隙带，受冒落带和导水裂隙带的影响，使地下含水层与开采矿层之间的隔水层</w:t>
      </w:r>
      <w:r>
        <w:rPr>
          <w:rFonts w:ascii="FangSong" w:hAnsi="FangSong" w:eastAsia="FangSong" w:cs="FangSong"/>
          <w:sz w:val="24"/>
          <w:szCs w:val="24"/>
          <w:spacing w:val="1"/>
        </w:rPr>
        <w:t>破坏，导致含水层水量漏失、水位下降，间接对于被破坏含水层有水力联系的其它</w:t>
      </w:r>
      <w:r>
        <w:rPr>
          <w:rFonts w:ascii="FangSong" w:hAnsi="FangSong" w:eastAsia="FangSong" w:cs="FangSong"/>
          <w:sz w:val="24"/>
          <w:szCs w:val="24"/>
          <w:spacing w:val="-1"/>
        </w:rPr>
        <w:t>含水层产生影响，造成水量有所减少，水位缓慢下降。</w:t>
      </w:r>
    </w:p>
    <w:p>
      <w:pPr>
        <w:ind w:left="26" w:firstLine="511"/>
        <w:spacing w:before="2" w:line="358" w:lineRule="auto"/>
        <w:jc w:val="both"/>
        <w:rPr>
          <w:rFonts w:ascii="FangSong" w:hAnsi="FangSong" w:eastAsia="FangSong" w:cs="FangSong"/>
          <w:sz w:val="24"/>
          <w:szCs w:val="24"/>
        </w:rPr>
      </w:pPr>
      <w:r>
        <w:rPr>
          <w:rFonts w:ascii="FangSong" w:hAnsi="FangSong" w:eastAsia="FangSong" w:cs="FangSong"/>
          <w:sz w:val="24"/>
          <w:szCs w:val="24"/>
        </w:rPr>
        <w:t>由《开发利用方案》可知，本区范围内对其开采有直接影响的含水层为基岩裂</w:t>
      </w:r>
      <w:r>
        <w:rPr>
          <w:rFonts w:ascii="FangSong" w:hAnsi="FangSong" w:eastAsia="FangSong" w:cs="FangSong"/>
          <w:sz w:val="24"/>
          <w:szCs w:val="24"/>
          <w:spacing w:val="1"/>
        </w:rPr>
        <w:t>隙承压水，有间接影响的含水层为松散岩类孔隙承压水，两个含水带在区内相对含</w:t>
      </w:r>
      <w:r>
        <w:rPr>
          <w:rFonts w:ascii="FangSong" w:hAnsi="FangSong" w:eastAsia="FangSong" w:cs="FangSong"/>
          <w:sz w:val="24"/>
          <w:szCs w:val="24"/>
          <w:spacing w:val="-4"/>
        </w:rPr>
        <w:t>水较弱。</w:t>
      </w:r>
    </w:p>
    <w:p>
      <w:pPr>
        <w:ind w:left="26" w:firstLine="481"/>
        <w:spacing w:before="3" w:line="359" w:lineRule="auto"/>
        <w:jc w:val="both"/>
        <w:rPr>
          <w:rFonts w:ascii="FangSong" w:hAnsi="FangSong" w:eastAsia="FangSong" w:cs="FangSong"/>
          <w:sz w:val="24"/>
          <w:szCs w:val="24"/>
        </w:rPr>
      </w:pPr>
      <w:r>
        <w:rPr>
          <w:rFonts w:ascii="FangSong" w:hAnsi="FangSong" w:eastAsia="FangSong" w:cs="FangSong"/>
          <w:sz w:val="24"/>
          <w:szCs w:val="24"/>
          <w:spacing w:val="1"/>
        </w:rPr>
        <w:t>本区范围内的基岩裂隙承压水含水岩组各含水层分布在萤石矿层之间，有的含</w:t>
      </w:r>
      <w:r>
        <w:rPr>
          <w:rFonts w:ascii="FangSong" w:hAnsi="FangSong" w:eastAsia="FangSong" w:cs="FangSong"/>
          <w:sz w:val="24"/>
          <w:szCs w:val="24"/>
          <w:spacing w:val="1"/>
        </w:rPr>
        <w:t>水层直接与矿层接触，而形成直接充水含水层，没有与矿层直接接触的含水层，当</w:t>
      </w:r>
      <w:r>
        <w:rPr>
          <w:rFonts w:ascii="FangSong" w:hAnsi="FangSong" w:eastAsia="FangSong" w:cs="FangSong"/>
          <w:sz w:val="24"/>
          <w:szCs w:val="24"/>
          <w:spacing w:val="1"/>
        </w:rPr>
        <w:t>萤石矿开采后，所形成的冒落裂隙带，也会形成间接充水含水层。在正常情况下，</w:t>
      </w:r>
      <w:r>
        <w:rPr>
          <w:rFonts w:ascii="FangSong" w:hAnsi="FangSong" w:eastAsia="FangSong" w:cs="FangSong"/>
          <w:sz w:val="24"/>
          <w:szCs w:val="24"/>
          <w:spacing w:val="1"/>
        </w:rPr>
        <w:t>不会影响上部基岩裂隙承压水含水岩组含水层。正常情况断层按开采的有关规程留</w:t>
      </w:r>
      <w:r>
        <w:rPr>
          <w:rFonts w:ascii="FangSong" w:hAnsi="FangSong" w:eastAsia="FangSong" w:cs="FangSong"/>
          <w:sz w:val="24"/>
          <w:szCs w:val="24"/>
          <w:spacing w:val="1"/>
        </w:rPr>
        <w:t>足够的防水柱。原矿开采后，各含水层仍保持相对独立，除含铁地层含水层外，上</w:t>
      </w:r>
      <w:r>
        <w:rPr>
          <w:rFonts w:ascii="FangSong" w:hAnsi="FangSong" w:eastAsia="FangSong" w:cs="FangSong"/>
          <w:sz w:val="24"/>
          <w:szCs w:val="24"/>
          <w:spacing w:val="-1"/>
        </w:rPr>
        <w:t>部和下部含水层的补给、径流和排泄基本没有改变。</w:t>
      </w:r>
    </w:p>
    <w:p>
      <w:pPr>
        <w:ind w:left="26" w:right="2" w:firstLine="480"/>
        <w:spacing w:line="359" w:lineRule="auto"/>
        <w:jc w:val="both"/>
        <w:rPr>
          <w:rFonts w:ascii="FangSong" w:hAnsi="FangSong" w:eastAsia="FangSong" w:cs="FangSong"/>
          <w:sz w:val="24"/>
          <w:szCs w:val="24"/>
        </w:rPr>
      </w:pPr>
      <w:r>
        <w:rPr>
          <w:rFonts w:ascii="FangSong" w:hAnsi="FangSong" w:eastAsia="FangSong" w:cs="FangSong"/>
          <w:sz w:val="24"/>
          <w:szCs w:val="24"/>
          <w:spacing w:val="-3"/>
        </w:rPr>
        <w:t>矿井采用竖井开拓，井下采用集中排水，矿井昼日涌水量为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10m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，井下涌水先</w:t>
      </w:r>
      <w:r>
        <w:rPr>
          <w:rFonts w:ascii="FangSong" w:hAnsi="FangSong" w:eastAsia="FangSong" w:cs="FangSong"/>
          <w:sz w:val="24"/>
          <w:szCs w:val="24"/>
          <w:spacing w:val="-3"/>
        </w:rPr>
        <w:t>收集后由井下设一容积为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50m</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15"/>
          <w:szCs w:val="15"/>
          <w:spacing w:val="32"/>
          <w:w w:val="102"/>
          <w:position w:val="8"/>
        </w:rPr>
        <w:t xml:space="preserve"> </w:t>
      </w:r>
      <w:r>
        <w:rPr>
          <w:rFonts w:ascii="FangSong" w:hAnsi="FangSong" w:eastAsia="FangSong" w:cs="FangSong"/>
          <w:sz w:val="24"/>
          <w:szCs w:val="24"/>
          <w:spacing w:val="-3"/>
        </w:rPr>
        <w:t>的水仓，一部用于井下凿岩及</w:t>
      </w:r>
      <w:r>
        <w:rPr>
          <w:rFonts w:ascii="FangSong" w:hAnsi="FangSong" w:eastAsia="FangSong" w:cs="FangSong"/>
          <w:sz w:val="24"/>
          <w:szCs w:val="24"/>
          <w:spacing w:val="-4"/>
        </w:rPr>
        <w:t>降尘用水，剩余部分用</w:t>
      </w:r>
      <w:r>
        <w:rPr>
          <w:rFonts w:ascii="FangSong" w:hAnsi="FangSong" w:eastAsia="FangSong" w:cs="FangSong"/>
          <w:sz w:val="24"/>
          <w:szCs w:val="24"/>
          <w:spacing w:val="1"/>
        </w:rPr>
        <w:t>水泵排至地表井口的沉淀池，然后在高位水池存储（高位水池容积为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200m</w:t>
      </w:r>
      <w:r>
        <w:rPr>
          <w:rFonts w:ascii="Times New Roman" w:hAnsi="Times New Roman" w:eastAsia="Times New Roman" w:cs="Times New Roman"/>
          <w:sz w:val="15"/>
          <w:szCs w:val="15"/>
          <w:spacing w:val="1"/>
          <w:position w:val="8"/>
        </w:rPr>
        <w:t>3 </w:t>
      </w:r>
      <w:r>
        <w:rPr>
          <w:rFonts w:ascii="FangSong" w:hAnsi="FangSong" w:eastAsia="FangSong" w:cs="FangSong"/>
          <w:sz w:val="24"/>
          <w:szCs w:val="24"/>
          <w:spacing w:val="-3"/>
        </w:rPr>
        <w:t>），</w:t>
      </w:r>
      <w:r>
        <w:rPr>
          <w:rFonts w:ascii="FangSong" w:hAnsi="FangSong" w:eastAsia="FangSong" w:cs="FangSong"/>
          <w:sz w:val="24"/>
          <w:szCs w:val="24"/>
          <w:spacing w:val="1"/>
        </w:rPr>
        <w:t>用</w:t>
      </w:r>
      <w:r>
        <w:rPr>
          <w:rFonts w:ascii="FangSong" w:hAnsi="FangSong" w:eastAsia="FangSong" w:cs="FangSong"/>
          <w:sz w:val="24"/>
          <w:szCs w:val="24"/>
          <w:spacing w:val="-2"/>
        </w:rPr>
        <w:t>于洒水降尘及绿化。</w:t>
      </w:r>
    </w:p>
    <w:p>
      <w:pPr>
        <w:ind w:left="509"/>
        <w:spacing w:line="222" w:lineRule="auto"/>
        <w:rPr>
          <w:rFonts w:ascii="FangSong" w:hAnsi="FangSong" w:eastAsia="FangSong" w:cs="FangSong"/>
          <w:sz w:val="24"/>
          <w:szCs w:val="24"/>
        </w:rPr>
      </w:pPr>
      <w:r>
        <w:rPr>
          <w:rFonts w:ascii="FangSong" w:hAnsi="FangSong" w:eastAsia="FangSong" w:cs="FangSong"/>
          <w:sz w:val="24"/>
          <w:szCs w:val="24"/>
          <w:spacing w:val="-1"/>
        </w:rPr>
        <w:t>综上所述，本项目生产期间不会对矿区周围地下水产生不良影响。</w:t>
      </w:r>
    </w:p>
    <w:p>
      <w:pPr>
        <w:ind w:left="14"/>
        <w:spacing w:before="176"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3.5.2.6  </w:t>
      </w:r>
      <w:r>
        <w:rPr>
          <w:rFonts w:ascii="FangSong" w:hAnsi="FangSong" w:eastAsia="FangSong" w:cs="FangSong"/>
          <w:sz w:val="24"/>
          <w:szCs w:val="24"/>
          <w:b/>
          <w:bCs/>
          <w:spacing w:val="-2"/>
        </w:rPr>
        <w:t>运营期生态影响分析</w:t>
      </w:r>
    </w:p>
    <w:p>
      <w:pPr>
        <w:ind w:left="26" w:firstLine="480"/>
        <w:spacing w:before="180" w:line="359" w:lineRule="auto"/>
        <w:jc w:val="both"/>
        <w:rPr>
          <w:rFonts w:ascii="FangSong" w:hAnsi="FangSong" w:eastAsia="FangSong" w:cs="FangSong"/>
          <w:sz w:val="24"/>
          <w:szCs w:val="24"/>
        </w:rPr>
      </w:pPr>
      <w:r>
        <w:rPr>
          <w:rFonts w:ascii="FangSong" w:hAnsi="FangSong" w:eastAsia="FangSong" w:cs="FangSong"/>
          <w:sz w:val="24"/>
          <w:szCs w:val="24"/>
          <w:spacing w:val="1"/>
        </w:rPr>
        <w:t>该项目的建设中，挖方填方会使局部地貌发生一些变化，项目建设对植被的影</w:t>
      </w:r>
      <w:r>
        <w:rPr>
          <w:rFonts w:ascii="FangSong" w:hAnsi="FangSong" w:eastAsia="FangSong" w:cs="FangSong"/>
          <w:sz w:val="24"/>
          <w:szCs w:val="24"/>
          <w:spacing w:val="1"/>
        </w:rPr>
        <w:t>响主要发生在废石场建设、道路建设以及辅助系统建设等工程，这些施工活动过程</w:t>
      </w:r>
      <w:r>
        <w:rPr>
          <w:rFonts w:ascii="FangSong" w:hAnsi="FangSong" w:eastAsia="FangSong" w:cs="FangSong"/>
          <w:sz w:val="24"/>
          <w:szCs w:val="24"/>
          <w:spacing w:val="1"/>
        </w:rPr>
        <w:t>均要进行清除植被、开挖地表和地面建设，造成直接施工区域内地表植被的完全破</w:t>
      </w:r>
      <w:r>
        <w:rPr>
          <w:rFonts w:ascii="FangSong" w:hAnsi="FangSong" w:eastAsia="FangSong" w:cs="FangSong"/>
          <w:sz w:val="24"/>
          <w:szCs w:val="24"/>
          <w:spacing w:val="-1"/>
        </w:rPr>
        <w:t>坏，施工区域一定范围的植被也会遭到不同程度的破坏。</w:t>
      </w:r>
    </w:p>
    <w:p>
      <w:pPr>
        <w:ind w:left="28" w:firstLine="479"/>
        <w:spacing w:before="1" w:line="358" w:lineRule="auto"/>
        <w:jc w:val="both"/>
        <w:rPr>
          <w:rFonts w:ascii="FangSong" w:hAnsi="FangSong" w:eastAsia="FangSong" w:cs="FangSong"/>
          <w:sz w:val="24"/>
          <w:szCs w:val="24"/>
        </w:rPr>
      </w:pPr>
      <w:r>
        <w:rPr>
          <w:rFonts w:ascii="FangSong" w:hAnsi="FangSong" w:eastAsia="FangSong" w:cs="FangSong"/>
          <w:sz w:val="24"/>
          <w:szCs w:val="24"/>
          <w:spacing w:val="1"/>
        </w:rPr>
        <w:t>项目运行过程中注意保护植被，减少植被破坏面积，尽快对废石场进行复垦，</w:t>
      </w:r>
      <w:r>
        <w:rPr>
          <w:rFonts w:ascii="FangSong" w:hAnsi="FangSong" w:eastAsia="FangSong" w:cs="FangSong"/>
          <w:sz w:val="24"/>
          <w:szCs w:val="24"/>
        </w:rPr>
        <w:t>恢复植被。建设单位做出年度土地复垦计划，</w:t>
      </w:r>
      <w:r>
        <w:rPr>
          <w:rFonts w:ascii="FangSong" w:hAnsi="FangSong" w:eastAsia="FangSong" w:cs="FangSong"/>
          <w:sz w:val="24"/>
          <w:szCs w:val="24"/>
          <w:spacing w:val="-71"/>
        </w:rPr>
        <w:t xml:space="preserve"> </w:t>
      </w:r>
      <w:r>
        <w:rPr>
          <w:rFonts w:ascii="FangSong" w:hAnsi="FangSong" w:eastAsia="FangSong" w:cs="FangSong"/>
          <w:sz w:val="24"/>
          <w:szCs w:val="24"/>
        </w:rPr>
        <w:t>由专门的土</w:t>
      </w:r>
      <w:r>
        <w:rPr>
          <w:rFonts w:ascii="FangSong" w:hAnsi="FangSong" w:eastAsia="FangSong" w:cs="FangSong"/>
          <w:sz w:val="24"/>
          <w:szCs w:val="24"/>
          <w:spacing w:val="-1"/>
        </w:rPr>
        <w:t>地复垦队伍进行土地复垦</w:t>
      </w:r>
      <w:r>
        <w:rPr>
          <w:rFonts w:ascii="FangSong" w:hAnsi="FangSong" w:eastAsia="FangSong" w:cs="FangSong"/>
          <w:sz w:val="24"/>
          <w:szCs w:val="24"/>
          <w:spacing w:val="1"/>
        </w:rPr>
        <w:t>工作。土地复用工程第一阶段包括废石场的平整、边坡的修筑、排水沟的挖掘、坑</w:t>
      </w:r>
      <w:r>
        <w:rPr>
          <w:rFonts w:ascii="FangSong" w:hAnsi="FangSong" w:eastAsia="FangSong" w:cs="FangSong"/>
          <w:sz w:val="24"/>
          <w:szCs w:val="24"/>
          <w:spacing w:val="-4"/>
        </w:rPr>
        <w:t>底的平整以及土壤</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4"/>
        </w:rPr>
        <w:t>pH</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4"/>
        </w:rPr>
        <w:t>的调整和改良等。第</w:t>
      </w:r>
      <w:r>
        <w:rPr>
          <w:rFonts w:ascii="FangSong" w:hAnsi="FangSong" w:eastAsia="FangSong" w:cs="FangSong"/>
          <w:sz w:val="24"/>
          <w:szCs w:val="24"/>
          <w:spacing w:val="-5"/>
        </w:rPr>
        <w:t>二阶段是土地的利用，选择当地适宜的物</w:t>
      </w:r>
      <w:r>
        <w:rPr>
          <w:rFonts w:ascii="FangSong" w:hAnsi="FangSong" w:eastAsia="FangSong" w:cs="FangSong"/>
          <w:sz w:val="24"/>
          <w:szCs w:val="24"/>
          <w:spacing w:val="-3"/>
        </w:rPr>
        <w:t>种进行植被恢复。</w:t>
      </w:r>
    </w:p>
    <w:p>
      <w:pPr>
        <w:ind w:left="14"/>
        <w:spacing w:before="4"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3.5.2.7  </w:t>
      </w:r>
      <w:r>
        <w:rPr>
          <w:rFonts w:ascii="FangSong" w:hAnsi="FangSong" w:eastAsia="FangSong" w:cs="FangSong"/>
          <w:sz w:val="24"/>
          <w:szCs w:val="24"/>
          <w:b/>
          <w:bCs/>
          <w:spacing w:val="-2"/>
        </w:rPr>
        <w:t>运营期环境风险分析</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）风险因素分析</w:t>
      </w:r>
    </w:p>
    <w:p>
      <w:pPr>
        <w:ind w:left="507"/>
        <w:spacing w:before="180" w:line="219" w:lineRule="auto"/>
        <w:rPr>
          <w:rFonts w:ascii="FangSong" w:hAnsi="FangSong" w:eastAsia="FangSong" w:cs="FangSong"/>
          <w:sz w:val="24"/>
          <w:szCs w:val="24"/>
        </w:rPr>
      </w:pPr>
      <w:r>
        <w:rPr>
          <w:rFonts w:ascii="FangSong" w:hAnsi="FangSong" w:eastAsia="FangSong" w:cs="FangSong"/>
          <w:sz w:val="24"/>
          <w:szCs w:val="24"/>
          <w:spacing w:val="-1"/>
        </w:rPr>
        <w:t>根据本矿山生产特点，可能发生风险的因素主要体现在如下几点：</w:t>
      </w:r>
    </w:p>
    <w:p>
      <w:pPr>
        <w:spacing w:line="219" w:lineRule="auto"/>
        <w:sectPr>
          <w:footerReference w:type="default" r:id="rId103"/>
          <w:pgSz w:w="11911" w:h="16839"/>
          <w:pgMar w:top="400" w:right="1416"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6" w:right="83" w:firstLine="473"/>
        <w:spacing w:before="78" w:line="359" w:lineRule="auto"/>
        <w:rPr>
          <w:rFonts w:ascii="FangSong" w:hAnsi="FangSong" w:eastAsia="FangSong" w:cs="FangSong"/>
          <w:sz w:val="24"/>
          <w:szCs w:val="24"/>
        </w:rPr>
      </w:pPr>
      <w:bookmarkStart w:name="bookmark536" w:id="168"/>
      <w:bookmarkEnd w:id="168"/>
      <w:r>
        <w:rPr>
          <w:rFonts w:ascii="SimSun" w:hAnsi="SimSun" w:eastAsia="SimSun" w:cs="SimSun"/>
          <w:sz w:val="24"/>
          <w:szCs w:val="24"/>
          <w:spacing w:val="-2"/>
        </w:rPr>
        <w:t>① </w:t>
      </w:r>
      <w:r>
        <w:rPr>
          <w:rFonts w:ascii="FangSong" w:hAnsi="FangSong" w:eastAsia="FangSong" w:cs="FangSong"/>
          <w:sz w:val="24"/>
          <w:szCs w:val="24"/>
          <w:spacing w:val="-2"/>
        </w:rPr>
        <w:t>爆破危险：由于本矿山开采要利用雷管和炸药等爆炸物，因此存</w:t>
      </w:r>
      <w:r>
        <w:rPr>
          <w:rFonts w:ascii="FangSong" w:hAnsi="FangSong" w:eastAsia="FangSong" w:cs="FangSong"/>
          <w:sz w:val="24"/>
          <w:szCs w:val="24"/>
          <w:spacing w:val="-3"/>
        </w:rPr>
        <w:t>在一定的爆</w:t>
      </w:r>
      <w:r>
        <w:rPr>
          <w:rFonts w:ascii="FangSong" w:hAnsi="FangSong" w:eastAsia="FangSong" w:cs="FangSong"/>
          <w:sz w:val="24"/>
          <w:szCs w:val="24"/>
          <w:spacing w:val="-2"/>
        </w:rPr>
        <w:t>炸风险，危害现场作业人员。</w:t>
      </w:r>
    </w:p>
    <w:p>
      <w:pPr>
        <w:ind w:left="40" w:right="83" w:firstLine="457"/>
        <w:spacing w:line="359" w:lineRule="auto"/>
        <w:rPr>
          <w:rFonts w:ascii="FangSong" w:hAnsi="FangSong" w:eastAsia="FangSong" w:cs="FangSong"/>
          <w:sz w:val="24"/>
          <w:szCs w:val="24"/>
        </w:rPr>
      </w:pPr>
      <w:r>
        <w:rPr>
          <w:rFonts w:ascii="SimSun" w:hAnsi="SimSun" w:eastAsia="SimSun" w:cs="SimSun"/>
          <w:sz w:val="24"/>
          <w:szCs w:val="24"/>
          <w:spacing w:val="-2"/>
        </w:rPr>
        <w:t>② </w:t>
      </w:r>
      <w:r>
        <w:rPr>
          <w:rFonts w:ascii="FangSong" w:hAnsi="FangSong" w:eastAsia="FangSong" w:cs="FangSong"/>
          <w:sz w:val="24"/>
          <w:szCs w:val="24"/>
          <w:spacing w:val="-2"/>
        </w:rPr>
        <w:t>本矿山开采破坏了矿区原有的地形，打破了原有的平衡状态。矿区</w:t>
      </w:r>
      <w:r>
        <w:rPr>
          <w:rFonts w:ascii="FangSong" w:hAnsi="FangSong" w:eastAsia="FangSong" w:cs="FangSong"/>
          <w:sz w:val="24"/>
          <w:szCs w:val="24"/>
          <w:spacing w:val="-3"/>
        </w:rPr>
        <w:t>爆炸产生</w:t>
      </w:r>
      <w:r>
        <w:rPr>
          <w:rFonts w:ascii="FangSong" w:hAnsi="FangSong" w:eastAsia="FangSong" w:cs="FangSong"/>
          <w:sz w:val="24"/>
          <w:szCs w:val="24"/>
          <w:spacing w:val="-2"/>
        </w:rPr>
        <w:t>的震动，可能产生诱发地质灾害的风险。</w:t>
      </w:r>
    </w:p>
    <w:p>
      <w:pPr>
        <w:ind w:left="498"/>
        <w:spacing w:line="221"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爆破污染：爆破后会产生大量的烟尘，污染周围的环境。</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）风险防治措施</w:t>
      </w:r>
    </w:p>
    <w:p>
      <w:pPr>
        <w:ind w:left="499"/>
        <w:spacing w:before="176" w:line="222" w:lineRule="auto"/>
        <w:rPr>
          <w:rFonts w:ascii="FangSong" w:hAnsi="FangSong" w:eastAsia="FangSong" w:cs="FangSong"/>
          <w:sz w:val="24"/>
          <w:szCs w:val="24"/>
        </w:rPr>
      </w:pPr>
      <w:r>
        <w:rPr>
          <w:rFonts w:ascii="SimSun" w:hAnsi="SimSun" w:eastAsia="SimSun" w:cs="SimSun"/>
          <w:sz w:val="24"/>
          <w:szCs w:val="24"/>
          <w:spacing w:val="-1"/>
        </w:rPr>
        <w:t>① </w:t>
      </w:r>
      <w:r>
        <w:rPr>
          <w:rFonts w:ascii="FangSong" w:hAnsi="FangSong" w:eastAsia="FangSong" w:cs="FangSong"/>
          <w:sz w:val="24"/>
          <w:szCs w:val="24"/>
          <w:spacing w:val="-1"/>
        </w:rPr>
        <w:t>爆破风险防范措施</w:t>
      </w:r>
    </w:p>
    <w:p>
      <w:pPr>
        <w:ind w:left="499"/>
        <w:spacing w:before="180"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a.  </w:t>
      </w:r>
      <w:r>
        <w:rPr>
          <w:rFonts w:ascii="FangSong" w:hAnsi="FangSong" w:eastAsia="FangSong" w:cs="FangSong"/>
          <w:sz w:val="24"/>
          <w:szCs w:val="24"/>
          <w:spacing w:val="-1"/>
        </w:rPr>
        <w:t>爆破作业必须严格遵守</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爆破安全规程</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的有关规定。</w:t>
      </w:r>
    </w:p>
    <w:p>
      <w:pPr>
        <w:ind w:left="490"/>
        <w:spacing w:before="182"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b.  </w:t>
      </w:r>
      <w:r>
        <w:rPr>
          <w:rFonts w:ascii="FangSong" w:hAnsi="FangSong" w:eastAsia="FangSong" w:cs="FangSong"/>
          <w:sz w:val="24"/>
          <w:szCs w:val="24"/>
          <w:spacing w:val="-1"/>
        </w:rPr>
        <w:t>爆破作业人员必须经过专业培训并获得</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1"/>
        </w:rPr>
        <w:t>安全作业证</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w:t>
      </w:r>
    </w:p>
    <w:p>
      <w:pPr>
        <w:ind w:left="499"/>
        <w:spacing w:before="180" w:line="220" w:lineRule="auto"/>
        <w:rPr>
          <w:rFonts w:ascii="FangSong" w:hAnsi="FangSong" w:eastAsia="FangSong" w:cs="FangSong"/>
          <w:sz w:val="24"/>
          <w:szCs w:val="24"/>
        </w:rPr>
      </w:pPr>
      <w:r>
        <w:rPr>
          <w:rFonts w:ascii="Times New Roman" w:hAnsi="Times New Roman" w:eastAsia="Times New Roman" w:cs="Times New Roman"/>
          <w:sz w:val="24"/>
          <w:szCs w:val="24"/>
        </w:rPr>
        <w:t>c.  </w:t>
      </w:r>
      <w:r>
        <w:rPr>
          <w:rFonts w:ascii="FangSong" w:hAnsi="FangSong" w:eastAsia="FangSong" w:cs="FangSong"/>
          <w:sz w:val="24"/>
          <w:szCs w:val="24"/>
        </w:rPr>
        <w:t>使用合格的爆破器材，严禁使用过期</w:t>
      </w:r>
      <w:r>
        <w:rPr>
          <w:rFonts w:ascii="FangSong" w:hAnsi="FangSong" w:eastAsia="FangSong" w:cs="FangSong"/>
          <w:sz w:val="24"/>
          <w:szCs w:val="24"/>
          <w:spacing w:val="-1"/>
        </w:rPr>
        <w:t>的和不合格的爆破材料。</w:t>
      </w:r>
    </w:p>
    <w:p>
      <w:pPr>
        <w:ind w:left="26" w:right="43" w:firstLine="472"/>
        <w:spacing w:before="178" w:line="290" w:lineRule="auto"/>
        <w:rPr>
          <w:rFonts w:ascii="FangSong" w:hAnsi="FangSong" w:eastAsia="FangSong" w:cs="FangSong"/>
          <w:sz w:val="24"/>
          <w:szCs w:val="24"/>
        </w:rPr>
      </w:pPr>
      <w:r>
        <w:rPr>
          <w:rFonts w:ascii="Times New Roman" w:hAnsi="Times New Roman" w:eastAsia="Times New Roman" w:cs="Times New Roman"/>
          <w:sz w:val="24"/>
          <w:szCs w:val="24"/>
          <w:spacing w:val="-2"/>
        </w:rPr>
        <w:t>d.  </w:t>
      </w:r>
      <w:r>
        <w:rPr>
          <w:rFonts w:ascii="FangSong" w:hAnsi="FangSong" w:eastAsia="FangSong" w:cs="FangSong"/>
          <w:sz w:val="24"/>
          <w:szCs w:val="24"/>
          <w:spacing w:val="-2"/>
        </w:rPr>
        <w:t>浅眼爆破时避炮距离不得小于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200m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，裸露爆破时避炮</w:t>
      </w:r>
      <w:r>
        <w:rPr>
          <w:rFonts w:ascii="FangSong" w:hAnsi="FangSong" w:eastAsia="FangSong" w:cs="FangSong"/>
          <w:sz w:val="24"/>
          <w:szCs w:val="24"/>
          <w:spacing w:val="-3"/>
        </w:rPr>
        <w:t>距离不得小于</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300 m</w:t>
      </w:r>
      <w:r>
        <w:rPr>
          <w:rFonts w:ascii="FangSong" w:hAnsi="FangSong" w:eastAsia="FangSong" w:cs="FangSong"/>
          <w:sz w:val="24"/>
          <w:szCs w:val="24"/>
          <w:spacing w:val="-3"/>
        </w:rPr>
        <w:t>。</w:t>
      </w:r>
      <w:r>
        <w:rPr>
          <w:rFonts w:ascii="FangSong" w:hAnsi="FangSong" w:eastAsia="FangSong" w:cs="FangSong"/>
          <w:sz w:val="24"/>
          <w:szCs w:val="24"/>
          <w:spacing w:val="-1"/>
        </w:rPr>
        <w:t>炸药和雷管的储存要经过公安部门的许可，要符合炸药和雷管的管理要求。</w:t>
      </w:r>
    </w:p>
    <w:p>
      <w:pPr>
        <w:ind w:left="499"/>
        <w:spacing w:before="183"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e.  </w:t>
      </w:r>
      <w:r>
        <w:rPr>
          <w:rFonts w:ascii="FangSong" w:hAnsi="FangSong" w:eastAsia="FangSong" w:cs="FangSong"/>
          <w:sz w:val="24"/>
          <w:szCs w:val="24"/>
          <w:spacing w:val="-1"/>
        </w:rPr>
        <w:t>工作面有盲炮时，必须按</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爆破安全</w:t>
      </w:r>
      <w:r>
        <w:rPr>
          <w:rFonts w:ascii="FangSong" w:hAnsi="FangSong" w:eastAsia="FangSong" w:cs="FangSong"/>
          <w:sz w:val="24"/>
          <w:szCs w:val="24"/>
          <w:spacing w:val="-2"/>
        </w:rPr>
        <w:t>规程</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的规定进行处理。</w:t>
      </w:r>
    </w:p>
    <w:p>
      <w:pPr>
        <w:ind w:left="500"/>
        <w:spacing w:before="180" w:line="219" w:lineRule="auto"/>
        <w:rPr>
          <w:rFonts w:ascii="FangSong" w:hAnsi="FangSong" w:eastAsia="FangSong" w:cs="FangSong"/>
          <w:sz w:val="24"/>
          <w:szCs w:val="24"/>
        </w:rPr>
      </w:pPr>
      <w:r>
        <w:rPr>
          <w:rFonts w:ascii="Times New Roman" w:hAnsi="Times New Roman" w:eastAsia="Times New Roman" w:cs="Times New Roman"/>
          <w:sz w:val="24"/>
          <w:szCs w:val="24"/>
          <w:spacing w:val="-5"/>
        </w:rPr>
        <w:t>f.   </w:t>
      </w:r>
      <w:r>
        <w:rPr>
          <w:rFonts w:ascii="FangSong" w:hAnsi="FangSong" w:eastAsia="FangSong" w:cs="FangSong"/>
          <w:sz w:val="24"/>
          <w:szCs w:val="24"/>
          <w:spacing w:val="-5"/>
        </w:rPr>
        <w:t>自卸车严禁运载爆破器材。</w:t>
      </w:r>
    </w:p>
    <w:p>
      <w:pPr>
        <w:ind w:left="498"/>
        <w:spacing w:before="182" w:line="222" w:lineRule="auto"/>
        <w:rPr>
          <w:rFonts w:ascii="FangSong" w:hAnsi="FangSong" w:eastAsia="FangSong" w:cs="FangSong"/>
          <w:sz w:val="24"/>
          <w:szCs w:val="24"/>
        </w:rPr>
      </w:pPr>
      <w:r>
        <w:rPr>
          <w:rFonts w:ascii="SimSun" w:hAnsi="SimSun" w:eastAsia="SimSun" w:cs="SimSun"/>
          <w:sz w:val="24"/>
          <w:szCs w:val="24"/>
          <w:spacing w:val="-1"/>
        </w:rPr>
        <w:t>② </w:t>
      </w:r>
      <w:r>
        <w:rPr>
          <w:rFonts w:ascii="FangSong" w:hAnsi="FangSong" w:eastAsia="FangSong" w:cs="FangSong"/>
          <w:sz w:val="24"/>
          <w:szCs w:val="24"/>
          <w:spacing w:val="-1"/>
        </w:rPr>
        <w:t>地质灾害风险防范措施</w:t>
      </w:r>
    </w:p>
    <w:p>
      <w:pPr>
        <w:ind w:left="499"/>
        <w:spacing w:before="178"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a.  </w:t>
      </w:r>
      <w:r>
        <w:rPr>
          <w:rFonts w:ascii="FangSong" w:hAnsi="FangSong" w:eastAsia="FangSong" w:cs="FangSong"/>
          <w:sz w:val="24"/>
          <w:szCs w:val="24"/>
          <w:spacing w:val="-1"/>
        </w:rPr>
        <w:t>及时清除边坡上的危石。</w:t>
      </w:r>
    </w:p>
    <w:p>
      <w:pPr>
        <w:ind w:left="490"/>
        <w:spacing w:before="179" w:line="221" w:lineRule="auto"/>
        <w:rPr>
          <w:rFonts w:ascii="FangSong" w:hAnsi="FangSong" w:eastAsia="FangSong" w:cs="FangSong"/>
          <w:sz w:val="24"/>
          <w:szCs w:val="24"/>
        </w:rPr>
      </w:pPr>
      <w:r>
        <w:rPr>
          <w:rFonts w:ascii="Times New Roman" w:hAnsi="Times New Roman" w:eastAsia="Times New Roman" w:cs="Times New Roman"/>
          <w:sz w:val="24"/>
          <w:szCs w:val="24"/>
        </w:rPr>
        <w:t>b.  </w:t>
      </w:r>
      <w:r>
        <w:rPr>
          <w:rFonts w:ascii="FangSong" w:hAnsi="FangSong" w:eastAsia="FangSong" w:cs="FangSong"/>
          <w:sz w:val="24"/>
          <w:szCs w:val="24"/>
        </w:rPr>
        <w:t>保证安全平台的宽度。</w:t>
      </w:r>
    </w:p>
    <w:p>
      <w:pPr>
        <w:ind w:left="499"/>
        <w:spacing w:before="179"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c.  </w:t>
      </w:r>
      <w:r>
        <w:rPr>
          <w:rFonts w:ascii="FangSong" w:hAnsi="FangSong" w:eastAsia="FangSong" w:cs="FangSong"/>
          <w:sz w:val="24"/>
          <w:szCs w:val="24"/>
          <w:spacing w:val="-1"/>
        </w:rPr>
        <w:t>在可能发生地质灾害区段设置警示标志。</w:t>
      </w:r>
    </w:p>
    <w:p>
      <w:pPr>
        <w:ind w:left="498"/>
        <w:spacing w:before="183" w:line="221" w:lineRule="auto"/>
        <w:rPr>
          <w:rFonts w:ascii="FangSong" w:hAnsi="FangSong" w:eastAsia="FangSong" w:cs="FangSong"/>
          <w:sz w:val="24"/>
          <w:szCs w:val="24"/>
        </w:rPr>
      </w:pPr>
      <w:r>
        <w:rPr>
          <w:rFonts w:ascii="Times New Roman" w:hAnsi="Times New Roman" w:eastAsia="Times New Roman" w:cs="Times New Roman"/>
          <w:sz w:val="24"/>
          <w:szCs w:val="24"/>
          <w:spacing w:val="-1"/>
        </w:rPr>
        <w:t>d.  </w:t>
      </w:r>
      <w:r>
        <w:rPr>
          <w:rFonts w:ascii="FangSong" w:hAnsi="FangSong" w:eastAsia="FangSong" w:cs="FangSong"/>
          <w:sz w:val="24"/>
          <w:szCs w:val="24"/>
          <w:spacing w:val="-1"/>
        </w:rPr>
        <w:t>不超挖坡底，不留伞檐，进行科学，合理的采剥。</w:t>
      </w:r>
    </w:p>
    <w:p>
      <w:pPr>
        <w:ind w:left="511"/>
        <w:spacing w:before="178"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）风险处置措施</w:t>
      </w:r>
    </w:p>
    <w:p>
      <w:pPr>
        <w:ind w:left="28" w:right="80" w:firstLine="483"/>
        <w:spacing w:before="179" w:line="358" w:lineRule="auto"/>
        <w:rPr>
          <w:rFonts w:ascii="FangSong" w:hAnsi="FangSong" w:eastAsia="FangSong" w:cs="FangSong"/>
          <w:sz w:val="24"/>
          <w:szCs w:val="24"/>
        </w:rPr>
      </w:pPr>
      <w:r>
        <w:rPr>
          <w:rFonts w:ascii="FangSong" w:hAnsi="FangSong" w:eastAsia="FangSong" w:cs="FangSong"/>
          <w:sz w:val="24"/>
          <w:szCs w:val="24"/>
          <w:spacing w:val="1"/>
        </w:rPr>
        <w:t>虽然本工程突发性事故发生的几率很小，但安全生产责任重大，应针对矿山生</w:t>
      </w:r>
      <w:r>
        <w:rPr>
          <w:rFonts w:ascii="FangSong" w:hAnsi="FangSong" w:eastAsia="FangSong" w:cs="FangSong"/>
          <w:sz w:val="24"/>
          <w:szCs w:val="24"/>
          <w:spacing w:val="-1"/>
        </w:rPr>
        <w:t>产事故的特点，制定专门的详细应急方案，以备事故发生时可立即采取应急措施。</w:t>
      </w:r>
    </w:p>
    <w:p>
      <w:pPr>
        <w:ind w:left="26" w:firstLine="472"/>
        <w:spacing w:before="2" w:line="290" w:lineRule="auto"/>
        <w:rPr>
          <w:rFonts w:ascii="FangSong" w:hAnsi="FangSong" w:eastAsia="FangSong" w:cs="FangSong"/>
          <w:sz w:val="24"/>
          <w:szCs w:val="24"/>
        </w:rPr>
      </w:pPr>
      <w:r>
        <w:rPr>
          <w:rFonts w:ascii="SimSun" w:hAnsi="SimSun" w:eastAsia="SimSun" w:cs="SimSun"/>
          <w:sz w:val="24"/>
          <w:szCs w:val="24"/>
          <w:spacing w:val="-6"/>
        </w:rPr>
        <w:t>① </w:t>
      </w:r>
      <w:r>
        <w:rPr>
          <w:rFonts w:ascii="FangSong" w:hAnsi="FangSong" w:eastAsia="FangSong" w:cs="FangSong"/>
          <w:sz w:val="24"/>
          <w:szCs w:val="24"/>
          <w:spacing w:val="-6"/>
        </w:rPr>
        <w:t>应急领导机构：负责人由公司总经理担任</w:t>
      </w:r>
      <w:r>
        <w:rPr>
          <w:rFonts w:ascii="FangSong" w:hAnsi="FangSong" w:eastAsia="FangSong" w:cs="FangSong"/>
          <w:sz w:val="24"/>
          <w:szCs w:val="24"/>
          <w:spacing w:val="-7"/>
        </w:rPr>
        <w:t>，机构成员包括公司安全主管人员、</w:t>
      </w:r>
      <w:r>
        <w:rPr>
          <w:rFonts w:ascii="FangSong" w:hAnsi="FangSong" w:eastAsia="FangSong" w:cs="FangSong"/>
          <w:sz w:val="24"/>
          <w:szCs w:val="24"/>
          <w:spacing w:val="-3"/>
        </w:rPr>
        <w:t>矿山生产技术人员，及其它相关部门的管理人员，是矿山事故应急</w:t>
      </w:r>
      <w:r>
        <w:rPr>
          <w:rFonts w:ascii="FangSong" w:hAnsi="FangSong" w:eastAsia="FangSong" w:cs="FangSong"/>
          <w:sz w:val="24"/>
          <w:szCs w:val="24"/>
          <w:spacing w:val="-4"/>
        </w:rPr>
        <w:t>工作的决策机构。</w:t>
      </w:r>
    </w:p>
    <w:p>
      <w:pPr>
        <w:ind w:left="498"/>
        <w:spacing w:before="179" w:line="222" w:lineRule="auto"/>
        <w:rPr>
          <w:rFonts w:ascii="FangSong" w:hAnsi="FangSong" w:eastAsia="FangSong" w:cs="FangSong"/>
          <w:sz w:val="24"/>
          <w:szCs w:val="24"/>
        </w:rPr>
      </w:pPr>
      <w:r>
        <w:rPr>
          <w:rFonts w:ascii="SimSun" w:hAnsi="SimSun" w:eastAsia="SimSun" w:cs="SimSun"/>
          <w:sz w:val="24"/>
          <w:szCs w:val="24"/>
          <w:spacing w:val="-4"/>
        </w:rPr>
        <w:t>②</w:t>
      </w:r>
      <w:r>
        <w:rPr>
          <w:rFonts w:ascii="SimSun" w:hAnsi="SimSun" w:eastAsia="SimSun" w:cs="SimSun"/>
          <w:sz w:val="24"/>
          <w:szCs w:val="24"/>
          <w:spacing w:val="15"/>
        </w:rPr>
        <w:t xml:space="preserve"> </w:t>
      </w:r>
      <w:r>
        <w:rPr>
          <w:rFonts w:ascii="FangSong" w:hAnsi="FangSong" w:eastAsia="FangSong" w:cs="FangSong"/>
          <w:sz w:val="24"/>
          <w:szCs w:val="24"/>
          <w:spacing w:val="-4"/>
        </w:rPr>
        <w:t>应急预案：</w:t>
      </w:r>
    </w:p>
    <w:p>
      <w:pPr>
        <w:ind w:left="28" w:right="80" w:firstLine="470"/>
        <w:spacing w:before="177" w:line="313" w:lineRule="auto"/>
        <w:rPr>
          <w:rFonts w:ascii="FangSong" w:hAnsi="FangSong" w:eastAsia="FangSong" w:cs="FangSong"/>
          <w:sz w:val="24"/>
          <w:szCs w:val="24"/>
        </w:rPr>
      </w:pPr>
      <w:r>
        <w:rPr>
          <w:rFonts w:ascii="Times New Roman" w:hAnsi="Times New Roman" w:eastAsia="Times New Roman" w:cs="Times New Roman"/>
          <w:sz w:val="24"/>
          <w:szCs w:val="24"/>
        </w:rPr>
        <w:t>a.  </w:t>
      </w:r>
      <w:r>
        <w:rPr>
          <w:rFonts w:ascii="FangSong" w:hAnsi="FangSong" w:eastAsia="FangSong" w:cs="FangSong"/>
          <w:sz w:val="24"/>
          <w:szCs w:val="24"/>
        </w:rPr>
        <w:t>加强对职工的技术培训和安全应急能力训练，事故发生时，立即展开自救，</w:t>
      </w:r>
      <w:r>
        <w:rPr>
          <w:rFonts w:ascii="FangSong" w:hAnsi="FangSong" w:eastAsia="FangSong" w:cs="FangSong"/>
          <w:sz w:val="24"/>
          <w:szCs w:val="24"/>
          <w:spacing w:val="1"/>
        </w:rPr>
        <w:t>并向单位领导、当地政府和相关部门汇报。及时向可能受到影响的公众通报，组织</w:t>
      </w:r>
      <w:r>
        <w:rPr>
          <w:rFonts w:ascii="FangSong" w:hAnsi="FangSong" w:eastAsia="FangSong" w:cs="FangSong"/>
          <w:sz w:val="24"/>
          <w:szCs w:val="24"/>
          <w:spacing w:val="-3"/>
        </w:rPr>
        <w:t>进行疏散工作。</w:t>
      </w:r>
    </w:p>
    <w:p>
      <w:pPr>
        <w:ind w:left="28" w:right="80" w:firstLine="461"/>
        <w:spacing w:before="181" w:line="290" w:lineRule="auto"/>
        <w:rPr>
          <w:rFonts w:ascii="FangSong" w:hAnsi="FangSong" w:eastAsia="FangSong" w:cs="FangSong"/>
          <w:sz w:val="24"/>
          <w:szCs w:val="24"/>
        </w:rPr>
      </w:pPr>
      <w:r>
        <w:rPr>
          <w:rFonts w:ascii="Times New Roman" w:hAnsi="Times New Roman" w:eastAsia="Times New Roman" w:cs="Times New Roman"/>
          <w:sz w:val="24"/>
          <w:szCs w:val="24"/>
        </w:rPr>
        <w:t>b.  </w:t>
      </w:r>
      <w:r>
        <w:rPr>
          <w:rFonts w:ascii="FangSong" w:hAnsi="FangSong" w:eastAsia="FangSong" w:cs="FangSong"/>
          <w:sz w:val="24"/>
          <w:szCs w:val="24"/>
        </w:rPr>
        <w:t>成立应急救援中心，并配备专业的应急救援队伍。应急中心下</w:t>
      </w:r>
      <w:r>
        <w:rPr>
          <w:rFonts w:ascii="FangSong" w:hAnsi="FangSong" w:eastAsia="FangSong" w:cs="FangSong"/>
          <w:sz w:val="24"/>
          <w:szCs w:val="24"/>
          <w:spacing w:val="-1"/>
        </w:rPr>
        <w:t>设专业部门负</w:t>
      </w:r>
      <w:r>
        <w:rPr>
          <w:rFonts w:ascii="FangSong" w:hAnsi="FangSong" w:eastAsia="FangSong" w:cs="FangSong"/>
          <w:sz w:val="24"/>
          <w:szCs w:val="24"/>
          <w:spacing w:val="1"/>
        </w:rPr>
        <w:t>责完成各自的专业救援工作，各部门之间建立良好畅通的通讯联系，在事故发生时</w:t>
      </w:r>
    </w:p>
    <w:p>
      <w:pPr>
        <w:spacing w:line="290" w:lineRule="auto"/>
        <w:sectPr>
          <w:footerReference w:type="default" r:id="rId104"/>
          <w:pgSz w:w="11911" w:h="16839"/>
          <w:pgMar w:top="400" w:right="133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0"/>
        <w:spacing w:before="78" w:line="222" w:lineRule="auto"/>
        <w:rPr>
          <w:rFonts w:ascii="FangSong" w:hAnsi="FangSong" w:eastAsia="FangSong" w:cs="FangSong"/>
          <w:sz w:val="24"/>
          <w:szCs w:val="24"/>
        </w:rPr>
      </w:pPr>
      <w:r>
        <w:rPr>
          <w:rFonts w:ascii="FangSong" w:hAnsi="FangSong" w:eastAsia="FangSong" w:cs="FangSong"/>
          <w:sz w:val="24"/>
          <w:szCs w:val="24"/>
          <w:spacing w:val="-3"/>
        </w:rPr>
        <w:t>能及时通知相关的部门和人员。</w:t>
      </w:r>
    </w:p>
    <w:p>
      <w:pPr>
        <w:ind w:left="26" w:right="60" w:firstLine="472"/>
        <w:spacing w:before="180" w:line="313" w:lineRule="auto"/>
        <w:rPr>
          <w:rFonts w:ascii="FangSong" w:hAnsi="FangSong" w:eastAsia="FangSong" w:cs="FangSong"/>
          <w:sz w:val="24"/>
          <w:szCs w:val="24"/>
        </w:rPr>
      </w:pPr>
      <w:r>
        <w:rPr>
          <w:rFonts w:ascii="Times New Roman" w:hAnsi="Times New Roman" w:eastAsia="Times New Roman" w:cs="Times New Roman"/>
          <w:sz w:val="24"/>
          <w:szCs w:val="24"/>
        </w:rPr>
        <w:t>c.  </w:t>
      </w:r>
      <w:r>
        <w:rPr>
          <w:rFonts w:ascii="FangSong" w:hAnsi="FangSong" w:eastAsia="FangSong" w:cs="FangSong"/>
          <w:sz w:val="24"/>
          <w:szCs w:val="24"/>
        </w:rPr>
        <w:t>安全部门负责组织制定预防矿山事故的管理制度和技术措施；编制应急救援</w:t>
      </w:r>
      <w:r>
        <w:rPr>
          <w:rFonts w:ascii="FangSong" w:hAnsi="FangSong" w:eastAsia="FangSong" w:cs="FangSong"/>
          <w:sz w:val="24"/>
          <w:szCs w:val="24"/>
          <w:spacing w:val="1"/>
        </w:rPr>
        <w:t>计划方案；组织矿山事故预防和应急救援教育和训练；组织与指导事故的自救与社</w:t>
      </w:r>
      <w:r>
        <w:rPr>
          <w:rFonts w:ascii="FangSong" w:hAnsi="FangSong" w:eastAsia="FangSong" w:cs="FangSong"/>
          <w:sz w:val="24"/>
          <w:szCs w:val="24"/>
          <w:spacing w:val="-2"/>
        </w:rPr>
        <w:t>会应急救援；组织事故分析上报。</w:t>
      </w:r>
    </w:p>
    <w:p>
      <w:pPr>
        <w:ind w:left="45" w:right="62" w:firstLine="453"/>
        <w:spacing w:before="178" w:line="290" w:lineRule="auto"/>
        <w:rPr>
          <w:rFonts w:ascii="FangSong" w:hAnsi="FangSong" w:eastAsia="FangSong" w:cs="FangSong"/>
          <w:sz w:val="24"/>
          <w:szCs w:val="24"/>
        </w:rPr>
      </w:pPr>
      <w:r>
        <w:rPr>
          <w:rFonts w:ascii="Times New Roman" w:hAnsi="Times New Roman" w:eastAsia="Times New Roman" w:cs="Times New Roman"/>
          <w:sz w:val="24"/>
          <w:szCs w:val="24"/>
        </w:rPr>
        <w:t>d.  </w:t>
      </w:r>
      <w:r>
        <w:rPr>
          <w:rFonts w:ascii="FangSong" w:hAnsi="FangSong" w:eastAsia="FangSong" w:cs="FangSong"/>
          <w:sz w:val="24"/>
          <w:szCs w:val="24"/>
        </w:rPr>
        <w:t>保卫部门主要负责组织快速应急救援队伍，</w:t>
      </w:r>
      <w:r>
        <w:rPr>
          <w:rFonts w:ascii="FangSong" w:hAnsi="FangSong" w:eastAsia="FangSong" w:cs="FangSong"/>
          <w:sz w:val="24"/>
          <w:szCs w:val="24"/>
          <w:spacing w:val="-1"/>
        </w:rPr>
        <w:t>协助公安和消防部门营救受害人</w:t>
      </w:r>
      <w:r>
        <w:rPr>
          <w:rFonts w:ascii="FangSong" w:hAnsi="FangSong" w:eastAsia="FangSong" w:cs="FangSong"/>
          <w:sz w:val="24"/>
          <w:szCs w:val="24"/>
          <w:spacing w:val="-3"/>
        </w:rPr>
        <w:t>员和治安保卫及撤离任务。</w:t>
      </w:r>
    </w:p>
    <w:p>
      <w:pPr>
        <w:ind w:left="37" w:right="62" w:firstLine="462"/>
        <w:spacing w:before="177" w:line="292" w:lineRule="auto"/>
        <w:rPr>
          <w:rFonts w:ascii="FangSong" w:hAnsi="FangSong" w:eastAsia="FangSong" w:cs="FangSong"/>
          <w:sz w:val="24"/>
          <w:szCs w:val="24"/>
        </w:rPr>
      </w:pPr>
      <w:r>
        <w:rPr>
          <w:rFonts w:ascii="Times New Roman" w:hAnsi="Times New Roman" w:eastAsia="Times New Roman" w:cs="Times New Roman"/>
          <w:sz w:val="24"/>
          <w:szCs w:val="24"/>
        </w:rPr>
        <w:t>e.  </w:t>
      </w:r>
      <w:r>
        <w:rPr>
          <w:rFonts w:ascii="FangSong" w:hAnsi="FangSong" w:eastAsia="FangSong" w:cs="FangSong"/>
          <w:sz w:val="24"/>
          <w:szCs w:val="24"/>
        </w:rPr>
        <w:t>卫生、医疗部门主要负责受害人员的急救治疗，指导公众进行医学防护</w:t>
      </w:r>
      <w:r>
        <w:rPr>
          <w:rFonts w:ascii="FangSong" w:hAnsi="FangSong" w:eastAsia="FangSong" w:cs="FangSong"/>
          <w:sz w:val="24"/>
          <w:szCs w:val="24"/>
          <w:spacing w:val="-1"/>
        </w:rPr>
        <w:t>及医</w:t>
      </w:r>
      <w:r>
        <w:rPr>
          <w:rFonts w:ascii="FangSong" w:hAnsi="FangSong" w:eastAsia="FangSong" w:cs="FangSong"/>
          <w:sz w:val="24"/>
          <w:szCs w:val="24"/>
          <w:spacing w:val="-6"/>
        </w:rPr>
        <w:t>学处理等。</w:t>
      </w:r>
    </w:p>
    <w:p>
      <w:pPr>
        <w:ind w:left="500"/>
        <w:spacing w:before="177" w:line="221" w:lineRule="auto"/>
        <w:rPr>
          <w:rFonts w:ascii="FangSong" w:hAnsi="FangSong" w:eastAsia="FangSong" w:cs="FangSong"/>
          <w:sz w:val="24"/>
          <w:szCs w:val="24"/>
        </w:rPr>
      </w:pPr>
      <w:r>
        <w:rPr>
          <w:rFonts w:ascii="Times New Roman" w:hAnsi="Times New Roman" w:eastAsia="Times New Roman" w:cs="Times New Roman"/>
          <w:sz w:val="24"/>
          <w:szCs w:val="24"/>
        </w:rPr>
        <w:t>f.  </w:t>
      </w:r>
      <w:r>
        <w:rPr>
          <w:rFonts w:ascii="FangSong" w:hAnsi="FangSong" w:eastAsia="FangSong" w:cs="FangSong"/>
          <w:sz w:val="24"/>
          <w:szCs w:val="24"/>
        </w:rPr>
        <w:t>抢险队伍主要负责对有关重要目标进行抢险</w:t>
      </w:r>
      <w:r>
        <w:rPr>
          <w:rFonts w:ascii="FangSong" w:hAnsi="FangSong" w:eastAsia="FangSong" w:cs="FangSong"/>
          <w:sz w:val="24"/>
          <w:szCs w:val="24"/>
          <w:spacing w:val="-1"/>
        </w:rPr>
        <w:t>，必要时协助公众疏散等。</w:t>
      </w:r>
    </w:p>
    <w:p>
      <w:pPr>
        <w:ind w:left="28" w:firstLine="478"/>
        <w:spacing w:before="177" w:line="360" w:lineRule="auto"/>
        <w:jc w:val="both"/>
        <w:rPr>
          <w:rFonts w:ascii="FangSong" w:hAnsi="FangSong" w:eastAsia="FangSong" w:cs="FangSong"/>
          <w:sz w:val="24"/>
          <w:szCs w:val="24"/>
        </w:rPr>
      </w:pPr>
      <w:r>
        <w:rPr>
          <w:rFonts w:ascii="FangSong" w:hAnsi="FangSong" w:eastAsia="FangSong" w:cs="FangSong"/>
          <w:sz w:val="24"/>
          <w:szCs w:val="24"/>
          <w:spacing w:val="-4"/>
        </w:rPr>
        <w:t>应急状态善后工作，包括确认事故状态解除、清理现场、恢复生产等现场工作；</w:t>
      </w:r>
      <w:r>
        <w:rPr>
          <w:rFonts w:ascii="FangSong" w:hAnsi="FangSong" w:eastAsia="FangSong" w:cs="FangSong"/>
          <w:sz w:val="24"/>
          <w:szCs w:val="24"/>
          <w:spacing w:val="1"/>
        </w:rPr>
        <w:t>对事故中受伤人员的医治；事故损失的估算；事故原因分析和防止事故再发生的防</w:t>
      </w:r>
      <w:r>
        <w:rPr>
          <w:rFonts w:ascii="FangSong" w:hAnsi="FangSong" w:eastAsia="FangSong" w:cs="FangSong"/>
          <w:sz w:val="24"/>
          <w:szCs w:val="24"/>
          <w:spacing w:val="-1"/>
        </w:rPr>
        <w:t>范措施等，总结教训，写出事故报告，报有关主管部门等。</w:t>
      </w:r>
    </w:p>
    <w:p>
      <w:pPr>
        <w:spacing w:line="360" w:lineRule="auto"/>
        <w:sectPr>
          <w:footerReference w:type="default" r:id="rId105"/>
          <w:pgSz w:w="11911" w:h="16839"/>
          <w:pgMar w:top="400" w:right="1355" w:bottom="1146" w:left="1786" w:header="0" w:footer="984" w:gutter="0"/>
        </w:sectPr>
        <w:rPr>
          <w:rFonts w:ascii="FangSong" w:hAnsi="FangSong" w:eastAsia="FangSong" w:cs="FangSong"/>
          <w:sz w:val="24"/>
          <w:szCs w:val="24"/>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18"/>
        <w:spacing w:before="98" w:line="222" w:lineRule="auto"/>
        <w:outlineLvl w:val="0"/>
        <w:rPr>
          <w:rFonts w:ascii="FangSong" w:hAnsi="FangSong" w:eastAsia="FangSong" w:cs="FangSong"/>
          <w:sz w:val="30"/>
          <w:szCs w:val="30"/>
        </w:rPr>
      </w:pPr>
      <w:bookmarkStart w:name="bookmark123" w:id="169"/>
      <w:bookmarkEnd w:id="169"/>
      <w:bookmarkStart w:name="bookmark125" w:id="170"/>
      <w:bookmarkEnd w:id="170"/>
      <w:bookmarkStart w:name="bookmark127" w:id="171"/>
      <w:bookmarkEnd w:id="171"/>
      <w:bookmarkStart w:name="bookmark122" w:id="172"/>
      <w:bookmarkEnd w:id="172"/>
      <w:bookmarkStart w:name="bookmark124" w:id="173"/>
      <w:bookmarkEnd w:id="173"/>
      <w:bookmarkStart w:name="bookmark126" w:id="174"/>
      <w:bookmarkEnd w:id="174"/>
      <w:r>
        <w:rPr>
          <w:rFonts w:ascii="Times New Roman" w:hAnsi="Times New Roman" w:eastAsia="Times New Roman" w:cs="Times New Roman"/>
          <w:sz w:val="30"/>
          <w:szCs w:val="30"/>
          <w:b/>
          <w:bCs/>
          <w:spacing w:val="-7"/>
        </w:rPr>
        <w:t>4</w:t>
      </w:r>
      <w:r>
        <w:rPr>
          <w:rFonts w:ascii="Times New Roman" w:hAnsi="Times New Roman" w:eastAsia="Times New Roman" w:cs="Times New Roman"/>
          <w:sz w:val="30"/>
          <w:szCs w:val="30"/>
          <w:b/>
          <w:bCs/>
          <w:spacing w:val="16"/>
        </w:rPr>
        <w:t xml:space="preserve">  </w:t>
      </w:r>
      <w:r>
        <w:rPr>
          <w:rFonts w:ascii="FangSong" w:hAnsi="FangSong" w:eastAsia="FangSong" w:cs="FangSong"/>
          <w:sz w:val="30"/>
          <w:szCs w:val="30"/>
          <w:b/>
          <w:bCs/>
          <w:spacing w:val="-7"/>
        </w:rPr>
        <w:t>工程概况及分析</w:t>
      </w:r>
    </w:p>
    <w:p>
      <w:pPr>
        <w:ind w:left="17"/>
        <w:spacing w:before="217" w:line="223" w:lineRule="auto"/>
        <w:outlineLvl w:val="1"/>
        <w:rPr>
          <w:rFonts w:ascii="FangSong" w:hAnsi="FangSong" w:eastAsia="FangSong" w:cs="FangSong"/>
          <w:sz w:val="28"/>
          <w:szCs w:val="28"/>
        </w:rPr>
      </w:pPr>
      <w:bookmarkStart w:name="bookmark537" w:id="175"/>
      <w:bookmarkEnd w:id="175"/>
      <w:r>
        <w:rPr>
          <w:rFonts w:ascii="Times New Roman" w:hAnsi="Times New Roman" w:eastAsia="Times New Roman" w:cs="Times New Roman"/>
          <w:sz w:val="28"/>
          <w:szCs w:val="28"/>
          <w:b/>
          <w:bCs/>
          <w:spacing w:val="-5"/>
        </w:rPr>
        <w:t>4.1</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项目概况</w:t>
      </w:r>
    </w:p>
    <w:p>
      <w:pPr>
        <w:ind w:left="16"/>
        <w:spacing w:before="201" w:line="222" w:lineRule="auto"/>
        <w:outlineLvl w:val="2"/>
        <w:rPr>
          <w:rFonts w:ascii="FangSong" w:hAnsi="FangSong" w:eastAsia="FangSong" w:cs="FangSong"/>
          <w:sz w:val="24"/>
          <w:szCs w:val="24"/>
        </w:rPr>
      </w:pPr>
      <w:bookmarkStart w:name="bookmark538" w:id="176"/>
      <w:bookmarkEnd w:id="176"/>
      <w:r>
        <w:rPr>
          <w:rFonts w:ascii="Times New Roman" w:hAnsi="Times New Roman" w:eastAsia="Times New Roman" w:cs="Times New Roman"/>
          <w:sz w:val="24"/>
          <w:szCs w:val="24"/>
          <w:b/>
          <w:bCs/>
          <w:spacing w:val="-2"/>
        </w:rPr>
        <w:t>4.1.1  </w:t>
      </w:r>
      <w:r>
        <w:rPr>
          <w:rFonts w:ascii="FangSong" w:hAnsi="FangSong" w:eastAsia="FangSong" w:cs="FangSong"/>
          <w:sz w:val="24"/>
          <w:szCs w:val="24"/>
          <w:b/>
          <w:bCs/>
          <w:spacing w:val="-2"/>
        </w:rPr>
        <w:t>项目基本情况</w:t>
      </w:r>
    </w:p>
    <w:p>
      <w:pPr>
        <w:ind w:left="34" w:right="65" w:firstLine="477"/>
        <w:spacing w:before="179"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）项目名称：苏尼特右旗富邦矿业有限公司苏尼特右旗桑宝力嘎额尔登塔拉</w:t>
      </w:r>
      <w:r>
        <w:rPr>
          <w:rFonts w:ascii="FangSong" w:hAnsi="FangSong" w:eastAsia="FangSong" w:cs="FangSong"/>
          <w:sz w:val="24"/>
          <w:szCs w:val="24"/>
          <w:spacing w:val="-1"/>
        </w:rPr>
        <w:t>萤石矿</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 </w:t>
      </w:r>
      <w:r>
        <w:rPr>
          <w:rFonts w:ascii="FangSong" w:hAnsi="FangSong" w:eastAsia="FangSong" w:cs="FangSong"/>
          <w:sz w:val="24"/>
          <w:szCs w:val="24"/>
          <w:spacing w:val="-1"/>
        </w:rPr>
        <w:t>采选项目（变更）</w:t>
      </w:r>
    </w:p>
    <w:p>
      <w:pPr>
        <w:ind w:left="511"/>
        <w:spacing w:before="176"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）建设单位：苏尼特右旗富邦矿业有限公司</w:t>
      </w:r>
    </w:p>
    <w:p>
      <w:pPr>
        <w:ind w:left="511"/>
        <w:spacing w:before="178"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）项目性质：新建</w:t>
      </w:r>
    </w:p>
    <w:p>
      <w:pPr>
        <w:ind w:left="15" w:firstLine="495"/>
        <w:spacing w:before="183" w:line="331"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4</w:t>
      </w:r>
      <w:r>
        <w:rPr>
          <w:rFonts w:ascii="FangSong" w:hAnsi="FangSong" w:eastAsia="FangSong" w:cs="FangSong"/>
          <w:sz w:val="24"/>
          <w:szCs w:val="24"/>
          <w:spacing w:val="4"/>
        </w:rPr>
        <w:t>）建设地点及交通情况：本项目位于苏尼特右旗旗政府所在地赛汉塔拉镇</w:t>
      </w:r>
      <w:r>
        <w:rPr>
          <w:rFonts w:ascii="Times New Roman" w:hAnsi="Times New Roman" w:eastAsia="Times New Roman" w:cs="Times New Roman"/>
          <w:sz w:val="24"/>
          <w:szCs w:val="24"/>
          <w:spacing w:val="-4"/>
        </w:rPr>
        <w:t>25°</w:t>
      </w:r>
      <w:r>
        <w:rPr>
          <w:rFonts w:ascii="FangSong" w:hAnsi="FangSong" w:eastAsia="FangSong" w:cs="FangSong"/>
          <w:sz w:val="24"/>
          <w:szCs w:val="24"/>
          <w:spacing w:val="-4"/>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40km</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处，行政区划隶属于苏</w:t>
      </w:r>
      <w:r>
        <w:rPr>
          <w:rFonts w:ascii="FangSong" w:hAnsi="FangSong" w:eastAsia="FangSong" w:cs="FangSong"/>
          <w:sz w:val="24"/>
          <w:szCs w:val="24"/>
          <w:spacing w:val="-5"/>
        </w:rPr>
        <w:t>尼特右旗桑宝力嘎苏木。其</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2000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5"/>
        </w:rPr>
        <w:t>国家大地</w:t>
      </w:r>
      <w:r>
        <w:rPr>
          <w:rFonts w:ascii="FangSong" w:hAnsi="FangSong" w:eastAsia="FangSong" w:cs="FangSong"/>
          <w:sz w:val="24"/>
          <w:szCs w:val="24"/>
          <w:spacing w:val="-6"/>
        </w:rPr>
        <w:t>坐标系：极值地理坐标为：东经：</w:t>
      </w:r>
      <w:r>
        <w:rPr>
          <w:rFonts w:ascii="Times New Roman" w:hAnsi="Times New Roman" w:eastAsia="Times New Roman" w:cs="Times New Roman"/>
          <w:sz w:val="24"/>
          <w:szCs w:val="24"/>
          <w:spacing w:val="-6"/>
        </w:rPr>
        <w:t>112°52′01″-112°56′</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6"/>
        </w:rPr>
        <w:t>11″</w:t>
      </w:r>
      <w:r>
        <w:rPr>
          <w:rFonts w:ascii="FangSong" w:hAnsi="FangSong" w:eastAsia="FangSong" w:cs="FangSong"/>
          <w:sz w:val="24"/>
          <w:szCs w:val="24"/>
          <w:spacing w:val="-6"/>
        </w:rPr>
        <w:t>，北纬：</w:t>
      </w:r>
      <w:r>
        <w:rPr>
          <w:rFonts w:ascii="Times New Roman" w:hAnsi="Times New Roman" w:eastAsia="Times New Roman" w:cs="Times New Roman"/>
          <w:sz w:val="24"/>
          <w:szCs w:val="24"/>
          <w:spacing w:val="-6"/>
        </w:rPr>
        <w:t>42°59′53″-43°02′49″</w:t>
      </w:r>
      <w:r>
        <w:rPr>
          <w:rFonts w:ascii="FangSong" w:hAnsi="FangSong" w:eastAsia="FangSong" w:cs="FangSong"/>
          <w:sz w:val="24"/>
          <w:szCs w:val="24"/>
          <w:spacing w:val="-6"/>
        </w:rPr>
        <w:t>，</w:t>
      </w:r>
      <w:r>
        <w:rPr>
          <w:rFonts w:ascii="FangSong" w:hAnsi="FangSong" w:eastAsia="FangSong" w:cs="FangSong"/>
          <w:sz w:val="24"/>
          <w:szCs w:val="24"/>
          <w:spacing w:val="-2"/>
        </w:rPr>
        <w:t>中心点平面直角坐标为</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X=4765763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Y=38410563</w:t>
      </w:r>
      <w:r>
        <w:rPr>
          <w:rFonts w:ascii="FangSong" w:hAnsi="FangSong" w:eastAsia="FangSong" w:cs="FangSong"/>
          <w:sz w:val="24"/>
          <w:szCs w:val="24"/>
          <w:spacing w:val="-2"/>
        </w:rPr>
        <w:t>。</w:t>
      </w:r>
    </w:p>
    <w:p>
      <w:pPr>
        <w:ind w:left="14" w:right="65" w:firstLine="491"/>
        <w:spacing w:before="147" w:line="359" w:lineRule="auto"/>
        <w:jc w:val="both"/>
        <w:rPr>
          <w:rFonts w:ascii="FangSong" w:hAnsi="FangSong" w:eastAsia="FangSong" w:cs="FangSong"/>
          <w:sz w:val="24"/>
          <w:szCs w:val="24"/>
        </w:rPr>
      </w:pPr>
      <w:r>
        <w:rPr>
          <w:rFonts w:ascii="FangSong" w:hAnsi="FangSong" w:eastAsia="FangSong" w:cs="FangSong"/>
          <w:sz w:val="24"/>
          <w:szCs w:val="24"/>
          <w:spacing w:val="-6"/>
        </w:rPr>
        <w:t>矿区北西距</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6"/>
        </w:rPr>
        <w:t>S101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省道</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5km</w:t>
      </w:r>
      <w:r>
        <w:rPr>
          <w:rFonts w:ascii="FangSong" w:hAnsi="FangSong" w:eastAsia="FangSong" w:cs="FangSong"/>
          <w:sz w:val="24"/>
          <w:szCs w:val="24"/>
          <w:spacing w:val="-6"/>
        </w:rPr>
        <w:t>，有柏油路与</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6"/>
        </w:rPr>
        <w:t>S101</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6"/>
        </w:rPr>
        <w:t>省道相连；经</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6"/>
        </w:rPr>
        <w:t>S101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6"/>
        </w:rPr>
        <w:t>省道南西至苏</w:t>
      </w:r>
      <w:r>
        <w:rPr>
          <w:rFonts w:ascii="FangSong" w:hAnsi="FangSong" w:eastAsia="FangSong" w:cs="FangSong"/>
          <w:sz w:val="24"/>
          <w:szCs w:val="24"/>
          <w:spacing w:val="1"/>
        </w:rPr>
        <w:t>尼特右旗赛汉塔拉镇运距约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40</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。矿区北西距集宁</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二连铁路赛汉塔拉火车站运距</w:t>
      </w:r>
      <w:r>
        <w:rPr>
          <w:rFonts w:ascii="Times New Roman" w:hAnsi="Times New Roman" w:eastAsia="Times New Roman" w:cs="Times New Roman"/>
          <w:sz w:val="24"/>
          <w:szCs w:val="24"/>
          <w:spacing w:val="-2"/>
        </w:rPr>
        <w:t>40km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，交通便利，其地理位置见附图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w:t>
      </w:r>
      <w:r>
        <w:rPr>
          <w:rFonts w:ascii="FangSong" w:hAnsi="FangSong" w:eastAsia="FangSong" w:cs="FangSong"/>
          <w:sz w:val="24"/>
          <w:szCs w:val="24"/>
          <w:spacing w:val="-2"/>
        </w:rPr>
        <w:t>。</w:t>
      </w:r>
    </w:p>
    <w:p>
      <w:pPr>
        <w:ind w:left="26" w:right="65" w:firstLine="485"/>
        <w:spacing w:before="1"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）开采方式、建设规模：开采方式为地下开采；设计采矿规模为</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w:t>
      </w:r>
      <w:r>
        <w:rPr>
          <w:rFonts w:ascii="FangSong" w:hAnsi="FangSong" w:eastAsia="FangSong" w:cs="FangSong"/>
          <w:sz w:val="24"/>
          <w:szCs w:val="24"/>
          <w:spacing w:val="-8"/>
        </w:rPr>
        <w:t>服务年限</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8"/>
        </w:rPr>
        <w:t>年（含基建期</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8"/>
        </w:rPr>
        <w:t>年</w:t>
      </w:r>
      <w:r>
        <w:rPr>
          <w:rFonts w:ascii="FangSong" w:hAnsi="FangSong" w:eastAsia="FangSong" w:cs="FangSong"/>
          <w:sz w:val="24"/>
          <w:szCs w:val="24"/>
          <w:spacing w:val="2"/>
        </w:rPr>
        <w:t>）；</w:t>
      </w:r>
      <w:r>
        <w:rPr>
          <w:rFonts w:ascii="FangSong" w:hAnsi="FangSong" w:eastAsia="FangSong" w:cs="FangSong"/>
          <w:sz w:val="24"/>
          <w:szCs w:val="24"/>
          <w:spacing w:val="-8"/>
        </w:rPr>
        <w:t>选矿规模为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8"/>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8"/>
        </w:rPr>
        <w:t>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8"/>
        </w:rPr>
        <w:t>，服务年限</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8"/>
        </w:rPr>
        <w:t>年，矿山最</w:t>
      </w:r>
      <w:r>
        <w:rPr>
          <w:rFonts w:ascii="FangSong" w:hAnsi="FangSong" w:eastAsia="FangSong" w:cs="FangSong"/>
          <w:sz w:val="24"/>
          <w:szCs w:val="24"/>
          <w:spacing w:val="-2"/>
        </w:rPr>
        <w:t>终产品为品位</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96.62%</w:t>
      </w:r>
      <w:r>
        <w:rPr>
          <w:rFonts w:ascii="FangSong" w:hAnsi="FangSong" w:eastAsia="FangSong" w:cs="FangSong"/>
          <w:sz w:val="24"/>
          <w:szCs w:val="24"/>
          <w:spacing w:val="-2"/>
        </w:rPr>
        <w:t>的萤石精矿；</w:t>
      </w:r>
    </w:p>
    <w:p>
      <w:pPr>
        <w:ind w:left="26" w:right="65" w:firstLine="485"/>
        <w:spacing w:before="178"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w:t>
      </w:r>
      <w:r>
        <w:rPr>
          <w:rFonts w:ascii="FangSong" w:hAnsi="FangSong" w:eastAsia="FangSong" w:cs="FangSong"/>
          <w:sz w:val="24"/>
          <w:szCs w:val="24"/>
          <w:spacing w:val="-60"/>
        </w:rPr>
        <w:t xml:space="preserve"> </w:t>
      </w:r>
      <w:r>
        <w:rPr>
          <w:rFonts w:ascii="FangSong" w:hAnsi="FangSong" w:eastAsia="FangSong" w:cs="FangSong"/>
          <w:sz w:val="24"/>
          <w:szCs w:val="24"/>
          <w:spacing w:val="-3"/>
        </w:rPr>
        <w:t>占地情况：矿区面积为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1117.76hm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，永久占地面积为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7.2203</w:t>
      </w:r>
      <w:r>
        <w:rPr>
          <w:rFonts w:ascii="Times New Roman" w:hAnsi="Times New Roman" w:eastAsia="Times New Roman" w:cs="Times New Roman"/>
          <w:sz w:val="24"/>
          <w:szCs w:val="24"/>
          <w:spacing w:val="-4"/>
        </w:rPr>
        <w:t>hm²</w:t>
      </w:r>
      <w:r>
        <w:rPr>
          <w:rFonts w:ascii="FangSong" w:hAnsi="FangSong" w:eastAsia="FangSong" w:cs="FangSong"/>
          <w:sz w:val="24"/>
          <w:szCs w:val="24"/>
          <w:spacing w:val="-4"/>
        </w:rPr>
        <w:t>（新建生</w:t>
      </w:r>
      <w:r>
        <w:rPr>
          <w:rFonts w:ascii="FangSong" w:hAnsi="FangSong" w:eastAsia="FangSong" w:cs="FangSong"/>
          <w:sz w:val="24"/>
          <w:szCs w:val="24"/>
          <w:spacing w:val="-2"/>
        </w:rPr>
        <w:t>产设施功能区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2"/>
        </w:rPr>
        <w:t>1.6798hm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、辅助生产设施功能区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2.63</w:t>
      </w:r>
      <w:r>
        <w:rPr>
          <w:rFonts w:ascii="Times New Roman" w:hAnsi="Times New Roman" w:eastAsia="Times New Roman" w:cs="Times New Roman"/>
          <w:sz w:val="24"/>
          <w:szCs w:val="24"/>
          <w:spacing w:val="-3"/>
        </w:rPr>
        <w:t>41hm</w:t>
      </w:r>
      <w:r>
        <w:rPr>
          <w:rFonts w:ascii="Times New Roman" w:hAnsi="Times New Roman" w:eastAsia="Times New Roman" w:cs="Times New Roman"/>
          <w:sz w:val="15"/>
          <w:szCs w:val="15"/>
          <w:spacing w:val="-3"/>
          <w:position w:val="8"/>
        </w:rPr>
        <w:t>2 </w:t>
      </w:r>
      <w:r>
        <w:rPr>
          <w:rFonts w:ascii="FangSong" w:hAnsi="FangSong" w:eastAsia="FangSong" w:cs="FangSong"/>
          <w:sz w:val="24"/>
          <w:szCs w:val="24"/>
          <w:spacing w:val="-3"/>
        </w:rPr>
        <w:t>、行政管理与生活服务设</w:t>
      </w:r>
      <w:r>
        <w:rPr>
          <w:rFonts w:ascii="FangSong" w:hAnsi="FangSong" w:eastAsia="FangSong" w:cs="FangSong"/>
          <w:sz w:val="24"/>
          <w:szCs w:val="24"/>
          <w:spacing w:val="-3"/>
        </w:rPr>
        <w:t>施功能区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0.9600hm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、厂内道路功能区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1.9464hm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w:t>
      </w:r>
      <w:r>
        <w:rPr>
          <w:rFonts w:ascii="FangSong" w:hAnsi="FangSong" w:eastAsia="FangSong" w:cs="FangSong"/>
          <w:sz w:val="24"/>
          <w:szCs w:val="24"/>
          <w:spacing w:val="-13"/>
        </w:rPr>
        <w:t>）；</w:t>
      </w:r>
    </w:p>
    <w:p>
      <w:pPr>
        <w:ind w:left="511"/>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7</w:t>
      </w:r>
      <w:r>
        <w:rPr>
          <w:rFonts w:ascii="FangSong" w:hAnsi="FangSong" w:eastAsia="FangSong" w:cs="FangSong"/>
          <w:sz w:val="24"/>
          <w:szCs w:val="24"/>
          <w:spacing w:val="-3"/>
        </w:rPr>
        <w:t>）开采标高：设计开采标高为</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3"/>
        </w:rPr>
        <w:t>1065.00m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至</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842.00m</w:t>
      </w:r>
      <w:r>
        <w:rPr>
          <w:rFonts w:ascii="FangSong" w:hAnsi="FangSong" w:eastAsia="FangSong" w:cs="FangSong"/>
          <w:sz w:val="24"/>
          <w:szCs w:val="24"/>
          <w:spacing w:val="-3"/>
        </w:rPr>
        <w:t>；</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8</w:t>
      </w:r>
      <w:r>
        <w:rPr>
          <w:rFonts w:ascii="FangSong" w:hAnsi="FangSong" w:eastAsia="FangSong" w:cs="FangSong"/>
          <w:sz w:val="24"/>
          <w:szCs w:val="24"/>
          <w:spacing w:val="-1"/>
        </w:rPr>
        <w:t>）井巷工程标高：井巷工程标高为地表</w:t>
      </w:r>
      <w:r>
        <w:rPr>
          <w:rFonts w:ascii="FangSong" w:hAnsi="FangSong" w:eastAsia="FangSong" w:cs="FangSong"/>
          <w:sz w:val="24"/>
          <w:szCs w:val="24"/>
          <w:spacing w:val="-2"/>
        </w:rPr>
        <w:t>至</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817.00m</w:t>
      </w:r>
      <w:r>
        <w:rPr>
          <w:rFonts w:ascii="FangSong" w:hAnsi="FangSong" w:eastAsia="FangSong" w:cs="FangSong"/>
          <w:sz w:val="24"/>
          <w:szCs w:val="24"/>
          <w:spacing w:val="-2"/>
        </w:rPr>
        <w:t>；</w:t>
      </w:r>
    </w:p>
    <w:p>
      <w:pPr>
        <w:ind w:left="68" w:right="65" w:firstLine="443"/>
        <w:spacing w:before="180" w:line="29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9</w:t>
      </w:r>
      <w:r>
        <w:rPr>
          <w:rFonts w:ascii="FangSong" w:hAnsi="FangSong" w:eastAsia="FangSong" w:cs="FangSong"/>
          <w:sz w:val="24"/>
          <w:szCs w:val="24"/>
          <w:spacing w:val="-2"/>
        </w:rPr>
        <w:t>）项目投资：项目总投资总额为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9830.78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万元，其中环保投资</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381</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3"/>
        </w:rPr>
        <w:t>万元，约</w:t>
      </w:r>
      <w:r>
        <w:rPr>
          <w:rFonts w:ascii="FangSong" w:hAnsi="FangSong" w:eastAsia="FangSong" w:cs="FangSong"/>
          <w:sz w:val="24"/>
          <w:szCs w:val="24"/>
          <w:spacing w:val="-7"/>
        </w:rPr>
        <w:t>占总投资的</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7"/>
        </w:rPr>
        <w:t>3.88%</w:t>
      </w:r>
      <w:r>
        <w:rPr>
          <w:rFonts w:ascii="FangSong" w:hAnsi="FangSong" w:eastAsia="FangSong" w:cs="FangSong"/>
          <w:sz w:val="24"/>
          <w:szCs w:val="24"/>
          <w:spacing w:val="-7"/>
        </w:rPr>
        <w:t>；</w:t>
      </w:r>
    </w:p>
    <w:p>
      <w:pPr>
        <w:ind w:left="27" w:right="65" w:firstLine="484"/>
        <w:spacing w:before="178" w:line="29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10</w:t>
      </w:r>
      <w:r>
        <w:rPr>
          <w:rFonts w:ascii="FangSong" w:hAnsi="FangSong" w:eastAsia="FangSong" w:cs="FangSong"/>
          <w:sz w:val="24"/>
          <w:szCs w:val="24"/>
        </w:rPr>
        <w:t>）劳动定员及工作制度：劳动定员共</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134</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rPr>
        <w:t>人，采矿</w:t>
      </w:r>
      <w:r>
        <w:rPr>
          <w:rFonts w:ascii="FangSong" w:hAnsi="FangSong" w:eastAsia="FangSong" w:cs="FangSong"/>
          <w:sz w:val="24"/>
          <w:szCs w:val="24"/>
          <w:spacing w:val="-1"/>
        </w:rPr>
        <w:t>年工作</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300</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
        </w:rPr>
        <w:t>天，每天</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3</w:t>
      </w:r>
      <w:r>
        <w:rPr>
          <w:rFonts w:ascii="FangSong" w:hAnsi="FangSong" w:eastAsia="FangSong" w:cs="FangSong"/>
          <w:sz w:val="24"/>
          <w:szCs w:val="24"/>
          <w:spacing w:val="-6"/>
        </w:rPr>
        <w:t>班，每班</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6"/>
        </w:rPr>
        <w:t>8</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小时。</w:t>
      </w:r>
    </w:p>
    <w:p>
      <w:pPr>
        <w:ind w:left="16"/>
        <w:spacing w:before="176" w:line="222" w:lineRule="auto"/>
        <w:outlineLvl w:val="2"/>
        <w:rPr>
          <w:rFonts w:ascii="FangSong" w:hAnsi="FangSong" w:eastAsia="FangSong" w:cs="FangSong"/>
          <w:sz w:val="24"/>
          <w:szCs w:val="24"/>
        </w:rPr>
      </w:pPr>
      <w:bookmarkStart w:name="bookmark129" w:id="177"/>
      <w:bookmarkEnd w:id="177"/>
      <w:bookmarkStart w:name="bookmark128" w:id="178"/>
      <w:bookmarkEnd w:id="178"/>
      <w:r>
        <w:rPr>
          <w:rFonts w:ascii="Times New Roman" w:hAnsi="Times New Roman" w:eastAsia="Times New Roman" w:cs="Times New Roman"/>
          <w:sz w:val="24"/>
          <w:szCs w:val="24"/>
          <w:b/>
          <w:bCs/>
          <w:spacing w:val="-4"/>
        </w:rPr>
        <w:t>4.1.2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周围环境情况</w:t>
      </w:r>
    </w:p>
    <w:p>
      <w:pPr>
        <w:ind w:left="511"/>
        <w:spacing w:before="179" w:line="222"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）采矿区</w:t>
      </w:r>
    </w:p>
    <w:p>
      <w:pPr>
        <w:ind w:left="508"/>
        <w:spacing w:before="177" w:line="219" w:lineRule="auto"/>
        <w:rPr>
          <w:rFonts w:ascii="FangSong" w:hAnsi="FangSong" w:eastAsia="FangSong" w:cs="FangSong"/>
          <w:sz w:val="24"/>
          <w:szCs w:val="24"/>
        </w:rPr>
      </w:pPr>
      <w:r>
        <w:rPr>
          <w:rFonts w:ascii="FangSong" w:hAnsi="FangSong" w:eastAsia="FangSong" w:cs="FangSong"/>
          <w:sz w:val="24"/>
          <w:szCs w:val="24"/>
          <w:spacing w:val="2"/>
        </w:rPr>
        <w:t>采矿区周边主要为草原，矿区南侧存有</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2"/>
        </w:rPr>
        <w:t>户牧民，采矿区界限</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500m</w:t>
      </w:r>
      <w:r>
        <w:rPr>
          <w:rFonts w:ascii="Times New Roman" w:hAnsi="Times New Roman" w:eastAsia="Times New Roman" w:cs="Times New Roman"/>
          <w:sz w:val="24"/>
          <w:szCs w:val="24"/>
          <w:spacing w:val="34"/>
          <w:w w:val="101"/>
        </w:rPr>
        <w:t xml:space="preserve"> </w:t>
      </w:r>
      <w:r>
        <w:rPr>
          <w:rFonts w:ascii="FangSong" w:hAnsi="FangSong" w:eastAsia="FangSong" w:cs="FangSong"/>
          <w:sz w:val="24"/>
          <w:szCs w:val="24"/>
          <w:spacing w:val="2"/>
        </w:rPr>
        <w:t>范围内无</w:t>
      </w:r>
    </w:p>
    <w:p>
      <w:pPr>
        <w:spacing w:line="219" w:lineRule="auto"/>
        <w:sectPr>
          <w:footerReference w:type="default" r:id="rId106"/>
          <w:pgSz w:w="11911" w:h="16839"/>
          <w:pgMar w:top="400" w:right="1352" w:bottom="1144"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37" w:right="60" w:hanging="6"/>
        <w:spacing w:before="78" w:line="359" w:lineRule="auto"/>
        <w:rPr>
          <w:rFonts w:ascii="FangSong" w:hAnsi="FangSong" w:eastAsia="FangSong" w:cs="FangSong"/>
          <w:sz w:val="24"/>
          <w:szCs w:val="24"/>
        </w:rPr>
      </w:pPr>
      <w:r>
        <w:rPr>
          <w:rFonts w:ascii="FangSong" w:hAnsi="FangSong" w:eastAsia="FangSong" w:cs="FangSong"/>
          <w:sz w:val="24"/>
          <w:szCs w:val="24"/>
          <w:spacing w:val="1"/>
        </w:rPr>
        <w:t>城镇、铁路、村庄、大型基础设施，矿区范围内无文物或历史遗迹。采矿区界限距</w:t>
      </w:r>
      <w:r>
        <w:rPr>
          <w:rFonts w:ascii="FangSong" w:hAnsi="FangSong" w:eastAsia="FangSong" w:cs="FangSong"/>
          <w:sz w:val="24"/>
          <w:szCs w:val="24"/>
          <w:spacing w:val="-3"/>
        </w:rPr>
        <w:t>南侧的牧民最近点水平距离为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3"/>
        </w:rPr>
        <w:t>501m</w:t>
      </w:r>
      <w:r>
        <w:rPr>
          <w:rFonts w:ascii="FangSong" w:hAnsi="FangSong" w:eastAsia="FangSong" w:cs="FangSong"/>
          <w:sz w:val="24"/>
          <w:szCs w:val="24"/>
          <w:spacing w:val="-3"/>
        </w:rPr>
        <w:t>。</w:t>
      </w:r>
    </w:p>
    <w:p>
      <w:pPr>
        <w:ind w:left="12" w:right="60" w:firstLine="495"/>
        <w:spacing w:before="1" w:line="359" w:lineRule="auto"/>
        <w:jc w:val="both"/>
        <w:rPr>
          <w:rFonts w:ascii="FangSong" w:hAnsi="FangSong" w:eastAsia="FangSong" w:cs="FangSong"/>
          <w:sz w:val="24"/>
          <w:szCs w:val="24"/>
        </w:rPr>
      </w:pPr>
      <w:r>
        <w:rPr>
          <w:rFonts w:ascii="FangSong" w:hAnsi="FangSong" w:eastAsia="FangSong" w:cs="FangSong"/>
          <w:sz w:val="24"/>
          <w:szCs w:val="24"/>
          <w:spacing w:val="1"/>
        </w:rPr>
        <w:t>根据苏尼特右旗交通运输局《关于苏尼特右旗富邦矿业有限公司桑宝力额尔登</w:t>
      </w:r>
      <w:r>
        <w:rPr>
          <w:rFonts w:ascii="FangSong" w:hAnsi="FangSong" w:eastAsia="FangSong" w:cs="FangSong"/>
          <w:sz w:val="24"/>
          <w:szCs w:val="24"/>
          <w:spacing w:val="1"/>
        </w:rPr>
        <w:t>塔拉萤石矿区采矿权范围内是否涉及公路占地重叠的复函》“经核查，苏尼特右旗</w:t>
      </w:r>
      <w:r>
        <w:rPr>
          <w:rFonts w:ascii="FangSong" w:hAnsi="FangSong" w:eastAsia="FangSong" w:cs="FangSong"/>
          <w:sz w:val="24"/>
          <w:szCs w:val="24"/>
          <w:spacing w:val="8"/>
        </w:rPr>
        <w:t>富矿业有限公司桑宝力嘎额尔登塔拉萤石矿区采矿权压覆苏尼特右旗农牧区公路</w:t>
      </w:r>
      <w:r>
        <w:rPr>
          <w:rFonts w:ascii="Times New Roman" w:hAnsi="Times New Roman" w:eastAsia="Times New Roman" w:cs="Times New Roman"/>
          <w:sz w:val="24"/>
          <w:szCs w:val="24"/>
          <w:spacing w:val="-2"/>
        </w:rPr>
        <w:t>X520</w:t>
      </w:r>
      <w:r>
        <w:rPr>
          <w:rFonts w:ascii="Times New Roman" w:hAnsi="Times New Roman" w:eastAsia="Times New Roman" w:cs="Times New Roman"/>
          <w:sz w:val="24"/>
          <w:szCs w:val="24"/>
          <w:spacing w:val="38"/>
          <w:w w:val="101"/>
        </w:rPr>
        <w:t xml:space="preserve"> </w:t>
      </w:r>
      <w:r>
        <w:rPr>
          <w:rFonts w:ascii="FangSong" w:hAnsi="FangSong" w:eastAsia="FangSong" w:cs="FangSong"/>
          <w:sz w:val="24"/>
          <w:szCs w:val="24"/>
          <w:spacing w:val="-2"/>
        </w:rPr>
        <w:t>线洪格尔</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朱日和</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K271+000-K273+765</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处已建公路，不涉及规划路线。</w:t>
      </w:r>
      <w:r>
        <w:rPr>
          <w:rFonts w:ascii="FangSong" w:hAnsi="FangSong" w:eastAsia="FangSong" w:cs="FangSong"/>
          <w:sz w:val="24"/>
          <w:szCs w:val="24"/>
          <w:spacing w:val="-86"/>
        </w:rPr>
        <w:t xml:space="preserve"> </w:t>
      </w:r>
      <w:r>
        <w:rPr>
          <w:rFonts w:ascii="FangSong" w:hAnsi="FangSong" w:eastAsia="FangSong" w:cs="FangSong"/>
          <w:sz w:val="24"/>
          <w:szCs w:val="24"/>
          <w:spacing w:val="-2"/>
        </w:rPr>
        <w:t>”本矿</w:t>
      </w:r>
      <w:r>
        <w:rPr>
          <w:rFonts w:ascii="FangSong" w:hAnsi="FangSong" w:eastAsia="FangSong" w:cs="FangSong"/>
          <w:sz w:val="24"/>
          <w:szCs w:val="24"/>
          <w:spacing w:val="-2"/>
        </w:rPr>
        <w:t>权范围与公路</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X520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位置关系见附图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4-2</w:t>
      </w:r>
      <w:r>
        <w:rPr>
          <w:rFonts w:ascii="FangSong" w:hAnsi="FangSong" w:eastAsia="FangSong" w:cs="FangSong"/>
          <w:sz w:val="24"/>
          <w:szCs w:val="24"/>
          <w:spacing w:val="-2"/>
        </w:rPr>
        <w:t>。</w:t>
      </w:r>
    </w:p>
    <w:p>
      <w:pPr>
        <w:ind w:left="27" w:right="62" w:firstLine="480"/>
        <w:spacing w:line="359" w:lineRule="auto"/>
        <w:rPr>
          <w:rFonts w:ascii="FangSong" w:hAnsi="FangSong" w:eastAsia="FangSong" w:cs="FangSong"/>
          <w:sz w:val="24"/>
          <w:szCs w:val="24"/>
        </w:rPr>
      </w:pPr>
      <w:r>
        <w:rPr>
          <w:rFonts w:ascii="FangSong" w:hAnsi="FangSong" w:eastAsia="FangSong" w:cs="FangSong"/>
          <w:sz w:val="24"/>
          <w:szCs w:val="24"/>
        </w:rPr>
        <w:t>根据调查本项目周边相邻的矿业权主要是</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rPr>
        <w:t>个采矿权，经查询相邻矿业权与本</w:t>
      </w:r>
      <w:r>
        <w:rPr>
          <w:rFonts w:ascii="FangSong" w:hAnsi="FangSong" w:eastAsia="FangSong" w:cs="FangSong"/>
          <w:sz w:val="24"/>
          <w:szCs w:val="24"/>
          <w:spacing w:val="-2"/>
        </w:rPr>
        <w:t>项目采矿区矿业权无重叠，其位置关系见附图</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4-3</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。各矿业权的基本情况如下：</w:t>
      </w:r>
    </w:p>
    <w:p>
      <w:pPr>
        <w:ind w:left="499"/>
        <w:spacing w:line="221"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苏尼特右旗桑宝力嘎苏木萤石矿</w:t>
      </w:r>
    </w:p>
    <w:p>
      <w:pPr>
        <w:ind w:left="19" w:firstLine="487"/>
        <w:spacing w:before="179" w:line="359" w:lineRule="auto"/>
        <w:rPr>
          <w:rFonts w:ascii="FangSong" w:hAnsi="FangSong" w:eastAsia="FangSong" w:cs="FangSong"/>
          <w:sz w:val="24"/>
          <w:szCs w:val="24"/>
        </w:rPr>
      </w:pPr>
      <w:r>
        <w:rPr>
          <w:rFonts w:ascii="FangSong" w:hAnsi="FangSong" w:eastAsia="FangSong" w:cs="FangSong"/>
          <w:sz w:val="24"/>
          <w:szCs w:val="24"/>
          <w:spacing w:val="-15"/>
        </w:rPr>
        <w:t>该</w:t>
      </w:r>
      <w:r>
        <w:rPr>
          <w:rFonts w:ascii="FangSong" w:hAnsi="FangSong" w:eastAsia="FangSong" w:cs="FangSong"/>
          <w:sz w:val="24"/>
          <w:szCs w:val="24"/>
          <w:spacing w:val="-47"/>
        </w:rPr>
        <w:t xml:space="preserve"> </w:t>
      </w:r>
      <w:r>
        <w:rPr>
          <w:rFonts w:ascii="FangSong" w:hAnsi="FangSong" w:eastAsia="FangSong" w:cs="FangSong"/>
          <w:sz w:val="24"/>
          <w:szCs w:val="24"/>
          <w:spacing w:val="-15"/>
        </w:rPr>
        <w:t>采</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59"/>
        </w:rPr>
        <w:t xml:space="preserve"> </w:t>
      </w:r>
      <w:r>
        <w:rPr>
          <w:rFonts w:ascii="FangSong" w:hAnsi="FangSong" w:eastAsia="FangSong" w:cs="FangSong"/>
          <w:sz w:val="24"/>
          <w:szCs w:val="24"/>
          <w:spacing w:val="-15"/>
        </w:rPr>
        <w:t>权</w:t>
      </w:r>
      <w:r>
        <w:rPr>
          <w:rFonts w:ascii="FangSong" w:hAnsi="FangSong" w:eastAsia="FangSong" w:cs="FangSong"/>
          <w:sz w:val="24"/>
          <w:szCs w:val="24"/>
          <w:spacing w:val="-55"/>
        </w:rPr>
        <w:t xml:space="preserve"> </w:t>
      </w:r>
      <w:r>
        <w:rPr>
          <w:rFonts w:ascii="FangSong" w:hAnsi="FangSong" w:eastAsia="FangSong" w:cs="FangSong"/>
          <w:sz w:val="24"/>
          <w:szCs w:val="24"/>
          <w:spacing w:val="-15"/>
        </w:rPr>
        <w:t>位</w:t>
      </w:r>
      <w:r>
        <w:rPr>
          <w:rFonts w:ascii="FangSong" w:hAnsi="FangSong" w:eastAsia="FangSong" w:cs="FangSong"/>
          <w:sz w:val="24"/>
          <w:szCs w:val="24"/>
          <w:spacing w:val="-54"/>
        </w:rPr>
        <w:t xml:space="preserve"> </w:t>
      </w:r>
      <w:r>
        <w:rPr>
          <w:rFonts w:ascii="FangSong" w:hAnsi="FangSong" w:eastAsia="FangSong" w:cs="FangSong"/>
          <w:sz w:val="24"/>
          <w:szCs w:val="24"/>
          <w:spacing w:val="-15"/>
        </w:rPr>
        <w:t>于</w:t>
      </w:r>
      <w:r>
        <w:rPr>
          <w:rFonts w:ascii="FangSong" w:hAnsi="FangSong" w:eastAsia="FangSong" w:cs="FangSong"/>
          <w:sz w:val="24"/>
          <w:szCs w:val="24"/>
          <w:spacing w:val="-58"/>
        </w:rPr>
        <w:t xml:space="preserve"> </w:t>
      </w:r>
      <w:r>
        <w:rPr>
          <w:rFonts w:ascii="FangSong" w:hAnsi="FangSong" w:eastAsia="FangSong" w:cs="FangSong"/>
          <w:sz w:val="24"/>
          <w:szCs w:val="24"/>
          <w:spacing w:val="-15"/>
        </w:rPr>
        <w:t>本</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59"/>
        </w:rPr>
        <w:t xml:space="preserve"> </w:t>
      </w:r>
      <w:r>
        <w:rPr>
          <w:rFonts w:ascii="FangSong" w:hAnsi="FangSong" w:eastAsia="FangSong" w:cs="FangSong"/>
          <w:sz w:val="24"/>
          <w:szCs w:val="24"/>
          <w:spacing w:val="-15"/>
        </w:rPr>
        <w:t>权</w:t>
      </w:r>
      <w:r>
        <w:rPr>
          <w:rFonts w:ascii="FangSong" w:hAnsi="FangSong" w:eastAsia="FangSong" w:cs="FangSong"/>
          <w:sz w:val="24"/>
          <w:szCs w:val="24"/>
          <w:spacing w:val="-42"/>
        </w:rPr>
        <w:t xml:space="preserve"> </w:t>
      </w:r>
      <w:r>
        <w:rPr>
          <w:rFonts w:ascii="FangSong" w:hAnsi="FangSong" w:eastAsia="FangSong" w:cs="FangSong"/>
          <w:sz w:val="24"/>
          <w:szCs w:val="24"/>
          <w:spacing w:val="-15"/>
        </w:rPr>
        <w:t>的</w:t>
      </w:r>
      <w:r>
        <w:rPr>
          <w:rFonts w:ascii="FangSong" w:hAnsi="FangSong" w:eastAsia="FangSong" w:cs="FangSong"/>
          <w:sz w:val="24"/>
          <w:szCs w:val="24"/>
          <w:spacing w:val="-52"/>
        </w:rPr>
        <w:t xml:space="preserve"> </w:t>
      </w:r>
      <w:r>
        <w:rPr>
          <w:rFonts w:ascii="FangSong" w:hAnsi="FangSong" w:eastAsia="FangSong" w:cs="FangSong"/>
          <w:sz w:val="24"/>
          <w:szCs w:val="24"/>
          <w:spacing w:val="-15"/>
        </w:rPr>
        <w:t>北</w:t>
      </w:r>
      <w:r>
        <w:rPr>
          <w:rFonts w:ascii="FangSong" w:hAnsi="FangSong" w:eastAsia="FangSong" w:cs="FangSong"/>
          <w:sz w:val="24"/>
          <w:szCs w:val="24"/>
          <w:spacing w:val="-59"/>
        </w:rPr>
        <w:t xml:space="preserve"> </w:t>
      </w:r>
      <w:r>
        <w:rPr>
          <w:rFonts w:ascii="FangSong" w:hAnsi="FangSong" w:eastAsia="FangSong" w:cs="FangSong"/>
          <w:sz w:val="24"/>
          <w:szCs w:val="24"/>
          <w:spacing w:val="-15"/>
        </w:rPr>
        <w:t>侧</w:t>
      </w:r>
      <w:r>
        <w:rPr>
          <w:rFonts w:ascii="FangSong" w:hAnsi="FangSong" w:eastAsia="FangSong" w:cs="FangSong"/>
          <w:sz w:val="24"/>
          <w:szCs w:val="24"/>
          <w:spacing w:val="-39"/>
        </w:rPr>
        <w:t xml:space="preserve"> </w:t>
      </w:r>
      <w:r>
        <w:rPr>
          <w:rFonts w:ascii="FangSong" w:hAnsi="FangSong" w:eastAsia="FangSong" w:cs="FangSong"/>
          <w:sz w:val="24"/>
          <w:szCs w:val="24"/>
          <w:spacing w:val="-15"/>
        </w:rPr>
        <w:t>，</w:t>
      </w:r>
      <w:r>
        <w:rPr>
          <w:rFonts w:ascii="FangSong" w:hAnsi="FangSong" w:eastAsia="FangSong" w:cs="FangSong"/>
          <w:sz w:val="24"/>
          <w:szCs w:val="24"/>
          <w:spacing w:val="-46"/>
        </w:rPr>
        <w:t xml:space="preserve"> </w:t>
      </w:r>
      <w:r>
        <w:rPr>
          <w:rFonts w:ascii="FangSong" w:hAnsi="FangSong" w:eastAsia="FangSong" w:cs="FangSong"/>
          <w:sz w:val="24"/>
          <w:szCs w:val="24"/>
          <w:spacing w:val="-15"/>
        </w:rPr>
        <w:t>两</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60"/>
        </w:rPr>
        <w:t xml:space="preserve"> </w:t>
      </w:r>
      <w:r>
        <w:rPr>
          <w:rFonts w:ascii="FangSong" w:hAnsi="FangSong" w:eastAsia="FangSong" w:cs="FangSong"/>
          <w:sz w:val="24"/>
          <w:szCs w:val="24"/>
          <w:spacing w:val="-15"/>
        </w:rPr>
        <w:t>权</w:t>
      </w:r>
      <w:r>
        <w:rPr>
          <w:rFonts w:ascii="FangSong" w:hAnsi="FangSong" w:eastAsia="FangSong" w:cs="FangSong"/>
          <w:sz w:val="24"/>
          <w:szCs w:val="24"/>
          <w:spacing w:val="-36"/>
        </w:rPr>
        <w:t xml:space="preserve"> </w:t>
      </w:r>
      <w:r>
        <w:rPr>
          <w:rFonts w:ascii="FangSong" w:hAnsi="FangSong" w:eastAsia="FangSong" w:cs="FangSong"/>
          <w:sz w:val="24"/>
          <w:szCs w:val="24"/>
          <w:spacing w:val="-15"/>
        </w:rPr>
        <w:t>间</w:t>
      </w:r>
      <w:r>
        <w:rPr>
          <w:rFonts w:ascii="FangSong" w:hAnsi="FangSong" w:eastAsia="FangSong" w:cs="FangSong"/>
          <w:sz w:val="24"/>
          <w:szCs w:val="24"/>
          <w:spacing w:val="-42"/>
        </w:rPr>
        <w:t xml:space="preserve"> </w:t>
      </w:r>
      <w:r>
        <w:rPr>
          <w:rFonts w:ascii="FangSong" w:hAnsi="FangSong" w:eastAsia="FangSong" w:cs="FangSong"/>
          <w:sz w:val="24"/>
          <w:szCs w:val="24"/>
          <w:spacing w:val="-15"/>
        </w:rPr>
        <w:t>隔</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15"/>
        </w:rPr>
        <w:t>300  </w:t>
      </w:r>
      <w:r>
        <w:rPr>
          <w:rFonts w:ascii="FangSong" w:hAnsi="FangSong" w:eastAsia="FangSong" w:cs="FangSong"/>
          <w:sz w:val="24"/>
          <w:szCs w:val="24"/>
          <w:spacing w:val="-15"/>
        </w:rPr>
        <w:t>米</w:t>
      </w:r>
      <w:r>
        <w:rPr>
          <w:rFonts w:ascii="FangSong" w:hAnsi="FangSong" w:eastAsia="FangSong" w:cs="FangSong"/>
          <w:sz w:val="24"/>
          <w:szCs w:val="24"/>
          <w:spacing w:val="-41"/>
        </w:rPr>
        <w:t xml:space="preserve"> </w:t>
      </w:r>
      <w:r>
        <w:rPr>
          <w:rFonts w:ascii="FangSong" w:hAnsi="FangSong" w:eastAsia="FangSong" w:cs="FangSong"/>
          <w:sz w:val="24"/>
          <w:szCs w:val="24"/>
          <w:spacing w:val="-15"/>
        </w:rPr>
        <w:t>。</w:t>
      </w:r>
      <w:r>
        <w:rPr>
          <w:rFonts w:ascii="FangSong" w:hAnsi="FangSong" w:eastAsia="FangSong" w:cs="FangSong"/>
          <w:sz w:val="24"/>
          <w:szCs w:val="24"/>
          <w:spacing w:val="-54"/>
        </w:rPr>
        <w:t xml:space="preserve"> </w:t>
      </w:r>
      <w:r>
        <w:rPr>
          <w:rFonts w:ascii="FangSong" w:hAnsi="FangSong" w:eastAsia="FangSong" w:cs="FangSong"/>
          <w:sz w:val="24"/>
          <w:szCs w:val="24"/>
          <w:spacing w:val="-15"/>
        </w:rPr>
        <w:t>采</w:t>
      </w:r>
      <w:r>
        <w:rPr>
          <w:rFonts w:ascii="FangSong" w:hAnsi="FangSong" w:eastAsia="FangSong" w:cs="FangSong"/>
          <w:sz w:val="24"/>
          <w:szCs w:val="24"/>
          <w:spacing w:val="-59"/>
        </w:rPr>
        <w:t xml:space="preserve"> </w:t>
      </w:r>
      <w:r>
        <w:rPr>
          <w:rFonts w:ascii="FangSong" w:hAnsi="FangSong" w:eastAsia="FangSong" w:cs="FangSong"/>
          <w:sz w:val="24"/>
          <w:szCs w:val="24"/>
          <w:spacing w:val="-15"/>
        </w:rPr>
        <w:t>矿</w:t>
      </w:r>
      <w:r>
        <w:rPr>
          <w:rFonts w:ascii="FangSong" w:hAnsi="FangSong" w:eastAsia="FangSong" w:cs="FangSong"/>
          <w:sz w:val="24"/>
          <w:szCs w:val="24"/>
          <w:spacing w:val="-53"/>
        </w:rPr>
        <w:t xml:space="preserve"> </w:t>
      </w:r>
      <w:r>
        <w:rPr>
          <w:rFonts w:ascii="FangSong" w:hAnsi="FangSong" w:eastAsia="FangSong" w:cs="FangSong"/>
          <w:sz w:val="24"/>
          <w:szCs w:val="24"/>
          <w:spacing w:val="-15"/>
        </w:rPr>
        <w:t>许可</w:t>
      </w:r>
      <w:r>
        <w:rPr>
          <w:rFonts w:ascii="FangSong" w:hAnsi="FangSong" w:eastAsia="FangSong" w:cs="FangSong"/>
          <w:sz w:val="24"/>
          <w:szCs w:val="24"/>
          <w:spacing w:val="-59"/>
        </w:rPr>
        <w:t xml:space="preserve"> </w:t>
      </w:r>
      <w:r>
        <w:rPr>
          <w:rFonts w:ascii="FangSong" w:hAnsi="FangSong" w:eastAsia="FangSong" w:cs="FangSong"/>
          <w:sz w:val="24"/>
          <w:szCs w:val="24"/>
          <w:spacing w:val="-15"/>
        </w:rPr>
        <w:t>证</w:t>
      </w:r>
      <w:r>
        <w:rPr>
          <w:rFonts w:ascii="FangSong" w:hAnsi="FangSong" w:eastAsia="FangSong" w:cs="FangSong"/>
          <w:sz w:val="24"/>
          <w:szCs w:val="24"/>
          <w:spacing w:val="-51"/>
        </w:rPr>
        <w:t xml:space="preserve"> </w:t>
      </w:r>
      <w:r>
        <w:rPr>
          <w:rFonts w:ascii="FangSong" w:hAnsi="FangSong" w:eastAsia="FangSong" w:cs="FangSong"/>
          <w:sz w:val="24"/>
          <w:szCs w:val="24"/>
          <w:spacing w:val="-15"/>
        </w:rPr>
        <w:t>号</w:t>
      </w:r>
      <w:r>
        <w:rPr>
          <w:rFonts w:ascii="FangSong" w:hAnsi="FangSong" w:eastAsia="FangSong" w:cs="FangSong"/>
          <w:sz w:val="24"/>
          <w:szCs w:val="24"/>
          <w:spacing w:val="-40"/>
        </w:rPr>
        <w:t xml:space="preserve"> </w:t>
      </w:r>
      <w:r>
        <w:rPr>
          <w:rFonts w:ascii="FangSong" w:hAnsi="FangSong" w:eastAsia="FangSong" w:cs="FangSong"/>
          <w:sz w:val="24"/>
          <w:szCs w:val="24"/>
          <w:spacing w:val="-1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C1525002009036120008674</w:t>
      </w:r>
      <w:r>
        <w:rPr>
          <w:rFonts w:ascii="FangSong" w:hAnsi="FangSong" w:eastAsia="FangSong" w:cs="FangSong"/>
          <w:sz w:val="24"/>
          <w:szCs w:val="24"/>
          <w:spacing w:val="-2"/>
        </w:rPr>
        <w:t>；采矿权人：</w:t>
      </w:r>
      <w:r>
        <w:rPr>
          <w:rFonts w:ascii="FangSong" w:hAnsi="FangSong" w:eastAsia="FangSong" w:cs="FangSong"/>
          <w:sz w:val="24"/>
          <w:szCs w:val="24"/>
          <w:spacing w:val="-3"/>
        </w:rPr>
        <w:t>苏尼特右旗海军萤石有限责任公司；开采矿</w:t>
      </w:r>
      <w:r>
        <w:rPr>
          <w:rFonts w:ascii="FangSong" w:hAnsi="FangSong" w:eastAsia="FangSong" w:cs="FangSong"/>
          <w:sz w:val="24"/>
          <w:szCs w:val="24"/>
          <w:spacing w:val="-10"/>
        </w:rPr>
        <w:t>种：萤石（普通</w:t>
      </w:r>
      <w:r>
        <w:rPr>
          <w:rFonts w:ascii="FangSong" w:hAnsi="FangSong" w:eastAsia="FangSong" w:cs="FangSong"/>
          <w:sz w:val="24"/>
          <w:szCs w:val="24"/>
          <w:spacing w:val="-49"/>
        </w:rPr>
        <w:t>）；</w:t>
      </w:r>
      <w:r>
        <w:rPr>
          <w:rFonts w:ascii="FangSong" w:hAnsi="FangSong" w:eastAsia="FangSong" w:cs="FangSong"/>
          <w:sz w:val="24"/>
          <w:szCs w:val="24"/>
          <w:spacing w:val="-10"/>
        </w:rPr>
        <w:t>开采方式：地下开采；生产规</w:t>
      </w:r>
      <w:r>
        <w:rPr>
          <w:rFonts w:ascii="FangSong" w:hAnsi="FangSong" w:eastAsia="FangSong" w:cs="FangSong"/>
          <w:sz w:val="24"/>
          <w:szCs w:val="24"/>
          <w:spacing w:val="-11"/>
        </w:rPr>
        <w:t>模：</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1"/>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1"/>
        </w:rPr>
        <w:t>t/a</w:t>
      </w:r>
      <w:r>
        <w:rPr>
          <w:rFonts w:ascii="FangSong" w:hAnsi="FangSong" w:eastAsia="FangSong" w:cs="FangSong"/>
          <w:sz w:val="24"/>
          <w:szCs w:val="24"/>
          <w:spacing w:val="-11"/>
        </w:rPr>
        <w:t>；矿区面积：</w:t>
      </w:r>
      <w:r>
        <w:rPr>
          <w:rFonts w:ascii="Times New Roman" w:hAnsi="Times New Roman" w:eastAsia="Times New Roman" w:cs="Times New Roman"/>
          <w:sz w:val="24"/>
          <w:szCs w:val="24"/>
          <w:spacing w:val="-11"/>
        </w:rPr>
        <w:t>0.0519km</w:t>
      </w:r>
      <w:r>
        <w:rPr>
          <w:rFonts w:ascii="Times New Roman" w:hAnsi="Times New Roman" w:eastAsia="Times New Roman" w:cs="Times New Roman"/>
          <w:sz w:val="15"/>
          <w:szCs w:val="15"/>
          <w:spacing w:val="3"/>
          <w:position w:val="8"/>
        </w:rPr>
        <w:t>2</w:t>
      </w:r>
      <w:r>
        <w:rPr>
          <w:rFonts w:ascii="FangSong" w:hAnsi="FangSong" w:eastAsia="FangSong" w:cs="FangSong"/>
          <w:sz w:val="24"/>
          <w:szCs w:val="24"/>
          <w:spacing w:val="-58"/>
        </w:rPr>
        <w:t>；</w:t>
      </w:r>
      <w:r>
        <w:rPr>
          <w:rFonts w:ascii="FangSong" w:hAnsi="FangSong" w:eastAsia="FangSong" w:cs="FangSong"/>
          <w:sz w:val="24"/>
          <w:szCs w:val="24"/>
          <w:spacing w:val="-1"/>
        </w:rPr>
        <w:t>开采标高：</w:t>
      </w:r>
      <w:r>
        <w:rPr>
          <w:rFonts w:ascii="Times New Roman" w:hAnsi="Times New Roman" w:eastAsia="Times New Roman" w:cs="Times New Roman"/>
          <w:sz w:val="24"/>
          <w:szCs w:val="24"/>
          <w:spacing w:val="-1"/>
        </w:rPr>
        <w:t>1023.00m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1"/>
        </w:rPr>
        <w:t>至</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750.00m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。矿山生产状况为停产；采矿方法为上向水平分层</w:t>
      </w:r>
      <w:r>
        <w:rPr>
          <w:rFonts w:ascii="FangSong" w:hAnsi="FangSong" w:eastAsia="FangSong" w:cs="FangSong"/>
          <w:sz w:val="24"/>
          <w:szCs w:val="24"/>
          <w:spacing w:val="-2"/>
        </w:rPr>
        <w:t>充填采矿法；矿坑正常涌水量为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1200m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左右，回采率</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90%</w:t>
      </w:r>
      <w:r>
        <w:rPr>
          <w:rFonts w:ascii="FangSong" w:hAnsi="FangSong" w:eastAsia="FangSong" w:cs="FangSong"/>
          <w:sz w:val="24"/>
          <w:szCs w:val="24"/>
          <w:spacing w:val="-2"/>
        </w:rPr>
        <w:t>。</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苏尼特右旗哈日敖包萤石矿</w:t>
      </w:r>
    </w:p>
    <w:p>
      <w:pPr>
        <w:ind w:left="19" w:firstLine="487"/>
        <w:spacing w:before="179" w:line="359" w:lineRule="auto"/>
        <w:rPr>
          <w:rFonts w:ascii="FangSong" w:hAnsi="FangSong" w:eastAsia="FangSong" w:cs="FangSong"/>
          <w:sz w:val="24"/>
          <w:szCs w:val="24"/>
        </w:rPr>
      </w:pPr>
      <w:r>
        <w:rPr>
          <w:rFonts w:ascii="FangSong" w:hAnsi="FangSong" w:eastAsia="FangSong" w:cs="FangSong"/>
          <w:sz w:val="24"/>
          <w:szCs w:val="24"/>
          <w:spacing w:val="-15"/>
        </w:rPr>
        <w:t>该</w:t>
      </w:r>
      <w:r>
        <w:rPr>
          <w:rFonts w:ascii="FangSong" w:hAnsi="FangSong" w:eastAsia="FangSong" w:cs="FangSong"/>
          <w:sz w:val="24"/>
          <w:szCs w:val="24"/>
          <w:spacing w:val="-47"/>
        </w:rPr>
        <w:t xml:space="preserve"> </w:t>
      </w:r>
      <w:r>
        <w:rPr>
          <w:rFonts w:ascii="FangSong" w:hAnsi="FangSong" w:eastAsia="FangSong" w:cs="FangSong"/>
          <w:sz w:val="24"/>
          <w:szCs w:val="24"/>
          <w:spacing w:val="-15"/>
        </w:rPr>
        <w:t>采</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59"/>
        </w:rPr>
        <w:t xml:space="preserve"> </w:t>
      </w:r>
      <w:r>
        <w:rPr>
          <w:rFonts w:ascii="FangSong" w:hAnsi="FangSong" w:eastAsia="FangSong" w:cs="FangSong"/>
          <w:sz w:val="24"/>
          <w:szCs w:val="24"/>
          <w:spacing w:val="-15"/>
        </w:rPr>
        <w:t>权</w:t>
      </w:r>
      <w:r>
        <w:rPr>
          <w:rFonts w:ascii="FangSong" w:hAnsi="FangSong" w:eastAsia="FangSong" w:cs="FangSong"/>
          <w:sz w:val="24"/>
          <w:szCs w:val="24"/>
          <w:spacing w:val="-55"/>
        </w:rPr>
        <w:t xml:space="preserve"> </w:t>
      </w:r>
      <w:r>
        <w:rPr>
          <w:rFonts w:ascii="FangSong" w:hAnsi="FangSong" w:eastAsia="FangSong" w:cs="FangSong"/>
          <w:sz w:val="24"/>
          <w:szCs w:val="24"/>
          <w:spacing w:val="-15"/>
        </w:rPr>
        <w:t>位</w:t>
      </w:r>
      <w:r>
        <w:rPr>
          <w:rFonts w:ascii="FangSong" w:hAnsi="FangSong" w:eastAsia="FangSong" w:cs="FangSong"/>
          <w:sz w:val="24"/>
          <w:szCs w:val="24"/>
          <w:spacing w:val="-54"/>
        </w:rPr>
        <w:t xml:space="preserve"> </w:t>
      </w:r>
      <w:r>
        <w:rPr>
          <w:rFonts w:ascii="FangSong" w:hAnsi="FangSong" w:eastAsia="FangSong" w:cs="FangSong"/>
          <w:sz w:val="24"/>
          <w:szCs w:val="24"/>
          <w:spacing w:val="-15"/>
        </w:rPr>
        <w:t>于</w:t>
      </w:r>
      <w:r>
        <w:rPr>
          <w:rFonts w:ascii="FangSong" w:hAnsi="FangSong" w:eastAsia="FangSong" w:cs="FangSong"/>
          <w:sz w:val="24"/>
          <w:szCs w:val="24"/>
          <w:spacing w:val="-58"/>
        </w:rPr>
        <w:t xml:space="preserve"> </w:t>
      </w:r>
      <w:r>
        <w:rPr>
          <w:rFonts w:ascii="FangSong" w:hAnsi="FangSong" w:eastAsia="FangSong" w:cs="FangSong"/>
          <w:sz w:val="24"/>
          <w:szCs w:val="24"/>
          <w:spacing w:val="-15"/>
        </w:rPr>
        <w:t>本</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59"/>
        </w:rPr>
        <w:t xml:space="preserve"> </w:t>
      </w:r>
      <w:r>
        <w:rPr>
          <w:rFonts w:ascii="FangSong" w:hAnsi="FangSong" w:eastAsia="FangSong" w:cs="FangSong"/>
          <w:sz w:val="24"/>
          <w:szCs w:val="24"/>
          <w:spacing w:val="-15"/>
        </w:rPr>
        <w:t>权</w:t>
      </w:r>
      <w:r>
        <w:rPr>
          <w:rFonts w:ascii="FangSong" w:hAnsi="FangSong" w:eastAsia="FangSong" w:cs="FangSong"/>
          <w:sz w:val="24"/>
          <w:szCs w:val="24"/>
          <w:spacing w:val="-42"/>
        </w:rPr>
        <w:t xml:space="preserve"> </w:t>
      </w:r>
      <w:r>
        <w:rPr>
          <w:rFonts w:ascii="FangSong" w:hAnsi="FangSong" w:eastAsia="FangSong" w:cs="FangSong"/>
          <w:sz w:val="24"/>
          <w:szCs w:val="24"/>
          <w:spacing w:val="-15"/>
        </w:rPr>
        <w:t>的</w:t>
      </w:r>
      <w:r>
        <w:rPr>
          <w:rFonts w:ascii="FangSong" w:hAnsi="FangSong" w:eastAsia="FangSong" w:cs="FangSong"/>
          <w:sz w:val="24"/>
          <w:szCs w:val="24"/>
          <w:spacing w:val="-52"/>
        </w:rPr>
        <w:t xml:space="preserve"> </w:t>
      </w:r>
      <w:r>
        <w:rPr>
          <w:rFonts w:ascii="FangSong" w:hAnsi="FangSong" w:eastAsia="FangSong" w:cs="FangSong"/>
          <w:sz w:val="24"/>
          <w:szCs w:val="24"/>
          <w:spacing w:val="-15"/>
        </w:rPr>
        <w:t>北</w:t>
      </w:r>
      <w:r>
        <w:rPr>
          <w:rFonts w:ascii="FangSong" w:hAnsi="FangSong" w:eastAsia="FangSong" w:cs="FangSong"/>
          <w:sz w:val="24"/>
          <w:szCs w:val="24"/>
          <w:spacing w:val="-59"/>
        </w:rPr>
        <w:t xml:space="preserve"> </w:t>
      </w:r>
      <w:r>
        <w:rPr>
          <w:rFonts w:ascii="FangSong" w:hAnsi="FangSong" w:eastAsia="FangSong" w:cs="FangSong"/>
          <w:sz w:val="24"/>
          <w:szCs w:val="24"/>
          <w:spacing w:val="-15"/>
        </w:rPr>
        <w:t>侧</w:t>
      </w:r>
      <w:r>
        <w:rPr>
          <w:rFonts w:ascii="FangSong" w:hAnsi="FangSong" w:eastAsia="FangSong" w:cs="FangSong"/>
          <w:sz w:val="24"/>
          <w:szCs w:val="24"/>
          <w:spacing w:val="-39"/>
        </w:rPr>
        <w:t xml:space="preserve"> </w:t>
      </w:r>
      <w:r>
        <w:rPr>
          <w:rFonts w:ascii="FangSong" w:hAnsi="FangSong" w:eastAsia="FangSong" w:cs="FangSong"/>
          <w:sz w:val="24"/>
          <w:szCs w:val="24"/>
          <w:spacing w:val="-15"/>
        </w:rPr>
        <w:t>，</w:t>
      </w:r>
      <w:r>
        <w:rPr>
          <w:rFonts w:ascii="FangSong" w:hAnsi="FangSong" w:eastAsia="FangSong" w:cs="FangSong"/>
          <w:sz w:val="24"/>
          <w:szCs w:val="24"/>
          <w:spacing w:val="-46"/>
        </w:rPr>
        <w:t xml:space="preserve"> </w:t>
      </w:r>
      <w:r>
        <w:rPr>
          <w:rFonts w:ascii="FangSong" w:hAnsi="FangSong" w:eastAsia="FangSong" w:cs="FangSong"/>
          <w:sz w:val="24"/>
          <w:szCs w:val="24"/>
          <w:spacing w:val="-15"/>
        </w:rPr>
        <w:t>两</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60"/>
        </w:rPr>
        <w:t xml:space="preserve"> </w:t>
      </w:r>
      <w:r>
        <w:rPr>
          <w:rFonts w:ascii="FangSong" w:hAnsi="FangSong" w:eastAsia="FangSong" w:cs="FangSong"/>
          <w:sz w:val="24"/>
          <w:szCs w:val="24"/>
          <w:spacing w:val="-15"/>
        </w:rPr>
        <w:t>权</w:t>
      </w:r>
      <w:r>
        <w:rPr>
          <w:rFonts w:ascii="FangSong" w:hAnsi="FangSong" w:eastAsia="FangSong" w:cs="FangSong"/>
          <w:sz w:val="24"/>
          <w:szCs w:val="24"/>
          <w:spacing w:val="-36"/>
        </w:rPr>
        <w:t xml:space="preserve"> </w:t>
      </w:r>
      <w:r>
        <w:rPr>
          <w:rFonts w:ascii="FangSong" w:hAnsi="FangSong" w:eastAsia="FangSong" w:cs="FangSong"/>
          <w:sz w:val="24"/>
          <w:szCs w:val="24"/>
          <w:spacing w:val="-15"/>
        </w:rPr>
        <w:t>间</w:t>
      </w:r>
      <w:r>
        <w:rPr>
          <w:rFonts w:ascii="FangSong" w:hAnsi="FangSong" w:eastAsia="FangSong" w:cs="FangSong"/>
          <w:sz w:val="24"/>
          <w:szCs w:val="24"/>
          <w:spacing w:val="-42"/>
        </w:rPr>
        <w:t xml:space="preserve"> </w:t>
      </w:r>
      <w:r>
        <w:rPr>
          <w:rFonts w:ascii="FangSong" w:hAnsi="FangSong" w:eastAsia="FangSong" w:cs="FangSong"/>
          <w:sz w:val="24"/>
          <w:szCs w:val="24"/>
          <w:spacing w:val="-15"/>
        </w:rPr>
        <w:t>隔</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15"/>
        </w:rPr>
        <w:t>100  </w:t>
      </w:r>
      <w:r>
        <w:rPr>
          <w:rFonts w:ascii="FangSong" w:hAnsi="FangSong" w:eastAsia="FangSong" w:cs="FangSong"/>
          <w:sz w:val="24"/>
          <w:szCs w:val="24"/>
          <w:spacing w:val="-15"/>
        </w:rPr>
        <w:t>米</w:t>
      </w:r>
      <w:r>
        <w:rPr>
          <w:rFonts w:ascii="FangSong" w:hAnsi="FangSong" w:eastAsia="FangSong" w:cs="FangSong"/>
          <w:sz w:val="24"/>
          <w:szCs w:val="24"/>
          <w:spacing w:val="-41"/>
        </w:rPr>
        <w:t xml:space="preserve"> </w:t>
      </w:r>
      <w:r>
        <w:rPr>
          <w:rFonts w:ascii="FangSong" w:hAnsi="FangSong" w:eastAsia="FangSong" w:cs="FangSong"/>
          <w:sz w:val="24"/>
          <w:szCs w:val="24"/>
          <w:spacing w:val="-15"/>
        </w:rPr>
        <w:t>。</w:t>
      </w:r>
      <w:r>
        <w:rPr>
          <w:rFonts w:ascii="FangSong" w:hAnsi="FangSong" w:eastAsia="FangSong" w:cs="FangSong"/>
          <w:sz w:val="24"/>
          <w:szCs w:val="24"/>
          <w:spacing w:val="-54"/>
        </w:rPr>
        <w:t xml:space="preserve"> </w:t>
      </w:r>
      <w:r>
        <w:rPr>
          <w:rFonts w:ascii="FangSong" w:hAnsi="FangSong" w:eastAsia="FangSong" w:cs="FangSong"/>
          <w:sz w:val="24"/>
          <w:szCs w:val="24"/>
          <w:spacing w:val="-15"/>
        </w:rPr>
        <w:t>采</w:t>
      </w:r>
      <w:r>
        <w:rPr>
          <w:rFonts w:ascii="FangSong" w:hAnsi="FangSong" w:eastAsia="FangSong" w:cs="FangSong"/>
          <w:sz w:val="24"/>
          <w:szCs w:val="24"/>
          <w:spacing w:val="-59"/>
        </w:rPr>
        <w:t xml:space="preserve"> </w:t>
      </w:r>
      <w:r>
        <w:rPr>
          <w:rFonts w:ascii="FangSong" w:hAnsi="FangSong" w:eastAsia="FangSong" w:cs="FangSong"/>
          <w:sz w:val="24"/>
          <w:szCs w:val="24"/>
          <w:spacing w:val="-15"/>
        </w:rPr>
        <w:t>矿</w:t>
      </w:r>
      <w:r>
        <w:rPr>
          <w:rFonts w:ascii="FangSong" w:hAnsi="FangSong" w:eastAsia="FangSong" w:cs="FangSong"/>
          <w:sz w:val="24"/>
          <w:szCs w:val="24"/>
          <w:spacing w:val="-53"/>
        </w:rPr>
        <w:t xml:space="preserve"> </w:t>
      </w:r>
      <w:r>
        <w:rPr>
          <w:rFonts w:ascii="FangSong" w:hAnsi="FangSong" w:eastAsia="FangSong" w:cs="FangSong"/>
          <w:sz w:val="24"/>
          <w:szCs w:val="24"/>
          <w:spacing w:val="-15"/>
        </w:rPr>
        <w:t>许可</w:t>
      </w:r>
      <w:r>
        <w:rPr>
          <w:rFonts w:ascii="FangSong" w:hAnsi="FangSong" w:eastAsia="FangSong" w:cs="FangSong"/>
          <w:sz w:val="24"/>
          <w:szCs w:val="24"/>
          <w:spacing w:val="-59"/>
        </w:rPr>
        <w:t xml:space="preserve"> </w:t>
      </w:r>
      <w:r>
        <w:rPr>
          <w:rFonts w:ascii="FangSong" w:hAnsi="FangSong" w:eastAsia="FangSong" w:cs="FangSong"/>
          <w:sz w:val="24"/>
          <w:szCs w:val="24"/>
          <w:spacing w:val="-15"/>
        </w:rPr>
        <w:t>证</w:t>
      </w:r>
      <w:r>
        <w:rPr>
          <w:rFonts w:ascii="FangSong" w:hAnsi="FangSong" w:eastAsia="FangSong" w:cs="FangSong"/>
          <w:sz w:val="24"/>
          <w:szCs w:val="24"/>
          <w:spacing w:val="-51"/>
        </w:rPr>
        <w:t xml:space="preserve"> </w:t>
      </w:r>
      <w:r>
        <w:rPr>
          <w:rFonts w:ascii="FangSong" w:hAnsi="FangSong" w:eastAsia="FangSong" w:cs="FangSong"/>
          <w:sz w:val="24"/>
          <w:szCs w:val="24"/>
          <w:spacing w:val="-15"/>
        </w:rPr>
        <w:t>号</w:t>
      </w:r>
      <w:r>
        <w:rPr>
          <w:rFonts w:ascii="FangSong" w:hAnsi="FangSong" w:eastAsia="FangSong" w:cs="FangSong"/>
          <w:sz w:val="24"/>
          <w:szCs w:val="24"/>
          <w:spacing w:val="-40"/>
        </w:rPr>
        <w:t xml:space="preserve"> </w:t>
      </w:r>
      <w:r>
        <w:rPr>
          <w:rFonts w:ascii="FangSong" w:hAnsi="FangSong" w:eastAsia="FangSong" w:cs="FangSong"/>
          <w:sz w:val="24"/>
          <w:szCs w:val="24"/>
          <w:spacing w:val="-1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C1525002010016120055160</w:t>
      </w:r>
      <w:r>
        <w:rPr>
          <w:rFonts w:ascii="FangSong" w:hAnsi="FangSong" w:eastAsia="FangSong" w:cs="FangSong"/>
          <w:sz w:val="24"/>
          <w:szCs w:val="24"/>
          <w:spacing w:val="-2"/>
        </w:rPr>
        <w:t>；采矿权人：</w:t>
      </w:r>
      <w:r>
        <w:rPr>
          <w:rFonts w:ascii="FangSong" w:hAnsi="FangSong" w:eastAsia="FangSong" w:cs="FangSong"/>
          <w:sz w:val="24"/>
          <w:szCs w:val="24"/>
          <w:spacing w:val="-3"/>
        </w:rPr>
        <w:t>苏尼特右旗海军萤石有限责任公司；开采矿</w:t>
      </w:r>
      <w:r>
        <w:rPr>
          <w:rFonts w:ascii="FangSong" w:hAnsi="FangSong" w:eastAsia="FangSong" w:cs="FangSong"/>
          <w:sz w:val="24"/>
          <w:szCs w:val="24"/>
          <w:spacing w:val="-9"/>
        </w:rPr>
        <w:t>种：萤石（普通</w:t>
      </w:r>
      <w:r>
        <w:rPr>
          <w:rFonts w:ascii="FangSong" w:hAnsi="FangSong" w:eastAsia="FangSong" w:cs="FangSong"/>
          <w:sz w:val="24"/>
          <w:szCs w:val="24"/>
          <w:spacing w:val="-34"/>
        </w:rPr>
        <w:t>）；</w:t>
      </w:r>
      <w:r>
        <w:rPr>
          <w:rFonts w:ascii="FangSong" w:hAnsi="FangSong" w:eastAsia="FangSong" w:cs="FangSong"/>
          <w:sz w:val="24"/>
          <w:szCs w:val="24"/>
          <w:spacing w:val="-9"/>
        </w:rPr>
        <w:t>开采方式：地下开采；生产规模：</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9"/>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0"/>
        </w:rPr>
        <w:t>t/a</w:t>
      </w:r>
      <w:r>
        <w:rPr>
          <w:rFonts w:ascii="FangSong" w:hAnsi="FangSong" w:eastAsia="FangSong" w:cs="FangSong"/>
          <w:sz w:val="24"/>
          <w:szCs w:val="24"/>
          <w:spacing w:val="-10"/>
        </w:rPr>
        <w:t>；矿区面积：</w:t>
      </w:r>
      <w:r>
        <w:rPr>
          <w:rFonts w:ascii="Times New Roman" w:hAnsi="Times New Roman" w:eastAsia="Times New Roman" w:cs="Times New Roman"/>
          <w:sz w:val="24"/>
          <w:szCs w:val="24"/>
          <w:spacing w:val="-10"/>
        </w:rPr>
        <w:t>0.0899km</w:t>
      </w:r>
      <w:r>
        <w:rPr>
          <w:rFonts w:ascii="Times New Roman" w:hAnsi="Times New Roman" w:eastAsia="Times New Roman" w:cs="Times New Roman"/>
          <w:sz w:val="15"/>
          <w:szCs w:val="15"/>
          <w:spacing w:val="-10"/>
          <w:position w:val="8"/>
        </w:rPr>
        <w:t>2</w:t>
      </w:r>
      <w:r>
        <w:rPr>
          <w:rFonts w:ascii="FangSong" w:hAnsi="FangSong" w:eastAsia="FangSong" w:cs="FangSong"/>
          <w:sz w:val="24"/>
          <w:szCs w:val="24"/>
          <w:spacing w:val="-10"/>
        </w:rPr>
        <w:t>；</w:t>
      </w:r>
      <w:r>
        <w:rPr>
          <w:rFonts w:ascii="FangSong" w:hAnsi="FangSong" w:eastAsia="FangSong" w:cs="FangSong"/>
          <w:sz w:val="24"/>
          <w:szCs w:val="24"/>
          <w:spacing w:val="-1"/>
        </w:rPr>
        <w:t>开采标高：</w:t>
      </w:r>
      <w:r>
        <w:rPr>
          <w:rFonts w:ascii="Times New Roman" w:hAnsi="Times New Roman" w:eastAsia="Times New Roman" w:cs="Times New Roman"/>
          <w:sz w:val="24"/>
          <w:szCs w:val="24"/>
          <w:spacing w:val="-1"/>
        </w:rPr>
        <w:t>1043.00m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1"/>
        </w:rPr>
        <w:t>至</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700.00m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。矿山生产状况为停产；采矿方法为上向水平分层</w:t>
      </w:r>
      <w:r>
        <w:rPr>
          <w:rFonts w:ascii="FangSong" w:hAnsi="FangSong" w:eastAsia="FangSong" w:cs="FangSong"/>
          <w:sz w:val="24"/>
          <w:szCs w:val="24"/>
          <w:spacing w:val="-2"/>
        </w:rPr>
        <w:t>充填采矿法；矿坑正常涌水量为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1200m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左右，回采率</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90%</w:t>
      </w:r>
      <w:r>
        <w:rPr>
          <w:rFonts w:ascii="FangSong" w:hAnsi="FangSong" w:eastAsia="FangSong" w:cs="FangSong"/>
          <w:sz w:val="24"/>
          <w:szCs w:val="24"/>
          <w:spacing w:val="-2"/>
        </w:rPr>
        <w:t>。</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苏尼特右旗莹源矿业有限责任公司萤石矿</w:t>
      </w:r>
    </w:p>
    <w:p>
      <w:pPr>
        <w:ind w:left="19" w:firstLine="487"/>
        <w:spacing w:before="179" w:line="359" w:lineRule="auto"/>
        <w:rPr>
          <w:rFonts w:ascii="FangSong" w:hAnsi="FangSong" w:eastAsia="FangSong" w:cs="FangSong"/>
          <w:sz w:val="24"/>
          <w:szCs w:val="24"/>
        </w:rPr>
      </w:pPr>
      <w:r>
        <w:rPr>
          <w:rFonts w:ascii="FangSong" w:hAnsi="FangSong" w:eastAsia="FangSong" w:cs="FangSong"/>
          <w:sz w:val="24"/>
          <w:szCs w:val="24"/>
          <w:spacing w:val="-15"/>
        </w:rPr>
        <w:t>该</w:t>
      </w:r>
      <w:r>
        <w:rPr>
          <w:rFonts w:ascii="FangSong" w:hAnsi="FangSong" w:eastAsia="FangSong" w:cs="FangSong"/>
          <w:sz w:val="24"/>
          <w:szCs w:val="24"/>
          <w:spacing w:val="-43"/>
        </w:rPr>
        <w:t xml:space="preserve"> </w:t>
      </w:r>
      <w:r>
        <w:rPr>
          <w:rFonts w:ascii="FangSong" w:hAnsi="FangSong" w:eastAsia="FangSong" w:cs="FangSong"/>
          <w:sz w:val="24"/>
          <w:szCs w:val="24"/>
          <w:spacing w:val="-15"/>
        </w:rPr>
        <w:t>采</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59"/>
        </w:rPr>
        <w:t xml:space="preserve"> </w:t>
      </w:r>
      <w:r>
        <w:rPr>
          <w:rFonts w:ascii="FangSong" w:hAnsi="FangSong" w:eastAsia="FangSong" w:cs="FangSong"/>
          <w:sz w:val="24"/>
          <w:szCs w:val="24"/>
          <w:spacing w:val="-15"/>
        </w:rPr>
        <w:t>权</w:t>
      </w:r>
      <w:r>
        <w:rPr>
          <w:rFonts w:ascii="FangSong" w:hAnsi="FangSong" w:eastAsia="FangSong" w:cs="FangSong"/>
          <w:sz w:val="24"/>
          <w:szCs w:val="24"/>
          <w:spacing w:val="-56"/>
        </w:rPr>
        <w:t xml:space="preserve"> </w:t>
      </w:r>
      <w:r>
        <w:rPr>
          <w:rFonts w:ascii="FangSong" w:hAnsi="FangSong" w:eastAsia="FangSong" w:cs="FangSong"/>
          <w:sz w:val="24"/>
          <w:szCs w:val="24"/>
          <w:spacing w:val="-15"/>
        </w:rPr>
        <w:t>位</w:t>
      </w:r>
      <w:r>
        <w:rPr>
          <w:rFonts w:ascii="FangSong" w:hAnsi="FangSong" w:eastAsia="FangSong" w:cs="FangSong"/>
          <w:sz w:val="24"/>
          <w:szCs w:val="24"/>
          <w:spacing w:val="-53"/>
        </w:rPr>
        <w:t xml:space="preserve"> </w:t>
      </w:r>
      <w:r>
        <w:rPr>
          <w:rFonts w:ascii="FangSong" w:hAnsi="FangSong" w:eastAsia="FangSong" w:cs="FangSong"/>
          <w:sz w:val="24"/>
          <w:szCs w:val="24"/>
          <w:spacing w:val="-15"/>
        </w:rPr>
        <w:t>于</w:t>
      </w:r>
      <w:r>
        <w:rPr>
          <w:rFonts w:ascii="FangSong" w:hAnsi="FangSong" w:eastAsia="FangSong" w:cs="FangSong"/>
          <w:sz w:val="24"/>
          <w:szCs w:val="24"/>
          <w:spacing w:val="-58"/>
        </w:rPr>
        <w:t xml:space="preserve"> </w:t>
      </w:r>
      <w:r>
        <w:rPr>
          <w:rFonts w:ascii="FangSong" w:hAnsi="FangSong" w:eastAsia="FangSong" w:cs="FangSong"/>
          <w:sz w:val="24"/>
          <w:szCs w:val="24"/>
          <w:spacing w:val="-15"/>
        </w:rPr>
        <w:t>本</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59"/>
        </w:rPr>
        <w:t xml:space="preserve"> </w:t>
      </w:r>
      <w:r>
        <w:rPr>
          <w:rFonts w:ascii="FangSong" w:hAnsi="FangSong" w:eastAsia="FangSong" w:cs="FangSong"/>
          <w:sz w:val="24"/>
          <w:szCs w:val="24"/>
          <w:spacing w:val="-15"/>
        </w:rPr>
        <w:t>权</w:t>
      </w:r>
      <w:r>
        <w:rPr>
          <w:rFonts w:ascii="FangSong" w:hAnsi="FangSong" w:eastAsia="FangSong" w:cs="FangSong"/>
          <w:sz w:val="24"/>
          <w:szCs w:val="24"/>
          <w:spacing w:val="-42"/>
        </w:rPr>
        <w:t xml:space="preserve"> </w:t>
      </w:r>
      <w:r>
        <w:rPr>
          <w:rFonts w:ascii="FangSong" w:hAnsi="FangSong" w:eastAsia="FangSong" w:cs="FangSong"/>
          <w:sz w:val="24"/>
          <w:szCs w:val="24"/>
          <w:spacing w:val="-15"/>
        </w:rPr>
        <w:t>的</w:t>
      </w:r>
      <w:r>
        <w:rPr>
          <w:rFonts w:ascii="FangSong" w:hAnsi="FangSong" w:eastAsia="FangSong" w:cs="FangSong"/>
          <w:sz w:val="24"/>
          <w:szCs w:val="24"/>
          <w:spacing w:val="-56"/>
        </w:rPr>
        <w:t xml:space="preserve"> </w:t>
      </w:r>
      <w:r>
        <w:rPr>
          <w:rFonts w:ascii="FangSong" w:hAnsi="FangSong" w:eastAsia="FangSong" w:cs="FangSong"/>
          <w:sz w:val="24"/>
          <w:szCs w:val="24"/>
          <w:spacing w:val="-15"/>
        </w:rPr>
        <w:t>西</w:t>
      </w:r>
      <w:r>
        <w:rPr>
          <w:rFonts w:ascii="FangSong" w:hAnsi="FangSong" w:eastAsia="FangSong" w:cs="FangSong"/>
          <w:sz w:val="24"/>
          <w:szCs w:val="24"/>
          <w:spacing w:val="-59"/>
        </w:rPr>
        <w:t xml:space="preserve"> </w:t>
      </w:r>
      <w:r>
        <w:rPr>
          <w:rFonts w:ascii="FangSong" w:hAnsi="FangSong" w:eastAsia="FangSong" w:cs="FangSong"/>
          <w:sz w:val="24"/>
          <w:szCs w:val="24"/>
          <w:spacing w:val="-15"/>
        </w:rPr>
        <w:t>侧</w:t>
      </w:r>
      <w:r>
        <w:rPr>
          <w:rFonts w:ascii="FangSong" w:hAnsi="FangSong" w:eastAsia="FangSong" w:cs="FangSong"/>
          <w:sz w:val="24"/>
          <w:szCs w:val="24"/>
          <w:spacing w:val="-39"/>
        </w:rPr>
        <w:t xml:space="preserve"> </w:t>
      </w:r>
      <w:r>
        <w:rPr>
          <w:rFonts w:ascii="FangSong" w:hAnsi="FangSong" w:eastAsia="FangSong" w:cs="FangSong"/>
          <w:sz w:val="24"/>
          <w:szCs w:val="24"/>
          <w:spacing w:val="-15"/>
        </w:rPr>
        <w:t>，</w:t>
      </w:r>
      <w:r>
        <w:rPr>
          <w:rFonts w:ascii="FangSong" w:hAnsi="FangSong" w:eastAsia="FangSong" w:cs="FangSong"/>
          <w:sz w:val="24"/>
          <w:szCs w:val="24"/>
          <w:spacing w:val="-46"/>
        </w:rPr>
        <w:t xml:space="preserve"> </w:t>
      </w:r>
      <w:r>
        <w:rPr>
          <w:rFonts w:ascii="FangSong" w:hAnsi="FangSong" w:eastAsia="FangSong" w:cs="FangSong"/>
          <w:sz w:val="24"/>
          <w:szCs w:val="24"/>
          <w:spacing w:val="-15"/>
        </w:rPr>
        <w:t>两</w:t>
      </w:r>
      <w:r>
        <w:rPr>
          <w:rFonts w:ascii="FangSong" w:hAnsi="FangSong" w:eastAsia="FangSong" w:cs="FangSong"/>
          <w:sz w:val="24"/>
          <w:szCs w:val="24"/>
          <w:spacing w:val="-56"/>
        </w:rPr>
        <w:t xml:space="preserve"> </w:t>
      </w:r>
      <w:r>
        <w:rPr>
          <w:rFonts w:ascii="FangSong" w:hAnsi="FangSong" w:eastAsia="FangSong" w:cs="FangSong"/>
          <w:sz w:val="24"/>
          <w:szCs w:val="24"/>
          <w:spacing w:val="-15"/>
        </w:rPr>
        <w:t>矿</w:t>
      </w:r>
      <w:r>
        <w:rPr>
          <w:rFonts w:ascii="FangSong" w:hAnsi="FangSong" w:eastAsia="FangSong" w:cs="FangSong"/>
          <w:sz w:val="24"/>
          <w:szCs w:val="24"/>
          <w:spacing w:val="-60"/>
        </w:rPr>
        <w:t xml:space="preserve"> </w:t>
      </w:r>
      <w:r>
        <w:rPr>
          <w:rFonts w:ascii="FangSong" w:hAnsi="FangSong" w:eastAsia="FangSong" w:cs="FangSong"/>
          <w:sz w:val="24"/>
          <w:szCs w:val="24"/>
          <w:spacing w:val="-15"/>
        </w:rPr>
        <w:t>权</w:t>
      </w:r>
      <w:r>
        <w:rPr>
          <w:rFonts w:ascii="FangSong" w:hAnsi="FangSong" w:eastAsia="FangSong" w:cs="FangSong"/>
          <w:sz w:val="24"/>
          <w:szCs w:val="24"/>
          <w:spacing w:val="-36"/>
        </w:rPr>
        <w:t xml:space="preserve"> </w:t>
      </w:r>
      <w:r>
        <w:rPr>
          <w:rFonts w:ascii="FangSong" w:hAnsi="FangSong" w:eastAsia="FangSong" w:cs="FangSong"/>
          <w:sz w:val="24"/>
          <w:szCs w:val="24"/>
          <w:spacing w:val="-15"/>
        </w:rPr>
        <w:t>间</w:t>
      </w:r>
      <w:r>
        <w:rPr>
          <w:rFonts w:ascii="FangSong" w:hAnsi="FangSong" w:eastAsia="FangSong" w:cs="FangSong"/>
          <w:sz w:val="24"/>
          <w:szCs w:val="24"/>
          <w:spacing w:val="-42"/>
        </w:rPr>
        <w:t xml:space="preserve"> </w:t>
      </w:r>
      <w:r>
        <w:rPr>
          <w:rFonts w:ascii="FangSong" w:hAnsi="FangSong" w:eastAsia="FangSong" w:cs="FangSong"/>
          <w:sz w:val="24"/>
          <w:szCs w:val="24"/>
          <w:spacing w:val="-15"/>
        </w:rPr>
        <w:t>隔</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15"/>
        </w:rPr>
        <w:t>100  </w:t>
      </w:r>
      <w:r>
        <w:rPr>
          <w:rFonts w:ascii="FangSong" w:hAnsi="FangSong" w:eastAsia="FangSong" w:cs="FangSong"/>
          <w:sz w:val="24"/>
          <w:szCs w:val="24"/>
          <w:spacing w:val="-15"/>
        </w:rPr>
        <w:t>米</w:t>
      </w:r>
      <w:r>
        <w:rPr>
          <w:rFonts w:ascii="FangSong" w:hAnsi="FangSong" w:eastAsia="FangSong" w:cs="FangSong"/>
          <w:sz w:val="24"/>
          <w:szCs w:val="24"/>
          <w:spacing w:val="-41"/>
        </w:rPr>
        <w:t xml:space="preserve"> </w:t>
      </w:r>
      <w:r>
        <w:rPr>
          <w:rFonts w:ascii="FangSong" w:hAnsi="FangSong" w:eastAsia="FangSong" w:cs="FangSong"/>
          <w:sz w:val="24"/>
          <w:szCs w:val="24"/>
          <w:spacing w:val="-15"/>
        </w:rPr>
        <w:t>。</w:t>
      </w:r>
      <w:r>
        <w:rPr>
          <w:rFonts w:ascii="FangSong" w:hAnsi="FangSong" w:eastAsia="FangSong" w:cs="FangSong"/>
          <w:sz w:val="24"/>
          <w:szCs w:val="24"/>
          <w:spacing w:val="-54"/>
        </w:rPr>
        <w:t xml:space="preserve"> </w:t>
      </w:r>
      <w:r>
        <w:rPr>
          <w:rFonts w:ascii="FangSong" w:hAnsi="FangSong" w:eastAsia="FangSong" w:cs="FangSong"/>
          <w:sz w:val="24"/>
          <w:szCs w:val="24"/>
          <w:spacing w:val="-15"/>
        </w:rPr>
        <w:t>采</w:t>
      </w:r>
      <w:r>
        <w:rPr>
          <w:rFonts w:ascii="FangSong" w:hAnsi="FangSong" w:eastAsia="FangSong" w:cs="FangSong"/>
          <w:sz w:val="24"/>
          <w:szCs w:val="24"/>
          <w:spacing w:val="-59"/>
        </w:rPr>
        <w:t xml:space="preserve"> </w:t>
      </w:r>
      <w:r>
        <w:rPr>
          <w:rFonts w:ascii="FangSong" w:hAnsi="FangSong" w:eastAsia="FangSong" w:cs="FangSong"/>
          <w:sz w:val="24"/>
          <w:szCs w:val="24"/>
          <w:spacing w:val="-15"/>
        </w:rPr>
        <w:t>矿</w:t>
      </w:r>
      <w:r>
        <w:rPr>
          <w:rFonts w:ascii="FangSong" w:hAnsi="FangSong" w:eastAsia="FangSong" w:cs="FangSong"/>
          <w:sz w:val="24"/>
          <w:szCs w:val="24"/>
          <w:spacing w:val="-53"/>
        </w:rPr>
        <w:t xml:space="preserve"> </w:t>
      </w:r>
      <w:r>
        <w:rPr>
          <w:rFonts w:ascii="FangSong" w:hAnsi="FangSong" w:eastAsia="FangSong" w:cs="FangSong"/>
          <w:sz w:val="24"/>
          <w:szCs w:val="24"/>
          <w:spacing w:val="-15"/>
        </w:rPr>
        <w:t>许可</w:t>
      </w:r>
      <w:r>
        <w:rPr>
          <w:rFonts w:ascii="FangSong" w:hAnsi="FangSong" w:eastAsia="FangSong" w:cs="FangSong"/>
          <w:sz w:val="24"/>
          <w:szCs w:val="24"/>
          <w:spacing w:val="-59"/>
        </w:rPr>
        <w:t xml:space="preserve"> </w:t>
      </w:r>
      <w:r>
        <w:rPr>
          <w:rFonts w:ascii="FangSong" w:hAnsi="FangSong" w:eastAsia="FangSong" w:cs="FangSong"/>
          <w:sz w:val="24"/>
          <w:szCs w:val="24"/>
          <w:spacing w:val="-15"/>
        </w:rPr>
        <w:t>证</w:t>
      </w:r>
      <w:r>
        <w:rPr>
          <w:rFonts w:ascii="FangSong" w:hAnsi="FangSong" w:eastAsia="FangSong" w:cs="FangSong"/>
          <w:sz w:val="24"/>
          <w:szCs w:val="24"/>
          <w:spacing w:val="-51"/>
        </w:rPr>
        <w:t xml:space="preserve"> </w:t>
      </w:r>
      <w:r>
        <w:rPr>
          <w:rFonts w:ascii="FangSong" w:hAnsi="FangSong" w:eastAsia="FangSong" w:cs="FangSong"/>
          <w:sz w:val="24"/>
          <w:szCs w:val="24"/>
          <w:spacing w:val="-15"/>
        </w:rPr>
        <w:t>号</w:t>
      </w:r>
      <w:r>
        <w:rPr>
          <w:rFonts w:ascii="FangSong" w:hAnsi="FangSong" w:eastAsia="FangSong" w:cs="FangSong"/>
          <w:sz w:val="24"/>
          <w:szCs w:val="24"/>
          <w:spacing w:val="-40"/>
        </w:rPr>
        <w:t xml:space="preserve"> </w:t>
      </w:r>
      <w:r>
        <w:rPr>
          <w:rFonts w:ascii="FangSong" w:hAnsi="FangSong" w:eastAsia="FangSong" w:cs="FangSong"/>
          <w:sz w:val="24"/>
          <w:szCs w:val="24"/>
          <w:spacing w:val="-1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C1525002010026120056016</w:t>
      </w:r>
      <w:r>
        <w:rPr>
          <w:rFonts w:ascii="FangSong" w:hAnsi="FangSong" w:eastAsia="FangSong" w:cs="FangSong"/>
          <w:sz w:val="24"/>
          <w:szCs w:val="24"/>
          <w:spacing w:val="-2"/>
        </w:rPr>
        <w:t>；采矿权人：</w:t>
      </w:r>
      <w:r>
        <w:rPr>
          <w:rFonts w:ascii="FangSong" w:hAnsi="FangSong" w:eastAsia="FangSong" w:cs="FangSong"/>
          <w:sz w:val="24"/>
          <w:szCs w:val="24"/>
          <w:spacing w:val="-3"/>
        </w:rPr>
        <w:t>苏尼特右旗莹源矿业有限责任公司；开采矿</w:t>
      </w:r>
      <w:r>
        <w:rPr>
          <w:rFonts w:ascii="FangSong" w:hAnsi="FangSong" w:eastAsia="FangSong" w:cs="FangSong"/>
          <w:sz w:val="24"/>
          <w:szCs w:val="24"/>
          <w:spacing w:val="-9"/>
        </w:rPr>
        <w:t>种：萤石（普通</w:t>
      </w:r>
      <w:r>
        <w:rPr>
          <w:rFonts w:ascii="FangSong" w:hAnsi="FangSong" w:eastAsia="FangSong" w:cs="FangSong"/>
          <w:sz w:val="24"/>
          <w:szCs w:val="24"/>
          <w:spacing w:val="-34"/>
        </w:rPr>
        <w:t>）；</w:t>
      </w:r>
      <w:r>
        <w:rPr>
          <w:rFonts w:ascii="FangSong" w:hAnsi="FangSong" w:eastAsia="FangSong" w:cs="FangSong"/>
          <w:sz w:val="24"/>
          <w:szCs w:val="24"/>
          <w:spacing w:val="-9"/>
        </w:rPr>
        <w:t>开采方式：地下开采；生产规模：</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9"/>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0"/>
        </w:rPr>
        <w:t>t/a</w:t>
      </w:r>
      <w:r>
        <w:rPr>
          <w:rFonts w:ascii="FangSong" w:hAnsi="FangSong" w:eastAsia="FangSong" w:cs="FangSong"/>
          <w:sz w:val="24"/>
          <w:szCs w:val="24"/>
          <w:spacing w:val="-10"/>
        </w:rPr>
        <w:t>；矿区面积：</w:t>
      </w:r>
      <w:r>
        <w:rPr>
          <w:rFonts w:ascii="Times New Roman" w:hAnsi="Times New Roman" w:eastAsia="Times New Roman" w:cs="Times New Roman"/>
          <w:sz w:val="24"/>
          <w:szCs w:val="24"/>
          <w:spacing w:val="-10"/>
        </w:rPr>
        <w:t>0.6099km</w:t>
      </w:r>
      <w:r>
        <w:rPr>
          <w:rFonts w:ascii="Times New Roman" w:hAnsi="Times New Roman" w:eastAsia="Times New Roman" w:cs="Times New Roman"/>
          <w:sz w:val="15"/>
          <w:szCs w:val="15"/>
          <w:spacing w:val="-10"/>
          <w:position w:val="8"/>
        </w:rPr>
        <w:t>2</w:t>
      </w:r>
      <w:r>
        <w:rPr>
          <w:rFonts w:ascii="FangSong" w:hAnsi="FangSong" w:eastAsia="FangSong" w:cs="FangSong"/>
          <w:sz w:val="24"/>
          <w:szCs w:val="24"/>
          <w:spacing w:val="-10"/>
        </w:rPr>
        <w:t>；</w:t>
      </w:r>
      <w:r>
        <w:rPr>
          <w:rFonts w:ascii="FangSong" w:hAnsi="FangSong" w:eastAsia="FangSong" w:cs="FangSong"/>
          <w:sz w:val="24"/>
          <w:szCs w:val="24"/>
          <w:spacing w:val="-1"/>
        </w:rPr>
        <w:t>开采标高：</w:t>
      </w:r>
      <w:r>
        <w:rPr>
          <w:rFonts w:ascii="Times New Roman" w:hAnsi="Times New Roman" w:eastAsia="Times New Roman" w:cs="Times New Roman"/>
          <w:sz w:val="24"/>
          <w:szCs w:val="24"/>
          <w:spacing w:val="-1"/>
        </w:rPr>
        <w:t>1044.00m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
        </w:rPr>
        <w:t>至</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900.00m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。矿山生产状况为停产；采矿方法为上向水平分层</w:t>
      </w:r>
      <w:r>
        <w:rPr>
          <w:rFonts w:ascii="FangSong" w:hAnsi="FangSong" w:eastAsia="FangSong" w:cs="FangSong"/>
          <w:sz w:val="24"/>
          <w:szCs w:val="24"/>
          <w:spacing w:val="-2"/>
        </w:rPr>
        <w:t>充填采矿法；矿坑正常涌水量为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1050m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左右，回采率</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90%</w:t>
      </w:r>
      <w:r>
        <w:rPr>
          <w:rFonts w:ascii="FangSong" w:hAnsi="FangSong" w:eastAsia="FangSong" w:cs="FangSong"/>
          <w:sz w:val="24"/>
          <w:szCs w:val="24"/>
          <w:spacing w:val="-2"/>
        </w:rPr>
        <w:t>。</w:t>
      </w:r>
    </w:p>
    <w:p>
      <w:pPr>
        <w:ind w:left="511"/>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）生产、办公及其他区域</w:t>
      </w:r>
    </w:p>
    <w:p>
      <w:pPr>
        <w:ind w:left="39" w:right="60" w:firstLine="467"/>
        <w:spacing w:before="181" w:line="360" w:lineRule="auto"/>
        <w:rPr>
          <w:rFonts w:ascii="FangSong" w:hAnsi="FangSong" w:eastAsia="FangSong" w:cs="FangSong"/>
          <w:sz w:val="24"/>
          <w:szCs w:val="24"/>
        </w:rPr>
      </w:pPr>
      <w:r>
        <w:rPr>
          <w:rFonts w:ascii="FangSong" w:hAnsi="FangSong" w:eastAsia="FangSong" w:cs="FangSong"/>
          <w:sz w:val="24"/>
          <w:szCs w:val="24"/>
          <w:spacing w:val="-3"/>
        </w:rPr>
        <w:t>本项目所建设的办公生活区、工业广场及其辅助区域周边主要为草地，其</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3"/>
        </w:rPr>
        <w:t>500m</w:t>
      </w:r>
      <w:r>
        <w:rPr>
          <w:rFonts w:ascii="FangSong" w:hAnsi="FangSong" w:eastAsia="FangSong" w:cs="FangSong"/>
          <w:sz w:val="24"/>
          <w:szCs w:val="24"/>
          <w:spacing w:val="1"/>
        </w:rPr>
        <w:t>范围内无城镇、铁路、村庄、大型基础设施，无文物或历史遗</w:t>
      </w:r>
      <w:r>
        <w:rPr>
          <w:rFonts w:ascii="FangSong" w:hAnsi="FangSong" w:eastAsia="FangSong" w:cs="FangSong"/>
          <w:sz w:val="24"/>
          <w:szCs w:val="24"/>
        </w:rPr>
        <w:t>迹。距南侧牧民最近</w:t>
      </w:r>
    </w:p>
    <w:p>
      <w:pPr>
        <w:spacing w:line="360" w:lineRule="auto"/>
        <w:sectPr>
          <w:footerReference w:type="default" r:id="rId107"/>
          <w:pgSz w:w="11911" w:h="16839"/>
          <w:pgMar w:top="400" w:right="1355" w:bottom="1146" w:left="1786" w:header="0" w:footer="984" w:gutter="0"/>
        </w:sectPr>
        <w:rPr>
          <w:rFonts w:ascii="FangSong" w:hAnsi="FangSong" w:eastAsia="FangSong" w:cs="FangSong"/>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36"/>
        <w:spacing w:before="78" w:line="222" w:lineRule="auto"/>
        <w:rPr>
          <w:rFonts w:ascii="FangSong" w:hAnsi="FangSong" w:eastAsia="FangSong" w:cs="FangSong"/>
          <w:sz w:val="24"/>
          <w:szCs w:val="24"/>
        </w:rPr>
      </w:pPr>
      <w:r>
        <w:rPr>
          <w:rFonts w:ascii="FangSong" w:hAnsi="FangSong" w:eastAsia="FangSong" w:cs="FangSong"/>
          <w:sz w:val="24"/>
          <w:szCs w:val="24"/>
          <w:spacing w:val="-5"/>
        </w:rPr>
        <w:t>点水平距离为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1000m</w:t>
      </w:r>
      <w:r>
        <w:rPr>
          <w:rFonts w:ascii="FangSong" w:hAnsi="FangSong" w:eastAsia="FangSong" w:cs="FangSong"/>
          <w:sz w:val="24"/>
          <w:szCs w:val="24"/>
          <w:spacing w:val="-5"/>
        </w:rPr>
        <w:t>。</w:t>
      </w:r>
    </w:p>
    <w:p>
      <w:pPr>
        <w:ind w:left="114"/>
        <w:spacing w:before="184" w:line="223" w:lineRule="auto"/>
        <w:outlineLvl w:val="1"/>
        <w:rPr>
          <w:rFonts w:ascii="FangSong" w:hAnsi="FangSong" w:eastAsia="FangSong" w:cs="FangSong"/>
          <w:sz w:val="28"/>
          <w:szCs w:val="28"/>
        </w:rPr>
      </w:pPr>
      <w:bookmarkStart w:name="bookmark131" w:id="179"/>
      <w:bookmarkEnd w:id="179"/>
      <w:bookmarkStart w:name="bookmark133" w:id="180"/>
      <w:bookmarkEnd w:id="180"/>
      <w:bookmarkStart w:name="bookmark130" w:id="181"/>
      <w:bookmarkEnd w:id="181"/>
      <w:bookmarkStart w:name="bookmark132" w:id="182"/>
      <w:bookmarkEnd w:id="182"/>
      <w:r>
        <w:rPr>
          <w:rFonts w:ascii="Times New Roman" w:hAnsi="Times New Roman" w:eastAsia="Times New Roman" w:cs="Times New Roman"/>
          <w:sz w:val="28"/>
          <w:szCs w:val="28"/>
          <w:b/>
          <w:bCs/>
          <w:spacing w:val="-2"/>
        </w:rPr>
        <w:t>4.2  </w:t>
      </w:r>
      <w:r>
        <w:rPr>
          <w:rFonts w:ascii="FangSong" w:hAnsi="FangSong" w:eastAsia="FangSong" w:cs="FangSong"/>
          <w:sz w:val="28"/>
          <w:szCs w:val="28"/>
          <w:b/>
          <w:bCs/>
          <w:spacing w:val="-2"/>
        </w:rPr>
        <w:t>开采范围及开采对象</w:t>
      </w:r>
    </w:p>
    <w:p>
      <w:pPr>
        <w:ind w:left="113"/>
        <w:spacing w:before="201" w:line="222" w:lineRule="auto"/>
        <w:outlineLvl w:val="2"/>
        <w:rPr>
          <w:rFonts w:ascii="FangSong" w:hAnsi="FangSong" w:eastAsia="FangSong" w:cs="FangSong"/>
          <w:sz w:val="24"/>
          <w:szCs w:val="24"/>
        </w:rPr>
      </w:pPr>
      <w:bookmarkStart w:name="bookmark539" w:id="183"/>
      <w:bookmarkEnd w:id="183"/>
      <w:r>
        <w:rPr>
          <w:rFonts w:ascii="Times New Roman" w:hAnsi="Times New Roman" w:eastAsia="Times New Roman" w:cs="Times New Roman"/>
          <w:sz w:val="24"/>
          <w:szCs w:val="24"/>
          <w:b/>
          <w:bCs/>
          <w:spacing w:val="-4"/>
        </w:rPr>
        <w:t>4.2.1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工业指标</w:t>
      </w:r>
    </w:p>
    <w:p>
      <w:pPr>
        <w:ind w:left="608"/>
        <w:spacing w:before="176" w:line="222" w:lineRule="auto"/>
        <w:rPr>
          <w:rFonts w:ascii="FangSong" w:hAnsi="FangSong" w:eastAsia="FangSong" w:cs="FangSong"/>
          <w:sz w:val="24"/>
          <w:szCs w:val="24"/>
        </w:rPr>
      </w:pPr>
      <w:r>
        <w:rPr>
          <w:rFonts w:ascii="FangSong" w:hAnsi="FangSong" w:eastAsia="FangSong" w:cs="FangSong"/>
          <w:sz w:val="24"/>
          <w:szCs w:val="24"/>
          <w:spacing w:val="-4"/>
        </w:rPr>
        <w:t>边界品位〔</w:t>
      </w:r>
      <w:r>
        <w:rPr>
          <w:rFonts w:ascii="Times New Roman" w:hAnsi="Times New Roman" w:eastAsia="Times New Roman" w:cs="Times New Roman"/>
          <w:sz w:val="24"/>
          <w:szCs w:val="24"/>
          <w:spacing w:val="-4"/>
        </w:rPr>
        <w:t>ω</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CaF</w:t>
      </w:r>
      <w:r>
        <w:rPr>
          <w:rFonts w:ascii="Times New Roman" w:hAnsi="Times New Roman" w:eastAsia="Times New Roman" w:cs="Times New Roman"/>
          <w:sz w:val="15"/>
          <w:szCs w:val="15"/>
          <w:spacing w:val="-4"/>
          <w:position w:val="-1"/>
        </w:rPr>
        <w:t>2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15%</w:t>
      </w:r>
      <w:r>
        <w:rPr>
          <w:rFonts w:ascii="FangSong" w:hAnsi="FangSong" w:eastAsia="FangSong" w:cs="FangSong"/>
          <w:sz w:val="24"/>
          <w:szCs w:val="24"/>
          <w:spacing w:val="-4"/>
        </w:rPr>
        <w:t>；</w:t>
      </w:r>
    </w:p>
    <w:p>
      <w:pPr>
        <w:ind w:left="610"/>
        <w:spacing w:before="179" w:line="222" w:lineRule="auto"/>
        <w:rPr>
          <w:rFonts w:ascii="FangSong" w:hAnsi="FangSong" w:eastAsia="FangSong" w:cs="FangSong"/>
          <w:sz w:val="24"/>
          <w:szCs w:val="24"/>
        </w:rPr>
      </w:pPr>
      <w:r>
        <w:rPr>
          <w:rFonts w:ascii="FangSong" w:hAnsi="FangSong" w:eastAsia="FangSong" w:cs="FangSong"/>
          <w:sz w:val="24"/>
          <w:szCs w:val="24"/>
          <w:spacing w:val="-3"/>
        </w:rPr>
        <w:t>最低工业品位〔</w:t>
      </w:r>
      <w:r>
        <w:rPr>
          <w:rFonts w:ascii="Times New Roman" w:hAnsi="Times New Roman" w:eastAsia="Times New Roman" w:cs="Times New Roman"/>
          <w:sz w:val="24"/>
          <w:szCs w:val="24"/>
          <w:spacing w:val="-3"/>
        </w:rPr>
        <w:t>ω</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CaF</w:t>
      </w:r>
      <w:r>
        <w:rPr>
          <w:rFonts w:ascii="Times New Roman" w:hAnsi="Times New Roman" w:eastAsia="Times New Roman" w:cs="Times New Roman"/>
          <w:sz w:val="15"/>
          <w:szCs w:val="15"/>
          <w:spacing w:val="-3"/>
          <w:position w:val="-1"/>
        </w:rPr>
        <w:t>2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25%</w:t>
      </w:r>
      <w:r>
        <w:rPr>
          <w:rFonts w:ascii="FangSong" w:hAnsi="FangSong" w:eastAsia="FangSong" w:cs="FangSong"/>
          <w:sz w:val="24"/>
          <w:szCs w:val="24"/>
          <w:spacing w:val="-3"/>
        </w:rPr>
        <w:t>；</w:t>
      </w:r>
    </w:p>
    <w:p>
      <w:pPr>
        <w:ind w:left="610"/>
        <w:spacing w:before="177" w:line="222" w:lineRule="auto"/>
        <w:rPr>
          <w:rFonts w:ascii="FangSong" w:hAnsi="FangSong" w:eastAsia="FangSong" w:cs="FangSong"/>
          <w:sz w:val="24"/>
          <w:szCs w:val="24"/>
        </w:rPr>
      </w:pPr>
      <w:r>
        <w:rPr>
          <w:rFonts w:ascii="FangSong" w:hAnsi="FangSong" w:eastAsia="FangSong" w:cs="FangSong"/>
          <w:sz w:val="24"/>
          <w:szCs w:val="24"/>
          <w:spacing w:val="-2"/>
        </w:rPr>
        <w:t>最小可采厚度：</w:t>
      </w:r>
      <w:r>
        <w:rPr>
          <w:rFonts w:ascii="Times New Roman" w:hAnsi="Times New Roman" w:eastAsia="Times New Roman" w:cs="Times New Roman"/>
          <w:sz w:val="24"/>
          <w:szCs w:val="24"/>
          <w:spacing w:val="-2"/>
        </w:rPr>
        <w:t>0.7m</w:t>
      </w:r>
      <w:r>
        <w:rPr>
          <w:rFonts w:ascii="FangSong" w:hAnsi="FangSong" w:eastAsia="FangSong" w:cs="FangSong"/>
          <w:sz w:val="24"/>
          <w:szCs w:val="24"/>
          <w:spacing w:val="-2"/>
        </w:rPr>
        <w:t>；</w:t>
      </w:r>
    </w:p>
    <w:p>
      <w:pPr>
        <w:ind w:left="610"/>
        <w:spacing w:before="179" w:line="222" w:lineRule="auto"/>
        <w:rPr>
          <w:rFonts w:ascii="FangSong" w:hAnsi="FangSong" w:eastAsia="FangSong" w:cs="FangSong"/>
          <w:sz w:val="24"/>
          <w:szCs w:val="24"/>
        </w:rPr>
      </w:pPr>
      <w:r>
        <w:rPr>
          <w:rFonts w:ascii="FangSong" w:hAnsi="FangSong" w:eastAsia="FangSong" w:cs="FangSong"/>
          <w:sz w:val="24"/>
          <w:szCs w:val="24"/>
          <w:spacing w:val="-2"/>
        </w:rPr>
        <w:t>最小夹石剔除厚度：</w:t>
      </w:r>
      <w:r>
        <w:rPr>
          <w:rFonts w:ascii="Times New Roman" w:hAnsi="Times New Roman" w:eastAsia="Times New Roman" w:cs="Times New Roman"/>
          <w:sz w:val="24"/>
          <w:szCs w:val="24"/>
          <w:spacing w:val="-2"/>
        </w:rPr>
        <w:t>2.0m</w:t>
      </w:r>
      <w:r>
        <w:rPr>
          <w:rFonts w:ascii="FangSong" w:hAnsi="FangSong" w:eastAsia="FangSong" w:cs="FangSong"/>
          <w:sz w:val="24"/>
          <w:szCs w:val="24"/>
          <w:spacing w:val="-2"/>
        </w:rPr>
        <w:t>；</w:t>
      </w:r>
    </w:p>
    <w:p>
      <w:pPr>
        <w:ind w:left="113"/>
        <w:spacing w:before="177" w:line="220" w:lineRule="auto"/>
        <w:outlineLvl w:val="2"/>
        <w:rPr>
          <w:rFonts w:ascii="FangSong" w:hAnsi="FangSong" w:eastAsia="FangSong" w:cs="FangSong"/>
          <w:sz w:val="24"/>
          <w:szCs w:val="24"/>
        </w:rPr>
      </w:pPr>
      <w:bookmarkStart w:name="bookmark135" w:id="184"/>
      <w:bookmarkEnd w:id="184"/>
      <w:bookmarkStart w:name="bookmark134" w:id="185"/>
      <w:bookmarkEnd w:id="185"/>
      <w:r>
        <w:rPr>
          <w:rFonts w:ascii="Times New Roman" w:hAnsi="Times New Roman" w:eastAsia="Times New Roman" w:cs="Times New Roman"/>
          <w:sz w:val="24"/>
          <w:szCs w:val="24"/>
          <w:b/>
          <w:bCs/>
          <w:spacing w:val="-5"/>
        </w:rPr>
        <w:t>4.2.2</w:t>
      </w:r>
      <w:r>
        <w:rPr>
          <w:rFonts w:ascii="Times New Roman" w:hAnsi="Times New Roman" w:eastAsia="Times New Roman" w:cs="Times New Roman"/>
          <w:sz w:val="24"/>
          <w:szCs w:val="24"/>
          <w:b/>
          <w:bCs/>
          <w:spacing w:val="18"/>
          <w:w w:val="101"/>
        </w:rPr>
        <w:t xml:space="preserve">  </w:t>
      </w:r>
      <w:r>
        <w:rPr>
          <w:rFonts w:ascii="FangSong" w:hAnsi="FangSong" w:eastAsia="FangSong" w:cs="FangSong"/>
          <w:sz w:val="24"/>
          <w:szCs w:val="24"/>
          <w:b/>
          <w:bCs/>
          <w:spacing w:val="-5"/>
        </w:rPr>
        <w:t>资源估算范围</w:t>
      </w:r>
    </w:p>
    <w:p>
      <w:pPr>
        <w:ind w:left="123" w:right="108" w:firstLine="480"/>
        <w:spacing w:before="182" w:line="359" w:lineRule="auto"/>
        <w:jc w:val="both"/>
        <w:rPr>
          <w:rFonts w:ascii="FangSong" w:hAnsi="FangSong" w:eastAsia="FangSong" w:cs="FangSong"/>
          <w:sz w:val="24"/>
          <w:szCs w:val="24"/>
        </w:rPr>
      </w:pPr>
      <w:r>
        <w:rPr>
          <w:rFonts w:ascii="FangSong" w:hAnsi="FangSong" w:eastAsia="FangSong" w:cs="FangSong"/>
          <w:sz w:val="24"/>
          <w:szCs w:val="24"/>
          <w:spacing w:val="-4"/>
        </w:rPr>
        <w:t>根据内蒙古自治区地质调查研究院储量评审中心《</w:t>
      </w:r>
      <w:r>
        <w:rPr>
          <w:rFonts w:ascii="Times New Roman" w:hAnsi="Times New Roman" w:eastAsia="Times New Roman" w:cs="Times New Roman"/>
          <w:sz w:val="24"/>
          <w:szCs w:val="24"/>
          <w:spacing w:val="-4"/>
        </w:rPr>
        <w:t>&lt;</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内蒙古自治区苏尼特</w:t>
      </w:r>
      <w:r>
        <w:rPr>
          <w:rFonts w:ascii="FangSong" w:hAnsi="FangSong" w:eastAsia="FangSong" w:cs="FangSong"/>
          <w:sz w:val="24"/>
          <w:szCs w:val="24"/>
          <w:spacing w:val="-5"/>
        </w:rPr>
        <w:t>右旗桑</w:t>
      </w:r>
      <w:r>
        <w:rPr>
          <w:rFonts w:ascii="FangSong" w:hAnsi="FangSong" w:eastAsia="FangSong" w:cs="FangSong"/>
          <w:sz w:val="24"/>
          <w:szCs w:val="24"/>
          <w:spacing w:val="-3"/>
        </w:rPr>
        <w:t>宝力嘎额尔登塔拉矿区萤石矿资源储量核实报告</w:t>
      </w:r>
      <w:r>
        <w:rPr>
          <w:rFonts w:ascii="Times New Roman" w:hAnsi="Times New Roman" w:eastAsia="Times New Roman" w:cs="Times New Roman"/>
          <w:sz w:val="24"/>
          <w:szCs w:val="24"/>
          <w:spacing w:val="-3"/>
        </w:rPr>
        <w:t>&gt;</w:t>
      </w:r>
      <w:r>
        <w:rPr>
          <w:rFonts w:ascii="FangSong" w:hAnsi="FangSong" w:eastAsia="FangSong" w:cs="FangSong"/>
          <w:sz w:val="24"/>
          <w:szCs w:val="24"/>
          <w:spacing w:val="-3"/>
        </w:rPr>
        <w:t>矿产资源储量评审意见书》（内自</w:t>
      </w:r>
      <w:r>
        <w:rPr>
          <w:rFonts w:ascii="FangSong" w:hAnsi="FangSong" w:eastAsia="FangSong" w:cs="FangSong"/>
          <w:sz w:val="24"/>
          <w:szCs w:val="24"/>
          <w:spacing w:val="-3"/>
        </w:rPr>
        <w:t>然资储评字﹝</w:t>
      </w:r>
      <w:r>
        <w:rPr>
          <w:rFonts w:ascii="Times New Roman" w:hAnsi="Times New Roman" w:eastAsia="Times New Roman" w:cs="Times New Roman"/>
          <w:sz w:val="24"/>
          <w:szCs w:val="24"/>
          <w:spacing w:val="-3"/>
        </w:rPr>
        <w:t>2025</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97</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3"/>
        </w:rPr>
        <w:t>号）。</w:t>
      </w:r>
      <w:r>
        <w:rPr>
          <w:rFonts w:ascii="FangSong" w:hAnsi="FangSong" w:eastAsia="FangSong" w:cs="FangSong"/>
          <w:sz w:val="24"/>
          <w:szCs w:val="24"/>
          <w:spacing w:val="-68"/>
        </w:rPr>
        <w:t xml:space="preserve"> </w:t>
      </w:r>
      <w:r>
        <w:rPr>
          <w:rFonts w:ascii="FangSong" w:hAnsi="FangSong" w:eastAsia="FangSong" w:cs="FangSong"/>
          <w:sz w:val="24"/>
          <w:szCs w:val="24"/>
          <w:spacing w:val="-3"/>
        </w:rPr>
        <w:t>申请开采区域由</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19</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个拐</w:t>
      </w:r>
      <w:r>
        <w:rPr>
          <w:rFonts w:ascii="FangSong" w:hAnsi="FangSong" w:eastAsia="FangSong" w:cs="FangSong"/>
          <w:sz w:val="24"/>
          <w:szCs w:val="24"/>
          <w:spacing w:val="-4"/>
        </w:rPr>
        <w:t>点圈定，面积</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1776km</w:t>
      </w:r>
      <w:r>
        <w:rPr>
          <w:rFonts w:ascii="Times New Roman" w:hAnsi="Times New Roman" w:eastAsia="Times New Roman" w:cs="Times New Roman"/>
          <w:sz w:val="15"/>
          <w:szCs w:val="15"/>
          <w:spacing w:val="-4"/>
          <w:position w:val="8"/>
        </w:rPr>
        <w:t>2 </w:t>
      </w:r>
      <w:r>
        <w:rPr>
          <w:rFonts w:ascii="FangSong" w:hAnsi="FangSong" w:eastAsia="FangSong" w:cs="FangSong"/>
          <w:sz w:val="24"/>
          <w:szCs w:val="24"/>
          <w:spacing w:val="-4"/>
        </w:rPr>
        <w:t>，</w:t>
      </w:r>
      <w:r>
        <w:rPr>
          <w:rFonts w:ascii="FangSong" w:hAnsi="FangSong" w:eastAsia="FangSong" w:cs="FangSong"/>
          <w:sz w:val="24"/>
          <w:szCs w:val="24"/>
          <w:spacing w:val="-4"/>
        </w:rPr>
        <w:t>开采标高为</w:t>
      </w:r>
      <w:r>
        <w:rPr>
          <w:rFonts w:ascii="FangSong" w:hAnsi="FangSong" w:eastAsia="FangSong" w:cs="FangSong"/>
          <w:sz w:val="24"/>
          <w:szCs w:val="24"/>
          <w:spacing w:val="-18"/>
        </w:rPr>
        <w:t xml:space="preserve"> </w:t>
      </w:r>
      <w:r>
        <w:rPr>
          <w:rFonts w:ascii="Times New Roman" w:hAnsi="Times New Roman" w:eastAsia="Times New Roman" w:cs="Times New Roman"/>
          <w:sz w:val="24"/>
          <w:szCs w:val="24"/>
          <w:spacing w:val="-4"/>
        </w:rPr>
        <w:t>1065.00m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至</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842.00m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。拐点坐标见表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4.2-1</w:t>
      </w:r>
      <w:r>
        <w:rPr>
          <w:rFonts w:ascii="FangSong" w:hAnsi="FangSong" w:eastAsia="FangSong" w:cs="FangSong"/>
          <w:sz w:val="24"/>
          <w:szCs w:val="24"/>
          <w:spacing w:val="-4"/>
        </w:rPr>
        <w:t>。</w:t>
      </w:r>
    </w:p>
    <w:p>
      <w:pPr>
        <w:ind w:left="2688"/>
        <w:spacing w:before="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4.2-1  </w:t>
      </w:r>
      <w:r>
        <w:rPr>
          <w:rFonts w:ascii="FangSong" w:hAnsi="FangSong" w:eastAsia="FangSong" w:cs="FangSong"/>
          <w:sz w:val="24"/>
          <w:szCs w:val="24"/>
          <w:b/>
          <w:bCs/>
          <w:spacing w:val="-3"/>
        </w:rPr>
        <w:t>矿区范围拐点坐标一览表</w:t>
      </w:r>
    </w:p>
    <w:p>
      <w:pPr>
        <w:spacing w:line="142" w:lineRule="exact"/>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3"/>
        <w:gridCol w:w="3116"/>
        <w:gridCol w:w="3891"/>
      </w:tblGrid>
      <w:tr>
        <w:trPr>
          <w:trHeight w:val="375" w:hRule="atLeast"/>
        </w:trPr>
        <w:tc>
          <w:tcPr>
            <w:tcW w:w="1903" w:type="dxa"/>
            <w:vAlign w:val="top"/>
            <w:vMerge w:val="restart"/>
            <w:tcBorders>
              <w:left w:val="nil"/>
              <w:top w:val="single" w:color="000000" w:sz="10" w:space="0"/>
              <w:bottom w:val="nil"/>
            </w:tcBorders>
          </w:tcPr>
          <w:p>
            <w:pPr>
              <w:pStyle w:val="TableText"/>
              <w:ind w:left="766"/>
              <w:spacing w:before="280" w:line="232" w:lineRule="auto"/>
              <w:rPr/>
            </w:pPr>
            <w:r>
              <w:rPr>
                <w:spacing w:val="-4"/>
              </w:rPr>
              <w:t>点号</w:t>
            </w:r>
          </w:p>
        </w:tc>
        <w:tc>
          <w:tcPr>
            <w:tcW w:w="7007" w:type="dxa"/>
            <w:vAlign w:val="top"/>
            <w:gridSpan w:val="2"/>
            <w:tcBorders>
              <w:right w:val="nil"/>
              <w:top w:val="single" w:color="000000" w:sz="10" w:space="0"/>
            </w:tcBorders>
          </w:tcPr>
          <w:p>
            <w:pPr>
              <w:pStyle w:val="TableText"/>
              <w:ind w:left="2533"/>
              <w:spacing w:before="83" w:line="231" w:lineRule="auto"/>
              <w:rPr/>
            </w:pPr>
            <w:r>
              <w:rPr>
                <w:rFonts w:ascii="Times New Roman" w:hAnsi="Times New Roman" w:eastAsia="Times New Roman" w:cs="Times New Roman"/>
                <w:spacing w:val="4"/>
              </w:rPr>
              <w:t>2000</w:t>
            </w:r>
            <w:r>
              <w:rPr>
                <w:rFonts w:ascii="Times New Roman" w:hAnsi="Times New Roman" w:eastAsia="Times New Roman" w:cs="Times New Roman"/>
                <w:spacing w:val="42"/>
              </w:rPr>
              <w:t xml:space="preserve"> </w:t>
            </w:r>
            <w:r>
              <w:rPr>
                <w:spacing w:val="4"/>
              </w:rPr>
              <w:t>国家大地坐标系</w:t>
            </w:r>
          </w:p>
        </w:tc>
      </w:tr>
      <w:tr>
        <w:trPr>
          <w:trHeight w:val="391" w:hRule="atLeast"/>
        </w:trPr>
        <w:tc>
          <w:tcPr>
            <w:tcW w:w="1903" w:type="dxa"/>
            <w:vAlign w:val="top"/>
            <w:vMerge w:val="continue"/>
            <w:tcBorders>
              <w:left w:val="nil"/>
              <w:top w:val="nil"/>
            </w:tcBorders>
          </w:tcPr>
          <w:p>
            <w:pPr>
              <w:rPr>
                <w:rFonts w:ascii="Arial"/>
                <w:sz w:val="21"/>
              </w:rPr>
            </w:pPr>
            <w:r/>
          </w:p>
        </w:tc>
        <w:tc>
          <w:tcPr>
            <w:tcW w:w="3116" w:type="dxa"/>
            <w:vAlign w:val="top"/>
          </w:tcPr>
          <w:p>
            <w:pPr>
              <w:pStyle w:val="TableText"/>
              <w:ind w:left="1246"/>
              <w:spacing w:before="90" w:line="231" w:lineRule="auto"/>
              <w:rPr/>
            </w:pPr>
            <w:r>
              <w:rPr>
                <w:rFonts w:ascii="Times New Roman" w:hAnsi="Times New Roman" w:eastAsia="Times New Roman" w:cs="Times New Roman"/>
                <w:spacing w:val="1"/>
              </w:rPr>
              <w:t>X</w:t>
            </w:r>
            <w:r>
              <w:rPr>
                <w:rFonts w:ascii="Times New Roman" w:hAnsi="Times New Roman" w:eastAsia="Times New Roman" w:cs="Times New Roman"/>
                <w:spacing w:val="21"/>
                <w:w w:val="101"/>
              </w:rPr>
              <w:t xml:space="preserve"> </w:t>
            </w:r>
            <w:r>
              <w:rPr>
                <w:spacing w:val="1"/>
              </w:rPr>
              <w:t>坐标</w:t>
            </w:r>
          </w:p>
        </w:tc>
        <w:tc>
          <w:tcPr>
            <w:tcW w:w="3891" w:type="dxa"/>
            <w:vAlign w:val="top"/>
            <w:tcBorders>
              <w:right w:val="nil"/>
            </w:tcBorders>
          </w:tcPr>
          <w:p>
            <w:pPr>
              <w:pStyle w:val="TableText"/>
              <w:ind w:left="1632"/>
              <w:spacing w:before="90" w:line="231" w:lineRule="auto"/>
              <w:rPr/>
            </w:pPr>
            <w:r>
              <w:rPr>
                <w:rFonts w:ascii="Times New Roman" w:hAnsi="Times New Roman" w:eastAsia="Times New Roman" w:cs="Times New Roman"/>
                <w:spacing w:val="1"/>
              </w:rPr>
              <w:t>Y</w:t>
            </w:r>
            <w:r>
              <w:rPr>
                <w:rFonts w:ascii="Times New Roman" w:hAnsi="Times New Roman" w:eastAsia="Times New Roman" w:cs="Times New Roman"/>
                <w:spacing w:val="21"/>
                <w:w w:val="101"/>
              </w:rPr>
              <w:t xml:space="preserve"> </w:t>
            </w:r>
            <w:r>
              <w:rPr>
                <w:spacing w:val="1"/>
              </w:rPr>
              <w:t>坐标</w:t>
            </w:r>
          </w:p>
        </w:tc>
      </w:tr>
      <w:tr>
        <w:trPr>
          <w:trHeight w:val="391" w:hRule="atLeast"/>
        </w:trPr>
        <w:tc>
          <w:tcPr>
            <w:tcW w:w="1903" w:type="dxa"/>
            <w:vAlign w:val="top"/>
            <w:tcBorders>
              <w:left w:val="nil"/>
            </w:tcBorders>
          </w:tcPr>
          <w:p>
            <w:pPr>
              <w:ind w:left="92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16" w:type="dxa"/>
            <w:vAlign w:val="top"/>
          </w:tcPr>
          <w:p>
            <w:pPr>
              <w:ind w:left="95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4766479.6358</w:t>
            </w:r>
          </w:p>
        </w:tc>
        <w:tc>
          <w:tcPr>
            <w:tcW w:w="3891" w:type="dxa"/>
            <w:vAlign w:val="top"/>
            <w:tcBorders>
              <w:right w:val="nil"/>
            </w:tcBorders>
          </w:tcPr>
          <w:p>
            <w:pPr>
              <w:ind w:left="1296"/>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38409668.2754</w:t>
            </w:r>
          </w:p>
        </w:tc>
      </w:tr>
      <w:tr>
        <w:trPr>
          <w:trHeight w:val="390" w:hRule="atLeast"/>
        </w:trPr>
        <w:tc>
          <w:tcPr>
            <w:tcW w:w="1903" w:type="dxa"/>
            <w:vAlign w:val="top"/>
            <w:tcBorders>
              <w:left w:val="nil"/>
            </w:tcBorders>
          </w:tcPr>
          <w:p>
            <w:pPr>
              <w:ind w:left="903"/>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116" w:type="dxa"/>
            <w:vAlign w:val="top"/>
          </w:tcPr>
          <w:p>
            <w:pPr>
              <w:ind w:left="955"/>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4765690.4028</w:t>
            </w:r>
          </w:p>
        </w:tc>
        <w:tc>
          <w:tcPr>
            <w:tcW w:w="3891" w:type="dxa"/>
            <w:vAlign w:val="top"/>
            <w:tcBorders>
              <w:right w:val="nil"/>
            </w:tcBorders>
          </w:tcPr>
          <w:p>
            <w:pPr>
              <w:ind w:left="129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38408684.6329</w:t>
            </w:r>
          </w:p>
        </w:tc>
      </w:tr>
      <w:tr>
        <w:trPr>
          <w:trHeight w:val="391" w:hRule="atLeast"/>
        </w:trPr>
        <w:tc>
          <w:tcPr>
            <w:tcW w:w="1903" w:type="dxa"/>
            <w:vAlign w:val="top"/>
            <w:tcBorders>
              <w:left w:val="nil"/>
            </w:tcBorders>
          </w:tcPr>
          <w:p>
            <w:pPr>
              <w:ind w:left="90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116" w:type="dxa"/>
            <w:vAlign w:val="top"/>
          </w:tcPr>
          <w:p>
            <w:pPr>
              <w:ind w:left="95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4767123.6067</w:t>
            </w:r>
          </w:p>
        </w:tc>
        <w:tc>
          <w:tcPr>
            <w:tcW w:w="3891" w:type="dxa"/>
            <w:vAlign w:val="top"/>
            <w:tcBorders>
              <w:right w:val="nil"/>
            </w:tcBorders>
          </w:tcPr>
          <w:p>
            <w:pPr>
              <w:ind w:left="129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38407662.3583</w:t>
            </w:r>
          </w:p>
        </w:tc>
      </w:tr>
      <w:tr>
        <w:trPr>
          <w:trHeight w:val="391" w:hRule="atLeast"/>
        </w:trPr>
        <w:tc>
          <w:tcPr>
            <w:tcW w:w="1903" w:type="dxa"/>
            <w:vAlign w:val="top"/>
            <w:tcBorders>
              <w:left w:val="nil"/>
            </w:tcBorders>
          </w:tcPr>
          <w:p>
            <w:pPr>
              <w:ind w:left="90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116" w:type="dxa"/>
            <w:vAlign w:val="top"/>
          </w:tcPr>
          <w:p>
            <w:pPr>
              <w:ind w:left="95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4768463.2529</w:t>
            </w:r>
          </w:p>
        </w:tc>
        <w:tc>
          <w:tcPr>
            <w:tcW w:w="3891" w:type="dxa"/>
            <w:vAlign w:val="top"/>
            <w:tcBorders>
              <w:right w:val="nil"/>
            </w:tcBorders>
          </w:tcPr>
          <w:p>
            <w:pPr>
              <w:ind w:left="129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38409060.9109</w:t>
            </w:r>
          </w:p>
        </w:tc>
      </w:tr>
      <w:tr>
        <w:trPr>
          <w:trHeight w:val="390" w:hRule="atLeast"/>
        </w:trPr>
        <w:tc>
          <w:tcPr>
            <w:tcW w:w="1903" w:type="dxa"/>
            <w:vAlign w:val="top"/>
            <w:tcBorders>
              <w:left w:val="nil"/>
            </w:tcBorders>
          </w:tcPr>
          <w:p>
            <w:pPr>
              <w:ind w:left="909"/>
              <w:spacing w:before="13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116" w:type="dxa"/>
            <w:vAlign w:val="top"/>
          </w:tcPr>
          <w:p>
            <w:pPr>
              <w:ind w:left="95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4767026.3381</w:t>
            </w:r>
          </w:p>
        </w:tc>
        <w:tc>
          <w:tcPr>
            <w:tcW w:w="3891" w:type="dxa"/>
            <w:vAlign w:val="top"/>
            <w:tcBorders>
              <w:right w:val="nil"/>
            </w:tcBorders>
          </w:tcPr>
          <w:p>
            <w:pPr>
              <w:ind w:left="129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38410355.1371</w:t>
            </w:r>
          </w:p>
        </w:tc>
      </w:tr>
      <w:tr>
        <w:trPr>
          <w:trHeight w:val="391" w:hRule="atLeast"/>
        </w:trPr>
        <w:tc>
          <w:tcPr>
            <w:tcW w:w="1903" w:type="dxa"/>
            <w:vAlign w:val="top"/>
            <w:tcBorders>
              <w:left w:val="nil"/>
            </w:tcBorders>
          </w:tcPr>
          <w:p>
            <w:pPr>
              <w:ind w:left="90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116" w:type="dxa"/>
            <w:vAlign w:val="top"/>
          </w:tcPr>
          <w:p>
            <w:pPr>
              <w:ind w:left="95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4766813.8272</w:t>
            </w:r>
          </w:p>
        </w:tc>
        <w:tc>
          <w:tcPr>
            <w:tcW w:w="3891" w:type="dxa"/>
            <w:vAlign w:val="top"/>
            <w:tcBorders>
              <w:right w:val="nil"/>
            </w:tcBorders>
          </w:tcPr>
          <w:p>
            <w:pPr>
              <w:ind w:left="129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38410058.4064</w:t>
            </w:r>
          </w:p>
        </w:tc>
      </w:tr>
      <w:tr>
        <w:trPr>
          <w:trHeight w:val="390" w:hRule="atLeast"/>
        </w:trPr>
        <w:tc>
          <w:tcPr>
            <w:tcW w:w="1903" w:type="dxa"/>
            <w:vAlign w:val="top"/>
            <w:tcBorders>
              <w:left w:val="nil"/>
            </w:tcBorders>
          </w:tcPr>
          <w:p>
            <w:pPr>
              <w:ind w:left="907"/>
              <w:spacing w:before="13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116" w:type="dxa"/>
            <w:vAlign w:val="top"/>
          </w:tcPr>
          <w:p>
            <w:pPr>
              <w:ind w:left="95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4766264.9454</w:t>
            </w:r>
          </w:p>
        </w:tc>
        <w:tc>
          <w:tcPr>
            <w:tcW w:w="3891" w:type="dxa"/>
            <w:vAlign w:val="top"/>
            <w:tcBorders>
              <w:right w:val="nil"/>
            </w:tcBorders>
          </w:tcPr>
          <w:p>
            <w:pPr>
              <w:ind w:left="129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38410748.1092</w:t>
            </w:r>
          </w:p>
        </w:tc>
      </w:tr>
      <w:tr>
        <w:trPr>
          <w:trHeight w:val="391" w:hRule="atLeast"/>
        </w:trPr>
        <w:tc>
          <w:tcPr>
            <w:tcW w:w="1903" w:type="dxa"/>
            <w:vAlign w:val="top"/>
            <w:tcBorders>
              <w:left w:val="nil"/>
            </w:tcBorders>
          </w:tcPr>
          <w:p>
            <w:pPr>
              <w:ind w:left="912"/>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116" w:type="dxa"/>
            <w:vAlign w:val="top"/>
          </w:tcPr>
          <w:p>
            <w:pPr>
              <w:ind w:left="95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4766924.8280</w:t>
            </w:r>
          </w:p>
        </w:tc>
        <w:tc>
          <w:tcPr>
            <w:tcW w:w="3891" w:type="dxa"/>
            <w:vAlign w:val="top"/>
            <w:tcBorders>
              <w:right w:val="nil"/>
            </w:tcBorders>
          </w:tcPr>
          <w:p>
            <w:pPr>
              <w:ind w:left="130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38411010.8294</w:t>
            </w:r>
          </w:p>
        </w:tc>
      </w:tr>
      <w:tr>
        <w:trPr>
          <w:trHeight w:val="391" w:hRule="atLeast"/>
        </w:trPr>
        <w:tc>
          <w:tcPr>
            <w:tcW w:w="1903" w:type="dxa"/>
            <w:vAlign w:val="top"/>
            <w:tcBorders>
              <w:left w:val="nil"/>
            </w:tcBorders>
          </w:tcPr>
          <w:p>
            <w:pPr>
              <w:ind w:left="90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116" w:type="dxa"/>
            <w:vAlign w:val="top"/>
          </w:tcPr>
          <w:p>
            <w:pPr>
              <w:ind w:left="95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4767602.6205</w:t>
            </w:r>
          </w:p>
        </w:tc>
        <w:tc>
          <w:tcPr>
            <w:tcW w:w="3891" w:type="dxa"/>
            <w:vAlign w:val="top"/>
            <w:tcBorders>
              <w:right w:val="nil"/>
            </w:tcBorders>
          </w:tcPr>
          <w:p>
            <w:pPr>
              <w:ind w:left="1308"/>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38411110.0790</w:t>
            </w:r>
          </w:p>
        </w:tc>
      </w:tr>
      <w:tr>
        <w:trPr>
          <w:trHeight w:val="391" w:hRule="atLeast"/>
        </w:trPr>
        <w:tc>
          <w:tcPr>
            <w:tcW w:w="1903" w:type="dxa"/>
            <w:vAlign w:val="top"/>
            <w:tcBorders>
              <w:left w:val="nil"/>
            </w:tcBorders>
          </w:tcPr>
          <w:p>
            <w:pPr>
              <w:ind w:left="87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116" w:type="dxa"/>
            <w:vAlign w:val="top"/>
          </w:tcPr>
          <w:p>
            <w:pPr>
              <w:ind w:left="95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4768504.2343</w:t>
            </w:r>
          </w:p>
        </w:tc>
        <w:tc>
          <w:tcPr>
            <w:tcW w:w="3891" w:type="dxa"/>
            <w:vAlign w:val="top"/>
            <w:tcBorders>
              <w:right w:val="nil"/>
            </w:tcBorders>
          </w:tcPr>
          <w:p>
            <w:pPr>
              <w:ind w:left="129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38412978.1639</w:t>
            </w:r>
          </w:p>
        </w:tc>
      </w:tr>
      <w:tr>
        <w:trPr>
          <w:trHeight w:val="390" w:hRule="atLeast"/>
        </w:trPr>
        <w:tc>
          <w:tcPr>
            <w:tcW w:w="1903" w:type="dxa"/>
            <w:vAlign w:val="top"/>
            <w:tcBorders>
              <w:left w:val="nil"/>
            </w:tcBorders>
          </w:tcPr>
          <w:p>
            <w:pPr>
              <w:ind w:left="876"/>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3116" w:type="dxa"/>
            <w:vAlign w:val="top"/>
          </w:tcPr>
          <w:p>
            <w:pPr>
              <w:ind w:left="955"/>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4768222.2937</w:t>
            </w:r>
          </w:p>
        </w:tc>
        <w:tc>
          <w:tcPr>
            <w:tcW w:w="3891" w:type="dxa"/>
            <w:vAlign w:val="top"/>
            <w:tcBorders>
              <w:right w:val="nil"/>
            </w:tcBorders>
          </w:tcPr>
          <w:p>
            <w:pPr>
              <w:ind w:left="1296"/>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38413336.2554</w:t>
            </w:r>
          </w:p>
        </w:tc>
      </w:tr>
      <w:tr>
        <w:trPr>
          <w:trHeight w:val="391" w:hRule="atLeast"/>
        </w:trPr>
        <w:tc>
          <w:tcPr>
            <w:tcW w:w="1903" w:type="dxa"/>
            <w:vAlign w:val="top"/>
            <w:tcBorders>
              <w:left w:val="nil"/>
            </w:tcBorders>
          </w:tcPr>
          <w:p>
            <w:pPr>
              <w:ind w:left="871"/>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3116" w:type="dxa"/>
            <w:vAlign w:val="top"/>
          </w:tcPr>
          <w:p>
            <w:pPr>
              <w:ind w:left="960"/>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4766411.0266</w:t>
            </w:r>
          </w:p>
        </w:tc>
        <w:tc>
          <w:tcPr>
            <w:tcW w:w="3891" w:type="dxa"/>
            <w:vAlign w:val="top"/>
            <w:tcBorders>
              <w:right w:val="nil"/>
            </w:tcBorders>
          </w:tcPr>
          <w:p>
            <w:pPr>
              <w:ind w:left="1296"/>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38412566.1650</w:t>
            </w:r>
          </w:p>
        </w:tc>
      </w:tr>
      <w:tr>
        <w:trPr>
          <w:trHeight w:val="390" w:hRule="atLeast"/>
        </w:trPr>
        <w:tc>
          <w:tcPr>
            <w:tcW w:w="1903" w:type="dxa"/>
            <w:vAlign w:val="top"/>
            <w:tcBorders>
              <w:left w:val="nil"/>
            </w:tcBorders>
          </w:tcPr>
          <w:p>
            <w:pPr>
              <w:ind w:left="871"/>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3116" w:type="dxa"/>
            <w:vAlign w:val="top"/>
          </w:tcPr>
          <w:p>
            <w:pPr>
              <w:ind w:left="955"/>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4765515.3630</w:t>
            </w:r>
          </w:p>
        </w:tc>
        <w:tc>
          <w:tcPr>
            <w:tcW w:w="3891" w:type="dxa"/>
            <w:vAlign w:val="top"/>
            <w:tcBorders>
              <w:right w:val="nil"/>
            </w:tcBorders>
          </w:tcPr>
          <w:p>
            <w:pPr>
              <w:ind w:left="1296"/>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38412573.1461</w:t>
            </w:r>
          </w:p>
        </w:tc>
      </w:tr>
      <w:tr>
        <w:trPr>
          <w:trHeight w:val="391" w:hRule="atLeast"/>
        </w:trPr>
        <w:tc>
          <w:tcPr>
            <w:tcW w:w="1903" w:type="dxa"/>
            <w:vAlign w:val="top"/>
            <w:tcBorders>
              <w:left w:val="nil"/>
            </w:tcBorders>
          </w:tcPr>
          <w:p>
            <w:pPr>
              <w:ind w:left="87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3116" w:type="dxa"/>
            <w:vAlign w:val="top"/>
          </w:tcPr>
          <w:p>
            <w:pPr>
              <w:ind w:left="95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4765523.0629</w:t>
            </w:r>
          </w:p>
        </w:tc>
        <w:tc>
          <w:tcPr>
            <w:tcW w:w="3891" w:type="dxa"/>
            <w:vAlign w:val="top"/>
            <w:tcBorders>
              <w:right w:val="nil"/>
            </w:tcBorders>
          </w:tcPr>
          <w:p>
            <w:pPr>
              <w:ind w:left="130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38411966.1640</w:t>
            </w:r>
          </w:p>
        </w:tc>
      </w:tr>
      <w:tr>
        <w:trPr>
          <w:trHeight w:val="391" w:hRule="atLeast"/>
        </w:trPr>
        <w:tc>
          <w:tcPr>
            <w:tcW w:w="1903" w:type="dxa"/>
            <w:vAlign w:val="top"/>
            <w:tcBorders>
              <w:left w:val="nil"/>
            </w:tcBorders>
          </w:tcPr>
          <w:p>
            <w:pPr>
              <w:ind w:left="87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3116" w:type="dxa"/>
            <w:vAlign w:val="top"/>
          </w:tcPr>
          <w:p>
            <w:pPr>
              <w:ind w:left="960"/>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4763116.7036</w:t>
            </w:r>
          </w:p>
        </w:tc>
        <w:tc>
          <w:tcPr>
            <w:tcW w:w="3891" w:type="dxa"/>
            <w:vAlign w:val="top"/>
            <w:tcBorders>
              <w:right w:val="nil"/>
            </w:tcBorders>
          </w:tcPr>
          <w:p>
            <w:pPr>
              <w:ind w:left="130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38411890.1565</w:t>
            </w:r>
          </w:p>
        </w:tc>
      </w:tr>
      <w:tr>
        <w:trPr>
          <w:trHeight w:val="391" w:hRule="atLeast"/>
        </w:trPr>
        <w:tc>
          <w:tcPr>
            <w:tcW w:w="1903" w:type="dxa"/>
            <w:vAlign w:val="top"/>
            <w:tcBorders>
              <w:left w:val="nil"/>
            </w:tcBorders>
          </w:tcPr>
          <w:p>
            <w:pPr>
              <w:ind w:left="87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3116" w:type="dxa"/>
            <w:vAlign w:val="top"/>
          </w:tcPr>
          <w:p>
            <w:pPr>
              <w:ind w:left="95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4763092.5236</w:t>
            </w:r>
          </w:p>
        </w:tc>
        <w:tc>
          <w:tcPr>
            <w:tcW w:w="3891" w:type="dxa"/>
            <w:vAlign w:val="top"/>
            <w:tcBorders>
              <w:right w:val="nil"/>
            </w:tcBorders>
          </w:tcPr>
          <w:p>
            <w:pPr>
              <w:ind w:left="130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38411391.0648</w:t>
            </w:r>
          </w:p>
        </w:tc>
      </w:tr>
      <w:tr>
        <w:trPr>
          <w:trHeight w:val="412" w:hRule="atLeast"/>
        </w:trPr>
        <w:tc>
          <w:tcPr>
            <w:tcW w:w="1903" w:type="dxa"/>
            <w:vAlign w:val="top"/>
            <w:tcBorders>
              <w:left w:val="nil"/>
              <w:bottom w:val="single" w:color="000000" w:sz="10" w:space="0"/>
            </w:tcBorders>
          </w:tcPr>
          <w:p>
            <w:pPr>
              <w:ind w:left="87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3116" w:type="dxa"/>
            <w:vAlign w:val="top"/>
            <w:tcBorders>
              <w:bottom w:val="single" w:color="000000" w:sz="10" w:space="0"/>
            </w:tcBorders>
          </w:tcPr>
          <w:p>
            <w:pPr>
              <w:ind w:left="95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4765408.1223</w:t>
            </w:r>
          </w:p>
        </w:tc>
        <w:tc>
          <w:tcPr>
            <w:tcW w:w="3891" w:type="dxa"/>
            <w:vAlign w:val="top"/>
            <w:tcBorders>
              <w:right w:val="nil"/>
              <w:bottom w:val="single" w:color="000000" w:sz="10" w:space="0"/>
            </w:tcBorders>
          </w:tcPr>
          <w:p>
            <w:pPr>
              <w:ind w:left="130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38411375.7822</w:t>
            </w:r>
          </w:p>
        </w:tc>
      </w:tr>
    </w:tbl>
    <w:p>
      <w:pPr>
        <w:pStyle w:val="BodyText"/>
        <w:rPr/>
      </w:pPr>
      <w:r/>
    </w:p>
    <w:p>
      <w:pPr>
        <w:sectPr>
          <w:footerReference w:type="default" r:id="rId108"/>
          <w:pgSz w:w="11911" w:h="16839"/>
          <w:pgMar w:top="400" w:right="1310" w:bottom="1144" w:left="1690" w:header="0" w:footer="984" w:gutter="0"/>
        </w:sectPr>
        <w:rPr/>
      </w:pPr>
    </w:p>
    <w:p>
      <w:pPr>
        <w:spacing w:before="19"/>
        <w:rPr/>
      </w:pPr>
      <w:r/>
    </w:p>
    <w:p>
      <w:pPr>
        <w:spacing w:before="19"/>
        <w:rPr/>
      </w:pPr>
      <w:r/>
    </w:p>
    <w:p>
      <w:pPr>
        <w:spacing w:before="18"/>
        <w:rPr/>
      </w:pPr>
      <w:r/>
    </w:p>
    <w:p>
      <w:pPr>
        <w:spacing w:before="18"/>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4"/>
        <w:gridCol w:w="3116"/>
        <w:gridCol w:w="3890"/>
      </w:tblGrid>
      <w:tr>
        <w:trPr>
          <w:trHeight w:val="364" w:hRule="atLeast"/>
        </w:trPr>
        <w:tc>
          <w:tcPr>
            <w:tcW w:w="1904" w:type="dxa"/>
            <w:vAlign w:val="top"/>
            <w:tcBorders>
              <w:top w:val="single" w:color="000000" w:sz="10" w:space="0"/>
              <w:left w:val="nil"/>
            </w:tcBorders>
          </w:tcPr>
          <w:p>
            <w:pPr>
              <w:ind w:left="871"/>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3116" w:type="dxa"/>
            <w:vAlign w:val="top"/>
            <w:tcBorders>
              <w:top w:val="single" w:color="000000" w:sz="10" w:space="0"/>
            </w:tcBorders>
          </w:tcPr>
          <w:p>
            <w:pPr>
              <w:ind w:left="95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4764938.2803</w:t>
            </w:r>
          </w:p>
        </w:tc>
        <w:tc>
          <w:tcPr>
            <w:tcW w:w="3890" w:type="dxa"/>
            <w:vAlign w:val="top"/>
            <w:tcBorders>
              <w:top w:val="single" w:color="000000" w:sz="10" w:space="0"/>
              <w:right w:val="nil"/>
            </w:tcBorders>
          </w:tcPr>
          <w:p>
            <w:pPr>
              <w:ind w:left="1295"/>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38409490.1363</w:t>
            </w:r>
          </w:p>
        </w:tc>
      </w:tr>
      <w:tr>
        <w:trPr>
          <w:trHeight w:val="403" w:hRule="atLeast"/>
        </w:trPr>
        <w:tc>
          <w:tcPr>
            <w:tcW w:w="1904" w:type="dxa"/>
            <w:vAlign w:val="top"/>
            <w:tcBorders>
              <w:bottom w:val="single" w:color="000000" w:sz="10" w:space="0"/>
              <w:left w:val="nil"/>
            </w:tcBorders>
          </w:tcPr>
          <w:p>
            <w:pPr>
              <w:ind w:left="871"/>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3116" w:type="dxa"/>
            <w:vAlign w:val="top"/>
            <w:tcBorders>
              <w:bottom w:val="single" w:color="000000" w:sz="10" w:space="0"/>
            </w:tcBorders>
          </w:tcPr>
          <w:p>
            <w:pPr>
              <w:ind w:left="954"/>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4765883.9339</w:t>
            </w:r>
          </w:p>
        </w:tc>
        <w:tc>
          <w:tcPr>
            <w:tcW w:w="3890" w:type="dxa"/>
            <w:vAlign w:val="top"/>
            <w:tcBorders>
              <w:bottom w:val="single" w:color="000000" w:sz="10" w:space="0"/>
              <w:right w:val="nil"/>
            </w:tcBorders>
          </w:tcPr>
          <w:p>
            <w:pPr>
              <w:ind w:left="129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38410295.2881</w:t>
            </w:r>
          </w:p>
        </w:tc>
      </w:tr>
    </w:tbl>
    <w:p>
      <w:pPr>
        <w:pStyle w:val="BodyText"/>
        <w:spacing w:line="370" w:lineRule="auto"/>
        <w:rPr/>
      </w:pPr>
      <w:r/>
    </w:p>
    <w:p>
      <w:pPr>
        <w:ind w:left="113"/>
        <w:spacing w:before="78" w:line="221" w:lineRule="auto"/>
        <w:outlineLvl w:val="2"/>
        <w:rPr>
          <w:rFonts w:ascii="FangSong" w:hAnsi="FangSong" w:eastAsia="FangSong" w:cs="FangSong"/>
          <w:sz w:val="24"/>
          <w:szCs w:val="24"/>
        </w:rPr>
      </w:pPr>
      <w:bookmarkStart w:name="bookmark137" w:id="186"/>
      <w:bookmarkEnd w:id="186"/>
      <w:bookmarkStart w:name="bookmark136" w:id="187"/>
      <w:bookmarkEnd w:id="187"/>
      <w:r>
        <w:rPr>
          <w:rFonts w:ascii="Times New Roman" w:hAnsi="Times New Roman" w:eastAsia="Times New Roman" w:cs="Times New Roman"/>
          <w:sz w:val="24"/>
          <w:szCs w:val="24"/>
          <w:b/>
          <w:bCs/>
          <w:spacing w:val="-4"/>
        </w:rPr>
        <w:t>4.2.3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开采矿种</w:t>
      </w:r>
    </w:p>
    <w:p>
      <w:pPr>
        <w:ind w:left="123" w:right="106" w:firstLine="480"/>
        <w:spacing w:before="179" w:line="359" w:lineRule="auto"/>
        <w:jc w:val="both"/>
        <w:rPr>
          <w:rFonts w:ascii="FangSong" w:hAnsi="FangSong" w:eastAsia="FangSong" w:cs="FangSong"/>
          <w:sz w:val="24"/>
          <w:szCs w:val="24"/>
        </w:rPr>
      </w:pPr>
      <w:r>
        <w:rPr>
          <w:rFonts w:ascii="FangSong" w:hAnsi="FangSong" w:eastAsia="FangSong" w:cs="FangSong"/>
          <w:sz w:val="24"/>
          <w:szCs w:val="24"/>
          <w:spacing w:val="1"/>
        </w:rPr>
        <w:t>根据《内蒙古自治区苏尼特右旗桑宝力嘎额尔登塔拉矿区萤石矿资源储量核实</w:t>
      </w:r>
      <w:r>
        <w:rPr>
          <w:rFonts w:ascii="FangSong" w:hAnsi="FangSong" w:eastAsia="FangSong" w:cs="FangSong"/>
          <w:sz w:val="24"/>
          <w:szCs w:val="24"/>
        </w:rPr>
        <w:t>报告》确定的开采主矿种为萤石矿（普通</w:t>
      </w:r>
      <w:r>
        <w:rPr>
          <w:rFonts w:ascii="FangSong" w:hAnsi="FangSong" w:eastAsia="FangSong" w:cs="FangSong"/>
          <w:sz w:val="24"/>
          <w:szCs w:val="24"/>
          <w:spacing w:val="20"/>
        </w:rPr>
        <w:t>），</w:t>
      </w:r>
      <w:r>
        <w:rPr>
          <w:rFonts w:ascii="FangSong" w:hAnsi="FangSong" w:eastAsia="FangSong" w:cs="FangSong"/>
          <w:sz w:val="24"/>
          <w:szCs w:val="24"/>
        </w:rPr>
        <w:t>其它有用组分含量低，均未达到共生</w:t>
      </w:r>
      <w:r>
        <w:rPr>
          <w:rFonts w:ascii="FangSong" w:hAnsi="FangSong" w:eastAsia="FangSong" w:cs="FangSong"/>
          <w:sz w:val="24"/>
          <w:szCs w:val="24"/>
          <w:spacing w:val="-2"/>
        </w:rPr>
        <w:t>伴生矿产综合利用指标要求。</w:t>
      </w:r>
    </w:p>
    <w:p>
      <w:pPr>
        <w:ind w:left="113"/>
        <w:spacing w:line="222" w:lineRule="auto"/>
        <w:outlineLvl w:val="2"/>
        <w:rPr>
          <w:rFonts w:ascii="FangSong" w:hAnsi="FangSong" w:eastAsia="FangSong" w:cs="FangSong"/>
          <w:sz w:val="24"/>
          <w:szCs w:val="24"/>
        </w:rPr>
      </w:pPr>
      <w:bookmarkStart w:name="bookmark139" w:id="188"/>
      <w:bookmarkEnd w:id="188"/>
      <w:bookmarkStart w:name="bookmark138" w:id="189"/>
      <w:bookmarkEnd w:id="189"/>
      <w:r>
        <w:rPr>
          <w:rFonts w:ascii="Times New Roman" w:hAnsi="Times New Roman" w:eastAsia="Times New Roman" w:cs="Times New Roman"/>
          <w:sz w:val="24"/>
          <w:szCs w:val="24"/>
          <w:b/>
          <w:bCs/>
          <w:spacing w:val="-2"/>
        </w:rPr>
        <w:t>4.2.4  </w:t>
      </w:r>
      <w:r>
        <w:rPr>
          <w:rFonts w:ascii="FangSong" w:hAnsi="FangSong" w:eastAsia="FangSong" w:cs="FangSong"/>
          <w:sz w:val="24"/>
          <w:szCs w:val="24"/>
          <w:b/>
          <w:bCs/>
          <w:spacing w:val="-2"/>
        </w:rPr>
        <w:t>开采方式及顺序</w:t>
      </w:r>
    </w:p>
    <w:p>
      <w:pPr>
        <w:ind w:left="123" w:right="106" w:firstLine="480"/>
        <w:spacing w:before="178" w:line="359" w:lineRule="auto"/>
        <w:jc w:val="both"/>
        <w:rPr>
          <w:rFonts w:ascii="FangSong" w:hAnsi="FangSong" w:eastAsia="FangSong" w:cs="FangSong"/>
          <w:sz w:val="24"/>
          <w:szCs w:val="24"/>
        </w:rPr>
      </w:pPr>
      <w:r>
        <w:rPr>
          <w:rFonts w:ascii="FangSong" w:hAnsi="FangSong" w:eastAsia="FangSong" w:cs="FangSong"/>
          <w:sz w:val="24"/>
          <w:szCs w:val="24"/>
          <w:spacing w:val="1"/>
        </w:rPr>
        <w:t>根据《苏尼特右旗桑宝力嘎额尔登塔拉萤石矿开采方案》，本项目采用地下开</w:t>
      </w:r>
      <w:r>
        <w:rPr>
          <w:rFonts w:ascii="FangSong" w:hAnsi="FangSong" w:eastAsia="FangSong" w:cs="FangSong"/>
          <w:sz w:val="24"/>
          <w:szCs w:val="24"/>
        </w:rPr>
        <w:t>采方式进行开采，矿床开采总顺序为矿体采用自上而下的下行</w:t>
      </w:r>
      <w:r>
        <w:rPr>
          <w:rFonts w:ascii="FangSong" w:hAnsi="FangSong" w:eastAsia="FangSong" w:cs="FangSong"/>
          <w:sz w:val="24"/>
          <w:szCs w:val="24"/>
          <w:spacing w:val="-1"/>
        </w:rPr>
        <w:t>式开采，</w:t>
      </w:r>
      <w:r>
        <w:rPr>
          <w:rFonts w:ascii="FangSong" w:hAnsi="FangSong" w:eastAsia="FangSong" w:cs="FangSong"/>
          <w:sz w:val="24"/>
          <w:szCs w:val="24"/>
          <w:spacing w:val="-71"/>
        </w:rPr>
        <w:t xml:space="preserve"> </w:t>
      </w:r>
      <w:r>
        <w:rPr>
          <w:rFonts w:ascii="FangSong" w:hAnsi="FangSong" w:eastAsia="FangSong" w:cs="FangSong"/>
          <w:sz w:val="24"/>
          <w:szCs w:val="24"/>
          <w:spacing w:val="-1"/>
        </w:rPr>
        <w:t>中段矿块的</w:t>
      </w:r>
      <w:r>
        <w:rPr>
          <w:rFonts w:ascii="FangSong" w:hAnsi="FangSong" w:eastAsia="FangSong" w:cs="FangSong"/>
          <w:sz w:val="24"/>
          <w:szCs w:val="24"/>
          <w:spacing w:val="1"/>
        </w:rPr>
        <w:t>开采顺序为后退式开采，同一水平的平行矿体应先采上盘矿体后采下盘矿体，在矿</w:t>
      </w:r>
      <w:r>
        <w:rPr>
          <w:rFonts w:ascii="FangSong" w:hAnsi="FangSong" w:eastAsia="FangSong" w:cs="FangSong"/>
          <w:sz w:val="24"/>
          <w:szCs w:val="24"/>
          <w:spacing w:val="-2"/>
        </w:rPr>
        <w:t>房中由下而上分层进行回采。</w:t>
      </w:r>
    </w:p>
    <w:p>
      <w:pPr>
        <w:ind w:left="114"/>
        <w:spacing w:before="6" w:line="223" w:lineRule="auto"/>
        <w:outlineLvl w:val="1"/>
        <w:rPr>
          <w:rFonts w:ascii="FangSong" w:hAnsi="FangSong" w:eastAsia="FangSong" w:cs="FangSong"/>
          <w:sz w:val="28"/>
          <w:szCs w:val="28"/>
        </w:rPr>
      </w:pPr>
      <w:bookmarkStart w:name="bookmark141" w:id="190"/>
      <w:bookmarkEnd w:id="190"/>
      <w:bookmarkStart w:name="bookmark143" w:id="191"/>
      <w:bookmarkEnd w:id="191"/>
      <w:bookmarkStart w:name="bookmark140" w:id="192"/>
      <w:bookmarkEnd w:id="192"/>
      <w:bookmarkStart w:name="bookmark142" w:id="193"/>
      <w:bookmarkEnd w:id="193"/>
      <w:r>
        <w:rPr>
          <w:rFonts w:ascii="Times New Roman" w:hAnsi="Times New Roman" w:eastAsia="Times New Roman" w:cs="Times New Roman"/>
          <w:sz w:val="28"/>
          <w:szCs w:val="28"/>
          <w:b/>
          <w:bCs/>
          <w:spacing w:val="-2"/>
        </w:rPr>
        <w:t>4.3  </w:t>
      </w:r>
      <w:r>
        <w:rPr>
          <w:rFonts w:ascii="FangSong" w:hAnsi="FangSong" w:eastAsia="FangSong" w:cs="FangSong"/>
          <w:sz w:val="28"/>
          <w:szCs w:val="28"/>
          <w:b/>
          <w:bCs/>
          <w:spacing w:val="-2"/>
        </w:rPr>
        <w:t>矿体特征、矿石类型</w:t>
      </w:r>
    </w:p>
    <w:p>
      <w:pPr>
        <w:ind w:left="113"/>
        <w:spacing w:before="201" w:line="222" w:lineRule="auto"/>
        <w:outlineLvl w:val="2"/>
        <w:rPr>
          <w:rFonts w:ascii="FangSong" w:hAnsi="FangSong" w:eastAsia="FangSong" w:cs="FangSong"/>
          <w:sz w:val="24"/>
          <w:szCs w:val="24"/>
        </w:rPr>
      </w:pPr>
      <w:bookmarkStart w:name="bookmark540" w:id="194"/>
      <w:bookmarkEnd w:id="194"/>
      <w:r>
        <w:rPr>
          <w:rFonts w:ascii="Times New Roman" w:hAnsi="Times New Roman" w:eastAsia="Times New Roman" w:cs="Times New Roman"/>
          <w:sz w:val="24"/>
          <w:szCs w:val="24"/>
          <w:b/>
          <w:bCs/>
          <w:spacing w:val="-4"/>
        </w:rPr>
        <w:t>4.3.1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矿体特征</w:t>
      </w:r>
    </w:p>
    <w:p>
      <w:pPr>
        <w:ind w:left="122" w:right="106" w:firstLine="481"/>
        <w:spacing w:before="177" w:line="359" w:lineRule="auto"/>
        <w:jc w:val="both"/>
        <w:rPr>
          <w:rFonts w:ascii="FangSong" w:hAnsi="FangSong" w:eastAsia="FangSong" w:cs="FangSong"/>
          <w:sz w:val="24"/>
          <w:szCs w:val="24"/>
        </w:rPr>
      </w:pPr>
      <w:r>
        <w:rPr>
          <w:rFonts w:ascii="FangSong" w:hAnsi="FangSong" w:eastAsia="FangSong" w:cs="FangSong"/>
          <w:sz w:val="24"/>
          <w:szCs w:val="24"/>
          <w:spacing w:val="1"/>
        </w:rPr>
        <w:t>本项目萤石矿体受构造控制明显，主要位于本项目东部呈南北向狭长的带状区</w:t>
      </w:r>
      <w:r>
        <w:rPr>
          <w:rFonts w:ascii="FangSong" w:hAnsi="FangSong" w:eastAsia="FangSong" w:cs="FangSong"/>
          <w:sz w:val="24"/>
          <w:szCs w:val="24"/>
          <w:spacing w:val="1"/>
        </w:rPr>
        <w:t>域内，矿体分布在近南北向主断裂及其配套的北北西向次级断裂之中，赋矿围岩主</w:t>
      </w:r>
      <w:r>
        <w:rPr>
          <w:rFonts w:ascii="FangSong" w:hAnsi="FangSong" w:eastAsia="FangSong" w:cs="FangSong"/>
          <w:sz w:val="24"/>
          <w:szCs w:val="24"/>
          <w:spacing w:val="-3"/>
        </w:rPr>
        <w:t>要为二叠系中统哲斯组（</w:t>
      </w:r>
      <w:r>
        <w:rPr>
          <w:rFonts w:ascii="Times New Roman" w:hAnsi="Times New Roman" w:eastAsia="Times New Roman" w:cs="Times New Roman"/>
          <w:sz w:val="24"/>
          <w:szCs w:val="24"/>
          <w:spacing w:val="-3"/>
        </w:rPr>
        <w:t>P</w:t>
      </w:r>
      <w:r>
        <w:rPr>
          <w:rFonts w:ascii="Times New Roman" w:hAnsi="Times New Roman" w:eastAsia="Times New Roman" w:cs="Times New Roman"/>
          <w:sz w:val="15"/>
          <w:szCs w:val="15"/>
          <w:spacing w:val="-3"/>
        </w:rPr>
        <w:t>2</w:t>
      </w:r>
      <w:r>
        <w:rPr>
          <w:rFonts w:ascii="Times New Roman" w:hAnsi="Times New Roman" w:eastAsia="Times New Roman" w:cs="Times New Roman"/>
          <w:sz w:val="24"/>
          <w:szCs w:val="24"/>
          <w:spacing w:val="-3"/>
        </w:rPr>
        <w:t>zs</w:t>
      </w:r>
      <w:r>
        <w:rPr>
          <w:rFonts w:ascii="FangSong" w:hAnsi="FangSong" w:eastAsia="FangSong" w:cs="FangSong"/>
          <w:sz w:val="24"/>
          <w:szCs w:val="24"/>
          <w:spacing w:val="-3"/>
        </w:rPr>
        <w:t>）紫红色凝灰质板岩、灰</w:t>
      </w:r>
      <w:r>
        <w:rPr>
          <w:rFonts w:ascii="FangSong" w:hAnsi="FangSong" w:eastAsia="FangSong" w:cs="FangSong"/>
          <w:sz w:val="24"/>
          <w:szCs w:val="24"/>
          <w:spacing w:val="-4"/>
        </w:rPr>
        <w:t>白色凝灰质板岩、浅灰绿色凝</w:t>
      </w:r>
      <w:r>
        <w:rPr>
          <w:rFonts w:ascii="FangSong" w:hAnsi="FangSong" w:eastAsia="FangSong" w:cs="FangSong"/>
          <w:sz w:val="24"/>
          <w:szCs w:val="24"/>
          <w:spacing w:val="1"/>
        </w:rPr>
        <w:t>灰质板岩及黑色碳质板岩。矿体呈脉状、透镜状产出，赋存于中二叠统哲斯组凝灰</w:t>
      </w:r>
      <w:r>
        <w:rPr>
          <w:rFonts w:ascii="FangSong" w:hAnsi="FangSong" w:eastAsia="FangSong" w:cs="FangSong"/>
          <w:sz w:val="24"/>
          <w:szCs w:val="24"/>
          <w:spacing w:val="-1"/>
        </w:rPr>
        <w:t>质板岩的断裂构造硅化带中，矿体与围岩界线截然。</w:t>
      </w:r>
    </w:p>
    <w:p>
      <w:pPr>
        <w:ind w:left="128" w:right="106" w:firstLine="480"/>
        <w:spacing w:before="3" w:line="358" w:lineRule="auto"/>
        <w:rPr>
          <w:rFonts w:ascii="FangSong" w:hAnsi="FangSong" w:eastAsia="FangSong" w:cs="FangSong"/>
          <w:sz w:val="24"/>
          <w:szCs w:val="24"/>
        </w:rPr>
      </w:pPr>
      <w:r>
        <w:rPr>
          <w:rFonts w:ascii="FangSong" w:hAnsi="FangSong" w:eastAsia="FangSong" w:cs="FangSong"/>
          <w:sz w:val="24"/>
          <w:szCs w:val="24"/>
          <w:spacing w:val="1"/>
        </w:rPr>
        <w:t>通过槽探和钻探工程控制及取样化验分析，萤石矿体内未见其它伴生矿种，为</w:t>
      </w:r>
      <w:r>
        <w:rPr>
          <w:rFonts w:ascii="FangSong" w:hAnsi="FangSong" w:eastAsia="FangSong" w:cs="FangSong"/>
          <w:sz w:val="24"/>
          <w:szCs w:val="24"/>
          <w:spacing w:val="-1"/>
        </w:rPr>
        <w:t>单一型萤石矿。矿体品位无论沿走向还是倾向变化均较均匀。</w:t>
      </w:r>
    </w:p>
    <w:p>
      <w:pPr>
        <w:ind w:left="123" w:right="106" w:firstLine="480"/>
        <w:spacing w:before="3" w:line="359" w:lineRule="auto"/>
        <w:jc w:val="both"/>
        <w:rPr>
          <w:rFonts w:ascii="FangSong" w:hAnsi="FangSong" w:eastAsia="FangSong" w:cs="FangSong"/>
          <w:sz w:val="24"/>
          <w:szCs w:val="24"/>
        </w:rPr>
      </w:pPr>
      <w:r>
        <w:rPr>
          <w:rFonts w:ascii="FangSong" w:hAnsi="FangSong" w:eastAsia="FangSong" w:cs="FangSong"/>
          <w:sz w:val="24"/>
          <w:szCs w:val="24"/>
          <w:spacing w:val="1"/>
        </w:rPr>
        <w:t>根据《内蒙古自治区苏尼特右旗桑宝力嘎额尔登塔拉矿区萤石矿资源储量核实</w:t>
      </w:r>
      <w:r>
        <w:rPr>
          <w:rFonts w:ascii="FangSong" w:hAnsi="FangSong" w:eastAsia="FangSong" w:cs="FangSong"/>
          <w:sz w:val="24"/>
          <w:szCs w:val="24"/>
          <w:spacing w:val="-3"/>
        </w:rPr>
        <w:t>报告》本次储量核实矿体为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39</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条，由于主矿体产出位置相对较远，分布不集中，故</w:t>
      </w:r>
      <w:r>
        <w:rPr>
          <w:rFonts w:ascii="FangSong" w:hAnsi="FangSong" w:eastAsia="FangSong" w:cs="FangSong"/>
          <w:sz w:val="24"/>
          <w:szCs w:val="24"/>
          <w:spacing w:val="-9"/>
        </w:rPr>
        <w:t>划分为三个矿段（编号分别为</w:t>
      </w:r>
      <w:r>
        <w:rPr>
          <w:rFonts w:ascii="Times New Roman" w:hAnsi="Times New Roman" w:eastAsia="Times New Roman" w:cs="Times New Roman"/>
          <w:sz w:val="24"/>
          <w:szCs w:val="24"/>
          <w:spacing w:val="-9"/>
        </w:rPr>
        <w:t>Ⅰ</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II</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Ⅲ</w:t>
      </w:r>
      <w:r>
        <w:rPr>
          <w:rFonts w:ascii="FangSong" w:hAnsi="FangSong" w:eastAsia="FangSong" w:cs="FangSong"/>
          <w:sz w:val="24"/>
          <w:szCs w:val="24"/>
          <w:spacing w:val="-9"/>
        </w:rPr>
        <w:t>)</w:t>
      </w:r>
      <w:r>
        <w:rPr>
          <w:rFonts w:ascii="FangSong" w:hAnsi="FangSong" w:eastAsia="FangSong" w:cs="FangSong"/>
          <w:sz w:val="24"/>
          <w:szCs w:val="24"/>
          <w:spacing w:val="44"/>
        </w:rPr>
        <w:t xml:space="preserve"> </w:t>
      </w:r>
      <w:r>
        <w:rPr>
          <w:rFonts w:ascii="FangSong" w:hAnsi="FangSong" w:eastAsia="FangSong" w:cs="FangSong"/>
          <w:sz w:val="24"/>
          <w:szCs w:val="24"/>
          <w:spacing w:val="-9"/>
        </w:rPr>
        <w:t>,</w:t>
      </w:r>
      <w:r>
        <w:rPr>
          <w:rFonts w:ascii="FangSong" w:hAnsi="FangSong" w:eastAsia="FangSong" w:cs="FangSong"/>
          <w:sz w:val="24"/>
          <w:szCs w:val="24"/>
          <w:spacing w:val="92"/>
        </w:rPr>
        <w:t xml:space="preserve"> </w:t>
      </w:r>
      <w:r>
        <w:rPr>
          <w:rFonts w:ascii="FangSong" w:hAnsi="FangSong" w:eastAsia="FangSong" w:cs="FangSong"/>
          <w:sz w:val="24"/>
          <w:szCs w:val="24"/>
          <w:spacing w:val="-9"/>
        </w:rPr>
        <w:t>已发现工业矿体</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39</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9"/>
        </w:rPr>
        <w:t>条，分布在</w:t>
      </w:r>
      <w:r>
        <w:rPr>
          <w:rFonts w:ascii="Times New Roman" w:hAnsi="Times New Roman" w:eastAsia="Times New Roman" w:cs="Times New Roman"/>
          <w:sz w:val="24"/>
          <w:szCs w:val="24"/>
          <w:spacing w:val="-9"/>
        </w:rPr>
        <w:t>Ⅰ</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II</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Ⅲ</w:t>
      </w:r>
      <w:r>
        <w:rPr>
          <w:rFonts w:ascii="FangSong" w:hAnsi="FangSong" w:eastAsia="FangSong" w:cs="FangSong"/>
          <w:sz w:val="24"/>
          <w:szCs w:val="24"/>
          <w:spacing w:val="-7"/>
        </w:rPr>
        <w:t>矿段内。其中</w:t>
      </w:r>
      <w:r>
        <w:rPr>
          <w:rFonts w:ascii="Times New Roman" w:hAnsi="Times New Roman" w:eastAsia="Times New Roman" w:cs="Times New Roman"/>
          <w:sz w:val="24"/>
          <w:szCs w:val="24"/>
          <w:spacing w:val="-7"/>
        </w:rPr>
        <w:t>Ⅰ</w:t>
      </w:r>
      <w:r>
        <w:rPr>
          <w:rFonts w:ascii="FangSong" w:hAnsi="FangSong" w:eastAsia="FangSong" w:cs="FangSong"/>
          <w:sz w:val="24"/>
          <w:szCs w:val="24"/>
          <w:spacing w:val="-7"/>
        </w:rPr>
        <w:t>矿段分布有</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7"/>
        </w:rPr>
        <w:t>条矿体（编号</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1-2</w:t>
      </w:r>
      <w:r>
        <w:rPr>
          <w:rFonts w:ascii="FangSong" w:hAnsi="FangSong" w:eastAsia="FangSong" w:cs="FangSong"/>
          <w:sz w:val="24"/>
          <w:szCs w:val="24"/>
          <w:spacing w:val="-54"/>
        </w:rPr>
        <w:t>），</w:t>
      </w:r>
      <w:r>
        <w:rPr>
          <w:rFonts w:ascii="Times New Roman" w:hAnsi="Times New Roman" w:eastAsia="Times New Roman" w:cs="Times New Roman"/>
          <w:sz w:val="24"/>
          <w:szCs w:val="24"/>
          <w:spacing w:val="-7"/>
        </w:rPr>
        <w:t>II</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7"/>
        </w:rPr>
        <w:t>矿段分布有</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8"/>
        </w:rPr>
        <w:t>条矿体（编号</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3-25</w:t>
      </w:r>
      <w:r>
        <w:rPr>
          <w:rFonts w:ascii="FangSong" w:hAnsi="FangSong" w:eastAsia="FangSong" w:cs="FangSong"/>
          <w:sz w:val="24"/>
          <w:szCs w:val="24"/>
          <w:spacing w:val="-3"/>
        </w:rPr>
        <w:t>号、</w:t>
      </w:r>
      <w:r>
        <w:rPr>
          <w:rFonts w:ascii="Times New Roman" w:hAnsi="Times New Roman" w:eastAsia="Times New Roman" w:cs="Times New Roman"/>
          <w:sz w:val="24"/>
          <w:szCs w:val="24"/>
          <w:spacing w:val="-3"/>
        </w:rPr>
        <w:t>10-1</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号、</w:t>
      </w:r>
      <w:r>
        <w:rPr>
          <w:rFonts w:ascii="Times New Roman" w:hAnsi="Times New Roman" w:eastAsia="Times New Roman" w:cs="Times New Roman"/>
          <w:sz w:val="24"/>
          <w:szCs w:val="24"/>
          <w:spacing w:val="-3"/>
        </w:rPr>
        <w:t>12-1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号</w:t>
      </w:r>
      <w:r>
        <w:rPr>
          <w:rFonts w:ascii="FangSong" w:hAnsi="FangSong" w:eastAsia="FangSong" w:cs="FangSong"/>
          <w:sz w:val="24"/>
          <w:szCs w:val="24"/>
          <w:spacing w:val="10"/>
        </w:rPr>
        <w:t>），</w:t>
      </w:r>
      <w:r>
        <w:rPr>
          <w:rFonts w:ascii="Times New Roman" w:hAnsi="Times New Roman" w:eastAsia="Times New Roman" w:cs="Times New Roman"/>
          <w:sz w:val="24"/>
          <w:szCs w:val="24"/>
          <w:spacing w:val="-3"/>
        </w:rPr>
        <w:t>Ⅲ</w:t>
      </w:r>
      <w:r>
        <w:rPr>
          <w:rFonts w:ascii="FangSong" w:hAnsi="FangSong" w:eastAsia="FangSong" w:cs="FangSong"/>
          <w:sz w:val="24"/>
          <w:szCs w:val="24"/>
          <w:spacing w:val="-3"/>
        </w:rPr>
        <w:t>矿段分布有</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条矿体（编号</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26-37</w:t>
      </w:r>
      <w:r>
        <w:rPr>
          <w:rFonts w:ascii="FangSong" w:hAnsi="FangSong" w:eastAsia="FangSong" w:cs="FangSong"/>
          <w:sz w:val="24"/>
          <w:szCs w:val="24"/>
          <w:spacing w:val="-3"/>
        </w:rPr>
        <w:t>）。主矿体为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w:t>
      </w:r>
      <w:r>
        <w:rPr>
          <w:rFonts w:ascii="FangSong" w:hAnsi="FangSong" w:eastAsia="FangSong" w:cs="FangSong"/>
          <w:sz w:val="24"/>
          <w:szCs w:val="24"/>
          <w:spacing w:val="-2"/>
        </w:rPr>
        <w:t>号矿体，其资源储量占整个矿床矿石量的</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55.7%</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，矿体特征见表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4.3-1</w:t>
      </w:r>
      <w:r>
        <w:rPr>
          <w:rFonts w:ascii="FangSong" w:hAnsi="FangSong" w:eastAsia="FangSong" w:cs="FangSong"/>
          <w:sz w:val="24"/>
          <w:szCs w:val="24"/>
          <w:spacing w:val="-2"/>
        </w:rPr>
        <w:t>。</w:t>
      </w:r>
    </w:p>
    <w:p>
      <w:pPr>
        <w:spacing w:line="359" w:lineRule="auto"/>
        <w:sectPr>
          <w:footerReference w:type="default" r:id="rId109"/>
          <w:pgSz w:w="11911" w:h="16839"/>
          <w:pgMar w:top="400" w:right="1310" w:bottom="1146" w:left="1690" w:header="0" w:footer="984" w:gutter="0"/>
        </w:sectPr>
        <w:rPr>
          <w:rFonts w:ascii="FangSong" w:hAnsi="FangSong" w:eastAsia="FangSong" w:cs="FangSong"/>
          <w:sz w:val="24"/>
          <w:szCs w:val="24"/>
        </w:rPr>
      </w:pP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ind w:left="4773"/>
        <w:spacing w:before="78" w:line="222" w:lineRule="auto"/>
        <w:rPr>
          <w:rFonts w:ascii="FangSong" w:hAnsi="FangSong" w:eastAsia="FangSong" w:cs="FangSong"/>
          <w:sz w:val="24"/>
          <w:szCs w:val="24"/>
        </w:rPr>
      </w:pPr>
      <w:bookmarkStart w:name="bookmark541" w:id="195"/>
      <w:bookmarkEnd w:id="195"/>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4.3-1    </w:t>
      </w:r>
      <w:r>
        <w:rPr>
          <w:rFonts w:ascii="FangSong" w:hAnsi="FangSong" w:eastAsia="FangSong" w:cs="FangSong"/>
          <w:sz w:val="24"/>
          <w:szCs w:val="24"/>
          <w:b/>
          <w:bCs/>
          <w:spacing w:val="-2"/>
        </w:rPr>
        <w:t>额尔登塔拉萤石矿矿体特</w:t>
      </w:r>
      <w:r>
        <w:rPr>
          <w:rFonts w:ascii="FangSong" w:hAnsi="FangSong" w:eastAsia="FangSong" w:cs="FangSong"/>
          <w:sz w:val="24"/>
          <w:szCs w:val="24"/>
          <w:b/>
          <w:bCs/>
          <w:spacing w:val="-3"/>
        </w:rPr>
        <w:t>征一览表</w:t>
      </w:r>
    </w:p>
    <w:p>
      <w:pPr>
        <w:spacing w:line="142" w:lineRule="exact"/>
        <w:rPr/>
      </w:pPr>
      <w:r/>
    </w:p>
    <w:tbl>
      <w:tblPr>
        <w:tblStyle w:val="TableNormal"/>
        <w:tblW w:w="1416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553"/>
        <w:gridCol w:w="482"/>
        <w:gridCol w:w="728"/>
        <w:gridCol w:w="1080"/>
        <w:gridCol w:w="881"/>
        <w:gridCol w:w="609"/>
        <w:gridCol w:w="992"/>
        <w:gridCol w:w="1051"/>
        <w:gridCol w:w="1352"/>
        <w:gridCol w:w="1114"/>
        <w:gridCol w:w="992"/>
        <w:gridCol w:w="1184"/>
        <w:gridCol w:w="1116"/>
        <w:gridCol w:w="983"/>
        <w:gridCol w:w="577"/>
      </w:tblGrid>
      <w:tr>
        <w:trPr>
          <w:trHeight w:val="242" w:hRule="atLeast"/>
        </w:trPr>
        <w:tc>
          <w:tcPr>
            <w:tcW w:w="473" w:type="dxa"/>
            <w:vAlign w:val="top"/>
            <w:vMerge w:val="restart"/>
            <w:textDirection w:val="tbRlV"/>
            <w:tcBorders>
              <w:left w:val="nil"/>
              <w:top w:val="single" w:color="000000" w:sz="10" w:space="0"/>
              <w:bottom w:val="nil"/>
            </w:tcBorders>
          </w:tcPr>
          <w:p>
            <w:pPr>
              <w:pStyle w:val="TableText"/>
              <w:ind w:left="31"/>
              <w:spacing w:before="144" w:line="202" w:lineRule="auto"/>
              <w:rPr>
                <w:sz w:val="18"/>
                <w:szCs w:val="18"/>
              </w:rPr>
            </w:pPr>
            <w:r>
              <w:rPr>
                <w:sz w:val="18"/>
                <w:szCs w:val="18"/>
                <w:spacing w:val="40"/>
              </w:rPr>
              <w:t>矿段编号</w:t>
            </w:r>
          </w:p>
        </w:tc>
        <w:tc>
          <w:tcPr>
            <w:tcW w:w="553" w:type="dxa"/>
            <w:vAlign w:val="top"/>
            <w:vMerge w:val="restart"/>
            <w:tcBorders>
              <w:top w:val="single" w:color="000000" w:sz="10" w:space="0"/>
              <w:bottom w:val="nil"/>
            </w:tcBorders>
          </w:tcPr>
          <w:p>
            <w:pPr>
              <w:pStyle w:val="TableText"/>
              <w:ind w:left="105" w:right="95" w:hanging="1"/>
              <w:spacing w:before="263" w:line="241" w:lineRule="auto"/>
              <w:rPr>
                <w:sz w:val="18"/>
                <w:szCs w:val="18"/>
              </w:rPr>
            </w:pPr>
            <w:r>
              <w:rPr>
                <w:sz w:val="18"/>
                <w:szCs w:val="18"/>
                <w:spacing w:val="-6"/>
              </w:rPr>
              <w:t>矿体</w:t>
            </w:r>
            <w:r>
              <w:rPr>
                <w:sz w:val="18"/>
                <w:szCs w:val="18"/>
                <w:spacing w:val="-7"/>
              </w:rPr>
              <w:t>编号</w:t>
            </w:r>
          </w:p>
        </w:tc>
        <w:tc>
          <w:tcPr>
            <w:tcW w:w="482" w:type="dxa"/>
            <w:vAlign w:val="top"/>
            <w:vMerge w:val="restart"/>
            <w:textDirection w:val="tbRlV"/>
            <w:tcBorders>
              <w:top w:val="single" w:color="000000" w:sz="10" w:space="0"/>
              <w:bottom w:val="nil"/>
            </w:tcBorders>
          </w:tcPr>
          <w:p>
            <w:pPr>
              <w:pStyle w:val="TableText"/>
              <w:ind w:left="264"/>
              <w:spacing w:before="147" w:line="200" w:lineRule="auto"/>
              <w:rPr>
                <w:sz w:val="18"/>
                <w:szCs w:val="18"/>
              </w:rPr>
            </w:pPr>
            <w:r>
              <w:rPr>
                <w:sz w:val="18"/>
                <w:szCs w:val="18"/>
                <w:spacing w:val="28"/>
              </w:rPr>
              <w:t>矿种</w:t>
            </w:r>
          </w:p>
        </w:tc>
        <w:tc>
          <w:tcPr>
            <w:tcW w:w="2689" w:type="dxa"/>
            <w:vAlign w:val="top"/>
            <w:gridSpan w:val="3"/>
            <w:tcBorders>
              <w:top w:val="single" w:color="000000" w:sz="10" w:space="0"/>
            </w:tcBorders>
          </w:tcPr>
          <w:p>
            <w:pPr>
              <w:pStyle w:val="TableText"/>
              <w:ind w:left="996"/>
              <w:spacing w:before="32" w:line="205" w:lineRule="auto"/>
              <w:rPr>
                <w:sz w:val="18"/>
                <w:szCs w:val="18"/>
              </w:rPr>
            </w:pPr>
            <w:r>
              <w:rPr>
                <w:sz w:val="18"/>
                <w:szCs w:val="18"/>
                <w:spacing w:val="-4"/>
              </w:rPr>
              <w:t>赋存范围</w:t>
            </w:r>
          </w:p>
        </w:tc>
        <w:tc>
          <w:tcPr>
            <w:tcW w:w="1601" w:type="dxa"/>
            <w:vAlign w:val="top"/>
            <w:gridSpan w:val="2"/>
            <w:tcBorders>
              <w:top w:val="single" w:color="000000" w:sz="10" w:space="0"/>
            </w:tcBorders>
          </w:tcPr>
          <w:p>
            <w:pPr>
              <w:pStyle w:val="TableText"/>
              <w:ind w:left="198"/>
              <w:spacing w:before="32" w:line="205" w:lineRule="auto"/>
              <w:rPr>
                <w:sz w:val="18"/>
                <w:szCs w:val="18"/>
              </w:rPr>
            </w:pPr>
            <w:r>
              <w:rPr>
                <w:sz w:val="18"/>
                <w:szCs w:val="18"/>
                <w:spacing w:val="-2"/>
              </w:rPr>
              <w:t>延展规模（</w:t>
            </w:r>
            <w:r>
              <w:rPr>
                <w:rFonts w:ascii="Times New Roman" w:hAnsi="Times New Roman" w:eastAsia="Times New Roman" w:cs="Times New Roman"/>
                <w:sz w:val="18"/>
                <w:szCs w:val="18"/>
                <w:spacing w:val="-2"/>
              </w:rPr>
              <w:t>m</w:t>
            </w:r>
            <w:r>
              <w:rPr>
                <w:sz w:val="18"/>
                <w:szCs w:val="18"/>
                <w:spacing w:val="-2"/>
              </w:rPr>
              <w:t>）</w:t>
            </w:r>
          </w:p>
        </w:tc>
        <w:tc>
          <w:tcPr>
            <w:tcW w:w="1051" w:type="dxa"/>
            <w:vAlign w:val="top"/>
            <w:vMerge w:val="restart"/>
            <w:tcBorders>
              <w:top w:val="single" w:color="000000" w:sz="10" w:space="0"/>
              <w:bottom w:val="nil"/>
            </w:tcBorders>
          </w:tcPr>
          <w:p>
            <w:pPr>
              <w:pStyle w:val="TableText"/>
              <w:ind w:left="174"/>
              <w:spacing w:before="147" w:line="223" w:lineRule="auto"/>
              <w:rPr>
                <w:sz w:val="18"/>
                <w:szCs w:val="18"/>
              </w:rPr>
            </w:pPr>
            <w:r>
              <w:rPr>
                <w:sz w:val="18"/>
                <w:szCs w:val="18"/>
                <w:spacing w:val="-3"/>
              </w:rPr>
              <w:t>形态结构</w:t>
            </w:r>
          </w:p>
          <w:p>
            <w:pPr>
              <w:pStyle w:val="TableText"/>
              <w:ind w:left="267" w:right="163" w:hanging="93"/>
              <w:spacing w:before="15"/>
              <w:rPr>
                <w:sz w:val="18"/>
                <w:szCs w:val="18"/>
              </w:rPr>
            </w:pPr>
            <w:r>
              <w:rPr>
                <w:sz w:val="18"/>
                <w:szCs w:val="18"/>
                <w:spacing w:val="-3"/>
              </w:rPr>
              <w:t>夹石数量</w:t>
            </w:r>
            <w:r>
              <w:rPr>
                <w:sz w:val="18"/>
                <w:szCs w:val="18"/>
                <w:spacing w:val="-6"/>
              </w:rPr>
              <w:t>（个）</w:t>
            </w:r>
          </w:p>
        </w:tc>
        <w:tc>
          <w:tcPr>
            <w:tcW w:w="1352" w:type="dxa"/>
            <w:vAlign w:val="top"/>
            <w:vMerge w:val="restart"/>
            <w:tcBorders>
              <w:top w:val="single" w:color="000000" w:sz="10" w:space="0"/>
              <w:bottom w:val="nil"/>
            </w:tcBorders>
          </w:tcPr>
          <w:p>
            <w:pPr>
              <w:spacing w:line="319" w:lineRule="auto"/>
              <w:rPr>
                <w:rFonts w:ascii="Arial"/>
                <w:sz w:val="21"/>
              </w:rPr>
            </w:pPr>
            <w:r/>
          </w:p>
          <w:p>
            <w:pPr>
              <w:pStyle w:val="TableText"/>
              <w:ind w:left="234"/>
              <w:spacing w:before="59" w:line="222" w:lineRule="auto"/>
              <w:rPr>
                <w:sz w:val="18"/>
                <w:szCs w:val="18"/>
              </w:rPr>
            </w:pPr>
            <w:r>
              <w:rPr>
                <w:sz w:val="18"/>
                <w:szCs w:val="18"/>
                <w:spacing w:val="-3"/>
              </w:rPr>
              <w:t>倾向</w:t>
            </w:r>
            <w:r>
              <w:rPr>
                <w:rFonts w:ascii="SimSun" w:hAnsi="SimSun" w:eastAsia="SimSun" w:cs="SimSun"/>
                <w:sz w:val="18"/>
                <w:szCs w:val="18"/>
                <w:spacing w:val="-3"/>
              </w:rPr>
              <w:t>∠</w:t>
            </w:r>
            <w:r>
              <w:rPr>
                <w:sz w:val="18"/>
                <w:szCs w:val="18"/>
                <w:spacing w:val="-3"/>
              </w:rPr>
              <w:t>倾角</w:t>
            </w:r>
          </w:p>
        </w:tc>
        <w:tc>
          <w:tcPr>
            <w:tcW w:w="2106" w:type="dxa"/>
            <w:vAlign w:val="top"/>
            <w:gridSpan w:val="2"/>
            <w:tcBorders>
              <w:top w:val="single" w:color="000000" w:sz="10" w:space="0"/>
            </w:tcBorders>
          </w:tcPr>
          <w:p>
            <w:pPr>
              <w:pStyle w:val="TableText"/>
              <w:ind w:left="635"/>
              <w:spacing w:before="32" w:line="205" w:lineRule="auto"/>
              <w:rPr>
                <w:sz w:val="18"/>
                <w:szCs w:val="18"/>
              </w:rPr>
            </w:pPr>
            <w:r>
              <w:rPr>
                <w:sz w:val="18"/>
                <w:szCs w:val="18"/>
                <w:spacing w:val="-3"/>
              </w:rPr>
              <w:t>厚度（</w:t>
            </w:r>
            <w:r>
              <w:rPr>
                <w:rFonts w:ascii="Times New Roman" w:hAnsi="Times New Roman" w:eastAsia="Times New Roman" w:cs="Times New Roman"/>
                <w:sz w:val="18"/>
                <w:szCs w:val="18"/>
                <w:spacing w:val="-3"/>
              </w:rPr>
              <w:t>m</w:t>
            </w:r>
            <w:r>
              <w:rPr>
                <w:sz w:val="18"/>
                <w:szCs w:val="18"/>
                <w:spacing w:val="-3"/>
              </w:rPr>
              <w:t>）</w:t>
            </w:r>
          </w:p>
        </w:tc>
        <w:tc>
          <w:tcPr>
            <w:tcW w:w="2300" w:type="dxa"/>
            <w:vAlign w:val="top"/>
            <w:gridSpan w:val="2"/>
            <w:tcBorders>
              <w:top w:val="single" w:color="000000" w:sz="10" w:space="0"/>
            </w:tcBorders>
          </w:tcPr>
          <w:p>
            <w:pPr>
              <w:pStyle w:val="TableText"/>
              <w:ind w:left="999"/>
              <w:spacing w:before="32" w:line="205" w:lineRule="auto"/>
              <w:rPr>
                <w:sz w:val="18"/>
                <w:szCs w:val="18"/>
              </w:rPr>
            </w:pPr>
            <w:r>
              <w:rPr>
                <w:sz w:val="18"/>
                <w:szCs w:val="18"/>
                <w:spacing w:val="-16"/>
              </w:rPr>
              <w:t>品位</w:t>
            </w:r>
          </w:p>
        </w:tc>
        <w:tc>
          <w:tcPr>
            <w:tcW w:w="983" w:type="dxa"/>
            <w:vAlign w:val="top"/>
            <w:vMerge w:val="restart"/>
            <w:tcBorders>
              <w:top w:val="single" w:color="000000" w:sz="10" w:space="0"/>
              <w:bottom w:val="nil"/>
            </w:tcBorders>
          </w:tcPr>
          <w:p>
            <w:pPr>
              <w:pStyle w:val="TableText"/>
              <w:ind w:left="321"/>
              <w:spacing w:before="31" w:line="222" w:lineRule="auto"/>
              <w:rPr>
                <w:sz w:val="18"/>
                <w:szCs w:val="18"/>
              </w:rPr>
            </w:pPr>
            <w:r>
              <w:rPr>
                <w:sz w:val="18"/>
                <w:szCs w:val="18"/>
                <w:spacing w:val="-7"/>
              </w:rPr>
              <w:t>控制</w:t>
            </w:r>
          </w:p>
          <w:p>
            <w:pPr>
              <w:pStyle w:val="TableText"/>
              <w:ind w:left="325"/>
              <w:spacing w:before="16" w:line="223" w:lineRule="auto"/>
              <w:rPr>
                <w:sz w:val="18"/>
                <w:szCs w:val="18"/>
              </w:rPr>
            </w:pPr>
            <w:r>
              <w:rPr>
                <w:sz w:val="18"/>
                <w:szCs w:val="18"/>
                <w:spacing w:val="-9"/>
              </w:rPr>
              <w:t>工程</w:t>
            </w:r>
          </w:p>
          <w:p>
            <w:pPr>
              <w:pStyle w:val="TableText"/>
              <w:ind w:left="234" w:right="236" w:firstLine="85"/>
              <w:spacing w:before="16" w:line="222" w:lineRule="auto"/>
              <w:rPr>
                <w:sz w:val="18"/>
                <w:szCs w:val="18"/>
              </w:rPr>
            </w:pPr>
            <w:r>
              <w:rPr>
                <w:sz w:val="18"/>
                <w:szCs w:val="18"/>
                <w:spacing w:val="-6"/>
              </w:rPr>
              <w:t>数量</w:t>
            </w:r>
            <w:r>
              <w:rPr>
                <w:sz w:val="18"/>
                <w:szCs w:val="18"/>
                <w:spacing w:val="-12"/>
              </w:rPr>
              <w:t>（个）</w:t>
            </w:r>
          </w:p>
        </w:tc>
        <w:tc>
          <w:tcPr>
            <w:tcW w:w="577" w:type="dxa"/>
            <w:vAlign w:val="top"/>
            <w:vMerge w:val="restart"/>
            <w:tcBorders>
              <w:right w:val="nil"/>
              <w:top w:val="single" w:color="000000" w:sz="10" w:space="0"/>
              <w:bottom w:val="nil"/>
            </w:tcBorders>
          </w:tcPr>
          <w:p>
            <w:pPr>
              <w:pStyle w:val="TableText"/>
              <w:ind w:left="122" w:right="108" w:hanging="2"/>
              <w:spacing w:before="264"/>
              <w:rPr>
                <w:sz w:val="18"/>
                <w:szCs w:val="18"/>
              </w:rPr>
            </w:pPr>
            <w:r>
              <w:rPr>
                <w:sz w:val="18"/>
                <w:szCs w:val="18"/>
                <w:spacing w:val="-8"/>
              </w:rPr>
              <w:t>动用</w:t>
            </w:r>
            <w:r>
              <w:rPr>
                <w:sz w:val="18"/>
                <w:szCs w:val="18"/>
                <w:spacing w:val="-9"/>
              </w:rPr>
              <w:t>情况</w:t>
            </w:r>
          </w:p>
        </w:tc>
      </w:tr>
      <w:tr>
        <w:trPr>
          <w:trHeight w:val="694" w:hRule="atLeast"/>
        </w:trPr>
        <w:tc>
          <w:tcPr>
            <w:tcW w:w="473" w:type="dxa"/>
            <w:vAlign w:val="top"/>
            <w:vMerge w:val="continue"/>
            <w:textDirection w:val="tbRlV"/>
            <w:tcBorders>
              <w:left w:val="nil"/>
              <w:top w:val="nil"/>
            </w:tcBorders>
          </w:tcPr>
          <w:p>
            <w:pPr>
              <w:rPr>
                <w:rFonts w:ascii="Arial"/>
                <w:sz w:val="21"/>
              </w:rPr>
            </w:pPr>
            <w:r/>
          </w:p>
        </w:tc>
        <w:tc>
          <w:tcPr>
            <w:tcW w:w="553" w:type="dxa"/>
            <w:vAlign w:val="top"/>
            <w:vMerge w:val="continue"/>
            <w:tcBorders>
              <w:top w:val="nil"/>
            </w:tcBorders>
          </w:tcPr>
          <w:p>
            <w:pPr>
              <w:rPr>
                <w:rFonts w:ascii="Arial"/>
                <w:sz w:val="21"/>
              </w:rPr>
            </w:pPr>
            <w:r/>
          </w:p>
        </w:tc>
        <w:tc>
          <w:tcPr>
            <w:tcW w:w="482" w:type="dxa"/>
            <w:vAlign w:val="top"/>
            <w:vMerge w:val="continue"/>
            <w:textDirection w:val="tbRlV"/>
            <w:tcBorders>
              <w:top w:val="nil"/>
            </w:tcBorders>
          </w:tcPr>
          <w:p>
            <w:pPr>
              <w:rPr>
                <w:rFonts w:ascii="Arial"/>
                <w:sz w:val="21"/>
              </w:rPr>
            </w:pPr>
            <w:r/>
          </w:p>
        </w:tc>
        <w:tc>
          <w:tcPr>
            <w:tcW w:w="728" w:type="dxa"/>
            <w:vAlign w:val="top"/>
          </w:tcPr>
          <w:p>
            <w:pPr>
              <w:pStyle w:val="TableText"/>
              <w:ind w:left="207" w:right="182" w:hanging="15"/>
              <w:spacing w:before="140"/>
              <w:rPr>
                <w:sz w:val="18"/>
                <w:szCs w:val="18"/>
              </w:rPr>
            </w:pPr>
            <w:r>
              <w:rPr>
                <w:sz w:val="18"/>
                <w:szCs w:val="18"/>
                <w:spacing w:val="-6"/>
              </w:rPr>
              <w:t>探线</w:t>
            </w:r>
            <w:r>
              <w:rPr>
                <w:sz w:val="18"/>
                <w:szCs w:val="18"/>
                <w:spacing w:val="-14"/>
              </w:rPr>
              <w:t>区间</w:t>
            </w:r>
          </w:p>
        </w:tc>
        <w:tc>
          <w:tcPr>
            <w:tcW w:w="1080" w:type="dxa"/>
            <w:vAlign w:val="top"/>
          </w:tcPr>
          <w:p>
            <w:pPr>
              <w:pStyle w:val="TableText"/>
              <w:ind w:left="304" w:right="304" w:firstLine="64"/>
              <w:spacing w:before="139" w:line="247" w:lineRule="auto"/>
              <w:rPr>
                <w:sz w:val="18"/>
                <w:szCs w:val="18"/>
              </w:rPr>
            </w:pPr>
            <w:r>
              <w:rPr>
                <w:sz w:val="18"/>
                <w:szCs w:val="18"/>
                <w:spacing w:val="-6"/>
              </w:rPr>
              <w:t>标高</w:t>
            </w:r>
            <w:r>
              <w:rPr>
                <w:sz w:val="18"/>
                <w:szCs w:val="18"/>
                <w:spacing w:val="-12"/>
              </w:rPr>
              <w:t>（</w:t>
            </w:r>
            <w:r>
              <w:rPr>
                <w:rFonts w:ascii="Times New Roman" w:hAnsi="Times New Roman" w:eastAsia="Times New Roman" w:cs="Times New Roman"/>
                <w:sz w:val="18"/>
                <w:szCs w:val="18"/>
                <w:spacing w:val="-12"/>
              </w:rPr>
              <w:t>m</w:t>
            </w:r>
            <w:r>
              <w:rPr>
                <w:sz w:val="18"/>
                <w:szCs w:val="18"/>
                <w:spacing w:val="-12"/>
              </w:rPr>
              <w:t>）</w:t>
            </w:r>
          </w:p>
        </w:tc>
        <w:tc>
          <w:tcPr>
            <w:tcW w:w="881" w:type="dxa"/>
            <w:vAlign w:val="top"/>
          </w:tcPr>
          <w:p>
            <w:pPr>
              <w:pStyle w:val="TableText"/>
              <w:ind w:left="204" w:right="206" w:firstLine="63"/>
              <w:spacing w:before="139" w:line="247" w:lineRule="auto"/>
              <w:rPr>
                <w:sz w:val="18"/>
                <w:szCs w:val="18"/>
              </w:rPr>
            </w:pPr>
            <w:r>
              <w:rPr>
                <w:sz w:val="18"/>
                <w:szCs w:val="18"/>
                <w:spacing w:val="-6"/>
              </w:rPr>
              <w:t>埋深</w:t>
            </w:r>
            <w:r>
              <w:rPr>
                <w:sz w:val="18"/>
                <w:szCs w:val="18"/>
                <w:spacing w:val="-12"/>
              </w:rPr>
              <w:t>（</w:t>
            </w:r>
            <w:r>
              <w:rPr>
                <w:rFonts w:ascii="Times New Roman" w:hAnsi="Times New Roman" w:eastAsia="Times New Roman" w:cs="Times New Roman"/>
                <w:sz w:val="18"/>
                <w:szCs w:val="18"/>
                <w:spacing w:val="-12"/>
              </w:rPr>
              <w:t>m</w:t>
            </w:r>
            <w:r>
              <w:rPr>
                <w:sz w:val="18"/>
                <w:szCs w:val="18"/>
                <w:spacing w:val="-12"/>
              </w:rPr>
              <w:t>）</w:t>
            </w:r>
          </w:p>
        </w:tc>
        <w:tc>
          <w:tcPr>
            <w:tcW w:w="609" w:type="dxa"/>
            <w:vAlign w:val="top"/>
          </w:tcPr>
          <w:p>
            <w:pPr>
              <w:pStyle w:val="TableText"/>
              <w:ind w:left="222" w:right="121" w:hanging="85"/>
              <w:spacing w:before="140" w:line="241" w:lineRule="auto"/>
              <w:rPr>
                <w:sz w:val="18"/>
                <w:szCs w:val="18"/>
              </w:rPr>
            </w:pPr>
            <w:r>
              <w:rPr>
                <w:sz w:val="18"/>
                <w:szCs w:val="18"/>
                <w:spacing w:val="-8"/>
              </w:rPr>
              <w:t>走向</w:t>
            </w:r>
            <w:r>
              <w:rPr>
                <w:sz w:val="18"/>
                <w:szCs w:val="18"/>
              </w:rPr>
              <w:t>长</w:t>
            </w:r>
          </w:p>
        </w:tc>
        <w:tc>
          <w:tcPr>
            <w:tcW w:w="992" w:type="dxa"/>
            <w:vAlign w:val="top"/>
          </w:tcPr>
          <w:p>
            <w:pPr>
              <w:pStyle w:val="TableText"/>
              <w:ind w:right="4"/>
              <w:spacing w:before="255" w:line="222" w:lineRule="auto"/>
              <w:jc w:val="right"/>
              <w:rPr>
                <w:sz w:val="18"/>
                <w:szCs w:val="18"/>
              </w:rPr>
            </w:pPr>
            <w:r>
              <w:rPr>
                <w:sz w:val="18"/>
                <w:szCs w:val="18"/>
                <w:spacing w:val="-3"/>
              </w:rPr>
              <w:t>斜深（宽）</w:t>
            </w:r>
          </w:p>
        </w:tc>
        <w:tc>
          <w:tcPr>
            <w:tcW w:w="1051" w:type="dxa"/>
            <w:vAlign w:val="top"/>
            <w:vMerge w:val="continue"/>
            <w:tcBorders>
              <w:top w:val="nil"/>
            </w:tcBorders>
          </w:tcPr>
          <w:p>
            <w:pPr>
              <w:rPr>
                <w:rFonts w:ascii="Arial"/>
                <w:sz w:val="21"/>
              </w:rPr>
            </w:pPr>
            <w:r/>
          </w:p>
        </w:tc>
        <w:tc>
          <w:tcPr>
            <w:tcW w:w="1352" w:type="dxa"/>
            <w:vAlign w:val="top"/>
            <w:vMerge w:val="continue"/>
            <w:tcBorders>
              <w:top w:val="nil"/>
            </w:tcBorders>
          </w:tcPr>
          <w:p>
            <w:pPr>
              <w:rPr>
                <w:rFonts w:ascii="Arial"/>
                <w:sz w:val="21"/>
              </w:rPr>
            </w:pPr>
            <w:r/>
          </w:p>
        </w:tc>
        <w:tc>
          <w:tcPr>
            <w:tcW w:w="1114" w:type="dxa"/>
            <w:vAlign w:val="top"/>
          </w:tcPr>
          <w:p>
            <w:pPr>
              <w:pStyle w:val="TableText"/>
              <w:ind w:left="305"/>
              <w:spacing w:before="140" w:line="222" w:lineRule="auto"/>
              <w:rPr>
                <w:sz w:val="18"/>
                <w:szCs w:val="18"/>
              </w:rPr>
            </w:pPr>
            <w:r>
              <w:rPr>
                <w:sz w:val="18"/>
                <w:szCs w:val="18"/>
                <w:spacing w:val="-8"/>
              </w:rPr>
              <w:t>两极值</w:t>
            </w:r>
          </w:p>
          <w:p>
            <w:pPr>
              <w:pStyle w:val="TableText"/>
              <w:spacing w:before="16" w:line="223" w:lineRule="auto"/>
              <w:jc w:val="right"/>
              <w:rPr>
                <w:sz w:val="18"/>
                <w:szCs w:val="18"/>
              </w:rPr>
            </w:pPr>
            <w:r>
              <w:rPr>
                <w:sz w:val="18"/>
                <w:szCs w:val="18"/>
                <w:spacing w:val="-13"/>
              </w:rPr>
              <w:t>平均值（点）</w:t>
            </w:r>
          </w:p>
        </w:tc>
        <w:tc>
          <w:tcPr>
            <w:tcW w:w="992" w:type="dxa"/>
            <w:vAlign w:val="top"/>
          </w:tcPr>
          <w:p>
            <w:pPr>
              <w:pStyle w:val="TableText"/>
              <w:ind w:left="330"/>
              <w:spacing w:before="140" w:line="222" w:lineRule="auto"/>
              <w:rPr>
                <w:sz w:val="18"/>
                <w:szCs w:val="18"/>
              </w:rPr>
            </w:pPr>
            <w:r>
              <w:rPr>
                <w:sz w:val="18"/>
                <w:szCs w:val="18"/>
                <w:spacing w:val="-9"/>
              </w:rPr>
              <w:t>变化</w:t>
            </w:r>
          </w:p>
          <w:p>
            <w:pPr>
              <w:pStyle w:val="TableText"/>
              <w:ind w:left="101"/>
              <w:spacing w:before="16" w:line="223" w:lineRule="auto"/>
              <w:rPr>
                <w:sz w:val="18"/>
                <w:szCs w:val="18"/>
              </w:rPr>
            </w:pPr>
            <w:r>
              <w:rPr>
                <w:sz w:val="18"/>
                <w:szCs w:val="18"/>
                <w:spacing w:val="-4"/>
              </w:rPr>
              <w:t>系数（</w:t>
            </w:r>
            <w:r>
              <w:rPr>
                <w:rFonts w:ascii="Times New Roman" w:hAnsi="Times New Roman" w:eastAsia="Times New Roman" w:cs="Times New Roman"/>
                <w:sz w:val="18"/>
                <w:szCs w:val="18"/>
                <w:spacing w:val="-4"/>
              </w:rPr>
              <w:t>%</w:t>
            </w:r>
            <w:r>
              <w:rPr>
                <w:sz w:val="18"/>
                <w:szCs w:val="18"/>
                <w:spacing w:val="-4"/>
              </w:rPr>
              <w:t>）</w:t>
            </w:r>
          </w:p>
        </w:tc>
        <w:tc>
          <w:tcPr>
            <w:tcW w:w="1184" w:type="dxa"/>
            <w:vAlign w:val="top"/>
          </w:tcPr>
          <w:p>
            <w:pPr>
              <w:pStyle w:val="TableText"/>
              <w:ind w:left="340"/>
              <w:spacing w:before="140" w:line="222" w:lineRule="auto"/>
              <w:rPr>
                <w:sz w:val="18"/>
                <w:szCs w:val="18"/>
              </w:rPr>
            </w:pPr>
            <w:r>
              <w:rPr>
                <w:sz w:val="18"/>
                <w:szCs w:val="18"/>
                <w:spacing w:val="-8"/>
              </w:rPr>
              <w:t>两极值</w:t>
            </w:r>
          </w:p>
          <w:p>
            <w:pPr>
              <w:pStyle w:val="TableText"/>
              <w:ind w:left="93"/>
              <w:spacing w:before="16" w:line="223" w:lineRule="auto"/>
              <w:rPr>
                <w:sz w:val="18"/>
                <w:szCs w:val="18"/>
              </w:rPr>
            </w:pPr>
            <w:r>
              <w:rPr>
                <w:sz w:val="18"/>
                <w:szCs w:val="18"/>
                <w:spacing w:val="-2"/>
              </w:rPr>
              <w:t>平均值（点）</w:t>
            </w:r>
          </w:p>
        </w:tc>
        <w:tc>
          <w:tcPr>
            <w:tcW w:w="1116" w:type="dxa"/>
            <w:vAlign w:val="top"/>
          </w:tcPr>
          <w:p>
            <w:pPr>
              <w:pStyle w:val="TableText"/>
              <w:ind w:left="138" w:right="139" w:firstLine="255"/>
              <w:spacing w:before="140"/>
              <w:rPr>
                <w:sz w:val="18"/>
                <w:szCs w:val="18"/>
              </w:rPr>
            </w:pPr>
            <w:r>
              <w:rPr>
                <w:sz w:val="18"/>
                <w:szCs w:val="18"/>
                <w:spacing w:val="-9"/>
              </w:rPr>
              <w:t>变化</w:t>
            </w:r>
            <w:r>
              <w:rPr>
                <w:sz w:val="18"/>
                <w:szCs w:val="18"/>
              </w:rPr>
              <w:t xml:space="preserve"> </w:t>
            </w:r>
            <w:r>
              <w:rPr>
                <w:sz w:val="18"/>
                <w:szCs w:val="18"/>
                <w:spacing w:val="-8"/>
              </w:rPr>
              <w:t>系数（</w:t>
            </w:r>
            <w:r>
              <w:rPr>
                <w:rFonts w:ascii="Times New Roman" w:hAnsi="Times New Roman" w:eastAsia="Times New Roman" w:cs="Times New Roman"/>
                <w:sz w:val="18"/>
                <w:szCs w:val="18"/>
                <w:spacing w:val="-8"/>
              </w:rPr>
              <w:t>%</w:t>
            </w:r>
            <w:r>
              <w:rPr>
                <w:sz w:val="18"/>
                <w:szCs w:val="18"/>
                <w:spacing w:val="-8"/>
              </w:rPr>
              <w:t>）</w:t>
            </w:r>
          </w:p>
        </w:tc>
        <w:tc>
          <w:tcPr>
            <w:tcW w:w="983" w:type="dxa"/>
            <w:vAlign w:val="top"/>
            <w:vMerge w:val="continue"/>
            <w:tcBorders>
              <w:top w:val="nil"/>
            </w:tcBorders>
          </w:tcPr>
          <w:p>
            <w:pPr>
              <w:rPr>
                <w:rFonts w:ascii="Arial"/>
                <w:sz w:val="21"/>
              </w:rPr>
            </w:pPr>
            <w:r/>
          </w:p>
        </w:tc>
        <w:tc>
          <w:tcPr>
            <w:tcW w:w="577" w:type="dxa"/>
            <w:vAlign w:val="top"/>
            <w:vMerge w:val="continue"/>
            <w:tcBorders>
              <w:right w:val="nil"/>
              <w:top w:val="nil"/>
            </w:tcBorders>
          </w:tcPr>
          <w:p>
            <w:pPr>
              <w:rPr>
                <w:rFonts w:ascii="Arial"/>
                <w:sz w:val="21"/>
              </w:rPr>
            </w:pPr>
            <w:r/>
          </w:p>
        </w:tc>
      </w:tr>
      <w:tr>
        <w:trPr>
          <w:trHeight w:val="470" w:hRule="atLeast"/>
        </w:trPr>
        <w:tc>
          <w:tcPr>
            <w:tcW w:w="473" w:type="dxa"/>
            <w:vAlign w:val="top"/>
            <w:tcBorders>
              <w:left w:val="nil"/>
              <w:bottom w:val="nil"/>
            </w:tcBorders>
          </w:tcPr>
          <w:p>
            <w:pPr>
              <w:rPr>
                <w:rFonts w:ascii="Arial"/>
                <w:sz w:val="21"/>
              </w:rPr>
            </w:pPr>
            <w:r/>
          </w:p>
        </w:tc>
        <w:tc>
          <w:tcPr>
            <w:tcW w:w="553" w:type="dxa"/>
            <w:vAlign w:val="top"/>
          </w:tcPr>
          <w:p>
            <w:pPr>
              <w:ind w:left="25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82" w:type="dxa"/>
            <w:vAlign w:val="top"/>
            <w:textDirection w:val="tbRlV"/>
          </w:tcPr>
          <w:p>
            <w:pPr>
              <w:pStyle w:val="TableText"/>
              <w:ind w:left="28"/>
              <w:spacing w:before="147" w:line="206" w:lineRule="auto"/>
              <w:rPr>
                <w:sz w:val="18"/>
                <w:szCs w:val="18"/>
              </w:rPr>
            </w:pPr>
            <w:r>
              <w:rPr>
                <w:sz w:val="18"/>
                <w:szCs w:val="18"/>
                <w:spacing w:val="28"/>
              </w:rPr>
              <w:t>萤石</w:t>
            </w:r>
          </w:p>
        </w:tc>
        <w:tc>
          <w:tcPr>
            <w:tcW w:w="728" w:type="dxa"/>
            <w:vAlign w:val="top"/>
          </w:tcPr>
          <w:p>
            <w:pPr>
              <w:ind w:left="27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1080" w:type="dxa"/>
            <w:vAlign w:val="top"/>
          </w:tcPr>
          <w:p>
            <w:pPr>
              <w:ind w:left="19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940-1025</w:t>
            </w:r>
          </w:p>
        </w:tc>
        <w:tc>
          <w:tcPr>
            <w:tcW w:w="881" w:type="dxa"/>
            <w:vAlign w:val="top"/>
          </w:tcPr>
          <w:p>
            <w:pPr>
              <w:ind w:left="27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0-85</w:t>
            </w:r>
          </w:p>
        </w:tc>
        <w:tc>
          <w:tcPr>
            <w:tcW w:w="609" w:type="dxa"/>
            <w:vAlign w:val="top"/>
          </w:tcPr>
          <w:p>
            <w:pPr>
              <w:ind w:left="21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992" w:type="dxa"/>
            <w:vAlign w:val="top"/>
          </w:tcPr>
          <w:p>
            <w:pPr>
              <w:ind w:left="41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88</w:t>
            </w:r>
          </w:p>
        </w:tc>
        <w:tc>
          <w:tcPr>
            <w:tcW w:w="1051" w:type="dxa"/>
            <w:vAlign w:val="top"/>
          </w:tcPr>
          <w:p>
            <w:pPr>
              <w:pStyle w:val="TableText"/>
              <w:ind w:left="354"/>
              <w:spacing w:before="40"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61"/>
              <w:spacing w:before="14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78</w:t>
            </w:r>
          </w:p>
        </w:tc>
        <w:tc>
          <w:tcPr>
            <w:tcW w:w="1114" w:type="dxa"/>
            <w:vAlign w:val="top"/>
          </w:tcPr>
          <w:p>
            <w:pPr>
              <w:ind w:left="216"/>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0.97-1.70</w:t>
            </w:r>
          </w:p>
          <w:p>
            <w:pPr>
              <w:pStyle w:val="TableText"/>
              <w:ind w:left="192"/>
              <w:spacing w:before="27" w:line="218" w:lineRule="auto"/>
              <w:rPr>
                <w:sz w:val="18"/>
                <w:szCs w:val="18"/>
              </w:rPr>
            </w:pPr>
            <w:r>
              <w:rPr>
                <w:rFonts w:ascii="Times New Roman" w:hAnsi="Times New Roman" w:eastAsia="Times New Roman" w:cs="Times New Roman"/>
                <w:sz w:val="18"/>
                <w:szCs w:val="18"/>
                <w:spacing w:val="-4"/>
              </w:rPr>
              <w:t>1.33</w:t>
            </w:r>
            <w:r>
              <w:rPr>
                <w:sz w:val="18"/>
                <w:szCs w:val="18"/>
                <w:spacing w:val="-4"/>
              </w:rPr>
              <w:t>（</w:t>
            </w:r>
            <w:r>
              <w:rPr>
                <w:rFonts w:ascii="Times New Roman" w:hAnsi="Times New Roman" w:eastAsia="Times New Roman" w:cs="Times New Roman"/>
                <w:sz w:val="18"/>
                <w:szCs w:val="18"/>
                <w:spacing w:val="-4"/>
              </w:rPr>
              <w:t>3</w:t>
            </w:r>
            <w:r>
              <w:rPr>
                <w:sz w:val="18"/>
                <w:szCs w:val="18"/>
                <w:spacing w:val="-4"/>
              </w:rPr>
              <w:t>）</w:t>
            </w:r>
          </w:p>
        </w:tc>
        <w:tc>
          <w:tcPr>
            <w:tcW w:w="992" w:type="dxa"/>
            <w:vAlign w:val="top"/>
          </w:tcPr>
          <w:p>
            <w:pPr>
              <w:ind w:left="34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9.99</w:t>
            </w:r>
          </w:p>
        </w:tc>
        <w:tc>
          <w:tcPr>
            <w:tcW w:w="1184" w:type="dxa"/>
            <w:vAlign w:val="top"/>
          </w:tcPr>
          <w:p>
            <w:pPr>
              <w:ind w:left="157"/>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27.20-41.94</w:t>
            </w:r>
          </w:p>
          <w:p>
            <w:pPr>
              <w:pStyle w:val="TableText"/>
              <w:ind w:left="168"/>
              <w:spacing w:before="27" w:line="218" w:lineRule="auto"/>
              <w:rPr>
                <w:sz w:val="18"/>
                <w:szCs w:val="18"/>
              </w:rPr>
            </w:pPr>
            <w:r>
              <w:rPr>
                <w:rFonts w:ascii="Times New Roman" w:hAnsi="Times New Roman" w:eastAsia="Times New Roman" w:cs="Times New Roman"/>
                <w:sz w:val="18"/>
                <w:szCs w:val="18"/>
                <w:spacing w:val="-1"/>
              </w:rPr>
              <w:t>35.71</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1116"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175.27</w:t>
            </w:r>
          </w:p>
        </w:tc>
        <w:tc>
          <w:tcPr>
            <w:tcW w:w="983" w:type="dxa"/>
            <w:vAlign w:val="top"/>
          </w:tcPr>
          <w:p>
            <w:pPr>
              <w:pStyle w:val="TableText"/>
              <w:ind w:left="245"/>
              <w:spacing w:before="29" w:line="223" w:lineRule="auto"/>
              <w:rPr>
                <w:sz w:val="18"/>
                <w:szCs w:val="18"/>
              </w:rPr>
            </w:pPr>
            <w:r>
              <w:rPr>
                <w:rFonts w:ascii="Times New Roman" w:hAnsi="Times New Roman" w:eastAsia="Times New Roman" w:cs="Times New Roman"/>
                <w:sz w:val="18"/>
                <w:szCs w:val="18"/>
                <w:spacing w:val="-6"/>
              </w:rPr>
              <w:t>2</w:t>
            </w:r>
            <w:r>
              <w:rPr>
                <w:rFonts w:ascii="Times New Roman" w:hAnsi="Times New Roman" w:eastAsia="Times New Roman" w:cs="Times New Roman"/>
                <w:sz w:val="18"/>
                <w:szCs w:val="18"/>
                <w:spacing w:val="12"/>
                <w:w w:val="101"/>
              </w:rPr>
              <w:t xml:space="preserve"> </w:t>
            </w:r>
            <w:r>
              <w:rPr>
                <w:sz w:val="18"/>
                <w:szCs w:val="18"/>
                <w:spacing w:val="-6"/>
              </w:rPr>
              <w:t>个孔</w:t>
            </w:r>
          </w:p>
          <w:p>
            <w:pPr>
              <w:pStyle w:val="TableText"/>
              <w:ind w:left="262"/>
              <w:spacing w:before="15" w:line="203" w:lineRule="auto"/>
              <w:rPr>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3"/>
              </w:rPr>
              <w:t xml:space="preserve"> </w:t>
            </w:r>
            <w:r>
              <w:rPr>
                <w:sz w:val="18"/>
                <w:szCs w:val="18"/>
                <w:spacing w:val="-12"/>
              </w:rPr>
              <w:t>条槽</w:t>
            </w:r>
          </w:p>
        </w:tc>
        <w:tc>
          <w:tcPr>
            <w:tcW w:w="577" w:type="dxa"/>
            <w:vAlign w:val="top"/>
            <w:tcBorders>
              <w:right w:val="nil"/>
            </w:tcBorders>
          </w:tcPr>
          <w:p>
            <w:pPr>
              <w:pStyle w:val="TableText"/>
              <w:ind w:left="208" w:right="108" w:hanging="89"/>
              <w:spacing w:before="29" w:line="221" w:lineRule="auto"/>
              <w:rPr>
                <w:sz w:val="18"/>
                <w:szCs w:val="18"/>
              </w:rPr>
            </w:pPr>
            <w:r>
              <w:rPr>
                <w:sz w:val="18"/>
                <w:szCs w:val="18"/>
                <w:spacing w:val="-7"/>
              </w:rPr>
              <w:t>未动</w:t>
            </w:r>
            <w:r>
              <w:rPr>
                <w:sz w:val="18"/>
                <w:szCs w:val="18"/>
              </w:rPr>
              <w:t>用</w:t>
            </w:r>
          </w:p>
        </w:tc>
      </w:tr>
      <w:tr>
        <w:trPr>
          <w:trHeight w:val="703" w:hRule="atLeast"/>
        </w:trPr>
        <w:tc>
          <w:tcPr>
            <w:tcW w:w="473" w:type="dxa"/>
            <w:vAlign w:val="top"/>
            <w:tcBorders>
              <w:left w:val="nil"/>
              <w:top w:val="nil"/>
            </w:tcBorders>
          </w:tcPr>
          <w:p>
            <w:pPr>
              <w:ind w:left="210"/>
              <w:spacing w:before="5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tc>
        <w:tc>
          <w:tcPr>
            <w:tcW w:w="553" w:type="dxa"/>
            <w:vAlign w:val="top"/>
          </w:tcPr>
          <w:p>
            <w:pPr>
              <w:spacing w:line="242" w:lineRule="auto"/>
              <w:rPr>
                <w:rFonts w:ascii="Arial"/>
                <w:sz w:val="21"/>
              </w:rPr>
            </w:pPr>
            <w:r/>
          </w:p>
          <w:p>
            <w:pPr>
              <w:ind w:left="23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82" w:type="dxa"/>
            <w:vAlign w:val="top"/>
            <w:textDirection w:val="tbRlV"/>
          </w:tcPr>
          <w:p>
            <w:pPr>
              <w:pStyle w:val="TableText"/>
              <w:ind w:left="146"/>
              <w:spacing w:before="147" w:line="206" w:lineRule="auto"/>
              <w:rPr>
                <w:sz w:val="18"/>
                <w:szCs w:val="18"/>
              </w:rPr>
            </w:pPr>
            <w:r>
              <w:rPr>
                <w:sz w:val="18"/>
                <w:szCs w:val="18"/>
                <w:spacing w:val="28"/>
              </w:rPr>
              <w:t>萤石</w:t>
            </w:r>
          </w:p>
        </w:tc>
        <w:tc>
          <w:tcPr>
            <w:tcW w:w="728" w:type="dxa"/>
            <w:vAlign w:val="top"/>
          </w:tcPr>
          <w:p>
            <w:pPr>
              <w:spacing w:line="242" w:lineRule="auto"/>
              <w:rPr>
                <w:rFonts w:ascii="Arial"/>
                <w:sz w:val="21"/>
              </w:rPr>
            </w:pPr>
            <w:r/>
          </w:p>
          <w:p>
            <w:pPr>
              <w:ind w:left="27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1080" w:type="dxa"/>
            <w:vAlign w:val="top"/>
          </w:tcPr>
          <w:p>
            <w:pPr>
              <w:spacing w:line="242" w:lineRule="auto"/>
              <w:rPr>
                <w:rFonts w:ascii="Arial"/>
                <w:sz w:val="21"/>
              </w:rPr>
            </w:pPr>
            <w:r/>
          </w:p>
          <w:p>
            <w:pPr>
              <w:ind w:left="16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1008-1025</w:t>
            </w:r>
          </w:p>
        </w:tc>
        <w:tc>
          <w:tcPr>
            <w:tcW w:w="881" w:type="dxa"/>
            <w:vAlign w:val="top"/>
          </w:tcPr>
          <w:p>
            <w:pPr>
              <w:spacing w:line="242" w:lineRule="auto"/>
              <w:rPr>
                <w:rFonts w:ascii="Arial"/>
                <w:sz w:val="21"/>
              </w:rPr>
            </w:pPr>
            <w:r/>
          </w:p>
          <w:p>
            <w:pPr>
              <w:ind w:left="27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0-17</w:t>
            </w:r>
          </w:p>
        </w:tc>
        <w:tc>
          <w:tcPr>
            <w:tcW w:w="609" w:type="dxa"/>
            <w:vAlign w:val="top"/>
          </w:tcPr>
          <w:p>
            <w:pPr>
              <w:spacing w:line="242" w:lineRule="auto"/>
              <w:rPr>
                <w:rFonts w:ascii="Arial"/>
                <w:sz w:val="21"/>
              </w:rPr>
            </w:pPr>
            <w:r/>
          </w:p>
          <w:p>
            <w:pPr>
              <w:ind w:left="21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992" w:type="dxa"/>
            <w:vAlign w:val="top"/>
          </w:tcPr>
          <w:p>
            <w:pPr>
              <w:spacing w:line="242" w:lineRule="auto"/>
              <w:rPr>
                <w:rFonts w:ascii="Arial"/>
                <w:sz w:val="21"/>
              </w:rPr>
            </w:pPr>
            <w:r/>
          </w:p>
          <w:p>
            <w:pPr>
              <w:ind w:left="40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1051" w:type="dxa"/>
            <w:vAlign w:val="top"/>
          </w:tcPr>
          <w:p>
            <w:pPr>
              <w:pStyle w:val="TableText"/>
              <w:ind w:left="354"/>
              <w:spacing w:before="160"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61"/>
              <w:spacing w:before="26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62</w:t>
            </w:r>
          </w:p>
        </w:tc>
        <w:tc>
          <w:tcPr>
            <w:tcW w:w="1114" w:type="dxa"/>
            <w:vAlign w:val="top"/>
          </w:tcPr>
          <w:p>
            <w:pPr>
              <w:ind w:left="23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1.83-3.56</w:t>
            </w:r>
          </w:p>
          <w:p>
            <w:pPr>
              <w:pStyle w:val="TableText"/>
              <w:ind w:left="175"/>
              <w:spacing w:before="24" w:line="236" w:lineRule="auto"/>
              <w:rPr>
                <w:sz w:val="18"/>
                <w:szCs w:val="18"/>
              </w:rPr>
            </w:pPr>
            <w:r>
              <w:rPr>
                <w:rFonts w:ascii="Times New Roman" w:hAnsi="Times New Roman" w:eastAsia="Times New Roman" w:cs="Times New Roman"/>
                <w:sz w:val="18"/>
                <w:szCs w:val="18"/>
                <w:spacing w:val="-1"/>
              </w:rPr>
              <w:t>2.70</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992" w:type="dxa"/>
            <w:vAlign w:val="top"/>
          </w:tcPr>
          <w:p>
            <w:pPr>
              <w:spacing w:line="242" w:lineRule="auto"/>
              <w:rPr>
                <w:rFonts w:ascii="Arial"/>
                <w:sz w:val="21"/>
              </w:rPr>
            </w:pPr>
            <w:r/>
          </w:p>
          <w:p>
            <w:pPr>
              <w:ind w:left="30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55.53</w:t>
            </w:r>
          </w:p>
        </w:tc>
        <w:tc>
          <w:tcPr>
            <w:tcW w:w="1184" w:type="dxa"/>
            <w:vAlign w:val="top"/>
          </w:tcPr>
          <w:p>
            <w:pPr>
              <w:ind w:left="16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32.05-49.88</w:t>
            </w:r>
          </w:p>
          <w:p>
            <w:pPr>
              <w:pStyle w:val="TableText"/>
              <w:ind w:left="168"/>
              <w:spacing w:before="24" w:line="236" w:lineRule="auto"/>
              <w:rPr>
                <w:sz w:val="18"/>
                <w:szCs w:val="18"/>
              </w:rPr>
            </w:pPr>
            <w:r>
              <w:rPr>
                <w:rFonts w:ascii="Times New Roman" w:hAnsi="Times New Roman" w:eastAsia="Times New Roman" w:cs="Times New Roman"/>
                <w:sz w:val="18"/>
                <w:szCs w:val="18"/>
                <w:spacing w:val="-1"/>
              </w:rPr>
              <w:t>33.33</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1116" w:type="dxa"/>
            <w:vAlign w:val="top"/>
          </w:tcPr>
          <w:p>
            <w:pPr>
              <w:spacing w:line="242" w:lineRule="auto"/>
              <w:rPr>
                <w:rFonts w:ascii="Arial"/>
                <w:sz w:val="21"/>
              </w:rPr>
            </w:pPr>
            <w:r/>
          </w:p>
          <w:p>
            <w:pPr>
              <w:ind w:left="3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310.27</w:t>
            </w:r>
          </w:p>
        </w:tc>
        <w:tc>
          <w:tcPr>
            <w:tcW w:w="983" w:type="dxa"/>
            <w:vAlign w:val="top"/>
          </w:tcPr>
          <w:p>
            <w:pPr>
              <w:pStyle w:val="TableText"/>
              <w:ind w:left="111"/>
              <w:spacing w:before="31"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4"/>
                <w:w w:val="101"/>
              </w:rPr>
              <w:t xml:space="preserve"> </w:t>
            </w:r>
            <w:r>
              <w:rPr>
                <w:sz w:val="18"/>
                <w:szCs w:val="18"/>
                <w:spacing w:val="-4"/>
              </w:rPr>
              <w:t>个孔（</w:t>
            </w:r>
            <w:r>
              <w:rPr>
                <w:rFonts w:ascii="Times New Roman" w:hAnsi="Times New Roman" w:eastAsia="Times New Roman" w:cs="Times New Roman"/>
                <w:sz w:val="18"/>
                <w:szCs w:val="18"/>
                <w:spacing w:val="-4"/>
              </w:rPr>
              <w:t>1</w:t>
            </w:r>
          </w:p>
          <w:p>
            <w:pPr>
              <w:pStyle w:val="TableText"/>
              <w:ind w:left="142"/>
              <w:spacing w:before="15" w:line="222" w:lineRule="auto"/>
              <w:rPr>
                <w:sz w:val="18"/>
                <w:szCs w:val="18"/>
              </w:rPr>
            </w:pPr>
            <w:r>
              <w:rPr>
                <w:sz w:val="18"/>
                <w:szCs w:val="18"/>
                <w:spacing w:val="-4"/>
              </w:rPr>
              <w:t>未见矿）</w:t>
            </w:r>
          </w:p>
          <w:p>
            <w:pPr>
              <w:pStyle w:val="TableText"/>
              <w:ind w:left="262"/>
              <w:spacing w:before="15" w:line="201" w:lineRule="auto"/>
              <w:rPr>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3"/>
              </w:rPr>
              <w:t xml:space="preserve"> </w:t>
            </w:r>
            <w:r>
              <w:rPr>
                <w:sz w:val="18"/>
                <w:szCs w:val="18"/>
                <w:spacing w:val="-12"/>
              </w:rPr>
              <w:t>条槽</w:t>
            </w:r>
          </w:p>
        </w:tc>
        <w:tc>
          <w:tcPr>
            <w:tcW w:w="577" w:type="dxa"/>
            <w:vAlign w:val="top"/>
            <w:tcBorders>
              <w:right w:val="nil"/>
            </w:tcBorders>
          </w:tcPr>
          <w:p>
            <w:pPr>
              <w:pStyle w:val="TableText"/>
              <w:ind w:left="208" w:right="108" w:hanging="89"/>
              <w:spacing w:before="147"/>
              <w:rPr>
                <w:sz w:val="18"/>
                <w:szCs w:val="18"/>
              </w:rPr>
            </w:pPr>
            <w:r>
              <w:rPr>
                <w:sz w:val="18"/>
                <w:szCs w:val="18"/>
                <w:spacing w:val="-7"/>
              </w:rPr>
              <w:t>未动</w:t>
            </w:r>
            <w:r>
              <w:rPr>
                <w:sz w:val="18"/>
                <w:szCs w:val="18"/>
              </w:rPr>
              <w:t>用</w:t>
            </w:r>
          </w:p>
        </w:tc>
      </w:tr>
      <w:tr>
        <w:trPr>
          <w:trHeight w:val="703" w:hRule="atLeast"/>
        </w:trPr>
        <w:tc>
          <w:tcPr>
            <w:tcW w:w="473" w:type="dxa"/>
            <w:vAlign w:val="top"/>
            <w:tcBorders>
              <w:left w:val="nil"/>
              <w:bottom w:val="nil"/>
            </w:tcBorders>
          </w:tcPr>
          <w:p>
            <w:pPr>
              <w:rPr>
                <w:rFonts w:ascii="Arial"/>
                <w:sz w:val="21"/>
              </w:rPr>
            </w:pPr>
            <w:r/>
          </w:p>
        </w:tc>
        <w:tc>
          <w:tcPr>
            <w:tcW w:w="553" w:type="dxa"/>
            <w:vAlign w:val="top"/>
          </w:tcPr>
          <w:p>
            <w:pPr>
              <w:spacing w:line="242" w:lineRule="auto"/>
              <w:rPr>
                <w:rFonts w:ascii="Arial"/>
                <w:sz w:val="21"/>
              </w:rPr>
            </w:pPr>
            <w:r/>
          </w:p>
          <w:p>
            <w:pPr>
              <w:ind w:left="23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82" w:type="dxa"/>
            <w:vAlign w:val="top"/>
            <w:textDirection w:val="tbRlV"/>
          </w:tcPr>
          <w:p>
            <w:pPr>
              <w:pStyle w:val="TableText"/>
              <w:ind w:left="149"/>
              <w:spacing w:before="147" w:line="206" w:lineRule="auto"/>
              <w:rPr>
                <w:sz w:val="18"/>
                <w:szCs w:val="18"/>
              </w:rPr>
            </w:pPr>
            <w:r>
              <w:rPr>
                <w:sz w:val="18"/>
                <w:szCs w:val="18"/>
                <w:spacing w:val="28"/>
              </w:rPr>
              <w:t>萤石</w:t>
            </w:r>
          </w:p>
        </w:tc>
        <w:tc>
          <w:tcPr>
            <w:tcW w:w="728" w:type="dxa"/>
            <w:vAlign w:val="top"/>
          </w:tcPr>
          <w:p>
            <w:pPr>
              <w:spacing w:line="242"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91</w:t>
            </w:r>
          </w:p>
        </w:tc>
        <w:tc>
          <w:tcPr>
            <w:tcW w:w="1080" w:type="dxa"/>
            <w:vAlign w:val="top"/>
          </w:tcPr>
          <w:p>
            <w:pPr>
              <w:spacing w:line="242" w:lineRule="auto"/>
              <w:rPr>
                <w:rFonts w:ascii="Arial"/>
                <w:sz w:val="21"/>
              </w:rPr>
            </w:pPr>
            <w:r/>
          </w:p>
          <w:p>
            <w:pPr>
              <w:ind w:left="19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928-1036</w:t>
            </w:r>
          </w:p>
        </w:tc>
        <w:tc>
          <w:tcPr>
            <w:tcW w:w="881" w:type="dxa"/>
            <w:vAlign w:val="top"/>
          </w:tcPr>
          <w:p>
            <w:pPr>
              <w:spacing w:line="242" w:lineRule="auto"/>
              <w:rPr>
                <w:rFonts w:ascii="Arial"/>
                <w:sz w:val="21"/>
              </w:rPr>
            </w:pPr>
            <w:r/>
          </w:p>
          <w:p>
            <w:pPr>
              <w:ind w:left="23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0-108</w:t>
            </w:r>
          </w:p>
        </w:tc>
        <w:tc>
          <w:tcPr>
            <w:tcW w:w="609" w:type="dxa"/>
            <w:vAlign w:val="top"/>
          </w:tcPr>
          <w:p>
            <w:pPr>
              <w:spacing w:line="242" w:lineRule="auto"/>
              <w:rPr>
                <w:rFonts w:ascii="Arial"/>
                <w:sz w:val="21"/>
              </w:rPr>
            </w:pPr>
            <w:r/>
          </w:p>
          <w:p>
            <w:pPr>
              <w:ind w:left="21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992" w:type="dxa"/>
            <w:vAlign w:val="top"/>
          </w:tcPr>
          <w:p>
            <w:pPr>
              <w:spacing w:line="242" w:lineRule="auto"/>
              <w:rPr>
                <w:rFonts w:ascii="Arial"/>
                <w:sz w:val="21"/>
              </w:rPr>
            </w:pPr>
            <w:r/>
          </w:p>
          <w:p>
            <w:pPr>
              <w:ind w:left="38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111</w:t>
            </w:r>
          </w:p>
        </w:tc>
        <w:tc>
          <w:tcPr>
            <w:tcW w:w="1051" w:type="dxa"/>
            <w:vAlign w:val="top"/>
          </w:tcPr>
          <w:p>
            <w:pPr>
              <w:pStyle w:val="TableText"/>
              <w:ind w:left="354"/>
              <w:spacing w:before="160" w:line="224" w:lineRule="auto"/>
              <w:rPr>
                <w:sz w:val="18"/>
                <w:szCs w:val="18"/>
              </w:rPr>
            </w:pPr>
            <w:r>
              <w:rPr>
                <w:sz w:val="18"/>
                <w:szCs w:val="18"/>
                <w:spacing w:val="-6"/>
              </w:rPr>
              <w:t>脉状</w:t>
            </w:r>
          </w:p>
          <w:p>
            <w:pPr>
              <w:ind w:left="483"/>
              <w:spacing w:before="3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78"/>
              <w:spacing w:before="266"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w:t>
            </w:r>
            <w:r>
              <w:rPr>
                <w:rFonts w:ascii="SimSun" w:hAnsi="SimSun" w:eastAsia="SimSun" w:cs="SimSun"/>
                <w:sz w:val="18"/>
                <w:szCs w:val="18"/>
                <w:spacing w:val="-4"/>
              </w:rPr>
              <w:t>∠</w:t>
            </w:r>
            <w:r>
              <w:rPr>
                <w:rFonts w:ascii="Times New Roman" w:hAnsi="Times New Roman" w:eastAsia="Times New Roman" w:cs="Times New Roman"/>
                <w:sz w:val="18"/>
                <w:szCs w:val="18"/>
                <w:spacing w:val="-4"/>
              </w:rPr>
              <w:t>83</w:t>
            </w:r>
          </w:p>
        </w:tc>
        <w:tc>
          <w:tcPr>
            <w:tcW w:w="1114" w:type="dxa"/>
            <w:vAlign w:val="top"/>
          </w:tcPr>
          <w:p>
            <w:pPr>
              <w:ind w:left="216"/>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0.87-1.57</w:t>
            </w:r>
          </w:p>
          <w:p>
            <w:pPr>
              <w:pStyle w:val="TableText"/>
              <w:ind w:left="192"/>
              <w:spacing w:before="24" w:line="236" w:lineRule="auto"/>
              <w:rPr>
                <w:sz w:val="18"/>
                <w:szCs w:val="18"/>
              </w:rPr>
            </w:pPr>
            <w:r>
              <w:rPr>
                <w:rFonts w:ascii="Times New Roman" w:hAnsi="Times New Roman" w:eastAsia="Times New Roman" w:cs="Times New Roman"/>
                <w:sz w:val="18"/>
                <w:szCs w:val="18"/>
                <w:spacing w:val="-4"/>
              </w:rPr>
              <w:t>1.22</w:t>
            </w:r>
            <w:r>
              <w:rPr>
                <w:sz w:val="18"/>
                <w:szCs w:val="18"/>
                <w:spacing w:val="-4"/>
              </w:rPr>
              <w:t>（</w:t>
            </w:r>
            <w:r>
              <w:rPr>
                <w:rFonts w:ascii="Times New Roman" w:hAnsi="Times New Roman" w:eastAsia="Times New Roman" w:cs="Times New Roman"/>
                <w:sz w:val="18"/>
                <w:szCs w:val="18"/>
                <w:spacing w:val="-4"/>
              </w:rPr>
              <w:t>3</w:t>
            </w:r>
            <w:r>
              <w:rPr>
                <w:sz w:val="18"/>
                <w:szCs w:val="18"/>
                <w:spacing w:val="-4"/>
              </w:rPr>
              <w:t>）</w:t>
            </w:r>
          </w:p>
        </w:tc>
        <w:tc>
          <w:tcPr>
            <w:tcW w:w="992" w:type="dxa"/>
            <w:vAlign w:val="top"/>
          </w:tcPr>
          <w:p>
            <w:pPr>
              <w:spacing w:line="242" w:lineRule="auto"/>
              <w:rPr>
                <w:rFonts w:ascii="Arial"/>
                <w:sz w:val="21"/>
              </w:rPr>
            </w:pPr>
            <w:r/>
          </w:p>
          <w:p>
            <w:pPr>
              <w:ind w:left="29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20.08</w:t>
            </w:r>
          </w:p>
        </w:tc>
        <w:tc>
          <w:tcPr>
            <w:tcW w:w="1184" w:type="dxa"/>
            <w:vAlign w:val="top"/>
          </w:tcPr>
          <w:p>
            <w:pPr>
              <w:ind w:left="161"/>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32.47-48.19</w:t>
            </w:r>
          </w:p>
          <w:p>
            <w:pPr>
              <w:pStyle w:val="TableText"/>
              <w:ind w:left="168"/>
              <w:spacing w:before="24" w:line="236" w:lineRule="auto"/>
              <w:rPr>
                <w:sz w:val="18"/>
                <w:szCs w:val="18"/>
              </w:rPr>
            </w:pPr>
            <w:r>
              <w:rPr>
                <w:rFonts w:ascii="Times New Roman" w:hAnsi="Times New Roman" w:eastAsia="Times New Roman" w:cs="Times New Roman"/>
                <w:sz w:val="18"/>
                <w:szCs w:val="18"/>
                <w:spacing w:val="-1"/>
              </w:rPr>
              <w:t>35.29</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1116" w:type="dxa"/>
            <w:vAlign w:val="top"/>
          </w:tcPr>
          <w:p>
            <w:pPr>
              <w:spacing w:line="242" w:lineRule="auto"/>
              <w:rPr>
                <w:rFonts w:ascii="Arial"/>
                <w:sz w:val="21"/>
              </w:rPr>
            </w:pPr>
            <w:r/>
          </w:p>
          <w:p>
            <w:pPr>
              <w:ind w:left="32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193.01</w:t>
            </w:r>
          </w:p>
        </w:tc>
        <w:tc>
          <w:tcPr>
            <w:tcW w:w="983" w:type="dxa"/>
            <w:vAlign w:val="top"/>
          </w:tcPr>
          <w:p>
            <w:pPr>
              <w:pStyle w:val="TableText"/>
              <w:ind w:left="111"/>
              <w:spacing w:before="34"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4"/>
                <w:w w:val="101"/>
              </w:rPr>
              <w:t xml:space="preserve"> </w:t>
            </w:r>
            <w:r>
              <w:rPr>
                <w:sz w:val="18"/>
                <w:szCs w:val="18"/>
                <w:spacing w:val="-4"/>
              </w:rPr>
              <w:t>个孔（</w:t>
            </w:r>
            <w:r>
              <w:rPr>
                <w:rFonts w:ascii="Times New Roman" w:hAnsi="Times New Roman" w:eastAsia="Times New Roman" w:cs="Times New Roman"/>
                <w:sz w:val="18"/>
                <w:szCs w:val="18"/>
                <w:spacing w:val="-4"/>
              </w:rPr>
              <w:t>1</w:t>
            </w:r>
          </w:p>
          <w:p>
            <w:pPr>
              <w:pStyle w:val="TableText"/>
              <w:ind w:left="142"/>
              <w:spacing w:before="15" w:line="222" w:lineRule="auto"/>
              <w:rPr>
                <w:sz w:val="18"/>
                <w:szCs w:val="18"/>
              </w:rPr>
            </w:pPr>
            <w:r>
              <w:rPr>
                <w:sz w:val="18"/>
                <w:szCs w:val="18"/>
                <w:spacing w:val="-4"/>
              </w:rPr>
              <w:t>未见矿）</w:t>
            </w:r>
          </w:p>
          <w:p>
            <w:pPr>
              <w:pStyle w:val="TableText"/>
              <w:ind w:left="262"/>
              <w:spacing w:before="16" w:line="198" w:lineRule="auto"/>
              <w:rPr>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3"/>
              </w:rPr>
              <w:t xml:space="preserve"> </w:t>
            </w:r>
            <w:r>
              <w:rPr>
                <w:sz w:val="18"/>
                <w:szCs w:val="18"/>
                <w:spacing w:val="-12"/>
              </w:rPr>
              <w:t>条槽</w:t>
            </w:r>
          </w:p>
        </w:tc>
        <w:tc>
          <w:tcPr>
            <w:tcW w:w="577" w:type="dxa"/>
            <w:vAlign w:val="top"/>
            <w:tcBorders>
              <w:right w:val="nil"/>
            </w:tcBorders>
          </w:tcPr>
          <w:p>
            <w:pPr>
              <w:pStyle w:val="TableText"/>
              <w:ind w:left="208" w:right="108" w:hanging="89"/>
              <w:spacing w:before="150"/>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32"/>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82" w:type="dxa"/>
            <w:vAlign w:val="top"/>
            <w:textDirection w:val="tbRlV"/>
          </w:tcPr>
          <w:p>
            <w:pPr>
              <w:pStyle w:val="TableText"/>
              <w:ind w:left="36"/>
              <w:spacing w:before="147" w:line="206" w:lineRule="auto"/>
              <w:rPr>
                <w:sz w:val="18"/>
                <w:szCs w:val="18"/>
              </w:rPr>
            </w:pPr>
            <w:r>
              <w:rPr>
                <w:sz w:val="18"/>
                <w:szCs w:val="18"/>
                <w:spacing w:val="28"/>
              </w:rPr>
              <w:t>萤石</w:t>
            </w:r>
          </w:p>
        </w:tc>
        <w:tc>
          <w:tcPr>
            <w:tcW w:w="728" w:type="dxa"/>
            <w:vAlign w:val="top"/>
          </w:tcPr>
          <w:p>
            <w:pPr>
              <w:ind w:left="15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91-92</w:t>
            </w:r>
          </w:p>
        </w:tc>
        <w:tc>
          <w:tcPr>
            <w:tcW w:w="1080" w:type="dxa"/>
            <w:vAlign w:val="top"/>
          </w:tcPr>
          <w:p>
            <w:pPr>
              <w:ind w:left="19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997-1035</w:t>
            </w:r>
          </w:p>
        </w:tc>
        <w:tc>
          <w:tcPr>
            <w:tcW w:w="881" w:type="dxa"/>
            <w:vAlign w:val="top"/>
          </w:tcPr>
          <w:p>
            <w:pPr>
              <w:ind w:left="27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0-38</w:t>
            </w:r>
          </w:p>
        </w:tc>
        <w:tc>
          <w:tcPr>
            <w:tcW w:w="609" w:type="dxa"/>
            <w:vAlign w:val="top"/>
          </w:tcPr>
          <w:p>
            <w:pPr>
              <w:ind w:left="18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153</w:t>
            </w:r>
          </w:p>
        </w:tc>
        <w:tc>
          <w:tcPr>
            <w:tcW w:w="992" w:type="dxa"/>
            <w:vAlign w:val="top"/>
          </w:tcPr>
          <w:p>
            <w:pPr>
              <w:ind w:left="41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61</w:t>
            </w:r>
          </w:p>
        </w:tc>
        <w:tc>
          <w:tcPr>
            <w:tcW w:w="1051" w:type="dxa"/>
            <w:vAlign w:val="top"/>
          </w:tcPr>
          <w:p>
            <w:pPr>
              <w:pStyle w:val="TableText"/>
              <w:ind w:left="263"/>
              <w:spacing w:before="48"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78"/>
              <w:spacing w:before="151"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w:t>
            </w:r>
            <w:r>
              <w:rPr>
                <w:rFonts w:ascii="SimSun" w:hAnsi="SimSun" w:eastAsia="SimSun" w:cs="SimSun"/>
                <w:sz w:val="18"/>
                <w:szCs w:val="18"/>
                <w:spacing w:val="-4"/>
              </w:rPr>
              <w:t>∠</w:t>
            </w:r>
            <w:r>
              <w:rPr>
                <w:rFonts w:ascii="Times New Roman" w:hAnsi="Times New Roman" w:eastAsia="Times New Roman" w:cs="Times New Roman"/>
                <w:sz w:val="18"/>
                <w:szCs w:val="18"/>
                <w:spacing w:val="-4"/>
              </w:rPr>
              <w:t>40</w:t>
            </w:r>
          </w:p>
        </w:tc>
        <w:tc>
          <w:tcPr>
            <w:tcW w:w="1114" w:type="dxa"/>
            <w:vAlign w:val="top"/>
          </w:tcPr>
          <w:p>
            <w:pPr>
              <w:ind w:left="216"/>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0.45-4.09</w:t>
            </w:r>
          </w:p>
          <w:p>
            <w:pPr>
              <w:pStyle w:val="TableText"/>
              <w:ind w:left="175"/>
              <w:spacing w:before="27" w:line="210" w:lineRule="auto"/>
              <w:rPr>
                <w:sz w:val="18"/>
                <w:szCs w:val="18"/>
              </w:rPr>
            </w:pPr>
            <w:r>
              <w:rPr>
                <w:rFonts w:ascii="Times New Roman" w:hAnsi="Times New Roman" w:eastAsia="Times New Roman" w:cs="Times New Roman"/>
                <w:sz w:val="18"/>
                <w:szCs w:val="18"/>
                <w:spacing w:val="-1"/>
              </w:rPr>
              <w:t>2.02</w:t>
            </w:r>
            <w:r>
              <w:rPr>
                <w:sz w:val="18"/>
                <w:szCs w:val="18"/>
                <w:spacing w:val="-1"/>
              </w:rPr>
              <w:t>（</w:t>
            </w:r>
            <w:r>
              <w:rPr>
                <w:rFonts w:ascii="Times New Roman" w:hAnsi="Times New Roman" w:eastAsia="Times New Roman" w:cs="Times New Roman"/>
                <w:sz w:val="18"/>
                <w:szCs w:val="18"/>
                <w:spacing w:val="-1"/>
              </w:rPr>
              <w:t>5</w:t>
            </w:r>
            <w:r>
              <w:rPr>
                <w:sz w:val="18"/>
                <w:szCs w:val="18"/>
                <w:spacing w:val="-1"/>
              </w:rPr>
              <w:t>）</w:t>
            </w:r>
          </w:p>
        </w:tc>
        <w:tc>
          <w:tcPr>
            <w:tcW w:w="992" w:type="dxa"/>
            <w:vAlign w:val="top"/>
          </w:tcPr>
          <w:p>
            <w:pPr>
              <w:ind w:left="26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118.16</w:t>
            </w:r>
          </w:p>
        </w:tc>
        <w:tc>
          <w:tcPr>
            <w:tcW w:w="1184" w:type="dxa"/>
            <w:vAlign w:val="top"/>
          </w:tcPr>
          <w:p>
            <w:pPr>
              <w:ind w:left="161"/>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30.91-86.71</w:t>
            </w:r>
          </w:p>
          <w:p>
            <w:pPr>
              <w:pStyle w:val="TableText"/>
              <w:ind w:left="168"/>
              <w:spacing w:before="27" w:line="210" w:lineRule="auto"/>
              <w:rPr>
                <w:sz w:val="18"/>
                <w:szCs w:val="18"/>
              </w:rPr>
            </w:pPr>
            <w:r>
              <w:rPr>
                <w:rFonts w:ascii="Times New Roman" w:hAnsi="Times New Roman" w:eastAsia="Times New Roman" w:cs="Times New Roman"/>
                <w:sz w:val="18"/>
                <w:szCs w:val="18"/>
                <w:spacing w:val="-1"/>
              </w:rPr>
              <w:t>32.43</w:t>
            </w:r>
            <w:r>
              <w:rPr>
                <w:sz w:val="18"/>
                <w:szCs w:val="18"/>
                <w:spacing w:val="-1"/>
              </w:rPr>
              <w:t>（</w:t>
            </w:r>
            <w:r>
              <w:rPr>
                <w:rFonts w:ascii="Times New Roman" w:hAnsi="Times New Roman" w:eastAsia="Times New Roman" w:cs="Times New Roman"/>
                <w:sz w:val="18"/>
                <w:szCs w:val="18"/>
                <w:spacing w:val="-1"/>
              </w:rPr>
              <w:t>5</w:t>
            </w:r>
            <w:r>
              <w:rPr>
                <w:sz w:val="18"/>
                <w:szCs w:val="18"/>
                <w:spacing w:val="-1"/>
              </w:rPr>
              <w:t>）</w:t>
            </w:r>
          </w:p>
        </w:tc>
        <w:tc>
          <w:tcPr>
            <w:tcW w:w="1116" w:type="dxa"/>
            <w:vAlign w:val="top"/>
          </w:tcPr>
          <w:p>
            <w:pPr>
              <w:ind w:left="313"/>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758.08</w:t>
            </w:r>
          </w:p>
        </w:tc>
        <w:tc>
          <w:tcPr>
            <w:tcW w:w="983" w:type="dxa"/>
            <w:vAlign w:val="top"/>
          </w:tcPr>
          <w:p>
            <w:pPr>
              <w:pStyle w:val="TableText"/>
              <w:ind w:left="244"/>
              <w:spacing w:before="36" w:line="223" w:lineRule="auto"/>
              <w:rPr>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13"/>
                <w:w w:val="101"/>
              </w:rPr>
              <w:t xml:space="preserve"> </w:t>
            </w:r>
            <w:r>
              <w:rPr>
                <w:sz w:val="18"/>
                <w:szCs w:val="18"/>
                <w:spacing w:val="-6"/>
              </w:rPr>
              <w:t>个孔</w:t>
            </w:r>
          </w:p>
          <w:p>
            <w:pPr>
              <w:pStyle w:val="TableText"/>
              <w:ind w:left="262"/>
              <w:spacing w:before="15" w:line="196" w:lineRule="auto"/>
              <w:rPr>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3"/>
              </w:rPr>
              <w:t xml:space="preserve"> </w:t>
            </w:r>
            <w:r>
              <w:rPr>
                <w:sz w:val="18"/>
                <w:szCs w:val="18"/>
                <w:spacing w:val="-12"/>
              </w:rPr>
              <w:t>条槽</w:t>
            </w:r>
          </w:p>
        </w:tc>
        <w:tc>
          <w:tcPr>
            <w:tcW w:w="577" w:type="dxa"/>
            <w:vAlign w:val="top"/>
            <w:tcBorders>
              <w:right w:val="nil"/>
            </w:tcBorders>
          </w:tcPr>
          <w:p>
            <w:pPr>
              <w:pStyle w:val="TableText"/>
              <w:ind w:left="208" w:right="108" w:hanging="89"/>
              <w:spacing w:before="36" w:line="217" w:lineRule="auto"/>
              <w:rPr>
                <w:sz w:val="18"/>
                <w:szCs w:val="18"/>
              </w:rPr>
            </w:pPr>
            <w:r>
              <w:rPr>
                <w:sz w:val="18"/>
                <w:szCs w:val="18"/>
                <w:spacing w:val="-7"/>
              </w:rPr>
              <w:t>未动</w:t>
            </w:r>
            <w:r>
              <w:rPr>
                <w:sz w:val="18"/>
                <w:szCs w:val="18"/>
              </w:rPr>
              <w:t>用</w:t>
            </w:r>
          </w:p>
        </w:tc>
      </w:tr>
      <w:tr>
        <w:trPr>
          <w:trHeight w:val="703" w:hRule="atLeast"/>
        </w:trPr>
        <w:tc>
          <w:tcPr>
            <w:tcW w:w="473" w:type="dxa"/>
            <w:vAlign w:val="top"/>
            <w:tcBorders>
              <w:left w:val="nil"/>
              <w:bottom w:val="nil"/>
              <w:top w:val="nil"/>
            </w:tcBorders>
          </w:tcPr>
          <w:p>
            <w:pPr>
              <w:rPr>
                <w:rFonts w:ascii="Arial"/>
                <w:sz w:val="21"/>
              </w:rPr>
            </w:pPr>
            <w:r/>
          </w:p>
        </w:tc>
        <w:tc>
          <w:tcPr>
            <w:tcW w:w="553" w:type="dxa"/>
            <w:vAlign w:val="top"/>
          </w:tcPr>
          <w:p>
            <w:pPr>
              <w:spacing w:line="249" w:lineRule="auto"/>
              <w:rPr>
                <w:rFonts w:ascii="Arial"/>
                <w:sz w:val="21"/>
              </w:rPr>
            </w:pPr>
            <w:r/>
          </w:p>
          <w:p>
            <w:pPr>
              <w:ind w:left="238"/>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482" w:type="dxa"/>
            <w:vAlign w:val="top"/>
            <w:textDirection w:val="tbRlV"/>
          </w:tcPr>
          <w:p>
            <w:pPr>
              <w:pStyle w:val="TableText"/>
              <w:ind w:left="154"/>
              <w:spacing w:before="147" w:line="206" w:lineRule="auto"/>
              <w:rPr>
                <w:sz w:val="18"/>
                <w:szCs w:val="18"/>
              </w:rPr>
            </w:pPr>
            <w:r>
              <w:rPr>
                <w:sz w:val="18"/>
                <w:szCs w:val="18"/>
                <w:spacing w:val="28"/>
              </w:rPr>
              <w:t>萤石</w:t>
            </w:r>
          </w:p>
        </w:tc>
        <w:tc>
          <w:tcPr>
            <w:tcW w:w="728" w:type="dxa"/>
            <w:vAlign w:val="top"/>
          </w:tcPr>
          <w:p>
            <w:pPr>
              <w:spacing w:line="247"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91</w:t>
            </w:r>
          </w:p>
        </w:tc>
        <w:tc>
          <w:tcPr>
            <w:tcW w:w="1080" w:type="dxa"/>
            <w:vAlign w:val="top"/>
          </w:tcPr>
          <w:p>
            <w:pPr>
              <w:spacing w:line="247" w:lineRule="auto"/>
              <w:rPr>
                <w:rFonts w:ascii="Arial"/>
                <w:sz w:val="21"/>
              </w:rPr>
            </w:pPr>
            <w:r/>
          </w:p>
          <w:p>
            <w:pPr>
              <w:ind w:left="16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1009-1022</w:t>
            </w:r>
          </w:p>
        </w:tc>
        <w:tc>
          <w:tcPr>
            <w:tcW w:w="881" w:type="dxa"/>
            <w:vAlign w:val="top"/>
          </w:tcPr>
          <w:p>
            <w:pPr>
              <w:spacing w:line="247" w:lineRule="auto"/>
              <w:rPr>
                <w:rFonts w:ascii="Arial"/>
                <w:sz w:val="21"/>
              </w:rPr>
            </w:pPr>
            <w:r/>
          </w:p>
          <w:p>
            <w:pPr>
              <w:ind w:left="24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14-27</w:t>
            </w:r>
          </w:p>
        </w:tc>
        <w:tc>
          <w:tcPr>
            <w:tcW w:w="609" w:type="dxa"/>
            <w:vAlign w:val="top"/>
          </w:tcPr>
          <w:p>
            <w:pPr>
              <w:spacing w:line="247" w:lineRule="auto"/>
              <w:rPr>
                <w:rFonts w:ascii="Arial"/>
                <w:sz w:val="21"/>
              </w:rPr>
            </w:pPr>
            <w:r/>
          </w:p>
          <w:p>
            <w:pPr>
              <w:ind w:left="21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992" w:type="dxa"/>
            <w:vAlign w:val="top"/>
          </w:tcPr>
          <w:p>
            <w:pPr>
              <w:spacing w:line="247" w:lineRule="auto"/>
              <w:rPr>
                <w:rFonts w:ascii="Arial"/>
                <w:sz w:val="21"/>
              </w:rPr>
            </w:pPr>
            <w:r/>
          </w:p>
          <w:p>
            <w:pPr>
              <w:ind w:left="40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1051" w:type="dxa"/>
            <w:vAlign w:val="top"/>
          </w:tcPr>
          <w:p>
            <w:pPr>
              <w:pStyle w:val="TableText"/>
              <w:ind w:left="263"/>
              <w:spacing w:before="166" w:line="224" w:lineRule="auto"/>
              <w:rPr>
                <w:sz w:val="18"/>
                <w:szCs w:val="18"/>
              </w:rPr>
            </w:pPr>
            <w:r>
              <w:rPr>
                <w:sz w:val="18"/>
                <w:szCs w:val="18"/>
                <w:spacing w:val="-4"/>
              </w:rPr>
              <w:t>透镜状</w:t>
            </w:r>
          </w:p>
          <w:p>
            <w:pPr>
              <w:ind w:left="483"/>
              <w:spacing w:before="3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78"/>
              <w:spacing w:before="271"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w:t>
            </w:r>
            <w:r>
              <w:rPr>
                <w:rFonts w:ascii="SimSun" w:hAnsi="SimSun" w:eastAsia="SimSun" w:cs="SimSun"/>
                <w:sz w:val="18"/>
                <w:szCs w:val="18"/>
                <w:spacing w:val="-4"/>
              </w:rPr>
              <w:t>∠</w:t>
            </w:r>
            <w:r>
              <w:rPr>
                <w:rFonts w:ascii="Times New Roman" w:hAnsi="Times New Roman" w:eastAsia="Times New Roman" w:cs="Times New Roman"/>
                <w:sz w:val="18"/>
                <w:szCs w:val="18"/>
                <w:spacing w:val="-4"/>
              </w:rPr>
              <w:t>23</w:t>
            </w:r>
          </w:p>
        </w:tc>
        <w:tc>
          <w:tcPr>
            <w:tcW w:w="1114" w:type="dxa"/>
            <w:vAlign w:val="top"/>
          </w:tcPr>
          <w:p>
            <w:pPr>
              <w:ind w:left="21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0.88-0.88</w:t>
            </w:r>
          </w:p>
          <w:p>
            <w:pPr>
              <w:pStyle w:val="TableText"/>
              <w:ind w:left="178"/>
              <w:spacing w:before="24" w:line="236" w:lineRule="auto"/>
              <w:rPr>
                <w:sz w:val="18"/>
                <w:szCs w:val="18"/>
              </w:rPr>
            </w:pPr>
            <w:r>
              <w:rPr>
                <w:rFonts w:ascii="Times New Roman" w:hAnsi="Times New Roman" w:eastAsia="Times New Roman" w:cs="Times New Roman"/>
                <w:sz w:val="18"/>
                <w:szCs w:val="18"/>
                <w:spacing w:val="-2"/>
              </w:rPr>
              <w:t>0.88</w:t>
            </w:r>
            <w:r>
              <w:rPr>
                <w:sz w:val="18"/>
                <w:szCs w:val="18"/>
                <w:spacing w:val="-2"/>
              </w:rPr>
              <w:t>（</w:t>
            </w:r>
            <w:r>
              <w:rPr>
                <w:rFonts w:ascii="Times New Roman" w:hAnsi="Times New Roman" w:eastAsia="Times New Roman" w:cs="Times New Roman"/>
                <w:sz w:val="18"/>
                <w:szCs w:val="18"/>
                <w:spacing w:val="-2"/>
              </w:rPr>
              <w:t>2</w:t>
            </w:r>
            <w:r>
              <w:rPr>
                <w:sz w:val="18"/>
                <w:szCs w:val="18"/>
                <w:spacing w:val="-2"/>
              </w:rPr>
              <w:t>）</w:t>
            </w:r>
          </w:p>
        </w:tc>
        <w:tc>
          <w:tcPr>
            <w:tcW w:w="992" w:type="dxa"/>
            <w:vAlign w:val="top"/>
          </w:tcPr>
          <w:p>
            <w:pPr>
              <w:spacing w:line="322" w:lineRule="auto"/>
              <w:rPr>
                <w:rFonts w:ascii="Arial"/>
                <w:sz w:val="21"/>
              </w:rPr>
            </w:pPr>
            <w:r/>
          </w:p>
          <w:p>
            <w:pPr>
              <w:ind w:left="471"/>
              <w:spacing w:before="5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40.38-40.38</w:t>
            </w:r>
          </w:p>
          <w:p>
            <w:pPr>
              <w:pStyle w:val="TableText"/>
              <w:ind w:left="163"/>
              <w:spacing w:before="24" w:line="236" w:lineRule="auto"/>
              <w:rPr>
                <w:sz w:val="18"/>
                <w:szCs w:val="18"/>
              </w:rPr>
            </w:pPr>
            <w:r>
              <w:rPr>
                <w:rFonts w:ascii="Times New Roman" w:hAnsi="Times New Roman" w:eastAsia="Times New Roman" w:cs="Times New Roman"/>
                <w:sz w:val="18"/>
                <w:szCs w:val="18"/>
                <w:spacing w:val="-1"/>
              </w:rPr>
              <w:t>40.38</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1116" w:type="dxa"/>
            <w:vAlign w:val="top"/>
          </w:tcPr>
          <w:p>
            <w:pPr>
              <w:spacing w:line="322" w:lineRule="auto"/>
              <w:rPr>
                <w:rFonts w:ascii="Arial"/>
                <w:sz w:val="21"/>
              </w:rPr>
            </w:pPr>
            <w:r/>
          </w:p>
          <w:p>
            <w:pPr>
              <w:ind w:left="532"/>
              <w:spacing w:before="5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983" w:type="dxa"/>
            <w:vAlign w:val="top"/>
          </w:tcPr>
          <w:p>
            <w:pPr>
              <w:pStyle w:val="TableText"/>
              <w:ind w:left="167" w:right="150" w:firstLine="78"/>
              <w:spacing w:before="37" w:line="224" w:lineRule="auto"/>
              <w:jc w:val="both"/>
              <w:rPr>
                <w:sz w:val="18"/>
                <w:szCs w:val="18"/>
              </w:rPr>
            </w:pPr>
            <w:r>
              <w:rPr>
                <w:rFonts w:ascii="Times New Roman" w:hAnsi="Times New Roman" w:eastAsia="Times New Roman" w:cs="Times New Roman"/>
                <w:sz w:val="18"/>
                <w:szCs w:val="18"/>
                <w:spacing w:val="-6"/>
              </w:rPr>
              <w:t>2</w:t>
            </w:r>
            <w:r>
              <w:rPr>
                <w:rFonts w:ascii="Times New Roman" w:hAnsi="Times New Roman" w:eastAsia="Times New Roman" w:cs="Times New Roman"/>
                <w:sz w:val="18"/>
                <w:szCs w:val="18"/>
                <w:spacing w:val="12"/>
                <w:w w:val="101"/>
              </w:rPr>
              <w:t xml:space="preserve"> </w:t>
            </w:r>
            <w:r>
              <w:rPr>
                <w:sz w:val="18"/>
                <w:szCs w:val="18"/>
                <w:spacing w:val="-6"/>
              </w:rPr>
              <w:t>个孔</w:t>
            </w:r>
            <w:r>
              <w:rPr>
                <w:sz w:val="18"/>
                <w:szCs w:val="18"/>
                <w:spacing w:val="-8"/>
              </w:rPr>
              <w:t>（</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15"/>
                <w:w w:val="102"/>
              </w:rPr>
              <w:t xml:space="preserve"> </w:t>
            </w:r>
            <w:r>
              <w:rPr>
                <w:sz w:val="18"/>
                <w:szCs w:val="18"/>
                <w:spacing w:val="-8"/>
              </w:rPr>
              <w:t>个未</w:t>
            </w:r>
            <w:r>
              <w:rPr>
                <w:sz w:val="18"/>
                <w:szCs w:val="18"/>
                <w:spacing w:val="16"/>
              </w:rPr>
              <w:t>见矿）</w:t>
            </w:r>
          </w:p>
        </w:tc>
        <w:tc>
          <w:tcPr>
            <w:tcW w:w="577" w:type="dxa"/>
            <w:vAlign w:val="top"/>
            <w:tcBorders>
              <w:right w:val="nil"/>
            </w:tcBorders>
          </w:tcPr>
          <w:p>
            <w:pPr>
              <w:pStyle w:val="TableText"/>
              <w:ind w:left="208" w:right="108" w:hanging="89"/>
              <w:spacing w:before="155"/>
              <w:rPr>
                <w:sz w:val="18"/>
                <w:szCs w:val="18"/>
              </w:rPr>
            </w:pPr>
            <w:r>
              <w:rPr>
                <w:sz w:val="18"/>
                <w:szCs w:val="18"/>
                <w:spacing w:val="-7"/>
              </w:rPr>
              <w:t>未动</w:t>
            </w:r>
            <w:r>
              <w:rPr>
                <w:sz w:val="18"/>
                <w:szCs w:val="18"/>
              </w:rPr>
              <w:t>用</w:t>
            </w:r>
          </w:p>
        </w:tc>
      </w:tr>
      <w:tr>
        <w:trPr>
          <w:trHeight w:val="704" w:hRule="atLeast"/>
        </w:trPr>
        <w:tc>
          <w:tcPr>
            <w:tcW w:w="473" w:type="dxa"/>
            <w:vAlign w:val="top"/>
            <w:tcBorders>
              <w:left w:val="nil"/>
              <w:bottom w:val="nil"/>
              <w:top w:val="nil"/>
            </w:tcBorders>
          </w:tcPr>
          <w:p>
            <w:pPr>
              <w:rPr>
                <w:rFonts w:ascii="Arial"/>
                <w:sz w:val="21"/>
              </w:rPr>
            </w:pPr>
            <w:r/>
          </w:p>
        </w:tc>
        <w:tc>
          <w:tcPr>
            <w:tcW w:w="553" w:type="dxa"/>
            <w:vAlign w:val="top"/>
          </w:tcPr>
          <w:p>
            <w:pPr>
              <w:spacing w:line="249" w:lineRule="auto"/>
              <w:rPr>
                <w:rFonts w:ascii="Arial"/>
                <w:sz w:val="21"/>
              </w:rPr>
            </w:pPr>
            <w:r/>
          </w:p>
          <w:p>
            <w:pPr>
              <w:ind w:left="23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482" w:type="dxa"/>
            <w:vAlign w:val="top"/>
            <w:textDirection w:val="tbRlV"/>
          </w:tcPr>
          <w:p>
            <w:pPr>
              <w:pStyle w:val="TableText"/>
              <w:ind w:left="156"/>
              <w:spacing w:before="147" w:line="206" w:lineRule="auto"/>
              <w:rPr>
                <w:sz w:val="18"/>
                <w:szCs w:val="18"/>
              </w:rPr>
            </w:pPr>
            <w:r>
              <w:rPr>
                <w:sz w:val="18"/>
                <w:szCs w:val="18"/>
                <w:spacing w:val="28"/>
              </w:rPr>
              <w:t>萤石</w:t>
            </w:r>
          </w:p>
        </w:tc>
        <w:tc>
          <w:tcPr>
            <w:tcW w:w="728" w:type="dxa"/>
            <w:vAlign w:val="top"/>
          </w:tcPr>
          <w:p>
            <w:pPr>
              <w:spacing w:line="249"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91</w:t>
            </w:r>
          </w:p>
        </w:tc>
        <w:tc>
          <w:tcPr>
            <w:tcW w:w="1080" w:type="dxa"/>
            <w:vAlign w:val="top"/>
          </w:tcPr>
          <w:p>
            <w:pPr>
              <w:spacing w:line="249" w:lineRule="auto"/>
              <w:rPr>
                <w:rFonts w:ascii="Arial"/>
                <w:sz w:val="21"/>
              </w:rPr>
            </w:pPr>
            <w:r/>
          </w:p>
          <w:p>
            <w:pPr>
              <w:ind w:left="24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850-865</w:t>
            </w:r>
          </w:p>
        </w:tc>
        <w:tc>
          <w:tcPr>
            <w:tcW w:w="881" w:type="dxa"/>
            <w:vAlign w:val="top"/>
          </w:tcPr>
          <w:p>
            <w:pPr>
              <w:spacing w:line="249" w:lineRule="auto"/>
              <w:rPr>
                <w:rFonts w:ascii="Arial"/>
                <w:sz w:val="21"/>
              </w:rPr>
            </w:pPr>
            <w:r/>
          </w:p>
          <w:p>
            <w:pPr>
              <w:ind w:left="15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171-186</w:t>
            </w:r>
          </w:p>
        </w:tc>
        <w:tc>
          <w:tcPr>
            <w:tcW w:w="609" w:type="dxa"/>
            <w:vAlign w:val="top"/>
          </w:tcPr>
          <w:p>
            <w:pPr>
              <w:spacing w:line="249" w:lineRule="auto"/>
              <w:rPr>
                <w:rFonts w:ascii="Arial"/>
                <w:sz w:val="21"/>
              </w:rPr>
            </w:pPr>
            <w:r/>
          </w:p>
          <w:p>
            <w:pPr>
              <w:ind w:left="21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992" w:type="dxa"/>
            <w:vAlign w:val="top"/>
          </w:tcPr>
          <w:p>
            <w:pPr>
              <w:spacing w:line="249" w:lineRule="auto"/>
              <w:rPr>
                <w:rFonts w:ascii="Arial"/>
                <w:sz w:val="21"/>
              </w:rPr>
            </w:pPr>
            <w:r/>
          </w:p>
          <w:p>
            <w:pPr>
              <w:ind w:left="40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1051" w:type="dxa"/>
            <w:vAlign w:val="top"/>
          </w:tcPr>
          <w:p>
            <w:pPr>
              <w:pStyle w:val="TableText"/>
              <w:ind w:left="263"/>
              <w:spacing w:before="169" w:line="224" w:lineRule="auto"/>
              <w:rPr>
                <w:sz w:val="18"/>
                <w:szCs w:val="18"/>
              </w:rPr>
            </w:pPr>
            <w:r>
              <w:rPr>
                <w:sz w:val="18"/>
                <w:szCs w:val="18"/>
                <w:spacing w:val="-4"/>
              </w:rPr>
              <w:t>透镜状</w:t>
            </w:r>
          </w:p>
          <w:p>
            <w:pPr>
              <w:ind w:left="483"/>
              <w:spacing w:before="3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78"/>
              <w:spacing w:before="274"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w:t>
            </w:r>
            <w:r>
              <w:rPr>
                <w:rFonts w:ascii="SimSun" w:hAnsi="SimSun" w:eastAsia="SimSun" w:cs="SimSun"/>
                <w:sz w:val="18"/>
                <w:szCs w:val="18"/>
                <w:spacing w:val="-4"/>
              </w:rPr>
              <w:t>∠</w:t>
            </w:r>
            <w:r>
              <w:rPr>
                <w:rFonts w:ascii="Times New Roman" w:hAnsi="Times New Roman" w:eastAsia="Times New Roman" w:cs="Times New Roman"/>
                <w:sz w:val="18"/>
                <w:szCs w:val="18"/>
                <w:spacing w:val="-4"/>
              </w:rPr>
              <w:t>13</w:t>
            </w:r>
          </w:p>
        </w:tc>
        <w:tc>
          <w:tcPr>
            <w:tcW w:w="1114" w:type="dxa"/>
            <w:vAlign w:val="top"/>
          </w:tcPr>
          <w:p>
            <w:pPr>
              <w:ind w:left="231"/>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1.30-1.30</w:t>
            </w:r>
          </w:p>
          <w:p>
            <w:pPr>
              <w:pStyle w:val="TableText"/>
              <w:ind w:left="192"/>
              <w:spacing w:before="27" w:line="236" w:lineRule="auto"/>
              <w:rPr>
                <w:sz w:val="18"/>
                <w:szCs w:val="18"/>
              </w:rPr>
            </w:pPr>
            <w:r>
              <w:rPr>
                <w:rFonts w:ascii="Times New Roman" w:hAnsi="Times New Roman" w:eastAsia="Times New Roman" w:cs="Times New Roman"/>
                <w:sz w:val="18"/>
                <w:szCs w:val="18"/>
                <w:spacing w:val="-4"/>
              </w:rPr>
              <w:t>1.30</w:t>
            </w:r>
            <w:r>
              <w:rPr>
                <w:sz w:val="18"/>
                <w:szCs w:val="18"/>
                <w:spacing w:val="-4"/>
              </w:rPr>
              <w:t>（</w:t>
            </w:r>
            <w:r>
              <w:rPr>
                <w:rFonts w:ascii="Times New Roman" w:hAnsi="Times New Roman" w:eastAsia="Times New Roman" w:cs="Times New Roman"/>
                <w:sz w:val="18"/>
                <w:szCs w:val="18"/>
                <w:spacing w:val="-4"/>
              </w:rPr>
              <w:t>2</w:t>
            </w:r>
            <w:r>
              <w:rPr>
                <w:sz w:val="18"/>
                <w:szCs w:val="18"/>
                <w:spacing w:val="-4"/>
              </w:rPr>
              <w:t>）</w:t>
            </w:r>
          </w:p>
        </w:tc>
        <w:tc>
          <w:tcPr>
            <w:tcW w:w="992" w:type="dxa"/>
            <w:vAlign w:val="top"/>
          </w:tcPr>
          <w:p>
            <w:pPr>
              <w:spacing w:line="324" w:lineRule="auto"/>
              <w:rPr>
                <w:rFonts w:ascii="Arial"/>
                <w:sz w:val="21"/>
              </w:rPr>
            </w:pPr>
            <w:r/>
          </w:p>
          <w:p>
            <w:pPr>
              <w:ind w:left="471"/>
              <w:spacing w:before="52"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1"/>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37.26-37.26</w:t>
            </w:r>
          </w:p>
          <w:p>
            <w:pPr>
              <w:pStyle w:val="TableText"/>
              <w:ind w:left="168"/>
              <w:spacing w:before="27" w:line="236" w:lineRule="auto"/>
              <w:rPr>
                <w:sz w:val="18"/>
                <w:szCs w:val="18"/>
              </w:rPr>
            </w:pPr>
            <w:r>
              <w:rPr>
                <w:rFonts w:ascii="Times New Roman" w:hAnsi="Times New Roman" w:eastAsia="Times New Roman" w:cs="Times New Roman"/>
                <w:sz w:val="18"/>
                <w:szCs w:val="18"/>
                <w:spacing w:val="-1"/>
              </w:rPr>
              <w:t>37.26</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1116" w:type="dxa"/>
            <w:vAlign w:val="top"/>
          </w:tcPr>
          <w:p>
            <w:pPr>
              <w:spacing w:line="324" w:lineRule="auto"/>
              <w:rPr>
                <w:rFonts w:ascii="Arial"/>
                <w:sz w:val="21"/>
              </w:rPr>
            </w:pPr>
            <w:r/>
          </w:p>
          <w:p>
            <w:pPr>
              <w:ind w:left="532"/>
              <w:spacing w:before="52"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983" w:type="dxa"/>
            <w:vAlign w:val="top"/>
          </w:tcPr>
          <w:p>
            <w:pPr>
              <w:pStyle w:val="TableText"/>
              <w:ind w:left="167" w:right="150" w:firstLine="78"/>
              <w:spacing w:before="41" w:line="223" w:lineRule="auto"/>
              <w:jc w:val="both"/>
              <w:rPr>
                <w:sz w:val="18"/>
                <w:szCs w:val="18"/>
              </w:rPr>
            </w:pPr>
            <w:r>
              <w:rPr>
                <w:rFonts w:ascii="Times New Roman" w:hAnsi="Times New Roman" w:eastAsia="Times New Roman" w:cs="Times New Roman"/>
                <w:sz w:val="18"/>
                <w:szCs w:val="18"/>
                <w:spacing w:val="-6"/>
              </w:rPr>
              <w:t>2</w:t>
            </w:r>
            <w:r>
              <w:rPr>
                <w:rFonts w:ascii="Times New Roman" w:hAnsi="Times New Roman" w:eastAsia="Times New Roman" w:cs="Times New Roman"/>
                <w:sz w:val="18"/>
                <w:szCs w:val="18"/>
                <w:spacing w:val="12"/>
                <w:w w:val="101"/>
              </w:rPr>
              <w:t xml:space="preserve"> </w:t>
            </w:r>
            <w:r>
              <w:rPr>
                <w:sz w:val="18"/>
                <w:szCs w:val="18"/>
                <w:spacing w:val="-6"/>
              </w:rPr>
              <w:t>个孔</w:t>
            </w:r>
            <w:r>
              <w:rPr>
                <w:sz w:val="18"/>
                <w:szCs w:val="18"/>
                <w:spacing w:val="-8"/>
              </w:rPr>
              <w:t>（</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15"/>
                <w:w w:val="102"/>
              </w:rPr>
              <w:t xml:space="preserve"> </w:t>
            </w:r>
            <w:r>
              <w:rPr>
                <w:sz w:val="18"/>
                <w:szCs w:val="18"/>
                <w:spacing w:val="-8"/>
              </w:rPr>
              <w:t>个未</w:t>
            </w:r>
            <w:r>
              <w:rPr>
                <w:sz w:val="18"/>
                <w:szCs w:val="18"/>
                <w:spacing w:val="16"/>
              </w:rPr>
              <w:t>见矿）</w:t>
            </w:r>
          </w:p>
        </w:tc>
        <w:tc>
          <w:tcPr>
            <w:tcW w:w="577" w:type="dxa"/>
            <w:vAlign w:val="top"/>
            <w:tcBorders>
              <w:right w:val="nil"/>
            </w:tcBorders>
          </w:tcPr>
          <w:p>
            <w:pPr>
              <w:pStyle w:val="TableText"/>
              <w:ind w:left="208" w:right="108" w:hanging="89"/>
              <w:spacing w:before="155" w:line="241" w:lineRule="auto"/>
              <w:rPr>
                <w:sz w:val="18"/>
                <w:szCs w:val="18"/>
              </w:rPr>
            </w:pPr>
            <w:r>
              <w:rPr>
                <w:sz w:val="18"/>
                <w:szCs w:val="18"/>
                <w:spacing w:val="-7"/>
              </w:rPr>
              <w:t>未动</w:t>
            </w:r>
            <w:r>
              <w:rPr>
                <w:sz w:val="18"/>
                <w:szCs w:val="18"/>
              </w:rPr>
              <w:t>用</w:t>
            </w:r>
          </w:p>
        </w:tc>
      </w:tr>
      <w:tr>
        <w:trPr>
          <w:trHeight w:val="703" w:hRule="atLeast"/>
        </w:trPr>
        <w:tc>
          <w:tcPr>
            <w:tcW w:w="473" w:type="dxa"/>
            <w:vAlign w:val="top"/>
            <w:tcBorders>
              <w:left w:val="nil"/>
              <w:bottom w:val="nil"/>
              <w:top w:val="nil"/>
            </w:tcBorders>
          </w:tcPr>
          <w:p>
            <w:pPr>
              <w:spacing w:line="258" w:lineRule="auto"/>
              <w:rPr>
                <w:rFonts w:ascii="Arial"/>
                <w:sz w:val="21"/>
              </w:rPr>
            </w:pPr>
            <w:r/>
          </w:p>
          <w:p>
            <w:pPr>
              <w:ind w:left="181"/>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II</w:t>
            </w:r>
          </w:p>
        </w:tc>
        <w:tc>
          <w:tcPr>
            <w:tcW w:w="553" w:type="dxa"/>
            <w:vAlign w:val="top"/>
          </w:tcPr>
          <w:p>
            <w:pPr>
              <w:spacing w:line="253" w:lineRule="auto"/>
              <w:rPr>
                <w:rFonts w:ascii="Arial"/>
                <w:sz w:val="21"/>
              </w:rPr>
            </w:pPr>
            <w:r/>
          </w:p>
          <w:p>
            <w:pPr>
              <w:ind w:left="236"/>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482" w:type="dxa"/>
            <w:vAlign w:val="top"/>
            <w:textDirection w:val="tbRlV"/>
          </w:tcPr>
          <w:p>
            <w:pPr>
              <w:pStyle w:val="TableText"/>
              <w:ind w:left="157"/>
              <w:spacing w:before="147" w:line="206" w:lineRule="auto"/>
              <w:rPr>
                <w:sz w:val="18"/>
                <w:szCs w:val="18"/>
              </w:rPr>
            </w:pPr>
            <w:r>
              <w:rPr>
                <w:sz w:val="18"/>
                <w:szCs w:val="18"/>
                <w:spacing w:val="28"/>
              </w:rPr>
              <w:t>萤石</w:t>
            </w:r>
          </w:p>
        </w:tc>
        <w:tc>
          <w:tcPr>
            <w:tcW w:w="728" w:type="dxa"/>
            <w:vAlign w:val="top"/>
          </w:tcPr>
          <w:p>
            <w:pPr>
              <w:spacing w:line="251" w:lineRule="auto"/>
              <w:rPr>
                <w:rFonts w:ascii="Arial"/>
                <w:sz w:val="21"/>
              </w:rPr>
            </w:pPr>
            <w:r/>
          </w:p>
          <w:p>
            <w:pPr>
              <w:ind w:left="27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92</w:t>
            </w:r>
          </w:p>
        </w:tc>
        <w:tc>
          <w:tcPr>
            <w:tcW w:w="1080" w:type="dxa"/>
            <w:vAlign w:val="top"/>
          </w:tcPr>
          <w:p>
            <w:pPr>
              <w:spacing w:line="251" w:lineRule="auto"/>
              <w:rPr>
                <w:rFonts w:ascii="Arial"/>
                <w:sz w:val="21"/>
              </w:rPr>
            </w:pPr>
            <w:r/>
          </w:p>
          <w:p>
            <w:pPr>
              <w:ind w:left="24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980-988</w:t>
            </w:r>
          </w:p>
        </w:tc>
        <w:tc>
          <w:tcPr>
            <w:tcW w:w="881" w:type="dxa"/>
            <w:vAlign w:val="top"/>
          </w:tcPr>
          <w:p>
            <w:pPr>
              <w:spacing w:line="251" w:lineRule="auto"/>
              <w:rPr>
                <w:rFonts w:ascii="Arial"/>
                <w:sz w:val="21"/>
              </w:rPr>
            </w:pPr>
            <w:r/>
          </w:p>
          <w:p>
            <w:pPr>
              <w:ind w:left="23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55-63</w:t>
            </w:r>
          </w:p>
        </w:tc>
        <w:tc>
          <w:tcPr>
            <w:tcW w:w="609" w:type="dxa"/>
            <w:vAlign w:val="top"/>
          </w:tcPr>
          <w:p>
            <w:pPr>
              <w:spacing w:line="251" w:lineRule="auto"/>
              <w:rPr>
                <w:rFonts w:ascii="Arial"/>
                <w:sz w:val="21"/>
              </w:rPr>
            </w:pPr>
            <w:r/>
          </w:p>
          <w:p>
            <w:pPr>
              <w:ind w:left="21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992" w:type="dxa"/>
            <w:vAlign w:val="top"/>
          </w:tcPr>
          <w:p>
            <w:pPr>
              <w:spacing w:line="251" w:lineRule="auto"/>
              <w:rPr>
                <w:rFonts w:ascii="Arial"/>
                <w:sz w:val="21"/>
              </w:rPr>
            </w:pPr>
            <w:r/>
          </w:p>
          <w:p>
            <w:pPr>
              <w:ind w:left="40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tc>
        <w:tc>
          <w:tcPr>
            <w:tcW w:w="1051" w:type="dxa"/>
            <w:vAlign w:val="top"/>
          </w:tcPr>
          <w:p>
            <w:pPr>
              <w:pStyle w:val="TableText"/>
              <w:ind w:left="263"/>
              <w:spacing w:before="170"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78"/>
              <w:spacing w:before="27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w:t>
            </w:r>
            <w:r>
              <w:rPr>
                <w:rFonts w:ascii="SimSun" w:hAnsi="SimSun" w:eastAsia="SimSun" w:cs="SimSun"/>
                <w:sz w:val="18"/>
                <w:szCs w:val="18"/>
                <w:spacing w:val="-4"/>
              </w:rPr>
              <w:t>∠</w:t>
            </w:r>
            <w:r>
              <w:rPr>
                <w:rFonts w:ascii="Times New Roman" w:hAnsi="Times New Roman" w:eastAsia="Times New Roman" w:cs="Times New Roman"/>
                <w:sz w:val="18"/>
                <w:szCs w:val="18"/>
                <w:spacing w:val="-4"/>
              </w:rPr>
              <w:t>23</w:t>
            </w:r>
          </w:p>
        </w:tc>
        <w:tc>
          <w:tcPr>
            <w:tcW w:w="1114" w:type="dxa"/>
            <w:vAlign w:val="top"/>
          </w:tcPr>
          <w:p>
            <w:pPr>
              <w:ind w:left="231"/>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1.65-1.65</w:t>
            </w:r>
          </w:p>
          <w:p>
            <w:pPr>
              <w:pStyle w:val="TableText"/>
              <w:ind w:left="192"/>
              <w:spacing w:before="27" w:line="236" w:lineRule="auto"/>
              <w:rPr>
                <w:sz w:val="18"/>
                <w:szCs w:val="18"/>
              </w:rPr>
            </w:pPr>
            <w:r>
              <w:rPr>
                <w:rFonts w:ascii="Times New Roman" w:hAnsi="Times New Roman" w:eastAsia="Times New Roman" w:cs="Times New Roman"/>
                <w:sz w:val="18"/>
                <w:szCs w:val="18"/>
                <w:spacing w:val="-4"/>
              </w:rPr>
              <w:t>1.65</w:t>
            </w:r>
            <w:r>
              <w:rPr>
                <w:sz w:val="18"/>
                <w:szCs w:val="18"/>
                <w:spacing w:val="-4"/>
              </w:rPr>
              <w:t>（</w:t>
            </w:r>
            <w:r>
              <w:rPr>
                <w:rFonts w:ascii="Times New Roman" w:hAnsi="Times New Roman" w:eastAsia="Times New Roman" w:cs="Times New Roman"/>
                <w:sz w:val="18"/>
                <w:szCs w:val="18"/>
                <w:spacing w:val="-4"/>
              </w:rPr>
              <w:t>2</w:t>
            </w:r>
            <w:r>
              <w:rPr>
                <w:sz w:val="18"/>
                <w:szCs w:val="18"/>
                <w:spacing w:val="-4"/>
              </w:rPr>
              <w:t>）</w:t>
            </w:r>
          </w:p>
        </w:tc>
        <w:tc>
          <w:tcPr>
            <w:tcW w:w="992" w:type="dxa"/>
            <w:vAlign w:val="top"/>
          </w:tcPr>
          <w:p>
            <w:pPr>
              <w:spacing w:line="326" w:lineRule="auto"/>
              <w:rPr>
                <w:rFonts w:ascii="Arial"/>
                <w:sz w:val="21"/>
              </w:rPr>
            </w:pPr>
            <w:r/>
          </w:p>
          <w:p>
            <w:pPr>
              <w:ind w:left="471"/>
              <w:spacing w:before="5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7"/>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29.32-29.32</w:t>
            </w:r>
          </w:p>
          <w:p>
            <w:pPr>
              <w:pStyle w:val="TableText"/>
              <w:ind w:left="164"/>
              <w:spacing w:before="27" w:line="236" w:lineRule="auto"/>
              <w:rPr>
                <w:sz w:val="18"/>
                <w:szCs w:val="18"/>
              </w:rPr>
            </w:pPr>
            <w:r>
              <w:rPr>
                <w:rFonts w:ascii="Times New Roman" w:hAnsi="Times New Roman" w:eastAsia="Times New Roman" w:cs="Times New Roman"/>
                <w:sz w:val="18"/>
                <w:szCs w:val="18"/>
                <w:spacing w:val="-1"/>
              </w:rPr>
              <w:t>29.32</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1116" w:type="dxa"/>
            <w:vAlign w:val="top"/>
          </w:tcPr>
          <w:p>
            <w:pPr>
              <w:spacing w:line="251" w:lineRule="auto"/>
              <w:rPr>
                <w:rFonts w:ascii="Arial"/>
                <w:sz w:val="21"/>
              </w:rPr>
            </w:pPr>
            <w:r/>
          </w:p>
          <w:p>
            <w:pPr>
              <w:ind w:left="37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14.03</w:t>
            </w:r>
          </w:p>
        </w:tc>
        <w:tc>
          <w:tcPr>
            <w:tcW w:w="983" w:type="dxa"/>
            <w:vAlign w:val="top"/>
          </w:tcPr>
          <w:p>
            <w:pPr>
              <w:pStyle w:val="TableText"/>
              <w:ind w:left="167" w:right="150" w:firstLine="78"/>
              <w:spacing w:before="40" w:line="223" w:lineRule="auto"/>
              <w:jc w:val="both"/>
              <w:rPr>
                <w:sz w:val="18"/>
                <w:szCs w:val="18"/>
              </w:rPr>
            </w:pPr>
            <w:r>
              <w:rPr>
                <w:rFonts w:ascii="Times New Roman" w:hAnsi="Times New Roman" w:eastAsia="Times New Roman" w:cs="Times New Roman"/>
                <w:sz w:val="18"/>
                <w:szCs w:val="18"/>
                <w:spacing w:val="-6"/>
              </w:rPr>
              <w:t>2</w:t>
            </w:r>
            <w:r>
              <w:rPr>
                <w:rFonts w:ascii="Times New Roman" w:hAnsi="Times New Roman" w:eastAsia="Times New Roman" w:cs="Times New Roman"/>
                <w:sz w:val="18"/>
                <w:szCs w:val="18"/>
                <w:spacing w:val="12"/>
                <w:w w:val="101"/>
              </w:rPr>
              <w:t xml:space="preserve"> </w:t>
            </w:r>
            <w:r>
              <w:rPr>
                <w:sz w:val="18"/>
                <w:szCs w:val="18"/>
                <w:spacing w:val="-6"/>
              </w:rPr>
              <w:t>个孔</w:t>
            </w:r>
            <w:r>
              <w:rPr>
                <w:sz w:val="18"/>
                <w:szCs w:val="18"/>
                <w:spacing w:val="-8"/>
              </w:rPr>
              <w:t>（</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15"/>
                <w:w w:val="102"/>
              </w:rPr>
              <w:t xml:space="preserve"> </w:t>
            </w:r>
            <w:r>
              <w:rPr>
                <w:sz w:val="18"/>
                <w:szCs w:val="18"/>
                <w:spacing w:val="-8"/>
              </w:rPr>
              <w:t>个未</w:t>
            </w:r>
            <w:r>
              <w:rPr>
                <w:sz w:val="18"/>
                <w:szCs w:val="18"/>
                <w:spacing w:val="16"/>
              </w:rPr>
              <w:t>见矿）</w:t>
            </w:r>
          </w:p>
        </w:tc>
        <w:tc>
          <w:tcPr>
            <w:tcW w:w="577" w:type="dxa"/>
            <w:vAlign w:val="top"/>
            <w:tcBorders>
              <w:right w:val="nil"/>
            </w:tcBorders>
          </w:tcPr>
          <w:p>
            <w:pPr>
              <w:pStyle w:val="TableText"/>
              <w:ind w:left="208" w:right="108" w:hanging="89"/>
              <w:spacing w:before="158"/>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240"/>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482" w:type="dxa"/>
            <w:vAlign w:val="top"/>
            <w:textDirection w:val="tbRlV"/>
          </w:tcPr>
          <w:p>
            <w:pPr>
              <w:pStyle w:val="TableText"/>
              <w:ind w:left="42"/>
              <w:spacing w:before="147" w:line="206" w:lineRule="auto"/>
              <w:rPr>
                <w:sz w:val="18"/>
                <w:szCs w:val="18"/>
              </w:rPr>
            </w:pPr>
            <w:r>
              <w:rPr>
                <w:sz w:val="18"/>
                <w:szCs w:val="18"/>
                <w:spacing w:val="28"/>
              </w:rPr>
              <w:t>萤石</w:t>
            </w:r>
          </w:p>
        </w:tc>
        <w:tc>
          <w:tcPr>
            <w:tcW w:w="728" w:type="dxa"/>
            <w:vAlign w:val="top"/>
          </w:tcPr>
          <w:p>
            <w:pPr>
              <w:ind w:left="279"/>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92</w:t>
            </w:r>
          </w:p>
        </w:tc>
        <w:tc>
          <w:tcPr>
            <w:tcW w:w="1080" w:type="dxa"/>
            <w:vAlign w:val="top"/>
          </w:tcPr>
          <w:p>
            <w:pPr>
              <w:ind w:left="248"/>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878-887</w:t>
            </w:r>
          </w:p>
        </w:tc>
        <w:tc>
          <w:tcPr>
            <w:tcW w:w="881" w:type="dxa"/>
            <w:vAlign w:val="top"/>
          </w:tcPr>
          <w:p>
            <w:pPr>
              <w:ind w:left="157"/>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156-164</w:t>
            </w:r>
          </w:p>
        </w:tc>
        <w:tc>
          <w:tcPr>
            <w:tcW w:w="609" w:type="dxa"/>
            <w:vAlign w:val="top"/>
          </w:tcPr>
          <w:p>
            <w:pPr>
              <w:ind w:left="219"/>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992" w:type="dxa"/>
            <w:vAlign w:val="top"/>
          </w:tcPr>
          <w:p>
            <w:pPr>
              <w:ind w:left="414"/>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81</w:t>
            </w:r>
          </w:p>
        </w:tc>
        <w:tc>
          <w:tcPr>
            <w:tcW w:w="1051" w:type="dxa"/>
            <w:vAlign w:val="top"/>
          </w:tcPr>
          <w:p>
            <w:pPr>
              <w:pStyle w:val="TableText"/>
              <w:ind w:left="263"/>
              <w:spacing w:before="55" w:line="224" w:lineRule="auto"/>
              <w:rPr>
                <w:sz w:val="18"/>
                <w:szCs w:val="18"/>
              </w:rPr>
            </w:pPr>
            <w:r>
              <w:rPr>
                <w:sz w:val="18"/>
                <w:szCs w:val="18"/>
                <w:spacing w:val="-4"/>
              </w:rPr>
              <w:t>透镜状</w:t>
            </w:r>
          </w:p>
          <w:p>
            <w:pPr>
              <w:ind w:left="483"/>
              <w:spacing w:before="30"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78"/>
              <w:spacing w:before="160"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w:t>
            </w:r>
            <w:r>
              <w:rPr>
                <w:rFonts w:ascii="SimSun" w:hAnsi="SimSun" w:eastAsia="SimSun" w:cs="SimSun"/>
                <w:sz w:val="18"/>
                <w:szCs w:val="18"/>
                <w:spacing w:val="-4"/>
              </w:rPr>
              <w:t>∠</w:t>
            </w:r>
            <w:r>
              <w:rPr>
                <w:rFonts w:ascii="Times New Roman" w:hAnsi="Times New Roman" w:eastAsia="Times New Roman" w:cs="Times New Roman"/>
                <w:sz w:val="18"/>
                <w:szCs w:val="18"/>
                <w:spacing w:val="-4"/>
              </w:rPr>
              <w:t>23</w:t>
            </w:r>
          </w:p>
        </w:tc>
        <w:tc>
          <w:tcPr>
            <w:tcW w:w="1114" w:type="dxa"/>
            <w:vAlign w:val="top"/>
          </w:tcPr>
          <w:p>
            <w:pPr>
              <w:ind w:left="216"/>
              <w:spacing w:before="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0.78-0.78</w:t>
            </w:r>
          </w:p>
          <w:p>
            <w:pPr>
              <w:pStyle w:val="TableText"/>
              <w:ind w:left="178"/>
              <w:spacing w:before="27" w:line="205" w:lineRule="auto"/>
              <w:rPr>
                <w:sz w:val="18"/>
                <w:szCs w:val="18"/>
              </w:rPr>
            </w:pPr>
            <w:r>
              <w:rPr>
                <w:rFonts w:ascii="Times New Roman" w:hAnsi="Times New Roman" w:eastAsia="Times New Roman" w:cs="Times New Roman"/>
                <w:sz w:val="18"/>
                <w:szCs w:val="18"/>
                <w:spacing w:val="-2"/>
              </w:rPr>
              <w:t>0.78</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64"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1"/>
              <w:spacing w:before="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36.22-36.22</w:t>
            </w:r>
          </w:p>
          <w:p>
            <w:pPr>
              <w:pStyle w:val="TableText"/>
              <w:ind w:left="168"/>
              <w:spacing w:before="27" w:line="205" w:lineRule="auto"/>
              <w:rPr>
                <w:sz w:val="18"/>
                <w:szCs w:val="18"/>
              </w:rPr>
            </w:pPr>
            <w:r>
              <w:rPr>
                <w:rFonts w:ascii="Times New Roman" w:hAnsi="Times New Roman" w:eastAsia="Times New Roman" w:cs="Times New Roman"/>
                <w:sz w:val="18"/>
                <w:szCs w:val="18"/>
                <w:spacing w:val="-1"/>
              </w:rPr>
              <w:t>36.22</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532"/>
              <w:spacing w:before="264"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983" w:type="dxa"/>
            <w:vAlign w:val="top"/>
          </w:tcPr>
          <w:p>
            <w:pPr>
              <w:pStyle w:val="TableText"/>
              <w:ind w:left="262"/>
              <w:spacing w:before="160" w:line="223" w:lineRule="auto"/>
              <w:rPr>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3"/>
              </w:rPr>
              <w:t xml:space="preserve"> </w:t>
            </w:r>
            <w:r>
              <w:rPr>
                <w:sz w:val="18"/>
                <w:szCs w:val="18"/>
                <w:spacing w:val="-12"/>
              </w:rPr>
              <w:t>个孔</w:t>
            </w:r>
          </w:p>
        </w:tc>
        <w:tc>
          <w:tcPr>
            <w:tcW w:w="577" w:type="dxa"/>
            <w:vAlign w:val="top"/>
            <w:tcBorders>
              <w:right w:val="nil"/>
            </w:tcBorders>
          </w:tcPr>
          <w:p>
            <w:pPr>
              <w:pStyle w:val="TableText"/>
              <w:ind w:left="208" w:right="108" w:hanging="89"/>
              <w:spacing w:before="43" w:line="214" w:lineRule="auto"/>
              <w:rPr>
                <w:sz w:val="18"/>
                <w:szCs w:val="18"/>
              </w:rPr>
            </w:pPr>
            <w:r>
              <w:rPr>
                <w:sz w:val="18"/>
                <w:szCs w:val="18"/>
                <w:spacing w:val="-7"/>
              </w:rPr>
              <w:t>未动</w:t>
            </w:r>
            <w:r>
              <w:rPr>
                <w:sz w:val="18"/>
                <w:szCs w:val="18"/>
              </w:rPr>
              <w:t>用</w:t>
            </w:r>
          </w:p>
        </w:tc>
      </w:tr>
      <w:tr>
        <w:trPr>
          <w:trHeight w:val="703" w:hRule="atLeast"/>
        </w:trPr>
        <w:tc>
          <w:tcPr>
            <w:tcW w:w="473" w:type="dxa"/>
            <w:vAlign w:val="top"/>
            <w:tcBorders>
              <w:left w:val="nil"/>
              <w:bottom w:val="nil"/>
              <w:top w:val="nil"/>
            </w:tcBorders>
          </w:tcPr>
          <w:p>
            <w:pPr>
              <w:rPr>
                <w:rFonts w:ascii="Arial"/>
                <w:sz w:val="21"/>
              </w:rPr>
            </w:pPr>
            <w:r/>
          </w:p>
        </w:tc>
        <w:tc>
          <w:tcPr>
            <w:tcW w:w="553" w:type="dxa"/>
            <w:vAlign w:val="top"/>
          </w:tcPr>
          <w:p>
            <w:pPr>
              <w:spacing w:line="255" w:lineRule="auto"/>
              <w:rPr>
                <w:rFonts w:ascii="Arial"/>
                <w:sz w:val="21"/>
              </w:rPr>
            </w:pPr>
            <w:r/>
          </w:p>
          <w:p>
            <w:pPr>
              <w:ind w:left="23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482" w:type="dxa"/>
            <w:vAlign w:val="top"/>
            <w:textDirection w:val="tbRlV"/>
          </w:tcPr>
          <w:p>
            <w:pPr>
              <w:pStyle w:val="TableText"/>
              <w:ind w:left="159"/>
              <w:spacing w:before="147" w:line="206" w:lineRule="auto"/>
              <w:rPr>
                <w:sz w:val="18"/>
                <w:szCs w:val="18"/>
              </w:rPr>
            </w:pPr>
            <w:r>
              <w:rPr>
                <w:sz w:val="18"/>
                <w:szCs w:val="18"/>
                <w:spacing w:val="28"/>
              </w:rPr>
              <w:t>萤石</w:t>
            </w:r>
          </w:p>
        </w:tc>
        <w:tc>
          <w:tcPr>
            <w:tcW w:w="728" w:type="dxa"/>
            <w:vAlign w:val="top"/>
          </w:tcPr>
          <w:p>
            <w:pPr>
              <w:spacing w:line="255" w:lineRule="auto"/>
              <w:rPr>
                <w:rFonts w:ascii="Arial"/>
                <w:sz w:val="21"/>
              </w:rPr>
            </w:pPr>
            <w:r/>
          </w:p>
          <w:p>
            <w:pPr>
              <w:ind w:left="15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60-61</w:t>
            </w:r>
          </w:p>
        </w:tc>
        <w:tc>
          <w:tcPr>
            <w:tcW w:w="1080" w:type="dxa"/>
            <w:vAlign w:val="top"/>
          </w:tcPr>
          <w:p>
            <w:pPr>
              <w:spacing w:line="255" w:lineRule="auto"/>
              <w:rPr>
                <w:rFonts w:ascii="Arial"/>
                <w:sz w:val="21"/>
              </w:rPr>
            </w:pPr>
            <w:r/>
          </w:p>
          <w:p>
            <w:pPr>
              <w:ind w:left="20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861-1051</w:t>
            </w:r>
          </w:p>
        </w:tc>
        <w:tc>
          <w:tcPr>
            <w:tcW w:w="881" w:type="dxa"/>
            <w:vAlign w:val="top"/>
          </w:tcPr>
          <w:p>
            <w:pPr>
              <w:spacing w:line="255" w:lineRule="auto"/>
              <w:rPr>
                <w:rFonts w:ascii="Arial"/>
                <w:sz w:val="21"/>
              </w:rPr>
            </w:pPr>
            <w:r/>
          </w:p>
          <w:p>
            <w:pPr>
              <w:ind w:left="23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0-190</w:t>
            </w:r>
          </w:p>
        </w:tc>
        <w:tc>
          <w:tcPr>
            <w:tcW w:w="609" w:type="dxa"/>
            <w:vAlign w:val="top"/>
          </w:tcPr>
          <w:p>
            <w:pPr>
              <w:spacing w:line="255" w:lineRule="auto"/>
              <w:rPr>
                <w:rFonts w:ascii="Arial"/>
                <w:sz w:val="21"/>
              </w:rPr>
            </w:pPr>
            <w:r/>
          </w:p>
          <w:p>
            <w:pPr>
              <w:ind w:left="17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612</w:t>
            </w:r>
          </w:p>
        </w:tc>
        <w:tc>
          <w:tcPr>
            <w:tcW w:w="992" w:type="dxa"/>
            <w:vAlign w:val="top"/>
          </w:tcPr>
          <w:p>
            <w:pPr>
              <w:spacing w:line="255" w:lineRule="auto"/>
              <w:rPr>
                <w:rFonts w:ascii="Arial"/>
                <w:sz w:val="21"/>
              </w:rPr>
            </w:pPr>
            <w:r/>
          </w:p>
          <w:p>
            <w:pPr>
              <w:ind w:left="37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187</w:t>
            </w:r>
          </w:p>
        </w:tc>
        <w:tc>
          <w:tcPr>
            <w:tcW w:w="1051" w:type="dxa"/>
            <w:vAlign w:val="top"/>
          </w:tcPr>
          <w:p>
            <w:pPr>
              <w:pStyle w:val="TableText"/>
              <w:ind w:left="354"/>
              <w:spacing w:before="173"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41"/>
              <w:spacing w:before="276"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50-89</w:t>
            </w:r>
          </w:p>
        </w:tc>
        <w:tc>
          <w:tcPr>
            <w:tcW w:w="1114" w:type="dxa"/>
            <w:vAlign w:val="top"/>
          </w:tcPr>
          <w:p>
            <w:pPr>
              <w:ind w:left="173"/>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0.29-11.71</w:t>
            </w:r>
          </w:p>
          <w:p>
            <w:pPr>
              <w:pStyle w:val="TableText"/>
              <w:ind w:left="130"/>
              <w:spacing w:before="27" w:line="236" w:lineRule="auto"/>
              <w:rPr>
                <w:sz w:val="18"/>
                <w:szCs w:val="18"/>
              </w:rPr>
            </w:pPr>
            <w:r>
              <w:rPr>
                <w:rFonts w:ascii="Times New Roman" w:hAnsi="Times New Roman" w:eastAsia="Times New Roman" w:cs="Times New Roman"/>
                <w:sz w:val="18"/>
                <w:szCs w:val="18"/>
                <w:spacing w:val="-1"/>
              </w:rPr>
              <w:t>2.71</w:t>
            </w:r>
            <w:r>
              <w:rPr>
                <w:sz w:val="18"/>
                <w:szCs w:val="18"/>
                <w:spacing w:val="-1"/>
              </w:rPr>
              <w:t>（</w:t>
            </w:r>
            <w:r>
              <w:rPr>
                <w:rFonts w:ascii="Times New Roman" w:hAnsi="Times New Roman" w:eastAsia="Times New Roman" w:cs="Times New Roman"/>
                <w:sz w:val="18"/>
                <w:szCs w:val="18"/>
                <w:spacing w:val="-1"/>
              </w:rPr>
              <w:t>56</w:t>
            </w:r>
            <w:r>
              <w:rPr>
                <w:sz w:val="18"/>
                <w:szCs w:val="18"/>
                <w:spacing w:val="-1"/>
              </w:rPr>
              <w:t>）</w:t>
            </w:r>
          </w:p>
        </w:tc>
        <w:tc>
          <w:tcPr>
            <w:tcW w:w="992" w:type="dxa"/>
            <w:vAlign w:val="top"/>
          </w:tcPr>
          <w:p>
            <w:pPr>
              <w:spacing w:line="255" w:lineRule="auto"/>
              <w:rPr>
                <w:rFonts w:ascii="Arial"/>
                <w:sz w:val="21"/>
              </w:rPr>
            </w:pPr>
            <w:r/>
          </w:p>
          <w:p>
            <w:pPr>
              <w:ind w:left="26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166.07</w:t>
            </w:r>
          </w:p>
        </w:tc>
        <w:tc>
          <w:tcPr>
            <w:tcW w:w="1184" w:type="dxa"/>
            <w:vAlign w:val="top"/>
          </w:tcPr>
          <w:p>
            <w:pPr>
              <w:ind w:left="157"/>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25.49-74.16</w:t>
            </w:r>
          </w:p>
          <w:p>
            <w:pPr>
              <w:pStyle w:val="TableText"/>
              <w:ind w:left="118"/>
              <w:spacing w:before="27" w:line="236" w:lineRule="auto"/>
              <w:rPr>
                <w:sz w:val="18"/>
                <w:szCs w:val="18"/>
              </w:rPr>
            </w:pPr>
            <w:r>
              <w:rPr>
                <w:rFonts w:ascii="Times New Roman" w:hAnsi="Times New Roman" w:eastAsia="Times New Roman" w:cs="Times New Roman"/>
                <w:sz w:val="18"/>
                <w:szCs w:val="18"/>
                <w:spacing w:val="-1"/>
              </w:rPr>
              <w:t>49.17</w:t>
            </w:r>
            <w:r>
              <w:rPr>
                <w:sz w:val="18"/>
                <w:szCs w:val="18"/>
                <w:spacing w:val="-1"/>
              </w:rPr>
              <w:t>（</w:t>
            </w:r>
            <w:r>
              <w:rPr>
                <w:rFonts w:ascii="Times New Roman" w:hAnsi="Times New Roman" w:eastAsia="Times New Roman" w:cs="Times New Roman"/>
                <w:sz w:val="18"/>
                <w:szCs w:val="18"/>
                <w:spacing w:val="-1"/>
              </w:rPr>
              <w:t>56</w:t>
            </w:r>
            <w:r>
              <w:rPr>
                <w:sz w:val="18"/>
                <w:szCs w:val="18"/>
                <w:spacing w:val="-1"/>
              </w:rPr>
              <w:t>）</w:t>
            </w:r>
          </w:p>
        </w:tc>
        <w:tc>
          <w:tcPr>
            <w:tcW w:w="1116" w:type="dxa"/>
            <w:vAlign w:val="top"/>
          </w:tcPr>
          <w:p>
            <w:pPr>
              <w:spacing w:line="255" w:lineRule="auto"/>
              <w:rPr>
                <w:rFonts w:ascii="Arial"/>
                <w:sz w:val="21"/>
              </w:rPr>
            </w:pPr>
            <w:r/>
          </w:p>
          <w:p>
            <w:pPr>
              <w:ind w:left="310"/>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274.90</w:t>
            </w:r>
          </w:p>
        </w:tc>
        <w:tc>
          <w:tcPr>
            <w:tcW w:w="983" w:type="dxa"/>
            <w:vAlign w:val="top"/>
          </w:tcPr>
          <w:p>
            <w:pPr>
              <w:pStyle w:val="TableText"/>
              <w:ind w:left="92"/>
              <w:spacing w:before="44"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53</w:t>
            </w:r>
            <w:r>
              <w:rPr>
                <w:rFonts w:ascii="Times New Roman" w:hAnsi="Times New Roman" w:eastAsia="Times New Roman" w:cs="Times New Roman"/>
                <w:sz w:val="18"/>
                <w:szCs w:val="18"/>
                <w:spacing w:val="13"/>
                <w:w w:val="101"/>
              </w:rPr>
              <w:t xml:space="preserve"> </w:t>
            </w:r>
            <w:r>
              <w:rPr>
                <w:sz w:val="18"/>
                <w:szCs w:val="18"/>
                <w:spacing w:val="-11"/>
              </w:rPr>
              <w:t>个孔（</w:t>
            </w:r>
            <w:r>
              <w:rPr>
                <w:rFonts w:ascii="Times New Roman" w:hAnsi="Times New Roman" w:eastAsia="Times New Roman" w:cs="Times New Roman"/>
                <w:sz w:val="18"/>
                <w:szCs w:val="18"/>
                <w:spacing w:val="-11"/>
              </w:rPr>
              <w:t>7</w:t>
            </w:r>
          </w:p>
          <w:p>
            <w:pPr>
              <w:pStyle w:val="TableText"/>
              <w:ind w:left="142"/>
              <w:spacing w:before="15" w:line="222" w:lineRule="auto"/>
              <w:rPr>
                <w:sz w:val="18"/>
                <w:szCs w:val="18"/>
              </w:rPr>
            </w:pPr>
            <w:r>
              <w:rPr>
                <w:sz w:val="18"/>
                <w:szCs w:val="18"/>
                <w:spacing w:val="-4"/>
              </w:rPr>
              <w:t>未见矿）</w:t>
            </w:r>
          </w:p>
          <w:p>
            <w:pPr>
              <w:pStyle w:val="TableText"/>
              <w:ind w:left="249"/>
              <w:spacing w:before="15" w:line="188" w:lineRule="auto"/>
              <w:rPr>
                <w:sz w:val="18"/>
                <w:szCs w:val="18"/>
              </w:rPr>
            </w:pPr>
            <w:r>
              <w:rPr>
                <w:rFonts w:ascii="Times New Roman" w:hAnsi="Times New Roman" w:eastAsia="Times New Roman" w:cs="Times New Roman"/>
                <w:sz w:val="18"/>
                <w:szCs w:val="18"/>
                <w:spacing w:val="-8"/>
              </w:rPr>
              <w:t>3</w:t>
            </w:r>
            <w:r>
              <w:rPr>
                <w:rFonts w:ascii="Times New Roman" w:hAnsi="Times New Roman" w:eastAsia="Times New Roman" w:cs="Times New Roman"/>
                <w:sz w:val="18"/>
                <w:szCs w:val="18"/>
                <w:spacing w:val="15"/>
              </w:rPr>
              <w:t xml:space="preserve"> </w:t>
            </w:r>
            <w:r>
              <w:rPr>
                <w:sz w:val="18"/>
                <w:szCs w:val="18"/>
                <w:spacing w:val="-8"/>
              </w:rPr>
              <w:t>条槽</w:t>
            </w:r>
          </w:p>
        </w:tc>
        <w:tc>
          <w:tcPr>
            <w:tcW w:w="577" w:type="dxa"/>
            <w:vAlign w:val="top"/>
            <w:tcBorders>
              <w:right w:val="nil"/>
            </w:tcBorders>
          </w:tcPr>
          <w:p>
            <w:pPr>
              <w:pStyle w:val="TableText"/>
              <w:ind w:left="208" w:right="108" w:hanging="89"/>
              <w:spacing w:before="158" w:line="241"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482" w:type="dxa"/>
            <w:vAlign w:val="top"/>
            <w:textDirection w:val="tbRlV"/>
          </w:tcPr>
          <w:p>
            <w:pPr>
              <w:pStyle w:val="TableText"/>
              <w:ind w:right="6"/>
              <w:spacing w:before="147" w:line="206" w:lineRule="auto"/>
              <w:jc w:val="right"/>
              <w:rPr>
                <w:sz w:val="18"/>
                <w:szCs w:val="18"/>
              </w:rPr>
            </w:pPr>
            <w:r>
              <w:rPr>
                <w:sz w:val="18"/>
                <w:szCs w:val="18"/>
                <w:spacing w:val="28"/>
              </w:rPr>
              <w:t>萤石</w:t>
            </w:r>
          </w:p>
        </w:tc>
        <w:tc>
          <w:tcPr>
            <w:tcW w:w="728" w:type="dxa"/>
            <w:vAlign w:val="top"/>
          </w:tcPr>
          <w:p>
            <w:pPr>
              <w:ind w:left="160"/>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54-61</w:t>
            </w:r>
          </w:p>
        </w:tc>
        <w:tc>
          <w:tcPr>
            <w:tcW w:w="1080" w:type="dxa"/>
            <w:vAlign w:val="top"/>
          </w:tcPr>
          <w:p>
            <w:pPr>
              <w:ind w:left="203"/>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870-1038</w:t>
            </w:r>
          </w:p>
        </w:tc>
        <w:tc>
          <w:tcPr>
            <w:tcW w:w="881" w:type="dxa"/>
            <w:vAlign w:val="top"/>
          </w:tcPr>
          <w:p>
            <w:pPr>
              <w:ind w:left="235"/>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6-168</w:t>
            </w:r>
          </w:p>
        </w:tc>
        <w:tc>
          <w:tcPr>
            <w:tcW w:w="609" w:type="dxa"/>
            <w:vAlign w:val="top"/>
          </w:tcPr>
          <w:p>
            <w:pPr>
              <w:ind w:left="172"/>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326</w:t>
            </w:r>
          </w:p>
        </w:tc>
        <w:tc>
          <w:tcPr>
            <w:tcW w:w="992" w:type="dxa"/>
            <w:vAlign w:val="top"/>
          </w:tcPr>
          <w:p>
            <w:pPr>
              <w:ind w:left="379"/>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160</w:t>
            </w:r>
          </w:p>
        </w:tc>
        <w:tc>
          <w:tcPr>
            <w:tcW w:w="1051" w:type="dxa"/>
            <w:vAlign w:val="top"/>
          </w:tcPr>
          <w:p>
            <w:pPr>
              <w:pStyle w:val="TableText"/>
              <w:ind w:left="354"/>
              <w:spacing w:before="58" w:line="224" w:lineRule="auto"/>
              <w:rPr>
                <w:sz w:val="18"/>
                <w:szCs w:val="18"/>
              </w:rPr>
            </w:pPr>
            <w:r>
              <w:rPr>
                <w:sz w:val="18"/>
                <w:szCs w:val="18"/>
                <w:spacing w:val="-6"/>
              </w:rPr>
              <w:t>脉状</w:t>
            </w:r>
          </w:p>
          <w:p>
            <w:pPr>
              <w:ind w:left="483"/>
              <w:spacing w:before="31"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41"/>
              <w:spacing w:before="16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40-82</w:t>
            </w:r>
          </w:p>
        </w:tc>
        <w:tc>
          <w:tcPr>
            <w:tcW w:w="1114" w:type="dxa"/>
            <w:vAlign w:val="top"/>
          </w:tcPr>
          <w:p>
            <w:pPr>
              <w:ind w:left="173"/>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0.42-11.97</w:t>
            </w:r>
          </w:p>
          <w:p>
            <w:pPr>
              <w:pStyle w:val="TableText"/>
              <w:ind w:left="133"/>
              <w:spacing w:before="27" w:line="200" w:lineRule="auto"/>
              <w:rPr>
                <w:sz w:val="18"/>
                <w:szCs w:val="18"/>
              </w:rPr>
            </w:pPr>
            <w:r>
              <w:rPr>
                <w:rFonts w:ascii="Times New Roman" w:hAnsi="Times New Roman" w:eastAsia="Times New Roman" w:cs="Times New Roman"/>
                <w:sz w:val="18"/>
                <w:szCs w:val="18"/>
                <w:spacing w:val="-1"/>
              </w:rPr>
              <w:t>3.36</w:t>
            </w:r>
            <w:r>
              <w:rPr>
                <w:sz w:val="18"/>
                <w:szCs w:val="18"/>
                <w:spacing w:val="-1"/>
              </w:rPr>
              <w:t>（</w:t>
            </w:r>
            <w:r>
              <w:rPr>
                <w:rFonts w:ascii="Times New Roman" w:hAnsi="Times New Roman" w:eastAsia="Times New Roman" w:cs="Times New Roman"/>
                <w:sz w:val="18"/>
                <w:szCs w:val="18"/>
                <w:spacing w:val="-1"/>
              </w:rPr>
              <w:t>25</w:t>
            </w:r>
            <w:r>
              <w:rPr>
                <w:sz w:val="18"/>
                <w:szCs w:val="18"/>
                <w:spacing w:val="-1"/>
              </w:rPr>
              <w:t>）</w:t>
            </w:r>
          </w:p>
        </w:tc>
        <w:tc>
          <w:tcPr>
            <w:tcW w:w="992" w:type="dxa"/>
            <w:vAlign w:val="top"/>
          </w:tcPr>
          <w:p>
            <w:pPr>
              <w:ind w:left="249"/>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224.84</w:t>
            </w:r>
          </w:p>
        </w:tc>
        <w:tc>
          <w:tcPr>
            <w:tcW w:w="1184" w:type="dxa"/>
            <w:vAlign w:val="top"/>
          </w:tcPr>
          <w:p>
            <w:pPr>
              <w:ind w:left="157"/>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25.81-73.49</w:t>
            </w:r>
          </w:p>
          <w:p>
            <w:pPr>
              <w:pStyle w:val="TableText"/>
              <w:ind w:left="118"/>
              <w:spacing w:before="27" w:line="200" w:lineRule="auto"/>
              <w:rPr>
                <w:sz w:val="18"/>
                <w:szCs w:val="18"/>
              </w:rPr>
            </w:pPr>
            <w:r>
              <w:rPr>
                <w:rFonts w:ascii="Times New Roman" w:hAnsi="Times New Roman" w:eastAsia="Times New Roman" w:cs="Times New Roman"/>
                <w:sz w:val="18"/>
                <w:szCs w:val="18"/>
                <w:spacing w:val="-3"/>
              </w:rPr>
              <w:t>42.</w:t>
            </w:r>
            <w:r>
              <w:rPr>
                <w:rFonts w:ascii="Times New Roman" w:hAnsi="Times New Roman" w:eastAsia="Times New Roman" w:cs="Times New Roman"/>
                <w:sz w:val="18"/>
                <w:szCs w:val="18"/>
                <w:spacing w:val="-21"/>
              </w:rPr>
              <w:t xml:space="preserve"> </w:t>
            </w:r>
            <w:r>
              <w:rPr>
                <w:rFonts w:ascii="Times New Roman" w:hAnsi="Times New Roman" w:eastAsia="Times New Roman" w:cs="Times New Roman"/>
                <w:sz w:val="18"/>
                <w:szCs w:val="18"/>
                <w:spacing w:val="-3"/>
              </w:rPr>
              <w:t>12</w:t>
            </w:r>
            <w:r>
              <w:rPr>
                <w:sz w:val="18"/>
                <w:szCs w:val="18"/>
                <w:spacing w:val="-3"/>
              </w:rPr>
              <w:t>（</w:t>
            </w:r>
            <w:r>
              <w:rPr>
                <w:rFonts w:ascii="Times New Roman" w:hAnsi="Times New Roman" w:eastAsia="Times New Roman" w:cs="Times New Roman"/>
                <w:sz w:val="18"/>
                <w:szCs w:val="18"/>
                <w:spacing w:val="-3"/>
              </w:rPr>
              <w:t>25</w:t>
            </w:r>
            <w:r>
              <w:rPr>
                <w:sz w:val="18"/>
                <w:szCs w:val="18"/>
                <w:spacing w:val="-3"/>
              </w:rPr>
              <w:t>）</w:t>
            </w:r>
          </w:p>
        </w:tc>
        <w:tc>
          <w:tcPr>
            <w:tcW w:w="1116" w:type="dxa"/>
            <w:vAlign w:val="top"/>
          </w:tcPr>
          <w:p>
            <w:pPr>
              <w:ind w:left="314"/>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386.23</w:t>
            </w:r>
          </w:p>
        </w:tc>
        <w:tc>
          <w:tcPr>
            <w:tcW w:w="983" w:type="dxa"/>
            <w:vAlign w:val="top"/>
          </w:tcPr>
          <w:p>
            <w:pPr>
              <w:pStyle w:val="TableText"/>
              <w:ind w:left="142" w:right="82" w:hanging="55"/>
              <w:spacing w:before="46" w:line="212" w:lineRule="auto"/>
              <w:rPr>
                <w:sz w:val="18"/>
                <w:szCs w:val="18"/>
              </w:rPr>
            </w:pPr>
            <w:r>
              <w:rPr>
                <w:rFonts w:ascii="Times New Roman" w:hAnsi="Times New Roman" w:eastAsia="Times New Roman" w:cs="Times New Roman"/>
                <w:sz w:val="18"/>
                <w:szCs w:val="18"/>
                <w:spacing w:val="-10"/>
              </w:rPr>
              <w:t>25</w:t>
            </w:r>
            <w:r>
              <w:rPr>
                <w:rFonts w:ascii="Times New Roman" w:hAnsi="Times New Roman" w:eastAsia="Times New Roman" w:cs="Times New Roman"/>
                <w:sz w:val="18"/>
                <w:szCs w:val="18"/>
                <w:spacing w:val="12"/>
                <w:w w:val="101"/>
              </w:rPr>
              <w:t xml:space="preserve"> </w:t>
            </w:r>
            <w:r>
              <w:rPr>
                <w:sz w:val="18"/>
                <w:szCs w:val="18"/>
                <w:spacing w:val="-10"/>
              </w:rPr>
              <w:t>个孔（</w:t>
            </w:r>
            <w:r>
              <w:rPr>
                <w:rFonts w:ascii="Times New Roman" w:hAnsi="Times New Roman" w:eastAsia="Times New Roman" w:cs="Times New Roman"/>
                <w:sz w:val="18"/>
                <w:szCs w:val="18"/>
                <w:spacing w:val="-10"/>
              </w:rPr>
              <w:t>4</w:t>
            </w:r>
            <w:r>
              <w:rPr>
                <w:sz w:val="18"/>
                <w:szCs w:val="18"/>
                <w:spacing w:val="-4"/>
              </w:rPr>
              <w:t>未见矿）</w:t>
            </w:r>
          </w:p>
        </w:tc>
        <w:tc>
          <w:tcPr>
            <w:tcW w:w="577" w:type="dxa"/>
            <w:vAlign w:val="top"/>
            <w:tcBorders>
              <w:right w:val="nil"/>
            </w:tcBorders>
          </w:tcPr>
          <w:p>
            <w:pPr>
              <w:pStyle w:val="TableText"/>
              <w:ind w:left="208" w:right="108" w:hanging="89"/>
              <w:spacing w:before="46" w:line="212"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07"/>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482" w:type="dxa"/>
            <w:vAlign w:val="top"/>
            <w:textDirection w:val="tbRlV"/>
          </w:tcPr>
          <w:p>
            <w:pPr>
              <w:pStyle w:val="TableText"/>
              <w:ind w:right="3"/>
              <w:spacing w:before="147" w:line="206" w:lineRule="auto"/>
              <w:jc w:val="right"/>
              <w:rPr>
                <w:sz w:val="18"/>
                <w:szCs w:val="18"/>
              </w:rPr>
            </w:pPr>
            <w:r>
              <w:rPr>
                <w:sz w:val="18"/>
                <w:szCs w:val="18"/>
                <w:spacing w:val="28"/>
              </w:rPr>
              <w:t>萤石</w:t>
            </w:r>
          </w:p>
        </w:tc>
        <w:tc>
          <w:tcPr>
            <w:tcW w:w="728" w:type="dxa"/>
            <w:vAlign w:val="top"/>
          </w:tcPr>
          <w:p>
            <w:pPr>
              <w:ind w:left="16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50-57</w:t>
            </w:r>
          </w:p>
        </w:tc>
        <w:tc>
          <w:tcPr>
            <w:tcW w:w="1080" w:type="dxa"/>
            <w:vAlign w:val="top"/>
          </w:tcPr>
          <w:p>
            <w:pPr>
              <w:ind w:left="19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937-1043</w:t>
            </w:r>
          </w:p>
        </w:tc>
        <w:tc>
          <w:tcPr>
            <w:tcW w:w="881" w:type="dxa"/>
            <w:vAlign w:val="top"/>
          </w:tcPr>
          <w:p>
            <w:pPr>
              <w:ind w:left="18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26-132</w:t>
            </w:r>
          </w:p>
        </w:tc>
        <w:tc>
          <w:tcPr>
            <w:tcW w:w="609" w:type="dxa"/>
            <w:vAlign w:val="top"/>
          </w:tcPr>
          <w:p>
            <w:pPr>
              <w:ind w:left="18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140</w:t>
            </w:r>
          </w:p>
        </w:tc>
        <w:tc>
          <w:tcPr>
            <w:tcW w:w="992" w:type="dxa"/>
            <w:vAlign w:val="top"/>
          </w:tcPr>
          <w:p>
            <w:pPr>
              <w:ind w:left="381"/>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tc>
        <w:tc>
          <w:tcPr>
            <w:tcW w:w="1051" w:type="dxa"/>
            <w:vAlign w:val="top"/>
          </w:tcPr>
          <w:p>
            <w:pPr>
              <w:pStyle w:val="TableText"/>
              <w:ind w:left="354"/>
              <w:spacing w:before="61" w:line="224" w:lineRule="auto"/>
              <w:rPr>
                <w:sz w:val="18"/>
                <w:szCs w:val="18"/>
              </w:rPr>
            </w:pPr>
            <w:r>
              <w:rPr>
                <w:sz w:val="18"/>
                <w:szCs w:val="18"/>
                <w:spacing w:val="-6"/>
              </w:rPr>
              <w:t>脉状</w:t>
            </w:r>
          </w:p>
          <w:p>
            <w:pPr>
              <w:ind w:left="483"/>
              <w:spacing w:before="31"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169"/>
              <w:spacing w:before="164"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47-80°</w:t>
            </w:r>
          </w:p>
        </w:tc>
        <w:tc>
          <w:tcPr>
            <w:tcW w:w="1114" w:type="dxa"/>
            <w:vAlign w:val="top"/>
          </w:tcPr>
          <w:p>
            <w:pPr>
              <w:ind w:left="216"/>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0.80-8.39</w:t>
            </w:r>
          </w:p>
          <w:p>
            <w:pPr>
              <w:pStyle w:val="TableText"/>
              <w:ind w:left="174"/>
              <w:spacing w:before="27" w:line="197" w:lineRule="auto"/>
              <w:rPr>
                <w:sz w:val="18"/>
                <w:szCs w:val="18"/>
              </w:rPr>
            </w:pPr>
            <w:r>
              <w:rPr>
                <w:rFonts w:ascii="Times New Roman" w:hAnsi="Times New Roman" w:eastAsia="Times New Roman" w:cs="Times New Roman"/>
                <w:sz w:val="18"/>
                <w:szCs w:val="18"/>
                <w:spacing w:val="-1"/>
              </w:rPr>
              <w:t>4.04</w:t>
            </w:r>
            <w:r>
              <w:rPr>
                <w:sz w:val="18"/>
                <w:szCs w:val="18"/>
                <w:spacing w:val="-1"/>
              </w:rPr>
              <w:t>（</w:t>
            </w:r>
            <w:r>
              <w:rPr>
                <w:rFonts w:ascii="Times New Roman" w:hAnsi="Times New Roman" w:eastAsia="Times New Roman" w:cs="Times New Roman"/>
                <w:sz w:val="18"/>
                <w:szCs w:val="18"/>
                <w:spacing w:val="-1"/>
              </w:rPr>
              <w:t>8</w:t>
            </w:r>
            <w:r>
              <w:rPr>
                <w:sz w:val="18"/>
                <w:szCs w:val="18"/>
                <w:spacing w:val="-1"/>
              </w:rPr>
              <w:t>）</w:t>
            </w:r>
          </w:p>
        </w:tc>
        <w:tc>
          <w:tcPr>
            <w:tcW w:w="992" w:type="dxa"/>
            <w:vAlign w:val="top"/>
          </w:tcPr>
          <w:p>
            <w:pPr>
              <w:ind w:left="31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182.6</w:t>
            </w:r>
          </w:p>
        </w:tc>
        <w:tc>
          <w:tcPr>
            <w:tcW w:w="1184" w:type="dxa"/>
            <w:vAlign w:val="top"/>
          </w:tcPr>
          <w:p>
            <w:pPr>
              <w:ind w:left="157"/>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22.31-54.65</w:t>
            </w:r>
          </w:p>
          <w:p>
            <w:pPr>
              <w:pStyle w:val="TableText"/>
              <w:ind w:left="163"/>
              <w:spacing w:before="27" w:line="197" w:lineRule="auto"/>
              <w:rPr>
                <w:sz w:val="18"/>
                <w:szCs w:val="18"/>
              </w:rPr>
            </w:pPr>
            <w:r>
              <w:rPr>
                <w:rFonts w:ascii="Times New Roman" w:hAnsi="Times New Roman" w:eastAsia="Times New Roman" w:cs="Times New Roman"/>
                <w:sz w:val="18"/>
                <w:szCs w:val="18"/>
                <w:spacing w:val="-1"/>
              </w:rPr>
              <w:t>45.96</w:t>
            </w:r>
            <w:r>
              <w:rPr>
                <w:sz w:val="18"/>
                <w:szCs w:val="18"/>
                <w:spacing w:val="-1"/>
              </w:rPr>
              <w:t>（</w:t>
            </w:r>
            <w:r>
              <w:rPr>
                <w:rFonts w:ascii="Times New Roman" w:hAnsi="Times New Roman" w:eastAsia="Times New Roman" w:cs="Times New Roman"/>
                <w:sz w:val="18"/>
                <w:szCs w:val="18"/>
                <w:spacing w:val="-1"/>
              </w:rPr>
              <w:t>8</w:t>
            </w:r>
            <w:r>
              <w:rPr>
                <w:sz w:val="18"/>
                <w:szCs w:val="18"/>
                <w:spacing w:val="-1"/>
              </w:rPr>
              <w:t>）</w:t>
            </w:r>
          </w:p>
        </w:tc>
        <w:tc>
          <w:tcPr>
            <w:tcW w:w="1116" w:type="dxa"/>
            <w:vAlign w:val="top"/>
          </w:tcPr>
          <w:p>
            <w:pPr>
              <w:ind w:left="31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269.24</w:t>
            </w:r>
          </w:p>
        </w:tc>
        <w:tc>
          <w:tcPr>
            <w:tcW w:w="983" w:type="dxa"/>
            <w:vAlign w:val="top"/>
          </w:tcPr>
          <w:p>
            <w:pPr>
              <w:pStyle w:val="TableText"/>
              <w:ind w:left="230" w:right="83" w:hanging="126"/>
              <w:spacing w:before="48" w:line="211" w:lineRule="auto"/>
              <w:rPr>
                <w:sz w:val="18"/>
                <w:szCs w:val="18"/>
              </w:rPr>
            </w:pPr>
            <w:r>
              <w:rPr>
                <w:rFonts w:ascii="Times New Roman" w:hAnsi="Times New Roman" w:eastAsia="Times New Roman" w:cs="Times New Roman"/>
                <w:sz w:val="18"/>
                <w:szCs w:val="18"/>
                <w:spacing w:val="-13"/>
              </w:rPr>
              <w:t>14</w:t>
            </w:r>
            <w:r>
              <w:rPr>
                <w:sz w:val="18"/>
                <w:szCs w:val="18"/>
                <w:spacing w:val="-13"/>
              </w:rPr>
              <w:t>（</w:t>
            </w:r>
            <w:r>
              <w:rPr>
                <w:rFonts w:ascii="Times New Roman" w:hAnsi="Times New Roman" w:eastAsia="Times New Roman" w:cs="Times New Roman"/>
                <w:sz w:val="18"/>
                <w:szCs w:val="18"/>
                <w:spacing w:val="-13"/>
              </w:rPr>
              <w:t>6</w:t>
            </w:r>
            <w:r>
              <w:rPr>
                <w:rFonts w:ascii="Times New Roman" w:hAnsi="Times New Roman" w:eastAsia="Times New Roman" w:cs="Times New Roman"/>
                <w:sz w:val="18"/>
                <w:szCs w:val="18"/>
                <w:spacing w:val="12"/>
              </w:rPr>
              <w:t xml:space="preserve"> </w:t>
            </w:r>
            <w:r>
              <w:rPr>
                <w:sz w:val="18"/>
                <w:szCs w:val="18"/>
                <w:spacing w:val="-13"/>
              </w:rPr>
              <w:t>个未</w:t>
            </w:r>
            <w:r>
              <w:rPr>
                <w:sz w:val="18"/>
                <w:szCs w:val="18"/>
                <w:spacing w:val="-5"/>
              </w:rPr>
              <w:t>见矿）</w:t>
            </w:r>
          </w:p>
        </w:tc>
        <w:tc>
          <w:tcPr>
            <w:tcW w:w="577" w:type="dxa"/>
            <w:vAlign w:val="top"/>
            <w:tcBorders>
              <w:right w:val="nil"/>
            </w:tcBorders>
          </w:tcPr>
          <w:p>
            <w:pPr>
              <w:pStyle w:val="TableText"/>
              <w:ind w:left="208" w:right="108" w:hanging="89"/>
              <w:spacing w:before="48" w:line="211" w:lineRule="auto"/>
              <w:rPr>
                <w:sz w:val="18"/>
                <w:szCs w:val="18"/>
              </w:rPr>
            </w:pPr>
            <w:r>
              <w:rPr>
                <w:sz w:val="18"/>
                <w:szCs w:val="18"/>
                <w:spacing w:val="-7"/>
              </w:rPr>
              <w:t>未动</w:t>
            </w:r>
            <w:r>
              <w:rPr>
                <w:sz w:val="18"/>
                <w:szCs w:val="18"/>
              </w:rPr>
              <w:t>用</w:t>
            </w:r>
          </w:p>
        </w:tc>
      </w:tr>
      <w:tr>
        <w:trPr>
          <w:trHeight w:val="492" w:hRule="atLeast"/>
        </w:trPr>
        <w:tc>
          <w:tcPr>
            <w:tcW w:w="473" w:type="dxa"/>
            <w:vAlign w:val="top"/>
            <w:tcBorders>
              <w:left w:val="nil"/>
              <w:top w:val="nil"/>
              <w:bottom w:val="single" w:color="000000" w:sz="10" w:space="0"/>
            </w:tcBorders>
          </w:tcPr>
          <w:p>
            <w:pPr>
              <w:rPr>
                <w:rFonts w:ascii="Arial"/>
                <w:sz w:val="21"/>
              </w:rPr>
            </w:pPr>
            <w:r/>
          </w:p>
        </w:tc>
        <w:tc>
          <w:tcPr>
            <w:tcW w:w="553" w:type="dxa"/>
            <w:vAlign w:val="top"/>
            <w:tcBorders>
              <w:bottom w:val="single" w:color="000000" w:sz="10" w:space="0"/>
            </w:tcBorders>
          </w:tcPr>
          <w:p>
            <w:pPr>
              <w:ind w:left="204"/>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482" w:type="dxa"/>
            <w:vAlign w:val="top"/>
            <w:textDirection w:val="tbRlV"/>
            <w:tcBorders>
              <w:bottom w:val="single" w:color="000000" w:sz="10" w:space="0"/>
            </w:tcBorders>
          </w:tcPr>
          <w:p>
            <w:pPr>
              <w:pStyle w:val="TableText"/>
              <w:ind w:left="49"/>
              <w:spacing w:before="147" w:line="206" w:lineRule="auto"/>
              <w:rPr>
                <w:sz w:val="18"/>
                <w:szCs w:val="18"/>
              </w:rPr>
            </w:pPr>
            <w:r>
              <w:rPr>
                <w:sz w:val="18"/>
                <w:szCs w:val="18"/>
                <w:spacing w:val="28"/>
              </w:rPr>
              <w:t>萤石</w:t>
            </w:r>
          </w:p>
        </w:tc>
        <w:tc>
          <w:tcPr>
            <w:tcW w:w="728" w:type="dxa"/>
            <w:vAlign w:val="top"/>
            <w:tcBorders>
              <w:bottom w:val="single" w:color="000000" w:sz="10" w:space="0"/>
            </w:tcBorders>
          </w:tcPr>
          <w:p>
            <w:pPr>
              <w:ind w:left="160"/>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50-53</w:t>
            </w:r>
          </w:p>
        </w:tc>
        <w:tc>
          <w:tcPr>
            <w:tcW w:w="1080" w:type="dxa"/>
            <w:vAlign w:val="top"/>
            <w:tcBorders>
              <w:bottom w:val="single" w:color="000000" w:sz="10" w:space="0"/>
            </w:tcBorders>
          </w:tcPr>
          <w:p>
            <w:pPr>
              <w:ind w:left="19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913-1044</w:t>
            </w:r>
          </w:p>
        </w:tc>
        <w:tc>
          <w:tcPr>
            <w:tcW w:w="881" w:type="dxa"/>
            <w:vAlign w:val="top"/>
            <w:tcBorders>
              <w:bottom w:val="single" w:color="000000" w:sz="10" w:space="0"/>
            </w:tcBorders>
          </w:tcPr>
          <w:p>
            <w:pPr>
              <w:ind w:left="234"/>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0-131</w:t>
            </w:r>
          </w:p>
        </w:tc>
        <w:tc>
          <w:tcPr>
            <w:tcW w:w="609" w:type="dxa"/>
            <w:vAlign w:val="top"/>
            <w:tcBorders>
              <w:bottom w:val="single" w:color="000000" w:sz="10" w:space="0"/>
            </w:tcBorders>
          </w:tcPr>
          <w:p>
            <w:pPr>
              <w:ind w:left="186"/>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149</w:t>
            </w:r>
          </w:p>
        </w:tc>
        <w:tc>
          <w:tcPr>
            <w:tcW w:w="992" w:type="dxa"/>
            <w:vAlign w:val="top"/>
            <w:tcBorders>
              <w:bottom w:val="single" w:color="000000" w:sz="10" w:space="0"/>
            </w:tcBorders>
          </w:tcPr>
          <w:p>
            <w:pPr>
              <w:ind w:left="37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139</w:t>
            </w:r>
          </w:p>
        </w:tc>
        <w:tc>
          <w:tcPr>
            <w:tcW w:w="1051" w:type="dxa"/>
            <w:vAlign w:val="top"/>
            <w:tcBorders>
              <w:bottom w:val="single" w:color="000000" w:sz="10" w:space="0"/>
            </w:tcBorders>
          </w:tcPr>
          <w:p>
            <w:pPr>
              <w:pStyle w:val="TableText"/>
              <w:ind w:left="354"/>
              <w:spacing w:before="61" w:line="224" w:lineRule="auto"/>
              <w:rPr>
                <w:sz w:val="18"/>
                <w:szCs w:val="18"/>
              </w:rPr>
            </w:pPr>
            <w:r>
              <w:rPr>
                <w:sz w:val="18"/>
                <w:szCs w:val="18"/>
                <w:spacing w:val="-6"/>
              </w:rPr>
              <w:t>脉状</w:t>
            </w:r>
          </w:p>
          <w:p>
            <w:pPr>
              <w:ind w:left="498"/>
              <w:spacing w:before="3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52" w:type="dxa"/>
            <w:vAlign w:val="top"/>
            <w:tcBorders>
              <w:bottom w:val="single" w:color="000000" w:sz="10" w:space="0"/>
            </w:tcBorders>
          </w:tcPr>
          <w:p>
            <w:pPr>
              <w:ind w:left="169"/>
              <w:spacing w:before="166"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55-75°</w:t>
            </w:r>
          </w:p>
        </w:tc>
        <w:tc>
          <w:tcPr>
            <w:tcW w:w="1114" w:type="dxa"/>
            <w:vAlign w:val="top"/>
            <w:tcBorders>
              <w:bottom w:val="single" w:color="000000" w:sz="10" w:space="0"/>
            </w:tcBorders>
          </w:tcPr>
          <w:p>
            <w:pPr>
              <w:ind w:left="231"/>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1.27-4.93</w:t>
            </w:r>
          </w:p>
          <w:p>
            <w:pPr>
              <w:pStyle w:val="TableText"/>
              <w:ind w:left="175"/>
              <w:spacing w:before="26" w:line="220" w:lineRule="auto"/>
              <w:rPr>
                <w:sz w:val="18"/>
                <w:szCs w:val="18"/>
              </w:rPr>
            </w:pPr>
            <w:r>
              <w:rPr>
                <w:rFonts w:ascii="Times New Roman" w:hAnsi="Times New Roman" w:eastAsia="Times New Roman" w:cs="Times New Roman"/>
                <w:sz w:val="18"/>
                <w:szCs w:val="18"/>
                <w:spacing w:val="-1"/>
              </w:rPr>
              <w:t>2.42</w:t>
            </w:r>
            <w:r>
              <w:rPr>
                <w:sz w:val="18"/>
                <w:szCs w:val="18"/>
                <w:spacing w:val="-1"/>
              </w:rPr>
              <w:t>（</w:t>
            </w:r>
            <w:r>
              <w:rPr>
                <w:rFonts w:ascii="Times New Roman" w:hAnsi="Times New Roman" w:eastAsia="Times New Roman" w:cs="Times New Roman"/>
                <w:sz w:val="18"/>
                <w:szCs w:val="18"/>
                <w:spacing w:val="-1"/>
              </w:rPr>
              <w:t>9</w:t>
            </w:r>
            <w:r>
              <w:rPr>
                <w:sz w:val="18"/>
                <w:szCs w:val="18"/>
                <w:spacing w:val="-1"/>
              </w:rPr>
              <w:t>）</w:t>
            </w:r>
          </w:p>
        </w:tc>
        <w:tc>
          <w:tcPr>
            <w:tcW w:w="992" w:type="dxa"/>
            <w:vAlign w:val="top"/>
            <w:tcBorders>
              <w:bottom w:val="single" w:color="000000" w:sz="10" w:space="0"/>
            </w:tcBorders>
          </w:tcPr>
          <w:p>
            <w:pPr>
              <w:ind w:left="298"/>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73.77</w:t>
            </w:r>
          </w:p>
        </w:tc>
        <w:tc>
          <w:tcPr>
            <w:tcW w:w="1184" w:type="dxa"/>
            <w:vAlign w:val="top"/>
            <w:tcBorders>
              <w:bottom w:val="single" w:color="000000" w:sz="10" w:space="0"/>
            </w:tcBorders>
          </w:tcPr>
          <w:p>
            <w:pPr>
              <w:ind w:left="161"/>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39.21-87.50</w:t>
            </w:r>
          </w:p>
          <w:p>
            <w:pPr>
              <w:pStyle w:val="TableText"/>
              <w:ind w:left="169"/>
              <w:spacing w:before="26" w:line="220" w:lineRule="auto"/>
              <w:rPr>
                <w:sz w:val="18"/>
                <w:szCs w:val="18"/>
              </w:rPr>
            </w:pPr>
            <w:r>
              <w:rPr>
                <w:rFonts w:ascii="Times New Roman" w:hAnsi="Times New Roman" w:eastAsia="Times New Roman" w:cs="Times New Roman"/>
                <w:sz w:val="18"/>
                <w:szCs w:val="18"/>
                <w:spacing w:val="-2"/>
              </w:rPr>
              <w:t>54.32</w:t>
            </w:r>
            <w:r>
              <w:rPr>
                <w:sz w:val="18"/>
                <w:szCs w:val="18"/>
                <w:spacing w:val="-2"/>
              </w:rPr>
              <w:t>（</w:t>
            </w:r>
            <w:r>
              <w:rPr>
                <w:rFonts w:ascii="Times New Roman" w:hAnsi="Times New Roman" w:eastAsia="Times New Roman" w:cs="Times New Roman"/>
                <w:sz w:val="18"/>
                <w:szCs w:val="18"/>
                <w:spacing w:val="-2"/>
              </w:rPr>
              <w:t>9</w:t>
            </w:r>
            <w:r>
              <w:rPr>
                <w:sz w:val="18"/>
                <w:szCs w:val="18"/>
                <w:spacing w:val="-2"/>
              </w:rPr>
              <w:t>）</w:t>
            </w:r>
          </w:p>
        </w:tc>
        <w:tc>
          <w:tcPr>
            <w:tcW w:w="1116" w:type="dxa"/>
            <w:vAlign w:val="top"/>
            <w:tcBorders>
              <w:bottom w:val="single" w:color="000000" w:sz="10" w:space="0"/>
            </w:tcBorders>
          </w:tcPr>
          <w:p>
            <w:pPr>
              <w:ind w:left="314"/>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670.41</w:t>
            </w:r>
          </w:p>
        </w:tc>
        <w:tc>
          <w:tcPr>
            <w:tcW w:w="983" w:type="dxa"/>
            <w:vAlign w:val="top"/>
            <w:tcBorders>
              <w:bottom w:val="single" w:color="000000" w:sz="10" w:space="0"/>
            </w:tcBorders>
          </w:tcPr>
          <w:p>
            <w:pPr>
              <w:pStyle w:val="TableText"/>
              <w:ind w:left="230" w:right="83" w:hanging="126"/>
              <w:spacing w:before="49" w:line="222" w:lineRule="auto"/>
              <w:rPr>
                <w:sz w:val="18"/>
                <w:szCs w:val="18"/>
              </w:rPr>
            </w:pPr>
            <w:r>
              <w:rPr>
                <w:rFonts w:ascii="Times New Roman" w:hAnsi="Times New Roman" w:eastAsia="Times New Roman" w:cs="Times New Roman"/>
                <w:sz w:val="18"/>
                <w:szCs w:val="18"/>
                <w:spacing w:val="-13"/>
              </w:rPr>
              <w:t>12</w:t>
            </w:r>
            <w:r>
              <w:rPr>
                <w:sz w:val="18"/>
                <w:szCs w:val="18"/>
                <w:spacing w:val="-13"/>
              </w:rPr>
              <w:t>（</w:t>
            </w:r>
            <w:r>
              <w:rPr>
                <w:rFonts w:ascii="Times New Roman" w:hAnsi="Times New Roman" w:eastAsia="Times New Roman" w:cs="Times New Roman"/>
                <w:sz w:val="18"/>
                <w:szCs w:val="18"/>
                <w:spacing w:val="-13"/>
              </w:rPr>
              <w:t>3</w:t>
            </w:r>
            <w:r>
              <w:rPr>
                <w:rFonts w:ascii="Times New Roman" w:hAnsi="Times New Roman" w:eastAsia="Times New Roman" w:cs="Times New Roman"/>
                <w:sz w:val="18"/>
                <w:szCs w:val="18"/>
                <w:spacing w:val="12"/>
              </w:rPr>
              <w:t xml:space="preserve"> </w:t>
            </w:r>
            <w:r>
              <w:rPr>
                <w:sz w:val="18"/>
                <w:szCs w:val="18"/>
                <w:spacing w:val="-13"/>
              </w:rPr>
              <w:t>个未</w:t>
            </w:r>
            <w:r>
              <w:rPr>
                <w:sz w:val="18"/>
                <w:szCs w:val="18"/>
                <w:spacing w:val="-5"/>
              </w:rPr>
              <w:t>见矿）</w:t>
            </w:r>
          </w:p>
        </w:tc>
        <w:tc>
          <w:tcPr>
            <w:tcW w:w="577" w:type="dxa"/>
            <w:vAlign w:val="top"/>
            <w:tcBorders>
              <w:right w:val="nil"/>
              <w:bottom w:val="single" w:color="000000" w:sz="10" w:space="0"/>
            </w:tcBorders>
          </w:tcPr>
          <w:p>
            <w:pPr>
              <w:pStyle w:val="TableText"/>
              <w:ind w:left="208" w:right="108" w:hanging="89"/>
              <w:spacing w:before="49" w:line="222" w:lineRule="auto"/>
              <w:rPr>
                <w:sz w:val="18"/>
                <w:szCs w:val="18"/>
              </w:rPr>
            </w:pPr>
            <w:r>
              <w:rPr>
                <w:sz w:val="18"/>
                <w:szCs w:val="18"/>
                <w:spacing w:val="-7"/>
              </w:rPr>
              <w:t>未动</w:t>
            </w:r>
            <w:r>
              <w:rPr>
                <w:sz w:val="18"/>
                <w:szCs w:val="18"/>
              </w:rPr>
              <w:t>用</w:t>
            </w:r>
          </w:p>
        </w:tc>
      </w:tr>
    </w:tbl>
    <w:p>
      <w:pPr>
        <w:pStyle w:val="BodyText"/>
        <w:rPr/>
      </w:pPr>
      <w:r/>
    </w:p>
    <w:p>
      <w:pPr>
        <w:sectPr>
          <w:footerReference w:type="default" r:id="rId110"/>
          <w:pgSz w:w="16839" w:h="11911"/>
          <w:pgMar w:top="400" w:right="1335" w:bottom="1147" w:left="1335" w:header="0" w:footer="984"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16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553"/>
        <w:gridCol w:w="482"/>
        <w:gridCol w:w="728"/>
        <w:gridCol w:w="1080"/>
        <w:gridCol w:w="881"/>
        <w:gridCol w:w="609"/>
        <w:gridCol w:w="992"/>
        <w:gridCol w:w="1051"/>
        <w:gridCol w:w="1352"/>
        <w:gridCol w:w="1114"/>
        <w:gridCol w:w="992"/>
        <w:gridCol w:w="1184"/>
        <w:gridCol w:w="1116"/>
        <w:gridCol w:w="983"/>
        <w:gridCol w:w="577"/>
      </w:tblGrid>
      <w:tr>
        <w:trPr>
          <w:trHeight w:val="475" w:hRule="atLeast"/>
        </w:trPr>
        <w:tc>
          <w:tcPr>
            <w:tcW w:w="473" w:type="dxa"/>
            <w:vAlign w:val="top"/>
            <w:tcBorders>
              <w:left w:val="nil"/>
              <w:bottom w:val="nil"/>
              <w:top w:val="single" w:color="000000" w:sz="10" w:space="0"/>
            </w:tcBorders>
          </w:tcPr>
          <w:p>
            <w:pPr>
              <w:rPr>
                <w:rFonts w:ascii="Arial"/>
                <w:sz w:val="21"/>
              </w:rPr>
            </w:pPr>
            <w:r/>
          </w:p>
        </w:tc>
        <w:tc>
          <w:tcPr>
            <w:tcW w:w="553" w:type="dxa"/>
            <w:vAlign w:val="top"/>
            <w:tcBorders>
              <w:top w:val="single" w:color="000000" w:sz="10" w:space="0"/>
            </w:tcBorders>
          </w:tcPr>
          <w:p>
            <w:pPr>
              <w:ind w:left="20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482" w:type="dxa"/>
            <w:vAlign w:val="top"/>
            <w:textDirection w:val="tbRlV"/>
            <w:tcBorders>
              <w:top w:val="single" w:color="000000" w:sz="10" w:space="0"/>
            </w:tcBorders>
          </w:tcPr>
          <w:p>
            <w:pPr>
              <w:pStyle w:val="TableText"/>
              <w:ind w:left="33"/>
              <w:spacing w:before="147" w:line="206" w:lineRule="auto"/>
              <w:rPr>
                <w:sz w:val="18"/>
                <w:szCs w:val="18"/>
              </w:rPr>
            </w:pPr>
            <w:r>
              <w:rPr>
                <w:sz w:val="18"/>
                <w:szCs w:val="18"/>
                <w:spacing w:val="28"/>
              </w:rPr>
              <w:t>萤石</w:t>
            </w:r>
          </w:p>
        </w:tc>
        <w:tc>
          <w:tcPr>
            <w:tcW w:w="728" w:type="dxa"/>
            <w:vAlign w:val="top"/>
            <w:tcBorders>
              <w:top w:val="single" w:color="000000" w:sz="10" w:space="0"/>
            </w:tcBorders>
          </w:tcPr>
          <w:p>
            <w:pPr>
              <w:ind w:left="280"/>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tc>
        <w:tc>
          <w:tcPr>
            <w:tcW w:w="1080" w:type="dxa"/>
            <w:vAlign w:val="top"/>
            <w:tcBorders>
              <w:top w:val="single" w:color="000000" w:sz="10" w:space="0"/>
            </w:tcBorders>
          </w:tcPr>
          <w:p>
            <w:pPr>
              <w:ind w:left="24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975-985</w:t>
            </w:r>
          </w:p>
        </w:tc>
        <w:tc>
          <w:tcPr>
            <w:tcW w:w="881" w:type="dxa"/>
            <w:vAlign w:val="top"/>
            <w:tcBorders>
              <w:top w:val="single" w:color="000000" w:sz="10" w:space="0"/>
            </w:tcBorders>
          </w:tcPr>
          <w:p>
            <w:pPr>
              <w:ind w:left="236"/>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58-68</w:t>
            </w:r>
          </w:p>
        </w:tc>
        <w:tc>
          <w:tcPr>
            <w:tcW w:w="609" w:type="dxa"/>
            <w:vAlign w:val="top"/>
            <w:tcBorders>
              <w:top w:val="single" w:color="000000" w:sz="10" w:space="0"/>
            </w:tcBorders>
          </w:tcPr>
          <w:p>
            <w:pPr>
              <w:ind w:left="21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Borders>
              <w:top w:val="single" w:color="000000" w:sz="10" w:space="0"/>
            </w:tcBorders>
          </w:tcPr>
          <w:p>
            <w:pPr>
              <w:ind w:left="42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1051" w:type="dxa"/>
            <w:vAlign w:val="top"/>
            <w:tcBorders>
              <w:top w:val="single" w:color="000000" w:sz="10" w:space="0"/>
            </w:tcBorders>
          </w:tcPr>
          <w:p>
            <w:pPr>
              <w:pStyle w:val="TableText"/>
              <w:ind w:left="263"/>
              <w:spacing w:before="45"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Borders>
              <w:top w:val="single" w:color="000000" w:sz="10" w:space="0"/>
            </w:tcBorders>
          </w:tcPr>
          <w:p>
            <w:pPr>
              <w:ind w:left="289"/>
              <w:spacing w:before="147"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48°</w:t>
            </w:r>
          </w:p>
        </w:tc>
        <w:tc>
          <w:tcPr>
            <w:tcW w:w="1114" w:type="dxa"/>
            <w:vAlign w:val="top"/>
            <w:tcBorders>
              <w:top w:val="single" w:color="000000" w:sz="10" w:space="0"/>
            </w:tcBorders>
          </w:tcPr>
          <w:p>
            <w:pPr>
              <w:ind w:left="231"/>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1.81-1.81</w:t>
            </w:r>
          </w:p>
          <w:p>
            <w:pPr>
              <w:pStyle w:val="TableText"/>
              <w:ind w:left="192"/>
              <w:spacing w:before="25" w:line="221" w:lineRule="auto"/>
              <w:rPr>
                <w:sz w:val="18"/>
                <w:szCs w:val="18"/>
              </w:rPr>
            </w:pPr>
            <w:r>
              <w:rPr>
                <w:rFonts w:ascii="Times New Roman" w:hAnsi="Times New Roman" w:eastAsia="Times New Roman" w:cs="Times New Roman"/>
                <w:sz w:val="18"/>
                <w:szCs w:val="18"/>
                <w:spacing w:val="-4"/>
              </w:rPr>
              <w:t>1.81</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Borders>
              <w:top w:val="single" w:color="000000" w:sz="10" w:space="0"/>
            </w:tcBorders>
          </w:tcPr>
          <w:p>
            <w:pPr>
              <w:ind w:left="471"/>
              <w:spacing w:before="255"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Borders>
              <w:top w:val="single" w:color="000000" w:sz="10" w:space="0"/>
            </w:tcBorders>
          </w:tcPr>
          <w:p>
            <w:pPr>
              <w:ind w:left="15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43.05-43.05</w:t>
            </w:r>
          </w:p>
          <w:p>
            <w:pPr>
              <w:pStyle w:val="TableText"/>
              <w:ind w:left="163"/>
              <w:spacing w:before="25" w:line="221" w:lineRule="auto"/>
              <w:rPr>
                <w:sz w:val="18"/>
                <w:szCs w:val="18"/>
              </w:rPr>
            </w:pPr>
            <w:r>
              <w:rPr>
                <w:rFonts w:ascii="Times New Roman" w:hAnsi="Times New Roman" w:eastAsia="Times New Roman" w:cs="Times New Roman"/>
                <w:sz w:val="18"/>
                <w:szCs w:val="18"/>
                <w:spacing w:val="-1"/>
              </w:rPr>
              <w:t>43.05</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Borders>
              <w:top w:val="single" w:color="000000" w:sz="10" w:space="0"/>
            </w:tcBorders>
          </w:tcPr>
          <w:p>
            <w:pPr>
              <w:ind w:left="310"/>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200.52</w:t>
            </w:r>
          </w:p>
        </w:tc>
        <w:tc>
          <w:tcPr>
            <w:tcW w:w="983" w:type="dxa"/>
            <w:vAlign w:val="top"/>
            <w:tcBorders>
              <w:top w:val="single" w:color="000000" w:sz="10" w:space="0"/>
            </w:tcBorders>
          </w:tcPr>
          <w:p>
            <w:pPr>
              <w:pStyle w:val="TableText"/>
              <w:ind w:left="230" w:right="107" w:hanging="116"/>
              <w:spacing w:before="34" w:line="221"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op w:val="single" w:color="000000" w:sz="10" w:space="0"/>
            </w:tcBorders>
          </w:tcPr>
          <w:p>
            <w:pPr>
              <w:pStyle w:val="TableText"/>
              <w:ind w:left="208" w:right="108" w:hanging="89"/>
              <w:spacing w:before="34" w:line="221"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482" w:type="dxa"/>
            <w:vAlign w:val="top"/>
            <w:textDirection w:val="tbRlV"/>
          </w:tcPr>
          <w:p>
            <w:pPr>
              <w:pStyle w:val="TableText"/>
              <w:ind w:left="28"/>
              <w:spacing w:before="147" w:line="206" w:lineRule="auto"/>
              <w:rPr>
                <w:sz w:val="18"/>
                <w:szCs w:val="18"/>
              </w:rPr>
            </w:pPr>
            <w:r>
              <w:rPr>
                <w:sz w:val="18"/>
                <w:szCs w:val="18"/>
                <w:spacing w:val="28"/>
              </w:rPr>
              <w:t>萤石</w:t>
            </w:r>
          </w:p>
        </w:tc>
        <w:tc>
          <w:tcPr>
            <w:tcW w:w="728" w:type="dxa"/>
            <w:vAlign w:val="top"/>
          </w:tcPr>
          <w:p>
            <w:pPr>
              <w:ind w:left="280"/>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1080" w:type="dxa"/>
            <w:vAlign w:val="top"/>
          </w:tcPr>
          <w:p>
            <w:pPr>
              <w:ind w:left="24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879-910</w:t>
            </w:r>
          </w:p>
        </w:tc>
        <w:tc>
          <w:tcPr>
            <w:tcW w:w="881" w:type="dxa"/>
            <w:vAlign w:val="top"/>
          </w:tcPr>
          <w:p>
            <w:pPr>
              <w:ind w:left="15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129-160</w:t>
            </w:r>
          </w:p>
        </w:tc>
        <w:tc>
          <w:tcPr>
            <w:tcW w:w="609" w:type="dxa"/>
            <w:vAlign w:val="top"/>
          </w:tcPr>
          <w:p>
            <w:pPr>
              <w:ind w:left="21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1051" w:type="dxa"/>
            <w:vAlign w:val="top"/>
          </w:tcPr>
          <w:p>
            <w:pPr>
              <w:pStyle w:val="TableText"/>
              <w:ind w:left="263"/>
              <w:spacing w:before="40"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85°</w:t>
            </w:r>
          </w:p>
        </w:tc>
        <w:tc>
          <w:tcPr>
            <w:tcW w:w="1114" w:type="dxa"/>
            <w:vAlign w:val="top"/>
          </w:tcPr>
          <w:p>
            <w:pPr>
              <w:ind w:left="218"/>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5.12-5.</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4"/>
              </w:rPr>
              <w:t>12</w:t>
            </w:r>
          </w:p>
          <w:p>
            <w:pPr>
              <w:pStyle w:val="TableText"/>
              <w:ind w:left="180"/>
              <w:spacing w:before="27" w:line="219" w:lineRule="auto"/>
              <w:rPr>
                <w:sz w:val="18"/>
                <w:szCs w:val="18"/>
              </w:rPr>
            </w:pPr>
            <w:r>
              <w:rPr>
                <w:rFonts w:ascii="Times New Roman" w:hAnsi="Times New Roman" w:eastAsia="Times New Roman" w:cs="Times New Roman"/>
                <w:sz w:val="18"/>
                <w:szCs w:val="18"/>
                <w:spacing w:val="-5"/>
              </w:rPr>
              <w:t>5.</w:t>
            </w:r>
            <w:r>
              <w:rPr>
                <w:rFonts w:ascii="Times New Roman" w:hAnsi="Times New Roman" w:eastAsia="Times New Roman" w:cs="Times New Roman"/>
                <w:sz w:val="18"/>
                <w:szCs w:val="18"/>
                <w:spacing w:val="-21"/>
              </w:rPr>
              <w:t xml:space="preserve"> </w:t>
            </w:r>
            <w:r>
              <w:rPr>
                <w:rFonts w:ascii="Times New Roman" w:hAnsi="Times New Roman" w:eastAsia="Times New Roman" w:cs="Times New Roman"/>
                <w:sz w:val="18"/>
                <w:szCs w:val="18"/>
                <w:spacing w:val="-5"/>
              </w:rPr>
              <w:t>12</w:t>
            </w:r>
            <w:r>
              <w:rPr>
                <w:sz w:val="18"/>
                <w:szCs w:val="18"/>
                <w:spacing w:val="-5"/>
              </w:rPr>
              <w:t>（</w:t>
            </w:r>
            <w:r>
              <w:rPr>
                <w:rFonts w:ascii="Times New Roman" w:hAnsi="Times New Roman" w:eastAsia="Times New Roman" w:cs="Times New Roman"/>
                <w:sz w:val="18"/>
                <w:szCs w:val="18"/>
                <w:spacing w:val="-5"/>
              </w:rPr>
              <w:t>1</w:t>
            </w:r>
            <w:r>
              <w:rPr>
                <w:sz w:val="18"/>
                <w:szCs w:val="18"/>
                <w:spacing w:val="-5"/>
              </w:rPr>
              <w:t>）</w:t>
            </w:r>
          </w:p>
        </w:tc>
        <w:tc>
          <w:tcPr>
            <w:tcW w:w="992" w:type="dxa"/>
            <w:vAlign w:val="top"/>
          </w:tcPr>
          <w:p>
            <w:pPr>
              <w:ind w:left="471"/>
              <w:spacing w:before="250"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6"/>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48.70-48.70</w:t>
            </w:r>
          </w:p>
          <w:p>
            <w:pPr>
              <w:pStyle w:val="TableText"/>
              <w:ind w:left="163"/>
              <w:spacing w:before="27" w:line="219" w:lineRule="auto"/>
              <w:rPr>
                <w:sz w:val="18"/>
                <w:szCs w:val="18"/>
              </w:rPr>
            </w:pPr>
            <w:r>
              <w:rPr>
                <w:rFonts w:ascii="Times New Roman" w:hAnsi="Times New Roman" w:eastAsia="Times New Roman" w:cs="Times New Roman"/>
                <w:sz w:val="18"/>
                <w:szCs w:val="18"/>
                <w:spacing w:val="-1"/>
              </w:rPr>
              <w:t>48.70</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5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78.37</w:t>
            </w:r>
          </w:p>
        </w:tc>
        <w:tc>
          <w:tcPr>
            <w:tcW w:w="983" w:type="dxa"/>
            <w:vAlign w:val="top"/>
          </w:tcPr>
          <w:p>
            <w:pPr>
              <w:pStyle w:val="TableText"/>
              <w:ind w:left="230" w:right="107" w:hanging="116"/>
              <w:spacing w:before="29" w:line="221"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29" w:line="221"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482" w:type="dxa"/>
            <w:vAlign w:val="top"/>
            <w:textDirection w:val="tbRlV"/>
          </w:tcPr>
          <w:p>
            <w:pPr>
              <w:pStyle w:val="TableText"/>
              <w:ind w:left="30"/>
              <w:spacing w:before="147" w:line="206" w:lineRule="auto"/>
              <w:rPr>
                <w:sz w:val="18"/>
                <w:szCs w:val="18"/>
              </w:rPr>
            </w:pPr>
            <w:r>
              <w:rPr>
                <w:sz w:val="18"/>
                <w:szCs w:val="18"/>
                <w:spacing w:val="28"/>
              </w:rPr>
              <w:t>萤石</w:t>
            </w:r>
          </w:p>
        </w:tc>
        <w:tc>
          <w:tcPr>
            <w:tcW w:w="728" w:type="dxa"/>
            <w:vAlign w:val="top"/>
          </w:tcPr>
          <w:p>
            <w:pPr>
              <w:ind w:left="28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1080" w:type="dxa"/>
            <w:vAlign w:val="top"/>
          </w:tcPr>
          <w:p>
            <w:pPr>
              <w:ind w:left="24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967-996</w:t>
            </w:r>
          </w:p>
        </w:tc>
        <w:tc>
          <w:tcPr>
            <w:tcW w:w="881" w:type="dxa"/>
            <w:vAlign w:val="top"/>
          </w:tcPr>
          <w:p>
            <w:pPr>
              <w:ind w:left="23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41-70</w:t>
            </w:r>
          </w:p>
        </w:tc>
        <w:tc>
          <w:tcPr>
            <w:tcW w:w="609" w:type="dxa"/>
            <w:vAlign w:val="top"/>
          </w:tcPr>
          <w:p>
            <w:pPr>
              <w:ind w:left="21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1051" w:type="dxa"/>
            <w:vAlign w:val="top"/>
          </w:tcPr>
          <w:p>
            <w:pPr>
              <w:pStyle w:val="TableText"/>
              <w:ind w:left="263"/>
              <w:spacing w:before="43"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25"/>
              <w:spacing w:before="14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74°</w:t>
            </w:r>
          </w:p>
        </w:tc>
        <w:tc>
          <w:tcPr>
            <w:tcW w:w="1114" w:type="dxa"/>
            <w:vAlign w:val="top"/>
          </w:tcPr>
          <w:p>
            <w:pPr>
              <w:ind w:left="231"/>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1.26-1.26</w:t>
            </w:r>
          </w:p>
          <w:p>
            <w:pPr>
              <w:pStyle w:val="TableText"/>
              <w:ind w:left="192"/>
              <w:spacing w:before="27" w:line="217" w:lineRule="auto"/>
              <w:rPr>
                <w:sz w:val="18"/>
                <w:szCs w:val="18"/>
              </w:rPr>
            </w:pPr>
            <w:r>
              <w:rPr>
                <w:rFonts w:ascii="Times New Roman" w:hAnsi="Times New Roman" w:eastAsia="Times New Roman" w:cs="Times New Roman"/>
                <w:sz w:val="18"/>
                <w:szCs w:val="18"/>
                <w:spacing w:val="-4"/>
              </w:rPr>
              <w:t>1.26</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Pr>
          <w:p>
            <w:pPr>
              <w:ind w:left="471"/>
              <w:spacing w:before="25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7"/>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26.96-26.96</w:t>
            </w:r>
          </w:p>
          <w:p>
            <w:pPr>
              <w:pStyle w:val="TableText"/>
              <w:ind w:left="164"/>
              <w:spacing w:before="27" w:line="217" w:lineRule="auto"/>
              <w:rPr>
                <w:sz w:val="18"/>
                <w:szCs w:val="18"/>
              </w:rPr>
            </w:pPr>
            <w:r>
              <w:rPr>
                <w:rFonts w:ascii="Times New Roman" w:hAnsi="Times New Roman" w:eastAsia="Times New Roman" w:cs="Times New Roman"/>
                <w:sz w:val="18"/>
                <w:szCs w:val="18"/>
                <w:spacing w:val="-1"/>
              </w:rPr>
              <w:t>26.96</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15"/>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545.54</w:t>
            </w:r>
          </w:p>
        </w:tc>
        <w:tc>
          <w:tcPr>
            <w:tcW w:w="983" w:type="dxa"/>
            <w:vAlign w:val="top"/>
          </w:tcPr>
          <w:p>
            <w:pPr>
              <w:ind w:left="46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Borders>
              <w:right w:val="nil"/>
            </w:tcBorders>
          </w:tcPr>
          <w:p>
            <w:pPr>
              <w:pStyle w:val="TableText"/>
              <w:ind w:left="208" w:right="108" w:hanging="89"/>
              <w:spacing w:before="30" w:line="221"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482" w:type="dxa"/>
            <w:vAlign w:val="top"/>
            <w:textDirection w:val="tbRlV"/>
          </w:tcPr>
          <w:p>
            <w:pPr>
              <w:pStyle w:val="TableText"/>
              <w:ind w:left="30"/>
              <w:spacing w:before="147" w:line="206" w:lineRule="auto"/>
              <w:rPr>
                <w:sz w:val="18"/>
                <w:szCs w:val="18"/>
              </w:rPr>
            </w:pPr>
            <w:r>
              <w:rPr>
                <w:sz w:val="18"/>
                <w:szCs w:val="18"/>
                <w:spacing w:val="4"/>
              </w:rPr>
              <w:t>萤</w:t>
            </w:r>
            <w:r>
              <w:rPr>
                <w:sz w:val="18"/>
                <w:szCs w:val="18"/>
                <w:spacing w:val="-39"/>
              </w:rPr>
              <w:t xml:space="preserve"> </w:t>
            </w:r>
            <w:r>
              <w:rPr>
                <w:sz w:val="18"/>
                <w:szCs w:val="18"/>
                <w:spacing w:val="4"/>
              </w:rPr>
              <w:t>石</w:t>
            </w:r>
          </w:p>
        </w:tc>
        <w:tc>
          <w:tcPr>
            <w:tcW w:w="728" w:type="dxa"/>
            <w:vAlign w:val="top"/>
          </w:tcPr>
          <w:p>
            <w:pPr>
              <w:ind w:left="28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1080" w:type="dxa"/>
            <w:vAlign w:val="top"/>
          </w:tcPr>
          <w:p>
            <w:pPr>
              <w:ind w:left="24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961-992</w:t>
            </w:r>
          </w:p>
        </w:tc>
        <w:tc>
          <w:tcPr>
            <w:tcW w:w="881" w:type="dxa"/>
            <w:vAlign w:val="top"/>
          </w:tcPr>
          <w:p>
            <w:pPr>
              <w:ind w:left="23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45-76</w:t>
            </w:r>
          </w:p>
        </w:tc>
        <w:tc>
          <w:tcPr>
            <w:tcW w:w="609" w:type="dxa"/>
            <w:vAlign w:val="top"/>
          </w:tcPr>
          <w:p>
            <w:pPr>
              <w:ind w:left="21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1051" w:type="dxa"/>
            <w:vAlign w:val="top"/>
          </w:tcPr>
          <w:p>
            <w:pPr>
              <w:pStyle w:val="TableText"/>
              <w:ind w:left="263"/>
              <w:spacing w:before="42" w:line="224" w:lineRule="auto"/>
              <w:rPr>
                <w:sz w:val="18"/>
                <w:szCs w:val="18"/>
              </w:rPr>
            </w:pPr>
            <w:r>
              <w:rPr>
                <w:sz w:val="18"/>
                <w:szCs w:val="18"/>
                <w:spacing w:val="-4"/>
              </w:rPr>
              <w:t>透镜状</w:t>
            </w:r>
          </w:p>
          <w:p>
            <w:pPr>
              <w:ind w:left="483"/>
              <w:spacing w:before="3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7"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72°</w:t>
            </w:r>
          </w:p>
        </w:tc>
        <w:tc>
          <w:tcPr>
            <w:tcW w:w="1114" w:type="dxa"/>
            <w:vAlign w:val="top"/>
          </w:tcPr>
          <w:p>
            <w:pPr>
              <w:ind w:left="21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0.98-0.98</w:t>
            </w:r>
          </w:p>
          <w:p>
            <w:pPr>
              <w:pStyle w:val="TableText"/>
              <w:ind w:left="178"/>
              <w:spacing w:before="24" w:line="217" w:lineRule="auto"/>
              <w:rPr>
                <w:sz w:val="18"/>
                <w:szCs w:val="18"/>
              </w:rPr>
            </w:pPr>
            <w:r>
              <w:rPr>
                <w:rFonts w:ascii="Times New Roman" w:hAnsi="Times New Roman" w:eastAsia="Times New Roman" w:cs="Times New Roman"/>
                <w:sz w:val="18"/>
                <w:szCs w:val="18"/>
                <w:spacing w:val="-2"/>
              </w:rPr>
              <w:t>0.98</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5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7"/>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29.27-29.27</w:t>
            </w:r>
          </w:p>
          <w:p>
            <w:pPr>
              <w:pStyle w:val="TableText"/>
              <w:ind w:left="164"/>
              <w:spacing w:before="24" w:line="217" w:lineRule="auto"/>
              <w:rPr>
                <w:sz w:val="18"/>
                <w:szCs w:val="18"/>
              </w:rPr>
            </w:pPr>
            <w:r>
              <w:rPr>
                <w:rFonts w:ascii="Times New Roman" w:hAnsi="Times New Roman" w:eastAsia="Times New Roman" w:cs="Times New Roman"/>
                <w:sz w:val="18"/>
                <w:szCs w:val="18"/>
                <w:spacing w:val="-1"/>
              </w:rPr>
              <w:t>29.27</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1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576.53</w:t>
            </w:r>
          </w:p>
        </w:tc>
        <w:tc>
          <w:tcPr>
            <w:tcW w:w="983" w:type="dxa"/>
            <w:vAlign w:val="top"/>
          </w:tcPr>
          <w:p>
            <w:pPr>
              <w:ind w:left="46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Borders>
              <w:right w:val="nil"/>
            </w:tcBorders>
          </w:tcPr>
          <w:p>
            <w:pPr>
              <w:pStyle w:val="TableText"/>
              <w:ind w:left="208" w:right="108" w:hanging="89"/>
              <w:spacing w:before="30" w:line="220"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482" w:type="dxa"/>
            <w:vAlign w:val="top"/>
            <w:textDirection w:val="tbRlV"/>
          </w:tcPr>
          <w:p>
            <w:pPr>
              <w:pStyle w:val="TableText"/>
              <w:ind w:left="32"/>
              <w:spacing w:before="147" w:line="206" w:lineRule="auto"/>
              <w:rPr>
                <w:sz w:val="18"/>
                <w:szCs w:val="18"/>
              </w:rPr>
            </w:pPr>
            <w:r>
              <w:rPr>
                <w:sz w:val="18"/>
                <w:szCs w:val="18"/>
                <w:spacing w:val="28"/>
              </w:rPr>
              <w:t>萤石</w:t>
            </w:r>
          </w:p>
        </w:tc>
        <w:tc>
          <w:tcPr>
            <w:tcW w:w="728" w:type="dxa"/>
            <w:vAlign w:val="top"/>
          </w:tcPr>
          <w:p>
            <w:pPr>
              <w:ind w:left="280"/>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1080" w:type="dxa"/>
            <w:vAlign w:val="top"/>
          </w:tcPr>
          <w:p>
            <w:pPr>
              <w:ind w:left="24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934-963</w:t>
            </w:r>
          </w:p>
        </w:tc>
        <w:tc>
          <w:tcPr>
            <w:tcW w:w="881" w:type="dxa"/>
            <w:vAlign w:val="top"/>
          </w:tcPr>
          <w:p>
            <w:pPr>
              <w:ind w:left="18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74-103</w:t>
            </w:r>
          </w:p>
        </w:tc>
        <w:tc>
          <w:tcPr>
            <w:tcW w:w="609" w:type="dxa"/>
            <w:vAlign w:val="top"/>
          </w:tcPr>
          <w:p>
            <w:pPr>
              <w:ind w:left="21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7"/>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1051" w:type="dxa"/>
            <w:vAlign w:val="top"/>
          </w:tcPr>
          <w:p>
            <w:pPr>
              <w:pStyle w:val="TableText"/>
              <w:ind w:left="263"/>
              <w:spacing w:before="45"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9"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78°</w:t>
            </w:r>
          </w:p>
        </w:tc>
        <w:tc>
          <w:tcPr>
            <w:tcW w:w="1114" w:type="dxa"/>
            <w:vAlign w:val="top"/>
          </w:tcPr>
          <w:p>
            <w:pPr>
              <w:ind w:left="217"/>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3.15-3.15</w:t>
            </w:r>
          </w:p>
          <w:p>
            <w:pPr>
              <w:pStyle w:val="TableText"/>
              <w:ind w:left="179"/>
              <w:spacing w:before="27" w:line="214" w:lineRule="auto"/>
              <w:rPr>
                <w:sz w:val="18"/>
                <w:szCs w:val="18"/>
              </w:rPr>
            </w:pPr>
            <w:r>
              <w:rPr>
                <w:rFonts w:ascii="Times New Roman" w:hAnsi="Times New Roman" w:eastAsia="Times New Roman" w:cs="Times New Roman"/>
                <w:sz w:val="18"/>
                <w:szCs w:val="18"/>
                <w:spacing w:val="-2"/>
              </w:rPr>
              <w:t>3.15</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54"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42.80-42.80</w:t>
            </w:r>
          </w:p>
          <w:p>
            <w:pPr>
              <w:pStyle w:val="TableText"/>
              <w:ind w:left="163"/>
              <w:spacing w:before="27" w:line="214" w:lineRule="auto"/>
              <w:rPr>
                <w:sz w:val="18"/>
                <w:szCs w:val="18"/>
              </w:rPr>
            </w:pPr>
            <w:r>
              <w:rPr>
                <w:rFonts w:ascii="Times New Roman" w:hAnsi="Times New Roman" w:eastAsia="Times New Roman" w:cs="Times New Roman"/>
                <w:sz w:val="18"/>
                <w:szCs w:val="18"/>
                <w:spacing w:val="-1"/>
              </w:rPr>
              <w:t>42.80</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27"/>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161.21</w:t>
            </w:r>
          </w:p>
        </w:tc>
        <w:tc>
          <w:tcPr>
            <w:tcW w:w="983" w:type="dxa"/>
            <w:vAlign w:val="top"/>
          </w:tcPr>
          <w:p>
            <w:pPr>
              <w:pStyle w:val="TableText"/>
              <w:ind w:left="230" w:right="107" w:hanging="116"/>
              <w:spacing w:before="32" w:line="219"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32" w:line="219"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482" w:type="dxa"/>
            <w:vAlign w:val="top"/>
            <w:textDirection w:val="tbRlV"/>
          </w:tcPr>
          <w:p>
            <w:pPr>
              <w:pStyle w:val="TableText"/>
              <w:ind w:left="35"/>
              <w:spacing w:before="147" w:line="206" w:lineRule="auto"/>
              <w:rPr>
                <w:sz w:val="18"/>
                <w:szCs w:val="18"/>
              </w:rPr>
            </w:pPr>
            <w:r>
              <w:rPr>
                <w:sz w:val="18"/>
                <w:szCs w:val="18"/>
                <w:spacing w:val="28"/>
              </w:rPr>
              <w:t>萤石</w:t>
            </w:r>
          </w:p>
        </w:tc>
        <w:tc>
          <w:tcPr>
            <w:tcW w:w="728" w:type="dxa"/>
            <w:vAlign w:val="top"/>
          </w:tcPr>
          <w:p>
            <w:pPr>
              <w:ind w:left="280"/>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1080" w:type="dxa"/>
            <w:vAlign w:val="top"/>
          </w:tcPr>
          <w:p>
            <w:pPr>
              <w:ind w:left="24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924-953</w:t>
            </w:r>
          </w:p>
        </w:tc>
        <w:tc>
          <w:tcPr>
            <w:tcW w:w="881" w:type="dxa"/>
            <w:vAlign w:val="top"/>
          </w:tcPr>
          <w:p>
            <w:pPr>
              <w:ind w:left="198"/>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84-113</w:t>
            </w:r>
          </w:p>
        </w:tc>
        <w:tc>
          <w:tcPr>
            <w:tcW w:w="609" w:type="dxa"/>
            <w:vAlign w:val="top"/>
          </w:tcPr>
          <w:p>
            <w:pPr>
              <w:ind w:left="219"/>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1"/>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1051" w:type="dxa"/>
            <w:vAlign w:val="top"/>
          </w:tcPr>
          <w:p>
            <w:pPr>
              <w:pStyle w:val="TableText"/>
              <w:ind w:left="263"/>
              <w:spacing w:before="47"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0"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78°</w:t>
            </w:r>
          </w:p>
        </w:tc>
        <w:tc>
          <w:tcPr>
            <w:tcW w:w="1114" w:type="dxa"/>
            <w:vAlign w:val="top"/>
          </w:tcPr>
          <w:p>
            <w:pPr>
              <w:ind w:left="216"/>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0.78-0.78</w:t>
            </w:r>
          </w:p>
          <w:p>
            <w:pPr>
              <w:pStyle w:val="TableText"/>
              <w:ind w:left="178"/>
              <w:spacing w:before="26" w:line="213" w:lineRule="auto"/>
              <w:rPr>
                <w:sz w:val="18"/>
                <w:szCs w:val="18"/>
              </w:rPr>
            </w:pPr>
            <w:r>
              <w:rPr>
                <w:rFonts w:ascii="Times New Roman" w:hAnsi="Times New Roman" w:eastAsia="Times New Roman" w:cs="Times New Roman"/>
                <w:sz w:val="18"/>
                <w:szCs w:val="18"/>
                <w:spacing w:val="-2"/>
              </w:rPr>
              <w:t>0.78</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57"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1"/>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38.23-38.23</w:t>
            </w:r>
          </w:p>
          <w:p>
            <w:pPr>
              <w:pStyle w:val="TableText"/>
              <w:ind w:left="168"/>
              <w:spacing w:before="26" w:line="213" w:lineRule="auto"/>
              <w:rPr>
                <w:sz w:val="18"/>
                <w:szCs w:val="18"/>
              </w:rPr>
            </w:pPr>
            <w:r>
              <w:rPr>
                <w:rFonts w:ascii="Times New Roman" w:hAnsi="Times New Roman" w:eastAsia="Times New Roman" w:cs="Times New Roman"/>
                <w:sz w:val="18"/>
                <w:szCs w:val="18"/>
                <w:spacing w:val="-1"/>
              </w:rPr>
              <w:t>38.23</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73"/>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12.71</w:t>
            </w:r>
          </w:p>
        </w:tc>
        <w:tc>
          <w:tcPr>
            <w:tcW w:w="983" w:type="dxa"/>
            <w:vAlign w:val="top"/>
          </w:tcPr>
          <w:p>
            <w:pPr>
              <w:pStyle w:val="TableText"/>
              <w:ind w:left="230" w:right="107" w:hanging="116"/>
              <w:spacing w:before="35" w:line="218"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35" w:line="218"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20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482" w:type="dxa"/>
            <w:vAlign w:val="top"/>
            <w:textDirection w:val="tbRlV"/>
          </w:tcPr>
          <w:p>
            <w:pPr>
              <w:pStyle w:val="TableText"/>
              <w:ind w:left="36"/>
              <w:spacing w:before="147" w:line="206" w:lineRule="auto"/>
              <w:rPr>
                <w:sz w:val="18"/>
                <w:szCs w:val="18"/>
              </w:rPr>
            </w:pPr>
            <w:r>
              <w:rPr>
                <w:sz w:val="18"/>
                <w:szCs w:val="18"/>
                <w:spacing w:val="28"/>
              </w:rPr>
              <w:t>萤石</w:t>
            </w:r>
          </w:p>
        </w:tc>
        <w:tc>
          <w:tcPr>
            <w:tcW w:w="728" w:type="dxa"/>
            <w:vAlign w:val="top"/>
          </w:tcPr>
          <w:p>
            <w:pPr>
              <w:ind w:left="28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1080" w:type="dxa"/>
            <w:vAlign w:val="top"/>
          </w:tcPr>
          <w:p>
            <w:pPr>
              <w:ind w:left="248"/>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868-928</w:t>
            </w:r>
          </w:p>
        </w:tc>
        <w:tc>
          <w:tcPr>
            <w:tcW w:w="881" w:type="dxa"/>
            <w:vAlign w:val="top"/>
          </w:tcPr>
          <w:p>
            <w:pPr>
              <w:ind w:left="15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122-182</w:t>
            </w:r>
          </w:p>
        </w:tc>
        <w:tc>
          <w:tcPr>
            <w:tcW w:w="609" w:type="dxa"/>
            <w:vAlign w:val="top"/>
          </w:tcPr>
          <w:p>
            <w:pPr>
              <w:ind w:left="21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1"/>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62</w:t>
            </w:r>
          </w:p>
        </w:tc>
        <w:tc>
          <w:tcPr>
            <w:tcW w:w="1051" w:type="dxa"/>
            <w:vAlign w:val="top"/>
          </w:tcPr>
          <w:p>
            <w:pPr>
              <w:pStyle w:val="TableText"/>
              <w:ind w:left="354"/>
              <w:spacing w:before="48" w:line="224" w:lineRule="auto"/>
              <w:rPr>
                <w:sz w:val="18"/>
                <w:szCs w:val="18"/>
              </w:rPr>
            </w:pPr>
            <w:r>
              <w:rPr>
                <w:sz w:val="18"/>
                <w:szCs w:val="18"/>
                <w:spacing w:val="-6"/>
              </w:rPr>
              <w:t>脉状</w:t>
            </w:r>
          </w:p>
          <w:p>
            <w:pPr>
              <w:ind w:left="483"/>
              <w:spacing w:before="31" w:line="18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1"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72°</w:t>
            </w:r>
          </w:p>
        </w:tc>
        <w:tc>
          <w:tcPr>
            <w:tcW w:w="1114" w:type="dxa"/>
            <w:vAlign w:val="top"/>
          </w:tcPr>
          <w:p>
            <w:pPr>
              <w:ind w:left="216"/>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0.90-2.16</w:t>
            </w:r>
          </w:p>
          <w:p>
            <w:pPr>
              <w:pStyle w:val="TableText"/>
              <w:ind w:left="192"/>
              <w:spacing w:before="27" w:line="210" w:lineRule="auto"/>
              <w:rPr>
                <w:sz w:val="18"/>
                <w:szCs w:val="18"/>
              </w:rPr>
            </w:pPr>
            <w:r>
              <w:rPr>
                <w:rFonts w:ascii="Times New Roman" w:hAnsi="Times New Roman" w:eastAsia="Times New Roman" w:cs="Times New Roman"/>
                <w:sz w:val="18"/>
                <w:szCs w:val="18"/>
                <w:spacing w:val="-4"/>
              </w:rPr>
              <w:t>1.64</w:t>
            </w:r>
            <w:r>
              <w:rPr>
                <w:sz w:val="18"/>
                <w:szCs w:val="18"/>
                <w:spacing w:val="-4"/>
              </w:rPr>
              <w:t>（</w:t>
            </w:r>
            <w:r>
              <w:rPr>
                <w:rFonts w:ascii="Times New Roman" w:hAnsi="Times New Roman" w:eastAsia="Times New Roman" w:cs="Times New Roman"/>
                <w:sz w:val="18"/>
                <w:szCs w:val="18"/>
                <w:spacing w:val="-4"/>
              </w:rPr>
              <w:t>3</w:t>
            </w:r>
            <w:r>
              <w:rPr>
                <w:sz w:val="18"/>
                <w:szCs w:val="18"/>
                <w:spacing w:val="-4"/>
              </w:rPr>
              <w:t>）</w:t>
            </w:r>
          </w:p>
        </w:tc>
        <w:tc>
          <w:tcPr>
            <w:tcW w:w="992" w:type="dxa"/>
            <w:vAlign w:val="top"/>
          </w:tcPr>
          <w:p>
            <w:pPr>
              <w:ind w:left="29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26.41</w:t>
            </w:r>
          </w:p>
        </w:tc>
        <w:tc>
          <w:tcPr>
            <w:tcW w:w="1184" w:type="dxa"/>
            <w:vAlign w:val="top"/>
          </w:tcPr>
          <w:p>
            <w:pPr>
              <w:ind w:left="156"/>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44.69-53.73</w:t>
            </w:r>
          </w:p>
          <w:p>
            <w:pPr>
              <w:pStyle w:val="TableText"/>
              <w:ind w:left="163"/>
              <w:spacing w:before="27" w:line="210" w:lineRule="auto"/>
              <w:rPr>
                <w:sz w:val="18"/>
                <w:szCs w:val="18"/>
              </w:rPr>
            </w:pPr>
            <w:r>
              <w:rPr>
                <w:rFonts w:ascii="Times New Roman" w:hAnsi="Times New Roman" w:eastAsia="Times New Roman" w:cs="Times New Roman"/>
                <w:sz w:val="18"/>
                <w:szCs w:val="18"/>
                <w:spacing w:val="-1"/>
              </w:rPr>
              <w:t>48.25</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1116" w:type="dxa"/>
            <w:vAlign w:val="top"/>
          </w:tcPr>
          <w:p>
            <w:pPr>
              <w:ind w:left="332"/>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126.</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c>
          <w:tcPr>
            <w:tcW w:w="983" w:type="dxa"/>
            <w:vAlign w:val="top"/>
          </w:tcPr>
          <w:p>
            <w:pPr>
              <w:pStyle w:val="TableText"/>
              <w:ind w:left="230" w:right="107" w:hanging="120"/>
              <w:spacing w:before="36" w:line="217"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36" w:line="217"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8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482" w:type="dxa"/>
            <w:vAlign w:val="top"/>
            <w:textDirection w:val="tbRlV"/>
          </w:tcPr>
          <w:p>
            <w:pPr>
              <w:pStyle w:val="TableText"/>
              <w:ind w:left="37"/>
              <w:spacing w:before="147" w:line="206" w:lineRule="auto"/>
              <w:rPr>
                <w:sz w:val="18"/>
                <w:szCs w:val="18"/>
              </w:rPr>
            </w:pPr>
            <w:r>
              <w:rPr>
                <w:sz w:val="18"/>
                <w:szCs w:val="18"/>
                <w:spacing w:val="4"/>
              </w:rPr>
              <w:t>萤</w:t>
            </w:r>
            <w:r>
              <w:rPr>
                <w:sz w:val="18"/>
                <w:szCs w:val="18"/>
                <w:spacing w:val="-39"/>
              </w:rPr>
              <w:t xml:space="preserve"> </w:t>
            </w:r>
            <w:r>
              <w:rPr>
                <w:sz w:val="18"/>
                <w:szCs w:val="18"/>
                <w:spacing w:val="4"/>
              </w:rPr>
              <w:t>石</w:t>
            </w:r>
          </w:p>
        </w:tc>
        <w:tc>
          <w:tcPr>
            <w:tcW w:w="728" w:type="dxa"/>
            <w:vAlign w:val="top"/>
          </w:tcPr>
          <w:p>
            <w:pPr>
              <w:ind w:left="28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1080" w:type="dxa"/>
            <w:vAlign w:val="top"/>
          </w:tcPr>
          <w:p>
            <w:pPr>
              <w:ind w:left="248"/>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886-897</w:t>
            </w:r>
          </w:p>
        </w:tc>
        <w:tc>
          <w:tcPr>
            <w:tcW w:w="881" w:type="dxa"/>
            <w:vAlign w:val="top"/>
          </w:tcPr>
          <w:p>
            <w:pPr>
              <w:ind w:left="15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154-165</w:t>
            </w:r>
          </w:p>
        </w:tc>
        <w:tc>
          <w:tcPr>
            <w:tcW w:w="609" w:type="dxa"/>
            <w:vAlign w:val="top"/>
          </w:tcPr>
          <w:p>
            <w:pPr>
              <w:ind w:left="21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2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1051" w:type="dxa"/>
            <w:vAlign w:val="top"/>
          </w:tcPr>
          <w:p>
            <w:pPr>
              <w:pStyle w:val="TableText"/>
              <w:ind w:left="263"/>
              <w:spacing w:before="49" w:line="224" w:lineRule="auto"/>
              <w:rPr>
                <w:sz w:val="18"/>
                <w:szCs w:val="18"/>
              </w:rPr>
            </w:pPr>
            <w:r>
              <w:rPr>
                <w:sz w:val="18"/>
                <w:szCs w:val="18"/>
                <w:spacing w:val="-4"/>
              </w:rPr>
              <w:t>透镜状</w:t>
            </w:r>
          </w:p>
          <w:p>
            <w:pPr>
              <w:ind w:left="483"/>
              <w:spacing w:before="3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4"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77°</w:t>
            </w:r>
          </w:p>
        </w:tc>
        <w:tc>
          <w:tcPr>
            <w:tcW w:w="1114" w:type="dxa"/>
            <w:vAlign w:val="top"/>
          </w:tcPr>
          <w:p>
            <w:pPr>
              <w:ind w:left="217"/>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3.41-3.41</w:t>
            </w:r>
          </w:p>
          <w:p>
            <w:pPr>
              <w:pStyle w:val="TableText"/>
              <w:ind w:left="179"/>
              <w:spacing w:before="24" w:line="211" w:lineRule="auto"/>
              <w:rPr>
                <w:sz w:val="18"/>
                <w:szCs w:val="18"/>
              </w:rPr>
            </w:pPr>
            <w:r>
              <w:rPr>
                <w:rFonts w:ascii="Times New Roman" w:hAnsi="Times New Roman" w:eastAsia="Times New Roman" w:cs="Times New Roman"/>
                <w:sz w:val="18"/>
                <w:szCs w:val="18"/>
                <w:spacing w:val="-2"/>
              </w:rPr>
              <w:t>3.41</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59"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6"/>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49.80-49.80</w:t>
            </w:r>
          </w:p>
          <w:p>
            <w:pPr>
              <w:pStyle w:val="TableText"/>
              <w:ind w:left="163"/>
              <w:spacing w:before="24" w:line="211" w:lineRule="auto"/>
              <w:rPr>
                <w:sz w:val="18"/>
                <w:szCs w:val="18"/>
              </w:rPr>
            </w:pPr>
            <w:r>
              <w:rPr>
                <w:rFonts w:ascii="Times New Roman" w:hAnsi="Times New Roman" w:eastAsia="Times New Roman" w:cs="Times New Roman"/>
                <w:sz w:val="18"/>
                <w:szCs w:val="18"/>
                <w:spacing w:val="-1"/>
              </w:rPr>
              <w:t>49.80</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6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55.34</w:t>
            </w:r>
          </w:p>
        </w:tc>
        <w:tc>
          <w:tcPr>
            <w:tcW w:w="983" w:type="dxa"/>
            <w:vAlign w:val="top"/>
          </w:tcPr>
          <w:p>
            <w:pPr>
              <w:pStyle w:val="TableText"/>
              <w:ind w:left="230" w:right="107" w:hanging="116"/>
              <w:spacing w:before="37" w:line="217"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37" w:line="217"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87"/>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482" w:type="dxa"/>
            <w:vAlign w:val="top"/>
            <w:textDirection w:val="tbRlV"/>
          </w:tcPr>
          <w:p>
            <w:pPr>
              <w:pStyle w:val="TableText"/>
              <w:ind w:left="38"/>
              <w:spacing w:before="147" w:line="206" w:lineRule="auto"/>
              <w:rPr>
                <w:sz w:val="18"/>
                <w:szCs w:val="18"/>
              </w:rPr>
            </w:pPr>
            <w:r>
              <w:rPr>
                <w:sz w:val="18"/>
                <w:szCs w:val="18"/>
                <w:spacing w:val="28"/>
              </w:rPr>
              <w:t>萤石</w:t>
            </w:r>
          </w:p>
        </w:tc>
        <w:tc>
          <w:tcPr>
            <w:tcW w:w="728" w:type="dxa"/>
            <w:vAlign w:val="top"/>
          </w:tcPr>
          <w:p>
            <w:pPr>
              <w:ind w:left="280"/>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1080" w:type="dxa"/>
            <w:vAlign w:val="top"/>
          </w:tcPr>
          <w:p>
            <w:pPr>
              <w:ind w:left="248"/>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861-914</w:t>
            </w:r>
          </w:p>
        </w:tc>
        <w:tc>
          <w:tcPr>
            <w:tcW w:w="881" w:type="dxa"/>
            <w:vAlign w:val="top"/>
          </w:tcPr>
          <w:p>
            <w:pPr>
              <w:ind w:left="157"/>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137-190</w:t>
            </w:r>
          </w:p>
        </w:tc>
        <w:tc>
          <w:tcPr>
            <w:tcW w:w="609" w:type="dxa"/>
            <w:vAlign w:val="top"/>
          </w:tcPr>
          <w:p>
            <w:pPr>
              <w:ind w:left="219"/>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1051" w:type="dxa"/>
            <w:vAlign w:val="top"/>
          </w:tcPr>
          <w:p>
            <w:pPr>
              <w:pStyle w:val="TableText"/>
              <w:ind w:left="354"/>
              <w:spacing w:before="50" w:line="224" w:lineRule="auto"/>
              <w:rPr>
                <w:sz w:val="18"/>
                <w:szCs w:val="18"/>
              </w:rPr>
            </w:pPr>
            <w:r>
              <w:rPr>
                <w:sz w:val="18"/>
                <w:szCs w:val="18"/>
                <w:spacing w:val="-6"/>
              </w:rPr>
              <w:t>脉状</w:t>
            </w:r>
          </w:p>
          <w:p>
            <w:pPr>
              <w:ind w:left="483"/>
              <w:spacing w:before="3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68°</w:t>
            </w:r>
          </w:p>
        </w:tc>
        <w:tc>
          <w:tcPr>
            <w:tcW w:w="1114" w:type="dxa"/>
            <w:vAlign w:val="top"/>
          </w:tcPr>
          <w:p>
            <w:pPr>
              <w:ind w:left="231"/>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1.41-2.04</w:t>
            </w:r>
          </w:p>
          <w:p>
            <w:pPr>
              <w:pStyle w:val="TableText"/>
              <w:ind w:left="192"/>
              <w:spacing w:before="27" w:line="209" w:lineRule="auto"/>
              <w:rPr>
                <w:sz w:val="18"/>
                <w:szCs w:val="18"/>
              </w:rPr>
            </w:pPr>
            <w:r>
              <w:rPr>
                <w:rFonts w:ascii="Times New Roman" w:hAnsi="Times New Roman" w:eastAsia="Times New Roman" w:cs="Times New Roman"/>
                <w:sz w:val="18"/>
                <w:szCs w:val="18"/>
                <w:spacing w:val="-4"/>
              </w:rPr>
              <w:t>1.78</w:t>
            </w:r>
            <w:r>
              <w:rPr>
                <w:sz w:val="18"/>
                <w:szCs w:val="18"/>
                <w:spacing w:val="-4"/>
              </w:rPr>
              <w:t>（</w:t>
            </w:r>
            <w:r>
              <w:rPr>
                <w:rFonts w:ascii="Times New Roman" w:hAnsi="Times New Roman" w:eastAsia="Times New Roman" w:cs="Times New Roman"/>
                <w:sz w:val="18"/>
                <w:szCs w:val="18"/>
                <w:spacing w:val="-4"/>
              </w:rPr>
              <w:t>3</w:t>
            </w:r>
            <w:r>
              <w:rPr>
                <w:sz w:val="18"/>
                <w:szCs w:val="18"/>
                <w:spacing w:val="-4"/>
              </w:rPr>
              <w:t>）</w:t>
            </w:r>
          </w:p>
        </w:tc>
        <w:tc>
          <w:tcPr>
            <w:tcW w:w="992" w:type="dxa"/>
            <w:vAlign w:val="top"/>
          </w:tcPr>
          <w:p>
            <w:pPr>
              <w:ind w:left="342"/>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6.08</w:t>
            </w:r>
          </w:p>
        </w:tc>
        <w:tc>
          <w:tcPr>
            <w:tcW w:w="1184" w:type="dxa"/>
            <w:vAlign w:val="top"/>
          </w:tcPr>
          <w:p>
            <w:pPr>
              <w:ind w:left="206"/>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39.4-49.29</w:t>
            </w:r>
          </w:p>
          <w:p>
            <w:pPr>
              <w:pStyle w:val="TableText"/>
              <w:ind w:left="163"/>
              <w:spacing w:before="27" w:line="209" w:lineRule="auto"/>
              <w:rPr>
                <w:sz w:val="18"/>
                <w:szCs w:val="18"/>
              </w:rPr>
            </w:pPr>
            <w:r>
              <w:rPr>
                <w:rFonts w:ascii="Times New Roman" w:hAnsi="Times New Roman" w:eastAsia="Times New Roman" w:cs="Times New Roman"/>
                <w:sz w:val="18"/>
                <w:szCs w:val="18"/>
                <w:spacing w:val="-1"/>
              </w:rPr>
              <w:t>44.90</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1116" w:type="dxa"/>
            <w:vAlign w:val="top"/>
          </w:tcPr>
          <w:p>
            <w:pPr>
              <w:ind w:left="327"/>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101.68</w:t>
            </w:r>
          </w:p>
        </w:tc>
        <w:tc>
          <w:tcPr>
            <w:tcW w:w="983" w:type="dxa"/>
            <w:vAlign w:val="top"/>
          </w:tcPr>
          <w:p>
            <w:pPr>
              <w:pStyle w:val="TableText"/>
              <w:ind w:left="230" w:right="107" w:hanging="120"/>
              <w:spacing w:before="37" w:line="217"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37" w:line="217"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8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482" w:type="dxa"/>
            <w:vAlign w:val="top"/>
            <w:textDirection w:val="tbRlV"/>
          </w:tcPr>
          <w:p>
            <w:pPr>
              <w:pStyle w:val="TableText"/>
              <w:ind w:left="40"/>
              <w:spacing w:before="147" w:line="206" w:lineRule="auto"/>
              <w:rPr>
                <w:sz w:val="18"/>
                <w:szCs w:val="18"/>
              </w:rPr>
            </w:pPr>
            <w:r>
              <w:rPr>
                <w:sz w:val="18"/>
                <w:szCs w:val="18"/>
                <w:spacing w:val="28"/>
              </w:rPr>
              <w:t>萤石</w:t>
            </w:r>
          </w:p>
        </w:tc>
        <w:tc>
          <w:tcPr>
            <w:tcW w:w="728" w:type="dxa"/>
            <w:vAlign w:val="top"/>
          </w:tcPr>
          <w:p>
            <w:pPr>
              <w:ind w:left="280"/>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1080" w:type="dxa"/>
            <w:vAlign w:val="top"/>
          </w:tcPr>
          <w:p>
            <w:pPr>
              <w:ind w:left="24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907-933</w:t>
            </w:r>
          </w:p>
        </w:tc>
        <w:tc>
          <w:tcPr>
            <w:tcW w:w="881" w:type="dxa"/>
            <w:vAlign w:val="top"/>
          </w:tcPr>
          <w:p>
            <w:pPr>
              <w:ind w:left="162"/>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118-144</w:t>
            </w:r>
          </w:p>
        </w:tc>
        <w:tc>
          <w:tcPr>
            <w:tcW w:w="609" w:type="dxa"/>
            <w:vAlign w:val="top"/>
          </w:tcPr>
          <w:p>
            <w:pPr>
              <w:ind w:left="219"/>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1051" w:type="dxa"/>
            <w:vAlign w:val="top"/>
          </w:tcPr>
          <w:p>
            <w:pPr>
              <w:pStyle w:val="TableText"/>
              <w:ind w:left="263"/>
              <w:spacing w:before="52" w:line="224" w:lineRule="auto"/>
              <w:rPr>
                <w:sz w:val="18"/>
                <w:szCs w:val="18"/>
              </w:rPr>
            </w:pPr>
            <w:r>
              <w:rPr>
                <w:sz w:val="18"/>
                <w:szCs w:val="18"/>
                <w:spacing w:val="-4"/>
              </w:rPr>
              <w:t>透镜状</w:t>
            </w:r>
          </w:p>
          <w:p>
            <w:pPr>
              <w:ind w:left="483"/>
              <w:spacing w:before="31"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74°</w:t>
            </w:r>
          </w:p>
        </w:tc>
        <w:tc>
          <w:tcPr>
            <w:tcW w:w="1114" w:type="dxa"/>
            <w:vAlign w:val="top"/>
          </w:tcPr>
          <w:p>
            <w:pPr>
              <w:ind w:left="231"/>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1.45-1.45</w:t>
            </w:r>
          </w:p>
          <w:p>
            <w:pPr>
              <w:pStyle w:val="TableText"/>
              <w:ind w:left="192"/>
              <w:spacing w:before="24" w:line="210" w:lineRule="auto"/>
              <w:rPr>
                <w:sz w:val="18"/>
                <w:szCs w:val="18"/>
              </w:rPr>
            </w:pPr>
            <w:r>
              <w:rPr>
                <w:rFonts w:ascii="Times New Roman" w:hAnsi="Times New Roman" w:eastAsia="Times New Roman" w:cs="Times New Roman"/>
                <w:sz w:val="18"/>
                <w:szCs w:val="18"/>
                <w:spacing w:val="-4"/>
              </w:rPr>
              <w:t>1.45</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Pr>
          <w:p>
            <w:pPr>
              <w:ind w:left="471"/>
              <w:spacing w:before="26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6"/>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42.10-42.10</w:t>
            </w:r>
          </w:p>
          <w:p>
            <w:pPr>
              <w:pStyle w:val="TableText"/>
              <w:ind w:left="163"/>
              <w:spacing w:before="24" w:line="210" w:lineRule="auto"/>
              <w:rPr>
                <w:sz w:val="18"/>
                <w:szCs w:val="18"/>
              </w:rPr>
            </w:pPr>
            <w:r>
              <w:rPr>
                <w:rFonts w:ascii="Times New Roman" w:hAnsi="Times New Roman" w:eastAsia="Times New Roman" w:cs="Times New Roman"/>
                <w:sz w:val="18"/>
                <w:szCs w:val="18"/>
                <w:spacing w:val="-1"/>
              </w:rPr>
              <w:t>42.10</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2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138.04</w:t>
            </w:r>
          </w:p>
        </w:tc>
        <w:tc>
          <w:tcPr>
            <w:tcW w:w="983" w:type="dxa"/>
            <w:vAlign w:val="top"/>
          </w:tcPr>
          <w:p>
            <w:pPr>
              <w:pStyle w:val="TableText"/>
              <w:ind w:left="230" w:right="107" w:hanging="116"/>
              <w:spacing w:before="39" w:line="216"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39" w:line="216"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187"/>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482" w:type="dxa"/>
            <w:vAlign w:val="top"/>
            <w:textDirection w:val="tbRlV"/>
          </w:tcPr>
          <w:p>
            <w:pPr>
              <w:pStyle w:val="TableText"/>
              <w:ind w:left="39"/>
              <w:spacing w:before="147" w:line="206" w:lineRule="auto"/>
              <w:rPr>
                <w:sz w:val="18"/>
                <w:szCs w:val="18"/>
              </w:rPr>
            </w:pPr>
            <w:r>
              <w:rPr>
                <w:sz w:val="18"/>
                <w:szCs w:val="18"/>
                <w:spacing w:val="28"/>
              </w:rPr>
              <w:t>萤石</w:t>
            </w:r>
          </w:p>
        </w:tc>
        <w:tc>
          <w:tcPr>
            <w:tcW w:w="728" w:type="dxa"/>
            <w:vAlign w:val="top"/>
          </w:tcPr>
          <w:p>
            <w:pPr>
              <w:ind w:left="280"/>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1080" w:type="dxa"/>
            <w:vAlign w:val="top"/>
          </w:tcPr>
          <w:p>
            <w:pPr>
              <w:ind w:left="167"/>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1002-1022</w:t>
            </w:r>
          </w:p>
        </w:tc>
        <w:tc>
          <w:tcPr>
            <w:tcW w:w="881" w:type="dxa"/>
            <w:vAlign w:val="top"/>
          </w:tcPr>
          <w:p>
            <w:pPr>
              <w:ind w:left="231"/>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29-49</w:t>
            </w:r>
          </w:p>
        </w:tc>
        <w:tc>
          <w:tcPr>
            <w:tcW w:w="609" w:type="dxa"/>
            <w:vAlign w:val="top"/>
          </w:tcPr>
          <w:p>
            <w:pPr>
              <w:ind w:left="219"/>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7"/>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1051" w:type="dxa"/>
            <w:vAlign w:val="top"/>
          </w:tcPr>
          <w:p>
            <w:pPr>
              <w:pStyle w:val="TableText"/>
              <w:ind w:left="263"/>
              <w:spacing w:before="52" w:line="224" w:lineRule="auto"/>
              <w:rPr>
                <w:sz w:val="18"/>
                <w:szCs w:val="18"/>
              </w:rPr>
            </w:pPr>
            <w:r>
              <w:rPr>
                <w:sz w:val="18"/>
                <w:szCs w:val="18"/>
                <w:spacing w:val="-4"/>
              </w:rPr>
              <w:t>透镜状</w:t>
            </w:r>
          </w:p>
          <w:p>
            <w:pPr>
              <w:ind w:left="483"/>
              <w:spacing w:before="33"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6"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75°</w:t>
            </w:r>
          </w:p>
        </w:tc>
        <w:tc>
          <w:tcPr>
            <w:tcW w:w="1114" w:type="dxa"/>
            <w:vAlign w:val="top"/>
          </w:tcPr>
          <w:p>
            <w:pPr>
              <w:ind w:left="231"/>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1.26-1.26</w:t>
            </w:r>
          </w:p>
          <w:p>
            <w:pPr>
              <w:pStyle w:val="TableText"/>
              <w:ind w:left="192"/>
              <w:spacing w:before="27" w:line="207" w:lineRule="auto"/>
              <w:rPr>
                <w:sz w:val="18"/>
                <w:szCs w:val="18"/>
              </w:rPr>
            </w:pPr>
            <w:r>
              <w:rPr>
                <w:rFonts w:ascii="Times New Roman" w:hAnsi="Times New Roman" w:eastAsia="Times New Roman" w:cs="Times New Roman"/>
                <w:sz w:val="18"/>
                <w:szCs w:val="18"/>
                <w:spacing w:val="-4"/>
              </w:rPr>
              <w:t>1.26</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Pr>
          <w:p>
            <w:pPr>
              <w:ind w:left="471"/>
              <w:spacing w:before="261"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2"/>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53.57-53.57</w:t>
            </w:r>
          </w:p>
          <w:p>
            <w:pPr>
              <w:pStyle w:val="TableText"/>
              <w:ind w:left="169"/>
              <w:spacing w:before="27" w:line="207" w:lineRule="auto"/>
              <w:rPr>
                <w:sz w:val="18"/>
                <w:szCs w:val="18"/>
              </w:rPr>
            </w:pPr>
            <w:r>
              <w:rPr>
                <w:rFonts w:ascii="Times New Roman" w:hAnsi="Times New Roman" w:eastAsia="Times New Roman" w:cs="Times New Roman"/>
                <w:sz w:val="18"/>
                <w:szCs w:val="18"/>
                <w:spacing w:val="-2"/>
              </w:rPr>
              <w:t>53.57</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1116" w:type="dxa"/>
            <w:vAlign w:val="top"/>
          </w:tcPr>
          <w:p>
            <w:pPr>
              <w:ind w:left="358"/>
              <w:spacing w:before="18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757.5</w:t>
            </w:r>
          </w:p>
        </w:tc>
        <w:tc>
          <w:tcPr>
            <w:tcW w:w="983" w:type="dxa"/>
            <w:vAlign w:val="top"/>
          </w:tcPr>
          <w:p>
            <w:pPr>
              <w:pStyle w:val="TableText"/>
              <w:ind w:left="230" w:right="107" w:hanging="116"/>
              <w:spacing w:before="38" w:line="216"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38" w:line="216"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87"/>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482" w:type="dxa"/>
            <w:vAlign w:val="top"/>
            <w:textDirection w:val="tbRlV"/>
          </w:tcPr>
          <w:p>
            <w:pPr>
              <w:pStyle w:val="TableText"/>
              <w:ind w:left="42"/>
              <w:spacing w:before="147" w:line="206" w:lineRule="auto"/>
              <w:rPr>
                <w:sz w:val="18"/>
                <w:szCs w:val="18"/>
              </w:rPr>
            </w:pPr>
            <w:r>
              <w:rPr>
                <w:sz w:val="18"/>
                <w:szCs w:val="18"/>
                <w:spacing w:val="28"/>
              </w:rPr>
              <w:t>萤石</w:t>
            </w:r>
          </w:p>
        </w:tc>
        <w:tc>
          <w:tcPr>
            <w:tcW w:w="728" w:type="dxa"/>
            <w:vAlign w:val="top"/>
          </w:tcPr>
          <w:p>
            <w:pPr>
              <w:ind w:left="280"/>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1080" w:type="dxa"/>
            <w:vAlign w:val="top"/>
          </w:tcPr>
          <w:p>
            <w:pPr>
              <w:ind w:left="199"/>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981-1014</w:t>
            </w:r>
          </w:p>
        </w:tc>
        <w:tc>
          <w:tcPr>
            <w:tcW w:w="881" w:type="dxa"/>
            <w:vAlign w:val="top"/>
          </w:tcPr>
          <w:p>
            <w:pPr>
              <w:ind w:left="235"/>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37-70</w:t>
            </w:r>
          </w:p>
        </w:tc>
        <w:tc>
          <w:tcPr>
            <w:tcW w:w="609" w:type="dxa"/>
            <w:vAlign w:val="top"/>
          </w:tcPr>
          <w:p>
            <w:pPr>
              <w:ind w:left="219"/>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1"/>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tc>
        <w:tc>
          <w:tcPr>
            <w:tcW w:w="1051" w:type="dxa"/>
            <w:vAlign w:val="top"/>
          </w:tcPr>
          <w:p>
            <w:pPr>
              <w:pStyle w:val="TableText"/>
              <w:ind w:left="354"/>
              <w:spacing w:before="53" w:line="224" w:lineRule="auto"/>
              <w:rPr>
                <w:sz w:val="18"/>
                <w:szCs w:val="18"/>
              </w:rPr>
            </w:pPr>
            <w:r>
              <w:rPr>
                <w:sz w:val="18"/>
                <w:szCs w:val="18"/>
                <w:spacing w:val="-6"/>
              </w:rPr>
              <w:t>脉状</w:t>
            </w:r>
          </w:p>
          <w:p>
            <w:pPr>
              <w:ind w:left="483"/>
              <w:spacing w:before="31"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6"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75°</w:t>
            </w:r>
          </w:p>
        </w:tc>
        <w:tc>
          <w:tcPr>
            <w:tcW w:w="1114" w:type="dxa"/>
            <w:vAlign w:val="top"/>
          </w:tcPr>
          <w:p>
            <w:pPr>
              <w:ind w:left="231"/>
              <w:spacing w:before="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1.17-1.44</w:t>
            </w:r>
          </w:p>
          <w:p>
            <w:pPr>
              <w:pStyle w:val="TableText"/>
              <w:ind w:left="192"/>
              <w:spacing w:before="26" w:line="206" w:lineRule="auto"/>
              <w:rPr>
                <w:sz w:val="18"/>
                <w:szCs w:val="18"/>
              </w:rPr>
            </w:pPr>
            <w:r>
              <w:rPr>
                <w:rFonts w:ascii="Times New Roman" w:hAnsi="Times New Roman" w:eastAsia="Times New Roman" w:cs="Times New Roman"/>
                <w:sz w:val="18"/>
                <w:szCs w:val="18"/>
                <w:spacing w:val="-4"/>
              </w:rPr>
              <w:t>1.31</w:t>
            </w:r>
            <w:r>
              <w:rPr>
                <w:sz w:val="18"/>
                <w:szCs w:val="18"/>
                <w:spacing w:val="-4"/>
              </w:rPr>
              <w:t>（</w:t>
            </w:r>
            <w:r>
              <w:rPr>
                <w:rFonts w:ascii="Times New Roman" w:hAnsi="Times New Roman" w:eastAsia="Times New Roman" w:cs="Times New Roman"/>
                <w:sz w:val="18"/>
                <w:szCs w:val="18"/>
                <w:spacing w:val="-4"/>
              </w:rPr>
              <w:t>2</w:t>
            </w:r>
            <w:r>
              <w:rPr>
                <w:sz w:val="18"/>
                <w:szCs w:val="18"/>
                <w:spacing w:val="-4"/>
              </w:rPr>
              <w:t>）</w:t>
            </w:r>
          </w:p>
        </w:tc>
        <w:tc>
          <w:tcPr>
            <w:tcW w:w="992" w:type="dxa"/>
            <w:vAlign w:val="top"/>
          </w:tcPr>
          <w:p>
            <w:pPr>
              <w:ind w:left="338"/>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2.79</w:t>
            </w:r>
          </w:p>
        </w:tc>
        <w:tc>
          <w:tcPr>
            <w:tcW w:w="1184" w:type="dxa"/>
            <w:vAlign w:val="top"/>
          </w:tcPr>
          <w:p>
            <w:pPr>
              <w:ind w:left="156"/>
              <w:spacing w:before="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49.41-52.06</w:t>
            </w:r>
          </w:p>
          <w:p>
            <w:pPr>
              <w:pStyle w:val="TableText"/>
              <w:ind w:left="169"/>
              <w:spacing w:before="26" w:line="206" w:lineRule="auto"/>
              <w:rPr>
                <w:sz w:val="18"/>
                <w:szCs w:val="18"/>
              </w:rPr>
            </w:pPr>
            <w:r>
              <w:rPr>
                <w:rFonts w:ascii="Times New Roman" w:hAnsi="Times New Roman" w:eastAsia="Times New Roman" w:cs="Times New Roman"/>
                <w:sz w:val="18"/>
                <w:szCs w:val="18"/>
                <w:spacing w:val="-2"/>
              </w:rPr>
              <w:t>50.87</w:t>
            </w:r>
            <w:r>
              <w:rPr>
                <w:sz w:val="18"/>
                <w:szCs w:val="18"/>
                <w:spacing w:val="-2"/>
              </w:rPr>
              <w:t>（</w:t>
            </w:r>
            <w:r>
              <w:rPr>
                <w:rFonts w:ascii="Times New Roman" w:hAnsi="Times New Roman" w:eastAsia="Times New Roman" w:cs="Times New Roman"/>
                <w:sz w:val="18"/>
                <w:szCs w:val="18"/>
                <w:spacing w:val="-2"/>
              </w:rPr>
              <w:t>2</w:t>
            </w:r>
            <w:r>
              <w:rPr>
                <w:sz w:val="18"/>
                <w:szCs w:val="18"/>
                <w:spacing w:val="-2"/>
              </w:rPr>
              <w:t>）</w:t>
            </w:r>
          </w:p>
        </w:tc>
        <w:tc>
          <w:tcPr>
            <w:tcW w:w="1116" w:type="dxa"/>
            <w:vAlign w:val="top"/>
          </w:tcPr>
          <w:p>
            <w:pPr>
              <w:ind w:left="360"/>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63.98</w:t>
            </w:r>
          </w:p>
        </w:tc>
        <w:tc>
          <w:tcPr>
            <w:tcW w:w="983" w:type="dxa"/>
            <w:vAlign w:val="top"/>
          </w:tcPr>
          <w:p>
            <w:pPr>
              <w:pStyle w:val="TableText"/>
              <w:ind w:left="230" w:right="107" w:hanging="120"/>
              <w:spacing w:before="41" w:line="215"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41" w:line="215"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187"/>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482" w:type="dxa"/>
            <w:vAlign w:val="top"/>
            <w:textDirection w:val="tbRlV"/>
          </w:tcPr>
          <w:p>
            <w:pPr>
              <w:pStyle w:val="TableText"/>
              <w:ind w:left="43"/>
              <w:spacing w:before="147" w:line="206" w:lineRule="auto"/>
              <w:rPr>
                <w:sz w:val="18"/>
                <w:szCs w:val="18"/>
              </w:rPr>
            </w:pPr>
            <w:r>
              <w:rPr>
                <w:sz w:val="18"/>
                <w:szCs w:val="18"/>
                <w:spacing w:val="28"/>
              </w:rPr>
              <w:t>萤石</w:t>
            </w:r>
          </w:p>
        </w:tc>
        <w:tc>
          <w:tcPr>
            <w:tcW w:w="728" w:type="dxa"/>
            <w:vAlign w:val="top"/>
          </w:tcPr>
          <w:p>
            <w:pPr>
              <w:ind w:left="280"/>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1080" w:type="dxa"/>
            <w:vAlign w:val="top"/>
          </w:tcPr>
          <w:p>
            <w:pPr>
              <w:ind w:left="244"/>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970-981</w:t>
            </w:r>
          </w:p>
        </w:tc>
        <w:tc>
          <w:tcPr>
            <w:tcW w:w="881" w:type="dxa"/>
            <w:vAlign w:val="top"/>
          </w:tcPr>
          <w:p>
            <w:pPr>
              <w:ind w:left="235"/>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69-80</w:t>
            </w:r>
          </w:p>
        </w:tc>
        <w:tc>
          <w:tcPr>
            <w:tcW w:w="609" w:type="dxa"/>
            <w:vAlign w:val="top"/>
          </w:tcPr>
          <w:p>
            <w:pPr>
              <w:ind w:left="219"/>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27"/>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1051" w:type="dxa"/>
            <w:vAlign w:val="top"/>
          </w:tcPr>
          <w:p>
            <w:pPr>
              <w:pStyle w:val="TableText"/>
              <w:ind w:left="263"/>
              <w:spacing w:before="56" w:line="224" w:lineRule="auto"/>
              <w:rPr>
                <w:sz w:val="18"/>
                <w:szCs w:val="18"/>
              </w:rPr>
            </w:pPr>
            <w:r>
              <w:rPr>
                <w:sz w:val="18"/>
                <w:szCs w:val="18"/>
                <w:spacing w:val="-4"/>
              </w:rPr>
              <w:t>透镜状</w:t>
            </w:r>
          </w:p>
          <w:p>
            <w:pPr>
              <w:ind w:left="483"/>
              <w:spacing w:before="30"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58"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75°</w:t>
            </w:r>
          </w:p>
        </w:tc>
        <w:tc>
          <w:tcPr>
            <w:tcW w:w="1114" w:type="dxa"/>
            <w:vAlign w:val="top"/>
          </w:tcPr>
          <w:p>
            <w:pPr>
              <w:ind w:left="214"/>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2.00-2.00</w:t>
            </w:r>
          </w:p>
          <w:p>
            <w:pPr>
              <w:pStyle w:val="TableText"/>
              <w:ind w:left="175"/>
              <w:spacing w:before="27" w:line="203" w:lineRule="auto"/>
              <w:rPr>
                <w:sz w:val="18"/>
                <w:szCs w:val="18"/>
              </w:rPr>
            </w:pPr>
            <w:r>
              <w:rPr>
                <w:rFonts w:ascii="Times New Roman" w:hAnsi="Times New Roman" w:eastAsia="Times New Roman" w:cs="Times New Roman"/>
                <w:sz w:val="18"/>
                <w:szCs w:val="18"/>
                <w:spacing w:val="-1"/>
              </w:rPr>
              <w:t>2.00</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992" w:type="dxa"/>
            <w:vAlign w:val="top"/>
          </w:tcPr>
          <w:p>
            <w:pPr>
              <w:ind w:left="471"/>
              <w:spacing w:before="265"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2"/>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51.93-51.93</w:t>
            </w:r>
          </w:p>
          <w:p>
            <w:pPr>
              <w:pStyle w:val="TableText"/>
              <w:ind w:left="169"/>
              <w:spacing w:before="27" w:line="203" w:lineRule="auto"/>
              <w:rPr>
                <w:sz w:val="18"/>
                <w:szCs w:val="18"/>
              </w:rPr>
            </w:pPr>
            <w:r>
              <w:rPr>
                <w:rFonts w:ascii="Times New Roman" w:hAnsi="Times New Roman" w:eastAsia="Times New Roman" w:cs="Times New Roman"/>
                <w:sz w:val="18"/>
                <w:szCs w:val="18"/>
                <w:spacing w:val="-2"/>
              </w:rPr>
              <w:t>51.93</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1116" w:type="dxa"/>
            <w:vAlign w:val="top"/>
          </w:tcPr>
          <w:p>
            <w:pPr>
              <w:ind w:left="373"/>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16.29</w:t>
            </w:r>
          </w:p>
        </w:tc>
        <w:tc>
          <w:tcPr>
            <w:tcW w:w="983" w:type="dxa"/>
            <w:vAlign w:val="top"/>
          </w:tcPr>
          <w:p>
            <w:pPr>
              <w:pStyle w:val="TableText"/>
              <w:ind w:left="230" w:right="107" w:hanging="116"/>
              <w:spacing w:before="44" w:line="213"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44" w:line="213"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op w:val="nil"/>
            </w:tcBorders>
          </w:tcPr>
          <w:p>
            <w:pPr>
              <w:rPr>
                <w:rFonts w:ascii="Arial"/>
                <w:sz w:val="21"/>
              </w:rPr>
            </w:pPr>
            <w:r/>
          </w:p>
        </w:tc>
        <w:tc>
          <w:tcPr>
            <w:tcW w:w="553" w:type="dxa"/>
            <w:vAlign w:val="top"/>
          </w:tcPr>
          <w:p>
            <w:pPr>
              <w:ind w:left="130"/>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10-1</w:t>
            </w:r>
          </w:p>
        </w:tc>
        <w:tc>
          <w:tcPr>
            <w:tcW w:w="482" w:type="dxa"/>
            <w:vAlign w:val="top"/>
            <w:textDirection w:val="tbRlV"/>
          </w:tcPr>
          <w:p>
            <w:pPr>
              <w:pStyle w:val="TableText"/>
              <w:ind w:right="6"/>
              <w:spacing w:before="147" w:line="206" w:lineRule="auto"/>
              <w:jc w:val="right"/>
              <w:rPr>
                <w:sz w:val="18"/>
                <w:szCs w:val="18"/>
              </w:rPr>
            </w:pPr>
            <w:r>
              <w:rPr>
                <w:sz w:val="18"/>
                <w:szCs w:val="18"/>
                <w:spacing w:val="28"/>
              </w:rPr>
              <w:t>萤石</w:t>
            </w:r>
          </w:p>
        </w:tc>
        <w:tc>
          <w:tcPr>
            <w:tcW w:w="728" w:type="dxa"/>
            <w:vAlign w:val="top"/>
          </w:tcPr>
          <w:p>
            <w:pPr>
              <w:ind w:left="280"/>
              <w:spacing w:before="19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tc>
        <w:tc>
          <w:tcPr>
            <w:tcW w:w="1080" w:type="dxa"/>
            <w:vAlign w:val="top"/>
          </w:tcPr>
          <w:p>
            <w:pPr>
              <w:ind w:left="167"/>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1001-1009</w:t>
            </w:r>
          </w:p>
        </w:tc>
        <w:tc>
          <w:tcPr>
            <w:tcW w:w="881" w:type="dxa"/>
            <w:vAlign w:val="top"/>
          </w:tcPr>
          <w:p>
            <w:pPr>
              <w:ind w:left="235"/>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35-43</w:t>
            </w:r>
          </w:p>
        </w:tc>
        <w:tc>
          <w:tcPr>
            <w:tcW w:w="609" w:type="dxa"/>
            <w:vAlign w:val="top"/>
          </w:tcPr>
          <w:p>
            <w:pPr>
              <w:ind w:left="219"/>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24"/>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1051" w:type="dxa"/>
            <w:vAlign w:val="top"/>
          </w:tcPr>
          <w:p>
            <w:pPr>
              <w:pStyle w:val="TableText"/>
              <w:ind w:left="263"/>
              <w:spacing w:before="58" w:line="224" w:lineRule="auto"/>
              <w:rPr>
                <w:sz w:val="18"/>
                <w:szCs w:val="18"/>
              </w:rPr>
            </w:pPr>
            <w:r>
              <w:rPr>
                <w:sz w:val="18"/>
                <w:szCs w:val="18"/>
                <w:spacing w:val="-4"/>
              </w:rPr>
              <w:t>透镜状</w:t>
            </w:r>
          </w:p>
          <w:p>
            <w:pPr>
              <w:ind w:left="483"/>
              <w:spacing w:before="3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61"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56°</w:t>
            </w:r>
          </w:p>
        </w:tc>
        <w:tc>
          <w:tcPr>
            <w:tcW w:w="1114" w:type="dxa"/>
            <w:vAlign w:val="top"/>
          </w:tcPr>
          <w:p>
            <w:pPr>
              <w:ind w:left="214"/>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2.00-2.00</w:t>
            </w:r>
          </w:p>
          <w:p>
            <w:pPr>
              <w:pStyle w:val="TableText"/>
              <w:ind w:left="175"/>
              <w:spacing w:before="24" w:line="203" w:lineRule="auto"/>
              <w:rPr>
                <w:sz w:val="18"/>
                <w:szCs w:val="18"/>
              </w:rPr>
            </w:pPr>
            <w:r>
              <w:rPr>
                <w:rFonts w:ascii="Times New Roman" w:hAnsi="Times New Roman" w:eastAsia="Times New Roman" w:cs="Times New Roman"/>
                <w:sz w:val="18"/>
                <w:szCs w:val="18"/>
                <w:spacing w:val="-1"/>
              </w:rPr>
              <w:t>2.00</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992" w:type="dxa"/>
            <w:vAlign w:val="top"/>
          </w:tcPr>
          <w:p>
            <w:pPr>
              <w:ind w:left="471"/>
              <w:spacing w:before="26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2"/>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51.83-64.07</w:t>
            </w:r>
          </w:p>
          <w:p>
            <w:pPr>
              <w:pStyle w:val="TableText"/>
              <w:ind w:left="169"/>
              <w:spacing w:before="24" w:line="203" w:lineRule="auto"/>
              <w:rPr>
                <w:sz w:val="18"/>
                <w:szCs w:val="18"/>
              </w:rPr>
            </w:pPr>
            <w:r>
              <w:rPr>
                <w:rFonts w:ascii="Times New Roman" w:hAnsi="Times New Roman" w:eastAsia="Times New Roman" w:cs="Times New Roman"/>
                <w:sz w:val="18"/>
                <w:szCs w:val="18"/>
                <w:spacing w:val="-2"/>
              </w:rPr>
              <w:t>56.91</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1116" w:type="dxa"/>
            <w:vAlign w:val="top"/>
          </w:tcPr>
          <w:p>
            <w:pPr>
              <w:ind w:left="360"/>
              <w:spacing w:before="1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52.17</w:t>
            </w:r>
          </w:p>
        </w:tc>
        <w:tc>
          <w:tcPr>
            <w:tcW w:w="983" w:type="dxa"/>
            <w:vAlign w:val="top"/>
          </w:tcPr>
          <w:p>
            <w:pPr>
              <w:pStyle w:val="TableText"/>
              <w:ind w:left="230" w:right="107" w:hanging="116"/>
              <w:spacing w:before="46" w:line="212"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46" w:line="212"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top w:val="nil"/>
            </w:tcBorders>
          </w:tcPr>
          <w:p>
            <w:pPr>
              <w:rPr>
                <w:rFonts w:ascii="Arial"/>
                <w:sz w:val="21"/>
              </w:rPr>
            </w:pPr>
            <w:r/>
          </w:p>
        </w:tc>
        <w:tc>
          <w:tcPr>
            <w:tcW w:w="553" w:type="dxa"/>
            <w:vAlign w:val="top"/>
          </w:tcPr>
          <w:p>
            <w:pPr>
              <w:ind w:left="130"/>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12-1</w:t>
            </w:r>
          </w:p>
        </w:tc>
        <w:tc>
          <w:tcPr>
            <w:tcW w:w="482" w:type="dxa"/>
            <w:vAlign w:val="top"/>
            <w:textDirection w:val="tbRlV"/>
          </w:tcPr>
          <w:p>
            <w:pPr>
              <w:pStyle w:val="TableText"/>
              <w:ind w:right="7"/>
              <w:spacing w:before="147" w:line="206" w:lineRule="auto"/>
              <w:jc w:val="right"/>
              <w:rPr>
                <w:sz w:val="18"/>
                <w:szCs w:val="18"/>
              </w:rPr>
            </w:pPr>
            <w:r>
              <w:rPr>
                <w:sz w:val="18"/>
                <w:szCs w:val="18"/>
                <w:spacing w:val="28"/>
              </w:rPr>
              <w:t>萤石</w:t>
            </w:r>
          </w:p>
        </w:tc>
        <w:tc>
          <w:tcPr>
            <w:tcW w:w="728" w:type="dxa"/>
            <w:vAlign w:val="top"/>
          </w:tcPr>
          <w:p>
            <w:pPr>
              <w:ind w:left="280"/>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tc>
        <w:tc>
          <w:tcPr>
            <w:tcW w:w="1080" w:type="dxa"/>
            <w:vAlign w:val="top"/>
          </w:tcPr>
          <w:p>
            <w:pPr>
              <w:ind w:left="244"/>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987-996</w:t>
            </w:r>
          </w:p>
        </w:tc>
        <w:tc>
          <w:tcPr>
            <w:tcW w:w="881" w:type="dxa"/>
            <w:vAlign w:val="top"/>
          </w:tcPr>
          <w:p>
            <w:pPr>
              <w:ind w:left="230"/>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47-57</w:t>
            </w:r>
          </w:p>
        </w:tc>
        <w:tc>
          <w:tcPr>
            <w:tcW w:w="609" w:type="dxa"/>
            <w:vAlign w:val="top"/>
          </w:tcPr>
          <w:p>
            <w:pPr>
              <w:ind w:left="219"/>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24"/>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1051" w:type="dxa"/>
            <w:vAlign w:val="top"/>
          </w:tcPr>
          <w:p>
            <w:pPr>
              <w:pStyle w:val="TableText"/>
              <w:ind w:left="263"/>
              <w:spacing w:before="59" w:line="224" w:lineRule="auto"/>
              <w:rPr>
                <w:sz w:val="18"/>
                <w:szCs w:val="18"/>
              </w:rPr>
            </w:pPr>
            <w:r>
              <w:rPr>
                <w:sz w:val="18"/>
                <w:szCs w:val="18"/>
                <w:spacing w:val="-4"/>
              </w:rPr>
              <w:t>透镜状</w:t>
            </w:r>
          </w:p>
          <w:p>
            <w:pPr>
              <w:ind w:left="483"/>
              <w:spacing w:before="33"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25"/>
              <w:spacing w:before="16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270°</w:t>
            </w:r>
            <w:r>
              <w:rPr>
                <w:rFonts w:ascii="SimSun" w:hAnsi="SimSun" w:eastAsia="SimSun" w:cs="SimSun"/>
                <w:sz w:val="18"/>
                <w:szCs w:val="18"/>
                <w:spacing w:val="-1"/>
              </w:rPr>
              <w:t>∠</w:t>
            </w:r>
            <w:r>
              <w:rPr>
                <w:rFonts w:ascii="Times New Roman" w:hAnsi="Times New Roman" w:eastAsia="Times New Roman" w:cs="Times New Roman"/>
                <w:sz w:val="18"/>
                <w:szCs w:val="18"/>
                <w:spacing w:val="-1"/>
              </w:rPr>
              <w:t>74</w:t>
            </w:r>
          </w:p>
        </w:tc>
        <w:tc>
          <w:tcPr>
            <w:tcW w:w="1114" w:type="dxa"/>
            <w:vAlign w:val="top"/>
          </w:tcPr>
          <w:p>
            <w:pPr>
              <w:ind w:left="231"/>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1.33-1.33</w:t>
            </w:r>
          </w:p>
          <w:p>
            <w:pPr>
              <w:pStyle w:val="TableText"/>
              <w:ind w:left="192"/>
              <w:spacing w:before="27" w:line="201" w:lineRule="auto"/>
              <w:rPr>
                <w:sz w:val="18"/>
                <w:szCs w:val="18"/>
              </w:rPr>
            </w:pPr>
            <w:r>
              <w:rPr>
                <w:rFonts w:ascii="Times New Roman" w:hAnsi="Times New Roman" w:eastAsia="Times New Roman" w:cs="Times New Roman"/>
                <w:sz w:val="18"/>
                <w:szCs w:val="18"/>
                <w:spacing w:val="-4"/>
              </w:rPr>
              <w:t>1.33</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Pr>
          <w:p>
            <w:pPr>
              <w:ind w:left="471"/>
              <w:spacing w:before="268"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0"/>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76.82-79.94</w:t>
            </w:r>
          </w:p>
          <w:p>
            <w:pPr>
              <w:pStyle w:val="TableText"/>
              <w:ind w:left="167"/>
              <w:spacing w:before="27" w:line="201" w:lineRule="auto"/>
              <w:rPr>
                <w:sz w:val="18"/>
                <w:szCs w:val="18"/>
              </w:rPr>
            </w:pPr>
            <w:r>
              <w:rPr>
                <w:rFonts w:ascii="Times New Roman" w:hAnsi="Times New Roman" w:eastAsia="Times New Roman" w:cs="Times New Roman"/>
                <w:sz w:val="18"/>
                <w:szCs w:val="18"/>
                <w:spacing w:val="-1"/>
              </w:rPr>
              <w:t>78.38</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405"/>
              <w:spacing w:before="1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6.21</w:t>
            </w:r>
          </w:p>
        </w:tc>
        <w:tc>
          <w:tcPr>
            <w:tcW w:w="983" w:type="dxa"/>
            <w:vAlign w:val="top"/>
          </w:tcPr>
          <w:p>
            <w:pPr>
              <w:pStyle w:val="TableText"/>
              <w:ind w:left="230" w:right="107" w:hanging="116"/>
              <w:spacing w:before="45" w:line="213" w:lineRule="auto"/>
              <w:rPr>
                <w:sz w:val="18"/>
                <w:szCs w:val="18"/>
              </w:rPr>
            </w:pPr>
            <w:r>
              <w:rPr>
                <w:rFonts w:ascii="Times New Roman" w:hAnsi="Times New Roman" w:eastAsia="Times New Roman" w:cs="Times New Roman"/>
                <w:sz w:val="18"/>
                <w:szCs w:val="18"/>
                <w:spacing w:val="-5"/>
              </w:rPr>
              <w:t>3</w:t>
            </w:r>
            <w:r>
              <w:rPr>
                <w:sz w:val="18"/>
                <w:szCs w:val="18"/>
                <w:spacing w:val="-5"/>
              </w:rPr>
              <w:t>（</w:t>
            </w: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14"/>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45" w:line="213" w:lineRule="auto"/>
              <w:rPr>
                <w:sz w:val="18"/>
                <w:szCs w:val="18"/>
              </w:rPr>
            </w:pPr>
            <w:r>
              <w:rPr>
                <w:sz w:val="18"/>
                <w:szCs w:val="18"/>
                <w:spacing w:val="-7"/>
              </w:rPr>
              <w:t>未动</w:t>
            </w:r>
            <w:r>
              <w:rPr>
                <w:sz w:val="18"/>
                <w:szCs w:val="18"/>
              </w:rPr>
              <w:t>用</w:t>
            </w:r>
          </w:p>
        </w:tc>
      </w:tr>
      <w:tr>
        <w:trPr>
          <w:trHeight w:val="470" w:hRule="atLeast"/>
        </w:trPr>
        <w:tc>
          <w:tcPr>
            <w:tcW w:w="473" w:type="dxa"/>
            <w:vAlign w:val="top"/>
            <w:tcBorders>
              <w:left w:val="nil"/>
              <w:bottom w:val="nil"/>
            </w:tcBorders>
          </w:tcPr>
          <w:p>
            <w:pPr>
              <w:rPr>
                <w:rFonts w:ascii="Arial"/>
                <w:sz w:val="21"/>
              </w:rPr>
            </w:pPr>
            <w:r/>
          </w:p>
        </w:tc>
        <w:tc>
          <w:tcPr>
            <w:tcW w:w="553" w:type="dxa"/>
            <w:vAlign w:val="top"/>
          </w:tcPr>
          <w:p>
            <w:pPr>
              <w:ind w:left="187"/>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482" w:type="dxa"/>
            <w:vAlign w:val="top"/>
            <w:textDirection w:val="tbRlV"/>
          </w:tcPr>
          <w:p>
            <w:pPr>
              <w:pStyle w:val="TableText"/>
              <w:ind w:right="4"/>
              <w:spacing w:before="147" w:line="206" w:lineRule="auto"/>
              <w:jc w:val="right"/>
              <w:rPr>
                <w:sz w:val="18"/>
                <w:szCs w:val="18"/>
              </w:rPr>
            </w:pPr>
            <w:r>
              <w:rPr>
                <w:sz w:val="18"/>
                <w:szCs w:val="18"/>
                <w:spacing w:val="28"/>
              </w:rPr>
              <w:t>萤石</w:t>
            </w:r>
          </w:p>
        </w:tc>
        <w:tc>
          <w:tcPr>
            <w:tcW w:w="728" w:type="dxa"/>
            <w:vAlign w:val="top"/>
          </w:tcPr>
          <w:p>
            <w:pPr>
              <w:ind w:left="321"/>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80" w:type="dxa"/>
            <w:vAlign w:val="top"/>
          </w:tcPr>
          <w:p>
            <w:pPr>
              <w:ind w:left="167"/>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1006-1023</w:t>
            </w:r>
          </w:p>
        </w:tc>
        <w:tc>
          <w:tcPr>
            <w:tcW w:w="881" w:type="dxa"/>
            <w:vAlign w:val="top"/>
          </w:tcPr>
          <w:p>
            <w:pPr>
              <w:ind w:left="397"/>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09" w:type="dxa"/>
            <w:vAlign w:val="top"/>
          </w:tcPr>
          <w:p>
            <w:pPr>
              <w:ind w:left="219"/>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24"/>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1051" w:type="dxa"/>
            <w:vAlign w:val="top"/>
          </w:tcPr>
          <w:p>
            <w:pPr>
              <w:pStyle w:val="TableText"/>
              <w:ind w:left="263"/>
              <w:spacing w:before="60" w:line="224" w:lineRule="auto"/>
              <w:rPr>
                <w:sz w:val="18"/>
                <w:szCs w:val="18"/>
              </w:rPr>
            </w:pPr>
            <w:r>
              <w:rPr>
                <w:sz w:val="18"/>
                <w:szCs w:val="18"/>
                <w:spacing w:val="-4"/>
              </w:rPr>
              <w:t>透镜状</w:t>
            </w:r>
          </w:p>
          <w:p>
            <w:pPr>
              <w:ind w:left="483"/>
              <w:spacing w:before="30"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62"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50°</w:t>
            </w:r>
          </w:p>
        </w:tc>
        <w:tc>
          <w:tcPr>
            <w:tcW w:w="1114" w:type="dxa"/>
            <w:vAlign w:val="top"/>
          </w:tcPr>
          <w:p>
            <w:pPr>
              <w:ind w:left="231"/>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1.54-1.54</w:t>
            </w:r>
          </w:p>
          <w:p>
            <w:pPr>
              <w:pStyle w:val="TableText"/>
              <w:ind w:left="192"/>
              <w:spacing w:before="27" w:line="198" w:lineRule="auto"/>
              <w:rPr>
                <w:sz w:val="18"/>
                <w:szCs w:val="18"/>
              </w:rPr>
            </w:pPr>
            <w:r>
              <w:rPr>
                <w:rFonts w:ascii="Times New Roman" w:hAnsi="Times New Roman" w:eastAsia="Times New Roman" w:cs="Times New Roman"/>
                <w:sz w:val="18"/>
                <w:szCs w:val="18"/>
                <w:spacing w:val="-4"/>
              </w:rPr>
              <w:t>1.54</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Pr>
          <w:p>
            <w:pPr>
              <w:ind w:left="471"/>
              <w:spacing w:before="27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2"/>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51.36-70.20</w:t>
            </w:r>
          </w:p>
          <w:p>
            <w:pPr>
              <w:pStyle w:val="TableText"/>
              <w:ind w:left="168"/>
              <w:spacing w:before="27" w:line="198" w:lineRule="auto"/>
              <w:rPr>
                <w:sz w:val="18"/>
                <w:szCs w:val="18"/>
              </w:rPr>
            </w:pPr>
            <w:r>
              <w:rPr>
                <w:rFonts w:ascii="Times New Roman" w:hAnsi="Times New Roman" w:eastAsia="Times New Roman" w:cs="Times New Roman"/>
                <w:sz w:val="18"/>
                <w:szCs w:val="18"/>
                <w:spacing w:val="-1"/>
              </w:rPr>
              <w:t>60.78</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10"/>
              <w:spacing w:before="1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291.99</w:t>
            </w:r>
          </w:p>
        </w:tc>
        <w:tc>
          <w:tcPr>
            <w:tcW w:w="983" w:type="dxa"/>
            <w:vAlign w:val="top"/>
          </w:tcPr>
          <w:p>
            <w:pPr>
              <w:pStyle w:val="TableText"/>
              <w:ind w:left="230" w:right="107" w:hanging="119"/>
              <w:spacing w:before="48" w:line="211" w:lineRule="auto"/>
              <w:rPr>
                <w:sz w:val="18"/>
                <w:szCs w:val="18"/>
              </w:rPr>
            </w:pPr>
            <w:r>
              <w:rPr>
                <w:rFonts w:ascii="Times New Roman" w:hAnsi="Times New Roman" w:eastAsia="Times New Roman" w:cs="Times New Roman"/>
                <w:sz w:val="18"/>
                <w:szCs w:val="18"/>
                <w:spacing w:val="-4"/>
              </w:rPr>
              <w:t>2</w:t>
            </w:r>
            <w:r>
              <w:rPr>
                <w:sz w:val="18"/>
                <w:szCs w:val="18"/>
                <w:spacing w:val="-4"/>
              </w:rPr>
              <w:t>（</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13"/>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48" w:line="211"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ind w:left="150"/>
              <w:spacing w:before="19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III</w:t>
            </w:r>
          </w:p>
        </w:tc>
        <w:tc>
          <w:tcPr>
            <w:tcW w:w="553" w:type="dxa"/>
            <w:vAlign w:val="top"/>
          </w:tcPr>
          <w:p>
            <w:pPr>
              <w:ind w:left="187"/>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482" w:type="dxa"/>
            <w:vAlign w:val="top"/>
            <w:textDirection w:val="tbRlV"/>
          </w:tcPr>
          <w:p>
            <w:pPr>
              <w:pStyle w:val="TableText"/>
              <w:ind w:right="3"/>
              <w:spacing w:before="147" w:line="206" w:lineRule="auto"/>
              <w:jc w:val="right"/>
              <w:rPr>
                <w:sz w:val="18"/>
                <w:szCs w:val="18"/>
              </w:rPr>
            </w:pPr>
            <w:r>
              <w:rPr>
                <w:sz w:val="18"/>
                <w:szCs w:val="18"/>
                <w:spacing w:val="28"/>
              </w:rPr>
              <w:t>萤石</w:t>
            </w:r>
          </w:p>
        </w:tc>
        <w:tc>
          <w:tcPr>
            <w:tcW w:w="728" w:type="dxa"/>
            <w:vAlign w:val="top"/>
          </w:tcPr>
          <w:p>
            <w:pPr>
              <w:ind w:left="206"/>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8-10</w:t>
            </w:r>
          </w:p>
        </w:tc>
        <w:tc>
          <w:tcPr>
            <w:tcW w:w="1080" w:type="dxa"/>
            <w:vAlign w:val="top"/>
          </w:tcPr>
          <w:p>
            <w:pPr>
              <w:ind w:left="167"/>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1016-1041</w:t>
            </w:r>
          </w:p>
        </w:tc>
        <w:tc>
          <w:tcPr>
            <w:tcW w:w="881" w:type="dxa"/>
            <w:vAlign w:val="top"/>
          </w:tcPr>
          <w:p>
            <w:pPr>
              <w:ind w:left="277"/>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0-71</w:t>
            </w:r>
          </w:p>
        </w:tc>
        <w:tc>
          <w:tcPr>
            <w:tcW w:w="609" w:type="dxa"/>
            <w:vAlign w:val="top"/>
          </w:tcPr>
          <w:p>
            <w:pPr>
              <w:ind w:left="186"/>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150</w:t>
            </w:r>
          </w:p>
        </w:tc>
        <w:tc>
          <w:tcPr>
            <w:tcW w:w="992" w:type="dxa"/>
            <w:vAlign w:val="top"/>
          </w:tcPr>
          <w:p>
            <w:pPr>
              <w:ind w:left="411"/>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68</w:t>
            </w:r>
          </w:p>
        </w:tc>
        <w:tc>
          <w:tcPr>
            <w:tcW w:w="1051" w:type="dxa"/>
            <w:vAlign w:val="top"/>
          </w:tcPr>
          <w:p>
            <w:pPr>
              <w:pStyle w:val="TableText"/>
              <w:ind w:left="354"/>
              <w:spacing w:before="62" w:line="224" w:lineRule="auto"/>
              <w:rPr>
                <w:sz w:val="18"/>
                <w:szCs w:val="18"/>
              </w:rPr>
            </w:pPr>
            <w:r>
              <w:rPr>
                <w:sz w:val="18"/>
                <w:szCs w:val="18"/>
                <w:spacing w:val="-6"/>
              </w:rPr>
              <w:t>脉状</w:t>
            </w:r>
          </w:p>
          <w:p>
            <w:pPr>
              <w:ind w:left="483"/>
              <w:spacing w:before="31" w:line="17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92"/>
              <w:spacing w:before="16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310°</w:t>
            </w:r>
            <w:r>
              <w:rPr>
                <w:rFonts w:ascii="SimSun" w:hAnsi="SimSun" w:eastAsia="SimSun" w:cs="SimSun"/>
                <w:sz w:val="18"/>
                <w:szCs w:val="18"/>
                <w:spacing w:val="-1"/>
              </w:rPr>
              <w:t>∠</w:t>
            </w:r>
            <w:r>
              <w:rPr>
                <w:rFonts w:ascii="Times New Roman" w:hAnsi="Times New Roman" w:eastAsia="Times New Roman" w:cs="Times New Roman"/>
                <w:sz w:val="18"/>
                <w:szCs w:val="18"/>
                <w:spacing w:val="-1"/>
              </w:rPr>
              <w:t>70°</w:t>
            </w:r>
          </w:p>
        </w:tc>
        <w:tc>
          <w:tcPr>
            <w:tcW w:w="1114" w:type="dxa"/>
            <w:vAlign w:val="top"/>
          </w:tcPr>
          <w:p>
            <w:pPr>
              <w:ind w:left="216"/>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0.49-1.73</w:t>
            </w:r>
          </w:p>
          <w:p>
            <w:pPr>
              <w:pStyle w:val="TableText"/>
              <w:ind w:left="192"/>
              <w:spacing w:before="27" w:line="197" w:lineRule="auto"/>
              <w:rPr>
                <w:sz w:val="18"/>
                <w:szCs w:val="18"/>
              </w:rPr>
            </w:pPr>
            <w:r>
              <w:rPr>
                <w:rFonts w:ascii="Times New Roman" w:hAnsi="Times New Roman" w:eastAsia="Times New Roman" w:cs="Times New Roman"/>
                <w:sz w:val="18"/>
                <w:szCs w:val="18"/>
                <w:spacing w:val="-4"/>
              </w:rPr>
              <w:t>1.03</w:t>
            </w:r>
            <w:r>
              <w:rPr>
                <w:sz w:val="18"/>
                <w:szCs w:val="18"/>
                <w:spacing w:val="-4"/>
              </w:rPr>
              <w:t>（</w:t>
            </w:r>
            <w:r>
              <w:rPr>
                <w:rFonts w:ascii="Times New Roman" w:hAnsi="Times New Roman" w:eastAsia="Times New Roman" w:cs="Times New Roman"/>
                <w:sz w:val="18"/>
                <w:szCs w:val="18"/>
                <w:spacing w:val="-4"/>
              </w:rPr>
              <w:t>4</w:t>
            </w:r>
            <w:r>
              <w:rPr>
                <w:sz w:val="18"/>
                <w:szCs w:val="18"/>
                <w:spacing w:val="-4"/>
              </w:rPr>
              <w:t>）</w:t>
            </w:r>
          </w:p>
        </w:tc>
        <w:tc>
          <w:tcPr>
            <w:tcW w:w="992" w:type="dxa"/>
            <w:vAlign w:val="top"/>
          </w:tcPr>
          <w:p>
            <w:pPr>
              <w:ind w:left="298"/>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38.96</w:t>
            </w:r>
          </w:p>
        </w:tc>
        <w:tc>
          <w:tcPr>
            <w:tcW w:w="1184" w:type="dxa"/>
            <w:vAlign w:val="top"/>
          </w:tcPr>
          <w:p>
            <w:pPr>
              <w:ind w:left="161"/>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31.18-47.41</w:t>
            </w:r>
          </w:p>
          <w:p>
            <w:pPr>
              <w:pStyle w:val="TableText"/>
              <w:ind w:left="163"/>
              <w:spacing w:before="27" w:line="197" w:lineRule="auto"/>
              <w:rPr>
                <w:sz w:val="18"/>
                <w:szCs w:val="18"/>
              </w:rPr>
            </w:pPr>
            <w:r>
              <w:rPr>
                <w:rFonts w:ascii="Times New Roman" w:hAnsi="Times New Roman" w:eastAsia="Times New Roman" w:cs="Times New Roman"/>
                <w:sz w:val="18"/>
                <w:szCs w:val="18"/>
                <w:spacing w:val="-1"/>
              </w:rPr>
              <w:t>43.47</w:t>
            </w:r>
            <w:r>
              <w:rPr>
                <w:sz w:val="18"/>
                <w:szCs w:val="18"/>
                <w:spacing w:val="-1"/>
              </w:rPr>
              <w:t>（</w:t>
            </w:r>
            <w:r>
              <w:rPr>
                <w:rFonts w:ascii="Times New Roman" w:hAnsi="Times New Roman" w:eastAsia="Times New Roman" w:cs="Times New Roman"/>
                <w:sz w:val="18"/>
                <w:szCs w:val="18"/>
                <w:spacing w:val="-1"/>
              </w:rPr>
              <w:t>4</w:t>
            </w:r>
            <w:r>
              <w:rPr>
                <w:sz w:val="18"/>
                <w:szCs w:val="18"/>
                <w:spacing w:val="-1"/>
              </w:rPr>
              <w:t>）</w:t>
            </w:r>
          </w:p>
        </w:tc>
        <w:tc>
          <w:tcPr>
            <w:tcW w:w="1116" w:type="dxa"/>
            <w:vAlign w:val="top"/>
          </w:tcPr>
          <w:p>
            <w:pPr>
              <w:ind w:left="327"/>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196.59</w:t>
            </w:r>
          </w:p>
        </w:tc>
        <w:tc>
          <w:tcPr>
            <w:tcW w:w="983" w:type="dxa"/>
            <w:vAlign w:val="top"/>
          </w:tcPr>
          <w:p>
            <w:pPr>
              <w:ind w:left="447"/>
              <w:spacing w:before="1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77" w:type="dxa"/>
            <w:vAlign w:val="top"/>
            <w:tcBorders>
              <w:right w:val="nil"/>
            </w:tcBorders>
          </w:tcPr>
          <w:p>
            <w:pPr>
              <w:pStyle w:val="TableText"/>
              <w:ind w:left="208" w:right="108" w:hanging="89"/>
              <w:spacing w:before="51" w:line="210" w:lineRule="auto"/>
              <w:rPr>
                <w:sz w:val="18"/>
                <w:szCs w:val="18"/>
              </w:rPr>
            </w:pPr>
            <w:r>
              <w:rPr>
                <w:sz w:val="18"/>
                <w:szCs w:val="18"/>
                <w:spacing w:val="-7"/>
              </w:rPr>
              <w:t>未动</w:t>
            </w:r>
            <w:r>
              <w:rPr>
                <w:sz w:val="18"/>
                <w:szCs w:val="18"/>
              </w:rPr>
              <w:t>用</w:t>
            </w:r>
          </w:p>
        </w:tc>
      </w:tr>
      <w:tr>
        <w:trPr>
          <w:trHeight w:val="492" w:hRule="atLeast"/>
        </w:trPr>
        <w:tc>
          <w:tcPr>
            <w:tcW w:w="473" w:type="dxa"/>
            <w:vAlign w:val="top"/>
            <w:tcBorders>
              <w:left w:val="nil"/>
              <w:top w:val="nil"/>
              <w:bottom w:val="single" w:color="000000" w:sz="10" w:space="0"/>
            </w:tcBorders>
          </w:tcPr>
          <w:p>
            <w:pPr>
              <w:rPr>
                <w:rFonts w:ascii="Arial"/>
                <w:sz w:val="21"/>
              </w:rPr>
            </w:pPr>
            <w:r/>
          </w:p>
        </w:tc>
        <w:tc>
          <w:tcPr>
            <w:tcW w:w="553" w:type="dxa"/>
            <w:vAlign w:val="top"/>
            <w:tcBorders>
              <w:bottom w:val="single" w:color="000000" w:sz="10" w:space="0"/>
            </w:tcBorders>
          </w:tcPr>
          <w:p>
            <w:pPr>
              <w:ind w:left="187"/>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482" w:type="dxa"/>
            <w:vAlign w:val="top"/>
            <w:textDirection w:val="tbRlV"/>
            <w:tcBorders>
              <w:bottom w:val="single" w:color="000000" w:sz="10" w:space="0"/>
            </w:tcBorders>
          </w:tcPr>
          <w:p>
            <w:pPr>
              <w:pStyle w:val="TableText"/>
              <w:ind w:left="49"/>
              <w:spacing w:before="147" w:line="206" w:lineRule="auto"/>
              <w:rPr>
                <w:sz w:val="18"/>
                <w:szCs w:val="18"/>
              </w:rPr>
            </w:pPr>
            <w:r>
              <w:rPr>
                <w:sz w:val="18"/>
                <w:szCs w:val="18"/>
                <w:spacing w:val="28"/>
              </w:rPr>
              <w:t>萤石</w:t>
            </w:r>
          </w:p>
        </w:tc>
        <w:tc>
          <w:tcPr>
            <w:tcW w:w="728" w:type="dxa"/>
            <w:vAlign w:val="top"/>
            <w:tcBorders>
              <w:bottom w:val="single" w:color="000000" w:sz="10" w:space="0"/>
            </w:tcBorders>
          </w:tcPr>
          <w:p>
            <w:pPr>
              <w:ind w:left="19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2-26</w:t>
            </w:r>
          </w:p>
        </w:tc>
        <w:tc>
          <w:tcPr>
            <w:tcW w:w="1080" w:type="dxa"/>
            <w:vAlign w:val="top"/>
            <w:tcBorders>
              <w:bottom w:val="single" w:color="000000" w:sz="10" w:space="0"/>
            </w:tcBorders>
          </w:tcPr>
          <w:p>
            <w:pPr>
              <w:ind w:left="19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943-1049</w:t>
            </w:r>
          </w:p>
        </w:tc>
        <w:tc>
          <w:tcPr>
            <w:tcW w:w="881" w:type="dxa"/>
            <w:vAlign w:val="top"/>
            <w:tcBorders>
              <w:bottom w:val="single" w:color="000000" w:sz="10" w:space="0"/>
            </w:tcBorders>
          </w:tcPr>
          <w:p>
            <w:pPr>
              <w:ind w:left="277"/>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0-99</w:t>
            </w:r>
          </w:p>
        </w:tc>
        <w:tc>
          <w:tcPr>
            <w:tcW w:w="609" w:type="dxa"/>
            <w:vAlign w:val="top"/>
            <w:tcBorders>
              <w:bottom w:val="single" w:color="000000" w:sz="10" w:space="0"/>
            </w:tcBorders>
          </w:tcPr>
          <w:p>
            <w:pPr>
              <w:ind w:left="168"/>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494</w:t>
            </w:r>
          </w:p>
        </w:tc>
        <w:tc>
          <w:tcPr>
            <w:tcW w:w="992" w:type="dxa"/>
            <w:vAlign w:val="top"/>
            <w:tcBorders>
              <w:bottom w:val="single" w:color="000000" w:sz="10" w:space="0"/>
            </w:tcBorders>
          </w:tcPr>
          <w:p>
            <w:pPr>
              <w:ind w:left="414"/>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87</w:t>
            </w:r>
          </w:p>
        </w:tc>
        <w:tc>
          <w:tcPr>
            <w:tcW w:w="1051" w:type="dxa"/>
            <w:vAlign w:val="top"/>
            <w:tcBorders>
              <w:bottom w:val="single" w:color="000000" w:sz="10" w:space="0"/>
            </w:tcBorders>
          </w:tcPr>
          <w:p>
            <w:pPr>
              <w:pStyle w:val="TableText"/>
              <w:ind w:left="354"/>
              <w:spacing w:before="61"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Borders>
              <w:bottom w:val="single" w:color="000000" w:sz="10" w:space="0"/>
            </w:tcBorders>
          </w:tcPr>
          <w:p>
            <w:pPr>
              <w:ind w:left="289"/>
              <w:spacing w:before="164"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64°</w:t>
            </w:r>
          </w:p>
        </w:tc>
        <w:tc>
          <w:tcPr>
            <w:tcW w:w="1114" w:type="dxa"/>
            <w:vAlign w:val="top"/>
            <w:tcBorders>
              <w:bottom w:val="single" w:color="000000" w:sz="10" w:space="0"/>
            </w:tcBorders>
          </w:tcPr>
          <w:p>
            <w:pPr>
              <w:ind w:left="171"/>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0.37-12.79</w:t>
            </w:r>
          </w:p>
          <w:p>
            <w:pPr>
              <w:pStyle w:val="TableText"/>
              <w:ind w:left="134"/>
              <w:spacing w:before="27" w:line="219" w:lineRule="auto"/>
              <w:rPr>
                <w:sz w:val="18"/>
                <w:szCs w:val="18"/>
              </w:rPr>
            </w:pPr>
            <w:r>
              <w:rPr>
                <w:rFonts w:ascii="Times New Roman" w:hAnsi="Times New Roman" w:eastAsia="Times New Roman" w:cs="Times New Roman"/>
                <w:sz w:val="18"/>
                <w:szCs w:val="18"/>
                <w:spacing w:val="-1"/>
              </w:rPr>
              <w:t>2.95</w:t>
            </w:r>
            <w:r>
              <w:rPr>
                <w:sz w:val="18"/>
                <w:szCs w:val="18"/>
                <w:spacing w:val="-1"/>
              </w:rPr>
              <w:t>（</w:t>
            </w:r>
            <w:r>
              <w:rPr>
                <w:rFonts w:ascii="Times New Roman" w:hAnsi="Times New Roman" w:eastAsia="Times New Roman" w:cs="Times New Roman"/>
                <w:sz w:val="18"/>
                <w:szCs w:val="18"/>
                <w:spacing w:val="-1"/>
              </w:rPr>
              <w:t>11</w:t>
            </w:r>
            <w:r>
              <w:rPr>
                <w:sz w:val="18"/>
                <w:szCs w:val="18"/>
                <w:spacing w:val="-1"/>
              </w:rPr>
              <w:t>）</w:t>
            </w:r>
          </w:p>
        </w:tc>
        <w:tc>
          <w:tcPr>
            <w:tcW w:w="992" w:type="dxa"/>
            <w:vAlign w:val="top"/>
            <w:tcBorders>
              <w:bottom w:val="single" w:color="000000" w:sz="10" w:space="0"/>
            </w:tcBorders>
          </w:tcPr>
          <w:p>
            <w:pPr>
              <w:ind w:left="248"/>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452.07</w:t>
            </w:r>
          </w:p>
        </w:tc>
        <w:tc>
          <w:tcPr>
            <w:tcW w:w="1184" w:type="dxa"/>
            <w:vAlign w:val="top"/>
            <w:tcBorders>
              <w:bottom w:val="single" w:color="000000" w:sz="10" w:space="0"/>
            </w:tcBorders>
          </w:tcPr>
          <w:p>
            <w:pPr>
              <w:ind w:left="157"/>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26.52-87.67</w:t>
            </w:r>
          </w:p>
          <w:p>
            <w:pPr>
              <w:pStyle w:val="TableText"/>
              <w:ind w:left="123"/>
              <w:spacing w:before="27" w:line="219" w:lineRule="auto"/>
              <w:rPr>
                <w:sz w:val="18"/>
                <w:szCs w:val="18"/>
              </w:rPr>
            </w:pPr>
            <w:r>
              <w:rPr>
                <w:rFonts w:ascii="Times New Roman" w:hAnsi="Times New Roman" w:eastAsia="Times New Roman" w:cs="Times New Roman"/>
                <w:sz w:val="18"/>
                <w:szCs w:val="18"/>
                <w:spacing w:val="-1"/>
              </w:rPr>
              <w:t>40.66</w:t>
            </w:r>
            <w:r>
              <w:rPr>
                <w:sz w:val="18"/>
                <w:szCs w:val="18"/>
                <w:spacing w:val="-1"/>
              </w:rPr>
              <w:t>（</w:t>
            </w:r>
            <w:r>
              <w:rPr>
                <w:rFonts w:ascii="Times New Roman" w:hAnsi="Times New Roman" w:eastAsia="Times New Roman" w:cs="Times New Roman"/>
                <w:sz w:val="18"/>
                <w:szCs w:val="18"/>
                <w:spacing w:val="-1"/>
              </w:rPr>
              <w:t>11</w:t>
            </w:r>
            <w:r>
              <w:rPr>
                <w:sz w:val="18"/>
                <w:szCs w:val="18"/>
                <w:spacing w:val="-1"/>
              </w:rPr>
              <w:t>）</w:t>
            </w:r>
          </w:p>
        </w:tc>
        <w:tc>
          <w:tcPr>
            <w:tcW w:w="1116" w:type="dxa"/>
            <w:vAlign w:val="top"/>
            <w:tcBorders>
              <w:bottom w:val="single" w:color="000000" w:sz="10" w:space="0"/>
            </w:tcBorders>
          </w:tcPr>
          <w:p>
            <w:pPr>
              <w:ind w:left="284"/>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1046.82</w:t>
            </w:r>
          </w:p>
        </w:tc>
        <w:tc>
          <w:tcPr>
            <w:tcW w:w="983" w:type="dxa"/>
            <w:vAlign w:val="top"/>
            <w:tcBorders>
              <w:bottom w:val="single" w:color="000000" w:sz="10" w:space="0"/>
            </w:tcBorders>
          </w:tcPr>
          <w:p>
            <w:pPr>
              <w:pStyle w:val="TableText"/>
              <w:ind w:left="230" w:right="83" w:hanging="126"/>
              <w:spacing w:before="49" w:line="222" w:lineRule="auto"/>
              <w:rPr>
                <w:sz w:val="18"/>
                <w:szCs w:val="18"/>
              </w:rPr>
            </w:pPr>
            <w:r>
              <w:rPr>
                <w:rFonts w:ascii="Times New Roman" w:hAnsi="Times New Roman" w:eastAsia="Times New Roman" w:cs="Times New Roman"/>
                <w:sz w:val="18"/>
                <w:szCs w:val="18"/>
                <w:spacing w:val="-13"/>
              </w:rPr>
              <w:t>17</w:t>
            </w:r>
            <w:r>
              <w:rPr>
                <w:sz w:val="18"/>
                <w:szCs w:val="18"/>
                <w:spacing w:val="-13"/>
              </w:rPr>
              <w:t>（</w:t>
            </w:r>
            <w:r>
              <w:rPr>
                <w:rFonts w:ascii="Times New Roman" w:hAnsi="Times New Roman" w:eastAsia="Times New Roman" w:cs="Times New Roman"/>
                <w:sz w:val="18"/>
                <w:szCs w:val="18"/>
                <w:spacing w:val="-13"/>
              </w:rPr>
              <w:t>6</w:t>
            </w:r>
            <w:r>
              <w:rPr>
                <w:rFonts w:ascii="Times New Roman" w:hAnsi="Times New Roman" w:eastAsia="Times New Roman" w:cs="Times New Roman"/>
                <w:sz w:val="18"/>
                <w:szCs w:val="18"/>
                <w:spacing w:val="12"/>
              </w:rPr>
              <w:t xml:space="preserve"> </w:t>
            </w:r>
            <w:r>
              <w:rPr>
                <w:sz w:val="18"/>
                <w:szCs w:val="18"/>
                <w:spacing w:val="-13"/>
              </w:rPr>
              <w:t>个未</w:t>
            </w:r>
            <w:r>
              <w:rPr>
                <w:sz w:val="18"/>
                <w:szCs w:val="18"/>
                <w:spacing w:val="-5"/>
              </w:rPr>
              <w:t>见矿）</w:t>
            </w:r>
          </w:p>
        </w:tc>
        <w:tc>
          <w:tcPr>
            <w:tcW w:w="577" w:type="dxa"/>
            <w:vAlign w:val="top"/>
            <w:tcBorders>
              <w:right w:val="nil"/>
              <w:bottom w:val="single" w:color="000000" w:sz="10" w:space="0"/>
            </w:tcBorders>
          </w:tcPr>
          <w:p>
            <w:pPr>
              <w:pStyle w:val="TableText"/>
              <w:ind w:left="208" w:right="108" w:hanging="89"/>
              <w:spacing w:before="49" w:line="222" w:lineRule="auto"/>
              <w:rPr>
                <w:sz w:val="18"/>
                <w:szCs w:val="18"/>
              </w:rPr>
            </w:pPr>
            <w:r>
              <w:rPr>
                <w:sz w:val="18"/>
                <w:szCs w:val="18"/>
                <w:spacing w:val="-7"/>
              </w:rPr>
              <w:t>未动</w:t>
            </w:r>
            <w:r>
              <w:rPr>
                <w:sz w:val="18"/>
                <w:szCs w:val="18"/>
              </w:rPr>
              <w:t>用</w:t>
            </w:r>
          </w:p>
        </w:tc>
      </w:tr>
    </w:tbl>
    <w:p>
      <w:pPr>
        <w:pStyle w:val="BodyText"/>
        <w:rPr/>
      </w:pPr>
      <w:r/>
    </w:p>
    <w:p>
      <w:pPr>
        <w:sectPr>
          <w:footerReference w:type="default" r:id="rId111"/>
          <w:pgSz w:w="16839" w:h="11911"/>
          <w:pgMar w:top="400" w:right="1335" w:bottom="1147" w:left="1335" w:header="0" w:footer="984"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16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553"/>
        <w:gridCol w:w="482"/>
        <w:gridCol w:w="728"/>
        <w:gridCol w:w="1080"/>
        <w:gridCol w:w="881"/>
        <w:gridCol w:w="609"/>
        <w:gridCol w:w="992"/>
        <w:gridCol w:w="1051"/>
        <w:gridCol w:w="1352"/>
        <w:gridCol w:w="1114"/>
        <w:gridCol w:w="992"/>
        <w:gridCol w:w="1184"/>
        <w:gridCol w:w="1116"/>
        <w:gridCol w:w="983"/>
        <w:gridCol w:w="577"/>
      </w:tblGrid>
      <w:tr>
        <w:trPr>
          <w:trHeight w:val="476" w:hRule="atLeast"/>
        </w:trPr>
        <w:tc>
          <w:tcPr>
            <w:tcW w:w="473" w:type="dxa"/>
            <w:vAlign w:val="top"/>
            <w:tcBorders>
              <w:left w:val="nil"/>
              <w:bottom w:val="nil"/>
              <w:top w:val="single" w:color="000000" w:sz="10" w:space="0"/>
            </w:tcBorders>
          </w:tcPr>
          <w:p>
            <w:pPr>
              <w:rPr>
                <w:rFonts w:ascii="Arial"/>
                <w:sz w:val="21"/>
              </w:rPr>
            </w:pPr>
            <w:r/>
          </w:p>
        </w:tc>
        <w:tc>
          <w:tcPr>
            <w:tcW w:w="553" w:type="dxa"/>
            <w:vAlign w:val="top"/>
            <w:tcBorders>
              <w:top w:val="single" w:color="000000" w:sz="10" w:space="0"/>
            </w:tcBorders>
          </w:tcPr>
          <w:p>
            <w:pPr>
              <w:ind w:left="187"/>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482" w:type="dxa"/>
            <w:vAlign w:val="top"/>
            <w:textDirection w:val="tbRlV"/>
            <w:tcBorders>
              <w:top w:val="single" w:color="000000" w:sz="10" w:space="0"/>
            </w:tcBorders>
          </w:tcPr>
          <w:p>
            <w:pPr>
              <w:pStyle w:val="TableText"/>
              <w:ind w:left="33"/>
              <w:spacing w:before="147" w:line="206" w:lineRule="auto"/>
              <w:rPr>
                <w:sz w:val="18"/>
                <w:szCs w:val="18"/>
              </w:rPr>
            </w:pPr>
            <w:r>
              <w:rPr>
                <w:sz w:val="18"/>
                <w:szCs w:val="18"/>
                <w:spacing w:val="28"/>
              </w:rPr>
              <w:t>萤石</w:t>
            </w:r>
          </w:p>
        </w:tc>
        <w:tc>
          <w:tcPr>
            <w:tcW w:w="728" w:type="dxa"/>
            <w:vAlign w:val="top"/>
            <w:tcBorders>
              <w:top w:val="single" w:color="000000" w:sz="10" w:space="0"/>
            </w:tcBorders>
          </w:tcPr>
          <w:p>
            <w:pPr>
              <w:ind w:left="32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80" w:type="dxa"/>
            <w:vAlign w:val="top"/>
            <w:tcBorders>
              <w:top w:val="single" w:color="000000" w:sz="10" w:space="0"/>
            </w:tcBorders>
          </w:tcPr>
          <w:p>
            <w:pPr>
              <w:ind w:left="167"/>
              <w:spacing w:before="179" w:line="188" w:lineRule="auto"/>
              <w:rPr>
                <w:rFonts w:ascii="Times New Roman" w:hAnsi="Times New Roman" w:eastAsia="Times New Roman" w:cs="Times New Roman"/>
                <w:sz w:val="18"/>
                <w:szCs w:val="18"/>
              </w:rPr>
            </w:pPr>
            <w:bookmarkStart w:name="bookmark542" w:id="196"/>
            <w:bookmarkEnd w:id="196"/>
            <w:r>
              <w:rPr>
                <w:rFonts w:ascii="Times New Roman" w:hAnsi="Times New Roman" w:eastAsia="Times New Roman" w:cs="Times New Roman"/>
                <w:sz w:val="18"/>
                <w:szCs w:val="18"/>
                <w:spacing w:val="-3"/>
              </w:rPr>
              <w:t>1025-1039</w:t>
            </w:r>
          </w:p>
        </w:tc>
        <w:tc>
          <w:tcPr>
            <w:tcW w:w="881" w:type="dxa"/>
            <w:vAlign w:val="top"/>
            <w:tcBorders>
              <w:top w:val="single" w:color="000000" w:sz="10" w:space="0"/>
            </w:tcBorders>
          </w:tcPr>
          <w:p>
            <w:pPr>
              <w:ind w:left="24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18-45</w:t>
            </w:r>
          </w:p>
        </w:tc>
        <w:tc>
          <w:tcPr>
            <w:tcW w:w="609" w:type="dxa"/>
            <w:vAlign w:val="top"/>
            <w:tcBorders>
              <w:top w:val="single" w:color="000000" w:sz="10" w:space="0"/>
            </w:tcBorders>
          </w:tcPr>
          <w:p>
            <w:pPr>
              <w:ind w:left="21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Borders>
              <w:top w:val="single" w:color="000000" w:sz="10" w:space="0"/>
            </w:tcBorders>
          </w:tcPr>
          <w:p>
            <w:pPr>
              <w:ind w:left="41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1051" w:type="dxa"/>
            <w:vAlign w:val="top"/>
            <w:tcBorders>
              <w:top w:val="single" w:color="000000" w:sz="10" w:space="0"/>
            </w:tcBorders>
          </w:tcPr>
          <w:p>
            <w:pPr>
              <w:pStyle w:val="TableText"/>
              <w:ind w:left="354"/>
              <w:spacing w:before="44"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Borders>
              <w:top w:val="single" w:color="000000" w:sz="10" w:space="0"/>
            </w:tcBorders>
          </w:tcPr>
          <w:p>
            <w:pPr>
              <w:ind w:left="311"/>
              <w:spacing w:before="147"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w:t>
            </w:r>
            <w:r>
              <w:rPr>
                <w:rFonts w:ascii="SimSun" w:hAnsi="SimSun" w:eastAsia="SimSun" w:cs="SimSun"/>
                <w:sz w:val="18"/>
                <w:szCs w:val="18"/>
                <w:spacing w:val="-4"/>
              </w:rPr>
              <w:t>∠</w:t>
            </w:r>
            <w:r>
              <w:rPr>
                <w:rFonts w:ascii="Times New Roman" w:hAnsi="Times New Roman" w:eastAsia="Times New Roman" w:cs="Times New Roman"/>
                <w:sz w:val="18"/>
                <w:szCs w:val="18"/>
                <w:spacing w:val="-4"/>
              </w:rPr>
              <w:t>57°</w:t>
            </w:r>
          </w:p>
        </w:tc>
        <w:tc>
          <w:tcPr>
            <w:tcW w:w="1114" w:type="dxa"/>
            <w:vAlign w:val="top"/>
            <w:tcBorders>
              <w:top w:val="single" w:color="000000" w:sz="10" w:space="0"/>
            </w:tcBorders>
          </w:tcPr>
          <w:p>
            <w:pPr>
              <w:ind w:left="21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0.67-9.94</w:t>
            </w:r>
          </w:p>
          <w:p>
            <w:pPr>
              <w:pStyle w:val="TableText"/>
              <w:ind w:left="180"/>
              <w:spacing w:before="25" w:line="222" w:lineRule="auto"/>
              <w:rPr>
                <w:sz w:val="18"/>
                <w:szCs w:val="18"/>
              </w:rPr>
            </w:pPr>
            <w:r>
              <w:rPr>
                <w:rFonts w:ascii="Times New Roman" w:hAnsi="Times New Roman" w:eastAsia="Times New Roman" w:cs="Times New Roman"/>
                <w:sz w:val="18"/>
                <w:szCs w:val="18"/>
                <w:spacing w:val="-2"/>
              </w:rPr>
              <w:t>5.31</w:t>
            </w:r>
            <w:r>
              <w:rPr>
                <w:sz w:val="18"/>
                <w:szCs w:val="18"/>
                <w:spacing w:val="-2"/>
              </w:rPr>
              <w:t>（</w:t>
            </w:r>
            <w:r>
              <w:rPr>
                <w:rFonts w:ascii="Times New Roman" w:hAnsi="Times New Roman" w:eastAsia="Times New Roman" w:cs="Times New Roman"/>
                <w:sz w:val="18"/>
                <w:szCs w:val="18"/>
                <w:spacing w:val="-2"/>
              </w:rPr>
              <w:t>2</w:t>
            </w:r>
            <w:r>
              <w:rPr>
                <w:sz w:val="18"/>
                <w:szCs w:val="18"/>
                <w:spacing w:val="-2"/>
              </w:rPr>
              <w:t>）</w:t>
            </w:r>
          </w:p>
        </w:tc>
        <w:tc>
          <w:tcPr>
            <w:tcW w:w="992" w:type="dxa"/>
            <w:vAlign w:val="top"/>
            <w:tcBorders>
              <w:top w:val="single" w:color="000000" w:sz="10" w:space="0"/>
            </w:tcBorders>
          </w:tcPr>
          <w:p>
            <w:pPr>
              <w:ind w:left="256"/>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809.92</w:t>
            </w:r>
          </w:p>
        </w:tc>
        <w:tc>
          <w:tcPr>
            <w:tcW w:w="1184" w:type="dxa"/>
            <w:vAlign w:val="top"/>
            <w:tcBorders>
              <w:top w:val="single" w:color="000000" w:sz="10" w:space="0"/>
            </w:tcBorders>
          </w:tcPr>
          <w:p>
            <w:pPr>
              <w:ind w:left="162"/>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50.63-78.34</w:t>
            </w:r>
          </w:p>
          <w:p>
            <w:pPr>
              <w:pStyle w:val="TableText"/>
              <w:ind w:left="169"/>
              <w:spacing w:before="25" w:line="222" w:lineRule="auto"/>
              <w:rPr>
                <w:sz w:val="18"/>
                <w:szCs w:val="18"/>
              </w:rPr>
            </w:pPr>
            <w:r>
              <w:rPr>
                <w:rFonts w:ascii="Times New Roman" w:hAnsi="Times New Roman" w:eastAsia="Times New Roman" w:cs="Times New Roman"/>
                <w:sz w:val="18"/>
                <w:szCs w:val="18"/>
                <w:spacing w:val="-2"/>
              </w:rPr>
              <w:t>52.32</w:t>
            </w:r>
            <w:r>
              <w:rPr>
                <w:sz w:val="18"/>
                <w:szCs w:val="18"/>
                <w:spacing w:val="-2"/>
              </w:rPr>
              <w:t>（</w:t>
            </w:r>
            <w:r>
              <w:rPr>
                <w:rFonts w:ascii="Times New Roman" w:hAnsi="Times New Roman" w:eastAsia="Times New Roman" w:cs="Times New Roman"/>
                <w:sz w:val="18"/>
                <w:szCs w:val="18"/>
                <w:spacing w:val="-2"/>
              </w:rPr>
              <w:t>2</w:t>
            </w:r>
            <w:r>
              <w:rPr>
                <w:sz w:val="18"/>
                <w:szCs w:val="18"/>
                <w:spacing w:val="-2"/>
              </w:rPr>
              <w:t>）</w:t>
            </w:r>
          </w:p>
        </w:tc>
        <w:tc>
          <w:tcPr>
            <w:tcW w:w="1116" w:type="dxa"/>
            <w:vAlign w:val="top"/>
            <w:tcBorders>
              <w:top w:val="single" w:color="000000" w:sz="10" w:space="0"/>
            </w:tcBorders>
          </w:tcPr>
          <w:p>
            <w:pPr>
              <w:ind w:left="31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631.90</w:t>
            </w:r>
          </w:p>
        </w:tc>
        <w:tc>
          <w:tcPr>
            <w:tcW w:w="983" w:type="dxa"/>
            <w:vAlign w:val="top"/>
            <w:tcBorders>
              <w:top w:val="single" w:color="000000" w:sz="10" w:space="0"/>
            </w:tcBorders>
          </w:tcPr>
          <w:p>
            <w:pPr>
              <w:pStyle w:val="TableText"/>
              <w:ind w:left="230" w:right="107" w:hanging="119"/>
              <w:spacing w:before="33" w:line="222" w:lineRule="auto"/>
              <w:rPr>
                <w:sz w:val="18"/>
                <w:szCs w:val="18"/>
              </w:rPr>
            </w:pPr>
            <w:r>
              <w:rPr>
                <w:rFonts w:ascii="Times New Roman" w:hAnsi="Times New Roman" w:eastAsia="Times New Roman" w:cs="Times New Roman"/>
                <w:sz w:val="18"/>
                <w:szCs w:val="18"/>
                <w:spacing w:val="-4"/>
              </w:rPr>
              <w:t>2</w:t>
            </w:r>
            <w:r>
              <w:rPr>
                <w:sz w:val="18"/>
                <w:szCs w:val="18"/>
                <w:spacing w:val="-4"/>
              </w:rPr>
              <w:t>（</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13"/>
              </w:rPr>
              <w:t xml:space="preserve"> </w:t>
            </w:r>
            <w:r>
              <w:rPr>
                <w:sz w:val="18"/>
                <w:szCs w:val="18"/>
                <w:spacing w:val="-4"/>
              </w:rPr>
              <w:t>个未</w:t>
            </w:r>
            <w:r>
              <w:rPr>
                <w:sz w:val="18"/>
                <w:szCs w:val="18"/>
                <w:spacing w:val="-5"/>
              </w:rPr>
              <w:t>见矿）</w:t>
            </w:r>
          </w:p>
        </w:tc>
        <w:tc>
          <w:tcPr>
            <w:tcW w:w="577" w:type="dxa"/>
            <w:vAlign w:val="top"/>
            <w:tcBorders>
              <w:right w:val="nil"/>
              <w:top w:val="single" w:color="000000" w:sz="10" w:space="0"/>
            </w:tcBorders>
          </w:tcPr>
          <w:p>
            <w:pPr>
              <w:pStyle w:val="TableText"/>
              <w:ind w:left="208" w:right="108" w:hanging="89"/>
              <w:spacing w:before="33" w:line="222"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482" w:type="dxa"/>
            <w:vAlign w:val="top"/>
            <w:textDirection w:val="tbRlV"/>
          </w:tcPr>
          <w:p>
            <w:pPr>
              <w:pStyle w:val="TableText"/>
              <w:ind w:left="27"/>
              <w:spacing w:before="147" w:line="206" w:lineRule="auto"/>
              <w:rPr>
                <w:sz w:val="18"/>
                <w:szCs w:val="18"/>
              </w:rPr>
            </w:pPr>
            <w:r>
              <w:rPr>
                <w:sz w:val="18"/>
                <w:szCs w:val="18"/>
                <w:spacing w:val="28"/>
              </w:rPr>
              <w:t>萤石</w:t>
            </w:r>
          </w:p>
        </w:tc>
        <w:tc>
          <w:tcPr>
            <w:tcW w:w="728" w:type="dxa"/>
            <w:vAlign w:val="top"/>
          </w:tcPr>
          <w:p>
            <w:pPr>
              <w:ind w:left="32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80" w:type="dxa"/>
            <w:vAlign w:val="top"/>
          </w:tcPr>
          <w:p>
            <w:pPr>
              <w:ind w:left="16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1012-1044</w:t>
            </w:r>
          </w:p>
        </w:tc>
        <w:tc>
          <w:tcPr>
            <w:tcW w:w="881" w:type="dxa"/>
            <w:vAlign w:val="top"/>
          </w:tcPr>
          <w:p>
            <w:pPr>
              <w:ind w:left="27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0-25</w:t>
            </w:r>
          </w:p>
        </w:tc>
        <w:tc>
          <w:tcPr>
            <w:tcW w:w="609" w:type="dxa"/>
            <w:vAlign w:val="top"/>
          </w:tcPr>
          <w:p>
            <w:pPr>
              <w:ind w:left="21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992" w:type="dxa"/>
            <w:vAlign w:val="top"/>
          </w:tcPr>
          <w:p>
            <w:pPr>
              <w:ind w:left="40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1051" w:type="dxa"/>
            <w:vAlign w:val="top"/>
          </w:tcPr>
          <w:p>
            <w:pPr>
              <w:pStyle w:val="TableText"/>
              <w:ind w:left="354"/>
              <w:spacing w:before="39"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11"/>
              <w:spacing w:before="142"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w:t>
            </w:r>
            <w:r>
              <w:rPr>
                <w:rFonts w:ascii="SimSun" w:hAnsi="SimSun" w:eastAsia="SimSun" w:cs="SimSun"/>
                <w:sz w:val="18"/>
                <w:szCs w:val="18"/>
                <w:spacing w:val="-4"/>
              </w:rPr>
              <w:t>∠</w:t>
            </w:r>
            <w:r>
              <w:rPr>
                <w:rFonts w:ascii="Times New Roman" w:hAnsi="Times New Roman" w:eastAsia="Times New Roman" w:cs="Times New Roman"/>
                <w:sz w:val="18"/>
                <w:szCs w:val="18"/>
                <w:spacing w:val="-4"/>
              </w:rPr>
              <w:t>80°</w:t>
            </w:r>
          </w:p>
        </w:tc>
        <w:tc>
          <w:tcPr>
            <w:tcW w:w="1114" w:type="dxa"/>
            <w:vAlign w:val="top"/>
          </w:tcPr>
          <w:p>
            <w:pPr>
              <w:ind w:left="216"/>
              <w:spacing w:before="5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0.88-3.78</w:t>
            </w:r>
          </w:p>
          <w:p>
            <w:pPr>
              <w:pStyle w:val="TableText"/>
              <w:ind w:left="175"/>
              <w:spacing w:before="27" w:line="221" w:lineRule="auto"/>
              <w:rPr>
                <w:sz w:val="18"/>
                <w:szCs w:val="18"/>
              </w:rPr>
            </w:pPr>
            <w:r>
              <w:rPr>
                <w:rFonts w:ascii="Times New Roman" w:hAnsi="Times New Roman" w:eastAsia="Times New Roman" w:cs="Times New Roman"/>
                <w:sz w:val="18"/>
                <w:szCs w:val="18"/>
                <w:spacing w:val="-1"/>
              </w:rPr>
              <w:t>2.33</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992" w:type="dxa"/>
            <w:vAlign w:val="top"/>
          </w:tcPr>
          <w:p>
            <w:pPr>
              <w:ind w:left="266"/>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180.47</w:t>
            </w:r>
          </w:p>
        </w:tc>
        <w:tc>
          <w:tcPr>
            <w:tcW w:w="1184" w:type="dxa"/>
            <w:vAlign w:val="top"/>
          </w:tcPr>
          <w:p>
            <w:pPr>
              <w:ind w:left="156"/>
              <w:spacing w:before="5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43.71-60.95</w:t>
            </w:r>
          </w:p>
          <w:p>
            <w:pPr>
              <w:pStyle w:val="TableText"/>
              <w:ind w:left="169"/>
              <w:spacing w:before="27" w:line="221" w:lineRule="auto"/>
              <w:rPr>
                <w:sz w:val="18"/>
                <w:szCs w:val="18"/>
              </w:rPr>
            </w:pPr>
            <w:r>
              <w:rPr>
                <w:rFonts w:ascii="Times New Roman" w:hAnsi="Times New Roman" w:eastAsia="Times New Roman" w:cs="Times New Roman"/>
                <w:sz w:val="18"/>
                <w:szCs w:val="18"/>
                <w:spacing w:val="-2"/>
              </w:rPr>
              <w:t>57.78</w:t>
            </w:r>
            <w:r>
              <w:rPr>
                <w:sz w:val="18"/>
                <w:szCs w:val="18"/>
                <w:spacing w:val="-2"/>
              </w:rPr>
              <w:t>（</w:t>
            </w:r>
            <w:r>
              <w:rPr>
                <w:rFonts w:ascii="Times New Roman" w:hAnsi="Times New Roman" w:eastAsia="Times New Roman" w:cs="Times New Roman"/>
                <w:sz w:val="18"/>
                <w:szCs w:val="18"/>
                <w:spacing w:val="-2"/>
              </w:rPr>
              <w:t>2</w:t>
            </w:r>
            <w:r>
              <w:rPr>
                <w:sz w:val="18"/>
                <w:szCs w:val="18"/>
                <w:spacing w:val="-2"/>
              </w:rPr>
              <w:t>）</w:t>
            </w:r>
          </w:p>
        </w:tc>
        <w:tc>
          <w:tcPr>
            <w:tcW w:w="1116" w:type="dxa"/>
            <w:vAlign w:val="top"/>
          </w:tcPr>
          <w:p>
            <w:pPr>
              <w:ind w:left="310"/>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223.26</w:t>
            </w:r>
          </w:p>
        </w:tc>
        <w:tc>
          <w:tcPr>
            <w:tcW w:w="983" w:type="dxa"/>
            <w:vAlign w:val="top"/>
          </w:tcPr>
          <w:p>
            <w:pPr>
              <w:pStyle w:val="TableText"/>
              <w:ind w:left="231" w:right="107" w:hanging="115"/>
              <w:spacing w:before="28" w:line="222" w:lineRule="auto"/>
              <w:rPr>
                <w:sz w:val="18"/>
                <w:szCs w:val="18"/>
              </w:rPr>
            </w:pPr>
            <w:r>
              <w:rPr>
                <w:rFonts w:ascii="Times New Roman" w:hAnsi="Times New Roman" w:eastAsia="Times New Roman" w:cs="Times New Roman"/>
                <w:sz w:val="18"/>
                <w:szCs w:val="18"/>
                <w:spacing w:val="-5"/>
              </w:rPr>
              <w:t>5</w:t>
            </w:r>
            <w:r>
              <w:rPr>
                <w:sz w:val="18"/>
                <w:szCs w:val="18"/>
                <w:spacing w:val="-5"/>
              </w:rPr>
              <w:t>（</w:t>
            </w:r>
            <w:r>
              <w:rPr>
                <w:rFonts w:ascii="Times New Roman" w:hAnsi="Times New Roman" w:eastAsia="Times New Roman" w:cs="Times New Roman"/>
                <w:sz w:val="18"/>
                <w:szCs w:val="18"/>
                <w:spacing w:val="-5"/>
              </w:rPr>
              <w:t>3</w:t>
            </w:r>
            <w:r>
              <w:rPr>
                <w:rFonts w:ascii="Times New Roman" w:hAnsi="Times New Roman" w:eastAsia="Times New Roman" w:cs="Times New Roman"/>
                <w:sz w:val="18"/>
                <w:szCs w:val="18"/>
                <w:spacing w:val="13"/>
                <w:w w:val="101"/>
              </w:rPr>
              <w:t xml:space="preserve"> </w:t>
            </w:r>
            <w:r>
              <w:rPr>
                <w:sz w:val="18"/>
                <w:szCs w:val="18"/>
                <w:spacing w:val="-5"/>
              </w:rPr>
              <w:t>个未</w:t>
            </w:r>
            <w:r>
              <w:rPr>
                <w:sz w:val="18"/>
                <w:szCs w:val="18"/>
                <w:spacing w:val="-5"/>
              </w:rPr>
              <w:t>见矿）</w:t>
            </w:r>
          </w:p>
        </w:tc>
        <w:tc>
          <w:tcPr>
            <w:tcW w:w="577" w:type="dxa"/>
            <w:vAlign w:val="top"/>
            <w:tcBorders>
              <w:right w:val="nil"/>
            </w:tcBorders>
          </w:tcPr>
          <w:p>
            <w:pPr>
              <w:pStyle w:val="TableText"/>
              <w:ind w:left="208" w:right="108" w:hanging="89"/>
              <w:spacing w:before="28" w:line="222" w:lineRule="auto"/>
              <w:rPr>
                <w:sz w:val="18"/>
                <w:szCs w:val="18"/>
              </w:rPr>
            </w:pPr>
            <w:r>
              <w:rPr>
                <w:sz w:val="18"/>
                <w:szCs w:val="18"/>
                <w:spacing w:val="-7"/>
              </w:rPr>
              <w:t>未动</w:t>
            </w:r>
            <w:r>
              <w:rPr>
                <w:sz w:val="18"/>
                <w:szCs w:val="18"/>
              </w:rPr>
              <w:t>用</w:t>
            </w:r>
          </w:p>
        </w:tc>
      </w:tr>
      <w:tr>
        <w:trPr>
          <w:trHeight w:val="472"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482" w:type="dxa"/>
            <w:vAlign w:val="top"/>
            <w:textDirection w:val="tbRlV"/>
          </w:tcPr>
          <w:p>
            <w:pPr>
              <w:pStyle w:val="TableText"/>
              <w:ind w:left="28"/>
              <w:spacing w:before="147" w:line="206" w:lineRule="auto"/>
              <w:rPr>
                <w:sz w:val="18"/>
                <w:szCs w:val="18"/>
              </w:rPr>
            </w:pPr>
            <w:r>
              <w:rPr>
                <w:sz w:val="18"/>
                <w:szCs w:val="18"/>
                <w:spacing w:val="28"/>
              </w:rPr>
              <w:t>萤石</w:t>
            </w:r>
          </w:p>
        </w:tc>
        <w:tc>
          <w:tcPr>
            <w:tcW w:w="728" w:type="dxa"/>
            <w:vAlign w:val="top"/>
          </w:tcPr>
          <w:p>
            <w:pPr>
              <w:ind w:left="32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80" w:type="dxa"/>
            <w:vAlign w:val="top"/>
          </w:tcPr>
          <w:p>
            <w:pPr>
              <w:ind w:left="19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990-1044</w:t>
            </w:r>
          </w:p>
        </w:tc>
        <w:tc>
          <w:tcPr>
            <w:tcW w:w="881" w:type="dxa"/>
            <w:vAlign w:val="top"/>
          </w:tcPr>
          <w:p>
            <w:pPr>
              <w:ind w:left="27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0-46</w:t>
            </w:r>
          </w:p>
        </w:tc>
        <w:tc>
          <w:tcPr>
            <w:tcW w:w="609" w:type="dxa"/>
            <w:vAlign w:val="top"/>
          </w:tcPr>
          <w:p>
            <w:pPr>
              <w:ind w:left="21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90</w:t>
            </w:r>
          </w:p>
        </w:tc>
        <w:tc>
          <w:tcPr>
            <w:tcW w:w="992" w:type="dxa"/>
            <w:vAlign w:val="top"/>
          </w:tcPr>
          <w:p>
            <w:pPr>
              <w:ind w:left="41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1051" w:type="dxa"/>
            <w:vAlign w:val="top"/>
          </w:tcPr>
          <w:p>
            <w:pPr>
              <w:pStyle w:val="TableText"/>
              <w:ind w:left="354"/>
              <w:spacing w:before="40"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11"/>
              <w:spacing w:before="144"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w:t>
            </w:r>
            <w:r>
              <w:rPr>
                <w:rFonts w:ascii="SimSun" w:hAnsi="SimSun" w:eastAsia="SimSun" w:cs="SimSun"/>
                <w:sz w:val="18"/>
                <w:szCs w:val="18"/>
                <w:spacing w:val="-4"/>
              </w:rPr>
              <w:t>∠</w:t>
            </w:r>
            <w:r>
              <w:rPr>
                <w:rFonts w:ascii="Times New Roman" w:hAnsi="Times New Roman" w:eastAsia="Times New Roman" w:cs="Times New Roman"/>
                <w:sz w:val="18"/>
                <w:szCs w:val="18"/>
                <w:spacing w:val="-4"/>
              </w:rPr>
              <w:t>64°</w:t>
            </w:r>
          </w:p>
        </w:tc>
        <w:tc>
          <w:tcPr>
            <w:tcW w:w="1114" w:type="dxa"/>
            <w:vAlign w:val="top"/>
          </w:tcPr>
          <w:p>
            <w:pPr>
              <w:ind w:left="231"/>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1.34-3.30</w:t>
            </w:r>
          </w:p>
          <w:p>
            <w:pPr>
              <w:pStyle w:val="TableText"/>
              <w:ind w:left="175"/>
              <w:spacing w:before="27" w:line="220" w:lineRule="auto"/>
              <w:rPr>
                <w:sz w:val="18"/>
                <w:szCs w:val="18"/>
              </w:rPr>
            </w:pPr>
            <w:r>
              <w:rPr>
                <w:rFonts w:ascii="Times New Roman" w:hAnsi="Times New Roman" w:eastAsia="Times New Roman" w:cs="Times New Roman"/>
                <w:sz w:val="18"/>
                <w:szCs w:val="18"/>
                <w:spacing w:val="-1"/>
              </w:rPr>
              <w:t>2.21</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992" w:type="dxa"/>
            <w:vAlign w:val="top"/>
          </w:tcPr>
          <w:p>
            <w:pPr>
              <w:ind w:left="29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44.93</w:t>
            </w:r>
          </w:p>
        </w:tc>
        <w:tc>
          <w:tcPr>
            <w:tcW w:w="1184" w:type="dxa"/>
            <w:vAlign w:val="top"/>
          </w:tcPr>
          <w:p>
            <w:pPr>
              <w:ind w:left="161"/>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31.27-60.78</w:t>
            </w:r>
          </w:p>
          <w:p>
            <w:pPr>
              <w:pStyle w:val="TableText"/>
              <w:ind w:left="163"/>
              <w:spacing w:before="27" w:line="220" w:lineRule="auto"/>
              <w:rPr>
                <w:sz w:val="18"/>
                <w:szCs w:val="18"/>
              </w:rPr>
            </w:pPr>
            <w:r>
              <w:rPr>
                <w:rFonts w:ascii="Times New Roman" w:hAnsi="Times New Roman" w:eastAsia="Times New Roman" w:cs="Times New Roman"/>
                <w:sz w:val="18"/>
                <w:szCs w:val="18"/>
                <w:spacing w:val="-1"/>
              </w:rPr>
              <w:t>45.71</w:t>
            </w:r>
            <w:r>
              <w:rPr>
                <w:sz w:val="18"/>
                <w:szCs w:val="18"/>
                <w:spacing w:val="-1"/>
              </w:rPr>
              <w:t>（</w:t>
            </w:r>
            <w:r>
              <w:rPr>
                <w:rFonts w:ascii="Times New Roman" w:hAnsi="Times New Roman" w:eastAsia="Times New Roman" w:cs="Times New Roman"/>
                <w:sz w:val="18"/>
                <w:szCs w:val="18"/>
                <w:spacing w:val="-1"/>
              </w:rPr>
              <w:t>3</w:t>
            </w:r>
            <w:r>
              <w:rPr>
                <w:sz w:val="18"/>
                <w:szCs w:val="18"/>
                <w:spacing w:val="-1"/>
              </w:rPr>
              <w:t>）</w:t>
            </w:r>
          </w:p>
        </w:tc>
        <w:tc>
          <w:tcPr>
            <w:tcW w:w="1116" w:type="dxa"/>
            <w:vAlign w:val="top"/>
          </w:tcPr>
          <w:p>
            <w:pPr>
              <w:ind w:left="31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767.08</w:t>
            </w:r>
          </w:p>
        </w:tc>
        <w:tc>
          <w:tcPr>
            <w:tcW w:w="983" w:type="dxa"/>
            <w:vAlign w:val="top"/>
          </w:tcPr>
          <w:p>
            <w:pPr>
              <w:pStyle w:val="TableText"/>
              <w:ind w:left="230" w:right="107" w:hanging="120"/>
              <w:spacing w:before="29" w:line="222"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29" w:line="222"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482" w:type="dxa"/>
            <w:vAlign w:val="top"/>
            <w:textDirection w:val="tbRlV"/>
          </w:tcPr>
          <w:p>
            <w:pPr>
              <w:pStyle w:val="TableText"/>
              <w:ind w:left="27"/>
              <w:spacing w:before="147" w:line="206" w:lineRule="auto"/>
              <w:rPr>
                <w:sz w:val="18"/>
                <w:szCs w:val="18"/>
              </w:rPr>
            </w:pPr>
            <w:r>
              <w:rPr>
                <w:sz w:val="18"/>
                <w:szCs w:val="18"/>
                <w:spacing w:val="4"/>
              </w:rPr>
              <w:t>萤</w:t>
            </w:r>
            <w:r>
              <w:rPr>
                <w:sz w:val="18"/>
                <w:szCs w:val="18"/>
                <w:spacing w:val="-39"/>
              </w:rPr>
              <w:t xml:space="preserve"> </w:t>
            </w:r>
            <w:r>
              <w:rPr>
                <w:sz w:val="18"/>
                <w:szCs w:val="18"/>
                <w:spacing w:val="4"/>
              </w:rPr>
              <w:t>石</w:t>
            </w:r>
          </w:p>
        </w:tc>
        <w:tc>
          <w:tcPr>
            <w:tcW w:w="728" w:type="dxa"/>
            <w:vAlign w:val="top"/>
          </w:tcPr>
          <w:p>
            <w:pPr>
              <w:ind w:left="32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80" w:type="dxa"/>
            <w:vAlign w:val="top"/>
          </w:tcPr>
          <w:p>
            <w:pPr>
              <w:ind w:left="16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1003-1045</w:t>
            </w:r>
          </w:p>
        </w:tc>
        <w:tc>
          <w:tcPr>
            <w:tcW w:w="881" w:type="dxa"/>
            <w:vAlign w:val="top"/>
          </w:tcPr>
          <w:p>
            <w:pPr>
              <w:ind w:left="27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0-27</w:t>
            </w:r>
          </w:p>
        </w:tc>
        <w:tc>
          <w:tcPr>
            <w:tcW w:w="609" w:type="dxa"/>
            <w:vAlign w:val="top"/>
          </w:tcPr>
          <w:p>
            <w:pPr>
              <w:ind w:left="21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992" w:type="dxa"/>
            <w:vAlign w:val="top"/>
          </w:tcPr>
          <w:p>
            <w:pPr>
              <w:ind w:left="40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1051" w:type="dxa"/>
            <w:vAlign w:val="top"/>
          </w:tcPr>
          <w:p>
            <w:pPr>
              <w:pStyle w:val="TableText"/>
              <w:ind w:left="354"/>
              <w:spacing w:before="38" w:line="224" w:lineRule="auto"/>
              <w:rPr>
                <w:sz w:val="18"/>
                <w:szCs w:val="18"/>
              </w:rPr>
            </w:pPr>
            <w:r>
              <w:rPr>
                <w:sz w:val="18"/>
                <w:szCs w:val="18"/>
                <w:spacing w:val="-6"/>
              </w:rPr>
              <w:t>脉状</w:t>
            </w:r>
          </w:p>
          <w:p>
            <w:pPr>
              <w:ind w:left="483"/>
              <w:spacing w:before="3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311"/>
              <w:spacing w:before="144"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w:t>
            </w:r>
            <w:r>
              <w:rPr>
                <w:rFonts w:ascii="SimSun" w:hAnsi="SimSun" w:eastAsia="SimSun" w:cs="SimSun"/>
                <w:sz w:val="18"/>
                <w:szCs w:val="18"/>
                <w:spacing w:val="-4"/>
              </w:rPr>
              <w:t>∠</w:t>
            </w:r>
            <w:r>
              <w:rPr>
                <w:rFonts w:ascii="Times New Roman" w:hAnsi="Times New Roman" w:eastAsia="Times New Roman" w:cs="Times New Roman"/>
                <w:sz w:val="18"/>
                <w:szCs w:val="18"/>
                <w:spacing w:val="-4"/>
              </w:rPr>
              <w:t>58°</w:t>
            </w:r>
          </w:p>
        </w:tc>
        <w:tc>
          <w:tcPr>
            <w:tcW w:w="1114" w:type="dxa"/>
            <w:vAlign w:val="top"/>
          </w:tcPr>
          <w:p>
            <w:pPr>
              <w:ind w:left="231"/>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1.34-4.15</w:t>
            </w:r>
          </w:p>
          <w:p>
            <w:pPr>
              <w:pStyle w:val="TableText"/>
              <w:ind w:left="175"/>
              <w:spacing w:before="24" w:line="221" w:lineRule="auto"/>
              <w:rPr>
                <w:sz w:val="18"/>
                <w:szCs w:val="18"/>
              </w:rPr>
            </w:pPr>
            <w:r>
              <w:rPr>
                <w:rFonts w:ascii="Times New Roman" w:hAnsi="Times New Roman" w:eastAsia="Times New Roman" w:cs="Times New Roman"/>
                <w:sz w:val="18"/>
                <w:szCs w:val="18"/>
                <w:spacing w:val="-1"/>
              </w:rPr>
              <w:t>2.75</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992" w:type="dxa"/>
            <w:vAlign w:val="top"/>
          </w:tcPr>
          <w:p>
            <w:pPr>
              <w:ind w:left="266"/>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143.83</w:t>
            </w:r>
          </w:p>
        </w:tc>
        <w:tc>
          <w:tcPr>
            <w:tcW w:w="1184" w:type="dxa"/>
            <w:vAlign w:val="top"/>
          </w:tcPr>
          <w:p>
            <w:pPr>
              <w:ind w:left="156"/>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47.44-50.56</w:t>
            </w:r>
          </w:p>
          <w:p>
            <w:pPr>
              <w:pStyle w:val="TableText"/>
              <w:ind w:left="163"/>
              <w:spacing w:before="24" w:line="221" w:lineRule="auto"/>
              <w:rPr>
                <w:sz w:val="18"/>
                <w:szCs w:val="18"/>
              </w:rPr>
            </w:pPr>
            <w:r>
              <w:rPr>
                <w:rFonts w:ascii="Times New Roman" w:hAnsi="Times New Roman" w:eastAsia="Times New Roman" w:cs="Times New Roman"/>
                <w:sz w:val="18"/>
                <w:szCs w:val="18"/>
                <w:spacing w:val="-1"/>
              </w:rPr>
              <w:t>48.20</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1116" w:type="dxa"/>
            <w:vAlign w:val="top"/>
          </w:tcPr>
          <w:p>
            <w:pPr>
              <w:ind w:left="284"/>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1013.21</w:t>
            </w:r>
          </w:p>
        </w:tc>
        <w:tc>
          <w:tcPr>
            <w:tcW w:w="983" w:type="dxa"/>
            <w:vAlign w:val="top"/>
          </w:tcPr>
          <w:p>
            <w:pPr>
              <w:pStyle w:val="TableText"/>
              <w:ind w:left="230" w:right="107" w:hanging="120"/>
              <w:spacing w:before="28" w:line="222"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28" w:line="222"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482" w:type="dxa"/>
            <w:vAlign w:val="top"/>
            <w:textDirection w:val="tbRlV"/>
          </w:tcPr>
          <w:p>
            <w:pPr>
              <w:pStyle w:val="TableText"/>
              <w:ind w:left="28"/>
              <w:spacing w:before="147" w:line="206" w:lineRule="auto"/>
              <w:rPr>
                <w:sz w:val="18"/>
                <w:szCs w:val="18"/>
              </w:rPr>
            </w:pPr>
            <w:r>
              <w:rPr>
                <w:sz w:val="18"/>
                <w:szCs w:val="18"/>
                <w:spacing w:val="28"/>
              </w:rPr>
              <w:t>萤石</w:t>
            </w:r>
          </w:p>
        </w:tc>
        <w:tc>
          <w:tcPr>
            <w:tcW w:w="728" w:type="dxa"/>
            <w:vAlign w:val="top"/>
          </w:tcPr>
          <w:p>
            <w:pPr>
              <w:ind w:left="31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80" w:type="dxa"/>
            <w:vAlign w:val="top"/>
          </w:tcPr>
          <w:p>
            <w:pPr>
              <w:ind w:left="24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886-926</w:t>
            </w:r>
          </w:p>
        </w:tc>
        <w:tc>
          <w:tcPr>
            <w:tcW w:w="881"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115-155</w:t>
            </w:r>
          </w:p>
        </w:tc>
        <w:tc>
          <w:tcPr>
            <w:tcW w:w="609" w:type="dxa"/>
            <w:vAlign w:val="top"/>
          </w:tcPr>
          <w:p>
            <w:pPr>
              <w:ind w:left="21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1051" w:type="dxa"/>
            <w:vAlign w:val="top"/>
          </w:tcPr>
          <w:p>
            <w:pPr>
              <w:pStyle w:val="TableText"/>
              <w:ind w:left="263"/>
              <w:spacing w:before="41"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78°</w:t>
            </w:r>
          </w:p>
        </w:tc>
        <w:tc>
          <w:tcPr>
            <w:tcW w:w="1114" w:type="dxa"/>
            <w:vAlign w:val="top"/>
          </w:tcPr>
          <w:p>
            <w:pPr>
              <w:ind w:left="216"/>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0.90-0.90</w:t>
            </w:r>
          </w:p>
          <w:p>
            <w:pPr>
              <w:pStyle w:val="TableText"/>
              <w:ind w:left="178"/>
              <w:spacing w:before="27" w:line="219" w:lineRule="auto"/>
              <w:rPr>
                <w:sz w:val="18"/>
                <w:szCs w:val="18"/>
              </w:rPr>
            </w:pPr>
            <w:r>
              <w:rPr>
                <w:rFonts w:ascii="Times New Roman" w:hAnsi="Times New Roman" w:eastAsia="Times New Roman" w:cs="Times New Roman"/>
                <w:sz w:val="18"/>
                <w:szCs w:val="18"/>
                <w:spacing w:val="-2"/>
              </w:rPr>
              <w:t>0.90</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50"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7"/>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26.65-26.65</w:t>
            </w:r>
          </w:p>
          <w:p>
            <w:pPr>
              <w:pStyle w:val="TableText"/>
              <w:ind w:left="164"/>
              <w:spacing w:before="27" w:line="219" w:lineRule="auto"/>
              <w:rPr>
                <w:sz w:val="18"/>
                <w:szCs w:val="18"/>
              </w:rPr>
            </w:pPr>
            <w:r>
              <w:rPr>
                <w:rFonts w:ascii="Times New Roman" w:hAnsi="Times New Roman" w:eastAsia="Times New Roman" w:cs="Times New Roman"/>
                <w:sz w:val="18"/>
                <w:szCs w:val="18"/>
                <w:spacing w:val="-1"/>
              </w:rPr>
              <w:t>26.65</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31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780.48</w:t>
            </w:r>
          </w:p>
        </w:tc>
        <w:tc>
          <w:tcPr>
            <w:tcW w:w="983" w:type="dxa"/>
            <w:vAlign w:val="top"/>
          </w:tcPr>
          <w:p>
            <w:pPr>
              <w:ind w:left="46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Borders>
              <w:right w:val="nil"/>
            </w:tcBorders>
          </w:tcPr>
          <w:p>
            <w:pPr>
              <w:pStyle w:val="TableText"/>
              <w:ind w:left="208" w:right="108" w:hanging="89"/>
              <w:spacing w:before="28" w:line="222" w:lineRule="auto"/>
              <w:rPr>
                <w:sz w:val="18"/>
                <w:szCs w:val="18"/>
              </w:rPr>
            </w:pPr>
            <w:r>
              <w:rPr>
                <w:sz w:val="18"/>
                <w:szCs w:val="18"/>
                <w:spacing w:val="-7"/>
              </w:rPr>
              <w:t>未动</w:t>
            </w:r>
            <w:r>
              <w:rPr>
                <w:sz w:val="18"/>
                <w:szCs w:val="18"/>
              </w:rPr>
              <w:t>用</w:t>
            </w:r>
          </w:p>
        </w:tc>
      </w:tr>
      <w:tr>
        <w:trPr>
          <w:trHeight w:val="472"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482" w:type="dxa"/>
            <w:vAlign w:val="top"/>
            <w:textDirection w:val="tbRlV"/>
          </w:tcPr>
          <w:p>
            <w:pPr>
              <w:pStyle w:val="TableText"/>
              <w:ind w:left="30"/>
              <w:spacing w:before="147" w:line="206" w:lineRule="auto"/>
              <w:rPr>
                <w:sz w:val="18"/>
                <w:szCs w:val="18"/>
              </w:rPr>
            </w:pPr>
            <w:r>
              <w:rPr>
                <w:sz w:val="18"/>
                <w:szCs w:val="18"/>
                <w:spacing w:val="28"/>
              </w:rPr>
              <w:t>萤石</w:t>
            </w:r>
          </w:p>
        </w:tc>
        <w:tc>
          <w:tcPr>
            <w:tcW w:w="728" w:type="dxa"/>
            <w:vAlign w:val="top"/>
          </w:tcPr>
          <w:p>
            <w:pPr>
              <w:ind w:left="31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80" w:type="dxa"/>
            <w:vAlign w:val="top"/>
          </w:tcPr>
          <w:p>
            <w:pPr>
              <w:ind w:left="24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869-908</w:t>
            </w:r>
          </w:p>
        </w:tc>
        <w:tc>
          <w:tcPr>
            <w:tcW w:w="881" w:type="dxa"/>
            <w:vAlign w:val="top"/>
          </w:tcPr>
          <w:p>
            <w:pPr>
              <w:ind w:left="15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133-172</w:t>
            </w:r>
          </w:p>
        </w:tc>
        <w:tc>
          <w:tcPr>
            <w:tcW w:w="609" w:type="dxa"/>
            <w:vAlign w:val="top"/>
          </w:tcPr>
          <w:p>
            <w:pPr>
              <w:ind w:left="21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1051" w:type="dxa"/>
            <w:vAlign w:val="top"/>
          </w:tcPr>
          <w:p>
            <w:pPr>
              <w:pStyle w:val="TableText"/>
              <w:ind w:left="263"/>
              <w:spacing w:before="42"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78°</w:t>
            </w:r>
          </w:p>
        </w:tc>
        <w:tc>
          <w:tcPr>
            <w:tcW w:w="1114" w:type="dxa"/>
            <w:vAlign w:val="top"/>
          </w:tcPr>
          <w:p>
            <w:pPr>
              <w:ind w:left="216"/>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0.90-0.90</w:t>
            </w:r>
          </w:p>
          <w:p>
            <w:pPr>
              <w:pStyle w:val="TableText"/>
              <w:ind w:left="178"/>
              <w:spacing w:before="27" w:line="219" w:lineRule="auto"/>
              <w:rPr>
                <w:sz w:val="18"/>
                <w:szCs w:val="18"/>
              </w:rPr>
            </w:pPr>
            <w:r>
              <w:rPr>
                <w:rFonts w:ascii="Times New Roman" w:hAnsi="Times New Roman" w:eastAsia="Times New Roman" w:cs="Times New Roman"/>
                <w:sz w:val="18"/>
                <w:szCs w:val="18"/>
                <w:spacing w:val="-2"/>
              </w:rPr>
              <w:t>0.90</w:t>
            </w:r>
            <w:r>
              <w:rPr>
                <w:sz w:val="18"/>
                <w:szCs w:val="18"/>
                <w:spacing w:val="-2"/>
              </w:rPr>
              <w:t>（</w:t>
            </w:r>
            <w:r>
              <w:rPr>
                <w:rFonts w:ascii="Times New Roman" w:hAnsi="Times New Roman" w:eastAsia="Times New Roman" w:cs="Times New Roman"/>
                <w:sz w:val="18"/>
                <w:szCs w:val="18"/>
                <w:spacing w:val="-2"/>
              </w:rPr>
              <w:t>1</w:t>
            </w:r>
            <w:r>
              <w:rPr>
                <w:sz w:val="18"/>
                <w:szCs w:val="18"/>
                <w:spacing w:val="-2"/>
              </w:rPr>
              <w:t>）</w:t>
            </w:r>
          </w:p>
        </w:tc>
        <w:tc>
          <w:tcPr>
            <w:tcW w:w="992" w:type="dxa"/>
            <w:vAlign w:val="top"/>
          </w:tcPr>
          <w:p>
            <w:pPr>
              <w:ind w:left="471"/>
              <w:spacing w:before="252"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61"/>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39.43-39.43</w:t>
            </w:r>
          </w:p>
          <w:p>
            <w:pPr>
              <w:pStyle w:val="TableText"/>
              <w:ind w:left="168"/>
              <w:spacing w:before="27" w:line="219" w:lineRule="auto"/>
              <w:rPr>
                <w:sz w:val="18"/>
                <w:szCs w:val="18"/>
              </w:rPr>
            </w:pPr>
            <w:r>
              <w:rPr>
                <w:rFonts w:ascii="Times New Roman" w:hAnsi="Times New Roman" w:eastAsia="Times New Roman" w:cs="Times New Roman"/>
                <w:sz w:val="18"/>
                <w:szCs w:val="18"/>
                <w:spacing w:val="-1"/>
              </w:rPr>
              <w:t>39.43</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40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2.05</w:t>
            </w:r>
          </w:p>
        </w:tc>
        <w:tc>
          <w:tcPr>
            <w:tcW w:w="983" w:type="dxa"/>
            <w:vAlign w:val="top"/>
          </w:tcPr>
          <w:p>
            <w:pPr>
              <w:ind w:left="46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Borders>
              <w:right w:val="nil"/>
            </w:tcBorders>
          </w:tcPr>
          <w:p>
            <w:pPr>
              <w:pStyle w:val="TableText"/>
              <w:ind w:left="208" w:right="108" w:hanging="89"/>
              <w:spacing w:before="31" w:line="221"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482" w:type="dxa"/>
            <w:vAlign w:val="top"/>
            <w:textDirection w:val="tbRlV"/>
          </w:tcPr>
          <w:p>
            <w:pPr>
              <w:pStyle w:val="TableText"/>
              <w:ind w:left="30"/>
              <w:spacing w:before="147" w:line="206" w:lineRule="auto"/>
              <w:rPr>
                <w:sz w:val="18"/>
                <w:szCs w:val="18"/>
              </w:rPr>
            </w:pPr>
            <w:r>
              <w:rPr>
                <w:sz w:val="18"/>
                <w:szCs w:val="18"/>
                <w:spacing w:val="28"/>
              </w:rPr>
              <w:t>萤石</w:t>
            </w:r>
          </w:p>
        </w:tc>
        <w:tc>
          <w:tcPr>
            <w:tcW w:w="728" w:type="dxa"/>
            <w:vAlign w:val="top"/>
          </w:tcPr>
          <w:p>
            <w:pPr>
              <w:ind w:left="31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80" w:type="dxa"/>
            <w:vAlign w:val="top"/>
          </w:tcPr>
          <w:p>
            <w:pPr>
              <w:ind w:left="19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988-1042</w:t>
            </w:r>
          </w:p>
        </w:tc>
        <w:tc>
          <w:tcPr>
            <w:tcW w:w="881" w:type="dxa"/>
            <w:vAlign w:val="top"/>
          </w:tcPr>
          <w:p>
            <w:pPr>
              <w:ind w:left="27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0-54</w:t>
            </w:r>
          </w:p>
        </w:tc>
        <w:tc>
          <w:tcPr>
            <w:tcW w:w="609" w:type="dxa"/>
            <w:vAlign w:val="top"/>
          </w:tcPr>
          <w:p>
            <w:pPr>
              <w:ind w:left="21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1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1051" w:type="dxa"/>
            <w:vAlign w:val="top"/>
          </w:tcPr>
          <w:p>
            <w:pPr>
              <w:pStyle w:val="TableText"/>
              <w:ind w:left="354"/>
              <w:spacing w:before="42" w:line="224" w:lineRule="auto"/>
              <w:rPr>
                <w:sz w:val="18"/>
                <w:szCs w:val="18"/>
              </w:rPr>
            </w:pPr>
            <w:r>
              <w:rPr>
                <w:sz w:val="18"/>
                <w:szCs w:val="18"/>
                <w:spacing w:val="-6"/>
              </w:rPr>
              <w:t>脉状</w:t>
            </w:r>
          </w:p>
          <w:p>
            <w:pPr>
              <w:ind w:left="483"/>
              <w:spacing w:before="3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5"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66°</w:t>
            </w:r>
          </w:p>
        </w:tc>
        <w:tc>
          <w:tcPr>
            <w:tcW w:w="1114" w:type="dxa"/>
            <w:vAlign w:val="top"/>
          </w:tcPr>
          <w:p>
            <w:pPr>
              <w:ind w:left="216"/>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0.71-1.32</w:t>
            </w:r>
          </w:p>
          <w:p>
            <w:pPr>
              <w:pStyle w:val="TableText"/>
              <w:ind w:left="192"/>
              <w:spacing w:before="27" w:line="217" w:lineRule="auto"/>
              <w:rPr>
                <w:sz w:val="18"/>
                <w:szCs w:val="18"/>
              </w:rPr>
            </w:pPr>
            <w:r>
              <w:rPr>
                <w:rFonts w:ascii="Times New Roman" w:hAnsi="Times New Roman" w:eastAsia="Times New Roman" w:cs="Times New Roman"/>
                <w:sz w:val="18"/>
                <w:szCs w:val="18"/>
                <w:spacing w:val="-4"/>
              </w:rPr>
              <w:t>1.02</w:t>
            </w:r>
            <w:r>
              <w:rPr>
                <w:sz w:val="18"/>
                <w:szCs w:val="18"/>
                <w:spacing w:val="-4"/>
              </w:rPr>
              <w:t>（</w:t>
            </w:r>
            <w:r>
              <w:rPr>
                <w:rFonts w:ascii="Times New Roman" w:hAnsi="Times New Roman" w:eastAsia="Times New Roman" w:cs="Times New Roman"/>
                <w:sz w:val="18"/>
                <w:szCs w:val="18"/>
                <w:spacing w:val="-4"/>
              </w:rPr>
              <w:t>2</w:t>
            </w:r>
            <w:r>
              <w:rPr>
                <w:sz w:val="18"/>
                <w:szCs w:val="18"/>
                <w:spacing w:val="-4"/>
              </w:rPr>
              <w:t>）</w:t>
            </w:r>
          </w:p>
        </w:tc>
        <w:tc>
          <w:tcPr>
            <w:tcW w:w="992" w:type="dxa"/>
            <w:vAlign w:val="top"/>
          </w:tcPr>
          <w:p>
            <w:pPr>
              <w:ind w:left="31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18.33</w:t>
            </w:r>
          </w:p>
        </w:tc>
        <w:tc>
          <w:tcPr>
            <w:tcW w:w="1184" w:type="dxa"/>
            <w:vAlign w:val="top"/>
          </w:tcPr>
          <w:p>
            <w:pPr>
              <w:ind w:left="157"/>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25.48-34.39</w:t>
            </w:r>
          </w:p>
          <w:p>
            <w:pPr>
              <w:pStyle w:val="TableText"/>
              <w:ind w:left="168"/>
              <w:spacing w:before="27" w:line="217" w:lineRule="auto"/>
              <w:rPr>
                <w:sz w:val="18"/>
                <w:szCs w:val="18"/>
              </w:rPr>
            </w:pPr>
            <w:r>
              <w:rPr>
                <w:rFonts w:ascii="Times New Roman" w:hAnsi="Times New Roman" w:eastAsia="Times New Roman" w:cs="Times New Roman"/>
                <w:sz w:val="18"/>
                <w:szCs w:val="18"/>
                <w:spacing w:val="-1"/>
              </w:rPr>
              <w:t>31.08</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1116" w:type="dxa"/>
            <w:vAlign w:val="top"/>
          </w:tcPr>
          <w:p>
            <w:pPr>
              <w:ind w:left="373"/>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132.6</w:t>
            </w:r>
          </w:p>
        </w:tc>
        <w:tc>
          <w:tcPr>
            <w:tcW w:w="983" w:type="dxa"/>
            <w:vAlign w:val="top"/>
          </w:tcPr>
          <w:p>
            <w:pPr>
              <w:pStyle w:val="TableText"/>
              <w:ind w:left="230" w:right="107" w:hanging="120"/>
              <w:spacing w:before="30" w:line="221"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30" w:line="221" w:lineRule="auto"/>
              <w:rPr>
                <w:sz w:val="18"/>
                <w:szCs w:val="18"/>
              </w:rPr>
            </w:pPr>
            <w:r>
              <w:rPr>
                <w:sz w:val="18"/>
                <w:szCs w:val="18"/>
                <w:spacing w:val="-7"/>
              </w:rPr>
              <w:t>未动</w:t>
            </w:r>
            <w:r>
              <w:rPr>
                <w:sz w:val="18"/>
                <w:szCs w:val="18"/>
              </w:rPr>
              <w:t>用</w:t>
            </w:r>
          </w:p>
        </w:tc>
      </w:tr>
      <w:tr>
        <w:trPr>
          <w:trHeight w:val="471" w:hRule="atLeast"/>
        </w:trPr>
        <w:tc>
          <w:tcPr>
            <w:tcW w:w="473" w:type="dxa"/>
            <w:vAlign w:val="top"/>
            <w:tcBorders>
              <w:left w:val="nil"/>
              <w:bottom w:val="nil"/>
              <w:top w:val="nil"/>
            </w:tcBorders>
          </w:tcPr>
          <w:p>
            <w:pPr>
              <w:rPr>
                <w:rFonts w:ascii="Arial"/>
                <w:sz w:val="21"/>
              </w:rPr>
            </w:pPr>
            <w:r/>
          </w:p>
        </w:tc>
        <w:tc>
          <w:tcPr>
            <w:tcW w:w="553" w:type="dxa"/>
            <w:vAlign w:val="top"/>
          </w:tcPr>
          <w:p>
            <w:pPr>
              <w:ind w:left="19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tc>
        <w:tc>
          <w:tcPr>
            <w:tcW w:w="482" w:type="dxa"/>
            <w:vAlign w:val="top"/>
            <w:textDirection w:val="tbRlV"/>
          </w:tcPr>
          <w:p>
            <w:pPr>
              <w:pStyle w:val="TableText"/>
              <w:ind w:left="30"/>
              <w:spacing w:before="147" w:line="206" w:lineRule="auto"/>
              <w:rPr>
                <w:sz w:val="18"/>
                <w:szCs w:val="18"/>
              </w:rPr>
            </w:pPr>
            <w:r>
              <w:rPr>
                <w:sz w:val="18"/>
                <w:szCs w:val="18"/>
                <w:spacing w:val="4"/>
              </w:rPr>
              <w:t>萤</w:t>
            </w:r>
            <w:r>
              <w:rPr>
                <w:sz w:val="18"/>
                <w:szCs w:val="18"/>
                <w:spacing w:val="-39"/>
              </w:rPr>
              <w:t xml:space="preserve"> </w:t>
            </w:r>
            <w:r>
              <w:rPr>
                <w:sz w:val="18"/>
                <w:szCs w:val="18"/>
                <w:spacing w:val="4"/>
              </w:rPr>
              <w:t>石</w:t>
            </w:r>
          </w:p>
        </w:tc>
        <w:tc>
          <w:tcPr>
            <w:tcW w:w="728" w:type="dxa"/>
            <w:vAlign w:val="top"/>
          </w:tcPr>
          <w:p>
            <w:pPr>
              <w:ind w:left="31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80" w:type="dxa"/>
            <w:vAlign w:val="top"/>
          </w:tcPr>
          <w:p>
            <w:pPr>
              <w:ind w:left="19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988-1031</w:t>
            </w:r>
          </w:p>
        </w:tc>
        <w:tc>
          <w:tcPr>
            <w:tcW w:w="881" w:type="dxa"/>
            <w:vAlign w:val="top"/>
          </w:tcPr>
          <w:p>
            <w:pPr>
              <w:ind w:left="25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11-54</w:t>
            </w:r>
          </w:p>
        </w:tc>
        <w:tc>
          <w:tcPr>
            <w:tcW w:w="609" w:type="dxa"/>
            <w:vAlign w:val="top"/>
          </w:tcPr>
          <w:p>
            <w:pPr>
              <w:ind w:left="21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992" w:type="dxa"/>
            <w:vAlign w:val="top"/>
          </w:tcPr>
          <w:p>
            <w:pPr>
              <w:ind w:left="41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1051" w:type="dxa"/>
            <w:vAlign w:val="top"/>
          </w:tcPr>
          <w:p>
            <w:pPr>
              <w:pStyle w:val="TableText"/>
              <w:ind w:left="354"/>
              <w:spacing w:before="41" w:line="224" w:lineRule="auto"/>
              <w:rPr>
                <w:sz w:val="18"/>
                <w:szCs w:val="18"/>
              </w:rPr>
            </w:pPr>
            <w:r>
              <w:rPr>
                <w:sz w:val="18"/>
                <w:szCs w:val="18"/>
                <w:spacing w:val="-6"/>
              </w:rPr>
              <w:t>脉状</w:t>
            </w:r>
          </w:p>
          <w:p>
            <w:pPr>
              <w:ind w:left="483"/>
              <w:spacing w:before="3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7"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56°</w:t>
            </w:r>
          </w:p>
        </w:tc>
        <w:tc>
          <w:tcPr>
            <w:tcW w:w="1114" w:type="dxa"/>
            <w:vAlign w:val="top"/>
          </w:tcPr>
          <w:p>
            <w:pPr>
              <w:ind w:left="21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0.42-7.32</w:t>
            </w:r>
          </w:p>
          <w:p>
            <w:pPr>
              <w:pStyle w:val="TableText"/>
              <w:ind w:left="179"/>
              <w:spacing w:before="24" w:line="218" w:lineRule="auto"/>
              <w:rPr>
                <w:sz w:val="18"/>
                <w:szCs w:val="18"/>
              </w:rPr>
            </w:pPr>
            <w:r>
              <w:rPr>
                <w:rFonts w:ascii="Times New Roman" w:hAnsi="Times New Roman" w:eastAsia="Times New Roman" w:cs="Times New Roman"/>
                <w:sz w:val="18"/>
                <w:szCs w:val="18"/>
                <w:spacing w:val="-2"/>
              </w:rPr>
              <w:t>3.87</w:t>
            </w:r>
            <w:r>
              <w:rPr>
                <w:sz w:val="18"/>
                <w:szCs w:val="18"/>
                <w:spacing w:val="-2"/>
              </w:rPr>
              <w:t>（</w:t>
            </w:r>
            <w:r>
              <w:rPr>
                <w:rFonts w:ascii="Times New Roman" w:hAnsi="Times New Roman" w:eastAsia="Times New Roman" w:cs="Times New Roman"/>
                <w:sz w:val="18"/>
                <w:szCs w:val="18"/>
                <w:spacing w:val="-2"/>
              </w:rPr>
              <w:t>2</w:t>
            </w:r>
            <w:r>
              <w:rPr>
                <w:sz w:val="18"/>
                <w:szCs w:val="18"/>
                <w:spacing w:val="-2"/>
              </w:rPr>
              <w:t>）</w:t>
            </w:r>
          </w:p>
        </w:tc>
        <w:tc>
          <w:tcPr>
            <w:tcW w:w="992" w:type="dxa"/>
            <w:vAlign w:val="top"/>
          </w:tcPr>
          <w:p>
            <w:pPr>
              <w:ind w:left="253"/>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615.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12</w:t>
            </w:r>
          </w:p>
        </w:tc>
        <w:tc>
          <w:tcPr>
            <w:tcW w:w="1184" w:type="dxa"/>
            <w:vAlign w:val="top"/>
          </w:tcPr>
          <w:p>
            <w:pPr>
              <w:ind w:left="161"/>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33.89-40.90</w:t>
            </w:r>
          </w:p>
          <w:p>
            <w:pPr>
              <w:pStyle w:val="TableText"/>
              <w:ind w:left="168"/>
              <w:spacing w:before="24" w:line="218" w:lineRule="auto"/>
              <w:rPr>
                <w:sz w:val="18"/>
                <w:szCs w:val="18"/>
              </w:rPr>
            </w:pPr>
            <w:r>
              <w:rPr>
                <w:rFonts w:ascii="Times New Roman" w:hAnsi="Times New Roman" w:eastAsia="Times New Roman" w:cs="Times New Roman"/>
                <w:sz w:val="18"/>
                <w:szCs w:val="18"/>
                <w:spacing w:val="-1"/>
              </w:rPr>
              <w:t>38.51</w:t>
            </w:r>
            <w:r>
              <w:rPr>
                <w:sz w:val="18"/>
                <w:szCs w:val="18"/>
                <w:spacing w:val="-1"/>
              </w:rPr>
              <w:t>（</w:t>
            </w:r>
            <w:r>
              <w:rPr>
                <w:rFonts w:ascii="Times New Roman" w:hAnsi="Times New Roman" w:eastAsia="Times New Roman" w:cs="Times New Roman"/>
                <w:sz w:val="18"/>
                <w:szCs w:val="18"/>
                <w:spacing w:val="-1"/>
              </w:rPr>
              <w:t>2</w:t>
            </w:r>
            <w:r>
              <w:rPr>
                <w:sz w:val="18"/>
                <w:szCs w:val="18"/>
                <w:spacing w:val="-1"/>
              </w:rPr>
              <w:t>）</w:t>
            </w:r>
          </w:p>
        </w:tc>
        <w:tc>
          <w:tcPr>
            <w:tcW w:w="1116" w:type="dxa"/>
            <w:vAlign w:val="top"/>
          </w:tcPr>
          <w:p>
            <w:pPr>
              <w:ind w:left="40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3.36</w:t>
            </w:r>
          </w:p>
        </w:tc>
        <w:tc>
          <w:tcPr>
            <w:tcW w:w="983" w:type="dxa"/>
            <w:vAlign w:val="top"/>
          </w:tcPr>
          <w:p>
            <w:pPr>
              <w:pStyle w:val="TableText"/>
              <w:ind w:left="230" w:right="107" w:hanging="120"/>
              <w:spacing w:before="30" w:line="221" w:lineRule="auto"/>
              <w:rPr>
                <w:sz w:val="18"/>
                <w:szCs w:val="18"/>
              </w:rPr>
            </w:pPr>
            <w:r>
              <w:rPr>
                <w:rFonts w:ascii="Times New Roman" w:hAnsi="Times New Roman" w:eastAsia="Times New Roman" w:cs="Times New Roman"/>
                <w:sz w:val="18"/>
                <w:szCs w:val="18"/>
                <w:spacing w:val="-4"/>
              </w:rPr>
              <w:t>4</w:t>
            </w:r>
            <w:r>
              <w:rPr>
                <w:sz w:val="18"/>
                <w:szCs w:val="18"/>
                <w:spacing w:val="-4"/>
              </w:rPr>
              <w:t>（</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4"/>
              </w:rPr>
              <w:t xml:space="preserve"> </w:t>
            </w:r>
            <w:r>
              <w:rPr>
                <w:sz w:val="18"/>
                <w:szCs w:val="18"/>
                <w:spacing w:val="-4"/>
              </w:rPr>
              <w:t>个未</w:t>
            </w:r>
            <w:r>
              <w:rPr>
                <w:sz w:val="18"/>
                <w:szCs w:val="18"/>
                <w:spacing w:val="-5"/>
              </w:rPr>
              <w:t>见矿）</w:t>
            </w:r>
          </w:p>
        </w:tc>
        <w:tc>
          <w:tcPr>
            <w:tcW w:w="577" w:type="dxa"/>
            <w:vAlign w:val="top"/>
            <w:tcBorders>
              <w:right w:val="nil"/>
            </w:tcBorders>
          </w:tcPr>
          <w:p>
            <w:pPr>
              <w:pStyle w:val="TableText"/>
              <w:ind w:left="208" w:right="108" w:hanging="89"/>
              <w:spacing w:before="30" w:line="221" w:lineRule="auto"/>
              <w:rPr>
                <w:sz w:val="18"/>
                <w:szCs w:val="18"/>
              </w:rPr>
            </w:pPr>
            <w:r>
              <w:rPr>
                <w:sz w:val="18"/>
                <w:szCs w:val="18"/>
                <w:spacing w:val="-7"/>
              </w:rPr>
              <w:t>未动</w:t>
            </w:r>
            <w:r>
              <w:rPr>
                <w:sz w:val="18"/>
                <w:szCs w:val="18"/>
              </w:rPr>
              <w:t>用</w:t>
            </w:r>
          </w:p>
        </w:tc>
      </w:tr>
      <w:tr>
        <w:trPr>
          <w:trHeight w:val="476" w:hRule="atLeast"/>
        </w:trPr>
        <w:tc>
          <w:tcPr>
            <w:tcW w:w="473" w:type="dxa"/>
            <w:vAlign w:val="top"/>
            <w:tcBorders>
              <w:left w:val="nil"/>
              <w:top w:val="nil"/>
            </w:tcBorders>
          </w:tcPr>
          <w:p>
            <w:pPr>
              <w:rPr>
                <w:rFonts w:ascii="Arial"/>
                <w:sz w:val="21"/>
              </w:rPr>
            </w:pPr>
            <w:r/>
          </w:p>
        </w:tc>
        <w:tc>
          <w:tcPr>
            <w:tcW w:w="553" w:type="dxa"/>
            <w:vAlign w:val="top"/>
          </w:tcPr>
          <w:p>
            <w:pPr>
              <w:ind w:left="19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tc>
        <w:tc>
          <w:tcPr>
            <w:tcW w:w="482" w:type="dxa"/>
            <w:vAlign w:val="top"/>
            <w:textDirection w:val="tbRlV"/>
          </w:tcPr>
          <w:p>
            <w:pPr>
              <w:pStyle w:val="TableText"/>
              <w:ind w:left="31"/>
              <w:spacing w:before="147" w:line="206" w:lineRule="auto"/>
              <w:rPr>
                <w:sz w:val="18"/>
                <w:szCs w:val="18"/>
              </w:rPr>
            </w:pPr>
            <w:r>
              <w:rPr>
                <w:sz w:val="18"/>
                <w:szCs w:val="18"/>
                <w:spacing w:val="28"/>
              </w:rPr>
              <w:t>萤石</w:t>
            </w:r>
          </w:p>
        </w:tc>
        <w:tc>
          <w:tcPr>
            <w:tcW w:w="728" w:type="dxa"/>
            <w:vAlign w:val="top"/>
          </w:tcPr>
          <w:p>
            <w:pPr>
              <w:ind w:left="31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80" w:type="dxa"/>
            <w:vAlign w:val="top"/>
          </w:tcPr>
          <w:p>
            <w:pPr>
              <w:ind w:left="24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883-923</w:t>
            </w:r>
          </w:p>
        </w:tc>
        <w:tc>
          <w:tcPr>
            <w:tcW w:w="881" w:type="dxa"/>
            <w:vAlign w:val="top"/>
          </w:tcPr>
          <w:p>
            <w:pPr>
              <w:ind w:left="15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120-160</w:t>
            </w:r>
          </w:p>
        </w:tc>
        <w:tc>
          <w:tcPr>
            <w:tcW w:w="609" w:type="dxa"/>
            <w:vAlign w:val="top"/>
          </w:tcPr>
          <w:p>
            <w:pPr>
              <w:ind w:left="219"/>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992" w:type="dxa"/>
            <w:vAlign w:val="top"/>
          </w:tcPr>
          <w:p>
            <w:pPr>
              <w:ind w:left="406"/>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1051" w:type="dxa"/>
            <w:vAlign w:val="top"/>
          </w:tcPr>
          <w:p>
            <w:pPr>
              <w:pStyle w:val="TableText"/>
              <w:ind w:left="263"/>
              <w:spacing w:before="44" w:line="224" w:lineRule="auto"/>
              <w:rPr>
                <w:sz w:val="18"/>
                <w:szCs w:val="18"/>
              </w:rPr>
            </w:pPr>
            <w:r>
              <w:rPr>
                <w:sz w:val="18"/>
                <w:szCs w:val="18"/>
                <w:spacing w:val="-4"/>
              </w:rPr>
              <w:t>透镜状</w:t>
            </w:r>
          </w:p>
          <w:p>
            <w:pPr>
              <w:ind w:left="483"/>
              <w:spacing w:before="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52" w:type="dxa"/>
            <w:vAlign w:val="top"/>
          </w:tcPr>
          <w:p>
            <w:pPr>
              <w:ind w:left="289"/>
              <w:spacing w:before="148"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w:t>
            </w:r>
            <w:r>
              <w:rPr>
                <w:rFonts w:ascii="SimSun" w:hAnsi="SimSun" w:eastAsia="SimSun" w:cs="SimSun"/>
                <w:sz w:val="18"/>
                <w:szCs w:val="18"/>
                <w:spacing w:val="-1"/>
              </w:rPr>
              <w:t>∠</w:t>
            </w:r>
            <w:r>
              <w:rPr>
                <w:rFonts w:ascii="Times New Roman" w:hAnsi="Times New Roman" w:eastAsia="Times New Roman" w:cs="Times New Roman"/>
                <w:sz w:val="18"/>
                <w:szCs w:val="18"/>
                <w:spacing w:val="-1"/>
              </w:rPr>
              <w:t>54°</w:t>
            </w:r>
          </w:p>
        </w:tc>
        <w:tc>
          <w:tcPr>
            <w:tcW w:w="1114" w:type="dxa"/>
            <w:vAlign w:val="top"/>
          </w:tcPr>
          <w:p>
            <w:pPr>
              <w:ind w:left="231"/>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1.56-1.56</w:t>
            </w:r>
          </w:p>
          <w:p>
            <w:pPr>
              <w:pStyle w:val="TableText"/>
              <w:ind w:left="192"/>
              <w:spacing w:before="27" w:line="221" w:lineRule="auto"/>
              <w:rPr>
                <w:sz w:val="18"/>
                <w:szCs w:val="18"/>
              </w:rPr>
            </w:pPr>
            <w:r>
              <w:rPr>
                <w:rFonts w:ascii="Times New Roman" w:hAnsi="Times New Roman" w:eastAsia="Times New Roman" w:cs="Times New Roman"/>
                <w:sz w:val="18"/>
                <w:szCs w:val="18"/>
                <w:spacing w:val="-4"/>
              </w:rPr>
              <w:t>1.56</w:t>
            </w:r>
            <w:r>
              <w:rPr>
                <w:sz w:val="18"/>
                <w:szCs w:val="18"/>
                <w:spacing w:val="-4"/>
              </w:rPr>
              <w:t>（</w:t>
            </w:r>
            <w:r>
              <w:rPr>
                <w:rFonts w:ascii="Times New Roman" w:hAnsi="Times New Roman" w:eastAsia="Times New Roman" w:cs="Times New Roman"/>
                <w:sz w:val="18"/>
                <w:szCs w:val="18"/>
                <w:spacing w:val="-4"/>
              </w:rPr>
              <w:t>1</w:t>
            </w:r>
            <w:r>
              <w:rPr>
                <w:sz w:val="18"/>
                <w:szCs w:val="18"/>
                <w:spacing w:val="-4"/>
              </w:rPr>
              <w:t>）</w:t>
            </w:r>
          </w:p>
        </w:tc>
        <w:tc>
          <w:tcPr>
            <w:tcW w:w="992" w:type="dxa"/>
            <w:vAlign w:val="top"/>
          </w:tcPr>
          <w:p>
            <w:pPr>
              <w:ind w:left="471"/>
              <w:spacing w:before="253"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1184" w:type="dxa"/>
            <w:vAlign w:val="top"/>
          </w:tcPr>
          <w:p>
            <w:pPr>
              <w:ind w:left="157"/>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25.16-25.16</w:t>
            </w:r>
          </w:p>
          <w:p>
            <w:pPr>
              <w:pStyle w:val="TableText"/>
              <w:ind w:left="164"/>
              <w:spacing w:before="27" w:line="221" w:lineRule="auto"/>
              <w:rPr>
                <w:sz w:val="18"/>
                <w:szCs w:val="18"/>
              </w:rPr>
            </w:pPr>
            <w:r>
              <w:rPr>
                <w:rFonts w:ascii="Times New Roman" w:hAnsi="Times New Roman" w:eastAsia="Times New Roman" w:cs="Times New Roman"/>
                <w:sz w:val="18"/>
                <w:szCs w:val="18"/>
                <w:spacing w:val="-1"/>
              </w:rPr>
              <w:t>25.16</w:t>
            </w:r>
            <w:r>
              <w:rPr>
                <w:sz w:val="18"/>
                <w:szCs w:val="18"/>
                <w:spacing w:val="-1"/>
              </w:rPr>
              <w:t>（</w:t>
            </w:r>
            <w:r>
              <w:rPr>
                <w:rFonts w:ascii="Times New Roman" w:hAnsi="Times New Roman" w:eastAsia="Times New Roman" w:cs="Times New Roman"/>
                <w:sz w:val="18"/>
                <w:szCs w:val="18"/>
                <w:spacing w:val="-1"/>
              </w:rPr>
              <w:t>1</w:t>
            </w:r>
            <w:r>
              <w:rPr>
                <w:sz w:val="18"/>
                <w:szCs w:val="18"/>
                <w:spacing w:val="-1"/>
              </w:rPr>
              <w:t>）</w:t>
            </w:r>
          </w:p>
        </w:tc>
        <w:tc>
          <w:tcPr>
            <w:tcW w:w="1116" w:type="dxa"/>
            <w:vAlign w:val="top"/>
          </w:tcPr>
          <w:p>
            <w:pPr>
              <w:ind w:left="405"/>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3.36</w:t>
            </w:r>
          </w:p>
        </w:tc>
        <w:tc>
          <w:tcPr>
            <w:tcW w:w="983" w:type="dxa"/>
            <w:vAlign w:val="top"/>
          </w:tcPr>
          <w:p>
            <w:pPr>
              <w:ind w:left="46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Borders>
              <w:right w:val="nil"/>
            </w:tcBorders>
          </w:tcPr>
          <w:p>
            <w:pPr>
              <w:pStyle w:val="TableText"/>
              <w:ind w:left="208" w:right="108" w:hanging="89"/>
              <w:spacing w:before="31" w:line="223" w:lineRule="auto"/>
              <w:rPr>
                <w:sz w:val="18"/>
                <w:szCs w:val="18"/>
              </w:rPr>
            </w:pPr>
            <w:r>
              <w:rPr>
                <w:sz w:val="18"/>
                <w:szCs w:val="18"/>
                <w:spacing w:val="-7"/>
              </w:rPr>
              <w:t>未动</w:t>
            </w:r>
            <w:r>
              <w:rPr>
                <w:sz w:val="18"/>
                <w:szCs w:val="18"/>
              </w:rPr>
              <w:t>用</w:t>
            </w:r>
          </w:p>
        </w:tc>
      </w:tr>
    </w:tbl>
    <w:p>
      <w:pPr>
        <w:ind w:left="102"/>
        <w:spacing w:before="28" w:line="219" w:lineRule="auto"/>
        <w:rPr>
          <w:rFonts w:ascii="FangSong" w:hAnsi="FangSong" w:eastAsia="FangSong" w:cs="FangSong"/>
          <w:sz w:val="18"/>
          <w:szCs w:val="18"/>
        </w:rPr>
      </w:pPr>
      <w:r>
        <w:rPr>
          <w:rFonts w:ascii="FangSong" w:hAnsi="FangSong" w:eastAsia="FangSong" w:cs="FangSong"/>
          <w:sz w:val="18"/>
          <w:szCs w:val="18"/>
          <w:spacing w:val="-1"/>
        </w:rPr>
        <w:t>注：</w:t>
      </w:r>
      <w:r>
        <w:rPr>
          <w:rFonts w:ascii="Times New Roman" w:hAnsi="Times New Roman" w:eastAsia="Times New Roman" w:cs="Times New Roman"/>
          <w:sz w:val="18"/>
          <w:szCs w:val="18"/>
          <w:spacing w:val="-1"/>
        </w:rPr>
        <w:t>1.</w:t>
      </w:r>
      <w:r>
        <w:rPr>
          <w:rFonts w:ascii="FangSong" w:hAnsi="FangSong" w:eastAsia="FangSong" w:cs="FangSong"/>
          <w:sz w:val="18"/>
          <w:szCs w:val="18"/>
          <w:spacing w:val="-1"/>
        </w:rPr>
        <w:t>厚度指单工程厚度；</w:t>
      </w: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spacing w:val="-16"/>
        </w:rPr>
        <w:t xml:space="preserve"> </w:t>
      </w:r>
      <w:r>
        <w:rPr>
          <w:rFonts w:ascii="FangSong" w:hAnsi="FangSong" w:eastAsia="FangSong" w:cs="FangSong"/>
          <w:sz w:val="18"/>
          <w:szCs w:val="18"/>
          <w:spacing w:val="-1"/>
        </w:rPr>
        <w:t>品位、厚度区间为单工程的最小值和最大值；</w:t>
      </w:r>
      <w:r>
        <w:rPr>
          <w:rFonts w:ascii="Times New Roman" w:hAnsi="Times New Roman" w:eastAsia="Times New Roman" w:cs="Times New Roman"/>
          <w:sz w:val="18"/>
          <w:szCs w:val="18"/>
          <w:spacing w:val="-1"/>
        </w:rPr>
        <w:t>3.</w:t>
      </w:r>
      <w:r>
        <w:rPr>
          <w:rFonts w:ascii="FangSong" w:hAnsi="FangSong" w:eastAsia="FangSong" w:cs="FangSong"/>
          <w:sz w:val="18"/>
          <w:szCs w:val="18"/>
          <w:spacing w:val="-1"/>
        </w:rPr>
        <w:t>平均品位为矿体的</w:t>
      </w:r>
      <w:r>
        <w:rPr>
          <w:rFonts w:ascii="FangSong" w:hAnsi="FangSong" w:eastAsia="FangSong" w:cs="FangSong"/>
          <w:sz w:val="18"/>
          <w:szCs w:val="18"/>
          <w:spacing w:val="-2"/>
        </w:rPr>
        <w:t>金属量（化合物量等）与矿石量之比；</w:t>
      </w:r>
      <w:r>
        <w:rPr>
          <w:rFonts w:ascii="Times New Roman" w:hAnsi="Times New Roman" w:eastAsia="Times New Roman" w:cs="Times New Roman"/>
          <w:sz w:val="18"/>
          <w:szCs w:val="18"/>
          <w:spacing w:val="-2"/>
        </w:rPr>
        <w:t>4.</w:t>
      </w:r>
      <w:r>
        <w:rPr>
          <w:rFonts w:ascii="Times New Roman" w:hAnsi="Times New Roman" w:eastAsia="Times New Roman" w:cs="Times New Roman"/>
          <w:sz w:val="18"/>
          <w:szCs w:val="18"/>
          <w:spacing w:val="-15"/>
        </w:rPr>
        <w:t xml:space="preserve"> </w:t>
      </w:r>
      <w:r>
        <w:rPr>
          <w:rFonts w:ascii="FangSong" w:hAnsi="FangSong" w:eastAsia="FangSong" w:cs="FangSong"/>
          <w:sz w:val="18"/>
          <w:szCs w:val="18"/>
          <w:spacing w:val="-2"/>
        </w:rPr>
        <w:t>品位变化系数用圈入矿体的所有单样品位计</w:t>
      </w:r>
    </w:p>
    <w:p>
      <w:pPr>
        <w:ind w:left="764"/>
        <w:spacing w:before="18" w:line="212" w:lineRule="auto"/>
        <w:rPr>
          <w:rFonts w:ascii="FangSong" w:hAnsi="FangSong" w:eastAsia="FangSong" w:cs="FangSong"/>
          <w:sz w:val="18"/>
          <w:szCs w:val="18"/>
        </w:rPr>
      </w:pPr>
      <w:r>
        <w:rPr>
          <w:rFonts w:ascii="FangSong" w:hAnsi="FangSong" w:eastAsia="FangSong" w:cs="FangSong"/>
          <w:sz w:val="18"/>
          <w:szCs w:val="18"/>
        </w:rPr>
        <w:t>算；</w:t>
      </w:r>
      <w:r>
        <w:rPr>
          <w:rFonts w:ascii="Times New Roman" w:hAnsi="Times New Roman" w:eastAsia="Times New Roman" w:cs="Times New Roman"/>
          <w:sz w:val="18"/>
          <w:szCs w:val="18"/>
        </w:rPr>
        <w:t>5.</w:t>
      </w:r>
      <w:r>
        <w:rPr>
          <w:rFonts w:ascii="FangSong" w:hAnsi="FangSong" w:eastAsia="FangSong" w:cs="FangSong"/>
          <w:sz w:val="18"/>
          <w:szCs w:val="18"/>
        </w:rPr>
        <w:t>控制工程数量为控制矿体（包括参与矿体圈定的未见矿工程，不包括超过推断资源量勘查工程间距的工程）的取样工程的数量。</w:t>
      </w:r>
      <w:r>
        <w:rPr>
          <w:rFonts w:ascii="Times New Roman" w:hAnsi="Times New Roman" w:eastAsia="Times New Roman" w:cs="Times New Roman"/>
          <w:sz w:val="18"/>
          <w:szCs w:val="18"/>
        </w:rPr>
        <w:t>6.</w:t>
      </w:r>
      <w:r>
        <w:rPr>
          <w:rFonts w:ascii="FangSong" w:hAnsi="FangSong" w:eastAsia="FangSong" w:cs="FangSong"/>
          <w:sz w:val="18"/>
          <w:szCs w:val="18"/>
          <w:spacing w:val="-1"/>
        </w:rPr>
        <w:t>矿体品位单位为“</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22"/>
        </w:rPr>
        <w:t xml:space="preserve"> </w:t>
      </w:r>
      <w:r>
        <w:rPr>
          <w:rFonts w:ascii="FangSong" w:hAnsi="FangSong" w:eastAsia="FangSong" w:cs="FangSong"/>
          <w:sz w:val="18"/>
          <w:szCs w:val="18"/>
          <w:spacing w:val="-1"/>
        </w:rPr>
        <w:t>”。</w:t>
      </w:r>
    </w:p>
    <w:p>
      <w:pPr>
        <w:spacing w:line="28" w:lineRule="exact"/>
        <w:rPr/>
      </w:pPr>
      <w:r>
        <w:rPr/>
        <w:pict>
          <v:shape id="_x0000_s22" style="mso-position-vertical-relative:line;mso-position-horizontal-relative:char;width:708.4pt;height:1.45pt;" filled="false" strokecolor="#000000" strokeweight="1.44pt" coordsize="14168,29" coordorigin="0,0" path="m0,14l14167,14e">
            <v:stroke joinstyle="bevel" miterlimit="2"/>
          </v:shape>
        </w:pict>
      </w:r>
    </w:p>
    <w:p>
      <w:pPr>
        <w:spacing w:line="28" w:lineRule="exact"/>
        <w:sectPr>
          <w:footerReference w:type="default" r:id="rId112"/>
          <w:pgSz w:w="16839" w:h="11911"/>
          <w:pgMar w:top="400" w:right="1335" w:bottom="1147" w:left="1335" w:header="0" w:footer="984" w:gutter="0"/>
        </w:sectPr>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8" w:right="182" w:firstLine="479"/>
        <w:spacing w:before="78" w:line="359" w:lineRule="auto"/>
        <w:rPr>
          <w:rFonts w:ascii="FangSong" w:hAnsi="FangSong" w:eastAsia="FangSong" w:cs="FangSong"/>
          <w:sz w:val="24"/>
          <w:szCs w:val="24"/>
        </w:rPr>
      </w:pPr>
      <w:bookmarkStart w:name="bookmark543" w:id="197"/>
      <w:bookmarkEnd w:id="197"/>
      <w:r>
        <w:rPr>
          <w:rFonts w:ascii="FangSong" w:hAnsi="FangSong" w:eastAsia="FangSong" w:cs="FangSong"/>
          <w:sz w:val="24"/>
          <w:szCs w:val="24"/>
          <w:spacing w:val="-1"/>
        </w:rPr>
        <w:t>依据矿体规模、产状、空间位置、形态及工程控制程度等对</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1"/>
        </w:rPr>
        <w:t>号矿体分述</w:t>
      </w:r>
      <w:r>
        <w:rPr>
          <w:rFonts w:ascii="FangSong" w:hAnsi="FangSong" w:eastAsia="FangSong" w:cs="FangSong"/>
          <w:sz w:val="24"/>
          <w:szCs w:val="24"/>
          <w:spacing w:val="-6"/>
        </w:rPr>
        <w:t>如下：</w:t>
      </w:r>
    </w:p>
    <w:p>
      <w:pPr>
        <w:ind w:left="511"/>
        <w:spacing w:line="222"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9</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7"/>
        </w:rPr>
        <w:t>号矿体</w:t>
      </w:r>
    </w:p>
    <w:p>
      <w:pPr>
        <w:ind w:left="20" w:right="102" w:firstLine="479"/>
        <w:spacing w:before="176" w:line="359" w:lineRule="auto"/>
        <w:rPr>
          <w:rFonts w:ascii="FangSong" w:hAnsi="FangSong" w:eastAsia="FangSong" w:cs="FangSong"/>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z w:val="24"/>
          <w:szCs w:val="24"/>
          <w:spacing w:val="33"/>
          <w:w w:val="101"/>
        </w:rPr>
        <w:t xml:space="preserve"> </w:t>
      </w:r>
      <w:r>
        <w:rPr>
          <w:rFonts w:ascii="FangSong" w:hAnsi="FangSong" w:eastAsia="FangSong" w:cs="FangSong"/>
          <w:sz w:val="24"/>
          <w:szCs w:val="24"/>
        </w:rPr>
        <w:t>号矿体位于本项目中部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II</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rPr>
        <w:t>矿段中部，赋存于近南北向张性断裂构造及周边岩</w:t>
      </w:r>
      <w:r>
        <w:rPr>
          <w:rFonts w:ascii="FangSong" w:hAnsi="FangSong" w:eastAsia="FangSong" w:cs="FangSong"/>
          <w:sz w:val="24"/>
          <w:szCs w:val="24"/>
          <w:spacing w:val="-1"/>
        </w:rPr>
        <w:t>石中，北端沿</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57-61</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1"/>
        </w:rPr>
        <w:t>号勘探线尖灭，南端在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58</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1"/>
        </w:rPr>
        <w:t>线</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线之间尖灭，该矿体为本项目</w:t>
      </w:r>
      <w:r>
        <w:rPr>
          <w:rFonts w:ascii="FangSong" w:hAnsi="FangSong" w:eastAsia="FangSong" w:cs="FangSong"/>
          <w:sz w:val="24"/>
          <w:szCs w:val="24"/>
        </w:rPr>
        <w:t>内规模最大、控制程度最高的矿体，查明资源量矿石量占</w:t>
      </w:r>
      <w:r>
        <w:rPr>
          <w:rFonts w:ascii="FangSong" w:hAnsi="FangSong" w:eastAsia="FangSong" w:cs="FangSong"/>
          <w:sz w:val="24"/>
          <w:szCs w:val="24"/>
          <w:spacing w:val="-1"/>
        </w:rPr>
        <w:t>本项目总资源量矿石量的</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37.80%</w:t>
      </w:r>
      <w:r>
        <w:rPr>
          <w:rFonts w:ascii="FangSong" w:hAnsi="FangSong" w:eastAsia="FangSong" w:cs="FangSong"/>
          <w:sz w:val="24"/>
          <w:szCs w:val="24"/>
          <w:spacing w:val="-3"/>
        </w:rPr>
        <w:t>。该矿体出露于地表，赋矿岩石为萤石矿化石英</w:t>
      </w:r>
      <w:r>
        <w:rPr>
          <w:rFonts w:ascii="FangSong" w:hAnsi="FangSong" w:eastAsia="FangSong" w:cs="FangSong"/>
          <w:sz w:val="24"/>
          <w:szCs w:val="24"/>
          <w:spacing w:val="-4"/>
        </w:rPr>
        <w:t>脉，赋矿围岩为凝灰质板岩。</w:t>
      </w:r>
    </w:p>
    <w:p>
      <w:pPr>
        <w:ind w:left="22" w:firstLine="484"/>
        <w:spacing w:before="5" w:line="358" w:lineRule="auto"/>
        <w:rPr>
          <w:rFonts w:ascii="FangSong" w:hAnsi="FangSong" w:eastAsia="FangSong" w:cs="FangSong"/>
          <w:sz w:val="24"/>
          <w:szCs w:val="24"/>
        </w:rPr>
      </w:pPr>
      <w:r>
        <w:rPr>
          <w:rFonts w:ascii="FangSong" w:hAnsi="FangSong" w:eastAsia="FangSong" w:cs="FangSong"/>
          <w:sz w:val="24"/>
          <w:szCs w:val="24"/>
          <w:spacing w:val="-8"/>
        </w:rPr>
        <w:t>该矿体分布于本项目</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8"/>
        </w:rPr>
        <w:t>II</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8"/>
        </w:rPr>
        <w:t>矿段东部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60-61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8"/>
        </w:rPr>
        <w:t>勘探线之间，由</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60</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58</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56-1</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56</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54-1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8"/>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54</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50</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53</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57</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61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6"/>
        </w:rPr>
        <w:t>共计</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条勘查线</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56</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个</w:t>
      </w:r>
      <w:r>
        <w:rPr>
          <w:rFonts w:ascii="FangSong" w:hAnsi="FangSong" w:eastAsia="FangSong" w:cs="FangSong"/>
          <w:sz w:val="24"/>
          <w:szCs w:val="24"/>
          <w:spacing w:val="-7"/>
        </w:rPr>
        <w:t>工程控制（</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7"/>
        </w:rPr>
        <w:t>个探槽和</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53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7"/>
        </w:rPr>
        <w:t>个钻孔</w:t>
      </w:r>
      <w:r>
        <w:rPr>
          <w:rFonts w:ascii="FangSong" w:hAnsi="FangSong" w:eastAsia="FangSong" w:cs="FangSong"/>
          <w:sz w:val="24"/>
          <w:szCs w:val="24"/>
          <w:spacing w:val="-16"/>
        </w:rPr>
        <w:t>），</w:t>
      </w:r>
      <w:r>
        <w:rPr>
          <w:rFonts w:ascii="FangSong" w:hAnsi="FangSong" w:eastAsia="FangSong" w:cs="FangSong"/>
          <w:sz w:val="24"/>
          <w:szCs w:val="24"/>
          <w:spacing w:val="1"/>
        </w:rPr>
        <w:t>矿体呈板状分布于哲斯组凝灰质板岩的构造破碎带中，赋矿围岩为硅化、片理化的</w:t>
      </w:r>
      <w:r>
        <w:rPr>
          <w:rFonts w:ascii="FangSong" w:hAnsi="FangSong" w:eastAsia="FangSong" w:cs="FangSong"/>
          <w:sz w:val="24"/>
          <w:szCs w:val="24"/>
          <w:spacing w:val="-9"/>
        </w:rPr>
        <w:t>凝灰质板岩。赋矿标高为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861-1051.00m</w:t>
      </w:r>
      <w:r>
        <w:rPr>
          <w:rFonts w:ascii="FangSong" w:hAnsi="FangSong" w:eastAsia="FangSong" w:cs="FangSong"/>
          <w:sz w:val="24"/>
          <w:szCs w:val="24"/>
          <w:spacing w:val="-9"/>
        </w:rPr>
        <w:t>，矿体走向长度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612.00m</w:t>
      </w:r>
      <w:r>
        <w:rPr>
          <w:rFonts w:ascii="FangSong" w:hAnsi="FangSong" w:eastAsia="FangSong" w:cs="FangSong"/>
          <w:sz w:val="24"/>
          <w:szCs w:val="24"/>
          <w:spacing w:val="-9"/>
        </w:rPr>
        <w:t>，最大埋深为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0"/>
        </w:rPr>
        <w:t>90.00m</w:t>
      </w:r>
      <w:r>
        <w:rPr>
          <w:rFonts w:ascii="FangSong" w:hAnsi="FangSong" w:eastAsia="FangSong" w:cs="FangSong"/>
          <w:sz w:val="24"/>
          <w:szCs w:val="24"/>
          <w:spacing w:val="-10"/>
        </w:rPr>
        <w:t>，</w:t>
      </w:r>
      <w:r>
        <w:rPr>
          <w:rFonts w:ascii="FangSong" w:hAnsi="FangSong" w:eastAsia="FangSong" w:cs="FangSong"/>
          <w:sz w:val="24"/>
          <w:szCs w:val="24"/>
          <w:spacing w:val="-1"/>
        </w:rPr>
        <w:t>矿体总体走向为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5°-20°</w:t>
      </w:r>
      <w:r>
        <w:rPr>
          <w:rFonts w:ascii="FangSong" w:hAnsi="FangSong" w:eastAsia="FangSong" w:cs="FangSong"/>
          <w:sz w:val="24"/>
          <w:szCs w:val="24"/>
          <w:spacing w:val="-1"/>
        </w:rPr>
        <w:t>之间，倾向西，倾角在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50-8</w:t>
      </w:r>
      <w:r>
        <w:rPr>
          <w:rFonts w:ascii="Times New Roman" w:hAnsi="Times New Roman" w:eastAsia="Times New Roman" w:cs="Times New Roman"/>
          <w:sz w:val="24"/>
          <w:szCs w:val="24"/>
          <w:spacing w:val="-2"/>
        </w:rPr>
        <w:t>9°</w:t>
      </w:r>
      <w:r>
        <w:rPr>
          <w:rFonts w:ascii="FangSong" w:hAnsi="FangSong" w:eastAsia="FangSong" w:cs="FangSong"/>
          <w:sz w:val="24"/>
          <w:szCs w:val="24"/>
          <w:spacing w:val="-2"/>
        </w:rPr>
        <w:t>之间。</w:t>
      </w:r>
    </w:p>
    <w:p>
      <w:pPr>
        <w:ind w:left="26" w:right="120" w:firstLine="473"/>
        <w:spacing w:before="3" w:line="359" w:lineRule="auto"/>
        <w:jc w:val="both"/>
        <w:rPr>
          <w:rFonts w:ascii="FangSong" w:hAnsi="FangSong" w:eastAsia="FangSong" w:cs="FangSong"/>
          <w:sz w:val="24"/>
          <w:szCs w:val="24"/>
        </w:rPr>
      </w:pP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号矿体单工程厚度变化范围在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0.29-11.71m</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2"/>
        </w:rPr>
        <w:t>之间，平均厚度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2.71m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，沿走向矿</w:t>
      </w:r>
      <w:r>
        <w:rPr>
          <w:rFonts w:ascii="FangSong" w:hAnsi="FangSong" w:eastAsia="FangSong" w:cs="FangSong"/>
          <w:sz w:val="24"/>
          <w:szCs w:val="24"/>
        </w:rPr>
        <w:t>体厚度变化较均匀，沿倾向矿体呈上下窄中间宽，矿体厚度变化系数</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rPr>
        <w:t>166.70%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，矿</w:t>
      </w:r>
      <w:r>
        <w:rPr>
          <w:rFonts w:ascii="FangSong" w:hAnsi="FangSong" w:eastAsia="FangSong" w:cs="FangSong"/>
          <w:sz w:val="24"/>
          <w:szCs w:val="24"/>
          <w:spacing w:val="-8"/>
        </w:rPr>
        <w:t>体形态复杂程度中等。矿体单工程</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8"/>
        </w:rPr>
        <w:t>CaF</w:t>
      </w:r>
      <w:r>
        <w:rPr>
          <w:rFonts w:ascii="Times New Roman" w:hAnsi="Times New Roman" w:eastAsia="Times New Roman" w:cs="Times New Roman"/>
          <w:sz w:val="15"/>
          <w:szCs w:val="15"/>
          <w:spacing w:val="-8"/>
          <w:position w:val="-1"/>
        </w:rPr>
        <w:t>2  </w:t>
      </w:r>
      <w:r>
        <w:rPr>
          <w:rFonts w:ascii="FangSong" w:hAnsi="FangSong" w:eastAsia="FangSong" w:cs="FangSong"/>
          <w:sz w:val="24"/>
          <w:szCs w:val="24"/>
          <w:spacing w:val="-8"/>
        </w:rPr>
        <w:t>品位在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25.49-74.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8"/>
        </w:rPr>
        <w:t>16%</w:t>
      </w:r>
      <w:r>
        <w:rPr>
          <w:rFonts w:ascii="FangSong" w:hAnsi="FangSong" w:eastAsia="FangSong" w:cs="FangSong"/>
          <w:sz w:val="24"/>
          <w:szCs w:val="24"/>
          <w:spacing w:val="-8"/>
        </w:rPr>
        <w:t>，矿体平均品位</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49.</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8"/>
        </w:rPr>
        <w:t>17%</w:t>
      </w:r>
      <w:r>
        <w:rPr>
          <w:rFonts w:ascii="FangSong" w:hAnsi="FangSong" w:eastAsia="FangSong" w:cs="FangSong"/>
          <w:sz w:val="24"/>
          <w:szCs w:val="24"/>
          <w:spacing w:val="-8"/>
        </w:rPr>
        <w:t>，</w:t>
      </w:r>
      <w:r>
        <w:rPr>
          <w:rFonts w:ascii="FangSong" w:hAnsi="FangSong" w:eastAsia="FangSong" w:cs="FangSong"/>
          <w:sz w:val="24"/>
          <w:szCs w:val="24"/>
          <w:spacing w:val="-2"/>
        </w:rPr>
        <w:t>矿体品位沿走向、倾向变化不大，品位变化系数</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2"/>
        </w:rPr>
        <w:t>274.90%</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，品位变化中等。</w:t>
      </w:r>
    </w:p>
    <w:p>
      <w:pPr>
        <w:ind w:left="511"/>
        <w:spacing w:line="222"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号矿体</w:t>
      </w:r>
    </w:p>
    <w:p>
      <w:pPr>
        <w:ind w:left="27" w:right="183" w:firstLine="491"/>
        <w:spacing w:before="175"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1"/>
        </w:rPr>
        <w:t>号矿体位于本项目</w:t>
      </w:r>
      <w:r>
        <w:rPr>
          <w:rFonts w:ascii="Times New Roman" w:hAnsi="Times New Roman" w:eastAsia="Times New Roman" w:cs="Times New Roman"/>
          <w:sz w:val="24"/>
          <w:szCs w:val="24"/>
          <w:spacing w:val="-1"/>
        </w:rPr>
        <w:t>II</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矿段北部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54-61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号勘探线之间，矿体</w:t>
      </w:r>
      <w:r>
        <w:rPr>
          <w:rFonts w:ascii="FangSong" w:hAnsi="FangSong" w:eastAsia="FangSong" w:cs="FangSong"/>
          <w:sz w:val="24"/>
          <w:szCs w:val="24"/>
          <w:spacing w:val="-2"/>
        </w:rPr>
        <w:t>呈板状分布于哲斯</w:t>
      </w:r>
      <w:r>
        <w:rPr>
          <w:rFonts w:ascii="FangSong" w:hAnsi="FangSong" w:eastAsia="FangSong" w:cs="FangSong"/>
          <w:sz w:val="24"/>
          <w:szCs w:val="24"/>
          <w:spacing w:val="1"/>
        </w:rPr>
        <w:t>组凝灰质板岩的破碎带中，矿体在走向上具有尖灭再现特征，赋矿围岩为硅化、片</w:t>
      </w:r>
      <w:r>
        <w:rPr>
          <w:rFonts w:ascii="FangSong" w:hAnsi="FangSong" w:eastAsia="FangSong" w:cs="FangSong"/>
          <w:sz w:val="24"/>
          <w:szCs w:val="24"/>
          <w:spacing w:val="-4"/>
        </w:rPr>
        <w:t>理化的凝灰质板岩。</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4"/>
        </w:rPr>
        <w:t>号矿体查明矿石资源量占本项目总资源量的</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18.42%</w:t>
      </w:r>
      <w:r>
        <w:rPr>
          <w:rFonts w:ascii="FangSong" w:hAnsi="FangSong" w:eastAsia="FangSong" w:cs="FangSong"/>
          <w:sz w:val="24"/>
          <w:szCs w:val="24"/>
          <w:spacing w:val="-4"/>
        </w:rPr>
        <w:t>。该矿体</w:t>
      </w:r>
      <w:r>
        <w:rPr>
          <w:rFonts w:ascii="FangSong" w:hAnsi="FangSong" w:eastAsia="FangSong" w:cs="FangSong"/>
          <w:sz w:val="24"/>
          <w:szCs w:val="24"/>
          <w:spacing w:val="-1"/>
        </w:rPr>
        <w:t>为一隐伏矿体，赋矿岩石为萤石矿化石英脉，赋矿围岩为凝灰质板岩。</w:t>
      </w:r>
    </w:p>
    <w:p>
      <w:pPr>
        <w:ind w:left="21" w:right="108" w:firstLine="497"/>
        <w:spacing w:before="5" w:line="358" w:lineRule="auto"/>
        <w:jc w:val="both"/>
        <w:rPr>
          <w:rFonts w:ascii="FangSong" w:hAnsi="FangSong" w:eastAsia="FangSong" w:cs="FangSong"/>
          <w:sz w:val="24"/>
          <w:szCs w:val="24"/>
        </w:rPr>
      </w:pP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8"/>
        </w:rPr>
        <w:t>号矿体位于本项目</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8"/>
        </w:rPr>
        <w:t>II</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8"/>
        </w:rPr>
        <w:t>矿段北部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8"/>
        </w:rPr>
        <w:t>54-61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8"/>
        </w:rPr>
        <w:t>号勘探线之间，由</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8"/>
        </w:rPr>
        <w:t>54</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52</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50</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53</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57</w:t>
      </w:r>
      <w:r>
        <w:rPr>
          <w:rFonts w:ascii="FangSong" w:hAnsi="FangSong" w:eastAsia="FangSong" w:cs="FangSong"/>
          <w:sz w:val="24"/>
          <w:szCs w:val="24"/>
          <w:spacing w:val="-8"/>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61</w:t>
      </w:r>
      <w:r>
        <w:rPr>
          <w:rFonts w:ascii="Times New Roman" w:hAnsi="Times New Roman" w:eastAsia="Times New Roman" w:cs="Times New Roman"/>
          <w:sz w:val="24"/>
          <w:szCs w:val="24"/>
          <w:spacing w:val="38"/>
        </w:rPr>
        <w:t xml:space="preserve"> </w:t>
      </w:r>
      <w:r>
        <w:rPr>
          <w:rFonts w:ascii="FangSong" w:hAnsi="FangSong" w:eastAsia="FangSong" w:cs="FangSong"/>
          <w:sz w:val="24"/>
          <w:szCs w:val="24"/>
        </w:rPr>
        <w:t>号共计</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rPr>
        <w:t>条勘查线</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25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个钻孔控制，矿体呈板状分布于哲斯组凝灰质板岩的构造</w:t>
      </w:r>
      <w:r>
        <w:rPr>
          <w:rFonts w:ascii="FangSong" w:hAnsi="FangSong" w:eastAsia="FangSong" w:cs="FangSong"/>
          <w:sz w:val="24"/>
          <w:szCs w:val="24"/>
          <w:spacing w:val="-1"/>
        </w:rPr>
        <w:t>破碎带中，赋矿围岩为硅化、片理化的凝灰质板岩。赋矿标高为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1"/>
        </w:rPr>
        <w:t>870-1038.00m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，矿</w:t>
      </w:r>
      <w:r>
        <w:rPr>
          <w:rFonts w:ascii="FangSong" w:hAnsi="FangSong" w:eastAsia="FangSong" w:cs="FangSong"/>
          <w:sz w:val="24"/>
          <w:szCs w:val="24"/>
          <w:spacing w:val="-2"/>
        </w:rPr>
        <w:t>体走向长度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326.00m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，最大埋深为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168.00m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，矿体总体走向为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5°-10°</w:t>
      </w:r>
      <w:r>
        <w:rPr>
          <w:rFonts w:ascii="FangSong" w:hAnsi="FangSong" w:eastAsia="FangSong" w:cs="FangSong"/>
          <w:sz w:val="24"/>
          <w:szCs w:val="24"/>
          <w:spacing w:val="-3"/>
        </w:rPr>
        <w:t>之间，倾向西，</w:t>
      </w:r>
      <w:r>
        <w:rPr>
          <w:rFonts w:ascii="FangSong" w:hAnsi="FangSong" w:eastAsia="FangSong" w:cs="FangSong"/>
          <w:sz w:val="24"/>
          <w:szCs w:val="24"/>
          <w:spacing w:val="-2"/>
        </w:rPr>
        <w:t>倾角在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77°-87°</w:t>
      </w:r>
      <w:r>
        <w:rPr>
          <w:rFonts w:ascii="FangSong" w:hAnsi="FangSong" w:eastAsia="FangSong" w:cs="FangSong"/>
          <w:sz w:val="24"/>
          <w:szCs w:val="24"/>
          <w:spacing w:val="-2"/>
        </w:rPr>
        <w:t>之间。</w:t>
      </w:r>
    </w:p>
    <w:p>
      <w:pPr>
        <w:ind w:left="22" w:right="182" w:firstLine="496"/>
        <w:spacing w:before="4" w:line="359" w:lineRule="auto"/>
        <w:jc w:val="both"/>
        <w:rPr>
          <w:rFonts w:ascii="FangSong" w:hAnsi="FangSong" w:eastAsia="FangSong" w:cs="FangSong"/>
          <w:sz w:val="24"/>
          <w:szCs w:val="24"/>
        </w:rPr>
      </w:pP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4"/>
        </w:rPr>
        <w:t>号矿体单工程厚度变化范围在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0.42-11.97m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之间</w:t>
      </w:r>
      <w:r>
        <w:rPr>
          <w:rFonts w:ascii="FangSong" w:hAnsi="FangSong" w:eastAsia="FangSong" w:cs="FangSong"/>
          <w:sz w:val="24"/>
          <w:szCs w:val="24"/>
          <w:spacing w:val="-5"/>
        </w:rPr>
        <w:t>，平均厚度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3.36m</w:t>
      </w:r>
      <w:r>
        <w:rPr>
          <w:rFonts w:ascii="FangSong" w:hAnsi="FangSong" w:eastAsia="FangSong" w:cs="FangSong"/>
          <w:sz w:val="24"/>
          <w:szCs w:val="24"/>
          <w:spacing w:val="-5"/>
        </w:rPr>
        <w:t>，矿体厚度</w:t>
      </w:r>
      <w:r>
        <w:rPr>
          <w:rFonts w:ascii="FangSong" w:hAnsi="FangSong" w:eastAsia="FangSong" w:cs="FangSong"/>
          <w:sz w:val="24"/>
          <w:szCs w:val="24"/>
          <w:spacing w:val="1"/>
        </w:rPr>
        <w:t>变化系数</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224.84%</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。该矿体沿走向矿体厚度变化中等，沿倾向矿体呈上宽下窄，在</w:t>
      </w:r>
      <w:r>
        <w:rPr>
          <w:rFonts w:ascii="Times New Roman" w:hAnsi="Times New Roman" w:eastAsia="Times New Roman" w:cs="Times New Roman"/>
          <w:sz w:val="24"/>
          <w:szCs w:val="24"/>
          <w:spacing w:val="-4"/>
        </w:rPr>
        <w:t>53</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4"/>
        </w:rPr>
        <w:t>勘探线矿体收缩，而相邻</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50</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51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4"/>
        </w:rPr>
        <w:t>勘探线矿体则膨大。</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4"/>
        </w:rPr>
        <w:t>号矿体单工程</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CaF</w:t>
      </w:r>
      <w:r>
        <w:rPr>
          <w:rFonts w:ascii="Times New Roman" w:hAnsi="Times New Roman" w:eastAsia="Times New Roman" w:cs="Times New Roman"/>
          <w:sz w:val="15"/>
          <w:szCs w:val="15"/>
          <w:spacing w:val="-4"/>
          <w:position w:val="-1"/>
        </w:rPr>
        <w:t>2  </w:t>
      </w:r>
      <w:r>
        <w:rPr>
          <w:rFonts w:ascii="FangSong" w:hAnsi="FangSong" w:eastAsia="FangSong" w:cs="FangSong"/>
          <w:sz w:val="24"/>
          <w:szCs w:val="24"/>
          <w:spacing w:val="-4"/>
        </w:rPr>
        <w:t>品位</w:t>
      </w:r>
      <w:r>
        <w:rPr>
          <w:rFonts w:ascii="FangSong" w:hAnsi="FangSong" w:eastAsia="FangSong" w:cs="FangSong"/>
          <w:sz w:val="24"/>
          <w:szCs w:val="24"/>
          <w:spacing w:val="-3"/>
        </w:rPr>
        <w:t>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25.40-73.49%</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，平均品位</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42.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12%</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，品位变化系数</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386.23%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，倾向方向则呈上部品</w:t>
      </w:r>
    </w:p>
    <w:p>
      <w:pPr>
        <w:spacing w:line="359" w:lineRule="auto"/>
        <w:sectPr>
          <w:footerReference w:type="default" r:id="rId113"/>
          <w:pgSz w:w="11911" w:h="16839"/>
          <w:pgMar w:top="400" w:right="1232"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7"/>
        <w:spacing w:before="78" w:line="222" w:lineRule="auto"/>
        <w:rPr>
          <w:rFonts w:ascii="FangSong" w:hAnsi="FangSong" w:eastAsia="FangSong" w:cs="FangSong"/>
          <w:sz w:val="24"/>
          <w:szCs w:val="24"/>
        </w:rPr>
      </w:pPr>
      <w:r>
        <w:rPr>
          <w:rFonts w:ascii="FangSong" w:hAnsi="FangSong" w:eastAsia="FangSong" w:cs="FangSong"/>
          <w:sz w:val="24"/>
          <w:szCs w:val="24"/>
          <w:spacing w:val="-3"/>
        </w:rPr>
        <w:t>位高于下部品位。</w:t>
      </w:r>
    </w:p>
    <w:p>
      <w:pPr>
        <w:ind w:left="16"/>
        <w:spacing w:before="177" w:line="223" w:lineRule="auto"/>
        <w:outlineLvl w:val="2"/>
        <w:rPr>
          <w:rFonts w:ascii="FangSong" w:hAnsi="FangSong" w:eastAsia="FangSong" w:cs="FangSong"/>
          <w:sz w:val="24"/>
          <w:szCs w:val="24"/>
        </w:rPr>
      </w:pPr>
      <w:bookmarkStart w:name="bookmark145" w:id="198"/>
      <w:bookmarkEnd w:id="198"/>
      <w:bookmarkStart w:name="bookmark144" w:id="199"/>
      <w:bookmarkEnd w:id="199"/>
      <w:r>
        <w:rPr>
          <w:rFonts w:ascii="Times New Roman" w:hAnsi="Times New Roman" w:eastAsia="Times New Roman" w:cs="Times New Roman"/>
          <w:sz w:val="24"/>
          <w:szCs w:val="24"/>
          <w:b/>
          <w:bCs/>
          <w:spacing w:val="-4"/>
        </w:rPr>
        <w:t>4.3.2</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矿石特征</w:t>
      </w:r>
    </w:p>
    <w:p>
      <w:pPr>
        <w:ind w:left="16"/>
        <w:spacing w:before="177"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4.3.2.1  </w:t>
      </w:r>
      <w:r>
        <w:rPr>
          <w:rFonts w:ascii="FangSong" w:hAnsi="FangSong" w:eastAsia="FangSong" w:cs="FangSong"/>
          <w:sz w:val="24"/>
          <w:szCs w:val="24"/>
          <w:b/>
          <w:bCs/>
          <w:spacing w:val="-2"/>
        </w:rPr>
        <w:t>矿物组成与结构构造</w:t>
      </w:r>
    </w:p>
    <w:p>
      <w:pPr>
        <w:ind w:left="511"/>
        <w:spacing w:before="178"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）矿物成分</w:t>
      </w:r>
    </w:p>
    <w:p>
      <w:pPr>
        <w:ind w:left="35" w:firstLine="472"/>
        <w:spacing w:before="182" w:line="358" w:lineRule="auto"/>
        <w:rPr>
          <w:rFonts w:ascii="FangSong" w:hAnsi="FangSong" w:eastAsia="FangSong" w:cs="FangSong"/>
          <w:sz w:val="24"/>
          <w:szCs w:val="24"/>
        </w:rPr>
      </w:pPr>
      <w:r>
        <w:rPr>
          <w:rFonts w:ascii="FangSong" w:hAnsi="FangSong" w:eastAsia="FangSong" w:cs="FangSong"/>
          <w:sz w:val="24"/>
          <w:szCs w:val="24"/>
          <w:spacing w:val="1"/>
        </w:rPr>
        <w:t>依据光、薄片综合鉴定结果，组成矿石的物质成分主要为萤石、石英、方解石</w:t>
      </w:r>
      <w:r>
        <w:rPr>
          <w:rFonts w:ascii="FangSong" w:hAnsi="FangSong" w:eastAsia="FangSong" w:cs="FangSong"/>
          <w:sz w:val="24"/>
          <w:szCs w:val="24"/>
          <w:spacing w:val="-4"/>
        </w:rPr>
        <w:t>等三类物质构成。</w:t>
      </w:r>
    </w:p>
    <w:p>
      <w:pPr>
        <w:ind w:left="499"/>
        <w:spacing w:before="1" w:line="222" w:lineRule="auto"/>
        <w:rPr>
          <w:rFonts w:ascii="FangSong" w:hAnsi="FangSong" w:eastAsia="FangSong" w:cs="FangSong"/>
          <w:sz w:val="24"/>
          <w:szCs w:val="24"/>
        </w:rPr>
      </w:pPr>
      <w:r>
        <w:rPr>
          <w:rFonts w:ascii="FangSong" w:hAnsi="FangSong" w:eastAsia="FangSong" w:cs="FangSong"/>
          <w:sz w:val="24"/>
          <w:szCs w:val="24"/>
          <w:spacing w:val="-11"/>
        </w:rPr>
        <w:t>①</w:t>
      </w:r>
      <w:r>
        <w:rPr>
          <w:rFonts w:ascii="FangSong" w:hAnsi="FangSong" w:eastAsia="FangSong" w:cs="FangSong"/>
          <w:sz w:val="24"/>
          <w:szCs w:val="24"/>
          <w:spacing w:val="23"/>
        </w:rPr>
        <w:t xml:space="preserve"> </w:t>
      </w:r>
      <w:r>
        <w:rPr>
          <w:rFonts w:ascii="FangSong" w:hAnsi="FangSong" w:eastAsia="FangSong" w:cs="FangSong"/>
          <w:sz w:val="24"/>
          <w:szCs w:val="24"/>
          <w:spacing w:val="-11"/>
        </w:rPr>
        <w:t>萤石</w:t>
      </w:r>
    </w:p>
    <w:p>
      <w:pPr>
        <w:ind w:left="15" w:firstLine="504"/>
        <w:spacing w:before="178" w:line="359" w:lineRule="auto"/>
        <w:rPr>
          <w:rFonts w:ascii="FangSong" w:hAnsi="FangSong" w:eastAsia="FangSong" w:cs="FangSong"/>
          <w:sz w:val="24"/>
          <w:szCs w:val="24"/>
        </w:rPr>
      </w:pPr>
      <w:r>
        <w:rPr>
          <w:rFonts w:ascii="FangSong" w:hAnsi="FangSong" w:eastAsia="FangSong" w:cs="FangSong"/>
          <w:sz w:val="24"/>
          <w:szCs w:val="24"/>
          <w:spacing w:val="1"/>
        </w:rPr>
        <w:t>常为紫色、浅绿色、米白色、浅黄色及白色等几种，呈角砾状</w:t>
      </w:r>
      <w:r>
        <w:rPr>
          <w:rFonts w:ascii="FangSong" w:hAnsi="FangSong" w:eastAsia="FangSong" w:cs="FangSong"/>
          <w:sz w:val="24"/>
          <w:szCs w:val="24"/>
        </w:rPr>
        <w:t>、脉状、侵染状</w:t>
      </w:r>
      <w:r>
        <w:rPr>
          <w:rFonts w:ascii="FangSong" w:hAnsi="FangSong" w:eastAsia="FangSong" w:cs="FangSong"/>
          <w:sz w:val="24"/>
          <w:szCs w:val="24"/>
          <w:spacing w:val="-3"/>
        </w:rPr>
        <w:t>等形态产于矿体中，一般呈半自形、它形粒状集合体分布。粒度</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3"/>
        </w:rPr>
        <w:t>0.05-2.00mm</w:t>
      </w:r>
      <w:r>
        <w:rPr>
          <w:rFonts w:ascii="FangSong" w:hAnsi="FangSong" w:eastAsia="FangSong" w:cs="FangSong"/>
          <w:sz w:val="24"/>
          <w:szCs w:val="24"/>
          <w:spacing w:val="-3"/>
        </w:rPr>
        <w:t>，部分</w:t>
      </w:r>
      <w:r>
        <w:rPr>
          <w:rFonts w:ascii="FangSong" w:hAnsi="FangSong" w:eastAsia="FangSong" w:cs="FangSong"/>
          <w:sz w:val="24"/>
          <w:szCs w:val="24"/>
          <w:spacing w:val="1"/>
        </w:rPr>
        <w:t>粒度</w:t>
      </w:r>
      <w:r>
        <w:rPr>
          <w:rFonts w:ascii="Times New Roman" w:hAnsi="Times New Roman" w:eastAsia="Times New Roman" w:cs="Times New Roman"/>
          <w:sz w:val="24"/>
          <w:szCs w:val="24"/>
          <w:spacing w:val="1"/>
        </w:rPr>
        <w:t>&gt;2.00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。往往也可见中粗集合体构成的块状萤石矿，矿石中萤石含量往往在</w:t>
      </w:r>
      <w:r>
        <w:rPr>
          <w:rFonts w:ascii="Times New Roman" w:hAnsi="Times New Roman" w:eastAsia="Times New Roman" w:cs="Times New Roman"/>
          <w:sz w:val="24"/>
          <w:szCs w:val="24"/>
          <w:spacing w:val="-2"/>
        </w:rPr>
        <w:t>20-50%</w:t>
      </w:r>
      <w:r>
        <w:rPr>
          <w:rFonts w:ascii="FangSong" w:hAnsi="FangSong" w:eastAsia="FangSong" w:cs="FangSong"/>
          <w:sz w:val="24"/>
          <w:szCs w:val="24"/>
          <w:spacing w:val="-2"/>
        </w:rPr>
        <w:t>之间，局部富集体达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55-70%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，但一般少见。</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8"/>
        </w:rPr>
        <w:t>②</w:t>
      </w:r>
      <w:r>
        <w:rPr>
          <w:rFonts w:ascii="FangSong" w:hAnsi="FangSong" w:eastAsia="FangSong" w:cs="FangSong"/>
          <w:sz w:val="24"/>
          <w:szCs w:val="24"/>
          <w:spacing w:val="15"/>
        </w:rPr>
        <w:t xml:space="preserve"> </w:t>
      </w:r>
      <w:r>
        <w:rPr>
          <w:rFonts w:ascii="FangSong" w:hAnsi="FangSong" w:eastAsia="FangSong" w:cs="FangSong"/>
          <w:sz w:val="24"/>
          <w:szCs w:val="24"/>
          <w:spacing w:val="-8"/>
        </w:rPr>
        <w:t>石英</w:t>
      </w:r>
    </w:p>
    <w:p>
      <w:pPr>
        <w:ind w:left="26" w:firstLine="494"/>
        <w:spacing w:before="181" w:line="359" w:lineRule="auto"/>
        <w:rPr>
          <w:rFonts w:ascii="FangSong" w:hAnsi="FangSong" w:eastAsia="FangSong" w:cs="FangSong"/>
          <w:sz w:val="24"/>
          <w:szCs w:val="24"/>
        </w:rPr>
      </w:pPr>
      <w:r>
        <w:rPr>
          <w:rFonts w:ascii="FangSong" w:hAnsi="FangSong" w:eastAsia="FangSong" w:cs="FangSong"/>
          <w:sz w:val="24"/>
          <w:szCs w:val="24"/>
          <w:spacing w:val="1"/>
        </w:rPr>
        <w:t>多为乳白色，灰色，也有少量呈烟灰色，油脂光泽，常呈它</w:t>
      </w:r>
      <w:r>
        <w:rPr>
          <w:rFonts w:ascii="FangSong" w:hAnsi="FangSong" w:eastAsia="FangSong" w:cs="FangSong"/>
          <w:sz w:val="24"/>
          <w:szCs w:val="24"/>
        </w:rPr>
        <w:t>形粒状集合体或脉</w:t>
      </w:r>
      <w:r>
        <w:rPr>
          <w:rFonts w:ascii="FangSong" w:hAnsi="FangSong" w:eastAsia="FangSong" w:cs="FangSong"/>
          <w:sz w:val="24"/>
          <w:szCs w:val="24"/>
          <w:spacing w:val="-3"/>
        </w:rPr>
        <w:t>状与萤石混合分布，形成条带状矿石。它形粒状集体，一般粒度为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0.05-0.25mm</w:t>
      </w:r>
      <w:r>
        <w:rPr>
          <w:rFonts w:ascii="FangSong" w:hAnsi="FangSong" w:eastAsia="FangSong" w:cs="FangSong"/>
          <w:sz w:val="24"/>
          <w:szCs w:val="24"/>
          <w:spacing w:val="-3"/>
        </w:rPr>
        <w:t>。脉</w:t>
      </w:r>
      <w:r>
        <w:rPr>
          <w:rFonts w:ascii="FangSong" w:hAnsi="FangSong" w:eastAsia="FangSong" w:cs="FangSong"/>
          <w:sz w:val="24"/>
          <w:szCs w:val="24"/>
          <w:spacing w:val="-1"/>
        </w:rPr>
        <w:t>状石英则呈致密隐晶质结构，含量</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24-70%</w:t>
      </w:r>
      <w:r>
        <w:rPr>
          <w:rFonts w:ascii="FangSong" w:hAnsi="FangSong" w:eastAsia="FangSong" w:cs="FangSong"/>
          <w:sz w:val="24"/>
          <w:szCs w:val="24"/>
          <w:spacing w:val="-1"/>
        </w:rPr>
        <w:t>不等。</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8"/>
        </w:rPr>
        <w:t>③</w:t>
      </w:r>
      <w:r>
        <w:rPr>
          <w:rFonts w:ascii="FangSong" w:hAnsi="FangSong" w:eastAsia="FangSong" w:cs="FangSong"/>
          <w:sz w:val="24"/>
          <w:szCs w:val="24"/>
          <w:spacing w:val="23"/>
        </w:rPr>
        <w:t xml:space="preserve"> </w:t>
      </w:r>
      <w:r>
        <w:rPr>
          <w:rFonts w:ascii="FangSong" w:hAnsi="FangSong" w:eastAsia="FangSong" w:cs="FangSong"/>
          <w:sz w:val="24"/>
          <w:szCs w:val="24"/>
          <w:spacing w:val="-8"/>
        </w:rPr>
        <w:t>方解石</w:t>
      </w:r>
    </w:p>
    <w:p>
      <w:pPr>
        <w:ind w:left="15" w:firstLine="494"/>
        <w:spacing w:before="178" w:line="358" w:lineRule="auto"/>
        <w:rPr>
          <w:rFonts w:ascii="FangSong" w:hAnsi="FangSong" w:eastAsia="FangSong" w:cs="FangSong"/>
          <w:sz w:val="24"/>
          <w:szCs w:val="24"/>
        </w:rPr>
      </w:pPr>
      <w:r>
        <w:rPr>
          <w:rFonts w:ascii="FangSong" w:hAnsi="FangSong" w:eastAsia="FangSong" w:cs="FangSong"/>
          <w:sz w:val="24"/>
          <w:szCs w:val="24"/>
          <w:spacing w:val="1"/>
        </w:rPr>
        <w:t>呈细脉状集合体沿萤石解理面分布，性软，用手指擦有白色泥状物划痕，粒度</w:t>
      </w:r>
      <w:r>
        <w:rPr>
          <w:rFonts w:ascii="Times New Roman" w:hAnsi="Times New Roman" w:eastAsia="Times New Roman" w:cs="Times New Roman"/>
          <w:sz w:val="24"/>
          <w:szCs w:val="24"/>
          <w:spacing w:val="-1"/>
        </w:rPr>
        <w:t>&lt;0.01mm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
        </w:rPr>
        <w:t>。而不透明矿物，则呈星散</w:t>
      </w:r>
      <w:r>
        <w:rPr>
          <w:rFonts w:ascii="FangSong" w:hAnsi="FangSong" w:eastAsia="FangSong" w:cs="FangSong"/>
          <w:sz w:val="24"/>
          <w:szCs w:val="24"/>
          <w:spacing w:val="-2"/>
        </w:rPr>
        <w:t>状分布，其含量</w:t>
      </w:r>
      <w:r>
        <w:rPr>
          <w:rFonts w:ascii="Times New Roman" w:hAnsi="Times New Roman" w:eastAsia="Times New Roman" w:cs="Times New Roman"/>
          <w:sz w:val="24"/>
          <w:szCs w:val="24"/>
          <w:spacing w:val="-2"/>
        </w:rPr>
        <w:t>&lt;1%</w:t>
      </w:r>
      <w:r>
        <w:rPr>
          <w:rFonts w:ascii="FangSong" w:hAnsi="FangSong" w:eastAsia="FangSong" w:cs="FangSong"/>
          <w:sz w:val="24"/>
          <w:szCs w:val="24"/>
          <w:spacing w:val="-2"/>
        </w:rPr>
        <w:t>。</w:t>
      </w:r>
    </w:p>
    <w:p>
      <w:pPr>
        <w:ind w:left="511"/>
        <w:spacing w:before="2"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）结构构造</w:t>
      </w:r>
    </w:p>
    <w:p>
      <w:pPr>
        <w:ind w:left="499"/>
        <w:spacing w:before="178" w:line="222"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20"/>
        </w:rPr>
        <w:t xml:space="preserve"> </w:t>
      </w:r>
      <w:r>
        <w:rPr>
          <w:rFonts w:ascii="FangSong" w:hAnsi="FangSong" w:eastAsia="FangSong" w:cs="FangSong"/>
          <w:sz w:val="24"/>
          <w:szCs w:val="24"/>
          <w:spacing w:val="-5"/>
        </w:rPr>
        <w:t>矿石结构：</w:t>
      </w:r>
    </w:p>
    <w:p>
      <w:pPr>
        <w:ind w:left="513"/>
        <w:spacing w:before="177" w:line="221" w:lineRule="auto"/>
        <w:rPr>
          <w:rFonts w:ascii="FangSong" w:hAnsi="FangSong" w:eastAsia="FangSong" w:cs="FangSong"/>
          <w:sz w:val="24"/>
          <w:szCs w:val="24"/>
        </w:rPr>
      </w:pPr>
      <w:r>
        <w:rPr>
          <w:rFonts w:ascii="FangSong" w:hAnsi="FangSong" w:eastAsia="FangSong" w:cs="FangSong"/>
          <w:sz w:val="24"/>
          <w:szCs w:val="24"/>
          <w:spacing w:val="-1"/>
        </w:rPr>
        <w:t>主要有自形晶粒状结构、半自形粒状结构、镶嵌结构。</w:t>
      </w:r>
    </w:p>
    <w:p>
      <w:pPr>
        <w:ind w:left="492"/>
        <w:spacing w:before="181" w:line="221" w:lineRule="auto"/>
        <w:rPr>
          <w:rFonts w:ascii="FangSong" w:hAnsi="FangSong" w:eastAsia="FangSong" w:cs="FangSong"/>
          <w:sz w:val="24"/>
          <w:szCs w:val="24"/>
        </w:rPr>
      </w:pPr>
      <w:r>
        <w:rPr>
          <w:rFonts w:ascii="Times New Roman" w:hAnsi="Times New Roman" w:eastAsia="Times New Roman" w:cs="Times New Roman"/>
          <w:sz w:val="24"/>
          <w:szCs w:val="24"/>
          <w:spacing w:val="-11"/>
        </w:rPr>
        <w:t>A</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1"/>
        </w:rPr>
        <w:t>、</w:t>
      </w:r>
      <w:r>
        <w:rPr>
          <w:rFonts w:ascii="FangSong" w:hAnsi="FangSong" w:eastAsia="FangSong" w:cs="FangSong"/>
          <w:sz w:val="24"/>
          <w:szCs w:val="24"/>
          <w:spacing w:val="-59"/>
        </w:rPr>
        <w:t xml:space="preserve"> </w:t>
      </w:r>
      <w:r>
        <w:rPr>
          <w:rFonts w:ascii="FangSong" w:hAnsi="FangSong" w:eastAsia="FangSong" w:cs="FangSong"/>
          <w:sz w:val="24"/>
          <w:szCs w:val="24"/>
          <w:spacing w:val="-11"/>
        </w:rPr>
        <w:t>自形晶粒状结构</w:t>
      </w:r>
    </w:p>
    <w:p>
      <w:pPr>
        <w:ind w:left="514"/>
        <w:spacing w:before="179" w:line="220" w:lineRule="auto"/>
        <w:rPr>
          <w:rFonts w:ascii="FangSong" w:hAnsi="FangSong" w:eastAsia="FangSong" w:cs="FangSong"/>
          <w:sz w:val="24"/>
          <w:szCs w:val="24"/>
        </w:rPr>
      </w:pPr>
      <w:r>
        <w:rPr>
          <w:rFonts w:ascii="FangSong" w:hAnsi="FangSong" w:eastAsia="FangSong" w:cs="FangSong"/>
          <w:sz w:val="24"/>
          <w:szCs w:val="24"/>
          <w:spacing w:val="-1"/>
        </w:rPr>
        <w:t>萤石呈完整的等轴晶系，晶体为立方体，玻璃光泽，断口不规则，且性脆。</w:t>
      </w:r>
    </w:p>
    <w:p>
      <w:pPr>
        <w:ind w:left="495"/>
        <w:spacing w:before="181" w:line="221" w:lineRule="auto"/>
        <w:rPr>
          <w:rFonts w:ascii="FangSong" w:hAnsi="FangSong" w:eastAsia="FangSong" w:cs="FangSong"/>
          <w:sz w:val="24"/>
          <w:szCs w:val="24"/>
        </w:rPr>
      </w:pPr>
      <w:r>
        <w:rPr>
          <w:rFonts w:ascii="Times New Roman" w:hAnsi="Times New Roman" w:eastAsia="Times New Roman" w:cs="Times New Roman"/>
          <w:sz w:val="24"/>
          <w:szCs w:val="24"/>
          <w:spacing w:val="-5"/>
        </w:rPr>
        <w:t>B</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、半自形粒状结构</w:t>
      </w:r>
    </w:p>
    <w:p>
      <w:pPr>
        <w:ind w:left="514"/>
        <w:spacing w:before="181" w:line="221" w:lineRule="auto"/>
        <w:rPr>
          <w:rFonts w:ascii="FangSong" w:hAnsi="FangSong" w:eastAsia="FangSong" w:cs="FangSong"/>
          <w:sz w:val="24"/>
          <w:szCs w:val="24"/>
        </w:rPr>
      </w:pPr>
      <w:r>
        <w:rPr>
          <w:rFonts w:ascii="FangSong" w:hAnsi="FangSong" w:eastAsia="FangSong" w:cs="FangSong"/>
          <w:sz w:val="24"/>
          <w:szCs w:val="24"/>
          <w:spacing w:val="-1"/>
        </w:rPr>
        <w:t>萤石呈棱角状和半自形颗粒，以及不规则的小长方体颗粒。</w:t>
      </w:r>
    </w:p>
    <w:p>
      <w:pPr>
        <w:ind w:left="499"/>
        <w:spacing w:before="179" w:line="223" w:lineRule="auto"/>
        <w:rPr>
          <w:rFonts w:ascii="FangSong" w:hAnsi="FangSong" w:eastAsia="FangSong" w:cs="FangSong"/>
          <w:sz w:val="24"/>
          <w:szCs w:val="24"/>
        </w:rPr>
      </w:pPr>
      <w:r>
        <w:rPr>
          <w:rFonts w:ascii="Times New Roman" w:hAnsi="Times New Roman" w:eastAsia="Times New Roman" w:cs="Times New Roman"/>
          <w:sz w:val="24"/>
          <w:szCs w:val="24"/>
          <w:spacing w:val="-8"/>
        </w:rPr>
        <w:t>C</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、镶嵌结构</w:t>
      </w:r>
    </w:p>
    <w:p>
      <w:pPr>
        <w:ind w:left="514"/>
        <w:spacing w:before="175" w:line="221" w:lineRule="auto"/>
        <w:rPr>
          <w:rFonts w:ascii="FangSong" w:hAnsi="FangSong" w:eastAsia="FangSong" w:cs="FangSong"/>
          <w:sz w:val="24"/>
          <w:szCs w:val="24"/>
        </w:rPr>
      </w:pPr>
      <w:r>
        <w:rPr>
          <w:rFonts w:ascii="FangSong" w:hAnsi="FangSong" w:eastAsia="FangSong" w:cs="FangSong"/>
          <w:sz w:val="24"/>
          <w:szCs w:val="24"/>
          <w:spacing w:val="-1"/>
        </w:rPr>
        <w:t>萤石与石英（少量与方解石）呈半自形晶互相连体镶嵌，有似连晶现象。</w:t>
      </w:r>
    </w:p>
    <w:p>
      <w:pPr>
        <w:ind w:left="498"/>
        <w:spacing w:before="180" w:line="222"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15"/>
        </w:rPr>
        <w:t xml:space="preserve"> </w:t>
      </w:r>
      <w:r>
        <w:rPr>
          <w:rFonts w:ascii="FangSong" w:hAnsi="FangSong" w:eastAsia="FangSong" w:cs="FangSong"/>
          <w:sz w:val="24"/>
          <w:szCs w:val="24"/>
          <w:spacing w:val="-4"/>
        </w:rPr>
        <w:t>矿石构造：</w:t>
      </w:r>
    </w:p>
    <w:p>
      <w:pPr>
        <w:ind w:left="506"/>
        <w:spacing w:before="178" w:line="220" w:lineRule="auto"/>
        <w:rPr>
          <w:rFonts w:ascii="FangSong" w:hAnsi="FangSong" w:eastAsia="FangSong" w:cs="FangSong"/>
          <w:sz w:val="24"/>
          <w:szCs w:val="24"/>
        </w:rPr>
      </w:pPr>
      <w:r>
        <w:rPr>
          <w:rFonts w:ascii="FangSong" w:hAnsi="FangSong" w:eastAsia="FangSong" w:cs="FangSong"/>
          <w:sz w:val="24"/>
          <w:szCs w:val="24"/>
          <w:spacing w:val="-1"/>
        </w:rPr>
        <w:t>矿石的构造主要有致密块状构造、条带状构造、角砾状构造。</w:t>
      </w:r>
    </w:p>
    <w:p>
      <w:pPr>
        <w:ind w:left="492"/>
        <w:spacing w:before="182" w:line="223" w:lineRule="auto"/>
        <w:rPr>
          <w:rFonts w:ascii="FangSong" w:hAnsi="FangSong" w:eastAsia="FangSong" w:cs="FangSong"/>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、致密块状构造</w:t>
      </w:r>
    </w:p>
    <w:p>
      <w:pPr>
        <w:spacing w:line="223" w:lineRule="auto"/>
        <w:sectPr>
          <w:footerReference w:type="default" r:id="rId114"/>
          <w:pgSz w:w="11911" w:h="16839"/>
          <w:pgMar w:top="400" w:right="1416"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635"/>
        <w:spacing w:before="78" w:line="221" w:lineRule="auto"/>
        <w:rPr>
          <w:rFonts w:ascii="FangSong" w:hAnsi="FangSong" w:eastAsia="FangSong" w:cs="FangSong"/>
          <w:sz w:val="24"/>
          <w:szCs w:val="24"/>
        </w:rPr>
      </w:pPr>
      <w:bookmarkStart w:name="bookmark544" w:id="200"/>
      <w:bookmarkEnd w:id="200"/>
      <w:r>
        <w:rPr>
          <w:rFonts w:ascii="FangSong" w:hAnsi="FangSong" w:eastAsia="FangSong" w:cs="FangSong"/>
          <w:sz w:val="24"/>
          <w:szCs w:val="24"/>
          <w:spacing w:val="-2"/>
        </w:rPr>
        <w:t>由淡绿色、紫色、灰黄色萤石组成，萤石呈粒状集合体紧密镶嵌而成。</w:t>
      </w:r>
    </w:p>
    <w:p>
      <w:pPr>
        <w:ind w:left="592"/>
        <w:spacing w:before="178" w:line="220" w:lineRule="auto"/>
        <w:rPr>
          <w:rFonts w:ascii="FangSong" w:hAnsi="FangSong" w:eastAsia="FangSong" w:cs="FangSong"/>
          <w:sz w:val="24"/>
          <w:szCs w:val="24"/>
        </w:rPr>
      </w:pPr>
      <w:r>
        <w:rPr>
          <w:rFonts w:ascii="Times New Roman" w:hAnsi="Times New Roman" w:eastAsia="Times New Roman" w:cs="Times New Roman"/>
          <w:sz w:val="24"/>
          <w:szCs w:val="24"/>
          <w:spacing w:val="-6"/>
        </w:rPr>
        <w:t>B</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、条带状构造</w:t>
      </w:r>
    </w:p>
    <w:p>
      <w:pPr>
        <w:ind w:left="635"/>
        <w:spacing w:before="182" w:line="220" w:lineRule="auto"/>
        <w:rPr>
          <w:rFonts w:ascii="FangSong" w:hAnsi="FangSong" w:eastAsia="FangSong" w:cs="FangSong"/>
          <w:sz w:val="24"/>
          <w:szCs w:val="24"/>
        </w:rPr>
      </w:pPr>
      <w:r>
        <w:rPr>
          <w:rFonts w:ascii="FangSong" w:hAnsi="FangSong" w:eastAsia="FangSong" w:cs="FangSong"/>
          <w:sz w:val="24"/>
          <w:szCs w:val="24"/>
          <w:spacing w:val="-3"/>
        </w:rPr>
        <w:t>由紫色、淡绿色萤石相间排列，形成条带状构造，条带宽度</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3"/>
        </w:rPr>
        <w:t>1-15cm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不等。</w:t>
      </w:r>
    </w:p>
    <w:p>
      <w:pPr>
        <w:ind w:left="597"/>
        <w:spacing w:before="179" w:line="223" w:lineRule="auto"/>
        <w:rPr>
          <w:rFonts w:ascii="FangSong" w:hAnsi="FangSong" w:eastAsia="FangSong" w:cs="FangSong"/>
          <w:sz w:val="24"/>
          <w:szCs w:val="24"/>
        </w:rPr>
      </w:pPr>
      <w:r>
        <w:rPr>
          <w:rFonts w:ascii="Times New Roman" w:hAnsi="Times New Roman" w:eastAsia="Times New Roman" w:cs="Times New Roman"/>
          <w:sz w:val="24"/>
          <w:szCs w:val="24"/>
          <w:spacing w:val="-7"/>
        </w:rPr>
        <w:t>C</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、角砾状构造</w:t>
      </w:r>
    </w:p>
    <w:p>
      <w:pPr>
        <w:ind w:left="131" w:right="43" w:firstLine="480"/>
        <w:spacing w:before="177" w:line="359" w:lineRule="auto"/>
        <w:rPr>
          <w:rFonts w:ascii="FangSong" w:hAnsi="FangSong" w:eastAsia="FangSong" w:cs="FangSong"/>
          <w:sz w:val="24"/>
          <w:szCs w:val="24"/>
        </w:rPr>
      </w:pPr>
      <w:r>
        <w:rPr>
          <w:rFonts w:ascii="FangSong" w:hAnsi="FangSong" w:eastAsia="FangSong" w:cs="FangSong"/>
          <w:sz w:val="24"/>
          <w:szCs w:val="24"/>
          <w:spacing w:val="-4"/>
        </w:rPr>
        <w:t>萤石均呈角砾状，被晚期石英胶结或包裹。萤石的颜色颜色杂乱，多</w:t>
      </w:r>
      <w:r>
        <w:rPr>
          <w:rFonts w:ascii="FangSong" w:hAnsi="FangSong" w:eastAsia="FangSong" w:cs="FangSong"/>
          <w:sz w:val="24"/>
          <w:szCs w:val="24"/>
          <w:spacing w:val="-5"/>
        </w:rPr>
        <w:t>为淡绿色，</w:t>
      </w:r>
      <w:r>
        <w:rPr>
          <w:rFonts w:ascii="FangSong" w:hAnsi="FangSong" w:eastAsia="FangSong" w:cs="FangSong"/>
          <w:sz w:val="24"/>
          <w:szCs w:val="24"/>
          <w:spacing w:val="-2"/>
        </w:rPr>
        <w:t>紫色。该类萤石矿石品位较高。</w:t>
      </w:r>
    </w:p>
    <w:p>
      <w:pPr>
        <w:ind w:left="114"/>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4.3.2.2  </w:t>
      </w:r>
      <w:r>
        <w:rPr>
          <w:rFonts w:ascii="FangSong" w:hAnsi="FangSong" w:eastAsia="FangSong" w:cs="FangSong"/>
          <w:sz w:val="24"/>
          <w:szCs w:val="24"/>
          <w:b/>
          <w:bCs/>
          <w:spacing w:val="-2"/>
        </w:rPr>
        <w:t>矿石化学成分</w:t>
      </w:r>
    </w:p>
    <w:p>
      <w:pPr>
        <w:ind w:left="117" w:right="32" w:firstLine="487"/>
        <w:spacing w:before="176" w:line="359" w:lineRule="auto"/>
        <w:rPr>
          <w:rFonts w:ascii="FangSong" w:hAnsi="FangSong" w:eastAsia="FangSong" w:cs="FangSong"/>
          <w:sz w:val="24"/>
          <w:szCs w:val="24"/>
        </w:rPr>
      </w:pPr>
      <w:r>
        <w:rPr>
          <w:rFonts w:ascii="FangSong" w:hAnsi="FangSong" w:eastAsia="FangSong" w:cs="FangSong"/>
          <w:sz w:val="24"/>
          <w:szCs w:val="24"/>
          <w:spacing w:val="-5"/>
        </w:rPr>
        <w:t>矿石化学成分主要为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5"/>
        </w:rPr>
        <w:t>CaF</w:t>
      </w:r>
      <w:r>
        <w:rPr>
          <w:rFonts w:ascii="Times New Roman" w:hAnsi="Times New Roman" w:eastAsia="Times New Roman" w:cs="Times New Roman"/>
          <w:sz w:val="15"/>
          <w:szCs w:val="15"/>
          <w:spacing w:val="-5"/>
          <w:position w:val="-1"/>
        </w:rPr>
        <w:t>2 </w:t>
      </w:r>
      <w:r>
        <w:rPr>
          <w:rFonts w:ascii="FangSong" w:hAnsi="FangSong" w:eastAsia="FangSong" w:cs="FangSong"/>
          <w:sz w:val="24"/>
          <w:szCs w:val="24"/>
          <w:spacing w:val="-5"/>
        </w:rPr>
        <w:t>，其次为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SiO</w:t>
      </w:r>
      <w:r>
        <w:rPr>
          <w:rFonts w:ascii="Times New Roman" w:hAnsi="Times New Roman" w:eastAsia="Times New Roman" w:cs="Times New Roman"/>
          <w:sz w:val="15"/>
          <w:szCs w:val="15"/>
          <w:spacing w:val="-5"/>
          <w:position w:val="-1"/>
        </w:rPr>
        <w:t>2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Fe</w:t>
      </w:r>
      <w:r>
        <w:rPr>
          <w:rFonts w:ascii="Times New Roman" w:hAnsi="Times New Roman" w:eastAsia="Times New Roman" w:cs="Times New Roman"/>
          <w:sz w:val="15"/>
          <w:szCs w:val="15"/>
          <w:spacing w:val="-5"/>
        </w:rPr>
        <w:t>2</w:t>
      </w:r>
      <w:r>
        <w:rPr>
          <w:rFonts w:ascii="Times New Roman" w:hAnsi="Times New Roman" w:eastAsia="Times New Roman" w:cs="Times New Roman"/>
          <w:sz w:val="24"/>
          <w:szCs w:val="24"/>
          <w:spacing w:val="-5"/>
        </w:rPr>
        <w:t>O</w:t>
      </w:r>
      <w:r>
        <w:rPr>
          <w:rFonts w:ascii="Times New Roman" w:hAnsi="Times New Roman" w:eastAsia="Times New Roman" w:cs="Times New Roman"/>
          <w:sz w:val="15"/>
          <w:szCs w:val="15"/>
          <w:spacing w:val="-5"/>
          <w:position w:val="-1"/>
        </w:rPr>
        <w:t>3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CaO</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CaCO</w:t>
      </w:r>
      <w:r>
        <w:rPr>
          <w:rFonts w:ascii="Times New Roman" w:hAnsi="Times New Roman" w:eastAsia="Times New Roman" w:cs="Times New Roman"/>
          <w:sz w:val="15"/>
          <w:szCs w:val="15"/>
          <w:spacing w:val="-5"/>
          <w:position w:val="-1"/>
        </w:rPr>
        <w:t>3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MgO</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S</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等，</w:t>
      </w:r>
      <w:r>
        <w:rPr>
          <w:rFonts w:ascii="FangSong" w:hAnsi="FangSong" w:eastAsia="FangSong" w:cs="FangSong"/>
          <w:sz w:val="24"/>
          <w:szCs w:val="24"/>
          <w:spacing w:val="-4"/>
        </w:rPr>
        <w:t>其它化学组分含量不足</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。其中</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CaF</w:t>
      </w:r>
      <w:r>
        <w:rPr>
          <w:rFonts w:ascii="Times New Roman" w:hAnsi="Times New Roman" w:eastAsia="Times New Roman" w:cs="Times New Roman"/>
          <w:sz w:val="15"/>
          <w:szCs w:val="15"/>
          <w:spacing w:val="-4"/>
          <w:position w:val="-1"/>
        </w:rPr>
        <w:t>2</w:t>
      </w:r>
      <w:r>
        <w:rPr>
          <w:rFonts w:ascii="Times New Roman" w:hAnsi="Times New Roman" w:eastAsia="Times New Roman" w:cs="Times New Roman"/>
          <w:sz w:val="15"/>
          <w:szCs w:val="15"/>
          <w:spacing w:val="24"/>
          <w:position w:val="-1"/>
        </w:rPr>
        <w:t xml:space="preserve"> </w:t>
      </w:r>
      <w:r>
        <w:rPr>
          <w:rFonts w:ascii="FangSong" w:hAnsi="FangSong" w:eastAsia="FangSong" w:cs="FangSong"/>
          <w:sz w:val="24"/>
          <w:szCs w:val="24"/>
          <w:spacing w:val="-4"/>
        </w:rPr>
        <w:t>为主要有益组分，有害组分为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SiO</w:t>
      </w:r>
      <w:r>
        <w:rPr>
          <w:rFonts w:ascii="Times New Roman" w:hAnsi="Times New Roman" w:eastAsia="Times New Roman" w:cs="Times New Roman"/>
          <w:sz w:val="15"/>
          <w:szCs w:val="15"/>
          <w:spacing w:val="-4"/>
          <w:position w:val="-1"/>
        </w:rPr>
        <w:t>2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Fe</w:t>
      </w:r>
      <w:r>
        <w:rPr>
          <w:rFonts w:ascii="Times New Roman" w:hAnsi="Times New Roman" w:eastAsia="Times New Roman" w:cs="Times New Roman"/>
          <w:sz w:val="15"/>
          <w:szCs w:val="15"/>
          <w:spacing w:val="-4"/>
        </w:rPr>
        <w:t>2</w:t>
      </w:r>
      <w:r>
        <w:rPr>
          <w:rFonts w:ascii="Times New Roman" w:hAnsi="Times New Roman" w:eastAsia="Times New Roman" w:cs="Times New Roman"/>
          <w:sz w:val="24"/>
          <w:szCs w:val="24"/>
          <w:spacing w:val="-4"/>
        </w:rPr>
        <w:t>O</w:t>
      </w:r>
      <w:r>
        <w:rPr>
          <w:rFonts w:ascii="Times New Roman" w:hAnsi="Times New Roman" w:eastAsia="Times New Roman" w:cs="Times New Roman"/>
          <w:sz w:val="15"/>
          <w:szCs w:val="15"/>
          <w:spacing w:val="-4"/>
          <w:position w:val="-1"/>
        </w:rPr>
        <w:t>3</w:t>
      </w:r>
      <w:r>
        <w:rPr>
          <w:rFonts w:ascii="FangSong" w:hAnsi="FangSong" w:eastAsia="FangSong" w:cs="FangSong"/>
          <w:sz w:val="24"/>
          <w:szCs w:val="24"/>
          <w:spacing w:val="-4"/>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CaO</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MgO</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CaCO</w:t>
      </w:r>
      <w:r>
        <w:rPr>
          <w:rFonts w:ascii="Times New Roman" w:hAnsi="Times New Roman" w:eastAsia="Times New Roman" w:cs="Times New Roman"/>
          <w:sz w:val="15"/>
          <w:szCs w:val="15"/>
          <w:spacing w:val="-8"/>
          <w:position w:val="-1"/>
        </w:rPr>
        <w:t>3</w:t>
      </w:r>
      <w:r>
        <w:rPr>
          <w:rFonts w:ascii="Times New Roman" w:hAnsi="Times New Roman" w:eastAsia="Times New Roman" w:cs="Times New Roman"/>
          <w:sz w:val="15"/>
          <w:szCs w:val="15"/>
          <w:spacing w:val="21"/>
          <w:position w:val="-1"/>
        </w:rPr>
        <w:t xml:space="preserve"> </w:t>
      </w:r>
      <w:r>
        <w:rPr>
          <w:rFonts w:ascii="FangSong" w:hAnsi="FangSong" w:eastAsia="FangSong" w:cs="FangSong"/>
          <w:sz w:val="24"/>
          <w:szCs w:val="24"/>
          <w:spacing w:val="-8"/>
        </w:rPr>
        <w:t>及</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8"/>
        </w:rPr>
        <w:t>S</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P</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24"/>
          <w:szCs w:val="24"/>
          <w:spacing w:val="-3"/>
        </w:rPr>
        <w:t>O</w:t>
      </w:r>
      <w:r>
        <w:rPr>
          <w:rFonts w:ascii="Times New Roman" w:hAnsi="Times New Roman" w:eastAsia="Times New Roman" w:cs="Times New Roman"/>
          <w:sz w:val="15"/>
          <w:szCs w:val="15"/>
          <w:spacing w:val="-3"/>
          <w:position w:val="-1"/>
        </w:rPr>
        <w:t>5</w:t>
      </w:r>
      <w:r>
        <w:rPr>
          <w:rFonts w:ascii="Times New Roman" w:hAnsi="Times New Roman" w:eastAsia="Times New Roman" w:cs="Times New Roman"/>
          <w:sz w:val="15"/>
          <w:szCs w:val="15"/>
          <w:spacing w:val="25"/>
          <w:position w:val="-1"/>
        </w:rPr>
        <w:t xml:space="preserve"> </w:t>
      </w:r>
      <w:r>
        <w:rPr>
          <w:rFonts w:ascii="FangSong" w:hAnsi="FangSong" w:eastAsia="FangSong" w:cs="FangSong"/>
          <w:sz w:val="24"/>
          <w:szCs w:val="24"/>
          <w:spacing w:val="-3"/>
        </w:rPr>
        <w:t>等。矿石</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CaF</w:t>
      </w:r>
      <w:r>
        <w:rPr>
          <w:rFonts w:ascii="Times New Roman" w:hAnsi="Times New Roman" w:eastAsia="Times New Roman" w:cs="Times New Roman"/>
          <w:sz w:val="15"/>
          <w:szCs w:val="15"/>
          <w:spacing w:val="-3"/>
          <w:position w:val="-1"/>
        </w:rPr>
        <w:t>2  </w:t>
      </w:r>
      <w:r>
        <w:rPr>
          <w:rFonts w:ascii="FangSong" w:hAnsi="FangSong" w:eastAsia="FangSong" w:cs="FangSong"/>
          <w:sz w:val="24"/>
          <w:szCs w:val="24"/>
          <w:spacing w:val="-3"/>
        </w:rPr>
        <w:t>品位：</w:t>
      </w:r>
      <w:r>
        <w:rPr>
          <w:rFonts w:ascii="Times New Roman" w:hAnsi="Times New Roman" w:eastAsia="Times New Roman" w:cs="Times New Roman"/>
          <w:sz w:val="24"/>
          <w:szCs w:val="24"/>
          <w:spacing w:val="-3"/>
        </w:rPr>
        <w:t>30.09-87.50%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，平均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46.51%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w:t>
      </w:r>
      <w:r>
        <w:rPr>
          <w:rFonts w:ascii="FangSong" w:hAnsi="FangSong" w:eastAsia="FangSong" w:cs="FangSong"/>
          <w:sz w:val="24"/>
          <w:szCs w:val="24"/>
          <w:spacing w:val="4"/>
        </w:rPr>
        <w:t>根据组合分析，有害组分</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SiO</w:t>
      </w:r>
      <w:r>
        <w:rPr>
          <w:rFonts w:ascii="Times New Roman" w:hAnsi="Times New Roman" w:eastAsia="Times New Roman" w:cs="Times New Roman"/>
          <w:sz w:val="15"/>
          <w:szCs w:val="15"/>
          <w:spacing w:val="4"/>
          <w:position w:val="-1"/>
        </w:rPr>
        <w:t>2</w:t>
      </w:r>
      <w:r>
        <w:rPr>
          <w:rFonts w:ascii="Times New Roman" w:hAnsi="Times New Roman" w:eastAsia="Times New Roman" w:cs="Times New Roman"/>
          <w:sz w:val="15"/>
          <w:szCs w:val="15"/>
          <w:spacing w:val="34"/>
          <w:w w:val="101"/>
          <w:position w:val="-1"/>
        </w:rPr>
        <w:t xml:space="preserve"> </w:t>
      </w:r>
      <w:r>
        <w:rPr>
          <w:rFonts w:ascii="FangSong" w:hAnsi="FangSong" w:eastAsia="FangSong" w:cs="FangSong"/>
          <w:sz w:val="24"/>
          <w:szCs w:val="24"/>
          <w:spacing w:val="4"/>
        </w:rPr>
        <w:t>含量</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4"/>
        </w:rPr>
        <w:t>29.27-5</w:t>
      </w:r>
      <w:r>
        <w:rPr>
          <w:rFonts w:ascii="Times New Roman" w:hAnsi="Times New Roman" w:eastAsia="Times New Roman" w:cs="Times New Roman"/>
          <w:sz w:val="24"/>
          <w:szCs w:val="24"/>
          <w:spacing w:val="3"/>
        </w:rPr>
        <w:t>4.37%</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3"/>
        </w:rPr>
        <w:t>40.28%</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rPr>
        <w:t>CaO</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3"/>
        </w:rPr>
        <w:t>含量</w:t>
      </w:r>
      <w:r>
        <w:rPr>
          <w:rFonts w:ascii="Times New Roman" w:hAnsi="Times New Roman" w:eastAsia="Times New Roman" w:cs="Times New Roman"/>
          <w:sz w:val="24"/>
          <w:szCs w:val="24"/>
          <w:spacing w:val="-3"/>
        </w:rPr>
        <w:t>0.03-0.56%</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0.32%</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Fe</w:t>
      </w:r>
      <w:r>
        <w:rPr>
          <w:rFonts w:ascii="Times New Roman" w:hAnsi="Times New Roman" w:eastAsia="Times New Roman" w:cs="Times New Roman"/>
          <w:sz w:val="15"/>
          <w:szCs w:val="15"/>
          <w:spacing w:val="-3"/>
        </w:rPr>
        <w:t>2</w:t>
      </w:r>
      <w:r>
        <w:rPr>
          <w:rFonts w:ascii="Times New Roman" w:hAnsi="Times New Roman" w:eastAsia="Times New Roman" w:cs="Times New Roman"/>
          <w:sz w:val="24"/>
          <w:szCs w:val="24"/>
          <w:spacing w:val="-3"/>
        </w:rPr>
        <w:t>O</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15"/>
          <w:szCs w:val="15"/>
          <w:spacing w:val="17"/>
          <w:w w:val="101"/>
          <w:position w:val="-1"/>
        </w:rPr>
        <w:t xml:space="preserve"> </w:t>
      </w:r>
      <w:r>
        <w:rPr>
          <w:rFonts w:ascii="FangSong" w:hAnsi="FangSong" w:eastAsia="FangSong" w:cs="FangSong"/>
          <w:sz w:val="24"/>
          <w:szCs w:val="24"/>
          <w:spacing w:val="-3"/>
        </w:rPr>
        <w:t>含量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1.25-2.32%</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
        </w:rPr>
        <w:t>.91%</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MgO</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含量</w:t>
      </w:r>
      <w:r>
        <w:rPr>
          <w:rFonts w:ascii="Times New Roman" w:hAnsi="Times New Roman" w:eastAsia="Times New Roman" w:cs="Times New Roman"/>
          <w:sz w:val="24"/>
          <w:szCs w:val="24"/>
          <w:spacing w:val="-3"/>
        </w:rPr>
        <w:t>0.48-1.45%</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1.05%</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CaCO</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15"/>
          <w:szCs w:val="15"/>
          <w:spacing w:val="32"/>
          <w:w w:val="102"/>
          <w:position w:val="-1"/>
        </w:rPr>
        <w:t xml:space="preserve"> </w:t>
      </w:r>
      <w:r>
        <w:rPr>
          <w:rFonts w:ascii="FangSong" w:hAnsi="FangSong" w:eastAsia="FangSong" w:cs="FangSong"/>
          <w:sz w:val="24"/>
          <w:szCs w:val="24"/>
          <w:spacing w:val="-3"/>
        </w:rPr>
        <w:t>含量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1.30-1.37%</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1.34%</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S</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3"/>
        </w:rPr>
        <w:t>含量</w:t>
      </w:r>
      <w:r>
        <w:rPr>
          <w:rFonts w:ascii="Times New Roman" w:hAnsi="Times New Roman" w:eastAsia="Times New Roman" w:cs="Times New Roman"/>
          <w:sz w:val="24"/>
          <w:szCs w:val="24"/>
          <w:spacing w:val="-3"/>
        </w:rPr>
        <w:t>0.04-0.</w:t>
      </w:r>
      <w:r>
        <w:rPr>
          <w:rFonts w:ascii="Times New Roman" w:hAnsi="Times New Roman" w:eastAsia="Times New Roman" w:cs="Times New Roman"/>
          <w:sz w:val="24"/>
          <w:szCs w:val="24"/>
          <w:spacing w:val="-15"/>
        </w:rPr>
        <w:t xml:space="preserve"> </w:t>
      </w:r>
      <w:r>
        <w:rPr>
          <w:rFonts w:ascii="Times New Roman" w:hAnsi="Times New Roman" w:eastAsia="Times New Roman" w:cs="Times New Roman"/>
          <w:sz w:val="24"/>
          <w:szCs w:val="24"/>
          <w:spacing w:val="-3"/>
        </w:rPr>
        <w:t>12%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0.08%</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P</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24"/>
          <w:szCs w:val="24"/>
          <w:spacing w:val="-3"/>
        </w:rPr>
        <w:t>O</w:t>
      </w:r>
      <w:r>
        <w:rPr>
          <w:rFonts w:ascii="Times New Roman" w:hAnsi="Times New Roman" w:eastAsia="Times New Roman" w:cs="Times New Roman"/>
          <w:sz w:val="15"/>
          <w:szCs w:val="15"/>
          <w:spacing w:val="-3"/>
          <w:position w:val="-1"/>
        </w:rPr>
        <w:t>5</w:t>
      </w:r>
      <w:r>
        <w:rPr>
          <w:rFonts w:ascii="Times New Roman" w:hAnsi="Times New Roman" w:eastAsia="Times New Roman" w:cs="Times New Roman"/>
          <w:sz w:val="15"/>
          <w:szCs w:val="15"/>
          <w:spacing w:val="22"/>
          <w:position w:val="-1"/>
        </w:rPr>
        <w:t xml:space="preserve"> </w:t>
      </w:r>
      <w:r>
        <w:rPr>
          <w:rFonts w:ascii="FangSong" w:hAnsi="FangSong" w:eastAsia="FangSong" w:cs="FangSong"/>
          <w:sz w:val="24"/>
          <w:szCs w:val="24"/>
          <w:spacing w:val="-3"/>
        </w:rPr>
        <w:t>含量</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0.023-0.073%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，平均含量</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0.048%</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3"/>
        </w:rPr>
        <w:t>，均低于</w:t>
      </w:r>
      <w:r>
        <w:rPr>
          <w:rFonts w:ascii="FangSong" w:hAnsi="FangSong" w:eastAsia="FangSong" w:cs="FangSong"/>
          <w:sz w:val="24"/>
          <w:szCs w:val="24"/>
          <w:spacing w:val="-4"/>
        </w:rPr>
        <w:t>矿体对有害杂质的要求，含量较低。有益组分</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Zn</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Li</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Sn</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Cu</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等元素均低于规范要</w:t>
      </w:r>
      <w:r>
        <w:rPr>
          <w:rFonts w:ascii="FangSong" w:hAnsi="FangSong" w:eastAsia="FangSong" w:cs="FangSong"/>
          <w:sz w:val="24"/>
          <w:szCs w:val="24"/>
          <w:spacing w:val="-1"/>
        </w:rPr>
        <w:t>求，未达到综合利用指标。</w:t>
      </w:r>
    </w:p>
    <w:p>
      <w:pPr>
        <w:ind w:left="601"/>
        <w:spacing w:before="3" w:line="219" w:lineRule="auto"/>
        <w:rPr>
          <w:rFonts w:ascii="FangSong" w:hAnsi="FangSong" w:eastAsia="FangSong" w:cs="FangSong"/>
          <w:sz w:val="24"/>
          <w:szCs w:val="24"/>
        </w:rPr>
      </w:pPr>
      <w:r>
        <w:rPr>
          <w:rFonts w:ascii="FangSong" w:hAnsi="FangSong" w:eastAsia="FangSong" w:cs="FangSong"/>
          <w:sz w:val="24"/>
          <w:szCs w:val="24"/>
          <w:spacing w:val="-1"/>
        </w:rPr>
        <w:t>有用有害组分含量光谱分析结果一览表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2"/>
        </w:rPr>
        <w:t>3-2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，组合样分析结果见表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4.3-3</w:t>
      </w:r>
      <w:r>
        <w:rPr>
          <w:rFonts w:ascii="FangSong" w:hAnsi="FangSong" w:eastAsia="FangSong" w:cs="FangSong"/>
          <w:sz w:val="24"/>
          <w:szCs w:val="24"/>
          <w:spacing w:val="-2"/>
        </w:rPr>
        <w:t>。</w:t>
      </w:r>
    </w:p>
    <w:p>
      <w:pPr>
        <w:ind w:left="2929"/>
        <w:spacing w:before="179"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4.3-2  </w:t>
      </w:r>
      <w:r>
        <w:rPr>
          <w:rFonts w:ascii="FangSong" w:hAnsi="FangSong" w:eastAsia="FangSong" w:cs="FangSong"/>
          <w:sz w:val="24"/>
          <w:szCs w:val="24"/>
          <w:b/>
          <w:bCs/>
          <w:spacing w:val="-3"/>
        </w:rPr>
        <w:t>光谱分析结果一览表</w:t>
      </w:r>
    </w:p>
    <w:p>
      <w:pPr>
        <w:spacing w:line="146"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1"/>
        <w:gridCol w:w="1062"/>
        <w:gridCol w:w="1061"/>
        <w:gridCol w:w="1200"/>
        <w:gridCol w:w="1061"/>
        <w:gridCol w:w="1200"/>
        <w:gridCol w:w="1197"/>
      </w:tblGrid>
      <w:tr>
        <w:trPr>
          <w:trHeight w:val="318" w:hRule="atLeast"/>
        </w:trPr>
        <w:tc>
          <w:tcPr>
            <w:tcW w:w="2131" w:type="dxa"/>
            <w:vAlign w:val="top"/>
            <w:tcBorders>
              <w:left w:val="nil"/>
              <w:top w:val="single" w:color="000000" w:sz="10" w:space="0"/>
            </w:tcBorders>
          </w:tcPr>
          <w:p>
            <w:pPr>
              <w:pStyle w:val="TableText"/>
              <w:ind w:left="660"/>
              <w:spacing w:before="53" w:line="229" w:lineRule="auto"/>
              <w:rPr/>
            </w:pPr>
            <w:r>
              <w:rPr>
                <w:spacing w:val="5"/>
              </w:rPr>
              <w:t>元素名称</w:t>
            </w:r>
          </w:p>
        </w:tc>
        <w:tc>
          <w:tcPr>
            <w:tcW w:w="1062" w:type="dxa"/>
            <w:vAlign w:val="top"/>
            <w:tcBorders>
              <w:top w:val="single" w:color="000000" w:sz="10" w:space="0"/>
            </w:tcBorders>
          </w:tcPr>
          <w:p>
            <w:pPr>
              <w:ind w:left="472"/>
              <w:spacing w:before="9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w:t>
            </w:r>
          </w:p>
        </w:tc>
        <w:tc>
          <w:tcPr>
            <w:tcW w:w="1061" w:type="dxa"/>
            <w:vAlign w:val="top"/>
            <w:tcBorders>
              <w:top w:val="single" w:color="000000" w:sz="10" w:space="0"/>
            </w:tcBorders>
          </w:tcPr>
          <w:p>
            <w:pPr>
              <w:ind w:left="292"/>
              <w:spacing w:before="91"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Na</w:t>
            </w:r>
            <w:r>
              <w:rPr>
                <w:rFonts w:ascii="Times New Roman" w:hAnsi="Times New Roman" w:eastAsia="Times New Roman" w:cs="Times New Roman"/>
                <w:sz w:val="13"/>
                <w:szCs w:val="13"/>
                <w:spacing w:val="11"/>
              </w:rPr>
              <w:t>2</w:t>
            </w:r>
            <w:r>
              <w:rPr>
                <w:rFonts w:ascii="Times New Roman" w:hAnsi="Times New Roman" w:eastAsia="Times New Roman" w:cs="Times New Roman"/>
                <w:sz w:val="20"/>
                <w:szCs w:val="20"/>
                <w:spacing w:val="11"/>
              </w:rPr>
              <w:t>O</w:t>
            </w:r>
          </w:p>
        </w:tc>
        <w:tc>
          <w:tcPr>
            <w:tcW w:w="1200" w:type="dxa"/>
            <w:vAlign w:val="top"/>
            <w:tcBorders>
              <w:top w:val="single" w:color="000000" w:sz="10" w:space="0"/>
            </w:tcBorders>
          </w:tcPr>
          <w:p>
            <w:pPr>
              <w:ind w:left="379"/>
              <w:spacing w:before="91"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MgO</w:t>
            </w:r>
          </w:p>
        </w:tc>
        <w:tc>
          <w:tcPr>
            <w:tcW w:w="1061" w:type="dxa"/>
            <w:vAlign w:val="top"/>
            <w:tcBorders>
              <w:top w:val="single" w:color="000000" w:sz="10" w:space="0"/>
            </w:tcBorders>
          </w:tcPr>
          <w:p>
            <w:pPr>
              <w:ind w:left="279"/>
              <w:spacing w:before="87" w:line="20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Al</w:t>
            </w:r>
            <w:r>
              <w:rPr>
                <w:rFonts w:ascii="Times New Roman" w:hAnsi="Times New Roman" w:eastAsia="Times New Roman" w:cs="Times New Roman"/>
                <w:sz w:val="13"/>
                <w:szCs w:val="13"/>
                <w:spacing w:val="7"/>
                <w:position w:val="-1"/>
              </w:rPr>
              <w:t>2</w:t>
            </w:r>
            <w:r>
              <w:rPr>
                <w:rFonts w:ascii="Times New Roman" w:hAnsi="Times New Roman" w:eastAsia="Times New Roman" w:cs="Times New Roman"/>
                <w:sz w:val="20"/>
                <w:szCs w:val="20"/>
                <w:spacing w:val="7"/>
              </w:rPr>
              <w:t>O</w:t>
            </w:r>
            <w:r>
              <w:rPr>
                <w:rFonts w:ascii="Times New Roman" w:hAnsi="Times New Roman" w:eastAsia="Times New Roman" w:cs="Times New Roman"/>
                <w:sz w:val="13"/>
                <w:szCs w:val="13"/>
                <w:spacing w:val="7"/>
                <w:position w:val="-1"/>
              </w:rPr>
              <w:t>3</w:t>
            </w:r>
          </w:p>
        </w:tc>
        <w:tc>
          <w:tcPr>
            <w:tcW w:w="1200" w:type="dxa"/>
            <w:vAlign w:val="top"/>
            <w:tcBorders>
              <w:top w:val="single" w:color="000000" w:sz="10" w:space="0"/>
            </w:tcBorders>
          </w:tcPr>
          <w:p>
            <w:pPr>
              <w:ind w:left="413"/>
              <w:spacing w:before="87" w:line="20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z w:val="13"/>
                <w:szCs w:val="13"/>
                <w:spacing w:val="5"/>
                <w:position w:val="-1"/>
              </w:rPr>
              <w:t>2</w:t>
            </w:r>
          </w:p>
        </w:tc>
        <w:tc>
          <w:tcPr>
            <w:tcW w:w="1197" w:type="dxa"/>
            <w:vAlign w:val="top"/>
            <w:tcBorders>
              <w:right w:val="nil"/>
              <w:top w:val="single" w:color="000000" w:sz="10" w:space="0"/>
            </w:tcBorders>
          </w:tcPr>
          <w:p>
            <w:pPr>
              <w:ind w:left="540"/>
              <w:spacing w:before="9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r>
      <w:tr>
        <w:trPr>
          <w:trHeight w:val="284" w:hRule="atLeast"/>
        </w:trPr>
        <w:tc>
          <w:tcPr>
            <w:tcW w:w="2131" w:type="dxa"/>
            <w:vAlign w:val="top"/>
            <w:tcBorders>
              <w:left w:val="nil"/>
            </w:tcBorders>
          </w:tcPr>
          <w:p>
            <w:pPr>
              <w:pStyle w:val="TableText"/>
              <w:ind w:left="362"/>
              <w:spacing w:before="34" w:line="221" w:lineRule="auto"/>
              <w:rPr/>
            </w:pPr>
            <w:r>
              <w:rPr>
                <w:spacing w:val="6"/>
              </w:rPr>
              <w:t>平均含量（</w:t>
            </w:r>
            <w:r>
              <w:rPr>
                <w:rFonts w:ascii="Times New Roman" w:hAnsi="Times New Roman" w:eastAsia="Times New Roman" w:cs="Times New Roman"/>
                <w:spacing w:val="6"/>
              </w:rPr>
              <w:t>%</w:t>
            </w:r>
            <w:r>
              <w:rPr>
                <w:spacing w:val="6"/>
              </w:rPr>
              <w:t>）</w:t>
            </w:r>
          </w:p>
        </w:tc>
        <w:tc>
          <w:tcPr>
            <w:tcW w:w="1062" w:type="dxa"/>
            <w:vAlign w:val="top"/>
          </w:tcPr>
          <w:p>
            <w:pPr>
              <w:ind w:left="369"/>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&gt;10</w:t>
            </w:r>
          </w:p>
        </w:tc>
        <w:tc>
          <w:tcPr>
            <w:tcW w:w="1061" w:type="dxa"/>
            <w:vAlign w:val="top"/>
          </w:tcPr>
          <w:p>
            <w:pPr>
              <w:ind w:left="350"/>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w:t>
            </w:r>
          </w:p>
        </w:tc>
        <w:tc>
          <w:tcPr>
            <w:tcW w:w="1200" w:type="dxa"/>
            <w:vAlign w:val="top"/>
          </w:tcPr>
          <w:p>
            <w:pPr>
              <w:ind w:left="472"/>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1" w:type="dxa"/>
            <w:vAlign w:val="top"/>
          </w:tcPr>
          <w:p>
            <w:pPr>
              <w:ind w:left="477"/>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200" w:type="dxa"/>
            <w:vAlign w:val="top"/>
          </w:tcPr>
          <w:p>
            <w:pPr>
              <w:ind w:left="497"/>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197" w:type="dxa"/>
            <w:vAlign w:val="top"/>
            <w:tcBorders>
              <w:right w:val="nil"/>
            </w:tcBorders>
          </w:tcPr>
          <w:p>
            <w:pPr>
              <w:ind w:left="419"/>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r>
      <w:tr>
        <w:trPr>
          <w:trHeight w:val="313" w:hRule="atLeast"/>
        </w:trPr>
        <w:tc>
          <w:tcPr>
            <w:tcW w:w="2131" w:type="dxa"/>
            <w:vAlign w:val="top"/>
            <w:tcBorders>
              <w:left w:val="nil"/>
            </w:tcBorders>
          </w:tcPr>
          <w:p>
            <w:pPr>
              <w:pStyle w:val="TableText"/>
              <w:ind w:left="660"/>
              <w:spacing w:before="51" w:line="229" w:lineRule="auto"/>
              <w:rPr/>
            </w:pPr>
            <w:r>
              <w:rPr>
                <w:spacing w:val="5"/>
              </w:rPr>
              <w:t>元素名称</w:t>
            </w:r>
          </w:p>
        </w:tc>
        <w:tc>
          <w:tcPr>
            <w:tcW w:w="1062" w:type="dxa"/>
            <w:vAlign w:val="top"/>
          </w:tcPr>
          <w:p>
            <w:pPr>
              <w:ind w:left="385"/>
              <w:spacing w:before="9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Mn</w:t>
            </w:r>
          </w:p>
        </w:tc>
        <w:tc>
          <w:tcPr>
            <w:tcW w:w="1061" w:type="dxa"/>
            <w:vAlign w:val="top"/>
          </w:tcPr>
          <w:p>
            <w:pPr>
              <w:ind w:left="24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Fe</w:t>
            </w:r>
            <w:r>
              <w:rPr>
                <w:rFonts w:ascii="Times New Roman" w:hAnsi="Times New Roman" w:eastAsia="Times New Roman" w:cs="Times New Roman"/>
                <w:sz w:val="20"/>
                <w:szCs w:val="20"/>
                <w:spacing w:val="7"/>
              </w:rPr>
              <w:t>2O3</w:t>
            </w:r>
          </w:p>
        </w:tc>
        <w:tc>
          <w:tcPr>
            <w:tcW w:w="1200" w:type="dxa"/>
            <w:vAlign w:val="top"/>
          </w:tcPr>
          <w:p>
            <w:pPr>
              <w:ind w:left="482"/>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Co</w:t>
            </w:r>
          </w:p>
        </w:tc>
        <w:tc>
          <w:tcPr>
            <w:tcW w:w="1061" w:type="dxa"/>
            <w:vAlign w:val="top"/>
          </w:tcPr>
          <w:p>
            <w:pPr>
              <w:ind w:left="419"/>
              <w:spacing w:before="8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Ni</w:t>
            </w:r>
          </w:p>
        </w:tc>
        <w:tc>
          <w:tcPr>
            <w:tcW w:w="1200" w:type="dxa"/>
            <w:vAlign w:val="top"/>
          </w:tcPr>
          <w:p>
            <w:pPr>
              <w:ind w:left="481"/>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Cu</w:t>
            </w:r>
          </w:p>
        </w:tc>
        <w:tc>
          <w:tcPr>
            <w:tcW w:w="1197" w:type="dxa"/>
            <w:vAlign w:val="top"/>
            <w:tcBorders>
              <w:right w:val="nil"/>
            </w:tcBorders>
          </w:tcPr>
          <w:p>
            <w:pPr>
              <w:ind w:left="481"/>
              <w:spacing w:before="9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Zn</w:t>
            </w:r>
          </w:p>
        </w:tc>
      </w:tr>
      <w:tr>
        <w:trPr>
          <w:trHeight w:val="283" w:hRule="atLeast"/>
        </w:trPr>
        <w:tc>
          <w:tcPr>
            <w:tcW w:w="2131" w:type="dxa"/>
            <w:vAlign w:val="top"/>
            <w:tcBorders>
              <w:left w:val="nil"/>
            </w:tcBorders>
          </w:tcPr>
          <w:p>
            <w:pPr>
              <w:pStyle w:val="TableText"/>
              <w:ind w:left="362"/>
              <w:spacing w:before="37" w:line="217" w:lineRule="auto"/>
              <w:rPr/>
            </w:pPr>
            <w:r>
              <w:rPr>
                <w:spacing w:val="6"/>
              </w:rPr>
              <w:t>平均含量（</w:t>
            </w:r>
            <w:r>
              <w:rPr>
                <w:rFonts w:ascii="Times New Roman" w:hAnsi="Times New Roman" w:eastAsia="Times New Roman" w:cs="Times New Roman"/>
                <w:spacing w:val="6"/>
              </w:rPr>
              <w:t>%</w:t>
            </w:r>
            <w:r>
              <w:rPr>
                <w:spacing w:val="6"/>
              </w:rPr>
              <w:t>）</w:t>
            </w:r>
          </w:p>
        </w:tc>
        <w:tc>
          <w:tcPr>
            <w:tcW w:w="1062" w:type="dxa"/>
            <w:vAlign w:val="top"/>
          </w:tcPr>
          <w:p>
            <w:pPr>
              <w:ind w:left="35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0.03</w:t>
            </w:r>
          </w:p>
        </w:tc>
        <w:tc>
          <w:tcPr>
            <w:tcW w:w="1061" w:type="dxa"/>
            <w:vAlign w:val="top"/>
          </w:tcPr>
          <w:p>
            <w:pPr>
              <w:ind w:left="36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1.63</w:t>
            </w:r>
          </w:p>
        </w:tc>
        <w:tc>
          <w:tcPr>
            <w:tcW w:w="1200" w:type="dxa"/>
            <w:vAlign w:val="top"/>
          </w:tcPr>
          <w:p>
            <w:pPr>
              <w:ind w:left="25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&lt;0.0007</w:t>
            </w:r>
          </w:p>
        </w:tc>
        <w:tc>
          <w:tcPr>
            <w:tcW w:w="1061" w:type="dxa"/>
            <w:vAlign w:val="top"/>
          </w:tcPr>
          <w:p>
            <w:pPr>
              <w:ind w:left="23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p>
        </w:tc>
        <w:tc>
          <w:tcPr>
            <w:tcW w:w="1200" w:type="dxa"/>
            <w:vAlign w:val="top"/>
          </w:tcPr>
          <w:p>
            <w:pPr>
              <w:ind w:left="30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p>
        </w:tc>
        <w:tc>
          <w:tcPr>
            <w:tcW w:w="1197" w:type="dxa"/>
            <w:vAlign w:val="top"/>
            <w:tcBorders>
              <w:right w:val="nil"/>
            </w:tcBorders>
          </w:tcPr>
          <w:p>
            <w:pPr>
              <w:ind w:left="25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&lt;0.0009</w:t>
            </w:r>
          </w:p>
        </w:tc>
      </w:tr>
      <w:tr>
        <w:trPr>
          <w:trHeight w:val="283" w:hRule="atLeast"/>
        </w:trPr>
        <w:tc>
          <w:tcPr>
            <w:tcW w:w="2131" w:type="dxa"/>
            <w:vAlign w:val="top"/>
            <w:tcBorders>
              <w:left w:val="nil"/>
            </w:tcBorders>
          </w:tcPr>
          <w:p>
            <w:pPr>
              <w:pStyle w:val="TableText"/>
              <w:ind w:left="660"/>
              <w:spacing w:before="40" w:line="215" w:lineRule="auto"/>
              <w:rPr/>
            </w:pPr>
            <w:r>
              <w:rPr>
                <w:spacing w:val="5"/>
              </w:rPr>
              <w:t>元素名称</w:t>
            </w:r>
          </w:p>
        </w:tc>
        <w:tc>
          <w:tcPr>
            <w:tcW w:w="1062" w:type="dxa"/>
            <w:vAlign w:val="top"/>
          </w:tcPr>
          <w:p>
            <w:pPr>
              <w:ind w:left="453"/>
              <w:spacing w:before="8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1061" w:type="dxa"/>
            <w:vAlign w:val="top"/>
          </w:tcPr>
          <w:p>
            <w:pPr>
              <w:ind w:left="431"/>
              <w:spacing w:before="8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Zr</w:t>
            </w:r>
          </w:p>
        </w:tc>
        <w:tc>
          <w:tcPr>
            <w:tcW w:w="1200" w:type="dxa"/>
            <w:vAlign w:val="top"/>
          </w:tcPr>
          <w:p>
            <w:pPr>
              <w:ind w:left="464"/>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Nb</w:t>
            </w:r>
          </w:p>
        </w:tc>
        <w:tc>
          <w:tcPr>
            <w:tcW w:w="1061" w:type="dxa"/>
            <w:vAlign w:val="top"/>
          </w:tcPr>
          <w:p>
            <w:pPr>
              <w:ind w:left="384"/>
              <w:spacing w:before="8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Mo</w:t>
            </w:r>
          </w:p>
        </w:tc>
        <w:tc>
          <w:tcPr>
            <w:tcW w:w="1200" w:type="dxa"/>
            <w:vAlign w:val="top"/>
          </w:tcPr>
          <w:p>
            <w:pPr>
              <w:ind w:left="471"/>
              <w:spacing w:before="78"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Ag</w:t>
            </w:r>
          </w:p>
        </w:tc>
        <w:tc>
          <w:tcPr>
            <w:tcW w:w="1197" w:type="dxa"/>
            <w:vAlign w:val="top"/>
            <w:tcBorders>
              <w:right w:val="nil"/>
            </w:tcBorders>
          </w:tcPr>
          <w:p>
            <w:pPr>
              <w:ind w:left="481"/>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Cd</w:t>
            </w:r>
          </w:p>
        </w:tc>
      </w:tr>
      <w:tr>
        <w:trPr>
          <w:trHeight w:val="283" w:hRule="atLeast"/>
        </w:trPr>
        <w:tc>
          <w:tcPr>
            <w:tcW w:w="2131" w:type="dxa"/>
            <w:vAlign w:val="top"/>
            <w:tcBorders>
              <w:left w:val="nil"/>
            </w:tcBorders>
          </w:tcPr>
          <w:p>
            <w:pPr>
              <w:pStyle w:val="TableText"/>
              <w:ind w:left="572"/>
              <w:spacing w:before="42" w:line="213" w:lineRule="auto"/>
              <w:rPr/>
            </w:pPr>
            <w:r>
              <w:rPr>
                <w:spacing w:val="4"/>
              </w:rPr>
              <w:t>含量（</w:t>
            </w:r>
            <w:r>
              <w:rPr>
                <w:rFonts w:ascii="Times New Roman" w:hAnsi="Times New Roman" w:eastAsia="Times New Roman" w:cs="Times New Roman"/>
                <w:spacing w:val="4"/>
              </w:rPr>
              <w:t>%</w:t>
            </w:r>
            <w:r>
              <w:rPr>
                <w:spacing w:val="4"/>
              </w:rPr>
              <w:t>）</w:t>
            </w:r>
          </w:p>
        </w:tc>
        <w:tc>
          <w:tcPr>
            <w:tcW w:w="1062" w:type="dxa"/>
            <w:vAlign w:val="top"/>
          </w:tcPr>
          <w:p>
            <w:pPr>
              <w:ind w:left="237"/>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p>
        </w:tc>
        <w:tc>
          <w:tcPr>
            <w:tcW w:w="1061" w:type="dxa"/>
            <w:vAlign w:val="top"/>
          </w:tcPr>
          <w:p>
            <w:pPr>
              <w:ind w:left="299"/>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0.005</w:t>
            </w:r>
          </w:p>
        </w:tc>
        <w:tc>
          <w:tcPr>
            <w:tcW w:w="1200" w:type="dxa"/>
            <w:vAlign w:val="top"/>
          </w:tcPr>
          <w:p>
            <w:pPr>
              <w:ind w:left="252"/>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&lt;0.0005</w:t>
            </w:r>
          </w:p>
        </w:tc>
        <w:tc>
          <w:tcPr>
            <w:tcW w:w="1061" w:type="dxa"/>
            <w:vAlign w:val="top"/>
          </w:tcPr>
          <w:p>
            <w:pPr>
              <w:ind w:left="235"/>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p>
        </w:tc>
        <w:tc>
          <w:tcPr>
            <w:tcW w:w="1200" w:type="dxa"/>
            <w:vAlign w:val="top"/>
          </w:tcPr>
          <w:p>
            <w:pPr>
              <w:ind w:left="194"/>
              <w:spacing w:before="7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&lt;0.006g/t</w:t>
            </w:r>
          </w:p>
        </w:tc>
        <w:tc>
          <w:tcPr>
            <w:tcW w:w="1197" w:type="dxa"/>
            <w:vAlign w:val="top"/>
            <w:tcBorders>
              <w:right w:val="nil"/>
            </w:tcBorders>
          </w:tcPr>
          <w:p>
            <w:pPr>
              <w:ind w:left="358"/>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&lt;0.02</w:t>
            </w:r>
          </w:p>
        </w:tc>
      </w:tr>
      <w:tr>
        <w:trPr>
          <w:trHeight w:val="283" w:hRule="atLeast"/>
        </w:trPr>
        <w:tc>
          <w:tcPr>
            <w:tcW w:w="2131" w:type="dxa"/>
            <w:vAlign w:val="top"/>
            <w:tcBorders>
              <w:left w:val="nil"/>
            </w:tcBorders>
          </w:tcPr>
          <w:p>
            <w:pPr>
              <w:pStyle w:val="TableText"/>
              <w:ind w:left="660"/>
              <w:spacing w:before="44" w:line="211" w:lineRule="auto"/>
              <w:rPr/>
            </w:pPr>
            <w:r>
              <w:rPr>
                <w:spacing w:val="5"/>
              </w:rPr>
              <w:t>元素名称</w:t>
            </w:r>
          </w:p>
        </w:tc>
        <w:tc>
          <w:tcPr>
            <w:tcW w:w="1062" w:type="dxa"/>
            <w:vAlign w:val="top"/>
          </w:tcPr>
          <w:p>
            <w:pPr>
              <w:ind w:left="422"/>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La</w:t>
            </w:r>
          </w:p>
        </w:tc>
        <w:tc>
          <w:tcPr>
            <w:tcW w:w="1061" w:type="dxa"/>
            <w:vAlign w:val="top"/>
          </w:tcPr>
          <w:p>
            <w:pPr>
              <w:ind w:left="419"/>
              <w:spacing w:before="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Ce</w:t>
            </w:r>
          </w:p>
        </w:tc>
        <w:tc>
          <w:tcPr>
            <w:tcW w:w="1200" w:type="dxa"/>
            <w:vAlign w:val="top"/>
          </w:tcPr>
          <w:p>
            <w:pPr>
              <w:ind w:left="469"/>
              <w:spacing w:before="7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Yb</w:t>
            </w:r>
          </w:p>
        </w:tc>
        <w:tc>
          <w:tcPr>
            <w:tcW w:w="1061" w:type="dxa"/>
            <w:vAlign w:val="top"/>
          </w:tcPr>
          <w:p>
            <w:pPr>
              <w:ind w:left="420"/>
              <w:spacing w:before="77"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3"/>
              </w:rPr>
              <w:t>Hf</w:t>
            </w:r>
          </w:p>
        </w:tc>
        <w:tc>
          <w:tcPr>
            <w:tcW w:w="1200" w:type="dxa"/>
            <w:vAlign w:val="top"/>
          </w:tcPr>
          <w:p>
            <w:pPr>
              <w:ind w:left="499"/>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1197" w:type="dxa"/>
            <w:vAlign w:val="top"/>
            <w:tcBorders>
              <w:right w:val="nil"/>
            </w:tcBorders>
          </w:tcPr>
          <w:p>
            <w:pPr>
              <w:ind w:left="501"/>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w:t>
            </w:r>
          </w:p>
        </w:tc>
      </w:tr>
      <w:tr>
        <w:trPr>
          <w:trHeight w:val="283" w:hRule="atLeast"/>
        </w:trPr>
        <w:tc>
          <w:tcPr>
            <w:tcW w:w="2131" w:type="dxa"/>
            <w:vAlign w:val="top"/>
            <w:tcBorders>
              <w:left w:val="nil"/>
            </w:tcBorders>
          </w:tcPr>
          <w:p>
            <w:pPr>
              <w:pStyle w:val="TableText"/>
              <w:ind w:left="572"/>
              <w:spacing w:before="46" w:line="209" w:lineRule="auto"/>
              <w:rPr/>
            </w:pPr>
            <w:r>
              <w:rPr>
                <w:spacing w:val="4"/>
              </w:rPr>
              <w:t>含量（</w:t>
            </w:r>
            <w:r>
              <w:rPr>
                <w:rFonts w:ascii="Times New Roman" w:hAnsi="Times New Roman" w:eastAsia="Times New Roman" w:cs="Times New Roman"/>
                <w:spacing w:val="4"/>
              </w:rPr>
              <w:t>%</w:t>
            </w:r>
            <w:r>
              <w:rPr>
                <w:spacing w:val="4"/>
              </w:rPr>
              <w:t>）</w:t>
            </w:r>
          </w:p>
        </w:tc>
        <w:tc>
          <w:tcPr>
            <w:tcW w:w="1062" w:type="dxa"/>
            <w:vAlign w:val="top"/>
          </w:tcPr>
          <w:p>
            <w:pPr>
              <w:ind w:left="237"/>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061" w:type="dxa"/>
            <w:vAlign w:val="top"/>
          </w:tcPr>
          <w:p>
            <w:pPr>
              <w:ind w:left="236"/>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200" w:type="dxa"/>
            <w:vAlign w:val="top"/>
          </w:tcPr>
          <w:p>
            <w:pPr>
              <w:ind w:left="30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061" w:type="dxa"/>
            <w:vAlign w:val="top"/>
          </w:tcPr>
          <w:p>
            <w:pPr>
              <w:ind w:left="23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200" w:type="dxa"/>
            <w:vAlign w:val="top"/>
          </w:tcPr>
          <w:p>
            <w:pPr>
              <w:ind w:left="30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197" w:type="dxa"/>
            <w:vAlign w:val="top"/>
            <w:tcBorders>
              <w:right w:val="nil"/>
            </w:tcBorders>
          </w:tcPr>
          <w:p>
            <w:pPr>
              <w:ind w:left="30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p>
        </w:tc>
      </w:tr>
      <w:tr>
        <w:trPr>
          <w:trHeight w:val="313" w:hRule="atLeast"/>
        </w:trPr>
        <w:tc>
          <w:tcPr>
            <w:tcW w:w="2131" w:type="dxa"/>
            <w:vAlign w:val="top"/>
            <w:tcBorders>
              <w:left w:val="nil"/>
            </w:tcBorders>
          </w:tcPr>
          <w:p>
            <w:pPr>
              <w:pStyle w:val="TableText"/>
              <w:ind w:left="660"/>
              <w:spacing w:before="63" w:line="221" w:lineRule="auto"/>
              <w:rPr/>
            </w:pPr>
            <w:r>
              <w:rPr>
                <w:spacing w:val="5"/>
              </w:rPr>
              <w:t>元素名称</w:t>
            </w:r>
          </w:p>
        </w:tc>
        <w:tc>
          <w:tcPr>
            <w:tcW w:w="1062" w:type="dxa"/>
            <w:vAlign w:val="top"/>
          </w:tcPr>
          <w:p>
            <w:pPr>
              <w:ind w:left="341"/>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CaO</w:t>
            </w:r>
          </w:p>
        </w:tc>
        <w:tc>
          <w:tcPr>
            <w:tcW w:w="1061" w:type="dxa"/>
            <w:vAlign w:val="top"/>
          </w:tcPr>
          <w:p>
            <w:pPr>
              <w:ind w:left="444"/>
              <w:spacing w:before="9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Ti</w:t>
            </w:r>
          </w:p>
        </w:tc>
        <w:tc>
          <w:tcPr>
            <w:tcW w:w="1200" w:type="dxa"/>
            <w:vAlign w:val="top"/>
          </w:tcPr>
          <w:p>
            <w:pPr>
              <w:ind w:left="524"/>
              <w:spacing w:before="10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w:t>
            </w:r>
          </w:p>
        </w:tc>
        <w:tc>
          <w:tcPr>
            <w:tcW w:w="1061" w:type="dxa"/>
            <w:vAlign w:val="top"/>
          </w:tcPr>
          <w:p>
            <w:pPr>
              <w:ind w:left="42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w:t>
            </w:r>
          </w:p>
        </w:tc>
        <w:tc>
          <w:tcPr>
            <w:tcW w:w="1200" w:type="dxa"/>
            <w:vAlign w:val="top"/>
          </w:tcPr>
          <w:p>
            <w:pPr>
              <w:ind w:left="415"/>
              <w:spacing w:before="99" w:line="20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z w:val="20"/>
                <w:szCs w:val="20"/>
                <w:spacing w:val="3"/>
              </w:rPr>
              <w:t>O</w:t>
            </w:r>
          </w:p>
        </w:tc>
        <w:tc>
          <w:tcPr>
            <w:tcW w:w="1197" w:type="dxa"/>
            <w:vAlign w:val="top"/>
            <w:tcBorders>
              <w:right w:val="nil"/>
            </w:tcBorders>
          </w:tcPr>
          <w:p>
            <w:pPr>
              <w:rPr>
                <w:rFonts w:ascii="Arial"/>
                <w:sz w:val="21"/>
              </w:rPr>
            </w:pPr>
            <w:r/>
          </w:p>
        </w:tc>
      </w:tr>
      <w:tr>
        <w:trPr>
          <w:trHeight w:val="283" w:hRule="atLeast"/>
        </w:trPr>
        <w:tc>
          <w:tcPr>
            <w:tcW w:w="2131" w:type="dxa"/>
            <w:vAlign w:val="top"/>
            <w:tcBorders>
              <w:left w:val="nil"/>
            </w:tcBorders>
          </w:tcPr>
          <w:p>
            <w:pPr>
              <w:pStyle w:val="TableText"/>
              <w:ind w:left="572"/>
              <w:spacing w:before="50" w:line="205" w:lineRule="auto"/>
              <w:rPr/>
            </w:pPr>
            <w:r>
              <w:rPr>
                <w:spacing w:val="4"/>
              </w:rPr>
              <w:t>含量（</w:t>
            </w:r>
            <w:r>
              <w:rPr>
                <w:rFonts w:ascii="Times New Roman" w:hAnsi="Times New Roman" w:eastAsia="Times New Roman" w:cs="Times New Roman"/>
                <w:spacing w:val="4"/>
              </w:rPr>
              <w:t>%</w:t>
            </w:r>
            <w:r>
              <w:rPr>
                <w:spacing w:val="4"/>
              </w:rPr>
              <w:t>）</w:t>
            </w:r>
          </w:p>
        </w:tc>
        <w:tc>
          <w:tcPr>
            <w:tcW w:w="1062" w:type="dxa"/>
            <w:vAlign w:val="top"/>
          </w:tcPr>
          <w:p>
            <w:pPr>
              <w:ind w:left="431"/>
              <w:spacing w:before="8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061" w:type="dxa"/>
            <w:vAlign w:val="top"/>
          </w:tcPr>
          <w:p>
            <w:pPr>
              <w:ind w:left="350"/>
              <w:spacing w:before="8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200" w:type="dxa"/>
            <w:vAlign w:val="top"/>
          </w:tcPr>
          <w:p>
            <w:pPr>
              <w:ind w:left="305"/>
              <w:spacing w:before="8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061" w:type="dxa"/>
            <w:vAlign w:val="top"/>
          </w:tcPr>
          <w:p>
            <w:pPr>
              <w:ind w:left="235"/>
              <w:spacing w:before="8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200" w:type="dxa"/>
            <w:vAlign w:val="top"/>
          </w:tcPr>
          <w:p>
            <w:pPr>
              <w:ind w:left="421"/>
              <w:spacing w:before="8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0.83</w:t>
            </w:r>
          </w:p>
        </w:tc>
        <w:tc>
          <w:tcPr>
            <w:tcW w:w="1197" w:type="dxa"/>
            <w:vAlign w:val="top"/>
            <w:tcBorders>
              <w:right w:val="nil"/>
            </w:tcBorders>
          </w:tcPr>
          <w:p>
            <w:pPr>
              <w:rPr>
                <w:rFonts w:ascii="Arial"/>
                <w:sz w:val="21"/>
              </w:rPr>
            </w:pPr>
            <w:r/>
          </w:p>
        </w:tc>
      </w:tr>
      <w:tr>
        <w:trPr>
          <w:trHeight w:val="284" w:hRule="atLeast"/>
        </w:trPr>
        <w:tc>
          <w:tcPr>
            <w:tcW w:w="2131" w:type="dxa"/>
            <w:vAlign w:val="top"/>
            <w:tcBorders>
              <w:left w:val="nil"/>
            </w:tcBorders>
          </w:tcPr>
          <w:p>
            <w:pPr>
              <w:pStyle w:val="TableText"/>
              <w:ind w:left="660"/>
              <w:spacing w:before="52" w:line="204" w:lineRule="auto"/>
              <w:rPr/>
            </w:pPr>
            <w:r>
              <w:rPr>
                <w:spacing w:val="5"/>
              </w:rPr>
              <w:t>元素名称</w:t>
            </w:r>
          </w:p>
        </w:tc>
        <w:tc>
          <w:tcPr>
            <w:tcW w:w="1062" w:type="dxa"/>
            <w:vAlign w:val="top"/>
          </w:tcPr>
          <w:p>
            <w:pPr>
              <w:ind w:left="413"/>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Ge</w:t>
            </w:r>
          </w:p>
        </w:tc>
        <w:tc>
          <w:tcPr>
            <w:tcW w:w="1061" w:type="dxa"/>
            <w:vAlign w:val="top"/>
          </w:tcPr>
          <w:p>
            <w:pPr>
              <w:ind w:left="413"/>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As</w:t>
            </w:r>
          </w:p>
        </w:tc>
        <w:tc>
          <w:tcPr>
            <w:tcW w:w="1200" w:type="dxa"/>
            <w:vAlign w:val="top"/>
          </w:tcPr>
          <w:p>
            <w:pPr>
              <w:ind w:left="478"/>
              <w:spacing w:before="85"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Rb</w:t>
            </w:r>
          </w:p>
        </w:tc>
        <w:tc>
          <w:tcPr>
            <w:tcW w:w="1061" w:type="dxa"/>
            <w:vAlign w:val="top"/>
          </w:tcPr>
          <w:p>
            <w:pPr>
              <w:ind w:left="446"/>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Sr</w:t>
            </w:r>
          </w:p>
        </w:tc>
        <w:tc>
          <w:tcPr>
            <w:tcW w:w="1200" w:type="dxa"/>
            <w:vAlign w:val="top"/>
          </w:tcPr>
          <w:p>
            <w:pPr>
              <w:ind w:left="481"/>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Ga</w:t>
            </w:r>
          </w:p>
        </w:tc>
        <w:tc>
          <w:tcPr>
            <w:tcW w:w="1197" w:type="dxa"/>
            <w:vAlign w:val="top"/>
            <w:tcBorders>
              <w:right w:val="nil"/>
            </w:tcBorders>
          </w:tcPr>
          <w:p>
            <w:pPr>
              <w:rPr>
                <w:rFonts w:ascii="Arial"/>
                <w:sz w:val="21"/>
              </w:rPr>
            </w:pPr>
            <w:r/>
          </w:p>
        </w:tc>
      </w:tr>
      <w:tr>
        <w:trPr>
          <w:trHeight w:val="284" w:hRule="atLeast"/>
        </w:trPr>
        <w:tc>
          <w:tcPr>
            <w:tcW w:w="2131" w:type="dxa"/>
            <w:vAlign w:val="top"/>
            <w:tcBorders>
              <w:left w:val="nil"/>
            </w:tcBorders>
          </w:tcPr>
          <w:p>
            <w:pPr>
              <w:pStyle w:val="TableText"/>
              <w:ind w:left="572"/>
              <w:spacing w:before="54" w:line="203" w:lineRule="auto"/>
              <w:rPr/>
            </w:pPr>
            <w:r>
              <w:rPr>
                <w:spacing w:val="4"/>
              </w:rPr>
              <w:t>含量（</w:t>
            </w:r>
            <w:r>
              <w:rPr>
                <w:rFonts w:ascii="Times New Roman" w:hAnsi="Times New Roman" w:eastAsia="Times New Roman" w:cs="Times New Roman"/>
                <w:spacing w:val="4"/>
              </w:rPr>
              <w:t>%</w:t>
            </w:r>
            <w:r>
              <w:rPr>
                <w:spacing w:val="4"/>
              </w:rPr>
              <w:t>）</w:t>
            </w:r>
          </w:p>
        </w:tc>
        <w:tc>
          <w:tcPr>
            <w:tcW w:w="1062" w:type="dxa"/>
            <w:vAlign w:val="top"/>
          </w:tcPr>
          <w:p>
            <w:pPr>
              <w:ind w:left="237"/>
              <w:spacing w:before="90"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061" w:type="dxa"/>
            <w:vAlign w:val="top"/>
          </w:tcPr>
          <w:p>
            <w:pPr>
              <w:ind w:left="299"/>
              <w:spacing w:before="90"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0.005</w:t>
            </w:r>
          </w:p>
        </w:tc>
        <w:tc>
          <w:tcPr>
            <w:tcW w:w="1200" w:type="dxa"/>
            <w:vAlign w:val="top"/>
          </w:tcPr>
          <w:p>
            <w:pPr>
              <w:ind w:left="366"/>
              <w:spacing w:before="90"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w:t>
            </w:r>
          </w:p>
        </w:tc>
        <w:tc>
          <w:tcPr>
            <w:tcW w:w="1061" w:type="dxa"/>
            <w:vAlign w:val="top"/>
          </w:tcPr>
          <w:p>
            <w:pPr>
              <w:ind w:left="350"/>
              <w:spacing w:before="90"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200" w:type="dxa"/>
            <w:vAlign w:val="top"/>
          </w:tcPr>
          <w:p>
            <w:pPr>
              <w:ind w:left="252"/>
              <w:spacing w:before="90"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&lt;0.0008</w:t>
            </w:r>
          </w:p>
        </w:tc>
        <w:tc>
          <w:tcPr>
            <w:tcW w:w="1197" w:type="dxa"/>
            <w:vAlign w:val="top"/>
            <w:tcBorders>
              <w:right w:val="nil"/>
            </w:tcBorders>
          </w:tcPr>
          <w:p>
            <w:pPr>
              <w:rPr>
                <w:rFonts w:ascii="Arial"/>
                <w:sz w:val="21"/>
              </w:rPr>
            </w:pPr>
            <w:r/>
          </w:p>
        </w:tc>
      </w:tr>
      <w:tr>
        <w:trPr>
          <w:trHeight w:val="284" w:hRule="atLeast"/>
        </w:trPr>
        <w:tc>
          <w:tcPr>
            <w:tcW w:w="2131" w:type="dxa"/>
            <w:vAlign w:val="top"/>
            <w:tcBorders>
              <w:left w:val="nil"/>
            </w:tcBorders>
          </w:tcPr>
          <w:p>
            <w:pPr>
              <w:pStyle w:val="TableText"/>
              <w:ind w:left="660"/>
              <w:spacing w:before="52" w:line="204" w:lineRule="auto"/>
              <w:rPr/>
            </w:pPr>
            <w:r>
              <w:rPr>
                <w:spacing w:val="5"/>
              </w:rPr>
              <w:t>元素名称</w:t>
            </w:r>
          </w:p>
        </w:tc>
        <w:tc>
          <w:tcPr>
            <w:tcW w:w="1062" w:type="dxa"/>
            <w:vAlign w:val="top"/>
          </w:tcPr>
          <w:p>
            <w:pPr>
              <w:ind w:left="431"/>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Sn</w:t>
            </w:r>
          </w:p>
        </w:tc>
        <w:tc>
          <w:tcPr>
            <w:tcW w:w="1061" w:type="dxa"/>
            <w:vAlign w:val="top"/>
          </w:tcPr>
          <w:p>
            <w:pPr>
              <w:ind w:left="430"/>
              <w:spacing w:before="8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Sb</w:t>
            </w:r>
          </w:p>
        </w:tc>
        <w:tc>
          <w:tcPr>
            <w:tcW w:w="1200" w:type="dxa"/>
            <w:vAlign w:val="top"/>
          </w:tcPr>
          <w:p>
            <w:pPr>
              <w:ind w:left="499"/>
              <w:spacing w:before="9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Te</w:t>
            </w:r>
          </w:p>
        </w:tc>
        <w:tc>
          <w:tcPr>
            <w:tcW w:w="1061" w:type="dxa"/>
            <w:vAlign w:val="top"/>
          </w:tcPr>
          <w:p>
            <w:pPr>
              <w:ind w:left="415"/>
              <w:spacing w:before="9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Ba</w:t>
            </w:r>
          </w:p>
        </w:tc>
        <w:tc>
          <w:tcPr>
            <w:tcW w:w="1200" w:type="dxa"/>
            <w:vAlign w:val="top"/>
          </w:tcPr>
          <w:p>
            <w:pPr>
              <w:ind w:left="515"/>
              <w:spacing w:before="9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w:t>
            </w:r>
          </w:p>
        </w:tc>
        <w:tc>
          <w:tcPr>
            <w:tcW w:w="1197" w:type="dxa"/>
            <w:vAlign w:val="top"/>
            <w:tcBorders>
              <w:right w:val="nil"/>
            </w:tcBorders>
          </w:tcPr>
          <w:p>
            <w:pPr>
              <w:rPr>
                <w:rFonts w:ascii="Arial"/>
                <w:sz w:val="21"/>
              </w:rPr>
            </w:pPr>
            <w:r/>
          </w:p>
        </w:tc>
      </w:tr>
      <w:tr>
        <w:trPr>
          <w:trHeight w:val="284" w:hRule="atLeast"/>
        </w:trPr>
        <w:tc>
          <w:tcPr>
            <w:tcW w:w="2131" w:type="dxa"/>
            <w:vAlign w:val="top"/>
            <w:tcBorders>
              <w:left w:val="nil"/>
            </w:tcBorders>
          </w:tcPr>
          <w:p>
            <w:pPr>
              <w:pStyle w:val="TableText"/>
              <w:ind w:left="572"/>
              <w:spacing w:before="55" w:line="202" w:lineRule="auto"/>
              <w:rPr/>
            </w:pPr>
            <w:r>
              <w:rPr>
                <w:spacing w:val="4"/>
              </w:rPr>
              <w:t>含量（</w:t>
            </w:r>
            <w:r>
              <w:rPr>
                <w:rFonts w:ascii="Times New Roman" w:hAnsi="Times New Roman" w:eastAsia="Times New Roman" w:cs="Times New Roman"/>
                <w:spacing w:val="4"/>
              </w:rPr>
              <w:t>%</w:t>
            </w:r>
            <w:r>
              <w:rPr>
                <w:spacing w:val="4"/>
              </w:rPr>
              <w:t>）</w:t>
            </w:r>
          </w:p>
        </w:tc>
        <w:tc>
          <w:tcPr>
            <w:tcW w:w="1062" w:type="dxa"/>
            <w:vAlign w:val="top"/>
          </w:tcPr>
          <w:p>
            <w:pPr>
              <w:ind w:left="237"/>
              <w:spacing w:before="9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&lt;0.004</w:t>
            </w:r>
          </w:p>
        </w:tc>
        <w:tc>
          <w:tcPr>
            <w:tcW w:w="1061" w:type="dxa"/>
            <w:vAlign w:val="top"/>
          </w:tcPr>
          <w:p>
            <w:pPr>
              <w:ind w:left="236"/>
              <w:spacing w:before="9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&lt;0.009</w:t>
            </w:r>
          </w:p>
        </w:tc>
        <w:tc>
          <w:tcPr>
            <w:tcW w:w="1200" w:type="dxa"/>
            <w:vAlign w:val="top"/>
          </w:tcPr>
          <w:p>
            <w:pPr>
              <w:ind w:left="305"/>
              <w:spacing w:before="9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p>
        </w:tc>
        <w:tc>
          <w:tcPr>
            <w:tcW w:w="1061" w:type="dxa"/>
            <w:vAlign w:val="top"/>
          </w:tcPr>
          <w:p>
            <w:pPr>
              <w:ind w:left="288"/>
              <w:spacing w:before="9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&lt;0.02</w:t>
            </w:r>
          </w:p>
        </w:tc>
        <w:tc>
          <w:tcPr>
            <w:tcW w:w="1200" w:type="dxa"/>
            <w:vAlign w:val="top"/>
          </w:tcPr>
          <w:p>
            <w:pPr>
              <w:ind w:left="305"/>
              <w:spacing w:before="9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197" w:type="dxa"/>
            <w:vAlign w:val="top"/>
            <w:tcBorders>
              <w:right w:val="nil"/>
            </w:tcBorders>
          </w:tcPr>
          <w:p>
            <w:pPr>
              <w:rPr>
                <w:rFonts w:ascii="Arial"/>
                <w:sz w:val="21"/>
              </w:rPr>
            </w:pPr>
            <w:r/>
          </w:p>
        </w:tc>
      </w:tr>
      <w:tr>
        <w:trPr>
          <w:trHeight w:val="284" w:hRule="atLeast"/>
        </w:trPr>
        <w:tc>
          <w:tcPr>
            <w:tcW w:w="2131" w:type="dxa"/>
            <w:vAlign w:val="top"/>
            <w:tcBorders>
              <w:left w:val="nil"/>
            </w:tcBorders>
          </w:tcPr>
          <w:p>
            <w:pPr>
              <w:pStyle w:val="TableText"/>
              <w:ind w:left="660"/>
              <w:spacing w:before="56" w:line="201" w:lineRule="auto"/>
              <w:rPr/>
            </w:pPr>
            <w:r>
              <w:rPr>
                <w:spacing w:val="5"/>
              </w:rPr>
              <w:t>元素名称</w:t>
            </w:r>
          </w:p>
        </w:tc>
        <w:tc>
          <w:tcPr>
            <w:tcW w:w="1062" w:type="dxa"/>
            <w:vAlign w:val="top"/>
          </w:tcPr>
          <w:p>
            <w:pPr>
              <w:ind w:left="402"/>
              <w:spacing w:before="9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Hg</w:t>
            </w:r>
          </w:p>
        </w:tc>
        <w:tc>
          <w:tcPr>
            <w:tcW w:w="1061" w:type="dxa"/>
            <w:vAlign w:val="top"/>
          </w:tcPr>
          <w:p>
            <w:pPr>
              <w:ind w:left="432"/>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w:t>
            </w:r>
          </w:p>
        </w:tc>
        <w:tc>
          <w:tcPr>
            <w:tcW w:w="1200" w:type="dxa"/>
            <w:vAlign w:val="top"/>
          </w:tcPr>
          <w:p>
            <w:pPr>
              <w:ind w:left="485"/>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Th</w:t>
            </w:r>
          </w:p>
        </w:tc>
        <w:tc>
          <w:tcPr>
            <w:tcW w:w="1061" w:type="dxa"/>
            <w:vAlign w:val="top"/>
          </w:tcPr>
          <w:p>
            <w:pPr>
              <w:ind w:left="465"/>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200" w:type="dxa"/>
            <w:vAlign w:val="top"/>
          </w:tcPr>
          <w:p>
            <w:pPr>
              <w:ind w:left="489"/>
              <w:spacing w:before="8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Pb</w:t>
            </w:r>
          </w:p>
        </w:tc>
        <w:tc>
          <w:tcPr>
            <w:tcW w:w="1197" w:type="dxa"/>
            <w:vAlign w:val="top"/>
            <w:tcBorders>
              <w:right w:val="nil"/>
            </w:tcBorders>
          </w:tcPr>
          <w:p>
            <w:pPr>
              <w:rPr>
                <w:rFonts w:ascii="Arial"/>
                <w:sz w:val="21"/>
              </w:rPr>
            </w:pPr>
            <w:r/>
          </w:p>
        </w:tc>
      </w:tr>
      <w:tr>
        <w:trPr>
          <w:trHeight w:val="307" w:hRule="atLeast"/>
        </w:trPr>
        <w:tc>
          <w:tcPr>
            <w:tcW w:w="2131" w:type="dxa"/>
            <w:vAlign w:val="top"/>
            <w:tcBorders>
              <w:left w:val="nil"/>
              <w:bottom w:val="single" w:color="000000" w:sz="10" w:space="0"/>
            </w:tcBorders>
          </w:tcPr>
          <w:p>
            <w:pPr>
              <w:pStyle w:val="TableText"/>
              <w:ind w:left="572"/>
              <w:spacing w:before="57" w:line="221" w:lineRule="auto"/>
              <w:rPr/>
            </w:pPr>
            <w:r>
              <w:rPr>
                <w:spacing w:val="4"/>
              </w:rPr>
              <w:t>含量（</w:t>
            </w:r>
            <w:r>
              <w:rPr>
                <w:rFonts w:ascii="Times New Roman" w:hAnsi="Times New Roman" w:eastAsia="Times New Roman" w:cs="Times New Roman"/>
                <w:spacing w:val="4"/>
              </w:rPr>
              <w:t>%</w:t>
            </w:r>
            <w:r>
              <w:rPr>
                <w:spacing w:val="4"/>
              </w:rPr>
              <w:t>）</w:t>
            </w:r>
          </w:p>
        </w:tc>
        <w:tc>
          <w:tcPr>
            <w:tcW w:w="1062" w:type="dxa"/>
            <w:vAlign w:val="top"/>
            <w:tcBorders>
              <w:bottom w:val="single" w:color="000000" w:sz="10" w:space="0"/>
            </w:tcBorders>
          </w:tcPr>
          <w:p>
            <w:pPr>
              <w:ind w:left="29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&lt;0.01</w:t>
            </w:r>
          </w:p>
        </w:tc>
        <w:tc>
          <w:tcPr>
            <w:tcW w:w="1061" w:type="dxa"/>
            <w:vAlign w:val="top"/>
            <w:tcBorders>
              <w:bottom w:val="single" w:color="000000" w:sz="10" w:space="0"/>
            </w:tcBorders>
          </w:tcPr>
          <w:p>
            <w:pPr>
              <w:ind w:left="23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&lt;0.004</w:t>
            </w:r>
          </w:p>
        </w:tc>
        <w:tc>
          <w:tcPr>
            <w:tcW w:w="1200" w:type="dxa"/>
            <w:vAlign w:val="top"/>
            <w:tcBorders>
              <w:bottom w:val="single" w:color="000000" w:sz="10" w:space="0"/>
            </w:tcBorders>
          </w:tcPr>
          <w:p>
            <w:pPr>
              <w:ind w:left="305"/>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061" w:type="dxa"/>
            <w:vAlign w:val="top"/>
            <w:tcBorders>
              <w:bottom w:val="single" w:color="000000" w:sz="10" w:space="0"/>
            </w:tcBorders>
          </w:tcPr>
          <w:p>
            <w:pPr>
              <w:ind w:left="478"/>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00" w:type="dxa"/>
            <w:vAlign w:val="top"/>
            <w:tcBorders>
              <w:bottom w:val="single" w:color="000000" w:sz="10" w:space="0"/>
            </w:tcBorders>
          </w:tcPr>
          <w:p>
            <w:pPr>
              <w:ind w:left="305"/>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&lt;0.002</w:t>
            </w:r>
          </w:p>
        </w:tc>
        <w:tc>
          <w:tcPr>
            <w:tcW w:w="1197"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15"/>
          <w:pgSz w:w="11911" w:h="16839"/>
          <w:pgMar w:top="400" w:right="1309" w:bottom="1146" w:left="1689" w:header="0" w:footer="984" w:gutter="0"/>
        </w:sectPr>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929"/>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4.3-3  </w:t>
      </w:r>
      <w:r>
        <w:rPr>
          <w:rFonts w:ascii="FangSong" w:hAnsi="FangSong" w:eastAsia="FangSong" w:cs="FangSong"/>
          <w:sz w:val="24"/>
          <w:szCs w:val="24"/>
          <w:b/>
          <w:bCs/>
          <w:spacing w:val="-3"/>
        </w:rPr>
        <w:t>组合分析结果一览表</w:t>
      </w:r>
    </w:p>
    <w:p>
      <w:pPr>
        <w:spacing w:line="142" w:lineRule="exact"/>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6"/>
        <w:gridCol w:w="705"/>
        <w:gridCol w:w="826"/>
        <w:gridCol w:w="764"/>
        <w:gridCol w:w="656"/>
        <w:gridCol w:w="668"/>
        <w:gridCol w:w="772"/>
        <w:gridCol w:w="627"/>
        <w:gridCol w:w="706"/>
        <w:gridCol w:w="617"/>
        <w:gridCol w:w="699"/>
        <w:gridCol w:w="686"/>
        <w:gridCol w:w="608"/>
      </w:tblGrid>
      <w:tr>
        <w:trPr>
          <w:trHeight w:val="353" w:hRule="atLeast"/>
        </w:trPr>
        <w:tc>
          <w:tcPr>
            <w:tcW w:w="576" w:type="dxa"/>
            <w:vAlign w:val="top"/>
            <w:vMerge w:val="restart"/>
            <w:tcBorders>
              <w:top w:val="single" w:color="000000" w:sz="10" w:space="0"/>
              <w:left w:val="nil"/>
              <w:bottom w:val="nil"/>
            </w:tcBorders>
          </w:tcPr>
          <w:p>
            <w:pPr>
              <w:pStyle w:val="TableText"/>
              <w:ind w:left="120"/>
              <w:spacing w:before="280" w:line="222" w:lineRule="auto"/>
              <w:rPr>
                <w:sz w:val="18"/>
                <w:szCs w:val="18"/>
              </w:rPr>
            </w:pPr>
            <w:r>
              <w:rPr>
                <w:sz w:val="18"/>
                <w:szCs w:val="18"/>
                <w:spacing w:val="-6"/>
              </w:rPr>
              <w:t>序号</w:t>
            </w:r>
          </w:p>
        </w:tc>
        <w:tc>
          <w:tcPr>
            <w:tcW w:w="8334" w:type="dxa"/>
            <w:vAlign w:val="top"/>
            <w:gridSpan w:val="12"/>
            <w:tcBorders>
              <w:top w:val="single" w:color="000000" w:sz="10" w:space="0"/>
              <w:right w:val="nil"/>
            </w:tcBorders>
          </w:tcPr>
          <w:p>
            <w:pPr>
              <w:pStyle w:val="TableText"/>
              <w:ind w:left="3819"/>
              <w:spacing w:before="87" w:line="222" w:lineRule="auto"/>
              <w:rPr>
                <w:sz w:val="18"/>
                <w:szCs w:val="18"/>
              </w:rPr>
            </w:pPr>
            <w:r>
              <w:rPr>
                <w:sz w:val="18"/>
                <w:szCs w:val="18"/>
                <w:spacing w:val="-4"/>
              </w:rPr>
              <w:t>成份分析</w:t>
            </w:r>
          </w:p>
        </w:tc>
      </w:tr>
      <w:tr>
        <w:trPr>
          <w:trHeight w:val="372" w:hRule="atLeast"/>
        </w:trPr>
        <w:tc>
          <w:tcPr>
            <w:tcW w:w="576" w:type="dxa"/>
            <w:vAlign w:val="top"/>
            <w:vMerge w:val="continue"/>
            <w:tcBorders>
              <w:top w:val="nil"/>
              <w:left w:val="nil"/>
            </w:tcBorders>
          </w:tcPr>
          <w:p>
            <w:pPr>
              <w:rPr>
                <w:rFonts w:ascii="Arial"/>
                <w:sz w:val="21"/>
              </w:rPr>
            </w:pPr>
            <w:r/>
          </w:p>
        </w:tc>
        <w:tc>
          <w:tcPr>
            <w:tcW w:w="705" w:type="dxa"/>
            <w:vAlign w:val="top"/>
          </w:tcPr>
          <w:p>
            <w:pPr>
              <w:ind w:left="191"/>
              <w:spacing w:before="127" w:line="197"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3"/>
              </w:rPr>
              <w:t>SiO</w:t>
            </w:r>
            <w:r>
              <w:rPr>
                <w:rFonts w:ascii="Times New Roman" w:hAnsi="Times New Roman" w:eastAsia="Times New Roman" w:cs="Times New Roman"/>
                <w:sz w:val="11"/>
                <w:szCs w:val="11"/>
                <w:spacing w:val="-3"/>
                <w:position w:val="-1"/>
              </w:rPr>
              <w:t>2</w:t>
            </w:r>
          </w:p>
        </w:tc>
        <w:tc>
          <w:tcPr>
            <w:tcW w:w="826" w:type="dxa"/>
            <w:vAlign w:val="top"/>
          </w:tcPr>
          <w:p>
            <w:pPr>
              <w:ind w:left="163"/>
              <w:spacing w:before="130" w:line="194"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rPr>
              <w:t>CaCO</w:t>
            </w:r>
            <w:r>
              <w:rPr>
                <w:rFonts w:ascii="Times New Roman" w:hAnsi="Times New Roman" w:eastAsia="Times New Roman" w:cs="Times New Roman"/>
                <w:sz w:val="11"/>
                <w:szCs w:val="11"/>
                <w:spacing w:val="-2"/>
                <w:position w:val="-1"/>
              </w:rPr>
              <w:t>3</w:t>
            </w:r>
          </w:p>
        </w:tc>
        <w:tc>
          <w:tcPr>
            <w:tcW w:w="764" w:type="dxa"/>
            <w:vAlign w:val="top"/>
          </w:tcPr>
          <w:p>
            <w:pPr>
              <w:ind w:left="169"/>
              <w:spacing w:before="130" w:line="194" w:lineRule="auto"/>
              <w:rPr>
                <w:rFonts w:ascii="Times New Roman" w:hAnsi="Times New Roman" w:eastAsia="Times New Roman" w:cs="Times New Roman"/>
                <w:sz w:val="11"/>
                <w:szCs w:val="11"/>
              </w:rPr>
            </w:pPr>
            <w:r>
              <w:rPr>
                <w:rFonts w:ascii="Times New Roman" w:hAnsi="Times New Roman" w:eastAsia="Times New Roman" w:cs="Times New Roman"/>
                <w:sz w:val="18"/>
                <w:szCs w:val="18"/>
              </w:rPr>
              <w:t>Fe</w:t>
            </w:r>
            <w:r>
              <w:rPr>
                <w:rFonts w:ascii="Times New Roman" w:hAnsi="Times New Roman" w:eastAsia="Times New Roman" w:cs="Times New Roman"/>
                <w:sz w:val="11"/>
                <w:szCs w:val="11"/>
              </w:rPr>
              <w:t>2</w:t>
            </w:r>
            <w:r>
              <w:rPr>
                <w:rFonts w:ascii="Times New Roman" w:hAnsi="Times New Roman" w:eastAsia="Times New Roman" w:cs="Times New Roman"/>
                <w:sz w:val="18"/>
                <w:szCs w:val="18"/>
              </w:rPr>
              <w:t>O</w:t>
            </w:r>
            <w:r>
              <w:rPr>
                <w:rFonts w:ascii="Times New Roman" w:hAnsi="Times New Roman" w:eastAsia="Times New Roman" w:cs="Times New Roman"/>
                <w:sz w:val="11"/>
                <w:szCs w:val="11"/>
                <w:position w:val="-1"/>
              </w:rPr>
              <w:t>3</w:t>
            </w:r>
          </w:p>
        </w:tc>
        <w:tc>
          <w:tcPr>
            <w:tcW w:w="656" w:type="dxa"/>
            <w:vAlign w:val="top"/>
          </w:tcPr>
          <w:p>
            <w:pPr>
              <w:ind w:left="287"/>
              <w:spacing w:before="1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S</w:t>
            </w:r>
          </w:p>
        </w:tc>
        <w:tc>
          <w:tcPr>
            <w:tcW w:w="668" w:type="dxa"/>
            <w:vAlign w:val="top"/>
          </w:tcPr>
          <w:p>
            <w:pPr>
              <w:ind w:left="162"/>
              <w:spacing w:before="130" w:line="194" w:lineRule="auto"/>
              <w:rPr>
                <w:rFonts w:ascii="Times New Roman" w:hAnsi="Times New Roman" w:eastAsia="Times New Roman" w:cs="Times New Roman"/>
                <w:sz w:val="11"/>
                <w:szCs w:val="11"/>
              </w:rPr>
            </w:pPr>
            <w:r>
              <w:rPr>
                <w:rFonts w:ascii="Times New Roman" w:hAnsi="Times New Roman" w:eastAsia="Times New Roman" w:cs="Times New Roman"/>
                <w:sz w:val="18"/>
                <w:szCs w:val="18"/>
              </w:rPr>
              <w:t>P</w:t>
            </w:r>
            <w:r>
              <w:rPr>
                <w:rFonts w:ascii="Times New Roman" w:hAnsi="Times New Roman" w:eastAsia="Times New Roman" w:cs="Times New Roman"/>
                <w:sz w:val="11"/>
                <w:szCs w:val="11"/>
                <w:position w:val="-1"/>
              </w:rPr>
              <w:t>2</w:t>
            </w:r>
            <w:r>
              <w:rPr>
                <w:rFonts w:ascii="Times New Roman" w:hAnsi="Times New Roman" w:eastAsia="Times New Roman" w:cs="Times New Roman"/>
                <w:sz w:val="18"/>
                <w:szCs w:val="18"/>
              </w:rPr>
              <w:t>O</w:t>
            </w:r>
            <w:r>
              <w:rPr>
                <w:rFonts w:ascii="Times New Roman" w:hAnsi="Times New Roman" w:eastAsia="Times New Roman" w:cs="Times New Roman"/>
                <w:sz w:val="11"/>
                <w:szCs w:val="11"/>
                <w:position w:val="-1"/>
              </w:rPr>
              <w:t>5</w:t>
            </w:r>
          </w:p>
        </w:tc>
        <w:tc>
          <w:tcPr>
            <w:tcW w:w="772" w:type="dxa"/>
            <w:vAlign w:val="top"/>
          </w:tcPr>
          <w:p>
            <w:pPr>
              <w:ind w:left="285"/>
              <w:spacing w:before="1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As</w:t>
            </w:r>
          </w:p>
        </w:tc>
        <w:tc>
          <w:tcPr>
            <w:tcW w:w="627" w:type="dxa"/>
            <w:vAlign w:val="top"/>
          </w:tcPr>
          <w:p>
            <w:pPr>
              <w:ind w:left="139"/>
              <w:spacing w:before="130" w:line="194"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rPr>
              <w:t>CaF</w:t>
            </w:r>
            <w:r>
              <w:rPr>
                <w:rFonts w:ascii="Times New Roman" w:hAnsi="Times New Roman" w:eastAsia="Times New Roman" w:cs="Times New Roman"/>
                <w:sz w:val="11"/>
                <w:szCs w:val="11"/>
                <w:spacing w:val="-2"/>
                <w:position w:val="-1"/>
              </w:rPr>
              <w:t>2</w:t>
            </w:r>
          </w:p>
        </w:tc>
        <w:tc>
          <w:tcPr>
            <w:tcW w:w="706" w:type="dxa"/>
            <w:vAlign w:val="top"/>
          </w:tcPr>
          <w:p>
            <w:pPr>
              <w:ind w:left="139"/>
              <w:spacing w:before="127" w:line="197" w:lineRule="auto"/>
              <w:rPr>
                <w:rFonts w:ascii="Times New Roman" w:hAnsi="Times New Roman" w:eastAsia="Times New Roman" w:cs="Times New Roman"/>
                <w:sz w:val="11"/>
                <w:szCs w:val="11"/>
              </w:rPr>
            </w:pPr>
            <w:r>
              <w:rPr>
                <w:rFonts w:ascii="Times New Roman" w:hAnsi="Times New Roman" w:eastAsia="Times New Roman" w:cs="Times New Roman"/>
                <w:sz w:val="18"/>
                <w:szCs w:val="18"/>
              </w:rPr>
              <w:t>Al</w:t>
            </w:r>
            <w:r>
              <w:rPr>
                <w:rFonts w:ascii="Times New Roman" w:hAnsi="Times New Roman" w:eastAsia="Times New Roman" w:cs="Times New Roman"/>
                <w:sz w:val="11"/>
                <w:szCs w:val="11"/>
                <w:spacing w:val="1"/>
                <w:position w:val="-1"/>
              </w:rPr>
              <w:t>2</w:t>
            </w:r>
            <w:r>
              <w:rPr>
                <w:rFonts w:ascii="Times New Roman" w:hAnsi="Times New Roman" w:eastAsia="Times New Roman" w:cs="Times New Roman"/>
                <w:sz w:val="18"/>
                <w:szCs w:val="18"/>
                <w:spacing w:val="1"/>
              </w:rPr>
              <w:t>O</w:t>
            </w:r>
            <w:r>
              <w:rPr>
                <w:rFonts w:ascii="Times New Roman" w:hAnsi="Times New Roman" w:eastAsia="Times New Roman" w:cs="Times New Roman"/>
                <w:sz w:val="11"/>
                <w:szCs w:val="11"/>
                <w:spacing w:val="1"/>
                <w:position w:val="-1"/>
              </w:rPr>
              <w:t>3</w:t>
            </w:r>
          </w:p>
        </w:tc>
        <w:tc>
          <w:tcPr>
            <w:tcW w:w="617" w:type="dxa"/>
            <w:vAlign w:val="top"/>
          </w:tcPr>
          <w:p>
            <w:pPr>
              <w:ind w:left="149"/>
              <w:spacing w:before="130" w:line="19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w:t>
            </w:r>
            <w:r>
              <w:rPr>
                <w:rFonts w:ascii="Times New Roman" w:hAnsi="Times New Roman" w:eastAsia="Times New Roman" w:cs="Times New Roman"/>
                <w:sz w:val="11"/>
                <w:szCs w:val="11"/>
                <w:spacing w:val="-1"/>
                <w:position w:val="-1"/>
              </w:rPr>
              <w:t>2</w:t>
            </w:r>
            <w:r>
              <w:rPr>
                <w:rFonts w:ascii="Times New Roman" w:hAnsi="Times New Roman" w:eastAsia="Times New Roman" w:cs="Times New Roman"/>
                <w:sz w:val="18"/>
                <w:szCs w:val="18"/>
                <w:spacing w:val="-1"/>
              </w:rPr>
              <w:t>O</w:t>
            </w:r>
          </w:p>
        </w:tc>
        <w:tc>
          <w:tcPr>
            <w:tcW w:w="699" w:type="dxa"/>
            <w:vAlign w:val="top"/>
          </w:tcPr>
          <w:p>
            <w:pPr>
              <w:ind w:left="146"/>
              <w:spacing w:before="130" w:line="20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Na</w:t>
            </w:r>
            <w:r>
              <w:rPr>
                <w:rFonts w:ascii="Times New Roman" w:hAnsi="Times New Roman" w:eastAsia="Times New Roman" w:cs="Times New Roman"/>
                <w:sz w:val="11"/>
                <w:szCs w:val="11"/>
                <w:spacing w:val="1"/>
              </w:rPr>
              <w:t>2</w:t>
            </w:r>
            <w:r>
              <w:rPr>
                <w:rFonts w:ascii="Times New Roman" w:hAnsi="Times New Roman" w:eastAsia="Times New Roman" w:cs="Times New Roman"/>
                <w:sz w:val="18"/>
                <w:szCs w:val="18"/>
                <w:spacing w:val="1"/>
              </w:rPr>
              <w:t>O</w:t>
            </w:r>
          </w:p>
        </w:tc>
        <w:tc>
          <w:tcPr>
            <w:tcW w:w="686" w:type="dxa"/>
            <w:vAlign w:val="top"/>
          </w:tcPr>
          <w:p>
            <w:pPr>
              <w:ind w:left="153"/>
              <w:spacing w:before="1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MgO</w:t>
            </w:r>
          </w:p>
        </w:tc>
        <w:tc>
          <w:tcPr>
            <w:tcW w:w="608" w:type="dxa"/>
            <w:vAlign w:val="top"/>
            <w:tcBorders>
              <w:right w:val="nil"/>
            </w:tcBorders>
          </w:tcPr>
          <w:p>
            <w:pPr>
              <w:ind w:left="137"/>
              <w:spacing w:before="127" w:line="197"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3"/>
              </w:rPr>
              <w:t>TiO</w:t>
            </w:r>
            <w:r>
              <w:rPr>
                <w:rFonts w:ascii="Times New Roman" w:hAnsi="Times New Roman" w:eastAsia="Times New Roman" w:cs="Times New Roman"/>
                <w:sz w:val="11"/>
                <w:szCs w:val="11"/>
                <w:spacing w:val="-3"/>
                <w:position w:val="-1"/>
              </w:rPr>
              <w:t>2</w:t>
            </w:r>
          </w:p>
        </w:tc>
      </w:tr>
      <w:tr>
        <w:trPr>
          <w:trHeight w:val="313" w:hRule="atLeast"/>
        </w:trPr>
        <w:tc>
          <w:tcPr>
            <w:tcW w:w="576" w:type="dxa"/>
            <w:vAlign w:val="top"/>
            <w:tcBorders>
              <w:left w:val="nil"/>
            </w:tcBorders>
          </w:tcPr>
          <w:p>
            <w:pPr>
              <w:ind w:left="264"/>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05" w:type="dxa"/>
            <w:vAlign w:val="top"/>
          </w:tcPr>
          <w:p>
            <w:pPr>
              <w:ind w:left="154"/>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34.20</w:t>
            </w:r>
          </w:p>
        </w:tc>
        <w:tc>
          <w:tcPr>
            <w:tcW w:w="826" w:type="dxa"/>
            <w:vAlign w:val="top"/>
          </w:tcPr>
          <w:p>
            <w:pPr>
              <w:ind w:left="260"/>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3.45</w:t>
            </w:r>
          </w:p>
        </w:tc>
        <w:tc>
          <w:tcPr>
            <w:tcW w:w="764" w:type="dxa"/>
            <w:vAlign w:val="top"/>
          </w:tcPr>
          <w:p>
            <w:pPr>
              <w:ind w:left="242"/>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1.55</w:t>
            </w:r>
          </w:p>
        </w:tc>
        <w:tc>
          <w:tcPr>
            <w:tcW w:w="656" w:type="dxa"/>
            <w:vAlign w:val="top"/>
          </w:tcPr>
          <w:p>
            <w:pPr>
              <w:ind w:left="12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0.034</w:t>
            </w:r>
          </w:p>
        </w:tc>
        <w:tc>
          <w:tcPr>
            <w:tcW w:w="668" w:type="dxa"/>
            <w:vAlign w:val="top"/>
          </w:tcPr>
          <w:p>
            <w:pPr>
              <w:ind w:left="135"/>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w:t>
            </w:r>
          </w:p>
        </w:tc>
        <w:tc>
          <w:tcPr>
            <w:tcW w:w="772" w:type="dxa"/>
            <w:vAlign w:val="top"/>
          </w:tcPr>
          <w:p>
            <w:pPr>
              <w:ind w:left="143"/>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0.0004</w:t>
            </w:r>
          </w:p>
        </w:tc>
        <w:tc>
          <w:tcPr>
            <w:tcW w:w="627" w:type="dxa"/>
            <w:vAlign w:val="top"/>
          </w:tcPr>
          <w:p>
            <w:pPr>
              <w:ind w:left="129"/>
              <w:spacing w:before="18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706" w:type="dxa"/>
            <w:vAlign w:val="top"/>
          </w:tcPr>
          <w:p>
            <w:pPr>
              <w:ind w:left="169"/>
              <w:spacing w:before="18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17" w:type="dxa"/>
            <w:vAlign w:val="top"/>
          </w:tcPr>
          <w:p>
            <w:pPr>
              <w:ind w:left="123"/>
              <w:spacing w:before="18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99" w:type="dxa"/>
            <w:vAlign w:val="top"/>
          </w:tcPr>
          <w:p>
            <w:pPr>
              <w:ind w:left="166"/>
              <w:spacing w:before="18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86" w:type="dxa"/>
            <w:vAlign w:val="top"/>
          </w:tcPr>
          <w:p>
            <w:pPr>
              <w:ind w:left="159"/>
              <w:spacing w:before="18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08" w:type="dxa"/>
            <w:vAlign w:val="top"/>
            <w:tcBorders>
              <w:right w:val="nil"/>
            </w:tcBorders>
          </w:tcPr>
          <w:p>
            <w:pPr>
              <w:ind w:left="121"/>
              <w:spacing w:before="18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r>
      <w:tr>
        <w:trPr>
          <w:trHeight w:val="313" w:hRule="atLeast"/>
        </w:trPr>
        <w:tc>
          <w:tcPr>
            <w:tcW w:w="576" w:type="dxa"/>
            <w:vAlign w:val="top"/>
            <w:tcBorders>
              <w:left w:val="nil"/>
            </w:tcBorders>
          </w:tcPr>
          <w:p>
            <w:pPr>
              <w:ind w:left="246"/>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5" w:type="dxa"/>
            <w:vAlign w:val="top"/>
          </w:tcPr>
          <w:p>
            <w:pPr>
              <w:ind w:left="155"/>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51.60</w:t>
            </w:r>
          </w:p>
        </w:tc>
        <w:tc>
          <w:tcPr>
            <w:tcW w:w="826" w:type="dxa"/>
            <w:vAlign w:val="top"/>
          </w:tcPr>
          <w:p>
            <w:pPr>
              <w:ind w:left="274"/>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1.84</w:t>
            </w:r>
          </w:p>
        </w:tc>
        <w:tc>
          <w:tcPr>
            <w:tcW w:w="764" w:type="dxa"/>
            <w:vAlign w:val="top"/>
          </w:tcPr>
          <w:p>
            <w:pPr>
              <w:ind w:left="225"/>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2.01</w:t>
            </w:r>
          </w:p>
        </w:tc>
        <w:tc>
          <w:tcPr>
            <w:tcW w:w="656" w:type="dxa"/>
            <w:vAlign w:val="top"/>
          </w:tcPr>
          <w:p>
            <w:pPr>
              <w:ind w:left="128"/>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0.098</w:t>
            </w:r>
          </w:p>
        </w:tc>
        <w:tc>
          <w:tcPr>
            <w:tcW w:w="668" w:type="dxa"/>
            <w:vAlign w:val="top"/>
          </w:tcPr>
          <w:p>
            <w:pPr>
              <w:ind w:left="135"/>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0.107</w:t>
            </w:r>
          </w:p>
        </w:tc>
        <w:tc>
          <w:tcPr>
            <w:tcW w:w="772" w:type="dxa"/>
            <w:vAlign w:val="top"/>
          </w:tcPr>
          <w:p>
            <w:pPr>
              <w:ind w:left="143"/>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0.0003</w:t>
            </w:r>
          </w:p>
        </w:tc>
        <w:tc>
          <w:tcPr>
            <w:tcW w:w="627" w:type="dxa"/>
            <w:vAlign w:val="top"/>
          </w:tcPr>
          <w:p>
            <w:pPr>
              <w:ind w:left="129"/>
              <w:spacing w:before="18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706" w:type="dxa"/>
            <w:vAlign w:val="top"/>
          </w:tcPr>
          <w:p>
            <w:pPr>
              <w:ind w:left="169"/>
              <w:spacing w:before="18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17" w:type="dxa"/>
            <w:vAlign w:val="top"/>
          </w:tcPr>
          <w:p>
            <w:pPr>
              <w:ind w:left="123"/>
              <w:spacing w:before="18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99" w:type="dxa"/>
            <w:vAlign w:val="top"/>
          </w:tcPr>
          <w:p>
            <w:pPr>
              <w:ind w:left="166"/>
              <w:spacing w:before="18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86" w:type="dxa"/>
            <w:vAlign w:val="top"/>
          </w:tcPr>
          <w:p>
            <w:pPr>
              <w:ind w:left="159"/>
              <w:spacing w:before="18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08" w:type="dxa"/>
            <w:vAlign w:val="top"/>
            <w:tcBorders>
              <w:right w:val="nil"/>
            </w:tcBorders>
          </w:tcPr>
          <w:p>
            <w:pPr>
              <w:ind w:left="121"/>
              <w:spacing w:before="186"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r>
      <w:tr>
        <w:trPr>
          <w:trHeight w:val="313" w:hRule="atLeast"/>
        </w:trPr>
        <w:tc>
          <w:tcPr>
            <w:tcW w:w="576" w:type="dxa"/>
            <w:vAlign w:val="top"/>
            <w:tcBorders>
              <w:left w:val="nil"/>
            </w:tcBorders>
          </w:tcPr>
          <w:p>
            <w:pPr>
              <w:ind w:left="250"/>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05" w:type="dxa"/>
            <w:vAlign w:val="top"/>
          </w:tcPr>
          <w:p>
            <w:pPr>
              <w:ind w:left="153"/>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73.02</w:t>
            </w:r>
          </w:p>
        </w:tc>
        <w:tc>
          <w:tcPr>
            <w:tcW w:w="826" w:type="dxa"/>
            <w:vAlign w:val="top"/>
          </w:tcPr>
          <w:p>
            <w:pPr>
              <w:ind w:left="256"/>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2.07</w:t>
            </w:r>
          </w:p>
        </w:tc>
        <w:tc>
          <w:tcPr>
            <w:tcW w:w="764" w:type="dxa"/>
            <w:vAlign w:val="top"/>
          </w:tcPr>
          <w:p>
            <w:pPr>
              <w:ind w:left="225"/>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2.26</w:t>
            </w:r>
          </w:p>
        </w:tc>
        <w:tc>
          <w:tcPr>
            <w:tcW w:w="656" w:type="dxa"/>
            <w:vAlign w:val="top"/>
          </w:tcPr>
          <w:p>
            <w:pPr>
              <w:ind w:left="174"/>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0.13</w:t>
            </w:r>
          </w:p>
        </w:tc>
        <w:tc>
          <w:tcPr>
            <w:tcW w:w="668" w:type="dxa"/>
            <w:vAlign w:val="top"/>
          </w:tcPr>
          <w:p>
            <w:pPr>
              <w:ind w:left="180"/>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0.13</w:t>
            </w:r>
          </w:p>
        </w:tc>
        <w:tc>
          <w:tcPr>
            <w:tcW w:w="772" w:type="dxa"/>
            <w:vAlign w:val="top"/>
          </w:tcPr>
          <w:p>
            <w:pPr>
              <w:ind w:left="203"/>
              <w:spacing w:before="190" w:line="85"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27" w:type="dxa"/>
            <w:vAlign w:val="top"/>
          </w:tcPr>
          <w:p>
            <w:pPr>
              <w:ind w:left="130"/>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10.36</w:t>
            </w:r>
          </w:p>
        </w:tc>
        <w:tc>
          <w:tcPr>
            <w:tcW w:w="706" w:type="dxa"/>
            <w:vAlign w:val="top"/>
          </w:tcPr>
          <w:p>
            <w:pPr>
              <w:ind w:left="199"/>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7.62</w:t>
            </w:r>
          </w:p>
        </w:tc>
        <w:tc>
          <w:tcPr>
            <w:tcW w:w="617" w:type="dxa"/>
            <w:vAlign w:val="top"/>
          </w:tcPr>
          <w:p>
            <w:pPr>
              <w:ind w:left="198"/>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tc>
        <w:tc>
          <w:tcPr>
            <w:tcW w:w="699" w:type="dxa"/>
            <w:vAlign w:val="top"/>
          </w:tcPr>
          <w:p>
            <w:pPr>
              <w:ind w:left="241"/>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686" w:type="dxa"/>
            <w:vAlign w:val="top"/>
          </w:tcPr>
          <w:p>
            <w:pPr>
              <w:ind w:left="190"/>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0.89</w:t>
            </w:r>
          </w:p>
        </w:tc>
        <w:tc>
          <w:tcPr>
            <w:tcW w:w="608" w:type="dxa"/>
            <w:vAlign w:val="top"/>
            <w:tcBorders>
              <w:right w:val="nil"/>
            </w:tcBorders>
          </w:tcPr>
          <w:p>
            <w:pPr>
              <w:ind w:left="150"/>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0.44</w:t>
            </w:r>
          </w:p>
        </w:tc>
      </w:tr>
      <w:tr>
        <w:trPr>
          <w:trHeight w:val="337" w:hRule="atLeast"/>
        </w:trPr>
        <w:tc>
          <w:tcPr>
            <w:tcW w:w="576" w:type="dxa"/>
            <w:vAlign w:val="top"/>
            <w:tcBorders>
              <w:bottom w:val="single" w:color="000000" w:sz="10" w:space="0"/>
              <w:left w:val="nil"/>
            </w:tcBorders>
          </w:tcPr>
          <w:p>
            <w:pPr>
              <w:ind w:left="245"/>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05" w:type="dxa"/>
            <w:vAlign w:val="top"/>
            <w:tcBorders>
              <w:bottom w:val="single" w:color="000000" w:sz="10" w:space="0"/>
            </w:tcBorders>
          </w:tcPr>
          <w:p>
            <w:pPr>
              <w:ind w:left="149"/>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43.04</w:t>
            </w:r>
          </w:p>
        </w:tc>
        <w:tc>
          <w:tcPr>
            <w:tcW w:w="826" w:type="dxa"/>
            <w:vAlign w:val="top"/>
            <w:tcBorders>
              <w:bottom w:val="single" w:color="000000" w:sz="10" w:space="0"/>
            </w:tcBorders>
          </w:tcPr>
          <w:p>
            <w:pPr>
              <w:ind w:left="259"/>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0.52</w:t>
            </w:r>
          </w:p>
        </w:tc>
        <w:tc>
          <w:tcPr>
            <w:tcW w:w="764" w:type="dxa"/>
            <w:vAlign w:val="top"/>
            <w:tcBorders>
              <w:bottom w:val="single" w:color="000000" w:sz="10" w:space="0"/>
            </w:tcBorders>
          </w:tcPr>
          <w:p>
            <w:pPr>
              <w:ind w:left="242"/>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1.27</w:t>
            </w:r>
          </w:p>
        </w:tc>
        <w:tc>
          <w:tcPr>
            <w:tcW w:w="656" w:type="dxa"/>
            <w:vAlign w:val="top"/>
            <w:tcBorders>
              <w:bottom w:val="single" w:color="000000" w:sz="10" w:space="0"/>
            </w:tcBorders>
          </w:tcPr>
          <w:p>
            <w:pPr>
              <w:ind w:left="128"/>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0.019</w:t>
            </w:r>
          </w:p>
        </w:tc>
        <w:tc>
          <w:tcPr>
            <w:tcW w:w="668" w:type="dxa"/>
            <w:vAlign w:val="top"/>
            <w:tcBorders>
              <w:bottom w:val="single" w:color="000000" w:sz="10" w:space="0"/>
            </w:tcBorders>
          </w:tcPr>
          <w:p>
            <w:pPr>
              <w:ind w:left="135"/>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0.032</w:t>
            </w:r>
          </w:p>
        </w:tc>
        <w:tc>
          <w:tcPr>
            <w:tcW w:w="772" w:type="dxa"/>
            <w:vAlign w:val="top"/>
            <w:tcBorders>
              <w:bottom w:val="single" w:color="000000" w:sz="10" w:space="0"/>
            </w:tcBorders>
          </w:tcPr>
          <w:p>
            <w:pPr>
              <w:ind w:left="143"/>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0.0094</w:t>
            </w:r>
          </w:p>
        </w:tc>
        <w:tc>
          <w:tcPr>
            <w:tcW w:w="627" w:type="dxa"/>
            <w:vAlign w:val="top"/>
            <w:tcBorders>
              <w:bottom w:val="single" w:color="000000" w:sz="10" w:space="0"/>
            </w:tcBorders>
          </w:tcPr>
          <w:p>
            <w:pPr>
              <w:ind w:left="129"/>
              <w:spacing w:before="19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706" w:type="dxa"/>
            <w:vAlign w:val="top"/>
            <w:tcBorders>
              <w:bottom w:val="single" w:color="000000" w:sz="10" w:space="0"/>
            </w:tcBorders>
          </w:tcPr>
          <w:p>
            <w:pPr>
              <w:ind w:left="169"/>
              <w:spacing w:before="19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17" w:type="dxa"/>
            <w:vAlign w:val="top"/>
            <w:tcBorders>
              <w:bottom w:val="single" w:color="000000" w:sz="10" w:space="0"/>
            </w:tcBorders>
          </w:tcPr>
          <w:p>
            <w:pPr>
              <w:ind w:left="123"/>
              <w:spacing w:before="19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99" w:type="dxa"/>
            <w:vAlign w:val="top"/>
            <w:tcBorders>
              <w:bottom w:val="single" w:color="000000" w:sz="10" w:space="0"/>
            </w:tcBorders>
          </w:tcPr>
          <w:p>
            <w:pPr>
              <w:ind w:left="166"/>
              <w:spacing w:before="19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86" w:type="dxa"/>
            <w:vAlign w:val="top"/>
            <w:tcBorders>
              <w:bottom w:val="single" w:color="000000" w:sz="10" w:space="0"/>
            </w:tcBorders>
          </w:tcPr>
          <w:p>
            <w:pPr>
              <w:ind w:left="159"/>
              <w:spacing w:before="19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c>
          <w:tcPr>
            <w:tcW w:w="608" w:type="dxa"/>
            <w:vAlign w:val="top"/>
            <w:tcBorders>
              <w:bottom w:val="single" w:color="000000" w:sz="10" w:space="0"/>
              <w:right w:val="nil"/>
            </w:tcBorders>
          </w:tcPr>
          <w:p>
            <w:pPr>
              <w:ind w:left="121"/>
              <w:spacing w:before="193"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w:t>
            </w:r>
          </w:p>
        </w:tc>
      </w:tr>
    </w:tbl>
    <w:p>
      <w:pPr>
        <w:pStyle w:val="BodyText"/>
        <w:spacing w:line="369" w:lineRule="auto"/>
        <w:rPr/>
      </w:pPr>
      <w:r/>
    </w:p>
    <w:p>
      <w:pPr>
        <w:ind w:left="114"/>
        <w:spacing w:before="78"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4.3.2.3  </w:t>
      </w:r>
      <w:r>
        <w:rPr>
          <w:rFonts w:ascii="FangSong" w:hAnsi="FangSong" w:eastAsia="FangSong" w:cs="FangSong"/>
          <w:sz w:val="24"/>
          <w:szCs w:val="24"/>
          <w:b/>
          <w:bCs/>
          <w:spacing w:val="-2"/>
        </w:rPr>
        <w:t>矿石自然类型及品级</w:t>
      </w:r>
    </w:p>
    <w:p>
      <w:pPr>
        <w:ind w:left="609"/>
        <w:spacing w:before="178"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）矿石的自然类型</w:t>
      </w:r>
    </w:p>
    <w:p>
      <w:pPr>
        <w:ind w:left="126" w:right="107" w:firstLine="470"/>
        <w:spacing w:before="175" w:line="291" w:lineRule="auto"/>
        <w:rPr>
          <w:rFonts w:ascii="FangSong" w:hAnsi="FangSong" w:eastAsia="FangSong" w:cs="FangSong"/>
          <w:sz w:val="24"/>
          <w:szCs w:val="24"/>
        </w:rPr>
      </w:pPr>
      <w:r>
        <w:rPr>
          <w:rFonts w:ascii="FangSong" w:hAnsi="FangSong" w:eastAsia="FangSong" w:cs="FangSong"/>
          <w:sz w:val="24"/>
          <w:szCs w:val="24"/>
          <w:spacing w:val="-2"/>
        </w:rPr>
        <w:t>①</w:t>
      </w:r>
      <w:r>
        <w:rPr>
          <w:rFonts w:ascii="FangSong" w:hAnsi="FangSong" w:eastAsia="FangSong" w:cs="FangSong"/>
          <w:sz w:val="24"/>
          <w:szCs w:val="24"/>
          <w:spacing w:val="-2"/>
        </w:rPr>
        <w:t xml:space="preserve"> </w:t>
      </w:r>
      <w:r>
        <w:rPr>
          <w:rFonts w:ascii="FangSong" w:hAnsi="FangSong" w:eastAsia="FangSong" w:cs="FangSong"/>
          <w:sz w:val="24"/>
          <w:szCs w:val="24"/>
          <w:spacing w:val="-2"/>
        </w:rPr>
        <w:t>本项目内矿石主要由矿石矿物萤石和脉石矿物石英、方解石组成</w:t>
      </w:r>
      <w:r>
        <w:rPr>
          <w:rFonts w:ascii="FangSong" w:hAnsi="FangSong" w:eastAsia="FangSong" w:cs="FangSong"/>
          <w:sz w:val="24"/>
          <w:szCs w:val="24"/>
          <w:spacing w:val="-3"/>
        </w:rPr>
        <w:t>，根据其相</w:t>
      </w:r>
      <w:r>
        <w:rPr>
          <w:rFonts w:ascii="FangSong" w:hAnsi="FangSong" w:eastAsia="FangSong" w:cs="FangSong"/>
          <w:sz w:val="24"/>
          <w:szCs w:val="24"/>
          <w:spacing w:val="-1"/>
        </w:rPr>
        <w:t>对含量，石英较多，萤石成分较少。故将本项目内</w:t>
      </w:r>
      <w:r>
        <w:rPr>
          <w:rFonts w:ascii="FangSong" w:hAnsi="FangSong" w:eastAsia="FangSong" w:cs="FangSong"/>
          <w:sz w:val="24"/>
          <w:szCs w:val="24"/>
          <w:spacing w:val="-2"/>
        </w:rPr>
        <w:t>萤石矿划分为萤石</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石英型矿石。</w:t>
      </w:r>
    </w:p>
    <w:p>
      <w:pPr>
        <w:ind w:left="124" w:right="107" w:firstLine="471"/>
        <w:spacing w:before="180" w:line="289" w:lineRule="auto"/>
        <w:rPr>
          <w:rFonts w:ascii="FangSong" w:hAnsi="FangSong" w:eastAsia="FangSong" w:cs="FangSong"/>
          <w:sz w:val="24"/>
          <w:szCs w:val="24"/>
        </w:rPr>
      </w:pPr>
      <w:r>
        <w:rPr>
          <w:rFonts w:ascii="FangSong" w:hAnsi="FangSong" w:eastAsia="FangSong" w:cs="FangSong"/>
          <w:sz w:val="24"/>
          <w:szCs w:val="24"/>
          <w:spacing w:val="-2"/>
        </w:rPr>
        <w:t>②</w:t>
      </w:r>
      <w:r>
        <w:rPr>
          <w:rFonts w:ascii="FangSong" w:hAnsi="FangSong" w:eastAsia="FangSong" w:cs="FangSong"/>
          <w:sz w:val="24"/>
          <w:szCs w:val="24"/>
          <w:spacing w:val="-2"/>
        </w:rPr>
        <w:t xml:space="preserve"> </w:t>
      </w:r>
      <w:r>
        <w:rPr>
          <w:rFonts w:ascii="FangSong" w:hAnsi="FangSong" w:eastAsia="FangSong" w:cs="FangSong"/>
          <w:sz w:val="24"/>
          <w:szCs w:val="24"/>
          <w:spacing w:val="-2"/>
        </w:rPr>
        <w:t>按结构构造划分，比照本项目内萤石矿的矿石基本结构和构造特点</w:t>
      </w:r>
      <w:r>
        <w:rPr>
          <w:rFonts w:ascii="FangSong" w:hAnsi="FangSong" w:eastAsia="FangSong" w:cs="FangSong"/>
          <w:sz w:val="24"/>
          <w:szCs w:val="24"/>
          <w:spacing w:val="-3"/>
        </w:rPr>
        <w:t>，将区内</w:t>
      </w:r>
      <w:r>
        <w:rPr>
          <w:rFonts w:ascii="FangSong" w:hAnsi="FangSong" w:eastAsia="FangSong" w:cs="FangSong"/>
          <w:sz w:val="24"/>
          <w:szCs w:val="24"/>
          <w:spacing w:val="-1"/>
        </w:rPr>
        <w:t>矿石划分为：块状萤石矿、条带状萤石矿、角砾状萤矿三种类型。</w:t>
      </w:r>
    </w:p>
    <w:p>
      <w:pPr>
        <w:ind w:left="609"/>
        <w:spacing w:before="181" w:line="22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）矿石的工业类型</w:t>
      </w:r>
    </w:p>
    <w:p>
      <w:pPr>
        <w:ind w:left="130" w:right="107" w:firstLine="475"/>
        <w:spacing w:before="175" w:line="359" w:lineRule="auto"/>
        <w:rPr>
          <w:rFonts w:ascii="FangSong" w:hAnsi="FangSong" w:eastAsia="FangSong" w:cs="FangSong"/>
          <w:sz w:val="24"/>
          <w:szCs w:val="24"/>
        </w:rPr>
      </w:pPr>
      <w:r>
        <w:rPr>
          <w:rFonts w:ascii="FangSong" w:hAnsi="FangSong" w:eastAsia="FangSong" w:cs="FangSong"/>
          <w:sz w:val="24"/>
          <w:szCs w:val="24"/>
          <w:spacing w:val="-1"/>
        </w:rPr>
        <w:t>依据《重晶石、毒重石、萤石、硼矿地质勘查现法》（</w:t>
      </w:r>
      <w:r>
        <w:rPr>
          <w:rFonts w:ascii="Times New Roman" w:hAnsi="Times New Roman" w:eastAsia="Times New Roman" w:cs="Times New Roman"/>
          <w:sz w:val="24"/>
          <w:szCs w:val="24"/>
          <w:spacing w:val="-1"/>
        </w:rPr>
        <w:t>DZT0211-2020</w:t>
      </w:r>
      <w:r>
        <w:rPr>
          <w:rFonts w:ascii="FangSong" w:hAnsi="FangSong" w:eastAsia="FangSong" w:cs="FangSong"/>
          <w:sz w:val="24"/>
          <w:szCs w:val="24"/>
          <w:spacing w:val="-1"/>
        </w:rPr>
        <w:t>）确定的</w:t>
      </w:r>
      <w:r>
        <w:rPr>
          <w:rFonts w:ascii="FangSong" w:hAnsi="FangSong" w:eastAsia="FangSong" w:cs="FangSong"/>
          <w:sz w:val="24"/>
          <w:szCs w:val="24"/>
          <w:spacing w:val="-2"/>
        </w:rPr>
        <w:t>工业指标，其工业类型为需选普通萤石矿。</w:t>
      </w:r>
    </w:p>
    <w:p>
      <w:pPr>
        <w:ind w:left="609"/>
        <w:spacing w:before="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）矿石的品级</w:t>
      </w:r>
    </w:p>
    <w:p>
      <w:pPr>
        <w:ind w:left="129" w:right="107" w:firstLine="482"/>
        <w:spacing w:before="176" w:line="359" w:lineRule="auto"/>
        <w:rPr>
          <w:rFonts w:ascii="FangSong" w:hAnsi="FangSong" w:eastAsia="FangSong" w:cs="FangSong"/>
          <w:sz w:val="24"/>
          <w:szCs w:val="24"/>
        </w:rPr>
      </w:pPr>
      <w:r>
        <w:rPr>
          <w:rFonts w:ascii="FangSong" w:hAnsi="FangSong" w:eastAsia="FangSong" w:cs="FangSong"/>
          <w:sz w:val="24"/>
          <w:szCs w:val="24"/>
          <w:spacing w:val="1"/>
        </w:rPr>
        <w:t>桑宝力嘎额尔登塔拉本项目内的萤石矿根据实际地质特征，结合萤石</w:t>
      </w:r>
      <w:r>
        <w:rPr>
          <w:rFonts w:ascii="FangSong" w:hAnsi="FangSong" w:eastAsia="FangSong" w:cs="FangSong"/>
          <w:sz w:val="24"/>
          <w:szCs w:val="24"/>
        </w:rPr>
        <w:t>矿品位确</w:t>
      </w:r>
      <w:r>
        <w:rPr>
          <w:rFonts w:ascii="FangSong" w:hAnsi="FangSong" w:eastAsia="FangSong" w:cs="FangSong"/>
          <w:sz w:val="24"/>
          <w:szCs w:val="24"/>
          <w:spacing w:val="-2"/>
        </w:rPr>
        <w:t>定为低品位的需选矿石，主要依据如下：</w:t>
      </w:r>
    </w:p>
    <w:p>
      <w:pPr>
        <w:ind w:left="124" w:right="107" w:firstLine="472"/>
        <w:spacing w:before="3" w:line="312"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矿石中</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rPr>
        <w:t>SiO</w:t>
      </w:r>
      <w:r>
        <w:rPr>
          <w:rFonts w:ascii="Times New Roman" w:hAnsi="Times New Roman" w:eastAsia="Times New Roman" w:cs="Times New Roman"/>
          <w:sz w:val="15"/>
          <w:szCs w:val="15"/>
          <w:spacing w:val="1"/>
          <w:position w:val="-1"/>
        </w:rPr>
        <w:t>2  </w:t>
      </w:r>
      <w:r>
        <w:rPr>
          <w:rFonts w:ascii="FangSong" w:hAnsi="FangSong" w:eastAsia="FangSong" w:cs="FangSong"/>
          <w:sz w:val="24"/>
          <w:szCs w:val="24"/>
          <w:spacing w:val="1"/>
        </w:rPr>
        <w:t>多数呈脉状或集合体状或胶质硅质岩产出，有用组分萤石呈斑</w:t>
      </w:r>
      <w:r>
        <w:rPr>
          <w:rFonts w:ascii="FangSong" w:hAnsi="FangSong" w:eastAsia="FangSong" w:cs="FangSong"/>
          <w:sz w:val="24"/>
          <w:szCs w:val="24"/>
          <w:spacing w:val="-2"/>
        </w:rPr>
        <w:t>状，斑点状及细脉状分布。严重制约了矿石质量，一般品位均在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20-33%</w:t>
      </w:r>
      <w:r>
        <w:rPr>
          <w:rFonts w:ascii="FangSong" w:hAnsi="FangSong" w:eastAsia="FangSong" w:cs="FangSong"/>
          <w:sz w:val="24"/>
          <w:szCs w:val="24"/>
          <w:spacing w:val="-2"/>
        </w:rPr>
        <w:t>之间，且资</w:t>
      </w:r>
      <w:r>
        <w:rPr>
          <w:rFonts w:ascii="FangSong" w:hAnsi="FangSong" w:eastAsia="FangSong" w:cs="FangSong"/>
          <w:sz w:val="24"/>
          <w:szCs w:val="24"/>
          <w:spacing w:val="-1"/>
        </w:rPr>
        <w:t>源储量较大，在矿体中分布的地段较多，开采出的矿石大部分须手选才可利用。</w:t>
      </w:r>
    </w:p>
    <w:p>
      <w:pPr>
        <w:ind w:left="128" w:right="107" w:firstLine="467"/>
        <w:spacing w:before="180" w:line="291" w:lineRule="auto"/>
        <w:rPr>
          <w:rFonts w:ascii="FangSong" w:hAnsi="FangSong" w:eastAsia="FangSong" w:cs="FangSong"/>
          <w:sz w:val="24"/>
          <w:szCs w:val="24"/>
        </w:rPr>
      </w:pPr>
      <w:r>
        <w:rPr>
          <w:rFonts w:ascii="FangSong" w:hAnsi="FangSong" w:eastAsia="FangSong" w:cs="FangSong"/>
          <w:sz w:val="24"/>
          <w:szCs w:val="24"/>
          <w:spacing w:val="-2"/>
        </w:rPr>
        <w:t>②</w:t>
      </w:r>
      <w:r>
        <w:rPr>
          <w:rFonts w:ascii="FangSong" w:hAnsi="FangSong" w:eastAsia="FangSong" w:cs="FangSong"/>
          <w:sz w:val="24"/>
          <w:szCs w:val="24"/>
          <w:spacing w:val="-2"/>
        </w:rPr>
        <w:t xml:space="preserve"> </w:t>
      </w:r>
      <w:r>
        <w:rPr>
          <w:rFonts w:ascii="FangSong" w:hAnsi="FangSong" w:eastAsia="FangSong" w:cs="FangSong"/>
          <w:sz w:val="24"/>
          <w:szCs w:val="24"/>
          <w:spacing w:val="-2"/>
        </w:rPr>
        <w:t>一些主要的富矿体如碳酸盐化萤石主要产在构造部位的较狭窄处，</w:t>
      </w:r>
      <w:r>
        <w:rPr>
          <w:rFonts w:ascii="FangSong" w:hAnsi="FangSong" w:eastAsia="FangSong" w:cs="FangSong"/>
          <w:sz w:val="24"/>
          <w:szCs w:val="24"/>
          <w:spacing w:val="-3"/>
        </w:rPr>
        <w:t>虽然品位</w:t>
      </w:r>
      <w:r>
        <w:rPr>
          <w:rFonts w:ascii="FangSong" w:hAnsi="FangSong" w:eastAsia="FangSong" w:cs="FangSong"/>
          <w:sz w:val="24"/>
          <w:szCs w:val="24"/>
          <w:spacing w:val="-1"/>
        </w:rPr>
        <w:t>可达</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45-65%</w:t>
      </w:r>
      <w:r>
        <w:rPr>
          <w:rFonts w:ascii="FangSong" w:hAnsi="FangSong" w:eastAsia="FangSong" w:cs="FangSong"/>
          <w:sz w:val="24"/>
          <w:szCs w:val="24"/>
          <w:spacing w:val="-1"/>
        </w:rPr>
        <w:t>之间，但无论横纵方向均延伸较短，量也较少。</w:t>
      </w:r>
    </w:p>
    <w:p>
      <w:pPr>
        <w:ind w:left="596"/>
        <w:spacing w:before="178" w:line="219" w:lineRule="auto"/>
        <w:rPr>
          <w:rFonts w:ascii="FangSong" w:hAnsi="FangSong" w:eastAsia="FangSong" w:cs="FangSong"/>
          <w:sz w:val="24"/>
          <w:szCs w:val="24"/>
        </w:rPr>
      </w:pPr>
      <w:r>
        <w:rPr>
          <w:rFonts w:ascii="FangSong" w:hAnsi="FangSong" w:eastAsia="FangSong" w:cs="FangSong"/>
          <w:sz w:val="24"/>
          <w:szCs w:val="24"/>
          <w:spacing w:val="5"/>
        </w:rPr>
        <w:t>③</w:t>
      </w:r>
      <w:r>
        <w:rPr>
          <w:rFonts w:ascii="FangSong" w:hAnsi="FangSong" w:eastAsia="FangSong" w:cs="FangSong"/>
          <w:sz w:val="24"/>
          <w:szCs w:val="24"/>
          <w:spacing w:val="47"/>
        </w:rPr>
        <w:t xml:space="preserve"> </w:t>
      </w:r>
      <w:r>
        <w:rPr>
          <w:rFonts w:ascii="FangSong" w:hAnsi="FangSong" w:eastAsia="FangSong" w:cs="FangSong"/>
          <w:sz w:val="24"/>
          <w:szCs w:val="24"/>
          <w:spacing w:val="5"/>
        </w:rPr>
        <w:t>依据钻孔及组分分析结果</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SiO</w:t>
      </w:r>
      <w:r>
        <w:rPr>
          <w:rFonts w:ascii="Times New Roman" w:hAnsi="Times New Roman" w:eastAsia="Times New Roman" w:cs="Times New Roman"/>
          <w:sz w:val="15"/>
          <w:szCs w:val="15"/>
          <w:spacing w:val="5"/>
          <w:position w:val="-1"/>
        </w:rPr>
        <w:t>2</w:t>
      </w:r>
      <w:r>
        <w:rPr>
          <w:rFonts w:ascii="Times New Roman" w:hAnsi="Times New Roman" w:eastAsia="Times New Roman" w:cs="Times New Roman"/>
          <w:sz w:val="15"/>
          <w:szCs w:val="15"/>
          <w:spacing w:val="34"/>
          <w:position w:val="-1"/>
        </w:rPr>
        <w:t xml:space="preserve"> </w:t>
      </w:r>
      <w:r>
        <w:rPr>
          <w:rFonts w:ascii="FangSong" w:hAnsi="FangSong" w:eastAsia="FangSong" w:cs="FangSong"/>
          <w:sz w:val="24"/>
          <w:szCs w:val="24"/>
          <w:spacing w:val="5"/>
        </w:rPr>
        <w:t>含量达</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5"/>
        </w:rPr>
        <w:t>29.27-54.37%</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5"/>
        </w:rPr>
        <w:t>。而萤石含量一般在</w:t>
      </w:r>
    </w:p>
    <w:p>
      <w:pPr>
        <w:ind w:left="118"/>
        <w:spacing w:before="183"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33.61-52.87%</w:t>
      </w:r>
      <w:r>
        <w:rPr>
          <w:rFonts w:ascii="FangSong" w:hAnsi="FangSong" w:eastAsia="FangSong" w:cs="FangSong"/>
          <w:sz w:val="24"/>
          <w:szCs w:val="24"/>
          <w:spacing w:val="-1"/>
        </w:rPr>
        <w:t>之间，最高达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62.76%</w:t>
      </w:r>
      <w:r>
        <w:rPr>
          <w:rFonts w:ascii="FangSong" w:hAnsi="FangSong" w:eastAsia="FangSong" w:cs="FangSong"/>
          <w:sz w:val="24"/>
          <w:szCs w:val="24"/>
          <w:spacing w:val="-1"/>
        </w:rPr>
        <w:t>。</w:t>
      </w:r>
    </w:p>
    <w:p>
      <w:pPr>
        <w:ind w:left="605"/>
        <w:spacing w:before="179" w:line="222" w:lineRule="auto"/>
        <w:rPr>
          <w:rFonts w:ascii="FangSong" w:hAnsi="FangSong" w:eastAsia="FangSong" w:cs="FangSong"/>
          <w:sz w:val="24"/>
          <w:szCs w:val="24"/>
        </w:rPr>
      </w:pPr>
      <w:r>
        <w:rPr>
          <w:rFonts w:ascii="FangSong" w:hAnsi="FangSong" w:eastAsia="FangSong" w:cs="FangSong"/>
          <w:sz w:val="24"/>
          <w:szCs w:val="24"/>
          <w:spacing w:val="-1"/>
        </w:rPr>
        <w:t>故该矿床矿石品级较差，属低品位的需选矿石。</w:t>
      </w:r>
    </w:p>
    <w:p>
      <w:pPr>
        <w:ind w:left="114"/>
        <w:spacing w:before="1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4.3.2.4  </w:t>
      </w:r>
      <w:r>
        <w:rPr>
          <w:rFonts w:ascii="FangSong" w:hAnsi="FangSong" w:eastAsia="FangSong" w:cs="FangSong"/>
          <w:sz w:val="24"/>
          <w:szCs w:val="24"/>
          <w:b/>
          <w:bCs/>
          <w:spacing w:val="-2"/>
        </w:rPr>
        <w:t>矿体围岩及夹石</w:t>
      </w:r>
    </w:p>
    <w:p>
      <w:pPr>
        <w:ind w:left="609"/>
        <w:spacing w:before="179" w:line="223"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）围岩</w:t>
      </w:r>
    </w:p>
    <w:p>
      <w:pPr>
        <w:ind w:left="604"/>
        <w:spacing w:before="176" w:line="219" w:lineRule="auto"/>
        <w:rPr>
          <w:rFonts w:ascii="FangSong" w:hAnsi="FangSong" w:eastAsia="FangSong" w:cs="FangSong"/>
          <w:sz w:val="24"/>
          <w:szCs w:val="24"/>
        </w:rPr>
      </w:pPr>
      <w:r>
        <w:rPr>
          <w:rFonts w:ascii="FangSong" w:hAnsi="FangSong" w:eastAsia="FangSong" w:cs="FangSong"/>
          <w:sz w:val="24"/>
          <w:szCs w:val="24"/>
          <w:spacing w:val="1"/>
        </w:rPr>
        <w:t>矿体赋存于近南北向的构造破碎带和裂隙群中，顶底板围岩主要为凝灰质板岩</w:t>
      </w:r>
    </w:p>
    <w:p>
      <w:pPr>
        <w:spacing w:line="219" w:lineRule="auto"/>
        <w:sectPr>
          <w:footerReference w:type="default" r:id="rId116"/>
          <w:pgSz w:w="11911" w:h="16839"/>
          <w:pgMar w:top="400" w:right="1310" w:bottom="1146" w:left="1689"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6" w:right="74" w:firstLine="2"/>
        <w:spacing w:before="78" w:line="358" w:lineRule="auto"/>
        <w:rPr>
          <w:rFonts w:ascii="FangSong" w:hAnsi="FangSong" w:eastAsia="FangSong" w:cs="FangSong"/>
          <w:sz w:val="24"/>
          <w:szCs w:val="24"/>
        </w:rPr>
      </w:pPr>
      <w:bookmarkStart w:name="bookmark545" w:id="201"/>
      <w:bookmarkEnd w:id="201"/>
      <w:r>
        <w:rPr>
          <w:rFonts w:ascii="FangSong" w:hAnsi="FangSong" w:eastAsia="FangSong" w:cs="FangSong"/>
          <w:sz w:val="24"/>
          <w:szCs w:val="24"/>
          <w:spacing w:val="1"/>
        </w:rPr>
        <w:t>及晶屑凝灰岩，且在不同深度范围内均存在不同程度的蚀变。蚀变类型有硅化、碳</w:t>
      </w:r>
      <w:r>
        <w:rPr>
          <w:rFonts w:ascii="FangSong" w:hAnsi="FangSong" w:eastAsia="FangSong" w:cs="FangSong"/>
          <w:sz w:val="24"/>
          <w:szCs w:val="24"/>
          <w:spacing w:val="-1"/>
        </w:rPr>
        <w:t>酸盐化、萤石化、高岭土化，与围岩界线清晰，为突变关系。</w:t>
      </w:r>
    </w:p>
    <w:p>
      <w:pPr>
        <w:ind w:left="19" w:right="76" w:firstLine="488"/>
        <w:spacing w:before="5" w:line="357" w:lineRule="auto"/>
        <w:rPr>
          <w:rFonts w:ascii="FangSong" w:hAnsi="FangSong" w:eastAsia="FangSong" w:cs="FangSong"/>
          <w:sz w:val="24"/>
          <w:szCs w:val="24"/>
        </w:rPr>
      </w:pPr>
      <w:r>
        <w:rPr>
          <w:rFonts w:ascii="FangSong" w:hAnsi="FangSong" w:eastAsia="FangSong" w:cs="FangSong"/>
          <w:sz w:val="24"/>
          <w:szCs w:val="24"/>
          <w:spacing w:val="-2"/>
        </w:rPr>
        <w:t>依据化学分析样，围岩的化学成分主要为</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SiO</w:t>
      </w:r>
      <w:r>
        <w:rPr>
          <w:rFonts w:ascii="Times New Roman" w:hAnsi="Times New Roman" w:eastAsia="Times New Roman" w:cs="Times New Roman"/>
          <w:sz w:val="15"/>
          <w:szCs w:val="15"/>
          <w:spacing w:val="-2"/>
          <w:position w:val="-1"/>
        </w:rPr>
        <w:t>2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Al</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24"/>
          <w:szCs w:val="24"/>
          <w:spacing w:val="-2"/>
        </w:rPr>
        <w:t>O</w:t>
      </w:r>
      <w:r>
        <w:rPr>
          <w:rFonts w:ascii="Times New Roman" w:hAnsi="Times New Roman" w:eastAsia="Times New Roman" w:cs="Times New Roman"/>
          <w:sz w:val="15"/>
          <w:szCs w:val="15"/>
          <w:spacing w:val="-2"/>
          <w:position w:val="-1"/>
        </w:rPr>
        <w:t>3 </w:t>
      </w:r>
      <w:r>
        <w:rPr>
          <w:rFonts w:ascii="FangSong" w:hAnsi="FangSong" w:eastAsia="FangSong" w:cs="FangSong"/>
          <w:sz w:val="24"/>
          <w:szCs w:val="24"/>
          <w:spacing w:val="-2"/>
        </w:rPr>
        <w:t>、</w:t>
      </w:r>
      <w:r>
        <w:rPr>
          <w:rFonts w:ascii="Times New Roman" w:hAnsi="Times New Roman" w:eastAsia="Times New Roman" w:cs="Times New Roman"/>
          <w:sz w:val="24"/>
          <w:szCs w:val="24"/>
          <w:spacing w:val="-3"/>
        </w:rPr>
        <w:t>Fe</w:t>
      </w:r>
      <w:r>
        <w:rPr>
          <w:rFonts w:ascii="Times New Roman" w:hAnsi="Times New Roman" w:eastAsia="Times New Roman" w:cs="Times New Roman"/>
          <w:sz w:val="15"/>
          <w:szCs w:val="15"/>
          <w:spacing w:val="-3"/>
        </w:rPr>
        <w:t>2</w:t>
      </w:r>
      <w:r>
        <w:rPr>
          <w:rFonts w:ascii="Times New Roman" w:hAnsi="Times New Roman" w:eastAsia="Times New Roman" w:cs="Times New Roman"/>
          <w:sz w:val="24"/>
          <w:szCs w:val="24"/>
          <w:spacing w:val="-3"/>
        </w:rPr>
        <w:t>O</w:t>
      </w:r>
      <w:r>
        <w:rPr>
          <w:rFonts w:ascii="Times New Roman" w:hAnsi="Times New Roman" w:eastAsia="Times New Roman" w:cs="Times New Roman"/>
          <w:sz w:val="15"/>
          <w:szCs w:val="15"/>
          <w:spacing w:val="-3"/>
          <w:position w:val="-1"/>
        </w:rPr>
        <w:t>3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K</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24"/>
          <w:szCs w:val="24"/>
          <w:spacing w:val="-3"/>
        </w:rPr>
        <w:t>O</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Na</w:t>
      </w:r>
      <w:r>
        <w:rPr>
          <w:rFonts w:ascii="Times New Roman" w:hAnsi="Times New Roman" w:eastAsia="Times New Roman" w:cs="Times New Roman"/>
          <w:sz w:val="15"/>
          <w:szCs w:val="15"/>
          <w:spacing w:val="-3"/>
        </w:rPr>
        <w:t>2</w:t>
      </w:r>
      <w:r>
        <w:rPr>
          <w:rFonts w:ascii="Times New Roman" w:hAnsi="Times New Roman" w:eastAsia="Times New Roman" w:cs="Times New Roman"/>
          <w:sz w:val="24"/>
          <w:szCs w:val="24"/>
          <w:spacing w:val="-3"/>
        </w:rPr>
        <w:t>O</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CaO</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MgO</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1"/>
        </w:rPr>
        <w:t>及部分</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CaCO</w:t>
      </w:r>
      <w:r>
        <w:rPr>
          <w:rFonts w:ascii="Times New Roman" w:hAnsi="Times New Roman" w:eastAsia="Times New Roman" w:cs="Times New Roman"/>
          <w:sz w:val="15"/>
          <w:szCs w:val="15"/>
          <w:spacing w:val="-1"/>
          <w:position w:val="-1"/>
        </w:rPr>
        <w:t>3 </w:t>
      </w:r>
      <w:r>
        <w:rPr>
          <w:rFonts w:ascii="FangSong" w:hAnsi="FangSong" w:eastAsia="FangSong" w:cs="FangSong"/>
          <w:sz w:val="24"/>
          <w:szCs w:val="24"/>
          <w:spacing w:val="-1"/>
        </w:rPr>
        <w:t>。有害元素</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P</w:t>
      </w:r>
      <w:r>
        <w:rPr>
          <w:rFonts w:ascii="Times New Roman" w:hAnsi="Times New Roman" w:eastAsia="Times New Roman" w:cs="Times New Roman"/>
          <w:sz w:val="15"/>
          <w:szCs w:val="15"/>
          <w:spacing w:val="-1"/>
          <w:position w:val="-1"/>
        </w:rPr>
        <w:t>2</w:t>
      </w:r>
      <w:r>
        <w:rPr>
          <w:rFonts w:ascii="Times New Roman" w:hAnsi="Times New Roman" w:eastAsia="Times New Roman" w:cs="Times New Roman"/>
          <w:sz w:val="24"/>
          <w:szCs w:val="24"/>
          <w:spacing w:val="-1"/>
        </w:rPr>
        <w:t>O</w:t>
      </w:r>
      <w:r>
        <w:rPr>
          <w:rFonts w:ascii="Times New Roman" w:hAnsi="Times New Roman" w:eastAsia="Times New Roman" w:cs="Times New Roman"/>
          <w:sz w:val="15"/>
          <w:szCs w:val="15"/>
          <w:spacing w:val="-1"/>
          <w:position w:val="-1"/>
        </w:rPr>
        <w:t>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0.027-0.077</w:t>
      </w:r>
      <w:r>
        <w:rPr>
          <w:rFonts w:ascii="FangSong" w:hAnsi="FangSong" w:eastAsia="FangSong" w:cs="FangSong"/>
          <w:sz w:val="24"/>
          <w:szCs w:val="24"/>
          <w:spacing w:val="-1"/>
        </w:rPr>
        <w:t>）和</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1"/>
        </w:rPr>
        <w:t>S</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0.01-0</w:t>
      </w:r>
      <w:r>
        <w:rPr>
          <w:rFonts w:ascii="Times New Roman" w:hAnsi="Times New Roman" w:eastAsia="Times New Roman" w:cs="Times New Roman"/>
          <w:sz w:val="24"/>
          <w:szCs w:val="24"/>
          <w:spacing w:val="-2"/>
        </w:rPr>
        <w:t>.02</w:t>
      </w:r>
      <w:r>
        <w:rPr>
          <w:rFonts w:ascii="FangSong" w:hAnsi="FangSong" w:eastAsia="FangSong" w:cs="FangSong"/>
          <w:sz w:val="24"/>
          <w:szCs w:val="24"/>
          <w:spacing w:val="-2"/>
        </w:rPr>
        <w:t>）其含量</w:t>
      </w:r>
      <w:r>
        <w:rPr>
          <w:rFonts w:ascii="FangSong" w:hAnsi="FangSong" w:eastAsia="FangSong" w:cs="FangSong"/>
          <w:sz w:val="24"/>
          <w:szCs w:val="24"/>
        </w:rPr>
        <w:t>均较低，有益元素</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Cu</w:t>
      </w:r>
      <w:r>
        <w:rPr>
          <w:rFonts w:ascii="FangSong" w:hAnsi="FangSong" w:eastAsia="FangSong" w:cs="FangSong"/>
          <w:sz w:val="24"/>
          <w:szCs w:val="24"/>
        </w:rPr>
        <w:t>（</w:t>
      </w:r>
      <w:r>
        <w:rPr>
          <w:rFonts w:ascii="Times New Roman" w:hAnsi="Times New Roman" w:eastAsia="Times New Roman" w:cs="Times New Roman"/>
          <w:sz w:val="24"/>
          <w:szCs w:val="24"/>
        </w:rPr>
        <w:t>0.001-0.002</w:t>
      </w:r>
      <w:r>
        <w:rPr>
          <w:rFonts w:ascii="FangSong" w:hAnsi="FangSong" w:eastAsia="FangSong" w:cs="FangSong"/>
          <w:sz w:val="24"/>
          <w:szCs w:val="24"/>
        </w:rPr>
        <w:t>）、</w:t>
      </w:r>
      <w:r>
        <w:rPr>
          <w:rFonts w:ascii="Times New Roman" w:hAnsi="Times New Roman" w:eastAsia="Times New Roman" w:cs="Times New Roman"/>
          <w:sz w:val="24"/>
          <w:szCs w:val="24"/>
        </w:rPr>
        <w:t>Ni</w:t>
      </w:r>
      <w:r>
        <w:rPr>
          <w:rFonts w:ascii="FangSong" w:hAnsi="FangSong" w:eastAsia="FangSong" w:cs="FangSong"/>
          <w:sz w:val="24"/>
          <w:szCs w:val="24"/>
        </w:rPr>
        <w:t>（</w:t>
      </w:r>
      <w:r>
        <w:rPr>
          <w:rFonts w:ascii="Times New Roman" w:hAnsi="Times New Roman" w:eastAsia="Times New Roman" w:cs="Times New Roman"/>
          <w:sz w:val="24"/>
          <w:szCs w:val="24"/>
        </w:rPr>
        <w:t>0.006-0.</w:t>
      </w:r>
      <w:r>
        <w:rPr>
          <w:rFonts w:ascii="Times New Roman" w:hAnsi="Times New Roman" w:eastAsia="Times New Roman" w:cs="Times New Roman"/>
          <w:sz w:val="24"/>
          <w:szCs w:val="24"/>
          <w:spacing w:val="-1"/>
        </w:rPr>
        <w:t>008</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Zn</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0.003-0.007</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Ag</w:t>
      </w:r>
      <w:r>
        <w:rPr>
          <w:rFonts w:ascii="FangSong" w:hAnsi="FangSong" w:eastAsia="FangSong" w:cs="FangSong"/>
          <w:sz w:val="24"/>
          <w:szCs w:val="24"/>
          <w:spacing w:val="-1"/>
        </w:rPr>
        <w:t>在（</w:t>
      </w:r>
      <w:r>
        <w:rPr>
          <w:rFonts w:ascii="Times New Roman" w:hAnsi="Times New Roman" w:eastAsia="Times New Roman" w:cs="Times New Roman"/>
          <w:sz w:val="24"/>
          <w:szCs w:val="24"/>
          <w:spacing w:val="-1"/>
        </w:rPr>
        <w:t>3.91-5.99</w:t>
      </w:r>
      <w:r>
        <w:rPr>
          <w:rFonts w:ascii="FangSong" w:hAnsi="FangSong" w:eastAsia="FangSong" w:cs="FangSong"/>
          <w:sz w:val="24"/>
          <w:szCs w:val="24"/>
          <w:spacing w:val="-1"/>
        </w:rPr>
        <w:t>）之间，有用元素</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CaF</w:t>
      </w:r>
      <w:r>
        <w:rPr>
          <w:rFonts w:ascii="Times New Roman" w:hAnsi="Times New Roman" w:eastAsia="Times New Roman" w:cs="Times New Roman"/>
          <w:sz w:val="15"/>
          <w:szCs w:val="15"/>
          <w:spacing w:val="-1"/>
          <w:position w:val="-1"/>
        </w:rPr>
        <w:t>2</w:t>
      </w:r>
      <w:r>
        <w:rPr>
          <w:rFonts w:ascii="Times New Roman" w:hAnsi="Times New Roman" w:eastAsia="Times New Roman" w:cs="Times New Roman"/>
          <w:sz w:val="15"/>
          <w:szCs w:val="15"/>
          <w:spacing w:val="23"/>
          <w:position w:val="-1"/>
        </w:rPr>
        <w:t xml:space="preserve"> </w:t>
      </w:r>
      <w:r>
        <w:rPr>
          <w:rFonts w:ascii="FangSong" w:hAnsi="FangSong" w:eastAsia="FangSong" w:cs="FangSong"/>
          <w:sz w:val="24"/>
          <w:szCs w:val="24"/>
          <w:spacing w:val="-1"/>
        </w:rPr>
        <w:t>含量一般为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2"/>
        </w:rPr>
        <w:t>.8-1.0%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，平均</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0.88%</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，均达不到</w:t>
      </w:r>
      <w:r>
        <w:rPr>
          <w:rFonts w:ascii="FangSong" w:hAnsi="FangSong" w:eastAsia="FangSong" w:cs="FangSong"/>
          <w:sz w:val="24"/>
          <w:szCs w:val="24"/>
          <w:spacing w:val="-1"/>
        </w:rPr>
        <w:t>共伴生利用指标。</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条主矿体顶、低板含矿性统计表见</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4.3</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w:t>
      </w:r>
    </w:p>
    <w:p>
      <w:pPr>
        <w:ind w:left="1387"/>
        <w:spacing w:before="9" w:line="220"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4.3-4  </w:t>
      </w:r>
      <w:r>
        <w:rPr>
          <w:rFonts w:ascii="FangSong" w:hAnsi="FangSong" w:eastAsia="FangSong" w:cs="FangSong"/>
          <w:sz w:val="24"/>
          <w:szCs w:val="24"/>
          <w:b/>
          <w:bCs/>
          <w:spacing w:val="-2"/>
        </w:rPr>
        <w:t>额尔登塔拉本项目主矿体顶、底板含矿</w:t>
      </w:r>
      <w:r>
        <w:rPr>
          <w:rFonts w:ascii="FangSong" w:hAnsi="FangSong" w:eastAsia="FangSong" w:cs="FangSong"/>
          <w:sz w:val="24"/>
          <w:szCs w:val="24"/>
          <w:b/>
          <w:bCs/>
          <w:spacing w:val="-3"/>
        </w:rPr>
        <w:t>性统计表</w:t>
      </w:r>
    </w:p>
    <w:p>
      <w:pPr>
        <w:spacing w:line="146" w:lineRule="exact"/>
        <w:rPr/>
      </w:pPr>
      <w:r/>
    </w:p>
    <w:tbl>
      <w:tblPr>
        <w:tblStyle w:val="TableNormal"/>
        <w:tblW w:w="8522" w:type="dxa"/>
        <w:tblInd w:w="9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4"/>
        <w:gridCol w:w="1575"/>
        <w:gridCol w:w="2395"/>
        <w:gridCol w:w="1527"/>
        <w:gridCol w:w="1831"/>
      </w:tblGrid>
      <w:tr>
        <w:trPr>
          <w:trHeight w:val="315" w:hRule="atLeast"/>
        </w:trPr>
        <w:tc>
          <w:tcPr>
            <w:tcW w:w="1194" w:type="dxa"/>
            <w:vAlign w:val="top"/>
            <w:vMerge w:val="restart"/>
            <w:tcBorders>
              <w:top w:val="single" w:color="000000" w:sz="10" w:space="0"/>
              <w:left w:val="nil"/>
              <w:bottom w:val="nil"/>
            </w:tcBorders>
          </w:tcPr>
          <w:p>
            <w:pPr>
              <w:pStyle w:val="TableText"/>
              <w:ind w:left="400"/>
              <w:spacing w:before="87" w:line="231" w:lineRule="auto"/>
              <w:rPr/>
            </w:pPr>
            <w:r>
              <w:rPr>
                <w:spacing w:val="2"/>
              </w:rPr>
              <w:t>矿体</w:t>
            </w:r>
          </w:p>
          <w:p>
            <w:pPr>
              <w:pStyle w:val="TableText"/>
              <w:ind w:left="401"/>
              <w:spacing w:before="23" w:line="232" w:lineRule="auto"/>
              <w:rPr/>
            </w:pPr>
            <w:r>
              <w:rPr>
                <w:spacing w:val="1"/>
              </w:rPr>
              <w:t>编号</w:t>
            </w:r>
          </w:p>
        </w:tc>
        <w:tc>
          <w:tcPr>
            <w:tcW w:w="1575" w:type="dxa"/>
            <w:vAlign w:val="top"/>
            <w:vMerge w:val="restart"/>
            <w:tcBorders>
              <w:top w:val="single" w:color="000000" w:sz="10" w:space="0"/>
              <w:bottom w:val="nil"/>
            </w:tcBorders>
          </w:tcPr>
          <w:p>
            <w:pPr>
              <w:pStyle w:val="TableText"/>
              <w:ind w:left="589"/>
              <w:spacing w:before="224" w:line="230" w:lineRule="auto"/>
              <w:rPr/>
            </w:pPr>
            <w:r>
              <w:rPr>
                <w:spacing w:val="1"/>
              </w:rPr>
              <w:t>位置</w:t>
            </w:r>
          </w:p>
        </w:tc>
        <w:tc>
          <w:tcPr>
            <w:tcW w:w="3922" w:type="dxa"/>
            <w:vAlign w:val="top"/>
            <w:gridSpan w:val="2"/>
            <w:tcBorders>
              <w:top w:val="single" w:color="000000" w:sz="10" w:space="0"/>
            </w:tcBorders>
          </w:tcPr>
          <w:p>
            <w:pPr>
              <w:pStyle w:val="TableText"/>
              <w:ind w:left="1407"/>
              <w:spacing w:before="53" w:line="232" w:lineRule="auto"/>
              <w:rPr/>
            </w:pPr>
            <w:r>
              <w:rPr>
                <w:rFonts w:ascii="Times New Roman" w:hAnsi="Times New Roman" w:eastAsia="Times New Roman" w:cs="Times New Roman"/>
              </w:rPr>
              <w:t>CaF</w:t>
            </w:r>
            <w:r>
              <w:rPr>
                <w:rFonts w:ascii="Times New Roman" w:hAnsi="Times New Roman" w:eastAsia="Times New Roman" w:cs="Times New Roman"/>
                <w:sz w:val="13"/>
                <w:szCs w:val="13"/>
                <w:spacing w:val="5"/>
                <w:position w:val="-1"/>
              </w:rPr>
              <w:t>2   </w:t>
            </w:r>
            <w:r>
              <w:rPr>
                <w:spacing w:val="5"/>
              </w:rPr>
              <w:t>（</w:t>
            </w:r>
            <w:r>
              <w:rPr>
                <w:rFonts w:ascii="Times New Roman" w:hAnsi="Times New Roman" w:eastAsia="Times New Roman" w:cs="Times New Roman"/>
                <w:spacing w:val="5"/>
              </w:rPr>
              <w:t>%</w:t>
            </w:r>
            <w:r>
              <w:rPr>
                <w:spacing w:val="5"/>
              </w:rPr>
              <w:t>）</w:t>
            </w:r>
          </w:p>
        </w:tc>
        <w:tc>
          <w:tcPr>
            <w:tcW w:w="1831" w:type="dxa"/>
            <w:vAlign w:val="top"/>
            <w:vMerge w:val="restart"/>
            <w:tcBorders>
              <w:top w:val="single" w:color="000000" w:sz="10" w:space="0"/>
              <w:right w:val="nil"/>
              <w:bottom w:val="nil"/>
            </w:tcBorders>
          </w:tcPr>
          <w:p>
            <w:pPr>
              <w:pStyle w:val="TableText"/>
              <w:ind w:left="718"/>
              <w:spacing w:before="224" w:line="233" w:lineRule="auto"/>
              <w:rPr/>
            </w:pPr>
            <w:r>
              <w:rPr>
                <w:spacing w:val="1"/>
              </w:rPr>
              <w:t>备注</w:t>
            </w:r>
          </w:p>
        </w:tc>
      </w:tr>
      <w:tr>
        <w:trPr>
          <w:trHeight w:val="331" w:hRule="atLeast"/>
        </w:trPr>
        <w:tc>
          <w:tcPr>
            <w:tcW w:w="1194" w:type="dxa"/>
            <w:vAlign w:val="top"/>
            <w:vMerge w:val="continue"/>
            <w:tcBorders>
              <w:top w:val="nil"/>
              <w:left w:val="nil"/>
            </w:tcBorders>
          </w:tcPr>
          <w:p>
            <w:pPr>
              <w:rPr>
                <w:rFonts w:ascii="Arial"/>
                <w:sz w:val="21"/>
              </w:rPr>
            </w:pPr>
            <w:r/>
          </w:p>
        </w:tc>
        <w:tc>
          <w:tcPr>
            <w:tcW w:w="1575" w:type="dxa"/>
            <w:vAlign w:val="top"/>
            <w:vMerge w:val="continue"/>
            <w:tcBorders>
              <w:top w:val="nil"/>
            </w:tcBorders>
          </w:tcPr>
          <w:p>
            <w:pPr>
              <w:rPr>
                <w:rFonts w:ascii="Arial"/>
                <w:sz w:val="21"/>
              </w:rPr>
            </w:pPr>
            <w:r/>
          </w:p>
        </w:tc>
        <w:tc>
          <w:tcPr>
            <w:tcW w:w="2395" w:type="dxa"/>
            <w:vAlign w:val="top"/>
          </w:tcPr>
          <w:p>
            <w:pPr>
              <w:pStyle w:val="TableText"/>
              <w:ind w:left="1016"/>
              <w:spacing w:before="64" w:line="232" w:lineRule="auto"/>
              <w:rPr/>
            </w:pPr>
            <w:r>
              <w:rPr>
                <w:spacing w:val="-7"/>
              </w:rPr>
              <w:t>区间</w:t>
            </w:r>
          </w:p>
        </w:tc>
        <w:tc>
          <w:tcPr>
            <w:tcW w:w="1527" w:type="dxa"/>
            <w:vAlign w:val="top"/>
          </w:tcPr>
          <w:p>
            <w:pPr>
              <w:pStyle w:val="TableText"/>
              <w:ind w:left="564"/>
              <w:spacing w:before="64" w:line="232" w:lineRule="auto"/>
              <w:rPr/>
            </w:pPr>
            <w:r>
              <w:rPr>
                <w:spacing w:val="2"/>
              </w:rPr>
              <w:t>平均</w:t>
            </w:r>
          </w:p>
        </w:tc>
        <w:tc>
          <w:tcPr>
            <w:tcW w:w="1831" w:type="dxa"/>
            <w:vAlign w:val="top"/>
            <w:vMerge w:val="continue"/>
            <w:tcBorders>
              <w:top w:val="nil"/>
              <w:right w:val="nil"/>
            </w:tcBorders>
          </w:tcPr>
          <w:p>
            <w:pPr>
              <w:rPr>
                <w:rFonts w:ascii="Arial"/>
                <w:sz w:val="21"/>
              </w:rPr>
            </w:pPr>
            <w:r/>
          </w:p>
        </w:tc>
      </w:tr>
      <w:tr>
        <w:trPr>
          <w:trHeight w:val="331" w:hRule="atLeast"/>
        </w:trPr>
        <w:tc>
          <w:tcPr>
            <w:tcW w:w="1194" w:type="dxa"/>
            <w:vAlign w:val="top"/>
            <w:vMerge w:val="restart"/>
            <w:tcBorders>
              <w:left w:val="nil"/>
              <w:bottom w:val="nil"/>
            </w:tcBorders>
          </w:tcPr>
          <w:p>
            <w:pPr>
              <w:ind w:left="548"/>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575" w:type="dxa"/>
            <w:vAlign w:val="top"/>
          </w:tcPr>
          <w:p>
            <w:pPr>
              <w:pStyle w:val="TableText"/>
              <w:ind w:left="589"/>
              <w:spacing w:before="67" w:line="231" w:lineRule="auto"/>
              <w:rPr/>
            </w:pPr>
            <w:r>
              <w:rPr>
                <w:spacing w:val="1"/>
              </w:rPr>
              <w:t>顶板</w:t>
            </w:r>
          </w:p>
        </w:tc>
        <w:tc>
          <w:tcPr>
            <w:tcW w:w="2395" w:type="dxa"/>
            <w:vAlign w:val="top"/>
          </w:tcPr>
          <w:p>
            <w:pPr>
              <w:ind w:left="76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1.72-19.30</w:t>
            </w:r>
          </w:p>
        </w:tc>
        <w:tc>
          <w:tcPr>
            <w:tcW w:w="1527" w:type="dxa"/>
            <w:vAlign w:val="top"/>
          </w:tcPr>
          <w:p>
            <w:pPr>
              <w:ind w:left="54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10.51</w:t>
            </w:r>
          </w:p>
        </w:tc>
        <w:tc>
          <w:tcPr>
            <w:tcW w:w="1831" w:type="dxa"/>
            <w:vAlign w:val="top"/>
            <w:tcBorders>
              <w:right w:val="nil"/>
            </w:tcBorders>
          </w:tcPr>
          <w:p>
            <w:pPr>
              <w:rPr>
                <w:rFonts w:ascii="Arial"/>
                <w:sz w:val="21"/>
              </w:rPr>
            </w:pPr>
            <w:r/>
          </w:p>
        </w:tc>
      </w:tr>
      <w:tr>
        <w:trPr>
          <w:trHeight w:val="331" w:hRule="atLeast"/>
        </w:trPr>
        <w:tc>
          <w:tcPr>
            <w:tcW w:w="1194" w:type="dxa"/>
            <w:vAlign w:val="top"/>
            <w:vMerge w:val="continue"/>
            <w:tcBorders>
              <w:left w:val="nil"/>
              <w:top w:val="nil"/>
            </w:tcBorders>
          </w:tcPr>
          <w:p>
            <w:pPr>
              <w:rPr>
                <w:rFonts w:ascii="Arial"/>
                <w:sz w:val="21"/>
              </w:rPr>
            </w:pPr>
            <w:r/>
          </w:p>
        </w:tc>
        <w:tc>
          <w:tcPr>
            <w:tcW w:w="1575" w:type="dxa"/>
            <w:vAlign w:val="top"/>
          </w:tcPr>
          <w:p>
            <w:pPr>
              <w:pStyle w:val="TableText"/>
              <w:ind w:left="590"/>
              <w:spacing w:before="72" w:line="229" w:lineRule="auto"/>
              <w:rPr/>
            </w:pPr>
            <w:r>
              <w:rPr/>
              <w:t>底板</w:t>
            </w:r>
          </w:p>
        </w:tc>
        <w:tc>
          <w:tcPr>
            <w:tcW w:w="2395" w:type="dxa"/>
            <w:vAlign w:val="top"/>
          </w:tcPr>
          <w:p>
            <w:pPr>
              <w:ind w:left="816"/>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1.63-1.99</w:t>
            </w:r>
          </w:p>
        </w:tc>
        <w:tc>
          <w:tcPr>
            <w:tcW w:w="1527" w:type="dxa"/>
            <w:vAlign w:val="top"/>
          </w:tcPr>
          <w:p>
            <w:pPr>
              <w:ind w:left="60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1.81</w:t>
            </w:r>
          </w:p>
        </w:tc>
        <w:tc>
          <w:tcPr>
            <w:tcW w:w="1831" w:type="dxa"/>
            <w:vAlign w:val="top"/>
            <w:tcBorders>
              <w:right w:val="nil"/>
            </w:tcBorders>
          </w:tcPr>
          <w:p>
            <w:pPr>
              <w:rPr>
                <w:rFonts w:ascii="Arial"/>
                <w:sz w:val="21"/>
              </w:rPr>
            </w:pPr>
            <w:r/>
          </w:p>
        </w:tc>
      </w:tr>
      <w:tr>
        <w:trPr>
          <w:trHeight w:val="331" w:hRule="atLeast"/>
        </w:trPr>
        <w:tc>
          <w:tcPr>
            <w:tcW w:w="1194" w:type="dxa"/>
            <w:vAlign w:val="top"/>
            <w:vMerge w:val="restart"/>
            <w:tcBorders>
              <w:bottom w:val="nil"/>
              <w:left w:val="nil"/>
            </w:tcBorders>
          </w:tcPr>
          <w:p>
            <w:pPr>
              <w:ind w:left="516"/>
              <w:spacing w:before="2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575" w:type="dxa"/>
            <w:vAlign w:val="top"/>
          </w:tcPr>
          <w:p>
            <w:pPr>
              <w:pStyle w:val="TableText"/>
              <w:ind w:left="589"/>
              <w:spacing w:before="77" w:line="225" w:lineRule="auto"/>
              <w:rPr/>
            </w:pPr>
            <w:r>
              <w:rPr>
                <w:spacing w:val="1"/>
              </w:rPr>
              <w:t>顶板</w:t>
            </w:r>
          </w:p>
        </w:tc>
        <w:tc>
          <w:tcPr>
            <w:tcW w:w="2395" w:type="dxa"/>
            <w:vAlign w:val="top"/>
          </w:tcPr>
          <w:p>
            <w:pPr>
              <w:ind w:left="816"/>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1.85-2.05</w:t>
            </w:r>
          </w:p>
        </w:tc>
        <w:tc>
          <w:tcPr>
            <w:tcW w:w="1527" w:type="dxa"/>
            <w:vAlign w:val="top"/>
          </w:tcPr>
          <w:p>
            <w:pPr>
              <w:ind w:left="601"/>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1.95</w:t>
            </w:r>
          </w:p>
        </w:tc>
        <w:tc>
          <w:tcPr>
            <w:tcW w:w="1831" w:type="dxa"/>
            <w:vAlign w:val="top"/>
            <w:tcBorders>
              <w:right w:val="nil"/>
            </w:tcBorders>
          </w:tcPr>
          <w:p>
            <w:pPr>
              <w:rPr>
                <w:rFonts w:ascii="Arial"/>
                <w:sz w:val="21"/>
              </w:rPr>
            </w:pPr>
            <w:r/>
          </w:p>
        </w:tc>
      </w:tr>
      <w:tr>
        <w:trPr>
          <w:trHeight w:val="354" w:hRule="atLeast"/>
        </w:trPr>
        <w:tc>
          <w:tcPr>
            <w:tcW w:w="1194" w:type="dxa"/>
            <w:vAlign w:val="top"/>
            <w:vMerge w:val="continue"/>
            <w:tcBorders>
              <w:bottom w:val="single" w:color="000000" w:sz="10" w:space="0"/>
              <w:left w:val="nil"/>
              <w:top w:val="nil"/>
            </w:tcBorders>
          </w:tcPr>
          <w:p>
            <w:pPr>
              <w:rPr>
                <w:rFonts w:ascii="Arial"/>
                <w:sz w:val="21"/>
              </w:rPr>
            </w:pPr>
            <w:r/>
          </w:p>
        </w:tc>
        <w:tc>
          <w:tcPr>
            <w:tcW w:w="1575" w:type="dxa"/>
            <w:vAlign w:val="top"/>
            <w:tcBorders>
              <w:bottom w:val="single" w:color="000000" w:sz="10" w:space="0"/>
            </w:tcBorders>
          </w:tcPr>
          <w:p>
            <w:pPr>
              <w:pStyle w:val="TableText"/>
              <w:ind w:left="590"/>
              <w:spacing w:before="79" w:line="231" w:lineRule="auto"/>
              <w:rPr/>
            </w:pPr>
            <w:r>
              <w:rPr/>
              <w:t>底板</w:t>
            </w:r>
          </w:p>
        </w:tc>
        <w:tc>
          <w:tcPr>
            <w:tcW w:w="2395" w:type="dxa"/>
            <w:vAlign w:val="top"/>
            <w:tcBorders>
              <w:bottom w:val="single" w:color="000000" w:sz="10" w:space="0"/>
            </w:tcBorders>
          </w:tcPr>
          <w:p>
            <w:pPr>
              <w:ind w:left="816"/>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1.82-1.91</w:t>
            </w:r>
          </w:p>
        </w:tc>
        <w:tc>
          <w:tcPr>
            <w:tcW w:w="1527" w:type="dxa"/>
            <w:vAlign w:val="top"/>
            <w:tcBorders>
              <w:bottom w:val="single" w:color="000000" w:sz="10" w:space="0"/>
            </w:tcBorders>
          </w:tcPr>
          <w:p>
            <w:pPr>
              <w:ind w:left="601"/>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1.87</w:t>
            </w:r>
          </w:p>
        </w:tc>
        <w:tc>
          <w:tcPr>
            <w:tcW w:w="1831" w:type="dxa"/>
            <w:vAlign w:val="top"/>
            <w:tcBorders>
              <w:bottom w:val="single" w:color="000000" w:sz="10" w:space="0"/>
              <w:right w:val="nil"/>
            </w:tcBorders>
          </w:tcPr>
          <w:p>
            <w:pPr>
              <w:rPr>
                <w:rFonts w:ascii="Arial"/>
                <w:sz w:val="21"/>
              </w:rPr>
            </w:pPr>
            <w:r/>
          </w:p>
        </w:tc>
      </w:tr>
    </w:tbl>
    <w:p>
      <w:pPr>
        <w:pStyle w:val="BodyText"/>
        <w:spacing w:line="371" w:lineRule="auto"/>
        <w:rPr/>
      </w:pPr>
      <w:r/>
    </w:p>
    <w:p>
      <w:pPr>
        <w:ind w:left="26" w:right="76" w:firstLine="480"/>
        <w:spacing w:before="78" w:line="358" w:lineRule="auto"/>
        <w:rPr>
          <w:rFonts w:ascii="FangSong" w:hAnsi="FangSong" w:eastAsia="FangSong" w:cs="FangSong"/>
          <w:sz w:val="24"/>
          <w:szCs w:val="24"/>
        </w:rPr>
      </w:pPr>
      <w:r>
        <w:rPr>
          <w:rFonts w:ascii="FangSong" w:hAnsi="FangSong" w:eastAsia="FangSong" w:cs="FangSong"/>
          <w:sz w:val="24"/>
          <w:szCs w:val="24"/>
          <w:spacing w:val="-1"/>
        </w:rPr>
        <w:t>从表</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1"/>
        </w:rPr>
        <w:t>4.3-4</w:t>
      </w:r>
      <w:r>
        <w:rPr>
          <w:rFonts w:ascii="Times New Roman" w:hAnsi="Times New Roman" w:eastAsia="Times New Roman" w:cs="Times New Roman"/>
          <w:sz w:val="24"/>
          <w:szCs w:val="24"/>
          <w:spacing w:val="52"/>
        </w:rPr>
        <w:t xml:space="preserve"> </w:t>
      </w:r>
      <w:r>
        <w:rPr>
          <w:rFonts w:ascii="FangSong" w:hAnsi="FangSong" w:eastAsia="FangSong" w:cs="FangSong"/>
          <w:sz w:val="24"/>
          <w:szCs w:val="24"/>
          <w:spacing w:val="-1"/>
        </w:rPr>
        <w:t>中可以看出，矿体顶底板的</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CaF</w:t>
      </w:r>
      <w:r>
        <w:rPr>
          <w:rFonts w:ascii="Times New Roman" w:hAnsi="Times New Roman" w:eastAsia="Times New Roman" w:cs="Times New Roman"/>
          <w:sz w:val="15"/>
          <w:szCs w:val="15"/>
          <w:spacing w:val="-1"/>
          <w:position w:val="-1"/>
        </w:rPr>
        <w:t>2</w:t>
      </w:r>
      <w:r>
        <w:rPr>
          <w:rFonts w:ascii="Times New Roman" w:hAnsi="Times New Roman" w:eastAsia="Times New Roman" w:cs="Times New Roman"/>
          <w:sz w:val="15"/>
          <w:szCs w:val="15"/>
          <w:spacing w:val="20"/>
          <w:w w:val="101"/>
          <w:position w:val="-1"/>
        </w:rPr>
        <w:t xml:space="preserve"> </w:t>
      </w:r>
      <w:r>
        <w:rPr>
          <w:rFonts w:ascii="FangSong" w:hAnsi="FangSong" w:eastAsia="FangSong" w:cs="FangSong"/>
          <w:sz w:val="24"/>
          <w:szCs w:val="24"/>
          <w:spacing w:val="-1"/>
        </w:rPr>
        <w:t>含量除少数具有一定的矿化外</w:t>
      </w:r>
      <w:r>
        <w:rPr>
          <w:rFonts w:ascii="FangSong" w:hAnsi="FangSong" w:eastAsia="FangSong" w:cs="FangSong"/>
          <w:sz w:val="24"/>
          <w:szCs w:val="24"/>
          <w:spacing w:val="-2"/>
        </w:rPr>
        <w:t>，多</w:t>
      </w:r>
      <w:r>
        <w:rPr>
          <w:rFonts w:ascii="FangSong" w:hAnsi="FangSong" w:eastAsia="FangSong" w:cs="FangSong"/>
          <w:sz w:val="24"/>
          <w:szCs w:val="24"/>
          <w:spacing w:val="-1"/>
        </w:rPr>
        <w:t>数矿化较弱，厚度较小不能单独圈定为矿体。</w:t>
      </w:r>
    </w:p>
    <w:p>
      <w:pPr>
        <w:ind w:left="16"/>
        <w:spacing w:before="2"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4.3.2.5  </w:t>
      </w:r>
      <w:r>
        <w:rPr>
          <w:rFonts w:ascii="FangSong" w:hAnsi="FangSong" w:eastAsia="FangSong" w:cs="FangSong"/>
          <w:sz w:val="24"/>
          <w:szCs w:val="24"/>
          <w:b/>
          <w:bCs/>
          <w:spacing w:val="-2"/>
        </w:rPr>
        <w:t>本项目（床）内共（伴）生矿产情况</w:t>
      </w:r>
    </w:p>
    <w:p>
      <w:pPr>
        <w:ind w:left="511"/>
        <w:spacing w:before="177"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）矿床共（伴）生矿产情况</w:t>
      </w:r>
    </w:p>
    <w:p>
      <w:pPr>
        <w:ind w:left="14" w:firstLine="492"/>
        <w:spacing w:before="179" w:line="359" w:lineRule="auto"/>
        <w:rPr>
          <w:rFonts w:ascii="FangSong" w:hAnsi="FangSong" w:eastAsia="FangSong" w:cs="FangSong"/>
          <w:sz w:val="24"/>
          <w:szCs w:val="24"/>
        </w:rPr>
      </w:pPr>
      <w:r>
        <w:rPr>
          <w:rFonts w:ascii="FangSong" w:hAnsi="FangSong" w:eastAsia="FangSong" w:cs="FangSong"/>
          <w:sz w:val="24"/>
          <w:szCs w:val="24"/>
          <w:spacing w:val="1"/>
        </w:rPr>
        <w:t>根据《内蒙古自治区苏尼特右旗桑宝力嘎额尔登塔拉矿区萤石矿资源储量核实</w:t>
      </w:r>
      <w:r>
        <w:rPr>
          <w:rFonts w:ascii="FangSong" w:hAnsi="FangSong" w:eastAsia="FangSong" w:cs="FangSong"/>
          <w:sz w:val="24"/>
          <w:szCs w:val="24"/>
          <w:spacing w:val="2"/>
        </w:rPr>
        <w:t>报告》，矿体中有用矿物主要为萤石，脉石矿物为石英、碳酸盐及少量的氧化铁，</w:t>
      </w:r>
      <w:r>
        <w:rPr>
          <w:rFonts w:ascii="FangSong" w:hAnsi="FangSong" w:eastAsia="FangSong" w:cs="FangSong"/>
          <w:sz w:val="24"/>
          <w:szCs w:val="24"/>
          <w:spacing w:val="3"/>
        </w:rPr>
        <w:t>光片鉴定矿石中仅有极少量的金属矿物。有用组成</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CaF</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15"/>
          <w:szCs w:val="15"/>
          <w:spacing w:val="27"/>
          <w:w w:val="101"/>
          <w:position w:val="-1"/>
        </w:rPr>
        <w:t xml:space="preserve"> </w:t>
      </w:r>
      <w:r>
        <w:rPr>
          <w:rFonts w:ascii="FangSong" w:hAnsi="FangSong" w:eastAsia="FangSong" w:cs="FangSong"/>
          <w:sz w:val="24"/>
          <w:szCs w:val="24"/>
          <w:spacing w:val="3"/>
        </w:rPr>
        <w:t>含量</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33.61-62</w:t>
      </w:r>
      <w:r>
        <w:rPr>
          <w:rFonts w:ascii="Times New Roman" w:hAnsi="Times New Roman" w:eastAsia="Times New Roman" w:cs="Times New Roman"/>
          <w:sz w:val="24"/>
          <w:szCs w:val="24"/>
          <w:spacing w:val="2"/>
        </w:rPr>
        <w:t>.76%</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，平均</w:t>
      </w:r>
      <w:r>
        <w:rPr>
          <w:rFonts w:ascii="Times New Roman" w:hAnsi="Times New Roman" w:eastAsia="Times New Roman" w:cs="Times New Roman"/>
          <w:sz w:val="24"/>
          <w:szCs w:val="24"/>
          <w:spacing w:val="-12"/>
        </w:rPr>
        <w:t>47.76%</w:t>
      </w:r>
      <w:r>
        <w:rPr>
          <w:rFonts w:ascii="FangSong" w:hAnsi="FangSong" w:eastAsia="FangSong" w:cs="FangSong"/>
          <w:sz w:val="24"/>
          <w:szCs w:val="24"/>
          <w:spacing w:val="-12"/>
        </w:rPr>
        <w:t>。其它有用组份：</w:t>
      </w:r>
      <w:r>
        <w:rPr>
          <w:rFonts w:ascii="Times New Roman" w:hAnsi="Times New Roman" w:eastAsia="Times New Roman" w:cs="Times New Roman"/>
          <w:sz w:val="24"/>
          <w:szCs w:val="24"/>
          <w:spacing w:val="-12"/>
        </w:rPr>
        <w:t>Li</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0.003-0.006</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Cu</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0.004</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Zn</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0.009-0.025</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Sn</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0.001-0.011</w:t>
      </w:r>
      <w:r>
        <w:rPr>
          <w:rFonts w:ascii="FangSong" w:hAnsi="FangSong" w:eastAsia="FangSong" w:cs="FangSong"/>
          <w:sz w:val="24"/>
          <w:szCs w:val="24"/>
          <w:spacing w:val="-1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5"/>
        </w:rPr>
        <w:t>Sb</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0.032-0.048</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5"/>
        </w:rPr>
        <w:t>均达不到共伴生综合利用标准，可被工业利用的矿物为单一的</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CaF</w:t>
      </w:r>
      <w:r>
        <w:rPr>
          <w:rFonts w:ascii="Times New Roman" w:hAnsi="Times New Roman" w:eastAsia="Times New Roman" w:cs="Times New Roman"/>
          <w:sz w:val="15"/>
          <w:szCs w:val="15"/>
          <w:spacing w:val="-5"/>
          <w:position w:val="-1"/>
        </w:rPr>
        <w:t>2</w:t>
      </w:r>
      <w:r>
        <w:rPr>
          <w:rFonts w:ascii="FangSong" w:hAnsi="FangSong" w:eastAsia="FangSong" w:cs="FangSong"/>
          <w:sz w:val="24"/>
          <w:szCs w:val="24"/>
          <w:spacing w:val="-5"/>
        </w:rPr>
        <w:t>，</w:t>
      </w:r>
      <w:r>
        <w:rPr>
          <w:rFonts w:ascii="FangSong" w:hAnsi="FangSong" w:eastAsia="FangSong" w:cs="FangSong"/>
          <w:sz w:val="24"/>
          <w:szCs w:val="24"/>
          <w:spacing w:val="-1"/>
        </w:rPr>
        <w:t>故矿床属单一组份的萤石矿体。</w:t>
      </w:r>
    </w:p>
    <w:p>
      <w:pPr>
        <w:ind w:left="511"/>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）本项目放射性测量情况</w:t>
      </w:r>
    </w:p>
    <w:p>
      <w:pPr>
        <w:ind w:left="26" w:right="74" w:firstLine="480"/>
        <w:spacing w:before="181" w:line="359" w:lineRule="auto"/>
        <w:rPr>
          <w:rFonts w:ascii="FangSong" w:hAnsi="FangSong" w:eastAsia="FangSong" w:cs="FangSong"/>
          <w:sz w:val="24"/>
          <w:szCs w:val="24"/>
        </w:rPr>
      </w:pPr>
      <w:r>
        <w:rPr>
          <w:rFonts w:ascii="FangSong" w:hAnsi="FangSong" w:eastAsia="FangSong" w:cs="FangSong"/>
          <w:sz w:val="24"/>
          <w:szCs w:val="24"/>
          <w:spacing w:val="1"/>
        </w:rPr>
        <w:t>根据《内蒙古自治区苏尼特右旗桑宝力嘎额尔登塔拉矿区萤石矿资源储量核实</w:t>
      </w:r>
      <w:r>
        <w:rPr>
          <w:rFonts w:ascii="FangSong" w:hAnsi="FangSong" w:eastAsia="FangSong" w:cs="FangSong"/>
          <w:sz w:val="24"/>
          <w:szCs w:val="24"/>
          <w:spacing w:val="1"/>
        </w:rPr>
        <w:t>报告》，为查明本项目内萤石矿体放射性对开采及环境影响，在矿体及其两侧周围</w:t>
      </w:r>
      <w:r>
        <w:rPr>
          <w:rFonts w:ascii="FangSong" w:hAnsi="FangSong" w:eastAsia="FangSong" w:cs="FangSong"/>
          <w:sz w:val="24"/>
          <w:szCs w:val="24"/>
          <w:spacing w:val="1"/>
        </w:rPr>
        <w:t>露头较好的地段，布设立两条地面伽玛测量剖面。测量采用上海申核电子仪器有限</w:t>
      </w:r>
      <w:r>
        <w:rPr>
          <w:rFonts w:ascii="FangSong" w:hAnsi="FangSong" w:eastAsia="FangSong" w:cs="FangSong"/>
          <w:sz w:val="24"/>
          <w:szCs w:val="24"/>
          <w:spacing w:val="-4"/>
        </w:rPr>
        <w:t>公司生产的</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4"/>
        </w:rPr>
        <w:t>FD-3013</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数字伽玛辐射仪，仪器在国防科</w:t>
      </w:r>
      <w:r>
        <w:rPr>
          <w:rFonts w:ascii="FangSong" w:hAnsi="FangSong" w:eastAsia="FangSong" w:cs="FangSong"/>
          <w:sz w:val="24"/>
          <w:szCs w:val="24"/>
          <w:spacing w:val="-5"/>
        </w:rPr>
        <w:t>技工业</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1313</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5"/>
        </w:rPr>
        <w:t>二级计量站进行了</w:t>
      </w:r>
      <w:r>
        <w:rPr>
          <w:rFonts w:ascii="FangSong" w:hAnsi="FangSong" w:eastAsia="FangSong" w:cs="FangSong"/>
          <w:sz w:val="24"/>
          <w:szCs w:val="24"/>
          <w:spacing w:val="-2"/>
        </w:rPr>
        <w:t>计量检定，检定合格。</w:t>
      </w:r>
    </w:p>
    <w:p>
      <w:pPr>
        <w:ind w:left="537"/>
        <w:spacing w:before="1" w:line="220" w:lineRule="auto"/>
        <w:rPr>
          <w:rFonts w:ascii="FangSong" w:hAnsi="FangSong" w:eastAsia="FangSong" w:cs="FangSong"/>
          <w:sz w:val="24"/>
          <w:szCs w:val="24"/>
        </w:rPr>
      </w:pPr>
      <w:r>
        <w:rPr>
          <w:rFonts w:ascii="FangSong" w:hAnsi="FangSong" w:eastAsia="FangSong" w:cs="FangSong"/>
          <w:sz w:val="24"/>
          <w:szCs w:val="24"/>
        </w:rPr>
        <w:t>由《内蒙古自治区苏尼特右旗桑宝力嘎额尔登塔拉矿区萤石矿资源储量核实报</w:t>
      </w:r>
    </w:p>
    <w:p>
      <w:pPr>
        <w:spacing w:line="220" w:lineRule="auto"/>
        <w:sectPr>
          <w:footerReference w:type="default" r:id="rId117"/>
          <w:pgSz w:w="11911" w:h="16839"/>
          <w:pgMar w:top="400" w:right="1341" w:bottom="1146" w:left="1786" w:header="0" w:footer="984" w:gutter="0"/>
        </w:sectPr>
        <w:rPr>
          <w:rFonts w:ascii="FangSong" w:hAnsi="FangSong" w:eastAsia="FangSong" w:cs="FangSong"/>
          <w:sz w:val="24"/>
          <w:szCs w:val="24"/>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ind w:left="24" w:firstLine="2"/>
        <w:spacing w:before="78" w:line="359" w:lineRule="auto"/>
        <w:rPr>
          <w:rFonts w:ascii="FangSong" w:hAnsi="FangSong" w:eastAsia="FangSong" w:cs="FangSong"/>
          <w:sz w:val="24"/>
          <w:szCs w:val="24"/>
        </w:rPr>
      </w:pPr>
      <w:r>
        <w:rPr>
          <w:rFonts w:ascii="FangSong" w:hAnsi="FangSong" w:eastAsia="FangSong" w:cs="FangSong"/>
          <w:sz w:val="24"/>
          <w:szCs w:val="24"/>
          <w:spacing w:val="-5"/>
        </w:rPr>
        <w:t>告》可知，本项目萤石矿体剖面按</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5"/>
        </w:rPr>
        <w:t>10m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点距进行了伽玛测量，共测量</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24</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5"/>
        </w:rPr>
        <w:t>个点，</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5"/>
        </w:rPr>
        <w:t>条</w:t>
      </w:r>
      <w:r>
        <w:rPr>
          <w:rFonts w:ascii="FangSong" w:hAnsi="FangSong" w:eastAsia="FangSong" w:cs="FangSong"/>
          <w:sz w:val="24"/>
          <w:szCs w:val="24"/>
          <w:spacing w:val="-1"/>
        </w:rPr>
        <w:t>剖面都穿过矿体及围岩，测试结果（表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4.3-5</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4.3-1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、图</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4.3-2</w:t>
      </w:r>
      <w:r>
        <w:rPr>
          <w:rFonts w:ascii="FangSong" w:hAnsi="FangSong" w:eastAsia="FangSong" w:cs="FangSong"/>
          <w:sz w:val="24"/>
          <w:szCs w:val="24"/>
          <w:spacing w:val="-1"/>
        </w:rPr>
        <w:t>）表明，</w:t>
      </w:r>
      <w:r>
        <w:rPr>
          <w:rFonts w:ascii="FangSong" w:hAnsi="FangSong" w:eastAsia="FangSong" w:cs="FangSong"/>
          <w:sz w:val="24"/>
          <w:szCs w:val="24"/>
          <w:spacing w:val="-2"/>
        </w:rPr>
        <w:t>矿体及围</w:t>
      </w:r>
      <w:r>
        <w:rPr>
          <w:rFonts w:ascii="FangSong" w:hAnsi="FangSong" w:eastAsia="FangSong" w:cs="FangSong"/>
          <w:sz w:val="24"/>
          <w:szCs w:val="24"/>
          <w:spacing w:val="-4"/>
        </w:rPr>
        <w:t>岩的伽玛照射量率平均值为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4"/>
        </w:rPr>
        <w:t>3.48μC</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kg</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h</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变化范围为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2.98-4.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13×10</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24"/>
          <w:szCs w:val="24"/>
          <w:spacing w:val="-4"/>
        </w:rPr>
        <w:t>μC</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kg</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h</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w:t>
      </w:r>
      <w:r>
        <w:rPr>
          <w:rFonts w:ascii="FangSong" w:hAnsi="FangSong" w:eastAsia="FangSong" w:cs="FangSong"/>
          <w:sz w:val="24"/>
          <w:szCs w:val="24"/>
          <w:spacing w:val="1"/>
        </w:rPr>
        <w:t>矿体及围岩伽玛照射量率都较低，无明显异常，且低于国家《天然石材产品放射防</w:t>
      </w:r>
      <w:r>
        <w:rPr>
          <w:rFonts w:ascii="FangSong" w:hAnsi="FangSong" w:eastAsia="FangSong" w:cs="FangSong"/>
          <w:sz w:val="24"/>
          <w:szCs w:val="24"/>
          <w:spacing w:val="-3"/>
        </w:rPr>
        <w:t>护分类控制标准》（</w:t>
      </w:r>
      <w:r>
        <w:rPr>
          <w:rFonts w:ascii="Times New Roman" w:hAnsi="Times New Roman" w:eastAsia="Times New Roman" w:cs="Times New Roman"/>
          <w:sz w:val="24"/>
          <w:szCs w:val="24"/>
          <w:spacing w:val="-3"/>
        </w:rPr>
        <w:t>JC518-93</w:t>
      </w:r>
      <w:r>
        <w:rPr>
          <w:rFonts w:ascii="FangSong" w:hAnsi="FangSong" w:eastAsia="FangSong" w:cs="FangSong"/>
          <w:sz w:val="24"/>
          <w:szCs w:val="24"/>
          <w:spacing w:val="-3"/>
        </w:rPr>
        <w:t>）规定的</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5.2×10</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24"/>
          <w:szCs w:val="24"/>
          <w:spacing w:val="-3"/>
        </w:rPr>
        <w:t>μC</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kg</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h</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，实测区内矿体及</w:t>
      </w:r>
      <w:r>
        <w:rPr>
          <w:rFonts w:ascii="FangSong" w:hAnsi="FangSong" w:eastAsia="FangSong" w:cs="FangSong"/>
          <w:sz w:val="24"/>
          <w:szCs w:val="24"/>
          <w:spacing w:val="-4"/>
        </w:rPr>
        <w:t>围岩放</w:t>
      </w:r>
      <w:r>
        <w:rPr>
          <w:rFonts w:ascii="FangSong" w:hAnsi="FangSong" w:eastAsia="FangSong" w:cs="FangSong"/>
          <w:sz w:val="24"/>
          <w:szCs w:val="24"/>
          <w:spacing w:val="-5"/>
        </w:rPr>
        <w:t>射性强度属于正常范围，对人体危害程度较小。后又在本项目</w:t>
      </w:r>
      <w:r>
        <w:rPr>
          <w:rFonts w:ascii="FangSong" w:hAnsi="FangSong" w:eastAsia="FangSong" w:cs="FangSong"/>
          <w:sz w:val="24"/>
          <w:szCs w:val="24"/>
          <w:spacing w:val="-6"/>
        </w:rPr>
        <w:t>控制</w:t>
      </w:r>
      <w:r>
        <w:rPr>
          <w:rFonts w:ascii="Times New Roman" w:hAnsi="Times New Roman" w:eastAsia="Times New Roman" w:cs="Times New Roman"/>
          <w:sz w:val="24"/>
          <w:szCs w:val="24"/>
          <w:spacing w:val="-6"/>
        </w:rPr>
        <w:t>9 </w:t>
      </w:r>
      <w:r>
        <w:rPr>
          <w:rFonts w:ascii="FangSong" w:hAnsi="FangSong" w:eastAsia="FangSong" w:cs="FangSong"/>
          <w:sz w:val="24"/>
          <w:szCs w:val="24"/>
          <w:spacing w:val="-6"/>
        </w:rPr>
        <w:t>号矿体的</w:t>
      </w:r>
      <w:r>
        <w:rPr>
          <w:rFonts w:ascii="Times New Roman" w:hAnsi="Times New Roman" w:eastAsia="Times New Roman" w:cs="Times New Roman"/>
          <w:sz w:val="24"/>
          <w:szCs w:val="24"/>
          <w:spacing w:val="-6"/>
        </w:rPr>
        <w:t>ZK5005</w:t>
      </w:r>
      <w:r>
        <w:rPr>
          <w:rFonts w:ascii="FangSong" w:hAnsi="FangSong" w:eastAsia="FangSong" w:cs="FangSong"/>
          <w:sz w:val="24"/>
          <w:szCs w:val="24"/>
          <w:spacing w:val="-4"/>
        </w:rPr>
        <w:t>钻孔中采取了</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件矿石样品进行了放射性核素分析，</w:t>
      </w:r>
      <w:r>
        <w:rPr>
          <w:rFonts w:ascii="FangSong" w:hAnsi="FangSong" w:eastAsia="FangSong" w:cs="FangSong"/>
          <w:sz w:val="24"/>
          <w:szCs w:val="24"/>
          <w:spacing w:val="-5"/>
        </w:rPr>
        <w:t>采用放射化学的方法测定镭</w:t>
      </w:r>
      <w:r>
        <w:rPr>
          <w:rFonts w:ascii="Times New Roman" w:hAnsi="Times New Roman" w:eastAsia="Times New Roman" w:cs="Times New Roman"/>
          <w:sz w:val="24"/>
          <w:szCs w:val="24"/>
          <w:spacing w:val="-5"/>
        </w:rPr>
        <w:t>-226</w:t>
      </w:r>
      <w:r>
        <w:rPr>
          <w:rFonts w:ascii="Times New Roman" w:hAnsi="Times New Roman" w:eastAsia="Times New Roman" w:cs="Times New Roman"/>
          <w:sz w:val="24"/>
          <w:szCs w:val="24"/>
        </w:rPr>
        <w:t xml:space="preserve"> </w:t>
      </w:r>
      <w:r>
        <w:rPr>
          <w:rFonts w:ascii="FangSong" w:hAnsi="FangSong" w:eastAsia="FangSong" w:cs="FangSong"/>
          <w:sz w:val="24"/>
          <w:szCs w:val="24"/>
          <w:spacing w:val="-6"/>
        </w:rPr>
        <w:t>（</w:t>
      </w:r>
      <w:r>
        <w:rPr>
          <w:rFonts w:ascii="Times New Roman" w:hAnsi="Times New Roman" w:eastAsia="Times New Roman" w:cs="Times New Roman"/>
          <w:sz w:val="15"/>
          <w:szCs w:val="15"/>
          <w:spacing w:val="-6"/>
          <w:position w:val="7"/>
        </w:rPr>
        <w:t>226</w:t>
      </w:r>
      <w:r>
        <w:rPr>
          <w:rFonts w:ascii="Times New Roman" w:hAnsi="Times New Roman" w:eastAsia="Times New Roman" w:cs="Times New Roman"/>
          <w:sz w:val="24"/>
          <w:szCs w:val="24"/>
          <w:spacing w:val="-6"/>
        </w:rPr>
        <w:t>Ra</w:t>
      </w:r>
      <w:r>
        <w:rPr>
          <w:rFonts w:ascii="FangSong" w:hAnsi="FangSong" w:eastAsia="FangSong" w:cs="FangSong"/>
          <w:sz w:val="24"/>
          <w:szCs w:val="24"/>
          <w:spacing w:val="-6"/>
        </w:rPr>
        <w:t>）、钍</w:t>
      </w:r>
      <w:r>
        <w:rPr>
          <w:rFonts w:ascii="Times New Roman" w:hAnsi="Times New Roman" w:eastAsia="Times New Roman" w:cs="Times New Roman"/>
          <w:sz w:val="24"/>
          <w:szCs w:val="24"/>
          <w:spacing w:val="-6"/>
        </w:rPr>
        <w:t>-232</w:t>
      </w:r>
      <w:r>
        <w:rPr>
          <w:rFonts w:ascii="FangSong" w:hAnsi="FangSong" w:eastAsia="FangSong" w:cs="FangSong"/>
          <w:sz w:val="24"/>
          <w:szCs w:val="24"/>
          <w:spacing w:val="-6"/>
        </w:rPr>
        <w:t>（</w:t>
      </w:r>
      <w:r>
        <w:rPr>
          <w:rFonts w:ascii="Times New Roman" w:hAnsi="Times New Roman" w:eastAsia="Times New Roman" w:cs="Times New Roman"/>
          <w:sz w:val="15"/>
          <w:szCs w:val="15"/>
          <w:spacing w:val="-6"/>
          <w:position w:val="7"/>
        </w:rPr>
        <w:t>232</w:t>
      </w:r>
      <w:r>
        <w:rPr>
          <w:rFonts w:ascii="Times New Roman" w:hAnsi="Times New Roman" w:eastAsia="Times New Roman" w:cs="Times New Roman"/>
          <w:sz w:val="24"/>
          <w:szCs w:val="24"/>
          <w:spacing w:val="-6"/>
        </w:rPr>
        <w:t>Th</w:t>
      </w:r>
      <w:r>
        <w:rPr>
          <w:rFonts w:ascii="FangSong" w:hAnsi="FangSong" w:eastAsia="FangSong" w:cs="FangSong"/>
          <w:sz w:val="24"/>
          <w:szCs w:val="24"/>
          <w:spacing w:val="-6"/>
        </w:rPr>
        <w:t>）、钾</w:t>
      </w:r>
      <w:r>
        <w:rPr>
          <w:rFonts w:ascii="Times New Roman" w:hAnsi="Times New Roman" w:eastAsia="Times New Roman" w:cs="Times New Roman"/>
          <w:sz w:val="24"/>
          <w:szCs w:val="24"/>
          <w:spacing w:val="-6"/>
        </w:rPr>
        <w:t>-40</w:t>
      </w:r>
      <w:r>
        <w:rPr>
          <w:rFonts w:ascii="FangSong" w:hAnsi="FangSong" w:eastAsia="FangSong" w:cs="FangSong"/>
          <w:sz w:val="24"/>
          <w:szCs w:val="24"/>
          <w:spacing w:val="-6"/>
        </w:rPr>
        <w:t>（</w:t>
      </w:r>
      <w:r>
        <w:rPr>
          <w:rFonts w:ascii="Times New Roman" w:hAnsi="Times New Roman" w:eastAsia="Times New Roman" w:cs="Times New Roman"/>
          <w:sz w:val="15"/>
          <w:szCs w:val="15"/>
          <w:spacing w:val="-6"/>
          <w:position w:val="7"/>
        </w:rPr>
        <w:t>40</w:t>
      </w:r>
      <w:r>
        <w:rPr>
          <w:rFonts w:ascii="Times New Roman" w:hAnsi="Times New Roman" w:eastAsia="Times New Roman" w:cs="Times New Roman"/>
          <w:sz w:val="24"/>
          <w:szCs w:val="24"/>
          <w:spacing w:val="-6"/>
        </w:rPr>
        <w:t>K</w:t>
      </w:r>
      <w:r>
        <w:rPr>
          <w:rFonts w:ascii="FangSong" w:hAnsi="FangSong" w:eastAsia="FangSong" w:cs="FangSong"/>
          <w:sz w:val="24"/>
          <w:szCs w:val="24"/>
          <w:spacing w:val="-6"/>
        </w:rPr>
        <w:t>）放射性核素的比活度，计算出镭当量浓度，</w:t>
      </w:r>
      <w:r>
        <w:rPr>
          <w:rFonts w:ascii="FangSong" w:hAnsi="FangSong" w:eastAsia="FangSong" w:cs="FangSong"/>
          <w:sz w:val="24"/>
          <w:szCs w:val="24"/>
          <w:spacing w:val="-2"/>
        </w:rPr>
        <w:t>按标准对矿体的放射性水平。</w:t>
      </w:r>
    </w:p>
    <w:p>
      <w:pPr>
        <w:ind w:left="19" w:right="62" w:firstLine="487"/>
        <w:spacing w:before="2" w:line="357" w:lineRule="auto"/>
        <w:jc w:val="both"/>
        <w:rPr>
          <w:rFonts w:ascii="FangSong" w:hAnsi="FangSong" w:eastAsia="FangSong" w:cs="FangSong"/>
          <w:sz w:val="24"/>
          <w:szCs w:val="24"/>
        </w:rPr>
      </w:pPr>
      <w:r>
        <w:rPr>
          <w:rFonts w:ascii="FangSong" w:hAnsi="FangSong" w:eastAsia="FangSong" w:cs="FangSong"/>
          <w:sz w:val="24"/>
          <w:szCs w:val="24"/>
          <w:spacing w:val="-1"/>
        </w:rPr>
        <w:t>经对矿石样品分析镭</w:t>
      </w:r>
      <w:r>
        <w:rPr>
          <w:rFonts w:ascii="Times New Roman" w:hAnsi="Times New Roman" w:eastAsia="Times New Roman" w:cs="Times New Roman"/>
          <w:sz w:val="24"/>
          <w:szCs w:val="24"/>
          <w:spacing w:val="-1"/>
        </w:rPr>
        <w:t>-226</w:t>
      </w:r>
      <w:r>
        <w:rPr>
          <w:rFonts w:ascii="FangSong" w:hAnsi="FangSong" w:eastAsia="FangSong" w:cs="FangSong"/>
          <w:sz w:val="24"/>
          <w:szCs w:val="24"/>
          <w:spacing w:val="-1"/>
        </w:rPr>
        <w:t>（</w:t>
      </w:r>
      <w:r>
        <w:rPr>
          <w:rFonts w:ascii="Times New Roman" w:hAnsi="Times New Roman" w:eastAsia="Times New Roman" w:cs="Times New Roman"/>
          <w:sz w:val="15"/>
          <w:szCs w:val="15"/>
          <w:spacing w:val="-1"/>
          <w:position w:val="7"/>
        </w:rPr>
        <w:t>226</w:t>
      </w:r>
      <w:r>
        <w:rPr>
          <w:rFonts w:ascii="Times New Roman" w:hAnsi="Times New Roman" w:eastAsia="Times New Roman" w:cs="Times New Roman"/>
          <w:sz w:val="24"/>
          <w:szCs w:val="24"/>
          <w:spacing w:val="-1"/>
        </w:rPr>
        <w:t>Ra</w:t>
      </w:r>
      <w:r>
        <w:rPr>
          <w:rFonts w:ascii="FangSong" w:hAnsi="FangSong" w:eastAsia="FangSong" w:cs="FangSong"/>
          <w:sz w:val="24"/>
          <w:szCs w:val="24"/>
          <w:spacing w:val="-1"/>
        </w:rPr>
        <w:t>）、钍</w:t>
      </w:r>
      <w:r>
        <w:rPr>
          <w:rFonts w:ascii="Times New Roman" w:hAnsi="Times New Roman" w:eastAsia="Times New Roman" w:cs="Times New Roman"/>
          <w:sz w:val="24"/>
          <w:szCs w:val="24"/>
          <w:spacing w:val="-1"/>
        </w:rPr>
        <w:t>-232</w:t>
      </w:r>
      <w:r>
        <w:rPr>
          <w:rFonts w:ascii="FangSong" w:hAnsi="FangSong" w:eastAsia="FangSong" w:cs="FangSong"/>
          <w:sz w:val="24"/>
          <w:szCs w:val="24"/>
          <w:spacing w:val="-1"/>
        </w:rPr>
        <w:t>（</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15"/>
          <w:szCs w:val="15"/>
          <w:spacing w:val="-2"/>
          <w:position w:val="7"/>
        </w:rPr>
        <w:t>32</w:t>
      </w:r>
      <w:r>
        <w:rPr>
          <w:rFonts w:ascii="Times New Roman" w:hAnsi="Times New Roman" w:eastAsia="Times New Roman" w:cs="Times New Roman"/>
          <w:sz w:val="24"/>
          <w:szCs w:val="24"/>
          <w:spacing w:val="-2"/>
        </w:rPr>
        <w:t>Th</w:t>
      </w:r>
      <w:r>
        <w:rPr>
          <w:rFonts w:ascii="FangSong" w:hAnsi="FangSong" w:eastAsia="FangSong" w:cs="FangSong"/>
          <w:sz w:val="24"/>
          <w:szCs w:val="24"/>
          <w:spacing w:val="-2"/>
        </w:rPr>
        <w:t>）、钾</w:t>
      </w:r>
      <w:r>
        <w:rPr>
          <w:rFonts w:ascii="Times New Roman" w:hAnsi="Times New Roman" w:eastAsia="Times New Roman" w:cs="Times New Roman"/>
          <w:sz w:val="24"/>
          <w:szCs w:val="24"/>
          <w:spacing w:val="-2"/>
        </w:rPr>
        <w:t>-40</w:t>
      </w:r>
      <w:r>
        <w:rPr>
          <w:rFonts w:ascii="FangSong" w:hAnsi="FangSong" w:eastAsia="FangSong" w:cs="FangSong"/>
          <w:sz w:val="24"/>
          <w:szCs w:val="24"/>
          <w:spacing w:val="-2"/>
        </w:rPr>
        <w:t>（</w:t>
      </w:r>
      <w:r>
        <w:rPr>
          <w:rFonts w:ascii="Times New Roman" w:hAnsi="Times New Roman" w:eastAsia="Times New Roman" w:cs="Times New Roman"/>
          <w:sz w:val="15"/>
          <w:szCs w:val="15"/>
          <w:spacing w:val="-2"/>
          <w:position w:val="7"/>
        </w:rPr>
        <w:t>40</w:t>
      </w:r>
      <w:r>
        <w:rPr>
          <w:rFonts w:ascii="Times New Roman" w:hAnsi="Times New Roman" w:eastAsia="Times New Roman" w:cs="Times New Roman"/>
          <w:sz w:val="24"/>
          <w:szCs w:val="24"/>
          <w:spacing w:val="-2"/>
        </w:rPr>
        <w:t>K</w:t>
      </w:r>
      <w:r>
        <w:rPr>
          <w:rFonts w:ascii="FangSong" w:hAnsi="FangSong" w:eastAsia="FangSong" w:cs="FangSong"/>
          <w:sz w:val="24"/>
          <w:szCs w:val="24"/>
          <w:spacing w:val="-2"/>
        </w:rPr>
        <w:t>）放射性核素</w:t>
      </w:r>
      <w:r>
        <w:rPr>
          <w:rFonts w:ascii="FangSong" w:hAnsi="FangSong" w:eastAsia="FangSong" w:cs="FangSong"/>
          <w:sz w:val="24"/>
          <w:szCs w:val="24"/>
          <w:spacing w:val="-6"/>
        </w:rPr>
        <w:t>的比活度，检测结果为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6"/>
        </w:rPr>
        <w:t>CRa=3.9 Bq</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kg</w:t>
      </w:r>
      <w:r>
        <w:rPr>
          <w:rFonts w:ascii="Times New Roman" w:hAnsi="Times New Roman" w:eastAsia="Times New Roman" w:cs="Times New Roman"/>
          <w:sz w:val="15"/>
          <w:szCs w:val="15"/>
          <w:spacing w:val="-6"/>
          <w:position w:val="7"/>
        </w:rPr>
        <w:t>-1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CTh=3.4Bq</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kg</w:t>
      </w:r>
      <w:r>
        <w:rPr>
          <w:rFonts w:ascii="Times New Roman" w:hAnsi="Times New Roman" w:eastAsia="Times New Roman" w:cs="Times New Roman"/>
          <w:sz w:val="15"/>
          <w:szCs w:val="15"/>
          <w:spacing w:val="-6"/>
          <w:position w:val="7"/>
        </w:rPr>
        <w:t>-1 </w:t>
      </w:r>
      <w:r>
        <w:rPr>
          <w:rFonts w:ascii="FangSong" w:hAnsi="FangSong" w:eastAsia="FangSong" w:cs="FangSong"/>
          <w:sz w:val="24"/>
          <w:szCs w:val="24"/>
          <w:spacing w:val="-6"/>
        </w:rPr>
        <w:t>、</w:t>
      </w:r>
      <w:r>
        <w:rPr>
          <w:rFonts w:ascii="Times New Roman" w:hAnsi="Times New Roman" w:eastAsia="Times New Roman" w:cs="Times New Roman"/>
          <w:sz w:val="24"/>
          <w:szCs w:val="24"/>
          <w:spacing w:val="-7"/>
        </w:rPr>
        <w:t>CK=</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7"/>
        </w:rPr>
        <w:t>124.8Bq</w:t>
      </w:r>
      <w:r>
        <w:rPr>
          <w:rFonts w:ascii="Times New Roman" w:hAnsi="Times New Roman" w:eastAsia="Times New Roman" w:cs="Times New Roman"/>
          <w:sz w:val="24"/>
          <w:szCs w:val="24"/>
          <w:spacing w:val="38"/>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kg</w:t>
      </w:r>
      <w:r>
        <w:rPr>
          <w:rFonts w:ascii="Times New Roman" w:hAnsi="Times New Roman" w:eastAsia="Times New Roman" w:cs="Times New Roman"/>
          <w:sz w:val="15"/>
          <w:szCs w:val="15"/>
          <w:spacing w:val="-7"/>
          <w:position w:val="7"/>
        </w:rPr>
        <w:t>-1 </w:t>
      </w:r>
      <w:r>
        <w:rPr>
          <w:rFonts w:ascii="FangSong" w:hAnsi="FangSong" w:eastAsia="FangSong" w:cs="FangSong"/>
          <w:sz w:val="24"/>
          <w:szCs w:val="24"/>
          <w:spacing w:val="-7"/>
        </w:rPr>
        <w:t>，</w:t>
      </w:r>
      <w:r>
        <w:rPr>
          <w:rFonts w:ascii="FangSong" w:hAnsi="FangSong" w:eastAsia="FangSong" w:cs="FangSong"/>
          <w:sz w:val="24"/>
          <w:szCs w:val="24"/>
          <w:spacing w:val="-5"/>
        </w:rPr>
        <w:t>计算结果镭当量浓度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CeRa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19.47 Bq</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6"/>
        </w:rPr>
        <w:t>kg</w:t>
      </w:r>
      <w:r>
        <w:rPr>
          <w:rFonts w:ascii="Times New Roman" w:hAnsi="Times New Roman" w:eastAsia="Times New Roman" w:cs="Times New Roman"/>
          <w:sz w:val="15"/>
          <w:szCs w:val="15"/>
          <w:spacing w:val="-6"/>
          <w:position w:val="7"/>
        </w:rPr>
        <w:t>-1</w:t>
      </w:r>
      <w:r>
        <w:rPr>
          <w:rFonts w:ascii="FangSong" w:hAnsi="FangSong" w:eastAsia="FangSong" w:cs="FangSong"/>
          <w:sz w:val="24"/>
          <w:szCs w:val="24"/>
          <w:spacing w:val="-6"/>
        </w:rPr>
        <w:t>。参考中华人民共和国地质矿产行业标准</w:t>
      </w:r>
      <w:r>
        <w:rPr>
          <w:rFonts w:ascii="FangSong" w:hAnsi="FangSong" w:eastAsia="FangSong" w:cs="FangSong"/>
          <w:sz w:val="24"/>
          <w:szCs w:val="24"/>
          <w:spacing w:val="1"/>
        </w:rPr>
        <w:t>《玻璃硅质原料、饰面石材、石膏、温石棉、硅灰石、滑石、石墨矿产地质勘查规</w:t>
      </w:r>
      <w:r>
        <w:rPr>
          <w:rFonts w:ascii="FangSong" w:hAnsi="FangSong" w:eastAsia="FangSong" w:cs="FangSong"/>
          <w:sz w:val="24"/>
          <w:szCs w:val="24"/>
          <w:spacing w:val="-3"/>
        </w:rPr>
        <w:t>范》（</w:t>
      </w:r>
      <w:r>
        <w:rPr>
          <w:rFonts w:ascii="Times New Roman" w:hAnsi="Times New Roman" w:eastAsia="Times New Roman" w:cs="Times New Roman"/>
          <w:sz w:val="24"/>
          <w:szCs w:val="24"/>
          <w:spacing w:val="-3"/>
        </w:rPr>
        <w:t>DZ/T0207-2002</w:t>
      </w:r>
      <w:r>
        <w:rPr>
          <w:rFonts w:ascii="FangSong" w:hAnsi="FangSong" w:eastAsia="FangSong" w:cs="FangSong"/>
          <w:sz w:val="24"/>
          <w:szCs w:val="24"/>
          <w:spacing w:val="-3"/>
        </w:rPr>
        <w:t>）中“附录</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C</w:t>
      </w:r>
      <w:r>
        <w:rPr>
          <w:rFonts w:ascii="FangSong" w:hAnsi="FangSong" w:eastAsia="FangSong" w:cs="FangSong"/>
          <w:sz w:val="24"/>
          <w:szCs w:val="24"/>
          <w:spacing w:val="-3"/>
        </w:rPr>
        <w:t>（规范性附录</w:t>
      </w:r>
      <w:r>
        <w:rPr>
          <w:rFonts w:ascii="FangSong" w:hAnsi="FangSong" w:eastAsia="FangSong" w:cs="FangSong"/>
          <w:sz w:val="24"/>
          <w:szCs w:val="24"/>
          <w:spacing w:val="-1"/>
        </w:rPr>
        <w:t>）：</w:t>
      </w:r>
      <w:r>
        <w:rPr>
          <w:rFonts w:ascii="FangSong" w:hAnsi="FangSong" w:eastAsia="FangSong" w:cs="FangSong"/>
          <w:sz w:val="24"/>
          <w:szCs w:val="24"/>
          <w:spacing w:val="-3"/>
        </w:rPr>
        <w:t>天然石材产品放射防护分类控</w:t>
      </w:r>
      <w:r>
        <w:rPr>
          <w:rFonts w:ascii="FangSong" w:hAnsi="FangSong" w:eastAsia="FangSong" w:cs="FangSong"/>
          <w:sz w:val="24"/>
          <w:szCs w:val="24"/>
          <w:spacing w:val="21"/>
        </w:rPr>
        <w:t>制标准及饰面石材矿床勘查中放射性水平的预评价</w:t>
      </w:r>
      <w:r>
        <w:rPr>
          <w:rFonts w:ascii="FangSong" w:hAnsi="FangSong" w:eastAsia="FangSong" w:cs="FangSong"/>
          <w:sz w:val="24"/>
          <w:szCs w:val="24"/>
          <w:spacing w:val="-62"/>
        </w:rPr>
        <w:t xml:space="preserve"> </w:t>
      </w:r>
      <w:r>
        <w:rPr>
          <w:rFonts w:ascii="FangSong" w:hAnsi="FangSong" w:eastAsia="FangSong" w:cs="FangSong"/>
          <w:sz w:val="24"/>
          <w:szCs w:val="24"/>
          <w:spacing w:val="21"/>
        </w:rPr>
        <w:t>”</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21"/>
        </w:rPr>
        <w:t>A</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0"/>
        </w:rPr>
        <w:t>类产品镭当</w:t>
      </w:r>
      <w:r>
        <w:rPr>
          <w:rFonts w:ascii="FangSong" w:hAnsi="FangSong" w:eastAsia="FangSong" w:cs="FangSong"/>
          <w:sz w:val="24"/>
          <w:szCs w:val="24"/>
          <w:spacing w:val="-71"/>
        </w:rPr>
        <w:t xml:space="preserve"> </w:t>
      </w:r>
      <w:r>
        <w:rPr>
          <w:rFonts w:ascii="FangSong" w:hAnsi="FangSong" w:eastAsia="FangSong" w:cs="FangSong"/>
          <w:sz w:val="24"/>
          <w:szCs w:val="24"/>
          <w:spacing w:val="20"/>
        </w:rPr>
        <w:t>量浓度</w:t>
      </w:r>
      <w:r>
        <w:rPr>
          <w:rFonts w:ascii="Times New Roman" w:hAnsi="Times New Roman" w:eastAsia="Times New Roman" w:cs="Times New Roman"/>
          <w:sz w:val="24"/>
          <w:szCs w:val="24"/>
          <w:spacing w:val="-8"/>
        </w:rPr>
        <w:t>CeRa≤350 Bq</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kg</w:t>
      </w:r>
      <w:r>
        <w:rPr>
          <w:rFonts w:ascii="Times New Roman" w:hAnsi="Times New Roman" w:eastAsia="Times New Roman" w:cs="Times New Roman"/>
          <w:sz w:val="15"/>
          <w:szCs w:val="15"/>
          <w:spacing w:val="6"/>
          <w:position w:val="7"/>
        </w:rPr>
        <w:t>-1</w:t>
      </w:r>
      <w:r>
        <w:rPr>
          <w:rFonts w:ascii="Times New Roman" w:hAnsi="Times New Roman" w:eastAsia="Times New Roman" w:cs="Times New Roman"/>
          <w:sz w:val="15"/>
          <w:szCs w:val="15"/>
          <w:spacing w:val="-5"/>
          <w:position w:val="7"/>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CRa≤200 Bq</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kg</w:t>
      </w:r>
      <w:r>
        <w:rPr>
          <w:rFonts w:ascii="Times New Roman" w:hAnsi="Times New Roman" w:eastAsia="Times New Roman" w:cs="Times New Roman"/>
          <w:sz w:val="15"/>
          <w:szCs w:val="15"/>
          <w:position w:val="7"/>
        </w:rPr>
        <w:t>-1</w:t>
      </w:r>
      <w:r>
        <w:rPr>
          <w:rFonts w:ascii="Times New Roman" w:hAnsi="Times New Roman" w:eastAsia="Times New Roman" w:cs="Times New Roman"/>
          <w:sz w:val="15"/>
          <w:szCs w:val="15"/>
          <w:spacing w:val="32"/>
          <w:w w:val="101"/>
          <w:position w:val="7"/>
        </w:rPr>
        <w:t xml:space="preserve"> </w:t>
      </w:r>
      <w:r>
        <w:rPr>
          <w:rFonts w:ascii="FangSong" w:hAnsi="FangSong" w:eastAsia="FangSong" w:cs="FangSong"/>
          <w:sz w:val="24"/>
          <w:szCs w:val="24"/>
        </w:rPr>
        <w:t>的要求，说明矿石在开采及加工过程中天然</w:t>
      </w:r>
      <w:r>
        <w:rPr>
          <w:rFonts w:ascii="FangSong" w:hAnsi="FangSong" w:eastAsia="FangSong" w:cs="FangSong"/>
          <w:sz w:val="24"/>
          <w:szCs w:val="24"/>
          <w:spacing w:val="-1"/>
        </w:rPr>
        <w:t>放射性不会产生对人的任何危害作用，放射性含量无工业价值。</w:t>
      </w:r>
    </w:p>
    <w:p>
      <w:pPr>
        <w:ind w:left="2349"/>
        <w:spacing w:before="22"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4.3-5  </w:t>
      </w:r>
      <w:r>
        <w:rPr>
          <w:rFonts w:ascii="FangSong" w:hAnsi="FangSong" w:eastAsia="FangSong" w:cs="FangSong"/>
          <w:sz w:val="24"/>
          <w:szCs w:val="24"/>
          <w:b/>
          <w:bCs/>
          <w:spacing w:val="-3"/>
        </w:rPr>
        <w:t>本项目放射性伽玛测量成果表</w:t>
      </w:r>
    </w:p>
    <w:p>
      <w:pPr>
        <w:spacing w:line="147" w:lineRule="exact"/>
        <w:rPr/>
      </w:pPr>
      <w:r/>
    </w:p>
    <w:tbl>
      <w:tblPr>
        <w:tblStyle w:val="TableNormal"/>
        <w:tblW w:w="8520"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851"/>
        <w:gridCol w:w="1134"/>
        <w:gridCol w:w="992"/>
        <w:gridCol w:w="1134"/>
        <w:gridCol w:w="1701"/>
        <w:gridCol w:w="1134"/>
        <w:gridCol w:w="758"/>
      </w:tblGrid>
      <w:tr>
        <w:trPr>
          <w:trHeight w:val="347" w:hRule="atLeast"/>
        </w:trPr>
        <w:tc>
          <w:tcPr>
            <w:tcW w:w="816" w:type="dxa"/>
            <w:vAlign w:val="top"/>
            <w:vMerge w:val="restart"/>
            <w:tcBorders>
              <w:left w:val="nil"/>
              <w:top w:val="single" w:color="000000" w:sz="10" w:space="0"/>
              <w:bottom w:val="nil"/>
            </w:tcBorders>
          </w:tcPr>
          <w:p>
            <w:pPr>
              <w:pStyle w:val="TableText"/>
              <w:ind w:left="211"/>
              <w:spacing w:before="252" w:line="231" w:lineRule="auto"/>
              <w:rPr/>
            </w:pPr>
            <w:r>
              <w:rPr>
                <w:spacing w:val="2"/>
              </w:rPr>
              <w:t>序号</w:t>
            </w:r>
          </w:p>
        </w:tc>
        <w:tc>
          <w:tcPr>
            <w:tcW w:w="851" w:type="dxa"/>
            <w:vAlign w:val="top"/>
            <w:vMerge w:val="restart"/>
            <w:tcBorders>
              <w:top w:val="single" w:color="000000" w:sz="10" w:space="0"/>
              <w:bottom w:val="nil"/>
            </w:tcBorders>
          </w:tcPr>
          <w:p>
            <w:pPr>
              <w:pStyle w:val="TableText"/>
              <w:ind w:left="208"/>
              <w:spacing w:before="252" w:line="232" w:lineRule="auto"/>
              <w:rPr/>
            </w:pPr>
            <w:r>
              <w:rPr>
                <w:spacing w:val="-2"/>
              </w:rPr>
              <w:t>点</w:t>
            </w:r>
            <w:r>
              <w:rPr>
                <w:rFonts w:ascii="Times New Roman" w:hAnsi="Times New Roman" w:eastAsia="Times New Roman" w:cs="Times New Roman"/>
                <w:spacing w:val="-2"/>
              </w:rPr>
              <w:t>/</w:t>
            </w:r>
            <w:r>
              <w:rPr>
                <w:spacing w:val="-2"/>
              </w:rPr>
              <w:t>线</w:t>
            </w:r>
          </w:p>
        </w:tc>
        <w:tc>
          <w:tcPr>
            <w:tcW w:w="2126" w:type="dxa"/>
            <w:vAlign w:val="top"/>
            <w:gridSpan w:val="2"/>
            <w:tcBorders>
              <w:top w:val="single" w:color="000000" w:sz="10" w:space="0"/>
            </w:tcBorders>
          </w:tcPr>
          <w:p>
            <w:pPr>
              <w:pStyle w:val="TableText"/>
              <w:ind w:left="868"/>
              <w:spacing w:before="67" w:line="231" w:lineRule="auto"/>
              <w:rPr/>
            </w:pPr>
            <w:r>
              <w:rPr>
                <w:spacing w:val="-1"/>
              </w:rPr>
              <w:t>坐标</w:t>
            </w:r>
          </w:p>
        </w:tc>
        <w:tc>
          <w:tcPr>
            <w:tcW w:w="1134" w:type="dxa"/>
            <w:vAlign w:val="top"/>
            <w:tcBorders>
              <w:top w:val="single" w:color="000000" w:sz="10" w:space="0"/>
            </w:tcBorders>
          </w:tcPr>
          <w:p>
            <w:pPr>
              <w:pStyle w:val="TableText"/>
              <w:ind w:left="158"/>
              <w:spacing w:before="67" w:line="231" w:lineRule="auto"/>
              <w:rPr/>
            </w:pPr>
            <w:r>
              <w:rPr>
                <w:spacing w:val="5"/>
              </w:rPr>
              <w:t>计数时间</w:t>
            </w:r>
          </w:p>
        </w:tc>
        <w:tc>
          <w:tcPr>
            <w:tcW w:w="1701" w:type="dxa"/>
            <w:vAlign w:val="top"/>
            <w:tcBorders>
              <w:top w:val="single" w:color="000000" w:sz="10" w:space="0"/>
            </w:tcBorders>
          </w:tcPr>
          <w:p>
            <w:pPr>
              <w:pStyle w:val="TableText"/>
              <w:ind w:left="440"/>
              <w:spacing w:before="67" w:line="231" w:lineRule="auto"/>
              <w:rPr/>
            </w:pPr>
            <w:r>
              <w:rPr>
                <w:spacing w:val="5"/>
              </w:rPr>
              <w:t>仪器读数</w:t>
            </w:r>
          </w:p>
        </w:tc>
        <w:tc>
          <w:tcPr>
            <w:tcW w:w="1134" w:type="dxa"/>
            <w:vAlign w:val="top"/>
            <w:vMerge w:val="restart"/>
            <w:tcBorders>
              <w:top w:val="single" w:color="000000" w:sz="10" w:space="0"/>
              <w:bottom w:val="nil"/>
            </w:tcBorders>
          </w:tcPr>
          <w:p>
            <w:pPr>
              <w:pStyle w:val="TableText"/>
              <w:ind w:left="157"/>
              <w:spacing w:before="251" w:line="232" w:lineRule="auto"/>
              <w:rPr/>
            </w:pPr>
            <w:r>
              <w:rPr>
                <w:spacing w:val="5"/>
              </w:rPr>
              <w:t>测点描述</w:t>
            </w:r>
          </w:p>
        </w:tc>
        <w:tc>
          <w:tcPr>
            <w:tcW w:w="758" w:type="dxa"/>
            <w:vAlign w:val="top"/>
            <w:vMerge w:val="restart"/>
            <w:tcBorders>
              <w:right w:val="nil"/>
              <w:top w:val="single" w:color="000000" w:sz="10" w:space="0"/>
              <w:bottom w:val="nil"/>
            </w:tcBorders>
          </w:tcPr>
          <w:p>
            <w:pPr>
              <w:pStyle w:val="TableText"/>
              <w:ind w:left="181"/>
              <w:spacing w:before="252" w:line="233" w:lineRule="auto"/>
              <w:rPr/>
            </w:pPr>
            <w:r>
              <w:rPr>
                <w:spacing w:val="1"/>
              </w:rPr>
              <w:t>备注</w:t>
            </w:r>
          </w:p>
        </w:tc>
      </w:tr>
      <w:tr>
        <w:trPr>
          <w:trHeight w:val="362" w:hRule="atLeast"/>
        </w:trPr>
        <w:tc>
          <w:tcPr>
            <w:tcW w:w="816" w:type="dxa"/>
            <w:vAlign w:val="top"/>
            <w:vMerge w:val="continue"/>
            <w:tcBorders>
              <w:left w:val="nil"/>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4" w:type="dxa"/>
            <w:vAlign w:val="top"/>
          </w:tcPr>
          <w:p>
            <w:pPr>
              <w:ind w:left="490"/>
              <w:spacing w:before="11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992" w:type="dxa"/>
            <w:vAlign w:val="top"/>
          </w:tcPr>
          <w:p>
            <w:pPr>
              <w:ind w:left="418"/>
              <w:spacing w:before="11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1134" w:type="dxa"/>
            <w:vAlign w:val="top"/>
          </w:tcPr>
          <w:p>
            <w:pPr>
              <w:ind w:left="533"/>
              <w:spacing w:before="157"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701" w:type="dxa"/>
            <w:vAlign w:val="top"/>
          </w:tcPr>
          <w:p>
            <w:pPr>
              <w:pStyle w:val="TableText"/>
              <w:ind w:right="10"/>
              <w:spacing w:before="75" w:line="221" w:lineRule="auto"/>
              <w:jc w:val="right"/>
              <w:rPr/>
            </w:pPr>
            <w:r>
              <w:rPr>
                <w:spacing w:val="-9"/>
              </w:rPr>
              <w:t>总道</w:t>
            </w:r>
            <w:r>
              <w:rPr>
                <w:spacing w:val="-22"/>
              </w:rPr>
              <w:t xml:space="preserve"> </w:t>
            </w:r>
            <w:r>
              <w:rPr>
                <w:spacing w:val="-9"/>
              </w:rPr>
              <w:t>(</w:t>
            </w:r>
            <w:r>
              <w:rPr>
                <w:rFonts w:ascii="Times New Roman" w:hAnsi="Times New Roman" w:eastAsia="Times New Roman" w:cs="Times New Roman"/>
                <w:spacing w:val="-9"/>
              </w:rPr>
              <w:t>μC/kg</w:t>
            </w:r>
            <w:r>
              <w:rPr>
                <w:rFonts w:ascii="Times New Roman" w:hAnsi="Times New Roman" w:eastAsia="Times New Roman" w:cs="Times New Roman"/>
                <w:spacing w:val="32"/>
              </w:rPr>
              <w:t xml:space="preserve"> </w:t>
            </w:r>
            <w:r>
              <w:rPr>
                <w:spacing w:val="-9"/>
              </w:rPr>
              <w:t>·</w:t>
            </w:r>
            <w:r>
              <w:rPr>
                <w:rFonts w:ascii="Times New Roman" w:hAnsi="Times New Roman" w:eastAsia="Times New Roman" w:cs="Times New Roman"/>
                <w:spacing w:val="-9"/>
              </w:rPr>
              <w:t>h</w:t>
            </w:r>
            <w:r>
              <w:rPr>
                <w:spacing w:val="-9"/>
              </w:rPr>
              <w:t>）</w:t>
            </w:r>
          </w:p>
        </w:tc>
        <w:tc>
          <w:tcPr>
            <w:tcW w:w="1134" w:type="dxa"/>
            <w:vAlign w:val="top"/>
            <w:vMerge w:val="continue"/>
            <w:tcBorders>
              <w:top w:val="nil"/>
            </w:tcBorders>
          </w:tcPr>
          <w:p>
            <w:pPr>
              <w:rPr>
                <w:rFonts w:ascii="Arial"/>
                <w:sz w:val="21"/>
              </w:rPr>
            </w:pPr>
            <w:r/>
          </w:p>
        </w:tc>
        <w:tc>
          <w:tcPr>
            <w:tcW w:w="758" w:type="dxa"/>
            <w:vAlign w:val="top"/>
            <w:vMerge w:val="continue"/>
            <w:tcBorders>
              <w:right w:val="nil"/>
              <w:top w:val="nil"/>
            </w:tcBorders>
          </w:tcPr>
          <w:p>
            <w:pPr>
              <w:rPr>
                <w:rFonts w:ascii="Arial"/>
                <w:sz w:val="21"/>
              </w:rPr>
            </w:pPr>
            <w:r/>
          </w:p>
        </w:tc>
      </w:tr>
      <w:tr>
        <w:trPr>
          <w:trHeight w:val="362" w:hRule="atLeast"/>
        </w:trPr>
        <w:tc>
          <w:tcPr>
            <w:tcW w:w="816" w:type="dxa"/>
            <w:vAlign w:val="top"/>
            <w:tcBorders>
              <w:left w:val="nil"/>
            </w:tcBorders>
          </w:tcPr>
          <w:p>
            <w:pPr>
              <w:ind w:left="3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1" w:type="dxa"/>
            <w:vAlign w:val="top"/>
          </w:tcPr>
          <w:p>
            <w:pPr>
              <w:ind w:left="260"/>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1134" w:type="dxa"/>
            <w:vAlign w:val="top"/>
          </w:tcPr>
          <w:p>
            <w:pPr>
              <w:ind w:left="200"/>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4766159</w:t>
            </w:r>
          </w:p>
        </w:tc>
        <w:tc>
          <w:tcPr>
            <w:tcW w:w="992" w:type="dxa"/>
            <w:vAlign w:val="top"/>
          </w:tcPr>
          <w:p>
            <w:pPr>
              <w:ind w:left="186"/>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411945</w:t>
            </w:r>
          </w:p>
        </w:tc>
        <w:tc>
          <w:tcPr>
            <w:tcW w:w="1134" w:type="dxa"/>
            <w:vAlign w:val="top"/>
          </w:tcPr>
          <w:p>
            <w:pPr>
              <w:ind w:left="467"/>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93"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3.56×10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77" w:line="232" w:lineRule="auto"/>
              <w:rPr/>
            </w:pPr>
            <w:r>
              <w:rPr>
                <w:spacing w:val="-9"/>
              </w:rPr>
              <w:t>围岩</w:t>
            </w:r>
          </w:p>
        </w:tc>
        <w:tc>
          <w:tcPr>
            <w:tcW w:w="758" w:type="dxa"/>
            <w:vAlign w:val="top"/>
            <w:tcBorders>
              <w:right w:val="nil"/>
            </w:tcBorders>
          </w:tcPr>
          <w:p>
            <w:pPr>
              <w:rPr>
                <w:rFonts w:ascii="Arial"/>
                <w:sz w:val="21"/>
              </w:rPr>
            </w:pPr>
            <w:r/>
          </w:p>
        </w:tc>
      </w:tr>
      <w:tr>
        <w:trPr>
          <w:trHeight w:val="363" w:hRule="atLeast"/>
        </w:trPr>
        <w:tc>
          <w:tcPr>
            <w:tcW w:w="816" w:type="dxa"/>
            <w:vAlign w:val="top"/>
            <w:tcBorders>
              <w:left w:val="nil"/>
            </w:tcBorders>
          </w:tcPr>
          <w:p>
            <w:pPr>
              <w:ind w:left="35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51" w:type="dxa"/>
            <w:vAlign w:val="top"/>
          </w:tcPr>
          <w:p>
            <w:pPr>
              <w:ind w:left="240"/>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134" w:type="dxa"/>
            <w:vAlign w:val="top"/>
          </w:tcPr>
          <w:p>
            <w:pPr>
              <w:ind w:left="20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4766157</w:t>
            </w:r>
          </w:p>
        </w:tc>
        <w:tc>
          <w:tcPr>
            <w:tcW w:w="992" w:type="dxa"/>
            <w:vAlign w:val="top"/>
          </w:tcPr>
          <w:p>
            <w:pPr>
              <w:ind w:left="186"/>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411956</w:t>
            </w:r>
          </w:p>
        </w:tc>
        <w:tc>
          <w:tcPr>
            <w:tcW w:w="1134" w:type="dxa"/>
            <w:vAlign w:val="top"/>
          </w:tcPr>
          <w:p>
            <w:pPr>
              <w:ind w:left="467"/>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96"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3.43×10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77"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62"/>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51" w:type="dxa"/>
            <w:vAlign w:val="top"/>
          </w:tcPr>
          <w:p>
            <w:pPr>
              <w:ind w:left="245"/>
              <w:spacing w:before="11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3/50</w:t>
            </w:r>
          </w:p>
        </w:tc>
        <w:tc>
          <w:tcPr>
            <w:tcW w:w="1134" w:type="dxa"/>
            <w:vAlign w:val="top"/>
          </w:tcPr>
          <w:p>
            <w:pPr>
              <w:ind w:left="200"/>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4766158</w:t>
            </w:r>
          </w:p>
        </w:tc>
        <w:tc>
          <w:tcPr>
            <w:tcW w:w="992" w:type="dxa"/>
            <w:vAlign w:val="top"/>
          </w:tcPr>
          <w:p>
            <w:pPr>
              <w:ind w:left="186"/>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411964</w:t>
            </w:r>
          </w:p>
        </w:tc>
        <w:tc>
          <w:tcPr>
            <w:tcW w:w="1134" w:type="dxa"/>
            <w:vAlign w:val="top"/>
          </w:tcPr>
          <w:p>
            <w:pPr>
              <w:ind w:left="467"/>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504"/>
              <w:spacing w:before="9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3.4×10</w:t>
            </w:r>
            <w:r>
              <w:rPr>
                <w:rFonts w:ascii="Times New Roman" w:hAnsi="Times New Roman" w:eastAsia="Times New Roman" w:cs="Times New Roman"/>
                <w:sz w:val="13"/>
                <w:szCs w:val="13"/>
                <w:spacing w:val="2"/>
                <w:position w:val="6"/>
              </w:rPr>
              <w:t>-3</w:t>
            </w:r>
          </w:p>
        </w:tc>
        <w:tc>
          <w:tcPr>
            <w:tcW w:w="1134" w:type="dxa"/>
            <w:vAlign w:val="top"/>
          </w:tcPr>
          <w:p>
            <w:pPr>
              <w:pStyle w:val="TableText"/>
              <w:ind w:left="390"/>
              <w:spacing w:before="79" w:line="232" w:lineRule="auto"/>
              <w:rPr/>
            </w:pPr>
            <w:r>
              <w:rPr>
                <w:spacing w:val="-9"/>
              </w:rPr>
              <w:t>围岩</w:t>
            </w:r>
          </w:p>
        </w:tc>
        <w:tc>
          <w:tcPr>
            <w:tcW w:w="758" w:type="dxa"/>
            <w:vAlign w:val="top"/>
            <w:tcBorders>
              <w:right w:val="nil"/>
            </w:tcBorders>
          </w:tcPr>
          <w:p>
            <w:pPr>
              <w:rPr>
                <w:rFonts w:ascii="Arial"/>
                <w:sz w:val="21"/>
              </w:rPr>
            </w:pPr>
            <w:r/>
          </w:p>
        </w:tc>
      </w:tr>
      <w:tr>
        <w:trPr>
          <w:trHeight w:val="363" w:hRule="atLeast"/>
        </w:trPr>
        <w:tc>
          <w:tcPr>
            <w:tcW w:w="816" w:type="dxa"/>
            <w:vAlign w:val="top"/>
            <w:tcBorders>
              <w:left w:val="nil"/>
            </w:tcBorders>
          </w:tcPr>
          <w:p>
            <w:pPr>
              <w:ind w:left="35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851" w:type="dxa"/>
            <w:vAlign w:val="top"/>
          </w:tcPr>
          <w:p>
            <w:pPr>
              <w:ind w:left="239"/>
              <w:spacing w:before="11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4/50</w:t>
            </w:r>
          </w:p>
        </w:tc>
        <w:tc>
          <w:tcPr>
            <w:tcW w:w="1134" w:type="dxa"/>
            <w:vAlign w:val="top"/>
          </w:tcPr>
          <w:p>
            <w:pPr>
              <w:ind w:left="200"/>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4766156</w:t>
            </w:r>
          </w:p>
        </w:tc>
        <w:tc>
          <w:tcPr>
            <w:tcW w:w="992" w:type="dxa"/>
            <w:vAlign w:val="top"/>
          </w:tcPr>
          <w:p>
            <w:pPr>
              <w:ind w:left="186"/>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411973</w:t>
            </w:r>
          </w:p>
        </w:tc>
        <w:tc>
          <w:tcPr>
            <w:tcW w:w="1134" w:type="dxa"/>
            <w:vAlign w:val="top"/>
          </w:tcPr>
          <w:p>
            <w:pPr>
              <w:ind w:left="46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98"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3.34×10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81"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64"/>
              <w:spacing w:before="12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51" w:type="dxa"/>
            <w:vAlign w:val="top"/>
          </w:tcPr>
          <w:p>
            <w:pPr>
              <w:ind w:left="246"/>
              <w:spacing w:before="11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5/50</w:t>
            </w:r>
          </w:p>
        </w:tc>
        <w:tc>
          <w:tcPr>
            <w:tcW w:w="1134" w:type="dxa"/>
            <w:vAlign w:val="top"/>
          </w:tcPr>
          <w:p>
            <w:pPr>
              <w:ind w:left="200"/>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4766159</w:t>
            </w:r>
          </w:p>
        </w:tc>
        <w:tc>
          <w:tcPr>
            <w:tcW w:w="992" w:type="dxa"/>
            <w:vAlign w:val="top"/>
          </w:tcPr>
          <w:p>
            <w:pPr>
              <w:ind w:left="186"/>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411982</w:t>
            </w:r>
          </w:p>
        </w:tc>
        <w:tc>
          <w:tcPr>
            <w:tcW w:w="1134" w:type="dxa"/>
            <w:vAlign w:val="top"/>
          </w:tcPr>
          <w:p>
            <w:pPr>
              <w:ind w:left="467"/>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99"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18×10</w:t>
            </w:r>
            <w:r>
              <w:rPr>
                <w:rFonts w:ascii="Times New Roman" w:hAnsi="Times New Roman" w:eastAsia="Times New Roman" w:cs="Times New Roman"/>
                <w:sz w:val="13"/>
                <w:szCs w:val="13"/>
                <w:position w:val="6"/>
              </w:rPr>
              <w:t>-3</w:t>
            </w:r>
          </w:p>
        </w:tc>
        <w:tc>
          <w:tcPr>
            <w:tcW w:w="1134" w:type="dxa"/>
            <w:vAlign w:val="top"/>
          </w:tcPr>
          <w:p>
            <w:pPr>
              <w:pStyle w:val="TableText"/>
              <w:ind w:left="390"/>
              <w:spacing w:before="83"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6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51" w:type="dxa"/>
            <w:vAlign w:val="top"/>
          </w:tcPr>
          <w:p>
            <w:pPr>
              <w:ind w:left="245"/>
              <w:spacing w:before="11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6/50</w:t>
            </w:r>
          </w:p>
        </w:tc>
        <w:tc>
          <w:tcPr>
            <w:tcW w:w="1134" w:type="dxa"/>
            <w:vAlign w:val="top"/>
          </w:tcPr>
          <w:p>
            <w:pPr>
              <w:ind w:left="200"/>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4766157</w:t>
            </w:r>
          </w:p>
        </w:tc>
        <w:tc>
          <w:tcPr>
            <w:tcW w:w="992" w:type="dxa"/>
            <w:vAlign w:val="top"/>
          </w:tcPr>
          <w:p>
            <w:pPr>
              <w:ind w:left="186"/>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411993</w:t>
            </w:r>
          </w:p>
        </w:tc>
        <w:tc>
          <w:tcPr>
            <w:tcW w:w="1134" w:type="dxa"/>
            <w:vAlign w:val="top"/>
          </w:tcPr>
          <w:p>
            <w:pPr>
              <w:ind w:left="46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46"/>
              <w:spacing w:before="102"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4.</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13×10</w:t>
            </w:r>
            <w:r>
              <w:rPr>
                <w:rFonts w:ascii="Times New Roman" w:hAnsi="Times New Roman" w:eastAsia="Times New Roman" w:cs="Times New Roman"/>
                <w:sz w:val="13"/>
                <w:szCs w:val="13"/>
                <w:position w:val="6"/>
              </w:rPr>
              <w:t>-3</w:t>
            </w:r>
          </w:p>
        </w:tc>
        <w:tc>
          <w:tcPr>
            <w:tcW w:w="1134" w:type="dxa"/>
            <w:vAlign w:val="top"/>
          </w:tcPr>
          <w:p>
            <w:pPr>
              <w:pStyle w:val="TableText"/>
              <w:ind w:left="164"/>
              <w:spacing w:before="84" w:line="231" w:lineRule="auto"/>
              <w:rPr/>
            </w:pPr>
            <w:r>
              <w:rPr>
                <w:spacing w:val="4"/>
              </w:rPr>
              <w:t>萤石矿体</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61"/>
              <w:spacing w:before="12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51" w:type="dxa"/>
            <w:vAlign w:val="top"/>
          </w:tcPr>
          <w:p>
            <w:pPr>
              <w:ind w:left="244"/>
              <w:spacing w:before="11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7/50</w:t>
            </w:r>
          </w:p>
        </w:tc>
        <w:tc>
          <w:tcPr>
            <w:tcW w:w="1134" w:type="dxa"/>
            <w:vAlign w:val="top"/>
          </w:tcPr>
          <w:p>
            <w:pPr>
              <w:ind w:left="200"/>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4766159</w:t>
            </w:r>
          </w:p>
        </w:tc>
        <w:tc>
          <w:tcPr>
            <w:tcW w:w="992" w:type="dxa"/>
            <w:vAlign w:val="top"/>
          </w:tcPr>
          <w:p>
            <w:pPr>
              <w:ind w:left="18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412004</w:t>
            </w:r>
          </w:p>
        </w:tc>
        <w:tc>
          <w:tcPr>
            <w:tcW w:w="1134" w:type="dxa"/>
            <w:vAlign w:val="top"/>
          </w:tcPr>
          <w:p>
            <w:pPr>
              <w:ind w:left="467"/>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3.66×10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164"/>
              <w:spacing w:before="86" w:line="231" w:lineRule="auto"/>
              <w:rPr/>
            </w:pPr>
            <w:r>
              <w:rPr>
                <w:spacing w:val="4"/>
              </w:rPr>
              <w:t>萤石矿体</w:t>
            </w:r>
          </w:p>
        </w:tc>
        <w:tc>
          <w:tcPr>
            <w:tcW w:w="758" w:type="dxa"/>
            <w:vAlign w:val="top"/>
            <w:tcBorders>
              <w:right w:val="nil"/>
            </w:tcBorders>
          </w:tcPr>
          <w:p>
            <w:pPr>
              <w:rPr>
                <w:rFonts w:ascii="Arial"/>
                <w:sz w:val="21"/>
              </w:rPr>
            </w:pPr>
            <w:r/>
          </w:p>
        </w:tc>
      </w:tr>
      <w:tr>
        <w:trPr>
          <w:trHeight w:val="363" w:hRule="atLeast"/>
        </w:trPr>
        <w:tc>
          <w:tcPr>
            <w:tcW w:w="816" w:type="dxa"/>
            <w:vAlign w:val="top"/>
            <w:tcBorders>
              <w:left w:val="nil"/>
            </w:tcBorders>
          </w:tcPr>
          <w:p>
            <w:pPr>
              <w:ind w:left="36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51" w:type="dxa"/>
            <w:vAlign w:val="top"/>
          </w:tcPr>
          <w:p>
            <w:pPr>
              <w:ind w:left="249"/>
              <w:spacing w:before="1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8/50</w:t>
            </w:r>
          </w:p>
        </w:tc>
        <w:tc>
          <w:tcPr>
            <w:tcW w:w="1134" w:type="dxa"/>
            <w:vAlign w:val="top"/>
          </w:tcPr>
          <w:p>
            <w:pPr>
              <w:ind w:left="20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4766156</w:t>
            </w:r>
          </w:p>
        </w:tc>
        <w:tc>
          <w:tcPr>
            <w:tcW w:w="992" w:type="dxa"/>
            <w:vAlign w:val="top"/>
          </w:tcPr>
          <w:p>
            <w:pPr>
              <w:ind w:left="182"/>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412014</w:t>
            </w:r>
          </w:p>
        </w:tc>
        <w:tc>
          <w:tcPr>
            <w:tcW w:w="1134" w:type="dxa"/>
            <w:vAlign w:val="top"/>
          </w:tcPr>
          <w:p>
            <w:pPr>
              <w:ind w:left="46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3.54×10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88"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6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51" w:type="dxa"/>
            <w:vAlign w:val="top"/>
          </w:tcPr>
          <w:p>
            <w:pPr>
              <w:ind w:left="244"/>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9/50</w:t>
            </w:r>
          </w:p>
        </w:tc>
        <w:tc>
          <w:tcPr>
            <w:tcW w:w="1134" w:type="dxa"/>
            <w:vAlign w:val="top"/>
          </w:tcPr>
          <w:p>
            <w:pPr>
              <w:ind w:left="20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4766159</w:t>
            </w:r>
          </w:p>
        </w:tc>
        <w:tc>
          <w:tcPr>
            <w:tcW w:w="992" w:type="dxa"/>
            <w:vAlign w:val="top"/>
          </w:tcPr>
          <w:p>
            <w:pPr>
              <w:ind w:left="18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412025</w:t>
            </w:r>
          </w:p>
        </w:tc>
        <w:tc>
          <w:tcPr>
            <w:tcW w:w="1134" w:type="dxa"/>
            <w:vAlign w:val="top"/>
          </w:tcPr>
          <w:p>
            <w:pPr>
              <w:ind w:left="467"/>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6"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3.59×10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90"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2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851" w:type="dxa"/>
            <w:vAlign w:val="top"/>
          </w:tcPr>
          <w:p>
            <w:pPr>
              <w:ind w:left="208"/>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10/50</w:t>
            </w:r>
          </w:p>
        </w:tc>
        <w:tc>
          <w:tcPr>
            <w:tcW w:w="1134" w:type="dxa"/>
            <w:vAlign w:val="top"/>
          </w:tcPr>
          <w:p>
            <w:pPr>
              <w:ind w:left="200"/>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4766157</w:t>
            </w:r>
          </w:p>
        </w:tc>
        <w:tc>
          <w:tcPr>
            <w:tcW w:w="992" w:type="dxa"/>
            <w:vAlign w:val="top"/>
          </w:tcPr>
          <w:p>
            <w:pPr>
              <w:ind w:left="182"/>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412034</w:t>
            </w:r>
          </w:p>
        </w:tc>
        <w:tc>
          <w:tcPr>
            <w:tcW w:w="1134" w:type="dxa"/>
            <w:vAlign w:val="top"/>
          </w:tcPr>
          <w:p>
            <w:pPr>
              <w:ind w:left="467"/>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504"/>
              <w:spacing w:before="109"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3.7×10</w:t>
            </w:r>
            <w:r>
              <w:rPr>
                <w:rFonts w:ascii="Times New Roman" w:hAnsi="Times New Roman" w:eastAsia="Times New Roman" w:cs="Times New Roman"/>
                <w:sz w:val="13"/>
                <w:szCs w:val="13"/>
                <w:spacing w:val="2"/>
                <w:position w:val="6"/>
              </w:rPr>
              <w:t>-3</w:t>
            </w:r>
          </w:p>
        </w:tc>
        <w:tc>
          <w:tcPr>
            <w:tcW w:w="1134" w:type="dxa"/>
            <w:vAlign w:val="top"/>
          </w:tcPr>
          <w:p>
            <w:pPr>
              <w:pStyle w:val="TableText"/>
              <w:ind w:left="390"/>
              <w:spacing w:before="90"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3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851" w:type="dxa"/>
            <w:vAlign w:val="top"/>
          </w:tcPr>
          <w:p>
            <w:pPr>
              <w:ind w:left="212"/>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11/50</w:t>
            </w:r>
          </w:p>
        </w:tc>
        <w:tc>
          <w:tcPr>
            <w:tcW w:w="1134" w:type="dxa"/>
            <w:vAlign w:val="top"/>
          </w:tcPr>
          <w:p>
            <w:pPr>
              <w:ind w:left="20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4766158</w:t>
            </w:r>
          </w:p>
        </w:tc>
        <w:tc>
          <w:tcPr>
            <w:tcW w:w="992" w:type="dxa"/>
            <w:vAlign w:val="top"/>
          </w:tcPr>
          <w:p>
            <w:pPr>
              <w:ind w:left="18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412045</w:t>
            </w:r>
          </w:p>
        </w:tc>
        <w:tc>
          <w:tcPr>
            <w:tcW w:w="1134" w:type="dxa"/>
            <w:vAlign w:val="top"/>
          </w:tcPr>
          <w:p>
            <w:pPr>
              <w:ind w:left="46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9"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3.81×10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93" w:line="232" w:lineRule="auto"/>
              <w:rPr/>
            </w:pPr>
            <w:r>
              <w:rPr>
                <w:spacing w:val="-9"/>
              </w:rPr>
              <w:t>围岩</w:t>
            </w:r>
          </w:p>
        </w:tc>
        <w:tc>
          <w:tcPr>
            <w:tcW w:w="758" w:type="dxa"/>
            <w:vAlign w:val="top"/>
            <w:tcBorders>
              <w:right w:val="nil"/>
            </w:tcBorders>
          </w:tcPr>
          <w:p>
            <w:pPr>
              <w:rPr>
                <w:rFonts w:ascii="Arial"/>
                <w:sz w:val="21"/>
              </w:rPr>
            </w:pPr>
            <w:r/>
          </w:p>
        </w:tc>
      </w:tr>
      <w:tr>
        <w:trPr>
          <w:trHeight w:val="363" w:hRule="atLeast"/>
        </w:trPr>
        <w:tc>
          <w:tcPr>
            <w:tcW w:w="816" w:type="dxa"/>
            <w:vAlign w:val="top"/>
            <w:tcBorders>
              <w:left w:val="nil"/>
            </w:tcBorders>
          </w:tcPr>
          <w:p>
            <w:pPr>
              <w:ind w:left="32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851" w:type="dxa"/>
            <w:vAlign w:val="top"/>
          </w:tcPr>
          <w:p>
            <w:pPr>
              <w:ind w:left="208"/>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12/50</w:t>
            </w:r>
          </w:p>
        </w:tc>
        <w:tc>
          <w:tcPr>
            <w:tcW w:w="1134" w:type="dxa"/>
            <w:vAlign w:val="top"/>
          </w:tcPr>
          <w:p>
            <w:pPr>
              <w:ind w:left="20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4766159</w:t>
            </w:r>
          </w:p>
        </w:tc>
        <w:tc>
          <w:tcPr>
            <w:tcW w:w="992" w:type="dxa"/>
            <w:vAlign w:val="top"/>
          </w:tcPr>
          <w:p>
            <w:pPr>
              <w:ind w:left="18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412055</w:t>
            </w:r>
          </w:p>
        </w:tc>
        <w:tc>
          <w:tcPr>
            <w:tcW w:w="1134" w:type="dxa"/>
            <w:vAlign w:val="top"/>
          </w:tcPr>
          <w:p>
            <w:pPr>
              <w:ind w:left="4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1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3.79×10</w:t>
            </w:r>
            <w:r>
              <w:rPr>
                <w:rFonts w:ascii="Times New Roman" w:hAnsi="Times New Roman" w:eastAsia="Times New Roman" w:cs="Times New Roman"/>
                <w:sz w:val="13"/>
                <w:szCs w:val="13"/>
                <w:spacing w:val="3"/>
                <w:position w:val="6"/>
              </w:rPr>
              <w:t>-3</w:t>
            </w:r>
          </w:p>
        </w:tc>
        <w:tc>
          <w:tcPr>
            <w:tcW w:w="1134" w:type="dxa"/>
            <w:vAlign w:val="top"/>
          </w:tcPr>
          <w:p>
            <w:pPr>
              <w:pStyle w:val="TableText"/>
              <w:ind w:left="390"/>
              <w:spacing w:before="95" w:line="232" w:lineRule="auto"/>
              <w:rPr/>
            </w:pPr>
            <w:r>
              <w:rPr>
                <w:spacing w:val="-9"/>
              </w:rPr>
              <w:t>围岩</w:t>
            </w:r>
          </w:p>
        </w:tc>
        <w:tc>
          <w:tcPr>
            <w:tcW w:w="758" w:type="dxa"/>
            <w:vAlign w:val="top"/>
            <w:tcBorders>
              <w:right w:val="nil"/>
            </w:tcBorders>
          </w:tcPr>
          <w:p>
            <w:pPr>
              <w:rPr>
                <w:rFonts w:ascii="Arial"/>
                <w:sz w:val="21"/>
              </w:rPr>
            </w:pPr>
            <w:r/>
          </w:p>
        </w:tc>
      </w:tr>
      <w:tr>
        <w:trPr>
          <w:trHeight w:val="384" w:hRule="atLeast"/>
        </w:trPr>
        <w:tc>
          <w:tcPr>
            <w:tcW w:w="816" w:type="dxa"/>
            <w:vAlign w:val="top"/>
            <w:tcBorders>
              <w:left w:val="nil"/>
              <w:bottom w:val="single" w:color="000000" w:sz="10" w:space="0"/>
            </w:tcBorders>
          </w:tcPr>
          <w:p>
            <w:pPr>
              <w:ind w:left="3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851" w:type="dxa"/>
            <w:vAlign w:val="top"/>
            <w:tcBorders>
              <w:bottom w:val="single" w:color="000000" w:sz="10" w:space="0"/>
            </w:tcBorders>
          </w:tcPr>
          <w:p>
            <w:pPr>
              <w:ind w:left="260"/>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1/53</w:t>
            </w:r>
          </w:p>
        </w:tc>
        <w:tc>
          <w:tcPr>
            <w:tcW w:w="1134" w:type="dxa"/>
            <w:vAlign w:val="top"/>
            <w:tcBorders>
              <w:bottom w:val="single" w:color="000000" w:sz="10" w:space="0"/>
            </w:tcBorders>
          </w:tcPr>
          <w:p>
            <w:pPr>
              <w:ind w:left="20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4766257</w:t>
            </w:r>
          </w:p>
        </w:tc>
        <w:tc>
          <w:tcPr>
            <w:tcW w:w="992" w:type="dxa"/>
            <w:vAlign w:val="top"/>
            <w:tcBorders>
              <w:bottom w:val="single" w:color="000000" w:sz="10" w:space="0"/>
            </w:tcBorders>
          </w:tcPr>
          <w:p>
            <w:pPr>
              <w:ind w:left="18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411946</w:t>
            </w:r>
          </w:p>
        </w:tc>
        <w:tc>
          <w:tcPr>
            <w:tcW w:w="1134" w:type="dxa"/>
            <w:vAlign w:val="top"/>
            <w:tcBorders>
              <w:bottom w:val="single" w:color="000000" w:sz="10" w:space="0"/>
            </w:tcBorders>
          </w:tcPr>
          <w:p>
            <w:pPr>
              <w:ind w:left="4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Borders>
              <w:bottom w:val="single" w:color="000000" w:sz="10" w:space="0"/>
            </w:tcBorders>
          </w:tcPr>
          <w:p>
            <w:pPr>
              <w:ind w:left="451"/>
              <w:spacing w:before="113"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3.45×10</w:t>
            </w:r>
            <w:r>
              <w:rPr>
                <w:rFonts w:ascii="Times New Roman" w:hAnsi="Times New Roman" w:eastAsia="Times New Roman" w:cs="Times New Roman"/>
                <w:sz w:val="13"/>
                <w:szCs w:val="13"/>
                <w:spacing w:val="3"/>
                <w:position w:val="6"/>
              </w:rPr>
              <w:t>-3</w:t>
            </w:r>
          </w:p>
        </w:tc>
        <w:tc>
          <w:tcPr>
            <w:tcW w:w="1134" w:type="dxa"/>
            <w:vAlign w:val="top"/>
            <w:tcBorders>
              <w:bottom w:val="single" w:color="000000" w:sz="10" w:space="0"/>
            </w:tcBorders>
          </w:tcPr>
          <w:p>
            <w:pPr>
              <w:pStyle w:val="TableText"/>
              <w:ind w:left="390"/>
              <w:spacing w:before="97" w:line="232" w:lineRule="auto"/>
              <w:rPr/>
            </w:pPr>
            <w:r>
              <w:rPr>
                <w:spacing w:val="-9"/>
              </w:rPr>
              <w:t>围岩</w:t>
            </w:r>
          </w:p>
        </w:tc>
        <w:tc>
          <w:tcPr>
            <w:tcW w:w="758"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18"/>
          <w:pgSz w:w="11911" w:h="16839"/>
          <w:pgMar w:top="400" w:right="1352" w:bottom="1146" w:left="1786" w:header="0" w:footer="984" w:gutter="0"/>
        </w:sectPr>
        <w:rPr/>
      </w:pPr>
    </w:p>
    <w:p>
      <w:pPr>
        <w:spacing w:before="13"/>
        <w:rPr/>
      </w:pPr>
      <w:r/>
    </w:p>
    <w:p>
      <w:pPr>
        <w:spacing w:before="13"/>
        <w:rPr/>
      </w:pPr>
      <w:r/>
    </w:p>
    <w:p>
      <w:pPr>
        <w:spacing w:before="13"/>
        <w:rPr/>
      </w:pPr>
      <w:r/>
    </w:p>
    <w:p>
      <w:pPr>
        <w:spacing w:before="12"/>
        <w:rPr/>
      </w:pPr>
      <w:r/>
    </w:p>
    <w:tbl>
      <w:tblPr>
        <w:tblStyle w:val="TableNormal"/>
        <w:tblW w:w="8519"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851"/>
        <w:gridCol w:w="1134"/>
        <w:gridCol w:w="992"/>
        <w:gridCol w:w="1134"/>
        <w:gridCol w:w="1701"/>
        <w:gridCol w:w="1133"/>
        <w:gridCol w:w="758"/>
      </w:tblGrid>
      <w:tr>
        <w:trPr>
          <w:trHeight w:val="346" w:hRule="atLeast"/>
        </w:trPr>
        <w:tc>
          <w:tcPr>
            <w:tcW w:w="816" w:type="dxa"/>
            <w:vAlign w:val="top"/>
            <w:tcBorders>
              <w:left w:val="nil"/>
              <w:top w:val="single" w:color="000000" w:sz="10" w:space="0"/>
            </w:tcBorders>
          </w:tcPr>
          <w:p>
            <w:pPr>
              <w:ind w:left="328"/>
              <w:spacing w:before="105" w:line="195" w:lineRule="auto"/>
              <w:rPr>
                <w:rFonts w:ascii="Times New Roman" w:hAnsi="Times New Roman" w:eastAsia="Times New Roman" w:cs="Times New Roman"/>
                <w:sz w:val="20"/>
                <w:szCs w:val="20"/>
              </w:rPr>
            </w:pPr>
            <w:bookmarkStart w:name="bookmark546" w:id="202"/>
            <w:bookmarkEnd w:id="202"/>
            <w:r>
              <w:rPr>
                <w:rFonts w:ascii="Times New Roman" w:hAnsi="Times New Roman" w:eastAsia="Times New Roman" w:cs="Times New Roman"/>
                <w:sz w:val="20"/>
                <w:szCs w:val="20"/>
                <w:spacing w:val="-8"/>
              </w:rPr>
              <w:t>14</w:t>
            </w:r>
          </w:p>
        </w:tc>
        <w:tc>
          <w:tcPr>
            <w:tcW w:w="851" w:type="dxa"/>
            <w:vAlign w:val="top"/>
            <w:tcBorders>
              <w:top w:val="single" w:color="000000" w:sz="10" w:space="0"/>
            </w:tcBorders>
          </w:tcPr>
          <w:p>
            <w:pPr>
              <w:ind w:left="240"/>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2/53</w:t>
            </w:r>
          </w:p>
        </w:tc>
        <w:tc>
          <w:tcPr>
            <w:tcW w:w="1134" w:type="dxa"/>
            <w:vAlign w:val="top"/>
            <w:tcBorders>
              <w:top w:val="single" w:color="000000" w:sz="10" w:space="0"/>
            </w:tcBorders>
          </w:tcPr>
          <w:p>
            <w:pPr>
              <w:ind w:left="20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4766258</w:t>
            </w:r>
          </w:p>
        </w:tc>
        <w:tc>
          <w:tcPr>
            <w:tcW w:w="992" w:type="dxa"/>
            <w:vAlign w:val="top"/>
            <w:tcBorders>
              <w:top w:val="single" w:color="000000" w:sz="10" w:space="0"/>
            </w:tcBorders>
          </w:tcPr>
          <w:p>
            <w:pPr>
              <w:ind w:left="18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411954</w:t>
            </w:r>
          </w:p>
        </w:tc>
        <w:tc>
          <w:tcPr>
            <w:tcW w:w="1134" w:type="dxa"/>
            <w:vAlign w:val="top"/>
            <w:tcBorders>
              <w:top w:val="single" w:color="000000" w:sz="10" w:space="0"/>
            </w:tcBorders>
          </w:tcPr>
          <w:p>
            <w:pPr>
              <w:ind w:left="46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Borders>
              <w:top w:val="single" w:color="000000" w:sz="10" w:space="0"/>
            </w:tcBorders>
          </w:tcPr>
          <w:p>
            <w:pPr>
              <w:ind w:left="504"/>
              <w:spacing w:before="8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3.3×10</w:t>
            </w:r>
            <w:r>
              <w:rPr>
                <w:rFonts w:ascii="Times New Roman" w:hAnsi="Times New Roman" w:eastAsia="Times New Roman" w:cs="Times New Roman"/>
                <w:sz w:val="13"/>
                <w:szCs w:val="13"/>
                <w:spacing w:val="2"/>
                <w:position w:val="6"/>
              </w:rPr>
              <w:t>-3</w:t>
            </w:r>
          </w:p>
        </w:tc>
        <w:tc>
          <w:tcPr>
            <w:tcW w:w="1133" w:type="dxa"/>
            <w:vAlign w:val="top"/>
            <w:tcBorders>
              <w:top w:val="single" w:color="000000" w:sz="10" w:space="0"/>
            </w:tcBorders>
          </w:tcPr>
          <w:p>
            <w:pPr>
              <w:pStyle w:val="TableText"/>
              <w:ind w:left="390"/>
              <w:spacing w:before="68" w:line="232" w:lineRule="auto"/>
              <w:rPr/>
            </w:pPr>
            <w:r>
              <w:rPr>
                <w:spacing w:val="-9"/>
              </w:rPr>
              <w:t>围岩</w:t>
            </w:r>
          </w:p>
        </w:tc>
        <w:tc>
          <w:tcPr>
            <w:tcW w:w="758" w:type="dxa"/>
            <w:vAlign w:val="top"/>
            <w:tcBorders>
              <w:right w:val="nil"/>
              <w:top w:val="single" w:color="000000" w:sz="10" w:space="0"/>
            </w:tcBorders>
          </w:tcPr>
          <w:p>
            <w:pPr>
              <w:rPr>
                <w:rFonts w:ascii="Arial"/>
                <w:sz w:val="21"/>
              </w:rPr>
            </w:pPr>
            <w:r/>
          </w:p>
        </w:tc>
      </w:tr>
      <w:tr>
        <w:trPr>
          <w:trHeight w:val="361" w:hRule="atLeast"/>
        </w:trPr>
        <w:tc>
          <w:tcPr>
            <w:tcW w:w="816" w:type="dxa"/>
            <w:vAlign w:val="top"/>
            <w:tcBorders>
              <w:left w:val="nil"/>
            </w:tcBorders>
          </w:tcPr>
          <w:p>
            <w:pPr>
              <w:ind w:left="328"/>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851" w:type="dxa"/>
            <w:vAlign w:val="top"/>
          </w:tcPr>
          <w:p>
            <w:pPr>
              <w:ind w:left="245"/>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3/53</w:t>
            </w:r>
          </w:p>
        </w:tc>
        <w:tc>
          <w:tcPr>
            <w:tcW w:w="1134" w:type="dxa"/>
            <w:vAlign w:val="top"/>
          </w:tcPr>
          <w:p>
            <w:pPr>
              <w:ind w:left="200"/>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4766259</w:t>
            </w:r>
          </w:p>
        </w:tc>
        <w:tc>
          <w:tcPr>
            <w:tcW w:w="992" w:type="dxa"/>
            <w:vAlign w:val="top"/>
          </w:tcPr>
          <w:p>
            <w:pPr>
              <w:ind w:left="186"/>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411965</w:t>
            </w:r>
          </w:p>
        </w:tc>
        <w:tc>
          <w:tcPr>
            <w:tcW w:w="1134" w:type="dxa"/>
            <w:vAlign w:val="top"/>
          </w:tcPr>
          <w:p>
            <w:pPr>
              <w:ind w:left="467"/>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93"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14×10</w:t>
            </w:r>
            <w:r>
              <w:rPr>
                <w:rFonts w:ascii="Times New Roman" w:hAnsi="Times New Roman" w:eastAsia="Times New Roman" w:cs="Times New Roman"/>
                <w:sz w:val="13"/>
                <w:szCs w:val="13"/>
                <w:position w:val="6"/>
              </w:rPr>
              <w:t>-3</w:t>
            </w:r>
          </w:p>
        </w:tc>
        <w:tc>
          <w:tcPr>
            <w:tcW w:w="1133" w:type="dxa"/>
            <w:vAlign w:val="top"/>
          </w:tcPr>
          <w:p>
            <w:pPr>
              <w:pStyle w:val="TableText"/>
              <w:ind w:left="390"/>
              <w:spacing w:before="77"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28"/>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851" w:type="dxa"/>
            <w:vAlign w:val="top"/>
          </w:tcPr>
          <w:p>
            <w:pPr>
              <w:ind w:left="239"/>
              <w:spacing w:before="11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4/53</w:t>
            </w:r>
          </w:p>
        </w:tc>
        <w:tc>
          <w:tcPr>
            <w:tcW w:w="1134" w:type="dxa"/>
            <w:vAlign w:val="top"/>
          </w:tcPr>
          <w:p>
            <w:pPr>
              <w:ind w:left="200"/>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4766258</w:t>
            </w:r>
          </w:p>
        </w:tc>
        <w:tc>
          <w:tcPr>
            <w:tcW w:w="992" w:type="dxa"/>
            <w:vAlign w:val="top"/>
          </w:tcPr>
          <w:p>
            <w:pPr>
              <w:ind w:left="186"/>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411975</w:t>
            </w:r>
          </w:p>
        </w:tc>
        <w:tc>
          <w:tcPr>
            <w:tcW w:w="1134" w:type="dxa"/>
            <w:vAlign w:val="top"/>
          </w:tcPr>
          <w:p>
            <w:pPr>
              <w:ind w:left="467"/>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47"/>
              <w:spacing w:before="97"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2.98×10</w:t>
            </w:r>
            <w:r>
              <w:rPr>
                <w:rFonts w:ascii="Times New Roman" w:hAnsi="Times New Roman" w:eastAsia="Times New Roman" w:cs="Times New Roman"/>
                <w:sz w:val="13"/>
                <w:szCs w:val="13"/>
                <w:spacing w:val="3"/>
                <w:position w:val="6"/>
              </w:rPr>
              <w:t>-3</w:t>
            </w:r>
          </w:p>
        </w:tc>
        <w:tc>
          <w:tcPr>
            <w:tcW w:w="1133" w:type="dxa"/>
            <w:vAlign w:val="top"/>
          </w:tcPr>
          <w:p>
            <w:pPr>
              <w:pStyle w:val="TableText"/>
              <w:ind w:left="390"/>
              <w:spacing w:before="78"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28"/>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851" w:type="dxa"/>
            <w:vAlign w:val="top"/>
          </w:tcPr>
          <w:p>
            <w:pPr>
              <w:ind w:left="246"/>
              <w:spacing w:before="11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5/53</w:t>
            </w:r>
          </w:p>
        </w:tc>
        <w:tc>
          <w:tcPr>
            <w:tcW w:w="1134" w:type="dxa"/>
            <w:vAlign w:val="top"/>
          </w:tcPr>
          <w:p>
            <w:pPr>
              <w:ind w:left="200"/>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4766256</w:t>
            </w:r>
          </w:p>
        </w:tc>
        <w:tc>
          <w:tcPr>
            <w:tcW w:w="992" w:type="dxa"/>
            <w:vAlign w:val="top"/>
          </w:tcPr>
          <w:p>
            <w:pPr>
              <w:ind w:left="186"/>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411983</w:t>
            </w:r>
          </w:p>
        </w:tc>
        <w:tc>
          <w:tcPr>
            <w:tcW w:w="1134" w:type="dxa"/>
            <w:vAlign w:val="top"/>
          </w:tcPr>
          <w:p>
            <w:pPr>
              <w:ind w:left="467"/>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97"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3.01×10</w:t>
            </w:r>
            <w:r>
              <w:rPr>
                <w:rFonts w:ascii="Times New Roman" w:hAnsi="Times New Roman" w:eastAsia="Times New Roman" w:cs="Times New Roman"/>
                <w:sz w:val="13"/>
                <w:szCs w:val="13"/>
                <w:spacing w:val="3"/>
                <w:position w:val="6"/>
              </w:rPr>
              <w:t>-3</w:t>
            </w:r>
          </w:p>
        </w:tc>
        <w:tc>
          <w:tcPr>
            <w:tcW w:w="1133" w:type="dxa"/>
            <w:vAlign w:val="top"/>
          </w:tcPr>
          <w:p>
            <w:pPr>
              <w:pStyle w:val="TableText"/>
              <w:ind w:left="390"/>
              <w:spacing w:before="81" w:line="232" w:lineRule="auto"/>
              <w:rPr/>
            </w:pPr>
            <w:r>
              <w:rPr>
                <w:spacing w:val="-9"/>
              </w:rPr>
              <w:t>围岩</w:t>
            </w:r>
          </w:p>
        </w:tc>
        <w:tc>
          <w:tcPr>
            <w:tcW w:w="758" w:type="dxa"/>
            <w:vAlign w:val="top"/>
            <w:tcBorders>
              <w:right w:val="nil"/>
            </w:tcBorders>
          </w:tcPr>
          <w:p>
            <w:pPr>
              <w:rPr>
                <w:rFonts w:ascii="Arial"/>
                <w:sz w:val="21"/>
              </w:rPr>
            </w:pPr>
            <w:r/>
          </w:p>
        </w:tc>
      </w:tr>
      <w:tr>
        <w:trPr>
          <w:trHeight w:val="361" w:hRule="atLeast"/>
        </w:trPr>
        <w:tc>
          <w:tcPr>
            <w:tcW w:w="816" w:type="dxa"/>
            <w:vAlign w:val="top"/>
            <w:tcBorders>
              <w:left w:val="nil"/>
            </w:tcBorders>
          </w:tcPr>
          <w:p>
            <w:pPr>
              <w:ind w:left="328"/>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851" w:type="dxa"/>
            <w:vAlign w:val="top"/>
          </w:tcPr>
          <w:p>
            <w:pPr>
              <w:ind w:left="245"/>
              <w:spacing w:before="11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6/53</w:t>
            </w:r>
          </w:p>
        </w:tc>
        <w:tc>
          <w:tcPr>
            <w:tcW w:w="1134" w:type="dxa"/>
            <w:vAlign w:val="top"/>
          </w:tcPr>
          <w:p>
            <w:pPr>
              <w:ind w:left="200"/>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4766258</w:t>
            </w:r>
          </w:p>
        </w:tc>
        <w:tc>
          <w:tcPr>
            <w:tcW w:w="992" w:type="dxa"/>
            <w:vAlign w:val="top"/>
          </w:tcPr>
          <w:p>
            <w:pPr>
              <w:ind w:left="186"/>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411994</w:t>
            </w:r>
          </w:p>
        </w:tc>
        <w:tc>
          <w:tcPr>
            <w:tcW w:w="1134" w:type="dxa"/>
            <w:vAlign w:val="top"/>
          </w:tcPr>
          <w:p>
            <w:pPr>
              <w:ind w:left="46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0"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3.06×10</w:t>
            </w:r>
            <w:r>
              <w:rPr>
                <w:rFonts w:ascii="Times New Roman" w:hAnsi="Times New Roman" w:eastAsia="Times New Roman" w:cs="Times New Roman"/>
                <w:sz w:val="13"/>
                <w:szCs w:val="13"/>
                <w:spacing w:val="3"/>
                <w:position w:val="6"/>
              </w:rPr>
              <w:t>-3</w:t>
            </w:r>
          </w:p>
        </w:tc>
        <w:tc>
          <w:tcPr>
            <w:tcW w:w="1133" w:type="dxa"/>
            <w:vAlign w:val="top"/>
          </w:tcPr>
          <w:p>
            <w:pPr>
              <w:pStyle w:val="TableText"/>
              <w:ind w:left="164"/>
              <w:spacing w:before="84" w:line="231" w:lineRule="auto"/>
              <w:rPr/>
            </w:pPr>
            <w:r>
              <w:rPr>
                <w:spacing w:val="4"/>
              </w:rPr>
              <w:t>萤石矿体</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28"/>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851" w:type="dxa"/>
            <w:vAlign w:val="top"/>
          </w:tcPr>
          <w:p>
            <w:pPr>
              <w:ind w:left="244"/>
              <w:spacing w:before="12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7/53</w:t>
            </w:r>
          </w:p>
        </w:tc>
        <w:tc>
          <w:tcPr>
            <w:tcW w:w="1134" w:type="dxa"/>
            <w:vAlign w:val="top"/>
          </w:tcPr>
          <w:p>
            <w:pPr>
              <w:ind w:left="20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4766257</w:t>
            </w:r>
          </w:p>
        </w:tc>
        <w:tc>
          <w:tcPr>
            <w:tcW w:w="992" w:type="dxa"/>
            <w:vAlign w:val="top"/>
          </w:tcPr>
          <w:p>
            <w:pPr>
              <w:ind w:left="182"/>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412002</w:t>
            </w:r>
          </w:p>
        </w:tc>
        <w:tc>
          <w:tcPr>
            <w:tcW w:w="1134" w:type="dxa"/>
            <w:vAlign w:val="top"/>
          </w:tcPr>
          <w:p>
            <w:pPr>
              <w:ind w:left="467"/>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504"/>
              <w:spacing w:before="103"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1"/>
              </w:rPr>
              <w:t>1×10</w:t>
            </w:r>
            <w:r>
              <w:rPr>
                <w:rFonts w:ascii="Times New Roman" w:hAnsi="Times New Roman" w:eastAsia="Times New Roman" w:cs="Times New Roman"/>
                <w:sz w:val="13"/>
                <w:szCs w:val="13"/>
                <w:spacing w:val="-1"/>
                <w:position w:val="6"/>
              </w:rPr>
              <w:t>-3</w:t>
            </w:r>
          </w:p>
        </w:tc>
        <w:tc>
          <w:tcPr>
            <w:tcW w:w="1133" w:type="dxa"/>
            <w:vAlign w:val="top"/>
          </w:tcPr>
          <w:p>
            <w:pPr>
              <w:pStyle w:val="TableText"/>
              <w:ind w:left="164"/>
              <w:spacing w:before="87" w:line="231" w:lineRule="auto"/>
              <w:rPr/>
            </w:pPr>
            <w:r>
              <w:rPr>
                <w:spacing w:val="4"/>
              </w:rPr>
              <w:t>萤石矿体</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08"/>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851" w:type="dxa"/>
            <w:vAlign w:val="top"/>
          </w:tcPr>
          <w:p>
            <w:pPr>
              <w:ind w:left="249"/>
              <w:spacing w:before="12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8/53</w:t>
            </w:r>
          </w:p>
        </w:tc>
        <w:tc>
          <w:tcPr>
            <w:tcW w:w="1134" w:type="dxa"/>
            <w:vAlign w:val="top"/>
          </w:tcPr>
          <w:p>
            <w:pPr>
              <w:ind w:left="20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4766259</w:t>
            </w:r>
          </w:p>
        </w:tc>
        <w:tc>
          <w:tcPr>
            <w:tcW w:w="992" w:type="dxa"/>
            <w:vAlign w:val="top"/>
          </w:tcPr>
          <w:p>
            <w:pPr>
              <w:ind w:left="18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412013</w:t>
            </w:r>
          </w:p>
        </w:tc>
        <w:tc>
          <w:tcPr>
            <w:tcW w:w="1134" w:type="dxa"/>
            <w:vAlign w:val="top"/>
          </w:tcPr>
          <w:p>
            <w:pPr>
              <w:ind w:left="46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6"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3.62×10</w:t>
            </w:r>
            <w:r>
              <w:rPr>
                <w:rFonts w:ascii="Times New Roman" w:hAnsi="Times New Roman" w:eastAsia="Times New Roman" w:cs="Times New Roman"/>
                <w:sz w:val="13"/>
                <w:szCs w:val="13"/>
                <w:spacing w:val="3"/>
                <w:position w:val="6"/>
              </w:rPr>
              <w:t>-3</w:t>
            </w:r>
          </w:p>
        </w:tc>
        <w:tc>
          <w:tcPr>
            <w:tcW w:w="1133" w:type="dxa"/>
            <w:vAlign w:val="top"/>
          </w:tcPr>
          <w:p>
            <w:pPr>
              <w:pStyle w:val="TableText"/>
              <w:ind w:left="390"/>
              <w:spacing w:before="87"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0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851" w:type="dxa"/>
            <w:vAlign w:val="top"/>
          </w:tcPr>
          <w:p>
            <w:pPr>
              <w:ind w:left="244"/>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9/53</w:t>
            </w:r>
          </w:p>
        </w:tc>
        <w:tc>
          <w:tcPr>
            <w:tcW w:w="1134" w:type="dxa"/>
            <w:vAlign w:val="top"/>
          </w:tcPr>
          <w:p>
            <w:pPr>
              <w:ind w:left="20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4766258</w:t>
            </w:r>
          </w:p>
        </w:tc>
        <w:tc>
          <w:tcPr>
            <w:tcW w:w="992" w:type="dxa"/>
            <w:vAlign w:val="top"/>
          </w:tcPr>
          <w:p>
            <w:pPr>
              <w:ind w:left="18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412023</w:t>
            </w:r>
          </w:p>
        </w:tc>
        <w:tc>
          <w:tcPr>
            <w:tcW w:w="1134" w:type="dxa"/>
            <w:vAlign w:val="top"/>
          </w:tcPr>
          <w:p>
            <w:pPr>
              <w:ind w:left="467"/>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06"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3.93×10</w:t>
            </w:r>
            <w:r>
              <w:rPr>
                <w:rFonts w:ascii="Times New Roman" w:hAnsi="Times New Roman" w:eastAsia="Times New Roman" w:cs="Times New Roman"/>
                <w:sz w:val="13"/>
                <w:szCs w:val="13"/>
                <w:spacing w:val="3"/>
                <w:position w:val="6"/>
              </w:rPr>
              <w:t>-3</w:t>
            </w:r>
          </w:p>
        </w:tc>
        <w:tc>
          <w:tcPr>
            <w:tcW w:w="1133" w:type="dxa"/>
            <w:vAlign w:val="top"/>
          </w:tcPr>
          <w:p>
            <w:pPr>
              <w:pStyle w:val="TableText"/>
              <w:ind w:left="390"/>
              <w:spacing w:before="90"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0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851" w:type="dxa"/>
            <w:vAlign w:val="top"/>
          </w:tcPr>
          <w:p>
            <w:pPr>
              <w:ind w:left="208"/>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10/53</w:t>
            </w:r>
          </w:p>
        </w:tc>
        <w:tc>
          <w:tcPr>
            <w:tcW w:w="1134" w:type="dxa"/>
            <w:vAlign w:val="top"/>
          </w:tcPr>
          <w:p>
            <w:pPr>
              <w:ind w:left="20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4766256</w:t>
            </w:r>
          </w:p>
        </w:tc>
        <w:tc>
          <w:tcPr>
            <w:tcW w:w="992" w:type="dxa"/>
            <w:vAlign w:val="top"/>
          </w:tcPr>
          <w:p>
            <w:pPr>
              <w:ind w:left="18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412031</w:t>
            </w:r>
          </w:p>
        </w:tc>
        <w:tc>
          <w:tcPr>
            <w:tcW w:w="1134" w:type="dxa"/>
            <w:vAlign w:val="top"/>
          </w:tcPr>
          <w:p>
            <w:pPr>
              <w:ind w:left="46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504"/>
              <w:spacing w:before="109"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3.5×10</w:t>
            </w:r>
            <w:r>
              <w:rPr>
                <w:rFonts w:ascii="Times New Roman" w:hAnsi="Times New Roman" w:eastAsia="Times New Roman" w:cs="Times New Roman"/>
                <w:sz w:val="13"/>
                <w:szCs w:val="13"/>
                <w:spacing w:val="2"/>
                <w:position w:val="6"/>
              </w:rPr>
              <w:t>-3</w:t>
            </w:r>
          </w:p>
        </w:tc>
        <w:tc>
          <w:tcPr>
            <w:tcW w:w="1133" w:type="dxa"/>
            <w:vAlign w:val="top"/>
          </w:tcPr>
          <w:p>
            <w:pPr>
              <w:pStyle w:val="TableText"/>
              <w:ind w:left="390"/>
              <w:spacing w:before="92" w:line="232" w:lineRule="auto"/>
              <w:rPr/>
            </w:pPr>
            <w:r>
              <w:rPr>
                <w:spacing w:val="-9"/>
              </w:rPr>
              <w:t>围岩</w:t>
            </w:r>
          </w:p>
        </w:tc>
        <w:tc>
          <w:tcPr>
            <w:tcW w:w="758" w:type="dxa"/>
            <w:vAlign w:val="top"/>
            <w:tcBorders>
              <w:right w:val="nil"/>
            </w:tcBorders>
          </w:tcPr>
          <w:p>
            <w:pPr>
              <w:rPr>
                <w:rFonts w:ascii="Arial"/>
                <w:sz w:val="21"/>
              </w:rPr>
            </w:pPr>
            <w:r/>
          </w:p>
        </w:tc>
      </w:tr>
      <w:tr>
        <w:trPr>
          <w:trHeight w:val="362" w:hRule="atLeast"/>
        </w:trPr>
        <w:tc>
          <w:tcPr>
            <w:tcW w:w="816" w:type="dxa"/>
            <w:vAlign w:val="top"/>
            <w:tcBorders>
              <w:left w:val="nil"/>
            </w:tcBorders>
          </w:tcPr>
          <w:p>
            <w:pPr>
              <w:ind w:left="30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851" w:type="dxa"/>
            <w:vAlign w:val="top"/>
          </w:tcPr>
          <w:p>
            <w:pPr>
              <w:ind w:left="212"/>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11/53</w:t>
            </w:r>
          </w:p>
        </w:tc>
        <w:tc>
          <w:tcPr>
            <w:tcW w:w="1134" w:type="dxa"/>
            <w:vAlign w:val="top"/>
          </w:tcPr>
          <w:p>
            <w:pPr>
              <w:ind w:left="20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4766259</w:t>
            </w:r>
          </w:p>
        </w:tc>
        <w:tc>
          <w:tcPr>
            <w:tcW w:w="992" w:type="dxa"/>
            <w:vAlign w:val="top"/>
          </w:tcPr>
          <w:p>
            <w:pPr>
              <w:ind w:left="18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412043</w:t>
            </w:r>
          </w:p>
        </w:tc>
        <w:tc>
          <w:tcPr>
            <w:tcW w:w="1134" w:type="dxa"/>
            <w:vAlign w:val="top"/>
          </w:tcPr>
          <w:p>
            <w:pPr>
              <w:ind w:left="4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Pr>
          <w:p>
            <w:pPr>
              <w:ind w:left="451"/>
              <w:spacing w:before="111"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3.51×10</w:t>
            </w:r>
            <w:r>
              <w:rPr>
                <w:rFonts w:ascii="Times New Roman" w:hAnsi="Times New Roman" w:eastAsia="Times New Roman" w:cs="Times New Roman"/>
                <w:sz w:val="13"/>
                <w:szCs w:val="13"/>
                <w:spacing w:val="3"/>
                <w:position w:val="6"/>
              </w:rPr>
              <w:t>-3</w:t>
            </w:r>
          </w:p>
        </w:tc>
        <w:tc>
          <w:tcPr>
            <w:tcW w:w="1133" w:type="dxa"/>
            <w:vAlign w:val="top"/>
          </w:tcPr>
          <w:p>
            <w:pPr>
              <w:pStyle w:val="TableText"/>
              <w:ind w:left="390"/>
              <w:spacing w:before="95" w:line="232" w:lineRule="auto"/>
              <w:rPr/>
            </w:pPr>
            <w:r>
              <w:rPr>
                <w:spacing w:val="-9"/>
              </w:rPr>
              <w:t>围岩</w:t>
            </w:r>
          </w:p>
        </w:tc>
        <w:tc>
          <w:tcPr>
            <w:tcW w:w="758" w:type="dxa"/>
            <w:vAlign w:val="top"/>
            <w:tcBorders>
              <w:right w:val="nil"/>
            </w:tcBorders>
          </w:tcPr>
          <w:p>
            <w:pPr>
              <w:rPr>
                <w:rFonts w:ascii="Arial"/>
                <w:sz w:val="21"/>
              </w:rPr>
            </w:pPr>
            <w:r/>
          </w:p>
        </w:tc>
      </w:tr>
      <w:tr>
        <w:trPr>
          <w:trHeight w:val="385" w:hRule="atLeast"/>
        </w:trPr>
        <w:tc>
          <w:tcPr>
            <w:tcW w:w="816" w:type="dxa"/>
            <w:vAlign w:val="top"/>
            <w:tcBorders>
              <w:left w:val="nil"/>
              <w:bottom w:val="single" w:color="000000" w:sz="10" w:space="0"/>
            </w:tcBorders>
          </w:tcPr>
          <w:p>
            <w:pPr>
              <w:ind w:left="30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851" w:type="dxa"/>
            <w:vAlign w:val="top"/>
            <w:tcBorders>
              <w:bottom w:val="single" w:color="000000" w:sz="10" w:space="0"/>
            </w:tcBorders>
          </w:tcPr>
          <w:p>
            <w:pPr>
              <w:ind w:left="208"/>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12/53</w:t>
            </w:r>
          </w:p>
        </w:tc>
        <w:tc>
          <w:tcPr>
            <w:tcW w:w="1134" w:type="dxa"/>
            <w:vAlign w:val="top"/>
            <w:tcBorders>
              <w:bottom w:val="single" w:color="000000" w:sz="10" w:space="0"/>
            </w:tcBorders>
          </w:tcPr>
          <w:p>
            <w:pPr>
              <w:ind w:left="20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4766257</w:t>
            </w:r>
          </w:p>
        </w:tc>
        <w:tc>
          <w:tcPr>
            <w:tcW w:w="992" w:type="dxa"/>
            <w:vAlign w:val="top"/>
            <w:tcBorders>
              <w:bottom w:val="single" w:color="000000" w:sz="10" w:space="0"/>
            </w:tcBorders>
          </w:tcPr>
          <w:p>
            <w:pPr>
              <w:ind w:left="18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412054</w:t>
            </w:r>
          </w:p>
        </w:tc>
        <w:tc>
          <w:tcPr>
            <w:tcW w:w="1134" w:type="dxa"/>
            <w:vAlign w:val="top"/>
            <w:tcBorders>
              <w:bottom w:val="single" w:color="000000" w:sz="10" w:space="0"/>
            </w:tcBorders>
          </w:tcPr>
          <w:p>
            <w:pPr>
              <w:ind w:left="4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01" w:type="dxa"/>
            <w:vAlign w:val="top"/>
            <w:tcBorders>
              <w:bottom w:val="single" w:color="000000" w:sz="10" w:space="0"/>
            </w:tcBorders>
          </w:tcPr>
          <w:p>
            <w:pPr>
              <w:ind w:left="451"/>
              <w:spacing w:before="114"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3.75×10</w:t>
            </w:r>
            <w:r>
              <w:rPr>
                <w:rFonts w:ascii="Times New Roman" w:hAnsi="Times New Roman" w:eastAsia="Times New Roman" w:cs="Times New Roman"/>
                <w:sz w:val="13"/>
                <w:szCs w:val="13"/>
                <w:spacing w:val="3"/>
                <w:position w:val="6"/>
              </w:rPr>
              <w:t>-3</w:t>
            </w:r>
          </w:p>
        </w:tc>
        <w:tc>
          <w:tcPr>
            <w:tcW w:w="1133" w:type="dxa"/>
            <w:vAlign w:val="top"/>
            <w:tcBorders>
              <w:bottom w:val="single" w:color="000000" w:sz="10" w:space="0"/>
            </w:tcBorders>
          </w:tcPr>
          <w:p>
            <w:pPr>
              <w:pStyle w:val="TableText"/>
              <w:ind w:left="390"/>
              <w:spacing w:before="95" w:line="232" w:lineRule="auto"/>
              <w:rPr/>
            </w:pPr>
            <w:r>
              <w:rPr>
                <w:spacing w:val="-9"/>
              </w:rPr>
              <w:t>围岩</w:t>
            </w:r>
          </w:p>
        </w:tc>
        <w:tc>
          <w:tcPr>
            <w:tcW w:w="758" w:type="dxa"/>
            <w:vAlign w:val="top"/>
            <w:tcBorders>
              <w:right w:val="nil"/>
              <w:bottom w:val="single" w:color="000000" w:sz="10" w:space="0"/>
            </w:tcBorders>
          </w:tcPr>
          <w:p>
            <w:pPr>
              <w:rPr>
                <w:rFonts w:ascii="Arial"/>
                <w:sz w:val="21"/>
              </w:rPr>
            </w:pPr>
            <w:r/>
          </w:p>
        </w:tc>
      </w:tr>
    </w:tbl>
    <w:p>
      <w:pPr>
        <w:pStyle w:val="BodyText"/>
        <w:spacing w:line="411" w:lineRule="auto"/>
        <w:rPr/>
      </w:pPr>
      <w:r/>
    </w:p>
    <w:p>
      <w:pPr>
        <w:ind w:firstLine="637"/>
        <w:spacing w:line="4192" w:lineRule="exact"/>
        <w:rPr/>
      </w:pPr>
      <w:r>
        <w:rPr>
          <w:position w:val="-83"/>
        </w:rPr>
        <w:drawing>
          <wp:inline distT="0" distB="0" distL="0" distR="0">
            <wp:extent cx="4724400" cy="2662428"/>
            <wp:effectExtent l="0" t="0" r="0" b="0"/>
            <wp:docPr id="14" name="IM 14"/>
            <wp:cNvGraphicFramePr/>
            <a:graphic>
              <a:graphicData uri="http://schemas.openxmlformats.org/drawingml/2006/picture">
                <pic:pic>
                  <pic:nvPicPr>
                    <pic:cNvPr id="14" name="IM 14"/>
                    <pic:cNvPicPr/>
                  </pic:nvPicPr>
                  <pic:blipFill>
                    <a:blip r:embed="rId120"/>
                    <a:stretch>
                      <a:fillRect/>
                    </a:stretch>
                  </pic:blipFill>
                  <pic:spPr>
                    <a:xfrm rot="0">
                      <a:off x="0" y="0"/>
                      <a:ext cx="4724400" cy="2662428"/>
                    </a:xfrm>
                    <a:prstGeom prst="rect">
                      <a:avLst/>
                    </a:prstGeom>
                  </pic:spPr>
                </pic:pic>
              </a:graphicData>
            </a:graphic>
          </wp:inline>
        </w:drawing>
      </w:r>
    </w:p>
    <w:p>
      <w:pPr>
        <w:ind w:left="2493"/>
        <w:spacing w:before="181" w:line="223" w:lineRule="auto"/>
        <w:rPr>
          <w:rFonts w:ascii="FangSong" w:hAnsi="FangSong" w:eastAsia="FangSong" w:cs="FangSong"/>
          <w:sz w:val="24"/>
          <w:szCs w:val="24"/>
        </w:rPr>
      </w:pPr>
      <w:r>
        <w:rPr>
          <w:rFonts w:ascii="FangSong" w:hAnsi="FangSong" w:eastAsia="FangSong" w:cs="FangSong"/>
          <w:sz w:val="24"/>
          <w:szCs w:val="24"/>
          <w:b/>
          <w:bCs/>
          <w:spacing w:val="-5"/>
        </w:rPr>
        <w:t>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5"/>
        </w:rPr>
        <w:t>4.3-1 50</w:t>
      </w:r>
      <w:r>
        <w:rPr>
          <w:rFonts w:ascii="Times New Roman" w:hAnsi="Times New Roman" w:eastAsia="Times New Roman" w:cs="Times New Roman"/>
          <w:sz w:val="24"/>
          <w:szCs w:val="24"/>
          <w:b/>
          <w:bCs/>
          <w:spacing w:val="22"/>
        </w:rPr>
        <w:t xml:space="preserve"> </w:t>
      </w:r>
      <w:r>
        <w:rPr>
          <w:rFonts w:ascii="FangSong" w:hAnsi="FangSong" w:eastAsia="FangSong" w:cs="FangSong"/>
          <w:sz w:val="24"/>
          <w:szCs w:val="24"/>
          <w:b/>
          <w:bCs/>
          <w:spacing w:val="-5"/>
        </w:rPr>
        <w:t>号线伽玛照射量率剖面图</w:t>
      </w:r>
    </w:p>
    <w:p>
      <w:pPr>
        <w:ind w:firstLine="618"/>
        <w:spacing w:before="140" w:line="3881" w:lineRule="exact"/>
        <w:rPr/>
      </w:pPr>
      <w:r>
        <w:rPr>
          <w:position w:val="-77"/>
        </w:rPr>
        <w:drawing>
          <wp:inline distT="0" distB="0" distL="0" distR="0">
            <wp:extent cx="4748783" cy="2464307"/>
            <wp:effectExtent l="0" t="0" r="0" b="0"/>
            <wp:docPr id="16" name="IM 16"/>
            <wp:cNvGraphicFramePr/>
            <a:graphic>
              <a:graphicData uri="http://schemas.openxmlformats.org/drawingml/2006/picture">
                <pic:pic>
                  <pic:nvPicPr>
                    <pic:cNvPr id="16" name="IM 16"/>
                    <pic:cNvPicPr/>
                  </pic:nvPicPr>
                  <pic:blipFill>
                    <a:blip r:embed="rId121"/>
                    <a:stretch>
                      <a:fillRect/>
                    </a:stretch>
                  </pic:blipFill>
                  <pic:spPr>
                    <a:xfrm rot="0">
                      <a:off x="0" y="0"/>
                      <a:ext cx="4748783" cy="2464307"/>
                    </a:xfrm>
                    <a:prstGeom prst="rect">
                      <a:avLst/>
                    </a:prstGeom>
                  </pic:spPr>
                </pic:pic>
              </a:graphicData>
            </a:graphic>
          </wp:inline>
        </w:drawing>
      </w:r>
    </w:p>
    <w:p>
      <w:pPr>
        <w:ind w:left="2493"/>
        <w:spacing w:before="193" w:line="223" w:lineRule="auto"/>
        <w:rPr>
          <w:rFonts w:ascii="FangSong" w:hAnsi="FangSong" w:eastAsia="FangSong" w:cs="FangSong"/>
          <w:sz w:val="24"/>
          <w:szCs w:val="24"/>
        </w:rPr>
      </w:pPr>
      <w:r>
        <w:rPr>
          <w:rFonts w:ascii="FangSong" w:hAnsi="FangSong" w:eastAsia="FangSong" w:cs="FangSong"/>
          <w:sz w:val="24"/>
          <w:szCs w:val="24"/>
          <w:b/>
          <w:bCs/>
          <w:spacing w:val="-5"/>
        </w:rPr>
        <w:t>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5"/>
        </w:rPr>
        <w:t>4.3-2 53</w:t>
      </w:r>
      <w:r>
        <w:rPr>
          <w:rFonts w:ascii="Times New Roman" w:hAnsi="Times New Roman" w:eastAsia="Times New Roman" w:cs="Times New Roman"/>
          <w:sz w:val="24"/>
          <w:szCs w:val="24"/>
          <w:b/>
          <w:bCs/>
          <w:spacing w:val="22"/>
        </w:rPr>
        <w:t xml:space="preserve"> </w:t>
      </w:r>
      <w:r>
        <w:rPr>
          <w:rFonts w:ascii="FangSong" w:hAnsi="FangSong" w:eastAsia="FangSong" w:cs="FangSong"/>
          <w:sz w:val="24"/>
          <w:szCs w:val="24"/>
          <w:b/>
          <w:bCs/>
          <w:spacing w:val="-5"/>
        </w:rPr>
        <w:t>号线伽玛照射量率剖面图</w:t>
      </w:r>
    </w:p>
    <w:p>
      <w:pPr>
        <w:spacing w:line="223" w:lineRule="auto"/>
        <w:sectPr>
          <w:footerReference w:type="default" r:id="rId119"/>
          <w:pgSz w:w="11911" w:h="16839"/>
          <w:pgMar w:top="400" w:right="1505" w:bottom="1146" w:left="1786" w:header="0" w:footer="984" w:gutter="0"/>
        </w:sectPr>
        <w:rPr>
          <w:rFonts w:ascii="FangSong" w:hAnsi="FangSong" w:eastAsia="FangSong" w:cs="FangSong"/>
          <w:sz w:val="24"/>
          <w:szCs w:val="24"/>
        </w:rPr>
      </w:pPr>
    </w:p>
    <w:p>
      <w:pPr>
        <w:pStyle w:val="BodyText"/>
        <w:rPr/>
      </w:pPr>
      <w:r/>
    </w:p>
    <w:p>
      <w:pPr>
        <w:pStyle w:val="BodyText"/>
        <w:rPr/>
      </w:pPr>
      <w:r/>
    </w:p>
    <w:p>
      <w:pPr>
        <w:pStyle w:val="BodyText"/>
        <w:rPr/>
      </w:pPr>
      <w:r/>
    </w:p>
    <w:p>
      <w:pPr>
        <w:pStyle w:val="BodyText"/>
        <w:spacing w:line="241" w:lineRule="auto"/>
        <w:rPr/>
      </w:pPr>
      <w:r/>
    </w:p>
    <w:p>
      <w:pPr>
        <w:ind w:left="17"/>
        <w:spacing w:before="91" w:line="223" w:lineRule="auto"/>
        <w:outlineLvl w:val="1"/>
        <w:rPr>
          <w:rFonts w:ascii="FangSong" w:hAnsi="FangSong" w:eastAsia="FangSong" w:cs="FangSong"/>
          <w:sz w:val="28"/>
          <w:szCs w:val="28"/>
        </w:rPr>
      </w:pPr>
      <w:bookmarkStart w:name="bookmark147" w:id="203"/>
      <w:bookmarkEnd w:id="203"/>
      <w:bookmarkStart w:name="bookmark146" w:id="204"/>
      <w:bookmarkEnd w:id="204"/>
      <w:r>
        <w:rPr>
          <w:rFonts w:ascii="Times New Roman" w:hAnsi="Times New Roman" w:eastAsia="Times New Roman" w:cs="Times New Roman"/>
          <w:sz w:val="28"/>
          <w:szCs w:val="28"/>
          <w:b/>
          <w:bCs/>
          <w:spacing w:val="-2"/>
        </w:rPr>
        <w:t>4.4  </w:t>
      </w:r>
      <w:r>
        <w:rPr>
          <w:rFonts w:ascii="FangSong" w:hAnsi="FangSong" w:eastAsia="FangSong" w:cs="FangSong"/>
          <w:sz w:val="28"/>
          <w:szCs w:val="28"/>
          <w:b/>
          <w:bCs/>
          <w:spacing w:val="-2"/>
        </w:rPr>
        <w:t>工程组成及建设内容</w:t>
      </w:r>
    </w:p>
    <w:p>
      <w:pPr>
        <w:ind w:left="19" w:firstLine="487"/>
        <w:spacing w:before="199" w:line="359" w:lineRule="auto"/>
        <w:jc w:val="both"/>
        <w:rPr>
          <w:rFonts w:ascii="FangSong" w:hAnsi="FangSong" w:eastAsia="FangSong" w:cs="FangSong"/>
          <w:sz w:val="24"/>
          <w:szCs w:val="24"/>
        </w:rPr>
      </w:pPr>
      <w:r>
        <w:rPr>
          <w:rFonts w:ascii="FangSong" w:hAnsi="FangSong" w:eastAsia="FangSong" w:cs="FangSong"/>
          <w:sz w:val="24"/>
          <w:szCs w:val="24"/>
          <w:spacing w:val="-2"/>
        </w:rPr>
        <w:t>本项目为萤石矿采选项目，采矿区面积为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1776km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。根据《关于苏尼特右旗</w:t>
      </w:r>
      <w:r>
        <w:rPr>
          <w:rFonts w:ascii="FangSong" w:hAnsi="FangSong" w:eastAsia="FangSong" w:cs="FangSong"/>
          <w:sz w:val="24"/>
          <w:szCs w:val="24"/>
          <w:spacing w:val="-1"/>
        </w:rPr>
        <w:t>富邦矿业有限公司苏尼特右旗桑宝力嘎额尔登塔拉萤石矿</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采选项目用地预</w:t>
      </w:r>
      <w:r>
        <w:rPr>
          <w:rFonts w:ascii="FangSong" w:hAnsi="FangSong" w:eastAsia="FangSong" w:cs="FangSong"/>
          <w:sz w:val="24"/>
          <w:szCs w:val="24"/>
          <w:spacing w:val="3"/>
        </w:rPr>
        <w:t>审与选址意见书的批复》（苏右自然资发</w:t>
      </w:r>
      <w:r>
        <w:rPr>
          <w:rFonts w:ascii="Times New Roman" w:hAnsi="Times New Roman" w:eastAsia="Times New Roman" w:cs="Times New Roman"/>
          <w:sz w:val="24"/>
          <w:szCs w:val="24"/>
          <w:spacing w:val="3"/>
        </w:rPr>
        <w:t>[2025]248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号</w:t>
      </w:r>
      <w:r>
        <w:rPr>
          <w:rFonts w:ascii="FangSong" w:hAnsi="FangSong" w:eastAsia="FangSong" w:cs="FangSong"/>
          <w:sz w:val="24"/>
          <w:szCs w:val="24"/>
          <w:spacing w:val="22"/>
        </w:rPr>
        <w:t>），</w:t>
      </w:r>
      <w:r>
        <w:rPr>
          <w:rFonts w:ascii="FangSong" w:hAnsi="FangSong" w:eastAsia="FangSong" w:cs="FangSong"/>
          <w:sz w:val="24"/>
          <w:szCs w:val="24"/>
          <w:spacing w:val="3"/>
        </w:rPr>
        <w:t>本项目永久占地面积为</w:t>
      </w:r>
      <w:r>
        <w:rPr>
          <w:rFonts w:ascii="Times New Roman" w:hAnsi="Times New Roman" w:eastAsia="Times New Roman" w:cs="Times New Roman"/>
          <w:sz w:val="24"/>
          <w:szCs w:val="24"/>
          <w:spacing w:val="-4"/>
        </w:rPr>
        <w:t>7.2203hm²</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w:t>
      </w:r>
      <w:r>
        <w:rPr>
          <w:rFonts w:ascii="FangSong" w:hAnsi="FangSong" w:eastAsia="FangSong" w:cs="FangSong"/>
          <w:sz w:val="24"/>
          <w:szCs w:val="24"/>
          <w:spacing w:val="67"/>
        </w:rPr>
        <w:t xml:space="preserve"> </w:t>
      </w:r>
      <w:r>
        <w:rPr>
          <w:rFonts w:ascii="FangSong" w:hAnsi="FangSong" w:eastAsia="FangSong" w:cs="FangSong"/>
          <w:sz w:val="24"/>
          <w:szCs w:val="24"/>
          <w:spacing w:val="-4"/>
        </w:rPr>
        <w:t>其中新建生产设施功能区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4"/>
        </w:rPr>
        <w:t>1.6798hm</w:t>
      </w:r>
      <w:r>
        <w:rPr>
          <w:rFonts w:ascii="Times New Roman" w:hAnsi="Times New Roman" w:eastAsia="Times New Roman" w:cs="Times New Roman"/>
          <w:sz w:val="15"/>
          <w:szCs w:val="15"/>
          <w:spacing w:val="-4"/>
          <w:position w:val="8"/>
        </w:rPr>
        <w:t>2 </w:t>
      </w:r>
      <w:r>
        <w:rPr>
          <w:rFonts w:ascii="FangSong" w:hAnsi="FangSong" w:eastAsia="FangSong" w:cs="FangSong"/>
          <w:sz w:val="24"/>
          <w:szCs w:val="24"/>
          <w:spacing w:val="-4"/>
        </w:rPr>
        <w:t>、辅</w:t>
      </w:r>
      <w:r>
        <w:rPr>
          <w:rFonts w:ascii="FangSong" w:hAnsi="FangSong" w:eastAsia="FangSong" w:cs="FangSong"/>
          <w:sz w:val="24"/>
          <w:szCs w:val="24"/>
          <w:spacing w:val="-5"/>
        </w:rPr>
        <w:t>助生产设施功能区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2.6341hm</w:t>
      </w:r>
      <w:r>
        <w:rPr>
          <w:rFonts w:ascii="Times New Roman" w:hAnsi="Times New Roman" w:eastAsia="Times New Roman" w:cs="Times New Roman"/>
          <w:sz w:val="15"/>
          <w:szCs w:val="15"/>
          <w:spacing w:val="-5"/>
          <w:position w:val="8"/>
        </w:rPr>
        <w:t>2</w:t>
      </w:r>
      <w:r>
        <w:rPr>
          <w:rFonts w:ascii="FangSong" w:hAnsi="FangSong" w:eastAsia="FangSong" w:cs="FangSong"/>
          <w:sz w:val="24"/>
          <w:szCs w:val="24"/>
          <w:spacing w:val="-5"/>
        </w:rPr>
        <w:t>、</w:t>
      </w:r>
      <w:r>
        <w:rPr>
          <w:rFonts w:ascii="FangSong" w:hAnsi="FangSong" w:eastAsia="FangSong" w:cs="FangSong"/>
          <w:sz w:val="24"/>
          <w:szCs w:val="24"/>
          <w:spacing w:val="-2"/>
        </w:rPr>
        <w:t>行政管理与生活服务设施功能区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0.9600hm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、厂内道路功能区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1.94</w:t>
      </w:r>
      <w:r>
        <w:rPr>
          <w:rFonts w:ascii="Times New Roman" w:hAnsi="Times New Roman" w:eastAsia="Times New Roman" w:cs="Times New Roman"/>
          <w:sz w:val="24"/>
          <w:szCs w:val="24"/>
          <w:spacing w:val="-3"/>
        </w:rPr>
        <w:t>64hm</w:t>
      </w:r>
      <w:r>
        <w:rPr>
          <w:rFonts w:ascii="Times New Roman" w:hAnsi="Times New Roman" w:eastAsia="Times New Roman" w:cs="Times New Roman"/>
          <w:sz w:val="15"/>
          <w:szCs w:val="15"/>
          <w:spacing w:val="-3"/>
          <w:position w:val="8"/>
        </w:rPr>
        <w:t>2 </w:t>
      </w:r>
      <w:r>
        <w:rPr>
          <w:rFonts w:ascii="FangSong" w:hAnsi="FangSong" w:eastAsia="FangSong" w:cs="FangSong"/>
          <w:sz w:val="24"/>
          <w:szCs w:val="24"/>
          <w:spacing w:val="-3"/>
        </w:rPr>
        <w:t>。项目设置</w:t>
      </w:r>
      <w:r>
        <w:rPr>
          <w:rFonts w:ascii="FangSong" w:hAnsi="FangSong" w:eastAsia="FangSong" w:cs="FangSong"/>
          <w:sz w:val="24"/>
          <w:szCs w:val="24"/>
          <w:spacing w:val="-1"/>
        </w:rPr>
        <w:t>尾矿临时堆场一座，炸药库一座。</w:t>
      </w:r>
    </w:p>
    <w:p>
      <w:pPr>
        <w:ind w:left="507"/>
        <w:spacing w:before="2" w:line="221" w:lineRule="auto"/>
        <w:rPr>
          <w:rFonts w:ascii="FangSong" w:hAnsi="FangSong" w:eastAsia="FangSong" w:cs="FangSong"/>
          <w:sz w:val="24"/>
          <w:szCs w:val="24"/>
        </w:rPr>
      </w:pPr>
      <w:r>
        <w:rPr>
          <w:rFonts w:ascii="FangSong" w:hAnsi="FangSong" w:eastAsia="FangSong" w:cs="FangSong"/>
          <w:sz w:val="24"/>
          <w:szCs w:val="24"/>
          <w:spacing w:val="-2"/>
        </w:rPr>
        <w:t>项目工程组成详见表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4.4-1</w:t>
      </w:r>
      <w:r>
        <w:rPr>
          <w:rFonts w:ascii="FangSong" w:hAnsi="FangSong" w:eastAsia="FangSong" w:cs="FangSong"/>
          <w:sz w:val="24"/>
          <w:szCs w:val="24"/>
          <w:spacing w:val="-2"/>
        </w:rPr>
        <w:t>。</w:t>
      </w:r>
    </w:p>
    <w:p>
      <w:pPr>
        <w:ind w:left="2469"/>
        <w:spacing w:before="1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4.4-1  </w:t>
      </w:r>
      <w:r>
        <w:rPr>
          <w:rFonts w:ascii="FangSong" w:hAnsi="FangSong" w:eastAsia="FangSong" w:cs="FangSong"/>
          <w:sz w:val="24"/>
          <w:szCs w:val="24"/>
          <w:b/>
          <w:bCs/>
          <w:spacing w:val="-3"/>
        </w:rPr>
        <w:t>本项目建设内容组成一览表</w:t>
      </w:r>
    </w:p>
    <w:p>
      <w:pPr>
        <w:spacing w:line="143" w:lineRule="exact"/>
        <w:rPr/>
      </w:pPr>
      <w:r/>
    </w:p>
    <w:tbl>
      <w:tblPr>
        <w:tblStyle w:val="TableNormal"/>
        <w:tblW w:w="8693" w:type="dxa"/>
        <w:tblInd w:w="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3"/>
        <w:gridCol w:w="1207"/>
        <w:gridCol w:w="5510"/>
        <w:gridCol w:w="1453"/>
      </w:tblGrid>
      <w:tr>
        <w:trPr>
          <w:trHeight w:val="552" w:hRule="atLeast"/>
        </w:trPr>
        <w:tc>
          <w:tcPr>
            <w:tcW w:w="523" w:type="dxa"/>
            <w:vAlign w:val="top"/>
            <w:tcBorders>
              <w:left w:val="nil"/>
              <w:top w:val="single" w:color="000000" w:sz="10" w:space="0"/>
            </w:tcBorders>
          </w:tcPr>
          <w:p>
            <w:pPr>
              <w:pStyle w:val="TableText"/>
              <w:ind w:left="68"/>
              <w:spacing w:before="34" w:line="232" w:lineRule="auto"/>
              <w:rPr/>
            </w:pPr>
            <w:r>
              <w:rPr>
                <w:spacing w:val="-1"/>
              </w:rPr>
              <w:t>工程</w:t>
            </w:r>
          </w:p>
          <w:p>
            <w:pPr>
              <w:pStyle w:val="TableText"/>
              <w:ind w:left="66"/>
              <w:spacing w:before="22" w:line="216" w:lineRule="auto"/>
              <w:rPr/>
            </w:pPr>
            <w:r>
              <w:rPr/>
              <w:t>类别</w:t>
            </w:r>
          </w:p>
        </w:tc>
        <w:tc>
          <w:tcPr>
            <w:tcW w:w="1207" w:type="dxa"/>
            <w:vAlign w:val="top"/>
            <w:tcBorders>
              <w:top w:val="single" w:color="000000" w:sz="10" w:space="0"/>
            </w:tcBorders>
          </w:tcPr>
          <w:p>
            <w:pPr>
              <w:pStyle w:val="TableText"/>
              <w:ind w:left="200"/>
              <w:spacing w:before="171" w:line="229" w:lineRule="auto"/>
              <w:rPr/>
            </w:pPr>
            <w:r>
              <w:rPr>
                <w:spacing w:val="4"/>
              </w:rPr>
              <w:t>工程名称</w:t>
            </w:r>
          </w:p>
        </w:tc>
        <w:tc>
          <w:tcPr>
            <w:tcW w:w="5510" w:type="dxa"/>
            <w:vAlign w:val="top"/>
            <w:tcBorders>
              <w:top w:val="single" w:color="000000" w:sz="10" w:space="0"/>
            </w:tcBorders>
          </w:tcPr>
          <w:p>
            <w:pPr>
              <w:pStyle w:val="TableText"/>
              <w:ind w:left="2351"/>
              <w:spacing w:before="171" w:line="231" w:lineRule="auto"/>
              <w:rPr/>
            </w:pPr>
            <w:r>
              <w:rPr>
                <w:spacing w:val="4"/>
              </w:rPr>
              <w:t>工程内容</w:t>
            </w:r>
          </w:p>
        </w:tc>
        <w:tc>
          <w:tcPr>
            <w:tcW w:w="1453" w:type="dxa"/>
            <w:vAlign w:val="top"/>
            <w:tcBorders>
              <w:right w:val="nil"/>
              <w:top w:val="single" w:color="000000" w:sz="10" w:space="0"/>
            </w:tcBorders>
          </w:tcPr>
          <w:p>
            <w:pPr>
              <w:pStyle w:val="TableText"/>
              <w:ind w:left="531"/>
              <w:spacing w:before="171" w:line="233" w:lineRule="auto"/>
              <w:rPr/>
            </w:pPr>
            <w:r>
              <w:rPr>
                <w:spacing w:val="1"/>
              </w:rPr>
              <w:t>备注</w:t>
            </w:r>
          </w:p>
        </w:tc>
      </w:tr>
      <w:tr>
        <w:trPr>
          <w:trHeight w:val="1092" w:hRule="atLeast"/>
        </w:trPr>
        <w:tc>
          <w:tcPr>
            <w:tcW w:w="523" w:type="dxa"/>
            <w:vAlign w:val="top"/>
            <w:vMerge w:val="restart"/>
            <w:tcBorders>
              <w:left w:val="nil"/>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68" w:right="52"/>
              <w:spacing w:before="65" w:line="253" w:lineRule="auto"/>
              <w:rPr/>
            </w:pPr>
            <w:r>
              <w:rPr>
                <w:spacing w:val="-1"/>
              </w:rPr>
              <w:t>主体</w:t>
            </w:r>
            <w:r>
              <w:rPr>
                <w:spacing w:val="-1"/>
              </w:rPr>
              <w:t>工程</w:t>
            </w:r>
          </w:p>
        </w:tc>
        <w:tc>
          <w:tcPr>
            <w:tcW w:w="1207" w:type="dxa"/>
            <w:vAlign w:val="top"/>
          </w:tcPr>
          <w:p>
            <w:pPr>
              <w:spacing w:line="375" w:lineRule="auto"/>
              <w:rPr>
                <w:rFonts w:ascii="Arial"/>
                <w:sz w:val="21"/>
              </w:rPr>
            </w:pPr>
            <w:r/>
          </w:p>
          <w:p>
            <w:pPr>
              <w:pStyle w:val="TableText"/>
              <w:ind w:left="90"/>
              <w:spacing w:before="65" w:line="228" w:lineRule="auto"/>
              <w:rPr/>
            </w:pPr>
            <w:r>
              <w:rPr>
                <w:spacing w:val="6"/>
              </w:rPr>
              <w:t>粗破碎车间</w:t>
            </w:r>
          </w:p>
        </w:tc>
        <w:tc>
          <w:tcPr>
            <w:tcW w:w="5510" w:type="dxa"/>
            <w:vAlign w:val="top"/>
          </w:tcPr>
          <w:p>
            <w:pPr>
              <w:pStyle w:val="TableText"/>
              <w:ind w:left="4" w:firstLine="430"/>
              <w:spacing w:before="33" w:line="242" w:lineRule="auto"/>
              <w:jc w:val="both"/>
              <w:rPr/>
            </w:pPr>
            <w:r>
              <w:rPr>
                <w:spacing w:val="5"/>
              </w:rPr>
              <w:t>位于采矿工业广场东侧</w:t>
            </w:r>
            <w:r>
              <w:rPr>
                <w:spacing w:val="-28"/>
              </w:rPr>
              <w:t xml:space="preserve"> </w:t>
            </w:r>
            <w:r>
              <w:rPr>
                <w:rFonts w:ascii="Times New Roman" w:hAnsi="Times New Roman" w:eastAsia="Times New Roman" w:cs="Times New Roman"/>
                <w:spacing w:val="5"/>
              </w:rPr>
              <w:t>60m</w:t>
            </w:r>
            <w:r>
              <w:rPr>
                <w:rFonts w:ascii="Times New Roman" w:hAnsi="Times New Roman" w:eastAsia="Times New Roman" w:cs="Times New Roman"/>
                <w:spacing w:val="15"/>
                <w:w w:val="101"/>
              </w:rPr>
              <w:t xml:space="preserve"> </w:t>
            </w:r>
            <w:r>
              <w:rPr>
                <w:spacing w:val="5"/>
              </w:rPr>
              <w:t>处，采用钢结构，</w:t>
            </w:r>
            <w:r>
              <w:rPr>
                <w:spacing w:val="-49"/>
              </w:rPr>
              <w:t xml:space="preserve"> </w:t>
            </w:r>
            <w:r>
              <w:rPr>
                <w:spacing w:val="5"/>
              </w:rPr>
              <w:t>占地面积</w:t>
            </w:r>
            <w:r>
              <w:rPr>
                <w:rFonts w:ascii="Times New Roman" w:hAnsi="Times New Roman" w:eastAsia="Times New Roman" w:cs="Times New Roman"/>
                <w:spacing w:val="4"/>
              </w:rPr>
              <w:t>256m</w:t>
            </w:r>
            <w:r>
              <w:rPr>
                <w:rFonts w:ascii="Times New Roman" w:hAnsi="Times New Roman" w:eastAsia="Times New Roman" w:cs="Times New Roman"/>
                <w:sz w:val="13"/>
                <w:szCs w:val="13"/>
                <w:spacing w:val="4"/>
                <w:position w:val="6"/>
              </w:rPr>
              <w:t>2 </w:t>
            </w:r>
            <w:r>
              <w:rPr>
                <w:spacing w:val="4"/>
              </w:rPr>
              <w:t>，建构筑物规格尺寸</w:t>
            </w:r>
            <w:r>
              <w:rPr>
                <w:spacing w:val="-9"/>
              </w:rPr>
              <w:t xml:space="preserve"> </w:t>
            </w:r>
            <w:r>
              <w:rPr>
                <w:rFonts w:ascii="Times New Roman" w:hAnsi="Times New Roman" w:eastAsia="Times New Roman" w:cs="Times New Roman"/>
                <w:spacing w:val="4"/>
              </w:rPr>
              <w:t>16m×16m×12m</w:t>
            </w:r>
            <w:r>
              <w:rPr>
                <w:rFonts w:ascii="Times New Roman" w:hAnsi="Times New Roman" w:eastAsia="Times New Roman" w:cs="Times New Roman"/>
                <w:spacing w:val="-23"/>
              </w:rPr>
              <w:t xml:space="preserve"> </w:t>
            </w:r>
            <w:r>
              <w:rPr>
                <w:spacing w:val="4"/>
              </w:rPr>
              <w:t>，卸料处采取单侧</w:t>
            </w:r>
            <w:r>
              <w:rPr>
                <w:spacing w:val="7"/>
              </w:rPr>
              <w:t>开</w:t>
            </w:r>
            <w:r>
              <w:rPr>
                <w:spacing w:val="-31"/>
              </w:rPr>
              <w:t xml:space="preserve"> </w:t>
            </w:r>
            <w:r>
              <w:rPr>
                <w:spacing w:val="7"/>
              </w:rPr>
              <w:t>口，其余各侧均封闭。主要用于进行粗碎，</w:t>
            </w:r>
            <w:r>
              <w:rPr>
                <w:spacing w:val="-52"/>
              </w:rPr>
              <w:t xml:space="preserve"> </w:t>
            </w:r>
            <w:r>
              <w:rPr>
                <w:spacing w:val="7"/>
              </w:rPr>
              <w:t>内设颚式破碎</w:t>
            </w:r>
            <w:r>
              <w:rPr>
                <w:spacing w:val="8"/>
              </w:rPr>
              <w:t>机、皮带输送机等设备。</w:t>
            </w:r>
          </w:p>
        </w:tc>
        <w:tc>
          <w:tcPr>
            <w:tcW w:w="1453" w:type="dxa"/>
            <w:vAlign w:val="top"/>
            <w:tcBorders>
              <w:right w:val="nil"/>
            </w:tcBorders>
          </w:tcPr>
          <w:p>
            <w:pPr>
              <w:spacing w:line="374" w:lineRule="auto"/>
              <w:rPr>
                <w:rFonts w:ascii="Arial"/>
                <w:sz w:val="21"/>
              </w:rPr>
            </w:pPr>
            <w:r/>
          </w:p>
          <w:p>
            <w:pPr>
              <w:pStyle w:val="TableText"/>
              <w:ind w:left="529"/>
              <w:spacing w:before="65" w:line="231" w:lineRule="auto"/>
              <w:rPr/>
            </w:pPr>
            <w:r>
              <w:rPr>
                <w:spacing w:val="2"/>
              </w:rPr>
              <w:t>新建</w:t>
            </w:r>
          </w:p>
        </w:tc>
      </w:tr>
      <w:tr>
        <w:trPr>
          <w:trHeight w:val="1091" w:hRule="atLeast"/>
        </w:trPr>
        <w:tc>
          <w:tcPr>
            <w:tcW w:w="523" w:type="dxa"/>
            <w:vAlign w:val="top"/>
            <w:vMerge w:val="continue"/>
            <w:tcBorders>
              <w:left w:val="nil"/>
              <w:top w:val="nil"/>
              <w:bottom w:val="nil"/>
            </w:tcBorders>
          </w:tcPr>
          <w:p>
            <w:pPr>
              <w:rPr>
                <w:rFonts w:ascii="Arial"/>
                <w:sz w:val="21"/>
              </w:rPr>
            </w:pPr>
            <w:r/>
          </w:p>
        </w:tc>
        <w:tc>
          <w:tcPr>
            <w:tcW w:w="1207" w:type="dxa"/>
            <w:vAlign w:val="top"/>
          </w:tcPr>
          <w:p>
            <w:pPr>
              <w:spacing w:line="374" w:lineRule="auto"/>
              <w:rPr>
                <w:rFonts w:ascii="Arial"/>
                <w:sz w:val="21"/>
              </w:rPr>
            </w:pPr>
            <w:r/>
          </w:p>
          <w:p>
            <w:pPr>
              <w:pStyle w:val="TableText"/>
              <w:ind w:left="94"/>
              <w:spacing w:before="65" w:line="228" w:lineRule="auto"/>
              <w:rPr/>
            </w:pPr>
            <w:r>
              <w:rPr>
                <w:spacing w:val="5"/>
              </w:rPr>
              <w:t>细破碎车间</w:t>
            </w:r>
          </w:p>
        </w:tc>
        <w:tc>
          <w:tcPr>
            <w:tcW w:w="5510" w:type="dxa"/>
            <w:vAlign w:val="top"/>
          </w:tcPr>
          <w:p>
            <w:pPr>
              <w:pStyle w:val="TableText"/>
              <w:ind w:left="4" w:firstLine="430"/>
              <w:spacing w:before="32" w:line="242" w:lineRule="auto"/>
              <w:jc w:val="both"/>
              <w:rPr/>
            </w:pPr>
            <w:r>
              <w:rPr>
                <w:spacing w:val="9"/>
              </w:rPr>
              <w:t>位于粗破碎车间东侧</w:t>
            </w:r>
            <w:r>
              <w:rPr>
                <w:spacing w:val="-24"/>
              </w:rPr>
              <w:t xml:space="preserve"> </w:t>
            </w:r>
            <w:r>
              <w:rPr>
                <w:rFonts w:ascii="Times New Roman" w:hAnsi="Times New Roman" w:eastAsia="Times New Roman" w:cs="Times New Roman"/>
                <w:spacing w:val="9"/>
              </w:rPr>
              <w:t>20m</w:t>
            </w:r>
            <w:r>
              <w:rPr>
                <w:rFonts w:ascii="Times New Roman" w:hAnsi="Times New Roman" w:eastAsia="Times New Roman" w:cs="Times New Roman"/>
                <w:spacing w:val="25"/>
                <w:w w:val="101"/>
              </w:rPr>
              <w:t xml:space="preserve"> </w:t>
            </w:r>
            <w:r>
              <w:rPr>
                <w:spacing w:val="9"/>
              </w:rPr>
              <w:t>处</w:t>
            </w:r>
            <w:r>
              <w:rPr>
                <w:spacing w:val="-60"/>
              </w:rPr>
              <w:t xml:space="preserve"> </w:t>
            </w:r>
            <w:r>
              <w:rPr>
                <w:spacing w:val="9"/>
              </w:rPr>
              <w:t>，采用钢结构</w:t>
            </w:r>
            <w:r>
              <w:rPr>
                <w:spacing w:val="-60"/>
              </w:rPr>
              <w:t xml:space="preserve"> </w:t>
            </w:r>
            <w:r>
              <w:rPr>
                <w:spacing w:val="9"/>
              </w:rPr>
              <w:t>，</w:t>
            </w:r>
            <w:r>
              <w:rPr>
                <w:spacing w:val="-34"/>
              </w:rPr>
              <w:t xml:space="preserve"> </w:t>
            </w:r>
            <w:r>
              <w:rPr>
                <w:spacing w:val="9"/>
              </w:rPr>
              <w:t>占地面积</w:t>
            </w:r>
            <w:r>
              <w:rPr>
                <w:rFonts w:ascii="Times New Roman" w:hAnsi="Times New Roman" w:eastAsia="Times New Roman" w:cs="Times New Roman"/>
                <w:spacing w:val="5"/>
              </w:rPr>
              <w:t>256m</w:t>
            </w:r>
            <w:r>
              <w:rPr>
                <w:rFonts w:ascii="Times New Roman" w:hAnsi="Times New Roman" w:eastAsia="Times New Roman" w:cs="Times New Roman"/>
                <w:sz w:val="13"/>
                <w:szCs w:val="13"/>
                <w:spacing w:val="5"/>
                <w:position w:val="6"/>
              </w:rPr>
              <w:t>2 </w:t>
            </w:r>
            <w:r>
              <w:rPr>
                <w:spacing w:val="5"/>
              </w:rPr>
              <w:t>，建构筑物规格尺寸</w:t>
            </w:r>
            <w:r>
              <w:rPr>
                <w:spacing w:val="-40"/>
              </w:rPr>
              <w:t xml:space="preserve"> </w:t>
            </w:r>
            <w:r>
              <w:rPr>
                <w:rFonts w:ascii="Times New Roman" w:hAnsi="Times New Roman" w:eastAsia="Times New Roman" w:cs="Times New Roman"/>
                <w:spacing w:val="5"/>
              </w:rPr>
              <w:t>20m×16m×12m</w:t>
            </w:r>
            <w:r>
              <w:rPr>
                <w:rFonts w:ascii="Times New Roman" w:hAnsi="Times New Roman" w:eastAsia="Times New Roman" w:cs="Times New Roman"/>
                <w:spacing w:val="-23"/>
              </w:rPr>
              <w:t xml:space="preserve"> </w:t>
            </w:r>
            <w:r>
              <w:rPr>
                <w:spacing w:val="5"/>
              </w:rPr>
              <w:t>，卸料处采</w:t>
            </w:r>
            <w:r>
              <w:rPr>
                <w:spacing w:val="4"/>
              </w:rPr>
              <w:t>取单侧</w:t>
            </w:r>
            <w:r>
              <w:rPr>
                <w:spacing w:val="7"/>
              </w:rPr>
              <w:t>开</w:t>
            </w:r>
            <w:r>
              <w:rPr>
                <w:spacing w:val="-31"/>
              </w:rPr>
              <w:t xml:space="preserve"> </w:t>
            </w:r>
            <w:r>
              <w:rPr>
                <w:spacing w:val="7"/>
              </w:rPr>
              <w:t>口，其余各侧均封闭。主要用于进行细碎，</w:t>
            </w:r>
            <w:r>
              <w:rPr>
                <w:spacing w:val="-52"/>
              </w:rPr>
              <w:t xml:space="preserve"> </w:t>
            </w:r>
            <w:r>
              <w:rPr>
                <w:spacing w:val="7"/>
              </w:rPr>
              <w:t>内设圆锥破碎</w:t>
            </w:r>
            <w:r>
              <w:rPr>
                <w:spacing w:val="8"/>
              </w:rPr>
              <w:t>机、皮带输送机等设备。</w:t>
            </w:r>
          </w:p>
        </w:tc>
        <w:tc>
          <w:tcPr>
            <w:tcW w:w="1453" w:type="dxa"/>
            <w:vAlign w:val="top"/>
            <w:tcBorders>
              <w:right w:val="nil"/>
            </w:tcBorders>
          </w:tcPr>
          <w:p>
            <w:pPr>
              <w:spacing w:line="374" w:lineRule="auto"/>
              <w:rPr>
                <w:rFonts w:ascii="Arial"/>
                <w:sz w:val="21"/>
              </w:rPr>
            </w:pPr>
            <w:r/>
          </w:p>
          <w:p>
            <w:pPr>
              <w:pStyle w:val="TableText"/>
              <w:ind w:left="529"/>
              <w:spacing w:before="65" w:line="231" w:lineRule="auto"/>
              <w:rPr/>
            </w:pPr>
            <w:r>
              <w:rPr>
                <w:spacing w:val="2"/>
              </w:rPr>
              <w:t>新建</w:t>
            </w:r>
          </w:p>
        </w:tc>
      </w:tr>
      <w:tr>
        <w:trPr>
          <w:trHeight w:val="1092" w:hRule="atLeast"/>
        </w:trPr>
        <w:tc>
          <w:tcPr>
            <w:tcW w:w="523" w:type="dxa"/>
            <w:vAlign w:val="top"/>
            <w:vMerge w:val="continue"/>
            <w:tcBorders>
              <w:left w:val="nil"/>
              <w:top w:val="nil"/>
              <w:bottom w:val="nil"/>
            </w:tcBorders>
          </w:tcPr>
          <w:p>
            <w:pPr>
              <w:rPr>
                <w:rFonts w:ascii="Arial"/>
                <w:sz w:val="21"/>
              </w:rPr>
            </w:pPr>
            <w:r/>
          </w:p>
        </w:tc>
        <w:tc>
          <w:tcPr>
            <w:tcW w:w="1207" w:type="dxa"/>
            <w:vAlign w:val="top"/>
          </w:tcPr>
          <w:p>
            <w:pPr>
              <w:spacing w:line="380" w:lineRule="auto"/>
              <w:rPr>
                <w:rFonts w:ascii="Arial"/>
                <w:sz w:val="21"/>
              </w:rPr>
            </w:pPr>
            <w:r/>
          </w:p>
          <w:p>
            <w:pPr>
              <w:pStyle w:val="TableText"/>
              <w:ind w:left="198"/>
              <w:spacing w:before="65" w:line="228" w:lineRule="auto"/>
              <w:rPr/>
            </w:pPr>
            <w:r>
              <w:rPr>
                <w:spacing w:val="5"/>
              </w:rPr>
              <w:t>筛分车间</w:t>
            </w:r>
          </w:p>
        </w:tc>
        <w:tc>
          <w:tcPr>
            <w:tcW w:w="5510" w:type="dxa"/>
            <w:vAlign w:val="top"/>
          </w:tcPr>
          <w:p>
            <w:pPr>
              <w:pStyle w:val="TableText"/>
              <w:ind w:left="8" w:firstLine="426"/>
              <w:spacing w:before="42"/>
              <w:jc w:val="both"/>
              <w:rPr/>
            </w:pPr>
            <w:r>
              <w:rPr>
                <w:spacing w:val="9"/>
              </w:rPr>
              <w:t>位于细破碎车间东侧</w:t>
            </w:r>
            <w:r>
              <w:rPr>
                <w:spacing w:val="-24"/>
              </w:rPr>
              <w:t xml:space="preserve"> </w:t>
            </w:r>
            <w:r>
              <w:rPr>
                <w:rFonts w:ascii="Times New Roman" w:hAnsi="Times New Roman" w:eastAsia="Times New Roman" w:cs="Times New Roman"/>
                <w:spacing w:val="9"/>
              </w:rPr>
              <w:t>20m</w:t>
            </w:r>
            <w:r>
              <w:rPr>
                <w:rFonts w:ascii="Times New Roman" w:hAnsi="Times New Roman" w:eastAsia="Times New Roman" w:cs="Times New Roman"/>
                <w:spacing w:val="25"/>
                <w:w w:val="101"/>
              </w:rPr>
              <w:t xml:space="preserve"> </w:t>
            </w:r>
            <w:r>
              <w:rPr>
                <w:spacing w:val="9"/>
              </w:rPr>
              <w:t>处</w:t>
            </w:r>
            <w:r>
              <w:rPr>
                <w:spacing w:val="-60"/>
              </w:rPr>
              <w:t xml:space="preserve"> </w:t>
            </w:r>
            <w:r>
              <w:rPr>
                <w:spacing w:val="9"/>
              </w:rPr>
              <w:t>，采用钢结构</w:t>
            </w:r>
            <w:r>
              <w:rPr>
                <w:spacing w:val="-60"/>
              </w:rPr>
              <w:t xml:space="preserve"> </w:t>
            </w:r>
            <w:r>
              <w:rPr>
                <w:spacing w:val="9"/>
              </w:rPr>
              <w:t>，</w:t>
            </w:r>
            <w:r>
              <w:rPr>
                <w:spacing w:val="-34"/>
              </w:rPr>
              <w:t xml:space="preserve"> </w:t>
            </w:r>
            <w:r>
              <w:rPr>
                <w:spacing w:val="9"/>
              </w:rPr>
              <w:t>占地面积</w:t>
            </w:r>
            <w:r>
              <w:rPr>
                <w:rFonts w:ascii="Times New Roman" w:hAnsi="Times New Roman" w:eastAsia="Times New Roman" w:cs="Times New Roman"/>
                <w:spacing w:val="4"/>
              </w:rPr>
              <w:t>320m</w:t>
            </w:r>
            <w:r>
              <w:rPr>
                <w:rFonts w:ascii="Times New Roman" w:hAnsi="Times New Roman" w:eastAsia="Times New Roman" w:cs="Times New Roman"/>
                <w:sz w:val="13"/>
                <w:szCs w:val="13"/>
                <w:spacing w:val="4"/>
                <w:position w:val="6"/>
              </w:rPr>
              <w:t>2 </w:t>
            </w:r>
            <w:r>
              <w:rPr>
                <w:spacing w:val="4"/>
              </w:rPr>
              <w:t>，建构筑物规格尺寸</w:t>
            </w:r>
            <w:r>
              <w:rPr>
                <w:spacing w:val="-13"/>
              </w:rPr>
              <w:t xml:space="preserve"> </w:t>
            </w:r>
            <w:r>
              <w:rPr>
                <w:rFonts w:ascii="Times New Roman" w:hAnsi="Times New Roman" w:eastAsia="Times New Roman" w:cs="Times New Roman"/>
                <w:spacing w:val="4"/>
              </w:rPr>
              <w:t>16m×20m×12m</w:t>
            </w:r>
            <w:r>
              <w:rPr>
                <w:rFonts w:ascii="Times New Roman" w:hAnsi="Times New Roman" w:eastAsia="Times New Roman" w:cs="Times New Roman"/>
                <w:spacing w:val="-23"/>
              </w:rPr>
              <w:t xml:space="preserve"> </w:t>
            </w:r>
            <w:r>
              <w:rPr>
                <w:spacing w:val="4"/>
              </w:rPr>
              <w:t>，卸料处采取单侧</w:t>
            </w:r>
            <w:r>
              <w:rPr>
                <w:spacing w:val="7"/>
              </w:rPr>
              <w:t>开</w:t>
            </w:r>
            <w:r>
              <w:rPr>
                <w:spacing w:val="-35"/>
              </w:rPr>
              <w:t xml:space="preserve"> </w:t>
            </w:r>
            <w:r>
              <w:rPr>
                <w:spacing w:val="7"/>
              </w:rPr>
              <w:t>口，其余各侧均封闭。主要用于进行筛分，</w:t>
            </w:r>
            <w:r>
              <w:rPr>
                <w:spacing w:val="-52"/>
              </w:rPr>
              <w:t xml:space="preserve"> </w:t>
            </w:r>
            <w:r>
              <w:rPr>
                <w:spacing w:val="7"/>
              </w:rPr>
              <w:t>内设圆振动筛</w:t>
            </w:r>
            <w:r>
              <w:rPr>
                <w:spacing w:val="5"/>
              </w:rPr>
              <w:t>等设备。</w:t>
            </w:r>
          </w:p>
        </w:tc>
        <w:tc>
          <w:tcPr>
            <w:tcW w:w="1453" w:type="dxa"/>
            <w:vAlign w:val="top"/>
            <w:tcBorders>
              <w:right w:val="nil"/>
            </w:tcBorders>
          </w:tcPr>
          <w:p>
            <w:pPr>
              <w:spacing w:line="380" w:lineRule="auto"/>
              <w:rPr>
                <w:rFonts w:ascii="Arial"/>
                <w:sz w:val="21"/>
              </w:rPr>
            </w:pPr>
            <w:r/>
          </w:p>
          <w:p>
            <w:pPr>
              <w:pStyle w:val="TableText"/>
              <w:ind w:left="529"/>
              <w:spacing w:before="65" w:line="231" w:lineRule="auto"/>
              <w:rPr/>
            </w:pPr>
            <w:r>
              <w:rPr>
                <w:spacing w:val="2"/>
              </w:rPr>
              <w:t>新建</w:t>
            </w:r>
          </w:p>
        </w:tc>
      </w:tr>
      <w:tr>
        <w:trPr>
          <w:trHeight w:val="1091" w:hRule="atLeast"/>
        </w:trPr>
        <w:tc>
          <w:tcPr>
            <w:tcW w:w="523" w:type="dxa"/>
            <w:vAlign w:val="top"/>
            <w:vMerge w:val="continue"/>
            <w:tcBorders>
              <w:left w:val="nil"/>
              <w:top w:val="nil"/>
              <w:bottom w:val="nil"/>
            </w:tcBorders>
          </w:tcPr>
          <w:p>
            <w:pPr>
              <w:rPr>
                <w:rFonts w:ascii="Arial"/>
                <w:sz w:val="21"/>
              </w:rPr>
            </w:pPr>
            <w:r/>
          </w:p>
        </w:tc>
        <w:tc>
          <w:tcPr>
            <w:tcW w:w="1207" w:type="dxa"/>
            <w:vAlign w:val="top"/>
          </w:tcPr>
          <w:p>
            <w:pPr>
              <w:spacing w:line="382" w:lineRule="auto"/>
              <w:rPr>
                <w:rFonts w:ascii="Arial"/>
                <w:sz w:val="21"/>
              </w:rPr>
            </w:pPr>
            <w:r/>
          </w:p>
          <w:p>
            <w:pPr>
              <w:pStyle w:val="TableText"/>
              <w:ind w:left="195"/>
              <w:spacing w:before="65" w:line="228" w:lineRule="auto"/>
              <w:rPr/>
            </w:pPr>
            <w:r>
              <w:rPr>
                <w:spacing w:val="5"/>
              </w:rPr>
              <w:t>磨浮车间</w:t>
            </w:r>
          </w:p>
        </w:tc>
        <w:tc>
          <w:tcPr>
            <w:tcW w:w="5510" w:type="dxa"/>
            <w:vAlign w:val="top"/>
          </w:tcPr>
          <w:p>
            <w:pPr>
              <w:pStyle w:val="TableText"/>
              <w:ind w:left="13" w:firstLine="421"/>
              <w:spacing w:before="40"/>
              <w:jc w:val="both"/>
              <w:rPr/>
            </w:pPr>
            <w:r>
              <w:rPr>
                <w:spacing w:val="-7"/>
              </w:rPr>
              <w:t>位</w:t>
            </w:r>
            <w:r>
              <w:rPr>
                <w:spacing w:val="-46"/>
              </w:rPr>
              <w:t xml:space="preserve"> </w:t>
            </w:r>
            <w:r>
              <w:rPr>
                <w:spacing w:val="-7"/>
              </w:rPr>
              <w:t>于</w:t>
            </w:r>
            <w:r>
              <w:rPr>
                <w:spacing w:val="-50"/>
              </w:rPr>
              <w:t xml:space="preserve"> </w:t>
            </w:r>
            <w:r>
              <w:rPr>
                <w:spacing w:val="-7"/>
              </w:rPr>
              <w:t>筛</w:t>
            </w:r>
            <w:r>
              <w:rPr>
                <w:spacing w:val="-51"/>
              </w:rPr>
              <w:t xml:space="preserve"> </w:t>
            </w:r>
            <w:r>
              <w:rPr>
                <w:spacing w:val="-7"/>
              </w:rPr>
              <w:t>分</w:t>
            </w:r>
            <w:r>
              <w:rPr>
                <w:spacing w:val="-47"/>
              </w:rPr>
              <w:t xml:space="preserve"> </w:t>
            </w:r>
            <w:r>
              <w:rPr>
                <w:spacing w:val="-7"/>
              </w:rPr>
              <w:t>车</w:t>
            </w:r>
            <w:r>
              <w:rPr>
                <w:spacing w:val="-34"/>
              </w:rPr>
              <w:t xml:space="preserve"> </w:t>
            </w:r>
            <w:r>
              <w:rPr>
                <w:spacing w:val="-7"/>
              </w:rPr>
              <w:t>间</w:t>
            </w:r>
            <w:r>
              <w:rPr>
                <w:spacing w:val="-47"/>
              </w:rPr>
              <w:t xml:space="preserve"> </w:t>
            </w:r>
            <w:r>
              <w:rPr>
                <w:spacing w:val="-7"/>
              </w:rPr>
              <w:t>东</w:t>
            </w:r>
            <w:r>
              <w:rPr>
                <w:spacing w:val="-53"/>
              </w:rPr>
              <w:t xml:space="preserve"> </w:t>
            </w:r>
            <w:r>
              <w:rPr>
                <w:spacing w:val="-7"/>
              </w:rPr>
              <w:t>侧</w:t>
            </w:r>
            <w:r>
              <w:rPr>
                <w:spacing w:val="-7"/>
              </w:rPr>
              <w:t xml:space="preserve"> </w:t>
            </w:r>
            <w:r>
              <w:rPr>
                <w:rFonts w:ascii="Times New Roman" w:hAnsi="Times New Roman" w:eastAsia="Times New Roman" w:cs="Times New Roman"/>
                <w:spacing w:val="-7"/>
              </w:rPr>
              <w:t>48m  </w:t>
            </w:r>
            <w:r>
              <w:rPr>
                <w:spacing w:val="-7"/>
              </w:rPr>
              <w:t>处</w:t>
            </w:r>
            <w:r>
              <w:rPr>
                <w:spacing w:val="-38"/>
              </w:rPr>
              <w:t xml:space="preserve"> </w:t>
            </w:r>
            <w:r>
              <w:rPr>
                <w:spacing w:val="-7"/>
              </w:rPr>
              <w:t>，</w:t>
            </w:r>
            <w:r>
              <w:rPr>
                <w:spacing w:val="-45"/>
              </w:rPr>
              <w:t xml:space="preserve"> </w:t>
            </w:r>
            <w:r>
              <w:rPr>
                <w:spacing w:val="-7"/>
              </w:rPr>
              <w:t>采</w:t>
            </w:r>
            <w:r>
              <w:rPr>
                <w:spacing w:val="-53"/>
              </w:rPr>
              <w:t xml:space="preserve"> </w:t>
            </w:r>
            <w:r>
              <w:rPr>
                <w:spacing w:val="-7"/>
              </w:rPr>
              <w:t>用钢</w:t>
            </w:r>
            <w:r>
              <w:rPr>
                <w:spacing w:val="-51"/>
              </w:rPr>
              <w:t xml:space="preserve"> </w:t>
            </w:r>
            <w:r>
              <w:rPr>
                <w:spacing w:val="-7"/>
              </w:rPr>
              <w:t>结</w:t>
            </w:r>
            <w:r>
              <w:rPr>
                <w:spacing w:val="-53"/>
              </w:rPr>
              <w:t xml:space="preserve"> </w:t>
            </w:r>
            <w:r>
              <w:rPr>
                <w:spacing w:val="-7"/>
              </w:rPr>
              <w:t>构</w:t>
            </w:r>
            <w:r>
              <w:rPr>
                <w:spacing w:val="-38"/>
              </w:rPr>
              <w:t xml:space="preserve"> </w:t>
            </w:r>
            <w:r>
              <w:rPr>
                <w:spacing w:val="-7"/>
              </w:rPr>
              <w:t>，</w:t>
            </w:r>
            <w:r>
              <w:rPr>
                <w:spacing w:val="-7"/>
              </w:rPr>
              <w:t xml:space="preserve"> </w:t>
            </w:r>
            <w:r>
              <w:rPr>
                <w:spacing w:val="-7"/>
              </w:rPr>
              <w:t>占</w:t>
            </w:r>
            <w:r>
              <w:rPr>
                <w:spacing w:val="-52"/>
              </w:rPr>
              <w:t xml:space="preserve"> </w:t>
            </w:r>
            <w:r>
              <w:rPr>
                <w:spacing w:val="-7"/>
              </w:rPr>
              <w:t>地</w:t>
            </w:r>
            <w:r>
              <w:rPr>
                <w:spacing w:val="-49"/>
              </w:rPr>
              <w:t xml:space="preserve"> </w:t>
            </w:r>
            <w:r>
              <w:rPr>
                <w:spacing w:val="-7"/>
              </w:rPr>
              <w:t>面</w:t>
            </w:r>
            <w:r>
              <w:rPr>
                <w:spacing w:val="5"/>
              </w:rPr>
              <w:t>积</w:t>
            </w:r>
            <w:r>
              <w:rPr>
                <w:rFonts w:ascii="Times New Roman" w:hAnsi="Times New Roman" w:eastAsia="Times New Roman" w:cs="Times New Roman"/>
                <w:spacing w:val="5"/>
              </w:rPr>
              <w:t>.</w:t>
            </w:r>
            <w:r>
              <w:rPr>
                <w:rFonts w:ascii="Times New Roman" w:hAnsi="Times New Roman" w:eastAsia="Times New Roman" w:cs="Times New Roman"/>
                <w:spacing w:val="-22"/>
              </w:rPr>
              <w:t xml:space="preserve"> </w:t>
            </w:r>
            <w:r>
              <w:rPr>
                <w:rFonts w:ascii="Times New Roman" w:hAnsi="Times New Roman" w:eastAsia="Times New Roman" w:cs="Times New Roman"/>
                <w:spacing w:val="5"/>
              </w:rPr>
              <w:t>1200m</w:t>
            </w:r>
            <w:r>
              <w:rPr>
                <w:rFonts w:ascii="Times New Roman" w:hAnsi="Times New Roman" w:eastAsia="Times New Roman" w:cs="Times New Roman"/>
                <w:sz w:val="13"/>
                <w:szCs w:val="13"/>
                <w:spacing w:val="5"/>
                <w:position w:val="6"/>
              </w:rPr>
              <w:t>2 </w:t>
            </w:r>
            <w:r>
              <w:rPr>
                <w:spacing w:val="5"/>
              </w:rPr>
              <w:t>，建构筑物规格尺寸</w:t>
            </w:r>
            <w:r>
              <w:rPr>
                <w:spacing w:val="-38"/>
              </w:rPr>
              <w:t xml:space="preserve"> </w:t>
            </w:r>
            <w:r>
              <w:rPr>
                <w:rFonts w:ascii="Times New Roman" w:hAnsi="Times New Roman" w:eastAsia="Times New Roman" w:cs="Times New Roman"/>
                <w:spacing w:val="5"/>
              </w:rPr>
              <w:t>20m×60m×12m</w:t>
            </w:r>
            <w:r>
              <w:rPr>
                <w:rFonts w:ascii="Times New Roman" w:hAnsi="Times New Roman" w:eastAsia="Times New Roman" w:cs="Times New Roman"/>
                <w:spacing w:val="-20"/>
              </w:rPr>
              <w:t xml:space="preserve"> </w:t>
            </w:r>
            <w:r>
              <w:rPr>
                <w:spacing w:val="5"/>
              </w:rPr>
              <w:t>。主要用于进</w:t>
            </w:r>
            <w:r>
              <w:rPr>
                <w:spacing w:val="9"/>
              </w:rPr>
              <w:t>行磨矿、分级、浮选工作，</w:t>
            </w:r>
            <w:r>
              <w:rPr>
                <w:spacing w:val="-44"/>
              </w:rPr>
              <w:t xml:space="preserve"> </w:t>
            </w:r>
            <w:r>
              <w:rPr>
                <w:spacing w:val="9"/>
              </w:rPr>
              <w:t>内设球磨机、螺旋分级机、搅拌</w:t>
            </w:r>
            <w:r>
              <w:rPr>
                <w:spacing w:val="7"/>
              </w:rPr>
              <w:t>槽、浮选机等设备。</w:t>
            </w:r>
          </w:p>
        </w:tc>
        <w:tc>
          <w:tcPr>
            <w:tcW w:w="1453" w:type="dxa"/>
            <w:vAlign w:val="top"/>
            <w:tcBorders>
              <w:right w:val="nil"/>
            </w:tcBorders>
          </w:tcPr>
          <w:p>
            <w:pPr>
              <w:spacing w:line="382" w:lineRule="auto"/>
              <w:rPr>
                <w:rFonts w:ascii="Arial"/>
                <w:sz w:val="21"/>
              </w:rPr>
            </w:pPr>
            <w:r/>
          </w:p>
          <w:p>
            <w:pPr>
              <w:pStyle w:val="TableText"/>
              <w:ind w:left="529"/>
              <w:spacing w:before="65" w:line="231" w:lineRule="auto"/>
              <w:rPr/>
            </w:pPr>
            <w:r>
              <w:rPr>
                <w:spacing w:val="2"/>
              </w:rPr>
              <w:t>新建</w:t>
            </w:r>
          </w:p>
        </w:tc>
      </w:tr>
      <w:tr>
        <w:trPr>
          <w:trHeight w:val="820" w:hRule="atLeast"/>
        </w:trPr>
        <w:tc>
          <w:tcPr>
            <w:tcW w:w="523" w:type="dxa"/>
            <w:vAlign w:val="top"/>
            <w:vMerge w:val="continue"/>
            <w:tcBorders>
              <w:left w:val="nil"/>
              <w:top w:val="nil"/>
              <w:bottom w:val="nil"/>
            </w:tcBorders>
          </w:tcPr>
          <w:p>
            <w:pPr>
              <w:rPr>
                <w:rFonts w:ascii="Arial"/>
                <w:sz w:val="21"/>
              </w:rPr>
            </w:pPr>
            <w:r/>
          </w:p>
        </w:tc>
        <w:tc>
          <w:tcPr>
            <w:tcW w:w="1207" w:type="dxa"/>
            <w:vAlign w:val="top"/>
          </w:tcPr>
          <w:p>
            <w:pPr>
              <w:spacing w:line="249" w:lineRule="auto"/>
              <w:rPr>
                <w:rFonts w:ascii="Arial"/>
                <w:sz w:val="21"/>
              </w:rPr>
            </w:pPr>
            <w:r/>
          </w:p>
          <w:p>
            <w:pPr>
              <w:pStyle w:val="TableText"/>
              <w:ind w:left="200"/>
              <w:spacing w:before="65" w:line="228" w:lineRule="auto"/>
              <w:rPr/>
            </w:pPr>
            <w:r>
              <w:rPr>
                <w:spacing w:val="4"/>
              </w:rPr>
              <w:t>浓缩车间</w:t>
            </w:r>
          </w:p>
        </w:tc>
        <w:tc>
          <w:tcPr>
            <w:tcW w:w="5510" w:type="dxa"/>
            <w:vAlign w:val="top"/>
          </w:tcPr>
          <w:p>
            <w:pPr>
              <w:pStyle w:val="TableText"/>
              <w:ind w:left="13" w:firstLine="421"/>
              <w:spacing w:before="46" w:line="235" w:lineRule="auto"/>
              <w:jc w:val="both"/>
              <w:rPr/>
            </w:pPr>
            <w:r>
              <w:rPr>
                <w:spacing w:val="7"/>
              </w:rPr>
              <w:t>位于磨浮车间东侧，采用钢结构，</w:t>
            </w:r>
            <w:r>
              <w:rPr>
                <w:spacing w:val="-30"/>
              </w:rPr>
              <w:t xml:space="preserve"> </w:t>
            </w:r>
            <w:r>
              <w:rPr>
                <w:spacing w:val="7"/>
              </w:rPr>
              <w:t>占地面积</w:t>
            </w:r>
            <w:r>
              <w:rPr>
                <w:rFonts w:ascii="Times New Roman" w:hAnsi="Times New Roman" w:eastAsia="Times New Roman" w:cs="Times New Roman"/>
                <w:spacing w:val="7"/>
              </w:rPr>
              <w:t>.600m</w:t>
            </w:r>
            <w:r>
              <w:rPr>
                <w:rFonts w:ascii="Times New Roman" w:hAnsi="Times New Roman" w:eastAsia="Times New Roman" w:cs="Times New Roman"/>
                <w:sz w:val="13"/>
                <w:szCs w:val="13"/>
                <w:spacing w:val="7"/>
                <w:position w:val="6"/>
              </w:rPr>
              <w:t>2 </w:t>
            </w:r>
            <w:r>
              <w:rPr>
                <w:spacing w:val="7"/>
              </w:rPr>
              <w:t>，建</w:t>
            </w:r>
            <w:r>
              <w:rPr>
                <w:spacing w:val="4"/>
              </w:rPr>
              <w:t>构筑物规格尺寸</w:t>
            </w:r>
            <w:r>
              <w:rPr>
                <w:spacing w:val="-26"/>
              </w:rPr>
              <w:t xml:space="preserve"> </w:t>
            </w:r>
            <w:r>
              <w:rPr>
                <w:rFonts w:ascii="Times New Roman" w:hAnsi="Times New Roman" w:eastAsia="Times New Roman" w:cs="Times New Roman"/>
                <w:spacing w:val="4"/>
              </w:rPr>
              <w:t>20m×30m×12m</w:t>
            </w:r>
            <w:r>
              <w:rPr>
                <w:spacing w:val="4"/>
              </w:rPr>
              <w:t>。主要用于进行精矿、尾矿浓</w:t>
            </w:r>
            <w:r>
              <w:rPr>
                <w:spacing w:val="4"/>
              </w:rPr>
              <w:t>缩工作，</w:t>
            </w:r>
            <w:r>
              <w:rPr>
                <w:spacing w:val="-47"/>
              </w:rPr>
              <w:t xml:space="preserve"> </w:t>
            </w:r>
            <w:r>
              <w:rPr>
                <w:spacing w:val="4"/>
              </w:rPr>
              <w:t>内设浓缩机等设备。</w:t>
            </w:r>
          </w:p>
        </w:tc>
        <w:tc>
          <w:tcPr>
            <w:tcW w:w="1453" w:type="dxa"/>
            <w:vAlign w:val="top"/>
            <w:tcBorders>
              <w:right w:val="nil"/>
            </w:tcBorders>
          </w:tcPr>
          <w:p>
            <w:pPr>
              <w:spacing w:line="249" w:lineRule="auto"/>
              <w:rPr>
                <w:rFonts w:ascii="Arial"/>
                <w:sz w:val="21"/>
              </w:rPr>
            </w:pPr>
            <w:r/>
          </w:p>
          <w:p>
            <w:pPr>
              <w:pStyle w:val="TableText"/>
              <w:ind w:left="529"/>
              <w:spacing w:before="65" w:line="231" w:lineRule="auto"/>
              <w:rPr/>
            </w:pPr>
            <w:r>
              <w:rPr>
                <w:spacing w:val="2"/>
              </w:rPr>
              <w:t>新建</w:t>
            </w:r>
          </w:p>
        </w:tc>
      </w:tr>
      <w:tr>
        <w:trPr>
          <w:trHeight w:val="820" w:hRule="atLeast"/>
        </w:trPr>
        <w:tc>
          <w:tcPr>
            <w:tcW w:w="523" w:type="dxa"/>
            <w:vAlign w:val="top"/>
            <w:vMerge w:val="continue"/>
            <w:tcBorders>
              <w:left w:val="nil"/>
              <w:top w:val="nil"/>
              <w:bottom w:val="nil"/>
            </w:tcBorders>
          </w:tcPr>
          <w:p>
            <w:pPr>
              <w:rPr>
                <w:rFonts w:ascii="Arial"/>
                <w:sz w:val="21"/>
              </w:rPr>
            </w:pPr>
            <w:r/>
          </w:p>
        </w:tc>
        <w:tc>
          <w:tcPr>
            <w:tcW w:w="1207" w:type="dxa"/>
            <w:vAlign w:val="top"/>
          </w:tcPr>
          <w:p>
            <w:pPr>
              <w:pStyle w:val="TableText"/>
              <w:ind w:left="528" w:right="76" w:hanging="437"/>
              <w:spacing w:before="182" w:line="251" w:lineRule="auto"/>
              <w:rPr/>
            </w:pPr>
            <w:r>
              <w:rPr>
                <w:spacing w:val="6"/>
              </w:rPr>
              <w:t>尾矿过滤车</w:t>
            </w:r>
            <w:r>
              <w:rPr/>
              <w:t>间</w:t>
            </w:r>
          </w:p>
        </w:tc>
        <w:tc>
          <w:tcPr>
            <w:tcW w:w="5510" w:type="dxa"/>
            <w:vAlign w:val="top"/>
          </w:tcPr>
          <w:p>
            <w:pPr>
              <w:pStyle w:val="TableText"/>
              <w:ind w:left="13" w:firstLine="421"/>
              <w:spacing w:before="46" w:line="235" w:lineRule="auto"/>
              <w:jc w:val="both"/>
              <w:rPr/>
            </w:pPr>
            <w:r>
              <w:rPr>
                <w:spacing w:val="7"/>
              </w:rPr>
              <w:t>位于磨浮车间西侧，采用钢结构，</w:t>
            </w:r>
            <w:r>
              <w:rPr>
                <w:spacing w:val="-36"/>
              </w:rPr>
              <w:t xml:space="preserve"> </w:t>
            </w:r>
            <w:r>
              <w:rPr>
                <w:spacing w:val="7"/>
              </w:rPr>
              <w:t>占地面积</w:t>
            </w:r>
            <w:r>
              <w:rPr>
                <w:spacing w:val="-37"/>
              </w:rPr>
              <w:t xml:space="preserve"> </w:t>
            </w:r>
            <w:r>
              <w:rPr>
                <w:rFonts w:ascii="Times New Roman" w:hAnsi="Times New Roman" w:eastAsia="Times New Roman" w:cs="Times New Roman"/>
                <w:spacing w:val="7"/>
              </w:rPr>
              <w:t>400m</w:t>
            </w:r>
            <w:r>
              <w:rPr>
                <w:rFonts w:ascii="Times New Roman" w:hAnsi="Times New Roman" w:eastAsia="Times New Roman" w:cs="Times New Roman"/>
                <w:sz w:val="13"/>
                <w:szCs w:val="13"/>
                <w:spacing w:val="7"/>
                <w:position w:val="6"/>
              </w:rPr>
              <w:t>2 </w:t>
            </w:r>
            <w:r>
              <w:rPr>
                <w:spacing w:val="7"/>
              </w:rPr>
              <w:t>，建</w:t>
            </w:r>
            <w:r>
              <w:rPr>
                <w:spacing w:val="4"/>
              </w:rPr>
              <w:t>构筑物规格尺寸</w:t>
            </w:r>
            <w:r>
              <w:rPr>
                <w:spacing w:val="-28"/>
              </w:rPr>
              <w:t xml:space="preserve"> </w:t>
            </w:r>
            <w:r>
              <w:rPr>
                <w:rFonts w:ascii="Times New Roman" w:hAnsi="Times New Roman" w:eastAsia="Times New Roman" w:cs="Times New Roman"/>
                <w:spacing w:val="4"/>
              </w:rPr>
              <w:t>20m×20m×12m</w:t>
            </w:r>
            <w:r>
              <w:rPr>
                <w:spacing w:val="4"/>
              </w:rPr>
              <w:t>。主要用于进行尾矿过滤脱水</w:t>
            </w:r>
            <w:r>
              <w:rPr>
                <w:spacing w:val="4"/>
              </w:rPr>
              <w:t>工作，</w:t>
            </w:r>
            <w:r>
              <w:rPr>
                <w:spacing w:val="-54"/>
              </w:rPr>
              <w:t xml:space="preserve"> </w:t>
            </w:r>
            <w:r>
              <w:rPr>
                <w:spacing w:val="4"/>
              </w:rPr>
              <w:t>内设过滤机等设备。</w:t>
            </w:r>
          </w:p>
        </w:tc>
        <w:tc>
          <w:tcPr>
            <w:tcW w:w="1453" w:type="dxa"/>
            <w:vAlign w:val="top"/>
            <w:tcBorders>
              <w:right w:val="nil"/>
            </w:tcBorders>
          </w:tcPr>
          <w:p>
            <w:pPr>
              <w:spacing w:line="252" w:lineRule="auto"/>
              <w:rPr>
                <w:rFonts w:ascii="Arial"/>
                <w:sz w:val="21"/>
              </w:rPr>
            </w:pPr>
            <w:r/>
          </w:p>
          <w:p>
            <w:pPr>
              <w:pStyle w:val="TableText"/>
              <w:ind w:left="529"/>
              <w:spacing w:before="65" w:line="231" w:lineRule="auto"/>
              <w:rPr/>
            </w:pPr>
            <w:r>
              <w:rPr>
                <w:spacing w:val="2"/>
              </w:rPr>
              <w:t>新建</w:t>
            </w:r>
          </w:p>
        </w:tc>
      </w:tr>
      <w:tr>
        <w:trPr>
          <w:trHeight w:val="851" w:hRule="atLeast"/>
        </w:trPr>
        <w:tc>
          <w:tcPr>
            <w:tcW w:w="523" w:type="dxa"/>
            <w:vAlign w:val="top"/>
            <w:vMerge w:val="continue"/>
            <w:tcBorders>
              <w:left w:val="nil"/>
              <w:top w:val="nil"/>
            </w:tcBorders>
          </w:tcPr>
          <w:p>
            <w:pPr>
              <w:rPr>
                <w:rFonts w:ascii="Arial"/>
                <w:sz w:val="21"/>
              </w:rPr>
            </w:pPr>
            <w:r/>
          </w:p>
        </w:tc>
        <w:tc>
          <w:tcPr>
            <w:tcW w:w="1207" w:type="dxa"/>
            <w:vAlign w:val="top"/>
          </w:tcPr>
          <w:p>
            <w:pPr>
              <w:pStyle w:val="TableText"/>
              <w:ind w:left="529" w:right="76" w:hanging="439"/>
              <w:spacing w:before="200" w:line="251" w:lineRule="auto"/>
              <w:rPr/>
            </w:pPr>
            <w:r>
              <w:rPr>
                <w:spacing w:val="7"/>
              </w:rPr>
              <w:t>精矿过滤车</w:t>
            </w:r>
            <w:r>
              <w:rPr/>
              <w:t>间</w:t>
            </w:r>
          </w:p>
        </w:tc>
        <w:tc>
          <w:tcPr>
            <w:tcW w:w="5510" w:type="dxa"/>
            <w:vAlign w:val="top"/>
          </w:tcPr>
          <w:p>
            <w:pPr>
              <w:pStyle w:val="TableText"/>
              <w:ind w:left="13" w:firstLine="421"/>
              <w:spacing w:before="64" w:line="239" w:lineRule="auto"/>
              <w:jc w:val="both"/>
              <w:rPr/>
            </w:pPr>
            <w:r>
              <w:rPr>
                <w:spacing w:val="7"/>
              </w:rPr>
              <w:t>位于磨浮车间东侧，采用钢结构，</w:t>
            </w:r>
            <w:r>
              <w:rPr>
                <w:spacing w:val="-36"/>
              </w:rPr>
              <w:t xml:space="preserve"> </w:t>
            </w:r>
            <w:r>
              <w:rPr>
                <w:spacing w:val="7"/>
              </w:rPr>
              <w:t>占地面积</w:t>
            </w:r>
            <w:r>
              <w:rPr>
                <w:spacing w:val="-37"/>
              </w:rPr>
              <w:t xml:space="preserve"> </w:t>
            </w:r>
            <w:r>
              <w:rPr>
                <w:rFonts w:ascii="Times New Roman" w:hAnsi="Times New Roman" w:eastAsia="Times New Roman" w:cs="Times New Roman"/>
                <w:spacing w:val="7"/>
              </w:rPr>
              <w:t>400m</w:t>
            </w:r>
            <w:r>
              <w:rPr>
                <w:rFonts w:ascii="Times New Roman" w:hAnsi="Times New Roman" w:eastAsia="Times New Roman" w:cs="Times New Roman"/>
                <w:sz w:val="13"/>
                <w:szCs w:val="13"/>
                <w:spacing w:val="7"/>
                <w:position w:val="6"/>
              </w:rPr>
              <w:t>2 </w:t>
            </w:r>
            <w:r>
              <w:rPr>
                <w:spacing w:val="7"/>
              </w:rPr>
              <w:t>，建</w:t>
            </w:r>
            <w:r>
              <w:rPr>
                <w:spacing w:val="10"/>
              </w:rPr>
              <w:t>构筑物规格尺寸</w:t>
            </w:r>
            <w:r>
              <w:rPr>
                <w:spacing w:val="-32"/>
              </w:rPr>
              <w:t xml:space="preserve"> </w:t>
            </w:r>
            <w:r>
              <w:rPr>
                <w:rFonts w:ascii="Times New Roman" w:hAnsi="Times New Roman" w:eastAsia="Times New Roman" w:cs="Times New Roman"/>
                <w:spacing w:val="10"/>
              </w:rPr>
              <w:t>35m×40m×12m</w:t>
            </w:r>
            <w:r>
              <w:rPr>
                <w:rFonts w:ascii="Times New Roman" w:hAnsi="Times New Roman" w:eastAsia="Times New Roman" w:cs="Times New Roman"/>
                <w:spacing w:val="-15"/>
              </w:rPr>
              <w:t xml:space="preserve"> </w:t>
            </w:r>
            <w:r>
              <w:rPr>
                <w:spacing w:val="10"/>
              </w:rPr>
              <w:t>。主要用于进行</w:t>
            </w:r>
            <w:r>
              <w:rPr>
                <w:spacing w:val="9"/>
              </w:rPr>
              <w:t>精矿过滤工</w:t>
            </w:r>
            <w:r>
              <w:rPr>
                <w:spacing w:val="3"/>
              </w:rPr>
              <w:t>作，</w:t>
            </w:r>
            <w:r>
              <w:rPr>
                <w:spacing w:val="-48"/>
              </w:rPr>
              <w:t xml:space="preserve"> </w:t>
            </w:r>
            <w:r>
              <w:rPr>
                <w:spacing w:val="3"/>
              </w:rPr>
              <w:t>内设过滤机等设备。</w:t>
            </w:r>
          </w:p>
        </w:tc>
        <w:tc>
          <w:tcPr>
            <w:tcW w:w="1453" w:type="dxa"/>
            <w:vAlign w:val="top"/>
            <w:tcBorders>
              <w:right w:val="nil"/>
            </w:tcBorders>
          </w:tcPr>
          <w:p>
            <w:pPr>
              <w:spacing w:line="267" w:lineRule="auto"/>
              <w:rPr>
                <w:rFonts w:ascii="Arial"/>
                <w:sz w:val="21"/>
              </w:rPr>
            </w:pPr>
            <w:r/>
          </w:p>
          <w:p>
            <w:pPr>
              <w:pStyle w:val="TableText"/>
              <w:ind w:left="529"/>
              <w:spacing w:before="65" w:line="231" w:lineRule="auto"/>
              <w:rPr/>
            </w:pPr>
            <w:r>
              <w:rPr>
                <w:spacing w:val="2"/>
              </w:rPr>
              <w:t>新建</w:t>
            </w:r>
          </w:p>
        </w:tc>
      </w:tr>
      <w:tr>
        <w:trPr>
          <w:trHeight w:val="1091" w:hRule="atLeast"/>
        </w:trPr>
        <w:tc>
          <w:tcPr>
            <w:tcW w:w="523" w:type="dxa"/>
            <w:vAlign w:val="top"/>
            <w:vMerge w:val="restart"/>
            <w:tcBorders>
              <w:left w:val="nil"/>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62" w:right="52"/>
              <w:spacing w:before="65" w:line="254" w:lineRule="auto"/>
              <w:rPr/>
            </w:pPr>
            <w:r>
              <w:rPr>
                <w:spacing w:val="2"/>
              </w:rPr>
              <w:t>辅助</w:t>
            </w:r>
            <w:r>
              <w:rPr>
                <w:spacing w:val="2"/>
              </w:rPr>
              <w:t>设施</w:t>
            </w:r>
          </w:p>
        </w:tc>
        <w:tc>
          <w:tcPr>
            <w:tcW w:w="1207" w:type="dxa"/>
            <w:vAlign w:val="top"/>
          </w:tcPr>
          <w:p>
            <w:pPr>
              <w:spacing w:line="390" w:lineRule="auto"/>
              <w:rPr>
                <w:rFonts w:ascii="Arial"/>
                <w:sz w:val="21"/>
              </w:rPr>
            </w:pPr>
            <w:r/>
          </w:p>
          <w:p>
            <w:pPr>
              <w:pStyle w:val="TableText"/>
              <w:ind w:left="304"/>
              <w:spacing w:before="65" w:line="231" w:lineRule="auto"/>
              <w:rPr/>
            </w:pPr>
            <w:r>
              <w:rPr>
                <w:spacing w:val="3"/>
              </w:rPr>
              <w:t>蓄水池</w:t>
            </w:r>
          </w:p>
        </w:tc>
        <w:tc>
          <w:tcPr>
            <w:tcW w:w="5510" w:type="dxa"/>
            <w:vAlign w:val="top"/>
          </w:tcPr>
          <w:p>
            <w:pPr>
              <w:pStyle w:val="TableText"/>
              <w:ind w:left="14" w:firstLine="415"/>
              <w:spacing w:before="49" w:line="238" w:lineRule="auto"/>
              <w:jc w:val="both"/>
              <w:rPr/>
            </w:pPr>
            <w:r>
              <w:rPr>
                <w:spacing w:val="5"/>
              </w:rPr>
              <w:t>位于回水池西侧，</w:t>
            </w:r>
            <w:r>
              <w:rPr>
                <w:spacing w:val="-32"/>
              </w:rPr>
              <w:t xml:space="preserve"> </w:t>
            </w:r>
            <w:r>
              <w:rPr>
                <w:spacing w:val="5"/>
              </w:rPr>
              <w:t>占地面积为</w:t>
            </w:r>
            <w:r>
              <w:rPr>
                <w:spacing w:val="-40"/>
              </w:rPr>
              <w:t xml:space="preserve"> </w:t>
            </w:r>
            <w:r>
              <w:rPr>
                <w:rFonts w:ascii="Times New Roman" w:hAnsi="Times New Roman" w:eastAsia="Times New Roman" w:cs="Times New Roman"/>
                <w:spacing w:val="5"/>
              </w:rPr>
              <w:t>400m</w:t>
            </w:r>
            <w:r>
              <w:rPr>
                <w:rFonts w:ascii="Times New Roman" w:hAnsi="Times New Roman" w:eastAsia="Times New Roman" w:cs="Times New Roman"/>
                <w:sz w:val="13"/>
                <w:szCs w:val="13"/>
                <w:spacing w:val="5"/>
                <w:position w:val="6"/>
              </w:rPr>
              <w:t>2 </w:t>
            </w:r>
            <w:r>
              <w:rPr>
                <w:spacing w:val="5"/>
              </w:rPr>
              <w:t>，建构筑物规格尺</w:t>
            </w:r>
            <w:r>
              <w:rPr>
                <w:spacing w:val="2"/>
              </w:rPr>
              <w:t>寸</w:t>
            </w:r>
            <w:r>
              <w:rPr>
                <w:spacing w:val="-44"/>
              </w:rPr>
              <w:t xml:space="preserve"> </w:t>
            </w:r>
            <w:r>
              <w:rPr>
                <w:rFonts w:ascii="Times New Roman" w:hAnsi="Times New Roman" w:eastAsia="Times New Roman" w:cs="Times New Roman"/>
                <w:spacing w:val="2"/>
              </w:rPr>
              <w:t>20m×20m×4m</w:t>
            </w:r>
            <w:r>
              <w:rPr>
                <w:rFonts w:ascii="Times New Roman" w:hAnsi="Times New Roman" w:eastAsia="Times New Roman" w:cs="Times New Roman"/>
                <w:spacing w:val="-21"/>
              </w:rPr>
              <w:t xml:space="preserve"> </w:t>
            </w:r>
            <w:r>
              <w:rPr>
                <w:spacing w:val="2"/>
              </w:rPr>
              <w:t>，地上</w:t>
            </w:r>
            <w:r>
              <w:rPr>
                <w:rFonts w:ascii="Times New Roman" w:hAnsi="Times New Roman" w:eastAsia="Times New Roman" w:cs="Times New Roman"/>
                <w:spacing w:val="2"/>
              </w:rPr>
              <w:t>/</w:t>
            </w:r>
            <w:r>
              <w:rPr>
                <w:spacing w:val="2"/>
              </w:rPr>
              <w:t>地下建筑，水池有效容</w:t>
            </w:r>
            <w:r>
              <w:rPr>
                <w:spacing w:val="1"/>
              </w:rPr>
              <w:t>积为</w:t>
            </w:r>
            <w:r>
              <w:rPr>
                <w:spacing w:val="-23"/>
              </w:rPr>
              <w:t xml:space="preserve"> </w:t>
            </w:r>
            <w:r>
              <w:rPr>
                <w:rFonts w:ascii="Times New Roman" w:hAnsi="Times New Roman" w:eastAsia="Times New Roman" w:cs="Times New Roman"/>
                <w:spacing w:val="1"/>
              </w:rPr>
              <w:t>1280m</w:t>
            </w:r>
            <w:r>
              <w:rPr>
                <w:rFonts w:ascii="Times New Roman" w:hAnsi="Times New Roman" w:eastAsia="Times New Roman" w:cs="Times New Roman"/>
                <w:sz w:val="13"/>
                <w:szCs w:val="13"/>
                <w:spacing w:val="1"/>
                <w:position w:val="6"/>
              </w:rPr>
              <w:t>2</w:t>
            </w:r>
            <w:r>
              <w:rPr>
                <w:spacing w:val="1"/>
              </w:rPr>
              <w:t>，</w:t>
            </w:r>
            <w:r>
              <w:rPr>
                <w:spacing w:val="4"/>
              </w:rPr>
              <w:t>采用钢筋砼条基基础、采用</w:t>
            </w:r>
            <w:r>
              <w:rPr>
                <w:spacing w:val="-9"/>
              </w:rPr>
              <w:t xml:space="preserve"> </w:t>
            </w:r>
            <w:r>
              <w:rPr>
                <w:rFonts w:ascii="Times New Roman" w:hAnsi="Times New Roman" w:eastAsia="Times New Roman" w:cs="Times New Roman"/>
                <w:spacing w:val="4"/>
              </w:rPr>
              <w:t>1.5</w:t>
            </w:r>
            <w:r>
              <w:rPr>
                <w:rFonts w:ascii="Times New Roman" w:hAnsi="Times New Roman" w:eastAsia="Times New Roman" w:cs="Times New Roman"/>
              </w:rPr>
              <w:t>mm</w:t>
            </w:r>
            <w:r>
              <w:rPr>
                <w:rFonts w:ascii="Times New Roman" w:hAnsi="Times New Roman" w:eastAsia="Times New Roman" w:cs="Times New Roman"/>
                <w:spacing w:val="23"/>
                <w:w w:val="101"/>
              </w:rPr>
              <w:t xml:space="preserve"> </w:t>
            </w:r>
            <w:r>
              <w:rPr>
                <w:spacing w:val="4"/>
              </w:rPr>
              <w:t>聚乙烯防渗膜，主要存储</w:t>
            </w:r>
            <w:r>
              <w:rPr>
                <w:spacing w:val="3"/>
              </w:rPr>
              <w:t>供选矿用水。</w:t>
            </w:r>
          </w:p>
        </w:tc>
        <w:tc>
          <w:tcPr>
            <w:tcW w:w="1453" w:type="dxa"/>
            <w:vAlign w:val="top"/>
            <w:tcBorders>
              <w:right w:val="nil"/>
            </w:tcBorders>
          </w:tcPr>
          <w:p>
            <w:pPr>
              <w:spacing w:line="390" w:lineRule="auto"/>
              <w:rPr>
                <w:rFonts w:ascii="Arial"/>
                <w:sz w:val="21"/>
              </w:rPr>
            </w:pPr>
            <w:r/>
          </w:p>
          <w:p>
            <w:pPr>
              <w:pStyle w:val="TableText"/>
              <w:ind w:left="529"/>
              <w:spacing w:before="65" w:line="231" w:lineRule="auto"/>
              <w:rPr/>
            </w:pPr>
            <w:r>
              <w:rPr>
                <w:spacing w:val="2"/>
              </w:rPr>
              <w:t>新建</w:t>
            </w:r>
          </w:p>
        </w:tc>
      </w:tr>
      <w:tr>
        <w:trPr>
          <w:trHeight w:val="1114" w:hRule="atLeast"/>
        </w:trPr>
        <w:tc>
          <w:tcPr>
            <w:tcW w:w="523" w:type="dxa"/>
            <w:vAlign w:val="top"/>
            <w:vMerge w:val="continue"/>
            <w:tcBorders>
              <w:left w:val="nil"/>
              <w:bottom w:val="single" w:color="000000" w:sz="10" w:space="0"/>
              <w:top w:val="nil"/>
            </w:tcBorders>
          </w:tcPr>
          <w:p>
            <w:pPr>
              <w:rPr>
                <w:rFonts w:ascii="Arial"/>
                <w:sz w:val="21"/>
              </w:rPr>
            </w:pPr>
            <w:r/>
          </w:p>
        </w:tc>
        <w:tc>
          <w:tcPr>
            <w:tcW w:w="1207" w:type="dxa"/>
            <w:vAlign w:val="top"/>
            <w:tcBorders>
              <w:bottom w:val="single" w:color="000000" w:sz="10" w:space="0"/>
            </w:tcBorders>
          </w:tcPr>
          <w:p>
            <w:pPr>
              <w:spacing w:line="395" w:lineRule="auto"/>
              <w:rPr>
                <w:rFonts w:ascii="Arial"/>
                <w:sz w:val="21"/>
              </w:rPr>
            </w:pPr>
            <w:r/>
          </w:p>
          <w:p>
            <w:pPr>
              <w:pStyle w:val="TableText"/>
              <w:ind w:left="324"/>
              <w:spacing w:before="65" w:line="232" w:lineRule="auto"/>
              <w:rPr/>
            </w:pPr>
            <w:r>
              <w:rPr>
                <w:spacing w:val="-4"/>
              </w:rPr>
              <w:t>回水池</w:t>
            </w:r>
          </w:p>
        </w:tc>
        <w:tc>
          <w:tcPr>
            <w:tcW w:w="5510" w:type="dxa"/>
            <w:vAlign w:val="top"/>
            <w:tcBorders>
              <w:bottom w:val="single" w:color="000000" w:sz="10" w:space="0"/>
            </w:tcBorders>
          </w:tcPr>
          <w:p>
            <w:pPr>
              <w:pStyle w:val="TableText"/>
              <w:ind w:left="13" w:firstLine="421"/>
              <w:spacing w:before="55" w:line="242" w:lineRule="auto"/>
              <w:jc w:val="both"/>
              <w:rPr/>
            </w:pPr>
            <w:r>
              <w:rPr>
                <w:spacing w:val="4"/>
              </w:rPr>
              <w:t>位于位于磨浮车间西侧</w:t>
            </w:r>
            <w:r>
              <w:rPr>
                <w:spacing w:val="-41"/>
              </w:rPr>
              <w:t xml:space="preserve"> </w:t>
            </w:r>
            <w:r>
              <w:rPr>
                <w:rFonts w:ascii="Times New Roman" w:hAnsi="Times New Roman" w:eastAsia="Times New Roman" w:cs="Times New Roman"/>
                <w:spacing w:val="4"/>
              </w:rPr>
              <w:t>21m</w:t>
            </w:r>
            <w:r>
              <w:rPr>
                <w:rFonts w:ascii="Times New Roman" w:hAnsi="Times New Roman" w:eastAsia="Times New Roman" w:cs="Times New Roman"/>
                <w:spacing w:val="19"/>
              </w:rPr>
              <w:t xml:space="preserve"> </w:t>
            </w:r>
            <w:r>
              <w:rPr>
                <w:spacing w:val="4"/>
              </w:rPr>
              <w:t>处，</w:t>
            </w:r>
            <w:r>
              <w:rPr>
                <w:spacing w:val="-42"/>
              </w:rPr>
              <w:t xml:space="preserve"> </w:t>
            </w:r>
            <w:r>
              <w:rPr>
                <w:spacing w:val="4"/>
              </w:rPr>
              <w:t>占地面积为</w:t>
            </w:r>
            <w:r>
              <w:rPr>
                <w:spacing w:val="-33"/>
              </w:rPr>
              <w:t xml:space="preserve"> </w:t>
            </w:r>
            <w:r>
              <w:rPr>
                <w:rFonts w:ascii="Times New Roman" w:hAnsi="Times New Roman" w:eastAsia="Times New Roman" w:cs="Times New Roman"/>
                <w:spacing w:val="4"/>
              </w:rPr>
              <w:t>500</w:t>
            </w:r>
            <w:r>
              <w:rPr>
                <w:rFonts w:ascii="Times New Roman" w:hAnsi="Times New Roman" w:eastAsia="Times New Roman" w:cs="Times New Roman"/>
                <w:spacing w:val="3"/>
              </w:rPr>
              <w:t>m</w:t>
            </w:r>
            <w:r>
              <w:rPr>
                <w:rFonts w:ascii="Times New Roman" w:hAnsi="Times New Roman" w:eastAsia="Times New Roman" w:cs="Times New Roman"/>
                <w:sz w:val="13"/>
                <w:szCs w:val="13"/>
                <w:spacing w:val="3"/>
                <w:position w:val="6"/>
              </w:rPr>
              <w:t>2 </w:t>
            </w:r>
            <w:r>
              <w:rPr>
                <w:spacing w:val="3"/>
              </w:rPr>
              <w:t>，建</w:t>
            </w:r>
            <w:r>
              <w:rPr>
                <w:spacing w:val="6"/>
              </w:rPr>
              <w:t>构筑物规格尺寸</w:t>
            </w:r>
            <w:r>
              <w:rPr>
                <w:spacing w:val="-43"/>
              </w:rPr>
              <w:t xml:space="preserve"> </w:t>
            </w:r>
            <w:r>
              <w:rPr>
                <w:rFonts w:ascii="Times New Roman" w:hAnsi="Times New Roman" w:eastAsia="Times New Roman" w:cs="Times New Roman"/>
                <w:spacing w:val="6"/>
              </w:rPr>
              <w:t>25m×20m×4m</w:t>
            </w:r>
            <w:r>
              <w:rPr>
                <w:spacing w:val="6"/>
              </w:rPr>
              <w:t>，地上</w:t>
            </w:r>
            <w:r>
              <w:rPr>
                <w:rFonts w:ascii="Times New Roman" w:hAnsi="Times New Roman" w:eastAsia="Times New Roman" w:cs="Times New Roman"/>
                <w:spacing w:val="6"/>
              </w:rPr>
              <w:t>/</w:t>
            </w:r>
            <w:r>
              <w:rPr>
                <w:spacing w:val="6"/>
              </w:rPr>
              <w:t>地下建筑，水池有效容</w:t>
            </w:r>
            <w:r>
              <w:rPr>
                <w:spacing w:val="2"/>
              </w:rPr>
              <w:t>积为</w:t>
            </w:r>
            <w:r>
              <w:rPr>
                <w:spacing w:val="-5"/>
              </w:rPr>
              <w:t xml:space="preserve"> </w:t>
            </w:r>
            <w:r>
              <w:rPr>
                <w:rFonts w:ascii="Times New Roman" w:hAnsi="Times New Roman" w:eastAsia="Times New Roman" w:cs="Times New Roman"/>
                <w:spacing w:val="2"/>
              </w:rPr>
              <w:t>1600m</w:t>
            </w:r>
            <w:r>
              <w:rPr>
                <w:rFonts w:ascii="Times New Roman" w:hAnsi="Times New Roman" w:eastAsia="Times New Roman" w:cs="Times New Roman"/>
                <w:sz w:val="13"/>
                <w:szCs w:val="13"/>
                <w:spacing w:val="2"/>
                <w:position w:val="6"/>
              </w:rPr>
              <w:t>2</w:t>
            </w:r>
            <w:r>
              <w:rPr>
                <w:spacing w:val="2"/>
              </w:rPr>
              <w:t>，采用钢筋砼条基基础、采用</w:t>
            </w:r>
            <w:r>
              <w:rPr>
                <w:spacing w:val="-21"/>
              </w:rPr>
              <w:t xml:space="preserve"> </w:t>
            </w:r>
            <w:r>
              <w:rPr>
                <w:rFonts w:ascii="Times New Roman" w:hAnsi="Times New Roman" w:eastAsia="Times New Roman" w:cs="Times New Roman"/>
                <w:spacing w:val="2"/>
              </w:rPr>
              <w:t>1.5</w:t>
            </w:r>
            <w:r>
              <w:rPr>
                <w:rFonts w:ascii="Times New Roman" w:hAnsi="Times New Roman" w:eastAsia="Times New Roman" w:cs="Times New Roman"/>
              </w:rPr>
              <w:t>mm</w:t>
            </w:r>
            <w:r>
              <w:rPr>
                <w:rFonts w:ascii="Times New Roman" w:hAnsi="Times New Roman" w:eastAsia="Times New Roman" w:cs="Times New Roman"/>
                <w:spacing w:val="24"/>
                <w:w w:val="101"/>
              </w:rPr>
              <w:t xml:space="preserve"> </w:t>
            </w:r>
            <w:r>
              <w:rPr>
                <w:spacing w:val="2"/>
              </w:rPr>
              <w:t>聚乙烯防渗</w:t>
            </w:r>
            <w:r>
              <w:rPr>
                <w:spacing w:val="11"/>
              </w:rPr>
              <w:t>膜，兼备混凝沉淀作用，用于处理、储存选矿废水和经过高</w:t>
            </w:r>
          </w:p>
        </w:tc>
        <w:tc>
          <w:tcPr>
            <w:tcW w:w="1453" w:type="dxa"/>
            <w:vAlign w:val="top"/>
            <w:tcBorders>
              <w:right w:val="nil"/>
              <w:bottom w:val="single" w:color="000000" w:sz="10" w:space="0"/>
            </w:tcBorders>
          </w:tcPr>
          <w:p>
            <w:pPr>
              <w:spacing w:line="395" w:lineRule="auto"/>
              <w:rPr>
                <w:rFonts w:ascii="Arial"/>
                <w:sz w:val="21"/>
              </w:rPr>
            </w:pPr>
            <w:r/>
          </w:p>
          <w:p>
            <w:pPr>
              <w:pStyle w:val="TableText"/>
              <w:ind w:left="529"/>
              <w:spacing w:before="65" w:line="231" w:lineRule="auto"/>
              <w:rPr/>
            </w:pPr>
            <w:r>
              <w:rPr>
                <w:spacing w:val="2"/>
              </w:rPr>
              <w:t>新建</w:t>
            </w:r>
          </w:p>
        </w:tc>
      </w:tr>
    </w:tbl>
    <w:p>
      <w:pPr>
        <w:pStyle w:val="BodyText"/>
        <w:rPr/>
      </w:pPr>
      <w:r/>
    </w:p>
    <w:p>
      <w:pPr>
        <w:sectPr>
          <w:footerReference w:type="default" r:id="rId122"/>
          <w:pgSz w:w="11911" w:h="16839"/>
          <w:pgMar w:top="400" w:right="1391" w:bottom="1146" w:left="1786" w:header="0" w:footer="984" w:gutter="0"/>
        </w:sectPr>
        <w:rPr/>
      </w:pPr>
    </w:p>
    <w:p>
      <w:pPr>
        <w:spacing w:before="13"/>
        <w:rPr/>
      </w:pPr>
      <w:r/>
    </w:p>
    <w:p>
      <w:pPr>
        <w:spacing w:before="13"/>
        <w:rPr/>
      </w:pPr>
      <w:r/>
    </w:p>
    <w:p>
      <w:pPr>
        <w:spacing w:before="13"/>
        <w:rPr/>
      </w:pPr>
      <w:r/>
    </w:p>
    <w:p>
      <w:pPr>
        <w:spacing w:before="12"/>
        <w:rPr/>
      </w:pPr>
      <w:r/>
    </w:p>
    <w:tbl>
      <w:tblPr>
        <w:tblStyle w:val="TableNormal"/>
        <w:tblW w:w="8693" w:type="dxa"/>
        <w:tblInd w:w="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4"/>
        <w:gridCol w:w="1207"/>
        <w:gridCol w:w="5509"/>
        <w:gridCol w:w="1453"/>
      </w:tblGrid>
      <w:tr>
        <w:trPr>
          <w:trHeight w:val="349" w:hRule="atLeast"/>
        </w:trPr>
        <w:tc>
          <w:tcPr>
            <w:tcW w:w="524" w:type="dxa"/>
            <w:vAlign w:val="top"/>
            <w:vMerge w:val="restart"/>
            <w:tcBorders>
              <w:left w:val="nil"/>
              <w:top w:val="single" w:color="000000" w:sz="10" w:space="0"/>
              <w:bottom w:val="nil"/>
            </w:tcBorders>
          </w:tcPr>
          <w:p>
            <w:pPr>
              <w:rPr>
                <w:rFonts w:ascii="Arial"/>
                <w:sz w:val="21"/>
              </w:rPr>
            </w:pPr>
            <w:r/>
          </w:p>
        </w:tc>
        <w:tc>
          <w:tcPr>
            <w:tcW w:w="1207" w:type="dxa"/>
            <w:vAlign w:val="top"/>
            <w:tcBorders>
              <w:top w:val="single" w:color="000000" w:sz="10" w:space="0"/>
            </w:tcBorders>
          </w:tcPr>
          <w:p>
            <w:pPr>
              <w:rPr>
                <w:rFonts w:ascii="Arial"/>
                <w:sz w:val="21"/>
              </w:rPr>
            </w:pPr>
            <w:r/>
          </w:p>
        </w:tc>
        <w:tc>
          <w:tcPr>
            <w:tcW w:w="5509" w:type="dxa"/>
            <w:vAlign w:val="top"/>
            <w:tcBorders>
              <w:top w:val="single" w:color="000000" w:sz="10" w:space="0"/>
            </w:tcBorders>
          </w:tcPr>
          <w:p>
            <w:pPr>
              <w:pStyle w:val="TableText"/>
              <w:ind w:left="13"/>
              <w:spacing w:before="16" w:line="230" w:lineRule="auto"/>
              <w:rPr/>
            </w:pPr>
            <w:bookmarkStart w:name="bookmark547" w:id="205"/>
            <w:bookmarkEnd w:id="205"/>
            <w:r>
              <w:rPr>
                <w:spacing w:val="7"/>
              </w:rPr>
              <w:t>位水池沉淀后的矿井涌水。</w:t>
            </w:r>
          </w:p>
        </w:tc>
        <w:tc>
          <w:tcPr>
            <w:tcW w:w="1453" w:type="dxa"/>
            <w:vAlign w:val="top"/>
            <w:tcBorders>
              <w:right w:val="nil"/>
              <w:top w:val="single" w:color="000000" w:sz="10" w:space="0"/>
            </w:tcBorders>
          </w:tcPr>
          <w:p>
            <w:pPr>
              <w:rPr>
                <w:rFonts w:ascii="Arial"/>
                <w:sz w:val="21"/>
              </w:rPr>
            </w:pPr>
            <w:r/>
          </w:p>
        </w:tc>
      </w:tr>
      <w:tr>
        <w:trPr>
          <w:trHeight w:val="1365"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spacing w:line="254" w:lineRule="auto"/>
              <w:rPr>
                <w:rFonts w:ascii="Arial"/>
                <w:sz w:val="21"/>
              </w:rPr>
            </w:pPr>
            <w:r/>
          </w:p>
          <w:p>
            <w:pPr>
              <w:spacing w:line="254" w:lineRule="auto"/>
              <w:rPr>
                <w:rFonts w:ascii="Arial"/>
                <w:sz w:val="21"/>
              </w:rPr>
            </w:pPr>
            <w:r/>
          </w:p>
          <w:p>
            <w:pPr>
              <w:pStyle w:val="TableText"/>
              <w:ind w:left="298"/>
              <w:spacing w:before="65" w:line="232" w:lineRule="auto"/>
              <w:rPr/>
            </w:pPr>
            <w:r>
              <w:rPr>
                <w:spacing w:val="4"/>
              </w:rPr>
              <w:t>粉矿仓</w:t>
            </w:r>
          </w:p>
        </w:tc>
        <w:tc>
          <w:tcPr>
            <w:tcW w:w="5509" w:type="dxa"/>
            <w:vAlign w:val="top"/>
          </w:tcPr>
          <w:p>
            <w:pPr>
              <w:pStyle w:val="TableText"/>
              <w:ind w:left="12" w:firstLine="416"/>
              <w:spacing w:before="33" w:line="244" w:lineRule="auto"/>
              <w:jc w:val="both"/>
              <w:rPr/>
            </w:pPr>
            <w:r>
              <w:rPr>
                <w:spacing w:val="1"/>
              </w:rPr>
              <w:t>位于筛分车间东侧</w:t>
            </w:r>
            <w:r>
              <w:rPr>
                <w:spacing w:val="-23"/>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8"/>
              </w:rPr>
              <w:t xml:space="preserve"> </w:t>
            </w:r>
            <w:r>
              <w:rPr>
                <w:spacing w:val="1"/>
              </w:rPr>
              <w:t>处，</w:t>
            </w:r>
            <w:r>
              <w:rPr>
                <w:spacing w:val="-44"/>
              </w:rPr>
              <w:t xml:space="preserve"> </w:t>
            </w:r>
            <w:r>
              <w:rPr>
                <w:spacing w:val="1"/>
              </w:rPr>
              <w:t>占地面积为</w:t>
            </w:r>
            <w:r>
              <w:rPr>
                <w:spacing w:val="-21"/>
              </w:rPr>
              <w:t xml:space="preserve"> </w:t>
            </w:r>
            <w:r>
              <w:rPr>
                <w:rFonts w:ascii="Times New Roman" w:hAnsi="Times New Roman" w:eastAsia="Times New Roman" w:cs="Times New Roman"/>
                <w:spacing w:val="1"/>
              </w:rPr>
              <w:t>100m</w:t>
            </w:r>
            <w:r>
              <w:rPr>
                <w:rFonts w:ascii="Times New Roman" w:hAnsi="Times New Roman" w:eastAsia="Times New Roman" w:cs="Times New Roman"/>
                <w:sz w:val="13"/>
                <w:szCs w:val="13"/>
                <w:spacing w:val="1"/>
                <w:position w:val="6"/>
              </w:rPr>
              <w:t>2 </w:t>
            </w:r>
            <w:r>
              <w:rPr>
                <w:spacing w:val="1"/>
              </w:rPr>
              <w:t>，建构筑</w:t>
            </w:r>
            <w:r>
              <w:rPr>
                <w:spacing w:val="5"/>
              </w:rPr>
              <w:t>物规格尺寸</w:t>
            </w:r>
            <w:r>
              <w:rPr>
                <w:spacing w:val="-4"/>
              </w:rPr>
              <w:t xml:space="preserve"> </w:t>
            </w:r>
            <w:r>
              <w:rPr>
                <w:rFonts w:ascii="Times New Roman" w:hAnsi="Times New Roman" w:eastAsia="Times New Roman" w:cs="Times New Roman"/>
                <w:spacing w:val="5"/>
              </w:rPr>
              <w:t>10m×10m×12m</w:t>
            </w:r>
            <w:r>
              <w:rPr>
                <w:rFonts w:ascii="Times New Roman" w:hAnsi="Times New Roman" w:eastAsia="Times New Roman" w:cs="Times New Roman"/>
                <w:spacing w:val="-19"/>
              </w:rPr>
              <w:t xml:space="preserve"> </w:t>
            </w:r>
            <w:r>
              <w:rPr>
                <w:spacing w:val="5"/>
              </w:rPr>
              <w:t>，地上</w:t>
            </w:r>
            <w:r>
              <w:rPr>
                <w:rFonts w:ascii="Times New Roman" w:hAnsi="Times New Roman" w:eastAsia="Times New Roman" w:cs="Times New Roman"/>
                <w:spacing w:val="5"/>
              </w:rPr>
              <w:t>/</w:t>
            </w:r>
            <w:r>
              <w:rPr>
                <w:spacing w:val="5"/>
              </w:rPr>
              <w:t>地下建筑，采用钢筋砼独</w:t>
            </w:r>
            <w:r>
              <w:rPr>
                <w:spacing w:val="-1"/>
              </w:rPr>
              <w:t>基基础、采用</w:t>
            </w:r>
            <w:r>
              <w:rPr>
                <w:spacing w:val="-16"/>
              </w:rPr>
              <w:t xml:space="preserve"> </w:t>
            </w:r>
            <w:r>
              <w:rPr>
                <w:rFonts w:ascii="Times New Roman" w:hAnsi="Times New Roman" w:eastAsia="Times New Roman" w:cs="Times New Roman"/>
                <w:spacing w:val="-1"/>
              </w:rPr>
              <w:t>1.5mm</w:t>
            </w:r>
            <w:r>
              <w:rPr>
                <w:rFonts w:ascii="Times New Roman" w:hAnsi="Times New Roman" w:eastAsia="Times New Roman" w:cs="Times New Roman"/>
                <w:spacing w:val="24"/>
              </w:rPr>
              <w:t xml:space="preserve"> </w:t>
            </w:r>
            <w:r>
              <w:rPr>
                <w:spacing w:val="-1"/>
              </w:rPr>
              <w:t>聚乙烯防渗膜，主要存储破碎后的矿石，</w:t>
            </w:r>
            <w:r>
              <w:rPr>
                <w:spacing w:val="7"/>
              </w:rPr>
              <w:t>内设振动放矿机等设备。卸料处采取单侧开</w:t>
            </w:r>
            <w:r>
              <w:rPr>
                <w:spacing w:val="-47"/>
              </w:rPr>
              <w:t xml:space="preserve"> </w:t>
            </w:r>
            <w:r>
              <w:rPr>
                <w:spacing w:val="7"/>
              </w:rPr>
              <w:t>口，其余</w:t>
            </w:r>
            <w:r>
              <w:rPr>
                <w:spacing w:val="6"/>
              </w:rPr>
              <w:t>各侧均</w:t>
            </w:r>
            <w:r>
              <w:rPr>
                <w:spacing w:val="-1"/>
              </w:rPr>
              <w:t>封闭。</w:t>
            </w:r>
          </w:p>
        </w:tc>
        <w:tc>
          <w:tcPr>
            <w:tcW w:w="1453" w:type="dxa"/>
            <w:vAlign w:val="top"/>
            <w:tcBorders>
              <w:right w:val="nil"/>
            </w:tcBorders>
          </w:tcPr>
          <w:p>
            <w:pPr>
              <w:spacing w:line="254" w:lineRule="auto"/>
              <w:rPr>
                <w:rFonts w:ascii="Arial"/>
                <w:sz w:val="21"/>
              </w:rPr>
            </w:pPr>
            <w:r/>
          </w:p>
          <w:p>
            <w:pPr>
              <w:spacing w:line="254" w:lineRule="auto"/>
              <w:rPr>
                <w:rFonts w:ascii="Arial"/>
                <w:sz w:val="21"/>
              </w:rPr>
            </w:pPr>
            <w:r/>
          </w:p>
          <w:p>
            <w:pPr>
              <w:pStyle w:val="TableText"/>
              <w:ind w:left="529"/>
              <w:spacing w:before="65" w:line="231" w:lineRule="auto"/>
              <w:rPr/>
            </w:pPr>
            <w:r>
              <w:rPr>
                <w:spacing w:val="2"/>
              </w:rPr>
              <w:t>新建</w:t>
            </w:r>
          </w:p>
        </w:tc>
      </w:tr>
      <w:tr>
        <w:trPr>
          <w:trHeight w:val="821"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pStyle w:val="TableText"/>
              <w:ind w:left="301"/>
              <w:spacing w:before="305" w:line="232" w:lineRule="auto"/>
              <w:rPr/>
            </w:pPr>
            <w:r>
              <w:rPr>
                <w:spacing w:val="3"/>
              </w:rPr>
              <w:t>药剂室</w:t>
            </w:r>
          </w:p>
        </w:tc>
        <w:tc>
          <w:tcPr>
            <w:tcW w:w="5509" w:type="dxa"/>
            <w:vAlign w:val="top"/>
          </w:tcPr>
          <w:p>
            <w:pPr>
              <w:pStyle w:val="TableText"/>
              <w:ind w:left="12" w:firstLine="421"/>
              <w:spacing w:before="30"/>
              <w:jc w:val="both"/>
              <w:rPr/>
            </w:pPr>
            <w:r>
              <w:rPr>
                <w:spacing w:val="7"/>
              </w:rPr>
              <w:t>位于浓缩车间北侧，</w:t>
            </w:r>
            <w:r>
              <w:rPr>
                <w:spacing w:val="-37"/>
              </w:rPr>
              <w:t xml:space="preserve"> </w:t>
            </w:r>
            <w:r>
              <w:rPr>
                <w:spacing w:val="7"/>
              </w:rPr>
              <w:t>占地面积为</w:t>
            </w:r>
            <w:r>
              <w:rPr>
                <w:spacing w:val="-38"/>
              </w:rPr>
              <w:t xml:space="preserve"> </w:t>
            </w:r>
            <w:r>
              <w:rPr>
                <w:rFonts w:ascii="Times New Roman" w:hAnsi="Times New Roman" w:eastAsia="Times New Roman" w:cs="Times New Roman"/>
                <w:spacing w:val="7"/>
              </w:rPr>
              <w:t>200m</w:t>
            </w:r>
            <w:r>
              <w:rPr>
                <w:rFonts w:ascii="Times New Roman" w:hAnsi="Times New Roman" w:eastAsia="Times New Roman" w:cs="Times New Roman"/>
                <w:sz w:val="13"/>
                <w:szCs w:val="13"/>
                <w:spacing w:val="7"/>
                <w:position w:val="6"/>
              </w:rPr>
              <w:t>2 </w:t>
            </w:r>
            <w:r>
              <w:rPr>
                <w:spacing w:val="7"/>
              </w:rPr>
              <w:t>，建构筑物规格</w:t>
            </w:r>
            <w:r>
              <w:rPr>
                <w:spacing w:val="5"/>
              </w:rPr>
              <w:t>尺寸</w:t>
            </w:r>
            <w:r>
              <w:rPr>
                <w:spacing w:val="-40"/>
              </w:rPr>
              <w:t xml:space="preserve"> </w:t>
            </w:r>
            <w:r>
              <w:rPr>
                <w:rFonts w:ascii="Times New Roman" w:hAnsi="Times New Roman" w:eastAsia="Times New Roman" w:cs="Times New Roman"/>
                <w:spacing w:val="5"/>
              </w:rPr>
              <w:t>20m×10m×4.5m</w:t>
            </w:r>
            <w:r>
              <w:rPr>
                <w:rFonts w:ascii="Times New Roman" w:hAnsi="Times New Roman" w:eastAsia="Times New Roman" w:cs="Times New Roman"/>
                <w:spacing w:val="-23"/>
              </w:rPr>
              <w:t xml:space="preserve"> </w:t>
            </w:r>
            <w:r>
              <w:rPr>
                <w:spacing w:val="5"/>
              </w:rPr>
              <w:t>，采用钢筋砼条基基</w:t>
            </w:r>
            <w:r>
              <w:rPr>
                <w:spacing w:val="4"/>
              </w:rPr>
              <w:t>础、采用</w:t>
            </w:r>
            <w:r>
              <w:rPr>
                <w:spacing w:val="-21"/>
              </w:rPr>
              <w:t xml:space="preserve"> </w:t>
            </w:r>
            <w:r>
              <w:rPr>
                <w:rFonts w:ascii="Times New Roman" w:hAnsi="Times New Roman" w:eastAsia="Times New Roman" w:cs="Times New Roman"/>
                <w:spacing w:val="4"/>
              </w:rPr>
              <w:t>1.5</w:t>
            </w:r>
            <w:r>
              <w:rPr>
                <w:rFonts w:ascii="Times New Roman" w:hAnsi="Times New Roman" w:eastAsia="Times New Roman" w:cs="Times New Roman"/>
              </w:rPr>
              <w:t>mm</w:t>
            </w:r>
            <w:r>
              <w:rPr>
                <w:rFonts w:ascii="Times New Roman" w:hAnsi="Times New Roman" w:eastAsia="Times New Roman" w:cs="Times New Roman"/>
                <w:spacing w:val="24"/>
                <w:w w:val="101"/>
              </w:rPr>
              <w:t xml:space="preserve"> </w:t>
            </w:r>
            <w:r>
              <w:rPr>
                <w:spacing w:val="4"/>
              </w:rPr>
              <w:t>聚</w:t>
            </w:r>
            <w:r>
              <w:rPr>
                <w:spacing w:val="7"/>
              </w:rPr>
              <w:t>乙烯防渗膜，主要存储选矿药药，</w:t>
            </w:r>
            <w:r>
              <w:rPr>
                <w:spacing w:val="-52"/>
              </w:rPr>
              <w:t xml:space="preserve"> </w:t>
            </w:r>
            <w:r>
              <w:rPr>
                <w:spacing w:val="7"/>
              </w:rPr>
              <w:t>内设电子秤等设</w:t>
            </w:r>
            <w:r>
              <w:rPr>
                <w:spacing w:val="6"/>
              </w:rPr>
              <w:t>备。</w:t>
            </w:r>
          </w:p>
        </w:tc>
        <w:tc>
          <w:tcPr>
            <w:tcW w:w="1453" w:type="dxa"/>
            <w:vAlign w:val="top"/>
            <w:tcBorders>
              <w:right w:val="nil"/>
            </w:tcBorders>
          </w:tcPr>
          <w:p>
            <w:pPr>
              <w:pStyle w:val="TableText"/>
              <w:ind w:left="529"/>
              <w:spacing w:before="305" w:line="231" w:lineRule="auto"/>
              <w:rPr/>
            </w:pPr>
            <w:r>
              <w:rPr>
                <w:spacing w:val="2"/>
              </w:rPr>
              <w:t>新建</w:t>
            </w:r>
          </w:p>
        </w:tc>
      </w:tr>
      <w:tr>
        <w:trPr>
          <w:trHeight w:val="1092"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spacing w:line="374" w:lineRule="auto"/>
              <w:rPr>
                <w:rFonts w:ascii="Arial"/>
                <w:sz w:val="21"/>
              </w:rPr>
            </w:pPr>
            <w:r/>
          </w:p>
          <w:p>
            <w:pPr>
              <w:pStyle w:val="TableText"/>
              <w:ind w:left="298"/>
              <w:spacing w:before="65" w:line="232" w:lineRule="auto"/>
              <w:rPr/>
            </w:pPr>
            <w:r>
              <w:rPr>
                <w:spacing w:val="4"/>
              </w:rPr>
              <w:t>充填站</w:t>
            </w:r>
          </w:p>
        </w:tc>
        <w:tc>
          <w:tcPr>
            <w:tcW w:w="5509" w:type="dxa"/>
            <w:vAlign w:val="top"/>
          </w:tcPr>
          <w:p>
            <w:pPr>
              <w:pStyle w:val="TableText"/>
              <w:ind w:left="12" w:firstLine="421"/>
              <w:spacing w:before="33" w:line="242" w:lineRule="auto"/>
              <w:jc w:val="both"/>
              <w:rPr/>
            </w:pPr>
            <w:r>
              <w:rPr>
                <w:spacing w:val="7"/>
              </w:rPr>
              <w:t>位于尾矿临时堆场西侧，</w:t>
            </w:r>
            <w:r>
              <w:rPr>
                <w:spacing w:val="-40"/>
              </w:rPr>
              <w:t xml:space="preserve"> </w:t>
            </w:r>
            <w:r>
              <w:rPr>
                <w:spacing w:val="7"/>
              </w:rPr>
              <w:t>占地面积为</w:t>
            </w:r>
            <w:r>
              <w:rPr>
                <w:spacing w:val="-33"/>
              </w:rPr>
              <w:t xml:space="preserve"> </w:t>
            </w:r>
            <w:r>
              <w:rPr>
                <w:rFonts w:ascii="Times New Roman" w:hAnsi="Times New Roman" w:eastAsia="Times New Roman" w:cs="Times New Roman"/>
                <w:spacing w:val="7"/>
              </w:rPr>
              <w:t>600m</w:t>
            </w:r>
            <w:r>
              <w:rPr>
                <w:rFonts w:ascii="Times New Roman" w:hAnsi="Times New Roman" w:eastAsia="Times New Roman" w:cs="Times New Roman"/>
                <w:sz w:val="13"/>
                <w:szCs w:val="13"/>
                <w:spacing w:val="7"/>
                <w:position w:val="6"/>
              </w:rPr>
              <w:t>2 </w:t>
            </w:r>
            <w:r>
              <w:rPr>
                <w:spacing w:val="7"/>
              </w:rPr>
              <w:t>，建构筑物</w:t>
            </w:r>
            <w:r>
              <w:rPr>
                <w:spacing w:val="11"/>
              </w:rPr>
              <w:t>规格尺寸</w:t>
            </w:r>
            <w:r>
              <w:rPr>
                <w:spacing w:val="-11"/>
              </w:rPr>
              <w:t xml:space="preserve"> </w:t>
            </w:r>
            <w:r>
              <w:rPr>
                <w:rFonts w:ascii="Times New Roman" w:hAnsi="Times New Roman" w:eastAsia="Times New Roman" w:cs="Times New Roman"/>
                <w:spacing w:val="11"/>
              </w:rPr>
              <w:t>20m×30m×10m </w:t>
            </w:r>
            <w:r>
              <w:rPr>
                <w:spacing w:val="11"/>
              </w:rPr>
              <w:t>，</w:t>
            </w:r>
            <w:r>
              <w:rPr>
                <w:spacing w:val="-60"/>
              </w:rPr>
              <w:t xml:space="preserve"> </w:t>
            </w:r>
            <w:r>
              <w:rPr>
                <w:spacing w:val="11"/>
              </w:rPr>
              <w:t>采用素混凝土地面基础</w:t>
            </w:r>
            <w:r>
              <w:rPr>
                <w:spacing w:val="-51"/>
              </w:rPr>
              <w:t xml:space="preserve"> </w:t>
            </w:r>
            <w:r>
              <w:rPr>
                <w:spacing w:val="11"/>
              </w:rPr>
              <w:t>、</w:t>
            </w:r>
            <w:r>
              <w:rPr>
                <w:spacing w:val="-60"/>
              </w:rPr>
              <w:t xml:space="preserve"> </w:t>
            </w:r>
            <w:r>
              <w:rPr>
                <w:spacing w:val="11"/>
              </w:rPr>
              <w:t>采用</w:t>
            </w:r>
            <w:r>
              <w:rPr>
                <w:rFonts w:ascii="Times New Roman" w:hAnsi="Times New Roman" w:eastAsia="Times New Roman" w:cs="Times New Roman"/>
                <w:spacing w:val="8"/>
              </w:rPr>
              <w:t>1.5</w:t>
            </w:r>
            <w:r>
              <w:rPr>
                <w:rFonts w:ascii="Times New Roman" w:hAnsi="Times New Roman" w:eastAsia="Times New Roman" w:cs="Times New Roman"/>
              </w:rPr>
              <w:t>mm</w:t>
            </w:r>
            <w:r>
              <w:rPr>
                <w:rFonts w:ascii="Times New Roman" w:hAnsi="Times New Roman" w:eastAsia="Times New Roman" w:cs="Times New Roman"/>
                <w:spacing w:val="24"/>
                <w:w w:val="101"/>
              </w:rPr>
              <w:t xml:space="preserve"> </w:t>
            </w:r>
            <w:r>
              <w:rPr>
                <w:spacing w:val="8"/>
              </w:rPr>
              <w:t>聚乙烯防渗膜，主要用于井下充填，</w:t>
            </w:r>
            <w:r>
              <w:rPr>
                <w:spacing w:val="-53"/>
              </w:rPr>
              <w:t xml:space="preserve"> </w:t>
            </w:r>
            <w:r>
              <w:rPr>
                <w:spacing w:val="8"/>
              </w:rPr>
              <w:t>内设搅拌</w:t>
            </w:r>
            <w:r>
              <w:rPr>
                <w:spacing w:val="7"/>
              </w:rPr>
              <w:t>机、螺</w:t>
            </w:r>
            <w:r>
              <w:rPr>
                <w:spacing w:val="8"/>
              </w:rPr>
              <w:t>栓给料机、胶带输送机等设备。</w:t>
            </w:r>
          </w:p>
        </w:tc>
        <w:tc>
          <w:tcPr>
            <w:tcW w:w="1453" w:type="dxa"/>
            <w:vAlign w:val="top"/>
            <w:tcBorders>
              <w:right w:val="nil"/>
            </w:tcBorders>
          </w:tcPr>
          <w:p>
            <w:pPr>
              <w:pStyle w:val="TableText"/>
              <w:spacing w:before="305" w:line="231" w:lineRule="auto"/>
              <w:jc w:val="right"/>
              <w:rPr/>
            </w:pPr>
            <w:r>
              <w:rPr>
                <w:spacing w:val="5"/>
              </w:rPr>
              <w:t>新建（露天无厂</w:t>
            </w:r>
          </w:p>
          <w:p>
            <w:pPr>
              <w:pStyle w:val="TableText"/>
              <w:ind w:left="534"/>
              <w:spacing w:before="23" w:line="233" w:lineRule="auto"/>
              <w:rPr/>
            </w:pPr>
            <w:r>
              <w:rPr>
                <w:spacing w:val="-5"/>
              </w:rPr>
              <w:t>房）</w:t>
            </w:r>
          </w:p>
        </w:tc>
      </w:tr>
      <w:tr>
        <w:trPr>
          <w:trHeight w:val="1093"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spacing w:line="377" w:lineRule="auto"/>
              <w:rPr>
                <w:rFonts w:ascii="Arial"/>
                <w:sz w:val="21"/>
              </w:rPr>
            </w:pPr>
            <w:r/>
          </w:p>
          <w:p>
            <w:pPr>
              <w:pStyle w:val="TableText"/>
              <w:ind w:left="298"/>
              <w:spacing w:before="65" w:line="233" w:lineRule="auto"/>
              <w:rPr/>
            </w:pPr>
            <w:r>
              <w:rPr>
                <w:spacing w:val="5"/>
              </w:rPr>
              <w:t>锅炉房</w:t>
            </w:r>
          </w:p>
        </w:tc>
        <w:tc>
          <w:tcPr>
            <w:tcW w:w="5509" w:type="dxa"/>
            <w:vAlign w:val="top"/>
          </w:tcPr>
          <w:p>
            <w:pPr>
              <w:pStyle w:val="TableText"/>
              <w:ind w:left="13" w:firstLine="419"/>
              <w:spacing w:before="34" w:line="242" w:lineRule="auto"/>
              <w:jc w:val="both"/>
              <w:rPr/>
            </w:pPr>
            <w:r>
              <w:rPr>
                <w:spacing w:val="-1"/>
              </w:rPr>
              <w:t>位于粉矿仓北侧</w:t>
            </w:r>
            <w:r>
              <w:rPr>
                <w:spacing w:val="-32"/>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8"/>
                <w:w w:val="101"/>
              </w:rPr>
              <w:t xml:space="preserve"> </w:t>
            </w:r>
            <w:r>
              <w:rPr>
                <w:spacing w:val="-1"/>
              </w:rPr>
              <w:t>处，</w:t>
            </w:r>
            <w:r>
              <w:rPr>
                <w:spacing w:val="-42"/>
              </w:rPr>
              <w:t xml:space="preserve"> </w:t>
            </w:r>
            <w:r>
              <w:rPr>
                <w:spacing w:val="-1"/>
              </w:rPr>
              <w:t>占地面积为</w:t>
            </w:r>
            <w:r>
              <w:rPr>
                <w:spacing w:val="-21"/>
              </w:rPr>
              <w:t xml:space="preserve"> </w:t>
            </w:r>
            <w:r>
              <w:rPr>
                <w:rFonts w:ascii="Times New Roman" w:hAnsi="Times New Roman" w:eastAsia="Times New Roman" w:cs="Times New Roman"/>
                <w:spacing w:val="-1"/>
              </w:rPr>
              <w:t>192m</w:t>
            </w:r>
            <w:r>
              <w:rPr>
                <w:rFonts w:ascii="Times New Roman" w:hAnsi="Times New Roman" w:eastAsia="Times New Roman" w:cs="Times New Roman"/>
                <w:sz w:val="13"/>
                <w:szCs w:val="13"/>
                <w:spacing w:val="-1"/>
                <w:position w:val="6"/>
              </w:rPr>
              <w:t>2 </w:t>
            </w:r>
            <w:r>
              <w:rPr>
                <w:spacing w:val="-1"/>
              </w:rPr>
              <w:t>，</w:t>
            </w:r>
            <w:r>
              <w:rPr>
                <w:spacing w:val="-52"/>
              </w:rPr>
              <w:t xml:space="preserve"> </w:t>
            </w:r>
            <w:r>
              <w:rPr>
                <w:spacing w:val="-1"/>
              </w:rPr>
              <w:t>内置</w:t>
            </w:r>
            <w:r>
              <w:rPr>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7"/>
              </w:rPr>
              <w:t xml:space="preserve"> </w:t>
            </w:r>
            <w:r>
              <w:rPr>
                <w:spacing w:val="-1"/>
              </w:rPr>
              <w:t>台</w:t>
            </w:r>
            <w:r>
              <w:rPr>
                <w:spacing w:val="9"/>
              </w:rPr>
              <w:t>电热水锅炉，锅炉吨位为（锅炉额定压力：</w:t>
            </w:r>
            <w:r>
              <w:rPr>
                <w:rFonts w:ascii="Times New Roman" w:hAnsi="Times New Roman" w:eastAsia="Times New Roman" w:cs="Times New Roman"/>
                <w:spacing w:val="9"/>
              </w:rPr>
              <w:t>1.</w:t>
            </w:r>
            <w:r>
              <w:rPr>
                <w:rFonts w:ascii="Times New Roman" w:hAnsi="Times New Roman" w:eastAsia="Times New Roman" w:cs="Times New Roman"/>
                <w:spacing w:val="8"/>
              </w:rPr>
              <w:t>0</w:t>
            </w:r>
            <w:r>
              <w:rPr>
                <w:rFonts w:ascii="Times New Roman" w:hAnsi="Times New Roman" w:eastAsia="Times New Roman" w:cs="Times New Roman"/>
              </w:rPr>
              <w:t>MPa</w:t>
            </w:r>
            <w:r>
              <w:rPr>
                <w:rFonts w:ascii="Times New Roman" w:hAnsi="Times New Roman" w:eastAsia="Times New Roman" w:cs="Times New Roman"/>
                <w:spacing w:val="-18"/>
              </w:rPr>
              <w:t xml:space="preserve"> </w:t>
            </w:r>
            <w:r>
              <w:rPr>
                <w:spacing w:val="8"/>
              </w:rPr>
              <w:t>，额定功</w:t>
            </w:r>
            <w:r>
              <w:rPr>
                <w:spacing w:val="4"/>
              </w:rPr>
              <w:t>率：</w:t>
            </w:r>
            <w:r>
              <w:rPr>
                <w:rFonts w:ascii="Times New Roman" w:hAnsi="Times New Roman" w:eastAsia="Times New Roman" w:cs="Times New Roman"/>
                <w:spacing w:val="4"/>
              </w:rPr>
              <w:t>280</w:t>
            </w:r>
            <w:r>
              <w:rPr>
                <w:rFonts w:ascii="Times New Roman" w:hAnsi="Times New Roman" w:eastAsia="Times New Roman" w:cs="Times New Roman"/>
              </w:rPr>
              <w:t>kw</w:t>
            </w:r>
            <w:r>
              <w:rPr>
                <w:rFonts w:ascii="Times New Roman" w:hAnsi="Times New Roman" w:eastAsia="Times New Roman" w:cs="Times New Roman"/>
                <w:spacing w:val="-18"/>
              </w:rPr>
              <w:t xml:space="preserve"> </w:t>
            </w:r>
            <w:r>
              <w:rPr>
                <w:spacing w:val="4"/>
              </w:rPr>
              <w:t>，散热量为</w:t>
            </w:r>
            <w:r>
              <w:rPr>
                <w:spacing w:val="-43"/>
              </w:rPr>
              <w:t xml:space="preserve"> </w:t>
            </w:r>
            <w:r>
              <w:rPr>
                <w:rFonts w:ascii="Times New Roman" w:hAnsi="Times New Roman" w:eastAsia="Times New Roman" w:cs="Times New Roman"/>
                <w:spacing w:val="4"/>
              </w:rPr>
              <w:t>24000</w:t>
            </w:r>
            <w:r>
              <w:rPr>
                <w:rFonts w:ascii="Times New Roman" w:hAnsi="Times New Roman" w:eastAsia="Times New Roman" w:cs="Times New Roman"/>
              </w:rPr>
              <w:t>kW</w:t>
            </w:r>
            <w:r>
              <w:rPr>
                <w:spacing w:val="3"/>
              </w:rPr>
              <w:t>）</w:t>
            </w:r>
            <w:r>
              <w:rPr>
                <w:spacing w:val="-56"/>
              </w:rPr>
              <w:t xml:space="preserve"> </w:t>
            </w:r>
            <w:r>
              <w:rPr>
                <w:spacing w:val="3"/>
              </w:rPr>
              <w:t>，</w:t>
            </w:r>
            <w:r>
              <w:rPr>
                <w:spacing w:val="4"/>
              </w:rPr>
              <w:t>锅炉每年工作</w:t>
            </w:r>
            <w:r>
              <w:rPr>
                <w:spacing w:val="-21"/>
              </w:rPr>
              <w:t xml:space="preserve"> </w:t>
            </w:r>
            <w:r>
              <w:rPr>
                <w:rFonts w:ascii="Times New Roman" w:hAnsi="Times New Roman" w:eastAsia="Times New Roman" w:cs="Times New Roman"/>
                <w:spacing w:val="4"/>
              </w:rPr>
              <w:t>180d</w:t>
            </w:r>
            <w:r>
              <w:rPr>
                <w:rFonts w:ascii="Times New Roman" w:hAnsi="Times New Roman" w:eastAsia="Times New Roman" w:cs="Times New Roman"/>
                <w:spacing w:val="-20"/>
              </w:rPr>
              <w:t xml:space="preserve"> </w:t>
            </w:r>
            <w:r>
              <w:rPr>
                <w:spacing w:val="4"/>
              </w:rPr>
              <w:t>，每</w:t>
            </w:r>
            <w:r>
              <w:rPr>
                <w:spacing w:val="3"/>
              </w:rPr>
              <w:t>天工作</w:t>
            </w:r>
            <w:r>
              <w:rPr>
                <w:spacing w:val="-40"/>
              </w:rPr>
              <w:t xml:space="preserve"> </w:t>
            </w:r>
            <w:r>
              <w:rPr>
                <w:rFonts w:ascii="Times New Roman" w:hAnsi="Times New Roman" w:eastAsia="Times New Roman" w:cs="Times New Roman"/>
                <w:spacing w:val="3"/>
              </w:rPr>
              <w:t>24h</w:t>
            </w:r>
            <w:r>
              <w:rPr>
                <w:spacing w:val="3"/>
              </w:rPr>
              <w:t>。</w:t>
            </w:r>
          </w:p>
        </w:tc>
        <w:tc>
          <w:tcPr>
            <w:tcW w:w="1453" w:type="dxa"/>
            <w:vAlign w:val="top"/>
            <w:tcBorders>
              <w:right w:val="nil"/>
            </w:tcBorders>
          </w:tcPr>
          <w:p>
            <w:pPr>
              <w:spacing w:line="376" w:lineRule="auto"/>
              <w:rPr>
                <w:rFonts w:ascii="Arial"/>
                <w:sz w:val="21"/>
              </w:rPr>
            </w:pPr>
            <w:r/>
          </w:p>
          <w:p>
            <w:pPr>
              <w:pStyle w:val="TableText"/>
              <w:ind w:left="529"/>
              <w:spacing w:before="65" w:line="231" w:lineRule="auto"/>
              <w:rPr/>
            </w:pPr>
            <w:r>
              <w:rPr>
                <w:spacing w:val="2"/>
              </w:rPr>
              <w:t>新建</w:t>
            </w:r>
          </w:p>
        </w:tc>
      </w:tr>
      <w:tr>
        <w:trPr>
          <w:trHeight w:val="548" w:hRule="atLeast"/>
        </w:trPr>
        <w:tc>
          <w:tcPr>
            <w:tcW w:w="524" w:type="dxa"/>
            <w:vAlign w:val="top"/>
            <w:vMerge w:val="continue"/>
            <w:tcBorders>
              <w:left w:val="nil"/>
              <w:top w:val="nil"/>
            </w:tcBorders>
          </w:tcPr>
          <w:p>
            <w:pPr>
              <w:rPr>
                <w:rFonts w:ascii="Arial"/>
                <w:sz w:val="21"/>
              </w:rPr>
            </w:pPr>
            <w:r/>
          </w:p>
        </w:tc>
        <w:tc>
          <w:tcPr>
            <w:tcW w:w="1207" w:type="dxa"/>
            <w:vAlign w:val="top"/>
          </w:tcPr>
          <w:p>
            <w:pPr>
              <w:pStyle w:val="TableText"/>
              <w:ind w:left="304"/>
              <w:spacing w:before="174" w:line="233" w:lineRule="auto"/>
              <w:rPr/>
            </w:pPr>
            <w:r>
              <w:rPr>
                <w:spacing w:val="2"/>
              </w:rPr>
              <w:t>办公区</w:t>
            </w:r>
          </w:p>
        </w:tc>
        <w:tc>
          <w:tcPr>
            <w:tcW w:w="5509" w:type="dxa"/>
            <w:vAlign w:val="top"/>
          </w:tcPr>
          <w:p>
            <w:pPr>
              <w:pStyle w:val="TableText"/>
              <w:ind w:left="15" w:firstLine="424"/>
              <w:spacing w:before="37" w:line="231" w:lineRule="auto"/>
              <w:rPr/>
            </w:pPr>
            <w:r>
              <w:rPr>
                <w:spacing w:val="4"/>
              </w:rPr>
              <w:t>办公生活区位于选矿厂西侧</w:t>
            </w:r>
            <w:r>
              <w:rPr>
                <w:spacing w:val="-5"/>
              </w:rPr>
              <w:t xml:space="preserve"> </w:t>
            </w:r>
            <w:r>
              <w:rPr>
                <w:rFonts w:ascii="Times New Roman" w:hAnsi="Times New Roman" w:eastAsia="Times New Roman" w:cs="Times New Roman"/>
                <w:spacing w:val="4"/>
              </w:rPr>
              <w:t>1750m</w:t>
            </w:r>
            <w:r>
              <w:rPr>
                <w:rFonts w:ascii="Times New Roman" w:hAnsi="Times New Roman" w:eastAsia="Times New Roman" w:cs="Times New Roman"/>
                <w:spacing w:val="18"/>
              </w:rPr>
              <w:t xml:space="preserve"> </w:t>
            </w:r>
            <w:r>
              <w:rPr>
                <w:spacing w:val="4"/>
              </w:rPr>
              <w:t>处，</w:t>
            </w:r>
            <w:r>
              <w:rPr>
                <w:spacing w:val="-59"/>
              </w:rPr>
              <w:t xml:space="preserve"> </w:t>
            </w:r>
            <w:r>
              <w:rPr>
                <w:spacing w:val="4"/>
              </w:rPr>
              <w:t>内设办公室、宿</w:t>
            </w:r>
            <w:r>
              <w:rPr>
                <w:spacing w:val="7"/>
              </w:rPr>
              <w:t>舍、食堂、用餐区等，办公生活区占地面积约为</w:t>
            </w:r>
            <w:r>
              <w:rPr>
                <w:spacing w:val="-22"/>
              </w:rPr>
              <w:t xml:space="preserve"> </w:t>
            </w:r>
            <w:r>
              <w:rPr>
                <w:rFonts w:ascii="Times New Roman" w:hAnsi="Times New Roman" w:eastAsia="Times New Roman" w:cs="Times New Roman"/>
                <w:spacing w:val="7"/>
              </w:rPr>
              <w:t>9600m</w:t>
            </w:r>
            <w:r>
              <w:rPr>
                <w:rFonts w:ascii="Times New Roman" w:hAnsi="Times New Roman" w:eastAsia="Times New Roman" w:cs="Times New Roman"/>
                <w:sz w:val="13"/>
                <w:szCs w:val="13"/>
                <w:spacing w:val="7"/>
                <w:position w:val="6"/>
              </w:rPr>
              <w:t>2</w:t>
            </w:r>
            <w:r>
              <w:rPr>
                <w:spacing w:val="7"/>
              </w:rPr>
              <w:t>。</w:t>
            </w:r>
          </w:p>
        </w:tc>
        <w:tc>
          <w:tcPr>
            <w:tcW w:w="1453" w:type="dxa"/>
            <w:vAlign w:val="top"/>
            <w:tcBorders>
              <w:right w:val="nil"/>
            </w:tcBorders>
          </w:tcPr>
          <w:p>
            <w:pPr>
              <w:pStyle w:val="TableText"/>
              <w:ind w:left="529"/>
              <w:spacing w:before="174" w:line="231" w:lineRule="auto"/>
              <w:rPr/>
            </w:pPr>
            <w:r>
              <w:rPr>
                <w:spacing w:val="2"/>
              </w:rPr>
              <w:t>新建</w:t>
            </w:r>
          </w:p>
        </w:tc>
      </w:tr>
      <w:tr>
        <w:trPr>
          <w:trHeight w:val="820" w:hRule="atLeast"/>
        </w:trPr>
        <w:tc>
          <w:tcPr>
            <w:tcW w:w="524" w:type="dxa"/>
            <w:vAlign w:val="top"/>
            <w:vMerge w:val="restart"/>
            <w:tcBorders>
              <w:left w:val="nil"/>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68" w:right="53" w:hanging="4"/>
              <w:spacing w:before="65" w:line="253" w:lineRule="auto"/>
              <w:rPr/>
            </w:pPr>
            <w:r>
              <w:rPr>
                <w:spacing w:val="1"/>
              </w:rPr>
              <w:t>储运</w:t>
            </w:r>
            <w:r>
              <w:rPr>
                <w:spacing w:val="-1"/>
              </w:rPr>
              <w:t>工程</w:t>
            </w:r>
          </w:p>
        </w:tc>
        <w:tc>
          <w:tcPr>
            <w:tcW w:w="1207" w:type="dxa"/>
            <w:vAlign w:val="top"/>
          </w:tcPr>
          <w:p>
            <w:pPr>
              <w:spacing w:line="246" w:lineRule="auto"/>
              <w:rPr>
                <w:rFonts w:ascii="Arial"/>
                <w:sz w:val="21"/>
              </w:rPr>
            </w:pPr>
            <w:r/>
          </w:p>
          <w:p>
            <w:pPr>
              <w:pStyle w:val="TableText"/>
              <w:ind w:left="199"/>
              <w:spacing w:before="65" w:line="229" w:lineRule="auto"/>
              <w:rPr/>
            </w:pPr>
            <w:r>
              <w:rPr>
                <w:spacing w:val="4"/>
              </w:rPr>
              <w:t>原矿堆场</w:t>
            </w:r>
          </w:p>
        </w:tc>
        <w:tc>
          <w:tcPr>
            <w:tcW w:w="5509" w:type="dxa"/>
            <w:vAlign w:val="top"/>
          </w:tcPr>
          <w:p>
            <w:pPr>
              <w:pStyle w:val="TableText"/>
              <w:ind w:left="13" w:firstLine="423"/>
              <w:spacing w:before="42" w:line="236" w:lineRule="auto"/>
              <w:jc w:val="both"/>
              <w:rPr/>
            </w:pPr>
            <w:r>
              <w:rPr>
                <w:spacing w:val="1"/>
              </w:rPr>
              <w:t>原矿堆场位于破碎车间</w:t>
            </w:r>
            <w:r>
              <w:rPr>
                <w:spacing w:val="-14"/>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南侧，</w:t>
            </w:r>
            <w:r>
              <w:rPr>
                <w:spacing w:val="-59"/>
              </w:rPr>
              <w:t xml:space="preserve"> </w:t>
            </w:r>
            <w:r>
              <w:rPr>
                <w:spacing w:val="1"/>
              </w:rPr>
              <w:t>占地约</w:t>
            </w:r>
            <w:r>
              <w:rPr>
                <w:spacing w:val="-20"/>
              </w:rPr>
              <w:t xml:space="preserve"> </w:t>
            </w:r>
            <w:r>
              <w:rPr>
                <w:rFonts w:ascii="Times New Roman" w:hAnsi="Times New Roman" w:eastAsia="Times New Roman" w:cs="Times New Roman"/>
                <w:spacing w:val="1"/>
              </w:rPr>
              <w:t>1600m</w:t>
            </w:r>
            <w:r>
              <w:rPr>
                <w:rFonts w:ascii="Times New Roman" w:hAnsi="Times New Roman" w:eastAsia="Times New Roman" w:cs="Times New Roman"/>
                <w:sz w:val="13"/>
                <w:szCs w:val="13"/>
                <w:spacing w:val="1"/>
                <w:position w:val="6"/>
              </w:rPr>
              <w:t>2 </w:t>
            </w:r>
            <w:r>
              <w:rPr>
                <w:spacing w:val="1"/>
              </w:rPr>
              <w:t>，建构筑</w:t>
            </w:r>
            <w:r>
              <w:rPr>
                <w:spacing w:val="7"/>
              </w:rPr>
              <w:t>物规格尺寸</w:t>
            </w:r>
            <w:r>
              <w:rPr>
                <w:spacing w:val="-42"/>
              </w:rPr>
              <w:t xml:space="preserve"> </w:t>
            </w:r>
            <w:r>
              <w:rPr>
                <w:rFonts w:ascii="Times New Roman" w:hAnsi="Times New Roman" w:eastAsia="Times New Roman" w:cs="Times New Roman"/>
                <w:spacing w:val="7"/>
              </w:rPr>
              <w:t>40m×40m×6m</w:t>
            </w:r>
            <w:r>
              <w:rPr>
                <w:rFonts w:ascii="Times New Roman" w:hAnsi="Times New Roman" w:eastAsia="Times New Roman" w:cs="Times New Roman"/>
                <w:spacing w:val="-21"/>
              </w:rPr>
              <w:t xml:space="preserve"> </w:t>
            </w:r>
            <w:r>
              <w:rPr>
                <w:spacing w:val="7"/>
              </w:rPr>
              <w:t>，采用素混凝土地面、全封闭彩钢</w:t>
            </w:r>
            <w:r>
              <w:rPr>
                <w:spacing w:val="4"/>
              </w:rPr>
              <w:t>结构，最大堆存矿石量为</w:t>
            </w:r>
            <w:r>
              <w:rPr>
                <w:spacing w:val="-23"/>
              </w:rPr>
              <w:t xml:space="preserve"> </w:t>
            </w:r>
            <w:r>
              <w:rPr>
                <w:rFonts w:ascii="Times New Roman" w:hAnsi="Times New Roman" w:eastAsia="Times New Roman" w:cs="Times New Roman"/>
                <w:spacing w:val="4"/>
              </w:rPr>
              <w:t>1.77</w:t>
            </w:r>
            <w:r>
              <w:rPr>
                <w:rFonts w:ascii="Times New Roman" w:hAnsi="Times New Roman" w:eastAsia="Times New Roman" w:cs="Times New Roman"/>
                <w:spacing w:val="17"/>
                <w:w w:val="101"/>
              </w:rPr>
              <w:t xml:space="preserve"> </w:t>
            </w:r>
            <w:r>
              <w:rPr>
                <w:spacing w:val="4"/>
              </w:rPr>
              <w:t>万</w:t>
            </w:r>
            <w:r>
              <w:rPr>
                <w:spacing w:val="-43"/>
              </w:rPr>
              <w:t xml:space="preserve"> </w:t>
            </w:r>
            <w:r>
              <w:rPr>
                <w:rFonts w:ascii="Times New Roman" w:hAnsi="Times New Roman" w:eastAsia="Times New Roman" w:cs="Times New Roman"/>
                <w:spacing w:val="4"/>
              </w:rPr>
              <w:t>t</w:t>
            </w:r>
            <w:r>
              <w:rPr>
                <w:rFonts w:ascii="Times New Roman" w:hAnsi="Times New Roman" w:eastAsia="Times New Roman" w:cs="Times New Roman"/>
                <w:spacing w:val="-22"/>
              </w:rPr>
              <w:t xml:space="preserve"> </w:t>
            </w:r>
            <w:r>
              <w:rPr>
                <w:spacing w:val="4"/>
              </w:rPr>
              <w:t>，周转周期为</w:t>
            </w:r>
            <w:r>
              <w:rPr>
                <w:spacing w:val="-37"/>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
              </w:rPr>
              <w:t>.5</w:t>
            </w:r>
            <w:r>
              <w:rPr>
                <w:rFonts w:ascii="Times New Roman" w:hAnsi="Times New Roman" w:eastAsia="Times New Roman" w:cs="Times New Roman"/>
                <w:spacing w:val="17"/>
              </w:rPr>
              <w:t xml:space="preserve"> </w:t>
            </w:r>
            <w:r>
              <w:rPr>
                <w:spacing w:val="3"/>
              </w:rPr>
              <w:t>天。</w:t>
            </w:r>
          </w:p>
        </w:tc>
        <w:tc>
          <w:tcPr>
            <w:tcW w:w="1453" w:type="dxa"/>
            <w:vAlign w:val="top"/>
            <w:tcBorders>
              <w:right w:val="nil"/>
            </w:tcBorders>
          </w:tcPr>
          <w:p>
            <w:pPr>
              <w:spacing w:line="245" w:lineRule="auto"/>
              <w:rPr>
                <w:rFonts w:ascii="Arial"/>
                <w:sz w:val="21"/>
              </w:rPr>
            </w:pPr>
            <w:r/>
          </w:p>
          <w:p>
            <w:pPr>
              <w:pStyle w:val="TableText"/>
              <w:ind w:left="529"/>
              <w:spacing w:before="65" w:line="231" w:lineRule="auto"/>
              <w:rPr/>
            </w:pPr>
            <w:r>
              <w:rPr>
                <w:spacing w:val="2"/>
              </w:rPr>
              <w:t>新建</w:t>
            </w:r>
          </w:p>
        </w:tc>
      </w:tr>
      <w:tr>
        <w:trPr>
          <w:trHeight w:val="1093"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spacing w:line="247" w:lineRule="auto"/>
              <w:rPr>
                <w:rFonts w:ascii="Arial"/>
                <w:sz w:val="21"/>
              </w:rPr>
            </w:pPr>
            <w:r/>
          </w:p>
          <w:p>
            <w:pPr>
              <w:pStyle w:val="TableText"/>
              <w:ind w:left="509" w:right="77" w:hanging="419"/>
              <w:spacing w:before="65" w:line="253" w:lineRule="auto"/>
              <w:rPr/>
            </w:pPr>
            <w:r>
              <w:rPr>
                <w:spacing w:val="6"/>
              </w:rPr>
              <w:t>尾矿临时堆</w:t>
            </w:r>
            <w:r>
              <w:rPr/>
              <w:t>场</w:t>
            </w:r>
          </w:p>
        </w:tc>
        <w:tc>
          <w:tcPr>
            <w:tcW w:w="5509" w:type="dxa"/>
            <w:vAlign w:val="top"/>
          </w:tcPr>
          <w:p>
            <w:pPr>
              <w:pStyle w:val="TableText"/>
              <w:ind w:left="7" w:firstLine="421"/>
              <w:spacing w:before="42"/>
              <w:jc w:val="both"/>
              <w:rPr/>
            </w:pPr>
            <w:r>
              <w:rPr>
                <w:spacing w:val="3"/>
              </w:rPr>
              <w:t>尾矿临时堆场位于尾矿过滤车间南侧，</w:t>
            </w:r>
            <w:r>
              <w:rPr>
                <w:spacing w:val="-31"/>
              </w:rPr>
              <w:t xml:space="preserve"> </w:t>
            </w:r>
            <w:r>
              <w:rPr>
                <w:spacing w:val="3"/>
              </w:rPr>
              <w:t>占地约</w:t>
            </w:r>
            <w:r>
              <w:rPr>
                <w:spacing w:val="-41"/>
              </w:rPr>
              <w:t xml:space="preserve"> </w:t>
            </w:r>
            <w:r>
              <w:rPr>
                <w:rFonts w:ascii="Times New Roman" w:hAnsi="Times New Roman" w:eastAsia="Times New Roman" w:cs="Times New Roman"/>
                <w:spacing w:val="3"/>
              </w:rPr>
              <w:t>2100m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5"/>
                <w:position w:val="6"/>
              </w:rPr>
              <w:t xml:space="preserve"> </w:t>
            </w:r>
            <w:r>
              <w:rPr>
                <w:spacing w:val="3"/>
              </w:rPr>
              <w:t>，</w:t>
            </w:r>
            <w:r>
              <w:rPr>
                <w:spacing w:val="4"/>
              </w:rPr>
              <w:t>建构筑物规格尺寸</w:t>
            </w:r>
            <w:r>
              <w:rPr>
                <w:spacing w:val="-37"/>
              </w:rPr>
              <w:t xml:space="preserve"> </w:t>
            </w:r>
            <w:r>
              <w:rPr>
                <w:rFonts w:ascii="Times New Roman" w:hAnsi="Times New Roman" w:eastAsia="Times New Roman" w:cs="Times New Roman"/>
                <w:spacing w:val="4"/>
              </w:rPr>
              <w:t>35m×60m×10m</w:t>
            </w:r>
            <w:r>
              <w:rPr>
                <w:rFonts w:ascii="Times New Roman" w:hAnsi="Times New Roman" w:eastAsia="Times New Roman" w:cs="Times New Roman"/>
                <w:spacing w:val="-23"/>
              </w:rPr>
              <w:t xml:space="preserve"> </w:t>
            </w:r>
            <w:r>
              <w:rPr>
                <w:spacing w:val="4"/>
              </w:rPr>
              <w:t>，</w:t>
            </w:r>
            <w:r>
              <w:rPr>
                <w:spacing w:val="3"/>
              </w:rPr>
              <w:t>采用素混凝土地面基础、</w:t>
            </w:r>
            <w:r>
              <w:rPr>
                <w:spacing w:val="7"/>
              </w:rPr>
              <w:t>全封闭彩钢结构，最大堆存尾矿砂量为</w:t>
            </w:r>
            <w:r>
              <w:rPr>
                <w:spacing w:val="-31"/>
              </w:rPr>
              <w:t xml:space="preserve"> </w:t>
            </w:r>
            <w:r>
              <w:rPr>
                <w:rFonts w:ascii="Times New Roman" w:hAnsi="Times New Roman" w:eastAsia="Times New Roman" w:cs="Times New Roman"/>
                <w:spacing w:val="7"/>
              </w:rPr>
              <w:t>3.47</w:t>
            </w:r>
            <w:r>
              <w:rPr>
                <w:rFonts w:ascii="Times New Roman" w:hAnsi="Times New Roman" w:eastAsia="Times New Roman" w:cs="Times New Roman"/>
                <w:spacing w:val="21"/>
                <w:w w:val="101"/>
              </w:rPr>
              <w:t xml:space="preserve"> </w:t>
            </w:r>
            <w:r>
              <w:rPr>
                <w:spacing w:val="7"/>
              </w:rPr>
              <w:t>万</w:t>
            </w:r>
            <w:r>
              <w:rPr>
                <w:spacing w:val="-44"/>
              </w:rPr>
              <w:t xml:space="preserve"> </w:t>
            </w:r>
            <w:r>
              <w:rPr>
                <w:rFonts w:ascii="Times New Roman" w:hAnsi="Times New Roman" w:eastAsia="Times New Roman" w:cs="Times New Roman"/>
                <w:spacing w:val="7"/>
              </w:rPr>
              <w:t>t</w:t>
            </w:r>
            <w:r>
              <w:rPr>
                <w:rFonts w:ascii="Times New Roman" w:hAnsi="Times New Roman" w:eastAsia="Times New Roman" w:cs="Times New Roman"/>
                <w:spacing w:val="-18"/>
              </w:rPr>
              <w:t xml:space="preserve"> </w:t>
            </w:r>
            <w:r>
              <w:rPr>
                <w:spacing w:val="7"/>
              </w:rPr>
              <w:t>，周转周期</w:t>
            </w:r>
            <w:r>
              <w:rPr>
                <w:rFonts w:ascii="Times New Roman" w:hAnsi="Times New Roman" w:eastAsia="Times New Roman" w:cs="Times New Roman"/>
                <w:spacing w:val="-3"/>
              </w:rPr>
              <w:t>30</w:t>
            </w:r>
            <w:r>
              <w:rPr>
                <w:rFonts w:ascii="Times New Roman" w:hAnsi="Times New Roman" w:eastAsia="Times New Roman" w:cs="Times New Roman"/>
                <w:spacing w:val="17"/>
                <w:w w:val="101"/>
              </w:rPr>
              <w:t xml:space="preserve"> </w:t>
            </w:r>
            <w:r>
              <w:rPr>
                <w:spacing w:val="-3"/>
              </w:rPr>
              <w:t>天。</w:t>
            </w:r>
          </w:p>
        </w:tc>
        <w:tc>
          <w:tcPr>
            <w:tcW w:w="1453" w:type="dxa"/>
            <w:vAlign w:val="top"/>
            <w:tcBorders>
              <w:right w:val="nil"/>
            </w:tcBorders>
          </w:tcPr>
          <w:p>
            <w:pPr>
              <w:spacing w:line="382" w:lineRule="auto"/>
              <w:rPr>
                <w:rFonts w:ascii="Arial"/>
                <w:sz w:val="21"/>
              </w:rPr>
            </w:pPr>
            <w:r/>
          </w:p>
          <w:p>
            <w:pPr>
              <w:pStyle w:val="TableText"/>
              <w:ind w:left="529"/>
              <w:spacing w:before="65" w:line="231" w:lineRule="auto"/>
              <w:rPr/>
            </w:pPr>
            <w:r>
              <w:rPr>
                <w:spacing w:val="2"/>
              </w:rPr>
              <w:t>新建</w:t>
            </w:r>
          </w:p>
        </w:tc>
      </w:tr>
      <w:tr>
        <w:trPr>
          <w:trHeight w:val="820"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spacing w:line="247" w:lineRule="auto"/>
              <w:rPr>
                <w:rFonts w:ascii="Arial"/>
                <w:sz w:val="21"/>
              </w:rPr>
            </w:pPr>
            <w:r/>
          </w:p>
          <w:p>
            <w:pPr>
              <w:pStyle w:val="TableText"/>
              <w:ind w:left="301"/>
              <w:spacing w:before="65" w:line="231" w:lineRule="auto"/>
              <w:rPr/>
            </w:pPr>
            <w:r>
              <w:rPr>
                <w:spacing w:val="3"/>
              </w:rPr>
              <w:t>成品库</w:t>
            </w:r>
          </w:p>
        </w:tc>
        <w:tc>
          <w:tcPr>
            <w:tcW w:w="5509" w:type="dxa"/>
            <w:vAlign w:val="top"/>
          </w:tcPr>
          <w:p>
            <w:pPr>
              <w:pStyle w:val="TableText"/>
              <w:ind w:left="12" w:firstLine="417"/>
              <w:spacing w:before="42" w:line="236" w:lineRule="auto"/>
              <w:jc w:val="both"/>
              <w:rPr/>
            </w:pPr>
            <w:r>
              <w:rPr>
                <w:spacing w:val="2"/>
              </w:rPr>
              <w:t>位于尾矿临时堆场东侧，</w:t>
            </w:r>
            <w:r>
              <w:rPr>
                <w:spacing w:val="-58"/>
              </w:rPr>
              <w:t xml:space="preserve"> </w:t>
            </w:r>
            <w:r>
              <w:rPr>
                <w:spacing w:val="2"/>
              </w:rPr>
              <w:t>占地约</w:t>
            </w:r>
            <w:r>
              <w:rPr>
                <w:spacing w:val="-24"/>
              </w:rPr>
              <w:t xml:space="preserve"> </w:t>
            </w:r>
            <w:r>
              <w:rPr>
                <w:rFonts w:ascii="Times New Roman" w:hAnsi="Times New Roman" w:eastAsia="Times New Roman" w:cs="Times New Roman"/>
                <w:spacing w:val="2"/>
              </w:rPr>
              <w:t>1400m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5"/>
                <w:position w:val="6"/>
              </w:rPr>
              <w:t xml:space="preserve"> </w:t>
            </w:r>
            <w:r>
              <w:rPr>
                <w:spacing w:val="2"/>
              </w:rPr>
              <w:t>，建构</w:t>
            </w:r>
            <w:r>
              <w:rPr>
                <w:spacing w:val="1"/>
              </w:rPr>
              <w:t>筑物规格</w:t>
            </w:r>
            <w:r>
              <w:rPr>
                <w:spacing w:val="3"/>
              </w:rPr>
              <w:t>尺寸</w:t>
            </w:r>
            <w:r>
              <w:rPr>
                <w:spacing w:val="-22"/>
              </w:rPr>
              <w:t xml:space="preserve"> </w:t>
            </w:r>
            <w:r>
              <w:rPr>
                <w:rFonts w:ascii="Times New Roman" w:hAnsi="Times New Roman" w:eastAsia="Times New Roman" w:cs="Times New Roman"/>
                <w:spacing w:val="3"/>
              </w:rPr>
              <w:t>35m×40m×12m</w:t>
            </w:r>
            <w:r>
              <w:rPr>
                <w:rFonts w:ascii="Times New Roman" w:hAnsi="Times New Roman" w:eastAsia="Times New Roman" w:cs="Times New Roman"/>
                <w:spacing w:val="-23"/>
              </w:rPr>
              <w:t xml:space="preserve"> </w:t>
            </w:r>
            <w:r>
              <w:rPr>
                <w:spacing w:val="3"/>
              </w:rPr>
              <w:t>，采用素混凝土地面、全封闭彩钢结构，</w:t>
            </w:r>
            <w:r>
              <w:rPr>
                <w:spacing w:val="2"/>
              </w:rPr>
              <w:t>最大堆存精矿砂量为</w:t>
            </w:r>
            <w:r>
              <w:rPr>
                <w:spacing w:val="-35"/>
              </w:rPr>
              <w:t xml:space="preserve"> </w:t>
            </w:r>
            <w:r>
              <w:rPr>
                <w:rFonts w:ascii="Times New Roman" w:hAnsi="Times New Roman" w:eastAsia="Times New Roman" w:cs="Times New Roman"/>
                <w:spacing w:val="2"/>
              </w:rPr>
              <w:t>2.3</w:t>
            </w:r>
            <w:r>
              <w:rPr>
                <w:rFonts w:ascii="Times New Roman" w:hAnsi="Times New Roman" w:eastAsia="Times New Roman" w:cs="Times New Roman"/>
                <w:spacing w:val="19"/>
              </w:rPr>
              <w:t xml:space="preserve"> </w:t>
            </w:r>
            <w:r>
              <w:rPr>
                <w:spacing w:val="2"/>
              </w:rPr>
              <w:t>万</w:t>
            </w:r>
            <w:r>
              <w:rPr>
                <w:spacing w:val="-46"/>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2"/>
              </w:rPr>
              <w:t xml:space="preserve"> </w:t>
            </w:r>
            <w:r>
              <w:rPr>
                <w:spacing w:val="2"/>
              </w:rPr>
              <w:t>，周转周期</w:t>
            </w:r>
            <w:r>
              <w:rPr>
                <w:spacing w:val="-37"/>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15"/>
                <w:w w:val="101"/>
              </w:rPr>
              <w:t xml:space="preserve"> </w:t>
            </w:r>
            <w:r>
              <w:rPr>
                <w:spacing w:val="2"/>
              </w:rPr>
              <w:t>天。</w:t>
            </w:r>
          </w:p>
        </w:tc>
        <w:tc>
          <w:tcPr>
            <w:tcW w:w="1453" w:type="dxa"/>
            <w:vAlign w:val="top"/>
            <w:tcBorders>
              <w:right w:val="nil"/>
            </w:tcBorders>
          </w:tcPr>
          <w:p>
            <w:pPr>
              <w:spacing w:line="247" w:lineRule="auto"/>
              <w:rPr>
                <w:rFonts w:ascii="Arial"/>
                <w:sz w:val="21"/>
              </w:rPr>
            </w:pPr>
            <w:r/>
          </w:p>
          <w:p>
            <w:pPr>
              <w:pStyle w:val="TableText"/>
              <w:ind w:left="529"/>
              <w:spacing w:before="65" w:line="231" w:lineRule="auto"/>
              <w:rPr/>
            </w:pPr>
            <w:r>
              <w:rPr>
                <w:spacing w:val="2"/>
              </w:rPr>
              <w:t>新建</w:t>
            </w:r>
          </w:p>
        </w:tc>
      </w:tr>
      <w:tr>
        <w:trPr>
          <w:trHeight w:val="821"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spacing w:line="251" w:lineRule="auto"/>
              <w:rPr>
                <w:rFonts w:ascii="Arial"/>
                <w:sz w:val="21"/>
              </w:rPr>
            </w:pPr>
            <w:r/>
          </w:p>
          <w:p>
            <w:pPr>
              <w:pStyle w:val="TableText"/>
              <w:ind w:left="196"/>
              <w:spacing w:before="65" w:line="229" w:lineRule="auto"/>
              <w:rPr/>
            </w:pPr>
            <w:r>
              <w:rPr>
                <w:spacing w:val="5"/>
              </w:rPr>
              <w:t>表土堆场</w:t>
            </w:r>
          </w:p>
        </w:tc>
        <w:tc>
          <w:tcPr>
            <w:tcW w:w="5509" w:type="dxa"/>
            <w:vAlign w:val="top"/>
          </w:tcPr>
          <w:p>
            <w:pPr>
              <w:pStyle w:val="TableText"/>
              <w:ind w:left="7" w:firstLine="426"/>
              <w:spacing w:before="47" w:line="235" w:lineRule="auto"/>
              <w:jc w:val="both"/>
              <w:rPr/>
            </w:pPr>
            <w:r>
              <w:rPr>
                <w:spacing w:val="4"/>
              </w:rPr>
              <w:t>位于原矿堆场南侧，</w:t>
            </w:r>
            <w:r>
              <w:rPr>
                <w:spacing w:val="-56"/>
              </w:rPr>
              <w:t xml:space="preserve"> </w:t>
            </w:r>
            <w:r>
              <w:rPr>
                <w:spacing w:val="4"/>
              </w:rPr>
              <w:t>占地约</w:t>
            </w:r>
            <w:r>
              <w:rPr>
                <w:spacing w:val="-23"/>
              </w:rPr>
              <w:t xml:space="preserve"> </w:t>
            </w:r>
            <w:r>
              <w:rPr>
                <w:rFonts w:ascii="Times New Roman" w:hAnsi="Times New Roman" w:eastAsia="Times New Roman" w:cs="Times New Roman"/>
                <w:spacing w:val="4"/>
              </w:rPr>
              <w:t>1440m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5"/>
                <w:position w:val="6"/>
              </w:rPr>
              <w:t xml:space="preserve"> </w:t>
            </w:r>
            <w:r>
              <w:rPr>
                <w:spacing w:val="4"/>
              </w:rPr>
              <w:t>，</w:t>
            </w:r>
            <w:r>
              <w:rPr>
                <w:spacing w:val="3"/>
              </w:rPr>
              <w:t>建构筑物规格尺寸</w:t>
            </w:r>
            <w:r>
              <w:rPr>
                <w:rFonts w:ascii="Times New Roman" w:hAnsi="Times New Roman" w:eastAsia="Times New Roman" w:cs="Times New Roman"/>
                <w:spacing w:val="9"/>
              </w:rPr>
              <w:t>30m×48m×6m</w:t>
            </w:r>
            <w:r>
              <w:rPr>
                <w:rFonts w:ascii="Times New Roman" w:hAnsi="Times New Roman" w:eastAsia="Times New Roman" w:cs="Times New Roman"/>
                <w:spacing w:val="-17"/>
              </w:rPr>
              <w:t xml:space="preserve"> </w:t>
            </w:r>
            <w:r>
              <w:rPr>
                <w:spacing w:val="9"/>
              </w:rPr>
              <w:t>，采用素混凝土地面基础、全封闭彩钢结构，</w:t>
            </w:r>
            <w:r>
              <w:rPr>
                <w:spacing w:val="5"/>
              </w:rPr>
              <w:t>堆存表土量为</w:t>
            </w:r>
            <w:r>
              <w:rPr>
                <w:spacing w:val="-31"/>
              </w:rPr>
              <w:t xml:space="preserve"> </w:t>
            </w:r>
            <w:r>
              <w:rPr>
                <w:rFonts w:ascii="Times New Roman" w:hAnsi="Times New Roman" w:eastAsia="Times New Roman" w:cs="Times New Roman"/>
                <w:spacing w:val="5"/>
              </w:rPr>
              <w:t>8640m</w:t>
            </w:r>
            <w:r>
              <w:rPr>
                <w:rFonts w:ascii="Times New Roman" w:hAnsi="Times New Roman" w:eastAsia="Times New Roman" w:cs="Times New Roman"/>
                <w:sz w:val="13"/>
                <w:szCs w:val="13"/>
                <w:spacing w:val="5"/>
                <w:position w:val="6"/>
              </w:rPr>
              <w:t>3</w:t>
            </w:r>
            <w:r>
              <w:rPr>
                <w:spacing w:val="5"/>
              </w:rPr>
              <w:t>。</w:t>
            </w:r>
          </w:p>
        </w:tc>
        <w:tc>
          <w:tcPr>
            <w:tcW w:w="1453" w:type="dxa"/>
            <w:vAlign w:val="top"/>
            <w:tcBorders>
              <w:right w:val="nil"/>
            </w:tcBorders>
          </w:tcPr>
          <w:p>
            <w:pPr>
              <w:spacing w:line="250" w:lineRule="auto"/>
              <w:rPr>
                <w:rFonts w:ascii="Arial"/>
                <w:sz w:val="21"/>
              </w:rPr>
            </w:pPr>
            <w:r/>
          </w:p>
          <w:p>
            <w:pPr>
              <w:pStyle w:val="TableText"/>
              <w:ind w:left="529"/>
              <w:spacing w:before="65" w:line="231" w:lineRule="auto"/>
              <w:rPr/>
            </w:pPr>
            <w:r>
              <w:rPr>
                <w:spacing w:val="2"/>
              </w:rPr>
              <w:t>新建</w:t>
            </w:r>
          </w:p>
        </w:tc>
      </w:tr>
      <w:tr>
        <w:trPr>
          <w:trHeight w:val="548" w:hRule="atLeast"/>
        </w:trPr>
        <w:tc>
          <w:tcPr>
            <w:tcW w:w="524" w:type="dxa"/>
            <w:vAlign w:val="top"/>
            <w:vMerge w:val="continue"/>
            <w:tcBorders>
              <w:left w:val="nil"/>
              <w:top w:val="nil"/>
            </w:tcBorders>
          </w:tcPr>
          <w:p>
            <w:pPr>
              <w:rPr>
                <w:rFonts w:ascii="Arial"/>
                <w:sz w:val="21"/>
              </w:rPr>
            </w:pPr>
            <w:r/>
          </w:p>
        </w:tc>
        <w:tc>
          <w:tcPr>
            <w:tcW w:w="1207" w:type="dxa"/>
            <w:vAlign w:val="top"/>
          </w:tcPr>
          <w:p>
            <w:pPr>
              <w:pStyle w:val="TableText"/>
              <w:ind w:left="194"/>
              <w:spacing w:before="179" w:line="232" w:lineRule="auto"/>
              <w:rPr/>
            </w:pPr>
            <w:r>
              <w:rPr>
                <w:spacing w:val="6"/>
              </w:rPr>
              <w:t>厂区道路</w:t>
            </w:r>
          </w:p>
        </w:tc>
        <w:tc>
          <w:tcPr>
            <w:tcW w:w="5509" w:type="dxa"/>
            <w:vAlign w:val="top"/>
          </w:tcPr>
          <w:p>
            <w:pPr>
              <w:pStyle w:val="TableText"/>
              <w:ind w:left="11" w:firstLine="416"/>
              <w:spacing w:before="7" w:line="245" w:lineRule="auto"/>
              <w:rPr/>
            </w:pPr>
            <w:r>
              <w:rPr>
                <w:spacing w:val="1"/>
              </w:rPr>
              <w:t>厂区内道路宽</w:t>
            </w:r>
            <w:r>
              <w:rPr>
                <w:spacing w:val="-29"/>
              </w:rPr>
              <w:t xml:space="preserve"> </w:t>
            </w:r>
            <w:r>
              <w:rPr>
                <w:rFonts w:ascii="Times New Roman" w:hAnsi="Times New Roman" w:eastAsia="Times New Roman" w:cs="Times New Roman"/>
                <w:spacing w:val="1"/>
              </w:rPr>
              <w:t>8.0m</w:t>
            </w:r>
            <w:r>
              <w:rPr>
                <w:rFonts w:ascii="Times New Roman" w:hAnsi="Times New Roman" w:eastAsia="Times New Roman" w:cs="Times New Roman"/>
                <w:spacing w:val="-21"/>
              </w:rPr>
              <w:t xml:space="preserve"> </w:t>
            </w:r>
            <w:r>
              <w:rPr>
                <w:spacing w:val="1"/>
              </w:rPr>
              <w:t>，长约</w:t>
            </w:r>
            <w:r>
              <w:rPr>
                <w:spacing w:val="-41"/>
              </w:rPr>
              <w:t xml:space="preserve"> </w:t>
            </w:r>
            <w:r>
              <w:rPr>
                <w:rFonts w:ascii="Times New Roman" w:hAnsi="Times New Roman" w:eastAsia="Times New Roman" w:cs="Times New Roman"/>
                <w:spacing w:val="1"/>
              </w:rPr>
              <w:t>2700m</w:t>
            </w:r>
            <w:r>
              <w:rPr>
                <w:rFonts w:ascii="Times New Roman" w:hAnsi="Times New Roman" w:eastAsia="Times New Roman" w:cs="Times New Roman"/>
                <w:spacing w:val="-21"/>
              </w:rPr>
              <w:t xml:space="preserve"> </w:t>
            </w:r>
            <w:r>
              <w:rPr>
                <w:spacing w:val="1"/>
              </w:rPr>
              <w:t>，道路最大坡度</w:t>
            </w:r>
            <w:r>
              <w:rPr>
                <w:spacing w:val="-39"/>
              </w:rPr>
              <w:t xml:space="preserve"> </w:t>
            </w:r>
            <w:r>
              <w:rPr>
                <w:rFonts w:ascii="Times New Roman" w:hAnsi="Times New Roman" w:eastAsia="Times New Roman" w:cs="Times New Roman"/>
                <w:spacing w:val="1"/>
              </w:rPr>
              <w:t>i=8%</w:t>
            </w:r>
            <w:r>
              <w:rPr>
                <w:spacing w:val="1"/>
              </w:rPr>
              <w:t>，</w:t>
            </w:r>
            <w:r>
              <w:rPr>
                <w:spacing w:val="6"/>
              </w:rPr>
              <w:t>路面材料为泥结碎石路面。</w:t>
            </w:r>
          </w:p>
        </w:tc>
        <w:tc>
          <w:tcPr>
            <w:tcW w:w="1453" w:type="dxa"/>
            <w:vAlign w:val="top"/>
            <w:tcBorders>
              <w:right w:val="nil"/>
            </w:tcBorders>
          </w:tcPr>
          <w:p>
            <w:pPr>
              <w:pStyle w:val="TableText"/>
              <w:ind w:left="529"/>
              <w:spacing w:before="180" w:line="231" w:lineRule="auto"/>
              <w:rPr/>
            </w:pPr>
            <w:r>
              <w:rPr>
                <w:spacing w:val="2"/>
              </w:rPr>
              <w:t>新建</w:t>
            </w:r>
          </w:p>
        </w:tc>
      </w:tr>
      <w:tr>
        <w:trPr>
          <w:trHeight w:val="549" w:hRule="atLeast"/>
        </w:trPr>
        <w:tc>
          <w:tcPr>
            <w:tcW w:w="524" w:type="dxa"/>
            <w:vAlign w:val="top"/>
            <w:vMerge w:val="restart"/>
            <w:tcBorders>
              <w:left w:val="nil"/>
              <w:bottom w:val="nil"/>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67" w:right="53"/>
              <w:spacing w:before="65" w:line="253" w:lineRule="auto"/>
              <w:rPr/>
            </w:pPr>
            <w:r>
              <w:rPr>
                <w:spacing w:val="-1"/>
              </w:rPr>
              <w:t>公用</w:t>
            </w:r>
            <w:r>
              <w:rPr>
                <w:spacing w:val="-1"/>
              </w:rPr>
              <w:t>工程</w:t>
            </w:r>
          </w:p>
        </w:tc>
        <w:tc>
          <w:tcPr>
            <w:tcW w:w="1207" w:type="dxa"/>
            <w:vAlign w:val="top"/>
            <w:vMerge w:val="restart"/>
            <w:tcBorders>
              <w:bottom w:val="nil"/>
            </w:tcBorders>
          </w:tcPr>
          <w:p>
            <w:pPr>
              <w:spacing w:line="394" w:lineRule="auto"/>
              <w:rPr>
                <w:rFonts w:ascii="Arial"/>
                <w:sz w:val="21"/>
              </w:rPr>
            </w:pPr>
            <w:r/>
          </w:p>
          <w:p>
            <w:pPr>
              <w:pStyle w:val="TableText"/>
              <w:ind w:left="405"/>
              <w:spacing w:before="65" w:line="232" w:lineRule="auto"/>
              <w:rPr/>
            </w:pPr>
            <w:r>
              <w:rPr>
                <w:spacing w:val="1"/>
              </w:rPr>
              <w:t>给水</w:t>
            </w:r>
          </w:p>
        </w:tc>
        <w:tc>
          <w:tcPr>
            <w:tcW w:w="5509" w:type="dxa"/>
            <w:vAlign w:val="top"/>
          </w:tcPr>
          <w:p>
            <w:pPr>
              <w:pStyle w:val="TableText"/>
              <w:ind w:left="14" w:firstLine="419"/>
              <w:spacing w:before="47" w:line="227" w:lineRule="auto"/>
              <w:rPr/>
            </w:pPr>
            <w:r>
              <w:rPr>
                <w:spacing w:val="11"/>
              </w:rPr>
              <w:t>项目生产用水由矿井涌水和生产废水经沉淀后的中水供</w:t>
            </w:r>
            <w:r>
              <w:rPr>
                <w:spacing w:val="8"/>
              </w:rPr>
              <w:t>给，不足水量则由矿区生活区储水罐供给。。</w:t>
            </w:r>
          </w:p>
        </w:tc>
        <w:tc>
          <w:tcPr>
            <w:tcW w:w="1453" w:type="dxa"/>
            <w:vAlign w:val="top"/>
            <w:tcBorders>
              <w:right w:val="nil"/>
            </w:tcBorders>
          </w:tcPr>
          <w:p>
            <w:pPr>
              <w:pStyle w:val="TableText"/>
              <w:ind w:left="529"/>
              <w:spacing w:before="183" w:line="231" w:lineRule="auto"/>
              <w:rPr/>
            </w:pPr>
            <w:r>
              <w:rPr>
                <w:spacing w:val="2"/>
              </w:rPr>
              <w:t>新建</w:t>
            </w:r>
          </w:p>
        </w:tc>
      </w:tr>
      <w:tr>
        <w:trPr>
          <w:trHeight w:val="549" w:hRule="atLeast"/>
        </w:trPr>
        <w:tc>
          <w:tcPr>
            <w:tcW w:w="524" w:type="dxa"/>
            <w:vAlign w:val="top"/>
            <w:vMerge w:val="continue"/>
            <w:tcBorders>
              <w:left w:val="nil"/>
              <w:top w:val="nil"/>
              <w:bottom w:val="nil"/>
            </w:tcBorders>
          </w:tcPr>
          <w:p>
            <w:pPr>
              <w:rPr>
                <w:rFonts w:ascii="Arial"/>
                <w:sz w:val="21"/>
              </w:rPr>
            </w:pPr>
            <w:r/>
          </w:p>
        </w:tc>
        <w:tc>
          <w:tcPr>
            <w:tcW w:w="1207" w:type="dxa"/>
            <w:vAlign w:val="top"/>
            <w:vMerge w:val="continue"/>
            <w:tcBorders>
              <w:top w:val="nil"/>
            </w:tcBorders>
          </w:tcPr>
          <w:p>
            <w:pPr>
              <w:rPr>
                <w:rFonts w:ascii="Arial"/>
                <w:sz w:val="21"/>
              </w:rPr>
            </w:pPr>
            <w:r/>
          </w:p>
        </w:tc>
        <w:tc>
          <w:tcPr>
            <w:tcW w:w="5509" w:type="dxa"/>
            <w:vAlign w:val="top"/>
          </w:tcPr>
          <w:p>
            <w:pPr>
              <w:pStyle w:val="TableText"/>
              <w:ind w:left="14" w:firstLine="430"/>
              <w:spacing w:before="49" w:line="226" w:lineRule="auto"/>
              <w:rPr/>
            </w:pPr>
            <w:r>
              <w:rPr>
                <w:spacing w:val="8"/>
              </w:rPr>
              <w:t>生活用水采用矿区西部沟谷中的机井供水，</w:t>
            </w:r>
            <w:r>
              <w:rPr>
                <w:spacing w:val="-34"/>
              </w:rPr>
              <w:t xml:space="preserve"> </w:t>
            </w:r>
            <w:r>
              <w:rPr>
                <w:spacing w:val="8"/>
              </w:rPr>
              <w:t>由拉水车拉</w:t>
            </w:r>
            <w:r>
              <w:rPr>
                <w:spacing w:val="8"/>
              </w:rPr>
              <w:t>运至矿区生活区储水罐，并安装净化系统一套。</w:t>
            </w:r>
          </w:p>
        </w:tc>
        <w:tc>
          <w:tcPr>
            <w:tcW w:w="1453" w:type="dxa"/>
            <w:vAlign w:val="top"/>
            <w:tcBorders>
              <w:right w:val="nil"/>
            </w:tcBorders>
          </w:tcPr>
          <w:p>
            <w:pPr>
              <w:pStyle w:val="TableText"/>
              <w:ind w:left="319"/>
              <w:spacing w:before="184" w:line="231" w:lineRule="auto"/>
              <w:rPr/>
            </w:pPr>
            <w:r>
              <w:rPr>
                <w:spacing w:val="5"/>
              </w:rPr>
              <w:t>部分依托</w:t>
            </w:r>
          </w:p>
        </w:tc>
      </w:tr>
      <w:tr>
        <w:trPr>
          <w:trHeight w:val="344" w:hRule="atLeast"/>
        </w:trPr>
        <w:tc>
          <w:tcPr>
            <w:tcW w:w="524" w:type="dxa"/>
            <w:vAlign w:val="top"/>
            <w:vMerge w:val="continue"/>
            <w:tcBorders>
              <w:left w:val="nil"/>
              <w:top w:val="nil"/>
              <w:bottom w:val="nil"/>
            </w:tcBorders>
          </w:tcPr>
          <w:p>
            <w:pPr>
              <w:rPr>
                <w:rFonts w:ascii="Arial"/>
                <w:sz w:val="21"/>
              </w:rPr>
            </w:pPr>
            <w:r/>
          </w:p>
        </w:tc>
        <w:tc>
          <w:tcPr>
            <w:tcW w:w="1207" w:type="dxa"/>
            <w:vAlign w:val="top"/>
            <w:vMerge w:val="restart"/>
            <w:tcBorders>
              <w:bottom w:val="nil"/>
            </w:tcBorders>
          </w:tcPr>
          <w:p>
            <w:pPr>
              <w:spacing w:line="293" w:lineRule="auto"/>
              <w:rPr>
                <w:rFonts w:ascii="Arial"/>
                <w:sz w:val="21"/>
              </w:rPr>
            </w:pPr>
            <w:r/>
          </w:p>
          <w:p>
            <w:pPr>
              <w:pStyle w:val="TableText"/>
              <w:ind w:left="401"/>
              <w:spacing w:before="65" w:line="231" w:lineRule="auto"/>
              <w:rPr/>
            </w:pPr>
            <w:r>
              <w:rPr>
                <w:spacing w:val="3"/>
              </w:rPr>
              <w:t>排水</w:t>
            </w:r>
          </w:p>
        </w:tc>
        <w:tc>
          <w:tcPr>
            <w:tcW w:w="5509" w:type="dxa"/>
            <w:vAlign w:val="top"/>
          </w:tcPr>
          <w:p>
            <w:pPr>
              <w:pStyle w:val="TableText"/>
              <w:ind w:left="432"/>
              <w:spacing w:before="81" w:line="230" w:lineRule="auto"/>
              <w:rPr/>
            </w:pPr>
            <w:r>
              <w:rPr>
                <w:spacing w:val="8"/>
              </w:rPr>
              <w:t>矿井涌水、选矿废水闭路循环使用，不外排。</w:t>
            </w:r>
          </w:p>
        </w:tc>
        <w:tc>
          <w:tcPr>
            <w:tcW w:w="1453" w:type="dxa"/>
            <w:vAlign w:val="top"/>
            <w:tcBorders>
              <w:right w:val="nil"/>
            </w:tcBorders>
          </w:tcPr>
          <w:p>
            <w:pPr>
              <w:pStyle w:val="TableText"/>
              <w:ind w:left="529"/>
              <w:spacing w:before="81" w:line="231" w:lineRule="auto"/>
              <w:rPr/>
            </w:pPr>
            <w:r>
              <w:rPr>
                <w:spacing w:val="2"/>
              </w:rPr>
              <w:t>新建</w:t>
            </w:r>
          </w:p>
        </w:tc>
      </w:tr>
      <w:tr>
        <w:trPr>
          <w:trHeight w:val="548" w:hRule="atLeast"/>
        </w:trPr>
        <w:tc>
          <w:tcPr>
            <w:tcW w:w="524" w:type="dxa"/>
            <w:vAlign w:val="top"/>
            <w:vMerge w:val="continue"/>
            <w:tcBorders>
              <w:left w:val="nil"/>
              <w:top w:val="nil"/>
              <w:bottom w:val="nil"/>
            </w:tcBorders>
          </w:tcPr>
          <w:p>
            <w:pPr>
              <w:rPr>
                <w:rFonts w:ascii="Arial"/>
                <w:sz w:val="21"/>
              </w:rPr>
            </w:pPr>
            <w:r/>
          </w:p>
        </w:tc>
        <w:tc>
          <w:tcPr>
            <w:tcW w:w="1207" w:type="dxa"/>
            <w:vAlign w:val="top"/>
            <w:vMerge w:val="continue"/>
            <w:tcBorders>
              <w:top w:val="nil"/>
            </w:tcBorders>
          </w:tcPr>
          <w:p>
            <w:pPr>
              <w:rPr>
                <w:rFonts w:ascii="Arial"/>
                <w:sz w:val="21"/>
              </w:rPr>
            </w:pPr>
            <w:r/>
          </w:p>
        </w:tc>
        <w:tc>
          <w:tcPr>
            <w:tcW w:w="5509" w:type="dxa"/>
            <w:vAlign w:val="top"/>
          </w:tcPr>
          <w:p>
            <w:pPr>
              <w:pStyle w:val="TableText"/>
              <w:ind w:left="16" w:firstLine="428"/>
              <w:spacing w:before="50" w:line="225" w:lineRule="auto"/>
              <w:rPr/>
            </w:pPr>
            <w:r>
              <w:rPr>
                <w:spacing w:val="10"/>
              </w:rPr>
              <w:t>生活污水集中收集于化粪池收集处理，定期清运至内蒙</w:t>
            </w:r>
            <w:r>
              <w:rPr>
                <w:spacing w:val="8"/>
              </w:rPr>
              <w:t>古锡林郭勒盟苏尼特右旗赛汉塔拉镇污水处理厂处理。</w:t>
            </w:r>
          </w:p>
        </w:tc>
        <w:tc>
          <w:tcPr>
            <w:tcW w:w="1453" w:type="dxa"/>
            <w:vAlign w:val="top"/>
            <w:tcBorders>
              <w:right w:val="nil"/>
            </w:tcBorders>
          </w:tcPr>
          <w:p>
            <w:pPr>
              <w:pStyle w:val="TableText"/>
              <w:ind w:left="529"/>
              <w:spacing w:before="186" w:line="231" w:lineRule="auto"/>
              <w:rPr/>
            </w:pPr>
            <w:r>
              <w:rPr>
                <w:spacing w:val="2"/>
              </w:rPr>
              <w:t>新建</w:t>
            </w:r>
          </w:p>
        </w:tc>
      </w:tr>
      <w:tr>
        <w:trPr>
          <w:trHeight w:val="344" w:hRule="atLeast"/>
        </w:trPr>
        <w:tc>
          <w:tcPr>
            <w:tcW w:w="524" w:type="dxa"/>
            <w:vAlign w:val="top"/>
            <w:vMerge w:val="continue"/>
            <w:tcBorders>
              <w:left w:val="nil"/>
              <w:top w:val="nil"/>
              <w:bottom w:val="nil"/>
            </w:tcBorders>
          </w:tcPr>
          <w:p>
            <w:pPr>
              <w:rPr>
                <w:rFonts w:ascii="Arial"/>
                <w:sz w:val="21"/>
              </w:rPr>
            </w:pPr>
            <w:r/>
          </w:p>
        </w:tc>
        <w:tc>
          <w:tcPr>
            <w:tcW w:w="1207" w:type="dxa"/>
            <w:vAlign w:val="top"/>
          </w:tcPr>
          <w:p>
            <w:pPr>
              <w:pStyle w:val="TableText"/>
              <w:ind w:left="404"/>
              <w:spacing w:before="84" w:line="230" w:lineRule="auto"/>
              <w:rPr/>
            </w:pPr>
            <w:r>
              <w:rPr>
                <w:spacing w:val="1"/>
              </w:rPr>
              <w:t>供热</w:t>
            </w:r>
          </w:p>
        </w:tc>
        <w:tc>
          <w:tcPr>
            <w:tcW w:w="5509" w:type="dxa"/>
            <w:vAlign w:val="top"/>
          </w:tcPr>
          <w:p>
            <w:pPr>
              <w:pStyle w:val="TableText"/>
              <w:ind w:left="435"/>
              <w:spacing w:before="84" w:line="228" w:lineRule="auto"/>
              <w:rPr/>
            </w:pPr>
            <w:r>
              <w:rPr>
                <w:spacing w:val="9"/>
              </w:rPr>
              <w:t>分为在生产区和生活区设置一台电热水锅炉</w:t>
            </w:r>
            <w:r>
              <w:rPr>
                <w:spacing w:val="8"/>
              </w:rPr>
              <w:t>进行供热。</w:t>
            </w:r>
          </w:p>
        </w:tc>
        <w:tc>
          <w:tcPr>
            <w:tcW w:w="1453" w:type="dxa"/>
            <w:vAlign w:val="top"/>
            <w:tcBorders>
              <w:right w:val="nil"/>
            </w:tcBorders>
          </w:tcPr>
          <w:p>
            <w:pPr>
              <w:pStyle w:val="TableText"/>
              <w:ind w:left="529"/>
              <w:spacing w:before="84" w:line="230" w:lineRule="auto"/>
              <w:rPr/>
            </w:pPr>
            <w:r>
              <w:rPr>
                <w:spacing w:val="2"/>
              </w:rPr>
              <w:t>新建</w:t>
            </w:r>
          </w:p>
        </w:tc>
      </w:tr>
      <w:tr>
        <w:trPr>
          <w:trHeight w:val="1093" w:hRule="atLeast"/>
        </w:trPr>
        <w:tc>
          <w:tcPr>
            <w:tcW w:w="524" w:type="dxa"/>
            <w:vAlign w:val="top"/>
            <w:vMerge w:val="continue"/>
            <w:tcBorders>
              <w:left w:val="nil"/>
              <w:top w:val="nil"/>
            </w:tcBorders>
          </w:tcPr>
          <w:p>
            <w:pPr>
              <w:rPr>
                <w:rFonts w:ascii="Arial"/>
                <w:sz w:val="21"/>
              </w:rPr>
            </w:pPr>
            <w:r/>
          </w:p>
        </w:tc>
        <w:tc>
          <w:tcPr>
            <w:tcW w:w="1207" w:type="dxa"/>
            <w:vAlign w:val="top"/>
          </w:tcPr>
          <w:p>
            <w:pPr>
              <w:spacing w:line="393" w:lineRule="auto"/>
              <w:rPr>
                <w:rFonts w:ascii="Arial"/>
                <w:sz w:val="21"/>
              </w:rPr>
            </w:pPr>
            <w:r/>
          </w:p>
          <w:p>
            <w:pPr>
              <w:pStyle w:val="TableText"/>
              <w:ind w:left="404"/>
              <w:spacing w:before="65" w:line="232" w:lineRule="auto"/>
              <w:rPr/>
            </w:pPr>
            <w:r>
              <w:rPr>
                <w:spacing w:val="1"/>
              </w:rPr>
              <w:t>供电</w:t>
            </w:r>
          </w:p>
        </w:tc>
        <w:tc>
          <w:tcPr>
            <w:tcW w:w="5509" w:type="dxa"/>
            <w:vAlign w:val="top"/>
          </w:tcPr>
          <w:p>
            <w:pPr>
              <w:pStyle w:val="TableText"/>
              <w:ind w:left="3" w:firstLine="429"/>
              <w:spacing w:before="51" w:line="238" w:lineRule="auto"/>
              <w:jc w:val="both"/>
              <w:rPr/>
            </w:pPr>
            <w:r>
              <w:rPr>
                <w:spacing w:val="15"/>
              </w:rPr>
              <w:t>矿</w:t>
            </w:r>
            <w:r>
              <w:rPr>
                <w:spacing w:val="-45"/>
              </w:rPr>
              <w:t xml:space="preserve"> </w:t>
            </w:r>
            <w:r>
              <w:rPr>
                <w:spacing w:val="15"/>
              </w:rPr>
              <w:t>区</w:t>
            </w:r>
            <w:r>
              <w:rPr>
                <w:spacing w:val="-41"/>
              </w:rPr>
              <w:t xml:space="preserve"> </w:t>
            </w:r>
            <w:r>
              <w:rPr>
                <w:spacing w:val="15"/>
              </w:rPr>
              <w:t>电源</w:t>
            </w:r>
            <w:r>
              <w:rPr>
                <w:spacing w:val="-36"/>
              </w:rPr>
              <w:t xml:space="preserve"> </w:t>
            </w:r>
            <w:r>
              <w:rPr>
                <w:spacing w:val="15"/>
              </w:rPr>
              <w:t>已</w:t>
            </w:r>
            <w:r>
              <w:rPr>
                <w:spacing w:val="-35"/>
              </w:rPr>
              <w:t xml:space="preserve"> </w:t>
            </w:r>
            <w:r>
              <w:rPr>
                <w:spacing w:val="15"/>
              </w:rPr>
              <w:t>由桑宝力嘎供电所引入矿区</w:t>
            </w:r>
            <w:r>
              <w:rPr>
                <w:spacing w:val="-48"/>
              </w:rPr>
              <w:t xml:space="preserve"> </w:t>
            </w:r>
            <w:r>
              <w:rPr>
                <w:spacing w:val="15"/>
              </w:rPr>
              <w:t>，</w:t>
            </w:r>
            <w:r>
              <w:rPr>
                <w:spacing w:val="-58"/>
              </w:rPr>
              <w:t xml:space="preserve"> </w:t>
            </w:r>
            <w:r>
              <w:rPr>
                <w:spacing w:val="15"/>
              </w:rPr>
              <w:t>供电电压</w:t>
            </w:r>
            <w:r>
              <w:rPr>
                <w:rFonts w:ascii="Times New Roman" w:hAnsi="Times New Roman" w:eastAsia="Times New Roman" w:cs="Times New Roman"/>
                <w:spacing w:val="-1"/>
              </w:rPr>
              <w:t>10KV </w:t>
            </w:r>
            <w:r>
              <w:rPr>
                <w:spacing w:val="-1"/>
              </w:rPr>
              <w:t>，</w:t>
            </w:r>
            <w:r>
              <w:rPr>
                <w:spacing w:val="-50"/>
              </w:rPr>
              <w:t xml:space="preserve"> </w:t>
            </w:r>
            <w:r>
              <w:rPr>
                <w:spacing w:val="-1"/>
              </w:rPr>
              <w:t>采用</w:t>
            </w:r>
            <w:r>
              <w:rPr>
                <w:rFonts w:ascii="Times New Roman" w:hAnsi="Times New Roman" w:eastAsia="Times New Roman" w:cs="Times New Roman"/>
                <w:spacing w:val="-1"/>
              </w:rPr>
              <w:t>Ф190×12000  </w:t>
            </w:r>
            <w:r>
              <w:rPr>
                <w:spacing w:val="-1"/>
              </w:rPr>
              <w:t>钢</w:t>
            </w:r>
            <w:r>
              <w:rPr>
                <w:spacing w:val="-55"/>
              </w:rPr>
              <w:t xml:space="preserve"> </w:t>
            </w:r>
            <w:r>
              <w:rPr>
                <w:spacing w:val="-1"/>
              </w:rPr>
              <w:t>筋</w:t>
            </w:r>
            <w:r>
              <w:rPr>
                <w:spacing w:val="-57"/>
              </w:rPr>
              <w:t xml:space="preserve"> </w:t>
            </w:r>
            <w:r>
              <w:rPr>
                <w:spacing w:val="-1"/>
              </w:rPr>
              <w:t>混</w:t>
            </w:r>
            <w:r>
              <w:rPr>
                <w:spacing w:val="-59"/>
              </w:rPr>
              <w:t xml:space="preserve"> </w:t>
            </w:r>
            <w:r>
              <w:rPr>
                <w:spacing w:val="-1"/>
              </w:rPr>
              <w:t>凝</w:t>
            </w:r>
            <w:r>
              <w:rPr>
                <w:spacing w:val="-55"/>
              </w:rPr>
              <w:t xml:space="preserve"> </w:t>
            </w:r>
            <w:r>
              <w:rPr>
                <w:spacing w:val="-1"/>
              </w:rPr>
              <w:t>土</w:t>
            </w:r>
            <w:r>
              <w:rPr>
                <w:spacing w:val="-37"/>
              </w:rPr>
              <w:t xml:space="preserve"> </w:t>
            </w:r>
            <w:r>
              <w:rPr>
                <w:spacing w:val="-2"/>
              </w:rPr>
              <w:t>电</w:t>
            </w:r>
            <w:r>
              <w:rPr>
                <w:spacing w:val="-58"/>
              </w:rPr>
              <w:t xml:space="preserve"> </w:t>
            </w:r>
            <w:r>
              <w:rPr>
                <w:spacing w:val="-2"/>
              </w:rPr>
              <w:t>杆</w:t>
            </w:r>
            <w:r>
              <w:rPr>
                <w:spacing w:val="-42"/>
              </w:rPr>
              <w:t xml:space="preserve"> </w:t>
            </w:r>
            <w:r>
              <w:rPr>
                <w:spacing w:val="-2"/>
              </w:rPr>
              <w:t>，</w:t>
            </w:r>
            <w:r>
              <w:rPr>
                <w:spacing w:val="-52"/>
              </w:rPr>
              <w:t xml:space="preserve"> </w:t>
            </w:r>
            <w:r>
              <w:rPr>
                <w:spacing w:val="-2"/>
              </w:rPr>
              <w:t>导</w:t>
            </w:r>
            <w:r>
              <w:rPr>
                <w:spacing w:val="-51"/>
              </w:rPr>
              <w:t xml:space="preserve"> </w:t>
            </w:r>
            <w:r>
              <w:rPr>
                <w:spacing w:val="-2"/>
              </w:rPr>
              <w:t>线</w:t>
            </w:r>
            <w:r>
              <w:rPr>
                <w:spacing w:val="-48"/>
              </w:rPr>
              <w:t xml:space="preserve"> </w:t>
            </w:r>
            <w:r>
              <w:rPr>
                <w:spacing w:val="-2"/>
              </w:rPr>
              <w:t>型</w:t>
            </w:r>
            <w:r>
              <w:rPr>
                <w:spacing w:val="-55"/>
              </w:rPr>
              <w:t xml:space="preserve"> </w:t>
            </w:r>
            <w:r>
              <w:rPr>
                <w:spacing w:val="-2"/>
              </w:rPr>
              <w:t>号</w:t>
            </w:r>
            <w:r>
              <w:rPr>
                <w:spacing w:val="-50"/>
              </w:rPr>
              <w:t xml:space="preserve"> </w:t>
            </w:r>
            <w:r>
              <w:rPr>
                <w:spacing w:val="-2"/>
              </w:rPr>
              <w:t>为</w:t>
            </w:r>
            <w:r>
              <w:rPr>
                <w:rFonts w:ascii="Times New Roman" w:hAnsi="Times New Roman" w:eastAsia="Times New Roman" w:cs="Times New Roman"/>
              </w:rPr>
              <w:t>LGJ</w:t>
            </w:r>
            <w:r>
              <w:rPr>
                <w:rFonts w:ascii="Times New Roman" w:hAnsi="Times New Roman" w:eastAsia="Times New Roman" w:cs="Times New Roman"/>
                <w:spacing w:val="11"/>
              </w:rPr>
              <w:t>-95</w:t>
            </w:r>
            <w:r>
              <w:rPr>
                <w:rFonts w:ascii="Times New Roman" w:hAnsi="Times New Roman" w:eastAsia="Times New Roman" w:cs="Times New Roman"/>
              </w:rPr>
              <w:t>mm</w:t>
            </w:r>
            <w:r>
              <w:rPr>
                <w:rFonts w:ascii="Times New Roman" w:hAnsi="Times New Roman" w:eastAsia="Times New Roman" w:cs="Times New Roman"/>
                <w:sz w:val="13"/>
                <w:szCs w:val="13"/>
                <w:spacing w:val="11"/>
                <w:position w:val="6"/>
              </w:rPr>
              <w:t>2 </w:t>
            </w:r>
            <w:r>
              <w:rPr>
                <w:spacing w:val="11"/>
              </w:rPr>
              <w:t>，杆塔选用砼杆。可以满足矿山工</w:t>
            </w:r>
            <w:r>
              <w:rPr>
                <w:spacing w:val="10"/>
              </w:rPr>
              <w:t>业用电及生活</w:t>
            </w:r>
            <w:r>
              <w:rPr>
                <w:spacing w:val="6"/>
              </w:rPr>
              <w:t>用电需求。</w:t>
            </w:r>
          </w:p>
        </w:tc>
        <w:tc>
          <w:tcPr>
            <w:tcW w:w="1453" w:type="dxa"/>
            <w:vAlign w:val="top"/>
            <w:tcBorders>
              <w:right w:val="nil"/>
            </w:tcBorders>
          </w:tcPr>
          <w:p>
            <w:pPr>
              <w:spacing w:line="392" w:lineRule="auto"/>
              <w:rPr>
                <w:rFonts w:ascii="Arial"/>
                <w:sz w:val="21"/>
              </w:rPr>
            </w:pPr>
            <w:r/>
          </w:p>
          <w:p>
            <w:pPr>
              <w:pStyle w:val="TableText"/>
              <w:ind w:left="529"/>
              <w:spacing w:before="65" w:line="231" w:lineRule="auto"/>
              <w:rPr/>
            </w:pPr>
            <w:r>
              <w:rPr>
                <w:spacing w:val="2"/>
              </w:rPr>
              <w:t>新建</w:t>
            </w:r>
          </w:p>
        </w:tc>
      </w:tr>
      <w:tr>
        <w:trPr>
          <w:trHeight w:val="842" w:hRule="atLeast"/>
        </w:trPr>
        <w:tc>
          <w:tcPr>
            <w:tcW w:w="524" w:type="dxa"/>
            <w:vAlign w:val="top"/>
            <w:tcBorders>
              <w:left w:val="nil"/>
              <w:bottom w:val="single" w:color="000000" w:sz="10" w:space="0"/>
            </w:tcBorders>
          </w:tcPr>
          <w:p>
            <w:pPr>
              <w:pStyle w:val="TableText"/>
              <w:ind w:left="68" w:right="53" w:hanging="5"/>
              <w:spacing w:before="190" w:line="251" w:lineRule="auto"/>
              <w:rPr/>
            </w:pPr>
            <w:r>
              <w:rPr>
                <w:spacing w:val="2"/>
              </w:rPr>
              <w:t>环保</w:t>
            </w:r>
            <w:r>
              <w:rPr>
                <w:spacing w:val="-1"/>
              </w:rPr>
              <w:t>工程</w:t>
            </w:r>
          </w:p>
        </w:tc>
        <w:tc>
          <w:tcPr>
            <w:tcW w:w="1207" w:type="dxa"/>
            <w:vAlign w:val="top"/>
            <w:tcBorders>
              <w:bottom w:val="single" w:color="000000" w:sz="10" w:space="0"/>
            </w:tcBorders>
          </w:tcPr>
          <w:p>
            <w:pPr>
              <w:pStyle w:val="TableText"/>
              <w:ind w:left="300" w:right="77" w:hanging="209"/>
              <w:spacing w:before="189" w:line="251" w:lineRule="auto"/>
              <w:rPr/>
            </w:pPr>
            <w:r>
              <w:rPr>
                <w:spacing w:val="6"/>
              </w:rPr>
              <w:t>废水污染防</w:t>
            </w:r>
            <w:r>
              <w:rPr>
                <w:spacing w:val="3"/>
              </w:rPr>
              <w:t>治措施</w:t>
            </w:r>
          </w:p>
        </w:tc>
        <w:tc>
          <w:tcPr>
            <w:tcW w:w="5509" w:type="dxa"/>
            <w:vAlign w:val="top"/>
            <w:tcBorders>
              <w:bottom w:val="single" w:color="000000" w:sz="10" w:space="0"/>
            </w:tcBorders>
          </w:tcPr>
          <w:p>
            <w:pPr>
              <w:pStyle w:val="TableText"/>
              <w:ind w:left="12" w:firstLine="432"/>
              <w:spacing w:before="51"/>
              <w:jc w:val="both"/>
              <w:rPr/>
            </w:pPr>
            <w:r>
              <w:rPr>
                <w:spacing w:val="10"/>
              </w:rPr>
              <w:t>生活污水与经隔油池处理后的食堂废水排入厂区防渗储</w:t>
            </w:r>
            <w:r>
              <w:rPr>
                <w:spacing w:val="11"/>
              </w:rPr>
              <w:t>池内，定期运至内蒙古锡林郭勒盟苏尼特右旗赛汉塔拉镇污</w:t>
            </w:r>
            <w:r>
              <w:rPr>
                <w:spacing w:val="9"/>
              </w:rPr>
              <w:t>水处理厂处理处理，</w:t>
            </w:r>
            <w:r>
              <w:rPr>
                <w:spacing w:val="-44"/>
              </w:rPr>
              <w:t xml:space="preserve"> </w:t>
            </w:r>
            <w:r>
              <w:rPr>
                <w:spacing w:val="9"/>
              </w:rPr>
              <w:t>出水水质满足《城镇污水处理厂污染物</w:t>
            </w:r>
          </w:p>
        </w:tc>
        <w:tc>
          <w:tcPr>
            <w:tcW w:w="1453" w:type="dxa"/>
            <w:vAlign w:val="top"/>
            <w:tcBorders>
              <w:right w:val="nil"/>
              <w:bottom w:val="single" w:color="000000" w:sz="10" w:space="0"/>
            </w:tcBorders>
          </w:tcPr>
          <w:p>
            <w:pPr>
              <w:spacing w:line="260" w:lineRule="auto"/>
              <w:rPr>
                <w:rFonts w:ascii="Arial"/>
                <w:sz w:val="21"/>
              </w:rPr>
            </w:pPr>
            <w:r/>
          </w:p>
          <w:p>
            <w:pPr>
              <w:pStyle w:val="TableText"/>
              <w:ind w:left="529"/>
              <w:spacing w:before="65" w:line="231" w:lineRule="auto"/>
              <w:rPr/>
            </w:pPr>
            <w:r>
              <w:rPr>
                <w:spacing w:val="2"/>
              </w:rPr>
              <w:t>新建</w:t>
            </w:r>
          </w:p>
        </w:tc>
      </w:tr>
    </w:tbl>
    <w:p>
      <w:pPr>
        <w:pStyle w:val="BodyText"/>
        <w:rPr/>
      </w:pPr>
      <w:r/>
    </w:p>
    <w:p>
      <w:pPr>
        <w:sectPr>
          <w:footerReference w:type="default" r:id="rId123"/>
          <w:pgSz w:w="11911" w:h="16839"/>
          <w:pgMar w:top="400" w:right="1419" w:bottom="1146" w:left="1786" w:header="0" w:footer="984" w:gutter="0"/>
        </w:sectPr>
        <w:rPr/>
      </w:pPr>
    </w:p>
    <w:p>
      <w:pPr>
        <w:spacing w:before="13"/>
        <w:rPr/>
      </w:pPr>
      <w:r/>
    </w:p>
    <w:p>
      <w:pPr>
        <w:spacing w:before="13"/>
        <w:rPr/>
      </w:pPr>
      <w:r/>
    </w:p>
    <w:p>
      <w:pPr>
        <w:spacing w:before="13"/>
        <w:rPr/>
      </w:pPr>
      <w:r/>
    </w:p>
    <w:p>
      <w:pPr>
        <w:spacing w:before="12"/>
        <w:rPr/>
      </w:pPr>
      <w:r/>
    </w:p>
    <w:tbl>
      <w:tblPr>
        <w:tblStyle w:val="TableNormal"/>
        <w:tblW w:w="8693" w:type="dxa"/>
        <w:tblInd w:w="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4"/>
        <w:gridCol w:w="1207"/>
        <w:gridCol w:w="5510"/>
        <w:gridCol w:w="1452"/>
      </w:tblGrid>
      <w:tr>
        <w:trPr>
          <w:trHeight w:val="2707" w:hRule="atLeast"/>
        </w:trPr>
        <w:tc>
          <w:tcPr>
            <w:tcW w:w="524" w:type="dxa"/>
            <w:vAlign w:val="top"/>
            <w:vMerge w:val="restart"/>
            <w:tcBorders>
              <w:bottom w:val="nil"/>
              <w:top w:val="single" w:color="000000" w:sz="10" w:space="0"/>
              <w:left w:val="nil"/>
            </w:tcBorders>
          </w:tcPr>
          <w:p>
            <w:pPr>
              <w:rPr>
                <w:rFonts w:ascii="Arial"/>
                <w:sz w:val="21"/>
              </w:rPr>
            </w:pPr>
            <w:r/>
          </w:p>
        </w:tc>
        <w:tc>
          <w:tcPr>
            <w:tcW w:w="1207" w:type="dxa"/>
            <w:vAlign w:val="top"/>
            <w:tcBorders>
              <w:top w:val="single" w:color="000000" w:sz="10" w:space="0"/>
            </w:tcBorders>
          </w:tcPr>
          <w:p>
            <w:pPr>
              <w:rPr>
                <w:rFonts w:ascii="Arial"/>
                <w:sz w:val="21"/>
              </w:rPr>
            </w:pPr>
            <w:r/>
          </w:p>
        </w:tc>
        <w:tc>
          <w:tcPr>
            <w:tcW w:w="5510" w:type="dxa"/>
            <w:vAlign w:val="top"/>
            <w:tcBorders>
              <w:top w:val="single" w:color="000000" w:sz="10" w:space="0"/>
            </w:tcBorders>
          </w:tcPr>
          <w:p>
            <w:pPr>
              <w:pStyle w:val="TableText"/>
              <w:ind w:left="17" w:hanging="7"/>
              <w:spacing w:before="15" w:line="251" w:lineRule="auto"/>
              <w:rPr/>
            </w:pPr>
            <w:r>
              <w:rPr>
                <w:spacing w:val="6"/>
              </w:rPr>
              <w:t>排放标准》（</w:t>
            </w:r>
            <w:r>
              <w:rPr>
                <w:rFonts w:ascii="Times New Roman" w:hAnsi="Times New Roman" w:eastAsia="Times New Roman" w:cs="Times New Roman"/>
              </w:rPr>
              <w:t>GB</w:t>
            </w:r>
            <w:r>
              <w:rPr>
                <w:rFonts w:ascii="Times New Roman" w:hAnsi="Times New Roman" w:eastAsia="Times New Roman" w:cs="Times New Roman"/>
                <w:spacing w:val="6"/>
              </w:rPr>
              <w:t>18918-2002</w:t>
            </w:r>
            <w:r>
              <w:rPr>
                <w:spacing w:val="6"/>
              </w:rPr>
              <w:t>）中一级</w:t>
            </w:r>
            <w:r>
              <w:rPr>
                <w:spacing w:val="-42"/>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16"/>
              </w:rPr>
              <w:t xml:space="preserve"> </w:t>
            </w:r>
            <w:r>
              <w:rPr>
                <w:spacing w:val="6"/>
              </w:rPr>
              <w:t>标准后，排入北侧人</w:t>
            </w:r>
            <w:r>
              <w:rPr>
                <w:spacing w:val="8"/>
              </w:rPr>
              <w:t>工湖和苏尼特右旗蒙中西侧两个人工湖内；</w:t>
            </w:r>
          </w:p>
          <w:p>
            <w:pPr>
              <w:pStyle w:val="TableText"/>
              <w:ind w:left="17" w:firstLine="420"/>
              <w:spacing w:before="1" w:line="250" w:lineRule="auto"/>
              <w:rPr/>
            </w:pPr>
            <w:r>
              <w:rPr>
                <w:spacing w:val="11"/>
              </w:rPr>
              <w:t>工业广场淋溶水经截排水沟收集后进入淋溶水沉淀池沉</w:t>
            </w:r>
            <w:r>
              <w:rPr>
                <w:spacing w:val="8"/>
              </w:rPr>
              <w:t>淀处理后回用于选矿厂用水和堆场降尘，不外排：</w:t>
            </w:r>
          </w:p>
          <w:p>
            <w:pPr>
              <w:pStyle w:val="TableText"/>
              <w:ind w:left="12" w:firstLine="415"/>
              <w:spacing w:before="3" w:line="251" w:lineRule="auto"/>
              <w:rPr/>
            </w:pPr>
            <w:r>
              <w:rPr>
                <w:spacing w:val="18"/>
              </w:rPr>
              <w:t>矿井涌水经地下水仓沉淀后经潜水泵排至采区高位水</w:t>
            </w:r>
            <w:r>
              <w:rPr>
                <w:spacing w:val="7"/>
              </w:rPr>
              <w:t>池，部分矿井涌水经过采区高位水池沉淀处理后，</w:t>
            </w:r>
            <w:r>
              <w:rPr>
                <w:spacing w:val="-45"/>
              </w:rPr>
              <w:t xml:space="preserve"> </w:t>
            </w:r>
            <w:r>
              <w:rPr>
                <w:spacing w:val="7"/>
              </w:rPr>
              <w:t>回用于采</w:t>
            </w:r>
            <w:r>
              <w:rPr>
                <w:spacing w:val="9"/>
              </w:rPr>
              <w:t>矿井下凿岩、爆破降尘、各堆场、道路降尘，剩余部分矿井</w:t>
            </w:r>
            <w:r>
              <w:rPr>
                <w:spacing w:val="3"/>
              </w:rPr>
              <w:t>涌水经选厂高位水池沉淀处理后，回用于选矿用水，不外排：</w:t>
            </w:r>
          </w:p>
          <w:p>
            <w:pPr>
              <w:pStyle w:val="TableText"/>
              <w:ind w:left="12" w:firstLine="423"/>
              <w:spacing w:before="2" w:line="231" w:lineRule="auto"/>
              <w:rPr/>
            </w:pPr>
            <w:r>
              <w:rPr>
                <w:spacing w:val="11"/>
              </w:rPr>
              <w:t>选矿废水包括地面冲洗废水及选矿工艺废水，均进入选</w:t>
            </w:r>
            <w:r>
              <w:rPr>
                <w:spacing w:val="8"/>
              </w:rPr>
              <w:t>厂高位水池处理后回用于选矿用水，不外排；</w:t>
            </w:r>
          </w:p>
        </w:tc>
        <w:tc>
          <w:tcPr>
            <w:tcW w:w="1452" w:type="dxa"/>
            <w:vAlign w:val="top"/>
            <w:tcBorders>
              <w:top w:val="single" w:color="000000" w:sz="10" w:space="0"/>
              <w:right w:val="nil"/>
            </w:tcBorders>
          </w:tcPr>
          <w:p>
            <w:pPr>
              <w:rPr>
                <w:rFonts w:ascii="Arial"/>
                <w:sz w:val="21"/>
              </w:rPr>
            </w:pPr>
            <w:r/>
          </w:p>
        </w:tc>
      </w:tr>
      <w:tr>
        <w:trPr>
          <w:trHeight w:val="4898" w:hRule="atLeast"/>
        </w:trPr>
        <w:tc>
          <w:tcPr>
            <w:tcW w:w="524" w:type="dxa"/>
            <w:vAlign w:val="top"/>
            <w:vMerge w:val="continue"/>
            <w:tcBorders>
              <w:bottom w:val="nil"/>
              <w:top w:val="nil"/>
              <w:left w:val="nil"/>
            </w:tcBorders>
          </w:tcPr>
          <w:p>
            <w:pPr>
              <w:rPr>
                <w:rFonts w:ascii="Arial"/>
                <w:sz w:val="21"/>
              </w:rPr>
            </w:pPr>
            <w:r/>
          </w:p>
        </w:tc>
        <w:tc>
          <w:tcPr>
            <w:tcW w:w="1207"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00" w:right="77" w:hanging="209"/>
              <w:spacing w:before="65" w:line="253" w:lineRule="auto"/>
              <w:rPr/>
            </w:pPr>
            <w:r>
              <w:rPr>
                <w:spacing w:val="6"/>
              </w:rPr>
              <w:t>废气污染防</w:t>
            </w:r>
            <w:r>
              <w:rPr>
                <w:spacing w:val="3"/>
              </w:rPr>
              <w:t>治措施</w:t>
            </w:r>
          </w:p>
        </w:tc>
        <w:tc>
          <w:tcPr>
            <w:tcW w:w="5510" w:type="dxa"/>
            <w:vAlign w:val="top"/>
          </w:tcPr>
          <w:p>
            <w:pPr>
              <w:pStyle w:val="TableText"/>
              <w:ind w:left="16" w:firstLine="416"/>
              <w:spacing w:before="38" w:line="250" w:lineRule="auto"/>
              <w:rPr/>
            </w:pPr>
            <w:r>
              <w:rPr>
                <w:spacing w:val="11"/>
              </w:rPr>
              <w:t>地下开采采用湿式凿岩方式即喷雾洒水降尘，加强井下</w:t>
            </w:r>
            <w:r>
              <w:rPr>
                <w:spacing w:val="-1"/>
              </w:rPr>
              <w:t>通风；</w:t>
            </w:r>
          </w:p>
          <w:p>
            <w:pPr>
              <w:pStyle w:val="TableText"/>
              <w:ind w:left="14" w:firstLine="420"/>
              <w:spacing w:before="1" w:line="252" w:lineRule="auto"/>
              <w:rPr/>
            </w:pPr>
            <w:r>
              <w:rPr>
                <w:spacing w:val="11"/>
              </w:rPr>
              <w:t>对采矿区、堆场、道路等区域及爆破、贮存、装卸、运</w:t>
            </w:r>
            <w:r>
              <w:rPr>
                <w:spacing w:val="7"/>
              </w:rPr>
              <w:t>输等工序采取洒水降尘措施；</w:t>
            </w:r>
          </w:p>
          <w:p>
            <w:pPr>
              <w:pStyle w:val="TableText"/>
              <w:ind w:left="14" w:firstLine="415"/>
              <w:spacing w:before="3" w:line="250" w:lineRule="auto"/>
              <w:jc w:val="both"/>
              <w:rPr/>
            </w:pPr>
            <w:r>
              <w:rPr>
                <w:spacing w:val="3"/>
              </w:rPr>
              <w:t>在破碎、筛分、浮选车间的各生产设备上方设置集气</w:t>
            </w:r>
            <w:r>
              <w:rPr>
                <w:spacing w:val="2"/>
              </w:rPr>
              <w:t>罩，</w:t>
            </w:r>
            <w:r>
              <w:rPr>
                <w:spacing w:val="13"/>
              </w:rPr>
              <w:t>产生的粉尘和氟化物集中收集通过布袋除尘器处理后</w:t>
            </w:r>
            <w:r>
              <w:rPr>
                <w:spacing w:val="-52"/>
              </w:rPr>
              <w:t xml:space="preserve"> </w:t>
            </w:r>
            <w:r>
              <w:rPr>
                <w:spacing w:val="13"/>
              </w:rPr>
              <w:t>，</w:t>
            </w:r>
            <w:r>
              <w:rPr>
                <w:spacing w:val="-43"/>
              </w:rPr>
              <w:t xml:space="preserve"> </w:t>
            </w:r>
            <w:r>
              <w:rPr>
                <w:spacing w:val="13"/>
              </w:rPr>
              <w:t>由</w:t>
            </w:r>
            <w:r>
              <w:rPr>
                <w:rFonts w:ascii="Times New Roman" w:hAnsi="Times New Roman" w:eastAsia="Times New Roman" w:cs="Times New Roman"/>
                <w:spacing w:val="7"/>
              </w:rPr>
              <w:t>15m</w:t>
            </w:r>
            <w:r>
              <w:rPr>
                <w:rFonts w:ascii="Times New Roman" w:hAnsi="Times New Roman" w:eastAsia="Times New Roman" w:cs="Times New Roman"/>
                <w:spacing w:val="37"/>
                <w:w w:val="101"/>
              </w:rPr>
              <w:t xml:space="preserve"> </w:t>
            </w:r>
            <w:r>
              <w:rPr>
                <w:spacing w:val="7"/>
              </w:rPr>
              <w:t>高排气筒有组织排放，加强车间密闭性，减少无组织废</w:t>
            </w:r>
            <w:r>
              <w:rPr>
                <w:spacing w:val="1"/>
              </w:rPr>
              <w:t>气逸散：</w:t>
            </w:r>
          </w:p>
          <w:p>
            <w:pPr>
              <w:pStyle w:val="TableText"/>
              <w:ind w:left="22" w:firstLine="413"/>
              <w:spacing w:line="251" w:lineRule="auto"/>
              <w:rPr/>
            </w:pPr>
            <w:r>
              <w:rPr>
                <w:spacing w:val="11"/>
              </w:rPr>
              <w:t>装卸产生的扬尘采取降低物料落差、对装载的物料进行</w:t>
            </w:r>
            <w:r>
              <w:rPr>
                <w:spacing w:val="6"/>
              </w:rPr>
              <w:t>喷淋降尘等处理措施：</w:t>
            </w:r>
          </w:p>
          <w:p>
            <w:pPr>
              <w:pStyle w:val="TableText"/>
              <w:ind w:left="16" w:firstLine="417"/>
              <w:spacing w:before="3" w:line="250" w:lineRule="auto"/>
              <w:jc w:val="both"/>
              <w:rPr/>
            </w:pPr>
            <w:r>
              <w:rPr>
                <w:spacing w:val="11"/>
              </w:rPr>
              <w:t>对原矿堆场、尾矿临时堆场、成品库、表土堆场等区域</w:t>
            </w:r>
            <w:r>
              <w:rPr>
                <w:spacing w:val="9"/>
              </w:rPr>
              <w:t>要去采用钢结构厂房进行封闭设置三边采用孔隙率大于</w:t>
            </w:r>
            <w:r>
              <w:rPr>
                <w:spacing w:val="-23"/>
              </w:rPr>
              <w:t xml:space="preserve"> </w:t>
            </w:r>
            <w:r>
              <w:rPr>
                <w:rFonts w:ascii="Times New Roman" w:hAnsi="Times New Roman" w:eastAsia="Times New Roman" w:cs="Times New Roman"/>
                <w:spacing w:val="9"/>
              </w:rPr>
              <w:t>50%</w:t>
            </w:r>
            <w:r>
              <w:rPr>
                <w:spacing w:val="8"/>
              </w:rPr>
              <w:t>的围挡遮围，并定时对其进行酒水降尘等措施；</w:t>
            </w:r>
          </w:p>
          <w:p>
            <w:pPr>
              <w:pStyle w:val="TableText"/>
              <w:ind w:left="12" w:firstLine="416"/>
              <w:spacing w:before="3" w:line="251" w:lineRule="auto"/>
              <w:jc w:val="both"/>
              <w:rPr/>
            </w:pPr>
            <w:r>
              <w:rPr>
                <w:spacing w:val="3"/>
              </w:rPr>
              <w:t>粉矿仓等采用密闭结构建设，并在上方设置集气罩收集，</w:t>
            </w:r>
            <w:r>
              <w:rPr>
                <w:spacing w:val="4"/>
              </w:rPr>
              <w:t>经布袋除尘器除尘后由</w:t>
            </w:r>
            <w:r>
              <w:rPr>
                <w:spacing w:val="-3"/>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21"/>
              </w:rPr>
              <w:t xml:space="preserve"> </w:t>
            </w:r>
            <w:r>
              <w:rPr>
                <w:spacing w:val="4"/>
              </w:rPr>
              <w:t>高排气筒有组织排放，加强粉矿</w:t>
            </w:r>
            <w:r>
              <w:rPr>
                <w:spacing w:val="6"/>
              </w:rPr>
              <w:t>仓密闭性减少无组织废气逸散；</w:t>
            </w:r>
          </w:p>
          <w:p>
            <w:pPr>
              <w:pStyle w:val="TableText"/>
              <w:ind w:left="10" w:firstLine="422"/>
              <w:spacing w:line="228" w:lineRule="auto"/>
              <w:rPr/>
            </w:pPr>
            <w:r>
              <w:rPr>
                <w:spacing w:val="11"/>
              </w:rPr>
              <w:t>食堂油烟经油烟净化器处理后通过专用烟道并高出屋顶</w:t>
            </w:r>
            <w:r>
              <w:rPr>
                <w:spacing w:val="2"/>
              </w:rPr>
              <w:t>排放。</w:t>
            </w:r>
          </w:p>
        </w:tc>
        <w:tc>
          <w:tcPr>
            <w:tcW w:w="1452" w:type="dxa"/>
            <w:vAlign w:val="top"/>
            <w:tcBorders>
              <w:right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528"/>
              <w:spacing w:before="65" w:line="231" w:lineRule="auto"/>
              <w:rPr/>
            </w:pPr>
            <w:r>
              <w:rPr>
                <w:spacing w:val="2"/>
              </w:rPr>
              <w:t>新建</w:t>
            </w:r>
          </w:p>
        </w:tc>
      </w:tr>
      <w:tr>
        <w:trPr>
          <w:trHeight w:val="1363" w:hRule="atLeast"/>
        </w:trPr>
        <w:tc>
          <w:tcPr>
            <w:tcW w:w="524" w:type="dxa"/>
            <w:vAlign w:val="top"/>
            <w:vMerge w:val="continue"/>
            <w:tcBorders>
              <w:bottom w:val="nil"/>
              <w:top w:val="nil"/>
              <w:left w:val="nil"/>
            </w:tcBorders>
          </w:tcPr>
          <w:p>
            <w:pPr>
              <w:rPr>
                <w:rFonts w:ascii="Arial"/>
                <w:sz w:val="21"/>
              </w:rPr>
            </w:pPr>
            <w:r/>
          </w:p>
        </w:tc>
        <w:tc>
          <w:tcPr>
            <w:tcW w:w="1207" w:type="dxa"/>
            <w:vAlign w:val="top"/>
          </w:tcPr>
          <w:p>
            <w:pPr>
              <w:spacing w:line="385" w:lineRule="auto"/>
              <w:rPr>
                <w:rFonts w:ascii="Arial"/>
                <w:sz w:val="21"/>
              </w:rPr>
            </w:pPr>
            <w:r/>
          </w:p>
          <w:p>
            <w:pPr>
              <w:pStyle w:val="TableText"/>
              <w:ind w:left="301" w:right="77" w:hanging="203"/>
              <w:spacing w:before="65" w:line="253" w:lineRule="auto"/>
              <w:rPr/>
            </w:pPr>
            <w:r>
              <w:rPr>
                <w:spacing w:val="5"/>
              </w:rPr>
              <w:t>噪声污染防</w:t>
            </w:r>
            <w:r>
              <w:rPr>
                <w:spacing w:val="3"/>
              </w:rPr>
              <w:t>治措施</w:t>
            </w:r>
          </w:p>
        </w:tc>
        <w:tc>
          <w:tcPr>
            <w:tcW w:w="5510" w:type="dxa"/>
            <w:vAlign w:val="top"/>
          </w:tcPr>
          <w:p>
            <w:pPr>
              <w:pStyle w:val="TableText"/>
              <w:ind w:left="12" w:firstLine="415"/>
              <w:spacing w:before="46" w:line="251" w:lineRule="auto"/>
              <w:rPr/>
            </w:pPr>
            <w:r>
              <w:rPr>
                <w:spacing w:val="3"/>
              </w:rPr>
              <w:t>各类采矿设备、运输设备定期维护保养，采取隔声降噪、</w:t>
            </w:r>
            <w:r>
              <w:rPr>
                <w:spacing w:val="6"/>
              </w:rPr>
              <w:t>基础减震措施，泵类加装消声器或消音罩；</w:t>
            </w:r>
          </w:p>
          <w:p>
            <w:pPr>
              <w:pStyle w:val="TableText"/>
              <w:ind w:left="12" w:firstLine="432"/>
              <w:spacing w:before="2" w:line="234" w:lineRule="auto"/>
              <w:jc w:val="both"/>
              <w:rPr/>
            </w:pPr>
            <w:r>
              <w:rPr>
                <w:spacing w:val="11"/>
              </w:rPr>
              <w:t>空压机放置在密闭房间内：破碎机、球磨机</w:t>
            </w:r>
            <w:r>
              <w:rPr>
                <w:spacing w:val="10"/>
              </w:rPr>
              <w:t>等选矿设备</w:t>
            </w:r>
            <w:r>
              <w:rPr>
                <w:spacing w:val="11"/>
              </w:rPr>
              <w:t>设置在封闭厂房内：物料外运采取限速、禁鸣笛等措施，减</w:t>
            </w:r>
            <w:r>
              <w:rPr>
                <w:spacing w:val="7"/>
              </w:rPr>
              <w:t>轻对区域声环境的影响；</w:t>
            </w:r>
          </w:p>
        </w:tc>
        <w:tc>
          <w:tcPr>
            <w:tcW w:w="1452" w:type="dxa"/>
            <w:vAlign w:val="top"/>
            <w:tcBorders>
              <w:right w:val="nil"/>
            </w:tcBorders>
          </w:tcPr>
          <w:p>
            <w:pPr>
              <w:spacing w:line="260" w:lineRule="auto"/>
              <w:rPr>
                <w:rFonts w:ascii="Arial"/>
                <w:sz w:val="21"/>
              </w:rPr>
            </w:pPr>
            <w:r/>
          </w:p>
          <w:p>
            <w:pPr>
              <w:spacing w:line="261" w:lineRule="auto"/>
              <w:rPr>
                <w:rFonts w:ascii="Arial"/>
                <w:sz w:val="21"/>
              </w:rPr>
            </w:pPr>
            <w:r/>
          </w:p>
          <w:p>
            <w:pPr>
              <w:pStyle w:val="TableText"/>
              <w:ind w:left="528"/>
              <w:spacing w:before="65" w:line="231" w:lineRule="auto"/>
              <w:rPr/>
            </w:pPr>
            <w:r>
              <w:rPr>
                <w:spacing w:val="2"/>
              </w:rPr>
              <w:t>新建</w:t>
            </w:r>
          </w:p>
        </w:tc>
      </w:tr>
      <w:tr>
        <w:trPr>
          <w:trHeight w:val="3267" w:hRule="atLeast"/>
        </w:trPr>
        <w:tc>
          <w:tcPr>
            <w:tcW w:w="524" w:type="dxa"/>
            <w:vAlign w:val="top"/>
            <w:vMerge w:val="continue"/>
            <w:tcBorders>
              <w:bottom w:val="nil"/>
              <w:top w:val="nil"/>
              <w:left w:val="nil"/>
            </w:tcBorders>
          </w:tcPr>
          <w:p>
            <w:pPr>
              <w:rPr>
                <w:rFonts w:ascii="Arial"/>
                <w:sz w:val="21"/>
              </w:rPr>
            </w:pPr>
            <w:r/>
          </w:p>
        </w:tc>
        <w:tc>
          <w:tcPr>
            <w:tcW w:w="1207"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91" w:right="77" w:firstLine="19"/>
              <w:spacing w:before="65" w:line="253" w:lineRule="auto"/>
              <w:rPr/>
            </w:pPr>
            <w:r>
              <w:rPr>
                <w:spacing w:val="2"/>
              </w:rPr>
              <w:t>固体废物污</w:t>
            </w:r>
            <w:r>
              <w:rPr>
                <w:spacing w:val="6"/>
              </w:rPr>
              <w:t>染防治措施</w:t>
            </w:r>
          </w:p>
        </w:tc>
        <w:tc>
          <w:tcPr>
            <w:tcW w:w="5510" w:type="dxa"/>
            <w:vAlign w:val="top"/>
          </w:tcPr>
          <w:p>
            <w:pPr>
              <w:pStyle w:val="TableText"/>
              <w:ind w:left="445"/>
              <w:spacing w:before="50" w:line="230" w:lineRule="auto"/>
              <w:rPr/>
            </w:pPr>
            <w:r>
              <w:rPr>
                <w:spacing w:val="8"/>
              </w:rPr>
              <w:t>生活垃圾设置垃圾收集桶，定期交环卫部门处理：</w:t>
            </w:r>
          </w:p>
          <w:p>
            <w:pPr>
              <w:pStyle w:val="TableText"/>
              <w:ind w:left="25" w:firstLine="411"/>
              <w:spacing w:before="22" w:line="252" w:lineRule="auto"/>
              <w:rPr/>
            </w:pPr>
            <w:r>
              <w:rPr>
                <w:spacing w:val="11"/>
              </w:rPr>
              <w:t>餐厨垃圾（含废油脂）集中密闭桶装收集，交由有资质</w:t>
            </w:r>
            <w:r>
              <w:rPr>
                <w:spacing w:val="3"/>
              </w:rPr>
              <w:t>的单位处理；</w:t>
            </w:r>
          </w:p>
          <w:p>
            <w:pPr>
              <w:pStyle w:val="TableText"/>
              <w:ind w:left="434"/>
              <w:spacing w:line="231" w:lineRule="auto"/>
              <w:rPr/>
            </w:pPr>
            <w:r>
              <w:rPr>
                <w:spacing w:val="8"/>
              </w:rPr>
              <w:t>采矿废石不出井全部用于回填井下采空区；</w:t>
            </w:r>
          </w:p>
          <w:p>
            <w:pPr>
              <w:pStyle w:val="TableText"/>
              <w:ind w:left="433"/>
              <w:spacing w:before="20" w:line="229" w:lineRule="auto"/>
              <w:rPr/>
            </w:pPr>
            <w:r>
              <w:rPr>
                <w:spacing w:val="8"/>
              </w:rPr>
              <w:t>各沉淀池产生的污泥直接返回选矿工序作原料；</w:t>
            </w:r>
          </w:p>
          <w:p>
            <w:pPr>
              <w:pStyle w:val="TableText"/>
              <w:ind w:left="12" w:firstLine="420"/>
              <w:spacing w:before="24" w:line="251" w:lineRule="auto"/>
              <w:rPr/>
            </w:pPr>
            <w:r>
              <w:rPr>
                <w:spacing w:val="11"/>
              </w:rPr>
              <w:t>经压滤脱水后的尾砂临时堆存在尾矿临时堆场内，优先</w:t>
            </w:r>
            <w:r>
              <w:rPr>
                <w:spacing w:val="8"/>
              </w:rPr>
              <w:t>用于回填井下采空区，剩余外送做建筑用砂材料：</w:t>
            </w:r>
          </w:p>
          <w:p>
            <w:pPr>
              <w:pStyle w:val="TableText"/>
              <w:ind w:left="15" w:firstLine="419"/>
              <w:spacing w:before="1" w:line="251" w:lineRule="auto"/>
              <w:rPr/>
            </w:pPr>
            <w:r>
              <w:rPr>
                <w:spacing w:val="11"/>
              </w:rPr>
              <w:t>布袋除尘灰返回磨浮工序作原料：废布袋收集后交由厂</w:t>
            </w:r>
            <w:r>
              <w:rPr>
                <w:spacing w:val="5"/>
              </w:rPr>
              <w:t>家回收处理：</w:t>
            </w:r>
          </w:p>
          <w:p>
            <w:pPr>
              <w:pStyle w:val="TableText"/>
              <w:ind w:left="14" w:firstLine="420"/>
              <w:spacing w:before="2" w:line="232" w:lineRule="auto"/>
              <w:jc w:val="both"/>
              <w:rPr/>
            </w:pPr>
            <w:r>
              <w:rPr>
                <w:spacing w:val="11"/>
              </w:rPr>
              <w:t>含油抹布及劳保用品、废机油及废油桶均集中收集后暂</w:t>
            </w:r>
            <w:r>
              <w:rPr>
                <w:spacing w:val="11"/>
              </w:rPr>
              <w:t>存于危险废物贮存点内，定期送有危险废物处理资质的单位</w:t>
            </w:r>
            <w:r>
              <w:rPr>
                <w:spacing w:val="5"/>
              </w:rPr>
              <w:t>进行处理</w:t>
            </w:r>
            <w:r>
              <w:rPr>
                <w:rFonts w:ascii="Times New Roman" w:hAnsi="Times New Roman" w:eastAsia="Times New Roman" w:cs="Times New Roman"/>
                <w:spacing w:val="5"/>
              </w:rPr>
              <w:t>/</w:t>
            </w:r>
            <w:r>
              <w:rPr>
                <w:spacing w:val="5"/>
              </w:rPr>
              <w:t>处置：</w:t>
            </w:r>
          </w:p>
        </w:tc>
        <w:tc>
          <w:tcPr>
            <w:tcW w:w="1452" w:type="dxa"/>
            <w:vAlign w:val="top"/>
            <w:tcBorders>
              <w:right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528"/>
              <w:spacing w:before="65" w:line="231" w:lineRule="auto"/>
              <w:rPr/>
            </w:pPr>
            <w:r>
              <w:rPr>
                <w:spacing w:val="2"/>
              </w:rPr>
              <w:t>新建</w:t>
            </w:r>
          </w:p>
        </w:tc>
      </w:tr>
      <w:tr>
        <w:trPr>
          <w:trHeight w:val="368" w:hRule="atLeast"/>
        </w:trPr>
        <w:tc>
          <w:tcPr>
            <w:tcW w:w="524" w:type="dxa"/>
            <w:vAlign w:val="top"/>
            <w:vMerge w:val="continue"/>
            <w:tcBorders>
              <w:bottom w:val="single" w:color="000000" w:sz="10" w:space="0"/>
              <w:top w:val="nil"/>
              <w:left w:val="nil"/>
            </w:tcBorders>
          </w:tcPr>
          <w:p>
            <w:pPr>
              <w:rPr>
                <w:rFonts w:ascii="Arial"/>
                <w:sz w:val="21"/>
              </w:rPr>
            </w:pPr>
            <w:r/>
          </w:p>
        </w:tc>
        <w:tc>
          <w:tcPr>
            <w:tcW w:w="1207" w:type="dxa"/>
            <w:vAlign w:val="top"/>
            <w:tcBorders>
              <w:bottom w:val="single" w:color="000000" w:sz="10" w:space="0"/>
            </w:tcBorders>
          </w:tcPr>
          <w:p>
            <w:pPr>
              <w:pStyle w:val="TableText"/>
              <w:ind w:left="89"/>
              <w:spacing w:before="89" w:line="232" w:lineRule="auto"/>
              <w:rPr/>
            </w:pPr>
            <w:r>
              <w:rPr>
                <w:spacing w:val="7"/>
              </w:rPr>
              <w:t>事故应急池</w:t>
            </w:r>
          </w:p>
        </w:tc>
        <w:tc>
          <w:tcPr>
            <w:tcW w:w="5510" w:type="dxa"/>
            <w:vAlign w:val="top"/>
            <w:tcBorders>
              <w:bottom w:val="single" w:color="000000" w:sz="10" w:space="0"/>
            </w:tcBorders>
          </w:tcPr>
          <w:p>
            <w:pPr>
              <w:pStyle w:val="TableText"/>
              <w:ind w:left="443"/>
              <w:spacing w:before="90" w:line="228" w:lineRule="auto"/>
              <w:rPr/>
            </w:pPr>
            <w:r>
              <w:rPr>
                <w:rFonts w:ascii="Times New Roman" w:hAnsi="Times New Roman" w:eastAsia="Times New Roman" w:cs="Times New Roman"/>
                <w:spacing w:val="3"/>
              </w:rPr>
              <w:t>1</w:t>
            </w:r>
            <w:r>
              <w:rPr>
                <w:rFonts w:ascii="Times New Roman" w:hAnsi="Times New Roman" w:eastAsia="Times New Roman" w:cs="Times New Roman"/>
                <w:spacing w:val="37"/>
                <w:w w:val="101"/>
              </w:rPr>
              <w:t xml:space="preserve"> </w:t>
            </w:r>
            <w:r>
              <w:rPr>
                <w:spacing w:val="3"/>
              </w:rPr>
              <w:t>座，容积为</w:t>
            </w:r>
            <w:r>
              <w:rPr>
                <w:spacing w:val="-39"/>
              </w:rPr>
              <w:t xml:space="preserve"> </w:t>
            </w:r>
            <w:r>
              <w:rPr>
                <w:rFonts w:ascii="Times New Roman" w:hAnsi="Times New Roman" w:eastAsia="Times New Roman" w:cs="Times New Roman"/>
                <w:spacing w:val="3"/>
              </w:rPr>
              <w:t>30m</w:t>
            </w:r>
            <w:r>
              <w:rPr>
                <w:rFonts w:ascii="Times New Roman" w:hAnsi="Times New Roman" w:eastAsia="Times New Roman" w:cs="Times New Roman"/>
                <w:sz w:val="13"/>
                <w:szCs w:val="13"/>
                <w:spacing w:val="3"/>
                <w:position w:val="6"/>
              </w:rPr>
              <w:t>3</w:t>
            </w:r>
            <w:r>
              <w:rPr>
                <w:rFonts w:ascii="Times New Roman" w:hAnsi="Times New Roman" w:eastAsia="Times New Roman" w:cs="Times New Roman"/>
                <w:sz w:val="13"/>
                <w:szCs w:val="13"/>
                <w:spacing w:val="-5"/>
                <w:position w:val="6"/>
              </w:rPr>
              <w:t xml:space="preserve"> </w:t>
            </w:r>
            <w:r>
              <w:rPr>
                <w:spacing w:val="3"/>
              </w:rPr>
              <w:t>，位于磨浮车间内。</w:t>
            </w:r>
          </w:p>
        </w:tc>
        <w:tc>
          <w:tcPr>
            <w:tcW w:w="1452" w:type="dxa"/>
            <w:vAlign w:val="top"/>
            <w:tcBorders>
              <w:bottom w:val="single" w:color="000000" w:sz="10" w:space="0"/>
              <w:right w:val="nil"/>
            </w:tcBorders>
          </w:tcPr>
          <w:p>
            <w:pPr>
              <w:pStyle w:val="TableText"/>
              <w:ind w:left="528"/>
              <w:spacing w:before="89" w:line="231" w:lineRule="auto"/>
              <w:rPr/>
            </w:pPr>
            <w:r>
              <w:rPr>
                <w:spacing w:val="2"/>
              </w:rPr>
              <w:t>新建</w:t>
            </w:r>
          </w:p>
        </w:tc>
      </w:tr>
    </w:tbl>
    <w:p>
      <w:pPr>
        <w:pStyle w:val="BodyText"/>
        <w:spacing w:line="364" w:lineRule="auto"/>
        <w:rPr/>
      </w:pPr>
      <w:r/>
    </w:p>
    <w:p>
      <w:pPr>
        <w:ind w:left="17"/>
        <w:spacing w:before="91" w:line="223" w:lineRule="auto"/>
        <w:outlineLvl w:val="1"/>
        <w:rPr>
          <w:rFonts w:ascii="FangSong" w:hAnsi="FangSong" w:eastAsia="FangSong" w:cs="FangSong"/>
          <w:sz w:val="28"/>
          <w:szCs w:val="28"/>
        </w:rPr>
      </w:pPr>
      <w:bookmarkStart w:name="bookmark149" w:id="206"/>
      <w:bookmarkEnd w:id="206"/>
      <w:bookmarkStart w:name="bookmark148" w:id="207"/>
      <w:bookmarkEnd w:id="207"/>
      <w:r>
        <w:rPr>
          <w:rFonts w:ascii="Times New Roman" w:hAnsi="Times New Roman" w:eastAsia="Times New Roman" w:cs="Times New Roman"/>
          <w:sz w:val="28"/>
          <w:szCs w:val="28"/>
          <w:b/>
          <w:bCs/>
          <w:spacing w:val="-2"/>
        </w:rPr>
        <w:t>4.5  </w:t>
      </w:r>
      <w:r>
        <w:rPr>
          <w:rFonts w:ascii="FangSong" w:hAnsi="FangSong" w:eastAsia="FangSong" w:cs="FangSong"/>
          <w:sz w:val="28"/>
          <w:szCs w:val="28"/>
          <w:b/>
          <w:bCs/>
          <w:spacing w:val="-2"/>
        </w:rPr>
        <w:t>建设规模、产品方案及服务年限</w:t>
      </w:r>
    </w:p>
    <w:p>
      <w:pPr>
        <w:spacing w:before="201" w:line="222" w:lineRule="auto"/>
        <w:jc w:val="right"/>
        <w:rPr>
          <w:rFonts w:ascii="FangSong" w:hAnsi="FangSong" w:eastAsia="FangSong" w:cs="FangSong"/>
          <w:sz w:val="24"/>
          <w:szCs w:val="24"/>
        </w:rPr>
      </w:pPr>
      <w:r>
        <w:rPr>
          <w:rFonts w:ascii="FangSong" w:hAnsi="FangSong" w:eastAsia="FangSong" w:cs="FangSong"/>
          <w:sz w:val="24"/>
          <w:szCs w:val="24"/>
          <w:spacing w:val="4"/>
        </w:rPr>
        <w:t>本项目投产后矿区建设规模、产品方案及服务年限见表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4"/>
        </w:rPr>
        <w:t>4.5-1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，设计指标见表</w:t>
      </w:r>
    </w:p>
    <w:p>
      <w:pPr>
        <w:spacing w:line="222" w:lineRule="auto"/>
        <w:sectPr>
          <w:footerReference w:type="default" r:id="rId124"/>
          <w:pgSz w:w="11911" w:h="16839"/>
          <w:pgMar w:top="400" w:right="1418" w:bottom="1146" w:left="1786" w:header="0" w:footer="984" w:gutter="0"/>
        </w:sectPr>
        <w:rPr>
          <w:rFonts w:ascii="FangSong" w:hAnsi="FangSong" w:eastAsia="FangSong" w:cs="FangSong"/>
          <w:sz w:val="24"/>
          <w:szCs w:val="24"/>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112"/>
        <w:spacing w:before="78" w:line="182" w:lineRule="auto"/>
        <w:rPr>
          <w:rFonts w:ascii="FangSong" w:hAnsi="FangSong" w:eastAsia="FangSong" w:cs="FangSong"/>
          <w:sz w:val="24"/>
          <w:szCs w:val="24"/>
        </w:rPr>
      </w:pPr>
      <w:r>
        <w:rPr>
          <w:rFonts w:ascii="Times New Roman" w:hAnsi="Times New Roman" w:eastAsia="Times New Roman" w:cs="Times New Roman"/>
          <w:sz w:val="24"/>
          <w:szCs w:val="24"/>
          <w:spacing w:val="-1"/>
        </w:rPr>
        <w:t>4.5-2</w:t>
      </w:r>
      <w:r>
        <w:rPr>
          <w:rFonts w:ascii="FangSong" w:hAnsi="FangSong" w:eastAsia="FangSong" w:cs="FangSong"/>
          <w:sz w:val="24"/>
          <w:szCs w:val="24"/>
          <w:spacing w:val="-1"/>
        </w:rPr>
        <w:t>。</w:t>
      </w:r>
    </w:p>
    <w:p>
      <w:pPr>
        <w:ind w:left="1604"/>
        <w:spacing w:before="190"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4.5-1  </w:t>
      </w:r>
      <w:r>
        <w:rPr>
          <w:rFonts w:ascii="FangSong" w:hAnsi="FangSong" w:eastAsia="FangSong" w:cs="FangSong"/>
          <w:sz w:val="24"/>
          <w:szCs w:val="24"/>
          <w:b/>
          <w:bCs/>
          <w:spacing w:val="-2"/>
        </w:rPr>
        <w:t>本项目建设规模、产品方案及服</w:t>
      </w:r>
      <w:r>
        <w:rPr>
          <w:rFonts w:ascii="FangSong" w:hAnsi="FangSong" w:eastAsia="FangSong" w:cs="FangSong"/>
          <w:sz w:val="24"/>
          <w:szCs w:val="24"/>
          <w:b/>
          <w:bCs/>
          <w:spacing w:val="-3"/>
        </w:rPr>
        <w:t>务年限一览表</w:t>
      </w:r>
    </w:p>
    <w:p>
      <w:pPr>
        <w:spacing w:line="143" w:lineRule="exact"/>
        <w:rPr/>
      </w:pPr>
      <w:r/>
    </w:p>
    <w:tbl>
      <w:tblPr>
        <w:tblStyle w:val="TableNormal"/>
        <w:tblW w:w="89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2"/>
        <w:gridCol w:w="1272"/>
        <w:gridCol w:w="1273"/>
        <w:gridCol w:w="1273"/>
        <w:gridCol w:w="1273"/>
        <w:gridCol w:w="1273"/>
        <w:gridCol w:w="1273"/>
      </w:tblGrid>
      <w:tr>
        <w:trPr>
          <w:trHeight w:val="515" w:hRule="atLeast"/>
        </w:trPr>
        <w:tc>
          <w:tcPr>
            <w:tcW w:w="1272" w:type="dxa"/>
            <w:vAlign w:val="top"/>
            <w:tcBorders>
              <w:top w:val="single" w:color="000000" w:sz="10" w:space="0"/>
              <w:left w:val="nil"/>
            </w:tcBorders>
          </w:tcPr>
          <w:p>
            <w:pPr>
              <w:pStyle w:val="TableText"/>
              <w:ind w:left="439"/>
              <w:spacing w:before="154" w:line="231" w:lineRule="auto"/>
              <w:rPr/>
            </w:pPr>
            <w:r>
              <w:rPr>
                <w:spacing w:val="2"/>
              </w:rPr>
              <w:t>序号</w:t>
            </w:r>
          </w:p>
        </w:tc>
        <w:tc>
          <w:tcPr>
            <w:tcW w:w="1272" w:type="dxa"/>
            <w:vAlign w:val="top"/>
            <w:tcBorders>
              <w:top w:val="single" w:color="000000" w:sz="10" w:space="0"/>
            </w:tcBorders>
          </w:tcPr>
          <w:p>
            <w:pPr>
              <w:pStyle w:val="TableText"/>
              <w:ind w:left="439"/>
              <w:spacing w:before="154" w:line="232" w:lineRule="auto"/>
              <w:rPr/>
            </w:pPr>
            <w:r>
              <w:rPr/>
              <w:t>类别</w:t>
            </w:r>
          </w:p>
        </w:tc>
        <w:tc>
          <w:tcPr>
            <w:tcW w:w="1273" w:type="dxa"/>
            <w:vAlign w:val="top"/>
            <w:tcBorders>
              <w:top w:val="single" w:color="000000" w:sz="10" w:space="0"/>
            </w:tcBorders>
          </w:tcPr>
          <w:p>
            <w:pPr>
              <w:pStyle w:val="TableText"/>
              <w:ind w:left="227"/>
              <w:spacing w:before="34" w:line="231" w:lineRule="auto"/>
              <w:rPr/>
            </w:pPr>
            <w:r>
              <w:rPr>
                <w:spacing w:val="6"/>
              </w:rPr>
              <w:t>设计规模</w:t>
            </w:r>
          </w:p>
          <w:p>
            <w:pPr>
              <w:ind w:left="523"/>
              <w:spacing w:before="38"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t/d</w:t>
            </w:r>
          </w:p>
        </w:tc>
        <w:tc>
          <w:tcPr>
            <w:tcW w:w="1273" w:type="dxa"/>
            <w:vAlign w:val="top"/>
            <w:tcBorders>
              <w:top w:val="single" w:color="000000" w:sz="10" w:space="0"/>
            </w:tcBorders>
          </w:tcPr>
          <w:p>
            <w:pPr>
              <w:pStyle w:val="TableText"/>
              <w:ind w:left="226"/>
              <w:spacing w:before="34" w:line="231" w:lineRule="auto"/>
              <w:rPr/>
            </w:pPr>
            <w:r>
              <w:rPr>
                <w:spacing w:val="6"/>
              </w:rPr>
              <w:t>服务年限</w:t>
            </w:r>
          </w:p>
          <w:p>
            <w:pPr>
              <w:ind w:left="595"/>
              <w:spacing w:before="88" w:line="13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a</w:t>
            </w:r>
          </w:p>
        </w:tc>
        <w:tc>
          <w:tcPr>
            <w:tcW w:w="1273" w:type="dxa"/>
            <w:vAlign w:val="top"/>
            <w:tcBorders>
              <w:top w:val="single" w:color="000000" w:sz="10" w:space="0"/>
            </w:tcBorders>
          </w:tcPr>
          <w:p>
            <w:pPr>
              <w:pStyle w:val="TableText"/>
              <w:ind w:left="229"/>
              <w:spacing w:before="155" w:line="229" w:lineRule="auto"/>
              <w:rPr/>
            </w:pPr>
            <w:r>
              <w:rPr>
                <w:spacing w:val="5"/>
              </w:rPr>
              <w:t>产品名称</w:t>
            </w:r>
          </w:p>
        </w:tc>
        <w:tc>
          <w:tcPr>
            <w:tcW w:w="1273" w:type="dxa"/>
            <w:vAlign w:val="top"/>
            <w:tcBorders>
              <w:top w:val="single" w:color="000000" w:sz="10" w:space="0"/>
            </w:tcBorders>
          </w:tcPr>
          <w:p>
            <w:pPr>
              <w:pStyle w:val="TableText"/>
              <w:ind w:left="437"/>
              <w:spacing w:before="35" w:line="232" w:lineRule="auto"/>
              <w:rPr/>
            </w:pPr>
            <w:r>
              <w:rPr>
                <w:spacing w:val="1"/>
              </w:rPr>
              <w:t>产量</w:t>
            </w:r>
          </w:p>
          <w:p>
            <w:pPr>
              <w:ind w:left="529"/>
              <w:spacing w:before="37"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1273" w:type="dxa"/>
            <w:vAlign w:val="top"/>
            <w:tcBorders>
              <w:top w:val="single" w:color="000000" w:sz="10" w:space="0"/>
              <w:right w:val="nil"/>
            </w:tcBorders>
          </w:tcPr>
          <w:p>
            <w:pPr>
              <w:pStyle w:val="TableText"/>
              <w:ind w:left="436"/>
              <w:spacing w:before="154" w:line="231" w:lineRule="auto"/>
              <w:rPr/>
            </w:pPr>
            <w:r>
              <w:rPr>
                <w:spacing w:val="2"/>
              </w:rPr>
              <w:t>规格</w:t>
            </w:r>
          </w:p>
        </w:tc>
      </w:tr>
      <w:tr>
        <w:trPr>
          <w:trHeight w:val="540" w:hRule="atLeast"/>
        </w:trPr>
        <w:tc>
          <w:tcPr>
            <w:tcW w:w="1272" w:type="dxa"/>
            <w:vAlign w:val="top"/>
            <w:tcBorders>
              <w:left w:val="nil"/>
            </w:tcBorders>
          </w:tcPr>
          <w:p>
            <w:pPr>
              <w:ind w:left="608"/>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2" w:type="dxa"/>
            <w:vAlign w:val="top"/>
          </w:tcPr>
          <w:p>
            <w:pPr>
              <w:pStyle w:val="TableText"/>
              <w:ind w:left="438"/>
              <w:spacing w:before="174" w:line="231" w:lineRule="auto"/>
              <w:rPr/>
            </w:pPr>
            <w:r>
              <w:rPr>
                <w:spacing w:val="1"/>
              </w:rPr>
              <w:t>采矿</w:t>
            </w:r>
          </w:p>
        </w:tc>
        <w:tc>
          <w:tcPr>
            <w:tcW w:w="1273" w:type="dxa"/>
            <w:vAlign w:val="top"/>
          </w:tcPr>
          <w:p>
            <w:pPr>
              <w:ind w:left="352"/>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333.33</w:t>
            </w:r>
          </w:p>
        </w:tc>
        <w:tc>
          <w:tcPr>
            <w:tcW w:w="1273" w:type="dxa"/>
            <w:vAlign w:val="top"/>
          </w:tcPr>
          <w:p>
            <w:pPr>
              <w:pStyle w:val="TableText"/>
              <w:ind w:left="233" w:right="111" w:hanging="102"/>
              <w:spacing w:before="38" w:line="227" w:lineRule="auto"/>
              <w:rPr/>
            </w:pPr>
            <w:r>
              <w:rPr>
                <w:rFonts w:ascii="Times New Roman" w:hAnsi="Times New Roman" w:eastAsia="Times New Roman" w:cs="Times New Roman"/>
                <w:spacing w:val="4"/>
              </w:rPr>
              <w:t>10</w:t>
            </w:r>
            <w:r>
              <w:rPr>
                <w:spacing w:val="4"/>
              </w:rPr>
              <w:t>（含基建</w:t>
            </w:r>
            <w:r>
              <w:rPr>
                <w:spacing w:val="-2"/>
              </w:rPr>
              <w:t>期</w:t>
            </w:r>
            <w:r>
              <w:rPr>
                <w:spacing w:val="-23"/>
              </w:rPr>
              <w:t xml:space="preserve"> </w:t>
            </w:r>
            <w:r>
              <w:rPr>
                <w:rFonts w:ascii="Times New Roman" w:hAnsi="Times New Roman" w:eastAsia="Times New Roman" w:cs="Times New Roman"/>
                <w:spacing w:val="-2"/>
              </w:rPr>
              <w:t>1.5a</w:t>
            </w:r>
            <w:r>
              <w:rPr>
                <w:spacing w:val="-2"/>
              </w:rPr>
              <w:t>）</w:t>
            </w:r>
          </w:p>
        </w:tc>
        <w:tc>
          <w:tcPr>
            <w:tcW w:w="1273" w:type="dxa"/>
            <w:vAlign w:val="top"/>
          </w:tcPr>
          <w:p>
            <w:pPr>
              <w:pStyle w:val="TableText"/>
              <w:ind w:left="338"/>
              <w:spacing w:before="175" w:line="232" w:lineRule="auto"/>
              <w:rPr/>
            </w:pPr>
            <w:r>
              <w:rPr>
                <w:spacing w:val="2"/>
              </w:rPr>
              <w:t>萤石矿</w:t>
            </w:r>
          </w:p>
        </w:tc>
        <w:tc>
          <w:tcPr>
            <w:tcW w:w="1273" w:type="dxa"/>
            <w:vAlign w:val="top"/>
          </w:tcPr>
          <w:p>
            <w:pPr>
              <w:ind w:left="343"/>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1273" w:type="dxa"/>
            <w:vAlign w:val="top"/>
            <w:tcBorders>
              <w:right w:val="nil"/>
            </w:tcBorders>
          </w:tcPr>
          <w:p>
            <w:pPr>
              <w:pStyle w:val="TableText"/>
              <w:ind w:left="205"/>
              <w:spacing w:before="55" w:line="230" w:lineRule="auto"/>
              <w:rPr/>
            </w:pPr>
            <w:r>
              <w:rPr>
                <w:rFonts w:ascii="Times New Roman" w:hAnsi="Times New Roman" w:eastAsia="Times New Roman" w:cs="Times New Roman"/>
              </w:rPr>
              <w:t>CaF</w:t>
            </w:r>
            <w:r>
              <w:rPr>
                <w:rFonts w:ascii="Times New Roman" w:hAnsi="Times New Roman" w:eastAsia="Times New Roman" w:cs="Times New Roman"/>
                <w:sz w:val="13"/>
                <w:szCs w:val="13"/>
                <w:position w:val="-1"/>
              </w:rPr>
              <w:t>2  </w:t>
            </w:r>
            <w:r>
              <w:rPr/>
              <w:t>品位</w:t>
            </w:r>
          </w:p>
          <w:p>
            <w:pPr>
              <w:ind w:left="314"/>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40.70%</w:t>
            </w:r>
          </w:p>
        </w:tc>
      </w:tr>
      <w:tr>
        <w:trPr>
          <w:trHeight w:val="535" w:hRule="atLeast"/>
        </w:trPr>
        <w:tc>
          <w:tcPr>
            <w:tcW w:w="1272" w:type="dxa"/>
            <w:vAlign w:val="top"/>
            <w:tcBorders>
              <w:bottom w:val="single" w:color="000000" w:sz="10" w:space="0"/>
              <w:left w:val="nil"/>
            </w:tcBorders>
          </w:tcPr>
          <w:p>
            <w:pPr>
              <w:ind w:left="58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72" w:type="dxa"/>
            <w:vAlign w:val="top"/>
            <w:tcBorders>
              <w:bottom w:val="single" w:color="000000" w:sz="10" w:space="0"/>
            </w:tcBorders>
          </w:tcPr>
          <w:p>
            <w:pPr>
              <w:pStyle w:val="TableText"/>
              <w:ind w:left="439"/>
              <w:spacing w:before="170" w:line="232" w:lineRule="auto"/>
              <w:rPr/>
            </w:pPr>
            <w:r>
              <w:rPr/>
              <w:t>选矿</w:t>
            </w:r>
          </w:p>
        </w:tc>
        <w:tc>
          <w:tcPr>
            <w:tcW w:w="1273" w:type="dxa"/>
            <w:vAlign w:val="top"/>
            <w:tcBorders>
              <w:bottom w:val="single" w:color="000000" w:sz="10" w:space="0"/>
            </w:tcBorders>
          </w:tcPr>
          <w:p>
            <w:pPr>
              <w:ind w:left="36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123.83</w:t>
            </w:r>
          </w:p>
        </w:tc>
        <w:tc>
          <w:tcPr>
            <w:tcW w:w="1273" w:type="dxa"/>
            <w:vAlign w:val="top"/>
            <w:tcBorders>
              <w:bottom w:val="single" w:color="000000" w:sz="10" w:space="0"/>
            </w:tcBorders>
          </w:tcPr>
          <w:p>
            <w:pPr>
              <w:ind w:left="55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273" w:type="dxa"/>
            <w:vAlign w:val="top"/>
            <w:tcBorders>
              <w:bottom w:val="single" w:color="000000" w:sz="10" w:space="0"/>
            </w:tcBorders>
          </w:tcPr>
          <w:p>
            <w:pPr>
              <w:pStyle w:val="TableText"/>
              <w:ind w:left="234"/>
              <w:spacing w:before="169" w:line="231" w:lineRule="auto"/>
              <w:rPr/>
            </w:pPr>
            <w:r>
              <w:rPr>
                <w:spacing w:val="4"/>
              </w:rPr>
              <w:t>萤石精矿</w:t>
            </w:r>
          </w:p>
        </w:tc>
        <w:tc>
          <w:tcPr>
            <w:tcW w:w="1273" w:type="dxa"/>
            <w:vAlign w:val="top"/>
            <w:tcBorders>
              <w:bottom w:val="single" w:color="000000" w:sz="10" w:space="0"/>
            </w:tcBorders>
          </w:tcPr>
          <w:p>
            <w:pPr>
              <w:ind w:left="38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37510</w:t>
            </w:r>
          </w:p>
        </w:tc>
        <w:tc>
          <w:tcPr>
            <w:tcW w:w="1273" w:type="dxa"/>
            <w:vAlign w:val="top"/>
            <w:tcBorders>
              <w:bottom w:val="single" w:color="000000" w:sz="10" w:space="0"/>
              <w:right w:val="nil"/>
            </w:tcBorders>
          </w:tcPr>
          <w:p>
            <w:pPr>
              <w:pStyle w:val="TableText"/>
              <w:ind w:left="205"/>
              <w:spacing w:before="50" w:line="230" w:lineRule="auto"/>
              <w:rPr/>
            </w:pPr>
            <w:r>
              <w:rPr>
                <w:rFonts w:ascii="Times New Roman" w:hAnsi="Times New Roman" w:eastAsia="Times New Roman" w:cs="Times New Roman"/>
              </w:rPr>
              <w:t>CaF</w:t>
            </w:r>
            <w:r>
              <w:rPr>
                <w:rFonts w:ascii="Times New Roman" w:hAnsi="Times New Roman" w:eastAsia="Times New Roman" w:cs="Times New Roman"/>
                <w:sz w:val="13"/>
                <w:szCs w:val="13"/>
                <w:position w:val="-1"/>
              </w:rPr>
              <w:t>2  </w:t>
            </w:r>
            <w:r>
              <w:rPr/>
              <w:t>品位</w:t>
            </w:r>
          </w:p>
          <w:p>
            <w:pPr>
              <w:ind w:left="31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96.62%</w:t>
            </w:r>
          </w:p>
        </w:tc>
      </w:tr>
    </w:tbl>
    <w:p>
      <w:pPr>
        <w:pStyle w:val="BodyText"/>
        <w:spacing w:line="371" w:lineRule="auto"/>
        <w:rPr/>
      </w:pPr>
      <w:r/>
    </w:p>
    <w:p>
      <w:pPr>
        <w:ind w:left="3049"/>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4.5-2  </w:t>
      </w:r>
      <w:r>
        <w:rPr>
          <w:rFonts w:ascii="FangSong" w:hAnsi="FangSong" w:eastAsia="FangSong" w:cs="FangSong"/>
          <w:sz w:val="24"/>
          <w:szCs w:val="24"/>
          <w:b/>
          <w:bCs/>
          <w:spacing w:val="-3"/>
        </w:rPr>
        <w:t>本项目设计指标表</w:t>
      </w:r>
    </w:p>
    <w:p>
      <w:pPr>
        <w:spacing w:line="141"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6"/>
        <w:gridCol w:w="1448"/>
        <w:gridCol w:w="1773"/>
        <w:gridCol w:w="2127"/>
        <w:gridCol w:w="2138"/>
      </w:tblGrid>
      <w:tr>
        <w:trPr>
          <w:trHeight w:val="395" w:hRule="atLeast"/>
        </w:trPr>
        <w:tc>
          <w:tcPr>
            <w:tcW w:w="1426" w:type="dxa"/>
            <w:vAlign w:val="top"/>
            <w:tcBorders>
              <w:left w:val="nil"/>
              <w:top w:val="single" w:color="000000" w:sz="10" w:space="0"/>
            </w:tcBorders>
          </w:tcPr>
          <w:p>
            <w:pPr>
              <w:pStyle w:val="TableText"/>
              <w:ind w:left="308"/>
              <w:spacing w:before="94" w:line="229" w:lineRule="auto"/>
              <w:rPr/>
            </w:pPr>
            <w:r>
              <w:rPr>
                <w:spacing w:val="5"/>
              </w:rPr>
              <w:t>产品名称</w:t>
            </w:r>
          </w:p>
        </w:tc>
        <w:tc>
          <w:tcPr>
            <w:tcW w:w="1448" w:type="dxa"/>
            <w:vAlign w:val="top"/>
            <w:tcBorders>
              <w:top w:val="single" w:color="000000" w:sz="10" w:space="0"/>
            </w:tcBorders>
          </w:tcPr>
          <w:p>
            <w:pPr>
              <w:pStyle w:val="TableText"/>
              <w:ind w:left="229"/>
              <w:spacing w:before="93" w:line="232" w:lineRule="auto"/>
              <w:rPr/>
            </w:pPr>
            <w:r>
              <w:rPr>
                <w:spacing w:val="4"/>
              </w:rPr>
              <w:t>产率（</w:t>
            </w:r>
            <w:r>
              <w:rPr>
                <w:rFonts w:ascii="Times New Roman" w:hAnsi="Times New Roman" w:eastAsia="Times New Roman" w:cs="Times New Roman"/>
                <w:spacing w:val="4"/>
              </w:rPr>
              <w:t>%</w:t>
            </w:r>
            <w:r>
              <w:rPr>
                <w:spacing w:val="4"/>
              </w:rPr>
              <w:t>）</w:t>
            </w:r>
          </w:p>
        </w:tc>
        <w:tc>
          <w:tcPr>
            <w:tcW w:w="1773" w:type="dxa"/>
            <w:vAlign w:val="top"/>
            <w:tcBorders>
              <w:top w:val="single" w:color="000000" w:sz="10" w:space="0"/>
            </w:tcBorders>
          </w:tcPr>
          <w:p>
            <w:pPr>
              <w:pStyle w:val="TableText"/>
              <w:ind w:left="158"/>
              <w:spacing w:before="94" w:line="230" w:lineRule="auto"/>
              <w:rPr/>
            </w:pPr>
            <w:r>
              <w:rPr>
                <w:rFonts w:ascii="Times New Roman" w:hAnsi="Times New Roman" w:eastAsia="Times New Roman" w:cs="Times New Roman"/>
              </w:rPr>
              <w:t>CaF</w:t>
            </w:r>
            <w:r>
              <w:rPr>
                <w:rFonts w:ascii="Times New Roman" w:hAnsi="Times New Roman" w:eastAsia="Times New Roman" w:cs="Times New Roman"/>
                <w:sz w:val="13"/>
                <w:szCs w:val="13"/>
                <w:spacing w:val="2"/>
                <w:position w:val="-1"/>
              </w:rPr>
              <w:t>2  </w:t>
            </w:r>
            <w:r>
              <w:rPr>
                <w:spacing w:val="2"/>
              </w:rPr>
              <w:t>品位（</w:t>
            </w:r>
            <w:r>
              <w:rPr>
                <w:rFonts w:ascii="Times New Roman" w:hAnsi="Times New Roman" w:eastAsia="Times New Roman" w:cs="Times New Roman"/>
                <w:spacing w:val="2"/>
              </w:rPr>
              <w:t>%</w:t>
            </w:r>
            <w:r>
              <w:rPr>
                <w:spacing w:val="2"/>
              </w:rPr>
              <w:t>）</w:t>
            </w:r>
          </w:p>
        </w:tc>
        <w:tc>
          <w:tcPr>
            <w:tcW w:w="2127" w:type="dxa"/>
            <w:vAlign w:val="top"/>
            <w:tcBorders>
              <w:top w:val="single" w:color="000000" w:sz="10" w:space="0"/>
            </w:tcBorders>
          </w:tcPr>
          <w:p>
            <w:pPr>
              <w:pStyle w:val="TableText"/>
              <w:ind w:left="230"/>
              <w:spacing w:before="93" w:line="232" w:lineRule="auto"/>
              <w:rPr/>
            </w:pPr>
            <w:r>
              <w:rPr>
                <w:rFonts w:ascii="Times New Roman" w:hAnsi="Times New Roman" w:eastAsia="Times New Roman" w:cs="Times New Roman"/>
              </w:rPr>
              <w:t>CaF</w:t>
            </w:r>
            <w:r>
              <w:rPr>
                <w:rFonts w:ascii="Times New Roman" w:hAnsi="Times New Roman" w:eastAsia="Times New Roman" w:cs="Times New Roman"/>
                <w:sz w:val="13"/>
                <w:szCs w:val="13"/>
                <w:spacing w:val="3"/>
                <w:position w:val="-1"/>
              </w:rPr>
              <w:t>2  </w:t>
            </w:r>
            <w:r>
              <w:rPr>
                <w:spacing w:val="3"/>
              </w:rPr>
              <w:t>回收率（</w:t>
            </w:r>
            <w:r>
              <w:rPr>
                <w:rFonts w:ascii="Times New Roman" w:hAnsi="Times New Roman" w:eastAsia="Times New Roman" w:cs="Times New Roman"/>
                <w:spacing w:val="3"/>
              </w:rPr>
              <w:t>%</w:t>
            </w:r>
            <w:r>
              <w:rPr>
                <w:spacing w:val="3"/>
              </w:rPr>
              <w:t>）</w:t>
            </w:r>
          </w:p>
        </w:tc>
        <w:tc>
          <w:tcPr>
            <w:tcW w:w="2138" w:type="dxa"/>
            <w:vAlign w:val="top"/>
            <w:tcBorders>
              <w:right w:val="nil"/>
              <w:top w:val="single" w:color="000000" w:sz="10" w:space="0"/>
            </w:tcBorders>
          </w:tcPr>
          <w:p>
            <w:pPr>
              <w:pStyle w:val="TableText"/>
              <w:ind w:left="557"/>
              <w:spacing w:before="94" w:line="232" w:lineRule="auto"/>
              <w:rPr/>
            </w:pPr>
            <w:r>
              <w:rPr>
                <w:spacing w:val="3"/>
              </w:rPr>
              <w:t>产量（</w:t>
            </w:r>
            <w:r>
              <w:rPr>
                <w:rFonts w:ascii="Times New Roman" w:hAnsi="Times New Roman" w:eastAsia="Times New Roman" w:cs="Times New Roman"/>
                <w:spacing w:val="3"/>
              </w:rPr>
              <w:t>t/a</w:t>
            </w:r>
            <w:r>
              <w:rPr>
                <w:spacing w:val="3"/>
              </w:rPr>
              <w:t>）</w:t>
            </w:r>
          </w:p>
        </w:tc>
      </w:tr>
      <w:tr>
        <w:trPr>
          <w:trHeight w:val="410" w:hRule="atLeast"/>
        </w:trPr>
        <w:tc>
          <w:tcPr>
            <w:tcW w:w="1426" w:type="dxa"/>
            <w:vAlign w:val="top"/>
            <w:tcBorders>
              <w:left w:val="nil"/>
            </w:tcBorders>
          </w:tcPr>
          <w:p>
            <w:pPr>
              <w:pStyle w:val="TableText"/>
              <w:ind w:left="313"/>
              <w:spacing w:before="103" w:line="232" w:lineRule="auto"/>
              <w:rPr/>
            </w:pPr>
            <w:r>
              <w:rPr>
                <w:spacing w:val="4"/>
              </w:rPr>
              <w:t>萤石原矿</w:t>
            </w:r>
          </w:p>
        </w:tc>
        <w:tc>
          <w:tcPr>
            <w:tcW w:w="1448" w:type="dxa"/>
            <w:vAlign w:val="top"/>
          </w:tcPr>
          <w:p>
            <w:pPr>
              <w:ind w:left="456"/>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773" w:type="dxa"/>
            <w:vAlign w:val="top"/>
          </w:tcPr>
          <w:p>
            <w:pPr>
              <w:ind w:left="650"/>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40.70</w:t>
            </w:r>
          </w:p>
        </w:tc>
        <w:tc>
          <w:tcPr>
            <w:tcW w:w="2127" w:type="dxa"/>
            <w:vAlign w:val="top"/>
          </w:tcPr>
          <w:p>
            <w:pPr>
              <w:ind w:left="797"/>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2138" w:type="dxa"/>
            <w:vAlign w:val="top"/>
            <w:tcBorders>
              <w:right w:val="nil"/>
            </w:tcBorders>
          </w:tcPr>
          <w:p>
            <w:pPr>
              <w:ind w:left="777"/>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r>
      <w:tr>
        <w:trPr>
          <w:trHeight w:val="410" w:hRule="atLeast"/>
        </w:trPr>
        <w:tc>
          <w:tcPr>
            <w:tcW w:w="1426" w:type="dxa"/>
            <w:vAlign w:val="top"/>
            <w:tcBorders>
              <w:left w:val="nil"/>
            </w:tcBorders>
          </w:tcPr>
          <w:p>
            <w:pPr>
              <w:pStyle w:val="TableText"/>
              <w:ind w:left="517"/>
              <w:spacing w:before="109" w:line="232" w:lineRule="auto"/>
              <w:rPr/>
            </w:pPr>
            <w:r>
              <w:rPr>
                <w:spacing w:val="1"/>
              </w:rPr>
              <w:t>尾矿</w:t>
            </w:r>
          </w:p>
        </w:tc>
        <w:tc>
          <w:tcPr>
            <w:tcW w:w="1448" w:type="dxa"/>
            <w:vAlign w:val="top"/>
          </w:tcPr>
          <w:p>
            <w:pPr>
              <w:ind w:left="49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62.49</w:t>
            </w:r>
          </w:p>
        </w:tc>
        <w:tc>
          <w:tcPr>
            <w:tcW w:w="1773" w:type="dxa"/>
            <w:vAlign w:val="top"/>
          </w:tcPr>
          <w:p>
            <w:pPr>
              <w:ind w:left="70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7.13</w:t>
            </w:r>
          </w:p>
        </w:tc>
        <w:tc>
          <w:tcPr>
            <w:tcW w:w="2127" w:type="dxa"/>
            <w:vAlign w:val="top"/>
          </w:tcPr>
          <w:p>
            <w:pPr>
              <w:ind w:left="84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10.95</w:t>
            </w:r>
          </w:p>
        </w:tc>
        <w:tc>
          <w:tcPr>
            <w:tcW w:w="2138" w:type="dxa"/>
            <w:vAlign w:val="top"/>
            <w:tcBorders>
              <w:right w:val="nil"/>
            </w:tcBorders>
          </w:tcPr>
          <w:p>
            <w:pPr>
              <w:ind w:left="812"/>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62490</w:t>
            </w:r>
          </w:p>
        </w:tc>
      </w:tr>
      <w:tr>
        <w:trPr>
          <w:trHeight w:val="370" w:hRule="atLeast"/>
        </w:trPr>
        <w:tc>
          <w:tcPr>
            <w:tcW w:w="1426" w:type="dxa"/>
            <w:vAlign w:val="top"/>
            <w:tcBorders>
              <w:left w:val="nil"/>
            </w:tcBorders>
          </w:tcPr>
          <w:p>
            <w:pPr>
              <w:pStyle w:val="TableText"/>
              <w:ind w:left="313"/>
              <w:spacing w:before="92" w:line="231" w:lineRule="auto"/>
              <w:rPr/>
            </w:pPr>
            <w:r>
              <w:rPr>
                <w:spacing w:val="4"/>
              </w:rPr>
              <w:t>萤石精矿</w:t>
            </w:r>
          </w:p>
        </w:tc>
        <w:tc>
          <w:tcPr>
            <w:tcW w:w="1448" w:type="dxa"/>
            <w:vAlign w:val="top"/>
          </w:tcPr>
          <w:p>
            <w:pPr>
              <w:ind w:left="49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37.51</w:t>
            </w:r>
          </w:p>
        </w:tc>
        <w:tc>
          <w:tcPr>
            <w:tcW w:w="1773" w:type="dxa"/>
            <w:vAlign w:val="top"/>
          </w:tcPr>
          <w:p>
            <w:pPr>
              <w:ind w:left="65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96.62</w:t>
            </w:r>
          </w:p>
        </w:tc>
        <w:tc>
          <w:tcPr>
            <w:tcW w:w="2127" w:type="dxa"/>
            <w:vAlign w:val="top"/>
          </w:tcPr>
          <w:p>
            <w:pPr>
              <w:ind w:left="83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89.05</w:t>
            </w:r>
          </w:p>
        </w:tc>
        <w:tc>
          <w:tcPr>
            <w:tcW w:w="2138" w:type="dxa"/>
            <w:vAlign w:val="top"/>
            <w:tcBorders>
              <w:right w:val="nil"/>
            </w:tcBorders>
          </w:tcPr>
          <w:p>
            <w:pPr>
              <w:ind w:left="81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37510</w:t>
            </w:r>
          </w:p>
        </w:tc>
      </w:tr>
      <w:tr>
        <w:trPr>
          <w:trHeight w:val="433" w:hRule="atLeast"/>
        </w:trPr>
        <w:tc>
          <w:tcPr>
            <w:tcW w:w="1426" w:type="dxa"/>
            <w:vAlign w:val="top"/>
            <w:tcBorders>
              <w:left w:val="nil"/>
              <w:bottom w:val="single" w:color="000000" w:sz="10" w:space="0"/>
            </w:tcBorders>
          </w:tcPr>
          <w:p>
            <w:pPr>
              <w:pStyle w:val="TableText"/>
              <w:ind w:left="307"/>
              <w:spacing w:before="118" w:line="231" w:lineRule="auto"/>
              <w:rPr/>
            </w:pPr>
            <w:r>
              <w:rPr>
                <w:spacing w:val="5"/>
              </w:rPr>
              <w:t>精矿选比</w:t>
            </w:r>
          </w:p>
        </w:tc>
        <w:tc>
          <w:tcPr>
            <w:tcW w:w="7486" w:type="dxa"/>
            <w:vAlign w:val="top"/>
            <w:gridSpan w:val="4"/>
            <w:tcBorders>
              <w:right w:val="nil"/>
              <w:bottom w:val="single" w:color="000000" w:sz="10" w:space="0"/>
            </w:tcBorders>
          </w:tcPr>
          <w:p>
            <w:pPr>
              <w:ind w:left="356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3.75</w:t>
            </w:r>
          </w:p>
        </w:tc>
      </w:tr>
    </w:tbl>
    <w:p>
      <w:pPr>
        <w:pStyle w:val="BodyText"/>
        <w:spacing w:line="361" w:lineRule="auto"/>
        <w:rPr/>
      </w:pPr>
      <w:r/>
    </w:p>
    <w:p>
      <w:pPr>
        <w:ind w:left="115"/>
        <w:spacing w:before="91" w:line="221" w:lineRule="auto"/>
        <w:outlineLvl w:val="1"/>
        <w:rPr>
          <w:rFonts w:ascii="FangSong" w:hAnsi="FangSong" w:eastAsia="FangSong" w:cs="FangSong"/>
          <w:sz w:val="28"/>
          <w:szCs w:val="28"/>
        </w:rPr>
      </w:pPr>
      <w:bookmarkStart w:name="bookmark151" w:id="208"/>
      <w:bookmarkEnd w:id="208"/>
      <w:bookmarkStart w:name="bookmark150" w:id="209"/>
      <w:bookmarkEnd w:id="209"/>
      <w:r>
        <w:rPr>
          <w:rFonts w:ascii="Times New Roman" w:hAnsi="Times New Roman" w:eastAsia="Times New Roman" w:cs="Times New Roman"/>
          <w:sz w:val="28"/>
          <w:szCs w:val="28"/>
          <w:b/>
          <w:bCs/>
          <w:spacing w:val="-5"/>
        </w:rPr>
        <w:t>4.6</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5"/>
        </w:rPr>
        <w:t>主要原辅材料</w:t>
      </w:r>
    </w:p>
    <w:p>
      <w:pPr>
        <w:ind w:left="605"/>
        <w:spacing w:before="204" w:line="220" w:lineRule="auto"/>
        <w:rPr>
          <w:rFonts w:ascii="FangSong" w:hAnsi="FangSong" w:eastAsia="FangSong" w:cs="FangSong"/>
          <w:sz w:val="24"/>
          <w:szCs w:val="24"/>
        </w:rPr>
      </w:pPr>
      <w:r>
        <w:rPr>
          <w:rFonts w:ascii="FangSong" w:hAnsi="FangSong" w:eastAsia="FangSong" w:cs="FangSong"/>
          <w:sz w:val="24"/>
          <w:szCs w:val="24"/>
          <w:spacing w:val="-1"/>
        </w:rPr>
        <w:t>根据建设单位提供资料，本项目主要原辅材料消耗情况见表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4.6-1</w:t>
      </w:r>
      <w:r>
        <w:rPr>
          <w:rFonts w:ascii="FangSong" w:hAnsi="FangSong" w:eastAsia="FangSong" w:cs="FangSong"/>
          <w:sz w:val="24"/>
          <w:szCs w:val="24"/>
          <w:spacing w:val="-1"/>
        </w:rPr>
        <w:t>。</w:t>
      </w:r>
    </w:p>
    <w:p>
      <w:pPr>
        <w:ind w:left="2084"/>
        <w:spacing w:before="182" w:line="220"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4.6-1  </w:t>
      </w:r>
      <w:r>
        <w:rPr>
          <w:rFonts w:ascii="FangSong" w:hAnsi="FangSong" w:eastAsia="FangSong" w:cs="FangSong"/>
          <w:sz w:val="24"/>
          <w:szCs w:val="24"/>
          <w:b/>
          <w:bCs/>
          <w:spacing w:val="-2"/>
        </w:rPr>
        <w:t>本项目主要原辅材料消耗情</w:t>
      </w:r>
      <w:r>
        <w:rPr>
          <w:rFonts w:ascii="FangSong" w:hAnsi="FangSong" w:eastAsia="FangSong" w:cs="FangSong"/>
          <w:sz w:val="24"/>
          <w:szCs w:val="24"/>
          <w:b/>
          <w:bCs/>
          <w:spacing w:val="-3"/>
        </w:rPr>
        <w:t>况一览表</w:t>
      </w:r>
    </w:p>
    <w:p>
      <w:pPr>
        <w:spacing w:line="145" w:lineRule="exact"/>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8"/>
        <w:gridCol w:w="1702"/>
        <w:gridCol w:w="764"/>
        <w:gridCol w:w="992"/>
        <w:gridCol w:w="1042"/>
        <w:gridCol w:w="1105"/>
        <w:gridCol w:w="1495"/>
        <w:gridCol w:w="1149"/>
      </w:tblGrid>
      <w:tr>
        <w:trPr>
          <w:trHeight w:val="282" w:hRule="atLeast"/>
        </w:trPr>
        <w:tc>
          <w:tcPr>
            <w:tcW w:w="658" w:type="dxa"/>
            <w:vAlign w:val="top"/>
            <w:tcBorders>
              <w:left w:val="nil"/>
              <w:top w:val="single" w:color="000000" w:sz="10" w:space="0"/>
            </w:tcBorders>
          </w:tcPr>
          <w:p>
            <w:pPr>
              <w:pStyle w:val="TableText"/>
              <w:ind w:left="131"/>
              <w:spacing w:before="35" w:line="218" w:lineRule="auto"/>
              <w:rPr/>
            </w:pPr>
            <w:r>
              <w:rPr>
                <w:spacing w:val="2"/>
              </w:rPr>
              <w:t>序号</w:t>
            </w:r>
          </w:p>
        </w:tc>
        <w:tc>
          <w:tcPr>
            <w:tcW w:w="1702" w:type="dxa"/>
            <w:vAlign w:val="top"/>
            <w:tcBorders>
              <w:top w:val="single" w:color="000000" w:sz="10" w:space="0"/>
            </w:tcBorders>
          </w:tcPr>
          <w:p>
            <w:pPr>
              <w:pStyle w:val="TableText"/>
              <w:ind w:left="440"/>
              <w:spacing w:before="35" w:line="218" w:lineRule="auto"/>
              <w:rPr/>
            </w:pPr>
            <w:r>
              <w:rPr>
                <w:spacing w:val="6"/>
              </w:rPr>
              <w:t>材料名称</w:t>
            </w:r>
          </w:p>
        </w:tc>
        <w:tc>
          <w:tcPr>
            <w:tcW w:w="764" w:type="dxa"/>
            <w:vAlign w:val="top"/>
            <w:tcBorders>
              <w:top w:val="single" w:color="000000" w:sz="10" w:space="0"/>
            </w:tcBorders>
          </w:tcPr>
          <w:p>
            <w:pPr>
              <w:pStyle w:val="TableText"/>
              <w:ind w:left="188"/>
              <w:spacing w:before="35" w:line="218" w:lineRule="auto"/>
              <w:rPr/>
            </w:pPr>
            <w:r>
              <w:rPr>
                <w:spacing w:val="-1"/>
              </w:rPr>
              <w:t>单位</w:t>
            </w:r>
          </w:p>
        </w:tc>
        <w:tc>
          <w:tcPr>
            <w:tcW w:w="992" w:type="dxa"/>
            <w:vAlign w:val="top"/>
            <w:tcBorders>
              <w:top w:val="single" w:color="000000" w:sz="10" w:space="0"/>
            </w:tcBorders>
          </w:tcPr>
          <w:p>
            <w:pPr>
              <w:pStyle w:val="TableText"/>
              <w:ind w:left="236"/>
              <w:spacing w:before="35" w:line="218" w:lineRule="auto"/>
              <w:rPr/>
            </w:pPr>
            <w:r>
              <w:rPr>
                <w:spacing w:val="-10"/>
              </w:rPr>
              <w:t>日消耗</w:t>
            </w:r>
          </w:p>
        </w:tc>
        <w:tc>
          <w:tcPr>
            <w:tcW w:w="1042" w:type="dxa"/>
            <w:vAlign w:val="top"/>
            <w:tcBorders>
              <w:top w:val="single" w:color="000000" w:sz="10" w:space="0"/>
            </w:tcBorders>
          </w:tcPr>
          <w:p>
            <w:pPr>
              <w:pStyle w:val="TableText"/>
              <w:ind w:left="222"/>
              <w:spacing w:before="35" w:line="218" w:lineRule="auto"/>
              <w:rPr/>
            </w:pPr>
            <w:r>
              <w:rPr>
                <w:spacing w:val="3"/>
              </w:rPr>
              <w:t>年消耗</w:t>
            </w:r>
          </w:p>
        </w:tc>
        <w:tc>
          <w:tcPr>
            <w:tcW w:w="1105" w:type="dxa"/>
            <w:vAlign w:val="top"/>
            <w:tcBorders>
              <w:top w:val="single" w:color="000000" w:sz="10" w:space="0"/>
            </w:tcBorders>
          </w:tcPr>
          <w:p>
            <w:pPr>
              <w:pStyle w:val="TableText"/>
              <w:ind w:left="355"/>
              <w:spacing w:before="35" w:line="218" w:lineRule="auto"/>
              <w:rPr/>
            </w:pPr>
            <w:r>
              <w:rPr>
                <w:spacing w:val="1"/>
              </w:rPr>
              <w:t>来源</w:t>
            </w:r>
          </w:p>
        </w:tc>
        <w:tc>
          <w:tcPr>
            <w:tcW w:w="1495" w:type="dxa"/>
            <w:vAlign w:val="top"/>
            <w:tcBorders>
              <w:top w:val="single" w:color="000000" w:sz="10" w:space="0"/>
            </w:tcBorders>
          </w:tcPr>
          <w:p>
            <w:pPr>
              <w:pStyle w:val="TableText"/>
              <w:ind w:left="239"/>
              <w:spacing w:before="35" w:line="218" w:lineRule="auto"/>
              <w:rPr/>
            </w:pPr>
            <w:r>
              <w:rPr>
                <w:spacing w:val="5"/>
              </w:rPr>
              <w:t>最大储存量</w:t>
            </w:r>
          </w:p>
        </w:tc>
        <w:tc>
          <w:tcPr>
            <w:tcW w:w="1149" w:type="dxa"/>
            <w:vAlign w:val="top"/>
            <w:tcBorders>
              <w:right w:val="nil"/>
              <w:top w:val="single" w:color="000000" w:sz="10" w:space="0"/>
            </w:tcBorders>
          </w:tcPr>
          <w:p>
            <w:pPr>
              <w:pStyle w:val="TableText"/>
              <w:ind w:left="167"/>
              <w:spacing w:before="35" w:line="218" w:lineRule="auto"/>
              <w:rPr/>
            </w:pPr>
            <w:r>
              <w:rPr>
                <w:spacing w:val="5"/>
              </w:rPr>
              <w:t>储存地点</w:t>
            </w:r>
          </w:p>
        </w:tc>
      </w:tr>
      <w:tr>
        <w:trPr>
          <w:trHeight w:val="277" w:hRule="atLeast"/>
        </w:trPr>
        <w:tc>
          <w:tcPr>
            <w:tcW w:w="658" w:type="dxa"/>
            <w:vAlign w:val="top"/>
            <w:tcBorders>
              <w:left w:val="nil"/>
            </w:tcBorders>
          </w:tcPr>
          <w:p>
            <w:pPr>
              <w:pStyle w:val="TableText"/>
              <w:ind w:left="240"/>
              <w:spacing w:before="116" w:line="150" w:lineRule="exact"/>
              <w:rPr/>
            </w:pPr>
            <w:r>
              <w:rPr>
                <w:position w:val="-3"/>
              </w:rPr>
              <w:t>一</w:t>
            </w:r>
          </w:p>
        </w:tc>
        <w:tc>
          <w:tcPr>
            <w:tcW w:w="8249" w:type="dxa"/>
            <w:vAlign w:val="top"/>
            <w:gridSpan w:val="7"/>
            <w:tcBorders>
              <w:right w:val="nil"/>
            </w:tcBorders>
          </w:tcPr>
          <w:p>
            <w:pPr>
              <w:pStyle w:val="TableText"/>
              <w:ind w:left="3925"/>
              <w:spacing w:before="31" w:line="217" w:lineRule="auto"/>
              <w:rPr/>
            </w:pPr>
            <w:r>
              <w:rPr>
                <w:spacing w:val="2"/>
              </w:rPr>
              <w:t>掘进</w:t>
            </w:r>
          </w:p>
        </w:tc>
      </w:tr>
      <w:tr>
        <w:trPr>
          <w:trHeight w:val="549" w:hRule="atLeast"/>
        </w:trPr>
        <w:tc>
          <w:tcPr>
            <w:tcW w:w="658" w:type="dxa"/>
            <w:vAlign w:val="top"/>
            <w:tcBorders>
              <w:left w:val="nil"/>
            </w:tcBorders>
          </w:tcPr>
          <w:p>
            <w:pPr>
              <w:ind w:left="301"/>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2" w:type="dxa"/>
            <w:vAlign w:val="top"/>
          </w:tcPr>
          <w:p>
            <w:pPr>
              <w:pStyle w:val="TableText"/>
              <w:ind w:left="117"/>
              <w:spacing w:before="167" w:line="231" w:lineRule="auto"/>
              <w:rPr/>
            </w:pPr>
            <w:r>
              <w:rPr>
                <w:rFonts w:ascii="Times New Roman" w:hAnsi="Times New Roman" w:eastAsia="Times New Roman" w:cs="Times New Roman"/>
                <w:spacing w:val="8"/>
              </w:rPr>
              <w:t>2#</w:t>
            </w:r>
            <w:r>
              <w:rPr>
                <w:spacing w:val="8"/>
              </w:rPr>
              <w:t>岩石乳化炸药</w:t>
            </w:r>
          </w:p>
        </w:tc>
        <w:tc>
          <w:tcPr>
            <w:tcW w:w="764" w:type="dxa"/>
            <w:vAlign w:val="top"/>
          </w:tcPr>
          <w:p>
            <w:pPr>
              <w:ind w:left="274"/>
              <w:spacing w:before="1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kg</w:t>
            </w:r>
          </w:p>
        </w:tc>
        <w:tc>
          <w:tcPr>
            <w:tcW w:w="992" w:type="dxa"/>
            <w:vAlign w:val="top"/>
          </w:tcPr>
          <w:p>
            <w:pPr>
              <w:ind w:left="266"/>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33.33</w:t>
            </w:r>
          </w:p>
        </w:tc>
        <w:tc>
          <w:tcPr>
            <w:tcW w:w="1042" w:type="dxa"/>
            <w:vAlign w:val="top"/>
          </w:tcPr>
          <w:p>
            <w:pPr>
              <w:ind w:left="281"/>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105" w:type="dxa"/>
            <w:vAlign w:val="top"/>
            <w:vMerge w:val="restart"/>
            <w:tcBorders>
              <w:bottom w:val="nil"/>
            </w:tcBorders>
          </w:tcPr>
          <w:p>
            <w:pPr>
              <w:pStyle w:val="TableText"/>
              <w:ind w:left="165"/>
              <w:spacing w:before="176" w:line="232" w:lineRule="auto"/>
              <w:rPr/>
            </w:pPr>
            <w:r>
              <w:rPr/>
              <w:t>当地民爆</w:t>
            </w:r>
          </w:p>
          <w:p>
            <w:pPr>
              <w:pStyle w:val="TableText"/>
              <w:ind w:left="147"/>
              <w:spacing w:before="22" w:line="232" w:lineRule="auto"/>
              <w:rPr/>
            </w:pPr>
            <w:r>
              <w:rPr>
                <w:spacing w:val="6"/>
              </w:rPr>
              <w:t>公司，专</w:t>
            </w:r>
          </w:p>
          <w:p>
            <w:pPr>
              <w:pStyle w:val="TableText"/>
              <w:ind w:left="146"/>
              <w:spacing w:before="20" w:line="228" w:lineRule="auto"/>
              <w:rPr/>
            </w:pPr>
            <w:r>
              <w:rPr>
                <w:spacing w:val="5"/>
              </w:rPr>
              <w:t>人专车运</w:t>
            </w:r>
          </w:p>
          <w:p>
            <w:pPr>
              <w:pStyle w:val="TableText"/>
              <w:ind w:left="364" w:right="132" w:hanging="215"/>
              <w:spacing w:before="25" w:line="251" w:lineRule="auto"/>
              <w:rPr/>
            </w:pPr>
            <w:r>
              <w:rPr>
                <w:spacing w:val="4"/>
              </w:rPr>
              <w:t>送，随用</w:t>
            </w:r>
            <w:r>
              <w:rPr>
                <w:spacing w:val="-3"/>
              </w:rPr>
              <w:t>随取</w:t>
            </w:r>
          </w:p>
        </w:tc>
        <w:tc>
          <w:tcPr>
            <w:tcW w:w="1495" w:type="dxa"/>
            <w:vAlign w:val="top"/>
          </w:tcPr>
          <w:p>
            <w:pPr>
              <w:ind w:left="716"/>
              <w:spacing w:before="1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49" w:type="dxa"/>
            <w:vAlign w:val="top"/>
            <w:tcBorders>
              <w:right w:val="nil"/>
            </w:tcBorders>
          </w:tcPr>
          <w:p>
            <w:pPr>
              <w:pStyle w:val="TableText"/>
              <w:ind w:left="277" w:right="259" w:firstLine="98"/>
              <w:spacing w:before="34" w:line="233" w:lineRule="auto"/>
              <w:rPr/>
            </w:pPr>
            <w:r>
              <w:rPr>
                <w:spacing w:val="2"/>
              </w:rPr>
              <w:t>矿区</w:t>
            </w:r>
            <w:r>
              <w:rPr>
                <w:spacing w:val="3"/>
              </w:rPr>
              <w:t>不储存</w:t>
            </w:r>
          </w:p>
        </w:tc>
      </w:tr>
      <w:tr>
        <w:trPr>
          <w:trHeight w:val="549" w:hRule="atLeast"/>
        </w:trPr>
        <w:tc>
          <w:tcPr>
            <w:tcW w:w="658" w:type="dxa"/>
            <w:vAlign w:val="top"/>
            <w:tcBorders>
              <w:left w:val="nil"/>
            </w:tcBorders>
          </w:tcPr>
          <w:p>
            <w:pPr>
              <w:ind w:left="28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2" w:type="dxa"/>
            <w:vAlign w:val="top"/>
          </w:tcPr>
          <w:p>
            <w:pPr>
              <w:pStyle w:val="TableText"/>
              <w:ind w:left="255"/>
              <w:spacing w:before="167" w:line="232" w:lineRule="auto"/>
              <w:rPr/>
            </w:pPr>
            <w:r>
              <w:rPr>
                <w:spacing w:val="3"/>
              </w:rPr>
              <w:t>电子数码雷管</w:t>
            </w:r>
          </w:p>
        </w:tc>
        <w:tc>
          <w:tcPr>
            <w:tcW w:w="764" w:type="dxa"/>
            <w:vAlign w:val="top"/>
          </w:tcPr>
          <w:p>
            <w:pPr>
              <w:pStyle w:val="TableText"/>
              <w:ind w:left="292"/>
              <w:spacing w:before="168" w:line="232" w:lineRule="auto"/>
              <w:rPr/>
            </w:pPr>
            <w:r>
              <w:rPr/>
              <w:t>发</w:t>
            </w:r>
          </w:p>
        </w:tc>
        <w:tc>
          <w:tcPr>
            <w:tcW w:w="992" w:type="dxa"/>
            <w:vAlign w:val="top"/>
          </w:tcPr>
          <w:p>
            <w:pPr>
              <w:ind w:left="26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30.67</w:t>
            </w:r>
          </w:p>
        </w:tc>
        <w:tc>
          <w:tcPr>
            <w:tcW w:w="1042" w:type="dxa"/>
            <w:vAlign w:val="top"/>
          </w:tcPr>
          <w:p>
            <w:pPr>
              <w:ind w:left="31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9200</w:t>
            </w:r>
          </w:p>
        </w:tc>
        <w:tc>
          <w:tcPr>
            <w:tcW w:w="1105" w:type="dxa"/>
            <w:vAlign w:val="top"/>
            <w:vMerge w:val="continue"/>
            <w:tcBorders>
              <w:top w:val="nil"/>
              <w:bottom w:val="nil"/>
            </w:tcBorders>
          </w:tcPr>
          <w:p>
            <w:pPr>
              <w:rPr>
                <w:rFonts w:ascii="Arial"/>
                <w:sz w:val="21"/>
              </w:rPr>
            </w:pPr>
            <w:r/>
          </w:p>
        </w:tc>
        <w:tc>
          <w:tcPr>
            <w:tcW w:w="1495" w:type="dxa"/>
            <w:vAlign w:val="top"/>
          </w:tcPr>
          <w:p>
            <w:pPr>
              <w:ind w:left="716"/>
              <w:spacing w:before="2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49" w:type="dxa"/>
            <w:vAlign w:val="top"/>
            <w:tcBorders>
              <w:right w:val="nil"/>
            </w:tcBorders>
          </w:tcPr>
          <w:p>
            <w:pPr>
              <w:pStyle w:val="TableText"/>
              <w:ind w:left="277" w:right="259" w:firstLine="98"/>
              <w:spacing w:before="32" w:line="234" w:lineRule="auto"/>
              <w:rPr/>
            </w:pPr>
            <w:r>
              <w:rPr>
                <w:spacing w:val="2"/>
              </w:rPr>
              <w:t>矿区</w:t>
            </w:r>
            <w:r>
              <w:rPr>
                <w:spacing w:val="3"/>
              </w:rPr>
              <w:t>不储存</w:t>
            </w:r>
          </w:p>
        </w:tc>
      </w:tr>
      <w:tr>
        <w:trPr>
          <w:trHeight w:val="550" w:hRule="atLeast"/>
        </w:trPr>
        <w:tc>
          <w:tcPr>
            <w:tcW w:w="658" w:type="dxa"/>
            <w:vAlign w:val="top"/>
            <w:tcBorders>
              <w:left w:val="nil"/>
            </w:tcBorders>
          </w:tcPr>
          <w:p>
            <w:pPr>
              <w:ind w:left="285"/>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2" w:type="dxa"/>
            <w:vAlign w:val="top"/>
          </w:tcPr>
          <w:p>
            <w:pPr>
              <w:pStyle w:val="TableText"/>
              <w:ind w:left="548"/>
              <w:spacing w:before="168" w:line="232" w:lineRule="auto"/>
              <w:rPr/>
            </w:pPr>
            <w:r>
              <w:rPr>
                <w:spacing w:val="4"/>
              </w:rPr>
              <w:t>导爆索</w:t>
            </w:r>
          </w:p>
        </w:tc>
        <w:tc>
          <w:tcPr>
            <w:tcW w:w="764" w:type="dxa"/>
            <w:vAlign w:val="top"/>
          </w:tcPr>
          <w:p>
            <w:pPr>
              <w:ind w:left="298"/>
              <w:spacing w:before="250"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w:t>
            </w:r>
          </w:p>
        </w:tc>
        <w:tc>
          <w:tcPr>
            <w:tcW w:w="992" w:type="dxa"/>
            <w:vAlign w:val="top"/>
          </w:tcPr>
          <w:p>
            <w:pPr>
              <w:ind w:left="267"/>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66.67</w:t>
            </w:r>
          </w:p>
        </w:tc>
        <w:tc>
          <w:tcPr>
            <w:tcW w:w="1042" w:type="dxa"/>
            <w:vAlign w:val="top"/>
          </w:tcPr>
          <w:p>
            <w:pPr>
              <w:ind w:left="26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20000</w:t>
            </w:r>
          </w:p>
        </w:tc>
        <w:tc>
          <w:tcPr>
            <w:tcW w:w="1105" w:type="dxa"/>
            <w:vAlign w:val="top"/>
            <w:vMerge w:val="continue"/>
            <w:tcBorders>
              <w:top w:val="nil"/>
            </w:tcBorders>
          </w:tcPr>
          <w:p>
            <w:pPr>
              <w:rPr>
                <w:rFonts w:ascii="Arial"/>
                <w:sz w:val="21"/>
              </w:rPr>
            </w:pPr>
            <w:r/>
          </w:p>
        </w:tc>
        <w:tc>
          <w:tcPr>
            <w:tcW w:w="1495" w:type="dxa"/>
            <w:vAlign w:val="top"/>
          </w:tcPr>
          <w:p>
            <w:pPr>
              <w:ind w:left="716"/>
              <w:spacing w:before="2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49" w:type="dxa"/>
            <w:vAlign w:val="top"/>
            <w:tcBorders>
              <w:right w:val="nil"/>
            </w:tcBorders>
          </w:tcPr>
          <w:p>
            <w:pPr>
              <w:pStyle w:val="TableText"/>
              <w:ind w:left="277" w:right="259" w:firstLine="98"/>
              <w:spacing w:before="35" w:line="233" w:lineRule="auto"/>
              <w:rPr/>
            </w:pPr>
            <w:r>
              <w:rPr>
                <w:spacing w:val="2"/>
              </w:rPr>
              <w:t>矿区</w:t>
            </w:r>
            <w:r>
              <w:rPr>
                <w:spacing w:val="3"/>
              </w:rPr>
              <w:t>不储存</w:t>
            </w:r>
          </w:p>
        </w:tc>
      </w:tr>
      <w:tr>
        <w:trPr>
          <w:trHeight w:val="549" w:hRule="atLeast"/>
        </w:trPr>
        <w:tc>
          <w:tcPr>
            <w:tcW w:w="658" w:type="dxa"/>
            <w:vAlign w:val="top"/>
            <w:tcBorders>
              <w:left w:val="nil"/>
            </w:tcBorders>
          </w:tcPr>
          <w:p>
            <w:pPr>
              <w:ind w:left="27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702" w:type="dxa"/>
            <w:vAlign w:val="top"/>
          </w:tcPr>
          <w:p>
            <w:pPr>
              <w:pStyle w:val="TableText"/>
              <w:ind w:left="148" w:right="106" w:hanging="27"/>
              <w:spacing w:before="34" w:line="233" w:lineRule="auto"/>
              <w:rPr/>
            </w:pPr>
            <w:r>
              <w:rPr>
                <w:spacing w:val="-7"/>
              </w:rPr>
              <w:t>钎杆（</w:t>
            </w:r>
            <w:r>
              <w:rPr>
                <w:rFonts w:ascii="Times New Roman" w:hAnsi="Times New Roman" w:eastAsia="Times New Roman" w:cs="Times New Roman"/>
                <w:spacing w:val="-7"/>
              </w:rPr>
              <w:t>B22</w:t>
            </w:r>
            <w:r>
              <w:rPr>
                <w:spacing w:val="-7"/>
              </w:rPr>
              <w:t>，</w:t>
            </w:r>
            <w:r>
              <w:rPr>
                <w:rFonts w:ascii="Times New Roman" w:hAnsi="Times New Roman" w:eastAsia="Times New Roman" w:cs="Times New Roman"/>
                <w:spacing w:val="-7"/>
              </w:rPr>
              <w:t>2.5m</w:t>
            </w:r>
            <w:r>
              <w:rPr>
                <w:spacing w:val="4"/>
              </w:rPr>
              <w:t>长，</w:t>
            </w:r>
            <w:r>
              <w:rPr>
                <w:rFonts w:ascii="Times New Roman" w:hAnsi="Times New Roman" w:eastAsia="Times New Roman" w:cs="Times New Roman"/>
                <w:spacing w:val="4"/>
              </w:rPr>
              <w:t>3.06</w:t>
            </w:r>
            <w:r>
              <w:rPr>
                <w:rFonts w:ascii="Times New Roman" w:hAnsi="Times New Roman" w:eastAsia="Times New Roman" w:cs="Times New Roman"/>
              </w:rPr>
              <w:t>kg</w:t>
            </w:r>
            <w:r>
              <w:rPr>
                <w:rFonts w:ascii="Times New Roman" w:hAnsi="Times New Roman" w:eastAsia="Times New Roman" w:cs="Times New Roman"/>
                <w:spacing w:val="4"/>
              </w:rPr>
              <w:t>/m</w:t>
            </w:r>
            <w:r>
              <w:rPr>
                <w:spacing w:val="4"/>
              </w:rPr>
              <w:t>）</w:t>
            </w:r>
          </w:p>
        </w:tc>
        <w:tc>
          <w:tcPr>
            <w:tcW w:w="764" w:type="dxa"/>
            <w:vAlign w:val="top"/>
          </w:tcPr>
          <w:p>
            <w:pPr>
              <w:ind w:left="274"/>
              <w:spacing w:before="2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kg</w:t>
            </w:r>
          </w:p>
        </w:tc>
        <w:tc>
          <w:tcPr>
            <w:tcW w:w="992" w:type="dxa"/>
            <w:vAlign w:val="top"/>
          </w:tcPr>
          <w:p>
            <w:pPr>
              <w:ind w:left="31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4.27</w:t>
            </w:r>
          </w:p>
        </w:tc>
        <w:tc>
          <w:tcPr>
            <w:tcW w:w="1042" w:type="dxa"/>
            <w:vAlign w:val="top"/>
          </w:tcPr>
          <w:p>
            <w:pPr>
              <w:ind w:left="33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1280</w:t>
            </w:r>
          </w:p>
        </w:tc>
        <w:tc>
          <w:tcPr>
            <w:tcW w:w="1105" w:type="dxa"/>
            <w:vAlign w:val="top"/>
          </w:tcPr>
          <w:p>
            <w:pPr>
              <w:pStyle w:val="TableText"/>
              <w:ind w:left="357"/>
              <w:spacing w:before="167" w:line="232" w:lineRule="auto"/>
              <w:rPr/>
            </w:pPr>
            <w:r>
              <w:rPr/>
              <w:t>外购</w:t>
            </w:r>
          </w:p>
        </w:tc>
        <w:tc>
          <w:tcPr>
            <w:tcW w:w="1495" w:type="dxa"/>
            <w:vAlign w:val="top"/>
          </w:tcPr>
          <w:p>
            <w:pPr>
              <w:ind w:left="56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42.7</w:t>
            </w:r>
          </w:p>
        </w:tc>
        <w:tc>
          <w:tcPr>
            <w:tcW w:w="1149" w:type="dxa"/>
            <w:vAlign w:val="top"/>
            <w:tcBorders>
              <w:right w:val="nil"/>
            </w:tcBorders>
          </w:tcPr>
          <w:p>
            <w:pPr>
              <w:pStyle w:val="TableText"/>
              <w:ind w:left="379"/>
              <w:spacing w:before="167" w:line="231" w:lineRule="auto"/>
              <w:rPr/>
            </w:pPr>
            <w:r>
              <w:rPr>
                <w:spacing w:val="-1"/>
              </w:rPr>
              <w:t>仓库</w:t>
            </w:r>
          </w:p>
        </w:tc>
      </w:tr>
      <w:tr>
        <w:trPr>
          <w:trHeight w:val="277" w:hRule="atLeast"/>
        </w:trPr>
        <w:tc>
          <w:tcPr>
            <w:tcW w:w="658" w:type="dxa"/>
            <w:vAlign w:val="top"/>
            <w:tcBorders>
              <w:left w:val="nil"/>
            </w:tcBorders>
          </w:tcPr>
          <w:p>
            <w:pPr>
              <w:ind w:left="286"/>
              <w:spacing w:before="7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02" w:type="dxa"/>
            <w:vAlign w:val="top"/>
          </w:tcPr>
          <w:p>
            <w:pPr>
              <w:pStyle w:val="TableText"/>
              <w:ind w:left="651"/>
              <w:spacing w:before="34" w:line="215" w:lineRule="auto"/>
              <w:rPr/>
            </w:pPr>
            <w:r>
              <w:rPr>
                <w:spacing w:val="2"/>
              </w:rPr>
              <w:t>水泥</w:t>
            </w:r>
          </w:p>
        </w:tc>
        <w:tc>
          <w:tcPr>
            <w:tcW w:w="764" w:type="dxa"/>
            <w:vAlign w:val="top"/>
          </w:tcPr>
          <w:p>
            <w:pPr>
              <w:ind w:left="352"/>
              <w:spacing w:before="87"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2" w:type="dxa"/>
            <w:vAlign w:val="top"/>
          </w:tcPr>
          <w:p>
            <w:pPr>
              <w:ind w:left="316"/>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0.27</w:t>
            </w:r>
          </w:p>
        </w:tc>
        <w:tc>
          <w:tcPr>
            <w:tcW w:w="1042" w:type="dxa"/>
            <w:vAlign w:val="top"/>
          </w:tcPr>
          <w:p>
            <w:pPr>
              <w:ind w:left="426"/>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105" w:type="dxa"/>
            <w:vAlign w:val="top"/>
          </w:tcPr>
          <w:p>
            <w:pPr>
              <w:pStyle w:val="TableText"/>
              <w:ind w:left="357"/>
              <w:spacing w:before="34" w:line="215" w:lineRule="auto"/>
              <w:rPr/>
            </w:pPr>
            <w:r>
              <w:rPr/>
              <w:t>外购</w:t>
            </w:r>
          </w:p>
        </w:tc>
        <w:tc>
          <w:tcPr>
            <w:tcW w:w="1495" w:type="dxa"/>
            <w:vAlign w:val="top"/>
          </w:tcPr>
          <w:p>
            <w:pPr>
              <w:ind w:left="617"/>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149" w:type="dxa"/>
            <w:vAlign w:val="top"/>
            <w:tcBorders>
              <w:right w:val="nil"/>
            </w:tcBorders>
          </w:tcPr>
          <w:p>
            <w:pPr>
              <w:pStyle w:val="TableText"/>
              <w:ind w:left="379"/>
              <w:spacing w:before="34" w:line="215" w:lineRule="auto"/>
              <w:rPr/>
            </w:pPr>
            <w:r>
              <w:rPr>
                <w:spacing w:val="-1"/>
              </w:rPr>
              <w:t>仓库</w:t>
            </w:r>
          </w:p>
        </w:tc>
      </w:tr>
      <w:tr>
        <w:trPr>
          <w:trHeight w:val="277" w:hRule="atLeast"/>
        </w:trPr>
        <w:tc>
          <w:tcPr>
            <w:tcW w:w="658" w:type="dxa"/>
            <w:vAlign w:val="top"/>
            <w:tcBorders>
              <w:left w:val="nil"/>
            </w:tcBorders>
          </w:tcPr>
          <w:p>
            <w:pPr>
              <w:ind w:left="28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02" w:type="dxa"/>
            <w:vAlign w:val="top"/>
          </w:tcPr>
          <w:p>
            <w:pPr>
              <w:pStyle w:val="TableText"/>
              <w:ind w:left="651"/>
              <w:spacing w:before="35" w:line="214" w:lineRule="auto"/>
              <w:rPr/>
            </w:pPr>
            <w:r>
              <w:rPr>
                <w:spacing w:val="2"/>
              </w:rPr>
              <w:t>砂石</w:t>
            </w:r>
          </w:p>
        </w:tc>
        <w:tc>
          <w:tcPr>
            <w:tcW w:w="764" w:type="dxa"/>
            <w:vAlign w:val="top"/>
          </w:tcPr>
          <w:p>
            <w:pPr>
              <w:ind w:left="352"/>
              <w:spacing w:before="89"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2" w:type="dxa"/>
            <w:vAlign w:val="top"/>
          </w:tcPr>
          <w:p>
            <w:pPr>
              <w:ind w:left="332"/>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1.60</w:t>
            </w:r>
          </w:p>
        </w:tc>
        <w:tc>
          <w:tcPr>
            <w:tcW w:w="1042" w:type="dxa"/>
            <w:vAlign w:val="top"/>
          </w:tcPr>
          <w:p>
            <w:pPr>
              <w:ind w:left="36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480</w:t>
            </w:r>
          </w:p>
        </w:tc>
        <w:tc>
          <w:tcPr>
            <w:tcW w:w="1105" w:type="dxa"/>
            <w:vAlign w:val="top"/>
          </w:tcPr>
          <w:p>
            <w:pPr>
              <w:pStyle w:val="TableText"/>
              <w:ind w:left="357"/>
              <w:spacing w:before="35" w:line="214" w:lineRule="auto"/>
              <w:rPr/>
            </w:pPr>
            <w:r>
              <w:rPr/>
              <w:t>外购</w:t>
            </w:r>
          </w:p>
        </w:tc>
        <w:tc>
          <w:tcPr>
            <w:tcW w:w="1495" w:type="dxa"/>
            <w:vAlign w:val="top"/>
          </w:tcPr>
          <w:p>
            <w:pPr>
              <w:ind w:left="664"/>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149" w:type="dxa"/>
            <w:vAlign w:val="top"/>
            <w:tcBorders>
              <w:right w:val="nil"/>
            </w:tcBorders>
          </w:tcPr>
          <w:p>
            <w:pPr>
              <w:pStyle w:val="TableText"/>
              <w:ind w:left="379"/>
              <w:spacing w:before="35" w:line="214" w:lineRule="auto"/>
              <w:rPr/>
            </w:pPr>
            <w:r>
              <w:rPr>
                <w:spacing w:val="-1"/>
              </w:rPr>
              <w:t>仓库</w:t>
            </w:r>
          </w:p>
        </w:tc>
      </w:tr>
      <w:tr>
        <w:trPr>
          <w:trHeight w:val="278" w:hRule="atLeast"/>
        </w:trPr>
        <w:tc>
          <w:tcPr>
            <w:tcW w:w="658" w:type="dxa"/>
            <w:vAlign w:val="top"/>
            <w:tcBorders>
              <w:left w:val="nil"/>
            </w:tcBorders>
          </w:tcPr>
          <w:p>
            <w:pPr>
              <w:ind w:left="284"/>
              <w:spacing w:before="7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02" w:type="dxa"/>
            <w:vAlign w:val="top"/>
          </w:tcPr>
          <w:p>
            <w:pPr>
              <w:pStyle w:val="TableText"/>
              <w:ind w:left="653"/>
              <w:spacing w:before="33" w:line="216" w:lineRule="auto"/>
              <w:rPr/>
            </w:pPr>
            <w:r>
              <w:rPr>
                <w:spacing w:val="1"/>
              </w:rPr>
              <w:t>坑木</w:t>
            </w:r>
          </w:p>
        </w:tc>
        <w:tc>
          <w:tcPr>
            <w:tcW w:w="764" w:type="dxa"/>
            <w:vAlign w:val="top"/>
          </w:tcPr>
          <w:p>
            <w:pPr>
              <w:ind w:left="265"/>
              <w:spacing w:before="49"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position w:val="-3"/>
              </w:rPr>
              <w:t>m</w:t>
            </w:r>
            <w:r>
              <w:rPr>
                <w:rFonts w:ascii="Times New Roman" w:hAnsi="Times New Roman" w:eastAsia="Times New Roman" w:cs="Times New Roman"/>
                <w:sz w:val="13"/>
                <w:szCs w:val="13"/>
                <w:spacing w:val="4"/>
                <w:position w:val="3"/>
              </w:rPr>
              <w:t>3</w:t>
            </w:r>
          </w:p>
        </w:tc>
        <w:tc>
          <w:tcPr>
            <w:tcW w:w="992" w:type="dxa"/>
            <w:vAlign w:val="top"/>
          </w:tcPr>
          <w:p>
            <w:pPr>
              <w:ind w:left="316"/>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042" w:type="dxa"/>
            <w:vAlign w:val="top"/>
          </w:tcPr>
          <w:p>
            <w:pPr>
              <w:ind w:left="417"/>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105" w:type="dxa"/>
            <w:vAlign w:val="top"/>
          </w:tcPr>
          <w:p>
            <w:pPr>
              <w:pStyle w:val="TableText"/>
              <w:ind w:left="357"/>
              <w:spacing w:before="33" w:line="216" w:lineRule="auto"/>
              <w:rPr/>
            </w:pPr>
            <w:r>
              <w:rPr/>
              <w:t>外购</w:t>
            </w:r>
          </w:p>
        </w:tc>
        <w:tc>
          <w:tcPr>
            <w:tcW w:w="1495" w:type="dxa"/>
            <w:vAlign w:val="top"/>
          </w:tcPr>
          <w:p>
            <w:pPr>
              <w:ind w:left="621"/>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0.8</w:t>
            </w:r>
          </w:p>
        </w:tc>
        <w:tc>
          <w:tcPr>
            <w:tcW w:w="1149" w:type="dxa"/>
            <w:vAlign w:val="top"/>
            <w:tcBorders>
              <w:right w:val="nil"/>
            </w:tcBorders>
          </w:tcPr>
          <w:p>
            <w:pPr>
              <w:pStyle w:val="TableText"/>
              <w:ind w:left="379"/>
              <w:spacing w:before="33" w:line="216" w:lineRule="auto"/>
              <w:rPr/>
            </w:pPr>
            <w:r>
              <w:rPr>
                <w:spacing w:val="-1"/>
              </w:rPr>
              <w:t>仓库</w:t>
            </w:r>
          </w:p>
        </w:tc>
      </w:tr>
      <w:tr>
        <w:trPr>
          <w:trHeight w:val="277" w:hRule="atLeast"/>
        </w:trPr>
        <w:tc>
          <w:tcPr>
            <w:tcW w:w="658" w:type="dxa"/>
            <w:vAlign w:val="top"/>
            <w:tcBorders>
              <w:left w:val="nil"/>
            </w:tcBorders>
          </w:tcPr>
          <w:p>
            <w:pPr>
              <w:pStyle w:val="TableText"/>
              <w:ind w:left="244"/>
              <w:spacing w:before="77" w:line="175" w:lineRule="auto"/>
              <w:rPr/>
            </w:pPr>
            <w:r>
              <w:rPr/>
              <w:t>二</w:t>
            </w:r>
          </w:p>
        </w:tc>
        <w:tc>
          <w:tcPr>
            <w:tcW w:w="8249" w:type="dxa"/>
            <w:vAlign w:val="top"/>
            <w:gridSpan w:val="7"/>
            <w:tcBorders>
              <w:right w:val="nil"/>
            </w:tcBorders>
          </w:tcPr>
          <w:p>
            <w:pPr>
              <w:pStyle w:val="TableText"/>
              <w:ind w:left="3951"/>
              <w:spacing w:before="34" w:line="215" w:lineRule="auto"/>
              <w:rPr/>
            </w:pPr>
            <w:r>
              <w:rPr>
                <w:spacing w:val="-11"/>
              </w:rPr>
              <w:t>回采</w:t>
            </w:r>
          </w:p>
        </w:tc>
      </w:tr>
      <w:tr>
        <w:trPr>
          <w:trHeight w:val="549" w:hRule="atLeast"/>
        </w:trPr>
        <w:tc>
          <w:tcPr>
            <w:tcW w:w="658" w:type="dxa"/>
            <w:vAlign w:val="top"/>
            <w:tcBorders>
              <w:left w:val="nil"/>
            </w:tcBorders>
          </w:tcPr>
          <w:p>
            <w:pPr>
              <w:ind w:left="30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2" w:type="dxa"/>
            <w:vAlign w:val="top"/>
          </w:tcPr>
          <w:p>
            <w:pPr>
              <w:pStyle w:val="TableText"/>
              <w:ind w:left="117"/>
              <w:spacing w:before="169" w:line="231" w:lineRule="auto"/>
              <w:rPr/>
            </w:pPr>
            <w:r>
              <w:rPr>
                <w:rFonts w:ascii="Times New Roman" w:hAnsi="Times New Roman" w:eastAsia="Times New Roman" w:cs="Times New Roman"/>
                <w:spacing w:val="8"/>
              </w:rPr>
              <w:t>2#</w:t>
            </w:r>
            <w:r>
              <w:rPr>
                <w:spacing w:val="8"/>
              </w:rPr>
              <w:t>岩石乳化炸药</w:t>
            </w:r>
          </w:p>
        </w:tc>
        <w:tc>
          <w:tcPr>
            <w:tcW w:w="764" w:type="dxa"/>
            <w:vAlign w:val="top"/>
          </w:tcPr>
          <w:p>
            <w:pPr>
              <w:ind w:left="274"/>
              <w:spacing w:before="2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kg</w:t>
            </w:r>
          </w:p>
        </w:tc>
        <w:tc>
          <w:tcPr>
            <w:tcW w:w="992" w:type="dxa"/>
            <w:vAlign w:val="top"/>
          </w:tcPr>
          <w:p>
            <w:pPr>
              <w:ind w:left="21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373.33</w:t>
            </w:r>
          </w:p>
        </w:tc>
        <w:tc>
          <w:tcPr>
            <w:tcW w:w="1042" w:type="dxa"/>
            <w:vAlign w:val="top"/>
          </w:tcPr>
          <w:p>
            <w:pPr>
              <w:ind w:left="22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123200</w:t>
            </w:r>
          </w:p>
        </w:tc>
        <w:tc>
          <w:tcPr>
            <w:tcW w:w="1105" w:type="dxa"/>
            <w:vAlign w:val="top"/>
            <w:vMerge w:val="restart"/>
            <w:tcBorders>
              <w:bottom w:val="nil"/>
            </w:tcBorders>
          </w:tcPr>
          <w:p>
            <w:pPr>
              <w:pStyle w:val="TableText"/>
              <w:ind w:left="165"/>
              <w:spacing w:before="178" w:line="232" w:lineRule="auto"/>
              <w:rPr/>
            </w:pPr>
            <w:r>
              <w:rPr/>
              <w:t>当地民爆</w:t>
            </w:r>
          </w:p>
          <w:p>
            <w:pPr>
              <w:pStyle w:val="TableText"/>
              <w:ind w:left="147"/>
              <w:spacing w:before="22" w:line="232" w:lineRule="auto"/>
              <w:rPr/>
            </w:pPr>
            <w:r>
              <w:rPr>
                <w:spacing w:val="6"/>
              </w:rPr>
              <w:t>公司，专</w:t>
            </w:r>
          </w:p>
          <w:p>
            <w:pPr>
              <w:pStyle w:val="TableText"/>
              <w:ind w:left="146"/>
              <w:spacing w:before="20" w:line="228" w:lineRule="auto"/>
              <w:rPr/>
            </w:pPr>
            <w:r>
              <w:rPr>
                <w:spacing w:val="5"/>
              </w:rPr>
              <w:t>人专车运</w:t>
            </w:r>
          </w:p>
          <w:p>
            <w:pPr>
              <w:pStyle w:val="TableText"/>
              <w:ind w:left="364" w:right="132" w:hanging="215"/>
              <w:spacing w:before="25" w:line="251" w:lineRule="auto"/>
              <w:rPr/>
            </w:pPr>
            <w:r>
              <w:rPr>
                <w:spacing w:val="4"/>
              </w:rPr>
              <w:t>送，随用</w:t>
            </w:r>
            <w:r>
              <w:rPr>
                <w:spacing w:val="-3"/>
              </w:rPr>
              <w:t>随取</w:t>
            </w:r>
          </w:p>
        </w:tc>
        <w:tc>
          <w:tcPr>
            <w:tcW w:w="1495" w:type="dxa"/>
            <w:vAlign w:val="top"/>
          </w:tcPr>
          <w:p>
            <w:pPr>
              <w:ind w:left="716"/>
              <w:spacing w:before="2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49" w:type="dxa"/>
            <w:vAlign w:val="top"/>
            <w:tcBorders>
              <w:right w:val="nil"/>
            </w:tcBorders>
          </w:tcPr>
          <w:p>
            <w:pPr>
              <w:pStyle w:val="TableText"/>
              <w:ind w:left="277" w:right="259" w:firstLine="98"/>
              <w:spacing w:before="36" w:line="232" w:lineRule="auto"/>
              <w:rPr/>
            </w:pPr>
            <w:r>
              <w:rPr>
                <w:spacing w:val="2"/>
              </w:rPr>
              <w:t>矿区</w:t>
            </w:r>
            <w:r>
              <w:rPr>
                <w:spacing w:val="3"/>
              </w:rPr>
              <w:t>不储存</w:t>
            </w:r>
          </w:p>
        </w:tc>
      </w:tr>
      <w:tr>
        <w:trPr>
          <w:trHeight w:val="549" w:hRule="atLeast"/>
        </w:trPr>
        <w:tc>
          <w:tcPr>
            <w:tcW w:w="658" w:type="dxa"/>
            <w:vAlign w:val="top"/>
            <w:tcBorders>
              <w:left w:val="nil"/>
            </w:tcBorders>
          </w:tcPr>
          <w:p>
            <w:pPr>
              <w:ind w:left="28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2" w:type="dxa"/>
            <w:vAlign w:val="top"/>
          </w:tcPr>
          <w:p>
            <w:pPr>
              <w:pStyle w:val="TableText"/>
              <w:ind w:left="255"/>
              <w:spacing w:before="169" w:line="232" w:lineRule="auto"/>
              <w:rPr/>
            </w:pPr>
            <w:r>
              <w:rPr>
                <w:spacing w:val="3"/>
              </w:rPr>
              <w:t>电子数码雷管</w:t>
            </w:r>
          </w:p>
        </w:tc>
        <w:tc>
          <w:tcPr>
            <w:tcW w:w="764" w:type="dxa"/>
            <w:vAlign w:val="top"/>
          </w:tcPr>
          <w:p>
            <w:pPr>
              <w:pStyle w:val="TableText"/>
              <w:ind w:left="292"/>
              <w:spacing w:before="170" w:line="232" w:lineRule="auto"/>
              <w:rPr/>
            </w:pPr>
            <w:r>
              <w:rPr/>
              <w:t>发</w:t>
            </w:r>
          </w:p>
        </w:tc>
        <w:tc>
          <w:tcPr>
            <w:tcW w:w="992" w:type="dxa"/>
            <w:vAlign w:val="top"/>
          </w:tcPr>
          <w:p>
            <w:pPr>
              <w:ind w:left="20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200.00</w:t>
            </w:r>
          </w:p>
        </w:tc>
        <w:tc>
          <w:tcPr>
            <w:tcW w:w="1042" w:type="dxa"/>
            <w:vAlign w:val="top"/>
          </w:tcPr>
          <w:p>
            <w:pPr>
              <w:ind w:left="26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66000</w:t>
            </w:r>
          </w:p>
        </w:tc>
        <w:tc>
          <w:tcPr>
            <w:tcW w:w="1105" w:type="dxa"/>
            <w:vAlign w:val="top"/>
            <w:vMerge w:val="continue"/>
            <w:tcBorders>
              <w:top w:val="nil"/>
              <w:bottom w:val="nil"/>
            </w:tcBorders>
          </w:tcPr>
          <w:p>
            <w:pPr>
              <w:rPr>
                <w:rFonts w:ascii="Arial"/>
                <w:sz w:val="21"/>
              </w:rPr>
            </w:pPr>
            <w:r/>
          </w:p>
        </w:tc>
        <w:tc>
          <w:tcPr>
            <w:tcW w:w="1495" w:type="dxa"/>
            <w:vAlign w:val="top"/>
          </w:tcPr>
          <w:p>
            <w:pPr>
              <w:ind w:left="716"/>
              <w:spacing w:before="2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49" w:type="dxa"/>
            <w:vAlign w:val="top"/>
            <w:tcBorders>
              <w:right w:val="nil"/>
            </w:tcBorders>
          </w:tcPr>
          <w:p>
            <w:pPr>
              <w:pStyle w:val="TableText"/>
              <w:ind w:left="277" w:right="259" w:firstLine="98"/>
              <w:spacing w:before="34" w:line="233" w:lineRule="auto"/>
              <w:rPr/>
            </w:pPr>
            <w:r>
              <w:rPr>
                <w:spacing w:val="2"/>
              </w:rPr>
              <w:t>矿区</w:t>
            </w:r>
            <w:r>
              <w:rPr>
                <w:spacing w:val="3"/>
              </w:rPr>
              <w:t>不储存</w:t>
            </w:r>
          </w:p>
        </w:tc>
      </w:tr>
      <w:tr>
        <w:trPr>
          <w:trHeight w:val="549" w:hRule="atLeast"/>
        </w:trPr>
        <w:tc>
          <w:tcPr>
            <w:tcW w:w="658" w:type="dxa"/>
            <w:vAlign w:val="top"/>
            <w:tcBorders>
              <w:left w:val="nil"/>
            </w:tcBorders>
          </w:tcPr>
          <w:p>
            <w:pPr>
              <w:ind w:left="28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2" w:type="dxa"/>
            <w:vAlign w:val="top"/>
          </w:tcPr>
          <w:p>
            <w:pPr>
              <w:pStyle w:val="TableText"/>
              <w:ind w:left="548"/>
              <w:spacing w:before="170" w:line="232" w:lineRule="auto"/>
              <w:rPr/>
            </w:pPr>
            <w:r>
              <w:rPr>
                <w:spacing w:val="4"/>
              </w:rPr>
              <w:t>导爆索</w:t>
            </w:r>
          </w:p>
        </w:tc>
        <w:tc>
          <w:tcPr>
            <w:tcW w:w="764" w:type="dxa"/>
            <w:vAlign w:val="top"/>
          </w:tcPr>
          <w:p>
            <w:pPr>
              <w:ind w:left="298"/>
              <w:spacing w:before="252"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w:t>
            </w:r>
          </w:p>
        </w:tc>
        <w:tc>
          <w:tcPr>
            <w:tcW w:w="992" w:type="dxa"/>
            <w:vAlign w:val="top"/>
          </w:tcPr>
          <w:p>
            <w:pPr>
              <w:ind w:left="27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86.67</w:t>
            </w:r>
          </w:p>
        </w:tc>
        <w:tc>
          <w:tcPr>
            <w:tcW w:w="1042" w:type="dxa"/>
            <w:vAlign w:val="top"/>
          </w:tcPr>
          <w:p>
            <w:pPr>
              <w:ind w:left="26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28600</w:t>
            </w:r>
          </w:p>
        </w:tc>
        <w:tc>
          <w:tcPr>
            <w:tcW w:w="1105" w:type="dxa"/>
            <w:vAlign w:val="top"/>
            <w:vMerge w:val="continue"/>
            <w:tcBorders>
              <w:top w:val="nil"/>
            </w:tcBorders>
          </w:tcPr>
          <w:p>
            <w:pPr>
              <w:rPr>
                <w:rFonts w:ascii="Arial"/>
                <w:sz w:val="21"/>
              </w:rPr>
            </w:pPr>
            <w:r/>
          </w:p>
        </w:tc>
        <w:tc>
          <w:tcPr>
            <w:tcW w:w="1495" w:type="dxa"/>
            <w:vAlign w:val="top"/>
          </w:tcPr>
          <w:p>
            <w:pPr>
              <w:ind w:left="716"/>
              <w:spacing w:before="2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49" w:type="dxa"/>
            <w:vAlign w:val="top"/>
            <w:tcBorders>
              <w:right w:val="nil"/>
            </w:tcBorders>
          </w:tcPr>
          <w:p>
            <w:pPr>
              <w:pStyle w:val="TableText"/>
              <w:ind w:left="277" w:right="259" w:firstLine="98"/>
              <w:spacing w:before="36" w:line="232" w:lineRule="auto"/>
              <w:rPr/>
            </w:pPr>
            <w:r>
              <w:rPr>
                <w:spacing w:val="2"/>
              </w:rPr>
              <w:t>矿区</w:t>
            </w:r>
            <w:r>
              <w:rPr>
                <w:spacing w:val="3"/>
              </w:rPr>
              <w:t>不储存</w:t>
            </w:r>
          </w:p>
        </w:tc>
      </w:tr>
      <w:tr>
        <w:trPr>
          <w:trHeight w:val="549" w:hRule="atLeast"/>
        </w:trPr>
        <w:tc>
          <w:tcPr>
            <w:tcW w:w="658" w:type="dxa"/>
            <w:vAlign w:val="top"/>
            <w:tcBorders>
              <w:left w:val="nil"/>
            </w:tcBorders>
          </w:tcPr>
          <w:p>
            <w:pPr>
              <w:ind w:left="279"/>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702" w:type="dxa"/>
            <w:vAlign w:val="top"/>
          </w:tcPr>
          <w:p>
            <w:pPr>
              <w:pStyle w:val="TableText"/>
              <w:ind w:left="148" w:right="106" w:hanging="27"/>
              <w:spacing w:before="36" w:line="232" w:lineRule="auto"/>
              <w:rPr/>
            </w:pPr>
            <w:r>
              <w:rPr>
                <w:spacing w:val="-7"/>
              </w:rPr>
              <w:t>钎杆（</w:t>
            </w:r>
            <w:r>
              <w:rPr>
                <w:rFonts w:ascii="Times New Roman" w:hAnsi="Times New Roman" w:eastAsia="Times New Roman" w:cs="Times New Roman"/>
                <w:spacing w:val="-7"/>
              </w:rPr>
              <w:t>B22</w:t>
            </w:r>
            <w:r>
              <w:rPr>
                <w:spacing w:val="-7"/>
              </w:rPr>
              <w:t>，</w:t>
            </w:r>
            <w:r>
              <w:rPr>
                <w:rFonts w:ascii="Times New Roman" w:hAnsi="Times New Roman" w:eastAsia="Times New Roman" w:cs="Times New Roman"/>
                <w:spacing w:val="-7"/>
              </w:rPr>
              <w:t>2.5m</w:t>
            </w:r>
            <w:r>
              <w:rPr>
                <w:spacing w:val="4"/>
              </w:rPr>
              <w:t>长，</w:t>
            </w:r>
            <w:r>
              <w:rPr>
                <w:rFonts w:ascii="Times New Roman" w:hAnsi="Times New Roman" w:eastAsia="Times New Roman" w:cs="Times New Roman"/>
                <w:spacing w:val="4"/>
              </w:rPr>
              <w:t>3.06</w:t>
            </w:r>
            <w:r>
              <w:rPr>
                <w:rFonts w:ascii="Times New Roman" w:hAnsi="Times New Roman" w:eastAsia="Times New Roman" w:cs="Times New Roman"/>
              </w:rPr>
              <w:t>kg</w:t>
            </w:r>
            <w:r>
              <w:rPr>
                <w:rFonts w:ascii="Times New Roman" w:hAnsi="Times New Roman" w:eastAsia="Times New Roman" w:cs="Times New Roman"/>
                <w:spacing w:val="4"/>
              </w:rPr>
              <w:t>/m</w:t>
            </w:r>
            <w:r>
              <w:rPr>
                <w:spacing w:val="4"/>
              </w:rPr>
              <w:t>）</w:t>
            </w:r>
          </w:p>
        </w:tc>
        <w:tc>
          <w:tcPr>
            <w:tcW w:w="764" w:type="dxa"/>
            <w:vAlign w:val="top"/>
          </w:tcPr>
          <w:p>
            <w:pPr>
              <w:ind w:left="274"/>
              <w:spacing w:before="20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kg</w:t>
            </w:r>
          </w:p>
        </w:tc>
        <w:tc>
          <w:tcPr>
            <w:tcW w:w="992" w:type="dxa"/>
            <w:vAlign w:val="top"/>
          </w:tcPr>
          <w:p>
            <w:pPr>
              <w:ind w:left="317"/>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w:t>
            </w:r>
          </w:p>
        </w:tc>
        <w:tc>
          <w:tcPr>
            <w:tcW w:w="1042" w:type="dxa"/>
            <w:vAlign w:val="top"/>
          </w:tcPr>
          <w:p>
            <w:pPr>
              <w:ind w:left="336"/>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1100</w:t>
            </w:r>
          </w:p>
        </w:tc>
        <w:tc>
          <w:tcPr>
            <w:tcW w:w="1105" w:type="dxa"/>
            <w:vAlign w:val="top"/>
          </w:tcPr>
          <w:p>
            <w:pPr>
              <w:pStyle w:val="TableText"/>
              <w:ind w:left="357"/>
              <w:spacing w:before="170" w:line="232" w:lineRule="auto"/>
              <w:rPr/>
            </w:pPr>
            <w:r>
              <w:rPr/>
              <w:t>外购</w:t>
            </w:r>
          </w:p>
        </w:tc>
        <w:tc>
          <w:tcPr>
            <w:tcW w:w="1495" w:type="dxa"/>
            <w:vAlign w:val="top"/>
          </w:tcPr>
          <w:p>
            <w:pPr>
              <w:ind w:left="569"/>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w:t>
            </w:r>
          </w:p>
        </w:tc>
        <w:tc>
          <w:tcPr>
            <w:tcW w:w="1149" w:type="dxa"/>
            <w:vAlign w:val="top"/>
            <w:tcBorders>
              <w:right w:val="nil"/>
            </w:tcBorders>
          </w:tcPr>
          <w:p>
            <w:pPr>
              <w:pStyle w:val="TableText"/>
              <w:ind w:left="379"/>
              <w:spacing w:before="170" w:line="231" w:lineRule="auto"/>
              <w:rPr/>
            </w:pPr>
            <w:r>
              <w:rPr>
                <w:spacing w:val="-1"/>
              </w:rPr>
              <w:t>仓库</w:t>
            </w:r>
          </w:p>
        </w:tc>
      </w:tr>
      <w:tr>
        <w:trPr>
          <w:trHeight w:val="280" w:hRule="atLeast"/>
        </w:trPr>
        <w:tc>
          <w:tcPr>
            <w:tcW w:w="658" w:type="dxa"/>
            <w:vAlign w:val="top"/>
            <w:tcBorders>
              <w:left w:val="nil"/>
            </w:tcBorders>
          </w:tcPr>
          <w:p>
            <w:pPr>
              <w:ind w:left="286"/>
              <w:spacing w:before="7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02" w:type="dxa"/>
            <w:vAlign w:val="top"/>
          </w:tcPr>
          <w:p>
            <w:pPr>
              <w:pStyle w:val="TableText"/>
              <w:ind w:left="653"/>
              <w:spacing w:before="37" w:line="215" w:lineRule="auto"/>
              <w:rPr/>
            </w:pPr>
            <w:r>
              <w:rPr>
                <w:spacing w:val="1"/>
              </w:rPr>
              <w:t>柴油</w:t>
            </w:r>
          </w:p>
        </w:tc>
        <w:tc>
          <w:tcPr>
            <w:tcW w:w="764" w:type="dxa"/>
            <w:vAlign w:val="top"/>
          </w:tcPr>
          <w:p>
            <w:pPr>
              <w:ind w:left="352"/>
              <w:spacing w:before="90"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2" w:type="dxa"/>
            <w:vAlign w:val="top"/>
          </w:tcPr>
          <w:p>
            <w:pPr>
              <w:ind w:left="262"/>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22.00</w:t>
            </w:r>
          </w:p>
        </w:tc>
        <w:tc>
          <w:tcPr>
            <w:tcW w:w="1042" w:type="dxa"/>
            <w:vAlign w:val="top"/>
          </w:tcPr>
          <w:p>
            <w:pPr>
              <w:ind w:left="317"/>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7260</w:t>
            </w:r>
          </w:p>
        </w:tc>
        <w:tc>
          <w:tcPr>
            <w:tcW w:w="1105" w:type="dxa"/>
            <w:vAlign w:val="top"/>
          </w:tcPr>
          <w:p>
            <w:pPr>
              <w:pStyle w:val="TableText"/>
              <w:ind w:left="357"/>
              <w:spacing w:before="37" w:line="215" w:lineRule="auto"/>
              <w:rPr/>
            </w:pPr>
            <w:r>
              <w:rPr/>
              <w:t>外购</w:t>
            </w:r>
          </w:p>
        </w:tc>
        <w:tc>
          <w:tcPr>
            <w:tcW w:w="1495" w:type="dxa"/>
            <w:vAlign w:val="top"/>
          </w:tcPr>
          <w:p>
            <w:pPr>
              <w:ind w:left="593"/>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w:t>
            </w:r>
          </w:p>
        </w:tc>
        <w:tc>
          <w:tcPr>
            <w:tcW w:w="1149" w:type="dxa"/>
            <w:vAlign w:val="top"/>
            <w:tcBorders>
              <w:right w:val="nil"/>
            </w:tcBorders>
          </w:tcPr>
          <w:p>
            <w:pPr>
              <w:pStyle w:val="TableText"/>
              <w:ind w:left="272"/>
              <w:spacing w:before="37" w:line="215" w:lineRule="auto"/>
              <w:rPr/>
            </w:pPr>
            <w:r>
              <w:rPr>
                <w:spacing w:val="5"/>
              </w:rPr>
              <w:t>机修室</w:t>
            </w:r>
          </w:p>
        </w:tc>
      </w:tr>
    </w:tbl>
    <w:p>
      <w:pPr>
        <w:pStyle w:val="BodyText"/>
        <w:rPr/>
      </w:pPr>
      <w:r/>
    </w:p>
    <w:p>
      <w:pPr>
        <w:sectPr>
          <w:footerReference w:type="default" r:id="rId125"/>
          <w:pgSz w:w="11911" w:h="16839"/>
          <w:pgMar w:top="400" w:right="1309" w:bottom="1146" w:left="1689" w:header="0" w:footer="984" w:gutter="0"/>
        </w:sectPr>
        <w:rPr/>
      </w:pPr>
    </w:p>
    <w:p>
      <w:pPr>
        <w:spacing w:before="13"/>
        <w:rPr/>
      </w:pPr>
      <w:r/>
    </w:p>
    <w:p>
      <w:pPr>
        <w:spacing w:before="13"/>
        <w:rPr/>
      </w:pPr>
      <w:r/>
    </w:p>
    <w:p>
      <w:pPr>
        <w:spacing w:before="13"/>
        <w:rPr/>
      </w:pPr>
      <w:r/>
    </w:p>
    <w:p>
      <w:pPr>
        <w:spacing w:before="12"/>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8"/>
        <w:gridCol w:w="1701"/>
        <w:gridCol w:w="764"/>
        <w:gridCol w:w="993"/>
        <w:gridCol w:w="1042"/>
        <w:gridCol w:w="1105"/>
        <w:gridCol w:w="1495"/>
        <w:gridCol w:w="1149"/>
      </w:tblGrid>
      <w:tr>
        <w:trPr>
          <w:trHeight w:val="279" w:hRule="atLeast"/>
        </w:trPr>
        <w:tc>
          <w:tcPr>
            <w:tcW w:w="658" w:type="dxa"/>
            <w:vAlign w:val="top"/>
            <w:tcBorders>
              <w:left w:val="nil"/>
            </w:tcBorders>
          </w:tcPr>
          <w:p>
            <w:pPr>
              <w:ind w:left="28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01" w:type="dxa"/>
            <w:vAlign w:val="top"/>
          </w:tcPr>
          <w:p>
            <w:pPr>
              <w:pStyle w:val="TableText"/>
              <w:ind w:left="545"/>
              <w:spacing w:before="36" w:line="215" w:lineRule="auto"/>
              <w:rPr/>
            </w:pPr>
            <w:r>
              <w:rPr>
                <w:spacing w:val="5"/>
              </w:rPr>
              <w:t>润滑油</w:t>
            </w:r>
          </w:p>
        </w:tc>
        <w:tc>
          <w:tcPr>
            <w:tcW w:w="764" w:type="dxa"/>
            <w:vAlign w:val="top"/>
          </w:tcPr>
          <w:p>
            <w:pPr>
              <w:ind w:left="353"/>
              <w:spacing w:before="90"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3" w:type="dxa"/>
            <w:vAlign w:val="top"/>
          </w:tcPr>
          <w:p>
            <w:pPr>
              <w:ind w:left="283"/>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12.00</w:t>
            </w:r>
          </w:p>
        </w:tc>
        <w:tc>
          <w:tcPr>
            <w:tcW w:w="1042" w:type="dxa"/>
            <w:vAlign w:val="top"/>
          </w:tcPr>
          <w:p>
            <w:pPr>
              <w:ind w:left="318"/>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3960</w:t>
            </w:r>
          </w:p>
        </w:tc>
        <w:tc>
          <w:tcPr>
            <w:tcW w:w="1105" w:type="dxa"/>
            <w:vAlign w:val="top"/>
          </w:tcPr>
          <w:p>
            <w:pPr>
              <w:pStyle w:val="TableText"/>
              <w:ind w:left="357"/>
              <w:spacing w:before="36" w:line="215" w:lineRule="auto"/>
              <w:rPr/>
            </w:pPr>
            <w:r>
              <w:rPr/>
              <w:t>外购</w:t>
            </w:r>
          </w:p>
        </w:tc>
        <w:tc>
          <w:tcPr>
            <w:tcW w:w="1495" w:type="dxa"/>
            <w:vAlign w:val="top"/>
          </w:tcPr>
          <w:p>
            <w:pPr>
              <w:ind w:left="613"/>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149" w:type="dxa"/>
            <w:vAlign w:val="top"/>
            <w:tcBorders>
              <w:right w:val="nil"/>
            </w:tcBorders>
          </w:tcPr>
          <w:p>
            <w:pPr>
              <w:pStyle w:val="TableText"/>
              <w:ind w:left="379"/>
              <w:spacing w:before="36" w:line="215" w:lineRule="auto"/>
              <w:rPr/>
            </w:pPr>
            <w:r>
              <w:rPr>
                <w:spacing w:val="-1"/>
              </w:rPr>
              <w:t>仓库</w:t>
            </w:r>
          </w:p>
        </w:tc>
      </w:tr>
      <w:tr>
        <w:trPr>
          <w:trHeight w:val="275" w:hRule="atLeast"/>
        </w:trPr>
        <w:tc>
          <w:tcPr>
            <w:tcW w:w="658" w:type="dxa"/>
            <w:vAlign w:val="top"/>
            <w:tcBorders>
              <w:left w:val="nil"/>
            </w:tcBorders>
          </w:tcPr>
          <w:p>
            <w:pPr>
              <w:ind w:left="284"/>
              <w:spacing w:before="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01" w:type="dxa"/>
            <w:vAlign w:val="top"/>
          </w:tcPr>
          <w:p>
            <w:pPr>
              <w:pStyle w:val="TableText"/>
              <w:ind w:left="651"/>
              <w:spacing w:before="35" w:line="212" w:lineRule="auto"/>
              <w:rPr/>
            </w:pPr>
            <w:r>
              <w:rPr>
                <w:spacing w:val="2"/>
              </w:rPr>
              <w:t>轮胎</w:t>
            </w:r>
          </w:p>
        </w:tc>
        <w:tc>
          <w:tcPr>
            <w:tcW w:w="764" w:type="dxa"/>
            <w:vAlign w:val="top"/>
          </w:tcPr>
          <w:p>
            <w:pPr>
              <w:pStyle w:val="TableText"/>
              <w:ind w:left="290"/>
              <w:spacing w:before="35" w:line="212" w:lineRule="auto"/>
              <w:rPr/>
            </w:pPr>
            <w:r>
              <w:rPr/>
              <w:t>条</w:t>
            </w:r>
          </w:p>
        </w:tc>
        <w:tc>
          <w:tcPr>
            <w:tcW w:w="993" w:type="dxa"/>
            <w:vAlign w:val="top"/>
          </w:tcPr>
          <w:p>
            <w:pPr>
              <w:ind w:left="317"/>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042" w:type="dxa"/>
            <w:vAlign w:val="top"/>
          </w:tcPr>
          <w:p>
            <w:pPr>
              <w:ind w:left="339"/>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49.5</w:t>
            </w:r>
          </w:p>
        </w:tc>
        <w:tc>
          <w:tcPr>
            <w:tcW w:w="1105" w:type="dxa"/>
            <w:vAlign w:val="top"/>
          </w:tcPr>
          <w:p>
            <w:pPr>
              <w:pStyle w:val="TableText"/>
              <w:ind w:left="357"/>
              <w:spacing w:before="35" w:line="212" w:lineRule="auto"/>
              <w:rPr/>
            </w:pPr>
            <w:r>
              <w:rPr/>
              <w:t>外购</w:t>
            </w:r>
          </w:p>
        </w:tc>
        <w:tc>
          <w:tcPr>
            <w:tcW w:w="1495" w:type="dxa"/>
            <w:vAlign w:val="top"/>
          </w:tcPr>
          <w:p>
            <w:pPr>
              <w:ind w:left="637"/>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149" w:type="dxa"/>
            <w:vAlign w:val="top"/>
            <w:tcBorders>
              <w:right w:val="nil"/>
            </w:tcBorders>
          </w:tcPr>
          <w:p>
            <w:pPr>
              <w:pStyle w:val="TableText"/>
              <w:ind w:left="379"/>
              <w:spacing w:before="35" w:line="212" w:lineRule="auto"/>
              <w:rPr/>
            </w:pPr>
            <w:r>
              <w:rPr>
                <w:spacing w:val="-1"/>
              </w:rPr>
              <w:t>仓库</w:t>
            </w:r>
          </w:p>
        </w:tc>
      </w:tr>
      <w:tr>
        <w:trPr>
          <w:trHeight w:val="274" w:hRule="atLeast"/>
        </w:trPr>
        <w:tc>
          <w:tcPr>
            <w:tcW w:w="658" w:type="dxa"/>
            <w:vAlign w:val="top"/>
            <w:tcBorders>
              <w:left w:val="nil"/>
            </w:tcBorders>
          </w:tcPr>
          <w:p>
            <w:pPr>
              <w:ind w:left="28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01" w:type="dxa"/>
            <w:vAlign w:val="top"/>
          </w:tcPr>
          <w:p>
            <w:pPr>
              <w:pStyle w:val="TableText"/>
              <w:ind w:left="653"/>
              <w:spacing w:before="36" w:line="210" w:lineRule="auto"/>
              <w:rPr/>
            </w:pPr>
            <w:r>
              <w:rPr>
                <w:spacing w:val="1"/>
              </w:rPr>
              <w:t>坑木</w:t>
            </w:r>
          </w:p>
        </w:tc>
        <w:tc>
          <w:tcPr>
            <w:tcW w:w="764" w:type="dxa"/>
            <w:vAlign w:val="top"/>
          </w:tcPr>
          <w:p>
            <w:pPr>
              <w:ind w:left="266"/>
              <w:spacing w:before="5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position w:val="-3"/>
              </w:rPr>
              <w:t>m</w:t>
            </w:r>
            <w:r>
              <w:rPr>
                <w:rFonts w:ascii="Times New Roman" w:hAnsi="Times New Roman" w:eastAsia="Times New Roman" w:cs="Times New Roman"/>
                <w:sz w:val="13"/>
                <w:szCs w:val="13"/>
                <w:spacing w:val="4"/>
                <w:position w:val="3"/>
              </w:rPr>
              <w:t>3</w:t>
            </w:r>
          </w:p>
        </w:tc>
        <w:tc>
          <w:tcPr>
            <w:tcW w:w="993" w:type="dxa"/>
            <w:vAlign w:val="top"/>
          </w:tcPr>
          <w:p>
            <w:pPr>
              <w:ind w:left="317"/>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0.47</w:t>
            </w:r>
          </w:p>
        </w:tc>
        <w:tc>
          <w:tcPr>
            <w:tcW w:w="1042" w:type="dxa"/>
            <w:vAlign w:val="top"/>
          </w:tcPr>
          <w:p>
            <w:pPr>
              <w:ind w:left="384"/>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154</w:t>
            </w:r>
          </w:p>
        </w:tc>
        <w:tc>
          <w:tcPr>
            <w:tcW w:w="1105" w:type="dxa"/>
            <w:vAlign w:val="top"/>
          </w:tcPr>
          <w:p>
            <w:pPr>
              <w:pStyle w:val="TableText"/>
              <w:ind w:left="357"/>
              <w:spacing w:before="36" w:line="210" w:lineRule="auto"/>
              <w:rPr/>
            </w:pPr>
            <w:r>
              <w:rPr/>
              <w:t>外购</w:t>
            </w:r>
          </w:p>
        </w:tc>
        <w:tc>
          <w:tcPr>
            <w:tcW w:w="1495" w:type="dxa"/>
            <w:vAlign w:val="top"/>
          </w:tcPr>
          <w:p>
            <w:pPr>
              <w:ind w:left="616"/>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149" w:type="dxa"/>
            <w:vAlign w:val="top"/>
            <w:tcBorders>
              <w:right w:val="nil"/>
            </w:tcBorders>
          </w:tcPr>
          <w:p>
            <w:pPr>
              <w:pStyle w:val="TableText"/>
              <w:ind w:left="379"/>
              <w:spacing w:before="36" w:line="210" w:lineRule="auto"/>
              <w:rPr/>
            </w:pPr>
            <w:r>
              <w:rPr>
                <w:spacing w:val="-1"/>
              </w:rPr>
              <w:t>仓库</w:t>
            </w:r>
          </w:p>
        </w:tc>
      </w:tr>
      <w:tr>
        <w:trPr>
          <w:trHeight w:val="274" w:hRule="atLeast"/>
        </w:trPr>
        <w:tc>
          <w:tcPr>
            <w:tcW w:w="658" w:type="dxa"/>
            <w:vAlign w:val="top"/>
            <w:tcBorders>
              <w:left w:val="nil"/>
            </w:tcBorders>
          </w:tcPr>
          <w:p>
            <w:pPr>
              <w:pStyle w:val="TableText"/>
              <w:ind w:left="243"/>
              <w:spacing w:before="67" w:line="181" w:lineRule="auto"/>
              <w:rPr/>
            </w:pPr>
            <w:r>
              <w:rPr/>
              <w:t>三</w:t>
            </w:r>
          </w:p>
        </w:tc>
        <w:tc>
          <w:tcPr>
            <w:tcW w:w="8249" w:type="dxa"/>
            <w:vAlign w:val="top"/>
            <w:gridSpan w:val="7"/>
            <w:tcBorders>
              <w:right w:val="nil"/>
            </w:tcBorders>
          </w:tcPr>
          <w:p>
            <w:pPr>
              <w:pStyle w:val="TableText"/>
              <w:ind w:left="3928"/>
              <w:spacing w:before="40" w:line="206" w:lineRule="auto"/>
              <w:rPr/>
            </w:pPr>
            <w:r>
              <w:rPr/>
              <w:t>选矿</w:t>
            </w:r>
          </w:p>
        </w:tc>
      </w:tr>
      <w:tr>
        <w:trPr>
          <w:trHeight w:val="275" w:hRule="atLeast"/>
        </w:trPr>
        <w:tc>
          <w:tcPr>
            <w:tcW w:w="658" w:type="dxa"/>
            <w:vAlign w:val="top"/>
            <w:tcBorders>
              <w:left w:val="nil"/>
            </w:tcBorders>
          </w:tcPr>
          <w:p>
            <w:pPr>
              <w:ind w:left="301"/>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1" w:type="dxa"/>
            <w:vAlign w:val="top"/>
          </w:tcPr>
          <w:p>
            <w:pPr>
              <w:pStyle w:val="TableText"/>
              <w:ind w:left="185"/>
              <w:spacing w:before="41" w:line="206" w:lineRule="auto"/>
              <w:rPr>
                <w:rFonts w:ascii="Times New Roman" w:hAnsi="Times New Roman" w:eastAsia="Times New Roman" w:cs="Times New Roman"/>
                <w:sz w:val="13"/>
                <w:szCs w:val="13"/>
              </w:rPr>
            </w:pPr>
            <w:r>
              <w:rPr>
                <w:spacing w:val="9"/>
              </w:rPr>
              <w:t>捕收剂</w:t>
            </w:r>
            <w:r>
              <w:rPr>
                <w:spacing w:val="-47"/>
              </w:rPr>
              <w:t xml:space="preserve"> </w:t>
            </w:r>
            <w:r>
              <w:rPr>
                <w:rFonts w:ascii="Times New Roman" w:hAnsi="Times New Roman" w:eastAsia="Times New Roman" w:cs="Times New Roman"/>
              </w:rPr>
              <w:t>Na</w:t>
            </w:r>
            <w:r>
              <w:rPr>
                <w:rFonts w:ascii="Times New Roman" w:hAnsi="Times New Roman" w:eastAsia="Times New Roman" w:cs="Times New Roman"/>
                <w:sz w:val="13"/>
                <w:szCs w:val="13"/>
                <w:spacing w:val="9"/>
              </w:rPr>
              <w:t>2</w:t>
            </w:r>
            <w:r>
              <w:rPr>
                <w:rFonts w:ascii="Times New Roman" w:hAnsi="Times New Roman" w:eastAsia="Times New Roman" w:cs="Times New Roman"/>
              </w:rPr>
              <w:t>CO</w:t>
            </w:r>
            <w:r>
              <w:rPr>
                <w:rFonts w:ascii="Times New Roman" w:hAnsi="Times New Roman" w:eastAsia="Times New Roman" w:cs="Times New Roman"/>
                <w:sz w:val="13"/>
                <w:szCs w:val="13"/>
                <w:spacing w:val="9"/>
                <w:position w:val="-1"/>
              </w:rPr>
              <w:t>3</w:t>
            </w:r>
          </w:p>
        </w:tc>
        <w:tc>
          <w:tcPr>
            <w:tcW w:w="764" w:type="dxa"/>
            <w:vAlign w:val="top"/>
          </w:tcPr>
          <w:p>
            <w:pPr>
              <w:ind w:left="353"/>
              <w:spacing w:before="96"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3" w:type="dxa"/>
            <w:vAlign w:val="top"/>
          </w:tcPr>
          <w:p>
            <w:pPr>
              <w:ind w:left="333"/>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1.17</w:t>
            </w:r>
          </w:p>
        </w:tc>
        <w:tc>
          <w:tcPr>
            <w:tcW w:w="1042" w:type="dxa"/>
            <w:vAlign w:val="top"/>
          </w:tcPr>
          <w:p>
            <w:pPr>
              <w:ind w:left="289"/>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350.5</w:t>
            </w:r>
          </w:p>
        </w:tc>
        <w:tc>
          <w:tcPr>
            <w:tcW w:w="1105" w:type="dxa"/>
            <w:vAlign w:val="top"/>
          </w:tcPr>
          <w:p>
            <w:pPr>
              <w:pStyle w:val="TableText"/>
              <w:ind w:left="357"/>
              <w:spacing w:before="41" w:line="206" w:lineRule="auto"/>
              <w:rPr/>
            </w:pPr>
            <w:r>
              <w:rPr/>
              <w:t>外购</w:t>
            </w:r>
          </w:p>
        </w:tc>
        <w:tc>
          <w:tcPr>
            <w:tcW w:w="1495" w:type="dxa"/>
            <w:vAlign w:val="top"/>
          </w:tcPr>
          <w:p>
            <w:pPr>
              <w:ind w:left="664"/>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149" w:type="dxa"/>
            <w:vAlign w:val="top"/>
            <w:tcBorders>
              <w:right w:val="nil"/>
            </w:tcBorders>
          </w:tcPr>
          <w:p>
            <w:pPr>
              <w:pStyle w:val="TableText"/>
              <w:ind w:left="275"/>
              <w:spacing w:before="41" w:line="206" w:lineRule="auto"/>
              <w:rPr/>
            </w:pPr>
            <w:r>
              <w:rPr>
                <w:spacing w:val="3"/>
              </w:rPr>
              <w:t>药剂室</w:t>
            </w:r>
          </w:p>
        </w:tc>
      </w:tr>
      <w:tr>
        <w:trPr>
          <w:trHeight w:val="275" w:hRule="atLeast"/>
        </w:trPr>
        <w:tc>
          <w:tcPr>
            <w:tcW w:w="658" w:type="dxa"/>
            <w:vAlign w:val="top"/>
            <w:tcBorders>
              <w:left w:val="nil"/>
            </w:tcBorders>
          </w:tcPr>
          <w:p>
            <w:pPr>
              <w:ind w:left="280"/>
              <w:spacing w:before="8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1" w:type="dxa"/>
            <w:vAlign w:val="top"/>
          </w:tcPr>
          <w:p>
            <w:pPr>
              <w:pStyle w:val="TableText"/>
              <w:ind w:left="299"/>
              <w:spacing w:before="45" w:line="203" w:lineRule="auto"/>
              <w:rPr>
                <w:rFonts w:ascii="Times New Roman" w:hAnsi="Times New Roman" w:eastAsia="Times New Roman" w:cs="Times New Roman"/>
              </w:rPr>
            </w:pPr>
            <w:r>
              <w:rPr>
                <w:spacing w:val="6"/>
              </w:rPr>
              <w:t>调整剂</w:t>
            </w:r>
            <w:r>
              <w:rPr>
                <w:spacing w:val="-45"/>
              </w:rPr>
              <w:t xml:space="preserve"> </w:t>
            </w:r>
            <w:r>
              <w:rPr>
                <w:rFonts w:ascii="Times New Roman" w:hAnsi="Times New Roman" w:eastAsia="Times New Roman" w:cs="Times New Roman"/>
              </w:rPr>
              <w:t>YS</w:t>
            </w:r>
            <w:r>
              <w:rPr>
                <w:rFonts w:ascii="Times New Roman" w:hAnsi="Times New Roman" w:eastAsia="Times New Roman" w:cs="Times New Roman"/>
                <w:spacing w:val="6"/>
              </w:rPr>
              <w:t>-1</w:t>
            </w:r>
          </w:p>
        </w:tc>
        <w:tc>
          <w:tcPr>
            <w:tcW w:w="764" w:type="dxa"/>
            <w:vAlign w:val="top"/>
          </w:tcPr>
          <w:p>
            <w:pPr>
              <w:ind w:left="353"/>
              <w:spacing w:before="99"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3" w:type="dxa"/>
            <w:vAlign w:val="top"/>
          </w:tcPr>
          <w:p>
            <w:pPr>
              <w:ind w:left="317"/>
              <w:spacing w:before="8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042" w:type="dxa"/>
            <w:vAlign w:val="top"/>
          </w:tcPr>
          <w:p>
            <w:pPr>
              <w:ind w:left="339"/>
              <w:spacing w:before="8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1105" w:type="dxa"/>
            <w:vAlign w:val="top"/>
          </w:tcPr>
          <w:p>
            <w:pPr>
              <w:pStyle w:val="TableText"/>
              <w:ind w:left="357"/>
              <w:spacing w:before="45" w:line="203" w:lineRule="auto"/>
              <w:rPr/>
            </w:pPr>
            <w:r>
              <w:rPr/>
              <w:t>外购</w:t>
            </w:r>
          </w:p>
        </w:tc>
        <w:tc>
          <w:tcPr>
            <w:tcW w:w="1495" w:type="dxa"/>
            <w:vAlign w:val="top"/>
          </w:tcPr>
          <w:p>
            <w:pPr>
              <w:ind w:left="702"/>
              <w:spacing w:before="84"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9" w:type="dxa"/>
            <w:vAlign w:val="top"/>
            <w:tcBorders>
              <w:right w:val="nil"/>
            </w:tcBorders>
          </w:tcPr>
          <w:p>
            <w:pPr>
              <w:pStyle w:val="TableText"/>
              <w:ind w:left="275"/>
              <w:spacing w:before="45" w:line="203" w:lineRule="auto"/>
              <w:rPr/>
            </w:pPr>
            <w:r>
              <w:rPr>
                <w:spacing w:val="3"/>
              </w:rPr>
              <w:t>药剂室</w:t>
            </w:r>
          </w:p>
        </w:tc>
      </w:tr>
      <w:tr>
        <w:trPr>
          <w:trHeight w:val="274" w:hRule="atLeast"/>
        </w:trPr>
        <w:tc>
          <w:tcPr>
            <w:tcW w:w="658" w:type="dxa"/>
            <w:vAlign w:val="top"/>
            <w:tcBorders>
              <w:left w:val="nil"/>
            </w:tcBorders>
          </w:tcPr>
          <w:p>
            <w:pPr>
              <w:ind w:left="285"/>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1" w:type="dxa"/>
            <w:vAlign w:val="top"/>
          </w:tcPr>
          <w:p>
            <w:pPr>
              <w:pStyle w:val="TableText"/>
              <w:ind w:left="298"/>
              <w:spacing w:before="48" w:line="199" w:lineRule="auto"/>
              <w:rPr>
                <w:rFonts w:ascii="Times New Roman" w:hAnsi="Times New Roman" w:eastAsia="Times New Roman" w:cs="Times New Roman"/>
              </w:rPr>
            </w:pPr>
            <w:r>
              <w:rPr>
                <w:spacing w:val="6"/>
              </w:rPr>
              <w:t>抑制剂</w:t>
            </w:r>
            <w:r>
              <w:rPr>
                <w:spacing w:val="-45"/>
              </w:rPr>
              <w:t xml:space="preserve"> </w:t>
            </w:r>
            <w:r>
              <w:rPr>
                <w:rFonts w:ascii="Times New Roman" w:hAnsi="Times New Roman" w:eastAsia="Times New Roman" w:cs="Times New Roman"/>
              </w:rPr>
              <w:t>YS</w:t>
            </w:r>
            <w:r>
              <w:rPr>
                <w:rFonts w:ascii="Times New Roman" w:hAnsi="Times New Roman" w:eastAsia="Times New Roman" w:cs="Times New Roman"/>
                <w:spacing w:val="6"/>
              </w:rPr>
              <w:t>-5</w:t>
            </w:r>
          </w:p>
        </w:tc>
        <w:tc>
          <w:tcPr>
            <w:tcW w:w="764" w:type="dxa"/>
            <w:vAlign w:val="top"/>
          </w:tcPr>
          <w:p>
            <w:pPr>
              <w:ind w:left="353"/>
              <w:spacing w:before="102" w:line="16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3" w:type="dxa"/>
            <w:vAlign w:val="top"/>
          </w:tcPr>
          <w:p>
            <w:pPr>
              <w:ind w:left="317"/>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042" w:type="dxa"/>
            <w:vAlign w:val="top"/>
          </w:tcPr>
          <w:p>
            <w:pPr>
              <w:ind w:left="339"/>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1105" w:type="dxa"/>
            <w:vAlign w:val="top"/>
          </w:tcPr>
          <w:p>
            <w:pPr>
              <w:pStyle w:val="TableText"/>
              <w:ind w:left="357"/>
              <w:spacing w:before="48" w:line="199" w:lineRule="auto"/>
              <w:rPr/>
            </w:pPr>
            <w:r>
              <w:rPr/>
              <w:t>外购</w:t>
            </w:r>
          </w:p>
        </w:tc>
        <w:tc>
          <w:tcPr>
            <w:tcW w:w="1495" w:type="dxa"/>
            <w:vAlign w:val="top"/>
          </w:tcPr>
          <w:p>
            <w:pPr>
              <w:ind w:left="702"/>
              <w:spacing w:before="87"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9" w:type="dxa"/>
            <w:vAlign w:val="top"/>
            <w:tcBorders>
              <w:right w:val="nil"/>
            </w:tcBorders>
          </w:tcPr>
          <w:p>
            <w:pPr>
              <w:pStyle w:val="TableText"/>
              <w:ind w:left="275"/>
              <w:spacing w:before="48" w:line="199" w:lineRule="auto"/>
              <w:rPr/>
            </w:pPr>
            <w:r>
              <w:rPr>
                <w:spacing w:val="3"/>
              </w:rPr>
              <w:t>药剂室</w:t>
            </w:r>
          </w:p>
        </w:tc>
      </w:tr>
      <w:tr>
        <w:trPr>
          <w:trHeight w:val="275" w:hRule="atLeast"/>
        </w:trPr>
        <w:tc>
          <w:tcPr>
            <w:tcW w:w="658" w:type="dxa"/>
            <w:vAlign w:val="top"/>
            <w:tcBorders>
              <w:left w:val="nil"/>
            </w:tcBorders>
          </w:tcPr>
          <w:p>
            <w:pPr>
              <w:pStyle w:val="TableText"/>
              <w:ind w:left="262"/>
              <w:spacing w:before="50" w:line="198" w:lineRule="auto"/>
              <w:rPr/>
            </w:pPr>
            <w:r>
              <w:rPr/>
              <w:t>四</w:t>
            </w:r>
          </w:p>
        </w:tc>
        <w:tc>
          <w:tcPr>
            <w:tcW w:w="8249" w:type="dxa"/>
            <w:vAlign w:val="top"/>
            <w:gridSpan w:val="7"/>
            <w:tcBorders>
              <w:right w:val="nil"/>
            </w:tcBorders>
          </w:tcPr>
          <w:p>
            <w:pPr>
              <w:pStyle w:val="TableText"/>
              <w:ind w:left="3926"/>
              <w:spacing w:before="50" w:line="198" w:lineRule="auto"/>
              <w:rPr/>
            </w:pPr>
            <w:r>
              <w:rPr>
                <w:spacing w:val="1"/>
              </w:rPr>
              <w:t>充填</w:t>
            </w:r>
          </w:p>
        </w:tc>
      </w:tr>
      <w:tr>
        <w:trPr>
          <w:trHeight w:val="298" w:hRule="atLeast"/>
        </w:trPr>
        <w:tc>
          <w:tcPr>
            <w:tcW w:w="658" w:type="dxa"/>
            <w:vAlign w:val="top"/>
            <w:tcBorders>
              <w:left w:val="nil"/>
              <w:bottom w:val="single" w:color="000000" w:sz="10" w:space="0"/>
            </w:tcBorders>
          </w:tcPr>
          <w:p>
            <w:pPr>
              <w:ind w:left="30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1" w:type="dxa"/>
            <w:vAlign w:val="top"/>
            <w:tcBorders>
              <w:bottom w:val="single" w:color="000000" w:sz="10" w:space="0"/>
            </w:tcBorders>
          </w:tcPr>
          <w:p>
            <w:pPr>
              <w:pStyle w:val="TableText"/>
              <w:ind w:left="651"/>
              <w:spacing w:before="54" w:line="216" w:lineRule="auto"/>
              <w:rPr/>
            </w:pPr>
            <w:r>
              <w:rPr>
                <w:spacing w:val="2"/>
              </w:rPr>
              <w:t>水泥</w:t>
            </w:r>
          </w:p>
        </w:tc>
        <w:tc>
          <w:tcPr>
            <w:tcW w:w="764" w:type="dxa"/>
            <w:vAlign w:val="top"/>
            <w:tcBorders>
              <w:bottom w:val="single" w:color="000000" w:sz="10" w:space="0"/>
            </w:tcBorders>
          </w:tcPr>
          <w:p>
            <w:pPr>
              <w:ind w:left="353"/>
              <w:spacing w:before="107"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93" w:type="dxa"/>
            <w:vAlign w:val="top"/>
            <w:tcBorders>
              <w:bottom w:val="single" w:color="000000" w:sz="10" w:space="0"/>
            </w:tcBorders>
          </w:tcPr>
          <w:p>
            <w:pPr>
              <w:ind w:left="28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19.48</w:t>
            </w:r>
          </w:p>
        </w:tc>
        <w:tc>
          <w:tcPr>
            <w:tcW w:w="1042" w:type="dxa"/>
            <w:vAlign w:val="top"/>
            <w:tcBorders>
              <w:bottom w:val="single" w:color="000000" w:sz="10" w:space="0"/>
            </w:tcBorders>
          </w:tcPr>
          <w:p>
            <w:pPr>
              <w:ind w:left="32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5844</w:t>
            </w:r>
          </w:p>
        </w:tc>
        <w:tc>
          <w:tcPr>
            <w:tcW w:w="1105" w:type="dxa"/>
            <w:vAlign w:val="top"/>
            <w:tcBorders>
              <w:bottom w:val="single" w:color="000000" w:sz="10" w:space="0"/>
            </w:tcBorders>
          </w:tcPr>
          <w:p>
            <w:pPr>
              <w:pStyle w:val="TableText"/>
              <w:ind w:left="357"/>
              <w:spacing w:before="54" w:line="216" w:lineRule="auto"/>
              <w:rPr/>
            </w:pPr>
            <w:r>
              <w:rPr/>
              <w:t>外购</w:t>
            </w:r>
          </w:p>
        </w:tc>
        <w:tc>
          <w:tcPr>
            <w:tcW w:w="1495" w:type="dxa"/>
            <w:vAlign w:val="top"/>
            <w:tcBorders>
              <w:bottom w:val="single" w:color="000000" w:sz="10" w:space="0"/>
            </w:tcBorders>
          </w:tcPr>
          <w:p>
            <w:pPr>
              <w:ind w:left="534"/>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194.8</w:t>
            </w:r>
          </w:p>
        </w:tc>
        <w:tc>
          <w:tcPr>
            <w:tcW w:w="1149" w:type="dxa"/>
            <w:vAlign w:val="top"/>
            <w:tcBorders>
              <w:right w:val="nil"/>
              <w:bottom w:val="single" w:color="000000" w:sz="10" w:space="0"/>
            </w:tcBorders>
          </w:tcPr>
          <w:p>
            <w:pPr>
              <w:pStyle w:val="TableText"/>
              <w:ind w:left="273"/>
              <w:spacing w:before="54" w:line="216" w:lineRule="auto"/>
              <w:rPr/>
            </w:pPr>
            <w:r>
              <w:rPr>
                <w:spacing w:val="4"/>
              </w:rPr>
              <w:t>充填站</w:t>
            </w:r>
          </w:p>
        </w:tc>
      </w:tr>
    </w:tbl>
    <w:p>
      <w:pPr>
        <w:pStyle w:val="BodyText"/>
        <w:spacing w:line="371" w:lineRule="auto"/>
        <w:rPr/>
      </w:pPr>
      <w:r/>
    </w:p>
    <w:p>
      <w:pPr>
        <w:ind w:left="605"/>
        <w:spacing w:before="78" w:line="220" w:lineRule="auto"/>
        <w:rPr>
          <w:rFonts w:ascii="FangSong" w:hAnsi="FangSong" w:eastAsia="FangSong" w:cs="FangSong"/>
          <w:sz w:val="24"/>
          <w:szCs w:val="24"/>
        </w:rPr>
      </w:pPr>
      <w:r>
        <w:rPr>
          <w:rFonts w:ascii="FangSong" w:hAnsi="FangSong" w:eastAsia="FangSong" w:cs="FangSong"/>
          <w:sz w:val="24"/>
          <w:szCs w:val="24"/>
          <w:spacing w:val="-2"/>
        </w:rPr>
        <w:t>本项目原辅材料理化性质见表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4.6-2</w:t>
      </w:r>
      <w:r>
        <w:rPr>
          <w:rFonts w:ascii="FangSong" w:hAnsi="FangSong" w:eastAsia="FangSong" w:cs="FangSong"/>
          <w:sz w:val="24"/>
          <w:szCs w:val="24"/>
          <w:spacing w:val="-2"/>
        </w:rPr>
        <w:t>。</w:t>
      </w:r>
    </w:p>
    <w:p>
      <w:pPr>
        <w:ind w:left="2689"/>
        <w:spacing w:before="179"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4.6-2  </w:t>
      </w:r>
      <w:r>
        <w:rPr>
          <w:rFonts w:ascii="FangSong" w:hAnsi="FangSong" w:eastAsia="FangSong" w:cs="FangSong"/>
          <w:sz w:val="24"/>
          <w:szCs w:val="24"/>
          <w:b/>
          <w:bCs/>
          <w:spacing w:val="-3"/>
        </w:rPr>
        <w:t>主要原辅材料理化性质表</w:t>
      </w:r>
    </w:p>
    <w:p>
      <w:pPr>
        <w:spacing w:line="145" w:lineRule="exact"/>
        <w:rPr/>
      </w:pPr>
      <w:r/>
    </w:p>
    <w:tbl>
      <w:tblPr>
        <w:tblStyle w:val="TableNormal"/>
        <w:tblW w:w="890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6"/>
        <w:gridCol w:w="1073"/>
        <w:gridCol w:w="949"/>
        <w:gridCol w:w="3988"/>
        <w:gridCol w:w="2311"/>
      </w:tblGrid>
      <w:tr>
        <w:trPr>
          <w:trHeight w:val="552" w:hRule="atLeast"/>
        </w:trPr>
        <w:tc>
          <w:tcPr>
            <w:tcW w:w="586" w:type="dxa"/>
            <w:vAlign w:val="top"/>
            <w:textDirection w:val="tbRlV"/>
            <w:tcBorders>
              <w:left w:val="nil"/>
              <w:top w:val="single" w:color="000000" w:sz="10" w:space="0"/>
            </w:tcBorders>
          </w:tcPr>
          <w:p>
            <w:pPr>
              <w:pStyle w:val="TableText"/>
              <w:ind w:left="35"/>
              <w:spacing w:before="186" w:line="209" w:lineRule="auto"/>
              <w:rPr/>
            </w:pPr>
            <w:r>
              <w:rPr>
                <w:spacing w:val="13"/>
              </w:rPr>
              <w:t>序</w:t>
            </w:r>
            <w:r>
              <w:rPr>
                <w:spacing w:val="-42"/>
              </w:rPr>
              <w:t xml:space="preserve"> </w:t>
            </w:r>
            <w:r>
              <w:rPr>
                <w:spacing w:val="13"/>
              </w:rPr>
              <w:t>号</w:t>
            </w:r>
          </w:p>
        </w:tc>
        <w:tc>
          <w:tcPr>
            <w:tcW w:w="1073" w:type="dxa"/>
            <w:vAlign w:val="top"/>
            <w:tcBorders>
              <w:top w:val="single" w:color="000000" w:sz="10" w:space="0"/>
            </w:tcBorders>
          </w:tcPr>
          <w:p>
            <w:pPr>
              <w:pStyle w:val="TableText"/>
              <w:ind w:left="338"/>
              <w:spacing w:before="170" w:line="229" w:lineRule="auto"/>
              <w:rPr/>
            </w:pPr>
            <w:r>
              <w:rPr>
                <w:spacing w:val="1"/>
              </w:rPr>
              <w:t>名称</w:t>
            </w:r>
          </w:p>
        </w:tc>
        <w:tc>
          <w:tcPr>
            <w:tcW w:w="949" w:type="dxa"/>
            <w:vAlign w:val="top"/>
            <w:tcBorders>
              <w:top w:val="single" w:color="000000" w:sz="10" w:space="0"/>
            </w:tcBorders>
          </w:tcPr>
          <w:p>
            <w:pPr>
              <w:pStyle w:val="TableText"/>
              <w:ind w:left="278"/>
              <w:spacing w:before="170" w:line="232" w:lineRule="auto"/>
              <w:rPr/>
            </w:pPr>
            <w:r>
              <w:rPr/>
              <w:t>成分</w:t>
            </w:r>
          </w:p>
        </w:tc>
        <w:tc>
          <w:tcPr>
            <w:tcW w:w="3988" w:type="dxa"/>
            <w:vAlign w:val="top"/>
            <w:tcBorders>
              <w:top w:val="single" w:color="000000" w:sz="10" w:space="0"/>
            </w:tcBorders>
          </w:tcPr>
          <w:p>
            <w:pPr>
              <w:pStyle w:val="TableText"/>
              <w:ind w:left="1586"/>
              <w:spacing w:before="169" w:line="229" w:lineRule="auto"/>
              <w:rPr/>
            </w:pPr>
            <w:r>
              <w:rPr>
                <w:spacing w:val="5"/>
              </w:rPr>
              <w:t>理化性质</w:t>
            </w:r>
          </w:p>
        </w:tc>
        <w:tc>
          <w:tcPr>
            <w:tcW w:w="2311" w:type="dxa"/>
            <w:vAlign w:val="top"/>
            <w:tcBorders>
              <w:right w:val="nil"/>
              <w:top w:val="single" w:color="000000" w:sz="10" w:space="0"/>
            </w:tcBorders>
          </w:tcPr>
          <w:p>
            <w:pPr>
              <w:pStyle w:val="TableText"/>
              <w:ind w:left="752"/>
              <w:spacing w:before="169" w:line="229" w:lineRule="auto"/>
              <w:rPr/>
            </w:pPr>
            <w:r>
              <w:rPr>
                <w:spacing w:val="4"/>
              </w:rPr>
              <w:t>危险特性</w:t>
            </w:r>
          </w:p>
        </w:tc>
      </w:tr>
      <w:tr>
        <w:trPr>
          <w:trHeight w:val="2178" w:hRule="atLeast"/>
        </w:trPr>
        <w:tc>
          <w:tcPr>
            <w:tcW w:w="586" w:type="dxa"/>
            <w:vAlign w:val="top"/>
            <w:tcBorders>
              <w:left w:val="nil"/>
            </w:tcBorders>
          </w:tcPr>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ind w:left="26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3" w:type="dxa"/>
            <w:vAlign w:val="top"/>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338"/>
              <w:spacing w:before="65" w:line="229" w:lineRule="auto"/>
              <w:rPr/>
            </w:pPr>
            <w:r>
              <w:rPr>
                <w:spacing w:val="1"/>
              </w:rPr>
              <w:t>柴油</w:t>
            </w:r>
          </w:p>
        </w:tc>
        <w:tc>
          <w:tcPr>
            <w:tcW w:w="949"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85" w:right="159" w:hanging="216"/>
              <w:spacing w:before="65" w:line="254" w:lineRule="auto"/>
              <w:rPr/>
            </w:pPr>
            <w:r>
              <w:rPr>
                <w:spacing w:val="5"/>
              </w:rPr>
              <w:t>矿物质</w:t>
            </w:r>
            <w:r>
              <w:rPr/>
              <w:t>油</w:t>
            </w:r>
          </w:p>
        </w:tc>
        <w:tc>
          <w:tcPr>
            <w:tcW w:w="3988" w:type="dxa"/>
            <w:vAlign w:val="top"/>
          </w:tcPr>
          <w:p>
            <w:pPr>
              <w:pStyle w:val="TableText"/>
              <w:ind w:left="118" w:right="20" w:firstLine="5"/>
              <w:spacing w:before="31" w:line="248" w:lineRule="auto"/>
              <w:jc w:val="both"/>
              <w:rPr/>
            </w:pPr>
            <w:r>
              <w:rPr>
                <w:spacing w:val="8"/>
              </w:rPr>
              <w:t>主要由烷烃、烯烃、环烷烃、芳香烃、多</w:t>
            </w:r>
            <w:r>
              <w:rPr>
                <w:spacing w:val="-2"/>
              </w:rPr>
              <w:t>环芳烃与少量硫（</w:t>
            </w:r>
            <w:r>
              <w:rPr>
                <w:rFonts w:ascii="Times New Roman" w:hAnsi="Times New Roman" w:eastAsia="Times New Roman" w:cs="Times New Roman"/>
                <w:spacing w:val="-2"/>
              </w:rPr>
              <w:t>2-60g/kg</w:t>
            </w:r>
            <w:r>
              <w:rPr>
                <w:spacing w:val="-2"/>
              </w:rPr>
              <w:t>）、氮（</w:t>
            </w:r>
            <w:r>
              <w:rPr>
                <w:rFonts w:ascii="Times New Roman" w:hAnsi="Times New Roman" w:eastAsia="Times New Roman" w:cs="Times New Roman"/>
                <w:spacing w:val="-2"/>
              </w:rPr>
              <w:t>&lt;1g/kg</w:t>
            </w:r>
            <w:r>
              <w:rPr>
                <w:spacing w:val="-2"/>
              </w:rPr>
              <w:t>）</w:t>
            </w:r>
            <w:r>
              <w:rPr>
                <w:spacing w:val="-3"/>
              </w:rPr>
              <w:t>及添加剂组成的混合物。沸点：</w:t>
            </w:r>
            <w:r>
              <w:rPr>
                <w:rFonts w:ascii="Times New Roman" w:hAnsi="Times New Roman" w:eastAsia="Times New Roman" w:cs="Times New Roman"/>
                <w:spacing w:val="-3"/>
              </w:rPr>
              <w:t>282-338℃</w:t>
            </w:r>
            <w:r>
              <w:rPr>
                <w:spacing w:val="-3"/>
              </w:rPr>
              <w:t>;</w:t>
            </w:r>
            <w:r>
              <w:rPr>
                <w:spacing w:val="8"/>
              </w:rPr>
              <w:t>密度：相对密度（水</w:t>
            </w:r>
            <w:r>
              <w:rPr>
                <w:rFonts w:ascii="Times New Roman" w:hAnsi="Times New Roman" w:eastAsia="Times New Roman" w:cs="Times New Roman"/>
                <w:spacing w:val="8"/>
              </w:rPr>
              <w:t>=1</w:t>
            </w:r>
            <w:r>
              <w:rPr>
                <w:spacing w:val="8"/>
              </w:rPr>
              <w:t>）</w:t>
            </w:r>
            <w:r>
              <w:rPr>
                <w:rFonts w:ascii="Times New Roman" w:hAnsi="Times New Roman" w:eastAsia="Times New Roman" w:cs="Times New Roman"/>
                <w:spacing w:val="8"/>
              </w:rPr>
              <w:t>0.82-0.86</w:t>
            </w:r>
            <w:r>
              <w:rPr>
                <w:rFonts w:ascii="Times New Roman" w:hAnsi="Times New Roman" w:eastAsia="Times New Roman" w:cs="Times New Roman"/>
                <w:spacing w:val="-19"/>
              </w:rPr>
              <w:t xml:space="preserve"> </w:t>
            </w:r>
            <w:r>
              <w:rPr>
                <w:spacing w:val="-18"/>
              </w:rPr>
              <w:t>，（</w:t>
            </w:r>
            <w:r>
              <w:rPr>
                <w:spacing w:val="8"/>
              </w:rPr>
              <w:t>空</w:t>
            </w:r>
            <w:r>
              <w:rPr>
                <w:spacing w:val="4"/>
              </w:rPr>
              <w:t>气</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4.0</w:t>
            </w:r>
            <w:r>
              <w:rPr>
                <w:spacing w:val="4"/>
              </w:rPr>
              <w:t>；外观和性状：稍有粘性的淡黄</w:t>
            </w:r>
            <w:r>
              <w:rPr>
                <w:spacing w:val="9"/>
              </w:rPr>
              <w:t>色液体；饱和增气压：</w:t>
            </w:r>
            <w:r>
              <w:rPr>
                <w:rFonts w:ascii="Times New Roman" w:hAnsi="Times New Roman" w:eastAsia="Times New Roman" w:cs="Times New Roman"/>
                <w:spacing w:val="9"/>
              </w:rPr>
              <w:t>4.0</w:t>
            </w:r>
            <w:r>
              <w:rPr>
                <w:rFonts w:ascii="Times New Roman" w:hAnsi="Times New Roman" w:eastAsia="Times New Roman" w:cs="Times New Roman"/>
              </w:rPr>
              <w:t>kPa</w:t>
            </w:r>
            <w:r>
              <w:rPr>
                <w:spacing w:val="9"/>
              </w:rPr>
              <w:t>；燃烧热：</w:t>
            </w:r>
          </w:p>
          <w:p>
            <w:pPr>
              <w:pStyle w:val="TableText"/>
              <w:ind w:left="201"/>
              <w:spacing w:before="23" w:line="221" w:lineRule="auto"/>
              <w:rPr/>
            </w:pPr>
            <w:r>
              <w:rPr>
                <w:rFonts w:ascii="Times New Roman" w:hAnsi="Times New Roman" w:eastAsia="Times New Roman" w:cs="Times New Roman"/>
                <w:spacing w:val="4"/>
              </w:rPr>
              <w:t>33</w:t>
            </w:r>
            <w:r>
              <w:rPr>
                <w:rFonts w:ascii="Times New Roman" w:hAnsi="Times New Roman" w:eastAsia="Times New Roman" w:cs="Times New Roman"/>
              </w:rPr>
              <w:t>MJ</w:t>
            </w:r>
            <w:r>
              <w:rPr>
                <w:rFonts w:ascii="Times New Roman" w:hAnsi="Times New Roman" w:eastAsia="Times New Roman" w:cs="Times New Roman"/>
                <w:spacing w:val="4"/>
              </w:rPr>
              <w:t>/</w:t>
            </w:r>
            <w:r>
              <w:rPr>
                <w:rFonts w:ascii="Times New Roman" w:hAnsi="Times New Roman" w:eastAsia="Times New Roman" w:cs="Times New Roman"/>
              </w:rPr>
              <w:t>kg</w:t>
            </w:r>
            <w:r>
              <w:rPr>
                <w:spacing w:val="4"/>
              </w:rPr>
              <w:t>；</w:t>
            </w:r>
            <w:r>
              <w:rPr>
                <w:spacing w:val="-56"/>
              </w:rPr>
              <w:t xml:space="preserve"> </w:t>
            </w:r>
            <w:r>
              <w:rPr>
                <w:spacing w:val="4"/>
              </w:rPr>
              <w:t>闪</w:t>
            </w:r>
            <w:r>
              <w:rPr>
                <w:spacing w:val="18"/>
              </w:rPr>
              <w:t xml:space="preserve">  </w:t>
            </w:r>
            <w:r>
              <w:rPr>
                <w:spacing w:val="4"/>
              </w:rPr>
              <w:t>点：</w:t>
            </w:r>
            <w:r>
              <w:rPr>
                <w:rFonts w:ascii="Times New Roman" w:hAnsi="Times New Roman" w:eastAsia="Times New Roman" w:cs="Times New Roman"/>
                <w:spacing w:val="4"/>
              </w:rPr>
              <w:t>≥55℃</w:t>
            </w:r>
            <w:r>
              <w:rPr>
                <w:spacing w:val="4"/>
              </w:rPr>
              <w:t>；爆炸极限：</w:t>
            </w:r>
          </w:p>
          <w:p>
            <w:pPr>
              <w:pStyle w:val="TableText"/>
              <w:ind w:left="721"/>
              <w:spacing w:before="31" w:line="212" w:lineRule="auto"/>
              <w:rPr/>
            </w:pPr>
            <w:r>
              <w:rPr>
                <w:rFonts w:ascii="Times New Roman" w:hAnsi="Times New Roman" w:eastAsia="Times New Roman" w:cs="Times New Roman"/>
                <w:spacing w:val="5"/>
              </w:rPr>
              <w:t>0.7-5.0%v</w:t>
            </w:r>
            <w:r>
              <w:rPr>
                <w:spacing w:val="5"/>
              </w:rPr>
              <w:t>；稳定性：稳定。</w:t>
            </w:r>
          </w:p>
        </w:tc>
        <w:tc>
          <w:tcPr>
            <w:tcW w:w="2311" w:type="dxa"/>
            <w:vAlign w:val="top"/>
            <w:tcBorders>
              <w:right w:val="nil"/>
            </w:tcBorders>
          </w:tcPr>
          <w:p>
            <w:pPr>
              <w:pStyle w:val="TableText"/>
              <w:ind w:right="13"/>
              <w:spacing w:before="303" w:line="229" w:lineRule="auto"/>
              <w:jc w:val="right"/>
              <w:rPr/>
            </w:pPr>
            <w:r>
              <w:rPr>
                <w:spacing w:val="-3"/>
              </w:rPr>
              <w:t>遇热、火花、明火易燃，</w:t>
            </w:r>
          </w:p>
          <w:p>
            <w:pPr>
              <w:pStyle w:val="TableText"/>
              <w:ind w:left="122"/>
              <w:spacing w:before="23" w:line="231" w:lineRule="auto"/>
              <w:rPr/>
            </w:pPr>
            <w:r>
              <w:rPr>
                <w:spacing w:val="7"/>
              </w:rPr>
              <w:t>可蓄积静电，引起电火</w:t>
            </w:r>
          </w:p>
          <w:p>
            <w:pPr>
              <w:pStyle w:val="TableText"/>
              <w:ind w:left="120"/>
              <w:spacing w:before="23" w:line="229" w:lineRule="auto"/>
              <w:rPr/>
            </w:pPr>
            <w:r>
              <w:rPr>
                <w:spacing w:val="7"/>
              </w:rPr>
              <w:t>花。分解和燃烧产物为</w:t>
            </w:r>
          </w:p>
          <w:p>
            <w:pPr>
              <w:pStyle w:val="TableText"/>
              <w:ind w:left="122"/>
              <w:spacing w:before="23" w:line="231" w:lineRule="auto"/>
              <w:rPr/>
            </w:pPr>
            <w:r>
              <w:rPr>
                <w:spacing w:val="7"/>
              </w:rPr>
              <w:t>一氧化碳、二氧化碳和</w:t>
            </w:r>
          </w:p>
          <w:p>
            <w:pPr>
              <w:pStyle w:val="TableText"/>
              <w:ind w:left="118"/>
              <w:spacing w:before="23" w:line="229" w:lineRule="auto"/>
              <w:rPr/>
            </w:pPr>
            <w:r>
              <w:rPr>
                <w:spacing w:val="8"/>
              </w:rPr>
              <w:t>硫氧化物。避免接触氧</w:t>
            </w:r>
          </w:p>
          <w:p>
            <w:pPr>
              <w:pStyle w:val="TableText"/>
              <w:ind w:left="851"/>
              <w:spacing w:before="23" w:line="231" w:lineRule="auto"/>
              <w:rPr/>
            </w:pPr>
            <w:r>
              <w:rPr>
                <w:spacing w:val="1"/>
              </w:rPr>
              <w:t>化剂。</w:t>
            </w:r>
          </w:p>
        </w:tc>
      </w:tr>
      <w:tr>
        <w:trPr>
          <w:trHeight w:val="2178" w:hRule="atLeast"/>
        </w:trPr>
        <w:tc>
          <w:tcPr>
            <w:tcW w:w="586" w:type="dxa"/>
            <w:vAlign w:val="top"/>
            <w:tcBorders>
              <w:left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4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3"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230"/>
              <w:spacing w:before="65" w:line="231" w:lineRule="auto"/>
              <w:rPr/>
            </w:pPr>
            <w:r>
              <w:rPr>
                <w:spacing w:val="5"/>
              </w:rPr>
              <w:t>润滑油</w:t>
            </w:r>
          </w:p>
        </w:tc>
        <w:tc>
          <w:tcPr>
            <w:tcW w:w="949"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385" w:right="159" w:hanging="216"/>
              <w:spacing w:before="65" w:line="256" w:lineRule="auto"/>
              <w:rPr/>
            </w:pPr>
            <w:r>
              <w:rPr>
                <w:spacing w:val="5"/>
              </w:rPr>
              <w:t>矿物质</w:t>
            </w:r>
            <w:r>
              <w:rPr/>
              <w:t>油</w:t>
            </w:r>
          </w:p>
        </w:tc>
        <w:tc>
          <w:tcPr>
            <w:tcW w:w="3988" w:type="dxa"/>
            <w:vAlign w:val="top"/>
          </w:tcPr>
          <w:p>
            <w:pPr>
              <w:pStyle w:val="TableText"/>
              <w:ind w:left="120"/>
              <w:spacing w:before="39" w:line="229" w:lineRule="auto"/>
              <w:rPr/>
            </w:pPr>
            <w:r>
              <w:rPr>
                <w:spacing w:val="8"/>
              </w:rPr>
              <w:t>外观：油状液体，淡黄色至褐色。气味：</w:t>
            </w:r>
          </w:p>
          <w:p>
            <w:pPr>
              <w:pStyle w:val="TableText"/>
              <w:ind w:left="120"/>
              <w:spacing w:before="24" w:line="229" w:lineRule="auto"/>
              <w:rPr/>
            </w:pPr>
            <w:r>
              <w:rPr>
                <w:spacing w:val="4"/>
              </w:rPr>
              <w:t>无气味或略带异味。分子量：</w:t>
            </w:r>
            <w:r>
              <w:rPr>
                <w:rFonts w:ascii="Times New Roman" w:hAnsi="Times New Roman" w:eastAsia="Times New Roman" w:cs="Times New Roman"/>
                <w:spacing w:val="4"/>
              </w:rPr>
              <w:t>230-500</w:t>
            </w:r>
            <w:r>
              <w:rPr>
                <w:spacing w:val="4"/>
              </w:rPr>
              <w:t>。状</w:t>
            </w:r>
          </w:p>
          <w:p>
            <w:pPr>
              <w:pStyle w:val="TableText"/>
              <w:ind w:left="126"/>
              <w:spacing w:before="23" w:line="229" w:lineRule="auto"/>
              <w:rPr/>
            </w:pPr>
            <w:r>
              <w:rPr>
                <w:spacing w:val="8"/>
              </w:rPr>
              <w:t>态：常温下为液态。溶解性：不溶于水，</w:t>
            </w:r>
          </w:p>
          <w:p>
            <w:pPr>
              <w:pStyle w:val="TableText"/>
              <w:ind w:left="117"/>
              <w:spacing w:before="25" w:line="226" w:lineRule="auto"/>
              <w:rPr/>
            </w:pPr>
            <w:r>
              <w:rPr>
                <w:spacing w:val="8"/>
              </w:rPr>
              <w:t>溶于苯、乙醇、乙醚、氯仿、丙酮等多数</w:t>
            </w:r>
          </w:p>
          <w:p>
            <w:pPr>
              <w:pStyle w:val="TableText"/>
              <w:ind w:right="11"/>
              <w:spacing w:before="26" w:line="228" w:lineRule="auto"/>
              <w:jc w:val="right"/>
              <w:rPr/>
            </w:pPr>
            <w:r>
              <w:rPr>
                <w:spacing w:val="2"/>
              </w:rPr>
              <w:t>有机溶剂。稳定性：稳定。燃烧性：可燃，</w:t>
            </w:r>
          </w:p>
          <w:p>
            <w:pPr>
              <w:pStyle w:val="TableText"/>
              <w:ind w:left="119"/>
              <w:spacing w:before="24" w:line="230" w:lineRule="auto"/>
              <w:rPr/>
            </w:pPr>
            <w:r>
              <w:rPr>
                <w:spacing w:val="1"/>
              </w:rPr>
              <w:t>但不属于易燃品。闪点为</w:t>
            </w:r>
            <w:r>
              <w:rPr>
                <w:spacing w:val="-27"/>
              </w:rPr>
              <w:t xml:space="preserve"> </w:t>
            </w:r>
            <w:r>
              <w:rPr>
                <w:rFonts w:ascii="Times New Roman" w:hAnsi="Times New Roman" w:eastAsia="Times New Roman" w:cs="Times New Roman"/>
                <w:spacing w:val="1"/>
              </w:rPr>
              <w:t>76℃</w:t>
            </w:r>
            <w:r>
              <w:rPr>
                <w:rFonts w:ascii="Times New Roman" w:hAnsi="Times New Roman" w:eastAsia="Times New Roman" w:cs="Times New Roman"/>
                <w:spacing w:val="-22"/>
              </w:rPr>
              <w:t xml:space="preserve"> </w:t>
            </w:r>
            <w:r>
              <w:rPr>
                <w:spacing w:val="1"/>
              </w:rPr>
              <w:t>,</w:t>
            </w:r>
            <w:r>
              <w:rPr>
                <w:spacing w:val="30"/>
              </w:rPr>
              <w:t xml:space="preserve"> </w:t>
            </w:r>
            <w:r>
              <w:rPr>
                <w:spacing w:val="1"/>
              </w:rPr>
              <w:t>爆炸极限</w:t>
            </w:r>
          </w:p>
          <w:p>
            <w:pPr>
              <w:pStyle w:val="TableText"/>
              <w:ind w:left="120"/>
              <w:spacing w:before="24" w:line="229" w:lineRule="auto"/>
              <w:rPr/>
            </w:pPr>
            <w:r>
              <w:rPr>
                <w:spacing w:val="8"/>
              </w:rPr>
              <w:t>无资料，最小点火能和引燃温度分别为未</w:t>
            </w:r>
          </w:p>
          <w:p>
            <w:pPr>
              <w:pStyle w:val="TableText"/>
              <w:ind w:left="1401"/>
              <w:spacing w:before="24" w:line="206" w:lineRule="auto"/>
              <w:rPr/>
            </w:pPr>
            <w:r>
              <w:rPr>
                <w:spacing w:val="3"/>
              </w:rPr>
              <w:t>知和</w:t>
            </w:r>
            <w:r>
              <w:rPr>
                <w:spacing w:val="-42"/>
              </w:rPr>
              <w:t xml:space="preserve"> </w:t>
            </w:r>
            <w:r>
              <w:rPr>
                <w:rFonts w:ascii="Times New Roman" w:hAnsi="Times New Roman" w:eastAsia="Times New Roman" w:cs="Times New Roman"/>
                <w:spacing w:val="3"/>
              </w:rPr>
              <w:t>248℃</w:t>
            </w:r>
            <w:r>
              <w:rPr>
                <w:spacing w:val="3"/>
              </w:rPr>
              <w:t>。</w:t>
            </w:r>
          </w:p>
        </w:tc>
        <w:tc>
          <w:tcPr>
            <w:tcW w:w="2311" w:type="dxa"/>
            <w:vAlign w:val="top"/>
            <w:tcBorders>
              <w:right w:val="nil"/>
            </w:tcBorders>
          </w:tcPr>
          <w:p>
            <w:pPr>
              <w:spacing w:line="325" w:lineRule="auto"/>
              <w:rPr>
                <w:rFonts w:ascii="Arial"/>
                <w:sz w:val="21"/>
              </w:rPr>
            </w:pPr>
            <w:r/>
          </w:p>
          <w:p>
            <w:pPr>
              <w:spacing w:line="325" w:lineRule="auto"/>
              <w:rPr>
                <w:rFonts w:ascii="Arial"/>
                <w:sz w:val="21"/>
              </w:rPr>
            </w:pPr>
            <w:r/>
          </w:p>
          <w:p>
            <w:pPr>
              <w:pStyle w:val="TableText"/>
              <w:ind w:left="121"/>
              <w:spacing w:before="65" w:line="232" w:lineRule="auto"/>
              <w:rPr/>
            </w:pPr>
            <w:r>
              <w:rPr>
                <w:spacing w:val="8"/>
              </w:rPr>
              <w:t>遇明火、高热可燃。燃</w:t>
            </w:r>
          </w:p>
          <w:p>
            <w:pPr>
              <w:pStyle w:val="TableText"/>
              <w:ind w:left="223"/>
              <w:spacing w:before="20" w:line="229" w:lineRule="auto"/>
              <w:rPr/>
            </w:pPr>
            <w:r>
              <w:rPr>
                <w:spacing w:val="8"/>
              </w:rPr>
              <w:t>烧产物主要是一氧化</w:t>
            </w:r>
          </w:p>
          <w:p>
            <w:pPr>
              <w:pStyle w:val="TableText"/>
              <w:ind w:left="431"/>
              <w:spacing w:before="22" w:line="231" w:lineRule="auto"/>
              <w:rPr/>
            </w:pPr>
            <w:r>
              <w:rPr>
                <w:spacing w:val="6"/>
              </w:rPr>
              <w:t>碳和二氧化碳。</w:t>
            </w:r>
          </w:p>
        </w:tc>
      </w:tr>
      <w:tr>
        <w:trPr>
          <w:trHeight w:val="2721" w:hRule="atLeast"/>
        </w:trPr>
        <w:tc>
          <w:tcPr>
            <w:tcW w:w="586" w:type="dxa"/>
            <w:vAlign w:val="top"/>
            <w:tcBorders>
              <w:left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4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32" w:right="114" w:hanging="115"/>
              <w:spacing w:before="65" w:line="251" w:lineRule="auto"/>
              <w:rPr/>
            </w:pPr>
            <w:r>
              <w:rPr>
                <w:rFonts w:ascii="Times New Roman" w:hAnsi="Times New Roman" w:eastAsia="Times New Roman" w:cs="Times New Roman"/>
                <w:spacing w:val="7"/>
              </w:rPr>
              <w:t>2#</w:t>
            </w:r>
            <w:r>
              <w:rPr>
                <w:spacing w:val="7"/>
              </w:rPr>
              <w:t>岩石乳</w:t>
            </w:r>
            <w:r>
              <w:rPr>
                <w:spacing w:val="4"/>
              </w:rPr>
              <w:t>化炸药</w:t>
            </w:r>
          </w:p>
        </w:tc>
        <w:tc>
          <w:tcPr>
            <w:tcW w:w="94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69"/>
              <w:spacing w:before="65" w:line="228" w:lineRule="auto"/>
              <w:rPr/>
            </w:pPr>
            <w:r>
              <w:rPr>
                <w:spacing w:val="5"/>
              </w:rPr>
              <w:t>硝酸氨</w:t>
            </w:r>
          </w:p>
          <w:p>
            <w:pPr>
              <w:ind w:left="102"/>
              <w:spacing w:before="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NH₄NO₃</w:t>
            </w:r>
          </w:p>
        </w:tc>
        <w:tc>
          <w:tcPr>
            <w:tcW w:w="3988" w:type="dxa"/>
            <w:vAlign w:val="top"/>
          </w:tcPr>
          <w:p>
            <w:pPr>
              <w:pStyle w:val="TableText"/>
              <w:ind w:left="120"/>
              <w:spacing w:before="44" w:line="229" w:lineRule="auto"/>
              <w:rPr/>
            </w:pPr>
            <w:r>
              <w:rPr>
                <w:spacing w:val="8"/>
              </w:rPr>
              <w:t>外观与性状：胶状体，手感细腻可成型，</w:t>
            </w:r>
          </w:p>
          <w:p>
            <w:pPr>
              <w:pStyle w:val="TableText"/>
              <w:ind w:left="121"/>
              <w:spacing w:before="23" w:line="231" w:lineRule="auto"/>
              <w:rPr/>
            </w:pPr>
            <w:r>
              <w:rPr>
                <w:spacing w:val="7"/>
              </w:rPr>
              <w:t>药体中的气泡均匀、细密。沸点</w:t>
            </w:r>
            <w:r>
              <w:rPr>
                <w:spacing w:val="7"/>
              </w:rPr>
              <w:t xml:space="preserve"> </w:t>
            </w:r>
            <w:r>
              <w:rPr>
                <w:spacing w:val="7"/>
              </w:rPr>
              <w:t>(</w:t>
            </w:r>
            <w:r>
              <w:rPr>
                <w:rFonts w:ascii="Times New Roman" w:hAnsi="Times New Roman" w:eastAsia="Times New Roman" w:cs="Times New Roman"/>
                <w:spacing w:val="7"/>
              </w:rPr>
              <w:t>℃</w:t>
            </w:r>
            <w:r>
              <w:rPr>
                <w:spacing w:val="7"/>
              </w:rPr>
              <w:t>)</w:t>
            </w:r>
            <w:r>
              <w:rPr>
                <w:spacing w:val="49"/>
              </w:rPr>
              <w:t xml:space="preserve"> </w:t>
            </w:r>
            <w:r>
              <w:rPr>
                <w:spacing w:val="7"/>
              </w:rPr>
              <w:t>:</w:t>
            </w:r>
          </w:p>
          <w:p>
            <w:pPr>
              <w:pStyle w:val="TableText"/>
              <w:ind w:left="324"/>
              <w:spacing w:before="23" w:line="229" w:lineRule="auto"/>
              <w:rPr/>
            </w:pPr>
            <w:r>
              <w:rPr>
                <w:spacing w:val="2"/>
              </w:rPr>
              <w:t>无资料；</w:t>
            </w:r>
            <w:r>
              <w:rPr>
                <w:spacing w:val="-42"/>
              </w:rPr>
              <w:t xml:space="preserve"> </w:t>
            </w:r>
            <w:r>
              <w:rPr>
                <w:spacing w:val="2"/>
              </w:rPr>
              <w:t>闪点</w:t>
            </w:r>
            <w:r>
              <w:rPr>
                <w:spacing w:val="2"/>
              </w:rPr>
              <w:t xml:space="preserve"> </w:t>
            </w:r>
            <w:r>
              <w:rPr>
                <w:spacing w:val="2"/>
              </w:rPr>
              <w:t>(</w:t>
            </w:r>
            <w:r>
              <w:rPr>
                <w:rFonts w:ascii="Times New Roman" w:hAnsi="Times New Roman" w:eastAsia="Times New Roman" w:cs="Times New Roman"/>
                <w:spacing w:val="2"/>
              </w:rPr>
              <w:t>℃</w:t>
            </w:r>
            <w:r>
              <w:rPr>
                <w:spacing w:val="2"/>
              </w:rPr>
              <w:t>)</w:t>
            </w:r>
            <w:r>
              <w:rPr>
                <w:spacing w:val="50"/>
              </w:rPr>
              <w:t xml:space="preserve"> </w:t>
            </w:r>
            <w:r>
              <w:rPr>
                <w:spacing w:val="2"/>
              </w:rPr>
              <w:t>：无资料；爆速</w:t>
            </w:r>
          </w:p>
          <w:p>
            <w:pPr>
              <w:pStyle w:val="TableText"/>
              <w:ind w:left="106"/>
              <w:spacing w:before="23" w:line="229" w:lineRule="auto"/>
              <w:rPr/>
            </w:pPr>
            <w:r>
              <w:rPr>
                <w:rFonts w:ascii="Times New Roman" w:hAnsi="Times New Roman" w:eastAsia="Times New Roman" w:cs="Times New Roman"/>
                <w:spacing w:val="4"/>
              </w:rPr>
              <w:t>m/s≥4200</w:t>
            </w:r>
            <w:r>
              <w:rPr>
                <w:spacing w:val="4"/>
              </w:rPr>
              <w:t>；爆速</w:t>
            </w:r>
            <w:r>
              <w:rPr>
                <w:spacing w:val="-42"/>
              </w:rPr>
              <w:t xml:space="preserve"> </w:t>
            </w:r>
            <w:r>
              <w:rPr>
                <w:rFonts w:ascii="Times New Roman" w:hAnsi="Times New Roman" w:eastAsia="Times New Roman" w:cs="Times New Roman"/>
              </w:rPr>
              <w:t>ml</w:t>
            </w:r>
            <w:r>
              <w:rPr>
                <w:rFonts w:ascii="Times New Roman" w:hAnsi="Times New Roman" w:eastAsia="Times New Roman" w:cs="Times New Roman"/>
                <w:spacing w:val="4"/>
              </w:rPr>
              <w:t>≥280</w:t>
            </w:r>
            <w:r>
              <w:rPr>
                <w:spacing w:val="4"/>
              </w:rPr>
              <w:t>。是一种抗水工业</w:t>
            </w:r>
          </w:p>
          <w:p>
            <w:pPr>
              <w:pStyle w:val="TableText"/>
              <w:ind w:left="117"/>
              <w:spacing w:before="24" w:line="231" w:lineRule="auto"/>
              <w:rPr/>
            </w:pPr>
            <w:r>
              <w:rPr>
                <w:spacing w:val="8"/>
              </w:rPr>
              <w:t>炸药，适用于无沼气、无矿尘爆危险的各</w:t>
            </w:r>
          </w:p>
          <w:p>
            <w:pPr>
              <w:pStyle w:val="TableText"/>
              <w:ind w:left="220"/>
              <w:spacing w:before="22" w:line="229" w:lineRule="auto"/>
              <w:rPr/>
            </w:pPr>
            <w:r>
              <w:rPr>
                <w:spacing w:val="9"/>
              </w:rPr>
              <w:t>种岩石爆破工程它不含任何单位炸药和</w:t>
            </w:r>
          </w:p>
          <w:p>
            <w:pPr>
              <w:pStyle w:val="TableText"/>
              <w:ind w:left="115"/>
              <w:spacing w:before="25" w:line="229" w:lineRule="auto"/>
              <w:rPr/>
            </w:pPr>
            <w:r>
              <w:rPr>
                <w:spacing w:val="8"/>
              </w:rPr>
              <w:t>有毒物质，爆速值高，炮烟少，药物形态</w:t>
            </w:r>
          </w:p>
          <w:p>
            <w:pPr>
              <w:pStyle w:val="TableText"/>
              <w:ind w:left="119"/>
              <w:spacing w:before="23" w:line="228" w:lineRule="auto"/>
              <w:rPr/>
            </w:pPr>
            <w:r>
              <w:rPr>
                <w:spacing w:val="8"/>
              </w:rPr>
              <w:t>较硬，不粘手，抗水性强，且在有效期内</w:t>
            </w:r>
          </w:p>
          <w:p>
            <w:pPr>
              <w:pStyle w:val="TableText"/>
              <w:ind w:left="118"/>
              <w:spacing w:before="24" w:line="230" w:lineRule="auto"/>
              <w:rPr/>
            </w:pPr>
            <w:r>
              <w:rPr>
                <w:spacing w:val="8"/>
              </w:rPr>
              <w:t>指标变化幅度远较同类产品小，具有良好</w:t>
            </w:r>
          </w:p>
          <w:p>
            <w:pPr>
              <w:pStyle w:val="TableText"/>
              <w:ind w:left="1388"/>
              <w:spacing w:before="25" w:line="199" w:lineRule="auto"/>
              <w:rPr/>
            </w:pPr>
            <w:r>
              <w:rPr>
                <w:spacing w:val="3"/>
              </w:rPr>
              <w:t>的爆炸性能。</w:t>
            </w:r>
          </w:p>
        </w:tc>
        <w:tc>
          <w:tcPr>
            <w:tcW w:w="2311" w:type="dxa"/>
            <w:vAlign w:val="top"/>
            <w:tcBorders>
              <w:right w:val="nil"/>
            </w:tcBorders>
          </w:tcPr>
          <w:p>
            <w:pPr>
              <w:spacing w:line="249" w:lineRule="auto"/>
              <w:rPr>
                <w:rFonts w:ascii="Arial"/>
                <w:sz w:val="21"/>
              </w:rPr>
            </w:pPr>
            <w:r/>
          </w:p>
          <w:p>
            <w:pPr>
              <w:pStyle w:val="TableText"/>
              <w:ind w:left="230"/>
              <w:spacing w:before="65" w:line="229" w:lineRule="auto"/>
              <w:rPr/>
            </w:pPr>
            <w:r>
              <w:rPr>
                <w:spacing w:val="7"/>
              </w:rPr>
              <w:t>与可燃物粉末能发生</w:t>
            </w:r>
          </w:p>
          <w:p>
            <w:pPr>
              <w:pStyle w:val="TableText"/>
              <w:ind w:left="122"/>
              <w:spacing w:before="24" w:line="231" w:lineRule="auto"/>
              <w:rPr/>
            </w:pPr>
            <w:r>
              <w:rPr>
                <w:spacing w:val="7"/>
              </w:rPr>
              <w:t>激烈反应而爆炸；受强</w:t>
            </w:r>
          </w:p>
          <w:p>
            <w:pPr>
              <w:pStyle w:val="TableText"/>
              <w:ind w:left="131"/>
              <w:spacing w:before="20" w:line="232" w:lineRule="auto"/>
              <w:rPr/>
            </w:pPr>
            <w:r>
              <w:rPr>
                <w:spacing w:val="6"/>
              </w:rPr>
              <w:t>烈震动也会起爆。急剧</w:t>
            </w:r>
          </w:p>
          <w:p>
            <w:pPr>
              <w:pStyle w:val="TableText"/>
              <w:ind w:left="118"/>
              <w:spacing w:before="22" w:line="231" w:lineRule="auto"/>
              <w:rPr/>
            </w:pPr>
            <w:r>
              <w:rPr>
                <w:spacing w:val="7"/>
              </w:rPr>
              <w:t>加热时发生爆炸，与还</w:t>
            </w:r>
          </w:p>
          <w:p>
            <w:pPr>
              <w:pStyle w:val="TableText"/>
              <w:ind w:left="123"/>
              <w:spacing w:before="22" w:line="229" w:lineRule="auto"/>
              <w:rPr/>
            </w:pPr>
            <w:r>
              <w:rPr>
                <w:spacing w:val="7"/>
              </w:rPr>
              <w:t>原剂、有机物、易燃物</w:t>
            </w:r>
          </w:p>
          <w:p>
            <w:pPr>
              <w:pStyle w:val="TableText"/>
              <w:ind w:left="120"/>
              <w:spacing w:before="23" w:line="229" w:lineRule="auto"/>
              <w:rPr/>
            </w:pPr>
            <w:r>
              <w:rPr>
                <w:spacing w:val="7"/>
              </w:rPr>
              <w:t>如硫、磷或金属粉末等</w:t>
            </w:r>
          </w:p>
          <w:p>
            <w:pPr>
              <w:pStyle w:val="TableText"/>
              <w:ind w:left="225"/>
              <w:spacing w:before="25" w:line="229" w:lineRule="auto"/>
              <w:rPr/>
            </w:pPr>
            <w:r>
              <w:rPr>
                <w:spacing w:val="7"/>
              </w:rPr>
              <w:t>混合可形成爆炸性混</w:t>
            </w:r>
          </w:p>
          <w:p>
            <w:pPr>
              <w:pStyle w:val="TableText"/>
              <w:ind w:left="856"/>
              <w:spacing w:before="24" w:line="229" w:lineRule="auto"/>
              <w:rPr/>
            </w:pPr>
            <w:r>
              <w:rPr>
                <w:spacing w:val="-1"/>
              </w:rPr>
              <w:t>合物。</w:t>
            </w:r>
          </w:p>
        </w:tc>
      </w:tr>
      <w:tr>
        <w:trPr>
          <w:trHeight w:val="1364" w:hRule="atLeast"/>
        </w:trPr>
        <w:tc>
          <w:tcPr>
            <w:tcW w:w="586" w:type="dxa"/>
            <w:vAlign w:val="top"/>
            <w:tcBorders>
              <w:left w:val="nil"/>
            </w:tcBorders>
          </w:tcPr>
          <w:p>
            <w:pPr>
              <w:spacing w:line="285" w:lineRule="auto"/>
              <w:rPr>
                <w:rFonts w:ascii="Arial"/>
                <w:sz w:val="21"/>
              </w:rPr>
            </w:pPr>
            <w:r/>
          </w:p>
          <w:p>
            <w:pPr>
              <w:spacing w:line="286" w:lineRule="auto"/>
              <w:rPr>
                <w:rFonts w:ascii="Arial"/>
                <w:sz w:val="21"/>
              </w:rPr>
            </w:pPr>
            <w:r/>
          </w:p>
          <w:p>
            <w:pPr>
              <w:ind w:left="24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73" w:type="dxa"/>
            <w:vAlign w:val="top"/>
          </w:tcPr>
          <w:p>
            <w:pPr>
              <w:spacing w:line="264" w:lineRule="auto"/>
              <w:rPr>
                <w:rFonts w:ascii="Arial"/>
                <w:sz w:val="21"/>
              </w:rPr>
            </w:pPr>
            <w:r/>
          </w:p>
          <w:p>
            <w:pPr>
              <w:spacing w:line="264" w:lineRule="auto"/>
              <w:rPr>
                <w:rFonts w:ascii="Arial"/>
                <w:sz w:val="21"/>
              </w:rPr>
            </w:pPr>
            <w:r/>
          </w:p>
          <w:p>
            <w:pPr>
              <w:pStyle w:val="TableText"/>
              <w:ind w:left="233"/>
              <w:spacing w:before="65" w:line="232" w:lineRule="auto"/>
              <w:rPr/>
            </w:pPr>
            <w:r>
              <w:rPr>
                <w:spacing w:val="4"/>
              </w:rPr>
              <w:t>捕收剂</w:t>
            </w:r>
          </w:p>
        </w:tc>
        <w:tc>
          <w:tcPr>
            <w:tcW w:w="949" w:type="dxa"/>
            <w:vAlign w:val="top"/>
          </w:tcPr>
          <w:p>
            <w:pPr>
              <w:spacing w:line="286" w:lineRule="auto"/>
              <w:rPr>
                <w:rFonts w:ascii="Arial"/>
                <w:sz w:val="21"/>
              </w:rPr>
            </w:pPr>
            <w:r/>
          </w:p>
          <w:p>
            <w:pPr>
              <w:spacing w:line="286" w:lineRule="auto"/>
              <w:rPr>
                <w:rFonts w:ascii="Arial"/>
                <w:sz w:val="21"/>
              </w:rPr>
            </w:pPr>
            <w:r/>
          </w:p>
          <w:p>
            <w:pPr>
              <w:ind w:left="131"/>
              <w:spacing w:before="5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Na</w:t>
            </w:r>
            <w:r>
              <w:rPr>
                <w:rFonts w:ascii="Times New Roman" w:hAnsi="Times New Roman" w:eastAsia="Times New Roman" w:cs="Times New Roman"/>
                <w:sz w:val="13"/>
                <w:szCs w:val="13"/>
                <w:spacing w:val="17"/>
              </w:rPr>
              <w:t>2</w:t>
            </w:r>
            <w:r>
              <w:rPr>
                <w:rFonts w:ascii="Times New Roman" w:hAnsi="Times New Roman" w:eastAsia="Times New Roman" w:cs="Times New Roman"/>
                <w:sz w:val="20"/>
                <w:szCs w:val="20"/>
              </w:rPr>
              <w:t>CO</w:t>
            </w:r>
            <w:r>
              <w:rPr>
                <w:rFonts w:ascii="Times New Roman" w:hAnsi="Times New Roman" w:eastAsia="Times New Roman" w:cs="Times New Roman"/>
                <w:sz w:val="13"/>
                <w:szCs w:val="13"/>
                <w:spacing w:val="17"/>
                <w:position w:val="-1"/>
              </w:rPr>
              <w:t>3</w:t>
            </w:r>
          </w:p>
        </w:tc>
        <w:tc>
          <w:tcPr>
            <w:tcW w:w="3988" w:type="dxa"/>
            <w:vAlign w:val="top"/>
          </w:tcPr>
          <w:p>
            <w:pPr>
              <w:pStyle w:val="TableText"/>
              <w:ind w:left="120" w:right="105" w:hanging="2"/>
              <w:spacing w:before="54"/>
              <w:jc w:val="both"/>
              <w:rPr/>
            </w:pPr>
            <w:r>
              <w:rPr>
                <w:spacing w:val="8"/>
              </w:rPr>
              <w:t>俗名苏打、纯碱、碱灰、碳酸二钠盐、苏</w:t>
            </w:r>
            <w:r>
              <w:rPr>
                <w:spacing w:val="8"/>
              </w:rPr>
              <w:t>打灰，通常情况下为白色粉末，为强电解</w:t>
            </w:r>
            <w:r>
              <w:rPr>
                <w:spacing w:val="5"/>
              </w:rPr>
              <w:t>质，密度为</w:t>
            </w:r>
            <w:r>
              <w:rPr>
                <w:spacing w:val="-38"/>
              </w:rPr>
              <w:t xml:space="preserve"> </w:t>
            </w:r>
            <w:r>
              <w:rPr>
                <w:rFonts w:ascii="Times New Roman" w:hAnsi="Times New Roman" w:eastAsia="Times New Roman" w:cs="Times New Roman"/>
                <w:spacing w:val="5"/>
              </w:rPr>
              <w:t>2.532g/</w:t>
            </w:r>
            <w:r>
              <w:rPr>
                <w:rFonts w:ascii="Times New Roman" w:hAnsi="Times New Roman" w:eastAsia="Times New Roman" w:cs="Times New Roman"/>
              </w:rPr>
              <w:t>cm</w:t>
            </w:r>
            <w:r>
              <w:rPr>
                <w:rFonts w:ascii="Times New Roman" w:hAnsi="Times New Roman" w:eastAsia="Times New Roman" w:cs="Times New Roman"/>
                <w:sz w:val="13"/>
                <w:szCs w:val="13"/>
                <w:spacing w:val="5"/>
                <w:position w:val="6"/>
              </w:rPr>
              <w:t>3 </w:t>
            </w:r>
            <w:r>
              <w:rPr>
                <w:spacing w:val="5"/>
              </w:rPr>
              <w:t>，熔点为</w:t>
            </w:r>
            <w:r>
              <w:rPr>
                <w:spacing w:val="-33"/>
              </w:rPr>
              <w:t xml:space="preserve"> </w:t>
            </w:r>
            <w:r>
              <w:rPr>
                <w:rFonts w:ascii="Times New Roman" w:hAnsi="Times New Roman" w:eastAsia="Times New Roman" w:cs="Times New Roman"/>
                <w:spacing w:val="5"/>
              </w:rPr>
              <w:t>851°C</w:t>
            </w:r>
            <w:r>
              <w:rPr>
                <w:rFonts w:ascii="Times New Roman" w:hAnsi="Times New Roman" w:eastAsia="Times New Roman" w:cs="Times New Roman"/>
                <w:spacing w:val="-21"/>
              </w:rPr>
              <w:t xml:space="preserve"> </w:t>
            </w:r>
            <w:r>
              <w:rPr>
                <w:spacing w:val="5"/>
              </w:rPr>
              <w:t>，</w:t>
            </w:r>
            <w:r>
              <w:rPr>
                <w:spacing w:val="8"/>
              </w:rPr>
              <w:t>易溶于水和甘油，微溶于无水乙醇，难溶</w:t>
            </w:r>
            <w:r>
              <w:rPr>
                <w:spacing w:val="14"/>
              </w:rPr>
              <w:t>于丙醇，具有盐的通性，属于无机盐。</w:t>
            </w:r>
          </w:p>
        </w:tc>
        <w:tc>
          <w:tcPr>
            <w:tcW w:w="2311" w:type="dxa"/>
            <w:vAlign w:val="top"/>
            <w:tcBorders>
              <w:right w:val="nil"/>
            </w:tcBorders>
          </w:tcPr>
          <w:p>
            <w:pPr>
              <w:pStyle w:val="TableText"/>
              <w:ind w:left="119"/>
              <w:spacing w:before="51" w:line="232" w:lineRule="auto"/>
              <w:rPr/>
            </w:pPr>
            <w:r>
              <w:rPr>
                <w:spacing w:val="9"/>
              </w:rPr>
              <w:t>碳酸钠粉尘对皮肤、呼</w:t>
            </w:r>
          </w:p>
          <w:p>
            <w:pPr>
              <w:pStyle w:val="TableText"/>
              <w:ind w:left="231"/>
              <w:spacing w:before="19" w:line="229" w:lineRule="auto"/>
              <w:rPr/>
            </w:pPr>
            <w:r>
              <w:rPr>
                <w:spacing w:val="7"/>
              </w:rPr>
              <w:t>吸道和眼睛有刺激作</w:t>
            </w:r>
          </w:p>
          <w:p>
            <w:pPr>
              <w:pStyle w:val="TableText"/>
              <w:ind w:left="119"/>
              <w:spacing w:before="25" w:line="231" w:lineRule="auto"/>
              <w:rPr/>
            </w:pPr>
            <w:r>
              <w:rPr>
                <w:spacing w:val="7"/>
              </w:rPr>
              <w:t>用，长时间接触本品溶</w:t>
            </w:r>
          </w:p>
          <w:p>
            <w:pPr>
              <w:pStyle w:val="TableText"/>
              <w:ind w:left="119"/>
              <w:spacing w:before="21" w:line="230" w:lineRule="auto"/>
              <w:rPr/>
            </w:pPr>
            <w:r>
              <w:rPr>
                <w:spacing w:val="7"/>
              </w:rPr>
              <w:t>液可能出现湿疹、皮肤</w:t>
            </w:r>
          </w:p>
          <w:p>
            <w:pPr>
              <w:pStyle w:val="TableText"/>
              <w:ind w:left="430"/>
              <w:spacing w:before="24" w:line="196" w:lineRule="auto"/>
              <w:rPr/>
            </w:pPr>
            <w:r>
              <w:rPr>
                <w:spacing w:val="6"/>
              </w:rPr>
              <w:t>松软、皮炎等。</w:t>
            </w:r>
          </w:p>
        </w:tc>
      </w:tr>
      <w:tr>
        <w:trPr>
          <w:trHeight w:val="872" w:hRule="atLeast"/>
        </w:trPr>
        <w:tc>
          <w:tcPr>
            <w:tcW w:w="586" w:type="dxa"/>
            <w:vAlign w:val="top"/>
            <w:tcBorders>
              <w:left w:val="nil"/>
              <w:bottom w:val="single" w:color="000000" w:sz="10" w:space="0"/>
            </w:tcBorders>
          </w:tcPr>
          <w:p>
            <w:pPr>
              <w:spacing w:line="306" w:lineRule="auto"/>
              <w:rPr>
                <w:rFonts w:ascii="Arial"/>
                <w:sz w:val="21"/>
              </w:rPr>
            </w:pPr>
            <w:r/>
          </w:p>
          <w:p>
            <w:pPr>
              <w:ind w:left="25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73" w:type="dxa"/>
            <w:vAlign w:val="top"/>
            <w:tcBorders>
              <w:bottom w:val="single" w:color="000000" w:sz="10" w:space="0"/>
            </w:tcBorders>
          </w:tcPr>
          <w:p>
            <w:pPr>
              <w:pStyle w:val="TableText"/>
              <w:ind w:left="232"/>
              <w:spacing w:before="55" w:line="232" w:lineRule="auto"/>
              <w:rPr/>
            </w:pPr>
            <w:r>
              <w:rPr>
                <w:spacing w:val="5"/>
              </w:rPr>
              <w:t>调整剂</w:t>
            </w:r>
          </w:p>
          <w:p>
            <w:pPr>
              <w:pStyle w:val="TableText"/>
              <w:ind w:left="107"/>
              <w:spacing w:before="20" w:line="231" w:lineRule="auto"/>
              <w:rPr/>
            </w:pPr>
            <w:r>
              <w:rPr>
                <w:rFonts w:ascii="Times New Roman" w:hAnsi="Times New Roman" w:eastAsia="Times New Roman" w:cs="Times New Roman"/>
              </w:rPr>
              <w:t>YS</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、抑</w:t>
            </w:r>
          </w:p>
          <w:p>
            <w:pPr>
              <w:pStyle w:val="TableText"/>
              <w:ind w:left="338"/>
              <w:spacing w:before="21" w:line="230" w:lineRule="auto"/>
              <w:rPr/>
            </w:pPr>
            <w:r>
              <w:rPr>
                <w:spacing w:val="1"/>
              </w:rPr>
              <w:t>制剂</w:t>
            </w:r>
          </w:p>
        </w:tc>
        <w:tc>
          <w:tcPr>
            <w:tcW w:w="949" w:type="dxa"/>
            <w:vAlign w:val="top"/>
            <w:tcBorders>
              <w:bottom w:val="single" w:color="000000" w:sz="10" w:space="0"/>
            </w:tcBorders>
          </w:tcPr>
          <w:p>
            <w:pPr>
              <w:spacing w:line="260" w:lineRule="auto"/>
              <w:rPr>
                <w:rFonts w:ascii="Arial"/>
                <w:sz w:val="21"/>
              </w:rPr>
            </w:pPr>
            <w:r/>
          </w:p>
          <w:p>
            <w:pPr>
              <w:pStyle w:val="TableText"/>
              <w:ind w:left="280"/>
              <w:spacing w:before="65" w:line="235" w:lineRule="auto"/>
              <w:rPr/>
            </w:pPr>
            <w:r>
              <w:rPr>
                <w:spacing w:val="-1"/>
              </w:rPr>
              <w:t>油酸</w:t>
            </w:r>
          </w:p>
        </w:tc>
        <w:tc>
          <w:tcPr>
            <w:tcW w:w="3988" w:type="dxa"/>
            <w:vAlign w:val="top"/>
            <w:tcBorders>
              <w:bottom w:val="single" w:color="000000" w:sz="10" w:space="0"/>
            </w:tcBorders>
          </w:tcPr>
          <w:p>
            <w:pPr>
              <w:pStyle w:val="TableText"/>
              <w:ind w:left="119" w:right="47" w:firstLine="4"/>
              <w:spacing w:before="55" w:line="248" w:lineRule="auto"/>
              <w:jc w:val="both"/>
              <w:rPr/>
            </w:pPr>
            <w:r>
              <w:rPr/>
              <w:t>油酸（</w:t>
            </w:r>
            <w:r>
              <w:rPr>
                <w:rFonts w:ascii="Times New Roman" w:hAnsi="Times New Roman" w:eastAsia="Times New Roman" w:cs="Times New Roman"/>
              </w:rPr>
              <w:t>Oleic acid</w:t>
            </w:r>
            <w:r>
              <w:rPr/>
              <w:t>）是一种单不</w:t>
            </w:r>
            <w:r>
              <w:rPr>
                <w:spacing w:val="-1"/>
              </w:rPr>
              <w:t>饱和脂肪酸，</w:t>
            </w:r>
            <w:r>
              <w:rPr>
                <w:spacing w:val="8"/>
              </w:rPr>
              <w:t>存在于动植物体内。纯油酸为无色油状液</w:t>
            </w:r>
            <w:r>
              <w:rPr>
                <w:spacing w:val="8"/>
              </w:rPr>
              <w:t>体，有动物油或植物油气味，久置空气中</w:t>
            </w:r>
          </w:p>
        </w:tc>
        <w:tc>
          <w:tcPr>
            <w:tcW w:w="2311" w:type="dxa"/>
            <w:vAlign w:val="top"/>
            <w:tcBorders>
              <w:right w:val="nil"/>
              <w:bottom w:val="single" w:color="000000" w:sz="10" w:space="0"/>
            </w:tcBorders>
          </w:tcPr>
          <w:p>
            <w:pPr>
              <w:spacing w:line="300" w:lineRule="auto"/>
              <w:rPr>
                <w:rFonts w:ascii="Arial"/>
                <w:sz w:val="21"/>
              </w:rPr>
            </w:pPr>
            <w:r/>
          </w:p>
          <w:p>
            <w:pPr>
              <w:ind w:left="1125"/>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rPr/>
      </w:pPr>
      <w:r/>
    </w:p>
    <w:p>
      <w:pPr>
        <w:sectPr>
          <w:footerReference w:type="default" r:id="rId126"/>
          <w:pgSz w:w="11911" w:h="16839"/>
          <w:pgMar w:top="400" w:right="1314" w:bottom="1146" w:left="1689" w:header="0" w:footer="984" w:gutter="0"/>
        </w:sectPr>
        <w:rPr/>
      </w:pPr>
    </w:p>
    <w:p>
      <w:pPr>
        <w:spacing w:before="13"/>
        <w:rPr/>
      </w:pPr>
      <w:r/>
    </w:p>
    <w:p>
      <w:pPr>
        <w:spacing w:before="13"/>
        <w:rPr/>
      </w:pPr>
      <w:r/>
    </w:p>
    <w:p>
      <w:pPr>
        <w:spacing w:before="13"/>
        <w:rPr/>
      </w:pPr>
      <w:r/>
    </w:p>
    <w:p>
      <w:pPr>
        <w:spacing w:before="12"/>
        <w:rPr/>
      </w:pPr>
      <w:r/>
    </w:p>
    <w:tbl>
      <w:tblPr>
        <w:tblStyle w:val="TableNormal"/>
        <w:tblW w:w="8907"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86"/>
        <w:gridCol w:w="1073"/>
        <w:gridCol w:w="949"/>
        <w:gridCol w:w="3988"/>
        <w:gridCol w:w="2311"/>
      </w:tblGrid>
      <w:tr>
        <w:trPr>
          <w:trHeight w:val="2711" w:hRule="atLeast"/>
        </w:trPr>
        <w:tc>
          <w:tcPr>
            <w:tcW w:w="586" w:type="dxa"/>
            <w:vAlign w:val="top"/>
            <w:tcBorders>
              <w:right w:val="single" w:color="000000" w:sz="2" w:space="0"/>
              <w:left w:val="nil"/>
            </w:tcBorders>
          </w:tcPr>
          <w:p>
            <w:pPr>
              <w:rPr>
                <w:rFonts w:ascii="Arial"/>
                <w:sz w:val="21"/>
              </w:rPr>
            </w:pPr>
            <w:r/>
          </w:p>
        </w:tc>
        <w:tc>
          <w:tcPr>
            <w:tcW w:w="1073" w:type="dxa"/>
            <w:vAlign w:val="top"/>
            <w:tcBorders>
              <w:left w:val="single" w:color="000000" w:sz="2" w:space="0"/>
              <w:right w:val="single" w:color="000000" w:sz="2" w:space="0"/>
            </w:tcBorders>
          </w:tcPr>
          <w:p>
            <w:pPr>
              <w:ind w:left="313"/>
              <w:spacing w:before="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z w:val="20"/>
                <w:szCs w:val="20"/>
                <w:spacing w:val="8"/>
              </w:rPr>
              <w:t>-5</w:t>
            </w:r>
          </w:p>
        </w:tc>
        <w:tc>
          <w:tcPr>
            <w:tcW w:w="949" w:type="dxa"/>
            <w:vAlign w:val="top"/>
            <w:tcBorders>
              <w:left w:val="single" w:color="000000" w:sz="2" w:space="0"/>
              <w:right w:val="single" w:color="000000" w:sz="2" w:space="0"/>
            </w:tcBorders>
          </w:tcPr>
          <w:p>
            <w:pPr>
              <w:rPr>
                <w:rFonts w:ascii="Arial"/>
                <w:sz w:val="21"/>
              </w:rPr>
            </w:pPr>
            <w:r/>
          </w:p>
        </w:tc>
        <w:tc>
          <w:tcPr>
            <w:tcW w:w="3988" w:type="dxa"/>
            <w:vAlign w:val="top"/>
            <w:tcBorders>
              <w:left w:val="single" w:color="000000" w:sz="2" w:space="0"/>
              <w:right w:val="single" w:color="000000" w:sz="2" w:space="0"/>
            </w:tcBorders>
          </w:tcPr>
          <w:p>
            <w:pPr>
              <w:pStyle w:val="TableText"/>
              <w:ind w:left="117"/>
              <w:spacing w:before="16" w:line="231" w:lineRule="auto"/>
              <w:rPr/>
            </w:pPr>
            <w:r>
              <w:rPr>
                <w:spacing w:val="8"/>
              </w:rPr>
              <w:t>颜色逐渐变深，工业品为黄色到红色油状</w:t>
            </w:r>
          </w:p>
          <w:p>
            <w:pPr>
              <w:pStyle w:val="TableText"/>
              <w:ind w:left="119"/>
              <w:spacing w:before="21" w:line="229" w:lineRule="auto"/>
              <w:rPr/>
            </w:pPr>
            <w:r>
              <w:rPr>
                <w:spacing w:val="6"/>
              </w:rPr>
              <w:t>液体，有猪油气味。纯油酸熔点</w:t>
            </w:r>
            <w:r>
              <w:rPr>
                <w:spacing w:val="-17"/>
              </w:rPr>
              <w:t xml:space="preserve"> </w:t>
            </w:r>
            <w:r>
              <w:rPr>
                <w:rFonts w:ascii="Times New Roman" w:hAnsi="Times New Roman" w:eastAsia="Times New Roman" w:cs="Times New Roman"/>
                <w:spacing w:val="6"/>
              </w:rPr>
              <w:t>16.3℃</w:t>
            </w:r>
            <w:r>
              <w:rPr>
                <w:rFonts w:ascii="Times New Roman" w:hAnsi="Times New Roman" w:eastAsia="Times New Roman" w:cs="Times New Roman"/>
                <w:spacing w:val="-19"/>
              </w:rPr>
              <w:t xml:space="preserve"> </w:t>
            </w:r>
            <w:r>
              <w:rPr>
                <w:spacing w:val="6"/>
              </w:rPr>
              <w:t>,</w:t>
            </w:r>
          </w:p>
          <w:p>
            <w:pPr>
              <w:pStyle w:val="TableText"/>
              <w:ind w:left="168"/>
              <w:spacing w:before="25" w:line="230" w:lineRule="auto"/>
              <w:rPr/>
            </w:pPr>
            <w:r>
              <w:rPr>
                <w:spacing w:val="-1"/>
              </w:rPr>
              <w:t>沸点</w:t>
            </w:r>
            <w:r>
              <w:rPr>
                <w:spacing w:val="-42"/>
              </w:rPr>
              <w:t xml:space="preserve"> </w:t>
            </w:r>
            <w:r>
              <w:rPr>
                <w:rFonts w:ascii="Times New Roman" w:hAnsi="Times New Roman" w:eastAsia="Times New Roman" w:cs="Times New Roman"/>
                <w:spacing w:val="-1"/>
              </w:rPr>
              <w:t>286℃</w:t>
            </w:r>
            <w:r>
              <w:rPr>
                <w:rFonts w:ascii="Times New Roman" w:hAnsi="Times New Roman" w:eastAsia="Times New Roman" w:cs="Times New Roman"/>
                <w:spacing w:val="-21"/>
              </w:rPr>
              <w:t xml:space="preserve"> </w:t>
            </w:r>
            <w:r>
              <w:rPr>
                <w:spacing w:val="-1"/>
              </w:rPr>
              <w:t>,</w:t>
            </w:r>
            <w:r>
              <w:rPr>
                <w:spacing w:val="81"/>
              </w:rPr>
              <w:t xml:space="preserve"> </w:t>
            </w:r>
            <w:r>
              <w:rPr>
                <w:spacing w:val="-1"/>
              </w:rPr>
              <w:t>闪点</w:t>
            </w:r>
            <w:r>
              <w:rPr>
                <w:spacing w:val="-37"/>
              </w:rPr>
              <w:t xml:space="preserve"> </w:t>
            </w:r>
            <w:r>
              <w:rPr>
                <w:rFonts w:ascii="Times New Roman" w:hAnsi="Times New Roman" w:eastAsia="Times New Roman" w:cs="Times New Roman"/>
                <w:spacing w:val="-1"/>
              </w:rPr>
              <w:t>372℃</w:t>
            </w:r>
            <w:r>
              <w:rPr>
                <w:rFonts w:ascii="Times New Roman" w:hAnsi="Times New Roman" w:eastAsia="Times New Roman" w:cs="Times New Roman"/>
                <w:spacing w:val="-18"/>
              </w:rPr>
              <w:t xml:space="preserve"> </w:t>
            </w:r>
            <w:r>
              <w:rPr>
                <w:spacing w:val="-1"/>
              </w:rPr>
              <w:t>。易溶于乙醇、</w:t>
            </w:r>
          </w:p>
          <w:p>
            <w:pPr>
              <w:pStyle w:val="TableText"/>
              <w:ind w:left="133"/>
              <w:spacing w:before="21" w:line="231" w:lineRule="auto"/>
              <w:rPr/>
            </w:pPr>
            <w:r>
              <w:rPr>
                <w:spacing w:val="8"/>
              </w:rPr>
              <w:t>乙醚、氯仿等有机溶剂中，不溶于水，易</w:t>
            </w:r>
          </w:p>
          <w:p>
            <w:pPr>
              <w:pStyle w:val="TableText"/>
              <w:ind w:left="119"/>
              <w:spacing w:before="23" w:line="231" w:lineRule="auto"/>
              <w:rPr/>
            </w:pPr>
            <w:r>
              <w:rPr>
                <w:spacing w:val="8"/>
              </w:rPr>
              <w:t>燃。遇碱易皂化，凝固后生成白色柔软固</w:t>
            </w:r>
          </w:p>
          <w:p>
            <w:pPr>
              <w:pStyle w:val="TableText"/>
              <w:ind w:left="119"/>
              <w:spacing w:before="21" w:line="228" w:lineRule="auto"/>
              <w:rPr/>
            </w:pPr>
            <w:r>
              <w:rPr>
                <w:spacing w:val="9"/>
              </w:rPr>
              <w:t>体。在高热下极易氧化、聚合或分解。油</w:t>
            </w:r>
          </w:p>
          <w:p>
            <w:pPr>
              <w:pStyle w:val="TableText"/>
              <w:ind w:left="118"/>
              <w:spacing w:before="26" w:line="231" w:lineRule="auto"/>
              <w:rPr/>
            </w:pPr>
            <w:r>
              <w:rPr>
                <w:spacing w:val="8"/>
              </w:rPr>
              <w:t>酸的钠盐或钾盐是肥皂的成分之一。纯的</w:t>
            </w:r>
          </w:p>
          <w:p>
            <w:pPr>
              <w:pStyle w:val="TableText"/>
              <w:ind w:left="123"/>
              <w:spacing w:before="21" w:line="229" w:lineRule="auto"/>
              <w:rPr/>
            </w:pPr>
            <w:r>
              <w:rPr>
                <w:spacing w:val="8"/>
              </w:rPr>
              <w:t>油酸钠具有良好的去污能力，可用作乳化</w:t>
            </w:r>
          </w:p>
          <w:p>
            <w:pPr>
              <w:pStyle w:val="TableText"/>
              <w:ind w:left="118"/>
              <w:spacing w:before="25" w:line="229" w:lineRule="auto"/>
              <w:rPr/>
            </w:pPr>
            <w:r>
              <w:rPr>
                <w:spacing w:val="8"/>
              </w:rPr>
              <w:t>剂等表面活性剂。油酸用于本项目浮选工</w:t>
            </w:r>
          </w:p>
          <w:p>
            <w:pPr>
              <w:pStyle w:val="TableText"/>
              <w:ind w:left="1270"/>
              <w:spacing w:before="24" w:line="216" w:lineRule="auto"/>
              <w:rPr/>
            </w:pPr>
            <w:r>
              <w:rPr>
                <w:spacing w:val="6"/>
              </w:rPr>
              <w:t>序作为捕收剂。</w:t>
            </w:r>
          </w:p>
        </w:tc>
        <w:tc>
          <w:tcPr>
            <w:tcW w:w="2311" w:type="dxa"/>
            <w:vAlign w:val="top"/>
            <w:tcBorders>
              <w:left w:val="single" w:color="000000" w:sz="2" w:space="0"/>
              <w:right w:val="nil"/>
            </w:tcBorders>
          </w:tcPr>
          <w:p>
            <w:pPr>
              <w:rPr>
                <w:rFonts w:ascii="Arial"/>
                <w:sz w:val="21"/>
              </w:rPr>
            </w:pPr>
            <w:r/>
          </w:p>
        </w:tc>
      </w:tr>
    </w:tbl>
    <w:p>
      <w:pPr>
        <w:pStyle w:val="BodyText"/>
        <w:spacing w:line="365" w:lineRule="auto"/>
        <w:rPr/>
      </w:pPr>
      <w:r/>
    </w:p>
    <w:p>
      <w:pPr>
        <w:ind w:left="115"/>
        <w:spacing w:before="91" w:line="224" w:lineRule="auto"/>
        <w:outlineLvl w:val="1"/>
        <w:rPr>
          <w:rFonts w:ascii="FangSong" w:hAnsi="FangSong" w:eastAsia="FangSong" w:cs="FangSong"/>
          <w:sz w:val="28"/>
          <w:szCs w:val="28"/>
        </w:rPr>
      </w:pPr>
      <w:bookmarkStart w:name="bookmark153" w:id="210"/>
      <w:bookmarkEnd w:id="210"/>
      <w:bookmarkStart w:name="bookmark152" w:id="211"/>
      <w:bookmarkEnd w:id="211"/>
      <w:r>
        <w:rPr>
          <w:rFonts w:ascii="Times New Roman" w:hAnsi="Times New Roman" w:eastAsia="Times New Roman" w:cs="Times New Roman"/>
          <w:sz w:val="28"/>
          <w:szCs w:val="28"/>
          <w:b/>
          <w:bCs/>
          <w:spacing w:val="-6"/>
        </w:rPr>
        <w:t>4.7</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b/>
          <w:bCs/>
          <w:spacing w:val="-6"/>
        </w:rPr>
        <w:t>主要设备</w:t>
      </w:r>
    </w:p>
    <w:p>
      <w:pPr>
        <w:ind w:left="605"/>
        <w:spacing w:before="199" w:line="222" w:lineRule="auto"/>
        <w:rPr>
          <w:rFonts w:ascii="FangSong" w:hAnsi="FangSong" w:eastAsia="FangSong" w:cs="FangSong"/>
          <w:sz w:val="24"/>
          <w:szCs w:val="24"/>
        </w:rPr>
      </w:pPr>
      <w:r>
        <w:rPr>
          <w:rFonts w:ascii="FangSong" w:hAnsi="FangSong" w:eastAsia="FangSong" w:cs="FangSong"/>
          <w:sz w:val="24"/>
          <w:szCs w:val="24"/>
          <w:spacing w:val="-2"/>
        </w:rPr>
        <w:t>本项目主要生产设备见表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4.7-1</w:t>
      </w:r>
      <w:r>
        <w:rPr>
          <w:rFonts w:ascii="FangSong" w:hAnsi="FangSong" w:eastAsia="FangSong" w:cs="FangSong"/>
          <w:sz w:val="24"/>
          <w:szCs w:val="24"/>
          <w:spacing w:val="-2"/>
        </w:rPr>
        <w:t>。</w:t>
      </w:r>
    </w:p>
    <w:p>
      <w:pPr>
        <w:ind w:left="2567"/>
        <w:spacing w:before="177"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4.7-1  </w:t>
      </w:r>
      <w:r>
        <w:rPr>
          <w:rFonts w:ascii="FangSong" w:hAnsi="FangSong" w:eastAsia="FangSong" w:cs="FangSong"/>
          <w:sz w:val="24"/>
          <w:szCs w:val="24"/>
          <w:b/>
          <w:bCs/>
          <w:spacing w:val="-3"/>
        </w:rPr>
        <w:t>本项目主要生产设备一览表</w:t>
      </w:r>
    </w:p>
    <w:p>
      <w:pPr>
        <w:spacing w:line="142" w:lineRule="exact"/>
        <w:rPr/>
      </w:pPr>
      <w:r/>
    </w:p>
    <w:tbl>
      <w:tblPr>
        <w:tblStyle w:val="TableNormal"/>
        <w:tblW w:w="8908" w:type="dxa"/>
        <w:tblInd w:w="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2"/>
        <w:gridCol w:w="2239"/>
        <w:gridCol w:w="2059"/>
        <w:gridCol w:w="790"/>
        <w:gridCol w:w="770"/>
        <w:gridCol w:w="940"/>
        <w:gridCol w:w="1358"/>
      </w:tblGrid>
      <w:tr>
        <w:trPr>
          <w:trHeight w:val="554" w:hRule="atLeast"/>
        </w:trPr>
        <w:tc>
          <w:tcPr>
            <w:tcW w:w="752" w:type="dxa"/>
            <w:vAlign w:val="top"/>
            <w:tcBorders>
              <w:left w:val="nil"/>
              <w:top w:val="single" w:color="000000" w:sz="10" w:space="0"/>
            </w:tcBorders>
          </w:tcPr>
          <w:p>
            <w:pPr>
              <w:pStyle w:val="TableText"/>
              <w:ind w:left="180"/>
              <w:spacing w:before="169" w:line="231" w:lineRule="auto"/>
              <w:rPr/>
            </w:pPr>
            <w:r>
              <w:rPr>
                <w:spacing w:val="2"/>
              </w:rPr>
              <w:t>序号</w:t>
            </w:r>
          </w:p>
        </w:tc>
        <w:tc>
          <w:tcPr>
            <w:tcW w:w="2239" w:type="dxa"/>
            <w:vAlign w:val="top"/>
            <w:tcBorders>
              <w:top w:val="single" w:color="000000" w:sz="10" w:space="0"/>
            </w:tcBorders>
          </w:tcPr>
          <w:p>
            <w:pPr>
              <w:pStyle w:val="TableText"/>
              <w:ind w:left="709"/>
              <w:spacing w:before="170" w:line="229" w:lineRule="auto"/>
              <w:rPr/>
            </w:pPr>
            <w:r>
              <w:rPr>
                <w:spacing w:val="6"/>
              </w:rPr>
              <w:t>设备名称</w:t>
            </w:r>
          </w:p>
        </w:tc>
        <w:tc>
          <w:tcPr>
            <w:tcW w:w="2059" w:type="dxa"/>
            <w:vAlign w:val="top"/>
            <w:tcBorders>
              <w:top w:val="single" w:color="000000" w:sz="10" w:space="0"/>
            </w:tcBorders>
          </w:tcPr>
          <w:p>
            <w:pPr>
              <w:pStyle w:val="TableText"/>
              <w:ind w:left="314"/>
              <w:spacing w:before="169" w:line="229" w:lineRule="auto"/>
              <w:rPr/>
            </w:pPr>
            <w:r>
              <w:rPr>
                <w:spacing w:val="6"/>
              </w:rPr>
              <w:t>型号及技术性能</w:t>
            </w:r>
          </w:p>
        </w:tc>
        <w:tc>
          <w:tcPr>
            <w:tcW w:w="790" w:type="dxa"/>
            <w:vAlign w:val="top"/>
            <w:tcBorders>
              <w:top w:val="single" w:color="000000" w:sz="10" w:space="0"/>
            </w:tcBorders>
          </w:tcPr>
          <w:p>
            <w:pPr>
              <w:pStyle w:val="TableText"/>
              <w:ind w:left="200"/>
              <w:spacing w:before="170" w:line="229" w:lineRule="auto"/>
              <w:rPr/>
            </w:pPr>
            <w:r>
              <w:rPr>
                <w:spacing w:val="-1"/>
              </w:rPr>
              <w:t>单位</w:t>
            </w:r>
          </w:p>
        </w:tc>
        <w:tc>
          <w:tcPr>
            <w:tcW w:w="770" w:type="dxa"/>
            <w:vAlign w:val="top"/>
            <w:tcBorders>
              <w:top w:val="single" w:color="000000" w:sz="10" w:space="0"/>
            </w:tcBorders>
          </w:tcPr>
          <w:p>
            <w:pPr>
              <w:pStyle w:val="TableText"/>
              <w:ind w:left="186"/>
              <w:spacing w:before="169" w:line="232" w:lineRule="auto"/>
              <w:rPr/>
            </w:pPr>
            <w:r>
              <w:rPr>
                <w:spacing w:val="2"/>
              </w:rPr>
              <w:t>数量</w:t>
            </w:r>
          </w:p>
        </w:tc>
        <w:tc>
          <w:tcPr>
            <w:tcW w:w="940" w:type="dxa"/>
            <w:vAlign w:val="top"/>
            <w:tcBorders>
              <w:top w:val="single" w:color="000000" w:sz="10" w:space="0"/>
            </w:tcBorders>
          </w:tcPr>
          <w:p>
            <w:pPr>
              <w:pStyle w:val="TableText"/>
              <w:ind w:left="124" w:right="126" w:firstLine="150"/>
              <w:spacing w:before="34" w:line="235" w:lineRule="auto"/>
              <w:rPr/>
            </w:pPr>
            <w:r>
              <w:rPr>
                <w:spacing w:val="-1"/>
              </w:rPr>
              <w:t>功率</w:t>
            </w:r>
            <w:r>
              <w:rPr>
                <w:spacing w:val="-2"/>
              </w:rPr>
              <w:t>（</w:t>
            </w:r>
            <w:r>
              <w:rPr>
                <w:rFonts w:ascii="Times New Roman" w:hAnsi="Times New Roman" w:eastAsia="Times New Roman" w:cs="Times New Roman"/>
                <w:spacing w:val="-2"/>
              </w:rPr>
              <w:t>kW</w:t>
            </w:r>
            <w:r>
              <w:rPr>
                <w:spacing w:val="-2"/>
              </w:rPr>
              <w:t>）</w:t>
            </w:r>
          </w:p>
        </w:tc>
        <w:tc>
          <w:tcPr>
            <w:tcW w:w="1358" w:type="dxa"/>
            <w:vAlign w:val="top"/>
            <w:tcBorders>
              <w:right w:val="nil"/>
              <w:top w:val="single" w:color="000000" w:sz="10" w:space="0"/>
            </w:tcBorders>
          </w:tcPr>
          <w:p>
            <w:pPr>
              <w:pStyle w:val="TableText"/>
              <w:ind w:left="482"/>
              <w:spacing w:before="169" w:line="233" w:lineRule="auto"/>
              <w:rPr/>
            </w:pPr>
            <w:r>
              <w:rPr>
                <w:spacing w:val="1"/>
              </w:rPr>
              <w:t>备注</w:t>
            </w:r>
          </w:p>
        </w:tc>
      </w:tr>
      <w:tr>
        <w:trPr>
          <w:trHeight w:val="344" w:hRule="atLeast"/>
        </w:trPr>
        <w:tc>
          <w:tcPr>
            <w:tcW w:w="752" w:type="dxa"/>
            <w:vAlign w:val="top"/>
            <w:tcBorders>
              <w:left w:val="nil"/>
            </w:tcBorders>
          </w:tcPr>
          <w:p>
            <w:pPr>
              <w:pStyle w:val="TableText"/>
              <w:ind w:left="286"/>
              <w:spacing w:before="148" w:line="150" w:lineRule="exact"/>
              <w:rPr/>
            </w:pPr>
            <w:r>
              <w:rPr>
                <w:position w:val="-3"/>
              </w:rPr>
              <w:t>一</w:t>
            </w:r>
          </w:p>
        </w:tc>
        <w:tc>
          <w:tcPr>
            <w:tcW w:w="2239" w:type="dxa"/>
            <w:vAlign w:val="top"/>
          </w:tcPr>
          <w:p>
            <w:pPr>
              <w:pStyle w:val="TableText"/>
              <w:ind w:left="711"/>
              <w:spacing w:before="64" w:line="231" w:lineRule="auto"/>
              <w:rPr/>
            </w:pPr>
            <w:r>
              <w:rPr>
                <w:spacing w:val="5"/>
              </w:rPr>
              <w:t>采矿专业</w:t>
            </w:r>
          </w:p>
        </w:tc>
        <w:tc>
          <w:tcPr>
            <w:tcW w:w="2059" w:type="dxa"/>
            <w:vAlign w:val="top"/>
          </w:tcPr>
          <w:p>
            <w:pPr>
              <w:rPr>
                <w:rFonts w:ascii="Arial"/>
                <w:sz w:val="21"/>
              </w:rPr>
            </w:pPr>
            <w:r/>
          </w:p>
        </w:tc>
        <w:tc>
          <w:tcPr>
            <w:tcW w:w="790" w:type="dxa"/>
            <w:vAlign w:val="top"/>
          </w:tcPr>
          <w:p>
            <w:pPr>
              <w:rPr>
                <w:rFonts w:ascii="Arial"/>
                <w:sz w:val="21"/>
              </w:rPr>
            </w:pPr>
            <w:r/>
          </w:p>
        </w:tc>
        <w:tc>
          <w:tcPr>
            <w:tcW w:w="770" w:type="dxa"/>
            <w:vAlign w:val="top"/>
          </w:tcPr>
          <w:p>
            <w:pPr>
              <w:rPr>
                <w:rFonts w:ascii="Arial"/>
                <w:sz w:val="21"/>
              </w:rPr>
            </w:pPr>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47"/>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39" w:type="dxa"/>
            <w:vAlign w:val="top"/>
          </w:tcPr>
          <w:p>
            <w:pPr>
              <w:pStyle w:val="TableText"/>
              <w:ind w:left="819"/>
              <w:spacing w:before="65" w:line="231" w:lineRule="auto"/>
              <w:rPr/>
            </w:pPr>
            <w:r>
              <w:rPr>
                <w:spacing w:val="3"/>
              </w:rPr>
              <w:t>凿岩机</w:t>
            </w:r>
          </w:p>
        </w:tc>
        <w:tc>
          <w:tcPr>
            <w:tcW w:w="2059" w:type="dxa"/>
            <w:vAlign w:val="top"/>
          </w:tcPr>
          <w:p>
            <w:pPr>
              <w:ind w:left="782"/>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YT</w:t>
            </w:r>
            <w:r>
              <w:rPr>
                <w:rFonts w:ascii="Times New Roman" w:hAnsi="Times New Roman" w:eastAsia="Times New Roman" w:cs="Times New Roman"/>
                <w:sz w:val="20"/>
                <w:szCs w:val="20"/>
                <w:spacing w:val="9"/>
              </w:rPr>
              <w:t>28</w:t>
            </w:r>
          </w:p>
        </w:tc>
        <w:tc>
          <w:tcPr>
            <w:tcW w:w="790" w:type="dxa"/>
            <w:vAlign w:val="top"/>
          </w:tcPr>
          <w:p>
            <w:pPr>
              <w:pStyle w:val="TableText"/>
              <w:ind w:left="321"/>
              <w:spacing w:before="66" w:line="229" w:lineRule="auto"/>
              <w:rPr/>
            </w:pPr>
            <w:r>
              <w:rPr/>
              <w:t>台</w:t>
            </w:r>
          </w:p>
        </w:tc>
        <w:tc>
          <w:tcPr>
            <w:tcW w:w="770" w:type="dxa"/>
            <w:vAlign w:val="top"/>
          </w:tcPr>
          <w:p>
            <w:pPr>
              <w:ind w:left="332"/>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2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39" w:type="dxa"/>
            <w:vAlign w:val="top"/>
          </w:tcPr>
          <w:p>
            <w:pPr>
              <w:pStyle w:val="TableText"/>
              <w:ind w:left="711"/>
              <w:spacing w:before="67" w:line="228" w:lineRule="auto"/>
              <w:rPr/>
            </w:pPr>
            <w:r>
              <w:rPr>
                <w:spacing w:val="5"/>
              </w:rPr>
              <w:t>撬毛台车</w:t>
            </w:r>
          </w:p>
        </w:tc>
        <w:tc>
          <w:tcPr>
            <w:tcW w:w="2059" w:type="dxa"/>
            <w:vAlign w:val="top"/>
          </w:tcPr>
          <w:p>
            <w:pPr>
              <w:ind w:left="268"/>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XMPYT</w:t>
            </w:r>
            <w:r>
              <w:rPr>
                <w:rFonts w:ascii="Times New Roman" w:hAnsi="Times New Roman" w:eastAsia="Times New Roman" w:cs="Times New Roman"/>
                <w:sz w:val="20"/>
                <w:szCs w:val="20"/>
                <w:spacing w:val="6"/>
              </w:rPr>
              <w:t>-53/450Y</w:t>
            </w:r>
          </w:p>
        </w:tc>
        <w:tc>
          <w:tcPr>
            <w:tcW w:w="790" w:type="dxa"/>
            <w:vAlign w:val="top"/>
          </w:tcPr>
          <w:p>
            <w:pPr>
              <w:pStyle w:val="TableText"/>
              <w:ind w:left="321"/>
              <w:spacing w:before="67" w:line="229" w:lineRule="auto"/>
              <w:rPr/>
            </w:pPr>
            <w:r>
              <w:rPr/>
              <w:t>台</w:t>
            </w:r>
          </w:p>
        </w:tc>
        <w:tc>
          <w:tcPr>
            <w:tcW w:w="770" w:type="dxa"/>
            <w:vAlign w:val="top"/>
          </w:tcPr>
          <w:p>
            <w:pPr>
              <w:ind w:left="35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39" w:type="dxa"/>
            <w:vAlign w:val="top"/>
          </w:tcPr>
          <w:p>
            <w:pPr>
              <w:pStyle w:val="TableText"/>
              <w:ind w:left="819"/>
              <w:spacing w:before="66" w:line="231" w:lineRule="auto"/>
              <w:rPr/>
            </w:pPr>
            <w:r>
              <w:rPr>
                <w:spacing w:val="3"/>
              </w:rPr>
              <w:t>凿岩机</w:t>
            </w:r>
          </w:p>
        </w:tc>
        <w:tc>
          <w:tcPr>
            <w:tcW w:w="2059" w:type="dxa"/>
            <w:vAlign w:val="top"/>
          </w:tcPr>
          <w:p>
            <w:pPr>
              <w:ind w:left="73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YSP</w:t>
            </w:r>
            <w:r>
              <w:rPr>
                <w:rFonts w:ascii="Times New Roman" w:hAnsi="Times New Roman" w:eastAsia="Times New Roman" w:cs="Times New Roman"/>
                <w:sz w:val="20"/>
                <w:szCs w:val="20"/>
                <w:spacing w:val="12"/>
              </w:rPr>
              <w:t>45</w:t>
            </w:r>
          </w:p>
        </w:tc>
        <w:tc>
          <w:tcPr>
            <w:tcW w:w="790" w:type="dxa"/>
            <w:vAlign w:val="top"/>
          </w:tcPr>
          <w:p>
            <w:pPr>
              <w:pStyle w:val="TableText"/>
              <w:ind w:left="321"/>
              <w:spacing w:before="66" w:line="229" w:lineRule="auto"/>
              <w:rPr/>
            </w:pPr>
            <w:r>
              <w:rPr/>
              <w:t>台</w:t>
            </w:r>
          </w:p>
        </w:tc>
        <w:tc>
          <w:tcPr>
            <w:tcW w:w="770" w:type="dxa"/>
            <w:vAlign w:val="top"/>
          </w:tcPr>
          <w:p>
            <w:pPr>
              <w:ind w:left="33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2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239" w:type="dxa"/>
            <w:vAlign w:val="top"/>
          </w:tcPr>
          <w:p>
            <w:pPr>
              <w:pStyle w:val="TableText"/>
              <w:ind w:left="253"/>
              <w:spacing w:before="67" w:line="231" w:lineRule="auto"/>
              <w:rPr/>
            </w:pPr>
            <w:r>
              <w:rPr>
                <w:rFonts w:ascii="Times New Roman" w:hAnsi="Times New Roman" w:eastAsia="Times New Roman" w:cs="Times New Roman"/>
              </w:rPr>
              <w:t>PZ</w:t>
            </w:r>
            <w:r>
              <w:rPr>
                <w:rFonts w:ascii="Times New Roman" w:hAnsi="Times New Roman" w:eastAsia="Times New Roman" w:cs="Times New Roman"/>
                <w:spacing w:val="6"/>
              </w:rPr>
              <w:t>-5</w:t>
            </w:r>
            <w:r>
              <w:rPr>
                <w:rFonts w:ascii="Times New Roman" w:hAnsi="Times New Roman" w:eastAsia="Times New Roman" w:cs="Times New Roman"/>
                <w:spacing w:val="28"/>
              </w:rPr>
              <w:t xml:space="preserve"> </w:t>
            </w:r>
            <w:r>
              <w:rPr>
                <w:spacing w:val="6"/>
              </w:rPr>
              <w:t>混凝土喷射机</w:t>
            </w:r>
          </w:p>
        </w:tc>
        <w:tc>
          <w:tcPr>
            <w:tcW w:w="2059" w:type="dxa"/>
            <w:vAlign w:val="top"/>
          </w:tcPr>
          <w:p>
            <w:pPr>
              <w:ind w:left="81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PZ</w:t>
            </w:r>
            <w:r>
              <w:rPr>
                <w:rFonts w:ascii="Times New Roman" w:hAnsi="Times New Roman" w:eastAsia="Times New Roman" w:cs="Times New Roman"/>
                <w:sz w:val="20"/>
                <w:szCs w:val="20"/>
                <w:spacing w:val="6"/>
              </w:rPr>
              <w:t>-5</w:t>
            </w:r>
          </w:p>
        </w:tc>
        <w:tc>
          <w:tcPr>
            <w:tcW w:w="790" w:type="dxa"/>
            <w:vAlign w:val="top"/>
          </w:tcPr>
          <w:p>
            <w:pPr>
              <w:pStyle w:val="TableText"/>
              <w:ind w:left="321"/>
              <w:spacing w:before="68" w:line="229" w:lineRule="auto"/>
              <w:rPr/>
            </w:pPr>
            <w:r>
              <w:rPr/>
              <w:t>台</w:t>
            </w:r>
          </w:p>
        </w:tc>
        <w:tc>
          <w:tcPr>
            <w:tcW w:w="770" w:type="dxa"/>
            <w:vAlign w:val="top"/>
          </w:tcPr>
          <w:p>
            <w:pPr>
              <w:ind w:left="35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pStyle w:val="TableText"/>
              <w:ind w:left="290"/>
              <w:spacing w:before="111" w:line="180" w:lineRule="auto"/>
              <w:rPr/>
            </w:pPr>
            <w:r>
              <w:rPr/>
              <w:t>二</w:t>
            </w:r>
          </w:p>
        </w:tc>
        <w:tc>
          <w:tcPr>
            <w:tcW w:w="2239" w:type="dxa"/>
            <w:vAlign w:val="top"/>
          </w:tcPr>
          <w:p>
            <w:pPr>
              <w:pStyle w:val="TableText"/>
              <w:ind w:left="709"/>
              <w:spacing w:before="68" w:line="231" w:lineRule="auto"/>
              <w:rPr/>
            </w:pPr>
            <w:r>
              <w:rPr>
                <w:spacing w:val="5"/>
              </w:rPr>
              <w:t>矿机专业</w:t>
            </w:r>
          </w:p>
        </w:tc>
        <w:tc>
          <w:tcPr>
            <w:tcW w:w="2059" w:type="dxa"/>
            <w:vAlign w:val="top"/>
          </w:tcPr>
          <w:p>
            <w:pPr>
              <w:rPr>
                <w:rFonts w:ascii="Arial"/>
                <w:sz w:val="21"/>
              </w:rPr>
            </w:pPr>
            <w:r/>
          </w:p>
        </w:tc>
        <w:tc>
          <w:tcPr>
            <w:tcW w:w="790" w:type="dxa"/>
            <w:vAlign w:val="top"/>
          </w:tcPr>
          <w:p>
            <w:pPr>
              <w:rPr>
                <w:rFonts w:ascii="Arial"/>
                <w:sz w:val="21"/>
              </w:rPr>
            </w:pPr>
            <w:r/>
          </w:p>
        </w:tc>
        <w:tc>
          <w:tcPr>
            <w:tcW w:w="770" w:type="dxa"/>
            <w:vAlign w:val="top"/>
          </w:tcPr>
          <w:p>
            <w:pPr>
              <w:rPr>
                <w:rFonts w:ascii="Arial"/>
                <w:sz w:val="21"/>
              </w:rPr>
            </w:pPr>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658" w:hRule="atLeast"/>
        </w:trPr>
        <w:tc>
          <w:tcPr>
            <w:tcW w:w="752" w:type="dxa"/>
            <w:vAlign w:val="top"/>
            <w:tcBorders>
              <w:left w:val="nil"/>
            </w:tcBorders>
          </w:tcPr>
          <w:p>
            <w:pPr>
              <w:ind w:left="347"/>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39" w:type="dxa"/>
            <w:vAlign w:val="top"/>
          </w:tcPr>
          <w:p>
            <w:pPr>
              <w:pStyle w:val="TableText"/>
              <w:ind w:left="610"/>
              <w:spacing w:before="228" w:line="231" w:lineRule="auto"/>
              <w:rPr/>
            </w:pPr>
            <w:r>
              <w:rPr>
                <w:spacing w:val="5"/>
              </w:rPr>
              <w:t>主井提升机</w:t>
            </w:r>
          </w:p>
        </w:tc>
        <w:tc>
          <w:tcPr>
            <w:tcW w:w="2059" w:type="dxa"/>
            <w:vAlign w:val="top"/>
          </w:tcPr>
          <w:p>
            <w:pPr>
              <w:pStyle w:val="TableText"/>
              <w:ind w:left="110"/>
              <w:spacing w:before="228" w:line="265" w:lineRule="exact"/>
              <w:rPr>
                <w:rFonts w:ascii="Times New Roman" w:hAnsi="Times New Roman" w:eastAsia="Times New Roman" w:cs="Times New Roman"/>
              </w:rPr>
            </w:pPr>
            <w:r>
              <w:rPr>
                <w:rFonts w:ascii="Times New Roman" w:hAnsi="Times New Roman" w:eastAsia="Times New Roman" w:cs="Times New Roman"/>
                <w:spacing w:val="-1"/>
                <w:position w:val="1"/>
              </w:rPr>
              <w:t>JKMD-2.25</w:t>
            </w:r>
            <w:r>
              <w:rPr>
                <w:spacing w:val="-1"/>
                <w:position w:val="1"/>
              </w:rPr>
              <w:t>×</w:t>
            </w:r>
            <w:r>
              <w:rPr>
                <w:rFonts w:ascii="Times New Roman" w:hAnsi="Times New Roman" w:eastAsia="Times New Roman" w:cs="Times New Roman"/>
                <w:spacing w:val="-1"/>
                <w:position w:val="1"/>
              </w:rPr>
              <w:t>4</w:t>
            </w:r>
            <w:r>
              <w:rPr>
                <w:spacing w:val="-1"/>
                <w:position w:val="1"/>
              </w:rPr>
              <w:t>（</w:t>
            </w:r>
            <w:r>
              <w:rPr>
                <w:rFonts w:ascii="Times New Roman" w:hAnsi="Times New Roman" w:eastAsia="Times New Roman" w:cs="Times New Roman"/>
                <w:spacing w:val="-1"/>
                <w:position w:val="1"/>
              </w:rPr>
              <w:t>I</w:t>
            </w:r>
            <w:r>
              <w:rPr>
                <w:spacing w:val="-1"/>
                <w:position w:val="1"/>
              </w:rPr>
              <w:t>）</w:t>
            </w:r>
            <w:r>
              <w:rPr>
                <w:rFonts w:ascii="Times New Roman" w:hAnsi="Times New Roman" w:eastAsia="Times New Roman" w:cs="Times New Roman"/>
                <w:spacing w:val="-1"/>
                <w:position w:val="1"/>
              </w:rPr>
              <w:t>E</w:t>
            </w:r>
          </w:p>
        </w:tc>
        <w:tc>
          <w:tcPr>
            <w:tcW w:w="790" w:type="dxa"/>
            <w:vAlign w:val="top"/>
          </w:tcPr>
          <w:p>
            <w:pPr>
              <w:pStyle w:val="TableText"/>
              <w:ind w:left="321"/>
              <w:spacing w:before="229" w:line="229" w:lineRule="auto"/>
              <w:rPr/>
            </w:pPr>
            <w:r>
              <w:rPr/>
              <w:t>台</w:t>
            </w:r>
          </w:p>
        </w:tc>
        <w:tc>
          <w:tcPr>
            <w:tcW w:w="770" w:type="dxa"/>
            <w:vAlign w:val="top"/>
          </w:tcPr>
          <w:p>
            <w:pPr>
              <w:ind w:left="353"/>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13"/>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26"/>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39" w:type="dxa"/>
            <w:vAlign w:val="top"/>
          </w:tcPr>
          <w:p>
            <w:pPr>
              <w:pStyle w:val="TableText"/>
              <w:ind w:left="500"/>
              <w:spacing w:before="72" w:line="231" w:lineRule="auto"/>
              <w:rPr/>
            </w:pPr>
            <w:r>
              <w:rPr>
                <w:spacing w:val="7"/>
              </w:rPr>
              <w:t>双层多绳罐笼</w:t>
            </w:r>
          </w:p>
        </w:tc>
        <w:tc>
          <w:tcPr>
            <w:tcW w:w="2059" w:type="dxa"/>
            <w:vAlign w:val="top"/>
          </w:tcPr>
          <w:p>
            <w:pPr>
              <w:pStyle w:val="TableText"/>
              <w:ind w:left="340"/>
              <w:spacing w:before="72" w:line="238" w:lineRule="auto"/>
              <w:rPr/>
            </w:pPr>
            <w:r>
              <w:rPr>
                <w:rFonts w:ascii="Times New Roman" w:hAnsi="Times New Roman" w:eastAsia="Times New Roman" w:cs="Times New Roman"/>
              </w:rPr>
              <w:t>YMGS</w:t>
            </w:r>
            <w:r>
              <w:rPr>
                <w:rFonts w:ascii="Times New Roman" w:hAnsi="Times New Roman" w:eastAsia="Times New Roman" w:cs="Times New Roman"/>
                <w:spacing w:val="7"/>
              </w:rPr>
              <w:t>-2.2-2</w:t>
            </w:r>
            <w:r>
              <w:rPr>
                <w:rFonts w:ascii="Times New Roman" w:hAnsi="Times New Roman" w:eastAsia="Times New Roman" w:cs="Times New Roman"/>
                <w:spacing w:val="27"/>
                <w:w w:val="101"/>
              </w:rPr>
              <w:t xml:space="preserve"> </w:t>
            </w:r>
            <w:r>
              <w:rPr>
                <w:spacing w:val="7"/>
              </w:rPr>
              <w:t>型</w:t>
            </w:r>
          </w:p>
        </w:tc>
        <w:tc>
          <w:tcPr>
            <w:tcW w:w="790" w:type="dxa"/>
            <w:vAlign w:val="top"/>
          </w:tcPr>
          <w:p>
            <w:pPr>
              <w:pStyle w:val="TableText"/>
              <w:ind w:left="321"/>
              <w:spacing w:before="72" w:line="229" w:lineRule="auto"/>
              <w:rPr/>
            </w:pPr>
            <w:r>
              <w:rPr/>
              <w:t>台</w:t>
            </w:r>
          </w:p>
        </w:tc>
        <w:tc>
          <w:tcPr>
            <w:tcW w:w="770" w:type="dxa"/>
            <w:vAlign w:val="top"/>
          </w:tcPr>
          <w:p>
            <w:pPr>
              <w:ind w:left="35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39" w:type="dxa"/>
            <w:vAlign w:val="top"/>
          </w:tcPr>
          <w:p>
            <w:pPr>
              <w:pStyle w:val="TableText"/>
              <w:ind w:left="627"/>
              <w:spacing w:before="73" w:line="231" w:lineRule="auto"/>
              <w:rPr/>
            </w:pPr>
            <w:r>
              <w:rPr>
                <w:spacing w:val="2"/>
              </w:rPr>
              <w:t>电动装岩机</w:t>
            </w:r>
          </w:p>
        </w:tc>
        <w:tc>
          <w:tcPr>
            <w:tcW w:w="2059" w:type="dxa"/>
            <w:vAlign w:val="top"/>
          </w:tcPr>
          <w:p>
            <w:pPr>
              <w:ind w:left="72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Z-17W</w:t>
            </w:r>
          </w:p>
        </w:tc>
        <w:tc>
          <w:tcPr>
            <w:tcW w:w="790" w:type="dxa"/>
            <w:vAlign w:val="top"/>
          </w:tcPr>
          <w:p>
            <w:pPr>
              <w:pStyle w:val="TableText"/>
              <w:ind w:left="321"/>
              <w:spacing w:before="74" w:line="229" w:lineRule="auto"/>
              <w:rPr/>
            </w:pPr>
            <w:r>
              <w:rPr/>
              <w:t>台</w:t>
            </w:r>
          </w:p>
        </w:tc>
        <w:tc>
          <w:tcPr>
            <w:tcW w:w="770" w:type="dxa"/>
            <w:vAlign w:val="top"/>
          </w:tcPr>
          <w:p>
            <w:pPr>
              <w:ind w:left="34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40" w:type="dxa"/>
            <w:vAlign w:val="top"/>
          </w:tcPr>
          <w:p>
            <w:pPr>
              <w:ind w:left="30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25"/>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239" w:type="dxa"/>
            <w:vAlign w:val="top"/>
          </w:tcPr>
          <w:p>
            <w:pPr>
              <w:pStyle w:val="TableText"/>
              <w:ind w:left="506"/>
              <w:spacing w:before="74" w:line="228" w:lineRule="auto"/>
              <w:rPr/>
            </w:pPr>
            <w:r>
              <w:rPr>
                <w:spacing w:val="6"/>
              </w:rPr>
              <w:t>蓄电池电机车</w:t>
            </w:r>
          </w:p>
        </w:tc>
        <w:tc>
          <w:tcPr>
            <w:tcW w:w="2059" w:type="dxa"/>
            <w:vAlign w:val="top"/>
          </w:tcPr>
          <w:p>
            <w:pPr>
              <w:pStyle w:val="TableText"/>
              <w:ind w:left="403"/>
              <w:spacing w:before="75" w:line="238" w:lineRule="auto"/>
              <w:rPr/>
            </w:pPr>
            <w:r>
              <w:rPr>
                <w:rFonts w:ascii="Times New Roman" w:hAnsi="Times New Roman" w:eastAsia="Times New Roman" w:cs="Times New Roman"/>
              </w:rPr>
              <w:t>CTY</w:t>
            </w:r>
            <w:r>
              <w:rPr>
                <w:rFonts w:ascii="Times New Roman" w:hAnsi="Times New Roman" w:eastAsia="Times New Roman" w:cs="Times New Roman"/>
                <w:spacing w:val="5"/>
              </w:rPr>
              <w:t>2.5/6G</w:t>
            </w:r>
            <w:r>
              <w:rPr>
                <w:rFonts w:ascii="Times New Roman" w:hAnsi="Times New Roman" w:eastAsia="Times New Roman" w:cs="Times New Roman"/>
                <w:spacing w:val="31"/>
              </w:rPr>
              <w:t xml:space="preserve"> </w:t>
            </w:r>
            <w:r>
              <w:rPr>
                <w:spacing w:val="5"/>
              </w:rPr>
              <w:t>型</w:t>
            </w:r>
          </w:p>
        </w:tc>
        <w:tc>
          <w:tcPr>
            <w:tcW w:w="790" w:type="dxa"/>
            <w:vAlign w:val="top"/>
          </w:tcPr>
          <w:p>
            <w:pPr>
              <w:pStyle w:val="TableText"/>
              <w:ind w:left="321"/>
              <w:spacing w:before="75" w:line="229" w:lineRule="auto"/>
              <w:rPr/>
            </w:pPr>
            <w:r>
              <w:rPr/>
              <w:t>台</w:t>
            </w:r>
          </w:p>
        </w:tc>
        <w:tc>
          <w:tcPr>
            <w:tcW w:w="770" w:type="dxa"/>
            <w:vAlign w:val="top"/>
          </w:tcPr>
          <w:p>
            <w:pPr>
              <w:ind w:left="33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rPr>
                <w:rFonts w:ascii="Arial"/>
                <w:sz w:val="21"/>
              </w:rPr>
            </w:pPr>
            <w:r/>
          </w:p>
        </w:tc>
        <w:tc>
          <w:tcPr>
            <w:tcW w:w="1358" w:type="dxa"/>
            <w:vAlign w:val="top"/>
            <w:tcBorders>
              <w:right w:val="nil"/>
            </w:tcBorders>
          </w:tcPr>
          <w:p>
            <w:pPr>
              <w:pStyle w:val="TableText"/>
              <w:ind w:left="286"/>
              <w:spacing w:before="75" w:line="232" w:lineRule="auto"/>
              <w:rPr/>
            </w:pPr>
            <w:r>
              <w:rPr>
                <w:rFonts w:ascii="Times New Roman" w:hAnsi="Times New Roman" w:eastAsia="Times New Roman" w:cs="Times New Roman"/>
                <w:spacing w:val="-7"/>
              </w:rPr>
              <w:t>2</w:t>
            </w:r>
            <w:r>
              <w:rPr>
                <w:rFonts w:ascii="Times New Roman" w:hAnsi="Times New Roman" w:eastAsia="Times New Roman" w:cs="Times New Roman"/>
                <w:spacing w:val="20"/>
              </w:rPr>
              <w:t xml:space="preserve"> </w:t>
            </w:r>
            <w:r>
              <w:rPr>
                <w:spacing w:val="-7"/>
              </w:rPr>
              <w:t>用</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备</w:t>
            </w:r>
          </w:p>
        </w:tc>
      </w:tr>
      <w:tr>
        <w:trPr>
          <w:trHeight w:val="344" w:hRule="atLeast"/>
        </w:trPr>
        <w:tc>
          <w:tcPr>
            <w:tcW w:w="752" w:type="dxa"/>
            <w:vAlign w:val="top"/>
            <w:tcBorders>
              <w:left w:val="nil"/>
            </w:tcBorders>
          </w:tcPr>
          <w:p>
            <w:pPr>
              <w:ind w:left="332"/>
              <w:spacing w:before="11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39" w:type="dxa"/>
            <w:vAlign w:val="top"/>
          </w:tcPr>
          <w:p>
            <w:pPr>
              <w:pStyle w:val="TableText"/>
              <w:ind w:left="921"/>
              <w:spacing w:before="76" w:line="228" w:lineRule="auto"/>
              <w:rPr/>
            </w:pPr>
            <w:r>
              <w:rPr>
                <w:spacing w:val="2"/>
              </w:rPr>
              <w:t>矿车</w:t>
            </w:r>
          </w:p>
        </w:tc>
        <w:tc>
          <w:tcPr>
            <w:tcW w:w="2059" w:type="dxa"/>
            <w:vAlign w:val="top"/>
          </w:tcPr>
          <w:p>
            <w:pPr>
              <w:ind w:left="55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YFC</w:t>
            </w:r>
            <w:r>
              <w:rPr>
                <w:rFonts w:ascii="Times New Roman" w:hAnsi="Times New Roman" w:eastAsia="Times New Roman" w:cs="Times New Roman"/>
                <w:sz w:val="20"/>
                <w:szCs w:val="20"/>
                <w:spacing w:val="8"/>
              </w:rPr>
              <w:t>0.7m3</w:t>
            </w:r>
          </w:p>
        </w:tc>
        <w:tc>
          <w:tcPr>
            <w:tcW w:w="790" w:type="dxa"/>
            <w:vAlign w:val="top"/>
          </w:tcPr>
          <w:p>
            <w:pPr>
              <w:pStyle w:val="TableText"/>
              <w:ind w:left="301"/>
              <w:spacing w:before="76" w:line="230" w:lineRule="auto"/>
              <w:rPr/>
            </w:pPr>
            <w:r>
              <w:rPr/>
              <w:t>辆</w:t>
            </w:r>
          </w:p>
        </w:tc>
        <w:tc>
          <w:tcPr>
            <w:tcW w:w="770" w:type="dxa"/>
            <w:vAlign w:val="top"/>
          </w:tcPr>
          <w:p>
            <w:pPr>
              <w:ind w:left="28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940" w:type="dxa"/>
            <w:vAlign w:val="top"/>
          </w:tcPr>
          <w:p>
            <w:pPr>
              <w:rPr>
                <w:rFonts w:ascii="Arial"/>
                <w:sz w:val="21"/>
              </w:rPr>
            </w:pPr>
            <w:r/>
          </w:p>
        </w:tc>
        <w:tc>
          <w:tcPr>
            <w:tcW w:w="1358" w:type="dxa"/>
            <w:vAlign w:val="top"/>
            <w:tcBorders>
              <w:right w:val="nil"/>
            </w:tcBorders>
          </w:tcPr>
          <w:p>
            <w:pPr>
              <w:pStyle w:val="TableText"/>
              <w:ind w:left="233"/>
              <w:spacing w:before="76" w:line="232" w:lineRule="auto"/>
              <w:rPr/>
            </w:pPr>
            <w:r>
              <w:rPr>
                <w:rFonts w:ascii="Times New Roman" w:hAnsi="Times New Roman" w:eastAsia="Times New Roman" w:cs="Times New Roman"/>
              </w:rPr>
              <w:t>20</w:t>
            </w:r>
            <w:r>
              <w:rPr>
                <w:rFonts w:ascii="Times New Roman" w:hAnsi="Times New Roman" w:eastAsia="Times New Roman" w:cs="Times New Roman"/>
                <w:spacing w:val="16"/>
              </w:rPr>
              <w:t xml:space="preserve"> </w:t>
            </w:r>
            <w:r>
              <w:rPr/>
              <w:t>用</w:t>
            </w:r>
            <w:r>
              <w:rPr>
                <w:spacing w:val="-42"/>
              </w:rPr>
              <w:t xml:space="preserve"> </w:t>
            </w:r>
            <w:r>
              <w:rPr>
                <w:rFonts w:ascii="Times New Roman" w:hAnsi="Times New Roman" w:eastAsia="Times New Roman" w:cs="Times New Roman"/>
              </w:rPr>
              <w:t>4</w:t>
            </w:r>
            <w:r>
              <w:rPr>
                <w:rFonts w:ascii="Times New Roman" w:hAnsi="Times New Roman" w:eastAsia="Times New Roman" w:cs="Times New Roman"/>
                <w:spacing w:val="17"/>
                <w:w w:val="101"/>
              </w:rPr>
              <w:t xml:space="preserve"> </w:t>
            </w:r>
            <w:r>
              <w:rPr/>
              <w:t>备</w:t>
            </w:r>
          </w:p>
        </w:tc>
      </w:tr>
      <w:tr>
        <w:trPr>
          <w:trHeight w:val="344" w:hRule="atLeast"/>
        </w:trPr>
        <w:tc>
          <w:tcPr>
            <w:tcW w:w="752" w:type="dxa"/>
            <w:vAlign w:val="top"/>
            <w:tcBorders>
              <w:left w:val="nil"/>
            </w:tcBorders>
          </w:tcPr>
          <w:p>
            <w:pPr>
              <w:ind w:left="331"/>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39" w:type="dxa"/>
            <w:vAlign w:val="top"/>
          </w:tcPr>
          <w:p>
            <w:pPr>
              <w:pStyle w:val="TableText"/>
              <w:ind w:left="926"/>
              <w:spacing w:before="75" w:line="232" w:lineRule="auto"/>
              <w:rPr/>
            </w:pPr>
            <w:r>
              <w:rPr>
                <w:spacing w:val="-1"/>
              </w:rPr>
              <w:t>主扇</w:t>
            </w:r>
          </w:p>
        </w:tc>
        <w:tc>
          <w:tcPr>
            <w:tcW w:w="2059" w:type="dxa"/>
            <w:vAlign w:val="top"/>
          </w:tcPr>
          <w:p>
            <w:pPr>
              <w:ind w:left="623"/>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K40-4-13</w:t>
            </w:r>
          </w:p>
        </w:tc>
        <w:tc>
          <w:tcPr>
            <w:tcW w:w="790" w:type="dxa"/>
            <w:vAlign w:val="top"/>
          </w:tcPr>
          <w:p>
            <w:pPr>
              <w:pStyle w:val="TableText"/>
              <w:ind w:left="321"/>
              <w:spacing w:before="75" w:line="229" w:lineRule="auto"/>
              <w:rPr/>
            </w:pPr>
            <w:r>
              <w:rPr/>
              <w:t>台</w:t>
            </w:r>
          </w:p>
        </w:tc>
        <w:tc>
          <w:tcPr>
            <w:tcW w:w="770" w:type="dxa"/>
            <w:vAlign w:val="top"/>
          </w:tcPr>
          <w:p>
            <w:pPr>
              <w:ind w:left="353"/>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72"/>
              <w:spacing w:before="11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58" w:type="dxa"/>
            <w:vAlign w:val="top"/>
            <w:tcBorders>
              <w:right w:val="nil"/>
            </w:tcBorders>
          </w:tcPr>
          <w:p>
            <w:pPr>
              <w:pStyle w:val="TableText"/>
              <w:ind w:left="191"/>
              <w:spacing w:before="75" w:line="231" w:lineRule="auto"/>
              <w:rPr>
                <w:rFonts w:ascii="Times New Roman" w:hAnsi="Times New Roman" w:eastAsia="Times New Roman" w:cs="Times New Roman"/>
              </w:rPr>
            </w:pPr>
            <w:r>
              <w:rPr>
                <w:spacing w:val="4"/>
              </w:rPr>
              <w:t>备用电机</w:t>
            </w:r>
            <w:r>
              <w:rPr>
                <w:spacing w:val="-20"/>
              </w:rPr>
              <w:t xml:space="preserve"> </w:t>
            </w:r>
            <w:r>
              <w:rPr>
                <w:rFonts w:ascii="Times New Roman" w:hAnsi="Times New Roman" w:eastAsia="Times New Roman" w:cs="Times New Roman"/>
                <w:spacing w:val="4"/>
              </w:rPr>
              <w:t>1</w:t>
            </w:r>
          </w:p>
        </w:tc>
      </w:tr>
      <w:tr>
        <w:trPr>
          <w:trHeight w:val="344" w:hRule="atLeast"/>
        </w:trPr>
        <w:tc>
          <w:tcPr>
            <w:tcW w:w="752" w:type="dxa"/>
            <w:vAlign w:val="top"/>
            <w:tcBorders>
              <w:left w:val="nil"/>
            </w:tcBorders>
          </w:tcPr>
          <w:p>
            <w:pPr>
              <w:ind w:left="330"/>
              <w:spacing w:before="11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39" w:type="dxa"/>
            <w:vAlign w:val="top"/>
          </w:tcPr>
          <w:p>
            <w:pPr>
              <w:pStyle w:val="TableText"/>
              <w:ind w:left="826"/>
              <w:spacing w:before="76" w:line="231" w:lineRule="auto"/>
              <w:rPr/>
            </w:pPr>
            <w:r>
              <w:rPr>
                <w:spacing w:val="1"/>
              </w:rPr>
              <w:t>空压机</w:t>
            </w:r>
          </w:p>
        </w:tc>
        <w:tc>
          <w:tcPr>
            <w:tcW w:w="2059" w:type="dxa"/>
            <w:vAlign w:val="top"/>
          </w:tcPr>
          <w:p>
            <w:pPr>
              <w:ind w:left="592"/>
              <w:spacing w:before="11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LG</w:t>
            </w:r>
            <w:r>
              <w:rPr>
                <w:rFonts w:ascii="Times New Roman" w:hAnsi="Times New Roman" w:eastAsia="Times New Roman" w:cs="Times New Roman"/>
                <w:sz w:val="20"/>
                <w:szCs w:val="20"/>
                <w:spacing w:val="5"/>
              </w:rPr>
              <w:t>-20/8G</w:t>
            </w:r>
          </w:p>
        </w:tc>
        <w:tc>
          <w:tcPr>
            <w:tcW w:w="790" w:type="dxa"/>
            <w:vAlign w:val="top"/>
          </w:tcPr>
          <w:p>
            <w:pPr>
              <w:pStyle w:val="TableText"/>
              <w:ind w:left="321"/>
              <w:spacing w:before="77" w:line="229" w:lineRule="auto"/>
              <w:rPr/>
            </w:pPr>
            <w:r>
              <w:rPr/>
              <w:t>台</w:t>
            </w:r>
          </w:p>
        </w:tc>
        <w:tc>
          <w:tcPr>
            <w:tcW w:w="770" w:type="dxa"/>
            <w:vAlign w:val="top"/>
          </w:tcPr>
          <w:p>
            <w:pPr>
              <w:ind w:left="333"/>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334"/>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5"/>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39" w:type="dxa"/>
            <w:vAlign w:val="top"/>
          </w:tcPr>
          <w:p>
            <w:pPr>
              <w:pStyle w:val="TableText"/>
              <w:ind w:left="924"/>
              <w:spacing w:before="77" w:line="232" w:lineRule="auto"/>
              <w:rPr/>
            </w:pPr>
            <w:r>
              <w:rPr/>
              <w:t>局扇</w:t>
            </w:r>
          </w:p>
        </w:tc>
        <w:tc>
          <w:tcPr>
            <w:tcW w:w="2059" w:type="dxa"/>
            <w:vAlign w:val="top"/>
          </w:tcPr>
          <w:p>
            <w:pPr>
              <w:rPr>
                <w:rFonts w:ascii="Arial"/>
                <w:sz w:val="21"/>
              </w:rPr>
            </w:pPr>
            <w:r/>
          </w:p>
        </w:tc>
        <w:tc>
          <w:tcPr>
            <w:tcW w:w="790" w:type="dxa"/>
            <w:vAlign w:val="top"/>
          </w:tcPr>
          <w:p>
            <w:pPr>
              <w:pStyle w:val="TableText"/>
              <w:ind w:left="321"/>
              <w:spacing w:before="78" w:line="229" w:lineRule="auto"/>
              <w:rPr/>
            </w:pPr>
            <w:r>
              <w:rPr/>
              <w:t>台</w:t>
            </w:r>
          </w:p>
        </w:tc>
        <w:tc>
          <w:tcPr>
            <w:tcW w:w="770" w:type="dxa"/>
            <w:vAlign w:val="top"/>
          </w:tcPr>
          <w:p>
            <w:pPr>
              <w:ind w:left="336"/>
              <w:spacing w:before="11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40" w:type="dxa"/>
            <w:vAlign w:val="top"/>
          </w:tcPr>
          <w:p>
            <w:pPr>
              <w:ind w:left="346"/>
              <w:spacing w:before="11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0"/>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39" w:type="dxa"/>
            <w:vAlign w:val="top"/>
          </w:tcPr>
          <w:p>
            <w:pPr>
              <w:pStyle w:val="TableText"/>
              <w:ind w:left="444"/>
              <w:spacing w:before="79" w:line="232" w:lineRule="auto"/>
              <w:rPr/>
            </w:pPr>
            <w:r>
              <w:rPr>
                <w:rFonts w:ascii="Times New Roman" w:hAnsi="Times New Roman" w:eastAsia="Times New Roman" w:cs="Times New Roman"/>
                <w:spacing w:val="4"/>
              </w:rPr>
              <w:t>850m</w:t>
            </w:r>
            <w:r>
              <w:rPr>
                <w:rFonts w:ascii="Times New Roman" w:hAnsi="Times New Roman" w:eastAsia="Times New Roman" w:cs="Times New Roman"/>
                <w:spacing w:val="16"/>
                <w:w w:val="101"/>
              </w:rPr>
              <w:t xml:space="preserve"> </w:t>
            </w:r>
            <w:r>
              <w:rPr>
                <w:spacing w:val="4"/>
              </w:rPr>
              <w:t>水仓水泵</w:t>
            </w:r>
          </w:p>
        </w:tc>
        <w:tc>
          <w:tcPr>
            <w:tcW w:w="2059" w:type="dxa"/>
            <w:vAlign w:val="top"/>
          </w:tcPr>
          <w:p>
            <w:pPr>
              <w:pStyle w:val="TableText"/>
              <w:ind w:left="498"/>
              <w:spacing w:before="79" w:line="235" w:lineRule="auto"/>
              <w:rPr>
                <w:rFonts w:ascii="Times New Roman" w:hAnsi="Times New Roman" w:eastAsia="Times New Roman" w:cs="Times New Roman"/>
              </w:rPr>
            </w:pPr>
            <w:r>
              <w:rPr>
                <w:rFonts w:ascii="Times New Roman" w:hAnsi="Times New Roman" w:eastAsia="Times New Roman" w:cs="Times New Roman"/>
                <w:spacing w:val="5"/>
              </w:rPr>
              <w:t>D120-50</w:t>
            </w:r>
            <w:r>
              <w:rPr>
                <w:spacing w:val="5"/>
              </w:rPr>
              <w:t>×</w:t>
            </w:r>
            <w:r>
              <w:rPr>
                <w:rFonts w:ascii="Times New Roman" w:hAnsi="Times New Roman" w:eastAsia="Times New Roman" w:cs="Times New Roman"/>
                <w:spacing w:val="5"/>
              </w:rPr>
              <w:t>5</w:t>
            </w:r>
          </w:p>
        </w:tc>
        <w:tc>
          <w:tcPr>
            <w:tcW w:w="790" w:type="dxa"/>
            <w:vAlign w:val="top"/>
          </w:tcPr>
          <w:p>
            <w:pPr>
              <w:pStyle w:val="TableText"/>
              <w:ind w:left="321"/>
              <w:spacing w:before="80" w:line="229" w:lineRule="auto"/>
              <w:rPr/>
            </w:pPr>
            <w:r>
              <w:rPr/>
              <w:t>台</w:t>
            </w:r>
          </w:p>
        </w:tc>
        <w:tc>
          <w:tcPr>
            <w:tcW w:w="770" w:type="dxa"/>
            <w:vAlign w:val="top"/>
          </w:tcPr>
          <w:p>
            <w:pPr>
              <w:ind w:left="337"/>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ind w:left="334"/>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132</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pStyle w:val="TableText"/>
              <w:ind w:left="289"/>
              <w:spacing w:before="108" w:line="194" w:lineRule="auto"/>
              <w:rPr/>
            </w:pPr>
            <w:r>
              <w:rPr/>
              <w:t>三</w:t>
            </w:r>
          </w:p>
        </w:tc>
        <w:tc>
          <w:tcPr>
            <w:tcW w:w="2239" w:type="dxa"/>
            <w:vAlign w:val="top"/>
          </w:tcPr>
          <w:p>
            <w:pPr>
              <w:pStyle w:val="TableText"/>
              <w:ind w:left="923"/>
              <w:spacing w:before="81" w:line="232" w:lineRule="auto"/>
              <w:rPr/>
            </w:pPr>
            <w:r>
              <w:rPr/>
              <w:t>选矿</w:t>
            </w:r>
          </w:p>
        </w:tc>
        <w:tc>
          <w:tcPr>
            <w:tcW w:w="2059" w:type="dxa"/>
            <w:vAlign w:val="top"/>
          </w:tcPr>
          <w:p>
            <w:pPr>
              <w:rPr>
                <w:rFonts w:ascii="Arial"/>
                <w:sz w:val="21"/>
              </w:rPr>
            </w:pPr>
            <w:r/>
          </w:p>
        </w:tc>
        <w:tc>
          <w:tcPr>
            <w:tcW w:w="790" w:type="dxa"/>
            <w:vAlign w:val="top"/>
          </w:tcPr>
          <w:p>
            <w:pPr>
              <w:rPr>
                <w:rFonts w:ascii="Arial"/>
                <w:sz w:val="21"/>
              </w:rPr>
            </w:pPr>
            <w:r/>
          </w:p>
        </w:tc>
        <w:tc>
          <w:tcPr>
            <w:tcW w:w="770" w:type="dxa"/>
            <w:vAlign w:val="top"/>
          </w:tcPr>
          <w:p>
            <w:pPr>
              <w:rPr>
                <w:rFonts w:ascii="Arial"/>
                <w:sz w:val="21"/>
              </w:rPr>
            </w:pPr>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4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39" w:type="dxa"/>
            <w:vAlign w:val="top"/>
          </w:tcPr>
          <w:p>
            <w:pPr>
              <w:pStyle w:val="TableText"/>
              <w:ind w:left="603"/>
              <w:spacing w:before="82" w:line="229" w:lineRule="auto"/>
              <w:rPr/>
            </w:pPr>
            <w:r>
              <w:rPr>
                <w:spacing w:val="7"/>
              </w:rPr>
              <w:t>颚式破碎机</w:t>
            </w:r>
          </w:p>
        </w:tc>
        <w:tc>
          <w:tcPr>
            <w:tcW w:w="2059" w:type="dxa"/>
            <w:vAlign w:val="top"/>
          </w:tcPr>
          <w:p>
            <w:pPr>
              <w:pStyle w:val="TableText"/>
              <w:ind w:left="488"/>
              <w:spacing w:before="82" w:line="232" w:lineRule="auto"/>
              <w:rPr>
                <w:rFonts w:ascii="Times New Roman" w:hAnsi="Times New Roman" w:eastAsia="Times New Roman" w:cs="Times New Roman"/>
              </w:rPr>
            </w:pPr>
            <w:r>
              <w:rPr>
                <w:rFonts w:ascii="Times New Roman" w:hAnsi="Times New Roman" w:eastAsia="Times New Roman" w:cs="Times New Roman"/>
              </w:rPr>
              <w:t>PE</w:t>
            </w:r>
            <w:r>
              <w:rPr>
                <w:rFonts w:ascii="Times New Roman" w:hAnsi="Times New Roman" w:eastAsia="Times New Roman" w:cs="Times New Roman"/>
                <w:spacing w:val="7"/>
              </w:rPr>
              <w:t>400</w:t>
            </w:r>
            <w:r>
              <w:rPr>
                <w:spacing w:val="7"/>
              </w:rPr>
              <w:t>×</w:t>
            </w:r>
            <w:r>
              <w:rPr>
                <w:rFonts w:ascii="Times New Roman" w:hAnsi="Times New Roman" w:eastAsia="Times New Roman" w:cs="Times New Roman"/>
                <w:spacing w:val="7"/>
              </w:rPr>
              <w:t>600</w:t>
            </w:r>
          </w:p>
        </w:tc>
        <w:tc>
          <w:tcPr>
            <w:tcW w:w="790" w:type="dxa"/>
            <w:vAlign w:val="top"/>
          </w:tcPr>
          <w:p>
            <w:pPr>
              <w:pStyle w:val="TableText"/>
              <w:ind w:left="321"/>
              <w:spacing w:before="82" w:line="229" w:lineRule="auto"/>
              <w:rPr/>
            </w:pPr>
            <w:r>
              <w:rPr/>
              <w:t>台</w:t>
            </w:r>
          </w:p>
        </w:tc>
        <w:tc>
          <w:tcPr>
            <w:tcW w:w="770" w:type="dxa"/>
            <w:vAlign w:val="top"/>
          </w:tcPr>
          <w:p>
            <w:pPr>
              <w:ind w:left="35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70"/>
              <w:spacing w:before="12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26"/>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39" w:type="dxa"/>
            <w:vAlign w:val="top"/>
          </w:tcPr>
          <w:p>
            <w:pPr>
              <w:pStyle w:val="TableText"/>
              <w:ind w:left="623"/>
              <w:spacing w:before="81" w:line="229" w:lineRule="auto"/>
              <w:rPr/>
            </w:pPr>
            <w:r>
              <w:rPr>
                <w:spacing w:val="3"/>
              </w:rPr>
              <w:t>圆锥破碎机</w:t>
            </w:r>
          </w:p>
        </w:tc>
        <w:tc>
          <w:tcPr>
            <w:tcW w:w="2059" w:type="dxa"/>
            <w:vAlign w:val="top"/>
          </w:tcPr>
          <w:p>
            <w:pPr>
              <w:ind w:left="517"/>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PYS</w:t>
            </w:r>
            <w:r>
              <w:rPr>
                <w:rFonts w:ascii="Times New Roman" w:hAnsi="Times New Roman" w:eastAsia="Times New Roman" w:cs="Times New Roman"/>
                <w:sz w:val="20"/>
                <w:szCs w:val="20"/>
                <w:spacing w:val="7"/>
              </w:rPr>
              <w:t>-D1205</w:t>
            </w:r>
          </w:p>
        </w:tc>
        <w:tc>
          <w:tcPr>
            <w:tcW w:w="790" w:type="dxa"/>
            <w:vAlign w:val="top"/>
          </w:tcPr>
          <w:p>
            <w:pPr>
              <w:pStyle w:val="TableText"/>
              <w:ind w:left="321"/>
              <w:spacing w:before="81" w:line="229" w:lineRule="auto"/>
              <w:rPr/>
            </w:pPr>
            <w:r>
              <w:rPr/>
              <w:t>台</w:t>
            </w:r>
          </w:p>
        </w:tc>
        <w:tc>
          <w:tcPr>
            <w:tcW w:w="770" w:type="dxa"/>
            <w:vAlign w:val="top"/>
          </w:tcPr>
          <w:p>
            <w:pPr>
              <w:ind w:left="35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36"/>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1"/>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39" w:type="dxa"/>
            <w:vAlign w:val="top"/>
          </w:tcPr>
          <w:p>
            <w:pPr>
              <w:pStyle w:val="TableText"/>
              <w:ind w:left="729"/>
              <w:spacing w:before="82" w:line="231" w:lineRule="auto"/>
              <w:rPr/>
            </w:pPr>
            <w:r>
              <w:rPr>
                <w:spacing w:val="1"/>
              </w:rPr>
              <w:t>圆振动筛</w:t>
            </w:r>
          </w:p>
        </w:tc>
        <w:tc>
          <w:tcPr>
            <w:tcW w:w="2059" w:type="dxa"/>
            <w:vAlign w:val="top"/>
          </w:tcPr>
          <w:p>
            <w:pPr>
              <w:ind w:left="592"/>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rPr>
              <w:t>YA</w:t>
            </w:r>
            <w:r>
              <w:rPr>
                <w:rFonts w:ascii="Times New Roman" w:hAnsi="Times New Roman" w:eastAsia="Times New Roman" w:cs="Times New Roman"/>
                <w:sz w:val="20"/>
                <w:szCs w:val="20"/>
                <w:spacing w:val="2"/>
              </w:rPr>
              <w:t>-1020</w:t>
            </w:r>
          </w:p>
        </w:tc>
        <w:tc>
          <w:tcPr>
            <w:tcW w:w="790" w:type="dxa"/>
            <w:vAlign w:val="top"/>
          </w:tcPr>
          <w:p>
            <w:pPr>
              <w:pStyle w:val="TableText"/>
              <w:ind w:left="321"/>
              <w:spacing w:before="83" w:line="229" w:lineRule="auto"/>
              <w:rPr/>
            </w:pPr>
            <w:r>
              <w:rPr/>
              <w:t>台</w:t>
            </w:r>
          </w:p>
        </w:tc>
        <w:tc>
          <w:tcPr>
            <w:tcW w:w="770" w:type="dxa"/>
            <w:vAlign w:val="top"/>
          </w:tcPr>
          <w:p>
            <w:pPr>
              <w:ind w:left="35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67"/>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25"/>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239" w:type="dxa"/>
            <w:vAlign w:val="top"/>
          </w:tcPr>
          <w:p>
            <w:pPr>
              <w:pStyle w:val="TableText"/>
              <w:ind w:left="418"/>
              <w:spacing w:before="83" w:line="231" w:lineRule="auto"/>
              <w:rPr/>
            </w:pPr>
            <w:r>
              <w:rPr>
                <w:spacing w:val="4"/>
              </w:rPr>
              <w:t>电机振动给矿机</w:t>
            </w:r>
          </w:p>
        </w:tc>
        <w:tc>
          <w:tcPr>
            <w:tcW w:w="2059" w:type="dxa"/>
            <w:vAlign w:val="top"/>
          </w:tcPr>
          <w:p>
            <w:pPr>
              <w:ind w:left="555"/>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DZG</w:t>
            </w:r>
            <w:r>
              <w:rPr>
                <w:rFonts w:ascii="Times New Roman" w:hAnsi="Times New Roman" w:eastAsia="Times New Roman" w:cs="Times New Roman"/>
                <w:sz w:val="20"/>
                <w:szCs w:val="20"/>
                <w:spacing w:val="6"/>
              </w:rPr>
              <w:t>50110</w:t>
            </w:r>
          </w:p>
        </w:tc>
        <w:tc>
          <w:tcPr>
            <w:tcW w:w="790" w:type="dxa"/>
            <w:vAlign w:val="top"/>
          </w:tcPr>
          <w:p>
            <w:pPr>
              <w:pStyle w:val="TableText"/>
              <w:ind w:left="321"/>
              <w:spacing w:before="84" w:line="229" w:lineRule="auto"/>
              <w:rPr/>
            </w:pPr>
            <w:r>
              <w:rPr/>
              <w:t>台</w:t>
            </w:r>
          </w:p>
        </w:tc>
        <w:tc>
          <w:tcPr>
            <w:tcW w:w="770" w:type="dxa"/>
            <w:vAlign w:val="top"/>
          </w:tcPr>
          <w:p>
            <w:pPr>
              <w:ind w:left="33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43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2"/>
              <w:spacing w:before="12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39" w:type="dxa"/>
            <w:vAlign w:val="top"/>
          </w:tcPr>
          <w:p>
            <w:pPr>
              <w:pStyle w:val="TableText"/>
              <w:ind w:left="500"/>
              <w:spacing w:before="85" w:line="229" w:lineRule="auto"/>
              <w:rPr/>
            </w:pPr>
            <w:r>
              <w:rPr>
                <w:spacing w:val="7"/>
              </w:rPr>
              <w:t>格子型球磨机</w:t>
            </w:r>
          </w:p>
        </w:tc>
        <w:tc>
          <w:tcPr>
            <w:tcW w:w="2059" w:type="dxa"/>
            <w:vAlign w:val="top"/>
          </w:tcPr>
          <w:p>
            <w:pPr>
              <w:ind w:left="575"/>
              <w:spacing w:before="121"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MQG</w:t>
            </w:r>
            <w:r>
              <w:rPr>
                <w:rFonts w:ascii="Times New Roman" w:hAnsi="Times New Roman" w:eastAsia="Times New Roman" w:cs="Times New Roman"/>
                <w:sz w:val="20"/>
                <w:szCs w:val="20"/>
                <w:spacing w:val="10"/>
              </w:rPr>
              <w:t>1836</w:t>
            </w:r>
          </w:p>
        </w:tc>
        <w:tc>
          <w:tcPr>
            <w:tcW w:w="790" w:type="dxa"/>
            <w:vAlign w:val="top"/>
          </w:tcPr>
          <w:p>
            <w:pPr>
              <w:pStyle w:val="TableText"/>
              <w:ind w:left="321"/>
              <w:spacing w:before="85" w:line="229" w:lineRule="auto"/>
              <w:rPr/>
            </w:pPr>
            <w:r>
              <w:rPr/>
              <w:t>台</w:t>
            </w:r>
          </w:p>
        </w:tc>
        <w:tc>
          <w:tcPr>
            <w:tcW w:w="770" w:type="dxa"/>
            <w:vAlign w:val="top"/>
          </w:tcPr>
          <w:p>
            <w:pPr>
              <w:ind w:left="35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14"/>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1"/>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39" w:type="dxa"/>
            <w:vAlign w:val="top"/>
          </w:tcPr>
          <w:p>
            <w:pPr>
              <w:pStyle w:val="TableText"/>
              <w:ind w:left="188"/>
              <w:spacing w:before="86" w:line="228" w:lineRule="auto"/>
              <w:rPr/>
            </w:pPr>
            <w:r>
              <w:rPr>
                <w:spacing w:val="7"/>
              </w:rPr>
              <w:t>单螺旋沉没式分级机</w:t>
            </w:r>
          </w:p>
        </w:tc>
        <w:tc>
          <w:tcPr>
            <w:tcW w:w="2059" w:type="dxa"/>
            <w:vAlign w:val="top"/>
          </w:tcPr>
          <w:p>
            <w:pPr>
              <w:ind w:left="65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FC</w:t>
            </w:r>
            <w:r>
              <w:rPr>
                <w:rFonts w:ascii="Times New Roman" w:hAnsi="Times New Roman" w:eastAsia="Times New Roman" w:cs="Times New Roman"/>
                <w:sz w:val="20"/>
                <w:szCs w:val="20"/>
                <w:spacing w:val="6"/>
              </w:rPr>
              <w:t>-1500</w:t>
            </w:r>
          </w:p>
        </w:tc>
        <w:tc>
          <w:tcPr>
            <w:tcW w:w="790" w:type="dxa"/>
            <w:vAlign w:val="top"/>
          </w:tcPr>
          <w:p>
            <w:pPr>
              <w:pStyle w:val="TableText"/>
              <w:ind w:left="321"/>
              <w:spacing w:before="86" w:line="228" w:lineRule="auto"/>
              <w:rPr/>
            </w:pPr>
            <w:r>
              <w:rPr/>
              <w:t>台</w:t>
            </w:r>
          </w:p>
        </w:tc>
        <w:tc>
          <w:tcPr>
            <w:tcW w:w="770" w:type="dxa"/>
            <w:vAlign w:val="top"/>
          </w:tcPr>
          <w:p>
            <w:pPr>
              <w:ind w:left="35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87"/>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330"/>
              <w:spacing w:before="12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39" w:type="dxa"/>
            <w:vAlign w:val="top"/>
          </w:tcPr>
          <w:p>
            <w:pPr>
              <w:pStyle w:val="TableText"/>
              <w:ind w:left="816"/>
              <w:spacing w:before="88" w:line="227" w:lineRule="auto"/>
              <w:rPr/>
            </w:pPr>
            <w:r>
              <w:rPr>
                <w:spacing w:val="4"/>
              </w:rPr>
              <w:t>渣浆泵</w:t>
            </w:r>
          </w:p>
        </w:tc>
        <w:tc>
          <w:tcPr>
            <w:tcW w:w="2059" w:type="dxa"/>
            <w:vAlign w:val="top"/>
          </w:tcPr>
          <w:p>
            <w:pPr>
              <w:ind w:left="45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80</w:t>
            </w:r>
            <w:r>
              <w:rPr>
                <w:rFonts w:ascii="Times New Roman" w:hAnsi="Times New Roman" w:eastAsia="Times New Roman" w:cs="Times New Roman"/>
                <w:sz w:val="20"/>
                <w:szCs w:val="20"/>
              </w:rPr>
              <w:t>ZBD</w:t>
            </w:r>
            <w:r>
              <w:rPr>
                <w:rFonts w:ascii="Times New Roman" w:hAnsi="Times New Roman" w:eastAsia="Times New Roman" w:cs="Times New Roman"/>
                <w:sz w:val="20"/>
                <w:szCs w:val="20"/>
                <w:spacing w:val="6"/>
              </w:rPr>
              <w:t>-315A</w:t>
            </w:r>
          </w:p>
        </w:tc>
        <w:tc>
          <w:tcPr>
            <w:tcW w:w="790" w:type="dxa"/>
            <w:vAlign w:val="top"/>
          </w:tcPr>
          <w:p>
            <w:pPr>
              <w:pStyle w:val="TableText"/>
              <w:ind w:left="321"/>
              <w:spacing w:before="88" w:line="227" w:lineRule="auto"/>
              <w:rPr/>
            </w:pPr>
            <w:r>
              <w:rPr/>
              <w:t>台</w:t>
            </w:r>
          </w:p>
        </w:tc>
        <w:tc>
          <w:tcPr>
            <w:tcW w:w="770" w:type="dxa"/>
            <w:vAlign w:val="top"/>
          </w:tcPr>
          <w:p>
            <w:pPr>
              <w:ind w:left="333"/>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37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w:t>
            </w:r>
          </w:p>
        </w:tc>
        <w:tc>
          <w:tcPr>
            <w:tcW w:w="1358" w:type="dxa"/>
            <w:vAlign w:val="top"/>
            <w:tcBorders>
              <w:right w:val="nil"/>
            </w:tcBorders>
          </w:tcPr>
          <w:p>
            <w:pPr>
              <w:rPr>
                <w:rFonts w:ascii="Arial"/>
                <w:sz w:val="21"/>
              </w:rPr>
            </w:pPr>
            <w:r/>
          </w:p>
        </w:tc>
      </w:tr>
      <w:tr>
        <w:trPr>
          <w:trHeight w:val="366" w:hRule="atLeast"/>
        </w:trPr>
        <w:tc>
          <w:tcPr>
            <w:tcW w:w="752" w:type="dxa"/>
            <w:vAlign w:val="top"/>
            <w:tcBorders>
              <w:left w:val="nil"/>
              <w:bottom w:val="single" w:color="000000" w:sz="10" w:space="0"/>
            </w:tcBorders>
          </w:tcPr>
          <w:p>
            <w:pPr>
              <w:ind w:left="33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39" w:type="dxa"/>
            <w:vAlign w:val="top"/>
            <w:tcBorders>
              <w:bottom w:val="single" w:color="000000" w:sz="10" w:space="0"/>
            </w:tcBorders>
          </w:tcPr>
          <w:p>
            <w:pPr>
              <w:pStyle w:val="TableText"/>
              <w:ind w:left="610"/>
              <w:spacing w:before="87" w:line="231" w:lineRule="auto"/>
              <w:rPr/>
            </w:pPr>
            <w:r>
              <w:rPr>
                <w:spacing w:val="5"/>
              </w:rPr>
              <w:t>高效搅拌槽</w:t>
            </w:r>
          </w:p>
        </w:tc>
        <w:tc>
          <w:tcPr>
            <w:tcW w:w="2059" w:type="dxa"/>
            <w:vAlign w:val="top"/>
            <w:tcBorders>
              <w:bottom w:val="single" w:color="000000" w:sz="10" w:space="0"/>
            </w:tcBorders>
          </w:tcPr>
          <w:p>
            <w:pPr>
              <w:pStyle w:val="TableText"/>
              <w:ind w:left="321"/>
              <w:spacing w:before="87" w:line="269" w:lineRule="exact"/>
              <w:rPr>
                <w:rFonts w:ascii="Times New Roman" w:hAnsi="Times New Roman" w:eastAsia="Times New Roman" w:cs="Times New Roman"/>
              </w:rPr>
            </w:pPr>
            <w:r>
              <w:rPr>
                <w:rFonts w:ascii="Times New Roman" w:hAnsi="Times New Roman" w:eastAsia="Times New Roman" w:cs="Times New Roman"/>
                <w:position w:val="1"/>
              </w:rPr>
              <w:t>GBJ</w:t>
            </w:r>
            <w:r>
              <w:rPr>
                <w:rFonts w:ascii="Times New Roman" w:hAnsi="Times New Roman" w:eastAsia="Times New Roman" w:cs="Times New Roman"/>
                <w:spacing w:val="6"/>
                <w:position w:val="1"/>
              </w:rPr>
              <w:t>1500</w:t>
            </w:r>
            <w:r>
              <w:rPr>
                <w:spacing w:val="6"/>
                <w:position w:val="1"/>
              </w:rPr>
              <w:t>×</w:t>
            </w:r>
            <w:r>
              <w:rPr>
                <w:rFonts w:ascii="Times New Roman" w:hAnsi="Times New Roman" w:eastAsia="Times New Roman" w:cs="Times New Roman"/>
                <w:spacing w:val="6"/>
                <w:position w:val="1"/>
              </w:rPr>
              <w:t>2500</w:t>
            </w:r>
          </w:p>
        </w:tc>
        <w:tc>
          <w:tcPr>
            <w:tcW w:w="790" w:type="dxa"/>
            <w:vAlign w:val="top"/>
            <w:tcBorders>
              <w:bottom w:val="single" w:color="000000" w:sz="10" w:space="0"/>
            </w:tcBorders>
          </w:tcPr>
          <w:p>
            <w:pPr>
              <w:pStyle w:val="TableText"/>
              <w:ind w:left="321"/>
              <w:spacing w:before="87" w:line="229" w:lineRule="auto"/>
              <w:rPr/>
            </w:pPr>
            <w:r>
              <w:rPr/>
              <w:t>台</w:t>
            </w:r>
          </w:p>
        </w:tc>
        <w:tc>
          <w:tcPr>
            <w:tcW w:w="770" w:type="dxa"/>
            <w:vAlign w:val="top"/>
            <w:tcBorders>
              <w:bottom w:val="single" w:color="000000" w:sz="10" w:space="0"/>
            </w:tcBorders>
          </w:tcPr>
          <w:p>
            <w:pPr>
              <w:ind w:left="33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Borders>
              <w:bottom w:val="single" w:color="000000" w:sz="10" w:space="0"/>
            </w:tcBorders>
          </w:tcPr>
          <w:p>
            <w:pPr>
              <w:ind w:left="37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58"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27"/>
          <w:pgSz w:w="11911" w:h="16839"/>
          <w:pgMar w:top="400" w:right="1311" w:bottom="1146" w:left="1689" w:header="0" w:footer="984" w:gutter="0"/>
        </w:sectPr>
        <w:rPr/>
      </w:pPr>
    </w:p>
    <w:p>
      <w:pPr>
        <w:spacing w:before="13"/>
        <w:rPr/>
      </w:pPr>
      <w:r/>
    </w:p>
    <w:p>
      <w:pPr>
        <w:spacing w:before="13"/>
        <w:rPr/>
      </w:pPr>
      <w:r/>
    </w:p>
    <w:p>
      <w:pPr>
        <w:spacing w:before="13"/>
        <w:rPr/>
      </w:pPr>
      <w:r/>
    </w:p>
    <w:p>
      <w:pPr>
        <w:spacing w:before="12"/>
        <w:rPr/>
      </w:pPr>
      <w:r/>
    </w:p>
    <w:tbl>
      <w:tblPr>
        <w:tblStyle w:val="TableNormal"/>
        <w:tblW w:w="890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2"/>
        <w:gridCol w:w="2239"/>
        <w:gridCol w:w="2059"/>
        <w:gridCol w:w="790"/>
        <w:gridCol w:w="770"/>
        <w:gridCol w:w="940"/>
        <w:gridCol w:w="1358"/>
      </w:tblGrid>
      <w:tr>
        <w:trPr>
          <w:trHeight w:val="349" w:hRule="atLeast"/>
        </w:trPr>
        <w:tc>
          <w:tcPr>
            <w:tcW w:w="752" w:type="dxa"/>
            <w:vAlign w:val="top"/>
            <w:tcBorders>
              <w:left w:val="nil"/>
              <w:top w:val="single" w:color="000000" w:sz="10" w:space="0"/>
            </w:tcBorders>
          </w:tcPr>
          <w:p>
            <w:pPr>
              <w:ind w:left="33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39" w:type="dxa"/>
            <w:vAlign w:val="top"/>
            <w:tcBorders>
              <w:top w:val="single" w:color="000000" w:sz="10" w:space="0"/>
            </w:tcBorders>
          </w:tcPr>
          <w:p>
            <w:pPr>
              <w:pStyle w:val="TableText"/>
              <w:ind w:left="817"/>
              <w:spacing w:before="68" w:line="231" w:lineRule="auto"/>
              <w:rPr/>
            </w:pPr>
            <w:bookmarkStart w:name="bookmark548" w:id="212"/>
            <w:bookmarkEnd w:id="212"/>
            <w:r>
              <w:rPr>
                <w:spacing w:val="4"/>
              </w:rPr>
              <w:t>浮选机</w:t>
            </w:r>
          </w:p>
        </w:tc>
        <w:tc>
          <w:tcPr>
            <w:tcW w:w="2059" w:type="dxa"/>
            <w:vAlign w:val="top"/>
            <w:tcBorders>
              <w:top w:val="single" w:color="000000" w:sz="10" w:space="0"/>
            </w:tcBorders>
          </w:tcPr>
          <w:p>
            <w:pPr>
              <w:ind w:left="75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SF</w:t>
            </w:r>
            <w:r>
              <w:rPr>
                <w:rFonts w:ascii="Times New Roman" w:hAnsi="Times New Roman" w:eastAsia="Times New Roman" w:cs="Times New Roman"/>
                <w:sz w:val="20"/>
                <w:szCs w:val="20"/>
                <w:spacing w:val="2"/>
              </w:rPr>
              <w:t>-2.8</w:t>
            </w:r>
          </w:p>
        </w:tc>
        <w:tc>
          <w:tcPr>
            <w:tcW w:w="790" w:type="dxa"/>
            <w:vAlign w:val="top"/>
            <w:tcBorders>
              <w:top w:val="single" w:color="000000" w:sz="10" w:space="0"/>
            </w:tcBorders>
          </w:tcPr>
          <w:p>
            <w:pPr>
              <w:pStyle w:val="TableText"/>
              <w:ind w:left="321"/>
              <w:spacing w:before="69" w:line="229" w:lineRule="auto"/>
              <w:rPr/>
            </w:pPr>
            <w:r>
              <w:rPr/>
              <w:t>台</w:t>
            </w:r>
          </w:p>
        </w:tc>
        <w:tc>
          <w:tcPr>
            <w:tcW w:w="770" w:type="dxa"/>
            <w:vAlign w:val="top"/>
            <w:tcBorders>
              <w:top w:val="single" w:color="000000" w:sz="10" w:space="0"/>
            </w:tcBorders>
          </w:tcPr>
          <w:p>
            <w:pPr>
              <w:ind w:left="28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940" w:type="dxa"/>
            <w:vAlign w:val="top"/>
            <w:tcBorders>
              <w:top w:val="single" w:color="000000" w:sz="10" w:space="0"/>
            </w:tcBorders>
          </w:tcPr>
          <w:p>
            <w:pPr>
              <w:ind w:left="38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358" w:type="dxa"/>
            <w:vAlign w:val="top"/>
            <w:tcBorders>
              <w:right w:val="nil"/>
              <w:top w:val="single" w:color="000000" w:sz="10" w:space="0"/>
            </w:tcBorders>
          </w:tcPr>
          <w:p>
            <w:pPr>
              <w:rPr>
                <w:rFonts w:ascii="Arial"/>
                <w:sz w:val="21"/>
              </w:rPr>
            </w:pPr>
            <w:r/>
          </w:p>
        </w:tc>
      </w:tr>
      <w:tr>
        <w:trPr>
          <w:trHeight w:val="344" w:hRule="atLeast"/>
        </w:trPr>
        <w:tc>
          <w:tcPr>
            <w:tcW w:w="752" w:type="dxa"/>
            <w:vAlign w:val="top"/>
            <w:tcBorders>
              <w:left w:val="nil"/>
            </w:tcBorders>
          </w:tcPr>
          <w:p>
            <w:pPr>
              <w:ind w:left="29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239" w:type="dxa"/>
            <w:vAlign w:val="top"/>
          </w:tcPr>
          <w:p>
            <w:pPr>
              <w:pStyle w:val="TableText"/>
              <w:ind w:left="816"/>
              <w:spacing w:before="65" w:line="231" w:lineRule="auto"/>
              <w:rPr/>
            </w:pPr>
            <w:r>
              <w:rPr>
                <w:spacing w:val="4"/>
              </w:rPr>
              <w:t>渣浆泵</w:t>
            </w:r>
          </w:p>
        </w:tc>
        <w:tc>
          <w:tcPr>
            <w:tcW w:w="2059" w:type="dxa"/>
            <w:vAlign w:val="top"/>
          </w:tcPr>
          <w:p>
            <w:pPr>
              <w:ind w:left="640"/>
              <w:spacing w:before="9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6/4D-</w:t>
            </w:r>
            <w:r>
              <w:rPr>
                <w:rFonts w:ascii="Times New Roman" w:hAnsi="Times New Roman" w:eastAsia="Times New Roman" w:cs="Times New Roman"/>
                <w:sz w:val="20"/>
                <w:szCs w:val="20"/>
              </w:rPr>
              <w:t>AH</w:t>
            </w:r>
          </w:p>
        </w:tc>
        <w:tc>
          <w:tcPr>
            <w:tcW w:w="790" w:type="dxa"/>
            <w:vAlign w:val="top"/>
          </w:tcPr>
          <w:p>
            <w:pPr>
              <w:pStyle w:val="TableText"/>
              <w:ind w:left="321"/>
              <w:spacing w:before="65" w:line="229" w:lineRule="auto"/>
              <w:rPr/>
            </w:pPr>
            <w:r>
              <w:rPr/>
              <w:t>台</w:t>
            </w:r>
          </w:p>
        </w:tc>
        <w:tc>
          <w:tcPr>
            <w:tcW w:w="770" w:type="dxa"/>
            <w:vAlign w:val="top"/>
          </w:tcPr>
          <w:p>
            <w:pPr>
              <w:ind w:left="333"/>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371"/>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239" w:type="dxa"/>
            <w:vAlign w:val="top"/>
          </w:tcPr>
          <w:p>
            <w:pPr>
              <w:pStyle w:val="TableText"/>
              <w:ind w:left="422"/>
              <w:spacing w:before="66" w:line="230" w:lineRule="auto"/>
              <w:rPr/>
            </w:pPr>
            <w:r>
              <w:rPr>
                <w:spacing w:val="4"/>
              </w:rPr>
              <w:t>中心传动浓缩机</w:t>
            </w:r>
          </w:p>
        </w:tc>
        <w:tc>
          <w:tcPr>
            <w:tcW w:w="2059" w:type="dxa"/>
            <w:vAlign w:val="top"/>
          </w:tcPr>
          <w:p>
            <w:pPr>
              <w:ind w:left="68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NZS</w:t>
            </w:r>
            <w:r>
              <w:rPr>
                <w:rFonts w:ascii="Times New Roman" w:hAnsi="Times New Roman" w:eastAsia="Times New Roman" w:cs="Times New Roman"/>
                <w:sz w:val="20"/>
                <w:szCs w:val="20"/>
                <w:spacing w:val="11"/>
              </w:rPr>
              <w:t>-12</w:t>
            </w:r>
          </w:p>
        </w:tc>
        <w:tc>
          <w:tcPr>
            <w:tcW w:w="790" w:type="dxa"/>
            <w:vAlign w:val="top"/>
          </w:tcPr>
          <w:p>
            <w:pPr>
              <w:pStyle w:val="TableText"/>
              <w:ind w:left="321"/>
              <w:spacing w:before="67" w:line="229" w:lineRule="auto"/>
              <w:rPr/>
            </w:pPr>
            <w:r>
              <w:rPr/>
              <w:t>台</w:t>
            </w:r>
          </w:p>
        </w:tc>
        <w:tc>
          <w:tcPr>
            <w:tcW w:w="770" w:type="dxa"/>
            <w:vAlign w:val="top"/>
          </w:tcPr>
          <w:p>
            <w:pPr>
              <w:ind w:left="35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421"/>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239" w:type="dxa"/>
            <w:vAlign w:val="top"/>
          </w:tcPr>
          <w:p>
            <w:pPr>
              <w:pStyle w:val="TableText"/>
              <w:ind w:left="610"/>
              <w:spacing w:before="68" w:line="231" w:lineRule="auto"/>
              <w:rPr/>
            </w:pPr>
            <w:r>
              <w:rPr>
                <w:spacing w:val="5"/>
              </w:rPr>
              <w:t>真空过滤机</w:t>
            </w:r>
          </w:p>
        </w:tc>
        <w:tc>
          <w:tcPr>
            <w:tcW w:w="2059" w:type="dxa"/>
            <w:vAlign w:val="top"/>
          </w:tcPr>
          <w:p>
            <w:pPr>
              <w:ind w:left="72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GW</w:t>
            </w:r>
            <w:r>
              <w:rPr>
                <w:rFonts w:ascii="Times New Roman" w:hAnsi="Times New Roman" w:eastAsia="Times New Roman" w:cs="Times New Roman"/>
                <w:sz w:val="20"/>
                <w:szCs w:val="20"/>
                <w:spacing w:val="3"/>
              </w:rPr>
              <w:t>-15</w:t>
            </w:r>
          </w:p>
        </w:tc>
        <w:tc>
          <w:tcPr>
            <w:tcW w:w="790" w:type="dxa"/>
            <w:vAlign w:val="top"/>
          </w:tcPr>
          <w:p>
            <w:pPr>
              <w:pStyle w:val="TableText"/>
              <w:ind w:left="321"/>
              <w:spacing w:before="68" w:line="229" w:lineRule="auto"/>
              <w:rPr/>
            </w:pPr>
            <w:r>
              <w:rPr/>
              <w:t>台</w:t>
            </w:r>
          </w:p>
        </w:tc>
        <w:tc>
          <w:tcPr>
            <w:tcW w:w="770" w:type="dxa"/>
            <w:vAlign w:val="top"/>
          </w:tcPr>
          <w:p>
            <w:pPr>
              <w:ind w:left="33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ind w:left="30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15.4</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239" w:type="dxa"/>
            <w:vAlign w:val="top"/>
          </w:tcPr>
          <w:p>
            <w:pPr>
              <w:pStyle w:val="TableText"/>
              <w:ind w:left="816"/>
              <w:spacing w:before="67" w:line="231" w:lineRule="auto"/>
              <w:rPr/>
            </w:pPr>
            <w:r>
              <w:rPr>
                <w:spacing w:val="4"/>
              </w:rPr>
              <w:t>渣浆泵</w:t>
            </w:r>
          </w:p>
        </w:tc>
        <w:tc>
          <w:tcPr>
            <w:tcW w:w="2059" w:type="dxa"/>
            <w:vAlign w:val="top"/>
          </w:tcPr>
          <w:p>
            <w:pPr>
              <w:ind w:left="631"/>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2/1.5-</w:t>
            </w:r>
            <w:r>
              <w:rPr>
                <w:rFonts w:ascii="Times New Roman" w:hAnsi="Times New Roman" w:eastAsia="Times New Roman" w:cs="Times New Roman"/>
                <w:sz w:val="20"/>
                <w:szCs w:val="20"/>
              </w:rPr>
              <w:t>AH</w:t>
            </w:r>
          </w:p>
        </w:tc>
        <w:tc>
          <w:tcPr>
            <w:tcW w:w="790" w:type="dxa"/>
            <w:vAlign w:val="top"/>
          </w:tcPr>
          <w:p>
            <w:pPr>
              <w:pStyle w:val="TableText"/>
              <w:ind w:left="321"/>
              <w:spacing w:before="67" w:line="229" w:lineRule="auto"/>
              <w:rPr/>
            </w:pPr>
            <w:r>
              <w:rPr/>
              <w:t>台</w:t>
            </w:r>
          </w:p>
        </w:tc>
        <w:tc>
          <w:tcPr>
            <w:tcW w:w="770" w:type="dxa"/>
            <w:vAlign w:val="top"/>
          </w:tcPr>
          <w:p>
            <w:pPr>
              <w:ind w:left="33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38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239" w:type="dxa"/>
            <w:vAlign w:val="top"/>
          </w:tcPr>
          <w:p>
            <w:pPr>
              <w:pStyle w:val="TableText"/>
              <w:ind w:left="921"/>
              <w:spacing w:before="68" w:line="232" w:lineRule="auto"/>
              <w:rPr/>
            </w:pPr>
            <w:r>
              <w:rPr>
                <w:spacing w:val="1"/>
              </w:rPr>
              <w:t>胶泵</w:t>
            </w:r>
          </w:p>
        </w:tc>
        <w:tc>
          <w:tcPr>
            <w:tcW w:w="2059" w:type="dxa"/>
            <w:vAlign w:val="top"/>
          </w:tcPr>
          <w:p>
            <w:pPr>
              <w:ind w:left="72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3"/>
              </w:rPr>
              <w:t>4</w:t>
            </w:r>
            <w:r>
              <w:rPr>
                <w:rFonts w:ascii="Times New Roman" w:hAnsi="Times New Roman" w:eastAsia="Times New Roman" w:cs="Times New Roman"/>
                <w:sz w:val="20"/>
                <w:szCs w:val="20"/>
              </w:rPr>
              <w:t>PNJA</w:t>
            </w:r>
          </w:p>
        </w:tc>
        <w:tc>
          <w:tcPr>
            <w:tcW w:w="790" w:type="dxa"/>
            <w:vAlign w:val="top"/>
          </w:tcPr>
          <w:p>
            <w:pPr>
              <w:pStyle w:val="TableText"/>
              <w:ind w:left="321"/>
              <w:spacing w:before="69" w:line="229" w:lineRule="auto"/>
              <w:rPr/>
            </w:pPr>
            <w:r>
              <w:rPr/>
              <w:t>台</w:t>
            </w:r>
          </w:p>
        </w:tc>
        <w:tc>
          <w:tcPr>
            <w:tcW w:w="770" w:type="dxa"/>
            <w:vAlign w:val="top"/>
          </w:tcPr>
          <w:p>
            <w:pPr>
              <w:ind w:left="33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37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239" w:type="dxa"/>
            <w:vAlign w:val="top"/>
          </w:tcPr>
          <w:p>
            <w:pPr>
              <w:pStyle w:val="TableText"/>
              <w:ind w:left="422"/>
              <w:spacing w:before="70" w:line="230" w:lineRule="auto"/>
              <w:rPr/>
            </w:pPr>
            <w:r>
              <w:rPr>
                <w:spacing w:val="4"/>
              </w:rPr>
              <w:t>中心传动浓缩机</w:t>
            </w:r>
          </w:p>
        </w:tc>
        <w:tc>
          <w:tcPr>
            <w:tcW w:w="2059" w:type="dxa"/>
            <w:vAlign w:val="top"/>
          </w:tcPr>
          <w:p>
            <w:pPr>
              <w:ind w:left="74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NZ</w:t>
            </w:r>
            <w:r>
              <w:rPr>
                <w:rFonts w:ascii="Times New Roman" w:hAnsi="Times New Roman" w:eastAsia="Times New Roman" w:cs="Times New Roman"/>
                <w:sz w:val="20"/>
                <w:szCs w:val="20"/>
                <w:spacing w:val="9"/>
              </w:rPr>
              <w:t>-15</w:t>
            </w:r>
          </w:p>
        </w:tc>
        <w:tc>
          <w:tcPr>
            <w:tcW w:w="790" w:type="dxa"/>
            <w:vAlign w:val="top"/>
          </w:tcPr>
          <w:p>
            <w:pPr>
              <w:pStyle w:val="TableText"/>
              <w:ind w:left="321"/>
              <w:spacing w:before="70" w:line="229" w:lineRule="auto"/>
              <w:rPr/>
            </w:pPr>
            <w:r>
              <w:rPr/>
              <w:t>台</w:t>
            </w:r>
          </w:p>
        </w:tc>
        <w:tc>
          <w:tcPr>
            <w:tcW w:w="770" w:type="dxa"/>
            <w:vAlign w:val="top"/>
          </w:tcPr>
          <w:p>
            <w:pPr>
              <w:ind w:left="35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6"/>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239" w:type="dxa"/>
            <w:vAlign w:val="top"/>
          </w:tcPr>
          <w:p>
            <w:pPr>
              <w:pStyle w:val="TableText"/>
              <w:ind w:left="507"/>
              <w:spacing w:before="71" w:line="231" w:lineRule="auto"/>
              <w:rPr/>
            </w:pPr>
            <w:r>
              <w:rPr>
                <w:spacing w:val="6"/>
              </w:rPr>
              <w:t>高频振动细筛</w:t>
            </w:r>
          </w:p>
        </w:tc>
        <w:tc>
          <w:tcPr>
            <w:tcW w:w="2059" w:type="dxa"/>
            <w:vAlign w:val="top"/>
          </w:tcPr>
          <w:p>
            <w:pPr>
              <w:ind w:left="50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GPS</w:t>
            </w:r>
            <w:r>
              <w:rPr>
                <w:rFonts w:ascii="Times New Roman" w:hAnsi="Times New Roman" w:eastAsia="Times New Roman" w:cs="Times New Roman"/>
                <w:sz w:val="20"/>
                <w:szCs w:val="20"/>
                <w:spacing w:val="5"/>
              </w:rPr>
              <w:t>-1400-3</w:t>
            </w:r>
          </w:p>
        </w:tc>
        <w:tc>
          <w:tcPr>
            <w:tcW w:w="790" w:type="dxa"/>
            <w:vAlign w:val="top"/>
          </w:tcPr>
          <w:p>
            <w:pPr>
              <w:pStyle w:val="TableText"/>
              <w:ind w:left="321"/>
              <w:spacing w:before="71" w:line="229" w:lineRule="auto"/>
              <w:rPr/>
            </w:pPr>
            <w:r>
              <w:rPr/>
              <w:t>台</w:t>
            </w:r>
          </w:p>
        </w:tc>
        <w:tc>
          <w:tcPr>
            <w:tcW w:w="770" w:type="dxa"/>
            <w:vAlign w:val="top"/>
          </w:tcPr>
          <w:p>
            <w:pPr>
              <w:ind w:left="35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8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239" w:type="dxa"/>
            <w:vAlign w:val="top"/>
          </w:tcPr>
          <w:p>
            <w:pPr>
              <w:pStyle w:val="TableText"/>
              <w:ind w:left="816"/>
              <w:spacing w:before="72" w:line="231" w:lineRule="auto"/>
              <w:rPr/>
            </w:pPr>
            <w:r>
              <w:rPr>
                <w:spacing w:val="4"/>
              </w:rPr>
              <w:t>渣浆泵</w:t>
            </w:r>
          </w:p>
        </w:tc>
        <w:tc>
          <w:tcPr>
            <w:tcW w:w="2059" w:type="dxa"/>
            <w:vAlign w:val="top"/>
          </w:tcPr>
          <w:p>
            <w:pPr>
              <w:ind w:left="650"/>
              <w:spacing w:before="10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6/4E-</w:t>
            </w:r>
            <w:r>
              <w:rPr>
                <w:rFonts w:ascii="Times New Roman" w:hAnsi="Times New Roman" w:eastAsia="Times New Roman" w:cs="Times New Roman"/>
                <w:sz w:val="20"/>
                <w:szCs w:val="20"/>
              </w:rPr>
              <w:t>AH</w:t>
            </w:r>
          </w:p>
        </w:tc>
        <w:tc>
          <w:tcPr>
            <w:tcW w:w="790" w:type="dxa"/>
            <w:vAlign w:val="top"/>
          </w:tcPr>
          <w:p>
            <w:pPr>
              <w:pStyle w:val="TableText"/>
              <w:ind w:left="321"/>
              <w:spacing w:before="73" w:line="229" w:lineRule="auto"/>
              <w:rPr/>
            </w:pPr>
            <w:r>
              <w:rPr/>
              <w:t>台</w:t>
            </w:r>
          </w:p>
        </w:tc>
        <w:tc>
          <w:tcPr>
            <w:tcW w:w="770" w:type="dxa"/>
            <w:vAlign w:val="top"/>
          </w:tcPr>
          <w:p>
            <w:pPr>
              <w:ind w:left="33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ind w:left="37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239" w:type="dxa"/>
            <w:vAlign w:val="top"/>
          </w:tcPr>
          <w:p>
            <w:pPr>
              <w:pStyle w:val="TableText"/>
              <w:ind w:left="603"/>
              <w:spacing w:before="74" w:line="232" w:lineRule="auto"/>
              <w:rPr/>
            </w:pPr>
            <w:r>
              <w:rPr>
                <w:spacing w:val="7"/>
              </w:rPr>
              <w:t>旋风除尘器</w:t>
            </w:r>
          </w:p>
        </w:tc>
        <w:tc>
          <w:tcPr>
            <w:tcW w:w="2059" w:type="dxa"/>
            <w:vAlign w:val="top"/>
          </w:tcPr>
          <w:p>
            <w:pPr>
              <w:ind w:left="569"/>
              <w:spacing w:before="10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CLP</w:t>
            </w:r>
            <w:r>
              <w:rPr>
                <w:rFonts w:ascii="Times New Roman" w:hAnsi="Times New Roman" w:eastAsia="Times New Roman" w:cs="Times New Roman"/>
                <w:sz w:val="20"/>
                <w:szCs w:val="20"/>
                <w:spacing w:val="5"/>
              </w:rPr>
              <w:t>/A-5.4</w:t>
            </w:r>
          </w:p>
        </w:tc>
        <w:tc>
          <w:tcPr>
            <w:tcW w:w="790" w:type="dxa"/>
            <w:vAlign w:val="top"/>
          </w:tcPr>
          <w:p>
            <w:pPr>
              <w:pStyle w:val="TableText"/>
              <w:ind w:left="321"/>
              <w:spacing w:before="74" w:line="229" w:lineRule="auto"/>
              <w:rPr/>
            </w:pPr>
            <w:r>
              <w:rPr/>
              <w:t>台</w:t>
            </w:r>
          </w:p>
        </w:tc>
        <w:tc>
          <w:tcPr>
            <w:tcW w:w="770" w:type="dxa"/>
            <w:vAlign w:val="top"/>
          </w:tcPr>
          <w:p>
            <w:pPr>
              <w:ind w:left="33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94"/>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239" w:type="dxa"/>
            <w:vAlign w:val="top"/>
          </w:tcPr>
          <w:p>
            <w:pPr>
              <w:pStyle w:val="TableText"/>
              <w:ind w:left="656"/>
              <w:spacing w:before="73" w:line="232" w:lineRule="auto"/>
              <w:rPr/>
            </w:pPr>
            <w:r>
              <w:rPr>
                <w:spacing w:val="7"/>
              </w:rPr>
              <w:t>旋风除尘器</w:t>
            </w:r>
          </w:p>
        </w:tc>
        <w:tc>
          <w:tcPr>
            <w:tcW w:w="2059" w:type="dxa"/>
            <w:vAlign w:val="top"/>
          </w:tcPr>
          <w:p>
            <w:pPr>
              <w:ind w:left="569"/>
              <w:spacing w:before="10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CLP</w:t>
            </w:r>
            <w:r>
              <w:rPr>
                <w:rFonts w:ascii="Times New Roman" w:hAnsi="Times New Roman" w:eastAsia="Times New Roman" w:cs="Times New Roman"/>
                <w:sz w:val="20"/>
                <w:szCs w:val="20"/>
                <w:spacing w:val="5"/>
              </w:rPr>
              <w:t>/A-7.0</w:t>
            </w:r>
          </w:p>
        </w:tc>
        <w:tc>
          <w:tcPr>
            <w:tcW w:w="790" w:type="dxa"/>
            <w:vAlign w:val="top"/>
          </w:tcPr>
          <w:p>
            <w:pPr>
              <w:pStyle w:val="TableText"/>
              <w:ind w:left="321"/>
              <w:spacing w:before="73" w:line="229" w:lineRule="auto"/>
              <w:rPr/>
            </w:pPr>
            <w:r>
              <w:rPr/>
              <w:t>台</w:t>
            </w:r>
          </w:p>
        </w:tc>
        <w:tc>
          <w:tcPr>
            <w:tcW w:w="770" w:type="dxa"/>
            <w:vAlign w:val="top"/>
          </w:tcPr>
          <w:p>
            <w:pPr>
              <w:ind w:left="35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74"/>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239" w:type="dxa"/>
            <w:vAlign w:val="top"/>
          </w:tcPr>
          <w:p>
            <w:pPr>
              <w:pStyle w:val="TableText"/>
              <w:ind w:left="922"/>
              <w:spacing w:before="74" w:line="231" w:lineRule="auto"/>
              <w:rPr/>
            </w:pPr>
            <w:r>
              <w:rPr>
                <w:spacing w:val="1"/>
              </w:rPr>
              <w:t>风机</w:t>
            </w:r>
          </w:p>
        </w:tc>
        <w:tc>
          <w:tcPr>
            <w:tcW w:w="2059" w:type="dxa"/>
            <w:vAlign w:val="top"/>
          </w:tcPr>
          <w:p>
            <w:pPr>
              <w:ind w:left="607"/>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C6-46-5A</w:t>
            </w:r>
          </w:p>
        </w:tc>
        <w:tc>
          <w:tcPr>
            <w:tcW w:w="790" w:type="dxa"/>
            <w:vAlign w:val="top"/>
          </w:tcPr>
          <w:p>
            <w:pPr>
              <w:pStyle w:val="TableText"/>
              <w:ind w:left="321"/>
              <w:spacing w:before="75" w:line="229" w:lineRule="auto"/>
              <w:rPr/>
            </w:pPr>
            <w:r>
              <w:rPr/>
              <w:t>台</w:t>
            </w:r>
          </w:p>
        </w:tc>
        <w:tc>
          <w:tcPr>
            <w:tcW w:w="770" w:type="dxa"/>
            <w:vAlign w:val="top"/>
          </w:tcPr>
          <w:p>
            <w:pPr>
              <w:ind w:left="337"/>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ind w:left="38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74"/>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239" w:type="dxa"/>
            <w:vAlign w:val="top"/>
          </w:tcPr>
          <w:p>
            <w:pPr>
              <w:pStyle w:val="TableText"/>
              <w:ind w:left="922"/>
              <w:spacing w:before="75" w:line="231" w:lineRule="auto"/>
              <w:rPr/>
            </w:pPr>
            <w:r>
              <w:rPr>
                <w:spacing w:val="1"/>
              </w:rPr>
              <w:t>风机</w:t>
            </w:r>
          </w:p>
        </w:tc>
        <w:tc>
          <w:tcPr>
            <w:tcW w:w="2059" w:type="dxa"/>
            <w:vAlign w:val="top"/>
          </w:tcPr>
          <w:p>
            <w:pPr>
              <w:ind w:left="607"/>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C6-46-6A</w:t>
            </w:r>
          </w:p>
        </w:tc>
        <w:tc>
          <w:tcPr>
            <w:tcW w:w="790" w:type="dxa"/>
            <w:vAlign w:val="top"/>
          </w:tcPr>
          <w:p>
            <w:pPr>
              <w:pStyle w:val="TableText"/>
              <w:ind w:left="321"/>
              <w:spacing w:before="76" w:line="229" w:lineRule="auto"/>
              <w:rPr/>
            </w:pPr>
            <w:r>
              <w:rPr/>
              <w:t>台</w:t>
            </w:r>
          </w:p>
        </w:tc>
        <w:tc>
          <w:tcPr>
            <w:tcW w:w="770" w:type="dxa"/>
            <w:vAlign w:val="top"/>
          </w:tcPr>
          <w:p>
            <w:pPr>
              <w:ind w:left="353"/>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11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549" w:hRule="atLeast"/>
        </w:trPr>
        <w:tc>
          <w:tcPr>
            <w:tcW w:w="752" w:type="dxa"/>
            <w:vAlign w:val="top"/>
            <w:tcBorders>
              <w:left w:val="nil"/>
            </w:tcBorders>
          </w:tcPr>
          <w:p>
            <w:pPr>
              <w:ind w:left="274"/>
              <w:spacing w:before="2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239" w:type="dxa"/>
            <w:vAlign w:val="top"/>
          </w:tcPr>
          <w:p>
            <w:pPr>
              <w:pStyle w:val="TableText"/>
              <w:ind w:left="170"/>
              <w:spacing w:before="44" w:line="229" w:lineRule="auto"/>
              <w:rPr/>
            </w:pPr>
            <w:r>
              <w:rPr>
                <w:rFonts w:ascii="Times New Roman" w:hAnsi="Times New Roman" w:eastAsia="Times New Roman" w:cs="Times New Roman"/>
                <w:spacing w:val="4"/>
              </w:rPr>
              <w:t>10</w:t>
            </w:r>
            <w:r>
              <w:rPr>
                <w:rFonts w:ascii="Times New Roman" w:hAnsi="Times New Roman" w:eastAsia="Times New Roman" w:cs="Times New Roman"/>
                <w:spacing w:val="23"/>
                <w:w w:val="101"/>
              </w:rPr>
              <w:t xml:space="preserve"> </w:t>
            </w:r>
            <w:r>
              <w:rPr>
                <w:spacing w:val="4"/>
              </w:rPr>
              <w:t>吨电动单桥梁起重</w:t>
            </w:r>
          </w:p>
          <w:p>
            <w:pPr>
              <w:pStyle w:val="TableText"/>
              <w:ind w:left="1024"/>
              <w:spacing w:before="25" w:line="204" w:lineRule="auto"/>
              <w:rPr/>
            </w:pPr>
            <w:r>
              <w:rPr/>
              <w:t>机</w:t>
            </w:r>
          </w:p>
        </w:tc>
        <w:tc>
          <w:tcPr>
            <w:tcW w:w="2059" w:type="dxa"/>
            <w:vAlign w:val="top"/>
          </w:tcPr>
          <w:p>
            <w:pPr>
              <w:pStyle w:val="TableText"/>
              <w:ind w:left="162"/>
              <w:spacing w:before="140" w:line="281" w:lineRule="exact"/>
              <w:rPr>
                <w:rFonts w:ascii="Times New Roman" w:hAnsi="Times New Roman" w:eastAsia="Times New Roman" w:cs="Times New Roman"/>
              </w:rPr>
            </w:pPr>
            <w:r>
              <w:rPr>
                <w:rFonts w:ascii="Times New Roman" w:hAnsi="Times New Roman" w:eastAsia="Times New Roman" w:cs="Times New Roman"/>
                <w:position w:val="2"/>
              </w:rPr>
              <w:t>Lk=</w:t>
            </w:r>
            <w:r>
              <w:rPr>
                <w:rFonts w:ascii="Times New Roman" w:hAnsi="Times New Roman" w:eastAsia="Times New Roman" w:cs="Times New Roman"/>
                <w:spacing w:val="-26"/>
                <w:position w:val="2"/>
              </w:rPr>
              <w:t xml:space="preserve"> </w:t>
            </w:r>
            <w:r>
              <w:rPr>
                <w:rFonts w:ascii="Times New Roman" w:hAnsi="Times New Roman" w:eastAsia="Times New Roman" w:cs="Times New Roman"/>
                <w:position w:val="2"/>
              </w:rPr>
              <w:t>13.5m</w:t>
            </w:r>
            <w:r>
              <w:rPr>
                <w:rFonts w:ascii="Times New Roman" w:hAnsi="Times New Roman" w:eastAsia="Times New Roman" w:cs="Times New Roman"/>
                <w:spacing w:val="-23"/>
                <w:position w:val="2"/>
              </w:rPr>
              <w:t xml:space="preserve"> </w:t>
            </w:r>
            <w:r>
              <w:rPr>
                <w:position w:val="2"/>
              </w:rPr>
              <w:t>，</w:t>
            </w:r>
            <w:r>
              <w:rPr>
                <w:rFonts w:ascii="Times New Roman" w:hAnsi="Times New Roman" w:eastAsia="Times New Roman" w:cs="Times New Roman"/>
                <w:position w:val="2"/>
              </w:rPr>
              <w:t>H=</w:t>
            </w:r>
            <w:r>
              <w:rPr>
                <w:rFonts w:ascii="Times New Roman" w:hAnsi="Times New Roman" w:eastAsia="Times New Roman" w:cs="Times New Roman"/>
                <w:spacing w:val="-26"/>
                <w:position w:val="2"/>
              </w:rPr>
              <w:t xml:space="preserve"> </w:t>
            </w:r>
            <w:r>
              <w:rPr>
                <w:rFonts w:ascii="Times New Roman" w:hAnsi="Times New Roman" w:eastAsia="Times New Roman" w:cs="Times New Roman"/>
                <w:position w:val="2"/>
              </w:rPr>
              <w:t>15m</w:t>
            </w:r>
          </w:p>
        </w:tc>
        <w:tc>
          <w:tcPr>
            <w:tcW w:w="790" w:type="dxa"/>
            <w:vAlign w:val="top"/>
          </w:tcPr>
          <w:p>
            <w:pPr>
              <w:pStyle w:val="TableText"/>
              <w:ind w:left="321"/>
              <w:spacing w:before="178" w:line="229" w:lineRule="auto"/>
              <w:rPr/>
            </w:pPr>
            <w:r>
              <w:rPr/>
              <w:t>台</w:t>
            </w:r>
          </w:p>
        </w:tc>
        <w:tc>
          <w:tcPr>
            <w:tcW w:w="770" w:type="dxa"/>
            <w:vAlign w:val="top"/>
          </w:tcPr>
          <w:p>
            <w:pPr>
              <w:ind w:left="353"/>
              <w:spacing w:before="2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67"/>
              <w:spacing w:before="2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274"/>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2239" w:type="dxa"/>
            <w:vAlign w:val="top"/>
          </w:tcPr>
          <w:p>
            <w:pPr>
              <w:pStyle w:val="TableText"/>
              <w:ind w:left="521"/>
              <w:spacing w:before="78" w:line="232" w:lineRule="auto"/>
              <w:rPr/>
            </w:pPr>
            <w:r>
              <w:rPr>
                <w:rFonts w:ascii="Times New Roman" w:hAnsi="Times New Roman" w:eastAsia="Times New Roman" w:cs="Times New Roman"/>
                <w:spacing w:val="3"/>
              </w:rPr>
              <w:t>5</w:t>
            </w:r>
            <w:r>
              <w:rPr>
                <w:rFonts w:ascii="Times New Roman" w:hAnsi="Times New Roman" w:eastAsia="Times New Roman" w:cs="Times New Roman"/>
                <w:spacing w:val="28"/>
              </w:rPr>
              <w:t xml:space="preserve"> </w:t>
            </w:r>
            <w:r>
              <w:rPr>
                <w:spacing w:val="3"/>
              </w:rPr>
              <w:t>吨电动葫芦</w:t>
            </w:r>
          </w:p>
        </w:tc>
        <w:tc>
          <w:tcPr>
            <w:tcW w:w="2059" w:type="dxa"/>
            <w:vAlign w:val="top"/>
          </w:tcPr>
          <w:p>
            <w:pPr>
              <w:rPr>
                <w:rFonts w:ascii="Arial"/>
                <w:sz w:val="21"/>
              </w:rPr>
            </w:pPr>
            <w:r/>
          </w:p>
        </w:tc>
        <w:tc>
          <w:tcPr>
            <w:tcW w:w="790" w:type="dxa"/>
            <w:vAlign w:val="top"/>
          </w:tcPr>
          <w:p>
            <w:pPr>
              <w:pStyle w:val="TableText"/>
              <w:ind w:left="321"/>
              <w:spacing w:before="78" w:line="229" w:lineRule="auto"/>
              <w:rPr/>
            </w:pPr>
            <w:r>
              <w:rPr/>
              <w:t>台</w:t>
            </w:r>
          </w:p>
        </w:tc>
        <w:tc>
          <w:tcPr>
            <w:tcW w:w="770" w:type="dxa"/>
            <w:vAlign w:val="top"/>
          </w:tcPr>
          <w:p>
            <w:pPr>
              <w:ind w:left="337"/>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ind w:left="340"/>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358" w:type="dxa"/>
            <w:vAlign w:val="top"/>
            <w:tcBorders>
              <w:right w:val="nil"/>
            </w:tcBorders>
          </w:tcPr>
          <w:p>
            <w:pPr>
              <w:rPr>
                <w:rFonts w:ascii="Arial"/>
                <w:sz w:val="21"/>
              </w:rPr>
            </w:pPr>
            <w:r/>
          </w:p>
        </w:tc>
      </w:tr>
      <w:tr>
        <w:trPr>
          <w:trHeight w:val="548" w:hRule="atLeast"/>
        </w:trPr>
        <w:tc>
          <w:tcPr>
            <w:tcW w:w="752" w:type="dxa"/>
            <w:vAlign w:val="top"/>
            <w:tcBorders>
              <w:left w:val="nil"/>
            </w:tcBorders>
          </w:tcPr>
          <w:p>
            <w:pPr>
              <w:ind w:left="274"/>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2239" w:type="dxa"/>
            <w:vAlign w:val="top"/>
          </w:tcPr>
          <w:p>
            <w:pPr>
              <w:pStyle w:val="TableText"/>
              <w:ind w:left="125"/>
              <w:spacing w:before="44" w:line="231" w:lineRule="auto"/>
              <w:rPr/>
            </w:pPr>
            <w:r>
              <w:rPr>
                <w:rFonts w:ascii="Times New Roman" w:hAnsi="Times New Roman" w:eastAsia="Times New Roman" w:cs="Times New Roman"/>
                <w:spacing w:val="5"/>
              </w:rPr>
              <w:t>50/10</w:t>
            </w:r>
            <w:r>
              <w:rPr>
                <w:rFonts w:ascii="Times New Roman" w:hAnsi="Times New Roman" w:eastAsia="Times New Roman" w:cs="Times New Roman"/>
                <w:spacing w:val="22"/>
                <w:w w:val="101"/>
              </w:rPr>
              <w:t xml:space="preserve"> </w:t>
            </w:r>
            <w:r>
              <w:rPr>
                <w:spacing w:val="5"/>
              </w:rPr>
              <w:t>吨电动双桥梁起</w:t>
            </w:r>
          </w:p>
          <w:p>
            <w:pPr>
              <w:pStyle w:val="TableText"/>
              <w:ind w:left="927"/>
              <w:spacing w:before="21" w:line="205" w:lineRule="auto"/>
              <w:rPr/>
            </w:pPr>
            <w:r>
              <w:rPr>
                <w:spacing w:val="-2"/>
              </w:rPr>
              <w:t>重机</w:t>
            </w:r>
          </w:p>
        </w:tc>
        <w:tc>
          <w:tcPr>
            <w:tcW w:w="2059" w:type="dxa"/>
            <w:vAlign w:val="top"/>
          </w:tcPr>
          <w:p>
            <w:pPr>
              <w:pStyle w:val="TableText"/>
              <w:ind w:left="708" w:right="272" w:hanging="433"/>
              <w:spacing w:before="21" w:line="253" w:lineRule="auto"/>
              <w:rPr>
                <w:rFonts w:ascii="Times New Roman" w:hAnsi="Times New Roman" w:eastAsia="Times New Roman" w:cs="Times New Roman"/>
              </w:rPr>
            </w:pPr>
            <w:r>
              <w:rPr>
                <w:rFonts w:ascii="Times New Roman" w:hAnsi="Times New Roman" w:eastAsia="Times New Roman" w:cs="Times New Roman"/>
              </w:rPr>
              <w:t>Lk</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16.5m</w:t>
            </w:r>
            <w:r>
              <w:rPr>
                <w:rFonts w:ascii="Times New Roman" w:hAnsi="Times New Roman" w:eastAsia="Times New Roman" w:cs="Times New Roman"/>
                <w:spacing w:val="-23"/>
              </w:rPr>
              <w:t xml:space="preserve"> </w:t>
            </w:r>
            <w:r>
              <w:rPr>
                <w:spacing w:val="1"/>
              </w:rPr>
              <w:t>，主钩</w:t>
            </w:r>
            <w:r>
              <w:rPr>
                <w:rFonts w:ascii="Times New Roman" w:hAnsi="Times New Roman" w:eastAsia="Times New Roman" w:cs="Times New Roman"/>
              </w:rPr>
              <w:t>H=</w:t>
            </w:r>
            <w:r>
              <w:rPr>
                <w:rFonts w:ascii="Times New Roman" w:hAnsi="Times New Roman" w:eastAsia="Times New Roman" w:cs="Times New Roman"/>
                <w:spacing w:val="-25"/>
              </w:rPr>
              <w:t xml:space="preserve"> </w:t>
            </w:r>
            <w:r>
              <w:rPr>
                <w:rFonts w:ascii="Times New Roman" w:hAnsi="Times New Roman" w:eastAsia="Times New Roman" w:cs="Times New Roman"/>
              </w:rPr>
              <w:t>12m</w:t>
            </w:r>
          </w:p>
        </w:tc>
        <w:tc>
          <w:tcPr>
            <w:tcW w:w="790" w:type="dxa"/>
            <w:vAlign w:val="top"/>
          </w:tcPr>
          <w:p>
            <w:pPr>
              <w:pStyle w:val="TableText"/>
              <w:ind w:left="321"/>
              <w:spacing w:before="179" w:line="229" w:lineRule="auto"/>
              <w:rPr/>
            </w:pPr>
            <w:r>
              <w:rPr/>
              <w:t>台</w:t>
            </w:r>
          </w:p>
        </w:tc>
        <w:tc>
          <w:tcPr>
            <w:tcW w:w="770" w:type="dxa"/>
            <w:vAlign w:val="top"/>
          </w:tcPr>
          <w:p>
            <w:pPr>
              <w:ind w:left="353"/>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288"/>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29.7</w:t>
            </w:r>
          </w:p>
        </w:tc>
        <w:tc>
          <w:tcPr>
            <w:tcW w:w="1358" w:type="dxa"/>
            <w:vAlign w:val="top"/>
            <w:tcBorders>
              <w:right w:val="nil"/>
            </w:tcBorders>
          </w:tcPr>
          <w:p>
            <w:pPr>
              <w:rPr>
                <w:rFonts w:ascii="Arial"/>
                <w:sz w:val="21"/>
              </w:rPr>
            </w:pPr>
            <w:r/>
          </w:p>
        </w:tc>
      </w:tr>
      <w:tr>
        <w:trPr>
          <w:trHeight w:val="518" w:hRule="atLeast"/>
        </w:trPr>
        <w:tc>
          <w:tcPr>
            <w:tcW w:w="752" w:type="dxa"/>
            <w:vAlign w:val="top"/>
            <w:tcBorders>
              <w:left w:val="nil"/>
            </w:tcBorders>
          </w:tcPr>
          <w:p>
            <w:pPr>
              <w:ind w:left="274"/>
              <w:spacing w:before="2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239" w:type="dxa"/>
            <w:vAlign w:val="top"/>
          </w:tcPr>
          <w:p>
            <w:pPr>
              <w:pStyle w:val="TableText"/>
              <w:ind w:left="746"/>
              <w:spacing w:before="165" w:line="229" w:lineRule="auto"/>
              <w:rPr/>
            </w:pPr>
            <w:r>
              <w:rPr>
                <w:rFonts w:ascii="Times New Roman" w:hAnsi="Times New Roman" w:eastAsia="Times New Roman" w:cs="Times New Roman"/>
                <w:spacing w:val="-3"/>
              </w:rPr>
              <w:t>1</w:t>
            </w:r>
            <w:r>
              <w:rPr>
                <w:rFonts w:ascii="Times New Roman" w:hAnsi="Times New Roman" w:eastAsia="Times New Roman" w:cs="Times New Roman"/>
                <w:spacing w:val="21"/>
                <w:w w:val="101"/>
              </w:rPr>
              <w:t xml:space="preserve"> </w:t>
            </w:r>
            <w:r>
              <w:rPr>
                <w:spacing w:val="-3"/>
              </w:rPr>
              <w:t>号皮带</w:t>
            </w:r>
          </w:p>
        </w:tc>
        <w:tc>
          <w:tcPr>
            <w:tcW w:w="2059" w:type="dxa"/>
            <w:vAlign w:val="top"/>
          </w:tcPr>
          <w:p>
            <w:pPr>
              <w:pStyle w:val="TableText"/>
              <w:ind w:left="719" w:right="334" w:hanging="427"/>
              <w:spacing w:before="7" w:line="245" w:lineRule="auto"/>
              <w:rPr>
                <w:rFonts w:ascii="Times New Roman" w:hAnsi="Times New Roman" w:eastAsia="Times New Roman" w:cs="Times New Roman"/>
              </w:rPr>
            </w:pPr>
            <w:r>
              <w:rPr>
                <w:rFonts w:ascii="Times New Roman" w:hAnsi="Times New Roman" w:eastAsia="Times New Roman" w:cs="Times New Roman"/>
                <w:spacing w:val="-2"/>
              </w:rPr>
              <w:t>TD75</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B=650</w:t>
            </w:r>
            <w:r>
              <w:rPr>
                <w:spacing w:val="-2"/>
              </w:rPr>
              <w:t>，</w:t>
            </w:r>
            <w:r>
              <w:rPr/>
              <w:t xml:space="preserve"> </w:t>
            </w:r>
            <w:r>
              <w:rPr>
                <w:rFonts w:ascii="Times New Roman" w:hAnsi="Times New Roman" w:eastAsia="Times New Roman" w:cs="Times New Roman"/>
                <w:spacing w:val="-1"/>
              </w:rPr>
              <w:t>L=</w:t>
            </w:r>
            <w:r>
              <w:rPr>
                <w:rFonts w:ascii="Times New Roman" w:hAnsi="Times New Roman" w:eastAsia="Times New Roman" w:cs="Times New Roman"/>
                <w:spacing w:val="-23"/>
              </w:rPr>
              <w:t xml:space="preserve"> </w:t>
            </w:r>
            <w:r>
              <w:rPr>
                <w:rFonts w:ascii="Times New Roman" w:hAnsi="Times New Roman" w:eastAsia="Times New Roman" w:cs="Times New Roman"/>
                <w:spacing w:val="-1"/>
              </w:rPr>
              <w:t>15m</w:t>
            </w:r>
          </w:p>
        </w:tc>
        <w:tc>
          <w:tcPr>
            <w:tcW w:w="790" w:type="dxa"/>
            <w:vAlign w:val="top"/>
          </w:tcPr>
          <w:p>
            <w:pPr>
              <w:pStyle w:val="TableText"/>
              <w:ind w:left="321"/>
              <w:spacing w:before="166" w:line="229" w:lineRule="auto"/>
              <w:rPr/>
            </w:pPr>
            <w:r>
              <w:rPr/>
              <w:t>台</w:t>
            </w:r>
          </w:p>
        </w:tc>
        <w:tc>
          <w:tcPr>
            <w:tcW w:w="770" w:type="dxa"/>
            <w:vAlign w:val="top"/>
          </w:tcPr>
          <w:p>
            <w:pPr>
              <w:ind w:left="353"/>
              <w:spacing w:before="2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20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518" w:hRule="atLeast"/>
        </w:trPr>
        <w:tc>
          <w:tcPr>
            <w:tcW w:w="752" w:type="dxa"/>
            <w:vAlign w:val="top"/>
            <w:tcBorders>
              <w:left w:val="nil"/>
            </w:tcBorders>
          </w:tcPr>
          <w:p>
            <w:pPr>
              <w:ind w:left="274"/>
              <w:spacing w:before="2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2239" w:type="dxa"/>
            <w:vAlign w:val="top"/>
          </w:tcPr>
          <w:p>
            <w:pPr>
              <w:pStyle w:val="TableText"/>
              <w:ind w:left="726"/>
              <w:spacing w:before="165" w:line="229" w:lineRule="auto"/>
              <w:rPr/>
            </w:pPr>
            <w:r>
              <w:rPr>
                <w:rFonts w:ascii="Times New Roman" w:hAnsi="Times New Roman" w:eastAsia="Times New Roman" w:cs="Times New Roman"/>
                <w:spacing w:val="2"/>
              </w:rPr>
              <w:t>2</w:t>
            </w:r>
            <w:r>
              <w:rPr>
                <w:rFonts w:ascii="Times New Roman" w:hAnsi="Times New Roman" w:eastAsia="Times New Roman" w:cs="Times New Roman"/>
                <w:spacing w:val="21"/>
                <w:w w:val="101"/>
              </w:rPr>
              <w:t xml:space="preserve"> </w:t>
            </w:r>
            <w:r>
              <w:rPr>
                <w:spacing w:val="2"/>
              </w:rPr>
              <w:t>号皮带</w:t>
            </w:r>
          </w:p>
        </w:tc>
        <w:tc>
          <w:tcPr>
            <w:tcW w:w="2059" w:type="dxa"/>
            <w:vAlign w:val="top"/>
          </w:tcPr>
          <w:p>
            <w:pPr>
              <w:pStyle w:val="TableText"/>
              <w:ind w:left="719" w:right="334" w:hanging="427"/>
              <w:spacing w:before="7" w:line="245" w:lineRule="auto"/>
              <w:rPr>
                <w:rFonts w:ascii="Times New Roman" w:hAnsi="Times New Roman" w:eastAsia="Times New Roman" w:cs="Times New Roman"/>
              </w:rPr>
            </w:pPr>
            <w:r>
              <w:rPr>
                <w:rFonts w:ascii="Times New Roman" w:hAnsi="Times New Roman" w:eastAsia="Times New Roman" w:cs="Times New Roman"/>
                <w:spacing w:val="-2"/>
              </w:rPr>
              <w:t>TD75</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B=650</w:t>
            </w:r>
            <w:r>
              <w:rPr>
                <w:spacing w:val="-2"/>
              </w:rPr>
              <w:t>，</w:t>
            </w:r>
            <w:r>
              <w:rPr/>
              <w:t xml:space="preserve"> </w:t>
            </w:r>
            <w:r>
              <w:rPr>
                <w:rFonts w:ascii="Times New Roman" w:hAnsi="Times New Roman" w:eastAsia="Times New Roman" w:cs="Times New Roman"/>
                <w:spacing w:val="4"/>
              </w:rPr>
              <w:t>L=20m</w:t>
            </w:r>
          </w:p>
        </w:tc>
        <w:tc>
          <w:tcPr>
            <w:tcW w:w="790" w:type="dxa"/>
            <w:vAlign w:val="top"/>
          </w:tcPr>
          <w:p>
            <w:pPr>
              <w:pStyle w:val="TableText"/>
              <w:ind w:left="321"/>
              <w:spacing w:before="166" w:line="229" w:lineRule="auto"/>
              <w:rPr/>
            </w:pPr>
            <w:r>
              <w:rPr/>
              <w:t>台</w:t>
            </w:r>
          </w:p>
        </w:tc>
        <w:tc>
          <w:tcPr>
            <w:tcW w:w="770" w:type="dxa"/>
            <w:vAlign w:val="top"/>
          </w:tcPr>
          <w:p>
            <w:pPr>
              <w:ind w:left="353"/>
              <w:spacing w:before="2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20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518" w:hRule="atLeast"/>
        </w:trPr>
        <w:tc>
          <w:tcPr>
            <w:tcW w:w="752" w:type="dxa"/>
            <w:vAlign w:val="top"/>
            <w:tcBorders>
              <w:left w:val="nil"/>
            </w:tcBorders>
          </w:tcPr>
          <w:p>
            <w:pPr>
              <w:ind w:left="274"/>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2239" w:type="dxa"/>
            <w:vAlign w:val="top"/>
          </w:tcPr>
          <w:p>
            <w:pPr>
              <w:pStyle w:val="TableText"/>
              <w:ind w:left="731"/>
              <w:spacing w:before="168" w:line="229" w:lineRule="auto"/>
              <w:rPr/>
            </w:pPr>
            <w:r>
              <w:rPr>
                <w:rFonts w:ascii="Times New Roman" w:hAnsi="Times New Roman" w:eastAsia="Times New Roman" w:cs="Times New Roman"/>
                <w:spacing w:val="1"/>
              </w:rPr>
              <w:t>3</w:t>
            </w:r>
            <w:r>
              <w:rPr>
                <w:rFonts w:ascii="Times New Roman" w:hAnsi="Times New Roman" w:eastAsia="Times New Roman" w:cs="Times New Roman"/>
                <w:spacing w:val="21"/>
              </w:rPr>
              <w:t xml:space="preserve"> </w:t>
            </w:r>
            <w:r>
              <w:rPr>
                <w:spacing w:val="1"/>
              </w:rPr>
              <w:t>号皮带</w:t>
            </w:r>
          </w:p>
        </w:tc>
        <w:tc>
          <w:tcPr>
            <w:tcW w:w="2059" w:type="dxa"/>
            <w:vAlign w:val="top"/>
          </w:tcPr>
          <w:p>
            <w:pPr>
              <w:pStyle w:val="TableText"/>
              <w:ind w:left="719" w:right="334" w:hanging="427"/>
              <w:spacing w:before="11" w:line="243" w:lineRule="auto"/>
              <w:rPr>
                <w:rFonts w:ascii="Times New Roman" w:hAnsi="Times New Roman" w:eastAsia="Times New Roman" w:cs="Times New Roman"/>
              </w:rPr>
            </w:pPr>
            <w:r>
              <w:rPr>
                <w:rFonts w:ascii="Times New Roman" w:hAnsi="Times New Roman" w:eastAsia="Times New Roman" w:cs="Times New Roman"/>
                <w:spacing w:val="-2"/>
              </w:rPr>
              <w:t>TD75</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B=650</w:t>
            </w:r>
            <w:r>
              <w:rPr>
                <w:spacing w:val="-2"/>
              </w:rPr>
              <w:t>，</w:t>
            </w:r>
            <w:r>
              <w:rPr/>
              <w:t xml:space="preserve"> </w:t>
            </w:r>
            <w:r>
              <w:rPr>
                <w:rFonts w:ascii="Times New Roman" w:hAnsi="Times New Roman" w:eastAsia="Times New Roman" w:cs="Times New Roman"/>
                <w:spacing w:val="4"/>
              </w:rPr>
              <w:t>L=60m</w:t>
            </w:r>
          </w:p>
        </w:tc>
        <w:tc>
          <w:tcPr>
            <w:tcW w:w="790" w:type="dxa"/>
            <w:vAlign w:val="top"/>
          </w:tcPr>
          <w:p>
            <w:pPr>
              <w:pStyle w:val="TableText"/>
              <w:ind w:left="321"/>
              <w:spacing w:before="169" w:line="229" w:lineRule="auto"/>
              <w:rPr/>
            </w:pPr>
            <w:r>
              <w:rPr/>
              <w:t>台</w:t>
            </w:r>
          </w:p>
        </w:tc>
        <w:tc>
          <w:tcPr>
            <w:tcW w:w="770" w:type="dxa"/>
            <w:vAlign w:val="top"/>
          </w:tcPr>
          <w:p>
            <w:pPr>
              <w:ind w:left="35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2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518" w:hRule="atLeast"/>
        </w:trPr>
        <w:tc>
          <w:tcPr>
            <w:tcW w:w="752" w:type="dxa"/>
            <w:vAlign w:val="top"/>
            <w:tcBorders>
              <w:left w:val="nil"/>
            </w:tcBorders>
          </w:tcPr>
          <w:p>
            <w:pPr>
              <w:ind w:left="274"/>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2239" w:type="dxa"/>
            <w:vAlign w:val="top"/>
          </w:tcPr>
          <w:p>
            <w:pPr>
              <w:pStyle w:val="TableText"/>
              <w:ind w:left="725"/>
              <w:spacing w:before="168" w:line="229" w:lineRule="auto"/>
              <w:rPr/>
            </w:pPr>
            <w:r>
              <w:rPr>
                <w:rFonts w:ascii="Times New Roman" w:hAnsi="Times New Roman" w:eastAsia="Times New Roman" w:cs="Times New Roman"/>
                <w:spacing w:val="2"/>
              </w:rPr>
              <w:t>4</w:t>
            </w:r>
            <w:r>
              <w:rPr>
                <w:rFonts w:ascii="Times New Roman" w:hAnsi="Times New Roman" w:eastAsia="Times New Roman" w:cs="Times New Roman"/>
                <w:spacing w:val="22"/>
                <w:w w:val="101"/>
              </w:rPr>
              <w:t xml:space="preserve"> </w:t>
            </w:r>
            <w:r>
              <w:rPr>
                <w:spacing w:val="2"/>
              </w:rPr>
              <w:t>号皮带</w:t>
            </w:r>
          </w:p>
        </w:tc>
        <w:tc>
          <w:tcPr>
            <w:tcW w:w="2059" w:type="dxa"/>
            <w:vAlign w:val="top"/>
          </w:tcPr>
          <w:p>
            <w:pPr>
              <w:pStyle w:val="TableText"/>
              <w:ind w:left="719" w:right="334" w:hanging="427"/>
              <w:spacing w:before="11" w:line="243" w:lineRule="auto"/>
              <w:rPr>
                <w:rFonts w:ascii="Times New Roman" w:hAnsi="Times New Roman" w:eastAsia="Times New Roman" w:cs="Times New Roman"/>
              </w:rPr>
            </w:pPr>
            <w:r>
              <w:rPr>
                <w:rFonts w:ascii="Times New Roman" w:hAnsi="Times New Roman" w:eastAsia="Times New Roman" w:cs="Times New Roman"/>
                <w:spacing w:val="-2"/>
              </w:rPr>
              <w:t>TD75</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B=650</w:t>
            </w:r>
            <w:r>
              <w:rPr>
                <w:spacing w:val="-2"/>
              </w:rPr>
              <w:t>，</w:t>
            </w:r>
            <w:r>
              <w:rPr/>
              <w:t xml:space="preserve"> </w:t>
            </w:r>
            <w:r>
              <w:rPr>
                <w:rFonts w:ascii="Times New Roman" w:hAnsi="Times New Roman" w:eastAsia="Times New Roman" w:cs="Times New Roman"/>
                <w:spacing w:val="4"/>
              </w:rPr>
              <w:t>L=20m</w:t>
            </w:r>
          </w:p>
        </w:tc>
        <w:tc>
          <w:tcPr>
            <w:tcW w:w="790" w:type="dxa"/>
            <w:vAlign w:val="top"/>
          </w:tcPr>
          <w:p>
            <w:pPr>
              <w:pStyle w:val="TableText"/>
              <w:ind w:left="321"/>
              <w:spacing w:before="169" w:line="229" w:lineRule="auto"/>
              <w:rPr/>
            </w:pPr>
            <w:r>
              <w:rPr/>
              <w:t>台</w:t>
            </w:r>
          </w:p>
        </w:tc>
        <w:tc>
          <w:tcPr>
            <w:tcW w:w="770" w:type="dxa"/>
            <w:vAlign w:val="top"/>
          </w:tcPr>
          <w:p>
            <w:pPr>
              <w:ind w:left="35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2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517" w:hRule="atLeast"/>
        </w:trPr>
        <w:tc>
          <w:tcPr>
            <w:tcW w:w="752" w:type="dxa"/>
            <w:vAlign w:val="top"/>
            <w:tcBorders>
              <w:left w:val="nil"/>
            </w:tcBorders>
          </w:tcPr>
          <w:p>
            <w:pPr>
              <w:ind w:left="27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2239" w:type="dxa"/>
            <w:vAlign w:val="top"/>
          </w:tcPr>
          <w:p>
            <w:pPr>
              <w:pStyle w:val="TableText"/>
              <w:ind w:left="732"/>
              <w:spacing w:before="168" w:line="229" w:lineRule="auto"/>
              <w:rPr/>
            </w:pPr>
            <w:r>
              <w:rPr>
                <w:rFonts w:ascii="Times New Roman" w:hAnsi="Times New Roman" w:eastAsia="Times New Roman" w:cs="Times New Roman"/>
                <w:spacing w:val="1"/>
              </w:rPr>
              <w:t>5</w:t>
            </w:r>
            <w:r>
              <w:rPr>
                <w:rFonts w:ascii="Times New Roman" w:hAnsi="Times New Roman" w:eastAsia="Times New Roman" w:cs="Times New Roman"/>
                <w:spacing w:val="20"/>
              </w:rPr>
              <w:t xml:space="preserve"> </w:t>
            </w:r>
            <w:r>
              <w:rPr>
                <w:spacing w:val="1"/>
              </w:rPr>
              <w:t>号皮带</w:t>
            </w:r>
          </w:p>
        </w:tc>
        <w:tc>
          <w:tcPr>
            <w:tcW w:w="2059" w:type="dxa"/>
            <w:vAlign w:val="top"/>
          </w:tcPr>
          <w:p>
            <w:pPr>
              <w:pStyle w:val="TableText"/>
              <w:ind w:left="719" w:right="334" w:hanging="427"/>
              <w:spacing w:before="10" w:line="243" w:lineRule="auto"/>
              <w:rPr>
                <w:rFonts w:ascii="Times New Roman" w:hAnsi="Times New Roman" w:eastAsia="Times New Roman" w:cs="Times New Roman"/>
              </w:rPr>
            </w:pPr>
            <w:r>
              <w:rPr>
                <w:rFonts w:ascii="Times New Roman" w:hAnsi="Times New Roman" w:eastAsia="Times New Roman" w:cs="Times New Roman"/>
                <w:spacing w:val="-2"/>
              </w:rPr>
              <w:t>TD75</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B=650</w:t>
            </w:r>
            <w:r>
              <w:rPr>
                <w:spacing w:val="-2"/>
              </w:rPr>
              <w:t>，</w:t>
            </w:r>
            <w:r>
              <w:rPr/>
              <w:t xml:space="preserve"> </w:t>
            </w:r>
            <w:r>
              <w:rPr>
                <w:rFonts w:ascii="Times New Roman" w:hAnsi="Times New Roman" w:eastAsia="Times New Roman" w:cs="Times New Roman"/>
                <w:spacing w:val="4"/>
              </w:rPr>
              <w:t>L=20m</w:t>
            </w:r>
          </w:p>
        </w:tc>
        <w:tc>
          <w:tcPr>
            <w:tcW w:w="790" w:type="dxa"/>
            <w:vAlign w:val="top"/>
          </w:tcPr>
          <w:p>
            <w:pPr>
              <w:pStyle w:val="TableText"/>
              <w:ind w:left="321"/>
              <w:spacing w:before="169" w:line="229" w:lineRule="auto"/>
              <w:rPr/>
            </w:pPr>
            <w:r>
              <w:rPr/>
              <w:t>台</w:t>
            </w:r>
          </w:p>
        </w:tc>
        <w:tc>
          <w:tcPr>
            <w:tcW w:w="770" w:type="dxa"/>
            <w:vAlign w:val="top"/>
          </w:tcPr>
          <w:p>
            <w:pPr>
              <w:ind w:left="35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2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518" w:hRule="atLeast"/>
        </w:trPr>
        <w:tc>
          <w:tcPr>
            <w:tcW w:w="752" w:type="dxa"/>
            <w:vAlign w:val="top"/>
            <w:tcBorders>
              <w:left w:val="nil"/>
            </w:tcBorders>
          </w:tcPr>
          <w:p>
            <w:pPr>
              <w:ind w:left="27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239" w:type="dxa"/>
            <w:vAlign w:val="top"/>
          </w:tcPr>
          <w:p>
            <w:pPr>
              <w:pStyle w:val="TableText"/>
              <w:ind w:left="731"/>
              <w:spacing w:before="170" w:line="229" w:lineRule="auto"/>
              <w:rPr/>
            </w:pPr>
            <w:r>
              <w:rPr>
                <w:rFonts w:ascii="Times New Roman" w:hAnsi="Times New Roman" w:eastAsia="Times New Roman" w:cs="Times New Roman"/>
                <w:spacing w:val="1"/>
              </w:rPr>
              <w:t>6</w:t>
            </w:r>
            <w:r>
              <w:rPr>
                <w:rFonts w:ascii="Times New Roman" w:hAnsi="Times New Roman" w:eastAsia="Times New Roman" w:cs="Times New Roman"/>
                <w:spacing w:val="20"/>
                <w:w w:val="101"/>
              </w:rPr>
              <w:t xml:space="preserve"> </w:t>
            </w:r>
            <w:r>
              <w:rPr>
                <w:spacing w:val="1"/>
              </w:rPr>
              <w:t>号皮带</w:t>
            </w:r>
          </w:p>
        </w:tc>
        <w:tc>
          <w:tcPr>
            <w:tcW w:w="2059" w:type="dxa"/>
            <w:vAlign w:val="top"/>
          </w:tcPr>
          <w:p>
            <w:pPr>
              <w:pStyle w:val="TableText"/>
              <w:ind w:left="719" w:right="334" w:hanging="427"/>
              <w:spacing w:before="11" w:line="243" w:lineRule="auto"/>
              <w:rPr>
                <w:rFonts w:ascii="Times New Roman" w:hAnsi="Times New Roman" w:eastAsia="Times New Roman" w:cs="Times New Roman"/>
              </w:rPr>
            </w:pPr>
            <w:r>
              <w:rPr>
                <w:rFonts w:ascii="Times New Roman" w:hAnsi="Times New Roman" w:eastAsia="Times New Roman" w:cs="Times New Roman"/>
                <w:spacing w:val="-2"/>
              </w:rPr>
              <w:t>TD75</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B=650</w:t>
            </w:r>
            <w:r>
              <w:rPr>
                <w:spacing w:val="-2"/>
              </w:rPr>
              <w:t>，</w:t>
            </w:r>
            <w:r>
              <w:rPr/>
              <w:t xml:space="preserve"> </w:t>
            </w:r>
            <w:r>
              <w:rPr>
                <w:rFonts w:ascii="Times New Roman" w:hAnsi="Times New Roman" w:eastAsia="Times New Roman" w:cs="Times New Roman"/>
                <w:spacing w:val="4"/>
              </w:rPr>
              <w:t>L=20m</w:t>
            </w:r>
          </w:p>
        </w:tc>
        <w:tc>
          <w:tcPr>
            <w:tcW w:w="790" w:type="dxa"/>
            <w:vAlign w:val="top"/>
          </w:tcPr>
          <w:p>
            <w:pPr>
              <w:pStyle w:val="TableText"/>
              <w:ind w:left="321"/>
              <w:spacing w:before="170" w:line="229" w:lineRule="auto"/>
              <w:rPr/>
            </w:pPr>
            <w:r>
              <w:rPr/>
              <w:t>台</w:t>
            </w:r>
          </w:p>
        </w:tc>
        <w:tc>
          <w:tcPr>
            <w:tcW w:w="770" w:type="dxa"/>
            <w:vAlign w:val="top"/>
          </w:tcPr>
          <w:p>
            <w:pPr>
              <w:ind w:left="35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2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78"/>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239" w:type="dxa"/>
            <w:vAlign w:val="top"/>
          </w:tcPr>
          <w:p>
            <w:pPr>
              <w:pStyle w:val="TableText"/>
              <w:ind w:left="840"/>
              <w:spacing w:before="83" w:line="231" w:lineRule="auto"/>
              <w:rPr/>
            </w:pPr>
            <w:r>
              <w:rPr>
                <w:spacing w:val="-4"/>
              </w:rPr>
              <w:t>回水泵</w:t>
            </w:r>
          </w:p>
        </w:tc>
        <w:tc>
          <w:tcPr>
            <w:tcW w:w="2059" w:type="dxa"/>
            <w:vAlign w:val="top"/>
          </w:tcPr>
          <w:p>
            <w:pPr>
              <w:rPr>
                <w:rFonts w:ascii="Arial"/>
                <w:sz w:val="21"/>
              </w:rPr>
            </w:pPr>
            <w:r/>
          </w:p>
        </w:tc>
        <w:tc>
          <w:tcPr>
            <w:tcW w:w="790" w:type="dxa"/>
            <w:vAlign w:val="top"/>
          </w:tcPr>
          <w:p>
            <w:pPr>
              <w:pStyle w:val="TableText"/>
              <w:ind w:left="321"/>
              <w:spacing w:before="84" w:line="229" w:lineRule="auto"/>
              <w:rPr/>
            </w:pPr>
            <w:r>
              <w:rPr/>
              <w:t>台</w:t>
            </w:r>
          </w:p>
        </w:tc>
        <w:tc>
          <w:tcPr>
            <w:tcW w:w="770" w:type="dxa"/>
            <w:vAlign w:val="top"/>
          </w:tcPr>
          <w:p>
            <w:pPr>
              <w:ind w:left="35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344"/>
              <w:spacing w:before="12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78"/>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239" w:type="dxa"/>
            <w:vAlign w:val="top"/>
          </w:tcPr>
          <w:p>
            <w:pPr>
              <w:pStyle w:val="TableText"/>
              <w:ind w:left="817"/>
              <w:spacing w:before="85" w:line="229" w:lineRule="auto"/>
              <w:rPr/>
            </w:pPr>
            <w:r>
              <w:rPr>
                <w:spacing w:val="4"/>
              </w:rPr>
              <w:t>清水泵</w:t>
            </w:r>
          </w:p>
        </w:tc>
        <w:tc>
          <w:tcPr>
            <w:tcW w:w="2059" w:type="dxa"/>
            <w:vAlign w:val="top"/>
          </w:tcPr>
          <w:p>
            <w:pPr>
              <w:rPr>
                <w:rFonts w:ascii="Arial"/>
                <w:sz w:val="21"/>
              </w:rPr>
            </w:pPr>
            <w:r/>
          </w:p>
        </w:tc>
        <w:tc>
          <w:tcPr>
            <w:tcW w:w="790" w:type="dxa"/>
            <w:vAlign w:val="top"/>
          </w:tcPr>
          <w:p>
            <w:pPr>
              <w:pStyle w:val="TableText"/>
              <w:ind w:left="321"/>
              <w:spacing w:before="85" w:line="229" w:lineRule="auto"/>
              <w:rPr/>
            </w:pPr>
            <w:r>
              <w:rPr/>
              <w:t>台</w:t>
            </w:r>
          </w:p>
        </w:tc>
        <w:tc>
          <w:tcPr>
            <w:tcW w:w="770" w:type="dxa"/>
            <w:vAlign w:val="top"/>
          </w:tcPr>
          <w:p>
            <w:pPr>
              <w:ind w:left="337"/>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0" w:type="dxa"/>
            <w:vAlign w:val="top"/>
          </w:tcPr>
          <w:p>
            <w:pPr>
              <w:ind w:left="344"/>
              <w:spacing w:before="12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58" w:type="dxa"/>
            <w:vAlign w:val="top"/>
            <w:tcBorders>
              <w:right w:val="nil"/>
            </w:tcBorders>
          </w:tcPr>
          <w:p>
            <w:pPr>
              <w:rPr>
                <w:rFonts w:ascii="Arial"/>
                <w:sz w:val="21"/>
              </w:rPr>
            </w:pPr>
            <w:r/>
          </w:p>
        </w:tc>
      </w:tr>
      <w:tr>
        <w:trPr>
          <w:trHeight w:val="344" w:hRule="atLeast"/>
        </w:trPr>
        <w:tc>
          <w:tcPr>
            <w:tcW w:w="752" w:type="dxa"/>
            <w:vAlign w:val="top"/>
            <w:tcBorders>
              <w:left w:val="nil"/>
            </w:tcBorders>
          </w:tcPr>
          <w:p>
            <w:pPr>
              <w:ind w:left="27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239" w:type="dxa"/>
            <w:vAlign w:val="top"/>
          </w:tcPr>
          <w:p>
            <w:pPr>
              <w:pStyle w:val="TableText"/>
              <w:ind w:left="838"/>
              <w:spacing w:before="87" w:line="228" w:lineRule="auto"/>
              <w:rPr/>
            </w:pPr>
            <w:r>
              <w:rPr>
                <w:spacing w:val="-3"/>
              </w:rPr>
              <w:t>电锅炉</w:t>
            </w:r>
          </w:p>
        </w:tc>
        <w:tc>
          <w:tcPr>
            <w:tcW w:w="2059" w:type="dxa"/>
            <w:vAlign w:val="top"/>
          </w:tcPr>
          <w:p>
            <w:pPr>
              <w:ind w:left="58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CWDR</w:t>
            </w:r>
            <w:r>
              <w:rPr>
                <w:rFonts w:ascii="Times New Roman" w:hAnsi="Times New Roman" w:eastAsia="Times New Roman" w:cs="Times New Roman"/>
                <w:sz w:val="20"/>
                <w:szCs w:val="20"/>
                <w:spacing w:val="11"/>
              </w:rPr>
              <w:t>2.8</w:t>
            </w:r>
          </w:p>
        </w:tc>
        <w:tc>
          <w:tcPr>
            <w:tcW w:w="790" w:type="dxa"/>
            <w:vAlign w:val="top"/>
          </w:tcPr>
          <w:p>
            <w:pPr>
              <w:pStyle w:val="TableText"/>
              <w:ind w:left="321"/>
              <w:spacing w:before="87" w:line="228" w:lineRule="auto"/>
              <w:rPr/>
            </w:pPr>
            <w:r>
              <w:rPr/>
              <w:t>台</w:t>
            </w:r>
          </w:p>
        </w:tc>
        <w:tc>
          <w:tcPr>
            <w:tcW w:w="770" w:type="dxa"/>
            <w:vAlign w:val="top"/>
          </w:tcPr>
          <w:p>
            <w:pPr>
              <w:ind w:left="35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278"/>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239" w:type="dxa"/>
            <w:vAlign w:val="top"/>
          </w:tcPr>
          <w:p>
            <w:pPr>
              <w:pStyle w:val="TableText"/>
              <w:ind w:left="838"/>
              <w:spacing w:before="88" w:line="228" w:lineRule="auto"/>
              <w:rPr/>
            </w:pPr>
            <w:r>
              <w:rPr>
                <w:spacing w:val="-3"/>
              </w:rPr>
              <w:t>电锅炉</w:t>
            </w:r>
          </w:p>
        </w:tc>
        <w:tc>
          <w:tcPr>
            <w:tcW w:w="2059" w:type="dxa"/>
            <w:vAlign w:val="top"/>
          </w:tcPr>
          <w:p>
            <w:pPr>
              <w:ind w:left="113"/>
              <w:spacing w:before="12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CWDR</w:t>
            </w: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3"/>
              </w:rPr>
              <w:t>116-95/70-T</w:t>
            </w:r>
          </w:p>
        </w:tc>
        <w:tc>
          <w:tcPr>
            <w:tcW w:w="790" w:type="dxa"/>
            <w:vAlign w:val="top"/>
          </w:tcPr>
          <w:p>
            <w:pPr>
              <w:pStyle w:val="TableText"/>
              <w:ind w:left="321"/>
              <w:spacing w:before="88" w:line="228" w:lineRule="auto"/>
              <w:rPr/>
            </w:pPr>
            <w:r>
              <w:rPr/>
              <w:t>台</w:t>
            </w:r>
          </w:p>
        </w:tc>
        <w:tc>
          <w:tcPr>
            <w:tcW w:w="770" w:type="dxa"/>
            <w:vAlign w:val="top"/>
          </w:tcPr>
          <w:p>
            <w:pPr>
              <w:ind w:left="353"/>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pStyle w:val="TableText"/>
              <w:ind w:left="308"/>
              <w:spacing w:before="89" w:line="227" w:lineRule="auto"/>
              <w:rPr/>
            </w:pPr>
            <w:r>
              <w:rPr/>
              <w:t>四</w:t>
            </w:r>
          </w:p>
        </w:tc>
        <w:tc>
          <w:tcPr>
            <w:tcW w:w="2239" w:type="dxa"/>
            <w:vAlign w:val="top"/>
          </w:tcPr>
          <w:p>
            <w:pPr>
              <w:pStyle w:val="TableText"/>
              <w:ind w:left="816"/>
              <w:spacing w:before="89" w:line="227" w:lineRule="auto"/>
              <w:rPr/>
            </w:pPr>
            <w:r>
              <w:rPr>
                <w:spacing w:val="4"/>
              </w:rPr>
              <w:t>充填站</w:t>
            </w:r>
          </w:p>
        </w:tc>
        <w:tc>
          <w:tcPr>
            <w:tcW w:w="2059" w:type="dxa"/>
            <w:vAlign w:val="top"/>
          </w:tcPr>
          <w:p>
            <w:pPr>
              <w:rPr>
                <w:rFonts w:ascii="Arial"/>
                <w:sz w:val="21"/>
              </w:rPr>
            </w:pPr>
            <w:r/>
          </w:p>
        </w:tc>
        <w:tc>
          <w:tcPr>
            <w:tcW w:w="790" w:type="dxa"/>
            <w:vAlign w:val="top"/>
          </w:tcPr>
          <w:p>
            <w:pPr>
              <w:rPr>
                <w:rFonts w:ascii="Arial"/>
                <w:sz w:val="21"/>
              </w:rPr>
            </w:pPr>
            <w:r/>
          </w:p>
        </w:tc>
        <w:tc>
          <w:tcPr>
            <w:tcW w:w="770" w:type="dxa"/>
            <w:vAlign w:val="top"/>
          </w:tcPr>
          <w:p>
            <w:pPr>
              <w:rPr>
                <w:rFonts w:ascii="Arial"/>
                <w:sz w:val="21"/>
              </w:rPr>
            </w:pPr>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34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39" w:type="dxa"/>
            <w:vAlign w:val="top"/>
          </w:tcPr>
          <w:p>
            <w:pPr>
              <w:pStyle w:val="TableText"/>
              <w:ind w:left="603"/>
              <w:spacing w:before="89" w:line="227" w:lineRule="auto"/>
              <w:rPr/>
            </w:pPr>
            <w:r>
              <w:rPr>
                <w:spacing w:val="7"/>
              </w:rPr>
              <w:t>料仓振动器</w:t>
            </w:r>
          </w:p>
        </w:tc>
        <w:tc>
          <w:tcPr>
            <w:tcW w:w="2059" w:type="dxa"/>
            <w:vAlign w:val="top"/>
          </w:tcPr>
          <w:p>
            <w:pPr>
              <w:ind w:left="558"/>
              <w:spacing w:before="1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MVE</w:t>
            </w:r>
            <w:r>
              <w:rPr>
                <w:rFonts w:ascii="Times New Roman" w:hAnsi="Times New Roman" w:eastAsia="Times New Roman" w:cs="Times New Roman"/>
                <w:sz w:val="20"/>
                <w:szCs w:val="20"/>
                <w:spacing w:val="8"/>
              </w:rPr>
              <w:t>200/3</w:t>
            </w:r>
          </w:p>
        </w:tc>
        <w:tc>
          <w:tcPr>
            <w:tcW w:w="790" w:type="dxa"/>
            <w:vAlign w:val="top"/>
          </w:tcPr>
          <w:p>
            <w:pPr>
              <w:pStyle w:val="TableText"/>
              <w:ind w:left="303"/>
              <w:spacing w:before="89" w:line="227" w:lineRule="auto"/>
              <w:rPr/>
            </w:pPr>
            <w:r>
              <w:rPr/>
              <w:t>个</w:t>
            </w:r>
          </w:p>
        </w:tc>
        <w:tc>
          <w:tcPr>
            <w:tcW w:w="770" w:type="dxa"/>
            <w:vAlign w:val="top"/>
          </w:tcPr>
          <w:p>
            <w:pPr>
              <w:ind w:left="33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32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39" w:type="dxa"/>
            <w:vAlign w:val="top"/>
          </w:tcPr>
          <w:p>
            <w:pPr>
              <w:pStyle w:val="TableText"/>
              <w:ind w:left="814"/>
              <w:spacing w:before="86" w:line="229" w:lineRule="auto"/>
              <w:rPr/>
            </w:pPr>
            <w:r>
              <w:rPr>
                <w:spacing w:val="5"/>
              </w:rPr>
              <w:t>裙边带</w:t>
            </w:r>
          </w:p>
        </w:tc>
        <w:tc>
          <w:tcPr>
            <w:tcW w:w="2059" w:type="dxa"/>
            <w:vAlign w:val="top"/>
          </w:tcPr>
          <w:p>
            <w:pPr>
              <w:pStyle w:val="TableText"/>
              <w:ind w:left="483"/>
              <w:spacing w:before="86" w:line="229" w:lineRule="auto"/>
              <w:rPr>
                <w:rFonts w:ascii="Times New Roman" w:hAnsi="Times New Roman" w:eastAsia="Times New Roman" w:cs="Times New Roman"/>
              </w:rPr>
            </w:pPr>
            <w:r>
              <w:rPr>
                <w:spacing w:val="3"/>
              </w:rPr>
              <w:t>宽度</w:t>
            </w:r>
            <w:r>
              <w:rPr>
                <w:spacing w:val="-30"/>
              </w:rPr>
              <w:t xml:space="preserve"> </w:t>
            </w:r>
            <w:r>
              <w:rPr>
                <w:rFonts w:ascii="Times New Roman" w:hAnsi="Times New Roman" w:eastAsia="Times New Roman" w:cs="Times New Roman"/>
                <w:spacing w:val="3"/>
              </w:rPr>
              <w:t>800</w:t>
            </w:r>
            <w:r>
              <w:rPr>
                <w:rFonts w:ascii="Times New Roman" w:hAnsi="Times New Roman" w:eastAsia="Times New Roman" w:cs="Times New Roman"/>
              </w:rPr>
              <w:t>mm</w:t>
            </w:r>
          </w:p>
        </w:tc>
        <w:tc>
          <w:tcPr>
            <w:tcW w:w="790" w:type="dxa"/>
            <w:vAlign w:val="top"/>
          </w:tcPr>
          <w:p>
            <w:pPr>
              <w:pStyle w:val="TableText"/>
              <w:ind w:left="304"/>
              <w:spacing w:before="86" w:line="229" w:lineRule="auto"/>
              <w:rPr/>
            </w:pPr>
            <w:r>
              <w:rPr/>
              <w:t>条</w:t>
            </w:r>
          </w:p>
        </w:tc>
        <w:tc>
          <w:tcPr>
            <w:tcW w:w="770" w:type="dxa"/>
            <w:vAlign w:val="top"/>
          </w:tcPr>
          <w:p>
            <w:pPr>
              <w:ind w:left="33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33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39" w:type="dxa"/>
            <w:vAlign w:val="top"/>
          </w:tcPr>
          <w:p>
            <w:pPr>
              <w:pStyle w:val="TableText"/>
              <w:ind w:left="711"/>
              <w:spacing w:before="88" w:line="228" w:lineRule="auto"/>
              <w:rPr/>
            </w:pPr>
            <w:r>
              <w:rPr>
                <w:spacing w:val="5"/>
              </w:rPr>
              <w:t>减速电机</w:t>
            </w:r>
          </w:p>
        </w:tc>
        <w:tc>
          <w:tcPr>
            <w:tcW w:w="2059" w:type="dxa"/>
            <w:vAlign w:val="top"/>
          </w:tcPr>
          <w:p>
            <w:pPr>
              <w:ind w:left="1000"/>
              <w:spacing w:before="214"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0" w:type="dxa"/>
            <w:vAlign w:val="top"/>
          </w:tcPr>
          <w:p>
            <w:pPr>
              <w:pStyle w:val="TableText"/>
              <w:ind w:left="321"/>
              <w:spacing w:before="88" w:line="228" w:lineRule="auto"/>
              <w:rPr/>
            </w:pPr>
            <w:r>
              <w:rPr/>
              <w:t>台</w:t>
            </w:r>
          </w:p>
        </w:tc>
        <w:tc>
          <w:tcPr>
            <w:tcW w:w="770" w:type="dxa"/>
            <w:vAlign w:val="top"/>
          </w:tcPr>
          <w:p>
            <w:pPr>
              <w:ind w:left="33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32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239" w:type="dxa"/>
            <w:vAlign w:val="top"/>
          </w:tcPr>
          <w:p>
            <w:pPr>
              <w:pStyle w:val="TableText"/>
              <w:ind w:left="732"/>
              <w:spacing w:before="88" w:line="228" w:lineRule="auto"/>
              <w:rPr/>
            </w:pPr>
            <w:r>
              <w:rPr/>
              <w:t>电动滚筒</w:t>
            </w:r>
          </w:p>
        </w:tc>
        <w:tc>
          <w:tcPr>
            <w:tcW w:w="2059" w:type="dxa"/>
            <w:vAlign w:val="top"/>
          </w:tcPr>
          <w:p>
            <w:pPr>
              <w:ind w:left="14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TDY</w:t>
            </w:r>
            <w:r>
              <w:rPr>
                <w:rFonts w:ascii="Times New Roman" w:hAnsi="Times New Roman" w:eastAsia="Times New Roman" w:cs="Times New Roman"/>
                <w:sz w:val="20"/>
                <w:szCs w:val="20"/>
                <w:spacing w:val="5"/>
              </w:rPr>
              <w:t>11-1.6-500×800</w:t>
            </w:r>
          </w:p>
        </w:tc>
        <w:tc>
          <w:tcPr>
            <w:tcW w:w="790" w:type="dxa"/>
            <w:vAlign w:val="top"/>
          </w:tcPr>
          <w:p>
            <w:pPr>
              <w:pStyle w:val="TableText"/>
              <w:ind w:left="303"/>
              <w:spacing w:before="88" w:line="228" w:lineRule="auto"/>
              <w:rPr/>
            </w:pPr>
            <w:r>
              <w:rPr/>
              <w:t>个</w:t>
            </w:r>
          </w:p>
        </w:tc>
        <w:tc>
          <w:tcPr>
            <w:tcW w:w="770" w:type="dxa"/>
            <w:vAlign w:val="top"/>
          </w:tcPr>
          <w:p>
            <w:pPr>
              <w:ind w:left="35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238"/>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11kW</w:t>
            </w:r>
          </w:p>
        </w:tc>
        <w:tc>
          <w:tcPr>
            <w:tcW w:w="1358" w:type="dxa"/>
            <w:vAlign w:val="top"/>
            <w:tcBorders>
              <w:right w:val="nil"/>
            </w:tcBorders>
          </w:tcPr>
          <w:p>
            <w:pPr>
              <w:rPr>
                <w:rFonts w:ascii="Arial"/>
                <w:sz w:val="21"/>
              </w:rPr>
            </w:pPr>
            <w:r/>
          </w:p>
        </w:tc>
      </w:tr>
      <w:tr>
        <w:trPr>
          <w:trHeight w:val="518" w:hRule="atLeast"/>
        </w:trPr>
        <w:tc>
          <w:tcPr>
            <w:tcW w:w="752" w:type="dxa"/>
            <w:vAlign w:val="top"/>
            <w:tcBorders>
              <w:left w:val="nil"/>
            </w:tcBorders>
          </w:tcPr>
          <w:p>
            <w:pPr>
              <w:ind w:left="332"/>
              <w:spacing w:before="21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39" w:type="dxa"/>
            <w:vAlign w:val="top"/>
          </w:tcPr>
          <w:p>
            <w:pPr>
              <w:pStyle w:val="TableText"/>
              <w:ind w:left="186"/>
              <w:spacing w:before="174" w:line="229" w:lineRule="auto"/>
              <w:rPr/>
            </w:pPr>
            <w:r>
              <w:rPr>
                <w:spacing w:val="8"/>
              </w:rPr>
              <w:t>无硫化接头环形皮带</w:t>
            </w:r>
          </w:p>
        </w:tc>
        <w:tc>
          <w:tcPr>
            <w:tcW w:w="2059" w:type="dxa"/>
            <w:vAlign w:val="top"/>
          </w:tcPr>
          <w:p>
            <w:pPr>
              <w:pStyle w:val="TableText"/>
              <w:ind w:left="178"/>
              <w:spacing w:before="54" w:line="229" w:lineRule="auto"/>
              <w:rPr/>
            </w:pPr>
            <w:r>
              <w:rPr>
                <w:spacing w:val="1"/>
              </w:rPr>
              <w:t>带宽</w:t>
            </w:r>
            <w:r>
              <w:rPr>
                <w:spacing w:val="-32"/>
              </w:rPr>
              <w:t xml:space="preserve"> </w:t>
            </w:r>
            <w:r>
              <w:rPr>
                <w:rFonts w:ascii="Times New Roman" w:hAnsi="Times New Roman" w:eastAsia="Times New Roman" w:cs="Times New Roman"/>
                <w:spacing w:val="1"/>
              </w:rPr>
              <w:t>800</w:t>
            </w:r>
            <w:r>
              <w:rPr>
                <w:rFonts w:ascii="Times New Roman" w:hAnsi="Times New Roman" w:eastAsia="Times New Roman" w:cs="Times New Roman"/>
              </w:rPr>
              <w:t>mm</w:t>
            </w:r>
            <w:r>
              <w:rPr>
                <w:rFonts w:ascii="Times New Roman" w:hAnsi="Times New Roman" w:eastAsia="Times New Roman" w:cs="Times New Roman"/>
                <w:spacing w:val="-20"/>
              </w:rPr>
              <w:t xml:space="preserve"> </w:t>
            </w:r>
            <w:r>
              <w:rPr>
                <w:spacing w:val="1"/>
              </w:rPr>
              <w:t>，带速</w:t>
            </w:r>
          </w:p>
          <w:p>
            <w:pPr>
              <w:ind w:left="768"/>
              <w:spacing w:before="41" w:line="17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1.6m/s</w:t>
            </w:r>
          </w:p>
        </w:tc>
        <w:tc>
          <w:tcPr>
            <w:tcW w:w="790" w:type="dxa"/>
            <w:vAlign w:val="top"/>
          </w:tcPr>
          <w:p>
            <w:pPr>
              <w:pStyle w:val="TableText"/>
              <w:ind w:left="304"/>
              <w:spacing w:before="175" w:line="232" w:lineRule="auto"/>
              <w:rPr/>
            </w:pPr>
            <w:r>
              <w:rPr/>
              <w:t>条</w:t>
            </w:r>
          </w:p>
        </w:tc>
        <w:tc>
          <w:tcPr>
            <w:tcW w:w="770" w:type="dxa"/>
            <w:vAlign w:val="top"/>
          </w:tcPr>
          <w:p>
            <w:pPr>
              <w:ind w:left="353"/>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33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39" w:type="dxa"/>
            <w:vAlign w:val="top"/>
          </w:tcPr>
          <w:p>
            <w:pPr>
              <w:pStyle w:val="TableText"/>
              <w:ind w:left="712"/>
              <w:spacing w:before="89" w:line="227" w:lineRule="auto"/>
              <w:rPr/>
            </w:pPr>
            <w:r>
              <w:rPr>
                <w:spacing w:val="5"/>
              </w:rPr>
              <w:t>清扫装置</w:t>
            </w:r>
          </w:p>
        </w:tc>
        <w:tc>
          <w:tcPr>
            <w:tcW w:w="2059" w:type="dxa"/>
            <w:vAlign w:val="top"/>
          </w:tcPr>
          <w:p>
            <w:pPr>
              <w:ind w:left="1000"/>
              <w:spacing w:before="215"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0" w:type="dxa"/>
            <w:vAlign w:val="top"/>
          </w:tcPr>
          <w:p>
            <w:pPr>
              <w:pStyle w:val="TableText"/>
              <w:ind w:left="302"/>
              <w:spacing w:before="89" w:line="227" w:lineRule="auto"/>
              <w:rPr/>
            </w:pPr>
            <w:r>
              <w:rPr/>
              <w:t>套</w:t>
            </w:r>
          </w:p>
        </w:tc>
        <w:tc>
          <w:tcPr>
            <w:tcW w:w="770" w:type="dxa"/>
            <w:vAlign w:val="top"/>
          </w:tcPr>
          <w:p>
            <w:pPr>
              <w:ind w:left="353"/>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5" w:hRule="atLeast"/>
        </w:trPr>
        <w:tc>
          <w:tcPr>
            <w:tcW w:w="752" w:type="dxa"/>
            <w:vAlign w:val="top"/>
            <w:tcBorders>
              <w:left w:val="nil"/>
            </w:tcBorders>
          </w:tcPr>
          <w:p>
            <w:pPr>
              <w:ind w:left="330"/>
              <w:spacing w:before="13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39" w:type="dxa"/>
            <w:vAlign w:val="top"/>
          </w:tcPr>
          <w:p>
            <w:pPr>
              <w:pStyle w:val="TableText"/>
              <w:ind w:left="709"/>
              <w:spacing w:before="89" w:line="227" w:lineRule="auto"/>
              <w:rPr/>
            </w:pPr>
            <w:r>
              <w:rPr>
                <w:spacing w:val="5"/>
              </w:rPr>
              <w:t>调偏装置</w:t>
            </w:r>
          </w:p>
        </w:tc>
        <w:tc>
          <w:tcPr>
            <w:tcW w:w="2059" w:type="dxa"/>
            <w:vAlign w:val="top"/>
          </w:tcPr>
          <w:p>
            <w:pPr>
              <w:ind w:left="1000"/>
              <w:spacing w:before="215"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0" w:type="dxa"/>
            <w:vAlign w:val="top"/>
          </w:tcPr>
          <w:p>
            <w:pPr>
              <w:pStyle w:val="TableText"/>
              <w:ind w:left="302"/>
              <w:spacing w:before="89" w:line="227" w:lineRule="auto"/>
              <w:rPr/>
            </w:pPr>
            <w:r>
              <w:rPr/>
              <w:t>套</w:t>
            </w:r>
          </w:p>
        </w:tc>
        <w:tc>
          <w:tcPr>
            <w:tcW w:w="770" w:type="dxa"/>
            <w:vAlign w:val="top"/>
          </w:tcPr>
          <w:p>
            <w:pPr>
              <w:ind w:left="333"/>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66" w:hRule="atLeast"/>
        </w:trPr>
        <w:tc>
          <w:tcPr>
            <w:tcW w:w="752" w:type="dxa"/>
            <w:vAlign w:val="top"/>
            <w:tcBorders>
              <w:left w:val="nil"/>
              <w:bottom w:val="single" w:color="000000" w:sz="10" w:space="0"/>
            </w:tcBorders>
          </w:tcPr>
          <w:p>
            <w:pPr>
              <w:ind w:left="33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39" w:type="dxa"/>
            <w:vAlign w:val="top"/>
            <w:tcBorders>
              <w:bottom w:val="single" w:color="000000" w:sz="10" w:space="0"/>
            </w:tcBorders>
          </w:tcPr>
          <w:p>
            <w:pPr>
              <w:pStyle w:val="TableText"/>
              <w:ind w:left="510"/>
              <w:spacing w:before="89" w:line="229" w:lineRule="auto"/>
              <w:rPr/>
            </w:pPr>
            <w:r>
              <w:rPr>
                <w:spacing w:val="5"/>
              </w:rPr>
              <w:t>皮带张紧装置</w:t>
            </w:r>
          </w:p>
        </w:tc>
        <w:tc>
          <w:tcPr>
            <w:tcW w:w="2059" w:type="dxa"/>
            <w:vAlign w:val="top"/>
            <w:tcBorders>
              <w:bottom w:val="single" w:color="000000" w:sz="10" w:space="0"/>
            </w:tcBorders>
          </w:tcPr>
          <w:p>
            <w:pPr>
              <w:ind w:left="1000"/>
              <w:spacing w:before="213"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0" w:type="dxa"/>
            <w:vAlign w:val="top"/>
            <w:tcBorders>
              <w:bottom w:val="single" w:color="000000" w:sz="10" w:space="0"/>
            </w:tcBorders>
          </w:tcPr>
          <w:p>
            <w:pPr>
              <w:pStyle w:val="TableText"/>
              <w:ind w:left="302"/>
              <w:spacing w:before="89" w:line="234" w:lineRule="auto"/>
              <w:rPr/>
            </w:pPr>
            <w:r>
              <w:rPr/>
              <w:t>套</w:t>
            </w:r>
          </w:p>
        </w:tc>
        <w:tc>
          <w:tcPr>
            <w:tcW w:w="770" w:type="dxa"/>
            <w:vAlign w:val="top"/>
            <w:tcBorders>
              <w:bottom w:val="single" w:color="000000" w:sz="10" w:space="0"/>
            </w:tcBorders>
          </w:tcPr>
          <w:p>
            <w:pPr>
              <w:ind w:left="35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Borders>
              <w:bottom w:val="single" w:color="000000" w:sz="10" w:space="0"/>
            </w:tcBorders>
          </w:tcPr>
          <w:p>
            <w:pPr>
              <w:rPr>
                <w:rFonts w:ascii="Arial"/>
                <w:sz w:val="21"/>
              </w:rPr>
            </w:pPr>
            <w:r/>
          </w:p>
        </w:tc>
        <w:tc>
          <w:tcPr>
            <w:tcW w:w="1358"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28"/>
          <w:pgSz w:w="11911" w:h="16839"/>
          <w:pgMar w:top="400" w:right="1311" w:bottom="1146" w:left="1691" w:header="0" w:footer="984" w:gutter="0"/>
        </w:sectPr>
        <w:rPr/>
      </w:pPr>
    </w:p>
    <w:p>
      <w:pPr>
        <w:spacing w:before="13"/>
        <w:rPr/>
      </w:pPr>
      <w:r/>
    </w:p>
    <w:p>
      <w:pPr>
        <w:spacing w:before="13"/>
        <w:rPr/>
      </w:pPr>
      <w:r/>
    </w:p>
    <w:p>
      <w:pPr>
        <w:spacing w:before="13"/>
        <w:rPr/>
      </w:pPr>
      <w:r/>
    </w:p>
    <w:p>
      <w:pPr>
        <w:spacing w:before="12"/>
        <w:rPr/>
      </w:pPr>
      <w:r/>
    </w:p>
    <w:tbl>
      <w:tblPr>
        <w:tblStyle w:val="TableNormal"/>
        <w:tblW w:w="8908" w:type="dxa"/>
        <w:tblInd w:w="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2"/>
        <w:gridCol w:w="2239"/>
        <w:gridCol w:w="2059"/>
        <w:gridCol w:w="790"/>
        <w:gridCol w:w="770"/>
        <w:gridCol w:w="940"/>
        <w:gridCol w:w="1358"/>
      </w:tblGrid>
      <w:tr>
        <w:trPr>
          <w:trHeight w:val="348" w:hRule="atLeast"/>
        </w:trPr>
        <w:tc>
          <w:tcPr>
            <w:tcW w:w="752" w:type="dxa"/>
            <w:vAlign w:val="top"/>
            <w:tcBorders>
              <w:left w:val="nil"/>
              <w:top w:val="single" w:color="000000" w:sz="10" w:space="0"/>
            </w:tcBorders>
          </w:tcPr>
          <w:p>
            <w:pPr>
              <w:ind w:left="33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39" w:type="dxa"/>
            <w:vAlign w:val="top"/>
            <w:tcBorders>
              <w:top w:val="single" w:color="000000" w:sz="10" w:space="0"/>
            </w:tcBorders>
          </w:tcPr>
          <w:p>
            <w:pPr>
              <w:pStyle w:val="TableText"/>
              <w:ind w:left="814"/>
              <w:spacing w:before="68" w:line="232" w:lineRule="auto"/>
              <w:rPr/>
            </w:pPr>
            <w:bookmarkStart w:name="bookmark549" w:id="213"/>
            <w:bookmarkEnd w:id="213"/>
            <w:r>
              <w:rPr>
                <w:spacing w:val="5"/>
              </w:rPr>
              <w:t>水泥仓</w:t>
            </w:r>
          </w:p>
        </w:tc>
        <w:tc>
          <w:tcPr>
            <w:tcW w:w="2059" w:type="dxa"/>
            <w:vAlign w:val="top"/>
            <w:tcBorders>
              <w:top w:val="single" w:color="000000" w:sz="10" w:space="0"/>
            </w:tcBorders>
          </w:tcPr>
          <w:p>
            <w:pPr>
              <w:ind w:left="805"/>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SC</w:t>
            </w:r>
            <w:r>
              <w:rPr>
                <w:rFonts w:ascii="Times New Roman" w:hAnsi="Times New Roman" w:eastAsia="Times New Roman" w:cs="Times New Roman"/>
                <w:sz w:val="20"/>
                <w:szCs w:val="20"/>
                <w:spacing w:val="4"/>
              </w:rPr>
              <w:t>50</w:t>
            </w:r>
          </w:p>
        </w:tc>
        <w:tc>
          <w:tcPr>
            <w:tcW w:w="790" w:type="dxa"/>
            <w:vAlign w:val="top"/>
            <w:tcBorders>
              <w:top w:val="single" w:color="000000" w:sz="10" w:space="0"/>
            </w:tcBorders>
          </w:tcPr>
          <w:p>
            <w:pPr>
              <w:pStyle w:val="TableText"/>
              <w:ind w:left="302"/>
              <w:spacing w:before="69" w:line="234" w:lineRule="auto"/>
              <w:rPr/>
            </w:pPr>
            <w:r>
              <w:rPr/>
              <w:t>套</w:t>
            </w:r>
          </w:p>
        </w:tc>
        <w:tc>
          <w:tcPr>
            <w:tcW w:w="770" w:type="dxa"/>
            <w:vAlign w:val="top"/>
            <w:tcBorders>
              <w:top w:val="single" w:color="000000" w:sz="10" w:space="0"/>
            </w:tcBorders>
          </w:tcPr>
          <w:p>
            <w:pPr>
              <w:ind w:left="35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Borders>
              <w:top w:val="single" w:color="000000" w:sz="10" w:space="0"/>
            </w:tcBorders>
          </w:tcPr>
          <w:p>
            <w:pPr>
              <w:rPr>
                <w:rFonts w:ascii="Arial"/>
                <w:sz w:val="21"/>
              </w:rPr>
            </w:pPr>
            <w:r/>
          </w:p>
        </w:tc>
        <w:tc>
          <w:tcPr>
            <w:tcW w:w="1358" w:type="dxa"/>
            <w:vAlign w:val="top"/>
            <w:tcBorders>
              <w:right w:val="nil"/>
              <w:top w:val="single" w:color="000000" w:sz="10" w:space="0"/>
            </w:tcBorders>
          </w:tcPr>
          <w:p>
            <w:pPr>
              <w:rPr>
                <w:rFonts w:ascii="Arial"/>
                <w:sz w:val="21"/>
              </w:rPr>
            </w:pPr>
            <w:r/>
          </w:p>
        </w:tc>
      </w:tr>
      <w:tr>
        <w:trPr>
          <w:trHeight w:val="343" w:hRule="atLeast"/>
        </w:trPr>
        <w:tc>
          <w:tcPr>
            <w:tcW w:w="752" w:type="dxa"/>
            <w:vAlign w:val="top"/>
            <w:tcBorders>
              <w:left w:val="nil"/>
            </w:tcBorders>
          </w:tcPr>
          <w:p>
            <w:pPr>
              <w:ind w:left="294"/>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239" w:type="dxa"/>
            <w:vAlign w:val="top"/>
          </w:tcPr>
          <w:p>
            <w:pPr>
              <w:pStyle w:val="TableText"/>
              <w:ind w:left="611"/>
              <w:spacing w:before="66" w:line="229" w:lineRule="auto"/>
              <w:rPr/>
            </w:pPr>
            <w:r>
              <w:rPr>
                <w:spacing w:val="5"/>
              </w:rPr>
              <w:t>星形给料器</w:t>
            </w:r>
          </w:p>
        </w:tc>
        <w:tc>
          <w:tcPr>
            <w:tcW w:w="2059" w:type="dxa"/>
            <w:vAlign w:val="top"/>
          </w:tcPr>
          <w:p>
            <w:pPr>
              <w:ind w:left="77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XG</w:t>
            </w:r>
            <w:r>
              <w:rPr>
                <w:rFonts w:ascii="Times New Roman" w:hAnsi="Times New Roman" w:eastAsia="Times New Roman" w:cs="Times New Roman"/>
                <w:sz w:val="20"/>
                <w:szCs w:val="20"/>
                <w:spacing w:val="11"/>
              </w:rPr>
              <w:t>45</w:t>
            </w:r>
          </w:p>
        </w:tc>
        <w:tc>
          <w:tcPr>
            <w:tcW w:w="790" w:type="dxa"/>
            <w:vAlign w:val="top"/>
          </w:tcPr>
          <w:p>
            <w:pPr>
              <w:pStyle w:val="TableText"/>
              <w:ind w:left="321"/>
              <w:spacing w:before="66" w:line="229" w:lineRule="auto"/>
              <w:rPr/>
            </w:pPr>
            <w:r>
              <w:rPr/>
              <w:t>台</w:t>
            </w:r>
          </w:p>
        </w:tc>
        <w:tc>
          <w:tcPr>
            <w:tcW w:w="770" w:type="dxa"/>
            <w:vAlign w:val="top"/>
          </w:tcPr>
          <w:p>
            <w:pPr>
              <w:ind w:left="35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pStyle w:val="TableText"/>
              <w:ind w:left="172"/>
              <w:spacing w:before="66" w:line="232" w:lineRule="auto"/>
              <w:rPr/>
            </w:pPr>
            <w:r>
              <w:rPr>
                <w:spacing w:val="2"/>
              </w:rPr>
              <w:t>变频型</w:t>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239" w:type="dxa"/>
            <w:vAlign w:val="top"/>
          </w:tcPr>
          <w:p>
            <w:pPr>
              <w:pStyle w:val="TableText"/>
              <w:ind w:left="606"/>
              <w:spacing w:before="68" w:line="231" w:lineRule="auto"/>
              <w:rPr/>
            </w:pPr>
            <w:r>
              <w:rPr>
                <w:spacing w:val="6"/>
              </w:rPr>
              <w:t>螺旋输送机</w:t>
            </w:r>
          </w:p>
        </w:tc>
        <w:tc>
          <w:tcPr>
            <w:tcW w:w="2059" w:type="dxa"/>
            <w:vAlign w:val="top"/>
          </w:tcPr>
          <w:p>
            <w:pPr>
              <w:ind w:left="67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LSY</w:t>
            </w:r>
            <w:r>
              <w:rPr>
                <w:rFonts w:ascii="Times New Roman" w:hAnsi="Times New Roman" w:eastAsia="Times New Roman" w:cs="Times New Roman"/>
                <w:sz w:val="20"/>
                <w:szCs w:val="20"/>
                <w:spacing w:val="9"/>
              </w:rPr>
              <w:t>200</w:t>
            </w:r>
          </w:p>
        </w:tc>
        <w:tc>
          <w:tcPr>
            <w:tcW w:w="790" w:type="dxa"/>
            <w:vAlign w:val="top"/>
          </w:tcPr>
          <w:p>
            <w:pPr>
              <w:pStyle w:val="TableText"/>
              <w:ind w:left="321"/>
              <w:spacing w:before="69" w:line="229" w:lineRule="auto"/>
              <w:rPr/>
            </w:pPr>
            <w:r>
              <w:rPr/>
              <w:t>台</w:t>
            </w:r>
          </w:p>
        </w:tc>
        <w:tc>
          <w:tcPr>
            <w:tcW w:w="770" w:type="dxa"/>
            <w:vAlign w:val="top"/>
          </w:tcPr>
          <w:p>
            <w:pPr>
              <w:ind w:left="35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ind w:left="193"/>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7.5</w:t>
            </w:r>
            <w:r>
              <w:rPr>
                <w:rFonts w:ascii="Times New Roman" w:hAnsi="Times New Roman" w:eastAsia="Times New Roman" w:cs="Times New Roman"/>
                <w:sz w:val="20"/>
                <w:szCs w:val="20"/>
              </w:rPr>
              <w:t>kW</w:t>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239" w:type="dxa"/>
            <w:vAlign w:val="top"/>
          </w:tcPr>
          <w:p>
            <w:pPr>
              <w:pStyle w:val="TableText"/>
              <w:ind w:left="340"/>
              <w:spacing w:before="71" w:line="228" w:lineRule="auto"/>
              <w:rPr/>
            </w:pPr>
            <w:r>
              <w:rPr>
                <w:spacing w:val="2"/>
              </w:rPr>
              <w:t>齿轮减速机</w:t>
            </w:r>
            <w:r>
              <w:rPr>
                <w:rFonts w:ascii="Times New Roman" w:hAnsi="Times New Roman" w:eastAsia="Times New Roman" w:cs="Times New Roman"/>
                <w:spacing w:val="2"/>
              </w:rPr>
              <w:t>+</w:t>
            </w:r>
            <w:r>
              <w:rPr>
                <w:rFonts w:ascii="Times New Roman" w:hAnsi="Times New Roman" w:eastAsia="Times New Roman" w:cs="Times New Roman"/>
                <w:spacing w:val="-12"/>
              </w:rPr>
              <w:t xml:space="preserve"> </w:t>
            </w:r>
            <w:r>
              <w:rPr>
                <w:spacing w:val="2"/>
              </w:rPr>
              <w:t>电机</w:t>
            </w:r>
          </w:p>
        </w:tc>
        <w:tc>
          <w:tcPr>
            <w:tcW w:w="2059" w:type="dxa"/>
            <w:vAlign w:val="top"/>
          </w:tcPr>
          <w:p>
            <w:pPr>
              <w:ind w:left="774"/>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45</w:t>
            </w:r>
            <w:r>
              <w:rPr>
                <w:rFonts w:ascii="Times New Roman" w:hAnsi="Times New Roman" w:eastAsia="Times New Roman" w:cs="Times New Roman"/>
                <w:sz w:val="20"/>
                <w:szCs w:val="20"/>
              </w:rPr>
              <w:t>kW</w:t>
            </w:r>
          </w:p>
        </w:tc>
        <w:tc>
          <w:tcPr>
            <w:tcW w:w="790" w:type="dxa"/>
            <w:vAlign w:val="top"/>
          </w:tcPr>
          <w:p>
            <w:pPr>
              <w:pStyle w:val="TableText"/>
              <w:ind w:left="321"/>
              <w:spacing w:before="71" w:line="229" w:lineRule="auto"/>
              <w:rPr/>
            </w:pPr>
            <w:r>
              <w:rPr/>
              <w:t>台</w:t>
            </w:r>
          </w:p>
        </w:tc>
        <w:tc>
          <w:tcPr>
            <w:tcW w:w="770" w:type="dxa"/>
            <w:vAlign w:val="top"/>
          </w:tcPr>
          <w:p>
            <w:pPr>
              <w:ind w:left="35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239" w:type="dxa"/>
            <w:vAlign w:val="top"/>
          </w:tcPr>
          <w:p>
            <w:pPr>
              <w:pStyle w:val="TableText"/>
              <w:ind w:left="815"/>
              <w:spacing w:before="71" w:line="231" w:lineRule="auto"/>
              <w:rPr/>
            </w:pPr>
            <w:r>
              <w:rPr>
                <w:spacing w:val="5"/>
              </w:rPr>
              <w:t>搅拌机</w:t>
            </w:r>
          </w:p>
        </w:tc>
        <w:tc>
          <w:tcPr>
            <w:tcW w:w="2059" w:type="dxa"/>
            <w:vAlign w:val="top"/>
          </w:tcPr>
          <w:p>
            <w:pPr>
              <w:pStyle w:val="TableText"/>
              <w:ind w:left="285"/>
              <w:spacing w:before="71" w:line="230" w:lineRule="auto"/>
              <w:rPr>
                <w:rFonts w:ascii="Times New Roman" w:hAnsi="Times New Roman" w:eastAsia="Times New Roman" w:cs="Times New Roman"/>
              </w:rPr>
            </w:pPr>
            <w:r>
              <w:rPr>
                <w:spacing w:val="3"/>
              </w:rPr>
              <w:t>生产能力</w:t>
            </w:r>
            <w:r>
              <w:rPr>
                <w:spacing w:val="-35"/>
              </w:rPr>
              <w:t xml:space="preserve"> </w:t>
            </w:r>
            <w:r>
              <w:rPr>
                <w:rFonts w:ascii="Times New Roman" w:hAnsi="Times New Roman" w:eastAsia="Times New Roman" w:cs="Times New Roman"/>
                <w:spacing w:val="3"/>
              </w:rPr>
              <w:t>50m3/h</w:t>
            </w:r>
          </w:p>
        </w:tc>
        <w:tc>
          <w:tcPr>
            <w:tcW w:w="790" w:type="dxa"/>
            <w:vAlign w:val="top"/>
          </w:tcPr>
          <w:p>
            <w:pPr>
              <w:pStyle w:val="TableText"/>
              <w:ind w:left="321"/>
              <w:spacing w:before="71" w:line="229" w:lineRule="auto"/>
              <w:rPr/>
            </w:pPr>
            <w:r>
              <w:rPr/>
              <w:t>台</w:t>
            </w:r>
          </w:p>
        </w:tc>
        <w:tc>
          <w:tcPr>
            <w:tcW w:w="770" w:type="dxa"/>
            <w:vAlign w:val="top"/>
          </w:tcPr>
          <w:p>
            <w:pPr>
              <w:ind w:left="353"/>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239" w:type="dxa"/>
            <w:vAlign w:val="top"/>
          </w:tcPr>
          <w:p>
            <w:pPr>
              <w:pStyle w:val="TableText"/>
              <w:ind w:left="817"/>
              <w:spacing w:before="73" w:line="231" w:lineRule="auto"/>
              <w:rPr/>
            </w:pPr>
            <w:r>
              <w:rPr>
                <w:spacing w:val="4"/>
              </w:rPr>
              <w:t>清水泵</w:t>
            </w:r>
          </w:p>
        </w:tc>
        <w:tc>
          <w:tcPr>
            <w:tcW w:w="2059" w:type="dxa"/>
            <w:vAlign w:val="top"/>
          </w:tcPr>
          <w:p>
            <w:pPr>
              <w:ind w:left="49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5"/>
              </w:rPr>
              <w:t>50-32-250</w:t>
            </w:r>
          </w:p>
        </w:tc>
        <w:tc>
          <w:tcPr>
            <w:tcW w:w="790" w:type="dxa"/>
            <w:vAlign w:val="top"/>
          </w:tcPr>
          <w:p>
            <w:pPr>
              <w:pStyle w:val="TableText"/>
              <w:ind w:left="321"/>
              <w:spacing w:before="74" w:line="229" w:lineRule="auto"/>
              <w:rPr/>
            </w:pPr>
            <w:r>
              <w:rPr/>
              <w:t>台</w:t>
            </w:r>
          </w:p>
        </w:tc>
        <w:tc>
          <w:tcPr>
            <w:tcW w:w="770" w:type="dxa"/>
            <w:vAlign w:val="top"/>
          </w:tcPr>
          <w:p>
            <w:pPr>
              <w:ind w:left="333"/>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239" w:type="dxa"/>
            <w:vAlign w:val="top"/>
          </w:tcPr>
          <w:p>
            <w:pPr>
              <w:pStyle w:val="TableText"/>
              <w:ind w:left="920"/>
              <w:spacing w:before="76" w:line="229" w:lineRule="auto"/>
              <w:rPr/>
            </w:pPr>
            <w:r>
              <w:rPr>
                <w:spacing w:val="2"/>
              </w:rPr>
              <w:t>水箱</w:t>
            </w:r>
          </w:p>
        </w:tc>
        <w:tc>
          <w:tcPr>
            <w:tcW w:w="2059" w:type="dxa"/>
            <w:vAlign w:val="top"/>
          </w:tcPr>
          <w:p>
            <w:pPr>
              <w:ind w:left="843"/>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4m3</w:t>
            </w:r>
          </w:p>
        </w:tc>
        <w:tc>
          <w:tcPr>
            <w:tcW w:w="790" w:type="dxa"/>
            <w:vAlign w:val="top"/>
          </w:tcPr>
          <w:p>
            <w:pPr>
              <w:pStyle w:val="TableText"/>
              <w:ind w:left="303"/>
              <w:spacing w:before="75" w:line="232" w:lineRule="auto"/>
              <w:rPr/>
            </w:pPr>
            <w:r>
              <w:rPr/>
              <w:t>个</w:t>
            </w:r>
          </w:p>
        </w:tc>
        <w:tc>
          <w:tcPr>
            <w:tcW w:w="770" w:type="dxa"/>
            <w:vAlign w:val="top"/>
          </w:tcPr>
          <w:p>
            <w:pPr>
              <w:ind w:left="353"/>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239" w:type="dxa"/>
            <w:vAlign w:val="top"/>
          </w:tcPr>
          <w:p>
            <w:pPr>
              <w:pStyle w:val="TableText"/>
              <w:ind w:left="826"/>
              <w:spacing w:before="78" w:line="231" w:lineRule="auto"/>
              <w:rPr/>
            </w:pPr>
            <w:r>
              <w:rPr>
                <w:spacing w:val="1"/>
              </w:rPr>
              <w:t>空压机</w:t>
            </w:r>
          </w:p>
        </w:tc>
        <w:tc>
          <w:tcPr>
            <w:tcW w:w="2059" w:type="dxa"/>
            <w:vAlign w:val="top"/>
          </w:tcPr>
          <w:p>
            <w:pPr>
              <w:ind w:left="636"/>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W-0.8/10</w:t>
            </w:r>
          </w:p>
        </w:tc>
        <w:tc>
          <w:tcPr>
            <w:tcW w:w="790" w:type="dxa"/>
            <w:vAlign w:val="top"/>
          </w:tcPr>
          <w:p>
            <w:pPr>
              <w:pStyle w:val="TableText"/>
              <w:ind w:left="303"/>
              <w:spacing w:before="77" w:line="232" w:lineRule="auto"/>
              <w:rPr/>
            </w:pPr>
            <w:r>
              <w:rPr/>
              <w:t>个</w:t>
            </w:r>
          </w:p>
        </w:tc>
        <w:tc>
          <w:tcPr>
            <w:tcW w:w="770" w:type="dxa"/>
            <w:vAlign w:val="top"/>
          </w:tcPr>
          <w:p>
            <w:pPr>
              <w:ind w:left="353"/>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239" w:type="dxa"/>
            <w:vAlign w:val="top"/>
          </w:tcPr>
          <w:p>
            <w:pPr>
              <w:pStyle w:val="TableText"/>
              <w:ind w:left="501"/>
              <w:spacing w:before="80" w:line="230" w:lineRule="auto"/>
              <w:rPr/>
            </w:pPr>
            <w:r>
              <w:rPr>
                <w:spacing w:val="7"/>
              </w:rPr>
              <w:t>集中控制系统</w:t>
            </w:r>
          </w:p>
        </w:tc>
        <w:tc>
          <w:tcPr>
            <w:tcW w:w="2059" w:type="dxa"/>
            <w:vAlign w:val="top"/>
          </w:tcPr>
          <w:p>
            <w:pPr>
              <w:ind w:left="508"/>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LWBZ</w:t>
            </w:r>
            <w:r>
              <w:rPr>
                <w:rFonts w:ascii="Times New Roman" w:hAnsi="Times New Roman" w:eastAsia="Times New Roman" w:cs="Times New Roman"/>
                <w:sz w:val="20"/>
                <w:szCs w:val="20"/>
                <w:spacing w:val="7"/>
              </w:rPr>
              <w:t>300A</w:t>
            </w:r>
          </w:p>
        </w:tc>
        <w:tc>
          <w:tcPr>
            <w:tcW w:w="790" w:type="dxa"/>
            <w:vAlign w:val="top"/>
          </w:tcPr>
          <w:p>
            <w:pPr>
              <w:pStyle w:val="TableText"/>
              <w:ind w:left="302"/>
              <w:spacing w:before="80" w:line="233" w:lineRule="auto"/>
              <w:rPr/>
            </w:pPr>
            <w:r>
              <w:rPr/>
              <w:t>套</w:t>
            </w:r>
          </w:p>
        </w:tc>
        <w:tc>
          <w:tcPr>
            <w:tcW w:w="770" w:type="dxa"/>
            <w:vAlign w:val="top"/>
          </w:tcPr>
          <w:p>
            <w:pPr>
              <w:ind w:left="353"/>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239" w:type="dxa"/>
            <w:vAlign w:val="top"/>
          </w:tcPr>
          <w:p>
            <w:pPr>
              <w:pStyle w:val="TableText"/>
              <w:ind w:left="396"/>
              <w:spacing w:before="82" w:line="229" w:lineRule="auto"/>
              <w:rPr/>
            </w:pPr>
            <w:r>
              <w:rPr>
                <w:spacing w:val="7"/>
              </w:rPr>
              <w:t>控制柜、控制台</w:t>
            </w:r>
          </w:p>
        </w:tc>
        <w:tc>
          <w:tcPr>
            <w:tcW w:w="2059" w:type="dxa"/>
            <w:vAlign w:val="top"/>
          </w:tcPr>
          <w:p>
            <w:pPr>
              <w:ind w:left="1000"/>
              <w:spacing w:before="207"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0" w:type="dxa"/>
            <w:vAlign w:val="top"/>
          </w:tcPr>
          <w:p>
            <w:pPr>
              <w:pStyle w:val="TableText"/>
              <w:ind w:left="303"/>
              <w:spacing w:before="82" w:line="231" w:lineRule="auto"/>
              <w:rPr/>
            </w:pPr>
            <w:r>
              <w:rPr/>
              <w:t>个</w:t>
            </w:r>
          </w:p>
        </w:tc>
        <w:tc>
          <w:tcPr>
            <w:tcW w:w="770" w:type="dxa"/>
            <w:vAlign w:val="top"/>
          </w:tcPr>
          <w:p>
            <w:pPr>
              <w:ind w:left="35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94"/>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239" w:type="dxa"/>
            <w:vAlign w:val="top"/>
          </w:tcPr>
          <w:p>
            <w:pPr>
              <w:pStyle w:val="TableText"/>
              <w:ind w:left="816"/>
              <w:spacing w:before="83" w:line="230" w:lineRule="auto"/>
              <w:rPr/>
            </w:pPr>
            <w:r>
              <w:rPr>
                <w:spacing w:val="4"/>
              </w:rPr>
              <w:t>控制室</w:t>
            </w:r>
          </w:p>
        </w:tc>
        <w:tc>
          <w:tcPr>
            <w:tcW w:w="2059" w:type="dxa"/>
            <w:vAlign w:val="top"/>
          </w:tcPr>
          <w:p>
            <w:pPr>
              <w:ind w:left="277"/>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3.3m×2.</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spacing w:val="2"/>
              </w:rPr>
              <w:t>1m×2.4m</w:t>
            </w:r>
          </w:p>
        </w:tc>
        <w:tc>
          <w:tcPr>
            <w:tcW w:w="790" w:type="dxa"/>
            <w:vAlign w:val="top"/>
          </w:tcPr>
          <w:p>
            <w:pPr>
              <w:pStyle w:val="TableText"/>
              <w:ind w:left="303"/>
              <w:spacing w:before="82" w:line="231" w:lineRule="auto"/>
              <w:rPr/>
            </w:pPr>
            <w:r>
              <w:rPr/>
              <w:t>个</w:t>
            </w:r>
          </w:p>
        </w:tc>
        <w:tc>
          <w:tcPr>
            <w:tcW w:w="770" w:type="dxa"/>
            <w:vAlign w:val="top"/>
          </w:tcPr>
          <w:p>
            <w:pPr>
              <w:ind w:left="35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43" w:hRule="atLeast"/>
        </w:trPr>
        <w:tc>
          <w:tcPr>
            <w:tcW w:w="752" w:type="dxa"/>
            <w:vAlign w:val="top"/>
            <w:tcBorders>
              <w:left w:val="nil"/>
            </w:tcBorders>
          </w:tcPr>
          <w:p>
            <w:pPr>
              <w:ind w:left="274"/>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239" w:type="dxa"/>
            <w:vAlign w:val="top"/>
          </w:tcPr>
          <w:p>
            <w:pPr>
              <w:pStyle w:val="TableText"/>
              <w:ind w:left="826"/>
              <w:spacing w:before="86" w:line="228" w:lineRule="auto"/>
              <w:rPr/>
            </w:pPr>
            <w:r>
              <w:rPr>
                <w:spacing w:val="1"/>
              </w:rPr>
              <w:t>空调机</w:t>
            </w:r>
          </w:p>
        </w:tc>
        <w:tc>
          <w:tcPr>
            <w:tcW w:w="2059" w:type="dxa"/>
            <w:vAlign w:val="top"/>
          </w:tcPr>
          <w:p>
            <w:pPr>
              <w:ind w:left="1000"/>
              <w:spacing w:before="212"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790" w:type="dxa"/>
            <w:vAlign w:val="top"/>
          </w:tcPr>
          <w:p>
            <w:pPr>
              <w:pStyle w:val="TableText"/>
              <w:ind w:left="303"/>
              <w:spacing w:before="86" w:line="228" w:lineRule="auto"/>
              <w:rPr/>
            </w:pPr>
            <w:r>
              <w:rPr/>
              <w:t>个</w:t>
            </w:r>
          </w:p>
        </w:tc>
        <w:tc>
          <w:tcPr>
            <w:tcW w:w="770" w:type="dxa"/>
            <w:vAlign w:val="top"/>
          </w:tcPr>
          <w:p>
            <w:pPr>
              <w:ind w:left="35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Pr>
          <w:p>
            <w:pPr>
              <w:rPr>
                <w:rFonts w:ascii="Arial"/>
                <w:sz w:val="21"/>
              </w:rPr>
            </w:pPr>
            <w:r/>
          </w:p>
        </w:tc>
        <w:tc>
          <w:tcPr>
            <w:tcW w:w="1358" w:type="dxa"/>
            <w:vAlign w:val="top"/>
            <w:tcBorders>
              <w:right w:val="nil"/>
            </w:tcBorders>
          </w:tcPr>
          <w:p>
            <w:pPr>
              <w:rPr>
                <w:rFonts w:ascii="Arial"/>
                <w:sz w:val="21"/>
              </w:rPr>
            </w:pPr>
            <w:r/>
          </w:p>
        </w:tc>
      </w:tr>
      <w:tr>
        <w:trPr>
          <w:trHeight w:val="367" w:hRule="atLeast"/>
        </w:trPr>
        <w:tc>
          <w:tcPr>
            <w:tcW w:w="752" w:type="dxa"/>
            <w:vAlign w:val="top"/>
            <w:tcBorders>
              <w:left w:val="nil"/>
              <w:bottom w:val="single" w:color="000000" w:sz="10" w:space="0"/>
            </w:tcBorders>
          </w:tcPr>
          <w:p>
            <w:pPr>
              <w:ind w:left="27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239" w:type="dxa"/>
            <w:vAlign w:val="top"/>
            <w:tcBorders>
              <w:bottom w:val="single" w:color="000000" w:sz="10" w:space="0"/>
            </w:tcBorders>
          </w:tcPr>
          <w:p>
            <w:pPr>
              <w:pStyle w:val="TableText"/>
              <w:ind w:left="816"/>
              <w:spacing w:before="87" w:line="231" w:lineRule="auto"/>
              <w:rPr/>
            </w:pPr>
            <w:r>
              <w:rPr>
                <w:spacing w:val="4"/>
              </w:rPr>
              <w:t>渣浆泵</w:t>
            </w:r>
          </w:p>
        </w:tc>
        <w:tc>
          <w:tcPr>
            <w:tcW w:w="2059" w:type="dxa"/>
            <w:vAlign w:val="top"/>
            <w:tcBorders>
              <w:bottom w:val="single" w:color="000000" w:sz="10" w:space="0"/>
            </w:tcBorders>
          </w:tcPr>
          <w:p>
            <w:pPr>
              <w:rPr>
                <w:rFonts w:ascii="Arial"/>
                <w:sz w:val="21"/>
              </w:rPr>
            </w:pPr>
            <w:r/>
          </w:p>
        </w:tc>
        <w:tc>
          <w:tcPr>
            <w:tcW w:w="790" w:type="dxa"/>
            <w:vAlign w:val="top"/>
            <w:tcBorders>
              <w:bottom w:val="single" w:color="000000" w:sz="10" w:space="0"/>
            </w:tcBorders>
          </w:tcPr>
          <w:p>
            <w:pPr>
              <w:pStyle w:val="TableText"/>
              <w:ind w:left="303"/>
              <w:spacing w:before="87" w:line="232" w:lineRule="auto"/>
              <w:rPr/>
            </w:pPr>
            <w:r>
              <w:rPr/>
              <w:t>个</w:t>
            </w:r>
          </w:p>
        </w:tc>
        <w:tc>
          <w:tcPr>
            <w:tcW w:w="770" w:type="dxa"/>
            <w:vAlign w:val="top"/>
            <w:tcBorders>
              <w:bottom w:val="single" w:color="000000" w:sz="10" w:space="0"/>
            </w:tcBorders>
          </w:tcPr>
          <w:p>
            <w:pPr>
              <w:ind w:left="35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0" w:type="dxa"/>
            <w:vAlign w:val="top"/>
            <w:tcBorders>
              <w:bottom w:val="single" w:color="000000" w:sz="10" w:space="0"/>
            </w:tcBorders>
          </w:tcPr>
          <w:p>
            <w:pPr>
              <w:ind w:left="219"/>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55</w:t>
            </w:r>
            <w:r>
              <w:rPr>
                <w:rFonts w:ascii="Times New Roman" w:hAnsi="Times New Roman" w:eastAsia="Times New Roman" w:cs="Times New Roman"/>
                <w:sz w:val="20"/>
                <w:szCs w:val="20"/>
              </w:rPr>
              <w:t>kW</w:t>
            </w:r>
          </w:p>
        </w:tc>
        <w:tc>
          <w:tcPr>
            <w:tcW w:w="1358" w:type="dxa"/>
            <w:vAlign w:val="top"/>
            <w:tcBorders>
              <w:right w:val="nil"/>
              <w:bottom w:val="single" w:color="000000" w:sz="10" w:space="0"/>
            </w:tcBorders>
          </w:tcPr>
          <w:p>
            <w:pPr>
              <w:rPr>
                <w:rFonts w:ascii="Arial"/>
                <w:sz w:val="21"/>
              </w:rPr>
            </w:pPr>
            <w:r/>
          </w:p>
        </w:tc>
      </w:tr>
    </w:tbl>
    <w:p>
      <w:pPr>
        <w:pStyle w:val="BodyText"/>
        <w:spacing w:line="362" w:lineRule="auto"/>
        <w:rPr/>
      </w:pPr>
      <w:r/>
    </w:p>
    <w:p>
      <w:pPr>
        <w:ind w:left="184"/>
        <w:spacing w:before="91" w:line="222" w:lineRule="auto"/>
        <w:outlineLvl w:val="1"/>
        <w:rPr>
          <w:rFonts w:ascii="FangSong" w:hAnsi="FangSong" w:eastAsia="FangSong" w:cs="FangSong"/>
          <w:sz w:val="28"/>
          <w:szCs w:val="28"/>
        </w:rPr>
      </w:pPr>
      <w:bookmarkStart w:name="bookmark155" w:id="214"/>
      <w:bookmarkEnd w:id="214"/>
      <w:bookmarkStart w:name="bookmark154" w:id="215"/>
      <w:bookmarkEnd w:id="215"/>
      <w:r>
        <w:rPr>
          <w:rFonts w:ascii="Times New Roman" w:hAnsi="Times New Roman" w:eastAsia="Times New Roman" w:cs="Times New Roman"/>
          <w:sz w:val="28"/>
          <w:szCs w:val="28"/>
          <w:b/>
          <w:bCs/>
          <w:spacing w:val="-5"/>
        </w:rPr>
        <w:t>4.8</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5"/>
        </w:rPr>
        <w:t>主要经济技术指标</w:t>
      </w:r>
    </w:p>
    <w:p>
      <w:pPr>
        <w:ind w:left="674"/>
        <w:spacing w:before="203" w:line="221" w:lineRule="auto"/>
        <w:rPr>
          <w:rFonts w:ascii="FangSong" w:hAnsi="FangSong" w:eastAsia="FangSong" w:cs="FangSong"/>
          <w:sz w:val="24"/>
          <w:szCs w:val="24"/>
        </w:rPr>
      </w:pPr>
      <w:r>
        <w:rPr>
          <w:rFonts w:ascii="FangSong" w:hAnsi="FangSong" w:eastAsia="FangSong" w:cs="FangSong"/>
          <w:sz w:val="24"/>
          <w:szCs w:val="24"/>
          <w:spacing w:val="-1"/>
        </w:rPr>
        <w:t>本项目主要经济技术指标情况见表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4.8-</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p>
    <w:p>
      <w:pPr>
        <w:ind w:left="2636"/>
        <w:spacing w:before="178"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4.8-1  </w:t>
      </w:r>
      <w:r>
        <w:rPr>
          <w:rFonts w:ascii="FangSong" w:hAnsi="FangSong" w:eastAsia="FangSong" w:cs="FangSong"/>
          <w:sz w:val="24"/>
          <w:szCs w:val="24"/>
          <w:b/>
          <w:bCs/>
          <w:spacing w:val="-3"/>
        </w:rPr>
        <w:t>本项目主要经济技术指标表</w:t>
      </w:r>
    </w:p>
    <w:p>
      <w:pPr>
        <w:spacing w:line="144" w:lineRule="exact"/>
        <w:rPr/>
      </w:pPr>
      <w:r/>
    </w:p>
    <w:tbl>
      <w:tblPr>
        <w:tblStyle w:val="TableNormal"/>
        <w:tblW w:w="905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3"/>
        <w:gridCol w:w="2478"/>
        <w:gridCol w:w="1566"/>
        <w:gridCol w:w="1713"/>
        <w:gridCol w:w="2430"/>
      </w:tblGrid>
      <w:tr>
        <w:trPr>
          <w:trHeight w:val="348" w:hRule="atLeast"/>
        </w:trPr>
        <w:tc>
          <w:tcPr>
            <w:tcW w:w="863" w:type="dxa"/>
            <w:vAlign w:val="top"/>
            <w:tcBorders>
              <w:left w:val="nil"/>
              <w:top w:val="single" w:color="000000" w:sz="10" w:space="0"/>
            </w:tcBorders>
          </w:tcPr>
          <w:p>
            <w:pPr>
              <w:pStyle w:val="TableText"/>
              <w:ind w:left="234"/>
              <w:spacing w:before="68" w:line="231" w:lineRule="auto"/>
              <w:rPr/>
            </w:pPr>
            <w:r>
              <w:rPr>
                <w:spacing w:val="2"/>
              </w:rPr>
              <w:t>序号</w:t>
            </w:r>
          </w:p>
        </w:tc>
        <w:tc>
          <w:tcPr>
            <w:tcW w:w="2478" w:type="dxa"/>
            <w:vAlign w:val="top"/>
            <w:tcBorders>
              <w:top w:val="single" w:color="000000" w:sz="10" w:space="0"/>
            </w:tcBorders>
          </w:tcPr>
          <w:p>
            <w:pPr>
              <w:pStyle w:val="TableText"/>
              <w:ind w:left="672"/>
              <w:spacing w:before="69" w:line="229" w:lineRule="auto"/>
              <w:rPr/>
            </w:pPr>
            <w:r>
              <w:rPr>
                <w:spacing w:val="-4"/>
              </w:rPr>
              <w:t>指</w:t>
            </w:r>
            <w:r>
              <w:rPr>
                <w:spacing w:val="18"/>
              </w:rPr>
              <w:t xml:space="preserve"> </w:t>
            </w:r>
            <w:r>
              <w:rPr>
                <w:spacing w:val="-4"/>
              </w:rPr>
              <w:t>标</w:t>
            </w:r>
            <w:r>
              <w:rPr>
                <w:spacing w:val="21"/>
              </w:rPr>
              <w:t xml:space="preserve"> </w:t>
            </w:r>
            <w:r>
              <w:rPr>
                <w:spacing w:val="-4"/>
              </w:rPr>
              <w:t>名</w:t>
            </w:r>
            <w:r>
              <w:rPr>
                <w:spacing w:val="21"/>
              </w:rPr>
              <w:t xml:space="preserve"> </w:t>
            </w:r>
            <w:r>
              <w:rPr>
                <w:spacing w:val="-4"/>
              </w:rPr>
              <w:t>称</w:t>
            </w:r>
          </w:p>
        </w:tc>
        <w:tc>
          <w:tcPr>
            <w:tcW w:w="1566" w:type="dxa"/>
            <w:vAlign w:val="top"/>
            <w:tcBorders>
              <w:top w:val="single" w:color="000000" w:sz="10" w:space="0"/>
            </w:tcBorders>
          </w:tcPr>
          <w:p>
            <w:pPr>
              <w:pStyle w:val="TableText"/>
              <w:ind w:left="536"/>
              <w:spacing w:before="69" w:line="229" w:lineRule="auto"/>
              <w:rPr/>
            </w:pPr>
            <w:r>
              <w:rPr>
                <w:spacing w:val="-5"/>
              </w:rPr>
              <w:t>单</w:t>
            </w:r>
            <w:r>
              <w:rPr>
                <w:spacing w:val="20"/>
              </w:rPr>
              <w:t xml:space="preserve"> </w:t>
            </w:r>
            <w:r>
              <w:rPr>
                <w:spacing w:val="-5"/>
              </w:rPr>
              <w:t>位</w:t>
            </w:r>
          </w:p>
        </w:tc>
        <w:tc>
          <w:tcPr>
            <w:tcW w:w="1713" w:type="dxa"/>
            <w:vAlign w:val="top"/>
            <w:tcBorders>
              <w:top w:val="single" w:color="000000" w:sz="10" w:space="0"/>
            </w:tcBorders>
          </w:tcPr>
          <w:p>
            <w:pPr>
              <w:pStyle w:val="TableText"/>
              <w:ind w:left="605"/>
              <w:spacing w:before="68" w:line="231" w:lineRule="auto"/>
              <w:rPr/>
            </w:pPr>
            <w:r>
              <w:rPr>
                <w:spacing w:val="-3"/>
              </w:rPr>
              <w:t>指</w:t>
            </w:r>
            <w:r>
              <w:rPr>
                <w:spacing w:val="18"/>
              </w:rPr>
              <w:t xml:space="preserve"> </w:t>
            </w:r>
            <w:r>
              <w:rPr>
                <w:spacing w:val="-3"/>
              </w:rPr>
              <w:t>标</w:t>
            </w:r>
          </w:p>
        </w:tc>
        <w:tc>
          <w:tcPr>
            <w:tcW w:w="2430" w:type="dxa"/>
            <w:vAlign w:val="top"/>
            <w:tcBorders>
              <w:right w:val="nil"/>
              <w:top w:val="single" w:color="000000" w:sz="10" w:space="0"/>
            </w:tcBorders>
          </w:tcPr>
          <w:p>
            <w:pPr>
              <w:pStyle w:val="TableText"/>
              <w:ind w:left="912"/>
              <w:spacing w:before="69" w:line="233" w:lineRule="auto"/>
              <w:rPr/>
            </w:pPr>
            <w:r>
              <w:rPr>
                <w:spacing w:val="-4"/>
              </w:rPr>
              <w:t>备</w:t>
            </w:r>
            <w:r>
              <w:rPr>
                <w:spacing w:val="15"/>
              </w:rPr>
              <w:t xml:space="preserve">  </w:t>
            </w:r>
            <w:r>
              <w:rPr>
                <w:spacing w:val="-4"/>
              </w:rPr>
              <w:t>注</w:t>
            </w:r>
          </w:p>
        </w:tc>
      </w:tr>
      <w:tr>
        <w:trPr>
          <w:trHeight w:val="343" w:hRule="atLeast"/>
        </w:trPr>
        <w:tc>
          <w:tcPr>
            <w:tcW w:w="863" w:type="dxa"/>
            <w:vAlign w:val="top"/>
            <w:tcBorders>
              <w:left w:val="nil"/>
            </w:tcBorders>
          </w:tcPr>
          <w:p>
            <w:pPr>
              <w:pStyle w:val="TableText"/>
              <w:ind w:left="343"/>
              <w:spacing w:before="150" w:line="150" w:lineRule="exact"/>
              <w:rPr/>
            </w:pPr>
            <w:r>
              <w:rPr>
                <w:position w:val="-3"/>
              </w:rPr>
              <w:t>一</w:t>
            </w:r>
          </w:p>
        </w:tc>
        <w:tc>
          <w:tcPr>
            <w:tcW w:w="2478" w:type="dxa"/>
            <w:vAlign w:val="top"/>
          </w:tcPr>
          <w:p>
            <w:pPr>
              <w:pStyle w:val="TableText"/>
              <w:ind w:left="831"/>
              <w:spacing w:before="66" w:line="234" w:lineRule="auto"/>
              <w:rPr/>
            </w:pPr>
            <w:r>
              <w:rPr>
                <w:spacing w:val="-3"/>
              </w:rPr>
              <w:t>地</w:t>
            </w:r>
            <w:r>
              <w:rPr>
                <w:spacing w:val="9"/>
              </w:rPr>
              <w:t xml:space="preserve">    </w:t>
            </w:r>
            <w:r>
              <w:rPr>
                <w:spacing w:val="-3"/>
              </w:rPr>
              <w:t>质</w:t>
            </w:r>
          </w:p>
        </w:tc>
        <w:tc>
          <w:tcPr>
            <w:tcW w:w="1566" w:type="dxa"/>
            <w:vAlign w:val="top"/>
          </w:tcPr>
          <w:p>
            <w:pPr>
              <w:rPr>
                <w:rFonts w:ascii="Arial"/>
                <w:sz w:val="21"/>
              </w:rPr>
            </w:pPr>
            <w:r/>
          </w:p>
        </w:tc>
        <w:tc>
          <w:tcPr>
            <w:tcW w:w="1713" w:type="dxa"/>
            <w:vAlign w:val="top"/>
          </w:tcPr>
          <w:p>
            <w:pPr>
              <w:rPr>
                <w:rFonts w:ascii="Arial"/>
                <w:sz w:val="21"/>
              </w:rPr>
            </w:pPr>
            <w:r/>
          </w:p>
        </w:tc>
        <w:tc>
          <w:tcPr>
            <w:tcW w:w="2430" w:type="dxa"/>
            <w:vAlign w:val="top"/>
            <w:tcBorders>
              <w:right w:val="nil"/>
            </w:tcBorders>
          </w:tcPr>
          <w:p>
            <w:pPr>
              <w:rPr>
                <w:rFonts w:ascii="Arial"/>
                <w:sz w:val="21"/>
              </w:rPr>
            </w:pPr>
            <w:r/>
          </w:p>
        </w:tc>
      </w:tr>
      <w:tr>
        <w:trPr>
          <w:trHeight w:val="343" w:hRule="atLeast"/>
        </w:trPr>
        <w:tc>
          <w:tcPr>
            <w:tcW w:w="863" w:type="dxa"/>
            <w:vAlign w:val="top"/>
            <w:vMerge w:val="restart"/>
            <w:tcBorders>
              <w:left w:val="nil"/>
              <w:bottom w:val="nil"/>
            </w:tcBorders>
          </w:tcPr>
          <w:p>
            <w:pPr>
              <w:spacing w:line="395" w:lineRule="auto"/>
              <w:rPr>
                <w:rFonts w:ascii="Arial"/>
                <w:sz w:val="21"/>
              </w:rPr>
            </w:pPr>
            <w:r/>
          </w:p>
          <w:p>
            <w:pPr>
              <w:ind w:left="40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vMerge w:val="restart"/>
            <w:tcBorders>
              <w:bottom w:val="nil"/>
            </w:tcBorders>
          </w:tcPr>
          <w:p>
            <w:pPr>
              <w:spacing w:line="351" w:lineRule="auto"/>
              <w:rPr>
                <w:rFonts w:ascii="Arial"/>
                <w:sz w:val="21"/>
              </w:rPr>
            </w:pPr>
            <w:r/>
          </w:p>
          <w:p>
            <w:pPr>
              <w:pStyle w:val="TableText"/>
              <w:ind w:left="590"/>
              <w:spacing w:before="65" w:line="232" w:lineRule="auto"/>
              <w:rPr/>
            </w:pPr>
            <w:r>
              <w:rPr>
                <w:spacing w:val="6"/>
              </w:rPr>
              <w:t>矿产资源</w:t>
            </w:r>
            <w:r>
              <w:rPr>
                <w:rFonts w:ascii="Times New Roman" w:hAnsi="Times New Roman" w:eastAsia="Times New Roman" w:cs="Times New Roman"/>
                <w:spacing w:val="6"/>
              </w:rPr>
              <w:t>/</w:t>
            </w:r>
            <w:r>
              <w:rPr>
                <w:spacing w:val="6"/>
              </w:rPr>
              <w:t>储量</w:t>
            </w:r>
          </w:p>
        </w:tc>
        <w:tc>
          <w:tcPr>
            <w:tcW w:w="1566" w:type="dxa"/>
            <w:vAlign w:val="top"/>
            <w:vMerge w:val="restart"/>
            <w:tcBorders>
              <w:bottom w:val="nil"/>
            </w:tcBorders>
          </w:tcPr>
          <w:p>
            <w:pPr>
              <w:spacing w:line="352" w:lineRule="auto"/>
              <w:rPr>
                <w:rFonts w:ascii="Arial"/>
                <w:sz w:val="21"/>
              </w:rPr>
            </w:pPr>
            <w:r/>
          </w:p>
          <w:p>
            <w:pPr>
              <w:pStyle w:val="TableText"/>
              <w:ind w:left="547"/>
              <w:spacing w:before="65" w:line="269" w:lineRule="exact"/>
              <w:rPr>
                <w:rFonts w:ascii="Times New Roman" w:hAnsi="Times New Roman" w:eastAsia="Times New Roman" w:cs="Times New Roman"/>
              </w:rPr>
            </w:pPr>
            <w:r>
              <w:rPr>
                <w:spacing w:val="-3"/>
                <w:position w:val="1"/>
              </w:rPr>
              <w:t>×</w:t>
            </w:r>
            <w:r>
              <w:rPr>
                <w:rFonts w:ascii="Times New Roman" w:hAnsi="Times New Roman" w:eastAsia="Times New Roman" w:cs="Times New Roman"/>
                <w:spacing w:val="-3"/>
                <w:position w:val="1"/>
              </w:rPr>
              <w:t>10</w:t>
            </w:r>
            <w:r>
              <w:rPr>
                <w:rFonts w:ascii="Times New Roman" w:hAnsi="Times New Roman" w:eastAsia="Times New Roman" w:cs="Times New Roman"/>
                <w:sz w:val="13"/>
                <w:szCs w:val="13"/>
                <w:spacing w:val="-3"/>
                <w:position w:val="7"/>
              </w:rPr>
              <w:t>4</w:t>
            </w:r>
            <w:r>
              <w:rPr>
                <w:rFonts w:ascii="Times New Roman" w:hAnsi="Times New Roman" w:eastAsia="Times New Roman" w:cs="Times New Roman"/>
                <w:spacing w:val="-3"/>
                <w:position w:val="1"/>
              </w:rPr>
              <w:t>t</w:t>
            </w:r>
          </w:p>
        </w:tc>
        <w:tc>
          <w:tcPr>
            <w:tcW w:w="1713" w:type="dxa"/>
            <w:vAlign w:val="top"/>
          </w:tcPr>
          <w:p>
            <w:pPr>
              <w:ind w:left="67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32.8</w:t>
            </w:r>
          </w:p>
        </w:tc>
        <w:tc>
          <w:tcPr>
            <w:tcW w:w="2430" w:type="dxa"/>
            <w:vAlign w:val="top"/>
            <w:tcBorders>
              <w:right w:val="nil"/>
            </w:tcBorders>
          </w:tcPr>
          <w:p>
            <w:pPr>
              <w:ind w:left="1061"/>
              <w:spacing w:before="1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TM</w:t>
            </w:r>
          </w:p>
        </w:tc>
      </w:tr>
      <w:tr>
        <w:trPr>
          <w:trHeight w:val="343" w:hRule="atLeast"/>
        </w:trPr>
        <w:tc>
          <w:tcPr>
            <w:tcW w:w="863" w:type="dxa"/>
            <w:vAlign w:val="top"/>
            <w:vMerge w:val="continue"/>
            <w:tcBorders>
              <w:left w:val="nil"/>
              <w:top w:val="nil"/>
              <w:bottom w:val="nil"/>
            </w:tcBorders>
          </w:tcPr>
          <w:p>
            <w:pPr>
              <w:rPr>
                <w:rFonts w:ascii="Arial"/>
                <w:sz w:val="21"/>
              </w:rPr>
            </w:pPr>
            <w:r/>
          </w:p>
        </w:tc>
        <w:tc>
          <w:tcPr>
            <w:tcW w:w="2478" w:type="dxa"/>
            <w:vAlign w:val="top"/>
            <w:vMerge w:val="continue"/>
            <w:tcBorders>
              <w:top w:val="nil"/>
              <w:bottom w:val="nil"/>
            </w:tcBorders>
          </w:tcPr>
          <w:p>
            <w:pPr>
              <w:rPr>
                <w:rFonts w:ascii="Arial"/>
                <w:sz w:val="21"/>
              </w:rPr>
            </w:pPr>
            <w:r/>
          </w:p>
        </w:tc>
        <w:tc>
          <w:tcPr>
            <w:tcW w:w="1566" w:type="dxa"/>
            <w:vAlign w:val="top"/>
            <w:vMerge w:val="continue"/>
            <w:tcBorders>
              <w:top w:val="nil"/>
              <w:bottom w:val="nil"/>
            </w:tcBorders>
          </w:tcPr>
          <w:p>
            <w:pPr>
              <w:rPr>
                <w:rFonts w:ascii="Arial"/>
                <w:sz w:val="21"/>
              </w:rPr>
            </w:pPr>
            <w:r/>
          </w:p>
        </w:tc>
        <w:tc>
          <w:tcPr>
            <w:tcW w:w="1713" w:type="dxa"/>
            <w:vAlign w:val="top"/>
          </w:tcPr>
          <w:p>
            <w:pPr>
              <w:ind w:left="69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19.5</w:t>
            </w:r>
          </w:p>
        </w:tc>
        <w:tc>
          <w:tcPr>
            <w:tcW w:w="2430" w:type="dxa"/>
            <w:vAlign w:val="top"/>
            <w:tcBorders>
              <w:right w:val="nil"/>
            </w:tcBorders>
          </w:tcPr>
          <w:p>
            <w:pPr>
              <w:ind w:left="1075"/>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KZ</w:t>
            </w:r>
          </w:p>
        </w:tc>
      </w:tr>
      <w:tr>
        <w:trPr>
          <w:trHeight w:val="344" w:hRule="atLeast"/>
        </w:trPr>
        <w:tc>
          <w:tcPr>
            <w:tcW w:w="863" w:type="dxa"/>
            <w:vAlign w:val="top"/>
            <w:vMerge w:val="continue"/>
            <w:tcBorders>
              <w:left w:val="nil"/>
              <w:top w:val="nil"/>
            </w:tcBorders>
          </w:tcPr>
          <w:p>
            <w:pPr>
              <w:rPr>
                <w:rFonts w:ascii="Arial"/>
                <w:sz w:val="21"/>
              </w:rPr>
            </w:pPr>
            <w:r/>
          </w:p>
        </w:tc>
        <w:tc>
          <w:tcPr>
            <w:tcW w:w="2478" w:type="dxa"/>
            <w:vAlign w:val="top"/>
            <w:vMerge w:val="continue"/>
            <w:tcBorders>
              <w:top w:val="nil"/>
            </w:tcBorders>
          </w:tcPr>
          <w:p>
            <w:pPr>
              <w:rPr>
                <w:rFonts w:ascii="Arial"/>
                <w:sz w:val="21"/>
              </w:rPr>
            </w:pPr>
            <w:r/>
          </w:p>
        </w:tc>
        <w:tc>
          <w:tcPr>
            <w:tcW w:w="1566" w:type="dxa"/>
            <w:vAlign w:val="top"/>
            <w:vMerge w:val="continue"/>
            <w:tcBorders>
              <w:top w:val="nil"/>
            </w:tcBorders>
          </w:tcPr>
          <w:p>
            <w:pPr>
              <w:rPr>
                <w:rFonts w:ascii="Arial"/>
                <w:sz w:val="21"/>
              </w:rPr>
            </w:pPr>
            <w:r/>
          </w:p>
        </w:tc>
        <w:tc>
          <w:tcPr>
            <w:tcW w:w="1713" w:type="dxa"/>
            <w:vAlign w:val="top"/>
          </w:tcPr>
          <w:p>
            <w:pPr>
              <w:ind w:left="67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70.9</w:t>
            </w:r>
          </w:p>
        </w:tc>
        <w:tc>
          <w:tcPr>
            <w:tcW w:w="2430" w:type="dxa"/>
            <w:vAlign w:val="top"/>
            <w:tcBorders>
              <w:right w:val="nil"/>
            </w:tcBorders>
          </w:tcPr>
          <w:p>
            <w:pPr>
              <w:ind w:left="1078"/>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TD</w:t>
            </w:r>
          </w:p>
        </w:tc>
      </w:tr>
      <w:tr>
        <w:trPr>
          <w:trHeight w:val="344" w:hRule="atLeast"/>
        </w:trPr>
        <w:tc>
          <w:tcPr>
            <w:tcW w:w="863" w:type="dxa"/>
            <w:vAlign w:val="top"/>
            <w:tcBorders>
              <w:left w:val="nil"/>
            </w:tcBorders>
          </w:tcPr>
          <w:p>
            <w:pPr>
              <w:ind w:left="38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593"/>
              <w:spacing w:before="72" w:line="230" w:lineRule="auto"/>
              <w:rPr>
                <w:rFonts w:ascii="Times New Roman" w:hAnsi="Times New Roman" w:eastAsia="Times New Roman" w:cs="Times New Roman"/>
                <w:sz w:val="13"/>
                <w:szCs w:val="13"/>
              </w:rPr>
            </w:pPr>
            <w:r>
              <w:rPr>
                <w:spacing w:val="7"/>
              </w:rPr>
              <w:t>地质品位</w:t>
            </w:r>
            <w:r>
              <w:rPr>
                <w:spacing w:val="-38"/>
              </w:rPr>
              <w:t xml:space="preserve"> </w:t>
            </w:r>
            <w:r>
              <w:rPr>
                <w:rFonts w:ascii="Times New Roman" w:hAnsi="Times New Roman" w:eastAsia="Times New Roman" w:cs="Times New Roman"/>
              </w:rPr>
              <w:t>CaF</w:t>
            </w:r>
            <w:r>
              <w:rPr>
                <w:rFonts w:ascii="Times New Roman" w:hAnsi="Times New Roman" w:eastAsia="Times New Roman" w:cs="Times New Roman"/>
                <w:sz w:val="13"/>
                <w:szCs w:val="13"/>
                <w:spacing w:val="7"/>
                <w:position w:val="-1"/>
              </w:rPr>
              <w:t>2</w:t>
            </w:r>
          </w:p>
        </w:tc>
        <w:tc>
          <w:tcPr>
            <w:tcW w:w="1566" w:type="dxa"/>
            <w:vAlign w:val="top"/>
          </w:tcPr>
          <w:p>
            <w:pPr>
              <w:ind w:left="700"/>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1"/>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46.02</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7"/>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8" w:type="dxa"/>
            <w:vAlign w:val="top"/>
          </w:tcPr>
          <w:p>
            <w:pPr>
              <w:pStyle w:val="TableText"/>
              <w:ind w:left="618"/>
              <w:spacing w:before="73" w:line="231" w:lineRule="auto"/>
              <w:rPr/>
            </w:pPr>
            <w:r>
              <w:rPr>
                <w:spacing w:val="7"/>
              </w:rPr>
              <w:t>水文地质条件</w:t>
            </w:r>
          </w:p>
        </w:tc>
        <w:tc>
          <w:tcPr>
            <w:tcW w:w="5709" w:type="dxa"/>
            <w:vAlign w:val="top"/>
            <w:gridSpan w:val="3"/>
            <w:tcBorders>
              <w:right w:val="nil"/>
            </w:tcBorders>
          </w:tcPr>
          <w:p>
            <w:pPr>
              <w:pStyle w:val="TableText"/>
              <w:ind w:left="2667"/>
              <w:spacing w:before="74" w:line="229" w:lineRule="auto"/>
              <w:rPr/>
            </w:pPr>
            <w:r>
              <w:rPr>
                <w:spacing w:val="-4"/>
              </w:rPr>
              <w:t>简单</w:t>
            </w:r>
          </w:p>
        </w:tc>
      </w:tr>
      <w:tr>
        <w:trPr>
          <w:trHeight w:val="344" w:hRule="atLeast"/>
        </w:trPr>
        <w:tc>
          <w:tcPr>
            <w:tcW w:w="863" w:type="dxa"/>
            <w:vAlign w:val="top"/>
            <w:tcBorders>
              <w:left w:val="nil"/>
            </w:tcBorders>
          </w:tcPr>
          <w:p>
            <w:pPr>
              <w:ind w:left="382"/>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478" w:type="dxa"/>
            <w:vAlign w:val="top"/>
          </w:tcPr>
          <w:p>
            <w:pPr>
              <w:pStyle w:val="TableText"/>
              <w:ind w:left="624"/>
              <w:spacing w:before="75" w:line="231" w:lineRule="auto"/>
              <w:rPr/>
            </w:pPr>
            <w:r>
              <w:rPr>
                <w:spacing w:val="6"/>
              </w:rPr>
              <w:t>工程地质条件</w:t>
            </w:r>
          </w:p>
        </w:tc>
        <w:tc>
          <w:tcPr>
            <w:tcW w:w="5709" w:type="dxa"/>
            <w:vAlign w:val="top"/>
            <w:gridSpan w:val="3"/>
            <w:tcBorders>
              <w:right w:val="nil"/>
            </w:tcBorders>
          </w:tcPr>
          <w:p>
            <w:pPr>
              <w:pStyle w:val="TableText"/>
              <w:ind w:left="2682"/>
              <w:spacing w:before="75" w:line="231" w:lineRule="auto"/>
              <w:rPr/>
            </w:pPr>
            <w:r>
              <w:rPr>
                <w:spacing w:val="-12"/>
              </w:rPr>
              <w:t>中等</w:t>
            </w:r>
          </w:p>
        </w:tc>
      </w:tr>
      <w:tr>
        <w:trPr>
          <w:trHeight w:val="344" w:hRule="atLeast"/>
        </w:trPr>
        <w:tc>
          <w:tcPr>
            <w:tcW w:w="863" w:type="dxa"/>
            <w:vAlign w:val="top"/>
            <w:tcBorders>
              <w:left w:val="nil"/>
            </w:tcBorders>
          </w:tcPr>
          <w:p>
            <w:pPr>
              <w:ind w:left="389"/>
              <w:spacing w:before="11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78" w:type="dxa"/>
            <w:vAlign w:val="top"/>
          </w:tcPr>
          <w:p>
            <w:pPr>
              <w:pStyle w:val="TableText"/>
              <w:ind w:left="619"/>
              <w:spacing w:before="76" w:line="231" w:lineRule="auto"/>
              <w:rPr/>
            </w:pPr>
            <w:r>
              <w:rPr>
                <w:spacing w:val="7"/>
              </w:rPr>
              <w:t>环境地质条件</w:t>
            </w:r>
          </w:p>
        </w:tc>
        <w:tc>
          <w:tcPr>
            <w:tcW w:w="5709" w:type="dxa"/>
            <w:vAlign w:val="top"/>
            <w:gridSpan w:val="3"/>
            <w:tcBorders>
              <w:right w:val="nil"/>
            </w:tcBorders>
          </w:tcPr>
          <w:p>
            <w:pPr>
              <w:pStyle w:val="TableText"/>
              <w:ind w:left="2667"/>
              <w:spacing w:before="77" w:line="229" w:lineRule="auto"/>
              <w:rPr/>
            </w:pPr>
            <w:r>
              <w:rPr>
                <w:spacing w:val="-4"/>
              </w:rPr>
              <w:t>简单</w:t>
            </w:r>
          </w:p>
        </w:tc>
      </w:tr>
      <w:tr>
        <w:trPr>
          <w:trHeight w:val="344" w:hRule="atLeast"/>
        </w:trPr>
        <w:tc>
          <w:tcPr>
            <w:tcW w:w="863" w:type="dxa"/>
            <w:vAlign w:val="top"/>
            <w:tcBorders>
              <w:left w:val="nil"/>
            </w:tcBorders>
          </w:tcPr>
          <w:p>
            <w:pPr>
              <w:pStyle w:val="TableText"/>
              <w:ind w:left="346"/>
              <w:spacing w:before="120" w:line="180" w:lineRule="auto"/>
              <w:rPr/>
            </w:pPr>
            <w:r>
              <w:rPr/>
              <w:t>二</w:t>
            </w:r>
          </w:p>
        </w:tc>
        <w:tc>
          <w:tcPr>
            <w:tcW w:w="2478" w:type="dxa"/>
            <w:vAlign w:val="top"/>
          </w:tcPr>
          <w:p>
            <w:pPr>
              <w:pStyle w:val="TableText"/>
              <w:ind w:left="832"/>
              <w:spacing w:before="78" w:line="231" w:lineRule="auto"/>
              <w:rPr/>
            </w:pPr>
            <w:r>
              <w:rPr>
                <w:spacing w:val="-4"/>
              </w:rPr>
              <w:t>采</w:t>
            </w:r>
            <w:r>
              <w:rPr>
                <w:spacing w:val="8"/>
              </w:rPr>
              <w:t xml:space="preserve">    </w:t>
            </w:r>
            <w:r>
              <w:rPr>
                <w:spacing w:val="-4"/>
              </w:rPr>
              <w:t>矿</w:t>
            </w:r>
          </w:p>
        </w:tc>
        <w:tc>
          <w:tcPr>
            <w:tcW w:w="1566" w:type="dxa"/>
            <w:vAlign w:val="top"/>
          </w:tcPr>
          <w:p>
            <w:pPr>
              <w:rPr>
                <w:rFonts w:ascii="Arial"/>
                <w:sz w:val="21"/>
              </w:rPr>
            </w:pPr>
            <w:r/>
          </w:p>
        </w:tc>
        <w:tc>
          <w:tcPr>
            <w:tcW w:w="1713" w:type="dxa"/>
            <w:vAlign w:val="top"/>
          </w:tcPr>
          <w:p>
            <w:pPr>
              <w:rPr>
                <w:rFonts w:ascii="Arial"/>
                <w:sz w:val="21"/>
              </w:rPr>
            </w:pPr>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403"/>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tcPr>
          <w:p>
            <w:pPr>
              <w:pStyle w:val="TableText"/>
              <w:ind w:left="619"/>
              <w:spacing w:before="77" w:line="230" w:lineRule="auto"/>
              <w:rPr/>
            </w:pPr>
            <w:r>
              <w:rPr>
                <w:spacing w:val="7"/>
              </w:rPr>
              <w:t>矿山生产能力</w:t>
            </w:r>
          </w:p>
        </w:tc>
        <w:tc>
          <w:tcPr>
            <w:tcW w:w="1566" w:type="dxa"/>
            <w:vAlign w:val="top"/>
          </w:tcPr>
          <w:p>
            <w:pPr>
              <w:pStyle w:val="TableText"/>
              <w:ind w:left="470"/>
              <w:spacing w:before="77" w:line="237" w:lineRule="auto"/>
              <w:rPr>
                <w:rFonts w:ascii="Times New Roman" w:hAnsi="Times New Roman" w:eastAsia="Times New Roman" w:cs="Times New Roman"/>
              </w:rPr>
            </w:pPr>
            <w:r>
              <w:rPr>
                <w:spacing w:val="-2"/>
              </w:rPr>
              <w:t>×</w:t>
            </w:r>
            <w:r>
              <w:rPr>
                <w:rFonts w:ascii="Times New Roman" w:hAnsi="Times New Roman" w:eastAsia="Times New Roman" w:cs="Times New Roman"/>
                <w:spacing w:val="-2"/>
              </w:rPr>
              <w:t>10</w:t>
            </w:r>
            <w:r>
              <w:rPr>
                <w:rFonts w:ascii="Times New Roman" w:hAnsi="Times New Roman" w:eastAsia="Times New Roman" w:cs="Times New Roman"/>
                <w:sz w:val="13"/>
                <w:szCs w:val="13"/>
                <w:spacing w:val="-2"/>
                <w:position w:val="6"/>
              </w:rPr>
              <w:t>4</w:t>
            </w:r>
            <w:r>
              <w:rPr>
                <w:rFonts w:ascii="Times New Roman" w:hAnsi="Times New Roman" w:eastAsia="Times New Roman" w:cs="Times New Roman"/>
                <w:spacing w:val="-2"/>
              </w:rPr>
              <w:t>t/a</w:t>
            </w:r>
          </w:p>
        </w:tc>
        <w:tc>
          <w:tcPr>
            <w:tcW w:w="1713" w:type="dxa"/>
            <w:vAlign w:val="top"/>
          </w:tcPr>
          <w:p>
            <w:pPr>
              <w:ind w:left="694"/>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2430" w:type="dxa"/>
            <w:vAlign w:val="top"/>
            <w:tcBorders>
              <w:right w:val="nil"/>
            </w:tcBorders>
          </w:tcPr>
          <w:p>
            <w:pPr>
              <w:ind w:left="874"/>
              <w:spacing w:before="11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333.3t/d</w:t>
            </w:r>
          </w:p>
        </w:tc>
      </w:tr>
      <w:tr>
        <w:trPr>
          <w:trHeight w:val="344" w:hRule="atLeast"/>
        </w:trPr>
        <w:tc>
          <w:tcPr>
            <w:tcW w:w="863" w:type="dxa"/>
            <w:vAlign w:val="top"/>
            <w:tcBorders>
              <w:left w:val="nil"/>
            </w:tcBorders>
          </w:tcPr>
          <w:p>
            <w:pPr>
              <w:ind w:left="383"/>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619"/>
              <w:spacing w:before="78" w:line="229" w:lineRule="auto"/>
              <w:rPr/>
            </w:pPr>
            <w:r>
              <w:rPr>
                <w:spacing w:val="7"/>
              </w:rPr>
              <w:t>矿山工作制度</w:t>
            </w:r>
          </w:p>
        </w:tc>
        <w:tc>
          <w:tcPr>
            <w:tcW w:w="1566" w:type="dxa"/>
            <w:vAlign w:val="top"/>
          </w:tcPr>
          <w:p>
            <w:pPr>
              <w:ind w:left="659"/>
              <w:spacing w:before="11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w:t>
            </w:r>
          </w:p>
        </w:tc>
        <w:tc>
          <w:tcPr>
            <w:tcW w:w="1713" w:type="dxa"/>
            <w:vAlign w:val="top"/>
          </w:tcPr>
          <w:p>
            <w:pPr>
              <w:ind w:left="705"/>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0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w:t>
            </w:r>
          </w:p>
        </w:tc>
        <w:tc>
          <w:tcPr>
            <w:tcW w:w="2478" w:type="dxa"/>
            <w:vAlign w:val="top"/>
          </w:tcPr>
          <w:p>
            <w:pPr>
              <w:rPr>
                <w:rFonts w:ascii="Arial"/>
                <w:sz w:val="21"/>
              </w:rPr>
            </w:pPr>
            <w:r/>
          </w:p>
        </w:tc>
        <w:tc>
          <w:tcPr>
            <w:tcW w:w="1566" w:type="dxa"/>
            <w:vAlign w:val="top"/>
          </w:tcPr>
          <w:p>
            <w:pPr>
              <w:pStyle w:val="TableText"/>
              <w:ind w:left="556"/>
              <w:spacing w:before="79" w:line="232" w:lineRule="auto"/>
              <w:rPr/>
            </w:pPr>
            <w:r>
              <w:rPr>
                <w:spacing w:val="1"/>
              </w:rPr>
              <w:t>班</w:t>
            </w:r>
            <w:r>
              <w:rPr>
                <w:rFonts w:ascii="Times New Roman" w:hAnsi="Times New Roman" w:eastAsia="Times New Roman" w:cs="Times New Roman"/>
                <w:spacing w:val="1"/>
              </w:rPr>
              <w:t>/</w:t>
            </w:r>
            <w:r>
              <w:rPr>
                <w:spacing w:val="1"/>
              </w:rPr>
              <w:t>天</w:t>
            </w:r>
          </w:p>
        </w:tc>
        <w:tc>
          <w:tcPr>
            <w:tcW w:w="1713" w:type="dxa"/>
            <w:vAlign w:val="top"/>
          </w:tcPr>
          <w:p>
            <w:pPr>
              <w:ind w:left="811"/>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04"/>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478" w:type="dxa"/>
            <w:vAlign w:val="top"/>
          </w:tcPr>
          <w:p>
            <w:pPr>
              <w:rPr>
                <w:rFonts w:ascii="Arial"/>
                <w:sz w:val="21"/>
              </w:rPr>
            </w:pPr>
            <w:r/>
          </w:p>
        </w:tc>
        <w:tc>
          <w:tcPr>
            <w:tcW w:w="1566" w:type="dxa"/>
            <w:vAlign w:val="top"/>
          </w:tcPr>
          <w:p>
            <w:pPr>
              <w:pStyle w:val="TableText"/>
              <w:ind w:left="593"/>
              <w:spacing w:before="80" w:line="232" w:lineRule="auto"/>
              <w:rPr/>
            </w:pPr>
            <w:r>
              <w:rPr>
                <w:rFonts w:ascii="Times New Roman" w:hAnsi="Times New Roman" w:eastAsia="Times New Roman" w:cs="Times New Roman"/>
                <w:spacing w:val="5"/>
              </w:rPr>
              <w:t>h/</w:t>
            </w:r>
            <w:r>
              <w:rPr>
                <w:spacing w:val="5"/>
              </w:rPr>
              <w:t>班</w:t>
            </w:r>
          </w:p>
        </w:tc>
        <w:tc>
          <w:tcPr>
            <w:tcW w:w="1713" w:type="dxa"/>
            <w:vAlign w:val="top"/>
          </w:tcPr>
          <w:p>
            <w:pPr>
              <w:ind w:left="81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8" w:type="dxa"/>
            <w:vAlign w:val="top"/>
          </w:tcPr>
          <w:p>
            <w:pPr>
              <w:pStyle w:val="TableText"/>
              <w:ind w:left="619"/>
              <w:spacing w:before="82" w:line="231" w:lineRule="auto"/>
              <w:rPr/>
            </w:pPr>
            <w:r>
              <w:rPr>
                <w:spacing w:val="7"/>
              </w:rPr>
              <w:t>矿山服务年限</w:t>
            </w:r>
          </w:p>
        </w:tc>
        <w:tc>
          <w:tcPr>
            <w:tcW w:w="1566" w:type="dxa"/>
            <w:vAlign w:val="top"/>
          </w:tcPr>
          <w:p>
            <w:pPr>
              <w:pStyle w:val="TableText"/>
              <w:ind w:left="694"/>
              <w:spacing w:before="82" w:line="231" w:lineRule="auto"/>
              <w:rPr/>
            </w:pPr>
            <w:r>
              <w:rPr/>
              <w:t>年</w:t>
            </w:r>
          </w:p>
        </w:tc>
        <w:tc>
          <w:tcPr>
            <w:tcW w:w="1713" w:type="dxa"/>
            <w:vAlign w:val="top"/>
          </w:tcPr>
          <w:p>
            <w:pPr>
              <w:ind w:left="771"/>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2"/>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478" w:type="dxa"/>
            <w:vAlign w:val="top"/>
          </w:tcPr>
          <w:p>
            <w:pPr>
              <w:pStyle w:val="TableText"/>
              <w:ind w:left="936"/>
              <w:spacing w:before="83" w:line="231" w:lineRule="auto"/>
              <w:rPr/>
            </w:pPr>
            <w:r>
              <w:rPr>
                <w:spacing w:val="5"/>
              </w:rPr>
              <w:t>基建期</w:t>
            </w:r>
          </w:p>
        </w:tc>
        <w:tc>
          <w:tcPr>
            <w:tcW w:w="1566" w:type="dxa"/>
            <w:vAlign w:val="top"/>
          </w:tcPr>
          <w:p>
            <w:pPr>
              <w:pStyle w:val="TableText"/>
              <w:ind w:left="694"/>
              <w:spacing w:before="83" w:line="231" w:lineRule="auto"/>
              <w:rPr/>
            </w:pPr>
            <w:r>
              <w:rPr/>
              <w:t>年</w:t>
            </w:r>
          </w:p>
        </w:tc>
        <w:tc>
          <w:tcPr>
            <w:tcW w:w="1713" w:type="dxa"/>
            <w:vAlign w:val="top"/>
          </w:tcPr>
          <w:p>
            <w:pPr>
              <w:ind w:left="74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9"/>
              <w:spacing w:before="12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78" w:type="dxa"/>
            <w:vAlign w:val="top"/>
          </w:tcPr>
          <w:p>
            <w:pPr>
              <w:pStyle w:val="TableText"/>
              <w:ind w:left="830"/>
              <w:spacing w:before="83" w:line="231" w:lineRule="auto"/>
              <w:rPr/>
            </w:pPr>
            <w:r>
              <w:rPr>
                <w:spacing w:val="5"/>
              </w:rPr>
              <w:t>开拓方式</w:t>
            </w:r>
          </w:p>
        </w:tc>
        <w:tc>
          <w:tcPr>
            <w:tcW w:w="1566" w:type="dxa"/>
            <w:vAlign w:val="top"/>
          </w:tcPr>
          <w:p>
            <w:pPr>
              <w:rPr>
                <w:rFonts w:ascii="Arial"/>
                <w:sz w:val="21"/>
              </w:rPr>
            </w:pPr>
            <w:r/>
          </w:p>
        </w:tc>
        <w:tc>
          <w:tcPr>
            <w:tcW w:w="1713" w:type="dxa"/>
            <w:vAlign w:val="top"/>
          </w:tcPr>
          <w:p>
            <w:pPr>
              <w:pStyle w:val="TableText"/>
              <w:ind w:left="450"/>
              <w:spacing w:before="83" w:line="231" w:lineRule="auto"/>
              <w:rPr/>
            </w:pPr>
            <w:r>
              <w:rPr>
                <w:spacing w:val="4"/>
              </w:rPr>
              <w:t>下盘竖井</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8"/>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78" w:type="dxa"/>
            <w:vAlign w:val="top"/>
          </w:tcPr>
          <w:p>
            <w:pPr>
              <w:pStyle w:val="TableText"/>
              <w:ind w:left="845"/>
              <w:spacing w:before="84" w:line="230" w:lineRule="auto"/>
              <w:rPr/>
            </w:pPr>
            <w:r>
              <w:rPr>
                <w:spacing w:val="2"/>
              </w:rPr>
              <w:t>阶段高度</w:t>
            </w:r>
          </w:p>
        </w:tc>
        <w:tc>
          <w:tcPr>
            <w:tcW w:w="1566" w:type="dxa"/>
            <w:vAlign w:val="top"/>
          </w:tcPr>
          <w:p>
            <w:pPr>
              <w:ind w:left="699"/>
              <w:spacing w:before="168"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w:t>
            </w:r>
          </w:p>
        </w:tc>
        <w:tc>
          <w:tcPr>
            <w:tcW w:w="1713" w:type="dxa"/>
            <w:vAlign w:val="top"/>
          </w:tcPr>
          <w:p>
            <w:pPr>
              <w:ind w:left="535"/>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35-45m</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6"/>
              <w:spacing w:before="12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78" w:type="dxa"/>
            <w:vAlign w:val="top"/>
          </w:tcPr>
          <w:p>
            <w:pPr>
              <w:pStyle w:val="TableText"/>
              <w:ind w:left="832"/>
              <w:spacing w:before="85" w:line="229" w:lineRule="auto"/>
              <w:rPr/>
            </w:pPr>
            <w:r>
              <w:rPr>
                <w:spacing w:val="5"/>
              </w:rPr>
              <w:t>采矿方法</w:t>
            </w:r>
          </w:p>
        </w:tc>
        <w:tc>
          <w:tcPr>
            <w:tcW w:w="5709" w:type="dxa"/>
            <w:vAlign w:val="top"/>
            <w:gridSpan w:val="3"/>
            <w:tcBorders>
              <w:right w:val="nil"/>
            </w:tcBorders>
          </w:tcPr>
          <w:p>
            <w:pPr>
              <w:pStyle w:val="TableText"/>
              <w:ind w:left="348"/>
              <w:spacing w:before="85" w:line="229" w:lineRule="auto"/>
              <w:rPr/>
            </w:pPr>
            <w:r>
              <w:rPr>
                <w:spacing w:val="9"/>
              </w:rPr>
              <w:t>浅孔留矿嗣后充填采矿法、分段空场嗣后充填采矿方法</w:t>
            </w:r>
          </w:p>
        </w:tc>
      </w:tr>
      <w:tr>
        <w:trPr>
          <w:trHeight w:val="344" w:hRule="atLeast"/>
        </w:trPr>
        <w:tc>
          <w:tcPr>
            <w:tcW w:w="863" w:type="dxa"/>
            <w:vAlign w:val="top"/>
            <w:tcBorders>
              <w:left w:val="nil"/>
            </w:tcBorders>
          </w:tcPr>
          <w:p>
            <w:pPr>
              <w:ind w:left="391"/>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78" w:type="dxa"/>
            <w:vAlign w:val="top"/>
          </w:tcPr>
          <w:p>
            <w:pPr>
              <w:pStyle w:val="TableText"/>
              <w:ind w:left="961"/>
              <w:spacing w:before="86" w:line="228" w:lineRule="auto"/>
              <w:rPr/>
            </w:pPr>
            <w:r>
              <w:rPr>
                <w:spacing w:val="-4"/>
              </w:rPr>
              <w:t>回采率</w:t>
            </w:r>
          </w:p>
        </w:tc>
        <w:tc>
          <w:tcPr>
            <w:tcW w:w="1566" w:type="dxa"/>
            <w:vAlign w:val="top"/>
          </w:tcPr>
          <w:p>
            <w:pPr>
              <w:ind w:left="70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755"/>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430" w:type="dxa"/>
            <w:vAlign w:val="top"/>
            <w:tcBorders>
              <w:right w:val="nil"/>
            </w:tcBorders>
          </w:tcPr>
          <w:p>
            <w:pPr>
              <w:rPr>
                <w:rFonts w:ascii="Arial"/>
                <w:sz w:val="21"/>
              </w:rPr>
            </w:pPr>
            <w:r/>
          </w:p>
        </w:tc>
      </w:tr>
      <w:tr>
        <w:trPr>
          <w:trHeight w:val="365" w:hRule="atLeast"/>
        </w:trPr>
        <w:tc>
          <w:tcPr>
            <w:tcW w:w="863" w:type="dxa"/>
            <w:vAlign w:val="top"/>
            <w:tcBorders>
              <w:left w:val="nil"/>
              <w:bottom w:val="single" w:color="000000" w:sz="10" w:space="0"/>
            </w:tcBorders>
          </w:tcPr>
          <w:p>
            <w:pPr>
              <w:ind w:left="38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78" w:type="dxa"/>
            <w:vAlign w:val="top"/>
            <w:tcBorders>
              <w:bottom w:val="single" w:color="000000" w:sz="10" w:space="0"/>
            </w:tcBorders>
          </w:tcPr>
          <w:p>
            <w:pPr>
              <w:pStyle w:val="TableText"/>
              <w:ind w:left="942"/>
              <w:spacing w:before="88" w:line="231" w:lineRule="auto"/>
              <w:rPr/>
            </w:pPr>
            <w:r>
              <w:rPr>
                <w:spacing w:val="3"/>
              </w:rPr>
              <w:t>贫化率</w:t>
            </w:r>
          </w:p>
        </w:tc>
        <w:tc>
          <w:tcPr>
            <w:tcW w:w="1566" w:type="dxa"/>
            <w:vAlign w:val="top"/>
            <w:tcBorders>
              <w:bottom w:val="single" w:color="000000" w:sz="10" w:space="0"/>
            </w:tcBorders>
          </w:tcPr>
          <w:p>
            <w:pPr>
              <w:ind w:left="70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Borders>
              <w:bottom w:val="single" w:color="000000" w:sz="10" w:space="0"/>
            </w:tcBorders>
          </w:tcPr>
          <w:p>
            <w:pPr>
              <w:ind w:left="77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430"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29"/>
          <w:pgSz w:w="11911" w:h="16839"/>
          <w:pgMar w:top="400" w:right="1240" w:bottom="1146" w:left="1620" w:header="0" w:footer="984" w:gutter="0"/>
        </w:sectPr>
        <w:rPr/>
      </w:pPr>
    </w:p>
    <w:p>
      <w:pPr>
        <w:spacing w:before="13"/>
        <w:rPr/>
      </w:pPr>
      <w:r/>
    </w:p>
    <w:p>
      <w:pPr>
        <w:spacing w:before="13"/>
        <w:rPr/>
      </w:pPr>
      <w:r/>
    </w:p>
    <w:p>
      <w:pPr>
        <w:spacing w:before="13"/>
        <w:rPr/>
      </w:pPr>
      <w:r/>
    </w:p>
    <w:p>
      <w:pPr>
        <w:spacing w:before="12"/>
        <w:rPr/>
      </w:pPr>
      <w:r/>
    </w:p>
    <w:tbl>
      <w:tblPr>
        <w:tblStyle w:val="TableNormal"/>
        <w:tblW w:w="905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3"/>
        <w:gridCol w:w="2478"/>
        <w:gridCol w:w="1566"/>
        <w:gridCol w:w="1713"/>
        <w:gridCol w:w="2430"/>
      </w:tblGrid>
      <w:tr>
        <w:trPr>
          <w:trHeight w:val="349" w:hRule="atLeast"/>
        </w:trPr>
        <w:tc>
          <w:tcPr>
            <w:tcW w:w="863" w:type="dxa"/>
            <w:vAlign w:val="top"/>
            <w:tcBorders>
              <w:left w:val="nil"/>
              <w:top w:val="single" w:color="000000" w:sz="10" w:space="0"/>
            </w:tcBorders>
          </w:tcPr>
          <w:p>
            <w:pPr>
              <w:ind w:left="35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478" w:type="dxa"/>
            <w:vAlign w:val="top"/>
            <w:tcBorders>
              <w:top w:val="single" w:color="000000" w:sz="10" w:space="0"/>
            </w:tcBorders>
          </w:tcPr>
          <w:p>
            <w:pPr>
              <w:pStyle w:val="TableText"/>
              <w:ind w:left="306"/>
              <w:spacing w:before="69" w:line="230" w:lineRule="auto"/>
              <w:rPr>
                <w:rFonts w:ascii="Times New Roman" w:hAnsi="Times New Roman" w:eastAsia="Times New Roman" w:cs="Times New Roman"/>
                <w:sz w:val="13"/>
                <w:szCs w:val="13"/>
              </w:rPr>
            </w:pPr>
            <w:r>
              <w:rPr>
                <w:spacing w:val="9"/>
              </w:rPr>
              <w:t>采出矿石品位：</w:t>
            </w:r>
            <w:r>
              <w:rPr>
                <w:rFonts w:ascii="Times New Roman" w:hAnsi="Times New Roman" w:eastAsia="Times New Roman" w:cs="Times New Roman"/>
              </w:rPr>
              <w:t>CaF</w:t>
            </w:r>
            <w:r>
              <w:rPr>
                <w:rFonts w:ascii="Times New Roman" w:hAnsi="Times New Roman" w:eastAsia="Times New Roman" w:cs="Times New Roman"/>
                <w:sz w:val="13"/>
                <w:szCs w:val="13"/>
                <w:spacing w:val="9"/>
                <w:position w:val="-1"/>
              </w:rPr>
              <w:t>2</w:t>
            </w:r>
          </w:p>
        </w:tc>
        <w:tc>
          <w:tcPr>
            <w:tcW w:w="1566" w:type="dxa"/>
            <w:vAlign w:val="top"/>
            <w:tcBorders>
              <w:top w:val="single" w:color="000000" w:sz="10" w:space="0"/>
            </w:tcBorders>
          </w:tcPr>
          <w:p>
            <w:pPr>
              <w:ind w:left="70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Borders>
              <w:top w:val="single" w:color="000000" w:sz="10" w:space="0"/>
            </w:tcBorders>
          </w:tcPr>
          <w:p>
            <w:pPr>
              <w:ind w:left="621"/>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40.07</w:t>
            </w:r>
          </w:p>
        </w:tc>
        <w:tc>
          <w:tcPr>
            <w:tcW w:w="2430" w:type="dxa"/>
            <w:vAlign w:val="top"/>
            <w:tcBorders>
              <w:right w:val="nil"/>
              <w:top w:val="single" w:color="000000" w:sz="10" w:space="0"/>
            </w:tcBorders>
          </w:tcPr>
          <w:p>
            <w:pPr>
              <w:rPr>
                <w:rFonts w:ascii="Arial"/>
                <w:sz w:val="21"/>
              </w:rPr>
            </w:pPr>
            <w:r/>
          </w:p>
        </w:tc>
      </w:tr>
      <w:tr>
        <w:trPr>
          <w:trHeight w:val="344" w:hRule="atLeast"/>
        </w:trPr>
        <w:tc>
          <w:tcPr>
            <w:tcW w:w="863" w:type="dxa"/>
            <w:vAlign w:val="top"/>
            <w:tcBorders>
              <w:left w:val="nil"/>
            </w:tcBorders>
          </w:tcPr>
          <w:p>
            <w:pPr>
              <w:pStyle w:val="TableText"/>
              <w:ind w:left="346"/>
              <w:spacing w:before="92" w:line="194" w:lineRule="auto"/>
              <w:rPr/>
            </w:pPr>
            <w:r>
              <w:rPr/>
              <w:t>三</w:t>
            </w:r>
          </w:p>
        </w:tc>
        <w:tc>
          <w:tcPr>
            <w:tcW w:w="2478" w:type="dxa"/>
            <w:vAlign w:val="top"/>
          </w:tcPr>
          <w:p>
            <w:pPr>
              <w:pStyle w:val="TableText"/>
              <w:ind w:left="831"/>
              <w:spacing w:before="65" w:line="232" w:lineRule="auto"/>
              <w:rPr/>
            </w:pPr>
            <w:r>
              <w:rPr>
                <w:spacing w:val="5"/>
              </w:rPr>
              <w:t>项目定员</w:t>
            </w:r>
          </w:p>
        </w:tc>
        <w:tc>
          <w:tcPr>
            <w:tcW w:w="1566" w:type="dxa"/>
            <w:vAlign w:val="top"/>
          </w:tcPr>
          <w:p>
            <w:pPr>
              <w:pStyle w:val="TableText"/>
              <w:ind w:left="693"/>
              <w:spacing w:before="65" w:line="235" w:lineRule="auto"/>
              <w:rPr/>
            </w:pPr>
            <w:r>
              <w:rPr/>
              <w:t>人</w:t>
            </w:r>
          </w:p>
        </w:tc>
        <w:tc>
          <w:tcPr>
            <w:tcW w:w="1713" w:type="dxa"/>
            <w:vAlign w:val="top"/>
          </w:tcPr>
          <w:p>
            <w:pPr>
              <w:ind w:left="721"/>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134</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40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tcPr>
          <w:p>
            <w:pPr>
              <w:pStyle w:val="TableText"/>
              <w:ind w:left="307"/>
              <w:spacing w:before="66" w:line="231" w:lineRule="auto"/>
              <w:rPr/>
            </w:pPr>
            <w:r>
              <w:rPr>
                <w:spacing w:val="8"/>
              </w:rPr>
              <w:t>安全管理及技术人员</w:t>
            </w:r>
          </w:p>
        </w:tc>
        <w:tc>
          <w:tcPr>
            <w:tcW w:w="1566" w:type="dxa"/>
            <w:vAlign w:val="top"/>
          </w:tcPr>
          <w:p>
            <w:pPr>
              <w:pStyle w:val="TableText"/>
              <w:ind w:left="693"/>
              <w:spacing w:before="67" w:line="235" w:lineRule="auto"/>
              <w:rPr/>
            </w:pPr>
            <w:r>
              <w:rPr/>
              <w:t>人</w:t>
            </w:r>
          </w:p>
        </w:tc>
        <w:tc>
          <w:tcPr>
            <w:tcW w:w="1713" w:type="dxa"/>
            <w:vAlign w:val="top"/>
          </w:tcPr>
          <w:p>
            <w:pPr>
              <w:ind w:left="771"/>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1044"/>
              <w:spacing w:before="68" w:line="235" w:lineRule="auto"/>
              <w:rPr/>
            </w:pPr>
            <w:r>
              <w:rPr>
                <w:spacing w:val="-1"/>
              </w:rPr>
              <w:t>工人</w:t>
            </w:r>
          </w:p>
        </w:tc>
        <w:tc>
          <w:tcPr>
            <w:tcW w:w="1566" w:type="dxa"/>
            <w:vAlign w:val="top"/>
          </w:tcPr>
          <w:p>
            <w:pPr>
              <w:pStyle w:val="TableText"/>
              <w:ind w:left="693"/>
              <w:spacing w:before="68" w:line="235" w:lineRule="auto"/>
              <w:rPr/>
            </w:pPr>
            <w:r>
              <w:rPr/>
              <w:t>人</w:t>
            </w:r>
          </w:p>
        </w:tc>
        <w:tc>
          <w:tcPr>
            <w:tcW w:w="1713" w:type="dxa"/>
            <w:vAlign w:val="top"/>
          </w:tcPr>
          <w:p>
            <w:pPr>
              <w:ind w:left="72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115</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pStyle w:val="TableText"/>
              <w:ind w:left="364"/>
              <w:spacing w:before="67" w:line="263" w:lineRule="exact"/>
              <w:rPr/>
            </w:pPr>
            <w:r>
              <w:rPr>
                <w:position w:val="1"/>
              </w:rPr>
              <w:t>四</w:t>
            </w:r>
          </w:p>
        </w:tc>
        <w:tc>
          <w:tcPr>
            <w:tcW w:w="2478" w:type="dxa"/>
            <w:vAlign w:val="top"/>
          </w:tcPr>
          <w:p>
            <w:pPr>
              <w:pStyle w:val="TableText"/>
              <w:ind w:left="522"/>
              <w:spacing w:before="67" w:line="231" w:lineRule="auto"/>
              <w:rPr/>
            </w:pPr>
            <w:r>
              <w:rPr>
                <w:spacing w:val="7"/>
              </w:rPr>
              <w:t>主要动力年用量</w:t>
            </w:r>
          </w:p>
        </w:tc>
        <w:tc>
          <w:tcPr>
            <w:tcW w:w="1566" w:type="dxa"/>
            <w:vAlign w:val="top"/>
          </w:tcPr>
          <w:p>
            <w:pPr>
              <w:rPr>
                <w:rFonts w:ascii="Arial"/>
                <w:sz w:val="21"/>
              </w:rPr>
            </w:pPr>
            <w:r/>
          </w:p>
        </w:tc>
        <w:tc>
          <w:tcPr>
            <w:tcW w:w="1713" w:type="dxa"/>
            <w:vAlign w:val="top"/>
          </w:tcPr>
          <w:p>
            <w:pPr>
              <w:rPr>
                <w:rFonts w:ascii="Arial"/>
                <w:sz w:val="21"/>
              </w:rPr>
            </w:pPr>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40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tcPr>
          <w:p>
            <w:pPr>
              <w:pStyle w:val="TableText"/>
              <w:ind w:left="1062"/>
              <w:spacing w:before="68" w:line="232" w:lineRule="auto"/>
              <w:rPr/>
            </w:pPr>
            <w:r>
              <w:rPr>
                <w:spacing w:val="-10"/>
              </w:rPr>
              <w:t>电力</w:t>
            </w:r>
          </w:p>
        </w:tc>
        <w:tc>
          <w:tcPr>
            <w:tcW w:w="1566" w:type="dxa"/>
            <w:vAlign w:val="top"/>
          </w:tcPr>
          <w:p>
            <w:pPr>
              <w:pStyle w:val="TableText"/>
              <w:ind w:left="324"/>
              <w:spacing w:before="68" w:line="231" w:lineRule="auto"/>
              <w:rPr/>
            </w:pPr>
            <w:r>
              <w:rPr>
                <w:spacing w:val="7"/>
              </w:rPr>
              <w:t>万</w:t>
            </w:r>
            <w:r>
              <w:rPr>
                <w:spacing w:val="-44"/>
              </w:rPr>
              <w:t xml:space="preserve"> </w:t>
            </w:r>
            <w:r>
              <w:rPr>
                <w:rFonts w:ascii="Times New Roman" w:hAnsi="Times New Roman" w:eastAsia="Times New Roman" w:cs="Times New Roman"/>
              </w:rPr>
              <w:t>kWh</w:t>
            </w:r>
            <w:r>
              <w:rPr>
                <w:rFonts w:ascii="Times New Roman" w:hAnsi="Times New Roman" w:eastAsia="Times New Roman" w:cs="Times New Roman"/>
                <w:spacing w:val="7"/>
              </w:rPr>
              <w:t>/</w:t>
            </w:r>
            <w:r>
              <w:rPr>
                <w:spacing w:val="7"/>
              </w:rPr>
              <w:t>年</w:t>
            </w:r>
          </w:p>
        </w:tc>
        <w:tc>
          <w:tcPr>
            <w:tcW w:w="1713" w:type="dxa"/>
            <w:vAlign w:val="top"/>
          </w:tcPr>
          <w:p>
            <w:pPr>
              <w:ind w:left="54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1197.23</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935"/>
              <w:spacing w:before="69" w:line="231" w:lineRule="auto"/>
              <w:rPr/>
            </w:pPr>
            <w:r>
              <w:rPr>
                <w:spacing w:val="5"/>
              </w:rPr>
              <w:t>新鲜水</w:t>
            </w:r>
          </w:p>
        </w:tc>
        <w:tc>
          <w:tcPr>
            <w:tcW w:w="1566" w:type="dxa"/>
            <w:vAlign w:val="top"/>
          </w:tcPr>
          <w:p>
            <w:pPr>
              <w:pStyle w:val="TableText"/>
              <w:ind w:left="559"/>
              <w:spacing w:before="70" w:line="234" w:lineRule="auto"/>
              <w:rPr>
                <w:rFonts w:ascii="Times New Roman" w:hAnsi="Times New Roman" w:eastAsia="Times New Roman" w:cs="Times New Roman"/>
              </w:rPr>
            </w:pPr>
            <w:r>
              <w:rPr>
                <w:spacing w:val="-1"/>
              </w:rPr>
              <w:t>万</w:t>
            </w:r>
            <w:r>
              <w:rPr>
                <w:spacing w:val="-43"/>
              </w:rPr>
              <w:t xml:space="preserve"> </w:t>
            </w:r>
            <w:r>
              <w:rPr>
                <w:rFonts w:ascii="Times New Roman" w:hAnsi="Times New Roman" w:eastAsia="Times New Roman" w:cs="Times New Roman"/>
                <w:spacing w:val="-1"/>
              </w:rPr>
              <w:t>t/a</w:t>
            </w:r>
          </w:p>
        </w:tc>
        <w:tc>
          <w:tcPr>
            <w:tcW w:w="1713" w:type="dxa"/>
            <w:vAlign w:val="top"/>
          </w:tcPr>
          <w:p>
            <w:pPr>
              <w:ind w:left="625"/>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0.792</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8" w:type="dxa"/>
            <w:vAlign w:val="top"/>
          </w:tcPr>
          <w:p>
            <w:pPr>
              <w:pStyle w:val="TableText"/>
              <w:ind w:left="1040"/>
              <w:spacing w:before="71" w:line="229" w:lineRule="auto"/>
              <w:rPr/>
            </w:pPr>
            <w:r>
              <w:rPr>
                <w:spacing w:val="1"/>
              </w:rPr>
              <w:t>柴油</w:t>
            </w:r>
          </w:p>
        </w:tc>
        <w:tc>
          <w:tcPr>
            <w:tcW w:w="1566" w:type="dxa"/>
            <w:vAlign w:val="top"/>
          </w:tcPr>
          <w:p>
            <w:pPr>
              <w:pStyle w:val="TableText"/>
              <w:ind w:left="562"/>
              <w:spacing w:before="71" w:line="231" w:lineRule="auto"/>
              <w:rPr/>
            </w:pPr>
            <w:r>
              <w:rPr>
                <w:spacing w:val="-1"/>
              </w:rPr>
              <w:t>吨</w:t>
            </w:r>
            <w:r>
              <w:rPr>
                <w:rFonts w:ascii="Times New Roman" w:hAnsi="Times New Roman" w:eastAsia="Times New Roman" w:cs="Times New Roman"/>
                <w:spacing w:val="-1"/>
              </w:rPr>
              <w:t>/</w:t>
            </w:r>
            <w:r>
              <w:rPr>
                <w:spacing w:val="-1"/>
              </w:rPr>
              <w:t>年</w:t>
            </w:r>
          </w:p>
        </w:tc>
        <w:tc>
          <w:tcPr>
            <w:tcW w:w="1713" w:type="dxa"/>
            <w:vAlign w:val="top"/>
          </w:tcPr>
          <w:p>
            <w:pPr>
              <w:ind w:left="651"/>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7260</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pStyle w:val="TableText"/>
              <w:ind w:left="343"/>
              <w:spacing w:before="93" w:line="200" w:lineRule="auto"/>
              <w:rPr/>
            </w:pPr>
            <w:r>
              <w:rPr/>
              <w:t>五</w:t>
            </w:r>
          </w:p>
        </w:tc>
        <w:tc>
          <w:tcPr>
            <w:tcW w:w="2478" w:type="dxa"/>
            <w:vAlign w:val="top"/>
          </w:tcPr>
          <w:p>
            <w:pPr>
              <w:pStyle w:val="TableText"/>
              <w:ind w:left="307"/>
              <w:spacing w:before="72" w:line="231" w:lineRule="auto"/>
              <w:rPr/>
            </w:pPr>
            <w:r>
              <w:rPr>
                <w:spacing w:val="8"/>
              </w:rPr>
              <w:t>选矿主要技术指标表</w:t>
            </w:r>
          </w:p>
        </w:tc>
        <w:tc>
          <w:tcPr>
            <w:tcW w:w="1566" w:type="dxa"/>
            <w:vAlign w:val="top"/>
          </w:tcPr>
          <w:p>
            <w:pPr>
              <w:rPr>
                <w:rFonts w:ascii="Arial"/>
                <w:sz w:val="21"/>
              </w:rPr>
            </w:pPr>
            <w:r/>
          </w:p>
        </w:tc>
        <w:tc>
          <w:tcPr>
            <w:tcW w:w="1713" w:type="dxa"/>
            <w:vAlign w:val="top"/>
          </w:tcPr>
          <w:p>
            <w:pPr>
              <w:rPr>
                <w:rFonts w:ascii="Arial"/>
                <w:sz w:val="21"/>
              </w:rPr>
            </w:pPr>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40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tcPr>
          <w:p>
            <w:pPr>
              <w:pStyle w:val="TableText"/>
              <w:ind w:left="518"/>
              <w:spacing w:before="74" w:line="230" w:lineRule="auto"/>
              <w:rPr/>
            </w:pPr>
            <w:r>
              <w:rPr>
                <w:spacing w:val="7"/>
              </w:rPr>
              <w:t>选矿厂生产能力</w:t>
            </w:r>
          </w:p>
        </w:tc>
        <w:tc>
          <w:tcPr>
            <w:tcW w:w="1566" w:type="dxa"/>
            <w:vAlign w:val="top"/>
          </w:tcPr>
          <w:p>
            <w:pPr>
              <w:pStyle w:val="TableText"/>
              <w:ind w:left="470"/>
              <w:spacing w:before="74"/>
              <w:rPr>
                <w:rFonts w:ascii="Times New Roman" w:hAnsi="Times New Roman" w:eastAsia="Times New Roman" w:cs="Times New Roman"/>
              </w:rPr>
            </w:pPr>
            <w:r>
              <w:rPr>
                <w:spacing w:val="-2"/>
              </w:rPr>
              <w:t>×</w:t>
            </w:r>
            <w:r>
              <w:rPr>
                <w:rFonts w:ascii="Times New Roman" w:hAnsi="Times New Roman" w:eastAsia="Times New Roman" w:cs="Times New Roman"/>
                <w:spacing w:val="-2"/>
              </w:rPr>
              <w:t>10</w:t>
            </w:r>
            <w:r>
              <w:rPr>
                <w:rFonts w:ascii="Times New Roman" w:hAnsi="Times New Roman" w:eastAsia="Times New Roman" w:cs="Times New Roman"/>
                <w:sz w:val="13"/>
                <w:szCs w:val="13"/>
                <w:spacing w:val="-2"/>
                <w:position w:val="6"/>
              </w:rPr>
              <w:t>4</w:t>
            </w:r>
            <w:r>
              <w:rPr>
                <w:rFonts w:ascii="Times New Roman" w:hAnsi="Times New Roman" w:eastAsia="Times New Roman" w:cs="Times New Roman"/>
                <w:spacing w:val="-2"/>
              </w:rPr>
              <w:t>t/a</w:t>
            </w:r>
          </w:p>
        </w:tc>
        <w:tc>
          <w:tcPr>
            <w:tcW w:w="1713" w:type="dxa"/>
            <w:vAlign w:val="top"/>
          </w:tcPr>
          <w:p>
            <w:pPr>
              <w:ind w:left="694"/>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2430" w:type="dxa"/>
            <w:vAlign w:val="top"/>
            <w:tcBorders>
              <w:right w:val="nil"/>
            </w:tcBorders>
          </w:tcPr>
          <w:p>
            <w:pPr>
              <w:ind w:left="821"/>
              <w:spacing w:before="10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333.34t/d</w:t>
            </w:r>
          </w:p>
        </w:tc>
      </w:tr>
      <w:tr>
        <w:trPr>
          <w:trHeight w:val="344" w:hRule="atLeast"/>
        </w:trPr>
        <w:tc>
          <w:tcPr>
            <w:tcW w:w="863" w:type="dxa"/>
            <w:vAlign w:val="top"/>
            <w:tcBorders>
              <w:left w:val="nil"/>
            </w:tcBorders>
          </w:tcPr>
          <w:p>
            <w:pPr>
              <w:ind w:left="38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580"/>
              <w:spacing w:before="73" w:line="230" w:lineRule="auto"/>
              <w:rPr/>
            </w:pPr>
            <w:r>
              <w:rPr>
                <w:spacing w:val="-1"/>
              </w:rPr>
              <w:t>原矿</w:t>
            </w:r>
            <w:r>
              <w:rPr>
                <w:spacing w:val="-31"/>
              </w:rPr>
              <w:t xml:space="preserve"> </w:t>
            </w:r>
            <w:r>
              <w:rPr>
                <w:rFonts w:ascii="Times New Roman" w:hAnsi="Times New Roman" w:eastAsia="Times New Roman" w:cs="Times New Roman"/>
                <w:spacing w:val="-1"/>
              </w:rPr>
              <w:t>CaF</w:t>
            </w:r>
            <w:r>
              <w:rPr>
                <w:rFonts w:ascii="Times New Roman" w:hAnsi="Times New Roman" w:eastAsia="Times New Roman" w:cs="Times New Roman"/>
                <w:sz w:val="13"/>
                <w:szCs w:val="13"/>
                <w:spacing w:val="-1"/>
                <w:position w:val="-1"/>
              </w:rPr>
              <w:t>2  </w:t>
            </w:r>
            <w:r>
              <w:rPr>
                <w:spacing w:val="-1"/>
              </w:rPr>
              <w:t>品位</w:t>
            </w:r>
          </w:p>
        </w:tc>
        <w:tc>
          <w:tcPr>
            <w:tcW w:w="1566" w:type="dxa"/>
            <w:vAlign w:val="top"/>
          </w:tcPr>
          <w:p>
            <w:pPr>
              <w:ind w:left="700"/>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1"/>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40.70</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7"/>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8" w:type="dxa"/>
            <w:vAlign w:val="top"/>
          </w:tcPr>
          <w:p>
            <w:pPr>
              <w:pStyle w:val="TableText"/>
              <w:ind w:left="576"/>
              <w:spacing w:before="74" w:line="230" w:lineRule="auto"/>
              <w:rPr/>
            </w:pPr>
            <w:r>
              <w:rPr/>
              <w:t>精矿</w:t>
            </w:r>
            <w:r>
              <w:rPr>
                <w:spacing w:val="-37"/>
              </w:rPr>
              <w:t xml:space="preserve"> </w:t>
            </w:r>
            <w:r>
              <w:rPr>
                <w:rFonts w:ascii="Times New Roman" w:hAnsi="Times New Roman" w:eastAsia="Times New Roman" w:cs="Times New Roman"/>
              </w:rPr>
              <w:t>CaF</w:t>
            </w:r>
            <w:r>
              <w:rPr>
                <w:rFonts w:ascii="Times New Roman" w:hAnsi="Times New Roman" w:eastAsia="Times New Roman" w:cs="Times New Roman"/>
                <w:sz w:val="13"/>
                <w:szCs w:val="13"/>
                <w:position w:val="-1"/>
              </w:rPr>
              <w:t>2  </w:t>
            </w:r>
            <w:r>
              <w:rPr/>
              <w:t>品位</w:t>
            </w:r>
          </w:p>
        </w:tc>
        <w:tc>
          <w:tcPr>
            <w:tcW w:w="1566" w:type="dxa"/>
            <w:vAlign w:val="top"/>
          </w:tcPr>
          <w:p>
            <w:pPr>
              <w:ind w:left="700"/>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6"/>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96.62</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2"/>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478" w:type="dxa"/>
            <w:vAlign w:val="top"/>
          </w:tcPr>
          <w:p>
            <w:pPr>
              <w:pStyle w:val="TableText"/>
              <w:ind w:left="473"/>
              <w:spacing w:before="75" w:line="231" w:lineRule="auto"/>
              <w:rPr/>
            </w:pPr>
            <w:r>
              <w:rPr>
                <w:spacing w:val="1"/>
              </w:rPr>
              <w:t>精矿</w:t>
            </w:r>
            <w:r>
              <w:rPr>
                <w:spacing w:val="-34"/>
              </w:rPr>
              <w:t xml:space="preserve"> </w:t>
            </w:r>
            <w:r>
              <w:rPr>
                <w:rFonts w:ascii="Times New Roman" w:hAnsi="Times New Roman" w:eastAsia="Times New Roman" w:cs="Times New Roman"/>
              </w:rPr>
              <w:t>CaF</w:t>
            </w:r>
            <w:r>
              <w:rPr>
                <w:rFonts w:ascii="Times New Roman" w:hAnsi="Times New Roman" w:eastAsia="Times New Roman" w:cs="Times New Roman"/>
                <w:sz w:val="13"/>
                <w:szCs w:val="13"/>
                <w:spacing w:val="1"/>
                <w:position w:val="-1"/>
              </w:rPr>
              <w:t>2  </w:t>
            </w:r>
            <w:r>
              <w:rPr>
                <w:spacing w:val="1"/>
              </w:rPr>
              <w:t>回收率</w:t>
            </w:r>
          </w:p>
        </w:tc>
        <w:tc>
          <w:tcPr>
            <w:tcW w:w="1566" w:type="dxa"/>
            <w:vAlign w:val="top"/>
          </w:tcPr>
          <w:p>
            <w:pPr>
              <w:ind w:left="70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3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89.05</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9"/>
              <w:spacing w:before="11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78" w:type="dxa"/>
            <w:vAlign w:val="top"/>
          </w:tcPr>
          <w:p>
            <w:pPr>
              <w:pStyle w:val="TableText"/>
              <w:ind w:left="576"/>
              <w:spacing w:before="77" w:line="231" w:lineRule="auto"/>
              <w:rPr/>
            </w:pPr>
            <w:r>
              <w:rPr>
                <w:spacing w:val="3"/>
              </w:rPr>
              <w:t>精矿</w:t>
            </w:r>
            <w:r>
              <w:rPr>
                <w:spacing w:val="-35"/>
              </w:rPr>
              <w:t xml:space="preserve"> </w:t>
            </w:r>
            <w:r>
              <w:rPr>
                <w:rFonts w:ascii="Times New Roman" w:hAnsi="Times New Roman" w:eastAsia="Times New Roman" w:cs="Times New Roman"/>
              </w:rPr>
              <w:t>CaF</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z w:val="13"/>
                <w:szCs w:val="13"/>
                <w:spacing w:val="16"/>
                <w:position w:val="-1"/>
              </w:rPr>
              <w:t xml:space="preserve"> </w:t>
            </w:r>
            <w:r>
              <w:rPr>
                <w:spacing w:val="3"/>
              </w:rPr>
              <w:t>产率</w:t>
            </w:r>
          </w:p>
        </w:tc>
        <w:tc>
          <w:tcPr>
            <w:tcW w:w="1566" w:type="dxa"/>
            <w:vAlign w:val="top"/>
          </w:tcPr>
          <w:p>
            <w:pPr>
              <w:ind w:left="700"/>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6"/>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37.51</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78" w:type="dxa"/>
            <w:vAlign w:val="top"/>
          </w:tcPr>
          <w:p>
            <w:pPr>
              <w:pStyle w:val="TableText"/>
              <w:ind w:left="577"/>
              <w:spacing w:before="78" w:line="230" w:lineRule="auto"/>
              <w:rPr/>
            </w:pPr>
            <w:r>
              <w:rPr/>
              <w:t>尾矿</w:t>
            </w:r>
            <w:r>
              <w:rPr>
                <w:spacing w:val="-38"/>
              </w:rPr>
              <w:t xml:space="preserve"> </w:t>
            </w:r>
            <w:r>
              <w:rPr>
                <w:rFonts w:ascii="Times New Roman" w:hAnsi="Times New Roman" w:eastAsia="Times New Roman" w:cs="Times New Roman"/>
              </w:rPr>
              <w:t>CaF</w:t>
            </w:r>
            <w:r>
              <w:rPr>
                <w:rFonts w:ascii="Times New Roman" w:hAnsi="Times New Roman" w:eastAsia="Times New Roman" w:cs="Times New Roman"/>
                <w:sz w:val="13"/>
                <w:szCs w:val="13"/>
                <w:position w:val="-1"/>
              </w:rPr>
              <w:t>2  </w:t>
            </w:r>
            <w:r>
              <w:rPr/>
              <w:t>品位</w:t>
            </w:r>
          </w:p>
        </w:tc>
        <w:tc>
          <w:tcPr>
            <w:tcW w:w="1566" w:type="dxa"/>
            <w:vAlign w:val="top"/>
          </w:tcPr>
          <w:p>
            <w:pPr>
              <w:ind w:left="70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7.13</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6"/>
              <w:spacing w:before="11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78" w:type="dxa"/>
            <w:vAlign w:val="top"/>
          </w:tcPr>
          <w:p>
            <w:pPr>
              <w:pStyle w:val="TableText"/>
              <w:ind w:left="832"/>
              <w:spacing w:before="78" w:line="232" w:lineRule="auto"/>
              <w:rPr/>
            </w:pPr>
            <w:r>
              <w:rPr>
                <w:spacing w:val="5"/>
              </w:rPr>
              <w:t>尾矿产率</w:t>
            </w:r>
          </w:p>
        </w:tc>
        <w:tc>
          <w:tcPr>
            <w:tcW w:w="1566" w:type="dxa"/>
            <w:vAlign w:val="top"/>
          </w:tcPr>
          <w:p>
            <w:pPr>
              <w:ind w:left="700"/>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6"/>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62.49</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91"/>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78" w:type="dxa"/>
            <w:vAlign w:val="top"/>
          </w:tcPr>
          <w:p>
            <w:pPr>
              <w:pStyle w:val="TableText"/>
              <w:ind w:left="626"/>
              <w:spacing w:before="78" w:line="231" w:lineRule="auto"/>
              <w:rPr/>
            </w:pPr>
            <w:r>
              <w:rPr>
                <w:spacing w:val="6"/>
              </w:rPr>
              <w:t>萤石精矿产量</w:t>
            </w:r>
          </w:p>
        </w:tc>
        <w:tc>
          <w:tcPr>
            <w:tcW w:w="1566" w:type="dxa"/>
            <w:vAlign w:val="top"/>
          </w:tcPr>
          <w:p>
            <w:pPr>
              <w:pStyle w:val="TableText"/>
              <w:ind w:left="562"/>
              <w:spacing w:before="78" w:line="231" w:lineRule="auto"/>
              <w:rPr/>
            </w:pPr>
            <w:r>
              <w:rPr>
                <w:spacing w:val="-1"/>
              </w:rPr>
              <w:t>吨</w:t>
            </w:r>
            <w:r>
              <w:rPr>
                <w:rFonts w:ascii="Times New Roman" w:hAnsi="Times New Roman" w:eastAsia="Times New Roman" w:cs="Times New Roman"/>
                <w:spacing w:val="-1"/>
              </w:rPr>
              <w:t>/</w:t>
            </w:r>
            <w:r>
              <w:rPr>
                <w:spacing w:val="-1"/>
              </w:rPr>
              <w:t>年</w:t>
            </w:r>
          </w:p>
        </w:tc>
        <w:tc>
          <w:tcPr>
            <w:tcW w:w="1713" w:type="dxa"/>
            <w:vAlign w:val="top"/>
          </w:tcPr>
          <w:p>
            <w:pPr>
              <w:ind w:left="599"/>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37510</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387"/>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78" w:type="dxa"/>
            <w:vAlign w:val="top"/>
          </w:tcPr>
          <w:p>
            <w:pPr>
              <w:pStyle w:val="TableText"/>
              <w:ind w:left="832"/>
              <w:spacing w:before="79" w:line="232" w:lineRule="auto"/>
              <w:rPr/>
            </w:pPr>
            <w:r>
              <w:rPr>
                <w:spacing w:val="5"/>
              </w:rPr>
              <w:t>尾矿产量</w:t>
            </w:r>
          </w:p>
        </w:tc>
        <w:tc>
          <w:tcPr>
            <w:tcW w:w="1566" w:type="dxa"/>
            <w:vAlign w:val="top"/>
          </w:tcPr>
          <w:p>
            <w:pPr>
              <w:pStyle w:val="TableText"/>
              <w:ind w:left="562"/>
              <w:spacing w:before="79" w:line="231" w:lineRule="auto"/>
              <w:rPr/>
            </w:pPr>
            <w:r>
              <w:rPr>
                <w:spacing w:val="-1"/>
              </w:rPr>
              <w:t>吨</w:t>
            </w:r>
            <w:r>
              <w:rPr>
                <w:rFonts w:ascii="Times New Roman" w:hAnsi="Times New Roman" w:eastAsia="Times New Roman" w:cs="Times New Roman"/>
                <w:spacing w:val="-1"/>
              </w:rPr>
              <w:t>/</w:t>
            </w:r>
            <w:r>
              <w:rPr>
                <w:spacing w:val="-1"/>
              </w:rPr>
              <w:t>年</w:t>
            </w:r>
          </w:p>
        </w:tc>
        <w:tc>
          <w:tcPr>
            <w:tcW w:w="1713" w:type="dxa"/>
            <w:vAlign w:val="top"/>
          </w:tcPr>
          <w:p>
            <w:pPr>
              <w:ind w:left="600"/>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62490</w:t>
            </w:r>
          </w:p>
        </w:tc>
        <w:tc>
          <w:tcPr>
            <w:tcW w:w="2430" w:type="dxa"/>
            <w:vAlign w:val="top"/>
            <w:tcBorders>
              <w:right w:val="nil"/>
            </w:tcBorders>
          </w:tcPr>
          <w:p>
            <w:pPr>
              <w:rPr>
                <w:rFonts w:ascii="Arial"/>
                <w:sz w:val="21"/>
              </w:rPr>
            </w:pPr>
            <w:r/>
          </w:p>
        </w:tc>
      </w:tr>
      <w:tr>
        <w:trPr>
          <w:trHeight w:val="549" w:hRule="atLeast"/>
        </w:trPr>
        <w:tc>
          <w:tcPr>
            <w:tcW w:w="863" w:type="dxa"/>
            <w:vAlign w:val="top"/>
            <w:tcBorders>
              <w:left w:val="nil"/>
            </w:tcBorders>
          </w:tcPr>
          <w:p>
            <w:pPr>
              <w:ind w:left="350"/>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478" w:type="dxa"/>
            <w:vAlign w:val="top"/>
          </w:tcPr>
          <w:p>
            <w:pPr>
              <w:pStyle w:val="TableText"/>
              <w:ind w:left="621"/>
              <w:spacing w:before="183" w:line="232" w:lineRule="auto"/>
              <w:rPr/>
            </w:pPr>
            <w:r>
              <w:rPr>
                <w:spacing w:val="6"/>
              </w:rPr>
              <w:t>选矿工艺流程</w:t>
            </w:r>
          </w:p>
        </w:tc>
        <w:tc>
          <w:tcPr>
            <w:tcW w:w="5709" w:type="dxa"/>
            <w:vAlign w:val="top"/>
            <w:gridSpan w:val="3"/>
            <w:tcBorders>
              <w:right w:val="nil"/>
            </w:tcBorders>
          </w:tcPr>
          <w:p>
            <w:pPr>
              <w:pStyle w:val="TableText"/>
              <w:ind w:left="120"/>
              <w:spacing w:before="47" w:line="231" w:lineRule="auto"/>
              <w:rPr/>
            </w:pPr>
            <w:r>
              <w:rPr>
                <w:spacing w:val="4"/>
              </w:rPr>
              <w:t>采用一段磨矿（磨矿细度</w:t>
            </w:r>
            <w:r>
              <w:rPr>
                <w:rFonts w:ascii="Times New Roman" w:hAnsi="Times New Roman" w:eastAsia="Times New Roman" w:cs="Times New Roman"/>
                <w:spacing w:val="4"/>
              </w:rPr>
              <w:t>-200</w:t>
            </w:r>
            <w:r>
              <w:rPr>
                <w:rFonts w:ascii="Times New Roman" w:hAnsi="Times New Roman" w:eastAsia="Times New Roman" w:cs="Times New Roman"/>
                <w:spacing w:val="6"/>
              </w:rPr>
              <w:t xml:space="preserve">  </w:t>
            </w:r>
            <w:r>
              <w:rPr>
                <w:spacing w:val="4"/>
              </w:rPr>
              <w:t>目</w:t>
            </w:r>
            <w:r>
              <w:rPr>
                <w:spacing w:val="-49"/>
              </w:rPr>
              <w:t xml:space="preserve"> </w:t>
            </w:r>
            <w:r>
              <w:rPr>
                <w:spacing w:val="4"/>
              </w:rPr>
              <w:t>占</w:t>
            </w:r>
            <w:r>
              <w:rPr>
                <w:spacing w:val="-38"/>
              </w:rPr>
              <w:t xml:space="preserve"> </w:t>
            </w:r>
            <w:r>
              <w:rPr>
                <w:rFonts w:ascii="Times New Roman" w:hAnsi="Times New Roman" w:eastAsia="Times New Roman" w:cs="Times New Roman"/>
                <w:spacing w:val="4"/>
              </w:rPr>
              <w:t>75%</w:t>
            </w:r>
            <w:r>
              <w:rPr>
                <w:spacing w:val="4"/>
              </w:rPr>
              <w:t>）、一次粗选、二次</w:t>
            </w:r>
          </w:p>
          <w:p>
            <w:pPr>
              <w:pStyle w:val="TableText"/>
              <w:ind w:left="1395"/>
              <w:spacing w:before="23" w:line="201" w:lineRule="auto"/>
              <w:rPr/>
            </w:pPr>
            <w:r>
              <w:rPr>
                <w:spacing w:val="8"/>
              </w:rPr>
              <w:t>扫选、七次精选的浮选工艺流程</w:t>
            </w:r>
          </w:p>
        </w:tc>
      </w:tr>
      <w:tr>
        <w:trPr>
          <w:trHeight w:val="344" w:hRule="atLeast"/>
        </w:trPr>
        <w:tc>
          <w:tcPr>
            <w:tcW w:w="863" w:type="dxa"/>
            <w:vAlign w:val="top"/>
            <w:tcBorders>
              <w:left w:val="nil"/>
            </w:tcBorders>
          </w:tcPr>
          <w:p>
            <w:pPr>
              <w:pStyle w:val="TableText"/>
              <w:ind w:left="341"/>
              <w:spacing w:before="81" w:line="233" w:lineRule="auto"/>
              <w:rPr/>
            </w:pPr>
            <w:r>
              <w:rPr/>
              <w:t>六</w:t>
            </w:r>
          </w:p>
        </w:tc>
        <w:tc>
          <w:tcPr>
            <w:tcW w:w="2478" w:type="dxa"/>
            <w:vAlign w:val="top"/>
          </w:tcPr>
          <w:p>
            <w:pPr>
              <w:pStyle w:val="TableText"/>
              <w:ind w:left="725"/>
              <w:spacing w:before="81" w:line="232" w:lineRule="auto"/>
              <w:rPr/>
            </w:pPr>
            <w:r>
              <w:rPr>
                <w:spacing w:val="6"/>
              </w:rPr>
              <w:t>项目总投资</w:t>
            </w:r>
          </w:p>
        </w:tc>
        <w:tc>
          <w:tcPr>
            <w:tcW w:w="1566" w:type="dxa"/>
            <w:vAlign w:val="top"/>
          </w:tcPr>
          <w:p>
            <w:pPr>
              <w:pStyle w:val="TableText"/>
              <w:ind w:left="586"/>
              <w:spacing w:before="81" w:line="233" w:lineRule="auto"/>
              <w:rPr/>
            </w:pPr>
            <w:r>
              <w:rPr>
                <w:spacing w:val="1"/>
              </w:rPr>
              <w:t>万元</w:t>
            </w:r>
          </w:p>
        </w:tc>
        <w:tc>
          <w:tcPr>
            <w:tcW w:w="1713" w:type="dxa"/>
            <w:vAlign w:val="top"/>
          </w:tcPr>
          <w:p>
            <w:pPr>
              <w:ind w:left="520"/>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9830.78</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rPr>
                <w:rFonts w:ascii="Arial"/>
                <w:sz w:val="21"/>
              </w:rPr>
            </w:pPr>
            <w:r/>
          </w:p>
        </w:tc>
        <w:tc>
          <w:tcPr>
            <w:tcW w:w="2478" w:type="dxa"/>
            <w:vAlign w:val="top"/>
          </w:tcPr>
          <w:p>
            <w:pPr>
              <w:pStyle w:val="TableText"/>
              <w:ind w:left="517"/>
              <w:spacing w:before="82" w:line="231" w:lineRule="auto"/>
              <w:rPr/>
            </w:pPr>
            <w:r>
              <w:rPr>
                <w:spacing w:val="7"/>
              </w:rPr>
              <w:t>其中：建设投资</w:t>
            </w:r>
          </w:p>
        </w:tc>
        <w:tc>
          <w:tcPr>
            <w:tcW w:w="1566" w:type="dxa"/>
            <w:vAlign w:val="top"/>
          </w:tcPr>
          <w:p>
            <w:pPr>
              <w:pStyle w:val="TableText"/>
              <w:ind w:left="586"/>
              <w:spacing w:before="82" w:line="232" w:lineRule="auto"/>
              <w:rPr/>
            </w:pPr>
            <w:r>
              <w:rPr>
                <w:spacing w:val="1"/>
              </w:rPr>
              <w:t>万元</w:t>
            </w:r>
          </w:p>
        </w:tc>
        <w:tc>
          <w:tcPr>
            <w:tcW w:w="1713" w:type="dxa"/>
            <w:vAlign w:val="top"/>
          </w:tcPr>
          <w:p>
            <w:pPr>
              <w:ind w:left="51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7732.53</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rPr>
                <w:rFonts w:ascii="Arial"/>
                <w:sz w:val="21"/>
              </w:rPr>
            </w:pPr>
            <w:r/>
          </w:p>
        </w:tc>
        <w:tc>
          <w:tcPr>
            <w:tcW w:w="2478" w:type="dxa"/>
            <w:vAlign w:val="top"/>
          </w:tcPr>
          <w:p>
            <w:pPr>
              <w:pStyle w:val="TableText"/>
              <w:ind w:left="830"/>
              <w:spacing w:before="83" w:line="231" w:lineRule="auto"/>
              <w:rPr/>
            </w:pPr>
            <w:r>
              <w:rPr>
                <w:spacing w:val="5"/>
              </w:rPr>
              <w:t>流动资金</w:t>
            </w:r>
          </w:p>
        </w:tc>
        <w:tc>
          <w:tcPr>
            <w:tcW w:w="1566" w:type="dxa"/>
            <w:vAlign w:val="top"/>
          </w:tcPr>
          <w:p>
            <w:pPr>
              <w:pStyle w:val="TableText"/>
              <w:ind w:left="586"/>
              <w:spacing w:before="83" w:line="231" w:lineRule="auto"/>
              <w:rPr/>
            </w:pPr>
            <w:r>
              <w:rPr>
                <w:spacing w:val="1"/>
              </w:rPr>
              <w:t>万元</w:t>
            </w:r>
          </w:p>
        </w:tc>
        <w:tc>
          <w:tcPr>
            <w:tcW w:w="1713" w:type="dxa"/>
            <w:vAlign w:val="top"/>
          </w:tcPr>
          <w:p>
            <w:pPr>
              <w:ind w:left="516"/>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2098.25</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pStyle w:val="TableText"/>
              <w:ind w:left="344"/>
              <w:spacing w:before="83" w:line="231" w:lineRule="auto"/>
              <w:rPr/>
            </w:pPr>
            <w:r>
              <w:rPr/>
              <w:t>七</w:t>
            </w:r>
          </w:p>
        </w:tc>
        <w:tc>
          <w:tcPr>
            <w:tcW w:w="2478" w:type="dxa"/>
            <w:vAlign w:val="top"/>
          </w:tcPr>
          <w:p>
            <w:pPr>
              <w:pStyle w:val="TableText"/>
              <w:ind w:left="728"/>
              <w:spacing w:before="83" w:line="231" w:lineRule="auto"/>
              <w:rPr/>
            </w:pPr>
            <w:r>
              <w:rPr>
                <w:spacing w:val="6"/>
              </w:rPr>
              <w:t>成本与费用</w:t>
            </w:r>
          </w:p>
        </w:tc>
        <w:tc>
          <w:tcPr>
            <w:tcW w:w="1566" w:type="dxa"/>
            <w:vAlign w:val="top"/>
          </w:tcPr>
          <w:p>
            <w:pPr>
              <w:rPr>
                <w:rFonts w:ascii="Arial"/>
                <w:sz w:val="21"/>
              </w:rPr>
            </w:pPr>
            <w:r/>
          </w:p>
        </w:tc>
        <w:tc>
          <w:tcPr>
            <w:tcW w:w="1713" w:type="dxa"/>
            <w:vAlign w:val="top"/>
          </w:tcPr>
          <w:p>
            <w:pPr>
              <w:rPr>
                <w:rFonts w:ascii="Arial"/>
                <w:sz w:val="21"/>
              </w:rPr>
            </w:pPr>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rPr>
                <w:rFonts w:ascii="Arial"/>
                <w:sz w:val="21"/>
              </w:rPr>
            </w:pPr>
            <w:r/>
          </w:p>
        </w:tc>
        <w:tc>
          <w:tcPr>
            <w:tcW w:w="2478" w:type="dxa"/>
            <w:vAlign w:val="top"/>
          </w:tcPr>
          <w:p>
            <w:pPr>
              <w:pStyle w:val="TableText"/>
              <w:ind w:left="734"/>
              <w:spacing w:before="84" w:line="230" w:lineRule="auto"/>
              <w:rPr/>
            </w:pPr>
            <w:r>
              <w:rPr>
                <w:spacing w:val="5"/>
              </w:rPr>
              <w:t>总成本费用</w:t>
            </w:r>
          </w:p>
        </w:tc>
        <w:tc>
          <w:tcPr>
            <w:tcW w:w="1566" w:type="dxa"/>
            <w:vAlign w:val="top"/>
          </w:tcPr>
          <w:p>
            <w:pPr>
              <w:pStyle w:val="TableText"/>
              <w:ind w:left="509"/>
              <w:spacing w:before="84" w:line="230"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15"/>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4292.21</w:t>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pStyle w:val="TableText"/>
              <w:ind w:left="339"/>
              <w:spacing w:before="85" w:line="229" w:lineRule="auto"/>
              <w:rPr/>
            </w:pPr>
            <w:r>
              <w:rPr/>
              <w:t>八</w:t>
            </w:r>
          </w:p>
        </w:tc>
        <w:tc>
          <w:tcPr>
            <w:tcW w:w="2478" w:type="dxa"/>
            <w:vAlign w:val="top"/>
          </w:tcPr>
          <w:p>
            <w:pPr>
              <w:pStyle w:val="TableText"/>
              <w:ind w:left="422"/>
              <w:spacing w:before="85" w:line="229" w:lineRule="auto"/>
              <w:rPr/>
            </w:pPr>
            <w:r>
              <w:rPr>
                <w:spacing w:val="6"/>
              </w:rPr>
              <w:t>收入、税金及利润</w:t>
            </w:r>
          </w:p>
        </w:tc>
        <w:tc>
          <w:tcPr>
            <w:tcW w:w="1566" w:type="dxa"/>
            <w:vAlign w:val="top"/>
          </w:tcPr>
          <w:p>
            <w:pPr>
              <w:rPr>
                <w:rFonts w:ascii="Arial"/>
                <w:sz w:val="21"/>
              </w:rPr>
            </w:pPr>
            <w:r/>
          </w:p>
        </w:tc>
        <w:tc>
          <w:tcPr>
            <w:tcW w:w="1713" w:type="dxa"/>
            <w:vAlign w:val="top"/>
          </w:tcPr>
          <w:p>
            <w:pPr>
              <w:rPr>
                <w:rFonts w:ascii="Arial"/>
                <w:sz w:val="21"/>
              </w:rPr>
            </w:pPr>
            <w:r/>
          </w:p>
        </w:tc>
        <w:tc>
          <w:tcPr>
            <w:tcW w:w="2430" w:type="dxa"/>
            <w:vAlign w:val="top"/>
            <w:tcBorders>
              <w:right w:val="nil"/>
            </w:tcBorders>
          </w:tcPr>
          <w:p>
            <w:pPr>
              <w:rPr>
                <w:rFonts w:ascii="Arial"/>
                <w:sz w:val="21"/>
              </w:rPr>
            </w:pPr>
            <w:r/>
          </w:p>
        </w:tc>
      </w:tr>
      <w:tr>
        <w:trPr>
          <w:trHeight w:val="344" w:hRule="atLeast"/>
        </w:trPr>
        <w:tc>
          <w:tcPr>
            <w:tcW w:w="863" w:type="dxa"/>
            <w:vAlign w:val="top"/>
            <w:tcBorders>
              <w:left w:val="nil"/>
            </w:tcBorders>
          </w:tcPr>
          <w:p>
            <w:pPr>
              <w:ind w:left="40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tcPr>
          <w:p>
            <w:pPr>
              <w:pStyle w:val="TableText"/>
              <w:ind w:left="833"/>
              <w:spacing w:before="87" w:line="228" w:lineRule="auto"/>
              <w:rPr/>
            </w:pPr>
            <w:r>
              <w:rPr>
                <w:spacing w:val="5"/>
              </w:rPr>
              <w:t>销售收入</w:t>
            </w:r>
          </w:p>
        </w:tc>
        <w:tc>
          <w:tcPr>
            <w:tcW w:w="1566" w:type="dxa"/>
            <w:vAlign w:val="top"/>
          </w:tcPr>
          <w:p>
            <w:pPr>
              <w:pStyle w:val="TableText"/>
              <w:ind w:left="509"/>
              <w:spacing w:before="87"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48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10806.00</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3"/>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830"/>
              <w:spacing w:before="89" w:line="227" w:lineRule="auto"/>
              <w:rPr/>
            </w:pPr>
            <w:r>
              <w:rPr>
                <w:spacing w:val="6"/>
              </w:rPr>
              <w:t>利税总额</w:t>
            </w:r>
          </w:p>
        </w:tc>
        <w:tc>
          <w:tcPr>
            <w:tcW w:w="1566" w:type="dxa"/>
            <w:vAlign w:val="top"/>
          </w:tcPr>
          <w:p>
            <w:pPr>
              <w:pStyle w:val="TableText"/>
              <w:ind w:left="509"/>
              <w:spacing w:before="89" w:line="227"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2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6513.79</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8" w:type="dxa"/>
            <w:vAlign w:val="top"/>
          </w:tcPr>
          <w:p>
            <w:pPr>
              <w:pStyle w:val="TableText"/>
              <w:ind w:left="734"/>
              <w:spacing w:before="89" w:line="227" w:lineRule="auto"/>
              <w:rPr/>
            </w:pPr>
            <w:r>
              <w:rPr>
                <w:spacing w:val="5"/>
              </w:rPr>
              <w:t>总成本费用</w:t>
            </w:r>
          </w:p>
        </w:tc>
        <w:tc>
          <w:tcPr>
            <w:tcW w:w="1566" w:type="dxa"/>
            <w:vAlign w:val="top"/>
          </w:tcPr>
          <w:p>
            <w:pPr>
              <w:pStyle w:val="TableText"/>
              <w:ind w:left="509"/>
              <w:spacing w:before="89" w:line="227"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1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4292.21</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2"/>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478" w:type="dxa"/>
            <w:vAlign w:val="top"/>
          </w:tcPr>
          <w:p>
            <w:pPr>
              <w:pStyle w:val="TableText"/>
              <w:ind w:left="833"/>
              <w:spacing w:before="86" w:line="229" w:lineRule="auto"/>
              <w:rPr/>
            </w:pPr>
            <w:r>
              <w:rPr>
                <w:spacing w:val="5"/>
              </w:rPr>
              <w:t>销项税金</w:t>
            </w:r>
          </w:p>
        </w:tc>
        <w:tc>
          <w:tcPr>
            <w:tcW w:w="1566" w:type="dxa"/>
            <w:vAlign w:val="top"/>
          </w:tcPr>
          <w:p>
            <w:pPr>
              <w:pStyle w:val="TableText"/>
              <w:ind w:left="509"/>
              <w:spacing w:before="86" w:line="229"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3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1243.17</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9"/>
              <w:spacing w:before="12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78" w:type="dxa"/>
            <w:vAlign w:val="top"/>
          </w:tcPr>
          <w:p>
            <w:pPr>
              <w:pStyle w:val="TableText"/>
              <w:ind w:left="832"/>
              <w:spacing w:before="88" w:line="228" w:lineRule="auto"/>
              <w:rPr/>
            </w:pPr>
            <w:r>
              <w:rPr>
                <w:spacing w:val="5"/>
              </w:rPr>
              <w:t>进项税金</w:t>
            </w:r>
          </w:p>
        </w:tc>
        <w:tc>
          <w:tcPr>
            <w:tcW w:w="1566" w:type="dxa"/>
            <w:vAlign w:val="top"/>
          </w:tcPr>
          <w:p>
            <w:pPr>
              <w:pStyle w:val="TableText"/>
              <w:ind w:left="509"/>
              <w:spacing w:before="88"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8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105.23</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78" w:type="dxa"/>
            <w:vAlign w:val="top"/>
          </w:tcPr>
          <w:p>
            <w:pPr>
              <w:pStyle w:val="TableText"/>
              <w:ind w:left="522"/>
              <w:spacing w:before="88" w:line="228" w:lineRule="auto"/>
              <w:rPr/>
            </w:pPr>
            <w:r>
              <w:rPr>
                <w:spacing w:val="7"/>
              </w:rPr>
              <w:t>营业税金及附加</w:t>
            </w:r>
          </w:p>
        </w:tc>
        <w:tc>
          <w:tcPr>
            <w:tcW w:w="1566" w:type="dxa"/>
            <w:vAlign w:val="top"/>
          </w:tcPr>
          <w:p>
            <w:pPr>
              <w:pStyle w:val="TableText"/>
              <w:ind w:left="509"/>
              <w:spacing w:before="88"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7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727.05</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6"/>
              <w:spacing w:before="12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78" w:type="dxa"/>
            <w:vAlign w:val="top"/>
          </w:tcPr>
          <w:p>
            <w:pPr>
              <w:pStyle w:val="TableText"/>
              <w:ind w:left="520"/>
              <w:spacing w:before="88" w:line="228" w:lineRule="auto"/>
              <w:rPr/>
            </w:pPr>
            <w:r>
              <w:rPr>
                <w:spacing w:val="7"/>
              </w:rPr>
              <w:t>城市维护建设税</w:t>
            </w:r>
          </w:p>
        </w:tc>
        <w:tc>
          <w:tcPr>
            <w:tcW w:w="1566" w:type="dxa"/>
            <w:vAlign w:val="top"/>
          </w:tcPr>
          <w:p>
            <w:pPr>
              <w:pStyle w:val="TableText"/>
              <w:ind w:left="509"/>
              <w:spacing w:before="88"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646"/>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11.38</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9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78" w:type="dxa"/>
            <w:vAlign w:val="top"/>
          </w:tcPr>
          <w:p>
            <w:pPr>
              <w:pStyle w:val="TableText"/>
              <w:ind w:left="724"/>
              <w:spacing w:before="89" w:line="227" w:lineRule="auto"/>
              <w:rPr/>
            </w:pPr>
            <w:r>
              <w:rPr>
                <w:spacing w:val="7"/>
              </w:rPr>
              <w:t>教育费附加</w:t>
            </w:r>
          </w:p>
        </w:tc>
        <w:tc>
          <w:tcPr>
            <w:tcW w:w="1566" w:type="dxa"/>
            <w:vAlign w:val="top"/>
          </w:tcPr>
          <w:p>
            <w:pPr>
              <w:pStyle w:val="TableText"/>
              <w:ind w:left="509"/>
              <w:spacing w:before="89" w:line="227"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62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56.90</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8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478" w:type="dxa"/>
            <w:vAlign w:val="top"/>
          </w:tcPr>
          <w:p>
            <w:pPr>
              <w:pStyle w:val="TableText"/>
              <w:ind w:left="725"/>
              <w:spacing w:before="89" w:line="227" w:lineRule="auto"/>
              <w:rPr/>
            </w:pPr>
            <w:r>
              <w:rPr>
                <w:spacing w:val="7"/>
              </w:rPr>
              <w:t>矿产资源税</w:t>
            </w:r>
          </w:p>
        </w:tc>
        <w:tc>
          <w:tcPr>
            <w:tcW w:w="1566" w:type="dxa"/>
            <w:vAlign w:val="top"/>
          </w:tcPr>
          <w:p>
            <w:pPr>
              <w:pStyle w:val="TableText"/>
              <w:ind w:left="509"/>
              <w:spacing w:before="89" w:line="227"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74"/>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573.77</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5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478" w:type="dxa"/>
            <w:vAlign w:val="top"/>
          </w:tcPr>
          <w:p>
            <w:pPr>
              <w:pStyle w:val="TableText"/>
              <w:ind w:left="830"/>
              <w:spacing w:before="86" w:line="229" w:lineRule="auto"/>
              <w:rPr/>
            </w:pPr>
            <w:r>
              <w:rPr>
                <w:spacing w:val="6"/>
              </w:rPr>
              <w:t>水资源税</w:t>
            </w:r>
          </w:p>
        </w:tc>
        <w:tc>
          <w:tcPr>
            <w:tcW w:w="1566" w:type="dxa"/>
            <w:vAlign w:val="top"/>
          </w:tcPr>
          <w:p>
            <w:pPr>
              <w:pStyle w:val="TableText"/>
              <w:ind w:left="509"/>
              <w:spacing w:before="86" w:line="229"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63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85.00</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5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478" w:type="dxa"/>
            <w:vAlign w:val="top"/>
          </w:tcPr>
          <w:p>
            <w:pPr>
              <w:pStyle w:val="TableText"/>
              <w:ind w:left="936"/>
              <w:spacing w:before="88" w:line="228" w:lineRule="auto"/>
              <w:rPr/>
            </w:pPr>
            <w:r>
              <w:rPr>
                <w:spacing w:val="5"/>
              </w:rPr>
              <w:t>增值税</w:t>
            </w:r>
          </w:p>
        </w:tc>
        <w:tc>
          <w:tcPr>
            <w:tcW w:w="1566" w:type="dxa"/>
            <w:vAlign w:val="top"/>
          </w:tcPr>
          <w:p>
            <w:pPr>
              <w:pStyle w:val="TableText"/>
              <w:ind w:left="509"/>
              <w:spacing w:before="88"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4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1137.94</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5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478" w:type="dxa"/>
            <w:vAlign w:val="top"/>
          </w:tcPr>
          <w:p>
            <w:pPr>
              <w:pStyle w:val="TableText"/>
              <w:ind w:left="830"/>
              <w:spacing w:before="88" w:line="228" w:lineRule="auto"/>
              <w:rPr/>
            </w:pPr>
            <w:r>
              <w:rPr>
                <w:spacing w:val="6"/>
              </w:rPr>
              <w:t>利润总额</w:t>
            </w:r>
          </w:p>
        </w:tc>
        <w:tc>
          <w:tcPr>
            <w:tcW w:w="1566" w:type="dxa"/>
            <w:vAlign w:val="top"/>
          </w:tcPr>
          <w:p>
            <w:pPr>
              <w:pStyle w:val="TableText"/>
              <w:ind w:left="509"/>
              <w:spacing w:before="88"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1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4648.80</w:t>
            </w:r>
          </w:p>
        </w:tc>
        <w:tc>
          <w:tcPr>
            <w:tcW w:w="2430" w:type="dxa"/>
            <w:vAlign w:val="top"/>
            <w:tcBorders>
              <w:right w:val="nil"/>
            </w:tcBorders>
          </w:tcPr>
          <w:p>
            <w:pPr>
              <w:rPr>
                <w:rFonts w:ascii="Arial"/>
                <w:sz w:val="21"/>
              </w:rPr>
            </w:pPr>
            <w:r/>
          </w:p>
        </w:tc>
      </w:tr>
      <w:tr>
        <w:trPr>
          <w:trHeight w:val="345" w:hRule="atLeast"/>
        </w:trPr>
        <w:tc>
          <w:tcPr>
            <w:tcW w:w="863" w:type="dxa"/>
            <w:vAlign w:val="top"/>
            <w:tcBorders>
              <w:left w:val="nil"/>
            </w:tcBorders>
          </w:tcPr>
          <w:p>
            <w:pPr>
              <w:ind w:left="35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478" w:type="dxa"/>
            <w:vAlign w:val="top"/>
          </w:tcPr>
          <w:p>
            <w:pPr>
              <w:pStyle w:val="TableText"/>
              <w:ind w:left="937"/>
              <w:spacing w:before="88" w:line="228" w:lineRule="auto"/>
              <w:rPr/>
            </w:pPr>
            <w:r>
              <w:rPr>
                <w:spacing w:val="4"/>
              </w:rPr>
              <w:t>所得税</w:t>
            </w:r>
          </w:p>
        </w:tc>
        <w:tc>
          <w:tcPr>
            <w:tcW w:w="1566" w:type="dxa"/>
            <w:vAlign w:val="top"/>
          </w:tcPr>
          <w:p>
            <w:pPr>
              <w:pStyle w:val="TableText"/>
              <w:ind w:left="509"/>
              <w:spacing w:before="88" w:line="228"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Pr>
          <w:p>
            <w:pPr>
              <w:ind w:left="54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1162.20</w:t>
            </w:r>
          </w:p>
        </w:tc>
        <w:tc>
          <w:tcPr>
            <w:tcW w:w="2430" w:type="dxa"/>
            <w:vAlign w:val="top"/>
            <w:tcBorders>
              <w:right w:val="nil"/>
            </w:tcBorders>
          </w:tcPr>
          <w:p>
            <w:pPr>
              <w:rPr>
                <w:rFonts w:ascii="Arial"/>
                <w:sz w:val="21"/>
              </w:rPr>
            </w:pPr>
            <w:r/>
          </w:p>
        </w:tc>
      </w:tr>
      <w:tr>
        <w:trPr>
          <w:trHeight w:val="366" w:hRule="atLeast"/>
        </w:trPr>
        <w:tc>
          <w:tcPr>
            <w:tcW w:w="863" w:type="dxa"/>
            <w:vAlign w:val="top"/>
            <w:tcBorders>
              <w:left w:val="nil"/>
              <w:bottom w:val="single" w:color="000000" w:sz="10" w:space="0"/>
            </w:tcBorders>
          </w:tcPr>
          <w:p>
            <w:pPr>
              <w:ind w:left="35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478" w:type="dxa"/>
            <w:vAlign w:val="top"/>
            <w:tcBorders>
              <w:bottom w:val="single" w:color="000000" w:sz="10" w:space="0"/>
            </w:tcBorders>
          </w:tcPr>
          <w:p>
            <w:pPr>
              <w:pStyle w:val="TableText"/>
              <w:ind w:left="830"/>
              <w:spacing w:before="88" w:line="231" w:lineRule="auto"/>
              <w:rPr/>
            </w:pPr>
            <w:r>
              <w:rPr>
                <w:spacing w:val="5"/>
              </w:rPr>
              <w:t>税后利润</w:t>
            </w:r>
          </w:p>
        </w:tc>
        <w:tc>
          <w:tcPr>
            <w:tcW w:w="1566" w:type="dxa"/>
            <w:vAlign w:val="top"/>
            <w:tcBorders>
              <w:bottom w:val="single" w:color="000000" w:sz="10" w:space="0"/>
            </w:tcBorders>
          </w:tcPr>
          <w:p>
            <w:pPr>
              <w:pStyle w:val="TableText"/>
              <w:ind w:left="509"/>
              <w:spacing w:before="89" w:line="234" w:lineRule="auto"/>
              <w:rPr>
                <w:rFonts w:ascii="Times New Roman" w:hAnsi="Times New Roman" w:eastAsia="Times New Roman" w:cs="Times New Roman"/>
              </w:rPr>
            </w:pPr>
            <w:r>
              <w:rPr>
                <w:spacing w:val="2"/>
              </w:rPr>
              <w:t>万元</w:t>
            </w:r>
            <w:r>
              <w:rPr>
                <w:rFonts w:ascii="Times New Roman" w:hAnsi="Times New Roman" w:eastAsia="Times New Roman" w:cs="Times New Roman"/>
                <w:spacing w:val="2"/>
              </w:rPr>
              <w:t>/a</w:t>
            </w:r>
          </w:p>
        </w:tc>
        <w:tc>
          <w:tcPr>
            <w:tcW w:w="1713" w:type="dxa"/>
            <w:vAlign w:val="top"/>
            <w:tcBorders>
              <w:bottom w:val="single" w:color="000000" w:sz="10" w:space="0"/>
            </w:tcBorders>
          </w:tcPr>
          <w:p>
            <w:pPr>
              <w:ind w:left="52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3486.60</w:t>
            </w:r>
          </w:p>
        </w:tc>
        <w:tc>
          <w:tcPr>
            <w:tcW w:w="2430"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30"/>
          <w:pgSz w:w="11911" w:h="16839"/>
          <w:pgMar w:top="400" w:right="1240" w:bottom="1146" w:left="1620" w:header="0" w:footer="984" w:gutter="0"/>
        </w:sectPr>
        <w:rPr/>
      </w:pPr>
    </w:p>
    <w:p>
      <w:pPr>
        <w:spacing w:before="13"/>
        <w:rPr/>
      </w:pPr>
      <w:r/>
    </w:p>
    <w:p>
      <w:pPr>
        <w:spacing w:before="13"/>
        <w:rPr/>
      </w:pPr>
      <w:r/>
    </w:p>
    <w:p>
      <w:pPr>
        <w:spacing w:before="13"/>
        <w:rPr/>
      </w:pPr>
      <w:r/>
    </w:p>
    <w:p>
      <w:pPr>
        <w:spacing w:before="12"/>
        <w:rPr/>
      </w:pPr>
      <w:r/>
    </w:p>
    <w:tbl>
      <w:tblPr>
        <w:tblStyle w:val="TableNormal"/>
        <w:tblW w:w="905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3"/>
        <w:gridCol w:w="2478"/>
        <w:gridCol w:w="1566"/>
        <w:gridCol w:w="1713"/>
        <w:gridCol w:w="2430"/>
      </w:tblGrid>
      <w:tr>
        <w:trPr>
          <w:trHeight w:val="343" w:hRule="atLeast"/>
        </w:trPr>
        <w:tc>
          <w:tcPr>
            <w:tcW w:w="863" w:type="dxa"/>
            <w:vAlign w:val="top"/>
            <w:tcBorders>
              <w:top w:val="single" w:color="000000" w:sz="10" w:space="0"/>
              <w:left w:val="nil"/>
            </w:tcBorders>
          </w:tcPr>
          <w:p>
            <w:pPr>
              <w:pStyle w:val="TableText"/>
              <w:ind w:left="347"/>
              <w:spacing w:before="69" w:line="233" w:lineRule="auto"/>
              <w:rPr/>
            </w:pPr>
            <w:bookmarkStart w:name="bookmark550" w:id="216"/>
            <w:bookmarkEnd w:id="216"/>
            <w:r>
              <w:rPr/>
              <w:t>九</w:t>
            </w:r>
          </w:p>
        </w:tc>
        <w:tc>
          <w:tcPr>
            <w:tcW w:w="2478" w:type="dxa"/>
            <w:vAlign w:val="top"/>
            <w:tcBorders>
              <w:top w:val="single" w:color="000000" w:sz="10" w:space="0"/>
            </w:tcBorders>
          </w:tcPr>
          <w:p>
            <w:pPr>
              <w:pStyle w:val="TableText"/>
              <w:ind w:left="834"/>
              <w:spacing w:before="69" w:line="230" w:lineRule="auto"/>
              <w:rPr/>
            </w:pPr>
            <w:r>
              <w:rPr>
                <w:spacing w:val="5"/>
              </w:rPr>
              <w:t>盈利能力</w:t>
            </w:r>
          </w:p>
        </w:tc>
        <w:tc>
          <w:tcPr>
            <w:tcW w:w="1566" w:type="dxa"/>
            <w:vAlign w:val="top"/>
            <w:tcBorders>
              <w:top w:val="single" w:color="000000" w:sz="10" w:space="0"/>
            </w:tcBorders>
          </w:tcPr>
          <w:p>
            <w:pPr>
              <w:rPr>
                <w:rFonts w:ascii="Arial"/>
                <w:sz w:val="21"/>
              </w:rPr>
            </w:pPr>
            <w:r/>
          </w:p>
        </w:tc>
        <w:tc>
          <w:tcPr>
            <w:tcW w:w="1713" w:type="dxa"/>
            <w:vAlign w:val="top"/>
            <w:tcBorders>
              <w:top w:val="single" w:color="000000" w:sz="10" w:space="0"/>
            </w:tcBorders>
          </w:tcPr>
          <w:p>
            <w:pPr>
              <w:rPr>
                <w:rFonts w:ascii="Arial"/>
                <w:sz w:val="21"/>
              </w:rPr>
            </w:pPr>
            <w:r/>
          </w:p>
        </w:tc>
        <w:tc>
          <w:tcPr>
            <w:tcW w:w="2430" w:type="dxa"/>
            <w:vAlign w:val="top"/>
            <w:tcBorders>
              <w:top w:val="single" w:color="000000" w:sz="10" w:space="0"/>
              <w:right w:val="nil"/>
            </w:tcBorders>
          </w:tcPr>
          <w:p>
            <w:pPr>
              <w:rPr>
                <w:rFonts w:ascii="Arial"/>
                <w:sz w:val="21"/>
              </w:rPr>
            </w:pPr>
            <w:r/>
          </w:p>
        </w:tc>
      </w:tr>
      <w:tr>
        <w:trPr>
          <w:trHeight w:val="339" w:hRule="atLeast"/>
        </w:trPr>
        <w:tc>
          <w:tcPr>
            <w:tcW w:w="863" w:type="dxa"/>
            <w:vAlign w:val="top"/>
            <w:tcBorders>
              <w:left w:val="nil"/>
            </w:tcBorders>
          </w:tcPr>
          <w:p>
            <w:pPr>
              <w:ind w:left="40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78" w:type="dxa"/>
            <w:vAlign w:val="top"/>
          </w:tcPr>
          <w:p>
            <w:pPr>
              <w:pStyle w:val="TableText"/>
              <w:ind w:left="122"/>
              <w:spacing w:before="71" w:line="231" w:lineRule="auto"/>
              <w:rPr/>
            </w:pPr>
            <w:r>
              <w:rPr>
                <w:spacing w:val="7"/>
              </w:rPr>
              <w:t>财务内部收益率（税后）</w:t>
            </w:r>
          </w:p>
        </w:tc>
        <w:tc>
          <w:tcPr>
            <w:tcW w:w="1566" w:type="dxa"/>
            <w:vAlign w:val="top"/>
          </w:tcPr>
          <w:p>
            <w:pPr>
              <w:ind w:left="70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38.25</w:t>
            </w:r>
          </w:p>
        </w:tc>
        <w:tc>
          <w:tcPr>
            <w:tcW w:w="2430" w:type="dxa"/>
            <w:vAlign w:val="top"/>
            <w:tcBorders>
              <w:right w:val="nil"/>
            </w:tcBorders>
          </w:tcPr>
          <w:p>
            <w:pPr>
              <w:rPr>
                <w:rFonts w:ascii="Arial"/>
                <w:sz w:val="21"/>
              </w:rPr>
            </w:pPr>
            <w:r/>
          </w:p>
        </w:tc>
      </w:tr>
      <w:tr>
        <w:trPr>
          <w:trHeight w:val="339" w:hRule="atLeast"/>
        </w:trPr>
        <w:tc>
          <w:tcPr>
            <w:tcW w:w="863" w:type="dxa"/>
            <w:vAlign w:val="top"/>
            <w:tcBorders>
              <w:left w:val="nil"/>
            </w:tcBorders>
          </w:tcPr>
          <w:p>
            <w:pPr>
              <w:ind w:left="383"/>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78" w:type="dxa"/>
            <w:vAlign w:val="top"/>
          </w:tcPr>
          <w:p>
            <w:pPr>
              <w:pStyle w:val="TableText"/>
              <w:ind w:left="724"/>
              <w:spacing w:before="77" w:line="232" w:lineRule="auto"/>
              <w:rPr/>
            </w:pPr>
            <w:r>
              <w:rPr>
                <w:spacing w:val="7"/>
              </w:rPr>
              <w:t>投资收益率</w:t>
            </w:r>
          </w:p>
        </w:tc>
        <w:tc>
          <w:tcPr>
            <w:tcW w:w="1566" w:type="dxa"/>
            <w:vAlign w:val="top"/>
          </w:tcPr>
          <w:p>
            <w:pPr>
              <w:ind w:left="700"/>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13" w:type="dxa"/>
            <w:vAlign w:val="top"/>
          </w:tcPr>
          <w:p>
            <w:pPr>
              <w:ind w:left="626"/>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38.34</w:t>
            </w:r>
          </w:p>
        </w:tc>
        <w:tc>
          <w:tcPr>
            <w:tcW w:w="2430" w:type="dxa"/>
            <w:vAlign w:val="top"/>
            <w:tcBorders>
              <w:right w:val="nil"/>
            </w:tcBorders>
          </w:tcPr>
          <w:p>
            <w:pPr>
              <w:rPr>
                <w:rFonts w:ascii="Arial"/>
                <w:sz w:val="21"/>
              </w:rPr>
            </w:pPr>
            <w:r/>
          </w:p>
        </w:tc>
      </w:tr>
      <w:tr>
        <w:trPr>
          <w:trHeight w:val="362" w:hRule="atLeast"/>
        </w:trPr>
        <w:tc>
          <w:tcPr>
            <w:tcW w:w="863" w:type="dxa"/>
            <w:vAlign w:val="top"/>
            <w:tcBorders>
              <w:bottom w:val="single" w:color="000000" w:sz="10" w:space="0"/>
              <w:left w:val="nil"/>
            </w:tcBorders>
          </w:tcPr>
          <w:p>
            <w:pPr>
              <w:ind w:left="38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78" w:type="dxa"/>
            <w:vAlign w:val="top"/>
            <w:tcBorders>
              <w:bottom w:val="single" w:color="000000" w:sz="10" w:space="0"/>
            </w:tcBorders>
          </w:tcPr>
          <w:p>
            <w:pPr>
              <w:pStyle w:val="TableText"/>
              <w:ind w:left="304"/>
              <w:spacing w:before="84" w:line="231" w:lineRule="auto"/>
              <w:rPr/>
            </w:pPr>
            <w:r>
              <w:rPr>
                <w:spacing w:val="7"/>
              </w:rPr>
              <w:t>投资回收期（税后）</w:t>
            </w:r>
          </w:p>
        </w:tc>
        <w:tc>
          <w:tcPr>
            <w:tcW w:w="1566" w:type="dxa"/>
            <w:vAlign w:val="top"/>
            <w:tcBorders>
              <w:bottom w:val="single" w:color="000000" w:sz="10" w:space="0"/>
            </w:tcBorders>
          </w:tcPr>
          <w:p>
            <w:pPr>
              <w:pStyle w:val="TableText"/>
              <w:ind w:left="694"/>
              <w:spacing w:before="84" w:line="231" w:lineRule="auto"/>
              <w:rPr/>
            </w:pPr>
            <w:r>
              <w:rPr/>
              <w:t>年</w:t>
            </w:r>
          </w:p>
        </w:tc>
        <w:tc>
          <w:tcPr>
            <w:tcW w:w="1713" w:type="dxa"/>
            <w:vAlign w:val="top"/>
            <w:tcBorders>
              <w:bottom w:val="single" w:color="000000" w:sz="10" w:space="0"/>
            </w:tcBorders>
          </w:tcPr>
          <w:p>
            <w:pPr>
              <w:ind w:left="679"/>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3.57</w:t>
            </w:r>
          </w:p>
        </w:tc>
        <w:tc>
          <w:tcPr>
            <w:tcW w:w="2430" w:type="dxa"/>
            <w:vAlign w:val="top"/>
            <w:tcBorders>
              <w:bottom w:val="single" w:color="000000" w:sz="10" w:space="0"/>
              <w:right w:val="nil"/>
            </w:tcBorders>
          </w:tcPr>
          <w:p>
            <w:pPr>
              <w:pStyle w:val="TableText"/>
              <w:ind w:left="518"/>
              <w:spacing w:before="84" w:line="231" w:lineRule="auto"/>
              <w:rPr/>
            </w:pPr>
            <w:r>
              <w:rPr/>
              <w:t>含</w:t>
            </w:r>
            <w:r>
              <w:rPr>
                <w:spacing w:val="-23"/>
              </w:rPr>
              <w:t xml:space="preserve"> </w:t>
            </w:r>
            <w:r>
              <w:rPr>
                <w:rFonts w:ascii="Times New Roman" w:hAnsi="Times New Roman" w:eastAsia="Times New Roman" w:cs="Times New Roman"/>
              </w:rPr>
              <w:t>1.5</w:t>
            </w:r>
            <w:r>
              <w:rPr>
                <w:rFonts w:ascii="Times New Roman" w:hAnsi="Times New Roman" w:eastAsia="Times New Roman" w:cs="Times New Roman"/>
                <w:spacing w:val="22"/>
                <w:w w:val="101"/>
              </w:rPr>
              <w:t xml:space="preserve"> </w:t>
            </w:r>
            <w:r>
              <w:rPr/>
              <w:t>年建设期</w:t>
            </w:r>
          </w:p>
        </w:tc>
      </w:tr>
    </w:tbl>
    <w:p>
      <w:pPr>
        <w:pStyle w:val="BodyText"/>
        <w:spacing w:line="361" w:lineRule="auto"/>
        <w:rPr/>
      </w:pPr>
      <w:r/>
    </w:p>
    <w:p>
      <w:pPr>
        <w:ind w:left="184"/>
        <w:spacing w:before="91" w:line="221" w:lineRule="auto"/>
        <w:outlineLvl w:val="1"/>
        <w:rPr>
          <w:rFonts w:ascii="FangSong" w:hAnsi="FangSong" w:eastAsia="FangSong" w:cs="FangSong"/>
          <w:sz w:val="28"/>
          <w:szCs w:val="28"/>
        </w:rPr>
      </w:pPr>
      <w:bookmarkStart w:name="bookmark157" w:id="217"/>
      <w:bookmarkEnd w:id="217"/>
      <w:bookmarkStart w:name="bookmark159" w:id="218"/>
      <w:bookmarkEnd w:id="218"/>
      <w:bookmarkStart w:name="bookmark156" w:id="219"/>
      <w:bookmarkEnd w:id="219"/>
      <w:bookmarkStart w:name="bookmark158" w:id="220"/>
      <w:bookmarkEnd w:id="220"/>
      <w:r>
        <w:rPr>
          <w:rFonts w:ascii="Times New Roman" w:hAnsi="Times New Roman" w:eastAsia="Times New Roman" w:cs="Times New Roman"/>
          <w:sz w:val="28"/>
          <w:szCs w:val="28"/>
          <w:b/>
          <w:bCs/>
          <w:spacing w:val="-5"/>
        </w:rPr>
        <w:t>4.9</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5"/>
        </w:rPr>
        <w:t>工程布局情况</w:t>
      </w:r>
    </w:p>
    <w:p>
      <w:pPr>
        <w:ind w:left="183"/>
        <w:spacing w:before="204" w:line="220" w:lineRule="auto"/>
        <w:outlineLvl w:val="2"/>
        <w:rPr>
          <w:rFonts w:ascii="FangSong" w:hAnsi="FangSong" w:eastAsia="FangSong" w:cs="FangSong"/>
          <w:sz w:val="24"/>
          <w:szCs w:val="24"/>
        </w:rPr>
      </w:pPr>
      <w:bookmarkStart w:name="bookmark551" w:id="221"/>
      <w:bookmarkEnd w:id="221"/>
      <w:r>
        <w:rPr>
          <w:rFonts w:ascii="Times New Roman" w:hAnsi="Times New Roman" w:eastAsia="Times New Roman" w:cs="Times New Roman"/>
          <w:sz w:val="24"/>
          <w:szCs w:val="24"/>
          <w:b/>
          <w:bCs/>
          <w:spacing w:val="-4"/>
        </w:rPr>
        <w:t>4.9.1</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布局设计原则</w:t>
      </w:r>
    </w:p>
    <w:p>
      <w:pPr>
        <w:ind w:left="196" w:right="177" w:firstLine="482"/>
        <w:spacing w:before="181"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）根据当地自然条件，结合厂区地形及外部货流方向，尽可能使生产流程和</w:t>
      </w:r>
      <w:r>
        <w:rPr>
          <w:rFonts w:ascii="FangSong" w:hAnsi="FangSong" w:eastAsia="FangSong" w:cs="FangSong"/>
          <w:sz w:val="24"/>
          <w:szCs w:val="24"/>
          <w:spacing w:val="-2"/>
        </w:rPr>
        <w:t>大宗货流的流向相一致。</w:t>
      </w:r>
    </w:p>
    <w:p>
      <w:pPr>
        <w:ind w:left="678"/>
        <w:spacing w:before="180"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）企业总体布置应符合环境保护要求。</w:t>
      </w:r>
    </w:p>
    <w:p>
      <w:pPr>
        <w:ind w:left="201" w:right="177" w:firstLine="477"/>
        <w:spacing w:before="178" w:line="292"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）企业总体布置中应贯彻节约用地的方针，不占良田，少</w:t>
      </w:r>
      <w:r>
        <w:rPr>
          <w:rFonts w:ascii="FangSong" w:hAnsi="FangSong" w:eastAsia="FangSong" w:cs="FangSong"/>
          <w:sz w:val="24"/>
          <w:szCs w:val="24"/>
          <w:spacing w:val="-63"/>
        </w:rPr>
        <w:t xml:space="preserve"> </w:t>
      </w:r>
      <w:r>
        <w:rPr>
          <w:rFonts w:ascii="FangSong" w:hAnsi="FangSong" w:eastAsia="FangSong" w:cs="FangSong"/>
          <w:sz w:val="24"/>
          <w:szCs w:val="24"/>
          <w:spacing w:val="-4"/>
        </w:rPr>
        <w:t>占耕地，</w:t>
      </w:r>
      <w:r>
        <w:rPr>
          <w:rFonts w:ascii="FangSong" w:hAnsi="FangSong" w:eastAsia="FangSong" w:cs="FangSong"/>
          <w:sz w:val="24"/>
          <w:szCs w:val="24"/>
          <w:spacing w:val="-5"/>
        </w:rPr>
        <w:t>充分利用</w:t>
      </w:r>
      <w:r>
        <w:rPr>
          <w:rFonts w:ascii="FangSong" w:hAnsi="FangSong" w:eastAsia="FangSong" w:cs="FangSong"/>
          <w:sz w:val="24"/>
          <w:szCs w:val="24"/>
          <w:spacing w:val="-4"/>
        </w:rPr>
        <w:t>劣地和荒地。</w:t>
      </w:r>
    </w:p>
    <w:p>
      <w:pPr>
        <w:ind w:left="678"/>
        <w:spacing w:before="175"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）近矿、近水、近电。</w:t>
      </w:r>
    </w:p>
    <w:p>
      <w:pPr>
        <w:ind w:left="678"/>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）企业内外部运输便利。</w:t>
      </w:r>
    </w:p>
    <w:p>
      <w:pPr>
        <w:ind w:left="183"/>
        <w:spacing w:before="177" w:line="220" w:lineRule="auto"/>
        <w:outlineLvl w:val="2"/>
        <w:rPr>
          <w:rFonts w:ascii="FangSong" w:hAnsi="FangSong" w:eastAsia="FangSong" w:cs="FangSong"/>
          <w:sz w:val="24"/>
          <w:szCs w:val="24"/>
        </w:rPr>
      </w:pPr>
      <w:bookmarkStart w:name="bookmark161" w:id="222"/>
      <w:bookmarkEnd w:id="222"/>
      <w:bookmarkStart w:name="bookmark160" w:id="223"/>
      <w:bookmarkEnd w:id="223"/>
      <w:r>
        <w:rPr>
          <w:rFonts w:ascii="Times New Roman" w:hAnsi="Times New Roman" w:eastAsia="Times New Roman" w:cs="Times New Roman"/>
          <w:sz w:val="24"/>
          <w:szCs w:val="24"/>
          <w:b/>
          <w:bCs/>
          <w:spacing w:val="-4"/>
        </w:rPr>
        <w:t>4.9.2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总平面布置</w:t>
      </w:r>
    </w:p>
    <w:p>
      <w:pPr>
        <w:ind w:left="183"/>
        <w:spacing w:before="182"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4.9.2.1  </w:t>
      </w:r>
      <w:r>
        <w:rPr>
          <w:rFonts w:ascii="FangSong" w:hAnsi="FangSong" w:eastAsia="FangSong" w:cs="FangSong"/>
          <w:sz w:val="24"/>
          <w:szCs w:val="24"/>
          <w:b/>
          <w:bCs/>
          <w:spacing w:val="-2"/>
        </w:rPr>
        <w:t>采区平面布置</w:t>
      </w:r>
    </w:p>
    <w:p>
      <w:pPr>
        <w:ind w:left="195" w:right="177" w:firstLine="477"/>
        <w:spacing w:before="182" w:line="358" w:lineRule="auto"/>
        <w:rPr>
          <w:rFonts w:ascii="FangSong" w:hAnsi="FangSong" w:eastAsia="FangSong" w:cs="FangSong"/>
          <w:sz w:val="24"/>
          <w:szCs w:val="24"/>
        </w:rPr>
      </w:pPr>
      <w:r>
        <w:rPr>
          <w:rFonts w:ascii="FangSong" w:hAnsi="FangSong" w:eastAsia="FangSong" w:cs="FangSong"/>
          <w:sz w:val="24"/>
          <w:szCs w:val="24"/>
        </w:rPr>
        <w:t>设计地下开采采用竖井开拓方式，</w:t>
      </w:r>
      <w:r>
        <w:rPr>
          <w:rFonts w:ascii="FangSong" w:hAnsi="FangSong" w:eastAsia="FangSong" w:cs="FangSong"/>
          <w:sz w:val="24"/>
          <w:szCs w:val="24"/>
          <w:spacing w:val="-55"/>
        </w:rPr>
        <w:t xml:space="preserve"> </w:t>
      </w:r>
      <w:r>
        <w:rPr>
          <w:rFonts w:ascii="FangSong" w:hAnsi="FangSong" w:eastAsia="FangSong" w:cs="FangSong"/>
          <w:sz w:val="24"/>
          <w:szCs w:val="24"/>
        </w:rPr>
        <w:t>由主井（</w:t>
      </w:r>
      <w:r>
        <w:rPr>
          <w:rFonts w:ascii="Times New Roman" w:hAnsi="Times New Roman" w:eastAsia="Times New Roman" w:cs="Times New Roman"/>
          <w:sz w:val="24"/>
          <w:szCs w:val="24"/>
        </w:rPr>
        <w:t>SJ1</w:t>
      </w:r>
      <w:r>
        <w:rPr>
          <w:rFonts w:ascii="FangSong" w:hAnsi="FangSong" w:eastAsia="FangSong" w:cs="FangSong"/>
          <w:sz w:val="24"/>
          <w:szCs w:val="24"/>
        </w:rPr>
        <w:t>）、通风井（</w:t>
      </w:r>
      <w:r>
        <w:rPr>
          <w:rFonts w:ascii="Times New Roman" w:hAnsi="Times New Roman" w:eastAsia="Times New Roman" w:cs="Times New Roman"/>
          <w:sz w:val="24"/>
          <w:szCs w:val="24"/>
        </w:rPr>
        <w:t>SJ2</w:t>
      </w:r>
      <w:r>
        <w:rPr>
          <w:rFonts w:ascii="FangSong" w:hAnsi="FangSong" w:eastAsia="FangSong" w:cs="FangSong"/>
          <w:sz w:val="24"/>
          <w:szCs w:val="24"/>
        </w:rPr>
        <w:t>）及井下各中</w:t>
      </w:r>
      <w:r>
        <w:rPr>
          <w:rFonts w:ascii="FangSong" w:hAnsi="FangSong" w:eastAsia="FangSong" w:cs="FangSong"/>
          <w:sz w:val="24"/>
          <w:szCs w:val="24"/>
          <w:spacing w:val="-1"/>
        </w:rPr>
        <w:t>段运输巷道、联络巷道等组成，项目厂区平面布置图见附图</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4-4</w:t>
      </w:r>
      <w:r>
        <w:rPr>
          <w:rFonts w:ascii="FangSong" w:hAnsi="FangSong" w:eastAsia="FangSong" w:cs="FangSong"/>
          <w:sz w:val="24"/>
          <w:szCs w:val="24"/>
          <w:spacing w:val="-1"/>
        </w:rPr>
        <w:t>。</w:t>
      </w:r>
    </w:p>
    <w:p>
      <w:pPr>
        <w:ind w:left="181" w:right="115" w:firstLine="498"/>
        <w:spacing w:before="5" w:line="358" w:lineRule="auto"/>
        <w:jc w:val="both"/>
        <w:rPr>
          <w:rFonts w:ascii="FangSong" w:hAnsi="FangSong" w:eastAsia="FangSong" w:cs="FangSong"/>
          <w:sz w:val="24"/>
          <w:szCs w:val="24"/>
        </w:rPr>
      </w:pPr>
      <w:r>
        <w:rPr>
          <w:rFonts w:ascii="FangSong" w:hAnsi="FangSong" w:eastAsia="FangSong" w:cs="FangSong"/>
          <w:sz w:val="24"/>
          <w:szCs w:val="24"/>
          <w:spacing w:val="-5"/>
        </w:rPr>
        <w:t>主井（</w:t>
      </w:r>
      <w:r>
        <w:rPr>
          <w:rFonts w:ascii="Times New Roman" w:hAnsi="Times New Roman" w:eastAsia="Times New Roman" w:cs="Times New Roman"/>
          <w:sz w:val="24"/>
          <w:szCs w:val="24"/>
          <w:spacing w:val="-5"/>
        </w:rPr>
        <w:t>SJ1</w:t>
      </w:r>
      <w:r>
        <w:rPr>
          <w:rFonts w:ascii="FangSong" w:hAnsi="FangSong" w:eastAsia="FangSong" w:cs="FangSong"/>
          <w:sz w:val="24"/>
          <w:szCs w:val="24"/>
          <w:spacing w:val="-5"/>
        </w:rPr>
        <w:t>）位于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58</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5"/>
        </w:rPr>
        <w:t>号勘探线矿体下盘，井口坐标（</w:t>
      </w:r>
      <w:r>
        <w:rPr>
          <w:rFonts w:ascii="Times New Roman" w:hAnsi="Times New Roman" w:eastAsia="Times New Roman" w:cs="Times New Roman"/>
          <w:sz w:val="24"/>
          <w:szCs w:val="24"/>
          <w:spacing w:val="-5"/>
        </w:rPr>
        <w:t>2000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5"/>
        </w:rPr>
        <w:t>国</w:t>
      </w:r>
      <w:r>
        <w:rPr>
          <w:rFonts w:ascii="FangSong" w:hAnsi="FangSong" w:eastAsia="FangSong" w:cs="FangSong"/>
          <w:sz w:val="24"/>
          <w:szCs w:val="24"/>
          <w:spacing w:val="-6"/>
        </w:rPr>
        <w:t>家大地坐标系）</w:t>
      </w:r>
      <w:r>
        <w:rPr>
          <w:rFonts w:ascii="Times New Roman" w:hAnsi="Times New Roman" w:eastAsia="Times New Roman" w:cs="Times New Roman"/>
          <w:sz w:val="24"/>
          <w:szCs w:val="24"/>
          <w:spacing w:val="-6"/>
        </w:rPr>
        <w:t>X</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4765826.30</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Y</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38412079.92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Z</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1044.50m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，井底标高</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825.00m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，井深</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219.50m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w:t>
      </w:r>
      <w:r>
        <w:rPr>
          <w:rFonts w:ascii="FangSong" w:hAnsi="FangSong" w:eastAsia="FangSong" w:cs="FangSong"/>
          <w:sz w:val="24"/>
          <w:szCs w:val="24"/>
          <w:spacing w:val="-3"/>
        </w:rPr>
        <w:t>井筒净直径</w:t>
      </w:r>
      <w:r>
        <w:rPr>
          <w:rFonts w:ascii="Times New Roman" w:hAnsi="Times New Roman" w:eastAsia="Times New Roman" w:cs="Times New Roman"/>
          <w:sz w:val="24"/>
          <w:szCs w:val="24"/>
          <w:spacing w:val="-3"/>
        </w:rPr>
        <w:t>φ4.5m</w:t>
      </w:r>
      <w:r>
        <w:rPr>
          <w:rFonts w:ascii="FangSong" w:hAnsi="FangSong" w:eastAsia="FangSong" w:cs="FangSong"/>
          <w:sz w:val="24"/>
          <w:szCs w:val="24"/>
          <w:spacing w:val="-3"/>
        </w:rPr>
        <w:t>；设计采用多绳双层罐笼配平衡锤的提升方式，采用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JKMD-2.25×4</w:t>
      </w:r>
      <w:r>
        <w:rPr>
          <w:rFonts w:ascii="Times New Roman" w:hAnsi="Times New Roman" w:eastAsia="Times New Roman" w:cs="Times New Roman"/>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I</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E</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3"/>
        </w:rPr>
        <w:t>型落地式多绳摩擦提升机，配套电机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400kW</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。主要承担井下各生产中段的矿</w:t>
      </w:r>
      <w:r>
        <w:rPr>
          <w:rFonts w:ascii="FangSong" w:hAnsi="FangSong" w:eastAsia="FangSong" w:cs="FangSong"/>
          <w:sz w:val="24"/>
          <w:szCs w:val="24"/>
          <w:spacing w:val="1"/>
        </w:rPr>
        <w:t>（废）石、材料、设备的提升任务和人员出入，井内布置排水、压气、供水、动力</w:t>
      </w:r>
      <w:r>
        <w:rPr>
          <w:rFonts w:ascii="FangSong" w:hAnsi="FangSong" w:eastAsia="FangSong" w:cs="FangSong"/>
          <w:sz w:val="24"/>
          <w:szCs w:val="24"/>
          <w:spacing w:val="-3"/>
        </w:rPr>
        <w:t>电缆及通信电缆，同时兼作进风井及安全出</w:t>
      </w:r>
      <w:r>
        <w:rPr>
          <w:rFonts w:ascii="FangSong" w:hAnsi="FangSong" w:eastAsia="FangSong" w:cs="FangSong"/>
          <w:sz w:val="24"/>
          <w:szCs w:val="24"/>
          <w:spacing w:val="-61"/>
        </w:rPr>
        <w:t xml:space="preserve"> </w:t>
      </w:r>
      <w:r>
        <w:rPr>
          <w:rFonts w:ascii="FangSong" w:hAnsi="FangSong" w:eastAsia="FangSong" w:cs="FangSong"/>
          <w:sz w:val="24"/>
          <w:szCs w:val="24"/>
          <w:spacing w:val="-3"/>
        </w:rPr>
        <w:t>口。</w:t>
      </w:r>
    </w:p>
    <w:p>
      <w:pPr>
        <w:ind w:left="678"/>
        <w:spacing w:before="5" w:line="222" w:lineRule="auto"/>
        <w:rPr>
          <w:rFonts w:ascii="FangSong" w:hAnsi="FangSong" w:eastAsia="FangSong" w:cs="FangSong"/>
          <w:sz w:val="24"/>
          <w:szCs w:val="24"/>
        </w:rPr>
      </w:pPr>
      <w:r>
        <w:rPr>
          <w:rFonts w:ascii="FangSong" w:hAnsi="FangSong" w:eastAsia="FangSong" w:cs="FangSong"/>
          <w:sz w:val="24"/>
          <w:szCs w:val="24"/>
          <w:spacing w:val="-2"/>
        </w:rPr>
        <w:t>通风井（</w:t>
      </w:r>
      <w:r>
        <w:rPr>
          <w:rFonts w:ascii="Times New Roman" w:hAnsi="Times New Roman" w:eastAsia="Times New Roman" w:cs="Times New Roman"/>
          <w:sz w:val="24"/>
          <w:szCs w:val="24"/>
          <w:spacing w:val="-2"/>
        </w:rPr>
        <w:t>SJ2</w:t>
      </w:r>
      <w:r>
        <w:rPr>
          <w:rFonts w:ascii="FangSong" w:hAnsi="FangSong" w:eastAsia="FangSong" w:cs="FangSong"/>
          <w:sz w:val="24"/>
          <w:szCs w:val="24"/>
          <w:spacing w:val="-2"/>
        </w:rPr>
        <w:t>）位于</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57</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号勘探线矿体下盘，井口坐</w:t>
      </w:r>
      <w:r>
        <w:rPr>
          <w:rFonts w:ascii="FangSong" w:hAnsi="FangSong" w:eastAsia="FangSong" w:cs="FangSong"/>
          <w:sz w:val="24"/>
          <w:szCs w:val="24"/>
          <w:spacing w:val="-3"/>
        </w:rPr>
        <w:t>标（</w:t>
      </w:r>
      <w:r>
        <w:rPr>
          <w:rFonts w:ascii="Times New Roman" w:hAnsi="Times New Roman" w:eastAsia="Times New Roman" w:cs="Times New Roman"/>
          <w:sz w:val="24"/>
          <w:szCs w:val="24"/>
          <w:spacing w:val="-3"/>
        </w:rPr>
        <w:t>2000</w:t>
      </w:r>
      <w:r>
        <w:rPr>
          <w:rFonts w:ascii="Times New Roman" w:hAnsi="Times New Roman" w:eastAsia="Times New Roman" w:cs="Times New Roman"/>
          <w:sz w:val="24"/>
          <w:szCs w:val="24"/>
          <w:spacing w:val="43"/>
          <w:w w:val="101"/>
        </w:rPr>
        <w:t xml:space="preserve"> </w:t>
      </w:r>
      <w:r>
        <w:rPr>
          <w:rFonts w:ascii="FangSong" w:hAnsi="FangSong" w:eastAsia="FangSong" w:cs="FangSong"/>
          <w:sz w:val="24"/>
          <w:szCs w:val="24"/>
          <w:spacing w:val="-3"/>
        </w:rPr>
        <w:t>国家大地坐标系）</w:t>
      </w:r>
    </w:p>
    <w:p>
      <w:pPr>
        <w:ind w:left="185" w:right="177" w:hanging="6"/>
        <w:spacing w:before="177" w:line="358" w:lineRule="auto"/>
        <w:rPr>
          <w:rFonts w:ascii="FangSong" w:hAnsi="FangSong" w:eastAsia="FangSong" w:cs="FangSong"/>
          <w:sz w:val="24"/>
          <w:szCs w:val="24"/>
        </w:rPr>
      </w:pPr>
      <w:r>
        <w:rPr>
          <w:rFonts w:ascii="Times New Roman" w:hAnsi="Times New Roman" w:eastAsia="Times New Roman" w:cs="Times New Roman"/>
          <w:sz w:val="24"/>
          <w:szCs w:val="24"/>
          <w:spacing w:val="-1"/>
        </w:rPr>
        <w:t>X</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4766361.88</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Y</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38412110.54</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Z</w:t>
      </w:r>
      <w:r>
        <w:rPr>
          <w:rFonts w:ascii="FangSong" w:hAnsi="FangSong" w:eastAsia="FangSong" w:cs="FangSong"/>
          <w:sz w:val="24"/>
          <w:szCs w:val="24"/>
          <w:spacing w:val="-1"/>
        </w:rPr>
        <w:t>：</w:t>
      </w:r>
      <w:r>
        <w:rPr>
          <w:rFonts w:ascii="Times New Roman" w:hAnsi="Times New Roman" w:eastAsia="Times New Roman" w:cs="Times New Roman"/>
          <w:sz w:val="24"/>
          <w:szCs w:val="24"/>
          <w:spacing w:val="-2"/>
        </w:rPr>
        <w:t>1045.50m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，井底标高</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885.00m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，井筒净直径</w:t>
      </w:r>
      <w:r>
        <w:rPr>
          <w:rFonts w:ascii="Times New Roman" w:hAnsi="Times New Roman" w:eastAsia="Times New Roman" w:cs="Times New Roman"/>
          <w:sz w:val="24"/>
          <w:szCs w:val="24"/>
          <w:spacing w:val="-3"/>
        </w:rPr>
        <w:t>φ3.00m</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。主要承担井下各水平中段回风任务，内设人行梯子间并兼作安全出</w:t>
      </w:r>
      <w:r>
        <w:rPr>
          <w:rFonts w:ascii="FangSong" w:hAnsi="FangSong" w:eastAsia="FangSong" w:cs="FangSong"/>
          <w:sz w:val="24"/>
          <w:szCs w:val="24"/>
          <w:spacing w:val="-61"/>
        </w:rPr>
        <w:t xml:space="preserve"> </w:t>
      </w:r>
      <w:r>
        <w:rPr>
          <w:rFonts w:ascii="FangSong" w:hAnsi="FangSong" w:eastAsia="FangSong" w:cs="FangSong"/>
          <w:sz w:val="24"/>
          <w:szCs w:val="24"/>
          <w:spacing w:val="-3"/>
        </w:rPr>
        <w:t>口。</w:t>
      </w:r>
    </w:p>
    <w:p>
      <w:pPr>
        <w:ind w:left="187" w:right="177" w:firstLine="488"/>
        <w:spacing w:before="5" w:line="350" w:lineRule="auto"/>
        <w:jc w:val="both"/>
        <w:rPr>
          <w:rFonts w:ascii="FangSong" w:hAnsi="FangSong" w:eastAsia="FangSong" w:cs="FangSong"/>
          <w:sz w:val="24"/>
          <w:szCs w:val="24"/>
        </w:rPr>
      </w:pPr>
      <w:r>
        <w:rPr>
          <w:rFonts w:ascii="FangSong" w:hAnsi="FangSong" w:eastAsia="FangSong" w:cs="FangSong"/>
          <w:sz w:val="24"/>
          <w:szCs w:val="24"/>
          <w:spacing w:val="-5"/>
        </w:rPr>
        <w:t>井下共设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个中段，分别为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5"/>
        </w:rPr>
        <w:t>1020m</w:t>
      </w:r>
      <w:r>
        <w:rPr>
          <w:rFonts w:ascii="Times New Roman" w:hAnsi="Times New Roman" w:eastAsia="Times New Roman" w:cs="Times New Roman"/>
          <w:sz w:val="24"/>
          <w:szCs w:val="24"/>
          <w:spacing w:val="49"/>
          <w:w w:val="101"/>
        </w:rPr>
        <w:t xml:space="preserve"> </w:t>
      </w:r>
      <w:r>
        <w:rPr>
          <w:rFonts w:ascii="FangSong" w:hAnsi="FangSong" w:eastAsia="FangSong" w:cs="FangSong"/>
          <w:sz w:val="24"/>
          <w:szCs w:val="24"/>
          <w:spacing w:val="-5"/>
        </w:rPr>
        <w:t>中段、</w:t>
      </w:r>
      <w:r>
        <w:rPr>
          <w:rFonts w:ascii="Times New Roman" w:hAnsi="Times New Roman" w:eastAsia="Times New Roman" w:cs="Times New Roman"/>
          <w:sz w:val="24"/>
          <w:szCs w:val="24"/>
          <w:spacing w:val="-5"/>
        </w:rPr>
        <w:t>975m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5"/>
        </w:rPr>
        <w:t>中段、</w:t>
      </w:r>
      <w:r>
        <w:rPr>
          <w:rFonts w:ascii="Times New Roman" w:hAnsi="Times New Roman" w:eastAsia="Times New Roman" w:cs="Times New Roman"/>
          <w:sz w:val="24"/>
          <w:szCs w:val="24"/>
          <w:spacing w:val="-5"/>
        </w:rPr>
        <w:t>930m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5"/>
        </w:rPr>
        <w:t>中段、</w:t>
      </w:r>
      <w:r>
        <w:rPr>
          <w:rFonts w:ascii="Times New Roman" w:hAnsi="Times New Roman" w:eastAsia="Times New Roman" w:cs="Times New Roman"/>
          <w:sz w:val="24"/>
          <w:szCs w:val="24"/>
          <w:spacing w:val="-5"/>
        </w:rPr>
        <w:t>885m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5"/>
        </w:rPr>
        <w:t>中段</w:t>
      </w:r>
      <w:r>
        <w:rPr>
          <w:rFonts w:ascii="FangSong" w:hAnsi="FangSong" w:eastAsia="FangSong" w:cs="FangSong"/>
          <w:sz w:val="24"/>
          <w:szCs w:val="24"/>
          <w:spacing w:val="-3"/>
        </w:rPr>
        <w:t>和</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850m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3"/>
        </w:rPr>
        <w:t>中段；</w:t>
      </w:r>
      <w:r>
        <w:rPr>
          <w:rFonts w:ascii="Times New Roman" w:hAnsi="Times New Roman" w:eastAsia="Times New Roman" w:cs="Times New Roman"/>
          <w:sz w:val="24"/>
          <w:szCs w:val="24"/>
          <w:spacing w:val="-3"/>
        </w:rPr>
        <w:t>1020m</w:t>
      </w:r>
      <w:r>
        <w:rPr>
          <w:rFonts w:ascii="Times New Roman" w:hAnsi="Times New Roman" w:eastAsia="Times New Roman" w:cs="Times New Roman"/>
          <w:sz w:val="24"/>
          <w:szCs w:val="24"/>
          <w:spacing w:val="49"/>
          <w:w w:val="101"/>
        </w:rPr>
        <w:t xml:space="preserve"> </w:t>
      </w:r>
      <w:r>
        <w:rPr>
          <w:rFonts w:ascii="FangSong" w:hAnsi="FangSong" w:eastAsia="FangSong" w:cs="FangSong"/>
          <w:sz w:val="24"/>
          <w:szCs w:val="24"/>
          <w:spacing w:val="-3"/>
        </w:rPr>
        <w:t>中段为回风中段。各中段高度为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45m</w:t>
      </w:r>
      <w:r>
        <w:rPr>
          <w:rFonts w:ascii="FangSong" w:hAnsi="FangSong" w:eastAsia="FangSong" w:cs="FangSong"/>
          <w:sz w:val="24"/>
          <w:szCs w:val="24"/>
          <w:spacing w:val="-3"/>
        </w:rPr>
        <w:t>；其中</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850</w:t>
      </w:r>
      <w:r>
        <w:rPr>
          <w:rFonts w:ascii="Times New Roman" w:hAnsi="Times New Roman" w:eastAsia="Times New Roman" w:cs="Times New Roman"/>
          <w:sz w:val="24"/>
          <w:szCs w:val="24"/>
          <w:spacing w:val="51"/>
          <w:w w:val="101"/>
        </w:rPr>
        <w:t xml:space="preserve"> </w:t>
      </w:r>
      <w:r>
        <w:rPr>
          <w:rFonts w:ascii="FangSong" w:hAnsi="FangSong" w:eastAsia="FangSong" w:cs="FangSong"/>
          <w:sz w:val="24"/>
          <w:szCs w:val="24"/>
          <w:spacing w:val="-3"/>
        </w:rPr>
        <w:t>中段高度为</w:t>
      </w:r>
      <w:r>
        <w:rPr>
          <w:rFonts w:ascii="Times New Roman" w:hAnsi="Times New Roman" w:eastAsia="Times New Roman" w:cs="Times New Roman"/>
          <w:sz w:val="24"/>
          <w:szCs w:val="24"/>
          <w:spacing w:val="-3"/>
        </w:rPr>
        <w:t>35m</w:t>
      </w:r>
      <w:r>
        <w:rPr>
          <w:rFonts w:ascii="FangSong" w:hAnsi="FangSong" w:eastAsia="FangSong" w:cs="FangSong"/>
          <w:sz w:val="24"/>
          <w:szCs w:val="24"/>
          <w:spacing w:val="-3"/>
        </w:rPr>
        <w:t>。</w:t>
      </w:r>
    </w:p>
    <w:p>
      <w:pPr>
        <w:spacing w:line="350" w:lineRule="auto"/>
        <w:sectPr>
          <w:footerReference w:type="default" r:id="rId131"/>
          <w:pgSz w:w="11911" w:h="16839"/>
          <w:pgMar w:top="400" w:right="1240" w:bottom="1146" w:left="1620"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16"/>
        <w:spacing w:before="78"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4.9.2.2  </w:t>
      </w:r>
      <w:r>
        <w:rPr>
          <w:rFonts w:ascii="FangSong" w:hAnsi="FangSong" w:eastAsia="FangSong" w:cs="FangSong"/>
          <w:sz w:val="24"/>
          <w:szCs w:val="24"/>
          <w:b/>
          <w:bCs/>
          <w:spacing w:val="-2"/>
        </w:rPr>
        <w:t>采矿工业场地总平面布置</w:t>
      </w:r>
    </w:p>
    <w:p>
      <w:pPr>
        <w:ind w:left="29" w:right="99" w:firstLine="484"/>
        <w:spacing w:before="178" w:line="359" w:lineRule="auto"/>
        <w:jc w:val="both"/>
        <w:rPr>
          <w:rFonts w:ascii="FangSong" w:hAnsi="FangSong" w:eastAsia="FangSong" w:cs="FangSong"/>
          <w:sz w:val="24"/>
          <w:szCs w:val="24"/>
        </w:rPr>
      </w:pPr>
      <w:r>
        <w:rPr>
          <w:rFonts w:ascii="FangSong" w:hAnsi="FangSong" w:eastAsia="FangSong" w:cs="FangSong"/>
          <w:sz w:val="24"/>
          <w:szCs w:val="24"/>
          <w:spacing w:val="-5"/>
        </w:rPr>
        <w:t>办公生活区位于选矿厂西侧</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5"/>
        </w:rPr>
        <w:t>1750m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5"/>
        </w:rPr>
        <w:t>处，</w:t>
      </w:r>
      <w:r>
        <w:rPr>
          <w:rFonts w:ascii="FangSong" w:hAnsi="FangSong" w:eastAsia="FangSong" w:cs="FangSong"/>
          <w:sz w:val="24"/>
          <w:szCs w:val="24"/>
          <w:spacing w:val="-58"/>
        </w:rPr>
        <w:t xml:space="preserve"> </w:t>
      </w:r>
      <w:r>
        <w:rPr>
          <w:rFonts w:ascii="FangSong" w:hAnsi="FangSong" w:eastAsia="FangSong" w:cs="FangSong"/>
          <w:sz w:val="24"/>
          <w:szCs w:val="24"/>
          <w:spacing w:val="-5"/>
        </w:rPr>
        <w:t>占地面积</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9600m</w:t>
      </w:r>
      <w:r>
        <w:rPr>
          <w:rFonts w:ascii="Times New Roman" w:hAnsi="Times New Roman" w:eastAsia="Times New Roman" w:cs="Times New Roman"/>
          <w:sz w:val="15"/>
          <w:szCs w:val="15"/>
          <w:spacing w:val="-5"/>
          <w:position w:val="8"/>
        </w:rPr>
        <w:t>2 </w:t>
      </w:r>
      <w:r>
        <w:rPr>
          <w:rFonts w:ascii="FangSong" w:hAnsi="FangSong" w:eastAsia="FangSong" w:cs="FangSong"/>
          <w:sz w:val="24"/>
          <w:szCs w:val="24"/>
          <w:spacing w:val="-5"/>
        </w:rPr>
        <w:t>，</w:t>
      </w:r>
      <w:r>
        <w:rPr>
          <w:rFonts w:ascii="FangSong" w:hAnsi="FangSong" w:eastAsia="FangSong" w:cs="FangSong"/>
          <w:sz w:val="24"/>
          <w:szCs w:val="24"/>
          <w:spacing w:val="-71"/>
        </w:rPr>
        <w:t xml:space="preserve"> </w:t>
      </w:r>
      <w:r>
        <w:rPr>
          <w:rFonts w:ascii="FangSong" w:hAnsi="FangSong" w:eastAsia="FangSong" w:cs="FangSong"/>
          <w:sz w:val="24"/>
          <w:szCs w:val="24"/>
          <w:spacing w:val="-5"/>
        </w:rPr>
        <w:t>中心坐标（</w:t>
      </w:r>
      <w:r>
        <w:rPr>
          <w:rFonts w:ascii="Times New Roman" w:hAnsi="Times New Roman" w:eastAsia="Times New Roman" w:cs="Times New Roman"/>
          <w:sz w:val="24"/>
          <w:szCs w:val="24"/>
          <w:spacing w:val="-5"/>
        </w:rPr>
        <w:t>2000</w:t>
      </w:r>
      <w:r>
        <w:rPr>
          <w:rFonts w:ascii="Times New Roman" w:hAnsi="Times New Roman" w:eastAsia="Times New Roman" w:cs="Times New Roman"/>
          <w:sz w:val="24"/>
          <w:szCs w:val="24"/>
          <w:spacing w:val="45"/>
          <w:w w:val="101"/>
        </w:rPr>
        <w:t xml:space="preserve"> </w:t>
      </w:r>
      <w:r>
        <w:rPr>
          <w:rFonts w:ascii="FangSong" w:hAnsi="FangSong" w:eastAsia="FangSong" w:cs="FangSong"/>
          <w:sz w:val="24"/>
          <w:szCs w:val="24"/>
          <w:spacing w:val="-5"/>
        </w:rPr>
        <w:t>国</w:t>
      </w:r>
      <w:r>
        <w:rPr>
          <w:rFonts w:ascii="FangSong" w:hAnsi="FangSong" w:eastAsia="FangSong" w:cs="FangSong"/>
          <w:sz w:val="24"/>
          <w:szCs w:val="24"/>
          <w:spacing w:val="-3"/>
        </w:rPr>
        <w:t>家大地坐标系）</w:t>
      </w:r>
      <w:r>
        <w:rPr>
          <w:rFonts w:ascii="Times New Roman" w:hAnsi="Times New Roman" w:eastAsia="Times New Roman" w:cs="Times New Roman"/>
          <w:sz w:val="24"/>
          <w:szCs w:val="24"/>
          <w:spacing w:val="-3"/>
        </w:rPr>
        <w:t>X</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4765783.2815</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Y</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38410575.8628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Z</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1030m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。场地内布置职</w:t>
      </w:r>
      <w:r>
        <w:rPr>
          <w:rFonts w:ascii="FangSong" w:hAnsi="FangSong" w:eastAsia="FangSong" w:cs="FangSong"/>
          <w:sz w:val="24"/>
          <w:szCs w:val="24"/>
          <w:spacing w:val="-2"/>
        </w:rPr>
        <w:t>工宿舍及食堂、办公室、停车场等。</w:t>
      </w:r>
    </w:p>
    <w:p>
      <w:pPr>
        <w:ind w:left="28" w:right="99" w:firstLine="478"/>
        <w:spacing w:before="3" w:line="358" w:lineRule="auto"/>
        <w:rPr>
          <w:rFonts w:ascii="FangSong" w:hAnsi="FangSong" w:eastAsia="FangSong" w:cs="FangSong"/>
          <w:sz w:val="24"/>
          <w:szCs w:val="24"/>
        </w:rPr>
      </w:pPr>
      <w:r>
        <w:rPr>
          <w:rFonts w:ascii="FangSong" w:hAnsi="FangSong" w:eastAsia="FangSong" w:cs="FangSong"/>
          <w:sz w:val="24"/>
          <w:szCs w:val="24"/>
          <w:spacing w:val="2"/>
        </w:rPr>
        <w:t>矿山设计建设主井（</w:t>
      </w:r>
      <w:r>
        <w:rPr>
          <w:rFonts w:ascii="Times New Roman" w:hAnsi="Times New Roman" w:eastAsia="Times New Roman" w:cs="Times New Roman"/>
          <w:sz w:val="24"/>
          <w:szCs w:val="24"/>
        </w:rPr>
        <w:t>SJ</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）工业场地、通风井（</w:t>
      </w:r>
      <w:r>
        <w:rPr>
          <w:rFonts w:ascii="Times New Roman" w:hAnsi="Times New Roman" w:eastAsia="Times New Roman" w:cs="Times New Roman"/>
          <w:sz w:val="24"/>
          <w:szCs w:val="24"/>
        </w:rPr>
        <w:t>SJ</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）工业场地、高位水池</w:t>
      </w:r>
      <w:r>
        <w:rPr>
          <w:rFonts w:ascii="FangSong" w:hAnsi="FangSong" w:eastAsia="FangSong" w:cs="FangSong"/>
          <w:sz w:val="24"/>
          <w:szCs w:val="24"/>
          <w:spacing w:val="1"/>
        </w:rPr>
        <w:t>等地</w:t>
      </w:r>
      <w:r>
        <w:rPr>
          <w:rFonts w:ascii="FangSong" w:hAnsi="FangSong" w:eastAsia="FangSong" w:cs="FangSong"/>
          <w:sz w:val="24"/>
          <w:szCs w:val="24"/>
          <w:spacing w:val="-3"/>
        </w:rPr>
        <w:t>表建构筑物。</w:t>
      </w:r>
    </w:p>
    <w:p>
      <w:pPr>
        <w:ind w:left="31" w:firstLine="476"/>
        <w:spacing w:line="359" w:lineRule="auto"/>
        <w:jc w:val="both"/>
        <w:rPr>
          <w:rFonts w:ascii="FangSong" w:hAnsi="FangSong" w:eastAsia="FangSong" w:cs="FangSong"/>
          <w:sz w:val="24"/>
          <w:szCs w:val="24"/>
        </w:rPr>
      </w:pPr>
      <w:r>
        <w:rPr>
          <w:rFonts w:ascii="FangSong" w:hAnsi="FangSong" w:eastAsia="FangSong" w:cs="FangSong"/>
          <w:sz w:val="24"/>
          <w:szCs w:val="24"/>
          <w:spacing w:val="-12"/>
        </w:rPr>
        <w:t>根据生产工艺需要，主井工业场地由生产系统、辅助生产系统等构成。主井（</w:t>
      </w:r>
      <w:r>
        <w:rPr>
          <w:rFonts w:ascii="Times New Roman" w:hAnsi="Times New Roman" w:eastAsia="Times New Roman" w:cs="Times New Roman"/>
          <w:sz w:val="24"/>
          <w:szCs w:val="24"/>
          <w:spacing w:val="-12"/>
        </w:rPr>
        <w:t>SJ1</w:t>
      </w:r>
      <w:r>
        <w:rPr>
          <w:rFonts w:ascii="FangSong" w:hAnsi="FangSong" w:eastAsia="FangSong" w:cs="FangSong"/>
          <w:sz w:val="24"/>
          <w:szCs w:val="24"/>
          <w:spacing w:val="-12"/>
        </w:rPr>
        <w:t>）</w:t>
      </w:r>
      <w:r>
        <w:rPr>
          <w:rFonts w:ascii="FangSong" w:hAnsi="FangSong" w:eastAsia="FangSong" w:cs="FangSong"/>
          <w:sz w:val="24"/>
          <w:szCs w:val="24"/>
          <w:spacing w:val="1"/>
        </w:rPr>
        <w:t>工业场地布置有：主井井架、主井提升机房、空压机房、机修室、值班室、高位水</w:t>
      </w:r>
      <w:r>
        <w:rPr>
          <w:rFonts w:ascii="FangSong" w:hAnsi="FangSong" w:eastAsia="FangSong" w:cs="FangSong"/>
          <w:sz w:val="24"/>
          <w:szCs w:val="24"/>
          <w:spacing w:val="-2"/>
        </w:rPr>
        <w:t>池、矿石场、临时废石场等。</w:t>
      </w:r>
    </w:p>
    <w:p>
      <w:pPr>
        <w:ind w:left="511"/>
        <w:spacing w:line="220" w:lineRule="auto"/>
        <w:rPr>
          <w:rFonts w:ascii="FangSong" w:hAnsi="FangSong" w:eastAsia="FangSong" w:cs="FangSong"/>
          <w:sz w:val="24"/>
          <w:szCs w:val="24"/>
        </w:rPr>
      </w:pPr>
      <w:r>
        <w:rPr>
          <w:rFonts w:ascii="FangSong" w:hAnsi="FangSong" w:eastAsia="FangSong" w:cs="FangSong"/>
          <w:sz w:val="24"/>
          <w:szCs w:val="24"/>
          <w:spacing w:val="-1"/>
        </w:rPr>
        <w:t>通风井（</w:t>
      </w:r>
      <w:r>
        <w:rPr>
          <w:rFonts w:ascii="Times New Roman" w:hAnsi="Times New Roman" w:eastAsia="Times New Roman" w:cs="Times New Roman"/>
          <w:sz w:val="24"/>
          <w:szCs w:val="24"/>
          <w:spacing w:val="-1"/>
        </w:rPr>
        <w:t>SJ2</w:t>
      </w:r>
      <w:r>
        <w:rPr>
          <w:rFonts w:ascii="FangSong" w:hAnsi="FangSong" w:eastAsia="FangSong" w:cs="FangSong"/>
          <w:sz w:val="24"/>
          <w:szCs w:val="24"/>
          <w:spacing w:val="-1"/>
        </w:rPr>
        <w:t>）工业场地布置通风井、风机房。</w:t>
      </w:r>
    </w:p>
    <w:p>
      <w:pPr>
        <w:ind w:left="16"/>
        <w:spacing w:before="182"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4.9.2.3  </w:t>
      </w:r>
      <w:r>
        <w:rPr>
          <w:rFonts w:ascii="FangSong" w:hAnsi="FangSong" w:eastAsia="FangSong" w:cs="FangSong"/>
          <w:sz w:val="24"/>
          <w:szCs w:val="24"/>
          <w:b/>
          <w:bCs/>
          <w:spacing w:val="-2"/>
        </w:rPr>
        <w:t>选矿厂平面布置</w:t>
      </w:r>
    </w:p>
    <w:p>
      <w:pPr>
        <w:ind w:left="27" w:right="16" w:firstLine="481"/>
        <w:spacing w:before="181" w:line="359" w:lineRule="auto"/>
        <w:jc w:val="both"/>
        <w:rPr>
          <w:rFonts w:ascii="FangSong" w:hAnsi="FangSong" w:eastAsia="FangSong" w:cs="FangSong"/>
          <w:sz w:val="24"/>
          <w:szCs w:val="24"/>
        </w:rPr>
      </w:pPr>
      <w:r>
        <w:rPr>
          <w:rFonts w:ascii="FangSong" w:hAnsi="FangSong" w:eastAsia="FangSong" w:cs="FangSong"/>
          <w:sz w:val="24"/>
          <w:szCs w:val="24"/>
          <w:spacing w:val="-3"/>
        </w:rPr>
        <w:t>选矿工业区布置于</w:t>
      </w:r>
      <w:r>
        <w:rPr>
          <w:rFonts w:ascii="Times New Roman" w:hAnsi="Times New Roman" w:eastAsia="Times New Roman" w:cs="Times New Roman"/>
          <w:sz w:val="24"/>
          <w:szCs w:val="24"/>
          <w:spacing w:val="-3"/>
        </w:rPr>
        <w:t>Ⅱ</w:t>
      </w:r>
      <w:r>
        <w:rPr>
          <w:rFonts w:ascii="FangSong" w:hAnsi="FangSong" w:eastAsia="FangSong" w:cs="FangSong"/>
          <w:sz w:val="24"/>
          <w:szCs w:val="24"/>
          <w:spacing w:val="-3"/>
        </w:rPr>
        <w:t>矿段主井工业场地东侧</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50m</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3"/>
        </w:rPr>
        <w:t>处。</w:t>
      </w:r>
      <w:r>
        <w:rPr>
          <w:rFonts w:ascii="FangSong" w:hAnsi="FangSong" w:eastAsia="FangSong" w:cs="FangSong"/>
          <w:sz w:val="24"/>
          <w:szCs w:val="24"/>
          <w:spacing w:val="-61"/>
        </w:rPr>
        <w:t xml:space="preserve"> </w:t>
      </w:r>
      <w:r>
        <w:rPr>
          <w:rFonts w:ascii="FangSong" w:hAnsi="FangSong" w:eastAsia="FangSong" w:cs="FangSong"/>
          <w:sz w:val="24"/>
          <w:szCs w:val="24"/>
          <w:spacing w:val="-3"/>
        </w:rPr>
        <w:t>占地面积</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26672m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w:t>
      </w:r>
      <w:r>
        <w:rPr>
          <w:rFonts w:ascii="FangSong" w:hAnsi="FangSong" w:eastAsia="FangSong" w:cs="FangSong"/>
          <w:sz w:val="24"/>
          <w:szCs w:val="24"/>
          <w:spacing w:val="-69"/>
        </w:rPr>
        <w:t xml:space="preserve"> </w:t>
      </w:r>
      <w:r>
        <w:rPr>
          <w:rFonts w:ascii="FangSong" w:hAnsi="FangSong" w:eastAsia="FangSong" w:cs="FangSong"/>
          <w:sz w:val="24"/>
          <w:szCs w:val="24"/>
          <w:spacing w:val="-3"/>
        </w:rPr>
        <w:t>中心</w:t>
      </w:r>
      <w:r>
        <w:rPr>
          <w:rFonts w:ascii="FangSong" w:hAnsi="FangSong" w:eastAsia="FangSong" w:cs="FangSong"/>
          <w:sz w:val="24"/>
          <w:szCs w:val="24"/>
          <w:spacing w:val="-6"/>
        </w:rPr>
        <w:t>坐标（</w:t>
      </w:r>
      <w:r>
        <w:rPr>
          <w:rFonts w:ascii="Times New Roman" w:hAnsi="Times New Roman" w:eastAsia="Times New Roman" w:cs="Times New Roman"/>
          <w:sz w:val="24"/>
          <w:szCs w:val="24"/>
          <w:spacing w:val="-6"/>
        </w:rPr>
        <w:t>2000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6"/>
        </w:rPr>
        <w:t>国家大地坐标系）</w:t>
      </w:r>
      <w:r>
        <w:rPr>
          <w:rFonts w:ascii="Times New Roman" w:hAnsi="Times New Roman" w:eastAsia="Times New Roman" w:cs="Times New Roman"/>
          <w:sz w:val="24"/>
          <w:szCs w:val="24"/>
          <w:spacing w:val="-6"/>
        </w:rPr>
        <w:t>X</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4765787.2193</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Y</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38412363.8425</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Z</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1042.00m</w:t>
      </w:r>
      <w:r>
        <w:rPr>
          <w:rFonts w:ascii="FangSong" w:hAnsi="FangSong" w:eastAsia="FangSong" w:cs="FangSong"/>
          <w:sz w:val="24"/>
          <w:szCs w:val="24"/>
          <w:spacing w:val="-6"/>
        </w:rPr>
        <w:t>。</w:t>
      </w:r>
      <w:r>
        <w:rPr>
          <w:rFonts w:ascii="FangSong" w:hAnsi="FangSong" w:eastAsia="FangSong" w:cs="FangSong"/>
          <w:sz w:val="24"/>
          <w:szCs w:val="24"/>
          <w:spacing w:val="1"/>
        </w:rPr>
        <w:t>场地内布置原矿堆场、破碎车间、筛分车间、粉矿仓、磨浮车间、浓缩车间、精矿</w:t>
      </w:r>
      <w:r>
        <w:rPr>
          <w:rFonts w:ascii="FangSong" w:hAnsi="FangSong" w:eastAsia="FangSong" w:cs="FangSong"/>
          <w:sz w:val="24"/>
          <w:szCs w:val="24"/>
          <w:spacing w:val="-3"/>
        </w:rPr>
        <w:t>过滤车间、尾矿过滤车间、尾矿临时堆场、空压机房、配电室、</w:t>
      </w:r>
      <w:r>
        <w:rPr>
          <w:rFonts w:ascii="FangSong" w:hAnsi="FangSong" w:eastAsia="FangSong" w:cs="FangSong"/>
          <w:sz w:val="24"/>
          <w:szCs w:val="24"/>
          <w:spacing w:val="-4"/>
        </w:rPr>
        <w:t>机修车间、药剂室、</w:t>
      </w:r>
      <w:r>
        <w:rPr>
          <w:rFonts w:ascii="FangSong" w:hAnsi="FangSong" w:eastAsia="FangSong" w:cs="FangSong"/>
          <w:sz w:val="24"/>
          <w:szCs w:val="24"/>
          <w:spacing w:val="-2"/>
        </w:rPr>
        <w:t>蓄水池、回水池等。</w:t>
      </w:r>
    </w:p>
    <w:p>
      <w:pPr>
        <w:ind w:left="16"/>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4.9.2.4</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充填站</w:t>
      </w:r>
    </w:p>
    <w:p>
      <w:pPr>
        <w:ind w:left="36" w:right="99" w:firstLine="479"/>
        <w:spacing w:before="176" w:line="360" w:lineRule="auto"/>
        <w:rPr>
          <w:rFonts w:ascii="FangSong" w:hAnsi="FangSong" w:eastAsia="FangSong" w:cs="FangSong"/>
          <w:sz w:val="24"/>
          <w:szCs w:val="24"/>
        </w:rPr>
      </w:pPr>
      <w:r>
        <w:rPr>
          <w:rFonts w:ascii="FangSong" w:hAnsi="FangSong" w:eastAsia="FangSong" w:cs="FangSong"/>
          <w:sz w:val="24"/>
          <w:szCs w:val="24"/>
          <w:spacing w:val="-3"/>
        </w:rPr>
        <w:t>为了减少尾砂运输距离，设计充填站位于</w:t>
      </w:r>
      <w:r>
        <w:rPr>
          <w:rFonts w:ascii="Times New Roman" w:hAnsi="Times New Roman" w:eastAsia="Times New Roman" w:cs="Times New Roman"/>
          <w:sz w:val="24"/>
          <w:szCs w:val="24"/>
          <w:spacing w:val="-3"/>
        </w:rPr>
        <w:t>Ⅱ</w:t>
      </w:r>
      <w:r>
        <w:rPr>
          <w:rFonts w:ascii="FangSong" w:hAnsi="FangSong" w:eastAsia="FangSong" w:cs="FangSong"/>
          <w:sz w:val="24"/>
          <w:szCs w:val="24"/>
          <w:spacing w:val="-3"/>
        </w:rPr>
        <w:t>矿段主井东侧</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
        </w:rPr>
        <w:t>00m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处。充填站主要</w:t>
      </w:r>
      <w:r>
        <w:rPr>
          <w:rFonts w:ascii="FangSong" w:hAnsi="FangSong" w:eastAsia="FangSong" w:cs="FangSong"/>
          <w:sz w:val="24"/>
          <w:szCs w:val="24"/>
          <w:spacing w:val="-1"/>
        </w:rPr>
        <w:t>包括上料系统、水泥配料系统、搅拌系统和辅助系统</w:t>
      </w:r>
      <w:r>
        <w:rPr>
          <w:rFonts w:ascii="FangSong" w:hAnsi="FangSong" w:eastAsia="FangSong" w:cs="FangSong"/>
          <w:sz w:val="24"/>
          <w:szCs w:val="24"/>
          <w:spacing w:val="-2"/>
        </w:rPr>
        <w:t>等。</w:t>
      </w:r>
    </w:p>
    <w:p>
      <w:pPr>
        <w:ind w:left="16"/>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4.9.2.7</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厂区道路</w:t>
      </w:r>
    </w:p>
    <w:p>
      <w:pPr>
        <w:ind w:left="21" w:right="99" w:firstLine="484"/>
        <w:spacing w:before="177" w:line="359" w:lineRule="auto"/>
        <w:jc w:val="both"/>
        <w:rPr>
          <w:rFonts w:ascii="FangSong" w:hAnsi="FangSong" w:eastAsia="FangSong" w:cs="FangSong"/>
          <w:sz w:val="24"/>
          <w:szCs w:val="24"/>
        </w:rPr>
      </w:pPr>
      <w:r>
        <w:rPr>
          <w:rFonts w:ascii="FangSong" w:hAnsi="FangSong" w:eastAsia="FangSong" w:cs="FangSong"/>
          <w:sz w:val="24"/>
          <w:szCs w:val="24"/>
          <w:spacing w:val="-4"/>
        </w:rPr>
        <w:t>厂区内道路长约</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2700m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4"/>
        </w:rPr>
        <w:t>，矿区道路主道路基宽</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8m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，路面宽</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6m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，连接道路基宽</w:t>
      </w:r>
      <w:r>
        <w:rPr>
          <w:rFonts w:ascii="Times New Roman" w:hAnsi="Times New Roman" w:eastAsia="Times New Roman" w:cs="Times New Roman"/>
          <w:sz w:val="24"/>
          <w:szCs w:val="24"/>
          <w:spacing w:val="-3"/>
        </w:rPr>
        <w:t>6.5m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，路面宽</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4.5m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。道路交叉内缘转弯半径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9m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，最小平曲</w:t>
      </w:r>
      <w:r>
        <w:rPr>
          <w:rFonts w:ascii="FangSong" w:hAnsi="FangSong" w:eastAsia="FangSong" w:cs="FangSong"/>
          <w:sz w:val="24"/>
          <w:szCs w:val="24"/>
          <w:spacing w:val="-4"/>
        </w:rPr>
        <w:t>线半径</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4"/>
        </w:rPr>
        <w:t>15</w:t>
      </w:r>
      <w:r>
        <w:rPr>
          <w:rFonts w:ascii="FangSong" w:hAnsi="FangSong" w:eastAsia="FangSong" w:cs="FangSong"/>
          <w:sz w:val="24"/>
          <w:szCs w:val="24"/>
          <w:spacing w:val="-4"/>
        </w:rPr>
        <w:t>m</w:t>
      </w:r>
      <w:r>
        <w:rPr>
          <w:rFonts w:ascii="FangSong" w:hAnsi="FangSong" w:eastAsia="FangSong" w:cs="FangSong"/>
          <w:sz w:val="24"/>
          <w:szCs w:val="24"/>
          <w:spacing w:val="-62"/>
        </w:rPr>
        <w:t xml:space="preserve"> </w:t>
      </w:r>
      <w:r>
        <w:rPr>
          <w:rFonts w:ascii="FangSong" w:hAnsi="FangSong" w:eastAsia="FangSong" w:cs="FangSong"/>
          <w:sz w:val="24"/>
          <w:szCs w:val="24"/>
          <w:spacing w:val="-4"/>
        </w:rPr>
        <w:t>,</w:t>
      </w:r>
      <w:r>
        <w:rPr>
          <w:rFonts w:ascii="FangSong" w:hAnsi="FangSong" w:eastAsia="FangSong" w:cs="FangSong"/>
          <w:sz w:val="24"/>
          <w:szCs w:val="24"/>
          <w:spacing w:val="69"/>
        </w:rPr>
        <w:t xml:space="preserve"> </w:t>
      </w:r>
      <w:r>
        <w:rPr>
          <w:rFonts w:ascii="FangSong" w:hAnsi="FangSong" w:eastAsia="FangSong" w:cs="FangSong"/>
          <w:sz w:val="24"/>
          <w:szCs w:val="24"/>
          <w:spacing w:val="-4"/>
        </w:rPr>
        <w:t>道路最大</w:t>
      </w:r>
      <w:r>
        <w:rPr>
          <w:rFonts w:ascii="FangSong" w:hAnsi="FangSong" w:eastAsia="FangSong" w:cs="FangSong"/>
          <w:sz w:val="24"/>
          <w:szCs w:val="24"/>
          <w:spacing w:val="-3"/>
        </w:rPr>
        <w:t>坡度</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i=8%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，路面材料为泥结碎石路面。</w:t>
      </w:r>
    </w:p>
    <w:p>
      <w:pPr>
        <w:ind w:left="16"/>
        <w:spacing w:before="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4.9.2.6</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3"/>
        </w:rPr>
        <w:t>其他功能区</w:t>
      </w:r>
    </w:p>
    <w:p>
      <w:pPr>
        <w:ind w:left="27" w:right="33" w:firstLine="483"/>
        <w:spacing w:before="179" w:line="358" w:lineRule="auto"/>
        <w:rPr>
          <w:rFonts w:ascii="FangSong" w:hAnsi="FangSong" w:eastAsia="FangSong" w:cs="FangSong"/>
          <w:sz w:val="24"/>
          <w:szCs w:val="24"/>
        </w:rPr>
      </w:pPr>
      <w:r>
        <w:rPr>
          <w:rFonts w:ascii="FangSong" w:hAnsi="FangSong" w:eastAsia="FangSong" w:cs="FangSong"/>
          <w:sz w:val="24"/>
          <w:szCs w:val="24"/>
          <w:spacing w:val="-7"/>
        </w:rPr>
        <w:t>原矿堆场位于破碎厂房南侧，占地约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1600m</w:t>
      </w:r>
      <w:r>
        <w:rPr>
          <w:rFonts w:ascii="Times New Roman" w:hAnsi="Times New Roman" w:eastAsia="Times New Roman" w:cs="Times New Roman"/>
          <w:sz w:val="15"/>
          <w:szCs w:val="15"/>
          <w:spacing w:val="-7"/>
          <w:position w:val="8"/>
        </w:rPr>
        <w:t>2</w:t>
      </w:r>
      <w:r>
        <w:rPr>
          <w:rFonts w:ascii="FangSong" w:hAnsi="FangSong" w:eastAsia="FangSong" w:cs="FangSong"/>
          <w:sz w:val="24"/>
          <w:szCs w:val="24"/>
          <w:spacing w:val="-7"/>
        </w:rPr>
        <w:t>，建构筑物规格尺</w:t>
      </w:r>
      <w:r>
        <w:rPr>
          <w:rFonts w:ascii="FangSong" w:hAnsi="FangSong" w:eastAsia="FangSong" w:cs="FangSong"/>
          <w:sz w:val="24"/>
          <w:szCs w:val="24"/>
          <w:spacing w:val="-8"/>
        </w:rPr>
        <w:t>寸</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40m×40m×6m</w:t>
      </w:r>
      <w:r>
        <w:rPr>
          <w:rFonts w:ascii="FangSong" w:hAnsi="FangSong" w:eastAsia="FangSong" w:cs="FangSong"/>
          <w:sz w:val="24"/>
          <w:szCs w:val="24"/>
          <w:spacing w:val="-8"/>
        </w:rPr>
        <w:t>，</w:t>
      </w:r>
      <w:r>
        <w:rPr>
          <w:rFonts w:ascii="FangSong" w:hAnsi="FangSong" w:eastAsia="FangSong" w:cs="FangSong"/>
          <w:sz w:val="24"/>
          <w:szCs w:val="24"/>
          <w:spacing w:val="-3"/>
        </w:rPr>
        <w:t>堆存矿石量为</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3"/>
        </w:rPr>
        <w:t>0.65</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3"/>
        </w:rPr>
        <w:t>万</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，矿石由铲车送入</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PE400×600</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颚式破碎机。</w:t>
      </w:r>
    </w:p>
    <w:p>
      <w:pPr>
        <w:spacing w:before="1" w:line="221" w:lineRule="auto"/>
        <w:jc w:val="right"/>
        <w:rPr>
          <w:rFonts w:ascii="FangSong" w:hAnsi="FangSong" w:eastAsia="FangSong" w:cs="FangSong"/>
          <w:sz w:val="24"/>
          <w:szCs w:val="24"/>
        </w:rPr>
      </w:pPr>
      <w:r>
        <w:rPr>
          <w:rFonts w:ascii="FangSong" w:hAnsi="FangSong" w:eastAsia="FangSong" w:cs="FangSong"/>
          <w:sz w:val="24"/>
          <w:szCs w:val="24"/>
          <w:spacing w:val="-4"/>
        </w:rPr>
        <w:t>成品库位于工业广场西侧，占地约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1400</w:t>
      </w:r>
      <w:r>
        <w:rPr>
          <w:rFonts w:ascii="Times New Roman" w:hAnsi="Times New Roman" w:eastAsia="Times New Roman" w:cs="Times New Roman"/>
          <w:sz w:val="24"/>
          <w:szCs w:val="24"/>
          <w:spacing w:val="-5"/>
        </w:rPr>
        <w:t>m</w:t>
      </w:r>
      <w:r>
        <w:rPr>
          <w:rFonts w:ascii="Times New Roman" w:hAnsi="Times New Roman" w:eastAsia="Times New Roman" w:cs="Times New Roman"/>
          <w:sz w:val="15"/>
          <w:szCs w:val="15"/>
          <w:spacing w:val="-5"/>
          <w:position w:val="7"/>
        </w:rPr>
        <w:t>2</w:t>
      </w:r>
      <w:r>
        <w:rPr>
          <w:rFonts w:ascii="FangSong" w:hAnsi="FangSong" w:eastAsia="FangSong" w:cs="FangSong"/>
          <w:sz w:val="24"/>
          <w:szCs w:val="24"/>
          <w:spacing w:val="-5"/>
        </w:rPr>
        <w:t>，建构筑物规格尺寸</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35m×40m×12m</w:t>
      </w:r>
      <w:r>
        <w:rPr>
          <w:rFonts w:ascii="FangSong" w:hAnsi="FangSong" w:eastAsia="FangSong" w:cs="FangSong"/>
          <w:sz w:val="24"/>
          <w:szCs w:val="24"/>
          <w:spacing w:val="-5"/>
        </w:rPr>
        <w:t>，</w:t>
      </w:r>
    </w:p>
    <w:p>
      <w:pPr>
        <w:ind w:left="20" w:right="99" w:firstLine="487"/>
        <w:spacing w:before="180" w:line="356" w:lineRule="auto"/>
        <w:rPr>
          <w:rFonts w:ascii="FangSong" w:hAnsi="FangSong" w:eastAsia="FangSong" w:cs="FangSong"/>
          <w:sz w:val="24"/>
          <w:szCs w:val="24"/>
        </w:rPr>
      </w:pPr>
      <w:r>
        <w:rPr>
          <w:rFonts w:ascii="FangSong" w:hAnsi="FangSong" w:eastAsia="FangSong" w:cs="FangSong"/>
          <w:sz w:val="24"/>
          <w:szCs w:val="24"/>
          <w:spacing w:val="-16"/>
        </w:rPr>
        <w:t>尾</w:t>
      </w:r>
      <w:r>
        <w:rPr>
          <w:rFonts w:ascii="FangSong" w:hAnsi="FangSong" w:eastAsia="FangSong" w:cs="FangSong"/>
          <w:sz w:val="24"/>
          <w:szCs w:val="24"/>
          <w:spacing w:val="-68"/>
        </w:rPr>
        <w:t xml:space="preserve"> </w:t>
      </w:r>
      <w:r>
        <w:rPr>
          <w:rFonts w:ascii="FangSong" w:hAnsi="FangSong" w:eastAsia="FangSong" w:cs="FangSong"/>
          <w:sz w:val="24"/>
          <w:szCs w:val="24"/>
          <w:spacing w:val="-16"/>
        </w:rPr>
        <w:t>矿</w:t>
      </w:r>
      <w:r>
        <w:rPr>
          <w:rFonts w:ascii="FangSong" w:hAnsi="FangSong" w:eastAsia="FangSong" w:cs="FangSong"/>
          <w:sz w:val="24"/>
          <w:szCs w:val="24"/>
          <w:spacing w:val="-54"/>
        </w:rPr>
        <w:t xml:space="preserve"> </w:t>
      </w:r>
      <w:r>
        <w:rPr>
          <w:rFonts w:ascii="FangSong" w:hAnsi="FangSong" w:eastAsia="FangSong" w:cs="FangSong"/>
          <w:sz w:val="24"/>
          <w:szCs w:val="24"/>
          <w:spacing w:val="-16"/>
        </w:rPr>
        <w:t>临</w:t>
      </w:r>
      <w:r>
        <w:rPr>
          <w:rFonts w:ascii="FangSong" w:hAnsi="FangSong" w:eastAsia="FangSong" w:cs="FangSong"/>
          <w:sz w:val="24"/>
          <w:szCs w:val="24"/>
          <w:spacing w:val="-54"/>
        </w:rPr>
        <w:t xml:space="preserve"> </w:t>
      </w:r>
      <w:r>
        <w:rPr>
          <w:rFonts w:ascii="FangSong" w:hAnsi="FangSong" w:eastAsia="FangSong" w:cs="FangSong"/>
          <w:sz w:val="24"/>
          <w:szCs w:val="24"/>
          <w:spacing w:val="-16"/>
        </w:rPr>
        <w:t>时</w:t>
      </w:r>
      <w:r>
        <w:rPr>
          <w:rFonts w:ascii="FangSong" w:hAnsi="FangSong" w:eastAsia="FangSong" w:cs="FangSong"/>
          <w:sz w:val="24"/>
          <w:szCs w:val="24"/>
          <w:spacing w:val="-67"/>
        </w:rPr>
        <w:t xml:space="preserve"> </w:t>
      </w:r>
      <w:r>
        <w:rPr>
          <w:rFonts w:ascii="FangSong" w:hAnsi="FangSong" w:eastAsia="FangSong" w:cs="FangSong"/>
          <w:sz w:val="24"/>
          <w:szCs w:val="24"/>
          <w:spacing w:val="-16"/>
        </w:rPr>
        <w:t>堆</w:t>
      </w:r>
      <w:r>
        <w:rPr>
          <w:rFonts w:ascii="FangSong" w:hAnsi="FangSong" w:eastAsia="FangSong" w:cs="FangSong"/>
          <w:sz w:val="24"/>
          <w:szCs w:val="24"/>
          <w:spacing w:val="-70"/>
        </w:rPr>
        <w:t xml:space="preserve"> </w:t>
      </w:r>
      <w:r>
        <w:rPr>
          <w:rFonts w:ascii="FangSong" w:hAnsi="FangSong" w:eastAsia="FangSong" w:cs="FangSong"/>
          <w:sz w:val="24"/>
          <w:szCs w:val="24"/>
          <w:spacing w:val="-16"/>
        </w:rPr>
        <w:t>场</w:t>
      </w:r>
      <w:r>
        <w:rPr>
          <w:rFonts w:ascii="FangSong" w:hAnsi="FangSong" w:eastAsia="FangSong" w:cs="FangSong"/>
          <w:sz w:val="24"/>
          <w:szCs w:val="24"/>
          <w:spacing w:val="-69"/>
        </w:rPr>
        <w:t xml:space="preserve"> </w:t>
      </w:r>
      <w:r>
        <w:rPr>
          <w:rFonts w:ascii="FangSong" w:hAnsi="FangSong" w:eastAsia="FangSong" w:cs="FangSong"/>
          <w:sz w:val="24"/>
          <w:szCs w:val="24"/>
          <w:spacing w:val="-16"/>
        </w:rPr>
        <w:t>位</w:t>
      </w:r>
      <w:r>
        <w:rPr>
          <w:rFonts w:ascii="FangSong" w:hAnsi="FangSong" w:eastAsia="FangSong" w:cs="FangSong"/>
          <w:sz w:val="24"/>
          <w:szCs w:val="24"/>
          <w:spacing w:val="-64"/>
        </w:rPr>
        <w:t xml:space="preserve"> </w:t>
      </w:r>
      <w:r>
        <w:rPr>
          <w:rFonts w:ascii="FangSong" w:hAnsi="FangSong" w:eastAsia="FangSong" w:cs="FangSong"/>
          <w:sz w:val="24"/>
          <w:szCs w:val="24"/>
          <w:spacing w:val="-16"/>
        </w:rPr>
        <w:t>于</w:t>
      </w:r>
      <w:r>
        <w:rPr>
          <w:rFonts w:ascii="FangSong" w:hAnsi="FangSong" w:eastAsia="FangSong" w:cs="FangSong"/>
          <w:sz w:val="24"/>
          <w:szCs w:val="24"/>
          <w:spacing w:val="-70"/>
        </w:rPr>
        <w:t xml:space="preserve"> </w:t>
      </w:r>
      <w:r>
        <w:rPr>
          <w:rFonts w:ascii="FangSong" w:hAnsi="FangSong" w:eastAsia="FangSong" w:cs="FangSong"/>
          <w:sz w:val="24"/>
          <w:szCs w:val="24"/>
          <w:spacing w:val="-16"/>
        </w:rPr>
        <w:t>精</w:t>
      </w:r>
      <w:r>
        <w:rPr>
          <w:rFonts w:ascii="FangSong" w:hAnsi="FangSong" w:eastAsia="FangSong" w:cs="FangSong"/>
          <w:sz w:val="24"/>
          <w:szCs w:val="24"/>
          <w:spacing w:val="-68"/>
        </w:rPr>
        <w:t xml:space="preserve"> </w:t>
      </w:r>
      <w:r>
        <w:rPr>
          <w:rFonts w:ascii="FangSong" w:hAnsi="FangSong" w:eastAsia="FangSong" w:cs="FangSong"/>
          <w:sz w:val="24"/>
          <w:szCs w:val="24"/>
          <w:spacing w:val="-16"/>
        </w:rPr>
        <w:t>矿</w:t>
      </w:r>
      <w:r>
        <w:rPr>
          <w:rFonts w:ascii="FangSong" w:hAnsi="FangSong" w:eastAsia="FangSong" w:cs="FangSong"/>
          <w:sz w:val="24"/>
          <w:szCs w:val="24"/>
          <w:spacing w:val="-65"/>
        </w:rPr>
        <w:t xml:space="preserve"> </w:t>
      </w:r>
      <w:r>
        <w:rPr>
          <w:rFonts w:ascii="FangSong" w:hAnsi="FangSong" w:eastAsia="FangSong" w:cs="FangSong"/>
          <w:sz w:val="24"/>
          <w:szCs w:val="24"/>
          <w:spacing w:val="-16"/>
        </w:rPr>
        <w:t>车间</w:t>
      </w:r>
      <w:r>
        <w:rPr>
          <w:rFonts w:ascii="FangSong" w:hAnsi="FangSong" w:eastAsia="FangSong" w:cs="FangSong"/>
          <w:sz w:val="24"/>
          <w:szCs w:val="24"/>
          <w:spacing w:val="-65"/>
        </w:rPr>
        <w:t xml:space="preserve"> </w:t>
      </w:r>
      <w:r>
        <w:rPr>
          <w:rFonts w:ascii="FangSong" w:hAnsi="FangSong" w:eastAsia="FangSong" w:cs="FangSong"/>
          <w:sz w:val="24"/>
          <w:szCs w:val="24"/>
          <w:spacing w:val="-16"/>
        </w:rPr>
        <w:t>西</w:t>
      </w:r>
      <w:r>
        <w:rPr>
          <w:rFonts w:ascii="FangSong" w:hAnsi="FangSong" w:eastAsia="FangSong" w:cs="FangSong"/>
          <w:sz w:val="24"/>
          <w:szCs w:val="24"/>
          <w:spacing w:val="-71"/>
        </w:rPr>
        <w:t xml:space="preserve"> </w:t>
      </w:r>
      <w:r>
        <w:rPr>
          <w:rFonts w:ascii="FangSong" w:hAnsi="FangSong" w:eastAsia="FangSong" w:cs="FangSong"/>
          <w:sz w:val="24"/>
          <w:szCs w:val="24"/>
          <w:spacing w:val="-16"/>
        </w:rPr>
        <w:t>侧</w:t>
      </w:r>
      <w:r>
        <w:rPr>
          <w:rFonts w:ascii="FangSong" w:hAnsi="FangSong" w:eastAsia="FangSong" w:cs="FangSong"/>
          <w:sz w:val="24"/>
          <w:szCs w:val="24"/>
          <w:spacing w:val="-54"/>
        </w:rPr>
        <w:t xml:space="preserve"> </w:t>
      </w:r>
      <w:r>
        <w:rPr>
          <w:rFonts w:ascii="FangSong" w:hAnsi="FangSong" w:eastAsia="FangSong" w:cs="FangSong"/>
          <w:sz w:val="24"/>
          <w:szCs w:val="24"/>
          <w:spacing w:val="-16"/>
        </w:rPr>
        <w:t>，</w:t>
      </w:r>
      <w:r>
        <w:rPr>
          <w:rFonts w:ascii="FangSong" w:hAnsi="FangSong" w:eastAsia="FangSong" w:cs="FangSong"/>
          <w:sz w:val="24"/>
          <w:szCs w:val="24"/>
          <w:spacing w:val="-16"/>
        </w:rPr>
        <w:t xml:space="preserve"> </w:t>
      </w:r>
      <w:r>
        <w:rPr>
          <w:rFonts w:ascii="FangSong" w:hAnsi="FangSong" w:eastAsia="FangSong" w:cs="FangSong"/>
          <w:sz w:val="24"/>
          <w:szCs w:val="24"/>
          <w:spacing w:val="-16"/>
        </w:rPr>
        <w:t>占</w:t>
      </w:r>
      <w:r>
        <w:rPr>
          <w:rFonts w:ascii="FangSong" w:hAnsi="FangSong" w:eastAsia="FangSong" w:cs="FangSong"/>
          <w:sz w:val="24"/>
          <w:szCs w:val="24"/>
          <w:spacing w:val="-69"/>
        </w:rPr>
        <w:t xml:space="preserve"> </w:t>
      </w:r>
      <w:r>
        <w:rPr>
          <w:rFonts w:ascii="FangSong" w:hAnsi="FangSong" w:eastAsia="FangSong" w:cs="FangSong"/>
          <w:sz w:val="24"/>
          <w:szCs w:val="24"/>
          <w:spacing w:val="-16"/>
        </w:rPr>
        <w:t>地</w:t>
      </w:r>
      <w:r>
        <w:rPr>
          <w:rFonts w:ascii="FangSong" w:hAnsi="FangSong" w:eastAsia="FangSong" w:cs="FangSong"/>
          <w:sz w:val="24"/>
          <w:szCs w:val="24"/>
          <w:spacing w:val="-66"/>
        </w:rPr>
        <w:t xml:space="preserve"> </w:t>
      </w:r>
      <w:r>
        <w:rPr>
          <w:rFonts w:ascii="FangSong" w:hAnsi="FangSong" w:eastAsia="FangSong" w:cs="FangSong"/>
          <w:sz w:val="24"/>
          <w:szCs w:val="24"/>
          <w:spacing w:val="-16"/>
        </w:rPr>
        <w:t>约</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16"/>
        </w:rPr>
        <w:t>2100m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30"/>
          <w:w w:val="102"/>
          <w:position w:val="8"/>
        </w:rPr>
        <w:t xml:space="preserve"> </w:t>
      </w:r>
      <w:r>
        <w:rPr>
          <w:rFonts w:ascii="FangSong" w:hAnsi="FangSong" w:eastAsia="FangSong" w:cs="FangSong"/>
          <w:sz w:val="24"/>
          <w:szCs w:val="24"/>
          <w:spacing w:val="-19"/>
        </w:rPr>
        <w:t>，</w:t>
      </w:r>
      <w:r>
        <w:rPr>
          <w:rFonts w:ascii="FangSong" w:hAnsi="FangSong" w:eastAsia="FangSong" w:cs="FangSong"/>
          <w:sz w:val="24"/>
          <w:szCs w:val="24"/>
          <w:spacing w:val="-71"/>
        </w:rPr>
        <w:t xml:space="preserve"> </w:t>
      </w:r>
      <w:r>
        <w:rPr>
          <w:rFonts w:ascii="FangSong" w:hAnsi="FangSong" w:eastAsia="FangSong" w:cs="FangSong"/>
          <w:sz w:val="24"/>
          <w:szCs w:val="24"/>
          <w:spacing w:val="-19"/>
        </w:rPr>
        <w:t>建</w:t>
      </w:r>
      <w:r>
        <w:rPr>
          <w:rFonts w:ascii="FangSong" w:hAnsi="FangSong" w:eastAsia="FangSong" w:cs="FangSong"/>
          <w:sz w:val="24"/>
          <w:szCs w:val="24"/>
          <w:spacing w:val="-69"/>
        </w:rPr>
        <w:t xml:space="preserve"> </w:t>
      </w:r>
      <w:r>
        <w:rPr>
          <w:rFonts w:ascii="FangSong" w:hAnsi="FangSong" w:eastAsia="FangSong" w:cs="FangSong"/>
          <w:sz w:val="24"/>
          <w:szCs w:val="24"/>
          <w:spacing w:val="-19"/>
        </w:rPr>
        <w:t>构</w:t>
      </w:r>
      <w:r>
        <w:rPr>
          <w:rFonts w:ascii="FangSong" w:hAnsi="FangSong" w:eastAsia="FangSong" w:cs="FangSong"/>
          <w:sz w:val="24"/>
          <w:szCs w:val="24"/>
          <w:spacing w:val="-67"/>
        </w:rPr>
        <w:t xml:space="preserve"> </w:t>
      </w:r>
      <w:r>
        <w:rPr>
          <w:rFonts w:ascii="FangSong" w:hAnsi="FangSong" w:eastAsia="FangSong" w:cs="FangSong"/>
          <w:sz w:val="24"/>
          <w:szCs w:val="24"/>
          <w:spacing w:val="-19"/>
        </w:rPr>
        <w:t>筑</w:t>
      </w:r>
      <w:r>
        <w:rPr>
          <w:rFonts w:ascii="FangSong" w:hAnsi="FangSong" w:eastAsia="FangSong" w:cs="FangSong"/>
          <w:sz w:val="24"/>
          <w:szCs w:val="24"/>
          <w:spacing w:val="-68"/>
        </w:rPr>
        <w:t xml:space="preserve"> </w:t>
      </w:r>
      <w:r>
        <w:rPr>
          <w:rFonts w:ascii="FangSong" w:hAnsi="FangSong" w:eastAsia="FangSong" w:cs="FangSong"/>
          <w:sz w:val="24"/>
          <w:szCs w:val="24"/>
          <w:spacing w:val="-19"/>
        </w:rPr>
        <w:t>物</w:t>
      </w:r>
      <w:r>
        <w:rPr>
          <w:rFonts w:ascii="FangSong" w:hAnsi="FangSong" w:eastAsia="FangSong" w:cs="FangSong"/>
          <w:sz w:val="24"/>
          <w:szCs w:val="24"/>
          <w:spacing w:val="-71"/>
        </w:rPr>
        <w:t xml:space="preserve"> </w:t>
      </w:r>
      <w:r>
        <w:rPr>
          <w:rFonts w:ascii="FangSong" w:hAnsi="FangSong" w:eastAsia="FangSong" w:cs="FangSong"/>
          <w:sz w:val="24"/>
          <w:szCs w:val="24"/>
          <w:spacing w:val="-19"/>
        </w:rPr>
        <w:t>规</w:t>
      </w:r>
      <w:r>
        <w:rPr>
          <w:rFonts w:ascii="FangSong" w:hAnsi="FangSong" w:eastAsia="FangSong" w:cs="FangSong"/>
          <w:sz w:val="24"/>
          <w:szCs w:val="24"/>
          <w:spacing w:val="-71"/>
        </w:rPr>
        <w:t xml:space="preserve"> </w:t>
      </w:r>
      <w:r>
        <w:rPr>
          <w:rFonts w:ascii="FangSong" w:hAnsi="FangSong" w:eastAsia="FangSong" w:cs="FangSong"/>
          <w:sz w:val="24"/>
          <w:szCs w:val="24"/>
          <w:spacing w:val="-19"/>
        </w:rPr>
        <w:t>格</w:t>
      </w:r>
      <w:r>
        <w:rPr>
          <w:rFonts w:ascii="FangSong" w:hAnsi="FangSong" w:eastAsia="FangSong" w:cs="FangSong"/>
          <w:sz w:val="24"/>
          <w:szCs w:val="24"/>
          <w:spacing w:val="-69"/>
        </w:rPr>
        <w:t xml:space="preserve"> </w:t>
      </w:r>
      <w:r>
        <w:rPr>
          <w:rFonts w:ascii="FangSong" w:hAnsi="FangSong" w:eastAsia="FangSong" w:cs="FangSong"/>
          <w:sz w:val="24"/>
          <w:szCs w:val="24"/>
          <w:spacing w:val="-19"/>
        </w:rPr>
        <w:t>尺</w:t>
      </w:r>
      <w:r>
        <w:rPr>
          <w:rFonts w:ascii="FangSong" w:hAnsi="FangSong" w:eastAsia="FangSong" w:cs="FangSong"/>
          <w:sz w:val="24"/>
          <w:szCs w:val="24"/>
          <w:spacing w:val="-62"/>
        </w:rPr>
        <w:t xml:space="preserve"> </w:t>
      </w:r>
      <w:r>
        <w:rPr>
          <w:rFonts w:ascii="FangSong" w:hAnsi="FangSong" w:eastAsia="FangSong" w:cs="FangSong"/>
          <w:sz w:val="24"/>
          <w:szCs w:val="24"/>
          <w:spacing w:val="-19"/>
        </w:rPr>
        <w:t>寸</w:t>
      </w:r>
      <w:r>
        <w:rPr>
          <w:rFonts w:ascii="Times New Roman" w:hAnsi="Times New Roman" w:eastAsia="Times New Roman" w:cs="Times New Roman"/>
          <w:sz w:val="24"/>
          <w:szCs w:val="24"/>
          <w:spacing w:val="-4"/>
        </w:rPr>
        <w:t>35m×60m×10m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w:t>
      </w:r>
    </w:p>
    <w:p>
      <w:pPr>
        <w:spacing w:before="9" w:line="221" w:lineRule="auto"/>
        <w:jc w:val="right"/>
        <w:rPr>
          <w:rFonts w:ascii="FangSong" w:hAnsi="FangSong" w:eastAsia="FangSong" w:cs="FangSong"/>
          <w:sz w:val="24"/>
          <w:szCs w:val="24"/>
        </w:rPr>
      </w:pPr>
      <w:r>
        <w:rPr>
          <w:rFonts w:ascii="FangSong" w:hAnsi="FangSong" w:eastAsia="FangSong" w:cs="FangSong"/>
          <w:sz w:val="24"/>
          <w:szCs w:val="24"/>
          <w:spacing w:val="-7"/>
        </w:rPr>
        <w:t>表土堆场位于原矿堆场南侧，占地约</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7"/>
        </w:rPr>
        <w:t>1440m</w:t>
      </w:r>
      <w:r>
        <w:rPr>
          <w:rFonts w:ascii="Times New Roman" w:hAnsi="Times New Roman" w:eastAsia="Times New Roman" w:cs="Times New Roman"/>
          <w:sz w:val="15"/>
          <w:szCs w:val="15"/>
          <w:spacing w:val="-7"/>
          <w:position w:val="8"/>
        </w:rPr>
        <w:t>2</w:t>
      </w:r>
      <w:r>
        <w:rPr>
          <w:rFonts w:ascii="FangSong" w:hAnsi="FangSong" w:eastAsia="FangSong" w:cs="FangSong"/>
          <w:sz w:val="24"/>
          <w:szCs w:val="24"/>
          <w:spacing w:val="-7"/>
        </w:rPr>
        <w:t>，建构筑物规格尺寸</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7"/>
        </w:rPr>
        <w:t>30m×48m×6m</w:t>
      </w:r>
      <w:r>
        <w:rPr>
          <w:rFonts w:ascii="FangSong" w:hAnsi="FangSong" w:eastAsia="FangSong" w:cs="FangSong"/>
          <w:sz w:val="24"/>
          <w:szCs w:val="24"/>
          <w:spacing w:val="-7"/>
        </w:rPr>
        <w:t>。</w:t>
      </w:r>
    </w:p>
    <w:p>
      <w:pPr>
        <w:spacing w:line="221" w:lineRule="auto"/>
        <w:sectPr>
          <w:footerReference w:type="default" r:id="rId132"/>
          <w:pgSz w:w="11911" w:h="16839"/>
          <w:pgMar w:top="400" w:right="1319"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508"/>
        <w:spacing w:before="78" w:line="221" w:lineRule="auto"/>
        <w:rPr>
          <w:rFonts w:ascii="FangSong" w:hAnsi="FangSong" w:eastAsia="FangSong" w:cs="FangSong"/>
          <w:sz w:val="24"/>
          <w:szCs w:val="24"/>
        </w:rPr>
      </w:pPr>
      <w:r>
        <w:rPr>
          <w:rFonts w:ascii="FangSong" w:hAnsi="FangSong" w:eastAsia="FangSong" w:cs="FangSong"/>
          <w:sz w:val="24"/>
          <w:szCs w:val="24"/>
          <w:spacing w:val="-4"/>
        </w:rPr>
        <w:t>行政生活区设置于工业广场西侧</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4"/>
        </w:rPr>
        <w:t>1750m</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处，</w:t>
      </w:r>
      <w:r>
        <w:rPr>
          <w:rFonts w:ascii="FangSong" w:hAnsi="FangSong" w:eastAsia="FangSong" w:cs="FangSong"/>
          <w:sz w:val="24"/>
          <w:szCs w:val="24"/>
          <w:spacing w:val="-63"/>
        </w:rPr>
        <w:t xml:space="preserve"> </w:t>
      </w:r>
      <w:r>
        <w:rPr>
          <w:rFonts w:ascii="FangSong" w:hAnsi="FangSong" w:eastAsia="FangSong" w:cs="FangSong"/>
          <w:sz w:val="24"/>
          <w:szCs w:val="24"/>
          <w:spacing w:val="-4"/>
        </w:rPr>
        <w:t>占</w:t>
      </w:r>
      <w:r>
        <w:rPr>
          <w:rFonts w:ascii="FangSong" w:hAnsi="FangSong" w:eastAsia="FangSong" w:cs="FangSong"/>
          <w:sz w:val="24"/>
          <w:szCs w:val="24"/>
          <w:spacing w:val="-5"/>
        </w:rPr>
        <w:t>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9600m</w:t>
      </w:r>
      <w:r>
        <w:rPr>
          <w:rFonts w:ascii="Times New Roman" w:hAnsi="Times New Roman" w:eastAsia="Times New Roman" w:cs="Times New Roman"/>
          <w:sz w:val="15"/>
          <w:szCs w:val="15"/>
          <w:spacing w:val="-5"/>
          <w:position w:val="8"/>
        </w:rPr>
        <w:t>2</w:t>
      </w:r>
      <w:r>
        <w:rPr>
          <w:rFonts w:ascii="FangSong" w:hAnsi="FangSong" w:eastAsia="FangSong" w:cs="FangSong"/>
          <w:sz w:val="24"/>
          <w:szCs w:val="24"/>
          <w:spacing w:val="-5"/>
        </w:rPr>
        <w:t>。</w:t>
      </w:r>
    </w:p>
    <w:p>
      <w:pPr>
        <w:ind w:left="16"/>
        <w:spacing w:before="178" w:line="222" w:lineRule="auto"/>
        <w:outlineLvl w:val="2"/>
        <w:rPr>
          <w:rFonts w:ascii="FangSong" w:hAnsi="FangSong" w:eastAsia="FangSong" w:cs="FangSong"/>
          <w:sz w:val="24"/>
          <w:szCs w:val="24"/>
        </w:rPr>
      </w:pPr>
      <w:bookmarkStart w:name="bookmark163" w:id="224"/>
      <w:bookmarkEnd w:id="224"/>
      <w:bookmarkStart w:name="bookmark162" w:id="225"/>
      <w:bookmarkEnd w:id="225"/>
      <w:r>
        <w:rPr>
          <w:rFonts w:ascii="Times New Roman" w:hAnsi="Times New Roman" w:eastAsia="Times New Roman" w:cs="Times New Roman"/>
          <w:sz w:val="24"/>
          <w:szCs w:val="24"/>
          <w:b/>
          <w:bCs/>
          <w:spacing w:val="-5"/>
        </w:rPr>
        <w:t>4.9.3</w:t>
      </w:r>
      <w:r>
        <w:rPr>
          <w:rFonts w:ascii="Times New Roman" w:hAnsi="Times New Roman" w:eastAsia="Times New Roman" w:cs="Times New Roman"/>
          <w:sz w:val="24"/>
          <w:szCs w:val="24"/>
          <w:b/>
          <w:bCs/>
          <w:spacing w:val="17"/>
        </w:rPr>
        <w:t xml:space="preserve">  </w:t>
      </w:r>
      <w:r>
        <w:rPr>
          <w:rFonts w:ascii="FangSong" w:hAnsi="FangSong" w:eastAsia="FangSong" w:cs="FangSong"/>
          <w:sz w:val="24"/>
          <w:szCs w:val="24"/>
          <w:b/>
          <w:bCs/>
          <w:spacing w:val="-5"/>
        </w:rPr>
        <w:t>防治水方案</w:t>
      </w:r>
    </w:p>
    <w:p>
      <w:pPr>
        <w:ind w:left="26" w:right="74" w:firstLine="480"/>
        <w:spacing w:before="179" w:line="359" w:lineRule="auto"/>
        <w:jc w:val="both"/>
        <w:rPr>
          <w:rFonts w:ascii="FangSong" w:hAnsi="FangSong" w:eastAsia="FangSong" w:cs="FangSong"/>
          <w:sz w:val="24"/>
          <w:szCs w:val="24"/>
        </w:rPr>
      </w:pPr>
      <w:r>
        <w:rPr>
          <w:rFonts w:ascii="FangSong" w:hAnsi="FangSong" w:eastAsia="FangSong" w:cs="FangSong"/>
          <w:sz w:val="24"/>
          <w:szCs w:val="24"/>
          <w:spacing w:val="-4"/>
        </w:rPr>
        <w:t>矿区地处内蒙古高原中北部，矿区海拔高度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1007-1065m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，相对高差</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58m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。最高</w:t>
      </w:r>
      <w:r>
        <w:rPr>
          <w:rFonts w:ascii="FangSong" w:hAnsi="FangSong" w:eastAsia="FangSong" w:cs="FangSong"/>
          <w:sz w:val="24"/>
          <w:szCs w:val="24"/>
          <w:spacing w:val="1"/>
        </w:rPr>
        <w:t>点位于矿区南端石英斑岩出露处，最低点位置处于矿区北部一干涸水塘处。最低侵</w:t>
      </w:r>
      <w:r>
        <w:rPr>
          <w:rFonts w:ascii="FangSong" w:hAnsi="FangSong" w:eastAsia="FangSong" w:cs="FangSong"/>
          <w:sz w:val="24"/>
          <w:szCs w:val="24"/>
          <w:spacing w:val="-1"/>
        </w:rPr>
        <w:t>蚀基准面标高</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1007m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。区内地形总体北高南低，基岩地形切割较浅，且绝大部分与</w:t>
      </w:r>
      <w:r>
        <w:rPr>
          <w:rFonts w:ascii="FangSong" w:hAnsi="FangSong" w:eastAsia="FangSong" w:cs="FangSong"/>
          <w:sz w:val="24"/>
          <w:szCs w:val="24"/>
          <w:spacing w:val="2"/>
        </w:rPr>
        <w:t>第四系砂土覆盖。按地貌单元类型划分：</w:t>
      </w:r>
      <w:r>
        <w:rPr>
          <w:rFonts w:ascii="FangSong" w:hAnsi="FangSong" w:eastAsia="FangSong" w:cs="FangSong"/>
          <w:sz w:val="24"/>
          <w:szCs w:val="24"/>
          <w:spacing w:val="2"/>
        </w:rPr>
        <w:t xml:space="preserve"> </w:t>
      </w:r>
      <w:r>
        <w:rPr>
          <w:rFonts w:ascii="FangSong" w:hAnsi="FangSong" w:eastAsia="FangSong" w:cs="FangSong"/>
          <w:sz w:val="24"/>
          <w:szCs w:val="24"/>
          <w:spacing w:val="2"/>
        </w:rPr>
        <w:t>基本属高原低山</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平缓草原区。区内水系</w:t>
      </w:r>
      <w:r>
        <w:rPr>
          <w:rFonts w:ascii="FangSong" w:hAnsi="FangSong" w:eastAsia="FangSong" w:cs="FangSong"/>
          <w:sz w:val="24"/>
          <w:szCs w:val="24"/>
          <w:spacing w:val="1"/>
        </w:rPr>
        <w:t>不发育，无常年性地表水体。矿床水文地质条件属以裂隙含水层充水为主的简单类</w:t>
      </w:r>
      <w:r>
        <w:rPr>
          <w:rFonts w:ascii="FangSong" w:hAnsi="FangSong" w:eastAsia="FangSong" w:cs="FangSong"/>
          <w:sz w:val="24"/>
          <w:szCs w:val="24"/>
          <w:spacing w:val="-2"/>
        </w:rPr>
        <w:t>型矿床。即第二类第一型。</w:t>
      </w:r>
    </w:p>
    <w:p>
      <w:pPr>
        <w:ind w:left="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4.9.3.1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3"/>
        </w:rPr>
        <w:t>地面防治水</w:t>
      </w:r>
    </w:p>
    <w:p>
      <w:pPr>
        <w:ind w:left="26" w:right="74" w:firstLine="488"/>
        <w:spacing w:before="178" w:line="359" w:lineRule="auto"/>
        <w:jc w:val="both"/>
        <w:rPr>
          <w:rFonts w:ascii="FangSong" w:hAnsi="FangSong" w:eastAsia="FangSong" w:cs="FangSong"/>
          <w:sz w:val="24"/>
          <w:szCs w:val="24"/>
        </w:rPr>
      </w:pPr>
      <w:r>
        <w:rPr>
          <w:rFonts w:ascii="FangSong" w:hAnsi="FangSong" w:eastAsia="FangSong" w:cs="FangSong"/>
          <w:sz w:val="24"/>
          <w:szCs w:val="24"/>
          <w:spacing w:val="1"/>
        </w:rPr>
        <w:t>为防止雨季时大气降水渗、漏进入坑内，最大限度地减少矿体地表汇水</w:t>
      </w:r>
      <w:r>
        <w:rPr>
          <w:rFonts w:ascii="FangSong" w:hAnsi="FangSong" w:eastAsia="FangSong" w:cs="FangSong"/>
          <w:sz w:val="24"/>
          <w:szCs w:val="24"/>
        </w:rPr>
        <w:t>面积，</w:t>
      </w:r>
      <w:r>
        <w:rPr>
          <w:rFonts w:ascii="FangSong" w:hAnsi="FangSong" w:eastAsia="FangSong" w:cs="FangSong"/>
          <w:sz w:val="24"/>
          <w:szCs w:val="24"/>
          <w:spacing w:val="1"/>
        </w:rPr>
        <w:t>应在矿体上部地表移动带范围之外的上游分别设置截水沟或拦水坝，使雨季地表水</w:t>
      </w:r>
      <w:r>
        <w:rPr>
          <w:rFonts w:ascii="FangSong" w:hAnsi="FangSong" w:eastAsia="FangSong" w:cs="FangSong"/>
          <w:sz w:val="24"/>
          <w:szCs w:val="24"/>
          <w:spacing w:val="1"/>
        </w:rPr>
        <w:t>向开采范围外排放。截水坝或引水沟距移动带界线的距离依据防渗透等因素确定，</w:t>
      </w:r>
      <w:r>
        <w:rPr>
          <w:rFonts w:ascii="FangSong" w:hAnsi="FangSong" w:eastAsia="FangSong" w:cs="FangSong"/>
          <w:sz w:val="24"/>
          <w:szCs w:val="24"/>
          <w:spacing w:val="-2"/>
        </w:rPr>
        <w:t>其最小距离不宜小于</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15m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。在各井</w:t>
      </w:r>
      <w:r>
        <w:rPr>
          <w:rFonts w:ascii="FangSong" w:hAnsi="FangSong" w:eastAsia="FangSong" w:cs="FangSong"/>
          <w:sz w:val="24"/>
          <w:szCs w:val="24"/>
          <w:spacing w:val="-61"/>
        </w:rPr>
        <w:t xml:space="preserve"> </w:t>
      </w:r>
      <w:r>
        <w:rPr>
          <w:rFonts w:ascii="FangSong" w:hAnsi="FangSong" w:eastAsia="FangSong" w:cs="FangSong"/>
          <w:sz w:val="24"/>
          <w:szCs w:val="24"/>
          <w:spacing w:val="-2"/>
        </w:rPr>
        <w:t>口、工业</w:t>
      </w:r>
      <w:r>
        <w:rPr>
          <w:rFonts w:ascii="FangSong" w:hAnsi="FangSong" w:eastAsia="FangSong" w:cs="FangSong"/>
          <w:sz w:val="24"/>
          <w:szCs w:val="24"/>
          <w:spacing w:val="-3"/>
        </w:rPr>
        <w:t>场地周围应设拦水坝或截洪沟，以防暴</w:t>
      </w:r>
      <w:r>
        <w:rPr>
          <w:rFonts w:ascii="FangSong" w:hAnsi="FangSong" w:eastAsia="FangSong" w:cs="FangSong"/>
          <w:sz w:val="24"/>
          <w:szCs w:val="24"/>
          <w:spacing w:val="-1"/>
        </w:rPr>
        <w:t>雨冲刷地表水涌入井下引发安全事故、经济损失。</w:t>
      </w:r>
    </w:p>
    <w:p>
      <w:pPr>
        <w:ind w:left="16"/>
        <w:spacing w:before="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4.9.3.2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井下涌水</w:t>
      </w:r>
    </w:p>
    <w:p>
      <w:pPr>
        <w:ind w:left="31" w:right="74" w:firstLine="478"/>
        <w:spacing w:before="180" w:line="359" w:lineRule="auto"/>
        <w:jc w:val="both"/>
        <w:rPr>
          <w:rFonts w:ascii="FangSong" w:hAnsi="FangSong" w:eastAsia="FangSong" w:cs="FangSong"/>
          <w:sz w:val="24"/>
          <w:szCs w:val="24"/>
        </w:rPr>
      </w:pPr>
      <w:r>
        <w:rPr>
          <w:rFonts w:ascii="FangSong" w:hAnsi="FangSong" w:eastAsia="FangSong" w:cs="FangSong"/>
          <w:sz w:val="24"/>
          <w:szCs w:val="24"/>
          <w:spacing w:val="-1"/>
        </w:rPr>
        <w:t>井下采用一段排水方式，在主井（</w:t>
      </w:r>
      <w:r>
        <w:rPr>
          <w:rFonts w:ascii="Times New Roman" w:hAnsi="Times New Roman" w:eastAsia="Times New Roman" w:cs="Times New Roman"/>
          <w:sz w:val="24"/>
          <w:szCs w:val="24"/>
          <w:spacing w:val="-1"/>
        </w:rPr>
        <w:t>SJ1</w:t>
      </w:r>
      <w:r>
        <w:rPr>
          <w:rFonts w:ascii="FangSong" w:hAnsi="FangSong" w:eastAsia="FangSong" w:cs="FangSong"/>
          <w:sz w:val="24"/>
          <w:szCs w:val="24"/>
          <w:spacing w:val="-1"/>
        </w:rPr>
        <w:t>）最低中段</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85</w:t>
      </w:r>
      <w:r>
        <w:rPr>
          <w:rFonts w:ascii="Times New Roman" w:hAnsi="Times New Roman" w:eastAsia="Times New Roman" w:cs="Times New Roman"/>
          <w:sz w:val="24"/>
          <w:szCs w:val="24"/>
          <w:spacing w:val="-2"/>
        </w:rPr>
        <w:t>0m</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2"/>
        </w:rPr>
        <w:t>水平井底车场附近设水</w:t>
      </w:r>
      <w:r>
        <w:rPr>
          <w:rFonts w:ascii="FangSong" w:hAnsi="FangSong" w:eastAsia="FangSong" w:cs="FangSong"/>
          <w:sz w:val="24"/>
          <w:szCs w:val="24"/>
          <w:spacing w:val="3"/>
        </w:rPr>
        <w:t>仓和水泵房。坑内集水利用巷道</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的坡度自流汇入水仓内，</w:t>
      </w:r>
      <w:r>
        <w:rPr>
          <w:rFonts w:ascii="FangSong" w:hAnsi="FangSong" w:eastAsia="FangSong" w:cs="FangSong"/>
          <w:sz w:val="24"/>
          <w:szCs w:val="24"/>
          <w:spacing w:val="-68"/>
        </w:rPr>
        <w:t xml:space="preserve"> </w:t>
      </w:r>
      <w:r>
        <w:rPr>
          <w:rFonts w:ascii="FangSong" w:hAnsi="FangSong" w:eastAsia="FangSong" w:cs="FangSong"/>
          <w:sz w:val="24"/>
          <w:szCs w:val="24"/>
          <w:spacing w:val="3"/>
        </w:rPr>
        <w:t>由水</w:t>
      </w:r>
      <w:r>
        <w:rPr>
          <w:rFonts w:ascii="FangSong" w:hAnsi="FangSong" w:eastAsia="FangSong" w:cs="FangSong"/>
          <w:sz w:val="24"/>
          <w:szCs w:val="24"/>
          <w:spacing w:val="2"/>
        </w:rPr>
        <w:t>泵站集中排至地</w:t>
      </w:r>
      <w:r>
        <w:rPr>
          <w:rFonts w:ascii="FangSong" w:hAnsi="FangSong" w:eastAsia="FangSong" w:cs="FangSong"/>
          <w:sz w:val="24"/>
          <w:szCs w:val="24"/>
          <w:spacing w:val="1"/>
        </w:rPr>
        <w:t>面高位水池，经沉淀后供坑内凿岩防尘循环使用，多余部分可用于绿化、洒水降尘</w:t>
      </w:r>
      <w:r>
        <w:rPr>
          <w:rFonts w:ascii="FangSong" w:hAnsi="FangSong" w:eastAsia="FangSong" w:cs="FangSong"/>
          <w:sz w:val="24"/>
          <w:szCs w:val="24"/>
          <w:spacing w:val="-11"/>
        </w:rPr>
        <w:t>等。</w:t>
      </w:r>
    </w:p>
    <w:p>
      <w:pPr>
        <w:ind w:left="27" w:firstLine="476"/>
        <w:spacing w:line="359" w:lineRule="auto"/>
        <w:jc w:val="both"/>
        <w:rPr>
          <w:rFonts w:ascii="FangSong" w:hAnsi="FangSong" w:eastAsia="FangSong" w:cs="FangSong"/>
          <w:sz w:val="24"/>
          <w:szCs w:val="24"/>
        </w:rPr>
      </w:pPr>
      <w:r>
        <w:rPr>
          <w:rFonts w:ascii="FangSong" w:hAnsi="FangSong" w:eastAsia="FangSong" w:cs="FangSong"/>
          <w:sz w:val="24"/>
          <w:szCs w:val="24"/>
          <w:spacing w:val="-2"/>
        </w:rPr>
        <w:t>排水系统由水沟、水仓、吸水井、排水泵房、配电室及管</w:t>
      </w:r>
      <w:r>
        <w:rPr>
          <w:rFonts w:ascii="FangSong" w:hAnsi="FangSong" w:eastAsia="FangSong" w:cs="FangSong"/>
          <w:sz w:val="24"/>
          <w:szCs w:val="24"/>
          <w:spacing w:val="-3"/>
        </w:rPr>
        <w:t>子道等组成。</w:t>
      </w:r>
      <w:r>
        <w:rPr>
          <w:rFonts w:ascii="Times New Roman" w:hAnsi="Times New Roman" w:eastAsia="Times New Roman" w:cs="Times New Roman"/>
          <w:sz w:val="24"/>
          <w:szCs w:val="24"/>
          <w:spacing w:val="-3"/>
        </w:rPr>
        <w:t>850m </w:t>
      </w:r>
      <w:r>
        <w:rPr>
          <w:rFonts w:ascii="FangSong" w:hAnsi="FangSong" w:eastAsia="FangSong" w:cs="FangSong"/>
          <w:sz w:val="24"/>
          <w:szCs w:val="24"/>
          <w:spacing w:val="-3"/>
        </w:rPr>
        <w:t>水</w:t>
      </w:r>
      <w:r>
        <w:rPr>
          <w:rFonts w:ascii="FangSong" w:hAnsi="FangSong" w:eastAsia="FangSong" w:cs="FangSong"/>
          <w:sz w:val="24"/>
          <w:szCs w:val="24"/>
          <w:spacing w:val="-5"/>
        </w:rPr>
        <w:t>仓泵房安设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38"/>
          <w:w w:val="101"/>
        </w:rPr>
        <w:t xml:space="preserve"> </w:t>
      </w:r>
      <w:r>
        <w:rPr>
          <w:rFonts w:ascii="FangSong" w:hAnsi="FangSong" w:eastAsia="FangSong" w:cs="FangSong"/>
          <w:sz w:val="24"/>
          <w:szCs w:val="24"/>
          <w:spacing w:val="-5"/>
        </w:rPr>
        <w:t>台同类型水泵（</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5"/>
        </w:rPr>
        <w:t>开、</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备、</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5"/>
        </w:rPr>
        <w:t>检修</w:t>
      </w:r>
      <w:r>
        <w:rPr>
          <w:rFonts w:ascii="FangSong" w:hAnsi="FangSong" w:eastAsia="FangSong" w:cs="FangSong"/>
          <w:sz w:val="24"/>
          <w:szCs w:val="24"/>
          <w:spacing w:val="9"/>
        </w:rPr>
        <w:t>），</w:t>
      </w:r>
      <w:r>
        <w:rPr>
          <w:rFonts w:ascii="FangSong" w:hAnsi="FangSong" w:eastAsia="FangSong" w:cs="FangSong"/>
          <w:sz w:val="24"/>
          <w:szCs w:val="24"/>
          <w:spacing w:val="-5"/>
        </w:rPr>
        <w:t>工作</w:t>
      </w:r>
      <w:r>
        <w:rPr>
          <w:rFonts w:ascii="FangSong" w:hAnsi="FangSong" w:eastAsia="FangSong" w:cs="FangSong"/>
          <w:sz w:val="24"/>
          <w:szCs w:val="24"/>
          <w:spacing w:val="-6"/>
        </w:rPr>
        <w:t>水泵应在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20h</w:t>
      </w:r>
      <w:r>
        <w:rPr>
          <w:rFonts w:ascii="Times New Roman" w:hAnsi="Times New Roman" w:eastAsia="Times New Roman" w:cs="Times New Roman"/>
          <w:sz w:val="24"/>
          <w:szCs w:val="24"/>
          <w:spacing w:val="45"/>
        </w:rPr>
        <w:t xml:space="preserve"> </w:t>
      </w:r>
      <w:r>
        <w:rPr>
          <w:rFonts w:ascii="FangSong" w:hAnsi="FangSong" w:eastAsia="FangSong" w:cs="FangSong"/>
          <w:sz w:val="24"/>
          <w:szCs w:val="24"/>
          <w:spacing w:val="-6"/>
        </w:rPr>
        <w:t>内能排出一</w:t>
      </w:r>
      <w:r>
        <w:rPr>
          <w:rFonts w:ascii="FangSong" w:hAnsi="FangSong" w:eastAsia="FangSong" w:cs="FangSong"/>
          <w:sz w:val="24"/>
          <w:szCs w:val="24"/>
          <w:spacing w:val="-4"/>
        </w:rPr>
        <w:t>天的正常涌水量，最大涌水时</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4"/>
        </w:rPr>
        <w:t>台水泵同时启动；同时选用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4"/>
        </w:rPr>
        <w:t>条相同排水管（</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5"/>
        </w:rPr>
        <w:t>开、</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2"/>
        </w:rPr>
        <w:t>备）。坑内涌水经沉淀后供坑内凿岩、防尘等循环使用。</w:t>
      </w:r>
    </w:p>
    <w:p>
      <w:pPr>
        <w:ind w:left="32" w:right="74" w:firstLine="474"/>
        <w:spacing w:before="3" w:line="359" w:lineRule="auto"/>
        <w:rPr>
          <w:rFonts w:ascii="FangSong" w:hAnsi="FangSong" w:eastAsia="FangSong" w:cs="FangSong"/>
          <w:sz w:val="24"/>
          <w:szCs w:val="24"/>
        </w:rPr>
      </w:pPr>
      <w:r>
        <w:rPr>
          <w:rFonts w:ascii="FangSong" w:hAnsi="FangSong" w:eastAsia="FangSong" w:cs="FangSong"/>
          <w:sz w:val="24"/>
          <w:szCs w:val="24"/>
          <w:spacing w:val="1"/>
        </w:rPr>
        <w:t>矿山开采时，特别是在雨季，要加强观测，并采取相应的预防措施，做好防洪</w:t>
      </w:r>
      <w:r>
        <w:rPr>
          <w:rFonts w:ascii="FangSong" w:hAnsi="FangSong" w:eastAsia="FangSong" w:cs="FangSong"/>
          <w:sz w:val="24"/>
          <w:szCs w:val="24"/>
          <w:spacing w:val="-2"/>
        </w:rPr>
        <w:t>工作，以防止井下突水和淹井事故的发生。</w:t>
      </w:r>
    </w:p>
    <w:p>
      <w:pPr>
        <w:ind w:left="17"/>
        <w:spacing w:before="3" w:line="224" w:lineRule="auto"/>
        <w:outlineLvl w:val="1"/>
        <w:rPr>
          <w:rFonts w:ascii="FangSong" w:hAnsi="FangSong" w:eastAsia="FangSong" w:cs="FangSong"/>
          <w:sz w:val="28"/>
          <w:szCs w:val="28"/>
        </w:rPr>
      </w:pPr>
      <w:bookmarkStart w:name="bookmark165" w:id="226"/>
      <w:bookmarkEnd w:id="226"/>
      <w:bookmarkStart w:name="bookmark167" w:id="227"/>
      <w:bookmarkEnd w:id="227"/>
      <w:bookmarkStart w:name="bookmark164" w:id="228"/>
      <w:bookmarkEnd w:id="228"/>
      <w:bookmarkStart w:name="bookmark166" w:id="229"/>
      <w:bookmarkEnd w:id="229"/>
      <w:r>
        <w:rPr>
          <w:rFonts w:ascii="Times New Roman" w:hAnsi="Times New Roman" w:eastAsia="Times New Roman" w:cs="Times New Roman"/>
          <w:sz w:val="28"/>
          <w:szCs w:val="28"/>
          <w:b/>
          <w:bCs/>
          <w:spacing w:val="-5"/>
        </w:rPr>
        <w:t>4.10</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5"/>
        </w:rPr>
        <w:t>公用工程</w:t>
      </w:r>
    </w:p>
    <w:p>
      <w:pPr>
        <w:ind w:left="16"/>
        <w:spacing w:before="200" w:line="222" w:lineRule="auto"/>
        <w:outlineLvl w:val="2"/>
        <w:rPr>
          <w:rFonts w:ascii="FangSong" w:hAnsi="FangSong" w:eastAsia="FangSong" w:cs="FangSong"/>
          <w:sz w:val="24"/>
          <w:szCs w:val="24"/>
        </w:rPr>
      </w:pPr>
      <w:bookmarkStart w:name="bookmark552" w:id="230"/>
      <w:bookmarkEnd w:id="230"/>
      <w:r>
        <w:rPr>
          <w:rFonts w:ascii="Times New Roman" w:hAnsi="Times New Roman" w:eastAsia="Times New Roman" w:cs="Times New Roman"/>
          <w:sz w:val="24"/>
          <w:szCs w:val="24"/>
          <w:b/>
          <w:bCs/>
          <w:spacing w:val="-4"/>
        </w:rPr>
        <w:t>4.10.1</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4"/>
        </w:rPr>
        <w:t>给排水</w:t>
      </w:r>
    </w:p>
    <w:p>
      <w:pPr>
        <w:ind w:left="16"/>
        <w:spacing w:before="177"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4.10.1.1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给水</w:t>
      </w:r>
    </w:p>
    <w:p>
      <w:pPr>
        <w:ind w:left="507"/>
        <w:spacing w:before="178" w:line="222" w:lineRule="auto"/>
        <w:rPr>
          <w:rFonts w:ascii="FangSong" w:hAnsi="FangSong" w:eastAsia="FangSong" w:cs="FangSong"/>
          <w:sz w:val="24"/>
          <w:szCs w:val="24"/>
        </w:rPr>
      </w:pPr>
      <w:r>
        <w:rPr>
          <w:rFonts w:ascii="FangSong" w:hAnsi="FangSong" w:eastAsia="FangSong" w:cs="FangSong"/>
          <w:sz w:val="24"/>
          <w:szCs w:val="24"/>
          <w:spacing w:val="-1"/>
        </w:rPr>
        <w:t>本项目运营期用水主要为生活用水和生产用水。</w:t>
      </w:r>
    </w:p>
    <w:p>
      <w:pPr>
        <w:ind w:left="511"/>
        <w:spacing w:before="179"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）生活用水</w:t>
      </w:r>
    </w:p>
    <w:p>
      <w:pPr>
        <w:spacing w:line="223" w:lineRule="auto"/>
        <w:sectPr>
          <w:footerReference w:type="default" r:id="rId133"/>
          <w:pgSz w:w="11911" w:h="16839"/>
          <w:pgMar w:top="400" w:right="1341"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6" w:right="22" w:firstLine="480"/>
        <w:spacing w:before="78" w:line="359" w:lineRule="auto"/>
        <w:jc w:val="both"/>
        <w:rPr>
          <w:rFonts w:ascii="FangSong" w:hAnsi="FangSong" w:eastAsia="FangSong" w:cs="FangSong"/>
          <w:sz w:val="24"/>
          <w:szCs w:val="24"/>
        </w:rPr>
      </w:pPr>
      <w:r>
        <w:rPr>
          <w:rFonts w:ascii="FangSong" w:hAnsi="FangSong" w:eastAsia="FangSong" w:cs="FangSong"/>
          <w:sz w:val="24"/>
          <w:szCs w:val="24"/>
          <w:spacing w:val="2"/>
        </w:rPr>
        <w:t>本项目生活用水主要为职工的生活用水和食堂用水。劳动职工最大人数</w:t>
      </w:r>
      <w:r>
        <w:rPr>
          <w:rFonts w:ascii="FangSong" w:hAnsi="FangSong" w:eastAsia="FangSong" w:cs="FangSong"/>
          <w:sz w:val="24"/>
          <w:szCs w:val="24"/>
          <w:spacing w:val="1"/>
        </w:rPr>
        <w:t>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134</w:t>
      </w:r>
      <w:r>
        <w:rPr>
          <w:rFonts w:ascii="FangSong" w:hAnsi="FangSong" w:eastAsia="FangSong" w:cs="FangSong"/>
          <w:sz w:val="24"/>
          <w:szCs w:val="24"/>
          <w:spacing w:val="-3"/>
        </w:rPr>
        <w:t>人，参照《内蒙古自治区地方标准</w:t>
      </w:r>
      <w:r>
        <w:rPr>
          <w:rFonts w:ascii="FangSong" w:hAnsi="FangSong" w:eastAsia="FangSong" w:cs="FangSong"/>
          <w:sz w:val="24"/>
          <w:szCs w:val="24"/>
          <w:spacing w:val="-3"/>
        </w:rPr>
        <w:t xml:space="preserve"> </w:t>
      </w:r>
      <w:r>
        <w:rPr>
          <w:rFonts w:ascii="FangSong" w:hAnsi="FangSong" w:eastAsia="FangSong" w:cs="FangSong"/>
          <w:sz w:val="24"/>
          <w:szCs w:val="24"/>
          <w:spacing w:val="-3"/>
        </w:rPr>
        <w:t>行业用水定额》（</w:t>
      </w:r>
      <w:r>
        <w:rPr>
          <w:rFonts w:ascii="Times New Roman" w:hAnsi="Times New Roman" w:eastAsia="Times New Roman" w:cs="Times New Roman"/>
          <w:sz w:val="24"/>
          <w:szCs w:val="24"/>
          <w:spacing w:val="-3"/>
        </w:rPr>
        <w:t>DB15/T385-2020</w:t>
      </w:r>
      <w:r>
        <w:rPr>
          <w:rFonts w:ascii="FangSong" w:hAnsi="FangSong" w:eastAsia="FangSong" w:cs="FangSong"/>
          <w:sz w:val="24"/>
          <w:szCs w:val="24"/>
          <w:spacing w:val="8"/>
        </w:rPr>
        <w:t>），</w:t>
      </w:r>
      <w:r>
        <w:rPr>
          <w:rFonts w:ascii="FangSong" w:hAnsi="FangSong" w:eastAsia="FangSong" w:cs="FangSong"/>
          <w:sz w:val="24"/>
          <w:szCs w:val="24"/>
          <w:spacing w:val="-3"/>
        </w:rPr>
        <w:t>生活用水</w:t>
      </w:r>
      <w:r>
        <w:rPr>
          <w:rFonts w:ascii="FangSong" w:hAnsi="FangSong" w:eastAsia="FangSong" w:cs="FangSong"/>
          <w:sz w:val="24"/>
          <w:szCs w:val="24"/>
          <w:spacing w:val="-6"/>
        </w:rPr>
        <w:t>量按</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60L/</w:t>
      </w:r>
      <w:r>
        <w:rPr>
          <w:rFonts w:ascii="FangSong" w:hAnsi="FangSong" w:eastAsia="FangSong" w:cs="FangSong"/>
          <w:sz w:val="24"/>
          <w:szCs w:val="24"/>
          <w:spacing w:val="-6"/>
        </w:rPr>
        <w:t>人</w:t>
      </w:r>
      <w:r>
        <w:rPr>
          <w:rFonts w:ascii="FangSong" w:hAnsi="FangSong" w:eastAsia="FangSong" w:cs="FangSong"/>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计，食堂用水量按</w:t>
      </w:r>
      <w:r>
        <w:rPr>
          <w:rFonts w:ascii="Times New Roman" w:hAnsi="Times New Roman" w:eastAsia="Times New Roman" w:cs="Times New Roman"/>
          <w:sz w:val="24"/>
          <w:szCs w:val="24"/>
          <w:spacing w:val="-6"/>
        </w:rPr>
        <w:t>23L/</w:t>
      </w:r>
      <w:r>
        <w:rPr>
          <w:rFonts w:ascii="FangSong" w:hAnsi="FangSong" w:eastAsia="FangSong" w:cs="FangSong"/>
          <w:sz w:val="24"/>
          <w:szCs w:val="24"/>
          <w:spacing w:val="-6"/>
        </w:rPr>
        <w:t>人</w:t>
      </w:r>
      <w:r>
        <w:rPr>
          <w:rFonts w:ascii="FangSong" w:hAnsi="FangSong" w:eastAsia="FangSong" w:cs="FangSong"/>
          <w:sz w:val="24"/>
          <w:szCs w:val="24"/>
          <w:spacing w:val="-27"/>
        </w:rPr>
        <w:t xml:space="preserve"> </w:t>
      </w:r>
      <w:r>
        <w:rPr>
          <w:rFonts w:ascii="FangSong" w:hAnsi="FangSong" w:eastAsia="FangSong" w:cs="FangSong"/>
          <w:sz w:val="24"/>
          <w:szCs w:val="24"/>
          <w:spacing w:val="-6"/>
        </w:rPr>
        <w:t>·餐计，年最大工作天数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300d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，每天</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6"/>
        </w:rPr>
        <w:t>餐</w:t>
      </w:r>
      <w:r>
        <w:rPr>
          <w:rFonts w:ascii="FangSong" w:hAnsi="FangSong" w:eastAsia="FangSong" w:cs="FangSong"/>
          <w:sz w:val="24"/>
          <w:szCs w:val="24"/>
          <w:spacing w:val="-6"/>
        </w:rPr>
        <w:t>计算，则生活用水量为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6"/>
        </w:rPr>
        <w:t>8.04m</w:t>
      </w:r>
      <w:r>
        <w:rPr>
          <w:rFonts w:ascii="Times New Roman" w:hAnsi="Times New Roman" w:eastAsia="Times New Roman" w:cs="Times New Roman"/>
          <w:sz w:val="15"/>
          <w:szCs w:val="15"/>
          <w:spacing w:val="-6"/>
          <w:position w:val="7"/>
        </w:rPr>
        <w:t>3</w:t>
      </w:r>
      <w:r>
        <w:rPr>
          <w:rFonts w:ascii="Times New Roman" w:hAnsi="Times New Roman" w:eastAsia="Times New Roman" w:cs="Times New Roman"/>
          <w:sz w:val="24"/>
          <w:szCs w:val="24"/>
          <w:spacing w:val="-6"/>
        </w:rPr>
        <w:t>/d</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2412m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/a</w:t>
      </w:r>
      <w:r>
        <w:rPr>
          <w:rFonts w:ascii="FangSong" w:hAnsi="FangSong" w:eastAsia="FangSong" w:cs="FangSong"/>
          <w:sz w:val="24"/>
          <w:szCs w:val="24"/>
          <w:spacing w:val="-59"/>
        </w:rPr>
        <w:t>），</w:t>
      </w:r>
      <w:r>
        <w:rPr>
          <w:rFonts w:ascii="FangSong" w:hAnsi="FangSong" w:eastAsia="FangSong" w:cs="FangSong"/>
          <w:sz w:val="24"/>
          <w:szCs w:val="24"/>
          <w:spacing w:val="-3"/>
        </w:rPr>
        <w:t>食堂用水量为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9.246m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2773.8m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/a</w:t>
      </w:r>
      <w:r>
        <w:rPr>
          <w:rFonts w:ascii="FangSong" w:hAnsi="FangSong" w:eastAsia="FangSong" w:cs="FangSong"/>
          <w:sz w:val="24"/>
          <w:szCs w:val="24"/>
          <w:spacing w:val="-64"/>
          <w:w w:val="94"/>
        </w:rPr>
        <w:t>）。</w:t>
      </w:r>
    </w:p>
    <w:p>
      <w:pPr>
        <w:ind w:left="19" w:right="105" w:firstLine="500"/>
        <w:spacing w:before="5" w:line="358" w:lineRule="auto"/>
        <w:jc w:val="both"/>
        <w:rPr>
          <w:rFonts w:ascii="FangSong" w:hAnsi="FangSong" w:eastAsia="FangSong" w:cs="FangSong"/>
          <w:sz w:val="24"/>
          <w:szCs w:val="24"/>
        </w:rPr>
      </w:pPr>
      <w:r>
        <w:rPr>
          <w:rFonts w:ascii="FangSong" w:hAnsi="FangSong" w:eastAsia="FangSong" w:cs="FangSong"/>
          <w:sz w:val="24"/>
          <w:szCs w:val="24"/>
          <w:spacing w:val="-2"/>
        </w:rPr>
        <w:t>即项目生活用水量共</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17.286m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5185.8m</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），生活用水水源取自矿区西部沟</w:t>
      </w:r>
      <w:r>
        <w:rPr>
          <w:rFonts w:ascii="FangSong" w:hAnsi="FangSong" w:eastAsia="FangSong" w:cs="FangSong"/>
          <w:sz w:val="24"/>
          <w:szCs w:val="24"/>
          <w:spacing w:val="-4"/>
        </w:rPr>
        <w:t>谷中建有一口机井，单井降深为</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4"/>
        </w:rPr>
        <w:t>15.04m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，涌水量为</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4"/>
        </w:rPr>
        <w:t>103.68m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，供水条件好。由拉</w:t>
      </w:r>
      <w:r>
        <w:rPr>
          <w:rFonts w:ascii="FangSong" w:hAnsi="FangSong" w:eastAsia="FangSong" w:cs="FangSong"/>
          <w:sz w:val="24"/>
          <w:szCs w:val="24"/>
          <w:spacing w:val="8"/>
        </w:rPr>
        <w:t>水车拉运至矿区生活区储水罐，供给全厂生活用水。供水管网呈枝状布置，水压</w:t>
      </w:r>
      <w:r>
        <w:rPr>
          <w:rFonts w:ascii="Times New Roman" w:hAnsi="Times New Roman" w:eastAsia="Times New Roman" w:cs="Times New Roman"/>
          <w:sz w:val="24"/>
          <w:szCs w:val="24"/>
          <w:spacing w:val="-1"/>
        </w:rPr>
        <w:t>0.4MPa</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1"/>
        </w:rPr>
        <w:t>，供水管采用钢骨架塑料复合管，并安装净化系统一套，能够满足项目用水</w:t>
      </w:r>
      <w:r>
        <w:rPr>
          <w:rFonts w:ascii="FangSong" w:hAnsi="FangSong" w:eastAsia="FangSong" w:cs="FangSong"/>
          <w:sz w:val="24"/>
          <w:szCs w:val="24"/>
          <w:spacing w:val="-3"/>
        </w:rPr>
        <w:t>所需。</w:t>
      </w:r>
    </w:p>
    <w:p>
      <w:pPr>
        <w:ind w:left="511"/>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）生产用水</w:t>
      </w:r>
    </w:p>
    <w:p>
      <w:pPr>
        <w:ind w:left="26" w:right="103" w:firstLine="481"/>
        <w:spacing w:before="178" w:line="359" w:lineRule="auto"/>
        <w:rPr>
          <w:rFonts w:ascii="FangSong" w:hAnsi="FangSong" w:eastAsia="FangSong" w:cs="FangSong"/>
          <w:sz w:val="24"/>
          <w:szCs w:val="24"/>
        </w:rPr>
      </w:pPr>
      <w:r>
        <w:rPr>
          <w:rFonts w:ascii="FangSong" w:hAnsi="FangSong" w:eastAsia="FangSong" w:cs="FangSong"/>
          <w:sz w:val="24"/>
          <w:szCs w:val="24"/>
          <w:spacing w:val="1"/>
        </w:rPr>
        <w:t>本项目生产用水主要包括有车间地面冲洗用水、选矿生产用水、充填站工艺用</w:t>
      </w:r>
      <w:r>
        <w:rPr>
          <w:rFonts w:ascii="FangSong" w:hAnsi="FangSong" w:eastAsia="FangSong" w:cs="FangSong"/>
          <w:sz w:val="24"/>
          <w:szCs w:val="24"/>
          <w:spacing w:val="1"/>
        </w:rPr>
        <w:t>水、井下喷淋用水、地表道路和工业广场洒水降尘用水以及绿化用水。项目生产用</w:t>
      </w:r>
      <w:r>
        <w:rPr>
          <w:rFonts w:ascii="FangSong" w:hAnsi="FangSong" w:eastAsia="FangSong" w:cs="FangSong"/>
          <w:sz w:val="24"/>
          <w:szCs w:val="24"/>
          <w:spacing w:val="1"/>
        </w:rPr>
        <w:t>水由矿井涌水和生产废水经沉淀后的中水供给，不足水量则由矿区生活区储水罐供</w:t>
      </w:r>
      <w:r>
        <w:rPr>
          <w:rFonts w:ascii="FangSong" w:hAnsi="FangSong" w:eastAsia="FangSong" w:cs="FangSong"/>
          <w:sz w:val="24"/>
          <w:szCs w:val="24"/>
          <w:spacing w:val="-8"/>
        </w:rPr>
        <w:t>给。</w:t>
      </w:r>
    </w:p>
    <w:p>
      <w:pPr>
        <w:ind w:left="499"/>
        <w:spacing w:line="221"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18"/>
        </w:rPr>
        <w:t xml:space="preserve"> </w:t>
      </w:r>
      <w:r>
        <w:rPr>
          <w:rFonts w:ascii="FangSong" w:hAnsi="FangSong" w:eastAsia="FangSong" w:cs="FangSong"/>
          <w:sz w:val="24"/>
          <w:szCs w:val="24"/>
          <w:spacing w:val="-4"/>
        </w:rPr>
        <w:t>选矿工艺用水</w:t>
      </w:r>
    </w:p>
    <w:p>
      <w:pPr>
        <w:ind w:left="26" w:right="103"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本项目选矿生产用水包括磨矿、浮选等工序用水，根据建设单位所提供资料，</w:t>
      </w:r>
      <w:r>
        <w:rPr>
          <w:rFonts w:ascii="FangSong" w:hAnsi="FangSong" w:eastAsia="FangSong" w:cs="FangSong"/>
          <w:sz w:val="24"/>
          <w:szCs w:val="24"/>
          <w:spacing w:val="-2"/>
        </w:rPr>
        <w:t>本项目选矿用水量为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51.99m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/h</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，本项目选矿生产每天工作</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16h</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，故本项目选矿生产</w:t>
      </w:r>
      <w:r>
        <w:rPr>
          <w:rFonts w:ascii="FangSong" w:hAnsi="FangSong" w:eastAsia="FangSong" w:cs="FangSong"/>
          <w:sz w:val="24"/>
          <w:szCs w:val="24"/>
          <w:spacing w:val="-1"/>
        </w:rPr>
        <w:t>用水量为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831.84m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249552m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充填站工艺用水</w:t>
      </w:r>
    </w:p>
    <w:p>
      <w:pPr>
        <w:ind w:left="28" w:right="103" w:firstLine="479"/>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本项目采空区充填采用尾砂胶结充填和废石充填，按照采矿工艺要求，胶结充</w:t>
      </w:r>
      <w:r>
        <w:rPr>
          <w:rFonts w:ascii="FangSong" w:hAnsi="FangSong" w:eastAsia="FangSong" w:cs="FangSong"/>
          <w:sz w:val="24"/>
          <w:szCs w:val="24"/>
          <w:spacing w:val="-2"/>
        </w:rPr>
        <w:t>填灰砂比</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，混合料浆浓度为</w:t>
      </w:r>
      <w:r>
        <w:rPr>
          <w:rFonts w:ascii="Times New Roman" w:hAnsi="Times New Roman" w:eastAsia="Times New Roman" w:cs="Times New Roman"/>
          <w:sz w:val="24"/>
          <w:szCs w:val="24"/>
          <w:spacing w:val="-2"/>
        </w:rPr>
        <w:t>70-75</w:t>
      </w:r>
      <w:r>
        <w:rPr>
          <w:rFonts w:ascii="FangSong" w:hAnsi="FangSong" w:eastAsia="FangSong" w:cs="FangSong"/>
          <w:sz w:val="24"/>
          <w:szCs w:val="24"/>
          <w:spacing w:val="6"/>
        </w:rPr>
        <w:t>％，</w:t>
      </w:r>
      <w:r>
        <w:rPr>
          <w:rFonts w:ascii="FangSong" w:hAnsi="FangSong" w:eastAsia="FangSong" w:cs="FangSong"/>
          <w:sz w:val="24"/>
          <w:szCs w:val="24"/>
          <w:spacing w:val="-2"/>
        </w:rPr>
        <w:t>根据</w:t>
      </w:r>
      <w:r>
        <w:rPr>
          <w:rFonts w:ascii="FangSong" w:hAnsi="FangSong" w:eastAsia="FangSong" w:cs="FangSong"/>
          <w:sz w:val="24"/>
          <w:szCs w:val="24"/>
          <w:spacing w:val="-3"/>
        </w:rPr>
        <w:t>建设单位所提供资料，本项目充填</w:t>
      </w:r>
      <w:r>
        <w:rPr>
          <w:rFonts w:ascii="FangSong" w:hAnsi="FangSong" w:eastAsia="FangSong" w:cs="FangSong"/>
          <w:sz w:val="24"/>
          <w:szCs w:val="24"/>
          <w:spacing w:val="-1"/>
        </w:rPr>
        <w:t>站工艺用水为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81.41m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24423m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4"/>
        </w:rPr>
        <w:t>③</w:t>
      </w:r>
      <w:r>
        <w:rPr>
          <w:rFonts w:ascii="FangSong" w:hAnsi="FangSong" w:eastAsia="FangSong" w:cs="FangSong"/>
          <w:sz w:val="24"/>
          <w:szCs w:val="24"/>
          <w:spacing w:val="19"/>
        </w:rPr>
        <w:t xml:space="preserve"> </w:t>
      </w:r>
      <w:r>
        <w:rPr>
          <w:rFonts w:ascii="FangSong" w:hAnsi="FangSong" w:eastAsia="FangSong" w:cs="FangSong"/>
          <w:sz w:val="24"/>
          <w:szCs w:val="24"/>
          <w:spacing w:val="-4"/>
        </w:rPr>
        <w:t>井下喷淋用水</w:t>
      </w:r>
    </w:p>
    <w:p>
      <w:pPr>
        <w:ind w:left="28" w:right="103" w:firstLine="479"/>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本项目进行井下掘进、回采等工序会产生爆炸炮烟粉尘等，需进行井下喷淋降</w:t>
      </w:r>
      <w:r>
        <w:rPr>
          <w:rFonts w:ascii="FangSong" w:hAnsi="FangSong" w:eastAsia="FangSong" w:cs="FangSong"/>
          <w:sz w:val="24"/>
          <w:szCs w:val="24"/>
          <w:spacing w:val="-3"/>
        </w:rPr>
        <w:t>尘，井下喷淋用水按</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1.5m</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3"/>
        </w:rPr>
        <w:t>计，本项目</w:t>
      </w:r>
      <w:r>
        <w:rPr>
          <w:rFonts w:ascii="FangSong" w:hAnsi="FangSong" w:eastAsia="FangSong" w:cs="FangSong"/>
          <w:sz w:val="24"/>
          <w:szCs w:val="24"/>
          <w:spacing w:val="-4"/>
        </w:rPr>
        <w:t>矿石开采量为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333.34t/d</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，则井下抑尘用水量</w:t>
      </w:r>
      <w:r>
        <w:rPr>
          <w:rFonts w:ascii="FangSong" w:hAnsi="FangSong" w:eastAsia="FangSong" w:cs="FangSong"/>
          <w:sz w:val="24"/>
          <w:szCs w:val="24"/>
          <w:spacing w:val="-1"/>
        </w:rPr>
        <w:t>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500.01m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150003m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/a</w:t>
      </w:r>
      <w:r>
        <w:rPr>
          <w:rFonts w:ascii="FangSong" w:hAnsi="FangSong" w:eastAsia="FangSong" w:cs="FangSong"/>
          <w:sz w:val="24"/>
          <w:szCs w:val="24"/>
          <w:spacing w:val="-2"/>
        </w:rPr>
        <w:t>）。</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厂区洒水降尘用水</w:t>
      </w:r>
    </w:p>
    <w:p>
      <w:pPr>
        <w:ind w:left="14" w:firstLine="492"/>
        <w:spacing w:before="179" w:line="360" w:lineRule="auto"/>
        <w:rPr>
          <w:rFonts w:ascii="FangSong" w:hAnsi="FangSong" w:eastAsia="FangSong" w:cs="FangSong"/>
          <w:sz w:val="24"/>
          <w:szCs w:val="24"/>
        </w:rPr>
      </w:pPr>
      <w:r>
        <w:rPr>
          <w:rFonts w:ascii="FangSong" w:hAnsi="FangSong" w:eastAsia="FangSong" w:cs="FangSong"/>
          <w:sz w:val="24"/>
          <w:szCs w:val="24"/>
          <w:spacing w:val="10"/>
        </w:rPr>
        <w:t>本项</w:t>
      </w:r>
      <w:r>
        <w:rPr>
          <w:rFonts w:ascii="FangSong" w:hAnsi="FangSong" w:eastAsia="FangSong" w:cs="FangSong"/>
          <w:sz w:val="24"/>
          <w:szCs w:val="24"/>
          <w:spacing w:val="-45"/>
        </w:rPr>
        <w:t xml:space="preserve"> </w:t>
      </w:r>
      <w:r>
        <w:rPr>
          <w:rFonts w:ascii="FangSong" w:hAnsi="FangSong" w:eastAsia="FangSong" w:cs="FangSong"/>
          <w:sz w:val="24"/>
          <w:szCs w:val="24"/>
          <w:spacing w:val="10"/>
        </w:rPr>
        <w:t>目生产设施功能区</w:t>
      </w:r>
      <w:r>
        <w:rPr>
          <w:rFonts w:ascii="FangSong" w:hAnsi="FangSong" w:eastAsia="FangSong" w:cs="FangSong"/>
          <w:sz w:val="24"/>
          <w:szCs w:val="24"/>
          <w:spacing w:val="-67"/>
        </w:rPr>
        <w:t xml:space="preserve"> </w:t>
      </w:r>
      <w:r>
        <w:rPr>
          <w:rFonts w:ascii="FangSong" w:hAnsi="FangSong" w:eastAsia="FangSong" w:cs="FangSong"/>
          <w:sz w:val="24"/>
          <w:szCs w:val="24"/>
          <w:spacing w:val="10"/>
        </w:rPr>
        <w:t>、辅助生产设施功能区所在的工业广场</w:t>
      </w:r>
      <w:r>
        <w:rPr>
          <w:rFonts w:ascii="FangSong" w:hAnsi="FangSong" w:eastAsia="FangSong" w:cs="FangSong"/>
          <w:sz w:val="24"/>
          <w:szCs w:val="24"/>
          <w:spacing w:val="-46"/>
        </w:rPr>
        <w:t xml:space="preserve"> </w:t>
      </w:r>
      <w:r>
        <w:rPr>
          <w:rFonts w:ascii="FangSong" w:hAnsi="FangSong" w:eastAsia="FangSong" w:cs="FangSong"/>
          <w:sz w:val="24"/>
          <w:szCs w:val="24"/>
          <w:spacing w:val="9"/>
        </w:rPr>
        <w:t>占地面积为</w:t>
      </w:r>
      <w:r>
        <w:rPr>
          <w:rFonts w:ascii="Times New Roman" w:hAnsi="Times New Roman" w:eastAsia="Times New Roman" w:cs="Times New Roman"/>
          <w:sz w:val="24"/>
          <w:szCs w:val="24"/>
          <w:spacing w:val="-4"/>
        </w:rPr>
        <w:t>43139m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，道路占地面积为</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4"/>
        </w:rPr>
        <w:t>19646m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，参照《内蒙古自治区地方标准</w:t>
      </w:r>
      <w:r>
        <w:rPr>
          <w:rFonts w:ascii="FangSong" w:hAnsi="FangSong" w:eastAsia="FangSong" w:cs="FangSong"/>
          <w:sz w:val="24"/>
          <w:szCs w:val="24"/>
          <w:spacing w:val="-4"/>
        </w:rPr>
        <w:t xml:space="preserve"> </w:t>
      </w:r>
      <w:r>
        <w:rPr>
          <w:rFonts w:ascii="FangSong" w:hAnsi="FangSong" w:eastAsia="FangSong" w:cs="FangSong"/>
          <w:sz w:val="24"/>
          <w:szCs w:val="24"/>
          <w:spacing w:val="-4"/>
        </w:rPr>
        <w:t>行业用水定额》</w:t>
      </w:r>
      <w:r>
        <w:rPr>
          <w:rFonts w:ascii="FangSong" w:hAnsi="FangSong" w:eastAsia="FangSong" w:cs="FangSong"/>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DB15/T385-2020</w:t>
      </w:r>
      <w:r>
        <w:rPr>
          <w:rFonts w:ascii="FangSong" w:hAnsi="FangSong" w:eastAsia="FangSong" w:cs="FangSong"/>
          <w:sz w:val="24"/>
          <w:szCs w:val="24"/>
          <w:spacing w:val="-3"/>
        </w:rPr>
        <w:t>）中场地、道路喷洒用水定额为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2L/</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m</w:t>
      </w:r>
      <w:r>
        <w:rPr>
          <w:rFonts w:ascii="Times New Roman" w:hAnsi="Times New Roman" w:eastAsia="Times New Roman" w:cs="Times New Roman"/>
          <w:sz w:val="15"/>
          <w:szCs w:val="15"/>
          <w:spacing w:val="-3"/>
          <w:position w:val="8"/>
        </w:rPr>
        <w:t>2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d</w:t>
      </w:r>
      <w:r>
        <w:rPr>
          <w:rFonts w:ascii="FangSong" w:hAnsi="FangSong" w:eastAsia="FangSong" w:cs="FangSong"/>
          <w:sz w:val="24"/>
          <w:szCs w:val="24"/>
          <w:spacing w:val="13"/>
        </w:rPr>
        <w:t>），</w:t>
      </w:r>
      <w:r>
        <w:rPr>
          <w:rFonts w:ascii="FangSong" w:hAnsi="FangSong" w:eastAsia="FangSong" w:cs="FangSong"/>
          <w:sz w:val="24"/>
          <w:szCs w:val="24"/>
          <w:spacing w:val="-3"/>
        </w:rPr>
        <w:t>则厂区洒水抑尘</w:t>
      </w:r>
    </w:p>
    <w:p>
      <w:pPr>
        <w:spacing w:line="360" w:lineRule="auto"/>
        <w:sectPr>
          <w:footerReference w:type="default" r:id="rId134"/>
          <w:pgSz w:w="11911" w:h="16839"/>
          <w:pgMar w:top="400" w:right="1312"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6"/>
        <w:spacing w:before="78" w:line="223" w:lineRule="auto"/>
        <w:rPr>
          <w:rFonts w:ascii="FangSong" w:hAnsi="FangSong" w:eastAsia="FangSong" w:cs="FangSong"/>
          <w:sz w:val="24"/>
          <w:szCs w:val="24"/>
        </w:rPr>
      </w:pPr>
      <w:r>
        <w:rPr>
          <w:rFonts w:ascii="FangSong" w:hAnsi="FangSong" w:eastAsia="FangSong" w:cs="FangSong"/>
          <w:sz w:val="24"/>
          <w:szCs w:val="24"/>
          <w:spacing w:val="-2"/>
        </w:rPr>
        <w:t>用水量为</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spacing w:val="-2"/>
        </w:rPr>
        <w:t>125.57m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37671m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w:t>
      </w:r>
    </w:p>
    <w:p>
      <w:pPr>
        <w:ind w:left="498"/>
        <w:spacing w:before="176" w:line="219" w:lineRule="auto"/>
        <w:rPr>
          <w:rFonts w:ascii="FangSong" w:hAnsi="FangSong" w:eastAsia="FangSong" w:cs="FangSong"/>
          <w:sz w:val="24"/>
          <w:szCs w:val="24"/>
        </w:rPr>
      </w:pPr>
      <w:r>
        <w:rPr>
          <w:rFonts w:ascii="FangSong" w:hAnsi="FangSong" w:eastAsia="FangSong" w:cs="FangSong"/>
          <w:sz w:val="24"/>
          <w:szCs w:val="24"/>
          <w:spacing w:val="-4"/>
        </w:rPr>
        <w:t>⑤</w:t>
      </w:r>
      <w:r>
        <w:rPr>
          <w:rFonts w:ascii="FangSong" w:hAnsi="FangSong" w:eastAsia="FangSong" w:cs="FangSong"/>
          <w:sz w:val="24"/>
          <w:szCs w:val="24"/>
          <w:spacing w:val="27"/>
        </w:rPr>
        <w:t xml:space="preserve"> </w:t>
      </w:r>
      <w:r>
        <w:rPr>
          <w:rFonts w:ascii="FangSong" w:hAnsi="FangSong" w:eastAsia="FangSong" w:cs="FangSong"/>
          <w:sz w:val="24"/>
          <w:szCs w:val="24"/>
          <w:spacing w:val="-4"/>
        </w:rPr>
        <w:t>车间地面清洗用水</w:t>
      </w:r>
    </w:p>
    <w:p>
      <w:pPr>
        <w:ind w:left="28" w:firstLine="479"/>
        <w:spacing w:before="183" w:line="359" w:lineRule="auto"/>
        <w:rPr>
          <w:rFonts w:ascii="FangSong" w:hAnsi="FangSong" w:eastAsia="FangSong" w:cs="FangSong"/>
          <w:sz w:val="24"/>
          <w:szCs w:val="24"/>
        </w:rPr>
      </w:pPr>
      <w:r>
        <w:rPr>
          <w:rFonts w:ascii="FangSong" w:hAnsi="FangSong" w:eastAsia="FangSong" w:cs="FangSong"/>
          <w:sz w:val="24"/>
          <w:szCs w:val="24"/>
          <w:spacing w:val="-4"/>
        </w:rPr>
        <w:t>本项目在生产过程中，为保持车间内地面整洁，需定时对车间内进行地面清洗，</w:t>
      </w:r>
      <w:r>
        <w:rPr>
          <w:rFonts w:ascii="FangSong" w:hAnsi="FangSong" w:eastAsia="FangSong" w:cs="FangSong"/>
          <w:sz w:val="24"/>
          <w:szCs w:val="24"/>
          <w:spacing w:val="-11"/>
        </w:rPr>
        <w:t>主要清洗车间包括有“粗破碎车间（占地面积</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1"/>
        </w:rPr>
        <w:t>256m</w:t>
      </w:r>
      <w:r>
        <w:rPr>
          <w:rFonts w:ascii="Times New Roman" w:hAnsi="Times New Roman" w:eastAsia="Times New Roman" w:cs="Times New Roman"/>
          <w:sz w:val="15"/>
          <w:szCs w:val="15"/>
          <w:spacing w:val="-11"/>
          <w:position w:val="8"/>
        </w:rPr>
        <w:t>2</w:t>
      </w:r>
      <w:r>
        <w:rPr>
          <w:rFonts w:ascii="FangSong" w:hAnsi="FangSong" w:eastAsia="FangSong" w:cs="FangSong"/>
          <w:sz w:val="24"/>
          <w:szCs w:val="24"/>
          <w:spacing w:val="-22"/>
        </w:rPr>
        <w:t>）、细破碎车间（占地面积</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2"/>
        </w:rPr>
        <w:t>256m</w:t>
      </w:r>
      <w:r>
        <w:rPr>
          <w:rFonts w:ascii="Times New Roman" w:hAnsi="Times New Roman" w:eastAsia="Times New Roman" w:cs="Times New Roman"/>
          <w:sz w:val="15"/>
          <w:szCs w:val="15"/>
          <w:spacing w:val="11"/>
          <w:position w:val="8"/>
        </w:rPr>
        <w:t>2</w:t>
      </w:r>
      <w:r>
        <w:rPr>
          <w:rFonts w:ascii="FangSong" w:hAnsi="FangSong" w:eastAsia="FangSong" w:cs="FangSong"/>
          <w:sz w:val="24"/>
          <w:szCs w:val="24"/>
          <w:spacing w:val="-62"/>
          <w:w w:val="91"/>
        </w:rPr>
        <w:t>）、</w:t>
      </w:r>
      <w:r>
        <w:rPr>
          <w:rFonts w:ascii="FangSong" w:hAnsi="FangSong" w:eastAsia="FangSong" w:cs="FangSong"/>
          <w:sz w:val="24"/>
          <w:szCs w:val="24"/>
          <w:spacing w:val="-9"/>
        </w:rPr>
        <w:t>筛分车间（</w:t>
      </w:r>
      <w:r>
        <w:rPr>
          <w:rFonts w:ascii="FangSong" w:hAnsi="FangSong" w:eastAsia="FangSong" w:cs="FangSong"/>
          <w:sz w:val="24"/>
          <w:szCs w:val="24"/>
          <w:spacing w:val="-25"/>
        </w:rPr>
        <w:t xml:space="preserve"> </w:t>
      </w:r>
      <w:r>
        <w:rPr>
          <w:rFonts w:ascii="FangSong" w:hAnsi="FangSong" w:eastAsia="FangSong" w:cs="FangSong"/>
          <w:sz w:val="24"/>
          <w:szCs w:val="24"/>
          <w:spacing w:val="-9"/>
        </w:rPr>
        <w:t>占地面积</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320m</w:t>
      </w:r>
      <w:r>
        <w:rPr>
          <w:rFonts w:ascii="Times New Roman" w:hAnsi="Times New Roman" w:eastAsia="Times New Roman" w:cs="Times New Roman"/>
          <w:sz w:val="15"/>
          <w:szCs w:val="15"/>
          <w:spacing w:val="-9"/>
          <w:position w:val="8"/>
        </w:rPr>
        <w:t>2 </w:t>
      </w:r>
      <w:r>
        <w:rPr>
          <w:rFonts w:ascii="FangSong" w:hAnsi="FangSong" w:eastAsia="FangSong" w:cs="FangSong"/>
          <w:sz w:val="24"/>
          <w:szCs w:val="24"/>
          <w:spacing w:val="-9"/>
        </w:rPr>
        <w:t>）、磨浮车间（</w:t>
      </w:r>
      <w:r>
        <w:rPr>
          <w:rFonts w:ascii="FangSong" w:hAnsi="FangSong" w:eastAsia="FangSong" w:cs="FangSong"/>
          <w:sz w:val="24"/>
          <w:szCs w:val="24"/>
          <w:spacing w:val="-28"/>
        </w:rPr>
        <w:t xml:space="preserve"> </w:t>
      </w:r>
      <w:r>
        <w:rPr>
          <w:rFonts w:ascii="FangSong" w:hAnsi="FangSong" w:eastAsia="FangSong" w:cs="FangSong"/>
          <w:sz w:val="24"/>
          <w:szCs w:val="24"/>
          <w:spacing w:val="-9"/>
        </w:rPr>
        <w:t>占地面积</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1200m</w:t>
      </w:r>
      <w:r>
        <w:rPr>
          <w:rFonts w:ascii="Times New Roman" w:hAnsi="Times New Roman" w:eastAsia="Times New Roman" w:cs="Times New Roman"/>
          <w:sz w:val="15"/>
          <w:szCs w:val="15"/>
          <w:spacing w:val="-10"/>
          <w:position w:val="8"/>
        </w:rPr>
        <w:t>2 </w:t>
      </w:r>
      <w:r>
        <w:rPr>
          <w:rFonts w:ascii="FangSong" w:hAnsi="FangSong" w:eastAsia="FangSong" w:cs="FangSong"/>
          <w:sz w:val="24"/>
          <w:szCs w:val="24"/>
          <w:spacing w:val="-10"/>
        </w:rPr>
        <w:t>）、浓缩车间（</w:t>
      </w:r>
      <w:r>
        <w:rPr>
          <w:rFonts w:ascii="FangSong" w:hAnsi="FangSong" w:eastAsia="FangSong" w:cs="FangSong"/>
          <w:sz w:val="24"/>
          <w:szCs w:val="24"/>
          <w:spacing w:val="-28"/>
        </w:rPr>
        <w:t xml:space="preserve"> </w:t>
      </w:r>
      <w:r>
        <w:rPr>
          <w:rFonts w:ascii="FangSong" w:hAnsi="FangSong" w:eastAsia="FangSong" w:cs="FangSong"/>
          <w:sz w:val="24"/>
          <w:szCs w:val="24"/>
          <w:spacing w:val="-10"/>
        </w:rPr>
        <w:t>占地面</w:t>
      </w:r>
      <w:r>
        <w:rPr>
          <w:rFonts w:ascii="FangSong" w:hAnsi="FangSong" w:eastAsia="FangSong" w:cs="FangSong"/>
          <w:sz w:val="24"/>
          <w:szCs w:val="24"/>
          <w:spacing w:val="-9"/>
        </w:rPr>
        <w:t>积</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9"/>
        </w:rPr>
        <w:t>600m</w:t>
      </w:r>
      <w:r>
        <w:rPr>
          <w:rFonts w:ascii="Times New Roman" w:hAnsi="Times New Roman" w:eastAsia="Times New Roman" w:cs="Times New Roman"/>
          <w:sz w:val="15"/>
          <w:szCs w:val="15"/>
          <w:spacing w:val="-9"/>
          <w:position w:val="7"/>
        </w:rPr>
        <w:t>2</w:t>
      </w:r>
      <w:r>
        <w:rPr>
          <w:rFonts w:ascii="FangSong" w:hAnsi="FangSong" w:eastAsia="FangSong" w:cs="FangSong"/>
          <w:sz w:val="24"/>
          <w:szCs w:val="24"/>
          <w:spacing w:val="-9"/>
        </w:rPr>
        <w:t>）、尾矿过滤车间（</w:t>
      </w:r>
      <w:r>
        <w:rPr>
          <w:rFonts w:ascii="FangSong" w:hAnsi="FangSong" w:eastAsia="FangSong" w:cs="FangSong"/>
          <w:sz w:val="24"/>
          <w:szCs w:val="24"/>
          <w:spacing w:val="-63"/>
        </w:rPr>
        <w:t xml:space="preserve"> </w:t>
      </w:r>
      <w:r>
        <w:rPr>
          <w:rFonts w:ascii="FangSong" w:hAnsi="FangSong" w:eastAsia="FangSong" w:cs="FangSong"/>
          <w:sz w:val="24"/>
          <w:szCs w:val="24"/>
          <w:spacing w:val="-9"/>
        </w:rPr>
        <w:t>占地面积</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400m</w:t>
      </w:r>
      <w:r>
        <w:rPr>
          <w:rFonts w:ascii="Times New Roman" w:hAnsi="Times New Roman" w:eastAsia="Times New Roman" w:cs="Times New Roman"/>
          <w:sz w:val="15"/>
          <w:szCs w:val="15"/>
          <w:spacing w:val="-9"/>
          <w:position w:val="7"/>
        </w:rPr>
        <w:t>2</w:t>
      </w:r>
      <w:r>
        <w:rPr>
          <w:rFonts w:ascii="FangSong" w:hAnsi="FangSong" w:eastAsia="FangSong" w:cs="FangSong"/>
          <w:sz w:val="24"/>
          <w:szCs w:val="24"/>
          <w:spacing w:val="-9"/>
        </w:rPr>
        <w:t>）、精矿过滤车间（</w:t>
      </w:r>
      <w:r>
        <w:rPr>
          <w:rFonts w:ascii="FangSong" w:hAnsi="FangSong" w:eastAsia="FangSong" w:cs="FangSong"/>
          <w:sz w:val="24"/>
          <w:szCs w:val="24"/>
          <w:spacing w:val="-63"/>
        </w:rPr>
        <w:t xml:space="preserve"> </w:t>
      </w:r>
      <w:r>
        <w:rPr>
          <w:rFonts w:ascii="FangSong" w:hAnsi="FangSong" w:eastAsia="FangSong" w:cs="FangSong"/>
          <w:sz w:val="24"/>
          <w:szCs w:val="24"/>
          <w:spacing w:val="-9"/>
        </w:rPr>
        <w:t>占地面积</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400m</w:t>
      </w:r>
      <w:r>
        <w:rPr>
          <w:rFonts w:ascii="Times New Roman" w:hAnsi="Times New Roman" w:eastAsia="Times New Roman" w:cs="Times New Roman"/>
          <w:sz w:val="15"/>
          <w:szCs w:val="15"/>
          <w:spacing w:val="-9"/>
          <w:position w:val="7"/>
        </w:rPr>
        <w:t>2</w:t>
      </w:r>
      <w:r>
        <w:rPr>
          <w:rFonts w:ascii="FangSong" w:hAnsi="FangSong" w:eastAsia="FangSong" w:cs="FangSong"/>
          <w:sz w:val="24"/>
          <w:szCs w:val="24"/>
          <w:spacing w:val="-67"/>
          <w:w w:val="99"/>
        </w:rPr>
        <w:t>）”,</w:t>
      </w:r>
      <w:r>
        <w:rPr>
          <w:rFonts w:ascii="FangSong" w:hAnsi="FangSong" w:eastAsia="FangSong" w:cs="FangSong"/>
          <w:sz w:val="24"/>
          <w:szCs w:val="24"/>
          <w:spacing w:val="-2"/>
        </w:rPr>
        <w:t>参照《内蒙古自治区地方标准</w:t>
      </w:r>
      <w:r>
        <w:rPr>
          <w:rFonts w:ascii="FangSong" w:hAnsi="FangSong" w:eastAsia="FangSong" w:cs="FangSong"/>
          <w:sz w:val="24"/>
          <w:szCs w:val="24"/>
          <w:spacing w:val="-2"/>
        </w:rPr>
        <w:t xml:space="preserve"> </w:t>
      </w:r>
      <w:r>
        <w:rPr>
          <w:rFonts w:ascii="FangSong" w:hAnsi="FangSong" w:eastAsia="FangSong" w:cs="FangSong"/>
          <w:sz w:val="24"/>
          <w:szCs w:val="24"/>
          <w:spacing w:val="-2"/>
        </w:rPr>
        <w:t>行业用水定额》</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DB15/T385-2020</w:t>
      </w:r>
      <w:r>
        <w:rPr>
          <w:rFonts w:ascii="FangSong" w:hAnsi="FangSong" w:eastAsia="FangSong" w:cs="FangSong"/>
          <w:sz w:val="24"/>
          <w:szCs w:val="24"/>
          <w:spacing w:val="-3"/>
        </w:rPr>
        <w:t>）中场地用水定额</w:t>
      </w:r>
      <w:r>
        <w:rPr>
          <w:rFonts w:ascii="FangSong" w:hAnsi="FangSong" w:eastAsia="FangSong" w:cs="FangSong"/>
          <w:sz w:val="24"/>
          <w:szCs w:val="24"/>
          <w:spacing w:val="-4"/>
        </w:rPr>
        <w:t>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2L/</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m</w:t>
      </w:r>
      <w:r>
        <w:rPr>
          <w:rFonts w:ascii="Times New Roman" w:hAnsi="Times New Roman" w:eastAsia="Times New Roman" w:cs="Times New Roman"/>
          <w:sz w:val="15"/>
          <w:szCs w:val="15"/>
          <w:spacing w:val="-4"/>
          <w:position w:val="7"/>
        </w:rPr>
        <w:t>2</w:t>
      </w:r>
      <w:r>
        <w:rPr>
          <w:rFonts w:ascii="Times New Roman" w:hAnsi="Times New Roman" w:eastAsia="Times New Roman" w:cs="Times New Roman"/>
          <w:sz w:val="15"/>
          <w:szCs w:val="15"/>
          <w:spacing w:val="8"/>
          <w:position w:val="7"/>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d</w:t>
      </w:r>
      <w:r>
        <w:rPr>
          <w:rFonts w:ascii="FangSong" w:hAnsi="FangSong" w:eastAsia="FangSong" w:cs="FangSong"/>
          <w:sz w:val="24"/>
          <w:szCs w:val="24"/>
          <w:spacing w:val="9"/>
        </w:rPr>
        <w:t>），</w:t>
      </w:r>
      <w:r>
        <w:rPr>
          <w:rFonts w:ascii="FangSong" w:hAnsi="FangSong" w:eastAsia="FangSong" w:cs="FangSong"/>
          <w:sz w:val="24"/>
          <w:szCs w:val="24"/>
          <w:spacing w:val="-3"/>
        </w:rPr>
        <w:t>则本项目地面清洗用水量为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6.864m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2059</w:t>
      </w:r>
      <w:r>
        <w:rPr>
          <w:rFonts w:ascii="Times New Roman" w:hAnsi="Times New Roman" w:eastAsia="Times New Roman" w:cs="Times New Roman"/>
          <w:sz w:val="24"/>
          <w:szCs w:val="24"/>
          <w:spacing w:val="-4"/>
        </w:rPr>
        <w:t>.2m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/a</w:t>
      </w:r>
      <w:r>
        <w:rPr>
          <w:rFonts w:ascii="FangSong" w:hAnsi="FangSong" w:eastAsia="FangSong" w:cs="FangSong"/>
          <w:sz w:val="24"/>
          <w:szCs w:val="24"/>
          <w:spacing w:val="-4"/>
        </w:rPr>
        <w:t>）</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6"/>
        </w:rPr>
        <w:t>⑥</w:t>
      </w:r>
      <w:r>
        <w:rPr>
          <w:rFonts w:ascii="FangSong" w:hAnsi="FangSong" w:eastAsia="FangSong" w:cs="FangSong"/>
          <w:sz w:val="24"/>
          <w:szCs w:val="24"/>
          <w:spacing w:val="21"/>
        </w:rPr>
        <w:t xml:space="preserve"> </w:t>
      </w:r>
      <w:r>
        <w:rPr>
          <w:rFonts w:ascii="FangSong" w:hAnsi="FangSong" w:eastAsia="FangSong" w:cs="FangSong"/>
          <w:sz w:val="24"/>
          <w:szCs w:val="24"/>
          <w:spacing w:val="-6"/>
        </w:rPr>
        <w:t>绿化用水</w:t>
      </w:r>
    </w:p>
    <w:p>
      <w:pPr>
        <w:ind w:left="26" w:right="42" w:firstLine="481"/>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本项目绿化系数为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5.06%</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，故绿化面积为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3653.5m</w:t>
      </w:r>
      <w:r>
        <w:rPr>
          <w:rFonts w:ascii="Times New Roman" w:hAnsi="Times New Roman" w:eastAsia="Times New Roman" w:cs="Times New Roman"/>
          <w:sz w:val="15"/>
          <w:szCs w:val="15"/>
          <w:spacing w:val="-1"/>
          <w:position w:val="8"/>
        </w:rPr>
        <w:t>2 </w:t>
      </w:r>
      <w:r>
        <w:rPr>
          <w:rFonts w:ascii="FangSong" w:hAnsi="FangSong" w:eastAsia="FangSong" w:cs="FangSong"/>
          <w:sz w:val="24"/>
          <w:szCs w:val="24"/>
          <w:spacing w:val="-1"/>
        </w:rPr>
        <w:t>，参照《内蒙古自治区地方</w:t>
      </w:r>
      <w:r>
        <w:rPr>
          <w:rFonts w:ascii="FangSong" w:hAnsi="FangSong" w:eastAsia="FangSong" w:cs="FangSong"/>
          <w:sz w:val="24"/>
          <w:szCs w:val="24"/>
          <w:spacing w:val="-4"/>
        </w:rPr>
        <w:t>标准</w:t>
      </w:r>
      <w:r>
        <w:rPr>
          <w:rFonts w:ascii="FangSong" w:hAnsi="FangSong" w:eastAsia="FangSong" w:cs="FangSong"/>
          <w:sz w:val="24"/>
          <w:szCs w:val="24"/>
          <w:spacing w:val="-4"/>
        </w:rPr>
        <w:t xml:space="preserve"> </w:t>
      </w:r>
      <w:r>
        <w:rPr>
          <w:rFonts w:ascii="FangSong" w:hAnsi="FangSong" w:eastAsia="FangSong" w:cs="FangSong"/>
          <w:sz w:val="24"/>
          <w:szCs w:val="24"/>
          <w:spacing w:val="-4"/>
        </w:rPr>
        <w:t>行业用水定额》（</w:t>
      </w:r>
      <w:r>
        <w:rPr>
          <w:rFonts w:ascii="Times New Roman" w:hAnsi="Times New Roman" w:eastAsia="Times New Roman" w:cs="Times New Roman"/>
          <w:sz w:val="24"/>
          <w:szCs w:val="24"/>
          <w:spacing w:val="-4"/>
        </w:rPr>
        <w:t>DB15/T385-2020</w:t>
      </w:r>
      <w:r>
        <w:rPr>
          <w:rFonts w:ascii="FangSong" w:hAnsi="FangSong" w:eastAsia="FangSong" w:cs="FangSong"/>
          <w:sz w:val="24"/>
          <w:szCs w:val="24"/>
          <w:spacing w:val="-4"/>
        </w:rPr>
        <w:t>）</w:t>
      </w:r>
      <w:r>
        <w:rPr>
          <w:rFonts w:ascii="FangSong" w:hAnsi="FangSong" w:eastAsia="FangSong" w:cs="FangSong"/>
          <w:sz w:val="24"/>
          <w:szCs w:val="24"/>
          <w:spacing w:val="-70"/>
        </w:rPr>
        <w:t xml:space="preserve"> </w:t>
      </w:r>
      <w:r>
        <w:rPr>
          <w:rFonts w:ascii="FangSong" w:hAnsi="FangSong" w:eastAsia="FangSong" w:cs="FangSong"/>
          <w:sz w:val="24"/>
          <w:szCs w:val="24"/>
          <w:spacing w:val="-4"/>
        </w:rPr>
        <w:t>中防护绿地用水定额为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6.5L/</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m</w:t>
      </w:r>
      <w:r>
        <w:rPr>
          <w:rFonts w:ascii="Times New Roman" w:hAnsi="Times New Roman" w:eastAsia="Times New Roman" w:cs="Times New Roman"/>
          <w:sz w:val="15"/>
          <w:szCs w:val="15"/>
          <w:spacing w:val="-4"/>
          <w:position w:val="8"/>
        </w:rPr>
        <w:t>2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w:t>
      </w:r>
      <w:r>
        <w:rPr>
          <w:rFonts w:ascii="FangSong" w:hAnsi="FangSong" w:eastAsia="FangSong" w:cs="FangSong"/>
          <w:sz w:val="24"/>
          <w:szCs w:val="24"/>
          <w:spacing w:val="-23"/>
        </w:rPr>
        <w:t>），</w:t>
      </w:r>
      <w:r>
        <w:rPr>
          <w:rFonts w:ascii="FangSong" w:hAnsi="FangSong" w:eastAsia="FangSong" w:cs="FangSong"/>
          <w:sz w:val="24"/>
          <w:szCs w:val="24"/>
          <w:spacing w:val="-1"/>
        </w:rPr>
        <w:t>则本项目绿化用水为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23.75m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7125m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w:t>
      </w:r>
    </w:p>
    <w:p>
      <w:pPr>
        <w:ind w:left="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4.10.1.2</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排水</w:t>
      </w:r>
    </w:p>
    <w:p>
      <w:pPr>
        <w:ind w:left="507"/>
        <w:spacing w:before="179" w:line="222" w:lineRule="auto"/>
        <w:rPr>
          <w:rFonts w:ascii="FangSong" w:hAnsi="FangSong" w:eastAsia="FangSong" w:cs="FangSong"/>
          <w:sz w:val="24"/>
          <w:szCs w:val="24"/>
        </w:rPr>
      </w:pPr>
      <w:r>
        <w:rPr>
          <w:rFonts w:ascii="FangSong" w:hAnsi="FangSong" w:eastAsia="FangSong" w:cs="FangSong"/>
          <w:sz w:val="24"/>
          <w:szCs w:val="24"/>
          <w:spacing w:val="-1"/>
        </w:rPr>
        <w:t>本项目运营期排水主要生活污水和生产废水。</w:t>
      </w:r>
    </w:p>
    <w:p>
      <w:pPr>
        <w:ind w:left="511"/>
        <w:spacing w:before="177"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）生活污水</w:t>
      </w:r>
    </w:p>
    <w:p>
      <w:pPr>
        <w:ind w:left="31" w:right="76" w:firstLine="489"/>
        <w:spacing w:before="177" w:line="359" w:lineRule="auto"/>
        <w:rPr>
          <w:rFonts w:ascii="FangSong" w:hAnsi="FangSong" w:eastAsia="FangSong" w:cs="FangSong"/>
          <w:sz w:val="24"/>
          <w:szCs w:val="24"/>
        </w:rPr>
      </w:pPr>
      <w:r>
        <w:rPr>
          <w:rFonts w:ascii="FangSong" w:hAnsi="FangSong" w:eastAsia="FangSong" w:cs="FangSong"/>
          <w:sz w:val="24"/>
          <w:szCs w:val="24"/>
          <w:spacing w:val="-13"/>
        </w:rPr>
        <w:t>生</w:t>
      </w:r>
      <w:r>
        <w:rPr>
          <w:rFonts w:ascii="FangSong" w:hAnsi="FangSong" w:eastAsia="FangSong" w:cs="FangSong"/>
          <w:sz w:val="24"/>
          <w:szCs w:val="24"/>
          <w:spacing w:val="-49"/>
        </w:rPr>
        <w:t xml:space="preserve"> </w:t>
      </w:r>
      <w:r>
        <w:rPr>
          <w:rFonts w:ascii="FangSong" w:hAnsi="FangSong" w:eastAsia="FangSong" w:cs="FangSong"/>
          <w:sz w:val="24"/>
          <w:szCs w:val="24"/>
          <w:spacing w:val="-13"/>
        </w:rPr>
        <w:t>活</w:t>
      </w:r>
      <w:r>
        <w:rPr>
          <w:rFonts w:ascii="FangSong" w:hAnsi="FangSong" w:eastAsia="FangSong" w:cs="FangSong"/>
          <w:sz w:val="24"/>
          <w:szCs w:val="24"/>
          <w:spacing w:val="-51"/>
        </w:rPr>
        <w:t xml:space="preserve"> </w:t>
      </w:r>
      <w:r>
        <w:rPr>
          <w:rFonts w:ascii="FangSong" w:hAnsi="FangSong" w:eastAsia="FangSong" w:cs="FangSong"/>
          <w:sz w:val="24"/>
          <w:szCs w:val="24"/>
          <w:spacing w:val="-13"/>
        </w:rPr>
        <w:t>污</w:t>
      </w:r>
      <w:r>
        <w:rPr>
          <w:rFonts w:ascii="FangSong" w:hAnsi="FangSong" w:eastAsia="FangSong" w:cs="FangSong"/>
          <w:sz w:val="24"/>
          <w:szCs w:val="24"/>
          <w:spacing w:val="-57"/>
        </w:rPr>
        <w:t xml:space="preserve"> </w:t>
      </w:r>
      <w:r>
        <w:rPr>
          <w:rFonts w:ascii="FangSong" w:hAnsi="FangSong" w:eastAsia="FangSong" w:cs="FangSong"/>
          <w:sz w:val="24"/>
          <w:szCs w:val="24"/>
          <w:spacing w:val="-13"/>
        </w:rPr>
        <w:t>水</w:t>
      </w:r>
      <w:r>
        <w:rPr>
          <w:rFonts w:ascii="FangSong" w:hAnsi="FangSong" w:eastAsia="FangSong" w:cs="FangSong"/>
          <w:sz w:val="24"/>
          <w:szCs w:val="24"/>
          <w:spacing w:val="-54"/>
        </w:rPr>
        <w:t xml:space="preserve"> </w:t>
      </w:r>
      <w:r>
        <w:rPr>
          <w:rFonts w:ascii="FangSong" w:hAnsi="FangSong" w:eastAsia="FangSong" w:cs="FangSong"/>
          <w:sz w:val="24"/>
          <w:szCs w:val="24"/>
          <w:spacing w:val="-13"/>
        </w:rPr>
        <w:t>产</w:t>
      </w:r>
      <w:r>
        <w:rPr>
          <w:rFonts w:ascii="FangSong" w:hAnsi="FangSong" w:eastAsia="FangSong" w:cs="FangSong"/>
          <w:sz w:val="24"/>
          <w:szCs w:val="24"/>
          <w:spacing w:val="-45"/>
        </w:rPr>
        <w:t xml:space="preserve"> </w:t>
      </w:r>
      <w:r>
        <w:rPr>
          <w:rFonts w:ascii="FangSong" w:hAnsi="FangSong" w:eastAsia="FangSong" w:cs="FangSong"/>
          <w:sz w:val="24"/>
          <w:szCs w:val="24"/>
          <w:spacing w:val="-13"/>
        </w:rPr>
        <w:t>生</w:t>
      </w:r>
      <w:r>
        <w:rPr>
          <w:rFonts w:ascii="FangSong" w:hAnsi="FangSong" w:eastAsia="FangSong" w:cs="FangSong"/>
          <w:sz w:val="24"/>
          <w:szCs w:val="24"/>
          <w:spacing w:val="-52"/>
        </w:rPr>
        <w:t xml:space="preserve"> </w:t>
      </w:r>
      <w:r>
        <w:rPr>
          <w:rFonts w:ascii="FangSong" w:hAnsi="FangSong" w:eastAsia="FangSong" w:cs="FangSong"/>
          <w:sz w:val="24"/>
          <w:szCs w:val="24"/>
          <w:spacing w:val="-13"/>
        </w:rPr>
        <w:t>量</w:t>
      </w:r>
      <w:r>
        <w:rPr>
          <w:rFonts w:ascii="FangSong" w:hAnsi="FangSong" w:eastAsia="FangSong" w:cs="FangSong"/>
          <w:sz w:val="24"/>
          <w:szCs w:val="24"/>
          <w:spacing w:val="-56"/>
        </w:rPr>
        <w:t xml:space="preserve"> </w:t>
      </w:r>
      <w:r>
        <w:rPr>
          <w:rFonts w:ascii="FangSong" w:hAnsi="FangSong" w:eastAsia="FangSong" w:cs="FangSong"/>
          <w:sz w:val="24"/>
          <w:szCs w:val="24"/>
          <w:spacing w:val="-13"/>
        </w:rPr>
        <w:t>按</w:t>
      </w:r>
      <w:r>
        <w:rPr>
          <w:rFonts w:ascii="FangSong" w:hAnsi="FangSong" w:eastAsia="FangSong" w:cs="FangSong"/>
          <w:sz w:val="24"/>
          <w:szCs w:val="24"/>
          <w:spacing w:val="-56"/>
        </w:rPr>
        <w:t xml:space="preserve"> </w:t>
      </w:r>
      <w:r>
        <w:rPr>
          <w:rFonts w:ascii="FangSong" w:hAnsi="FangSong" w:eastAsia="FangSong" w:cs="FangSong"/>
          <w:sz w:val="24"/>
          <w:szCs w:val="24"/>
          <w:spacing w:val="-13"/>
        </w:rPr>
        <w:t>用水</w:t>
      </w:r>
      <w:r>
        <w:rPr>
          <w:rFonts w:ascii="FangSong" w:hAnsi="FangSong" w:eastAsia="FangSong" w:cs="FangSong"/>
          <w:sz w:val="24"/>
          <w:szCs w:val="24"/>
          <w:spacing w:val="-53"/>
        </w:rPr>
        <w:t xml:space="preserve"> </w:t>
      </w:r>
      <w:r>
        <w:rPr>
          <w:rFonts w:ascii="FangSong" w:hAnsi="FangSong" w:eastAsia="FangSong" w:cs="FangSong"/>
          <w:sz w:val="24"/>
          <w:szCs w:val="24"/>
          <w:spacing w:val="-13"/>
        </w:rPr>
        <w:t>量</w:t>
      </w:r>
      <w:r>
        <w:rPr>
          <w:rFonts w:ascii="FangSong" w:hAnsi="FangSong" w:eastAsia="FangSong" w:cs="FangSong"/>
          <w:sz w:val="24"/>
          <w:szCs w:val="24"/>
          <w:spacing w:val="-42"/>
        </w:rPr>
        <w:t xml:space="preserve"> </w:t>
      </w:r>
      <w:r>
        <w:rPr>
          <w:rFonts w:ascii="FangSong" w:hAnsi="FangSong" w:eastAsia="FangSong" w:cs="FangSong"/>
          <w:sz w:val="24"/>
          <w:szCs w:val="24"/>
          <w:spacing w:val="-13"/>
        </w:rPr>
        <w:t>的</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80% </w:t>
      </w:r>
      <w:r>
        <w:rPr>
          <w:rFonts w:ascii="FangSong" w:hAnsi="FangSong" w:eastAsia="FangSong" w:cs="FangSong"/>
          <w:sz w:val="24"/>
          <w:szCs w:val="24"/>
          <w:spacing w:val="-13"/>
        </w:rPr>
        <w:t>计</w:t>
      </w:r>
      <w:r>
        <w:rPr>
          <w:rFonts w:ascii="FangSong" w:hAnsi="FangSong" w:eastAsia="FangSong" w:cs="FangSong"/>
          <w:sz w:val="24"/>
          <w:szCs w:val="24"/>
          <w:spacing w:val="-39"/>
        </w:rPr>
        <w:t xml:space="preserve"> </w:t>
      </w:r>
      <w:r>
        <w:rPr>
          <w:rFonts w:ascii="FangSong" w:hAnsi="FangSong" w:eastAsia="FangSong" w:cs="FangSong"/>
          <w:sz w:val="24"/>
          <w:szCs w:val="24"/>
          <w:spacing w:val="-13"/>
        </w:rPr>
        <w:t>，</w:t>
      </w:r>
      <w:r>
        <w:rPr>
          <w:rFonts w:ascii="FangSong" w:hAnsi="FangSong" w:eastAsia="FangSong" w:cs="FangSong"/>
          <w:sz w:val="24"/>
          <w:szCs w:val="24"/>
          <w:spacing w:val="-53"/>
        </w:rPr>
        <w:t xml:space="preserve"> </w:t>
      </w:r>
      <w:r>
        <w:rPr>
          <w:rFonts w:ascii="FangSong" w:hAnsi="FangSong" w:eastAsia="FangSong" w:cs="FangSong"/>
          <w:sz w:val="24"/>
          <w:szCs w:val="24"/>
          <w:spacing w:val="-13"/>
        </w:rPr>
        <w:t>则</w:t>
      </w:r>
      <w:r>
        <w:rPr>
          <w:rFonts w:ascii="FangSong" w:hAnsi="FangSong" w:eastAsia="FangSong" w:cs="FangSong"/>
          <w:sz w:val="24"/>
          <w:szCs w:val="24"/>
          <w:spacing w:val="-42"/>
        </w:rPr>
        <w:t xml:space="preserve"> </w:t>
      </w:r>
      <w:r>
        <w:rPr>
          <w:rFonts w:ascii="FangSong" w:hAnsi="FangSong" w:eastAsia="FangSong" w:cs="FangSong"/>
          <w:sz w:val="24"/>
          <w:szCs w:val="24"/>
          <w:spacing w:val="-13"/>
        </w:rPr>
        <w:t>生</w:t>
      </w:r>
      <w:r>
        <w:rPr>
          <w:rFonts w:ascii="FangSong" w:hAnsi="FangSong" w:eastAsia="FangSong" w:cs="FangSong"/>
          <w:sz w:val="24"/>
          <w:szCs w:val="24"/>
          <w:spacing w:val="-49"/>
        </w:rPr>
        <w:t xml:space="preserve"> </w:t>
      </w:r>
      <w:r>
        <w:rPr>
          <w:rFonts w:ascii="FangSong" w:hAnsi="FangSong" w:eastAsia="FangSong" w:cs="FangSong"/>
          <w:sz w:val="24"/>
          <w:szCs w:val="24"/>
          <w:spacing w:val="-13"/>
        </w:rPr>
        <w:t>活</w:t>
      </w:r>
      <w:r>
        <w:rPr>
          <w:rFonts w:ascii="FangSong" w:hAnsi="FangSong" w:eastAsia="FangSong" w:cs="FangSong"/>
          <w:sz w:val="24"/>
          <w:szCs w:val="24"/>
          <w:spacing w:val="-54"/>
        </w:rPr>
        <w:t xml:space="preserve"> </w:t>
      </w:r>
      <w:r>
        <w:rPr>
          <w:rFonts w:ascii="FangSong" w:hAnsi="FangSong" w:eastAsia="FangSong" w:cs="FangSong"/>
          <w:sz w:val="24"/>
          <w:szCs w:val="24"/>
          <w:spacing w:val="-13"/>
        </w:rPr>
        <w:t>污</w:t>
      </w:r>
      <w:r>
        <w:rPr>
          <w:rFonts w:ascii="FangSong" w:hAnsi="FangSong" w:eastAsia="FangSong" w:cs="FangSong"/>
          <w:sz w:val="24"/>
          <w:szCs w:val="24"/>
          <w:spacing w:val="-57"/>
        </w:rPr>
        <w:t xml:space="preserve"> </w:t>
      </w:r>
      <w:r>
        <w:rPr>
          <w:rFonts w:ascii="FangSong" w:hAnsi="FangSong" w:eastAsia="FangSong" w:cs="FangSong"/>
          <w:sz w:val="24"/>
          <w:szCs w:val="24"/>
          <w:spacing w:val="-13"/>
        </w:rPr>
        <w:t>水</w:t>
      </w:r>
      <w:r>
        <w:rPr>
          <w:rFonts w:ascii="FangSong" w:hAnsi="FangSong" w:eastAsia="FangSong" w:cs="FangSong"/>
          <w:sz w:val="24"/>
          <w:szCs w:val="24"/>
          <w:spacing w:val="-54"/>
        </w:rPr>
        <w:t xml:space="preserve"> </w:t>
      </w:r>
      <w:r>
        <w:rPr>
          <w:rFonts w:ascii="FangSong" w:hAnsi="FangSong" w:eastAsia="FangSong" w:cs="FangSong"/>
          <w:sz w:val="24"/>
          <w:szCs w:val="24"/>
          <w:spacing w:val="-13"/>
        </w:rPr>
        <w:t>产</w:t>
      </w:r>
      <w:r>
        <w:rPr>
          <w:rFonts w:ascii="FangSong" w:hAnsi="FangSong" w:eastAsia="FangSong" w:cs="FangSong"/>
          <w:sz w:val="24"/>
          <w:szCs w:val="24"/>
          <w:spacing w:val="-42"/>
        </w:rPr>
        <w:t xml:space="preserve"> </w:t>
      </w:r>
      <w:r>
        <w:rPr>
          <w:rFonts w:ascii="FangSong" w:hAnsi="FangSong" w:eastAsia="FangSong" w:cs="FangSong"/>
          <w:sz w:val="24"/>
          <w:szCs w:val="24"/>
          <w:spacing w:val="-13"/>
        </w:rPr>
        <w:t>生</w:t>
      </w:r>
      <w:r>
        <w:rPr>
          <w:rFonts w:ascii="FangSong" w:hAnsi="FangSong" w:eastAsia="FangSong" w:cs="FangSong"/>
          <w:sz w:val="24"/>
          <w:szCs w:val="24"/>
          <w:spacing w:val="-53"/>
        </w:rPr>
        <w:t xml:space="preserve"> </w:t>
      </w:r>
      <w:r>
        <w:rPr>
          <w:rFonts w:ascii="FangSong" w:hAnsi="FangSong" w:eastAsia="FangSong" w:cs="FangSong"/>
          <w:sz w:val="24"/>
          <w:szCs w:val="24"/>
          <w:spacing w:val="-13"/>
        </w:rPr>
        <w:t>量</w:t>
      </w:r>
      <w:r>
        <w:rPr>
          <w:rFonts w:ascii="FangSong" w:hAnsi="FangSong" w:eastAsia="FangSong" w:cs="FangSong"/>
          <w:sz w:val="24"/>
          <w:szCs w:val="24"/>
          <w:spacing w:val="-47"/>
        </w:rPr>
        <w:t xml:space="preserve"> </w:t>
      </w:r>
      <w:r>
        <w:rPr>
          <w:rFonts w:ascii="FangSong" w:hAnsi="FangSong" w:eastAsia="FangSong" w:cs="FangSong"/>
          <w:sz w:val="24"/>
          <w:szCs w:val="24"/>
          <w:spacing w:val="-13"/>
        </w:rPr>
        <w:t>为</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6.432m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FangSong" w:hAnsi="FangSong" w:eastAsia="FangSong" w:cs="FangSong"/>
          <w:sz w:val="24"/>
          <w:szCs w:val="24"/>
          <w:spacing w:val="-62"/>
        </w:rPr>
        <w:t xml:space="preserve"> </w:t>
      </w:r>
      <w:r>
        <w:rPr>
          <w:rFonts w:ascii="Times New Roman" w:hAnsi="Times New Roman" w:eastAsia="Times New Roman" w:cs="Times New Roman"/>
          <w:sz w:val="24"/>
          <w:szCs w:val="24"/>
        </w:rPr>
        <w:t>1929.6m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/a </w:t>
      </w:r>
      <w:r>
        <w:rPr>
          <w:rFonts w:ascii="FangSong" w:hAnsi="FangSong" w:eastAsia="FangSong" w:cs="FangSong"/>
          <w:sz w:val="24"/>
          <w:szCs w:val="24"/>
          <w:spacing w:val="-23"/>
        </w:rPr>
        <w:t>）</w:t>
      </w:r>
      <w:r>
        <w:rPr>
          <w:rFonts w:ascii="FangSong" w:hAnsi="FangSong" w:eastAsia="FangSong" w:cs="FangSong"/>
          <w:sz w:val="24"/>
          <w:szCs w:val="24"/>
          <w:spacing w:val="-58"/>
        </w:rPr>
        <w:t xml:space="preserve"> </w:t>
      </w:r>
      <w:r>
        <w:rPr>
          <w:rFonts w:ascii="FangSong" w:hAnsi="FangSong" w:eastAsia="FangSong" w:cs="FangSong"/>
          <w:sz w:val="24"/>
          <w:szCs w:val="24"/>
          <w:spacing w:val="-23"/>
        </w:rPr>
        <w:t>，</w:t>
      </w:r>
      <w:r>
        <w:rPr>
          <w:rFonts w:ascii="FangSong" w:hAnsi="FangSong" w:eastAsia="FangSong" w:cs="FangSong"/>
          <w:sz w:val="24"/>
          <w:szCs w:val="24"/>
        </w:rPr>
        <w:t>食</w:t>
      </w:r>
      <w:r>
        <w:rPr>
          <w:rFonts w:ascii="FangSong" w:hAnsi="FangSong" w:eastAsia="FangSong" w:cs="FangSong"/>
          <w:sz w:val="24"/>
          <w:szCs w:val="24"/>
          <w:spacing w:val="-60"/>
        </w:rPr>
        <w:t xml:space="preserve"> </w:t>
      </w:r>
      <w:r>
        <w:rPr>
          <w:rFonts w:ascii="FangSong" w:hAnsi="FangSong" w:eastAsia="FangSong" w:cs="FangSong"/>
          <w:sz w:val="24"/>
          <w:szCs w:val="24"/>
        </w:rPr>
        <w:t>堂废水</w:t>
      </w:r>
      <w:r>
        <w:rPr>
          <w:rFonts w:ascii="FangSong" w:hAnsi="FangSong" w:eastAsia="FangSong" w:cs="FangSong"/>
          <w:sz w:val="24"/>
          <w:szCs w:val="24"/>
          <w:spacing w:val="-71"/>
        </w:rPr>
        <w:t xml:space="preserve"> </w:t>
      </w:r>
      <w:r>
        <w:rPr>
          <w:rFonts w:ascii="FangSong" w:hAnsi="FangSong" w:eastAsia="FangSong" w:cs="FangSong"/>
          <w:sz w:val="24"/>
          <w:szCs w:val="24"/>
        </w:rPr>
        <w:t>产生量为</w:t>
      </w:r>
      <w:r>
        <w:rPr>
          <w:rFonts w:ascii="FangSong" w:hAnsi="FangSong" w:eastAsia="FangSong" w:cs="FangSong"/>
          <w:sz w:val="24"/>
          <w:szCs w:val="24"/>
        </w:rPr>
        <w:t xml:space="preserve"> </w:t>
      </w:r>
      <w:r>
        <w:rPr>
          <w:rFonts w:ascii="Times New Roman" w:hAnsi="Times New Roman" w:eastAsia="Times New Roman" w:cs="Times New Roman"/>
          <w:sz w:val="24"/>
          <w:szCs w:val="24"/>
        </w:rPr>
        <w:t>7.397m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2219.</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rPr>
        <w:t>1m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/a </w:t>
      </w:r>
      <w:r>
        <w:rPr>
          <w:rFonts w:ascii="FangSong" w:hAnsi="FangSong" w:eastAsia="FangSong" w:cs="FangSong"/>
          <w:sz w:val="24"/>
          <w:szCs w:val="24"/>
          <w:spacing w:val="-23"/>
        </w:rPr>
        <w:t>）</w:t>
      </w:r>
      <w:r>
        <w:rPr>
          <w:rFonts w:ascii="FangSong" w:hAnsi="FangSong" w:eastAsia="FangSong" w:cs="FangSong"/>
          <w:sz w:val="24"/>
          <w:szCs w:val="24"/>
          <w:spacing w:val="-56"/>
        </w:rPr>
        <w:t xml:space="preserve"> </w:t>
      </w:r>
      <w:r>
        <w:rPr>
          <w:rFonts w:ascii="FangSong" w:hAnsi="FangSong" w:eastAsia="FangSong" w:cs="FangSong"/>
          <w:sz w:val="24"/>
          <w:szCs w:val="24"/>
          <w:spacing w:val="-23"/>
        </w:rPr>
        <w:t>，</w:t>
      </w:r>
      <w:r>
        <w:rPr>
          <w:rFonts w:ascii="FangSong" w:hAnsi="FangSong" w:eastAsia="FangSong" w:cs="FangSong"/>
          <w:sz w:val="24"/>
          <w:szCs w:val="24"/>
          <w:spacing w:val="-69"/>
        </w:rPr>
        <w:t xml:space="preserve"> </w:t>
      </w:r>
      <w:r>
        <w:rPr>
          <w:rFonts w:ascii="FangSong" w:hAnsi="FangSong" w:eastAsia="FangSong" w:cs="FangSong"/>
          <w:sz w:val="24"/>
          <w:szCs w:val="24"/>
        </w:rPr>
        <w:t>共计</w:t>
      </w:r>
      <w:r>
        <w:rPr>
          <w:rFonts w:ascii="FangSong" w:hAnsi="FangSong" w:eastAsia="FangSong" w:cs="FangSong"/>
          <w:sz w:val="24"/>
          <w:szCs w:val="24"/>
        </w:rPr>
        <w:t xml:space="preserve"> </w:t>
      </w:r>
      <w:r>
        <w:rPr>
          <w:rFonts w:ascii="Times New Roman" w:hAnsi="Times New Roman" w:eastAsia="Times New Roman" w:cs="Times New Roman"/>
          <w:sz w:val="24"/>
          <w:szCs w:val="24"/>
        </w:rPr>
        <w:t>13.82</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4148.7m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/a</w:t>
      </w:r>
      <w:r>
        <w:rPr>
          <w:rFonts w:ascii="FangSong" w:hAnsi="FangSong" w:eastAsia="FangSong" w:cs="FangSong"/>
          <w:sz w:val="24"/>
          <w:szCs w:val="24"/>
          <w:spacing w:val="-11"/>
        </w:rPr>
        <w:t>），</w:t>
      </w:r>
      <w:r>
        <w:rPr>
          <w:rFonts w:ascii="FangSong" w:hAnsi="FangSong" w:eastAsia="FangSong" w:cs="FangSong"/>
          <w:sz w:val="24"/>
          <w:szCs w:val="24"/>
          <w:spacing w:val="-2"/>
        </w:rPr>
        <w:t>食堂废水经隔油池处理后与生活污水排入厂区防渗储池内，定期运</w:t>
      </w:r>
      <w:r>
        <w:rPr>
          <w:rFonts w:ascii="FangSong" w:hAnsi="FangSong" w:eastAsia="FangSong" w:cs="FangSong"/>
          <w:sz w:val="24"/>
          <w:szCs w:val="24"/>
          <w:spacing w:val="-1"/>
        </w:rPr>
        <w:t>至内蒙古锡林郭勒盟苏尼特右旗赛汉塔拉镇污水处理厂处理。</w:t>
      </w:r>
    </w:p>
    <w:p>
      <w:pPr>
        <w:ind w:left="511"/>
        <w:spacing w:before="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）生产废水</w:t>
      </w:r>
    </w:p>
    <w:p>
      <w:pPr>
        <w:ind w:left="26" w:right="74" w:firstLine="480"/>
        <w:spacing w:before="176" w:line="359" w:lineRule="auto"/>
        <w:rPr>
          <w:rFonts w:ascii="FangSong" w:hAnsi="FangSong" w:eastAsia="FangSong" w:cs="FangSong"/>
          <w:sz w:val="24"/>
          <w:szCs w:val="24"/>
        </w:rPr>
      </w:pPr>
      <w:r>
        <w:rPr>
          <w:rFonts w:ascii="FangSong" w:hAnsi="FangSong" w:eastAsia="FangSong" w:cs="FangSong"/>
          <w:sz w:val="24"/>
          <w:szCs w:val="24"/>
          <w:spacing w:val="1"/>
        </w:rPr>
        <w:t>本项目生产废水主要为矿井涌水、地面清洗废水、选矿废水。产生的各类废水</w:t>
      </w:r>
      <w:r>
        <w:rPr>
          <w:rFonts w:ascii="FangSong" w:hAnsi="FangSong" w:eastAsia="FangSong" w:cs="FangSong"/>
          <w:sz w:val="24"/>
          <w:szCs w:val="24"/>
          <w:spacing w:val="-1"/>
        </w:rPr>
        <w:t>经集中收集后排入地表高位水池内，经沉淀后回用于生产。</w:t>
      </w:r>
    </w:p>
    <w:p>
      <w:pPr>
        <w:ind w:left="499"/>
        <w:spacing w:before="1" w:line="221"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15"/>
        </w:rPr>
        <w:t xml:space="preserve"> </w:t>
      </w:r>
      <w:r>
        <w:rPr>
          <w:rFonts w:ascii="FangSong" w:hAnsi="FangSong" w:eastAsia="FangSong" w:cs="FangSong"/>
          <w:sz w:val="24"/>
          <w:szCs w:val="24"/>
          <w:spacing w:val="-5"/>
        </w:rPr>
        <w:t>矿井涌水</w:t>
      </w:r>
    </w:p>
    <w:p>
      <w:pPr>
        <w:ind w:left="26" w:right="76" w:firstLine="480"/>
        <w:spacing w:before="179" w:line="359" w:lineRule="auto"/>
        <w:rPr>
          <w:rFonts w:ascii="FangSong" w:hAnsi="FangSong" w:eastAsia="FangSong" w:cs="FangSong"/>
          <w:sz w:val="24"/>
          <w:szCs w:val="24"/>
        </w:rPr>
      </w:pPr>
      <w:r>
        <w:rPr>
          <w:rFonts w:ascii="FangSong" w:hAnsi="FangSong" w:eastAsia="FangSong" w:cs="FangSong"/>
          <w:sz w:val="24"/>
          <w:szCs w:val="24"/>
          <w:spacing w:val="-4"/>
        </w:rPr>
        <w:t>根据《</w:t>
      </w:r>
      <w:r>
        <w:rPr>
          <w:rFonts w:ascii="Times New Roman" w:hAnsi="Times New Roman" w:eastAsia="Times New Roman" w:cs="Times New Roman"/>
          <w:sz w:val="24"/>
          <w:szCs w:val="24"/>
          <w:spacing w:val="-4"/>
        </w:rPr>
        <w:t>&lt;</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内蒙古自治区苏尼特右旗桑宝力嘎额尔登塔拉矿区萤石矿资源储</w:t>
      </w:r>
      <w:r>
        <w:rPr>
          <w:rFonts w:ascii="FangSong" w:hAnsi="FangSong" w:eastAsia="FangSong" w:cs="FangSong"/>
          <w:sz w:val="24"/>
          <w:szCs w:val="24"/>
          <w:spacing w:val="-5"/>
        </w:rPr>
        <w:t>量核实</w:t>
      </w:r>
      <w:r>
        <w:rPr>
          <w:rFonts w:ascii="FangSong" w:hAnsi="FangSong" w:eastAsia="FangSong" w:cs="FangSong"/>
          <w:sz w:val="24"/>
          <w:szCs w:val="24"/>
          <w:spacing w:val="1"/>
        </w:rPr>
        <w:t>报告</w:t>
      </w:r>
      <w:r>
        <w:rPr>
          <w:rFonts w:ascii="Times New Roman" w:hAnsi="Times New Roman" w:eastAsia="Times New Roman" w:cs="Times New Roman"/>
          <w:sz w:val="24"/>
          <w:szCs w:val="24"/>
          <w:spacing w:val="1"/>
        </w:rPr>
        <w:t>&gt;</w:t>
      </w:r>
      <w:r>
        <w:rPr>
          <w:rFonts w:ascii="FangSong" w:hAnsi="FangSong" w:eastAsia="FangSong" w:cs="FangSong"/>
          <w:sz w:val="24"/>
          <w:szCs w:val="24"/>
          <w:spacing w:val="1"/>
        </w:rPr>
        <w:t>矿产资源储量评审意见书》（内自然资储评字﹝</w:t>
      </w:r>
      <w:r>
        <w:rPr>
          <w:rFonts w:ascii="Times New Roman" w:hAnsi="Times New Roman" w:eastAsia="Times New Roman" w:cs="Times New Roman"/>
          <w:sz w:val="24"/>
          <w:szCs w:val="24"/>
          <w:spacing w:val="1"/>
        </w:rPr>
        <w:t>2025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97</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1"/>
        </w:rPr>
        <w:t>号</w:t>
      </w:r>
      <w:r>
        <w:rPr>
          <w:rFonts w:ascii="FangSong" w:hAnsi="FangSong" w:eastAsia="FangSong" w:cs="FangSong"/>
          <w:sz w:val="24"/>
          <w:szCs w:val="24"/>
          <w:spacing w:val="12"/>
        </w:rPr>
        <w:t>），</w:t>
      </w:r>
      <w:r>
        <w:rPr>
          <w:rFonts w:ascii="FangSong" w:hAnsi="FangSong" w:eastAsia="FangSong" w:cs="FangSong"/>
          <w:sz w:val="24"/>
          <w:szCs w:val="24"/>
        </w:rPr>
        <w:t>本项目矿坑</w:t>
      </w:r>
      <w:r>
        <w:rPr>
          <w:rFonts w:ascii="FangSong" w:hAnsi="FangSong" w:eastAsia="FangSong" w:cs="FangSong"/>
          <w:sz w:val="24"/>
          <w:szCs w:val="24"/>
          <w:spacing w:val="-3"/>
        </w:rPr>
        <w:t>平均涌水量为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1161.79m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w:t>
      </w:r>
    </w:p>
    <w:p>
      <w:pPr>
        <w:ind w:left="498"/>
        <w:spacing w:line="219"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27"/>
        </w:rPr>
        <w:t xml:space="preserve"> </w:t>
      </w:r>
      <w:r>
        <w:rPr>
          <w:rFonts w:ascii="FangSong" w:hAnsi="FangSong" w:eastAsia="FangSong" w:cs="FangSong"/>
          <w:sz w:val="24"/>
          <w:szCs w:val="24"/>
          <w:spacing w:val="-4"/>
        </w:rPr>
        <w:t>车间地面清洗废水</w:t>
      </w:r>
    </w:p>
    <w:p>
      <w:pPr>
        <w:ind w:left="27" w:right="73" w:firstLine="480"/>
        <w:spacing w:before="181" w:line="360" w:lineRule="auto"/>
        <w:rPr>
          <w:rFonts w:ascii="FangSong" w:hAnsi="FangSong" w:eastAsia="FangSong" w:cs="FangSong"/>
          <w:sz w:val="24"/>
          <w:szCs w:val="24"/>
        </w:rPr>
      </w:pPr>
      <w:r>
        <w:rPr>
          <w:rFonts w:ascii="FangSong" w:hAnsi="FangSong" w:eastAsia="FangSong" w:cs="FangSong"/>
          <w:sz w:val="24"/>
          <w:szCs w:val="24"/>
          <w:spacing w:val="11"/>
        </w:rPr>
        <w:t>地面冲洗废水按用水量的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11"/>
        </w:rPr>
        <w:t>80%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1"/>
        </w:rPr>
        <w:t>计算</w:t>
      </w:r>
      <w:r>
        <w:rPr>
          <w:rFonts w:ascii="FangSong" w:hAnsi="FangSong" w:eastAsia="FangSong" w:cs="FangSong"/>
          <w:sz w:val="24"/>
          <w:szCs w:val="24"/>
          <w:spacing w:val="-64"/>
        </w:rPr>
        <w:t xml:space="preserve"> </w:t>
      </w:r>
      <w:r>
        <w:rPr>
          <w:rFonts w:ascii="FangSong" w:hAnsi="FangSong" w:eastAsia="FangSong" w:cs="FangSong"/>
          <w:sz w:val="24"/>
          <w:szCs w:val="24"/>
          <w:spacing w:val="11"/>
        </w:rPr>
        <w:t>，</w:t>
      </w:r>
      <w:r>
        <w:rPr>
          <w:rFonts w:ascii="FangSong" w:hAnsi="FangSong" w:eastAsia="FangSong" w:cs="FangSong"/>
          <w:sz w:val="24"/>
          <w:szCs w:val="24"/>
          <w:spacing w:val="-64"/>
        </w:rPr>
        <w:t xml:space="preserve"> </w:t>
      </w:r>
      <w:r>
        <w:rPr>
          <w:rFonts w:ascii="FangSong" w:hAnsi="FangSong" w:eastAsia="FangSong" w:cs="FangSong"/>
          <w:sz w:val="24"/>
          <w:szCs w:val="24"/>
          <w:spacing w:val="11"/>
        </w:rPr>
        <w:t>即地面冲洗废水产生量为</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11"/>
        </w:rPr>
        <w:t>5.491m</w:t>
      </w:r>
      <w:r>
        <w:rPr>
          <w:rFonts w:ascii="Times New Roman" w:hAnsi="Times New Roman" w:eastAsia="Times New Roman" w:cs="Times New Roman"/>
          <w:sz w:val="15"/>
          <w:szCs w:val="15"/>
          <w:spacing w:val="11"/>
          <w:position w:val="8"/>
        </w:rPr>
        <w:t>3</w:t>
      </w:r>
      <w:r>
        <w:rPr>
          <w:rFonts w:ascii="Times New Roman" w:hAnsi="Times New Roman" w:eastAsia="Times New Roman" w:cs="Times New Roman"/>
          <w:sz w:val="24"/>
          <w:szCs w:val="24"/>
          <w:spacing w:val="11"/>
        </w:rPr>
        <w:t>/d</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1647.3m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/a</w:t>
      </w:r>
      <w:r>
        <w:rPr>
          <w:rFonts w:ascii="FangSong" w:hAnsi="FangSong" w:eastAsia="FangSong" w:cs="FangSong"/>
          <w:sz w:val="24"/>
          <w:szCs w:val="24"/>
          <w:spacing w:val="12"/>
        </w:rPr>
        <w:t>），</w:t>
      </w:r>
      <w:r>
        <w:rPr>
          <w:rFonts w:ascii="FangSong" w:hAnsi="FangSong" w:eastAsia="FangSong" w:cs="FangSong"/>
          <w:sz w:val="24"/>
          <w:szCs w:val="24"/>
        </w:rPr>
        <w:t>损失量为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rPr>
        <w:t>1.373m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/d</w:t>
      </w:r>
      <w:r>
        <w:rPr>
          <w:rFonts w:ascii="FangSong" w:hAnsi="FangSong" w:eastAsia="FangSong" w:cs="FangSong"/>
          <w:sz w:val="24"/>
          <w:szCs w:val="24"/>
        </w:rPr>
        <w:t>（</w:t>
      </w:r>
      <w:r>
        <w:rPr>
          <w:rFonts w:ascii="Times New Roman" w:hAnsi="Times New Roman" w:eastAsia="Times New Roman" w:cs="Times New Roman"/>
          <w:sz w:val="24"/>
          <w:szCs w:val="24"/>
        </w:rPr>
        <w:t>411.9m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）废水经车间内排水沟进入地表高</w:t>
      </w:r>
      <w:r>
        <w:rPr>
          <w:rFonts w:ascii="FangSong" w:hAnsi="FangSong" w:eastAsia="FangSong" w:cs="FangSong"/>
          <w:sz w:val="24"/>
          <w:szCs w:val="24"/>
          <w:spacing w:val="-1"/>
        </w:rPr>
        <w:t>位水池处理后回用于选矿用水，不外排。</w:t>
      </w:r>
    </w:p>
    <w:p>
      <w:pPr>
        <w:spacing w:line="360" w:lineRule="auto"/>
        <w:sectPr>
          <w:footerReference w:type="default" r:id="rId135"/>
          <w:pgSz w:w="11911" w:h="16839"/>
          <w:pgMar w:top="400" w:right="1341"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96"/>
        <w:spacing w:before="78" w:line="222" w:lineRule="auto"/>
        <w:rPr>
          <w:rFonts w:ascii="FangSong" w:hAnsi="FangSong" w:eastAsia="FangSong" w:cs="FangSong"/>
          <w:sz w:val="24"/>
          <w:szCs w:val="24"/>
        </w:rPr>
      </w:pPr>
      <w:r>
        <w:rPr>
          <w:rFonts w:ascii="FangSong" w:hAnsi="FangSong" w:eastAsia="FangSong" w:cs="FangSong"/>
          <w:sz w:val="24"/>
          <w:szCs w:val="24"/>
          <w:spacing w:val="-4"/>
        </w:rPr>
        <w:t>③</w:t>
      </w:r>
      <w:r>
        <w:rPr>
          <w:rFonts w:ascii="FangSong" w:hAnsi="FangSong" w:eastAsia="FangSong" w:cs="FangSong"/>
          <w:sz w:val="24"/>
          <w:szCs w:val="24"/>
          <w:spacing w:val="19"/>
        </w:rPr>
        <w:t xml:space="preserve"> </w:t>
      </w:r>
      <w:r>
        <w:rPr>
          <w:rFonts w:ascii="FangSong" w:hAnsi="FangSong" w:eastAsia="FangSong" w:cs="FangSong"/>
          <w:sz w:val="24"/>
          <w:szCs w:val="24"/>
          <w:spacing w:val="-4"/>
        </w:rPr>
        <w:t>选矿工艺废水</w:t>
      </w:r>
    </w:p>
    <w:p>
      <w:pPr>
        <w:ind w:left="126" w:right="43" w:firstLine="479"/>
        <w:spacing w:before="178" w:line="359" w:lineRule="auto"/>
        <w:rPr>
          <w:rFonts w:ascii="FangSong" w:hAnsi="FangSong" w:eastAsia="FangSong" w:cs="FangSong"/>
          <w:sz w:val="24"/>
          <w:szCs w:val="24"/>
        </w:rPr>
      </w:pPr>
      <w:r>
        <w:rPr>
          <w:rFonts w:ascii="FangSong" w:hAnsi="FangSong" w:eastAsia="FangSong" w:cs="FangSong"/>
          <w:sz w:val="24"/>
          <w:szCs w:val="24"/>
          <w:spacing w:val="1"/>
        </w:rPr>
        <w:t>项目选矿工艺废水主要为萤石精矿及尾矿经浓缩、过滤后产生的废水。项目年</w:t>
      </w:r>
      <w:r>
        <w:rPr>
          <w:rFonts w:ascii="FangSong" w:hAnsi="FangSong" w:eastAsia="FangSong" w:cs="FangSong"/>
          <w:sz w:val="24"/>
          <w:szCs w:val="24"/>
          <w:spacing w:val="-8"/>
        </w:rPr>
        <w:t>产萤石精矿</w:t>
      </w:r>
      <w:r>
        <w:rPr>
          <w:rFonts w:ascii="Times New Roman" w:hAnsi="Times New Roman" w:eastAsia="Times New Roman" w:cs="Times New Roman"/>
          <w:sz w:val="24"/>
          <w:szCs w:val="24"/>
          <w:spacing w:val="-8"/>
        </w:rPr>
        <w:t>3.751 </w:t>
      </w:r>
      <w:r>
        <w:rPr>
          <w:rFonts w:ascii="FangSong" w:hAnsi="FangSong" w:eastAsia="FangSong" w:cs="FangSong"/>
          <w:sz w:val="24"/>
          <w:szCs w:val="24"/>
          <w:spacing w:val="-8"/>
        </w:rPr>
        <w:t>万</w:t>
      </w:r>
      <w:r>
        <w:rPr>
          <w:rFonts w:ascii="Times New Roman" w:hAnsi="Times New Roman" w:eastAsia="Times New Roman" w:cs="Times New Roman"/>
          <w:sz w:val="24"/>
          <w:szCs w:val="24"/>
          <w:spacing w:val="-8"/>
        </w:rPr>
        <w:t>t</w:t>
      </w:r>
      <w:r>
        <w:rPr>
          <w:rFonts w:ascii="FangSong" w:hAnsi="FangSong" w:eastAsia="FangSong" w:cs="FangSong"/>
          <w:sz w:val="24"/>
          <w:szCs w:val="24"/>
          <w:spacing w:val="-8"/>
        </w:rPr>
        <w:t>，产品萤石精矿中含水率不高于</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12%</w:t>
      </w:r>
      <w:r>
        <w:rPr>
          <w:rFonts w:ascii="FangSong" w:hAnsi="FangSong" w:eastAsia="FangSong" w:cs="FangSong"/>
          <w:sz w:val="24"/>
          <w:szCs w:val="24"/>
          <w:spacing w:val="-9"/>
        </w:rPr>
        <w:t>，以</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12%</w:t>
      </w:r>
      <w:r>
        <w:rPr>
          <w:rFonts w:ascii="FangSong" w:hAnsi="FangSong" w:eastAsia="FangSong" w:cs="FangSong"/>
          <w:sz w:val="24"/>
          <w:szCs w:val="24"/>
          <w:spacing w:val="-9"/>
        </w:rPr>
        <w:t>计，故有</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9"/>
        </w:rPr>
        <w:t>15.004m</w:t>
      </w:r>
      <w:r>
        <w:rPr>
          <w:rFonts w:ascii="Times New Roman" w:hAnsi="Times New Roman" w:eastAsia="Times New Roman" w:cs="Times New Roman"/>
          <w:sz w:val="15"/>
          <w:szCs w:val="15"/>
          <w:spacing w:val="-9"/>
          <w:position w:val="8"/>
        </w:rPr>
        <w:t>3</w:t>
      </w:r>
      <w:r>
        <w:rPr>
          <w:rFonts w:ascii="Times New Roman" w:hAnsi="Times New Roman" w:eastAsia="Times New Roman" w:cs="Times New Roman"/>
          <w:sz w:val="24"/>
          <w:szCs w:val="24"/>
          <w:spacing w:val="-9"/>
        </w:rPr>
        <w:t>/d</w:t>
      </w:r>
      <w:r>
        <w:rPr>
          <w:rFonts w:ascii="Times New Roman" w:hAnsi="Times New Roman" w:eastAsia="Times New Roman" w:cs="Times New Roman"/>
          <w:sz w:val="24"/>
          <w:szCs w:val="24"/>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4501.2m</w:t>
      </w:r>
      <w:r>
        <w:rPr>
          <w:rFonts w:ascii="Times New Roman" w:hAnsi="Times New Roman" w:eastAsia="Times New Roman" w:cs="Times New Roman"/>
          <w:sz w:val="15"/>
          <w:szCs w:val="15"/>
          <w:spacing w:val="-7"/>
          <w:position w:val="8"/>
        </w:rPr>
        <w:t>3</w:t>
      </w:r>
      <w:r>
        <w:rPr>
          <w:rFonts w:ascii="Times New Roman" w:hAnsi="Times New Roman" w:eastAsia="Times New Roman" w:cs="Times New Roman"/>
          <w:sz w:val="24"/>
          <w:szCs w:val="24"/>
          <w:spacing w:val="-7"/>
        </w:rPr>
        <w:t>/a</w:t>
      </w:r>
      <w:r>
        <w:rPr>
          <w:rFonts w:ascii="FangSong" w:hAnsi="FangSong" w:eastAsia="FangSong" w:cs="FangSong"/>
          <w:sz w:val="24"/>
          <w:szCs w:val="24"/>
          <w:spacing w:val="-7"/>
        </w:rPr>
        <w:t>）进入产品中；根据建设单位提供资料，尾</w:t>
      </w:r>
      <w:r>
        <w:rPr>
          <w:rFonts w:ascii="FangSong" w:hAnsi="FangSong" w:eastAsia="FangSong" w:cs="FangSong"/>
          <w:sz w:val="24"/>
          <w:szCs w:val="24"/>
          <w:spacing w:val="-8"/>
        </w:rPr>
        <w:t>矿压滤脱水后含水率约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15%</w:t>
      </w:r>
      <w:r>
        <w:rPr>
          <w:rFonts w:ascii="FangSong" w:hAnsi="FangSong" w:eastAsia="FangSong" w:cs="FangSong"/>
          <w:sz w:val="24"/>
          <w:szCs w:val="24"/>
          <w:spacing w:val="-8"/>
        </w:rPr>
        <w:t>，</w:t>
      </w:r>
      <w:r>
        <w:rPr>
          <w:rFonts w:ascii="FangSong" w:hAnsi="FangSong" w:eastAsia="FangSong" w:cs="FangSong"/>
          <w:sz w:val="24"/>
          <w:szCs w:val="24"/>
          <w:spacing w:val="-3"/>
        </w:rPr>
        <w:t>尾矿产生量约</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3"/>
        </w:rPr>
        <w:t>6.249</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，故有</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31.245m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9373.5m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）进入尾矿，则合计物料带</w:t>
      </w:r>
      <w:r>
        <w:rPr>
          <w:rFonts w:ascii="FangSong" w:hAnsi="FangSong" w:eastAsia="FangSong" w:cs="FangSong"/>
          <w:sz w:val="24"/>
          <w:szCs w:val="24"/>
          <w:spacing w:val="1"/>
        </w:rPr>
        <w:t>走水分约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46.249m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13874.7m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/a</w:t>
      </w:r>
      <w:r>
        <w:rPr>
          <w:rFonts w:ascii="FangSong" w:hAnsi="FangSong" w:eastAsia="FangSong" w:cs="FangSong"/>
          <w:sz w:val="24"/>
          <w:szCs w:val="24"/>
          <w:spacing w:val="11"/>
        </w:rPr>
        <w:t>）；</w:t>
      </w:r>
      <w:r>
        <w:rPr>
          <w:rFonts w:ascii="FangSong" w:hAnsi="FangSong" w:eastAsia="FangSong" w:cs="FangSong"/>
          <w:sz w:val="24"/>
          <w:szCs w:val="24"/>
        </w:rPr>
        <w:t>项目磨矿、浮选、精矿尾矿浓缩过滤过程中</w:t>
      </w:r>
      <w:r>
        <w:rPr>
          <w:rFonts w:ascii="FangSong" w:hAnsi="FangSong" w:eastAsia="FangSong" w:cs="FangSong"/>
          <w:sz w:val="24"/>
          <w:szCs w:val="24"/>
          <w:spacing w:val="-12"/>
        </w:rPr>
        <w:t>会</w:t>
      </w:r>
      <w:r>
        <w:rPr>
          <w:rFonts w:ascii="FangSong" w:hAnsi="FangSong" w:eastAsia="FangSong" w:cs="FangSong"/>
          <w:sz w:val="24"/>
          <w:szCs w:val="24"/>
          <w:spacing w:val="-50"/>
        </w:rPr>
        <w:t xml:space="preserve"> </w:t>
      </w:r>
      <w:r>
        <w:rPr>
          <w:rFonts w:ascii="FangSong" w:hAnsi="FangSong" w:eastAsia="FangSong" w:cs="FangSong"/>
          <w:sz w:val="24"/>
          <w:szCs w:val="24"/>
          <w:spacing w:val="-12"/>
        </w:rPr>
        <w:t>有</w:t>
      </w:r>
      <w:r>
        <w:rPr>
          <w:rFonts w:ascii="FangSong" w:hAnsi="FangSong" w:eastAsia="FangSong" w:cs="FangSong"/>
          <w:sz w:val="24"/>
          <w:szCs w:val="24"/>
          <w:spacing w:val="-47"/>
        </w:rPr>
        <w:t xml:space="preserve"> </w:t>
      </w:r>
      <w:r>
        <w:rPr>
          <w:rFonts w:ascii="FangSong" w:hAnsi="FangSong" w:eastAsia="FangSong" w:cs="FangSong"/>
          <w:sz w:val="24"/>
          <w:szCs w:val="24"/>
          <w:spacing w:val="-12"/>
        </w:rPr>
        <w:t>水</w:t>
      </w:r>
      <w:r>
        <w:rPr>
          <w:rFonts w:ascii="FangSong" w:hAnsi="FangSong" w:eastAsia="FangSong" w:cs="FangSong"/>
          <w:sz w:val="24"/>
          <w:szCs w:val="24"/>
          <w:spacing w:val="-43"/>
        </w:rPr>
        <w:t xml:space="preserve"> </w:t>
      </w:r>
      <w:r>
        <w:rPr>
          <w:rFonts w:ascii="FangSong" w:hAnsi="FangSong" w:eastAsia="FangSong" w:cs="FangSong"/>
          <w:sz w:val="24"/>
          <w:szCs w:val="24"/>
          <w:spacing w:val="-12"/>
        </w:rPr>
        <w:t>量</w:t>
      </w:r>
      <w:r>
        <w:rPr>
          <w:rFonts w:ascii="FangSong" w:hAnsi="FangSong" w:eastAsia="FangSong" w:cs="FangSong"/>
          <w:sz w:val="24"/>
          <w:szCs w:val="24"/>
          <w:spacing w:val="-46"/>
        </w:rPr>
        <w:t xml:space="preserve"> </w:t>
      </w:r>
      <w:r>
        <w:rPr>
          <w:rFonts w:ascii="FangSong" w:hAnsi="FangSong" w:eastAsia="FangSong" w:cs="FangSong"/>
          <w:sz w:val="24"/>
          <w:szCs w:val="24"/>
          <w:spacing w:val="-12"/>
        </w:rPr>
        <w:t>损</w:t>
      </w:r>
      <w:r>
        <w:rPr>
          <w:rFonts w:ascii="FangSong" w:hAnsi="FangSong" w:eastAsia="FangSong" w:cs="FangSong"/>
          <w:sz w:val="24"/>
          <w:szCs w:val="24"/>
          <w:spacing w:val="-46"/>
        </w:rPr>
        <w:t xml:space="preserve"> </w:t>
      </w:r>
      <w:r>
        <w:rPr>
          <w:rFonts w:ascii="FangSong" w:hAnsi="FangSong" w:eastAsia="FangSong" w:cs="FangSong"/>
          <w:sz w:val="24"/>
          <w:szCs w:val="24"/>
          <w:spacing w:val="-12"/>
        </w:rPr>
        <w:t>耗</w:t>
      </w:r>
      <w:r>
        <w:rPr>
          <w:rFonts w:ascii="FangSong" w:hAnsi="FangSong" w:eastAsia="FangSong" w:cs="FangSong"/>
          <w:sz w:val="24"/>
          <w:szCs w:val="24"/>
          <w:spacing w:val="-29"/>
        </w:rPr>
        <w:t xml:space="preserve"> </w:t>
      </w:r>
      <w:r>
        <w:rPr>
          <w:rFonts w:ascii="FangSong" w:hAnsi="FangSong" w:eastAsia="FangSong" w:cs="FangSong"/>
          <w:sz w:val="24"/>
          <w:szCs w:val="24"/>
          <w:spacing w:val="-12"/>
        </w:rPr>
        <w:t>，</w:t>
      </w:r>
      <w:r>
        <w:rPr>
          <w:rFonts w:ascii="FangSong" w:hAnsi="FangSong" w:eastAsia="FangSong" w:cs="FangSong"/>
          <w:sz w:val="24"/>
          <w:szCs w:val="24"/>
          <w:spacing w:val="-47"/>
        </w:rPr>
        <w:t xml:space="preserve"> </w:t>
      </w:r>
      <w:r>
        <w:rPr>
          <w:rFonts w:ascii="FangSong" w:hAnsi="FangSong" w:eastAsia="FangSong" w:cs="FangSong"/>
          <w:sz w:val="24"/>
          <w:szCs w:val="24"/>
          <w:spacing w:val="-12"/>
        </w:rPr>
        <w:t>损</w:t>
      </w:r>
      <w:r>
        <w:rPr>
          <w:rFonts w:ascii="FangSong" w:hAnsi="FangSong" w:eastAsia="FangSong" w:cs="FangSong"/>
          <w:sz w:val="24"/>
          <w:szCs w:val="24"/>
          <w:spacing w:val="-45"/>
        </w:rPr>
        <w:t xml:space="preserve"> </w:t>
      </w:r>
      <w:r>
        <w:rPr>
          <w:rFonts w:ascii="FangSong" w:hAnsi="FangSong" w:eastAsia="FangSong" w:cs="FangSong"/>
          <w:sz w:val="24"/>
          <w:szCs w:val="24"/>
          <w:spacing w:val="-12"/>
        </w:rPr>
        <w:t>耗</w:t>
      </w:r>
      <w:r>
        <w:rPr>
          <w:rFonts w:ascii="FangSong" w:hAnsi="FangSong" w:eastAsia="FangSong" w:cs="FangSong"/>
          <w:sz w:val="24"/>
          <w:szCs w:val="24"/>
          <w:spacing w:val="-41"/>
        </w:rPr>
        <w:t xml:space="preserve"> </w:t>
      </w:r>
      <w:r>
        <w:rPr>
          <w:rFonts w:ascii="FangSong" w:hAnsi="FangSong" w:eastAsia="FangSong" w:cs="FangSong"/>
          <w:sz w:val="24"/>
          <w:szCs w:val="24"/>
          <w:spacing w:val="-12"/>
        </w:rPr>
        <w:t>量</w:t>
      </w:r>
      <w:r>
        <w:rPr>
          <w:rFonts w:ascii="FangSong" w:hAnsi="FangSong" w:eastAsia="FangSong" w:cs="FangSong"/>
          <w:sz w:val="24"/>
          <w:szCs w:val="24"/>
          <w:spacing w:val="-46"/>
        </w:rPr>
        <w:t xml:space="preserve"> </w:t>
      </w:r>
      <w:r>
        <w:rPr>
          <w:rFonts w:ascii="FangSong" w:hAnsi="FangSong" w:eastAsia="FangSong" w:cs="FangSong"/>
          <w:sz w:val="24"/>
          <w:szCs w:val="24"/>
          <w:spacing w:val="-12"/>
        </w:rPr>
        <w:t>按</w:t>
      </w:r>
      <w:r>
        <w:rPr>
          <w:rFonts w:ascii="FangSong" w:hAnsi="FangSong" w:eastAsia="FangSong" w:cs="FangSong"/>
          <w:sz w:val="24"/>
          <w:szCs w:val="24"/>
          <w:spacing w:val="-47"/>
        </w:rPr>
        <w:t xml:space="preserve"> </w:t>
      </w:r>
      <w:r>
        <w:rPr>
          <w:rFonts w:ascii="FangSong" w:hAnsi="FangSong" w:eastAsia="FangSong" w:cs="FangSong"/>
          <w:sz w:val="24"/>
          <w:szCs w:val="24"/>
          <w:spacing w:val="-12"/>
        </w:rPr>
        <w:t>用</w:t>
      </w:r>
      <w:r>
        <w:rPr>
          <w:rFonts w:ascii="FangSong" w:hAnsi="FangSong" w:eastAsia="FangSong" w:cs="FangSong"/>
          <w:sz w:val="24"/>
          <w:szCs w:val="24"/>
          <w:spacing w:val="-47"/>
        </w:rPr>
        <w:t xml:space="preserve"> </w:t>
      </w:r>
      <w:r>
        <w:rPr>
          <w:rFonts w:ascii="FangSong" w:hAnsi="FangSong" w:eastAsia="FangSong" w:cs="FangSong"/>
          <w:sz w:val="24"/>
          <w:szCs w:val="24"/>
          <w:spacing w:val="-12"/>
        </w:rPr>
        <w:t>水</w:t>
      </w:r>
      <w:r>
        <w:rPr>
          <w:rFonts w:ascii="FangSong" w:hAnsi="FangSong" w:eastAsia="FangSong" w:cs="FangSong"/>
          <w:sz w:val="24"/>
          <w:szCs w:val="24"/>
          <w:spacing w:val="-43"/>
        </w:rPr>
        <w:t xml:space="preserve"> </w:t>
      </w:r>
      <w:r>
        <w:rPr>
          <w:rFonts w:ascii="FangSong" w:hAnsi="FangSong" w:eastAsia="FangSong" w:cs="FangSong"/>
          <w:sz w:val="24"/>
          <w:szCs w:val="24"/>
          <w:spacing w:val="-12"/>
        </w:rPr>
        <w:t>量</w:t>
      </w:r>
      <w:r>
        <w:rPr>
          <w:rFonts w:ascii="FangSong" w:hAnsi="FangSong" w:eastAsia="FangSong" w:cs="FangSong"/>
          <w:sz w:val="24"/>
          <w:szCs w:val="24"/>
          <w:spacing w:val="-32"/>
        </w:rPr>
        <w:t xml:space="preserve"> </w:t>
      </w:r>
      <w:r>
        <w:rPr>
          <w:rFonts w:ascii="FangSong" w:hAnsi="FangSong" w:eastAsia="FangSong" w:cs="FangSong"/>
          <w:sz w:val="24"/>
          <w:szCs w:val="24"/>
          <w:spacing w:val="-12"/>
        </w:rPr>
        <w:t>的</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45%</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计</w:t>
      </w:r>
      <w:r>
        <w:rPr>
          <w:rFonts w:ascii="FangSong" w:hAnsi="FangSong" w:eastAsia="FangSong" w:cs="FangSong"/>
          <w:sz w:val="24"/>
          <w:szCs w:val="24"/>
          <w:spacing w:val="-46"/>
        </w:rPr>
        <w:t xml:space="preserve"> </w:t>
      </w:r>
      <w:r>
        <w:rPr>
          <w:rFonts w:ascii="FangSong" w:hAnsi="FangSong" w:eastAsia="FangSong" w:cs="FangSong"/>
          <w:sz w:val="24"/>
          <w:szCs w:val="24"/>
          <w:spacing w:val="-12"/>
        </w:rPr>
        <w:t>算</w:t>
      </w:r>
      <w:r>
        <w:rPr>
          <w:rFonts w:ascii="FangSong" w:hAnsi="FangSong" w:eastAsia="FangSong" w:cs="FangSong"/>
          <w:sz w:val="24"/>
          <w:szCs w:val="24"/>
          <w:spacing w:val="-30"/>
        </w:rPr>
        <w:t xml:space="preserve"> </w:t>
      </w:r>
      <w:r>
        <w:rPr>
          <w:rFonts w:ascii="FangSong" w:hAnsi="FangSong" w:eastAsia="FangSong" w:cs="FangSong"/>
          <w:sz w:val="24"/>
          <w:szCs w:val="24"/>
          <w:spacing w:val="-12"/>
        </w:rPr>
        <w:t>，</w:t>
      </w:r>
      <w:r>
        <w:rPr>
          <w:rFonts w:ascii="FangSong" w:hAnsi="FangSong" w:eastAsia="FangSong" w:cs="FangSong"/>
          <w:sz w:val="24"/>
          <w:szCs w:val="24"/>
          <w:spacing w:val="-46"/>
        </w:rPr>
        <w:t xml:space="preserve"> </w:t>
      </w:r>
      <w:r>
        <w:rPr>
          <w:rFonts w:ascii="FangSong" w:hAnsi="FangSong" w:eastAsia="FangSong" w:cs="FangSong"/>
          <w:sz w:val="24"/>
          <w:szCs w:val="24"/>
          <w:spacing w:val="-12"/>
        </w:rPr>
        <w:t>损</w:t>
      </w:r>
      <w:r>
        <w:rPr>
          <w:rFonts w:ascii="FangSong" w:hAnsi="FangSong" w:eastAsia="FangSong" w:cs="FangSong"/>
          <w:sz w:val="24"/>
          <w:szCs w:val="24"/>
          <w:spacing w:val="-46"/>
        </w:rPr>
        <w:t xml:space="preserve"> </w:t>
      </w:r>
      <w:r>
        <w:rPr>
          <w:rFonts w:ascii="FangSong" w:hAnsi="FangSong" w:eastAsia="FangSong" w:cs="FangSong"/>
          <w:sz w:val="24"/>
          <w:szCs w:val="24"/>
          <w:spacing w:val="-12"/>
        </w:rPr>
        <w:t>耗</w:t>
      </w:r>
      <w:r>
        <w:rPr>
          <w:rFonts w:ascii="FangSong" w:hAnsi="FangSong" w:eastAsia="FangSong" w:cs="FangSong"/>
          <w:sz w:val="24"/>
          <w:szCs w:val="24"/>
          <w:spacing w:val="-47"/>
        </w:rPr>
        <w:t xml:space="preserve"> </w:t>
      </w:r>
      <w:r>
        <w:rPr>
          <w:rFonts w:ascii="FangSong" w:hAnsi="FangSong" w:eastAsia="FangSong" w:cs="FangSong"/>
          <w:sz w:val="24"/>
          <w:szCs w:val="24"/>
          <w:spacing w:val="-12"/>
        </w:rPr>
        <w:t>水</w:t>
      </w:r>
      <w:r>
        <w:rPr>
          <w:rFonts w:ascii="FangSong" w:hAnsi="FangSong" w:eastAsia="FangSong" w:cs="FangSong"/>
          <w:sz w:val="24"/>
          <w:szCs w:val="24"/>
          <w:spacing w:val="-43"/>
        </w:rPr>
        <w:t xml:space="preserve"> </w:t>
      </w:r>
      <w:r>
        <w:rPr>
          <w:rFonts w:ascii="FangSong" w:hAnsi="FangSong" w:eastAsia="FangSong" w:cs="FangSong"/>
          <w:sz w:val="24"/>
          <w:szCs w:val="24"/>
          <w:spacing w:val="-12"/>
        </w:rPr>
        <w:t>量</w:t>
      </w:r>
      <w:r>
        <w:rPr>
          <w:rFonts w:ascii="FangSong" w:hAnsi="FangSong" w:eastAsia="FangSong" w:cs="FangSong"/>
          <w:sz w:val="24"/>
          <w:szCs w:val="24"/>
          <w:spacing w:val="-44"/>
        </w:rPr>
        <w:t xml:space="preserve"> </w:t>
      </w:r>
      <w:r>
        <w:rPr>
          <w:rFonts w:ascii="FangSong" w:hAnsi="FangSong" w:eastAsia="FangSong" w:cs="FangSong"/>
          <w:sz w:val="24"/>
          <w:szCs w:val="24"/>
          <w:spacing w:val="-12"/>
        </w:rPr>
        <w:t>约</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420.</w:t>
      </w:r>
      <w:r>
        <w:rPr>
          <w:rFonts w:ascii="Times New Roman" w:hAnsi="Times New Roman" w:eastAsia="Times New Roman" w:cs="Times New Roman"/>
          <w:sz w:val="24"/>
          <w:szCs w:val="24"/>
          <w:spacing w:val="-13"/>
        </w:rPr>
        <w:t>577m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126173.</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2"/>
        </w:rPr>
        <w:t>10m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）。则计算得选矿工艺废水产生量约</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411.263m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123378.9m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/a</w:t>
      </w:r>
      <w:r>
        <w:rPr>
          <w:rFonts w:ascii="FangSong" w:hAnsi="FangSong" w:eastAsia="FangSong" w:cs="FangSong"/>
          <w:sz w:val="24"/>
          <w:szCs w:val="24"/>
          <w:spacing w:val="-31"/>
        </w:rPr>
        <w:t>），</w:t>
      </w:r>
      <w:r>
        <w:rPr>
          <w:rFonts w:ascii="FangSong" w:hAnsi="FangSong" w:eastAsia="FangSong" w:cs="FangSong"/>
          <w:sz w:val="24"/>
          <w:szCs w:val="24"/>
          <w:spacing w:val="-1"/>
        </w:rPr>
        <w:t>废水进入地表高位水池处理后回用于选矿用水，不外排。</w:t>
      </w:r>
    </w:p>
    <w:p>
      <w:pPr>
        <w:ind w:left="114"/>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4.10.1.3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3"/>
        </w:rPr>
        <w:t>水平衡</w:t>
      </w:r>
    </w:p>
    <w:p>
      <w:pPr>
        <w:ind w:left="605"/>
        <w:spacing w:before="179" w:line="222" w:lineRule="auto"/>
        <w:rPr>
          <w:rFonts w:ascii="FangSong" w:hAnsi="FangSong" w:eastAsia="FangSong" w:cs="FangSong"/>
          <w:sz w:val="24"/>
          <w:szCs w:val="24"/>
        </w:rPr>
      </w:pPr>
      <w:r>
        <w:rPr>
          <w:rFonts w:ascii="FangSong" w:hAnsi="FangSong" w:eastAsia="FangSong" w:cs="FangSong"/>
          <w:sz w:val="24"/>
          <w:szCs w:val="24"/>
          <w:spacing w:val="-2"/>
        </w:rPr>
        <w:t>本项目运营期水平衡见表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4.10-1</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，水平衡图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4.10-</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ind w:left="2507"/>
        <w:spacing w:before="177"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4.10-1  </w:t>
      </w:r>
      <w:r>
        <w:rPr>
          <w:rFonts w:ascii="FangSong" w:hAnsi="FangSong" w:eastAsia="FangSong" w:cs="FangSong"/>
          <w:sz w:val="24"/>
          <w:szCs w:val="24"/>
          <w:b/>
          <w:bCs/>
          <w:spacing w:val="-3"/>
        </w:rPr>
        <w:t>本项目运营期水平衡一览表</w:t>
      </w:r>
    </w:p>
    <w:p>
      <w:pPr>
        <w:spacing w:line="145"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9"/>
        <w:gridCol w:w="667"/>
        <w:gridCol w:w="1109"/>
        <w:gridCol w:w="1164"/>
        <w:gridCol w:w="1103"/>
        <w:gridCol w:w="1164"/>
        <w:gridCol w:w="1115"/>
        <w:gridCol w:w="1078"/>
        <w:gridCol w:w="1073"/>
      </w:tblGrid>
      <w:tr>
        <w:trPr>
          <w:trHeight w:val="267" w:hRule="atLeast"/>
        </w:trPr>
        <w:tc>
          <w:tcPr>
            <w:tcW w:w="439" w:type="dxa"/>
            <w:vAlign w:val="top"/>
            <w:vMerge w:val="restart"/>
            <w:textDirection w:val="tbRlV"/>
            <w:tcBorders>
              <w:left w:val="nil"/>
              <w:top w:val="single" w:color="000000" w:sz="10" w:space="0"/>
              <w:bottom w:val="nil"/>
            </w:tcBorders>
          </w:tcPr>
          <w:p>
            <w:pPr>
              <w:pStyle w:val="TableText"/>
              <w:ind w:left="169"/>
              <w:spacing w:before="118" w:line="210" w:lineRule="auto"/>
              <w:rPr>
                <w:sz w:val="19"/>
                <w:szCs w:val="19"/>
              </w:rPr>
            </w:pPr>
            <w:r>
              <w:rPr>
                <w:sz w:val="19"/>
                <w:szCs w:val="19"/>
                <w:spacing w:val="13"/>
              </w:rPr>
              <w:t>序</w:t>
            </w:r>
            <w:r>
              <w:rPr>
                <w:sz w:val="19"/>
                <w:szCs w:val="19"/>
                <w:spacing w:val="-40"/>
              </w:rPr>
              <w:t xml:space="preserve"> </w:t>
            </w:r>
            <w:r>
              <w:rPr>
                <w:sz w:val="19"/>
                <w:szCs w:val="19"/>
                <w:spacing w:val="13"/>
              </w:rPr>
              <w:t>号</w:t>
            </w:r>
          </w:p>
        </w:tc>
        <w:tc>
          <w:tcPr>
            <w:tcW w:w="1776" w:type="dxa"/>
            <w:vAlign w:val="top"/>
            <w:gridSpan w:val="2"/>
            <w:vMerge w:val="restart"/>
            <w:tcBorders>
              <w:top w:val="single" w:color="000000" w:sz="10" w:space="0"/>
              <w:bottom w:val="nil"/>
            </w:tcBorders>
          </w:tcPr>
          <w:p>
            <w:pPr>
              <w:pStyle w:val="TableText"/>
              <w:ind w:left="698"/>
              <w:spacing w:before="299" w:line="233" w:lineRule="auto"/>
              <w:rPr>
                <w:sz w:val="19"/>
                <w:szCs w:val="19"/>
              </w:rPr>
            </w:pPr>
            <w:r>
              <w:rPr>
                <w:sz w:val="19"/>
                <w:szCs w:val="19"/>
                <w:spacing w:val="2"/>
              </w:rPr>
              <w:t>项目</w:t>
            </w:r>
          </w:p>
        </w:tc>
        <w:tc>
          <w:tcPr>
            <w:tcW w:w="2267" w:type="dxa"/>
            <w:vAlign w:val="top"/>
            <w:gridSpan w:val="2"/>
            <w:tcBorders>
              <w:top w:val="single" w:color="000000" w:sz="10" w:space="0"/>
            </w:tcBorders>
          </w:tcPr>
          <w:p>
            <w:pPr>
              <w:pStyle w:val="TableText"/>
              <w:ind w:left="844"/>
              <w:spacing w:before="35" w:line="215" w:lineRule="auto"/>
              <w:rPr>
                <w:sz w:val="19"/>
                <w:szCs w:val="19"/>
              </w:rPr>
            </w:pPr>
            <w:r>
              <w:rPr>
                <w:sz w:val="19"/>
                <w:szCs w:val="19"/>
                <w:spacing w:val="5"/>
              </w:rPr>
              <w:t>用水量</w:t>
            </w:r>
          </w:p>
        </w:tc>
        <w:tc>
          <w:tcPr>
            <w:tcW w:w="2279" w:type="dxa"/>
            <w:vAlign w:val="top"/>
            <w:gridSpan w:val="2"/>
            <w:tcBorders>
              <w:top w:val="single" w:color="000000" w:sz="10" w:space="0"/>
            </w:tcBorders>
          </w:tcPr>
          <w:p>
            <w:pPr>
              <w:pStyle w:val="TableText"/>
              <w:ind w:left="847"/>
              <w:spacing w:before="35" w:line="215" w:lineRule="auto"/>
              <w:rPr>
                <w:sz w:val="19"/>
                <w:szCs w:val="19"/>
              </w:rPr>
            </w:pPr>
            <w:r>
              <w:rPr>
                <w:sz w:val="19"/>
                <w:szCs w:val="19"/>
                <w:spacing w:val="6"/>
              </w:rPr>
              <w:t>排放量</w:t>
            </w:r>
          </w:p>
        </w:tc>
        <w:tc>
          <w:tcPr>
            <w:tcW w:w="2151" w:type="dxa"/>
            <w:vAlign w:val="top"/>
            <w:gridSpan w:val="2"/>
            <w:tcBorders>
              <w:right w:val="nil"/>
              <w:top w:val="single" w:color="000000" w:sz="10" w:space="0"/>
            </w:tcBorders>
          </w:tcPr>
          <w:p>
            <w:pPr>
              <w:pStyle w:val="TableText"/>
              <w:ind w:left="786"/>
              <w:spacing w:before="35" w:line="215" w:lineRule="auto"/>
              <w:rPr>
                <w:sz w:val="19"/>
                <w:szCs w:val="19"/>
              </w:rPr>
            </w:pPr>
            <w:r>
              <w:rPr>
                <w:sz w:val="19"/>
                <w:szCs w:val="19"/>
                <w:spacing w:val="5"/>
              </w:rPr>
              <w:t>损耗量</w:t>
            </w:r>
          </w:p>
        </w:tc>
      </w:tr>
      <w:tr>
        <w:trPr>
          <w:trHeight w:val="521" w:hRule="atLeast"/>
        </w:trPr>
        <w:tc>
          <w:tcPr>
            <w:tcW w:w="439" w:type="dxa"/>
            <w:vAlign w:val="top"/>
            <w:vMerge w:val="continue"/>
            <w:textDirection w:val="tbRlV"/>
            <w:tcBorders>
              <w:left w:val="nil"/>
              <w:top w:val="nil"/>
            </w:tcBorders>
          </w:tcPr>
          <w:p>
            <w:pPr>
              <w:rPr>
                <w:rFonts w:ascii="Arial"/>
                <w:sz w:val="21"/>
              </w:rPr>
            </w:pPr>
            <w:r/>
          </w:p>
        </w:tc>
        <w:tc>
          <w:tcPr>
            <w:tcW w:w="1776" w:type="dxa"/>
            <w:vAlign w:val="top"/>
            <w:gridSpan w:val="2"/>
            <w:vMerge w:val="continue"/>
            <w:tcBorders>
              <w:top w:val="nil"/>
            </w:tcBorders>
          </w:tcPr>
          <w:p>
            <w:pPr>
              <w:rPr>
                <w:rFonts w:ascii="Arial"/>
                <w:sz w:val="21"/>
              </w:rPr>
            </w:pPr>
            <w:r/>
          </w:p>
        </w:tc>
        <w:tc>
          <w:tcPr>
            <w:tcW w:w="1164" w:type="dxa"/>
            <w:vAlign w:val="top"/>
          </w:tcPr>
          <w:p>
            <w:pPr>
              <w:pStyle w:val="TableText"/>
              <w:ind w:left="207" w:right="181" w:firstLine="25"/>
              <w:spacing w:before="31" w:line="233" w:lineRule="auto"/>
              <w:rPr>
                <w:sz w:val="19"/>
                <w:szCs w:val="19"/>
              </w:rPr>
            </w:pPr>
            <w:r>
              <w:rPr>
                <w:sz w:val="19"/>
                <w:szCs w:val="19"/>
                <w:spacing w:val="-5"/>
              </w:rPr>
              <w:t>日用水量</w:t>
            </w:r>
            <w:r>
              <w:rPr>
                <w:sz w:val="19"/>
                <w:szCs w:val="19"/>
                <w:spacing w:val="1"/>
              </w:rPr>
              <w:t>（</w:t>
            </w:r>
            <w:r>
              <w:rPr>
                <w:rFonts w:ascii="Times New Roman" w:hAnsi="Times New Roman" w:eastAsia="Times New Roman" w:cs="Times New Roman"/>
                <w:sz w:val="19"/>
                <w:szCs w:val="19"/>
                <w:spacing w:val="1"/>
              </w:rPr>
              <w:t>m</w:t>
            </w:r>
            <w:r>
              <w:rPr>
                <w:rFonts w:ascii="Times New Roman" w:hAnsi="Times New Roman" w:eastAsia="Times New Roman" w:cs="Times New Roman"/>
                <w:sz w:val="12"/>
                <w:szCs w:val="12"/>
                <w:spacing w:val="1"/>
                <w:position w:val="6"/>
              </w:rPr>
              <w:t>3</w:t>
            </w:r>
            <w:r>
              <w:rPr>
                <w:rFonts w:ascii="Times New Roman" w:hAnsi="Times New Roman" w:eastAsia="Times New Roman" w:cs="Times New Roman"/>
                <w:sz w:val="19"/>
                <w:szCs w:val="19"/>
                <w:spacing w:val="1"/>
              </w:rPr>
              <w:t>/d</w:t>
            </w:r>
            <w:r>
              <w:rPr>
                <w:sz w:val="19"/>
                <w:szCs w:val="19"/>
                <w:spacing w:val="1"/>
              </w:rPr>
              <w:t>）</w:t>
            </w:r>
          </w:p>
        </w:tc>
        <w:tc>
          <w:tcPr>
            <w:tcW w:w="1103" w:type="dxa"/>
            <w:vAlign w:val="top"/>
          </w:tcPr>
          <w:p>
            <w:pPr>
              <w:pStyle w:val="TableText"/>
              <w:ind w:left="183" w:right="149" w:hanging="17"/>
              <w:spacing w:before="31" w:line="233" w:lineRule="auto"/>
              <w:rPr>
                <w:sz w:val="19"/>
                <w:szCs w:val="19"/>
              </w:rPr>
            </w:pPr>
            <w:r>
              <w:rPr>
                <w:sz w:val="19"/>
                <w:szCs w:val="19"/>
                <w:spacing w:val="5"/>
              </w:rPr>
              <w:t>年用水量</w:t>
            </w:r>
            <w:r>
              <w:rPr>
                <w:sz w:val="19"/>
                <w:szCs w:val="19"/>
                <w:spacing w:val="1"/>
              </w:rPr>
              <w:t>（</w:t>
            </w:r>
            <w:r>
              <w:rPr>
                <w:rFonts w:ascii="Times New Roman" w:hAnsi="Times New Roman" w:eastAsia="Times New Roman" w:cs="Times New Roman"/>
                <w:sz w:val="19"/>
                <w:szCs w:val="19"/>
                <w:spacing w:val="1"/>
              </w:rPr>
              <w:t>m</w:t>
            </w:r>
            <w:r>
              <w:rPr>
                <w:rFonts w:ascii="Times New Roman" w:hAnsi="Times New Roman" w:eastAsia="Times New Roman" w:cs="Times New Roman"/>
                <w:sz w:val="12"/>
                <w:szCs w:val="12"/>
                <w:spacing w:val="1"/>
                <w:position w:val="6"/>
              </w:rPr>
              <w:t>3</w:t>
            </w:r>
            <w:r>
              <w:rPr>
                <w:rFonts w:ascii="Times New Roman" w:hAnsi="Times New Roman" w:eastAsia="Times New Roman" w:cs="Times New Roman"/>
                <w:sz w:val="19"/>
                <w:szCs w:val="19"/>
                <w:spacing w:val="1"/>
              </w:rPr>
              <w:t>/a</w:t>
            </w:r>
            <w:r>
              <w:rPr>
                <w:sz w:val="19"/>
                <w:szCs w:val="19"/>
                <w:spacing w:val="1"/>
              </w:rPr>
              <w:t>）</w:t>
            </w:r>
          </w:p>
        </w:tc>
        <w:tc>
          <w:tcPr>
            <w:tcW w:w="1164" w:type="dxa"/>
            <w:vAlign w:val="top"/>
          </w:tcPr>
          <w:p>
            <w:pPr>
              <w:pStyle w:val="TableText"/>
              <w:ind w:left="208" w:right="180" w:firstLine="25"/>
              <w:spacing w:before="31" w:line="233" w:lineRule="auto"/>
              <w:rPr>
                <w:sz w:val="19"/>
                <w:szCs w:val="19"/>
              </w:rPr>
            </w:pPr>
            <w:r>
              <w:rPr>
                <w:sz w:val="19"/>
                <w:szCs w:val="19"/>
                <w:spacing w:val="-5"/>
              </w:rPr>
              <w:t>日排放量</w:t>
            </w:r>
            <w:r>
              <w:rPr>
                <w:sz w:val="19"/>
                <w:szCs w:val="19"/>
                <w:spacing w:val="1"/>
              </w:rPr>
              <w:t>（</w:t>
            </w:r>
            <w:r>
              <w:rPr>
                <w:rFonts w:ascii="Times New Roman" w:hAnsi="Times New Roman" w:eastAsia="Times New Roman" w:cs="Times New Roman"/>
                <w:sz w:val="19"/>
                <w:szCs w:val="19"/>
                <w:spacing w:val="1"/>
              </w:rPr>
              <w:t>m</w:t>
            </w:r>
            <w:r>
              <w:rPr>
                <w:rFonts w:ascii="Times New Roman" w:hAnsi="Times New Roman" w:eastAsia="Times New Roman" w:cs="Times New Roman"/>
                <w:sz w:val="12"/>
                <w:szCs w:val="12"/>
                <w:spacing w:val="1"/>
                <w:position w:val="6"/>
              </w:rPr>
              <w:t>3</w:t>
            </w:r>
            <w:r>
              <w:rPr>
                <w:rFonts w:ascii="Times New Roman" w:hAnsi="Times New Roman" w:eastAsia="Times New Roman" w:cs="Times New Roman"/>
                <w:sz w:val="19"/>
                <w:szCs w:val="19"/>
                <w:spacing w:val="1"/>
              </w:rPr>
              <w:t>/d</w:t>
            </w:r>
            <w:r>
              <w:rPr>
                <w:sz w:val="19"/>
                <w:szCs w:val="19"/>
                <w:spacing w:val="1"/>
              </w:rPr>
              <w:t>）</w:t>
            </w:r>
          </w:p>
        </w:tc>
        <w:tc>
          <w:tcPr>
            <w:tcW w:w="1115" w:type="dxa"/>
            <w:vAlign w:val="top"/>
          </w:tcPr>
          <w:p>
            <w:pPr>
              <w:pStyle w:val="TableText"/>
              <w:ind w:left="189" w:right="155" w:hanging="17"/>
              <w:spacing w:before="31" w:line="233" w:lineRule="auto"/>
              <w:rPr>
                <w:sz w:val="19"/>
                <w:szCs w:val="19"/>
              </w:rPr>
            </w:pPr>
            <w:r>
              <w:rPr>
                <w:sz w:val="19"/>
                <w:szCs w:val="19"/>
                <w:spacing w:val="5"/>
              </w:rPr>
              <w:t>年排放量</w:t>
            </w:r>
            <w:r>
              <w:rPr>
                <w:sz w:val="19"/>
                <w:szCs w:val="19"/>
                <w:spacing w:val="1"/>
              </w:rPr>
              <w:t>（</w:t>
            </w:r>
            <w:r>
              <w:rPr>
                <w:rFonts w:ascii="Times New Roman" w:hAnsi="Times New Roman" w:eastAsia="Times New Roman" w:cs="Times New Roman"/>
                <w:sz w:val="19"/>
                <w:szCs w:val="19"/>
                <w:spacing w:val="1"/>
              </w:rPr>
              <w:t>m</w:t>
            </w:r>
            <w:r>
              <w:rPr>
                <w:rFonts w:ascii="Times New Roman" w:hAnsi="Times New Roman" w:eastAsia="Times New Roman" w:cs="Times New Roman"/>
                <w:sz w:val="12"/>
                <w:szCs w:val="12"/>
                <w:spacing w:val="1"/>
                <w:position w:val="6"/>
              </w:rPr>
              <w:t>3</w:t>
            </w:r>
            <w:r>
              <w:rPr>
                <w:rFonts w:ascii="Times New Roman" w:hAnsi="Times New Roman" w:eastAsia="Times New Roman" w:cs="Times New Roman"/>
                <w:sz w:val="19"/>
                <w:szCs w:val="19"/>
                <w:spacing w:val="1"/>
              </w:rPr>
              <w:t>/a</w:t>
            </w:r>
            <w:r>
              <w:rPr>
                <w:sz w:val="19"/>
                <w:szCs w:val="19"/>
                <w:spacing w:val="1"/>
              </w:rPr>
              <w:t>）</w:t>
            </w:r>
          </w:p>
        </w:tc>
        <w:tc>
          <w:tcPr>
            <w:tcW w:w="1078" w:type="dxa"/>
            <w:vAlign w:val="top"/>
          </w:tcPr>
          <w:p>
            <w:pPr>
              <w:pStyle w:val="TableText"/>
              <w:ind w:left="166" w:right="136" w:firstLine="25"/>
              <w:spacing w:before="31" w:line="233" w:lineRule="auto"/>
              <w:rPr>
                <w:sz w:val="19"/>
                <w:szCs w:val="19"/>
              </w:rPr>
            </w:pPr>
            <w:r>
              <w:rPr>
                <w:sz w:val="19"/>
                <w:szCs w:val="19"/>
                <w:spacing w:val="-5"/>
              </w:rPr>
              <w:t>日损耗量</w:t>
            </w:r>
            <w:r>
              <w:rPr>
                <w:sz w:val="19"/>
                <w:szCs w:val="19"/>
                <w:spacing w:val="1"/>
              </w:rPr>
              <w:t>（</w:t>
            </w:r>
            <w:r>
              <w:rPr>
                <w:rFonts w:ascii="Times New Roman" w:hAnsi="Times New Roman" w:eastAsia="Times New Roman" w:cs="Times New Roman"/>
                <w:sz w:val="19"/>
                <w:szCs w:val="19"/>
                <w:spacing w:val="1"/>
              </w:rPr>
              <w:t>m</w:t>
            </w:r>
            <w:r>
              <w:rPr>
                <w:rFonts w:ascii="Times New Roman" w:hAnsi="Times New Roman" w:eastAsia="Times New Roman" w:cs="Times New Roman"/>
                <w:sz w:val="12"/>
                <w:szCs w:val="12"/>
                <w:spacing w:val="1"/>
                <w:position w:val="6"/>
              </w:rPr>
              <w:t>3</w:t>
            </w:r>
            <w:r>
              <w:rPr>
                <w:rFonts w:ascii="Times New Roman" w:hAnsi="Times New Roman" w:eastAsia="Times New Roman" w:cs="Times New Roman"/>
                <w:sz w:val="19"/>
                <w:szCs w:val="19"/>
                <w:spacing w:val="1"/>
              </w:rPr>
              <w:t>/d</w:t>
            </w:r>
            <w:r>
              <w:rPr>
                <w:sz w:val="19"/>
                <w:szCs w:val="19"/>
                <w:spacing w:val="1"/>
              </w:rPr>
              <w:t>）</w:t>
            </w:r>
          </w:p>
        </w:tc>
        <w:tc>
          <w:tcPr>
            <w:tcW w:w="1073" w:type="dxa"/>
            <w:vAlign w:val="top"/>
            <w:tcBorders>
              <w:right w:val="nil"/>
            </w:tcBorders>
          </w:tcPr>
          <w:p>
            <w:pPr>
              <w:pStyle w:val="TableText"/>
              <w:ind w:left="170" w:right="137" w:hanging="19"/>
              <w:spacing w:before="31" w:line="233" w:lineRule="auto"/>
              <w:rPr>
                <w:sz w:val="19"/>
                <w:szCs w:val="19"/>
              </w:rPr>
            </w:pPr>
            <w:r>
              <w:rPr>
                <w:sz w:val="19"/>
                <w:szCs w:val="19"/>
                <w:spacing w:val="5"/>
              </w:rPr>
              <w:t>年损耗量</w:t>
            </w:r>
            <w:r>
              <w:rPr>
                <w:sz w:val="19"/>
                <w:szCs w:val="19"/>
                <w:spacing w:val="1"/>
              </w:rPr>
              <w:t>（</w:t>
            </w:r>
            <w:r>
              <w:rPr>
                <w:rFonts w:ascii="Times New Roman" w:hAnsi="Times New Roman" w:eastAsia="Times New Roman" w:cs="Times New Roman"/>
                <w:sz w:val="19"/>
                <w:szCs w:val="19"/>
                <w:spacing w:val="1"/>
              </w:rPr>
              <w:t>m</w:t>
            </w:r>
            <w:r>
              <w:rPr>
                <w:rFonts w:ascii="Times New Roman" w:hAnsi="Times New Roman" w:eastAsia="Times New Roman" w:cs="Times New Roman"/>
                <w:sz w:val="12"/>
                <w:szCs w:val="12"/>
                <w:spacing w:val="1"/>
                <w:position w:val="6"/>
              </w:rPr>
              <w:t>3</w:t>
            </w:r>
            <w:r>
              <w:rPr>
                <w:rFonts w:ascii="Times New Roman" w:hAnsi="Times New Roman" w:eastAsia="Times New Roman" w:cs="Times New Roman"/>
                <w:sz w:val="19"/>
                <w:szCs w:val="19"/>
                <w:spacing w:val="1"/>
              </w:rPr>
              <w:t>/a</w:t>
            </w:r>
            <w:r>
              <w:rPr>
                <w:sz w:val="19"/>
                <w:szCs w:val="19"/>
                <w:spacing w:val="1"/>
              </w:rPr>
              <w:t>）</w:t>
            </w:r>
          </w:p>
        </w:tc>
      </w:tr>
      <w:tr>
        <w:trPr>
          <w:trHeight w:val="263" w:hRule="atLeast"/>
        </w:trPr>
        <w:tc>
          <w:tcPr>
            <w:tcW w:w="439" w:type="dxa"/>
            <w:vAlign w:val="top"/>
            <w:tcBorders>
              <w:left w:val="nil"/>
            </w:tcBorders>
          </w:tcPr>
          <w:p>
            <w:pPr>
              <w:ind w:left="191"/>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667" w:type="dxa"/>
            <w:vAlign w:val="top"/>
            <w:vMerge w:val="restart"/>
            <w:tcBorders>
              <w:bottom w:val="nil"/>
            </w:tcBorders>
          </w:tcPr>
          <w:p>
            <w:pPr>
              <w:pStyle w:val="TableText"/>
              <w:ind w:left="155"/>
              <w:spacing w:before="38" w:line="233" w:lineRule="auto"/>
              <w:rPr>
                <w:sz w:val="19"/>
                <w:szCs w:val="19"/>
              </w:rPr>
            </w:pPr>
            <w:r>
              <w:rPr>
                <w:sz w:val="19"/>
                <w:szCs w:val="19"/>
                <w:spacing w:val="-4"/>
              </w:rPr>
              <w:t>生活</w:t>
            </w:r>
          </w:p>
          <w:p>
            <w:pPr>
              <w:pStyle w:val="TableText"/>
              <w:ind w:left="143"/>
              <w:spacing w:before="20" w:line="216" w:lineRule="auto"/>
              <w:rPr>
                <w:sz w:val="19"/>
                <w:szCs w:val="19"/>
              </w:rPr>
            </w:pPr>
            <w:r>
              <w:rPr>
                <w:sz w:val="19"/>
                <w:szCs w:val="19"/>
                <w:spacing w:val="2"/>
              </w:rPr>
              <w:t>用水</w:t>
            </w:r>
          </w:p>
        </w:tc>
        <w:tc>
          <w:tcPr>
            <w:tcW w:w="1109" w:type="dxa"/>
            <w:vAlign w:val="top"/>
          </w:tcPr>
          <w:p>
            <w:pPr>
              <w:pStyle w:val="TableText"/>
              <w:ind w:left="176"/>
              <w:spacing w:before="33" w:line="213" w:lineRule="auto"/>
              <w:rPr>
                <w:sz w:val="19"/>
                <w:szCs w:val="19"/>
              </w:rPr>
            </w:pPr>
            <w:r>
              <w:rPr>
                <w:sz w:val="19"/>
                <w:szCs w:val="19"/>
                <w:spacing w:val="3"/>
              </w:rPr>
              <w:t>生活用水</w:t>
            </w:r>
          </w:p>
        </w:tc>
        <w:tc>
          <w:tcPr>
            <w:tcW w:w="1164" w:type="dxa"/>
            <w:vAlign w:val="top"/>
          </w:tcPr>
          <w:p>
            <w:pPr>
              <w:ind w:left="365"/>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8.040</w:t>
            </w:r>
          </w:p>
        </w:tc>
        <w:tc>
          <w:tcPr>
            <w:tcW w:w="1103" w:type="dxa"/>
            <w:vAlign w:val="top"/>
          </w:tcPr>
          <w:p>
            <w:pPr>
              <w:ind w:left="228"/>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2412.00</w:t>
            </w:r>
          </w:p>
        </w:tc>
        <w:tc>
          <w:tcPr>
            <w:tcW w:w="1164" w:type="dxa"/>
            <w:vAlign w:val="top"/>
          </w:tcPr>
          <w:p>
            <w:pPr>
              <w:ind w:left="363"/>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6.432</w:t>
            </w:r>
          </w:p>
        </w:tc>
        <w:tc>
          <w:tcPr>
            <w:tcW w:w="1115" w:type="dxa"/>
            <w:vAlign w:val="top"/>
          </w:tcPr>
          <w:p>
            <w:pPr>
              <w:ind w:left="252"/>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1929.60</w:t>
            </w:r>
          </w:p>
        </w:tc>
        <w:tc>
          <w:tcPr>
            <w:tcW w:w="1078" w:type="dxa"/>
            <w:vAlign w:val="top"/>
          </w:tcPr>
          <w:p>
            <w:pPr>
              <w:ind w:left="335"/>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1.608</w:t>
            </w:r>
          </w:p>
        </w:tc>
        <w:tc>
          <w:tcPr>
            <w:tcW w:w="1073" w:type="dxa"/>
            <w:vAlign w:val="top"/>
            <w:tcBorders>
              <w:right w:val="nil"/>
            </w:tcBorders>
          </w:tcPr>
          <w:p>
            <w:pPr>
              <w:ind w:left="262"/>
              <w:spacing w:before="6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482.40</w:t>
            </w:r>
          </w:p>
        </w:tc>
      </w:tr>
      <w:tr>
        <w:trPr>
          <w:trHeight w:val="263" w:hRule="atLeast"/>
        </w:trPr>
        <w:tc>
          <w:tcPr>
            <w:tcW w:w="439" w:type="dxa"/>
            <w:vAlign w:val="top"/>
            <w:tcBorders>
              <w:left w:val="nil"/>
            </w:tcBorders>
          </w:tcPr>
          <w:p>
            <w:pPr>
              <w:ind w:left="172"/>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667" w:type="dxa"/>
            <w:vAlign w:val="top"/>
            <w:vMerge w:val="continue"/>
            <w:tcBorders>
              <w:top w:val="nil"/>
            </w:tcBorders>
          </w:tcPr>
          <w:p>
            <w:pPr>
              <w:rPr>
                <w:rFonts w:ascii="Arial"/>
                <w:sz w:val="21"/>
              </w:rPr>
            </w:pPr>
            <w:r/>
          </w:p>
        </w:tc>
        <w:tc>
          <w:tcPr>
            <w:tcW w:w="1109" w:type="dxa"/>
            <w:vAlign w:val="top"/>
          </w:tcPr>
          <w:p>
            <w:pPr>
              <w:pStyle w:val="TableText"/>
              <w:ind w:left="165"/>
              <w:spacing w:before="37" w:line="209" w:lineRule="auto"/>
              <w:rPr>
                <w:sz w:val="19"/>
                <w:szCs w:val="19"/>
              </w:rPr>
            </w:pPr>
            <w:r>
              <w:rPr>
                <w:sz w:val="19"/>
                <w:szCs w:val="19"/>
                <w:spacing w:val="6"/>
              </w:rPr>
              <w:t>食堂用水</w:t>
            </w:r>
          </w:p>
        </w:tc>
        <w:tc>
          <w:tcPr>
            <w:tcW w:w="1164" w:type="dxa"/>
            <w:vAlign w:val="top"/>
          </w:tcPr>
          <w:p>
            <w:pPr>
              <w:ind w:left="361"/>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9.246</w:t>
            </w:r>
          </w:p>
        </w:tc>
        <w:tc>
          <w:tcPr>
            <w:tcW w:w="1103" w:type="dxa"/>
            <w:vAlign w:val="top"/>
          </w:tcPr>
          <w:p>
            <w:pPr>
              <w:ind w:left="228"/>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2773.80</w:t>
            </w:r>
          </w:p>
        </w:tc>
        <w:tc>
          <w:tcPr>
            <w:tcW w:w="1164" w:type="dxa"/>
            <w:vAlign w:val="top"/>
          </w:tcPr>
          <w:p>
            <w:pPr>
              <w:ind w:left="361"/>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7.397</w:t>
            </w:r>
          </w:p>
        </w:tc>
        <w:tc>
          <w:tcPr>
            <w:tcW w:w="1115" w:type="dxa"/>
            <w:vAlign w:val="top"/>
          </w:tcPr>
          <w:p>
            <w:pPr>
              <w:ind w:left="233"/>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2219.04</w:t>
            </w:r>
          </w:p>
        </w:tc>
        <w:tc>
          <w:tcPr>
            <w:tcW w:w="1078" w:type="dxa"/>
            <w:vAlign w:val="top"/>
          </w:tcPr>
          <w:p>
            <w:pPr>
              <w:ind w:left="335"/>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1.849</w:t>
            </w:r>
          </w:p>
        </w:tc>
        <w:tc>
          <w:tcPr>
            <w:tcW w:w="1073" w:type="dxa"/>
            <w:vAlign w:val="top"/>
            <w:tcBorders>
              <w:right w:val="nil"/>
            </w:tcBorders>
          </w:tcPr>
          <w:p>
            <w:pPr>
              <w:ind w:left="268"/>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554.76</w:t>
            </w:r>
          </w:p>
        </w:tc>
      </w:tr>
      <w:tr>
        <w:trPr>
          <w:trHeight w:val="521" w:hRule="atLeast"/>
        </w:trPr>
        <w:tc>
          <w:tcPr>
            <w:tcW w:w="439" w:type="dxa"/>
            <w:vAlign w:val="top"/>
            <w:tcBorders>
              <w:left w:val="nil"/>
            </w:tcBorders>
          </w:tcPr>
          <w:p>
            <w:pPr>
              <w:ind w:left="176"/>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667"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43" w:right="133" w:firstLine="11"/>
              <w:spacing w:before="62" w:line="250" w:lineRule="auto"/>
              <w:rPr>
                <w:sz w:val="19"/>
                <w:szCs w:val="19"/>
              </w:rPr>
            </w:pPr>
            <w:r>
              <w:rPr>
                <w:sz w:val="19"/>
                <w:szCs w:val="19"/>
                <w:spacing w:val="-4"/>
              </w:rPr>
              <w:t>生产</w:t>
            </w:r>
            <w:r>
              <w:rPr>
                <w:sz w:val="19"/>
                <w:szCs w:val="19"/>
                <w:spacing w:val="2"/>
              </w:rPr>
              <w:t>用水</w:t>
            </w:r>
          </w:p>
        </w:tc>
        <w:tc>
          <w:tcPr>
            <w:tcW w:w="1109" w:type="dxa"/>
            <w:vAlign w:val="top"/>
          </w:tcPr>
          <w:p>
            <w:pPr>
              <w:pStyle w:val="TableText"/>
              <w:ind w:left="363" w:right="152" w:hanging="196"/>
              <w:spacing w:before="37" w:line="230" w:lineRule="auto"/>
              <w:rPr>
                <w:sz w:val="19"/>
                <w:szCs w:val="19"/>
              </w:rPr>
            </w:pPr>
            <w:r>
              <w:rPr>
                <w:sz w:val="19"/>
                <w:szCs w:val="19"/>
                <w:spacing w:val="5"/>
              </w:rPr>
              <w:t>选矿工艺</w:t>
            </w:r>
            <w:r>
              <w:rPr>
                <w:sz w:val="19"/>
                <w:szCs w:val="19"/>
                <w:spacing w:val="2"/>
              </w:rPr>
              <w:t>用水</w:t>
            </w:r>
          </w:p>
        </w:tc>
        <w:tc>
          <w:tcPr>
            <w:tcW w:w="1164" w:type="dxa"/>
            <w:vAlign w:val="top"/>
          </w:tcPr>
          <w:p>
            <w:pPr>
              <w:ind w:left="267"/>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831.840</w:t>
            </w:r>
          </w:p>
        </w:tc>
        <w:tc>
          <w:tcPr>
            <w:tcW w:w="1103" w:type="dxa"/>
            <w:vAlign w:val="top"/>
          </w:tcPr>
          <w:p>
            <w:pPr>
              <w:ind w:left="127"/>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249552.00</w:t>
            </w:r>
          </w:p>
        </w:tc>
        <w:tc>
          <w:tcPr>
            <w:tcW w:w="1164" w:type="dxa"/>
            <w:vAlign w:val="top"/>
          </w:tcPr>
          <w:p>
            <w:pPr>
              <w:ind w:left="261"/>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411.263</w:t>
            </w:r>
          </w:p>
        </w:tc>
        <w:tc>
          <w:tcPr>
            <w:tcW w:w="1115" w:type="dxa"/>
            <w:vAlign w:val="top"/>
          </w:tcPr>
          <w:p>
            <w:pPr>
              <w:ind w:left="152"/>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123378.90</w:t>
            </w:r>
          </w:p>
        </w:tc>
        <w:tc>
          <w:tcPr>
            <w:tcW w:w="1078" w:type="dxa"/>
            <w:vAlign w:val="top"/>
          </w:tcPr>
          <w:p>
            <w:pPr>
              <w:ind w:left="214"/>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420.577</w:t>
            </w:r>
          </w:p>
        </w:tc>
        <w:tc>
          <w:tcPr>
            <w:tcW w:w="1073" w:type="dxa"/>
            <w:vAlign w:val="top"/>
            <w:tcBorders>
              <w:right w:val="nil"/>
            </w:tcBorders>
          </w:tcPr>
          <w:p>
            <w:pPr>
              <w:ind w:left="133"/>
              <w:spacing w:before="20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126173.10</w:t>
            </w:r>
          </w:p>
        </w:tc>
      </w:tr>
      <w:tr>
        <w:trPr>
          <w:trHeight w:val="521" w:hRule="atLeast"/>
        </w:trPr>
        <w:tc>
          <w:tcPr>
            <w:tcW w:w="439" w:type="dxa"/>
            <w:vAlign w:val="top"/>
            <w:tcBorders>
              <w:left w:val="nil"/>
            </w:tcBorders>
          </w:tcPr>
          <w:p>
            <w:pPr>
              <w:ind w:left="171"/>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4</w:t>
            </w:r>
          </w:p>
        </w:tc>
        <w:tc>
          <w:tcPr>
            <w:tcW w:w="667" w:type="dxa"/>
            <w:vAlign w:val="top"/>
            <w:vMerge w:val="continue"/>
            <w:tcBorders>
              <w:top w:val="nil"/>
              <w:bottom w:val="nil"/>
            </w:tcBorders>
          </w:tcPr>
          <w:p>
            <w:pPr>
              <w:rPr>
                <w:rFonts w:ascii="Arial"/>
                <w:sz w:val="21"/>
              </w:rPr>
            </w:pPr>
            <w:r/>
          </w:p>
        </w:tc>
        <w:tc>
          <w:tcPr>
            <w:tcW w:w="1109" w:type="dxa"/>
            <w:vAlign w:val="top"/>
          </w:tcPr>
          <w:p>
            <w:pPr>
              <w:pStyle w:val="TableText"/>
              <w:ind w:left="170"/>
              <w:spacing w:before="40" w:line="228" w:lineRule="auto"/>
              <w:rPr>
                <w:sz w:val="19"/>
                <w:szCs w:val="19"/>
              </w:rPr>
            </w:pPr>
            <w:r>
              <w:rPr>
                <w:sz w:val="19"/>
                <w:szCs w:val="19"/>
                <w:spacing w:val="5"/>
              </w:rPr>
              <w:t>车间地面</w:t>
            </w:r>
          </w:p>
          <w:p>
            <w:pPr>
              <w:pStyle w:val="TableText"/>
              <w:ind w:left="167"/>
              <w:spacing w:before="23" w:line="206" w:lineRule="auto"/>
              <w:rPr>
                <w:sz w:val="19"/>
                <w:szCs w:val="19"/>
              </w:rPr>
            </w:pPr>
            <w:r>
              <w:rPr>
                <w:sz w:val="19"/>
                <w:szCs w:val="19"/>
                <w:spacing w:val="5"/>
              </w:rPr>
              <w:t>清洗用水</w:t>
            </w:r>
          </w:p>
        </w:tc>
        <w:tc>
          <w:tcPr>
            <w:tcW w:w="1164" w:type="dxa"/>
            <w:vAlign w:val="top"/>
          </w:tcPr>
          <w:p>
            <w:pPr>
              <w:ind w:left="362"/>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6.864</w:t>
            </w:r>
          </w:p>
        </w:tc>
        <w:tc>
          <w:tcPr>
            <w:tcW w:w="1103" w:type="dxa"/>
            <w:vAlign w:val="top"/>
          </w:tcPr>
          <w:p>
            <w:pPr>
              <w:ind w:left="228"/>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2059.20</w:t>
            </w:r>
          </w:p>
        </w:tc>
        <w:tc>
          <w:tcPr>
            <w:tcW w:w="1164" w:type="dxa"/>
            <w:vAlign w:val="top"/>
          </w:tcPr>
          <w:p>
            <w:pPr>
              <w:ind w:left="364"/>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5.491</w:t>
            </w:r>
          </w:p>
        </w:tc>
        <w:tc>
          <w:tcPr>
            <w:tcW w:w="1115" w:type="dxa"/>
            <w:vAlign w:val="top"/>
          </w:tcPr>
          <w:p>
            <w:pPr>
              <w:ind w:left="252"/>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1647.36</w:t>
            </w:r>
          </w:p>
        </w:tc>
        <w:tc>
          <w:tcPr>
            <w:tcW w:w="1078" w:type="dxa"/>
            <w:vAlign w:val="top"/>
          </w:tcPr>
          <w:p>
            <w:pPr>
              <w:ind w:left="335"/>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1.373</w:t>
            </w:r>
          </w:p>
        </w:tc>
        <w:tc>
          <w:tcPr>
            <w:tcW w:w="1073" w:type="dxa"/>
            <w:vAlign w:val="top"/>
            <w:tcBorders>
              <w:right w:val="nil"/>
            </w:tcBorders>
          </w:tcPr>
          <w:p>
            <w:pPr>
              <w:ind w:left="264"/>
              <w:spacing w:before="2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411.84</w:t>
            </w:r>
          </w:p>
        </w:tc>
      </w:tr>
      <w:tr>
        <w:trPr>
          <w:trHeight w:val="521" w:hRule="atLeast"/>
        </w:trPr>
        <w:tc>
          <w:tcPr>
            <w:tcW w:w="439" w:type="dxa"/>
            <w:vAlign w:val="top"/>
            <w:tcBorders>
              <w:left w:val="nil"/>
            </w:tcBorders>
          </w:tcPr>
          <w:p>
            <w:pPr>
              <w:ind w:left="178"/>
              <w:spacing w:before="209"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667" w:type="dxa"/>
            <w:vAlign w:val="top"/>
            <w:vMerge w:val="continue"/>
            <w:tcBorders>
              <w:top w:val="nil"/>
              <w:bottom w:val="nil"/>
            </w:tcBorders>
          </w:tcPr>
          <w:p>
            <w:pPr>
              <w:rPr>
                <w:rFonts w:ascii="Arial"/>
                <w:sz w:val="21"/>
              </w:rPr>
            </w:pPr>
            <w:r/>
          </w:p>
        </w:tc>
        <w:tc>
          <w:tcPr>
            <w:tcW w:w="1109" w:type="dxa"/>
            <w:vAlign w:val="top"/>
          </w:tcPr>
          <w:p>
            <w:pPr>
              <w:pStyle w:val="TableText"/>
              <w:ind w:left="269" w:right="152" w:hanging="103"/>
              <w:spacing w:before="41" w:line="228" w:lineRule="auto"/>
              <w:rPr>
                <w:sz w:val="19"/>
                <w:szCs w:val="19"/>
              </w:rPr>
            </w:pPr>
            <w:r>
              <w:rPr>
                <w:sz w:val="19"/>
                <w:szCs w:val="19"/>
                <w:spacing w:val="6"/>
              </w:rPr>
              <w:t>充填站工</w:t>
            </w:r>
            <w:r>
              <w:rPr>
                <w:sz w:val="19"/>
                <w:szCs w:val="19"/>
                <w:spacing w:val="3"/>
              </w:rPr>
              <w:t>艺用水</w:t>
            </w:r>
          </w:p>
        </w:tc>
        <w:tc>
          <w:tcPr>
            <w:tcW w:w="1164" w:type="dxa"/>
            <w:vAlign w:val="top"/>
          </w:tcPr>
          <w:p>
            <w:pPr>
              <w:ind w:left="317"/>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81.410</w:t>
            </w:r>
          </w:p>
        </w:tc>
        <w:tc>
          <w:tcPr>
            <w:tcW w:w="1103" w:type="dxa"/>
            <w:vAlign w:val="top"/>
          </w:tcPr>
          <w:p>
            <w:pPr>
              <w:ind w:left="177"/>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24423.00</w:t>
            </w:r>
          </w:p>
        </w:tc>
        <w:tc>
          <w:tcPr>
            <w:tcW w:w="1164" w:type="dxa"/>
            <w:vAlign w:val="top"/>
          </w:tcPr>
          <w:p>
            <w:pPr>
              <w:ind w:left="536"/>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15" w:type="dxa"/>
            <w:vAlign w:val="top"/>
          </w:tcPr>
          <w:p>
            <w:pPr>
              <w:ind w:left="510"/>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78" w:type="dxa"/>
            <w:vAlign w:val="top"/>
          </w:tcPr>
          <w:p>
            <w:pPr>
              <w:ind w:left="274"/>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81.410</w:t>
            </w:r>
          </w:p>
        </w:tc>
        <w:tc>
          <w:tcPr>
            <w:tcW w:w="1073" w:type="dxa"/>
            <w:vAlign w:val="top"/>
            <w:tcBorders>
              <w:right w:val="nil"/>
            </w:tcBorders>
          </w:tcPr>
          <w:p>
            <w:pPr>
              <w:ind w:left="162"/>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24423.00</w:t>
            </w:r>
          </w:p>
        </w:tc>
      </w:tr>
      <w:tr>
        <w:trPr>
          <w:trHeight w:val="520" w:hRule="atLeast"/>
        </w:trPr>
        <w:tc>
          <w:tcPr>
            <w:tcW w:w="439" w:type="dxa"/>
            <w:vAlign w:val="top"/>
            <w:tcBorders>
              <w:left w:val="nil"/>
            </w:tcBorders>
          </w:tcPr>
          <w:p>
            <w:pPr>
              <w:ind w:left="177"/>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667" w:type="dxa"/>
            <w:vAlign w:val="top"/>
            <w:vMerge w:val="continue"/>
            <w:tcBorders>
              <w:top w:val="nil"/>
              <w:bottom w:val="nil"/>
            </w:tcBorders>
          </w:tcPr>
          <w:p>
            <w:pPr>
              <w:rPr>
                <w:rFonts w:ascii="Arial"/>
                <w:sz w:val="21"/>
              </w:rPr>
            </w:pPr>
            <w:r/>
          </w:p>
        </w:tc>
        <w:tc>
          <w:tcPr>
            <w:tcW w:w="1109" w:type="dxa"/>
            <w:vAlign w:val="top"/>
          </w:tcPr>
          <w:p>
            <w:pPr>
              <w:pStyle w:val="TableText"/>
              <w:ind w:left="363" w:right="152" w:hanging="196"/>
              <w:spacing w:before="46" w:line="225" w:lineRule="auto"/>
              <w:rPr>
                <w:sz w:val="19"/>
                <w:szCs w:val="19"/>
              </w:rPr>
            </w:pPr>
            <w:r>
              <w:rPr>
                <w:sz w:val="19"/>
                <w:szCs w:val="19"/>
                <w:spacing w:val="5"/>
              </w:rPr>
              <w:t>井下喷淋</w:t>
            </w:r>
            <w:r>
              <w:rPr>
                <w:sz w:val="19"/>
                <w:szCs w:val="19"/>
                <w:spacing w:val="2"/>
              </w:rPr>
              <w:t>用水</w:t>
            </w:r>
          </w:p>
        </w:tc>
        <w:tc>
          <w:tcPr>
            <w:tcW w:w="1164" w:type="dxa"/>
            <w:vAlign w:val="top"/>
          </w:tcPr>
          <w:p>
            <w:pPr>
              <w:ind w:left="264"/>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500.010</w:t>
            </w:r>
          </w:p>
        </w:tc>
        <w:tc>
          <w:tcPr>
            <w:tcW w:w="1103" w:type="dxa"/>
            <w:vAlign w:val="top"/>
          </w:tcPr>
          <w:p>
            <w:pPr>
              <w:ind w:left="146"/>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150003.00</w:t>
            </w:r>
          </w:p>
        </w:tc>
        <w:tc>
          <w:tcPr>
            <w:tcW w:w="1164" w:type="dxa"/>
            <w:vAlign w:val="top"/>
          </w:tcPr>
          <w:p>
            <w:pPr>
              <w:ind w:left="536"/>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15" w:type="dxa"/>
            <w:vAlign w:val="top"/>
          </w:tcPr>
          <w:p>
            <w:pPr>
              <w:ind w:left="510"/>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78" w:type="dxa"/>
            <w:vAlign w:val="top"/>
          </w:tcPr>
          <w:p>
            <w:pPr>
              <w:ind w:left="221"/>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500.010</w:t>
            </w:r>
          </w:p>
        </w:tc>
        <w:tc>
          <w:tcPr>
            <w:tcW w:w="1073" w:type="dxa"/>
            <w:vAlign w:val="top"/>
            <w:tcBorders>
              <w:right w:val="nil"/>
            </w:tcBorders>
          </w:tcPr>
          <w:p>
            <w:pPr>
              <w:ind w:left="133"/>
              <w:spacing w:before="208"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150003.00</w:t>
            </w:r>
          </w:p>
        </w:tc>
      </w:tr>
      <w:tr>
        <w:trPr>
          <w:trHeight w:val="521" w:hRule="atLeast"/>
        </w:trPr>
        <w:tc>
          <w:tcPr>
            <w:tcW w:w="439" w:type="dxa"/>
            <w:vAlign w:val="top"/>
            <w:tcBorders>
              <w:left w:val="nil"/>
            </w:tcBorders>
          </w:tcPr>
          <w:p>
            <w:pPr>
              <w:ind w:left="175"/>
              <w:spacing w:before="216"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667" w:type="dxa"/>
            <w:vAlign w:val="top"/>
            <w:vMerge w:val="continue"/>
            <w:tcBorders>
              <w:top w:val="nil"/>
              <w:bottom w:val="nil"/>
            </w:tcBorders>
          </w:tcPr>
          <w:p>
            <w:pPr>
              <w:rPr>
                <w:rFonts w:ascii="Arial"/>
                <w:sz w:val="21"/>
              </w:rPr>
            </w:pPr>
            <w:r/>
          </w:p>
        </w:tc>
        <w:tc>
          <w:tcPr>
            <w:tcW w:w="1109" w:type="dxa"/>
            <w:vAlign w:val="top"/>
          </w:tcPr>
          <w:p>
            <w:pPr>
              <w:pStyle w:val="TableText"/>
              <w:ind w:left="164"/>
              <w:spacing w:before="49" w:line="232" w:lineRule="auto"/>
              <w:rPr>
                <w:sz w:val="19"/>
                <w:szCs w:val="19"/>
              </w:rPr>
            </w:pPr>
            <w:r>
              <w:rPr>
                <w:sz w:val="19"/>
                <w:szCs w:val="19"/>
                <w:spacing w:val="6"/>
              </w:rPr>
              <w:t>厂区洒水</w:t>
            </w:r>
          </w:p>
          <w:p>
            <w:pPr>
              <w:pStyle w:val="TableText"/>
              <w:ind w:left="175"/>
              <w:spacing w:before="20" w:line="196" w:lineRule="auto"/>
              <w:rPr>
                <w:sz w:val="19"/>
                <w:szCs w:val="19"/>
              </w:rPr>
            </w:pPr>
            <w:r>
              <w:rPr>
                <w:sz w:val="19"/>
                <w:szCs w:val="19"/>
                <w:spacing w:val="3"/>
              </w:rPr>
              <w:t>降尘用水</w:t>
            </w:r>
          </w:p>
        </w:tc>
        <w:tc>
          <w:tcPr>
            <w:tcW w:w="1164" w:type="dxa"/>
            <w:vAlign w:val="top"/>
          </w:tcPr>
          <w:p>
            <w:pPr>
              <w:ind w:left="278"/>
              <w:spacing w:before="2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125.570</w:t>
            </w:r>
          </w:p>
        </w:tc>
        <w:tc>
          <w:tcPr>
            <w:tcW w:w="1103" w:type="dxa"/>
            <w:vAlign w:val="top"/>
          </w:tcPr>
          <w:p>
            <w:pPr>
              <w:ind w:left="181"/>
              <w:spacing w:before="2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37671.00</w:t>
            </w:r>
          </w:p>
        </w:tc>
        <w:tc>
          <w:tcPr>
            <w:tcW w:w="1164" w:type="dxa"/>
            <w:vAlign w:val="top"/>
          </w:tcPr>
          <w:p>
            <w:pPr>
              <w:ind w:left="536"/>
              <w:spacing w:before="2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15" w:type="dxa"/>
            <w:vAlign w:val="top"/>
          </w:tcPr>
          <w:p>
            <w:pPr>
              <w:ind w:left="510"/>
              <w:spacing w:before="2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78" w:type="dxa"/>
            <w:vAlign w:val="top"/>
          </w:tcPr>
          <w:p>
            <w:pPr>
              <w:ind w:left="234"/>
              <w:spacing w:before="2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125.570</w:t>
            </w:r>
          </w:p>
        </w:tc>
        <w:tc>
          <w:tcPr>
            <w:tcW w:w="1073" w:type="dxa"/>
            <w:vAlign w:val="top"/>
            <w:tcBorders>
              <w:right w:val="nil"/>
            </w:tcBorders>
          </w:tcPr>
          <w:p>
            <w:pPr>
              <w:ind w:left="166"/>
              <w:spacing w:before="2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37671.00</w:t>
            </w:r>
          </w:p>
        </w:tc>
      </w:tr>
      <w:tr>
        <w:trPr>
          <w:trHeight w:val="264" w:hRule="atLeast"/>
        </w:trPr>
        <w:tc>
          <w:tcPr>
            <w:tcW w:w="439" w:type="dxa"/>
            <w:vAlign w:val="top"/>
            <w:tcBorders>
              <w:left w:val="nil"/>
            </w:tcBorders>
          </w:tcPr>
          <w:p>
            <w:pPr>
              <w:ind w:left="180"/>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667" w:type="dxa"/>
            <w:vAlign w:val="top"/>
            <w:vMerge w:val="continue"/>
            <w:tcBorders>
              <w:top w:val="nil"/>
            </w:tcBorders>
          </w:tcPr>
          <w:p>
            <w:pPr>
              <w:rPr>
                <w:rFonts w:ascii="Arial"/>
                <w:sz w:val="21"/>
              </w:rPr>
            </w:pPr>
            <w:r/>
          </w:p>
        </w:tc>
        <w:tc>
          <w:tcPr>
            <w:tcW w:w="1109" w:type="dxa"/>
            <w:vAlign w:val="top"/>
          </w:tcPr>
          <w:p>
            <w:pPr>
              <w:pStyle w:val="TableText"/>
              <w:ind w:left="168"/>
              <w:spacing w:before="54" w:line="194" w:lineRule="auto"/>
              <w:rPr>
                <w:sz w:val="19"/>
                <w:szCs w:val="19"/>
              </w:rPr>
            </w:pPr>
            <w:r>
              <w:rPr>
                <w:sz w:val="19"/>
                <w:szCs w:val="19"/>
                <w:spacing w:val="5"/>
              </w:rPr>
              <w:t>绿化用水</w:t>
            </w:r>
          </w:p>
        </w:tc>
        <w:tc>
          <w:tcPr>
            <w:tcW w:w="1164" w:type="dxa"/>
            <w:vAlign w:val="top"/>
          </w:tcPr>
          <w:p>
            <w:pPr>
              <w:ind w:left="357"/>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23.75</w:t>
            </w:r>
          </w:p>
        </w:tc>
        <w:tc>
          <w:tcPr>
            <w:tcW w:w="1103" w:type="dxa"/>
            <w:vAlign w:val="top"/>
          </w:tcPr>
          <w:p>
            <w:pPr>
              <w:ind w:left="231"/>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7125.00</w:t>
            </w:r>
          </w:p>
        </w:tc>
        <w:tc>
          <w:tcPr>
            <w:tcW w:w="1164" w:type="dxa"/>
            <w:vAlign w:val="top"/>
          </w:tcPr>
          <w:p>
            <w:pPr>
              <w:ind w:left="536"/>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15" w:type="dxa"/>
            <w:vAlign w:val="top"/>
          </w:tcPr>
          <w:p>
            <w:pPr>
              <w:ind w:left="510"/>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78" w:type="dxa"/>
            <w:vAlign w:val="top"/>
          </w:tcPr>
          <w:p>
            <w:pPr>
              <w:ind w:left="316"/>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23.75</w:t>
            </w:r>
          </w:p>
        </w:tc>
        <w:tc>
          <w:tcPr>
            <w:tcW w:w="1073" w:type="dxa"/>
            <w:vAlign w:val="top"/>
            <w:tcBorders>
              <w:right w:val="nil"/>
            </w:tcBorders>
          </w:tcPr>
          <w:p>
            <w:pPr>
              <w:ind w:left="216"/>
              <w:spacing w:before="86"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7125.00</w:t>
            </w:r>
          </w:p>
        </w:tc>
      </w:tr>
      <w:tr>
        <w:trPr>
          <w:trHeight w:val="263" w:hRule="atLeast"/>
        </w:trPr>
        <w:tc>
          <w:tcPr>
            <w:tcW w:w="439" w:type="dxa"/>
            <w:vAlign w:val="top"/>
            <w:tcBorders>
              <w:left w:val="nil"/>
            </w:tcBorders>
          </w:tcPr>
          <w:p>
            <w:pPr>
              <w:ind w:left="176"/>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1776" w:type="dxa"/>
            <w:vAlign w:val="top"/>
            <w:gridSpan w:val="2"/>
          </w:tcPr>
          <w:p>
            <w:pPr>
              <w:pStyle w:val="TableText"/>
              <w:ind w:left="498"/>
              <w:spacing w:before="54" w:line="193" w:lineRule="auto"/>
              <w:rPr>
                <w:sz w:val="19"/>
                <w:szCs w:val="19"/>
              </w:rPr>
            </w:pPr>
            <w:r>
              <w:rPr>
                <w:sz w:val="19"/>
                <w:szCs w:val="19"/>
                <w:spacing w:val="6"/>
              </w:rPr>
              <w:t>矿井涌水</w:t>
            </w:r>
          </w:p>
        </w:tc>
        <w:tc>
          <w:tcPr>
            <w:tcW w:w="1164" w:type="dxa"/>
            <w:vAlign w:val="top"/>
          </w:tcPr>
          <w:p>
            <w:pPr>
              <w:ind w:left="535"/>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03" w:type="dxa"/>
            <w:vAlign w:val="top"/>
          </w:tcPr>
          <w:p>
            <w:pPr>
              <w:ind w:left="504"/>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64" w:type="dxa"/>
            <w:vAlign w:val="top"/>
          </w:tcPr>
          <w:p>
            <w:pPr>
              <w:ind w:left="281"/>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1161.79</w:t>
            </w:r>
          </w:p>
        </w:tc>
        <w:tc>
          <w:tcPr>
            <w:tcW w:w="1115" w:type="dxa"/>
            <w:vAlign w:val="top"/>
          </w:tcPr>
          <w:p>
            <w:pPr>
              <w:ind w:left="137"/>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348537.00</w:t>
            </w:r>
          </w:p>
        </w:tc>
        <w:tc>
          <w:tcPr>
            <w:tcW w:w="1078" w:type="dxa"/>
            <w:vAlign w:val="top"/>
          </w:tcPr>
          <w:p>
            <w:pPr>
              <w:ind w:left="494"/>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73" w:type="dxa"/>
            <w:vAlign w:val="top"/>
            <w:tcBorders>
              <w:right w:val="nil"/>
            </w:tcBorders>
          </w:tcPr>
          <w:p>
            <w:pPr>
              <w:ind w:left="491"/>
              <w:spacing w:before="85" w:line="18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r>
      <w:tr>
        <w:trPr>
          <w:trHeight w:val="286" w:hRule="atLeast"/>
        </w:trPr>
        <w:tc>
          <w:tcPr>
            <w:tcW w:w="2215" w:type="dxa"/>
            <w:vAlign w:val="top"/>
            <w:gridSpan w:val="3"/>
            <w:tcBorders>
              <w:left w:val="nil"/>
              <w:bottom w:val="single" w:color="000000" w:sz="10" w:space="0"/>
            </w:tcBorders>
          </w:tcPr>
          <w:p>
            <w:pPr>
              <w:pStyle w:val="TableText"/>
              <w:ind w:left="926"/>
              <w:spacing w:before="54" w:line="215" w:lineRule="auto"/>
              <w:rPr>
                <w:sz w:val="19"/>
                <w:szCs w:val="19"/>
              </w:rPr>
            </w:pPr>
            <w:r>
              <w:rPr>
                <w:sz w:val="19"/>
                <w:szCs w:val="19"/>
                <w:spacing w:val="-1"/>
              </w:rPr>
              <w:t>合计</w:t>
            </w:r>
          </w:p>
        </w:tc>
        <w:tc>
          <w:tcPr>
            <w:tcW w:w="1164" w:type="dxa"/>
            <w:vAlign w:val="top"/>
            <w:tcBorders>
              <w:bottom w:val="single" w:color="000000" w:sz="10" w:space="0"/>
            </w:tcBorders>
          </w:tcPr>
          <w:p>
            <w:pPr>
              <w:ind w:left="227"/>
              <w:spacing w:before="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1586.730</w:t>
            </w:r>
          </w:p>
        </w:tc>
        <w:tc>
          <w:tcPr>
            <w:tcW w:w="1103" w:type="dxa"/>
            <w:vAlign w:val="top"/>
            <w:tcBorders>
              <w:bottom w:val="single" w:color="000000" w:sz="10" w:space="0"/>
            </w:tcBorders>
          </w:tcPr>
          <w:p>
            <w:pPr>
              <w:ind w:left="126"/>
              <w:spacing w:before="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476019.00</w:t>
            </w:r>
          </w:p>
        </w:tc>
        <w:tc>
          <w:tcPr>
            <w:tcW w:w="1164" w:type="dxa"/>
            <w:vAlign w:val="top"/>
            <w:tcBorders>
              <w:bottom w:val="single" w:color="000000" w:sz="10" w:space="0"/>
            </w:tcBorders>
          </w:tcPr>
          <w:p>
            <w:pPr>
              <w:ind w:left="226"/>
              <w:spacing w:before="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1592.373</w:t>
            </w:r>
          </w:p>
        </w:tc>
        <w:tc>
          <w:tcPr>
            <w:tcW w:w="1115" w:type="dxa"/>
            <w:vAlign w:val="top"/>
            <w:tcBorders>
              <w:bottom w:val="single" w:color="000000" w:sz="10" w:space="0"/>
            </w:tcBorders>
          </w:tcPr>
          <w:p>
            <w:pPr>
              <w:ind w:left="136"/>
              <w:spacing w:before="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477711.90</w:t>
            </w:r>
          </w:p>
        </w:tc>
        <w:tc>
          <w:tcPr>
            <w:tcW w:w="1078" w:type="dxa"/>
            <w:vAlign w:val="top"/>
            <w:tcBorders>
              <w:bottom w:val="single" w:color="000000" w:sz="10" w:space="0"/>
            </w:tcBorders>
          </w:tcPr>
          <w:p>
            <w:pPr>
              <w:ind w:left="186"/>
              <w:spacing w:before="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1156.147</w:t>
            </w:r>
          </w:p>
        </w:tc>
        <w:tc>
          <w:tcPr>
            <w:tcW w:w="1073" w:type="dxa"/>
            <w:vAlign w:val="top"/>
            <w:tcBorders>
              <w:right w:val="nil"/>
              <w:bottom w:val="single" w:color="000000" w:sz="10" w:space="0"/>
            </w:tcBorders>
          </w:tcPr>
          <w:p>
            <w:pPr>
              <w:ind w:left="118"/>
              <w:spacing w:before="8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346844.10</w:t>
            </w:r>
          </w:p>
        </w:tc>
      </w:tr>
    </w:tbl>
    <w:p>
      <w:pPr>
        <w:pStyle w:val="BodyText"/>
        <w:rPr/>
      </w:pPr>
      <w:r/>
    </w:p>
    <w:p>
      <w:pPr>
        <w:sectPr>
          <w:footerReference w:type="default" r:id="rId136"/>
          <w:pgSz w:w="11911" w:h="16839"/>
          <w:pgMar w:top="400" w:right="1309" w:bottom="1146" w:left="1689" w:header="0" w:footer="984" w:gutter="0"/>
        </w:sectPr>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ind w:firstLine="10"/>
        <w:spacing w:line="6305" w:lineRule="exact"/>
        <w:rPr/>
      </w:pPr>
      <w:r>
        <w:rPr>
          <w:position w:val="-126"/>
        </w:rPr>
        <w:drawing>
          <wp:inline distT="0" distB="0" distL="0" distR="0">
            <wp:extent cx="5516880" cy="4003548"/>
            <wp:effectExtent l="0" t="0" r="0" b="0"/>
            <wp:docPr id="18" name="IM 18"/>
            <wp:cNvGraphicFramePr/>
            <a:graphic>
              <a:graphicData uri="http://schemas.openxmlformats.org/drawingml/2006/picture">
                <pic:pic>
                  <pic:nvPicPr>
                    <pic:cNvPr id="18" name="IM 18"/>
                    <pic:cNvPicPr/>
                  </pic:nvPicPr>
                  <pic:blipFill>
                    <a:blip r:embed="rId138"/>
                    <a:stretch>
                      <a:fillRect/>
                    </a:stretch>
                  </pic:blipFill>
                  <pic:spPr>
                    <a:xfrm rot="0">
                      <a:off x="0" y="0"/>
                      <a:ext cx="5516880" cy="4003548"/>
                    </a:xfrm>
                    <a:prstGeom prst="rect">
                      <a:avLst/>
                    </a:prstGeom>
                  </pic:spPr>
                </pic:pic>
              </a:graphicData>
            </a:graphic>
          </wp:inline>
        </w:drawing>
      </w:r>
    </w:p>
    <w:p>
      <w:pPr>
        <w:ind w:left="2673"/>
        <w:spacing w:before="187" w:line="222" w:lineRule="auto"/>
        <w:rPr>
          <w:rFonts w:ascii="FangSong" w:hAnsi="FangSong" w:eastAsia="FangSong" w:cs="FangSong"/>
          <w:sz w:val="24"/>
          <w:szCs w:val="24"/>
        </w:rPr>
      </w:pPr>
      <w:r>
        <w:rPr>
          <w:rFonts w:ascii="FangSong" w:hAnsi="FangSong" w:eastAsia="FangSong" w:cs="FangSong"/>
          <w:sz w:val="24"/>
          <w:szCs w:val="24"/>
          <w:b/>
          <w:bCs/>
          <w:spacing w:val="-4"/>
        </w:rPr>
        <w:t>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4"/>
        </w:rPr>
        <w:t>4.10-1  </w:t>
      </w:r>
      <w:r>
        <w:rPr>
          <w:rFonts w:ascii="FangSong" w:hAnsi="FangSong" w:eastAsia="FangSong" w:cs="FangSong"/>
          <w:sz w:val="24"/>
          <w:szCs w:val="24"/>
          <w:b/>
          <w:bCs/>
          <w:spacing w:val="-4"/>
        </w:rPr>
        <w:t>本项目运营期水平衡图</w:t>
      </w:r>
    </w:p>
    <w:p>
      <w:pPr>
        <w:ind w:left="16"/>
        <w:spacing w:before="179" w:line="224" w:lineRule="auto"/>
        <w:outlineLvl w:val="2"/>
        <w:rPr>
          <w:rFonts w:ascii="FangSong" w:hAnsi="FangSong" w:eastAsia="FangSong" w:cs="FangSong"/>
          <w:sz w:val="24"/>
          <w:szCs w:val="24"/>
        </w:rPr>
      </w:pPr>
      <w:bookmarkStart w:name="bookmark169" w:id="231"/>
      <w:bookmarkEnd w:id="231"/>
      <w:bookmarkStart w:name="bookmark168" w:id="232"/>
      <w:bookmarkEnd w:id="232"/>
      <w:r>
        <w:rPr>
          <w:rFonts w:ascii="Times New Roman" w:hAnsi="Times New Roman" w:eastAsia="Times New Roman" w:cs="Times New Roman"/>
          <w:sz w:val="24"/>
          <w:szCs w:val="24"/>
          <w:b/>
          <w:bCs/>
          <w:spacing w:val="-4"/>
        </w:rPr>
        <w:t>4.10.2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供电</w:t>
      </w:r>
    </w:p>
    <w:p>
      <w:pPr>
        <w:ind w:left="16"/>
        <w:spacing w:before="174" w:line="227"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6"/>
        </w:rPr>
        <w:t>4.10.2.1</w:t>
      </w:r>
      <w:r>
        <w:rPr>
          <w:rFonts w:ascii="Times New Roman" w:hAnsi="Times New Roman" w:eastAsia="Times New Roman" w:cs="Times New Roman"/>
          <w:sz w:val="24"/>
          <w:szCs w:val="24"/>
          <w:b/>
          <w:bCs/>
          <w:spacing w:val="23"/>
          <w:w w:val="101"/>
        </w:rPr>
        <w:t xml:space="preserve">  </w:t>
      </w:r>
      <w:r>
        <w:rPr>
          <w:rFonts w:ascii="FangSong" w:hAnsi="FangSong" w:eastAsia="FangSong" w:cs="FangSong"/>
          <w:sz w:val="24"/>
          <w:szCs w:val="24"/>
          <w:b/>
          <w:bCs/>
          <w:spacing w:val="-6"/>
        </w:rPr>
        <w:t>电源</w:t>
      </w:r>
    </w:p>
    <w:p>
      <w:pPr>
        <w:ind w:left="15" w:firstLine="490"/>
        <w:spacing w:before="174" w:line="359" w:lineRule="auto"/>
        <w:rPr>
          <w:rFonts w:ascii="FangSong" w:hAnsi="FangSong" w:eastAsia="FangSong" w:cs="FangSong"/>
          <w:sz w:val="24"/>
          <w:szCs w:val="24"/>
        </w:rPr>
      </w:pPr>
      <w:r>
        <w:rPr>
          <w:rFonts w:ascii="FangSong" w:hAnsi="FangSong" w:eastAsia="FangSong" w:cs="FangSong"/>
          <w:sz w:val="24"/>
          <w:szCs w:val="24"/>
          <w:spacing w:val="-9"/>
        </w:rPr>
        <w:t>矿区一路电源已由桑宝力嘎供电所引自</w:t>
      </w:r>
      <w:r>
        <w:rPr>
          <w:rFonts w:ascii="Times New Roman" w:hAnsi="Times New Roman" w:eastAsia="Times New Roman" w:cs="Times New Roman"/>
          <w:sz w:val="24"/>
          <w:szCs w:val="24"/>
          <w:spacing w:val="-9"/>
        </w:rPr>
        <w:t>III</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9"/>
        </w:rPr>
        <w:t>矿段，距离矿区</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9"/>
        </w:rPr>
        <w:t>10km</w:t>
      </w:r>
      <w:r>
        <w:rPr>
          <w:rFonts w:ascii="FangSong" w:hAnsi="FangSong" w:eastAsia="FangSong" w:cs="FangSong"/>
          <w:sz w:val="24"/>
          <w:szCs w:val="24"/>
          <w:spacing w:val="-9"/>
        </w:rPr>
        <w:t>，供电电压</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9"/>
        </w:rPr>
        <w:t>10KV</w:t>
      </w:r>
      <w:r>
        <w:rPr>
          <w:rFonts w:ascii="FangSong" w:hAnsi="FangSong" w:eastAsia="FangSong" w:cs="FangSong"/>
          <w:sz w:val="24"/>
          <w:szCs w:val="24"/>
          <w:spacing w:val="-9"/>
        </w:rPr>
        <w:t>，</w:t>
      </w:r>
      <w:r>
        <w:rPr>
          <w:rFonts w:ascii="FangSong" w:hAnsi="FangSong" w:eastAsia="FangSong" w:cs="FangSong"/>
          <w:sz w:val="24"/>
          <w:szCs w:val="24"/>
          <w:spacing w:val="-2"/>
        </w:rPr>
        <w:t>采用Ф</w:t>
      </w:r>
      <w:r>
        <w:rPr>
          <w:rFonts w:ascii="Times New Roman" w:hAnsi="Times New Roman" w:eastAsia="Times New Roman" w:cs="Times New Roman"/>
          <w:sz w:val="24"/>
          <w:szCs w:val="24"/>
          <w:spacing w:val="-2"/>
        </w:rPr>
        <w:t>190</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12000</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钢筋混凝土电杆，导线型号为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LGJ-95mm</w:t>
      </w:r>
      <w:r>
        <w:rPr>
          <w:rFonts w:ascii="Times New Roman" w:hAnsi="Times New Roman" w:eastAsia="Times New Roman" w:cs="Times New Roman"/>
          <w:sz w:val="15"/>
          <w:szCs w:val="15"/>
          <w:spacing w:val="-3"/>
          <w:position w:val="8"/>
        </w:rPr>
        <w:t>2 </w:t>
      </w:r>
      <w:r>
        <w:rPr>
          <w:rFonts w:ascii="FangSong" w:hAnsi="FangSong" w:eastAsia="FangSong" w:cs="FangSong"/>
          <w:sz w:val="24"/>
          <w:szCs w:val="24"/>
          <w:spacing w:val="-3"/>
        </w:rPr>
        <w:t>，杆塔选用砼杆。另一</w:t>
      </w:r>
      <w:r>
        <w:rPr>
          <w:rFonts w:ascii="FangSong" w:hAnsi="FangSong" w:eastAsia="FangSong" w:cs="FangSong"/>
          <w:sz w:val="24"/>
          <w:szCs w:val="24"/>
          <w:spacing w:val="-3"/>
        </w:rPr>
        <w:t>路供电电源来自距矿区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 km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3"/>
        </w:rPr>
        <w:t>的苏尼特右旗赛汉塔拉变电所，</w:t>
      </w:r>
      <w:r>
        <w:rPr>
          <w:rFonts w:ascii="Times New Roman" w:hAnsi="Times New Roman" w:eastAsia="Times New Roman" w:cs="Times New Roman"/>
          <w:sz w:val="24"/>
          <w:szCs w:val="24"/>
          <w:spacing w:val="-3"/>
        </w:rPr>
        <w:t>10kV</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线路单回路引进</w:t>
      </w:r>
      <w:r>
        <w:rPr>
          <w:rFonts w:ascii="FangSong" w:hAnsi="FangSong" w:eastAsia="FangSong" w:cs="FangSong"/>
          <w:sz w:val="24"/>
          <w:szCs w:val="24"/>
          <w:spacing w:val="-5"/>
        </w:rPr>
        <w:t>矿区，采用Ф</w:t>
      </w:r>
      <w:r>
        <w:rPr>
          <w:rFonts w:ascii="Times New Roman" w:hAnsi="Times New Roman" w:eastAsia="Times New Roman" w:cs="Times New Roman"/>
          <w:sz w:val="24"/>
          <w:szCs w:val="24"/>
          <w:spacing w:val="-5"/>
        </w:rPr>
        <w:t>190</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12000</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5"/>
        </w:rPr>
        <w:t>钢筋混凝土电杆，导线型号为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LGJ-95mm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25"/>
          <w:w w:val="102"/>
          <w:position w:val="8"/>
        </w:rPr>
        <w:t xml:space="preserve"> </w:t>
      </w:r>
      <w:r>
        <w:rPr>
          <w:rFonts w:ascii="FangSong" w:hAnsi="FangSong" w:eastAsia="FangSong" w:cs="FangSong"/>
          <w:sz w:val="24"/>
          <w:szCs w:val="24"/>
          <w:spacing w:val="-5"/>
        </w:rPr>
        <w:t>架空导线到矿山。</w:t>
      </w:r>
      <w:r>
        <w:rPr>
          <w:rFonts w:ascii="FangSong" w:hAnsi="FangSong" w:eastAsia="FangSong" w:cs="FangSong"/>
          <w:sz w:val="24"/>
          <w:szCs w:val="24"/>
          <w:spacing w:val="-1"/>
        </w:rPr>
        <w:t>两条供电线路能够满足矿山生产和生活用电需要。矿山备一台</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1"/>
        </w:rPr>
        <w:t>SAL800GF</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
        </w:rPr>
        <w:t>型柴油发</w:t>
      </w:r>
      <w:r>
        <w:rPr>
          <w:rFonts w:ascii="FangSong" w:hAnsi="FangSong" w:eastAsia="FangSong" w:cs="FangSong"/>
          <w:sz w:val="24"/>
          <w:szCs w:val="24"/>
          <w:spacing w:val="1"/>
        </w:rPr>
        <w:t>电机组作为预备电源。可为一级负荷提供的保安电源。柴油发电机组控制装置与一</w:t>
      </w:r>
      <w:r>
        <w:rPr>
          <w:rFonts w:ascii="FangSong" w:hAnsi="FangSong" w:eastAsia="FangSong" w:cs="FangSong"/>
          <w:sz w:val="24"/>
          <w:szCs w:val="24"/>
        </w:rPr>
        <w:t>级负荷正常工作电源设置联锁装置，当矿区总进线电源断电时，柴</w:t>
      </w:r>
      <w:r>
        <w:rPr>
          <w:rFonts w:ascii="FangSong" w:hAnsi="FangSong" w:eastAsia="FangSong" w:cs="FangSong"/>
          <w:sz w:val="24"/>
          <w:szCs w:val="24"/>
          <w:spacing w:val="-1"/>
        </w:rPr>
        <w:t>油发电机组可在</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2"/>
        </w:rPr>
        <w:t>分钟内启动，以保证矿区一级负荷正常运行。</w:t>
      </w:r>
    </w:p>
    <w:p>
      <w:pPr>
        <w:ind w:left="16"/>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4.10.2.2</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3"/>
        </w:rPr>
        <w:t>供电系统</w:t>
      </w:r>
    </w:p>
    <w:p>
      <w:pPr>
        <w:ind w:left="26" w:right="183" w:firstLine="487"/>
        <w:spacing w:before="179" w:line="359" w:lineRule="auto"/>
        <w:jc w:val="both"/>
        <w:rPr>
          <w:rFonts w:ascii="FangSong" w:hAnsi="FangSong" w:eastAsia="FangSong" w:cs="FangSong"/>
          <w:sz w:val="24"/>
          <w:szCs w:val="24"/>
        </w:rPr>
      </w:pPr>
      <w:r>
        <w:rPr>
          <w:rFonts w:ascii="FangSong" w:hAnsi="FangSong" w:eastAsia="FangSong" w:cs="FangSong"/>
          <w:sz w:val="24"/>
          <w:szCs w:val="24"/>
          <w:spacing w:val="-2"/>
        </w:rPr>
        <w:t>主井（</w:t>
      </w:r>
      <w:r>
        <w:rPr>
          <w:rFonts w:ascii="Times New Roman" w:hAnsi="Times New Roman" w:eastAsia="Times New Roman" w:cs="Times New Roman"/>
          <w:sz w:val="24"/>
          <w:szCs w:val="24"/>
          <w:spacing w:val="-2"/>
        </w:rPr>
        <w:t>SJ1</w:t>
      </w:r>
      <w:r>
        <w:rPr>
          <w:rFonts w:ascii="FangSong" w:hAnsi="FangSong" w:eastAsia="FangSong" w:cs="FangSong"/>
          <w:sz w:val="24"/>
          <w:szCs w:val="24"/>
          <w:spacing w:val="-2"/>
        </w:rPr>
        <w:t>）井口附近新建变电所，内设一台</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S13-800kVA/10-0.4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变</w:t>
      </w:r>
      <w:r>
        <w:rPr>
          <w:rFonts w:ascii="FangSong" w:hAnsi="FangSong" w:eastAsia="FangSong" w:cs="FangSong"/>
          <w:sz w:val="24"/>
          <w:szCs w:val="24"/>
          <w:spacing w:val="-3"/>
        </w:rPr>
        <w:t>压器，</w:t>
      </w:r>
      <w:r>
        <w:rPr>
          <w:rFonts w:ascii="FangSong" w:hAnsi="FangSong" w:eastAsia="FangSong" w:cs="FangSong"/>
          <w:sz w:val="24"/>
          <w:szCs w:val="24"/>
          <w:spacing w:val="-71"/>
        </w:rPr>
        <w:t xml:space="preserve"> </w:t>
      </w:r>
      <w:r>
        <w:rPr>
          <w:rFonts w:ascii="FangSong" w:hAnsi="FangSong" w:eastAsia="FangSong" w:cs="FangSong"/>
          <w:sz w:val="24"/>
          <w:szCs w:val="24"/>
          <w:spacing w:val="-3"/>
        </w:rPr>
        <w:t>中性</w:t>
      </w:r>
      <w:r>
        <w:rPr>
          <w:rFonts w:ascii="FangSong" w:hAnsi="FangSong" w:eastAsia="FangSong" w:cs="FangSong"/>
          <w:sz w:val="24"/>
          <w:szCs w:val="24"/>
        </w:rPr>
        <w:t>点接地，</w:t>
      </w:r>
      <w:r>
        <w:rPr>
          <w:rFonts w:ascii="FangSong" w:hAnsi="FangSong" w:eastAsia="FangSong" w:cs="FangSong"/>
          <w:sz w:val="24"/>
          <w:szCs w:val="24"/>
          <w:spacing w:val="-71"/>
        </w:rPr>
        <w:t xml:space="preserve"> </w:t>
      </w:r>
      <w:r>
        <w:rPr>
          <w:rFonts w:ascii="FangSong" w:hAnsi="FangSong" w:eastAsia="FangSong" w:cs="FangSong"/>
          <w:sz w:val="24"/>
          <w:szCs w:val="24"/>
        </w:rPr>
        <w:t>向井上主井提升机、空压机站、主扇风机用电设备和其</w:t>
      </w:r>
      <w:r>
        <w:rPr>
          <w:rFonts w:ascii="FangSong" w:hAnsi="FangSong" w:eastAsia="FangSong" w:cs="FangSong"/>
          <w:sz w:val="24"/>
          <w:szCs w:val="24"/>
          <w:spacing w:val="-1"/>
        </w:rPr>
        <w:t>它辅助生产设备供</w:t>
      </w:r>
      <w:r>
        <w:rPr>
          <w:rFonts w:ascii="FangSong" w:hAnsi="FangSong" w:eastAsia="FangSong" w:cs="FangSong"/>
          <w:sz w:val="24"/>
          <w:szCs w:val="24"/>
          <w:spacing w:val="-2"/>
        </w:rPr>
        <w:t>电；一台</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2"/>
        </w:rPr>
        <w:t>S13-500KVA/10/0.4KV</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2"/>
        </w:rPr>
        <w:t>变压器，中性点不接地，为井下照明、局扇以及排</w:t>
      </w:r>
      <w:r>
        <w:rPr>
          <w:rFonts w:ascii="FangSong" w:hAnsi="FangSong" w:eastAsia="FangSong" w:cs="FangSong"/>
          <w:sz w:val="24"/>
          <w:szCs w:val="24"/>
          <w:spacing w:val="6"/>
        </w:rPr>
        <w:t>水设施等供电。为保证提升、通风、排水一级负荷供电的可靠性，</w:t>
      </w:r>
      <w:r>
        <w:rPr>
          <w:rFonts w:ascii="FangSong" w:hAnsi="FangSong" w:eastAsia="FangSong" w:cs="FangSong"/>
          <w:sz w:val="24"/>
          <w:szCs w:val="24"/>
          <w:spacing w:val="-51"/>
        </w:rPr>
        <w:t xml:space="preserve"> </w:t>
      </w:r>
      <w:r>
        <w:rPr>
          <w:rFonts w:ascii="FangSong" w:hAnsi="FangSong" w:eastAsia="FangSong" w:cs="FangSong"/>
          <w:sz w:val="24"/>
          <w:szCs w:val="24"/>
          <w:spacing w:val="6"/>
        </w:rPr>
        <w:t>同时配备一台</w:t>
      </w:r>
    </w:p>
    <w:p>
      <w:pPr>
        <w:spacing w:line="359" w:lineRule="auto"/>
        <w:sectPr>
          <w:footerReference w:type="default" r:id="rId137"/>
          <w:pgSz w:w="11911" w:h="16839"/>
          <w:pgMar w:top="400" w:right="1232"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6"/>
        <w:spacing w:before="78" w:line="220" w:lineRule="auto"/>
        <w:rPr>
          <w:rFonts w:ascii="FangSong" w:hAnsi="FangSong" w:eastAsia="FangSong" w:cs="FangSong"/>
          <w:sz w:val="24"/>
          <w:szCs w:val="24"/>
        </w:rPr>
      </w:pPr>
      <w:r>
        <w:rPr>
          <w:rFonts w:ascii="Times New Roman" w:hAnsi="Times New Roman" w:eastAsia="Times New Roman" w:cs="Times New Roman"/>
          <w:sz w:val="24"/>
          <w:szCs w:val="24"/>
          <w:spacing w:val="-2"/>
        </w:rPr>
        <w:t>SAL800GF</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型柴油发电机组作为备用</w:t>
      </w:r>
      <w:r>
        <w:rPr>
          <w:rFonts w:ascii="FangSong" w:hAnsi="FangSong" w:eastAsia="FangSong" w:cs="FangSong"/>
          <w:sz w:val="24"/>
          <w:szCs w:val="24"/>
          <w:spacing w:val="-3"/>
        </w:rPr>
        <w:t>电源。</w:t>
      </w:r>
    </w:p>
    <w:p>
      <w:pPr>
        <w:ind w:left="26" w:right="112" w:firstLine="482"/>
        <w:spacing w:before="179" w:line="359" w:lineRule="auto"/>
        <w:rPr>
          <w:rFonts w:ascii="FangSong" w:hAnsi="FangSong" w:eastAsia="FangSong" w:cs="FangSong"/>
          <w:sz w:val="24"/>
          <w:szCs w:val="24"/>
        </w:rPr>
      </w:pPr>
      <w:r>
        <w:rPr>
          <w:rFonts w:ascii="FangSong" w:hAnsi="FangSong" w:eastAsia="FangSong" w:cs="FangSong"/>
          <w:sz w:val="24"/>
          <w:szCs w:val="24"/>
          <w:spacing w:val="1"/>
        </w:rPr>
        <w:t>在变压器进线装设高压熔断器，变压器低压母线上装有电流速断保护和过流保</w:t>
      </w:r>
      <w:r>
        <w:rPr>
          <w:rFonts w:ascii="FangSong" w:hAnsi="FangSong" w:eastAsia="FangSong" w:cs="FangSong"/>
          <w:sz w:val="24"/>
          <w:szCs w:val="24"/>
          <w:spacing w:val="-1"/>
        </w:rPr>
        <w:t>护，并装有漏电继电器并装设电容器，补偿后低压侧功率因</w:t>
      </w:r>
      <w:r>
        <w:rPr>
          <w:rFonts w:ascii="FangSong" w:hAnsi="FangSong" w:eastAsia="FangSong" w:cs="FangSong"/>
          <w:sz w:val="24"/>
          <w:szCs w:val="24"/>
          <w:spacing w:val="-2"/>
        </w:rPr>
        <w:t>数达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0.92</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左右。</w:t>
      </w:r>
    </w:p>
    <w:p>
      <w:pPr>
        <w:ind w:left="31" w:right="115" w:firstLine="488"/>
        <w:spacing w:line="359" w:lineRule="auto"/>
        <w:rPr>
          <w:rFonts w:ascii="FangSong" w:hAnsi="FangSong" w:eastAsia="FangSong" w:cs="FangSong"/>
          <w:sz w:val="24"/>
          <w:szCs w:val="24"/>
        </w:rPr>
      </w:pPr>
      <w:r>
        <w:rPr>
          <w:rFonts w:ascii="FangSong" w:hAnsi="FangSong" w:eastAsia="FangSong" w:cs="FangSong"/>
          <w:sz w:val="24"/>
          <w:szCs w:val="24"/>
          <w:spacing w:val="-1"/>
        </w:rPr>
        <w:t>常用电源与备用电源之间设有失电闭锁安全保护装置，通过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DW</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系列断路器</w:t>
      </w:r>
      <w:r>
        <w:rPr>
          <w:rFonts w:ascii="FangSong" w:hAnsi="FangSong" w:eastAsia="FangSong" w:cs="FangSong"/>
          <w:sz w:val="24"/>
          <w:szCs w:val="24"/>
          <w:spacing w:val="-1"/>
        </w:rPr>
        <w:t>实现可靠电气闭锁。供电电源满足各级用电设备要求。</w:t>
      </w:r>
    </w:p>
    <w:p>
      <w:pPr>
        <w:ind w:left="31" w:right="114" w:firstLine="474"/>
        <w:spacing w:before="1" w:line="359" w:lineRule="auto"/>
        <w:jc w:val="both"/>
        <w:rPr>
          <w:rFonts w:ascii="FangSong" w:hAnsi="FangSong" w:eastAsia="FangSong" w:cs="FangSong"/>
          <w:sz w:val="24"/>
          <w:szCs w:val="24"/>
        </w:rPr>
      </w:pPr>
      <w:r>
        <w:rPr>
          <w:rFonts w:ascii="FangSong" w:hAnsi="FangSong" w:eastAsia="FangSong" w:cs="FangSong"/>
          <w:sz w:val="24"/>
          <w:szCs w:val="24"/>
          <w:spacing w:val="-3"/>
        </w:rPr>
        <w:t>设计在井下</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850m </w:t>
      </w:r>
      <w:r>
        <w:rPr>
          <w:rFonts w:ascii="FangSong" w:hAnsi="FangSong" w:eastAsia="FangSong" w:cs="FangSong"/>
          <w:sz w:val="24"/>
          <w:szCs w:val="24"/>
          <w:spacing w:val="-3"/>
        </w:rPr>
        <w:t>水平水泵房旁设置</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850m</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3"/>
        </w:rPr>
        <w:t>井下配电硐室，</w:t>
      </w:r>
      <w:r>
        <w:rPr>
          <w:rFonts w:ascii="Times New Roman" w:hAnsi="Times New Roman" w:eastAsia="Times New Roman" w:cs="Times New Roman"/>
          <w:sz w:val="24"/>
          <w:szCs w:val="24"/>
          <w:spacing w:val="-3"/>
        </w:rPr>
        <w:t>0.4kV</w:t>
      </w:r>
      <w:r>
        <w:rPr>
          <w:rFonts w:ascii="Times New Roman" w:hAnsi="Times New Roman" w:eastAsia="Times New Roman" w:cs="Times New Roman"/>
          <w:sz w:val="24"/>
          <w:szCs w:val="24"/>
          <w:spacing w:val="41"/>
          <w:w w:val="101"/>
        </w:rPr>
        <w:t xml:space="preserve"> </w:t>
      </w:r>
      <w:r>
        <w:rPr>
          <w:rFonts w:ascii="FangSong" w:hAnsi="FangSong" w:eastAsia="FangSong" w:cs="FangSong"/>
          <w:sz w:val="24"/>
          <w:szCs w:val="24"/>
          <w:spacing w:val="-3"/>
        </w:rPr>
        <w:t>电源引自主井</w:t>
      </w:r>
      <w:r>
        <w:rPr>
          <w:rFonts w:ascii="FangSong" w:hAnsi="FangSong" w:eastAsia="FangSong" w:cs="FangSong"/>
          <w:sz w:val="24"/>
          <w:szCs w:val="24"/>
          <w:spacing w:val="-2"/>
        </w:rPr>
        <w:t>口变配电所</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S13-500KVA/10/0.4KV</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型变压器，该变压器采用中性点不接地系统，主</w:t>
      </w:r>
      <w:r>
        <w:rPr>
          <w:rFonts w:ascii="FangSong" w:hAnsi="FangSong" w:eastAsia="FangSong" w:cs="FangSong"/>
          <w:sz w:val="24"/>
          <w:szCs w:val="24"/>
          <w:spacing w:val="-1"/>
        </w:rPr>
        <w:t>要为井下排水泵、局扇、井底水窝水泵、井下照明等井下用电设备供电。</w:t>
      </w:r>
    </w:p>
    <w:p>
      <w:pPr>
        <w:ind w:left="26" w:right="38" w:firstLine="483"/>
        <w:spacing w:before="2" w:line="358" w:lineRule="auto"/>
        <w:jc w:val="both"/>
        <w:rPr>
          <w:rFonts w:ascii="FangSong" w:hAnsi="FangSong" w:eastAsia="FangSong" w:cs="FangSong"/>
          <w:sz w:val="24"/>
          <w:szCs w:val="24"/>
        </w:rPr>
      </w:pPr>
      <w:r>
        <w:rPr>
          <w:rFonts w:ascii="FangSong" w:hAnsi="FangSong" w:eastAsia="FangSong" w:cs="FangSong"/>
          <w:sz w:val="24"/>
          <w:szCs w:val="24"/>
          <w:spacing w:val="-5"/>
        </w:rPr>
        <w:t>选矿厂设计安装</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40"/>
          <w:w w:val="101"/>
        </w:rPr>
        <w:t xml:space="preserve"> </w:t>
      </w:r>
      <w:r>
        <w:rPr>
          <w:rFonts w:ascii="FangSong" w:hAnsi="FangSong" w:eastAsia="FangSong" w:cs="FangSong"/>
          <w:sz w:val="24"/>
          <w:szCs w:val="24"/>
          <w:spacing w:val="-5"/>
        </w:rPr>
        <w:t>台</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5"/>
        </w:rPr>
        <w:t>S13-2000kVA/10-0.4</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5"/>
        </w:rPr>
        <w:t>变压器，</w:t>
      </w:r>
      <w:r>
        <w:rPr>
          <w:rFonts w:ascii="FangSong" w:hAnsi="FangSong" w:eastAsia="FangSong" w:cs="FangSong"/>
          <w:sz w:val="24"/>
          <w:szCs w:val="24"/>
          <w:spacing w:val="-71"/>
        </w:rPr>
        <w:t xml:space="preserve"> </w:t>
      </w:r>
      <w:r>
        <w:rPr>
          <w:rFonts w:ascii="FangSong" w:hAnsi="FangSong" w:eastAsia="FangSong" w:cs="FangSong"/>
          <w:sz w:val="24"/>
          <w:szCs w:val="24"/>
          <w:spacing w:val="-5"/>
        </w:rPr>
        <w:t>中性点接</w:t>
      </w:r>
      <w:r>
        <w:rPr>
          <w:rFonts w:ascii="FangSong" w:hAnsi="FangSong" w:eastAsia="FangSong" w:cs="FangSong"/>
          <w:sz w:val="24"/>
          <w:szCs w:val="24"/>
          <w:spacing w:val="-6"/>
        </w:rPr>
        <w:t>地，</w:t>
      </w:r>
      <w:r>
        <w:rPr>
          <w:rFonts w:ascii="FangSong" w:hAnsi="FangSong" w:eastAsia="FangSong" w:cs="FangSong"/>
          <w:sz w:val="24"/>
          <w:szCs w:val="24"/>
          <w:spacing w:val="-71"/>
        </w:rPr>
        <w:t xml:space="preserve"> </w:t>
      </w:r>
      <w:r>
        <w:rPr>
          <w:rFonts w:ascii="FangSong" w:hAnsi="FangSong" w:eastAsia="FangSong" w:cs="FangSong"/>
          <w:sz w:val="24"/>
          <w:szCs w:val="24"/>
          <w:spacing w:val="-6"/>
        </w:rPr>
        <w:t>向选矿厂用电</w:t>
      </w:r>
      <w:r>
        <w:rPr>
          <w:rFonts w:ascii="FangSong" w:hAnsi="FangSong" w:eastAsia="FangSong" w:cs="FangSong"/>
          <w:sz w:val="24"/>
          <w:szCs w:val="24"/>
          <w:spacing w:val="-3"/>
        </w:rPr>
        <w:t>设备和其它辅助生产设备供电。为保证破碎机、振动</w:t>
      </w:r>
      <w:r>
        <w:rPr>
          <w:rFonts w:ascii="FangSong" w:hAnsi="FangSong" w:eastAsia="FangSong" w:cs="FangSong"/>
          <w:sz w:val="24"/>
          <w:szCs w:val="24"/>
          <w:spacing w:val="-4"/>
        </w:rPr>
        <w:t>筛、球磨机、浮选机、浓缩机、</w:t>
      </w:r>
      <w:r>
        <w:rPr>
          <w:rFonts w:ascii="FangSong" w:hAnsi="FangSong" w:eastAsia="FangSong" w:cs="FangSong"/>
          <w:sz w:val="24"/>
          <w:szCs w:val="24"/>
          <w:spacing w:val="-1"/>
        </w:rPr>
        <w:t>过滤机、水泵一级负荷供电的可靠性。</w:t>
      </w:r>
    </w:p>
    <w:p>
      <w:pPr>
        <w:ind w:left="26" w:right="112" w:firstLine="482"/>
        <w:spacing w:before="3" w:line="359" w:lineRule="auto"/>
        <w:rPr>
          <w:rFonts w:ascii="FangSong" w:hAnsi="FangSong" w:eastAsia="FangSong" w:cs="FangSong"/>
          <w:sz w:val="24"/>
          <w:szCs w:val="24"/>
        </w:rPr>
      </w:pPr>
      <w:r>
        <w:rPr>
          <w:rFonts w:ascii="FangSong" w:hAnsi="FangSong" w:eastAsia="FangSong" w:cs="FangSong"/>
          <w:sz w:val="24"/>
          <w:szCs w:val="24"/>
          <w:spacing w:val="1"/>
        </w:rPr>
        <w:t>在变压器进线装设高压熔断器，变压器低压母线上装有电流速断保护和过流保</w:t>
      </w:r>
      <w:r>
        <w:rPr>
          <w:rFonts w:ascii="FangSong" w:hAnsi="FangSong" w:eastAsia="FangSong" w:cs="FangSong"/>
          <w:sz w:val="24"/>
          <w:szCs w:val="24"/>
          <w:spacing w:val="-1"/>
        </w:rPr>
        <w:t>护，并装有漏电继电器并装设电容器，补偿后低压侧功率因</w:t>
      </w:r>
      <w:r>
        <w:rPr>
          <w:rFonts w:ascii="FangSong" w:hAnsi="FangSong" w:eastAsia="FangSong" w:cs="FangSong"/>
          <w:sz w:val="24"/>
          <w:szCs w:val="24"/>
          <w:spacing w:val="-2"/>
        </w:rPr>
        <w:t>数达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0.92</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左右。</w:t>
      </w:r>
    </w:p>
    <w:p>
      <w:pPr>
        <w:ind w:left="31" w:right="115" w:firstLine="488"/>
        <w:spacing w:before="2" w:line="358" w:lineRule="auto"/>
        <w:rPr>
          <w:rFonts w:ascii="FangSong" w:hAnsi="FangSong" w:eastAsia="FangSong" w:cs="FangSong"/>
          <w:sz w:val="24"/>
          <w:szCs w:val="24"/>
        </w:rPr>
      </w:pPr>
      <w:r>
        <w:rPr>
          <w:rFonts w:ascii="FangSong" w:hAnsi="FangSong" w:eastAsia="FangSong" w:cs="FangSong"/>
          <w:sz w:val="24"/>
          <w:szCs w:val="24"/>
          <w:spacing w:val="-1"/>
        </w:rPr>
        <w:t>常用电源与备用电源之间设有失电闭锁安全保护装置，通过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DW</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系列断路器</w:t>
      </w:r>
      <w:r>
        <w:rPr>
          <w:rFonts w:ascii="FangSong" w:hAnsi="FangSong" w:eastAsia="FangSong" w:cs="FangSong"/>
          <w:sz w:val="24"/>
          <w:szCs w:val="24"/>
          <w:spacing w:val="-1"/>
        </w:rPr>
        <w:t>实现可靠电气闭锁。供电电源满足各级用电设备要求。</w:t>
      </w:r>
    </w:p>
    <w:p>
      <w:pPr>
        <w:ind w:left="16"/>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4.10.2.3  </w:t>
      </w:r>
      <w:r>
        <w:rPr>
          <w:rFonts w:ascii="FangSong" w:hAnsi="FangSong" w:eastAsia="FangSong" w:cs="FangSong"/>
          <w:sz w:val="24"/>
          <w:szCs w:val="24"/>
          <w:b/>
          <w:bCs/>
          <w:spacing w:val="-2"/>
        </w:rPr>
        <w:t>配电电压的选择</w:t>
      </w:r>
    </w:p>
    <w:p>
      <w:pPr>
        <w:ind w:left="26" w:right="115" w:firstLine="489"/>
        <w:spacing w:before="181" w:line="359" w:lineRule="auto"/>
        <w:jc w:val="both"/>
        <w:rPr>
          <w:rFonts w:ascii="FangSong" w:hAnsi="FangSong" w:eastAsia="FangSong" w:cs="FangSong"/>
          <w:sz w:val="24"/>
          <w:szCs w:val="24"/>
        </w:rPr>
      </w:pPr>
      <w:r>
        <w:rPr>
          <w:rFonts w:ascii="FangSong" w:hAnsi="FangSong" w:eastAsia="FangSong" w:cs="FangSong"/>
          <w:sz w:val="24"/>
          <w:szCs w:val="24"/>
          <w:spacing w:val="-3"/>
        </w:rPr>
        <w:t>系统电压等级为：进线电源</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3"/>
        </w:rPr>
        <w:t>10kV</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，低压动力配电电压</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0.4kV</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，地</w:t>
      </w:r>
      <w:r>
        <w:rPr>
          <w:rFonts w:ascii="FangSong" w:hAnsi="FangSong" w:eastAsia="FangSong" w:cs="FangSong"/>
          <w:sz w:val="24"/>
          <w:szCs w:val="24"/>
          <w:spacing w:val="-4"/>
        </w:rPr>
        <w:t>表照明和小型</w:t>
      </w:r>
      <w:r>
        <w:rPr>
          <w:rFonts w:ascii="FangSong" w:hAnsi="FangSong" w:eastAsia="FangSong" w:cs="FangSong"/>
          <w:sz w:val="24"/>
          <w:szCs w:val="24"/>
          <w:spacing w:val="-1"/>
        </w:rPr>
        <w:t>用电设备</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220V</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，井下主运输巷道、硐室照明电压采用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220V</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，采区和检修照明电压</w:t>
      </w:r>
      <w:r>
        <w:rPr>
          <w:rFonts w:ascii="FangSong" w:hAnsi="FangSong" w:eastAsia="FangSong" w:cs="FangSong"/>
          <w:sz w:val="24"/>
          <w:szCs w:val="24"/>
          <w:spacing w:val="-5"/>
        </w:rPr>
        <w:t>采用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5"/>
        </w:rPr>
        <w:t>36V</w:t>
      </w:r>
      <w:r>
        <w:rPr>
          <w:rFonts w:ascii="FangSong" w:hAnsi="FangSong" w:eastAsia="FangSong" w:cs="FangSong"/>
          <w:sz w:val="24"/>
          <w:szCs w:val="24"/>
          <w:spacing w:val="-5"/>
        </w:rPr>
        <w:t>。</w:t>
      </w:r>
    </w:p>
    <w:p>
      <w:pPr>
        <w:ind w:left="16"/>
        <w:spacing w:line="223" w:lineRule="auto"/>
        <w:outlineLvl w:val="2"/>
        <w:rPr>
          <w:rFonts w:ascii="FangSong" w:hAnsi="FangSong" w:eastAsia="FangSong" w:cs="FangSong"/>
          <w:sz w:val="24"/>
          <w:szCs w:val="24"/>
        </w:rPr>
      </w:pPr>
      <w:bookmarkStart w:name="bookmark171" w:id="233"/>
      <w:bookmarkEnd w:id="233"/>
      <w:bookmarkStart w:name="bookmark170" w:id="234"/>
      <w:bookmarkEnd w:id="234"/>
      <w:r>
        <w:rPr>
          <w:rFonts w:ascii="Times New Roman" w:hAnsi="Times New Roman" w:eastAsia="Times New Roman" w:cs="Times New Roman"/>
          <w:sz w:val="24"/>
          <w:szCs w:val="24"/>
          <w:b/>
          <w:bCs/>
          <w:spacing w:val="-4"/>
        </w:rPr>
        <w:t>4.10.3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供暖</w:t>
      </w:r>
    </w:p>
    <w:p>
      <w:pPr>
        <w:ind w:left="39" w:right="112" w:firstLine="468"/>
        <w:spacing w:before="176" w:line="359" w:lineRule="auto"/>
        <w:rPr>
          <w:rFonts w:ascii="FangSong" w:hAnsi="FangSong" w:eastAsia="FangSong" w:cs="FangSong"/>
          <w:sz w:val="24"/>
          <w:szCs w:val="24"/>
        </w:rPr>
      </w:pPr>
      <w:r>
        <w:rPr>
          <w:rFonts w:ascii="FangSong" w:hAnsi="FangSong" w:eastAsia="FangSong" w:cs="FangSong"/>
          <w:sz w:val="24"/>
          <w:szCs w:val="24"/>
          <w:spacing w:val="1"/>
        </w:rPr>
        <w:t>对工业场地的主井进风采取加热措施。为防止主井在冬季结冰，在井口房旁设</w:t>
      </w:r>
      <w:r>
        <w:rPr>
          <w:rFonts w:ascii="FangSong" w:hAnsi="FangSong" w:eastAsia="FangSong" w:cs="FangSong"/>
          <w:sz w:val="24"/>
          <w:szCs w:val="24"/>
          <w:spacing w:val="-1"/>
        </w:rPr>
        <w:t>空气加热室，其内安装多台井口热风机组，对进风进</w:t>
      </w:r>
      <w:r>
        <w:rPr>
          <w:rFonts w:ascii="FangSong" w:hAnsi="FangSong" w:eastAsia="FangSong" w:cs="FangSong"/>
          <w:sz w:val="24"/>
          <w:szCs w:val="24"/>
          <w:spacing w:val="-2"/>
        </w:rPr>
        <w:t>行加热。</w:t>
      </w:r>
    </w:p>
    <w:p>
      <w:pPr>
        <w:ind w:left="509"/>
        <w:spacing w:before="1" w:line="220" w:lineRule="auto"/>
        <w:rPr>
          <w:rFonts w:ascii="FangSong" w:hAnsi="FangSong" w:eastAsia="FangSong" w:cs="FangSong"/>
          <w:sz w:val="24"/>
          <w:szCs w:val="24"/>
        </w:rPr>
      </w:pPr>
      <w:r>
        <w:rPr>
          <w:rFonts w:ascii="FangSong" w:hAnsi="FangSong" w:eastAsia="FangSong" w:cs="FangSong"/>
          <w:sz w:val="24"/>
          <w:szCs w:val="24"/>
          <w:spacing w:val="-3"/>
        </w:rPr>
        <w:t>选矿厂新建一座锅炉房采用</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3"/>
        </w:rPr>
        <w:t>CWDR2.8</w:t>
      </w:r>
      <w:r>
        <w:rPr>
          <w:rFonts w:ascii="Times New Roman" w:hAnsi="Times New Roman" w:eastAsia="Times New Roman" w:cs="Times New Roman"/>
          <w:sz w:val="24"/>
          <w:szCs w:val="24"/>
          <w:spacing w:val="42"/>
        </w:rPr>
        <w:t xml:space="preserve"> </w:t>
      </w:r>
      <w:r>
        <w:rPr>
          <w:rFonts w:ascii="FangSong" w:hAnsi="FangSong" w:eastAsia="FangSong" w:cs="FangSong"/>
          <w:sz w:val="24"/>
          <w:szCs w:val="24"/>
          <w:spacing w:val="-3"/>
        </w:rPr>
        <w:t>电热水锅炉进行供给。</w:t>
      </w:r>
    </w:p>
    <w:p>
      <w:pPr>
        <w:ind w:left="514"/>
        <w:spacing w:before="181" w:line="221" w:lineRule="auto"/>
        <w:rPr>
          <w:rFonts w:ascii="FangSong" w:hAnsi="FangSong" w:eastAsia="FangSong" w:cs="FangSong"/>
          <w:sz w:val="24"/>
          <w:szCs w:val="24"/>
        </w:rPr>
      </w:pPr>
      <w:r>
        <w:rPr>
          <w:rFonts w:ascii="FangSong" w:hAnsi="FangSong" w:eastAsia="FangSong" w:cs="FangSong"/>
          <w:sz w:val="24"/>
          <w:szCs w:val="24"/>
          <w:spacing w:val="-3"/>
        </w:rPr>
        <w:t>办公生活区采暖采用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3"/>
        </w:rPr>
        <w:t>CWDR0.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116-95/70-T</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3"/>
        </w:rPr>
        <w:t>型电热水锅炉进行供给。</w:t>
      </w:r>
    </w:p>
    <w:p>
      <w:pPr>
        <w:ind w:left="17"/>
        <w:spacing w:before="187" w:line="224" w:lineRule="auto"/>
        <w:outlineLvl w:val="1"/>
        <w:rPr>
          <w:rFonts w:ascii="FangSong" w:hAnsi="FangSong" w:eastAsia="FangSong" w:cs="FangSong"/>
          <w:sz w:val="28"/>
          <w:szCs w:val="28"/>
        </w:rPr>
      </w:pPr>
      <w:bookmarkStart w:name="bookmark174" w:id="235"/>
      <w:bookmarkEnd w:id="235"/>
      <w:bookmarkStart w:name="bookmark173" w:id="236"/>
      <w:bookmarkEnd w:id="236"/>
      <w:r>
        <w:rPr>
          <w:rFonts w:ascii="Times New Roman" w:hAnsi="Times New Roman" w:eastAsia="Times New Roman" w:cs="Times New Roman"/>
          <w:sz w:val="28"/>
          <w:szCs w:val="28"/>
          <w:b/>
          <w:bCs/>
          <w:spacing w:val="-8"/>
        </w:rPr>
        <w:t>4.11</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8"/>
        </w:rPr>
        <w:t>劳动定员</w:t>
      </w:r>
    </w:p>
    <w:p>
      <w:pPr>
        <w:ind w:left="30" w:firstLine="476"/>
        <w:spacing w:before="195" w:line="360" w:lineRule="auto"/>
        <w:jc w:val="both"/>
        <w:rPr>
          <w:rFonts w:ascii="FangSong" w:hAnsi="FangSong" w:eastAsia="FangSong" w:cs="FangSong"/>
          <w:sz w:val="24"/>
          <w:szCs w:val="24"/>
        </w:rPr>
      </w:pPr>
      <w:r>
        <w:rPr>
          <w:rFonts w:ascii="FangSong" w:hAnsi="FangSong" w:eastAsia="FangSong" w:cs="FangSong"/>
          <w:sz w:val="24"/>
          <w:szCs w:val="24"/>
          <w:spacing w:val="-2"/>
        </w:rPr>
        <w:t>矿山生产采用连续工作制度，其中：矿山年工作</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300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天，每天</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班，每班</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小</w:t>
      </w:r>
      <w:r>
        <w:rPr>
          <w:rFonts w:ascii="FangSong" w:hAnsi="FangSong" w:eastAsia="FangSong" w:cs="FangSong"/>
          <w:sz w:val="24"/>
          <w:szCs w:val="24"/>
          <w:spacing w:val="3"/>
        </w:rPr>
        <w:t>时。生产辅助系统与主要生产系统相适应。根据项目当地特点，按照“精简高效</w:t>
      </w:r>
      <w:r>
        <w:rPr>
          <w:rFonts w:ascii="FangSong" w:hAnsi="FangSong" w:eastAsia="FangSong" w:cs="FangSong"/>
          <w:sz w:val="24"/>
          <w:szCs w:val="24"/>
          <w:spacing w:val="-79"/>
        </w:rPr>
        <w:t xml:space="preserve"> </w:t>
      </w:r>
      <w:r>
        <w:rPr>
          <w:rFonts w:ascii="FangSong" w:hAnsi="FangSong" w:eastAsia="FangSong" w:cs="FangSong"/>
          <w:sz w:val="24"/>
          <w:szCs w:val="24"/>
          <w:spacing w:val="3"/>
        </w:rPr>
        <w:t>”</w:t>
      </w:r>
      <w:r>
        <w:rPr>
          <w:rFonts w:ascii="FangSong" w:hAnsi="FangSong" w:eastAsia="FangSong" w:cs="FangSong"/>
          <w:sz w:val="24"/>
          <w:szCs w:val="24"/>
        </w:rPr>
        <w:t>的原则进行了劳动定员编制。编制的全矿劳动定员为</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rPr>
        <w:t>134</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rPr>
        <w:t>人，其中：生产人员</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115</w:t>
      </w:r>
      <w:r>
        <w:rPr>
          <w:rFonts w:ascii="FangSong" w:hAnsi="FangSong" w:eastAsia="FangSong" w:cs="FangSong"/>
          <w:sz w:val="24"/>
          <w:szCs w:val="24"/>
          <w:spacing w:val="-6"/>
        </w:rPr>
        <w:t>人，管理及技术人员</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6"/>
        </w:rPr>
        <w:t>19</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6"/>
        </w:rPr>
        <w:t>人。</w:t>
      </w:r>
    </w:p>
    <w:p>
      <w:pPr>
        <w:spacing w:line="360" w:lineRule="auto"/>
        <w:sectPr>
          <w:footerReference w:type="default" r:id="rId139"/>
          <w:pgSz w:w="11911" w:h="16839"/>
          <w:pgMar w:top="400" w:right="1303" w:bottom="1146" w:left="1786" w:header="0" w:footer="984" w:gutter="0"/>
        </w:sectPr>
        <w:rPr>
          <w:rFonts w:ascii="FangSong" w:hAnsi="FangSong" w:eastAsia="FangSong" w:cs="FangSong"/>
          <w:sz w:val="24"/>
          <w:szCs w:val="24"/>
        </w:rPr>
      </w:pPr>
    </w:p>
    <w:p>
      <w:pPr>
        <w:pStyle w:val="BodyText"/>
        <w:rPr/>
      </w:pPr>
      <w:r/>
    </w:p>
    <w:p>
      <w:pPr>
        <w:pStyle w:val="BodyText"/>
        <w:rPr/>
      </w:pPr>
      <w:r/>
    </w:p>
    <w:p>
      <w:pPr>
        <w:pStyle w:val="BodyText"/>
        <w:rPr/>
      </w:pPr>
      <w:r/>
    </w:p>
    <w:p>
      <w:pPr>
        <w:pStyle w:val="BodyText"/>
        <w:spacing w:line="241" w:lineRule="auto"/>
        <w:rPr/>
      </w:pPr>
      <w:r/>
    </w:p>
    <w:p>
      <w:pPr>
        <w:ind w:left="17"/>
        <w:spacing w:before="91" w:line="224" w:lineRule="auto"/>
        <w:outlineLvl w:val="1"/>
        <w:rPr>
          <w:rFonts w:ascii="FangSong" w:hAnsi="FangSong" w:eastAsia="FangSong" w:cs="FangSong"/>
          <w:sz w:val="28"/>
          <w:szCs w:val="28"/>
        </w:rPr>
      </w:pPr>
      <w:bookmarkStart w:name="bookmark176" w:id="237"/>
      <w:bookmarkEnd w:id="237"/>
      <w:bookmarkStart w:name="bookmark178" w:id="238"/>
      <w:bookmarkEnd w:id="238"/>
      <w:bookmarkStart w:name="bookmark175" w:id="239"/>
      <w:bookmarkEnd w:id="239"/>
      <w:bookmarkStart w:name="bookmark177" w:id="240"/>
      <w:bookmarkEnd w:id="240"/>
      <w:r>
        <w:rPr>
          <w:rFonts w:ascii="Times New Roman" w:hAnsi="Times New Roman" w:eastAsia="Times New Roman" w:cs="Times New Roman"/>
          <w:sz w:val="28"/>
          <w:szCs w:val="28"/>
          <w:b/>
          <w:bCs/>
          <w:spacing w:val="-5"/>
        </w:rPr>
        <w:t>4.12</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5"/>
        </w:rPr>
        <w:t>工程占地</w:t>
      </w:r>
    </w:p>
    <w:p>
      <w:pPr>
        <w:ind w:left="16"/>
        <w:spacing w:before="197" w:line="222" w:lineRule="auto"/>
        <w:outlineLvl w:val="2"/>
        <w:rPr>
          <w:rFonts w:ascii="FangSong" w:hAnsi="FangSong" w:eastAsia="FangSong" w:cs="FangSong"/>
          <w:sz w:val="24"/>
          <w:szCs w:val="24"/>
        </w:rPr>
      </w:pPr>
      <w:bookmarkStart w:name="bookmark553" w:id="241"/>
      <w:bookmarkEnd w:id="241"/>
      <w:r>
        <w:rPr>
          <w:rFonts w:ascii="Times New Roman" w:hAnsi="Times New Roman" w:eastAsia="Times New Roman" w:cs="Times New Roman"/>
          <w:sz w:val="24"/>
          <w:szCs w:val="24"/>
          <w:b/>
          <w:bCs/>
          <w:spacing w:val="-4"/>
        </w:rPr>
        <w:t>4.12.1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工程占地情况</w:t>
      </w:r>
    </w:p>
    <w:p>
      <w:pPr>
        <w:ind w:left="26" w:firstLine="480"/>
        <w:spacing w:before="180" w:line="359" w:lineRule="auto"/>
        <w:rPr>
          <w:rFonts w:ascii="FangSong" w:hAnsi="FangSong" w:eastAsia="FangSong" w:cs="FangSong"/>
          <w:sz w:val="24"/>
          <w:szCs w:val="24"/>
        </w:rPr>
      </w:pPr>
      <w:r>
        <w:rPr>
          <w:rFonts w:ascii="FangSong" w:hAnsi="FangSong" w:eastAsia="FangSong" w:cs="FangSong"/>
          <w:sz w:val="24"/>
          <w:szCs w:val="24"/>
          <w:spacing w:val="-4"/>
        </w:rPr>
        <w:t>本项目采矿区面积</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1776km</w:t>
      </w:r>
      <w:r>
        <w:rPr>
          <w:rFonts w:ascii="Times New Roman" w:hAnsi="Times New Roman" w:eastAsia="Times New Roman" w:cs="Times New Roman"/>
          <w:sz w:val="15"/>
          <w:szCs w:val="15"/>
          <w:spacing w:val="-4"/>
          <w:position w:val="8"/>
        </w:rPr>
        <w:t>2</w:t>
      </w:r>
      <w:r>
        <w:rPr>
          <w:rFonts w:ascii="FangSong" w:hAnsi="FangSong" w:eastAsia="FangSong" w:cs="FangSong"/>
          <w:sz w:val="24"/>
          <w:szCs w:val="24"/>
          <w:spacing w:val="-4"/>
        </w:rPr>
        <w:t>，根据《</w:t>
      </w:r>
      <w:r>
        <w:rPr>
          <w:rFonts w:ascii="Times New Roman" w:hAnsi="Times New Roman" w:eastAsia="Times New Roman" w:cs="Times New Roman"/>
          <w:sz w:val="24"/>
          <w:szCs w:val="24"/>
          <w:spacing w:val="-4"/>
        </w:rPr>
        <w:t>&lt;</w:t>
      </w:r>
      <w:r>
        <w:rPr>
          <w:rFonts w:ascii="FangSong" w:hAnsi="FangSong" w:eastAsia="FangSong" w:cs="FangSong"/>
          <w:sz w:val="24"/>
          <w:szCs w:val="24"/>
          <w:spacing w:val="-4"/>
        </w:rPr>
        <w:t>关</w:t>
      </w:r>
      <w:r>
        <w:rPr>
          <w:rFonts w:ascii="FangSong" w:hAnsi="FangSong" w:eastAsia="FangSong" w:cs="FangSong"/>
          <w:sz w:val="24"/>
          <w:szCs w:val="24"/>
          <w:spacing w:val="-5"/>
        </w:rPr>
        <w:t>于苏尼特右旗富邦矿业有限公司桑宝</w:t>
      </w:r>
      <w:r>
        <w:rPr>
          <w:rFonts w:ascii="FangSong" w:hAnsi="FangSong" w:eastAsia="FangSong" w:cs="FangSong"/>
          <w:sz w:val="24"/>
          <w:szCs w:val="24"/>
          <w:spacing w:val="2"/>
        </w:rPr>
        <w:t>力嘎额尔登塔拉萤石矿区采矿权范围内是否涉及各级各类自然保护地、基本草原、</w:t>
      </w:r>
      <w:r>
        <w:rPr>
          <w:rFonts w:ascii="FangSong" w:hAnsi="FangSong" w:eastAsia="FangSong" w:cs="FangSong"/>
          <w:sz w:val="24"/>
          <w:szCs w:val="24"/>
          <w:spacing w:val="-3"/>
        </w:rPr>
        <w:t>林地、湿地的函</w:t>
      </w:r>
      <w:r>
        <w:rPr>
          <w:rFonts w:ascii="Times New Roman" w:hAnsi="Times New Roman" w:eastAsia="Times New Roman" w:cs="Times New Roman"/>
          <w:sz w:val="24"/>
          <w:szCs w:val="24"/>
          <w:spacing w:val="-3"/>
        </w:rPr>
        <w:t>&gt;</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的复函》及调查可知，本项目采矿</w:t>
      </w:r>
      <w:r>
        <w:rPr>
          <w:rFonts w:ascii="FangSong" w:hAnsi="FangSong" w:eastAsia="FangSong" w:cs="FangSong"/>
          <w:sz w:val="24"/>
          <w:szCs w:val="24"/>
          <w:spacing w:val="-4"/>
        </w:rPr>
        <w:t>区涉及灌木林地</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80334m</w:t>
      </w:r>
      <w:r>
        <w:rPr>
          <w:rFonts w:ascii="Times New Roman" w:hAnsi="Times New Roman" w:eastAsia="Times New Roman" w:cs="Times New Roman"/>
          <w:sz w:val="15"/>
          <w:szCs w:val="15"/>
          <w:spacing w:val="-4"/>
          <w:position w:val="8"/>
        </w:rPr>
        <w:t>2 </w:t>
      </w:r>
      <w:r>
        <w:rPr>
          <w:rFonts w:ascii="FangSong" w:hAnsi="FangSong" w:eastAsia="FangSong" w:cs="FangSong"/>
          <w:sz w:val="24"/>
          <w:szCs w:val="24"/>
          <w:spacing w:val="-4"/>
        </w:rPr>
        <w:t>、内陆</w:t>
      </w:r>
      <w:r>
        <w:rPr>
          <w:rFonts w:ascii="FangSong" w:hAnsi="FangSong" w:eastAsia="FangSong" w:cs="FangSong"/>
          <w:sz w:val="24"/>
          <w:szCs w:val="24"/>
          <w:spacing w:val="-5"/>
        </w:rPr>
        <w:t>滩涂</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5"/>
        </w:rPr>
        <w:t>219650m</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、天然牧草地</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10619910m</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、农村宅基地</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5"/>
        </w:rPr>
        <w:t>4600m</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、工业用地</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37900m</w:t>
      </w:r>
      <w:r>
        <w:rPr>
          <w:rFonts w:ascii="Times New Roman" w:hAnsi="Times New Roman" w:eastAsia="Times New Roman" w:cs="Times New Roman"/>
          <w:sz w:val="15"/>
          <w:szCs w:val="15"/>
          <w:spacing w:val="-5"/>
          <w:position w:val="7"/>
        </w:rPr>
        <w:t>2</w:t>
      </w:r>
      <w:r>
        <w:rPr>
          <w:rFonts w:ascii="FangSong" w:hAnsi="FangSong" w:eastAsia="FangSong" w:cs="FangSong"/>
          <w:sz w:val="24"/>
          <w:szCs w:val="24"/>
          <w:spacing w:val="-5"/>
        </w:rPr>
        <w:t>、</w:t>
      </w:r>
      <w:r>
        <w:rPr>
          <w:rFonts w:ascii="FangSong" w:hAnsi="FangSong" w:eastAsia="FangSong" w:cs="FangSong"/>
          <w:sz w:val="24"/>
          <w:szCs w:val="24"/>
          <w:spacing w:val="-4"/>
        </w:rPr>
        <w:t>道路用地</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15300m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、沙地</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67106m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、湖泊水域</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132800</w:t>
      </w:r>
      <w:r>
        <w:rPr>
          <w:rFonts w:ascii="Times New Roman" w:hAnsi="Times New Roman" w:eastAsia="Times New Roman" w:cs="Times New Roman"/>
          <w:sz w:val="24"/>
          <w:szCs w:val="24"/>
          <w:spacing w:val="-5"/>
        </w:rPr>
        <w:t>m</w:t>
      </w:r>
      <w:r>
        <w:rPr>
          <w:rFonts w:ascii="Times New Roman" w:hAnsi="Times New Roman" w:eastAsia="Times New Roman" w:cs="Times New Roman"/>
          <w:sz w:val="15"/>
          <w:szCs w:val="15"/>
          <w:spacing w:val="-5"/>
          <w:position w:val="7"/>
        </w:rPr>
        <w:t>2</w:t>
      </w:r>
      <w:r>
        <w:rPr>
          <w:rFonts w:ascii="FangSong" w:hAnsi="FangSong" w:eastAsia="FangSong" w:cs="FangSong"/>
          <w:sz w:val="24"/>
          <w:szCs w:val="24"/>
          <w:spacing w:val="-5"/>
        </w:rPr>
        <w:t>。</w:t>
      </w:r>
    </w:p>
    <w:p>
      <w:pPr>
        <w:ind w:left="26" w:right="76" w:firstLine="480"/>
        <w:spacing w:before="1" w:line="356" w:lineRule="auto"/>
        <w:jc w:val="both"/>
        <w:rPr>
          <w:rFonts w:ascii="Times New Roman" w:hAnsi="Times New Roman" w:eastAsia="Times New Roman" w:cs="Times New Roman"/>
          <w:sz w:val="24"/>
          <w:szCs w:val="24"/>
        </w:rPr>
      </w:pPr>
      <w:r>
        <w:rPr>
          <w:rFonts w:ascii="FangSong" w:hAnsi="FangSong" w:eastAsia="FangSong" w:cs="FangSong"/>
          <w:sz w:val="24"/>
          <w:szCs w:val="24"/>
          <w:spacing w:val="-1"/>
        </w:rPr>
        <w:t>本项目永久占地面积为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72203m²</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w:t>
      </w:r>
      <w:r>
        <w:rPr>
          <w:rFonts w:ascii="FangSong" w:hAnsi="FangSong" w:eastAsia="FangSong" w:cs="FangSong"/>
          <w:sz w:val="24"/>
          <w:szCs w:val="24"/>
          <w:spacing w:val="69"/>
        </w:rPr>
        <w:t xml:space="preserve"> </w:t>
      </w:r>
      <w:r>
        <w:rPr>
          <w:rFonts w:ascii="FangSong" w:hAnsi="FangSong" w:eastAsia="FangSong" w:cs="FangSong"/>
          <w:sz w:val="24"/>
          <w:szCs w:val="24"/>
          <w:spacing w:val="-1"/>
        </w:rPr>
        <w:t>根据《关于苏尼特右旗富邦矿业有限</w:t>
      </w:r>
      <w:r>
        <w:rPr>
          <w:rFonts w:ascii="FangSong" w:hAnsi="FangSong" w:eastAsia="FangSong" w:cs="FangSong"/>
          <w:sz w:val="24"/>
          <w:szCs w:val="24"/>
          <w:spacing w:val="-2"/>
        </w:rPr>
        <w:t>公司苏</w:t>
      </w:r>
      <w:r>
        <w:rPr>
          <w:rFonts w:ascii="FangSong" w:hAnsi="FangSong" w:eastAsia="FangSong" w:cs="FangSong"/>
          <w:sz w:val="24"/>
          <w:szCs w:val="24"/>
          <w:spacing w:val="1"/>
        </w:rPr>
        <w:t>尼特右旗桑宝力嘎额尔登塔拉萤石矿</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1"/>
        </w:rPr>
        <w:t>采选项目用地预审</w:t>
      </w:r>
      <w:r>
        <w:rPr>
          <w:rFonts w:ascii="FangSong" w:hAnsi="FangSong" w:eastAsia="FangSong" w:cs="FangSong"/>
          <w:sz w:val="24"/>
          <w:szCs w:val="24"/>
        </w:rPr>
        <w:t>与选址意见书的批</w:t>
      </w:r>
      <w:r>
        <w:rPr>
          <w:rFonts w:ascii="FangSong" w:hAnsi="FangSong" w:eastAsia="FangSong" w:cs="FangSong"/>
          <w:sz w:val="24"/>
          <w:szCs w:val="24"/>
          <w:spacing w:val="-3"/>
        </w:rPr>
        <w:t>复》（苏右自然资发</w:t>
      </w:r>
      <w:r>
        <w:rPr>
          <w:rFonts w:ascii="Times New Roman" w:hAnsi="Times New Roman" w:eastAsia="Times New Roman" w:cs="Times New Roman"/>
          <w:sz w:val="24"/>
          <w:szCs w:val="24"/>
          <w:spacing w:val="-3"/>
        </w:rPr>
        <w:t>[2025]248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号）涉及天然牧草地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72093m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、农村道路</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110m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w:t>
      </w:r>
    </w:p>
    <w:p>
      <w:pPr>
        <w:ind w:left="77" w:right="74" w:firstLine="430"/>
        <w:spacing w:before="10" w:line="359" w:lineRule="auto"/>
        <w:rPr>
          <w:rFonts w:ascii="FangSong" w:hAnsi="FangSong" w:eastAsia="FangSong" w:cs="FangSong"/>
          <w:sz w:val="24"/>
          <w:szCs w:val="24"/>
        </w:rPr>
      </w:pPr>
      <w:r>
        <w:rPr>
          <w:rFonts w:ascii="FangSong" w:hAnsi="FangSong" w:eastAsia="FangSong" w:cs="FangSong"/>
          <w:sz w:val="24"/>
          <w:szCs w:val="24"/>
          <w:spacing w:val="1"/>
        </w:rPr>
        <w:t>本次新建一座炸药库，企业按照《民用爆炸物品安全管理条例》对炸药库进行</w:t>
      </w:r>
      <w:r>
        <w:rPr>
          <w:rFonts w:ascii="FangSong" w:hAnsi="FangSong" w:eastAsia="FangSong" w:cs="FangSong"/>
          <w:sz w:val="24"/>
          <w:szCs w:val="24"/>
          <w:spacing w:val="-3"/>
        </w:rPr>
        <w:t>日常管理，由当地公安机关进行监管。其建设必要性如下：</w:t>
      </w:r>
    </w:p>
    <w:p>
      <w:pPr>
        <w:ind w:left="28" w:right="11" w:firstLine="483"/>
        <w:spacing w:before="1" w:line="290"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w:t>
      </w:r>
      <w:r>
        <w:rPr>
          <w:rFonts w:ascii="FangSong" w:hAnsi="FangSong" w:eastAsia="FangSong" w:cs="FangSong"/>
          <w:sz w:val="24"/>
          <w:szCs w:val="24"/>
          <w:spacing w:val="-7"/>
        </w:rPr>
        <w:t>）提高爆破作业效率：矿山开采依赖爆破作业，炸药库</w:t>
      </w:r>
      <w:r>
        <w:rPr>
          <w:rFonts w:ascii="FangSong" w:hAnsi="FangSong" w:eastAsia="FangSong" w:cs="FangSong"/>
          <w:sz w:val="24"/>
          <w:szCs w:val="24"/>
          <w:spacing w:val="-8"/>
        </w:rPr>
        <w:t>可确保炸药供应及时，</w:t>
      </w:r>
      <w:r>
        <w:rPr>
          <w:rFonts w:ascii="FangSong" w:hAnsi="FangSong" w:eastAsia="FangSong" w:cs="FangSong"/>
          <w:sz w:val="24"/>
          <w:szCs w:val="24"/>
          <w:spacing w:val="-1"/>
        </w:rPr>
        <w:t>减少停工等待时间。避免因炸药供应不足影响生产进度，降低经济损失。</w:t>
      </w:r>
    </w:p>
    <w:p>
      <w:pPr>
        <w:ind w:left="28" w:right="74" w:firstLine="483"/>
        <w:spacing w:before="182"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）降低运输与储存风险：矿山通常位于偏远地区，若每次爆破作业都临时运</w:t>
      </w:r>
      <w:r>
        <w:rPr>
          <w:rFonts w:ascii="FangSong" w:hAnsi="FangSong" w:eastAsia="FangSong" w:cs="FangSong"/>
          <w:sz w:val="24"/>
          <w:szCs w:val="24"/>
          <w:spacing w:val="1"/>
        </w:rPr>
        <w:t>输炸药，不仅成本高，且运输途中易发生事故。建设炸药库可减少频繁运输，降低</w:t>
      </w:r>
      <w:r>
        <w:rPr>
          <w:rFonts w:ascii="FangSong" w:hAnsi="FangSong" w:eastAsia="FangSong" w:cs="FangSong"/>
          <w:sz w:val="24"/>
          <w:szCs w:val="24"/>
          <w:spacing w:val="-4"/>
        </w:rPr>
        <w:t>运输风险。</w:t>
      </w:r>
    </w:p>
    <w:p>
      <w:pPr>
        <w:ind w:left="26" w:right="76" w:firstLine="485"/>
        <w:spacing w:before="176" w:line="29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）适应矿山长期运营需求：矿山开采周期长，炸药库是长期稳定生产的必备</w:t>
      </w:r>
      <w:r>
        <w:rPr>
          <w:rFonts w:ascii="FangSong" w:hAnsi="FangSong" w:eastAsia="FangSong" w:cs="FangSong"/>
          <w:sz w:val="24"/>
          <w:szCs w:val="24"/>
          <w:spacing w:val="-1"/>
        </w:rPr>
        <w:t>设施。临时存放点无法满足长期安全管理要求，易导致监管漏洞。</w:t>
      </w:r>
    </w:p>
    <w:p>
      <w:pPr>
        <w:ind w:left="16"/>
        <w:spacing w:before="181" w:line="222" w:lineRule="auto"/>
        <w:outlineLvl w:val="2"/>
        <w:rPr>
          <w:rFonts w:ascii="FangSong" w:hAnsi="FangSong" w:eastAsia="FangSong" w:cs="FangSong"/>
          <w:sz w:val="24"/>
          <w:szCs w:val="24"/>
        </w:rPr>
      </w:pPr>
      <w:bookmarkStart w:name="bookmark180" w:id="242"/>
      <w:bookmarkEnd w:id="242"/>
      <w:bookmarkStart w:name="bookmark179" w:id="243"/>
      <w:bookmarkEnd w:id="243"/>
      <w:r>
        <w:rPr>
          <w:rFonts w:ascii="Times New Roman" w:hAnsi="Times New Roman" w:eastAsia="Times New Roman" w:cs="Times New Roman"/>
          <w:sz w:val="24"/>
          <w:szCs w:val="24"/>
          <w:b/>
          <w:bCs/>
          <w:spacing w:val="-2"/>
        </w:rPr>
        <w:t>4.12.2  </w:t>
      </w:r>
      <w:r>
        <w:rPr>
          <w:rFonts w:ascii="FangSong" w:hAnsi="FangSong" w:eastAsia="FangSong" w:cs="FangSong"/>
          <w:sz w:val="24"/>
          <w:szCs w:val="24"/>
          <w:b/>
          <w:bCs/>
          <w:spacing w:val="-2"/>
        </w:rPr>
        <w:t>工程拆迁安置情况</w:t>
      </w:r>
    </w:p>
    <w:p>
      <w:pPr>
        <w:ind w:left="27" w:right="129" w:firstLine="479"/>
        <w:spacing w:before="179" w:line="359" w:lineRule="auto"/>
        <w:rPr>
          <w:rFonts w:ascii="FangSong" w:hAnsi="FangSong" w:eastAsia="FangSong" w:cs="FangSong"/>
          <w:sz w:val="24"/>
          <w:szCs w:val="24"/>
        </w:rPr>
      </w:pPr>
      <w:r>
        <w:rPr>
          <w:rFonts w:ascii="FangSong" w:hAnsi="FangSong" w:eastAsia="FangSong" w:cs="FangSong"/>
          <w:sz w:val="24"/>
          <w:szCs w:val="24"/>
        </w:rPr>
        <w:t>经现场踏查，本项目矿区及用地范围内无居</w:t>
      </w:r>
      <w:r>
        <w:rPr>
          <w:rFonts w:ascii="FangSong" w:hAnsi="FangSong" w:eastAsia="FangSong" w:cs="FangSong"/>
          <w:sz w:val="24"/>
          <w:szCs w:val="24"/>
          <w:spacing w:val="-1"/>
        </w:rPr>
        <w:t>民住宅、市政建、构筑物，因此，</w:t>
      </w:r>
      <w:r>
        <w:rPr>
          <w:rFonts w:ascii="FangSong" w:hAnsi="FangSong" w:eastAsia="FangSong" w:cs="FangSong"/>
          <w:sz w:val="24"/>
          <w:szCs w:val="24"/>
          <w:spacing w:val="-2"/>
        </w:rPr>
        <w:t>项目矿山开发不涉及拆迁及安置。</w:t>
      </w:r>
    </w:p>
    <w:p>
      <w:pPr>
        <w:ind w:left="16"/>
        <w:spacing w:before="1" w:line="224" w:lineRule="auto"/>
        <w:outlineLvl w:val="2"/>
        <w:rPr>
          <w:rFonts w:ascii="FangSong" w:hAnsi="FangSong" w:eastAsia="FangSong" w:cs="FangSong"/>
          <w:sz w:val="24"/>
          <w:szCs w:val="24"/>
        </w:rPr>
      </w:pPr>
      <w:bookmarkStart w:name="bookmark182" w:id="244"/>
      <w:bookmarkEnd w:id="244"/>
      <w:bookmarkStart w:name="bookmark181" w:id="245"/>
      <w:bookmarkEnd w:id="245"/>
      <w:r>
        <w:rPr>
          <w:rFonts w:ascii="Times New Roman" w:hAnsi="Times New Roman" w:eastAsia="Times New Roman" w:cs="Times New Roman"/>
          <w:sz w:val="24"/>
          <w:szCs w:val="24"/>
          <w:b/>
          <w:bCs/>
          <w:spacing w:val="-4"/>
        </w:rPr>
        <w:t>4.12.3</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4"/>
        </w:rPr>
        <w:t>土石方</w:t>
      </w:r>
    </w:p>
    <w:p>
      <w:pPr>
        <w:ind w:left="511"/>
        <w:spacing w:before="173" w:line="22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）井巷掘进</w:t>
      </w:r>
    </w:p>
    <w:p>
      <w:pPr>
        <w:ind w:left="28" w:right="76" w:firstLine="479"/>
        <w:spacing w:before="177" w:line="359" w:lineRule="auto"/>
        <w:rPr>
          <w:rFonts w:ascii="FangSong" w:hAnsi="FangSong" w:eastAsia="FangSong" w:cs="FangSong"/>
          <w:sz w:val="24"/>
          <w:szCs w:val="24"/>
        </w:rPr>
      </w:pPr>
      <w:r>
        <w:rPr>
          <w:rFonts w:ascii="FangSong" w:hAnsi="FangSong" w:eastAsia="FangSong" w:cs="FangSong"/>
          <w:sz w:val="24"/>
          <w:szCs w:val="24"/>
          <w:spacing w:val="-1"/>
        </w:rPr>
        <w:t>根据《苏尼特右旗富邦矿业有限公司苏尼特</w:t>
      </w:r>
      <w:r>
        <w:rPr>
          <w:rFonts w:ascii="FangSong" w:hAnsi="FangSong" w:eastAsia="FangSong" w:cs="FangSong"/>
          <w:sz w:val="24"/>
          <w:szCs w:val="24"/>
          <w:spacing w:val="-2"/>
        </w:rPr>
        <w:t>右旗桑宝力嘎额尔登塔拉萤石矿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w:t>
      </w:r>
      <w:r>
        <w:rPr>
          <w:rFonts w:ascii="FangSong" w:hAnsi="FangSong" w:eastAsia="FangSong" w:cs="FangSong"/>
          <w:sz w:val="24"/>
          <w:szCs w:val="24"/>
          <w:spacing w:val="-1"/>
        </w:rPr>
        <w:t>万吨</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年采选项目可行性研究报告》和《苏尼特右旗桑宝力嘎额尔登塔拉萤石矿开采</w:t>
      </w:r>
      <w:r>
        <w:rPr>
          <w:rFonts w:ascii="FangSong" w:hAnsi="FangSong" w:eastAsia="FangSong" w:cs="FangSong"/>
          <w:sz w:val="24"/>
          <w:szCs w:val="24"/>
          <w:spacing w:val="-2"/>
        </w:rPr>
        <w:t>方案》，建设期井巷掘进产生基建废石约</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5400m</w:t>
      </w:r>
      <w:r>
        <w:rPr>
          <w:rFonts w:ascii="Times New Roman" w:hAnsi="Times New Roman" w:eastAsia="Times New Roman" w:cs="Times New Roman"/>
          <w:sz w:val="15"/>
          <w:szCs w:val="15"/>
          <w:spacing w:val="-2"/>
          <w:position w:val="8"/>
        </w:rPr>
        <w:t>3 </w:t>
      </w:r>
      <w:r>
        <w:rPr>
          <w:rFonts w:ascii="FangSong" w:hAnsi="FangSong" w:eastAsia="FangSong" w:cs="FangSong"/>
          <w:sz w:val="24"/>
          <w:szCs w:val="24"/>
          <w:spacing w:val="-2"/>
        </w:rPr>
        <w:t>，均不出井用于回填井下空区。</w:t>
      </w:r>
    </w:p>
    <w:p>
      <w:pPr>
        <w:ind w:left="511"/>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）工业广场</w:t>
      </w:r>
    </w:p>
    <w:p>
      <w:pPr>
        <w:ind w:left="26" w:right="76" w:firstLine="480"/>
        <w:spacing w:before="178" w:line="360" w:lineRule="auto"/>
        <w:rPr>
          <w:rFonts w:ascii="FangSong" w:hAnsi="FangSong" w:eastAsia="FangSong" w:cs="FangSong"/>
          <w:sz w:val="24"/>
          <w:szCs w:val="24"/>
        </w:rPr>
      </w:pPr>
      <w:r>
        <w:rPr>
          <w:rFonts w:ascii="FangSong" w:hAnsi="FangSong" w:eastAsia="FangSong" w:cs="FangSong"/>
          <w:sz w:val="24"/>
          <w:szCs w:val="24"/>
          <w:spacing w:val="1"/>
        </w:rPr>
        <w:t>建设包括主井、通风井、炸药库、堆场、选矿厂级其他生产辅助设施在内的工</w:t>
      </w:r>
      <w:r>
        <w:rPr>
          <w:rFonts w:ascii="FangSong" w:hAnsi="FangSong" w:eastAsia="FangSong" w:cs="FangSong"/>
          <w:sz w:val="24"/>
          <w:szCs w:val="24"/>
          <w:spacing w:val="1"/>
        </w:rPr>
        <w:t>业广场内新建构筑物建筑基建及截排水沟、边坡防护等工程前进行表土剥离，剥离</w:t>
      </w:r>
    </w:p>
    <w:p>
      <w:pPr>
        <w:spacing w:line="360" w:lineRule="auto"/>
        <w:sectPr>
          <w:footerReference w:type="default" r:id="rId140"/>
          <w:pgSz w:w="11911" w:h="16839"/>
          <w:pgMar w:top="400" w:right="1341"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126" w:right="75"/>
        <w:spacing w:before="78" w:line="359" w:lineRule="auto"/>
        <w:jc w:val="both"/>
        <w:rPr>
          <w:rFonts w:ascii="FangSong" w:hAnsi="FangSong" w:eastAsia="FangSong" w:cs="FangSong"/>
          <w:sz w:val="24"/>
          <w:szCs w:val="24"/>
        </w:rPr>
      </w:pPr>
      <w:r>
        <w:rPr>
          <w:rFonts w:ascii="FangSong" w:hAnsi="FangSong" w:eastAsia="FangSong" w:cs="FangSong"/>
          <w:sz w:val="24"/>
          <w:szCs w:val="24"/>
          <w:spacing w:val="-4"/>
        </w:rPr>
        <w:t>表土平均厚度为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0.30m</w:t>
      </w:r>
      <w:r>
        <w:rPr>
          <w:rFonts w:ascii="FangSong" w:hAnsi="FangSong" w:eastAsia="FangSong" w:cs="FangSong"/>
          <w:sz w:val="24"/>
          <w:szCs w:val="24"/>
          <w:spacing w:val="-4"/>
        </w:rPr>
        <w:t>，拟剥离面积为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20113m2</w:t>
      </w:r>
      <w:r>
        <w:rPr>
          <w:rFonts w:ascii="FangSong" w:hAnsi="FangSong" w:eastAsia="FangSong" w:cs="FangSong"/>
          <w:sz w:val="24"/>
          <w:szCs w:val="24"/>
          <w:spacing w:val="-4"/>
        </w:rPr>
        <w:t>，</w:t>
      </w:r>
      <w:r>
        <w:rPr>
          <w:rFonts w:ascii="FangSong" w:hAnsi="FangSong" w:eastAsia="FangSong" w:cs="FangSong"/>
          <w:sz w:val="24"/>
          <w:szCs w:val="24"/>
          <w:spacing w:val="-5"/>
        </w:rPr>
        <w:t>共剥离表土量为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6033.9m</w:t>
      </w:r>
      <w:r>
        <w:rPr>
          <w:rFonts w:ascii="Times New Roman" w:hAnsi="Times New Roman" w:eastAsia="Times New Roman" w:cs="Times New Roman"/>
          <w:sz w:val="15"/>
          <w:szCs w:val="15"/>
          <w:spacing w:val="-5"/>
          <w:position w:val="8"/>
        </w:rPr>
        <w:t>3</w:t>
      </w:r>
      <w:r>
        <w:rPr>
          <w:rFonts w:ascii="FangSong" w:hAnsi="FangSong" w:eastAsia="FangSong" w:cs="FangSong"/>
          <w:sz w:val="24"/>
          <w:szCs w:val="24"/>
          <w:spacing w:val="-5"/>
        </w:rPr>
        <w:t>，将剥离</w:t>
      </w:r>
      <w:r>
        <w:rPr>
          <w:rFonts w:ascii="FangSong" w:hAnsi="FangSong" w:eastAsia="FangSong" w:cs="FangSong"/>
          <w:sz w:val="24"/>
          <w:szCs w:val="24"/>
          <w:spacing w:val="-3"/>
        </w:rPr>
        <w:t>的表土用于基建期结束后场地平整覆土（回填量为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1500.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15m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9"/>
        </w:rPr>
        <w:t>），</w:t>
      </w:r>
      <w:r>
        <w:rPr>
          <w:rFonts w:ascii="FangSong" w:hAnsi="FangSong" w:eastAsia="FangSong" w:cs="FangSong"/>
          <w:sz w:val="24"/>
          <w:szCs w:val="24"/>
          <w:spacing w:val="-3"/>
        </w:rPr>
        <w:t>余下的表土堆</w:t>
      </w:r>
      <w:r>
        <w:rPr>
          <w:rFonts w:ascii="FangSong" w:hAnsi="FangSong" w:eastAsia="FangSong" w:cs="FangSong"/>
          <w:sz w:val="24"/>
          <w:szCs w:val="24"/>
          <w:spacing w:val="-4"/>
        </w:rPr>
        <w:t>存于</w:t>
      </w:r>
      <w:r>
        <w:rPr>
          <w:rFonts w:ascii="FangSong" w:hAnsi="FangSong" w:eastAsia="FangSong" w:cs="FangSong"/>
          <w:sz w:val="24"/>
          <w:szCs w:val="24"/>
          <w:spacing w:val="-2"/>
        </w:rPr>
        <w:t>表土堆场中用于闭矿期后的矿山环境恢复治理。基建</w:t>
      </w:r>
      <w:r>
        <w:rPr>
          <w:rFonts w:ascii="FangSong" w:hAnsi="FangSong" w:eastAsia="FangSong" w:cs="FangSong"/>
          <w:sz w:val="24"/>
          <w:szCs w:val="24"/>
          <w:spacing w:val="-3"/>
        </w:rPr>
        <w:t>产生土石方挖方量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12067.8m</w:t>
      </w:r>
      <w:r>
        <w:rPr>
          <w:rFonts w:ascii="Times New Roman" w:hAnsi="Times New Roman" w:eastAsia="Times New Roman" w:cs="Times New Roman"/>
          <w:sz w:val="15"/>
          <w:szCs w:val="15"/>
          <w:spacing w:val="-3"/>
          <w:position w:val="8"/>
        </w:rPr>
        <w:t>3</w:t>
      </w:r>
      <w:r>
        <w:rPr>
          <w:rFonts w:ascii="FangSong" w:hAnsi="FangSong" w:eastAsia="FangSong" w:cs="FangSong"/>
          <w:sz w:val="24"/>
          <w:szCs w:val="24"/>
          <w:spacing w:val="-3"/>
        </w:rPr>
        <w:t>，</w:t>
      </w:r>
      <w:r>
        <w:rPr>
          <w:rFonts w:ascii="FangSong" w:hAnsi="FangSong" w:eastAsia="FangSong" w:cs="FangSong"/>
          <w:sz w:val="24"/>
          <w:szCs w:val="24"/>
          <w:spacing w:val="-5"/>
        </w:rPr>
        <w:t>回填量</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5"/>
        </w:rPr>
        <w:t>12067.8m</w:t>
      </w:r>
      <w:r>
        <w:rPr>
          <w:rFonts w:ascii="Times New Roman" w:hAnsi="Times New Roman" w:eastAsia="Times New Roman" w:cs="Times New Roman"/>
          <w:sz w:val="15"/>
          <w:szCs w:val="15"/>
          <w:spacing w:val="-5"/>
          <w:position w:val="7"/>
        </w:rPr>
        <w:t>3 </w:t>
      </w:r>
      <w:r>
        <w:rPr>
          <w:rFonts w:ascii="FangSong" w:hAnsi="FangSong" w:eastAsia="FangSong" w:cs="FangSong"/>
          <w:sz w:val="24"/>
          <w:szCs w:val="24"/>
          <w:spacing w:val="-5"/>
        </w:rPr>
        <w:t>，无余方。</w:t>
      </w:r>
    </w:p>
    <w:p>
      <w:pPr>
        <w:ind w:left="609"/>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）矿区道路</w:t>
      </w:r>
    </w:p>
    <w:p>
      <w:pPr>
        <w:ind w:left="124" w:right="43" w:firstLine="480"/>
        <w:spacing w:before="177" w:line="359" w:lineRule="auto"/>
        <w:rPr>
          <w:rFonts w:ascii="FangSong" w:hAnsi="FangSong" w:eastAsia="FangSong" w:cs="FangSong"/>
          <w:sz w:val="24"/>
          <w:szCs w:val="24"/>
        </w:rPr>
      </w:pPr>
      <w:r>
        <w:rPr>
          <w:rFonts w:ascii="FangSong" w:hAnsi="FangSong" w:eastAsia="FangSong" w:cs="FangSong"/>
          <w:sz w:val="24"/>
          <w:szCs w:val="24"/>
          <w:spacing w:val="1"/>
        </w:rPr>
        <w:t>矿区道路及两侧新建排水沟进行表土剥离，剥离表土平均厚度为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1"/>
        </w:rPr>
        <w:t>0.30m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，拟剥</w:t>
      </w:r>
      <w:r>
        <w:rPr>
          <w:rFonts w:ascii="FangSong" w:hAnsi="FangSong" w:eastAsia="FangSong" w:cs="FangSong"/>
          <w:sz w:val="24"/>
          <w:szCs w:val="24"/>
          <w:spacing w:val="-2"/>
        </w:rPr>
        <w:t>离面积为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19464m2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，共剥离表土量为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583</w:t>
      </w:r>
      <w:r>
        <w:rPr>
          <w:rFonts w:ascii="Times New Roman" w:hAnsi="Times New Roman" w:eastAsia="Times New Roman" w:cs="Times New Roman"/>
          <w:sz w:val="24"/>
          <w:szCs w:val="24"/>
          <w:spacing w:val="-3"/>
        </w:rPr>
        <w:t>9.2m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，拟将剥离的表土用于基建期结束后</w:t>
      </w:r>
      <w:r>
        <w:rPr>
          <w:rFonts w:ascii="FangSong" w:hAnsi="FangSong" w:eastAsia="FangSong" w:cs="FangSong"/>
          <w:sz w:val="24"/>
          <w:szCs w:val="24"/>
          <w:spacing w:val="-2"/>
        </w:rPr>
        <w:t>场地平整覆土（回填量为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1950m</w:t>
      </w:r>
      <w:r>
        <w:rPr>
          <w:rFonts w:ascii="Times New Roman" w:hAnsi="Times New Roman" w:eastAsia="Times New Roman" w:cs="Times New Roman"/>
          <w:sz w:val="15"/>
          <w:szCs w:val="15"/>
          <w:spacing w:val="-2"/>
          <w:position w:val="7"/>
        </w:rPr>
        <w:t>3 </w:t>
      </w:r>
      <w:r>
        <w:rPr>
          <w:rFonts w:ascii="FangSong" w:hAnsi="FangSong" w:eastAsia="FangSong" w:cs="FangSong"/>
          <w:sz w:val="24"/>
          <w:szCs w:val="24"/>
          <w:spacing w:val="-17"/>
        </w:rPr>
        <w:t>），</w:t>
      </w:r>
      <w:r>
        <w:rPr>
          <w:rFonts w:ascii="FangSong" w:hAnsi="FangSong" w:eastAsia="FangSong" w:cs="FangSong"/>
          <w:sz w:val="24"/>
          <w:szCs w:val="24"/>
          <w:spacing w:val="-2"/>
        </w:rPr>
        <w:t>余下的表土堆存于表土堆场中用于闭矿期后的</w:t>
      </w:r>
      <w:r>
        <w:rPr>
          <w:rFonts w:ascii="FangSong" w:hAnsi="FangSong" w:eastAsia="FangSong" w:cs="FangSong"/>
          <w:sz w:val="24"/>
          <w:szCs w:val="24"/>
          <w:spacing w:val="-6"/>
        </w:rPr>
        <w:t>矿山环境恢复治理。矿区道路建设产生土石方挖方量</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6"/>
        </w:rPr>
        <w:t>11678.4m</w:t>
      </w:r>
      <w:r>
        <w:rPr>
          <w:rFonts w:ascii="Times New Roman" w:hAnsi="Times New Roman" w:eastAsia="Times New Roman" w:cs="Times New Roman"/>
          <w:sz w:val="15"/>
          <w:szCs w:val="15"/>
          <w:spacing w:val="-6"/>
          <w:position w:val="8"/>
        </w:rPr>
        <w:t>3 </w:t>
      </w:r>
      <w:r>
        <w:rPr>
          <w:rFonts w:ascii="FangSong" w:hAnsi="FangSong" w:eastAsia="FangSong" w:cs="FangSong"/>
          <w:sz w:val="24"/>
          <w:szCs w:val="24"/>
          <w:spacing w:val="-6"/>
        </w:rPr>
        <w:t>，回填量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11678.4m</w:t>
      </w:r>
      <w:r>
        <w:rPr>
          <w:rFonts w:ascii="Times New Roman" w:hAnsi="Times New Roman" w:eastAsia="Times New Roman" w:cs="Times New Roman"/>
          <w:sz w:val="15"/>
          <w:szCs w:val="15"/>
          <w:spacing w:val="-6"/>
          <w:position w:val="8"/>
        </w:rPr>
        <w:t>3</w:t>
      </w:r>
      <w:r>
        <w:rPr>
          <w:rFonts w:ascii="FangSong" w:hAnsi="FangSong" w:eastAsia="FangSong" w:cs="FangSong"/>
          <w:sz w:val="24"/>
          <w:szCs w:val="24"/>
          <w:spacing w:val="-6"/>
        </w:rPr>
        <w:t>，</w:t>
      </w:r>
      <w:r>
        <w:rPr>
          <w:rFonts w:ascii="FangSong" w:hAnsi="FangSong" w:eastAsia="FangSong" w:cs="FangSong"/>
          <w:sz w:val="24"/>
          <w:szCs w:val="24"/>
          <w:spacing w:val="-4"/>
        </w:rPr>
        <w:t>无余方。</w:t>
      </w:r>
    </w:p>
    <w:p>
      <w:pPr>
        <w:ind w:left="609"/>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）办公生活区</w:t>
      </w:r>
    </w:p>
    <w:p>
      <w:pPr>
        <w:ind w:left="124" w:right="106" w:firstLine="487"/>
        <w:spacing w:before="176" w:line="359" w:lineRule="auto"/>
        <w:rPr>
          <w:rFonts w:ascii="FangSong" w:hAnsi="FangSong" w:eastAsia="FangSong" w:cs="FangSong"/>
          <w:sz w:val="24"/>
          <w:szCs w:val="24"/>
        </w:rPr>
      </w:pPr>
      <w:r>
        <w:rPr>
          <w:rFonts w:ascii="FangSong" w:hAnsi="FangSong" w:eastAsia="FangSong" w:cs="FangSong"/>
          <w:sz w:val="24"/>
          <w:szCs w:val="24"/>
          <w:spacing w:val="1"/>
        </w:rPr>
        <w:t>办公用房及供排水设施管网基建进行表土剥离，剥离表土平均厚度为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0.30m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w:t>
      </w:r>
      <w:r>
        <w:rPr>
          <w:rFonts w:ascii="FangSong" w:hAnsi="FangSong" w:eastAsia="FangSong" w:cs="FangSong"/>
          <w:sz w:val="24"/>
          <w:szCs w:val="24"/>
          <w:spacing w:val="-3"/>
        </w:rPr>
        <w:t>拟剥离面积为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3"/>
        </w:rPr>
        <w:t>2447m2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，共剥离表土量为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734.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，拟将剥离的表土用于基建期结束</w:t>
      </w:r>
      <w:r>
        <w:rPr>
          <w:rFonts w:ascii="FangSong" w:hAnsi="FangSong" w:eastAsia="FangSong" w:cs="FangSong"/>
          <w:sz w:val="24"/>
          <w:szCs w:val="24"/>
        </w:rPr>
        <w:t>后场地平整覆土（回填量为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rPr>
        <w:t>517.05m</w:t>
      </w:r>
      <w:r>
        <w:rPr>
          <w:rFonts w:ascii="Times New Roman" w:hAnsi="Times New Roman" w:eastAsia="Times New Roman" w:cs="Times New Roman"/>
          <w:sz w:val="15"/>
          <w:szCs w:val="15"/>
          <w:position w:val="8"/>
        </w:rPr>
        <w:t>3 </w:t>
      </w:r>
      <w:r>
        <w:rPr>
          <w:rFonts w:ascii="FangSong" w:hAnsi="FangSong" w:eastAsia="FangSong" w:cs="FangSong"/>
          <w:sz w:val="24"/>
          <w:szCs w:val="24"/>
          <w:spacing w:val="-8"/>
        </w:rPr>
        <w:t>），</w:t>
      </w:r>
      <w:r>
        <w:rPr>
          <w:rFonts w:ascii="FangSong" w:hAnsi="FangSong" w:eastAsia="FangSong" w:cs="FangSong"/>
          <w:sz w:val="24"/>
          <w:szCs w:val="24"/>
        </w:rPr>
        <w:t>余下</w:t>
      </w:r>
      <w:r>
        <w:rPr>
          <w:rFonts w:ascii="FangSong" w:hAnsi="FangSong" w:eastAsia="FangSong" w:cs="FangSong"/>
          <w:sz w:val="24"/>
          <w:szCs w:val="24"/>
          <w:spacing w:val="-1"/>
        </w:rPr>
        <w:t>的表土堆存于表土堆场中用于闭矿期</w:t>
      </w:r>
      <w:r>
        <w:rPr>
          <w:rFonts w:ascii="FangSong" w:hAnsi="FangSong" w:eastAsia="FangSong" w:cs="FangSong"/>
          <w:sz w:val="24"/>
          <w:szCs w:val="24"/>
          <w:spacing w:val="-3"/>
        </w:rPr>
        <w:t>后的矿山环境恢复治理。基建产生土石方挖方量</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1468.2m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，回填量</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1468.2m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，无余</w:t>
      </w:r>
      <w:r>
        <w:rPr>
          <w:rFonts w:ascii="FangSong" w:hAnsi="FangSong" w:eastAsia="FangSong" w:cs="FangSong"/>
          <w:sz w:val="24"/>
          <w:szCs w:val="24"/>
          <w:spacing w:val="-8"/>
        </w:rPr>
        <w:t>方。</w:t>
      </w:r>
    </w:p>
    <w:p>
      <w:pPr>
        <w:ind w:left="138" w:right="106" w:firstLine="468"/>
        <w:spacing w:before="1" w:line="359" w:lineRule="auto"/>
        <w:jc w:val="both"/>
        <w:rPr>
          <w:rFonts w:ascii="FangSong" w:hAnsi="FangSong" w:eastAsia="FangSong" w:cs="FangSong"/>
          <w:sz w:val="24"/>
          <w:szCs w:val="24"/>
        </w:rPr>
      </w:pPr>
      <w:r>
        <w:rPr>
          <w:rFonts w:ascii="FangSong" w:hAnsi="FangSong" w:eastAsia="FangSong" w:cs="FangSong"/>
          <w:sz w:val="24"/>
          <w:szCs w:val="24"/>
          <w:spacing w:val="1"/>
        </w:rPr>
        <w:t>废石不出坑，直接充填至井下空区；基建产生的土方均回填进行场地平整。产</w:t>
      </w:r>
      <w:r>
        <w:rPr>
          <w:rFonts w:ascii="FangSong" w:hAnsi="FangSong" w:eastAsia="FangSong" w:cs="FangSong"/>
          <w:sz w:val="24"/>
          <w:szCs w:val="24"/>
          <w:spacing w:val="1"/>
        </w:rPr>
        <w:t>生的表土用于场地平整后覆土，余下暂存于表土堆场用于闭</w:t>
      </w:r>
      <w:r>
        <w:rPr>
          <w:rFonts w:ascii="FangSong" w:hAnsi="FangSong" w:eastAsia="FangSong" w:cs="FangSong"/>
          <w:sz w:val="24"/>
          <w:szCs w:val="24"/>
        </w:rPr>
        <w:t>矿期土地复垦使用。项</w:t>
      </w:r>
      <w:r>
        <w:rPr>
          <w:rFonts w:ascii="FangSong" w:hAnsi="FangSong" w:eastAsia="FangSong" w:cs="FangSong"/>
          <w:sz w:val="24"/>
          <w:szCs w:val="24"/>
          <w:spacing w:val="-3"/>
        </w:rPr>
        <w:t>目土石方平衡见表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4.12-1</w:t>
      </w:r>
      <w:r>
        <w:rPr>
          <w:rFonts w:ascii="FangSong" w:hAnsi="FangSong" w:eastAsia="FangSong" w:cs="FangSong"/>
          <w:sz w:val="24"/>
          <w:szCs w:val="24"/>
          <w:spacing w:val="-3"/>
        </w:rPr>
        <w:t>。</w:t>
      </w:r>
    </w:p>
    <w:p>
      <w:pPr>
        <w:ind w:left="2869"/>
        <w:spacing w:before="1"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4.12-1  </w:t>
      </w:r>
      <w:r>
        <w:rPr>
          <w:rFonts w:ascii="FangSong" w:hAnsi="FangSong" w:eastAsia="FangSong" w:cs="FangSong"/>
          <w:sz w:val="24"/>
          <w:szCs w:val="24"/>
          <w:b/>
          <w:bCs/>
          <w:spacing w:val="-3"/>
        </w:rPr>
        <w:t>本项目土石方平衡表</w:t>
      </w:r>
    </w:p>
    <w:p>
      <w:pPr>
        <w:spacing w:line="144"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1"/>
        <w:gridCol w:w="1004"/>
        <w:gridCol w:w="1004"/>
        <w:gridCol w:w="898"/>
        <w:gridCol w:w="1004"/>
        <w:gridCol w:w="778"/>
        <w:gridCol w:w="773"/>
        <w:gridCol w:w="1028"/>
        <w:gridCol w:w="899"/>
        <w:gridCol w:w="773"/>
      </w:tblGrid>
      <w:tr>
        <w:trPr>
          <w:trHeight w:val="280" w:hRule="atLeast"/>
        </w:trPr>
        <w:tc>
          <w:tcPr>
            <w:tcW w:w="751" w:type="dxa"/>
            <w:vAlign w:val="top"/>
            <w:vMerge w:val="restart"/>
            <w:tcBorders>
              <w:top w:val="single" w:color="000000" w:sz="10" w:space="0"/>
              <w:left w:val="nil"/>
              <w:bottom w:val="nil"/>
            </w:tcBorders>
          </w:tcPr>
          <w:p>
            <w:pPr>
              <w:pStyle w:val="TableText"/>
              <w:ind w:left="178" w:right="166"/>
              <w:spacing w:before="178" w:line="251" w:lineRule="auto"/>
              <w:rPr/>
            </w:pPr>
            <w:r>
              <w:rPr>
                <w:spacing w:val="1"/>
              </w:rPr>
              <w:t>项目</w:t>
            </w:r>
            <w:r>
              <w:rPr>
                <w:spacing w:val="1"/>
              </w:rPr>
              <w:t>组成</w:t>
            </w:r>
          </w:p>
        </w:tc>
        <w:tc>
          <w:tcPr>
            <w:tcW w:w="2008" w:type="dxa"/>
            <w:vAlign w:val="top"/>
            <w:gridSpan w:val="2"/>
            <w:tcBorders>
              <w:top w:val="single" w:color="000000" w:sz="10" w:space="0"/>
            </w:tcBorders>
          </w:tcPr>
          <w:p>
            <w:pPr>
              <w:pStyle w:val="TableText"/>
              <w:ind w:left="479"/>
              <w:spacing w:before="36" w:line="216" w:lineRule="auto"/>
              <w:rPr/>
            </w:pPr>
            <w:r>
              <w:rPr>
                <w:spacing w:val="4"/>
              </w:rPr>
              <w:t>挖方（</w:t>
            </w:r>
            <w:r>
              <w:rPr>
                <w:rFonts w:ascii="Times New Roman" w:hAnsi="Times New Roman" w:eastAsia="Times New Roman" w:cs="Times New Roman"/>
                <w:spacing w:val="4"/>
              </w:rPr>
              <w:t>m</w:t>
            </w:r>
            <w:r>
              <w:rPr>
                <w:rFonts w:ascii="Times New Roman" w:hAnsi="Times New Roman" w:eastAsia="Times New Roman" w:cs="Times New Roman"/>
                <w:sz w:val="13"/>
                <w:szCs w:val="13"/>
                <w:spacing w:val="4"/>
                <w:position w:val="6"/>
              </w:rPr>
              <w:t>3</w:t>
            </w:r>
            <w:r>
              <w:rPr>
                <w:spacing w:val="4"/>
              </w:rPr>
              <w:t>）</w:t>
            </w:r>
          </w:p>
        </w:tc>
        <w:tc>
          <w:tcPr>
            <w:tcW w:w="1902" w:type="dxa"/>
            <w:vAlign w:val="top"/>
            <w:gridSpan w:val="2"/>
            <w:tcBorders>
              <w:top w:val="single" w:color="000000" w:sz="10" w:space="0"/>
            </w:tcBorders>
          </w:tcPr>
          <w:p>
            <w:pPr>
              <w:pStyle w:val="TableText"/>
              <w:ind w:left="429"/>
              <w:spacing w:before="36" w:line="216" w:lineRule="auto"/>
              <w:rPr/>
            </w:pPr>
            <w:r>
              <w:rPr>
                <w:spacing w:val="4"/>
              </w:rPr>
              <w:t>填方（</w:t>
            </w:r>
            <w:r>
              <w:rPr>
                <w:rFonts w:ascii="Times New Roman" w:hAnsi="Times New Roman" w:eastAsia="Times New Roman" w:cs="Times New Roman"/>
                <w:spacing w:val="4"/>
              </w:rPr>
              <w:t>m</w:t>
            </w:r>
            <w:r>
              <w:rPr>
                <w:rFonts w:ascii="Times New Roman" w:hAnsi="Times New Roman" w:eastAsia="Times New Roman" w:cs="Times New Roman"/>
                <w:sz w:val="13"/>
                <w:szCs w:val="13"/>
                <w:spacing w:val="4"/>
                <w:position w:val="6"/>
              </w:rPr>
              <w:t>3</w:t>
            </w:r>
            <w:r>
              <w:rPr>
                <w:spacing w:val="4"/>
              </w:rPr>
              <w:t>）</w:t>
            </w:r>
          </w:p>
        </w:tc>
        <w:tc>
          <w:tcPr>
            <w:tcW w:w="1551" w:type="dxa"/>
            <w:vAlign w:val="top"/>
            <w:gridSpan w:val="2"/>
            <w:tcBorders>
              <w:top w:val="single" w:color="000000" w:sz="10" w:space="0"/>
            </w:tcBorders>
          </w:tcPr>
          <w:p>
            <w:pPr>
              <w:pStyle w:val="TableText"/>
              <w:ind w:left="251"/>
              <w:spacing w:before="36" w:line="216" w:lineRule="auto"/>
              <w:rPr/>
            </w:pPr>
            <w:r>
              <w:rPr>
                <w:spacing w:val="4"/>
              </w:rPr>
              <w:t>调入（</w:t>
            </w:r>
            <w:r>
              <w:rPr>
                <w:rFonts w:ascii="Times New Roman" w:hAnsi="Times New Roman" w:eastAsia="Times New Roman" w:cs="Times New Roman"/>
                <w:spacing w:val="4"/>
              </w:rPr>
              <w:t>m</w:t>
            </w:r>
            <w:r>
              <w:rPr>
                <w:rFonts w:ascii="Times New Roman" w:hAnsi="Times New Roman" w:eastAsia="Times New Roman" w:cs="Times New Roman"/>
                <w:sz w:val="13"/>
                <w:szCs w:val="13"/>
                <w:spacing w:val="4"/>
                <w:position w:val="6"/>
              </w:rPr>
              <w:t>3</w:t>
            </w:r>
            <w:r>
              <w:rPr>
                <w:spacing w:val="4"/>
              </w:rPr>
              <w:t>）</w:t>
            </w:r>
          </w:p>
        </w:tc>
        <w:tc>
          <w:tcPr>
            <w:tcW w:w="1028" w:type="dxa"/>
            <w:vAlign w:val="top"/>
            <w:vMerge w:val="restart"/>
            <w:tcBorders>
              <w:top w:val="single" w:color="000000" w:sz="10" w:space="0"/>
              <w:bottom w:val="nil"/>
            </w:tcBorders>
          </w:tcPr>
          <w:p>
            <w:pPr>
              <w:pStyle w:val="TableText"/>
              <w:ind w:left="123" w:right="23" w:firstLine="193"/>
              <w:spacing w:before="178" w:line="252" w:lineRule="auto"/>
              <w:rPr/>
            </w:pPr>
            <w:r>
              <w:rPr>
                <w:spacing w:val="1"/>
              </w:rPr>
              <w:t>借方</w:t>
            </w:r>
            <w:r>
              <w:rPr/>
              <w:t xml:space="preserve"> </w:t>
            </w:r>
            <w:r>
              <w:rPr>
                <w:spacing w:val="-1"/>
              </w:rPr>
              <w:t>（万</w:t>
            </w:r>
            <w:r>
              <w:rPr>
                <w:spacing w:val="-41"/>
              </w:rPr>
              <w:t xml:space="preserve"> </w:t>
            </w:r>
            <w:r>
              <w:rPr>
                <w:rFonts w:ascii="Times New Roman" w:hAnsi="Times New Roman" w:eastAsia="Times New Roman" w:cs="Times New Roman"/>
                <w:spacing w:val="-1"/>
              </w:rPr>
              <w:t>m</w:t>
            </w:r>
            <w:r>
              <w:rPr>
                <w:rFonts w:ascii="Times New Roman" w:hAnsi="Times New Roman" w:eastAsia="Times New Roman" w:cs="Times New Roman"/>
                <w:sz w:val="13"/>
                <w:szCs w:val="13"/>
                <w:spacing w:val="-1"/>
                <w:position w:val="6"/>
              </w:rPr>
              <w:t>3</w:t>
            </w:r>
            <w:r>
              <w:rPr>
                <w:spacing w:val="-1"/>
              </w:rPr>
              <w:t>）</w:t>
            </w:r>
          </w:p>
        </w:tc>
        <w:tc>
          <w:tcPr>
            <w:tcW w:w="1672" w:type="dxa"/>
            <w:vAlign w:val="top"/>
            <w:gridSpan w:val="2"/>
            <w:tcBorders>
              <w:top w:val="single" w:color="000000" w:sz="10" w:space="0"/>
              <w:right w:val="nil"/>
            </w:tcBorders>
          </w:tcPr>
          <w:p>
            <w:pPr>
              <w:pStyle w:val="TableText"/>
              <w:ind w:left="314"/>
              <w:spacing w:before="36" w:line="216" w:lineRule="auto"/>
              <w:rPr/>
            </w:pPr>
            <w:r>
              <w:rPr>
                <w:spacing w:val="4"/>
              </w:rPr>
              <w:t>余方（</w:t>
            </w:r>
            <w:r>
              <w:rPr>
                <w:rFonts w:ascii="Times New Roman" w:hAnsi="Times New Roman" w:eastAsia="Times New Roman" w:cs="Times New Roman"/>
                <w:spacing w:val="4"/>
              </w:rPr>
              <w:t>m</w:t>
            </w:r>
            <w:r>
              <w:rPr>
                <w:rFonts w:ascii="Times New Roman" w:hAnsi="Times New Roman" w:eastAsia="Times New Roman" w:cs="Times New Roman"/>
                <w:sz w:val="13"/>
                <w:szCs w:val="13"/>
                <w:spacing w:val="4"/>
                <w:position w:val="6"/>
              </w:rPr>
              <w:t>3</w:t>
            </w:r>
            <w:r>
              <w:rPr>
                <w:spacing w:val="4"/>
              </w:rPr>
              <w:t>）</w:t>
            </w:r>
          </w:p>
        </w:tc>
      </w:tr>
      <w:tr>
        <w:trPr>
          <w:trHeight w:val="546" w:hRule="atLeast"/>
        </w:trPr>
        <w:tc>
          <w:tcPr>
            <w:tcW w:w="751" w:type="dxa"/>
            <w:vAlign w:val="top"/>
            <w:vMerge w:val="continue"/>
            <w:tcBorders>
              <w:top w:val="nil"/>
              <w:left w:val="nil"/>
            </w:tcBorders>
          </w:tcPr>
          <w:p>
            <w:pPr>
              <w:rPr>
                <w:rFonts w:ascii="Arial"/>
                <w:sz w:val="21"/>
              </w:rPr>
            </w:pPr>
            <w:r/>
          </w:p>
        </w:tc>
        <w:tc>
          <w:tcPr>
            <w:tcW w:w="1004" w:type="dxa"/>
            <w:vAlign w:val="top"/>
          </w:tcPr>
          <w:p>
            <w:pPr>
              <w:pStyle w:val="TableText"/>
              <w:ind w:left="304"/>
              <w:spacing w:before="168" w:line="233" w:lineRule="auto"/>
              <w:rPr/>
            </w:pPr>
            <w:r>
              <w:rPr>
                <w:spacing w:val="1"/>
              </w:rPr>
              <w:t>表土</w:t>
            </w:r>
          </w:p>
        </w:tc>
        <w:tc>
          <w:tcPr>
            <w:tcW w:w="1004" w:type="dxa"/>
            <w:vAlign w:val="top"/>
          </w:tcPr>
          <w:p>
            <w:pPr>
              <w:pStyle w:val="TableText"/>
              <w:ind w:left="200"/>
              <w:spacing w:before="168" w:line="233" w:lineRule="auto"/>
              <w:rPr/>
            </w:pPr>
            <w:r>
              <w:rPr>
                <w:spacing w:val="4"/>
              </w:rPr>
              <w:t>土石方</w:t>
            </w:r>
          </w:p>
        </w:tc>
        <w:tc>
          <w:tcPr>
            <w:tcW w:w="898" w:type="dxa"/>
            <w:vAlign w:val="top"/>
          </w:tcPr>
          <w:p>
            <w:pPr>
              <w:pStyle w:val="TableText"/>
              <w:ind w:left="252"/>
              <w:spacing w:before="168" w:line="233" w:lineRule="auto"/>
              <w:rPr/>
            </w:pPr>
            <w:r>
              <w:rPr>
                <w:spacing w:val="1"/>
              </w:rPr>
              <w:t>表土</w:t>
            </w:r>
          </w:p>
        </w:tc>
        <w:tc>
          <w:tcPr>
            <w:tcW w:w="1004" w:type="dxa"/>
            <w:vAlign w:val="top"/>
          </w:tcPr>
          <w:p>
            <w:pPr>
              <w:pStyle w:val="TableText"/>
              <w:ind w:left="202"/>
              <w:spacing w:before="168" w:line="233" w:lineRule="auto"/>
              <w:rPr/>
            </w:pPr>
            <w:r>
              <w:rPr>
                <w:spacing w:val="4"/>
              </w:rPr>
              <w:t>土石方</w:t>
            </w:r>
          </w:p>
        </w:tc>
        <w:tc>
          <w:tcPr>
            <w:tcW w:w="778" w:type="dxa"/>
            <w:vAlign w:val="top"/>
          </w:tcPr>
          <w:p>
            <w:pPr>
              <w:pStyle w:val="TableText"/>
              <w:ind w:left="193"/>
              <w:spacing w:before="168" w:line="233" w:lineRule="auto"/>
              <w:rPr/>
            </w:pPr>
            <w:r>
              <w:rPr>
                <w:spacing w:val="1"/>
              </w:rPr>
              <w:t>表土</w:t>
            </w:r>
          </w:p>
        </w:tc>
        <w:tc>
          <w:tcPr>
            <w:tcW w:w="773" w:type="dxa"/>
            <w:vAlign w:val="top"/>
          </w:tcPr>
          <w:p>
            <w:pPr>
              <w:pStyle w:val="TableText"/>
              <w:ind w:left="296" w:right="175" w:hanging="105"/>
              <w:spacing w:before="31" w:line="233" w:lineRule="auto"/>
              <w:rPr/>
            </w:pPr>
            <w:r>
              <w:rPr/>
              <w:t>土石</w:t>
            </w:r>
            <w:r>
              <w:rPr/>
              <w:t>方</w:t>
            </w:r>
          </w:p>
        </w:tc>
        <w:tc>
          <w:tcPr>
            <w:tcW w:w="1028" w:type="dxa"/>
            <w:vAlign w:val="top"/>
            <w:vMerge w:val="continue"/>
            <w:tcBorders>
              <w:top w:val="nil"/>
            </w:tcBorders>
          </w:tcPr>
          <w:p>
            <w:pPr>
              <w:rPr>
                <w:rFonts w:ascii="Arial"/>
                <w:sz w:val="21"/>
              </w:rPr>
            </w:pPr>
            <w:r/>
          </w:p>
        </w:tc>
        <w:tc>
          <w:tcPr>
            <w:tcW w:w="899" w:type="dxa"/>
            <w:vAlign w:val="top"/>
          </w:tcPr>
          <w:p>
            <w:pPr>
              <w:pStyle w:val="TableText"/>
              <w:ind w:left="251"/>
              <w:spacing w:before="168" w:line="233" w:lineRule="auto"/>
              <w:rPr/>
            </w:pPr>
            <w:r>
              <w:rPr>
                <w:spacing w:val="1"/>
              </w:rPr>
              <w:t>表土</w:t>
            </w:r>
          </w:p>
        </w:tc>
        <w:tc>
          <w:tcPr>
            <w:tcW w:w="773" w:type="dxa"/>
            <w:vAlign w:val="top"/>
            <w:tcBorders>
              <w:right w:val="nil"/>
            </w:tcBorders>
          </w:tcPr>
          <w:p>
            <w:pPr>
              <w:pStyle w:val="TableText"/>
              <w:ind w:left="296" w:right="177" w:hanging="105"/>
              <w:spacing w:before="31" w:line="233" w:lineRule="auto"/>
              <w:rPr/>
            </w:pPr>
            <w:r>
              <w:rPr/>
              <w:t>土石</w:t>
            </w:r>
            <w:r>
              <w:rPr/>
              <w:t>方</w:t>
            </w:r>
          </w:p>
        </w:tc>
      </w:tr>
      <w:tr>
        <w:trPr>
          <w:trHeight w:val="545" w:hRule="atLeast"/>
        </w:trPr>
        <w:tc>
          <w:tcPr>
            <w:tcW w:w="751" w:type="dxa"/>
            <w:vAlign w:val="top"/>
            <w:tcBorders>
              <w:left w:val="nil"/>
            </w:tcBorders>
          </w:tcPr>
          <w:p>
            <w:pPr>
              <w:pStyle w:val="TableText"/>
              <w:ind w:left="180"/>
              <w:spacing w:before="37" w:line="232" w:lineRule="auto"/>
              <w:rPr/>
            </w:pPr>
            <w:r>
              <w:rPr/>
              <w:t>井巷</w:t>
            </w:r>
          </w:p>
          <w:p>
            <w:pPr>
              <w:pStyle w:val="TableText"/>
              <w:ind w:left="176"/>
              <w:spacing w:before="19" w:line="209" w:lineRule="auto"/>
              <w:rPr/>
            </w:pPr>
            <w:r>
              <w:rPr>
                <w:spacing w:val="2"/>
              </w:rPr>
              <w:t>掘进</w:t>
            </w:r>
          </w:p>
        </w:tc>
        <w:tc>
          <w:tcPr>
            <w:tcW w:w="1004" w:type="dxa"/>
            <w:vAlign w:val="top"/>
          </w:tcPr>
          <w:p>
            <w:pPr>
              <w:ind w:left="454"/>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04" w:type="dxa"/>
            <w:vAlign w:val="top"/>
          </w:tcPr>
          <w:p>
            <w:pPr>
              <w:ind w:left="16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5400.00</w:t>
            </w:r>
          </w:p>
        </w:tc>
        <w:tc>
          <w:tcPr>
            <w:tcW w:w="898" w:type="dxa"/>
            <w:vAlign w:val="top"/>
          </w:tcPr>
          <w:p>
            <w:pPr>
              <w:ind w:left="402"/>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04" w:type="dxa"/>
            <w:vAlign w:val="top"/>
          </w:tcPr>
          <w:p>
            <w:pPr>
              <w:ind w:left="169"/>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5400.00</w:t>
            </w:r>
          </w:p>
        </w:tc>
        <w:tc>
          <w:tcPr>
            <w:tcW w:w="778" w:type="dxa"/>
            <w:vAlign w:val="top"/>
          </w:tcPr>
          <w:p>
            <w:pPr>
              <w:ind w:left="341"/>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3" w:type="dxa"/>
            <w:vAlign w:val="top"/>
          </w:tcPr>
          <w:p>
            <w:pPr>
              <w:ind w:left="341"/>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8" w:type="dxa"/>
            <w:vAlign w:val="top"/>
          </w:tcPr>
          <w:p>
            <w:pPr>
              <w:ind w:left="46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vAlign w:val="top"/>
          </w:tcPr>
          <w:p>
            <w:pPr>
              <w:ind w:left="402"/>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3" w:type="dxa"/>
            <w:vAlign w:val="top"/>
            <w:tcBorders>
              <w:right w:val="nil"/>
            </w:tcBorders>
          </w:tcPr>
          <w:p>
            <w:pPr>
              <w:ind w:left="341"/>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546" w:hRule="atLeast"/>
        </w:trPr>
        <w:tc>
          <w:tcPr>
            <w:tcW w:w="751" w:type="dxa"/>
            <w:vAlign w:val="top"/>
            <w:tcBorders>
              <w:left w:val="nil"/>
            </w:tcBorders>
          </w:tcPr>
          <w:p>
            <w:pPr>
              <w:pStyle w:val="TableText"/>
              <w:ind w:left="182"/>
              <w:spacing w:before="41" w:line="242" w:lineRule="auto"/>
              <w:rPr/>
            </w:pPr>
            <w:r>
              <w:rPr>
                <w:spacing w:val="-1"/>
              </w:rPr>
              <w:t>工业</w:t>
            </w:r>
          </w:p>
          <w:p>
            <w:pPr>
              <w:pStyle w:val="TableText"/>
              <w:ind w:left="176"/>
              <w:spacing w:before="9" w:line="206" w:lineRule="auto"/>
              <w:rPr/>
            </w:pPr>
            <w:r>
              <w:rPr>
                <w:spacing w:val="2"/>
              </w:rPr>
              <w:t>广场</w:t>
            </w:r>
          </w:p>
        </w:tc>
        <w:tc>
          <w:tcPr>
            <w:tcW w:w="1004" w:type="dxa"/>
            <w:vAlign w:val="top"/>
          </w:tcPr>
          <w:p>
            <w:pPr>
              <w:ind w:left="165"/>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6033.90</w:t>
            </w:r>
          </w:p>
        </w:tc>
        <w:tc>
          <w:tcPr>
            <w:tcW w:w="1004" w:type="dxa"/>
            <w:vAlign w:val="top"/>
          </w:tcPr>
          <w:p>
            <w:pPr>
              <w:ind w:left="129"/>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12067.80</w:t>
            </w:r>
          </w:p>
        </w:tc>
        <w:tc>
          <w:tcPr>
            <w:tcW w:w="898" w:type="dxa"/>
            <w:vAlign w:val="top"/>
          </w:tcPr>
          <w:p>
            <w:pPr>
              <w:ind w:left="129"/>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1500.15</w:t>
            </w:r>
          </w:p>
        </w:tc>
        <w:tc>
          <w:tcPr>
            <w:tcW w:w="1004" w:type="dxa"/>
            <w:vAlign w:val="top"/>
          </w:tcPr>
          <w:p>
            <w:pPr>
              <w:ind w:left="131"/>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12067.80</w:t>
            </w:r>
          </w:p>
        </w:tc>
        <w:tc>
          <w:tcPr>
            <w:tcW w:w="778" w:type="dxa"/>
            <w:vAlign w:val="top"/>
          </w:tcPr>
          <w:p>
            <w:pPr>
              <w:ind w:left="341"/>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3" w:type="dxa"/>
            <w:vAlign w:val="top"/>
          </w:tcPr>
          <w:p>
            <w:pPr>
              <w:ind w:left="341"/>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8" w:type="dxa"/>
            <w:vAlign w:val="top"/>
          </w:tcPr>
          <w:p>
            <w:pPr>
              <w:ind w:left="468"/>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vAlign w:val="top"/>
          </w:tcPr>
          <w:p>
            <w:pPr>
              <w:ind w:left="110"/>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4533.75</w:t>
            </w:r>
          </w:p>
        </w:tc>
        <w:tc>
          <w:tcPr>
            <w:tcW w:w="773" w:type="dxa"/>
            <w:vAlign w:val="top"/>
            <w:tcBorders>
              <w:right w:val="nil"/>
            </w:tcBorders>
          </w:tcPr>
          <w:p>
            <w:pPr>
              <w:ind w:left="341"/>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546" w:hRule="atLeast"/>
        </w:trPr>
        <w:tc>
          <w:tcPr>
            <w:tcW w:w="751" w:type="dxa"/>
            <w:vAlign w:val="top"/>
            <w:tcBorders>
              <w:left w:val="nil"/>
            </w:tcBorders>
          </w:tcPr>
          <w:p>
            <w:pPr>
              <w:pStyle w:val="TableText"/>
              <w:ind w:left="177"/>
              <w:spacing w:before="45" w:line="232" w:lineRule="auto"/>
              <w:rPr/>
            </w:pPr>
            <w:r>
              <w:rPr>
                <w:spacing w:val="2"/>
              </w:rPr>
              <w:t>矿区</w:t>
            </w:r>
          </w:p>
          <w:p>
            <w:pPr>
              <w:pStyle w:val="TableText"/>
              <w:ind w:left="178"/>
              <w:spacing w:before="19" w:line="203" w:lineRule="auto"/>
              <w:rPr/>
            </w:pPr>
            <w:r>
              <w:rPr>
                <w:spacing w:val="1"/>
              </w:rPr>
              <w:t>道路</w:t>
            </w:r>
          </w:p>
        </w:tc>
        <w:tc>
          <w:tcPr>
            <w:tcW w:w="1004" w:type="dxa"/>
            <w:vAlign w:val="top"/>
          </w:tcPr>
          <w:p>
            <w:pPr>
              <w:ind w:left="166"/>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5839.20</w:t>
            </w:r>
          </w:p>
        </w:tc>
        <w:tc>
          <w:tcPr>
            <w:tcW w:w="1004" w:type="dxa"/>
            <w:vAlign w:val="top"/>
          </w:tcPr>
          <w:p>
            <w:pPr>
              <w:ind w:left="134"/>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11678.40</w:t>
            </w:r>
          </w:p>
        </w:tc>
        <w:tc>
          <w:tcPr>
            <w:tcW w:w="898" w:type="dxa"/>
            <w:vAlign w:val="top"/>
          </w:tcPr>
          <w:p>
            <w:pPr>
              <w:ind w:left="129"/>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1950.00</w:t>
            </w:r>
          </w:p>
        </w:tc>
        <w:tc>
          <w:tcPr>
            <w:tcW w:w="1004" w:type="dxa"/>
            <w:vAlign w:val="top"/>
          </w:tcPr>
          <w:p>
            <w:pPr>
              <w:ind w:left="135"/>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11678.40</w:t>
            </w:r>
          </w:p>
        </w:tc>
        <w:tc>
          <w:tcPr>
            <w:tcW w:w="778" w:type="dxa"/>
            <w:vAlign w:val="top"/>
          </w:tcPr>
          <w:p>
            <w:pPr>
              <w:ind w:left="341"/>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3" w:type="dxa"/>
            <w:vAlign w:val="top"/>
          </w:tcPr>
          <w:p>
            <w:pPr>
              <w:ind w:left="341"/>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8" w:type="dxa"/>
            <w:vAlign w:val="top"/>
          </w:tcPr>
          <w:p>
            <w:pPr>
              <w:ind w:left="468"/>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vAlign w:val="top"/>
          </w:tcPr>
          <w:p>
            <w:pPr>
              <w:ind w:left="115"/>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3889.20</w:t>
            </w:r>
          </w:p>
        </w:tc>
        <w:tc>
          <w:tcPr>
            <w:tcW w:w="773" w:type="dxa"/>
            <w:vAlign w:val="top"/>
            <w:tcBorders>
              <w:right w:val="nil"/>
            </w:tcBorders>
          </w:tcPr>
          <w:p>
            <w:pPr>
              <w:ind w:left="341"/>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816" w:hRule="atLeast"/>
        </w:trPr>
        <w:tc>
          <w:tcPr>
            <w:tcW w:w="751" w:type="dxa"/>
            <w:vAlign w:val="top"/>
            <w:tcBorders>
              <w:left w:val="nil"/>
            </w:tcBorders>
          </w:tcPr>
          <w:p>
            <w:pPr>
              <w:pStyle w:val="TableText"/>
              <w:ind w:left="184"/>
              <w:spacing w:before="48" w:line="233" w:lineRule="auto"/>
              <w:rPr/>
            </w:pPr>
            <w:r>
              <w:rPr>
                <w:spacing w:val="-2"/>
              </w:rPr>
              <w:t>办公</w:t>
            </w:r>
          </w:p>
          <w:p>
            <w:pPr>
              <w:pStyle w:val="TableText"/>
              <w:ind w:left="300" w:right="166" w:hanging="111"/>
              <w:spacing w:before="19" w:line="224" w:lineRule="auto"/>
              <w:rPr/>
            </w:pPr>
            <w:r>
              <w:rPr>
                <w:spacing w:val="-5"/>
              </w:rPr>
              <w:t>生活</w:t>
            </w:r>
            <w:r>
              <w:rPr/>
              <w:t>区</w:t>
            </w:r>
          </w:p>
        </w:tc>
        <w:tc>
          <w:tcPr>
            <w:tcW w:w="1004" w:type="dxa"/>
            <w:vAlign w:val="top"/>
          </w:tcPr>
          <w:p>
            <w:pPr>
              <w:spacing w:line="296" w:lineRule="auto"/>
              <w:rPr>
                <w:rFonts w:ascii="Arial"/>
                <w:sz w:val="21"/>
              </w:rPr>
            </w:pPr>
            <w:r/>
          </w:p>
          <w:p>
            <w:pPr>
              <w:ind w:left="21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734.10</w:t>
            </w:r>
          </w:p>
        </w:tc>
        <w:tc>
          <w:tcPr>
            <w:tcW w:w="1004" w:type="dxa"/>
            <w:vAlign w:val="top"/>
          </w:tcPr>
          <w:p>
            <w:pPr>
              <w:spacing w:line="296" w:lineRule="auto"/>
              <w:rPr>
                <w:rFonts w:ascii="Arial"/>
                <w:sz w:val="21"/>
              </w:rPr>
            </w:pPr>
            <w:r/>
          </w:p>
          <w:p>
            <w:pPr>
              <w:ind w:left="18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1468.20</w:t>
            </w:r>
          </w:p>
        </w:tc>
        <w:tc>
          <w:tcPr>
            <w:tcW w:w="898" w:type="dxa"/>
            <w:vAlign w:val="top"/>
          </w:tcPr>
          <w:p>
            <w:pPr>
              <w:spacing w:line="296" w:lineRule="auto"/>
              <w:rPr>
                <w:rFonts w:ascii="Arial"/>
                <w:sz w:val="21"/>
              </w:rPr>
            </w:pPr>
            <w:r/>
          </w:p>
          <w:p>
            <w:pPr>
              <w:ind w:left="16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517.05</w:t>
            </w:r>
          </w:p>
        </w:tc>
        <w:tc>
          <w:tcPr>
            <w:tcW w:w="1004" w:type="dxa"/>
            <w:vAlign w:val="top"/>
          </w:tcPr>
          <w:p>
            <w:pPr>
              <w:spacing w:line="296" w:lineRule="auto"/>
              <w:rPr>
                <w:rFonts w:ascii="Arial"/>
                <w:sz w:val="21"/>
              </w:rPr>
            </w:pPr>
            <w:r/>
          </w:p>
          <w:p>
            <w:pPr>
              <w:ind w:left="18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1468.20</w:t>
            </w:r>
          </w:p>
        </w:tc>
        <w:tc>
          <w:tcPr>
            <w:tcW w:w="778" w:type="dxa"/>
            <w:vAlign w:val="top"/>
          </w:tcPr>
          <w:p>
            <w:pPr>
              <w:spacing w:line="296" w:lineRule="auto"/>
              <w:rPr>
                <w:rFonts w:ascii="Arial"/>
                <w:sz w:val="21"/>
              </w:rPr>
            </w:pPr>
            <w:r/>
          </w:p>
          <w:p>
            <w:pPr>
              <w:ind w:left="34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3" w:type="dxa"/>
            <w:vAlign w:val="top"/>
          </w:tcPr>
          <w:p>
            <w:pPr>
              <w:spacing w:line="296" w:lineRule="auto"/>
              <w:rPr>
                <w:rFonts w:ascii="Arial"/>
                <w:sz w:val="21"/>
              </w:rPr>
            </w:pPr>
            <w:r/>
          </w:p>
          <w:p>
            <w:pPr>
              <w:ind w:left="34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8" w:type="dxa"/>
            <w:vAlign w:val="top"/>
          </w:tcPr>
          <w:p>
            <w:pPr>
              <w:spacing w:line="296" w:lineRule="auto"/>
              <w:rPr>
                <w:rFonts w:ascii="Arial"/>
                <w:sz w:val="21"/>
              </w:rPr>
            </w:pPr>
            <w:r/>
          </w:p>
          <w:p>
            <w:pPr>
              <w:ind w:left="4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vAlign w:val="top"/>
          </w:tcPr>
          <w:p>
            <w:pPr>
              <w:spacing w:line="296" w:lineRule="auto"/>
              <w:rPr>
                <w:rFonts w:ascii="Arial"/>
                <w:sz w:val="21"/>
              </w:rPr>
            </w:pPr>
            <w:r/>
          </w:p>
          <w:p>
            <w:pPr>
              <w:ind w:left="1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217.05</w:t>
            </w:r>
          </w:p>
        </w:tc>
        <w:tc>
          <w:tcPr>
            <w:tcW w:w="773" w:type="dxa"/>
            <w:vAlign w:val="top"/>
            <w:tcBorders>
              <w:right w:val="nil"/>
            </w:tcBorders>
          </w:tcPr>
          <w:p>
            <w:pPr>
              <w:spacing w:line="296" w:lineRule="auto"/>
              <w:rPr>
                <w:rFonts w:ascii="Arial"/>
                <w:sz w:val="21"/>
              </w:rPr>
            </w:pPr>
            <w:r/>
          </w:p>
          <w:p>
            <w:pPr>
              <w:ind w:left="34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299" w:hRule="atLeast"/>
        </w:trPr>
        <w:tc>
          <w:tcPr>
            <w:tcW w:w="751" w:type="dxa"/>
            <w:vAlign w:val="top"/>
            <w:tcBorders>
              <w:bottom w:val="single" w:color="000000" w:sz="10" w:space="0"/>
              <w:left w:val="nil"/>
            </w:tcBorders>
          </w:tcPr>
          <w:p>
            <w:pPr>
              <w:pStyle w:val="TableText"/>
              <w:ind w:left="183"/>
              <w:spacing w:before="52" w:line="218" w:lineRule="auto"/>
              <w:rPr/>
            </w:pPr>
            <w:r>
              <w:rPr>
                <w:spacing w:val="-1"/>
              </w:rPr>
              <w:t>合计</w:t>
            </w:r>
          </w:p>
        </w:tc>
        <w:tc>
          <w:tcPr>
            <w:tcW w:w="1004" w:type="dxa"/>
            <w:vAlign w:val="top"/>
            <w:tcBorders>
              <w:bottom w:val="single" w:color="000000" w:sz="10" w:space="0"/>
            </w:tcBorders>
          </w:tcPr>
          <w:p>
            <w:pPr>
              <w:ind w:left="13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12607.20</w:t>
            </w:r>
          </w:p>
        </w:tc>
        <w:tc>
          <w:tcPr>
            <w:tcW w:w="1004" w:type="dxa"/>
            <w:vAlign w:val="top"/>
            <w:tcBorders>
              <w:bottom w:val="single" w:color="000000" w:sz="10" w:space="0"/>
            </w:tcBorders>
          </w:tcPr>
          <w:p>
            <w:pPr>
              <w:ind w:left="114"/>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30614.40</w:t>
            </w:r>
          </w:p>
        </w:tc>
        <w:tc>
          <w:tcPr>
            <w:tcW w:w="898" w:type="dxa"/>
            <w:vAlign w:val="top"/>
            <w:tcBorders>
              <w:bottom w:val="single" w:color="000000" w:sz="10" w:space="0"/>
            </w:tcBorders>
          </w:tcPr>
          <w:p>
            <w:pPr>
              <w:ind w:left="11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3967.20</w:t>
            </w:r>
          </w:p>
        </w:tc>
        <w:tc>
          <w:tcPr>
            <w:tcW w:w="1004" w:type="dxa"/>
            <w:vAlign w:val="top"/>
            <w:tcBorders>
              <w:bottom w:val="single" w:color="000000" w:sz="10" w:space="0"/>
            </w:tcBorders>
          </w:tcPr>
          <w:p>
            <w:pPr>
              <w:ind w:left="11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30614.40</w:t>
            </w:r>
          </w:p>
        </w:tc>
        <w:tc>
          <w:tcPr>
            <w:tcW w:w="778" w:type="dxa"/>
            <w:vAlign w:val="top"/>
            <w:tcBorders>
              <w:bottom w:val="single" w:color="000000" w:sz="10" w:space="0"/>
            </w:tcBorders>
          </w:tcPr>
          <w:p>
            <w:pPr>
              <w:ind w:left="34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3" w:type="dxa"/>
            <w:vAlign w:val="top"/>
            <w:tcBorders>
              <w:bottom w:val="single" w:color="000000" w:sz="10" w:space="0"/>
            </w:tcBorders>
          </w:tcPr>
          <w:p>
            <w:pPr>
              <w:ind w:left="34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8" w:type="dxa"/>
            <w:vAlign w:val="top"/>
            <w:tcBorders>
              <w:bottom w:val="single" w:color="000000" w:sz="10" w:space="0"/>
            </w:tcBorders>
          </w:tcPr>
          <w:p>
            <w:pPr>
              <w:ind w:left="468"/>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vAlign w:val="top"/>
            <w:tcBorders>
              <w:bottom w:val="single" w:color="000000" w:sz="10" w:space="0"/>
            </w:tcBorders>
          </w:tcPr>
          <w:p>
            <w:pPr>
              <w:ind w:left="119"/>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8640.00</w:t>
            </w:r>
          </w:p>
        </w:tc>
        <w:tc>
          <w:tcPr>
            <w:tcW w:w="773" w:type="dxa"/>
            <w:vAlign w:val="top"/>
            <w:tcBorders>
              <w:bottom w:val="single" w:color="000000" w:sz="10" w:space="0"/>
              <w:right w:val="nil"/>
            </w:tcBorders>
          </w:tcPr>
          <w:p>
            <w:pPr>
              <w:ind w:left="34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pStyle w:val="BodyText"/>
        <w:rPr/>
      </w:pPr>
      <w:r/>
    </w:p>
    <w:p>
      <w:pPr>
        <w:sectPr>
          <w:footerReference w:type="default" r:id="rId141"/>
          <w:pgSz w:w="11911" w:h="16839"/>
          <w:pgMar w:top="400" w:right="1309" w:bottom="1146" w:left="1689" w:header="0" w:footer="984" w:gutter="0"/>
        </w:sectPr>
        <w:rPr/>
      </w:pPr>
    </w:p>
    <w:p>
      <w:pPr>
        <w:pStyle w:val="BodyText"/>
        <w:rPr/>
      </w:pPr>
      <w:r/>
    </w:p>
    <w:p>
      <w:pPr>
        <w:pStyle w:val="BodyText"/>
        <w:rPr/>
      </w:pPr>
      <w:r/>
    </w:p>
    <w:p>
      <w:pPr>
        <w:pStyle w:val="BodyText"/>
        <w:spacing w:line="241" w:lineRule="auto"/>
        <w:rPr/>
      </w:pPr>
      <w:r/>
    </w:p>
    <w:p>
      <w:pPr>
        <w:pStyle w:val="BodyText"/>
        <w:spacing w:line="241" w:lineRule="auto"/>
        <w:rPr/>
      </w:pPr>
      <w:r/>
    </w:p>
    <w:p>
      <w:pPr>
        <w:ind w:left="17"/>
        <w:spacing w:before="91" w:line="222" w:lineRule="auto"/>
        <w:outlineLvl w:val="1"/>
        <w:rPr>
          <w:rFonts w:ascii="FangSong" w:hAnsi="FangSong" w:eastAsia="FangSong" w:cs="FangSong"/>
          <w:sz w:val="28"/>
          <w:szCs w:val="28"/>
        </w:rPr>
      </w:pPr>
      <w:bookmarkStart w:name="bookmark184" w:id="246"/>
      <w:bookmarkEnd w:id="246"/>
      <w:bookmarkStart w:name="bookmark186" w:id="247"/>
      <w:bookmarkEnd w:id="247"/>
      <w:bookmarkStart w:name="bookmark183" w:id="248"/>
      <w:bookmarkEnd w:id="248"/>
      <w:bookmarkStart w:name="bookmark185" w:id="249"/>
      <w:bookmarkEnd w:id="249"/>
      <w:r>
        <w:rPr>
          <w:rFonts w:ascii="Times New Roman" w:hAnsi="Times New Roman" w:eastAsia="Times New Roman" w:cs="Times New Roman"/>
          <w:sz w:val="28"/>
          <w:szCs w:val="28"/>
          <w:b/>
          <w:bCs/>
          <w:spacing w:val="-5"/>
        </w:rPr>
        <w:t>4.13</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5"/>
        </w:rPr>
        <w:t>工程分析</w:t>
      </w:r>
    </w:p>
    <w:p>
      <w:pPr>
        <w:ind w:left="16"/>
        <w:spacing w:before="199" w:line="222" w:lineRule="auto"/>
        <w:outlineLvl w:val="2"/>
        <w:rPr>
          <w:rFonts w:ascii="FangSong" w:hAnsi="FangSong" w:eastAsia="FangSong" w:cs="FangSong"/>
          <w:sz w:val="24"/>
          <w:szCs w:val="24"/>
        </w:rPr>
      </w:pPr>
      <w:bookmarkStart w:name="bookmark554" w:id="250"/>
      <w:bookmarkEnd w:id="250"/>
      <w:r>
        <w:rPr>
          <w:rFonts w:ascii="Times New Roman" w:hAnsi="Times New Roman" w:eastAsia="Times New Roman" w:cs="Times New Roman"/>
          <w:sz w:val="24"/>
          <w:szCs w:val="24"/>
          <w:b/>
          <w:bCs/>
          <w:spacing w:val="-2"/>
        </w:rPr>
        <w:t>4.13.1  </w:t>
      </w:r>
      <w:r>
        <w:rPr>
          <w:rFonts w:ascii="FangSong" w:hAnsi="FangSong" w:eastAsia="FangSong" w:cs="FangSong"/>
          <w:sz w:val="24"/>
          <w:szCs w:val="24"/>
          <w:b/>
          <w:bCs/>
          <w:spacing w:val="-2"/>
        </w:rPr>
        <w:t>工艺流程及产污环节分析</w:t>
      </w:r>
    </w:p>
    <w:p>
      <w:pPr>
        <w:ind w:left="16"/>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4.13.1.1  </w:t>
      </w:r>
      <w:r>
        <w:rPr>
          <w:rFonts w:ascii="FangSong" w:hAnsi="FangSong" w:eastAsia="FangSong" w:cs="FangSong"/>
          <w:sz w:val="24"/>
          <w:szCs w:val="24"/>
          <w:b/>
          <w:bCs/>
          <w:spacing w:val="-2"/>
        </w:rPr>
        <w:t>施工期工艺流程</w:t>
      </w:r>
    </w:p>
    <w:p>
      <w:pPr>
        <w:ind w:left="507"/>
        <w:spacing w:before="177" w:line="222" w:lineRule="auto"/>
        <w:rPr>
          <w:rFonts w:ascii="FangSong" w:hAnsi="FangSong" w:eastAsia="FangSong" w:cs="FangSong"/>
          <w:sz w:val="24"/>
          <w:szCs w:val="24"/>
        </w:rPr>
      </w:pPr>
      <w:r>
        <w:rPr>
          <w:rFonts w:ascii="FangSong" w:hAnsi="FangSong" w:eastAsia="FangSong" w:cs="FangSong"/>
          <w:sz w:val="24"/>
          <w:szCs w:val="24"/>
          <w:spacing w:val="-1"/>
        </w:rPr>
        <w:t>本项目施工期工艺流程及产污节点示意图见图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4.13-1</w:t>
      </w:r>
      <w:r>
        <w:rPr>
          <w:rFonts w:ascii="FangSong" w:hAnsi="FangSong" w:eastAsia="FangSong" w:cs="FangSong"/>
          <w:sz w:val="24"/>
          <w:szCs w:val="24"/>
          <w:spacing w:val="-1"/>
        </w:rPr>
        <w:t>。</w:t>
      </w:r>
    </w:p>
    <w:p>
      <w:pPr>
        <w:ind w:firstLine="18"/>
        <w:spacing w:before="142" w:line="1800" w:lineRule="exact"/>
        <w:rPr/>
      </w:pPr>
      <w:r>
        <w:rPr>
          <w:position w:val="-36"/>
        </w:rPr>
        <w:drawing>
          <wp:inline distT="0" distB="0" distL="0" distR="0">
            <wp:extent cx="5501640" cy="1143000"/>
            <wp:effectExtent l="0" t="0" r="0" b="0"/>
            <wp:docPr id="20" name="IM 20"/>
            <wp:cNvGraphicFramePr/>
            <a:graphic>
              <a:graphicData uri="http://schemas.openxmlformats.org/drawingml/2006/picture">
                <pic:pic>
                  <pic:nvPicPr>
                    <pic:cNvPr id="20" name="IM 20"/>
                    <pic:cNvPicPr/>
                  </pic:nvPicPr>
                  <pic:blipFill>
                    <a:blip r:embed="rId143"/>
                    <a:stretch>
                      <a:fillRect/>
                    </a:stretch>
                  </pic:blipFill>
                  <pic:spPr>
                    <a:xfrm rot="0">
                      <a:off x="0" y="0"/>
                      <a:ext cx="5501640" cy="1143000"/>
                    </a:xfrm>
                    <a:prstGeom prst="rect">
                      <a:avLst/>
                    </a:prstGeom>
                  </pic:spPr>
                </pic:pic>
              </a:graphicData>
            </a:graphic>
          </wp:inline>
        </w:drawing>
      </w:r>
    </w:p>
    <w:p>
      <w:pPr>
        <w:ind w:left="1708"/>
        <w:spacing w:before="193" w:line="222" w:lineRule="auto"/>
        <w:rPr>
          <w:rFonts w:ascii="FangSong" w:hAnsi="FangSong" w:eastAsia="FangSong" w:cs="FangSong"/>
          <w:sz w:val="24"/>
          <w:szCs w:val="24"/>
        </w:rPr>
      </w:pPr>
      <w:r>
        <w:rPr>
          <w:rFonts w:ascii="FangSong" w:hAnsi="FangSong" w:eastAsia="FangSong" w:cs="FangSong"/>
          <w:sz w:val="24"/>
          <w:szCs w:val="24"/>
          <w:b/>
          <w:bCs/>
          <w:spacing w:val="-3"/>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3"/>
        </w:rPr>
        <w:t>4.13-1  </w:t>
      </w:r>
      <w:r>
        <w:rPr>
          <w:rFonts w:ascii="FangSong" w:hAnsi="FangSong" w:eastAsia="FangSong" w:cs="FangSong"/>
          <w:sz w:val="24"/>
          <w:szCs w:val="24"/>
          <w:b/>
          <w:bCs/>
          <w:spacing w:val="-3"/>
        </w:rPr>
        <w:t>本项目施工期工艺流程及产污节点示意图</w:t>
      </w:r>
    </w:p>
    <w:p>
      <w:pPr>
        <w:ind w:left="28" w:firstLine="479"/>
        <w:spacing w:before="183" w:line="359" w:lineRule="auto"/>
        <w:jc w:val="both"/>
        <w:rPr>
          <w:rFonts w:ascii="FangSong" w:hAnsi="FangSong" w:eastAsia="FangSong" w:cs="FangSong"/>
          <w:sz w:val="24"/>
          <w:szCs w:val="24"/>
        </w:rPr>
      </w:pPr>
      <w:r>
        <w:rPr>
          <w:rFonts w:ascii="FangSong" w:hAnsi="FangSong" w:eastAsia="FangSong" w:cs="FangSong"/>
          <w:sz w:val="24"/>
          <w:szCs w:val="24"/>
          <w:spacing w:val="1"/>
        </w:rPr>
        <w:t>本项目施工期主要为工业广场内、选矿厂、办公生活区及采矿区基建工程。项</w:t>
      </w:r>
      <w:r>
        <w:rPr>
          <w:rFonts w:ascii="FangSong" w:hAnsi="FangSong" w:eastAsia="FangSong" w:cs="FangSong"/>
          <w:sz w:val="24"/>
          <w:szCs w:val="24"/>
          <w:spacing w:val="1"/>
        </w:rPr>
        <w:t>目矿山施工期主要工程为开挖采矿平台、排水沟及沉淀池等；主要建设内容为开挖</w:t>
      </w:r>
      <w:r>
        <w:rPr>
          <w:rFonts w:ascii="FangSong" w:hAnsi="FangSong" w:eastAsia="FangSong" w:cs="FangSong"/>
          <w:sz w:val="24"/>
          <w:szCs w:val="24"/>
          <w:spacing w:val="1"/>
        </w:rPr>
        <w:t>井下采矿工作平台，在井口附近开挖水泥截排水沟及时将雨水分流，在各临时堆场</w:t>
      </w:r>
      <w:r>
        <w:rPr>
          <w:rFonts w:ascii="FangSong" w:hAnsi="FangSong" w:eastAsia="FangSong" w:cs="FangSong"/>
          <w:sz w:val="24"/>
          <w:szCs w:val="24"/>
          <w:spacing w:val="1"/>
        </w:rPr>
        <w:t>两侧修建截排水沟，其下游设置淋溶水沉淀池及挡碴墙，在矿区道路两侧开挖排水</w:t>
      </w:r>
      <w:r>
        <w:rPr>
          <w:rFonts w:ascii="FangSong" w:hAnsi="FangSong" w:eastAsia="FangSong" w:cs="FangSong"/>
          <w:sz w:val="24"/>
          <w:szCs w:val="24"/>
          <w:spacing w:val="-1"/>
        </w:rPr>
        <w:t>沟等。项目施工工期进度计划见表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4.13-</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p>
    <w:p>
      <w:pPr>
        <w:spacing w:line="359" w:lineRule="auto"/>
        <w:sectPr>
          <w:footerReference w:type="default" r:id="rId142"/>
          <w:pgSz w:w="11911" w:h="16839"/>
          <w:pgMar w:top="400" w:right="1416" w:bottom="1146" w:left="1786" w:header="0" w:footer="984" w:gutter="0"/>
        </w:sectPr>
        <w:rPr>
          <w:rFonts w:ascii="FangSong" w:hAnsi="FangSong" w:eastAsia="FangSong" w:cs="FangSong"/>
          <w:sz w:val="24"/>
          <w:szCs w:val="24"/>
        </w:rPr>
      </w:pP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5162"/>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4.13-1  </w:t>
      </w:r>
      <w:r>
        <w:rPr>
          <w:rFonts w:ascii="FangSong" w:hAnsi="FangSong" w:eastAsia="FangSong" w:cs="FangSong"/>
          <w:sz w:val="24"/>
          <w:szCs w:val="24"/>
          <w:b/>
          <w:bCs/>
          <w:spacing w:val="-3"/>
        </w:rPr>
        <w:t>本项目施工工期进度计划表</w:t>
      </w:r>
    </w:p>
    <w:p>
      <w:pPr>
        <w:spacing w:line="143" w:lineRule="exact"/>
        <w:rPr/>
      </w:pPr>
      <w:r/>
    </w:p>
    <w:tbl>
      <w:tblPr>
        <w:tblStyle w:val="TableNormal"/>
        <w:tblW w:w="1421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5"/>
        <w:gridCol w:w="668"/>
        <w:gridCol w:w="668"/>
        <w:gridCol w:w="668"/>
        <w:gridCol w:w="668"/>
        <w:gridCol w:w="671"/>
        <w:gridCol w:w="671"/>
        <w:gridCol w:w="671"/>
        <w:gridCol w:w="671"/>
        <w:gridCol w:w="671"/>
        <w:gridCol w:w="671"/>
        <w:gridCol w:w="671"/>
        <w:gridCol w:w="688"/>
        <w:gridCol w:w="672"/>
        <w:gridCol w:w="672"/>
        <w:gridCol w:w="672"/>
        <w:gridCol w:w="672"/>
        <w:gridCol w:w="672"/>
        <w:gridCol w:w="675"/>
      </w:tblGrid>
      <w:tr>
        <w:trPr>
          <w:trHeight w:val="310" w:hRule="atLeast"/>
        </w:trPr>
        <w:tc>
          <w:tcPr>
            <w:tcW w:w="2125" w:type="dxa"/>
            <w:vAlign w:val="top"/>
            <w:vMerge w:val="restart"/>
            <w:tcBorders>
              <w:top w:val="single" w:color="000000" w:sz="10" w:space="0"/>
              <w:left w:val="nil"/>
              <w:bottom w:val="nil"/>
            </w:tcBorders>
          </w:tcPr>
          <w:p>
            <w:pPr>
              <w:pStyle w:val="TableText"/>
              <w:ind w:left="714"/>
              <w:spacing w:before="220" w:line="221" w:lineRule="auto"/>
              <w:rPr>
                <w:sz w:val="18"/>
                <w:szCs w:val="18"/>
              </w:rPr>
            </w:pPr>
            <w:r>
              <w:rPr>
                <w:sz w:val="18"/>
                <w:szCs w:val="18"/>
                <w:spacing w:val="-4"/>
              </w:rPr>
              <w:t>项目名称</w:t>
            </w:r>
          </w:p>
        </w:tc>
        <w:tc>
          <w:tcPr>
            <w:tcW w:w="8057" w:type="dxa"/>
            <w:vAlign w:val="top"/>
            <w:gridSpan w:val="12"/>
            <w:tcBorders>
              <w:top w:val="single" w:color="000000" w:sz="10" w:space="0"/>
            </w:tcBorders>
          </w:tcPr>
          <w:p>
            <w:pPr>
              <w:pStyle w:val="TableText"/>
              <w:ind w:left="3775"/>
              <w:spacing w:before="64" w:line="222" w:lineRule="auto"/>
              <w:rPr>
                <w:sz w:val="18"/>
                <w:szCs w:val="18"/>
              </w:rPr>
            </w:pPr>
            <w:r>
              <w:rPr>
                <w:sz w:val="18"/>
                <w:szCs w:val="18"/>
                <w:spacing w:val="-7"/>
              </w:rPr>
              <w:t>第一年</w:t>
            </w:r>
          </w:p>
        </w:tc>
        <w:tc>
          <w:tcPr>
            <w:tcW w:w="4035" w:type="dxa"/>
            <w:vAlign w:val="top"/>
            <w:gridSpan w:val="6"/>
            <w:tcBorders>
              <w:top w:val="single" w:color="000000" w:sz="10" w:space="0"/>
              <w:right w:val="nil"/>
            </w:tcBorders>
          </w:tcPr>
          <w:p>
            <w:pPr>
              <w:pStyle w:val="TableText"/>
              <w:ind w:left="1764"/>
              <w:spacing w:before="64" w:line="222" w:lineRule="auto"/>
              <w:rPr>
                <w:sz w:val="18"/>
                <w:szCs w:val="18"/>
              </w:rPr>
            </w:pPr>
            <w:r>
              <w:rPr>
                <w:sz w:val="18"/>
                <w:szCs w:val="18"/>
                <w:spacing w:val="-2"/>
              </w:rPr>
              <w:t>第二年</w:t>
            </w:r>
          </w:p>
        </w:tc>
      </w:tr>
      <w:tr>
        <w:trPr>
          <w:trHeight w:val="305" w:hRule="atLeast"/>
        </w:trPr>
        <w:tc>
          <w:tcPr>
            <w:tcW w:w="2125" w:type="dxa"/>
            <w:vAlign w:val="top"/>
            <w:vMerge w:val="continue"/>
            <w:tcBorders>
              <w:top w:val="nil"/>
              <w:left w:val="nil"/>
            </w:tcBorders>
          </w:tcPr>
          <w:p>
            <w:pPr>
              <w:rPr>
                <w:rFonts w:ascii="Arial"/>
                <w:sz w:val="21"/>
              </w:rPr>
            </w:pPr>
            <w:r/>
          </w:p>
        </w:tc>
        <w:tc>
          <w:tcPr>
            <w:tcW w:w="668" w:type="dxa"/>
            <w:vAlign w:val="top"/>
          </w:tcPr>
          <w:p>
            <w:pPr>
              <w:ind w:left="306"/>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68" w:type="dxa"/>
            <w:vAlign w:val="top"/>
          </w:tcPr>
          <w:p>
            <w:pPr>
              <w:ind w:left="291"/>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68" w:type="dxa"/>
            <w:vAlign w:val="top"/>
          </w:tcPr>
          <w:p>
            <w:pPr>
              <w:ind w:left="294"/>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68" w:type="dxa"/>
            <w:vAlign w:val="top"/>
          </w:tcPr>
          <w:p>
            <w:pPr>
              <w:ind w:left="288"/>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71" w:type="dxa"/>
            <w:vAlign w:val="top"/>
          </w:tcPr>
          <w:p>
            <w:pPr>
              <w:ind w:left="296"/>
              <w:spacing w:before="9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71" w:type="dxa"/>
            <w:vAlign w:val="top"/>
          </w:tcPr>
          <w:p>
            <w:pPr>
              <w:ind w:left="296"/>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671" w:type="dxa"/>
            <w:vAlign w:val="top"/>
          </w:tcPr>
          <w:p>
            <w:pPr>
              <w:ind w:left="293"/>
              <w:spacing w:before="9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671" w:type="dxa"/>
            <w:vAlign w:val="top"/>
          </w:tcPr>
          <w:p>
            <w:pPr>
              <w:ind w:left="299"/>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71" w:type="dxa"/>
            <w:vAlign w:val="top"/>
          </w:tcPr>
          <w:p>
            <w:pPr>
              <w:ind w:left="293"/>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671" w:type="dxa"/>
            <w:vAlign w:val="top"/>
          </w:tcPr>
          <w:p>
            <w:pPr>
              <w:ind w:left="263"/>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671" w:type="dxa"/>
            <w:vAlign w:val="top"/>
          </w:tcPr>
          <w:p>
            <w:pPr>
              <w:ind w:left="264"/>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11</w:t>
            </w:r>
          </w:p>
        </w:tc>
        <w:tc>
          <w:tcPr>
            <w:tcW w:w="688" w:type="dxa"/>
            <w:vAlign w:val="top"/>
          </w:tcPr>
          <w:p>
            <w:pPr>
              <w:ind w:left="272"/>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672" w:type="dxa"/>
            <w:vAlign w:val="top"/>
          </w:tcPr>
          <w:p>
            <w:pPr>
              <w:ind w:left="309"/>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72" w:type="dxa"/>
            <w:vAlign w:val="top"/>
          </w:tcPr>
          <w:p>
            <w:pPr>
              <w:ind w:left="291"/>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2" w:type="dxa"/>
            <w:vAlign w:val="top"/>
          </w:tcPr>
          <w:p>
            <w:pPr>
              <w:ind w:left="295"/>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72" w:type="dxa"/>
            <w:vAlign w:val="top"/>
          </w:tcPr>
          <w:p>
            <w:pPr>
              <w:ind w:left="290"/>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72" w:type="dxa"/>
            <w:vAlign w:val="top"/>
          </w:tcPr>
          <w:p>
            <w:pPr>
              <w:ind w:left="296"/>
              <w:spacing w:before="9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75" w:type="dxa"/>
            <w:vAlign w:val="top"/>
            <w:tcBorders>
              <w:right w:val="nil"/>
            </w:tcBorders>
          </w:tcPr>
          <w:p>
            <w:pPr>
              <w:ind w:left="298"/>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r>
      <w:tr>
        <w:trPr>
          <w:trHeight w:val="315" w:hRule="atLeast"/>
        </w:trPr>
        <w:tc>
          <w:tcPr>
            <w:tcW w:w="2125" w:type="dxa"/>
            <w:vAlign w:val="top"/>
            <w:vMerge w:val="restart"/>
            <w:tcBorders>
              <w:left w:val="nil"/>
              <w:bottom w:val="nil"/>
            </w:tcBorders>
          </w:tcPr>
          <w:p>
            <w:pPr>
              <w:pStyle w:val="TableText"/>
              <w:ind w:left="589"/>
              <w:spacing w:before="223" w:line="224" w:lineRule="auto"/>
              <w:rPr>
                <w:sz w:val="18"/>
                <w:szCs w:val="18"/>
              </w:rPr>
            </w:pPr>
            <w:r>
              <w:rPr>
                <w:sz w:val="18"/>
                <w:szCs w:val="18"/>
                <w:spacing w:val="-3"/>
              </w:rPr>
              <w:t>主井（</w:t>
            </w:r>
            <w:r>
              <w:rPr>
                <w:rFonts w:ascii="Times New Roman" w:hAnsi="Times New Roman" w:eastAsia="Times New Roman" w:cs="Times New Roman"/>
                <w:sz w:val="18"/>
                <w:szCs w:val="18"/>
                <w:spacing w:val="-3"/>
              </w:rPr>
              <w:t>SJ1</w:t>
            </w:r>
            <w:r>
              <w:rPr>
                <w:sz w:val="18"/>
                <w:szCs w:val="18"/>
                <w:spacing w:val="-3"/>
              </w:rPr>
              <w:t>）</w:t>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5" w:hRule="atLeast"/>
        </w:trPr>
        <w:tc>
          <w:tcPr>
            <w:tcW w:w="2125" w:type="dxa"/>
            <w:vAlign w:val="top"/>
            <w:vMerge w:val="restart"/>
            <w:tcBorders>
              <w:left w:val="nil"/>
              <w:bottom w:val="nil"/>
            </w:tcBorders>
          </w:tcPr>
          <w:p>
            <w:pPr>
              <w:pStyle w:val="TableText"/>
              <w:ind w:left="229"/>
              <w:spacing w:before="224" w:line="224" w:lineRule="auto"/>
              <w:rPr>
                <w:sz w:val="18"/>
                <w:szCs w:val="18"/>
              </w:rPr>
            </w:pPr>
            <w:r>
              <w:rPr>
                <w:sz w:val="18"/>
                <w:szCs w:val="18"/>
                <w:spacing w:val="-2"/>
              </w:rPr>
              <w:t>主井（</w:t>
            </w:r>
            <w:r>
              <w:rPr>
                <w:rFonts w:ascii="Times New Roman" w:hAnsi="Times New Roman" w:eastAsia="Times New Roman" w:cs="Times New Roman"/>
                <w:sz w:val="18"/>
                <w:szCs w:val="18"/>
                <w:spacing w:val="-2"/>
              </w:rPr>
              <w:t>SJ1</w:t>
            </w:r>
            <w:r>
              <w:rPr>
                <w:sz w:val="18"/>
                <w:szCs w:val="18"/>
                <w:spacing w:val="-2"/>
              </w:rPr>
              <w:t>）设备安装</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5" w:hRule="atLeast"/>
        </w:trPr>
        <w:tc>
          <w:tcPr>
            <w:tcW w:w="2125" w:type="dxa"/>
            <w:vAlign w:val="top"/>
            <w:vMerge w:val="restart"/>
            <w:tcBorders>
              <w:left w:val="nil"/>
              <w:bottom w:val="nil"/>
            </w:tcBorders>
          </w:tcPr>
          <w:p>
            <w:pPr>
              <w:pStyle w:val="TableText"/>
              <w:ind w:left="125"/>
              <w:spacing w:before="108" w:line="219" w:lineRule="auto"/>
              <w:rPr>
                <w:sz w:val="18"/>
                <w:szCs w:val="18"/>
              </w:rPr>
            </w:pPr>
            <w:r>
              <w:rPr>
                <w:rFonts w:ascii="Times New Roman" w:hAnsi="Times New Roman" w:eastAsia="Times New Roman" w:cs="Times New Roman"/>
                <w:sz w:val="18"/>
                <w:szCs w:val="18"/>
                <w:spacing w:val="-3"/>
              </w:rPr>
              <w:t>850m</w:t>
            </w:r>
            <w:r>
              <w:rPr>
                <w:rFonts w:ascii="Times New Roman" w:hAnsi="Times New Roman" w:eastAsia="Times New Roman" w:cs="Times New Roman"/>
                <w:sz w:val="18"/>
                <w:szCs w:val="18"/>
                <w:spacing w:val="41"/>
              </w:rPr>
              <w:t xml:space="preserve"> </w:t>
            </w:r>
            <w:r>
              <w:rPr>
                <w:sz w:val="18"/>
                <w:szCs w:val="18"/>
                <w:spacing w:val="-3"/>
              </w:rPr>
              <w:t>中段主井石门、车</w:t>
            </w:r>
          </w:p>
          <w:p>
            <w:pPr>
              <w:pStyle w:val="TableText"/>
              <w:ind w:left="983"/>
              <w:spacing w:before="18" w:line="223" w:lineRule="auto"/>
              <w:rPr>
                <w:sz w:val="18"/>
                <w:szCs w:val="18"/>
              </w:rPr>
            </w:pPr>
            <w:r>
              <w:rPr>
                <w:sz w:val="18"/>
                <w:szCs w:val="18"/>
              </w:rPr>
              <w:t>场</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88"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5" w:type="dxa"/>
            <w:vAlign w:val="top"/>
            <w:tcBorders>
              <w:bottom w:val="single" w:color="000000" w:sz="10" w:space="0"/>
              <w:right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88"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5" w:type="dxa"/>
            <w:vAlign w:val="top"/>
            <w:tcBorders>
              <w:top w:val="single" w:color="000000" w:sz="10" w:space="0"/>
              <w:right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893"/>
              <w:spacing w:before="224" w:line="223" w:lineRule="auto"/>
              <w:rPr>
                <w:sz w:val="18"/>
                <w:szCs w:val="18"/>
              </w:rPr>
            </w:pPr>
            <w:r>
              <w:rPr>
                <w:sz w:val="18"/>
                <w:szCs w:val="18"/>
                <w:spacing w:val="-6"/>
              </w:rPr>
              <w:t>水仓</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802"/>
              <w:spacing w:before="225" w:line="223" w:lineRule="auto"/>
              <w:rPr>
                <w:sz w:val="18"/>
                <w:szCs w:val="18"/>
              </w:rPr>
            </w:pPr>
            <w:r>
              <w:rPr>
                <w:sz w:val="18"/>
                <w:szCs w:val="18"/>
                <w:spacing w:val="-4"/>
              </w:rPr>
              <w:t>水泵房</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715"/>
              <w:spacing w:before="224" w:line="222" w:lineRule="auto"/>
              <w:rPr>
                <w:sz w:val="18"/>
                <w:szCs w:val="18"/>
              </w:rPr>
            </w:pPr>
            <w:r>
              <w:rPr>
                <w:sz w:val="18"/>
                <w:szCs w:val="18"/>
                <w:spacing w:val="-4"/>
              </w:rPr>
              <w:t>其他硐室</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128"/>
              <w:spacing w:before="109" w:line="219" w:lineRule="auto"/>
              <w:rPr>
                <w:sz w:val="18"/>
                <w:szCs w:val="18"/>
              </w:rPr>
            </w:pPr>
            <w:r>
              <w:rPr>
                <w:rFonts w:ascii="Times New Roman" w:hAnsi="Times New Roman" w:eastAsia="Times New Roman" w:cs="Times New Roman"/>
                <w:sz w:val="18"/>
                <w:szCs w:val="18"/>
                <w:spacing w:val="-9"/>
              </w:rPr>
              <w:t>1020m</w:t>
            </w:r>
            <w:r>
              <w:rPr>
                <w:rFonts w:ascii="Times New Roman" w:hAnsi="Times New Roman" w:eastAsia="Times New Roman" w:cs="Times New Roman"/>
                <w:sz w:val="18"/>
                <w:szCs w:val="18"/>
                <w:spacing w:val="36"/>
                <w:w w:val="101"/>
              </w:rPr>
              <w:t xml:space="preserve"> </w:t>
            </w:r>
            <w:r>
              <w:rPr>
                <w:sz w:val="18"/>
                <w:szCs w:val="18"/>
                <w:spacing w:val="-9"/>
              </w:rPr>
              <w:t>中段主井石门、车</w:t>
            </w:r>
          </w:p>
          <w:p>
            <w:pPr>
              <w:pStyle w:val="TableText"/>
              <w:ind w:left="983"/>
              <w:spacing w:before="18" w:line="223" w:lineRule="auto"/>
              <w:rPr>
                <w:sz w:val="18"/>
                <w:szCs w:val="18"/>
              </w:rPr>
            </w:pPr>
            <w:r>
              <w:rPr>
                <w:sz w:val="18"/>
                <w:szCs w:val="18"/>
              </w:rPr>
              <w:t>场</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272"/>
              <w:spacing w:before="229" w:line="222" w:lineRule="auto"/>
              <w:rPr>
                <w:sz w:val="18"/>
                <w:szCs w:val="18"/>
              </w:rPr>
            </w:pPr>
            <w:r>
              <w:rPr>
                <w:rFonts w:ascii="Times New Roman" w:hAnsi="Times New Roman" w:eastAsia="Times New Roman" w:cs="Times New Roman"/>
                <w:sz w:val="18"/>
                <w:szCs w:val="18"/>
                <w:spacing w:val="-6"/>
              </w:rPr>
              <w:t>1020m</w:t>
            </w:r>
            <w:r>
              <w:rPr>
                <w:rFonts w:ascii="Times New Roman" w:hAnsi="Times New Roman" w:eastAsia="Times New Roman" w:cs="Times New Roman"/>
                <w:sz w:val="18"/>
                <w:szCs w:val="18"/>
                <w:spacing w:val="43"/>
                <w:w w:val="101"/>
              </w:rPr>
              <w:t xml:space="preserve"> </w:t>
            </w:r>
            <w:r>
              <w:rPr>
                <w:sz w:val="18"/>
                <w:szCs w:val="18"/>
                <w:spacing w:val="-6"/>
              </w:rPr>
              <w:t>中段回风巷道</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88"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88"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121"/>
              <w:spacing w:before="113" w:line="219" w:lineRule="auto"/>
              <w:rPr>
                <w:sz w:val="18"/>
                <w:szCs w:val="18"/>
              </w:rPr>
            </w:pPr>
            <w:r>
              <w:rPr>
                <w:rFonts w:ascii="Times New Roman" w:hAnsi="Times New Roman" w:eastAsia="Times New Roman" w:cs="Times New Roman"/>
                <w:sz w:val="18"/>
                <w:szCs w:val="18"/>
                <w:spacing w:val="-3"/>
              </w:rPr>
              <w:t>975m</w:t>
            </w:r>
            <w:r>
              <w:rPr>
                <w:rFonts w:ascii="Times New Roman" w:hAnsi="Times New Roman" w:eastAsia="Times New Roman" w:cs="Times New Roman"/>
                <w:sz w:val="18"/>
                <w:szCs w:val="18"/>
                <w:spacing w:val="44"/>
                <w:w w:val="102"/>
              </w:rPr>
              <w:t xml:space="preserve"> </w:t>
            </w:r>
            <w:r>
              <w:rPr>
                <w:sz w:val="18"/>
                <w:szCs w:val="18"/>
                <w:spacing w:val="-3"/>
              </w:rPr>
              <w:t>中段主井石门、车</w:t>
            </w:r>
          </w:p>
          <w:p>
            <w:pPr>
              <w:pStyle w:val="TableText"/>
              <w:ind w:left="983"/>
              <w:spacing w:before="18" w:line="223" w:lineRule="auto"/>
              <w:rPr>
                <w:sz w:val="18"/>
                <w:szCs w:val="18"/>
              </w:rPr>
            </w:pPr>
            <w:r>
              <w:rPr>
                <w:sz w:val="18"/>
                <w:szCs w:val="18"/>
              </w:rPr>
              <w:t>场</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5" w:hRule="atLeast"/>
        </w:trPr>
        <w:tc>
          <w:tcPr>
            <w:tcW w:w="2125" w:type="dxa"/>
            <w:vAlign w:val="top"/>
            <w:vMerge w:val="restart"/>
            <w:tcBorders>
              <w:left w:val="nil"/>
              <w:bottom w:val="nil"/>
            </w:tcBorders>
          </w:tcPr>
          <w:p>
            <w:pPr>
              <w:pStyle w:val="TableText"/>
              <w:ind w:left="301"/>
              <w:spacing w:before="229" w:line="222" w:lineRule="auto"/>
              <w:rPr>
                <w:sz w:val="18"/>
                <w:szCs w:val="18"/>
              </w:rPr>
            </w:pPr>
            <w:r>
              <w:rPr>
                <w:rFonts w:ascii="Times New Roman" w:hAnsi="Times New Roman" w:eastAsia="Times New Roman" w:cs="Times New Roman"/>
                <w:sz w:val="18"/>
                <w:szCs w:val="18"/>
                <w:spacing w:val="-5"/>
              </w:rPr>
              <w:t>930m</w:t>
            </w:r>
            <w:r>
              <w:rPr>
                <w:rFonts w:ascii="Times New Roman" w:hAnsi="Times New Roman" w:eastAsia="Times New Roman" w:cs="Times New Roman"/>
                <w:sz w:val="18"/>
                <w:szCs w:val="18"/>
                <w:spacing w:val="42"/>
                <w:w w:val="101"/>
              </w:rPr>
              <w:t xml:space="preserve"> </w:t>
            </w:r>
            <w:r>
              <w:rPr>
                <w:sz w:val="18"/>
                <w:szCs w:val="18"/>
                <w:spacing w:val="-5"/>
              </w:rPr>
              <w:t>中段主井石门</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5"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5" w:hRule="atLeast"/>
        </w:trPr>
        <w:tc>
          <w:tcPr>
            <w:tcW w:w="2125" w:type="dxa"/>
            <w:vAlign w:val="top"/>
            <w:vMerge w:val="restart"/>
            <w:tcBorders>
              <w:left w:val="nil"/>
              <w:bottom w:val="nil"/>
            </w:tcBorders>
          </w:tcPr>
          <w:p>
            <w:pPr>
              <w:pStyle w:val="TableText"/>
              <w:ind w:left="305"/>
              <w:spacing w:before="230" w:line="222" w:lineRule="auto"/>
              <w:rPr>
                <w:sz w:val="18"/>
                <w:szCs w:val="18"/>
              </w:rPr>
            </w:pPr>
            <w:r>
              <w:rPr>
                <w:rFonts w:ascii="Times New Roman" w:hAnsi="Times New Roman" w:eastAsia="Times New Roman" w:cs="Times New Roman"/>
                <w:sz w:val="18"/>
                <w:szCs w:val="18"/>
                <w:spacing w:val="-5"/>
              </w:rPr>
              <w:t>885m</w:t>
            </w:r>
            <w:r>
              <w:rPr>
                <w:rFonts w:ascii="Times New Roman" w:hAnsi="Times New Roman" w:eastAsia="Times New Roman" w:cs="Times New Roman"/>
                <w:sz w:val="18"/>
                <w:szCs w:val="18"/>
                <w:spacing w:val="39"/>
              </w:rPr>
              <w:t xml:space="preserve"> </w:t>
            </w:r>
            <w:r>
              <w:rPr>
                <w:sz w:val="18"/>
                <w:szCs w:val="18"/>
                <w:spacing w:val="-5"/>
              </w:rPr>
              <w:t>中段主井石门</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8"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bl>
    <w:p>
      <w:pPr>
        <w:pStyle w:val="BodyText"/>
        <w:rPr/>
      </w:pPr>
      <w:r/>
    </w:p>
    <w:p>
      <w:pPr>
        <w:sectPr>
          <w:footerReference w:type="default" r:id="rId144"/>
          <w:pgSz w:w="16839" w:h="11911"/>
          <w:pgMar w:top="400" w:right="1312" w:bottom="1147" w:left="1309" w:header="0" w:footer="984"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21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5"/>
        <w:gridCol w:w="668"/>
        <w:gridCol w:w="668"/>
        <w:gridCol w:w="668"/>
        <w:gridCol w:w="668"/>
        <w:gridCol w:w="671"/>
        <w:gridCol w:w="671"/>
        <w:gridCol w:w="671"/>
        <w:gridCol w:w="671"/>
        <w:gridCol w:w="671"/>
        <w:gridCol w:w="671"/>
        <w:gridCol w:w="671"/>
        <w:gridCol w:w="688"/>
        <w:gridCol w:w="672"/>
        <w:gridCol w:w="672"/>
        <w:gridCol w:w="672"/>
        <w:gridCol w:w="672"/>
        <w:gridCol w:w="672"/>
        <w:gridCol w:w="675"/>
      </w:tblGrid>
      <w:tr>
        <w:trPr>
          <w:trHeight w:val="318" w:hRule="atLeast"/>
        </w:trPr>
        <w:tc>
          <w:tcPr>
            <w:tcW w:w="2125" w:type="dxa"/>
            <w:vAlign w:val="top"/>
            <w:vMerge w:val="restart"/>
            <w:tcBorders>
              <w:left w:val="nil"/>
              <w:bottom w:val="nil"/>
            </w:tcBorders>
          </w:tcPr>
          <w:p>
            <w:pPr>
              <w:pStyle w:val="TableText"/>
              <w:ind w:left="715"/>
              <w:spacing w:before="231" w:line="222" w:lineRule="auto"/>
              <w:rPr>
                <w:sz w:val="18"/>
                <w:szCs w:val="18"/>
              </w:rPr>
            </w:pPr>
            <w:r>
              <w:rPr>
                <w:sz w:val="18"/>
                <w:szCs w:val="18"/>
                <w:spacing w:val="-4"/>
              </w:rPr>
              <w:t>采切工程</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2" w:type="dxa"/>
            <w:vAlign w:val="top"/>
            <w:tcBorders>
              <w:bottom w:val="single" w:color="000000" w:sz="10" w:space="0"/>
            </w:tcBorders>
          </w:tcPr>
          <w:p>
            <w:pPr>
              <w:rPr>
                <w:rFonts w:ascii="Arial"/>
                <w:sz w:val="21"/>
              </w:rPr>
            </w:pPr>
            <w:r/>
          </w:p>
        </w:tc>
        <w:tc>
          <w:tcPr>
            <w:tcW w:w="675" w:type="dxa"/>
            <w:vAlign w:val="top"/>
            <w:tcBorders>
              <w:bottom w:val="single" w:color="000000" w:sz="10" w:space="0"/>
              <w:right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2" w:type="dxa"/>
            <w:vAlign w:val="top"/>
            <w:tcBorders>
              <w:top w:val="single" w:color="000000" w:sz="10" w:space="0"/>
            </w:tcBorders>
          </w:tcPr>
          <w:p>
            <w:pPr>
              <w:rPr>
                <w:rFonts w:ascii="Arial"/>
                <w:sz w:val="21"/>
              </w:rPr>
            </w:pPr>
            <w:r/>
          </w:p>
        </w:tc>
        <w:tc>
          <w:tcPr>
            <w:tcW w:w="675" w:type="dxa"/>
            <w:vAlign w:val="top"/>
            <w:tcBorders>
              <w:top w:val="single" w:color="000000" w:sz="10" w:space="0"/>
              <w:right w:val="nil"/>
            </w:tcBorders>
          </w:tcPr>
          <w:p>
            <w:pPr>
              <w:rPr>
                <w:rFonts w:ascii="Arial"/>
                <w:sz w:val="21"/>
              </w:rPr>
            </w:pPr>
            <w:r/>
          </w:p>
        </w:tc>
      </w:tr>
      <w:tr>
        <w:trPr>
          <w:trHeight w:val="313" w:hRule="atLeast"/>
        </w:trPr>
        <w:tc>
          <w:tcPr>
            <w:tcW w:w="2125" w:type="dxa"/>
            <w:vAlign w:val="top"/>
            <w:vMerge w:val="restart"/>
            <w:tcBorders>
              <w:left w:val="nil"/>
              <w:bottom w:val="nil"/>
            </w:tcBorders>
          </w:tcPr>
          <w:p>
            <w:pPr>
              <w:pStyle w:val="TableText"/>
              <w:ind w:left="496"/>
              <w:spacing w:before="226" w:line="224" w:lineRule="auto"/>
              <w:rPr>
                <w:sz w:val="18"/>
                <w:szCs w:val="18"/>
              </w:rPr>
            </w:pPr>
            <w:r>
              <w:rPr>
                <w:sz w:val="18"/>
                <w:szCs w:val="18"/>
                <w:spacing w:val="-2"/>
              </w:rPr>
              <w:t>通风井（</w:t>
            </w:r>
            <w:r>
              <w:rPr>
                <w:rFonts w:ascii="Times New Roman" w:hAnsi="Times New Roman" w:eastAsia="Times New Roman" w:cs="Times New Roman"/>
                <w:sz w:val="18"/>
                <w:szCs w:val="18"/>
                <w:spacing w:val="-2"/>
              </w:rPr>
              <w:t>SJ2</w:t>
            </w:r>
            <w:r>
              <w:rPr>
                <w:sz w:val="18"/>
                <w:szCs w:val="18"/>
                <w:spacing w:val="-2"/>
              </w:rPr>
              <w:t>）</w:t>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3" w:hRule="atLeast"/>
        </w:trPr>
        <w:tc>
          <w:tcPr>
            <w:tcW w:w="2125" w:type="dxa"/>
            <w:vAlign w:val="top"/>
            <w:vMerge w:val="restart"/>
            <w:tcBorders>
              <w:left w:val="nil"/>
              <w:bottom w:val="nil"/>
            </w:tcBorders>
          </w:tcPr>
          <w:p>
            <w:pPr>
              <w:pStyle w:val="TableText"/>
              <w:ind w:right="15"/>
              <w:spacing w:before="231" w:line="222" w:lineRule="auto"/>
              <w:jc w:val="right"/>
              <w:rPr>
                <w:sz w:val="18"/>
                <w:szCs w:val="18"/>
              </w:rPr>
            </w:pPr>
            <w:r>
              <w:rPr>
                <w:sz w:val="18"/>
                <w:szCs w:val="18"/>
                <w:spacing w:val="-1"/>
              </w:rPr>
              <w:t>倒段回风井（</w:t>
            </w:r>
            <w:r>
              <w:rPr>
                <w:rFonts w:ascii="Times New Roman" w:hAnsi="Times New Roman" w:eastAsia="Times New Roman" w:cs="Times New Roman"/>
                <w:sz w:val="18"/>
                <w:szCs w:val="18"/>
                <w:spacing w:val="-1"/>
              </w:rPr>
              <w:t>850-885m</w:t>
            </w:r>
            <w:r>
              <w:rPr>
                <w:sz w:val="18"/>
                <w:szCs w:val="18"/>
                <w:spacing w:val="-1"/>
              </w:rPr>
              <w:t>）</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3" w:hRule="atLeast"/>
        </w:trPr>
        <w:tc>
          <w:tcPr>
            <w:tcW w:w="2125" w:type="dxa"/>
            <w:vAlign w:val="top"/>
            <w:vMerge w:val="restart"/>
            <w:tcBorders>
              <w:left w:val="nil"/>
              <w:bottom w:val="nil"/>
            </w:tcBorders>
          </w:tcPr>
          <w:p>
            <w:pPr>
              <w:pStyle w:val="TableText"/>
              <w:ind w:left="272"/>
              <w:spacing w:before="234" w:line="222" w:lineRule="auto"/>
              <w:rPr>
                <w:sz w:val="18"/>
                <w:szCs w:val="18"/>
              </w:rPr>
            </w:pPr>
            <w:r>
              <w:rPr>
                <w:rFonts w:ascii="Times New Roman" w:hAnsi="Times New Roman" w:eastAsia="Times New Roman" w:cs="Times New Roman"/>
                <w:sz w:val="18"/>
                <w:szCs w:val="18"/>
                <w:spacing w:val="-6"/>
              </w:rPr>
              <w:t>1020m</w:t>
            </w:r>
            <w:r>
              <w:rPr>
                <w:rFonts w:ascii="Times New Roman" w:hAnsi="Times New Roman" w:eastAsia="Times New Roman" w:cs="Times New Roman"/>
                <w:sz w:val="18"/>
                <w:szCs w:val="18"/>
                <w:spacing w:val="43"/>
                <w:w w:val="101"/>
              </w:rPr>
              <w:t xml:space="preserve"> </w:t>
            </w:r>
            <w:r>
              <w:rPr>
                <w:sz w:val="18"/>
                <w:szCs w:val="18"/>
                <w:spacing w:val="-6"/>
              </w:rPr>
              <w:t>中段风井石门</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301"/>
              <w:spacing w:before="235" w:line="222" w:lineRule="auto"/>
              <w:rPr>
                <w:sz w:val="18"/>
                <w:szCs w:val="18"/>
              </w:rPr>
            </w:pPr>
            <w:r>
              <w:rPr>
                <w:rFonts w:ascii="Times New Roman" w:hAnsi="Times New Roman" w:eastAsia="Times New Roman" w:cs="Times New Roman"/>
                <w:sz w:val="18"/>
                <w:szCs w:val="18"/>
                <w:spacing w:val="-5"/>
              </w:rPr>
              <w:t>975m</w:t>
            </w:r>
            <w:r>
              <w:rPr>
                <w:rFonts w:ascii="Times New Roman" w:hAnsi="Times New Roman" w:eastAsia="Times New Roman" w:cs="Times New Roman"/>
                <w:sz w:val="18"/>
                <w:szCs w:val="18"/>
                <w:spacing w:val="42"/>
                <w:w w:val="101"/>
              </w:rPr>
              <w:t xml:space="preserve"> </w:t>
            </w:r>
            <w:r>
              <w:rPr>
                <w:sz w:val="18"/>
                <w:szCs w:val="18"/>
                <w:spacing w:val="-5"/>
              </w:rPr>
              <w:t>中段风井石门</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305"/>
              <w:spacing w:before="239" w:line="222" w:lineRule="auto"/>
              <w:rPr>
                <w:sz w:val="18"/>
                <w:szCs w:val="18"/>
              </w:rPr>
            </w:pPr>
            <w:r>
              <w:rPr>
                <w:rFonts w:ascii="Times New Roman" w:hAnsi="Times New Roman" w:eastAsia="Times New Roman" w:cs="Times New Roman"/>
                <w:sz w:val="18"/>
                <w:szCs w:val="18"/>
                <w:spacing w:val="-5"/>
              </w:rPr>
              <w:t>885m</w:t>
            </w:r>
            <w:r>
              <w:rPr>
                <w:rFonts w:ascii="Times New Roman" w:hAnsi="Times New Roman" w:eastAsia="Times New Roman" w:cs="Times New Roman"/>
                <w:sz w:val="18"/>
                <w:szCs w:val="18"/>
                <w:spacing w:val="39"/>
              </w:rPr>
              <w:t xml:space="preserve"> </w:t>
            </w:r>
            <w:r>
              <w:rPr>
                <w:sz w:val="18"/>
                <w:szCs w:val="18"/>
                <w:spacing w:val="-5"/>
              </w:rPr>
              <w:t>中段运输巷道</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803"/>
              <w:spacing w:before="241" w:line="223" w:lineRule="auto"/>
              <w:rPr>
                <w:sz w:val="18"/>
                <w:szCs w:val="18"/>
              </w:rPr>
            </w:pPr>
            <w:r>
              <w:rPr>
                <w:sz w:val="18"/>
                <w:szCs w:val="18"/>
                <w:spacing w:val="-5"/>
              </w:rPr>
              <w:t>充填站</w:t>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534"/>
              <w:spacing w:before="242" w:line="222" w:lineRule="auto"/>
              <w:rPr>
                <w:sz w:val="18"/>
                <w:szCs w:val="18"/>
              </w:rPr>
            </w:pPr>
            <w:r>
              <w:rPr>
                <w:sz w:val="18"/>
                <w:szCs w:val="18"/>
                <w:spacing w:val="-3"/>
              </w:rPr>
              <w:t>道路硬化工程</w:t>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802"/>
              <w:spacing w:before="245" w:line="222" w:lineRule="auto"/>
              <w:rPr>
                <w:sz w:val="18"/>
                <w:szCs w:val="18"/>
              </w:rPr>
            </w:pPr>
            <w:r>
              <w:rPr>
                <w:sz w:val="18"/>
                <w:szCs w:val="18"/>
                <w:spacing w:val="-4"/>
              </w:rPr>
              <w:t>炸药库</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left w:val="nil"/>
              <w:bottom w:val="nil"/>
            </w:tcBorders>
          </w:tcPr>
          <w:p>
            <w:pPr>
              <w:pStyle w:val="TableText"/>
              <w:ind w:left="805"/>
              <w:spacing w:before="247" w:line="224" w:lineRule="auto"/>
              <w:rPr>
                <w:sz w:val="18"/>
                <w:szCs w:val="18"/>
              </w:rPr>
            </w:pPr>
            <w:r>
              <w:rPr>
                <w:sz w:val="18"/>
                <w:szCs w:val="18"/>
                <w:spacing w:val="-5"/>
              </w:rPr>
              <w:t>选矿厂</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right w:val="nil"/>
              <w:bottom w:val="nil"/>
            </w:tcBorders>
          </w:tcPr>
          <w:p>
            <w:pPr>
              <w:rPr>
                <w:rFonts w:ascii="Arial"/>
                <w:sz w:val="21"/>
              </w:rPr>
            </w:pPr>
            <w:r/>
          </w:p>
        </w:tc>
      </w:tr>
      <w:tr>
        <w:trPr>
          <w:trHeight w:val="294" w:hRule="atLeast"/>
        </w:trPr>
        <w:tc>
          <w:tcPr>
            <w:tcW w:w="2125" w:type="dxa"/>
            <w:vAlign w:val="top"/>
            <w:vMerge w:val="continue"/>
            <w:tcBorders>
              <w:left w:val="nil"/>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vMerge w:val="continue"/>
            <w:tcBorders>
              <w:top w:val="nil"/>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68"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71" w:type="dxa"/>
            <w:vAlign w:val="top"/>
            <w:tcBorders>
              <w:top w:val="single" w:color="000000" w:sz="10" w:space="0"/>
            </w:tcBorders>
          </w:tcPr>
          <w:p>
            <w:pPr>
              <w:rPr>
                <w:rFonts w:ascii="Arial"/>
                <w:sz w:val="21"/>
              </w:rPr>
            </w:pPr>
            <w:r/>
          </w:p>
        </w:tc>
        <w:tc>
          <w:tcPr>
            <w:tcW w:w="688"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675" w:type="dxa"/>
            <w:vAlign w:val="top"/>
            <w:vMerge w:val="continue"/>
            <w:tcBorders>
              <w:right w:val="nil"/>
              <w:top w:val="nil"/>
            </w:tcBorders>
          </w:tcPr>
          <w:p>
            <w:pPr>
              <w:rPr>
                <w:rFonts w:ascii="Arial"/>
                <w:sz w:val="21"/>
              </w:rPr>
            </w:pPr>
            <w:r/>
          </w:p>
        </w:tc>
      </w:tr>
      <w:tr>
        <w:trPr>
          <w:trHeight w:val="314" w:hRule="atLeast"/>
        </w:trPr>
        <w:tc>
          <w:tcPr>
            <w:tcW w:w="2125" w:type="dxa"/>
            <w:vAlign w:val="top"/>
            <w:vMerge w:val="restart"/>
            <w:tcBorders>
              <w:bottom w:val="nil"/>
              <w:left w:val="nil"/>
            </w:tcBorders>
          </w:tcPr>
          <w:p>
            <w:pPr>
              <w:pStyle w:val="TableText"/>
              <w:ind w:left="628"/>
              <w:spacing w:before="247" w:line="224" w:lineRule="auto"/>
              <w:rPr>
                <w:sz w:val="18"/>
                <w:szCs w:val="18"/>
              </w:rPr>
            </w:pPr>
            <w:r>
              <w:rPr>
                <w:sz w:val="18"/>
                <w:szCs w:val="18"/>
                <w:spacing w:val="-4"/>
              </w:rPr>
              <w:t>办公生活区</w:t>
            </w:r>
          </w:p>
        </w:tc>
        <w:tc>
          <w:tcPr>
            <w:tcW w:w="668" w:type="dxa"/>
            <w:vAlign w:val="top"/>
            <w:vMerge w:val="restart"/>
            <w:tcBorders>
              <w:bottom w:val="nil"/>
            </w:tcBorders>
          </w:tcPr>
          <w:p>
            <w:pPr>
              <w:rPr>
                <w:rFonts w:ascii="Arial"/>
                <w:sz w:val="21"/>
              </w:rPr>
            </w:pPr>
            <w:r/>
          </w:p>
        </w:tc>
        <w:tc>
          <w:tcPr>
            <w:tcW w:w="668" w:type="dxa"/>
            <w:vAlign w:val="top"/>
            <w:vMerge w:val="restart"/>
            <w:tcBorders>
              <w:bottom w:val="nil"/>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68"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71" w:type="dxa"/>
            <w:vAlign w:val="top"/>
            <w:tcBorders>
              <w:bottom w:val="single" w:color="000000" w:sz="10" w:space="0"/>
            </w:tcBorders>
          </w:tcPr>
          <w:p>
            <w:pPr>
              <w:rPr>
                <w:rFonts w:ascii="Arial"/>
                <w:sz w:val="21"/>
              </w:rPr>
            </w:pPr>
            <w:r/>
          </w:p>
        </w:tc>
        <w:tc>
          <w:tcPr>
            <w:tcW w:w="688"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675" w:type="dxa"/>
            <w:vAlign w:val="top"/>
            <w:vMerge w:val="restart"/>
            <w:tcBorders>
              <w:bottom w:val="nil"/>
              <w:right w:val="nil"/>
            </w:tcBorders>
          </w:tcPr>
          <w:p>
            <w:pPr>
              <w:rPr>
                <w:rFonts w:ascii="Arial"/>
                <w:sz w:val="21"/>
              </w:rPr>
            </w:pPr>
            <w:r/>
          </w:p>
        </w:tc>
      </w:tr>
      <w:tr>
        <w:trPr>
          <w:trHeight w:val="318" w:hRule="atLeast"/>
        </w:trPr>
        <w:tc>
          <w:tcPr>
            <w:tcW w:w="2125" w:type="dxa"/>
            <w:vAlign w:val="top"/>
            <w:vMerge w:val="continue"/>
            <w:tcBorders>
              <w:bottom w:val="single" w:color="000000" w:sz="10" w:space="0"/>
              <w:left w:val="nil"/>
              <w:top w:val="nil"/>
            </w:tcBorders>
          </w:tcPr>
          <w:p>
            <w:pPr>
              <w:rPr>
                <w:rFonts w:ascii="Arial"/>
                <w:sz w:val="21"/>
              </w:rPr>
            </w:pPr>
            <w:r/>
          </w:p>
        </w:tc>
        <w:tc>
          <w:tcPr>
            <w:tcW w:w="668" w:type="dxa"/>
            <w:vAlign w:val="top"/>
            <w:vMerge w:val="continue"/>
            <w:tcBorders>
              <w:bottom w:val="single" w:color="000000" w:sz="10" w:space="0"/>
              <w:top w:val="nil"/>
            </w:tcBorders>
          </w:tcPr>
          <w:p>
            <w:pPr>
              <w:rPr>
                <w:rFonts w:ascii="Arial"/>
                <w:sz w:val="21"/>
              </w:rPr>
            </w:pPr>
            <w:r/>
          </w:p>
        </w:tc>
        <w:tc>
          <w:tcPr>
            <w:tcW w:w="668" w:type="dxa"/>
            <w:vAlign w:val="top"/>
            <w:vMerge w:val="continue"/>
            <w:tcBorders>
              <w:bottom w:val="single" w:color="000000" w:sz="10" w:space="0"/>
              <w:top w:val="nil"/>
            </w:tcBorders>
          </w:tcPr>
          <w:p>
            <w:pPr>
              <w:rPr>
                <w:rFonts w:ascii="Arial"/>
                <w:sz w:val="21"/>
              </w:rPr>
            </w:pPr>
            <w:r/>
          </w:p>
        </w:tc>
        <w:tc>
          <w:tcPr>
            <w:tcW w:w="668" w:type="dxa"/>
            <w:vAlign w:val="top"/>
            <w:tcBorders>
              <w:bottom w:val="single" w:color="000000" w:sz="10" w:space="0"/>
              <w:top w:val="single" w:color="000000" w:sz="10" w:space="0"/>
            </w:tcBorders>
          </w:tcPr>
          <w:p>
            <w:pPr>
              <w:rPr>
                <w:rFonts w:ascii="Arial"/>
                <w:sz w:val="21"/>
              </w:rPr>
            </w:pPr>
            <w:r/>
          </w:p>
        </w:tc>
        <w:tc>
          <w:tcPr>
            <w:tcW w:w="668"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71" w:type="dxa"/>
            <w:vAlign w:val="top"/>
            <w:tcBorders>
              <w:bottom w:val="single" w:color="000000" w:sz="10" w:space="0"/>
              <w:top w:val="single" w:color="000000" w:sz="10" w:space="0"/>
            </w:tcBorders>
          </w:tcPr>
          <w:p>
            <w:pPr>
              <w:rPr>
                <w:rFonts w:ascii="Arial"/>
                <w:sz w:val="21"/>
              </w:rPr>
            </w:pPr>
            <w:r/>
          </w:p>
        </w:tc>
        <w:tc>
          <w:tcPr>
            <w:tcW w:w="688" w:type="dxa"/>
            <w:vAlign w:val="top"/>
            <w:vMerge w:val="continue"/>
            <w:tcBorders>
              <w:bottom w:val="single" w:color="000000" w:sz="10" w:space="0"/>
              <w:top w:val="nil"/>
            </w:tcBorders>
          </w:tcPr>
          <w:p>
            <w:pPr>
              <w:rPr>
                <w:rFonts w:ascii="Arial"/>
                <w:sz w:val="21"/>
              </w:rPr>
            </w:pPr>
            <w:r/>
          </w:p>
        </w:tc>
        <w:tc>
          <w:tcPr>
            <w:tcW w:w="672" w:type="dxa"/>
            <w:vAlign w:val="top"/>
            <w:vMerge w:val="continue"/>
            <w:tcBorders>
              <w:bottom w:val="single" w:color="000000" w:sz="10" w:space="0"/>
              <w:top w:val="nil"/>
            </w:tcBorders>
          </w:tcPr>
          <w:p>
            <w:pPr>
              <w:rPr>
                <w:rFonts w:ascii="Arial"/>
                <w:sz w:val="21"/>
              </w:rPr>
            </w:pPr>
            <w:r/>
          </w:p>
        </w:tc>
        <w:tc>
          <w:tcPr>
            <w:tcW w:w="672" w:type="dxa"/>
            <w:vAlign w:val="top"/>
            <w:vMerge w:val="continue"/>
            <w:tcBorders>
              <w:bottom w:val="single" w:color="000000" w:sz="10" w:space="0"/>
              <w:top w:val="nil"/>
            </w:tcBorders>
          </w:tcPr>
          <w:p>
            <w:pPr>
              <w:rPr>
                <w:rFonts w:ascii="Arial"/>
                <w:sz w:val="21"/>
              </w:rPr>
            </w:pPr>
            <w:r/>
          </w:p>
        </w:tc>
        <w:tc>
          <w:tcPr>
            <w:tcW w:w="672" w:type="dxa"/>
            <w:vAlign w:val="top"/>
            <w:vMerge w:val="continue"/>
            <w:tcBorders>
              <w:bottom w:val="single" w:color="000000" w:sz="10" w:space="0"/>
              <w:top w:val="nil"/>
            </w:tcBorders>
          </w:tcPr>
          <w:p>
            <w:pPr>
              <w:rPr>
                <w:rFonts w:ascii="Arial"/>
                <w:sz w:val="21"/>
              </w:rPr>
            </w:pPr>
            <w:r/>
          </w:p>
        </w:tc>
        <w:tc>
          <w:tcPr>
            <w:tcW w:w="672" w:type="dxa"/>
            <w:vAlign w:val="top"/>
            <w:vMerge w:val="continue"/>
            <w:tcBorders>
              <w:bottom w:val="single" w:color="000000" w:sz="10" w:space="0"/>
              <w:top w:val="nil"/>
            </w:tcBorders>
          </w:tcPr>
          <w:p>
            <w:pPr>
              <w:rPr>
                <w:rFonts w:ascii="Arial"/>
                <w:sz w:val="21"/>
              </w:rPr>
            </w:pPr>
            <w:r/>
          </w:p>
        </w:tc>
        <w:tc>
          <w:tcPr>
            <w:tcW w:w="672" w:type="dxa"/>
            <w:vAlign w:val="top"/>
            <w:vMerge w:val="continue"/>
            <w:tcBorders>
              <w:bottom w:val="single" w:color="000000" w:sz="10" w:space="0"/>
              <w:top w:val="nil"/>
            </w:tcBorders>
          </w:tcPr>
          <w:p>
            <w:pPr>
              <w:rPr>
                <w:rFonts w:ascii="Arial"/>
                <w:sz w:val="21"/>
              </w:rPr>
            </w:pPr>
            <w:r/>
          </w:p>
        </w:tc>
        <w:tc>
          <w:tcPr>
            <w:tcW w:w="675"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footerReference w:type="default" r:id="rId145"/>
          <w:pgSz w:w="16839" w:h="11911"/>
          <w:pgMar w:top="400" w:right="1312" w:bottom="1147" w:left="1309" w:header="0" w:footer="984" w:gutter="0"/>
        </w:sectPr>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16"/>
        <w:spacing w:before="78"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4.13.1.2  </w:t>
      </w:r>
      <w:r>
        <w:rPr>
          <w:rFonts w:ascii="FangSong" w:hAnsi="FangSong" w:eastAsia="FangSong" w:cs="FangSong"/>
          <w:sz w:val="24"/>
          <w:szCs w:val="24"/>
          <w:b/>
          <w:bCs/>
          <w:spacing w:val="-2"/>
        </w:rPr>
        <w:t>运营期工艺流程</w:t>
      </w:r>
    </w:p>
    <w:p>
      <w:pPr>
        <w:ind w:left="511"/>
        <w:spacing w:before="176"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）采矿工艺</w:t>
      </w:r>
    </w:p>
    <w:p>
      <w:pPr>
        <w:ind w:left="507"/>
        <w:spacing w:before="178" w:line="222" w:lineRule="auto"/>
        <w:rPr>
          <w:rFonts w:ascii="FangSong" w:hAnsi="FangSong" w:eastAsia="FangSong" w:cs="FangSong"/>
          <w:sz w:val="24"/>
          <w:szCs w:val="24"/>
        </w:rPr>
      </w:pPr>
      <w:r>
        <w:rPr>
          <w:rFonts w:ascii="FangSong" w:hAnsi="FangSong" w:eastAsia="FangSong" w:cs="FangSong"/>
          <w:sz w:val="24"/>
          <w:szCs w:val="24"/>
          <w:spacing w:val="-1"/>
        </w:rPr>
        <w:t>本项目井下开采工艺工艺流程及产排污节点示意图见图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4.13-2</w:t>
      </w:r>
      <w:r>
        <w:rPr>
          <w:rFonts w:ascii="FangSong" w:hAnsi="FangSong" w:eastAsia="FangSong" w:cs="FangSong"/>
          <w:sz w:val="24"/>
          <w:szCs w:val="24"/>
          <w:spacing w:val="-1"/>
        </w:rPr>
        <w:t>。</w:t>
      </w:r>
    </w:p>
    <w:p>
      <w:pPr>
        <w:pStyle w:val="BodyText"/>
        <w:spacing w:line="276" w:lineRule="auto"/>
        <w:rPr/>
      </w:pPr>
      <w:r/>
    </w:p>
    <w:p>
      <w:pPr>
        <w:pStyle w:val="BodyText"/>
        <w:spacing w:line="276" w:lineRule="auto"/>
        <w:rPr/>
      </w:pPr>
      <w:r/>
    </w:p>
    <w:p>
      <w:pPr>
        <w:ind w:firstLine="13"/>
        <w:spacing w:line="3180" w:lineRule="exact"/>
        <w:rPr/>
      </w:pPr>
      <w:r>
        <w:rPr>
          <w:position w:val="-63"/>
        </w:rPr>
        <w:drawing>
          <wp:inline distT="0" distB="0" distL="0" distR="0">
            <wp:extent cx="5518404" cy="2019300"/>
            <wp:effectExtent l="0" t="0" r="0" b="0"/>
            <wp:docPr id="22" name="IM 22"/>
            <wp:cNvGraphicFramePr/>
            <a:graphic>
              <a:graphicData uri="http://schemas.openxmlformats.org/drawingml/2006/picture">
                <pic:pic>
                  <pic:nvPicPr>
                    <pic:cNvPr id="22" name="IM 22"/>
                    <pic:cNvPicPr/>
                  </pic:nvPicPr>
                  <pic:blipFill>
                    <a:blip r:embed="rId147"/>
                    <a:stretch>
                      <a:fillRect/>
                    </a:stretch>
                  </pic:blipFill>
                  <pic:spPr>
                    <a:xfrm rot="0">
                      <a:off x="0" y="0"/>
                      <a:ext cx="5518404" cy="2019300"/>
                    </a:xfrm>
                    <a:prstGeom prst="rect">
                      <a:avLst/>
                    </a:prstGeom>
                  </pic:spPr>
                </pic:pic>
              </a:graphicData>
            </a:graphic>
          </wp:inline>
        </w:drawing>
      </w:r>
    </w:p>
    <w:p>
      <w:pPr>
        <w:ind w:left="1228"/>
        <w:spacing w:before="173" w:line="222" w:lineRule="auto"/>
        <w:rPr>
          <w:rFonts w:ascii="FangSong" w:hAnsi="FangSong" w:eastAsia="FangSong" w:cs="FangSong"/>
          <w:sz w:val="24"/>
          <w:szCs w:val="24"/>
        </w:rPr>
      </w:pPr>
      <w:r>
        <w:rPr>
          <w:rFonts w:ascii="FangSong" w:hAnsi="FangSong" w:eastAsia="FangSong" w:cs="FangSong"/>
          <w:sz w:val="24"/>
          <w:szCs w:val="24"/>
          <w:b/>
          <w:bCs/>
          <w:spacing w:val="-3"/>
        </w:rPr>
        <w:t>图</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4.13-2  </w:t>
      </w:r>
      <w:r>
        <w:rPr>
          <w:rFonts w:ascii="FangSong" w:hAnsi="FangSong" w:eastAsia="FangSong" w:cs="FangSong"/>
          <w:sz w:val="24"/>
          <w:szCs w:val="24"/>
          <w:b/>
          <w:bCs/>
          <w:spacing w:val="-3"/>
        </w:rPr>
        <w:t>本项目井下开采工艺工艺流程及产排污节点示意图</w:t>
      </w:r>
    </w:p>
    <w:p>
      <w:pPr>
        <w:ind w:left="519"/>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）开采顺序</w:t>
      </w:r>
    </w:p>
    <w:p>
      <w:pPr>
        <w:ind w:left="28" w:right="240" w:firstLine="480"/>
        <w:spacing w:before="176" w:line="359" w:lineRule="auto"/>
        <w:rPr>
          <w:rFonts w:ascii="FangSong" w:hAnsi="FangSong" w:eastAsia="FangSong" w:cs="FangSong"/>
          <w:sz w:val="24"/>
          <w:szCs w:val="24"/>
        </w:rPr>
      </w:pPr>
      <w:r>
        <w:rPr>
          <w:rFonts w:ascii="FangSong" w:hAnsi="FangSong" w:eastAsia="FangSong" w:cs="FangSong"/>
          <w:sz w:val="24"/>
          <w:szCs w:val="24"/>
          <w:spacing w:val="-1"/>
        </w:rPr>
        <w:t>在垂向上由上中段向下中段开采，在水平方向上由矿体上盘向矿体下盘回采；</w:t>
      </w:r>
      <w:r>
        <w:rPr>
          <w:rFonts w:ascii="FangSong" w:hAnsi="FangSong" w:eastAsia="FangSong" w:cs="FangSong"/>
          <w:sz w:val="24"/>
          <w:szCs w:val="24"/>
          <w:spacing w:val="-1"/>
        </w:rPr>
        <w:t>在走向上沿矿体走向，由通风井向主井后退式回采。</w:t>
      </w:r>
    </w:p>
    <w:p>
      <w:pPr>
        <w:ind w:left="495"/>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）开拓方案</w:t>
      </w:r>
    </w:p>
    <w:p>
      <w:pPr>
        <w:ind w:left="15" w:right="183" w:firstLine="491"/>
        <w:spacing w:before="180" w:line="358" w:lineRule="auto"/>
        <w:rPr>
          <w:rFonts w:ascii="FangSong" w:hAnsi="FangSong" w:eastAsia="FangSong" w:cs="FangSong"/>
          <w:sz w:val="24"/>
          <w:szCs w:val="24"/>
        </w:rPr>
      </w:pPr>
      <w:r>
        <w:rPr>
          <w:rFonts w:ascii="FangSong" w:hAnsi="FangSong" w:eastAsia="FangSong" w:cs="FangSong"/>
          <w:sz w:val="24"/>
          <w:szCs w:val="24"/>
          <w:spacing w:val="1"/>
        </w:rPr>
        <w:t>本矿山矿体赋存于近南北向构造破碎带和裂隙群中，顶底板围岩主要为二叠系</w:t>
      </w:r>
      <w:r>
        <w:rPr>
          <w:rFonts w:ascii="FangSong" w:hAnsi="FangSong" w:eastAsia="FangSong" w:cs="FangSong"/>
          <w:sz w:val="24"/>
          <w:szCs w:val="24"/>
          <w:spacing w:val="18"/>
        </w:rPr>
        <w:t>中通哲斯组凝灰质板岩</w:t>
      </w:r>
      <w:r>
        <w:rPr>
          <w:rFonts w:ascii="FangSong" w:hAnsi="FangSong" w:eastAsia="FangSong" w:cs="FangSong"/>
          <w:sz w:val="24"/>
          <w:szCs w:val="24"/>
          <w:spacing w:val="-60"/>
        </w:rPr>
        <w:t xml:space="preserve"> </w:t>
      </w:r>
      <w:r>
        <w:rPr>
          <w:rFonts w:ascii="FangSong" w:hAnsi="FangSong" w:eastAsia="FangSong" w:cs="FangSong"/>
          <w:sz w:val="24"/>
          <w:szCs w:val="24"/>
          <w:spacing w:val="18"/>
        </w:rPr>
        <w:t>、凝灰岩</w:t>
      </w:r>
      <w:r>
        <w:rPr>
          <w:rFonts w:ascii="FangSong" w:hAnsi="FangSong" w:eastAsia="FangSong" w:cs="FangSong"/>
          <w:sz w:val="24"/>
          <w:szCs w:val="24"/>
          <w:spacing w:val="-63"/>
        </w:rPr>
        <w:t xml:space="preserve"> </w:t>
      </w:r>
      <w:r>
        <w:rPr>
          <w:rFonts w:ascii="FangSong" w:hAnsi="FangSong" w:eastAsia="FangSong" w:cs="FangSong"/>
          <w:sz w:val="24"/>
          <w:szCs w:val="24"/>
          <w:spacing w:val="18"/>
        </w:rPr>
        <w:t>，均存在不同程度蚀变</w:t>
      </w:r>
      <w:r>
        <w:rPr>
          <w:rFonts w:ascii="FangSong" w:hAnsi="FangSong" w:eastAsia="FangSong" w:cs="FangSong"/>
          <w:sz w:val="24"/>
          <w:szCs w:val="24"/>
          <w:spacing w:val="-62"/>
        </w:rPr>
        <w:t xml:space="preserve"> </w:t>
      </w:r>
      <w:r>
        <w:rPr>
          <w:rFonts w:ascii="FangSong" w:hAnsi="FangSong" w:eastAsia="FangSong" w:cs="FangSong"/>
          <w:sz w:val="24"/>
          <w:szCs w:val="24"/>
          <w:spacing w:val="18"/>
        </w:rPr>
        <w:t>。顶板岩石抗压强度</w:t>
      </w:r>
      <w:r>
        <w:rPr>
          <w:rFonts w:ascii="Times New Roman" w:hAnsi="Times New Roman" w:eastAsia="Times New Roman" w:cs="Times New Roman"/>
          <w:sz w:val="24"/>
          <w:szCs w:val="24"/>
          <w:spacing w:val="-1"/>
        </w:rPr>
        <w:t>25.29-46.8Mpa</w:t>
      </w:r>
      <w:r>
        <w:rPr>
          <w:rFonts w:ascii="FangSong" w:hAnsi="FangSong" w:eastAsia="FangSong" w:cs="FangSong"/>
          <w:sz w:val="24"/>
          <w:szCs w:val="24"/>
          <w:spacing w:val="-1"/>
        </w:rPr>
        <w:t>；底板岩石抗压强度</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1"/>
        </w:rPr>
        <w:t>13.39-27.53Mpa</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，为软弱岩类。</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号矿体为</w:t>
      </w:r>
      <w:r>
        <w:rPr>
          <w:rFonts w:ascii="FangSong" w:hAnsi="FangSong" w:eastAsia="FangSong" w:cs="FangSong"/>
          <w:sz w:val="24"/>
          <w:szCs w:val="24"/>
          <w:spacing w:val="-2"/>
        </w:rPr>
        <w:t>主矿体。</w:t>
      </w:r>
    </w:p>
    <w:p>
      <w:pPr>
        <w:ind w:left="26" w:right="102" w:firstLine="474"/>
        <w:spacing w:before="5" w:line="359" w:lineRule="auto"/>
        <w:jc w:val="both"/>
        <w:rPr>
          <w:rFonts w:ascii="FangSong" w:hAnsi="FangSong" w:eastAsia="FangSong" w:cs="FangSong"/>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rPr>
        <w:t>号矿体位于矿区中部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rPr>
        <w:t>II</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矿段中部，赋存于近南北向张性断裂构造及周边岩石</w:t>
      </w:r>
      <w:r>
        <w:rPr>
          <w:rFonts w:ascii="FangSong" w:hAnsi="FangSong" w:eastAsia="FangSong" w:cs="FangSong"/>
          <w:sz w:val="24"/>
          <w:szCs w:val="24"/>
          <w:spacing w:val="-1"/>
        </w:rPr>
        <w:t>中，北端沿</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57-61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号勘探线尖灭，南端在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58</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线</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线之间尖灭，该矿体</w:t>
      </w:r>
      <w:r>
        <w:rPr>
          <w:rFonts w:ascii="FangSong" w:hAnsi="FangSong" w:eastAsia="FangSong" w:cs="FangSong"/>
          <w:sz w:val="24"/>
          <w:szCs w:val="24"/>
          <w:spacing w:val="-2"/>
        </w:rPr>
        <w:t>为矿区内规</w:t>
      </w:r>
      <w:r>
        <w:rPr>
          <w:rFonts w:ascii="FangSong" w:hAnsi="FangSong" w:eastAsia="FangSong" w:cs="FangSong"/>
          <w:sz w:val="24"/>
          <w:szCs w:val="24"/>
          <w:spacing w:val="-5"/>
        </w:rPr>
        <w:t>模最大、控制程度最高的矿体，查明资源量矿石量占矿区总资源量矿石量</w:t>
      </w:r>
      <w:r>
        <w:rPr>
          <w:rFonts w:ascii="FangSong" w:hAnsi="FangSong" w:eastAsia="FangSong" w:cs="FangSong"/>
          <w:sz w:val="24"/>
          <w:szCs w:val="24"/>
          <w:spacing w:val="-6"/>
        </w:rPr>
        <w:t>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37.80%</w:t>
      </w:r>
      <w:r>
        <w:rPr>
          <w:rFonts w:ascii="FangSong" w:hAnsi="FangSong" w:eastAsia="FangSong" w:cs="FangSong"/>
          <w:sz w:val="24"/>
          <w:szCs w:val="24"/>
          <w:spacing w:val="-6"/>
        </w:rPr>
        <w:t>。</w:t>
      </w:r>
      <w:r>
        <w:rPr>
          <w:rFonts w:ascii="FangSong" w:hAnsi="FangSong" w:eastAsia="FangSong" w:cs="FangSong"/>
          <w:sz w:val="24"/>
          <w:szCs w:val="24"/>
          <w:spacing w:val="-1"/>
        </w:rPr>
        <w:t>该矿体出露于地表，赋矿岩石为萤石矿化石英脉，赋矿围岩为凝灰质板岩。</w:t>
      </w:r>
    </w:p>
    <w:p>
      <w:pPr>
        <w:ind w:left="22" w:firstLine="484"/>
        <w:spacing w:before="6" w:line="358" w:lineRule="auto"/>
        <w:jc w:val="both"/>
        <w:rPr>
          <w:rFonts w:ascii="FangSong" w:hAnsi="FangSong" w:eastAsia="FangSong" w:cs="FangSong"/>
          <w:sz w:val="24"/>
          <w:szCs w:val="24"/>
        </w:rPr>
      </w:pPr>
      <w:r>
        <w:rPr>
          <w:rFonts w:ascii="FangSong" w:hAnsi="FangSong" w:eastAsia="FangSong" w:cs="FangSong"/>
          <w:sz w:val="24"/>
          <w:szCs w:val="24"/>
          <w:spacing w:val="-6"/>
        </w:rPr>
        <w:t>该矿体分布于矿区</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6"/>
        </w:rPr>
        <w:t>II</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6"/>
        </w:rPr>
        <w:t>矿段东部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60-61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勘探线之间，由</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58</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56-1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56</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54-1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54</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50</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53</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57</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61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6"/>
        </w:rPr>
        <w:t>共计</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6"/>
        </w:rPr>
        <w:t>条勘查线</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56</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个</w:t>
      </w:r>
      <w:r>
        <w:rPr>
          <w:rFonts w:ascii="FangSong" w:hAnsi="FangSong" w:eastAsia="FangSong" w:cs="FangSong"/>
          <w:sz w:val="24"/>
          <w:szCs w:val="24"/>
          <w:spacing w:val="-7"/>
        </w:rPr>
        <w:t>工程控制（</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7"/>
        </w:rPr>
        <w:t>个探槽和</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53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7"/>
        </w:rPr>
        <w:t>个钻孔</w:t>
      </w:r>
      <w:r>
        <w:rPr>
          <w:rFonts w:ascii="FangSong" w:hAnsi="FangSong" w:eastAsia="FangSong" w:cs="FangSong"/>
          <w:sz w:val="24"/>
          <w:szCs w:val="24"/>
          <w:spacing w:val="-16"/>
        </w:rPr>
        <w:t>），</w:t>
      </w:r>
      <w:r>
        <w:rPr>
          <w:rFonts w:ascii="FangSong" w:hAnsi="FangSong" w:eastAsia="FangSong" w:cs="FangSong"/>
          <w:sz w:val="24"/>
          <w:szCs w:val="24"/>
          <w:spacing w:val="1"/>
        </w:rPr>
        <w:t>矿体呈板状分布于哲斯组凝灰质板岩的构造破碎带中，赋矿围岩为硅化、片理化的</w:t>
      </w:r>
      <w:r>
        <w:rPr>
          <w:rFonts w:ascii="FangSong" w:hAnsi="FangSong" w:eastAsia="FangSong" w:cs="FangSong"/>
          <w:sz w:val="24"/>
          <w:szCs w:val="24"/>
          <w:spacing w:val="-9"/>
        </w:rPr>
        <w:t>凝灰质板岩。赋矿标高为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861-1051.00m</w:t>
      </w:r>
      <w:r>
        <w:rPr>
          <w:rFonts w:ascii="FangSong" w:hAnsi="FangSong" w:eastAsia="FangSong" w:cs="FangSong"/>
          <w:sz w:val="24"/>
          <w:szCs w:val="24"/>
          <w:spacing w:val="-9"/>
        </w:rPr>
        <w:t>，矿体走向长度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612.00m</w:t>
      </w:r>
      <w:r>
        <w:rPr>
          <w:rFonts w:ascii="FangSong" w:hAnsi="FangSong" w:eastAsia="FangSong" w:cs="FangSong"/>
          <w:sz w:val="24"/>
          <w:szCs w:val="24"/>
          <w:spacing w:val="-9"/>
        </w:rPr>
        <w:t>，最大埋深为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0"/>
        </w:rPr>
        <w:t>90.00m</w:t>
      </w:r>
      <w:r>
        <w:rPr>
          <w:rFonts w:ascii="FangSong" w:hAnsi="FangSong" w:eastAsia="FangSong" w:cs="FangSong"/>
          <w:sz w:val="24"/>
          <w:szCs w:val="24"/>
          <w:spacing w:val="-10"/>
        </w:rPr>
        <w:t>，</w:t>
      </w:r>
      <w:r>
        <w:rPr>
          <w:rFonts w:ascii="FangSong" w:hAnsi="FangSong" w:eastAsia="FangSong" w:cs="FangSong"/>
          <w:sz w:val="24"/>
          <w:szCs w:val="24"/>
          <w:spacing w:val="-1"/>
        </w:rPr>
        <w:t>矿体总体走向为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5°-20°</w:t>
      </w:r>
      <w:r>
        <w:rPr>
          <w:rFonts w:ascii="FangSong" w:hAnsi="FangSong" w:eastAsia="FangSong" w:cs="FangSong"/>
          <w:sz w:val="24"/>
          <w:szCs w:val="24"/>
          <w:spacing w:val="-1"/>
        </w:rPr>
        <w:t>之间，倾向西，倾角在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50-8</w:t>
      </w:r>
      <w:r>
        <w:rPr>
          <w:rFonts w:ascii="Times New Roman" w:hAnsi="Times New Roman" w:eastAsia="Times New Roman" w:cs="Times New Roman"/>
          <w:sz w:val="24"/>
          <w:szCs w:val="24"/>
          <w:spacing w:val="-2"/>
        </w:rPr>
        <w:t>9°</w:t>
      </w:r>
      <w:r>
        <w:rPr>
          <w:rFonts w:ascii="FangSong" w:hAnsi="FangSong" w:eastAsia="FangSong" w:cs="FangSong"/>
          <w:sz w:val="24"/>
          <w:szCs w:val="24"/>
          <w:spacing w:val="-2"/>
        </w:rPr>
        <w:t>之间。</w:t>
      </w:r>
    </w:p>
    <w:p>
      <w:pPr>
        <w:ind w:left="507"/>
        <w:spacing w:before="3" w:line="219" w:lineRule="auto"/>
        <w:rPr>
          <w:rFonts w:ascii="FangSong" w:hAnsi="FangSong" w:eastAsia="FangSong" w:cs="FangSong"/>
          <w:sz w:val="24"/>
          <w:szCs w:val="24"/>
        </w:rPr>
      </w:pPr>
      <w:r>
        <w:rPr>
          <w:rFonts w:ascii="FangSong" w:hAnsi="FangSong" w:eastAsia="FangSong" w:cs="FangSong"/>
          <w:sz w:val="24"/>
          <w:szCs w:val="24"/>
          <w:spacing w:val="1"/>
        </w:rPr>
        <w:t>根据矿体的赋存状态、地表地形条件，由于矿体赋矿深度较大、厚度和倾角变</w:t>
      </w:r>
    </w:p>
    <w:p>
      <w:pPr>
        <w:spacing w:line="219" w:lineRule="auto"/>
        <w:sectPr>
          <w:footerReference w:type="default" r:id="rId146"/>
          <w:pgSz w:w="11911" w:h="16839"/>
          <w:pgMar w:top="400" w:right="1232"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7"/>
        <w:spacing w:before="78" w:line="219" w:lineRule="auto"/>
        <w:rPr>
          <w:rFonts w:ascii="FangSong" w:hAnsi="FangSong" w:eastAsia="FangSong" w:cs="FangSong"/>
          <w:sz w:val="24"/>
          <w:szCs w:val="24"/>
        </w:rPr>
      </w:pPr>
      <w:r>
        <w:rPr>
          <w:rFonts w:ascii="FangSong" w:hAnsi="FangSong" w:eastAsia="FangSong" w:cs="FangSong"/>
          <w:sz w:val="24"/>
          <w:szCs w:val="24"/>
          <w:spacing w:val="-1"/>
        </w:rPr>
        <w:t>化较大，在技术上和经济上合理的开采方式为地下开采</w:t>
      </w:r>
    </w:p>
    <w:p>
      <w:pPr>
        <w:ind w:left="500"/>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）采矿方法</w:t>
      </w:r>
    </w:p>
    <w:p>
      <w:pPr>
        <w:ind w:left="506"/>
        <w:spacing w:before="179" w:line="219" w:lineRule="auto"/>
        <w:rPr>
          <w:rFonts w:ascii="FangSong" w:hAnsi="FangSong" w:eastAsia="FangSong" w:cs="FangSong"/>
          <w:sz w:val="24"/>
          <w:szCs w:val="24"/>
        </w:rPr>
      </w:pPr>
      <w:r>
        <w:rPr>
          <w:rFonts w:ascii="FangSong" w:hAnsi="FangSong" w:eastAsia="FangSong" w:cs="FangSong"/>
          <w:sz w:val="24"/>
          <w:szCs w:val="24"/>
          <w:spacing w:val="-1"/>
        </w:rPr>
        <w:t>从矿体赋存条件看，开采范围内矿体具有如下特点：</w:t>
      </w:r>
    </w:p>
    <w:p>
      <w:pPr>
        <w:ind w:left="499"/>
        <w:spacing w:before="179" w:line="222" w:lineRule="auto"/>
        <w:rPr>
          <w:rFonts w:ascii="FangSong" w:hAnsi="FangSong" w:eastAsia="FangSong" w:cs="FangSong"/>
          <w:sz w:val="24"/>
          <w:szCs w:val="24"/>
        </w:rPr>
      </w:pPr>
      <w:r>
        <w:rPr>
          <w:rFonts w:ascii="FangSong" w:hAnsi="FangSong" w:eastAsia="FangSong" w:cs="FangSong"/>
          <w:sz w:val="24"/>
          <w:szCs w:val="24"/>
          <w:spacing w:val="-8"/>
        </w:rPr>
        <w:t>①</w:t>
      </w:r>
      <w:r>
        <w:rPr>
          <w:rFonts w:ascii="FangSong" w:hAnsi="FangSong" w:eastAsia="FangSong" w:cs="FangSong"/>
          <w:sz w:val="24"/>
          <w:szCs w:val="24"/>
          <w:spacing w:val="-8"/>
        </w:rPr>
        <w:t xml:space="preserve"> </w:t>
      </w:r>
      <w:r>
        <w:rPr>
          <w:rFonts w:ascii="FangSong" w:hAnsi="FangSong" w:eastAsia="FangSong" w:cs="FangSong"/>
          <w:sz w:val="24"/>
          <w:szCs w:val="24"/>
          <w:spacing w:val="-8"/>
        </w:rPr>
        <w:t>矿体倾角为</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8"/>
        </w:rPr>
        <w:t>50-89</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8"/>
        </w:rPr>
        <w:t>°</w:t>
      </w:r>
      <w:r>
        <w:rPr>
          <w:rFonts w:ascii="FangSong" w:hAnsi="FangSong" w:eastAsia="FangSong" w:cs="FangSong"/>
          <w:sz w:val="24"/>
          <w:szCs w:val="24"/>
          <w:spacing w:val="-87"/>
        </w:rPr>
        <w:t xml:space="preserve"> </w:t>
      </w:r>
      <w:r>
        <w:rPr>
          <w:rFonts w:ascii="FangSong" w:hAnsi="FangSong" w:eastAsia="FangSong" w:cs="FangSong"/>
          <w:sz w:val="24"/>
          <w:szCs w:val="24"/>
          <w:spacing w:val="-8"/>
        </w:rPr>
        <w:t>,</w:t>
      </w:r>
      <w:r>
        <w:rPr>
          <w:rFonts w:ascii="FangSong" w:hAnsi="FangSong" w:eastAsia="FangSong" w:cs="FangSong"/>
          <w:sz w:val="24"/>
          <w:szCs w:val="24"/>
          <w:spacing w:val="65"/>
        </w:rPr>
        <w:t xml:space="preserve"> </w:t>
      </w:r>
      <w:r>
        <w:rPr>
          <w:rFonts w:ascii="FangSong" w:hAnsi="FangSong" w:eastAsia="FangSong" w:cs="FangSong"/>
          <w:sz w:val="24"/>
          <w:szCs w:val="24"/>
          <w:spacing w:val="-8"/>
        </w:rPr>
        <w:t>属急倾斜矿体。</w:t>
      </w:r>
    </w:p>
    <w:p>
      <w:pPr>
        <w:ind w:left="498"/>
        <w:spacing w:before="180" w:line="222"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矿体厚度属极薄</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中厚矿体。</w:t>
      </w:r>
    </w:p>
    <w:p>
      <w:pPr>
        <w:ind w:left="27" w:right="63" w:firstLine="470"/>
        <w:spacing w:before="176" w:line="313" w:lineRule="auto"/>
        <w:rPr>
          <w:rFonts w:ascii="FangSong" w:hAnsi="FangSong" w:eastAsia="FangSong" w:cs="FangSong"/>
          <w:sz w:val="24"/>
          <w:szCs w:val="24"/>
        </w:rPr>
      </w:pPr>
      <w:r>
        <w:rPr>
          <w:rFonts w:ascii="FangSong" w:hAnsi="FangSong" w:eastAsia="FangSong" w:cs="FangSong"/>
          <w:sz w:val="24"/>
          <w:szCs w:val="24"/>
          <w:spacing w:val="-2"/>
        </w:rPr>
        <w:t>③</w:t>
      </w:r>
      <w:r>
        <w:rPr>
          <w:rFonts w:ascii="FangSong" w:hAnsi="FangSong" w:eastAsia="FangSong" w:cs="FangSong"/>
          <w:sz w:val="24"/>
          <w:szCs w:val="24"/>
          <w:spacing w:val="-2"/>
        </w:rPr>
        <w:t xml:space="preserve"> </w:t>
      </w:r>
      <w:r>
        <w:rPr>
          <w:rFonts w:ascii="FangSong" w:hAnsi="FangSong" w:eastAsia="FangSong" w:cs="FangSong"/>
          <w:sz w:val="24"/>
          <w:szCs w:val="24"/>
          <w:spacing w:val="-2"/>
        </w:rPr>
        <w:t>矿体的顶、底板近矿围岩为凝灰质板岩及凝灰岩，且在不同深度范</w:t>
      </w:r>
      <w:r>
        <w:rPr>
          <w:rFonts w:ascii="FangSong" w:hAnsi="FangSong" w:eastAsia="FangSong" w:cs="FangSong"/>
          <w:sz w:val="24"/>
          <w:szCs w:val="24"/>
          <w:spacing w:val="-3"/>
        </w:rPr>
        <w:t>围内均存</w:t>
      </w:r>
      <w:r>
        <w:rPr>
          <w:rFonts w:ascii="FangSong" w:hAnsi="FangSong" w:eastAsia="FangSong" w:cs="FangSong"/>
          <w:sz w:val="24"/>
          <w:szCs w:val="24"/>
          <w:spacing w:val="1"/>
        </w:rPr>
        <w:t>在不同程度的蚀变。蚀变类型有硅化、碳酸盐化、萤石化、高岭土化，顶底板界线</w:t>
      </w:r>
      <w:r>
        <w:rPr>
          <w:rFonts w:ascii="FangSong" w:hAnsi="FangSong" w:eastAsia="FangSong" w:cs="FangSong"/>
          <w:sz w:val="24"/>
          <w:szCs w:val="24"/>
          <w:spacing w:val="-4"/>
        </w:rPr>
        <w:t>较为清晰。</w:t>
      </w:r>
    </w:p>
    <w:p>
      <w:pPr>
        <w:ind w:left="498"/>
        <w:spacing w:before="182" w:line="222"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矿石价值较高，无自燃和粘结现象。</w:t>
      </w:r>
    </w:p>
    <w:p>
      <w:pPr>
        <w:ind w:left="27" w:right="63" w:firstLine="479"/>
        <w:spacing w:before="179" w:line="359" w:lineRule="auto"/>
        <w:jc w:val="both"/>
        <w:rPr>
          <w:rFonts w:ascii="FangSong" w:hAnsi="FangSong" w:eastAsia="FangSong" w:cs="FangSong"/>
          <w:sz w:val="24"/>
          <w:szCs w:val="24"/>
        </w:rPr>
      </w:pPr>
      <w:r>
        <w:rPr>
          <w:rFonts w:ascii="FangSong" w:hAnsi="FangSong" w:eastAsia="FangSong" w:cs="FangSong"/>
          <w:sz w:val="24"/>
          <w:szCs w:val="24"/>
          <w:spacing w:val="1"/>
        </w:rPr>
        <w:t>矿区范围内无重要河流、铁路和重要建筑物，根据本矿山矿床地质条件和开采</w:t>
      </w:r>
      <w:r>
        <w:rPr>
          <w:rFonts w:ascii="FangSong" w:hAnsi="FangSong" w:eastAsia="FangSong" w:cs="FangSong"/>
          <w:sz w:val="24"/>
          <w:szCs w:val="24"/>
        </w:rPr>
        <w:t>技术经济条件，荐矿体厚度≥</w:t>
      </w:r>
      <w:r>
        <w:rPr>
          <w:rFonts w:ascii="Times New Roman" w:hAnsi="Times New Roman" w:eastAsia="Times New Roman" w:cs="Times New Roman"/>
          <w:sz w:val="24"/>
          <w:szCs w:val="24"/>
        </w:rPr>
        <w:t>10m</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rPr>
        <w:t>的采矿方法采用浅孔留矿嗣后充填法。矿体厚度</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10m</w:t>
      </w:r>
      <w:r>
        <w:rPr>
          <w:rFonts w:ascii="Times New Roman" w:hAnsi="Times New Roman" w:eastAsia="Times New Roman" w:cs="Times New Roman"/>
          <w:sz w:val="24"/>
          <w:szCs w:val="24"/>
          <w:spacing w:val="38"/>
        </w:rPr>
        <w:t xml:space="preserve"> </w:t>
      </w:r>
      <w:r>
        <w:rPr>
          <w:rFonts w:ascii="FangSong" w:hAnsi="FangSong" w:eastAsia="FangSong" w:cs="FangSong"/>
          <w:sz w:val="24"/>
          <w:szCs w:val="24"/>
          <w:spacing w:val="-2"/>
        </w:rPr>
        <w:t>的采矿方法采用分段空场嗣后充填采矿方法，具体如下：</w:t>
      </w:r>
    </w:p>
    <w:p>
      <w:pPr>
        <w:ind w:left="499"/>
        <w:spacing w:before="1" w:line="221"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浅孔留矿嗣后充填法回采工艺</w:t>
      </w:r>
    </w:p>
    <w:p>
      <w:pPr>
        <w:ind w:left="492"/>
        <w:spacing w:before="180" w:line="223" w:lineRule="auto"/>
        <w:rPr>
          <w:rFonts w:ascii="FangSong" w:hAnsi="FangSong" w:eastAsia="FangSong" w:cs="FangSong"/>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、矿块构成要素</w:t>
      </w:r>
    </w:p>
    <w:p>
      <w:pPr>
        <w:ind w:left="30" w:firstLine="476"/>
        <w:spacing w:before="174" w:line="359" w:lineRule="auto"/>
        <w:jc w:val="both"/>
        <w:rPr>
          <w:rFonts w:ascii="FangSong" w:hAnsi="FangSong" w:eastAsia="FangSong" w:cs="FangSong"/>
          <w:sz w:val="24"/>
          <w:szCs w:val="24"/>
        </w:rPr>
      </w:pPr>
      <w:r>
        <w:rPr>
          <w:rFonts w:ascii="FangSong" w:hAnsi="FangSong" w:eastAsia="FangSong" w:cs="FangSong"/>
          <w:sz w:val="24"/>
          <w:szCs w:val="24"/>
          <w:spacing w:val="-3"/>
        </w:rPr>
        <w:t>矿块沿矿体走向布置，矿块长</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35m-50m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，中段高度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35m-45m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，矿房宽度为矿体</w:t>
      </w:r>
      <w:r>
        <w:rPr>
          <w:rFonts w:ascii="FangSong" w:hAnsi="FangSong" w:eastAsia="FangSong" w:cs="FangSong"/>
          <w:sz w:val="24"/>
          <w:szCs w:val="24"/>
          <w:spacing w:val="-10"/>
        </w:rPr>
        <w:t>厚度。采用浅孔爆破，顶柱高度</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10"/>
        </w:rPr>
        <w:t>3m</w:t>
      </w:r>
      <w:r>
        <w:rPr>
          <w:rFonts w:ascii="FangSong" w:hAnsi="FangSong" w:eastAsia="FangSong" w:cs="FangSong"/>
          <w:sz w:val="24"/>
          <w:szCs w:val="24"/>
          <w:spacing w:val="-10"/>
        </w:rPr>
        <w:t>，间柱宽度</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0"/>
        </w:rPr>
        <w:t>6m</w:t>
      </w:r>
      <w:r>
        <w:rPr>
          <w:rFonts w:ascii="FangSong" w:hAnsi="FangSong" w:eastAsia="FangSong" w:cs="FangSong"/>
          <w:sz w:val="24"/>
          <w:szCs w:val="24"/>
          <w:spacing w:val="-10"/>
        </w:rPr>
        <w:t>，底柱</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0"/>
        </w:rPr>
        <w:t>2m</w:t>
      </w:r>
      <w:r>
        <w:rPr>
          <w:rFonts w:ascii="FangSong" w:hAnsi="FangSong" w:eastAsia="FangSong" w:cs="FangSong"/>
          <w:sz w:val="24"/>
          <w:szCs w:val="24"/>
          <w:spacing w:val="-10"/>
        </w:rPr>
        <w:t>，联络道规格为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0"/>
        </w:rPr>
        <w:t>2m×2m</w:t>
      </w:r>
      <w:r>
        <w:rPr>
          <w:rFonts w:ascii="FangSong" w:hAnsi="FangSong" w:eastAsia="FangSong" w:cs="FangSong"/>
          <w:sz w:val="24"/>
          <w:szCs w:val="24"/>
          <w:spacing w:val="-10"/>
        </w:rPr>
        <w:t>，</w:t>
      </w:r>
      <w:r>
        <w:rPr>
          <w:rFonts w:ascii="FangSong" w:hAnsi="FangSong" w:eastAsia="FangSong" w:cs="FangSong"/>
          <w:sz w:val="24"/>
          <w:szCs w:val="24"/>
          <w:spacing w:val="-4"/>
        </w:rPr>
        <w:t>出矿进路间距</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。矿房的暴露面积控制在</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4"/>
        </w:rPr>
        <w:t>400m2</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4"/>
        </w:rPr>
        <w:t>的范围内。</w:t>
      </w:r>
    </w:p>
    <w:p>
      <w:pPr>
        <w:ind w:left="495"/>
        <w:spacing w:before="1"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B</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、采准切割</w:t>
      </w:r>
    </w:p>
    <w:p>
      <w:pPr>
        <w:ind w:left="26" w:right="63" w:firstLine="482"/>
        <w:spacing w:before="180" w:line="359" w:lineRule="auto"/>
        <w:rPr>
          <w:rFonts w:ascii="FangSong" w:hAnsi="FangSong" w:eastAsia="FangSong" w:cs="FangSong"/>
          <w:sz w:val="24"/>
          <w:szCs w:val="24"/>
        </w:rPr>
      </w:pPr>
      <w:r>
        <w:rPr>
          <w:rFonts w:ascii="FangSong" w:hAnsi="FangSong" w:eastAsia="FangSong" w:cs="FangSong"/>
          <w:sz w:val="24"/>
          <w:szCs w:val="24"/>
          <w:spacing w:val="1"/>
        </w:rPr>
        <w:t>采准切割工作主要包括掘进中段运输平巷、天井、联络道、出矿进路、拉底平</w:t>
      </w:r>
      <w:r>
        <w:rPr>
          <w:rFonts w:ascii="FangSong" w:hAnsi="FangSong" w:eastAsia="FangSong" w:cs="FangSong"/>
          <w:sz w:val="24"/>
          <w:szCs w:val="24"/>
          <w:spacing w:val="3"/>
        </w:rPr>
        <w:t>巷。采准切割工作，平巷掘进采用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YT</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31"/>
          <w:w w:val="101"/>
        </w:rPr>
        <w:t xml:space="preserve"> </w:t>
      </w:r>
      <w:r>
        <w:rPr>
          <w:rFonts w:ascii="FangSong" w:hAnsi="FangSong" w:eastAsia="FangSong" w:cs="FangSong"/>
          <w:sz w:val="24"/>
          <w:szCs w:val="24"/>
          <w:spacing w:val="3"/>
        </w:rPr>
        <w:t>型气腿式</w:t>
      </w:r>
      <w:r>
        <w:rPr>
          <w:rFonts w:ascii="FangSong" w:hAnsi="FangSong" w:eastAsia="FangSong" w:cs="FangSong"/>
          <w:sz w:val="24"/>
          <w:szCs w:val="24"/>
          <w:spacing w:val="2"/>
        </w:rPr>
        <w:t>凿岩机，天井掘进采用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YSP</w:t>
      </w:r>
      <w:r>
        <w:rPr>
          <w:rFonts w:ascii="Times New Roman" w:hAnsi="Times New Roman" w:eastAsia="Times New Roman" w:cs="Times New Roman"/>
          <w:sz w:val="24"/>
          <w:szCs w:val="24"/>
          <w:spacing w:val="2"/>
        </w:rPr>
        <w:t>-45</w:t>
      </w:r>
      <w:r>
        <w:rPr>
          <w:rFonts w:ascii="FangSong" w:hAnsi="FangSong" w:eastAsia="FangSong" w:cs="FangSong"/>
          <w:sz w:val="24"/>
          <w:szCs w:val="24"/>
          <w:spacing w:val="-1"/>
        </w:rPr>
        <w:t>型凿岩机。部分破碎地段增设工字钢棚进行加固。</w:t>
      </w:r>
    </w:p>
    <w:p>
      <w:pPr>
        <w:ind w:left="499"/>
        <w:spacing w:before="1" w:line="222" w:lineRule="auto"/>
        <w:rPr>
          <w:rFonts w:ascii="FangSong" w:hAnsi="FangSong" w:eastAsia="FangSong" w:cs="FangSong"/>
          <w:sz w:val="24"/>
          <w:szCs w:val="24"/>
        </w:rPr>
      </w:pPr>
      <w:r>
        <w:rPr>
          <w:rFonts w:ascii="Times New Roman" w:hAnsi="Times New Roman" w:eastAsia="Times New Roman" w:cs="Times New Roman"/>
          <w:sz w:val="24"/>
          <w:szCs w:val="24"/>
          <w:spacing w:val="-8"/>
        </w:rPr>
        <w:t>C</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、矿房回采</w:t>
      </w:r>
    </w:p>
    <w:p>
      <w:pPr>
        <w:ind w:left="26" w:right="63" w:firstLine="510"/>
        <w:spacing w:before="179" w:line="359" w:lineRule="auto"/>
        <w:rPr>
          <w:rFonts w:ascii="FangSong" w:hAnsi="FangSong" w:eastAsia="FangSong" w:cs="FangSong"/>
          <w:sz w:val="24"/>
          <w:szCs w:val="24"/>
        </w:rPr>
      </w:pPr>
      <w:r>
        <w:rPr>
          <w:rFonts w:ascii="FangSong" w:hAnsi="FangSong" w:eastAsia="FangSong" w:cs="FangSong"/>
          <w:sz w:val="24"/>
          <w:szCs w:val="24"/>
        </w:rPr>
        <w:t>回采工艺流程为凿岩、崩矿、通风、局部放矿、平场撬顶二次破碎、最终放矿</w:t>
      </w:r>
      <w:r>
        <w:rPr>
          <w:rFonts w:ascii="FangSong" w:hAnsi="FangSong" w:eastAsia="FangSong" w:cs="FangSong"/>
          <w:sz w:val="24"/>
          <w:szCs w:val="24"/>
        </w:rPr>
        <w:t>等工作。回采工作从拉底水平开始由下向上分层进行，分层高度一般为</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rPr>
        <w:t>1.8-2.2m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w:t>
      </w:r>
      <w:r>
        <w:rPr>
          <w:rFonts w:ascii="FangSong" w:hAnsi="FangSong" w:eastAsia="FangSong" w:cs="FangSong"/>
          <w:sz w:val="24"/>
          <w:szCs w:val="24"/>
          <w:spacing w:val="-1"/>
        </w:rPr>
        <w:t>采场使用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YT-28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
        </w:rPr>
        <w:t>型气腿式凿岩机钻凿上向微前倾炮孔落矿，凿岩爆破参数为：最小</w:t>
      </w:r>
      <w:r>
        <w:rPr>
          <w:rFonts w:ascii="FangSong" w:hAnsi="FangSong" w:eastAsia="FangSong" w:cs="FangSong"/>
          <w:sz w:val="24"/>
          <w:szCs w:val="24"/>
          <w:spacing w:val="-4"/>
        </w:rPr>
        <w:t>抵抗线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1.0-1.2m</w:t>
      </w:r>
      <w:r>
        <w:rPr>
          <w:rFonts w:ascii="FangSong" w:hAnsi="FangSong" w:eastAsia="FangSong" w:cs="FangSong"/>
          <w:sz w:val="24"/>
          <w:szCs w:val="24"/>
          <w:spacing w:val="-4"/>
        </w:rPr>
        <w:t>，炮孔间距</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0.8-1.0m</w:t>
      </w:r>
      <w:r>
        <w:rPr>
          <w:rFonts w:ascii="FangSong" w:hAnsi="FangSong" w:eastAsia="FangSong" w:cs="FangSong"/>
          <w:sz w:val="24"/>
          <w:szCs w:val="24"/>
          <w:spacing w:val="-4"/>
        </w:rPr>
        <w:t>，孔深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1.8-2.2m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，前后排炮孔交错排列</w:t>
      </w:r>
      <w:r>
        <w:rPr>
          <w:rFonts w:ascii="FangSong" w:hAnsi="FangSong" w:eastAsia="FangSong" w:cs="FangSong"/>
          <w:sz w:val="24"/>
          <w:szCs w:val="24"/>
          <w:spacing w:val="-5"/>
        </w:rPr>
        <w:t>，采用硝</w:t>
      </w:r>
      <w:r>
        <w:rPr>
          <w:rFonts w:ascii="FangSong" w:hAnsi="FangSong" w:eastAsia="FangSong" w:cs="FangSong"/>
          <w:sz w:val="24"/>
          <w:szCs w:val="24"/>
          <w:spacing w:val="1"/>
        </w:rPr>
        <w:t>铵类炸药人工装药，毫秒非电导爆管起爆。矿石爆破后，采场内炮烟和粉尘浓度较</w:t>
      </w:r>
      <w:r>
        <w:rPr>
          <w:rFonts w:ascii="FangSong" w:hAnsi="FangSong" w:eastAsia="FangSong" w:cs="FangSong"/>
          <w:sz w:val="24"/>
          <w:szCs w:val="24"/>
          <w:spacing w:val="1"/>
        </w:rPr>
        <w:t>高，通风的风量应满足排尘和排烟的需要，新鲜风流从中段运输平巷经矿房一侧的</w:t>
      </w:r>
      <w:r>
        <w:rPr>
          <w:rFonts w:ascii="FangSong" w:hAnsi="FangSong" w:eastAsia="FangSong" w:cs="FangSong"/>
          <w:sz w:val="24"/>
          <w:szCs w:val="24"/>
          <w:spacing w:val="1"/>
        </w:rPr>
        <w:t>天井、天井联络道上升进入采场工作面，污风经矿房另一侧的天井联络道、天井上</w:t>
      </w:r>
      <w:r>
        <w:rPr>
          <w:rFonts w:ascii="FangSong" w:hAnsi="FangSong" w:eastAsia="FangSong" w:cs="FangSong"/>
          <w:sz w:val="24"/>
          <w:szCs w:val="24"/>
          <w:spacing w:val="1"/>
        </w:rPr>
        <w:t>升到上部中段运输（回风）平巷排出。每次崩矿后，矿石产生碎胀，松散系数一般</w:t>
      </w:r>
    </w:p>
    <w:p>
      <w:pPr>
        <w:spacing w:line="359" w:lineRule="auto"/>
        <w:sectPr>
          <w:footerReference w:type="default" r:id="rId148"/>
          <w:pgSz w:w="11911" w:h="16839"/>
          <w:pgMar w:top="400" w:right="1352" w:bottom="1146" w:left="1786" w:header="0" w:footer="984" w:gutter="0"/>
        </w:sectPr>
        <w:rPr>
          <w:rFonts w:ascii="FangSong" w:hAnsi="FangSong" w:eastAsia="FangSong" w:cs="FangSong"/>
          <w:sz w:val="24"/>
          <w:szCs w:val="24"/>
        </w:rPr>
      </w:pP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ind w:left="13" w:firstLine="21"/>
        <w:spacing w:before="78" w:line="359" w:lineRule="auto"/>
        <w:jc w:val="both"/>
        <w:rPr>
          <w:rFonts w:ascii="FangSong" w:hAnsi="FangSong" w:eastAsia="FangSong" w:cs="FangSong"/>
          <w:sz w:val="24"/>
          <w:szCs w:val="24"/>
        </w:rPr>
      </w:pPr>
      <w:r>
        <w:rPr>
          <w:rFonts w:ascii="FangSong" w:hAnsi="FangSong" w:eastAsia="FangSong" w:cs="FangSong"/>
          <w:sz w:val="24"/>
          <w:szCs w:val="24"/>
          <w:spacing w:val="-4"/>
        </w:rPr>
        <w:t>为</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4"/>
        </w:rPr>
        <w:t>1.5-1.6</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。为了保证工作面有</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2-2.5m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高的工作空间，矿石要进行局部放矿，即需从</w:t>
      </w:r>
      <w:r>
        <w:rPr>
          <w:rFonts w:ascii="FangSong" w:hAnsi="FangSong" w:eastAsia="FangSong" w:cs="FangSong"/>
          <w:sz w:val="24"/>
          <w:szCs w:val="24"/>
          <w:spacing w:val="1"/>
        </w:rPr>
        <w:t>出矿进路放出每次崩矿量的</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
        </w:rPr>
        <w:t>1/3</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左右，然后进行平场撬顶和二次破碎工作。矿房回</w:t>
      </w:r>
      <w:r>
        <w:rPr>
          <w:rFonts w:ascii="FangSong" w:hAnsi="FangSong" w:eastAsia="FangSong" w:cs="FangSong"/>
          <w:sz w:val="24"/>
          <w:szCs w:val="24"/>
          <w:spacing w:val="1"/>
        </w:rPr>
        <w:t>采结束后，组织最终放矿工作，放出存留在矿房中的全部矿石。矿石最终出矿块度</w:t>
      </w:r>
      <w:r>
        <w:rPr>
          <w:rFonts w:ascii="Times New Roman" w:hAnsi="Times New Roman" w:eastAsia="Times New Roman" w:cs="Times New Roman"/>
          <w:sz w:val="24"/>
          <w:szCs w:val="24"/>
          <w:spacing w:val="-2"/>
        </w:rPr>
        <w:t>≤350mm</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2"/>
        </w:rPr>
        <w:t>，矿石经出矿进路装入矿车经中段运输平巷运出。</w:t>
      </w:r>
    </w:p>
    <w:p>
      <w:pPr>
        <w:ind w:left="26" w:firstLine="488"/>
        <w:spacing w:before="1" w:line="358" w:lineRule="auto"/>
        <w:rPr>
          <w:rFonts w:ascii="FangSong" w:hAnsi="FangSong" w:eastAsia="FangSong" w:cs="FangSong"/>
          <w:sz w:val="24"/>
          <w:szCs w:val="24"/>
        </w:rPr>
      </w:pPr>
      <w:r>
        <w:rPr>
          <w:rFonts w:ascii="FangSong" w:hAnsi="FangSong" w:eastAsia="FangSong" w:cs="FangSong"/>
          <w:sz w:val="24"/>
          <w:szCs w:val="24"/>
        </w:rPr>
        <w:t>每次爆破落矿后，通过</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z-17AW</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rPr>
        <w:t>型装岩机在出矿进路从采场下部出矿，矿石装</w:t>
      </w:r>
      <w:r>
        <w:rPr>
          <w:rFonts w:ascii="FangSong" w:hAnsi="FangSong" w:eastAsia="FangSong" w:cs="FangSong"/>
          <w:sz w:val="24"/>
          <w:szCs w:val="24"/>
          <w:spacing w:val="-2"/>
        </w:rPr>
        <w:t>入矿车通过中段运输平巷运出。</w:t>
      </w:r>
    </w:p>
    <w:p>
      <w:pPr>
        <w:ind w:left="495"/>
        <w:spacing w:before="4"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7"/>
        </w:rPr>
        <w:t>、采场通风</w:t>
      </w:r>
    </w:p>
    <w:p>
      <w:pPr>
        <w:ind w:left="28" w:firstLine="477"/>
        <w:spacing w:before="176" w:line="359" w:lineRule="auto"/>
        <w:rPr>
          <w:rFonts w:ascii="FangSong" w:hAnsi="FangSong" w:eastAsia="FangSong" w:cs="FangSong"/>
          <w:sz w:val="24"/>
          <w:szCs w:val="24"/>
        </w:rPr>
      </w:pPr>
      <w:r>
        <w:rPr>
          <w:rFonts w:ascii="FangSong" w:hAnsi="FangSong" w:eastAsia="FangSong" w:cs="FangSong"/>
          <w:sz w:val="24"/>
          <w:szCs w:val="24"/>
          <w:spacing w:val="1"/>
        </w:rPr>
        <w:t>新鲜风流由中段运输巷道经矿房一侧的天井、天井联络道进入采场工作面，污</w:t>
      </w:r>
      <w:r>
        <w:rPr>
          <w:rFonts w:ascii="FangSong" w:hAnsi="FangSong" w:eastAsia="FangSong" w:cs="FangSong"/>
          <w:sz w:val="24"/>
          <w:szCs w:val="24"/>
          <w:spacing w:val="-1"/>
        </w:rPr>
        <w:t>风经矿房另一侧的天井联络道、天井进入上阶段运输（回风）巷道排出。</w:t>
      </w:r>
    </w:p>
    <w:p>
      <w:pPr>
        <w:ind w:left="495"/>
        <w:spacing w:line="223" w:lineRule="auto"/>
        <w:rPr>
          <w:rFonts w:ascii="FangSong" w:hAnsi="FangSong" w:eastAsia="FangSong" w:cs="FangSong"/>
          <w:sz w:val="24"/>
          <w:szCs w:val="24"/>
        </w:rPr>
      </w:pPr>
      <w:r>
        <w:rPr>
          <w:rFonts w:ascii="Times New Roman" w:hAnsi="Times New Roman" w:eastAsia="Times New Roman" w:cs="Times New Roman"/>
          <w:sz w:val="24"/>
          <w:szCs w:val="24"/>
          <w:spacing w:val="-7"/>
        </w:rPr>
        <w:t>E</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、废石充填</w:t>
      </w:r>
    </w:p>
    <w:p>
      <w:pPr>
        <w:ind w:left="26" w:firstLine="482"/>
        <w:spacing w:before="177" w:line="359" w:lineRule="auto"/>
        <w:rPr>
          <w:rFonts w:ascii="FangSong" w:hAnsi="FangSong" w:eastAsia="FangSong" w:cs="FangSong"/>
          <w:sz w:val="24"/>
          <w:szCs w:val="24"/>
        </w:rPr>
      </w:pPr>
      <w:r>
        <w:rPr>
          <w:rFonts w:ascii="FangSong" w:hAnsi="FangSong" w:eastAsia="FangSong" w:cs="FangSong"/>
          <w:sz w:val="24"/>
          <w:szCs w:val="24"/>
          <w:spacing w:val="1"/>
        </w:rPr>
        <w:t>采场回采完毕后，通过上中段出矿穿脉向采场掘进</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1"/>
        </w:rPr>
        <w:t>2-3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个废石充填小井，矿山</w:t>
      </w:r>
      <w:r>
        <w:rPr>
          <w:rFonts w:ascii="FangSong" w:hAnsi="FangSong" w:eastAsia="FangSong" w:cs="FangSong"/>
          <w:sz w:val="24"/>
          <w:szCs w:val="24"/>
          <w:spacing w:val="1"/>
        </w:rPr>
        <w:t>将掘进废石通过竖井提升至采空区上中段，通过电机车牵引至充填小井附近，人工</w:t>
      </w:r>
      <w:r>
        <w:rPr>
          <w:rFonts w:ascii="FangSong" w:hAnsi="FangSong" w:eastAsia="FangSong" w:cs="FangSong"/>
          <w:sz w:val="24"/>
          <w:szCs w:val="24"/>
          <w:spacing w:val="-1"/>
        </w:rPr>
        <w:t>翻车将废石倒入采空区内，空区被废石充填满后，封闭充填小井。</w:t>
      </w:r>
    </w:p>
    <w:p>
      <w:pPr>
        <w:ind w:left="494"/>
        <w:spacing w:before="3"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F</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、矿柱回采</w:t>
      </w:r>
    </w:p>
    <w:p>
      <w:pPr>
        <w:ind w:left="24" w:firstLine="485"/>
        <w:spacing w:before="178" w:line="359" w:lineRule="auto"/>
        <w:rPr>
          <w:rFonts w:ascii="FangSong" w:hAnsi="FangSong" w:eastAsia="FangSong" w:cs="FangSong"/>
          <w:sz w:val="24"/>
          <w:szCs w:val="24"/>
        </w:rPr>
      </w:pPr>
      <w:r>
        <w:rPr>
          <w:rFonts w:ascii="FangSong" w:hAnsi="FangSong" w:eastAsia="FangSong" w:cs="FangSong"/>
          <w:sz w:val="24"/>
          <w:szCs w:val="24"/>
          <w:spacing w:val="1"/>
        </w:rPr>
        <w:t>正常生产过程中，本中段顶柱与上中段底柱同时回采，顶底柱及间柱回采滞后</w:t>
      </w:r>
      <w:r>
        <w:rPr>
          <w:rFonts w:ascii="FangSong" w:hAnsi="FangSong" w:eastAsia="FangSong" w:cs="FangSong"/>
          <w:sz w:val="24"/>
          <w:szCs w:val="24"/>
          <w:spacing w:val="1"/>
        </w:rPr>
        <w:t>于矿房回采，顶底柱回采采用中深孔崩落法回采，间柱回采采用沿倾斜方向自上而</w:t>
      </w:r>
      <w:r>
        <w:rPr>
          <w:rFonts w:ascii="FangSong" w:hAnsi="FangSong" w:eastAsia="FangSong" w:cs="FangSong"/>
          <w:sz w:val="24"/>
          <w:szCs w:val="24"/>
          <w:spacing w:val="1"/>
        </w:rPr>
        <w:t>下回采。在矿山采矿过程中，一定要加强采场顶板管理，根据采场顶板稳固情况，</w:t>
      </w:r>
      <w:r>
        <w:rPr>
          <w:rFonts w:ascii="FangSong" w:hAnsi="FangSong" w:eastAsia="FangSong" w:cs="FangSong"/>
          <w:sz w:val="24"/>
          <w:szCs w:val="24"/>
          <w:spacing w:val="1"/>
        </w:rPr>
        <w:t>生产中对顶板不稳固地段，要采用锚杆支护或锚网支护，也可在贫矿段留不规则矿</w:t>
      </w:r>
      <w:r>
        <w:rPr>
          <w:rFonts w:ascii="FangSong" w:hAnsi="FangSong" w:eastAsia="FangSong" w:cs="FangSong"/>
          <w:sz w:val="24"/>
          <w:szCs w:val="24"/>
          <w:spacing w:val="1"/>
        </w:rPr>
        <w:t>柱进行支护。为确保生产安全，当矿块回采结束后，要立即封闭采空区，并竖立安</w:t>
      </w:r>
      <w:r>
        <w:rPr>
          <w:rFonts w:ascii="FangSong" w:hAnsi="FangSong" w:eastAsia="FangSong" w:cs="FangSong"/>
          <w:sz w:val="24"/>
          <w:szCs w:val="24"/>
          <w:spacing w:val="-3"/>
        </w:rPr>
        <w:t>全警示标志。在井下必须按矿柱回采设计要求回采矿柱（</w:t>
      </w:r>
      <w:r>
        <w:rPr>
          <w:rFonts w:ascii="FangSong" w:hAnsi="FangSong" w:eastAsia="FangSong" w:cs="FangSong"/>
          <w:sz w:val="24"/>
          <w:szCs w:val="24"/>
          <w:spacing w:val="-21"/>
        </w:rPr>
        <w:t xml:space="preserve"> </w:t>
      </w:r>
      <w:r>
        <w:rPr>
          <w:rFonts w:ascii="FangSong" w:hAnsi="FangSong" w:eastAsia="FangSong" w:cs="FangSong"/>
          <w:sz w:val="24"/>
          <w:szCs w:val="24"/>
          <w:spacing w:val="-3"/>
        </w:rPr>
        <w:t>自然或人工矿柱</w:t>
      </w:r>
      <w:r>
        <w:rPr>
          <w:rFonts w:ascii="FangSong" w:hAnsi="FangSong" w:eastAsia="FangSong" w:cs="FangSong"/>
          <w:sz w:val="24"/>
          <w:szCs w:val="24"/>
          <w:spacing w:val="23"/>
        </w:rPr>
        <w:t>），</w:t>
      </w:r>
      <w:r>
        <w:rPr>
          <w:rFonts w:ascii="FangSong" w:hAnsi="FangSong" w:eastAsia="FangSong" w:cs="FangSong"/>
          <w:sz w:val="24"/>
          <w:szCs w:val="24"/>
          <w:spacing w:val="-3"/>
        </w:rPr>
        <w:t>防止</w:t>
      </w:r>
      <w:r>
        <w:rPr>
          <w:rFonts w:ascii="FangSong" w:hAnsi="FangSong" w:eastAsia="FangSong" w:cs="FangSong"/>
          <w:sz w:val="24"/>
          <w:szCs w:val="24"/>
          <w:spacing w:val="-2"/>
        </w:rPr>
        <w:t>岩移，确保生产安全。</w:t>
      </w:r>
    </w:p>
    <w:p>
      <w:pPr>
        <w:ind w:left="499"/>
        <w:spacing w:before="1"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G</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、采矿损失率及贫化率</w:t>
      </w:r>
    </w:p>
    <w:p>
      <w:pPr>
        <w:ind w:left="30" w:firstLine="477"/>
        <w:spacing w:before="178" w:line="359" w:lineRule="auto"/>
        <w:rPr>
          <w:rFonts w:ascii="FangSong" w:hAnsi="FangSong" w:eastAsia="FangSong" w:cs="FangSong"/>
          <w:sz w:val="24"/>
          <w:szCs w:val="24"/>
        </w:rPr>
      </w:pPr>
      <w:r>
        <w:rPr>
          <w:rFonts w:ascii="FangSong" w:hAnsi="FangSong" w:eastAsia="FangSong" w:cs="FangSong"/>
          <w:sz w:val="24"/>
          <w:szCs w:val="24"/>
          <w:spacing w:val="1"/>
        </w:rPr>
        <w:t>根据矿体赋存状态、开采技术条件及推荐采用的采矿方法，参照类似矿山的实</w:t>
      </w:r>
      <w:r>
        <w:rPr>
          <w:rFonts w:ascii="FangSong" w:hAnsi="FangSong" w:eastAsia="FangSong" w:cs="FangSong"/>
          <w:sz w:val="24"/>
          <w:szCs w:val="24"/>
          <w:spacing w:val="-3"/>
        </w:rPr>
        <w:t>际指标，本方案所确定的采矿指标为：矿石开采回采率</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90%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、贫化率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，采场损</w:t>
      </w:r>
      <w:r>
        <w:rPr>
          <w:rFonts w:ascii="FangSong" w:hAnsi="FangSong" w:eastAsia="FangSong" w:cs="FangSong"/>
          <w:sz w:val="24"/>
          <w:szCs w:val="24"/>
          <w:spacing w:val="-9"/>
        </w:rPr>
        <w:t>失率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10</w:t>
      </w:r>
      <w:r>
        <w:rPr>
          <w:rFonts w:ascii="FangSong" w:hAnsi="FangSong" w:eastAsia="FangSong" w:cs="FangSong"/>
          <w:sz w:val="24"/>
          <w:szCs w:val="24"/>
          <w:spacing w:val="11"/>
        </w:rPr>
        <w:t>％，</w:t>
      </w:r>
      <w:r>
        <w:rPr>
          <w:rFonts w:ascii="FangSong" w:hAnsi="FangSong" w:eastAsia="FangSong" w:cs="FangSong"/>
          <w:sz w:val="24"/>
          <w:szCs w:val="24"/>
          <w:spacing w:val="-9"/>
        </w:rPr>
        <w:t>贫化率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10</w:t>
      </w:r>
      <w:r>
        <w:rPr>
          <w:rFonts w:ascii="FangSong" w:hAnsi="FangSong" w:eastAsia="FangSong" w:cs="FangSong"/>
          <w:sz w:val="24"/>
          <w:szCs w:val="24"/>
          <w:spacing w:val="-9"/>
        </w:rPr>
        <w:t>％。</w:t>
      </w:r>
    </w:p>
    <w:p>
      <w:pPr>
        <w:ind w:left="34" w:firstLine="474"/>
        <w:spacing w:line="359" w:lineRule="auto"/>
        <w:rPr>
          <w:rFonts w:ascii="FangSong" w:hAnsi="FangSong" w:eastAsia="FangSong" w:cs="FangSong"/>
          <w:sz w:val="24"/>
          <w:szCs w:val="24"/>
        </w:rPr>
      </w:pPr>
      <w:r>
        <w:rPr>
          <w:rFonts w:ascii="FangSong" w:hAnsi="FangSong" w:eastAsia="FangSong" w:cs="FangSong"/>
          <w:sz w:val="24"/>
          <w:szCs w:val="24"/>
          <w:spacing w:val="1"/>
        </w:rPr>
        <w:t>在开采过程中应加强管理，尤其是矿岩接触地带应特别注意，以提高矿石回收</w:t>
      </w:r>
      <w:r>
        <w:rPr>
          <w:rFonts w:ascii="FangSong" w:hAnsi="FangSong" w:eastAsia="FangSong" w:cs="FangSong"/>
          <w:sz w:val="24"/>
          <w:szCs w:val="24"/>
          <w:spacing w:val="-3"/>
        </w:rPr>
        <w:t>率，降低贫化率。</w:t>
      </w:r>
    </w:p>
    <w:p>
      <w:pPr>
        <w:ind w:left="498"/>
        <w:spacing w:before="1"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分段空场嗣后充填采矿方法回采工艺</w:t>
      </w:r>
    </w:p>
    <w:p>
      <w:pPr>
        <w:ind w:left="492"/>
        <w:spacing w:before="178" w:line="223" w:lineRule="auto"/>
        <w:rPr>
          <w:rFonts w:ascii="FangSong" w:hAnsi="FangSong" w:eastAsia="FangSong" w:cs="FangSong"/>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、矿块构成要素</w:t>
      </w:r>
    </w:p>
    <w:p>
      <w:pPr>
        <w:spacing w:before="177" w:line="222" w:lineRule="auto"/>
        <w:jc w:val="right"/>
        <w:rPr>
          <w:rFonts w:ascii="Times New Roman" w:hAnsi="Times New Roman" w:eastAsia="Times New Roman" w:cs="Times New Roman"/>
          <w:sz w:val="24"/>
          <w:szCs w:val="24"/>
        </w:rPr>
      </w:pPr>
      <w:r>
        <w:rPr>
          <w:rFonts w:ascii="FangSong" w:hAnsi="FangSong" w:eastAsia="FangSong" w:cs="FangSong"/>
          <w:sz w:val="24"/>
          <w:szCs w:val="24"/>
          <w:spacing w:val="-2"/>
        </w:rPr>
        <w:t>当矿体厚度大于</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10m</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时，阶段高度</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35m-45m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矿</w:t>
      </w:r>
      <w:r>
        <w:rPr>
          <w:rFonts w:ascii="FangSong" w:hAnsi="FangSong" w:eastAsia="FangSong" w:cs="FangSong"/>
          <w:sz w:val="24"/>
          <w:szCs w:val="24"/>
          <w:spacing w:val="-3"/>
        </w:rPr>
        <w:t>房宽度等于矿体厚度。分</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2</w:t>
      </w:r>
    </w:p>
    <w:p>
      <w:pPr>
        <w:spacing w:line="222" w:lineRule="auto"/>
        <w:sectPr>
          <w:footerReference w:type="default" r:id="rId149"/>
          <w:pgSz w:w="11911" w:h="16839"/>
          <w:pgMar w:top="400" w:right="1415" w:bottom="1146" w:left="1786" w:header="0" w:footer="984" w:gutter="0"/>
        </w:sectPr>
        <w:rPr>
          <w:rFonts w:ascii="Times New Roman" w:hAnsi="Times New Roman" w:eastAsia="Times New Roman" w:cs="Times New Roman"/>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spacing w:before="78" w:line="222" w:lineRule="auto"/>
        <w:jc w:val="right"/>
        <w:rPr>
          <w:rFonts w:ascii="FangSong" w:hAnsi="FangSong" w:eastAsia="FangSong" w:cs="FangSong"/>
          <w:sz w:val="24"/>
          <w:szCs w:val="24"/>
        </w:rPr>
      </w:pPr>
      <w:bookmarkStart w:name="bookmark555" w:id="251"/>
      <w:bookmarkEnd w:id="251"/>
      <w:r>
        <w:rPr>
          <w:rFonts w:ascii="FangSong" w:hAnsi="FangSong" w:eastAsia="FangSong" w:cs="FangSong"/>
          <w:sz w:val="24"/>
          <w:szCs w:val="24"/>
          <w:spacing w:val="-9"/>
        </w:rPr>
        <w:t>个分段，分段高为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13m</w:t>
      </w:r>
      <w:r>
        <w:rPr>
          <w:rFonts w:ascii="FangSong" w:hAnsi="FangSong" w:eastAsia="FangSong" w:cs="FangSong"/>
          <w:sz w:val="24"/>
          <w:szCs w:val="24"/>
          <w:spacing w:val="-9"/>
        </w:rPr>
        <w:t>，顶柱高度</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8m</w:t>
      </w:r>
      <w:r>
        <w:rPr>
          <w:rFonts w:ascii="FangSong" w:hAnsi="FangSong" w:eastAsia="FangSong" w:cs="FangSong"/>
          <w:sz w:val="24"/>
          <w:szCs w:val="24"/>
          <w:spacing w:val="-9"/>
        </w:rPr>
        <w:t>，底柱高度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6m</w:t>
      </w:r>
      <w:r>
        <w:rPr>
          <w:rFonts w:ascii="FangSong" w:hAnsi="FangSong" w:eastAsia="FangSong" w:cs="FangSong"/>
          <w:sz w:val="24"/>
          <w:szCs w:val="24"/>
          <w:spacing w:val="-9"/>
        </w:rPr>
        <w:t>，间柱宽度</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8m</w:t>
      </w:r>
      <w:r>
        <w:rPr>
          <w:rFonts w:ascii="FangSong" w:hAnsi="FangSong" w:eastAsia="FangSong" w:cs="FangSong"/>
          <w:sz w:val="24"/>
          <w:szCs w:val="24"/>
          <w:spacing w:val="-9"/>
        </w:rPr>
        <w:t>，漏斗间距</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12m</w:t>
      </w:r>
      <w:r>
        <w:rPr>
          <w:rFonts w:ascii="FangSong" w:hAnsi="FangSong" w:eastAsia="FangSong" w:cs="FangSong"/>
          <w:sz w:val="24"/>
          <w:szCs w:val="24"/>
          <w:spacing w:val="-9"/>
        </w:rPr>
        <w:t>。</w:t>
      </w:r>
    </w:p>
    <w:p>
      <w:pPr>
        <w:ind w:left="495"/>
        <w:spacing w:before="177"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B</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、采准切割</w:t>
      </w:r>
    </w:p>
    <w:p>
      <w:pPr>
        <w:ind w:left="26" w:right="80" w:firstLine="482"/>
        <w:spacing w:before="179" w:line="359" w:lineRule="auto"/>
        <w:rPr>
          <w:rFonts w:ascii="FangSong" w:hAnsi="FangSong" w:eastAsia="FangSong" w:cs="FangSong"/>
          <w:sz w:val="24"/>
          <w:szCs w:val="24"/>
        </w:rPr>
      </w:pPr>
      <w:r>
        <w:rPr>
          <w:rFonts w:ascii="FangSong" w:hAnsi="FangSong" w:eastAsia="FangSong" w:cs="FangSong"/>
          <w:sz w:val="24"/>
          <w:szCs w:val="24"/>
          <w:spacing w:val="1"/>
        </w:rPr>
        <w:t>采准工程有分段巷道、分段凿岩巷道、出矿穿脉、出矿进路、上盘回风穿脉；</w:t>
      </w:r>
      <w:r>
        <w:rPr>
          <w:rFonts w:ascii="FangSong" w:hAnsi="FangSong" w:eastAsia="FangSong" w:cs="FangSong"/>
          <w:sz w:val="24"/>
          <w:szCs w:val="24"/>
          <w:spacing w:val="1"/>
        </w:rPr>
        <w:t>切割工程有切割天井和切割槽。分段巷道布置在下盘脉外，通过采区斜坡道使其与</w:t>
      </w:r>
      <w:r>
        <w:rPr>
          <w:rFonts w:ascii="FangSong" w:hAnsi="FangSong" w:eastAsia="FangSong" w:cs="FangSong"/>
          <w:sz w:val="24"/>
          <w:szCs w:val="24"/>
          <w:spacing w:val="1"/>
        </w:rPr>
        <w:t>上下联通，从分段巷道向矿体内上盘掘分段凿岩巷道。中段出矿水平的出矿穿脉与</w:t>
      </w:r>
      <w:r>
        <w:rPr>
          <w:rFonts w:ascii="FangSong" w:hAnsi="FangSong" w:eastAsia="FangSong" w:cs="FangSong"/>
          <w:sz w:val="24"/>
          <w:szCs w:val="24"/>
          <w:spacing w:val="-1"/>
        </w:rPr>
        <w:t>上盘回风道掘通，在穿脉出矿巷道中每隔</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1"/>
        </w:rPr>
        <w:t>13m</w:t>
      </w:r>
      <w:r>
        <w:rPr>
          <w:rFonts w:ascii="Times New Roman" w:hAnsi="Times New Roman" w:eastAsia="Times New Roman" w:cs="Times New Roman"/>
          <w:sz w:val="24"/>
          <w:szCs w:val="24"/>
          <w:spacing w:val="43"/>
          <w:w w:val="101"/>
        </w:rPr>
        <w:t xml:space="preserve"> </w:t>
      </w:r>
      <w:r>
        <w:rPr>
          <w:rFonts w:ascii="FangSong" w:hAnsi="FangSong" w:eastAsia="FangSong" w:cs="FangSong"/>
          <w:sz w:val="24"/>
          <w:szCs w:val="24"/>
          <w:spacing w:val="-1"/>
        </w:rPr>
        <w:t>以</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60°</w:t>
      </w:r>
      <w:r>
        <w:rPr>
          <w:rFonts w:ascii="FangSong" w:hAnsi="FangSong" w:eastAsia="FangSong" w:cs="FangSong"/>
          <w:sz w:val="24"/>
          <w:szCs w:val="24"/>
          <w:spacing w:val="-1"/>
        </w:rPr>
        <w:t>角向回采采场掘出矿进路。采</w:t>
      </w:r>
      <w:r>
        <w:rPr>
          <w:rFonts w:ascii="FangSong" w:hAnsi="FangSong" w:eastAsia="FangSong" w:cs="FangSong"/>
          <w:sz w:val="24"/>
          <w:szCs w:val="24"/>
          <w:spacing w:val="1"/>
        </w:rPr>
        <w:t>场底部结构为平底形式，不留顶底柱。掘进平巷采用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7655</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
        </w:rPr>
        <w:t>型凿岩机凿岩，掘凿天</w:t>
      </w:r>
      <w:r>
        <w:rPr>
          <w:rFonts w:ascii="FangSong" w:hAnsi="FangSong" w:eastAsia="FangSong" w:cs="FangSong"/>
          <w:sz w:val="24"/>
          <w:szCs w:val="24"/>
          <w:spacing w:val="1"/>
        </w:rPr>
        <w:t>井、溜井采用</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rPr>
        <w:t>YSP</w:t>
      </w:r>
      <w:r>
        <w:rPr>
          <w:rFonts w:ascii="Times New Roman" w:hAnsi="Times New Roman" w:eastAsia="Times New Roman" w:cs="Times New Roman"/>
          <w:sz w:val="24"/>
          <w:szCs w:val="24"/>
          <w:spacing w:val="1"/>
        </w:rPr>
        <w:t>-45  </w:t>
      </w:r>
      <w:r>
        <w:rPr>
          <w:rFonts w:ascii="FangSong" w:hAnsi="FangSong" w:eastAsia="FangSong" w:cs="FangSong"/>
          <w:sz w:val="24"/>
          <w:szCs w:val="24"/>
          <w:spacing w:val="1"/>
        </w:rPr>
        <w:t>型凿岩机凿岩。采</w:t>
      </w:r>
      <w:r>
        <w:rPr>
          <w:rFonts w:ascii="FangSong" w:hAnsi="FangSong" w:eastAsia="FangSong" w:cs="FangSong"/>
          <w:sz w:val="24"/>
          <w:szCs w:val="24"/>
        </w:rPr>
        <w:t>准出碴，采用</w:t>
      </w:r>
      <w:r>
        <w:rPr>
          <w:rFonts w:ascii="Times New Roman" w:hAnsi="Times New Roman" w:eastAsia="Times New Roman" w:cs="Times New Roman"/>
          <w:sz w:val="24"/>
          <w:szCs w:val="24"/>
        </w:rPr>
        <w:t>Z-17W</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rPr>
        <w:t>装岩机装运。</w:t>
      </w:r>
    </w:p>
    <w:p>
      <w:pPr>
        <w:ind w:left="499"/>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8"/>
        </w:rPr>
        <w:t>C</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、回采顺序</w:t>
      </w:r>
    </w:p>
    <w:p>
      <w:pPr>
        <w:ind w:left="28" w:right="17" w:firstLine="478"/>
        <w:spacing w:before="176" w:line="359" w:lineRule="auto"/>
        <w:rPr>
          <w:rFonts w:ascii="FangSong" w:hAnsi="FangSong" w:eastAsia="FangSong" w:cs="FangSong"/>
          <w:sz w:val="24"/>
          <w:szCs w:val="24"/>
        </w:rPr>
      </w:pPr>
      <w:r>
        <w:rPr>
          <w:rFonts w:ascii="FangSong" w:hAnsi="FangSong" w:eastAsia="FangSong" w:cs="FangSong"/>
          <w:sz w:val="24"/>
          <w:szCs w:val="24"/>
          <w:spacing w:val="-4"/>
        </w:rPr>
        <w:t>沿走向采用由风井向主竖井推进。因此采用上向分层回采，形成倒梯段工作面，</w:t>
      </w:r>
      <w:r>
        <w:rPr>
          <w:rFonts w:ascii="FangSong" w:hAnsi="FangSong" w:eastAsia="FangSong" w:cs="FangSong"/>
          <w:sz w:val="24"/>
          <w:szCs w:val="24"/>
          <w:spacing w:val="-3"/>
        </w:rPr>
        <w:t>在留矿堆上打眼。</w:t>
      </w:r>
    </w:p>
    <w:p>
      <w:pPr>
        <w:ind w:left="495"/>
        <w:spacing w:line="220" w:lineRule="auto"/>
        <w:rPr>
          <w:rFonts w:ascii="FangSong" w:hAnsi="FangSong" w:eastAsia="FangSong" w:cs="FangSong"/>
          <w:sz w:val="24"/>
          <w:szCs w:val="24"/>
        </w:rPr>
      </w:pPr>
      <w:r>
        <w:rPr>
          <w:rFonts w:ascii="Times New Roman" w:hAnsi="Times New Roman" w:eastAsia="Times New Roman" w:cs="Times New Roman"/>
          <w:sz w:val="24"/>
          <w:szCs w:val="24"/>
          <w:spacing w:val="-7"/>
        </w:rPr>
        <w:t>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7"/>
        </w:rPr>
        <w:t>、凿岩工作</w:t>
      </w:r>
    </w:p>
    <w:p>
      <w:pPr>
        <w:ind w:left="536"/>
        <w:spacing w:before="182" w:line="221" w:lineRule="auto"/>
        <w:rPr>
          <w:rFonts w:ascii="FangSong" w:hAnsi="FangSong" w:eastAsia="FangSong" w:cs="FangSong"/>
          <w:sz w:val="24"/>
          <w:szCs w:val="24"/>
        </w:rPr>
      </w:pPr>
      <w:r>
        <w:rPr>
          <w:rFonts w:ascii="FangSong" w:hAnsi="FangSong" w:eastAsia="FangSong" w:cs="FangSong"/>
          <w:sz w:val="24"/>
          <w:szCs w:val="24"/>
          <w:spacing w:val="-2"/>
        </w:rPr>
        <w:t>回采分两步进行，第一步回采矿房，第二步回采矿柱。</w:t>
      </w:r>
    </w:p>
    <w:p>
      <w:pPr>
        <w:ind w:left="26" w:firstLine="488"/>
        <w:spacing w:before="179" w:line="359" w:lineRule="auto"/>
        <w:rPr>
          <w:rFonts w:ascii="FangSong" w:hAnsi="FangSong" w:eastAsia="FangSong" w:cs="FangSong"/>
          <w:sz w:val="24"/>
          <w:szCs w:val="24"/>
        </w:rPr>
      </w:pPr>
      <w:r>
        <w:rPr>
          <w:rFonts w:ascii="FangSong" w:hAnsi="FangSong" w:eastAsia="FangSong" w:cs="FangSong"/>
          <w:sz w:val="24"/>
          <w:szCs w:val="24"/>
          <w:spacing w:val="-6"/>
        </w:rPr>
        <w:t>为避免爆破影响相邻采场的稳定性，采用隔</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6"/>
        </w:rPr>
        <w:t>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6"/>
        </w:rPr>
        <w:t>的方式，先采矿房后采</w:t>
      </w:r>
      <w:r>
        <w:rPr>
          <w:rFonts w:ascii="FangSong" w:hAnsi="FangSong" w:eastAsia="FangSong" w:cs="FangSong"/>
          <w:sz w:val="24"/>
          <w:szCs w:val="24"/>
          <w:spacing w:val="-7"/>
        </w:rPr>
        <w:t>矿柱。</w:t>
      </w:r>
      <w:r>
        <w:rPr>
          <w:rFonts w:ascii="FangSong" w:hAnsi="FangSong" w:eastAsia="FangSong" w:cs="FangSong"/>
          <w:sz w:val="24"/>
          <w:szCs w:val="24"/>
          <w:spacing w:val="-2"/>
        </w:rPr>
        <w:t>采用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7655</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2"/>
        </w:rPr>
        <w:t>气腿式凿岩机在分段凿岩巷道内凿上向扇形炮孔，炮孔排距均为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
        </w:rPr>
        <w:t>.5-2m</w:t>
      </w:r>
      <w:r>
        <w:rPr>
          <w:rFonts w:ascii="FangSong" w:hAnsi="FangSong" w:eastAsia="FangSong" w:cs="FangSong"/>
          <w:sz w:val="24"/>
          <w:szCs w:val="24"/>
          <w:spacing w:val="-3"/>
        </w:rPr>
        <w:t>、</w:t>
      </w:r>
      <w:r>
        <w:rPr>
          <w:rFonts w:ascii="FangSong" w:hAnsi="FangSong" w:eastAsia="FangSong" w:cs="FangSong"/>
          <w:sz w:val="24"/>
          <w:szCs w:val="24"/>
          <w:spacing w:val="-2"/>
        </w:rPr>
        <w:t>孔底间距</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1.6-1.8m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、钻孔直径</w:t>
      </w:r>
      <w:r>
        <w:rPr>
          <w:rFonts w:ascii="Times New Roman" w:hAnsi="Times New Roman" w:eastAsia="Times New Roman" w:cs="Times New Roman"/>
          <w:sz w:val="24"/>
          <w:szCs w:val="24"/>
          <w:spacing w:val="-2"/>
        </w:rPr>
        <w:t>Φ70mm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。，采用导爆管雷管起爆。每次爆</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2-3  </w:t>
      </w:r>
      <w:r>
        <w:rPr>
          <w:rFonts w:ascii="FangSong" w:hAnsi="FangSong" w:eastAsia="FangSong" w:cs="FangSong"/>
          <w:sz w:val="24"/>
          <w:szCs w:val="24"/>
          <w:spacing w:val="-2"/>
        </w:rPr>
        <w:t>排孔，</w:t>
      </w:r>
      <w:r>
        <w:rPr>
          <w:rFonts w:ascii="FangSong" w:hAnsi="FangSong" w:eastAsia="FangSong" w:cs="FangSong"/>
          <w:sz w:val="24"/>
          <w:szCs w:val="24"/>
          <w:spacing w:val="-1"/>
        </w:rPr>
        <w:t>可以多分段同时侧向崩矿，爆破后形成梯段工作面。</w:t>
      </w:r>
    </w:p>
    <w:p>
      <w:pPr>
        <w:ind w:left="495"/>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E</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、回采出矿</w:t>
      </w:r>
    </w:p>
    <w:p>
      <w:pPr>
        <w:ind w:left="506"/>
        <w:spacing w:before="179" w:line="222" w:lineRule="auto"/>
        <w:rPr>
          <w:rFonts w:ascii="FangSong" w:hAnsi="FangSong" w:eastAsia="FangSong" w:cs="FangSong"/>
          <w:sz w:val="24"/>
          <w:szCs w:val="24"/>
        </w:rPr>
      </w:pPr>
      <w:r>
        <w:rPr>
          <w:rFonts w:ascii="FangSong" w:hAnsi="FangSong" w:eastAsia="FangSong" w:cs="FangSong"/>
          <w:sz w:val="24"/>
          <w:szCs w:val="24"/>
          <w:spacing w:val="1"/>
        </w:rPr>
        <w:t>矿石采用</w:t>
      </w:r>
      <w:r>
        <w:rPr>
          <w:rFonts w:ascii="Times New Roman" w:hAnsi="Times New Roman" w:eastAsia="Times New Roman" w:cs="Times New Roman"/>
          <w:sz w:val="24"/>
          <w:szCs w:val="24"/>
          <w:spacing w:val="1"/>
        </w:rPr>
        <w:t>Z-17W</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装岩机装运矿石。</w:t>
      </w:r>
    </w:p>
    <w:p>
      <w:pPr>
        <w:ind w:left="494"/>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F</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、采场通风</w:t>
      </w:r>
    </w:p>
    <w:p>
      <w:pPr>
        <w:ind w:left="27" w:right="80" w:firstLine="480"/>
        <w:spacing w:before="174" w:line="360" w:lineRule="auto"/>
        <w:rPr>
          <w:rFonts w:ascii="FangSong" w:hAnsi="FangSong" w:eastAsia="FangSong" w:cs="FangSong"/>
          <w:sz w:val="24"/>
          <w:szCs w:val="24"/>
        </w:rPr>
      </w:pPr>
      <w:r>
        <w:rPr>
          <w:rFonts w:ascii="FangSong" w:hAnsi="FangSong" w:eastAsia="FangSong" w:cs="FangSong"/>
          <w:sz w:val="24"/>
          <w:szCs w:val="24"/>
          <w:spacing w:val="1"/>
        </w:rPr>
        <w:t>采用无底柱分段崩落法，回采、采准作业全是独头巷道作业，通风条件差，必</w:t>
      </w:r>
      <w:r>
        <w:rPr>
          <w:rFonts w:ascii="FangSong" w:hAnsi="FangSong" w:eastAsia="FangSong" w:cs="FangSong"/>
          <w:sz w:val="24"/>
          <w:szCs w:val="24"/>
          <w:spacing w:val="1"/>
        </w:rPr>
        <w:t>须加强采区通风管理，为了避免污风污染分段平巷在所有的采掘工作面采用局扇通</w:t>
      </w:r>
      <w:r>
        <w:rPr>
          <w:rFonts w:ascii="FangSong" w:hAnsi="FangSong" w:eastAsia="FangSong" w:cs="FangSong"/>
          <w:sz w:val="24"/>
          <w:szCs w:val="24"/>
          <w:spacing w:val="1"/>
        </w:rPr>
        <w:t>风，采用抽出通风方式。将局扇安在分段联络巷，每个工作面及分段平巷都有风筒</w:t>
      </w:r>
      <w:r>
        <w:rPr>
          <w:rFonts w:ascii="FangSong" w:hAnsi="FangSong" w:eastAsia="FangSong" w:cs="FangSong"/>
          <w:sz w:val="24"/>
          <w:szCs w:val="24"/>
          <w:spacing w:val="-1"/>
        </w:rPr>
        <w:t>相接，将污风排到上部回风天井经回风巷道排除，或通过本阶段水平排出。</w:t>
      </w:r>
    </w:p>
    <w:p>
      <w:pPr>
        <w:ind w:left="499"/>
        <w:spacing w:line="223" w:lineRule="auto"/>
        <w:rPr>
          <w:rFonts w:ascii="FangSong" w:hAnsi="FangSong" w:eastAsia="FangSong" w:cs="FangSong"/>
          <w:sz w:val="24"/>
          <w:szCs w:val="24"/>
        </w:rPr>
      </w:pPr>
      <w:r>
        <w:rPr>
          <w:rFonts w:ascii="Times New Roman" w:hAnsi="Times New Roman" w:eastAsia="Times New Roman" w:cs="Times New Roman"/>
          <w:sz w:val="24"/>
          <w:szCs w:val="24"/>
          <w:spacing w:val="-8"/>
        </w:rPr>
        <w:t>G</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8"/>
        </w:rPr>
        <w:t>、嗣后充填</w:t>
      </w:r>
    </w:p>
    <w:p>
      <w:pPr>
        <w:ind w:left="26" w:right="83" w:firstLine="480"/>
        <w:spacing w:before="175" w:line="359" w:lineRule="auto"/>
        <w:rPr>
          <w:rFonts w:ascii="FangSong" w:hAnsi="FangSong" w:eastAsia="FangSong" w:cs="FangSong"/>
          <w:sz w:val="24"/>
          <w:szCs w:val="24"/>
        </w:rPr>
      </w:pPr>
      <w:r>
        <w:rPr>
          <w:rFonts w:ascii="FangSong" w:hAnsi="FangSong" w:eastAsia="FangSong" w:cs="FangSong"/>
          <w:sz w:val="24"/>
          <w:szCs w:val="24"/>
          <w:spacing w:val="1"/>
        </w:rPr>
        <w:t>待矿房矿石全部出完后，集中一次用全尾砂水泥胶结充填。待两边矿房采完，</w:t>
      </w:r>
      <w:r>
        <w:rPr>
          <w:rFonts w:ascii="FangSong" w:hAnsi="FangSong" w:eastAsia="FangSong" w:cs="FangSong"/>
          <w:sz w:val="24"/>
          <w:szCs w:val="24"/>
          <w:spacing w:val="-3"/>
        </w:rPr>
        <w:t>用全尾砂水泥胶结好并养护</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天以上，之后，矿柱采用与回采矿房相同的方式进行</w:t>
      </w:r>
      <w:r>
        <w:rPr>
          <w:rFonts w:ascii="FangSong" w:hAnsi="FangSong" w:eastAsia="FangSong" w:cs="FangSong"/>
          <w:sz w:val="24"/>
          <w:szCs w:val="24"/>
          <w:spacing w:val="-1"/>
        </w:rPr>
        <w:t>回采出矿。充填则用全尾砂水泥胶结充填。</w:t>
      </w:r>
    </w:p>
    <w:p>
      <w:pPr>
        <w:ind w:left="495"/>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H</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、采矿损失率及贫化率</w:t>
      </w:r>
    </w:p>
    <w:p>
      <w:pPr>
        <w:ind w:left="507"/>
        <w:spacing w:before="180" w:line="219" w:lineRule="auto"/>
        <w:rPr>
          <w:rFonts w:ascii="FangSong" w:hAnsi="FangSong" w:eastAsia="FangSong" w:cs="FangSong"/>
          <w:sz w:val="24"/>
          <w:szCs w:val="24"/>
        </w:rPr>
      </w:pPr>
      <w:r>
        <w:rPr>
          <w:rFonts w:ascii="FangSong" w:hAnsi="FangSong" w:eastAsia="FangSong" w:cs="FangSong"/>
          <w:sz w:val="24"/>
          <w:szCs w:val="24"/>
          <w:spacing w:val="1"/>
        </w:rPr>
        <w:t>根据矿体赋存状态、开采技术条件及推荐采用的采矿方法，参照类似矿山的实</w:t>
      </w:r>
    </w:p>
    <w:p>
      <w:pPr>
        <w:spacing w:line="219" w:lineRule="auto"/>
        <w:sectPr>
          <w:footerReference w:type="default" r:id="rId150"/>
          <w:pgSz w:w="11911" w:h="16839"/>
          <w:pgMar w:top="400" w:right="1335"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30" w:right="59" w:firstLine="7"/>
        <w:spacing w:before="78" w:line="359" w:lineRule="auto"/>
        <w:rPr>
          <w:rFonts w:ascii="FangSong" w:hAnsi="FangSong" w:eastAsia="FangSong" w:cs="FangSong"/>
          <w:sz w:val="24"/>
          <w:szCs w:val="24"/>
        </w:rPr>
      </w:pPr>
      <w:r>
        <w:rPr>
          <w:rFonts w:ascii="FangSong" w:hAnsi="FangSong" w:eastAsia="FangSong" w:cs="FangSong"/>
          <w:sz w:val="24"/>
          <w:szCs w:val="24"/>
          <w:spacing w:val="-3"/>
        </w:rPr>
        <w:t>际指标，本方案所确定的采矿指标为：矿石开采回采率</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90%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、贫化率</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，采</w:t>
      </w:r>
      <w:r>
        <w:rPr>
          <w:rFonts w:ascii="FangSong" w:hAnsi="FangSong" w:eastAsia="FangSong" w:cs="FangSong"/>
          <w:sz w:val="24"/>
          <w:szCs w:val="24"/>
          <w:spacing w:val="-4"/>
        </w:rPr>
        <w:t>场损</w:t>
      </w:r>
      <w:r>
        <w:rPr>
          <w:rFonts w:ascii="FangSong" w:hAnsi="FangSong" w:eastAsia="FangSong" w:cs="FangSong"/>
          <w:sz w:val="24"/>
          <w:szCs w:val="24"/>
          <w:spacing w:val="-9"/>
        </w:rPr>
        <w:t>失率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10</w:t>
      </w:r>
      <w:r>
        <w:rPr>
          <w:rFonts w:ascii="FangSong" w:hAnsi="FangSong" w:eastAsia="FangSong" w:cs="FangSong"/>
          <w:sz w:val="24"/>
          <w:szCs w:val="24"/>
          <w:spacing w:val="11"/>
        </w:rPr>
        <w:t>％，</w:t>
      </w:r>
      <w:r>
        <w:rPr>
          <w:rFonts w:ascii="FangSong" w:hAnsi="FangSong" w:eastAsia="FangSong" w:cs="FangSong"/>
          <w:sz w:val="24"/>
          <w:szCs w:val="24"/>
          <w:spacing w:val="-9"/>
        </w:rPr>
        <w:t>贫化率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10</w:t>
      </w:r>
      <w:r>
        <w:rPr>
          <w:rFonts w:ascii="FangSong" w:hAnsi="FangSong" w:eastAsia="FangSong" w:cs="FangSong"/>
          <w:sz w:val="24"/>
          <w:szCs w:val="24"/>
          <w:spacing w:val="-9"/>
        </w:rPr>
        <w:t>％。</w:t>
      </w:r>
    </w:p>
    <w:p>
      <w:pPr>
        <w:ind w:left="494"/>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）开拓运输方案</w:t>
      </w:r>
    </w:p>
    <w:p>
      <w:pPr>
        <w:ind w:left="32" w:right="59" w:firstLine="475"/>
        <w:spacing w:before="178" w:line="359" w:lineRule="auto"/>
        <w:rPr>
          <w:rFonts w:ascii="FangSong" w:hAnsi="FangSong" w:eastAsia="FangSong" w:cs="FangSong"/>
          <w:sz w:val="24"/>
          <w:szCs w:val="24"/>
        </w:rPr>
      </w:pPr>
      <w:r>
        <w:rPr>
          <w:rFonts w:ascii="FangSong" w:hAnsi="FangSong" w:eastAsia="FangSong" w:cs="FangSong"/>
          <w:sz w:val="24"/>
          <w:szCs w:val="24"/>
          <w:spacing w:val="1"/>
        </w:rPr>
        <w:t>根据矿区地质地形条件、矿体赋存状态、开采技术条件等因素，从安全、经济</w:t>
      </w:r>
      <w:r>
        <w:rPr>
          <w:rFonts w:ascii="FangSong" w:hAnsi="FangSong" w:eastAsia="FangSong" w:cs="FangSong"/>
          <w:sz w:val="24"/>
          <w:szCs w:val="24"/>
          <w:spacing w:val="-3"/>
        </w:rPr>
        <w:t>合理角度考虑，推荐</w:t>
      </w:r>
      <w:r>
        <w:rPr>
          <w:rFonts w:ascii="Times New Roman" w:hAnsi="Times New Roman" w:eastAsia="Times New Roman" w:cs="Times New Roman"/>
          <w:sz w:val="24"/>
          <w:szCs w:val="24"/>
          <w:spacing w:val="-3"/>
        </w:rPr>
        <w:t>Ⅱ</w:t>
      </w:r>
      <w:r>
        <w:rPr>
          <w:rFonts w:ascii="FangSong" w:hAnsi="FangSong" w:eastAsia="FangSong" w:cs="FangSong"/>
          <w:sz w:val="24"/>
          <w:szCs w:val="24"/>
          <w:spacing w:val="-3"/>
        </w:rPr>
        <w:t>矿段采用下盘竖井开拓运输方案，</w:t>
      </w:r>
      <w:r>
        <w:rPr>
          <w:rFonts w:ascii="FangSong" w:hAnsi="FangSong" w:eastAsia="FangSong" w:cs="FangSong"/>
          <w:sz w:val="24"/>
          <w:szCs w:val="24"/>
          <w:spacing w:val="-4"/>
        </w:rPr>
        <w:t>对角式通风系统，机械抽出</w:t>
      </w:r>
      <w:r>
        <w:rPr>
          <w:rFonts w:ascii="FangSong" w:hAnsi="FangSong" w:eastAsia="FangSong" w:cs="FangSong"/>
          <w:sz w:val="24"/>
          <w:szCs w:val="24"/>
          <w:spacing w:val="-4"/>
        </w:rPr>
        <w:t>式通风方式。</w:t>
      </w:r>
    </w:p>
    <w:p>
      <w:pPr>
        <w:ind w:left="28" w:right="61" w:firstLine="478"/>
        <w:spacing w:before="2" w:line="358" w:lineRule="auto"/>
        <w:rPr>
          <w:rFonts w:ascii="FangSong" w:hAnsi="FangSong" w:eastAsia="FangSong" w:cs="FangSong"/>
          <w:sz w:val="24"/>
          <w:szCs w:val="24"/>
        </w:rPr>
      </w:pPr>
      <w:r>
        <w:rPr>
          <w:rFonts w:ascii="FangSong" w:hAnsi="FangSong" w:eastAsia="FangSong" w:cs="FangSong"/>
          <w:sz w:val="24"/>
          <w:szCs w:val="24"/>
        </w:rPr>
        <w:t>开拓运输系统采用下盘竖井开拓，</w:t>
      </w:r>
      <w:r>
        <w:rPr>
          <w:rFonts w:ascii="FangSong" w:hAnsi="FangSong" w:eastAsia="FangSong" w:cs="FangSong"/>
          <w:sz w:val="24"/>
          <w:szCs w:val="24"/>
          <w:spacing w:val="-56"/>
        </w:rPr>
        <w:t xml:space="preserve"> </w:t>
      </w:r>
      <w:r>
        <w:rPr>
          <w:rFonts w:ascii="FangSong" w:hAnsi="FangSong" w:eastAsia="FangSong" w:cs="FangSong"/>
          <w:sz w:val="24"/>
          <w:szCs w:val="24"/>
        </w:rPr>
        <w:t>由主井（</w:t>
      </w:r>
      <w:r>
        <w:rPr>
          <w:rFonts w:ascii="Times New Roman" w:hAnsi="Times New Roman" w:eastAsia="Times New Roman" w:cs="Times New Roman"/>
          <w:sz w:val="24"/>
          <w:szCs w:val="24"/>
        </w:rPr>
        <w:t>SJ1</w:t>
      </w:r>
      <w:r>
        <w:rPr>
          <w:rFonts w:ascii="FangSong" w:hAnsi="FangSong" w:eastAsia="FangSong" w:cs="FangSong"/>
          <w:sz w:val="24"/>
          <w:szCs w:val="24"/>
        </w:rPr>
        <w:t>）、通风井（</w:t>
      </w:r>
      <w:r>
        <w:rPr>
          <w:rFonts w:ascii="Times New Roman" w:hAnsi="Times New Roman" w:eastAsia="Times New Roman" w:cs="Times New Roman"/>
          <w:sz w:val="24"/>
          <w:szCs w:val="24"/>
        </w:rPr>
        <w:t>SJ2</w:t>
      </w:r>
      <w:r>
        <w:rPr>
          <w:rFonts w:ascii="FangSong" w:hAnsi="FangSong" w:eastAsia="FangSong" w:cs="FangSong"/>
          <w:sz w:val="24"/>
          <w:szCs w:val="24"/>
        </w:rPr>
        <w:t>）及井下各中</w:t>
      </w:r>
      <w:r>
        <w:rPr>
          <w:rFonts w:ascii="FangSong" w:hAnsi="FangSong" w:eastAsia="FangSong" w:cs="FangSong"/>
          <w:sz w:val="24"/>
          <w:szCs w:val="24"/>
          <w:spacing w:val="-2"/>
        </w:rPr>
        <w:t>段运输巷道、联络巷道等组成。</w:t>
      </w:r>
    </w:p>
    <w:p>
      <w:pPr>
        <w:ind w:left="14" w:firstLine="498"/>
        <w:spacing w:before="6" w:line="358" w:lineRule="auto"/>
        <w:jc w:val="both"/>
        <w:rPr>
          <w:rFonts w:ascii="FangSong" w:hAnsi="FangSong" w:eastAsia="FangSong" w:cs="FangSong"/>
          <w:sz w:val="24"/>
          <w:szCs w:val="24"/>
        </w:rPr>
      </w:pPr>
      <w:r>
        <w:rPr>
          <w:rFonts w:ascii="FangSong" w:hAnsi="FangSong" w:eastAsia="FangSong" w:cs="FangSong"/>
          <w:sz w:val="24"/>
          <w:szCs w:val="24"/>
          <w:spacing w:val="-5"/>
        </w:rPr>
        <w:t>主井（</w:t>
      </w:r>
      <w:r>
        <w:rPr>
          <w:rFonts w:ascii="Times New Roman" w:hAnsi="Times New Roman" w:eastAsia="Times New Roman" w:cs="Times New Roman"/>
          <w:sz w:val="24"/>
          <w:szCs w:val="24"/>
          <w:spacing w:val="-5"/>
        </w:rPr>
        <w:t>SJ1</w:t>
      </w:r>
      <w:r>
        <w:rPr>
          <w:rFonts w:ascii="FangSong" w:hAnsi="FangSong" w:eastAsia="FangSong" w:cs="FangSong"/>
          <w:sz w:val="24"/>
          <w:szCs w:val="24"/>
          <w:spacing w:val="-5"/>
        </w:rPr>
        <w:t>）位于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58</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5"/>
        </w:rPr>
        <w:t>号勘探线矿体下盘，井口坐标（</w:t>
      </w:r>
      <w:r>
        <w:rPr>
          <w:rFonts w:ascii="Times New Roman" w:hAnsi="Times New Roman" w:eastAsia="Times New Roman" w:cs="Times New Roman"/>
          <w:sz w:val="24"/>
          <w:szCs w:val="24"/>
          <w:spacing w:val="-5"/>
        </w:rPr>
        <w:t>2000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5"/>
        </w:rPr>
        <w:t>国</w:t>
      </w:r>
      <w:r>
        <w:rPr>
          <w:rFonts w:ascii="FangSong" w:hAnsi="FangSong" w:eastAsia="FangSong" w:cs="FangSong"/>
          <w:sz w:val="24"/>
          <w:szCs w:val="24"/>
          <w:spacing w:val="-6"/>
        </w:rPr>
        <w:t>家大地坐标系）</w:t>
      </w:r>
      <w:r>
        <w:rPr>
          <w:rFonts w:ascii="Times New Roman" w:hAnsi="Times New Roman" w:eastAsia="Times New Roman" w:cs="Times New Roman"/>
          <w:sz w:val="24"/>
          <w:szCs w:val="24"/>
          <w:spacing w:val="-6"/>
        </w:rPr>
        <w:t>X</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4765826.30</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Y</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38412079.92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Z</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1044.50m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，井底标高</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825.00m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，井深</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219.50m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w:t>
      </w:r>
      <w:r>
        <w:rPr>
          <w:rFonts w:ascii="FangSong" w:hAnsi="FangSong" w:eastAsia="FangSong" w:cs="FangSong"/>
          <w:sz w:val="24"/>
          <w:szCs w:val="24"/>
          <w:spacing w:val="-3"/>
        </w:rPr>
        <w:t>井筒净直径</w:t>
      </w:r>
      <w:r>
        <w:rPr>
          <w:rFonts w:ascii="Times New Roman" w:hAnsi="Times New Roman" w:eastAsia="Times New Roman" w:cs="Times New Roman"/>
          <w:sz w:val="24"/>
          <w:szCs w:val="24"/>
          <w:spacing w:val="-3"/>
        </w:rPr>
        <w:t>φ4.5m</w:t>
      </w:r>
      <w:r>
        <w:rPr>
          <w:rFonts w:ascii="FangSong" w:hAnsi="FangSong" w:eastAsia="FangSong" w:cs="FangSong"/>
          <w:sz w:val="24"/>
          <w:szCs w:val="24"/>
          <w:spacing w:val="-3"/>
        </w:rPr>
        <w:t>；设计采用多绳双层罐笼配平衡锤的提升方式，采用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JKMD-2.25×4</w:t>
      </w:r>
      <w:r>
        <w:rPr>
          <w:rFonts w:ascii="Times New Roman" w:hAnsi="Times New Roman" w:eastAsia="Times New Roman" w:cs="Times New Roman"/>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I</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E</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3"/>
        </w:rPr>
        <w:t>型落地式多绳摩擦提升机，配套电机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400kW</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。主要承担井下各生产中段的矿</w:t>
      </w:r>
      <w:r>
        <w:rPr>
          <w:rFonts w:ascii="FangSong" w:hAnsi="FangSong" w:eastAsia="FangSong" w:cs="FangSong"/>
          <w:sz w:val="24"/>
          <w:szCs w:val="24"/>
          <w:spacing w:val="1"/>
        </w:rPr>
        <w:t>（废）石、材料、设备的提升任务和人员出入，井内布置排水、压气、供水、动力</w:t>
      </w:r>
      <w:r>
        <w:rPr>
          <w:rFonts w:ascii="FangSong" w:hAnsi="FangSong" w:eastAsia="FangSong" w:cs="FangSong"/>
          <w:sz w:val="24"/>
          <w:szCs w:val="24"/>
          <w:spacing w:val="-3"/>
        </w:rPr>
        <w:t>电缆及通信电缆，同时兼作进风井及安全出</w:t>
      </w:r>
      <w:r>
        <w:rPr>
          <w:rFonts w:ascii="FangSong" w:hAnsi="FangSong" w:eastAsia="FangSong" w:cs="FangSong"/>
          <w:sz w:val="24"/>
          <w:szCs w:val="24"/>
          <w:spacing w:val="-61"/>
        </w:rPr>
        <w:t xml:space="preserve"> </w:t>
      </w:r>
      <w:r>
        <w:rPr>
          <w:rFonts w:ascii="FangSong" w:hAnsi="FangSong" w:eastAsia="FangSong" w:cs="FangSong"/>
          <w:sz w:val="24"/>
          <w:szCs w:val="24"/>
          <w:spacing w:val="-3"/>
        </w:rPr>
        <w:t>口。</w:t>
      </w:r>
    </w:p>
    <w:p>
      <w:pPr>
        <w:ind w:left="511"/>
        <w:spacing w:before="1" w:line="222" w:lineRule="auto"/>
        <w:rPr>
          <w:rFonts w:ascii="FangSong" w:hAnsi="FangSong" w:eastAsia="FangSong" w:cs="FangSong"/>
          <w:sz w:val="24"/>
          <w:szCs w:val="24"/>
        </w:rPr>
      </w:pPr>
      <w:r>
        <w:rPr>
          <w:rFonts w:ascii="FangSong" w:hAnsi="FangSong" w:eastAsia="FangSong" w:cs="FangSong"/>
          <w:sz w:val="24"/>
          <w:szCs w:val="24"/>
          <w:spacing w:val="-2"/>
        </w:rPr>
        <w:t>通风井（</w:t>
      </w:r>
      <w:r>
        <w:rPr>
          <w:rFonts w:ascii="Times New Roman" w:hAnsi="Times New Roman" w:eastAsia="Times New Roman" w:cs="Times New Roman"/>
          <w:sz w:val="24"/>
          <w:szCs w:val="24"/>
          <w:spacing w:val="-2"/>
        </w:rPr>
        <w:t>SJ2</w:t>
      </w:r>
      <w:r>
        <w:rPr>
          <w:rFonts w:ascii="FangSong" w:hAnsi="FangSong" w:eastAsia="FangSong" w:cs="FangSong"/>
          <w:sz w:val="24"/>
          <w:szCs w:val="24"/>
          <w:spacing w:val="-2"/>
        </w:rPr>
        <w:t>）位于</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57</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号勘探线矿体下盘，井口坐</w:t>
      </w:r>
      <w:r>
        <w:rPr>
          <w:rFonts w:ascii="FangSong" w:hAnsi="FangSong" w:eastAsia="FangSong" w:cs="FangSong"/>
          <w:sz w:val="24"/>
          <w:szCs w:val="24"/>
          <w:spacing w:val="-3"/>
        </w:rPr>
        <w:t>标（</w:t>
      </w:r>
      <w:r>
        <w:rPr>
          <w:rFonts w:ascii="Times New Roman" w:hAnsi="Times New Roman" w:eastAsia="Times New Roman" w:cs="Times New Roman"/>
          <w:sz w:val="24"/>
          <w:szCs w:val="24"/>
          <w:spacing w:val="-3"/>
        </w:rPr>
        <w:t>2000</w:t>
      </w:r>
      <w:r>
        <w:rPr>
          <w:rFonts w:ascii="Times New Roman" w:hAnsi="Times New Roman" w:eastAsia="Times New Roman" w:cs="Times New Roman"/>
          <w:sz w:val="24"/>
          <w:szCs w:val="24"/>
          <w:spacing w:val="43"/>
          <w:w w:val="101"/>
        </w:rPr>
        <w:t xml:space="preserve"> </w:t>
      </w:r>
      <w:r>
        <w:rPr>
          <w:rFonts w:ascii="FangSong" w:hAnsi="FangSong" w:eastAsia="FangSong" w:cs="FangSong"/>
          <w:sz w:val="24"/>
          <w:szCs w:val="24"/>
          <w:spacing w:val="-3"/>
        </w:rPr>
        <w:t>国家大地坐标系）</w:t>
      </w:r>
    </w:p>
    <w:p>
      <w:pPr>
        <w:ind w:left="18" w:right="61" w:hanging="6"/>
        <w:spacing w:before="179" w:line="356" w:lineRule="auto"/>
        <w:rPr>
          <w:rFonts w:ascii="FangSong" w:hAnsi="FangSong" w:eastAsia="FangSong" w:cs="FangSong"/>
          <w:sz w:val="24"/>
          <w:szCs w:val="24"/>
        </w:rPr>
      </w:pPr>
      <w:r>
        <w:rPr>
          <w:rFonts w:ascii="Times New Roman" w:hAnsi="Times New Roman" w:eastAsia="Times New Roman" w:cs="Times New Roman"/>
          <w:sz w:val="24"/>
          <w:szCs w:val="24"/>
          <w:spacing w:val="-1"/>
        </w:rPr>
        <w:t>X</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4766361.88</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Y</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38412110.54</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Z</w:t>
      </w:r>
      <w:r>
        <w:rPr>
          <w:rFonts w:ascii="FangSong" w:hAnsi="FangSong" w:eastAsia="FangSong" w:cs="FangSong"/>
          <w:sz w:val="24"/>
          <w:szCs w:val="24"/>
          <w:spacing w:val="-1"/>
        </w:rPr>
        <w:t>：</w:t>
      </w:r>
      <w:r>
        <w:rPr>
          <w:rFonts w:ascii="Times New Roman" w:hAnsi="Times New Roman" w:eastAsia="Times New Roman" w:cs="Times New Roman"/>
          <w:sz w:val="24"/>
          <w:szCs w:val="24"/>
          <w:spacing w:val="-2"/>
        </w:rPr>
        <w:t>1045.50m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，井底标高</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885.00m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，井筒净直径</w:t>
      </w:r>
      <w:r>
        <w:rPr>
          <w:rFonts w:ascii="Times New Roman" w:hAnsi="Times New Roman" w:eastAsia="Times New Roman" w:cs="Times New Roman"/>
          <w:sz w:val="24"/>
          <w:szCs w:val="24"/>
          <w:spacing w:val="-3"/>
        </w:rPr>
        <w:t>φ3.00m</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3"/>
        </w:rPr>
        <w:t>。主要承担井下各水平中段回风任务，内设人行梯子间并兼作安全出</w:t>
      </w:r>
      <w:r>
        <w:rPr>
          <w:rFonts w:ascii="FangSong" w:hAnsi="FangSong" w:eastAsia="FangSong" w:cs="FangSong"/>
          <w:sz w:val="24"/>
          <w:szCs w:val="24"/>
          <w:spacing w:val="-61"/>
        </w:rPr>
        <w:t xml:space="preserve"> </w:t>
      </w:r>
      <w:r>
        <w:rPr>
          <w:rFonts w:ascii="FangSong" w:hAnsi="FangSong" w:eastAsia="FangSong" w:cs="FangSong"/>
          <w:sz w:val="24"/>
          <w:szCs w:val="24"/>
          <w:spacing w:val="-3"/>
        </w:rPr>
        <w:t>口。</w:t>
      </w:r>
    </w:p>
    <w:p>
      <w:pPr>
        <w:ind w:left="20" w:right="61" w:firstLine="488"/>
        <w:spacing w:before="5" w:line="352" w:lineRule="auto"/>
        <w:jc w:val="both"/>
        <w:rPr>
          <w:rFonts w:ascii="FangSong" w:hAnsi="FangSong" w:eastAsia="FangSong" w:cs="FangSong"/>
          <w:sz w:val="24"/>
          <w:szCs w:val="24"/>
        </w:rPr>
      </w:pPr>
      <w:r>
        <w:rPr>
          <w:rFonts w:ascii="FangSong" w:hAnsi="FangSong" w:eastAsia="FangSong" w:cs="FangSong"/>
          <w:sz w:val="24"/>
          <w:szCs w:val="24"/>
          <w:spacing w:val="-5"/>
        </w:rPr>
        <w:t>井下共设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个中段，分别为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5"/>
        </w:rPr>
        <w:t>1020m</w:t>
      </w:r>
      <w:r>
        <w:rPr>
          <w:rFonts w:ascii="Times New Roman" w:hAnsi="Times New Roman" w:eastAsia="Times New Roman" w:cs="Times New Roman"/>
          <w:sz w:val="24"/>
          <w:szCs w:val="24"/>
          <w:spacing w:val="49"/>
          <w:w w:val="101"/>
        </w:rPr>
        <w:t xml:space="preserve"> </w:t>
      </w:r>
      <w:r>
        <w:rPr>
          <w:rFonts w:ascii="FangSong" w:hAnsi="FangSong" w:eastAsia="FangSong" w:cs="FangSong"/>
          <w:sz w:val="24"/>
          <w:szCs w:val="24"/>
          <w:spacing w:val="-5"/>
        </w:rPr>
        <w:t>中段、</w:t>
      </w:r>
      <w:r>
        <w:rPr>
          <w:rFonts w:ascii="Times New Roman" w:hAnsi="Times New Roman" w:eastAsia="Times New Roman" w:cs="Times New Roman"/>
          <w:sz w:val="24"/>
          <w:szCs w:val="24"/>
          <w:spacing w:val="-5"/>
        </w:rPr>
        <w:t>975m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5"/>
        </w:rPr>
        <w:t>中段、</w:t>
      </w:r>
      <w:r>
        <w:rPr>
          <w:rFonts w:ascii="Times New Roman" w:hAnsi="Times New Roman" w:eastAsia="Times New Roman" w:cs="Times New Roman"/>
          <w:sz w:val="24"/>
          <w:szCs w:val="24"/>
          <w:spacing w:val="-5"/>
        </w:rPr>
        <w:t>930m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5"/>
        </w:rPr>
        <w:t>中段、</w:t>
      </w:r>
      <w:r>
        <w:rPr>
          <w:rFonts w:ascii="Times New Roman" w:hAnsi="Times New Roman" w:eastAsia="Times New Roman" w:cs="Times New Roman"/>
          <w:sz w:val="24"/>
          <w:szCs w:val="24"/>
          <w:spacing w:val="-5"/>
        </w:rPr>
        <w:t>885m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5"/>
        </w:rPr>
        <w:t>中段</w:t>
      </w:r>
      <w:r>
        <w:rPr>
          <w:rFonts w:ascii="FangSong" w:hAnsi="FangSong" w:eastAsia="FangSong" w:cs="FangSong"/>
          <w:sz w:val="24"/>
          <w:szCs w:val="24"/>
          <w:spacing w:val="-3"/>
        </w:rPr>
        <w:t>和</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850m</w:t>
      </w:r>
      <w:r>
        <w:rPr>
          <w:rFonts w:ascii="Times New Roman" w:hAnsi="Times New Roman" w:eastAsia="Times New Roman" w:cs="Times New Roman"/>
          <w:sz w:val="24"/>
          <w:szCs w:val="24"/>
          <w:spacing w:val="50"/>
        </w:rPr>
        <w:t xml:space="preserve"> </w:t>
      </w:r>
      <w:r>
        <w:rPr>
          <w:rFonts w:ascii="FangSong" w:hAnsi="FangSong" w:eastAsia="FangSong" w:cs="FangSong"/>
          <w:sz w:val="24"/>
          <w:szCs w:val="24"/>
          <w:spacing w:val="-3"/>
        </w:rPr>
        <w:t>中段；</w:t>
      </w:r>
      <w:r>
        <w:rPr>
          <w:rFonts w:ascii="Times New Roman" w:hAnsi="Times New Roman" w:eastAsia="Times New Roman" w:cs="Times New Roman"/>
          <w:sz w:val="24"/>
          <w:szCs w:val="24"/>
          <w:spacing w:val="-3"/>
        </w:rPr>
        <w:t>1020m</w:t>
      </w:r>
      <w:r>
        <w:rPr>
          <w:rFonts w:ascii="Times New Roman" w:hAnsi="Times New Roman" w:eastAsia="Times New Roman" w:cs="Times New Roman"/>
          <w:sz w:val="24"/>
          <w:szCs w:val="24"/>
          <w:spacing w:val="49"/>
          <w:w w:val="101"/>
        </w:rPr>
        <w:t xml:space="preserve"> </w:t>
      </w:r>
      <w:r>
        <w:rPr>
          <w:rFonts w:ascii="FangSong" w:hAnsi="FangSong" w:eastAsia="FangSong" w:cs="FangSong"/>
          <w:sz w:val="24"/>
          <w:szCs w:val="24"/>
          <w:spacing w:val="-3"/>
        </w:rPr>
        <w:t>中段为回风中段。各中段高度为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45m</w:t>
      </w:r>
      <w:r>
        <w:rPr>
          <w:rFonts w:ascii="FangSong" w:hAnsi="FangSong" w:eastAsia="FangSong" w:cs="FangSong"/>
          <w:sz w:val="24"/>
          <w:szCs w:val="24"/>
          <w:spacing w:val="-3"/>
        </w:rPr>
        <w:t>；其中</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850</w:t>
      </w:r>
      <w:r>
        <w:rPr>
          <w:rFonts w:ascii="Times New Roman" w:hAnsi="Times New Roman" w:eastAsia="Times New Roman" w:cs="Times New Roman"/>
          <w:sz w:val="24"/>
          <w:szCs w:val="24"/>
          <w:spacing w:val="51"/>
          <w:w w:val="101"/>
        </w:rPr>
        <w:t xml:space="preserve"> </w:t>
      </w:r>
      <w:r>
        <w:rPr>
          <w:rFonts w:ascii="FangSong" w:hAnsi="FangSong" w:eastAsia="FangSong" w:cs="FangSong"/>
          <w:sz w:val="24"/>
          <w:szCs w:val="24"/>
          <w:spacing w:val="-3"/>
        </w:rPr>
        <w:t>中段高度为</w:t>
      </w:r>
      <w:r>
        <w:rPr>
          <w:rFonts w:ascii="Times New Roman" w:hAnsi="Times New Roman" w:eastAsia="Times New Roman" w:cs="Times New Roman"/>
          <w:sz w:val="24"/>
          <w:szCs w:val="24"/>
          <w:spacing w:val="-3"/>
        </w:rPr>
        <w:t>35m</w:t>
      </w:r>
      <w:r>
        <w:rPr>
          <w:rFonts w:ascii="FangSong" w:hAnsi="FangSong" w:eastAsia="FangSong" w:cs="FangSong"/>
          <w:sz w:val="24"/>
          <w:szCs w:val="24"/>
          <w:spacing w:val="-3"/>
        </w:rPr>
        <w:t>。</w:t>
      </w:r>
    </w:p>
    <w:p>
      <w:pPr>
        <w:ind w:left="502"/>
        <w:spacing w:before="31"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）井下运输</w:t>
      </w:r>
    </w:p>
    <w:p>
      <w:pPr>
        <w:ind w:left="26" w:right="59" w:firstLine="483"/>
        <w:spacing w:before="180" w:line="359" w:lineRule="auto"/>
        <w:rPr>
          <w:rFonts w:ascii="FangSong" w:hAnsi="FangSong" w:eastAsia="FangSong" w:cs="FangSong"/>
          <w:sz w:val="24"/>
          <w:szCs w:val="24"/>
        </w:rPr>
      </w:pPr>
      <w:r>
        <w:rPr>
          <w:rFonts w:ascii="FangSong" w:hAnsi="FangSong" w:eastAsia="FangSong" w:cs="FangSong"/>
          <w:sz w:val="24"/>
          <w:szCs w:val="24"/>
          <w:spacing w:val="-1"/>
        </w:rPr>
        <w:t>井下采出矿（废）石设计均采用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CTY1.5/6G</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型蓄电池电机车牵引</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Y</w:t>
      </w:r>
      <w:r>
        <w:rPr>
          <w:rFonts w:ascii="Times New Roman" w:hAnsi="Times New Roman" w:eastAsia="Times New Roman" w:cs="Times New Roman"/>
          <w:sz w:val="24"/>
          <w:szCs w:val="24"/>
          <w:spacing w:val="-2"/>
        </w:rPr>
        <w:t>FC0.7</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w:t>
      </w:r>
      <w:r>
        <w:rPr>
          <w:rFonts w:ascii="FangSong" w:hAnsi="FangSong" w:eastAsia="FangSong" w:cs="FangSong"/>
          <w:sz w:val="24"/>
          <w:szCs w:val="24"/>
          <w:spacing w:val="1"/>
        </w:rPr>
        <w:t>翻斗式矿车运输至各自主井井底车场，通过罐笼提升系统提至地表；矿石运至矿石</w:t>
      </w:r>
      <w:r>
        <w:rPr>
          <w:rFonts w:ascii="FangSong" w:hAnsi="FangSong" w:eastAsia="FangSong" w:cs="FangSong"/>
          <w:sz w:val="24"/>
          <w:szCs w:val="24"/>
          <w:spacing w:val="-2"/>
        </w:rPr>
        <w:t>场，废石不出井直接用于充填。</w:t>
      </w:r>
    </w:p>
    <w:p>
      <w:pPr>
        <w:ind w:left="501"/>
        <w:spacing w:before="1" w:line="223" w:lineRule="auto"/>
        <w:rPr>
          <w:rFonts w:ascii="FangSong" w:hAnsi="FangSong" w:eastAsia="FangSong" w:cs="FangSong"/>
          <w:sz w:val="24"/>
          <w:szCs w:val="24"/>
        </w:rPr>
      </w:pP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）矿井通风</w:t>
      </w:r>
    </w:p>
    <w:p>
      <w:pPr>
        <w:ind w:left="26" w:right="61" w:firstLine="479"/>
        <w:spacing w:before="174" w:line="359" w:lineRule="auto"/>
        <w:rPr>
          <w:rFonts w:ascii="FangSong" w:hAnsi="FangSong" w:eastAsia="FangSong" w:cs="FangSong"/>
          <w:sz w:val="24"/>
          <w:szCs w:val="24"/>
        </w:rPr>
      </w:pPr>
      <w:r>
        <w:rPr>
          <w:rFonts w:ascii="FangSong" w:hAnsi="FangSong" w:eastAsia="FangSong" w:cs="FangSong"/>
          <w:sz w:val="24"/>
          <w:szCs w:val="24"/>
          <w:spacing w:val="-2"/>
        </w:rPr>
        <w:t>新鲜风流由主井（</w:t>
      </w:r>
      <w:r>
        <w:rPr>
          <w:rFonts w:ascii="Times New Roman" w:hAnsi="Times New Roman" w:eastAsia="Times New Roman" w:cs="Times New Roman"/>
          <w:sz w:val="24"/>
          <w:szCs w:val="24"/>
          <w:spacing w:val="-2"/>
        </w:rPr>
        <w:t>SJ1</w:t>
      </w:r>
      <w:r>
        <w:rPr>
          <w:rFonts w:ascii="FangSong" w:hAnsi="FangSong" w:eastAsia="FangSong" w:cs="FangSong"/>
          <w:sz w:val="24"/>
          <w:szCs w:val="24"/>
          <w:spacing w:val="-2"/>
        </w:rPr>
        <w:t>）进入井下，经石门、运输巷，由一侧进风天井进入工作</w:t>
      </w:r>
      <w:r>
        <w:rPr>
          <w:rFonts w:ascii="FangSong" w:hAnsi="FangSong" w:eastAsia="FangSong" w:cs="FangSong"/>
          <w:sz w:val="24"/>
          <w:szCs w:val="24"/>
          <w:spacing w:val="-2"/>
        </w:rPr>
        <w:t>面，清洗工作面后，经由回风天井进入上部回风巷，经通风井（</w:t>
      </w:r>
      <w:r>
        <w:rPr>
          <w:rFonts w:ascii="Times New Roman" w:hAnsi="Times New Roman" w:eastAsia="Times New Roman" w:cs="Times New Roman"/>
          <w:sz w:val="24"/>
          <w:szCs w:val="24"/>
          <w:spacing w:val="-2"/>
        </w:rPr>
        <w:t>SJ2</w:t>
      </w:r>
      <w:r>
        <w:rPr>
          <w:rFonts w:ascii="FangSong" w:hAnsi="FangSong" w:eastAsia="FangSong" w:cs="FangSong"/>
          <w:sz w:val="24"/>
          <w:szCs w:val="24"/>
          <w:spacing w:val="-2"/>
        </w:rPr>
        <w:t>）排出地表。风</w:t>
      </w:r>
      <w:r>
        <w:rPr>
          <w:rFonts w:ascii="FangSong" w:hAnsi="FangSong" w:eastAsia="FangSong" w:cs="FangSong"/>
          <w:sz w:val="24"/>
          <w:szCs w:val="24"/>
          <w:spacing w:val="-2"/>
        </w:rPr>
        <w:t>机安装在回风井口风机房内。</w:t>
      </w:r>
    </w:p>
    <w:p>
      <w:pPr>
        <w:ind w:left="509"/>
        <w:spacing w:before="1" w:line="220" w:lineRule="auto"/>
        <w:rPr>
          <w:rFonts w:ascii="FangSong" w:hAnsi="FangSong" w:eastAsia="FangSong" w:cs="FangSong"/>
          <w:sz w:val="24"/>
          <w:szCs w:val="24"/>
        </w:rPr>
      </w:pPr>
      <w:r>
        <w:rPr>
          <w:rFonts w:ascii="FangSong" w:hAnsi="FangSong" w:eastAsia="FangSong" w:cs="FangSong"/>
          <w:sz w:val="24"/>
          <w:szCs w:val="24"/>
          <w:spacing w:val="-1"/>
        </w:rPr>
        <w:t>井下各中段安装有风门和通风设施，保证井下通风顺畅。</w:t>
      </w:r>
    </w:p>
    <w:p>
      <w:pPr>
        <w:ind w:left="511"/>
        <w:spacing w:before="18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）充填工艺</w:t>
      </w:r>
    </w:p>
    <w:p>
      <w:pPr>
        <w:spacing w:line="223" w:lineRule="auto"/>
        <w:sectPr>
          <w:footerReference w:type="default" r:id="rId151"/>
          <w:pgSz w:w="11911" w:h="16839"/>
          <w:pgMar w:top="400" w:right="1356"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07"/>
        <w:spacing w:before="78" w:line="222" w:lineRule="auto"/>
        <w:rPr>
          <w:rFonts w:ascii="FangSong" w:hAnsi="FangSong" w:eastAsia="FangSong" w:cs="FangSong"/>
          <w:sz w:val="24"/>
          <w:szCs w:val="24"/>
        </w:rPr>
      </w:pPr>
      <w:r>
        <w:rPr>
          <w:rFonts w:ascii="FangSong" w:hAnsi="FangSong" w:eastAsia="FangSong" w:cs="FangSong"/>
          <w:sz w:val="24"/>
          <w:szCs w:val="24"/>
          <w:spacing w:val="-1"/>
        </w:rPr>
        <w:t>本项目充填工艺流程及产排污节点示意图见图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4.13-3</w:t>
      </w:r>
      <w:r>
        <w:rPr>
          <w:rFonts w:ascii="FangSong" w:hAnsi="FangSong" w:eastAsia="FangSong" w:cs="FangSong"/>
          <w:sz w:val="24"/>
          <w:szCs w:val="24"/>
          <w:spacing w:val="-1"/>
        </w:rPr>
        <w:t>。</w:t>
      </w:r>
    </w:p>
    <w:p>
      <w:pPr>
        <w:ind w:firstLine="118"/>
        <w:spacing w:before="142" w:line="5412" w:lineRule="exact"/>
        <w:rPr/>
      </w:pPr>
      <w:r>
        <w:rPr>
          <w:position w:val="-108"/>
        </w:rPr>
        <w:drawing>
          <wp:inline distT="0" distB="0" distL="0" distR="0">
            <wp:extent cx="5382767" cy="3436620"/>
            <wp:effectExtent l="0" t="0" r="0" b="0"/>
            <wp:docPr id="24" name="IM 24"/>
            <wp:cNvGraphicFramePr/>
            <a:graphic>
              <a:graphicData uri="http://schemas.openxmlformats.org/drawingml/2006/picture">
                <pic:pic>
                  <pic:nvPicPr>
                    <pic:cNvPr id="24" name="IM 24"/>
                    <pic:cNvPicPr/>
                  </pic:nvPicPr>
                  <pic:blipFill>
                    <a:blip r:embed="rId153"/>
                    <a:stretch>
                      <a:fillRect/>
                    </a:stretch>
                  </pic:blipFill>
                  <pic:spPr>
                    <a:xfrm rot="0">
                      <a:off x="0" y="0"/>
                      <a:ext cx="5382767" cy="3436620"/>
                    </a:xfrm>
                    <a:prstGeom prst="rect">
                      <a:avLst/>
                    </a:prstGeom>
                  </pic:spPr>
                </pic:pic>
              </a:graphicData>
            </a:graphic>
          </wp:inline>
        </w:drawing>
      </w:r>
    </w:p>
    <w:p>
      <w:pPr>
        <w:ind w:left="1708"/>
        <w:spacing w:before="180" w:line="222" w:lineRule="auto"/>
        <w:rPr>
          <w:rFonts w:ascii="FangSong" w:hAnsi="FangSong" w:eastAsia="FangSong" w:cs="FangSong"/>
          <w:sz w:val="24"/>
          <w:szCs w:val="24"/>
        </w:rPr>
      </w:pPr>
      <w:r>
        <w:rPr>
          <w:rFonts w:ascii="FangSong" w:hAnsi="FangSong" w:eastAsia="FangSong" w:cs="FangSong"/>
          <w:sz w:val="24"/>
          <w:szCs w:val="24"/>
          <w:b/>
          <w:bCs/>
          <w:spacing w:val="-3"/>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3"/>
        </w:rPr>
        <w:t>4.13-3  </w:t>
      </w:r>
      <w:r>
        <w:rPr>
          <w:rFonts w:ascii="FangSong" w:hAnsi="FangSong" w:eastAsia="FangSong" w:cs="FangSong"/>
          <w:sz w:val="24"/>
          <w:szCs w:val="24"/>
          <w:b/>
          <w:bCs/>
          <w:spacing w:val="-3"/>
        </w:rPr>
        <w:t>本项目充填工艺流程及产排污节点示意图</w:t>
      </w:r>
    </w:p>
    <w:p>
      <w:pPr>
        <w:ind w:left="507"/>
        <w:spacing w:before="177" w:line="220" w:lineRule="auto"/>
        <w:rPr>
          <w:rFonts w:ascii="FangSong" w:hAnsi="FangSong" w:eastAsia="FangSong" w:cs="FangSong"/>
          <w:sz w:val="24"/>
          <w:szCs w:val="24"/>
        </w:rPr>
      </w:pPr>
      <w:r>
        <w:rPr>
          <w:rFonts w:ascii="FangSong" w:hAnsi="FangSong" w:eastAsia="FangSong" w:cs="FangSong"/>
          <w:sz w:val="24"/>
          <w:szCs w:val="24"/>
          <w:spacing w:val="-1"/>
        </w:rPr>
        <w:t>充填站主要包括上料系统、水泥配料系统、搅拌系统和辅助系统等。</w:t>
      </w:r>
    </w:p>
    <w:p>
      <w:pPr>
        <w:ind w:left="519"/>
        <w:spacing w:before="182" w:line="220" w:lineRule="auto"/>
        <w:rPr>
          <w:rFonts w:ascii="FangSong" w:hAnsi="FangSong" w:eastAsia="FangSong" w:cs="FangSong"/>
          <w:sz w:val="24"/>
          <w:szCs w:val="24"/>
        </w:rPr>
      </w:pP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）上料系统</w:t>
      </w:r>
    </w:p>
    <w:p>
      <w:pPr>
        <w:ind w:left="508"/>
        <w:spacing w:before="183" w:line="219" w:lineRule="auto"/>
        <w:rPr>
          <w:rFonts w:ascii="FangSong" w:hAnsi="FangSong" w:eastAsia="FangSong" w:cs="FangSong"/>
          <w:sz w:val="24"/>
          <w:szCs w:val="24"/>
        </w:rPr>
      </w:pPr>
      <w:r>
        <w:rPr>
          <w:rFonts w:ascii="FangSong" w:hAnsi="FangSong" w:eastAsia="FangSong" w:cs="FangSong"/>
          <w:sz w:val="24"/>
          <w:szCs w:val="24"/>
          <w:spacing w:val="-1"/>
        </w:rPr>
        <w:t>上料系统主要包括运输设备、存贮设备、搅拌设备和输送设备。</w:t>
      </w:r>
    </w:p>
    <w:p>
      <w:pPr>
        <w:ind w:left="508"/>
        <w:spacing w:before="180" w:line="220" w:lineRule="auto"/>
        <w:rPr>
          <w:rFonts w:ascii="FangSong" w:hAnsi="FangSong" w:eastAsia="FangSong" w:cs="FangSong"/>
          <w:sz w:val="24"/>
          <w:szCs w:val="24"/>
        </w:rPr>
      </w:pPr>
      <w:r>
        <w:rPr>
          <w:rFonts w:ascii="FangSong" w:hAnsi="FangSong" w:eastAsia="FangSong" w:cs="FangSong"/>
          <w:sz w:val="24"/>
          <w:szCs w:val="24"/>
          <w:spacing w:val="-1"/>
        </w:rPr>
        <w:t>运输设备主要包括装载机、骨料计量系统、胶带输送机。</w:t>
      </w:r>
    </w:p>
    <w:p>
      <w:pPr>
        <w:ind w:left="499"/>
        <w:spacing w:before="182" w:line="222"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18"/>
        </w:rPr>
        <w:t xml:space="preserve"> </w:t>
      </w:r>
      <w:r>
        <w:rPr>
          <w:rFonts w:ascii="FangSong" w:hAnsi="FangSong" w:eastAsia="FangSong" w:cs="FangSong"/>
          <w:sz w:val="24"/>
          <w:szCs w:val="24"/>
          <w:spacing w:val="-4"/>
        </w:rPr>
        <w:t>尾砂计量系统</w:t>
      </w:r>
    </w:p>
    <w:p>
      <w:pPr>
        <w:ind w:left="28" w:firstLine="495"/>
        <w:spacing w:before="176" w:line="358" w:lineRule="auto"/>
        <w:rPr>
          <w:rFonts w:ascii="FangSong" w:hAnsi="FangSong" w:eastAsia="FangSong" w:cs="FangSong"/>
          <w:sz w:val="24"/>
          <w:szCs w:val="24"/>
        </w:rPr>
      </w:pPr>
      <w:r>
        <w:rPr>
          <w:rFonts w:ascii="FangSong" w:hAnsi="FangSong" w:eastAsia="FangSong" w:cs="FangSong"/>
          <w:sz w:val="24"/>
          <w:szCs w:val="24"/>
          <w:spacing w:val="-4"/>
        </w:rPr>
        <w:t>骨料计量系统包含两个尾砂集料仓和计量皮带称</w:t>
      </w:r>
      <w:r>
        <w:rPr>
          <w:rFonts w:ascii="FangSong" w:hAnsi="FangSong" w:eastAsia="FangSong" w:cs="FangSong"/>
          <w:sz w:val="24"/>
          <w:szCs w:val="24"/>
          <w:spacing w:val="-5"/>
        </w:rPr>
        <w:t>。为防止尾砂在集料仓内棚料，</w:t>
      </w:r>
      <w:r>
        <w:rPr>
          <w:rFonts w:ascii="FangSong" w:hAnsi="FangSong" w:eastAsia="FangSong" w:cs="FangSong"/>
          <w:sz w:val="24"/>
          <w:szCs w:val="24"/>
          <w:spacing w:val="-2"/>
        </w:rPr>
        <w:t>在集料仓底部设有料仓振动器。</w:t>
      </w:r>
    </w:p>
    <w:p>
      <w:pPr>
        <w:ind w:left="498"/>
        <w:spacing w:before="4" w:line="220"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21"/>
        </w:rPr>
        <w:t xml:space="preserve"> </w:t>
      </w:r>
      <w:r>
        <w:rPr>
          <w:rFonts w:ascii="FangSong" w:hAnsi="FangSong" w:eastAsia="FangSong" w:cs="FangSong"/>
          <w:sz w:val="24"/>
          <w:szCs w:val="24"/>
          <w:spacing w:val="-5"/>
        </w:rPr>
        <w:t>胶带输送机</w:t>
      </w:r>
    </w:p>
    <w:p>
      <w:pPr>
        <w:ind w:left="35" w:right="63" w:firstLine="472"/>
        <w:spacing w:before="181" w:line="359" w:lineRule="auto"/>
        <w:rPr>
          <w:rFonts w:ascii="FangSong" w:hAnsi="FangSong" w:eastAsia="FangSong" w:cs="FangSong"/>
          <w:sz w:val="24"/>
          <w:szCs w:val="24"/>
        </w:rPr>
      </w:pPr>
      <w:r>
        <w:rPr>
          <w:rFonts w:ascii="FangSong" w:hAnsi="FangSong" w:eastAsia="FangSong" w:cs="FangSong"/>
          <w:sz w:val="24"/>
          <w:szCs w:val="24"/>
          <w:spacing w:val="1"/>
        </w:rPr>
        <w:t>胶带输送机主要由槽钢形机架、皮带、主从动辊筒、槽形托辊、压辊及平托辊</w:t>
      </w:r>
      <w:r>
        <w:rPr>
          <w:rFonts w:ascii="FangSong" w:hAnsi="FangSong" w:eastAsia="FangSong" w:cs="FangSong"/>
          <w:sz w:val="24"/>
          <w:szCs w:val="24"/>
          <w:spacing w:val="1"/>
        </w:rPr>
        <w:t>等组成。采用小倾角皮带机（功率</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1"/>
        </w:rPr>
        <w:t>11</w:t>
      </w:r>
      <w:r>
        <w:rPr>
          <w:rFonts w:ascii="Times New Roman" w:hAnsi="Times New Roman" w:eastAsia="Times New Roman" w:cs="Times New Roman"/>
          <w:sz w:val="24"/>
          <w:szCs w:val="24"/>
        </w:rPr>
        <w:t>kW</w:t>
      </w:r>
      <w:r>
        <w:rPr>
          <w:rFonts w:ascii="FangSong" w:hAnsi="FangSong" w:eastAsia="FangSong" w:cs="FangSong"/>
          <w:sz w:val="24"/>
          <w:szCs w:val="24"/>
          <w:spacing w:val="19"/>
        </w:rPr>
        <w:t>），</w:t>
      </w:r>
      <w:r>
        <w:rPr>
          <w:rFonts w:ascii="FangSong" w:hAnsi="FangSong" w:eastAsia="FangSong" w:cs="FangSong"/>
          <w:sz w:val="24"/>
          <w:szCs w:val="24"/>
          <w:spacing w:val="1"/>
        </w:rPr>
        <w:t>高质量的无硫化接头环形皮带，带速</w:t>
      </w:r>
      <w:r>
        <w:rPr>
          <w:rFonts w:ascii="Times New Roman" w:hAnsi="Times New Roman" w:eastAsia="Times New Roman" w:cs="Times New Roman"/>
          <w:sz w:val="24"/>
          <w:szCs w:val="24"/>
          <w:spacing w:val="-5"/>
        </w:rPr>
        <w:t>1.6m/s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，带宽</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5"/>
        </w:rPr>
        <w:t>800mm</w:t>
      </w:r>
      <w:r>
        <w:rPr>
          <w:rFonts w:ascii="FangSong" w:hAnsi="FangSong" w:eastAsia="FangSong" w:cs="FangSong"/>
          <w:sz w:val="24"/>
          <w:szCs w:val="24"/>
          <w:spacing w:val="-5"/>
        </w:rPr>
        <w:t>。</w:t>
      </w:r>
    </w:p>
    <w:p>
      <w:pPr>
        <w:ind w:left="495"/>
        <w:spacing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）水泥配料系统</w:t>
      </w:r>
    </w:p>
    <w:p>
      <w:pPr>
        <w:ind w:left="506"/>
        <w:spacing w:before="182" w:line="220" w:lineRule="auto"/>
        <w:rPr>
          <w:rFonts w:ascii="FangSong" w:hAnsi="FangSong" w:eastAsia="FangSong" w:cs="FangSong"/>
          <w:sz w:val="24"/>
          <w:szCs w:val="24"/>
        </w:rPr>
      </w:pPr>
      <w:r>
        <w:rPr>
          <w:rFonts w:ascii="FangSong" w:hAnsi="FangSong" w:eastAsia="FangSong" w:cs="FangSong"/>
          <w:sz w:val="24"/>
          <w:szCs w:val="24"/>
          <w:spacing w:val="-1"/>
        </w:rPr>
        <w:t>水泥配料系统主要由水泥仓、电子螺旋秤、螺旋给料机等组成。</w:t>
      </w:r>
    </w:p>
    <w:p>
      <w:pPr>
        <w:ind w:left="26" w:right="63" w:firstLine="483"/>
        <w:spacing w:before="182" w:line="358" w:lineRule="auto"/>
        <w:rPr>
          <w:rFonts w:ascii="FangSong" w:hAnsi="FangSong" w:eastAsia="FangSong" w:cs="FangSong"/>
          <w:sz w:val="24"/>
          <w:szCs w:val="24"/>
        </w:rPr>
      </w:pPr>
      <w:r>
        <w:rPr>
          <w:rFonts w:ascii="FangSong" w:hAnsi="FangSong" w:eastAsia="FangSong" w:cs="FangSong"/>
          <w:sz w:val="24"/>
          <w:szCs w:val="24"/>
          <w:spacing w:val="-2"/>
        </w:rPr>
        <w:t>选用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SC50 </w:t>
      </w:r>
      <w:r>
        <w:rPr>
          <w:rFonts w:ascii="FangSong" w:hAnsi="FangSong" w:eastAsia="FangSong" w:cs="FangSong"/>
          <w:sz w:val="24"/>
          <w:szCs w:val="24"/>
          <w:spacing w:val="-2"/>
        </w:rPr>
        <w:t>水泥仓，可贮存水泥</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50t</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，采用散装水泥罐车通</w:t>
      </w:r>
      <w:r>
        <w:rPr>
          <w:rFonts w:ascii="FangSong" w:hAnsi="FangSong" w:eastAsia="FangSong" w:cs="FangSong"/>
          <w:sz w:val="24"/>
          <w:szCs w:val="24"/>
          <w:spacing w:val="-3"/>
        </w:rPr>
        <w:t>过风力输送向水泥仓</w:t>
      </w:r>
      <w:r>
        <w:rPr>
          <w:rFonts w:ascii="FangSong" w:hAnsi="FangSong" w:eastAsia="FangSong" w:cs="FangSong"/>
          <w:sz w:val="24"/>
          <w:szCs w:val="24"/>
          <w:spacing w:val="1"/>
        </w:rPr>
        <w:t>中装料。水泥仓设有上、下料位仪，带有气动破拱、仓顶除尘器和安全压力阀。在</w:t>
      </w:r>
      <w:r>
        <w:rPr>
          <w:rFonts w:ascii="FangSong" w:hAnsi="FangSong" w:eastAsia="FangSong" w:cs="FangSong"/>
          <w:sz w:val="24"/>
          <w:szCs w:val="24"/>
          <w:spacing w:val="1"/>
        </w:rPr>
        <w:t>水泥仓的下方设蝶阀、星形给料机。星形给料机可通过变频控制均匀连续配料、输</w:t>
      </w:r>
    </w:p>
    <w:p>
      <w:pPr>
        <w:spacing w:line="358" w:lineRule="auto"/>
        <w:sectPr>
          <w:footerReference w:type="default" r:id="rId152"/>
          <w:pgSz w:w="11911" w:h="16839"/>
          <w:pgMar w:top="400" w:right="1352"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31"/>
        <w:spacing w:before="78" w:line="232" w:lineRule="auto"/>
        <w:rPr>
          <w:rFonts w:ascii="FangSong" w:hAnsi="FangSong" w:eastAsia="FangSong" w:cs="FangSong"/>
          <w:sz w:val="24"/>
          <w:szCs w:val="24"/>
        </w:rPr>
      </w:pPr>
      <w:r>
        <w:rPr>
          <w:rFonts w:ascii="FangSong" w:hAnsi="FangSong" w:eastAsia="FangSong" w:cs="FangSong"/>
          <w:sz w:val="24"/>
          <w:szCs w:val="24"/>
          <w:spacing w:val="-12"/>
        </w:rPr>
        <w:t>送。</w:t>
      </w:r>
    </w:p>
    <w:p>
      <w:pPr>
        <w:ind w:left="598"/>
        <w:spacing w:before="164"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）搅拌系统</w:t>
      </w:r>
    </w:p>
    <w:p>
      <w:pPr>
        <w:ind w:left="123" w:right="108" w:firstLine="480"/>
        <w:spacing w:before="178" w:line="359" w:lineRule="auto"/>
        <w:rPr>
          <w:rFonts w:ascii="FangSong" w:hAnsi="FangSong" w:eastAsia="FangSong" w:cs="FangSong"/>
          <w:sz w:val="24"/>
          <w:szCs w:val="24"/>
        </w:rPr>
      </w:pPr>
      <w:r>
        <w:rPr>
          <w:rFonts w:ascii="FangSong" w:hAnsi="FangSong" w:eastAsia="FangSong" w:cs="FangSong"/>
          <w:sz w:val="24"/>
          <w:szCs w:val="24"/>
          <w:spacing w:val="1"/>
        </w:rPr>
        <w:t>搅拌系统包含一台搅拌机和配套电机。搅拌机调速方式为变频调速，控制方式</w:t>
      </w:r>
      <w:r>
        <w:rPr>
          <w:rFonts w:ascii="FangSong" w:hAnsi="FangSong" w:eastAsia="FangSong" w:cs="FangSong"/>
          <w:sz w:val="24"/>
          <w:szCs w:val="24"/>
          <w:spacing w:val="-6"/>
        </w:rPr>
        <w:t>为</w:t>
      </w:r>
      <w:r>
        <w:rPr>
          <w:rFonts w:ascii="FangSong" w:hAnsi="FangSong" w:eastAsia="FangSong" w:cs="FangSong"/>
          <w:sz w:val="24"/>
          <w:szCs w:val="24"/>
          <w:spacing w:val="-59"/>
        </w:rPr>
        <w:t xml:space="preserve"> </w:t>
      </w:r>
      <w:r>
        <w:rPr>
          <w:rFonts w:ascii="FangSong" w:hAnsi="FangSong" w:eastAsia="FangSong" w:cs="FangSong"/>
          <w:sz w:val="24"/>
          <w:szCs w:val="24"/>
          <w:spacing w:val="-6"/>
        </w:rPr>
        <w:t>自动</w:t>
      </w:r>
      <w:r>
        <w:rPr>
          <w:rFonts w:ascii="Times New Roman" w:hAnsi="Times New Roman" w:eastAsia="Times New Roman" w:cs="Times New Roman"/>
          <w:sz w:val="24"/>
          <w:szCs w:val="24"/>
          <w:spacing w:val="-6"/>
        </w:rPr>
        <w:t>/</w:t>
      </w:r>
      <w:r>
        <w:rPr>
          <w:rFonts w:ascii="FangSong" w:hAnsi="FangSong" w:eastAsia="FangSong" w:cs="FangSong"/>
          <w:sz w:val="24"/>
          <w:szCs w:val="24"/>
          <w:spacing w:val="-6"/>
        </w:rPr>
        <w:t>手动，生产率最高可达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50m3/h</w:t>
      </w:r>
      <w:r>
        <w:rPr>
          <w:rFonts w:ascii="FangSong" w:hAnsi="FangSong" w:eastAsia="FangSong" w:cs="FangSong"/>
          <w:sz w:val="24"/>
          <w:szCs w:val="24"/>
          <w:spacing w:val="-6"/>
        </w:rPr>
        <w:t>，搅拌功率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7"/>
        </w:rPr>
        <w:t>5kW</w:t>
      </w:r>
      <w:r>
        <w:rPr>
          <w:rFonts w:ascii="FangSong" w:hAnsi="FangSong" w:eastAsia="FangSong" w:cs="FangSong"/>
          <w:sz w:val="24"/>
          <w:szCs w:val="24"/>
          <w:spacing w:val="-7"/>
        </w:rPr>
        <w:t>。主要对按比例供给的尾砂、</w:t>
      </w:r>
      <w:r>
        <w:rPr>
          <w:rFonts w:ascii="FangSong" w:hAnsi="FangSong" w:eastAsia="FangSong" w:cs="FangSong"/>
          <w:sz w:val="24"/>
          <w:szCs w:val="24"/>
          <w:spacing w:val="-1"/>
        </w:rPr>
        <w:t>水泥、清水进行搅拌、混合，并将搅拌均匀的料浆下放至充填管路。</w:t>
      </w:r>
    </w:p>
    <w:p>
      <w:pPr>
        <w:ind w:left="592"/>
        <w:spacing w:before="1"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）辅助系统</w:t>
      </w:r>
    </w:p>
    <w:p>
      <w:pPr>
        <w:ind w:left="605"/>
        <w:spacing w:before="180" w:line="221" w:lineRule="auto"/>
        <w:rPr>
          <w:rFonts w:ascii="FangSong" w:hAnsi="FangSong" w:eastAsia="FangSong" w:cs="FangSong"/>
          <w:sz w:val="24"/>
          <w:szCs w:val="24"/>
        </w:rPr>
      </w:pPr>
      <w:r>
        <w:rPr>
          <w:rFonts w:ascii="FangSong" w:hAnsi="FangSong" w:eastAsia="FangSong" w:cs="FangSong"/>
          <w:sz w:val="24"/>
          <w:szCs w:val="24"/>
          <w:spacing w:val="-1"/>
        </w:rPr>
        <w:t>充填站其他辅助设备设施主要有供水系统、供气系统、控制系统以及污水池。</w:t>
      </w:r>
    </w:p>
    <w:p>
      <w:pPr>
        <w:ind w:left="128" w:right="183" w:firstLine="477"/>
        <w:spacing w:before="179" w:line="359" w:lineRule="auto"/>
        <w:rPr>
          <w:rFonts w:ascii="FangSong" w:hAnsi="FangSong" w:eastAsia="FangSong" w:cs="FangSong"/>
          <w:sz w:val="24"/>
          <w:szCs w:val="24"/>
        </w:rPr>
      </w:pPr>
      <w:r>
        <w:rPr>
          <w:rFonts w:ascii="FangSong" w:hAnsi="FangSong" w:eastAsia="FangSong" w:cs="FangSong"/>
          <w:sz w:val="24"/>
          <w:szCs w:val="24"/>
          <w:spacing w:val="1"/>
        </w:rPr>
        <w:t>供水系统主要是清水泵和水箱。水泵有两台，一台用于向搅拌机输送清水，另</w:t>
      </w:r>
      <w:r>
        <w:rPr>
          <w:rFonts w:ascii="FangSong" w:hAnsi="FangSong" w:eastAsia="FangSong" w:cs="FangSong"/>
          <w:sz w:val="24"/>
          <w:szCs w:val="24"/>
          <w:spacing w:val="-3"/>
        </w:rPr>
        <w:t>一台作为清洗用。</w:t>
      </w:r>
    </w:p>
    <w:p>
      <w:pPr>
        <w:ind w:left="605"/>
        <w:spacing w:line="220" w:lineRule="auto"/>
        <w:rPr>
          <w:rFonts w:ascii="FangSong" w:hAnsi="FangSong" w:eastAsia="FangSong" w:cs="FangSong"/>
          <w:sz w:val="24"/>
          <w:szCs w:val="24"/>
        </w:rPr>
      </w:pPr>
      <w:r>
        <w:rPr>
          <w:rFonts w:ascii="FangSong" w:hAnsi="FangSong" w:eastAsia="FangSong" w:cs="FangSong"/>
          <w:sz w:val="24"/>
          <w:szCs w:val="24"/>
          <w:spacing w:val="-2"/>
        </w:rPr>
        <w:t>供气系统主要用于水泥仓装料。</w:t>
      </w:r>
    </w:p>
    <w:p>
      <w:pPr>
        <w:ind w:left="605"/>
        <w:spacing w:before="182" w:line="220" w:lineRule="auto"/>
        <w:rPr>
          <w:rFonts w:ascii="FangSong" w:hAnsi="FangSong" w:eastAsia="FangSong" w:cs="FangSong"/>
          <w:sz w:val="24"/>
          <w:szCs w:val="24"/>
        </w:rPr>
      </w:pPr>
      <w:r>
        <w:rPr>
          <w:rFonts w:ascii="FangSong" w:hAnsi="FangSong" w:eastAsia="FangSong" w:cs="FangSong"/>
          <w:sz w:val="24"/>
          <w:szCs w:val="24"/>
          <w:spacing w:val="-1"/>
        </w:rPr>
        <w:t>控制系统主要用于尾砂计量、水泥配料和搅拌系统的自动化集中控制。</w:t>
      </w:r>
    </w:p>
    <w:p>
      <w:pPr>
        <w:ind w:left="136" w:right="185" w:firstLine="472"/>
        <w:spacing w:before="180" w:line="354" w:lineRule="auto"/>
        <w:rPr>
          <w:rFonts w:ascii="FangSong" w:hAnsi="FangSong" w:eastAsia="FangSong" w:cs="FangSong"/>
          <w:sz w:val="24"/>
          <w:szCs w:val="24"/>
        </w:rPr>
      </w:pPr>
      <w:r>
        <w:rPr>
          <w:rFonts w:ascii="FangSong" w:hAnsi="FangSong" w:eastAsia="FangSong" w:cs="FangSong"/>
          <w:sz w:val="24"/>
          <w:szCs w:val="24"/>
          <w:spacing w:val="-2"/>
        </w:rPr>
        <w:t>污水池主要用于收集地表溢出的充填料浆，长宽高尺寸为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3000mm</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2000mm</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1500mm</w:t>
      </w:r>
      <w:r>
        <w:rPr>
          <w:rFonts w:ascii="FangSong" w:hAnsi="FangSong" w:eastAsia="FangSong" w:cs="FangSong"/>
          <w:sz w:val="24"/>
          <w:szCs w:val="24"/>
          <w:spacing w:val="-4"/>
        </w:rPr>
        <w:t>。</w:t>
      </w:r>
    </w:p>
    <w:p>
      <w:pPr>
        <w:ind w:left="600"/>
        <w:spacing w:before="15" w:line="223" w:lineRule="auto"/>
        <w:rPr>
          <w:rFonts w:ascii="FangSong" w:hAnsi="FangSong" w:eastAsia="FangSong" w:cs="FangSong"/>
          <w:sz w:val="24"/>
          <w:szCs w:val="24"/>
        </w:rPr>
      </w:pP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）充填管路</w:t>
      </w:r>
    </w:p>
    <w:p>
      <w:pPr>
        <w:ind w:left="606"/>
        <w:spacing w:before="176" w:line="219" w:lineRule="auto"/>
        <w:rPr>
          <w:rFonts w:ascii="FangSong" w:hAnsi="FangSong" w:eastAsia="FangSong" w:cs="FangSong"/>
          <w:sz w:val="24"/>
          <w:szCs w:val="24"/>
        </w:rPr>
      </w:pPr>
      <w:r>
        <w:rPr>
          <w:rFonts w:ascii="FangSong" w:hAnsi="FangSong" w:eastAsia="FangSong" w:cs="FangSong"/>
          <w:sz w:val="24"/>
          <w:szCs w:val="24"/>
        </w:rPr>
        <w:t>在充填系统搅拌站北侧布设两个充填钻孔作为充填孔。充填钻孔为Φ</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1"/>
        </w:rPr>
        <w:t>168mm</w:t>
      </w:r>
      <w:r>
        <w:rPr>
          <w:rFonts w:ascii="FangSong" w:hAnsi="FangSong" w:eastAsia="FangSong" w:cs="FangSong"/>
          <w:sz w:val="24"/>
          <w:szCs w:val="24"/>
          <w:spacing w:val="-1"/>
        </w:rPr>
        <w:t>，</w:t>
      </w:r>
    </w:p>
    <w:p>
      <w:pPr>
        <w:ind w:left="125" w:hanging="2"/>
        <w:spacing w:before="183" w:line="358" w:lineRule="auto"/>
        <w:rPr>
          <w:rFonts w:ascii="FangSong" w:hAnsi="FangSong" w:eastAsia="FangSong" w:cs="FangSong"/>
          <w:sz w:val="24"/>
          <w:szCs w:val="24"/>
        </w:rPr>
      </w:pPr>
      <w:r>
        <w:rPr>
          <w:rFonts w:ascii="FangSong" w:hAnsi="FangSong" w:eastAsia="FangSong" w:cs="FangSong"/>
          <w:sz w:val="24"/>
          <w:szCs w:val="24"/>
          <w:spacing w:val="-6"/>
        </w:rPr>
        <w:t>钻孔套管Φ</w:t>
      </w:r>
      <w:r>
        <w:rPr>
          <w:rFonts w:ascii="Times New Roman" w:hAnsi="Times New Roman" w:eastAsia="Times New Roman" w:cs="Times New Roman"/>
          <w:sz w:val="24"/>
          <w:szCs w:val="24"/>
          <w:spacing w:val="-6"/>
        </w:rPr>
        <w:t>146</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10mm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6"/>
        </w:rPr>
        <w:t>的无缝钢管。在大巷充填管</w:t>
      </w:r>
      <w:r>
        <w:rPr>
          <w:rFonts w:ascii="FangSong" w:hAnsi="FangSong" w:eastAsia="FangSong" w:cs="FangSong"/>
          <w:sz w:val="24"/>
          <w:szCs w:val="24"/>
          <w:spacing w:val="-7"/>
        </w:rPr>
        <w:t>路采用Φ</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7"/>
        </w:rPr>
        <w:t>133</w:t>
      </w:r>
      <w:r>
        <w:rPr>
          <w:rFonts w:ascii="FangSong" w:hAnsi="FangSong" w:eastAsia="FangSong" w:cs="FangSong"/>
          <w:sz w:val="24"/>
          <w:szCs w:val="24"/>
          <w:spacing w:val="-7"/>
        </w:rPr>
        <w:t>×</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7"/>
        </w:rPr>
        <w:t>10mm</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7"/>
        </w:rPr>
        <w:t>的无缝钢管，</w:t>
      </w:r>
      <w:r>
        <w:rPr>
          <w:rFonts w:ascii="FangSong" w:hAnsi="FangSong" w:eastAsia="FangSong" w:cs="FangSong"/>
          <w:sz w:val="24"/>
          <w:szCs w:val="24"/>
          <w:spacing w:val="-3"/>
        </w:rPr>
        <w:t>进入采场（或采空区）采用聚乙烯塑料管Φ</w:t>
      </w:r>
      <w:r>
        <w:rPr>
          <w:rFonts w:ascii="FangSong" w:hAnsi="FangSong" w:eastAsia="FangSong" w:cs="FangSong"/>
          <w:sz w:val="24"/>
          <w:szCs w:val="24"/>
          <w:spacing w:val="-83"/>
        </w:rPr>
        <w:t xml:space="preserve"> </w:t>
      </w:r>
      <w:r>
        <w:rPr>
          <w:rFonts w:ascii="Times New Roman" w:hAnsi="Times New Roman" w:eastAsia="Times New Roman" w:cs="Times New Roman"/>
          <w:sz w:val="24"/>
          <w:szCs w:val="24"/>
          <w:spacing w:val="-3"/>
        </w:rPr>
        <w:t>125</w:t>
      </w:r>
      <w:r>
        <w:rPr>
          <w:rFonts w:ascii="FangSong" w:hAnsi="FangSong" w:eastAsia="FangSong" w:cs="FangSong"/>
          <w:sz w:val="24"/>
          <w:szCs w:val="24"/>
          <w:spacing w:val="-3"/>
        </w:rPr>
        <w:t>×</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3"/>
        </w:rPr>
        <w:t>10mm</w:t>
      </w:r>
      <w:r>
        <w:rPr>
          <w:rFonts w:ascii="FangSong" w:hAnsi="FangSong" w:eastAsia="FangSong" w:cs="FangSong"/>
          <w:sz w:val="24"/>
          <w:szCs w:val="24"/>
          <w:spacing w:val="-3"/>
        </w:rPr>
        <w:t>。</w:t>
      </w:r>
    </w:p>
    <w:p>
      <w:pPr>
        <w:ind w:left="598"/>
        <w:spacing w:line="223" w:lineRule="auto"/>
        <w:rPr>
          <w:rFonts w:ascii="FangSong" w:hAnsi="FangSong" w:eastAsia="FangSong" w:cs="FangSong"/>
          <w:sz w:val="24"/>
          <w:szCs w:val="24"/>
        </w:rPr>
      </w:pP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）充填工艺</w:t>
      </w:r>
    </w:p>
    <w:p>
      <w:pPr>
        <w:ind w:left="596"/>
        <w:spacing w:before="179" w:line="22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充填料配比及耗量</w:t>
      </w:r>
    </w:p>
    <w:p>
      <w:pPr>
        <w:ind w:left="126" w:right="184" w:firstLine="478"/>
        <w:spacing w:before="182" w:line="358" w:lineRule="auto"/>
        <w:rPr>
          <w:rFonts w:ascii="FangSong" w:hAnsi="FangSong" w:eastAsia="FangSong" w:cs="FangSong"/>
          <w:sz w:val="24"/>
          <w:szCs w:val="24"/>
        </w:rPr>
      </w:pPr>
      <w:r>
        <w:rPr>
          <w:rFonts w:ascii="FangSong" w:hAnsi="FangSong" w:eastAsia="FangSong" w:cs="FangSong"/>
          <w:sz w:val="24"/>
          <w:szCs w:val="24"/>
          <w:spacing w:val="-5"/>
        </w:rPr>
        <w:t>按照采矿工艺要求，胶结充填灰砂比</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，混合料浆浓度为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70-75</w:t>
      </w:r>
      <w:r>
        <w:rPr>
          <w:rFonts w:ascii="FangSong" w:hAnsi="FangSong" w:eastAsia="FangSong" w:cs="FangSong"/>
          <w:sz w:val="24"/>
          <w:szCs w:val="24"/>
          <w:spacing w:val="-44"/>
        </w:rPr>
        <w:t>％（</w:t>
      </w:r>
      <w:r>
        <w:rPr>
          <w:rFonts w:ascii="FangSong" w:hAnsi="FangSong" w:eastAsia="FangSong" w:cs="FangSong"/>
          <w:sz w:val="24"/>
          <w:szCs w:val="24"/>
          <w:spacing w:val="-5"/>
        </w:rPr>
        <w:t>按</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72.5%</w:t>
      </w:r>
      <w:r>
        <w:rPr>
          <w:rFonts w:ascii="FangSong" w:hAnsi="FangSong" w:eastAsia="FangSong" w:cs="FangSong"/>
          <w:sz w:val="24"/>
          <w:szCs w:val="24"/>
          <w:spacing w:val="-2"/>
        </w:rPr>
        <w:t>进行计算）。充填料配比及消耗量见表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4.13-2</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及表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4.13-3</w:t>
      </w:r>
      <w:r>
        <w:rPr>
          <w:rFonts w:ascii="FangSong" w:hAnsi="FangSong" w:eastAsia="FangSong" w:cs="FangSong"/>
          <w:sz w:val="24"/>
          <w:szCs w:val="24"/>
          <w:spacing w:val="-2"/>
        </w:rPr>
        <w:t>。</w:t>
      </w:r>
    </w:p>
    <w:p>
      <w:pPr>
        <w:ind w:left="2989"/>
        <w:spacing w:before="2"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4.13-2  </w:t>
      </w:r>
      <w:r>
        <w:rPr>
          <w:rFonts w:ascii="FangSong" w:hAnsi="FangSong" w:eastAsia="FangSong" w:cs="FangSong"/>
          <w:sz w:val="24"/>
          <w:szCs w:val="24"/>
          <w:b/>
          <w:bCs/>
          <w:spacing w:val="-3"/>
        </w:rPr>
        <w:t>充填料配比及浓度</w:t>
      </w:r>
    </w:p>
    <w:p>
      <w:pPr>
        <w:spacing w:line="145"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1"/>
        <w:gridCol w:w="1485"/>
        <w:gridCol w:w="1780"/>
        <w:gridCol w:w="2075"/>
        <w:gridCol w:w="1485"/>
        <w:gridCol w:w="896"/>
      </w:tblGrid>
      <w:tr>
        <w:trPr>
          <w:trHeight w:val="541" w:hRule="atLeast"/>
        </w:trPr>
        <w:tc>
          <w:tcPr>
            <w:tcW w:w="1191" w:type="dxa"/>
            <w:vAlign w:val="top"/>
            <w:tcBorders>
              <w:top w:val="single" w:color="000000" w:sz="10" w:space="0"/>
              <w:left w:val="nil"/>
            </w:tcBorders>
          </w:tcPr>
          <w:p>
            <w:pPr>
              <w:pStyle w:val="TableText"/>
              <w:ind w:left="294"/>
              <w:spacing w:before="171" w:line="232" w:lineRule="auto"/>
              <w:rPr/>
            </w:pPr>
            <w:r>
              <w:rPr>
                <w:spacing w:val="4"/>
              </w:rPr>
              <w:t>灰矿比</w:t>
            </w:r>
          </w:p>
        </w:tc>
        <w:tc>
          <w:tcPr>
            <w:tcW w:w="1485" w:type="dxa"/>
            <w:vAlign w:val="top"/>
            <w:tcBorders>
              <w:top w:val="single" w:color="000000" w:sz="10" w:space="0"/>
            </w:tcBorders>
          </w:tcPr>
          <w:p>
            <w:pPr>
              <w:pStyle w:val="TableText"/>
              <w:ind w:left="373" w:right="323" w:hanging="41"/>
              <w:spacing w:before="37" w:line="228" w:lineRule="auto"/>
              <w:rPr/>
            </w:pPr>
            <w:r>
              <w:rPr>
                <w:spacing w:val="6"/>
              </w:rPr>
              <w:t>水泥体重</w:t>
            </w:r>
            <w:r>
              <w:rPr>
                <w:spacing w:val="1"/>
              </w:rPr>
              <w:t>（</w:t>
            </w:r>
            <w:r>
              <w:rPr>
                <w:rFonts w:ascii="Times New Roman" w:hAnsi="Times New Roman" w:eastAsia="Times New Roman" w:cs="Times New Roman"/>
                <w:spacing w:val="1"/>
              </w:rPr>
              <w:t>t/m</w:t>
            </w:r>
            <w:r>
              <w:rPr>
                <w:rFonts w:ascii="Times New Roman" w:hAnsi="Times New Roman" w:eastAsia="Times New Roman" w:cs="Times New Roman"/>
                <w:sz w:val="13"/>
                <w:szCs w:val="13"/>
                <w:spacing w:val="1"/>
                <w:position w:val="6"/>
              </w:rPr>
              <w:t>3</w:t>
            </w:r>
            <w:r>
              <w:rPr>
                <w:spacing w:val="1"/>
              </w:rPr>
              <w:t>）</w:t>
            </w:r>
          </w:p>
        </w:tc>
        <w:tc>
          <w:tcPr>
            <w:tcW w:w="1780" w:type="dxa"/>
            <w:vAlign w:val="top"/>
            <w:tcBorders>
              <w:top w:val="single" w:color="000000" w:sz="10" w:space="0"/>
            </w:tcBorders>
          </w:tcPr>
          <w:p>
            <w:pPr>
              <w:pStyle w:val="TableText"/>
              <w:ind w:left="522" w:right="363" w:hanging="141"/>
              <w:spacing w:before="37" w:line="228" w:lineRule="auto"/>
              <w:rPr/>
            </w:pPr>
            <w:r>
              <w:rPr>
                <w:spacing w:val="6"/>
              </w:rPr>
              <w:t>全尾砂体重</w:t>
            </w:r>
            <w:r>
              <w:rPr>
                <w:spacing w:val="1"/>
              </w:rPr>
              <w:t>（</w:t>
            </w:r>
            <w:r>
              <w:rPr>
                <w:rFonts w:ascii="Times New Roman" w:hAnsi="Times New Roman" w:eastAsia="Times New Roman" w:cs="Times New Roman"/>
                <w:spacing w:val="1"/>
              </w:rPr>
              <w:t>t/m</w:t>
            </w:r>
            <w:r>
              <w:rPr>
                <w:rFonts w:ascii="Times New Roman" w:hAnsi="Times New Roman" w:eastAsia="Times New Roman" w:cs="Times New Roman"/>
                <w:sz w:val="13"/>
                <w:szCs w:val="13"/>
                <w:spacing w:val="1"/>
                <w:position w:val="6"/>
              </w:rPr>
              <w:t>3</w:t>
            </w:r>
            <w:r>
              <w:rPr>
                <w:spacing w:val="1"/>
              </w:rPr>
              <w:t>）</w:t>
            </w:r>
          </w:p>
        </w:tc>
        <w:tc>
          <w:tcPr>
            <w:tcW w:w="2075" w:type="dxa"/>
            <w:vAlign w:val="top"/>
            <w:tcBorders>
              <w:top w:val="single" w:color="000000" w:sz="10" w:space="0"/>
            </w:tcBorders>
          </w:tcPr>
          <w:p>
            <w:pPr>
              <w:pStyle w:val="TableText"/>
              <w:ind w:left="421"/>
              <w:spacing w:before="36" w:line="229" w:lineRule="auto"/>
              <w:rPr/>
            </w:pPr>
            <w:r>
              <w:rPr>
                <w:spacing w:val="6"/>
              </w:rPr>
              <w:t>混合料浆浓度</w:t>
            </w:r>
          </w:p>
          <w:p>
            <w:pPr>
              <w:pStyle w:val="TableText"/>
              <w:ind w:left="839"/>
              <w:spacing w:before="23" w:line="206" w:lineRule="auto"/>
              <w:rPr/>
            </w:pPr>
            <w:r>
              <w:rPr>
                <w:spacing w:val="13"/>
                <w:w w:val="117"/>
              </w:rPr>
              <w:t>(%)</w:t>
            </w:r>
          </w:p>
        </w:tc>
        <w:tc>
          <w:tcPr>
            <w:tcW w:w="1485" w:type="dxa"/>
            <w:vAlign w:val="top"/>
            <w:tcBorders>
              <w:top w:val="single" w:color="000000" w:sz="10" w:space="0"/>
            </w:tcBorders>
          </w:tcPr>
          <w:p>
            <w:pPr>
              <w:pStyle w:val="TableText"/>
              <w:ind w:left="375" w:right="320" w:hanging="41"/>
              <w:spacing w:before="37" w:line="228" w:lineRule="auto"/>
              <w:rPr/>
            </w:pPr>
            <w:r>
              <w:rPr>
                <w:spacing w:val="6"/>
              </w:rPr>
              <w:t>料浆容重</w:t>
            </w:r>
            <w:r>
              <w:rPr>
                <w:spacing w:val="1"/>
              </w:rPr>
              <w:t>（</w:t>
            </w:r>
            <w:r>
              <w:rPr>
                <w:rFonts w:ascii="Times New Roman" w:hAnsi="Times New Roman" w:eastAsia="Times New Roman" w:cs="Times New Roman"/>
                <w:spacing w:val="1"/>
              </w:rPr>
              <w:t>t/m</w:t>
            </w:r>
            <w:r>
              <w:rPr>
                <w:rFonts w:ascii="Times New Roman" w:hAnsi="Times New Roman" w:eastAsia="Times New Roman" w:cs="Times New Roman"/>
                <w:sz w:val="13"/>
                <w:szCs w:val="13"/>
                <w:spacing w:val="1"/>
                <w:position w:val="6"/>
              </w:rPr>
              <w:t>3</w:t>
            </w:r>
            <w:r>
              <w:rPr>
                <w:spacing w:val="1"/>
              </w:rPr>
              <w:t>）</w:t>
            </w:r>
          </w:p>
        </w:tc>
        <w:tc>
          <w:tcPr>
            <w:tcW w:w="896" w:type="dxa"/>
            <w:vAlign w:val="top"/>
            <w:tcBorders>
              <w:top w:val="single" w:color="000000" w:sz="10" w:space="0"/>
              <w:right w:val="nil"/>
            </w:tcBorders>
          </w:tcPr>
          <w:p>
            <w:pPr>
              <w:pStyle w:val="TableText"/>
              <w:ind w:left="251"/>
              <w:spacing w:before="170" w:line="233" w:lineRule="auto"/>
              <w:rPr/>
            </w:pPr>
            <w:r>
              <w:rPr>
                <w:spacing w:val="1"/>
              </w:rPr>
              <w:t>备注</w:t>
            </w:r>
          </w:p>
        </w:tc>
      </w:tr>
      <w:tr>
        <w:trPr>
          <w:trHeight w:val="471" w:hRule="atLeast"/>
        </w:trPr>
        <w:tc>
          <w:tcPr>
            <w:tcW w:w="1191" w:type="dxa"/>
            <w:vAlign w:val="top"/>
            <w:tcBorders>
              <w:bottom w:val="single" w:color="000000" w:sz="10" w:space="0"/>
              <w:left w:val="nil"/>
            </w:tcBorders>
          </w:tcPr>
          <w:p>
            <w:pPr>
              <w:pStyle w:val="TableText"/>
              <w:ind w:left="356"/>
              <w:spacing w:before="133" w:line="268" w:lineRule="exact"/>
              <w:rPr>
                <w:rFonts w:ascii="Times New Roman" w:hAnsi="Times New Roman" w:eastAsia="Times New Roman" w:cs="Times New Roman"/>
              </w:rPr>
            </w:pPr>
            <w:r>
              <w:rPr>
                <w:rFonts w:ascii="Times New Roman" w:hAnsi="Times New Roman" w:eastAsia="Times New Roman" w:cs="Times New Roman"/>
                <w:spacing w:val="-8"/>
                <w:position w:val="1"/>
              </w:rPr>
              <w:t>1</w:t>
            </w:r>
            <w:r>
              <w:rPr>
                <w:rFonts w:ascii="Times New Roman" w:hAnsi="Times New Roman" w:eastAsia="Times New Roman" w:cs="Times New Roman"/>
                <w:spacing w:val="-17"/>
                <w:position w:val="1"/>
              </w:rPr>
              <w:t xml:space="preserve"> </w:t>
            </w:r>
            <w:r>
              <w:rPr>
                <w:spacing w:val="-8"/>
                <w:position w:val="1"/>
              </w:rPr>
              <w:t>：</w:t>
            </w:r>
            <w:r>
              <w:rPr>
                <w:rFonts w:ascii="Times New Roman" w:hAnsi="Times New Roman" w:eastAsia="Times New Roman" w:cs="Times New Roman"/>
                <w:spacing w:val="-8"/>
                <w:position w:val="1"/>
              </w:rPr>
              <w:t>10</w:t>
            </w:r>
          </w:p>
        </w:tc>
        <w:tc>
          <w:tcPr>
            <w:tcW w:w="1485" w:type="dxa"/>
            <w:vAlign w:val="top"/>
            <w:tcBorders>
              <w:bottom w:val="single" w:color="000000" w:sz="10" w:space="0"/>
            </w:tcBorders>
          </w:tcPr>
          <w:p>
            <w:pPr>
              <w:ind w:left="562"/>
              <w:spacing w:before="1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3.10</w:t>
            </w:r>
          </w:p>
        </w:tc>
        <w:tc>
          <w:tcPr>
            <w:tcW w:w="1780" w:type="dxa"/>
            <w:vAlign w:val="top"/>
            <w:tcBorders>
              <w:bottom w:val="single" w:color="000000" w:sz="10" w:space="0"/>
            </w:tcBorders>
          </w:tcPr>
          <w:p>
            <w:pPr>
              <w:ind w:left="708"/>
              <w:spacing w:before="1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2.89</w:t>
            </w:r>
          </w:p>
        </w:tc>
        <w:tc>
          <w:tcPr>
            <w:tcW w:w="2075" w:type="dxa"/>
            <w:vAlign w:val="top"/>
            <w:tcBorders>
              <w:bottom w:val="single" w:color="000000" w:sz="10" w:space="0"/>
            </w:tcBorders>
          </w:tcPr>
          <w:p>
            <w:pPr>
              <w:ind w:left="858"/>
              <w:spacing w:before="1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72.5</w:t>
            </w:r>
          </w:p>
        </w:tc>
        <w:tc>
          <w:tcPr>
            <w:tcW w:w="1485" w:type="dxa"/>
            <w:vAlign w:val="top"/>
            <w:tcBorders>
              <w:bottom w:val="single" w:color="000000" w:sz="10" w:space="0"/>
            </w:tcBorders>
          </w:tcPr>
          <w:p>
            <w:pPr>
              <w:ind w:left="508"/>
              <w:spacing w:before="1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2.384</w:t>
            </w:r>
          </w:p>
        </w:tc>
        <w:tc>
          <w:tcPr>
            <w:tcW w:w="896" w:type="dxa"/>
            <w:vAlign w:val="top"/>
            <w:tcBorders>
              <w:bottom w:val="single" w:color="000000" w:sz="10" w:space="0"/>
              <w:right w:val="nil"/>
            </w:tcBorders>
          </w:tcPr>
          <w:p>
            <w:pPr>
              <w:rPr>
                <w:rFonts w:ascii="Arial"/>
                <w:sz w:val="21"/>
              </w:rPr>
            </w:pPr>
            <w:r/>
          </w:p>
        </w:tc>
      </w:tr>
    </w:tbl>
    <w:p>
      <w:pPr>
        <w:pStyle w:val="BodyText"/>
        <w:spacing w:line="370" w:lineRule="auto"/>
        <w:rPr/>
      </w:pPr>
      <w:r/>
    </w:p>
    <w:p>
      <w:pPr>
        <w:ind w:left="3109"/>
        <w:spacing w:before="78"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4.13-3  </w:t>
      </w:r>
      <w:r>
        <w:rPr>
          <w:rFonts w:ascii="FangSong" w:hAnsi="FangSong" w:eastAsia="FangSong" w:cs="FangSong"/>
          <w:sz w:val="24"/>
          <w:szCs w:val="24"/>
          <w:b/>
          <w:bCs/>
          <w:spacing w:val="-3"/>
        </w:rPr>
        <w:t>充填材料消耗量</w:t>
      </w:r>
    </w:p>
    <w:p>
      <w:pPr>
        <w:spacing w:line="146"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9"/>
        <w:gridCol w:w="692"/>
        <w:gridCol w:w="740"/>
        <w:gridCol w:w="1674"/>
        <w:gridCol w:w="1816"/>
        <w:gridCol w:w="1721"/>
      </w:tblGrid>
      <w:tr>
        <w:trPr>
          <w:trHeight w:val="462" w:hRule="atLeast"/>
        </w:trPr>
        <w:tc>
          <w:tcPr>
            <w:tcW w:w="2269" w:type="dxa"/>
            <w:vAlign w:val="top"/>
            <w:tcBorders>
              <w:left w:val="nil"/>
              <w:top w:val="single" w:color="000000" w:sz="10" w:space="0"/>
            </w:tcBorders>
          </w:tcPr>
          <w:p>
            <w:pPr>
              <w:pStyle w:val="TableText"/>
              <w:ind w:left="937"/>
              <w:spacing w:before="126" w:line="229" w:lineRule="auto"/>
              <w:rPr/>
            </w:pPr>
            <w:r>
              <w:rPr>
                <w:spacing w:val="2"/>
              </w:rPr>
              <w:t>材料</w:t>
            </w:r>
          </w:p>
        </w:tc>
        <w:tc>
          <w:tcPr>
            <w:tcW w:w="3106" w:type="dxa"/>
            <w:vAlign w:val="top"/>
            <w:gridSpan w:val="3"/>
            <w:tcBorders>
              <w:top w:val="single" w:color="000000" w:sz="10" w:space="0"/>
            </w:tcBorders>
          </w:tcPr>
          <w:p>
            <w:pPr>
              <w:pStyle w:val="TableText"/>
              <w:ind w:left="781"/>
              <w:spacing w:before="126" w:line="229" w:lineRule="auto"/>
              <w:rPr/>
            </w:pPr>
            <w:r>
              <w:rPr>
                <w:spacing w:val="4"/>
              </w:rPr>
              <w:t>每</w:t>
            </w:r>
            <w:r>
              <w:rPr>
                <w:spacing w:val="-44"/>
              </w:rPr>
              <w:t xml:space="preserve"> </w:t>
            </w:r>
            <w:r>
              <w:rPr>
                <w:rFonts w:ascii="Times New Roman" w:hAnsi="Times New Roman" w:eastAsia="Times New Roman" w:cs="Times New Roman"/>
                <w:spacing w:val="4"/>
              </w:rPr>
              <w:t>m</w:t>
            </w:r>
            <w:r>
              <w:rPr>
                <w:rFonts w:ascii="Times New Roman" w:hAnsi="Times New Roman" w:eastAsia="Times New Roman" w:cs="Times New Roman"/>
                <w:sz w:val="13"/>
                <w:szCs w:val="13"/>
                <w:spacing w:val="4"/>
                <w:position w:val="6"/>
              </w:rPr>
              <w:t>3</w:t>
            </w:r>
            <w:r>
              <w:rPr>
                <w:rFonts w:ascii="Times New Roman" w:hAnsi="Times New Roman" w:eastAsia="Times New Roman" w:cs="Times New Roman"/>
                <w:sz w:val="13"/>
                <w:szCs w:val="13"/>
                <w:spacing w:val="13"/>
                <w:w w:val="101"/>
                <w:position w:val="6"/>
              </w:rPr>
              <w:t xml:space="preserve"> </w:t>
            </w:r>
            <w:r>
              <w:rPr>
                <w:spacing w:val="4"/>
              </w:rPr>
              <w:t>料浆消耗量</w:t>
            </w:r>
          </w:p>
        </w:tc>
        <w:tc>
          <w:tcPr>
            <w:tcW w:w="1816" w:type="dxa"/>
            <w:vAlign w:val="top"/>
            <w:tcBorders>
              <w:top w:val="single" w:color="000000" w:sz="10" w:space="0"/>
            </w:tcBorders>
          </w:tcPr>
          <w:p>
            <w:pPr>
              <w:pStyle w:val="TableText"/>
              <w:ind w:left="544"/>
              <w:spacing w:before="126" w:line="230" w:lineRule="auto"/>
              <w:rPr/>
            </w:pPr>
            <w:r>
              <w:rPr>
                <w:spacing w:val="-6"/>
              </w:rPr>
              <w:t>日均消耗</w:t>
            </w:r>
          </w:p>
        </w:tc>
        <w:tc>
          <w:tcPr>
            <w:tcW w:w="1721" w:type="dxa"/>
            <w:vAlign w:val="top"/>
            <w:tcBorders>
              <w:right w:val="nil"/>
              <w:top w:val="single" w:color="000000" w:sz="10" w:space="0"/>
            </w:tcBorders>
          </w:tcPr>
          <w:p>
            <w:pPr>
              <w:pStyle w:val="TableText"/>
              <w:ind w:left="560"/>
              <w:spacing w:before="126" w:line="230" w:lineRule="auto"/>
              <w:rPr/>
            </w:pPr>
            <w:r>
              <w:rPr>
                <w:spacing w:val="3"/>
              </w:rPr>
              <w:t>年消耗</w:t>
            </w:r>
          </w:p>
        </w:tc>
      </w:tr>
      <w:tr>
        <w:trPr>
          <w:trHeight w:val="457" w:hRule="atLeast"/>
        </w:trPr>
        <w:tc>
          <w:tcPr>
            <w:tcW w:w="2269" w:type="dxa"/>
            <w:vAlign w:val="top"/>
            <w:tcBorders>
              <w:left w:val="nil"/>
            </w:tcBorders>
          </w:tcPr>
          <w:p>
            <w:pPr>
              <w:pStyle w:val="TableText"/>
              <w:ind w:left="697"/>
              <w:spacing w:before="122" w:line="232" w:lineRule="auto"/>
              <w:rPr/>
            </w:pPr>
            <w:r>
              <w:rPr>
                <w:spacing w:val="4"/>
              </w:rPr>
              <w:t>水泥（</w:t>
            </w:r>
            <w:r>
              <w:rPr>
                <w:rFonts w:ascii="Times New Roman" w:hAnsi="Times New Roman" w:eastAsia="Times New Roman" w:cs="Times New Roman"/>
                <w:spacing w:val="4"/>
              </w:rPr>
              <w:t>t</w:t>
            </w:r>
            <w:r>
              <w:rPr>
                <w:spacing w:val="4"/>
              </w:rPr>
              <w:t>）</w:t>
            </w:r>
          </w:p>
        </w:tc>
        <w:tc>
          <w:tcPr>
            <w:tcW w:w="692" w:type="dxa"/>
            <w:vAlign w:val="top"/>
            <w:tcBorders>
              <w:right w:val="nil"/>
            </w:tcBorders>
          </w:tcPr>
          <w:p>
            <w:pPr>
              <w:pStyle w:val="TableText"/>
              <w:spacing w:before="122" w:line="268" w:lineRule="exact"/>
              <w:jc w:val="right"/>
              <w:rPr/>
            </w:pPr>
            <w:r>
              <w:rPr>
                <w:rFonts w:ascii="Times New Roman" w:hAnsi="Times New Roman" w:eastAsia="Times New Roman" w:cs="Times New Roman"/>
                <w:spacing w:val="-43"/>
                <w:position w:val="1"/>
              </w:rPr>
              <w:t>1</w:t>
            </w:r>
            <w:r>
              <w:rPr>
                <w:spacing w:val="-43"/>
                <w:position w:val="1"/>
              </w:rPr>
              <w:t>：</w:t>
            </w:r>
          </w:p>
        </w:tc>
        <w:tc>
          <w:tcPr>
            <w:tcW w:w="740" w:type="dxa"/>
            <w:vAlign w:val="top"/>
            <w:tcBorders>
              <w:left w:val="nil"/>
            </w:tcBorders>
          </w:tcPr>
          <w:p>
            <w:pPr>
              <w:ind w:left="102"/>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674" w:type="dxa"/>
            <w:vAlign w:val="top"/>
          </w:tcPr>
          <w:p>
            <w:pPr>
              <w:ind w:left="605"/>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0.157</w:t>
            </w:r>
          </w:p>
        </w:tc>
        <w:tc>
          <w:tcPr>
            <w:tcW w:w="1816" w:type="dxa"/>
            <w:vAlign w:val="top"/>
          </w:tcPr>
          <w:p>
            <w:pPr>
              <w:ind w:left="693"/>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19.48</w:t>
            </w:r>
          </w:p>
        </w:tc>
        <w:tc>
          <w:tcPr>
            <w:tcW w:w="1721" w:type="dxa"/>
            <w:vAlign w:val="top"/>
            <w:tcBorders>
              <w:right w:val="nil"/>
            </w:tcBorders>
          </w:tcPr>
          <w:p>
            <w:pPr>
              <w:ind w:left="657"/>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5844</w:t>
            </w:r>
          </w:p>
        </w:tc>
      </w:tr>
      <w:tr>
        <w:trPr>
          <w:trHeight w:val="460" w:hRule="atLeast"/>
        </w:trPr>
        <w:tc>
          <w:tcPr>
            <w:tcW w:w="2269" w:type="dxa"/>
            <w:vAlign w:val="top"/>
            <w:tcBorders>
              <w:left w:val="nil"/>
            </w:tcBorders>
          </w:tcPr>
          <w:p>
            <w:pPr>
              <w:pStyle w:val="TableText"/>
              <w:ind w:left="597"/>
              <w:spacing w:before="124" w:line="232" w:lineRule="auto"/>
              <w:rPr/>
            </w:pPr>
            <w:r>
              <w:rPr>
                <w:spacing w:val="3"/>
              </w:rPr>
              <w:t>全尾砂（</w:t>
            </w:r>
            <w:r>
              <w:rPr>
                <w:rFonts w:ascii="Times New Roman" w:hAnsi="Times New Roman" w:eastAsia="Times New Roman" w:cs="Times New Roman"/>
                <w:spacing w:val="3"/>
              </w:rPr>
              <w:t>t</w:t>
            </w:r>
            <w:r>
              <w:rPr>
                <w:spacing w:val="3"/>
              </w:rPr>
              <w:t>）</w:t>
            </w:r>
          </w:p>
        </w:tc>
        <w:tc>
          <w:tcPr>
            <w:tcW w:w="692" w:type="dxa"/>
            <w:vAlign w:val="top"/>
            <w:tcBorders>
              <w:right w:val="nil"/>
            </w:tcBorders>
          </w:tcPr>
          <w:p>
            <w:pPr>
              <w:pStyle w:val="TableText"/>
              <w:spacing w:before="123" w:line="268" w:lineRule="exact"/>
              <w:jc w:val="right"/>
              <w:rPr/>
            </w:pPr>
            <w:r>
              <w:rPr>
                <w:rFonts w:ascii="Times New Roman" w:hAnsi="Times New Roman" w:eastAsia="Times New Roman" w:cs="Times New Roman"/>
                <w:spacing w:val="-43"/>
                <w:position w:val="1"/>
              </w:rPr>
              <w:t>1</w:t>
            </w:r>
            <w:r>
              <w:rPr>
                <w:spacing w:val="-43"/>
                <w:position w:val="1"/>
              </w:rPr>
              <w:t>：</w:t>
            </w:r>
          </w:p>
        </w:tc>
        <w:tc>
          <w:tcPr>
            <w:tcW w:w="740" w:type="dxa"/>
            <w:vAlign w:val="top"/>
            <w:tcBorders>
              <w:left w:val="nil"/>
            </w:tcBorders>
          </w:tcPr>
          <w:p>
            <w:pPr>
              <w:ind w:left="102"/>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674" w:type="dxa"/>
            <w:vAlign w:val="top"/>
          </w:tcPr>
          <w:p>
            <w:pPr>
              <w:ind w:left="622"/>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1.571</w:t>
            </w:r>
          </w:p>
        </w:tc>
        <w:tc>
          <w:tcPr>
            <w:tcW w:w="1816" w:type="dxa"/>
            <w:vAlign w:val="top"/>
          </w:tcPr>
          <w:p>
            <w:pPr>
              <w:ind w:left="642"/>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194.96</w:t>
            </w:r>
          </w:p>
        </w:tc>
        <w:tc>
          <w:tcPr>
            <w:tcW w:w="1721" w:type="dxa"/>
            <w:vAlign w:val="top"/>
            <w:tcBorders>
              <w:right w:val="nil"/>
            </w:tcBorders>
          </w:tcPr>
          <w:p>
            <w:pPr>
              <w:ind w:left="607"/>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58488</w:t>
            </w:r>
          </w:p>
        </w:tc>
      </w:tr>
    </w:tbl>
    <w:p>
      <w:pPr>
        <w:pStyle w:val="BodyText"/>
        <w:rPr/>
      </w:pPr>
      <w:r/>
    </w:p>
    <w:p>
      <w:pPr>
        <w:sectPr>
          <w:footerReference w:type="default" r:id="rId154"/>
          <w:pgSz w:w="11911" w:h="16839"/>
          <w:pgMar w:top="400" w:right="1232" w:bottom="1146" w:left="1689" w:header="0" w:footer="984" w:gutter="0"/>
        </w:sectPr>
        <w:rPr/>
      </w:pPr>
    </w:p>
    <w:p>
      <w:pPr>
        <w:spacing w:before="13"/>
        <w:rPr/>
      </w:pPr>
      <w:r/>
    </w:p>
    <w:p>
      <w:pPr>
        <w:spacing w:before="13"/>
        <w:rPr/>
      </w:pPr>
      <w:r/>
    </w:p>
    <w:p>
      <w:pPr>
        <w:spacing w:before="13"/>
        <w:rPr/>
      </w:pPr>
      <w:r/>
    </w:p>
    <w:p>
      <w:pPr>
        <w:spacing w:before="12"/>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8"/>
        <w:gridCol w:w="1433"/>
        <w:gridCol w:w="1674"/>
        <w:gridCol w:w="1816"/>
        <w:gridCol w:w="1721"/>
      </w:tblGrid>
      <w:tr>
        <w:trPr>
          <w:trHeight w:val="462" w:hRule="atLeast"/>
        </w:trPr>
        <w:tc>
          <w:tcPr>
            <w:tcW w:w="2268" w:type="dxa"/>
            <w:vAlign w:val="top"/>
            <w:tcBorders>
              <w:bottom w:val="single" w:color="000000" w:sz="10" w:space="0"/>
              <w:left w:val="nil"/>
            </w:tcBorders>
          </w:tcPr>
          <w:p>
            <w:pPr>
              <w:pStyle w:val="TableText"/>
              <w:ind w:left="716"/>
              <w:spacing w:before="126" w:line="232" w:lineRule="auto"/>
              <w:rPr/>
            </w:pPr>
            <w:r>
              <w:rPr>
                <w:spacing w:val="3"/>
              </w:rPr>
              <w:t>水（</w:t>
            </w:r>
            <w:r>
              <w:rPr>
                <w:rFonts w:ascii="Times New Roman" w:hAnsi="Times New Roman" w:eastAsia="Times New Roman" w:cs="Times New Roman"/>
                <w:spacing w:val="3"/>
              </w:rPr>
              <w:t>m</w:t>
            </w:r>
            <w:r>
              <w:rPr>
                <w:rFonts w:ascii="Times New Roman" w:hAnsi="Times New Roman" w:eastAsia="Times New Roman" w:cs="Times New Roman"/>
                <w:sz w:val="13"/>
                <w:szCs w:val="13"/>
                <w:spacing w:val="3"/>
                <w:position w:val="6"/>
              </w:rPr>
              <w:t>3</w:t>
            </w:r>
            <w:r>
              <w:rPr>
                <w:spacing w:val="3"/>
              </w:rPr>
              <w:t>）</w:t>
            </w:r>
          </w:p>
        </w:tc>
        <w:tc>
          <w:tcPr>
            <w:tcW w:w="1433" w:type="dxa"/>
            <w:vAlign w:val="top"/>
            <w:tcBorders>
              <w:bottom w:val="single" w:color="000000" w:sz="10" w:space="0"/>
            </w:tcBorders>
          </w:tcPr>
          <w:p>
            <w:pPr>
              <w:pStyle w:val="TableText"/>
              <w:ind w:left="476"/>
              <w:spacing w:before="127" w:line="268" w:lineRule="exact"/>
              <w:rPr>
                <w:rFonts w:ascii="Times New Roman" w:hAnsi="Times New Roman" w:eastAsia="Times New Roman" w:cs="Times New Roman"/>
              </w:rPr>
            </w:pPr>
            <w:r>
              <w:rPr>
                <w:rFonts w:ascii="Times New Roman" w:hAnsi="Times New Roman" w:eastAsia="Times New Roman" w:cs="Times New Roman"/>
                <w:spacing w:val="-8"/>
                <w:position w:val="1"/>
              </w:rPr>
              <w:t>1</w:t>
            </w:r>
            <w:r>
              <w:rPr>
                <w:rFonts w:ascii="Times New Roman" w:hAnsi="Times New Roman" w:eastAsia="Times New Roman" w:cs="Times New Roman"/>
                <w:spacing w:val="-17"/>
                <w:position w:val="1"/>
              </w:rPr>
              <w:t xml:space="preserve"> </w:t>
            </w:r>
            <w:r>
              <w:rPr>
                <w:spacing w:val="-8"/>
                <w:position w:val="1"/>
              </w:rPr>
              <w:t>：</w:t>
            </w:r>
            <w:r>
              <w:rPr>
                <w:rFonts w:ascii="Times New Roman" w:hAnsi="Times New Roman" w:eastAsia="Times New Roman" w:cs="Times New Roman"/>
                <w:spacing w:val="-8"/>
                <w:position w:val="1"/>
              </w:rPr>
              <w:t>10</w:t>
            </w:r>
          </w:p>
        </w:tc>
        <w:tc>
          <w:tcPr>
            <w:tcW w:w="1674" w:type="dxa"/>
            <w:vAlign w:val="top"/>
            <w:tcBorders>
              <w:bottom w:val="single" w:color="000000" w:sz="10" w:space="0"/>
            </w:tcBorders>
          </w:tcPr>
          <w:p>
            <w:pPr>
              <w:ind w:left="605"/>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0.656</w:t>
            </w:r>
          </w:p>
        </w:tc>
        <w:tc>
          <w:tcPr>
            <w:tcW w:w="1816" w:type="dxa"/>
            <w:vAlign w:val="top"/>
            <w:tcBorders>
              <w:bottom w:val="single" w:color="000000" w:sz="10" w:space="0"/>
            </w:tcBorders>
          </w:tcPr>
          <w:p>
            <w:pPr>
              <w:ind w:left="681"/>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81.41</w:t>
            </w:r>
          </w:p>
        </w:tc>
        <w:tc>
          <w:tcPr>
            <w:tcW w:w="1721" w:type="dxa"/>
            <w:vAlign w:val="top"/>
            <w:tcBorders>
              <w:bottom w:val="single" w:color="000000" w:sz="10" w:space="0"/>
              <w:right w:val="nil"/>
            </w:tcBorders>
          </w:tcPr>
          <w:p>
            <w:pPr>
              <w:ind w:left="601"/>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24423</w:t>
            </w:r>
          </w:p>
        </w:tc>
      </w:tr>
    </w:tbl>
    <w:p>
      <w:pPr>
        <w:pStyle w:val="BodyText"/>
        <w:spacing w:line="370" w:lineRule="auto"/>
        <w:rPr/>
      </w:pPr>
      <w:r/>
    </w:p>
    <w:p>
      <w:pPr>
        <w:ind w:left="596"/>
        <w:spacing w:before="78" w:line="220"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充填料浆制备与输送</w:t>
      </w:r>
    </w:p>
    <w:p>
      <w:pPr>
        <w:ind w:left="590"/>
        <w:spacing w:before="179" w:line="220" w:lineRule="auto"/>
        <w:rPr>
          <w:rFonts w:ascii="FangSong" w:hAnsi="FangSong" w:eastAsia="FangSong" w:cs="FangSong"/>
          <w:sz w:val="24"/>
          <w:szCs w:val="24"/>
        </w:rPr>
      </w:pPr>
      <w:r>
        <w:rPr>
          <w:rFonts w:ascii="Times New Roman" w:hAnsi="Times New Roman" w:eastAsia="Times New Roman" w:cs="Times New Roman"/>
          <w:sz w:val="24"/>
          <w:szCs w:val="24"/>
          <w:spacing w:val="-9"/>
        </w:rPr>
        <w: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9"/>
        </w:rPr>
        <w:t>、储料</w:t>
      </w:r>
    </w:p>
    <w:p>
      <w:pPr>
        <w:ind w:left="126" w:right="106" w:firstLine="480"/>
        <w:spacing w:before="182" w:line="359" w:lineRule="auto"/>
        <w:rPr>
          <w:rFonts w:ascii="FangSong" w:hAnsi="FangSong" w:eastAsia="FangSong" w:cs="FangSong"/>
          <w:sz w:val="24"/>
          <w:szCs w:val="24"/>
        </w:rPr>
      </w:pPr>
      <w:r>
        <w:rPr>
          <w:rFonts w:ascii="FangSong" w:hAnsi="FangSong" w:eastAsia="FangSong" w:cs="FangSong"/>
          <w:sz w:val="24"/>
          <w:szCs w:val="24"/>
          <w:spacing w:val="1"/>
        </w:rPr>
        <w:t>在装载机上料平台的一侧设置堆料场，堆料场的占地面积约为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400m</w:t>
      </w:r>
      <w:r>
        <w:rPr>
          <w:rFonts w:ascii="Times New Roman" w:hAnsi="Times New Roman" w:eastAsia="Times New Roman" w:cs="Times New Roman"/>
          <w:sz w:val="15"/>
          <w:szCs w:val="15"/>
          <w:spacing w:val="1"/>
          <w:position w:val="8"/>
        </w:rPr>
        <w:t>2 </w:t>
      </w:r>
      <w:r>
        <w:rPr>
          <w:rFonts w:ascii="FangSong" w:hAnsi="FangSong" w:eastAsia="FangSong" w:cs="FangSong"/>
          <w:sz w:val="24"/>
          <w:szCs w:val="24"/>
        </w:rPr>
        <w:t>，可贮存</w:t>
      </w:r>
      <w:r>
        <w:rPr>
          <w:rFonts w:ascii="FangSong" w:hAnsi="FangSong" w:eastAsia="FangSong" w:cs="FangSong"/>
          <w:sz w:val="24"/>
          <w:szCs w:val="24"/>
          <w:spacing w:val="-5"/>
        </w:rPr>
        <w:t>尾砂约</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5"/>
        </w:rPr>
        <w:t>800t</w:t>
      </w:r>
      <w:r>
        <w:rPr>
          <w:rFonts w:ascii="FangSong" w:hAnsi="FangSong" w:eastAsia="FangSong" w:cs="FangSong"/>
          <w:sz w:val="24"/>
          <w:szCs w:val="24"/>
          <w:spacing w:val="-5"/>
        </w:rPr>
        <w:t>。</w:t>
      </w:r>
    </w:p>
    <w:p>
      <w:pPr>
        <w:ind w:left="592"/>
        <w:spacing w:line="220" w:lineRule="auto"/>
        <w:rPr>
          <w:rFonts w:ascii="FangSong" w:hAnsi="FangSong" w:eastAsia="FangSong" w:cs="FangSong"/>
          <w:sz w:val="24"/>
          <w:szCs w:val="24"/>
        </w:rPr>
      </w:pPr>
      <w:r>
        <w:rPr>
          <w:rFonts w:ascii="Times New Roman" w:hAnsi="Times New Roman" w:eastAsia="Times New Roman" w:cs="Times New Roman"/>
          <w:sz w:val="24"/>
          <w:szCs w:val="24"/>
          <w:spacing w:val="-10"/>
        </w:rPr>
        <w:t>B</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、上料</w:t>
      </w:r>
    </w:p>
    <w:p>
      <w:pPr>
        <w:ind w:left="123" w:right="107" w:firstLine="482"/>
        <w:spacing w:before="180" w:line="359" w:lineRule="auto"/>
        <w:rPr>
          <w:rFonts w:ascii="FangSong" w:hAnsi="FangSong" w:eastAsia="FangSong" w:cs="FangSong"/>
          <w:sz w:val="24"/>
          <w:szCs w:val="24"/>
        </w:rPr>
      </w:pPr>
      <w:r>
        <w:rPr>
          <w:rFonts w:ascii="FangSong" w:hAnsi="FangSong" w:eastAsia="FangSong" w:cs="FangSong"/>
          <w:sz w:val="24"/>
          <w:szCs w:val="24"/>
          <w:spacing w:val="1"/>
        </w:rPr>
        <w:t>采用装载机将堆料场的尾砂装入集料仓，集料仓中的尾砂首先下放到皮带秤进</w:t>
      </w:r>
      <w:r>
        <w:rPr>
          <w:rFonts w:ascii="FangSong" w:hAnsi="FangSong" w:eastAsia="FangSong" w:cs="FangSong"/>
          <w:sz w:val="24"/>
          <w:szCs w:val="24"/>
          <w:spacing w:val="1"/>
        </w:rPr>
        <w:t>行计量，计量前预先设定好数值，通过调节皮带秤的调速电机转速，控制皮带运行</w:t>
      </w:r>
      <w:r>
        <w:rPr>
          <w:rFonts w:ascii="FangSong" w:hAnsi="FangSong" w:eastAsia="FangSong" w:cs="FangSong"/>
          <w:sz w:val="24"/>
          <w:szCs w:val="24"/>
          <w:spacing w:val="1"/>
        </w:rPr>
        <w:t>速度以达到所运送尾砂指定的重量。尾砂经皮带秤计量后下放到胶带输送机，再由</w:t>
      </w:r>
      <w:r>
        <w:rPr>
          <w:rFonts w:ascii="FangSong" w:hAnsi="FangSong" w:eastAsia="FangSong" w:cs="FangSong"/>
          <w:sz w:val="24"/>
          <w:szCs w:val="24"/>
          <w:spacing w:val="-2"/>
        </w:rPr>
        <w:t>胶带输送机运送到搅拌机。</w:t>
      </w:r>
    </w:p>
    <w:p>
      <w:pPr>
        <w:ind w:left="597"/>
        <w:spacing w:before="2" w:line="220" w:lineRule="auto"/>
        <w:rPr>
          <w:rFonts w:ascii="FangSong" w:hAnsi="FangSong" w:eastAsia="FangSong" w:cs="FangSong"/>
          <w:sz w:val="24"/>
          <w:szCs w:val="24"/>
        </w:rPr>
      </w:pPr>
      <w:r>
        <w:rPr>
          <w:rFonts w:ascii="Times New Roman" w:hAnsi="Times New Roman" w:eastAsia="Times New Roman" w:cs="Times New Roman"/>
          <w:sz w:val="24"/>
          <w:szCs w:val="24"/>
          <w:spacing w:val="-7"/>
        </w:rPr>
        <w:t>C</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、充填料输送</w:t>
      </w:r>
    </w:p>
    <w:p>
      <w:pPr>
        <w:ind w:left="610"/>
        <w:spacing w:before="179" w:line="220" w:lineRule="auto"/>
        <w:rPr>
          <w:rFonts w:ascii="FangSong" w:hAnsi="FangSong" w:eastAsia="FangSong" w:cs="FangSong"/>
          <w:sz w:val="24"/>
          <w:szCs w:val="24"/>
        </w:rPr>
      </w:pPr>
      <w:r>
        <w:rPr>
          <w:rFonts w:ascii="FangSong" w:hAnsi="FangSong" w:eastAsia="FangSong" w:cs="FangSong"/>
          <w:sz w:val="24"/>
          <w:szCs w:val="24"/>
          <w:spacing w:val="-2"/>
        </w:rPr>
        <w:t>全尾砂输送：由胶带输送机运输至搅拌机。</w:t>
      </w:r>
    </w:p>
    <w:p>
      <w:pPr>
        <w:ind w:left="123" w:right="26" w:firstLine="480"/>
        <w:spacing w:before="181" w:line="359" w:lineRule="auto"/>
        <w:jc w:val="both"/>
        <w:rPr>
          <w:rFonts w:ascii="FangSong" w:hAnsi="FangSong" w:eastAsia="FangSong" w:cs="FangSong"/>
          <w:sz w:val="24"/>
          <w:szCs w:val="24"/>
        </w:rPr>
      </w:pPr>
      <w:r>
        <w:rPr>
          <w:rFonts w:ascii="FangSong" w:hAnsi="FangSong" w:eastAsia="FangSong" w:cs="FangSong"/>
          <w:sz w:val="24"/>
          <w:szCs w:val="24"/>
          <w:spacing w:val="-4"/>
        </w:rPr>
        <w:t>水泥输送：充填所需水泥由散装水泥车运送至充填站，经压气泵作用</w:t>
      </w:r>
      <w:r>
        <w:rPr>
          <w:rFonts w:ascii="FangSong" w:hAnsi="FangSong" w:eastAsia="FangSong" w:cs="FangSong"/>
          <w:sz w:val="24"/>
          <w:szCs w:val="24"/>
          <w:spacing w:val="-5"/>
        </w:rPr>
        <w:t>，由</w:t>
      </w:r>
      <w:r>
        <w:rPr>
          <w:rFonts w:ascii="FangSong" w:hAnsi="FangSong" w:eastAsia="FangSong" w:cs="FangSong"/>
          <w:sz w:val="24"/>
          <w:szCs w:val="24"/>
          <w:spacing w:val="-79"/>
        </w:rPr>
        <w:t xml:space="preserve"> </w:t>
      </w:r>
      <w:r>
        <w:rPr>
          <w:rFonts w:ascii="FangSong" w:hAnsi="FangSong" w:eastAsia="FangSong" w:cs="FangSong"/>
          <w:sz w:val="24"/>
          <w:szCs w:val="24"/>
          <w:spacing w:val="-5"/>
        </w:rPr>
        <w:t>Ф</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5"/>
        </w:rPr>
        <w:t>108</w:t>
      </w:r>
      <w:r>
        <w:rPr>
          <w:rFonts w:ascii="Times New Roman" w:hAnsi="Times New Roman" w:eastAsia="Times New Roman" w:cs="Times New Roman"/>
          <w:sz w:val="24"/>
          <w:szCs w:val="24"/>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6mm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无缝钢管输送至水泥罐。在水泥输</w:t>
      </w:r>
      <w:r>
        <w:rPr>
          <w:rFonts w:ascii="FangSong" w:hAnsi="FangSong" w:eastAsia="FangSong" w:cs="FangSong"/>
          <w:sz w:val="24"/>
          <w:szCs w:val="24"/>
          <w:spacing w:val="-6"/>
        </w:rPr>
        <w:t>送或充填期间，要开启水泥罐顶的除尘器。</w:t>
      </w:r>
      <w:r>
        <w:rPr>
          <w:rFonts w:ascii="FangSong" w:hAnsi="FangSong" w:eastAsia="FangSong" w:cs="FangSong"/>
          <w:sz w:val="24"/>
          <w:szCs w:val="24"/>
          <w:spacing w:val="-1"/>
        </w:rPr>
        <w:t>水泥仓的水泥经星形给料机和螺旋给料机定量向搅拌机供水泥。</w:t>
      </w:r>
    </w:p>
    <w:p>
      <w:pPr>
        <w:ind w:left="592"/>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10"/>
        </w:rPr>
        <w:t>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0"/>
        </w:rPr>
        <w:t>、搅拌</w:t>
      </w:r>
    </w:p>
    <w:p>
      <w:pPr>
        <w:ind w:left="138" w:right="107" w:firstLine="496"/>
        <w:spacing w:before="179" w:line="358" w:lineRule="auto"/>
        <w:rPr>
          <w:rFonts w:ascii="FangSong" w:hAnsi="FangSong" w:eastAsia="FangSong" w:cs="FangSong"/>
          <w:sz w:val="24"/>
          <w:szCs w:val="24"/>
        </w:rPr>
      </w:pPr>
      <w:r>
        <w:rPr>
          <w:rFonts w:ascii="FangSong" w:hAnsi="FangSong" w:eastAsia="FangSong" w:cs="FangSong"/>
          <w:sz w:val="24"/>
          <w:szCs w:val="24"/>
        </w:rPr>
        <w:t>向搅拌机定量输送的全尾砂、水泥、清水，在搅拌机内进行混合搅拌，搅拌后</w:t>
      </w:r>
      <w:r>
        <w:rPr>
          <w:rFonts w:ascii="FangSong" w:hAnsi="FangSong" w:eastAsia="FangSong" w:cs="FangSong"/>
          <w:sz w:val="24"/>
          <w:szCs w:val="24"/>
          <w:spacing w:val="-4"/>
        </w:rPr>
        <w:t>的料浆流向下料斗。</w:t>
      </w:r>
    </w:p>
    <w:p>
      <w:pPr>
        <w:ind w:left="593"/>
        <w:spacing w:before="3" w:line="220" w:lineRule="auto"/>
        <w:rPr>
          <w:rFonts w:ascii="FangSong" w:hAnsi="FangSong" w:eastAsia="FangSong" w:cs="FangSong"/>
          <w:sz w:val="24"/>
          <w:szCs w:val="24"/>
        </w:rPr>
      </w:pPr>
      <w:r>
        <w:rPr>
          <w:rFonts w:ascii="Times New Roman" w:hAnsi="Times New Roman" w:eastAsia="Times New Roman" w:cs="Times New Roman"/>
          <w:sz w:val="24"/>
          <w:szCs w:val="24"/>
          <w:spacing w:val="-7"/>
        </w:rPr>
        <w:t>E</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、料浆输送</w:t>
      </w:r>
    </w:p>
    <w:p>
      <w:pPr>
        <w:ind w:left="124" w:right="107" w:firstLine="484"/>
        <w:spacing w:before="181" w:line="359" w:lineRule="auto"/>
        <w:rPr>
          <w:rFonts w:ascii="FangSong" w:hAnsi="FangSong" w:eastAsia="FangSong" w:cs="FangSong"/>
          <w:sz w:val="24"/>
          <w:szCs w:val="24"/>
        </w:rPr>
      </w:pPr>
      <w:r>
        <w:rPr>
          <w:rFonts w:ascii="FangSong" w:hAnsi="FangSong" w:eastAsia="FangSong" w:cs="FangSong"/>
          <w:sz w:val="24"/>
          <w:szCs w:val="24"/>
          <w:spacing w:val="1"/>
        </w:rPr>
        <w:t>下料斗中的料浆沿充填钻孔内敷设的充填钢管输送至井下中段，运输巷道中采</w:t>
      </w:r>
      <w:r>
        <w:rPr>
          <w:rFonts w:ascii="FangSong" w:hAnsi="FangSong" w:eastAsia="FangSong" w:cs="FangSong"/>
          <w:sz w:val="24"/>
          <w:szCs w:val="24"/>
          <w:spacing w:val="1"/>
        </w:rPr>
        <w:t>用无缝钢管输送，到达采空区附近采用聚乙烯塑管输送。充填钢管在转弯处设耐磨</w:t>
      </w:r>
      <w:r>
        <w:rPr>
          <w:rFonts w:ascii="FangSong" w:hAnsi="FangSong" w:eastAsia="FangSong" w:cs="FangSong"/>
          <w:sz w:val="24"/>
          <w:szCs w:val="24"/>
          <w:spacing w:val="-2"/>
        </w:rPr>
        <w:t>弯头，以增加管路工作寿命。</w:t>
      </w:r>
    </w:p>
    <w:p>
      <w:pPr>
        <w:ind w:left="136" w:right="109" w:firstLine="467"/>
        <w:spacing w:line="359" w:lineRule="auto"/>
        <w:rPr>
          <w:rFonts w:ascii="FangSong" w:hAnsi="FangSong" w:eastAsia="FangSong" w:cs="FangSong"/>
          <w:sz w:val="24"/>
          <w:szCs w:val="24"/>
        </w:rPr>
      </w:pPr>
      <w:r>
        <w:rPr>
          <w:rFonts w:ascii="FangSong" w:hAnsi="FangSong" w:eastAsia="FangSong" w:cs="FangSong"/>
          <w:sz w:val="24"/>
          <w:szCs w:val="24"/>
          <w:spacing w:val="-5"/>
        </w:rPr>
        <w:t>设计充填能力为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5"/>
        </w:rPr>
        <w:t>40m</w:t>
      </w:r>
      <w:r>
        <w:rPr>
          <w:rFonts w:ascii="Times New Roman" w:hAnsi="Times New Roman" w:eastAsia="Times New Roman" w:cs="Times New Roman"/>
          <w:sz w:val="15"/>
          <w:szCs w:val="15"/>
          <w:spacing w:val="-5"/>
          <w:position w:val="8"/>
        </w:rPr>
        <w:t>3</w:t>
      </w:r>
      <w:r>
        <w:rPr>
          <w:rFonts w:ascii="Times New Roman" w:hAnsi="Times New Roman" w:eastAsia="Times New Roman" w:cs="Times New Roman"/>
          <w:sz w:val="24"/>
          <w:szCs w:val="24"/>
          <w:spacing w:val="-5"/>
        </w:rPr>
        <w:t>/h</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，主输送管选择Φ</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5"/>
        </w:rPr>
        <w:t>133</w:t>
      </w:r>
      <w:r>
        <w:rPr>
          <w:rFonts w:ascii="FangSong" w:hAnsi="FangSong" w:eastAsia="FangSong" w:cs="FangSong"/>
          <w:sz w:val="24"/>
          <w:szCs w:val="24"/>
          <w:spacing w:val="-5"/>
        </w:rPr>
        <w:t>×</w:t>
      </w:r>
      <w:r>
        <w:rPr>
          <w:rFonts w:ascii="FangSong" w:hAnsi="FangSong" w:eastAsia="FangSong" w:cs="FangSong"/>
          <w:sz w:val="24"/>
          <w:szCs w:val="24"/>
          <w:spacing w:val="-91"/>
        </w:rPr>
        <w:t xml:space="preserve"> </w:t>
      </w:r>
      <w:r>
        <w:rPr>
          <w:rFonts w:ascii="Times New Roman" w:hAnsi="Times New Roman" w:eastAsia="Times New Roman" w:cs="Times New Roman"/>
          <w:sz w:val="24"/>
          <w:szCs w:val="24"/>
          <w:spacing w:val="-5"/>
        </w:rPr>
        <w:t>10mm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的无缝钢管，支管选择Φ</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125</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10mm</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4"/>
        </w:rPr>
        <w:t>的聚乙烯塑料管。</w:t>
      </w:r>
    </w:p>
    <w:p>
      <w:pPr>
        <w:ind w:left="117" w:right="106" w:firstLine="487"/>
        <w:spacing w:before="1" w:line="359" w:lineRule="auto"/>
        <w:jc w:val="both"/>
        <w:rPr>
          <w:rFonts w:ascii="FangSong" w:hAnsi="FangSong" w:eastAsia="FangSong" w:cs="FangSong"/>
          <w:sz w:val="24"/>
          <w:szCs w:val="24"/>
        </w:rPr>
      </w:pPr>
      <w:r>
        <w:rPr>
          <w:rFonts w:ascii="FangSong" w:hAnsi="FangSong" w:eastAsia="FangSong" w:cs="FangSong"/>
          <w:sz w:val="24"/>
          <w:szCs w:val="24"/>
          <w:spacing w:val="13"/>
        </w:rPr>
        <w:t>根据国内外全尾砂充填料浆输送性能及生产实际经验</w:t>
      </w:r>
      <w:r>
        <w:rPr>
          <w:rFonts w:ascii="FangSong" w:hAnsi="FangSong" w:eastAsia="FangSong" w:cs="FangSong"/>
          <w:sz w:val="24"/>
          <w:szCs w:val="24"/>
          <w:spacing w:val="-70"/>
        </w:rPr>
        <w:t xml:space="preserve"> </w:t>
      </w:r>
      <w:r>
        <w:rPr>
          <w:rFonts w:ascii="FangSong" w:hAnsi="FangSong" w:eastAsia="FangSong" w:cs="FangSong"/>
          <w:sz w:val="24"/>
          <w:szCs w:val="24"/>
          <w:spacing w:val="13"/>
        </w:rPr>
        <w:t>，</w:t>
      </w:r>
      <w:r>
        <w:rPr>
          <w:rFonts w:ascii="FangSong" w:hAnsi="FangSong" w:eastAsia="FangSong" w:cs="FangSong"/>
          <w:sz w:val="24"/>
          <w:szCs w:val="24"/>
          <w:spacing w:val="-62"/>
        </w:rPr>
        <w:t xml:space="preserve"> </w:t>
      </w:r>
      <w:r>
        <w:rPr>
          <w:rFonts w:ascii="FangSong" w:hAnsi="FangSong" w:eastAsia="FangSong" w:cs="FangSong"/>
          <w:sz w:val="24"/>
          <w:szCs w:val="24"/>
          <w:spacing w:val="13"/>
        </w:rPr>
        <w:t>当</w:t>
      </w:r>
      <w:r>
        <w:rPr>
          <w:rFonts w:ascii="FangSong" w:hAnsi="FangSong" w:eastAsia="FangSong" w:cs="FangSong"/>
          <w:sz w:val="24"/>
          <w:szCs w:val="24"/>
          <w:spacing w:val="12"/>
        </w:rPr>
        <w:t>充填料浆浓度为</w:t>
      </w:r>
      <w:r>
        <w:rPr>
          <w:rFonts w:ascii="Times New Roman" w:hAnsi="Times New Roman" w:eastAsia="Times New Roman" w:cs="Times New Roman"/>
          <w:sz w:val="24"/>
          <w:szCs w:val="24"/>
          <w:spacing w:val="-2"/>
        </w:rPr>
        <w:t>70-75%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、坍落度为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23-25cm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、管道内料浆流速为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2-3m/s</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，充填倍线为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3"/>
        </w:rPr>
        <w:t>时顺利地</w:t>
      </w:r>
      <w:r>
        <w:rPr>
          <w:rFonts w:ascii="FangSong" w:hAnsi="FangSong" w:eastAsia="FangSong" w:cs="FangSong"/>
          <w:sz w:val="24"/>
          <w:szCs w:val="24"/>
        </w:rPr>
        <w:t>实现自流充填，而充填倍线超过</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rPr>
        <w:t>时则需适当降低充填料浆浓度及坍落度或者采取</w:t>
      </w:r>
      <w:r>
        <w:rPr>
          <w:rFonts w:ascii="FangSong" w:hAnsi="FangSong" w:eastAsia="FangSong" w:cs="FangSong"/>
          <w:sz w:val="24"/>
          <w:szCs w:val="24"/>
          <w:spacing w:val="-1"/>
        </w:rPr>
        <w:t>加压（或输送泵）的方式，以满足料浆输送要求。</w:t>
      </w:r>
    </w:p>
    <w:p>
      <w:pPr>
        <w:ind w:left="606"/>
        <w:spacing w:line="220" w:lineRule="auto"/>
        <w:rPr>
          <w:rFonts w:ascii="FangSong" w:hAnsi="FangSong" w:eastAsia="FangSong" w:cs="FangSong"/>
          <w:sz w:val="24"/>
          <w:szCs w:val="24"/>
        </w:rPr>
      </w:pPr>
      <w:r>
        <w:rPr>
          <w:rFonts w:ascii="FangSong" w:hAnsi="FangSong" w:eastAsia="FangSong" w:cs="FangSong"/>
          <w:sz w:val="24"/>
          <w:szCs w:val="24"/>
          <w:spacing w:val="-4"/>
        </w:rPr>
        <w:t>其中</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4"/>
        </w:rPr>
        <w:t>885m</w:t>
      </w:r>
      <w:r>
        <w:rPr>
          <w:rFonts w:ascii="Times New Roman" w:hAnsi="Times New Roman" w:eastAsia="Times New Roman" w:cs="Times New Roman"/>
          <w:sz w:val="24"/>
          <w:szCs w:val="24"/>
          <w:spacing w:val="45"/>
          <w:w w:val="101"/>
        </w:rPr>
        <w:t xml:space="preserve"> </w:t>
      </w:r>
      <w:r>
        <w:rPr>
          <w:rFonts w:ascii="FangSong" w:hAnsi="FangSong" w:eastAsia="FangSong" w:cs="FangSong"/>
          <w:sz w:val="24"/>
          <w:szCs w:val="24"/>
          <w:spacing w:val="-4"/>
        </w:rPr>
        <w:t>中段以上充填倍线较大，充填料浆需要加压输送，</w:t>
      </w:r>
      <w:r>
        <w:rPr>
          <w:rFonts w:ascii="Times New Roman" w:hAnsi="Times New Roman" w:eastAsia="Times New Roman" w:cs="Times New Roman"/>
          <w:sz w:val="24"/>
          <w:szCs w:val="24"/>
          <w:spacing w:val="-4"/>
        </w:rPr>
        <w:t>850m</w:t>
      </w:r>
      <w:r>
        <w:rPr>
          <w:rFonts w:ascii="Times New Roman" w:hAnsi="Times New Roman" w:eastAsia="Times New Roman" w:cs="Times New Roman"/>
          <w:sz w:val="24"/>
          <w:szCs w:val="24"/>
          <w:spacing w:val="45"/>
        </w:rPr>
        <w:t xml:space="preserve"> </w:t>
      </w:r>
      <w:r>
        <w:rPr>
          <w:rFonts w:ascii="FangSong" w:hAnsi="FangSong" w:eastAsia="FangSong" w:cs="FangSong"/>
          <w:sz w:val="24"/>
          <w:szCs w:val="24"/>
          <w:spacing w:val="-4"/>
        </w:rPr>
        <w:t>中段可以实</w:t>
      </w:r>
    </w:p>
    <w:p>
      <w:pPr>
        <w:spacing w:line="220" w:lineRule="auto"/>
        <w:sectPr>
          <w:footerReference w:type="default" r:id="rId155"/>
          <w:pgSz w:w="11911" w:h="16839"/>
          <w:pgMar w:top="400" w:right="1309" w:bottom="1146" w:left="1689"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6"/>
        <w:spacing w:before="78" w:line="224" w:lineRule="auto"/>
        <w:rPr>
          <w:rFonts w:ascii="FangSong" w:hAnsi="FangSong" w:eastAsia="FangSong" w:cs="FangSong"/>
          <w:sz w:val="24"/>
          <w:szCs w:val="24"/>
        </w:rPr>
      </w:pPr>
      <w:r>
        <w:rPr>
          <w:rFonts w:ascii="FangSong" w:hAnsi="FangSong" w:eastAsia="FangSong" w:cs="FangSong"/>
          <w:sz w:val="24"/>
          <w:szCs w:val="24"/>
          <w:spacing w:val="-3"/>
        </w:rPr>
        <w:t>现自流输送。</w:t>
      </w:r>
    </w:p>
    <w:p>
      <w:pPr>
        <w:ind w:left="499"/>
        <w:spacing w:before="175"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）井下充填</w:t>
      </w:r>
    </w:p>
    <w:p>
      <w:pPr>
        <w:ind w:left="499"/>
        <w:spacing w:before="178" w:line="222"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20"/>
        </w:rPr>
        <w:t xml:space="preserve"> </w:t>
      </w:r>
      <w:r>
        <w:rPr>
          <w:rFonts w:ascii="FangSong" w:hAnsi="FangSong" w:eastAsia="FangSong" w:cs="FangSong"/>
          <w:sz w:val="24"/>
          <w:szCs w:val="24"/>
          <w:spacing w:val="-6"/>
        </w:rPr>
        <w:t>充填准备</w:t>
      </w:r>
    </w:p>
    <w:p>
      <w:pPr>
        <w:ind w:left="30" w:right="60" w:firstLine="477"/>
        <w:spacing w:before="178" w:line="359" w:lineRule="auto"/>
        <w:rPr>
          <w:rFonts w:ascii="FangSong" w:hAnsi="FangSong" w:eastAsia="FangSong" w:cs="FangSong"/>
          <w:sz w:val="24"/>
          <w:szCs w:val="24"/>
        </w:rPr>
      </w:pPr>
      <w:r>
        <w:rPr>
          <w:rFonts w:ascii="FangSong" w:hAnsi="FangSong" w:eastAsia="FangSong" w:cs="FangSong"/>
          <w:sz w:val="24"/>
          <w:szCs w:val="24"/>
          <w:spacing w:val="1"/>
        </w:rPr>
        <w:t>充填前对采空区进行清理，同时作好采空区的密闭工作，使整个采空区与外界</w:t>
      </w:r>
      <w:r>
        <w:rPr>
          <w:rFonts w:ascii="FangSong" w:hAnsi="FangSong" w:eastAsia="FangSong" w:cs="FangSong"/>
          <w:sz w:val="24"/>
          <w:szCs w:val="24"/>
          <w:spacing w:val="1"/>
        </w:rPr>
        <w:t>一切井巷隔开，以防止充填料的流失污染；其次是在隔墙上安装适当的滤水设施，</w:t>
      </w:r>
      <w:r>
        <w:rPr>
          <w:rFonts w:ascii="FangSong" w:hAnsi="FangSong" w:eastAsia="FangSong" w:cs="FangSong"/>
          <w:sz w:val="24"/>
          <w:szCs w:val="24"/>
          <w:spacing w:val="-1"/>
        </w:rPr>
        <w:t>防止采场积水，降低采场底部压力，以利充填接顶。</w:t>
      </w:r>
    </w:p>
    <w:p>
      <w:pPr>
        <w:ind w:left="492"/>
        <w:spacing w:before="1" w:line="221" w:lineRule="auto"/>
        <w:rPr>
          <w:rFonts w:ascii="FangSong" w:hAnsi="FangSong" w:eastAsia="FangSong" w:cs="FangSong"/>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、隔墙构筑位置</w:t>
      </w:r>
    </w:p>
    <w:p>
      <w:pPr>
        <w:ind w:left="509"/>
        <w:spacing w:before="178" w:line="220" w:lineRule="auto"/>
        <w:rPr>
          <w:rFonts w:ascii="FangSong" w:hAnsi="FangSong" w:eastAsia="FangSong" w:cs="FangSong"/>
          <w:sz w:val="24"/>
          <w:szCs w:val="24"/>
        </w:rPr>
      </w:pPr>
      <w:r>
        <w:rPr>
          <w:rFonts w:ascii="FangSong" w:hAnsi="FangSong" w:eastAsia="FangSong" w:cs="FangSong"/>
          <w:sz w:val="24"/>
          <w:szCs w:val="24"/>
          <w:spacing w:val="-2"/>
        </w:rPr>
        <w:t>选择隔墙位置时，主要考虑以下因素：</w:t>
      </w:r>
    </w:p>
    <w:p>
      <w:pPr>
        <w:ind w:left="499"/>
        <w:spacing w:before="182" w:line="219" w:lineRule="auto"/>
        <w:rPr>
          <w:rFonts w:ascii="FangSong" w:hAnsi="FangSong" w:eastAsia="FangSong" w:cs="FangSong"/>
          <w:sz w:val="24"/>
          <w:szCs w:val="24"/>
        </w:rPr>
      </w:pPr>
      <w:r>
        <w:rPr>
          <w:rFonts w:ascii="Times New Roman" w:hAnsi="Times New Roman" w:eastAsia="Times New Roman" w:cs="Times New Roman"/>
          <w:sz w:val="24"/>
          <w:szCs w:val="24"/>
          <w:spacing w:val="-7"/>
        </w:rPr>
        <w:t>a</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7"/>
        </w:rPr>
        <w:t>、岩体稳定；</w:t>
      </w:r>
    </w:p>
    <w:p>
      <w:pPr>
        <w:ind w:left="490"/>
        <w:spacing w:before="180" w:line="221"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、断面小，隔墙承受充填体压力小；</w:t>
      </w:r>
    </w:p>
    <w:p>
      <w:pPr>
        <w:ind w:left="499"/>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、用数量最少的隔墙能达到预期目的。</w:t>
      </w:r>
    </w:p>
    <w:p>
      <w:pPr>
        <w:ind w:left="510"/>
        <w:spacing w:before="179" w:line="219" w:lineRule="auto"/>
        <w:rPr>
          <w:rFonts w:ascii="FangSong" w:hAnsi="FangSong" w:eastAsia="FangSong" w:cs="FangSong"/>
          <w:sz w:val="24"/>
          <w:szCs w:val="24"/>
        </w:rPr>
      </w:pPr>
      <w:r>
        <w:rPr>
          <w:rFonts w:ascii="FangSong" w:hAnsi="FangSong" w:eastAsia="FangSong" w:cs="FangSong"/>
          <w:sz w:val="24"/>
          <w:szCs w:val="24"/>
          <w:spacing w:val="-2"/>
        </w:rPr>
        <w:t>一般将隔墙设在采场装矿进路内。</w:t>
      </w:r>
    </w:p>
    <w:p>
      <w:pPr>
        <w:ind w:left="495"/>
        <w:spacing w:before="182" w:line="221" w:lineRule="auto"/>
        <w:rPr>
          <w:rFonts w:ascii="FangSong" w:hAnsi="FangSong" w:eastAsia="FangSong" w:cs="FangSong"/>
          <w:sz w:val="24"/>
          <w:szCs w:val="24"/>
        </w:rPr>
      </w:pPr>
      <w:r>
        <w:rPr>
          <w:rFonts w:ascii="Times New Roman" w:hAnsi="Times New Roman" w:eastAsia="Times New Roman" w:cs="Times New Roman"/>
          <w:sz w:val="24"/>
          <w:szCs w:val="24"/>
          <w:spacing w:val="-6"/>
        </w:rPr>
        <w:t>B</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、隔墙的种类</w:t>
      </w:r>
    </w:p>
    <w:p>
      <w:pPr>
        <w:ind w:left="34" w:right="60" w:firstLine="497"/>
        <w:spacing w:before="181" w:line="358" w:lineRule="auto"/>
        <w:rPr>
          <w:rFonts w:ascii="FangSong" w:hAnsi="FangSong" w:eastAsia="FangSong" w:cs="FangSong"/>
          <w:sz w:val="24"/>
          <w:szCs w:val="24"/>
        </w:rPr>
      </w:pPr>
      <w:r>
        <w:rPr>
          <w:rFonts w:ascii="FangSong" w:hAnsi="FangSong" w:eastAsia="FangSong" w:cs="FangSong"/>
          <w:sz w:val="24"/>
          <w:szCs w:val="24"/>
        </w:rPr>
        <w:t>当充填料为流体状态时，隔墙所受的压力与充填高度成正比关系；当充填料达</w:t>
      </w:r>
      <w:r>
        <w:rPr>
          <w:rFonts w:ascii="FangSong" w:hAnsi="FangSong" w:eastAsia="FangSong" w:cs="FangSong"/>
          <w:sz w:val="24"/>
          <w:szCs w:val="24"/>
          <w:spacing w:val="-1"/>
        </w:rPr>
        <w:t>到一定高度，砂水分离或下面的胶结料已初凝，则隔墙所受压力变化不大。</w:t>
      </w:r>
    </w:p>
    <w:p>
      <w:pPr>
        <w:ind w:left="519"/>
        <w:spacing w:before="3" w:line="221" w:lineRule="auto"/>
        <w:rPr>
          <w:rFonts w:ascii="FangSong" w:hAnsi="FangSong" w:eastAsia="FangSong" w:cs="FangSong"/>
          <w:sz w:val="24"/>
          <w:szCs w:val="24"/>
        </w:rPr>
      </w:pPr>
      <w:r>
        <w:rPr>
          <w:rFonts w:ascii="FangSong" w:hAnsi="FangSong" w:eastAsia="FangSong" w:cs="FangSong"/>
          <w:sz w:val="24"/>
          <w:szCs w:val="24"/>
          <w:spacing w:val="-3"/>
        </w:rPr>
        <w:t>隔墙的种类主要有以下几种：</w:t>
      </w:r>
    </w:p>
    <w:p>
      <w:pPr>
        <w:ind w:left="499"/>
        <w:spacing w:before="178" w:line="222" w:lineRule="auto"/>
        <w:rPr>
          <w:rFonts w:ascii="FangSong" w:hAnsi="FangSong" w:eastAsia="FangSong" w:cs="FangSong"/>
          <w:sz w:val="24"/>
          <w:szCs w:val="24"/>
        </w:rPr>
      </w:pP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、砖或水泥混凝土块（石）砌筑的隔墙；</w:t>
      </w:r>
    </w:p>
    <w:p>
      <w:pPr>
        <w:ind w:left="490"/>
        <w:spacing w:before="177" w:line="220"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、外侧木制内侧钢筋网过滤布结构；</w:t>
      </w:r>
    </w:p>
    <w:p>
      <w:pPr>
        <w:ind w:left="499"/>
        <w:spacing w:before="182" w:line="220"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、两侧为预制块，中间为尾砂胶结料的隔</w:t>
      </w:r>
      <w:r>
        <w:rPr>
          <w:rFonts w:ascii="FangSong" w:hAnsi="FangSong" w:eastAsia="FangSong" w:cs="FangSong"/>
          <w:sz w:val="24"/>
          <w:szCs w:val="24"/>
          <w:spacing w:val="-3"/>
        </w:rPr>
        <w:t>墙；</w:t>
      </w:r>
    </w:p>
    <w:p>
      <w:pPr>
        <w:ind w:left="498"/>
        <w:spacing w:before="182" w:line="223" w:lineRule="auto"/>
        <w:rPr>
          <w:rFonts w:ascii="FangSong" w:hAnsi="FangSong" w:eastAsia="FangSong" w:cs="FangSong"/>
          <w:sz w:val="24"/>
          <w:szCs w:val="24"/>
        </w:rPr>
      </w:pPr>
      <w:r>
        <w:rPr>
          <w:rFonts w:ascii="Times New Roman" w:hAnsi="Times New Roman" w:eastAsia="Times New Roman" w:cs="Times New Roman"/>
          <w:sz w:val="24"/>
          <w:szCs w:val="24"/>
          <w:spacing w:val="-3"/>
        </w:rPr>
        <w:t>d</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、现浇混凝土或钢筋混凝土隔墙。</w:t>
      </w:r>
    </w:p>
    <w:p>
      <w:pPr>
        <w:ind w:left="499"/>
        <w:spacing w:before="176" w:line="220" w:lineRule="auto"/>
        <w:rPr>
          <w:rFonts w:ascii="FangSong" w:hAnsi="FangSong" w:eastAsia="FangSong" w:cs="FangSong"/>
          <w:sz w:val="24"/>
          <w:szCs w:val="24"/>
        </w:rPr>
      </w:pPr>
      <w:r>
        <w:rPr>
          <w:rFonts w:ascii="Times New Roman" w:hAnsi="Times New Roman" w:eastAsia="Times New Roman" w:cs="Times New Roman"/>
          <w:sz w:val="24"/>
          <w:szCs w:val="24"/>
          <w:spacing w:val="-7"/>
        </w:rPr>
        <w:t>C</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、隔墙的制作</w:t>
      </w:r>
    </w:p>
    <w:p>
      <w:pPr>
        <w:ind w:left="26" w:firstLine="473"/>
        <w:spacing w:before="182" w:line="290" w:lineRule="auto"/>
        <w:rPr>
          <w:rFonts w:ascii="FangSong" w:hAnsi="FangSong" w:eastAsia="FangSong" w:cs="FangSong"/>
          <w:sz w:val="24"/>
          <w:szCs w:val="24"/>
        </w:rPr>
      </w:pPr>
      <w:r>
        <w:rPr>
          <w:rFonts w:ascii="Times New Roman" w:hAnsi="Times New Roman" w:eastAsia="Times New Roman" w:cs="Times New Roman"/>
          <w:sz w:val="24"/>
          <w:szCs w:val="24"/>
          <w:spacing w:val="-9"/>
        </w:rPr>
        <w:t>a</w:t>
      </w:r>
      <w:r>
        <w:rPr>
          <w:rFonts w:ascii="FangSong" w:hAnsi="FangSong" w:eastAsia="FangSong" w:cs="FangSong"/>
          <w:sz w:val="24"/>
          <w:szCs w:val="24"/>
          <w:spacing w:val="-9"/>
        </w:rPr>
        <w:t>、把底板吹净见到硬底，砌砖墙须浇灌混凝土基础，安装销钉（固定墙的锚杆</w:t>
      </w:r>
      <w:r>
        <w:rPr>
          <w:rFonts w:ascii="FangSong" w:hAnsi="FangSong" w:eastAsia="FangSong" w:cs="FangSong"/>
          <w:sz w:val="24"/>
          <w:szCs w:val="24"/>
          <w:spacing w:val="-60"/>
          <w:w w:val="90"/>
        </w:rPr>
        <w:t>）；</w:t>
      </w:r>
      <w:r>
        <w:rPr>
          <w:rFonts w:ascii="FangSong" w:hAnsi="FangSong" w:eastAsia="FangSong" w:cs="FangSong"/>
          <w:sz w:val="24"/>
          <w:szCs w:val="24"/>
          <w:spacing w:val="-2"/>
        </w:rPr>
        <w:t>现浇混凝土隔墙需架设模板；</w:t>
      </w:r>
    </w:p>
    <w:p>
      <w:pPr>
        <w:ind w:left="490"/>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5"/>
        </w:rPr>
        <w:t>b</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、砌筑或者浇灌隔墙，有的需要留安全通风</w:t>
      </w:r>
      <w:r>
        <w:rPr>
          <w:rFonts w:ascii="FangSong" w:hAnsi="FangSong" w:eastAsia="FangSong" w:cs="FangSong"/>
          <w:sz w:val="24"/>
          <w:szCs w:val="24"/>
          <w:spacing w:val="-61"/>
        </w:rPr>
        <w:t xml:space="preserve"> </w:t>
      </w:r>
      <w:r>
        <w:rPr>
          <w:rFonts w:ascii="FangSong" w:hAnsi="FangSong" w:eastAsia="FangSong" w:cs="FangSong"/>
          <w:sz w:val="24"/>
          <w:szCs w:val="24"/>
          <w:spacing w:val="-5"/>
        </w:rPr>
        <w:t>口；</w:t>
      </w:r>
    </w:p>
    <w:p>
      <w:pPr>
        <w:ind w:left="499"/>
        <w:spacing w:before="179" w:line="221"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、砖隔墙两侧及与巷道接触周边抹水泥砂浆，防止跑浆；</w:t>
      </w:r>
    </w:p>
    <w:p>
      <w:pPr>
        <w:ind w:left="498"/>
        <w:spacing w:before="178" w:line="222" w:lineRule="auto"/>
        <w:rPr>
          <w:rFonts w:ascii="FangSong" w:hAnsi="FangSong" w:eastAsia="FangSong" w:cs="FangSong"/>
          <w:sz w:val="24"/>
          <w:szCs w:val="24"/>
        </w:rPr>
      </w:pPr>
      <w:r>
        <w:rPr>
          <w:rFonts w:ascii="Times New Roman" w:hAnsi="Times New Roman" w:eastAsia="Times New Roman" w:cs="Times New Roman"/>
          <w:sz w:val="24"/>
          <w:szCs w:val="24"/>
          <w:spacing w:val="-5"/>
        </w:rPr>
        <w:t>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、安装滤水设施；</w:t>
      </w:r>
    </w:p>
    <w:p>
      <w:pPr>
        <w:ind w:left="38" w:right="62" w:firstLine="461"/>
        <w:spacing w:before="176" w:line="292" w:lineRule="auto"/>
        <w:rPr>
          <w:rFonts w:ascii="FangSong" w:hAnsi="FangSong" w:eastAsia="FangSong" w:cs="FangSong"/>
          <w:sz w:val="24"/>
          <w:szCs w:val="24"/>
        </w:rPr>
      </w:pPr>
      <w:r>
        <w:rPr>
          <w:rFonts w:ascii="Times New Roman" w:hAnsi="Times New Roman" w:eastAsia="Times New Roman" w:cs="Times New Roman"/>
          <w:sz w:val="24"/>
          <w:szCs w:val="24"/>
          <w:spacing w:val="-3"/>
        </w:rPr>
        <w:t>e</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、为防止充填料间柱或围岩裂缝中泄漏，有时需要向隔墙附近破碎严重的岩层</w:t>
      </w:r>
      <w:r>
        <w:rPr>
          <w:rFonts w:ascii="FangSong" w:hAnsi="FangSong" w:eastAsia="FangSong" w:cs="FangSong"/>
          <w:sz w:val="24"/>
          <w:szCs w:val="24"/>
          <w:spacing w:val="-5"/>
        </w:rPr>
        <w:t>喷射混凝土。</w:t>
      </w:r>
    </w:p>
    <w:p>
      <w:pPr>
        <w:ind w:left="495"/>
        <w:spacing w:before="176"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、采场的脱滤水设施</w:t>
      </w:r>
    </w:p>
    <w:p>
      <w:pPr>
        <w:ind w:left="510"/>
        <w:spacing w:before="179" w:line="219" w:lineRule="auto"/>
        <w:rPr>
          <w:rFonts w:ascii="FangSong" w:hAnsi="FangSong" w:eastAsia="FangSong" w:cs="FangSong"/>
          <w:sz w:val="24"/>
          <w:szCs w:val="24"/>
        </w:rPr>
      </w:pPr>
      <w:r>
        <w:rPr>
          <w:rFonts w:ascii="FangSong" w:hAnsi="FangSong" w:eastAsia="FangSong" w:cs="FangSong"/>
          <w:sz w:val="24"/>
          <w:szCs w:val="24"/>
          <w:spacing w:val="1"/>
        </w:rPr>
        <w:t>一般在隔墙安装滤水设施（预埋滤水管）进行脱水。滤水管采用钢管或聚乙烯</w:t>
      </w:r>
    </w:p>
    <w:p>
      <w:pPr>
        <w:spacing w:line="219" w:lineRule="auto"/>
        <w:sectPr>
          <w:footerReference w:type="default" r:id="rId156"/>
          <w:pgSz w:w="11911" w:h="16839"/>
          <w:pgMar w:top="400" w:right="1355"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6" w:right="63" w:firstLine="11"/>
        <w:spacing w:before="78" w:line="357" w:lineRule="auto"/>
        <w:jc w:val="both"/>
        <w:rPr>
          <w:rFonts w:ascii="FangSong" w:hAnsi="FangSong" w:eastAsia="FangSong" w:cs="FangSong"/>
          <w:sz w:val="24"/>
          <w:szCs w:val="24"/>
        </w:rPr>
      </w:pPr>
      <w:r>
        <w:rPr>
          <w:rFonts w:ascii="FangSong" w:hAnsi="FangSong" w:eastAsia="FangSong" w:cs="FangSong"/>
          <w:sz w:val="24"/>
          <w:szCs w:val="24"/>
          <w:spacing w:val="-5"/>
        </w:rPr>
        <w:t>塑管，靠采场一侧脱水管一般为Φ</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5"/>
        </w:rPr>
        <w:t>100</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1.6H</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5"/>
        </w:rPr>
        <w:t>型螺旋弧形塑料波纹管（复合</w:t>
      </w:r>
      <w:r>
        <w:rPr>
          <w:rFonts w:ascii="FangSong" w:hAnsi="FangSong" w:eastAsia="FangSong" w:cs="FangSong"/>
          <w:sz w:val="24"/>
          <w:szCs w:val="24"/>
          <w:spacing w:val="-6"/>
        </w:rPr>
        <w:t>管）。管</w:t>
      </w:r>
      <w:r>
        <w:rPr>
          <w:rFonts w:ascii="FangSong" w:hAnsi="FangSong" w:eastAsia="FangSong" w:cs="FangSong"/>
          <w:sz w:val="24"/>
          <w:szCs w:val="24"/>
          <w:spacing w:val="-2"/>
        </w:rPr>
        <w:t>壁加工孔洞中Φ</w:t>
      </w:r>
      <w:r>
        <w:rPr>
          <w:rFonts w:ascii="Times New Roman" w:hAnsi="Times New Roman" w:eastAsia="Times New Roman" w:cs="Times New Roman"/>
          <w:sz w:val="24"/>
          <w:szCs w:val="24"/>
          <w:spacing w:val="-2"/>
        </w:rPr>
        <w:t>12@50</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2"/>
        </w:rPr>
        <w:t>，外包</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100</w:t>
      </w:r>
      <w:r>
        <w:rPr>
          <w:rFonts w:ascii="Times New Roman" w:hAnsi="Times New Roman" w:eastAsia="Times New Roman" w:cs="Times New Roman"/>
          <w:sz w:val="24"/>
          <w:szCs w:val="24"/>
          <w:spacing w:val="58"/>
        </w:rPr>
        <w:t xml:space="preserve"> </w:t>
      </w:r>
      <w:r>
        <w:rPr>
          <w:rFonts w:ascii="FangSong" w:hAnsi="FangSong" w:eastAsia="FangSong" w:cs="FangSong"/>
          <w:sz w:val="24"/>
          <w:szCs w:val="24"/>
          <w:spacing w:val="-2"/>
        </w:rPr>
        <w:t>目滤水布二层，最外层用粗麻袋及铁丝缠牢。根</w:t>
      </w:r>
      <w:r>
        <w:rPr>
          <w:rFonts w:ascii="FangSong" w:hAnsi="FangSong" w:eastAsia="FangSong" w:cs="FangSong"/>
          <w:sz w:val="24"/>
          <w:szCs w:val="24"/>
          <w:spacing w:val="1"/>
        </w:rPr>
        <w:t>据采空区高度确定每根脱水管长度，脱水管间的联结用接头及管卡夹紧，并用钢丝</w:t>
      </w:r>
      <w:r>
        <w:rPr>
          <w:rFonts w:ascii="FangSong" w:hAnsi="FangSong" w:eastAsia="FangSong" w:cs="FangSong"/>
          <w:sz w:val="24"/>
          <w:szCs w:val="24"/>
          <w:spacing w:val="-1"/>
        </w:rPr>
        <w:t>绳吊挂在上部巷道锚杆固定，下端穿过挡墙排水管。</w:t>
      </w:r>
    </w:p>
    <w:p>
      <w:pPr>
        <w:ind w:left="498"/>
        <w:spacing w:before="9" w:line="222" w:lineRule="auto"/>
        <w:rPr>
          <w:rFonts w:ascii="FangSong" w:hAnsi="FangSong" w:eastAsia="FangSong" w:cs="FangSong"/>
          <w:sz w:val="24"/>
          <w:szCs w:val="24"/>
        </w:rPr>
      </w:pPr>
      <w:r>
        <w:rPr>
          <w:rFonts w:ascii="FangSong" w:hAnsi="FangSong" w:eastAsia="FangSong" w:cs="FangSong"/>
          <w:sz w:val="24"/>
          <w:szCs w:val="24"/>
          <w:spacing w:val="-9"/>
        </w:rPr>
        <w:t>②</w:t>
      </w:r>
      <w:r>
        <w:rPr>
          <w:rFonts w:ascii="FangSong" w:hAnsi="FangSong" w:eastAsia="FangSong" w:cs="FangSong"/>
          <w:sz w:val="24"/>
          <w:szCs w:val="24"/>
          <w:spacing w:val="18"/>
        </w:rPr>
        <w:t xml:space="preserve"> </w:t>
      </w:r>
      <w:r>
        <w:rPr>
          <w:rFonts w:ascii="FangSong" w:hAnsi="FangSong" w:eastAsia="FangSong" w:cs="FangSong"/>
          <w:sz w:val="24"/>
          <w:szCs w:val="24"/>
          <w:spacing w:val="-9"/>
        </w:rPr>
        <w:t>充填</w:t>
      </w:r>
    </w:p>
    <w:p>
      <w:pPr>
        <w:ind w:left="39" w:right="65" w:firstLine="453"/>
        <w:spacing w:before="176" w:line="291" w:lineRule="auto"/>
        <w:rPr>
          <w:rFonts w:ascii="FangSong" w:hAnsi="FangSong" w:eastAsia="FangSong" w:cs="FangSong"/>
          <w:sz w:val="24"/>
          <w:szCs w:val="24"/>
        </w:rPr>
      </w:pP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、密闭墙及滤水设施安装检查合格后，即可</w:t>
      </w:r>
      <w:r>
        <w:rPr>
          <w:rFonts w:ascii="FangSong" w:hAnsi="FangSong" w:eastAsia="FangSong" w:cs="FangSong"/>
          <w:sz w:val="24"/>
          <w:szCs w:val="24"/>
          <w:spacing w:val="-5"/>
        </w:rPr>
        <w:t>开始充填。首先进行试充，未发现</w:t>
      </w:r>
      <w:r>
        <w:rPr>
          <w:rFonts w:ascii="FangSong" w:hAnsi="FangSong" w:eastAsia="FangSong" w:cs="FangSong"/>
          <w:sz w:val="24"/>
          <w:szCs w:val="24"/>
          <w:spacing w:val="-2"/>
        </w:rPr>
        <w:t>密闭工程有漏洞时，方可正式充填。</w:t>
      </w:r>
    </w:p>
    <w:p>
      <w:pPr>
        <w:ind w:left="495"/>
        <w:spacing w:before="178" w:line="219"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2"/>
        </w:rPr>
        <w:t>、密闭隔墙的滤水管在开始充填前关闭，待澄清后再打开放水。</w:t>
      </w:r>
    </w:p>
    <w:p>
      <w:pPr>
        <w:ind w:left="51" w:right="110" w:firstLine="448"/>
        <w:spacing w:before="183" w:line="290" w:lineRule="auto"/>
        <w:rPr>
          <w:rFonts w:ascii="FangSong" w:hAnsi="FangSong" w:eastAsia="FangSong" w:cs="FangSong"/>
          <w:sz w:val="24"/>
          <w:szCs w:val="24"/>
        </w:rPr>
      </w:pPr>
      <w:r>
        <w:rPr>
          <w:rFonts w:ascii="Times New Roman" w:hAnsi="Times New Roman" w:eastAsia="Times New Roman" w:cs="Times New Roman"/>
          <w:sz w:val="24"/>
          <w:szCs w:val="24"/>
          <w:spacing w:val="-4"/>
        </w:rPr>
        <w:t>C</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、根据采空区长度每间距</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10-15m</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设置一个下料点，每个下料点设一个三通，</w:t>
      </w:r>
      <w:r>
        <w:rPr>
          <w:rFonts w:ascii="FangSong" w:hAnsi="FangSong" w:eastAsia="FangSong" w:cs="FangSong"/>
          <w:sz w:val="24"/>
          <w:szCs w:val="24"/>
          <w:spacing w:val="-2"/>
        </w:rPr>
        <w:t>以便将引管水或清洗水引入巷道排水沟，不进入采场。</w:t>
      </w:r>
    </w:p>
    <w:p>
      <w:pPr>
        <w:ind w:left="26" w:right="65" w:firstLine="468"/>
        <w:spacing w:before="181" w:line="313" w:lineRule="auto"/>
        <w:rPr>
          <w:rFonts w:ascii="FangSong" w:hAnsi="FangSong" w:eastAsia="FangSong" w:cs="FangSong"/>
          <w:sz w:val="24"/>
          <w:szCs w:val="24"/>
        </w:rPr>
      </w:pPr>
      <w:r>
        <w:rPr>
          <w:rFonts w:ascii="Times New Roman" w:hAnsi="Times New Roman" w:eastAsia="Times New Roman" w:cs="Times New Roman"/>
          <w:sz w:val="24"/>
          <w:szCs w:val="24"/>
          <w:spacing w:val="-4"/>
        </w:rPr>
        <w:t>D</w:t>
      </w:r>
      <w:r>
        <w:rPr>
          <w:rFonts w:ascii="FangSong" w:hAnsi="FangSong" w:eastAsia="FangSong" w:cs="FangSong"/>
          <w:sz w:val="24"/>
          <w:szCs w:val="24"/>
          <w:spacing w:val="-4"/>
        </w:rPr>
        <w:t>、采空区充填为分期充填，为防止跑浆事故，减少充填对隔墙的压力，第一次</w:t>
      </w:r>
      <w:r>
        <w:rPr>
          <w:rFonts w:ascii="FangSong" w:hAnsi="FangSong" w:eastAsia="FangSong" w:cs="FangSong"/>
          <w:sz w:val="24"/>
          <w:szCs w:val="24"/>
        </w:rPr>
        <w:t>尾胶充填打底高度</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rPr>
        <w:t>1.0-1.5m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，三天后进行第二次充填，待凝固的充填体高度超过挡</w:t>
      </w:r>
      <w:r>
        <w:rPr>
          <w:rFonts w:ascii="FangSong" w:hAnsi="FangSong" w:eastAsia="FangSong" w:cs="FangSong"/>
          <w:sz w:val="24"/>
          <w:szCs w:val="24"/>
          <w:spacing w:val="-6"/>
        </w:rPr>
        <w:t>墙顶部</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6"/>
        </w:rPr>
        <w:t>1.5m</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6"/>
        </w:rPr>
        <w:t>以上可连续充填。</w:t>
      </w:r>
    </w:p>
    <w:p>
      <w:pPr>
        <w:ind w:left="28" w:firstLine="467"/>
        <w:spacing w:before="178" w:line="314" w:lineRule="auto"/>
        <w:rPr>
          <w:rFonts w:ascii="FangSong" w:hAnsi="FangSong" w:eastAsia="FangSong" w:cs="FangSong"/>
          <w:sz w:val="24"/>
          <w:szCs w:val="24"/>
        </w:rPr>
      </w:pPr>
      <w:r>
        <w:rPr>
          <w:rFonts w:ascii="Times New Roman" w:hAnsi="Times New Roman" w:eastAsia="Times New Roman" w:cs="Times New Roman"/>
          <w:sz w:val="24"/>
          <w:szCs w:val="24"/>
          <w:spacing w:val="-4"/>
        </w:rPr>
        <w:t>E</w:t>
      </w:r>
      <w:r>
        <w:rPr>
          <w:rFonts w:ascii="FangSong" w:hAnsi="FangSong" w:eastAsia="FangSong" w:cs="FangSong"/>
          <w:sz w:val="24"/>
          <w:szCs w:val="24"/>
          <w:spacing w:val="-4"/>
        </w:rPr>
        <w:t>、为了保证充填接顶，可将充填下料处通道挑顶</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1.0-1.5m</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或由上方打孔，使充</w:t>
      </w:r>
      <w:r>
        <w:rPr>
          <w:rFonts w:ascii="FangSong" w:hAnsi="FangSong" w:eastAsia="FangSong" w:cs="FangSong"/>
          <w:sz w:val="24"/>
          <w:szCs w:val="24"/>
          <w:spacing w:val="-4"/>
        </w:rPr>
        <w:t>填料自流接顶，充满采空区。溢流水与采空区充填体滤水流入巷道排水沟进入水仓，</w:t>
      </w:r>
      <w:r>
        <w:rPr>
          <w:rFonts w:ascii="FangSong" w:hAnsi="FangSong" w:eastAsia="FangSong" w:cs="FangSong"/>
          <w:sz w:val="24"/>
          <w:szCs w:val="24"/>
          <w:spacing w:val="-3"/>
        </w:rPr>
        <w:t>然后泵出地表。</w:t>
      </w:r>
    </w:p>
    <w:p>
      <w:pPr>
        <w:ind w:left="505"/>
        <w:spacing w:before="176" w:line="223" w:lineRule="auto"/>
        <w:rPr>
          <w:rFonts w:ascii="FangSong" w:hAnsi="FangSong" w:eastAsia="FangSong" w:cs="FangSong"/>
          <w:sz w:val="24"/>
          <w:szCs w:val="24"/>
        </w:rPr>
      </w:pPr>
      <w:r>
        <w:rPr>
          <w:rFonts w:ascii="Times New Roman" w:hAnsi="Times New Roman" w:eastAsia="Times New Roman" w:cs="Times New Roman"/>
          <w:sz w:val="24"/>
          <w:szCs w:val="24"/>
          <w:spacing w:val="-3"/>
        </w:rPr>
        <w:t>8</w:t>
      </w:r>
      <w:r>
        <w:rPr>
          <w:rFonts w:ascii="FangSong" w:hAnsi="FangSong" w:eastAsia="FangSong" w:cs="FangSong"/>
          <w:sz w:val="24"/>
          <w:szCs w:val="24"/>
          <w:spacing w:val="-3"/>
        </w:rPr>
        <w:t>）废石充填</w:t>
      </w:r>
    </w:p>
    <w:p>
      <w:pPr>
        <w:ind w:left="26" w:right="63" w:firstLine="482"/>
        <w:spacing w:before="177" w:line="359" w:lineRule="auto"/>
        <w:rPr>
          <w:rFonts w:ascii="FangSong" w:hAnsi="FangSong" w:eastAsia="FangSong" w:cs="FangSong"/>
          <w:sz w:val="24"/>
          <w:szCs w:val="24"/>
        </w:rPr>
      </w:pPr>
      <w:r>
        <w:rPr>
          <w:rFonts w:ascii="FangSong" w:hAnsi="FangSong" w:eastAsia="FangSong" w:cs="FangSong"/>
          <w:sz w:val="24"/>
          <w:szCs w:val="24"/>
          <w:spacing w:val="1"/>
        </w:rPr>
        <w:t>采场回采完毕后，通过上中段出矿穿脉向采场掘进</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1"/>
        </w:rPr>
        <w:t>2-3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个废石充填小井，矿山</w:t>
      </w:r>
      <w:r>
        <w:rPr>
          <w:rFonts w:ascii="FangSong" w:hAnsi="FangSong" w:eastAsia="FangSong" w:cs="FangSong"/>
          <w:sz w:val="24"/>
          <w:szCs w:val="24"/>
          <w:spacing w:val="1"/>
        </w:rPr>
        <w:t>将掘进废石通过竖井提升至采空区上中段，通过电机车牵引至充填小井附近，人工</w:t>
      </w:r>
      <w:r>
        <w:rPr>
          <w:rFonts w:ascii="FangSong" w:hAnsi="FangSong" w:eastAsia="FangSong" w:cs="FangSong"/>
          <w:sz w:val="24"/>
          <w:szCs w:val="24"/>
          <w:spacing w:val="-1"/>
        </w:rPr>
        <w:t>翻车将废石倒入采空区内，空区被废石充填满后，封闭充填小井。</w:t>
      </w:r>
    </w:p>
    <w:p>
      <w:pPr>
        <w:ind w:left="511"/>
        <w:spacing w:before="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）选矿工艺</w:t>
      </w:r>
    </w:p>
    <w:p>
      <w:pPr>
        <w:ind w:left="507"/>
        <w:spacing w:before="177" w:line="222" w:lineRule="auto"/>
        <w:rPr>
          <w:rFonts w:ascii="FangSong" w:hAnsi="FangSong" w:eastAsia="FangSong" w:cs="FangSong"/>
          <w:sz w:val="24"/>
          <w:szCs w:val="24"/>
        </w:rPr>
      </w:pPr>
      <w:r>
        <w:rPr>
          <w:rFonts w:ascii="FangSong" w:hAnsi="FangSong" w:eastAsia="FangSong" w:cs="FangSong"/>
          <w:sz w:val="24"/>
          <w:szCs w:val="24"/>
          <w:spacing w:val="-1"/>
        </w:rPr>
        <w:t>本项目选矿工艺流程及产排污节点示意图见图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4.13-4</w:t>
      </w:r>
      <w:r>
        <w:rPr>
          <w:rFonts w:ascii="FangSong" w:hAnsi="FangSong" w:eastAsia="FangSong" w:cs="FangSong"/>
          <w:sz w:val="24"/>
          <w:szCs w:val="24"/>
          <w:spacing w:val="-1"/>
        </w:rPr>
        <w:t>。</w:t>
      </w:r>
    </w:p>
    <w:p>
      <w:pPr>
        <w:spacing w:line="222" w:lineRule="auto"/>
        <w:sectPr>
          <w:footerReference w:type="default" r:id="rId157"/>
          <w:pgSz w:w="11911" w:h="16839"/>
          <w:pgMar w:top="400" w:right="1352" w:bottom="1146" w:left="1786" w:header="0" w:footer="984" w:gutter="0"/>
        </w:sectPr>
        <w:rPr>
          <w:rFonts w:ascii="FangSong" w:hAnsi="FangSong" w:eastAsia="FangSong" w:cs="FangSong"/>
          <w:sz w:val="24"/>
          <w:szCs w:val="24"/>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ind w:firstLine="488"/>
        <w:spacing w:line="10666" w:lineRule="exact"/>
        <w:rPr/>
      </w:pPr>
      <w:r>
        <w:rPr>
          <w:position w:val="-213"/>
        </w:rPr>
        <w:drawing>
          <wp:inline distT="0" distB="0" distL="0" distR="0">
            <wp:extent cx="4914900" cy="6772656"/>
            <wp:effectExtent l="0" t="0" r="0" b="0"/>
            <wp:docPr id="26" name="IM 26"/>
            <wp:cNvGraphicFramePr/>
            <a:graphic>
              <a:graphicData uri="http://schemas.openxmlformats.org/drawingml/2006/picture">
                <pic:pic>
                  <pic:nvPicPr>
                    <pic:cNvPr id="26" name="IM 26"/>
                    <pic:cNvPicPr/>
                  </pic:nvPicPr>
                  <pic:blipFill>
                    <a:blip r:embed="rId159"/>
                    <a:stretch>
                      <a:fillRect/>
                    </a:stretch>
                  </pic:blipFill>
                  <pic:spPr>
                    <a:xfrm rot="0">
                      <a:off x="0" y="0"/>
                      <a:ext cx="4914900" cy="6772656"/>
                    </a:xfrm>
                    <a:prstGeom prst="rect">
                      <a:avLst/>
                    </a:prstGeom>
                  </pic:spPr>
                </pic:pic>
              </a:graphicData>
            </a:graphic>
          </wp:inline>
        </w:drawing>
      </w:r>
    </w:p>
    <w:p>
      <w:pPr>
        <w:ind w:left="1708"/>
        <w:spacing w:before="187" w:line="222" w:lineRule="auto"/>
        <w:rPr>
          <w:rFonts w:ascii="FangSong" w:hAnsi="FangSong" w:eastAsia="FangSong" w:cs="FangSong"/>
          <w:sz w:val="24"/>
          <w:szCs w:val="24"/>
        </w:rPr>
      </w:pPr>
      <w:r>
        <w:rPr>
          <w:rFonts w:ascii="FangSong" w:hAnsi="FangSong" w:eastAsia="FangSong" w:cs="FangSong"/>
          <w:sz w:val="24"/>
          <w:szCs w:val="24"/>
          <w:b/>
          <w:bCs/>
          <w:spacing w:val="-3"/>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3"/>
        </w:rPr>
        <w:t>4.13-4  </w:t>
      </w:r>
      <w:r>
        <w:rPr>
          <w:rFonts w:ascii="FangSong" w:hAnsi="FangSong" w:eastAsia="FangSong" w:cs="FangSong"/>
          <w:sz w:val="24"/>
          <w:szCs w:val="24"/>
          <w:b/>
          <w:bCs/>
          <w:spacing w:val="-3"/>
        </w:rPr>
        <w:t>本项目选矿工艺流程及产排污节点示意图</w:t>
      </w:r>
    </w:p>
    <w:p>
      <w:pPr>
        <w:ind w:left="26" w:right="2" w:firstLine="481"/>
        <w:spacing w:before="177" w:line="360" w:lineRule="auto"/>
        <w:rPr>
          <w:rFonts w:ascii="FangSong" w:hAnsi="FangSong" w:eastAsia="FangSong" w:cs="FangSong"/>
          <w:sz w:val="24"/>
          <w:szCs w:val="24"/>
        </w:rPr>
      </w:pPr>
      <w:r>
        <w:rPr>
          <w:rFonts w:ascii="FangSong" w:hAnsi="FangSong" w:eastAsia="FangSong" w:cs="FangSong"/>
          <w:sz w:val="24"/>
          <w:szCs w:val="24"/>
          <w:spacing w:val="-3"/>
        </w:rPr>
        <w:t>本项目选矿工艺流程为一段磨矿（磨矿细度</w:t>
      </w:r>
      <w:r>
        <w:rPr>
          <w:rFonts w:ascii="Times New Roman" w:hAnsi="Times New Roman" w:eastAsia="Times New Roman" w:cs="Times New Roman"/>
          <w:sz w:val="24"/>
          <w:szCs w:val="24"/>
          <w:spacing w:val="-3"/>
        </w:rPr>
        <w:t>-200  </w:t>
      </w:r>
      <w:r>
        <w:rPr>
          <w:rFonts w:ascii="FangSong" w:hAnsi="FangSong" w:eastAsia="FangSong" w:cs="FangSong"/>
          <w:sz w:val="24"/>
          <w:szCs w:val="24"/>
          <w:spacing w:val="-4"/>
        </w:rPr>
        <w:t>目</w:t>
      </w:r>
      <w:r>
        <w:rPr>
          <w:rFonts w:ascii="FangSong" w:hAnsi="FangSong" w:eastAsia="FangSong" w:cs="FangSong"/>
          <w:sz w:val="24"/>
          <w:szCs w:val="24"/>
          <w:spacing w:val="-63"/>
        </w:rPr>
        <w:t xml:space="preserve"> </w:t>
      </w:r>
      <w:r>
        <w:rPr>
          <w:rFonts w:ascii="FangSong" w:hAnsi="FangSong" w:eastAsia="FangSong" w:cs="FangSong"/>
          <w:sz w:val="24"/>
          <w:szCs w:val="24"/>
          <w:spacing w:val="-4"/>
        </w:rPr>
        <w:t>占</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75%</w:t>
      </w:r>
      <w:r>
        <w:rPr>
          <w:rFonts w:ascii="FangSong" w:hAnsi="FangSong" w:eastAsia="FangSong" w:cs="FangSong"/>
          <w:sz w:val="24"/>
          <w:szCs w:val="24"/>
          <w:spacing w:val="-4"/>
        </w:rPr>
        <w:t>）、一次粗选、二次</w:t>
      </w:r>
      <w:r>
        <w:rPr>
          <w:rFonts w:ascii="FangSong" w:hAnsi="FangSong" w:eastAsia="FangSong" w:cs="FangSong"/>
          <w:sz w:val="24"/>
          <w:szCs w:val="24"/>
          <w:spacing w:val="-2"/>
        </w:rPr>
        <w:t>扫选、七次精选的浮选工艺流程。</w:t>
      </w:r>
    </w:p>
    <w:p>
      <w:pPr>
        <w:ind w:left="29" w:firstLine="478"/>
        <w:spacing w:before="1" w:line="359" w:lineRule="auto"/>
        <w:jc w:val="both"/>
        <w:rPr>
          <w:rFonts w:ascii="FangSong" w:hAnsi="FangSong" w:eastAsia="FangSong" w:cs="FangSong"/>
          <w:sz w:val="24"/>
          <w:szCs w:val="24"/>
        </w:rPr>
      </w:pPr>
      <w:r>
        <w:rPr>
          <w:rFonts w:ascii="FangSong" w:hAnsi="FangSong" w:eastAsia="FangSong" w:cs="FangSong"/>
          <w:sz w:val="24"/>
          <w:szCs w:val="24"/>
          <w:spacing w:val="1"/>
        </w:rPr>
        <w:t>根据设计要求，苏尼特右旗富邦矿业有限公司苏尼特右旗桑宝力嘎额尔登塔拉</w:t>
      </w:r>
      <w:r>
        <w:rPr>
          <w:rFonts w:ascii="FangSong" w:hAnsi="FangSong" w:eastAsia="FangSong" w:cs="FangSong"/>
          <w:sz w:val="24"/>
          <w:szCs w:val="24"/>
          <w:spacing w:val="1"/>
        </w:rPr>
        <w:t>萤石矿</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采选项目选矿厂由破碎、筛分、磨矿分级、浮选</w:t>
      </w:r>
      <w:r>
        <w:rPr>
          <w:rFonts w:ascii="FangSong" w:hAnsi="FangSong" w:eastAsia="FangSong" w:cs="FangSong"/>
          <w:sz w:val="24"/>
          <w:szCs w:val="24"/>
        </w:rPr>
        <w:t>、脱水四个部分组</w:t>
      </w:r>
      <w:r>
        <w:rPr>
          <w:rFonts w:ascii="FangSong" w:hAnsi="FangSong" w:eastAsia="FangSong" w:cs="FangSong"/>
          <w:sz w:val="24"/>
          <w:szCs w:val="24"/>
          <w:spacing w:val="1"/>
        </w:rPr>
        <w:t>成，破碎工艺采用两段一闭路破碎筛分流程，磨矿工艺采用一段闭路磨矿流程，选</w:t>
      </w:r>
      <w:r>
        <w:rPr>
          <w:rFonts w:ascii="FangSong" w:hAnsi="FangSong" w:eastAsia="FangSong" w:cs="FangSong"/>
          <w:sz w:val="24"/>
          <w:szCs w:val="24"/>
          <w:spacing w:val="-1"/>
        </w:rPr>
        <w:t>别工艺采用浮选法（包括一次粗选、两次扫选、七次精选）。</w:t>
      </w:r>
    </w:p>
    <w:p>
      <w:pPr>
        <w:spacing w:line="359" w:lineRule="auto"/>
        <w:sectPr>
          <w:footerReference w:type="default" r:id="rId158"/>
          <w:pgSz w:w="11911" w:h="16839"/>
          <w:pgMar w:top="400" w:right="1416"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519"/>
        <w:spacing w:before="78" w:line="221" w:lineRule="auto"/>
        <w:rPr>
          <w:rFonts w:ascii="FangSong" w:hAnsi="FangSong" w:eastAsia="FangSong" w:cs="FangSong"/>
          <w:sz w:val="24"/>
          <w:szCs w:val="24"/>
        </w:rPr>
      </w:pP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）破碎筛分工艺流程的设计</w:t>
      </w:r>
    </w:p>
    <w:p>
      <w:pPr>
        <w:ind w:left="26" w:right="63"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碎矿采用两段一闭路破碎筛分流程。粗碎为</w:t>
      </w:r>
      <w:r>
        <w:rPr>
          <w:rFonts w:ascii="Times New Roman" w:hAnsi="Times New Roman" w:eastAsia="Times New Roman" w:cs="Times New Roman"/>
          <w:sz w:val="24"/>
          <w:szCs w:val="24"/>
        </w:rPr>
        <w:t>PE</w:t>
      </w:r>
      <w:r>
        <w:rPr>
          <w:rFonts w:ascii="Times New Roman" w:hAnsi="Times New Roman" w:eastAsia="Times New Roman" w:cs="Times New Roman"/>
          <w:sz w:val="24"/>
          <w:szCs w:val="24"/>
          <w:spacing w:val="1"/>
        </w:rPr>
        <w:t>400×600 </w:t>
      </w:r>
      <w:r>
        <w:rPr>
          <w:rFonts w:ascii="FangSong" w:hAnsi="FangSong" w:eastAsia="FangSong" w:cs="FangSong"/>
          <w:sz w:val="24"/>
          <w:szCs w:val="24"/>
          <w:spacing w:val="1"/>
        </w:rPr>
        <w:t>颚式碎机一台，细碎选</w:t>
      </w:r>
      <w:r>
        <w:rPr>
          <w:rFonts w:ascii="FangSong" w:hAnsi="FangSong" w:eastAsia="FangSong" w:cs="FangSong"/>
          <w:sz w:val="24"/>
          <w:szCs w:val="24"/>
          <w:spacing w:val="-2"/>
        </w:rPr>
        <w:t>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PYS-D1205</w:t>
      </w:r>
      <w:r>
        <w:rPr>
          <w:rFonts w:ascii="Times New Roman" w:hAnsi="Times New Roman" w:eastAsia="Times New Roman" w:cs="Times New Roman"/>
          <w:sz w:val="24"/>
          <w:szCs w:val="24"/>
          <w:spacing w:val="41"/>
          <w:w w:val="101"/>
        </w:rPr>
        <w:t xml:space="preserve"> </w:t>
      </w:r>
      <w:r>
        <w:rPr>
          <w:rFonts w:ascii="FangSong" w:hAnsi="FangSong" w:eastAsia="FangSong" w:cs="FangSong"/>
          <w:sz w:val="24"/>
          <w:szCs w:val="24"/>
          <w:spacing w:val="-2"/>
        </w:rPr>
        <w:t>圆锥破碎机一台。筛分作业选用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2YA-1020</w:t>
      </w:r>
      <w:r>
        <w:rPr>
          <w:rFonts w:ascii="Times New Roman" w:hAnsi="Times New Roman" w:eastAsia="Times New Roman" w:cs="Times New Roman"/>
          <w:sz w:val="24"/>
          <w:szCs w:val="24"/>
          <w:spacing w:val="40"/>
          <w:w w:val="101"/>
        </w:rPr>
        <w:t xml:space="preserve"> </w:t>
      </w:r>
      <w:r>
        <w:rPr>
          <w:rFonts w:ascii="FangSong" w:hAnsi="FangSong" w:eastAsia="FangSong" w:cs="FangSong"/>
          <w:sz w:val="24"/>
          <w:szCs w:val="24"/>
          <w:spacing w:val="-2"/>
        </w:rPr>
        <w:t>圆振动筛一台</w:t>
      </w:r>
      <w:r>
        <w:rPr>
          <w:rFonts w:ascii="FangSong" w:hAnsi="FangSong" w:eastAsia="FangSong" w:cs="FangSong"/>
          <w:sz w:val="24"/>
          <w:szCs w:val="24"/>
          <w:spacing w:val="-3"/>
        </w:rPr>
        <w:t>。最终破碎</w:t>
      </w:r>
      <w:r>
        <w:rPr>
          <w:rFonts w:ascii="FangSong" w:hAnsi="FangSong" w:eastAsia="FangSong" w:cs="FangSong"/>
          <w:sz w:val="24"/>
          <w:szCs w:val="24"/>
          <w:spacing w:val="-5"/>
        </w:rPr>
        <w:t>产品粒度为</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5"/>
        </w:rPr>
        <w:t>0-12mm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5"/>
        </w:rPr>
        <w:t>，筛孔尺寸</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10mm</w:t>
      </w:r>
      <w:r>
        <w:rPr>
          <w:rFonts w:ascii="FangSong" w:hAnsi="FangSong" w:eastAsia="FangSong" w:cs="FangSong"/>
          <w:sz w:val="24"/>
          <w:szCs w:val="24"/>
          <w:spacing w:val="-5"/>
        </w:rPr>
        <w:t>。</w:t>
      </w:r>
    </w:p>
    <w:p>
      <w:pPr>
        <w:ind w:left="26" w:right="65" w:firstLine="484"/>
        <w:spacing w:before="6" w:line="358" w:lineRule="auto"/>
        <w:jc w:val="both"/>
        <w:rPr>
          <w:rFonts w:ascii="FangSong" w:hAnsi="FangSong" w:eastAsia="FangSong" w:cs="FangSong"/>
          <w:sz w:val="24"/>
          <w:szCs w:val="24"/>
        </w:rPr>
      </w:pPr>
      <w:r>
        <w:rPr>
          <w:rFonts w:ascii="FangSong" w:hAnsi="FangSong" w:eastAsia="FangSong" w:cs="FangSong"/>
          <w:sz w:val="24"/>
          <w:szCs w:val="24"/>
          <w:spacing w:val="-3"/>
        </w:rPr>
        <w:t>原矿给矿粒度</w:t>
      </w:r>
      <w:r>
        <w:rPr>
          <w:rFonts w:ascii="Times New Roman" w:hAnsi="Times New Roman" w:eastAsia="Times New Roman" w:cs="Times New Roman"/>
          <w:sz w:val="24"/>
          <w:szCs w:val="24"/>
          <w:spacing w:val="-3"/>
        </w:rPr>
        <w:t>≤350mm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，粗碎最大排矿粒度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100m</w:t>
      </w:r>
      <w:r>
        <w:rPr>
          <w:rFonts w:ascii="Times New Roman" w:hAnsi="Times New Roman" w:eastAsia="Times New Roman" w:cs="Times New Roman"/>
          <w:sz w:val="24"/>
          <w:szCs w:val="24"/>
          <w:spacing w:val="-4"/>
        </w:rPr>
        <w:t>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，粗碎产品经</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胶带输送机</w:t>
      </w:r>
      <w:r>
        <w:rPr>
          <w:rFonts w:ascii="FangSong" w:hAnsi="FangSong" w:eastAsia="FangSong" w:cs="FangSong"/>
          <w:sz w:val="24"/>
          <w:szCs w:val="24"/>
          <w:spacing w:val="-8"/>
        </w:rPr>
        <w:t>给入</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spacing w:val="-8"/>
        </w:rPr>
        <w:t>2YA-1020</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8"/>
        </w:rPr>
        <w:t>圆振动筛，筛上产品经</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8"/>
        </w:rPr>
        <w:t>2#</w:t>
      </w:r>
      <w:r>
        <w:rPr>
          <w:rFonts w:ascii="FangSong" w:hAnsi="FangSong" w:eastAsia="FangSong" w:cs="FangSong"/>
          <w:sz w:val="24"/>
          <w:szCs w:val="24"/>
          <w:spacing w:val="-8"/>
        </w:rPr>
        <w:t>胶带输送机给入</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8"/>
        </w:rPr>
        <w:t>PY</w:t>
      </w:r>
      <w:r>
        <w:rPr>
          <w:rFonts w:ascii="Times New Roman" w:hAnsi="Times New Roman" w:eastAsia="Times New Roman" w:cs="Times New Roman"/>
          <w:sz w:val="24"/>
          <w:szCs w:val="24"/>
          <w:spacing w:val="-9"/>
        </w:rPr>
        <w:t>S-D1205</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9"/>
        </w:rPr>
        <w:t>圆锥破碎机（细</w:t>
      </w:r>
      <w:r>
        <w:rPr>
          <w:rFonts w:ascii="FangSong" w:hAnsi="FangSong" w:eastAsia="FangSong" w:cs="FangSong"/>
          <w:sz w:val="24"/>
          <w:szCs w:val="24"/>
          <w:spacing w:val="-3"/>
        </w:rPr>
        <w:t>碎）继续破碎</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PYS-D1205</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3"/>
        </w:rPr>
        <w:t>圆锥破碎机（细碎</w:t>
      </w:r>
      <w:r>
        <w:rPr>
          <w:rFonts w:ascii="FangSong" w:hAnsi="FangSong" w:eastAsia="FangSong" w:cs="FangSong"/>
          <w:sz w:val="24"/>
          <w:szCs w:val="24"/>
          <w:spacing w:val="11"/>
        </w:rPr>
        <w:t>），</w:t>
      </w:r>
      <w:r>
        <w:rPr>
          <w:rFonts w:ascii="FangSong" w:hAnsi="FangSong" w:eastAsia="FangSong" w:cs="FangSong"/>
          <w:sz w:val="24"/>
          <w:szCs w:val="24"/>
          <w:spacing w:val="-3"/>
        </w:rPr>
        <w:t>细碎最大排矿粒度</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30mm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，其产品</w:t>
      </w:r>
      <w:r>
        <w:rPr>
          <w:rFonts w:ascii="FangSong" w:hAnsi="FangSong" w:eastAsia="FangSong" w:cs="FangSong"/>
          <w:sz w:val="24"/>
          <w:szCs w:val="24"/>
          <w:spacing w:val="-3"/>
        </w:rPr>
        <w:t>与</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3"/>
        </w:rPr>
        <w:t>PE400×600</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3"/>
        </w:rPr>
        <w:t>颚式碎机产品共同经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胶带输送机输送至</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2YA-1020</w:t>
      </w:r>
      <w:r>
        <w:rPr>
          <w:rFonts w:ascii="Times New Roman" w:hAnsi="Times New Roman" w:eastAsia="Times New Roman" w:cs="Times New Roman"/>
          <w:sz w:val="24"/>
          <w:szCs w:val="24"/>
          <w:spacing w:val="38"/>
          <w:w w:val="101"/>
        </w:rPr>
        <w:t xml:space="preserve"> </w:t>
      </w:r>
      <w:r>
        <w:rPr>
          <w:rFonts w:ascii="FangSong" w:hAnsi="FangSong" w:eastAsia="FangSong" w:cs="FangSong"/>
          <w:sz w:val="24"/>
          <w:szCs w:val="24"/>
          <w:spacing w:val="-3"/>
        </w:rPr>
        <w:t>圆振动筛，筛下</w:t>
      </w:r>
      <w:r>
        <w:rPr>
          <w:rFonts w:ascii="FangSong" w:hAnsi="FangSong" w:eastAsia="FangSong" w:cs="FangSong"/>
          <w:sz w:val="24"/>
          <w:szCs w:val="24"/>
          <w:spacing w:val="-2"/>
        </w:rPr>
        <w:t>产品经</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胶带输送机输送至粉矿仓</w:t>
      </w:r>
    </w:p>
    <w:p>
      <w:pPr>
        <w:ind w:left="495"/>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）磨矿分级工艺流程的设计</w:t>
      </w:r>
    </w:p>
    <w:p>
      <w:pPr>
        <w:ind w:left="26" w:right="65" w:firstLine="480"/>
        <w:spacing w:before="179" w:line="359" w:lineRule="auto"/>
        <w:rPr>
          <w:rFonts w:ascii="FangSong" w:hAnsi="FangSong" w:eastAsia="FangSong" w:cs="FangSong"/>
          <w:sz w:val="24"/>
          <w:szCs w:val="24"/>
        </w:rPr>
      </w:pPr>
      <w:r>
        <w:rPr>
          <w:rFonts w:ascii="FangSong" w:hAnsi="FangSong" w:eastAsia="FangSong" w:cs="FangSong"/>
          <w:sz w:val="24"/>
          <w:szCs w:val="24"/>
          <w:spacing w:val="-3"/>
        </w:rPr>
        <w:t>磨矿作业为一段闭路磨矿流程，磨矿作业给矿最大粒度</w:t>
      </w:r>
      <w:r>
        <w:rPr>
          <w:rFonts w:ascii="FangSong" w:hAnsi="FangSong" w:eastAsia="FangSong" w:cs="FangSong"/>
          <w:sz w:val="24"/>
          <w:szCs w:val="24"/>
          <w:spacing w:val="-4"/>
        </w:rPr>
        <w:t>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0-12mm</w:t>
      </w:r>
      <w:r>
        <w:rPr>
          <w:rFonts w:ascii="FangSong" w:hAnsi="FangSong" w:eastAsia="FangSong" w:cs="FangSong"/>
          <w:sz w:val="24"/>
          <w:szCs w:val="24"/>
          <w:spacing w:val="-4"/>
        </w:rPr>
        <w:t>，球磨机排矿</w:t>
      </w:r>
      <w:r>
        <w:rPr>
          <w:rFonts w:ascii="FangSong" w:hAnsi="FangSong" w:eastAsia="FangSong" w:cs="FangSong"/>
          <w:sz w:val="24"/>
          <w:szCs w:val="24"/>
          <w:spacing w:val="-4"/>
        </w:rPr>
        <w:t>给入螺旋分级机，螺旋分级机溢流细度为</w:t>
      </w:r>
      <w:r>
        <w:rPr>
          <w:rFonts w:ascii="Times New Roman" w:hAnsi="Times New Roman" w:eastAsia="Times New Roman" w:cs="Times New Roman"/>
          <w:sz w:val="24"/>
          <w:szCs w:val="24"/>
          <w:spacing w:val="-4"/>
        </w:rPr>
        <w:t>-200  </w:t>
      </w:r>
      <w:r>
        <w:rPr>
          <w:rFonts w:ascii="FangSong" w:hAnsi="FangSong" w:eastAsia="FangSong" w:cs="FangSong"/>
          <w:sz w:val="24"/>
          <w:szCs w:val="24"/>
          <w:spacing w:val="-4"/>
        </w:rPr>
        <w:t>目</w:t>
      </w:r>
      <w:r>
        <w:rPr>
          <w:rFonts w:ascii="FangSong" w:hAnsi="FangSong" w:eastAsia="FangSong" w:cs="FangSong"/>
          <w:sz w:val="24"/>
          <w:szCs w:val="24"/>
          <w:spacing w:val="-61"/>
        </w:rPr>
        <w:t xml:space="preserve"> </w:t>
      </w:r>
      <w:r>
        <w:rPr>
          <w:rFonts w:ascii="FangSong" w:hAnsi="FangSong" w:eastAsia="FangSong" w:cs="FangSong"/>
          <w:sz w:val="24"/>
          <w:szCs w:val="24"/>
          <w:spacing w:val="-4"/>
        </w:rPr>
        <w:t>占</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75%</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，螺旋分级机沉砂返回球磨</w:t>
      </w:r>
      <w:r>
        <w:rPr>
          <w:rFonts w:ascii="FangSong" w:hAnsi="FangSong" w:eastAsia="FangSong" w:cs="FangSong"/>
          <w:sz w:val="24"/>
          <w:szCs w:val="24"/>
          <w:spacing w:val="-1"/>
        </w:rPr>
        <w:t>机进行再磨矿，螺旋分级机溢流进入搅拌槽，经加药搅拌后进入粗选作业</w:t>
      </w:r>
    </w:p>
    <w:p>
      <w:pPr>
        <w:ind w:left="500"/>
        <w:spacing w:before="1"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）选别流程的设计</w:t>
      </w:r>
    </w:p>
    <w:p>
      <w:pPr>
        <w:ind w:left="27" w:right="63" w:firstLine="481"/>
        <w:spacing w:before="175" w:line="359" w:lineRule="auto"/>
        <w:rPr>
          <w:rFonts w:ascii="FangSong" w:hAnsi="FangSong" w:eastAsia="FangSong" w:cs="FangSong"/>
          <w:sz w:val="24"/>
          <w:szCs w:val="24"/>
        </w:rPr>
      </w:pPr>
      <w:r>
        <w:rPr>
          <w:rFonts w:ascii="FangSong" w:hAnsi="FangSong" w:eastAsia="FangSong" w:cs="FangSong"/>
          <w:sz w:val="24"/>
          <w:szCs w:val="24"/>
          <w:spacing w:val="1"/>
        </w:rPr>
        <w:t>螺旋分级机溢流进入浮选前调浆桶，采用一次粗选、两次扫选、七次精选中矿</w:t>
      </w:r>
      <w:r>
        <w:rPr>
          <w:rFonts w:ascii="FangSong" w:hAnsi="FangSong" w:eastAsia="FangSong" w:cs="FangSong"/>
          <w:sz w:val="24"/>
          <w:szCs w:val="24"/>
          <w:spacing w:val="1"/>
        </w:rPr>
        <w:t>顺序返回的浮选工艺流程。为确保浮选指标、给药量稳定等问题，在浮选设计了自</w:t>
      </w:r>
      <w:r>
        <w:rPr>
          <w:rFonts w:ascii="FangSong" w:hAnsi="FangSong" w:eastAsia="FangSong" w:cs="FangSong"/>
          <w:sz w:val="24"/>
          <w:szCs w:val="24"/>
          <w:spacing w:val="-2"/>
        </w:rPr>
        <w:t>动给药工艺。粗选、扫选、精选均采用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SF-2.8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浮选机。</w:t>
      </w:r>
    </w:p>
    <w:p>
      <w:pPr>
        <w:ind w:left="494"/>
        <w:spacing w:before="1"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）产品脱水流程的设计</w:t>
      </w:r>
    </w:p>
    <w:p>
      <w:pPr>
        <w:ind w:left="26"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精矿产品脱水作业为二段脱水，分别经浓缩、过滤后成为最终精矿产品，过滤</w:t>
      </w:r>
      <w:r>
        <w:rPr>
          <w:rFonts w:ascii="FangSong" w:hAnsi="FangSong" w:eastAsia="FangSong" w:cs="FangSong"/>
          <w:sz w:val="24"/>
          <w:szCs w:val="24"/>
          <w:spacing w:val="-5"/>
        </w:rPr>
        <w:t>机的滤液作为选厂循环水使用，最终精矿水分小于</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5"/>
        </w:rPr>
        <w:t>12%</w:t>
      </w:r>
      <w:r>
        <w:rPr>
          <w:rFonts w:ascii="FangSong" w:hAnsi="FangSong" w:eastAsia="FangSong" w:cs="FangSong"/>
          <w:sz w:val="24"/>
          <w:szCs w:val="24"/>
          <w:spacing w:val="-5"/>
        </w:rPr>
        <w:t>。尾矿脱水作业为三段脱水，</w:t>
      </w:r>
      <w:r>
        <w:rPr>
          <w:rFonts w:ascii="FangSong" w:hAnsi="FangSong" w:eastAsia="FangSong" w:cs="FangSong"/>
          <w:sz w:val="24"/>
          <w:szCs w:val="24"/>
          <w:spacing w:val="1"/>
        </w:rPr>
        <w:t>经浓缩、筛分、过滤后成为最终尾矿产品，过滤机的滤液作为选厂循环水使用，尾</w:t>
      </w:r>
      <w:r>
        <w:rPr>
          <w:rFonts w:ascii="FangSong" w:hAnsi="FangSong" w:eastAsia="FangSong" w:cs="FangSong"/>
          <w:sz w:val="24"/>
          <w:szCs w:val="24"/>
          <w:spacing w:val="-1"/>
        </w:rPr>
        <w:t>矿干排至尾矿临时堆场再统一进行采空区充填处理。</w:t>
      </w:r>
    </w:p>
    <w:p>
      <w:pPr>
        <w:ind w:left="16"/>
        <w:spacing w:before="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4.13.1.3  </w:t>
      </w:r>
      <w:r>
        <w:rPr>
          <w:rFonts w:ascii="FangSong" w:hAnsi="FangSong" w:eastAsia="FangSong" w:cs="FangSong"/>
          <w:sz w:val="24"/>
          <w:szCs w:val="24"/>
          <w:b/>
          <w:bCs/>
          <w:spacing w:val="-1"/>
        </w:rPr>
        <w:t>排污节点</w:t>
      </w:r>
    </w:p>
    <w:p>
      <w:pPr>
        <w:ind w:left="507"/>
        <w:spacing w:before="180" w:line="221" w:lineRule="auto"/>
        <w:rPr>
          <w:rFonts w:ascii="FangSong" w:hAnsi="FangSong" w:eastAsia="FangSong" w:cs="FangSong"/>
          <w:sz w:val="24"/>
          <w:szCs w:val="24"/>
        </w:rPr>
      </w:pPr>
      <w:r>
        <w:rPr>
          <w:rFonts w:ascii="FangSong" w:hAnsi="FangSong" w:eastAsia="FangSong" w:cs="FangSong"/>
          <w:sz w:val="24"/>
          <w:szCs w:val="24"/>
          <w:spacing w:val="-1"/>
        </w:rPr>
        <w:t>根据排污特征分析，确定项目主要污染源排污点见表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4.13-4</w:t>
      </w:r>
      <w:r>
        <w:rPr>
          <w:rFonts w:ascii="FangSong" w:hAnsi="FangSong" w:eastAsia="FangSong" w:cs="FangSong"/>
          <w:sz w:val="24"/>
          <w:szCs w:val="24"/>
          <w:spacing w:val="-1"/>
        </w:rPr>
        <w:t>。</w:t>
      </w:r>
    </w:p>
    <w:p>
      <w:pPr>
        <w:ind w:left="2409"/>
        <w:spacing w:before="18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4.13-4  </w:t>
      </w:r>
      <w:r>
        <w:rPr>
          <w:rFonts w:ascii="FangSong" w:hAnsi="FangSong" w:eastAsia="FangSong" w:cs="FangSong"/>
          <w:sz w:val="24"/>
          <w:szCs w:val="24"/>
          <w:b/>
          <w:bCs/>
          <w:spacing w:val="-3"/>
        </w:rPr>
        <w:t>主要污染源及排污点一览表</w:t>
      </w:r>
    </w:p>
    <w:p>
      <w:pPr>
        <w:spacing w:line="141" w:lineRule="exact"/>
        <w:rPr/>
      </w:pPr>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454"/>
        <w:gridCol w:w="586"/>
        <w:gridCol w:w="592"/>
        <w:gridCol w:w="1484"/>
        <w:gridCol w:w="1483"/>
        <w:gridCol w:w="741"/>
        <w:gridCol w:w="1782"/>
        <w:gridCol w:w="1571"/>
      </w:tblGrid>
      <w:tr>
        <w:trPr>
          <w:trHeight w:val="548" w:hRule="atLeast"/>
        </w:trPr>
        <w:tc>
          <w:tcPr>
            <w:tcW w:w="1040" w:type="dxa"/>
            <w:vAlign w:val="top"/>
            <w:gridSpan w:val="2"/>
            <w:tcBorders>
              <w:top w:val="single" w:color="00000A" w:sz="10" w:space="0"/>
              <w:left w:val="nil"/>
            </w:tcBorders>
          </w:tcPr>
          <w:p>
            <w:pPr>
              <w:pStyle w:val="TableText"/>
              <w:ind w:left="96"/>
              <w:spacing w:before="170" w:line="232" w:lineRule="auto"/>
              <w:rPr/>
            </w:pPr>
            <w:r>
              <w:rPr>
                <w:spacing w:val="2"/>
              </w:rPr>
              <w:t>时期</w:t>
            </w:r>
            <w:r>
              <w:rPr>
                <w:rFonts w:ascii="Times New Roman" w:hAnsi="Times New Roman" w:eastAsia="Times New Roman" w:cs="Times New Roman"/>
                <w:spacing w:val="2"/>
              </w:rPr>
              <w:t>/</w:t>
            </w:r>
            <w:r>
              <w:rPr>
                <w:spacing w:val="2"/>
              </w:rPr>
              <w:t>类别</w:t>
            </w:r>
          </w:p>
        </w:tc>
        <w:tc>
          <w:tcPr>
            <w:tcW w:w="592" w:type="dxa"/>
            <w:vAlign w:val="top"/>
            <w:tcBorders>
              <w:top w:val="single" w:color="00000A" w:sz="10" w:space="0"/>
            </w:tcBorders>
          </w:tcPr>
          <w:p>
            <w:pPr>
              <w:pStyle w:val="TableText"/>
              <w:ind w:left="99"/>
              <w:spacing w:before="34" w:line="232" w:lineRule="auto"/>
              <w:rPr/>
            </w:pPr>
            <w:r>
              <w:rPr>
                <w:spacing w:val="1"/>
              </w:rPr>
              <w:t>产污</w:t>
            </w:r>
          </w:p>
          <w:p>
            <w:pPr>
              <w:pStyle w:val="TableText"/>
              <w:ind w:left="97"/>
              <w:spacing w:before="22" w:line="212" w:lineRule="auto"/>
              <w:rPr/>
            </w:pPr>
            <w:r>
              <w:rPr>
                <w:spacing w:val="2"/>
              </w:rPr>
              <w:t>环节</w:t>
            </w:r>
          </w:p>
        </w:tc>
        <w:tc>
          <w:tcPr>
            <w:tcW w:w="1484" w:type="dxa"/>
            <w:vAlign w:val="top"/>
            <w:tcBorders>
              <w:top w:val="single" w:color="00000A" w:sz="10" w:space="0"/>
            </w:tcBorders>
          </w:tcPr>
          <w:p>
            <w:pPr>
              <w:pStyle w:val="TableText"/>
              <w:ind w:left="443"/>
              <w:spacing w:before="171" w:line="231" w:lineRule="auto"/>
              <w:rPr/>
            </w:pPr>
            <w:r>
              <w:rPr>
                <w:spacing w:val="3"/>
              </w:rPr>
              <w:t>污染源</w:t>
            </w:r>
          </w:p>
        </w:tc>
        <w:tc>
          <w:tcPr>
            <w:tcW w:w="1483" w:type="dxa"/>
            <w:vAlign w:val="top"/>
            <w:tcBorders>
              <w:top w:val="single" w:color="00000A" w:sz="10" w:space="0"/>
            </w:tcBorders>
          </w:tcPr>
          <w:p>
            <w:pPr>
              <w:pStyle w:val="TableText"/>
              <w:ind w:left="442"/>
              <w:spacing w:before="171" w:line="229" w:lineRule="auto"/>
              <w:rPr/>
            </w:pPr>
            <w:r>
              <w:rPr>
                <w:spacing w:val="3"/>
              </w:rPr>
              <w:t>污染物</w:t>
            </w:r>
          </w:p>
        </w:tc>
        <w:tc>
          <w:tcPr>
            <w:tcW w:w="741" w:type="dxa"/>
            <w:vAlign w:val="top"/>
            <w:tcBorders>
              <w:top w:val="single" w:color="00000A" w:sz="10" w:space="0"/>
            </w:tcBorders>
          </w:tcPr>
          <w:p>
            <w:pPr>
              <w:pStyle w:val="TableText"/>
              <w:ind w:left="173"/>
              <w:spacing w:before="34" w:line="232" w:lineRule="auto"/>
              <w:rPr/>
            </w:pPr>
            <w:r>
              <w:rPr>
                <w:spacing w:val="1"/>
              </w:rPr>
              <w:t>产生</w:t>
            </w:r>
          </w:p>
          <w:p>
            <w:pPr>
              <w:pStyle w:val="TableText"/>
              <w:ind w:left="171"/>
              <w:spacing w:before="22" w:line="212" w:lineRule="auto"/>
              <w:rPr/>
            </w:pPr>
            <w:r>
              <w:rPr>
                <w:spacing w:val="2"/>
              </w:rPr>
              <w:t>规律</w:t>
            </w:r>
          </w:p>
        </w:tc>
        <w:tc>
          <w:tcPr>
            <w:tcW w:w="1782" w:type="dxa"/>
            <w:vAlign w:val="top"/>
            <w:tcBorders>
              <w:top w:val="single" w:color="00000A" w:sz="10" w:space="0"/>
            </w:tcBorders>
          </w:tcPr>
          <w:p>
            <w:pPr>
              <w:pStyle w:val="TableText"/>
              <w:ind w:left="486"/>
              <w:spacing w:before="171" w:line="231" w:lineRule="auto"/>
              <w:rPr/>
            </w:pPr>
            <w:r>
              <w:rPr>
                <w:spacing w:val="4"/>
              </w:rPr>
              <w:t>污染因子</w:t>
            </w:r>
          </w:p>
        </w:tc>
        <w:tc>
          <w:tcPr>
            <w:tcW w:w="1571" w:type="dxa"/>
            <w:vAlign w:val="top"/>
            <w:tcBorders>
              <w:top w:val="single" w:color="00000A" w:sz="10" w:space="0"/>
              <w:right w:val="nil"/>
            </w:tcBorders>
          </w:tcPr>
          <w:p>
            <w:pPr>
              <w:pStyle w:val="TableText"/>
              <w:ind w:left="595"/>
              <w:spacing w:before="171" w:line="234" w:lineRule="auto"/>
              <w:rPr/>
            </w:pPr>
            <w:r>
              <w:rPr>
                <w:spacing w:val="-2"/>
              </w:rPr>
              <w:t>去向</w:t>
            </w:r>
          </w:p>
        </w:tc>
      </w:tr>
      <w:tr>
        <w:trPr>
          <w:trHeight w:val="543" w:hRule="atLeast"/>
        </w:trPr>
        <w:tc>
          <w:tcPr>
            <w:tcW w:w="454" w:type="dxa"/>
            <w:vAlign w:val="top"/>
            <w:vMerge w:val="restart"/>
            <w:tcBorders>
              <w:bottom w:val="nil"/>
              <w:left w:val="nil"/>
            </w:tcBorders>
          </w:tcPr>
          <w:p>
            <w:pPr>
              <w:spacing w:line="258" w:lineRule="auto"/>
              <w:rPr>
                <w:rFonts w:ascii="Arial"/>
                <w:sz w:val="21"/>
              </w:rPr>
            </w:pPr>
            <w:r/>
          </w:p>
          <w:p>
            <w:pPr>
              <w:spacing w:line="259" w:lineRule="auto"/>
              <w:rPr>
                <w:rFonts w:ascii="Arial"/>
                <w:sz w:val="21"/>
              </w:rPr>
            </w:pPr>
            <w:r/>
          </w:p>
          <w:p>
            <w:pPr>
              <w:pStyle w:val="TableText"/>
              <w:ind w:left="131" w:right="18" w:hanging="103"/>
              <w:spacing w:before="65" w:line="253" w:lineRule="auto"/>
              <w:rPr/>
            </w:pPr>
            <w:r>
              <w:rPr>
                <w:spacing w:val="2"/>
              </w:rPr>
              <w:t>施工</w:t>
            </w:r>
            <w:r>
              <w:rPr/>
              <w:t>期</w:t>
            </w:r>
          </w:p>
        </w:tc>
        <w:tc>
          <w:tcPr>
            <w:tcW w:w="586" w:type="dxa"/>
            <w:vAlign w:val="top"/>
          </w:tcPr>
          <w:p>
            <w:pPr>
              <w:pStyle w:val="TableText"/>
              <w:ind w:left="95"/>
              <w:spacing w:before="172" w:line="233" w:lineRule="auto"/>
              <w:rPr/>
            </w:pPr>
            <w:r>
              <w:rPr/>
              <w:t>废气</w:t>
            </w:r>
          </w:p>
        </w:tc>
        <w:tc>
          <w:tcPr>
            <w:tcW w:w="592" w:type="dxa"/>
            <w:vAlign w:val="top"/>
            <w:vMerge w:val="restart"/>
            <w:tcBorders>
              <w:bottom w:val="nil"/>
            </w:tcBorders>
          </w:tcPr>
          <w:p>
            <w:pPr>
              <w:pStyle w:val="TableText"/>
              <w:ind w:left="97"/>
              <w:spacing w:before="40" w:line="231" w:lineRule="auto"/>
              <w:rPr/>
            </w:pPr>
            <w:r>
              <w:rPr>
                <w:spacing w:val="2"/>
              </w:rPr>
              <w:t>开挖</w:t>
            </w:r>
          </w:p>
          <w:p>
            <w:pPr>
              <w:pStyle w:val="TableText"/>
              <w:ind w:left="15" w:firstLine="80"/>
              <w:spacing w:before="23" w:line="251" w:lineRule="auto"/>
              <w:jc w:val="both"/>
              <w:rPr/>
            </w:pPr>
            <w:r>
              <w:rPr>
                <w:spacing w:val="-1"/>
              </w:rPr>
              <w:t>基建</w:t>
            </w:r>
            <w:r>
              <w:rPr>
                <w:spacing w:val="-10"/>
              </w:rPr>
              <w:t>平台、</w:t>
            </w:r>
            <w:r>
              <w:rPr>
                <w:spacing w:val="40"/>
              </w:rPr>
              <w:t>截排</w:t>
            </w:r>
          </w:p>
          <w:p>
            <w:pPr>
              <w:pStyle w:val="TableText"/>
              <w:ind w:left="15" w:firstLine="80"/>
              <w:spacing w:line="236" w:lineRule="auto"/>
              <w:rPr/>
            </w:pPr>
            <w:r>
              <w:rPr/>
              <w:t>水沟</w:t>
            </w:r>
            <w:r>
              <w:rPr>
                <w:spacing w:val="-10"/>
              </w:rPr>
              <w:t>建设、</w:t>
            </w:r>
          </w:p>
        </w:tc>
        <w:tc>
          <w:tcPr>
            <w:tcW w:w="1484" w:type="dxa"/>
            <w:vAlign w:val="top"/>
          </w:tcPr>
          <w:p>
            <w:pPr>
              <w:pStyle w:val="TableText"/>
              <w:ind w:left="332"/>
              <w:spacing w:before="172" w:line="232" w:lineRule="auto"/>
              <w:rPr/>
            </w:pPr>
            <w:r>
              <w:rPr>
                <w:spacing w:val="6"/>
              </w:rPr>
              <w:t>施工场地</w:t>
            </w:r>
          </w:p>
        </w:tc>
        <w:tc>
          <w:tcPr>
            <w:tcW w:w="1483" w:type="dxa"/>
            <w:vAlign w:val="top"/>
          </w:tcPr>
          <w:p>
            <w:pPr>
              <w:pStyle w:val="TableText"/>
              <w:ind w:left="543"/>
              <w:spacing w:before="172" w:line="232" w:lineRule="auto"/>
              <w:rPr/>
            </w:pPr>
            <w:r>
              <w:rPr>
                <w:spacing w:val="2"/>
              </w:rPr>
              <w:t>炮烟</w:t>
            </w:r>
          </w:p>
        </w:tc>
        <w:tc>
          <w:tcPr>
            <w:tcW w:w="741" w:type="dxa"/>
            <w:vAlign w:val="top"/>
          </w:tcPr>
          <w:p>
            <w:pPr>
              <w:pStyle w:val="TableText"/>
              <w:ind w:left="86"/>
              <w:spacing w:before="172" w:line="229" w:lineRule="auto"/>
              <w:rPr/>
            </w:pPr>
            <w:r>
              <w:rPr>
                <w:spacing w:val="-2"/>
              </w:rPr>
              <w:t>间歇性</w:t>
            </w:r>
          </w:p>
        </w:tc>
        <w:tc>
          <w:tcPr>
            <w:tcW w:w="1782" w:type="dxa"/>
            <w:vAlign w:val="top"/>
          </w:tcPr>
          <w:p>
            <w:pPr>
              <w:ind w:left="701"/>
              <w:spacing w:before="20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571" w:type="dxa"/>
            <w:vAlign w:val="top"/>
            <w:tcBorders>
              <w:right w:val="nil"/>
            </w:tcBorders>
          </w:tcPr>
          <w:p>
            <w:pPr>
              <w:pStyle w:val="TableText"/>
              <w:ind w:left="694" w:right="18" w:hanging="655"/>
              <w:spacing w:before="38" w:line="228" w:lineRule="auto"/>
              <w:rPr/>
            </w:pPr>
            <w:r>
              <w:rPr>
                <w:spacing w:val="3"/>
              </w:rPr>
              <w:t>井</w:t>
            </w:r>
            <w:r>
              <w:rPr>
                <w:spacing w:val="-23"/>
              </w:rPr>
              <w:t xml:space="preserve"> </w:t>
            </w:r>
            <w:r>
              <w:rPr>
                <w:rFonts w:ascii="Times New Roman" w:hAnsi="Times New Roman" w:eastAsia="Times New Roman" w:cs="Times New Roman"/>
                <w:spacing w:val="3"/>
              </w:rPr>
              <w:t>15m </w:t>
            </w:r>
            <w:r>
              <w:rPr>
                <w:spacing w:val="3"/>
              </w:rPr>
              <w:t>排气筒排</w:t>
            </w:r>
            <w:r>
              <w:rPr/>
              <w:t>放</w:t>
            </w:r>
          </w:p>
        </w:tc>
      </w:tr>
      <w:tr>
        <w:trPr>
          <w:trHeight w:val="1104" w:hRule="atLeast"/>
        </w:trPr>
        <w:tc>
          <w:tcPr>
            <w:tcW w:w="454" w:type="dxa"/>
            <w:vAlign w:val="top"/>
            <w:vMerge w:val="continue"/>
            <w:tcBorders>
              <w:bottom w:val="single" w:color="00000A" w:sz="10" w:space="0"/>
              <w:left w:val="nil"/>
              <w:top w:val="nil"/>
            </w:tcBorders>
          </w:tcPr>
          <w:p>
            <w:pPr>
              <w:rPr>
                <w:rFonts w:ascii="Arial"/>
                <w:sz w:val="21"/>
              </w:rPr>
            </w:pPr>
            <w:r/>
          </w:p>
        </w:tc>
        <w:tc>
          <w:tcPr>
            <w:tcW w:w="586" w:type="dxa"/>
            <w:vAlign w:val="top"/>
            <w:tcBorders>
              <w:bottom w:val="single" w:color="00000A" w:sz="10" w:space="0"/>
            </w:tcBorders>
          </w:tcPr>
          <w:p>
            <w:pPr>
              <w:spacing w:line="384" w:lineRule="auto"/>
              <w:rPr>
                <w:rFonts w:ascii="Arial"/>
                <w:sz w:val="21"/>
              </w:rPr>
            </w:pPr>
            <w:r/>
          </w:p>
          <w:p>
            <w:pPr>
              <w:pStyle w:val="TableText"/>
              <w:ind w:left="95"/>
              <w:spacing w:before="65" w:line="232" w:lineRule="auto"/>
              <w:rPr/>
            </w:pPr>
            <w:r>
              <w:rPr/>
              <w:t>废水</w:t>
            </w:r>
          </w:p>
        </w:tc>
        <w:tc>
          <w:tcPr>
            <w:tcW w:w="592" w:type="dxa"/>
            <w:vAlign w:val="top"/>
            <w:vMerge w:val="continue"/>
            <w:tcBorders>
              <w:bottom w:val="single" w:color="00000A" w:sz="10" w:space="0"/>
              <w:top w:val="nil"/>
            </w:tcBorders>
          </w:tcPr>
          <w:p>
            <w:pPr>
              <w:rPr>
                <w:rFonts w:ascii="Arial"/>
                <w:sz w:val="21"/>
              </w:rPr>
            </w:pPr>
            <w:r/>
          </w:p>
        </w:tc>
        <w:tc>
          <w:tcPr>
            <w:tcW w:w="1484" w:type="dxa"/>
            <w:vAlign w:val="top"/>
            <w:tcBorders>
              <w:bottom w:val="single" w:color="00000A" w:sz="10" w:space="0"/>
            </w:tcBorders>
          </w:tcPr>
          <w:p>
            <w:pPr>
              <w:spacing w:line="384" w:lineRule="auto"/>
              <w:rPr>
                <w:rFonts w:ascii="Arial"/>
                <w:sz w:val="21"/>
              </w:rPr>
            </w:pPr>
            <w:r/>
          </w:p>
          <w:p>
            <w:pPr>
              <w:pStyle w:val="TableText"/>
              <w:ind w:left="332"/>
              <w:spacing w:before="65" w:line="232" w:lineRule="auto"/>
              <w:rPr/>
            </w:pPr>
            <w:r>
              <w:rPr>
                <w:spacing w:val="6"/>
              </w:rPr>
              <w:t>施工场地</w:t>
            </w:r>
          </w:p>
        </w:tc>
        <w:tc>
          <w:tcPr>
            <w:tcW w:w="1483" w:type="dxa"/>
            <w:vAlign w:val="top"/>
            <w:tcBorders>
              <w:bottom w:val="single" w:color="00000A" w:sz="10" w:space="0"/>
            </w:tcBorders>
          </w:tcPr>
          <w:p>
            <w:pPr>
              <w:spacing w:line="249" w:lineRule="auto"/>
              <w:rPr>
                <w:rFonts w:ascii="Arial"/>
                <w:sz w:val="21"/>
              </w:rPr>
            </w:pPr>
            <w:r/>
          </w:p>
          <w:p>
            <w:pPr>
              <w:pStyle w:val="TableText"/>
              <w:ind w:left="547" w:right="4" w:hanging="530"/>
              <w:spacing w:before="65" w:line="251" w:lineRule="auto"/>
              <w:rPr/>
            </w:pPr>
            <w:r>
              <w:rPr>
                <w:spacing w:val="7"/>
              </w:rPr>
              <w:t>施工废水、生活</w:t>
            </w:r>
            <w:r>
              <w:rPr>
                <w:spacing w:val="-1"/>
              </w:rPr>
              <w:t>污水</w:t>
            </w:r>
          </w:p>
        </w:tc>
        <w:tc>
          <w:tcPr>
            <w:tcW w:w="741" w:type="dxa"/>
            <w:vAlign w:val="top"/>
            <w:tcBorders>
              <w:bottom w:val="single" w:color="00000A" w:sz="10" w:space="0"/>
            </w:tcBorders>
          </w:tcPr>
          <w:p>
            <w:pPr>
              <w:spacing w:line="385" w:lineRule="auto"/>
              <w:rPr>
                <w:rFonts w:ascii="Arial"/>
                <w:sz w:val="21"/>
              </w:rPr>
            </w:pPr>
            <w:r/>
          </w:p>
          <w:p>
            <w:pPr>
              <w:pStyle w:val="TableText"/>
              <w:ind w:left="86"/>
              <w:spacing w:before="65" w:line="229" w:lineRule="auto"/>
              <w:rPr/>
            </w:pPr>
            <w:r>
              <w:rPr>
                <w:spacing w:val="-2"/>
              </w:rPr>
              <w:t>间歇性</w:t>
            </w:r>
          </w:p>
        </w:tc>
        <w:tc>
          <w:tcPr>
            <w:tcW w:w="1782" w:type="dxa"/>
            <w:vAlign w:val="top"/>
            <w:tcBorders>
              <w:bottom w:val="single" w:color="00000A" w:sz="10" w:space="0"/>
            </w:tcBorders>
          </w:tcPr>
          <w:p>
            <w:pPr>
              <w:spacing w:line="286" w:lineRule="auto"/>
              <w:rPr>
                <w:rFonts w:ascii="Arial"/>
                <w:sz w:val="21"/>
              </w:rPr>
            </w:pPr>
            <w:r/>
          </w:p>
          <w:p>
            <w:pPr>
              <w:pStyle w:val="TableText"/>
              <w:ind w:left="379" w:hanging="377"/>
              <w:spacing w:before="65" w:line="246" w:lineRule="auto"/>
              <w:rPr>
                <w:rFonts w:ascii="Times New Roman" w:hAnsi="Times New Roman" w:eastAsia="Times New Roman" w:cs="Times New Roman"/>
              </w:rPr>
            </w:pPr>
            <w:r>
              <w:rPr>
                <w:rFonts w:ascii="Times New Roman" w:hAnsi="Times New Roman" w:eastAsia="Times New Roman" w:cs="Times New Roman"/>
                <w:spacing w:val="-4"/>
              </w:rPr>
              <w:t>pH</w:t>
            </w:r>
            <w:r>
              <w:rPr>
                <w:rFonts w:ascii="Times New Roman" w:hAnsi="Times New Roman" w:eastAsia="Times New Roman" w:cs="Times New Roman"/>
                <w:spacing w:val="-15"/>
              </w:rPr>
              <w:t xml:space="preserve"> </w:t>
            </w:r>
            <w:r>
              <w:rPr>
                <w:spacing w:val="-4"/>
              </w:rPr>
              <w:t>、</w:t>
            </w:r>
            <w:r>
              <w:rPr>
                <w:rFonts w:ascii="Times New Roman" w:hAnsi="Times New Roman" w:eastAsia="Times New Roman" w:cs="Times New Roman"/>
                <w:spacing w:val="-4"/>
              </w:rPr>
              <w:t>COD</w:t>
            </w:r>
            <w:r>
              <w:rPr>
                <w:rFonts w:ascii="Times New Roman" w:hAnsi="Times New Roman" w:eastAsia="Times New Roman" w:cs="Times New Roman"/>
                <w:spacing w:val="-18"/>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z w:val="13"/>
                <w:szCs w:val="13"/>
                <w:spacing w:val="-4"/>
                <w:position w:val="-1"/>
              </w:rPr>
              <w:t>5</w:t>
            </w:r>
            <w:r>
              <w:rPr>
                <w:spacing w:val="-4"/>
              </w:rPr>
              <w:t>、</w:t>
            </w:r>
            <w:r>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20"/>
              </w:rPr>
              <w:t xml:space="preserve"> </w:t>
            </w:r>
            <w:r>
              <w:rPr>
                <w:spacing w:val="-2"/>
              </w:rPr>
              <w:t>、</w:t>
            </w:r>
            <w:r>
              <w:rPr>
                <w:rFonts w:ascii="Times New Roman" w:hAnsi="Times New Roman" w:eastAsia="Times New Roman" w:cs="Times New Roman"/>
                <w:spacing w:val="-2"/>
              </w:rPr>
              <w:t>NH</w:t>
            </w:r>
            <w:r>
              <w:rPr>
                <w:rFonts w:ascii="Times New Roman" w:hAnsi="Times New Roman" w:eastAsia="Times New Roman" w:cs="Times New Roman"/>
                <w:sz w:val="13"/>
                <w:szCs w:val="13"/>
                <w:spacing w:val="-2"/>
                <w:position w:val="-1"/>
              </w:rPr>
              <w:t>3</w:t>
            </w:r>
            <w:r>
              <w:rPr>
                <w:rFonts w:ascii="Times New Roman" w:hAnsi="Times New Roman" w:eastAsia="Times New Roman" w:cs="Times New Roman"/>
                <w:spacing w:val="-2"/>
              </w:rPr>
              <w:t>-N</w:t>
            </w:r>
          </w:p>
        </w:tc>
        <w:tc>
          <w:tcPr>
            <w:tcW w:w="1571" w:type="dxa"/>
            <w:vAlign w:val="top"/>
            <w:tcBorders>
              <w:bottom w:val="single" w:color="00000A" w:sz="10" w:space="0"/>
              <w:right w:val="nil"/>
            </w:tcBorders>
          </w:tcPr>
          <w:p>
            <w:pPr>
              <w:pStyle w:val="TableText"/>
              <w:ind w:left="67" w:right="47" w:hanging="2"/>
              <w:spacing w:before="45" w:line="242" w:lineRule="auto"/>
              <w:jc w:val="both"/>
              <w:rPr/>
            </w:pPr>
            <w:r>
              <w:rPr>
                <w:spacing w:val="7"/>
              </w:rPr>
              <w:t>施工废水回用不</w:t>
            </w:r>
            <w:r>
              <w:rPr>
                <w:spacing w:val="7"/>
              </w:rPr>
              <w:t>外排；生活污水</w:t>
            </w:r>
            <w:r>
              <w:rPr>
                <w:spacing w:val="7"/>
              </w:rPr>
              <w:t>进入临时防渗储</w:t>
            </w:r>
            <w:r>
              <w:rPr>
                <w:spacing w:val="7"/>
              </w:rPr>
              <w:t>池，定期运至内</w:t>
            </w:r>
          </w:p>
        </w:tc>
      </w:tr>
    </w:tbl>
    <w:p>
      <w:pPr>
        <w:pStyle w:val="BodyText"/>
        <w:rPr/>
      </w:pPr>
      <w:r/>
    </w:p>
    <w:p>
      <w:pPr>
        <w:sectPr>
          <w:footerReference w:type="default" r:id="rId160"/>
          <w:pgSz w:w="11911" w:h="16839"/>
          <w:pgMar w:top="400" w:right="1352" w:bottom="1146" w:left="1786" w:header="0" w:footer="984" w:gutter="0"/>
        </w:sectPr>
        <w:rPr/>
      </w:pPr>
    </w:p>
    <w:p>
      <w:pPr>
        <w:spacing w:before="34"/>
        <w:rPr/>
      </w:pPr>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454"/>
        <w:gridCol w:w="586"/>
        <w:gridCol w:w="592"/>
        <w:gridCol w:w="1484"/>
        <w:gridCol w:w="1483"/>
        <w:gridCol w:w="741"/>
        <w:gridCol w:w="1782"/>
        <w:gridCol w:w="1571"/>
      </w:tblGrid>
      <w:tr>
        <w:trPr>
          <w:trHeight w:val="1077" w:hRule="atLeast"/>
        </w:trPr>
        <w:tc>
          <w:tcPr>
            <w:tcW w:w="454" w:type="dxa"/>
            <w:vAlign w:val="top"/>
            <w:vMerge w:val="restart"/>
            <w:tcBorders>
              <w:left w:val="nil"/>
              <w:top w:val="single" w:color="00000A" w:sz="10" w:space="0"/>
              <w:bottom w:val="nil"/>
            </w:tcBorders>
          </w:tcPr>
          <w:p>
            <w:pPr>
              <w:rPr>
                <w:rFonts w:ascii="Arial"/>
                <w:sz w:val="21"/>
              </w:rPr>
            </w:pPr>
            <w:r/>
          </w:p>
        </w:tc>
        <w:tc>
          <w:tcPr>
            <w:tcW w:w="586" w:type="dxa"/>
            <w:vAlign w:val="top"/>
            <w:tcBorders>
              <w:top w:val="single" w:color="00000A" w:sz="10" w:space="0"/>
            </w:tcBorders>
          </w:tcPr>
          <w:p>
            <w:pPr>
              <w:rPr>
                <w:rFonts w:ascii="Arial"/>
                <w:sz w:val="21"/>
              </w:rPr>
            </w:pPr>
            <w:r/>
          </w:p>
        </w:tc>
        <w:tc>
          <w:tcPr>
            <w:tcW w:w="592" w:type="dxa"/>
            <w:vAlign w:val="top"/>
            <w:vMerge w:val="restart"/>
            <w:tcBorders>
              <w:top w:val="single" w:color="00000A" w:sz="10" w:space="0"/>
              <w:bottom w:val="nil"/>
            </w:tcBorders>
          </w:tcPr>
          <w:p>
            <w:pPr>
              <w:pStyle w:val="TableText"/>
              <w:ind w:left="96" w:right="85" w:firstLine="2"/>
              <w:spacing w:before="14" w:line="252" w:lineRule="auto"/>
              <w:jc w:val="both"/>
              <w:rPr/>
            </w:pPr>
            <w:r>
              <w:rPr>
                <w:spacing w:val="1"/>
              </w:rPr>
              <w:t>相关</w:t>
            </w:r>
            <w:r>
              <w:rPr>
                <w:spacing w:val="2"/>
              </w:rPr>
              <w:t>构筑</w:t>
            </w:r>
            <w:r>
              <w:rPr>
                <w:spacing w:val="2"/>
              </w:rPr>
              <w:t>物建</w:t>
            </w:r>
            <w:r>
              <w:rPr>
                <w:spacing w:val="51"/>
                <w:w w:val="125"/>
              </w:rPr>
              <w:t>设</w:t>
            </w:r>
          </w:p>
        </w:tc>
        <w:tc>
          <w:tcPr>
            <w:tcW w:w="1484" w:type="dxa"/>
            <w:vAlign w:val="top"/>
            <w:tcBorders>
              <w:top w:val="single" w:color="00000A" w:sz="10" w:space="0"/>
            </w:tcBorders>
          </w:tcPr>
          <w:p>
            <w:pPr>
              <w:rPr>
                <w:rFonts w:ascii="Arial"/>
                <w:sz w:val="21"/>
              </w:rPr>
            </w:pPr>
            <w:r/>
          </w:p>
        </w:tc>
        <w:tc>
          <w:tcPr>
            <w:tcW w:w="1483" w:type="dxa"/>
            <w:vAlign w:val="top"/>
            <w:tcBorders>
              <w:top w:val="single" w:color="00000A" w:sz="10" w:space="0"/>
            </w:tcBorders>
          </w:tcPr>
          <w:p>
            <w:pPr>
              <w:rPr>
                <w:rFonts w:ascii="Arial"/>
                <w:sz w:val="21"/>
              </w:rPr>
            </w:pPr>
            <w:r/>
          </w:p>
        </w:tc>
        <w:tc>
          <w:tcPr>
            <w:tcW w:w="741" w:type="dxa"/>
            <w:vAlign w:val="top"/>
            <w:tcBorders>
              <w:top w:val="single" w:color="00000A" w:sz="10" w:space="0"/>
            </w:tcBorders>
          </w:tcPr>
          <w:p>
            <w:pPr>
              <w:rPr>
                <w:rFonts w:ascii="Arial"/>
                <w:sz w:val="21"/>
              </w:rPr>
            </w:pPr>
            <w:r/>
          </w:p>
        </w:tc>
        <w:tc>
          <w:tcPr>
            <w:tcW w:w="1782" w:type="dxa"/>
            <w:vAlign w:val="top"/>
            <w:tcBorders>
              <w:top w:val="single" w:color="00000A" w:sz="10" w:space="0"/>
            </w:tcBorders>
          </w:tcPr>
          <w:p>
            <w:pPr>
              <w:rPr>
                <w:rFonts w:ascii="Arial"/>
                <w:sz w:val="21"/>
              </w:rPr>
            </w:pPr>
            <w:r/>
          </w:p>
        </w:tc>
        <w:tc>
          <w:tcPr>
            <w:tcW w:w="1571" w:type="dxa"/>
            <w:vAlign w:val="top"/>
            <w:tcBorders>
              <w:right w:val="nil"/>
              <w:top w:val="single" w:color="00000A" w:sz="10" w:space="0"/>
            </w:tcBorders>
          </w:tcPr>
          <w:p>
            <w:pPr>
              <w:pStyle w:val="TableText"/>
              <w:ind w:left="71"/>
              <w:spacing w:before="16" w:line="229" w:lineRule="auto"/>
              <w:rPr/>
            </w:pPr>
            <w:r>
              <w:rPr>
                <w:spacing w:val="7"/>
              </w:rPr>
              <w:t>蒙古锡林郭勒盟</w:t>
            </w:r>
          </w:p>
          <w:p>
            <w:pPr>
              <w:pStyle w:val="TableText"/>
              <w:ind w:left="71"/>
              <w:spacing w:before="22" w:line="232" w:lineRule="auto"/>
              <w:rPr/>
            </w:pPr>
            <w:r>
              <w:rPr>
                <w:spacing w:val="7"/>
              </w:rPr>
              <w:t>苏尼特右旗赛汉</w:t>
            </w:r>
          </w:p>
          <w:p>
            <w:pPr>
              <w:pStyle w:val="TableText"/>
              <w:ind w:left="66"/>
              <w:spacing w:before="21" w:line="231" w:lineRule="auto"/>
              <w:rPr/>
            </w:pPr>
            <w:r>
              <w:rPr>
                <w:spacing w:val="7"/>
              </w:rPr>
              <w:t>塔拉镇污水处理</w:t>
            </w:r>
          </w:p>
          <w:p>
            <w:pPr>
              <w:pStyle w:val="TableText"/>
              <w:ind w:left="274"/>
              <w:spacing w:before="21" w:line="217" w:lineRule="auto"/>
              <w:rPr/>
            </w:pPr>
            <w:r>
              <w:rPr>
                <w:spacing w:val="7"/>
              </w:rPr>
              <w:t>厂处理处理</w:t>
            </w:r>
          </w:p>
        </w:tc>
      </w:tr>
      <w:tr>
        <w:trPr>
          <w:trHeight w:val="821" w:hRule="atLeast"/>
        </w:trPr>
        <w:tc>
          <w:tcPr>
            <w:tcW w:w="454" w:type="dxa"/>
            <w:vAlign w:val="top"/>
            <w:vMerge w:val="continue"/>
            <w:tcBorders>
              <w:left w:val="nil"/>
              <w:top w:val="nil"/>
              <w:bottom w:val="nil"/>
            </w:tcBorders>
          </w:tcPr>
          <w:p>
            <w:pPr>
              <w:rPr>
                <w:rFonts w:ascii="Arial"/>
                <w:sz w:val="21"/>
              </w:rPr>
            </w:pPr>
            <w:r/>
          </w:p>
        </w:tc>
        <w:tc>
          <w:tcPr>
            <w:tcW w:w="586" w:type="dxa"/>
            <w:vAlign w:val="top"/>
          </w:tcPr>
          <w:p>
            <w:pPr>
              <w:pStyle w:val="TableText"/>
              <w:ind w:left="115"/>
              <w:spacing w:before="304" w:line="233" w:lineRule="auto"/>
              <w:rPr/>
            </w:pPr>
            <w:r>
              <w:rPr>
                <w:spacing w:val="-10"/>
              </w:rPr>
              <w:t>固废</w:t>
            </w:r>
          </w:p>
        </w:tc>
        <w:tc>
          <w:tcPr>
            <w:tcW w:w="592" w:type="dxa"/>
            <w:vAlign w:val="top"/>
            <w:vMerge w:val="continue"/>
            <w:tcBorders>
              <w:top w:val="nil"/>
              <w:bottom w:val="nil"/>
            </w:tcBorders>
          </w:tcPr>
          <w:p>
            <w:pPr>
              <w:rPr>
                <w:rFonts w:ascii="Arial"/>
                <w:sz w:val="21"/>
              </w:rPr>
            </w:pPr>
            <w:r/>
          </w:p>
        </w:tc>
        <w:tc>
          <w:tcPr>
            <w:tcW w:w="1484" w:type="dxa"/>
            <w:vAlign w:val="top"/>
          </w:tcPr>
          <w:p>
            <w:pPr>
              <w:pStyle w:val="TableText"/>
              <w:ind w:left="332"/>
              <w:spacing w:before="304" w:line="232" w:lineRule="auto"/>
              <w:rPr/>
            </w:pPr>
            <w:r>
              <w:rPr>
                <w:spacing w:val="6"/>
              </w:rPr>
              <w:t>施工场地</w:t>
            </w:r>
          </w:p>
        </w:tc>
        <w:tc>
          <w:tcPr>
            <w:tcW w:w="1483" w:type="dxa"/>
            <w:vAlign w:val="top"/>
          </w:tcPr>
          <w:p>
            <w:pPr>
              <w:pStyle w:val="TableText"/>
              <w:ind w:left="19"/>
              <w:spacing w:before="33" w:line="231" w:lineRule="auto"/>
              <w:rPr/>
            </w:pPr>
            <w:r>
              <w:rPr>
                <w:spacing w:val="7"/>
              </w:rPr>
              <w:t>剥离表土、基建</w:t>
            </w:r>
          </w:p>
          <w:p>
            <w:pPr>
              <w:pStyle w:val="TableText"/>
              <w:spacing w:before="21" w:line="232" w:lineRule="auto"/>
              <w:jc w:val="right"/>
              <w:rPr/>
            </w:pPr>
            <w:r>
              <w:rPr>
                <w:spacing w:val="-18"/>
              </w:rPr>
              <w:t>废石、建筑垃圾、</w:t>
            </w:r>
          </w:p>
          <w:p>
            <w:pPr>
              <w:pStyle w:val="TableText"/>
              <w:ind w:left="345"/>
              <w:spacing w:before="21" w:line="215" w:lineRule="auto"/>
              <w:rPr/>
            </w:pPr>
            <w:r>
              <w:rPr>
                <w:spacing w:val="2"/>
              </w:rPr>
              <w:t>生活垃圾</w:t>
            </w:r>
          </w:p>
        </w:tc>
        <w:tc>
          <w:tcPr>
            <w:tcW w:w="741" w:type="dxa"/>
            <w:vAlign w:val="top"/>
          </w:tcPr>
          <w:p>
            <w:pPr>
              <w:pStyle w:val="TableText"/>
              <w:ind w:left="86"/>
              <w:spacing w:before="304" w:line="229" w:lineRule="auto"/>
              <w:rPr/>
            </w:pPr>
            <w:r>
              <w:rPr>
                <w:spacing w:val="-2"/>
              </w:rPr>
              <w:t>间歇性</w:t>
            </w:r>
          </w:p>
        </w:tc>
        <w:tc>
          <w:tcPr>
            <w:tcW w:w="1782" w:type="dxa"/>
            <w:vAlign w:val="top"/>
          </w:tcPr>
          <w:p>
            <w:pPr>
              <w:spacing w:line="277" w:lineRule="auto"/>
              <w:rPr>
                <w:rFonts w:ascii="Arial"/>
                <w:sz w:val="21"/>
              </w:rPr>
            </w:pPr>
            <w:r/>
          </w:p>
          <w:p>
            <w:pPr>
              <w:ind w:left="859"/>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tcBorders>
          </w:tcPr>
          <w:p>
            <w:pPr>
              <w:pStyle w:val="TableText"/>
              <w:ind w:left="386"/>
              <w:spacing w:before="304" w:line="232" w:lineRule="auto"/>
              <w:rPr/>
            </w:pPr>
            <w:r>
              <w:rPr>
                <w:spacing w:val="4"/>
              </w:rPr>
              <w:t>合理处置</w:t>
            </w:r>
          </w:p>
        </w:tc>
      </w:tr>
      <w:tr>
        <w:trPr>
          <w:trHeight w:val="549" w:hRule="atLeast"/>
        </w:trPr>
        <w:tc>
          <w:tcPr>
            <w:tcW w:w="454" w:type="dxa"/>
            <w:vAlign w:val="top"/>
            <w:vMerge w:val="continue"/>
            <w:tcBorders>
              <w:left w:val="nil"/>
              <w:top w:val="nil"/>
            </w:tcBorders>
          </w:tcPr>
          <w:p>
            <w:pPr>
              <w:rPr>
                <w:rFonts w:ascii="Arial"/>
                <w:sz w:val="21"/>
              </w:rPr>
            </w:pPr>
            <w:r/>
          </w:p>
        </w:tc>
        <w:tc>
          <w:tcPr>
            <w:tcW w:w="586" w:type="dxa"/>
            <w:vAlign w:val="top"/>
          </w:tcPr>
          <w:p>
            <w:pPr>
              <w:pStyle w:val="TableText"/>
              <w:ind w:left="102"/>
              <w:spacing w:before="169" w:line="231" w:lineRule="auto"/>
              <w:rPr/>
            </w:pPr>
            <w:r>
              <w:rPr>
                <w:spacing w:val="-3"/>
              </w:rPr>
              <w:t>噪声</w:t>
            </w:r>
          </w:p>
        </w:tc>
        <w:tc>
          <w:tcPr>
            <w:tcW w:w="592" w:type="dxa"/>
            <w:vAlign w:val="top"/>
            <w:vMerge w:val="continue"/>
            <w:tcBorders>
              <w:top w:val="nil"/>
            </w:tcBorders>
          </w:tcPr>
          <w:p>
            <w:pPr>
              <w:rPr>
                <w:rFonts w:ascii="Arial"/>
                <w:sz w:val="21"/>
              </w:rPr>
            </w:pPr>
            <w:r/>
          </w:p>
        </w:tc>
        <w:tc>
          <w:tcPr>
            <w:tcW w:w="1484" w:type="dxa"/>
            <w:vAlign w:val="top"/>
          </w:tcPr>
          <w:p>
            <w:pPr>
              <w:pStyle w:val="TableText"/>
              <w:ind w:left="332"/>
              <w:spacing w:before="170" w:line="232" w:lineRule="auto"/>
              <w:rPr/>
            </w:pPr>
            <w:r>
              <w:rPr>
                <w:spacing w:val="6"/>
              </w:rPr>
              <w:t>施工设备</w:t>
            </w:r>
          </w:p>
        </w:tc>
        <w:tc>
          <w:tcPr>
            <w:tcW w:w="1483" w:type="dxa"/>
            <w:vAlign w:val="top"/>
          </w:tcPr>
          <w:p>
            <w:pPr>
              <w:pStyle w:val="TableText"/>
              <w:ind w:left="552"/>
              <w:spacing w:before="169" w:line="231" w:lineRule="auto"/>
              <w:rPr/>
            </w:pPr>
            <w:r>
              <w:rPr>
                <w:spacing w:val="-3"/>
              </w:rPr>
              <w:t>噪声</w:t>
            </w:r>
          </w:p>
        </w:tc>
        <w:tc>
          <w:tcPr>
            <w:tcW w:w="741" w:type="dxa"/>
            <w:vAlign w:val="top"/>
          </w:tcPr>
          <w:p>
            <w:pPr>
              <w:pStyle w:val="TableText"/>
              <w:ind w:left="86"/>
              <w:spacing w:before="169" w:line="229" w:lineRule="auto"/>
              <w:rPr/>
            </w:pPr>
            <w:r>
              <w:rPr>
                <w:spacing w:val="-2"/>
              </w:rPr>
              <w:t>间歇性</w:t>
            </w:r>
          </w:p>
        </w:tc>
        <w:tc>
          <w:tcPr>
            <w:tcW w:w="1782" w:type="dxa"/>
            <w:vAlign w:val="top"/>
          </w:tcPr>
          <w:p>
            <w:pPr>
              <w:pStyle w:val="TableText"/>
              <w:ind w:left="702"/>
              <w:spacing w:before="169" w:line="231" w:lineRule="auto"/>
              <w:rPr/>
            </w:pPr>
            <w:r>
              <w:rPr>
                <w:spacing w:val="-3"/>
              </w:rPr>
              <w:t>噪声</w:t>
            </w:r>
          </w:p>
        </w:tc>
        <w:tc>
          <w:tcPr>
            <w:tcW w:w="1571" w:type="dxa"/>
            <w:vAlign w:val="top"/>
            <w:tcBorders>
              <w:right w:val="nil"/>
            </w:tcBorders>
          </w:tcPr>
          <w:p>
            <w:pPr>
              <w:pStyle w:val="TableText"/>
              <w:ind w:left="588" w:right="47" w:hanging="520"/>
              <w:spacing w:before="36" w:line="232" w:lineRule="auto"/>
              <w:rPr/>
            </w:pPr>
            <w:r>
              <w:rPr>
                <w:spacing w:val="7"/>
              </w:rPr>
              <w:t>影响场地周围声</w:t>
            </w:r>
            <w:r>
              <w:rPr>
                <w:spacing w:val="2"/>
              </w:rPr>
              <w:t>环境</w:t>
            </w:r>
          </w:p>
        </w:tc>
      </w:tr>
      <w:tr>
        <w:trPr>
          <w:trHeight w:val="276" w:hRule="atLeast"/>
        </w:trPr>
        <w:tc>
          <w:tcPr>
            <w:tcW w:w="454" w:type="dxa"/>
            <w:vAlign w:val="top"/>
            <w:vMerge w:val="restart"/>
            <w:tcBorders>
              <w:left w:val="nil"/>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31" w:right="18" w:hanging="101"/>
              <w:spacing w:before="65" w:line="251" w:lineRule="auto"/>
              <w:rPr/>
            </w:pPr>
            <w:r>
              <w:rPr>
                <w:spacing w:val="1"/>
              </w:rPr>
              <w:t>运营</w:t>
            </w:r>
            <w:r>
              <w:rPr/>
              <w:t>期</w:t>
            </w:r>
          </w:p>
        </w:tc>
        <w:tc>
          <w:tcPr>
            <w:tcW w:w="58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95"/>
              <w:spacing w:before="65" w:line="233" w:lineRule="auto"/>
              <w:rPr/>
            </w:pPr>
            <w:r>
              <w:rPr/>
              <w:t>废气</w:t>
            </w:r>
          </w:p>
        </w:tc>
        <w:tc>
          <w:tcPr>
            <w:tcW w:w="592" w:type="dxa"/>
            <w:vAlign w:val="top"/>
            <w:vMerge w:val="restart"/>
            <w:tcBorders>
              <w:bottom w:val="nil"/>
            </w:tcBorders>
          </w:tcPr>
          <w:p>
            <w:pPr>
              <w:spacing w:line="389" w:lineRule="auto"/>
              <w:rPr>
                <w:rFonts w:ascii="Arial"/>
                <w:sz w:val="21"/>
              </w:rPr>
            </w:pPr>
            <w:r/>
          </w:p>
          <w:p>
            <w:pPr>
              <w:pStyle w:val="TableText"/>
              <w:ind w:left="100" w:right="85" w:hanging="1"/>
              <w:spacing w:before="65" w:line="250" w:lineRule="auto"/>
              <w:rPr/>
            </w:pPr>
            <w:r>
              <w:rPr>
                <w:spacing w:val="1"/>
              </w:rPr>
              <w:t>采矿</w:t>
            </w:r>
            <w:r>
              <w:rPr/>
              <w:t>作业</w:t>
            </w:r>
          </w:p>
        </w:tc>
        <w:tc>
          <w:tcPr>
            <w:tcW w:w="1484" w:type="dxa"/>
            <w:vAlign w:val="top"/>
          </w:tcPr>
          <w:p>
            <w:pPr>
              <w:pStyle w:val="TableText"/>
              <w:ind w:left="19"/>
              <w:spacing w:before="36" w:line="212" w:lineRule="auto"/>
              <w:rPr/>
            </w:pPr>
            <w:r>
              <w:rPr>
                <w:spacing w:val="7"/>
              </w:rPr>
              <w:t>堆场装卸、风蚀</w:t>
            </w:r>
          </w:p>
        </w:tc>
        <w:tc>
          <w:tcPr>
            <w:tcW w:w="1483" w:type="dxa"/>
            <w:vAlign w:val="top"/>
          </w:tcPr>
          <w:p>
            <w:pPr>
              <w:pStyle w:val="TableText"/>
              <w:ind w:left="544"/>
              <w:spacing w:before="36" w:line="212" w:lineRule="auto"/>
              <w:rPr/>
            </w:pPr>
            <w:r>
              <w:rPr>
                <w:spacing w:val="1"/>
              </w:rPr>
              <w:t>扬尘</w:t>
            </w:r>
          </w:p>
        </w:tc>
        <w:tc>
          <w:tcPr>
            <w:tcW w:w="741" w:type="dxa"/>
            <w:vAlign w:val="top"/>
          </w:tcPr>
          <w:p>
            <w:pPr>
              <w:pStyle w:val="TableText"/>
              <w:ind w:left="67"/>
              <w:spacing w:before="36" w:line="212" w:lineRule="auto"/>
              <w:rPr/>
            </w:pPr>
            <w:r>
              <w:rPr>
                <w:spacing w:val="4"/>
              </w:rPr>
              <w:t>连续性</w:t>
            </w:r>
          </w:p>
        </w:tc>
        <w:tc>
          <w:tcPr>
            <w:tcW w:w="1782" w:type="dxa"/>
            <w:vAlign w:val="top"/>
          </w:tcPr>
          <w:p>
            <w:pPr>
              <w:pStyle w:val="TableText"/>
              <w:ind w:left="588"/>
              <w:spacing w:before="36" w:line="212" w:lineRule="auto"/>
              <w:rPr/>
            </w:pPr>
            <w:r>
              <w:rPr>
                <w:spacing w:val="4"/>
              </w:rPr>
              <w:t>颗粒物</w:t>
            </w:r>
          </w:p>
        </w:tc>
        <w:tc>
          <w:tcPr>
            <w:tcW w:w="1571" w:type="dxa"/>
            <w:vAlign w:val="top"/>
            <w:vMerge w:val="restart"/>
            <w:tcBorders>
              <w:right w:val="nil"/>
              <w:bottom w:val="nil"/>
            </w:tcBorders>
          </w:tcPr>
          <w:p>
            <w:pPr>
              <w:spacing w:line="249" w:lineRule="auto"/>
              <w:rPr>
                <w:rFonts w:ascii="Arial"/>
                <w:sz w:val="21"/>
              </w:rPr>
            </w:pPr>
            <w:r/>
          </w:p>
          <w:p>
            <w:pPr>
              <w:pStyle w:val="TableText"/>
              <w:ind w:left="277"/>
              <w:spacing w:before="65" w:line="231" w:lineRule="auto"/>
              <w:rPr/>
            </w:pPr>
            <w:r>
              <w:rPr>
                <w:spacing w:val="6"/>
              </w:rPr>
              <w:t>无组织排放</w:t>
            </w:r>
          </w:p>
        </w:tc>
      </w:tr>
      <w:tr>
        <w:trPr>
          <w:trHeight w:val="277"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vMerge w:val="continue"/>
            <w:tcBorders>
              <w:top w:val="nil"/>
              <w:bottom w:val="nil"/>
            </w:tcBorders>
          </w:tcPr>
          <w:p>
            <w:pPr>
              <w:rPr>
                <w:rFonts w:ascii="Arial"/>
                <w:sz w:val="21"/>
              </w:rPr>
            </w:pPr>
            <w:r/>
          </w:p>
        </w:tc>
        <w:tc>
          <w:tcPr>
            <w:tcW w:w="1484" w:type="dxa"/>
            <w:vAlign w:val="top"/>
          </w:tcPr>
          <w:p>
            <w:pPr>
              <w:pStyle w:val="TableText"/>
              <w:ind w:left="127"/>
              <w:spacing w:before="35" w:line="214" w:lineRule="auto"/>
              <w:rPr/>
            </w:pPr>
            <w:r>
              <w:rPr>
                <w:spacing w:val="6"/>
              </w:rPr>
              <w:t>车辆机械尾气</w:t>
            </w:r>
          </w:p>
        </w:tc>
        <w:tc>
          <w:tcPr>
            <w:tcW w:w="1483" w:type="dxa"/>
            <w:vAlign w:val="top"/>
          </w:tcPr>
          <w:p>
            <w:pPr>
              <w:pStyle w:val="TableText"/>
              <w:ind w:left="332"/>
              <w:spacing w:before="35" w:line="214" w:lineRule="auto"/>
              <w:rPr/>
            </w:pPr>
            <w:r>
              <w:rPr>
                <w:spacing w:val="5"/>
              </w:rPr>
              <w:t>机械尾气</w:t>
            </w:r>
          </w:p>
        </w:tc>
        <w:tc>
          <w:tcPr>
            <w:tcW w:w="741" w:type="dxa"/>
            <w:vAlign w:val="top"/>
          </w:tcPr>
          <w:p>
            <w:pPr>
              <w:pStyle w:val="TableText"/>
              <w:ind w:left="86"/>
              <w:spacing w:before="35" w:line="214" w:lineRule="auto"/>
              <w:rPr/>
            </w:pPr>
            <w:r>
              <w:rPr>
                <w:spacing w:val="-2"/>
              </w:rPr>
              <w:t>间歇性</w:t>
            </w:r>
          </w:p>
        </w:tc>
        <w:tc>
          <w:tcPr>
            <w:tcW w:w="1782" w:type="dxa"/>
            <w:vAlign w:val="top"/>
          </w:tcPr>
          <w:p>
            <w:pPr>
              <w:pStyle w:val="TableText"/>
              <w:ind w:left="199"/>
              <w:spacing w:before="71" w:line="180" w:lineRule="auto"/>
              <w:rPr>
                <w:rFonts w:ascii="Times New Roman" w:hAnsi="Times New Roman" w:eastAsia="Times New Roman" w:cs="Times New Roman"/>
              </w:rPr>
            </w:pP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r>
              <w:rPr>
                <w:rFonts w:ascii="Times New Roman" w:hAnsi="Times New Roman" w:eastAsia="Times New Roman" w:cs="Times New Roman"/>
                <w:sz w:val="13"/>
                <w:szCs w:val="13"/>
                <w:spacing w:val="1"/>
                <w:position w:val="-1"/>
              </w:rPr>
              <w:t xml:space="preserve"> </w:t>
            </w:r>
            <w:r>
              <w:rPr>
                <w:spacing w:val="1"/>
              </w:rPr>
              <w:t>、</w:t>
            </w:r>
            <w:r>
              <w:rPr>
                <w:rFonts w:ascii="Times New Roman" w:hAnsi="Times New Roman" w:eastAsia="Times New Roman" w:cs="Times New Roman"/>
              </w:rPr>
              <w:t>CO</w:t>
            </w:r>
            <w:r>
              <w:rPr>
                <w:rFonts w:ascii="Times New Roman" w:hAnsi="Times New Roman" w:eastAsia="Times New Roman" w:cs="Times New Roman"/>
                <w:spacing w:val="-21"/>
              </w:rPr>
              <w:t xml:space="preserve"> </w:t>
            </w:r>
            <w:r>
              <w:rPr>
                <w:spacing w:val="1"/>
              </w:rPr>
              <w:t>、</w:t>
            </w:r>
            <w:r>
              <w:rPr>
                <w:rFonts w:ascii="Times New Roman" w:hAnsi="Times New Roman" w:eastAsia="Times New Roman" w:cs="Times New Roman"/>
              </w:rPr>
              <w:t>HC</w:t>
            </w:r>
          </w:p>
        </w:tc>
        <w:tc>
          <w:tcPr>
            <w:tcW w:w="1571" w:type="dxa"/>
            <w:vAlign w:val="top"/>
            <w:vMerge w:val="continue"/>
            <w:tcBorders>
              <w:right w:val="nil"/>
              <w:top w:val="nil"/>
              <w:bottom w:val="nil"/>
            </w:tcBorders>
          </w:tcPr>
          <w:p>
            <w:pPr>
              <w:rPr>
                <w:rFonts w:ascii="Arial"/>
                <w:sz w:val="21"/>
              </w:rPr>
            </w:pPr>
            <w:r/>
          </w:p>
        </w:tc>
      </w:tr>
      <w:tr>
        <w:trPr>
          <w:trHeight w:val="276"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vMerge w:val="continue"/>
            <w:tcBorders>
              <w:top w:val="nil"/>
              <w:bottom w:val="nil"/>
            </w:tcBorders>
          </w:tcPr>
          <w:p>
            <w:pPr>
              <w:rPr>
                <w:rFonts w:ascii="Arial"/>
                <w:sz w:val="21"/>
              </w:rPr>
            </w:pPr>
            <w:r/>
          </w:p>
        </w:tc>
        <w:tc>
          <w:tcPr>
            <w:tcW w:w="1484" w:type="dxa"/>
            <w:vAlign w:val="top"/>
          </w:tcPr>
          <w:p>
            <w:pPr>
              <w:pStyle w:val="TableText"/>
              <w:ind w:left="338"/>
              <w:spacing w:before="36" w:line="212" w:lineRule="auto"/>
              <w:rPr/>
            </w:pPr>
            <w:r>
              <w:rPr>
                <w:spacing w:val="4"/>
              </w:rPr>
              <w:t>车辆运输</w:t>
            </w:r>
          </w:p>
        </w:tc>
        <w:tc>
          <w:tcPr>
            <w:tcW w:w="1483" w:type="dxa"/>
            <w:vAlign w:val="top"/>
          </w:tcPr>
          <w:p>
            <w:pPr>
              <w:pStyle w:val="TableText"/>
              <w:ind w:left="544"/>
              <w:spacing w:before="36" w:line="212" w:lineRule="auto"/>
              <w:rPr/>
            </w:pPr>
            <w:r>
              <w:rPr>
                <w:spacing w:val="1"/>
              </w:rPr>
              <w:t>扬尘</w:t>
            </w:r>
          </w:p>
        </w:tc>
        <w:tc>
          <w:tcPr>
            <w:tcW w:w="741" w:type="dxa"/>
            <w:vAlign w:val="top"/>
          </w:tcPr>
          <w:p>
            <w:pPr>
              <w:pStyle w:val="TableText"/>
              <w:ind w:left="86"/>
              <w:spacing w:before="36" w:line="212" w:lineRule="auto"/>
              <w:rPr/>
            </w:pPr>
            <w:r>
              <w:rPr>
                <w:spacing w:val="-2"/>
              </w:rPr>
              <w:t>间歇性</w:t>
            </w:r>
          </w:p>
        </w:tc>
        <w:tc>
          <w:tcPr>
            <w:tcW w:w="1782" w:type="dxa"/>
            <w:vAlign w:val="top"/>
          </w:tcPr>
          <w:p>
            <w:pPr>
              <w:pStyle w:val="TableText"/>
              <w:ind w:left="588"/>
              <w:spacing w:before="36" w:line="212" w:lineRule="auto"/>
              <w:rPr/>
            </w:pPr>
            <w:r>
              <w:rPr>
                <w:spacing w:val="4"/>
              </w:rPr>
              <w:t>颗粒物</w:t>
            </w:r>
          </w:p>
        </w:tc>
        <w:tc>
          <w:tcPr>
            <w:tcW w:w="1571" w:type="dxa"/>
            <w:vAlign w:val="top"/>
            <w:vMerge w:val="continue"/>
            <w:tcBorders>
              <w:right w:val="nil"/>
              <w:top w:val="nil"/>
            </w:tcBorders>
          </w:tcPr>
          <w:p>
            <w:pPr>
              <w:rPr>
                <w:rFonts w:ascii="Arial"/>
                <w:sz w:val="21"/>
              </w:rPr>
            </w:pPr>
            <w:r/>
          </w:p>
        </w:tc>
      </w:tr>
      <w:tr>
        <w:trPr>
          <w:trHeight w:val="549"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vMerge w:val="continue"/>
            <w:tcBorders>
              <w:top w:val="nil"/>
            </w:tcBorders>
          </w:tcPr>
          <w:p>
            <w:pPr>
              <w:rPr>
                <w:rFonts w:ascii="Arial"/>
                <w:sz w:val="21"/>
              </w:rPr>
            </w:pPr>
            <w:r/>
          </w:p>
        </w:tc>
        <w:tc>
          <w:tcPr>
            <w:tcW w:w="1484" w:type="dxa"/>
            <w:vAlign w:val="top"/>
          </w:tcPr>
          <w:p>
            <w:pPr>
              <w:pStyle w:val="TableText"/>
              <w:ind w:left="333"/>
              <w:spacing w:before="173" w:line="232" w:lineRule="auto"/>
              <w:rPr/>
            </w:pPr>
            <w:r>
              <w:rPr>
                <w:spacing w:val="5"/>
              </w:rPr>
              <w:t>矿井通风</w:t>
            </w:r>
          </w:p>
        </w:tc>
        <w:tc>
          <w:tcPr>
            <w:tcW w:w="1483" w:type="dxa"/>
            <w:vAlign w:val="top"/>
          </w:tcPr>
          <w:p>
            <w:pPr>
              <w:pStyle w:val="TableText"/>
              <w:ind w:left="543"/>
              <w:spacing w:before="172" w:line="232" w:lineRule="auto"/>
              <w:rPr/>
            </w:pPr>
            <w:r>
              <w:rPr>
                <w:spacing w:val="2"/>
              </w:rPr>
              <w:t>炮烟</w:t>
            </w:r>
          </w:p>
        </w:tc>
        <w:tc>
          <w:tcPr>
            <w:tcW w:w="741" w:type="dxa"/>
            <w:vAlign w:val="top"/>
          </w:tcPr>
          <w:p>
            <w:pPr>
              <w:pStyle w:val="TableText"/>
              <w:ind w:left="67"/>
              <w:spacing w:before="173" w:line="229" w:lineRule="auto"/>
              <w:rPr/>
            </w:pPr>
            <w:r>
              <w:rPr>
                <w:spacing w:val="4"/>
              </w:rPr>
              <w:t>连续性</w:t>
            </w:r>
          </w:p>
        </w:tc>
        <w:tc>
          <w:tcPr>
            <w:tcW w:w="1782" w:type="dxa"/>
            <w:vAlign w:val="top"/>
          </w:tcPr>
          <w:p>
            <w:pPr>
              <w:ind w:left="701"/>
              <w:spacing w:before="209"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571" w:type="dxa"/>
            <w:vAlign w:val="top"/>
            <w:tcBorders>
              <w:right w:val="nil"/>
            </w:tcBorders>
          </w:tcPr>
          <w:p>
            <w:pPr>
              <w:pStyle w:val="TableText"/>
              <w:ind w:left="73" w:right="21" w:hanging="36"/>
              <w:spacing w:before="38" w:line="231" w:lineRule="auto"/>
              <w:rPr/>
            </w:pPr>
            <w:r>
              <w:rPr>
                <w:spacing w:val="-5"/>
              </w:rPr>
              <w:t>经</w:t>
            </w:r>
            <w:r>
              <w:rPr>
                <w:spacing w:val="-2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w w:val="101"/>
              </w:rPr>
              <w:t xml:space="preserve"> </w:t>
            </w:r>
            <w:r>
              <w:rPr>
                <w:spacing w:val="-5"/>
              </w:rPr>
              <w:t>根</w:t>
            </w:r>
            <w:r>
              <w:rPr>
                <w:spacing w:val="-23"/>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21"/>
                <w:w w:val="101"/>
              </w:rPr>
              <w:t xml:space="preserve"> </w:t>
            </w:r>
            <w:r>
              <w:rPr>
                <w:spacing w:val="-5"/>
              </w:rPr>
              <w:t>高排</w:t>
            </w:r>
            <w:r>
              <w:rPr>
                <w:spacing w:val="6"/>
              </w:rPr>
              <w:t>气筒有组织排放</w:t>
            </w:r>
          </w:p>
        </w:tc>
      </w:tr>
      <w:tr>
        <w:trPr>
          <w:trHeight w:val="549"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tcPr>
          <w:p>
            <w:pPr>
              <w:pStyle w:val="TableText"/>
              <w:ind w:left="99"/>
              <w:spacing w:before="39" w:line="232" w:lineRule="auto"/>
              <w:rPr/>
            </w:pPr>
            <w:r>
              <w:rPr/>
              <w:t>选矿</w:t>
            </w:r>
          </w:p>
          <w:p>
            <w:pPr>
              <w:pStyle w:val="TableText"/>
              <w:ind w:left="100"/>
              <w:spacing w:before="19" w:line="211" w:lineRule="auto"/>
              <w:rPr/>
            </w:pPr>
            <w:r>
              <w:rPr/>
              <w:t>作业</w:t>
            </w:r>
          </w:p>
        </w:tc>
        <w:tc>
          <w:tcPr>
            <w:tcW w:w="1484" w:type="dxa"/>
            <w:vAlign w:val="top"/>
          </w:tcPr>
          <w:p>
            <w:pPr>
              <w:pStyle w:val="TableText"/>
              <w:ind w:left="226" w:right="7" w:hanging="208"/>
              <w:spacing w:before="38" w:line="231" w:lineRule="auto"/>
              <w:rPr/>
            </w:pPr>
            <w:r>
              <w:rPr>
                <w:spacing w:val="7"/>
              </w:rPr>
              <w:t>破碎、筛分、粉</w:t>
            </w:r>
            <w:r>
              <w:rPr>
                <w:spacing w:val="7"/>
              </w:rPr>
              <w:t>料仓等设备</w:t>
            </w:r>
          </w:p>
        </w:tc>
        <w:tc>
          <w:tcPr>
            <w:tcW w:w="1483" w:type="dxa"/>
            <w:vAlign w:val="top"/>
          </w:tcPr>
          <w:p>
            <w:pPr>
              <w:pStyle w:val="TableText"/>
              <w:ind w:left="19"/>
              <w:spacing w:before="174" w:line="229" w:lineRule="auto"/>
              <w:rPr/>
            </w:pPr>
            <w:r>
              <w:rPr>
                <w:spacing w:val="7"/>
              </w:rPr>
              <w:t>颗粒物、氟化物</w:t>
            </w:r>
          </w:p>
        </w:tc>
        <w:tc>
          <w:tcPr>
            <w:tcW w:w="741" w:type="dxa"/>
            <w:vAlign w:val="top"/>
          </w:tcPr>
          <w:p>
            <w:pPr>
              <w:pStyle w:val="TableText"/>
              <w:ind w:left="67"/>
              <w:spacing w:before="173" w:line="229" w:lineRule="auto"/>
              <w:rPr/>
            </w:pPr>
            <w:r>
              <w:rPr>
                <w:spacing w:val="4"/>
              </w:rPr>
              <w:t>连续性</w:t>
            </w:r>
          </w:p>
        </w:tc>
        <w:tc>
          <w:tcPr>
            <w:tcW w:w="1782" w:type="dxa"/>
            <w:vAlign w:val="top"/>
          </w:tcPr>
          <w:p>
            <w:pPr>
              <w:pStyle w:val="TableText"/>
              <w:ind w:left="168"/>
              <w:spacing w:before="174" w:line="229" w:lineRule="auto"/>
              <w:rPr/>
            </w:pPr>
            <w:r>
              <w:rPr>
                <w:spacing w:val="7"/>
              </w:rPr>
              <w:t>颗粒物、氟化物</w:t>
            </w:r>
          </w:p>
        </w:tc>
        <w:tc>
          <w:tcPr>
            <w:tcW w:w="1571" w:type="dxa"/>
            <w:vAlign w:val="top"/>
            <w:tcBorders>
              <w:right w:val="nil"/>
            </w:tcBorders>
          </w:tcPr>
          <w:p>
            <w:pPr>
              <w:pStyle w:val="TableText"/>
              <w:ind w:left="73" w:right="21" w:hanging="36"/>
              <w:spacing w:before="38" w:line="231" w:lineRule="auto"/>
              <w:rPr/>
            </w:pPr>
            <w:r>
              <w:rPr>
                <w:spacing w:val="-5"/>
              </w:rPr>
              <w:t>经</w:t>
            </w:r>
            <w:r>
              <w:rPr>
                <w:spacing w:val="-2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w w:val="101"/>
              </w:rPr>
              <w:t xml:space="preserve"> </w:t>
            </w:r>
            <w:r>
              <w:rPr>
                <w:spacing w:val="-5"/>
              </w:rPr>
              <w:t>根</w:t>
            </w:r>
            <w:r>
              <w:rPr>
                <w:spacing w:val="-23"/>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21"/>
                <w:w w:val="101"/>
              </w:rPr>
              <w:t xml:space="preserve"> </w:t>
            </w:r>
            <w:r>
              <w:rPr>
                <w:spacing w:val="-5"/>
              </w:rPr>
              <w:t>高排</w:t>
            </w:r>
            <w:r>
              <w:rPr>
                <w:spacing w:val="6"/>
              </w:rPr>
              <w:t>气筒有组织排放</w:t>
            </w:r>
          </w:p>
        </w:tc>
      </w:tr>
      <w:tr>
        <w:trPr>
          <w:trHeight w:val="548"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tcBorders>
          </w:tcPr>
          <w:p>
            <w:pPr>
              <w:rPr>
                <w:rFonts w:ascii="Arial"/>
                <w:sz w:val="21"/>
              </w:rPr>
            </w:pPr>
            <w:r/>
          </w:p>
        </w:tc>
        <w:tc>
          <w:tcPr>
            <w:tcW w:w="592" w:type="dxa"/>
            <w:vAlign w:val="top"/>
          </w:tcPr>
          <w:p>
            <w:pPr>
              <w:pStyle w:val="TableText"/>
              <w:ind w:left="97"/>
              <w:spacing w:before="174" w:line="235" w:lineRule="auto"/>
              <w:rPr/>
            </w:pPr>
            <w:r>
              <w:rPr>
                <w:spacing w:val="2"/>
              </w:rPr>
              <w:t>食堂</w:t>
            </w:r>
          </w:p>
        </w:tc>
        <w:tc>
          <w:tcPr>
            <w:tcW w:w="1484" w:type="dxa"/>
            <w:vAlign w:val="top"/>
          </w:tcPr>
          <w:p>
            <w:pPr>
              <w:pStyle w:val="TableText"/>
              <w:ind w:left="333"/>
              <w:spacing w:before="173" w:line="232" w:lineRule="auto"/>
              <w:rPr/>
            </w:pPr>
            <w:r>
              <w:rPr>
                <w:spacing w:val="5"/>
              </w:rPr>
              <w:t>食堂油烟</w:t>
            </w:r>
          </w:p>
        </w:tc>
        <w:tc>
          <w:tcPr>
            <w:tcW w:w="1483" w:type="dxa"/>
            <w:vAlign w:val="top"/>
          </w:tcPr>
          <w:p>
            <w:pPr>
              <w:pStyle w:val="TableText"/>
              <w:ind w:left="548"/>
              <w:spacing w:before="173" w:line="232" w:lineRule="auto"/>
              <w:rPr/>
            </w:pPr>
            <w:r>
              <w:rPr>
                <w:spacing w:val="-1"/>
              </w:rPr>
              <w:t>油烟</w:t>
            </w:r>
          </w:p>
        </w:tc>
        <w:tc>
          <w:tcPr>
            <w:tcW w:w="741" w:type="dxa"/>
            <w:vAlign w:val="top"/>
          </w:tcPr>
          <w:p>
            <w:pPr>
              <w:pStyle w:val="TableText"/>
              <w:ind w:left="86"/>
              <w:spacing w:before="173" w:line="229" w:lineRule="auto"/>
              <w:rPr/>
            </w:pPr>
            <w:r>
              <w:rPr>
                <w:spacing w:val="-2"/>
              </w:rPr>
              <w:t>间歇性</w:t>
            </w:r>
          </w:p>
        </w:tc>
        <w:tc>
          <w:tcPr>
            <w:tcW w:w="1782" w:type="dxa"/>
            <w:vAlign w:val="top"/>
          </w:tcPr>
          <w:p>
            <w:pPr>
              <w:pStyle w:val="TableText"/>
              <w:ind w:left="698"/>
              <w:spacing w:before="173" w:line="232" w:lineRule="auto"/>
              <w:rPr/>
            </w:pPr>
            <w:r>
              <w:rPr>
                <w:spacing w:val="-1"/>
              </w:rPr>
              <w:t>油烟</w:t>
            </w:r>
          </w:p>
        </w:tc>
        <w:tc>
          <w:tcPr>
            <w:tcW w:w="1571" w:type="dxa"/>
            <w:vAlign w:val="top"/>
            <w:tcBorders>
              <w:right w:val="nil"/>
            </w:tcBorders>
          </w:tcPr>
          <w:p>
            <w:pPr>
              <w:pStyle w:val="TableText"/>
              <w:ind w:left="486" w:right="47" w:hanging="414"/>
              <w:spacing w:before="39" w:line="230" w:lineRule="auto"/>
              <w:rPr/>
            </w:pPr>
            <w:r>
              <w:rPr>
                <w:spacing w:val="6"/>
              </w:rPr>
              <w:t>高于屋顶专用烟</w:t>
            </w:r>
            <w:r>
              <w:rPr>
                <w:spacing w:val="4"/>
              </w:rPr>
              <w:t>道排放</w:t>
            </w:r>
          </w:p>
        </w:tc>
      </w:tr>
      <w:tr>
        <w:trPr>
          <w:trHeight w:val="549"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95"/>
              <w:spacing w:before="65" w:line="232" w:lineRule="auto"/>
              <w:rPr/>
            </w:pPr>
            <w:r>
              <w:rPr/>
              <w:t>废水</w:t>
            </w:r>
          </w:p>
        </w:tc>
        <w:tc>
          <w:tcPr>
            <w:tcW w:w="592" w:type="dxa"/>
            <w:vAlign w:val="top"/>
          </w:tcPr>
          <w:p>
            <w:pPr>
              <w:pStyle w:val="TableText"/>
              <w:ind w:left="99"/>
              <w:spacing w:before="41" w:line="231" w:lineRule="auto"/>
              <w:rPr/>
            </w:pPr>
            <w:r>
              <w:rPr>
                <w:spacing w:val="1"/>
              </w:rPr>
              <w:t>采矿</w:t>
            </w:r>
          </w:p>
          <w:p>
            <w:pPr>
              <w:pStyle w:val="TableText"/>
              <w:ind w:left="100"/>
              <w:spacing w:before="21" w:line="209" w:lineRule="auto"/>
              <w:rPr/>
            </w:pPr>
            <w:r>
              <w:rPr/>
              <w:t>作业</w:t>
            </w:r>
          </w:p>
        </w:tc>
        <w:tc>
          <w:tcPr>
            <w:tcW w:w="1484" w:type="dxa"/>
            <w:vAlign w:val="top"/>
          </w:tcPr>
          <w:p>
            <w:pPr>
              <w:pStyle w:val="TableText"/>
              <w:ind w:left="335"/>
              <w:spacing w:before="175" w:line="231" w:lineRule="auto"/>
              <w:rPr/>
            </w:pPr>
            <w:r>
              <w:rPr>
                <w:spacing w:val="5"/>
              </w:rPr>
              <w:t>井下开采</w:t>
            </w:r>
          </w:p>
        </w:tc>
        <w:tc>
          <w:tcPr>
            <w:tcW w:w="1483" w:type="dxa"/>
            <w:vAlign w:val="top"/>
          </w:tcPr>
          <w:p>
            <w:pPr>
              <w:pStyle w:val="TableText"/>
              <w:ind w:left="332"/>
              <w:spacing w:before="175" w:line="230" w:lineRule="auto"/>
              <w:rPr/>
            </w:pPr>
            <w:r>
              <w:rPr>
                <w:spacing w:val="5"/>
              </w:rPr>
              <w:t>矿井涌水</w:t>
            </w:r>
          </w:p>
        </w:tc>
        <w:tc>
          <w:tcPr>
            <w:tcW w:w="741" w:type="dxa"/>
            <w:vAlign w:val="top"/>
          </w:tcPr>
          <w:p>
            <w:pPr>
              <w:pStyle w:val="TableText"/>
              <w:ind w:left="86"/>
              <w:spacing w:before="175" w:line="229" w:lineRule="auto"/>
              <w:rPr/>
            </w:pPr>
            <w:r>
              <w:rPr>
                <w:spacing w:val="-2"/>
              </w:rPr>
              <w:t>间歇性</w:t>
            </w:r>
          </w:p>
        </w:tc>
        <w:tc>
          <w:tcPr>
            <w:tcW w:w="1782" w:type="dxa"/>
            <w:vAlign w:val="top"/>
          </w:tcPr>
          <w:p>
            <w:pPr>
              <w:pStyle w:val="TableText"/>
              <w:ind w:left="211"/>
              <w:spacing w:before="211" w:line="188" w:lineRule="auto"/>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spacing w:val="-20"/>
              </w:rPr>
              <w:t xml:space="preserve"> </w:t>
            </w:r>
            <w:r>
              <w:rPr/>
              <w:t>、</w:t>
            </w:r>
            <w:r>
              <w:rPr>
                <w:rFonts w:ascii="Times New Roman" w:hAnsi="Times New Roman" w:eastAsia="Times New Roman" w:cs="Times New Roman"/>
              </w:rPr>
              <w:t>COD</w:t>
            </w:r>
            <w:r>
              <w:rPr>
                <w:rFonts w:ascii="Times New Roman" w:hAnsi="Times New Roman" w:eastAsia="Times New Roman" w:cs="Times New Roman"/>
                <w:spacing w:val="-18"/>
              </w:rPr>
              <w:t xml:space="preserve"> </w:t>
            </w:r>
            <w:r>
              <w:rPr/>
              <w:t>、</w:t>
            </w:r>
            <w:r>
              <w:rPr>
                <w:rFonts w:ascii="Times New Roman" w:hAnsi="Times New Roman" w:eastAsia="Times New Roman" w:cs="Times New Roman"/>
              </w:rPr>
              <w:t>SS</w:t>
            </w:r>
          </w:p>
        </w:tc>
        <w:tc>
          <w:tcPr>
            <w:tcW w:w="1571" w:type="dxa"/>
            <w:vAlign w:val="top"/>
            <w:tcBorders>
              <w:right w:val="nil"/>
            </w:tcBorders>
          </w:tcPr>
          <w:p>
            <w:pPr>
              <w:pStyle w:val="TableText"/>
              <w:ind w:left="70"/>
              <w:spacing w:before="175" w:line="231" w:lineRule="auto"/>
              <w:rPr/>
            </w:pPr>
            <w:r>
              <w:rPr>
                <w:spacing w:val="7"/>
              </w:rPr>
              <w:t>沉淀后全部回用</w:t>
            </w:r>
          </w:p>
        </w:tc>
      </w:tr>
      <w:tr>
        <w:trPr>
          <w:trHeight w:val="549"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vMerge w:val="restart"/>
            <w:tcBorders>
              <w:bottom w:val="nil"/>
            </w:tcBorders>
          </w:tcPr>
          <w:p>
            <w:pPr>
              <w:spacing w:line="250" w:lineRule="auto"/>
              <w:rPr>
                <w:rFonts w:ascii="Arial"/>
                <w:sz w:val="21"/>
              </w:rPr>
            </w:pPr>
            <w:r/>
          </w:p>
          <w:p>
            <w:pPr>
              <w:pStyle w:val="TableText"/>
              <w:ind w:left="99" w:right="85"/>
              <w:spacing w:before="65" w:line="252" w:lineRule="auto"/>
              <w:rPr/>
            </w:pPr>
            <w:r>
              <w:rPr/>
              <w:t>选矿</w:t>
            </w:r>
            <w:r>
              <w:rPr/>
              <w:t>作业</w:t>
            </w:r>
          </w:p>
        </w:tc>
        <w:tc>
          <w:tcPr>
            <w:tcW w:w="1484" w:type="dxa"/>
            <w:vAlign w:val="top"/>
          </w:tcPr>
          <w:p>
            <w:pPr>
              <w:pStyle w:val="TableText"/>
              <w:ind w:left="544" w:right="7" w:hanging="525"/>
              <w:spacing w:before="40" w:line="230" w:lineRule="auto"/>
              <w:rPr/>
            </w:pPr>
            <w:r>
              <w:rPr>
                <w:spacing w:val="7"/>
              </w:rPr>
              <w:t>精矿、尾矿浓缩</w:t>
            </w:r>
            <w:r>
              <w:rPr>
                <w:spacing w:val="1"/>
              </w:rPr>
              <w:t>过滤</w:t>
            </w:r>
          </w:p>
        </w:tc>
        <w:tc>
          <w:tcPr>
            <w:tcW w:w="1483" w:type="dxa"/>
            <w:vAlign w:val="top"/>
          </w:tcPr>
          <w:p>
            <w:pPr>
              <w:pStyle w:val="TableText"/>
              <w:ind w:left="126"/>
              <w:spacing w:before="175" w:line="232" w:lineRule="auto"/>
              <w:rPr/>
            </w:pPr>
            <w:r>
              <w:rPr>
                <w:spacing w:val="6"/>
              </w:rPr>
              <w:t>选矿工艺废水</w:t>
            </w:r>
          </w:p>
        </w:tc>
        <w:tc>
          <w:tcPr>
            <w:tcW w:w="741" w:type="dxa"/>
            <w:vAlign w:val="top"/>
          </w:tcPr>
          <w:p>
            <w:pPr>
              <w:pStyle w:val="TableText"/>
              <w:ind w:left="67"/>
              <w:spacing w:before="175" w:line="229" w:lineRule="auto"/>
              <w:rPr/>
            </w:pPr>
            <w:r>
              <w:rPr>
                <w:spacing w:val="4"/>
              </w:rPr>
              <w:t>连续性</w:t>
            </w:r>
          </w:p>
        </w:tc>
        <w:tc>
          <w:tcPr>
            <w:tcW w:w="1782" w:type="dxa"/>
            <w:vAlign w:val="top"/>
          </w:tcPr>
          <w:p>
            <w:pPr>
              <w:pStyle w:val="TableText"/>
              <w:ind w:left="693" w:right="2" w:hanging="691"/>
              <w:spacing w:before="40" w:line="230" w:lineRule="auto"/>
              <w:rPr/>
            </w:pPr>
            <w:r>
              <w:rPr>
                <w:rFonts w:ascii="Times New Roman" w:hAnsi="Times New Roman" w:eastAsia="Times New Roman" w:cs="Times New Roman"/>
                <w:spacing w:val="-2"/>
              </w:rPr>
              <w:t>pH</w:t>
            </w:r>
            <w:r>
              <w:rPr>
                <w:rFonts w:ascii="Times New Roman" w:hAnsi="Times New Roman" w:eastAsia="Times New Roman" w:cs="Times New Roman"/>
                <w:spacing w:val="-12"/>
              </w:rPr>
              <w:t xml:space="preserve"> </w:t>
            </w:r>
            <w:r>
              <w:rPr>
                <w:spacing w:val="-2"/>
              </w:rPr>
              <w:t>、</w:t>
            </w:r>
            <w:r>
              <w:rPr>
                <w:rFonts w:ascii="Times New Roman" w:hAnsi="Times New Roman" w:eastAsia="Times New Roman" w:cs="Times New Roman"/>
                <w:spacing w:val="-2"/>
              </w:rPr>
              <w:t>COD</w:t>
            </w:r>
            <w:r>
              <w:rPr>
                <w:rFonts w:ascii="Times New Roman" w:hAnsi="Times New Roman" w:eastAsia="Times New Roman" w:cs="Times New Roman"/>
                <w:spacing w:val="-18"/>
              </w:rPr>
              <w:t xml:space="preserve"> </w:t>
            </w:r>
            <w:r>
              <w:rPr>
                <w:spacing w:val="-2"/>
              </w:rPr>
              <w:t>、</w:t>
            </w:r>
            <w:r>
              <w:rPr>
                <w:rFonts w:ascii="Times New Roman" w:hAnsi="Times New Roman" w:eastAsia="Times New Roman" w:cs="Times New Roman"/>
                <w:spacing w:val="-2"/>
              </w:rPr>
              <w:t>SS</w:t>
            </w:r>
            <w:r>
              <w:rPr>
                <w:rFonts w:ascii="Times New Roman" w:hAnsi="Times New Roman" w:eastAsia="Times New Roman" w:cs="Times New Roman"/>
                <w:spacing w:val="-17"/>
              </w:rPr>
              <w:t xml:space="preserve"> </w:t>
            </w:r>
            <w:r>
              <w:rPr>
                <w:spacing w:val="-2"/>
              </w:rPr>
              <w:t>、氟</w:t>
            </w:r>
            <w:r>
              <w:rPr>
                <w:spacing w:val="1"/>
              </w:rPr>
              <w:t>化物</w:t>
            </w:r>
          </w:p>
        </w:tc>
        <w:tc>
          <w:tcPr>
            <w:tcW w:w="1571" w:type="dxa"/>
            <w:vAlign w:val="top"/>
            <w:vMerge w:val="restart"/>
            <w:tcBorders>
              <w:right w:val="nil"/>
              <w:bottom w:val="nil"/>
            </w:tcBorders>
          </w:tcPr>
          <w:p>
            <w:pPr>
              <w:spacing w:line="250" w:lineRule="auto"/>
              <w:rPr>
                <w:rFonts w:ascii="Arial"/>
                <w:sz w:val="21"/>
              </w:rPr>
            </w:pPr>
            <w:r/>
          </w:p>
          <w:p>
            <w:pPr>
              <w:pStyle w:val="TableText"/>
              <w:ind w:left="614" w:right="47" w:hanging="545"/>
              <w:spacing w:before="65" w:line="254" w:lineRule="auto"/>
              <w:rPr/>
            </w:pPr>
            <w:r>
              <w:rPr>
                <w:spacing w:val="7"/>
              </w:rPr>
              <w:t>混凝沉淀后全部</w:t>
            </w:r>
            <w:r>
              <w:rPr>
                <w:spacing w:val="-11"/>
              </w:rPr>
              <w:t>回用</w:t>
            </w:r>
          </w:p>
        </w:tc>
      </w:tr>
      <w:tr>
        <w:trPr>
          <w:trHeight w:val="548"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vMerge w:val="continue"/>
            <w:tcBorders>
              <w:top w:val="nil"/>
            </w:tcBorders>
          </w:tcPr>
          <w:p>
            <w:pPr>
              <w:rPr>
                <w:rFonts w:ascii="Arial"/>
                <w:sz w:val="21"/>
              </w:rPr>
            </w:pPr>
            <w:r/>
          </w:p>
        </w:tc>
        <w:tc>
          <w:tcPr>
            <w:tcW w:w="1484" w:type="dxa"/>
            <w:vAlign w:val="top"/>
          </w:tcPr>
          <w:p>
            <w:pPr>
              <w:pStyle w:val="TableText"/>
              <w:ind w:left="334"/>
              <w:spacing w:before="176" w:line="231" w:lineRule="auto"/>
              <w:rPr/>
            </w:pPr>
            <w:r>
              <w:rPr>
                <w:spacing w:val="5"/>
              </w:rPr>
              <w:t>地面冲洗</w:t>
            </w:r>
          </w:p>
        </w:tc>
        <w:tc>
          <w:tcPr>
            <w:tcW w:w="1483" w:type="dxa"/>
            <w:vAlign w:val="top"/>
          </w:tcPr>
          <w:p>
            <w:pPr>
              <w:pStyle w:val="TableText"/>
              <w:ind w:left="646" w:right="4" w:hanging="623"/>
              <w:spacing w:before="41" w:line="229" w:lineRule="auto"/>
              <w:rPr/>
            </w:pPr>
            <w:r>
              <w:rPr>
                <w:spacing w:val="7"/>
              </w:rPr>
              <w:t>车间地面冲洗废</w:t>
            </w:r>
            <w:r>
              <w:rPr/>
              <w:t>水</w:t>
            </w:r>
          </w:p>
        </w:tc>
        <w:tc>
          <w:tcPr>
            <w:tcW w:w="741" w:type="dxa"/>
            <w:vAlign w:val="top"/>
          </w:tcPr>
          <w:p>
            <w:pPr>
              <w:pStyle w:val="TableText"/>
              <w:ind w:left="86"/>
              <w:spacing w:before="176" w:line="229" w:lineRule="auto"/>
              <w:rPr/>
            </w:pPr>
            <w:r>
              <w:rPr>
                <w:spacing w:val="-2"/>
              </w:rPr>
              <w:t>间歇性</w:t>
            </w:r>
          </w:p>
        </w:tc>
        <w:tc>
          <w:tcPr>
            <w:tcW w:w="1782" w:type="dxa"/>
            <w:vAlign w:val="top"/>
          </w:tcPr>
          <w:p>
            <w:pPr>
              <w:pStyle w:val="TableText"/>
              <w:ind w:left="693" w:right="2" w:hanging="691"/>
              <w:spacing w:before="41" w:line="229" w:lineRule="auto"/>
              <w:rPr/>
            </w:pPr>
            <w:r>
              <w:rPr>
                <w:rFonts w:ascii="Times New Roman" w:hAnsi="Times New Roman" w:eastAsia="Times New Roman" w:cs="Times New Roman"/>
                <w:spacing w:val="-2"/>
              </w:rPr>
              <w:t>pH</w:t>
            </w:r>
            <w:r>
              <w:rPr>
                <w:rFonts w:ascii="Times New Roman" w:hAnsi="Times New Roman" w:eastAsia="Times New Roman" w:cs="Times New Roman"/>
                <w:spacing w:val="-12"/>
              </w:rPr>
              <w:t xml:space="preserve"> </w:t>
            </w:r>
            <w:r>
              <w:rPr>
                <w:spacing w:val="-2"/>
              </w:rPr>
              <w:t>、</w:t>
            </w:r>
            <w:r>
              <w:rPr>
                <w:rFonts w:ascii="Times New Roman" w:hAnsi="Times New Roman" w:eastAsia="Times New Roman" w:cs="Times New Roman"/>
                <w:spacing w:val="-2"/>
              </w:rPr>
              <w:t>COD</w:t>
            </w:r>
            <w:r>
              <w:rPr>
                <w:rFonts w:ascii="Times New Roman" w:hAnsi="Times New Roman" w:eastAsia="Times New Roman" w:cs="Times New Roman"/>
                <w:spacing w:val="-18"/>
              </w:rPr>
              <w:t xml:space="preserve"> </w:t>
            </w:r>
            <w:r>
              <w:rPr>
                <w:spacing w:val="-2"/>
              </w:rPr>
              <w:t>、</w:t>
            </w:r>
            <w:r>
              <w:rPr>
                <w:rFonts w:ascii="Times New Roman" w:hAnsi="Times New Roman" w:eastAsia="Times New Roman" w:cs="Times New Roman"/>
                <w:spacing w:val="-2"/>
              </w:rPr>
              <w:t>SS</w:t>
            </w:r>
            <w:r>
              <w:rPr>
                <w:rFonts w:ascii="Times New Roman" w:hAnsi="Times New Roman" w:eastAsia="Times New Roman" w:cs="Times New Roman"/>
                <w:spacing w:val="-17"/>
              </w:rPr>
              <w:t xml:space="preserve"> </w:t>
            </w:r>
            <w:r>
              <w:rPr>
                <w:spacing w:val="-2"/>
              </w:rPr>
              <w:t>、氟</w:t>
            </w:r>
            <w:r>
              <w:rPr>
                <w:spacing w:val="1"/>
              </w:rPr>
              <w:t>化物</w:t>
            </w:r>
          </w:p>
        </w:tc>
        <w:tc>
          <w:tcPr>
            <w:tcW w:w="1571" w:type="dxa"/>
            <w:vAlign w:val="top"/>
            <w:vMerge w:val="continue"/>
            <w:tcBorders>
              <w:right w:val="nil"/>
              <w:top w:val="nil"/>
            </w:tcBorders>
          </w:tcPr>
          <w:p>
            <w:pPr>
              <w:rPr>
                <w:rFonts w:ascii="Arial"/>
                <w:sz w:val="21"/>
              </w:rPr>
            </w:pPr>
            <w:r/>
          </w:p>
        </w:tc>
      </w:tr>
      <w:tr>
        <w:trPr>
          <w:trHeight w:val="981"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bottom w:val="nil"/>
            </w:tcBorders>
          </w:tcPr>
          <w:p>
            <w:pPr>
              <w:rPr>
                <w:rFonts w:ascii="Arial"/>
                <w:sz w:val="21"/>
              </w:rPr>
            </w:pPr>
            <w:r/>
          </w:p>
        </w:tc>
        <w:tc>
          <w:tcPr>
            <w:tcW w:w="592"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09" w:right="85" w:hanging="5"/>
              <w:spacing w:before="65" w:line="254" w:lineRule="auto"/>
              <w:rPr/>
            </w:pPr>
            <w:r>
              <w:rPr>
                <w:spacing w:val="-2"/>
              </w:rPr>
              <w:t>办公</w:t>
            </w:r>
            <w:r>
              <w:rPr>
                <w:spacing w:val="-5"/>
              </w:rPr>
              <w:t>生活</w:t>
            </w:r>
          </w:p>
        </w:tc>
        <w:tc>
          <w:tcPr>
            <w:tcW w:w="1484" w:type="dxa"/>
            <w:vAlign w:val="top"/>
          </w:tcPr>
          <w:p>
            <w:pPr>
              <w:spacing w:line="329" w:lineRule="auto"/>
              <w:rPr>
                <w:rFonts w:ascii="Arial"/>
                <w:sz w:val="21"/>
              </w:rPr>
            </w:pPr>
            <w:r/>
          </w:p>
          <w:p>
            <w:pPr>
              <w:pStyle w:val="TableText"/>
              <w:ind w:left="345"/>
              <w:spacing w:before="65" w:line="232" w:lineRule="auto"/>
              <w:rPr/>
            </w:pPr>
            <w:r>
              <w:rPr>
                <w:spacing w:val="2"/>
              </w:rPr>
              <w:t>生活设施</w:t>
            </w:r>
          </w:p>
        </w:tc>
        <w:tc>
          <w:tcPr>
            <w:tcW w:w="1483" w:type="dxa"/>
            <w:vAlign w:val="top"/>
          </w:tcPr>
          <w:p>
            <w:pPr>
              <w:spacing w:line="328" w:lineRule="auto"/>
              <w:rPr>
                <w:rFonts w:ascii="Arial"/>
                <w:sz w:val="21"/>
              </w:rPr>
            </w:pPr>
            <w:r/>
          </w:p>
          <w:p>
            <w:pPr>
              <w:pStyle w:val="TableText"/>
              <w:ind w:left="345"/>
              <w:spacing w:before="65" w:line="232" w:lineRule="auto"/>
              <w:rPr/>
            </w:pPr>
            <w:r>
              <w:rPr>
                <w:spacing w:val="2"/>
              </w:rPr>
              <w:t>生活污水</w:t>
            </w:r>
          </w:p>
        </w:tc>
        <w:tc>
          <w:tcPr>
            <w:tcW w:w="741" w:type="dxa"/>
            <w:vAlign w:val="top"/>
          </w:tcPr>
          <w:p>
            <w:pPr>
              <w:spacing w:line="328" w:lineRule="auto"/>
              <w:rPr>
                <w:rFonts w:ascii="Arial"/>
                <w:sz w:val="21"/>
              </w:rPr>
            </w:pPr>
            <w:r/>
          </w:p>
          <w:p>
            <w:pPr>
              <w:pStyle w:val="TableText"/>
              <w:ind w:left="86"/>
              <w:spacing w:before="65" w:line="229" w:lineRule="auto"/>
              <w:rPr/>
            </w:pPr>
            <w:r>
              <w:rPr>
                <w:spacing w:val="-2"/>
              </w:rPr>
              <w:t>间歇性</w:t>
            </w:r>
          </w:p>
        </w:tc>
        <w:tc>
          <w:tcPr>
            <w:tcW w:w="1782"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spacing w:before="65" w:line="188" w:lineRule="auto"/>
              <w:jc w:val="right"/>
              <w:rPr/>
            </w:pPr>
            <w:r>
              <w:rPr>
                <w:rFonts w:ascii="Times New Roman" w:hAnsi="Times New Roman" w:eastAsia="Times New Roman" w:cs="Times New Roman"/>
                <w:spacing w:val="-4"/>
              </w:rPr>
              <w:t>pH</w:t>
            </w:r>
            <w:r>
              <w:rPr>
                <w:rFonts w:ascii="Times New Roman" w:hAnsi="Times New Roman" w:eastAsia="Times New Roman" w:cs="Times New Roman"/>
                <w:spacing w:val="-15"/>
              </w:rPr>
              <w:t xml:space="preserve"> </w:t>
            </w:r>
            <w:r>
              <w:rPr>
                <w:spacing w:val="-4"/>
              </w:rPr>
              <w:t>、</w:t>
            </w:r>
            <w:r>
              <w:rPr>
                <w:rFonts w:ascii="Times New Roman" w:hAnsi="Times New Roman" w:eastAsia="Times New Roman" w:cs="Times New Roman"/>
                <w:spacing w:val="-4"/>
              </w:rPr>
              <w:t>COD</w:t>
            </w:r>
            <w:r>
              <w:rPr>
                <w:rFonts w:ascii="Times New Roman" w:hAnsi="Times New Roman" w:eastAsia="Times New Roman" w:cs="Times New Roman"/>
                <w:spacing w:val="-18"/>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z w:val="13"/>
                <w:szCs w:val="13"/>
                <w:spacing w:val="-4"/>
                <w:position w:val="-1"/>
              </w:rPr>
              <w:t>5</w:t>
            </w:r>
            <w:r>
              <w:rPr>
                <w:spacing w:val="-4"/>
              </w:rPr>
              <w:t>、</w:t>
            </w:r>
          </w:p>
          <w:p>
            <w:pPr>
              <w:pStyle w:val="TableText"/>
              <w:ind w:left="16"/>
              <w:spacing w:before="34" w:line="229" w:lineRule="auto"/>
              <w:rPr/>
            </w:pPr>
            <w:r>
              <w:rPr>
                <w:rFonts w:ascii="Times New Roman" w:hAnsi="Times New Roman" w:eastAsia="Times New Roman" w:cs="Times New Roman"/>
                <w:spacing w:val="-3"/>
              </w:rPr>
              <w:t>SS</w:t>
            </w:r>
            <w:r>
              <w:rPr>
                <w:spacing w:val="-3"/>
              </w:rPr>
              <w:t>、</w:t>
            </w:r>
            <w:r>
              <w:rPr>
                <w:rFonts w:ascii="Times New Roman" w:hAnsi="Times New Roman" w:eastAsia="Times New Roman" w:cs="Times New Roman"/>
                <w:spacing w:val="-3"/>
              </w:rPr>
              <w:t>NH</w:t>
            </w:r>
            <w:r>
              <w:rPr>
                <w:rFonts w:ascii="Times New Roman" w:hAnsi="Times New Roman" w:eastAsia="Times New Roman" w:cs="Times New Roman"/>
                <w:sz w:val="13"/>
                <w:szCs w:val="13"/>
                <w:spacing w:val="-3"/>
              </w:rPr>
              <w:t>3</w:t>
            </w:r>
            <w:r>
              <w:rPr>
                <w:rFonts w:ascii="Times New Roman" w:hAnsi="Times New Roman" w:eastAsia="Times New Roman" w:cs="Times New Roman"/>
                <w:spacing w:val="-3"/>
              </w:rPr>
              <w:t>-N</w:t>
            </w:r>
            <w:r>
              <w:rPr>
                <w:spacing w:val="-3"/>
              </w:rPr>
              <w:t>、动植物</w:t>
            </w:r>
          </w:p>
          <w:p>
            <w:pPr>
              <w:pStyle w:val="TableText"/>
              <w:ind w:left="804"/>
              <w:spacing w:before="22" w:line="237" w:lineRule="auto"/>
              <w:rPr/>
            </w:pPr>
            <w:r>
              <w:rPr/>
              <w:t>油</w:t>
            </w:r>
          </w:p>
        </w:tc>
        <w:tc>
          <w:tcPr>
            <w:tcW w:w="1571" w:type="dxa"/>
            <w:vAlign w:val="top"/>
            <w:vMerge w:val="restart"/>
            <w:tcBorders>
              <w:right w:val="nil"/>
              <w:bottom w:val="nil"/>
            </w:tcBorders>
          </w:tcPr>
          <w:p>
            <w:pPr>
              <w:pStyle w:val="TableText"/>
              <w:ind w:left="78"/>
              <w:spacing w:before="42" w:line="232" w:lineRule="auto"/>
              <w:rPr/>
            </w:pPr>
            <w:r>
              <w:rPr>
                <w:spacing w:val="6"/>
              </w:rPr>
              <w:t>生活污水与经隔</w:t>
            </w:r>
          </w:p>
          <w:p>
            <w:pPr>
              <w:pStyle w:val="TableText"/>
              <w:ind w:left="70"/>
              <w:spacing w:before="22" w:line="232" w:lineRule="auto"/>
              <w:rPr/>
            </w:pPr>
            <w:r>
              <w:rPr>
                <w:spacing w:val="7"/>
              </w:rPr>
              <w:t>油池处理后的食</w:t>
            </w:r>
          </w:p>
          <w:p>
            <w:pPr>
              <w:pStyle w:val="TableText"/>
              <w:ind w:left="77"/>
              <w:spacing w:before="20" w:line="231" w:lineRule="auto"/>
              <w:rPr/>
            </w:pPr>
            <w:r>
              <w:rPr>
                <w:spacing w:val="6"/>
              </w:rPr>
              <w:t>堂废水排入厂区</w:t>
            </w:r>
          </w:p>
          <w:p>
            <w:pPr>
              <w:pStyle w:val="TableText"/>
              <w:ind w:left="79"/>
              <w:spacing w:before="23" w:line="231" w:lineRule="auto"/>
              <w:rPr/>
            </w:pPr>
            <w:r>
              <w:rPr>
                <w:spacing w:val="7"/>
              </w:rPr>
              <w:t>防渗储池内，定</w:t>
            </w:r>
          </w:p>
          <w:p>
            <w:pPr>
              <w:pStyle w:val="TableText"/>
              <w:ind w:left="65"/>
              <w:spacing w:before="21" w:line="229" w:lineRule="auto"/>
              <w:rPr/>
            </w:pPr>
            <w:r>
              <w:rPr>
                <w:spacing w:val="7"/>
              </w:rPr>
              <w:t>期运至内蒙古锡</w:t>
            </w:r>
          </w:p>
          <w:p>
            <w:pPr>
              <w:pStyle w:val="TableText"/>
              <w:ind w:left="65"/>
              <w:spacing w:before="23" w:line="230" w:lineRule="auto"/>
              <w:rPr/>
            </w:pPr>
            <w:r>
              <w:rPr>
                <w:spacing w:val="7"/>
              </w:rPr>
              <w:t>林郭勒盟苏尼特</w:t>
            </w:r>
          </w:p>
          <w:p>
            <w:pPr>
              <w:pStyle w:val="TableText"/>
              <w:ind w:left="65"/>
              <w:spacing w:before="24" w:line="231" w:lineRule="auto"/>
              <w:rPr/>
            </w:pPr>
            <w:r>
              <w:rPr>
                <w:spacing w:val="7"/>
              </w:rPr>
              <w:t>右旗赛汉塔拉镇</w:t>
            </w:r>
          </w:p>
          <w:p>
            <w:pPr>
              <w:pStyle w:val="TableText"/>
              <w:ind w:left="70"/>
              <w:spacing w:before="23" w:line="232" w:lineRule="auto"/>
              <w:rPr/>
            </w:pPr>
            <w:r>
              <w:rPr>
                <w:spacing w:val="7"/>
              </w:rPr>
              <w:t>污水处理厂处理</w:t>
            </w:r>
          </w:p>
          <w:p>
            <w:pPr>
              <w:pStyle w:val="TableText"/>
              <w:ind w:left="589"/>
              <w:spacing w:before="20" w:line="202" w:lineRule="auto"/>
              <w:rPr/>
            </w:pPr>
            <w:r>
              <w:rPr>
                <w:spacing w:val="1"/>
              </w:rPr>
              <w:t>处理</w:t>
            </w:r>
          </w:p>
        </w:tc>
      </w:tr>
      <w:tr>
        <w:trPr>
          <w:trHeight w:val="1465"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tcBorders>
          </w:tcPr>
          <w:p>
            <w:pPr>
              <w:rPr>
                <w:rFonts w:ascii="Arial"/>
                <w:sz w:val="21"/>
              </w:rPr>
            </w:pPr>
            <w:r/>
          </w:p>
        </w:tc>
        <w:tc>
          <w:tcPr>
            <w:tcW w:w="592" w:type="dxa"/>
            <w:vAlign w:val="top"/>
            <w:vMerge w:val="continue"/>
            <w:tcBorders>
              <w:top w:val="nil"/>
            </w:tcBorders>
          </w:tcPr>
          <w:p>
            <w:pPr>
              <w:rPr>
                <w:rFonts w:ascii="Arial"/>
                <w:sz w:val="21"/>
              </w:rPr>
            </w:pPr>
            <w:r/>
          </w:p>
        </w:tc>
        <w:tc>
          <w:tcPr>
            <w:tcW w:w="1484" w:type="dxa"/>
            <w:vAlign w:val="top"/>
          </w:tcPr>
          <w:p>
            <w:pPr>
              <w:spacing w:line="286" w:lineRule="auto"/>
              <w:rPr>
                <w:rFonts w:ascii="Arial"/>
                <w:sz w:val="21"/>
              </w:rPr>
            </w:pPr>
            <w:r/>
          </w:p>
          <w:p>
            <w:pPr>
              <w:spacing w:line="287" w:lineRule="auto"/>
              <w:rPr>
                <w:rFonts w:ascii="Arial"/>
                <w:sz w:val="21"/>
              </w:rPr>
            </w:pPr>
            <w:r/>
          </w:p>
          <w:p>
            <w:pPr>
              <w:pStyle w:val="TableText"/>
              <w:ind w:left="542"/>
              <w:spacing w:before="65" w:line="235" w:lineRule="auto"/>
              <w:rPr/>
            </w:pPr>
            <w:r>
              <w:rPr>
                <w:spacing w:val="2"/>
              </w:rPr>
              <w:t>食堂</w:t>
            </w:r>
          </w:p>
        </w:tc>
        <w:tc>
          <w:tcPr>
            <w:tcW w:w="1483" w:type="dxa"/>
            <w:vAlign w:val="top"/>
          </w:tcPr>
          <w:p>
            <w:pPr>
              <w:spacing w:line="286" w:lineRule="auto"/>
              <w:rPr>
                <w:rFonts w:ascii="Arial"/>
                <w:sz w:val="21"/>
              </w:rPr>
            </w:pPr>
            <w:r/>
          </w:p>
          <w:p>
            <w:pPr>
              <w:spacing w:line="286" w:lineRule="auto"/>
              <w:rPr>
                <w:rFonts w:ascii="Arial"/>
                <w:sz w:val="21"/>
              </w:rPr>
            </w:pPr>
            <w:r/>
          </w:p>
          <w:p>
            <w:pPr>
              <w:pStyle w:val="TableText"/>
              <w:ind w:left="332"/>
              <w:spacing w:before="65" w:line="232" w:lineRule="auto"/>
              <w:rPr/>
            </w:pPr>
            <w:r>
              <w:rPr>
                <w:spacing w:val="5"/>
              </w:rPr>
              <w:t>食堂废水</w:t>
            </w:r>
          </w:p>
        </w:tc>
        <w:tc>
          <w:tcPr>
            <w:tcW w:w="741" w:type="dxa"/>
            <w:vAlign w:val="top"/>
          </w:tcPr>
          <w:p>
            <w:pPr>
              <w:spacing w:line="286" w:lineRule="auto"/>
              <w:rPr>
                <w:rFonts w:ascii="Arial"/>
                <w:sz w:val="21"/>
              </w:rPr>
            </w:pPr>
            <w:r/>
          </w:p>
          <w:p>
            <w:pPr>
              <w:spacing w:line="286" w:lineRule="auto"/>
              <w:rPr>
                <w:rFonts w:ascii="Arial"/>
                <w:sz w:val="21"/>
              </w:rPr>
            </w:pPr>
            <w:r/>
          </w:p>
          <w:p>
            <w:pPr>
              <w:pStyle w:val="TableText"/>
              <w:ind w:left="86"/>
              <w:spacing w:before="65" w:line="229" w:lineRule="auto"/>
              <w:rPr/>
            </w:pPr>
            <w:r>
              <w:rPr>
                <w:spacing w:val="-2"/>
              </w:rPr>
              <w:t>间歇性</w:t>
            </w:r>
          </w:p>
        </w:tc>
        <w:tc>
          <w:tcPr>
            <w:tcW w:w="1782" w:type="dxa"/>
            <w:vAlign w:val="top"/>
            <w:vMerge w:val="continue"/>
            <w:tcBorders>
              <w:top w:val="nil"/>
            </w:tcBorders>
          </w:tcPr>
          <w:p>
            <w:pPr>
              <w:rPr>
                <w:rFonts w:ascii="Arial"/>
                <w:sz w:val="21"/>
              </w:rPr>
            </w:pPr>
            <w:r/>
          </w:p>
        </w:tc>
        <w:tc>
          <w:tcPr>
            <w:tcW w:w="1571" w:type="dxa"/>
            <w:vAlign w:val="top"/>
            <w:vMerge w:val="continue"/>
            <w:tcBorders>
              <w:right w:val="nil"/>
              <w:top w:val="nil"/>
            </w:tcBorders>
          </w:tcPr>
          <w:p>
            <w:pPr>
              <w:rPr>
                <w:rFonts w:ascii="Arial"/>
                <w:sz w:val="21"/>
              </w:rPr>
            </w:pPr>
            <w:r/>
          </w:p>
        </w:tc>
      </w:tr>
      <w:tr>
        <w:trPr>
          <w:trHeight w:val="549"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restart"/>
            <w:tcBorders>
              <w:bottom w:val="nil"/>
            </w:tcBorders>
          </w:tcPr>
          <w:p>
            <w:pPr>
              <w:spacing w:line="395" w:lineRule="auto"/>
              <w:rPr>
                <w:rFonts w:ascii="Arial"/>
                <w:sz w:val="21"/>
              </w:rPr>
            </w:pPr>
            <w:r/>
          </w:p>
          <w:p>
            <w:pPr>
              <w:pStyle w:val="TableText"/>
              <w:ind w:left="102"/>
              <w:spacing w:before="65" w:line="231" w:lineRule="auto"/>
              <w:rPr/>
            </w:pPr>
            <w:r>
              <w:rPr>
                <w:spacing w:val="-3"/>
              </w:rPr>
              <w:t>噪声</w:t>
            </w:r>
          </w:p>
        </w:tc>
        <w:tc>
          <w:tcPr>
            <w:tcW w:w="592" w:type="dxa"/>
            <w:vAlign w:val="top"/>
          </w:tcPr>
          <w:p>
            <w:pPr>
              <w:pStyle w:val="TableText"/>
              <w:ind w:left="96"/>
              <w:spacing w:before="50" w:line="232" w:lineRule="auto"/>
              <w:rPr/>
            </w:pPr>
            <w:r>
              <w:rPr>
                <w:spacing w:val="2"/>
              </w:rPr>
              <w:t>设备</w:t>
            </w:r>
          </w:p>
          <w:p>
            <w:pPr>
              <w:pStyle w:val="TableText"/>
              <w:ind w:left="99"/>
              <w:spacing w:before="19" w:line="201" w:lineRule="auto"/>
              <w:rPr/>
            </w:pPr>
            <w:r>
              <w:rPr>
                <w:spacing w:val="1"/>
              </w:rPr>
              <w:t>运行</w:t>
            </w:r>
          </w:p>
        </w:tc>
        <w:tc>
          <w:tcPr>
            <w:tcW w:w="1484" w:type="dxa"/>
            <w:vAlign w:val="top"/>
          </w:tcPr>
          <w:p>
            <w:pPr>
              <w:pStyle w:val="TableText"/>
              <w:ind w:left="220" w:hanging="204"/>
              <w:spacing w:before="49" w:line="226" w:lineRule="auto"/>
              <w:rPr/>
            </w:pPr>
            <w:r>
              <w:rPr>
                <w:spacing w:val="-18"/>
              </w:rPr>
              <w:t>爆破、选矿设备、</w:t>
            </w:r>
            <w:r>
              <w:rPr>
                <w:spacing w:val="-2"/>
              </w:rPr>
              <w:t>风机、泵等</w:t>
            </w:r>
          </w:p>
        </w:tc>
        <w:tc>
          <w:tcPr>
            <w:tcW w:w="1483" w:type="dxa"/>
            <w:vAlign w:val="top"/>
          </w:tcPr>
          <w:p>
            <w:pPr>
              <w:pStyle w:val="TableText"/>
              <w:ind w:left="552"/>
              <w:spacing w:before="184" w:line="231" w:lineRule="auto"/>
              <w:rPr/>
            </w:pPr>
            <w:r>
              <w:rPr>
                <w:spacing w:val="-3"/>
              </w:rPr>
              <w:t>噪声</w:t>
            </w:r>
          </w:p>
        </w:tc>
        <w:tc>
          <w:tcPr>
            <w:tcW w:w="741" w:type="dxa"/>
            <w:vAlign w:val="top"/>
          </w:tcPr>
          <w:p>
            <w:pPr>
              <w:pStyle w:val="TableText"/>
              <w:ind w:left="67"/>
              <w:spacing w:before="183" w:line="229" w:lineRule="auto"/>
              <w:rPr/>
            </w:pPr>
            <w:r>
              <w:rPr>
                <w:spacing w:val="4"/>
              </w:rPr>
              <w:t>连续性</w:t>
            </w:r>
          </w:p>
        </w:tc>
        <w:tc>
          <w:tcPr>
            <w:tcW w:w="1782" w:type="dxa"/>
            <w:vAlign w:val="top"/>
          </w:tcPr>
          <w:p>
            <w:pPr>
              <w:pStyle w:val="TableText"/>
              <w:ind w:left="702"/>
              <w:spacing w:before="184" w:line="231" w:lineRule="auto"/>
              <w:rPr/>
            </w:pPr>
            <w:r>
              <w:rPr>
                <w:spacing w:val="-3"/>
              </w:rPr>
              <w:t>噪声</w:t>
            </w:r>
          </w:p>
        </w:tc>
        <w:tc>
          <w:tcPr>
            <w:tcW w:w="1571" w:type="dxa"/>
            <w:vAlign w:val="top"/>
            <w:tcBorders>
              <w:right w:val="nil"/>
            </w:tcBorders>
          </w:tcPr>
          <w:p>
            <w:pPr>
              <w:pStyle w:val="TableText"/>
              <w:ind w:left="484" w:right="47" w:hanging="416"/>
              <w:spacing w:before="49" w:line="226" w:lineRule="auto"/>
              <w:rPr/>
            </w:pPr>
            <w:r>
              <w:rPr>
                <w:spacing w:val="7"/>
              </w:rPr>
              <w:t>影响项目区场界</w:t>
            </w:r>
            <w:r>
              <w:rPr>
                <w:spacing w:val="5"/>
              </w:rPr>
              <w:t>声环境</w:t>
            </w:r>
          </w:p>
        </w:tc>
      </w:tr>
      <w:tr>
        <w:trPr>
          <w:trHeight w:val="549"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top w:val="nil"/>
            </w:tcBorders>
          </w:tcPr>
          <w:p>
            <w:pPr>
              <w:rPr>
                <w:rFonts w:ascii="Arial"/>
                <w:sz w:val="21"/>
              </w:rPr>
            </w:pPr>
            <w:r/>
          </w:p>
        </w:tc>
        <w:tc>
          <w:tcPr>
            <w:tcW w:w="592" w:type="dxa"/>
            <w:vAlign w:val="top"/>
          </w:tcPr>
          <w:p>
            <w:pPr>
              <w:pStyle w:val="TableText"/>
              <w:ind w:left="99"/>
              <w:spacing w:before="184" w:line="232" w:lineRule="auto"/>
              <w:rPr/>
            </w:pPr>
            <w:r>
              <w:rPr>
                <w:spacing w:val="1"/>
              </w:rPr>
              <w:t>运输</w:t>
            </w:r>
          </w:p>
        </w:tc>
        <w:tc>
          <w:tcPr>
            <w:tcW w:w="1484" w:type="dxa"/>
            <w:vAlign w:val="top"/>
          </w:tcPr>
          <w:p>
            <w:pPr>
              <w:pStyle w:val="TableText"/>
              <w:ind w:left="547"/>
              <w:spacing w:before="184" w:line="228" w:lineRule="auto"/>
              <w:rPr/>
            </w:pPr>
            <w:r>
              <w:rPr>
                <w:spacing w:val="-1"/>
              </w:rPr>
              <w:t>车辆</w:t>
            </w:r>
          </w:p>
        </w:tc>
        <w:tc>
          <w:tcPr>
            <w:tcW w:w="1483" w:type="dxa"/>
            <w:vAlign w:val="top"/>
          </w:tcPr>
          <w:p>
            <w:pPr>
              <w:pStyle w:val="TableText"/>
              <w:ind w:left="552"/>
              <w:spacing w:before="184" w:line="231" w:lineRule="auto"/>
              <w:rPr/>
            </w:pPr>
            <w:r>
              <w:rPr>
                <w:spacing w:val="-3"/>
              </w:rPr>
              <w:t>噪声</w:t>
            </w:r>
          </w:p>
        </w:tc>
        <w:tc>
          <w:tcPr>
            <w:tcW w:w="741" w:type="dxa"/>
            <w:vAlign w:val="top"/>
          </w:tcPr>
          <w:p>
            <w:pPr>
              <w:pStyle w:val="TableText"/>
              <w:ind w:left="86"/>
              <w:spacing w:before="184" w:line="229" w:lineRule="auto"/>
              <w:rPr/>
            </w:pPr>
            <w:r>
              <w:rPr>
                <w:spacing w:val="-2"/>
              </w:rPr>
              <w:t>间歇性</w:t>
            </w:r>
          </w:p>
        </w:tc>
        <w:tc>
          <w:tcPr>
            <w:tcW w:w="1782" w:type="dxa"/>
            <w:vAlign w:val="top"/>
          </w:tcPr>
          <w:p>
            <w:pPr>
              <w:pStyle w:val="TableText"/>
              <w:ind w:left="702"/>
              <w:spacing w:before="184" w:line="231" w:lineRule="auto"/>
              <w:rPr/>
            </w:pPr>
            <w:r>
              <w:rPr>
                <w:spacing w:val="-3"/>
              </w:rPr>
              <w:t>噪声</w:t>
            </w:r>
          </w:p>
        </w:tc>
        <w:tc>
          <w:tcPr>
            <w:tcW w:w="1571" w:type="dxa"/>
            <w:vAlign w:val="top"/>
            <w:tcBorders>
              <w:right w:val="nil"/>
            </w:tcBorders>
          </w:tcPr>
          <w:p>
            <w:pPr>
              <w:pStyle w:val="TableText"/>
              <w:ind w:left="588" w:right="47" w:hanging="520"/>
              <w:spacing w:before="49" w:line="226" w:lineRule="auto"/>
              <w:rPr/>
            </w:pPr>
            <w:r>
              <w:rPr>
                <w:spacing w:val="7"/>
              </w:rPr>
              <w:t>影响道路两侧声</w:t>
            </w:r>
            <w:r>
              <w:rPr>
                <w:spacing w:val="2"/>
              </w:rPr>
              <w:t>环境</w:t>
            </w:r>
          </w:p>
        </w:tc>
      </w:tr>
      <w:tr>
        <w:trPr>
          <w:trHeight w:val="548"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5" w:right="83" w:firstLine="19"/>
              <w:spacing w:before="65" w:line="250" w:lineRule="auto"/>
              <w:rPr/>
            </w:pPr>
            <w:r>
              <w:rPr>
                <w:spacing w:val="-10"/>
              </w:rPr>
              <w:t>固体</w:t>
            </w:r>
            <w:r>
              <w:rPr/>
              <w:t>废物</w:t>
            </w:r>
          </w:p>
        </w:tc>
        <w:tc>
          <w:tcPr>
            <w:tcW w:w="592" w:type="dxa"/>
            <w:vAlign w:val="top"/>
          </w:tcPr>
          <w:p>
            <w:pPr>
              <w:pStyle w:val="TableText"/>
              <w:ind w:left="99"/>
              <w:spacing w:before="50" w:line="231" w:lineRule="auto"/>
              <w:rPr/>
            </w:pPr>
            <w:r>
              <w:rPr>
                <w:spacing w:val="1"/>
              </w:rPr>
              <w:t>采矿</w:t>
            </w:r>
          </w:p>
          <w:p>
            <w:pPr>
              <w:pStyle w:val="TableText"/>
              <w:ind w:left="100"/>
              <w:spacing w:before="20" w:line="200" w:lineRule="auto"/>
              <w:rPr/>
            </w:pPr>
            <w:r>
              <w:rPr/>
              <w:t>作业</w:t>
            </w:r>
          </w:p>
        </w:tc>
        <w:tc>
          <w:tcPr>
            <w:tcW w:w="1484" w:type="dxa"/>
            <w:vAlign w:val="top"/>
          </w:tcPr>
          <w:p>
            <w:pPr>
              <w:pStyle w:val="TableText"/>
              <w:ind w:left="335"/>
              <w:spacing w:before="184" w:line="231" w:lineRule="auto"/>
              <w:rPr/>
            </w:pPr>
            <w:r>
              <w:rPr>
                <w:spacing w:val="5"/>
              </w:rPr>
              <w:t>井下开凿</w:t>
            </w:r>
          </w:p>
        </w:tc>
        <w:tc>
          <w:tcPr>
            <w:tcW w:w="1483" w:type="dxa"/>
            <w:vAlign w:val="top"/>
          </w:tcPr>
          <w:p>
            <w:pPr>
              <w:pStyle w:val="TableText"/>
              <w:ind w:left="334"/>
              <w:spacing w:before="184" w:line="231" w:lineRule="auto"/>
              <w:rPr/>
            </w:pPr>
            <w:r>
              <w:rPr>
                <w:spacing w:val="5"/>
              </w:rPr>
              <w:t>采矿废石</w:t>
            </w:r>
          </w:p>
        </w:tc>
        <w:tc>
          <w:tcPr>
            <w:tcW w:w="741" w:type="dxa"/>
            <w:vAlign w:val="top"/>
          </w:tcPr>
          <w:p>
            <w:pPr>
              <w:pStyle w:val="TableText"/>
              <w:ind w:left="86"/>
              <w:spacing w:before="184" w:line="229" w:lineRule="auto"/>
              <w:rPr/>
            </w:pPr>
            <w:r>
              <w:rPr>
                <w:spacing w:val="-2"/>
              </w:rPr>
              <w:t>间歇性</w:t>
            </w:r>
          </w:p>
        </w:tc>
        <w:tc>
          <w:tcPr>
            <w:tcW w:w="1782" w:type="dxa"/>
            <w:vAlign w:val="top"/>
          </w:tcPr>
          <w:p>
            <w:pPr>
              <w:ind w:left="859"/>
              <w:spacing w:before="21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tcBorders>
          </w:tcPr>
          <w:p>
            <w:pPr>
              <w:pStyle w:val="TableText"/>
              <w:ind w:left="91"/>
              <w:spacing w:before="184" w:line="231" w:lineRule="auto"/>
              <w:rPr/>
            </w:pPr>
            <w:r>
              <w:rPr>
                <w:spacing w:val="4"/>
              </w:rPr>
              <w:t>回填井下采空区</w:t>
            </w:r>
          </w:p>
        </w:tc>
      </w:tr>
      <w:tr>
        <w:trPr>
          <w:trHeight w:val="278"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bottom w:val="nil"/>
              <w:top w:val="nil"/>
            </w:tcBorders>
          </w:tcPr>
          <w:p>
            <w:pPr>
              <w:rPr>
                <w:rFonts w:ascii="Arial"/>
                <w:sz w:val="21"/>
              </w:rPr>
            </w:pPr>
            <w:r/>
          </w:p>
        </w:tc>
        <w:tc>
          <w:tcPr>
            <w:tcW w:w="59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99" w:right="85"/>
              <w:spacing w:before="65" w:line="250" w:lineRule="auto"/>
              <w:rPr/>
            </w:pPr>
            <w:r>
              <w:rPr/>
              <w:t>选矿</w:t>
            </w:r>
            <w:r>
              <w:rPr/>
              <w:t>作业</w:t>
            </w:r>
          </w:p>
        </w:tc>
        <w:tc>
          <w:tcPr>
            <w:tcW w:w="1484" w:type="dxa"/>
            <w:vAlign w:val="top"/>
            <w:vMerge w:val="restart"/>
            <w:tcBorders>
              <w:bottom w:val="nil"/>
            </w:tcBorders>
          </w:tcPr>
          <w:p>
            <w:pPr>
              <w:pStyle w:val="TableText"/>
              <w:ind w:left="335"/>
              <w:spacing w:before="191" w:line="233" w:lineRule="auto"/>
              <w:rPr/>
            </w:pPr>
            <w:r>
              <w:rPr>
                <w:spacing w:val="5"/>
              </w:rPr>
              <w:t>废气处理</w:t>
            </w:r>
          </w:p>
        </w:tc>
        <w:tc>
          <w:tcPr>
            <w:tcW w:w="1483" w:type="dxa"/>
            <w:vAlign w:val="top"/>
          </w:tcPr>
          <w:p>
            <w:pPr>
              <w:pStyle w:val="TableText"/>
              <w:ind w:left="228"/>
              <w:spacing w:before="52" w:line="199" w:lineRule="auto"/>
              <w:rPr/>
            </w:pPr>
            <w:r>
              <w:rPr>
                <w:spacing w:val="6"/>
              </w:rPr>
              <w:t>布袋除尘灰</w:t>
            </w:r>
          </w:p>
        </w:tc>
        <w:tc>
          <w:tcPr>
            <w:tcW w:w="741" w:type="dxa"/>
            <w:vAlign w:val="top"/>
          </w:tcPr>
          <w:p>
            <w:pPr>
              <w:pStyle w:val="TableText"/>
              <w:ind w:left="67"/>
              <w:spacing w:before="52" w:line="199" w:lineRule="auto"/>
              <w:rPr/>
            </w:pPr>
            <w:r>
              <w:rPr>
                <w:spacing w:val="4"/>
              </w:rPr>
              <w:t>连续性</w:t>
            </w:r>
          </w:p>
        </w:tc>
        <w:tc>
          <w:tcPr>
            <w:tcW w:w="1782" w:type="dxa"/>
            <w:vAlign w:val="top"/>
          </w:tcPr>
          <w:p>
            <w:pPr>
              <w:ind w:left="859"/>
              <w:spacing w:before="8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tcBorders>
          </w:tcPr>
          <w:p>
            <w:pPr>
              <w:pStyle w:val="TableText"/>
              <w:ind w:left="405"/>
              <w:spacing w:before="52" w:line="199" w:lineRule="auto"/>
              <w:rPr/>
            </w:pPr>
            <w:r>
              <w:rPr>
                <w:spacing w:val="-1"/>
              </w:rPr>
              <w:t>回用生产</w:t>
            </w:r>
          </w:p>
        </w:tc>
      </w:tr>
      <w:tr>
        <w:trPr>
          <w:trHeight w:val="276"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bottom w:val="nil"/>
              <w:top w:val="nil"/>
            </w:tcBorders>
          </w:tcPr>
          <w:p>
            <w:pPr>
              <w:rPr>
                <w:rFonts w:ascii="Arial"/>
                <w:sz w:val="21"/>
              </w:rPr>
            </w:pPr>
            <w:r/>
          </w:p>
        </w:tc>
        <w:tc>
          <w:tcPr>
            <w:tcW w:w="592" w:type="dxa"/>
            <w:vAlign w:val="top"/>
            <w:vMerge w:val="continue"/>
            <w:tcBorders>
              <w:bottom w:val="nil"/>
              <w:top w:val="nil"/>
            </w:tcBorders>
          </w:tcPr>
          <w:p>
            <w:pPr>
              <w:rPr>
                <w:rFonts w:ascii="Arial"/>
                <w:sz w:val="21"/>
              </w:rPr>
            </w:pPr>
            <w:r/>
          </w:p>
        </w:tc>
        <w:tc>
          <w:tcPr>
            <w:tcW w:w="1484" w:type="dxa"/>
            <w:vAlign w:val="top"/>
            <w:vMerge w:val="continue"/>
            <w:tcBorders>
              <w:top w:val="nil"/>
            </w:tcBorders>
          </w:tcPr>
          <w:p>
            <w:pPr>
              <w:rPr>
                <w:rFonts w:ascii="Arial"/>
                <w:sz w:val="21"/>
              </w:rPr>
            </w:pPr>
            <w:r/>
          </w:p>
        </w:tc>
        <w:tc>
          <w:tcPr>
            <w:tcW w:w="1483" w:type="dxa"/>
            <w:vAlign w:val="top"/>
          </w:tcPr>
          <w:p>
            <w:pPr>
              <w:pStyle w:val="TableText"/>
              <w:ind w:left="440"/>
              <w:spacing w:before="52" w:line="197" w:lineRule="auto"/>
              <w:rPr/>
            </w:pPr>
            <w:r>
              <w:rPr>
                <w:spacing w:val="4"/>
              </w:rPr>
              <w:t>废布袋</w:t>
            </w:r>
          </w:p>
        </w:tc>
        <w:tc>
          <w:tcPr>
            <w:tcW w:w="741" w:type="dxa"/>
            <w:vAlign w:val="top"/>
          </w:tcPr>
          <w:p>
            <w:pPr>
              <w:pStyle w:val="TableText"/>
              <w:ind w:left="86"/>
              <w:spacing w:before="52" w:line="197" w:lineRule="auto"/>
              <w:rPr/>
            </w:pPr>
            <w:r>
              <w:rPr>
                <w:spacing w:val="-2"/>
              </w:rPr>
              <w:t>间歇性</w:t>
            </w:r>
          </w:p>
        </w:tc>
        <w:tc>
          <w:tcPr>
            <w:tcW w:w="1782" w:type="dxa"/>
            <w:vAlign w:val="top"/>
          </w:tcPr>
          <w:p>
            <w:pPr>
              <w:ind w:left="859"/>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tcBorders>
          </w:tcPr>
          <w:p>
            <w:pPr>
              <w:pStyle w:val="TableText"/>
              <w:ind w:left="168"/>
              <w:spacing w:before="52" w:line="197" w:lineRule="auto"/>
              <w:rPr/>
            </w:pPr>
            <w:r>
              <w:rPr>
                <w:spacing w:val="7"/>
              </w:rPr>
              <w:t>厂家回收处理</w:t>
            </w:r>
          </w:p>
        </w:tc>
      </w:tr>
      <w:tr>
        <w:trPr>
          <w:trHeight w:val="821" w:hRule="atLeast"/>
        </w:trPr>
        <w:tc>
          <w:tcPr>
            <w:tcW w:w="454" w:type="dxa"/>
            <w:vAlign w:val="top"/>
            <w:vMerge w:val="continue"/>
            <w:tcBorders>
              <w:left w:val="nil"/>
              <w:bottom w:val="nil"/>
              <w:top w:val="nil"/>
            </w:tcBorders>
          </w:tcPr>
          <w:p>
            <w:pPr>
              <w:rPr>
                <w:rFonts w:ascii="Arial"/>
                <w:sz w:val="21"/>
              </w:rPr>
            </w:pPr>
            <w:r/>
          </w:p>
        </w:tc>
        <w:tc>
          <w:tcPr>
            <w:tcW w:w="586" w:type="dxa"/>
            <w:vAlign w:val="top"/>
            <w:vMerge w:val="continue"/>
            <w:tcBorders>
              <w:bottom w:val="nil"/>
              <w:top w:val="nil"/>
            </w:tcBorders>
          </w:tcPr>
          <w:p>
            <w:pPr>
              <w:rPr>
                <w:rFonts w:ascii="Arial"/>
                <w:sz w:val="21"/>
              </w:rPr>
            </w:pPr>
            <w:r/>
          </w:p>
        </w:tc>
        <w:tc>
          <w:tcPr>
            <w:tcW w:w="592" w:type="dxa"/>
            <w:vAlign w:val="top"/>
            <w:vMerge w:val="continue"/>
            <w:tcBorders>
              <w:bottom w:val="nil"/>
              <w:top w:val="nil"/>
            </w:tcBorders>
          </w:tcPr>
          <w:p>
            <w:pPr>
              <w:rPr>
                <w:rFonts w:ascii="Arial"/>
                <w:sz w:val="21"/>
              </w:rPr>
            </w:pPr>
            <w:r/>
          </w:p>
        </w:tc>
        <w:tc>
          <w:tcPr>
            <w:tcW w:w="1484" w:type="dxa"/>
            <w:vAlign w:val="top"/>
          </w:tcPr>
          <w:p>
            <w:pPr>
              <w:spacing w:line="259" w:lineRule="auto"/>
              <w:rPr>
                <w:rFonts w:ascii="Arial"/>
                <w:sz w:val="21"/>
              </w:rPr>
            </w:pPr>
            <w:r/>
          </w:p>
          <w:p>
            <w:pPr>
              <w:pStyle w:val="TableText"/>
              <w:ind w:left="332"/>
              <w:spacing w:before="65" w:line="230" w:lineRule="auto"/>
              <w:rPr/>
            </w:pPr>
            <w:r>
              <w:rPr>
                <w:spacing w:val="6"/>
              </w:rPr>
              <w:t>设备维修</w:t>
            </w:r>
          </w:p>
        </w:tc>
        <w:tc>
          <w:tcPr>
            <w:tcW w:w="1483" w:type="dxa"/>
            <w:vAlign w:val="top"/>
          </w:tcPr>
          <w:p>
            <w:pPr>
              <w:pStyle w:val="TableText"/>
              <w:ind w:left="19"/>
              <w:spacing w:before="54" w:line="229" w:lineRule="auto"/>
              <w:rPr/>
            </w:pPr>
            <w:r>
              <w:rPr>
                <w:spacing w:val="7"/>
              </w:rPr>
              <w:t>含油抹布及劳保</w:t>
            </w:r>
          </w:p>
          <w:p>
            <w:pPr>
              <w:pStyle w:val="TableText"/>
              <w:ind w:left="18"/>
              <w:spacing w:before="23" w:line="231" w:lineRule="auto"/>
              <w:rPr/>
            </w:pPr>
            <w:r>
              <w:rPr>
                <w:spacing w:val="7"/>
              </w:rPr>
              <w:t>用品、废机油及</w:t>
            </w:r>
          </w:p>
          <w:p>
            <w:pPr>
              <w:pStyle w:val="TableText"/>
              <w:ind w:left="440"/>
              <w:spacing w:before="20" w:line="198" w:lineRule="auto"/>
              <w:rPr/>
            </w:pPr>
            <w:r>
              <w:rPr>
                <w:spacing w:val="4"/>
              </w:rPr>
              <w:t>废油桶</w:t>
            </w:r>
          </w:p>
        </w:tc>
        <w:tc>
          <w:tcPr>
            <w:tcW w:w="741" w:type="dxa"/>
            <w:vAlign w:val="top"/>
          </w:tcPr>
          <w:p>
            <w:pPr>
              <w:spacing w:line="258" w:lineRule="auto"/>
              <w:rPr>
                <w:rFonts w:ascii="Arial"/>
                <w:sz w:val="21"/>
              </w:rPr>
            </w:pPr>
            <w:r/>
          </w:p>
          <w:p>
            <w:pPr>
              <w:pStyle w:val="TableText"/>
              <w:ind w:left="86"/>
              <w:spacing w:before="65" w:line="229" w:lineRule="auto"/>
              <w:rPr/>
            </w:pPr>
            <w:r>
              <w:rPr>
                <w:spacing w:val="-2"/>
              </w:rPr>
              <w:t>间歇性</w:t>
            </w:r>
          </w:p>
        </w:tc>
        <w:tc>
          <w:tcPr>
            <w:tcW w:w="1782" w:type="dxa"/>
            <w:vAlign w:val="top"/>
          </w:tcPr>
          <w:p>
            <w:pPr>
              <w:spacing w:line="298" w:lineRule="auto"/>
              <w:rPr>
                <w:rFonts w:ascii="Arial"/>
                <w:sz w:val="21"/>
              </w:rPr>
            </w:pPr>
            <w:r/>
          </w:p>
          <w:p>
            <w:pPr>
              <w:ind w:left="85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tcBorders>
          </w:tcPr>
          <w:p>
            <w:pPr>
              <w:pStyle w:val="TableText"/>
              <w:ind w:left="486" w:right="47" w:hanging="416"/>
              <w:spacing w:before="189" w:line="252" w:lineRule="auto"/>
              <w:rPr/>
            </w:pPr>
            <w:r>
              <w:rPr>
                <w:spacing w:val="7"/>
              </w:rPr>
              <w:t>定期交有资质单</w:t>
            </w:r>
            <w:r>
              <w:rPr>
                <w:spacing w:val="4"/>
              </w:rPr>
              <w:t>位处理</w:t>
            </w:r>
          </w:p>
        </w:tc>
      </w:tr>
      <w:tr>
        <w:trPr>
          <w:trHeight w:val="1658" w:hRule="atLeast"/>
        </w:trPr>
        <w:tc>
          <w:tcPr>
            <w:tcW w:w="454" w:type="dxa"/>
            <w:vAlign w:val="top"/>
            <w:vMerge w:val="continue"/>
            <w:tcBorders>
              <w:left w:val="nil"/>
              <w:bottom w:val="single" w:color="00000A" w:sz="10" w:space="0"/>
              <w:top w:val="nil"/>
            </w:tcBorders>
          </w:tcPr>
          <w:p>
            <w:pPr>
              <w:rPr>
                <w:rFonts w:ascii="Arial"/>
                <w:sz w:val="21"/>
              </w:rPr>
            </w:pPr>
            <w:r/>
          </w:p>
        </w:tc>
        <w:tc>
          <w:tcPr>
            <w:tcW w:w="586" w:type="dxa"/>
            <w:vAlign w:val="top"/>
            <w:vMerge w:val="continue"/>
            <w:tcBorders>
              <w:bottom w:val="single" w:color="00000A" w:sz="10" w:space="0"/>
              <w:top w:val="nil"/>
            </w:tcBorders>
          </w:tcPr>
          <w:p>
            <w:pPr>
              <w:rPr>
                <w:rFonts w:ascii="Arial"/>
                <w:sz w:val="21"/>
              </w:rPr>
            </w:pPr>
            <w:r/>
          </w:p>
        </w:tc>
        <w:tc>
          <w:tcPr>
            <w:tcW w:w="592" w:type="dxa"/>
            <w:vAlign w:val="top"/>
            <w:vMerge w:val="continue"/>
            <w:tcBorders>
              <w:bottom w:val="single" w:color="00000A" w:sz="10" w:space="0"/>
              <w:top w:val="nil"/>
            </w:tcBorders>
          </w:tcPr>
          <w:p>
            <w:pPr>
              <w:rPr>
                <w:rFonts w:ascii="Arial"/>
                <w:sz w:val="21"/>
              </w:rPr>
            </w:pPr>
            <w:r/>
          </w:p>
        </w:tc>
        <w:tc>
          <w:tcPr>
            <w:tcW w:w="1484" w:type="dxa"/>
            <w:vAlign w:val="top"/>
            <w:tcBorders>
              <w:bottom w:val="single" w:color="00000A" w:sz="10" w:space="0"/>
            </w:tcBorders>
          </w:tcPr>
          <w:p>
            <w:pPr>
              <w:spacing w:line="331" w:lineRule="auto"/>
              <w:rPr>
                <w:rFonts w:ascii="Arial"/>
                <w:sz w:val="21"/>
              </w:rPr>
            </w:pPr>
            <w:r/>
          </w:p>
          <w:p>
            <w:pPr>
              <w:spacing w:line="332" w:lineRule="auto"/>
              <w:rPr>
                <w:rFonts w:ascii="Arial"/>
                <w:sz w:val="21"/>
              </w:rPr>
            </w:pPr>
            <w:r/>
          </w:p>
          <w:p>
            <w:pPr>
              <w:pStyle w:val="TableText"/>
              <w:ind w:left="335"/>
              <w:spacing w:before="65" w:line="231" w:lineRule="auto"/>
              <w:rPr/>
            </w:pPr>
            <w:r>
              <w:rPr>
                <w:spacing w:val="5"/>
              </w:rPr>
              <w:t>尾矿压滤</w:t>
            </w:r>
          </w:p>
        </w:tc>
        <w:tc>
          <w:tcPr>
            <w:tcW w:w="1483" w:type="dxa"/>
            <w:vAlign w:val="top"/>
            <w:tcBorders>
              <w:bottom w:val="single" w:color="00000A" w:sz="10" w:space="0"/>
            </w:tcBorders>
          </w:tcPr>
          <w:p>
            <w:pPr>
              <w:spacing w:line="332" w:lineRule="auto"/>
              <w:rPr>
                <w:rFonts w:ascii="Arial"/>
                <w:sz w:val="21"/>
              </w:rPr>
            </w:pPr>
            <w:r/>
          </w:p>
          <w:p>
            <w:pPr>
              <w:spacing w:line="332" w:lineRule="auto"/>
              <w:rPr>
                <w:rFonts w:ascii="Arial"/>
                <w:sz w:val="21"/>
              </w:rPr>
            </w:pPr>
            <w:r/>
          </w:p>
          <w:p>
            <w:pPr>
              <w:pStyle w:val="TableText"/>
              <w:ind w:left="546"/>
              <w:spacing w:before="65" w:line="232" w:lineRule="auto"/>
              <w:rPr/>
            </w:pPr>
            <w:r>
              <w:rPr/>
              <w:t>废矿</w:t>
            </w:r>
          </w:p>
        </w:tc>
        <w:tc>
          <w:tcPr>
            <w:tcW w:w="741" w:type="dxa"/>
            <w:vAlign w:val="top"/>
            <w:tcBorders>
              <w:bottom w:val="single" w:color="00000A" w:sz="10" w:space="0"/>
            </w:tcBorders>
          </w:tcPr>
          <w:p>
            <w:pPr>
              <w:spacing w:line="331" w:lineRule="auto"/>
              <w:rPr>
                <w:rFonts w:ascii="Arial"/>
                <w:sz w:val="21"/>
              </w:rPr>
            </w:pPr>
            <w:r/>
          </w:p>
          <w:p>
            <w:pPr>
              <w:spacing w:line="332" w:lineRule="auto"/>
              <w:rPr>
                <w:rFonts w:ascii="Arial"/>
                <w:sz w:val="21"/>
              </w:rPr>
            </w:pPr>
            <w:r/>
          </w:p>
          <w:p>
            <w:pPr>
              <w:pStyle w:val="TableText"/>
              <w:ind w:left="86"/>
              <w:spacing w:before="65" w:line="229" w:lineRule="auto"/>
              <w:rPr/>
            </w:pPr>
            <w:r>
              <w:rPr>
                <w:spacing w:val="-2"/>
              </w:rPr>
              <w:t>间歇性</w:t>
            </w:r>
          </w:p>
        </w:tc>
        <w:tc>
          <w:tcPr>
            <w:tcW w:w="1782" w:type="dxa"/>
            <w:vAlign w:val="top"/>
            <w:tcBorders>
              <w:bottom w:val="single" w:color="00000A" w:sz="10" w:space="0"/>
            </w:tcBorders>
          </w:tcPr>
          <w:p>
            <w:pPr>
              <w:spacing w:line="352" w:lineRule="auto"/>
              <w:rPr>
                <w:rFonts w:ascii="Arial"/>
                <w:sz w:val="21"/>
              </w:rPr>
            </w:pPr>
            <w:r/>
          </w:p>
          <w:p>
            <w:pPr>
              <w:spacing w:line="353" w:lineRule="auto"/>
              <w:rPr>
                <w:rFonts w:ascii="Arial"/>
                <w:sz w:val="21"/>
              </w:rPr>
            </w:pPr>
            <w:r/>
          </w:p>
          <w:p>
            <w:pPr>
              <w:ind w:left="859"/>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bottom w:val="single" w:color="00000A" w:sz="10" w:space="0"/>
            </w:tcBorders>
          </w:tcPr>
          <w:p>
            <w:pPr>
              <w:pStyle w:val="TableText"/>
              <w:ind w:left="67" w:right="47" w:hanging="2"/>
              <w:spacing w:before="55" w:line="245" w:lineRule="auto"/>
              <w:jc w:val="both"/>
              <w:rPr/>
            </w:pPr>
            <w:r>
              <w:rPr>
                <w:spacing w:val="7"/>
              </w:rPr>
              <w:t>经压滤脱水后临</w:t>
            </w:r>
            <w:r>
              <w:rPr>
                <w:spacing w:val="7"/>
              </w:rPr>
              <w:t>时堆存在选矿车</w:t>
            </w:r>
            <w:r>
              <w:rPr>
                <w:spacing w:val="7"/>
              </w:rPr>
              <w:t>间尾砂池内，优</w:t>
            </w:r>
            <w:r>
              <w:rPr>
                <w:spacing w:val="7"/>
              </w:rPr>
              <w:t>先回填井下采空</w:t>
            </w:r>
            <w:r>
              <w:rPr>
                <w:spacing w:val="7"/>
              </w:rPr>
              <w:t>区，剩余外送做</w:t>
            </w:r>
            <w:r>
              <w:rPr>
                <w:spacing w:val="24"/>
              </w:rPr>
              <w:t>建筑用砂材料</w:t>
            </w:r>
          </w:p>
        </w:tc>
      </w:tr>
    </w:tbl>
    <w:p>
      <w:pPr>
        <w:pStyle w:val="BodyText"/>
        <w:rPr/>
      </w:pPr>
      <w:r/>
    </w:p>
    <w:p>
      <w:pPr>
        <w:sectPr>
          <w:headerReference w:type="default" r:id="rId161"/>
          <w:footerReference w:type="default" r:id="rId162"/>
          <w:pgSz w:w="11911" w:h="16839"/>
          <w:pgMar w:top="1140" w:right="1420" w:bottom="1146" w:left="1786" w:header="1130" w:footer="984" w:gutter="0"/>
        </w:sectPr>
        <w:rPr/>
      </w:pPr>
    </w:p>
    <w:p>
      <w:pPr>
        <w:spacing w:before="13"/>
        <w:rPr/>
      </w:pPr>
      <w:r/>
    </w:p>
    <w:p>
      <w:pPr>
        <w:spacing w:before="13"/>
        <w:rPr/>
      </w:pPr>
      <w:r/>
    </w:p>
    <w:p>
      <w:pPr>
        <w:spacing w:before="13"/>
        <w:rPr/>
      </w:pPr>
      <w:r/>
    </w:p>
    <w:p>
      <w:pPr>
        <w:spacing w:before="12"/>
        <w:rPr/>
      </w:pPr>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454"/>
        <w:gridCol w:w="586"/>
        <w:gridCol w:w="592"/>
        <w:gridCol w:w="1484"/>
        <w:gridCol w:w="1483"/>
        <w:gridCol w:w="741"/>
        <w:gridCol w:w="1782"/>
        <w:gridCol w:w="1571"/>
      </w:tblGrid>
      <w:tr>
        <w:trPr>
          <w:trHeight w:val="814" w:hRule="atLeast"/>
        </w:trPr>
        <w:tc>
          <w:tcPr>
            <w:tcW w:w="454" w:type="dxa"/>
            <w:vAlign w:val="top"/>
            <w:vMerge w:val="restart"/>
            <w:tcBorders>
              <w:bottom w:val="nil"/>
              <w:top w:val="single" w:color="00000A" w:sz="10" w:space="0"/>
              <w:left w:val="nil"/>
            </w:tcBorders>
          </w:tcPr>
          <w:p>
            <w:pPr>
              <w:rPr>
                <w:rFonts w:ascii="Arial"/>
                <w:sz w:val="21"/>
              </w:rPr>
            </w:pPr>
            <w:r/>
          </w:p>
        </w:tc>
        <w:tc>
          <w:tcPr>
            <w:tcW w:w="586" w:type="dxa"/>
            <w:vAlign w:val="top"/>
            <w:vMerge w:val="restart"/>
            <w:tcBorders>
              <w:bottom w:val="nil"/>
              <w:top w:val="single" w:color="00000A" w:sz="10" w:space="0"/>
            </w:tcBorders>
          </w:tcPr>
          <w:p>
            <w:pPr>
              <w:rPr>
                <w:rFonts w:ascii="Arial"/>
                <w:sz w:val="21"/>
              </w:rPr>
            </w:pPr>
            <w:r/>
          </w:p>
        </w:tc>
        <w:tc>
          <w:tcPr>
            <w:tcW w:w="592" w:type="dxa"/>
            <w:vAlign w:val="top"/>
            <w:tcBorders>
              <w:top w:val="single" w:color="00000A" w:sz="10" w:space="0"/>
            </w:tcBorders>
          </w:tcPr>
          <w:p>
            <w:pPr>
              <w:rPr>
                <w:rFonts w:ascii="Arial"/>
                <w:sz w:val="21"/>
              </w:rPr>
            </w:pPr>
            <w:r/>
          </w:p>
        </w:tc>
        <w:tc>
          <w:tcPr>
            <w:tcW w:w="1484" w:type="dxa"/>
            <w:vAlign w:val="top"/>
            <w:tcBorders>
              <w:top w:val="single" w:color="00000A" w:sz="10" w:space="0"/>
            </w:tcBorders>
          </w:tcPr>
          <w:p>
            <w:pPr>
              <w:pStyle w:val="TableText"/>
              <w:ind w:left="463" w:right="42" w:hanging="444"/>
              <w:spacing w:before="172" w:line="251" w:lineRule="auto"/>
              <w:rPr/>
            </w:pPr>
            <w:r>
              <w:rPr>
                <w:spacing w:val="2"/>
              </w:rPr>
              <w:t>地表高位水池、</w:t>
            </w:r>
            <w:r>
              <w:rPr>
                <w:spacing w:val="-4"/>
              </w:rPr>
              <w:t>回水池</w:t>
            </w:r>
          </w:p>
        </w:tc>
        <w:tc>
          <w:tcPr>
            <w:tcW w:w="1483" w:type="dxa"/>
            <w:vAlign w:val="top"/>
            <w:tcBorders>
              <w:top w:val="single" w:color="00000A" w:sz="10" w:space="0"/>
            </w:tcBorders>
          </w:tcPr>
          <w:p>
            <w:pPr>
              <w:spacing w:line="242" w:lineRule="auto"/>
              <w:rPr>
                <w:rFonts w:ascii="Arial"/>
                <w:sz w:val="21"/>
              </w:rPr>
            </w:pPr>
            <w:r/>
          </w:p>
          <w:p>
            <w:pPr>
              <w:pStyle w:val="TableText"/>
              <w:ind w:left="548"/>
              <w:spacing w:before="65" w:line="234" w:lineRule="auto"/>
              <w:rPr/>
            </w:pPr>
            <w:r>
              <w:rPr>
                <w:spacing w:val="-1"/>
              </w:rPr>
              <w:t>污泥</w:t>
            </w:r>
          </w:p>
        </w:tc>
        <w:tc>
          <w:tcPr>
            <w:tcW w:w="741" w:type="dxa"/>
            <w:vAlign w:val="top"/>
            <w:tcBorders>
              <w:top w:val="single" w:color="00000A" w:sz="10" w:space="0"/>
            </w:tcBorders>
          </w:tcPr>
          <w:p>
            <w:pPr>
              <w:spacing w:line="242" w:lineRule="auto"/>
              <w:rPr>
                <w:rFonts w:ascii="Arial"/>
                <w:sz w:val="21"/>
              </w:rPr>
            </w:pPr>
            <w:r/>
          </w:p>
          <w:p>
            <w:pPr>
              <w:pStyle w:val="TableText"/>
              <w:ind w:left="86"/>
              <w:spacing w:before="65" w:line="229" w:lineRule="auto"/>
              <w:rPr/>
            </w:pPr>
            <w:r>
              <w:rPr>
                <w:spacing w:val="-2"/>
              </w:rPr>
              <w:t>间歇性</w:t>
            </w:r>
          </w:p>
        </w:tc>
        <w:tc>
          <w:tcPr>
            <w:tcW w:w="1782" w:type="dxa"/>
            <w:vAlign w:val="top"/>
            <w:tcBorders>
              <w:top w:val="single" w:color="00000A" w:sz="10" w:space="0"/>
            </w:tcBorders>
          </w:tcPr>
          <w:p>
            <w:pPr>
              <w:spacing w:line="281" w:lineRule="auto"/>
              <w:rPr>
                <w:rFonts w:ascii="Arial"/>
                <w:sz w:val="21"/>
              </w:rPr>
            </w:pPr>
            <w:r/>
          </w:p>
          <w:p>
            <w:pPr>
              <w:ind w:left="859"/>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top w:val="single" w:color="00000A" w:sz="10" w:space="0"/>
              <w:right w:val="nil"/>
            </w:tcBorders>
          </w:tcPr>
          <w:p>
            <w:pPr>
              <w:pStyle w:val="TableText"/>
              <w:ind w:left="67"/>
              <w:spacing w:before="34" w:line="232" w:lineRule="auto"/>
              <w:rPr/>
            </w:pPr>
            <w:r>
              <w:rPr>
                <w:spacing w:val="7"/>
              </w:rPr>
              <w:t>产生的污泥直接</w:t>
            </w:r>
          </w:p>
          <w:p>
            <w:pPr>
              <w:pStyle w:val="TableText"/>
              <w:ind w:left="65"/>
              <w:spacing w:before="22" w:line="229" w:lineRule="auto"/>
              <w:rPr/>
            </w:pPr>
            <w:r>
              <w:rPr>
                <w:spacing w:val="7"/>
              </w:rPr>
              <w:t>返回选矿工序作</w:t>
            </w:r>
          </w:p>
          <w:p>
            <w:pPr>
              <w:pStyle w:val="TableText"/>
              <w:ind w:left="593"/>
              <w:spacing w:before="22" w:line="207" w:lineRule="auto"/>
              <w:rPr/>
            </w:pPr>
            <w:r>
              <w:rPr>
                <w:spacing w:val="-1"/>
              </w:rPr>
              <w:t>原料</w:t>
            </w:r>
          </w:p>
        </w:tc>
      </w:tr>
      <w:tr>
        <w:trPr>
          <w:trHeight w:val="273" w:hRule="atLeast"/>
        </w:trPr>
        <w:tc>
          <w:tcPr>
            <w:tcW w:w="454" w:type="dxa"/>
            <w:vAlign w:val="top"/>
            <w:vMerge w:val="continue"/>
            <w:tcBorders>
              <w:bottom w:val="nil"/>
              <w:top w:val="nil"/>
              <w:left w:val="nil"/>
            </w:tcBorders>
          </w:tcPr>
          <w:p>
            <w:pPr>
              <w:rPr>
                <w:rFonts w:ascii="Arial"/>
                <w:sz w:val="21"/>
              </w:rPr>
            </w:pPr>
            <w:r/>
          </w:p>
        </w:tc>
        <w:tc>
          <w:tcPr>
            <w:tcW w:w="586" w:type="dxa"/>
            <w:vAlign w:val="top"/>
            <w:vMerge w:val="continue"/>
            <w:tcBorders>
              <w:bottom w:val="nil"/>
              <w:top w:val="nil"/>
            </w:tcBorders>
          </w:tcPr>
          <w:p>
            <w:pPr>
              <w:rPr>
                <w:rFonts w:ascii="Arial"/>
                <w:sz w:val="21"/>
              </w:rPr>
            </w:pPr>
            <w:r/>
          </w:p>
        </w:tc>
        <w:tc>
          <w:tcPr>
            <w:tcW w:w="592" w:type="dxa"/>
            <w:vAlign w:val="top"/>
            <w:vMerge w:val="restart"/>
            <w:tcBorders>
              <w:bottom w:val="nil"/>
            </w:tcBorders>
          </w:tcPr>
          <w:p>
            <w:pPr>
              <w:pStyle w:val="TableText"/>
              <w:ind w:left="109" w:right="85" w:hanging="5"/>
              <w:spacing w:before="186" w:line="251" w:lineRule="auto"/>
              <w:rPr/>
            </w:pPr>
            <w:r>
              <w:rPr>
                <w:spacing w:val="-2"/>
              </w:rPr>
              <w:t>办公</w:t>
            </w:r>
            <w:r>
              <w:rPr>
                <w:spacing w:val="-5"/>
              </w:rPr>
              <w:t>生活</w:t>
            </w:r>
          </w:p>
        </w:tc>
        <w:tc>
          <w:tcPr>
            <w:tcW w:w="1484" w:type="dxa"/>
            <w:vAlign w:val="top"/>
          </w:tcPr>
          <w:p>
            <w:pPr>
              <w:pStyle w:val="TableText"/>
              <w:ind w:left="345"/>
              <w:spacing w:before="44" w:line="202" w:lineRule="auto"/>
              <w:rPr/>
            </w:pPr>
            <w:r>
              <w:rPr>
                <w:spacing w:val="2"/>
              </w:rPr>
              <w:t>生活设施</w:t>
            </w:r>
          </w:p>
        </w:tc>
        <w:tc>
          <w:tcPr>
            <w:tcW w:w="1483" w:type="dxa"/>
            <w:vAlign w:val="top"/>
          </w:tcPr>
          <w:p>
            <w:pPr>
              <w:pStyle w:val="TableText"/>
              <w:ind w:left="345"/>
              <w:spacing w:before="44" w:line="202" w:lineRule="auto"/>
              <w:rPr/>
            </w:pPr>
            <w:r>
              <w:rPr>
                <w:spacing w:val="2"/>
              </w:rPr>
              <w:t>生活垃圾</w:t>
            </w:r>
          </w:p>
        </w:tc>
        <w:tc>
          <w:tcPr>
            <w:tcW w:w="741" w:type="dxa"/>
            <w:vAlign w:val="top"/>
          </w:tcPr>
          <w:p>
            <w:pPr>
              <w:pStyle w:val="TableText"/>
              <w:ind w:left="86"/>
              <w:spacing w:before="44" w:line="202" w:lineRule="auto"/>
              <w:rPr/>
            </w:pPr>
            <w:r>
              <w:rPr>
                <w:spacing w:val="-2"/>
              </w:rPr>
              <w:t>间歇性</w:t>
            </w:r>
          </w:p>
        </w:tc>
        <w:tc>
          <w:tcPr>
            <w:tcW w:w="1782" w:type="dxa"/>
            <w:vAlign w:val="top"/>
          </w:tcPr>
          <w:p>
            <w:pPr>
              <w:ind w:left="859"/>
              <w:spacing w:before="7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right w:val="nil"/>
            </w:tcBorders>
          </w:tcPr>
          <w:p>
            <w:pPr>
              <w:pStyle w:val="TableText"/>
              <w:ind w:left="380"/>
              <w:spacing w:before="44" w:line="202" w:lineRule="auto"/>
              <w:rPr/>
            </w:pPr>
            <w:r>
              <w:rPr>
                <w:spacing w:val="5"/>
              </w:rPr>
              <w:t>环卫处理</w:t>
            </w:r>
          </w:p>
        </w:tc>
      </w:tr>
      <w:tr>
        <w:trPr>
          <w:trHeight w:val="565" w:hRule="atLeast"/>
        </w:trPr>
        <w:tc>
          <w:tcPr>
            <w:tcW w:w="454" w:type="dxa"/>
            <w:vAlign w:val="top"/>
            <w:vMerge w:val="continue"/>
            <w:tcBorders>
              <w:bottom w:val="single" w:color="00000A" w:sz="10" w:space="0"/>
              <w:top w:val="nil"/>
              <w:left w:val="nil"/>
            </w:tcBorders>
          </w:tcPr>
          <w:p>
            <w:pPr>
              <w:rPr>
                <w:rFonts w:ascii="Arial"/>
                <w:sz w:val="21"/>
              </w:rPr>
            </w:pPr>
            <w:r/>
          </w:p>
        </w:tc>
        <w:tc>
          <w:tcPr>
            <w:tcW w:w="586" w:type="dxa"/>
            <w:vAlign w:val="top"/>
            <w:vMerge w:val="continue"/>
            <w:tcBorders>
              <w:bottom w:val="single" w:color="00000A" w:sz="10" w:space="0"/>
              <w:top w:val="nil"/>
            </w:tcBorders>
          </w:tcPr>
          <w:p>
            <w:pPr>
              <w:rPr>
                <w:rFonts w:ascii="Arial"/>
                <w:sz w:val="21"/>
              </w:rPr>
            </w:pPr>
            <w:r/>
          </w:p>
        </w:tc>
        <w:tc>
          <w:tcPr>
            <w:tcW w:w="592" w:type="dxa"/>
            <w:vAlign w:val="top"/>
            <w:vMerge w:val="continue"/>
            <w:tcBorders>
              <w:bottom w:val="single" w:color="00000A" w:sz="10" w:space="0"/>
              <w:top w:val="nil"/>
            </w:tcBorders>
          </w:tcPr>
          <w:p>
            <w:pPr>
              <w:rPr>
                <w:rFonts w:ascii="Arial"/>
                <w:sz w:val="21"/>
              </w:rPr>
            </w:pPr>
            <w:r/>
          </w:p>
        </w:tc>
        <w:tc>
          <w:tcPr>
            <w:tcW w:w="1484" w:type="dxa"/>
            <w:vAlign w:val="top"/>
            <w:tcBorders>
              <w:bottom w:val="single" w:color="00000A" w:sz="10" w:space="0"/>
            </w:tcBorders>
          </w:tcPr>
          <w:p>
            <w:pPr>
              <w:pStyle w:val="TableText"/>
              <w:ind w:left="542"/>
              <w:spacing w:before="184" w:line="235" w:lineRule="auto"/>
              <w:rPr/>
            </w:pPr>
            <w:r>
              <w:rPr>
                <w:spacing w:val="2"/>
              </w:rPr>
              <w:t>食堂</w:t>
            </w:r>
          </w:p>
        </w:tc>
        <w:tc>
          <w:tcPr>
            <w:tcW w:w="1483" w:type="dxa"/>
            <w:vAlign w:val="top"/>
            <w:tcBorders>
              <w:bottom w:val="single" w:color="00000A" w:sz="10" w:space="0"/>
            </w:tcBorders>
          </w:tcPr>
          <w:p>
            <w:pPr>
              <w:pStyle w:val="TableText"/>
              <w:ind w:left="21"/>
              <w:spacing w:before="47" w:line="232" w:lineRule="auto"/>
              <w:rPr/>
            </w:pPr>
            <w:r>
              <w:rPr>
                <w:spacing w:val="7"/>
              </w:rPr>
              <w:t>餐厨垃圾（含废</w:t>
            </w:r>
          </w:p>
          <w:p>
            <w:pPr>
              <w:pStyle w:val="TableText"/>
              <w:ind w:left="443"/>
              <w:spacing w:before="22" w:line="216" w:lineRule="auto"/>
              <w:rPr/>
            </w:pPr>
            <w:r>
              <w:rPr>
                <w:spacing w:val="-1"/>
              </w:rPr>
              <w:t>油脂）</w:t>
            </w:r>
          </w:p>
        </w:tc>
        <w:tc>
          <w:tcPr>
            <w:tcW w:w="741" w:type="dxa"/>
            <w:vAlign w:val="top"/>
            <w:tcBorders>
              <w:bottom w:val="single" w:color="00000A" w:sz="10" w:space="0"/>
            </w:tcBorders>
          </w:tcPr>
          <w:p>
            <w:pPr>
              <w:pStyle w:val="TableText"/>
              <w:ind w:left="86"/>
              <w:spacing w:before="183" w:line="229" w:lineRule="auto"/>
              <w:rPr/>
            </w:pPr>
            <w:r>
              <w:rPr>
                <w:spacing w:val="-2"/>
              </w:rPr>
              <w:t>间歇性</w:t>
            </w:r>
          </w:p>
        </w:tc>
        <w:tc>
          <w:tcPr>
            <w:tcW w:w="1782" w:type="dxa"/>
            <w:vAlign w:val="top"/>
            <w:tcBorders>
              <w:bottom w:val="single" w:color="00000A" w:sz="10" w:space="0"/>
            </w:tcBorders>
          </w:tcPr>
          <w:p>
            <w:pPr>
              <w:ind w:left="859"/>
              <w:spacing w:before="21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1" w:type="dxa"/>
            <w:vAlign w:val="top"/>
            <w:tcBorders>
              <w:bottom w:val="single" w:color="00000A" w:sz="10" w:space="0"/>
              <w:right w:val="nil"/>
            </w:tcBorders>
          </w:tcPr>
          <w:p>
            <w:pPr>
              <w:pStyle w:val="TableText"/>
              <w:ind w:left="486" w:right="47" w:hanging="416"/>
              <w:spacing w:before="47" w:line="234" w:lineRule="auto"/>
              <w:rPr/>
            </w:pPr>
            <w:r>
              <w:rPr>
                <w:spacing w:val="7"/>
              </w:rPr>
              <w:t>定期交有资质单</w:t>
            </w:r>
            <w:r>
              <w:rPr>
                <w:spacing w:val="4"/>
              </w:rPr>
              <w:t>位处理</w:t>
            </w:r>
          </w:p>
        </w:tc>
      </w:tr>
    </w:tbl>
    <w:p>
      <w:pPr>
        <w:pStyle w:val="BodyText"/>
        <w:spacing w:line="369" w:lineRule="auto"/>
        <w:rPr/>
      </w:pPr>
      <w:r/>
    </w:p>
    <w:p>
      <w:pPr>
        <w:ind w:left="16"/>
        <w:spacing w:before="78" w:line="221" w:lineRule="auto"/>
        <w:outlineLvl w:val="2"/>
        <w:rPr>
          <w:rFonts w:ascii="FangSong" w:hAnsi="FangSong" w:eastAsia="FangSong" w:cs="FangSong"/>
          <w:sz w:val="24"/>
          <w:szCs w:val="24"/>
        </w:rPr>
      </w:pPr>
      <w:bookmarkStart w:name="bookmark188" w:id="252"/>
      <w:bookmarkEnd w:id="252"/>
      <w:bookmarkStart w:name="bookmark187" w:id="253"/>
      <w:bookmarkEnd w:id="253"/>
      <w:r>
        <w:rPr>
          <w:rFonts w:ascii="Times New Roman" w:hAnsi="Times New Roman" w:eastAsia="Times New Roman" w:cs="Times New Roman"/>
          <w:sz w:val="24"/>
          <w:szCs w:val="24"/>
          <w:b/>
          <w:bCs/>
          <w:spacing w:val="-2"/>
        </w:rPr>
        <w:t>4.13.2  </w:t>
      </w:r>
      <w:r>
        <w:rPr>
          <w:rFonts w:ascii="FangSong" w:hAnsi="FangSong" w:eastAsia="FangSong" w:cs="FangSong"/>
          <w:sz w:val="24"/>
          <w:szCs w:val="24"/>
          <w:b/>
          <w:bCs/>
          <w:spacing w:val="-2"/>
        </w:rPr>
        <w:t>污染物产生及排放情况</w:t>
      </w:r>
    </w:p>
    <w:p>
      <w:pPr>
        <w:ind w:left="16"/>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4.13.2.1  </w:t>
      </w:r>
      <w:r>
        <w:rPr>
          <w:rFonts w:ascii="FangSong" w:hAnsi="FangSong" w:eastAsia="FangSong" w:cs="FangSong"/>
          <w:sz w:val="24"/>
          <w:szCs w:val="24"/>
          <w:b/>
          <w:bCs/>
          <w:spacing w:val="-2"/>
        </w:rPr>
        <w:t>施工期污染分析</w:t>
      </w:r>
    </w:p>
    <w:p>
      <w:pPr>
        <w:ind w:left="24" w:right="63" w:firstLine="483"/>
        <w:spacing w:before="179" w:line="359" w:lineRule="auto"/>
        <w:jc w:val="both"/>
        <w:rPr>
          <w:rFonts w:ascii="FangSong" w:hAnsi="FangSong" w:eastAsia="FangSong" w:cs="FangSong"/>
          <w:sz w:val="24"/>
          <w:szCs w:val="24"/>
        </w:rPr>
      </w:pPr>
      <w:r>
        <w:rPr>
          <w:rFonts w:ascii="FangSong" w:hAnsi="FangSong" w:eastAsia="FangSong" w:cs="FangSong"/>
          <w:sz w:val="24"/>
          <w:szCs w:val="24"/>
          <w:spacing w:val="1"/>
        </w:rPr>
        <w:t>项目施工期主要工程为开挖采矿平台、工业场地建设、排水沟及沉淀池等；主</w:t>
      </w:r>
      <w:r>
        <w:rPr>
          <w:rFonts w:ascii="FangSong" w:hAnsi="FangSong" w:eastAsia="FangSong" w:cs="FangSong"/>
          <w:sz w:val="24"/>
          <w:szCs w:val="24"/>
          <w:spacing w:val="1"/>
        </w:rPr>
        <w:t>要建设内容为开挖井下采矿工作平台，工业广场的建设、在各井口附近开挖水泥截</w:t>
      </w:r>
      <w:r>
        <w:rPr>
          <w:rFonts w:ascii="FangSong" w:hAnsi="FangSong" w:eastAsia="FangSong" w:cs="FangSong"/>
          <w:sz w:val="24"/>
          <w:szCs w:val="24"/>
          <w:spacing w:val="1"/>
        </w:rPr>
        <w:t>排水沟及时将雨水分流，在各堆场两侧修建截排水沟，在矿区道路两侧开挖排水沟</w:t>
      </w:r>
      <w:r>
        <w:rPr>
          <w:rFonts w:ascii="FangSong" w:hAnsi="FangSong" w:eastAsia="FangSong" w:cs="FangSong"/>
          <w:sz w:val="24"/>
          <w:szCs w:val="24"/>
          <w:spacing w:val="1"/>
        </w:rPr>
        <w:t>等。施工过程会产生少量废水、废气和固体废物，施工期影响会随着施工期结束而</w:t>
      </w:r>
      <w:r>
        <w:rPr>
          <w:rFonts w:ascii="FangSong" w:hAnsi="FangSong" w:eastAsia="FangSong" w:cs="FangSong"/>
          <w:sz w:val="24"/>
          <w:szCs w:val="24"/>
          <w:spacing w:val="-5"/>
        </w:rPr>
        <w:t>消失。</w:t>
      </w:r>
    </w:p>
    <w:p>
      <w:pPr>
        <w:ind w:left="511"/>
        <w:spacing w:line="223"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）废水</w:t>
      </w:r>
    </w:p>
    <w:p>
      <w:pPr>
        <w:ind w:left="499"/>
        <w:spacing w:before="177" w:line="222"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15"/>
        </w:rPr>
        <w:t xml:space="preserve"> </w:t>
      </w:r>
      <w:r>
        <w:rPr>
          <w:rFonts w:ascii="FangSong" w:hAnsi="FangSong" w:eastAsia="FangSong" w:cs="FangSong"/>
          <w:sz w:val="24"/>
          <w:szCs w:val="24"/>
          <w:spacing w:val="-5"/>
        </w:rPr>
        <w:t>施工废水</w:t>
      </w:r>
    </w:p>
    <w:p>
      <w:pPr>
        <w:ind w:left="20" w:right="65" w:firstLine="485"/>
        <w:spacing w:before="179" w:line="359" w:lineRule="auto"/>
        <w:rPr>
          <w:rFonts w:ascii="FangSong" w:hAnsi="FangSong" w:eastAsia="FangSong" w:cs="FangSong"/>
          <w:sz w:val="24"/>
          <w:szCs w:val="24"/>
        </w:rPr>
      </w:pPr>
      <w:r>
        <w:rPr>
          <w:rFonts w:ascii="FangSong" w:hAnsi="FangSong" w:eastAsia="FangSong" w:cs="FangSong"/>
          <w:sz w:val="24"/>
          <w:szCs w:val="24"/>
          <w:spacing w:val="-3"/>
        </w:rPr>
        <w:t>施工机械车轮冲洗将产生少量冲洗废水，主要污染物为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4"/>
        </w:rPr>
        <w:t>COD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SS  </w:t>
      </w:r>
      <w:r>
        <w:rPr>
          <w:rFonts w:ascii="FangSong" w:hAnsi="FangSong" w:eastAsia="FangSong" w:cs="FangSong"/>
          <w:sz w:val="24"/>
          <w:szCs w:val="24"/>
          <w:spacing w:val="-4"/>
        </w:rPr>
        <w:t>。参考《公</w:t>
      </w:r>
      <w:r>
        <w:rPr>
          <w:rFonts w:ascii="FangSong" w:hAnsi="FangSong" w:eastAsia="FangSong" w:cs="FangSong"/>
          <w:sz w:val="24"/>
          <w:szCs w:val="24"/>
          <w:spacing w:val="-1"/>
        </w:rPr>
        <w:t>路环境保</w:t>
      </w:r>
      <w:r>
        <w:rPr>
          <w:rFonts w:ascii="FangSong" w:hAnsi="FangSong" w:eastAsia="FangSong" w:cs="FangSong"/>
          <w:sz w:val="24"/>
          <w:szCs w:val="24"/>
          <w:spacing w:val="-1"/>
        </w:rPr>
        <w:t xml:space="preserve"> </w:t>
      </w:r>
      <w:r>
        <w:rPr>
          <w:rFonts w:ascii="FangSong" w:hAnsi="FangSong" w:eastAsia="FangSong" w:cs="FangSong"/>
          <w:sz w:val="24"/>
          <w:szCs w:val="24"/>
          <w:spacing w:val="-1"/>
        </w:rPr>
        <w:t>护设计规范》（</w:t>
      </w:r>
      <w:r>
        <w:rPr>
          <w:rFonts w:ascii="Times New Roman" w:hAnsi="Times New Roman" w:eastAsia="Times New Roman" w:cs="Times New Roman"/>
          <w:sz w:val="24"/>
          <w:szCs w:val="24"/>
          <w:spacing w:val="-1"/>
        </w:rPr>
        <w:t>JTJ/T006-96</w:t>
      </w:r>
      <w:r>
        <w:rPr>
          <w:rFonts w:ascii="FangSong" w:hAnsi="FangSong" w:eastAsia="FangSong" w:cs="FangSong"/>
          <w:sz w:val="24"/>
          <w:szCs w:val="24"/>
          <w:spacing w:val="2"/>
        </w:rPr>
        <w:t>），</w:t>
      </w:r>
      <w:r>
        <w:rPr>
          <w:rFonts w:ascii="FangSong" w:hAnsi="FangSong" w:eastAsia="FangSong" w:cs="FangSong"/>
          <w:sz w:val="24"/>
          <w:szCs w:val="24"/>
          <w:spacing w:val="-1"/>
        </w:rPr>
        <w:t>施工场地车辆冲洗水平均约为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0.08m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辆</w:t>
      </w:r>
      <w:r>
        <w:rPr>
          <w:rFonts w:ascii="Times New Roman" w:hAnsi="Times New Roman" w:eastAsia="Times New Roman" w:cs="Times New Roman"/>
          <w:sz w:val="24"/>
          <w:szCs w:val="24"/>
          <w:spacing w:val="-2"/>
        </w:rPr>
        <w:t>•</w:t>
      </w:r>
      <w:r>
        <w:rPr>
          <w:rFonts w:ascii="FangSong" w:hAnsi="FangSong" w:eastAsia="FangSong" w:cs="FangSong"/>
          <w:sz w:val="24"/>
          <w:szCs w:val="24"/>
          <w:spacing w:val="3"/>
        </w:rPr>
        <w:t>次。预计本项目施工车辆最大时为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20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3"/>
        </w:rPr>
        <w:t>台，每台每天冲洗两次，冲洗废水产生量约</w:t>
      </w:r>
      <w:r>
        <w:rPr>
          <w:rFonts w:ascii="Times New Roman" w:hAnsi="Times New Roman" w:eastAsia="Times New Roman" w:cs="Times New Roman"/>
          <w:sz w:val="24"/>
          <w:szCs w:val="24"/>
          <w:spacing w:val="-5"/>
        </w:rPr>
        <w:t>3.2m3/d</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5"/>
        </w:rPr>
        <w:t>，即</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1728m3/</w:t>
      </w:r>
      <w:r>
        <w:rPr>
          <w:rFonts w:ascii="FangSong" w:hAnsi="FangSong" w:eastAsia="FangSong" w:cs="FangSong"/>
          <w:sz w:val="24"/>
          <w:szCs w:val="24"/>
          <w:spacing w:val="-5"/>
        </w:rPr>
        <w:t>施工期（以施工期</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540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天计</w:t>
      </w:r>
      <w:r>
        <w:rPr>
          <w:rFonts w:ascii="FangSong" w:hAnsi="FangSong" w:eastAsia="FangSong" w:cs="FangSong"/>
          <w:sz w:val="24"/>
          <w:szCs w:val="24"/>
          <w:spacing w:val="9"/>
        </w:rPr>
        <w:t>），</w:t>
      </w:r>
      <w:r>
        <w:rPr>
          <w:rFonts w:ascii="FangSong" w:hAnsi="FangSong" w:eastAsia="FangSong" w:cs="FangSong"/>
          <w:sz w:val="24"/>
          <w:szCs w:val="24"/>
          <w:spacing w:val="-5"/>
        </w:rPr>
        <w:t>经沉淀处理后上清液用于场地</w:t>
      </w:r>
      <w:r>
        <w:rPr>
          <w:rFonts w:ascii="FangSong" w:hAnsi="FangSong" w:eastAsia="FangSong" w:cs="FangSong"/>
          <w:sz w:val="24"/>
          <w:szCs w:val="24"/>
        </w:rPr>
        <w:t>洒水降尘，不外排，对地表水环境不会产生明显影响，</w:t>
      </w:r>
      <w:r>
        <w:rPr>
          <w:rFonts w:ascii="FangSong" w:hAnsi="FangSong" w:eastAsia="FangSong" w:cs="FangSong"/>
          <w:sz w:val="24"/>
          <w:szCs w:val="24"/>
          <w:spacing w:val="-1"/>
        </w:rPr>
        <w:t>对周围水环境影响较小。</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8"/>
        </w:rPr>
        <w:t>②</w:t>
      </w:r>
      <w:r>
        <w:rPr>
          <w:rFonts w:ascii="FangSong" w:hAnsi="FangSong" w:eastAsia="FangSong" w:cs="FangSong"/>
          <w:sz w:val="24"/>
          <w:szCs w:val="24"/>
          <w:spacing w:val="31"/>
        </w:rPr>
        <w:t xml:space="preserve"> </w:t>
      </w:r>
      <w:r>
        <w:rPr>
          <w:rFonts w:ascii="FangSong" w:hAnsi="FangSong" w:eastAsia="FangSong" w:cs="FangSong"/>
          <w:sz w:val="24"/>
          <w:szCs w:val="24"/>
          <w:spacing w:val="-8"/>
        </w:rPr>
        <w:t>生活污水</w:t>
      </w:r>
    </w:p>
    <w:p>
      <w:pPr>
        <w:ind w:left="26" w:firstLine="480"/>
        <w:spacing w:before="178" w:line="359" w:lineRule="auto"/>
        <w:rPr>
          <w:rFonts w:ascii="FangSong" w:hAnsi="FangSong" w:eastAsia="FangSong" w:cs="FangSong"/>
          <w:sz w:val="24"/>
          <w:szCs w:val="24"/>
        </w:rPr>
      </w:pPr>
      <w:r>
        <w:rPr>
          <w:rFonts w:ascii="FangSong" w:hAnsi="FangSong" w:eastAsia="FangSong" w:cs="FangSong"/>
          <w:sz w:val="24"/>
          <w:szCs w:val="24"/>
          <w:spacing w:val="-1"/>
        </w:rPr>
        <w:t>施工人员按最大时人数</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人计算，基建期为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年。人均用水指标为</w:t>
      </w:r>
      <w:r>
        <w:rPr>
          <w:rFonts w:ascii="Times New Roman" w:hAnsi="Times New Roman" w:eastAsia="Times New Roman" w:cs="Times New Roman"/>
          <w:sz w:val="24"/>
          <w:szCs w:val="24"/>
          <w:spacing w:val="-1"/>
        </w:rPr>
        <w:t>60L/</w:t>
      </w:r>
      <w:r>
        <w:rPr>
          <w:rFonts w:ascii="FangSong" w:hAnsi="FangSong" w:eastAsia="FangSong" w:cs="FangSong"/>
          <w:sz w:val="24"/>
          <w:szCs w:val="24"/>
          <w:spacing w:val="-1"/>
        </w:rPr>
        <w:t>人</w:t>
      </w:r>
      <w:r>
        <w:rPr>
          <w:rFonts w:ascii="Times New Roman" w:hAnsi="Times New Roman" w:eastAsia="Times New Roman" w:cs="Times New Roman"/>
          <w:sz w:val="24"/>
          <w:szCs w:val="24"/>
          <w:spacing w:val="-1"/>
        </w:rPr>
        <w:t>•d</w:t>
      </w:r>
      <w:r>
        <w:rPr>
          <w:rFonts w:ascii="FangSong" w:hAnsi="FangSong" w:eastAsia="FangSong" w:cs="FangSong"/>
          <w:sz w:val="24"/>
          <w:szCs w:val="24"/>
          <w:spacing w:val="-3"/>
        </w:rPr>
        <w:t>计，生活污水按用水量的</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80</w:t>
      </w:r>
      <w:r>
        <w:rPr>
          <w:rFonts w:ascii="FangSong" w:hAnsi="FangSong" w:eastAsia="FangSong" w:cs="FangSong"/>
          <w:sz w:val="24"/>
          <w:szCs w:val="24"/>
          <w:spacing w:val="-3"/>
        </w:rPr>
        <w:t>％计，则该项目施工期产生的生活污水共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1296m3/  </w:t>
      </w:r>
      <w:r>
        <w:rPr>
          <w:rFonts w:ascii="FangSong" w:hAnsi="FangSong" w:eastAsia="FangSong" w:cs="FangSong"/>
          <w:sz w:val="24"/>
          <w:szCs w:val="24"/>
          <w:spacing w:val="-4"/>
        </w:rPr>
        <w:t>施工</w:t>
      </w:r>
      <w:r>
        <w:rPr>
          <w:rFonts w:ascii="FangSong" w:hAnsi="FangSong" w:eastAsia="FangSong" w:cs="FangSong"/>
          <w:sz w:val="24"/>
          <w:szCs w:val="24"/>
          <w:spacing w:val="-6"/>
        </w:rPr>
        <w:t>期（</w:t>
      </w:r>
      <w:r>
        <w:rPr>
          <w:rFonts w:ascii="Times New Roman" w:hAnsi="Times New Roman" w:eastAsia="Times New Roman" w:cs="Times New Roman"/>
          <w:sz w:val="24"/>
          <w:szCs w:val="24"/>
          <w:spacing w:val="-6"/>
        </w:rPr>
        <w:t>2.4m3/d</w:t>
      </w:r>
      <w:r>
        <w:rPr>
          <w:rFonts w:ascii="FangSong" w:hAnsi="FangSong" w:eastAsia="FangSong" w:cs="FangSong"/>
          <w:sz w:val="24"/>
          <w:szCs w:val="24"/>
          <w:spacing w:val="-6"/>
        </w:rPr>
        <w:t>）。项目施工人员生活污水主要污染物为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6"/>
        </w:rPr>
        <w:t>COD</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BOD</w:t>
      </w:r>
      <w:r>
        <w:rPr>
          <w:rFonts w:ascii="Times New Roman" w:hAnsi="Times New Roman" w:eastAsia="Times New Roman" w:cs="Times New Roman"/>
          <w:sz w:val="15"/>
          <w:szCs w:val="15"/>
          <w:spacing w:val="-6"/>
          <w:position w:val="-1"/>
        </w:rPr>
        <w:t>5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SS</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NH</w:t>
      </w:r>
      <w:r>
        <w:rPr>
          <w:rFonts w:ascii="Times New Roman" w:hAnsi="Times New Roman" w:eastAsia="Times New Roman" w:cs="Times New Roman"/>
          <w:sz w:val="15"/>
          <w:szCs w:val="15"/>
          <w:spacing w:val="-6"/>
        </w:rPr>
        <w:t>3</w:t>
      </w:r>
      <w:r>
        <w:rPr>
          <w:rFonts w:ascii="Times New Roman" w:hAnsi="Times New Roman" w:eastAsia="Times New Roman" w:cs="Times New Roman"/>
          <w:sz w:val="24"/>
          <w:szCs w:val="24"/>
          <w:spacing w:val="-6"/>
        </w:rPr>
        <w:t>-N</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6"/>
        </w:rPr>
        <w:t>等，</w:t>
      </w:r>
      <w:r>
        <w:rPr>
          <w:rFonts w:ascii="FangSong" w:hAnsi="FangSong" w:eastAsia="FangSong" w:cs="FangSong"/>
          <w:sz w:val="24"/>
          <w:szCs w:val="24"/>
          <w:spacing w:val="-4"/>
        </w:rPr>
        <w:t>施工方提前建好临时防渗储池处理施工期生活污水，临时防渗储池需做好防渗处理，</w:t>
      </w:r>
      <w:r>
        <w:rPr>
          <w:rFonts w:ascii="FangSong" w:hAnsi="FangSong" w:eastAsia="FangSong" w:cs="FangSong"/>
          <w:sz w:val="24"/>
          <w:szCs w:val="24"/>
          <w:spacing w:val="1"/>
        </w:rPr>
        <w:t>生活污水排入防渗储池内，定期运至内蒙古锡林郭勒盟苏尼特右旗赛汉塔拉镇污水</w:t>
      </w:r>
      <w:r>
        <w:rPr>
          <w:rFonts w:ascii="FangSong" w:hAnsi="FangSong" w:eastAsia="FangSong" w:cs="FangSong"/>
          <w:sz w:val="24"/>
          <w:szCs w:val="24"/>
          <w:spacing w:val="-3"/>
        </w:rPr>
        <w:t>处理厂处理。</w:t>
      </w:r>
    </w:p>
    <w:p>
      <w:pPr>
        <w:ind w:left="26" w:right="63" w:firstLine="482"/>
        <w:spacing w:before="3" w:line="359" w:lineRule="auto"/>
        <w:rPr>
          <w:rFonts w:ascii="FangSong" w:hAnsi="FangSong" w:eastAsia="FangSong" w:cs="FangSong"/>
          <w:sz w:val="24"/>
          <w:szCs w:val="24"/>
        </w:rPr>
      </w:pPr>
      <w:r>
        <w:rPr>
          <w:rFonts w:ascii="FangSong" w:hAnsi="FangSong" w:eastAsia="FangSong" w:cs="FangSong"/>
          <w:sz w:val="24"/>
          <w:szCs w:val="24"/>
          <w:spacing w:val="1"/>
        </w:rPr>
        <w:t>综上所述，在采取合理施工期水污染防治措施后，项目施工期废水污染程度较</w:t>
      </w:r>
      <w:r>
        <w:rPr>
          <w:rFonts w:ascii="FangSong" w:hAnsi="FangSong" w:eastAsia="FangSong" w:cs="FangSong"/>
          <w:sz w:val="24"/>
          <w:szCs w:val="24"/>
          <w:spacing w:val="-1"/>
        </w:rPr>
        <w:t>小，施工结束后，大部分影响可消除，不会对周边地表水环境产生明显影响。</w:t>
      </w:r>
    </w:p>
    <w:p>
      <w:pPr>
        <w:ind w:left="511"/>
        <w:spacing w:line="224"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）废气</w:t>
      </w:r>
    </w:p>
    <w:p>
      <w:pPr>
        <w:ind w:left="507"/>
        <w:spacing w:before="174" w:line="220" w:lineRule="auto"/>
        <w:rPr>
          <w:rFonts w:ascii="FangSong" w:hAnsi="FangSong" w:eastAsia="FangSong" w:cs="FangSong"/>
          <w:sz w:val="24"/>
          <w:szCs w:val="24"/>
        </w:rPr>
      </w:pPr>
      <w:r>
        <w:rPr>
          <w:rFonts w:ascii="FangSong" w:hAnsi="FangSong" w:eastAsia="FangSong" w:cs="FangSong"/>
          <w:sz w:val="24"/>
          <w:szCs w:val="24"/>
          <w:spacing w:val="1"/>
        </w:rPr>
        <w:t>项目施工期对环境空气产生影响的作业环节有：巷道掘进和爆破炮烟、材料堆</w:t>
      </w:r>
    </w:p>
    <w:p>
      <w:pPr>
        <w:spacing w:line="220" w:lineRule="auto"/>
        <w:sectPr>
          <w:headerReference w:type="default" r:id="rId52"/>
          <w:footerReference w:type="default" r:id="rId163"/>
          <w:pgSz w:w="11911" w:h="16839"/>
          <w:pgMar w:top="400" w:right="1352" w:bottom="1146" w:left="1786" w:header="0" w:footer="984" w:gutter="0"/>
        </w:sectPr>
        <w:rPr>
          <w:rFonts w:ascii="FangSong" w:hAnsi="FangSong" w:eastAsia="FangSong" w:cs="FangSong"/>
          <w:sz w:val="24"/>
          <w:szCs w:val="24"/>
        </w:rPr>
      </w:pPr>
    </w:p>
    <w:p>
      <w:pPr>
        <w:ind w:left="26"/>
        <w:spacing w:before="311" w:line="359" w:lineRule="auto"/>
        <w:jc w:val="both"/>
        <w:rPr>
          <w:rFonts w:ascii="FangSong" w:hAnsi="FangSong" w:eastAsia="FangSong" w:cs="FangSong"/>
          <w:sz w:val="24"/>
          <w:szCs w:val="24"/>
        </w:rPr>
      </w:pPr>
      <w:r>
        <w:rPr>
          <w:rFonts w:ascii="FangSong" w:hAnsi="FangSong" w:eastAsia="FangSong" w:cs="FangSong"/>
          <w:sz w:val="24"/>
          <w:szCs w:val="24"/>
          <w:spacing w:val="1"/>
        </w:rPr>
        <w:t>放运输和装卸、场地平整，以及施工机械、车辆排放的尾气，排放的主要污染物为</w:t>
      </w:r>
      <w:r>
        <w:rPr>
          <w:rFonts w:ascii="FangSong" w:hAnsi="FangSong" w:eastAsia="FangSong" w:cs="FangSong"/>
          <w:sz w:val="24"/>
          <w:szCs w:val="24"/>
          <w:spacing w:val="-3"/>
        </w:rPr>
        <w:t>总悬浮颗粒物（</w:t>
      </w:r>
      <w:r>
        <w:rPr>
          <w:rFonts w:ascii="Times New Roman" w:hAnsi="Times New Roman" w:eastAsia="Times New Roman" w:cs="Times New Roman"/>
          <w:sz w:val="24"/>
          <w:szCs w:val="24"/>
          <w:spacing w:val="-3"/>
        </w:rPr>
        <w:t>TSP</w:t>
      </w:r>
      <w:r>
        <w:rPr>
          <w:rFonts w:ascii="FangSong" w:hAnsi="FangSong" w:eastAsia="FangSong" w:cs="FangSong"/>
          <w:sz w:val="24"/>
          <w:szCs w:val="24"/>
          <w:spacing w:val="-3"/>
        </w:rPr>
        <w:t>）、二氧化硫（</w:t>
      </w:r>
      <w:r>
        <w:rPr>
          <w:rFonts w:ascii="Times New Roman" w:hAnsi="Times New Roman" w:eastAsia="Times New Roman" w:cs="Times New Roman"/>
          <w:sz w:val="24"/>
          <w:szCs w:val="24"/>
          <w:spacing w:val="-3"/>
        </w:rPr>
        <w:t>SO</w:t>
      </w:r>
      <w:r>
        <w:rPr>
          <w:rFonts w:ascii="Times New Roman" w:hAnsi="Times New Roman" w:eastAsia="Times New Roman" w:cs="Times New Roman"/>
          <w:sz w:val="15"/>
          <w:szCs w:val="15"/>
          <w:spacing w:val="-3"/>
          <w:position w:val="-1"/>
        </w:rPr>
        <w:t>2 </w:t>
      </w:r>
      <w:r>
        <w:rPr>
          <w:rFonts w:ascii="FangSong" w:hAnsi="FangSong" w:eastAsia="FangSong" w:cs="FangSong"/>
          <w:sz w:val="24"/>
          <w:szCs w:val="24"/>
          <w:spacing w:val="-3"/>
        </w:rPr>
        <w:t>）、氮氧化物（</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x </w:t>
      </w:r>
      <w:r>
        <w:rPr>
          <w:rFonts w:ascii="FangSong" w:hAnsi="FangSong" w:eastAsia="FangSong" w:cs="FangSong"/>
          <w:sz w:val="24"/>
          <w:szCs w:val="24"/>
          <w:spacing w:val="-3"/>
        </w:rPr>
        <w:t>）、一氧化碳（</w:t>
      </w:r>
      <w:r>
        <w:rPr>
          <w:rFonts w:ascii="Times New Roman" w:hAnsi="Times New Roman" w:eastAsia="Times New Roman" w:cs="Times New Roman"/>
          <w:sz w:val="24"/>
          <w:szCs w:val="24"/>
          <w:spacing w:val="-3"/>
        </w:rPr>
        <w:t>CO</w:t>
      </w:r>
      <w:r>
        <w:rPr>
          <w:rFonts w:ascii="FangSong" w:hAnsi="FangSong" w:eastAsia="FangSong" w:cs="FangSong"/>
          <w:sz w:val="24"/>
          <w:szCs w:val="24"/>
          <w:spacing w:val="-4"/>
        </w:rPr>
        <w:t>）、</w:t>
      </w:r>
      <w:r>
        <w:rPr>
          <w:rFonts w:ascii="FangSong" w:hAnsi="FangSong" w:eastAsia="FangSong" w:cs="FangSong"/>
          <w:sz w:val="24"/>
          <w:szCs w:val="24"/>
          <w:spacing w:val="-3"/>
        </w:rPr>
        <w:t>烃类（</w:t>
      </w:r>
      <w:r>
        <w:rPr>
          <w:rFonts w:ascii="Times New Roman" w:hAnsi="Times New Roman" w:eastAsia="Times New Roman" w:cs="Times New Roman"/>
          <w:sz w:val="24"/>
          <w:szCs w:val="24"/>
          <w:spacing w:val="-3"/>
        </w:rPr>
        <w:t>HC</w:t>
      </w:r>
      <w:r>
        <w:rPr>
          <w:rFonts w:ascii="FangSong" w:hAnsi="FangSong" w:eastAsia="FangSong" w:cs="FangSong"/>
          <w:sz w:val="24"/>
          <w:szCs w:val="24"/>
          <w:spacing w:val="-3"/>
        </w:rPr>
        <w:t>）等。</w:t>
      </w:r>
    </w:p>
    <w:p>
      <w:pPr>
        <w:ind w:left="499"/>
        <w:spacing w:line="221"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巷道掘进和爆破炮烟</w:t>
      </w:r>
    </w:p>
    <w:p>
      <w:pPr>
        <w:ind w:left="26" w:right="14" w:firstLine="479"/>
        <w:spacing w:before="180" w:line="359" w:lineRule="auto"/>
        <w:rPr>
          <w:rFonts w:ascii="FangSong" w:hAnsi="FangSong" w:eastAsia="FangSong" w:cs="FangSong"/>
          <w:sz w:val="24"/>
          <w:szCs w:val="24"/>
        </w:rPr>
      </w:pPr>
      <w:r>
        <w:rPr>
          <w:rFonts w:ascii="FangSong" w:hAnsi="FangSong" w:eastAsia="FangSong" w:cs="FangSong"/>
          <w:sz w:val="24"/>
          <w:szCs w:val="24"/>
        </w:rPr>
        <w:t>施工期井巷掘进、施工爆破以及井下采矿平台的建设</w:t>
      </w:r>
      <w:r>
        <w:rPr>
          <w:rFonts w:ascii="FangSong" w:hAnsi="FangSong" w:eastAsia="FangSong" w:cs="FangSong"/>
          <w:sz w:val="24"/>
          <w:szCs w:val="24"/>
          <w:spacing w:val="-1"/>
        </w:rPr>
        <w:t>会产生少量废气，</w:t>
      </w:r>
      <w:r>
        <w:rPr>
          <w:rFonts w:ascii="FangSong" w:hAnsi="FangSong" w:eastAsia="FangSong" w:cs="FangSong"/>
          <w:sz w:val="24"/>
          <w:szCs w:val="24"/>
          <w:spacing w:val="-70"/>
        </w:rPr>
        <w:t xml:space="preserve"> </w:t>
      </w:r>
      <w:r>
        <w:rPr>
          <w:rFonts w:ascii="FangSong" w:hAnsi="FangSong" w:eastAsia="FangSong" w:cs="FangSong"/>
          <w:sz w:val="24"/>
          <w:szCs w:val="24"/>
          <w:spacing w:val="-1"/>
        </w:rPr>
        <w:t>由于主</w:t>
      </w:r>
      <w:r>
        <w:rPr>
          <w:rFonts w:ascii="FangSong" w:hAnsi="FangSong" w:eastAsia="FangSong" w:cs="FangSong"/>
          <w:sz w:val="24"/>
          <w:szCs w:val="24"/>
          <w:spacing w:val="1"/>
        </w:rPr>
        <w:t>要在地下进行，炸药使用量较小，施工作业时间短，产生污染物较小，主要以氮氧</w:t>
      </w:r>
      <w:r>
        <w:rPr>
          <w:rFonts w:ascii="FangSong" w:hAnsi="FangSong" w:eastAsia="FangSong" w:cs="FangSong"/>
          <w:sz w:val="24"/>
          <w:szCs w:val="24"/>
          <w:spacing w:val="2"/>
        </w:rPr>
        <w:t>化物（</w:t>
      </w:r>
      <w:r>
        <w:rPr>
          <w:rFonts w:ascii="Times New Roman" w:hAnsi="Times New Roman" w:eastAsia="Times New Roman" w:cs="Times New Roman"/>
          <w:sz w:val="24"/>
          <w:szCs w:val="24"/>
        </w:rPr>
        <w:t>NO</w:t>
      </w:r>
      <w:r>
        <w:rPr>
          <w:rFonts w:ascii="Times New Roman" w:hAnsi="Times New Roman" w:eastAsia="Times New Roman" w:cs="Times New Roman"/>
          <w:sz w:val="15"/>
          <w:szCs w:val="15"/>
          <w:position w:val="-1"/>
        </w:rPr>
        <w:t>x</w:t>
      </w:r>
      <w:r>
        <w:rPr>
          <w:rFonts w:ascii="Times New Roman" w:hAnsi="Times New Roman" w:eastAsia="Times New Roman" w:cs="Times New Roman"/>
          <w:sz w:val="15"/>
          <w:szCs w:val="15"/>
          <w:spacing w:val="2"/>
          <w:position w:val="-1"/>
        </w:rPr>
        <w:t xml:space="preserve"> </w:t>
      </w:r>
      <w:r>
        <w:rPr>
          <w:rFonts w:ascii="FangSong" w:hAnsi="FangSong" w:eastAsia="FangSong" w:cs="FangSong"/>
          <w:sz w:val="24"/>
          <w:szCs w:val="24"/>
          <w:spacing w:val="2"/>
        </w:rPr>
        <w:t>）、粉尘为主，通过在井巷掘进和爆破作业时</w:t>
      </w:r>
      <w:r>
        <w:rPr>
          <w:rFonts w:ascii="FangSong" w:hAnsi="FangSong" w:eastAsia="FangSong" w:cs="FangSong"/>
          <w:sz w:val="24"/>
          <w:szCs w:val="24"/>
          <w:spacing w:val="1"/>
        </w:rPr>
        <w:t>对作业面采用雾炮喷淋等</w:t>
      </w:r>
      <w:r>
        <w:rPr>
          <w:rFonts w:ascii="FangSong" w:hAnsi="FangSong" w:eastAsia="FangSong" w:cs="FangSong"/>
          <w:sz w:val="24"/>
          <w:szCs w:val="24"/>
          <w:spacing w:val="-1"/>
        </w:rPr>
        <w:t>措施，不会对大气环境造成明显影响。</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16"/>
        </w:rPr>
        <w:t xml:space="preserve"> </w:t>
      </w:r>
      <w:r>
        <w:rPr>
          <w:rFonts w:ascii="FangSong" w:hAnsi="FangSong" w:eastAsia="FangSong" w:cs="FangSong"/>
          <w:sz w:val="24"/>
          <w:szCs w:val="24"/>
          <w:spacing w:val="-5"/>
        </w:rPr>
        <w:t>施工粉尘</w:t>
      </w:r>
    </w:p>
    <w:p>
      <w:pPr>
        <w:ind w:left="26" w:right="14" w:firstLine="480"/>
        <w:spacing w:before="178" w:line="359" w:lineRule="auto"/>
        <w:rPr>
          <w:rFonts w:ascii="FangSong" w:hAnsi="FangSong" w:eastAsia="FangSong" w:cs="FangSong"/>
          <w:sz w:val="24"/>
          <w:szCs w:val="24"/>
        </w:rPr>
      </w:pPr>
      <w:r>
        <w:rPr>
          <w:rFonts w:ascii="FangSong" w:hAnsi="FangSong" w:eastAsia="FangSong" w:cs="FangSong"/>
          <w:sz w:val="24"/>
          <w:szCs w:val="24"/>
          <w:spacing w:val="1"/>
        </w:rPr>
        <w:t>施工粉尘是施工期间一个重要污染源，其产生量及其对周边环境及人群产生影</w:t>
      </w:r>
      <w:r>
        <w:rPr>
          <w:rFonts w:ascii="FangSong" w:hAnsi="FangSong" w:eastAsia="FangSong" w:cs="FangSong"/>
          <w:sz w:val="24"/>
          <w:szCs w:val="24"/>
          <w:spacing w:val="1"/>
        </w:rPr>
        <w:t>响程度和范围与施工现场的土质和天气、施工设备机械化程度、施工作业方式、施</w:t>
      </w:r>
      <w:r>
        <w:rPr>
          <w:rFonts w:ascii="FangSong" w:hAnsi="FangSong" w:eastAsia="FangSong" w:cs="FangSong"/>
          <w:sz w:val="24"/>
          <w:szCs w:val="24"/>
          <w:spacing w:val="1"/>
        </w:rPr>
        <w:t>工管理水平、施工季节、土石方量、路面状况、运输方式等因素密切相关，其排放</w:t>
      </w:r>
      <w:r>
        <w:rPr>
          <w:rFonts w:ascii="FangSong" w:hAnsi="FangSong" w:eastAsia="FangSong" w:cs="FangSong"/>
          <w:sz w:val="24"/>
          <w:szCs w:val="24"/>
          <w:spacing w:val="-4"/>
        </w:rPr>
        <w:t>呈间歇、不定量、无组织排放，其中主要污染因子为颗粒物（</w:t>
      </w:r>
      <w:r>
        <w:rPr>
          <w:rFonts w:ascii="Times New Roman" w:hAnsi="Times New Roman" w:eastAsia="Times New Roman" w:cs="Times New Roman"/>
          <w:sz w:val="24"/>
          <w:szCs w:val="24"/>
          <w:spacing w:val="-4"/>
        </w:rPr>
        <w:t>TSP</w:t>
      </w:r>
      <w:r>
        <w:rPr>
          <w:rFonts w:ascii="FangSong" w:hAnsi="FangSong" w:eastAsia="FangSong" w:cs="FangSong"/>
          <w:sz w:val="24"/>
          <w:szCs w:val="24"/>
          <w:spacing w:val="-4"/>
        </w:rPr>
        <w:t>）。项目施工期粉</w:t>
      </w:r>
      <w:r>
        <w:rPr>
          <w:rFonts w:ascii="FangSong" w:hAnsi="FangSong" w:eastAsia="FangSong" w:cs="FangSong"/>
          <w:sz w:val="24"/>
          <w:szCs w:val="24"/>
          <w:spacing w:val="1"/>
        </w:rPr>
        <w:t>尘主要包括以下几个方面：工地材料的堆放，随风造成的扬尘污染及运输车辆造成</w:t>
      </w:r>
      <w:r>
        <w:rPr>
          <w:rFonts w:ascii="FangSong" w:hAnsi="FangSong" w:eastAsia="FangSong" w:cs="FangSong"/>
          <w:sz w:val="24"/>
          <w:szCs w:val="24"/>
          <w:spacing w:val="1"/>
        </w:rPr>
        <w:t>的粉尘；建筑材料（砂石等）的无遮盖、超量运输洒漏、粗放式卸料、用料造成的</w:t>
      </w:r>
      <w:r>
        <w:rPr>
          <w:rFonts w:ascii="FangSong" w:hAnsi="FangSong" w:eastAsia="FangSong" w:cs="FangSong"/>
          <w:sz w:val="24"/>
          <w:szCs w:val="24"/>
          <w:spacing w:val="1"/>
        </w:rPr>
        <w:t>扬尘。施工扬尘污染源多为分散排放源，其排放口距离地面高度低，其排放将会在</w:t>
      </w:r>
      <w:r>
        <w:rPr>
          <w:rFonts w:ascii="FangSong" w:hAnsi="FangSong" w:eastAsia="FangSong" w:cs="FangSong"/>
          <w:sz w:val="24"/>
          <w:szCs w:val="24"/>
          <w:spacing w:val="1"/>
        </w:rPr>
        <w:t>施工区域及周边附近区域形成局部污染，若其未经充分扩散稀释就进入地面呼吸层</w:t>
      </w:r>
      <w:r>
        <w:rPr>
          <w:rFonts w:ascii="FangSong" w:hAnsi="FangSong" w:eastAsia="FangSong" w:cs="FangSong"/>
          <w:sz w:val="24"/>
          <w:szCs w:val="24"/>
          <w:spacing w:val="-1"/>
        </w:rPr>
        <w:t>就会对现场施工人员工作环境和健康产生一定影响。</w:t>
      </w:r>
    </w:p>
    <w:p>
      <w:pPr>
        <w:ind w:left="28" w:right="16" w:firstLine="479"/>
        <w:spacing w:before="1" w:line="346" w:lineRule="auto"/>
        <w:rPr>
          <w:rFonts w:ascii="FangSong" w:hAnsi="FangSong" w:eastAsia="FangSong" w:cs="FangSong"/>
          <w:sz w:val="24"/>
          <w:szCs w:val="24"/>
        </w:rPr>
      </w:pPr>
      <w:r>
        <w:rPr>
          <w:rFonts w:ascii="FangSong" w:hAnsi="FangSong" w:eastAsia="FangSong" w:cs="FangSong"/>
          <w:sz w:val="24"/>
          <w:szCs w:val="24"/>
          <w:spacing w:val="1"/>
        </w:rPr>
        <w:t>根据《扬尘源颗粒物排放清单编制技术指南》针对整个工地可采取总体估算法</w:t>
      </w:r>
      <w:r>
        <w:rPr>
          <w:rFonts w:ascii="FangSong" w:hAnsi="FangSong" w:eastAsia="FangSong" w:cs="FangSong"/>
          <w:sz w:val="24"/>
          <w:szCs w:val="24"/>
          <w:spacing w:val="-2"/>
        </w:rPr>
        <w:t>进行计算，计算方法如公式</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4.13-1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、公式</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
        </w:rPr>
        <w:t>.13-2</w:t>
      </w:r>
      <w:r>
        <w:rPr>
          <w:rFonts w:ascii="FangSong" w:hAnsi="FangSong" w:eastAsia="FangSong" w:cs="FangSong"/>
          <w:sz w:val="24"/>
          <w:szCs w:val="24"/>
          <w:spacing w:val="-3"/>
        </w:rPr>
        <w:t>：</w:t>
      </w:r>
    </w:p>
    <w:p>
      <w:pPr>
        <w:pStyle w:val="BodyText"/>
        <w:ind w:left="2410"/>
        <w:spacing w:line="400" w:lineRule="exact"/>
        <w:rPr>
          <w:rFonts w:ascii="FangSong" w:hAnsi="FangSong" w:eastAsia="FangSong" w:cs="FangSong"/>
          <w:sz w:val="24"/>
          <w:szCs w:val="24"/>
        </w:rPr>
      </w:pPr>
      <w:r>
        <w:rPr>
          <w:rFonts w:ascii="Times New Roman" w:hAnsi="Times New Roman" w:eastAsia="Times New Roman" w:cs="Times New Roman"/>
          <w:sz w:val="23"/>
          <w:szCs w:val="23"/>
          <w:position w:val="11"/>
        </w:rPr>
        <w:t>W</w:t>
      </w:r>
      <w:r>
        <w:rPr>
          <w:rFonts w:ascii="Times New Roman" w:hAnsi="Times New Roman" w:eastAsia="Times New Roman" w:cs="Times New Roman"/>
          <w:sz w:val="13"/>
          <w:szCs w:val="13"/>
          <w:position w:val="5"/>
        </w:rPr>
        <w:t>Ci</w:t>
      </w:r>
      <w:r>
        <w:rPr>
          <w:rFonts w:ascii="Times New Roman" w:hAnsi="Times New Roman" w:eastAsia="Times New Roman" w:cs="Times New Roman"/>
          <w:sz w:val="13"/>
          <w:szCs w:val="13"/>
          <w:spacing w:val="12"/>
          <w:position w:val="5"/>
        </w:rPr>
        <w:t xml:space="preserve">  </w:t>
      </w:r>
      <w:r>
        <w:rPr>
          <w:sz w:val="23"/>
          <w:szCs w:val="23"/>
          <w:position w:val="11"/>
        </w:rPr>
        <w:t>= </w:t>
      </w:r>
      <w:r>
        <w:rPr>
          <w:rFonts w:ascii="Times New Roman" w:hAnsi="Times New Roman" w:eastAsia="Times New Roman" w:cs="Times New Roman"/>
          <w:sz w:val="23"/>
          <w:szCs w:val="23"/>
          <w:position w:val="11"/>
        </w:rPr>
        <w:t>E</w:t>
      </w:r>
      <w:r>
        <w:rPr>
          <w:rFonts w:ascii="Times New Roman" w:hAnsi="Times New Roman" w:eastAsia="Times New Roman" w:cs="Times New Roman"/>
          <w:sz w:val="13"/>
          <w:szCs w:val="13"/>
          <w:position w:val="5"/>
        </w:rPr>
        <w:t>Ci  </w:t>
      </w:r>
      <w:r>
        <w:rPr>
          <w:sz w:val="23"/>
          <w:szCs w:val="23"/>
          <w:position w:val="11"/>
        </w:rPr>
        <w:t>×</w:t>
      </w:r>
      <w:r>
        <w:rPr>
          <w:sz w:val="23"/>
          <w:szCs w:val="23"/>
          <w:spacing w:val="-28"/>
          <w:position w:val="11"/>
        </w:rPr>
        <w:t xml:space="preserve"> </w:t>
      </w:r>
      <w:r>
        <w:rPr>
          <w:rFonts w:ascii="Times New Roman" w:hAnsi="Times New Roman" w:eastAsia="Times New Roman" w:cs="Times New Roman"/>
          <w:sz w:val="23"/>
          <w:szCs w:val="23"/>
          <w:position w:val="11"/>
        </w:rPr>
        <w:t>A</w:t>
      </w:r>
      <w:r>
        <w:rPr>
          <w:rFonts w:ascii="Times New Roman" w:hAnsi="Times New Roman" w:eastAsia="Times New Roman" w:cs="Times New Roman"/>
          <w:sz w:val="13"/>
          <w:szCs w:val="13"/>
          <w:position w:val="5"/>
        </w:rPr>
        <w:t>C  </w:t>
      </w:r>
      <w:r>
        <w:rPr>
          <w:sz w:val="23"/>
          <w:szCs w:val="23"/>
          <w:position w:val="11"/>
        </w:rPr>
        <w:t>×</w:t>
      </w:r>
      <w:r>
        <w:rPr>
          <w:sz w:val="23"/>
          <w:szCs w:val="23"/>
          <w:spacing w:val="-26"/>
          <w:position w:val="11"/>
        </w:rPr>
        <w:t xml:space="preserve"> </w:t>
      </w:r>
      <w:r>
        <w:rPr>
          <w:rFonts w:ascii="Times New Roman" w:hAnsi="Times New Roman" w:eastAsia="Times New Roman" w:cs="Times New Roman"/>
          <w:sz w:val="23"/>
          <w:szCs w:val="23"/>
          <w:position w:val="11"/>
        </w:rPr>
        <w:t>T         </w:t>
      </w:r>
      <w:r>
        <w:rPr>
          <w:rFonts w:ascii="FangSong" w:hAnsi="FangSong" w:eastAsia="FangSong" w:cs="FangSong"/>
          <w:sz w:val="24"/>
          <w:szCs w:val="24"/>
          <w:spacing w:val="-1"/>
        </w:rPr>
        <w:t>（公式</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4.13-</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w:t>
      </w:r>
    </w:p>
    <w:p>
      <w:pPr>
        <w:pStyle w:val="BodyText"/>
        <w:ind w:left="2120"/>
        <w:spacing w:before="206" w:line="443" w:lineRule="exact"/>
        <w:rPr>
          <w:rFonts w:ascii="FangSong" w:hAnsi="FangSong" w:eastAsia="FangSong" w:cs="FangSong"/>
          <w:sz w:val="24"/>
          <w:szCs w:val="24"/>
        </w:rPr>
      </w:pPr>
      <w:r>
        <w:rPr>
          <w:rFonts w:ascii="Times New Roman" w:hAnsi="Times New Roman" w:eastAsia="Times New Roman" w:cs="Times New Roman"/>
          <w:sz w:val="23"/>
          <w:szCs w:val="23"/>
          <w:spacing w:val="-2"/>
          <w:position w:val="10"/>
        </w:rPr>
        <w:t>E</w:t>
      </w:r>
      <w:r>
        <w:rPr>
          <w:rFonts w:ascii="Times New Roman" w:hAnsi="Times New Roman" w:eastAsia="Times New Roman" w:cs="Times New Roman"/>
          <w:sz w:val="13"/>
          <w:szCs w:val="13"/>
          <w:spacing w:val="-2"/>
          <w:position w:val="5"/>
        </w:rPr>
        <w:t>Ci</w:t>
      </w:r>
      <w:r>
        <w:rPr>
          <w:rFonts w:ascii="Times New Roman" w:hAnsi="Times New Roman" w:eastAsia="Times New Roman" w:cs="Times New Roman"/>
          <w:sz w:val="13"/>
          <w:szCs w:val="13"/>
          <w:spacing w:val="17"/>
          <w:w w:val="102"/>
          <w:position w:val="5"/>
        </w:rPr>
        <w:t xml:space="preserve">  </w:t>
      </w:r>
      <w:r>
        <w:rPr>
          <w:sz w:val="23"/>
          <w:szCs w:val="23"/>
          <w:spacing w:val="-2"/>
          <w:position w:val="10"/>
        </w:rPr>
        <w:t>= </w:t>
      </w:r>
      <w:r>
        <w:rPr>
          <w:rFonts w:ascii="Times New Roman" w:hAnsi="Times New Roman" w:eastAsia="Times New Roman" w:cs="Times New Roman"/>
          <w:sz w:val="23"/>
          <w:szCs w:val="23"/>
          <w:spacing w:val="-2"/>
          <w:position w:val="10"/>
        </w:rPr>
        <w:t>2.69</w:t>
      </w:r>
      <w:r>
        <w:rPr>
          <w:sz w:val="23"/>
          <w:szCs w:val="23"/>
          <w:spacing w:val="-2"/>
          <w:position w:val="10"/>
        </w:rPr>
        <w:t>×</w:t>
      </w:r>
      <w:r>
        <w:rPr>
          <w:sz w:val="23"/>
          <w:szCs w:val="23"/>
          <w:spacing w:val="-28"/>
          <w:position w:val="10"/>
        </w:rPr>
        <w:t xml:space="preserve"> </w:t>
      </w:r>
      <w:r>
        <w:rPr>
          <w:rFonts w:ascii="Times New Roman" w:hAnsi="Times New Roman" w:eastAsia="Times New Roman" w:cs="Times New Roman"/>
          <w:sz w:val="23"/>
          <w:szCs w:val="23"/>
          <w:spacing w:val="-2"/>
          <w:position w:val="10"/>
        </w:rPr>
        <w:t>10</w:t>
      </w:r>
      <w:r>
        <w:rPr>
          <w:sz w:val="13"/>
          <w:szCs w:val="13"/>
          <w:spacing w:val="-2"/>
          <w:position w:val="21"/>
        </w:rPr>
        <w:t>—</w:t>
      </w:r>
      <w:r>
        <w:rPr>
          <w:rFonts w:ascii="Times New Roman" w:hAnsi="Times New Roman" w:eastAsia="Times New Roman" w:cs="Times New Roman"/>
          <w:sz w:val="13"/>
          <w:szCs w:val="13"/>
          <w:spacing w:val="-2"/>
          <w:position w:val="21"/>
        </w:rPr>
        <w:t>4  </w:t>
      </w:r>
      <w:r>
        <w:rPr>
          <w:sz w:val="23"/>
          <w:szCs w:val="23"/>
          <w:spacing w:val="-2"/>
          <w:position w:val="10"/>
        </w:rPr>
        <w:t>×</w:t>
      </w:r>
      <w:r>
        <w:rPr>
          <w:rFonts w:ascii="SimSun" w:hAnsi="SimSun" w:eastAsia="SimSun" w:cs="SimSun"/>
          <w:sz w:val="23"/>
          <w:szCs w:val="23"/>
          <w:spacing w:val="-10"/>
          <w:position w:val="10"/>
        </w:rPr>
        <w:t>（</w:t>
      </w:r>
      <w:r>
        <w:rPr>
          <w:rFonts w:ascii="Times New Roman" w:hAnsi="Times New Roman" w:eastAsia="Times New Roman" w:cs="Times New Roman"/>
          <w:sz w:val="23"/>
          <w:szCs w:val="23"/>
          <w:spacing w:val="-10"/>
          <w:position w:val="10"/>
        </w:rPr>
        <w:t>1</w:t>
      </w:r>
      <w:r>
        <w:rPr>
          <w:sz w:val="23"/>
          <w:szCs w:val="23"/>
          <w:spacing w:val="-16"/>
          <w:w w:val="72"/>
          <w:position w:val="10"/>
        </w:rPr>
        <w:t>—</w:t>
      </w:r>
      <w:r>
        <w:rPr>
          <w:sz w:val="25"/>
          <w:szCs w:val="25"/>
          <w:i/>
          <w:iCs/>
          <w:spacing w:val="-10"/>
          <w:position w:val="10"/>
        </w:rPr>
        <w:t>η</w:t>
      </w:r>
      <w:r>
        <w:rPr>
          <w:rFonts w:ascii="SimSun" w:hAnsi="SimSun" w:eastAsia="SimSun" w:cs="SimSun"/>
          <w:sz w:val="23"/>
          <w:szCs w:val="23"/>
          <w:spacing w:val="-10"/>
          <w:position w:val="10"/>
        </w:rPr>
        <w:t>)</w:t>
      </w:r>
      <w:r>
        <w:rPr>
          <w:rFonts w:ascii="SimSun" w:hAnsi="SimSun" w:eastAsia="SimSun" w:cs="SimSun"/>
          <w:sz w:val="23"/>
          <w:szCs w:val="23"/>
          <w:spacing w:val="19"/>
          <w:position w:val="10"/>
        </w:rPr>
        <w:t xml:space="preserve">    </w:t>
      </w:r>
      <w:r>
        <w:rPr>
          <w:rFonts w:ascii="FangSong" w:hAnsi="FangSong" w:eastAsia="FangSong" w:cs="FangSong"/>
          <w:sz w:val="24"/>
          <w:szCs w:val="24"/>
          <w:spacing w:val="-10"/>
          <w:position w:val="-1"/>
        </w:rPr>
        <w:t>（公式</w:t>
      </w:r>
      <w:r>
        <w:rPr>
          <w:rFonts w:ascii="FangSong" w:hAnsi="FangSong" w:eastAsia="FangSong" w:cs="FangSong"/>
          <w:sz w:val="24"/>
          <w:szCs w:val="24"/>
          <w:spacing w:val="-54"/>
          <w:position w:val="-1"/>
        </w:rPr>
        <w:t xml:space="preserve"> </w:t>
      </w:r>
      <w:r>
        <w:rPr>
          <w:rFonts w:ascii="Times New Roman" w:hAnsi="Times New Roman" w:eastAsia="Times New Roman" w:cs="Times New Roman"/>
          <w:sz w:val="24"/>
          <w:szCs w:val="24"/>
          <w:spacing w:val="-10"/>
          <w:position w:val="-1"/>
        </w:rPr>
        <w:t>4.13-2</w:t>
      </w:r>
      <w:r>
        <w:rPr>
          <w:rFonts w:ascii="FangSong" w:hAnsi="FangSong" w:eastAsia="FangSong" w:cs="FangSong"/>
          <w:sz w:val="24"/>
          <w:szCs w:val="24"/>
          <w:spacing w:val="-10"/>
          <w:position w:val="-1"/>
        </w:rPr>
        <w:t>）</w:t>
      </w:r>
    </w:p>
    <w:p>
      <w:pPr>
        <w:ind w:left="512"/>
        <w:spacing w:before="176" w:line="222"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W</w:t>
      </w:r>
      <w:r>
        <w:rPr>
          <w:rFonts w:ascii="Times New Roman" w:hAnsi="Times New Roman" w:eastAsia="Times New Roman" w:cs="Times New Roman"/>
          <w:sz w:val="15"/>
          <w:szCs w:val="15"/>
          <w:spacing w:val="-1"/>
          <w:position w:val="-1"/>
        </w:rPr>
        <w:t>Ci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为施工扬尘源中</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PM</w:t>
      </w:r>
      <w:r>
        <w:rPr>
          <w:rFonts w:ascii="Times New Roman" w:hAnsi="Times New Roman" w:eastAsia="Times New Roman" w:cs="Times New Roman"/>
          <w:sz w:val="15"/>
          <w:szCs w:val="15"/>
          <w:spacing w:val="-2"/>
          <w:position w:val="-1"/>
        </w:rPr>
        <w:t>i  </w:t>
      </w:r>
      <w:r>
        <w:rPr>
          <w:rFonts w:ascii="FangSong" w:hAnsi="FangSong" w:eastAsia="FangSong" w:cs="FangSong"/>
          <w:sz w:val="24"/>
          <w:szCs w:val="24"/>
          <w:spacing w:val="-2"/>
        </w:rPr>
        <w:t>总排放量，</w:t>
      </w:r>
      <w:r>
        <w:rPr>
          <w:rFonts w:ascii="Times New Roman" w:hAnsi="Times New Roman" w:eastAsia="Times New Roman" w:cs="Times New Roman"/>
          <w:sz w:val="24"/>
          <w:szCs w:val="24"/>
          <w:spacing w:val="-2"/>
        </w:rPr>
        <w:t>t/</w:t>
      </w:r>
      <w:r>
        <w:rPr>
          <w:rFonts w:ascii="FangSong" w:hAnsi="FangSong" w:eastAsia="FangSong" w:cs="FangSong"/>
          <w:sz w:val="24"/>
          <w:szCs w:val="24"/>
          <w:spacing w:val="-2"/>
        </w:rPr>
        <w:t>施工期。</w:t>
      </w:r>
    </w:p>
    <w:p>
      <w:pPr>
        <w:ind w:left="1215"/>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E</w:t>
      </w:r>
      <w:r>
        <w:rPr>
          <w:rFonts w:ascii="Times New Roman" w:hAnsi="Times New Roman" w:eastAsia="Times New Roman" w:cs="Times New Roman"/>
          <w:sz w:val="15"/>
          <w:szCs w:val="15"/>
          <w:spacing w:val="-1"/>
          <w:position w:val="-1"/>
        </w:rPr>
        <w:t>Ci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为整个施工工地</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PM</w:t>
      </w:r>
      <w:r>
        <w:rPr>
          <w:rFonts w:ascii="Times New Roman" w:hAnsi="Times New Roman" w:eastAsia="Times New Roman" w:cs="Times New Roman"/>
          <w:sz w:val="15"/>
          <w:szCs w:val="15"/>
          <w:spacing w:val="-1"/>
          <w:position w:val="-1"/>
        </w:rPr>
        <w:t>i  </w:t>
      </w:r>
      <w:r>
        <w:rPr>
          <w:rFonts w:ascii="FangSong" w:hAnsi="FangSong" w:eastAsia="FangSong" w:cs="FangSong"/>
          <w:sz w:val="24"/>
          <w:szCs w:val="24"/>
          <w:spacing w:val="-1"/>
        </w:rPr>
        <w:t>的平均排放系数，</w:t>
      </w:r>
      <w:r>
        <w:rPr>
          <w:rFonts w:ascii="Times New Roman" w:hAnsi="Times New Roman" w:eastAsia="Times New Roman" w:cs="Times New Roman"/>
          <w:sz w:val="24"/>
          <w:szCs w:val="24"/>
          <w:spacing w:val="-1"/>
        </w:rPr>
        <w:t>t/</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8"/>
        </w:rPr>
        <w:t>2</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月）。</w:t>
      </w:r>
    </w:p>
    <w:p>
      <w:pPr>
        <w:ind w:left="1212"/>
        <w:spacing w:before="176" w:line="223" w:lineRule="auto"/>
        <w:rPr>
          <w:rFonts w:ascii="FangSong" w:hAnsi="FangSong" w:eastAsia="FangSong" w:cs="FangSong"/>
          <w:sz w:val="24"/>
          <w:szCs w:val="24"/>
        </w:rPr>
      </w:pPr>
      <w:r>
        <w:rPr>
          <w:rFonts w:ascii="Times New Roman" w:hAnsi="Times New Roman" w:eastAsia="Times New Roman" w:cs="Times New Roman"/>
          <w:sz w:val="24"/>
          <w:szCs w:val="24"/>
          <w:spacing w:val="-1"/>
        </w:rPr>
        <w:t>A</w:t>
      </w:r>
      <w:r>
        <w:rPr>
          <w:rFonts w:ascii="Times New Roman" w:hAnsi="Times New Roman" w:eastAsia="Times New Roman" w:cs="Times New Roman"/>
          <w:sz w:val="15"/>
          <w:szCs w:val="15"/>
          <w:spacing w:val="-1"/>
          <w:position w:val="-1"/>
        </w:rPr>
        <w:t>C   </w:t>
      </w:r>
      <w:r>
        <w:rPr>
          <w:rFonts w:ascii="FangSong" w:hAnsi="FangSong" w:eastAsia="FangSong" w:cs="FangSong"/>
          <w:sz w:val="24"/>
          <w:szCs w:val="24"/>
          <w:spacing w:val="-1"/>
        </w:rPr>
        <w:t>——</w:t>
      </w:r>
      <w:r>
        <w:rPr>
          <w:rFonts w:ascii="FangSong" w:hAnsi="FangSong" w:eastAsia="FangSong" w:cs="FangSong"/>
          <w:sz w:val="24"/>
          <w:szCs w:val="24"/>
          <w:spacing w:val="28"/>
        </w:rPr>
        <w:t xml:space="preserve"> </w:t>
      </w:r>
      <w:r>
        <w:rPr>
          <w:rFonts w:ascii="FangSong" w:hAnsi="FangSong" w:eastAsia="FangSong" w:cs="FangSong"/>
          <w:sz w:val="24"/>
          <w:szCs w:val="24"/>
          <w:spacing w:val="-1"/>
        </w:rPr>
        <w:t>为施工区域面积，</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2</w:t>
      </w:r>
      <w:r>
        <w:rPr>
          <w:rFonts w:ascii="FangSong" w:hAnsi="FangSong" w:eastAsia="FangSong" w:cs="FangSong"/>
          <w:sz w:val="24"/>
          <w:szCs w:val="24"/>
          <w:spacing w:val="-1"/>
        </w:rPr>
        <w:t>。</w:t>
      </w:r>
    </w:p>
    <w:p>
      <w:pPr>
        <w:ind w:left="1218"/>
        <w:spacing w:before="178"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T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为工地的施工月份数，一般按施工天数</w:t>
      </w:r>
      <w:r>
        <w:rPr>
          <w:rFonts w:ascii="Times New Roman" w:hAnsi="Times New Roman" w:eastAsia="Times New Roman" w:cs="Times New Roman"/>
          <w:sz w:val="24"/>
          <w:szCs w:val="24"/>
          <w:spacing w:val="-1"/>
        </w:rPr>
        <w:t>/30 </w:t>
      </w:r>
      <w:r>
        <w:rPr>
          <w:rFonts w:ascii="FangSong" w:hAnsi="FangSong" w:eastAsia="FangSong" w:cs="FangSong"/>
          <w:sz w:val="24"/>
          <w:szCs w:val="24"/>
          <w:spacing w:val="-1"/>
        </w:rPr>
        <w:t>计算。</w:t>
      </w:r>
    </w:p>
    <w:p>
      <w:pPr>
        <w:ind w:left="1212"/>
        <w:spacing w:before="177"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η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为污染控制技术对扬尘的去除效率，</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，取</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80%</w:t>
      </w:r>
      <w:r>
        <w:rPr>
          <w:rFonts w:ascii="FangSong" w:hAnsi="FangSong" w:eastAsia="FangSong" w:cs="FangSong"/>
          <w:sz w:val="24"/>
          <w:szCs w:val="24"/>
          <w:spacing w:val="-2"/>
        </w:rPr>
        <w:t>。</w:t>
      </w:r>
    </w:p>
    <w:p>
      <w:pPr>
        <w:ind w:left="47" w:right="16" w:firstLine="459"/>
        <w:spacing w:before="192" w:line="358" w:lineRule="auto"/>
        <w:rPr>
          <w:rFonts w:ascii="FangSong" w:hAnsi="FangSong" w:eastAsia="FangSong" w:cs="FangSong"/>
          <w:sz w:val="24"/>
          <w:szCs w:val="24"/>
        </w:rPr>
      </w:pPr>
      <w:r>
        <w:rPr>
          <w:rFonts w:ascii="FangSong" w:hAnsi="FangSong" w:eastAsia="FangSong" w:cs="FangSong"/>
          <w:sz w:val="24"/>
          <w:szCs w:val="24"/>
          <w:spacing w:val="-2"/>
        </w:rPr>
        <w:t>经计算，本项目施工期施工扬尘产生量为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52.242t</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。施工单位在采取对路面及厂</w:t>
      </w:r>
      <w:r>
        <w:rPr>
          <w:rFonts w:ascii="FangSong" w:hAnsi="FangSong" w:eastAsia="FangSong" w:cs="FangSong"/>
          <w:sz w:val="24"/>
          <w:szCs w:val="24"/>
        </w:rPr>
        <w:t>区、堆场进行洒水降尘、覆盖防尘网防尘布、设置围挡等措施，在不同的风速和稳</w:t>
      </w:r>
    </w:p>
    <w:p>
      <w:pPr>
        <w:spacing w:line="358" w:lineRule="auto"/>
        <w:sectPr>
          <w:headerReference w:type="default" r:id="rId164"/>
          <w:footerReference w:type="default" r:id="rId165"/>
          <w:pgSz w:w="11911" w:h="16839"/>
          <w:pgMar w:top="1140" w:right="1401" w:bottom="1146" w:left="1786" w:header="1130" w:footer="984" w:gutter="0"/>
        </w:sectPr>
        <w:rPr>
          <w:rFonts w:ascii="FangSong" w:hAnsi="FangSong" w:eastAsia="FangSong" w:cs="FangSong"/>
          <w:sz w:val="24"/>
          <w:szCs w:val="24"/>
        </w:rPr>
      </w:pPr>
    </w:p>
    <w:p>
      <w:pPr>
        <w:ind w:left="31"/>
        <w:spacing w:before="312" w:line="222" w:lineRule="auto"/>
        <w:rPr>
          <w:rFonts w:ascii="FangSong" w:hAnsi="FangSong" w:eastAsia="FangSong" w:cs="FangSong"/>
          <w:sz w:val="24"/>
          <w:szCs w:val="24"/>
        </w:rPr>
      </w:pPr>
      <w:r>
        <w:rPr>
          <w:rFonts w:ascii="FangSong" w:hAnsi="FangSong" w:eastAsia="FangSong" w:cs="FangSong"/>
          <w:sz w:val="24"/>
          <w:szCs w:val="24"/>
          <w:spacing w:val="-1"/>
        </w:rPr>
        <w:t>定度下，施工扬尘的浓度贡献值也会大幅下降。</w:t>
      </w:r>
    </w:p>
    <w:p>
      <w:pPr>
        <w:ind w:left="498"/>
        <w:spacing w:before="177" w:line="219"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施工机械及车辆排放尾气</w:t>
      </w:r>
    </w:p>
    <w:p>
      <w:pPr>
        <w:ind w:left="26" w:right="126" w:firstLine="479"/>
        <w:spacing w:before="182" w:line="359" w:lineRule="auto"/>
        <w:rPr>
          <w:rFonts w:ascii="FangSong" w:hAnsi="FangSong" w:eastAsia="FangSong" w:cs="FangSong"/>
          <w:sz w:val="24"/>
          <w:szCs w:val="24"/>
        </w:rPr>
      </w:pPr>
      <w:r>
        <w:rPr>
          <w:rFonts w:ascii="FangSong" w:hAnsi="FangSong" w:eastAsia="FangSong" w:cs="FangSong"/>
          <w:sz w:val="24"/>
          <w:szCs w:val="24"/>
          <w:spacing w:val="1"/>
        </w:rPr>
        <w:t>施工过程中需要使用挖掘机、推土机等大型机械设备；建筑材料运输过程中使</w:t>
      </w:r>
      <w:r>
        <w:rPr>
          <w:rFonts w:ascii="FangSong" w:hAnsi="FangSong" w:eastAsia="FangSong" w:cs="FangSong"/>
          <w:sz w:val="24"/>
          <w:szCs w:val="24"/>
          <w:spacing w:val="1"/>
        </w:rPr>
        <w:t>用各种大型机动车辆，这些设备和车辆均使用柴油发动机或使用柴油发电机临时供</w:t>
      </w:r>
      <w:r>
        <w:rPr>
          <w:rFonts w:ascii="FangSong" w:hAnsi="FangSong" w:eastAsia="FangSong" w:cs="FangSong"/>
          <w:sz w:val="24"/>
          <w:szCs w:val="24"/>
          <w:spacing w:val="-3"/>
        </w:rPr>
        <w:t>电，因此，施工机械及车辆等因燃油产生的二</w:t>
      </w:r>
      <w:r>
        <w:rPr>
          <w:rFonts w:ascii="FangSong" w:hAnsi="FangSong" w:eastAsia="FangSong" w:cs="FangSong"/>
          <w:sz w:val="24"/>
          <w:szCs w:val="24"/>
          <w:spacing w:val="-4"/>
        </w:rPr>
        <w:t>氧化硫（</w:t>
      </w:r>
      <w:r>
        <w:rPr>
          <w:rFonts w:ascii="Times New Roman" w:hAnsi="Times New Roman" w:eastAsia="Times New Roman" w:cs="Times New Roman"/>
          <w:sz w:val="24"/>
          <w:szCs w:val="24"/>
          <w:spacing w:val="-4"/>
        </w:rPr>
        <w:t>SO</w:t>
      </w:r>
      <w:r>
        <w:rPr>
          <w:rFonts w:ascii="Times New Roman" w:hAnsi="Times New Roman" w:eastAsia="Times New Roman" w:cs="Times New Roman"/>
          <w:sz w:val="15"/>
          <w:szCs w:val="15"/>
          <w:spacing w:val="-4"/>
          <w:position w:val="-1"/>
        </w:rPr>
        <w:t>2    </w:t>
      </w:r>
      <w:r>
        <w:rPr>
          <w:rFonts w:ascii="FangSong" w:hAnsi="FangSong" w:eastAsia="FangSong" w:cs="FangSong"/>
          <w:sz w:val="24"/>
          <w:szCs w:val="24"/>
          <w:spacing w:val="-4"/>
        </w:rPr>
        <w:t>）、氮氧化物（</w:t>
      </w:r>
      <w:r>
        <w:rPr>
          <w:rFonts w:ascii="Times New Roman" w:hAnsi="Times New Roman" w:eastAsia="Times New Roman" w:cs="Times New Roman"/>
          <w:sz w:val="24"/>
          <w:szCs w:val="24"/>
          <w:spacing w:val="-4"/>
        </w:rPr>
        <w:t>NO</w:t>
      </w:r>
      <w:r>
        <w:rPr>
          <w:rFonts w:ascii="Times New Roman" w:hAnsi="Times New Roman" w:eastAsia="Times New Roman" w:cs="Times New Roman"/>
          <w:sz w:val="15"/>
          <w:szCs w:val="15"/>
          <w:spacing w:val="-4"/>
          <w:position w:val="-1"/>
        </w:rPr>
        <w:t>x </w:t>
      </w:r>
      <w:r>
        <w:rPr>
          <w:rFonts w:ascii="FangSong" w:hAnsi="FangSong" w:eastAsia="FangSong" w:cs="FangSong"/>
          <w:sz w:val="24"/>
          <w:szCs w:val="24"/>
          <w:spacing w:val="-4"/>
        </w:rPr>
        <w:t>）、</w:t>
      </w:r>
      <w:r>
        <w:rPr>
          <w:rFonts w:ascii="FangSong" w:hAnsi="FangSong" w:eastAsia="FangSong" w:cs="FangSong"/>
          <w:sz w:val="24"/>
          <w:szCs w:val="24"/>
          <w:spacing w:val="3"/>
        </w:rPr>
        <w:t>一氧化碳（</w:t>
      </w:r>
      <w:r>
        <w:rPr>
          <w:rFonts w:ascii="Times New Roman" w:hAnsi="Times New Roman" w:eastAsia="Times New Roman" w:cs="Times New Roman"/>
          <w:sz w:val="24"/>
          <w:szCs w:val="24"/>
        </w:rPr>
        <w:t>CO</w:t>
      </w:r>
      <w:r>
        <w:rPr>
          <w:rFonts w:ascii="FangSong" w:hAnsi="FangSong" w:eastAsia="FangSong" w:cs="FangSong"/>
          <w:sz w:val="24"/>
          <w:szCs w:val="24"/>
          <w:spacing w:val="3"/>
        </w:rPr>
        <w:t>）、烃类（</w:t>
      </w:r>
      <w:r>
        <w:rPr>
          <w:rFonts w:ascii="Times New Roman" w:hAnsi="Times New Roman" w:eastAsia="Times New Roman" w:cs="Times New Roman"/>
          <w:sz w:val="24"/>
          <w:szCs w:val="24"/>
        </w:rPr>
        <w:t>HC</w:t>
      </w:r>
      <w:r>
        <w:rPr>
          <w:rFonts w:ascii="FangSong" w:hAnsi="FangSong" w:eastAsia="FangSong" w:cs="FangSong"/>
          <w:sz w:val="24"/>
          <w:szCs w:val="24"/>
          <w:spacing w:val="3"/>
        </w:rPr>
        <w:t>）等污染物对大气环境也可能存在</w:t>
      </w:r>
      <w:r>
        <w:rPr>
          <w:rFonts w:ascii="FangSong" w:hAnsi="FangSong" w:eastAsia="FangSong" w:cs="FangSong"/>
          <w:sz w:val="24"/>
          <w:szCs w:val="24"/>
          <w:spacing w:val="2"/>
        </w:rPr>
        <w:t>一定影响。施工机</w:t>
      </w:r>
      <w:r>
        <w:rPr>
          <w:rFonts w:ascii="FangSong" w:hAnsi="FangSong" w:eastAsia="FangSong" w:cs="FangSong"/>
          <w:sz w:val="24"/>
          <w:szCs w:val="24"/>
          <w:spacing w:val="1"/>
        </w:rPr>
        <w:t>械及车辆尾气的污染物排放量不大，污染源较分散且为流动性，表现为局部和间歇</w:t>
      </w:r>
      <w:r>
        <w:rPr>
          <w:rFonts w:ascii="FangSong" w:hAnsi="FangSong" w:eastAsia="FangSong" w:cs="FangSong"/>
          <w:sz w:val="24"/>
          <w:szCs w:val="24"/>
          <w:spacing w:val="1"/>
        </w:rPr>
        <w:t>性。结合当地环境空气质量现状较好、空气流通性较好，周边植被较多，有利于污</w:t>
      </w:r>
      <w:r>
        <w:rPr>
          <w:rFonts w:ascii="FangSong" w:hAnsi="FangSong" w:eastAsia="FangSong" w:cs="FangSong"/>
          <w:sz w:val="24"/>
          <w:szCs w:val="24"/>
        </w:rPr>
        <w:t>染物质的扩散及植物吸收等因素综合分析</w:t>
      </w:r>
      <w:r>
        <w:rPr>
          <w:rFonts w:ascii="FangSong" w:hAnsi="FangSong" w:eastAsia="FangSong" w:cs="FangSong"/>
          <w:sz w:val="24"/>
          <w:szCs w:val="24"/>
        </w:rPr>
        <w:t xml:space="preserve"> </w:t>
      </w:r>
      <w:r>
        <w:rPr>
          <w:rFonts w:ascii="FangSong" w:hAnsi="FangSong" w:eastAsia="FangSong" w:cs="FangSong"/>
          <w:sz w:val="24"/>
          <w:szCs w:val="24"/>
          <w:spacing w:val="-1"/>
        </w:rPr>
        <w:t>总体上对区域空气质量的影响不明显。</w:t>
      </w:r>
    </w:p>
    <w:p>
      <w:pPr>
        <w:ind w:left="511"/>
        <w:spacing w:line="222"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FangSong" w:hAnsi="FangSong" w:eastAsia="FangSong" w:cs="FangSong"/>
          <w:sz w:val="24"/>
          <w:szCs w:val="24"/>
          <w:spacing w:val="-5"/>
        </w:rPr>
        <w:t>）噪声</w:t>
      </w:r>
    </w:p>
    <w:p>
      <w:pPr>
        <w:ind w:left="26" w:right="120"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施工期噪声污染源主要是施工机械、施工作业噪声和运输车辆，对声环境影响</w:t>
      </w:r>
      <w:r>
        <w:rPr>
          <w:rFonts w:ascii="FangSong" w:hAnsi="FangSong" w:eastAsia="FangSong" w:cs="FangSong"/>
          <w:sz w:val="24"/>
          <w:szCs w:val="24"/>
          <w:spacing w:val="-2"/>
        </w:rPr>
        <w:t>最大的是机械噪声，单体声级一般均在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80dB</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）以上</w:t>
      </w:r>
      <w:r>
        <w:rPr>
          <w:rFonts w:ascii="FangSong" w:hAnsi="FangSong" w:eastAsia="FangSong" w:cs="FangSong"/>
          <w:sz w:val="24"/>
          <w:szCs w:val="24"/>
          <w:spacing w:val="33"/>
        </w:rPr>
        <w:t xml:space="preserve"> </w:t>
      </w:r>
      <w:r>
        <w:rPr>
          <w:rFonts w:ascii="FangSong" w:hAnsi="FangSong" w:eastAsia="FangSong" w:cs="FangSong"/>
          <w:sz w:val="24"/>
          <w:szCs w:val="24"/>
          <w:spacing w:val="-2"/>
        </w:rPr>
        <w:t>，其中声级最大的是</w:t>
      </w:r>
      <w:r>
        <w:rPr>
          <w:rFonts w:ascii="FangSong" w:hAnsi="FangSong" w:eastAsia="FangSong" w:cs="FangSong"/>
          <w:sz w:val="24"/>
          <w:szCs w:val="24"/>
          <w:spacing w:val="-3"/>
        </w:rPr>
        <w:t>电钻，</w:t>
      </w:r>
      <w:r>
        <w:rPr>
          <w:rFonts w:ascii="FangSong" w:hAnsi="FangSong" w:eastAsia="FangSong" w:cs="FangSong"/>
          <w:sz w:val="24"/>
          <w:szCs w:val="24"/>
          <w:spacing w:val="-4"/>
        </w:rPr>
        <w:t>声级达</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4"/>
        </w:rPr>
        <w:t>110dB</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A</w:t>
      </w:r>
      <w:r>
        <w:rPr>
          <w:rFonts w:ascii="FangSong" w:hAnsi="FangSong" w:eastAsia="FangSong" w:cs="FangSong"/>
          <w:sz w:val="24"/>
          <w:szCs w:val="24"/>
          <w:spacing w:val="2"/>
        </w:rPr>
        <w:t>）；</w:t>
      </w:r>
      <w:r>
        <w:rPr>
          <w:rFonts w:ascii="FangSong" w:hAnsi="FangSong" w:eastAsia="FangSong" w:cs="FangSong"/>
          <w:sz w:val="24"/>
          <w:szCs w:val="24"/>
          <w:spacing w:val="-4"/>
        </w:rPr>
        <w:t>另外也有一定的施工作业噪声，主要是一些零星的敲打声、装</w:t>
      </w:r>
      <w:r>
        <w:rPr>
          <w:rFonts w:ascii="FangSong" w:hAnsi="FangSong" w:eastAsia="FangSong" w:cs="FangSong"/>
          <w:sz w:val="24"/>
          <w:szCs w:val="24"/>
          <w:spacing w:val="-3"/>
        </w:rPr>
        <w:t>卸车辆的撞击声、吆喝声、拆装模板的撞击声等，多为瞬间噪声，其</w:t>
      </w:r>
      <w:r>
        <w:rPr>
          <w:rFonts w:ascii="FangSong" w:hAnsi="FangSong" w:eastAsia="FangSong" w:cs="FangSong"/>
          <w:sz w:val="24"/>
          <w:szCs w:val="24"/>
          <w:spacing w:val="-4"/>
        </w:rPr>
        <w:t>排放具有间歇、</w:t>
      </w:r>
      <w:r>
        <w:rPr>
          <w:rFonts w:ascii="FangSong" w:hAnsi="FangSong" w:eastAsia="FangSong" w:cs="FangSong"/>
          <w:sz w:val="24"/>
          <w:szCs w:val="24"/>
          <w:spacing w:val="-8"/>
        </w:rPr>
        <w:t>阵发、流动等特性。据调查，本项目施工期间主要噪声源产生的噪声强度见表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4.13-5</w:t>
      </w:r>
      <w:r>
        <w:rPr>
          <w:rFonts w:ascii="FangSong" w:hAnsi="FangSong" w:eastAsia="FangSong" w:cs="FangSong"/>
          <w:sz w:val="24"/>
          <w:szCs w:val="24"/>
          <w:spacing w:val="-8"/>
        </w:rPr>
        <w:t>。</w:t>
      </w:r>
    </w:p>
    <w:p>
      <w:pPr>
        <w:ind w:left="1687"/>
        <w:spacing w:before="1"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4.13-5  </w:t>
      </w:r>
      <w:r>
        <w:rPr>
          <w:rFonts w:ascii="FangSong" w:hAnsi="FangSong" w:eastAsia="FangSong" w:cs="FangSong"/>
          <w:sz w:val="24"/>
          <w:szCs w:val="24"/>
          <w:b/>
          <w:bCs/>
          <w:spacing w:val="-2"/>
        </w:rPr>
        <w:t>施工期主要噪声源产生的噪声强度</w:t>
      </w:r>
      <w:r>
        <w:rPr>
          <w:rFonts w:ascii="FangSong" w:hAnsi="FangSong" w:eastAsia="FangSong" w:cs="FangSong"/>
          <w:sz w:val="24"/>
          <w:szCs w:val="24"/>
          <w:b/>
          <w:bCs/>
          <w:spacing w:val="-3"/>
        </w:rPr>
        <w:t>一览表</w:t>
      </w:r>
    </w:p>
    <w:p>
      <w:pPr>
        <w:spacing w:line="142" w:lineRule="exact"/>
        <w:rPr/>
      </w:pPr>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735"/>
        <w:gridCol w:w="1121"/>
        <w:gridCol w:w="1222"/>
        <w:gridCol w:w="1215"/>
        <w:gridCol w:w="1093"/>
        <w:gridCol w:w="1091"/>
        <w:gridCol w:w="1216"/>
      </w:tblGrid>
      <w:tr>
        <w:trPr>
          <w:trHeight w:val="269" w:hRule="atLeast"/>
        </w:trPr>
        <w:tc>
          <w:tcPr>
            <w:tcW w:w="1735" w:type="dxa"/>
            <w:vAlign w:val="top"/>
            <w:tcBorders>
              <w:top w:val="single" w:color="00000A" w:sz="10" w:space="0"/>
              <w:left w:val="nil"/>
            </w:tcBorders>
          </w:tcPr>
          <w:p>
            <w:pPr>
              <w:pStyle w:val="TableText"/>
              <w:ind w:left="572"/>
              <w:spacing w:before="36" w:line="205" w:lineRule="auto"/>
              <w:rPr/>
            </w:pPr>
            <w:r>
              <w:rPr>
                <w:spacing w:val="2"/>
              </w:rPr>
              <w:t>噪声源</w:t>
            </w:r>
          </w:p>
        </w:tc>
        <w:tc>
          <w:tcPr>
            <w:tcW w:w="1121" w:type="dxa"/>
            <w:vAlign w:val="top"/>
            <w:tcBorders>
              <w:top w:val="single" w:color="00000A" w:sz="10" w:space="0"/>
            </w:tcBorders>
          </w:tcPr>
          <w:p>
            <w:pPr>
              <w:pStyle w:val="TableText"/>
              <w:ind w:left="256"/>
              <w:spacing w:before="36" w:line="205" w:lineRule="auto"/>
              <w:rPr/>
            </w:pPr>
            <w:r>
              <w:rPr>
                <w:spacing w:val="5"/>
              </w:rPr>
              <w:t>挖掘机</w:t>
            </w:r>
          </w:p>
        </w:tc>
        <w:tc>
          <w:tcPr>
            <w:tcW w:w="1222" w:type="dxa"/>
            <w:vAlign w:val="top"/>
            <w:tcBorders>
              <w:top w:val="single" w:color="00000A" w:sz="10" w:space="0"/>
            </w:tcBorders>
          </w:tcPr>
          <w:p>
            <w:pPr>
              <w:pStyle w:val="TableText"/>
              <w:ind w:left="308"/>
              <w:spacing w:before="36" w:line="205" w:lineRule="auto"/>
              <w:rPr/>
            </w:pPr>
            <w:r>
              <w:rPr>
                <w:spacing w:val="4"/>
              </w:rPr>
              <w:t>推土机</w:t>
            </w:r>
          </w:p>
        </w:tc>
        <w:tc>
          <w:tcPr>
            <w:tcW w:w="1215" w:type="dxa"/>
            <w:vAlign w:val="top"/>
            <w:tcBorders>
              <w:top w:val="single" w:color="00000A" w:sz="10" w:space="0"/>
            </w:tcBorders>
          </w:tcPr>
          <w:p>
            <w:pPr>
              <w:pStyle w:val="TableText"/>
              <w:ind w:left="200"/>
              <w:spacing w:before="36" w:line="205" w:lineRule="auto"/>
              <w:rPr/>
            </w:pPr>
            <w:r>
              <w:rPr>
                <w:spacing w:val="5"/>
              </w:rPr>
              <w:t>运输车辆</w:t>
            </w:r>
          </w:p>
        </w:tc>
        <w:tc>
          <w:tcPr>
            <w:tcW w:w="1093" w:type="dxa"/>
            <w:vAlign w:val="top"/>
            <w:tcBorders>
              <w:top w:val="single" w:color="00000A" w:sz="10" w:space="0"/>
            </w:tcBorders>
          </w:tcPr>
          <w:p>
            <w:pPr>
              <w:pStyle w:val="TableText"/>
              <w:ind w:left="372"/>
              <w:spacing w:before="36" w:line="205" w:lineRule="auto"/>
              <w:rPr/>
            </w:pPr>
            <w:r>
              <w:rPr>
                <w:spacing w:val="-10"/>
              </w:rPr>
              <w:t>电钻</w:t>
            </w:r>
          </w:p>
        </w:tc>
        <w:tc>
          <w:tcPr>
            <w:tcW w:w="1091" w:type="dxa"/>
            <w:vAlign w:val="top"/>
            <w:tcBorders>
              <w:top w:val="single" w:color="00000A" w:sz="10" w:space="0"/>
            </w:tcBorders>
          </w:tcPr>
          <w:p>
            <w:pPr>
              <w:pStyle w:val="TableText"/>
              <w:ind w:left="246"/>
              <w:spacing w:before="36" w:line="205" w:lineRule="auto"/>
              <w:rPr/>
            </w:pPr>
            <w:r>
              <w:rPr>
                <w:spacing w:val="3"/>
              </w:rPr>
              <w:t>装载机</w:t>
            </w:r>
          </w:p>
        </w:tc>
        <w:tc>
          <w:tcPr>
            <w:tcW w:w="1216" w:type="dxa"/>
            <w:vAlign w:val="top"/>
            <w:tcBorders>
              <w:top w:val="single" w:color="00000A" w:sz="10" w:space="0"/>
              <w:right w:val="nil"/>
            </w:tcBorders>
          </w:tcPr>
          <w:p>
            <w:pPr>
              <w:pStyle w:val="TableText"/>
              <w:ind w:left="305"/>
              <w:spacing w:before="36" w:line="205" w:lineRule="auto"/>
              <w:rPr/>
            </w:pPr>
            <w:r>
              <w:rPr>
                <w:spacing w:val="5"/>
              </w:rPr>
              <w:t>切割机</w:t>
            </w:r>
          </w:p>
        </w:tc>
      </w:tr>
      <w:tr>
        <w:trPr>
          <w:trHeight w:val="289" w:hRule="atLeast"/>
        </w:trPr>
        <w:tc>
          <w:tcPr>
            <w:tcW w:w="1735" w:type="dxa"/>
            <w:vAlign w:val="top"/>
            <w:tcBorders>
              <w:bottom w:val="single" w:color="00000A" w:sz="10" w:space="0"/>
              <w:left w:val="nil"/>
            </w:tcBorders>
          </w:tcPr>
          <w:p>
            <w:pPr>
              <w:pStyle w:val="TableText"/>
              <w:spacing w:before="43" w:line="217" w:lineRule="auto"/>
              <w:jc w:val="right"/>
              <w:rPr/>
            </w:pPr>
            <w:r>
              <w:rPr>
                <w:spacing w:val="3"/>
              </w:rPr>
              <w:t>噪声强度</w:t>
            </w:r>
            <w:r>
              <w:rPr>
                <w:spacing w:val="3"/>
              </w:rPr>
              <w:t xml:space="preserve"> </w:t>
            </w:r>
            <w:r>
              <w:rPr>
                <w:rFonts w:ascii="Times New Roman" w:hAnsi="Times New Roman" w:eastAsia="Times New Roman" w:cs="Times New Roman"/>
              </w:rPr>
              <w:t>dB</w:t>
            </w:r>
            <w:r>
              <w:rPr>
                <w:spacing w:val="3"/>
              </w:rPr>
              <w:t>（</w:t>
            </w:r>
            <w:r>
              <w:rPr>
                <w:rFonts w:ascii="Times New Roman" w:hAnsi="Times New Roman" w:eastAsia="Times New Roman" w:cs="Times New Roman"/>
                <w:spacing w:val="3"/>
              </w:rPr>
              <w:t>A</w:t>
            </w:r>
            <w:r>
              <w:rPr>
                <w:spacing w:val="3"/>
              </w:rPr>
              <w:t>）</w:t>
            </w:r>
          </w:p>
        </w:tc>
        <w:tc>
          <w:tcPr>
            <w:tcW w:w="1121" w:type="dxa"/>
            <w:vAlign w:val="top"/>
            <w:tcBorders>
              <w:bottom w:val="single" w:color="00000A" w:sz="10" w:space="0"/>
            </w:tcBorders>
          </w:tcPr>
          <w:p>
            <w:pPr>
              <w:ind w:left="272"/>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85-100</w:t>
            </w:r>
          </w:p>
        </w:tc>
        <w:tc>
          <w:tcPr>
            <w:tcW w:w="1222" w:type="dxa"/>
            <w:vAlign w:val="top"/>
            <w:tcBorders>
              <w:bottom w:val="single" w:color="00000A" w:sz="10" w:space="0"/>
            </w:tcBorders>
          </w:tcPr>
          <w:p>
            <w:pPr>
              <w:ind w:left="322"/>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85-100</w:t>
            </w:r>
          </w:p>
        </w:tc>
        <w:tc>
          <w:tcPr>
            <w:tcW w:w="1215" w:type="dxa"/>
            <w:vAlign w:val="top"/>
            <w:tcBorders>
              <w:bottom w:val="single" w:color="00000A" w:sz="10" w:space="0"/>
            </w:tcBorders>
          </w:tcPr>
          <w:p>
            <w:pPr>
              <w:ind w:left="372"/>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80-95</w:t>
            </w:r>
          </w:p>
        </w:tc>
        <w:tc>
          <w:tcPr>
            <w:tcW w:w="1093" w:type="dxa"/>
            <w:vAlign w:val="top"/>
            <w:tcBorders>
              <w:bottom w:val="single" w:color="00000A" w:sz="10" w:space="0"/>
            </w:tcBorders>
          </w:tcPr>
          <w:p>
            <w:pPr>
              <w:ind w:left="259"/>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90-110</w:t>
            </w:r>
          </w:p>
        </w:tc>
        <w:tc>
          <w:tcPr>
            <w:tcW w:w="1091" w:type="dxa"/>
            <w:vAlign w:val="top"/>
            <w:tcBorders>
              <w:bottom w:val="single" w:color="00000A" w:sz="10" w:space="0"/>
            </w:tcBorders>
          </w:tcPr>
          <w:p>
            <w:pPr>
              <w:ind w:left="258"/>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85-100</w:t>
            </w:r>
          </w:p>
        </w:tc>
        <w:tc>
          <w:tcPr>
            <w:tcW w:w="1216" w:type="dxa"/>
            <w:vAlign w:val="top"/>
            <w:tcBorders>
              <w:bottom w:val="single" w:color="00000A" w:sz="10" w:space="0"/>
              <w:right w:val="nil"/>
            </w:tcBorders>
          </w:tcPr>
          <w:p>
            <w:pPr>
              <w:ind w:left="324"/>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85-100</w:t>
            </w:r>
          </w:p>
        </w:tc>
      </w:tr>
    </w:tbl>
    <w:p>
      <w:pPr>
        <w:pStyle w:val="BodyText"/>
        <w:spacing w:line="371" w:lineRule="auto"/>
        <w:rPr/>
      </w:pPr>
      <w:r/>
    </w:p>
    <w:p>
      <w:pPr>
        <w:ind w:left="511"/>
        <w:spacing w:before="78" w:line="224"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4</w:t>
      </w:r>
      <w:r>
        <w:rPr>
          <w:rFonts w:ascii="FangSong" w:hAnsi="FangSong" w:eastAsia="FangSong" w:cs="FangSong"/>
          <w:sz w:val="24"/>
          <w:szCs w:val="24"/>
          <w:spacing w:val="-5"/>
        </w:rPr>
        <w:t>）固废</w:t>
      </w:r>
    </w:p>
    <w:p>
      <w:pPr>
        <w:ind w:left="40" w:right="203" w:firstLine="466"/>
        <w:spacing w:before="174" w:line="359" w:lineRule="auto"/>
        <w:rPr>
          <w:rFonts w:ascii="FangSong" w:hAnsi="FangSong" w:eastAsia="FangSong" w:cs="FangSong"/>
          <w:sz w:val="24"/>
          <w:szCs w:val="24"/>
        </w:rPr>
      </w:pPr>
      <w:r>
        <w:rPr>
          <w:rFonts w:ascii="FangSong" w:hAnsi="FangSong" w:eastAsia="FangSong" w:cs="FangSong"/>
          <w:sz w:val="24"/>
          <w:szCs w:val="24"/>
          <w:spacing w:val="1"/>
        </w:rPr>
        <w:t>项目施工期产生的固废主要为施工废石、剥离表土、施工建筑垃圾及施工人员</w:t>
      </w:r>
      <w:r>
        <w:rPr>
          <w:rFonts w:ascii="FangSong" w:hAnsi="FangSong" w:eastAsia="FangSong" w:cs="FangSong"/>
          <w:sz w:val="24"/>
          <w:szCs w:val="24"/>
          <w:spacing w:val="-6"/>
        </w:rPr>
        <w:t>生活垃圾。</w:t>
      </w:r>
    </w:p>
    <w:p>
      <w:pPr>
        <w:ind w:left="499"/>
        <w:spacing w:before="1" w:line="221"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15"/>
        </w:rPr>
        <w:t xml:space="preserve"> </w:t>
      </w:r>
      <w:r>
        <w:rPr>
          <w:rFonts w:ascii="FangSong" w:hAnsi="FangSong" w:eastAsia="FangSong" w:cs="FangSong"/>
          <w:sz w:val="24"/>
          <w:szCs w:val="24"/>
          <w:spacing w:val="-5"/>
        </w:rPr>
        <w:t>建筑垃圾</w:t>
      </w:r>
    </w:p>
    <w:p>
      <w:pPr>
        <w:ind w:left="28" w:firstLine="477"/>
        <w:spacing w:before="180" w:line="359" w:lineRule="auto"/>
        <w:rPr>
          <w:rFonts w:ascii="FangSong" w:hAnsi="FangSong" w:eastAsia="FangSong" w:cs="FangSong"/>
          <w:sz w:val="24"/>
          <w:szCs w:val="24"/>
        </w:rPr>
      </w:pPr>
      <w:r>
        <w:rPr>
          <w:rFonts w:ascii="FangSong" w:hAnsi="FangSong" w:eastAsia="FangSong" w:cs="FangSong"/>
          <w:sz w:val="24"/>
          <w:szCs w:val="24"/>
          <w:spacing w:val="1"/>
        </w:rPr>
        <w:t>施工垃圾主要是施工过程产生建筑垃圾及剩余建筑材料等，建筑垃圾集中收集</w:t>
      </w:r>
      <w:r>
        <w:rPr>
          <w:rFonts w:ascii="FangSong" w:hAnsi="FangSong" w:eastAsia="FangSong" w:cs="FangSong"/>
          <w:sz w:val="24"/>
          <w:szCs w:val="24"/>
          <w:spacing w:val="-3"/>
        </w:rPr>
        <w:t>后统一</w:t>
      </w:r>
      <w:r>
        <w:rPr>
          <w:rFonts w:ascii="FangSong" w:hAnsi="FangSong" w:eastAsia="FangSong" w:cs="FangSong"/>
          <w:sz w:val="24"/>
          <w:szCs w:val="24"/>
          <w:spacing w:val="-3"/>
        </w:rPr>
        <w:t xml:space="preserve"> </w:t>
      </w:r>
      <w:r>
        <w:rPr>
          <w:rFonts w:ascii="FangSong" w:hAnsi="FangSong" w:eastAsia="FangSong" w:cs="FangSong"/>
          <w:sz w:val="24"/>
          <w:szCs w:val="24"/>
          <w:spacing w:val="-3"/>
        </w:rPr>
        <w:t>运至当地建筑垃圾填埋场处理，对周边环境卫生和景观及人群</w:t>
      </w:r>
      <w:r>
        <w:rPr>
          <w:rFonts w:ascii="FangSong" w:hAnsi="FangSong" w:eastAsia="FangSong" w:cs="FangSong"/>
          <w:sz w:val="24"/>
          <w:szCs w:val="24"/>
          <w:spacing w:val="-4"/>
        </w:rPr>
        <w:t>产生影响较小。</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8"/>
        </w:rPr>
        <w:t>②</w:t>
      </w:r>
      <w:r>
        <w:rPr>
          <w:rFonts w:ascii="FangSong" w:hAnsi="FangSong" w:eastAsia="FangSong" w:cs="FangSong"/>
          <w:sz w:val="24"/>
          <w:szCs w:val="24"/>
          <w:spacing w:val="31"/>
        </w:rPr>
        <w:t xml:space="preserve"> </w:t>
      </w:r>
      <w:r>
        <w:rPr>
          <w:rFonts w:ascii="FangSong" w:hAnsi="FangSong" w:eastAsia="FangSong" w:cs="FangSong"/>
          <w:sz w:val="24"/>
          <w:szCs w:val="24"/>
          <w:spacing w:val="-8"/>
        </w:rPr>
        <w:t>生活垃圾</w:t>
      </w:r>
    </w:p>
    <w:p>
      <w:pPr>
        <w:ind w:left="26" w:right="103" w:firstLine="479"/>
        <w:spacing w:before="179" w:line="358" w:lineRule="auto"/>
        <w:rPr>
          <w:rFonts w:ascii="FangSong" w:hAnsi="FangSong" w:eastAsia="FangSong" w:cs="FangSong"/>
          <w:sz w:val="24"/>
          <w:szCs w:val="24"/>
        </w:rPr>
      </w:pPr>
      <w:r>
        <w:rPr>
          <w:rFonts w:ascii="FangSong" w:hAnsi="FangSong" w:eastAsia="FangSong" w:cs="FangSong"/>
          <w:sz w:val="24"/>
          <w:szCs w:val="24"/>
          <w:spacing w:val="1"/>
        </w:rPr>
        <w:t>施工人员生活垃圾收集至垃圾箱后，委托环卫部门处理。本项目施工人员最大</w:t>
      </w:r>
      <w:r>
        <w:rPr>
          <w:rFonts w:ascii="FangSong" w:hAnsi="FangSong" w:eastAsia="FangSong" w:cs="FangSong"/>
          <w:sz w:val="24"/>
          <w:szCs w:val="24"/>
          <w:spacing w:val="-3"/>
        </w:rPr>
        <w:t>按</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3"/>
        </w:rPr>
        <w:t>人计算，本项目设置施工营地，施工人员驻场建设，参考《社会区域类环</w:t>
      </w:r>
      <w:r>
        <w:rPr>
          <w:rFonts w:ascii="FangSong" w:hAnsi="FangSong" w:eastAsia="FangSong" w:cs="FangSong"/>
          <w:sz w:val="24"/>
          <w:szCs w:val="24"/>
          <w:spacing w:val="-4"/>
        </w:rPr>
        <w:t>境影</w:t>
      </w:r>
      <w:r>
        <w:rPr>
          <w:rFonts w:ascii="FangSong" w:hAnsi="FangSong" w:eastAsia="FangSong" w:cs="FangSong"/>
          <w:sz w:val="24"/>
          <w:szCs w:val="24"/>
          <w:spacing w:val="-4"/>
        </w:rPr>
        <w:t>响评价》（中国环境科学出版社）中我国目前城市人均生活垃圾为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4"/>
        </w:rPr>
        <w:t>0.8-1.5kg/</w:t>
      </w:r>
      <w:r>
        <w:rPr>
          <w:rFonts w:ascii="FangSong" w:hAnsi="FangSong" w:eastAsia="FangSong" w:cs="FangSong"/>
          <w:sz w:val="24"/>
          <w:szCs w:val="24"/>
          <w:spacing w:val="-4"/>
        </w:rPr>
        <w:t>（人</w:t>
      </w:r>
      <w:r>
        <w:rPr>
          <w:rFonts w:ascii="Times New Roman" w:hAnsi="Times New Roman" w:eastAsia="Times New Roman" w:cs="Times New Roman"/>
          <w:sz w:val="24"/>
          <w:szCs w:val="24"/>
          <w:spacing w:val="-4"/>
        </w:rPr>
        <w:t>•d</w:t>
      </w:r>
      <w:r>
        <w:rPr>
          <w:rFonts w:ascii="FangSong" w:hAnsi="FangSong" w:eastAsia="FangSong" w:cs="FangSong"/>
          <w:sz w:val="24"/>
          <w:szCs w:val="24"/>
          <w:spacing w:val="-4"/>
        </w:rPr>
        <w:t>）</w:t>
      </w:r>
      <w:r>
        <w:rPr>
          <w:rFonts w:ascii="FangSong" w:hAnsi="FangSong" w:eastAsia="FangSong" w:cs="FangSong"/>
          <w:sz w:val="24"/>
          <w:szCs w:val="24"/>
          <w:spacing w:val="-1"/>
        </w:rPr>
        <w:t>进行取值，项</w:t>
      </w:r>
      <w:r>
        <w:rPr>
          <w:rFonts w:ascii="FangSong" w:hAnsi="FangSong" w:eastAsia="FangSong" w:cs="FangSong"/>
          <w:sz w:val="24"/>
          <w:szCs w:val="24"/>
          <w:spacing w:val="64"/>
        </w:rPr>
        <w:t xml:space="preserve"> </w:t>
      </w:r>
      <w:r>
        <w:rPr>
          <w:rFonts w:ascii="FangSong" w:hAnsi="FangSong" w:eastAsia="FangSong" w:cs="FangSong"/>
          <w:sz w:val="24"/>
          <w:szCs w:val="24"/>
          <w:spacing w:val="-1"/>
        </w:rPr>
        <w:t>目施工期生活垃圾产生量按</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1.5kg</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
        </w:rPr>
        <w:t>人</w:t>
      </w:r>
      <w:r>
        <w:rPr>
          <w:rFonts w:ascii="Times New Roman" w:hAnsi="Times New Roman" w:eastAsia="Times New Roman" w:cs="Times New Roman"/>
          <w:sz w:val="24"/>
          <w:szCs w:val="24"/>
          <w:spacing w:val="-1"/>
        </w:rPr>
        <w:t>•d  </w:t>
      </w:r>
      <w:r>
        <w:rPr>
          <w:rFonts w:ascii="FangSong" w:hAnsi="FangSong" w:eastAsia="FangSong" w:cs="FangSong"/>
          <w:sz w:val="24"/>
          <w:szCs w:val="24"/>
          <w:spacing w:val="-1"/>
        </w:rPr>
        <w:t>计，则项目施工期垃圾产生</w:t>
      </w:r>
      <w:r>
        <w:rPr>
          <w:rFonts w:ascii="FangSong" w:hAnsi="FangSong" w:eastAsia="FangSong" w:cs="FangSong"/>
          <w:sz w:val="24"/>
          <w:szCs w:val="24"/>
          <w:spacing w:val="-3"/>
        </w:rPr>
        <w:t>量为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0.075t/d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，产生总量为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40.5t</w:t>
      </w:r>
      <w:r>
        <w:rPr>
          <w:rFonts w:ascii="FangSong" w:hAnsi="FangSong" w:eastAsia="FangSong" w:cs="FangSong"/>
          <w:sz w:val="24"/>
          <w:szCs w:val="24"/>
          <w:spacing w:val="-3"/>
        </w:rPr>
        <w:t>（施工期按</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540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天计）。</w:t>
      </w:r>
    </w:p>
    <w:p>
      <w:pPr>
        <w:spacing w:line="358" w:lineRule="auto"/>
        <w:sectPr>
          <w:headerReference w:type="default" r:id="rId166"/>
          <w:footerReference w:type="default" r:id="rId167"/>
          <w:pgSz w:w="11911" w:h="16839"/>
          <w:pgMar w:top="1140" w:right="1215" w:bottom="1146" w:left="1786" w:header="1130" w:footer="984" w:gutter="0"/>
        </w:sectPr>
        <w:rPr>
          <w:rFonts w:ascii="FangSong" w:hAnsi="FangSong" w:eastAsia="FangSong" w:cs="FangSong"/>
          <w:sz w:val="24"/>
          <w:szCs w:val="24"/>
        </w:rPr>
      </w:pPr>
    </w:p>
    <w:p>
      <w:pPr>
        <w:ind w:left="511"/>
        <w:spacing w:before="312"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）施工废石及剥离表土</w:t>
      </w:r>
    </w:p>
    <w:p>
      <w:pPr>
        <w:ind w:left="507"/>
        <w:spacing w:before="176" w:line="221" w:lineRule="auto"/>
        <w:rPr>
          <w:rFonts w:ascii="FangSong" w:hAnsi="FangSong" w:eastAsia="FangSong" w:cs="FangSong"/>
          <w:sz w:val="24"/>
          <w:szCs w:val="24"/>
        </w:rPr>
      </w:pPr>
      <w:r>
        <w:rPr>
          <w:rFonts w:ascii="FangSong" w:hAnsi="FangSong" w:eastAsia="FangSong" w:cs="FangSong"/>
          <w:sz w:val="24"/>
          <w:szCs w:val="24"/>
          <w:spacing w:val="-2"/>
        </w:rPr>
        <w:t>本项目进行井巷掘进产生基建废石约</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2"/>
        </w:rPr>
        <w:t>5400m</w:t>
      </w:r>
      <w:r>
        <w:rPr>
          <w:rFonts w:ascii="Times New Roman" w:hAnsi="Times New Roman" w:eastAsia="Times New Roman" w:cs="Times New Roman"/>
          <w:sz w:val="15"/>
          <w:szCs w:val="15"/>
          <w:spacing w:val="-2"/>
          <w:position w:val="8"/>
        </w:rPr>
        <w:t>3 </w:t>
      </w:r>
      <w:r>
        <w:rPr>
          <w:rFonts w:ascii="FangSong" w:hAnsi="FangSong" w:eastAsia="FangSong" w:cs="FangSong"/>
          <w:sz w:val="24"/>
          <w:szCs w:val="24"/>
          <w:spacing w:val="-2"/>
        </w:rPr>
        <w:t>，用于井下回填空区。</w:t>
      </w:r>
    </w:p>
    <w:p>
      <w:pPr>
        <w:ind w:left="15" w:right="62" w:firstLine="491"/>
        <w:spacing w:before="181" w:line="359" w:lineRule="auto"/>
        <w:rPr>
          <w:rFonts w:ascii="FangSong" w:hAnsi="FangSong" w:eastAsia="FangSong" w:cs="FangSong"/>
          <w:sz w:val="24"/>
          <w:szCs w:val="24"/>
        </w:rPr>
      </w:pPr>
      <w:r>
        <w:rPr>
          <w:rFonts w:ascii="FangSong" w:hAnsi="FangSong" w:eastAsia="FangSong" w:cs="FangSong"/>
          <w:sz w:val="24"/>
          <w:szCs w:val="24"/>
          <w:spacing w:val="1"/>
        </w:rPr>
        <w:t>项目进行工业广场、矿区道路、办公生活区建设进行表土剥离，剥离表土平均</w:t>
      </w:r>
      <w:r>
        <w:rPr>
          <w:rFonts w:ascii="FangSong" w:hAnsi="FangSong" w:eastAsia="FangSong" w:cs="FangSong"/>
          <w:sz w:val="24"/>
          <w:szCs w:val="24"/>
          <w:spacing w:val="-4"/>
        </w:rPr>
        <w:t>厚度为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0.30m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，拟剥离面积为</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42024m2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，共剥离表土量为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12607.2m</w:t>
      </w:r>
      <w:r>
        <w:rPr>
          <w:rFonts w:ascii="Times New Roman" w:hAnsi="Times New Roman" w:eastAsia="Times New Roman" w:cs="Times New Roman"/>
          <w:sz w:val="15"/>
          <w:szCs w:val="15"/>
          <w:spacing w:val="-4"/>
          <w:position w:val="8"/>
        </w:rPr>
        <w:t>3 </w:t>
      </w:r>
      <w:r>
        <w:rPr>
          <w:rFonts w:ascii="FangSong" w:hAnsi="FangSong" w:eastAsia="FangSong" w:cs="FangSong"/>
          <w:sz w:val="24"/>
          <w:szCs w:val="24"/>
          <w:spacing w:val="-4"/>
        </w:rPr>
        <w:t>，将剥离的表土</w:t>
      </w:r>
      <w:r>
        <w:rPr>
          <w:rFonts w:ascii="FangSong" w:hAnsi="FangSong" w:eastAsia="FangSong" w:cs="FangSong"/>
          <w:sz w:val="24"/>
          <w:szCs w:val="24"/>
        </w:rPr>
        <w:t>用于基建期结束后场地平整覆土（回填量为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rPr>
        <w:t>3967.2m</w:t>
      </w:r>
      <w:r>
        <w:rPr>
          <w:rFonts w:ascii="Times New Roman" w:hAnsi="Times New Roman" w:eastAsia="Times New Roman" w:cs="Times New Roman"/>
          <w:sz w:val="15"/>
          <w:szCs w:val="15"/>
          <w:position w:val="8"/>
        </w:rPr>
        <w:t>3 </w:t>
      </w:r>
      <w:r>
        <w:rPr>
          <w:rFonts w:ascii="FangSong" w:hAnsi="FangSong" w:eastAsia="FangSong" w:cs="FangSong"/>
          <w:sz w:val="24"/>
          <w:szCs w:val="24"/>
          <w:spacing w:val="-7"/>
        </w:rPr>
        <w:t>），</w:t>
      </w:r>
      <w:r>
        <w:rPr>
          <w:rFonts w:ascii="FangSong" w:hAnsi="FangSong" w:eastAsia="FangSong" w:cs="FangSong"/>
          <w:sz w:val="24"/>
          <w:szCs w:val="24"/>
        </w:rPr>
        <w:t>余下的表土</w:t>
      </w:r>
      <w:r>
        <w:rPr>
          <w:rFonts w:ascii="FangSong" w:hAnsi="FangSong" w:eastAsia="FangSong" w:cs="FangSong"/>
          <w:sz w:val="24"/>
          <w:szCs w:val="24"/>
          <w:spacing w:val="-1"/>
        </w:rPr>
        <w:t>堆存于表土堆</w:t>
      </w:r>
      <w:r>
        <w:rPr>
          <w:rFonts w:ascii="FangSong" w:hAnsi="FangSong" w:eastAsia="FangSong" w:cs="FangSong"/>
          <w:sz w:val="24"/>
          <w:szCs w:val="24"/>
          <w:spacing w:val="-3"/>
        </w:rPr>
        <w:t>场中用于闭矿期后的矿山环境恢复治理。基建产生土石方挖方量</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2521</w:t>
      </w:r>
      <w:r>
        <w:rPr>
          <w:rFonts w:ascii="Times New Roman" w:hAnsi="Times New Roman" w:eastAsia="Times New Roman" w:cs="Times New Roman"/>
          <w:sz w:val="24"/>
          <w:szCs w:val="24"/>
          <w:spacing w:val="-4"/>
        </w:rPr>
        <w:t>4.4m</w:t>
      </w:r>
      <w:r>
        <w:rPr>
          <w:rFonts w:ascii="Times New Roman" w:hAnsi="Times New Roman" w:eastAsia="Times New Roman" w:cs="Times New Roman"/>
          <w:sz w:val="15"/>
          <w:szCs w:val="15"/>
          <w:spacing w:val="-4"/>
          <w:position w:val="7"/>
        </w:rPr>
        <w:t>3 </w:t>
      </w:r>
      <w:r>
        <w:rPr>
          <w:rFonts w:ascii="FangSong" w:hAnsi="FangSong" w:eastAsia="FangSong" w:cs="FangSong"/>
          <w:sz w:val="24"/>
          <w:szCs w:val="24"/>
          <w:spacing w:val="-4"/>
        </w:rPr>
        <w:t>，回填量</w:t>
      </w:r>
      <w:r>
        <w:rPr>
          <w:rFonts w:ascii="Times New Roman" w:hAnsi="Times New Roman" w:eastAsia="Times New Roman" w:cs="Times New Roman"/>
          <w:sz w:val="24"/>
          <w:szCs w:val="24"/>
          <w:spacing w:val="-2"/>
        </w:rPr>
        <w:t>25214.4m</w:t>
      </w:r>
      <w:r>
        <w:rPr>
          <w:rFonts w:ascii="Times New Roman" w:hAnsi="Times New Roman" w:eastAsia="Times New Roman" w:cs="Times New Roman"/>
          <w:sz w:val="15"/>
          <w:szCs w:val="15"/>
          <w:spacing w:val="-2"/>
          <w:position w:val="8"/>
        </w:rPr>
        <w:t>3 </w:t>
      </w:r>
      <w:r>
        <w:rPr>
          <w:rFonts w:ascii="FangSong" w:hAnsi="FangSong" w:eastAsia="FangSong" w:cs="FangSong"/>
          <w:sz w:val="24"/>
          <w:szCs w:val="24"/>
          <w:spacing w:val="-2"/>
        </w:rPr>
        <w:t>，无余方。因此，各类固废处理措施可行，去向明确，不会对环境造成二</w:t>
      </w:r>
      <w:r>
        <w:rPr>
          <w:rFonts w:ascii="FangSong" w:hAnsi="FangSong" w:eastAsia="FangSong" w:cs="FangSong"/>
          <w:sz w:val="24"/>
          <w:szCs w:val="24"/>
          <w:spacing w:val="-2"/>
        </w:rPr>
        <w:t>次污染。</w:t>
      </w:r>
    </w:p>
    <w:p>
      <w:pPr>
        <w:ind w:left="511"/>
        <w:spacing w:before="1" w:line="225"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5</w:t>
      </w:r>
      <w:r>
        <w:rPr>
          <w:rFonts w:ascii="FangSong" w:hAnsi="FangSong" w:eastAsia="FangSong" w:cs="FangSong"/>
          <w:sz w:val="24"/>
          <w:szCs w:val="24"/>
          <w:spacing w:val="-5"/>
        </w:rPr>
        <w:t>）生态</w:t>
      </w:r>
    </w:p>
    <w:p>
      <w:pPr>
        <w:ind w:left="27" w:right="63" w:firstLine="480"/>
        <w:spacing w:before="173" w:line="359" w:lineRule="auto"/>
        <w:rPr>
          <w:rFonts w:ascii="FangSong" w:hAnsi="FangSong" w:eastAsia="FangSong" w:cs="FangSong"/>
          <w:sz w:val="24"/>
          <w:szCs w:val="24"/>
        </w:rPr>
      </w:pPr>
      <w:r>
        <w:rPr>
          <w:rFonts w:ascii="FangSong" w:hAnsi="FangSong" w:eastAsia="FangSong" w:cs="FangSong"/>
          <w:sz w:val="24"/>
          <w:szCs w:val="24"/>
          <w:spacing w:val="1"/>
        </w:rPr>
        <w:t>本项目永久占地范围内土地利用现状为天然牧草地和农村道路，施工期临时占</w:t>
      </w:r>
      <w:r>
        <w:rPr>
          <w:rFonts w:ascii="FangSong" w:hAnsi="FangSong" w:eastAsia="FangSong" w:cs="FangSong"/>
          <w:sz w:val="24"/>
          <w:szCs w:val="24"/>
          <w:spacing w:val="-1"/>
        </w:rPr>
        <w:t>地均位于永久占地内，</w:t>
      </w:r>
      <w:r>
        <w:rPr>
          <w:rFonts w:ascii="FangSong" w:hAnsi="FangSong" w:eastAsia="FangSong" w:cs="FangSong"/>
          <w:sz w:val="24"/>
          <w:szCs w:val="24"/>
          <w:spacing w:val="-45"/>
        </w:rPr>
        <w:t xml:space="preserve"> </w:t>
      </w:r>
      <w:r>
        <w:rPr>
          <w:rFonts w:ascii="FangSong" w:hAnsi="FangSong" w:eastAsia="FangSong" w:cs="FangSong"/>
          <w:sz w:val="24"/>
          <w:szCs w:val="24"/>
          <w:spacing w:val="-1"/>
        </w:rPr>
        <w:t>占用的草地将遭到破坏，地面植被也将不复存在，地面形态</w:t>
      </w:r>
      <w:r>
        <w:rPr>
          <w:rFonts w:ascii="FangSong" w:hAnsi="FangSong" w:eastAsia="FangSong" w:cs="FangSong"/>
          <w:sz w:val="24"/>
          <w:szCs w:val="24"/>
          <w:spacing w:val="-1"/>
        </w:rPr>
        <w:t>也将发生改变，对周边生态环境造成一定影响。</w:t>
      </w:r>
    </w:p>
    <w:p>
      <w:pPr>
        <w:ind w:left="499"/>
        <w:spacing w:line="221"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对水土流失的影响</w:t>
      </w:r>
    </w:p>
    <w:p>
      <w:pPr>
        <w:ind w:left="26" w:right="63" w:firstLine="481"/>
        <w:spacing w:before="180" w:line="359" w:lineRule="auto"/>
        <w:rPr>
          <w:rFonts w:ascii="FangSong" w:hAnsi="FangSong" w:eastAsia="FangSong" w:cs="FangSong"/>
          <w:sz w:val="24"/>
          <w:szCs w:val="24"/>
        </w:rPr>
      </w:pPr>
      <w:r>
        <w:rPr>
          <w:rFonts w:ascii="FangSong" w:hAnsi="FangSong" w:eastAsia="FangSong" w:cs="FangSong"/>
          <w:sz w:val="24"/>
          <w:szCs w:val="24"/>
          <w:spacing w:val="1"/>
        </w:rPr>
        <w:t>项目建设期活动将破坏占地范围内的少量地表植被，造成地面、坡面裸露，使</w:t>
      </w:r>
      <w:r>
        <w:rPr>
          <w:rFonts w:ascii="FangSong" w:hAnsi="FangSong" w:eastAsia="FangSong" w:cs="FangSong"/>
          <w:sz w:val="24"/>
          <w:szCs w:val="24"/>
          <w:spacing w:val="-2"/>
        </w:rPr>
        <w:t>得水土</w:t>
      </w:r>
      <w:r>
        <w:rPr>
          <w:rFonts w:ascii="FangSong" w:hAnsi="FangSong" w:eastAsia="FangSong" w:cs="FangSong"/>
          <w:sz w:val="24"/>
          <w:szCs w:val="24"/>
          <w:spacing w:val="-2"/>
        </w:rPr>
        <w:t xml:space="preserve"> </w:t>
      </w:r>
      <w:r>
        <w:rPr>
          <w:rFonts w:ascii="FangSong" w:hAnsi="FangSong" w:eastAsia="FangSong" w:cs="FangSong"/>
          <w:sz w:val="24"/>
          <w:szCs w:val="24"/>
          <w:spacing w:val="-2"/>
        </w:rPr>
        <w:t>流失加剧。主井和通风井的建设占用地面，减少少量植被面</w:t>
      </w:r>
      <w:r>
        <w:rPr>
          <w:rFonts w:ascii="FangSong" w:hAnsi="FangSong" w:eastAsia="FangSong" w:cs="FangSong"/>
          <w:sz w:val="24"/>
          <w:szCs w:val="24"/>
          <w:spacing w:val="-3"/>
        </w:rPr>
        <w:t>积，压坏土壤结</w:t>
      </w:r>
      <w:r>
        <w:rPr>
          <w:rFonts w:ascii="FangSong" w:hAnsi="FangSong" w:eastAsia="FangSong" w:cs="FangSong"/>
          <w:sz w:val="24"/>
          <w:szCs w:val="24"/>
          <w:spacing w:val="1"/>
        </w:rPr>
        <w:t>构，使土壤板结，透气性和保水性变差，不利于植物的生长发育，施工活动对土壤</w:t>
      </w:r>
      <w:r>
        <w:rPr>
          <w:rFonts w:ascii="FangSong" w:hAnsi="FangSong" w:eastAsia="FangSong" w:cs="FangSong"/>
          <w:sz w:val="24"/>
          <w:szCs w:val="24"/>
          <w:spacing w:val="1"/>
        </w:rPr>
        <w:t>层次、结构、性质、肥力等破坏，在雨季时将会加剧水土流失，对生态环境造成一</w:t>
      </w:r>
      <w:r>
        <w:rPr>
          <w:rFonts w:ascii="FangSong" w:hAnsi="FangSong" w:eastAsia="FangSong" w:cs="FangSong"/>
          <w:sz w:val="24"/>
          <w:szCs w:val="24"/>
          <w:spacing w:val="-4"/>
        </w:rPr>
        <w:t>定的影响。</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19"/>
        </w:rPr>
        <w:t xml:space="preserve"> </w:t>
      </w:r>
      <w:r>
        <w:rPr>
          <w:rFonts w:ascii="FangSong" w:hAnsi="FangSong" w:eastAsia="FangSong" w:cs="FangSong"/>
          <w:sz w:val="24"/>
          <w:szCs w:val="24"/>
          <w:spacing w:val="-4"/>
        </w:rPr>
        <w:t>对植被的影响</w:t>
      </w:r>
    </w:p>
    <w:p>
      <w:pPr>
        <w:ind w:left="26" w:right="65" w:firstLine="480"/>
        <w:spacing w:before="181" w:line="359" w:lineRule="auto"/>
        <w:rPr>
          <w:rFonts w:ascii="FangSong" w:hAnsi="FangSong" w:eastAsia="FangSong" w:cs="FangSong"/>
          <w:sz w:val="24"/>
          <w:szCs w:val="24"/>
        </w:rPr>
      </w:pPr>
      <w:r>
        <w:rPr>
          <w:rFonts w:ascii="FangSong" w:hAnsi="FangSong" w:eastAsia="FangSong" w:cs="FangSong"/>
          <w:sz w:val="24"/>
          <w:szCs w:val="24"/>
          <w:spacing w:val="1"/>
        </w:rPr>
        <w:t>施工期植被破坏主要表现为开采主井、通风井、选矿场等工业广场及其附属设</w:t>
      </w:r>
      <w:r>
        <w:rPr>
          <w:rFonts w:ascii="FangSong" w:hAnsi="FangSong" w:eastAsia="FangSong" w:cs="FangSong"/>
          <w:sz w:val="24"/>
          <w:szCs w:val="24"/>
          <w:spacing w:val="-1"/>
        </w:rPr>
        <w:t>施和办公生活区、道路建设的压占破坏。</w:t>
      </w:r>
    </w:p>
    <w:p>
      <w:pPr>
        <w:ind w:left="27" w:firstLine="484"/>
        <w:spacing w:line="359" w:lineRule="auto"/>
        <w:jc w:val="both"/>
        <w:rPr>
          <w:rFonts w:ascii="FangSong" w:hAnsi="FangSong" w:eastAsia="FangSong" w:cs="FangSong"/>
          <w:sz w:val="24"/>
          <w:szCs w:val="24"/>
        </w:rPr>
      </w:pPr>
      <w:r>
        <w:rPr>
          <w:rFonts w:ascii="FangSong" w:hAnsi="FangSong" w:eastAsia="FangSong" w:cs="FangSong"/>
          <w:sz w:val="24"/>
          <w:szCs w:val="24"/>
          <w:spacing w:val="1"/>
        </w:rPr>
        <w:t>工程永久占地对地表植被的清除会对植被产生影响。永久占地造成原有植被生</w:t>
      </w:r>
      <w:r>
        <w:rPr>
          <w:rFonts w:ascii="FangSong" w:hAnsi="FangSong" w:eastAsia="FangSong" w:cs="FangSong"/>
          <w:sz w:val="24"/>
          <w:szCs w:val="24"/>
          <w:spacing w:val="1"/>
        </w:rPr>
        <w:t>态功能丧失，植被生物量损失，为直接的、不可逆的影响。从占用植被的重要性来</w:t>
      </w:r>
      <w:r>
        <w:rPr>
          <w:rFonts w:ascii="FangSong" w:hAnsi="FangSong" w:eastAsia="FangSong" w:cs="FangSong"/>
          <w:sz w:val="24"/>
          <w:szCs w:val="24"/>
          <w:spacing w:val="-4"/>
        </w:rPr>
        <w:t>看，占用的植被主要以天然牧草地为主，对评价区植物物种多样性影响不大；此外，</w:t>
      </w:r>
      <w:r>
        <w:rPr>
          <w:rFonts w:ascii="FangSong" w:hAnsi="FangSong" w:eastAsia="FangSong" w:cs="FangSong"/>
          <w:sz w:val="24"/>
          <w:szCs w:val="24"/>
          <w:spacing w:val="-1"/>
        </w:rPr>
        <w:t>永久占地植被可通过工程本身绿化得到一定程度的补偿。</w:t>
      </w:r>
    </w:p>
    <w:p>
      <w:pPr>
        <w:ind w:left="26" w:right="63" w:firstLine="483"/>
        <w:spacing w:before="2" w:line="359" w:lineRule="auto"/>
        <w:jc w:val="both"/>
        <w:rPr>
          <w:rFonts w:ascii="FangSong" w:hAnsi="FangSong" w:eastAsia="FangSong" w:cs="FangSong"/>
          <w:sz w:val="24"/>
          <w:szCs w:val="24"/>
        </w:rPr>
      </w:pPr>
      <w:r>
        <w:rPr>
          <w:rFonts w:ascii="FangSong" w:hAnsi="FangSong" w:eastAsia="FangSong" w:cs="FangSong"/>
          <w:sz w:val="24"/>
          <w:szCs w:val="24"/>
          <w:spacing w:val="1"/>
        </w:rPr>
        <w:t>综上所述，项目建设占地及施工行为不可避免对评价区植被造成一定破坏，但</w:t>
      </w:r>
      <w:r>
        <w:rPr>
          <w:rFonts w:ascii="FangSong" w:hAnsi="FangSong" w:eastAsia="FangSong" w:cs="FangSong"/>
          <w:sz w:val="24"/>
          <w:szCs w:val="24"/>
          <w:spacing w:val="-1"/>
        </w:rPr>
        <w:t>项目占用草地面积较小，</w:t>
      </w:r>
      <w:r>
        <w:rPr>
          <w:rFonts w:ascii="FangSong" w:hAnsi="FangSong" w:eastAsia="FangSong" w:cs="FangSong"/>
          <w:sz w:val="24"/>
          <w:szCs w:val="24"/>
          <w:spacing w:val="-46"/>
        </w:rPr>
        <w:t xml:space="preserve"> </w:t>
      </w:r>
      <w:r>
        <w:rPr>
          <w:rFonts w:ascii="FangSong" w:hAnsi="FangSong" w:eastAsia="FangSong" w:cs="FangSong"/>
          <w:sz w:val="24"/>
          <w:szCs w:val="24"/>
          <w:spacing w:val="-1"/>
        </w:rPr>
        <w:t>占用植被以天然母草生地为主。因此，项目建设对评价区</w:t>
      </w:r>
      <w:r>
        <w:rPr>
          <w:rFonts w:ascii="FangSong" w:hAnsi="FangSong" w:eastAsia="FangSong" w:cs="FangSong"/>
          <w:sz w:val="24"/>
          <w:szCs w:val="24"/>
          <w:spacing w:val="1"/>
        </w:rPr>
        <w:t>植物物种多样性影响不大，不会导致评价区植物物种多样性的降低。项目区属于北</w:t>
      </w:r>
      <w:r>
        <w:rPr>
          <w:rFonts w:ascii="FangSong" w:hAnsi="FangSong" w:eastAsia="FangSong" w:cs="FangSong"/>
          <w:sz w:val="24"/>
          <w:szCs w:val="24"/>
          <w:spacing w:val="-1"/>
        </w:rPr>
        <w:t>温带大陆性季风气候，</w:t>
      </w:r>
      <w:r>
        <w:rPr>
          <w:rFonts w:ascii="FangSong" w:hAnsi="FangSong" w:eastAsia="FangSong" w:cs="FangSong"/>
          <w:sz w:val="24"/>
          <w:szCs w:val="24"/>
          <w:spacing w:val="-43"/>
        </w:rPr>
        <w:t xml:space="preserve"> </w:t>
      </w:r>
      <w:r>
        <w:rPr>
          <w:rFonts w:ascii="FangSong" w:hAnsi="FangSong" w:eastAsia="FangSong" w:cs="FangSong"/>
          <w:sz w:val="24"/>
          <w:szCs w:val="24"/>
          <w:spacing w:val="-1"/>
        </w:rPr>
        <w:t>自然环境稳定，适合植物的生长，永久占地可以通过绿化得</w:t>
      </w:r>
      <w:r>
        <w:rPr>
          <w:rFonts w:ascii="FangSong" w:hAnsi="FangSong" w:eastAsia="FangSong" w:cs="FangSong"/>
          <w:sz w:val="24"/>
          <w:szCs w:val="24"/>
          <w:spacing w:val="-3"/>
        </w:rPr>
        <w:t>到一定补偿。</w:t>
      </w:r>
    </w:p>
    <w:p>
      <w:pPr>
        <w:spacing w:line="359" w:lineRule="auto"/>
        <w:sectPr>
          <w:headerReference w:type="default" r:id="rId168"/>
          <w:footerReference w:type="default" r:id="rId169"/>
          <w:pgSz w:w="11911" w:h="16839"/>
          <w:pgMar w:top="1140" w:right="1352" w:bottom="1146" w:left="1786" w:header="113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6" w:right="96" w:firstLine="481"/>
        <w:spacing w:before="78" w:line="359" w:lineRule="auto"/>
        <w:jc w:val="both"/>
        <w:rPr>
          <w:rFonts w:ascii="FangSong" w:hAnsi="FangSong" w:eastAsia="FangSong" w:cs="FangSong"/>
          <w:sz w:val="24"/>
          <w:szCs w:val="24"/>
        </w:rPr>
      </w:pPr>
      <w:r>
        <w:rPr>
          <w:rFonts w:ascii="FangSong" w:hAnsi="FangSong" w:eastAsia="FangSong" w:cs="FangSong"/>
          <w:sz w:val="24"/>
          <w:szCs w:val="24"/>
          <w:spacing w:val="1"/>
        </w:rPr>
        <w:t>根据现场踏勘资料收集和咨询当地相关部门，项目永久占地范围周边无自然保</w:t>
      </w:r>
      <w:r>
        <w:rPr>
          <w:rFonts w:ascii="FangSong" w:hAnsi="FangSong" w:eastAsia="FangSong" w:cs="FangSong"/>
          <w:sz w:val="24"/>
          <w:szCs w:val="24"/>
          <w:spacing w:val="1"/>
        </w:rPr>
        <w:t>护区、风景名胜区、地质公园、文物古迹和文化遗产地等特殊及重要生态环境敏感</w:t>
      </w:r>
      <w:r>
        <w:rPr>
          <w:rFonts w:ascii="FangSong" w:hAnsi="FangSong" w:eastAsia="FangSong" w:cs="FangSong"/>
          <w:sz w:val="24"/>
          <w:szCs w:val="24"/>
          <w:spacing w:val="1"/>
        </w:rPr>
        <w:t>区分布；项目区域不涉及基本农田；项目不涉及基本草原，项目工程占用植被均为</w:t>
      </w:r>
      <w:r>
        <w:rPr>
          <w:rFonts w:ascii="FangSong" w:hAnsi="FangSong" w:eastAsia="FangSong" w:cs="FangSong"/>
          <w:sz w:val="24"/>
          <w:szCs w:val="24"/>
          <w:spacing w:val="1"/>
        </w:rPr>
        <w:t>天然牧草地，有极强的恢复能力，对区域植被的稳定性和环境服务能力影响的范围</w:t>
      </w:r>
      <w:r>
        <w:rPr>
          <w:rFonts w:ascii="FangSong" w:hAnsi="FangSong" w:eastAsia="FangSong" w:cs="FangSong"/>
          <w:sz w:val="24"/>
          <w:szCs w:val="24"/>
          <w:spacing w:val="-1"/>
        </w:rPr>
        <w:t>较小、程度不大，不会导致区域植被类型消失。</w:t>
      </w:r>
    </w:p>
    <w:p>
      <w:pPr>
        <w:ind w:left="498"/>
        <w:spacing w:before="1" w:line="220" w:lineRule="auto"/>
        <w:rPr>
          <w:rFonts w:ascii="FangSong" w:hAnsi="FangSong" w:eastAsia="FangSong" w:cs="FangSong"/>
          <w:sz w:val="24"/>
          <w:szCs w:val="24"/>
        </w:rPr>
      </w:pPr>
      <w:r>
        <w:rPr>
          <w:rFonts w:ascii="FangSong" w:hAnsi="FangSong" w:eastAsia="FangSong" w:cs="FangSong"/>
          <w:sz w:val="24"/>
          <w:szCs w:val="24"/>
          <w:spacing w:val="-4"/>
        </w:rPr>
        <w:t>④</w:t>
      </w:r>
      <w:r>
        <w:rPr>
          <w:rFonts w:ascii="FangSong" w:hAnsi="FangSong" w:eastAsia="FangSong" w:cs="FangSong"/>
          <w:sz w:val="24"/>
          <w:szCs w:val="24"/>
          <w:spacing w:val="19"/>
        </w:rPr>
        <w:t xml:space="preserve"> </w:t>
      </w:r>
      <w:r>
        <w:rPr>
          <w:rFonts w:ascii="FangSong" w:hAnsi="FangSong" w:eastAsia="FangSong" w:cs="FangSong"/>
          <w:sz w:val="24"/>
          <w:szCs w:val="24"/>
          <w:spacing w:val="-4"/>
        </w:rPr>
        <w:t>对动物的影响</w:t>
      </w:r>
    </w:p>
    <w:p>
      <w:pPr>
        <w:ind w:left="29" w:firstLine="478"/>
        <w:spacing w:before="180" w:line="359" w:lineRule="auto"/>
        <w:rPr>
          <w:rFonts w:ascii="FangSong" w:hAnsi="FangSong" w:eastAsia="FangSong" w:cs="FangSong"/>
          <w:sz w:val="24"/>
          <w:szCs w:val="24"/>
        </w:rPr>
      </w:pPr>
      <w:r>
        <w:rPr>
          <w:rFonts w:ascii="FangSong" w:hAnsi="FangSong" w:eastAsia="FangSong" w:cs="FangSong"/>
          <w:sz w:val="24"/>
          <w:szCs w:val="24"/>
          <w:spacing w:val="-3"/>
        </w:rPr>
        <w:t>根据生态现状调查，项目评价区无野生重点保护动物的天然集中生境（栖息地）</w:t>
      </w:r>
      <w:r>
        <w:rPr>
          <w:rFonts w:ascii="FangSong" w:hAnsi="FangSong" w:eastAsia="FangSong" w:cs="FangSong"/>
          <w:sz w:val="24"/>
          <w:szCs w:val="24"/>
          <w:spacing w:val="1"/>
        </w:rPr>
        <w:t>分布，不属野生动物集中分布区，无大型哺乳类动物通道分布。该区域野生动物现</w:t>
      </w:r>
      <w:r>
        <w:rPr>
          <w:rFonts w:ascii="FangSong" w:hAnsi="FangSong" w:eastAsia="FangSong" w:cs="FangSong"/>
          <w:sz w:val="24"/>
          <w:szCs w:val="24"/>
          <w:spacing w:val="1"/>
        </w:rPr>
        <w:t>存数量不多，动物种类组成比较简单，均为小型常见种类，相对常见的多为已适应</w:t>
      </w:r>
      <w:r>
        <w:rPr>
          <w:rFonts w:ascii="FangSong" w:hAnsi="FangSong" w:eastAsia="FangSong" w:cs="FangSong"/>
          <w:sz w:val="24"/>
          <w:szCs w:val="24"/>
          <w:spacing w:val="-1"/>
        </w:rPr>
        <w:t>人类活动影响的常见物种如哺乳类动物主要为鼠、青蛙等，爬行类主要为蛇类等。</w:t>
      </w:r>
    </w:p>
    <w:p>
      <w:pPr>
        <w:ind w:left="26" w:right="96" w:firstLine="485"/>
        <w:spacing w:line="359" w:lineRule="auto"/>
        <w:rPr>
          <w:rFonts w:ascii="FangSong" w:hAnsi="FangSong" w:eastAsia="FangSong" w:cs="FangSong"/>
          <w:sz w:val="24"/>
          <w:szCs w:val="24"/>
        </w:rPr>
      </w:pPr>
      <w:r>
        <w:rPr>
          <w:rFonts w:ascii="FangSong" w:hAnsi="FangSong" w:eastAsia="FangSong" w:cs="FangSong"/>
          <w:sz w:val="24"/>
          <w:szCs w:val="24"/>
          <w:spacing w:val="1"/>
        </w:rPr>
        <w:t>工程施工期间施工占地和施工行为对动物的影响表现为生境的占用、生境破坏</w:t>
      </w:r>
      <w:r>
        <w:rPr>
          <w:rFonts w:ascii="FangSong" w:hAnsi="FangSong" w:eastAsia="FangSong" w:cs="FangSong"/>
          <w:sz w:val="24"/>
          <w:szCs w:val="24"/>
          <w:spacing w:val="1"/>
        </w:rPr>
        <w:t>和活动的干扰，施工活动车辆和人群往来所带来的各种噪声，对生活在周围地区的</w:t>
      </w:r>
      <w:r>
        <w:rPr>
          <w:rFonts w:ascii="FangSong" w:hAnsi="FangSong" w:eastAsia="FangSong" w:cs="FangSong"/>
          <w:sz w:val="24"/>
          <w:szCs w:val="24"/>
          <w:spacing w:val="1"/>
        </w:rPr>
        <w:t>动物会产生不利影响。预计在施工期间，附近的部分动物因不能忍受噪声干扰而向</w:t>
      </w:r>
      <w:r>
        <w:rPr>
          <w:rFonts w:ascii="FangSong" w:hAnsi="FangSong" w:eastAsia="FangSong" w:cs="FangSong"/>
          <w:sz w:val="24"/>
          <w:szCs w:val="24"/>
          <w:spacing w:val="1"/>
        </w:rPr>
        <w:t>远离施工区的方向迁移，这对动物分布产生一定影响，从而使施工区四周地带动物</w:t>
      </w:r>
      <w:r>
        <w:rPr>
          <w:rFonts w:ascii="FangSong" w:hAnsi="FangSong" w:eastAsia="FangSong" w:cs="FangSong"/>
          <w:sz w:val="24"/>
          <w:szCs w:val="24"/>
          <w:spacing w:val="1"/>
        </w:rPr>
        <w:t>种类和数量减少，使区域动物多样性降低。但周边地区相同生境较多，动物可迁往</w:t>
      </w:r>
      <w:r>
        <w:rPr>
          <w:rFonts w:ascii="FangSong" w:hAnsi="FangSong" w:eastAsia="FangSong" w:cs="FangSong"/>
          <w:sz w:val="24"/>
          <w:szCs w:val="24"/>
          <w:spacing w:val="1"/>
        </w:rPr>
        <w:t>附近未受干扰区域，这种不利影响是暂时的，一旦施工结束，大部分区域可以恢复</w:t>
      </w:r>
      <w:r>
        <w:rPr>
          <w:rFonts w:ascii="FangSong" w:hAnsi="FangSong" w:eastAsia="FangSong" w:cs="FangSong"/>
          <w:sz w:val="24"/>
          <w:szCs w:val="24"/>
          <w:spacing w:val="-2"/>
        </w:rPr>
        <w:t>到原来分布状况。</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1"/>
        </w:rPr>
        <w:t>⑤</w:t>
      </w:r>
      <w:r>
        <w:rPr>
          <w:rFonts w:ascii="FangSong" w:hAnsi="FangSong" w:eastAsia="FangSong" w:cs="FangSong"/>
          <w:sz w:val="24"/>
          <w:szCs w:val="24"/>
          <w:spacing w:val="-1"/>
        </w:rPr>
        <w:t xml:space="preserve"> </w:t>
      </w:r>
      <w:r>
        <w:rPr>
          <w:rFonts w:ascii="FangSong" w:hAnsi="FangSong" w:eastAsia="FangSong" w:cs="FangSong"/>
          <w:sz w:val="24"/>
          <w:szCs w:val="24"/>
          <w:spacing w:val="-1"/>
        </w:rPr>
        <w:t>对自然景观的影响</w:t>
      </w:r>
    </w:p>
    <w:p>
      <w:pPr>
        <w:ind w:left="26" w:right="96" w:firstLine="481"/>
        <w:spacing w:before="181" w:line="359" w:lineRule="auto"/>
        <w:rPr>
          <w:rFonts w:ascii="FangSong" w:hAnsi="FangSong" w:eastAsia="FangSong" w:cs="FangSong"/>
          <w:sz w:val="24"/>
          <w:szCs w:val="24"/>
        </w:rPr>
      </w:pPr>
      <w:r>
        <w:rPr>
          <w:rFonts w:ascii="FangSong" w:hAnsi="FangSong" w:eastAsia="FangSong" w:cs="FangSong"/>
          <w:sz w:val="24"/>
          <w:szCs w:val="24"/>
          <w:spacing w:val="1"/>
        </w:rPr>
        <w:t>项目施工期对景观与视觉环境的影响主要为负面的影响。施工场地的开挖、各</w:t>
      </w:r>
      <w:r>
        <w:rPr>
          <w:rFonts w:ascii="FangSong" w:hAnsi="FangSong" w:eastAsia="FangSong" w:cs="FangSong"/>
          <w:sz w:val="24"/>
          <w:szCs w:val="24"/>
          <w:spacing w:val="1"/>
        </w:rPr>
        <w:t>类施工机械运转、施工建材堆放等，施工期出入工地的运输车辆带出或散落的泥土</w:t>
      </w:r>
      <w:r>
        <w:rPr>
          <w:rFonts w:ascii="FangSong" w:hAnsi="FangSong" w:eastAsia="FangSong" w:cs="FangSong"/>
          <w:sz w:val="24"/>
          <w:szCs w:val="24"/>
          <w:spacing w:val="-2"/>
        </w:rPr>
        <w:t>使工地周围道</w:t>
      </w:r>
      <w:r>
        <w:rPr>
          <w:rFonts w:ascii="FangSong" w:hAnsi="FangSong" w:eastAsia="FangSong" w:cs="FangSong"/>
          <w:sz w:val="24"/>
          <w:szCs w:val="24"/>
          <w:spacing w:val="-2"/>
        </w:rPr>
        <w:t xml:space="preserve"> </w:t>
      </w:r>
      <w:r>
        <w:rPr>
          <w:rFonts w:ascii="FangSong" w:hAnsi="FangSong" w:eastAsia="FangSong" w:cs="FangSong"/>
          <w:sz w:val="24"/>
          <w:szCs w:val="24"/>
          <w:spacing w:val="-2"/>
        </w:rPr>
        <w:t>路的尘土飞扬，都会对景观与视觉环境造成不良影响</w:t>
      </w:r>
      <w:r>
        <w:rPr>
          <w:rFonts w:ascii="FangSong" w:hAnsi="FangSong" w:eastAsia="FangSong" w:cs="FangSong"/>
          <w:sz w:val="24"/>
          <w:szCs w:val="24"/>
          <w:spacing w:val="-3"/>
        </w:rPr>
        <w:t>。根据对建筑施</w:t>
      </w:r>
      <w:r>
        <w:rPr>
          <w:rFonts w:ascii="FangSong" w:hAnsi="FangSong" w:eastAsia="FangSong" w:cs="FangSong"/>
          <w:sz w:val="24"/>
          <w:szCs w:val="24"/>
          <w:spacing w:val="1"/>
        </w:rPr>
        <w:t>工队的调查，只要建筑施工队加强管理，采取有效的污染控制措施，如监理工地围</w:t>
      </w:r>
      <w:r>
        <w:rPr>
          <w:rFonts w:ascii="FangSong" w:hAnsi="FangSong" w:eastAsia="FangSong" w:cs="FangSong"/>
          <w:sz w:val="24"/>
          <w:szCs w:val="24"/>
          <w:spacing w:val="1"/>
        </w:rPr>
        <w:t>墙、控制运输车辆装载量、及时清洗进出工地的车辆和清扫散落的泥土等，文明施</w:t>
      </w:r>
      <w:r>
        <w:rPr>
          <w:rFonts w:ascii="FangSong" w:hAnsi="FangSong" w:eastAsia="FangSong" w:cs="FangSong"/>
          <w:sz w:val="24"/>
          <w:szCs w:val="24"/>
          <w:spacing w:val="-2"/>
        </w:rPr>
        <w:t>工，施工带来的影响是可承受的。</w:t>
      </w:r>
    </w:p>
    <w:p>
      <w:pPr>
        <w:ind w:left="26" w:right="96" w:firstLine="482"/>
        <w:spacing w:before="1" w:line="358" w:lineRule="auto"/>
        <w:jc w:val="both"/>
        <w:rPr>
          <w:rFonts w:ascii="FangSong" w:hAnsi="FangSong" w:eastAsia="FangSong" w:cs="FangSong"/>
          <w:sz w:val="24"/>
          <w:szCs w:val="24"/>
        </w:rPr>
      </w:pPr>
      <w:r>
        <w:rPr>
          <w:rFonts w:ascii="FangSong" w:hAnsi="FangSong" w:eastAsia="FangSong" w:cs="FangSong"/>
          <w:sz w:val="24"/>
          <w:szCs w:val="24"/>
          <w:spacing w:val="1"/>
        </w:rPr>
        <w:t>综上所述，项目施工期影响是短时间的，随着施工结束而停止，在合理安排作</w:t>
      </w:r>
      <w:r>
        <w:rPr>
          <w:rFonts w:ascii="FangSong" w:hAnsi="FangSong" w:eastAsia="FangSong" w:cs="FangSong"/>
          <w:sz w:val="24"/>
          <w:szCs w:val="24"/>
          <w:spacing w:val="1"/>
        </w:rPr>
        <w:t>业时间，加强施工管理，认真落实施工期污染防治措施的情况下，项目施工对环境</w:t>
      </w:r>
      <w:r>
        <w:rPr>
          <w:rFonts w:ascii="FangSong" w:hAnsi="FangSong" w:eastAsia="FangSong" w:cs="FangSong"/>
          <w:sz w:val="24"/>
          <w:szCs w:val="24"/>
          <w:spacing w:val="-1"/>
        </w:rPr>
        <w:t>影响可有效控制在施工区及附近小范围内，对区域总体环境影响较小。</w:t>
      </w:r>
    </w:p>
    <w:p>
      <w:pPr>
        <w:ind w:left="16"/>
        <w:spacing w:before="3"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4.13.2.2  </w:t>
      </w:r>
      <w:r>
        <w:rPr>
          <w:rFonts w:ascii="FangSong" w:hAnsi="FangSong" w:eastAsia="FangSong" w:cs="FangSong"/>
          <w:sz w:val="24"/>
          <w:szCs w:val="24"/>
          <w:b/>
          <w:bCs/>
          <w:spacing w:val="-2"/>
        </w:rPr>
        <w:t>运营期污染分析</w:t>
      </w:r>
    </w:p>
    <w:p>
      <w:pPr>
        <w:ind w:left="511"/>
        <w:spacing w:before="178" w:line="223"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）废水</w:t>
      </w:r>
    </w:p>
    <w:p>
      <w:pPr>
        <w:ind w:left="507"/>
        <w:spacing w:before="178" w:line="221" w:lineRule="auto"/>
        <w:rPr>
          <w:rFonts w:ascii="FangSong" w:hAnsi="FangSong" w:eastAsia="FangSong" w:cs="FangSong"/>
          <w:sz w:val="24"/>
          <w:szCs w:val="24"/>
        </w:rPr>
      </w:pPr>
      <w:r>
        <w:rPr>
          <w:rFonts w:ascii="FangSong" w:hAnsi="FangSong" w:eastAsia="FangSong" w:cs="FangSong"/>
          <w:sz w:val="24"/>
          <w:szCs w:val="24"/>
          <w:spacing w:val="1"/>
        </w:rPr>
        <w:t>项目生产运行过程中产生的废水包括生活污水、食堂废水、矿井涌水及选矿废</w:t>
      </w:r>
    </w:p>
    <w:p>
      <w:pPr>
        <w:spacing w:line="221" w:lineRule="auto"/>
        <w:sectPr>
          <w:headerReference w:type="default" r:id="rId52"/>
          <w:footerReference w:type="default" r:id="rId170"/>
          <w:pgSz w:w="11911" w:h="16839"/>
          <w:pgMar w:top="400" w:right="1319" w:bottom="1146" w:left="1786" w:header="0" w:footer="984" w:gutter="0"/>
        </w:sectPr>
        <w:rPr>
          <w:rFonts w:ascii="FangSong" w:hAnsi="FangSong" w:eastAsia="FangSong" w:cs="FangSong"/>
          <w:sz w:val="24"/>
          <w:szCs w:val="24"/>
        </w:rPr>
      </w:pPr>
    </w:p>
    <w:p>
      <w:pPr>
        <w:ind w:left="29" w:right="83" w:hanging="3"/>
        <w:spacing w:before="311" w:line="359" w:lineRule="auto"/>
        <w:rPr>
          <w:rFonts w:ascii="FangSong" w:hAnsi="FangSong" w:eastAsia="FangSong" w:cs="FangSong"/>
          <w:sz w:val="24"/>
          <w:szCs w:val="24"/>
        </w:rPr>
      </w:pPr>
      <w:r>
        <w:rPr>
          <w:rFonts w:ascii="FangSong" w:hAnsi="FangSong" w:eastAsia="FangSong" w:cs="FangSong"/>
          <w:sz w:val="24"/>
          <w:szCs w:val="24"/>
          <w:spacing w:val="1"/>
        </w:rPr>
        <w:t>水（包括选矿工艺废水和车间地面冲洗废水）。根据前述给排水章节分析结果，各</w:t>
      </w:r>
      <w:r>
        <w:rPr>
          <w:rFonts w:ascii="FangSong" w:hAnsi="FangSong" w:eastAsia="FangSong" w:cs="FangSong"/>
          <w:sz w:val="24"/>
          <w:szCs w:val="24"/>
          <w:spacing w:val="-2"/>
        </w:rPr>
        <w:t>类废水产生情况分析如下。</w:t>
      </w:r>
    </w:p>
    <w:p>
      <w:pPr>
        <w:ind w:left="499"/>
        <w:spacing w:line="222" w:lineRule="auto"/>
        <w:rPr>
          <w:rFonts w:ascii="FangSong" w:hAnsi="FangSong" w:eastAsia="FangSong" w:cs="FangSong"/>
          <w:sz w:val="24"/>
          <w:szCs w:val="24"/>
        </w:rPr>
      </w:pPr>
      <w:r>
        <w:rPr>
          <w:rFonts w:ascii="FangSong" w:hAnsi="FangSong" w:eastAsia="FangSong" w:cs="FangSong"/>
          <w:sz w:val="24"/>
          <w:szCs w:val="24"/>
          <w:spacing w:val="-8"/>
        </w:rPr>
        <w:t>①</w:t>
      </w:r>
      <w:r>
        <w:rPr>
          <w:rFonts w:ascii="FangSong" w:hAnsi="FangSong" w:eastAsia="FangSong" w:cs="FangSong"/>
          <w:sz w:val="24"/>
          <w:szCs w:val="24"/>
          <w:spacing w:val="30"/>
        </w:rPr>
        <w:t xml:space="preserve"> </w:t>
      </w:r>
      <w:r>
        <w:rPr>
          <w:rFonts w:ascii="FangSong" w:hAnsi="FangSong" w:eastAsia="FangSong" w:cs="FangSong"/>
          <w:sz w:val="24"/>
          <w:szCs w:val="24"/>
          <w:spacing w:val="-8"/>
        </w:rPr>
        <w:t>生活污水</w:t>
      </w:r>
    </w:p>
    <w:p>
      <w:pPr>
        <w:ind w:left="26" w:right="6" w:firstLine="494"/>
        <w:spacing w:before="178" w:line="353" w:lineRule="auto"/>
        <w:rPr>
          <w:rFonts w:ascii="FangSong" w:hAnsi="FangSong" w:eastAsia="FangSong" w:cs="FangSong"/>
          <w:sz w:val="24"/>
          <w:szCs w:val="24"/>
        </w:rPr>
      </w:pPr>
      <w:r>
        <w:rPr>
          <w:rFonts w:ascii="FangSong" w:hAnsi="FangSong" w:eastAsia="FangSong" w:cs="FangSong"/>
          <w:sz w:val="24"/>
          <w:szCs w:val="24"/>
          <w:spacing w:val="-6"/>
        </w:rPr>
        <w:t>生活污水产生量为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6.432m3/d</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1929.6m3/a</w:t>
      </w:r>
      <w:r>
        <w:rPr>
          <w:rFonts w:ascii="FangSong" w:hAnsi="FangSong" w:eastAsia="FangSong" w:cs="FangSong"/>
          <w:sz w:val="24"/>
          <w:szCs w:val="24"/>
          <w:spacing w:val="9"/>
        </w:rPr>
        <w:t>），</w:t>
      </w:r>
      <w:r>
        <w:rPr>
          <w:rFonts w:ascii="FangSong" w:hAnsi="FangSong" w:eastAsia="FangSong" w:cs="FangSong"/>
          <w:sz w:val="24"/>
          <w:szCs w:val="24"/>
          <w:spacing w:val="-6"/>
        </w:rPr>
        <w:t>主要污染物为</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spacing w:val="-6"/>
        </w:rPr>
        <w:t>pH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COD</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BOD</w:t>
      </w:r>
      <w:r>
        <w:rPr>
          <w:rFonts w:ascii="Times New Roman" w:hAnsi="Times New Roman" w:eastAsia="Times New Roman" w:cs="Times New Roman"/>
          <w:sz w:val="15"/>
          <w:szCs w:val="15"/>
          <w:spacing w:val="-6"/>
          <w:position w:val="-1"/>
        </w:rPr>
        <w:t>5</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7"/>
        </w:rPr>
        <w:t>SS</w:t>
      </w:r>
      <w:r>
        <w:rPr>
          <w:rFonts w:ascii="FangSong" w:hAnsi="FangSong" w:eastAsia="FangSong" w:cs="FangSong"/>
          <w:sz w:val="24"/>
          <w:szCs w:val="24"/>
          <w:spacing w:val="-17"/>
        </w:rPr>
        <w:t>、</w:t>
      </w:r>
      <w:r>
        <w:rPr>
          <w:rFonts w:ascii="Times New Roman" w:hAnsi="Times New Roman" w:eastAsia="Times New Roman" w:cs="Times New Roman"/>
          <w:sz w:val="24"/>
          <w:szCs w:val="24"/>
          <w:spacing w:val="-17"/>
        </w:rPr>
        <w:t>NH</w:t>
      </w:r>
      <w:r>
        <w:rPr>
          <w:rFonts w:ascii="Times New Roman" w:hAnsi="Times New Roman" w:eastAsia="Times New Roman" w:cs="Times New Roman"/>
          <w:sz w:val="15"/>
          <w:szCs w:val="15"/>
          <w:spacing w:val="-8"/>
        </w:rPr>
        <w:t>3</w:t>
      </w:r>
      <w:r>
        <w:rPr>
          <w:rFonts w:ascii="Times New Roman" w:hAnsi="Times New Roman" w:eastAsia="Times New Roman" w:cs="Times New Roman"/>
          <w:sz w:val="24"/>
          <w:szCs w:val="24"/>
          <w:spacing w:val="-8"/>
        </w:rPr>
        <w:t>-N</w:t>
      </w:r>
      <w:r>
        <w:rPr>
          <w:rFonts w:ascii="FangSong" w:hAnsi="FangSong" w:eastAsia="FangSong" w:cs="FangSong"/>
          <w:sz w:val="24"/>
          <w:szCs w:val="24"/>
          <w:spacing w:val="-8"/>
        </w:rPr>
        <w:t>，各项污染物产生浓度分别为</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spacing w:val="-8"/>
        </w:rPr>
        <w:t>pH</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6-9</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COD</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250mg/L</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BOD</w:t>
      </w:r>
      <w:r>
        <w:rPr>
          <w:rFonts w:ascii="Times New Roman" w:hAnsi="Times New Roman" w:eastAsia="Times New Roman" w:cs="Times New Roman"/>
          <w:sz w:val="15"/>
          <w:szCs w:val="15"/>
          <w:spacing w:val="-8"/>
          <w:position w:val="-1"/>
        </w:rPr>
        <w:t>5</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150</w:t>
      </w:r>
      <w:r>
        <w:rPr>
          <w:rFonts w:ascii="Times New Roman" w:hAnsi="Times New Roman" w:eastAsia="Times New Roman" w:cs="Times New Roman"/>
          <w:sz w:val="24"/>
          <w:szCs w:val="24"/>
          <w:spacing w:val="-9"/>
        </w:rPr>
        <w:t>mg/L</w:t>
      </w:r>
      <w:r>
        <w:rPr>
          <w:rFonts w:ascii="FangSong" w:hAnsi="FangSong" w:eastAsia="FangSong" w:cs="FangSong"/>
          <w:sz w:val="24"/>
          <w:szCs w:val="24"/>
          <w:spacing w:val="-4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SS</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200mg/L</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25mg/L</w:t>
      </w:r>
      <w:r>
        <w:rPr>
          <w:rFonts w:ascii="FangSong" w:hAnsi="FangSong" w:eastAsia="FangSong" w:cs="FangSong"/>
          <w:sz w:val="24"/>
          <w:szCs w:val="24"/>
          <w:spacing w:val="-1"/>
        </w:rPr>
        <w:t>。</w:t>
      </w:r>
    </w:p>
    <w:p>
      <w:pPr>
        <w:ind w:left="498"/>
        <w:spacing w:before="23" w:line="222"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16"/>
        </w:rPr>
        <w:t xml:space="preserve"> </w:t>
      </w:r>
      <w:r>
        <w:rPr>
          <w:rFonts w:ascii="FangSong" w:hAnsi="FangSong" w:eastAsia="FangSong" w:cs="FangSong"/>
          <w:sz w:val="24"/>
          <w:szCs w:val="24"/>
          <w:spacing w:val="-5"/>
        </w:rPr>
        <w:t>食堂废水</w:t>
      </w:r>
    </w:p>
    <w:p>
      <w:pPr>
        <w:ind w:left="15" w:right="6" w:firstLine="490"/>
        <w:spacing w:before="174" w:line="357" w:lineRule="auto"/>
        <w:rPr>
          <w:rFonts w:ascii="FangSong" w:hAnsi="FangSong" w:eastAsia="FangSong" w:cs="FangSong"/>
          <w:sz w:val="24"/>
          <w:szCs w:val="24"/>
        </w:rPr>
      </w:pPr>
      <w:r>
        <w:rPr>
          <w:rFonts w:ascii="FangSong" w:hAnsi="FangSong" w:eastAsia="FangSong" w:cs="FangSong"/>
          <w:sz w:val="24"/>
          <w:szCs w:val="24"/>
          <w:spacing w:val="-6"/>
        </w:rPr>
        <w:t>食堂废水产生量为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7.397m3/d</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2219.04m3/a</w:t>
      </w:r>
      <w:r>
        <w:rPr>
          <w:rFonts w:ascii="FangSong" w:hAnsi="FangSong" w:eastAsia="FangSong" w:cs="FangSong"/>
          <w:sz w:val="24"/>
          <w:szCs w:val="24"/>
          <w:spacing w:val="-22"/>
        </w:rPr>
        <w:t>），</w:t>
      </w:r>
      <w:r>
        <w:rPr>
          <w:rFonts w:ascii="FangSong" w:hAnsi="FangSong" w:eastAsia="FangSong" w:cs="FangSong"/>
          <w:sz w:val="24"/>
          <w:szCs w:val="24"/>
          <w:spacing w:val="-6"/>
        </w:rPr>
        <w:t>主要污染物为</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6"/>
        </w:rPr>
        <w:t>pH</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COD</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B</w:t>
      </w:r>
      <w:r>
        <w:rPr>
          <w:rFonts w:ascii="Times New Roman" w:hAnsi="Times New Roman" w:eastAsia="Times New Roman" w:cs="Times New Roman"/>
          <w:sz w:val="24"/>
          <w:szCs w:val="24"/>
          <w:spacing w:val="-7"/>
        </w:rPr>
        <w:t>OD</w:t>
      </w:r>
      <w:r>
        <w:rPr>
          <w:rFonts w:ascii="Times New Roman" w:hAnsi="Times New Roman" w:eastAsia="Times New Roman" w:cs="Times New Roman"/>
          <w:sz w:val="15"/>
          <w:szCs w:val="15"/>
          <w:spacing w:val="-7"/>
          <w:position w:val="-1"/>
        </w:rPr>
        <w:t>5</w:t>
      </w:r>
      <w:r>
        <w:rPr>
          <w:rFonts w:ascii="FangSong" w:hAnsi="FangSong" w:eastAsia="FangSong" w:cs="FangSong"/>
          <w:sz w:val="24"/>
          <w:szCs w:val="24"/>
          <w:spacing w:val="-7"/>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7"/>
        </w:rPr>
        <w:t>SS</w:t>
      </w:r>
      <w:r>
        <w:rPr>
          <w:rFonts w:ascii="FangSong" w:hAnsi="FangSong" w:eastAsia="FangSong" w:cs="FangSong"/>
          <w:sz w:val="24"/>
          <w:szCs w:val="24"/>
          <w:spacing w:val="-17"/>
        </w:rPr>
        <w:t>、</w:t>
      </w:r>
      <w:r>
        <w:rPr>
          <w:rFonts w:ascii="Times New Roman" w:hAnsi="Times New Roman" w:eastAsia="Times New Roman" w:cs="Times New Roman"/>
          <w:sz w:val="24"/>
          <w:szCs w:val="24"/>
          <w:spacing w:val="-17"/>
        </w:rPr>
        <w:t>NH</w:t>
      </w:r>
      <w:r>
        <w:rPr>
          <w:rFonts w:ascii="Times New Roman" w:hAnsi="Times New Roman" w:eastAsia="Times New Roman" w:cs="Times New Roman"/>
          <w:sz w:val="15"/>
          <w:szCs w:val="15"/>
          <w:spacing w:val="-8"/>
        </w:rPr>
        <w:t>3</w:t>
      </w:r>
      <w:r>
        <w:rPr>
          <w:rFonts w:ascii="Times New Roman" w:hAnsi="Times New Roman" w:eastAsia="Times New Roman" w:cs="Times New Roman"/>
          <w:sz w:val="24"/>
          <w:szCs w:val="24"/>
          <w:spacing w:val="-8"/>
        </w:rPr>
        <w:t>-N</w:t>
      </w:r>
      <w:r>
        <w:rPr>
          <w:rFonts w:ascii="FangSong" w:hAnsi="FangSong" w:eastAsia="FangSong" w:cs="FangSong"/>
          <w:sz w:val="24"/>
          <w:szCs w:val="24"/>
          <w:spacing w:val="-8"/>
        </w:rPr>
        <w:t>、动植物油，各项污染物产生浓度分</w:t>
      </w:r>
      <w:r>
        <w:rPr>
          <w:rFonts w:ascii="FangSong" w:hAnsi="FangSong" w:eastAsia="FangSong" w:cs="FangSong"/>
          <w:sz w:val="24"/>
          <w:szCs w:val="24"/>
          <w:spacing w:val="-9"/>
        </w:rPr>
        <w:t>别为</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spacing w:val="-9"/>
        </w:rPr>
        <w:t>pH</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6-9</w:t>
      </w: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COD</w:t>
      </w: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400mg/L</w:t>
      </w: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BOD</w:t>
      </w:r>
      <w:r>
        <w:rPr>
          <w:rFonts w:ascii="Times New Roman" w:hAnsi="Times New Roman" w:eastAsia="Times New Roman" w:cs="Times New Roman"/>
          <w:sz w:val="15"/>
          <w:szCs w:val="15"/>
          <w:spacing w:val="16"/>
          <w:position w:val="-1"/>
        </w:rPr>
        <w:t>5</w:t>
      </w:r>
      <w:r>
        <w:rPr>
          <w:rFonts w:ascii="FangSong" w:hAnsi="FangSong" w:eastAsia="FangSong" w:cs="FangSong"/>
          <w:sz w:val="24"/>
          <w:szCs w:val="24"/>
          <w:spacing w:val="-4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200mg/L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200mg/L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NH</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-N</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25mg/L</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、动植物油：</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3"/>
        </w:rPr>
        <w:t>00mg/L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。本次采用隔油池</w:t>
      </w:r>
      <w:r>
        <w:rPr>
          <w:rFonts w:ascii="FangSong" w:hAnsi="FangSong" w:eastAsia="FangSong" w:cs="FangSong"/>
          <w:sz w:val="24"/>
          <w:szCs w:val="24"/>
          <w:spacing w:val="1"/>
        </w:rPr>
        <w:t>（隔油效率</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、沉淀效率</w:t>
      </w:r>
      <w:r>
        <w:rPr>
          <w:rFonts w:ascii="Times New Roman" w:hAnsi="Times New Roman" w:eastAsia="Times New Roman" w:cs="Times New Roman"/>
          <w:sz w:val="24"/>
          <w:szCs w:val="24"/>
          <w:spacing w:val="1"/>
        </w:rPr>
        <w:t>50%</w:t>
      </w:r>
      <w:r>
        <w:rPr>
          <w:rFonts w:ascii="FangSong" w:hAnsi="FangSong" w:eastAsia="FangSong" w:cs="FangSong"/>
          <w:sz w:val="24"/>
          <w:szCs w:val="24"/>
          <w:spacing w:val="1"/>
        </w:rPr>
        <w:t>）对食堂废水进行隔油沉淀处</w:t>
      </w:r>
      <w:r>
        <w:rPr>
          <w:rFonts w:ascii="FangSong" w:hAnsi="FangSong" w:eastAsia="FangSong" w:cs="FangSong"/>
          <w:sz w:val="24"/>
          <w:szCs w:val="24"/>
        </w:rPr>
        <w:t>理，经隔油池处理后</w:t>
      </w:r>
      <w:r>
        <w:rPr>
          <w:rFonts w:ascii="FangSong" w:hAnsi="FangSong" w:eastAsia="FangSong" w:cs="FangSong"/>
          <w:sz w:val="24"/>
          <w:szCs w:val="24"/>
          <w:spacing w:val="-6"/>
        </w:rPr>
        <w:t>的食堂废水中各项污染物排放浓度及排放量分别为</w:t>
      </w:r>
      <w:r>
        <w:rPr>
          <w:rFonts w:ascii="Times New Roman" w:hAnsi="Times New Roman" w:eastAsia="Times New Roman" w:cs="Times New Roman"/>
          <w:sz w:val="24"/>
          <w:szCs w:val="24"/>
          <w:spacing w:val="-6"/>
        </w:rPr>
        <w:t>pH</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7"/>
        </w:rPr>
        <w:t>-9</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COD</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400mg/L</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BOD</w:t>
      </w:r>
      <w:r>
        <w:rPr>
          <w:rFonts w:ascii="Times New Roman" w:hAnsi="Times New Roman" w:eastAsia="Times New Roman" w:cs="Times New Roman"/>
          <w:sz w:val="15"/>
          <w:szCs w:val="15"/>
          <w:spacing w:val="-7"/>
          <w:position w:val="-1"/>
        </w:rPr>
        <w:t>5</w:t>
      </w:r>
      <w:r>
        <w:rPr>
          <w:rFonts w:ascii="FangSong" w:hAnsi="FangSong" w:eastAsia="FangSong" w:cs="FangSong"/>
          <w:sz w:val="24"/>
          <w:szCs w:val="24"/>
          <w:spacing w:val="-7"/>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200mg/L</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100mg/L</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NH</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-N</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25mg/L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、动植物油：</w:t>
      </w:r>
      <w:r>
        <w:rPr>
          <w:rFonts w:ascii="Times New Roman" w:hAnsi="Times New Roman" w:eastAsia="Times New Roman" w:cs="Times New Roman"/>
          <w:sz w:val="24"/>
          <w:szCs w:val="24"/>
          <w:spacing w:val="-2"/>
        </w:rPr>
        <w:t>90mg/L</w:t>
      </w:r>
      <w:r>
        <w:rPr>
          <w:rFonts w:ascii="FangSong" w:hAnsi="FangSong" w:eastAsia="FangSong" w:cs="FangSong"/>
          <w:sz w:val="24"/>
          <w:szCs w:val="24"/>
          <w:spacing w:val="-2"/>
        </w:rPr>
        <w:t>。</w:t>
      </w:r>
    </w:p>
    <w:p>
      <w:pPr>
        <w:ind w:left="26" w:firstLine="483"/>
        <w:spacing w:before="20" w:line="357" w:lineRule="auto"/>
        <w:jc w:val="both"/>
        <w:rPr>
          <w:rFonts w:ascii="FangSong" w:hAnsi="FangSong" w:eastAsia="FangSong" w:cs="FangSong"/>
          <w:sz w:val="24"/>
          <w:szCs w:val="24"/>
        </w:rPr>
      </w:pPr>
      <w:r>
        <w:rPr>
          <w:rFonts w:ascii="FangSong" w:hAnsi="FangSong" w:eastAsia="FangSong" w:cs="FangSong"/>
          <w:sz w:val="24"/>
          <w:szCs w:val="24"/>
          <w:spacing w:val="-2"/>
        </w:rPr>
        <w:t>综上，办公生活区废水产生量共</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13.829m3/d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4148.64m3/</w:t>
      </w:r>
      <w:r>
        <w:rPr>
          <w:rFonts w:ascii="Times New Roman" w:hAnsi="Times New Roman" w:eastAsia="Times New Roman" w:cs="Times New Roman"/>
          <w:sz w:val="24"/>
          <w:szCs w:val="24"/>
          <w:spacing w:val="-3"/>
        </w:rPr>
        <w:t>a</w:t>
      </w:r>
      <w:r>
        <w:rPr>
          <w:rFonts w:ascii="FangSong" w:hAnsi="FangSong" w:eastAsia="FangSong" w:cs="FangSong"/>
          <w:sz w:val="24"/>
          <w:szCs w:val="24"/>
          <w:spacing w:val="14"/>
        </w:rPr>
        <w:t>），</w:t>
      </w:r>
      <w:r>
        <w:rPr>
          <w:rFonts w:ascii="FangSong" w:hAnsi="FangSong" w:eastAsia="FangSong" w:cs="FangSong"/>
          <w:sz w:val="24"/>
          <w:szCs w:val="24"/>
          <w:spacing w:val="-3"/>
        </w:rPr>
        <w:t>经隔油池处理后</w:t>
      </w:r>
      <w:r>
        <w:rPr>
          <w:rFonts w:ascii="FangSong" w:hAnsi="FangSong" w:eastAsia="FangSong" w:cs="FangSong"/>
          <w:sz w:val="24"/>
          <w:szCs w:val="24"/>
          <w:spacing w:val="-2"/>
        </w:rPr>
        <w:t>的食堂废水与生活污水排入防渗储池（</w:t>
      </w:r>
      <w:r>
        <w:rPr>
          <w:rFonts w:ascii="Times New Roman" w:hAnsi="Times New Roman" w:eastAsia="Times New Roman" w:cs="Times New Roman"/>
          <w:sz w:val="24"/>
          <w:szCs w:val="24"/>
          <w:spacing w:val="-2"/>
        </w:rPr>
        <w:t>100m</w:t>
      </w:r>
      <w:r>
        <w:rPr>
          <w:rFonts w:ascii="Times New Roman" w:hAnsi="Times New Roman" w:eastAsia="Times New Roman" w:cs="Times New Roman"/>
          <w:sz w:val="15"/>
          <w:szCs w:val="15"/>
          <w:spacing w:val="-2"/>
          <w:position w:val="8"/>
        </w:rPr>
        <w:t>3 </w:t>
      </w:r>
      <w:r>
        <w:rPr>
          <w:rFonts w:ascii="FangSong" w:hAnsi="FangSong" w:eastAsia="FangSong" w:cs="FangSong"/>
          <w:sz w:val="24"/>
          <w:szCs w:val="24"/>
          <w:spacing w:val="-33"/>
        </w:rPr>
        <w:t>），</w:t>
      </w:r>
      <w:r>
        <w:rPr>
          <w:rFonts w:ascii="FangSong" w:hAnsi="FangSong" w:eastAsia="FangSong" w:cs="FangSong"/>
          <w:sz w:val="24"/>
          <w:szCs w:val="24"/>
          <w:spacing w:val="-2"/>
        </w:rPr>
        <w:t>混合后废水中各项污染物排放浓度</w:t>
      </w:r>
      <w:r>
        <w:rPr>
          <w:rFonts w:ascii="FangSong" w:hAnsi="FangSong" w:eastAsia="FangSong" w:cs="FangSong"/>
          <w:sz w:val="24"/>
          <w:szCs w:val="24"/>
          <w:spacing w:val="-4"/>
        </w:rPr>
        <w:t>及排放量分别为</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4"/>
        </w:rPr>
        <w:t>pH</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6-9</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COD</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292.9mg/</w:t>
      </w:r>
      <w:r>
        <w:rPr>
          <w:rFonts w:ascii="Times New Roman" w:hAnsi="Times New Roman" w:eastAsia="Times New Roman" w:cs="Times New Roman"/>
          <w:sz w:val="24"/>
          <w:szCs w:val="24"/>
          <w:spacing w:val="-5"/>
        </w:rPr>
        <w:t>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1.215t/a</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BOD</w:t>
      </w:r>
      <w:r>
        <w:rPr>
          <w:rFonts w:ascii="Times New Roman" w:hAnsi="Times New Roman" w:eastAsia="Times New Roman" w:cs="Times New Roman"/>
          <w:sz w:val="15"/>
          <w:szCs w:val="15"/>
          <w:spacing w:val="-5"/>
          <w:position w:val="-1"/>
        </w:rPr>
        <w:t>5</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164.3mg/L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0.682t/a</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7"/>
        </w:rPr>
        <w:t>SS</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171.4mg/L</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0.711t/a</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NH</w:t>
      </w:r>
      <w:r>
        <w:rPr>
          <w:rFonts w:ascii="Times New Roman" w:hAnsi="Times New Roman" w:eastAsia="Times New Roman" w:cs="Times New Roman"/>
          <w:sz w:val="15"/>
          <w:szCs w:val="15"/>
          <w:spacing w:val="-7"/>
        </w:rPr>
        <w:t>3</w:t>
      </w:r>
      <w:r>
        <w:rPr>
          <w:rFonts w:ascii="Times New Roman" w:hAnsi="Times New Roman" w:eastAsia="Times New Roman" w:cs="Times New Roman"/>
          <w:sz w:val="24"/>
          <w:szCs w:val="24"/>
          <w:spacing w:val="-7"/>
        </w:rPr>
        <w:t>-N</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25mg/L</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0.</w:t>
      </w:r>
      <w:r>
        <w:rPr>
          <w:rFonts w:ascii="Times New Roman" w:hAnsi="Times New Roman" w:eastAsia="Times New Roman" w:cs="Times New Roman"/>
          <w:sz w:val="24"/>
          <w:szCs w:val="24"/>
          <w:spacing w:val="-19"/>
        </w:rPr>
        <w:t xml:space="preserve"> </w:t>
      </w:r>
      <w:r>
        <w:rPr>
          <w:rFonts w:ascii="Times New Roman" w:hAnsi="Times New Roman" w:eastAsia="Times New Roman" w:cs="Times New Roman"/>
          <w:sz w:val="24"/>
          <w:szCs w:val="24"/>
          <w:spacing w:val="-7"/>
        </w:rPr>
        <w:t>104t/a</w:t>
      </w:r>
      <w:r>
        <w:rPr>
          <w:rFonts w:ascii="FangSong" w:hAnsi="FangSong" w:eastAsia="FangSong" w:cs="FangSong"/>
          <w:sz w:val="24"/>
          <w:szCs w:val="24"/>
          <w:spacing w:val="-7"/>
        </w:rPr>
        <w:t>；动植物油：</w:t>
      </w:r>
      <w:r>
        <w:rPr>
          <w:rFonts w:ascii="Times New Roman" w:hAnsi="Times New Roman" w:eastAsia="Times New Roman" w:cs="Times New Roman"/>
          <w:sz w:val="24"/>
          <w:szCs w:val="24"/>
          <w:spacing w:val="-7"/>
        </w:rPr>
        <w:t>25.7mg/L</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107t/a</w:t>
      </w:r>
      <w:r>
        <w:rPr>
          <w:rFonts w:ascii="FangSong" w:hAnsi="FangSong" w:eastAsia="FangSong" w:cs="FangSong"/>
          <w:sz w:val="24"/>
          <w:szCs w:val="24"/>
          <w:spacing w:val="-7"/>
        </w:rPr>
        <w:t>。</w:t>
      </w:r>
    </w:p>
    <w:p>
      <w:pPr>
        <w:ind w:left="498"/>
        <w:spacing w:before="9" w:line="222"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16"/>
        </w:rPr>
        <w:t xml:space="preserve"> </w:t>
      </w:r>
      <w:r>
        <w:rPr>
          <w:rFonts w:ascii="FangSong" w:hAnsi="FangSong" w:eastAsia="FangSong" w:cs="FangSong"/>
          <w:sz w:val="24"/>
          <w:szCs w:val="24"/>
          <w:spacing w:val="-5"/>
        </w:rPr>
        <w:t>矿井涌水</w:t>
      </w:r>
    </w:p>
    <w:p>
      <w:pPr>
        <w:ind w:left="26" w:right="83" w:firstLine="480"/>
        <w:spacing w:before="179" w:line="356" w:lineRule="auto"/>
        <w:rPr>
          <w:rFonts w:ascii="FangSong" w:hAnsi="FangSong" w:eastAsia="FangSong" w:cs="FangSong"/>
          <w:sz w:val="24"/>
          <w:szCs w:val="24"/>
        </w:rPr>
      </w:pPr>
      <w:r>
        <w:rPr>
          <w:rFonts w:ascii="FangSong" w:hAnsi="FangSong" w:eastAsia="FangSong" w:cs="FangSong"/>
          <w:sz w:val="24"/>
          <w:szCs w:val="24"/>
          <w:spacing w:val="-4"/>
        </w:rPr>
        <w:t>根据《</w:t>
      </w:r>
      <w:r>
        <w:rPr>
          <w:rFonts w:ascii="Times New Roman" w:hAnsi="Times New Roman" w:eastAsia="Times New Roman" w:cs="Times New Roman"/>
          <w:sz w:val="24"/>
          <w:szCs w:val="24"/>
          <w:spacing w:val="-4"/>
        </w:rPr>
        <w:t>&lt;</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内蒙古自治区苏尼特右旗桑宝力嘎额尔登塔拉矿区萤石矿资源储</w:t>
      </w:r>
      <w:r>
        <w:rPr>
          <w:rFonts w:ascii="FangSong" w:hAnsi="FangSong" w:eastAsia="FangSong" w:cs="FangSong"/>
          <w:sz w:val="24"/>
          <w:szCs w:val="24"/>
          <w:spacing w:val="-5"/>
        </w:rPr>
        <w:t>量核实</w:t>
      </w:r>
      <w:r>
        <w:rPr>
          <w:rFonts w:ascii="FangSong" w:hAnsi="FangSong" w:eastAsia="FangSong" w:cs="FangSong"/>
          <w:sz w:val="24"/>
          <w:szCs w:val="24"/>
        </w:rPr>
        <w:t>报告</w:t>
      </w:r>
      <w:r>
        <w:rPr>
          <w:rFonts w:ascii="Times New Roman" w:hAnsi="Times New Roman" w:eastAsia="Times New Roman" w:cs="Times New Roman"/>
          <w:sz w:val="24"/>
          <w:szCs w:val="24"/>
        </w:rPr>
        <w:t>&gt;</w:t>
      </w:r>
      <w:r>
        <w:rPr>
          <w:rFonts w:ascii="FangSong" w:hAnsi="FangSong" w:eastAsia="FangSong" w:cs="FangSong"/>
          <w:sz w:val="24"/>
          <w:szCs w:val="24"/>
        </w:rPr>
        <w:t>矿产资源储量评审意见书》（内自然资储评字﹝</w:t>
      </w:r>
      <w:r>
        <w:rPr>
          <w:rFonts w:ascii="Times New Roman" w:hAnsi="Times New Roman" w:eastAsia="Times New Roman" w:cs="Times New Roman"/>
          <w:sz w:val="24"/>
          <w:szCs w:val="24"/>
        </w:rPr>
        <w:t>2025</w:t>
      </w:r>
      <w:r>
        <w:rPr>
          <w:rFonts w:ascii="FangSong" w:hAnsi="FangSong" w:eastAsia="FangSong" w:cs="FangSong"/>
          <w:sz w:val="24"/>
          <w:szCs w:val="24"/>
        </w:rPr>
        <w:t>﹞</w:t>
      </w:r>
      <w:r>
        <w:rPr>
          <w:rFonts w:ascii="Times New Roman" w:hAnsi="Times New Roman" w:eastAsia="Times New Roman" w:cs="Times New Roman"/>
          <w:sz w:val="24"/>
          <w:szCs w:val="24"/>
        </w:rPr>
        <w:t>97</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rPr>
        <w:t>号）</w:t>
      </w:r>
      <w:r>
        <w:rPr>
          <w:rFonts w:ascii="FangSong" w:hAnsi="FangSong" w:eastAsia="FangSong" w:cs="FangSong"/>
          <w:sz w:val="24"/>
          <w:szCs w:val="24"/>
          <w:spacing w:val="-69"/>
        </w:rPr>
        <w:t xml:space="preserve"> </w:t>
      </w:r>
      <w:r>
        <w:rPr>
          <w:rFonts w:ascii="FangSong" w:hAnsi="FangSong" w:eastAsia="FangSong" w:cs="FangSong"/>
          <w:sz w:val="24"/>
          <w:szCs w:val="24"/>
        </w:rPr>
        <w:t>中相关数据：</w:t>
      </w:r>
      <w:r>
        <w:rPr>
          <w:rFonts w:ascii="FangSong" w:hAnsi="FangSong" w:eastAsia="FangSong" w:cs="FangSong"/>
          <w:sz w:val="24"/>
          <w:szCs w:val="24"/>
          <w:spacing w:val="-4"/>
        </w:rPr>
        <w:t>矿区平均涌水量为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Q=1161.79m3/d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。矿井涌水中主要污染物为</w:t>
      </w:r>
      <w:r>
        <w:rPr>
          <w:rFonts w:ascii="Times New Roman" w:hAnsi="Times New Roman" w:eastAsia="Times New Roman" w:cs="Times New Roman"/>
          <w:sz w:val="24"/>
          <w:szCs w:val="24"/>
          <w:spacing w:val="-4"/>
        </w:rPr>
        <w:t>pH</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COD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SS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，各项</w:t>
      </w:r>
      <w:r>
        <w:rPr>
          <w:rFonts w:ascii="FangSong" w:hAnsi="FangSong" w:eastAsia="FangSong" w:cs="FangSong"/>
          <w:sz w:val="24"/>
          <w:szCs w:val="24"/>
          <w:spacing w:val="-1"/>
        </w:rPr>
        <w:t>污染物产生浓度分别为</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1"/>
        </w:rPr>
        <w:t>pH</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6-9</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COD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15mg/L</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SS</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200mg/L</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。采矿区矿井涌水</w:t>
      </w:r>
      <w:r>
        <w:rPr>
          <w:rFonts w:ascii="FangSong" w:hAnsi="FangSong" w:eastAsia="FangSong" w:cs="FangSong"/>
          <w:sz w:val="24"/>
          <w:szCs w:val="24"/>
        </w:rPr>
        <w:t>经井下水仓沉淀后由泵房集中排至地表高位水池沉淀（沉淀效率</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rPr>
        <w:t>85%</w:t>
      </w:r>
      <w:r>
        <w:rPr>
          <w:rFonts w:ascii="FangSong" w:hAnsi="FangSong" w:eastAsia="FangSong" w:cs="FangSong"/>
          <w:sz w:val="24"/>
          <w:szCs w:val="24"/>
        </w:rPr>
        <w:t>）后，回用于</w:t>
      </w:r>
      <w:r>
        <w:rPr>
          <w:rFonts w:ascii="FangSong" w:hAnsi="FangSong" w:eastAsia="FangSong" w:cs="FangSong"/>
          <w:sz w:val="24"/>
          <w:szCs w:val="24"/>
          <w:spacing w:val="-1"/>
        </w:rPr>
        <w:t>采矿井下喷淋、工业广场洒水降尘以及选矿用水，不外排。</w:t>
      </w:r>
    </w:p>
    <w:p>
      <w:pPr>
        <w:ind w:left="498"/>
        <w:spacing w:before="27" w:line="222"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选矿废水（选矿工艺废水、地面冲洗废水）</w:t>
      </w:r>
    </w:p>
    <w:p>
      <w:pPr>
        <w:ind w:left="26" w:right="80" w:firstLine="482"/>
        <w:spacing w:before="179" w:line="359" w:lineRule="auto"/>
        <w:rPr>
          <w:rFonts w:ascii="FangSong" w:hAnsi="FangSong" w:eastAsia="FangSong" w:cs="FangSong"/>
          <w:sz w:val="24"/>
          <w:szCs w:val="24"/>
        </w:rPr>
      </w:pPr>
      <w:r>
        <w:rPr>
          <w:rFonts w:ascii="FangSong" w:hAnsi="FangSong" w:eastAsia="FangSong" w:cs="FangSong"/>
          <w:sz w:val="24"/>
          <w:szCs w:val="24"/>
          <w:spacing w:val="1"/>
        </w:rPr>
        <w:t>选矿废水主要包括选矿工艺废水及车间地面冲洗废水。根据前文计算，选矿工</w:t>
      </w:r>
      <w:r>
        <w:rPr>
          <w:rFonts w:ascii="FangSong" w:hAnsi="FangSong" w:eastAsia="FangSong" w:cs="FangSong"/>
          <w:sz w:val="24"/>
          <w:szCs w:val="24"/>
          <w:spacing w:val="-3"/>
        </w:rPr>
        <w:t>艺废水产生量约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411.263m3/d</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123378.90m3/a</w:t>
      </w:r>
      <w:r>
        <w:rPr>
          <w:rFonts w:ascii="FangSong" w:hAnsi="FangSong" w:eastAsia="FangSong" w:cs="FangSong"/>
          <w:sz w:val="24"/>
          <w:szCs w:val="24"/>
          <w:spacing w:val="-2"/>
        </w:rPr>
        <w:t>），</w:t>
      </w:r>
      <w:r>
        <w:rPr>
          <w:rFonts w:ascii="FangSong" w:hAnsi="FangSong" w:eastAsia="FangSong" w:cs="FangSong"/>
          <w:sz w:val="24"/>
          <w:szCs w:val="24"/>
          <w:spacing w:val="-4"/>
        </w:rPr>
        <w:t>废水进入地表高位水池处理后回用</w:t>
      </w:r>
      <w:r>
        <w:rPr>
          <w:rFonts w:ascii="FangSong" w:hAnsi="FangSong" w:eastAsia="FangSong" w:cs="FangSong"/>
          <w:sz w:val="24"/>
          <w:szCs w:val="24"/>
          <w:spacing w:val="-2"/>
        </w:rPr>
        <w:t>于生产，不外排；</w:t>
      </w:r>
      <w:r>
        <w:rPr>
          <w:rFonts w:ascii="FangSong" w:hAnsi="FangSong" w:eastAsia="FangSong" w:cs="FangSong"/>
          <w:sz w:val="24"/>
          <w:szCs w:val="24"/>
          <w:spacing w:val="-2"/>
        </w:rPr>
        <w:t xml:space="preserve"> </w:t>
      </w:r>
      <w:r>
        <w:rPr>
          <w:rFonts w:ascii="FangSong" w:hAnsi="FangSong" w:eastAsia="FangSong" w:cs="FangSong"/>
          <w:sz w:val="24"/>
          <w:szCs w:val="24"/>
          <w:spacing w:val="-2"/>
        </w:rPr>
        <w:t>车间地面冲洗废水产生量为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2"/>
        </w:rPr>
        <w:t>5.491m3/d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1647.36m3/a</w:t>
      </w:r>
      <w:r>
        <w:rPr>
          <w:rFonts w:ascii="FangSong" w:hAnsi="FangSong" w:eastAsia="FangSong" w:cs="FangSong"/>
          <w:sz w:val="24"/>
          <w:szCs w:val="24"/>
          <w:spacing w:val="21"/>
        </w:rPr>
        <w:t>），</w:t>
      </w:r>
      <w:r>
        <w:rPr>
          <w:rFonts w:ascii="FangSong" w:hAnsi="FangSong" w:eastAsia="FangSong" w:cs="FangSong"/>
          <w:sz w:val="24"/>
          <w:szCs w:val="24"/>
          <w:spacing w:val="-2"/>
        </w:rPr>
        <w:t>废水经</w:t>
      </w:r>
      <w:r>
        <w:rPr>
          <w:rFonts w:ascii="FangSong" w:hAnsi="FangSong" w:eastAsia="FangSong" w:cs="FangSong"/>
          <w:sz w:val="24"/>
          <w:szCs w:val="24"/>
          <w:spacing w:val="1"/>
        </w:rPr>
        <w:t>车间内排水沟进入地表高位水池处理后回用于生产，不外排；类比《化德县拓福矿</w:t>
      </w:r>
      <w:r>
        <w:rPr>
          <w:rFonts w:ascii="FangSong" w:hAnsi="FangSong" w:eastAsia="FangSong" w:cs="FangSong"/>
          <w:sz w:val="24"/>
          <w:szCs w:val="24"/>
          <w:spacing w:val="-3"/>
        </w:rPr>
        <w:t>业年处理</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万吨低品位萤石矿综合利用验收报告》，混凝沉淀过程中，氟化物去除</w:t>
      </w:r>
    </w:p>
    <w:p>
      <w:pPr>
        <w:spacing w:line="359" w:lineRule="auto"/>
        <w:sectPr>
          <w:headerReference w:type="default" r:id="rId171"/>
          <w:footerReference w:type="default" r:id="rId172"/>
          <w:pgSz w:w="11911" w:h="16839"/>
          <w:pgMar w:top="1140" w:right="1335" w:bottom="1146" w:left="1786" w:header="113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8" w:firstLine="26"/>
        <w:spacing w:before="78" w:line="350" w:lineRule="auto"/>
        <w:rPr>
          <w:rFonts w:ascii="FangSong" w:hAnsi="FangSong" w:eastAsia="FangSong" w:cs="FangSong"/>
          <w:sz w:val="24"/>
          <w:szCs w:val="24"/>
        </w:rPr>
      </w:pPr>
      <w:r>
        <w:rPr>
          <w:rFonts w:ascii="FangSong" w:hAnsi="FangSong" w:eastAsia="FangSong" w:cs="FangSong"/>
          <w:sz w:val="24"/>
          <w:szCs w:val="24"/>
          <w:spacing w:val="-10"/>
        </w:rPr>
        <w:t>率为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0"/>
        </w:rPr>
        <w:t>75%</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SS</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0"/>
        </w:rPr>
        <w:t>去除率为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0"/>
        </w:rPr>
        <w:t>85%</w:t>
      </w:r>
      <w:r>
        <w:rPr>
          <w:rFonts w:ascii="FangSong" w:hAnsi="FangSong" w:eastAsia="FangSong" w:cs="FangSong"/>
          <w:sz w:val="24"/>
          <w:szCs w:val="24"/>
          <w:spacing w:val="-10"/>
        </w:rPr>
        <w:t>，经沉淀处</w:t>
      </w:r>
      <w:r>
        <w:rPr>
          <w:rFonts w:ascii="FangSong" w:hAnsi="FangSong" w:eastAsia="FangSong" w:cs="FangSong"/>
          <w:sz w:val="24"/>
          <w:szCs w:val="24"/>
          <w:spacing w:val="-11"/>
        </w:rPr>
        <w:t>理后回水水质为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1"/>
        </w:rPr>
        <w:t>COD</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47mg/L</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SS</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30mg/L</w:t>
      </w:r>
      <w:r>
        <w:rPr>
          <w:rFonts w:ascii="FangSong" w:hAnsi="FangSong" w:eastAsia="FangSong" w:cs="FangSong"/>
          <w:sz w:val="24"/>
          <w:szCs w:val="24"/>
          <w:spacing w:val="-11"/>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1.27mg/L</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，氟化物：</w:t>
      </w:r>
      <w:r>
        <w:rPr>
          <w:rFonts w:ascii="Times New Roman" w:hAnsi="Times New Roman" w:eastAsia="Times New Roman" w:cs="Times New Roman"/>
          <w:sz w:val="24"/>
          <w:szCs w:val="24"/>
          <w:spacing w:val="-1"/>
        </w:rPr>
        <w:t>1.67</w:t>
      </w:r>
      <w:r>
        <w:rPr>
          <w:rFonts w:ascii="Times New Roman" w:hAnsi="Times New Roman" w:eastAsia="Times New Roman" w:cs="Times New Roman"/>
          <w:sz w:val="24"/>
          <w:szCs w:val="24"/>
          <w:spacing w:val="-2"/>
        </w:rPr>
        <w:t>mg/L</w:t>
      </w:r>
      <w:r>
        <w:rPr>
          <w:rFonts w:ascii="FangSong" w:hAnsi="FangSong" w:eastAsia="FangSong" w:cs="FangSong"/>
          <w:sz w:val="24"/>
          <w:szCs w:val="24"/>
          <w:spacing w:val="-2"/>
        </w:rPr>
        <w:t>。</w:t>
      </w:r>
    </w:p>
    <w:p>
      <w:pPr>
        <w:ind w:left="509"/>
        <w:spacing w:before="23" w:line="221" w:lineRule="auto"/>
        <w:rPr>
          <w:rFonts w:ascii="FangSong" w:hAnsi="FangSong" w:eastAsia="FangSong" w:cs="FangSong"/>
          <w:sz w:val="24"/>
          <w:szCs w:val="24"/>
        </w:rPr>
      </w:pPr>
      <w:r>
        <w:rPr>
          <w:rFonts w:ascii="FangSong" w:hAnsi="FangSong" w:eastAsia="FangSong" w:cs="FangSong"/>
          <w:sz w:val="24"/>
          <w:szCs w:val="24"/>
          <w:spacing w:val="-1"/>
        </w:rPr>
        <w:t>综上，本项目建成运行后各类废水污染物产生及排放情况见表表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4.13-6</w:t>
      </w:r>
      <w:r>
        <w:rPr>
          <w:rFonts w:ascii="FangSong" w:hAnsi="FangSong" w:eastAsia="FangSong" w:cs="FangSong"/>
          <w:sz w:val="24"/>
          <w:szCs w:val="24"/>
          <w:spacing w:val="-1"/>
        </w:rPr>
        <w:t>。</w:t>
      </w:r>
    </w:p>
    <w:p>
      <w:pPr>
        <w:spacing w:line="221" w:lineRule="auto"/>
        <w:sectPr>
          <w:headerReference w:type="default" r:id="rId52"/>
          <w:footerReference w:type="default" r:id="rId173"/>
          <w:pgSz w:w="11911" w:h="16839"/>
          <w:pgMar w:top="400" w:right="1341" w:bottom="1146" w:left="1786" w:header="0" w:footer="984" w:gutter="0"/>
        </w:sectPr>
        <w:rPr>
          <w:rFonts w:ascii="FangSong" w:hAnsi="FangSong" w:eastAsia="FangSong" w:cs="FangSong"/>
          <w:sz w:val="24"/>
          <w:szCs w:val="24"/>
        </w:rPr>
      </w:pP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4919"/>
        <w:spacing w:before="78"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4.13-6  </w:t>
      </w:r>
      <w:r>
        <w:rPr>
          <w:rFonts w:ascii="FangSong" w:hAnsi="FangSong" w:eastAsia="FangSong" w:cs="FangSong"/>
          <w:sz w:val="24"/>
          <w:szCs w:val="24"/>
          <w:b/>
          <w:bCs/>
          <w:spacing w:val="-2"/>
        </w:rPr>
        <w:t>项目废水污染物排放情况</w:t>
      </w:r>
      <w:r>
        <w:rPr>
          <w:rFonts w:ascii="FangSong" w:hAnsi="FangSong" w:eastAsia="FangSong" w:cs="FangSong"/>
          <w:sz w:val="24"/>
          <w:szCs w:val="24"/>
          <w:b/>
          <w:bCs/>
          <w:spacing w:val="-3"/>
        </w:rPr>
        <w:t>一览表</w:t>
      </w:r>
    </w:p>
    <w:p>
      <w:pPr>
        <w:spacing w:line="144" w:lineRule="exact"/>
        <w:rPr/>
      </w:pPr>
      <w:r/>
    </w:p>
    <w:tbl>
      <w:tblPr>
        <w:tblStyle w:val="TableNormal"/>
        <w:tblW w:w="142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2"/>
        <w:gridCol w:w="1144"/>
        <w:gridCol w:w="1559"/>
        <w:gridCol w:w="892"/>
        <w:gridCol w:w="862"/>
        <w:gridCol w:w="842"/>
        <w:gridCol w:w="814"/>
        <w:gridCol w:w="1098"/>
        <w:gridCol w:w="922"/>
        <w:gridCol w:w="1764"/>
        <w:gridCol w:w="3190"/>
      </w:tblGrid>
      <w:tr>
        <w:trPr>
          <w:trHeight w:val="336" w:hRule="atLeast"/>
        </w:trPr>
        <w:tc>
          <w:tcPr>
            <w:tcW w:w="1132" w:type="dxa"/>
            <w:vAlign w:val="top"/>
            <w:vMerge w:val="restart"/>
            <w:tcBorders>
              <w:top w:val="single" w:color="000000" w:sz="10" w:space="0"/>
              <w:left w:val="nil"/>
              <w:bottom w:val="nil"/>
            </w:tcBorders>
          </w:tcPr>
          <w:p>
            <w:pPr>
              <w:spacing w:line="249" w:lineRule="auto"/>
              <w:rPr>
                <w:rFonts w:ascii="Arial"/>
                <w:sz w:val="21"/>
              </w:rPr>
            </w:pPr>
            <w:r/>
          </w:p>
          <w:p>
            <w:pPr>
              <w:pStyle w:val="TableText"/>
              <w:ind w:left="268"/>
              <w:spacing w:before="65" w:line="231" w:lineRule="auto"/>
              <w:rPr/>
            </w:pPr>
            <w:r>
              <w:rPr>
                <w:spacing w:val="3"/>
              </w:rPr>
              <w:t>污染源</w:t>
            </w:r>
          </w:p>
        </w:tc>
        <w:tc>
          <w:tcPr>
            <w:tcW w:w="2703" w:type="dxa"/>
            <w:vAlign w:val="top"/>
            <w:gridSpan w:val="2"/>
            <w:vMerge w:val="restart"/>
            <w:tcBorders>
              <w:top w:val="single" w:color="000000" w:sz="10" w:space="0"/>
              <w:bottom w:val="nil"/>
            </w:tcBorders>
          </w:tcPr>
          <w:p>
            <w:pPr>
              <w:pStyle w:val="TableText"/>
              <w:ind w:left="1167" w:right="1034" w:hanging="117"/>
              <w:spacing w:before="202" w:line="250" w:lineRule="auto"/>
              <w:rPr>
                <w:rFonts w:ascii="Times New Roman" w:hAnsi="Times New Roman" w:eastAsia="Times New Roman" w:cs="Times New Roman"/>
                <w:sz w:val="19"/>
                <w:szCs w:val="19"/>
              </w:rPr>
            </w:pPr>
            <w:r>
              <w:rPr>
                <w:spacing w:val="4"/>
              </w:rPr>
              <w:t>废水量</w:t>
            </w:r>
            <w:r>
              <w:rPr>
                <w:rFonts w:ascii="Times New Roman" w:hAnsi="Times New Roman" w:eastAsia="Times New Roman" w:cs="Times New Roman"/>
                <w:sz w:val="19"/>
                <w:szCs w:val="19"/>
                <w:spacing w:val="4"/>
                <w:position w:val="-1"/>
              </w:rPr>
              <w:t>m</w:t>
            </w:r>
            <w:r>
              <w:rPr>
                <w:rFonts w:ascii="Times New Roman" w:hAnsi="Times New Roman" w:eastAsia="Times New Roman" w:cs="Times New Roman"/>
                <w:sz w:val="12"/>
                <w:szCs w:val="12"/>
                <w:spacing w:val="4"/>
                <w:position w:val="5"/>
              </w:rPr>
              <w:t>3</w:t>
            </w:r>
            <w:r>
              <w:rPr>
                <w:rFonts w:ascii="Times New Roman" w:hAnsi="Times New Roman" w:eastAsia="Times New Roman" w:cs="Times New Roman"/>
                <w:sz w:val="19"/>
                <w:szCs w:val="19"/>
                <w:spacing w:val="4"/>
                <w:position w:val="-1"/>
              </w:rPr>
              <w:t>/a</w:t>
            </w:r>
          </w:p>
        </w:tc>
        <w:tc>
          <w:tcPr>
            <w:tcW w:w="5430" w:type="dxa"/>
            <w:vAlign w:val="top"/>
            <w:gridSpan w:val="6"/>
            <w:tcBorders>
              <w:top w:val="single" w:color="000000" w:sz="10" w:space="0"/>
            </w:tcBorders>
          </w:tcPr>
          <w:p>
            <w:pPr>
              <w:pStyle w:val="TableText"/>
              <w:ind w:left="2414"/>
              <w:spacing w:before="62" w:line="229" w:lineRule="auto"/>
              <w:rPr/>
            </w:pPr>
            <w:r>
              <w:rPr>
                <w:spacing w:val="3"/>
              </w:rPr>
              <w:t>污染物</w:t>
            </w:r>
          </w:p>
        </w:tc>
        <w:tc>
          <w:tcPr>
            <w:tcW w:w="1764" w:type="dxa"/>
            <w:vAlign w:val="top"/>
            <w:vMerge w:val="restart"/>
            <w:tcBorders>
              <w:top w:val="single" w:color="000000" w:sz="10" w:space="0"/>
              <w:bottom w:val="nil"/>
            </w:tcBorders>
          </w:tcPr>
          <w:p>
            <w:pPr>
              <w:spacing w:line="249" w:lineRule="auto"/>
              <w:rPr>
                <w:rFonts w:ascii="Arial"/>
                <w:sz w:val="21"/>
              </w:rPr>
            </w:pPr>
            <w:r/>
          </w:p>
          <w:p>
            <w:pPr>
              <w:pStyle w:val="TableText"/>
              <w:ind w:left="475"/>
              <w:spacing w:before="65" w:line="232" w:lineRule="auto"/>
              <w:rPr/>
            </w:pPr>
            <w:r>
              <w:rPr>
                <w:spacing w:val="5"/>
              </w:rPr>
              <w:t>处置措施</w:t>
            </w:r>
          </w:p>
        </w:tc>
        <w:tc>
          <w:tcPr>
            <w:tcW w:w="3190" w:type="dxa"/>
            <w:vAlign w:val="top"/>
            <w:vMerge w:val="restart"/>
            <w:tcBorders>
              <w:top w:val="single" w:color="000000" w:sz="10" w:space="0"/>
              <w:right w:val="nil"/>
              <w:bottom w:val="nil"/>
            </w:tcBorders>
          </w:tcPr>
          <w:p>
            <w:pPr>
              <w:spacing w:line="249" w:lineRule="auto"/>
              <w:rPr>
                <w:rFonts w:ascii="Arial"/>
                <w:sz w:val="21"/>
              </w:rPr>
            </w:pPr>
            <w:r/>
          </w:p>
          <w:p>
            <w:pPr>
              <w:pStyle w:val="TableText"/>
              <w:ind w:left="1185"/>
              <w:spacing w:before="65" w:line="231" w:lineRule="auto"/>
              <w:rPr/>
            </w:pPr>
            <w:r>
              <w:rPr>
                <w:spacing w:val="6"/>
              </w:rPr>
              <w:t>排放去向</w:t>
            </w:r>
          </w:p>
        </w:tc>
      </w:tr>
      <w:tr>
        <w:trPr>
          <w:trHeight w:val="500" w:hRule="atLeast"/>
        </w:trPr>
        <w:tc>
          <w:tcPr>
            <w:tcW w:w="1132" w:type="dxa"/>
            <w:vAlign w:val="top"/>
            <w:vMerge w:val="continue"/>
            <w:tcBorders>
              <w:top w:val="nil"/>
              <w:left w:val="nil"/>
            </w:tcBorders>
          </w:tcPr>
          <w:p>
            <w:pPr>
              <w:rPr>
                <w:rFonts w:ascii="Arial"/>
                <w:sz w:val="21"/>
              </w:rPr>
            </w:pPr>
            <w:r/>
          </w:p>
        </w:tc>
        <w:tc>
          <w:tcPr>
            <w:tcW w:w="2703" w:type="dxa"/>
            <w:vAlign w:val="top"/>
            <w:gridSpan w:val="2"/>
            <w:vMerge w:val="continue"/>
            <w:tcBorders>
              <w:top w:val="nil"/>
            </w:tcBorders>
          </w:tcPr>
          <w:p>
            <w:pPr>
              <w:rPr>
                <w:rFonts w:ascii="Arial"/>
                <w:sz w:val="21"/>
              </w:rPr>
            </w:pPr>
            <w:r/>
          </w:p>
        </w:tc>
        <w:tc>
          <w:tcPr>
            <w:tcW w:w="892" w:type="dxa"/>
            <w:vAlign w:val="top"/>
          </w:tcPr>
          <w:p>
            <w:pPr>
              <w:ind w:left="229"/>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862" w:type="dxa"/>
            <w:vAlign w:val="top"/>
          </w:tcPr>
          <w:p>
            <w:pPr>
              <w:ind w:left="176"/>
              <w:spacing w:before="181"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BOD</w:t>
            </w:r>
            <w:r>
              <w:rPr>
                <w:rFonts w:ascii="Times New Roman" w:hAnsi="Times New Roman" w:eastAsia="Times New Roman" w:cs="Times New Roman"/>
                <w:sz w:val="13"/>
                <w:szCs w:val="13"/>
                <w:spacing w:val="5"/>
                <w:position w:val="-1"/>
              </w:rPr>
              <w:t>5</w:t>
            </w:r>
          </w:p>
        </w:tc>
        <w:tc>
          <w:tcPr>
            <w:tcW w:w="842" w:type="dxa"/>
            <w:vAlign w:val="top"/>
          </w:tcPr>
          <w:p>
            <w:pPr>
              <w:ind w:left="315"/>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814" w:type="dxa"/>
            <w:vAlign w:val="top"/>
          </w:tcPr>
          <w:p>
            <w:pPr>
              <w:ind w:left="105"/>
              <w:spacing w:before="184"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1098" w:type="dxa"/>
            <w:vAlign w:val="top"/>
          </w:tcPr>
          <w:p>
            <w:pPr>
              <w:pStyle w:val="TableText"/>
              <w:ind w:left="142"/>
              <w:spacing w:before="143" w:line="229" w:lineRule="auto"/>
              <w:rPr/>
            </w:pPr>
            <w:r>
              <w:rPr>
                <w:spacing w:val="5"/>
              </w:rPr>
              <w:t>动植物油</w:t>
            </w:r>
          </w:p>
        </w:tc>
        <w:tc>
          <w:tcPr>
            <w:tcW w:w="922" w:type="dxa"/>
            <w:vAlign w:val="top"/>
          </w:tcPr>
          <w:p>
            <w:pPr>
              <w:pStyle w:val="TableText"/>
              <w:ind w:left="164"/>
              <w:spacing w:before="143" w:line="229" w:lineRule="auto"/>
              <w:rPr/>
            </w:pPr>
            <w:r>
              <w:rPr>
                <w:spacing w:val="3"/>
              </w:rPr>
              <w:t>氟化物</w:t>
            </w:r>
          </w:p>
        </w:tc>
        <w:tc>
          <w:tcPr>
            <w:tcW w:w="1764" w:type="dxa"/>
            <w:vAlign w:val="top"/>
            <w:vMerge w:val="continue"/>
            <w:tcBorders>
              <w:top w:val="nil"/>
            </w:tcBorders>
          </w:tcPr>
          <w:p>
            <w:pPr>
              <w:rPr>
                <w:rFonts w:ascii="Arial"/>
                <w:sz w:val="21"/>
              </w:rPr>
            </w:pPr>
            <w:r/>
          </w:p>
        </w:tc>
        <w:tc>
          <w:tcPr>
            <w:tcW w:w="3190" w:type="dxa"/>
            <w:vAlign w:val="top"/>
            <w:vMerge w:val="continue"/>
            <w:tcBorders>
              <w:top w:val="nil"/>
              <w:right w:val="nil"/>
            </w:tcBorders>
          </w:tcPr>
          <w:p>
            <w:pPr>
              <w:rPr>
                <w:rFonts w:ascii="Arial"/>
                <w:sz w:val="21"/>
              </w:rPr>
            </w:pPr>
            <w:r/>
          </w:p>
        </w:tc>
      </w:tr>
      <w:tr>
        <w:trPr>
          <w:trHeight w:val="684" w:hRule="atLeast"/>
        </w:trPr>
        <w:tc>
          <w:tcPr>
            <w:tcW w:w="1132" w:type="dxa"/>
            <w:vAlign w:val="top"/>
            <w:vMerge w:val="restart"/>
            <w:tcBorders>
              <w:left w:val="nil"/>
              <w:bottom w:val="nil"/>
            </w:tcBorders>
          </w:tcPr>
          <w:p>
            <w:pPr>
              <w:pStyle w:val="TableText"/>
              <w:ind w:left="277"/>
              <w:spacing w:before="229" w:line="232" w:lineRule="auto"/>
              <w:rPr/>
            </w:pPr>
            <w:r>
              <w:rPr/>
              <w:t>生活污</w:t>
            </w:r>
          </w:p>
          <w:p>
            <w:pPr>
              <w:pStyle w:val="TableText"/>
              <w:ind w:left="158"/>
              <w:spacing w:before="19" w:line="232" w:lineRule="auto"/>
              <w:rPr/>
            </w:pPr>
            <w:r>
              <w:rPr>
                <w:spacing w:val="6"/>
              </w:rPr>
              <w:t>水、食堂</w:t>
            </w:r>
          </w:p>
          <w:p>
            <w:pPr>
              <w:pStyle w:val="TableText"/>
              <w:ind w:left="372"/>
              <w:spacing w:before="19" w:line="232" w:lineRule="auto"/>
              <w:rPr/>
            </w:pPr>
            <w:r>
              <w:rPr/>
              <w:t>废水</w:t>
            </w:r>
          </w:p>
        </w:tc>
        <w:tc>
          <w:tcPr>
            <w:tcW w:w="1144" w:type="dxa"/>
            <w:vAlign w:val="top"/>
            <w:vMerge w:val="restart"/>
            <w:tcBorders>
              <w:bottom w:val="nil"/>
            </w:tcBorders>
          </w:tcPr>
          <w:p>
            <w:pPr>
              <w:spacing w:line="477" w:lineRule="auto"/>
              <w:rPr>
                <w:rFonts w:ascii="Arial"/>
                <w:sz w:val="21"/>
              </w:rPr>
            </w:pPr>
            <w:r/>
          </w:p>
          <w:p>
            <w:pPr>
              <w:ind w:left="23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4148.64</w:t>
            </w:r>
          </w:p>
        </w:tc>
        <w:tc>
          <w:tcPr>
            <w:tcW w:w="1559" w:type="dxa"/>
            <w:vAlign w:val="top"/>
          </w:tcPr>
          <w:p>
            <w:pPr>
              <w:pStyle w:val="TableText"/>
              <w:ind w:left="551" w:right="252" w:hanging="284"/>
              <w:spacing w:before="117" w:line="257" w:lineRule="auto"/>
              <w:rPr>
                <w:rFonts w:ascii="Times New Roman" w:hAnsi="Times New Roman" w:eastAsia="Times New Roman" w:cs="Times New Roman"/>
              </w:rPr>
            </w:pPr>
            <w:r>
              <w:rPr>
                <w:spacing w:val="6"/>
              </w:rPr>
              <w:t>处理后浓度</w:t>
            </w:r>
            <w:r>
              <w:rPr>
                <w:rFonts w:ascii="Times New Roman" w:hAnsi="Times New Roman" w:eastAsia="Times New Roman" w:cs="Times New Roman"/>
              </w:rPr>
              <w:t>mg</w:t>
            </w:r>
            <w:r>
              <w:rPr>
                <w:rFonts w:ascii="Times New Roman" w:hAnsi="Times New Roman" w:eastAsia="Times New Roman" w:cs="Times New Roman"/>
                <w:spacing w:val="8"/>
              </w:rPr>
              <w:t>/L</w:t>
            </w:r>
          </w:p>
        </w:tc>
        <w:tc>
          <w:tcPr>
            <w:tcW w:w="892" w:type="dxa"/>
            <w:vAlign w:val="top"/>
          </w:tcPr>
          <w:p>
            <w:pPr>
              <w:ind w:left="212"/>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292.9</w:t>
            </w:r>
          </w:p>
        </w:tc>
        <w:tc>
          <w:tcPr>
            <w:tcW w:w="862" w:type="dxa"/>
            <w:vAlign w:val="top"/>
          </w:tcPr>
          <w:p>
            <w:pPr>
              <w:ind w:left="21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164.3</w:t>
            </w:r>
          </w:p>
        </w:tc>
        <w:tc>
          <w:tcPr>
            <w:tcW w:w="842" w:type="dxa"/>
            <w:vAlign w:val="top"/>
          </w:tcPr>
          <w:p>
            <w:pPr>
              <w:ind w:left="20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171.4</w:t>
            </w:r>
          </w:p>
        </w:tc>
        <w:tc>
          <w:tcPr>
            <w:tcW w:w="814" w:type="dxa"/>
            <w:vAlign w:val="top"/>
          </w:tcPr>
          <w:p>
            <w:pPr>
              <w:ind w:left="304"/>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098" w:type="dxa"/>
            <w:vAlign w:val="top"/>
          </w:tcPr>
          <w:p>
            <w:pPr>
              <w:ind w:left="368"/>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25.7</w:t>
            </w:r>
          </w:p>
        </w:tc>
        <w:tc>
          <w:tcPr>
            <w:tcW w:w="922" w:type="dxa"/>
            <w:vAlign w:val="top"/>
          </w:tcPr>
          <w:p>
            <w:pPr>
              <w:ind w:left="430"/>
              <w:spacing w:before="27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64" w:type="dxa"/>
            <w:vAlign w:val="top"/>
            <w:vMerge w:val="restart"/>
            <w:tcBorders>
              <w:bottom w:val="nil"/>
            </w:tcBorders>
          </w:tcPr>
          <w:p>
            <w:pPr>
              <w:pStyle w:val="TableText"/>
              <w:ind w:left="115" w:right="107" w:firstLine="53"/>
              <w:spacing w:before="228" w:line="251" w:lineRule="auto"/>
              <w:jc w:val="both"/>
              <w:rPr/>
            </w:pPr>
            <w:r>
              <w:rPr>
                <w:spacing w:val="6"/>
              </w:rPr>
              <w:t>隔油（隔油效率</w:t>
            </w:r>
            <w:r>
              <w:rPr>
                <w:rFonts w:ascii="Times New Roman" w:hAnsi="Times New Roman" w:eastAsia="Times New Roman" w:cs="Times New Roman"/>
                <w:spacing w:val="10"/>
              </w:rPr>
              <w:t>70%</w:t>
            </w:r>
            <w:r>
              <w:rPr>
                <w:rFonts w:ascii="Times New Roman" w:hAnsi="Times New Roman" w:eastAsia="Times New Roman" w:cs="Times New Roman"/>
                <w:spacing w:val="-18"/>
              </w:rPr>
              <w:t xml:space="preserve"> </w:t>
            </w:r>
            <w:r>
              <w:rPr>
                <w:spacing w:val="10"/>
              </w:rPr>
              <w:t>、沉淀效率</w:t>
            </w:r>
            <w:r>
              <w:rPr>
                <w:rFonts w:ascii="Times New Roman" w:hAnsi="Times New Roman" w:eastAsia="Times New Roman" w:cs="Times New Roman"/>
                <w:spacing w:val="3"/>
              </w:rPr>
              <w:t>50%</w:t>
            </w:r>
            <w:r>
              <w:rPr>
                <w:spacing w:val="3"/>
              </w:rPr>
              <w:t>）</w:t>
            </w:r>
            <w:r>
              <w:rPr>
                <w:rFonts w:ascii="Times New Roman" w:hAnsi="Times New Roman" w:eastAsia="Times New Roman" w:cs="Times New Roman"/>
                <w:spacing w:val="3"/>
              </w:rPr>
              <w:t>+</w:t>
            </w:r>
            <w:r>
              <w:rPr>
                <w:rFonts w:ascii="Times New Roman" w:hAnsi="Times New Roman" w:eastAsia="Times New Roman" w:cs="Times New Roman"/>
                <w:spacing w:val="-22"/>
              </w:rPr>
              <w:t xml:space="preserve"> </w:t>
            </w:r>
            <w:r>
              <w:rPr>
                <w:spacing w:val="3"/>
              </w:rPr>
              <w:t>防渗储池</w:t>
            </w:r>
          </w:p>
        </w:tc>
        <w:tc>
          <w:tcPr>
            <w:tcW w:w="3190" w:type="dxa"/>
            <w:vAlign w:val="top"/>
            <w:vMerge w:val="restart"/>
            <w:tcBorders>
              <w:right w:val="nil"/>
              <w:bottom w:val="nil"/>
            </w:tcBorders>
          </w:tcPr>
          <w:p>
            <w:pPr>
              <w:pStyle w:val="TableText"/>
              <w:ind w:left="143" w:right="127" w:firstLine="5"/>
              <w:spacing w:before="91" w:line="252" w:lineRule="auto"/>
              <w:jc w:val="both"/>
              <w:rPr/>
            </w:pPr>
            <w:r>
              <w:rPr>
                <w:spacing w:val="7"/>
              </w:rPr>
              <w:t>生活污水与经隔油池处理后的食</w:t>
            </w:r>
            <w:r>
              <w:rPr>
                <w:spacing w:val="8"/>
              </w:rPr>
              <w:t>堂废水排入防渗储池内，定期运</w:t>
            </w:r>
            <w:r>
              <w:rPr>
                <w:spacing w:val="8"/>
              </w:rPr>
              <w:t>至内蒙古锡林郭勒盟苏尼特右旗</w:t>
            </w:r>
            <w:r>
              <w:rPr>
                <w:spacing w:val="15"/>
              </w:rPr>
              <w:t>赛汉塔拉镇污水处理厂处理。</w:t>
            </w:r>
          </w:p>
        </w:tc>
      </w:tr>
      <w:tr>
        <w:trPr>
          <w:trHeight w:val="516" w:hRule="atLeast"/>
        </w:trPr>
        <w:tc>
          <w:tcPr>
            <w:tcW w:w="1132" w:type="dxa"/>
            <w:vAlign w:val="top"/>
            <w:vMerge w:val="continue"/>
            <w:tcBorders>
              <w:left w:val="nil"/>
              <w:top w:val="nil"/>
            </w:tcBorders>
          </w:tcPr>
          <w:p>
            <w:pPr>
              <w:rPr>
                <w:rFonts w:ascii="Arial"/>
                <w:sz w:val="21"/>
              </w:rPr>
            </w:pPr>
            <w:r/>
          </w:p>
        </w:tc>
        <w:tc>
          <w:tcPr>
            <w:tcW w:w="1144" w:type="dxa"/>
            <w:vAlign w:val="top"/>
            <w:vMerge w:val="continue"/>
            <w:tcBorders>
              <w:top w:val="nil"/>
            </w:tcBorders>
          </w:tcPr>
          <w:p>
            <w:pPr>
              <w:rPr>
                <w:rFonts w:ascii="Arial"/>
                <w:sz w:val="21"/>
              </w:rPr>
            </w:pPr>
            <w:r/>
          </w:p>
        </w:tc>
        <w:tc>
          <w:tcPr>
            <w:tcW w:w="1559" w:type="dxa"/>
            <w:vAlign w:val="top"/>
          </w:tcPr>
          <w:p>
            <w:pPr>
              <w:pStyle w:val="TableText"/>
              <w:ind w:left="161"/>
              <w:spacing w:before="38" w:line="232" w:lineRule="auto"/>
              <w:rPr/>
            </w:pPr>
            <w:r>
              <w:rPr>
                <w:spacing w:val="7"/>
              </w:rPr>
              <w:t>处理后产生量</w:t>
            </w:r>
          </w:p>
          <w:p>
            <w:pPr>
              <w:ind w:left="674"/>
              <w:spacing w:before="3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892" w:type="dxa"/>
            <w:vAlign w:val="top"/>
          </w:tcPr>
          <w:p>
            <w:pPr>
              <w:ind w:left="232"/>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1.215</w:t>
            </w:r>
          </w:p>
        </w:tc>
        <w:tc>
          <w:tcPr>
            <w:tcW w:w="862" w:type="dxa"/>
            <w:vAlign w:val="top"/>
          </w:tcPr>
          <w:p>
            <w:pPr>
              <w:ind w:left="199"/>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0.682</w:t>
            </w:r>
          </w:p>
        </w:tc>
        <w:tc>
          <w:tcPr>
            <w:tcW w:w="842" w:type="dxa"/>
            <w:vAlign w:val="top"/>
          </w:tcPr>
          <w:p>
            <w:pPr>
              <w:ind w:left="194"/>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0.711</w:t>
            </w:r>
          </w:p>
        </w:tc>
        <w:tc>
          <w:tcPr>
            <w:tcW w:w="814" w:type="dxa"/>
            <w:vAlign w:val="top"/>
          </w:tcPr>
          <w:p>
            <w:pPr>
              <w:ind w:left="17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0.104</w:t>
            </w:r>
          </w:p>
        </w:tc>
        <w:tc>
          <w:tcPr>
            <w:tcW w:w="1098" w:type="dxa"/>
            <w:vAlign w:val="top"/>
          </w:tcPr>
          <w:p>
            <w:pPr>
              <w:ind w:left="319"/>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0.107</w:t>
            </w:r>
          </w:p>
        </w:tc>
        <w:tc>
          <w:tcPr>
            <w:tcW w:w="922" w:type="dxa"/>
            <w:vAlign w:val="top"/>
          </w:tcPr>
          <w:p>
            <w:pPr>
              <w:ind w:left="430"/>
              <w:spacing w:before="19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64" w:type="dxa"/>
            <w:vAlign w:val="top"/>
            <w:vMerge w:val="continue"/>
            <w:tcBorders>
              <w:top w:val="nil"/>
            </w:tcBorders>
          </w:tcPr>
          <w:p>
            <w:pPr>
              <w:rPr>
                <w:rFonts w:ascii="Arial"/>
                <w:sz w:val="21"/>
              </w:rPr>
            </w:pPr>
            <w:r/>
          </w:p>
        </w:tc>
        <w:tc>
          <w:tcPr>
            <w:tcW w:w="3190" w:type="dxa"/>
            <w:vAlign w:val="top"/>
            <w:vMerge w:val="continue"/>
            <w:tcBorders>
              <w:right w:val="nil"/>
              <w:top w:val="nil"/>
            </w:tcBorders>
          </w:tcPr>
          <w:p>
            <w:pPr>
              <w:rPr>
                <w:rFonts w:ascii="Arial"/>
                <w:sz w:val="21"/>
              </w:rPr>
            </w:pPr>
            <w:r/>
          </w:p>
        </w:tc>
      </w:tr>
      <w:tr>
        <w:trPr>
          <w:trHeight w:val="516" w:hRule="atLeast"/>
        </w:trPr>
        <w:tc>
          <w:tcPr>
            <w:tcW w:w="1132" w:type="dxa"/>
            <w:vAlign w:val="top"/>
            <w:vMerge w:val="restart"/>
            <w:tcBorders>
              <w:left w:val="nil"/>
              <w:bottom w:val="nil"/>
            </w:tcBorders>
          </w:tcPr>
          <w:p>
            <w:pPr>
              <w:spacing w:line="325" w:lineRule="auto"/>
              <w:rPr>
                <w:rFonts w:ascii="Arial"/>
                <w:sz w:val="21"/>
              </w:rPr>
            </w:pPr>
            <w:r/>
          </w:p>
          <w:p>
            <w:pPr>
              <w:spacing w:line="326" w:lineRule="auto"/>
              <w:rPr>
                <w:rFonts w:ascii="Arial"/>
                <w:sz w:val="21"/>
              </w:rPr>
            </w:pPr>
            <w:r/>
          </w:p>
          <w:p>
            <w:pPr>
              <w:pStyle w:val="TableText"/>
              <w:ind w:left="159"/>
              <w:spacing w:before="65" w:line="230" w:lineRule="auto"/>
              <w:rPr/>
            </w:pPr>
            <w:r>
              <w:rPr>
                <w:spacing w:val="5"/>
              </w:rPr>
              <w:t>矿井涌水</w:t>
            </w:r>
          </w:p>
        </w:tc>
        <w:tc>
          <w:tcPr>
            <w:tcW w:w="1144" w:type="dxa"/>
            <w:vAlign w:val="top"/>
            <w:vMerge w:val="restart"/>
            <w:tcBorders>
              <w:bottom w:val="nil"/>
            </w:tcBorders>
          </w:tcPr>
          <w:p>
            <w:pPr>
              <w:spacing w:line="348" w:lineRule="auto"/>
              <w:rPr>
                <w:rFonts w:ascii="Arial"/>
                <w:sz w:val="21"/>
              </w:rPr>
            </w:pPr>
            <w:r/>
          </w:p>
          <w:p>
            <w:pPr>
              <w:spacing w:line="348" w:lineRule="auto"/>
              <w:rPr>
                <w:rFonts w:ascii="Arial"/>
                <w:sz w:val="21"/>
              </w:rPr>
            </w:pPr>
            <w:r/>
          </w:p>
          <w:p>
            <w:pPr>
              <w:ind w:left="13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348537.00</w:t>
            </w:r>
          </w:p>
        </w:tc>
        <w:tc>
          <w:tcPr>
            <w:tcW w:w="1559" w:type="dxa"/>
            <w:vAlign w:val="top"/>
          </w:tcPr>
          <w:p>
            <w:pPr>
              <w:pStyle w:val="TableText"/>
              <w:ind w:left="551" w:right="252" w:hanging="284"/>
              <w:spacing w:before="40" w:line="228" w:lineRule="auto"/>
              <w:rPr>
                <w:rFonts w:ascii="Times New Roman" w:hAnsi="Times New Roman" w:eastAsia="Times New Roman" w:cs="Times New Roman"/>
              </w:rPr>
            </w:pPr>
            <w:r>
              <w:rPr>
                <w:spacing w:val="6"/>
              </w:rPr>
              <w:t>处理后浓度</w:t>
            </w:r>
            <w:r>
              <w:rPr>
                <w:rFonts w:ascii="Times New Roman" w:hAnsi="Times New Roman" w:eastAsia="Times New Roman" w:cs="Times New Roman"/>
              </w:rPr>
              <w:t>mg</w:t>
            </w:r>
            <w:r>
              <w:rPr>
                <w:rFonts w:ascii="Times New Roman" w:hAnsi="Times New Roman" w:eastAsia="Times New Roman" w:cs="Times New Roman"/>
                <w:spacing w:val="8"/>
              </w:rPr>
              <w:t>/L</w:t>
            </w:r>
          </w:p>
        </w:tc>
        <w:tc>
          <w:tcPr>
            <w:tcW w:w="892" w:type="dxa"/>
            <w:vAlign w:val="top"/>
          </w:tcPr>
          <w:p>
            <w:pPr>
              <w:ind w:left="361"/>
              <w:spacing w:before="1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862" w:type="dxa"/>
            <w:vAlign w:val="top"/>
          </w:tcPr>
          <w:p>
            <w:pPr>
              <w:ind w:left="400"/>
              <w:spacing w:before="19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42" w:type="dxa"/>
            <w:vAlign w:val="top"/>
          </w:tcPr>
          <w:p>
            <w:pPr>
              <w:ind w:left="322"/>
              <w:spacing w:before="1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14" w:type="dxa"/>
            <w:vAlign w:val="top"/>
          </w:tcPr>
          <w:p>
            <w:pPr>
              <w:ind w:left="376"/>
              <w:spacing w:before="19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098" w:type="dxa"/>
            <w:vAlign w:val="top"/>
          </w:tcPr>
          <w:p>
            <w:pPr>
              <w:ind w:left="518"/>
              <w:spacing w:before="19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22" w:type="dxa"/>
            <w:vAlign w:val="top"/>
          </w:tcPr>
          <w:p>
            <w:pPr>
              <w:ind w:left="430"/>
              <w:spacing w:before="19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64" w:type="dxa"/>
            <w:vAlign w:val="top"/>
            <w:vMerge w:val="restart"/>
            <w:tcBorders>
              <w:bottom w:val="nil"/>
            </w:tcBorders>
          </w:tcPr>
          <w:p>
            <w:pPr>
              <w:spacing w:line="382" w:lineRule="auto"/>
              <w:rPr>
                <w:rFonts w:ascii="Arial"/>
                <w:sz w:val="21"/>
              </w:rPr>
            </w:pPr>
            <w:r/>
          </w:p>
          <w:p>
            <w:pPr>
              <w:pStyle w:val="TableText"/>
              <w:ind w:left="270"/>
              <w:spacing w:before="65" w:line="230" w:lineRule="auto"/>
              <w:rPr/>
            </w:pPr>
            <w:r>
              <w:rPr>
                <w:spacing w:val="6"/>
              </w:rPr>
              <w:t>高位水池沉淀</w:t>
            </w:r>
          </w:p>
          <w:p>
            <w:pPr>
              <w:pStyle w:val="TableText"/>
              <w:ind w:left="373"/>
              <w:spacing w:before="21" w:line="232" w:lineRule="auto"/>
              <w:rPr/>
            </w:pPr>
            <w:r>
              <w:rPr>
                <w:spacing w:val="6"/>
              </w:rPr>
              <w:t>（沉淀效率</w:t>
            </w:r>
          </w:p>
          <w:p>
            <w:pPr>
              <w:pStyle w:val="TableText"/>
              <w:ind w:left="596"/>
              <w:spacing w:before="22" w:line="265" w:lineRule="exact"/>
              <w:rPr/>
            </w:pPr>
            <w:r>
              <w:rPr>
                <w:rFonts w:ascii="Times New Roman" w:hAnsi="Times New Roman" w:eastAsia="Times New Roman" w:cs="Times New Roman"/>
                <w:spacing w:val="1"/>
                <w:position w:val="1"/>
              </w:rPr>
              <w:t>80%</w:t>
            </w:r>
            <w:r>
              <w:rPr>
                <w:spacing w:val="1"/>
                <w:position w:val="1"/>
              </w:rPr>
              <w:t>）</w:t>
            </w:r>
          </w:p>
        </w:tc>
        <w:tc>
          <w:tcPr>
            <w:tcW w:w="3190" w:type="dxa"/>
            <w:vAlign w:val="top"/>
            <w:vMerge w:val="restart"/>
            <w:tcBorders>
              <w:right w:val="nil"/>
              <w:bottom w:val="nil"/>
            </w:tcBorders>
          </w:tcPr>
          <w:p>
            <w:pPr>
              <w:pStyle w:val="TableText"/>
              <w:ind w:left="137"/>
              <w:spacing w:before="41" w:line="230" w:lineRule="auto"/>
              <w:rPr/>
            </w:pPr>
            <w:r>
              <w:rPr>
                <w:spacing w:val="8"/>
              </w:rPr>
              <w:t>部分矿井涌水经过地表高位水池</w:t>
            </w:r>
          </w:p>
          <w:p>
            <w:pPr>
              <w:pStyle w:val="TableText"/>
              <w:ind w:left="141"/>
              <w:spacing w:before="21" w:line="231" w:lineRule="auto"/>
              <w:rPr/>
            </w:pPr>
            <w:r>
              <w:rPr>
                <w:spacing w:val="5"/>
              </w:rPr>
              <w:t>沉淀处理后，</w:t>
            </w:r>
            <w:r>
              <w:rPr>
                <w:spacing w:val="-53"/>
              </w:rPr>
              <w:t xml:space="preserve"> </w:t>
            </w:r>
            <w:r>
              <w:rPr>
                <w:spacing w:val="5"/>
              </w:rPr>
              <w:t>回用于采矿井下凿</w:t>
            </w:r>
          </w:p>
          <w:p>
            <w:pPr>
              <w:pStyle w:val="TableText"/>
              <w:ind w:left="134"/>
              <w:spacing w:before="23" w:line="229" w:lineRule="auto"/>
              <w:rPr/>
            </w:pPr>
            <w:r>
              <w:rPr>
                <w:spacing w:val="9"/>
              </w:rPr>
              <w:t>岩、爆破降尘、各堆场、道路降</w:t>
            </w:r>
          </w:p>
          <w:p>
            <w:pPr>
              <w:pStyle w:val="TableText"/>
              <w:ind w:left="138"/>
              <w:spacing w:before="22" w:line="231" w:lineRule="auto"/>
              <w:rPr/>
            </w:pPr>
            <w:r>
              <w:rPr>
                <w:spacing w:val="8"/>
              </w:rPr>
              <w:t>尘，剩余部分与选矿废水经回水</w:t>
            </w:r>
          </w:p>
          <w:p>
            <w:pPr>
              <w:pStyle w:val="TableText"/>
              <w:ind w:left="140"/>
              <w:spacing w:before="23" w:line="232" w:lineRule="auto"/>
              <w:rPr/>
            </w:pPr>
            <w:r>
              <w:rPr>
                <w:spacing w:val="5"/>
              </w:rPr>
              <w:t>池混凝沉淀处理后，</w:t>
            </w:r>
            <w:r>
              <w:rPr>
                <w:spacing w:val="-52"/>
              </w:rPr>
              <w:t xml:space="preserve"> </w:t>
            </w:r>
            <w:r>
              <w:rPr>
                <w:spacing w:val="5"/>
              </w:rPr>
              <w:t>回用于选矿</w:t>
            </w:r>
          </w:p>
          <w:p>
            <w:pPr>
              <w:pStyle w:val="TableText"/>
              <w:ind w:left="873"/>
              <w:spacing w:before="21" w:line="202" w:lineRule="auto"/>
              <w:rPr/>
            </w:pPr>
            <w:r>
              <w:rPr>
                <w:spacing w:val="6"/>
              </w:rPr>
              <w:t>用水，不外排。</w:t>
            </w:r>
          </w:p>
        </w:tc>
      </w:tr>
      <w:tr>
        <w:trPr>
          <w:trHeight w:val="1110" w:hRule="atLeast"/>
        </w:trPr>
        <w:tc>
          <w:tcPr>
            <w:tcW w:w="1132" w:type="dxa"/>
            <w:vAlign w:val="top"/>
            <w:vMerge w:val="continue"/>
            <w:tcBorders>
              <w:left w:val="nil"/>
              <w:top w:val="nil"/>
            </w:tcBorders>
          </w:tcPr>
          <w:p>
            <w:pPr>
              <w:rPr>
                <w:rFonts w:ascii="Arial"/>
                <w:sz w:val="21"/>
              </w:rPr>
            </w:pPr>
            <w:r/>
          </w:p>
        </w:tc>
        <w:tc>
          <w:tcPr>
            <w:tcW w:w="1144" w:type="dxa"/>
            <w:vAlign w:val="top"/>
            <w:vMerge w:val="continue"/>
            <w:tcBorders>
              <w:top w:val="nil"/>
            </w:tcBorders>
          </w:tcPr>
          <w:p>
            <w:pPr>
              <w:rPr>
                <w:rFonts w:ascii="Arial"/>
                <w:sz w:val="21"/>
              </w:rPr>
            </w:pPr>
            <w:r/>
          </w:p>
        </w:tc>
        <w:tc>
          <w:tcPr>
            <w:tcW w:w="1559" w:type="dxa"/>
            <w:vAlign w:val="top"/>
          </w:tcPr>
          <w:p>
            <w:pPr>
              <w:spacing w:line="276" w:lineRule="auto"/>
              <w:rPr>
                <w:rFonts w:ascii="Arial"/>
                <w:sz w:val="21"/>
              </w:rPr>
            </w:pPr>
            <w:r/>
          </w:p>
          <w:p>
            <w:pPr>
              <w:pStyle w:val="TableText"/>
              <w:ind w:left="161"/>
              <w:spacing w:before="65" w:line="232" w:lineRule="auto"/>
              <w:rPr/>
            </w:pPr>
            <w:r>
              <w:rPr>
                <w:spacing w:val="7"/>
              </w:rPr>
              <w:t>处理后产生量</w:t>
            </w:r>
          </w:p>
          <w:p>
            <w:pPr>
              <w:ind w:left="674"/>
              <w:spacing w:before="3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892" w:type="dxa"/>
            <w:vAlign w:val="top"/>
          </w:tcPr>
          <w:p>
            <w:pPr>
              <w:spacing w:line="439" w:lineRule="auto"/>
              <w:rPr>
                <w:rFonts w:ascii="Arial"/>
                <w:sz w:val="21"/>
              </w:rPr>
            </w:pPr>
            <w:r/>
          </w:p>
          <w:p>
            <w:pPr>
              <w:ind w:left="2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5.23</w:t>
            </w:r>
          </w:p>
        </w:tc>
        <w:tc>
          <w:tcPr>
            <w:tcW w:w="862" w:type="dxa"/>
            <w:vAlign w:val="top"/>
          </w:tcPr>
          <w:p>
            <w:pPr>
              <w:spacing w:line="435" w:lineRule="auto"/>
              <w:rPr>
                <w:rFonts w:ascii="Arial"/>
                <w:sz w:val="21"/>
              </w:rPr>
            </w:pPr>
            <w:r/>
          </w:p>
          <w:p>
            <w:pPr>
              <w:ind w:left="40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42" w:type="dxa"/>
            <w:vAlign w:val="top"/>
          </w:tcPr>
          <w:p>
            <w:pPr>
              <w:spacing w:line="439" w:lineRule="auto"/>
              <w:rPr>
                <w:rFonts w:ascii="Arial"/>
                <w:sz w:val="21"/>
              </w:rPr>
            </w:pPr>
            <w:r/>
          </w:p>
          <w:p>
            <w:pPr>
              <w:ind w:left="20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10.46</w:t>
            </w:r>
          </w:p>
        </w:tc>
        <w:tc>
          <w:tcPr>
            <w:tcW w:w="814" w:type="dxa"/>
            <w:vAlign w:val="top"/>
          </w:tcPr>
          <w:p>
            <w:pPr>
              <w:spacing w:line="435" w:lineRule="auto"/>
              <w:rPr>
                <w:rFonts w:ascii="Arial"/>
                <w:sz w:val="21"/>
              </w:rPr>
            </w:pPr>
            <w:r/>
          </w:p>
          <w:p>
            <w:pPr>
              <w:ind w:left="376"/>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098" w:type="dxa"/>
            <w:vAlign w:val="top"/>
          </w:tcPr>
          <w:p>
            <w:pPr>
              <w:spacing w:line="435" w:lineRule="auto"/>
              <w:rPr>
                <w:rFonts w:ascii="Arial"/>
                <w:sz w:val="21"/>
              </w:rPr>
            </w:pPr>
            <w:r/>
          </w:p>
          <w:p>
            <w:pPr>
              <w:ind w:left="518"/>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22" w:type="dxa"/>
            <w:vAlign w:val="top"/>
          </w:tcPr>
          <w:p>
            <w:pPr>
              <w:spacing w:line="435" w:lineRule="auto"/>
              <w:rPr>
                <w:rFonts w:ascii="Arial"/>
                <w:sz w:val="21"/>
              </w:rPr>
            </w:pPr>
            <w:r/>
          </w:p>
          <w:p>
            <w:pPr>
              <w:ind w:left="43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64" w:type="dxa"/>
            <w:vAlign w:val="top"/>
            <w:vMerge w:val="continue"/>
            <w:tcBorders>
              <w:top w:val="nil"/>
            </w:tcBorders>
          </w:tcPr>
          <w:p>
            <w:pPr>
              <w:rPr>
                <w:rFonts w:ascii="Arial"/>
                <w:sz w:val="21"/>
              </w:rPr>
            </w:pPr>
            <w:r/>
          </w:p>
        </w:tc>
        <w:tc>
          <w:tcPr>
            <w:tcW w:w="3190" w:type="dxa"/>
            <w:vAlign w:val="top"/>
            <w:vMerge w:val="continue"/>
            <w:tcBorders>
              <w:right w:val="nil"/>
              <w:top w:val="nil"/>
            </w:tcBorders>
          </w:tcPr>
          <w:p>
            <w:pPr>
              <w:rPr>
                <w:rFonts w:ascii="Arial"/>
                <w:sz w:val="21"/>
              </w:rPr>
            </w:pPr>
            <w:r/>
          </w:p>
        </w:tc>
      </w:tr>
      <w:tr>
        <w:trPr>
          <w:trHeight w:val="818" w:hRule="atLeast"/>
        </w:trPr>
        <w:tc>
          <w:tcPr>
            <w:tcW w:w="1132" w:type="dxa"/>
            <w:vAlign w:val="top"/>
            <w:vMerge w:val="restart"/>
            <w:tcBorders>
              <w:bottom w:val="nil"/>
              <w:left w:val="nil"/>
            </w:tcBorders>
          </w:tcPr>
          <w:p>
            <w:pPr>
              <w:spacing w:line="256" w:lineRule="auto"/>
              <w:rPr>
                <w:rFonts w:ascii="Arial"/>
                <w:sz w:val="21"/>
              </w:rPr>
            </w:pPr>
            <w:r/>
          </w:p>
          <w:p>
            <w:pPr>
              <w:spacing w:line="257" w:lineRule="auto"/>
              <w:rPr>
                <w:rFonts w:ascii="Arial"/>
                <w:sz w:val="21"/>
              </w:rPr>
            </w:pPr>
            <w:r/>
          </w:p>
          <w:p>
            <w:pPr>
              <w:pStyle w:val="TableText"/>
              <w:ind w:left="161"/>
              <w:spacing w:before="65" w:line="232" w:lineRule="auto"/>
              <w:rPr/>
            </w:pPr>
            <w:r>
              <w:rPr>
                <w:spacing w:val="5"/>
              </w:rPr>
              <w:t>选矿废水</w:t>
            </w:r>
          </w:p>
        </w:tc>
        <w:tc>
          <w:tcPr>
            <w:tcW w:w="1144" w:type="dxa"/>
            <w:vAlign w:val="top"/>
            <w:vMerge w:val="restart"/>
            <w:tcBorders>
              <w:bottom w:val="nil"/>
            </w:tcBorders>
          </w:tcPr>
          <w:p>
            <w:pPr>
              <w:spacing w:line="279" w:lineRule="auto"/>
              <w:rPr>
                <w:rFonts w:ascii="Arial"/>
                <w:sz w:val="21"/>
              </w:rPr>
            </w:pPr>
            <w:r/>
          </w:p>
          <w:p>
            <w:pPr>
              <w:spacing w:line="280" w:lineRule="auto"/>
              <w:rPr>
                <w:rFonts w:ascii="Arial"/>
                <w:sz w:val="21"/>
              </w:rPr>
            </w:pPr>
            <w:r/>
          </w:p>
          <w:p>
            <w:pPr>
              <w:ind w:left="14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125026.26</w:t>
            </w:r>
          </w:p>
        </w:tc>
        <w:tc>
          <w:tcPr>
            <w:tcW w:w="1559" w:type="dxa"/>
            <w:vAlign w:val="top"/>
          </w:tcPr>
          <w:p>
            <w:pPr>
              <w:pStyle w:val="TableText"/>
              <w:ind w:left="551" w:right="252" w:hanging="284"/>
              <w:spacing w:before="199" w:line="257" w:lineRule="auto"/>
              <w:rPr>
                <w:rFonts w:ascii="Times New Roman" w:hAnsi="Times New Roman" w:eastAsia="Times New Roman" w:cs="Times New Roman"/>
              </w:rPr>
            </w:pPr>
            <w:r>
              <w:rPr>
                <w:spacing w:val="6"/>
              </w:rPr>
              <w:t>处理后浓度</w:t>
            </w:r>
            <w:r>
              <w:rPr>
                <w:rFonts w:ascii="Times New Roman" w:hAnsi="Times New Roman" w:eastAsia="Times New Roman" w:cs="Times New Roman"/>
              </w:rPr>
              <w:t>mg</w:t>
            </w:r>
            <w:r>
              <w:rPr>
                <w:rFonts w:ascii="Times New Roman" w:hAnsi="Times New Roman" w:eastAsia="Times New Roman" w:cs="Times New Roman"/>
                <w:spacing w:val="8"/>
              </w:rPr>
              <w:t>/L</w:t>
            </w:r>
          </w:p>
        </w:tc>
        <w:tc>
          <w:tcPr>
            <w:tcW w:w="892" w:type="dxa"/>
            <w:vAlign w:val="top"/>
          </w:tcPr>
          <w:p>
            <w:pPr>
              <w:spacing w:line="297" w:lineRule="auto"/>
              <w:rPr>
                <w:rFonts w:ascii="Arial"/>
                <w:sz w:val="21"/>
              </w:rPr>
            </w:pPr>
            <w:r/>
          </w:p>
          <w:p>
            <w:pPr>
              <w:ind w:left="34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862" w:type="dxa"/>
            <w:vAlign w:val="top"/>
          </w:tcPr>
          <w:p>
            <w:pPr>
              <w:spacing w:line="293" w:lineRule="auto"/>
              <w:rPr>
                <w:rFonts w:ascii="Arial"/>
                <w:sz w:val="21"/>
              </w:rPr>
            </w:pPr>
            <w:r/>
          </w:p>
          <w:p>
            <w:pPr>
              <w:ind w:left="40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42" w:type="dxa"/>
            <w:vAlign w:val="top"/>
          </w:tcPr>
          <w:p>
            <w:pPr>
              <w:spacing w:line="297" w:lineRule="auto"/>
              <w:rPr>
                <w:rFonts w:ascii="Arial"/>
                <w:sz w:val="21"/>
              </w:rPr>
            </w:pPr>
            <w:r/>
          </w:p>
          <w:p>
            <w:pPr>
              <w:ind w:left="32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14" w:type="dxa"/>
            <w:vAlign w:val="top"/>
          </w:tcPr>
          <w:p>
            <w:pPr>
              <w:spacing w:line="297" w:lineRule="auto"/>
              <w:rPr>
                <w:rFonts w:ascii="Arial"/>
                <w:sz w:val="21"/>
              </w:rPr>
            </w:pPr>
            <w:r/>
          </w:p>
          <w:p>
            <w:pPr>
              <w:ind w:left="24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1.27</w:t>
            </w:r>
          </w:p>
        </w:tc>
        <w:tc>
          <w:tcPr>
            <w:tcW w:w="1098" w:type="dxa"/>
            <w:vAlign w:val="top"/>
          </w:tcPr>
          <w:p>
            <w:pPr>
              <w:spacing w:line="293" w:lineRule="auto"/>
              <w:rPr>
                <w:rFonts w:ascii="Arial"/>
                <w:sz w:val="21"/>
              </w:rPr>
            </w:pPr>
            <w:r/>
          </w:p>
          <w:p>
            <w:pPr>
              <w:ind w:left="518"/>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22" w:type="dxa"/>
            <w:vAlign w:val="top"/>
          </w:tcPr>
          <w:p>
            <w:pPr>
              <w:spacing w:line="297" w:lineRule="auto"/>
              <w:rPr>
                <w:rFonts w:ascii="Arial"/>
                <w:sz w:val="21"/>
              </w:rPr>
            </w:pPr>
            <w:r/>
          </w:p>
          <w:p>
            <w:pPr>
              <w:ind w:left="29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1.67</w:t>
            </w:r>
          </w:p>
        </w:tc>
        <w:tc>
          <w:tcPr>
            <w:tcW w:w="1764" w:type="dxa"/>
            <w:vAlign w:val="top"/>
            <w:vMerge w:val="restart"/>
            <w:tcBorders>
              <w:bottom w:val="nil"/>
            </w:tcBorders>
          </w:tcPr>
          <w:p>
            <w:pPr>
              <w:pStyle w:val="TableText"/>
              <w:ind w:left="183"/>
              <w:spacing w:before="173" w:line="232" w:lineRule="auto"/>
              <w:rPr/>
            </w:pPr>
            <w:r>
              <w:rPr>
                <w:spacing w:val="4"/>
              </w:rPr>
              <w:t>回水池混凝沉淀</w:t>
            </w:r>
          </w:p>
          <w:p>
            <w:pPr>
              <w:pStyle w:val="TableText"/>
              <w:ind w:left="162"/>
              <w:spacing w:before="20" w:line="229" w:lineRule="auto"/>
              <w:rPr/>
            </w:pPr>
            <w:r>
              <w:rPr>
                <w:spacing w:val="7"/>
              </w:rPr>
              <w:t>（氟化物去除率</w:t>
            </w:r>
          </w:p>
          <w:p>
            <w:pPr>
              <w:pStyle w:val="TableText"/>
              <w:ind w:left="127"/>
              <w:spacing w:before="25" w:line="232" w:lineRule="auto"/>
              <w:rPr/>
            </w:pPr>
            <w:r>
              <w:rPr>
                <w:spacing w:val="-4"/>
              </w:rPr>
              <w:t>为</w:t>
            </w:r>
            <w:r>
              <w:rPr>
                <w:spacing w:val="-35"/>
              </w:rPr>
              <w:t xml:space="preserve"> </w:t>
            </w:r>
            <w:r>
              <w:rPr>
                <w:rFonts w:ascii="Times New Roman" w:hAnsi="Times New Roman" w:eastAsia="Times New Roman" w:cs="Times New Roman"/>
                <w:spacing w:val="-4"/>
              </w:rPr>
              <w:t>75%</w:t>
            </w:r>
            <w:r>
              <w:rPr>
                <w:rFonts w:ascii="Times New Roman" w:hAnsi="Times New Roman" w:eastAsia="Times New Roman" w:cs="Times New Roman"/>
                <w:spacing w:val="-20"/>
              </w:rPr>
              <w:t xml:space="preserve"> </w:t>
            </w:r>
            <w:r>
              <w:rPr>
                <w:spacing w:val="-4"/>
              </w:rPr>
              <w:t>、</w:t>
            </w:r>
            <w:r>
              <w:rPr>
                <w:rFonts w:ascii="Times New Roman" w:hAnsi="Times New Roman" w:eastAsia="Times New Roman" w:cs="Times New Roman"/>
                <w:spacing w:val="-4"/>
              </w:rPr>
              <w:t>SS</w:t>
            </w:r>
            <w:r>
              <w:rPr>
                <w:rFonts w:ascii="Times New Roman" w:hAnsi="Times New Roman" w:eastAsia="Times New Roman" w:cs="Times New Roman"/>
                <w:spacing w:val="25"/>
              </w:rPr>
              <w:t xml:space="preserve"> </w:t>
            </w:r>
            <w:r>
              <w:rPr>
                <w:spacing w:val="-4"/>
              </w:rPr>
              <w:t>去除</w:t>
            </w:r>
          </w:p>
          <w:p>
            <w:pPr>
              <w:pStyle w:val="TableText"/>
              <w:ind w:left="366"/>
              <w:spacing w:before="21" w:line="232" w:lineRule="auto"/>
              <w:rPr/>
            </w:pPr>
            <w:r>
              <w:rPr/>
              <w:t>率为</w:t>
            </w:r>
            <w:r>
              <w:rPr>
                <w:spacing w:val="-31"/>
              </w:rPr>
              <w:t xml:space="preserve"> </w:t>
            </w:r>
            <w:r>
              <w:rPr>
                <w:rFonts w:ascii="Times New Roman" w:hAnsi="Times New Roman" w:eastAsia="Times New Roman" w:cs="Times New Roman"/>
              </w:rPr>
              <w:t>85%</w:t>
            </w:r>
            <w:r>
              <w:rPr/>
              <w:t>）</w:t>
            </w:r>
          </w:p>
        </w:tc>
        <w:tc>
          <w:tcPr>
            <w:tcW w:w="3190" w:type="dxa"/>
            <w:vAlign w:val="top"/>
            <w:vMerge w:val="restart"/>
            <w:tcBorders>
              <w:bottom w:val="nil"/>
              <w:right w:val="nil"/>
            </w:tcBorders>
          </w:tcPr>
          <w:p>
            <w:pPr>
              <w:spacing w:line="377" w:lineRule="auto"/>
              <w:rPr>
                <w:rFonts w:ascii="Arial"/>
                <w:sz w:val="21"/>
              </w:rPr>
            </w:pPr>
            <w:r/>
          </w:p>
          <w:p>
            <w:pPr>
              <w:pStyle w:val="TableText"/>
              <w:ind w:left="136"/>
              <w:spacing w:before="65" w:line="232" w:lineRule="auto"/>
              <w:rPr/>
            </w:pPr>
            <w:r>
              <w:rPr>
                <w:spacing w:val="5"/>
              </w:rPr>
              <w:t>经回水池混凝沉淀处理后，</w:t>
            </w:r>
            <w:r>
              <w:rPr>
                <w:spacing w:val="-48"/>
              </w:rPr>
              <w:t xml:space="preserve"> </w:t>
            </w:r>
            <w:r>
              <w:rPr>
                <w:spacing w:val="5"/>
              </w:rPr>
              <w:t>回用</w:t>
            </w:r>
          </w:p>
          <w:p>
            <w:pPr>
              <w:pStyle w:val="TableText"/>
              <w:ind w:left="560"/>
              <w:spacing w:before="22" w:line="231" w:lineRule="auto"/>
              <w:rPr/>
            </w:pPr>
            <w:r>
              <w:rPr>
                <w:spacing w:val="7"/>
              </w:rPr>
              <w:t>于选矿用水，不外排。</w:t>
            </w:r>
          </w:p>
        </w:tc>
      </w:tr>
      <w:tr>
        <w:trPr>
          <w:trHeight w:val="540" w:hRule="atLeast"/>
        </w:trPr>
        <w:tc>
          <w:tcPr>
            <w:tcW w:w="1132" w:type="dxa"/>
            <w:vAlign w:val="top"/>
            <w:vMerge w:val="continue"/>
            <w:tcBorders>
              <w:bottom w:val="single" w:color="000000" w:sz="10" w:space="0"/>
              <w:left w:val="nil"/>
              <w:top w:val="nil"/>
            </w:tcBorders>
          </w:tcPr>
          <w:p>
            <w:pPr>
              <w:rPr>
                <w:rFonts w:ascii="Arial"/>
                <w:sz w:val="21"/>
              </w:rPr>
            </w:pPr>
            <w:r/>
          </w:p>
        </w:tc>
        <w:tc>
          <w:tcPr>
            <w:tcW w:w="1144" w:type="dxa"/>
            <w:vAlign w:val="top"/>
            <w:vMerge w:val="continue"/>
            <w:tcBorders>
              <w:bottom w:val="single" w:color="000000" w:sz="10" w:space="0"/>
              <w:top w:val="nil"/>
            </w:tcBorders>
          </w:tcPr>
          <w:p>
            <w:pPr>
              <w:rPr>
                <w:rFonts w:ascii="Arial"/>
                <w:sz w:val="21"/>
              </w:rPr>
            </w:pPr>
            <w:r/>
          </w:p>
        </w:tc>
        <w:tc>
          <w:tcPr>
            <w:tcW w:w="1559" w:type="dxa"/>
            <w:vAlign w:val="top"/>
            <w:tcBorders>
              <w:bottom w:val="single" w:color="000000" w:sz="10" w:space="0"/>
            </w:tcBorders>
          </w:tcPr>
          <w:p>
            <w:pPr>
              <w:pStyle w:val="TableText"/>
              <w:ind w:left="161"/>
              <w:spacing w:before="53" w:line="232" w:lineRule="auto"/>
              <w:rPr/>
            </w:pPr>
            <w:r>
              <w:rPr>
                <w:spacing w:val="7"/>
              </w:rPr>
              <w:t>处理后产生量</w:t>
            </w:r>
          </w:p>
          <w:p>
            <w:pPr>
              <w:ind w:left="674"/>
              <w:spacing w:before="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892" w:type="dxa"/>
            <w:vAlign w:val="top"/>
            <w:tcBorders>
              <w:bottom w:val="single" w:color="000000" w:sz="10" w:space="0"/>
            </w:tcBorders>
          </w:tcPr>
          <w:p>
            <w:pPr>
              <w:ind w:left="268"/>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5.88</w:t>
            </w:r>
          </w:p>
        </w:tc>
        <w:tc>
          <w:tcPr>
            <w:tcW w:w="862" w:type="dxa"/>
            <w:vAlign w:val="top"/>
            <w:tcBorders>
              <w:bottom w:val="single" w:color="000000" w:sz="10" w:space="0"/>
            </w:tcBorders>
          </w:tcPr>
          <w:p>
            <w:pPr>
              <w:rPr>
                <w:rFonts w:ascii="Arial"/>
                <w:sz w:val="21"/>
              </w:rPr>
            </w:pPr>
            <w:r/>
          </w:p>
        </w:tc>
        <w:tc>
          <w:tcPr>
            <w:tcW w:w="842" w:type="dxa"/>
            <w:vAlign w:val="top"/>
            <w:tcBorders>
              <w:bottom w:val="single" w:color="000000" w:sz="10" w:space="0"/>
            </w:tcBorders>
          </w:tcPr>
          <w:p>
            <w:pPr>
              <w:ind w:left="243"/>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3.75</w:t>
            </w:r>
          </w:p>
        </w:tc>
        <w:tc>
          <w:tcPr>
            <w:tcW w:w="814" w:type="dxa"/>
            <w:vAlign w:val="top"/>
            <w:tcBorders>
              <w:bottom w:val="single" w:color="000000" w:sz="10" w:space="0"/>
            </w:tcBorders>
          </w:tcPr>
          <w:p>
            <w:pPr>
              <w:ind w:left="228"/>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0.16</w:t>
            </w:r>
          </w:p>
        </w:tc>
        <w:tc>
          <w:tcPr>
            <w:tcW w:w="1098" w:type="dxa"/>
            <w:vAlign w:val="top"/>
            <w:tcBorders>
              <w:bottom w:val="single" w:color="000000" w:sz="10" w:space="0"/>
            </w:tcBorders>
          </w:tcPr>
          <w:p>
            <w:pPr>
              <w:ind w:left="518"/>
              <w:spacing w:before="20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22" w:type="dxa"/>
            <w:vAlign w:val="top"/>
            <w:tcBorders>
              <w:bottom w:val="single" w:color="000000" w:sz="10" w:space="0"/>
            </w:tcBorders>
          </w:tcPr>
          <w:p>
            <w:pPr>
              <w:ind w:left="281"/>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0.21</w:t>
            </w:r>
          </w:p>
        </w:tc>
        <w:tc>
          <w:tcPr>
            <w:tcW w:w="1764" w:type="dxa"/>
            <w:vAlign w:val="top"/>
            <w:vMerge w:val="continue"/>
            <w:tcBorders>
              <w:bottom w:val="single" w:color="000000" w:sz="10" w:space="0"/>
              <w:top w:val="nil"/>
            </w:tcBorders>
          </w:tcPr>
          <w:p>
            <w:pPr>
              <w:rPr>
                <w:rFonts w:ascii="Arial"/>
                <w:sz w:val="21"/>
              </w:rPr>
            </w:pPr>
            <w:r/>
          </w:p>
        </w:tc>
        <w:tc>
          <w:tcPr>
            <w:tcW w:w="3190"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footerReference w:type="default" r:id="rId174"/>
          <w:pgSz w:w="16839" w:h="11911"/>
          <w:pgMar w:top="400" w:right="1309" w:bottom="1147" w:left="1309" w:header="0" w:footer="984" w:gutter="0"/>
        </w:sectPr>
        <w:rPr/>
      </w:pPr>
    </w:p>
    <w:p>
      <w:pPr>
        <w:ind w:left="511"/>
        <w:spacing w:before="312" w:line="224"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）废气</w:t>
      </w:r>
    </w:p>
    <w:p>
      <w:pPr>
        <w:ind w:left="26" w:right="113" w:firstLine="481"/>
        <w:spacing w:before="174" w:line="359" w:lineRule="auto"/>
        <w:rPr>
          <w:rFonts w:ascii="FangSong" w:hAnsi="FangSong" w:eastAsia="FangSong" w:cs="FangSong"/>
          <w:sz w:val="24"/>
          <w:szCs w:val="24"/>
        </w:rPr>
      </w:pPr>
      <w:r>
        <w:rPr>
          <w:rFonts w:ascii="FangSong" w:hAnsi="FangSong" w:eastAsia="FangSong" w:cs="FangSong"/>
          <w:sz w:val="24"/>
          <w:szCs w:val="24"/>
          <w:spacing w:val="1"/>
        </w:rPr>
        <w:t>项目运营期废气主要为井下采矿废气、道路运输扬尘、堆场扬尘、开采机械设</w:t>
      </w:r>
      <w:r>
        <w:rPr>
          <w:rFonts w:ascii="FangSong" w:hAnsi="FangSong" w:eastAsia="FangSong" w:cs="FangSong"/>
          <w:sz w:val="24"/>
          <w:szCs w:val="24"/>
          <w:spacing w:val="1"/>
        </w:rPr>
        <w:t>备尾气、选矿工艺废气及食堂油烟。项目运营期需采用高标号柴油燃料，需使用符</w:t>
      </w:r>
      <w:r>
        <w:rPr>
          <w:rFonts w:ascii="FangSong" w:hAnsi="FangSong" w:eastAsia="FangSong" w:cs="FangSong"/>
          <w:sz w:val="24"/>
          <w:szCs w:val="24"/>
          <w:spacing w:val="1"/>
        </w:rPr>
        <w:t>合国家标准且尾气排放达标的挖掘机及铲车等机械设备，其产生燃油废气排放量较</w:t>
      </w:r>
      <w:r>
        <w:rPr>
          <w:rFonts w:ascii="FangSong" w:hAnsi="FangSong" w:eastAsia="FangSong" w:cs="FangSong"/>
          <w:sz w:val="24"/>
          <w:szCs w:val="24"/>
          <w:spacing w:val="1"/>
        </w:rPr>
        <w:t>小，周围露天环境有利于废气扩散，同时在项目区周围种植有抗污染强植物，通过</w:t>
      </w:r>
      <w:r>
        <w:rPr>
          <w:rFonts w:ascii="FangSong" w:hAnsi="FangSong" w:eastAsia="FangSong" w:cs="FangSong"/>
          <w:sz w:val="24"/>
          <w:szCs w:val="24"/>
          <w:spacing w:val="-3"/>
        </w:rPr>
        <w:t>植物对各种污染物的吸收和代谢作用，能减轻对环境的污染，对周围</w:t>
      </w:r>
      <w:r>
        <w:rPr>
          <w:rFonts w:ascii="FangSong" w:hAnsi="FangSong" w:eastAsia="FangSong" w:cs="FangSong"/>
          <w:sz w:val="24"/>
          <w:szCs w:val="24"/>
          <w:spacing w:val="-4"/>
        </w:rPr>
        <w:t>环境影响较小。</w:t>
      </w:r>
    </w:p>
    <w:p>
      <w:pPr>
        <w:ind w:left="499"/>
        <w:spacing w:line="222"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18"/>
        </w:rPr>
        <w:t xml:space="preserve"> </w:t>
      </w:r>
      <w:r>
        <w:rPr>
          <w:rFonts w:ascii="FangSong" w:hAnsi="FangSong" w:eastAsia="FangSong" w:cs="FangSong"/>
          <w:sz w:val="24"/>
          <w:szCs w:val="24"/>
          <w:spacing w:val="-4"/>
        </w:rPr>
        <w:t>井下采矿废气</w:t>
      </w:r>
    </w:p>
    <w:p>
      <w:pPr>
        <w:ind w:left="8" w:firstLine="499"/>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本项目地下开采矿山，根据《排放源统计调查产排污核算方法和系数手册》中</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rPr>
        <w:t>1099 </w:t>
      </w:r>
      <w:r>
        <w:rPr>
          <w:rFonts w:ascii="FangSong" w:hAnsi="FangSong" w:eastAsia="FangSong" w:cs="FangSong"/>
          <w:sz w:val="24"/>
          <w:szCs w:val="24"/>
        </w:rPr>
        <w:t>其他未列明非金属矿采选行业系数手册要求地下开采的产物系数参考系</w:t>
      </w:r>
      <w:r>
        <w:rPr>
          <w:rFonts w:ascii="FangSong" w:hAnsi="FangSong" w:eastAsia="FangSong" w:cs="FangSong"/>
          <w:sz w:val="24"/>
          <w:szCs w:val="24"/>
          <w:spacing w:val="-1"/>
        </w:rPr>
        <w:t>数表中</w:t>
      </w:r>
      <w:r>
        <w:rPr>
          <w:rFonts w:ascii="FangSong" w:hAnsi="FangSong" w:eastAsia="FangSong" w:cs="FangSong"/>
          <w:sz w:val="24"/>
          <w:szCs w:val="24"/>
          <w:spacing w:val="2"/>
        </w:rPr>
        <w:t>硅藻土系数可知，项目开采过程中无废气产生，</w:t>
      </w:r>
      <w:r>
        <w:rPr>
          <w:rFonts w:ascii="FangSong" w:hAnsi="FangSong" w:eastAsia="FangSong" w:cs="FangSong"/>
          <w:sz w:val="24"/>
          <w:szCs w:val="24"/>
          <w:spacing w:val="1"/>
        </w:rPr>
        <w:t>但本项目在井下开采过程中需要使</w:t>
      </w:r>
      <w:r>
        <w:rPr>
          <w:rFonts w:ascii="FangSong" w:hAnsi="FangSong" w:eastAsia="FangSong" w:cs="FangSong"/>
          <w:sz w:val="24"/>
          <w:szCs w:val="24"/>
          <w:spacing w:val="-4"/>
        </w:rPr>
        <w:t>用炸药和雷管进行爆破，故井下采矿工程产生的废气主要为爆破过程中释放的含</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CO</w:t>
      </w:r>
      <w:r>
        <w:rPr>
          <w:rFonts w:ascii="FangSong" w:hAnsi="FangSong" w:eastAsia="FangSong" w:cs="FangSong"/>
          <w:sz w:val="24"/>
          <w:szCs w:val="24"/>
          <w:spacing w:val="-4"/>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x</w:t>
      </w:r>
      <w:r>
        <w:rPr>
          <w:rFonts w:ascii="Times New Roman" w:hAnsi="Times New Roman" w:eastAsia="Times New Roman" w:cs="Times New Roman"/>
          <w:sz w:val="15"/>
          <w:szCs w:val="15"/>
          <w:spacing w:val="31"/>
          <w:w w:val="101"/>
          <w:position w:val="-1"/>
        </w:rPr>
        <w:t xml:space="preserve"> </w:t>
      </w:r>
      <w:r>
        <w:rPr>
          <w:rFonts w:ascii="FangSong" w:hAnsi="FangSong" w:eastAsia="FangSong" w:cs="FangSong"/>
          <w:sz w:val="24"/>
          <w:szCs w:val="24"/>
          <w:spacing w:val="-2"/>
        </w:rPr>
        <w:t>等有害气体的爆破炮烟。</w:t>
      </w:r>
    </w:p>
    <w:p>
      <w:pPr>
        <w:ind w:left="27" w:right="194" w:firstLine="484"/>
        <w:spacing w:before="2" w:line="358" w:lineRule="auto"/>
        <w:jc w:val="both"/>
        <w:rPr>
          <w:rFonts w:ascii="FangSong" w:hAnsi="FangSong" w:eastAsia="FangSong" w:cs="FangSong"/>
          <w:sz w:val="24"/>
          <w:szCs w:val="24"/>
        </w:rPr>
      </w:pPr>
      <w:r>
        <w:rPr>
          <w:rFonts w:ascii="FangSong" w:hAnsi="FangSong" w:eastAsia="FangSong" w:cs="FangSong"/>
          <w:sz w:val="24"/>
          <w:szCs w:val="24"/>
          <w:spacing w:val="-4"/>
        </w:rPr>
        <w:t>工业炸药爆炸后将主要产生</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NO</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NO</w:t>
      </w:r>
      <w:r>
        <w:rPr>
          <w:rFonts w:ascii="Times New Roman" w:hAnsi="Times New Roman" w:eastAsia="Times New Roman" w:cs="Times New Roman"/>
          <w:sz w:val="15"/>
          <w:szCs w:val="15"/>
          <w:spacing w:val="-4"/>
          <w:position w:val="-1"/>
        </w:rPr>
        <w:t>2</w:t>
      </w:r>
      <w:r>
        <w:rPr>
          <w:rFonts w:ascii="Times New Roman" w:hAnsi="Times New Roman" w:eastAsia="Times New Roman" w:cs="Times New Roman"/>
          <w:sz w:val="15"/>
          <w:szCs w:val="15"/>
          <w:spacing w:val="15"/>
          <w:w w:val="102"/>
          <w:position w:val="-1"/>
        </w:rPr>
        <w:t xml:space="preserve"> </w:t>
      </w:r>
      <w:r>
        <w:rPr>
          <w:rFonts w:ascii="FangSong" w:hAnsi="FangSong" w:eastAsia="FangSong" w:cs="FangSong"/>
          <w:sz w:val="24"/>
          <w:szCs w:val="24"/>
          <w:spacing w:val="-4"/>
        </w:rPr>
        <w:t>和水蒸汽等。参照《工程爆破中大气污染</w:t>
      </w:r>
      <w:r>
        <w:rPr>
          <w:rFonts w:ascii="FangSong" w:hAnsi="FangSong" w:eastAsia="FangSong" w:cs="FangSong"/>
          <w:sz w:val="24"/>
          <w:szCs w:val="24"/>
          <w:spacing w:val="-1"/>
        </w:rPr>
        <w:t>物的形成机理及控制》中对爆破污染物的研究，</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岩石乳化炸药爆炸产生的</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1"/>
        </w:rPr>
        <w:t>NO</w:t>
      </w:r>
      <w:r>
        <w:rPr>
          <w:rFonts w:ascii="Times New Roman" w:hAnsi="Times New Roman" w:eastAsia="Times New Roman" w:cs="Times New Roman"/>
          <w:sz w:val="15"/>
          <w:szCs w:val="15"/>
          <w:spacing w:val="-1"/>
          <w:position w:val="-1"/>
        </w:rPr>
        <w:t>x</w:t>
      </w:r>
      <w:r>
        <w:rPr>
          <w:rFonts w:ascii="Times New Roman" w:hAnsi="Times New Roman" w:eastAsia="Times New Roman" w:cs="Times New Roman"/>
          <w:sz w:val="15"/>
          <w:szCs w:val="15"/>
          <w:spacing w:val="24"/>
          <w:w w:val="102"/>
          <w:position w:val="-1"/>
        </w:rPr>
        <w:t xml:space="preserve"> </w:t>
      </w:r>
      <w:r>
        <w:rPr>
          <w:rFonts w:ascii="FangSong" w:hAnsi="FangSong" w:eastAsia="FangSong" w:cs="FangSong"/>
          <w:sz w:val="24"/>
          <w:szCs w:val="24"/>
          <w:spacing w:val="-1"/>
        </w:rPr>
        <w:t>为</w:t>
      </w:r>
      <w:r>
        <w:rPr>
          <w:rFonts w:ascii="Times New Roman" w:hAnsi="Times New Roman" w:eastAsia="Times New Roman" w:cs="Times New Roman"/>
          <w:sz w:val="24"/>
          <w:szCs w:val="24"/>
          <w:spacing w:val="-1"/>
        </w:rPr>
        <w:t>14.6g/kg</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。项目年开采矿石年炸药消耗量</w:t>
      </w:r>
      <w:r>
        <w:rPr>
          <w:rFonts w:ascii="FangSong" w:hAnsi="FangSong" w:eastAsia="FangSong" w:cs="FangSong"/>
          <w:sz w:val="24"/>
          <w:szCs w:val="24"/>
          <w:spacing w:val="-2"/>
        </w:rPr>
        <w:t>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133.2t/a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，计算得爆破废气中</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x</w:t>
      </w:r>
      <w:r>
        <w:rPr>
          <w:rFonts w:ascii="Times New Roman" w:hAnsi="Times New Roman" w:eastAsia="Times New Roman" w:cs="Times New Roman"/>
          <w:sz w:val="15"/>
          <w:szCs w:val="15"/>
          <w:spacing w:val="23"/>
          <w:position w:val="-1"/>
        </w:rPr>
        <w:t xml:space="preserve"> </w:t>
      </w:r>
      <w:r>
        <w:rPr>
          <w:rFonts w:ascii="FangSong" w:hAnsi="FangSong" w:eastAsia="FangSong" w:cs="FangSong"/>
          <w:sz w:val="24"/>
          <w:szCs w:val="24"/>
          <w:spacing w:val="-2"/>
        </w:rPr>
        <w:t>产生</w:t>
      </w:r>
      <w:r>
        <w:rPr>
          <w:rFonts w:ascii="FangSong" w:hAnsi="FangSong" w:eastAsia="FangSong" w:cs="FangSong"/>
          <w:sz w:val="24"/>
          <w:szCs w:val="24"/>
          <w:spacing w:val="-2"/>
        </w:rPr>
        <w:t>量为</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2"/>
        </w:rPr>
        <w:t>1.945t/a</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2"/>
        </w:rPr>
        <w:t>，爆破后立即采取局部强制通风，</w:t>
      </w:r>
      <w:r>
        <w:rPr>
          <w:rFonts w:ascii="FangSong" w:hAnsi="FangSong" w:eastAsia="FangSong" w:cs="FangSong"/>
          <w:sz w:val="24"/>
          <w:szCs w:val="24"/>
          <w:spacing w:val="-71"/>
        </w:rPr>
        <w:t xml:space="preserve"> </w:t>
      </w:r>
      <w:r>
        <w:rPr>
          <w:rFonts w:ascii="FangSong" w:hAnsi="FangSong" w:eastAsia="FangSong" w:cs="FangSong"/>
          <w:sz w:val="24"/>
          <w:szCs w:val="24"/>
          <w:spacing w:val="-2"/>
        </w:rPr>
        <w:t>由通风井排出，并在井下定期使用</w:t>
      </w:r>
      <w:r>
        <w:rPr>
          <w:rFonts w:ascii="FangSong" w:hAnsi="FangSong" w:eastAsia="FangSong" w:cs="FangSong"/>
          <w:sz w:val="24"/>
          <w:szCs w:val="24"/>
          <w:spacing w:val="-2"/>
        </w:rPr>
        <w:t>喷水雾炮进行喷淋。</w:t>
      </w:r>
    </w:p>
    <w:p>
      <w:pPr>
        <w:ind w:left="498"/>
        <w:spacing w:before="3" w:line="222"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19"/>
        </w:rPr>
        <w:t xml:space="preserve"> </w:t>
      </w:r>
      <w:r>
        <w:rPr>
          <w:rFonts w:ascii="FangSong" w:hAnsi="FangSong" w:eastAsia="FangSong" w:cs="FangSong"/>
          <w:sz w:val="24"/>
          <w:szCs w:val="24"/>
          <w:spacing w:val="-4"/>
        </w:rPr>
        <w:t>道路运输扬尘</w:t>
      </w:r>
    </w:p>
    <w:p>
      <w:pPr>
        <w:ind w:left="24" w:right="113" w:firstLine="483"/>
        <w:spacing w:before="180" w:line="358" w:lineRule="auto"/>
        <w:rPr>
          <w:rFonts w:ascii="FangSong" w:hAnsi="FangSong" w:eastAsia="FangSong" w:cs="FangSong"/>
          <w:sz w:val="24"/>
          <w:szCs w:val="24"/>
        </w:rPr>
      </w:pPr>
      <w:r>
        <w:rPr>
          <w:rFonts w:ascii="FangSong" w:hAnsi="FangSong" w:eastAsia="FangSong" w:cs="FangSong"/>
          <w:sz w:val="24"/>
          <w:szCs w:val="24"/>
          <w:spacing w:val="-3"/>
        </w:rPr>
        <w:t>项目矿石采用载重汽车装车运输，汽车在矿区</w:t>
      </w:r>
      <w:r>
        <w:rPr>
          <w:rFonts w:ascii="FangSong" w:hAnsi="FangSong" w:eastAsia="FangSong" w:cs="FangSong"/>
          <w:sz w:val="24"/>
          <w:szCs w:val="24"/>
          <w:spacing w:val="-4"/>
        </w:rPr>
        <w:t>道路上行驶时会产生一定量扬尘。</w:t>
      </w:r>
      <w:r>
        <w:rPr>
          <w:rFonts w:ascii="FangSong" w:hAnsi="FangSong" w:eastAsia="FangSong" w:cs="FangSong"/>
          <w:sz w:val="24"/>
          <w:szCs w:val="24"/>
          <w:spacing w:val="1"/>
        </w:rPr>
        <w:t>汽车运输时产生的扬尘量的大小与车流量、道路状况、气候条件、汽车行驶速度等</w:t>
      </w:r>
      <w:r>
        <w:rPr>
          <w:rFonts w:ascii="FangSong" w:hAnsi="FangSong" w:eastAsia="FangSong" w:cs="FangSong"/>
          <w:sz w:val="24"/>
          <w:szCs w:val="24"/>
          <w:spacing w:val="1"/>
        </w:rPr>
        <w:t>有关。根据生态环境部关于发布《大气可吸入颗粒物一次源排放清单编制技术指南</w:t>
      </w:r>
      <w:r>
        <w:rPr>
          <w:rFonts w:ascii="FangSong" w:hAnsi="FangSong" w:eastAsia="FangSong" w:cs="FangSong"/>
          <w:sz w:val="24"/>
          <w:szCs w:val="24"/>
          <w:spacing w:val="-3"/>
        </w:rPr>
        <w:t>（试行）》等</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3"/>
        </w:rPr>
        <w:t>项技术指南的公告（公告</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2014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年第</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92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号）</w:t>
      </w:r>
      <w:r>
        <w:rPr>
          <w:rFonts w:ascii="FangSong" w:hAnsi="FangSong" w:eastAsia="FangSong" w:cs="FangSong"/>
          <w:sz w:val="24"/>
          <w:szCs w:val="24"/>
          <w:spacing w:val="-71"/>
        </w:rPr>
        <w:t xml:space="preserve"> </w:t>
      </w:r>
      <w:r>
        <w:rPr>
          <w:rFonts w:ascii="FangSong" w:hAnsi="FangSong" w:eastAsia="FangSong" w:cs="FangSong"/>
          <w:sz w:val="24"/>
          <w:szCs w:val="24"/>
          <w:spacing w:val="-3"/>
        </w:rPr>
        <w:t>中《扬尘源颗粒物排放</w:t>
      </w:r>
      <w:r>
        <w:rPr>
          <w:rFonts w:ascii="FangSong" w:hAnsi="FangSong" w:eastAsia="FangSong" w:cs="FangSong"/>
          <w:sz w:val="24"/>
          <w:szCs w:val="24"/>
          <w:spacing w:val="-1"/>
        </w:rPr>
        <w:t>清单编制技术指南》计算污染源。道路扬尘源排放量计算方法如公式</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1"/>
        </w:rPr>
        <w:t>4.13-3</w:t>
      </w:r>
      <w:r>
        <w:rPr>
          <w:rFonts w:ascii="FangSong" w:hAnsi="FangSong" w:eastAsia="FangSong" w:cs="FangSong"/>
          <w:sz w:val="24"/>
          <w:szCs w:val="24"/>
          <w:spacing w:val="-1"/>
        </w:rPr>
        <w:t>：</w:t>
      </w:r>
    </w:p>
    <w:p>
      <w:pPr>
        <w:pStyle w:val="BodyText"/>
        <w:ind w:left="1510"/>
        <w:rPr>
          <w:rFonts w:ascii="FangSong" w:hAnsi="FangSong" w:eastAsia="FangSong" w:cs="FangSong"/>
          <w:sz w:val="24"/>
          <w:szCs w:val="24"/>
        </w:rPr>
      </w:pPr>
      <w:r>
        <w:rPr>
          <w:rFonts w:ascii="Times New Roman" w:hAnsi="Times New Roman" w:eastAsia="Times New Roman" w:cs="Times New Roman"/>
          <w:sz w:val="23"/>
          <w:szCs w:val="23"/>
          <w:spacing w:val="-1"/>
          <w:position w:val="4"/>
        </w:rPr>
        <w:t>W</w:t>
      </w:r>
      <w:r>
        <w:rPr>
          <w:rFonts w:ascii="Times New Roman" w:hAnsi="Times New Roman" w:eastAsia="Times New Roman" w:cs="Times New Roman"/>
          <w:sz w:val="15"/>
          <w:szCs w:val="15"/>
          <w:spacing w:val="-1"/>
          <w:position w:val="-1"/>
        </w:rPr>
        <w:t>Ri  </w:t>
      </w:r>
      <w:r>
        <w:rPr>
          <w:sz w:val="23"/>
          <w:szCs w:val="23"/>
          <w:spacing w:val="-1"/>
          <w:position w:val="4"/>
        </w:rPr>
        <w:t>= </w:t>
      </w:r>
      <w:r>
        <w:rPr>
          <w:rFonts w:ascii="Times New Roman" w:hAnsi="Times New Roman" w:eastAsia="Times New Roman" w:cs="Times New Roman"/>
          <w:sz w:val="23"/>
          <w:szCs w:val="23"/>
          <w:spacing w:val="-1"/>
          <w:position w:val="4"/>
        </w:rPr>
        <w:t>E</w:t>
      </w:r>
      <w:r>
        <w:rPr>
          <w:rFonts w:ascii="Times New Roman" w:hAnsi="Times New Roman" w:eastAsia="Times New Roman" w:cs="Times New Roman"/>
          <w:sz w:val="15"/>
          <w:szCs w:val="15"/>
          <w:spacing w:val="-1"/>
          <w:position w:val="-1"/>
        </w:rPr>
        <w:t>Ri  </w:t>
      </w:r>
      <w:r>
        <w:rPr>
          <w:sz w:val="23"/>
          <w:szCs w:val="23"/>
          <w:spacing w:val="-1"/>
          <w:position w:val="4"/>
        </w:rPr>
        <w:t>×</w:t>
      </w:r>
      <w:r>
        <w:rPr>
          <w:sz w:val="23"/>
          <w:szCs w:val="23"/>
          <w:spacing w:val="-23"/>
          <w:position w:val="4"/>
        </w:rPr>
        <w:t xml:space="preserve"> </w:t>
      </w:r>
      <w:r>
        <w:rPr>
          <w:rFonts w:ascii="Times New Roman" w:hAnsi="Times New Roman" w:eastAsia="Times New Roman" w:cs="Times New Roman"/>
          <w:sz w:val="23"/>
          <w:szCs w:val="23"/>
          <w:spacing w:val="-1"/>
          <w:position w:val="4"/>
        </w:rPr>
        <w:t>L</w:t>
      </w:r>
      <w:r>
        <w:rPr>
          <w:rFonts w:ascii="Times New Roman" w:hAnsi="Times New Roman" w:eastAsia="Times New Roman" w:cs="Times New Roman"/>
          <w:sz w:val="15"/>
          <w:szCs w:val="15"/>
          <w:spacing w:val="-1"/>
          <w:position w:val="-1"/>
        </w:rPr>
        <w:t>R  </w:t>
      </w:r>
      <w:r>
        <w:rPr>
          <w:sz w:val="23"/>
          <w:szCs w:val="23"/>
          <w:spacing w:val="-1"/>
          <w:position w:val="4"/>
        </w:rPr>
        <w:t>×</w:t>
      </w:r>
      <w:r>
        <w:rPr>
          <w:sz w:val="23"/>
          <w:szCs w:val="23"/>
          <w:spacing w:val="-25"/>
          <w:position w:val="4"/>
        </w:rPr>
        <w:t xml:space="preserve"> </w:t>
      </w:r>
      <w:r>
        <w:rPr>
          <w:rFonts w:ascii="Times New Roman" w:hAnsi="Times New Roman" w:eastAsia="Times New Roman" w:cs="Times New Roman"/>
          <w:sz w:val="23"/>
          <w:szCs w:val="23"/>
          <w:spacing w:val="-1"/>
          <w:position w:val="4"/>
        </w:rPr>
        <w:t>N</w:t>
      </w:r>
      <w:r>
        <w:rPr>
          <w:rFonts w:ascii="Times New Roman" w:hAnsi="Times New Roman" w:eastAsia="Times New Roman" w:cs="Times New Roman"/>
          <w:sz w:val="15"/>
          <w:szCs w:val="15"/>
          <w:spacing w:val="-1"/>
          <w:position w:val="-1"/>
        </w:rPr>
        <w:t>R  </w:t>
      </w:r>
      <w:r>
        <w:rPr>
          <w:sz w:val="15"/>
          <w:szCs w:val="15"/>
          <w:position w:val="-25"/>
        </w:rPr>
        <w:drawing>
          <wp:inline distT="0" distB="0" distL="0" distR="0">
            <wp:extent cx="1023793" cy="406965"/>
            <wp:effectExtent l="0" t="0" r="0" b="0"/>
            <wp:docPr id="28" name="IM 28"/>
            <wp:cNvGraphicFramePr/>
            <a:graphic>
              <a:graphicData uri="http://schemas.openxmlformats.org/drawingml/2006/picture">
                <pic:pic>
                  <pic:nvPicPr>
                    <pic:cNvPr id="28" name="IM 28"/>
                    <pic:cNvPicPr/>
                  </pic:nvPicPr>
                  <pic:blipFill>
                    <a:blip r:embed="rId177"/>
                    <a:stretch>
                      <a:fillRect/>
                    </a:stretch>
                  </pic:blipFill>
                  <pic:spPr>
                    <a:xfrm rot="0">
                      <a:off x="0" y="0"/>
                      <a:ext cx="1023793" cy="406965"/>
                    </a:xfrm>
                    <a:prstGeom prst="rect">
                      <a:avLst/>
                    </a:prstGeom>
                  </pic:spPr>
                </pic:pic>
              </a:graphicData>
            </a:graphic>
          </wp:inline>
        </w:drawing>
      </w:r>
      <w:r>
        <w:rPr>
          <w:rFonts w:ascii="Times New Roman" w:hAnsi="Times New Roman" w:eastAsia="Times New Roman" w:cs="Times New Roman"/>
          <w:sz w:val="15"/>
          <w:szCs w:val="15"/>
          <w:spacing w:val="2"/>
          <w:position w:val="-1"/>
        </w:rPr>
        <w:t xml:space="preserve">             </w:t>
      </w:r>
      <w:r>
        <w:rPr>
          <w:rFonts w:ascii="FangSong" w:hAnsi="FangSong" w:eastAsia="FangSong" w:cs="FangSong"/>
          <w:sz w:val="24"/>
          <w:szCs w:val="24"/>
          <w:spacing w:val="-1"/>
          <w:position w:val="-7"/>
        </w:rPr>
        <w:t>（公式</w:t>
      </w:r>
      <w:r>
        <w:rPr>
          <w:rFonts w:ascii="FangSong" w:hAnsi="FangSong" w:eastAsia="FangSong" w:cs="FangSong"/>
          <w:sz w:val="24"/>
          <w:szCs w:val="24"/>
          <w:spacing w:val="-53"/>
          <w:position w:val="-7"/>
        </w:rPr>
        <w:t xml:space="preserve"> </w:t>
      </w:r>
      <w:r>
        <w:rPr>
          <w:rFonts w:ascii="Times New Roman" w:hAnsi="Times New Roman" w:eastAsia="Times New Roman" w:cs="Times New Roman"/>
          <w:sz w:val="24"/>
          <w:szCs w:val="24"/>
          <w:spacing w:val="-1"/>
          <w:position w:val="-7"/>
        </w:rPr>
        <w:t>4.13-3</w:t>
      </w:r>
      <w:r>
        <w:rPr>
          <w:rFonts w:ascii="FangSong" w:hAnsi="FangSong" w:eastAsia="FangSong" w:cs="FangSong"/>
          <w:sz w:val="24"/>
          <w:szCs w:val="24"/>
          <w:spacing w:val="-1"/>
          <w:position w:val="-7"/>
        </w:rPr>
        <w:t>）</w:t>
      </w:r>
    </w:p>
    <w:p>
      <w:pPr>
        <w:ind w:left="512"/>
        <w:spacing w:before="202" w:line="221"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W</w:t>
      </w:r>
      <w:r>
        <w:rPr>
          <w:rFonts w:ascii="Times New Roman" w:hAnsi="Times New Roman" w:eastAsia="Times New Roman" w:cs="Times New Roman"/>
          <w:sz w:val="15"/>
          <w:szCs w:val="15"/>
          <w:spacing w:val="-1"/>
          <w:position w:val="-1"/>
        </w:rPr>
        <w:t>Ri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道路扬尘源中颗粒物</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PM</w:t>
      </w:r>
      <w:r>
        <w:rPr>
          <w:rFonts w:ascii="Times New Roman" w:hAnsi="Times New Roman" w:eastAsia="Times New Roman" w:cs="Times New Roman"/>
          <w:sz w:val="15"/>
          <w:szCs w:val="15"/>
          <w:spacing w:val="-2"/>
          <w:position w:val="-1"/>
        </w:rPr>
        <w:t>i  </w:t>
      </w:r>
      <w:r>
        <w:rPr>
          <w:rFonts w:ascii="FangSong" w:hAnsi="FangSong" w:eastAsia="FangSong" w:cs="FangSong"/>
          <w:sz w:val="24"/>
          <w:szCs w:val="24"/>
          <w:spacing w:val="-2"/>
        </w:rPr>
        <w:t>的总排放量，</w:t>
      </w:r>
      <w:r>
        <w:rPr>
          <w:rFonts w:ascii="Times New Roman" w:hAnsi="Times New Roman" w:eastAsia="Times New Roman" w:cs="Times New Roman"/>
          <w:sz w:val="24"/>
          <w:szCs w:val="24"/>
          <w:spacing w:val="-2"/>
        </w:rPr>
        <w:t>t/a</w:t>
      </w:r>
      <w:r>
        <w:rPr>
          <w:rFonts w:ascii="FangSong" w:hAnsi="FangSong" w:eastAsia="FangSong" w:cs="FangSong"/>
          <w:sz w:val="24"/>
          <w:szCs w:val="24"/>
          <w:spacing w:val="-2"/>
        </w:rPr>
        <w:t>；</w:t>
      </w:r>
    </w:p>
    <w:p>
      <w:pPr>
        <w:ind w:left="1212" w:right="220" w:hanging="4"/>
        <w:spacing w:before="179" w:line="360" w:lineRule="auto"/>
        <w:rPr>
          <w:rFonts w:ascii="FangSong" w:hAnsi="FangSong" w:eastAsia="FangSong" w:cs="FangSong"/>
          <w:sz w:val="24"/>
          <w:szCs w:val="24"/>
        </w:rPr>
      </w:pPr>
      <w:r>
        <w:rPr>
          <w:rFonts w:ascii="Times New Roman" w:hAnsi="Times New Roman" w:eastAsia="Times New Roman" w:cs="Times New Roman"/>
          <w:sz w:val="24"/>
          <w:szCs w:val="24"/>
          <w:spacing w:val="-2"/>
        </w:rPr>
        <w:t>N</w:t>
      </w:r>
      <w:r>
        <w:rPr>
          <w:rFonts w:ascii="Times New Roman" w:hAnsi="Times New Roman" w:eastAsia="Times New Roman" w:cs="Times New Roman"/>
          <w:sz w:val="15"/>
          <w:szCs w:val="15"/>
          <w:spacing w:val="-2"/>
          <w:position w:val="-1"/>
        </w:rPr>
        <w:t>R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一定时期内车辆在该路段上的平均车流量，项目取</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4200</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辆</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n</w:t>
      </w:r>
      <w:r>
        <w:rPr>
          <w:rFonts w:ascii="Times New Roman" w:hAnsi="Times New Roman" w:eastAsia="Times New Roman" w:cs="Times New Roman"/>
          <w:sz w:val="15"/>
          <w:szCs w:val="15"/>
          <w:spacing w:val="-1"/>
          <w:position w:val="-1"/>
        </w:rPr>
        <w:t>r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不起尘天数，一年中降雨量大于</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0.25mm/d</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
        </w:rPr>
        <w:t>的天数。取</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90d</w:t>
      </w:r>
      <w:r>
        <w:rPr>
          <w:rFonts w:ascii="FangSong" w:hAnsi="FangSong" w:eastAsia="FangSong" w:cs="FangSong"/>
          <w:sz w:val="24"/>
          <w:szCs w:val="24"/>
          <w:spacing w:val="-1"/>
        </w:rPr>
        <w:t>；</w:t>
      </w:r>
    </w:p>
    <w:p>
      <w:pPr>
        <w:ind w:left="1215"/>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L</w:t>
      </w:r>
      <w:r>
        <w:rPr>
          <w:rFonts w:ascii="Times New Roman" w:hAnsi="Times New Roman" w:eastAsia="Times New Roman" w:cs="Times New Roman"/>
          <w:sz w:val="15"/>
          <w:szCs w:val="15"/>
          <w:spacing w:val="-2"/>
          <w:position w:val="-1"/>
        </w:rPr>
        <w:t>R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道路长度，</w:t>
      </w:r>
      <w:r>
        <w:rPr>
          <w:rFonts w:ascii="Times New Roman" w:hAnsi="Times New Roman" w:eastAsia="Times New Roman" w:cs="Times New Roman"/>
          <w:sz w:val="24"/>
          <w:szCs w:val="24"/>
          <w:spacing w:val="-2"/>
        </w:rPr>
        <w:t>km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，矿区道路约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2.7km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，为未铺装道路；</w:t>
      </w:r>
    </w:p>
    <w:p>
      <w:pPr>
        <w:ind w:left="1215"/>
        <w:spacing w:before="177" w:line="212" w:lineRule="auto"/>
        <w:rPr>
          <w:rFonts w:ascii="FangSong" w:hAnsi="FangSong" w:eastAsia="FangSong" w:cs="FangSong"/>
          <w:sz w:val="24"/>
          <w:szCs w:val="24"/>
        </w:rPr>
      </w:pPr>
      <w:r>
        <w:rPr>
          <w:rFonts w:ascii="Times New Roman" w:hAnsi="Times New Roman" w:eastAsia="Times New Roman" w:cs="Times New Roman"/>
          <w:sz w:val="24"/>
          <w:szCs w:val="24"/>
          <w:spacing w:val="-1"/>
        </w:rPr>
        <w:t>E</w:t>
      </w:r>
      <w:r>
        <w:rPr>
          <w:rFonts w:ascii="Times New Roman" w:hAnsi="Times New Roman" w:eastAsia="Times New Roman" w:cs="Times New Roman"/>
          <w:sz w:val="15"/>
          <w:szCs w:val="15"/>
          <w:spacing w:val="-1"/>
          <w:position w:val="-1"/>
        </w:rPr>
        <w:t>Ri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道路扬尘源中</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PM</w:t>
      </w:r>
      <w:r>
        <w:rPr>
          <w:rFonts w:ascii="Times New Roman" w:hAnsi="Times New Roman" w:eastAsia="Times New Roman" w:cs="Times New Roman"/>
          <w:sz w:val="15"/>
          <w:szCs w:val="15"/>
          <w:spacing w:val="-1"/>
          <w:position w:val="-1"/>
        </w:rPr>
        <w:t>i    </w:t>
      </w:r>
      <w:r>
        <w:rPr>
          <w:rFonts w:ascii="FangSong" w:hAnsi="FangSong" w:eastAsia="FangSong" w:cs="FangSong"/>
          <w:sz w:val="24"/>
          <w:szCs w:val="24"/>
          <w:spacing w:val="-1"/>
        </w:rPr>
        <w:t>平均排放系数（</w:t>
      </w:r>
      <w:r>
        <w:rPr>
          <w:rFonts w:ascii="Times New Roman" w:hAnsi="Times New Roman" w:eastAsia="Times New Roman" w:cs="Times New Roman"/>
          <w:sz w:val="24"/>
          <w:szCs w:val="24"/>
          <w:spacing w:val="-1"/>
        </w:rPr>
        <w:t>g/km·</w:t>
      </w:r>
      <w:r>
        <w:rPr>
          <w:rFonts w:ascii="FangSong" w:hAnsi="FangSong" w:eastAsia="FangSong" w:cs="FangSong"/>
          <w:sz w:val="24"/>
          <w:szCs w:val="24"/>
          <w:spacing w:val="-1"/>
        </w:rPr>
        <w:t>辆</w:t>
      </w:r>
      <w:r>
        <w:rPr>
          <w:rFonts w:ascii="FangSong" w:hAnsi="FangSong" w:eastAsia="FangSong" w:cs="FangSong"/>
          <w:sz w:val="24"/>
          <w:szCs w:val="24"/>
          <w:spacing w:val="10"/>
        </w:rPr>
        <w:t>）；</w:t>
      </w:r>
      <w:r>
        <w:rPr>
          <w:rFonts w:ascii="FangSong" w:hAnsi="FangSong" w:eastAsia="FangSong" w:cs="FangSong"/>
          <w:sz w:val="24"/>
          <w:szCs w:val="24"/>
          <w:spacing w:val="-1"/>
        </w:rPr>
        <w:t>通过下</w:t>
      </w:r>
      <w:r>
        <w:rPr>
          <w:rFonts w:ascii="FangSong" w:hAnsi="FangSong" w:eastAsia="FangSong" w:cs="FangSong"/>
          <w:sz w:val="24"/>
          <w:szCs w:val="24"/>
          <w:spacing w:val="-2"/>
        </w:rPr>
        <w:t>述公式</w:t>
      </w:r>
    </w:p>
    <w:p>
      <w:pPr>
        <w:spacing w:line="212" w:lineRule="auto"/>
        <w:sectPr>
          <w:headerReference w:type="default" r:id="rId175"/>
          <w:footerReference w:type="default" r:id="rId176"/>
          <w:pgSz w:w="11911" w:h="16839"/>
          <w:pgMar w:top="1140" w:right="1221" w:bottom="1146" w:left="1786" w:header="1130" w:footer="984" w:gutter="0"/>
        </w:sectPr>
        <w:rPr>
          <w:rFonts w:ascii="FangSong" w:hAnsi="FangSong" w:eastAsia="FangSong" w:cs="FangSong"/>
          <w:sz w:val="24"/>
          <w:szCs w:val="24"/>
        </w:rPr>
      </w:pPr>
    </w:p>
    <w:p>
      <w:pPr>
        <w:ind w:left="33"/>
        <w:spacing w:before="312" w:line="222" w:lineRule="auto"/>
        <w:rPr>
          <w:rFonts w:ascii="FangSong" w:hAnsi="FangSong" w:eastAsia="FangSong" w:cs="FangSong"/>
          <w:sz w:val="24"/>
          <w:szCs w:val="24"/>
        </w:rPr>
      </w:pPr>
      <w:r>
        <w:rPr>
          <w:rFonts w:ascii="FangSong" w:hAnsi="FangSong" w:eastAsia="FangSong" w:cs="FangSong"/>
          <w:sz w:val="24"/>
          <w:szCs w:val="24"/>
          <w:spacing w:val="-8"/>
        </w:rPr>
        <w:t>求得；</w:t>
      </w:r>
    </w:p>
    <w:p>
      <w:pPr>
        <w:ind w:left="36" w:right="63" w:firstLine="471"/>
        <w:spacing w:before="176" w:line="335" w:lineRule="auto"/>
        <w:rPr>
          <w:rFonts w:ascii="FangSong" w:hAnsi="FangSong" w:eastAsia="FangSong" w:cs="FangSong"/>
          <w:sz w:val="24"/>
          <w:szCs w:val="24"/>
        </w:rPr>
      </w:pPr>
      <w:r>
        <w:rPr>
          <w:rFonts w:ascii="FangSong" w:hAnsi="FangSong" w:eastAsia="FangSong" w:cs="FangSong"/>
          <w:sz w:val="24"/>
          <w:szCs w:val="24"/>
          <w:spacing w:val="1"/>
        </w:rPr>
        <w:t>项目矿山道路为碎石路面，按照未铺装道路计算。对于未铺装道路，扬尘排放</w:t>
      </w:r>
      <w:r>
        <w:rPr>
          <w:rFonts w:ascii="FangSong" w:hAnsi="FangSong" w:eastAsia="FangSong" w:cs="FangSong"/>
          <w:sz w:val="24"/>
          <w:szCs w:val="24"/>
          <w:spacing w:val="-2"/>
        </w:rPr>
        <w:t>系数计</w:t>
      </w:r>
      <w:r>
        <w:rPr>
          <w:rFonts w:ascii="FangSong" w:hAnsi="FangSong" w:eastAsia="FangSong" w:cs="FangSong"/>
          <w:sz w:val="24"/>
          <w:szCs w:val="24"/>
          <w:spacing w:val="-2"/>
        </w:rPr>
        <w:t xml:space="preserve"> </w:t>
      </w:r>
      <w:r>
        <w:rPr>
          <w:rFonts w:ascii="FangSong" w:hAnsi="FangSong" w:eastAsia="FangSong" w:cs="FangSong"/>
          <w:sz w:val="24"/>
          <w:szCs w:val="24"/>
          <w:spacing w:val="-2"/>
        </w:rPr>
        <w:t>算公式如公式</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4.13-4</w:t>
      </w:r>
      <w:r>
        <w:rPr>
          <w:rFonts w:ascii="FangSong" w:hAnsi="FangSong" w:eastAsia="FangSong" w:cs="FangSong"/>
          <w:sz w:val="24"/>
          <w:szCs w:val="24"/>
          <w:spacing w:val="-2"/>
        </w:rPr>
        <w:t>：</w:t>
      </w:r>
    </w:p>
    <w:p>
      <w:pPr>
        <w:ind w:left="1679"/>
        <w:rPr>
          <w:rFonts w:ascii="FangSong" w:hAnsi="FangSong" w:eastAsia="FangSong" w:cs="FangSong"/>
          <w:sz w:val="24"/>
          <w:szCs w:val="24"/>
        </w:rPr>
      </w:pPr>
      <w:r>
        <w:rPr>
          <w:rFonts w:ascii="Times New Roman" w:hAnsi="Times New Roman" w:eastAsia="Times New Roman" w:cs="Times New Roman"/>
          <w:sz w:val="23"/>
          <w:szCs w:val="23"/>
          <w:position w:val="-1"/>
        </w:rPr>
        <w:t>E</w:t>
      </w:r>
      <w:r>
        <w:rPr>
          <w:rFonts w:ascii="Times New Roman" w:hAnsi="Times New Roman" w:eastAsia="Times New Roman" w:cs="Times New Roman"/>
          <w:sz w:val="15"/>
          <w:szCs w:val="15"/>
          <w:position w:val="-7"/>
        </w:rPr>
        <w:t>UPi  </w:t>
      </w:r>
      <w:r>
        <w:rPr>
          <w:sz w:val="15"/>
          <w:szCs w:val="15"/>
          <w:position w:val="-26"/>
        </w:rPr>
        <w:drawing>
          <wp:inline distT="0" distB="0" distL="0" distR="0">
            <wp:extent cx="1771292" cy="468244"/>
            <wp:effectExtent l="0" t="0" r="0" b="0"/>
            <wp:docPr id="30" name="IM 30"/>
            <wp:cNvGraphicFramePr/>
            <a:graphic>
              <a:graphicData uri="http://schemas.openxmlformats.org/drawingml/2006/picture">
                <pic:pic>
                  <pic:nvPicPr>
                    <pic:cNvPr id="30" name="IM 30"/>
                    <pic:cNvPicPr/>
                  </pic:nvPicPr>
                  <pic:blipFill>
                    <a:blip r:embed="rId179"/>
                    <a:stretch>
                      <a:fillRect/>
                    </a:stretch>
                  </pic:blipFill>
                  <pic:spPr>
                    <a:xfrm rot="0">
                      <a:off x="0" y="0"/>
                      <a:ext cx="1771292" cy="468244"/>
                    </a:xfrm>
                    <a:prstGeom prst="rect">
                      <a:avLst/>
                    </a:prstGeom>
                  </pic:spPr>
                </pic:pic>
              </a:graphicData>
            </a:graphic>
          </wp:inline>
        </w:drawing>
      </w:r>
      <w:r>
        <w:rPr>
          <w:rFonts w:ascii="Times New Roman" w:hAnsi="Times New Roman" w:eastAsia="Times New Roman" w:cs="Times New Roman"/>
          <w:sz w:val="15"/>
          <w:szCs w:val="15"/>
          <w:spacing w:val="2"/>
          <w:position w:val="-7"/>
        </w:rPr>
        <w:t xml:space="preserve">             </w:t>
      </w:r>
      <w:r>
        <w:rPr>
          <w:rFonts w:ascii="FangSong" w:hAnsi="FangSong" w:eastAsia="FangSong" w:cs="FangSong"/>
          <w:sz w:val="24"/>
          <w:szCs w:val="24"/>
          <w:position w:val="-13"/>
        </w:rPr>
        <w:t>（公式</w:t>
      </w:r>
      <w:r>
        <w:rPr>
          <w:rFonts w:ascii="FangSong" w:hAnsi="FangSong" w:eastAsia="FangSong" w:cs="FangSong"/>
          <w:sz w:val="24"/>
          <w:szCs w:val="24"/>
          <w:spacing w:val="-56"/>
          <w:position w:val="-13"/>
        </w:rPr>
        <w:t xml:space="preserve"> </w:t>
      </w:r>
      <w:r>
        <w:rPr>
          <w:rFonts w:ascii="Times New Roman" w:hAnsi="Times New Roman" w:eastAsia="Times New Roman" w:cs="Times New Roman"/>
          <w:sz w:val="24"/>
          <w:szCs w:val="24"/>
          <w:position w:val="-13"/>
        </w:rPr>
        <w:t>4.13-4</w:t>
      </w:r>
      <w:r>
        <w:rPr>
          <w:rFonts w:ascii="FangSong" w:hAnsi="FangSong" w:eastAsia="FangSong" w:cs="FangSong"/>
          <w:sz w:val="24"/>
          <w:szCs w:val="24"/>
          <w:position w:val="-13"/>
        </w:rPr>
        <w:t>）</w:t>
      </w:r>
    </w:p>
    <w:p>
      <w:pPr>
        <w:ind w:left="512"/>
        <w:spacing w:before="220" w:line="213"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E</w:t>
      </w:r>
      <w:r>
        <w:rPr>
          <w:rFonts w:ascii="Times New Roman" w:hAnsi="Times New Roman" w:eastAsia="Times New Roman" w:cs="Times New Roman"/>
          <w:sz w:val="15"/>
          <w:szCs w:val="15"/>
          <w:spacing w:val="-1"/>
          <w:position w:val="-1"/>
        </w:rPr>
        <w:t>Upi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未铺装道路扬尘中</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PM</w:t>
      </w:r>
      <w:r>
        <w:rPr>
          <w:rFonts w:ascii="Times New Roman" w:hAnsi="Times New Roman" w:eastAsia="Times New Roman" w:cs="Times New Roman"/>
          <w:sz w:val="15"/>
          <w:szCs w:val="15"/>
          <w:spacing w:val="-1"/>
          <w:position w:val="-1"/>
        </w:rPr>
        <w:t>i</w:t>
      </w:r>
      <w:r>
        <w:rPr>
          <w:rFonts w:ascii="Times New Roman" w:hAnsi="Times New Roman" w:eastAsia="Times New Roman" w:cs="Times New Roman"/>
          <w:sz w:val="15"/>
          <w:szCs w:val="15"/>
          <w:spacing w:val="14"/>
          <w:w w:val="101"/>
          <w:position w:val="-1"/>
        </w:rPr>
        <w:t xml:space="preserve"> </w:t>
      </w:r>
      <w:r>
        <w:rPr>
          <w:rFonts w:ascii="FangSong" w:hAnsi="FangSong" w:eastAsia="FangSong" w:cs="FangSong"/>
          <w:sz w:val="24"/>
          <w:szCs w:val="24"/>
          <w:spacing w:val="-1"/>
        </w:rPr>
        <w:t>排放系数，</w:t>
      </w:r>
      <w:r>
        <w:rPr>
          <w:rFonts w:ascii="Times New Roman" w:hAnsi="Times New Roman" w:eastAsia="Times New Roman" w:cs="Times New Roman"/>
          <w:sz w:val="24"/>
          <w:szCs w:val="24"/>
          <w:spacing w:val="-1"/>
        </w:rPr>
        <w:t>g/km</w:t>
      </w:r>
      <w:r>
        <w:rPr>
          <w:rFonts w:ascii="FangSong" w:hAnsi="FangSong" w:eastAsia="FangSong" w:cs="FangSong"/>
          <w:sz w:val="24"/>
          <w:szCs w:val="24"/>
          <w:spacing w:val="-1"/>
        </w:rPr>
        <w:t>；</w:t>
      </w:r>
    </w:p>
    <w:p>
      <w:pPr>
        <w:ind w:left="2186" w:right="64" w:hanging="974"/>
        <w:spacing w:before="190" w:line="359" w:lineRule="auto"/>
        <w:rPr>
          <w:rFonts w:ascii="FangSong" w:hAnsi="FangSong" w:eastAsia="FangSong" w:cs="FangSong"/>
          <w:sz w:val="24"/>
          <w:szCs w:val="24"/>
        </w:rPr>
      </w:pPr>
      <w:r>
        <w:rPr>
          <w:rFonts w:ascii="Times New Roman" w:hAnsi="Times New Roman" w:eastAsia="Times New Roman" w:cs="Times New Roman"/>
          <w:sz w:val="24"/>
          <w:szCs w:val="24"/>
          <w:spacing w:val="-4"/>
        </w:rPr>
        <w:t>k</w:t>
      </w:r>
      <w:r>
        <w:rPr>
          <w:rFonts w:ascii="Times New Roman" w:hAnsi="Times New Roman" w:eastAsia="Times New Roman" w:cs="Times New Roman"/>
          <w:sz w:val="15"/>
          <w:szCs w:val="15"/>
          <w:spacing w:val="-4"/>
          <w:position w:val="-1"/>
        </w:rPr>
        <w:t>i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产生的扬尘中</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i  </w:t>
      </w:r>
      <w:r>
        <w:rPr>
          <w:rFonts w:ascii="FangSong" w:hAnsi="FangSong" w:eastAsia="FangSong" w:cs="FangSong"/>
          <w:sz w:val="24"/>
          <w:szCs w:val="24"/>
          <w:spacing w:val="-4"/>
        </w:rPr>
        <w:t>的粒度乘数，其与系数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b</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的取值见《扬尘</w:t>
      </w:r>
      <w:r>
        <w:rPr>
          <w:rFonts w:ascii="FangSong" w:hAnsi="FangSong" w:eastAsia="FangSong" w:cs="FangSong"/>
          <w:sz w:val="24"/>
          <w:szCs w:val="24"/>
          <w:spacing w:val="-4"/>
        </w:rPr>
        <w:t>源颗粒物排放清单编制技术指南》，</w:t>
      </w:r>
      <w:r>
        <w:rPr>
          <w:rFonts w:ascii="Times New Roman" w:hAnsi="Times New Roman" w:eastAsia="Times New Roman" w:cs="Times New Roman"/>
          <w:sz w:val="24"/>
          <w:szCs w:val="24"/>
          <w:spacing w:val="-4"/>
        </w:rPr>
        <w:t>TSP</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粒度乘数为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1691.4</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a</w:t>
      </w:r>
      <w:r>
        <w:rPr>
          <w:rFonts w:ascii="FangSong" w:hAnsi="FangSong" w:eastAsia="FangSong" w:cs="FangSong"/>
          <w:sz w:val="24"/>
          <w:szCs w:val="24"/>
          <w:spacing w:val="-8"/>
        </w:rPr>
        <w:t>取</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8"/>
        </w:rPr>
        <w:t>0.3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b</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8"/>
        </w:rPr>
        <w:t>取</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8"/>
        </w:rPr>
        <w:t>0.3</w:t>
      </w:r>
      <w:r>
        <w:rPr>
          <w:rFonts w:ascii="FangSong" w:hAnsi="FangSong" w:eastAsia="FangSong" w:cs="FangSong"/>
          <w:sz w:val="24"/>
          <w:szCs w:val="24"/>
          <w:spacing w:val="-8"/>
        </w:rPr>
        <w:t>；</w:t>
      </w:r>
    </w:p>
    <w:p>
      <w:pPr>
        <w:ind w:left="2194" w:right="65" w:hanging="972"/>
        <w:spacing w:before="1" w:line="342" w:lineRule="auto"/>
        <w:rPr>
          <w:rFonts w:ascii="FangSong" w:hAnsi="FangSong" w:eastAsia="FangSong" w:cs="FangSong"/>
          <w:sz w:val="24"/>
          <w:szCs w:val="24"/>
        </w:rPr>
      </w:pPr>
      <w:r>
        <w:rPr>
          <w:rFonts w:ascii="Times New Roman" w:hAnsi="Times New Roman" w:eastAsia="Times New Roman" w:cs="Times New Roman"/>
          <w:sz w:val="24"/>
          <w:szCs w:val="24"/>
          <w:spacing w:val="-4"/>
        </w:rPr>
        <w:t>s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道路表面有效积尘率，</w:t>
      </w:r>
      <w:r>
        <w:rPr>
          <w:rFonts w:ascii="Times New Roman" w:hAnsi="Times New Roman" w:eastAsia="Times New Roman" w:cs="Times New Roman"/>
          <w:sz w:val="24"/>
          <w:szCs w:val="24"/>
          <w:spacing w:val="-4"/>
        </w:rPr>
        <w:t>%  </w:t>
      </w:r>
      <w:r>
        <w:rPr>
          <w:rFonts w:ascii="FangSong" w:hAnsi="FangSong" w:eastAsia="FangSong" w:cs="FangSong"/>
          <w:sz w:val="24"/>
          <w:szCs w:val="24"/>
          <w:spacing w:val="-4"/>
        </w:rPr>
        <w:t>，非铺装道路，其路面有效积尘率平均</w:t>
      </w:r>
      <w:r>
        <w:rPr>
          <w:rFonts w:ascii="FangSong" w:hAnsi="FangSong" w:eastAsia="FangSong" w:cs="FangSong"/>
          <w:sz w:val="24"/>
          <w:szCs w:val="24"/>
          <w:spacing w:val="-2"/>
        </w:rPr>
        <w:t>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53%</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v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平均车速，</w:t>
      </w:r>
      <w:r>
        <w:rPr>
          <w:rFonts w:ascii="Times New Roman" w:hAnsi="Times New Roman" w:eastAsia="Times New Roman" w:cs="Times New Roman"/>
          <w:sz w:val="24"/>
          <w:szCs w:val="24"/>
          <w:spacing w:val="-2"/>
        </w:rPr>
        <w:t>km/h</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，项目车辆限速</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20k</w:t>
      </w:r>
      <w:r>
        <w:rPr>
          <w:rFonts w:ascii="Times New Roman" w:hAnsi="Times New Roman" w:eastAsia="Times New Roman" w:cs="Times New Roman"/>
          <w:sz w:val="24"/>
          <w:szCs w:val="24"/>
          <w:spacing w:val="-3"/>
        </w:rPr>
        <w:t>m/h</w:t>
      </w:r>
      <w:r>
        <w:rPr>
          <w:rFonts w:ascii="FangSong" w:hAnsi="FangSong" w:eastAsia="FangSong" w:cs="FangSong"/>
          <w:sz w:val="24"/>
          <w:szCs w:val="24"/>
          <w:spacing w:val="-3"/>
        </w:rPr>
        <w:t>；</w:t>
      </w:r>
    </w:p>
    <w:p>
      <w:pPr>
        <w:ind w:left="1215"/>
        <w:spacing w:line="322" w:lineRule="exact"/>
        <w:rPr>
          <w:rFonts w:ascii="FangSong" w:hAnsi="FangSong" w:eastAsia="FangSong" w:cs="FangSong"/>
          <w:sz w:val="24"/>
          <w:szCs w:val="24"/>
        </w:rPr>
      </w:pPr>
      <w:r>
        <w:rPr>
          <w:rFonts w:ascii="Times New Roman" w:hAnsi="Times New Roman" w:eastAsia="Times New Roman" w:cs="Times New Roman"/>
          <w:sz w:val="24"/>
          <w:szCs w:val="24"/>
          <w:spacing w:val="-3"/>
          <w:position w:val="1"/>
        </w:rPr>
        <w:t>M  </w:t>
      </w:r>
      <w:r>
        <w:rPr>
          <w:rFonts w:ascii="FangSong" w:hAnsi="FangSong" w:eastAsia="FangSong" w:cs="FangSong"/>
          <w:sz w:val="24"/>
          <w:szCs w:val="24"/>
          <w:spacing w:val="-3"/>
          <w:position w:val="1"/>
        </w:rPr>
        <w:t>——</w:t>
      </w:r>
      <w:r>
        <w:rPr>
          <w:rFonts w:ascii="FangSong" w:hAnsi="FangSong" w:eastAsia="FangSong" w:cs="FangSong"/>
          <w:sz w:val="24"/>
          <w:szCs w:val="24"/>
          <w:spacing w:val="-3"/>
          <w:position w:val="1"/>
        </w:rPr>
        <w:t xml:space="preserve"> </w:t>
      </w:r>
      <w:r>
        <w:rPr>
          <w:rFonts w:ascii="FangSong" w:hAnsi="FangSong" w:eastAsia="FangSong" w:cs="FangSong"/>
          <w:sz w:val="24"/>
          <w:szCs w:val="24"/>
          <w:spacing w:val="-3"/>
          <w:position w:val="1"/>
        </w:rPr>
        <w:t>道路积尘含水率，</w:t>
      </w:r>
      <w:r>
        <w:rPr>
          <w:rFonts w:ascii="Times New Roman" w:hAnsi="Times New Roman" w:eastAsia="Times New Roman" w:cs="Times New Roman"/>
          <w:sz w:val="24"/>
          <w:szCs w:val="24"/>
          <w:spacing w:val="-3"/>
          <w:position w:val="1"/>
        </w:rPr>
        <w:t>%   </w:t>
      </w:r>
      <w:r>
        <w:rPr>
          <w:rFonts w:ascii="FangSong" w:hAnsi="FangSong" w:eastAsia="FangSong" w:cs="FangSong"/>
          <w:sz w:val="24"/>
          <w:szCs w:val="24"/>
          <w:spacing w:val="-3"/>
          <w:position w:val="1"/>
        </w:rPr>
        <w:t>，干燥路面积尘含水率</w:t>
      </w:r>
      <w:r>
        <w:rPr>
          <w:rFonts w:ascii="FangSong" w:hAnsi="FangSong" w:eastAsia="FangSong" w:cs="FangSong"/>
          <w:sz w:val="24"/>
          <w:szCs w:val="24"/>
          <w:spacing w:val="-3"/>
          <w:position w:val="1"/>
        </w:rPr>
        <w:t xml:space="preserve"> </w:t>
      </w:r>
      <w:r>
        <w:rPr>
          <w:rFonts w:ascii="Times New Roman" w:hAnsi="Times New Roman" w:eastAsia="Times New Roman" w:cs="Times New Roman"/>
          <w:sz w:val="24"/>
          <w:szCs w:val="24"/>
          <w:spacing w:val="-3"/>
          <w:position w:val="1"/>
        </w:rPr>
        <w:t>M=</w:t>
      </w:r>
      <w:r>
        <w:rPr>
          <w:rFonts w:ascii="Times New Roman" w:hAnsi="Times New Roman" w:eastAsia="Times New Roman" w:cs="Times New Roman"/>
          <w:sz w:val="24"/>
          <w:szCs w:val="24"/>
          <w:spacing w:val="-22"/>
          <w:position w:val="1"/>
        </w:rPr>
        <w:t xml:space="preserve"> </w:t>
      </w:r>
      <w:r>
        <w:rPr>
          <w:rFonts w:ascii="Times New Roman" w:hAnsi="Times New Roman" w:eastAsia="Times New Roman" w:cs="Times New Roman"/>
          <w:sz w:val="24"/>
          <w:szCs w:val="24"/>
          <w:spacing w:val="-3"/>
          <w:position w:val="1"/>
        </w:rPr>
        <w:t>1.5</w:t>
      </w:r>
      <w:r>
        <w:rPr>
          <w:rFonts w:ascii="FangSong" w:hAnsi="FangSong" w:eastAsia="FangSong" w:cs="FangSong"/>
          <w:sz w:val="24"/>
          <w:szCs w:val="24"/>
          <w:spacing w:val="-3"/>
          <w:position w:val="1"/>
        </w:rPr>
        <w:t>；</w:t>
      </w:r>
    </w:p>
    <w:p>
      <w:pPr>
        <w:ind w:left="2187" w:hanging="975"/>
        <w:spacing w:before="190" w:line="357" w:lineRule="auto"/>
        <w:rPr>
          <w:rFonts w:ascii="FangSong" w:hAnsi="FangSong" w:eastAsia="FangSong" w:cs="FangSong"/>
          <w:sz w:val="24"/>
          <w:szCs w:val="24"/>
        </w:rPr>
      </w:pPr>
      <w:r>
        <w:rPr>
          <w:rFonts w:ascii="Times New Roman" w:hAnsi="Times New Roman" w:eastAsia="Times New Roman" w:cs="Times New Roman"/>
          <w:sz w:val="24"/>
          <w:szCs w:val="24"/>
          <w:spacing w:val="-1"/>
        </w:rPr>
        <w:t>η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污染控制技术对扬尘的控制效率，</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；常用的未铺装道路扬尘控</w:t>
      </w:r>
      <w:r>
        <w:rPr>
          <w:rFonts w:ascii="FangSong" w:hAnsi="FangSong" w:eastAsia="FangSong" w:cs="FangSong"/>
          <w:sz w:val="24"/>
          <w:szCs w:val="24"/>
          <w:spacing w:val="-5"/>
        </w:rPr>
        <w:t>制措施的控制效率见《扬尘源颗粒物排放清单编制技术指南》，</w:t>
      </w:r>
      <w:r>
        <w:rPr>
          <w:rFonts w:ascii="FangSong" w:hAnsi="FangSong" w:eastAsia="FangSong" w:cs="FangSong"/>
          <w:sz w:val="24"/>
          <w:szCs w:val="24"/>
          <w:spacing w:val="-1"/>
        </w:rPr>
        <w:t>多种措施同时开展的，取控制效率最大值，本次取</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w:t>
      </w:r>
    </w:p>
    <w:p>
      <w:pPr>
        <w:ind w:left="26" w:right="63" w:firstLine="480"/>
        <w:spacing w:before="8" w:line="359" w:lineRule="auto"/>
        <w:rPr>
          <w:rFonts w:ascii="FangSong" w:hAnsi="FangSong" w:eastAsia="FangSong" w:cs="FangSong"/>
          <w:sz w:val="24"/>
          <w:szCs w:val="24"/>
        </w:rPr>
      </w:pPr>
      <w:r>
        <w:rPr>
          <w:rFonts w:ascii="FangSong" w:hAnsi="FangSong" w:eastAsia="FangSong" w:cs="FangSong"/>
          <w:sz w:val="24"/>
          <w:szCs w:val="24"/>
          <w:spacing w:val="1"/>
        </w:rPr>
        <w:t>矿区进场道路通过定期洒水，车辆运输过程中严格限制超载，减速慢行，经计</w:t>
      </w:r>
      <w:r>
        <w:rPr>
          <w:rFonts w:ascii="FangSong" w:hAnsi="FangSong" w:eastAsia="FangSong" w:cs="FangSong"/>
          <w:sz w:val="24"/>
          <w:szCs w:val="24"/>
          <w:spacing w:val="-2"/>
        </w:rPr>
        <w:t>算，道路运输扬尘排放量为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0.235t/a</w:t>
      </w:r>
      <w:r>
        <w:rPr>
          <w:rFonts w:ascii="FangSong" w:hAnsi="FangSong" w:eastAsia="FangSong" w:cs="FangSong"/>
          <w:sz w:val="24"/>
          <w:szCs w:val="24"/>
          <w:spacing w:val="-2"/>
        </w:rPr>
        <w:t>。</w:t>
      </w:r>
    </w:p>
    <w:p>
      <w:pPr>
        <w:ind w:left="498"/>
        <w:spacing w:line="221" w:lineRule="auto"/>
        <w:rPr>
          <w:rFonts w:ascii="FangSong" w:hAnsi="FangSong" w:eastAsia="FangSong" w:cs="FangSong"/>
          <w:sz w:val="24"/>
          <w:szCs w:val="24"/>
        </w:rPr>
      </w:pPr>
      <w:r>
        <w:rPr>
          <w:rFonts w:ascii="FangSong" w:hAnsi="FangSong" w:eastAsia="FangSong" w:cs="FangSong"/>
          <w:sz w:val="24"/>
          <w:szCs w:val="24"/>
          <w:spacing w:val="-5"/>
        </w:rPr>
        <w:t>③</w:t>
      </w:r>
      <w:r>
        <w:rPr>
          <w:rFonts w:ascii="FangSong" w:hAnsi="FangSong" w:eastAsia="FangSong" w:cs="FangSong"/>
          <w:sz w:val="24"/>
          <w:szCs w:val="24"/>
          <w:spacing w:val="16"/>
        </w:rPr>
        <w:t xml:space="preserve"> </w:t>
      </w:r>
      <w:r>
        <w:rPr>
          <w:rFonts w:ascii="FangSong" w:hAnsi="FangSong" w:eastAsia="FangSong" w:cs="FangSong"/>
          <w:sz w:val="24"/>
          <w:szCs w:val="24"/>
          <w:spacing w:val="-5"/>
        </w:rPr>
        <w:t>堆场扬尘</w:t>
      </w:r>
    </w:p>
    <w:p>
      <w:pPr>
        <w:ind w:left="26" w:right="63" w:firstLine="480"/>
        <w:spacing w:before="180" w:line="359" w:lineRule="auto"/>
        <w:rPr>
          <w:rFonts w:ascii="FangSong" w:hAnsi="FangSong" w:eastAsia="FangSong" w:cs="FangSong"/>
          <w:sz w:val="24"/>
          <w:szCs w:val="24"/>
        </w:rPr>
      </w:pPr>
      <w:r>
        <w:rPr>
          <w:rFonts w:ascii="FangSong" w:hAnsi="FangSong" w:eastAsia="FangSong" w:cs="FangSong"/>
          <w:sz w:val="24"/>
          <w:szCs w:val="24"/>
          <w:spacing w:val="1"/>
        </w:rPr>
        <w:t>堆场的扬尘源排放量是装卸引起的扬尘与堆积存放期间风蚀扬尘的加和，其扬</w:t>
      </w:r>
      <w:r>
        <w:rPr>
          <w:rFonts w:ascii="FangSong" w:hAnsi="FangSong" w:eastAsia="FangSong" w:cs="FangSong"/>
          <w:sz w:val="24"/>
          <w:szCs w:val="24"/>
        </w:rPr>
        <w:t>尘量采用《扬尘源颗粒物排放清单编制技术指南（试行）》</w:t>
      </w:r>
      <w:r>
        <w:rPr>
          <w:rFonts w:ascii="FangSong" w:hAnsi="FangSong" w:eastAsia="FangSong" w:cs="FangSong"/>
          <w:sz w:val="24"/>
          <w:szCs w:val="24"/>
          <w:spacing w:val="-71"/>
        </w:rPr>
        <w:t xml:space="preserve"> </w:t>
      </w:r>
      <w:r>
        <w:rPr>
          <w:rFonts w:ascii="FangSong" w:hAnsi="FangSong" w:eastAsia="FangSong" w:cs="FangSong"/>
          <w:sz w:val="24"/>
          <w:szCs w:val="24"/>
        </w:rPr>
        <w:t>中</w:t>
      </w:r>
      <w:r>
        <w:rPr>
          <w:rFonts w:ascii="FangSong" w:hAnsi="FangSong" w:eastAsia="FangSong" w:cs="FangSong"/>
          <w:sz w:val="24"/>
          <w:szCs w:val="24"/>
          <w:spacing w:val="-1"/>
        </w:rPr>
        <w:t>堆场扬尘源排放量的</w:t>
      </w:r>
      <w:r>
        <w:rPr>
          <w:rFonts w:ascii="FangSong" w:hAnsi="FangSong" w:eastAsia="FangSong" w:cs="FangSong"/>
          <w:sz w:val="24"/>
          <w:szCs w:val="24"/>
          <w:spacing w:val="-2"/>
        </w:rPr>
        <w:t>计算方式进行计算：</w:t>
      </w:r>
    </w:p>
    <w:p>
      <w:pPr>
        <w:ind w:left="26" w:firstLine="480"/>
        <w:spacing w:before="2" w:line="360" w:lineRule="auto"/>
        <w:rPr>
          <w:rFonts w:ascii="FangSong" w:hAnsi="FangSong" w:eastAsia="FangSong" w:cs="FangSong"/>
          <w:sz w:val="24"/>
          <w:szCs w:val="24"/>
        </w:rPr>
      </w:pPr>
      <w:r>
        <w:rPr>
          <w:rFonts w:ascii="FangSong" w:hAnsi="FangSong" w:eastAsia="FangSong" w:cs="FangSong"/>
          <w:sz w:val="24"/>
          <w:szCs w:val="24"/>
          <w:spacing w:val="-4"/>
        </w:rPr>
        <w:t>堆场的扬尘源排放量是装卸、运输引起的扬尘与堆积存放期间风蚀扬尘的加和，</w:t>
      </w:r>
      <w:r>
        <w:rPr>
          <w:rFonts w:ascii="FangSong" w:hAnsi="FangSong" w:eastAsia="FangSong" w:cs="FangSong"/>
          <w:sz w:val="24"/>
          <w:szCs w:val="24"/>
          <w:spacing w:val="-2"/>
        </w:rPr>
        <w:t>计算公式如公式</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4.13-5</w:t>
      </w:r>
      <w:r>
        <w:rPr>
          <w:rFonts w:ascii="FangSong" w:hAnsi="FangSong" w:eastAsia="FangSong" w:cs="FangSong"/>
          <w:sz w:val="24"/>
          <w:szCs w:val="24"/>
          <w:spacing w:val="-2"/>
        </w:rPr>
        <w:t>：</w:t>
      </w:r>
    </w:p>
    <w:p>
      <w:pPr>
        <w:pStyle w:val="BodyText"/>
        <w:ind w:left="1362"/>
        <w:spacing w:before="53"/>
        <w:rPr>
          <w:rFonts w:ascii="FangSong" w:hAnsi="FangSong" w:eastAsia="FangSong" w:cs="FangSong"/>
          <w:sz w:val="24"/>
          <w:szCs w:val="24"/>
        </w:rPr>
      </w:pPr>
      <w:r>
        <w:rPr>
          <w:rFonts w:ascii="Times New Roman" w:hAnsi="Times New Roman" w:eastAsia="Times New Roman" w:cs="Times New Roman"/>
          <w:sz w:val="23"/>
          <w:szCs w:val="23"/>
          <w:position w:val="4"/>
        </w:rPr>
        <w:t>W</w:t>
      </w:r>
      <w:r>
        <w:rPr>
          <w:rFonts w:ascii="Times New Roman" w:hAnsi="Times New Roman" w:eastAsia="Times New Roman" w:cs="Times New Roman"/>
          <w:sz w:val="13"/>
          <w:szCs w:val="13"/>
          <w:position w:val="-1"/>
        </w:rPr>
        <w:t>Y</w:t>
      </w:r>
      <w:r>
        <w:rPr>
          <w:rFonts w:ascii="Times New Roman" w:hAnsi="Times New Roman" w:eastAsia="Times New Roman" w:cs="Times New Roman"/>
          <w:sz w:val="13"/>
          <w:szCs w:val="13"/>
          <w:spacing w:val="17"/>
          <w:w w:val="102"/>
          <w:position w:val="-1"/>
        </w:rPr>
        <w:t xml:space="preserve">  </w:t>
      </w:r>
      <w:r>
        <w:rPr>
          <w:sz w:val="13"/>
          <w:szCs w:val="13"/>
          <w:position w:val="-20"/>
        </w:rPr>
        <w:drawing>
          <wp:inline distT="0" distB="0" distL="0" distR="0">
            <wp:extent cx="276608" cy="341182"/>
            <wp:effectExtent l="0" t="0" r="0" b="0"/>
            <wp:docPr id="32" name="IM 32"/>
            <wp:cNvGraphicFramePr/>
            <a:graphic>
              <a:graphicData uri="http://schemas.openxmlformats.org/drawingml/2006/picture">
                <pic:pic>
                  <pic:nvPicPr>
                    <pic:cNvPr id="32" name="IM 32"/>
                    <pic:cNvPicPr/>
                  </pic:nvPicPr>
                  <pic:blipFill>
                    <a:blip r:embed="rId180"/>
                    <a:stretch>
                      <a:fillRect/>
                    </a:stretch>
                  </pic:blipFill>
                  <pic:spPr>
                    <a:xfrm rot="0">
                      <a:off x="0" y="0"/>
                      <a:ext cx="276608" cy="341182"/>
                    </a:xfrm>
                    <a:prstGeom prst="rect">
                      <a:avLst/>
                    </a:prstGeom>
                  </pic:spPr>
                </pic:pic>
              </a:graphicData>
            </a:graphic>
          </wp:inline>
        </w:drawing>
      </w:r>
      <w:r>
        <w:rPr>
          <w:rFonts w:ascii="Times New Roman" w:hAnsi="Times New Roman" w:eastAsia="Times New Roman" w:cs="Times New Roman"/>
          <w:sz w:val="23"/>
          <w:szCs w:val="23"/>
          <w:position w:val="4"/>
        </w:rPr>
        <w:t>E</w:t>
      </w:r>
      <w:r>
        <w:rPr>
          <w:rFonts w:ascii="Times New Roman" w:hAnsi="Times New Roman" w:eastAsia="Times New Roman" w:cs="Times New Roman"/>
          <w:sz w:val="13"/>
          <w:szCs w:val="13"/>
          <w:position w:val="-1"/>
        </w:rPr>
        <w:t>h</w:t>
      </w:r>
      <w:r>
        <w:rPr>
          <w:rFonts w:ascii="Times New Roman" w:hAnsi="Times New Roman" w:eastAsia="Times New Roman" w:cs="Times New Roman"/>
          <w:sz w:val="13"/>
          <w:szCs w:val="13"/>
          <w:spacing w:val="4"/>
          <w:position w:val="-1"/>
        </w:rPr>
        <w:t xml:space="preserve">  </w:t>
      </w:r>
      <w:r>
        <w:rPr>
          <w:sz w:val="23"/>
          <w:szCs w:val="23"/>
          <w:spacing w:val="4"/>
          <w:position w:val="4"/>
        </w:rPr>
        <w:t>×</w:t>
      </w:r>
      <w:r>
        <w:rPr>
          <w:sz w:val="23"/>
          <w:szCs w:val="23"/>
          <w:spacing w:val="-25"/>
          <w:position w:val="4"/>
        </w:rPr>
        <w:t xml:space="preserve"> </w:t>
      </w:r>
      <w:r>
        <w:rPr>
          <w:rFonts w:ascii="Times New Roman" w:hAnsi="Times New Roman" w:eastAsia="Times New Roman" w:cs="Times New Roman"/>
          <w:sz w:val="23"/>
          <w:szCs w:val="23"/>
          <w:position w:val="4"/>
        </w:rPr>
        <w:t>G</w:t>
      </w:r>
      <w:r>
        <w:rPr>
          <w:rFonts w:ascii="Times New Roman" w:hAnsi="Times New Roman" w:eastAsia="Times New Roman" w:cs="Times New Roman"/>
          <w:sz w:val="13"/>
          <w:szCs w:val="13"/>
          <w:position w:val="-1"/>
        </w:rPr>
        <w:t>Yi</w:t>
      </w:r>
      <w:r>
        <w:rPr>
          <w:rFonts w:ascii="Times New Roman" w:hAnsi="Times New Roman" w:eastAsia="Times New Roman" w:cs="Times New Roman"/>
          <w:sz w:val="13"/>
          <w:szCs w:val="13"/>
          <w:spacing w:val="4"/>
          <w:position w:val="-1"/>
        </w:rPr>
        <w:t xml:space="preserve">  </w:t>
      </w:r>
      <w:r>
        <w:rPr>
          <w:sz w:val="23"/>
          <w:szCs w:val="23"/>
          <w:spacing w:val="4"/>
          <w:position w:val="4"/>
        </w:rPr>
        <w:t>×</w:t>
      </w:r>
      <w:r>
        <w:rPr>
          <w:sz w:val="23"/>
          <w:szCs w:val="23"/>
          <w:spacing w:val="-28"/>
          <w:position w:val="4"/>
        </w:rPr>
        <w:t xml:space="preserve"> </w:t>
      </w:r>
      <w:r>
        <w:rPr>
          <w:rFonts w:ascii="Times New Roman" w:hAnsi="Times New Roman" w:eastAsia="Times New Roman" w:cs="Times New Roman"/>
          <w:sz w:val="23"/>
          <w:szCs w:val="23"/>
          <w:spacing w:val="4"/>
          <w:position w:val="4"/>
        </w:rPr>
        <w:t>10</w:t>
      </w:r>
      <w:r>
        <w:rPr>
          <w:sz w:val="13"/>
          <w:szCs w:val="13"/>
          <w:spacing w:val="4"/>
          <w:position w:val="15"/>
        </w:rPr>
        <w:t>-</w:t>
      </w:r>
      <w:r>
        <w:rPr>
          <w:rFonts w:ascii="Times New Roman" w:hAnsi="Times New Roman" w:eastAsia="Times New Roman" w:cs="Times New Roman"/>
          <w:sz w:val="13"/>
          <w:szCs w:val="13"/>
          <w:spacing w:val="4"/>
          <w:position w:val="15"/>
        </w:rPr>
        <w:t>3  </w:t>
      </w:r>
      <w:r>
        <w:rPr>
          <w:sz w:val="23"/>
          <w:szCs w:val="23"/>
          <w:spacing w:val="4"/>
          <w:position w:val="4"/>
        </w:rPr>
        <w:t>+</w:t>
      </w:r>
      <w:r>
        <w:rPr>
          <w:sz w:val="23"/>
          <w:szCs w:val="23"/>
          <w:spacing w:val="-13"/>
          <w:position w:val="4"/>
        </w:rPr>
        <w:t xml:space="preserve"> </w:t>
      </w:r>
      <w:r>
        <w:rPr>
          <w:rFonts w:ascii="Times New Roman" w:hAnsi="Times New Roman" w:eastAsia="Times New Roman" w:cs="Times New Roman"/>
          <w:sz w:val="23"/>
          <w:szCs w:val="23"/>
          <w:position w:val="4"/>
        </w:rPr>
        <w:t>E</w:t>
      </w:r>
      <w:r>
        <w:rPr>
          <w:rFonts w:ascii="Times New Roman" w:hAnsi="Times New Roman" w:eastAsia="Times New Roman" w:cs="Times New Roman"/>
          <w:sz w:val="13"/>
          <w:szCs w:val="13"/>
          <w:position w:val="-1"/>
        </w:rPr>
        <w:t>w</w:t>
      </w:r>
      <w:r>
        <w:rPr>
          <w:rFonts w:ascii="Times New Roman" w:hAnsi="Times New Roman" w:eastAsia="Times New Roman" w:cs="Times New Roman"/>
          <w:sz w:val="13"/>
          <w:szCs w:val="13"/>
          <w:spacing w:val="4"/>
          <w:position w:val="-1"/>
        </w:rPr>
        <w:t xml:space="preserve">  </w:t>
      </w:r>
      <w:r>
        <w:rPr>
          <w:sz w:val="23"/>
          <w:szCs w:val="23"/>
          <w:spacing w:val="4"/>
          <w:position w:val="4"/>
        </w:rPr>
        <w:t>×</w:t>
      </w:r>
      <w:r>
        <w:rPr>
          <w:sz w:val="23"/>
          <w:szCs w:val="23"/>
          <w:spacing w:val="-27"/>
          <w:position w:val="4"/>
        </w:rPr>
        <w:t xml:space="preserve"> </w:t>
      </w:r>
      <w:r>
        <w:rPr>
          <w:rFonts w:ascii="Times New Roman" w:hAnsi="Times New Roman" w:eastAsia="Times New Roman" w:cs="Times New Roman"/>
          <w:sz w:val="23"/>
          <w:szCs w:val="23"/>
          <w:position w:val="4"/>
        </w:rPr>
        <w:t>A</w:t>
      </w:r>
      <w:r>
        <w:rPr>
          <w:rFonts w:ascii="Times New Roman" w:hAnsi="Times New Roman" w:eastAsia="Times New Roman" w:cs="Times New Roman"/>
          <w:sz w:val="13"/>
          <w:szCs w:val="13"/>
          <w:position w:val="-1"/>
        </w:rPr>
        <w:t>Y</w:t>
      </w:r>
      <w:r>
        <w:rPr>
          <w:rFonts w:ascii="Times New Roman" w:hAnsi="Times New Roman" w:eastAsia="Times New Roman" w:cs="Times New Roman"/>
          <w:sz w:val="13"/>
          <w:szCs w:val="13"/>
          <w:spacing w:val="4"/>
          <w:position w:val="-1"/>
        </w:rPr>
        <w:t xml:space="preserve">  </w:t>
      </w:r>
      <w:r>
        <w:rPr>
          <w:sz w:val="23"/>
          <w:szCs w:val="23"/>
          <w:spacing w:val="4"/>
          <w:position w:val="4"/>
        </w:rPr>
        <w:t>×</w:t>
      </w:r>
      <w:r>
        <w:rPr>
          <w:sz w:val="23"/>
          <w:szCs w:val="23"/>
          <w:spacing w:val="-28"/>
          <w:position w:val="4"/>
        </w:rPr>
        <w:t xml:space="preserve"> </w:t>
      </w:r>
      <w:r>
        <w:rPr>
          <w:rFonts w:ascii="Times New Roman" w:hAnsi="Times New Roman" w:eastAsia="Times New Roman" w:cs="Times New Roman"/>
          <w:sz w:val="23"/>
          <w:szCs w:val="23"/>
          <w:spacing w:val="4"/>
          <w:position w:val="4"/>
        </w:rPr>
        <w:t>10</w:t>
      </w:r>
      <w:r>
        <w:rPr>
          <w:sz w:val="13"/>
          <w:szCs w:val="13"/>
          <w:spacing w:val="4"/>
          <w:position w:val="15"/>
        </w:rPr>
        <w:t>-</w:t>
      </w:r>
      <w:r>
        <w:rPr>
          <w:rFonts w:ascii="Times New Roman" w:hAnsi="Times New Roman" w:eastAsia="Times New Roman" w:cs="Times New Roman"/>
          <w:sz w:val="13"/>
          <w:szCs w:val="13"/>
          <w:spacing w:val="4"/>
          <w:position w:val="15"/>
        </w:rPr>
        <w:t>3</w:t>
      </w:r>
      <w:r>
        <w:rPr>
          <w:rFonts w:ascii="Times New Roman" w:hAnsi="Times New Roman" w:eastAsia="Times New Roman" w:cs="Times New Roman"/>
          <w:sz w:val="13"/>
          <w:szCs w:val="13"/>
          <w:spacing w:val="1"/>
          <w:position w:val="15"/>
        </w:rPr>
        <w:t xml:space="preserve">                </w:t>
      </w:r>
      <w:r>
        <w:rPr>
          <w:rFonts w:ascii="FangSong" w:hAnsi="FangSong" w:eastAsia="FangSong" w:cs="FangSong"/>
          <w:sz w:val="24"/>
          <w:szCs w:val="24"/>
          <w:spacing w:val="4"/>
          <w:position w:val="-7"/>
        </w:rPr>
        <w:t>（公式</w:t>
      </w:r>
      <w:r>
        <w:rPr>
          <w:rFonts w:ascii="FangSong" w:hAnsi="FangSong" w:eastAsia="FangSong" w:cs="FangSong"/>
          <w:sz w:val="24"/>
          <w:szCs w:val="24"/>
          <w:spacing w:val="-48"/>
          <w:position w:val="-7"/>
        </w:rPr>
        <w:t xml:space="preserve"> </w:t>
      </w:r>
      <w:r>
        <w:rPr>
          <w:rFonts w:ascii="Times New Roman" w:hAnsi="Times New Roman" w:eastAsia="Times New Roman" w:cs="Times New Roman"/>
          <w:sz w:val="24"/>
          <w:szCs w:val="24"/>
          <w:spacing w:val="4"/>
          <w:position w:val="-7"/>
        </w:rPr>
        <w:t>4.13-5</w:t>
      </w:r>
      <w:r>
        <w:rPr>
          <w:rFonts w:ascii="FangSong" w:hAnsi="FangSong" w:eastAsia="FangSong" w:cs="FangSong"/>
          <w:sz w:val="24"/>
          <w:szCs w:val="24"/>
          <w:spacing w:val="4"/>
          <w:position w:val="-7"/>
        </w:rPr>
        <w:t>）</w:t>
      </w:r>
    </w:p>
    <w:p>
      <w:pPr>
        <w:ind w:left="512"/>
        <w:spacing w:before="241" w:line="218"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W</w:t>
      </w:r>
      <w:r>
        <w:rPr>
          <w:rFonts w:ascii="Times New Roman" w:hAnsi="Times New Roman" w:eastAsia="Times New Roman" w:cs="Times New Roman"/>
          <w:sz w:val="15"/>
          <w:szCs w:val="15"/>
          <w:spacing w:val="-1"/>
          <w:position w:val="-1"/>
        </w:rPr>
        <w:t>y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堆场扬尘源中颗粒物总排放量，</w:t>
      </w:r>
      <w:r>
        <w:rPr>
          <w:rFonts w:ascii="Times New Roman" w:hAnsi="Times New Roman" w:eastAsia="Times New Roman" w:cs="Times New Roman"/>
          <w:sz w:val="24"/>
          <w:szCs w:val="24"/>
          <w:spacing w:val="-1"/>
        </w:rPr>
        <w:t>t/a</w:t>
      </w:r>
      <w:r>
        <w:rPr>
          <w:rFonts w:ascii="FangSong" w:hAnsi="FangSong" w:eastAsia="FangSong" w:cs="FangSong"/>
          <w:sz w:val="24"/>
          <w:szCs w:val="24"/>
          <w:spacing w:val="-1"/>
        </w:rPr>
        <w:t>；</w:t>
      </w:r>
    </w:p>
    <w:p>
      <w:pPr>
        <w:ind w:left="1215"/>
        <w:spacing w:before="184" w:line="221" w:lineRule="auto"/>
        <w:rPr>
          <w:rFonts w:ascii="FangSong" w:hAnsi="FangSong" w:eastAsia="FangSong" w:cs="FangSong"/>
          <w:sz w:val="24"/>
          <w:szCs w:val="24"/>
        </w:rPr>
      </w:pPr>
      <w:r>
        <w:rPr>
          <w:rFonts w:ascii="Times New Roman" w:hAnsi="Times New Roman" w:eastAsia="Times New Roman" w:cs="Times New Roman"/>
          <w:sz w:val="24"/>
          <w:szCs w:val="24"/>
        </w:rPr>
        <w:t>E</w:t>
      </w:r>
      <w:r>
        <w:rPr>
          <w:rFonts w:ascii="Times New Roman" w:hAnsi="Times New Roman" w:eastAsia="Times New Roman" w:cs="Times New Roman"/>
          <w:sz w:val="15"/>
          <w:szCs w:val="15"/>
          <w:position w:val="-1"/>
        </w:rPr>
        <w:t>h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堆场装卸运输过程的扬尘颗粒物排放系数，计算方法见公式</w:t>
      </w:r>
    </w:p>
    <w:p>
      <w:pPr>
        <w:ind w:left="2174"/>
        <w:spacing w:before="216" w:line="183" w:lineRule="auto"/>
        <w:rPr>
          <w:rFonts w:ascii="FangSong" w:hAnsi="FangSong" w:eastAsia="FangSong" w:cs="FangSong"/>
          <w:sz w:val="24"/>
          <w:szCs w:val="24"/>
        </w:rPr>
      </w:pPr>
      <w:r>
        <w:rPr>
          <w:rFonts w:ascii="Times New Roman" w:hAnsi="Times New Roman" w:eastAsia="Times New Roman" w:cs="Times New Roman"/>
          <w:sz w:val="24"/>
          <w:szCs w:val="24"/>
          <w:spacing w:val="-4"/>
        </w:rPr>
        <w:t>4.13-6</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kg/t</w:t>
      </w:r>
      <w:r>
        <w:rPr>
          <w:rFonts w:ascii="FangSong" w:hAnsi="FangSong" w:eastAsia="FangSong" w:cs="FangSong"/>
          <w:sz w:val="24"/>
          <w:szCs w:val="24"/>
          <w:spacing w:val="-4"/>
        </w:rPr>
        <w:t>；</w:t>
      </w:r>
    </w:p>
    <w:p>
      <w:pPr>
        <w:ind w:left="1212"/>
        <w:spacing w:before="193"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m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每年料堆物料装卸总次数，次；</w:t>
      </w:r>
    </w:p>
    <w:p>
      <w:pPr>
        <w:ind w:left="1219"/>
        <w:spacing w:before="179" w:line="220" w:lineRule="auto"/>
        <w:rPr>
          <w:rFonts w:ascii="FangSong" w:hAnsi="FangSong" w:eastAsia="FangSong" w:cs="FangSong"/>
          <w:sz w:val="24"/>
          <w:szCs w:val="24"/>
        </w:rPr>
      </w:pPr>
      <w:r>
        <w:rPr>
          <w:rFonts w:ascii="Times New Roman" w:hAnsi="Times New Roman" w:eastAsia="Times New Roman" w:cs="Times New Roman"/>
          <w:sz w:val="24"/>
          <w:szCs w:val="24"/>
          <w:spacing w:val="-2"/>
        </w:rPr>
        <w:t>G</w:t>
      </w:r>
      <w:r>
        <w:rPr>
          <w:rFonts w:ascii="Times New Roman" w:hAnsi="Times New Roman" w:eastAsia="Times New Roman" w:cs="Times New Roman"/>
          <w:sz w:val="15"/>
          <w:szCs w:val="15"/>
          <w:spacing w:val="-2"/>
          <w:position w:val="-1"/>
        </w:rPr>
        <w:t>Yi   </w:t>
      </w:r>
      <w:r>
        <w:rPr>
          <w:rFonts w:ascii="FangSong" w:hAnsi="FangSong" w:eastAsia="FangSong" w:cs="FangSong"/>
          <w:sz w:val="24"/>
          <w:szCs w:val="24"/>
          <w:spacing w:val="-2"/>
        </w:rPr>
        <w:t>——</w:t>
      </w:r>
      <w:r>
        <w:rPr>
          <w:rFonts w:ascii="FangSong" w:hAnsi="FangSong" w:eastAsia="FangSong" w:cs="FangSong"/>
          <w:sz w:val="24"/>
          <w:szCs w:val="24"/>
          <w:spacing w:val="30"/>
        </w:rPr>
        <w:t xml:space="preserve"> </w:t>
      </w:r>
      <w:r>
        <w:rPr>
          <w:rFonts w:ascii="FangSong" w:hAnsi="FangSong" w:eastAsia="FangSong" w:cs="FangSong"/>
          <w:sz w:val="24"/>
          <w:szCs w:val="24"/>
          <w:spacing w:val="-2"/>
        </w:rPr>
        <w:t>第</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i </w:t>
      </w:r>
      <w:r>
        <w:rPr>
          <w:rFonts w:ascii="FangSong" w:hAnsi="FangSong" w:eastAsia="FangSong" w:cs="FangSong"/>
          <w:sz w:val="24"/>
          <w:szCs w:val="24"/>
          <w:spacing w:val="-2"/>
        </w:rPr>
        <w:t>次装卸过程的物料装卸量，</w:t>
      </w:r>
      <w:r>
        <w:rPr>
          <w:rFonts w:ascii="Times New Roman" w:hAnsi="Times New Roman" w:eastAsia="Times New Roman" w:cs="Times New Roman"/>
          <w:sz w:val="24"/>
          <w:szCs w:val="24"/>
          <w:spacing w:val="-2"/>
        </w:rPr>
        <w:t>t</w:t>
      </w:r>
      <w:r>
        <w:rPr>
          <w:rFonts w:ascii="FangSong" w:hAnsi="FangSong" w:eastAsia="FangSong" w:cs="FangSong"/>
          <w:sz w:val="24"/>
          <w:szCs w:val="24"/>
          <w:spacing w:val="-2"/>
        </w:rPr>
        <w:t>；</w:t>
      </w:r>
    </w:p>
    <w:p>
      <w:pPr>
        <w:spacing w:line="220" w:lineRule="auto"/>
        <w:sectPr>
          <w:headerReference w:type="default" r:id="rId168"/>
          <w:footerReference w:type="default" r:id="rId178"/>
          <w:pgSz w:w="11911" w:h="16839"/>
          <w:pgMar w:top="1140" w:right="1352" w:bottom="1146" w:left="1786" w:header="113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1215"/>
        <w:spacing w:before="78" w:line="210" w:lineRule="auto"/>
        <w:rPr>
          <w:rFonts w:ascii="FangSong" w:hAnsi="FangSong" w:eastAsia="FangSong" w:cs="FangSong"/>
          <w:sz w:val="24"/>
          <w:szCs w:val="24"/>
        </w:rPr>
      </w:pPr>
      <w:r>
        <w:rPr>
          <w:rFonts w:ascii="Times New Roman" w:hAnsi="Times New Roman" w:eastAsia="Times New Roman" w:cs="Times New Roman"/>
          <w:sz w:val="24"/>
          <w:szCs w:val="24"/>
        </w:rPr>
        <w:t>E</w:t>
      </w:r>
      <w:r>
        <w:rPr>
          <w:rFonts w:ascii="Times New Roman" w:hAnsi="Times New Roman" w:eastAsia="Times New Roman" w:cs="Times New Roman"/>
          <w:sz w:val="15"/>
          <w:szCs w:val="15"/>
          <w:position w:val="-1"/>
        </w:rPr>
        <w:t>w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料堆受到风蚀作用的颗粒物排放系数，</w:t>
      </w:r>
      <w:r>
        <w:rPr>
          <w:rFonts w:ascii="Times New Roman" w:hAnsi="Times New Roman" w:eastAsia="Times New Roman" w:cs="Times New Roman"/>
          <w:sz w:val="24"/>
          <w:szCs w:val="24"/>
        </w:rPr>
        <w:t>kg/m²</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w:t>
      </w:r>
    </w:p>
    <w:p>
      <w:pPr>
        <w:ind w:left="1212"/>
        <w:spacing w:before="192"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A</w:t>
      </w:r>
      <w:r>
        <w:rPr>
          <w:rFonts w:ascii="Times New Roman" w:hAnsi="Times New Roman" w:eastAsia="Times New Roman" w:cs="Times New Roman"/>
          <w:sz w:val="15"/>
          <w:szCs w:val="15"/>
          <w:spacing w:val="-1"/>
          <w:position w:val="-1"/>
        </w:rPr>
        <w:t>Y   </w:t>
      </w:r>
      <w:r>
        <w:rPr>
          <w:rFonts w:ascii="FangSong" w:hAnsi="FangSong" w:eastAsia="FangSong" w:cs="FangSong"/>
          <w:sz w:val="24"/>
          <w:szCs w:val="24"/>
          <w:spacing w:val="-1"/>
        </w:rPr>
        <w:t>——</w:t>
      </w:r>
      <w:r>
        <w:rPr>
          <w:rFonts w:ascii="FangSong" w:hAnsi="FangSong" w:eastAsia="FangSong" w:cs="FangSong"/>
          <w:sz w:val="24"/>
          <w:szCs w:val="24"/>
          <w:spacing w:val="24"/>
        </w:rPr>
        <w:t xml:space="preserve"> </w:t>
      </w:r>
      <w:r>
        <w:rPr>
          <w:rFonts w:ascii="FangSong" w:hAnsi="FangSong" w:eastAsia="FangSong" w:cs="FangSong"/>
          <w:sz w:val="24"/>
          <w:szCs w:val="24"/>
          <w:spacing w:val="-1"/>
        </w:rPr>
        <w:t>料堆表面积，</w:t>
      </w:r>
      <w:r>
        <w:rPr>
          <w:rFonts w:ascii="Times New Roman" w:hAnsi="Times New Roman" w:eastAsia="Times New Roman" w:cs="Times New Roman"/>
          <w:sz w:val="24"/>
          <w:szCs w:val="24"/>
          <w:spacing w:val="-1"/>
        </w:rPr>
        <w:t>m²  </w:t>
      </w:r>
      <w:r>
        <w:rPr>
          <w:rFonts w:ascii="FangSong" w:hAnsi="FangSong" w:eastAsia="FangSong" w:cs="FangSong"/>
          <w:sz w:val="24"/>
          <w:szCs w:val="24"/>
          <w:spacing w:val="-1"/>
        </w:rPr>
        <w:t>。</w:t>
      </w:r>
    </w:p>
    <w:p>
      <w:pPr>
        <w:ind w:left="510"/>
        <w:spacing w:before="182" w:line="220" w:lineRule="auto"/>
        <w:rPr>
          <w:rFonts w:ascii="FangSong" w:hAnsi="FangSong" w:eastAsia="FangSong" w:cs="FangSong"/>
          <w:sz w:val="24"/>
          <w:szCs w:val="24"/>
        </w:rPr>
      </w:pPr>
      <w:r>
        <w:rPr>
          <w:rFonts w:ascii="FangSong" w:hAnsi="FangSong" w:eastAsia="FangSong" w:cs="FangSong"/>
          <w:sz w:val="24"/>
          <w:szCs w:val="24"/>
          <w:spacing w:val="-1"/>
        </w:rPr>
        <w:t>装卸物料过程扬尘排放系数的估算公式见公式</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4.13-6</w:t>
      </w:r>
      <w:r>
        <w:rPr>
          <w:rFonts w:ascii="FangSong" w:hAnsi="FangSong" w:eastAsia="FangSong" w:cs="FangSong"/>
          <w:sz w:val="24"/>
          <w:szCs w:val="24"/>
          <w:spacing w:val="-1"/>
        </w:rPr>
        <w:t>：</w:t>
      </w:r>
    </w:p>
    <w:p>
      <w:pPr>
        <w:pStyle w:val="BodyText"/>
        <w:ind w:left="506" w:right="1639" w:firstLine="1241"/>
        <w:spacing w:before="217" w:line="378" w:lineRule="auto"/>
        <w:rPr>
          <w:rFonts w:ascii="FangSong" w:hAnsi="FangSong" w:eastAsia="FangSong" w:cs="FangSong"/>
          <w:sz w:val="24"/>
          <w:szCs w:val="24"/>
        </w:rPr>
      </w:pPr>
      <w:r>
        <w:rPr>
          <w:rFonts w:ascii="Times New Roman" w:hAnsi="Times New Roman" w:eastAsia="Times New Roman" w:cs="Times New Roman"/>
          <w:sz w:val="26"/>
          <w:szCs w:val="26"/>
          <w:spacing w:val="-4"/>
          <w:position w:val="4"/>
        </w:rPr>
        <w:t>E</w:t>
      </w:r>
      <w:r>
        <w:rPr>
          <w:rFonts w:ascii="Times New Roman" w:hAnsi="Times New Roman" w:eastAsia="Times New Roman" w:cs="Times New Roman"/>
          <w:sz w:val="15"/>
          <w:szCs w:val="15"/>
          <w:spacing w:val="-4"/>
          <w:position w:val="-1"/>
        </w:rPr>
        <w:t>h</w:t>
      </w:r>
      <w:r>
        <w:rPr>
          <w:rFonts w:ascii="Times New Roman" w:hAnsi="Times New Roman" w:eastAsia="Times New Roman" w:cs="Times New Roman"/>
          <w:sz w:val="15"/>
          <w:szCs w:val="15"/>
          <w:spacing w:val="11"/>
          <w:w w:val="102"/>
          <w:position w:val="-1"/>
        </w:rPr>
        <w:t xml:space="preserve">  </w:t>
      </w:r>
      <w:r>
        <w:rPr>
          <w:sz w:val="29"/>
          <w:szCs w:val="29"/>
          <w:spacing w:val="-14"/>
          <w:w w:val="91"/>
          <w:position w:val="4"/>
        </w:rPr>
        <w:t>=</w:t>
      </w:r>
      <w:r>
        <w:rPr>
          <w:sz w:val="29"/>
          <w:szCs w:val="29"/>
          <w:spacing w:val="-22"/>
          <w:position w:val="4"/>
        </w:rPr>
        <w:t xml:space="preserve"> </w:t>
      </w:r>
      <w:r>
        <w:rPr>
          <w:rFonts w:ascii="Times New Roman" w:hAnsi="Times New Roman" w:eastAsia="Times New Roman" w:cs="Times New Roman"/>
          <w:sz w:val="26"/>
          <w:szCs w:val="26"/>
          <w:spacing w:val="-14"/>
          <w:w w:val="91"/>
          <w:position w:val="4"/>
        </w:rPr>
        <w:t>k</w:t>
      </w:r>
      <w:r>
        <w:rPr>
          <w:rFonts w:ascii="Times New Roman" w:hAnsi="Times New Roman" w:eastAsia="Times New Roman" w:cs="Times New Roman"/>
          <w:sz w:val="15"/>
          <w:szCs w:val="15"/>
          <w:spacing w:val="-9"/>
          <w:position w:val="-1"/>
        </w:rPr>
        <w:t>i</w:t>
      </w:r>
      <w:r>
        <w:rPr>
          <w:rFonts w:ascii="Times New Roman" w:hAnsi="Times New Roman" w:eastAsia="Times New Roman" w:cs="Times New Roman"/>
          <w:sz w:val="15"/>
          <w:szCs w:val="15"/>
          <w:spacing w:val="29"/>
          <w:w w:val="102"/>
          <w:position w:val="-1"/>
        </w:rPr>
        <w:t xml:space="preserve"> </w:t>
      </w:r>
      <w:r>
        <w:rPr>
          <w:sz w:val="15"/>
          <w:szCs w:val="15"/>
          <w:position w:val="-55"/>
        </w:rPr>
        <w:drawing>
          <wp:inline distT="0" distB="0" distL="0" distR="0">
            <wp:extent cx="1621939" cy="852825"/>
            <wp:effectExtent l="0" t="0" r="0" b="0"/>
            <wp:docPr id="34" name="IM 34"/>
            <wp:cNvGraphicFramePr/>
            <a:graphic>
              <a:graphicData uri="http://schemas.openxmlformats.org/drawingml/2006/picture">
                <pic:pic>
                  <pic:nvPicPr>
                    <pic:cNvPr id="34" name="IM 34"/>
                    <pic:cNvPicPr/>
                  </pic:nvPicPr>
                  <pic:blipFill>
                    <a:blip r:embed="rId182"/>
                    <a:stretch>
                      <a:fillRect/>
                    </a:stretch>
                  </pic:blipFill>
                  <pic:spPr>
                    <a:xfrm rot="0">
                      <a:off x="0" y="0"/>
                      <a:ext cx="1621939" cy="852825"/>
                    </a:xfrm>
                    <a:prstGeom prst="rect">
                      <a:avLst/>
                    </a:prstGeom>
                  </pic:spPr>
                </pic:pic>
              </a:graphicData>
            </a:graphic>
          </wp:inline>
        </w:drawing>
      </w:r>
      <w:r>
        <w:rPr>
          <w:rFonts w:ascii="Times New Roman" w:hAnsi="Times New Roman" w:eastAsia="Times New Roman" w:cs="Times New Roman"/>
          <w:sz w:val="15"/>
          <w:szCs w:val="15"/>
          <w:spacing w:val="1"/>
          <w:position w:val="-1"/>
        </w:rPr>
        <w:t xml:space="preserve">             </w:t>
      </w:r>
      <w:r>
        <w:rPr>
          <w:rFonts w:ascii="FangSong" w:hAnsi="FangSong" w:eastAsia="FangSong" w:cs="FangSong"/>
          <w:sz w:val="24"/>
          <w:szCs w:val="24"/>
          <w:spacing w:val="-9"/>
          <w:position w:val="-7"/>
        </w:rPr>
        <w:t>（公式</w:t>
      </w:r>
      <w:r>
        <w:rPr>
          <w:rFonts w:ascii="FangSong" w:hAnsi="FangSong" w:eastAsia="FangSong" w:cs="FangSong"/>
          <w:sz w:val="24"/>
          <w:szCs w:val="24"/>
          <w:spacing w:val="-56"/>
          <w:position w:val="-7"/>
        </w:rPr>
        <w:t xml:space="preserve"> </w:t>
      </w:r>
      <w:r>
        <w:rPr>
          <w:rFonts w:ascii="Times New Roman" w:hAnsi="Times New Roman" w:eastAsia="Times New Roman" w:cs="Times New Roman"/>
          <w:sz w:val="26"/>
          <w:szCs w:val="26"/>
          <w:spacing w:val="-9"/>
          <w:position w:val="-7"/>
        </w:rPr>
        <w:t>4.</w:t>
      </w:r>
      <w:r>
        <w:rPr>
          <w:rFonts w:ascii="Times New Roman" w:hAnsi="Times New Roman" w:eastAsia="Times New Roman" w:cs="Times New Roman"/>
          <w:sz w:val="26"/>
          <w:szCs w:val="26"/>
          <w:spacing w:val="-37"/>
          <w:position w:val="-7"/>
        </w:rPr>
        <w:t xml:space="preserve"> </w:t>
      </w:r>
      <w:r>
        <w:rPr>
          <w:rFonts w:ascii="Times New Roman" w:hAnsi="Times New Roman" w:eastAsia="Times New Roman" w:cs="Times New Roman"/>
          <w:sz w:val="26"/>
          <w:szCs w:val="26"/>
          <w:spacing w:val="-9"/>
          <w:position w:val="-7"/>
        </w:rPr>
        <w:t>13-6</w:t>
      </w:r>
      <w:r>
        <w:rPr>
          <w:rFonts w:ascii="FangSong" w:hAnsi="FangSong" w:eastAsia="FangSong" w:cs="FangSong"/>
          <w:sz w:val="24"/>
          <w:szCs w:val="24"/>
          <w:spacing w:val="-9"/>
          <w:position w:val="-7"/>
        </w:rPr>
        <w:t>）</w:t>
      </w:r>
      <w:r>
        <w:rPr>
          <w:rFonts w:ascii="FangSong" w:hAnsi="FangSong" w:eastAsia="FangSong" w:cs="FangSong"/>
          <w:sz w:val="24"/>
          <w:szCs w:val="24"/>
        </w:rPr>
        <w:t>计算参数：</w:t>
      </w:r>
      <w:r>
        <w:rPr>
          <w:rFonts w:ascii="Times New Roman" w:hAnsi="Times New Roman" w:eastAsia="Times New Roman" w:cs="Times New Roman"/>
          <w:sz w:val="24"/>
          <w:szCs w:val="24"/>
        </w:rPr>
        <w:t>E</w:t>
      </w:r>
      <w:r>
        <w:rPr>
          <w:rFonts w:ascii="Times New Roman" w:hAnsi="Times New Roman" w:eastAsia="Times New Roman" w:cs="Times New Roman"/>
          <w:sz w:val="15"/>
          <w:szCs w:val="15"/>
          <w:position w:val="-1"/>
        </w:rPr>
        <w:t>h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堆场装卸扬尘的</w:t>
      </w:r>
      <w:r>
        <w:rPr>
          <w:rFonts w:ascii="FangSong" w:hAnsi="FangSong" w:eastAsia="FangSong" w:cs="FangSong"/>
          <w:sz w:val="24"/>
          <w:szCs w:val="24"/>
          <w:spacing w:val="-1"/>
        </w:rPr>
        <w:t>排放系数，</w:t>
      </w:r>
      <w:r>
        <w:rPr>
          <w:rFonts w:ascii="Times New Roman" w:hAnsi="Times New Roman" w:eastAsia="Times New Roman" w:cs="Times New Roman"/>
          <w:sz w:val="24"/>
          <w:szCs w:val="24"/>
          <w:spacing w:val="-1"/>
        </w:rPr>
        <w:t>kg/t</w:t>
      </w:r>
      <w:r>
        <w:rPr>
          <w:rFonts w:ascii="FangSong" w:hAnsi="FangSong" w:eastAsia="FangSong" w:cs="FangSong"/>
          <w:sz w:val="24"/>
          <w:szCs w:val="24"/>
          <w:spacing w:val="-1"/>
        </w:rPr>
        <w:t>；</w:t>
      </w:r>
    </w:p>
    <w:p>
      <w:pPr>
        <w:ind w:left="1692"/>
        <w:spacing w:line="220" w:lineRule="auto"/>
        <w:rPr>
          <w:rFonts w:ascii="FangSong" w:hAnsi="FangSong" w:eastAsia="FangSong" w:cs="FangSong"/>
          <w:sz w:val="24"/>
          <w:szCs w:val="24"/>
        </w:rPr>
      </w:pPr>
      <w:r>
        <w:rPr>
          <w:rFonts w:ascii="Times New Roman" w:hAnsi="Times New Roman" w:eastAsia="Times New Roman" w:cs="Times New Roman"/>
          <w:sz w:val="24"/>
          <w:szCs w:val="24"/>
          <w:spacing w:val="-3"/>
        </w:rPr>
        <w:t>k</w:t>
      </w:r>
      <w:r>
        <w:rPr>
          <w:rFonts w:ascii="Times New Roman" w:hAnsi="Times New Roman" w:eastAsia="Times New Roman" w:cs="Times New Roman"/>
          <w:sz w:val="15"/>
          <w:szCs w:val="15"/>
          <w:spacing w:val="-3"/>
          <w:position w:val="-1"/>
        </w:rPr>
        <w:t>i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物料的粒度乘数，根据《扬尘源颗粒物排放清单编制技术指</w:t>
      </w:r>
    </w:p>
    <w:p>
      <w:pPr>
        <w:ind w:left="2678"/>
        <w:spacing w:before="136" w:line="322" w:lineRule="exact"/>
        <w:rPr>
          <w:rFonts w:ascii="FangSong" w:hAnsi="FangSong" w:eastAsia="FangSong" w:cs="FangSong"/>
          <w:sz w:val="24"/>
          <w:szCs w:val="24"/>
        </w:rPr>
      </w:pPr>
      <w:r>
        <w:rPr>
          <w:rFonts w:ascii="FangSong" w:hAnsi="FangSong" w:eastAsia="FangSong" w:cs="FangSong"/>
          <w:sz w:val="24"/>
          <w:szCs w:val="24"/>
          <w:spacing w:val="-2"/>
          <w:position w:val="1"/>
        </w:rPr>
        <w:t>南（试行）》，本次取</w:t>
      </w:r>
      <w:r>
        <w:rPr>
          <w:rFonts w:ascii="FangSong" w:hAnsi="FangSong" w:eastAsia="FangSong" w:cs="FangSong"/>
          <w:sz w:val="24"/>
          <w:szCs w:val="24"/>
          <w:spacing w:val="-52"/>
          <w:position w:val="1"/>
        </w:rPr>
        <w:t xml:space="preserve"> </w:t>
      </w:r>
      <w:r>
        <w:rPr>
          <w:rFonts w:ascii="Times New Roman" w:hAnsi="Times New Roman" w:eastAsia="Times New Roman" w:cs="Times New Roman"/>
          <w:sz w:val="24"/>
          <w:szCs w:val="24"/>
          <w:spacing w:val="-2"/>
          <w:position w:val="1"/>
        </w:rPr>
        <w:t>TSP=0.74</w:t>
      </w:r>
      <w:r>
        <w:rPr>
          <w:rFonts w:ascii="FangSong" w:hAnsi="FangSong" w:eastAsia="FangSong" w:cs="FangSong"/>
          <w:sz w:val="24"/>
          <w:szCs w:val="24"/>
          <w:spacing w:val="-2"/>
          <w:position w:val="1"/>
        </w:rPr>
        <w:t>；</w:t>
      </w:r>
    </w:p>
    <w:p>
      <w:pPr>
        <w:ind w:left="1691"/>
        <w:spacing w:before="187"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u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地面平均风速，根据项目所在地区气象资料取</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1m/s</w:t>
      </w:r>
      <w:r>
        <w:rPr>
          <w:rFonts w:ascii="FangSong" w:hAnsi="FangSong" w:eastAsia="FangSong" w:cs="FangSong"/>
          <w:sz w:val="24"/>
          <w:szCs w:val="24"/>
          <w:spacing w:val="-1"/>
        </w:rPr>
        <w:t>；</w:t>
      </w:r>
    </w:p>
    <w:p>
      <w:pPr>
        <w:ind w:left="1695"/>
        <w:spacing w:before="182"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M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物料含水率，</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w:t>
      </w:r>
    </w:p>
    <w:p>
      <w:pPr>
        <w:ind w:left="2427" w:right="99" w:hanging="735"/>
        <w:spacing w:before="182" w:line="358" w:lineRule="auto"/>
        <w:rPr>
          <w:rFonts w:ascii="FangSong" w:hAnsi="FangSong" w:eastAsia="FangSong" w:cs="FangSong"/>
          <w:sz w:val="24"/>
          <w:szCs w:val="24"/>
        </w:rPr>
      </w:pPr>
      <w:r>
        <w:rPr>
          <w:rFonts w:ascii="Times New Roman" w:hAnsi="Times New Roman" w:eastAsia="Times New Roman" w:cs="Times New Roman"/>
          <w:sz w:val="24"/>
          <w:szCs w:val="24"/>
          <w:spacing w:val="-2"/>
        </w:rPr>
        <w:t>η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污染控制技术对扬尘的去除效率，项目</w:t>
      </w:r>
      <w:r>
        <w:rPr>
          <w:rFonts w:ascii="FangSong" w:hAnsi="FangSong" w:eastAsia="FangSong" w:cs="FangSong"/>
          <w:sz w:val="24"/>
          <w:szCs w:val="24"/>
          <w:spacing w:val="-3"/>
        </w:rPr>
        <w:t>堆场采用素混凝土地</w:t>
      </w:r>
      <w:r>
        <w:rPr>
          <w:rFonts w:ascii="FangSong" w:hAnsi="FangSong" w:eastAsia="FangSong" w:cs="FangSong"/>
          <w:sz w:val="24"/>
          <w:szCs w:val="24"/>
          <w:spacing w:val="-1"/>
        </w:rPr>
        <w:t>面、全封闭彩钢结构建设，并在装卸过程采取洒水降尘的控</w:t>
      </w:r>
      <w:r>
        <w:rPr>
          <w:rFonts w:ascii="FangSong" w:hAnsi="FangSong" w:eastAsia="FangSong" w:cs="FangSong"/>
          <w:sz w:val="24"/>
          <w:szCs w:val="24"/>
          <w:spacing w:val="-3"/>
        </w:rPr>
        <w:t>制措施，取值</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90%</w:t>
      </w:r>
      <w:r>
        <w:rPr>
          <w:rFonts w:ascii="FangSong" w:hAnsi="FangSong" w:eastAsia="FangSong" w:cs="FangSong"/>
          <w:sz w:val="24"/>
          <w:szCs w:val="24"/>
          <w:spacing w:val="-3"/>
        </w:rPr>
        <w:t>。</w:t>
      </w:r>
    </w:p>
    <w:p>
      <w:pPr>
        <w:ind w:left="40" w:right="96" w:firstLine="496"/>
        <w:spacing w:before="3" w:line="360" w:lineRule="auto"/>
        <w:rPr>
          <w:rFonts w:ascii="Times New Roman" w:hAnsi="Times New Roman" w:eastAsia="Times New Roman" w:cs="Times New Roman"/>
          <w:sz w:val="24"/>
          <w:szCs w:val="24"/>
        </w:rPr>
      </w:pPr>
      <w:r>
        <w:rPr>
          <w:rFonts w:ascii="FangSong" w:hAnsi="FangSong" w:eastAsia="FangSong" w:cs="FangSong"/>
          <w:sz w:val="24"/>
          <w:szCs w:val="24"/>
        </w:rPr>
        <w:t>由于本项目堆场采用素混凝土地面、全封闭彩钢结构建设，故堆场因风蚀产生</w:t>
      </w:r>
      <w:r>
        <w:rPr>
          <w:rFonts w:ascii="FangSong" w:hAnsi="FangSong" w:eastAsia="FangSong" w:cs="FangSong"/>
          <w:sz w:val="24"/>
          <w:szCs w:val="24"/>
          <w:spacing w:val="-3"/>
        </w:rPr>
        <w:t>的扬尘产生量较低，约等于</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0</w:t>
      </w:r>
    </w:p>
    <w:p>
      <w:pPr>
        <w:ind w:left="26" w:right="99" w:firstLine="482"/>
        <w:spacing w:before="1" w:line="345" w:lineRule="auto"/>
        <w:rPr>
          <w:rFonts w:ascii="FangSong" w:hAnsi="FangSong" w:eastAsia="FangSong" w:cs="FangSong"/>
          <w:sz w:val="24"/>
          <w:szCs w:val="24"/>
        </w:rPr>
      </w:pPr>
      <w:r>
        <w:rPr>
          <w:rFonts w:ascii="FangSong" w:hAnsi="FangSong" w:eastAsia="FangSong" w:cs="FangSong"/>
          <w:sz w:val="24"/>
          <w:szCs w:val="24"/>
        </w:rPr>
        <w:t>表土堆存的扬尘量采用《扬尘源颗粒物排放清单</w:t>
      </w:r>
      <w:r>
        <w:rPr>
          <w:rFonts w:ascii="FangSong" w:hAnsi="FangSong" w:eastAsia="FangSong" w:cs="FangSong"/>
          <w:sz w:val="24"/>
          <w:szCs w:val="24"/>
          <w:spacing w:val="-1"/>
        </w:rPr>
        <w:t>编制技术指南（试行）》</w:t>
      </w:r>
      <w:r>
        <w:rPr>
          <w:rFonts w:ascii="FangSong" w:hAnsi="FangSong" w:eastAsia="FangSong" w:cs="FangSong"/>
          <w:sz w:val="24"/>
          <w:szCs w:val="24"/>
          <w:spacing w:val="-71"/>
        </w:rPr>
        <w:t xml:space="preserve"> </w:t>
      </w:r>
      <w:r>
        <w:rPr>
          <w:rFonts w:ascii="FangSong" w:hAnsi="FangSong" w:eastAsia="FangSong" w:cs="FangSong"/>
          <w:sz w:val="24"/>
          <w:szCs w:val="24"/>
          <w:spacing w:val="-1"/>
        </w:rPr>
        <w:t>中土</w:t>
      </w:r>
      <w:r>
        <w:rPr>
          <w:rFonts w:ascii="FangSong" w:hAnsi="FangSong" w:eastAsia="FangSong" w:cs="FangSong"/>
          <w:sz w:val="24"/>
          <w:szCs w:val="24"/>
          <w:spacing w:val="-1"/>
        </w:rPr>
        <w:t>壤扬尘源排放量的计算方式进行计算，计算公式如公式</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4.13-</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至</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4.13-10</w:t>
      </w:r>
      <w:r>
        <w:rPr>
          <w:rFonts w:ascii="FangSong" w:hAnsi="FangSong" w:eastAsia="FangSong" w:cs="FangSong"/>
          <w:sz w:val="24"/>
          <w:szCs w:val="24"/>
          <w:spacing w:val="-2"/>
        </w:rPr>
        <w:t>：</w:t>
      </w:r>
    </w:p>
    <w:p>
      <w:pPr>
        <w:pStyle w:val="BodyText"/>
        <w:ind w:left="2631"/>
        <w:spacing w:line="443" w:lineRule="exact"/>
        <w:rPr>
          <w:rFonts w:ascii="FangSong" w:hAnsi="FangSong" w:eastAsia="FangSong" w:cs="FangSong"/>
          <w:sz w:val="24"/>
          <w:szCs w:val="24"/>
        </w:rPr>
      </w:pPr>
      <w:r>
        <w:rPr>
          <w:rFonts w:ascii="Times New Roman" w:hAnsi="Times New Roman" w:eastAsia="Times New Roman" w:cs="Times New Roman"/>
          <w:sz w:val="23"/>
          <w:szCs w:val="23"/>
          <w:position w:val="12"/>
        </w:rPr>
        <w:t>W</w:t>
      </w:r>
      <w:r>
        <w:rPr>
          <w:rFonts w:ascii="Times New Roman" w:hAnsi="Times New Roman" w:eastAsia="Times New Roman" w:cs="Times New Roman"/>
          <w:sz w:val="13"/>
          <w:szCs w:val="13"/>
          <w:position w:val="6"/>
        </w:rPr>
        <w:t>Si</w:t>
      </w:r>
      <w:r>
        <w:rPr>
          <w:rFonts w:ascii="Times New Roman" w:hAnsi="Times New Roman" w:eastAsia="Times New Roman" w:cs="Times New Roman"/>
          <w:sz w:val="13"/>
          <w:szCs w:val="13"/>
          <w:spacing w:val="13"/>
          <w:w w:val="102"/>
          <w:position w:val="6"/>
        </w:rPr>
        <w:t xml:space="preserve">  </w:t>
      </w:r>
      <w:r>
        <w:rPr>
          <w:sz w:val="23"/>
          <w:szCs w:val="23"/>
          <w:position w:val="12"/>
        </w:rPr>
        <w:t>= </w:t>
      </w:r>
      <w:r>
        <w:rPr>
          <w:rFonts w:ascii="Times New Roman" w:hAnsi="Times New Roman" w:eastAsia="Times New Roman" w:cs="Times New Roman"/>
          <w:sz w:val="23"/>
          <w:szCs w:val="23"/>
          <w:position w:val="12"/>
        </w:rPr>
        <w:t>E</w:t>
      </w:r>
      <w:r>
        <w:rPr>
          <w:rFonts w:ascii="Times New Roman" w:hAnsi="Times New Roman" w:eastAsia="Times New Roman" w:cs="Times New Roman"/>
          <w:sz w:val="13"/>
          <w:szCs w:val="13"/>
          <w:position w:val="6"/>
        </w:rPr>
        <w:t>Si  </w:t>
      </w:r>
      <w:r>
        <w:rPr>
          <w:sz w:val="23"/>
          <w:szCs w:val="23"/>
          <w:position w:val="12"/>
        </w:rPr>
        <w:t>×</w:t>
      </w:r>
      <w:r>
        <w:rPr>
          <w:sz w:val="23"/>
          <w:szCs w:val="23"/>
          <w:spacing w:val="-28"/>
          <w:position w:val="12"/>
        </w:rPr>
        <w:t xml:space="preserve"> </w:t>
      </w:r>
      <w:r>
        <w:rPr>
          <w:rFonts w:ascii="Times New Roman" w:hAnsi="Times New Roman" w:eastAsia="Times New Roman" w:cs="Times New Roman"/>
          <w:sz w:val="23"/>
          <w:szCs w:val="23"/>
          <w:position w:val="12"/>
        </w:rPr>
        <w:t>A</w:t>
      </w:r>
      <w:r>
        <w:rPr>
          <w:rFonts w:ascii="Times New Roman" w:hAnsi="Times New Roman" w:eastAsia="Times New Roman" w:cs="Times New Roman"/>
          <w:sz w:val="13"/>
          <w:szCs w:val="13"/>
          <w:position w:val="6"/>
        </w:rPr>
        <w:t>S</w:t>
      </w:r>
      <w:r>
        <w:rPr>
          <w:rFonts w:ascii="Times New Roman" w:hAnsi="Times New Roman" w:eastAsia="Times New Roman" w:cs="Times New Roman"/>
          <w:sz w:val="13"/>
          <w:szCs w:val="13"/>
          <w:spacing w:val="1"/>
          <w:position w:val="6"/>
        </w:rPr>
        <w:t xml:space="preserve">               </w:t>
      </w:r>
      <w:r>
        <w:rPr>
          <w:rFonts w:ascii="FangSong" w:hAnsi="FangSong" w:eastAsia="FangSong" w:cs="FangSong"/>
          <w:sz w:val="24"/>
          <w:szCs w:val="24"/>
          <w:position w:val="1"/>
        </w:rPr>
        <w:t>（公式</w:t>
      </w:r>
      <w:r>
        <w:rPr>
          <w:rFonts w:ascii="FangSong" w:hAnsi="FangSong" w:eastAsia="FangSong" w:cs="FangSong"/>
          <w:sz w:val="24"/>
          <w:szCs w:val="24"/>
          <w:spacing w:val="-45"/>
          <w:position w:val="1"/>
        </w:rPr>
        <w:t xml:space="preserve"> </w:t>
      </w:r>
      <w:r>
        <w:rPr>
          <w:rFonts w:ascii="Times New Roman" w:hAnsi="Times New Roman" w:eastAsia="Times New Roman" w:cs="Times New Roman"/>
          <w:sz w:val="24"/>
          <w:szCs w:val="24"/>
          <w:position w:val="2"/>
        </w:rPr>
        <w:t>4.13-7</w:t>
      </w:r>
      <w:r>
        <w:rPr>
          <w:rFonts w:ascii="FangSong" w:hAnsi="FangSong" w:eastAsia="FangSong" w:cs="FangSong"/>
          <w:sz w:val="24"/>
          <w:szCs w:val="24"/>
          <w:position w:val="2"/>
        </w:rPr>
        <w:t>）</w:t>
      </w:r>
    </w:p>
    <w:p>
      <w:pPr>
        <w:pStyle w:val="BodyText"/>
        <w:ind w:left="2218" w:right="2147" w:hanging="138"/>
        <w:spacing w:before="85" w:line="367" w:lineRule="auto"/>
        <w:rPr>
          <w:rFonts w:ascii="FangSong" w:hAnsi="FangSong" w:eastAsia="FangSong" w:cs="FangSong"/>
          <w:sz w:val="24"/>
          <w:szCs w:val="24"/>
        </w:rPr>
      </w:pPr>
      <w:r>
        <w:rPr>
          <w:rFonts w:ascii="Times New Roman" w:hAnsi="Times New Roman" w:eastAsia="Times New Roman" w:cs="Times New Roman"/>
          <w:sz w:val="23"/>
          <w:szCs w:val="23"/>
          <w:position w:val="3"/>
        </w:rPr>
        <w:t>E</w:t>
      </w:r>
      <w:r>
        <w:rPr>
          <w:rFonts w:ascii="Times New Roman" w:hAnsi="Times New Roman" w:eastAsia="Times New Roman" w:cs="Times New Roman"/>
          <w:sz w:val="13"/>
          <w:szCs w:val="13"/>
          <w:position w:val="-2"/>
        </w:rPr>
        <w:t>Si</w:t>
      </w:r>
      <w:r>
        <w:rPr>
          <w:rFonts w:ascii="Times New Roman" w:hAnsi="Times New Roman" w:eastAsia="Times New Roman" w:cs="Times New Roman"/>
          <w:sz w:val="13"/>
          <w:szCs w:val="13"/>
          <w:spacing w:val="16"/>
          <w:w w:val="101"/>
          <w:position w:val="-2"/>
        </w:rPr>
        <w:t xml:space="preserve">  </w:t>
      </w:r>
      <w:r>
        <w:rPr>
          <w:sz w:val="23"/>
          <w:szCs w:val="23"/>
          <w:spacing w:val="1"/>
          <w:position w:val="3"/>
        </w:rPr>
        <w:t>= </w:t>
      </w:r>
      <w:r>
        <w:rPr>
          <w:rFonts w:ascii="Times New Roman" w:hAnsi="Times New Roman" w:eastAsia="Times New Roman" w:cs="Times New Roman"/>
          <w:sz w:val="23"/>
          <w:szCs w:val="23"/>
          <w:position w:val="3"/>
        </w:rPr>
        <w:t>D</w:t>
      </w:r>
      <w:r>
        <w:rPr>
          <w:rFonts w:ascii="Times New Roman" w:hAnsi="Times New Roman" w:eastAsia="Times New Roman" w:cs="Times New Roman"/>
          <w:sz w:val="13"/>
          <w:szCs w:val="13"/>
          <w:position w:val="-2"/>
        </w:rPr>
        <w:t>i</w:t>
      </w:r>
      <w:r>
        <w:rPr>
          <w:rFonts w:ascii="Times New Roman" w:hAnsi="Times New Roman" w:eastAsia="Times New Roman" w:cs="Times New Roman"/>
          <w:sz w:val="13"/>
          <w:szCs w:val="13"/>
          <w:spacing w:val="1"/>
          <w:position w:val="-2"/>
        </w:rPr>
        <w:t xml:space="preserve">  </w:t>
      </w:r>
      <w:r>
        <w:rPr>
          <w:sz w:val="23"/>
          <w:szCs w:val="23"/>
          <w:spacing w:val="1"/>
          <w:position w:val="3"/>
        </w:rPr>
        <w:t>×</w:t>
      </w:r>
      <w:r>
        <w:rPr>
          <w:sz w:val="23"/>
          <w:szCs w:val="23"/>
          <w:spacing w:val="-24"/>
          <w:position w:val="3"/>
        </w:rPr>
        <w:t xml:space="preserve"> </w:t>
      </w:r>
      <w:r>
        <w:rPr>
          <w:rFonts w:ascii="Times New Roman" w:hAnsi="Times New Roman" w:eastAsia="Times New Roman" w:cs="Times New Roman"/>
          <w:sz w:val="23"/>
          <w:szCs w:val="23"/>
          <w:spacing w:val="1"/>
          <w:position w:val="3"/>
        </w:rPr>
        <w:t>C</w:t>
      </w:r>
      <w:r>
        <w:rPr>
          <w:rFonts w:ascii="Times New Roman" w:hAnsi="Times New Roman" w:eastAsia="Times New Roman" w:cs="Times New Roman"/>
          <w:sz w:val="23"/>
          <w:szCs w:val="23"/>
          <w:spacing w:val="-19"/>
          <w:position w:val="3"/>
        </w:rPr>
        <w:t xml:space="preserve"> </w:t>
      </w:r>
      <w:r>
        <w:rPr>
          <w:sz w:val="23"/>
          <w:szCs w:val="23"/>
          <w:spacing w:val="1"/>
          <w:position w:val="3"/>
        </w:rPr>
        <w:t>×</w:t>
      </w:r>
      <w:r>
        <w:rPr>
          <w:sz w:val="23"/>
          <w:szCs w:val="23"/>
          <w:spacing w:val="-24"/>
          <w:position w:val="3"/>
        </w:rPr>
        <w:t xml:space="preserve"> </w:t>
      </w:r>
      <w:r>
        <w:rPr>
          <w:sz w:val="31"/>
          <w:szCs w:val="31"/>
          <w:spacing w:val="1"/>
          <w:position w:val="3"/>
        </w:rPr>
        <w:t>(</w:t>
      </w:r>
      <w:r>
        <w:rPr>
          <w:rFonts w:ascii="Times New Roman" w:hAnsi="Times New Roman" w:eastAsia="Times New Roman" w:cs="Times New Roman"/>
          <w:sz w:val="23"/>
          <w:szCs w:val="23"/>
          <w:spacing w:val="1"/>
          <w:position w:val="3"/>
        </w:rPr>
        <w:t>1</w:t>
      </w:r>
      <w:r>
        <w:rPr>
          <w:sz w:val="23"/>
          <w:szCs w:val="23"/>
          <w:spacing w:val="1"/>
          <w:position w:val="3"/>
        </w:rPr>
        <w:t>-</w:t>
      </w:r>
      <w:r>
        <w:rPr>
          <w:sz w:val="25"/>
          <w:szCs w:val="25"/>
          <w:i/>
          <w:iCs/>
          <w:spacing w:val="1"/>
          <w:position w:val="3"/>
        </w:rPr>
        <w:t>η</w:t>
      </w:r>
      <w:r>
        <w:rPr>
          <w:sz w:val="25"/>
          <w:szCs w:val="25"/>
          <w:i/>
          <w:iCs/>
          <w:spacing w:val="-47"/>
          <w:position w:val="3"/>
        </w:rPr>
        <w:t xml:space="preserve"> </w:t>
      </w:r>
      <w:r>
        <w:rPr>
          <w:sz w:val="31"/>
          <w:szCs w:val="31"/>
          <w:spacing w:val="1"/>
          <w:position w:val="3"/>
        </w:rPr>
        <w:t>)</w:t>
      </w:r>
      <w:r>
        <w:rPr>
          <w:sz w:val="23"/>
          <w:szCs w:val="23"/>
          <w:spacing w:val="1"/>
          <w:position w:val="3"/>
        </w:rPr>
        <w:t>×</w:t>
      </w:r>
      <w:r>
        <w:rPr>
          <w:rFonts w:ascii="Times New Roman" w:hAnsi="Times New Roman" w:eastAsia="Times New Roman" w:cs="Times New Roman"/>
          <w:sz w:val="23"/>
          <w:szCs w:val="23"/>
          <w:spacing w:val="1"/>
          <w:position w:val="3"/>
        </w:rPr>
        <w:t>10</w:t>
      </w:r>
      <w:r>
        <w:rPr>
          <w:sz w:val="13"/>
          <w:szCs w:val="13"/>
          <w:spacing w:val="1"/>
          <w:position w:val="14"/>
        </w:rPr>
        <w:t>-</w:t>
      </w:r>
      <w:r>
        <w:rPr>
          <w:rFonts w:ascii="Times New Roman" w:hAnsi="Times New Roman" w:eastAsia="Times New Roman" w:cs="Times New Roman"/>
          <w:sz w:val="13"/>
          <w:szCs w:val="13"/>
          <w:spacing w:val="1"/>
          <w:position w:val="14"/>
        </w:rPr>
        <w:t>4</w:t>
      </w:r>
      <w:r>
        <w:rPr>
          <w:rFonts w:ascii="Times New Roman" w:hAnsi="Times New Roman" w:eastAsia="Times New Roman" w:cs="Times New Roman"/>
          <w:sz w:val="13"/>
          <w:szCs w:val="13"/>
          <w:position w:val="14"/>
        </w:rPr>
        <w:t xml:space="preserve">                </w:t>
      </w:r>
      <w:r>
        <w:rPr>
          <w:rFonts w:ascii="FangSong" w:hAnsi="FangSong" w:eastAsia="FangSong" w:cs="FangSong"/>
          <w:sz w:val="24"/>
          <w:szCs w:val="24"/>
          <w:spacing w:val="1"/>
          <w:position w:val="-8"/>
        </w:rPr>
        <w:t>（公式</w:t>
      </w:r>
      <w:r>
        <w:rPr>
          <w:rFonts w:ascii="FangSong" w:hAnsi="FangSong" w:eastAsia="FangSong" w:cs="FangSong"/>
          <w:sz w:val="24"/>
          <w:szCs w:val="24"/>
          <w:spacing w:val="-56"/>
          <w:position w:val="-8"/>
        </w:rPr>
        <w:t xml:space="preserve"> </w:t>
      </w:r>
      <w:r>
        <w:rPr>
          <w:rFonts w:ascii="Times New Roman" w:hAnsi="Times New Roman" w:eastAsia="Times New Roman" w:cs="Times New Roman"/>
          <w:sz w:val="24"/>
          <w:szCs w:val="24"/>
          <w:spacing w:val="1"/>
          <w:position w:val="-8"/>
        </w:rPr>
        <w:t>4.13-8</w:t>
      </w:r>
      <w:r>
        <w:rPr>
          <w:rFonts w:ascii="FangSong" w:hAnsi="FangSong" w:eastAsia="FangSong" w:cs="FangSong"/>
          <w:sz w:val="24"/>
          <w:szCs w:val="24"/>
          <w:spacing w:val="1"/>
          <w:position w:val="-8"/>
        </w:rPr>
        <w:t>）</w:t>
      </w:r>
      <w:r>
        <w:rPr>
          <w:rFonts w:ascii="FangSong" w:hAnsi="FangSong" w:eastAsia="FangSong" w:cs="FangSong"/>
          <w:sz w:val="24"/>
          <w:szCs w:val="24"/>
          <w:position w:val="-8"/>
        </w:rPr>
        <w:t xml:space="preserve"> </w:t>
      </w:r>
      <w:r>
        <w:rPr>
          <w:rFonts w:ascii="Times New Roman" w:hAnsi="Times New Roman" w:eastAsia="Times New Roman" w:cs="Times New Roman"/>
          <w:sz w:val="23"/>
          <w:szCs w:val="23"/>
          <w:spacing w:val="-1"/>
          <w:position w:val="4"/>
        </w:rPr>
        <w:t>D</w:t>
      </w:r>
      <w:r>
        <w:rPr>
          <w:rFonts w:ascii="Times New Roman" w:hAnsi="Times New Roman" w:eastAsia="Times New Roman" w:cs="Times New Roman"/>
          <w:sz w:val="13"/>
          <w:szCs w:val="13"/>
          <w:spacing w:val="-1"/>
          <w:position w:val="-1"/>
        </w:rPr>
        <w:t>i</w:t>
      </w:r>
      <w:r>
        <w:rPr>
          <w:rFonts w:ascii="Times New Roman" w:hAnsi="Times New Roman" w:eastAsia="Times New Roman" w:cs="Times New Roman"/>
          <w:sz w:val="13"/>
          <w:szCs w:val="13"/>
          <w:spacing w:val="15"/>
          <w:position w:val="-1"/>
        </w:rPr>
        <w:t xml:space="preserve">  </w:t>
      </w:r>
      <w:r>
        <w:rPr>
          <w:sz w:val="23"/>
          <w:szCs w:val="23"/>
          <w:spacing w:val="-1"/>
          <w:position w:val="4"/>
        </w:rPr>
        <w:t>= </w:t>
      </w:r>
      <w:r>
        <w:rPr>
          <w:rFonts w:ascii="Times New Roman" w:hAnsi="Times New Roman" w:eastAsia="Times New Roman" w:cs="Times New Roman"/>
          <w:sz w:val="23"/>
          <w:szCs w:val="23"/>
          <w:spacing w:val="-1"/>
          <w:position w:val="4"/>
        </w:rPr>
        <w:t>k</w:t>
      </w:r>
      <w:r>
        <w:rPr>
          <w:rFonts w:ascii="Times New Roman" w:hAnsi="Times New Roman" w:eastAsia="Times New Roman" w:cs="Times New Roman"/>
          <w:sz w:val="13"/>
          <w:szCs w:val="13"/>
          <w:spacing w:val="-1"/>
          <w:position w:val="-1"/>
        </w:rPr>
        <w:t>i  </w:t>
      </w:r>
      <w:r>
        <w:rPr>
          <w:sz w:val="23"/>
          <w:szCs w:val="23"/>
          <w:spacing w:val="-1"/>
          <w:position w:val="4"/>
        </w:rPr>
        <w:t>×</w:t>
      </w:r>
      <w:r>
        <w:rPr>
          <w:sz w:val="23"/>
          <w:szCs w:val="23"/>
          <w:spacing w:val="-24"/>
          <w:position w:val="4"/>
        </w:rPr>
        <w:t xml:space="preserve"> </w:t>
      </w:r>
      <w:r>
        <w:rPr>
          <w:rFonts w:ascii="Times New Roman" w:hAnsi="Times New Roman" w:eastAsia="Times New Roman" w:cs="Times New Roman"/>
          <w:sz w:val="23"/>
          <w:szCs w:val="23"/>
          <w:spacing w:val="-1"/>
          <w:position w:val="4"/>
        </w:rPr>
        <w:t>I</w:t>
      </w:r>
      <w:r>
        <w:rPr>
          <w:rFonts w:ascii="Times New Roman" w:hAnsi="Times New Roman" w:eastAsia="Times New Roman" w:cs="Times New Roman"/>
          <w:sz w:val="23"/>
          <w:szCs w:val="23"/>
          <w:spacing w:val="-42"/>
          <w:position w:val="4"/>
        </w:rPr>
        <w:t xml:space="preserve"> </w:t>
      </w:r>
      <w:r>
        <w:rPr>
          <w:rFonts w:ascii="Times New Roman" w:hAnsi="Times New Roman" w:eastAsia="Times New Roman" w:cs="Times New Roman"/>
          <w:sz w:val="13"/>
          <w:szCs w:val="13"/>
          <w:spacing w:val="-1"/>
          <w:position w:val="-1"/>
        </w:rPr>
        <w:t>we  </w:t>
      </w:r>
      <w:r>
        <w:rPr>
          <w:sz w:val="23"/>
          <w:szCs w:val="23"/>
          <w:spacing w:val="-1"/>
          <w:position w:val="4"/>
        </w:rPr>
        <w:t>×</w:t>
      </w:r>
      <w:r>
        <w:rPr>
          <w:sz w:val="23"/>
          <w:szCs w:val="23"/>
          <w:spacing w:val="-24"/>
          <w:position w:val="4"/>
        </w:rPr>
        <w:t xml:space="preserve"> </w:t>
      </w:r>
      <w:r>
        <w:rPr>
          <w:rFonts w:ascii="Times New Roman" w:hAnsi="Times New Roman" w:eastAsia="Times New Roman" w:cs="Times New Roman"/>
          <w:sz w:val="23"/>
          <w:szCs w:val="23"/>
          <w:spacing w:val="-1"/>
          <w:position w:val="4"/>
        </w:rPr>
        <w:t>f </w:t>
      </w:r>
      <w:r>
        <w:rPr>
          <w:sz w:val="23"/>
          <w:szCs w:val="23"/>
          <w:spacing w:val="-1"/>
          <w:position w:val="4"/>
        </w:rPr>
        <w:t>×</w:t>
      </w:r>
      <w:r>
        <w:rPr>
          <w:sz w:val="23"/>
          <w:szCs w:val="23"/>
          <w:spacing w:val="-25"/>
          <w:position w:val="4"/>
        </w:rPr>
        <w:t xml:space="preserve"> </w:t>
      </w:r>
      <w:r>
        <w:rPr>
          <w:rFonts w:ascii="Times New Roman" w:hAnsi="Times New Roman" w:eastAsia="Times New Roman" w:cs="Times New Roman"/>
          <w:sz w:val="23"/>
          <w:szCs w:val="23"/>
          <w:spacing w:val="-1"/>
          <w:position w:val="4"/>
        </w:rPr>
        <w:t>L</w:t>
      </w:r>
      <w:r>
        <w:rPr>
          <w:rFonts w:ascii="Times New Roman" w:hAnsi="Times New Roman" w:eastAsia="Times New Roman" w:cs="Times New Roman"/>
          <w:sz w:val="23"/>
          <w:szCs w:val="23"/>
          <w:spacing w:val="-16"/>
          <w:position w:val="4"/>
        </w:rPr>
        <w:t xml:space="preserve"> </w:t>
      </w:r>
      <w:r>
        <w:rPr>
          <w:sz w:val="23"/>
          <w:szCs w:val="23"/>
          <w:spacing w:val="-1"/>
          <w:position w:val="4"/>
        </w:rPr>
        <w:t>×</w:t>
      </w:r>
      <w:r>
        <w:rPr>
          <w:sz w:val="23"/>
          <w:szCs w:val="23"/>
          <w:spacing w:val="-27"/>
          <w:position w:val="4"/>
        </w:rPr>
        <w:t xml:space="preserve"> </w:t>
      </w:r>
      <w:r>
        <w:rPr>
          <w:rFonts w:ascii="Times New Roman" w:hAnsi="Times New Roman" w:eastAsia="Times New Roman" w:cs="Times New Roman"/>
          <w:sz w:val="23"/>
          <w:szCs w:val="23"/>
          <w:spacing w:val="-1"/>
          <w:position w:val="4"/>
        </w:rPr>
        <w:t>V         </w:t>
      </w:r>
      <w:r>
        <w:rPr>
          <w:rFonts w:ascii="FangSong" w:hAnsi="FangSong" w:eastAsia="FangSong" w:cs="FangSong"/>
          <w:sz w:val="24"/>
          <w:szCs w:val="24"/>
          <w:spacing w:val="-1"/>
          <w:position w:val="-7"/>
        </w:rPr>
        <w:t>（公式</w:t>
      </w:r>
      <w:r>
        <w:rPr>
          <w:rFonts w:ascii="FangSong" w:hAnsi="FangSong" w:eastAsia="FangSong" w:cs="FangSong"/>
          <w:sz w:val="24"/>
          <w:szCs w:val="24"/>
          <w:spacing w:val="-56"/>
          <w:position w:val="-7"/>
        </w:rPr>
        <w:t xml:space="preserve"> </w:t>
      </w:r>
      <w:r>
        <w:rPr>
          <w:rFonts w:ascii="Times New Roman" w:hAnsi="Times New Roman" w:eastAsia="Times New Roman" w:cs="Times New Roman"/>
          <w:sz w:val="24"/>
          <w:szCs w:val="24"/>
          <w:spacing w:val="-1"/>
          <w:position w:val="-6"/>
        </w:rPr>
        <w:t>4.13-9</w:t>
      </w:r>
      <w:r>
        <w:rPr>
          <w:rFonts w:ascii="FangSong" w:hAnsi="FangSong" w:eastAsia="FangSong" w:cs="FangSong"/>
          <w:sz w:val="24"/>
          <w:szCs w:val="24"/>
          <w:spacing w:val="-1"/>
          <w:position w:val="-6"/>
        </w:rPr>
        <w:t>）</w:t>
      </w:r>
    </w:p>
    <w:p>
      <w:pPr>
        <w:ind w:left="2459"/>
        <w:spacing w:before="93"/>
        <w:rPr>
          <w:rFonts w:ascii="FangSong" w:hAnsi="FangSong" w:eastAsia="FangSong" w:cs="FangSong"/>
          <w:sz w:val="24"/>
          <w:szCs w:val="24"/>
        </w:rPr>
      </w:pPr>
      <w:r>
        <w:rPr>
          <w:rFonts w:ascii="Times New Roman" w:hAnsi="Times New Roman" w:eastAsia="Times New Roman" w:cs="Times New Roman"/>
          <w:sz w:val="23"/>
          <w:szCs w:val="23"/>
          <w:spacing w:val="-3"/>
          <w:position w:val="7"/>
        </w:rPr>
        <w:t>C </w:t>
      </w:r>
      <w:r>
        <w:rPr>
          <w:sz w:val="23"/>
          <w:szCs w:val="23"/>
          <w:position w:val="-10"/>
        </w:rPr>
        <w:drawing>
          <wp:inline distT="0" distB="0" distL="0" distR="0">
            <wp:extent cx="847657" cy="343860"/>
            <wp:effectExtent l="0" t="0" r="0" b="0"/>
            <wp:docPr id="36" name="IM 36"/>
            <wp:cNvGraphicFramePr/>
            <a:graphic>
              <a:graphicData uri="http://schemas.openxmlformats.org/drawingml/2006/picture">
                <pic:pic>
                  <pic:nvPicPr>
                    <pic:cNvPr id="36" name="IM 36"/>
                    <pic:cNvPicPr/>
                  </pic:nvPicPr>
                  <pic:blipFill>
                    <a:blip r:embed="rId183"/>
                    <a:stretch>
                      <a:fillRect/>
                    </a:stretch>
                  </pic:blipFill>
                  <pic:spPr>
                    <a:xfrm rot="0">
                      <a:off x="0" y="0"/>
                      <a:ext cx="847657" cy="343860"/>
                    </a:xfrm>
                    <a:prstGeom prst="rect">
                      <a:avLst/>
                    </a:prstGeom>
                  </pic:spPr>
                </pic:pic>
              </a:graphicData>
            </a:graphic>
          </wp:inline>
        </w:drawing>
      </w:r>
      <w:r>
        <w:rPr>
          <w:rFonts w:ascii="Times New Roman" w:hAnsi="Times New Roman" w:eastAsia="Times New Roman" w:cs="Times New Roman"/>
          <w:sz w:val="23"/>
          <w:szCs w:val="23"/>
          <w:spacing w:val="2"/>
          <w:position w:val="7"/>
        </w:rPr>
        <w:t xml:space="preserve">         </w:t>
      </w:r>
      <w:r>
        <w:rPr>
          <w:rFonts w:ascii="FangSong" w:hAnsi="FangSong" w:eastAsia="FangSong" w:cs="FangSong"/>
          <w:sz w:val="24"/>
          <w:szCs w:val="24"/>
          <w:spacing w:val="-3"/>
          <w:position w:val="-4"/>
        </w:rPr>
        <w:t>（公式</w:t>
      </w:r>
      <w:r>
        <w:rPr>
          <w:rFonts w:ascii="FangSong" w:hAnsi="FangSong" w:eastAsia="FangSong" w:cs="FangSong"/>
          <w:sz w:val="24"/>
          <w:szCs w:val="24"/>
          <w:spacing w:val="-54"/>
          <w:position w:val="-4"/>
        </w:rPr>
        <w:t xml:space="preserve"> </w:t>
      </w:r>
      <w:r>
        <w:rPr>
          <w:rFonts w:ascii="Times New Roman" w:hAnsi="Times New Roman" w:eastAsia="Times New Roman" w:cs="Times New Roman"/>
          <w:sz w:val="24"/>
          <w:szCs w:val="24"/>
          <w:spacing w:val="-3"/>
          <w:position w:val="-4"/>
        </w:rPr>
        <w:t>4.13-</w:t>
      </w:r>
      <w:r>
        <w:rPr>
          <w:rFonts w:ascii="Times New Roman" w:hAnsi="Times New Roman" w:eastAsia="Times New Roman" w:cs="Times New Roman"/>
          <w:sz w:val="24"/>
          <w:szCs w:val="24"/>
          <w:spacing w:val="-33"/>
          <w:position w:val="-4"/>
        </w:rPr>
        <w:t xml:space="preserve"> </w:t>
      </w:r>
      <w:r>
        <w:rPr>
          <w:rFonts w:ascii="Times New Roman" w:hAnsi="Times New Roman" w:eastAsia="Times New Roman" w:cs="Times New Roman"/>
          <w:sz w:val="24"/>
          <w:szCs w:val="24"/>
          <w:spacing w:val="-3"/>
          <w:position w:val="-4"/>
        </w:rPr>
        <w:t>10</w:t>
      </w:r>
      <w:r>
        <w:rPr>
          <w:rFonts w:ascii="FangSong" w:hAnsi="FangSong" w:eastAsia="FangSong" w:cs="FangSong"/>
          <w:sz w:val="24"/>
          <w:szCs w:val="24"/>
          <w:spacing w:val="-3"/>
          <w:position w:val="-4"/>
        </w:rPr>
        <w:t>）</w:t>
      </w:r>
    </w:p>
    <w:p>
      <w:pPr>
        <w:spacing w:before="234" w:line="210" w:lineRule="auto"/>
        <w:jc w:val="right"/>
        <w:rPr>
          <w:rFonts w:ascii="FangSong" w:hAnsi="FangSong" w:eastAsia="FangSong" w:cs="FangSong"/>
          <w:sz w:val="24"/>
          <w:szCs w:val="24"/>
        </w:rPr>
      </w:pPr>
      <w:r>
        <w:rPr>
          <w:rFonts w:ascii="FangSong" w:hAnsi="FangSong" w:eastAsia="FangSong" w:cs="FangSong"/>
          <w:sz w:val="24"/>
          <w:szCs w:val="24"/>
          <w:spacing w:val="-22"/>
        </w:rPr>
        <w:t>式中：</w:t>
      </w:r>
      <w:r>
        <w:rPr>
          <w:rFonts w:ascii="Times New Roman" w:hAnsi="Times New Roman" w:eastAsia="Times New Roman" w:cs="Times New Roman"/>
          <w:sz w:val="24"/>
          <w:szCs w:val="24"/>
          <w:spacing w:val="-22"/>
        </w:rPr>
        <w:t>W</w:t>
      </w:r>
      <w:r>
        <w:rPr>
          <w:rFonts w:ascii="Times New Roman" w:hAnsi="Times New Roman" w:eastAsia="Times New Roman" w:cs="Times New Roman"/>
          <w:sz w:val="15"/>
          <w:szCs w:val="15"/>
          <w:spacing w:val="-3"/>
          <w:position w:val="-1"/>
        </w:rPr>
        <w:t>si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土壤扬尘中</w:t>
      </w:r>
      <w:r>
        <w:rPr>
          <w:rFonts w:ascii="Times New Roman" w:hAnsi="Times New Roman" w:eastAsia="Times New Roman" w:cs="Times New Roman"/>
          <w:sz w:val="24"/>
          <w:szCs w:val="24"/>
          <w:spacing w:val="-3"/>
        </w:rPr>
        <w:t>PM</w:t>
      </w:r>
      <w:r>
        <w:rPr>
          <w:rFonts w:ascii="FangSong" w:hAnsi="FangSong" w:eastAsia="FangSong" w:cs="FangSong"/>
          <w:sz w:val="24"/>
          <w:szCs w:val="24"/>
          <w:spacing w:val="-3"/>
        </w:rPr>
        <w:t>（空气动力学粒径在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0-iμm   </w:t>
      </w:r>
      <w:r>
        <w:rPr>
          <w:rFonts w:ascii="FangSong" w:hAnsi="FangSong" w:eastAsia="FangSong" w:cs="FangSong"/>
          <w:sz w:val="24"/>
          <w:szCs w:val="24"/>
          <w:spacing w:val="-3"/>
        </w:rPr>
        <w:t>间的颗粒物</w:t>
      </w:r>
      <w:r>
        <w:rPr>
          <w:rFonts w:ascii="FangSong" w:hAnsi="FangSong" w:eastAsia="FangSong" w:cs="FangSong"/>
          <w:sz w:val="24"/>
          <w:szCs w:val="24"/>
          <w:spacing w:val="-4"/>
        </w:rPr>
        <w:t>，下同）</w:t>
      </w:r>
    </w:p>
    <w:p>
      <w:pPr>
        <w:ind w:left="2197"/>
        <w:spacing w:before="193" w:line="222" w:lineRule="auto"/>
        <w:rPr>
          <w:rFonts w:ascii="FangSong" w:hAnsi="FangSong" w:eastAsia="FangSong" w:cs="FangSong"/>
          <w:sz w:val="24"/>
          <w:szCs w:val="24"/>
        </w:rPr>
      </w:pPr>
      <w:r>
        <w:rPr>
          <w:rFonts w:ascii="FangSong" w:hAnsi="FangSong" w:eastAsia="FangSong" w:cs="FangSong"/>
          <w:sz w:val="24"/>
          <w:szCs w:val="24"/>
          <w:spacing w:val="-3"/>
        </w:rPr>
        <w:t>总排放量，</w:t>
      </w:r>
      <w:r>
        <w:rPr>
          <w:rFonts w:ascii="Times New Roman" w:hAnsi="Times New Roman" w:eastAsia="Times New Roman" w:cs="Times New Roman"/>
          <w:sz w:val="24"/>
          <w:szCs w:val="24"/>
          <w:spacing w:val="-3"/>
        </w:rPr>
        <w:t>t/a</w:t>
      </w:r>
      <w:r>
        <w:rPr>
          <w:rFonts w:ascii="FangSong" w:hAnsi="FangSong" w:eastAsia="FangSong" w:cs="FangSong"/>
          <w:sz w:val="24"/>
          <w:szCs w:val="24"/>
          <w:spacing w:val="-3"/>
        </w:rPr>
        <w:t>；</w:t>
      </w:r>
    </w:p>
    <w:p>
      <w:pPr>
        <w:ind w:left="1215"/>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E</w:t>
      </w:r>
      <w:r>
        <w:rPr>
          <w:rFonts w:ascii="Times New Roman" w:hAnsi="Times New Roman" w:eastAsia="Times New Roman" w:cs="Times New Roman"/>
          <w:sz w:val="15"/>
          <w:szCs w:val="15"/>
          <w:spacing w:val="-4"/>
          <w:position w:val="-1"/>
        </w:rPr>
        <w:t>si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土壤扬尘源的</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i</w:t>
      </w:r>
      <w:r>
        <w:rPr>
          <w:rFonts w:ascii="Times New Roman" w:hAnsi="Times New Roman" w:eastAsia="Times New Roman" w:cs="Times New Roman"/>
          <w:sz w:val="15"/>
          <w:szCs w:val="15"/>
          <w:spacing w:val="15"/>
          <w:w w:val="101"/>
          <w:position w:val="-1"/>
        </w:rPr>
        <w:t xml:space="preserve"> </w:t>
      </w:r>
      <w:r>
        <w:rPr>
          <w:rFonts w:ascii="FangSong" w:hAnsi="FangSong" w:eastAsia="FangSong" w:cs="FangSong"/>
          <w:sz w:val="24"/>
          <w:szCs w:val="24"/>
          <w:spacing w:val="-4"/>
        </w:rPr>
        <w:t>排放系数，</w:t>
      </w:r>
      <w:r>
        <w:rPr>
          <w:rFonts w:ascii="Times New Roman" w:hAnsi="Times New Roman" w:eastAsia="Times New Roman" w:cs="Times New Roman"/>
          <w:sz w:val="24"/>
          <w:szCs w:val="24"/>
          <w:spacing w:val="-4"/>
        </w:rPr>
        <w:t>t/</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m</w:t>
      </w:r>
      <w:r>
        <w:rPr>
          <w:rFonts w:ascii="Times New Roman" w:hAnsi="Times New Roman" w:eastAsia="Times New Roman" w:cs="Times New Roman"/>
          <w:sz w:val="15"/>
          <w:szCs w:val="15"/>
          <w:spacing w:val="-4"/>
          <w:position w:val="8"/>
        </w:rPr>
        <w:t>2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a</w:t>
      </w:r>
      <w:r>
        <w:rPr>
          <w:rFonts w:ascii="FangSong" w:hAnsi="FangSong" w:eastAsia="FangSong" w:cs="FangSong"/>
          <w:sz w:val="24"/>
          <w:szCs w:val="24"/>
          <w:spacing w:val="8"/>
        </w:rPr>
        <w:t>）；</w:t>
      </w:r>
    </w:p>
    <w:p>
      <w:pPr>
        <w:ind w:left="1212"/>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A</w:t>
      </w:r>
      <w:r>
        <w:rPr>
          <w:rFonts w:ascii="Times New Roman" w:hAnsi="Times New Roman" w:eastAsia="Times New Roman" w:cs="Times New Roman"/>
          <w:sz w:val="15"/>
          <w:szCs w:val="15"/>
          <w:spacing w:val="-1"/>
          <w:position w:val="-1"/>
        </w:rPr>
        <w:t>s   </w:t>
      </w:r>
      <w:r>
        <w:rPr>
          <w:rFonts w:ascii="FangSong" w:hAnsi="FangSong" w:eastAsia="FangSong" w:cs="FangSong"/>
          <w:sz w:val="24"/>
          <w:szCs w:val="24"/>
          <w:spacing w:val="-1"/>
        </w:rPr>
        <w:t>——</w:t>
      </w:r>
      <w:r>
        <w:rPr>
          <w:rFonts w:ascii="FangSong" w:hAnsi="FangSong" w:eastAsia="FangSong" w:cs="FangSong"/>
          <w:sz w:val="24"/>
          <w:szCs w:val="24"/>
          <w:spacing w:val="28"/>
        </w:rPr>
        <w:t xml:space="preserve"> </w:t>
      </w:r>
      <w:r>
        <w:rPr>
          <w:rFonts w:ascii="FangSong" w:hAnsi="FangSong" w:eastAsia="FangSong" w:cs="FangSong"/>
          <w:sz w:val="24"/>
          <w:szCs w:val="24"/>
          <w:spacing w:val="-1"/>
        </w:rPr>
        <w:t>土壤扬尘源的面积，</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2</w:t>
      </w:r>
      <w:r>
        <w:rPr>
          <w:rFonts w:ascii="FangSong" w:hAnsi="FangSong" w:eastAsia="FangSong" w:cs="FangSong"/>
          <w:sz w:val="24"/>
          <w:szCs w:val="24"/>
          <w:spacing w:val="-1"/>
        </w:rPr>
        <w:t>；</w:t>
      </w:r>
    </w:p>
    <w:p>
      <w:pPr>
        <w:ind w:left="1215"/>
        <w:spacing w:before="177"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D</w:t>
      </w:r>
      <w:r>
        <w:rPr>
          <w:rFonts w:ascii="Times New Roman" w:hAnsi="Times New Roman" w:eastAsia="Times New Roman" w:cs="Times New Roman"/>
          <w:sz w:val="15"/>
          <w:szCs w:val="15"/>
          <w:spacing w:val="-4"/>
          <w:position w:val="-1"/>
        </w:rPr>
        <w:t>i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i  </w:t>
      </w:r>
      <w:r>
        <w:rPr>
          <w:rFonts w:ascii="FangSong" w:hAnsi="FangSong" w:eastAsia="FangSong" w:cs="FangSong"/>
          <w:sz w:val="24"/>
          <w:szCs w:val="24"/>
          <w:spacing w:val="-4"/>
        </w:rPr>
        <w:t>的起尘因子，</w:t>
      </w:r>
      <w:r>
        <w:rPr>
          <w:rFonts w:ascii="Times New Roman" w:hAnsi="Times New Roman" w:eastAsia="Times New Roman" w:cs="Times New Roman"/>
          <w:sz w:val="24"/>
          <w:szCs w:val="24"/>
          <w:spacing w:val="-5"/>
        </w:rPr>
        <w:t>t/</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w:t>
      </w:r>
      <w:r>
        <w:rPr>
          <w:rFonts w:ascii="Times New Roman" w:hAnsi="Times New Roman" w:eastAsia="Times New Roman" w:cs="Times New Roman"/>
          <w:sz w:val="15"/>
          <w:szCs w:val="15"/>
          <w:spacing w:val="-5"/>
          <w:position w:val="7"/>
        </w:rPr>
        <w:t>4</w:t>
      </w:r>
      <w:r>
        <w:rPr>
          <w:rFonts w:ascii="Times New Roman" w:hAnsi="Times New Roman" w:eastAsia="Times New Roman" w:cs="Times New Roman"/>
          <w:sz w:val="24"/>
          <w:szCs w:val="24"/>
          <w:spacing w:val="-5"/>
        </w:rPr>
        <w:t>m</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a</w:t>
      </w:r>
      <w:r>
        <w:rPr>
          <w:rFonts w:ascii="FangSong" w:hAnsi="FangSong" w:eastAsia="FangSong" w:cs="FangSong"/>
          <w:sz w:val="24"/>
          <w:szCs w:val="24"/>
        </w:rPr>
        <w:t>）；</w:t>
      </w:r>
    </w:p>
    <w:p>
      <w:pPr>
        <w:ind w:left="1219"/>
        <w:spacing w:before="176"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C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气候因子，表征气象因素对土壤扬尘的影响；</w:t>
      </w:r>
    </w:p>
    <w:p>
      <w:pPr>
        <w:spacing w:line="222" w:lineRule="auto"/>
        <w:sectPr>
          <w:headerReference w:type="default" r:id="rId52"/>
          <w:footerReference w:type="default" r:id="rId181"/>
          <w:pgSz w:w="11911" w:h="16839"/>
          <w:pgMar w:top="400" w:right="1319"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286" w:right="107" w:hanging="977"/>
        <w:spacing w:before="78" w:line="353" w:lineRule="auto"/>
        <w:rPr>
          <w:rFonts w:ascii="FangSong" w:hAnsi="FangSong" w:eastAsia="FangSong" w:cs="FangSong"/>
          <w:sz w:val="24"/>
          <w:szCs w:val="24"/>
        </w:rPr>
      </w:pPr>
      <w:r>
        <w:rPr>
          <w:rFonts w:ascii="Times New Roman" w:hAnsi="Times New Roman" w:eastAsia="Times New Roman" w:cs="Times New Roman"/>
          <w:sz w:val="24"/>
          <w:szCs w:val="24"/>
          <w:spacing w:val="-2"/>
        </w:rPr>
        <w:t>η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污染控制技术对扬尘的去除效率，</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，根据《扬尘源颗粒物排放</w:t>
      </w:r>
      <w:r>
        <w:rPr>
          <w:rFonts w:ascii="FangSong" w:hAnsi="FangSong" w:eastAsia="FangSong" w:cs="FangSong"/>
          <w:sz w:val="24"/>
          <w:szCs w:val="24"/>
          <w:spacing w:val="-2"/>
        </w:rPr>
        <w:t>清单编制技术指南（试行）》中取</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75%</w:t>
      </w:r>
      <w:r>
        <w:rPr>
          <w:rFonts w:ascii="FangSong" w:hAnsi="FangSong" w:eastAsia="FangSong" w:cs="FangSong"/>
          <w:sz w:val="24"/>
          <w:szCs w:val="24"/>
          <w:spacing w:val="-2"/>
        </w:rPr>
        <w:t>；</w:t>
      </w:r>
    </w:p>
    <w:p>
      <w:pPr>
        <w:ind w:left="1310"/>
        <w:spacing w:before="16" w:line="219" w:lineRule="auto"/>
        <w:rPr>
          <w:rFonts w:ascii="FangSong" w:hAnsi="FangSong" w:eastAsia="FangSong" w:cs="FangSong"/>
          <w:sz w:val="24"/>
          <w:szCs w:val="24"/>
        </w:rPr>
      </w:pPr>
      <w:r>
        <w:rPr>
          <w:rFonts w:ascii="Times New Roman" w:hAnsi="Times New Roman" w:eastAsia="Times New Roman" w:cs="Times New Roman"/>
          <w:sz w:val="24"/>
          <w:szCs w:val="24"/>
          <w:spacing w:val="-2"/>
        </w:rPr>
        <w:t>k</w:t>
      </w:r>
      <w:r>
        <w:rPr>
          <w:rFonts w:ascii="Times New Roman" w:hAnsi="Times New Roman" w:eastAsia="Times New Roman" w:cs="Times New Roman"/>
          <w:sz w:val="15"/>
          <w:szCs w:val="15"/>
          <w:spacing w:val="-2"/>
          <w:position w:val="-1"/>
        </w:rPr>
        <w:t>i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PM</w:t>
      </w:r>
      <w:r>
        <w:rPr>
          <w:rFonts w:ascii="Times New Roman" w:hAnsi="Times New Roman" w:eastAsia="Times New Roman" w:cs="Times New Roman"/>
          <w:sz w:val="15"/>
          <w:szCs w:val="15"/>
          <w:spacing w:val="-2"/>
          <w:position w:val="-1"/>
        </w:rPr>
        <w:t>i</w:t>
      </w:r>
      <w:r>
        <w:rPr>
          <w:rFonts w:ascii="Times New Roman" w:hAnsi="Times New Roman" w:eastAsia="Times New Roman" w:cs="Times New Roman"/>
          <w:sz w:val="15"/>
          <w:szCs w:val="15"/>
          <w:spacing w:val="19"/>
          <w:position w:val="-1"/>
        </w:rPr>
        <w:t xml:space="preserve"> </w:t>
      </w:r>
      <w:r>
        <w:rPr>
          <w:rFonts w:ascii="FangSong" w:hAnsi="FangSong" w:eastAsia="FangSong" w:cs="FangSong"/>
          <w:sz w:val="24"/>
          <w:szCs w:val="24"/>
          <w:spacing w:val="-2"/>
        </w:rPr>
        <w:t>在土壤扬尘中的百分含量，推荐</w:t>
      </w:r>
      <w:r>
        <w:rPr>
          <w:rFonts w:ascii="FangSong" w:hAnsi="FangSong" w:eastAsia="FangSong" w:cs="FangSong"/>
          <w:sz w:val="24"/>
          <w:szCs w:val="24"/>
          <w:spacing w:val="-3"/>
        </w:rPr>
        <w:t>值</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TSP</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ind w:left="2285" w:right="107" w:hanging="971"/>
        <w:spacing w:before="180" w:line="359" w:lineRule="auto"/>
        <w:rPr>
          <w:rFonts w:ascii="FangSong" w:hAnsi="FangSong" w:eastAsia="FangSong" w:cs="FangSong"/>
          <w:sz w:val="24"/>
          <w:szCs w:val="24"/>
        </w:rPr>
      </w:pPr>
      <w:r>
        <w:rPr>
          <w:rFonts w:ascii="Times New Roman" w:hAnsi="Times New Roman" w:eastAsia="Times New Roman" w:cs="Times New Roman"/>
          <w:sz w:val="24"/>
          <w:szCs w:val="24"/>
          <w:spacing w:val="-5"/>
        </w:rPr>
        <w:t>I</w:t>
      </w:r>
      <w:r>
        <w:rPr>
          <w:rFonts w:ascii="Times New Roman" w:hAnsi="Times New Roman" w:eastAsia="Times New Roman" w:cs="Times New Roman"/>
          <w:sz w:val="15"/>
          <w:szCs w:val="15"/>
          <w:spacing w:val="-5"/>
          <w:position w:val="-1"/>
        </w:rPr>
        <w:t>we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土壤风蚀指数，根据《扬尘源</w:t>
      </w:r>
      <w:r>
        <w:rPr>
          <w:rFonts w:ascii="FangSong" w:hAnsi="FangSong" w:eastAsia="FangSong" w:cs="FangSong"/>
          <w:sz w:val="24"/>
          <w:szCs w:val="24"/>
          <w:spacing w:val="-6"/>
        </w:rPr>
        <w:t>颗粒物排放清单编制技术指南（试</w:t>
      </w:r>
      <w:r>
        <w:rPr>
          <w:rFonts w:ascii="FangSong" w:hAnsi="FangSong" w:eastAsia="FangSong" w:cs="FangSong"/>
          <w:sz w:val="24"/>
          <w:szCs w:val="24"/>
          <w:spacing w:val="-3"/>
        </w:rPr>
        <w:t>行）》取</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490</w:t>
      </w:r>
      <w:r>
        <w:rPr>
          <w:rFonts w:ascii="FangSong" w:hAnsi="FangSong" w:eastAsia="FangSong" w:cs="FangSong"/>
          <w:sz w:val="24"/>
          <w:szCs w:val="24"/>
          <w:spacing w:val="-3"/>
        </w:rPr>
        <w:t>；</w:t>
      </w:r>
    </w:p>
    <w:p>
      <w:pPr>
        <w:ind w:left="1317"/>
        <w:spacing w:line="222" w:lineRule="auto"/>
        <w:rPr>
          <w:rFonts w:ascii="FangSong" w:hAnsi="FangSong" w:eastAsia="FangSong" w:cs="FangSong"/>
          <w:sz w:val="24"/>
          <w:szCs w:val="24"/>
        </w:rPr>
      </w:pPr>
      <w:r>
        <w:rPr>
          <w:rFonts w:ascii="Times New Roman" w:hAnsi="Times New Roman" w:eastAsia="Times New Roman" w:cs="Times New Roman"/>
          <w:sz w:val="24"/>
          <w:szCs w:val="24"/>
        </w:rPr>
        <w:t>f</w:t>
      </w:r>
      <w:r>
        <w:rPr>
          <w:rFonts w:ascii="Times New Roman" w:hAnsi="Times New Roman" w:eastAsia="Times New Roman" w:cs="Times New Roman"/>
          <w:sz w:val="24"/>
          <w:szCs w:val="24"/>
          <w:spacing w:val="48"/>
          <w:w w:val="101"/>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地面粗糙因子，取值为</w:t>
      </w:r>
      <w:r>
        <w:rPr>
          <w:rFonts w:ascii="FangSong" w:hAnsi="FangSong" w:eastAsia="FangSong" w:cs="FangSong"/>
          <w:sz w:val="24"/>
          <w:szCs w:val="24"/>
        </w:rPr>
        <w:t xml:space="preserve"> </w:t>
      </w:r>
      <w:r>
        <w:rPr>
          <w:rFonts w:ascii="Times New Roman" w:hAnsi="Times New Roman" w:eastAsia="Times New Roman" w:cs="Times New Roman"/>
          <w:sz w:val="24"/>
          <w:szCs w:val="24"/>
        </w:rPr>
        <w:t>0.5</w:t>
      </w:r>
      <w:r>
        <w:rPr>
          <w:rFonts w:ascii="FangSong" w:hAnsi="FangSong" w:eastAsia="FangSong" w:cs="FangSong"/>
          <w:sz w:val="24"/>
          <w:szCs w:val="24"/>
        </w:rPr>
        <w:t>；</w:t>
      </w:r>
    </w:p>
    <w:p>
      <w:pPr>
        <w:ind w:left="2284" w:right="107" w:hanging="971"/>
        <w:spacing w:before="178" w:line="359" w:lineRule="auto"/>
        <w:rPr>
          <w:rFonts w:ascii="FangSong" w:hAnsi="FangSong" w:eastAsia="FangSong" w:cs="FangSong"/>
          <w:sz w:val="24"/>
          <w:szCs w:val="24"/>
        </w:rPr>
      </w:pPr>
      <w:r>
        <w:rPr>
          <w:rFonts w:ascii="Times New Roman" w:hAnsi="Times New Roman" w:eastAsia="Times New Roman" w:cs="Times New Roman"/>
          <w:sz w:val="24"/>
          <w:szCs w:val="24"/>
          <w:spacing w:val="-3"/>
        </w:rPr>
        <w:t>L</w:t>
      </w:r>
      <w:r>
        <w:rPr>
          <w:rFonts w:ascii="Times New Roman" w:hAnsi="Times New Roman" w:eastAsia="Times New Roman" w:cs="Times New Roman"/>
          <w:sz w:val="24"/>
          <w:szCs w:val="24"/>
          <w:spacing w:val="58"/>
          <w:w w:val="101"/>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无屏蔽宽度因子，即没有明显的阻挡物（如建筑物或者高大的树</w:t>
      </w:r>
      <w:r>
        <w:rPr>
          <w:rFonts w:ascii="FangSong" w:hAnsi="FangSong" w:eastAsia="FangSong" w:cs="FangSong"/>
          <w:sz w:val="24"/>
          <w:szCs w:val="24"/>
          <w:spacing w:val="-1"/>
        </w:rPr>
        <w:t>木）的最大范围。根据《扬尘源颗粒物排放清单编制技术指南</w:t>
      </w:r>
      <w:r>
        <w:rPr>
          <w:rFonts w:ascii="FangSong" w:hAnsi="FangSong" w:eastAsia="FangSong" w:cs="FangSong"/>
          <w:sz w:val="24"/>
          <w:szCs w:val="24"/>
          <w:spacing w:val="-2"/>
        </w:rPr>
        <w:t>（试行）》中要求取</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L=0.7</w:t>
      </w:r>
      <w:r>
        <w:rPr>
          <w:rFonts w:ascii="FangSong" w:hAnsi="FangSong" w:eastAsia="FangSong" w:cs="FangSong"/>
          <w:sz w:val="24"/>
          <w:szCs w:val="24"/>
          <w:spacing w:val="-2"/>
        </w:rPr>
        <w:t>；</w:t>
      </w:r>
    </w:p>
    <w:p>
      <w:pPr>
        <w:ind w:left="2289" w:right="107" w:hanging="979"/>
        <w:spacing w:before="2" w:line="360" w:lineRule="auto"/>
        <w:rPr>
          <w:rFonts w:ascii="FangSong" w:hAnsi="FangSong" w:eastAsia="FangSong" w:cs="FangSong"/>
          <w:sz w:val="24"/>
          <w:szCs w:val="24"/>
        </w:rPr>
      </w:pPr>
      <w:r>
        <w:rPr>
          <w:rFonts w:ascii="Times New Roman" w:hAnsi="Times New Roman" w:eastAsia="Times New Roman" w:cs="Times New Roman"/>
          <w:sz w:val="24"/>
          <w:szCs w:val="24"/>
          <w:spacing w:val="-4"/>
        </w:rPr>
        <w:t>V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植被覆盖因子，是指裸露土壤面积占总计算面积的比例，计算公</w:t>
      </w:r>
      <w:r>
        <w:rPr>
          <w:rFonts w:ascii="FangSong" w:hAnsi="FangSong" w:eastAsia="FangSong" w:cs="FangSong"/>
          <w:sz w:val="24"/>
          <w:szCs w:val="24"/>
          <w:spacing w:val="-3"/>
        </w:rPr>
        <w:t>式如公式</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4.13-11</w:t>
      </w:r>
      <w:r>
        <w:rPr>
          <w:rFonts w:ascii="FangSong" w:hAnsi="FangSong" w:eastAsia="FangSong" w:cs="FangSong"/>
          <w:sz w:val="24"/>
          <w:szCs w:val="24"/>
          <w:spacing w:val="-3"/>
        </w:rPr>
        <w:t>；</w:t>
      </w:r>
    </w:p>
    <w:p>
      <w:pPr>
        <w:ind w:left="2844"/>
        <w:spacing w:before="5" w:line="174" w:lineRule="auto"/>
        <w:rPr>
          <w:rFonts w:ascii="SimSun" w:hAnsi="SimSun" w:eastAsia="SimSun" w:cs="SimSun"/>
          <w:sz w:val="23"/>
          <w:szCs w:val="23"/>
        </w:rPr>
      </w:pPr>
      <w:r>
        <w:rPr>
          <w:rFonts w:ascii="SimSun" w:hAnsi="SimSun" w:eastAsia="SimSun" w:cs="SimSun"/>
          <w:sz w:val="23"/>
          <w:szCs w:val="23"/>
          <w:u w:val="single" w:color="auto"/>
          <w:spacing w:val="6"/>
        </w:rPr>
        <w:t>裸露土壤面积</w:t>
      </w:r>
    </w:p>
    <w:p>
      <w:pPr>
        <w:pStyle w:val="BodyText"/>
        <w:ind w:left="2400"/>
        <w:spacing w:line="194" w:lineRule="auto"/>
        <w:rPr>
          <w:rFonts w:ascii="FangSong" w:hAnsi="FangSong" w:eastAsia="FangSong" w:cs="FangSong"/>
          <w:sz w:val="24"/>
          <w:szCs w:val="24"/>
        </w:rPr>
      </w:pPr>
      <w:r>
        <w:rPr>
          <w:rFonts w:ascii="Times New Roman" w:hAnsi="Times New Roman" w:eastAsia="Times New Roman" w:cs="Times New Roman"/>
          <w:sz w:val="23"/>
          <w:szCs w:val="23"/>
          <w:position w:val="14"/>
        </w:rPr>
        <w:t>V </w:t>
      </w:r>
      <w:r>
        <w:rPr>
          <w:sz w:val="23"/>
          <w:szCs w:val="23"/>
          <w:position w:val="14"/>
        </w:rPr>
        <w:t>=   </w:t>
      </w:r>
      <w:r>
        <w:rPr>
          <w:rFonts w:ascii="SimSun" w:hAnsi="SimSun" w:eastAsia="SimSun" w:cs="SimSun"/>
          <w:sz w:val="23"/>
          <w:szCs w:val="23"/>
          <w:position w:val="-4"/>
        </w:rPr>
        <w:t>总计算面积</w:t>
      </w:r>
      <w:r>
        <w:rPr>
          <w:rFonts w:ascii="SimSun" w:hAnsi="SimSun" w:eastAsia="SimSun" w:cs="SimSun"/>
          <w:sz w:val="23"/>
          <w:szCs w:val="23"/>
          <w:spacing w:val="17"/>
          <w:position w:val="-4"/>
        </w:rPr>
        <w:t xml:space="preserve">     </w:t>
      </w:r>
      <w:r>
        <w:rPr>
          <w:rFonts w:ascii="FangSong" w:hAnsi="FangSong" w:eastAsia="FangSong" w:cs="FangSong"/>
          <w:sz w:val="24"/>
          <w:szCs w:val="24"/>
          <w:position w:val="2"/>
        </w:rPr>
        <w:t>（公式</w:t>
      </w:r>
      <w:r>
        <w:rPr>
          <w:rFonts w:ascii="FangSong" w:hAnsi="FangSong" w:eastAsia="FangSong" w:cs="FangSong"/>
          <w:sz w:val="24"/>
          <w:szCs w:val="24"/>
          <w:spacing w:val="-55"/>
          <w:position w:val="2"/>
        </w:rPr>
        <w:t xml:space="preserve"> </w:t>
      </w:r>
      <w:r>
        <w:rPr>
          <w:rFonts w:ascii="Times New Roman" w:hAnsi="Times New Roman" w:eastAsia="Times New Roman" w:cs="Times New Roman"/>
          <w:sz w:val="24"/>
          <w:szCs w:val="24"/>
          <w:position w:val="2"/>
        </w:rPr>
        <w:t>4.</w:t>
      </w:r>
      <w:r>
        <w:rPr>
          <w:rFonts w:ascii="Times New Roman" w:hAnsi="Times New Roman" w:eastAsia="Times New Roman" w:cs="Times New Roman"/>
          <w:sz w:val="24"/>
          <w:szCs w:val="24"/>
          <w:spacing w:val="-31"/>
          <w:position w:val="2"/>
        </w:rPr>
        <w:t xml:space="preserve"> </w:t>
      </w:r>
      <w:r>
        <w:rPr>
          <w:rFonts w:ascii="Times New Roman" w:hAnsi="Times New Roman" w:eastAsia="Times New Roman" w:cs="Times New Roman"/>
          <w:sz w:val="24"/>
          <w:szCs w:val="24"/>
          <w:position w:val="2"/>
        </w:rPr>
        <w:t>13-11</w:t>
      </w:r>
      <w:r>
        <w:rPr>
          <w:rFonts w:ascii="FangSong" w:hAnsi="FangSong" w:eastAsia="FangSong" w:cs="FangSong"/>
          <w:sz w:val="24"/>
          <w:szCs w:val="24"/>
          <w:position w:val="2"/>
        </w:rPr>
        <w:t>）</w:t>
      </w:r>
    </w:p>
    <w:p>
      <w:pPr>
        <w:ind w:left="1308"/>
        <w:spacing w:before="187"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u  </w:t>
      </w:r>
      <w:r>
        <w:rPr>
          <w:rFonts w:ascii="FangSong" w:hAnsi="FangSong" w:eastAsia="FangSong" w:cs="FangSong"/>
          <w:sz w:val="24"/>
          <w:szCs w:val="24"/>
          <w:spacing w:val="-2"/>
        </w:rPr>
        <w:t>——</w:t>
      </w:r>
      <w:r>
        <w:rPr>
          <w:rFonts w:ascii="FangSong" w:hAnsi="FangSong" w:eastAsia="FangSong" w:cs="FangSong"/>
          <w:sz w:val="24"/>
          <w:szCs w:val="24"/>
          <w:spacing w:val="29"/>
        </w:rPr>
        <w:t xml:space="preserve"> </w:t>
      </w:r>
      <w:r>
        <w:rPr>
          <w:rFonts w:ascii="FangSong" w:hAnsi="FangSong" w:eastAsia="FangSong" w:cs="FangSong"/>
          <w:sz w:val="24"/>
          <w:szCs w:val="24"/>
          <w:spacing w:val="-2"/>
        </w:rPr>
        <w:t>年平均风速，</w:t>
      </w:r>
      <w:r>
        <w:rPr>
          <w:rFonts w:ascii="Times New Roman" w:hAnsi="Times New Roman" w:eastAsia="Times New Roman" w:cs="Times New Roman"/>
          <w:sz w:val="24"/>
          <w:szCs w:val="24"/>
          <w:spacing w:val="-2"/>
        </w:rPr>
        <w:t>m/s</w:t>
      </w:r>
      <w:r>
        <w:rPr>
          <w:rFonts w:ascii="FangSong" w:hAnsi="FangSong" w:eastAsia="FangSong" w:cs="FangSong"/>
          <w:sz w:val="24"/>
          <w:szCs w:val="24"/>
          <w:spacing w:val="-2"/>
        </w:rPr>
        <w:t>。</w:t>
      </w:r>
    </w:p>
    <w:p>
      <w:pPr>
        <w:ind w:left="1312" w:right="1221"/>
        <w:spacing w:before="179" w:line="420" w:lineRule="auto"/>
        <w:jc w:val="right"/>
        <w:rPr>
          <w:rFonts w:ascii="FangSong" w:hAnsi="FangSong" w:eastAsia="FangSong" w:cs="FangSong"/>
          <w:sz w:val="24"/>
          <w:szCs w:val="24"/>
        </w:rPr>
      </w:pPr>
      <w:r>
        <w:rPr>
          <w:rFonts w:ascii="Times New Roman" w:hAnsi="Times New Roman" w:eastAsia="Times New Roman" w:cs="Times New Roman"/>
          <w:sz w:val="24"/>
          <w:szCs w:val="24"/>
          <w:spacing w:val="-2"/>
        </w:rPr>
        <w:t>PE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桑氏威特降水</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蒸发指数，计算公式如公式</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4.13-12</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3"/>
          <w:szCs w:val="23"/>
          <w:spacing w:val="-2"/>
          <w:position w:val="13"/>
        </w:rPr>
        <w:t>PE </w:t>
      </w:r>
      <w:r>
        <w:rPr>
          <w:sz w:val="23"/>
          <w:szCs w:val="23"/>
          <w:position w:val="-11"/>
        </w:rPr>
        <w:drawing>
          <wp:inline distT="0" distB="0" distL="0" distR="0">
            <wp:extent cx="1980486" cy="330255"/>
            <wp:effectExtent l="0" t="0" r="0" b="0"/>
            <wp:docPr id="38" name="IM 38"/>
            <wp:cNvGraphicFramePr/>
            <a:graphic>
              <a:graphicData uri="http://schemas.openxmlformats.org/drawingml/2006/picture">
                <pic:pic>
                  <pic:nvPicPr>
                    <pic:cNvPr id="38" name="IM 38"/>
                    <pic:cNvPicPr/>
                  </pic:nvPicPr>
                  <pic:blipFill>
                    <a:blip r:embed="rId185"/>
                    <a:stretch>
                      <a:fillRect/>
                    </a:stretch>
                  </pic:blipFill>
                  <pic:spPr>
                    <a:xfrm rot="0">
                      <a:off x="0" y="0"/>
                      <a:ext cx="1980486" cy="330255"/>
                    </a:xfrm>
                    <a:prstGeom prst="rect">
                      <a:avLst/>
                    </a:prstGeom>
                  </pic:spPr>
                </pic:pic>
              </a:graphicData>
            </a:graphic>
          </wp:inline>
        </w:drawing>
      </w:r>
      <w:r>
        <w:rPr>
          <w:rFonts w:ascii="Times New Roman" w:hAnsi="Times New Roman" w:eastAsia="Times New Roman" w:cs="Times New Roman"/>
          <w:sz w:val="23"/>
          <w:szCs w:val="23"/>
          <w:spacing w:val="1"/>
          <w:position w:val="13"/>
        </w:rPr>
        <w:t xml:space="preserve">         </w:t>
      </w:r>
      <w:r>
        <w:rPr>
          <w:rFonts w:ascii="FangSong" w:hAnsi="FangSong" w:eastAsia="FangSong" w:cs="FangSong"/>
          <w:sz w:val="24"/>
          <w:szCs w:val="24"/>
          <w:spacing w:val="-2"/>
          <w:position w:val="1"/>
        </w:rPr>
        <w:t>（公式</w:t>
      </w:r>
      <w:r>
        <w:rPr>
          <w:rFonts w:ascii="FangSong" w:hAnsi="FangSong" w:eastAsia="FangSong" w:cs="FangSong"/>
          <w:sz w:val="24"/>
          <w:szCs w:val="24"/>
          <w:spacing w:val="-53"/>
          <w:position w:val="1"/>
        </w:rPr>
        <w:t xml:space="preserve"> </w:t>
      </w:r>
      <w:r>
        <w:rPr>
          <w:rFonts w:ascii="Times New Roman" w:hAnsi="Times New Roman" w:eastAsia="Times New Roman" w:cs="Times New Roman"/>
          <w:sz w:val="24"/>
          <w:szCs w:val="24"/>
          <w:spacing w:val="-2"/>
          <w:position w:val="1"/>
        </w:rPr>
        <w:t>4.</w:t>
      </w:r>
      <w:r>
        <w:rPr>
          <w:rFonts w:ascii="Times New Roman" w:hAnsi="Times New Roman" w:eastAsia="Times New Roman" w:cs="Times New Roman"/>
          <w:sz w:val="24"/>
          <w:szCs w:val="24"/>
          <w:spacing w:val="-32"/>
          <w:position w:val="1"/>
        </w:rPr>
        <w:t xml:space="preserve"> </w:t>
      </w:r>
      <w:r>
        <w:rPr>
          <w:rFonts w:ascii="Times New Roman" w:hAnsi="Times New Roman" w:eastAsia="Times New Roman" w:cs="Times New Roman"/>
          <w:sz w:val="24"/>
          <w:szCs w:val="24"/>
          <w:spacing w:val="-2"/>
          <w:position w:val="1"/>
        </w:rPr>
        <w:t>13-12</w:t>
      </w:r>
      <w:r>
        <w:rPr>
          <w:rFonts w:ascii="FangSong" w:hAnsi="FangSong" w:eastAsia="FangSong" w:cs="FangSong"/>
          <w:sz w:val="24"/>
          <w:szCs w:val="24"/>
          <w:spacing w:val="-2"/>
          <w:position w:val="1"/>
        </w:rPr>
        <w:t>）</w:t>
      </w:r>
    </w:p>
    <w:p>
      <w:pPr>
        <w:ind w:left="1308"/>
        <w:spacing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p  </w:t>
      </w:r>
      <w:r>
        <w:rPr>
          <w:rFonts w:ascii="FangSong" w:hAnsi="FangSong" w:eastAsia="FangSong" w:cs="FangSong"/>
          <w:sz w:val="24"/>
          <w:szCs w:val="24"/>
          <w:spacing w:val="-2"/>
        </w:rPr>
        <w:t>——</w:t>
      </w:r>
      <w:r>
        <w:rPr>
          <w:rFonts w:ascii="FangSong" w:hAnsi="FangSong" w:eastAsia="FangSong" w:cs="FangSong"/>
          <w:sz w:val="24"/>
          <w:szCs w:val="24"/>
          <w:spacing w:val="22"/>
        </w:rPr>
        <w:t xml:space="preserve"> </w:t>
      </w:r>
      <w:r>
        <w:rPr>
          <w:rFonts w:ascii="FangSong" w:hAnsi="FangSong" w:eastAsia="FangSong" w:cs="FangSong"/>
          <w:sz w:val="24"/>
          <w:szCs w:val="24"/>
          <w:spacing w:val="-2"/>
        </w:rPr>
        <w:t>年降水量（</w:t>
      </w:r>
      <w:r>
        <w:rPr>
          <w:rFonts w:ascii="Times New Roman" w:hAnsi="Times New Roman" w:eastAsia="Times New Roman" w:cs="Times New Roman"/>
          <w:sz w:val="24"/>
          <w:szCs w:val="24"/>
          <w:spacing w:val="-2"/>
        </w:rPr>
        <w:t>mm</w:t>
      </w:r>
      <w:r>
        <w:rPr>
          <w:rFonts w:ascii="FangSong" w:hAnsi="FangSong" w:eastAsia="FangSong" w:cs="FangSong"/>
          <w:sz w:val="24"/>
          <w:szCs w:val="24"/>
        </w:rPr>
        <w:t>）；</w:t>
      </w:r>
    </w:p>
    <w:p>
      <w:pPr>
        <w:ind w:left="1315"/>
        <w:spacing w:before="193" w:line="222" w:lineRule="auto"/>
        <w:rPr>
          <w:rFonts w:ascii="FangSong" w:hAnsi="FangSong" w:eastAsia="FangSong" w:cs="FangSong"/>
          <w:sz w:val="24"/>
          <w:szCs w:val="24"/>
        </w:rPr>
      </w:pPr>
      <w:r>
        <w:rPr>
          <w:rFonts w:ascii="Times New Roman" w:hAnsi="Times New Roman" w:eastAsia="Times New Roman" w:cs="Times New Roman"/>
          <w:sz w:val="24"/>
          <w:szCs w:val="24"/>
          <w:spacing w:val="-5"/>
        </w:rPr>
        <w:t>Ta  </w:t>
      </w:r>
      <w:r>
        <w:rPr>
          <w:rFonts w:ascii="FangSong" w:hAnsi="FangSong" w:eastAsia="FangSong" w:cs="FangSong"/>
          <w:sz w:val="24"/>
          <w:szCs w:val="24"/>
          <w:spacing w:val="-5"/>
        </w:rPr>
        <w:t>——</w:t>
      </w:r>
      <w:r>
        <w:rPr>
          <w:rFonts w:ascii="FangSong" w:hAnsi="FangSong" w:eastAsia="FangSong" w:cs="FangSong"/>
          <w:sz w:val="24"/>
          <w:szCs w:val="24"/>
          <w:spacing w:val="27"/>
        </w:rPr>
        <w:t xml:space="preserve"> </w:t>
      </w:r>
      <w:r>
        <w:rPr>
          <w:rFonts w:ascii="FangSong" w:hAnsi="FangSong" w:eastAsia="FangSong" w:cs="FangSong"/>
          <w:sz w:val="24"/>
          <w:szCs w:val="24"/>
          <w:spacing w:val="-5"/>
        </w:rPr>
        <w:t>年平均温度</w:t>
      </w:r>
      <w:r>
        <w:rPr>
          <w:rFonts w:ascii="FangSong" w:hAnsi="FangSong" w:eastAsia="FangSong" w:cs="FangSong"/>
          <w:sz w:val="24"/>
          <w:szCs w:val="24"/>
          <w:spacing w:val="1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w:t>
      </w:r>
    </w:p>
    <w:p>
      <w:pPr>
        <w:ind w:left="125" w:right="104"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本项目堆场主要为原矿堆场、尾矿临时堆场、成品库、临时废石场，上述公式</w:t>
      </w:r>
      <w:r>
        <w:rPr>
          <w:rFonts w:ascii="FangSong" w:hAnsi="FangSong" w:eastAsia="FangSong" w:cs="FangSong"/>
          <w:sz w:val="24"/>
          <w:szCs w:val="24"/>
          <w:spacing w:val="-2"/>
        </w:rPr>
        <w:t>所需计算参数及计算结果见表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4.13-7</w:t>
      </w:r>
      <w:r>
        <w:rPr>
          <w:rFonts w:ascii="FangSong" w:hAnsi="FangSong" w:eastAsia="FangSong" w:cs="FangSong"/>
          <w:sz w:val="24"/>
          <w:szCs w:val="24"/>
          <w:spacing w:val="-2"/>
        </w:rPr>
        <w:t>。</w:t>
      </w:r>
    </w:p>
    <w:p>
      <w:pPr>
        <w:ind w:left="2267"/>
        <w:spacing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4.13-7  </w:t>
      </w:r>
      <w:r>
        <w:rPr>
          <w:rFonts w:ascii="FangSong" w:hAnsi="FangSong" w:eastAsia="FangSong" w:cs="FangSong"/>
          <w:sz w:val="24"/>
          <w:szCs w:val="24"/>
          <w:b/>
          <w:bCs/>
          <w:spacing w:val="-3"/>
        </w:rPr>
        <w:t>本项目堆场扬尘计算情况一览表</w:t>
      </w:r>
    </w:p>
    <w:p>
      <w:pPr>
        <w:spacing w:line="144" w:lineRule="exact"/>
        <w:rPr/>
      </w:pPr>
      <w:r/>
    </w:p>
    <w:tbl>
      <w:tblPr>
        <w:tblStyle w:val="TableNormal"/>
        <w:tblW w:w="891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8"/>
        <w:gridCol w:w="1767"/>
        <w:gridCol w:w="1613"/>
        <w:gridCol w:w="1314"/>
        <w:gridCol w:w="1368"/>
      </w:tblGrid>
      <w:tr>
        <w:trPr>
          <w:trHeight w:val="276" w:hRule="atLeast"/>
        </w:trPr>
        <w:tc>
          <w:tcPr>
            <w:tcW w:w="2848" w:type="dxa"/>
            <w:vAlign w:val="top"/>
            <w:tcBorders>
              <w:left w:val="nil"/>
              <w:top w:val="single" w:color="000000" w:sz="10" w:space="0"/>
            </w:tcBorders>
          </w:tcPr>
          <w:p>
            <w:pPr>
              <w:pStyle w:val="TableText"/>
              <w:ind w:left="1232"/>
              <w:spacing w:before="36" w:line="212" w:lineRule="auto"/>
              <w:rPr/>
            </w:pPr>
            <w:r>
              <w:rPr/>
              <w:t>参数</w:t>
            </w:r>
          </w:p>
        </w:tc>
        <w:tc>
          <w:tcPr>
            <w:tcW w:w="1767" w:type="dxa"/>
            <w:vAlign w:val="top"/>
            <w:tcBorders>
              <w:top w:val="single" w:color="000000" w:sz="10" w:space="0"/>
            </w:tcBorders>
          </w:tcPr>
          <w:p>
            <w:pPr>
              <w:pStyle w:val="TableText"/>
              <w:ind w:left="477"/>
              <w:spacing w:before="36" w:line="212" w:lineRule="auto"/>
              <w:rPr/>
            </w:pPr>
            <w:r>
              <w:rPr>
                <w:spacing w:val="4"/>
              </w:rPr>
              <w:t>原矿堆场</w:t>
            </w:r>
          </w:p>
        </w:tc>
        <w:tc>
          <w:tcPr>
            <w:tcW w:w="1613" w:type="dxa"/>
            <w:vAlign w:val="top"/>
            <w:tcBorders>
              <w:top w:val="single" w:color="000000" w:sz="10" w:space="0"/>
            </w:tcBorders>
          </w:tcPr>
          <w:p>
            <w:pPr>
              <w:pStyle w:val="TableText"/>
              <w:ind w:left="188"/>
              <w:spacing w:before="36" w:line="212" w:lineRule="auto"/>
              <w:rPr/>
            </w:pPr>
            <w:r>
              <w:rPr>
                <w:spacing w:val="7"/>
              </w:rPr>
              <w:t>尾矿临时堆场</w:t>
            </w:r>
          </w:p>
        </w:tc>
        <w:tc>
          <w:tcPr>
            <w:tcW w:w="1314" w:type="dxa"/>
            <w:vAlign w:val="top"/>
            <w:tcBorders>
              <w:top w:val="single" w:color="000000" w:sz="10" w:space="0"/>
            </w:tcBorders>
          </w:tcPr>
          <w:p>
            <w:pPr>
              <w:pStyle w:val="TableText"/>
              <w:ind w:left="358"/>
              <w:spacing w:before="36" w:line="212" w:lineRule="auto"/>
              <w:rPr/>
            </w:pPr>
            <w:r>
              <w:rPr>
                <w:spacing w:val="3"/>
              </w:rPr>
              <w:t>成品库</w:t>
            </w:r>
          </w:p>
        </w:tc>
        <w:tc>
          <w:tcPr>
            <w:tcW w:w="1368" w:type="dxa"/>
            <w:vAlign w:val="top"/>
            <w:tcBorders>
              <w:right w:val="nil"/>
              <w:top w:val="single" w:color="000000" w:sz="10" w:space="0"/>
            </w:tcBorders>
          </w:tcPr>
          <w:p>
            <w:pPr>
              <w:pStyle w:val="TableText"/>
              <w:ind w:left="486"/>
              <w:spacing w:before="36" w:line="212" w:lineRule="auto"/>
              <w:rPr/>
            </w:pPr>
            <w:r>
              <w:rPr>
                <w:spacing w:val="1"/>
              </w:rPr>
              <w:t>堆场</w:t>
            </w:r>
          </w:p>
        </w:tc>
      </w:tr>
      <w:tr>
        <w:trPr>
          <w:trHeight w:val="273" w:hRule="atLeast"/>
        </w:trPr>
        <w:tc>
          <w:tcPr>
            <w:tcW w:w="2848" w:type="dxa"/>
            <w:vAlign w:val="top"/>
            <w:tcBorders>
              <w:left w:val="nil"/>
            </w:tcBorders>
          </w:tcPr>
          <w:p>
            <w:pPr>
              <w:pStyle w:val="TableText"/>
              <w:ind w:left="389"/>
              <w:spacing w:before="36" w:line="209" w:lineRule="auto"/>
              <w:rPr/>
            </w:pPr>
            <w:r>
              <w:rPr>
                <w:spacing w:val="7"/>
              </w:rPr>
              <w:t>物料装卸总次数（次）</w:t>
            </w:r>
          </w:p>
        </w:tc>
        <w:tc>
          <w:tcPr>
            <w:tcW w:w="1767" w:type="dxa"/>
            <w:vAlign w:val="top"/>
          </w:tcPr>
          <w:p>
            <w:pPr>
              <w:ind w:left="67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w:t>
            </w:r>
          </w:p>
        </w:tc>
        <w:tc>
          <w:tcPr>
            <w:tcW w:w="1613" w:type="dxa"/>
            <w:vAlign w:val="top"/>
          </w:tcPr>
          <w:p>
            <w:pPr>
              <w:ind w:left="617"/>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1280</w:t>
            </w:r>
          </w:p>
        </w:tc>
        <w:tc>
          <w:tcPr>
            <w:tcW w:w="1314" w:type="dxa"/>
            <w:vAlign w:val="top"/>
          </w:tcPr>
          <w:p>
            <w:pPr>
              <w:ind w:left="50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720</w:t>
            </w:r>
          </w:p>
        </w:tc>
        <w:tc>
          <w:tcPr>
            <w:tcW w:w="1368" w:type="dxa"/>
            <w:vAlign w:val="top"/>
            <w:tcBorders>
              <w:right w:val="nil"/>
            </w:tcBorders>
          </w:tcPr>
          <w:p>
            <w:pPr>
              <w:ind w:left="654"/>
              <w:spacing w:before="6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272" w:hRule="atLeast"/>
        </w:trPr>
        <w:tc>
          <w:tcPr>
            <w:tcW w:w="2848" w:type="dxa"/>
            <w:vAlign w:val="top"/>
            <w:tcBorders>
              <w:left w:val="nil"/>
            </w:tcBorders>
          </w:tcPr>
          <w:p>
            <w:pPr>
              <w:pStyle w:val="TableText"/>
              <w:ind w:left="152"/>
              <w:spacing w:before="41" w:line="204" w:lineRule="auto"/>
              <w:rPr/>
            </w:pPr>
            <w:r>
              <w:rPr>
                <w:spacing w:val="7"/>
              </w:rPr>
              <w:t>装卸过程的物料装卸量（</w:t>
            </w:r>
            <w:r>
              <w:rPr>
                <w:rFonts w:ascii="Times New Roman" w:hAnsi="Times New Roman" w:eastAsia="Times New Roman" w:cs="Times New Roman"/>
                <w:spacing w:val="7"/>
              </w:rPr>
              <w:t>t</w:t>
            </w:r>
            <w:r>
              <w:rPr>
                <w:spacing w:val="7"/>
              </w:rPr>
              <w:t>）</w:t>
            </w:r>
          </w:p>
        </w:tc>
        <w:tc>
          <w:tcPr>
            <w:tcW w:w="1767" w:type="dxa"/>
            <w:vAlign w:val="top"/>
          </w:tcPr>
          <w:p>
            <w:pPr>
              <w:ind w:left="786"/>
              <w:spacing w:before="7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13" w:type="dxa"/>
            <w:vAlign w:val="top"/>
          </w:tcPr>
          <w:p>
            <w:pPr>
              <w:ind w:left="709"/>
              <w:spacing w:before="7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14" w:type="dxa"/>
            <w:vAlign w:val="top"/>
          </w:tcPr>
          <w:p>
            <w:pPr>
              <w:ind w:left="560"/>
              <w:spacing w:before="7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68" w:type="dxa"/>
            <w:vAlign w:val="top"/>
            <w:tcBorders>
              <w:right w:val="nil"/>
            </w:tcBorders>
          </w:tcPr>
          <w:p>
            <w:pPr>
              <w:ind w:left="654"/>
              <w:spacing w:before="74"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272" w:hRule="atLeast"/>
        </w:trPr>
        <w:tc>
          <w:tcPr>
            <w:tcW w:w="2848" w:type="dxa"/>
            <w:vAlign w:val="top"/>
            <w:tcBorders>
              <w:left w:val="nil"/>
            </w:tcBorders>
          </w:tcPr>
          <w:p>
            <w:pPr>
              <w:pStyle w:val="TableText"/>
              <w:ind w:left="584"/>
              <w:spacing w:before="47" w:line="198" w:lineRule="auto"/>
              <w:rPr/>
            </w:pPr>
            <w:r>
              <w:rPr>
                <w:spacing w:val="6"/>
              </w:rPr>
              <w:t>料堆表面积（</w:t>
            </w:r>
            <w:r>
              <w:rPr>
                <w:rFonts w:ascii="Times New Roman" w:hAnsi="Times New Roman" w:eastAsia="Times New Roman" w:cs="Times New Roman"/>
                <w:spacing w:val="6"/>
              </w:rPr>
              <w:t>m</w:t>
            </w:r>
            <w:r>
              <w:rPr>
                <w:rFonts w:ascii="Times New Roman" w:hAnsi="Times New Roman" w:eastAsia="Times New Roman" w:cs="Times New Roman"/>
                <w:sz w:val="13"/>
                <w:szCs w:val="13"/>
                <w:spacing w:val="6"/>
                <w:position w:val="6"/>
              </w:rPr>
              <w:t>2</w:t>
            </w:r>
            <w:r>
              <w:rPr>
                <w:spacing w:val="6"/>
              </w:rPr>
              <w:t>）</w:t>
            </w:r>
          </w:p>
        </w:tc>
        <w:tc>
          <w:tcPr>
            <w:tcW w:w="1767" w:type="dxa"/>
            <w:vAlign w:val="top"/>
          </w:tcPr>
          <w:p>
            <w:pPr>
              <w:ind w:left="695"/>
              <w:spacing w:before="83"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1600</w:t>
            </w:r>
          </w:p>
        </w:tc>
        <w:tc>
          <w:tcPr>
            <w:tcW w:w="1613" w:type="dxa"/>
            <w:vAlign w:val="top"/>
          </w:tcPr>
          <w:p>
            <w:pPr>
              <w:ind w:left="597"/>
              <w:spacing w:before="83"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2100</w:t>
            </w:r>
          </w:p>
        </w:tc>
        <w:tc>
          <w:tcPr>
            <w:tcW w:w="1314" w:type="dxa"/>
            <w:vAlign w:val="top"/>
          </w:tcPr>
          <w:p>
            <w:pPr>
              <w:ind w:left="468"/>
              <w:spacing w:before="83"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1400</w:t>
            </w:r>
          </w:p>
        </w:tc>
        <w:tc>
          <w:tcPr>
            <w:tcW w:w="1368" w:type="dxa"/>
            <w:vAlign w:val="top"/>
            <w:tcBorders>
              <w:right w:val="nil"/>
            </w:tcBorders>
          </w:tcPr>
          <w:p>
            <w:pPr>
              <w:ind w:left="496"/>
              <w:spacing w:before="83"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1440</w:t>
            </w:r>
          </w:p>
        </w:tc>
      </w:tr>
      <w:tr>
        <w:trPr>
          <w:trHeight w:val="297" w:hRule="atLeast"/>
        </w:trPr>
        <w:tc>
          <w:tcPr>
            <w:tcW w:w="2848" w:type="dxa"/>
            <w:vAlign w:val="top"/>
            <w:tcBorders>
              <w:left w:val="nil"/>
              <w:bottom w:val="single" w:color="000000" w:sz="10" w:space="0"/>
            </w:tcBorders>
          </w:tcPr>
          <w:p>
            <w:pPr>
              <w:pStyle w:val="TableText"/>
              <w:ind w:left="389"/>
              <w:spacing w:before="51" w:line="217" w:lineRule="auto"/>
              <w:rPr/>
            </w:pPr>
            <w:r>
              <w:rPr>
                <w:spacing w:val="6"/>
              </w:rPr>
              <w:t>颗粒物总排放量（</w:t>
            </w:r>
            <w:r>
              <w:rPr>
                <w:rFonts w:ascii="Times New Roman" w:hAnsi="Times New Roman" w:eastAsia="Times New Roman" w:cs="Times New Roman"/>
                <w:spacing w:val="6"/>
              </w:rPr>
              <w:t>t/a</w:t>
            </w:r>
            <w:r>
              <w:rPr>
                <w:spacing w:val="6"/>
              </w:rPr>
              <w:t>）</w:t>
            </w:r>
          </w:p>
        </w:tc>
        <w:tc>
          <w:tcPr>
            <w:tcW w:w="1767" w:type="dxa"/>
            <w:vAlign w:val="top"/>
            <w:tcBorders>
              <w:bottom w:val="single" w:color="000000" w:sz="10" w:space="0"/>
            </w:tcBorders>
          </w:tcPr>
          <w:p>
            <w:pPr>
              <w:ind w:left="668"/>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1.763</w:t>
            </w:r>
          </w:p>
        </w:tc>
        <w:tc>
          <w:tcPr>
            <w:tcW w:w="1613" w:type="dxa"/>
            <w:vAlign w:val="top"/>
            <w:tcBorders>
              <w:bottom w:val="single" w:color="000000" w:sz="10" w:space="0"/>
            </w:tcBorders>
          </w:tcPr>
          <w:p>
            <w:pPr>
              <w:ind w:left="574"/>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0.630</w:t>
            </w:r>
          </w:p>
        </w:tc>
        <w:tc>
          <w:tcPr>
            <w:tcW w:w="1314" w:type="dxa"/>
            <w:vAlign w:val="top"/>
            <w:tcBorders>
              <w:bottom w:val="single" w:color="000000" w:sz="10" w:space="0"/>
            </w:tcBorders>
          </w:tcPr>
          <w:p>
            <w:pPr>
              <w:ind w:left="425"/>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0.519</w:t>
            </w:r>
          </w:p>
        </w:tc>
        <w:tc>
          <w:tcPr>
            <w:tcW w:w="1368" w:type="dxa"/>
            <w:vAlign w:val="top"/>
            <w:tcBorders>
              <w:right w:val="nil"/>
              <w:bottom w:val="single" w:color="000000" w:sz="10" w:space="0"/>
            </w:tcBorders>
          </w:tcPr>
          <w:p>
            <w:pPr>
              <w:ind w:left="453"/>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0.008</w:t>
            </w:r>
          </w:p>
        </w:tc>
      </w:tr>
    </w:tbl>
    <w:p>
      <w:pPr>
        <w:pStyle w:val="BodyText"/>
        <w:spacing w:line="370" w:lineRule="auto"/>
        <w:rPr/>
      </w:pPr>
      <w:r/>
    </w:p>
    <w:p>
      <w:pPr>
        <w:ind w:left="596"/>
        <w:spacing w:before="78" w:line="222" w:lineRule="auto"/>
        <w:rPr>
          <w:rFonts w:ascii="FangSong" w:hAnsi="FangSong" w:eastAsia="FangSong" w:cs="FangSong"/>
          <w:sz w:val="24"/>
          <w:szCs w:val="24"/>
        </w:rPr>
      </w:pPr>
      <w:r>
        <w:rPr>
          <w:rFonts w:ascii="FangSong" w:hAnsi="FangSong" w:eastAsia="FangSong" w:cs="FangSong"/>
          <w:sz w:val="24"/>
          <w:szCs w:val="24"/>
          <w:spacing w:val="-4"/>
        </w:rPr>
        <w:t>④</w:t>
      </w:r>
      <w:r>
        <w:rPr>
          <w:rFonts w:ascii="FangSong" w:hAnsi="FangSong" w:eastAsia="FangSong" w:cs="FangSong"/>
          <w:sz w:val="24"/>
          <w:szCs w:val="24"/>
          <w:spacing w:val="19"/>
        </w:rPr>
        <w:t xml:space="preserve"> </w:t>
      </w:r>
      <w:r>
        <w:rPr>
          <w:rFonts w:ascii="FangSong" w:hAnsi="FangSong" w:eastAsia="FangSong" w:cs="FangSong"/>
          <w:sz w:val="24"/>
          <w:szCs w:val="24"/>
          <w:spacing w:val="-4"/>
        </w:rPr>
        <w:t>选矿工艺粉尘</w:t>
      </w:r>
    </w:p>
    <w:p>
      <w:pPr>
        <w:ind w:left="124" w:right="30" w:firstLine="480"/>
        <w:spacing w:before="176" w:line="359" w:lineRule="auto"/>
        <w:rPr>
          <w:rFonts w:ascii="FangSong" w:hAnsi="FangSong" w:eastAsia="FangSong" w:cs="FangSong"/>
          <w:sz w:val="24"/>
          <w:szCs w:val="24"/>
        </w:rPr>
      </w:pPr>
      <w:r>
        <w:rPr>
          <w:rFonts w:ascii="FangSong" w:hAnsi="FangSong" w:eastAsia="FangSong" w:cs="FangSong"/>
          <w:sz w:val="24"/>
          <w:szCs w:val="24"/>
          <w:spacing w:val="1"/>
        </w:rPr>
        <w:t>本项目选矿采用湿法选矿，矿工艺流程为粗碎、细碎、筛分、一段磨矿（磨矿</w:t>
      </w:r>
      <w:r>
        <w:rPr>
          <w:rFonts w:ascii="FangSong" w:hAnsi="FangSong" w:eastAsia="FangSong" w:cs="FangSong"/>
          <w:sz w:val="24"/>
          <w:szCs w:val="24"/>
          <w:spacing w:val="-3"/>
        </w:rPr>
        <w:t>细度</w:t>
      </w:r>
      <w:r>
        <w:rPr>
          <w:rFonts w:ascii="Times New Roman" w:hAnsi="Times New Roman" w:eastAsia="Times New Roman" w:cs="Times New Roman"/>
          <w:sz w:val="24"/>
          <w:szCs w:val="24"/>
          <w:spacing w:val="-3"/>
        </w:rPr>
        <w:t>-200</w:t>
      </w:r>
      <w:r>
        <w:rPr>
          <w:rFonts w:ascii="Times New Roman" w:hAnsi="Times New Roman" w:eastAsia="Times New Roman" w:cs="Times New Roman"/>
          <w:sz w:val="24"/>
          <w:szCs w:val="24"/>
          <w:spacing w:val="58"/>
        </w:rPr>
        <w:t xml:space="preserve"> </w:t>
      </w:r>
      <w:r>
        <w:rPr>
          <w:rFonts w:ascii="FangSong" w:hAnsi="FangSong" w:eastAsia="FangSong" w:cs="FangSong"/>
          <w:sz w:val="24"/>
          <w:szCs w:val="24"/>
          <w:spacing w:val="-3"/>
        </w:rPr>
        <w:t>目</w:t>
      </w:r>
      <w:r>
        <w:rPr>
          <w:rFonts w:ascii="FangSong" w:hAnsi="FangSong" w:eastAsia="FangSong" w:cs="FangSong"/>
          <w:sz w:val="24"/>
          <w:szCs w:val="24"/>
          <w:spacing w:val="-63"/>
        </w:rPr>
        <w:t xml:space="preserve"> </w:t>
      </w:r>
      <w:r>
        <w:rPr>
          <w:rFonts w:ascii="FangSong" w:hAnsi="FangSong" w:eastAsia="FangSong" w:cs="FangSong"/>
          <w:sz w:val="24"/>
          <w:szCs w:val="24"/>
          <w:spacing w:val="-3"/>
        </w:rPr>
        <w:t>占</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75%</w:t>
      </w:r>
      <w:r>
        <w:rPr>
          <w:rFonts w:ascii="FangSong" w:hAnsi="FangSong" w:eastAsia="FangSong" w:cs="FangSong"/>
          <w:sz w:val="24"/>
          <w:szCs w:val="24"/>
          <w:spacing w:val="-3"/>
        </w:rPr>
        <w:t>）、一次粗选、二次扫选、七次精选、</w:t>
      </w:r>
      <w:r>
        <w:rPr>
          <w:rFonts w:ascii="FangSong" w:hAnsi="FangSong" w:eastAsia="FangSong" w:cs="FangSong"/>
          <w:sz w:val="24"/>
          <w:szCs w:val="24"/>
          <w:spacing w:val="-4"/>
        </w:rPr>
        <w:t>过滤脱水，根据选矿工艺</w:t>
      </w:r>
      <w:r>
        <w:rPr>
          <w:rFonts w:ascii="FangSong" w:hAnsi="FangSong" w:eastAsia="FangSong" w:cs="FangSong"/>
          <w:sz w:val="24"/>
          <w:szCs w:val="24"/>
          <w:spacing w:val="-3"/>
        </w:rPr>
        <w:t>流程可知，本项目采用湿法选矿工艺，在磨矿、浮</w:t>
      </w:r>
      <w:r>
        <w:rPr>
          <w:rFonts w:ascii="FangSong" w:hAnsi="FangSong" w:eastAsia="FangSong" w:cs="FangSong"/>
          <w:sz w:val="24"/>
          <w:szCs w:val="24"/>
          <w:spacing w:val="-4"/>
        </w:rPr>
        <w:t>选过程需要加入大量水，故磨矿、</w:t>
      </w:r>
    </w:p>
    <w:p>
      <w:pPr>
        <w:spacing w:line="359" w:lineRule="auto"/>
        <w:sectPr>
          <w:footerReference w:type="default" r:id="rId184"/>
          <w:pgSz w:w="11911" w:h="16839"/>
          <w:pgMar w:top="400" w:right="1310" w:bottom="1146" w:left="1689" w:header="0" w:footer="984" w:gutter="0"/>
        </w:sectPr>
        <w:rPr>
          <w:rFonts w:ascii="FangSong" w:hAnsi="FangSong" w:eastAsia="FangSong" w:cs="FangSong"/>
          <w:sz w:val="24"/>
          <w:szCs w:val="24"/>
        </w:rPr>
      </w:pP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7" w:firstLine="1"/>
        <w:spacing w:before="78" w:line="359" w:lineRule="auto"/>
        <w:jc w:val="both"/>
        <w:rPr>
          <w:rFonts w:ascii="FangSong" w:hAnsi="FangSong" w:eastAsia="FangSong" w:cs="FangSong"/>
          <w:sz w:val="24"/>
          <w:szCs w:val="24"/>
        </w:rPr>
      </w:pPr>
      <w:r>
        <w:rPr>
          <w:rFonts w:ascii="FangSong" w:hAnsi="FangSong" w:eastAsia="FangSong" w:cs="FangSong"/>
          <w:sz w:val="24"/>
          <w:szCs w:val="24"/>
          <w:spacing w:val="-3"/>
        </w:rPr>
        <w:t>浮选、脱水等过程基本无粉尘产生；而矿工艺</w:t>
      </w:r>
      <w:r>
        <w:rPr>
          <w:rFonts w:ascii="FangSong" w:hAnsi="FangSong" w:eastAsia="FangSong" w:cs="FangSong"/>
          <w:sz w:val="24"/>
          <w:szCs w:val="24"/>
          <w:spacing w:val="-4"/>
        </w:rPr>
        <w:t>粉尘主要来源于粗碎车间、细碎车间、</w:t>
      </w:r>
      <w:r>
        <w:rPr>
          <w:rFonts w:ascii="FangSong" w:hAnsi="FangSong" w:eastAsia="FangSong" w:cs="FangSong"/>
          <w:sz w:val="24"/>
          <w:szCs w:val="24"/>
          <w:spacing w:val="1"/>
        </w:rPr>
        <w:t>筛分车间及粉料仓进行物料运输、破碎、筛分等过程产生的。破碎及筛分工段的生</w:t>
      </w:r>
      <w:r>
        <w:rPr>
          <w:rFonts w:ascii="FangSong" w:hAnsi="FangSong" w:eastAsia="FangSong" w:cs="FangSong"/>
          <w:sz w:val="24"/>
          <w:szCs w:val="24"/>
          <w:spacing w:val="1"/>
        </w:rPr>
        <w:t>产设备、粉料仓以及物料运输的皮带廊道进行全封闭建设，并在废气产生处分别设</w:t>
      </w:r>
      <w:r>
        <w:rPr>
          <w:rFonts w:ascii="FangSong" w:hAnsi="FangSong" w:eastAsia="FangSong" w:cs="FangSong"/>
          <w:sz w:val="24"/>
          <w:szCs w:val="24"/>
          <w:spacing w:val="-1"/>
        </w:rPr>
        <w:t>置集气罩，将废气收集后分别通过布袋除尘器处理后经排气筒排放。</w:t>
      </w:r>
    </w:p>
    <w:p>
      <w:pPr>
        <w:ind w:left="492"/>
        <w:spacing w:before="2" w:line="219" w:lineRule="auto"/>
        <w:rPr>
          <w:rFonts w:ascii="FangSong" w:hAnsi="FangSong" w:eastAsia="FangSong" w:cs="FangSong"/>
          <w:sz w:val="24"/>
          <w:szCs w:val="24"/>
        </w:rPr>
      </w:pPr>
      <w:r>
        <w:rPr>
          <w:rFonts w:ascii="Times New Roman" w:hAnsi="Times New Roman" w:eastAsia="Times New Roman" w:cs="Times New Roman"/>
          <w:sz w:val="24"/>
          <w:szCs w:val="24"/>
          <w:spacing w:val="-6"/>
        </w:rPr>
        <w: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、粗碎车间</w:t>
      </w:r>
    </w:p>
    <w:p>
      <w:pPr>
        <w:ind w:left="15" w:right="11" w:firstLine="491"/>
        <w:spacing w:before="182" w:line="359" w:lineRule="auto"/>
        <w:rPr>
          <w:rFonts w:ascii="FangSong" w:hAnsi="FangSong" w:eastAsia="FangSong" w:cs="FangSong"/>
          <w:sz w:val="24"/>
          <w:szCs w:val="24"/>
        </w:rPr>
      </w:pPr>
      <w:r>
        <w:rPr>
          <w:rFonts w:ascii="FangSong" w:hAnsi="FangSong" w:eastAsia="FangSong" w:cs="FangSong"/>
          <w:sz w:val="24"/>
          <w:szCs w:val="24"/>
          <w:spacing w:val="1"/>
        </w:rPr>
        <w:t>本项目粗碎车间产生粉尘的主要工序为矿石上料、卸料等物料转运工序以及矿</w:t>
      </w:r>
      <w:r>
        <w:rPr>
          <w:rFonts w:ascii="FangSong" w:hAnsi="FangSong" w:eastAsia="FangSong" w:cs="FangSong"/>
          <w:sz w:val="24"/>
          <w:szCs w:val="24"/>
        </w:rPr>
        <w:t>石粗碎工序，其中矿石粗碎产生的粉尘参照《逸散性工业粉尘控制技术》</w:t>
      </w:r>
      <w:r>
        <w:rPr>
          <w:rFonts w:ascii="FangSong" w:hAnsi="FangSong" w:eastAsia="FangSong" w:cs="FangSong"/>
          <w:sz w:val="24"/>
          <w:szCs w:val="24"/>
          <w:spacing w:val="-71"/>
        </w:rPr>
        <w:t xml:space="preserve"> </w:t>
      </w:r>
      <w:r>
        <w:rPr>
          <w:rFonts w:ascii="FangSong" w:hAnsi="FangSong" w:eastAsia="FangSong" w:cs="FangSong"/>
          <w:sz w:val="24"/>
          <w:szCs w:val="24"/>
        </w:rPr>
        <w:t>中的破碎</w:t>
      </w:r>
      <w:r>
        <w:rPr>
          <w:rFonts w:ascii="FangSong" w:hAnsi="FangSong" w:eastAsia="FangSong" w:cs="FangSong"/>
          <w:sz w:val="24"/>
          <w:szCs w:val="24"/>
          <w:spacing w:val="-2"/>
        </w:rPr>
        <w:t>工序破碎粉尘产生系数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0.25kg/t</w:t>
      </w:r>
      <w:r>
        <w:rPr>
          <w:rFonts w:ascii="FangSong" w:hAnsi="FangSong" w:eastAsia="FangSong" w:cs="FangSong"/>
          <w:sz w:val="24"/>
          <w:szCs w:val="24"/>
          <w:spacing w:val="-2"/>
        </w:rPr>
        <w:t>（碎料</w:t>
      </w:r>
      <w:r>
        <w:rPr>
          <w:rFonts w:ascii="FangSong" w:hAnsi="FangSong" w:eastAsia="FangSong" w:cs="FangSong"/>
          <w:sz w:val="24"/>
          <w:szCs w:val="24"/>
          <w:spacing w:val="-8"/>
        </w:rPr>
        <w:t>）；</w:t>
      </w:r>
      <w:r>
        <w:rPr>
          <w:rFonts w:ascii="FangSong" w:hAnsi="FangSong" w:eastAsia="FangSong" w:cs="FangSong"/>
          <w:sz w:val="24"/>
          <w:szCs w:val="24"/>
          <w:spacing w:val="-2"/>
        </w:rPr>
        <w:t>矿石物料转运工序产生的粉尘参照《逸散</w:t>
      </w:r>
      <w:r>
        <w:rPr>
          <w:rFonts w:ascii="FangSong" w:hAnsi="FangSong" w:eastAsia="FangSong" w:cs="FangSong"/>
          <w:sz w:val="24"/>
          <w:szCs w:val="24"/>
          <w:spacing w:val="-6"/>
        </w:rPr>
        <w:t>性工业粉尘控制技术》《逸散性工业粉尘控制技术》“第十八章粒料加工厂</w:t>
      </w:r>
      <w:r>
        <w:rPr>
          <w:rFonts w:ascii="FangSong" w:hAnsi="FangSong" w:eastAsia="FangSong" w:cs="FangSong"/>
          <w:sz w:val="24"/>
          <w:szCs w:val="24"/>
          <w:spacing w:val="-89"/>
        </w:rPr>
        <w:t xml:space="preserve"> </w:t>
      </w:r>
      <w:r>
        <w:rPr>
          <w:rFonts w:ascii="FangSong" w:hAnsi="FangSong" w:eastAsia="FangSong" w:cs="FangSong"/>
          <w:sz w:val="24"/>
          <w:szCs w:val="24"/>
          <w:spacing w:val="-6"/>
        </w:rPr>
        <w:t>”中“逸</w:t>
      </w:r>
      <w:r>
        <w:rPr>
          <w:rFonts w:ascii="FangSong" w:hAnsi="FangSong" w:eastAsia="FangSong" w:cs="FangSong"/>
          <w:sz w:val="24"/>
          <w:szCs w:val="24"/>
          <w:spacing w:val="5"/>
        </w:rPr>
        <w:t>散尘排放因子</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碎石</w:t>
      </w:r>
      <w:r>
        <w:rPr>
          <w:rFonts w:ascii="FangSong" w:hAnsi="FangSong" w:eastAsia="FangSong" w:cs="FangSong"/>
          <w:sz w:val="24"/>
          <w:szCs w:val="24"/>
          <w:spacing w:val="-83"/>
        </w:rPr>
        <w:t xml:space="preserve"> </w:t>
      </w:r>
      <w:r>
        <w:rPr>
          <w:rFonts w:ascii="FangSong" w:hAnsi="FangSong" w:eastAsia="FangSong" w:cs="FangSong"/>
          <w:sz w:val="24"/>
          <w:szCs w:val="24"/>
          <w:spacing w:val="5"/>
        </w:rPr>
        <w:t>”在无控制措施情况下颗粒的上料、卸料过</w:t>
      </w:r>
      <w:r>
        <w:rPr>
          <w:rFonts w:ascii="FangSong" w:hAnsi="FangSong" w:eastAsia="FangSong" w:cs="FangSong"/>
          <w:sz w:val="24"/>
          <w:szCs w:val="24"/>
          <w:spacing w:val="4"/>
        </w:rPr>
        <w:t>程粉尘产生系数为</w:t>
      </w:r>
      <w:r>
        <w:rPr>
          <w:rFonts w:ascii="Times New Roman" w:hAnsi="Times New Roman" w:eastAsia="Times New Roman" w:cs="Times New Roman"/>
          <w:sz w:val="24"/>
          <w:szCs w:val="24"/>
          <w:spacing w:val="-8"/>
        </w:rPr>
        <w:t>0.0207kg/t</w:t>
      </w:r>
      <w:r>
        <w:rPr>
          <w:rFonts w:ascii="FangSong" w:hAnsi="FangSong" w:eastAsia="FangSong" w:cs="FangSong"/>
          <w:sz w:val="24"/>
          <w:szCs w:val="24"/>
          <w:spacing w:val="-8"/>
        </w:rPr>
        <w:t>（矿石料）。本项目粗碎车间破碎萤石原矿总量为</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8"/>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8"/>
        </w:rPr>
        <w:t>t/a</w:t>
      </w:r>
      <w:r>
        <w:rPr>
          <w:rFonts w:ascii="FangSong" w:hAnsi="FangSong" w:eastAsia="FangSong" w:cs="FangSong"/>
          <w:sz w:val="24"/>
          <w:szCs w:val="24"/>
          <w:spacing w:val="-8"/>
        </w:rPr>
        <w:t>，年工作</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4800h</w:t>
      </w:r>
      <w:r>
        <w:rPr>
          <w:rFonts w:ascii="FangSong" w:hAnsi="FangSong" w:eastAsia="FangSong" w:cs="FangSong"/>
          <w:sz w:val="24"/>
          <w:szCs w:val="24"/>
          <w:spacing w:val="-8"/>
        </w:rPr>
        <w:t>，</w:t>
      </w:r>
      <w:r>
        <w:rPr>
          <w:rFonts w:ascii="FangSong" w:hAnsi="FangSong" w:eastAsia="FangSong" w:cs="FangSong"/>
          <w:sz w:val="24"/>
          <w:szCs w:val="24"/>
          <w:spacing w:val="2"/>
        </w:rPr>
        <w:t>由表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3.5-2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可知萤石原矿</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CaF</w:t>
      </w:r>
      <w:r>
        <w:rPr>
          <w:rFonts w:ascii="Times New Roman" w:hAnsi="Times New Roman" w:eastAsia="Times New Roman" w:cs="Times New Roman"/>
          <w:sz w:val="15"/>
          <w:szCs w:val="15"/>
          <w:spacing w:val="2"/>
          <w:position w:val="-1"/>
        </w:rPr>
        <w:t>2  </w:t>
      </w:r>
      <w:r>
        <w:rPr>
          <w:rFonts w:ascii="FangSong" w:hAnsi="FangSong" w:eastAsia="FangSong" w:cs="FangSong"/>
          <w:sz w:val="24"/>
          <w:szCs w:val="24"/>
          <w:spacing w:val="2"/>
        </w:rPr>
        <w:t>品位为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40.70</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。故本项目粗碎车间产生粉尘总量为</w:t>
      </w:r>
      <w:r>
        <w:rPr>
          <w:rFonts w:ascii="Times New Roman" w:hAnsi="Times New Roman" w:eastAsia="Times New Roman" w:cs="Times New Roman"/>
          <w:sz w:val="24"/>
          <w:szCs w:val="24"/>
          <w:spacing w:val="-3"/>
        </w:rPr>
        <w:t>27.070t/a</w:t>
      </w:r>
      <w:r>
        <w:rPr>
          <w:rFonts w:ascii="FangSong" w:hAnsi="FangSong" w:eastAsia="FangSong" w:cs="FangSong"/>
          <w:sz w:val="24"/>
          <w:szCs w:val="24"/>
          <w:spacing w:val="-3"/>
        </w:rPr>
        <w:t>，其中氟化物为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11.01</w:t>
      </w:r>
      <w:r>
        <w:rPr>
          <w:rFonts w:ascii="Times New Roman" w:hAnsi="Times New Roman" w:eastAsia="Times New Roman" w:cs="Times New Roman"/>
          <w:sz w:val="24"/>
          <w:szCs w:val="24"/>
          <w:spacing w:val="-4"/>
        </w:rPr>
        <w:t>7t/a</w:t>
      </w:r>
      <w:r>
        <w:rPr>
          <w:rFonts w:ascii="FangSong" w:hAnsi="FangSong" w:eastAsia="FangSong" w:cs="FangSong"/>
          <w:sz w:val="24"/>
          <w:szCs w:val="24"/>
          <w:spacing w:val="-4"/>
        </w:rPr>
        <w:t>、粉尘颗粒物</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16.053t/a</w:t>
      </w:r>
      <w:r>
        <w:rPr>
          <w:rFonts w:ascii="FangSong" w:hAnsi="FangSong" w:eastAsia="FangSong" w:cs="FangSong"/>
          <w:sz w:val="24"/>
          <w:szCs w:val="24"/>
          <w:spacing w:val="-4"/>
        </w:rPr>
        <w:t>。产生的粉尘由集气罩集气</w:t>
      </w:r>
      <w:r>
        <w:rPr>
          <w:rFonts w:ascii="FangSong" w:hAnsi="FangSong" w:eastAsia="FangSong" w:cs="FangSong"/>
          <w:sz w:val="24"/>
          <w:szCs w:val="24"/>
        </w:rPr>
        <w:t>（集气效率为</w:t>
      </w:r>
      <w:r>
        <w:rPr>
          <w:rFonts w:ascii="Times New Roman" w:hAnsi="Times New Roman" w:eastAsia="Times New Roman" w:cs="Times New Roman"/>
          <w:sz w:val="24"/>
          <w:szCs w:val="24"/>
        </w:rPr>
        <w:t>90%</w:t>
      </w:r>
      <w:r>
        <w:rPr>
          <w:rFonts w:ascii="FangSong" w:hAnsi="FangSong" w:eastAsia="FangSong" w:cs="FangSong"/>
          <w:sz w:val="24"/>
          <w:szCs w:val="24"/>
          <w:spacing w:val="-11"/>
        </w:rPr>
        <w:t>），</w:t>
      </w:r>
      <w:r>
        <w:rPr>
          <w:rFonts w:ascii="FangSong" w:hAnsi="FangSong" w:eastAsia="FangSong" w:cs="FangSong"/>
          <w:sz w:val="24"/>
          <w:szCs w:val="24"/>
        </w:rPr>
        <w:t>经风量为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5500m</w:t>
      </w:r>
      <w:r>
        <w:rPr>
          <w:rFonts w:ascii="Times New Roman" w:hAnsi="Times New Roman" w:eastAsia="Times New Roman" w:cs="Times New Roman"/>
          <w:sz w:val="15"/>
          <w:szCs w:val="15"/>
          <w:position w:val="8"/>
        </w:rPr>
        <w:t>3</w:t>
      </w:r>
      <w:r>
        <w:rPr>
          <w:rFonts w:ascii="Times New Roman" w:hAnsi="Times New Roman" w:eastAsia="Times New Roman" w:cs="Times New Roman"/>
          <w:sz w:val="24"/>
          <w:szCs w:val="24"/>
          <w:spacing w:val="-1"/>
        </w:rPr>
        <w:t>/h</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1"/>
        </w:rPr>
        <w:t>的风机沿通风管道引至布袋除尘器（除尘</w:t>
      </w:r>
      <w:r>
        <w:rPr>
          <w:rFonts w:ascii="FangSong" w:hAnsi="FangSong" w:eastAsia="FangSong" w:cs="FangSong"/>
          <w:sz w:val="24"/>
          <w:szCs w:val="24"/>
          <w:spacing w:val="1"/>
        </w:rPr>
        <w:t>效率为</w:t>
      </w:r>
      <w:r>
        <w:rPr>
          <w:rFonts w:ascii="Times New Roman" w:hAnsi="Times New Roman" w:eastAsia="Times New Roman" w:cs="Times New Roman"/>
          <w:sz w:val="24"/>
          <w:szCs w:val="24"/>
          <w:spacing w:val="1"/>
        </w:rPr>
        <w:t>98%</w:t>
      </w:r>
      <w:r>
        <w:rPr>
          <w:rFonts w:ascii="FangSong" w:hAnsi="FangSong" w:eastAsia="FangSong" w:cs="FangSong"/>
          <w:sz w:val="24"/>
          <w:szCs w:val="24"/>
          <w:spacing w:val="1"/>
        </w:rPr>
        <w:t>）处理后，由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高排气筒排放；未经收集的粉尘经过密闭厂房</w:t>
      </w:r>
      <w:r>
        <w:rPr>
          <w:rFonts w:ascii="FangSong" w:hAnsi="FangSong" w:eastAsia="FangSong" w:cs="FangSong"/>
          <w:sz w:val="24"/>
          <w:szCs w:val="24"/>
        </w:rPr>
        <w:t>封闭、</w:t>
      </w:r>
      <w:r>
        <w:rPr>
          <w:rFonts w:ascii="FangSong" w:hAnsi="FangSong" w:eastAsia="FangSong" w:cs="FangSong"/>
          <w:sz w:val="24"/>
          <w:szCs w:val="24"/>
          <w:spacing w:val="-1"/>
        </w:rPr>
        <w:t>大气沉降后通过通风口无组织逸散。</w:t>
      </w:r>
    </w:p>
    <w:p>
      <w:pPr>
        <w:ind w:left="19" w:right="74" w:firstLine="490"/>
        <w:spacing w:before="4" w:line="355" w:lineRule="auto"/>
        <w:jc w:val="both"/>
        <w:rPr>
          <w:rFonts w:ascii="FangSong" w:hAnsi="FangSong" w:eastAsia="FangSong" w:cs="FangSong"/>
          <w:sz w:val="24"/>
          <w:szCs w:val="24"/>
        </w:rPr>
      </w:pPr>
      <w:r>
        <w:rPr>
          <w:rFonts w:ascii="FangSong" w:hAnsi="FangSong" w:eastAsia="FangSong" w:cs="FangSong"/>
          <w:sz w:val="24"/>
          <w:szCs w:val="24"/>
          <w:spacing w:val="5"/>
        </w:rPr>
        <w:t>综上所述本项目粗碎车间有组织氟化物排放浓度为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5"/>
        </w:rPr>
        <w:t>7.512</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5"/>
        </w:rPr>
        <w:t>/m</w:t>
      </w:r>
      <w:r>
        <w:rPr>
          <w:rFonts w:ascii="Times New Roman" w:hAnsi="Times New Roman" w:eastAsia="Times New Roman" w:cs="Times New Roman"/>
          <w:sz w:val="15"/>
          <w:szCs w:val="15"/>
          <w:spacing w:val="5"/>
          <w:position w:val="7"/>
        </w:rPr>
        <w:t>3 </w:t>
      </w:r>
      <w:r>
        <w:rPr>
          <w:rFonts w:ascii="FangSong" w:hAnsi="FangSong" w:eastAsia="FangSong" w:cs="FangSong"/>
          <w:sz w:val="24"/>
          <w:szCs w:val="24"/>
          <w:spacing w:val="5"/>
        </w:rPr>
        <w:t>，排放速率为</w:t>
      </w:r>
      <w:r>
        <w:rPr>
          <w:rFonts w:ascii="Times New Roman" w:hAnsi="Times New Roman" w:eastAsia="Times New Roman" w:cs="Times New Roman"/>
          <w:sz w:val="24"/>
          <w:szCs w:val="24"/>
          <w:spacing w:val="-2"/>
        </w:rPr>
        <w:t>0.041kg/h</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198t/a</w:t>
      </w:r>
      <w:r>
        <w:rPr>
          <w:rFonts w:ascii="FangSong" w:hAnsi="FangSong" w:eastAsia="FangSong" w:cs="FangSong"/>
          <w:sz w:val="24"/>
          <w:szCs w:val="24"/>
          <w:spacing w:val="-2"/>
        </w:rPr>
        <w:t>；有组织粉</w:t>
      </w:r>
      <w:r>
        <w:rPr>
          <w:rFonts w:ascii="FangSong" w:hAnsi="FangSong" w:eastAsia="FangSong" w:cs="FangSong"/>
          <w:sz w:val="24"/>
          <w:szCs w:val="24"/>
          <w:spacing w:val="-3"/>
        </w:rPr>
        <w:t>尘颗粒物排放浓度为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10.945mg/m</w:t>
      </w:r>
      <w:r>
        <w:rPr>
          <w:rFonts w:ascii="Times New Roman" w:hAnsi="Times New Roman" w:eastAsia="Times New Roman" w:cs="Times New Roman"/>
          <w:sz w:val="15"/>
          <w:szCs w:val="15"/>
          <w:spacing w:val="-3"/>
          <w:position w:val="7"/>
        </w:rPr>
        <w:t>3 </w:t>
      </w:r>
      <w:r>
        <w:rPr>
          <w:rFonts w:ascii="FangSong" w:hAnsi="FangSong" w:eastAsia="FangSong" w:cs="FangSong"/>
          <w:sz w:val="24"/>
          <w:szCs w:val="24"/>
          <w:spacing w:val="-3"/>
        </w:rPr>
        <w:t>，排放速</w:t>
      </w:r>
      <w:r>
        <w:rPr>
          <w:rFonts w:ascii="FangSong" w:hAnsi="FangSong" w:eastAsia="FangSong" w:cs="FangSong"/>
          <w:sz w:val="24"/>
          <w:szCs w:val="24"/>
          <w:spacing w:val="-2"/>
        </w:rPr>
        <w:t>率为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0.060kg/h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0.289t/a</w:t>
      </w:r>
      <w:r>
        <w:rPr>
          <w:rFonts w:ascii="FangSong" w:hAnsi="FangSong" w:eastAsia="FangSong" w:cs="FangSong"/>
          <w:sz w:val="24"/>
          <w:szCs w:val="24"/>
          <w:spacing w:val="-2"/>
        </w:rPr>
        <w:t>；无组织氟化物排放量为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0.3</w:t>
      </w:r>
      <w:r>
        <w:rPr>
          <w:rFonts w:ascii="Times New Roman" w:hAnsi="Times New Roman" w:eastAsia="Times New Roman" w:cs="Times New Roman"/>
          <w:sz w:val="24"/>
          <w:szCs w:val="24"/>
          <w:spacing w:val="-3"/>
        </w:rPr>
        <w:t>86t/a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，无组织粉尘颗</w:t>
      </w:r>
      <w:r>
        <w:rPr>
          <w:rFonts w:ascii="FangSong" w:hAnsi="FangSong" w:eastAsia="FangSong" w:cs="FangSong"/>
          <w:sz w:val="24"/>
          <w:szCs w:val="24"/>
          <w:spacing w:val="-2"/>
        </w:rPr>
        <w:t>粒物排放量为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0.562t/a</w:t>
      </w:r>
      <w:r>
        <w:rPr>
          <w:rFonts w:ascii="FangSong" w:hAnsi="FangSong" w:eastAsia="FangSong" w:cs="FangSong"/>
          <w:sz w:val="24"/>
          <w:szCs w:val="24"/>
          <w:spacing w:val="-2"/>
        </w:rPr>
        <w:t>。</w:t>
      </w:r>
    </w:p>
    <w:p>
      <w:pPr>
        <w:ind w:left="495"/>
        <w:spacing w:before="17" w:line="219" w:lineRule="auto"/>
        <w:rPr>
          <w:rFonts w:ascii="FangSong" w:hAnsi="FangSong" w:eastAsia="FangSong" w:cs="FangSong"/>
          <w:sz w:val="24"/>
          <w:szCs w:val="24"/>
        </w:rPr>
      </w:pPr>
      <w:r>
        <w:rPr>
          <w:rFonts w:ascii="Times New Roman" w:hAnsi="Times New Roman" w:eastAsia="Times New Roman" w:cs="Times New Roman"/>
          <w:sz w:val="24"/>
          <w:szCs w:val="24"/>
          <w:spacing w:val="-7"/>
        </w:rPr>
        <w:t>B</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、细碎车间</w:t>
      </w:r>
    </w:p>
    <w:p>
      <w:pPr>
        <w:ind w:left="15" w:right="11" w:firstLine="491"/>
        <w:spacing w:before="178" w:line="359" w:lineRule="auto"/>
        <w:rPr>
          <w:rFonts w:ascii="FangSong" w:hAnsi="FangSong" w:eastAsia="FangSong" w:cs="FangSong"/>
          <w:sz w:val="24"/>
          <w:szCs w:val="24"/>
        </w:rPr>
      </w:pPr>
      <w:r>
        <w:rPr>
          <w:rFonts w:ascii="FangSong" w:hAnsi="FangSong" w:eastAsia="FangSong" w:cs="FangSong"/>
          <w:sz w:val="24"/>
          <w:szCs w:val="24"/>
          <w:spacing w:val="1"/>
        </w:rPr>
        <w:t>本项目细碎车间产生粉尘的主要工序为矿石上料、卸料等物料转运工序以及矿</w:t>
      </w:r>
      <w:r>
        <w:rPr>
          <w:rFonts w:ascii="FangSong" w:hAnsi="FangSong" w:eastAsia="FangSong" w:cs="FangSong"/>
          <w:sz w:val="24"/>
          <w:szCs w:val="24"/>
        </w:rPr>
        <w:t>石细碎工序，其中矿石细碎产生的粉尘参照《逸散性工业粉尘控制技术》</w:t>
      </w:r>
      <w:r>
        <w:rPr>
          <w:rFonts w:ascii="FangSong" w:hAnsi="FangSong" w:eastAsia="FangSong" w:cs="FangSong"/>
          <w:sz w:val="24"/>
          <w:szCs w:val="24"/>
          <w:spacing w:val="-71"/>
        </w:rPr>
        <w:t xml:space="preserve"> </w:t>
      </w:r>
      <w:r>
        <w:rPr>
          <w:rFonts w:ascii="FangSong" w:hAnsi="FangSong" w:eastAsia="FangSong" w:cs="FangSong"/>
          <w:sz w:val="24"/>
          <w:szCs w:val="24"/>
        </w:rPr>
        <w:t>中的破碎</w:t>
      </w:r>
      <w:r>
        <w:rPr>
          <w:rFonts w:ascii="FangSong" w:hAnsi="FangSong" w:eastAsia="FangSong" w:cs="FangSong"/>
          <w:sz w:val="24"/>
          <w:szCs w:val="24"/>
          <w:spacing w:val="-2"/>
        </w:rPr>
        <w:t>工序破碎粉尘产生系数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0.25kg/t</w:t>
      </w:r>
      <w:r>
        <w:rPr>
          <w:rFonts w:ascii="FangSong" w:hAnsi="FangSong" w:eastAsia="FangSong" w:cs="FangSong"/>
          <w:sz w:val="24"/>
          <w:szCs w:val="24"/>
          <w:spacing w:val="-2"/>
        </w:rPr>
        <w:t>（碎料</w:t>
      </w:r>
      <w:r>
        <w:rPr>
          <w:rFonts w:ascii="FangSong" w:hAnsi="FangSong" w:eastAsia="FangSong" w:cs="FangSong"/>
          <w:sz w:val="24"/>
          <w:szCs w:val="24"/>
          <w:spacing w:val="-8"/>
        </w:rPr>
        <w:t>）；</w:t>
      </w:r>
      <w:r>
        <w:rPr>
          <w:rFonts w:ascii="FangSong" w:hAnsi="FangSong" w:eastAsia="FangSong" w:cs="FangSong"/>
          <w:sz w:val="24"/>
          <w:szCs w:val="24"/>
          <w:spacing w:val="-2"/>
        </w:rPr>
        <w:t>矿石物料转运工序产生的粉尘参照《逸散</w:t>
      </w:r>
      <w:r>
        <w:rPr>
          <w:rFonts w:ascii="FangSong" w:hAnsi="FangSong" w:eastAsia="FangSong" w:cs="FangSong"/>
          <w:sz w:val="24"/>
          <w:szCs w:val="24"/>
          <w:spacing w:val="-6"/>
        </w:rPr>
        <w:t>性工业粉尘控制技术》《逸散性工业粉尘控制技术》“第十八章粒料加工厂</w:t>
      </w:r>
      <w:r>
        <w:rPr>
          <w:rFonts w:ascii="FangSong" w:hAnsi="FangSong" w:eastAsia="FangSong" w:cs="FangSong"/>
          <w:sz w:val="24"/>
          <w:szCs w:val="24"/>
          <w:spacing w:val="-89"/>
        </w:rPr>
        <w:t xml:space="preserve"> </w:t>
      </w:r>
      <w:r>
        <w:rPr>
          <w:rFonts w:ascii="FangSong" w:hAnsi="FangSong" w:eastAsia="FangSong" w:cs="FangSong"/>
          <w:sz w:val="24"/>
          <w:szCs w:val="24"/>
          <w:spacing w:val="-6"/>
        </w:rPr>
        <w:t>”中“逸</w:t>
      </w:r>
      <w:r>
        <w:rPr>
          <w:rFonts w:ascii="FangSong" w:hAnsi="FangSong" w:eastAsia="FangSong" w:cs="FangSong"/>
          <w:sz w:val="24"/>
          <w:szCs w:val="24"/>
          <w:spacing w:val="5"/>
        </w:rPr>
        <w:t>散尘排放因子</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碎石</w:t>
      </w:r>
      <w:r>
        <w:rPr>
          <w:rFonts w:ascii="FangSong" w:hAnsi="FangSong" w:eastAsia="FangSong" w:cs="FangSong"/>
          <w:sz w:val="24"/>
          <w:szCs w:val="24"/>
          <w:spacing w:val="-83"/>
        </w:rPr>
        <w:t xml:space="preserve"> </w:t>
      </w:r>
      <w:r>
        <w:rPr>
          <w:rFonts w:ascii="FangSong" w:hAnsi="FangSong" w:eastAsia="FangSong" w:cs="FangSong"/>
          <w:sz w:val="24"/>
          <w:szCs w:val="24"/>
          <w:spacing w:val="5"/>
        </w:rPr>
        <w:t>”在无控制措施情况下颗粒的上料、卸料过</w:t>
      </w:r>
      <w:r>
        <w:rPr>
          <w:rFonts w:ascii="FangSong" w:hAnsi="FangSong" w:eastAsia="FangSong" w:cs="FangSong"/>
          <w:sz w:val="24"/>
          <w:szCs w:val="24"/>
          <w:spacing w:val="4"/>
        </w:rPr>
        <w:t>程粉尘产生系数为</w:t>
      </w:r>
      <w:r>
        <w:rPr>
          <w:rFonts w:ascii="Times New Roman" w:hAnsi="Times New Roman" w:eastAsia="Times New Roman" w:cs="Times New Roman"/>
          <w:sz w:val="24"/>
          <w:szCs w:val="24"/>
          <w:spacing w:val="-3"/>
        </w:rPr>
        <w:t>0.0207kg/t</w:t>
      </w:r>
      <w:r>
        <w:rPr>
          <w:rFonts w:ascii="FangSong" w:hAnsi="FangSong" w:eastAsia="FangSong" w:cs="FangSong"/>
          <w:sz w:val="24"/>
          <w:szCs w:val="24"/>
          <w:spacing w:val="-3"/>
        </w:rPr>
        <w:t>（矿石料）。本项目细碎车间破</w:t>
      </w:r>
      <w:r>
        <w:rPr>
          <w:rFonts w:ascii="FangSong" w:hAnsi="FangSong" w:eastAsia="FangSong" w:cs="FangSong"/>
          <w:sz w:val="24"/>
          <w:szCs w:val="24"/>
          <w:spacing w:val="-4"/>
        </w:rPr>
        <w:t>碎萤石矿总量为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，年工作</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4800h</w:t>
      </w:r>
      <w:r>
        <w:rPr>
          <w:rFonts w:ascii="FangSong" w:hAnsi="FangSong" w:eastAsia="FangSong" w:cs="FangSong"/>
          <w:sz w:val="24"/>
          <w:szCs w:val="24"/>
          <w:spacing w:val="-4"/>
        </w:rPr>
        <w:t>，</w:t>
      </w:r>
      <w:r>
        <w:rPr>
          <w:rFonts w:ascii="FangSong" w:hAnsi="FangSong" w:eastAsia="FangSong" w:cs="FangSong"/>
          <w:sz w:val="24"/>
          <w:szCs w:val="24"/>
          <w:spacing w:val="2"/>
        </w:rPr>
        <w:t>由表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3.5-2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可知萤石原矿</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CaF</w:t>
      </w:r>
      <w:r>
        <w:rPr>
          <w:rFonts w:ascii="Times New Roman" w:hAnsi="Times New Roman" w:eastAsia="Times New Roman" w:cs="Times New Roman"/>
          <w:sz w:val="15"/>
          <w:szCs w:val="15"/>
          <w:spacing w:val="2"/>
          <w:position w:val="-1"/>
        </w:rPr>
        <w:t>2  </w:t>
      </w:r>
      <w:r>
        <w:rPr>
          <w:rFonts w:ascii="FangSong" w:hAnsi="FangSong" w:eastAsia="FangSong" w:cs="FangSong"/>
          <w:sz w:val="24"/>
          <w:szCs w:val="24"/>
          <w:spacing w:val="2"/>
        </w:rPr>
        <w:t>品位为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40.70</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。故本项目细碎车间产生粉尘总量为</w:t>
      </w:r>
      <w:r>
        <w:rPr>
          <w:rFonts w:ascii="Times New Roman" w:hAnsi="Times New Roman" w:eastAsia="Times New Roman" w:cs="Times New Roman"/>
          <w:sz w:val="24"/>
          <w:szCs w:val="24"/>
          <w:spacing w:val="-3"/>
        </w:rPr>
        <w:t>27.070t/a</w:t>
      </w:r>
      <w:r>
        <w:rPr>
          <w:rFonts w:ascii="FangSong" w:hAnsi="FangSong" w:eastAsia="FangSong" w:cs="FangSong"/>
          <w:sz w:val="24"/>
          <w:szCs w:val="24"/>
          <w:spacing w:val="-3"/>
        </w:rPr>
        <w:t>，其中氟化物为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11.01</w:t>
      </w:r>
      <w:r>
        <w:rPr>
          <w:rFonts w:ascii="Times New Roman" w:hAnsi="Times New Roman" w:eastAsia="Times New Roman" w:cs="Times New Roman"/>
          <w:sz w:val="24"/>
          <w:szCs w:val="24"/>
          <w:spacing w:val="-4"/>
        </w:rPr>
        <w:t>7t/a</w:t>
      </w:r>
      <w:r>
        <w:rPr>
          <w:rFonts w:ascii="FangSong" w:hAnsi="FangSong" w:eastAsia="FangSong" w:cs="FangSong"/>
          <w:sz w:val="24"/>
          <w:szCs w:val="24"/>
          <w:spacing w:val="-4"/>
        </w:rPr>
        <w:t>、粉尘颗粒物</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16.053t/a</w:t>
      </w:r>
      <w:r>
        <w:rPr>
          <w:rFonts w:ascii="FangSong" w:hAnsi="FangSong" w:eastAsia="FangSong" w:cs="FangSong"/>
          <w:sz w:val="24"/>
          <w:szCs w:val="24"/>
          <w:spacing w:val="-4"/>
        </w:rPr>
        <w:t>。产生的粉尘由集气罩集气</w:t>
      </w:r>
      <w:r>
        <w:rPr>
          <w:rFonts w:ascii="FangSong" w:hAnsi="FangSong" w:eastAsia="FangSong" w:cs="FangSong"/>
          <w:sz w:val="24"/>
          <w:szCs w:val="24"/>
        </w:rPr>
        <w:t>（集气效率为</w:t>
      </w:r>
      <w:r>
        <w:rPr>
          <w:rFonts w:ascii="Times New Roman" w:hAnsi="Times New Roman" w:eastAsia="Times New Roman" w:cs="Times New Roman"/>
          <w:sz w:val="24"/>
          <w:szCs w:val="24"/>
        </w:rPr>
        <w:t>90%</w:t>
      </w:r>
      <w:r>
        <w:rPr>
          <w:rFonts w:ascii="FangSong" w:hAnsi="FangSong" w:eastAsia="FangSong" w:cs="FangSong"/>
          <w:sz w:val="24"/>
          <w:szCs w:val="24"/>
          <w:spacing w:val="-11"/>
        </w:rPr>
        <w:t>），</w:t>
      </w:r>
      <w:r>
        <w:rPr>
          <w:rFonts w:ascii="FangSong" w:hAnsi="FangSong" w:eastAsia="FangSong" w:cs="FangSong"/>
          <w:sz w:val="24"/>
          <w:szCs w:val="24"/>
        </w:rPr>
        <w:t>经风量为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rPr>
        <w:t>7000m</w:t>
      </w:r>
      <w:r>
        <w:rPr>
          <w:rFonts w:ascii="Times New Roman" w:hAnsi="Times New Roman" w:eastAsia="Times New Roman" w:cs="Times New Roman"/>
          <w:sz w:val="15"/>
          <w:szCs w:val="15"/>
          <w:position w:val="8"/>
        </w:rPr>
        <w:t>3</w:t>
      </w:r>
      <w:r>
        <w:rPr>
          <w:rFonts w:ascii="Times New Roman" w:hAnsi="Times New Roman" w:eastAsia="Times New Roman" w:cs="Times New Roman"/>
          <w:sz w:val="24"/>
          <w:szCs w:val="24"/>
        </w:rPr>
        <w:t>/h</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1"/>
        </w:rPr>
        <w:t>的风机沿通风管道引至布袋除尘器（除尘</w:t>
      </w:r>
    </w:p>
    <w:p>
      <w:pPr>
        <w:spacing w:line="359" w:lineRule="auto"/>
        <w:sectPr>
          <w:footerReference w:type="default" r:id="rId186"/>
          <w:pgSz w:w="11911" w:h="16839"/>
          <w:pgMar w:top="400" w:right="1341"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29" w:right="77"/>
        <w:spacing w:before="78" w:line="359" w:lineRule="auto"/>
        <w:rPr>
          <w:rFonts w:ascii="FangSong" w:hAnsi="FangSong" w:eastAsia="FangSong" w:cs="FangSong"/>
          <w:sz w:val="24"/>
          <w:szCs w:val="24"/>
        </w:rPr>
      </w:pPr>
      <w:bookmarkStart w:name="bookmark556" w:id="254"/>
      <w:bookmarkEnd w:id="254"/>
      <w:r>
        <w:rPr>
          <w:rFonts w:ascii="FangSong" w:hAnsi="FangSong" w:eastAsia="FangSong" w:cs="FangSong"/>
          <w:sz w:val="24"/>
          <w:szCs w:val="24"/>
          <w:spacing w:val="-1"/>
        </w:rPr>
        <w:t>效率为</w:t>
      </w:r>
      <w:r>
        <w:rPr>
          <w:rFonts w:ascii="Times New Roman" w:hAnsi="Times New Roman" w:eastAsia="Times New Roman" w:cs="Times New Roman"/>
          <w:sz w:val="24"/>
          <w:szCs w:val="24"/>
          <w:spacing w:val="-1"/>
        </w:rPr>
        <w:t>98%</w:t>
      </w:r>
      <w:r>
        <w:rPr>
          <w:rFonts w:ascii="FangSong" w:hAnsi="FangSong" w:eastAsia="FangSong" w:cs="FangSong"/>
          <w:sz w:val="24"/>
          <w:szCs w:val="24"/>
          <w:spacing w:val="-1"/>
        </w:rPr>
        <w:t>）处理后，由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15m</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1"/>
        </w:rPr>
        <w:t>高排气筒</w:t>
      </w:r>
      <w:r>
        <w:rPr>
          <w:rFonts w:ascii="FangSong" w:hAnsi="FangSong" w:eastAsia="FangSong" w:cs="FangSong"/>
          <w:sz w:val="24"/>
          <w:szCs w:val="24"/>
          <w:spacing w:val="-2"/>
        </w:rPr>
        <w:t>排放；未经收集的粉尘经过密闭厂房封闭、</w:t>
      </w:r>
      <w:r>
        <w:rPr>
          <w:rFonts w:ascii="FangSong" w:hAnsi="FangSong" w:eastAsia="FangSong" w:cs="FangSong"/>
          <w:sz w:val="24"/>
          <w:szCs w:val="24"/>
          <w:spacing w:val="-2"/>
        </w:rPr>
        <w:t>大气沉降后通过通风口无组织逸散。</w:t>
      </w:r>
    </w:p>
    <w:p>
      <w:pPr>
        <w:ind w:left="19" w:right="65" w:firstLine="490"/>
        <w:spacing w:before="3" w:line="355" w:lineRule="auto"/>
        <w:jc w:val="both"/>
        <w:rPr>
          <w:rFonts w:ascii="FangSong" w:hAnsi="FangSong" w:eastAsia="FangSong" w:cs="FangSong"/>
          <w:sz w:val="24"/>
          <w:szCs w:val="24"/>
        </w:rPr>
      </w:pPr>
      <w:r>
        <w:rPr>
          <w:rFonts w:ascii="FangSong" w:hAnsi="FangSong" w:eastAsia="FangSong" w:cs="FangSong"/>
          <w:sz w:val="24"/>
          <w:szCs w:val="24"/>
          <w:spacing w:val="5"/>
        </w:rPr>
        <w:t>综上所述本项目细碎车间有组织氟化物排放浓度为</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5"/>
        </w:rPr>
        <w:t>5.902</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5"/>
        </w:rPr>
        <w:t>/m</w:t>
      </w:r>
      <w:r>
        <w:rPr>
          <w:rFonts w:ascii="Times New Roman" w:hAnsi="Times New Roman" w:eastAsia="Times New Roman" w:cs="Times New Roman"/>
          <w:sz w:val="15"/>
          <w:szCs w:val="15"/>
          <w:spacing w:val="5"/>
          <w:position w:val="8"/>
        </w:rPr>
        <w:t>3 </w:t>
      </w:r>
      <w:r>
        <w:rPr>
          <w:rFonts w:ascii="FangSong" w:hAnsi="FangSong" w:eastAsia="FangSong" w:cs="FangSong"/>
          <w:sz w:val="24"/>
          <w:szCs w:val="24"/>
          <w:spacing w:val="5"/>
        </w:rPr>
        <w:t>，排放速率为</w:t>
      </w:r>
      <w:r>
        <w:rPr>
          <w:rFonts w:ascii="Times New Roman" w:hAnsi="Times New Roman" w:eastAsia="Times New Roman" w:cs="Times New Roman"/>
          <w:sz w:val="24"/>
          <w:szCs w:val="24"/>
          <w:spacing w:val="-3"/>
        </w:rPr>
        <w:t>0.041kg/h</w:t>
      </w:r>
      <w:r>
        <w:rPr>
          <w:rFonts w:ascii="FangSong" w:hAnsi="FangSong" w:eastAsia="FangSong" w:cs="FangSong"/>
          <w:sz w:val="24"/>
          <w:szCs w:val="24"/>
          <w:spacing w:val="-3"/>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198t/a</w:t>
      </w:r>
      <w:r>
        <w:rPr>
          <w:rFonts w:ascii="FangSong" w:hAnsi="FangSong" w:eastAsia="FangSong" w:cs="FangSong"/>
          <w:sz w:val="24"/>
          <w:szCs w:val="24"/>
          <w:spacing w:val="-3"/>
        </w:rPr>
        <w:t>；有组织粉尘颗粒物排放浓度为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8.600mg/m</w:t>
      </w:r>
      <w:r>
        <w:rPr>
          <w:rFonts w:ascii="Times New Roman" w:hAnsi="Times New Roman" w:eastAsia="Times New Roman" w:cs="Times New Roman"/>
          <w:sz w:val="15"/>
          <w:szCs w:val="15"/>
          <w:spacing w:val="-4"/>
          <w:position w:val="8"/>
        </w:rPr>
        <w:t>3</w:t>
      </w:r>
      <w:r>
        <w:rPr>
          <w:rFonts w:ascii="FangSong" w:hAnsi="FangSong" w:eastAsia="FangSong" w:cs="FangSong"/>
          <w:sz w:val="24"/>
          <w:szCs w:val="24"/>
          <w:spacing w:val="-4"/>
        </w:rPr>
        <w:t>，排放速率</w:t>
      </w:r>
      <w:r>
        <w:rPr>
          <w:rFonts w:ascii="FangSong" w:hAnsi="FangSong" w:eastAsia="FangSong" w:cs="FangSong"/>
          <w:sz w:val="24"/>
          <w:szCs w:val="24"/>
          <w:spacing w:val="-2"/>
        </w:rPr>
        <w:t>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0.060kg/h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0.289t/a</w:t>
      </w:r>
      <w:r>
        <w:rPr>
          <w:rFonts w:ascii="FangSong" w:hAnsi="FangSong" w:eastAsia="FangSong" w:cs="FangSong"/>
          <w:sz w:val="24"/>
          <w:szCs w:val="24"/>
          <w:spacing w:val="-2"/>
        </w:rPr>
        <w:t>；无组织氟化物排放量为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0.38</w:t>
      </w:r>
      <w:r>
        <w:rPr>
          <w:rFonts w:ascii="Times New Roman" w:hAnsi="Times New Roman" w:eastAsia="Times New Roman" w:cs="Times New Roman"/>
          <w:sz w:val="24"/>
          <w:szCs w:val="24"/>
          <w:spacing w:val="-3"/>
        </w:rPr>
        <w:t>6t/a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，无组织粉尘颗粒</w:t>
      </w:r>
      <w:r>
        <w:rPr>
          <w:rFonts w:ascii="FangSong" w:hAnsi="FangSong" w:eastAsia="FangSong" w:cs="FangSong"/>
          <w:sz w:val="24"/>
          <w:szCs w:val="24"/>
          <w:spacing w:val="-2"/>
        </w:rPr>
        <w:t>物排放量为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0.562t/a</w:t>
      </w:r>
      <w:r>
        <w:rPr>
          <w:rFonts w:ascii="FangSong" w:hAnsi="FangSong" w:eastAsia="FangSong" w:cs="FangSong"/>
          <w:sz w:val="24"/>
          <w:szCs w:val="24"/>
          <w:spacing w:val="-2"/>
        </w:rPr>
        <w:t>。</w:t>
      </w:r>
    </w:p>
    <w:p>
      <w:pPr>
        <w:ind w:left="499"/>
        <w:spacing w:before="18" w:line="219" w:lineRule="auto"/>
        <w:rPr>
          <w:rFonts w:ascii="FangSong" w:hAnsi="FangSong" w:eastAsia="FangSong" w:cs="FangSong"/>
          <w:sz w:val="24"/>
          <w:szCs w:val="24"/>
        </w:rPr>
      </w:pPr>
      <w:r>
        <w:rPr>
          <w:rFonts w:ascii="Times New Roman" w:hAnsi="Times New Roman" w:eastAsia="Times New Roman" w:cs="Times New Roman"/>
          <w:sz w:val="24"/>
          <w:szCs w:val="24"/>
          <w:spacing w:val="-8"/>
        </w:rPr>
        <w:t>C</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、筛分车间</w:t>
      </w:r>
    </w:p>
    <w:p>
      <w:pPr>
        <w:ind w:left="15" w:firstLine="491"/>
        <w:spacing w:before="179" w:line="359" w:lineRule="auto"/>
        <w:rPr>
          <w:rFonts w:ascii="FangSong" w:hAnsi="FangSong" w:eastAsia="FangSong" w:cs="FangSong"/>
          <w:sz w:val="24"/>
          <w:szCs w:val="24"/>
        </w:rPr>
      </w:pPr>
      <w:r>
        <w:rPr>
          <w:rFonts w:ascii="FangSong" w:hAnsi="FangSong" w:eastAsia="FangSong" w:cs="FangSong"/>
          <w:sz w:val="24"/>
          <w:szCs w:val="24"/>
          <w:spacing w:val="1"/>
        </w:rPr>
        <w:t>本项目筛分车间产生粉尘的主要工序为矿石上料、卸料等物料转运工序以及矿</w:t>
      </w:r>
      <w:r>
        <w:rPr>
          <w:rFonts w:ascii="FangSong" w:hAnsi="FangSong" w:eastAsia="FangSong" w:cs="FangSong"/>
          <w:sz w:val="24"/>
          <w:szCs w:val="24"/>
        </w:rPr>
        <w:t>石筛分工序，其中矿石筛分产生的粉尘参照《逸散性工业粉尘控制技术》</w:t>
      </w:r>
      <w:r>
        <w:rPr>
          <w:rFonts w:ascii="FangSong" w:hAnsi="FangSong" w:eastAsia="FangSong" w:cs="FangSong"/>
          <w:sz w:val="24"/>
          <w:szCs w:val="24"/>
          <w:spacing w:val="-69"/>
        </w:rPr>
        <w:t xml:space="preserve"> </w:t>
      </w:r>
      <w:r>
        <w:rPr>
          <w:rFonts w:ascii="FangSong" w:hAnsi="FangSong" w:eastAsia="FangSong" w:cs="FangSong"/>
          <w:sz w:val="24"/>
          <w:szCs w:val="24"/>
        </w:rPr>
        <w:t>中的筛分</w:t>
      </w:r>
      <w:r>
        <w:rPr>
          <w:rFonts w:ascii="FangSong" w:hAnsi="FangSong" w:eastAsia="FangSong" w:cs="FangSong"/>
          <w:sz w:val="24"/>
          <w:szCs w:val="24"/>
          <w:spacing w:val="-2"/>
        </w:rPr>
        <w:t>工序筛分粉尘产生系数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0.25kg/t</w:t>
      </w:r>
      <w:r>
        <w:rPr>
          <w:rFonts w:ascii="FangSong" w:hAnsi="FangSong" w:eastAsia="FangSong" w:cs="FangSong"/>
          <w:sz w:val="24"/>
          <w:szCs w:val="24"/>
          <w:spacing w:val="-2"/>
        </w:rPr>
        <w:t>（碎料</w:t>
      </w:r>
      <w:r>
        <w:rPr>
          <w:rFonts w:ascii="FangSong" w:hAnsi="FangSong" w:eastAsia="FangSong" w:cs="FangSong"/>
          <w:sz w:val="24"/>
          <w:szCs w:val="24"/>
          <w:spacing w:val="-8"/>
        </w:rPr>
        <w:t>）；</w:t>
      </w:r>
      <w:r>
        <w:rPr>
          <w:rFonts w:ascii="FangSong" w:hAnsi="FangSong" w:eastAsia="FangSong" w:cs="FangSong"/>
          <w:sz w:val="24"/>
          <w:szCs w:val="24"/>
          <w:spacing w:val="-2"/>
        </w:rPr>
        <w:t>矿石物料转运工序产生的粉尘参照《逸散</w:t>
      </w:r>
      <w:r>
        <w:rPr>
          <w:rFonts w:ascii="FangSong" w:hAnsi="FangSong" w:eastAsia="FangSong" w:cs="FangSong"/>
          <w:sz w:val="24"/>
          <w:szCs w:val="24"/>
          <w:spacing w:val="-6"/>
        </w:rPr>
        <w:t>性工业粉尘控制技术》《逸散性工业粉尘控制技术》“第十八章粒料加工厂</w:t>
      </w:r>
      <w:r>
        <w:rPr>
          <w:rFonts w:ascii="FangSong" w:hAnsi="FangSong" w:eastAsia="FangSong" w:cs="FangSong"/>
          <w:sz w:val="24"/>
          <w:szCs w:val="24"/>
          <w:spacing w:val="-89"/>
        </w:rPr>
        <w:t xml:space="preserve"> </w:t>
      </w:r>
      <w:r>
        <w:rPr>
          <w:rFonts w:ascii="FangSong" w:hAnsi="FangSong" w:eastAsia="FangSong" w:cs="FangSong"/>
          <w:sz w:val="24"/>
          <w:szCs w:val="24"/>
          <w:spacing w:val="-6"/>
        </w:rPr>
        <w:t>”中“逸</w:t>
      </w:r>
      <w:r>
        <w:rPr>
          <w:rFonts w:ascii="FangSong" w:hAnsi="FangSong" w:eastAsia="FangSong" w:cs="FangSong"/>
          <w:sz w:val="24"/>
          <w:szCs w:val="24"/>
          <w:spacing w:val="5"/>
        </w:rPr>
        <w:t>散尘排放因子</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碎石</w:t>
      </w:r>
      <w:r>
        <w:rPr>
          <w:rFonts w:ascii="FangSong" w:hAnsi="FangSong" w:eastAsia="FangSong" w:cs="FangSong"/>
          <w:sz w:val="24"/>
          <w:szCs w:val="24"/>
          <w:spacing w:val="-83"/>
        </w:rPr>
        <w:t xml:space="preserve"> </w:t>
      </w:r>
      <w:r>
        <w:rPr>
          <w:rFonts w:ascii="FangSong" w:hAnsi="FangSong" w:eastAsia="FangSong" w:cs="FangSong"/>
          <w:sz w:val="24"/>
          <w:szCs w:val="24"/>
          <w:spacing w:val="5"/>
        </w:rPr>
        <w:t>”在无控制措施情况下颗粒的上料、卸料过</w:t>
      </w:r>
      <w:r>
        <w:rPr>
          <w:rFonts w:ascii="FangSong" w:hAnsi="FangSong" w:eastAsia="FangSong" w:cs="FangSong"/>
          <w:sz w:val="24"/>
          <w:szCs w:val="24"/>
          <w:spacing w:val="4"/>
        </w:rPr>
        <w:t>程粉尘产生系数为</w:t>
      </w:r>
      <w:r>
        <w:rPr>
          <w:rFonts w:ascii="Times New Roman" w:hAnsi="Times New Roman" w:eastAsia="Times New Roman" w:cs="Times New Roman"/>
          <w:sz w:val="24"/>
          <w:szCs w:val="24"/>
          <w:spacing w:val="-12"/>
        </w:rPr>
        <w:t>0.0207kg/t</w:t>
      </w:r>
      <w:r>
        <w:rPr>
          <w:rFonts w:ascii="FangSong" w:hAnsi="FangSong" w:eastAsia="FangSong" w:cs="FangSong"/>
          <w:sz w:val="24"/>
          <w:szCs w:val="24"/>
          <w:spacing w:val="-12"/>
        </w:rPr>
        <w:t>（矿石料）。本项目筛分车间筛分破碎萤石矿总量为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2"/>
        </w:rPr>
        <w:t>10</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12"/>
        </w:rPr>
        <w:t>万</w:t>
      </w:r>
      <w:r>
        <w:rPr>
          <w:rFonts w:ascii="FangSong" w:hAnsi="FangSong" w:eastAsia="FangSong" w:cs="FangSong"/>
          <w:sz w:val="24"/>
          <w:szCs w:val="24"/>
          <w:spacing w:val="-62"/>
        </w:rPr>
        <w:t xml:space="preserve"> </w:t>
      </w:r>
      <w:r>
        <w:rPr>
          <w:rFonts w:ascii="Times New Roman" w:hAnsi="Times New Roman" w:eastAsia="Times New Roman" w:cs="Times New Roman"/>
          <w:sz w:val="24"/>
          <w:szCs w:val="24"/>
          <w:spacing w:val="-12"/>
        </w:rPr>
        <w:t>t/a</w:t>
      </w:r>
      <w:r>
        <w:rPr>
          <w:rFonts w:ascii="FangSong" w:hAnsi="FangSong" w:eastAsia="FangSong" w:cs="FangSong"/>
          <w:sz w:val="24"/>
          <w:szCs w:val="24"/>
          <w:spacing w:val="-12"/>
        </w:rPr>
        <w:t>，年工</w:t>
      </w:r>
      <w:r>
        <w:rPr>
          <w:rFonts w:ascii="FangSong" w:hAnsi="FangSong" w:eastAsia="FangSong" w:cs="FangSong"/>
          <w:sz w:val="24"/>
          <w:szCs w:val="24"/>
          <w:spacing w:val="-13"/>
        </w:rPr>
        <w:t>作</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13"/>
        </w:rPr>
        <w:t>4800h</w:t>
      </w:r>
      <w:r>
        <w:rPr>
          <w:rFonts w:ascii="FangSong" w:hAnsi="FangSong" w:eastAsia="FangSong" w:cs="FangSong"/>
          <w:sz w:val="24"/>
          <w:szCs w:val="24"/>
          <w:spacing w:val="-13"/>
        </w:rPr>
        <w:t>，</w:t>
      </w:r>
      <w:r>
        <w:rPr>
          <w:rFonts w:ascii="FangSong" w:hAnsi="FangSong" w:eastAsia="FangSong" w:cs="FangSong"/>
          <w:sz w:val="24"/>
          <w:szCs w:val="24"/>
          <w:spacing w:val="2"/>
        </w:rPr>
        <w:t>由表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3.5-2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可知萤石原矿</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CaF</w:t>
      </w:r>
      <w:r>
        <w:rPr>
          <w:rFonts w:ascii="Times New Roman" w:hAnsi="Times New Roman" w:eastAsia="Times New Roman" w:cs="Times New Roman"/>
          <w:sz w:val="15"/>
          <w:szCs w:val="15"/>
          <w:spacing w:val="2"/>
          <w:position w:val="-1"/>
        </w:rPr>
        <w:t>2  </w:t>
      </w:r>
      <w:r>
        <w:rPr>
          <w:rFonts w:ascii="FangSong" w:hAnsi="FangSong" w:eastAsia="FangSong" w:cs="FangSong"/>
          <w:sz w:val="24"/>
          <w:szCs w:val="24"/>
          <w:spacing w:val="2"/>
        </w:rPr>
        <w:t>品位为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40.70</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。故本项目筛分车间产生粉尘总量为</w:t>
      </w:r>
      <w:r>
        <w:rPr>
          <w:rFonts w:ascii="Times New Roman" w:hAnsi="Times New Roman" w:eastAsia="Times New Roman" w:cs="Times New Roman"/>
          <w:sz w:val="24"/>
          <w:szCs w:val="24"/>
          <w:spacing w:val="-3"/>
        </w:rPr>
        <w:t>27.070t/a</w:t>
      </w:r>
      <w:r>
        <w:rPr>
          <w:rFonts w:ascii="FangSong" w:hAnsi="FangSong" w:eastAsia="FangSong" w:cs="FangSong"/>
          <w:sz w:val="24"/>
          <w:szCs w:val="24"/>
          <w:spacing w:val="-3"/>
        </w:rPr>
        <w:t>，其中氟化物为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11.01</w:t>
      </w:r>
      <w:r>
        <w:rPr>
          <w:rFonts w:ascii="Times New Roman" w:hAnsi="Times New Roman" w:eastAsia="Times New Roman" w:cs="Times New Roman"/>
          <w:sz w:val="24"/>
          <w:szCs w:val="24"/>
          <w:spacing w:val="-4"/>
        </w:rPr>
        <w:t>7t/a</w:t>
      </w:r>
      <w:r>
        <w:rPr>
          <w:rFonts w:ascii="FangSong" w:hAnsi="FangSong" w:eastAsia="FangSong" w:cs="FangSong"/>
          <w:sz w:val="24"/>
          <w:szCs w:val="24"/>
          <w:spacing w:val="-4"/>
        </w:rPr>
        <w:t>、粉尘颗粒物</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16.053t/a</w:t>
      </w:r>
      <w:r>
        <w:rPr>
          <w:rFonts w:ascii="FangSong" w:hAnsi="FangSong" w:eastAsia="FangSong" w:cs="FangSong"/>
          <w:sz w:val="24"/>
          <w:szCs w:val="24"/>
          <w:spacing w:val="-4"/>
        </w:rPr>
        <w:t>。产生的粉尘由集气罩集气</w:t>
      </w:r>
      <w:r>
        <w:rPr>
          <w:rFonts w:ascii="FangSong" w:hAnsi="FangSong" w:eastAsia="FangSong" w:cs="FangSong"/>
          <w:sz w:val="24"/>
          <w:szCs w:val="24"/>
        </w:rPr>
        <w:t>（集气效率为</w:t>
      </w:r>
      <w:r>
        <w:rPr>
          <w:rFonts w:ascii="Times New Roman" w:hAnsi="Times New Roman" w:eastAsia="Times New Roman" w:cs="Times New Roman"/>
          <w:sz w:val="24"/>
          <w:szCs w:val="24"/>
        </w:rPr>
        <w:t>90%</w:t>
      </w:r>
      <w:r>
        <w:rPr>
          <w:rFonts w:ascii="FangSong" w:hAnsi="FangSong" w:eastAsia="FangSong" w:cs="FangSong"/>
          <w:sz w:val="24"/>
          <w:szCs w:val="24"/>
          <w:spacing w:val="-11"/>
        </w:rPr>
        <w:t>），</w:t>
      </w:r>
      <w:r>
        <w:rPr>
          <w:rFonts w:ascii="FangSong" w:hAnsi="FangSong" w:eastAsia="FangSong" w:cs="FangSong"/>
          <w:sz w:val="24"/>
          <w:szCs w:val="24"/>
        </w:rPr>
        <w:t>经风量为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6000m</w:t>
      </w:r>
      <w:r>
        <w:rPr>
          <w:rFonts w:ascii="Times New Roman" w:hAnsi="Times New Roman" w:eastAsia="Times New Roman" w:cs="Times New Roman"/>
          <w:sz w:val="15"/>
          <w:szCs w:val="15"/>
          <w:position w:val="8"/>
        </w:rPr>
        <w:t>3</w:t>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1"/>
        </w:rPr>
        <w:t>h</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1"/>
        </w:rPr>
        <w:t>的风机沿通风管道引至布袋除尘器（除尘</w:t>
      </w:r>
      <w:r>
        <w:rPr>
          <w:rFonts w:ascii="FangSong" w:hAnsi="FangSong" w:eastAsia="FangSong" w:cs="FangSong"/>
          <w:sz w:val="24"/>
          <w:szCs w:val="24"/>
          <w:spacing w:val="1"/>
        </w:rPr>
        <w:t>效率为</w:t>
      </w:r>
      <w:r>
        <w:rPr>
          <w:rFonts w:ascii="Times New Roman" w:hAnsi="Times New Roman" w:eastAsia="Times New Roman" w:cs="Times New Roman"/>
          <w:sz w:val="24"/>
          <w:szCs w:val="24"/>
          <w:spacing w:val="1"/>
        </w:rPr>
        <w:t>98%</w:t>
      </w:r>
      <w:r>
        <w:rPr>
          <w:rFonts w:ascii="FangSong" w:hAnsi="FangSong" w:eastAsia="FangSong" w:cs="FangSong"/>
          <w:sz w:val="24"/>
          <w:szCs w:val="24"/>
          <w:spacing w:val="1"/>
        </w:rPr>
        <w:t>）处理后，由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高排气筒排放；未经收集的粉尘经过密闭厂房</w:t>
      </w:r>
      <w:r>
        <w:rPr>
          <w:rFonts w:ascii="FangSong" w:hAnsi="FangSong" w:eastAsia="FangSong" w:cs="FangSong"/>
          <w:sz w:val="24"/>
          <w:szCs w:val="24"/>
        </w:rPr>
        <w:t>封闭、</w:t>
      </w:r>
      <w:r>
        <w:rPr>
          <w:rFonts w:ascii="FangSong" w:hAnsi="FangSong" w:eastAsia="FangSong" w:cs="FangSong"/>
          <w:sz w:val="24"/>
          <w:szCs w:val="24"/>
          <w:spacing w:val="-1"/>
        </w:rPr>
        <w:t>大气沉降后通过通风口无组织逸散。</w:t>
      </w:r>
    </w:p>
    <w:p>
      <w:pPr>
        <w:ind w:left="19" w:right="62" w:firstLine="490"/>
        <w:spacing w:before="3" w:line="356" w:lineRule="auto"/>
        <w:jc w:val="both"/>
        <w:rPr>
          <w:rFonts w:ascii="FangSong" w:hAnsi="FangSong" w:eastAsia="FangSong" w:cs="FangSong"/>
          <w:sz w:val="24"/>
          <w:szCs w:val="24"/>
        </w:rPr>
      </w:pPr>
      <w:r>
        <w:rPr>
          <w:rFonts w:ascii="FangSong" w:hAnsi="FangSong" w:eastAsia="FangSong" w:cs="FangSong"/>
          <w:sz w:val="24"/>
          <w:szCs w:val="24"/>
          <w:spacing w:val="5"/>
        </w:rPr>
        <w:t>综上所述本项目筛分车间有组织氟化物排放浓度为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5"/>
        </w:rPr>
        <w:t>6.886</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5"/>
        </w:rPr>
        <w:t>/m</w:t>
      </w:r>
      <w:r>
        <w:rPr>
          <w:rFonts w:ascii="Times New Roman" w:hAnsi="Times New Roman" w:eastAsia="Times New Roman" w:cs="Times New Roman"/>
          <w:sz w:val="15"/>
          <w:szCs w:val="15"/>
          <w:spacing w:val="5"/>
          <w:position w:val="8"/>
        </w:rPr>
        <w:t>3 </w:t>
      </w:r>
      <w:r>
        <w:rPr>
          <w:rFonts w:ascii="FangSong" w:hAnsi="FangSong" w:eastAsia="FangSong" w:cs="FangSong"/>
          <w:sz w:val="24"/>
          <w:szCs w:val="24"/>
          <w:spacing w:val="5"/>
        </w:rPr>
        <w:t>，排放速率为</w:t>
      </w:r>
      <w:r>
        <w:rPr>
          <w:rFonts w:ascii="Times New Roman" w:hAnsi="Times New Roman" w:eastAsia="Times New Roman" w:cs="Times New Roman"/>
          <w:sz w:val="24"/>
          <w:szCs w:val="24"/>
          <w:spacing w:val="-2"/>
        </w:rPr>
        <w:t>0.041kg/h</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198t/a</w:t>
      </w:r>
      <w:r>
        <w:rPr>
          <w:rFonts w:ascii="FangSong" w:hAnsi="FangSong" w:eastAsia="FangSong" w:cs="FangSong"/>
          <w:sz w:val="24"/>
          <w:szCs w:val="24"/>
          <w:spacing w:val="-2"/>
        </w:rPr>
        <w:t>；有组织粉</w:t>
      </w:r>
      <w:r>
        <w:rPr>
          <w:rFonts w:ascii="FangSong" w:hAnsi="FangSong" w:eastAsia="FangSong" w:cs="FangSong"/>
          <w:sz w:val="24"/>
          <w:szCs w:val="24"/>
          <w:spacing w:val="-3"/>
        </w:rPr>
        <w:t>尘颗粒物排放浓度为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10.033mg/m</w:t>
      </w:r>
      <w:r>
        <w:rPr>
          <w:rFonts w:ascii="Times New Roman" w:hAnsi="Times New Roman" w:eastAsia="Times New Roman" w:cs="Times New Roman"/>
          <w:sz w:val="15"/>
          <w:szCs w:val="15"/>
          <w:spacing w:val="-3"/>
          <w:position w:val="8"/>
        </w:rPr>
        <w:t>3 </w:t>
      </w:r>
      <w:r>
        <w:rPr>
          <w:rFonts w:ascii="FangSong" w:hAnsi="FangSong" w:eastAsia="FangSong" w:cs="FangSong"/>
          <w:sz w:val="24"/>
          <w:szCs w:val="24"/>
          <w:spacing w:val="-3"/>
        </w:rPr>
        <w:t>，排放速</w:t>
      </w:r>
      <w:r>
        <w:rPr>
          <w:rFonts w:ascii="FangSong" w:hAnsi="FangSong" w:eastAsia="FangSong" w:cs="FangSong"/>
          <w:sz w:val="24"/>
          <w:szCs w:val="24"/>
          <w:spacing w:val="-2"/>
        </w:rPr>
        <w:t>率为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0.060kg/h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0.289t/a</w:t>
      </w:r>
      <w:r>
        <w:rPr>
          <w:rFonts w:ascii="FangSong" w:hAnsi="FangSong" w:eastAsia="FangSong" w:cs="FangSong"/>
          <w:sz w:val="24"/>
          <w:szCs w:val="24"/>
          <w:spacing w:val="-2"/>
        </w:rPr>
        <w:t>；无组织氟化物排放量为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0.3</w:t>
      </w:r>
      <w:r>
        <w:rPr>
          <w:rFonts w:ascii="Times New Roman" w:hAnsi="Times New Roman" w:eastAsia="Times New Roman" w:cs="Times New Roman"/>
          <w:sz w:val="24"/>
          <w:szCs w:val="24"/>
          <w:spacing w:val="-3"/>
        </w:rPr>
        <w:t>86t/a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，无组织粉尘颗</w:t>
      </w:r>
      <w:r>
        <w:rPr>
          <w:rFonts w:ascii="FangSong" w:hAnsi="FangSong" w:eastAsia="FangSong" w:cs="FangSong"/>
          <w:sz w:val="24"/>
          <w:szCs w:val="24"/>
          <w:spacing w:val="-2"/>
        </w:rPr>
        <w:t>粒物排放量为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0.562t/a</w:t>
      </w:r>
      <w:r>
        <w:rPr>
          <w:rFonts w:ascii="FangSong" w:hAnsi="FangSong" w:eastAsia="FangSong" w:cs="FangSong"/>
          <w:sz w:val="24"/>
          <w:szCs w:val="24"/>
          <w:spacing w:val="-2"/>
        </w:rPr>
        <w:t>。</w:t>
      </w:r>
    </w:p>
    <w:p>
      <w:pPr>
        <w:ind w:left="495"/>
        <w:spacing w:before="15" w:line="223" w:lineRule="auto"/>
        <w:rPr>
          <w:rFonts w:ascii="FangSong" w:hAnsi="FangSong" w:eastAsia="FangSong" w:cs="FangSong"/>
          <w:sz w:val="24"/>
          <w:szCs w:val="24"/>
        </w:rPr>
      </w:pPr>
      <w:r>
        <w:rPr>
          <w:rFonts w:ascii="Times New Roman" w:hAnsi="Times New Roman" w:eastAsia="Times New Roman" w:cs="Times New Roman"/>
          <w:sz w:val="24"/>
          <w:szCs w:val="24"/>
          <w:spacing w:val="-8"/>
        </w:rPr>
        <w:t>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8"/>
        </w:rPr>
        <w:t>、粉矿仓</w:t>
      </w:r>
    </w:p>
    <w:p>
      <w:pPr>
        <w:ind w:left="19" w:firstLine="488"/>
        <w:spacing w:before="175" w:line="359" w:lineRule="auto"/>
        <w:rPr>
          <w:rFonts w:ascii="FangSong" w:hAnsi="FangSong" w:eastAsia="FangSong" w:cs="FangSong"/>
          <w:sz w:val="24"/>
          <w:szCs w:val="24"/>
        </w:rPr>
      </w:pPr>
      <w:r>
        <w:rPr>
          <w:rFonts w:ascii="FangSong" w:hAnsi="FangSong" w:eastAsia="FangSong" w:cs="FangSong"/>
          <w:sz w:val="24"/>
          <w:szCs w:val="24"/>
          <w:spacing w:val="-1"/>
        </w:rPr>
        <w:t>本项目所设置粉矿仓位于筛分车间之后，采取卸料处采取单侧开</w:t>
      </w:r>
      <w:r>
        <w:rPr>
          <w:rFonts w:ascii="FangSong" w:hAnsi="FangSong" w:eastAsia="FangSong" w:cs="FangSong"/>
          <w:sz w:val="24"/>
          <w:szCs w:val="24"/>
          <w:spacing w:val="-47"/>
        </w:rPr>
        <w:t xml:space="preserve"> </w:t>
      </w:r>
      <w:r>
        <w:rPr>
          <w:rFonts w:ascii="FangSong" w:hAnsi="FangSong" w:eastAsia="FangSong" w:cs="FangSong"/>
          <w:sz w:val="24"/>
          <w:szCs w:val="24"/>
          <w:spacing w:val="-1"/>
        </w:rPr>
        <w:t>口，其余各侧</w:t>
      </w:r>
      <w:r>
        <w:rPr>
          <w:rFonts w:ascii="FangSong" w:hAnsi="FangSong" w:eastAsia="FangSong" w:cs="FangSong"/>
          <w:sz w:val="24"/>
          <w:szCs w:val="24"/>
          <w:spacing w:val="-4"/>
        </w:rPr>
        <w:t>均封闭设置。主要功能为调节采矿、选矿及选矿厂内部各工序作业之间的生产需要，</w:t>
      </w:r>
      <w:r>
        <w:rPr>
          <w:rFonts w:ascii="FangSong" w:hAnsi="FangSong" w:eastAsia="FangSong" w:cs="FangSong"/>
          <w:sz w:val="24"/>
          <w:szCs w:val="24"/>
          <w:spacing w:val="1"/>
        </w:rPr>
        <w:t>保证选矿厂生产均衡连续地进行，充分发挥设备能力而设置。粉矿仓产生粉尘的主</w:t>
      </w:r>
      <w:r>
        <w:rPr>
          <w:rFonts w:ascii="FangSong" w:hAnsi="FangSong" w:eastAsia="FangSong" w:cs="FangSong"/>
          <w:sz w:val="24"/>
          <w:szCs w:val="24"/>
          <w:spacing w:val="1"/>
        </w:rPr>
        <w:t>要工序为筛分后矿石上料、卸料等物料转运工序产生的扬尘粉尘，参照《逸散性工</w:t>
      </w:r>
      <w:r>
        <w:rPr>
          <w:rFonts w:ascii="FangSong" w:hAnsi="FangSong" w:eastAsia="FangSong" w:cs="FangSong"/>
          <w:sz w:val="24"/>
          <w:szCs w:val="24"/>
        </w:rPr>
        <w:t>业粉尘控制技术》《逸散性工业粉尘控制技术》“第十八章粒料加工厂</w:t>
      </w:r>
      <w:r>
        <w:rPr>
          <w:rFonts w:ascii="FangSong" w:hAnsi="FangSong" w:eastAsia="FangSong" w:cs="FangSong"/>
          <w:sz w:val="24"/>
          <w:szCs w:val="24"/>
          <w:spacing w:val="-73"/>
        </w:rPr>
        <w:t xml:space="preserve"> </w:t>
      </w:r>
      <w:r>
        <w:rPr>
          <w:rFonts w:ascii="FangSong" w:hAnsi="FangSong" w:eastAsia="FangSong" w:cs="FangSong"/>
          <w:sz w:val="24"/>
          <w:szCs w:val="24"/>
        </w:rPr>
        <w:t>”中“逸散</w:t>
      </w:r>
      <w:r>
        <w:rPr>
          <w:rFonts w:ascii="FangSong" w:hAnsi="FangSong" w:eastAsia="FangSong" w:cs="FangSong"/>
          <w:sz w:val="24"/>
          <w:szCs w:val="24"/>
          <w:spacing w:val="11"/>
        </w:rPr>
        <w:t>尘排放因子</w:t>
      </w:r>
      <w:r>
        <w:rPr>
          <w:rFonts w:ascii="Times New Roman" w:hAnsi="Times New Roman" w:eastAsia="Times New Roman" w:cs="Times New Roman"/>
          <w:sz w:val="24"/>
          <w:szCs w:val="24"/>
          <w:spacing w:val="11"/>
        </w:rPr>
        <w:t>-</w:t>
      </w:r>
      <w:r>
        <w:rPr>
          <w:rFonts w:ascii="FangSong" w:hAnsi="FangSong" w:eastAsia="FangSong" w:cs="FangSong"/>
          <w:sz w:val="24"/>
          <w:szCs w:val="24"/>
          <w:spacing w:val="11"/>
        </w:rPr>
        <w:t>碎石</w:t>
      </w:r>
      <w:r>
        <w:rPr>
          <w:rFonts w:ascii="FangSong" w:hAnsi="FangSong" w:eastAsia="FangSong" w:cs="FangSong"/>
          <w:sz w:val="24"/>
          <w:szCs w:val="24"/>
          <w:spacing w:val="-60"/>
        </w:rPr>
        <w:t xml:space="preserve"> </w:t>
      </w:r>
      <w:r>
        <w:rPr>
          <w:rFonts w:ascii="FangSong" w:hAnsi="FangSong" w:eastAsia="FangSong" w:cs="FangSong"/>
          <w:sz w:val="24"/>
          <w:szCs w:val="24"/>
          <w:spacing w:val="11"/>
        </w:rPr>
        <w:t>”在无控制措施情况下颗粒的上料、卸料过程粉尘产生系数为</w:t>
      </w:r>
      <w:r>
        <w:rPr>
          <w:rFonts w:ascii="Times New Roman" w:hAnsi="Times New Roman" w:eastAsia="Times New Roman" w:cs="Times New Roman"/>
          <w:sz w:val="24"/>
          <w:szCs w:val="24"/>
          <w:spacing w:val="-12"/>
        </w:rPr>
        <w:t>0.0207kg/t</w:t>
      </w:r>
      <w:r>
        <w:rPr>
          <w:rFonts w:ascii="FangSong" w:hAnsi="FangSong" w:eastAsia="FangSong" w:cs="FangSong"/>
          <w:sz w:val="24"/>
          <w:szCs w:val="24"/>
          <w:spacing w:val="-12"/>
        </w:rPr>
        <w:t>（矿石料）。本项目粉料仓</w:t>
      </w:r>
      <w:r>
        <w:rPr>
          <w:rFonts w:ascii="FangSong" w:hAnsi="FangSong" w:eastAsia="FangSong" w:cs="FangSong"/>
          <w:sz w:val="24"/>
          <w:szCs w:val="24"/>
          <w:spacing w:val="-13"/>
        </w:rPr>
        <w:t>暂存、转运萤石矿总量为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3"/>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3"/>
        </w:rPr>
        <w:t>t/a</w:t>
      </w:r>
      <w:r>
        <w:rPr>
          <w:rFonts w:ascii="FangSong" w:hAnsi="FangSong" w:eastAsia="FangSong" w:cs="FangSong"/>
          <w:sz w:val="24"/>
          <w:szCs w:val="24"/>
          <w:spacing w:val="-13"/>
        </w:rPr>
        <w:t>，年工作</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3"/>
        </w:rPr>
        <w:t>4800h</w:t>
      </w:r>
      <w:r>
        <w:rPr>
          <w:rFonts w:ascii="FangSong" w:hAnsi="FangSong" w:eastAsia="FangSong" w:cs="FangSong"/>
          <w:sz w:val="24"/>
          <w:szCs w:val="24"/>
          <w:spacing w:val="-13"/>
        </w:rPr>
        <w:t>，</w:t>
      </w:r>
    </w:p>
    <w:p>
      <w:pPr>
        <w:spacing w:line="359" w:lineRule="auto"/>
        <w:sectPr>
          <w:footerReference w:type="default" r:id="rId187"/>
          <w:pgSz w:w="11911" w:h="16839"/>
          <w:pgMar w:top="400" w:right="1352"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5" w:right="83" w:firstLine="41"/>
        <w:spacing w:before="78" w:line="359" w:lineRule="auto"/>
        <w:jc w:val="both"/>
        <w:rPr>
          <w:rFonts w:ascii="FangSong" w:hAnsi="FangSong" w:eastAsia="FangSong" w:cs="FangSong"/>
          <w:sz w:val="24"/>
          <w:szCs w:val="24"/>
        </w:rPr>
      </w:pPr>
      <w:bookmarkStart w:name="bookmark557" w:id="255"/>
      <w:bookmarkEnd w:id="255"/>
      <w:r>
        <w:rPr>
          <w:rFonts w:ascii="FangSong" w:hAnsi="FangSong" w:eastAsia="FangSong" w:cs="FangSong"/>
          <w:sz w:val="24"/>
          <w:szCs w:val="24"/>
          <w:spacing w:val="1"/>
        </w:rPr>
        <w:t>由表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3.5-2</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1"/>
        </w:rPr>
        <w:t>可知萤石原矿</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CaF</w:t>
      </w:r>
      <w:r>
        <w:rPr>
          <w:rFonts w:ascii="Times New Roman" w:hAnsi="Times New Roman" w:eastAsia="Times New Roman" w:cs="Times New Roman"/>
          <w:sz w:val="15"/>
          <w:szCs w:val="15"/>
          <w:spacing w:val="1"/>
          <w:position w:val="-1"/>
        </w:rPr>
        <w:t>2  </w:t>
      </w:r>
      <w:r>
        <w:rPr>
          <w:rFonts w:ascii="FangSong" w:hAnsi="FangSong" w:eastAsia="FangSong" w:cs="FangSong"/>
          <w:sz w:val="24"/>
          <w:szCs w:val="24"/>
          <w:spacing w:val="1"/>
        </w:rPr>
        <w:t>品位为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40.7</w:t>
      </w:r>
      <w:r>
        <w:rPr>
          <w:rFonts w:ascii="Times New Roman" w:hAnsi="Times New Roman" w:eastAsia="Times New Roman" w:cs="Times New Roman"/>
          <w:sz w:val="24"/>
          <w:szCs w:val="24"/>
        </w:rPr>
        <w:t>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rPr>
        <w:t>。故本项目筛分车间产生粉尘总量为</w:t>
      </w:r>
      <w:r>
        <w:rPr>
          <w:rFonts w:ascii="Times New Roman" w:hAnsi="Times New Roman" w:eastAsia="Times New Roman" w:cs="Times New Roman"/>
          <w:sz w:val="24"/>
          <w:szCs w:val="24"/>
          <w:spacing w:val="-6"/>
        </w:rPr>
        <w:t>2.070t/a</w:t>
      </w:r>
      <w:r>
        <w:rPr>
          <w:rFonts w:ascii="FangSong" w:hAnsi="FangSong" w:eastAsia="FangSong" w:cs="FangSong"/>
          <w:sz w:val="24"/>
          <w:szCs w:val="24"/>
          <w:spacing w:val="-6"/>
        </w:rPr>
        <w:t>，其中氟化物为</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6"/>
        </w:rPr>
        <w:t>0.842t/a</w:t>
      </w:r>
      <w:r>
        <w:rPr>
          <w:rFonts w:ascii="FangSong" w:hAnsi="FangSong" w:eastAsia="FangSong" w:cs="FangSong"/>
          <w:sz w:val="24"/>
          <w:szCs w:val="24"/>
          <w:spacing w:val="-6"/>
        </w:rPr>
        <w:t>、粉尘颗粒物</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1.228t/a</w:t>
      </w:r>
      <w:r>
        <w:rPr>
          <w:rFonts w:ascii="FangSong" w:hAnsi="FangSong" w:eastAsia="FangSong" w:cs="FangSong"/>
          <w:sz w:val="24"/>
          <w:szCs w:val="24"/>
          <w:spacing w:val="-6"/>
        </w:rPr>
        <w:t>。产生的粉尘由集气罩集气（集</w:t>
      </w:r>
      <w:r>
        <w:rPr>
          <w:rFonts w:ascii="FangSong" w:hAnsi="FangSong" w:eastAsia="FangSong" w:cs="FangSong"/>
          <w:sz w:val="24"/>
          <w:szCs w:val="24"/>
        </w:rPr>
        <w:t>气效率为</w:t>
      </w:r>
      <w:r>
        <w:rPr>
          <w:rFonts w:ascii="Times New Roman" w:hAnsi="Times New Roman" w:eastAsia="Times New Roman" w:cs="Times New Roman"/>
          <w:sz w:val="24"/>
          <w:szCs w:val="24"/>
        </w:rPr>
        <w:t>90%</w:t>
      </w:r>
      <w:r>
        <w:rPr>
          <w:rFonts w:ascii="FangSong" w:hAnsi="FangSong" w:eastAsia="FangSong" w:cs="FangSong"/>
          <w:sz w:val="24"/>
          <w:szCs w:val="24"/>
          <w:spacing w:val="-11"/>
        </w:rPr>
        <w:t>），</w:t>
      </w:r>
      <w:r>
        <w:rPr>
          <w:rFonts w:ascii="FangSong" w:hAnsi="FangSong" w:eastAsia="FangSong" w:cs="FangSong"/>
          <w:sz w:val="24"/>
          <w:szCs w:val="24"/>
        </w:rPr>
        <w:t>经风量为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6000m</w:t>
      </w:r>
      <w:r>
        <w:rPr>
          <w:rFonts w:ascii="Times New Roman" w:hAnsi="Times New Roman" w:eastAsia="Times New Roman" w:cs="Times New Roman"/>
          <w:sz w:val="15"/>
          <w:szCs w:val="15"/>
          <w:position w:val="8"/>
        </w:rPr>
        <w:t>3</w:t>
      </w:r>
      <w:r>
        <w:rPr>
          <w:rFonts w:ascii="Times New Roman" w:hAnsi="Times New Roman" w:eastAsia="Times New Roman" w:cs="Times New Roman"/>
          <w:sz w:val="24"/>
          <w:szCs w:val="24"/>
        </w:rPr>
        <w:t>/h</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rPr>
        <w:t>的</w:t>
      </w:r>
      <w:r>
        <w:rPr>
          <w:rFonts w:ascii="FangSong" w:hAnsi="FangSong" w:eastAsia="FangSong" w:cs="FangSong"/>
          <w:sz w:val="24"/>
          <w:szCs w:val="24"/>
          <w:spacing w:val="-1"/>
        </w:rPr>
        <w:t>风机沿通风管道引至布袋除尘器（除尘效率</w:t>
      </w:r>
      <w:r>
        <w:rPr>
          <w:rFonts w:ascii="FangSong" w:hAnsi="FangSong" w:eastAsia="FangSong" w:cs="FangSong"/>
          <w:sz w:val="24"/>
          <w:szCs w:val="24"/>
          <w:spacing w:val="-3"/>
        </w:rPr>
        <w:t>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3"/>
        </w:rPr>
        <w:t>98%</w:t>
      </w:r>
      <w:r>
        <w:rPr>
          <w:rFonts w:ascii="FangSong" w:hAnsi="FangSong" w:eastAsia="FangSong" w:cs="FangSong"/>
          <w:sz w:val="24"/>
          <w:szCs w:val="24"/>
          <w:spacing w:val="-3"/>
        </w:rPr>
        <w:t>）处理后，由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15m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高排气筒排放；未经收集的粉尘经过密闭厂房封闭、大气</w:t>
      </w:r>
      <w:r>
        <w:rPr>
          <w:rFonts w:ascii="FangSong" w:hAnsi="FangSong" w:eastAsia="FangSong" w:cs="FangSong"/>
          <w:sz w:val="24"/>
          <w:szCs w:val="24"/>
          <w:spacing w:val="-1"/>
        </w:rPr>
        <w:t>沉降后通过通风口无组织逸散。</w:t>
      </w:r>
    </w:p>
    <w:p>
      <w:pPr>
        <w:ind w:left="19" w:right="83" w:firstLine="490"/>
        <w:spacing w:line="356" w:lineRule="auto"/>
        <w:jc w:val="both"/>
        <w:rPr>
          <w:rFonts w:ascii="FangSong" w:hAnsi="FangSong" w:eastAsia="FangSong" w:cs="FangSong"/>
          <w:sz w:val="24"/>
          <w:szCs w:val="24"/>
        </w:rPr>
      </w:pPr>
      <w:r>
        <w:rPr>
          <w:rFonts w:ascii="FangSong" w:hAnsi="FangSong" w:eastAsia="FangSong" w:cs="FangSong"/>
          <w:sz w:val="24"/>
          <w:szCs w:val="24"/>
          <w:spacing w:val="9"/>
        </w:rPr>
        <w:t>综上所述本项</w:t>
      </w:r>
      <w:r>
        <w:rPr>
          <w:rFonts w:ascii="FangSong" w:hAnsi="FangSong" w:eastAsia="FangSong" w:cs="FangSong"/>
          <w:sz w:val="24"/>
          <w:szCs w:val="24"/>
          <w:spacing w:val="-32"/>
        </w:rPr>
        <w:t xml:space="preserve"> </w:t>
      </w:r>
      <w:r>
        <w:rPr>
          <w:rFonts w:ascii="FangSong" w:hAnsi="FangSong" w:eastAsia="FangSong" w:cs="FangSong"/>
          <w:sz w:val="24"/>
          <w:szCs w:val="24"/>
          <w:spacing w:val="9"/>
        </w:rPr>
        <w:t>目粉矿仓有组织氟化物排放浓度为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9"/>
        </w:rPr>
        <w:t>0.632</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9"/>
        </w:rPr>
        <w:t>/m</w:t>
      </w:r>
      <w:r>
        <w:rPr>
          <w:rFonts w:ascii="Times New Roman" w:hAnsi="Times New Roman" w:eastAsia="Times New Roman" w:cs="Times New Roman"/>
          <w:sz w:val="15"/>
          <w:szCs w:val="15"/>
          <w:spacing w:val="9"/>
          <w:position w:val="7"/>
        </w:rPr>
        <w:t>3</w:t>
      </w:r>
      <w:r>
        <w:rPr>
          <w:rFonts w:ascii="Times New Roman" w:hAnsi="Times New Roman" w:eastAsia="Times New Roman" w:cs="Times New Roman"/>
          <w:sz w:val="15"/>
          <w:szCs w:val="15"/>
          <w:spacing w:val="13"/>
          <w:w w:val="102"/>
          <w:position w:val="7"/>
        </w:rPr>
        <w:t xml:space="preserve"> </w:t>
      </w:r>
      <w:r>
        <w:rPr>
          <w:rFonts w:ascii="FangSong" w:hAnsi="FangSong" w:eastAsia="FangSong" w:cs="FangSong"/>
          <w:sz w:val="24"/>
          <w:szCs w:val="24"/>
          <w:spacing w:val="9"/>
        </w:rPr>
        <w:t>，排放速率为</w:t>
      </w:r>
      <w:r>
        <w:rPr>
          <w:rFonts w:ascii="Times New Roman" w:hAnsi="Times New Roman" w:eastAsia="Times New Roman" w:cs="Times New Roman"/>
          <w:sz w:val="24"/>
          <w:szCs w:val="24"/>
          <w:spacing w:val="-2"/>
        </w:rPr>
        <w:t>0.003kg/h</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0.015</w:t>
      </w:r>
      <w:r>
        <w:rPr>
          <w:rFonts w:ascii="Times New Roman" w:hAnsi="Times New Roman" w:eastAsia="Times New Roman" w:cs="Times New Roman"/>
          <w:sz w:val="24"/>
          <w:szCs w:val="24"/>
          <w:spacing w:val="-3"/>
        </w:rPr>
        <w:t>t/a</w:t>
      </w:r>
      <w:r>
        <w:rPr>
          <w:rFonts w:ascii="FangSong" w:hAnsi="FangSong" w:eastAsia="FangSong" w:cs="FangSong"/>
          <w:sz w:val="24"/>
          <w:szCs w:val="24"/>
          <w:spacing w:val="-3"/>
        </w:rPr>
        <w:t>；有组织粉尘颗粒物排放浓度为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0.921mg/m</w:t>
      </w:r>
      <w:r>
        <w:rPr>
          <w:rFonts w:ascii="Times New Roman" w:hAnsi="Times New Roman" w:eastAsia="Times New Roman" w:cs="Times New Roman"/>
          <w:sz w:val="15"/>
          <w:szCs w:val="15"/>
          <w:spacing w:val="-3"/>
          <w:position w:val="8"/>
        </w:rPr>
        <w:t>3</w:t>
      </w:r>
      <w:r>
        <w:rPr>
          <w:rFonts w:ascii="FangSong" w:hAnsi="FangSong" w:eastAsia="FangSong" w:cs="FangSong"/>
          <w:sz w:val="24"/>
          <w:szCs w:val="24"/>
          <w:spacing w:val="-3"/>
        </w:rPr>
        <w:t>，排放速率</w:t>
      </w:r>
      <w:r>
        <w:rPr>
          <w:rFonts w:ascii="FangSong" w:hAnsi="FangSong" w:eastAsia="FangSong" w:cs="FangSong"/>
          <w:sz w:val="24"/>
          <w:szCs w:val="24"/>
          <w:spacing w:val="-2"/>
        </w:rPr>
        <w:t>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0.005kg/h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，排放量为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0.022t/a</w:t>
      </w:r>
      <w:r>
        <w:rPr>
          <w:rFonts w:ascii="FangSong" w:hAnsi="FangSong" w:eastAsia="FangSong" w:cs="FangSong"/>
          <w:sz w:val="24"/>
          <w:szCs w:val="24"/>
          <w:spacing w:val="-2"/>
        </w:rPr>
        <w:t>；无组织氟化物排放量为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0.02</w:t>
      </w:r>
      <w:r>
        <w:rPr>
          <w:rFonts w:ascii="Times New Roman" w:hAnsi="Times New Roman" w:eastAsia="Times New Roman" w:cs="Times New Roman"/>
          <w:sz w:val="24"/>
          <w:szCs w:val="24"/>
          <w:spacing w:val="-3"/>
        </w:rPr>
        <w:t>9t/a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，无组织粉尘颗粒</w:t>
      </w:r>
      <w:r>
        <w:rPr>
          <w:rFonts w:ascii="FangSong" w:hAnsi="FangSong" w:eastAsia="FangSong" w:cs="FangSong"/>
          <w:sz w:val="24"/>
          <w:szCs w:val="24"/>
          <w:spacing w:val="-2"/>
        </w:rPr>
        <w:t>物排放量为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0.043t/a</w:t>
      </w:r>
      <w:r>
        <w:rPr>
          <w:rFonts w:ascii="FangSong" w:hAnsi="FangSong" w:eastAsia="FangSong" w:cs="FangSong"/>
          <w:sz w:val="24"/>
          <w:szCs w:val="24"/>
          <w:spacing w:val="-2"/>
        </w:rPr>
        <w:t>。</w:t>
      </w:r>
    </w:p>
    <w:p>
      <w:pPr>
        <w:ind w:left="498"/>
        <w:spacing w:before="15" w:line="222" w:lineRule="auto"/>
        <w:rPr>
          <w:rFonts w:ascii="FangSong" w:hAnsi="FangSong" w:eastAsia="FangSong" w:cs="FangSong"/>
          <w:sz w:val="24"/>
          <w:szCs w:val="24"/>
        </w:rPr>
      </w:pPr>
      <w:r>
        <w:rPr>
          <w:rFonts w:ascii="FangSong" w:hAnsi="FangSong" w:eastAsia="FangSong" w:cs="FangSong"/>
          <w:sz w:val="24"/>
          <w:szCs w:val="24"/>
          <w:spacing w:val="-5"/>
        </w:rPr>
        <w:t>⑤</w:t>
      </w:r>
      <w:r>
        <w:rPr>
          <w:rFonts w:ascii="FangSong" w:hAnsi="FangSong" w:eastAsia="FangSong" w:cs="FangSong"/>
          <w:sz w:val="24"/>
          <w:szCs w:val="24"/>
          <w:spacing w:val="16"/>
        </w:rPr>
        <w:t xml:space="preserve"> </w:t>
      </w:r>
      <w:r>
        <w:rPr>
          <w:rFonts w:ascii="FangSong" w:hAnsi="FangSong" w:eastAsia="FangSong" w:cs="FangSong"/>
          <w:sz w:val="24"/>
          <w:szCs w:val="24"/>
          <w:spacing w:val="-5"/>
        </w:rPr>
        <w:t>食堂油烟</w:t>
      </w:r>
    </w:p>
    <w:p>
      <w:pPr>
        <w:ind w:left="26" w:right="80"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项目办公生活区设置一个食堂，为项目员工提供早中晚三餐。项目最大用餐员</w:t>
      </w:r>
      <w:r>
        <w:rPr>
          <w:rFonts w:ascii="FangSong" w:hAnsi="FangSong" w:eastAsia="FangSong" w:cs="FangSong"/>
          <w:sz w:val="24"/>
          <w:szCs w:val="24"/>
        </w:rPr>
        <w:t>工人数为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134</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人。根据《中国居民膳食指南（</w:t>
      </w:r>
      <w:r>
        <w:rPr>
          <w:rFonts w:ascii="Times New Roman" w:hAnsi="Times New Roman" w:eastAsia="Times New Roman" w:cs="Times New Roman"/>
          <w:sz w:val="24"/>
          <w:szCs w:val="24"/>
        </w:rPr>
        <w:t>2016</w:t>
      </w:r>
      <w:r>
        <w:rPr>
          <w:rFonts w:ascii="FangSong" w:hAnsi="FangSong" w:eastAsia="FangSong" w:cs="FangSong"/>
          <w:sz w:val="24"/>
          <w:szCs w:val="24"/>
        </w:rPr>
        <w:t>）》</w:t>
      </w:r>
      <w:r>
        <w:rPr>
          <w:rFonts w:ascii="FangSong" w:hAnsi="FangSong" w:eastAsia="FangSong" w:cs="FangSong"/>
          <w:sz w:val="24"/>
          <w:szCs w:val="24"/>
          <w:spacing w:val="-1"/>
        </w:rPr>
        <w:t>推荐每日成年人食用油摄入</w:t>
      </w:r>
      <w:r>
        <w:rPr>
          <w:rFonts w:ascii="FangSong" w:hAnsi="FangSong" w:eastAsia="FangSong" w:cs="FangSong"/>
          <w:sz w:val="24"/>
          <w:szCs w:val="24"/>
          <w:spacing w:val="-3"/>
        </w:rPr>
        <w:t>量为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25-30g</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，本项目食用油使用量按</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30g/</w:t>
      </w:r>
      <w:r>
        <w:rPr>
          <w:rFonts w:ascii="FangSong" w:hAnsi="FangSong" w:eastAsia="FangSong" w:cs="FangSong"/>
          <w:sz w:val="24"/>
          <w:szCs w:val="24"/>
          <w:spacing w:val="-3"/>
        </w:rPr>
        <w:t>人</w:t>
      </w:r>
      <w:r>
        <w:rPr>
          <w:rFonts w:ascii="FangSong" w:hAnsi="FangSong" w:eastAsia="FangSong" w:cs="FangSong"/>
          <w:sz w:val="24"/>
          <w:szCs w:val="24"/>
          <w:spacing w:val="-25"/>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d  </w:t>
      </w:r>
      <w:r>
        <w:rPr>
          <w:rFonts w:ascii="FangSong" w:hAnsi="FangSong" w:eastAsia="FangSong" w:cs="FangSong"/>
          <w:sz w:val="24"/>
          <w:szCs w:val="24"/>
          <w:spacing w:val="-3"/>
        </w:rPr>
        <w:t>计算，则计算得本项目</w:t>
      </w:r>
      <w:r>
        <w:rPr>
          <w:rFonts w:ascii="FangSong" w:hAnsi="FangSong" w:eastAsia="FangSong" w:cs="FangSong"/>
          <w:sz w:val="24"/>
          <w:szCs w:val="24"/>
          <w:spacing w:val="-4"/>
        </w:rPr>
        <w:t>员工食堂食</w:t>
      </w:r>
      <w:r>
        <w:rPr>
          <w:rFonts w:ascii="FangSong" w:hAnsi="FangSong" w:eastAsia="FangSong" w:cs="FangSong"/>
          <w:sz w:val="24"/>
          <w:szCs w:val="24"/>
          <w:spacing w:val="-3"/>
        </w:rPr>
        <w:t>用油使用量为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1.206t/a</w:t>
      </w:r>
      <w:r>
        <w:rPr>
          <w:rFonts w:ascii="Times New Roman" w:hAnsi="Times New Roman" w:eastAsia="Times New Roman" w:cs="Times New Roman"/>
          <w:sz w:val="24"/>
          <w:szCs w:val="24"/>
          <w:spacing w:val="57"/>
          <w:w w:val="101"/>
        </w:rPr>
        <w:t xml:space="preserve"> </w:t>
      </w:r>
      <w:r>
        <w:rPr>
          <w:rFonts w:ascii="FangSong" w:hAnsi="FangSong" w:eastAsia="FangSong" w:cs="FangSong"/>
          <w:sz w:val="24"/>
          <w:szCs w:val="24"/>
          <w:spacing w:val="-3"/>
        </w:rPr>
        <w:t>。油烟的产生量通常为食用油</w:t>
      </w:r>
      <w:r>
        <w:rPr>
          <w:rFonts w:ascii="FangSong" w:hAnsi="FangSong" w:eastAsia="FangSong" w:cs="FangSong"/>
          <w:sz w:val="24"/>
          <w:szCs w:val="24"/>
          <w:spacing w:val="-4"/>
        </w:rPr>
        <w:t>用量的</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，则食堂油烟产生量</w:t>
      </w:r>
      <w:r>
        <w:rPr>
          <w:rFonts w:ascii="FangSong" w:hAnsi="FangSong" w:eastAsia="FangSong" w:cs="FangSong"/>
          <w:sz w:val="24"/>
          <w:szCs w:val="24"/>
          <w:spacing w:val="-3"/>
        </w:rPr>
        <w:t>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0.036t/a</w:t>
      </w:r>
      <w:r>
        <w:rPr>
          <w:rFonts w:ascii="FangSong" w:hAnsi="FangSong" w:eastAsia="FangSong" w:cs="FangSong"/>
          <w:sz w:val="24"/>
          <w:szCs w:val="24"/>
          <w:spacing w:val="-3"/>
        </w:rPr>
        <w:t>。</w:t>
      </w:r>
    </w:p>
    <w:p>
      <w:pPr>
        <w:ind w:left="19" w:right="83" w:firstLine="488"/>
        <w:spacing w:line="358" w:lineRule="auto"/>
        <w:jc w:val="both"/>
        <w:rPr>
          <w:rFonts w:ascii="FangSong" w:hAnsi="FangSong" w:eastAsia="FangSong" w:cs="FangSong"/>
          <w:sz w:val="24"/>
          <w:szCs w:val="24"/>
        </w:rPr>
      </w:pPr>
      <w:r>
        <w:rPr>
          <w:rFonts w:ascii="FangSong" w:hAnsi="FangSong" w:eastAsia="FangSong" w:cs="FangSong"/>
          <w:sz w:val="24"/>
          <w:szCs w:val="24"/>
          <w:spacing w:val="-5"/>
        </w:rPr>
        <w:t>项目食堂厨房设置</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5"/>
        </w:rPr>
        <w:t>个灶头，单个灶头风机风量按</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1500m3/h  </w:t>
      </w:r>
      <w:r>
        <w:rPr>
          <w:rFonts w:ascii="FangSong" w:hAnsi="FangSong" w:eastAsia="FangSong" w:cs="FangSong"/>
          <w:sz w:val="24"/>
          <w:szCs w:val="24"/>
          <w:spacing w:val="-5"/>
        </w:rPr>
        <w:t>计，每</w:t>
      </w:r>
      <w:r>
        <w:rPr>
          <w:rFonts w:ascii="FangSong" w:hAnsi="FangSong" w:eastAsia="FangSong" w:cs="FangSong"/>
          <w:sz w:val="24"/>
          <w:szCs w:val="24"/>
          <w:spacing w:val="-6"/>
        </w:rPr>
        <w:t>顿烧炸工况</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3"/>
        </w:rPr>
        <w:t>小时计，计算产生浓度为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8.933mg/m3  </w:t>
      </w:r>
      <w:r>
        <w:rPr>
          <w:rFonts w:ascii="FangSong" w:hAnsi="FangSong" w:eastAsia="FangSong" w:cs="FangSong"/>
          <w:sz w:val="24"/>
          <w:szCs w:val="24"/>
          <w:spacing w:val="-3"/>
        </w:rPr>
        <w:t>。本次设计采用油烟净化器对产生的食堂油</w:t>
      </w:r>
      <w:r>
        <w:rPr>
          <w:rFonts w:ascii="FangSong" w:hAnsi="FangSong" w:eastAsia="FangSong" w:cs="FangSong"/>
          <w:sz w:val="24"/>
          <w:szCs w:val="24"/>
          <w:spacing w:val="1"/>
        </w:rPr>
        <w:t>烟进行收集处理，根据《饮食业油烟排放标准》（试行</w:t>
      </w:r>
      <w:r>
        <w:rPr>
          <w:rFonts w:ascii="FangSong" w:hAnsi="FangSong" w:eastAsia="FangSong" w:cs="FangSong"/>
          <w:sz w:val="24"/>
          <w:szCs w:val="24"/>
          <w:spacing w:val="-18"/>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184</w:t>
      </w:r>
      <w:r>
        <w:rPr>
          <w:rFonts w:ascii="Times New Roman" w:hAnsi="Times New Roman" w:eastAsia="Times New Roman" w:cs="Times New Roman"/>
          <w:sz w:val="24"/>
          <w:szCs w:val="24"/>
        </w:rPr>
        <w:t>83-2001</w:t>
      </w:r>
      <w:r>
        <w:rPr>
          <w:rFonts w:ascii="FangSong" w:hAnsi="FangSong" w:eastAsia="FangSong" w:cs="FangSong"/>
          <w:sz w:val="24"/>
          <w:szCs w:val="24"/>
        </w:rPr>
        <w:t>）中型规</w:t>
      </w:r>
      <w:r>
        <w:rPr>
          <w:rFonts w:ascii="FangSong" w:hAnsi="FangSong" w:eastAsia="FangSong" w:cs="FangSong"/>
          <w:sz w:val="24"/>
          <w:szCs w:val="24"/>
        </w:rPr>
        <w:t>模的标准，油烟净化技术的去除率为</w:t>
      </w:r>
      <w:r>
        <w:rPr>
          <w:rFonts w:ascii="Times New Roman" w:hAnsi="Times New Roman" w:eastAsia="Times New Roman" w:cs="Times New Roman"/>
          <w:sz w:val="24"/>
          <w:szCs w:val="24"/>
        </w:rPr>
        <w:t>75%</w:t>
      </w:r>
      <w:r>
        <w:rPr>
          <w:rFonts w:ascii="FangSong" w:hAnsi="FangSong" w:eastAsia="FangSong" w:cs="FangSong"/>
          <w:sz w:val="24"/>
          <w:szCs w:val="24"/>
        </w:rPr>
        <w:t>以上，本次处理效率取</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80%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。产生的食堂</w:t>
      </w:r>
      <w:r>
        <w:rPr>
          <w:rFonts w:ascii="FangSong" w:hAnsi="FangSong" w:eastAsia="FangSong" w:cs="FangSong"/>
          <w:sz w:val="24"/>
          <w:szCs w:val="24"/>
          <w:spacing w:val="6"/>
        </w:rPr>
        <w:t>油烟全部收集进入油烟净化器处理（处理效率以</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6"/>
        </w:rPr>
        <w:t>80%</w:t>
      </w:r>
      <w:r>
        <w:rPr>
          <w:rFonts w:ascii="FangSong" w:hAnsi="FangSong" w:eastAsia="FangSong" w:cs="FangSong"/>
          <w:sz w:val="24"/>
          <w:szCs w:val="24"/>
          <w:spacing w:val="6"/>
        </w:rPr>
        <w:t>计</w:t>
      </w:r>
      <w:r>
        <w:rPr>
          <w:rFonts w:ascii="FangSong" w:hAnsi="FangSong" w:eastAsia="FangSong" w:cs="FangSong"/>
          <w:sz w:val="24"/>
          <w:szCs w:val="24"/>
          <w:spacing w:val="-4"/>
        </w:rPr>
        <w:t>）</w:t>
      </w:r>
      <w:r>
        <w:rPr>
          <w:rFonts w:ascii="FangSong" w:hAnsi="FangSong" w:eastAsia="FangSong" w:cs="FangSong"/>
          <w:sz w:val="24"/>
          <w:szCs w:val="24"/>
          <w:spacing w:val="-70"/>
        </w:rPr>
        <w:t xml:space="preserve"> </w:t>
      </w:r>
      <w:r>
        <w:rPr>
          <w:rFonts w:ascii="FangSong" w:hAnsi="FangSong" w:eastAsia="FangSong" w:cs="FangSong"/>
          <w:sz w:val="24"/>
          <w:szCs w:val="24"/>
          <w:spacing w:val="-4"/>
        </w:rPr>
        <w:t>，</w:t>
      </w:r>
      <w:r>
        <w:rPr>
          <w:rFonts w:ascii="FangSong" w:hAnsi="FangSong" w:eastAsia="FangSong" w:cs="FangSong"/>
          <w:sz w:val="24"/>
          <w:szCs w:val="24"/>
          <w:spacing w:val="6"/>
        </w:rPr>
        <w:t>则食堂油烟</w:t>
      </w:r>
      <w:r>
        <w:rPr>
          <w:rFonts w:ascii="FangSong" w:hAnsi="FangSong" w:eastAsia="FangSong" w:cs="FangSong"/>
          <w:sz w:val="24"/>
          <w:szCs w:val="24"/>
          <w:spacing w:val="5"/>
        </w:rPr>
        <w:t>排放量为</w:t>
      </w:r>
      <w:r>
        <w:rPr>
          <w:rFonts w:ascii="Times New Roman" w:hAnsi="Times New Roman" w:eastAsia="Times New Roman" w:cs="Times New Roman"/>
          <w:sz w:val="24"/>
          <w:szCs w:val="24"/>
          <w:spacing w:val="-3"/>
        </w:rPr>
        <w:t>0.007t/a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，排放浓度为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1.787mg/m3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处理后的</w:t>
      </w:r>
      <w:r>
        <w:rPr>
          <w:rFonts w:ascii="FangSong" w:hAnsi="FangSong" w:eastAsia="FangSong" w:cs="FangSong"/>
          <w:sz w:val="24"/>
          <w:szCs w:val="24"/>
          <w:spacing w:val="-4"/>
        </w:rPr>
        <w:t>油烟通过专用烟道引至屋顶排放。</w:t>
      </w:r>
    </w:p>
    <w:p>
      <w:pPr>
        <w:spacing w:before="10" w:line="221" w:lineRule="auto"/>
        <w:jc w:val="right"/>
        <w:rPr>
          <w:rFonts w:ascii="FangSong" w:hAnsi="FangSong" w:eastAsia="FangSong" w:cs="FangSong"/>
          <w:sz w:val="24"/>
          <w:szCs w:val="24"/>
        </w:rPr>
      </w:pPr>
      <w:r>
        <w:rPr>
          <w:rFonts w:ascii="FangSong" w:hAnsi="FangSong" w:eastAsia="FangSong" w:cs="FangSong"/>
          <w:sz w:val="24"/>
          <w:szCs w:val="24"/>
          <w:spacing w:val="-2"/>
        </w:rPr>
        <w:t>综合以上各废气污染源分析，本项目运营期间废气污染物排放情</w:t>
      </w:r>
      <w:r>
        <w:rPr>
          <w:rFonts w:ascii="FangSong" w:hAnsi="FangSong" w:eastAsia="FangSong" w:cs="FangSong"/>
          <w:sz w:val="24"/>
          <w:szCs w:val="24"/>
          <w:spacing w:val="-3"/>
        </w:rPr>
        <w:t>况见表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4.13-8</w:t>
      </w:r>
      <w:r>
        <w:rPr>
          <w:rFonts w:ascii="FangSong" w:hAnsi="FangSong" w:eastAsia="FangSong" w:cs="FangSong"/>
          <w:sz w:val="24"/>
          <w:szCs w:val="24"/>
          <w:spacing w:val="-3"/>
        </w:rPr>
        <w:t>。</w:t>
      </w:r>
    </w:p>
    <w:p>
      <w:pPr>
        <w:spacing w:line="221" w:lineRule="auto"/>
        <w:sectPr>
          <w:footerReference w:type="default" r:id="rId188"/>
          <w:pgSz w:w="11911" w:h="16839"/>
          <w:pgMar w:top="400" w:right="1335" w:bottom="1146" w:left="1786" w:header="0" w:footer="984" w:gutter="0"/>
        </w:sectPr>
        <w:rPr>
          <w:rFonts w:ascii="FangSong" w:hAnsi="FangSong" w:eastAsia="FangSong" w:cs="FangSong"/>
          <w:sz w:val="24"/>
          <w:szCs w:val="24"/>
        </w:rPr>
      </w:pP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4557"/>
        <w:spacing w:before="78" w:line="221" w:lineRule="auto"/>
        <w:rPr>
          <w:rFonts w:ascii="FangSong" w:hAnsi="FangSong" w:eastAsia="FangSong" w:cs="FangSong"/>
          <w:sz w:val="24"/>
          <w:szCs w:val="24"/>
        </w:rPr>
      </w:pPr>
      <w:bookmarkStart w:name="bookmark558" w:id="256"/>
      <w:bookmarkEnd w:id="256"/>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4.13-8  </w:t>
      </w:r>
      <w:r>
        <w:rPr>
          <w:rFonts w:ascii="FangSong" w:hAnsi="FangSong" w:eastAsia="FangSong" w:cs="FangSong"/>
          <w:sz w:val="24"/>
          <w:szCs w:val="24"/>
          <w:b/>
          <w:bCs/>
          <w:spacing w:val="-2"/>
        </w:rPr>
        <w:t>项目运营期废气污染物排放统计</w:t>
      </w:r>
      <w:r>
        <w:rPr>
          <w:rFonts w:ascii="FangSong" w:hAnsi="FangSong" w:eastAsia="FangSong" w:cs="FangSong"/>
          <w:sz w:val="24"/>
          <w:szCs w:val="24"/>
          <w:b/>
          <w:bCs/>
          <w:spacing w:val="-3"/>
        </w:rPr>
        <w:t>一览表</w:t>
      </w:r>
    </w:p>
    <w:p>
      <w:pPr>
        <w:spacing w:line="144" w:lineRule="exact"/>
        <w:rPr/>
      </w:pPr>
      <w:r/>
    </w:p>
    <w:tbl>
      <w:tblPr>
        <w:tblStyle w:val="TableNormal"/>
        <w:tblW w:w="1420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933"/>
        <w:gridCol w:w="756"/>
        <w:gridCol w:w="1312"/>
        <w:gridCol w:w="1305"/>
        <w:gridCol w:w="988"/>
        <w:gridCol w:w="1086"/>
        <w:gridCol w:w="929"/>
        <w:gridCol w:w="1225"/>
        <w:gridCol w:w="934"/>
        <w:gridCol w:w="995"/>
        <w:gridCol w:w="1118"/>
        <w:gridCol w:w="1266"/>
      </w:tblGrid>
      <w:tr>
        <w:trPr>
          <w:trHeight w:val="637" w:hRule="atLeast"/>
        </w:trPr>
        <w:tc>
          <w:tcPr>
            <w:tcW w:w="1358" w:type="dxa"/>
            <w:vAlign w:val="top"/>
            <w:vMerge w:val="restart"/>
            <w:tcBorders>
              <w:left w:val="nil"/>
              <w:top w:val="single" w:color="000000" w:sz="10" w:space="0"/>
              <w:bottom w:val="nil"/>
            </w:tcBorders>
          </w:tcPr>
          <w:p>
            <w:pPr>
              <w:spacing w:line="274" w:lineRule="auto"/>
              <w:rPr>
                <w:rFonts w:ascii="Arial"/>
                <w:sz w:val="21"/>
              </w:rPr>
            </w:pPr>
            <w:r/>
          </w:p>
          <w:p>
            <w:pPr>
              <w:spacing w:line="275" w:lineRule="auto"/>
              <w:rPr>
                <w:rFonts w:ascii="Arial"/>
                <w:sz w:val="21"/>
              </w:rPr>
            </w:pPr>
            <w:r/>
          </w:p>
          <w:p>
            <w:pPr>
              <w:pStyle w:val="TableText"/>
              <w:ind w:left="314"/>
              <w:spacing w:before="45" w:line="234" w:lineRule="auto"/>
              <w:rPr>
                <w:sz w:val="14"/>
                <w:szCs w:val="14"/>
              </w:rPr>
            </w:pPr>
            <w:r>
              <w:rPr>
                <w:sz w:val="14"/>
                <w:szCs w:val="14"/>
                <w:spacing w:val="7"/>
              </w:rPr>
              <w:t>产排污环节</w:t>
            </w:r>
          </w:p>
        </w:tc>
        <w:tc>
          <w:tcPr>
            <w:tcW w:w="933" w:type="dxa"/>
            <w:vAlign w:val="top"/>
            <w:vMerge w:val="restart"/>
            <w:tcBorders>
              <w:top w:val="single" w:color="000000" w:sz="10" w:space="0"/>
              <w:bottom w:val="nil"/>
            </w:tcBorders>
          </w:tcPr>
          <w:p>
            <w:pPr>
              <w:spacing w:line="454" w:lineRule="auto"/>
              <w:rPr>
                <w:rFonts w:ascii="Arial"/>
                <w:sz w:val="21"/>
              </w:rPr>
            </w:pPr>
            <w:r/>
          </w:p>
          <w:p>
            <w:pPr>
              <w:pStyle w:val="TableText"/>
              <w:ind w:left="399" w:right="167" w:hanging="224"/>
              <w:spacing w:before="46" w:line="257" w:lineRule="auto"/>
              <w:rPr>
                <w:sz w:val="14"/>
                <w:szCs w:val="14"/>
              </w:rPr>
            </w:pPr>
            <w:r>
              <w:rPr>
                <w:sz w:val="14"/>
                <w:szCs w:val="14"/>
                <w:spacing w:val="6"/>
              </w:rPr>
              <w:t>污染物种</w:t>
            </w:r>
            <w:r>
              <w:rPr>
                <w:sz w:val="14"/>
                <w:szCs w:val="14"/>
              </w:rPr>
              <w:t>类</w:t>
            </w:r>
          </w:p>
        </w:tc>
        <w:tc>
          <w:tcPr>
            <w:tcW w:w="756" w:type="dxa"/>
            <w:vAlign w:val="top"/>
            <w:vMerge w:val="restart"/>
            <w:tcBorders>
              <w:top w:val="single" w:color="000000" w:sz="10" w:space="0"/>
              <w:bottom w:val="nil"/>
            </w:tcBorders>
          </w:tcPr>
          <w:p>
            <w:pPr>
              <w:spacing w:line="453" w:lineRule="auto"/>
              <w:rPr>
                <w:rFonts w:ascii="Arial"/>
                <w:sz w:val="21"/>
              </w:rPr>
            </w:pPr>
            <w:r/>
          </w:p>
          <w:p>
            <w:pPr>
              <w:pStyle w:val="TableText"/>
              <w:ind w:left="313" w:right="150" w:hanging="154"/>
              <w:spacing w:before="46" w:line="257" w:lineRule="auto"/>
              <w:rPr>
                <w:sz w:val="14"/>
                <w:szCs w:val="14"/>
              </w:rPr>
            </w:pPr>
            <w:r>
              <w:rPr>
                <w:sz w:val="14"/>
                <w:szCs w:val="14"/>
                <w:spacing w:val="6"/>
              </w:rPr>
              <w:t>排放形</w:t>
            </w:r>
            <w:r>
              <w:rPr>
                <w:sz w:val="14"/>
                <w:szCs w:val="14"/>
              </w:rPr>
              <w:t>式</w:t>
            </w:r>
          </w:p>
        </w:tc>
        <w:tc>
          <w:tcPr>
            <w:tcW w:w="1312" w:type="dxa"/>
            <w:vAlign w:val="top"/>
            <w:vMerge w:val="restart"/>
            <w:tcBorders>
              <w:top w:val="single" w:color="000000" w:sz="10" w:space="0"/>
              <w:bottom w:val="nil"/>
            </w:tcBorders>
          </w:tcPr>
          <w:p>
            <w:pPr>
              <w:spacing w:line="274" w:lineRule="auto"/>
              <w:rPr>
                <w:rFonts w:ascii="Arial"/>
                <w:sz w:val="21"/>
              </w:rPr>
            </w:pPr>
            <w:r/>
          </w:p>
          <w:p>
            <w:pPr>
              <w:spacing w:line="275" w:lineRule="auto"/>
              <w:rPr>
                <w:rFonts w:ascii="Arial"/>
                <w:sz w:val="21"/>
              </w:rPr>
            </w:pPr>
            <w:r/>
          </w:p>
          <w:p>
            <w:pPr>
              <w:pStyle w:val="TableText"/>
              <w:ind w:left="148"/>
              <w:spacing w:before="45" w:line="237" w:lineRule="auto"/>
              <w:rPr>
                <w:sz w:val="14"/>
                <w:szCs w:val="14"/>
              </w:rPr>
            </w:pPr>
            <w:r>
              <w:rPr>
                <w:sz w:val="14"/>
                <w:szCs w:val="14"/>
                <w:spacing w:val="5"/>
              </w:rPr>
              <w:t>废气量（</w:t>
            </w:r>
            <w:r>
              <w:rPr>
                <w:rFonts w:ascii="Times New Roman" w:hAnsi="Times New Roman" w:eastAsia="Times New Roman" w:cs="Times New Roman"/>
                <w:sz w:val="14"/>
                <w:szCs w:val="14"/>
                <w:spacing w:val="5"/>
              </w:rPr>
              <w:t>m</w:t>
            </w:r>
            <w:r>
              <w:rPr>
                <w:rFonts w:ascii="Times New Roman" w:hAnsi="Times New Roman" w:eastAsia="Times New Roman" w:cs="Times New Roman"/>
                <w:sz w:val="9"/>
                <w:szCs w:val="9"/>
                <w:spacing w:val="5"/>
                <w:position w:val="4"/>
              </w:rPr>
              <w:t>3</w:t>
            </w:r>
            <w:r>
              <w:rPr>
                <w:rFonts w:ascii="Times New Roman" w:hAnsi="Times New Roman" w:eastAsia="Times New Roman" w:cs="Times New Roman"/>
                <w:sz w:val="14"/>
                <w:szCs w:val="14"/>
                <w:spacing w:val="5"/>
              </w:rPr>
              <w:t>/h</w:t>
            </w:r>
            <w:r>
              <w:rPr>
                <w:sz w:val="14"/>
                <w:szCs w:val="14"/>
                <w:spacing w:val="5"/>
              </w:rPr>
              <w:t>）</w:t>
            </w:r>
          </w:p>
        </w:tc>
        <w:tc>
          <w:tcPr>
            <w:tcW w:w="3379" w:type="dxa"/>
            <w:vAlign w:val="top"/>
            <w:gridSpan w:val="3"/>
            <w:tcBorders>
              <w:top w:val="single" w:color="000000" w:sz="10" w:space="0"/>
            </w:tcBorders>
          </w:tcPr>
          <w:p>
            <w:pPr>
              <w:pStyle w:val="TableText"/>
              <w:ind w:left="1023"/>
              <w:spacing w:before="243" w:line="233" w:lineRule="auto"/>
              <w:rPr>
                <w:sz w:val="14"/>
                <w:szCs w:val="14"/>
              </w:rPr>
            </w:pPr>
            <w:r>
              <w:rPr>
                <w:sz w:val="14"/>
                <w:szCs w:val="14"/>
                <w:spacing w:val="8"/>
              </w:rPr>
              <w:t>污染物产生量和浓度</w:t>
            </w:r>
          </w:p>
        </w:tc>
        <w:tc>
          <w:tcPr>
            <w:tcW w:w="929" w:type="dxa"/>
            <w:vAlign w:val="top"/>
            <w:tcBorders>
              <w:top w:val="single" w:color="000000" w:sz="10" w:space="0"/>
            </w:tcBorders>
          </w:tcPr>
          <w:p>
            <w:pPr>
              <w:pStyle w:val="TableText"/>
              <w:ind w:left="319" w:right="164" w:hanging="145"/>
              <w:spacing w:before="147" w:line="257" w:lineRule="auto"/>
              <w:rPr>
                <w:sz w:val="14"/>
                <w:szCs w:val="14"/>
              </w:rPr>
            </w:pPr>
            <w:r>
              <w:rPr>
                <w:sz w:val="14"/>
                <w:szCs w:val="14"/>
                <w:spacing w:val="6"/>
              </w:rPr>
              <w:t>污染治理</w:t>
            </w:r>
            <w:r>
              <w:rPr>
                <w:sz w:val="14"/>
                <w:szCs w:val="14"/>
                <w:spacing w:val="4"/>
              </w:rPr>
              <w:t>设施</w:t>
            </w:r>
          </w:p>
        </w:tc>
        <w:tc>
          <w:tcPr>
            <w:tcW w:w="3154" w:type="dxa"/>
            <w:vAlign w:val="top"/>
            <w:gridSpan w:val="3"/>
            <w:tcBorders>
              <w:top w:val="single" w:color="000000" w:sz="10" w:space="0"/>
            </w:tcBorders>
          </w:tcPr>
          <w:p>
            <w:pPr>
              <w:pStyle w:val="TableText"/>
              <w:ind w:left="911"/>
              <w:spacing w:before="243" w:line="233" w:lineRule="auto"/>
              <w:rPr>
                <w:sz w:val="14"/>
                <w:szCs w:val="14"/>
              </w:rPr>
            </w:pPr>
            <w:r>
              <w:rPr>
                <w:sz w:val="14"/>
                <w:szCs w:val="14"/>
                <w:spacing w:val="8"/>
              </w:rPr>
              <w:t>污染物排放量和浓度</w:t>
            </w:r>
          </w:p>
        </w:tc>
        <w:tc>
          <w:tcPr>
            <w:tcW w:w="1118" w:type="dxa"/>
            <w:vAlign w:val="top"/>
            <w:vMerge w:val="restart"/>
            <w:tcBorders>
              <w:top w:val="single" w:color="000000" w:sz="10" w:space="0"/>
              <w:bottom w:val="nil"/>
            </w:tcBorders>
          </w:tcPr>
          <w:p>
            <w:pPr>
              <w:spacing w:line="454" w:lineRule="auto"/>
              <w:rPr>
                <w:rFonts w:ascii="Arial"/>
                <w:sz w:val="21"/>
              </w:rPr>
            </w:pPr>
            <w:r/>
          </w:p>
          <w:p>
            <w:pPr>
              <w:pStyle w:val="TableText"/>
              <w:ind w:left="490" w:right="109" w:hanging="376"/>
              <w:spacing w:before="46" w:line="257" w:lineRule="auto"/>
              <w:rPr>
                <w:sz w:val="14"/>
                <w:szCs w:val="14"/>
              </w:rPr>
            </w:pPr>
            <w:r>
              <w:rPr>
                <w:sz w:val="14"/>
                <w:szCs w:val="14"/>
                <w:spacing w:val="8"/>
              </w:rPr>
              <w:t>排放口基本情</w:t>
            </w:r>
            <w:r>
              <w:rPr>
                <w:sz w:val="14"/>
                <w:szCs w:val="14"/>
              </w:rPr>
              <w:t>况</w:t>
            </w:r>
          </w:p>
        </w:tc>
        <w:tc>
          <w:tcPr>
            <w:tcW w:w="1266" w:type="dxa"/>
            <w:vAlign w:val="top"/>
            <w:vMerge w:val="restart"/>
            <w:tcBorders>
              <w:right w:val="nil"/>
              <w:top w:val="single" w:color="000000" w:sz="10" w:space="0"/>
              <w:bottom w:val="nil"/>
            </w:tcBorders>
          </w:tcPr>
          <w:p>
            <w:pPr>
              <w:spacing w:line="274" w:lineRule="auto"/>
              <w:rPr>
                <w:rFonts w:ascii="Arial"/>
                <w:sz w:val="21"/>
              </w:rPr>
            </w:pPr>
            <w:r/>
          </w:p>
          <w:p>
            <w:pPr>
              <w:spacing w:line="275" w:lineRule="auto"/>
              <w:rPr>
                <w:rFonts w:ascii="Arial"/>
                <w:sz w:val="21"/>
              </w:rPr>
            </w:pPr>
            <w:r/>
          </w:p>
          <w:p>
            <w:pPr>
              <w:pStyle w:val="TableText"/>
              <w:ind w:left="268"/>
              <w:spacing w:before="46" w:line="232" w:lineRule="auto"/>
              <w:rPr>
                <w:sz w:val="14"/>
                <w:szCs w:val="14"/>
              </w:rPr>
            </w:pPr>
            <w:r>
              <w:rPr>
                <w:sz w:val="14"/>
                <w:szCs w:val="14"/>
                <w:spacing w:val="7"/>
              </w:rPr>
              <w:t>工作小时数</w:t>
            </w:r>
          </w:p>
        </w:tc>
      </w:tr>
      <w:tr>
        <w:trPr>
          <w:trHeight w:val="36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756" w:type="dxa"/>
            <w:vAlign w:val="top"/>
            <w:vMerge w:val="continue"/>
            <w:tcBorders>
              <w:top w:val="nil"/>
              <w:bottom w:val="nil"/>
            </w:tcBorders>
          </w:tcPr>
          <w:p>
            <w:pPr>
              <w:rPr>
                <w:rFonts w:ascii="Arial"/>
                <w:sz w:val="21"/>
              </w:rPr>
            </w:pPr>
            <w:r/>
          </w:p>
        </w:tc>
        <w:tc>
          <w:tcPr>
            <w:tcW w:w="1312" w:type="dxa"/>
            <w:vAlign w:val="top"/>
            <w:vMerge w:val="continue"/>
            <w:tcBorders>
              <w:top w:val="nil"/>
              <w:bottom w:val="nil"/>
            </w:tcBorders>
          </w:tcPr>
          <w:p>
            <w:pPr>
              <w:rPr>
                <w:rFonts w:ascii="Arial"/>
                <w:sz w:val="21"/>
              </w:rPr>
            </w:pPr>
            <w:r/>
          </w:p>
        </w:tc>
        <w:tc>
          <w:tcPr>
            <w:tcW w:w="1305" w:type="dxa"/>
            <w:vAlign w:val="top"/>
          </w:tcPr>
          <w:p>
            <w:pPr>
              <w:pStyle w:val="TableText"/>
              <w:ind w:left="359"/>
              <w:spacing w:before="107" w:line="235" w:lineRule="auto"/>
              <w:rPr>
                <w:sz w:val="14"/>
                <w:szCs w:val="14"/>
              </w:rPr>
            </w:pPr>
            <w:r>
              <w:rPr>
                <w:sz w:val="14"/>
                <w:szCs w:val="14"/>
                <w:spacing w:val="6"/>
              </w:rPr>
              <w:t>产生浓度</w:t>
            </w:r>
          </w:p>
        </w:tc>
        <w:tc>
          <w:tcPr>
            <w:tcW w:w="988" w:type="dxa"/>
            <w:vAlign w:val="top"/>
          </w:tcPr>
          <w:p>
            <w:pPr>
              <w:pStyle w:val="TableText"/>
              <w:ind w:left="201"/>
              <w:spacing w:before="107" w:line="235" w:lineRule="auto"/>
              <w:rPr>
                <w:sz w:val="14"/>
                <w:szCs w:val="14"/>
              </w:rPr>
            </w:pPr>
            <w:r>
              <w:rPr>
                <w:sz w:val="14"/>
                <w:szCs w:val="14"/>
                <w:spacing w:val="6"/>
              </w:rPr>
              <w:t>产生速率</w:t>
            </w:r>
          </w:p>
        </w:tc>
        <w:tc>
          <w:tcPr>
            <w:tcW w:w="1086" w:type="dxa"/>
            <w:vAlign w:val="top"/>
          </w:tcPr>
          <w:p>
            <w:pPr>
              <w:pStyle w:val="TableText"/>
              <w:ind w:left="327"/>
              <w:spacing w:before="107" w:line="236" w:lineRule="auto"/>
              <w:rPr>
                <w:sz w:val="14"/>
                <w:szCs w:val="14"/>
              </w:rPr>
            </w:pPr>
            <w:r>
              <w:rPr>
                <w:sz w:val="14"/>
                <w:szCs w:val="14"/>
                <w:spacing w:val="5"/>
              </w:rPr>
              <w:t>产生量</w:t>
            </w:r>
          </w:p>
        </w:tc>
        <w:tc>
          <w:tcPr>
            <w:tcW w:w="929" w:type="dxa"/>
            <w:vAlign w:val="top"/>
            <w:vMerge w:val="restart"/>
            <w:tcBorders>
              <w:bottom w:val="nil"/>
            </w:tcBorders>
          </w:tcPr>
          <w:p>
            <w:pPr>
              <w:pStyle w:val="TableText"/>
              <w:ind w:left="172"/>
              <w:spacing w:before="277" w:line="241" w:lineRule="auto"/>
              <w:rPr>
                <w:sz w:val="14"/>
                <w:szCs w:val="14"/>
              </w:rPr>
            </w:pPr>
            <w:r>
              <w:rPr>
                <w:sz w:val="14"/>
                <w:szCs w:val="14"/>
                <w:spacing w:val="6"/>
              </w:rPr>
              <w:t>处理工艺</w:t>
            </w:r>
          </w:p>
        </w:tc>
        <w:tc>
          <w:tcPr>
            <w:tcW w:w="1225" w:type="dxa"/>
            <w:vAlign w:val="top"/>
          </w:tcPr>
          <w:p>
            <w:pPr>
              <w:pStyle w:val="TableText"/>
              <w:ind w:left="318"/>
              <w:spacing w:before="107" w:line="234" w:lineRule="auto"/>
              <w:rPr>
                <w:sz w:val="14"/>
                <w:szCs w:val="14"/>
              </w:rPr>
            </w:pPr>
            <w:r>
              <w:rPr>
                <w:sz w:val="14"/>
                <w:szCs w:val="14"/>
                <w:spacing w:val="7"/>
              </w:rPr>
              <w:t>排放浓度</w:t>
            </w:r>
          </w:p>
        </w:tc>
        <w:tc>
          <w:tcPr>
            <w:tcW w:w="934" w:type="dxa"/>
            <w:vAlign w:val="top"/>
          </w:tcPr>
          <w:p>
            <w:pPr>
              <w:pStyle w:val="TableText"/>
              <w:ind w:left="173"/>
              <w:spacing w:before="107" w:line="234" w:lineRule="auto"/>
              <w:rPr>
                <w:sz w:val="14"/>
                <w:szCs w:val="14"/>
              </w:rPr>
            </w:pPr>
            <w:r>
              <w:rPr>
                <w:sz w:val="14"/>
                <w:szCs w:val="14"/>
                <w:spacing w:val="7"/>
              </w:rPr>
              <w:t>排放速率</w:t>
            </w:r>
          </w:p>
        </w:tc>
        <w:tc>
          <w:tcPr>
            <w:tcW w:w="995" w:type="dxa"/>
            <w:vAlign w:val="top"/>
          </w:tcPr>
          <w:p>
            <w:pPr>
              <w:pStyle w:val="TableText"/>
              <w:ind w:left="278"/>
              <w:spacing w:before="107" w:line="234" w:lineRule="auto"/>
              <w:rPr>
                <w:sz w:val="14"/>
                <w:szCs w:val="14"/>
              </w:rPr>
            </w:pPr>
            <w:r>
              <w:rPr>
                <w:sz w:val="14"/>
                <w:szCs w:val="14"/>
                <w:spacing w:val="6"/>
              </w:rPr>
              <w:t>排放量</w:t>
            </w:r>
          </w:p>
        </w:tc>
        <w:tc>
          <w:tcPr>
            <w:tcW w:w="1118" w:type="dxa"/>
            <w:vAlign w:val="top"/>
            <w:vMerge w:val="continue"/>
            <w:tcBorders>
              <w:top w:val="nil"/>
              <w:bottom w:val="nil"/>
            </w:tcBorders>
          </w:tcPr>
          <w:p>
            <w:pPr>
              <w:rPr>
                <w:rFonts w:ascii="Arial"/>
                <w:sz w:val="21"/>
              </w:rPr>
            </w:pPr>
            <w:r/>
          </w:p>
        </w:tc>
        <w:tc>
          <w:tcPr>
            <w:tcW w:w="1266" w:type="dxa"/>
            <w:vAlign w:val="top"/>
            <w:vMerge w:val="continue"/>
            <w:tcBorders>
              <w:right w:val="nil"/>
              <w:top w:val="nil"/>
              <w:bottom w:val="nil"/>
            </w:tcBorders>
          </w:tcPr>
          <w:p>
            <w:pPr>
              <w:rPr>
                <w:rFonts w:ascii="Arial"/>
                <w:sz w:val="21"/>
              </w:rPr>
            </w:pPr>
            <w:r/>
          </w:p>
        </w:tc>
      </w:tr>
      <w:tr>
        <w:trPr>
          <w:trHeight w:val="334" w:hRule="atLeast"/>
        </w:trPr>
        <w:tc>
          <w:tcPr>
            <w:tcW w:w="1358" w:type="dxa"/>
            <w:vAlign w:val="top"/>
            <w:vMerge w:val="continue"/>
            <w:tcBorders>
              <w:left w:val="nil"/>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vMerge w:val="continue"/>
            <w:tcBorders>
              <w:top w:val="nil"/>
            </w:tcBorders>
          </w:tcPr>
          <w:p>
            <w:pPr>
              <w:rPr>
                <w:rFonts w:ascii="Arial"/>
                <w:sz w:val="21"/>
              </w:rPr>
            </w:pPr>
            <w:r/>
          </w:p>
        </w:tc>
        <w:tc>
          <w:tcPr>
            <w:tcW w:w="1312" w:type="dxa"/>
            <w:vAlign w:val="top"/>
            <w:vMerge w:val="continue"/>
            <w:tcBorders>
              <w:top w:val="nil"/>
            </w:tcBorders>
          </w:tcPr>
          <w:p>
            <w:pPr>
              <w:rPr>
                <w:rFonts w:ascii="Arial"/>
                <w:sz w:val="21"/>
              </w:rPr>
            </w:pPr>
            <w:r/>
          </w:p>
        </w:tc>
        <w:tc>
          <w:tcPr>
            <w:tcW w:w="1305" w:type="dxa"/>
            <w:vAlign w:val="top"/>
          </w:tcPr>
          <w:p>
            <w:pPr>
              <w:ind w:left="450"/>
              <w:spacing w:before="105" w:line="221" w:lineRule="auto"/>
              <w:rPr>
                <w:rFonts w:ascii="Times New Roman" w:hAnsi="Times New Roman" w:eastAsia="Times New Roman" w:cs="Times New Roman"/>
                <w:sz w:val="9"/>
                <w:szCs w:val="9"/>
              </w:rPr>
            </w:pPr>
            <w:r>
              <w:rPr>
                <w:rFonts w:ascii="Times New Roman" w:hAnsi="Times New Roman" w:eastAsia="Times New Roman" w:cs="Times New Roman"/>
                <w:sz w:val="14"/>
                <w:szCs w:val="14"/>
              </w:rPr>
              <w:t>mg</w:t>
            </w:r>
            <w:r>
              <w:rPr>
                <w:rFonts w:ascii="Times New Roman" w:hAnsi="Times New Roman" w:eastAsia="Times New Roman" w:cs="Times New Roman"/>
                <w:sz w:val="14"/>
                <w:szCs w:val="14"/>
                <w:spacing w:val="8"/>
              </w:rPr>
              <w:t>/m</w:t>
            </w:r>
            <w:r>
              <w:rPr>
                <w:rFonts w:ascii="Times New Roman" w:hAnsi="Times New Roman" w:eastAsia="Times New Roman" w:cs="Times New Roman"/>
                <w:sz w:val="9"/>
                <w:szCs w:val="9"/>
                <w:spacing w:val="8"/>
                <w:position w:val="4"/>
              </w:rPr>
              <w:t>3</w:t>
            </w:r>
          </w:p>
        </w:tc>
        <w:tc>
          <w:tcPr>
            <w:tcW w:w="988" w:type="dxa"/>
            <w:vAlign w:val="top"/>
          </w:tcPr>
          <w:p>
            <w:pPr>
              <w:ind w:left="357"/>
              <w:spacing w:before="117" w:line="20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kg</w:t>
            </w:r>
            <w:r>
              <w:rPr>
                <w:rFonts w:ascii="Times New Roman" w:hAnsi="Times New Roman" w:eastAsia="Times New Roman" w:cs="Times New Roman"/>
                <w:sz w:val="14"/>
                <w:szCs w:val="14"/>
                <w:spacing w:val="6"/>
              </w:rPr>
              <w:t>/h</w:t>
            </w:r>
          </w:p>
        </w:tc>
        <w:tc>
          <w:tcPr>
            <w:tcW w:w="1086" w:type="dxa"/>
            <w:vAlign w:val="top"/>
          </w:tcPr>
          <w:p>
            <w:pPr>
              <w:ind w:left="466"/>
              <w:spacing w:before="116"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t/a</w:t>
            </w:r>
          </w:p>
        </w:tc>
        <w:tc>
          <w:tcPr>
            <w:tcW w:w="929" w:type="dxa"/>
            <w:vAlign w:val="top"/>
            <w:vMerge w:val="continue"/>
            <w:tcBorders>
              <w:top w:val="nil"/>
            </w:tcBorders>
          </w:tcPr>
          <w:p>
            <w:pPr>
              <w:rPr>
                <w:rFonts w:ascii="Arial"/>
                <w:sz w:val="21"/>
              </w:rPr>
            </w:pPr>
            <w:r/>
          </w:p>
        </w:tc>
        <w:tc>
          <w:tcPr>
            <w:tcW w:w="1225" w:type="dxa"/>
            <w:vAlign w:val="top"/>
          </w:tcPr>
          <w:p>
            <w:pPr>
              <w:ind w:left="412"/>
              <w:spacing w:before="105" w:line="221" w:lineRule="auto"/>
              <w:rPr>
                <w:rFonts w:ascii="Times New Roman" w:hAnsi="Times New Roman" w:eastAsia="Times New Roman" w:cs="Times New Roman"/>
                <w:sz w:val="9"/>
                <w:szCs w:val="9"/>
              </w:rPr>
            </w:pPr>
            <w:r>
              <w:rPr>
                <w:rFonts w:ascii="Times New Roman" w:hAnsi="Times New Roman" w:eastAsia="Times New Roman" w:cs="Times New Roman"/>
                <w:sz w:val="14"/>
                <w:szCs w:val="14"/>
              </w:rPr>
              <w:t>mg</w:t>
            </w:r>
            <w:r>
              <w:rPr>
                <w:rFonts w:ascii="Times New Roman" w:hAnsi="Times New Roman" w:eastAsia="Times New Roman" w:cs="Times New Roman"/>
                <w:sz w:val="14"/>
                <w:szCs w:val="14"/>
                <w:spacing w:val="8"/>
              </w:rPr>
              <w:t>/m</w:t>
            </w:r>
            <w:r>
              <w:rPr>
                <w:rFonts w:ascii="Times New Roman" w:hAnsi="Times New Roman" w:eastAsia="Times New Roman" w:cs="Times New Roman"/>
                <w:sz w:val="9"/>
                <w:szCs w:val="9"/>
                <w:spacing w:val="8"/>
                <w:position w:val="4"/>
              </w:rPr>
              <w:t>3</w:t>
            </w:r>
          </w:p>
        </w:tc>
        <w:tc>
          <w:tcPr>
            <w:tcW w:w="934" w:type="dxa"/>
            <w:vAlign w:val="top"/>
          </w:tcPr>
          <w:p>
            <w:pPr>
              <w:ind w:left="332"/>
              <w:spacing w:before="117" w:line="20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kg</w:t>
            </w:r>
            <w:r>
              <w:rPr>
                <w:rFonts w:ascii="Times New Roman" w:hAnsi="Times New Roman" w:eastAsia="Times New Roman" w:cs="Times New Roman"/>
                <w:sz w:val="14"/>
                <w:szCs w:val="14"/>
                <w:spacing w:val="6"/>
              </w:rPr>
              <w:t>/h</w:t>
            </w:r>
          </w:p>
        </w:tc>
        <w:tc>
          <w:tcPr>
            <w:tcW w:w="995" w:type="dxa"/>
            <w:vAlign w:val="top"/>
          </w:tcPr>
          <w:p>
            <w:pPr>
              <w:ind w:left="420"/>
              <w:spacing w:before="116"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t/a</w:t>
            </w:r>
          </w:p>
        </w:tc>
        <w:tc>
          <w:tcPr>
            <w:tcW w:w="1118" w:type="dxa"/>
            <w:vAlign w:val="top"/>
            <w:vMerge w:val="continue"/>
            <w:tcBorders>
              <w:top w:val="nil"/>
            </w:tcBorders>
          </w:tcPr>
          <w:p>
            <w:pPr>
              <w:rPr>
                <w:rFonts w:ascii="Arial"/>
                <w:sz w:val="21"/>
              </w:rPr>
            </w:pPr>
            <w:r/>
          </w:p>
        </w:tc>
        <w:tc>
          <w:tcPr>
            <w:tcW w:w="1266" w:type="dxa"/>
            <w:vAlign w:val="top"/>
            <w:vMerge w:val="continue"/>
            <w:tcBorders>
              <w:right w:val="nil"/>
              <w:top w:val="nil"/>
            </w:tcBorders>
          </w:tcPr>
          <w:p>
            <w:pPr>
              <w:rPr>
                <w:rFonts w:ascii="Arial"/>
                <w:sz w:val="21"/>
              </w:rPr>
            </w:pPr>
            <w:r/>
          </w:p>
        </w:tc>
      </w:tr>
      <w:tr>
        <w:trPr>
          <w:trHeight w:val="1556" w:hRule="atLeast"/>
        </w:trPr>
        <w:tc>
          <w:tcPr>
            <w:tcW w:w="1358" w:type="dxa"/>
            <w:vAlign w:val="top"/>
            <w:tcBorders>
              <w:left w:val="nil"/>
            </w:tcBorders>
          </w:tcPr>
          <w:p>
            <w:pPr>
              <w:spacing w:line="329" w:lineRule="auto"/>
              <w:rPr>
                <w:rFonts w:ascii="Arial"/>
                <w:sz w:val="21"/>
              </w:rPr>
            </w:pPr>
            <w:r/>
          </w:p>
          <w:p>
            <w:pPr>
              <w:spacing w:line="329" w:lineRule="auto"/>
              <w:rPr>
                <w:rFonts w:ascii="Arial"/>
                <w:sz w:val="21"/>
              </w:rPr>
            </w:pPr>
            <w:r/>
          </w:p>
          <w:p>
            <w:pPr>
              <w:pStyle w:val="TableText"/>
              <w:ind w:left="388"/>
              <w:spacing w:before="45" w:line="234" w:lineRule="auto"/>
              <w:rPr>
                <w:sz w:val="14"/>
                <w:szCs w:val="14"/>
              </w:rPr>
            </w:pPr>
            <w:r>
              <w:rPr>
                <w:sz w:val="14"/>
                <w:szCs w:val="14"/>
                <w:spacing w:val="6"/>
              </w:rPr>
              <w:t>开采爆破</w:t>
            </w:r>
          </w:p>
        </w:tc>
        <w:tc>
          <w:tcPr>
            <w:tcW w:w="933" w:type="dxa"/>
            <w:vAlign w:val="top"/>
          </w:tcPr>
          <w:p>
            <w:pPr>
              <w:spacing w:line="344" w:lineRule="auto"/>
              <w:rPr>
                <w:rFonts w:ascii="Arial"/>
                <w:sz w:val="21"/>
              </w:rPr>
            </w:pPr>
            <w:r/>
          </w:p>
          <w:p>
            <w:pPr>
              <w:spacing w:line="344" w:lineRule="auto"/>
              <w:rPr>
                <w:rFonts w:ascii="Arial"/>
                <w:sz w:val="21"/>
              </w:rPr>
            </w:pPr>
            <w:r/>
          </w:p>
          <w:p>
            <w:pPr>
              <w:ind w:left="328"/>
              <w:spacing w:before="40" w:line="201" w:lineRule="auto"/>
              <w:rPr>
                <w:rFonts w:ascii="Times New Roman" w:hAnsi="Times New Roman" w:eastAsia="Times New Roman" w:cs="Times New Roman"/>
                <w:sz w:val="9"/>
                <w:szCs w:val="9"/>
              </w:rPr>
            </w:pPr>
            <w:r>
              <w:rPr>
                <w:rFonts w:ascii="Times New Roman" w:hAnsi="Times New Roman" w:eastAsia="Times New Roman" w:cs="Times New Roman"/>
                <w:sz w:val="14"/>
                <w:szCs w:val="14"/>
                <w:spacing w:val="6"/>
              </w:rPr>
              <w:t>NO</w:t>
            </w:r>
            <w:r>
              <w:rPr>
                <w:rFonts w:ascii="Times New Roman" w:hAnsi="Times New Roman" w:eastAsia="Times New Roman" w:cs="Times New Roman"/>
                <w:sz w:val="9"/>
                <w:szCs w:val="9"/>
                <w:spacing w:val="6"/>
                <w:position w:val="-1"/>
              </w:rPr>
              <w:t>x</w:t>
            </w:r>
          </w:p>
        </w:tc>
        <w:tc>
          <w:tcPr>
            <w:tcW w:w="756" w:type="dxa"/>
            <w:vAlign w:val="top"/>
          </w:tcPr>
          <w:p>
            <w:pPr>
              <w:spacing w:line="329" w:lineRule="auto"/>
              <w:rPr>
                <w:rFonts w:ascii="Arial"/>
                <w:sz w:val="21"/>
              </w:rPr>
            </w:pPr>
            <w:r/>
          </w:p>
          <w:p>
            <w:pPr>
              <w:spacing w:line="329" w:lineRule="auto"/>
              <w:rPr>
                <w:rFonts w:ascii="Arial"/>
                <w:sz w:val="21"/>
              </w:rPr>
            </w:pPr>
            <w:r/>
          </w:p>
          <w:p>
            <w:pPr>
              <w:pStyle w:val="TableText"/>
              <w:ind w:left="159"/>
              <w:spacing w:before="45" w:line="234" w:lineRule="auto"/>
              <w:rPr>
                <w:sz w:val="14"/>
                <w:szCs w:val="14"/>
              </w:rPr>
            </w:pPr>
            <w:r>
              <w:rPr>
                <w:sz w:val="14"/>
                <w:szCs w:val="14"/>
                <w:spacing w:val="6"/>
              </w:rPr>
              <w:t>有组织</w:t>
            </w:r>
          </w:p>
        </w:tc>
        <w:tc>
          <w:tcPr>
            <w:tcW w:w="1312" w:type="dxa"/>
            <w:vAlign w:val="top"/>
          </w:tcPr>
          <w:p>
            <w:pPr>
              <w:spacing w:line="344" w:lineRule="auto"/>
              <w:rPr>
                <w:rFonts w:ascii="Arial"/>
                <w:sz w:val="21"/>
              </w:rPr>
            </w:pPr>
            <w:r/>
          </w:p>
          <w:p>
            <w:pPr>
              <w:spacing w:line="344" w:lineRule="auto"/>
              <w:rPr>
                <w:rFonts w:ascii="Arial"/>
                <w:sz w:val="21"/>
              </w:rPr>
            </w:pPr>
            <w:r/>
          </w:p>
          <w:p>
            <w:pPr>
              <w:ind w:left="314"/>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146880.000</w:t>
            </w:r>
          </w:p>
        </w:tc>
        <w:tc>
          <w:tcPr>
            <w:tcW w:w="1305" w:type="dxa"/>
            <w:vAlign w:val="top"/>
          </w:tcPr>
          <w:p>
            <w:pPr>
              <w:spacing w:line="344" w:lineRule="auto"/>
              <w:rPr>
                <w:rFonts w:ascii="Arial"/>
                <w:sz w:val="21"/>
              </w:rPr>
            </w:pPr>
            <w:r/>
          </w:p>
          <w:p>
            <w:pPr>
              <w:spacing w:line="344" w:lineRule="auto"/>
              <w:rPr>
                <w:rFonts w:ascii="Arial"/>
                <w:sz w:val="21"/>
              </w:rPr>
            </w:pPr>
            <w:r/>
          </w:p>
          <w:p>
            <w:pPr>
              <w:ind w:left="486"/>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0.018</w:t>
            </w:r>
          </w:p>
        </w:tc>
        <w:tc>
          <w:tcPr>
            <w:tcW w:w="988" w:type="dxa"/>
            <w:vAlign w:val="top"/>
          </w:tcPr>
          <w:p>
            <w:pPr>
              <w:spacing w:line="344" w:lineRule="auto"/>
              <w:rPr>
                <w:rFonts w:ascii="Arial"/>
                <w:sz w:val="21"/>
              </w:rPr>
            </w:pPr>
            <w:r/>
          </w:p>
          <w:p>
            <w:pPr>
              <w:spacing w:line="344" w:lineRule="auto"/>
              <w:rPr>
                <w:rFonts w:ascii="Arial"/>
                <w:sz w:val="21"/>
              </w:rPr>
            </w:pPr>
            <w:r/>
          </w:p>
          <w:p>
            <w:pPr>
              <w:ind w:left="32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0.026</w:t>
            </w:r>
          </w:p>
        </w:tc>
        <w:tc>
          <w:tcPr>
            <w:tcW w:w="1086" w:type="dxa"/>
            <w:vAlign w:val="top"/>
          </w:tcPr>
          <w:p>
            <w:pPr>
              <w:spacing w:line="344" w:lineRule="auto"/>
              <w:rPr>
                <w:rFonts w:ascii="Arial"/>
                <w:sz w:val="21"/>
              </w:rPr>
            </w:pPr>
            <w:r/>
          </w:p>
          <w:p>
            <w:pPr>
              <w:spacing w:line="344" w:lineRule="auto"/>
              <w:rPr>
                <w:rFonts w:ascii="Arial"/>
                <w:sz w:val="21"/>
              </w:rPr>
            </w:pPr>
            <w:r/>
          </w:p>
          <w:p>
            <w:pPr>
              <w:ind w:left="377"/>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186</w:t>
            </w:r>
          </w:p>
        </w:tc>
        <w:tc>
          <w:tcPr>
            <w:tcW w:w="929" w:type="dxa"/>
            <w:vAlign w:val="top"/>
          </w:tcPr>
          <w:p>
            <w:pPr>
              <w:pStyle w:val="TableText"/>
              <w:ind w:left="171"/>
              <w:spacing w:before="26" w:line="235" w:lineRule="auto"/>
              <w:rPr>
                <w:sz w:val="14"/>
                <w:szCs w:val="14"/>
              </w:rPr>
            </w:pPr>
            <w:r>
              <w:rPr>
                <w:sz w:val="14"/>
                <w:szCs w:val="14"/>
                <w:spacing w:val="7"/>
              </w:rPr>
              <w:t>爆破后立</w:t>
            </w:r>
          </w:p>
          <w:p>
            <w:pPr>
              <w:pStyle w:val="TableText"/>
              <w:ind w:left="179"/>
              <w:spacing w:before="16" w:line="234" w:lineRule="auto"/>
              <w:rPr>
                <w:sz w:val="14"/>
                <w:szCs w:val="14"/>
              </w:rPr>
            </w:pPr>
            <w:r>
              <w:rPr>
                <w:sz w:val="14"/>
                <w:szCs w:val="14"/>
                <w:spacing w:val="4"/>
              </w:rPr>
              <w:t>即采取局</w:t>
            </w:r>
          </w:p>
          <w:p>
            <w:pPr>
              <w:pStyle w:val="TableText"/>
              <w:ind w:left="117" w:right="106" w:firstLine="54"/>
              <w:spacing w:before="17" w:line="257" w:lineRule="auto"/>
              <w:rPr>
                <w:sz w:val="14"/>
                <w:szCs w:val="14"/>
              </w:rPr>
            </w:pPr>
            <w:r>
              <w:rPr>
                <w:sz w:val="14"/>
                <w:szCs w:val="14"/>
                <w:spacing w:val="6"/>
              </w:rPr>
              <w:t>部强制通</w:t>
            </w:r>
            <w:r>
              <w:rPr>
                <w:sz w:val="14"/>
                <w:szCs w:val="14"/>
                <w:spacing w:val="-1"/>
              </w:rPr>
              <w:t>风，由通风</w:t>
            </w:r>
          </w:p>
          <w:p>
            <w:pPr>
              <w:pStyle w:val="TableText"/>
              <w:ind w:left="171" w:right="106" w:hanging="53"/>
              <w:spacing w:before="1" w:line="253" w:lineRule="auto"/>
              <w:rPr>
                <w:sz w:val="14"/>
                <w:szCs w:val="14"/>
              </w:rPr>
            </w:pPr>
            <w:r>
              <w:rPr>
                <w:sz w:val="14"/>
                <w:szCs w:val="14"/>
                <w:spacing w:val="-1"/>
              </w:rPr>
              <w:t>井排出，并</w:t>
            </w:r>
            <w:r>
              <w:rPr>
                <w:sz w:val="14"/>
                <w:szCs w:val="14"/>
                <w:spacing w:val="6"/>
              </w:rPr>
              <w:t>使用喷水</w:t>
            </w:r>
          </w:p>
          <w:p>
            <w:pPr>
              <w:pStyle w:val="TableText"/>
              <w:ind w:left="326" w:right="164" w:hanging="152"/>
              <w:spacing w:before="4" w:line="232" w:lineRule="auto"/>
              <w:rPr>
                <w:sz w:val="14"/>
                <w:szCs w:val="14"/>
              </w:rPr>
            </w:pPr>
            <w:r>
              <w:rPr>
                <w:sz w:val="14"/>
                <w:szCs w:val="14"/>
                <w:spacing w:val="6"/>
              </w:rPr>
              <w:t>雾炮进行</w:t>
            </w:r>
            <w:r>
              <w:rPr>
                <w:sz w:val="14"/>
                <w:szCs w:val="14"/>
              </w:rPr>
              <w:t>喷淋</w:t>
            </w:r>
          </w:p>
        </w:tc>
        <w:tc>
          <w:tcPr>
            <w:tcW w:w="1225" w:type="dxa"/>
            <w:vAlign w:val="top"/>
          </w:tcPr>
          <w:p>
            <w:pPr>
              <w:spacing w:line="344" w:lineRule="auto"/>
              <w:rPr>
                <w:rFonts w:ascii="Arial"/>
                <w:sz w:val="21"/>
              </w:rPr>
            </w:pPr>
            <w:r/>
          </w:p>
          <w:p>
            <w:pPr>
              <w:spacing w:line="344" w:lineRule="auto"/>
              <w:rPr>
                <w:rFonts w:ascii="Arial"/>
                <w:sz w:val="21"/>
              </w:rPr>
            </w:pPr>
            <w:r/>
          </w:p>
          <w:p>
            <w:pPr>
              <w:ind w:left="445"/>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0.018</w:t>
            </w:r>
          </w:p>
        </w:tc>
        <w:tc>
          <w:tcPr>
            <w:tcW w:w="934" w:type="dxa"/>
            <w:vAlign w:val="top"/>
          </w:tcPr>
          <w:p>
            <w:pPr>
              <w:spacing w:line="344" w:lineRule="auto"/>
              <w:rPr>
                <w:rFonts w:ascii="Arial"/>
                <w:sz w:val="21"/>
              </w:rPr>
            </w:pPr>
            <w:r/>
          </w:p>
          <w:p>
            <w:pPr>
              <w:spacing w:line="344" w:lineRule="auto"/>
              <w:rPr>
                <w:rFonts w:ascii="Arial"/>
                <w:sz w:val="21"/>
              </w:rPr>
            </w:pPr>
            <w:r/>
          </w:p>
          <w:p>
            <w:pPr>
              <w:ind w:left="300"/>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0.026</w:t>
            </w:r>
          </w:p>
        </w:tc>
        <w:tc>
          <w:tcPr>
            <w:tcW w:w="995" w:type="dxa"/>
            <w:vAlign w:val="top"/>
          </w:tcPr>
          <w:p>
            <w:pPr>
              <w:spacing w:line="344" w:lineRule="auto"/>
              <w:rPr>
                <w:rFonts w:ascii="Arial"/>
                <w:sz w:val="21"/>
              </w:rPr>
            </w:pPr>
            <w:r/>
          </w:p>
          <w:p>
            <w:pPr>
              <w:spacing w:line="344" w:lineRule="auto"/>
              <w:rPr>
                <w:rFonts w:ascii="Arial"/>
                <w:sz w:val="21"/>
              </w:rPr>
            </w:pPr>
            <w:r/>
          </w:p>
          <w:p>
            <w:pPr>
              <w:ind w:left="33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186</w:t>
            </w:r>
          </w:p>
        </w:tc>
        <w:tc>
          <w:tcPr>
            <w:tcW w:w="1118" w:type="dxa"/>
            <w:vAlign w:val="top"/>
          </w:tcPr>
          <w:p>
            <w:pPr>
              <w:spacing w:line="344" w:lineRule="auto"/>
              <w:rPr>
                <w:rFonts w:ascii="Arial"/>
                <w:sz w:val="21"/>
              </w:rPr>
            </w:pPr>
            <w:r/>
          </w:p>
          <w:p>
            <w:pPr>
              <w:spacing w:line="344" w:lineRule="auto"/>
              <w:rPr>
                <w:rFonts w:ascii="Arial"/>
                <w:sz w:val="21"/>
              </w:rPr>
            </w:pPr>
            <w:r/>
          </w:p>
          <w:p>
            <w:pPr>
              <w:ind w:left="33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001</w:t>
            </w:r>
          </w:p>
        </w:tc>
        <w:tc>
          <w:tcPr>
            <w:tcW w:w="1266" w:type="dxa"/>
            <w:vAlign w:val="top"/>
            <w:tcBorders>
              <w:right w:val="nil"/>
            </w:tcBorders>
          </w:tcPr>
          <w:p>
            <w:pPr>
              <w:spacing w:line="344" w:lineRule="auto"/>
              <w:rPr>
                <w:rFonts w:ascii="Arial"/>
                <w:sz w:val="21"/>
              </w:rPr>
            </w:pPr>
            <w:r/>
          </w:p>
          <w:p>
            <w:pPr>
              <w:spacing w:line="344" w:lineRule="auto"/>
              <w:rPr>
                <w:rFonts w:ascii="Arial"/>
                <w:sz w:val="21"/>
              </w:rPr>
            </w:pPr>
            <w:r/>
          </w:p>
          <w:p>
            <w:pPr>
              <w:ind w:left="486"/>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7200</w:t>
            </w:r>
          </w:p>
        </w:tc>
      </w:tr>
      <w:tr>
        <w:trPr>
          <w:trHeight w:val="304" w:hRule="atLeast"/>
        </w:trPr>
        <w:tc>
          <w:tcPr>
            <w:tcW w:w="1358" w:type="dxa"/>
            <w:vAlign w:val="top"/>
            <w:vMerge w:val="restart"/>
            <w:tcBorders>
              <w:left w:val="nil"/>
              <w:bottom w:val="nil"/>
            </w:tcBorders>
          </w:tcPr>
          <w:p>
            <w:pPr>
              <w:spacing w:line="258" w:lineRule="auto"/>
              <w:rPr>
                <w:rFonts w:ascii="Arial"/>
                <w:sz w:val="21"/>
              </w:rPr>
            </w:pPr>
            <w:r/>
          </w:p>
          <w:p>
            <w:pPr>
              <w:spacing w:line="258" w:lineRule="auto"/>
              <w:rPr>
                <w:rFonts w:ascii="Arial"/>
                <w:sz w:val="21"/>
              </w:rPr>
            </w:pPr>
            <w:r/>
          </w:p>
          <w:p>
            <w:pPr>
              <w:pStyle w:val="TableText"/>
              <w:ind w:left="313"/>
              <w:spacing w:before="45" w:line="232" w:lineRule="auto"/>
              <w:rPr>
                <w:sz w:val="14"/>
                <w:szCs w:val="14"/>
              </w:rPr>
            </w:pPr>
            <w:r>
              <w:rPr>
                <w:sz w:val="14"/>
                <w:szCs w:val="14"/>
                <w:spacing w:val="7"/>
              </w:rPr>
              <w:t>粗破碎车间</w:t>
            </w:r>
          </w:p>
        </w:tc>
        <w:tc>
          <w:tcPr>
            <w:tcW w:w="933" w:type="dxa"/>
            <w:vAlign w:val="top"/>
            <w:vMerge w:val="restart"/>
            <w:tcBorders>
              <w:bottom w:val="nil"/>
            </w:tcBorders>
          </w:tcPr>
          <w:p>
            <w:pPr>
              <w:pStyle w:val="TableText"/>
              <w:ind w:left="324"/>
              <w:spacing w:before="255" w:line="235" w:lineRule="auto"/>
              <w:rPr>
                <w:sz w:val="14"/>
                <w:szCs w:val="14"/>
              </w:rPr>
            </w:pPr>
            <w:r>
              <w:rPr>
                <w:sz w:val="14"/>
                <w:szCs w:val="14"/>
                <w:spacing w:val="3"/>
              </w:rPr>
              <w:t>粉尘</w:t>
            </w:r>
          </w:p>
        </w:tc>
        <w:tc>
          <w:tcPr>
            <w:tcW w:w="756" w:type="dxa"/>
            <w:vAlign w:val="top"/>
          </w:tcPr>
          <w:p>
            <w:pPr>
              <w:pStyle w:val="TableText"/>
              <w:ind w:left="159"/>
              <w:spacing w:before="85" w:line="234" w:lineRule="auto"/>
              <w:rPr>
                <w:sz w:val="14"/>
                <w:szCs w:val="14"/>
              </w:rPr>
            </w:pPr>
            <w:r>
              <w:rPr>
                <w:sz w:val="14"/>
                <w:szCs w:val="14"/>
                <w:spacing w:val="6"/>
              </w:rPr>
              <w:t>有组织</w:t>
            </w:r>
          </w:p>
        </w:tc>
        <w:tc>
          <w:tcPr>
            <w:tcW w:w="1312" w:type="dxa"/>
            <w:vAlign w:val="top"/>
          </w:tcPr>
          <w:p>
            <w:pPr>
              <w:ind w:left="3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5500.000</w:t>
            </w:r>
          </w:p>
        </w:tc>
        <w:tc>
          <w:tcPr>
            <w:tcW w:w="1305" w:type="dxa"/>
            <w:vAlign w:val="top"/>
          </w:tcPr>
          <w:p>
            <w:pPr>
              <w:ind w:left="41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547.245</w:t>
            </w:r>
          </w:p>
        </w:tc>
        <w:tc>
          <w:tcPr>
            <w:tcW w:w="988" w:type="dxa"/>
            <w:vAlign w:val="top"/>
          </w:tcPr>
          <w:p>
            <w:pPr>
              <w:ind w:left="3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3.010</w:t>
            </w:r>
          </w:p>
        </w:tc>
        <w:tc>
          <w:tcPr>
            <w:tcW w:w="1086" w:type="dxa"/>
            <w:vAlign w:val="top"/>
          </w:tcPr>
          <w:p>
            <w:pPr>
              <w:ind w:left="35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14.447</w:t>
            </w:r>
          </w:p>
        </w:tc>
        <w:tc>
          <w:tcPr>
            <w:tcW w:w="92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5" w:right="106" w:firstLine="1"/>
              <w:spacing w:before="45" w:line="256" w:lineRule="auto"/>
              <w:rPr>
                <w:sz w:val="14"/>
                <w:szCs w:val="14"/>
              </w:rPr>
            </w:pPr>
            <w:r>
              <w:rPr>
                <w:sz w:val="14"/>
                <w:szCs w:val="14"/>
              </w:rPr>
              <w:t>集气罩（效</w:t>
            </w:r>
            <w:r>
              <w:rPr>
                <w:sz w:val="14"/>
                <w:szCs w:val="14"/>
                <w:spacing w:val="5"/>
              </w:rPr>
              <w:t>率</w:t>
            </w:r>
            <w:r>
              <w:rPr>
                <w:sz w:val="14"/>
                <w:szCs w:val="14"/>
                <w:spacing w:val="-23"/>
              </w:rPr>
              <w:t xml:space="preserve"> </w:t>
            </w:r>
            <w:r>
              <w:rPr>
                <w:rFonts w:ascii="Times New Roman" w:hAnsi="Times New Roman" w:eastAsia="Times New Roman" w:cs="Times New Roman"/>
                <w:sz w:val="14"/>
                <w:szCs w:val="14"/>
                <w:spacing w:val="5"/>
              </w:rPr>
              <w:t>90%</w:t>
            </w:r>
            <w:r>
              <w:rPr>
                <w:sz w:val="14"/>
                <w:szCs w:val="14"/>
                <w:spacing w:val="5"/>
              </w:rPr>
              <w:t>）</w:t>
            </w:r>
            <w:r>
              <w:rPr>
                <w:rFonts w:ascii="Times New Roman" w:hAnsi="Times New Roman" w:eastAsia="Times New Roman" w:cs="Times New Roman"/>
                <w:sz w:val="14"/>
                <w:szCs w:val="14"/>
                <w:spacing w:val="5"/>
              </w:rPr>
              <w:t>+</w:t>
            </w:r>
            <w:r>
              <w:rPr>
                <w:sz w:val="14"/>
                <w:szCs w:val="14"/>
                <w:spacing w:val="20"/>
              </w:rPr>
              <w:t>布袋除尘</w:t>
            </w:r>
            <w:r>
              <w:rPr>
                <w:sz w:val="14"/>
                <w:szCs w:val="14"/>
              </w:rPr>
              <w:t>器（处理效</w:t>
            </w:r>
            <w:r>
              <w:rPr>
                <w:sz w:val="14"/>
                <w:szCs w:val="14"/>
                <w:spacing w:val="12"/>
              </w:rPr>
              <w:t>率</w:t>
            </w:r>
            <w:r>
              <w:rPr>
                <w:sz w:val="14"/>
                <w:szCs w:val="14"/>
                <w:spacing w:val="-26"/>
              </w:rPr>
              <w:t xml:space="preserve"> </w:t>
            </w:r>
            <w:r>
              <w:rPr>
                <w:rFonts w:ascii="Times New Roman" w:hAnsi="Times New Roman" w:eastAsia="Times New Roman" w:cs="Times New Roman"/>
                <w:sz w:val="14"/>
                <w:szCs w:val="14"/>
                <w:spacing w:val="12"/>
              </w:rPr>
              <w:t>98%</w:t>
            </w:r>
            <w:r>
              <w:rPr>
                <w:sz w:val="14"/>
                <w:szCs w:val="14"/>
                <w:spacing w:val="12"/>
              </w:rPr>
              <w:t>）</w:t>
            </w:r>
            <w:r>
              <w:rPr>
                <w:sz w:val="14"/>
                <w:szCs w:val="14"/>
              </w:rPr>
              <w:t xml:space="preserve"> </w:t>
            </w:r>
            <w:r>
              <w:rPr>
                <w:rFonts w:ascii="Times New Roman" w:hAnsi="Times New Roman" w:eastAsia="Times New Roman" w:cs="Times New Roman"/>
                <w:sz w:val="14"/>
                <w:szCs w:val="14"/>
                <w:spacing w:val="5"/>
              </w:rPr>
              <w:t>+15m</w:t>
            </w:r>
            <w:r>
              <w:rPr>
                <w:rFonts w:ascii="Times New Roman" w:hAnsi="Times New Roman" w:eastAsia="Times New Roman" w:cs="Times New Roman"/>
                <w:sz w:val="14"/>
                <w:szCs w:val="14"/>
                <w:spacing w:val="12"/>
                <w:w w:val="102"/>
              </w:rPr>
              <w:t xml:space="preserve"> </w:t>
            </w:r>
            <w:r>
              <w:rPr>
                <w:sz w:val="14"/>
                <w:szCs w:val="14"/>
                <w:spacing w:val="5"/>
              </w:rPr>
              <w:t>排气</w:t>
            </w:r>
            <w:r>
              <w:rPr>
                <w:sz w:val="14"/>
                <w:szCs w:val="14"/>
                <w:spacing w:val="18"/>
              </w:rPr>
              <w:t>筒排放；</w:t>
            </w:r>
          </w:p>
          <w:p>
            <w:pPr>
              <w:pStyle w:val="TableText"/>
              <w:ind w:left="130" w:right="92" w:firstLine="40"/>
              <w:spacing w:before="1" w:line="255" w:lineRule="auto"/>
              <w:rPr>
                <w:sz w:val="14"/>
                <w:szCs w:val="14"/>
              </w:rPr>
            </w:pPr>
            <w:r>
              <w:rPr>
                <w:sz w:val="14"/>
                <w:szCs w:val="14"/>
                <w:spacing w:val="7"/>
              </w:rPr>
              <w:t>加强厂房</w:t>
            </w:r>
            <w:r>
              <w:rPr>
                <w:sz w:val="14"/>
                <w:szCs w:val="14"/>
                <w:spacing w:val="17"/>
              </w:rPr>
              <w:t>密闭性车</w:t>
            </w:r>
            <w:r>
              <w:rPr>
                <w:sz w:val="14"/>
                <w:szCs w:val="14"/>
              </w:rPr>
              <w:t>间密封性。</w:t>
            </w:r>
          </w:p>
        </w:tc>
        <w:tc>
          <w:tcPr>
            <w:tcW w:w="1225" w:type="dxa"/>
            <w:vAlign w:val="top"/>
          </w:tcPr>
          <w:p>
            <w:pPr>
              <w:ind w:left="42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10.945</w:t>
            </w:r>
          </w:p>
        </w:tc>
        <w:tc>
          <w:tcPr>
            <w:tcW w:w="934" w:type="dxa"/>
            <w:vAlign w:val="top"/>
          </w:tcPr>
          <w:p>
            <w:pPr>
              <w:ind w:left="3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0.060</w:t>
            </w:r>
          </w:p>
        </w:tc>
        <w:tc>
          <w:tcPr>
            <w:tcW w:w="995" w:type="dxa"/>
            <w:vAlign w:val="top"/>
          </w:tcPr>
          <w:p>
            <w:pPr>
              <w:ind w:left="33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0.289</w:t>
            </w:r>
          </w:p>
        </w:tc>
        <w:tc>
          <w:tcPr>
            <w:tcW w:w="1118" w:type="dxa"/>
            <w:vAlign w:val="top"/>
          </w:tcPr>
          <w:p>
            <w:pPr>
              <w:ind w:left="33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002</w:t>
            </w:r>
          </w:p>
        </w:tc>
        <w:tc>
          <w:tcPr>
            <w:tcW w:w="1266" w:type="dxa"/>
            <w:vAlign w:val="top"/>
            <w:tcBorders>
              <w:right w:val="nil"/>
            </w:tcBorders>
          </w:tcPr>
          <w:p>
            <w:pPr>
              <w:ind w:left="48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3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100"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89"/>
              <w:spacing w:before="12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1.605</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2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0.562</w:t>
            </w:r>
          </w:p>
        </w:tc>
        <w:tc>
          <w:tcPr>
            <w:tcW w:w="1118" w:type="dxa"/>
            <w:vAlign w:val="top"/>
          </w:tcPr>
          <w:p>
            <w:pPr>
              <w:rPr>
                <w:rFonts w:ascii="Arial"/>
                <w:sz w:val="21"/>
              </w:rPr>
            </w:pPr>
            <w:r/>
          </w:p>
        </w:tc>
        <w:tc>
          <w:tcPr>
            <w:tcW w:w="1266" w:type="dxa"/>
            <w:vAlign w:val="top"/>
            <w:tcBorders>
              <w:right w:val="nil"/>
            </w:tcBorders>
          </w:tcPr>
          <w:p>
            <w:pPr>
              <w:ind w:left="483"/>
              <w:spacing w:before="12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restart"/>
            <w:tcBorders>
              <w:bottom w:val="nil"/>
            </w:tcBorders>
          </w:tcPr>
          <w:p>
            <w:pPr>
              <w:pStyle w:val="TableText"/>
              <w:ind w:left="253"/>
              <w:spacing w:before="241" w:line="233" w:lineRule="auto"/>
              <w:rPr>
                <w:sz w:val="14"/>
                <w:szCs w:val="14"/>
              </w:rPr>
            </w:pPr>
            <w:r>
              <w:rPr>
                <w:sz w:val="14"/>
                <w:szCs w:val="14"/>
                <w:spacing w:val="4"/>
              </w:rPr>
              <w:t>氟化物</w:t>
            </w:r>
          </w:p>
        </w:tc>
        <w:tc>
          <w:tcPr>
            <w:tcW w:w="756" w:type="dxa"/>
            <w:vAlign w:val="top"/>
          </w:tcPr>
          <w:p>
            <w:pPr>
              <w:pStyle w:val="TableText"/>
              <w:ind w:left="159"/>
              <w:spacing w:before="87" w:line="234" w:lineRule="auto"/>
              <w:rPr>
                <w:sz w:val="14"/>
                <w:szCs w:val="14"/>
              </w:rPr>
            </w:pPr>
            <w:r>
              <w:rPr>
                <w:sz w:val="14"/>
                <w:szCs w:val="14"/>
                <w:spacing w:val="6"/>
              </w:rPr>
              <w:t>有组织</w:t>
            </w:r>
          </w:p>
        </w:tc>
        <w:tc>
          <w:tcPr>
            <w:tcW w:w="1312" w:type="dxa"/>
            <w:vAlign w:val="top"/>
          </w:tcPr>
          <w:p>
            <w:pPr>
              <w:ind w:left="3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5500.000</w:t>
            </w:r>
          </w:p>
        </w:tc>
        <w:tc>
          <w:tcPr>
            <w:tcW w:w="1305" w:type="dxa"/>
            <w:vAlign w:val="top"/>
          </w:tcPr>
          <w:p>
            <w:pPr>
              <w:ind w:left="41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375.596</w:t>
            </w:r>
          </w:p>
        </w:tc>
        <w:tc>
          <w:tcPr>
            <w:tcW w:w="988" w:type="dxa"/>
            <w:vAlign w:val="top"/>
          </w:tcPr>
          <w:p>
            <w:pPr>
              <w:ind w:left="3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2.066</w:t>
            </w:r>
          </w:p>
        </w:tc>
        <w:tc>
          <w:tcPr>
            <w:tcW w:w="1086" w:type="dxa"/>
            <w:vAlign w:val="top"/>
          </w:tcPr>
          <w:p>
            <w:pPr>
              <w:ind w:left="37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9.916</w:t>
            </w:r>
          </w:p>
        </w:tc>
        <w:tc>
          <w:tcPr>
            <w:tcW w:w="929" w:type="dxa"/>
            <w:vAlign w:val="top"/>
            <w:vMerge w:val="continue"/>
            <w:tcBorders>
              <w:bottom w:val="nil"/>
              <w:top w:val="nil"/>
            </w:tcBorders>
          </w:tcPr>
          <w:p>
            <w:pPr>
              <w:rPr>
                <w:rFonts w:ascii="Arial"/>
                <w:sz w:val="21"/>
              </w:rPr>
            </w:pPr>
            <w:r/>
          </w:p>
        </w:tc>
        <w:tc>
          <w:tcPr>
            <w:tcW w:w="1225" w:type="dxa"/>
            <w:vAlign w:val="top"/>
          </w:tcPr>
          <w:p>
            <w:pPr>
              <w:ind w:left="4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7.512</w:t>
            </w:r>
          </w:p>
        </w:tc>
        <w:tc>
          <w:tcPr>
            <w:tcW w:w="934" w:type="dxa"/>
            <w:vAlign w:val="top"/>
          </w:tcPr>
          <w:p>
            <w:pPr>
              <w:ind w:left="30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995" w:type="dxa"/>
            <w:vAlign w:val="top"/>
          </w:tcPr>
          <w:p>
            <w:pPr>
              <w:ind w:left="3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198</w:t>
            </w:r>
          </w:p>
        </w:tc>
        <w:tc>
          <w:tcPr>
            <w:tcW w:w="1118" w:type="dxa"/>
            <w:vAlign w:val="top"/>
          </w:tcPr>
          <w:p>
            <w:pPr>
              <w:ind w:left="33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002</w:t>
            </w:r>
          </w:p>
        </w:tc>
        <w:tc>
          <w:tcPr>
            <w:tcW w:w="1266" w:type="dxa"/>
            <w:vAlign w:val="top"/>
            <w:tcBorders>
              <w:right w:val="nil"/>
            </w:tcBorders>
          </w:tcPr>
          <w:p>
            <w:pPr>
              <w:ind w:left="48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88"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102</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0.386</w:t>
            </w:r>
          </w:p>
        </w:tc>
        <w:tc>
          <w:tcPr>
            <w:tcW w:w="1118" w:type="dxa"/>
            <w:vAlign w:val="top"/>
          </w:tcPr>
          <w:p>
            <w:pPr>
              <w:rPr>
                <w:rFonts w:ascii="Arial"/>
                <w:sz w:val="21"/>
              </w:rPr>
            </w:pPr>
            <w:r/>
          </w:p>
        </w:tc>
        <w:tc>
          <w:tcPr>
            <w:tcW w:w="1266" w:type="dxa"/>
            <w:vAlign w:val="top"/>
            <w:tcBorders>
              <w:right w:val="nil"/>
            </w:tcBorders>
          </w:tcPr>
          <w:p>
            <w:pPr>
              <w:ind w:left="48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restart"/>
            <w:tcBorders>
              <w:left w:val="nil"/>
              <w:bottom w:val="nil"/>
            </w:tcBorders>
          </w:tcPr>
          <w:p>
            <w:pPr>
              <w:spacing w:line="252" w:lineRule="auto"/>
              <w:rPr>
                <w:rFonts w:ascii="Arial"/>
                <w:sz w:val="21"/>
              </w:rPr>
            </w:pPr>
            <w:r/>
          </w:p>
          <w:p>
            <w:pPr>
              <w:spacing w:line="253" w:lineRule="auto"/>
              <w:rPr>
                <w:rFonts w:ascii="Arial"/>
                <w:sz w:val="21"/>
              </w:rPr>
            </w:pPr>
            <w:r/>
          </w:p>
          <w:p>
            <w:pPr>
              <w:pStyle w:val="TableText"/>
              <w:ind w:left="316"/>
              <w:spacing w:before="45" w:line="232" w:lineRule="auto"/>
              <w:rPr>
                <w:sz w:val="14"/>
                <w:szCs w:val="14"/>
              </w:rPr>
            </w:pPr>
            <w:r>
              <w:rPr>
                <w:sz w:val="14"/>
                <w:szCs w:val="14"/>
                <w:spacing w:val="7"/>
              </w:rPr>
              <w:t>细破碎车间</w:t>
            </w:r>
          </w:p>
        </w:tc>
        <w:tc>
          <w:tcPr>
            <w:tcW w:w="933" w:type="dxa"/>
            <w:vAlign w:val="top"/>
            <w:vMerge w:val="restart"/>
            <w:tcBorders>
              <w:bottom w:val="nil"/>
            </w:tcBorders>
          </w:tcPr>
          <w:p>
            <w:pPr>
              <w:pStyle w:val="TableText"/>
              <w:ind w:left="324"/>
              <w:spacing w:before="244" w:line="235" w:lineRule="auto"/>
              <w:rPr>
                <w:sz w:val="14"/>
                <w:szCs w:val="14"/>
              </w:rPr>
            </w:pPr>
            <w:r>
              <w:rPr>
                <w:sz w:val="14"/>
                <w:szCs w:val="14"/>
                <w:spacing w:val="3"/>
              </w:rPr>
              <w:t>粉尘</w:t>
            </w:r>
          </w:p>
        </w:tc>
        <w:tc>
          <w:tcPr>
            <w:tcW w:w="756" w:type="dxa"/>
            <w:vAlign w:val="top"/>
          </w:tcPr>
          <w:p>
            <w:pPr>
              <w:pStyle w:val="TableText"/>
              <w:ind w:left="159"/>
              <w:spacing w:before="88" w:line="234" w:lineRule="auto"/>
              <w:rPr>
                <w:sz w:val="14"/>
                <w:szCs w:val="14"/>
              </w:rPr>
            </w:pPr>
            <w:r>
              <w:rPr>
                <w:sz w:val="14"/>
                <w:szCs w:val="14"/>
                <w:spacing w:val="6"/>
              </w:rPr>
              <w:t>有组织</w:t>
            </w:r>
          </w:p>
        </w:tc>
        <w:tc>
          <w:tcPr>
            <w:tcW w:w="1312" w:type="dxa"/>
            <w:vAlign w:val="top"/>
          </w:tcPr>
          <w:p>
            <w:pPr>
              <w:ind w:left="377"/>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7000.000</w:t>
            </w:r>
          </w:p>
        </w:tc>
        <w:tc>
          <w:tcPr>
            <w:tcW w:w="1305" w:type="dxa"/>
            <w:vAlign w:val="top"/>
          </w:tcPr>
          <w:p>
            <w:pPr>
              <w:ind w:left="408"/>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429.978</w:t>
            </w:r>
          </w:p>
        </w:tc>
        <w:tc>
          <w:tcPr>
            <w:tcW w:w="988" w:type="dxa"/>
            <w:vAlign w:val="top"/>
          </w:tcPr>
          <w:p>
            <w:pPr>
              <w:ind w:left="328"/>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3.010</w:t>
            </w:r>
          </w:p>
        </w:tc>
        <w:tc>
          <w:tcPr>
            <w:tcW w:w="1086" w:type="dxa"/>
            <w:vAlign w:val="top"/>
          </w:tcPr>
          <w:p>
            <w:pPr>
              <w:ind w:left="350"/>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14.447</w:t>
            </w:r>
          </w:p>
        </w:tc>
        <w:tc>
          <w:tcPr>
            <w:tcW w:w="929" w:type="dxa"/>
            <w:vAlign w:val="top"/>
            <w:vMerge w:val="continue"/>
            <w:tcBorders>
              <w:bottom w:val="nil"/>
              <w:top w:val="nil"/>
            </w:tcBorders>
          </w:tcPr>
          <w:p>
            <w:pPr>
              <w:rPr>
                <w:rFonts w:ascii="Arial"/>
                <w:sz w:val="21"/>
              </w:rPr>
            </w:pPr>
            <w:r/>
          </w:p>
        </w:tc>
        <w:tc>
          <w:tcPr>
            <w:tcW w:w="1225" w:type="dxa"/>
            <w:vAlign w:val="top"/>
          </w:tcPr>
          <w:p>
            <w:pPr>
              <w:ind w:left="448"/>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8.600</w:t>
            </w:r>
          </w:p>
        </w:tc>
        <w:tc>
          <w:tcPr>
            <w:tcW w:w="934" w:type="dxa"/>
            <w:vAlign w:val="top"/>
          </w:tcPr>
          <w:p>
            <w:pPr>
              <w:ind w:left="300"/>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0.060</w:t>
            </w:r>
          </w:p>
        </w:tc>
        <w:tc>
          <w:tcPr>
            <w:tcW w:w="995" w:type="dxa"/>
            <w:vAlign w:val="top"/>
          </w:tcPr>
          <w:p>
            <w:pPr>
              <w:ind w:left="331"/>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0.289</w:t>
            </w:r>
          </w:p>
        </w:tc>
        <w:tc>
          <w:tcPr>
            <w:tcW w:w="1118" w:type="dxa"/>
            <w:vAlign w:val="top"/>
          </w:tcPr>
          <w:p>
            <w:pPr>
              <w:ind w:left="338"/>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003</w:t>
            </w:r>
          </w:p>
        </w:tc>
        <w:tc>
          <w:tcPr>
            <w:tcW w:w="1266" w:type="dxa"/>
            <w:vAlign w:val="top"/>
            <w:tcBorders>
              <w:right w:val="nil"/>
            </w:tcBorders>
          </w:tcPr>
          <w:p>
            <w:pPr>
              <w:ind w:left="483"/>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89"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89"/>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1.605</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0.562</w:t>
            </w:r>
          </w:p>
        </w:tc>
        <w:tc>
          <w:tcPr>
            <w:tcW w:w="1118" w:type="dxa"/>
            <w:vAlign w:val="top"/>
          </w:tcPr>
          <w:p>
            <w:pPr>
              <w:rPr>
                <w:rFonts w:ascii="Arial"/>
                <w:sz w:val="21"/>
              </w:rPr>
            </w:pPr>
            <w:r/>
          </w:p>
        </w:tc>
        <w:tc>
          <w:tcPr>
            <w:tcW w:w="1266" w:type="dxa"/>
            <w:vAlign w:val="top"/>
            <w:tcBorders>
              <w:right w:val="nil"/>
            </w:tcBorders>
          </w:tcPr>
          <w:p>
            <w:pPr>
              <w:ind w:left="483"/>
              <w:spacing w:before="11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restart"/>
            <w:tcBorders>
              <w:bottom w:val="nil"/>
            </w:tcBorders>
          </w:tcPr>
          <w:p>
            <w:pPr>
              <w:pStyle w:val="TableText"/>
              <w:ind w:left="253"/>
              <w:spacing w:before="245" w:line="233" w:lineRule="auto"/>
              <w:rPr>
                <w:sz w:val="14"/>
                <w:szCs w:val="14"/>
              </w:rPr>
            </w:pPr>
            <w:r>
              <w:rPr>
                <w:sz w:val="14"/>
                <w:szCs w:val="14"/>
                <w:spacing w:val="4"/>
              </w:rPr>
              <w:t>氟化物</w:t>
            </w:r>
          </w:p>
        </w:tc>
        <w:tc>
          <w:tcPr>
            <w:tcW w:w="756" w:type="dxa"/>
            <w:vAlign w:val="top"/>
          </w:tcPr>
          <w:p>
            <w:pPr>
              <w:pStyle w:val="TableText"/>
              <w:ind w:left="159"/>
              <w:spacing w:before="90" w:line="234" w:lineRule="auto"/>
              <w:rPr>
                <w:sz w:val="14"/>
                <w:szCs w:val="14"/>
              </w:rPr>
            </w:pPr>
            <w:r>
              <w:rPr>
                <w:sz w:val="14"/>
                <w:szCs w:val="14"/>
                <w:spacing w:val="6"/>
              </w:rPr>
              <w:t>有组织</w:t>
            </w:r>
          </w:p>
        </w:tc>
        <w:tc>
          <w:tcPr>
            <w:tcW w:w="1312" w:type="dxa"/>
            <w:vAlign w:val="top"/>
          </w:tcPr>
          <w:p>
            <w:pPr>
              <w:ind w:left="377"/>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7000.000</w:t>
            </w:r>
          </w:p>
        </w:tc>
        <w:tc>
          <w:tcPr>
            <w:tcW w:w="1305" w:type="dxa"/>
            <w:vAlign w:val="top"/>
          </w:tcPr>
          <w:p>
            <w:pPr>
              <w:ind w:left="414"/>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295.</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rPr>
              <w:t>111</w:t>
            </w:r>
          </w:p>
        </w:tc>
        <w:tc>
          <w:tcPr>
            <w:tcW w:w="988" w:type="dxa"/>
            <w:vAlign w:val="top"/>
          </w:tcPr>
          <w:p>
            <w:pPr>
              <w:ind w:left="326"/>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2.066</w:t>
            </w:r>
          </w:p>
        </w:tc>
        <w:tc>
          <w:tcPr>
            <w:tcW w:w="1086" w:type="dxa"/>
            <w:vAlign w:val="top"/>
          </w:tcPr>
          <w:p>
            <w:pPr>
              <w:ind w:left="377"/>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9.916</w:t>
            </w:r>
          </w:p>
        </w:tc>
        <w:tc>
          <w:tcPr>
            <w:tcW w:w="929" w:type="dxa"/>
            <w:vAlign w:val="top"/>
            <w:vMerge w:val="continue"/>
            <w:tcBorders>
              <w:bottom w:val="nil"/>
              <w:top w:val="nil"/>
            </w:tcBorders>
          </w:tcPr>
          <w:p>
            <w:pPr>
              <w:rPr>
                <w:rFonts w:ascii="Arial"/>
                <w:sz w:val="21"/>
              </w:rPr>
            </w:pPr>
            <w:r/>
          </w:p>
        </w:tc>
        <w:tc>
          <w:tcPr>
            <w:tcW w:w="1225" w:type="dxa"/>
            <w:vAlign w:val="top"/>
          </w:tcPr>
          <w:p>
            <w:pPr>
              <w:ind w:left="447"/>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5.902</w:t>
            </w:r>
          </w:p>
        </w:tc>
        <w:tc>
          <w:tcPr>
            <w:tcW w:w="934" w:type="dxa"/>
            <w:vAlign w:val="top"/>
          </w:tcPr>
          <w:p>
            <w:pPr>
              <w:ind w:left="300"/>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995" w:type="dxa"/>
            <w:vAlign w:val="top"/>
          </w:tcPr>
          <w:p>
            <w:pPr>
              <w:ind w:left="331"/>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198</w:t>
            </w:r>
          </w:p>
        </w:tc>
        <w:tc>
          <w:tcPr>
            <w:tcW w:w="1118" w:type="dxa"/>
            <w:vAlign w:val="top"/>
          </w:tcPr>
          <w:p>
            <w:pPr>
              <w:ind w:left="338"/>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003</w:t>
            </w:r>
          </w:p>
        </w:tc>
        <w:tc>
          <w:tcPr>
            <w:tcW w:w="1266" w:type="dxa"/>
            <w:vAlign w:val="top"/>
            <w:tcBorders>
              <w:right w:val="nil"/>
            </w:tcBorders>
          </w:tcPr>
          <w:p>
            <w:pPr>
              <w:ind w:left="483"/>
              <w:spacing w:before="115"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93"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89"/>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102</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0.386</w:t>
            </w:r>
          </w:p>
        </w:tc>
        <w:tc>
          <w:tcPr>
            <w:tcW w:w="1118" w:type="dxa"/>
            <w:vAlign w:val="top"/>
          </w:tcPr>
          <w:p>
            <w:pPr>
              <w:rPr>
                <w:rFonts w:ascii="Arial"/>
                <w:sz w:val="21"/>
              </w:rPr>
            </w:pPr>
            <w:r/>
          </w:p>
        </w:tc>
        <w:tc>
          <w:tcPr>
            <w:tcW w:w="1266" w:type="dxa"/>
            <w:vAlign w:val="top"/>
            <w:tcBorders>
              <w:right w:val="nil"/>
            </w:tcBorders>
          </w:tcPr>
          <w:p>
            <w:pPr>
              <w:ind w:left="483"/>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restart"/>
            <w:tcBorders>
              <w:left w:val="nil"/>
              <w:bottom w:val="nil"/>
            </w:tcBorders>
          </w:tcPr>
          <w:p>
            <w:pPr>
              <w:spacing w:line="262" w:lineRule="auto"/>
              <w:rPr>
                <w:rFonts w:ascii="Arial"/>
                <w:sz w:val="21"/>
              </w:rPr>
            </w:pPr>
            <w:r/>
          </w:p>
          <w:p>
            <w:pPr>
              <w:spacing w:line="262" w:lineRule="auto"/>
              <w:rPr>
                <w:rFonts w:ascii="Arial"/>
                <w:sz w:val="21"/>
              </w:rPr>
            </w:pPr>
            <w:r/>
          </w:p>
          <w:p>
            <w:pPr>
              <w:pStyle w:val="TableText"/>
              <w:ind w:left="389"/>
              <w:spacing w:before="45" w:line="232" w:lineRule="auto"/>
              <w:rPr>
                <w:sz w:val="14"/>
                <w:szCs w:val="14"/>
              </w:rPr>
            </w:pPr>
            <w:r>
              <w:rPr>
                <w:sz w:val="14"/>
                <w:szCs w:val="14"/>
                <w:spacing w:val="6"/>
              </w:rPr>
              <w:t>筛分车间</w:t>
            </w:r>
          </w:p>
        </w:tc>
        <w:tc>
          <w:tcPr>
            <w:tcW w:w="933" w:type="dxa"/>
            <w:vAlign w:val="top"/>
            <w:vMerge w:val="restart"/>
            <w:tcBorders>
              <w:bottom w:val="nil"/>
            </w:tcBorders>
          </w:tcPr>
          <w:p>
            <w:pPr>
              <w:pStyle w:val="TableText"/>
              <w:ind w:left="324"/>
              <w:spacing w:before="247" w:line="235" w:lineRule="auto"/>
              <w:rPr>
                <w:sz w:val="14"/>
                <w:szCs w:val="14"/>
              </w:rPr>
            </w:pPr>
            <w:r>
              <w:rPr>
                <w:sz w:val="14"/>
                <w:szCs w:val="14"/>
                <w:spacing w:val="3"/>
              </w:rPr>
              <w:t>粉尘</w:t>
            </w:r>
          </w:p>
        </w:tc>
        <w:tc>
          <w:tcPr>
            <w:tcW w:w="756" w:type="dxa"/>
            <w:vAlign w:val="top"/>
          </w:tcPr>
          <w:p>
            <w:pPr>
              <w:pStyle w:val="TableText"/>
              <w:ind w:left="159"/>
              <w:spacing w:before="93" w:line="234" w:lineRule="auto"/>
              <w:rPr>
                <w:sz w:val="14"/>
                <w:szCs w:val="14"/>
              </w:rPr>
            </w:pPr>
            <w:r>
              <w:rPr>
                <w:sz w:val="14"/>
                <w:szCs w:val="14"/>
                <w:spacing w:val="6"/>
              </w:rPr>
              <w:t>有组织</w:t>
            </w:r>
          </w:p>
        </w:tc>
        <w:tc>
          <w:tcPr>
            <w:tcW w:w="1312" w:type="dxa"/>
            <w:vAlign w:val="top"/>
          </w:tcPr>
          <w:p>
            <w:pPr>
              <w:ind w:left="378"/>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6000.000</w:t>
            </w:r>
          </w:p>
        </w:tc>
        <w:tc>
          <w:tcPr>
            <w:tcW w:w="1305" w:type="dxa"/>
            <w:vAlign w:val="top"/>
          </w:tcPr>
          <w:p>
            <w:pPr>
              <w:ind w:left="413"/>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501.641</w:t>
            </w:r>
          </w:p>
        </w:tc>
        <w:tc>
          <w:tcPr>
            <w:tcW w:w="988" w:type="dxa"/>
            <w:vAlign w:val="top"/>
          </w:tcPr>
          <w:p>
            <w:pPr>
              <w:ind w:left="328"/>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3.010</w:t>
            </w:r>
          </w:p>
        </w:tc>
        <w:tc>
          <w:tcPr>
            <w:tcW w:w="1086" w:type="dxa"/>
            <w:vAlign w:val="top"/>
          </w:tcPr>
          <w:p>
            <w:pPr>
              <w:ind w:left="350"/>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14.447</w:t>
            </w:r>
          </w:p>
        </w:tc>
        <w:tc>
          <w:tcPr>
            <w:tcW w:w="929" w:type="dxa"/>
            <w:vAlign w:val="top"/>
            <w:vMerge w:val="continue"/>
            <w:tcBorders>
              <w:bottom w:val="nil"/>
              <w:top w:val="nil"/>
            </w:tcBorders>
          </w:tcPr>
          <w:p>
            <w:pPr>
              <w:rPr>
                <w:rFonts w:ascii="Arial"/>
                <w:sz w:val="21"/>
              </w:rPr>
            </w:pPr>
            <w:r/>
          </w:p>
        </w:tc>
        <w:tc>
          <w:tcPr>
            <w:tcW w:w="1225" w:type="dxa"/>
            <w:vAlign w:val="top"/>
          </w:tcPr>
          <w:p>
            <w:pPr>
              <w:ind w:left="421"/>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10.033</w:t>
            </w:r>
          </w:p>
        </w:tc>
        <w:tc>
          <w:tcPr>
            <w:tcW w:w="934" w:type="dxa"/>
            <w:vAlign w:val="top"/>
          </w:tcPr>
          <w:p>
            <w:pPr>
              <w:ind w:left="300"/>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0.060</w:t>
            </w:r>
          </w:p>
        </w:tc>
        <w:tc>
          <w:tcPr>
            <w:tcW w:w="995" w:type="dxa"/>
            <w:vAlign w:val="top"/>
          </w:tcPr>
          <w:p>
            <w:pPr>
              <w:ind w:left="331"/>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0.289</w:t>
            </w:r>
          </w:p>
        </w:tc>
        <w:tc>
          <w:tcPr>
            <w:tcW w:w="1118" w:type="dxa"/>
            <w:vAlign w:val="top"/>
          </w:tcPr>
          <w:p>
            <w:pPr>
              <w:ind w:left="338"/>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004</w:t>
            </w:r>
          </w:p>
        </w:tc>
        <w:tc>
          <w:tcPr>
            <w:tcW w:w="1266" w:type="dxa"/>
            <w:vAlign w:val="top"/>
            <w:tcBorders>
              <w:right w:val="nil"/>
            </w:tcBorders>
          </w:tcPr>
          <w:p>
            <w:pPr>
              <w:ind w:left="483"/>
              <w:spacing w:before="11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94"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89"/>
              <w:spacing w:before="11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1.605</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1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0.562</w:t>
            </w:r>
          </w:p>
        </w:tc>
        <w:tc>
          <w:tcPr>
            <w:tcW w:w="1118" w:type="dxa"/>
            <w:vAlign w:val="top"/>
          </w:tcPr>
          <w:p>
            <w:pPr>
              <w:rPr>
                <w:rFonts w:ascii="Arial"/>
                <w:sz w:val="21"/>
              </w:rPr>
            </w:pPr>
            <w:r/>
          </w:p>
        </w:tc>
        <w:tc>
          <w:tcPr>
            <w:tcW w:w="1266" w:type="dxa"/>
            <w:vAlign w:val="top"/>
            <w:tcBorders>
              <w:right w:val="nil"/>
            </w:tcBorders>
          </w:tcPr>
          <w:p>
            <w:pPr>
              <w:ind w:left="483"/>
              <w:spacing w:before="11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04" w:hRule="atLeast"/>
        </w:trPr>
        <w:tc>
          <w:tcPr>
            <w:tcW w:w="1358" w:type="dxa"/>
            <w:vAlign w:val="top"/>
            <w:vMerge w:val="continue"/>
            <w:tcBorders>
              <w:left w:val="nil"/>
              <w:top w:val="nil"/>
              <w:bottom w:val="nil"/>
            </w:tcBorders>
          </w:tcPr>
          <w:p>
            <w:pPr>
              <w:rPr>
                <w:rFonts w:ascii="Arial"/>
                <w:sz w:val="21"/>
              </w:rPr>
            </w:pPr>
            <w:r/>
          </w:p>
        </w:tc>
        <w:tc>
          <w:tcPr>
            <w:tcW w:w="933" w:type="dxa"/>
            <w:vAlign w:val="top"/>
            <w:vMerge w:val="restart"/>
            <w:tcBorders>
              <w:bottom w:val="nil"/>
            </w:tcBorders>
          </w:tcPr>
          <w:p>
            <w:pPr>
              <w:pStyle w:val="TableText"/>
              <w:ind w:left="253"/>
              <w:spacing w:before="265" w:line="233" w:lineRule="auto"/>
              <w:rPr>
                <w:sz w:val="14"/>
                <w:szCs w:val="14"/>
              </w:rPr>
            </w:pPr>
            <w:r>
              <w:rPr>
                <w:sz w:val="14"/>
                <w:szCs w:val="14"/>
                <w:spacing w:val="4"/>
              </w:rPr>
              <w:t>氟化物</w:t>
            </w:r>
          </w:p>
        </w:tc>
        <w:tc>
          <w:tcPr>
            <w:tcW w:w="756" w:type="dxa"/>
            <w:vAlign w:val="top"/>
          </w:tcPr>
          <w:p>
            <w:pPr>
              <w:pStyle w:val="TableText"/>
              <w:ind w:left="159"/>
              <w:spacing w:before="94" w:line="234" w:lineRule="auto"/>
              <w:rPr>
                <w:sz w:val="14"/>
                <w:szCs w:val="14"/>
              </w:rPr>
            </w:pPr>
            <w:r>
              <w:rPr>
                <w:sz w:val="14"/>
                <w:szCs w:val="14"/>
                <w:spacing w:val="6"/>
              </w:rPr>
              <w:t>有组织</w:t>
            </w:r>
          </w:p>
        </w:tc>
        <w:tc>
          <w:tcPr>
            <w:tcW w:w="1312" w:type="dxa"/>
            <w:vAlign w:val="top"/>
          </w:tcPr>
          <w:p>
            <w:pPr>
              <w:ind w:left="378"/>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6000.000</w:t>
            </w:r>
          </w:p>
        </w:tc>
        <w:tc>
          <w:tcPr>
            <w:tcW w:w="1305" w:type="dxa"/>
            <w:vAlign w:val="top"/>
          </w:tcPr>
          <w:p>
            <w:pPr>
              <w:ind w:left="412"/>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344.297</w:t>
            </w:r>
          </w:p>
        </w:tc>
        <w:tc>
          <w:tcPr>
            <w:tcW w:w="988" w:type="dxa"/>
            <w:vAlign w:val="top"/>
          </w:tcPr>
          <w:p>
            <w:pPr>
              <w:ind w:left="326"/>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2.066</w:t>
            </w:r>
          </w:p>
        </w:tc>
        <w:tc>
          <w:tcPr>
            <w:tcW w:w="1086" w:type="dxa"/>
            <w:vAlign w:val="top"/>
          </w:tcPr>
          <w:p>
            <w:pPr>
              <w:ind w:left="377"/>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9.916</w:t>
            </w:r>
          </w:p>
        </w:tc>
        <w:tc>
          <w:tcPr>
            <w:tcW w:w="929" w:type="dxa"/>
            <w:vAlign w:val="top"/>
            <w:vMerge w:val="continue"/>
            <w:tcBorders>
              <w:bottom w:val="nil"/>
              <w:top w:val="nil"/>
            </w:tcBorders>
          </w:tcPr>
          <w:p>
            <w:pPr>
              <w:rPr>
                <w:rFonts w:ascii="Arial"/>
                <w:sz w:val="21"/>
              </w:rPr>
            </w:pPr>
            <w:r/>
          </w:p>
        </w:tc>
        <w:tc>
          <w:tcPr>
            <w:tcW w:w="1225" w:type="dxa"/>
            <w:vAlign w:val="top"/>
          </w:tcPr>
          <w:p>
            <w:pPr>
              <w:ind w:left="446"/>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6.886</w:t>
            </w:r>
          </w:p>
        </w:tc>
        <w:tc>
          <w:tcPr>
            <w:tcW w:w="934" w:type="dxa"/>
            <w:vAlign w:val="top"/>
          </w:tcPr>
          <w:p>
            <w:pPr>
              <w:ind w:left="300"/>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995" w:type="dxa"/>
            <w:vAlign w:val="top"/>
          </w:tcPr>
          <w:p>
            <w:pPr>
              <w:ind w:left="331"/>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198</w:t>
            </w:r>
          </w:p>
        </w:tc>
        <w:tc>
          <w:tcPr>
            <w:tcW w:w="1118" w:type="dxa"/>
            <w:vAlign w:val="top"/>
          </w:tcPr>
          <w:p>
            <w:pPr>
              <w:ind w:left="338"/>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004</w:t>
            </w:r>
          </w:p>
        </w:tc>
        <w:tc>
          <w:tcPr>
            <w:tcW w:w="1266" w:type="dxa"/>
            <w:vAlign w:val="top"/>
            <w:tcBorders>
              <w:right w:val="nil"/>
            </w:tcBorders>
          </w:tcPr>
          <w:p>
            <w:pPr>
              <w:ind w:left="483"/>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34" w:hRule="atLeast"/>
        </w:trPr>
        <w:tc>
          <w:tcPr>
            <w:tcW w:w="1358" w:type="dxa"/>
            <w:vAlign w:val="top"/>
            <w:vMerge w:val="continue"/>
            <w:tcBorders>
              <w:left w:val="nil"/>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112"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89"/>
              <w:spacing w:before="13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102</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3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0.386</w:t>
            </w:r>
          </w:p>
        </w:tc>
        <w:tc>
          <w:tcPr>
            <w:tcW w:w="1118" w:type="dxa"/>
            <w:vAlign w:val="top"/>
          </w:tcPr>
          <w:p>
            <w:pPr>
              <w:rPr>
                <w:rFonts w:ascii="Arial"/>
                <w:sz w:val="21"/>
              </w:rPr>
            </w:pPr>
            <w:r/>
          </w:p>
        </w:tc>
        <w:tc>
          <w:tcPr>
            <w:tcW w:w="1266" w:type="dxa"/>
            <w:vAlign w:val="top"/>
            <w:tcBorders>
              <w:right w:val="nil"/>
            </w:tcBorders>
          </w:tcPr>
          <w:p>
            <w:pPr>
              <w:ind w:left="483"/>
              <w:spacing w:before="13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34" w:hRule="atLeast"/>
        </w:trPr>
        <w:tc>
          <w:tcPr>
            <w:tcW w:w="1358" w:type="dxa"/>
            <w:vAlign w:val="top"/>
            <w:vMerge w:val="restart"/>
            <w:tcBorders>
              <w:left w:val="nil"/>
              <w:bottom w:val="nil"/>
            </w:tcBorders>
          </w:tcPr>
          <w:p>
            <w:pPr>
              <w:spacing w:line="286" w:lineRule="auto"/>
              <w:rPr>
                <w:rFonts w:ascii="Arial"/>
                <w:sz w:val="21"/>
              </w:rPr>
            </w:pPr>
            <w:r/>
          </w:p>
          <w:p>
            <w:pPr>
              <w:spacing w:line="287" w:lineRule="auto"/>
              <w:rPr>
                <w:rFonts w:ascii="Arial"/>
                <w:sz w:val="21"/>
              </w:rPr>
            </w:pPr>
            <w:r/>
          </w:p>
          <w:p>
            <w:pPr>
              <w:pStyle w:val="TableText"/>
              <w:ind w:left="465"/>
              <w:spacing w:before="46" w:line="235" w:lineRule="auto"/>
              <w:rPr>
                <w:sz w:val="14"/>
                <w:szCs w:val="14"/>
              </w:rPr>
            </w:pPr>
            <w:r>
              <w:rPr>
                <w:sz w:val="14"/>
                <w:szCs w:val="14"/>
                <w:spacing w:val="6"/>
              </w:rPr>
              <w:t>粉矿仓</w:t>
            </w:r>
          </w:p>
        </w:tc>
        <w:tc>
          <w:tcPr>
            <w:tcW w:w="933" w:type="dxa"/>
            <w:vAlign w:val="top"/>
            <w:vMerge w:val="restart"/>
            <w:tcBorders>
              <w:bottom w:val="nil"/>
            </w:tcBorders>
          </w:tcPr>
          <w:p>
            <w:pPr>
              <w:pStyle w:val="TableText"/>
              <w:ind w:left="324"/>
              <w:spacing w:before="281" w:line="235" w:lineRule="auto"/>
              <w:rPr>
                <w:sz w:val="14"/>
                <w:szCs w:val="14"/>
              </w:rPr>
            </w:pPr>
            <w:r>
              <w:rPr>
                <w:sz w:val="14"/>
                <w:szCs w:val="14"/>
                <w:spacing w:val="3"/>
              </w:rPr>
              <w:t>粉尘</w:t>
            </w:r>
          </w:p>
        </w:tc>
        <w:tc>
          <w:tcPr>
            <w:tcW w:w="756" w:type="dxa"/>
            <w:vAlign w:val="top"/>
          </w:tcPr>
          <w:p>
            <w:pPr>
              <w:pStyle w:val="TableText"/>
              <w:ind w:left="159"/>
              <w:spacing w:before="111" w:line="234" w:lineRule="auto"/>
              <w:rPr>
                <w:sz w:val="14"/>
                <w:szCs w:val="14"/>
              </w:rPr>
            </w:pPr>
            <w:r>
              <w:rPr>
                <w:sz w:val="14"/>
                <w:szCs w:val="14"/>
                <w:spacing w:val="6"/>
              </w:rPr>
              <w:t>有组织</w:t>
            </w:r>
          </w:p>
        </w:tc>
        <w:tc>
          <w:tcPr>
            <w:tcW w:w="1312" w:type="dxa"/>
            <w:vAlign w:val="top"/>
          </w:tcPr>
          <w:p>
            <w:pPr>
              <w:ind w:left="379"/>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5000.000</w:t>
            </w:r>
          </w:p>
        </w:tc>
        <w:tc>
          <w:tcPr>
            <w:tcW w:w="1305" w:type="dxa"/>
            <w:vAlign w:val="top"/>
          </w:tcPr>
          <w:p>
            <w:pPr>
              <w:ind w:left="444"/>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46.032</w:t>
            </w:r>
          </w:p>
        </w:tc>
        <w:tc>
          <w:tcPr>
            <w:tcW w:w="988" w:type="dxa"/>
            <w:vAlign w:val="top"/>
          </w:tcPr>
          <w:p>
            <w:pPr>
              <w:ind w:left="328"/>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0.230</w:t>
            </w:r>
          </w:p>
        </w:tc>
        <w:tc>
          <w:tcPr>
            <w:tcW w:w="1086" w:type="dxa"/>
            <w:vAlign w:val="top"/>
          </w:tcPr>
          <w:p>
            <w:pPr>
              <w:ind w:left="389"/>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105</w:t>
            </w:r>
          </w:p>
        </w:tc>
        <w:tc>
          <w:tcPr>
            <w:tcW w:w="929" w:type="dxa"/>
            <w:vAlign w:val="top"/>
            <w:vMerge w:val="continue"/>
            <w:tcBorders>
              <w:bottom w:val="nil"/>
              <w:top w:val="nil"/>
            </w:tcBorders>
          </w:tcPr>
          <w:p>
            <w:pPr>
              <w:rPr>
                <w:rFonts w:ascii="Arial"/>
                <w:sz w:val="21"/>
              </w:rPr>
            </w:pPr>
            <w:r/>
          </w:p>
        </w:tc>
        <w:tc>
          <w:tcPr>
            <w:tcW w:w="1225" w:type="dxa"/>
            <w:vAlign w:val="top"/>
          </w:tcPr>
          <w:p>
            <w:pPr>
              <w:ind w:left="445"/>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0.921</w:t>
            </w:r>
          </w:p>
        </w:tc>
        <w:tc>
          <w:tcPr>
            <w:tcW w:w="934" w:type="dxa"/>
            <w:vAlign w:val="top"/>
          </w:tcPr>
          <w:p>
            <w:pPr>
              <w:ind w:left="261"/>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0.0046</w:t>
            </w:r>
          </w:p>
        </w:tc>
        <w:tc>
          <w:tcPr>
            <w:tcW w:w="995" w:type="dxa"/>
            <w:vAlign w:val="top"/>
          </w:tcPr>
          <w:p>
            <w:pPr>
              <w:ind w:left="331"/>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0.022</w:t>
            </w:r>
          </w:p>
        </w:tc>
        <w:tc>
          <w:tcPr>
            <w:tcW w:w="1118" w:type="dxa"/>
            <w:vAlign w:val="top"/>
          </w:tcPr>
          <w:p>
            <w:pPr>
              <w:ind w:left="338"/>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005</w:t>
            </w:r>
          </w:p>
        </w:tc>
        <w:tc>
          <w:tcPr>
            <w:tcW w:w="1266" w:type="dxa"/>
            <w:vAlign w:val="top"/>
            <w:tcBorders>
              <w:right w:val="nil"/>
            </w:tcBorders>
          </w:tcPr>
          <w:p>
            <w:pPr>
              <w:ind w:left="483"/>
              <w:spacing w:before="13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34" w:hRule="atLeast"/>
        </w:trPr>
        <w:tc>
          <w:tcPr>
            <w:tcW w:w="1358" w:type="dxa"/>
            <w:vAlign w:val="top"/>
            <w:vMerge w:val="continue"/>
            <w:tcBorders>
              <w:left w:val="nil"/>
              <w:bottom w:val="nil"/>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756" w:type="dxa"/>
            <w:vAlign w:val="top"/>
          </w:tcPr>
          <w:p>
            <w:pPr>
              <w:pStyle w:val="TableText"/>
              <w:ind w:left="162"/>
              <w:spacing w:before="113"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77"/>
              <w:spacing w:before="13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929" w:type="dxa"/>
            <w:vAlign w:val="top"/>
            <w:vMerge w:val="continue"/>
            <w:tcBorders>
              <w:bottom w:val="nil"/>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3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1118" w:type="dxa"/>
            <w:vAlign w:val="top"/>
          </w:tcPr>
          <w:p>
            <w:pPr>
              <w:rPr>
                <w:rFonts w:ascii="Arial"/>
                <w:sz w:val="21"/>
              </w:rPr>
            </w:pPr>
            <w:r/>
          </w:p>
        </w:tc>
        <w:tc>
          <w:tcPr>
            <w:tcW w:w="1266" w:type="dxa"/>
            <w:vAlign w:val="top"/>
            <w:tcBorders>
              <w:right w:val="nil"/>
            </w:tcBorders>
          </w:tcPr>
          <w:p>
            <w:pPr>
              <w:ind w:left="483"/>
              <w:spacing w:before="13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34" w:hRule="atLeast"/>
        </w:trPr>
        <w:tc>
          <w:tcPr>
            <w:tcW w:w="1358" w:type="dxa"/>
            <w:vAlign w:val="top"/>
            <w:vMerge w:val="continue"/>
            <w:tcBorders>
              <w:left w:val="nil"/>
              <w:bottom w:val="nil"/>
              <w:top w:val="nil"/>
            </w:tcBorders>
          </w:tcPr>
          <w:p>
            <w:pPr>
              <w:rPr>
                <w:rFonts w:ascii="Arial"/>
                <w:sz w:val="21"/>
              </w:rPr>
            </w:pPr>
            <w:r/>
          </w:p>
        </w:tc>
        <w:tc>
          <w:tcPr>
            <w:tcW w:w="933" w:type="dxa"/>
            <w:vAlign w:val="top"/>
            <w:vMerge w:val="restart"/>
            <w:tcBorders>
              <w:bottom w:val="nil"/>
            </w:tcBorders>
          </w:tcPr>
          <w:p>
            <w:pPr>
              <w:pStyle w:val="TableText"/>
              <w:ind w:left="253"/>
              <w:spacing w:before="283" w:line="233" w:lineRule="auto"/>
              <w:rPr>
                <w:sz w:val="14"/>
                <w:szCs w:val="14"/>
              </w:rPr>
            </w:pPr>
            <w:r>
              <w:rPr>
                <w:sz w:val="14"/>
                <w:szCs w:val="14"/>
                <w:spacing w:val="4"/>
              </w:rPr>
              <w:t>氟化物</w:t>
            </w:r>
          </w:p>
        </w:tc>
        <w:tc>
          <w:tcPr>
            <w:tcW w:w="756" w:type="dxa"/>
            <w:vAlign w:val="top"/>
          </w:tcPr>
          <w:p>
            <w:pPr>
              <w:pStyle w:val="TableText"/>
              <w:ind w:left="159"/>
              <w:spacing w:before="115" w:line="234" w:lineRule="auto"/>
              <w:rPr>
                <w:sz w:val="14"/>
                <w:szCs w:val="14"/>
              </w:rPr>
            </w:pPr>
            <w:r>
              <w:rPr>
                <w:sz w:val="14"/>
                <w:szCs w:val="14"/>
                <w:spacing w:val="6"/>
              </w:rPr>
              <w:t>有组织</w:t>
            </w:r>
          </w:p>
        </w:tc>
        <w:tc>
          <w:tcPr>
            <w:tcW w:w="1312" w:type="dxa"/>
            <w:vAlign w:val="top"/>
          </w:tcPr>
          <w:p>
            <w:pPr>
              <w:ind w:left="379"/>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5000.000</w:t>
            </w:r>
          </w:p>
        </w:tc>
        <w:tc>
          <w:tcPr>
            <w:tcW w:w="1305" w:type="dxa"/>
            <w:vAlign w:val="top"/>
          </w:tcPr>
          <w:p>
            <w:pPr>
              <w:ind w:left="448"/>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31.593</w:t>
            </w:r>
          </w:p>
        </w:tc>
        <w:tc>
          <w:tcPr>
            <w:tcW w:w="988" w:type="dxa"/>
            <w:vAlign w:val="top"/>
          </w:tcPr>
          <w:p>
            <w:pPr>
              <w:ind w:left="328"/>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158</w:t>
            </w:r>
          </w:p>
        </w:tc>
        <w:tc>
          <w:tcPr>
            <w:tcW w:w="1086" w:type="dxa"/>
            <w:vAlign w:val="top"/>
          </w:tcPr>
          <w:p>
            <w:pPr>
              <w:ind w:left="377"/>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0.758</w:t>
            </w:r>
          </w:p>
        </w:tc>
        <w:tc>
          <w:tcPr>
            <w:tcW w:w="929" w:type="dxa"/>
            <w:vAlign w:val="top"/>
            <w:vMerge w:val="continue"/>
            <w:tcBorders>
              <w:bottom w:val="nil"/>
              <w:top w:val="nil"/>
            </w:tcBorders>
          </w:tcPr>
          <w:p>
            <w:pPr>
              <w:rPr>
                <w:rFonts w:ascii="Arial"/>
                <w:sz w:val="21"/>
              </w:rPr>
            </w:pPr>
            <w:r/>
          </w:p>
        </w:tc>
        <w:tc>
          <w:tcPr>
            <w:tcW w:w="1225" w:type="dxa"/>
            <w:vAlign w:val="top"/>
          </w:tcPr>
          <w:p>
            <w:pPr>
              <w:ind w:left="445"/>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0.632</w:t>
            </w:r>
          </w:p>
        </w:tc>
        <w:tc>
          <w:tcPr>
            <w:tcW w:w="934" w:type="dxa"/>
            <w:vAlign w:val="top"/>
          </w:tcPr>
          <w:p>
            <w:pPr>
              <w:ind w:left="300"/>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0.003</w:t>
            </w:r>
          </w:p>
        </w:tc>
        <w:tc>
          <w:tcPr>
            <w:tcW w:w="995" w:type="dxa"/>
            <w:vAlign w:val="top"/>
          </w:tcPr>
          <w:p>
            <w:pPr>
              <w:ind w:left="331"/>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0.015</w:t>
            </w:r>
          </w:p>
        </w:tc>
        <w:tc>
          <w:tcPr>
            <w:tcW w:w="1118" w:type="dxa"/>
            <w:vAlign w:val="top"/>
          </w:tcPr>
          <w:p>
            <w:pPr>
              <w:ind w:left="338"/>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005</w:t>
            </w:r>
          </w:p>
        </w:tc>
        <w:tc>
          <w:tcPr>
            <w:tcW w:w="1266" w:type="dxa"/>
            <w:vAlign w:val="top"/>
            <w:tcBorders>
              <w:right w:val="nil"/>
            </w:tcBorders>
          </w:tcPr>
          <w:p>
            <w:pPr>
              <w:ind w:left="483"/>
              <w:spacing w:before="1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r>
        <w:trPr>
          <w:trHeight w:val="356" w:hRule="atLeast"/>
        </w:trPr>
        <w:tc>
          <w:tcPr>
            <w:tcW w:w="1358" w:type="dxa"/>
            <w:vAlign w:val="top"/>
            <w:vMerge w:val="continue"/>
            <w:tcBorders>
              <w:left w:val="nil"/>
              <w:bottom w:val="single" w:color="000000" w:sz="10" w:space="0"/>
              <w:top w:val="nil"/>
            </w:tcBorders>
          </w:tcPr>
          <w:p>
            <w:pPr>
              <w:rPr>
                <w:rFonts w:ascii="Arial"/>
                <w:sz w:val="21"/>
              </w:rPr>
            </w:pPr>
            <w:r/>
          </w:p>
        </w:tc>
        <w:tc>
          <w:tcPr>
            <w:tcW w:w="933" w:type="dxa"/>
            <w:vAlign w:val="top"/>
            <w:vMerge w:val="continue"/>
            <w:tcBorders>
              <w:bottom w:val="single" w:color="000000" w:sz="10" w:space="0"/>
              <w:top w:val="nil"/>
            </w:tcBorders>
          </w:tcPr>
          <w:p>
            <w:pPr>
              <w:rPr>
                <w:rFonts w:ascii="Arial"/>
                <w:sz w:val="21"/>
              </w:rPr>
            </w:pPr>
            <w:r/>
          </w:p>
        </w:tc>
        <w:tc>
          <w:tcPr>
            <w:tcW w:w="756" w:type="dxa"/>
            <w:vAlign w:val="top"/>
            <w:tcBorders>
              <w:bottom w:val="single" w:color="000000" w:sz="10" w:space="0"/>
            </w:tcBorders>
          </w:tcPr>
          <w:p>
            <w:pPr>
              <w:pStyle w:val="TableText"/>
              <w:ind w:left="162"/>
              <w:spacing w:before="114" w:line="237" w:lineRule="auto"/>
              <w:rPr>
                <w:sz w:val="14"/>
                <w:szCs w:val="14"/>
              </w:rPr>
            </w:pPr>
            <w:r>
              <w:rPr>
                <w:sz w:val="14"/>
                <w:szCs w:val="14"/>
                <w:spacing w:val="5"/>
              </w:rPr>
              <w:t>无组织</w:t>
            </w:r>
          </w:p>
        </w:tc>
        <w:tc>
          <w:tcPr>
            <w:tcW w:w="1312" w:type="dxa"/>
            <w:vAlign w:val="top"/>
            <w:tcBorders>
              <w:bottom w:val="single" w:color="000000" w:sz="10" w:space="0"/>
            </w:tcBorders>
          </w:tcPr>
          <w:p>
            <w:pPr>
              <w:rPr>
                <w:rFonts w:ascii="Arial"/>
                <w:sz w:val="21"/>
              </w:rPr>
            </w:pPr>
            <w:r/>
          </w:p>
        </w:tc>
        <w:tc>
          <w:tcPr>
            <w:tcW w:w="1305" w:type="dxa"/>
            <w:vAlign w:val="top"/>
            <w:tcBorders>
              <w:bottom w:val="single" w:color="000000" w:sz="10" w:space="0"/>
            </w:tcBorders>
          </w:tcPr>
          <w:p>
            <w:pPr>
              <w:rPr>
                <w:rFonts w:ascii="Arial"/>
                <w:sz w:val="21"/>
              </w:rPr>
            </w:pPr>
            <w:r/>
          </w:p>
        </w:tc>
        <w:tc>
          <w:tcPr>
            <w:tcW w:w="988" w:type="dxa"/>
            <w:vAlign w:val="top"/>
            <w:tcBorders>
              <w:bottom w:val="single" w:color="000000" w:sz="10" w:space="0"/>
            </w:tcBorders>
          </w:tcPr>
          <w:p>
            <w:pPr>
              <w:rPr>
                <w:rFonts w:ascii="Arial"/>
                <w:sz w:val="21"/>
              </w:rPr>
            </w:pPr>
            <w:r/>
          </w:p>
        </w:tc>
        <w:tc>
          <w:tcPr>
            <w:tcW w:w="1086" w:type="dxa"/>
            <w:vAlign w:val="top"/>
            <w:tcBorders>
              <w:bottom w:val="single" w:color="000000" w:sz="10" w:space="0"/>
            </w:tcBorders>
          </w:tcPr>
          <w:p>
            <w:pPr>
              <w:ind w:left="377"/>
              <w:spacing w:before="13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c>
          <w:tcPr>
            <w:tcW w:w="929" w:type="dxa"/>
            <w:vAlign w:val="top"/>
            <w:vMerge w:val="continue"/>
            <w:tcBorders>
              <w:bottom w:val="single" w:color="000000" w:sz="10" w:space="0"/>
              <w:top w:val="nil"/>
            </w:tcBorders>
          </w:tcPr>
          <w:p>
            <w:pPr>
              <w:rPr>
                <w:rFonts w:ascii="Arial"/>
                <w:sz w:val="21"/>
              </w:rPr>
            </w:pPr>
            <w:r/>
          </w:p>
        </w:tc>
        <w:tc>
          <w:tcPr>
            <w:tcW w:w="1225" w:type="dxa"/>
            <w:vAlign w:val="top"/>
            <w:tcBorders>
              <w:bottom w:val="single" w:color="000000" w:sz="10" w:space="0"/>
            </w:tcBorders>
          </w:tcPr>
          <w:p>
            <w:pPr>
              <w:rPr>
                <w:rFonts w:ascii="Arial"/>
                <w:sz w:val="21"/>
              </w:rPr>
            </w:pPr>
            <w:r/>
          </w:p>
        </w:tc>
        <w:tc>
          <w:tcPr>
            <w:tcW w:w="934" w:type="dxa"/>
            <w:vAlign w:val="top"/>
            <w:tcBorders>
              <w:bottom w:val="single" w:color="000000" w:sz="10" w:space="0"/>
            </w:tcBorders>
          </w:tcPr>
          <w:p>
            <w:pPr>
              <w:rPr>
                <w:rFonts w:ascii="Arial"/>
                <w:sz w:val="21"/>
              </w:rPr>
            </w:pPr>
            <w:r/>
          </w:p>
        </w:tc>
        <w:tc>
          <w:tcPr>
            <w:tcW w:w="995" w:type="dxa"/>
            <w:vAlign w:val="top"/>
            <w:tcBorders>
              <w:bottom w:val="single" w:color="000000" w:sz="10" w:space="0"/>
            </w:tcBorders>
          </w:tcPr>
          <w:p>
            <w:pPr>
              <w:ind w:left="331"/>
              <w:spacing w:before="13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0.029</w:t>
            </w:r>
          </w:p>
        </w:tc>
        <w:tc>
          <w:tcPr>
            <w:tcW w:w="1118" w:type="dxa"/>
            <w:vAlign w:val="top"/>
            <w:tcBorders>
              <w:bottom w:val="single" w:color="000000" w:sz="10" w:space="0"/>
            </w:tcBorders>
          </w:tcPr>
          <w:p>
            <w:pPr>
              <w:rPr>
                <w:rFonts w:ascii="Arial"/>
                <w:sz w:val="21"/>
              </w:rPr>
            </w:pPr>
            <w:r/>
          </w:p>
        </w:tc>
        <w:tc>
          <w:tcPr>
            <w:tcW w:w="1266" w:type="dxa"/>
            <w:vAlign w:val="top"/>
            <w:tcBorders>
              <w:right w:val="nil"/>
              <w:bottom w:val="single" w:color="000000" w:sz="10" w:space="0"/>
            </w:tcBorders>
          </w:tcPr>
          <w:p>
            <w:pPr>
              <w:ind w:left="483"/>
              <w:spacing w:before="13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4800</w:t>
            </w:r>
          </w:p>
        </w:tc>
      </w:tr>
    </w:tbl>
    <w:p>
      <w:pPr>
        <w:pStyle w:val="BodyText"/>
        <w:rPr/>
      </w:pPr>
      <w:r/>
    </w:p>
    <w:p>
      <w:pPr>
        <w:sectPr>
          <w:footerReference w:type="default" r:id="rId189"/>
          <w:pgSz w:w="16839" w:h="11911"/>
          <w:pgMar w:top="400" w:right="1323" w:bottom="1147" w:left="1309" w:header="0" w:footer="984"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20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933"/>
        <w:gridCol w:w="756"/>
        <w:gridCol w:w="1312"/>
        <w:gridCol w:w="1305"/>
        <w:gridCol w:w="988"/>
        <w:gridCol w:w="1086"/>
        <w:gridCol w:w="929"/>
        <w:gridCol w:w="1225"/>
        <w:gridCol w:w="934"/>
        <w:gridCol w:w="995"/>
        <w:gridCol w:w="1118"/>
        <w:gridCol w:w="1266"/>
      </w:tblGrid>
      <w:tr>
        <w:trPr>
          <w:trHeight w:val="337" w:hRule="atLeast"/>
        </w:trPr>
        <w:tc>
          <w:tcPr>
            <w:tcW w:w="1358" w:type="dxa"/>
            <w:vAlign w:val="top"/>
            <w:tcBorders>
              <w:top w:val="single" w:color="000000" w:sz="10" w:space="0"/>
              <w:left w:val="nil"/>
            </w:tcBorders>
          </w:tcPr>
          <w:p>
            <w:pPr>
              <w:pStyle w:val="TableText"/>
              <w:ind w:left="390"/>
              <w:spacing w:before="95" w:line="233" w:lineRule="auto"/>
              <w:rPr>
                <w:sz w:val="14"/>
                <w:szCs w:val="14"/>
              </w:rPr>
            </w:pPr>
            <w:r>
              <w:rPr>
                <w:sz w:val="14"/>
                <w:szCs w:val="14"/>
                <w:spacing w:val="6"/>
              </w:rPr>
              <w:t>原矿堆场</w:t>
            </w:r>
          </w:p>
        </w:tc>
        <w:tc>
          <w:tcPr>
            <w:tcW w:w="933" w:type="dxa"/>
            <w:vAlign w:val="top"/>
            <w:tcBorders>
              <w:top w:val="single" w:color="000000" w:sz="10" w:space="0"/>
            </w:tcBorders>
          </w:tcPr>
          <w:p>
            <w:pPr>
              <w:pStyle w:val="TableText"/>
              <w:ind w:left="324"/>
              <w:spacing w:before="95" w:line="235" w:lineRule="auto"/>
              <w:rPr>
                <w:sz w:val="14"/>
                <w:szCs w:val="14"/>
              </w:rPr>
            </w:pPr>
            <w:r>
              <w:rPr>
                <w:sz w:val="14"/>
                <w:szCs w:val="14"/>
                <w:spacing w:val="3"/>
              </w:rPr>
              <w:t>粉尘</w:t>
            </w:r>
          </w:p>
        </w:tc>
        <w:tc>
          <w:tcPr>
            <w:tcW w:w="756" w:type="dxa"/>
            <w:vAlign w:val="top"/>
            <w:tcBorders>
              <w:top w:val="single" w:color="000000" w:sz="10" w:space="0"/>
            </w:tcBorders>
          </w:tcPr>
          <w:p>
            <w:pPr>
              <w:pStyle w:val="TableText"/>
              <w:ind w:left="162"/>
              <w:spacing w:before="96" w:line="237" w:lineRule="auto"/>
              <w:rPr>
                <w:sz w:val="14"/>
                <w:szCs w:val="14"/>
              </w:rPr>
            </w:pPr>
            <w:r>
              <w:rPr>
                <w:sz w:val="14"/>
                <w:szCs w:val="14"/>
                <w:spacing w:val="5"/>
              </w:rPr>
              <w:t>无组织</w:t>
            </w:r>
          </w:p>
        </w:tc>
        <w:tc>
          <w:tcPr>
            <w:tcW w:w="1312" w:type="dxa"/>
            <w:vAlign w:val="top"/>
            <w:tcBorders>
              <w:top w:val="single" w:color="000000" w:sz="10" w:space="0"/>
            </w:tcBorders>
          </w:tcPr>
          <w:p>
            <w:pPr>
              <w:rPr>
                <w:rFonts w:ascii="Arial"/>
                <w:sz w:val="21"/>
              </w:rPr>
            </w:pPr>
            <w:r/>
          </w:p>
        </w:tc>
        <w:tc>
          <w:tcPr>
            <w:tcW w:w="1305" w:type="dxa"/>
            <w:vAlign w:val="top"/>
            <w:tcBorders>
              <w:top w:val="single" w:color="000000" w:sz="10" w:space="0"/>
            </w:tcBorders>
          </w:tcPr>
          <w:p>
            <w:pPr>
              <w:rPr>
                <w:rFonts w:ascii="Arial"/>
                <w:sz w:val="21"/>
              </w:rPr>
            </w:pPr>
            <w:r/>
          </w:p>
        </w:tc>
        <w:tc>
          <w:tcPr>
            <w:tcW w:w="988" w:type="dxa"/>
            <w:vAlign w:val="top"/>
            <w:tcBorders>
              <w:top w:val="single" w:color="000000" w:sz="10" w:space="0"/>
            </w:tcBorders>
          </w:tcPr>
          <w:p>
            <w:pPr>
              <w:rPr>
                <w:rFonts w:ascii="Arial"/>
                <w:sz w:val="21"/>
              </w:rPr>
            </w:pPr>
            <w:r/>
          </w:p>
        </w:tc>
        <w:tc>
          <w:tcPr>
            <w:tcW w:w="1086" w:type="dxa"/>
            <w:vAlign w:val="top"/>
            <w:tcBorders>
              <w:top w:val="single" w:color="000000" w:sz="10" w:space="0"/>
            </w:tcBorders>
          </w:tcPr>
          <w:p>
            <w:pPr>
              <w:ind w:left="350"/>
              <w:spacing w:before="12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17.630</w:t>
            </w:r>
          </w:p>
        </w:tc>
        <w:tc>
          <w:tcPr>
            <w:tcW w:w="929" w:type="dxa"/>
            <w:vAlign w:val="top"/>
            <w:vMerge w:val="restart"/>
            <w:tcBorders>
              <w:top w:val="single" w:color="000000" w:sz="10" w:space="0"/>
              <w:bottom w:val="nil"/>
            </w:tcBorders>
          </w:tcPr>
          <w:p>
            <w:pPr>
              <w:pStyle w:val="TableText"/>
              <w:ind w:left="172"/>
              <w:spacing w:before="28" w:line="234" w:lineRule="auto"/>
              <w:rPr>
                <w:sz w:val="14"/>
                <w:szCs w:val="14"/>
              </w:rPr>
            </w:pPr>
            <w:r>
              <w:rPr>
                <w:sz w:val="14"/>
                <w:szCs w:val="14"/>
                <w:spacing w:val="6"/>
              </w:rPr>
              <w:t>采用钢结</w:t>
            </w:r>
          </w:p>
          <w:p>
            <w:pPr>
              <w:pStyle w:val="TableText"/>
              <w:ind w:left="171"/>
              <w:spacing w:before="16" w:line="235" w:lineRule="auto"/>
              <w:rPr>
                <w:sz w:val="14"/>
                <w:szCs w:val="14"/>
              </w:rPr>
            </w:pPr>
            <w:r>
              <w:rPr>
                <w:sz w:val="14"/>
                <w:szCs w:val="14"/>
                <w:spacing w:val="7"/>
              </w:rPr>
              <w:t>构厂房进</w:t>
            </w:r>
          </w:p>
          <w:p>
            <w:pPr>
              <w:pStyle w:val="TableText"/>
              <w:ind w:left="172"/>
              <w:spacing w:before="16" w:line="233" w:lineRule="auto"/>
              <w:rPr>
                <w:sz w:val="14"/>
                <w:szCs w:val="14"/>
              </w:rPr>
            </w:pPr>
            <w:r>
              <w:rPr>
                <w:sz w:val="14"/>
                <w:szCs w:val="14"/>
                <w:spacing w:val="6"/>
              </w:rPr>
              <w:t>行封闭设</w:t>
            </w:r>
          </w:p>
          <w:p>
            <w:pPr>
              <w:pStyle w:val="TableText"/>
              <w:ind w:left="172"/>
              <w:spacing w:before="18" w:line="234" w:lineRule="auto"/>
              <w:rPr>
                <w:sz w:val="14"/>
                <w:szCs w:val="14"/>
              </w:rPr>
            </w:pPr>
            <w:r>
              <w:rPr>
                <w:sz w:val="14"/>
                <w:szCs w:val="14"/>
                <w:spacing w:val="6"/>
              </w:rPr>
              <w:t>置三边采</w:t>
            </w:r>
          </w:p>
          <w:p>
            <w:pPr>
              <w:pStyle w:val="TableText"/>
              <w:ind w:left="180" w:right="164" w:hanging="9"/>
              <w:spacing w:before="17" w:line="256" w:lineRule="auto"/>
              <w:rPr>
                <w:sz w:val="14"/>
                <w:szCs w:val="14"/>
              </w:rPr>
            </w:pPr>
            <w:r>
              <w:rPr>
                <w:sz w:val="14"/>
                <w:szCs w:val="14"/>
                <w:spacing w:val="6"/>
              </w:rPr>
              <w:t>用孔隙率</w:t>
            </w:r>
            <w:r>
              <w:rPr>
                <w:rFonts w:ascii="Times New Roman" w:hAnsi="Times New Roman" w:eastAsia="Times New Roman" w:cs="Times New Roman"/>
                <w:sz w:val="14"/>
                <w:szCs w:val="14"/>
                <w:spacing w:val="5"/>
              </w:rPr>
              <w:t>50%</w:t>
            </w:r>
            <w:r>
              <w:rPr>
                <w:sz w:val="14"/>
                <w:szCs w:val="14"/>
                <w:spacing w:val="5"/>
              </w:rPr>
              <w:t>的围</w:t>
            </w:r>
          </w:p>
          <w:p>
            <w:pPr>
              <w:pStyle w:val="TableText"/>
              <w:ind w:left="115"/>
              <w:spacing w:line="235" w:lineRule="auto"/>
              <w:rPr>
                <w:sz w:val="14"/>
                <w:szCs w:val="14"/>
              </w:rPr>
            </w:pPr>
            <w:r>
              <w:rPr>
                <w:sz w:val="14"/>
                <w:szCs w:val="14"/>
                <w:spacing w:val="1"/>
              </w:rPr>
              <w:t>挡遮围、定</w:t>
            </w:r>
          </w:p>
          <w:p>
            <w:pPr>
              <w:pStyle w:val="TableText"/>
              <w:ind w:left="171"/>
              <w:spacing w:before="16" w:line="235" w:lineRule="auto"/>
              <w:rPr>
                <w:sz w:val="14"/>
                <w:szCs w:val="14"/>
              </w:rPr>
            </w:pPr>
            <w:r>
              <w:rPr>
                <w:sz w:val="14"/>
                <w:szCs w:val="14"/>
                <w:spacing w:val="6"/>
              </w:rPr>
              <w:t>期洒水降</w:t>
            </w:r>
          </w:p>
          <w:p>
            <w:pPr>
              <w:pStyle w:val="TableText"/>
              <w:ind w:left="398"/>
              <w:spacing w:before="16" w:line="205" w:lineRule="auto"/>
              <w:rPr>
                <w:sz w:val="14"/>
                <w:szCs w:val="14"/>
              </w:rPr>
            </w:pPr>
            <w:r>
              <w:rPr>
                <w:sz w:val="14"/>
                <w:szCs w:val="14"/>
              </w:rPr>
              <w:t>尘</w:t>
            </w:r>
          </w:p>
        </w:tc>
        <w:tc>
          <w:tcPr>
            <w:tcW w:w="1225" w:type="dxa"/>
            <w:vAlign w:val="top"/>
            <w:tcBorders>
              <w:top w:val="single" w:color="000000" w:sz="10" w:space="0"/>
            </w:tcBorders>
          </w:tcPr>
          <w:p>
            <w:pPr>
              <w:rPr>
                <w:rFonts w:ascii="Arial"/>
                <w:sz w:val="21"/>
              </w:rPr>
            </w:pPr>
            <w:r/>
          </w:p>
        </w:tc>
        <w:tc>
          <w:tcPr>
            <w:tcW w:w="934" w:type="dxa"/>
            <w:vAlign w:val="top"/>
            <w:tcBorders>
              <w:top w:val="single" w:color="000000" w:sz="10" w:space="0"/>
            </w:tcBorders>
          </w:tcPr>
          <w:p>
            <w:pPr>
              <w:rPr>
                <w:rFonts w:ascii="Arial"/>
                <w:sz w:val="21"/>
              </w:rPr>
            </w:pPr>
            <w:r/>
          </w:p>
        </w:tc>
        <w:tc>
          <w:tcPr>
            <w:tcW w:w="995" w:type="dxa"/>
            <w:vAlign w:val="top"/>
            <w:tcBorders>
              <w:top w:val="single" w:color="000000" w:sz="10" w:space="0"/>
            </w:tcBorders>
          </w:tcPr>
          <w:p>
            <w:pPr>
              <w:ind w:left="343"/>
              <w:spacing w:before="12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1.763</w:t>
            </w:r>
          </w:p>
        </w:tc>
        <w:tc>
          <w:tcPr>
            <w:tcW w:w="1118" w:type="dxa"/>
            <w:vAlign w:val="top"/>
            <w:tcBorders>
              <w:top w:val="single" w:color="000000" w:sz="10" w:space="0"/>
            </w:tcBorders>
          </w:tcPr>
          <w:p>
            <w:pPr>
              <w:rPr>
                <w:rFonts w:ascii="Arial"/>
                <w:sz w:val="21"/>
              </w:rPr>
            </w:pPr>
            <w:r/>
          </w:p>
        </w:tc>
        <w:tc>
          <w:tcPr>
            <w:tcW w:w="1266" w:type="dxa"/>
            <w:vAlign w:val="top"/>
            <w:tcBorders>
              <w:top w:val="single" w:color="000000" w:sz="10" w:space="0"/>
              <w:right w:val="nil"/>
            </w:tcBorders>
          </w:tcPr>
          <w:p>
            <w:pPr>
              <w:rPr>
                <w:rFonts w:ascii="Arial"/>
                <w:sz w:val="21"/>
              </w:rPr>
            </w:pPr>
            <w:r/>
          </w:p>
        </w:tc>
      </w:tr>
      <w:tr>
        <w:trPr>
          <w:trHeight w:val="333" w:hRule="atLeast"/>
        </w:trPr>
        <w:tc>
          <w:tcPr>
            <w:tcW w:w="1358" w:type="dxa"/>
            <w:vAlign w:val="top"/>
            <w:tcBorders>
              <w:left w:val="nil"/>
            </w:tcBorders>
          </w:tcPr>
          <w:p>
            <w:pPr>
              <w:pStyle w:val="TableText"/>
              <w:ind w:left="240"/>
              <w:spacing w:before="92" w:line="233" w:lineRule="auto"/>
              <w:rPr>
                <w:sz w:val="14"/>
                <w:szCs w:val="14"/>
              </w:rPr>
            </w:pPr>
            <w:r>
              <w:rPr>
                <w:sz w:val="14"/>
                <w:szCs w:val="14"/>
                <w:spacing w:val="7"/>
              </w:rPr>
              <w:t>尾矿临时堆场</w:t>
            </w:r>
          </w:p>
        </w:tc>
        <w:tc>
          <w:tcPr>
            <w:tcW w:w="933" w:type="dxa"/>
            <w:vAlign w:val="top"/>
          </w:tcPr>
          <w:p>
            <w:pPr>
              <w:pStyle w:val="TableText"/>
              <w:ind w:left="324"/>
              <w:spacing w:before="92" w:line="235" w:lineRule="auto"/>
              <w:rPr>
                <w:sz w:val="14"/>
                <w:szCs w:val="14"/>
              </w:rPr>
            </w:pPr>
            <w:r>
              <w:rPr>
                <w:sz w:val="14"/>
                <w:szCs w:val="14"/>
                <w:spacing w:val="3"/>
              </w:rPr>
              <w:t>粉尘</w:t>
            </w:r>
          </w:p>
        </w:tc>
        <w:tc>
          <w:tcPr>
            <w:tcW w:w="756" w:type="dxa"/>
            <w:vAlign w:val="top"/>
          </w:tcPr>
          <w:p>
            <w:pPr>
              <w:pStyle w:val="TableText"/>
              <w:ind w:left="162"/>
              <w:spacing w:before="92"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78"/>
              <w:spacing w:before="11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6.300</w:t>
            </w:r>
          </w:p>
        </w:tc>
        <w:tc>
          <w:tcPr>
            <w:tcW w:w="929" w:type="dxa"/>
            <w:vAlign w:val="top"/>
            <w:vMerge w:val="continue"/>
            <w:tcBorders>
              <w:top w:val="nil"/>
              <w:bottom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1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0.630</w:t>
            </w:r>
          </w:p>
        </w:tc>
        <w:tc>
          <w:tcPr>
            <w:tcW w:w="1118" w:type="dxa"/>
            <w:vAlign w:val="top"/>
          </w:tcPr>
          <w:p>
            <w:pPr>
              <w:rPr>
                <w:rFonts w:ascii="Arial"/>
                <w:sz w:val="21"/>
              </w:rPr>
            </w:pPr>
            <w:r/>
          </w:p>
        </w:tc>
        <w:tc>
          <w:tcPr>
            <w:tcW w:w="1266" w:type="dxa"/>
            <w:vAlign w:val="top"/>
            <w:tcBorders>
              <w:right w:val="nil"/>
            </w:tcBorders>
          </w:tcPr>
          <w:p>
            <w:pPr>
              <w:rPr>
                <w:rFonts w:ascii="Arial"/>
                <w:sz w:val="21"/>
              </w:rPr>
            </w:pPr>
            <w:r/>
          </w:p>
        </w:tc>
      </w:tr>
      <w:tr>
        <w:trPr>
          <w:trHeight w:val="333" w:hRule="atLeast"/>
        </w:trPr>
        <w:tc>
          <w:tcPr>
            <w:tcW w:w="1358" w:type="dxa"/>
            <w:vAlign w:val="top"/>
            <w:tcBorders>
              <w:left w:val="nil"/>
            </w:tcBorders>
          </w:tcPr>
          <w:p>
            <w:pPr>
              <w:pStyle w:val="TableText"/>
              <w:ind w:left="389"/>
              <w:spacing w:before="95" w:line="233" w:lineRule="auto"/>
              <w:rPr>
                <w:sz w:val="14"/>
                <w:szCs w:val="14"/>
              </w:rPr>
            </w:pPr>
            <w:r>
              <w:rPr>
                <w:sz w:val="14"/>
                <w:szCs w:val="14"/>
                <w:spacing w:val="6"/>
              </w:rPr>
              <w:t>表土堆场</w:t>
            </w:r>
          </w:p>
        </w:tc>
        <w:tc>
          <w:tcPr>
            <w:tcW w:w="933" w:type="dxa"/>
            <w:vAlign w:val="top"/>
          </w:tcPr>
          <w:p>
            <w:pPr>
              <w:pStyle w:val="TableText"/>
              <w:ind w:left="324"/>
              <w:spacing w:before="95" w:line="235" w:lineRule="auto"/>
              <w:rPr>
                <w:sz w:val="14"/>
                <w:szCs w:val="14"/>
              </w:rPr>
            </w:pPr>
            <w:r>
              <w:rPr>
                <w:sz w:val="14"/>
                <w:szCs w:val="14"/>
                <w:spacing w:val="3"/>
              </w:rPr>
              <w:t>粉尘</w:t>
            </w:r>
          </w:p>
        </w:tc>
        <w:tc>
          <w:tcPr>
            <w:tcW w:w="756" w:type="dxa"/>
            <w:vAlign w:val="top"/>
          </w:tcPr>
          <w:p>
            <w:pPr>
              <w:pStyle w:val="TableText"/>
              <w:ind w:left="162"/>
              <w:spacing w:before="95"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77"/>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0.032</w:t>
            </w:r>
          </w:p>
        </w:tc>
        <w:tc>
          <w:tcPr>
            <w:tcW w:w="929" w:type="dxa"/>
            <w:vAlign w:val="top"/>
            <w:vMerge w:val="continue"/>
            <w:tcBorders>
              <w:top w:val="nil"/>
              <w:bottom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12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0.008</w:t>
            </w:r>
          </w:p>
        </w:tc>
        <w:tc>
          <w:tcPr>
            <w:tcW w:w="1118" w:type="dxa"/>
            <w:vAlign w:val="top"/>
          </w:tcPr>
          <w:p>
            <w:pPr>
              <w:rPr>
                <w:rFonts w:ascii="Arial"/>
                <w:sz w:val="21"/>
              </w:rPr>
            </w:pPr>
            <w:r/>
          </w:p>
        </w:tc>
        <w:tc>
          <w:tcPr>
            <w:tcW w:w="1266" w:type="dxa"/>
            <w:vAlign w:val="top"/>
            <w:tcBorders>
              <w:right w:val="nil"/>
            </w:tcBorders>
          </w:tcPr>
          <w:p>
            <w:pPr>
              <w:rPr>
                <w:rFonts w:ascii="Arial"/>
                <w:sz w:val="21"/>
              </w:rPr>
            </w:pPr>
            <w:r/>
          </w:p>
        </w:tc>
      </w:tr>
      <w:tr>
        <w:trPr>
          <w:trHeight w:val="731" w:hRule="atLeast"/>
        </w:trPr>
        <w:tc>
          <w:tcPr>
            <w:tcW w:w="1358" w:type="dxa"/>
            <w:vAlign w:val="top"/>
            <w:tcBorders>
              <w:left w:val="nil"/>
            </w:tcBorders>
          </w:tcPr>
          <w:p>
            <w:pPr>
              <w:spacing w:line="250" w:lineRule="auto"/>
              <w:rPr>
                <w:rFonts w:ascii="Arial"/>
                <w:sz w:val="21"/>
              </w:rPr>
            </w:pPr>
            <w:r/>
          </w:p>
          <w:p>
            <w:pPr>
              <w:pStyle w:val="TableText"/>
              <w:ind w:left="467"/>
              <w:spacing w:before="45" w:line="234" w:lineRule="auto"/>
              <w:rPr>
                <w:sz w:val="14"/>
                <w:szCs w:val="14"/>
              </w:rPr>
            </w:pPr>
            <w:r>
              <w:rPr>
                <w:sz w:val="14"/>
                <w:szCs w:val="14"/>
                <w:spacing w:val="5"/>
              </w:rPr>
              <w:t>成品库</w:t>
            </w:r>
          </w:p>
        </w:tc>
        <w:tc>
          <w:tcPr>
            <w:tcW w:w="933" w:type="dxa"/>
            <w:vAlign w:val="top"/>
          </w:tcPr>
          <w:p>
            <w:pPr>
              <w:spacing w:line="250" w:lineRule="auto"/>
              <w:rPr>
                <w:rFonts w:ascii="Arial"/>
                <w:sz w:val="21"/>
              </w:rPr>
            </w:pPr>
            <w:r/>
          </w:p>
          <w:p>
            <w:pPr>
              <w:pStyle w:val="TableText"/>
              <w:ind w:left="324"/>
              <w:spacing w:before="45" w:line="235" w:lineRule="auto"/>
              <w:rPr>
                <w:sz w:val="14"/>
                <w:szCs w:val="14"/>
              </w:rPr>
            </w:pPr>
            <w:r>
              <w:rPr>
                <w:sz w:val="14"/>
                <w:szCs w:val="14"/>
                <w:spacing w:val="3"/>
              </w:rPr>
              <w:t>粉尘</w:t>
            </w:r>
          </w:p>
        </w:tc>
        <w:tc>
          <w:tcPr>
            <w:tcW w:w="756" w:type="dxa"/>
            <w:vAlign w:val="top"/>
          </w:tcPr>
          <w:p>
            <w:pPr>
              <w:spacing w:line="250" w:lineRule="auto"/>
              <w:rPr>
                <w:rFonts w:ascii="Arial"/>
                <w:sz w:val="21"/>
              </w:rPr>
            </w:pPr>
            <w:r/>
          </w:p>
          <w:p>
            <w:pPr>
              <w:pStyle w:val="TableText"/>
              <w:ind w:left="162"/>
              <w:spacing w:before="45"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spacing w:line="280" w:lineRule="auto"/>
              <w:rPr>
                <w:rFonts w:ascii="Arial"/>
                <w:sz w:val="21"/>
              </w:rPr>
            </w:pPr>
            <w:r/>
          </w:p>
          <w:p>
            <w:pPr>
              <w:ind w:left="37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190</w:t>
            </w:r>
          </w:p>
        </w:tc>
        <w:tc>
          <w:tcPr>
            <w:tcW w:w="929" w:type="dxa"/>
            <w:vAlign w:val="top"/>
            <w:vMerge w:val="continue"/>
            <w:tcBorders>
              <w:top w:val="nil"/>
            </w:tcBorders>
          </w:tcPr>
          <w:p>
            <w:pPr>
              <w:rPr>
                <w:rFonts w:ascii="Arial"/>
                <w:sz w:val="21"/>
              </w:rPr>
            </w:pPr>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spacing w:line="280" w:lineRule="auto"/>
              <w:rPr>
                <w:rFonts w:ascii="Arial"/>
                <w:sz w:val="21"/>
              </w:rPr>
            </w:pPr>
            <w:r/>
          </w:p>
          <w:p>
            <w:pPr>
              <w:ind w:left="33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0.519</w:t>
            </w:r>
          </w:p>
        </w:tc>
        <w:tc>
          <w:tcPr>
            <w:tcW w:w="1118" w:type="dxa"/>
            <w:vAlign w:val="top"/>
          </w:tcPr>
          <w:p>
            <w:pPr>
              <w:rPr>
                <w:rFonts w:ascii="Arial"/>
                <w:sz w:val="21"/>
              </w:rPr>
            </w:pPr>
            <w:r/>
          </w:p>
        </w:tc>
        <w:tc>
          <w:tcPr>
            <w:tcW w:w="1266" w:type="dxa"/>
            <w:vAlign w:val="top"/>
            <w:tcBorders>
              <w:right w:val="nil"/>
            </w:tcBorders>
          </w:tcPr>
          <w:p>
            <w:pPr>
              <w:rPr>
                <w:rFonts w:ascii="Arial"/>
                <w:sz w:val="21"/>
              </w:rPr>
            </w:pPr>
            <w:r/>
          </w:p>
        </w:tc>
      </w:tr>
      <w:tr>
        <w:trPr>
          <w:trHeight w:val="571" w:hRule="atLeast"/>
        </w:trPr>
        <w:tc>
          <w:tcPr>
            <w:tcW w:w="1358" w:type="dxa"/>
            <w:vAlign w:val="top"/>
            <w:tcBorders>
              <w:left w:val="nil"/>
            </w:tcBorders>
          </w:tcPr>
          <w:p>
            <w:pPr>
              <w:pStyle w:val="TableText"/>
              <w:ind w:left="539"/>
              <w:spacing w:before="221" w:line="235" w:lineRule="auto"/>
              <w:rPr>
                <w:sz w:val="14"/>
                <w:szCs w:val="14"/>
              </w:rPr>
            </w:pPr>
            <w:r>
              <w:rPr>
                <w:sz w:val="14"/>
                <w:szCs w:val="14"/>
                <w:spacing w:val="3"/>
              </w:rPr>
              <w:t>道路</w:t>
            </w:r>
          </w:p>
        </w:tc>
        <w:tc>
          <w:tcPr>
            <w:tcW w:w="933" w:type="dxa"/>
            <w:vAlign w:val="top"/>
          </w:tcPr>
          <w:p>
            <w:pPr>
              <w:pStyle w:val="TableText"/>
              <w:ind w:left="324"/>
              <w:spacing w:before="221" w:line="235" w:lineRule="auto"/>
              <w:rPr>
                <w:sz w:val="14"/>
                <w:szCs w:val="14"/>
              </w:rPr>
            </w:pPr>
            <w:r>
              <w:rPr>
                <w:sz w:val="14"/>
                <w:szCs w:val="14"/>
                <w:spacing w:val="3"/>
              </w:rPr>
              <w:t>粉尘</w:t>
            </w:r>
          </w:p>
        </w:tc>
        <w:tc>
          <w:tcPr>
            <w:tcW w:w="756" w:type="dxa"/>
            <w:vAlign w:val="top"/>
          </w:tcPr>
          <w:p>
            <w:pPr>
              <w:pStyle w:val="TableText"/>
              <w:ind w:left="162"/>
              <w:spacing w:before="221" w:line="237" w:lineRule="auto"/>
              <w:rPr>
                <w:sz w:val="14"/>
                <w:szCs w:val="14"/>
              </w:rPr>
            </w:pPr>
            <w:r>
              <w:rPr>
                <w:sz w:val="14"/>
                <w:szCs w:val="14"/>
                <w:spacing w:val="5"/>
              </w:rPr>
              <w:t>无组织</w:t>
            </w:r>
          </w:p>
        </w:tc>
        <w:tc>
          <w:tcPr>
            <w:tcW w:w="1312" w:type="dxa"/>
            <w:vAlign w:val="top"/>
          </w:tcPr>
          <w:p>
            <w:pPr>
              <w:rPr>
                <w:rFonts w:ascii="Arial"/>
                <w:sz w:val="21"/>
              </w:rPr>
            </w:pPr>
            <w:r/>
          </w:p>
        </w:tc>
        <w:tc>
          <w:tcPr>
            <w:tcW w:w="1305" w:type="dxa"/>
            <w:vAlign w:val="top"/>
          </w:tcPr>
          <w:p>
            <w:pPr>
              <w:rPr>
                <w:rFonts w:ascii="Arial"/>
                <w:sz w:val="21"/>
              </w:rPr>
            </w:pPr>
            <w:r/>
          </w:p>
        </w:tc>
        <w:tc>
          <w:tcPr>
            <w:tcW w:w="988" w:type="dxa"/>
            <w:vAlign w:val="top"/>
          </w:tcPr>
          <w:p>
            <w:pPr>
              <w:rPr>
                <w:rFonts w:ascii="Arial"/>
                <w:sz w:val="21"/>
              </w:rPr>
            </w:pPr>
            <w:r/>
          </w:p>
        </w:tc>
        <w:tc>
          <w:tcPr>
            <w:tcW w:w="1086" w:type="dxa"/>
            <w:vAlign w:val="top"/>
          </w:tcPr>
          <w:p>
            <w:pPr>
              <w:ind w:left="377"/>
              <w:spacing w:before="24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0.694</w:t>
            </w:r>
          </w:p>
        </w:tc>
        <w:tc>
          <w:tcPr>
            <w:tcW w:w="929" w:type="dxa"/>
            <w:vAlign w:val="top"/>
          </w:tcPr>
          <w:p>
            <w:pPr>
              <w:pStyle w:val="TableText"/>
              <w:ind w:left="244" w:right="106" w:hanging="119"/>
              <w:spacing w:before="124" w:line="254" w:lineRule="auto"/>
              <w:rPr>
                <w:sz w:val="14"/>
                <w:szCs w:val="14"/>
              </w:rPr>
            </w:pPr>
            <w:r>
              <w:rPr>
                <w:sz w:val="14"/>
                <w:szCs w:val="14"/>
                <w:spacing w:val="-9"/>
              </w:rPr>
              <w:t>限速</w:t>
            </w:r>
            <w:r>
              <w:rPr>
                <w:sz w:val="14"/>
                <w:szCs w:val="14"/>
                <w:spacing w:val="-26"/>
              </w:rPr>
              <w:t xml:space="preserve"> </w:t>
            </w:r>
            <w:r>
              <w:rPr>
                <w:rFonts w:ascii="Times New Roman" w:hAnsi="Times New Roman" w:eastAsia="Times New Roman" w:cs="Times New Roman"/>
                <w:sz w:val="14"/>
                <w:szCs w:val="14"/>
                <w:spacing w:val="-9"/>
              </w:rPr>
              <w:t>20</w:t>
            </w:r>
            <w:r>
              <w:rPr>
                <w:sz w:val="14"/>
                <w:szCs w:val="14"/>
                <w:spacing w:val="-9"/>
              </w:rPr>
              <w:t>，洒</w:t>
            </w:r>
            <w:r>
              <w:rPr>
                <w:sz w:val="14"/>
                <w:szCs w:val="14"/>
                <w:spacing w:val="6"/>
              </w:rPr>
              <w:t>水降尘</w:t>
            </w:r>
          </w:p>
        </w:tc>
        <w:tc>
          <w:tcPr>
            <w:tcW w:w="1225" w:type="dxa"/>
            <w:vAlign w:val="top"/>
          </w:tcPr>
          <w:p>
            <w:pPr>
              <w:rPr>
                <w:rFonts w:ascii="Arial"/>
                <w:sz w:val="21"/>
              </w:rPr>
            </w:pPr>
            <w:r/>
          </w:p>
        </w:tc>
        <w:tc>
          <w:tcPr>
            <w:tcW w:w="934" w:type="dxa"/>
            <w:vAlign w:val="top"/>
          </w:tcPr>
          <w:p>
            <w:pPr>
              <w:rPr>
                <w:rFonts w:ascii="Arial"/>
                <w:sz w:val="21"/>
              </w:rPr>
            </w:pPr>
            <w:r/>
          </w:p>
        </w:tc>
        <w:tc>
          <w:tcPr>
            <w:tcW w:w="995" w:type="dxa"/>
            <w:vAlign w:val="top"/>
          </w:tcPr>
          <w:p>
            <w:pPr>
              <w:ind w:left="331"/>
              <w:spacing w:before="24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0.236</w:t>
            </w:r>
          </w:p>
        </w:tc>
        <w:tc>
          <w:tcPr>
            <w:tcW w:w="1118" w:type="dxa"/>
            <w:vAlign w:val="top"/>
          </w:tcPr>
          <w:p>
            <w:pPr>
              <w:rPr>
                <w:rFonts w:ascii="Arial"/>
                <w:sz w:val="21"/>
              </w:rPr>
            </w:pPr>
            <w:r/>
          </w:p>
        </w:tc>
        <w:tc>
          <w:tcPr>
            <w:tcW w:w="1266" w:type="dxa"/>
            <w:vAlign w:val="top"/>
            <w:tcBorders>
              <w:right w:val="nil"/>
            </w:tcBorders>
          </w:tcPr>
          <w:p>
            <w:pPr>
              <w:rPr>
                <w:rFonts w:ascii="Arial"/>
                <w:sz w:val="21"/>
              </w:rPr>
            </w:pPr>
            <w:r/>
          </w:p>
        </w:tc>
      </w:tr>
      <w:tr>
        <w:trPr>
          <w:trHeight w:val="1575" w:hRule="atLeast"/>
        </w:trPr>
        <w:tc>
          <w:tcPr>
            <w:tcW w:w="1358" w:type="dxa"/>
            <w:vAlign w:val="top"/>
            <w:tcBorders>
              <w:bottom w:val="single" w:color="000000" w:sz="10" w:space="0"/>
              <w:left w:val="nil"/>
            </w:tcBorders>
          </w:tcPr>
          <w:p>
            <w:pPr>
              <w:spacing w:line="334" w:lineRule="auto"/>
              <w:rPr>
                <w:rFonts w:ascii="Arial"/>
                <w:sz w:val="21"/>
              </w:rPr>
            </w:pPr>
            <w:r/>
          </w:p>
          <w:p>
            <w:pPr>
              <w:spacing w:line="334" w:lineRule="auto"/>
              <w:rPr>
                <w:rFonts w:ascii="Arial"/>
                <w:sz w:val="21"/>
              </w:rPr>
            </w:pPr>
            <w:r/>
          </w:p>
          <w:p>
            <w:pPr>
              <w:pStyle w:val="TableText"/>
              <w:ind w:left="539"/>
              <w:spacing w:before="45" w:line="239" w:lineRule="auto"/>
              <w:rPr>
                <w:sz w:val="14"/>
                <w:szCs w:val="14"/>
              </w:rPr>
            </w:pPr>
            <w:r>
              <w:rPr>
                <w:sz w:val="14"/>
                <w:szCs w:val="14"/>
                <w:spacing w:val="3"/>
              </w:rPr>
              <w:t>食堂</w:t>
            </w:r>
          </w:p>
        </w:tc>
        <w:tc>
          <w:tcPr>
            <w:tcW w:w="933" w:type="dxa"/>
            <w:vAlign w:val="top"/>
            <w:tcBorders>
              <w:bottom w:val="single" w:color="000000" w:sz="10" w:space="0"/>
            </w:tcBorders>
          </w:tcPr>
          <w:p>
            <w:pPr>
              <w:spacing w:line="334" w:lineRule="auto"/>
              <w:rPr>
                <w:rFonts w:ascii="Arial"/>
                <w:sz w:val="21"/>
              </w:rPr>
            </w:pPr>
            <w:r/>
          </w:p>
          <w:p>
            <w:pPr>
              <w:spacing w:line="334" w:lineRule="auto"/>
              <w:rPr>
                <w:rFonts w:ascii="Arial"/>
                <w:sz w:val="21"/>
              </w:rPr>
            </w:pPr>
            <w:r/>
          </w:p>
          <w:p>
            <w:pPr>
              <w:pStyle w:val="TableText"/>
              <w:ind w:left="172"/>
              <w:spacing w:before="45" w:line="235" w:lineRule="auto"/>
              <w:rPr>
                <w:sz w:val="14"/>
                <w:szCs w:val="14"/>
              </w:rPr>
            </w:pPr>
            <w:r>
              <w:rPr>
                <w:sz w:val="14"/>
                <w:szCs w:val="14"/>
                <w:spacing w:val="6"/>
              </w:rPr>
              <w:t>食堂油烟</w:t>
            </w:r>
          </w:p>
        </w:tc>
        <w:tc>
          <w:tcPr>
            <w:tcW w:w="756" w:type="dxa"/>
            <w:vAlign w:val="top"/>
            <w:tcBorders>
              <w:bottom w:val="single" w:color="000000" w:sz="10" w:space="0"/>
            </w:tcBorders>
          </w:tcPr>
          <w:p>
            <w:pPr>
              <w:spacing w:line="334" w:lineRule="auto"/>
              <w:rPr>
                <w:rFonts w:ascii="Arial"/>
                <w:sz w:val="21"/>
              </w:rPr>
            </w:pPr>
            <w:r/>
          </w:p>
          <w:p>
            <w:pPr>
              <w:spacing w:line="334" w:lineRule="auto"/>
              <w:rPr>
                <w:rFonts w:ascii="Arial"/>
                <w:sz w:val="21"/>
              </w:rPr>
            </w:pPr>
            <w:r/>
          </w:p>
          <w:p>
            <w:pPr>
              <w:pStyle w:val="TableText"/>
              <w:ind w:left="159"/>
              <w:spacing w:before="46" w:line="234" w:lineRule="auto"/>
              <w:rPr>
                <w:sz w:val="14"/>
                <w:szCs w:val="14"/>
              </w:rPr>
            </w:pPr>
            <w:r>
              <w:rPr>
                <w:sz w:val="14"/>
                <w:szCs w:val="14"/>
                <w:spacing w:val="6"/>
              </w:rPr>
              <w:t>有组织</w:t>
            </w:r>
          </w:p>
        </w:tc>
        <w:tc>
          <w:tcPr>
            <w:tcW w:w="1312"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389"/>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1500.000</w:t>
            </w:r>
          </w:p>
        </w:tc>
        <w:tc>
          <w:tcPr>
            <w:tcW w:w="1305"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489"/>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8.933</w:t>
            </w:r>
          </w:p>
        </w:tc>
        <w:tc>
          <w:tcPr>
            <w:tcW w:w="988"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32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0.013</w:t>
            </w:r>
          </w:p>
        </w:tc>
        <w:tc>
          <w:tcPr>
            <w:tcW w:w="1086"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377"/>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0.036</w:t>
            </w:r>
          </w:p>
        </w:tc>
        <w:tc>
          <w:tcPr>
            <w:tcW w:w="929" w:type="dxa"/>
            <w:vAlign w:val="top"/>
            <w:tcBorders>
              <w:bottom w:val="single" w:color="000000" w:sz="10" w:space="0"/>
            </w:tcBorders>
          </w:tcPr>
          <w:p>
            <w:pPr>
              <w:pStyle w:val="TableText"/>
              <w:ind w:left="115" w:right="106" w:firstLine="59"/>
              <w:spacing w:before="39" w:line="256" w:lineRule="auto"/>
              <w:jc w:val="both"/>
              <w:rPr>
                <w:sz w:val="14"/>
                <w:szCs w:val="14"/>
              </w:rPr>
            </w:pPr>
            <w:r>
              <w:rPr>
                <w:sz w:val="14"/>
                <w:szCs w:val="14"/>
                <w:spacing w:val="6"/>
              </w:rPr>
              <w:t>油烟净化</w:t>
            </w:r>
            <w:r>
              <w:rPr>
                <w:sz w:val="14"/>
                <w:szCs w:val="14"/>
              </w:rPr>
              <w:t>器处理（处</w:t>
            </w:r>
            <w:r>
              <w:rPr>
                <w:sz w:val="14"/>
                <w:szCs w:val="14"/>
                <w:spacing w:val="20"/>
              </w:rPr>
              <w:t>理效率以</w:t>
            </w:r>
            <w:r>
              <w:rPr>
                <w:rFonts w:ascii="Times New Roman" w:hAnsi="Times New Roman" w:eastAsia="Times New Roman" w:cs="Times New Roman"/>
                <w:sz w:val="14"/>
                <w:szCs w:val="14"/>
                <w:spacing w:val="9"/>
              </w:rPr>
              <w:t>80%</w:t>
            </w:r>
            <w:r>
              <w:rPr>
                <w:sz w:val="14"/>
                <w:szCs w:val="14"/>
                <w:spacing w:val="9"/>
              </w:rPr>
              <w:t>计）</w:t>
            </w:r>
            <w:r>
              <w:rPr>
                <w:rFonts w:ascii="Times New Roman" w:hAnsi="Times New Roman" w:eastAsia="Times New Roman" w:cs="Times New Roman"/>
                <w:sz w:val="14"/>
                <w:szCs w:val="14"/>
                <w:spacing w:val="9"/>
              </w:rPr>
              <w:t>+</w:t>
            </w:r>
            <w:r>
              <w:rPr>
                <w:sz w:val="14"/>
                <w:szCs w:val="14"/>
                <w:spacing w:val="20"/>
              </w:rPr>
              <w:t>油烟通过</w:t>
            </w:r>
          </w:p>
          <w:p>
            <w:pPr>
              <w:pStyle w:val="TableText"/>
              <w:ind w:left="173"/>
              <w:spacing w:line="235" w:lineRule="auto"/>
              <w:rPr>
                <w:sz w:val="14"/>
                <w:szCs w:val="14"/>
              </w:rPr>
            </w:pPr>
            <w:r>
              <w:rPr>
                <w:sz w:val="14"/>
                <w:szCs w:val="14"/>
                <w:spacing w:val="6"/>
              </w:rPr>
              <w:t>专用烟道</w:t>
            </w:r>
          </w:p>
          <w:p>
            <w:pPr>
              <w:pStyle w:val="TableText"/>
              <w:ind w:left="243" w:right="164" w:hanging="67"/>
              <w:spacing w:before="16" w:line="237" w:lineRule="auto"/>
              <w:rPr>
                <w:sz w:val="14"/>
                <w:szCs w:val="14"/>
              </w:rPr>
            </w:pPr>
            <w:r>
              <w:rPr>
                <w:sz w:val="14"/>
                <w:szCs w:val="14"/>
                <w:spacing w:val="5"/>
              </w:rPr>
              <w:t>引至屋顶</w:t>
            </w:r>
            <w:r>
              <w:rPr>
                <w:sz w:val="14"/>
                <w:szCs w:val="14"/>
                <w:spacing w:val="3"/>
              </w:rPr>
              <w:t>排放。</w:t>
            </w:r>
          </w:p>
        </w:tc>
        <w:tc>
          <w:tcPr>
            <w:tcW w:w="1225"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457"/>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1.787</w:t>
            </w:r>
          </w:p>
        </w:tc>
        <w:tc>
          <w:tcPr>
            <w:tcW w:w="934"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300"/>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0.003</w:t>
            </w:r>
          </w:p>
        </w:tc>
        <w:tc>
          <w:tcPr>
            <w:tcW w:w="995"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33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0.007</w:t>
            </w:r>
          </w:p>
        </w:tc>
        <w:tc>
          <w:tcPr>
            <w:tcW w:w="1118" w:type="dxa"/>
            <w:vAlign w:val="top"/>
            <w:tcBorders>
              <w:bottom w:val="single" w:color="000000" w:sz="10" w:space="0"/>
            </w:tcBorders>
          </w:tcPr>
          <w:p>
            <w:pPr>
              <w:spacing w:line="349" w:lineRule="auto"/>
              <w:rPr>
                <w:rFonts w:ascii="Arial"/>
                <w:sz w:val="21"/>
              </w:rPr>
            </w:pPr>
            <w:r/>
          </w:p>
          <w:p>
            <w:pPr>
              <w:spacing w:line="349" w:lineRule="auto"/>
              <w:rPr>
                <w:rFonts w:ascii="Arial"/>
                <w:sz w:val="21"/>
              </w:rPr>
            </w:pPr>
            <w:r/>
          </w:p>
          <w:p>
            <w:pPr>
              <w:ind w:left="33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DA</w:t>
            </w:r>
            <w:r>
              <w:rPr>
                <w:rFonts w:ascii="Times New Roman" w:hAnsi="Times New Roman" w:eastAsia="Times New Roman" w:cs="Times New Roman"/>
                <w:sz w:val="14"/>
                <w:szCs w:val="14"/>
                <w:spacing w:val="8"/>
              </w:rPr>
              <w:t>006</w:t>
            </w:r>
          </w:p>
        </w:tc>
        <w:tc>
          <w:tcPr>
            <w:tcW w:w="1266" w:type="dxa"/>
            <w:vAlign w:val="top"/>
            <w:tcBorders>
              <w:bottom w:val="single" w:color="000000" w:sz="10" w:space="0"/>
              <w:right w:val="nil"/>
            </w:tcBorders>
          </w:tcPr>
          <w:p>
            <w:pPr>
              <w:spacing w:line="349" w:lineRule="auto"/>
              <w:rPr>
                <w:rFonts w:ascii="Arial"/>
                <w:sz w:val="21"/>
              </w:rPr>
            </w:pPr>
            <w:r/>
          </w:p>
          <w:p>
            <w:pPr>
              <w:spacing w:line="349" w:lineRule="auto"/>
              <w:rPr>
                <w:rFonts w:ascii="Arial"/>
                <w:sz w:val="21"/>
              </w:rPr>
            </w:pPr>
            <w:r/>
          </w:p>
          <w:p>
            <w:pPr>
              <w:ind w:left="483"/>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2700</w:t>
            </w:r>
          </w:p>
        </w:tc>
      </w:tr>
    </w:tbl>
    <w:p>
      <w:pPr>
        <w:pStyle w:val="BodyText"/>
        <w:rPr/>
      </w:pPr>
      <w:r/>
    </w:p>
    <w:p>
      <w:pPr>
        <w:sectPr>
          <w:footerReference w:type="default" r:id="rId190"/>
          <w:pgSz w:w="16839" w:h="11911"/>
          <w:pgMar w:top="400" w:right="1323" w:bottom="1147" w:left="1309" w:header="0" w:footer="984" w:gutter="0"/>
        </w:sectPr>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511"/>
        <w:spacing w:before="78" w:line="222" w:lineRule="auto"/>
        <w:rPr>
          <w:rFonts w:ascii="FangSong" w:hAnsi="FangSong" w:eastAsia="FangSong" w:cs="FangSong"/>
          <w:sz w:val="24"/>
          <w:szCs w:val="24"/>
        </w:rPr>
      </w:pPr>
      <w:bookmarkStart w:name="bookmark559" w:id="257"/>
      <w:bookmarkEnd w:id="257"/>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FangSong" w:hAnsi="FangSong" w:eastAsia="FangSong" w:cs="FangSong"/>
          <w:sz w:val="24"/>
          <w:szCs w:val="24"/>
          <w:spacing w:val="-5"/>
        </w:rPr>
        <w:t>）噪声</w:t>
      </w:r>
    </w:p>
    <w:p>
      <w:pPr>
        <w:ind w:left="28" w:right="80" w:firstLine="479"/>
        <w:spacing w:before="176" w:line="359" w:lineRule="auto"/>
        <w:rPr>
          <w:rFonts w:ascii="FangSong" w:hAnsi="FangSong" w:eastAsia="FangSong" w:cs="FangSong"/>
          <w:sz w:val="24"/>
          <w:szCs w:val="24"/>
        </w:rPr>
      </w:pPr>
      <w:r>
        <w:rPr>
          <w:rFonts w:ascii="FangSong" w:hAnsi="FangSong" w:eastAsia="FangSong" w:cs="FangSong"/>
          <w:sz w:val="24"/>
          <w:szCs w:val="24"/>
          <w:spacing w:val="1"/>
        </w:rPr>
        <w:t>项目运营期噪声主要来自矿区内部噪声及外部噪声源，内部噪声源包括采矿设</w:t>
      </w:r>
      <w:r>
        <w:rPr>
          <w:rFonts w:ascii="FangSong" w:hAnsi="FangSong" w:eastAsia="FangSong" w:cs="FangSong"/>
          <w:sz w:val="24"/>
          <w:szCs w:val="24"/>
          <w:spacing w:val="-1"/>
        </w:rPr>
        <w:t>备噪声、选矿设备噪声及爆破噪声，外部噪声源包括矿石运输车辆噪声。</w:t>
      </w:r>
    </w:p>
    <w:p>
      <w:pPr>
        <w:ind w:left="499"/>
        <w:spacing w:line="221"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15"/>
        </w:rPr>
        <w:t xml:space="preserve"> </w:t>
      </w:r>
      <w:r>
        <w:rPr>
          <w:rFonts w:ascii="FangSong" w:hAnsi="FangSong" w:eastAsia="FangSong" w:cs="FangSong"/>
          <w:sz w:val="24"/>
          <w:szCs w:val="24"/>
          <w:spacing w:val="-5"/>
        </w:rPr>
        <w:t>爆破噪声</w:t>
      </w:r>
    </w:p>
    <w:p>
      <w:pPr>
        <w:ind w:left="26" w:right="80" w:firstLine="481"/>
        <w:spacing w:before="180" w:line="359" w:lineRule="auto"/>
        <w:rPr>
          <w:rFonts w:ascii="FangSong" w:hAnsi="FangSong" w:eastAsia="FangSong" w:cs="FangSong"/>
          <w:sz w:val="24"/>
          <w:szCs w:val="24"/>
        </w:rPr>
      </w:pPr>
      <w:r>
        <w:rPr>
          <w:rFonts w:ascii="FangSong" w:hAnsi="FangSong" w:eastAsia="FangSong" w:cs="FangSong"/>
          <w:sz w:val="24"/>
          <w:szCs w:val="24"/>
          <w:spacing w:val="-6"/>
        </w:rPr>
        <w:t>项目爆破采用排间微差爆破技术，其单孔炸药爆破量较小，爆破噪声值在</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6"/>
        </w:rPr>
        <w:t>140dB</w:t>
      </w:r>
      <w:r>
        <w:rPr>
          <w:rFonts w:ascii="Times New Roman" w:hAnsi="Times New Roman" w:eastAsia="Times New Roman" w:cs="Times New Roman"/>
          <w:sz w:val="24"/>
          <w:szCs w:val="2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A</w:t>
      </w:r>
      <w:r>
        <w:rPr>
          <w:rFonts w:ascii="FangSong" w:hAnsi="FangSong" w:eastAsia="FangSong" w:cs="FangSong"/>
          <w:sz w:val="24"/>
          <w:szCs w:val="24"/>
          <w:spacing w:val="-4"/>
        </w:rPr>
        <w:t>）左右，爆破一般在昼间中午时段，爆破时间较短，且在井下进行，晚上不进行</w:t>
      </w:r>
      <w:r>
        <w:rPr>
          <w:rFonts w:ascii="FangSong" w:hAnsi="FangSong" w:eastAsia="FangSong" w:cs="FangSong"/>
          <w:sz w:val="24"/>
          <w:szCs w:val="24"/>
          <w:spacing w:val="1"/>
        </w:rPr>
        <w:t>爆破工作，爆破噪声属于瞬时噪声，只要合理安排爆破时间，则爆破噪声对周围环</w:t>
      </w:r>
      <w:r>
        <w:rPr>
          <w:rFonts w:ascii="FangSong" w:hAnsi="FangSong" w:eastAsia="FangSong" w:cs="FangSong"/>
          <w:sz w:val="24"/>
          <w:szCs w:val="24"/>
          <w:spacing w:val="-1"/>
        </w:rPr>
        <w:t>境较小基本不会改变区域的声环境现状。</w:t>
      </w:r>
    </w:p>
    <w:p>
      <w:pPr>
        <w:ind w:left="498"/>
        <w:spacing w:before="1" w:line="220"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19"/>
        </w:rPr>
        <w:t xml:space="preserve"> </w:t>
      </w:r>
      <w:r>
        <w:rPr>
          <w:rFonts w:ascii="FangSong" w:hAnsi="FangSong" w:eastAsia="FangSong" w:cs="FangSong"/>
          <w:sz w:val="24"/>
          <w:szCs w:val="24"/>
          <w:spacing w:val="-4"/>
        </w:rPr>
        <w:t>机械设备噪声</w:t>
      </w:r>
    </w:p>
    <w:p>
      <w:pPr>
        <w:ind w:left="26" w:firstLine="481"/>
        <w:spacing w:before="176" w:line="360" w:lineRule="auto"/>
        <w:rPr>
          <w:rFonts w:ascii="FangSong" w:hAnsi="FangSong" w:eastAsia="FangSong" w:cs="FangSong"/>
          <w:sz w:val="24"/>
          <w:szCs w:val="24"/>
        </w:rPr>
      </w:pPr>
      <w:r>
        <w:rPr>
          <w:rFonts w:ascii="FangSong" w:hAnsi="FangSong" w:eastAsia="FangSong" w:cs="FangSong"/>
          <w:sz w:val="24"/>
          <w:szCs w:val="24"/>
          <w:spacing w:val="1"/>
        </w:rPr>
        <w:t>项目采矿时使用机械设备包括凿岩机、空压机、铲运机等，选矿使用设备包括</w:t>
      </w:r>
      <w:r>
        <w:rPr>
          <w:rFonts w:ascii="FangSong" w:hAnsi="FangSong" w:eastAsia="FangSong" w:cs="FangSong"/>
          <w:sz w:val="24"/>
          <w:szCs w:val="24"/>
          <w:spacing w:val="-3"/>
        </w:rPr>
        <w:t>颚式破碎机、圆锥破碎机等，以上机械设备噪声声压级一般在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85-110dB</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w:t>
      </w:r>
      <w:r>
        <w:rPr>
          <w:rFonts w:ascii="FangSong" w:hAnsi="FangSong" w:eastAsia="FangSong" w:cs="FangSong"/>
          <w:sz w:val="24"/>
          <w:szCs w:val="24"/>
          <w:spacing w:val="-4"/>
        </w:rPr>
        <w:t>之间。</w:t>
      </w:r>
      <w:r>
        <w:rPr>
          <w:rFonts w:ascii="FangSong" w:hAnsi="FangSong" w:eastAsia="FangSong" w:cs="FangSong"/>
          <w:sz w:val="24"/>
          <w:szCs w:val="24"/>
          <w:spacing w:val="1"/>
        </w:rPr>
        <w:t>因项目为萤石矿采选项目，采矿工作为室外及地下活动，选矿工作为室内活动，故</w:t>
      </w:r>
      <w:r>
        <w:rPr>
          <w:rFonts w:ascii="FangSong" w:hAnsi="FangSong" w:eastAsia="FangSong" w:cs="FangSong"/>
          <w:sz w:val="24"/>
          <w:szCs w:val="24"/>
          <w:spacing w:val="-1"/>
        </w:rPr>
        <w:t>项目运营期各机械设备噪声源强详见表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4.13-9</w:t>
      </w:r>
      <w:r>
        <w:rPr>
          <w:rFonts w:ascii="FangSong" w:hAnsi="FangSong" w:eastAsia="FangSong" w:cs="FangSong"/>
          <w:sz w:val="24"/>
          <w:szCs w:val="24"/>
          <w:spacing w:val="-1"/>
        </w:rPr>
        <w:t>。</w:t>
      </w:r>
    </w:p>
    <w:p>
      <w:pPr>
        <w:spacing w:line="360" w:lineRule="auto"/>
        <w:sectPr>
          <w:footerReference w:type="default" r:id="rId191"/>
          <w:pgSz w:w="11911" w:h="16839"/>
          <w:pgMar w:top="400" w:right="1335" w:bottom="1146" w:left="1786" w:header="0" w:footer="984" w:gutter="0"/>
        </w:sectPr>
        <w:rPr>
          <w:rFonts w:ascii="FangSong" w:hAnsi="FangSong" w:eastAsia="FangSong" w:cs="FangSong"/>
          <w:sz w:val="24"/>
          <w:szCs w:val="24"/>
        </w:rPr>
      </w:pPr>
    </w:p>
    <w:p>
      <w:pPr>
        <w:pStyle w:val="BodyText"/>
        <w:spacing w:line="305" w:lineRule="auto"/>
        <w:rPr/>
      </w:pPr>
      <w:r/>
    </w:p>
    <w:p>
      <w:pPr>
        <w:pStyle w:val="BodyText"/>
        <w:spacing w:line="305" w:lineRule="auto"/>
        <w:rPr/>
      </w:pPr>
      <w:r/>
    </w:p>
    <w:p>
      <w:pPr>
        <w:ind w:left="5039"/>
        <w:spacing w:before="78" w:line="222" w:lineRule="auto"/>
        <w:rPr>
          <w:rFonts w:ascii="FangSong" w:hAnsi="FangSong" w:eastAsia="FangSong" w:cs="FangSong"/>
          <w:sz w:val="24"/>
          <w:szCs w:val="24"/>
        </w:rPr>
      </w:pPr>
      <w:bookmarkStart w:name="bookmark560" w:id="258"/>
      <w:bookmarkEnd w:id="258"/>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4.13-9  </w:t>
      </w:r>
      <w:r>
        <w:rPr>
          <w:rFonts w:ascii="FangSong" w:hAnsi="FangSong" w:eastAsia="FangSong" w:cs="FangSong"/>
          <w:sz w:val="24"/>
          <w:szCs w:val="24"/>
          <w:b/>
          <w:bCs/>
          <w:spacing w:val="-2"/>
        </w:rPr>
        <w:t>运营期各设备噪声源强</w:t>
      </w:r>
      <w:r>
        <w:rPr>
          <w:rFonts w:ascii="FangSong" w:hAnsi="FangSong" w:eastAsia="FangSong" w:cs="FangSong"/>
          <w:sz w:val="24"/>
          <w:szCs w:val="24"/>
          <w:b/>
          <w:bCs/>
          <w:spacing w:val="-3"/>
        </w:rPr>
        <w:t>一览表</w:t>
      </w:r>
    </w:p>
    <w:p>
      <w:pPr>
        <w:spacing w:line="142" w:lineRule="exact"/>
        <w:rPr/>
      </w:pPr>
      <w:r/>
    </w:p>
    <w:tbl>
      <w:tblPr>
        <w:tblStyle w:val="TableNormal"/>
        <w:tblW w:w="142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7"/>
        <w:gridCol w:w="2181"/>
        <w:gridCol w:w="1044"/>
        <w:gridCol w:w="1143"/>
        <w:gridCol w:w="1180"/>
        <w:gridCol w:w="1249"/>
        <w:gridCol w:w="1254"/>
        <w:gridCol w:w="1672"/>
        <w:gridCol w:w="2679"/>
        <w:gridCol w:w="1170"/>
      </w:tblGrid>
      <w:tr>
        <w:trPr>
          <w:trHeight w:val="281" w:hRule="atLeast"/>
        </w:trPr>
        <w:tc>
          <w:tcPr>
            <w:tcW w:w="637" w:type="dxa"/>
            <w:vAlign w:val="top"/>
            <w:vMerge w:val="restart"/>
            <w:tcBorders>
              <w:left w:val="nil"/>
              <w:top w:val="single" w:color="000000" w:sz="10" w:space="0"/>
              <w:bottom w:val="nil"/>
            </w:tcBorders>
          </w:tcPr>
          <w:p>
            <w:pPr>
              <w:pStyle w:val="TableText"/>
              <w:ind w:left="120"/>
              <w:spacing w:before="169" w:line="231" w:lineRule="auto"/>
              <w:rPr/>
            </w:pPr>
            <w:r>
              <w:rPr>
                <w:spacing w:val="2"/>
              </w:rPr>
              <w:t>序号</w:t>
            </w:r>
          </w:p>
        </w:tc>
        <w:tc>
          <w:tcPr>
            <w:tcW w:w="2181" w:type="dxa"/>
            <w:vAlign w:val="top"/>
            <w:vMerge w:val="restart"/>
            <w:tcBorders>
              <w:top w:val="single" w:color="000000" w:sz="10" w:space="0"/>
              <w:bottom w:val="nil"/>
            </w:tcBorders>
          </w:tcPr>
          <w:p>
            <w:pPr>
              <w:pStyle w:val="TableText"/>
              <w:ind w:left="680"/>
              <w:spacing w:before="170" w:line="229" w:lineRule="auto"/>
              <w:rPr/>
            </w:pPr>
            <w:r>
              <w:rPr>
                <w:spacing w:val="6"/>
              </w:rPr>
              <w:t>声源名称</w:t>
            </w:r>
          </w:p>
        </w:tc>
        <w:tc>
          <w:tcPr>
            <w:tcW w:w="1044" w:type="dxa"/>
            <w:vAlign w:val="top"/>
            <w:vMerge w:val="restart"/>
            <w:tcBorders>
              <w:top w:val="single" w:color="000000" w:sz="10" w:space="0"/>
              <w:bottom w:val="nil"/>
            </w:tcBorders>
          </w:tcPr>
          <w:p>
            <w:pPr>
              <w:pStyle w:val="TableText"/>
              <w:ind w:left="189"/>
              <w:spacing w:before="170" w:line="229" w:lineRule="auto"/>
              <w:rPr/>
            </w:pPr>
            <w:r>
              <w:rPr>
                <w:spacing w:val="4"/>
              </w:rPr>
              <w:t>数量</w:t>
            </w:r>
            <w:r>
              <w:rPr>
                <w:rFonts w:ascii="Times New Roman" w:hAnsi="Times New Roman" w:eastAsia="Times New Roman" w:cs="Times New Roman"/>
                <w:spacing w:val="4"/>
              </w:rPr>
              <w:t>/</w:t>
            </w:r>
            <w:r>
              <w:rPr>
                <w:spacing w:val="4"/>
              </w:rPr>
              <w:t>台</w:t>
            </w:r>
          </w:p>
        </w:tc>
        <w:tc>
          <w:tcPr>
            <w:tcW w:w="3572" w:type="dxa"/>
            <w:vAlign w:val="top"/>
            <w:gridSpan w:val="3"/>
            <w:tcBorders>
              <w:top w:val="single" w:color="000000" w:sz="10" w:space="0"/>
            </w:tcBorders>
          </w:tcPr>
          <w:p>
            <w:pPr>
              <w:pStyle w:val="TableText"/>
              <w:ind w:left="1067"/>
              <w:spacing w:before="35" w:line="217" w:lineRule="auto"/>
              <w:rPr>
                <w:rFonts w:ascii="Times New Roman" w:hAnsi="Times New Roman" w:eastAsia="Times New Roman" w:cs="Times New Roman"/>
              </w:rPr>
            </w:pPr>
            <w:r>
              <w:rPr>
                <w:spacing w:val="5"/>
              </w:rPr>
              <w:t>空间相对位置</w:t>
            </w:r>
            <w:r>
              <w:rPr>
                <w:rFonts w:ascii="Times New Roman" w:hAnsi="Times New Roman" w:eastAsia="Times New Roman" w:cs="Times New Roman"/>
                <w:spacing w:val="5"/>
              </w:rPr>
              <w:t>/m</w:t>
            </w:r>
          </w:p>
        </w:tc>
        <w:tc>
          <w:tcPr>
            <w:tcW w:w="1254" w:type="dxa"/>
            <w:vAlign w:val="top"/>
            <w:vMerge w:val="restart"/>
            <w:tcBorders>
              <w:top w:val="single" w:color="000000" w:sz="10" w:space="0"/>
              <w:bottom w:val="nil"/>
            </w:tcBorders>
          </w:tcPr>
          <w:p>
            <w:pPr>
              <w:pStyle w:val="TableText"/>
              <w:ind w:left="187" w:right="206" w:firstLine="29"/>
              <w:spacing w:before="34" w:line="235" w:lineRule="auto"/>
              <w:rPr/>
            </w:pPr>
            <w:r>
              <w:rPr>
                <w:spacing w:val="6"/>
              </w:rPr>
              <w:t>声源源强</w:t>
            </w:r>
            <w:r>
              <w:rPr>
                <w:rFonts w:ascii="Times New Roman" w:hAnsi="Times New Roman" w:eastAsia="Times New Roman" w:cs="Times New Roman"/>
                <w:spacing w:val="5"/>
              </w:rPr>
              <w:t>/</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c>
          <w:tcPr>
            <w:tcW w:w="1672" w:type="dxa"/>
            <w:vAlign w:val="top"/>
            <w:vMerge w:val="restart"/>
            <w:tcBorders>
              <w:top w:val="single" w:color="000000" w:sz="10" w:space="0"/>
              <w:bottom w:val="nil"/>
            </w:tcBorders>
          </w:tcPr>
          <w:p>
            <w:pPr>
              <w:pStyle w:val="TableText"/>
              <w:ind w:left="428"/>
              <w:spacing w:before="170" w:line="230" w:lineRule="auto"/>
              <w:rPr/>
            </w:pPr>
            <w:r>
              <w:rPr>
                <w:spacing w:val="5"/>
              </w:rPr>
              <w:t>放置位置</w:t>
            </w:r>
          </w:p>
        </w:tc>
        <w:tc>
          <w:tcPr>
            <w:tcW w:w="2679" w:type="dxa"/>
            <w:vAlign w:val="top"/>
            <w:vMerge w:val="restart"/>
            <w:tcBorders>
              <w:top w:val="single" w:color="000000" w:sz="10" w:space="0"/>
              <w:bottom w:val="nil"/>
            </w:tcBorders>
          </w:tcPr>
          <w:p>
            <w:pPr>
              <w:pStyle w:val="TableText"/>
              <w:ind w:left="931"/>
              <w:spacing w:before="170" w:line="230" w:lineRule="auto"/>
              <w:rPr/>
            </w:pPr>
            <w:r>
              <w:rPr>
                <w:spacing w:val="5"/>
              </w:rPr>
              <w:t>控制措施</w:t>
            </w:r>
          </w:p>
        </w:tc>
        <w:tc>
          <w:tcPr>
            <w:tcW w:w="1170" w:type="dxa"/>
            <w:vAlign w:val="top"/>
            <w:vMerge w:val="restart"/>
            <w:tcBorders>
              <w:right w:val="nil"/>
              <w:top w:val="single" w:color="000000" w:sz="10" w:space="0"/>
              <w:bottom w:val="nil"/>
            </w:tcBorders>
          </w:tcPr>
          <w:p>
            <w:pPr>
              <w:pStyle w:val="TableText"/>
              <w:ind w:left="177"/>
              <w:spacing w:before="170" w:line="229" w:lineRule="auto"/>
              <w:rPr/>
            </w:pPr>
            <w:r>
              <w:rPr>
                <w:spacing w:val="5"/>
              </w:rPr>
              <w:t>运行时段</w:t>
            </w:r>
          </w:p>
        </w:tc>
      </w:tr>
      <w:tr>
        <w:trPr>
          <w:trHeight w:val="268" w:hRule="atLeast"/>
        </w:trPr>
        <w:tc>
          <w:tcPr>
            <w:tcW w:w="637" w:type="dxa"/>
            <w:vAlign w:val="top"/>
            <w:vMerge w:val="continue"/>
            <w:tcBorders>
              <w:left w:val="nil"/>
              <w:top w:val="nil"/>
            </w:tcBorders>
          </w:tcPr>
          <w:p>
            <w:pPr>
              <w:rPr>
                <w:rFonts w:ascii="Arial"/>
                <w:sz w:val="21"/>
              </w:rPr>
            </w:pPr>
            <w:r/>
          </w:p>
        </w:tc>
        <w:tc>
          <w:tcPr>
            <w:tcW w:w="2181" w:type="dxa"/>
            <w:vAlign w:val="top"/>
            <w:vMerge w:val="continue"/>
            <w:tcBorders>
              <w:top w:val="nil"/>
            </w:tcBorders>
          </w:tcPr>
          <w:p>
            <w:pPr>
              <w:rPr>
                <w:rFonts w:ascii="Arial"/>
                <w:sz w:val="21"/>
              </w:rPr>
            </w:pPr>
            <w:r/>
          </w:p>
        </w:tc>
        <w:tc>
          <w:tcPr>
            <w:tcW w:w="1044" w:type="dxa"/>
            <w:vAlign w:val="top"/>
            <w:vMerge w:val="continue"/>
            <w:tcBorders>
              <w:top w:val="nil"/>
            </w:tcBorders>
          </w:tcPr>
          <w:p>
            <w:pPr>
              <w:rPr>
                <w:rFonts w:ascii="Arial"/>
                <w:sz w:val="21"/>
              </w:rPr>
            </w:pPr>
            <w:r/>
          </w:p>
        </w:tc>
        <w:tc>
          <w:tcPr>
            <w:tcW w:w="1143" w:type="dxa"/>
            <w:vAlign w:val="top"/>
          </w:tcPr>
          <w:p>
            <w:pPr>
              <w:ind w:left="494"/>
              <w:spacing w:before="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1180" w:type="dxa"/>
            <w:vAlign w:val="top"/>
          </w:tcPr>
          <w:p>
            <w:pPr>
              <w:ind w:left="513"/>
              <w:spacing w:before="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1249" w:type="dxa"/>
            <w:vAlign w:val="top"/>
          </w:tcPr>
          <w:p>
            <w:pPr>
              <w:ind w:left="560"/>
              <w:spacing w:before="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1254" w:type="dxa"/>
            <w:vAlign w:val="top"/>
            <w:vMerge w:val="continue"/>
            <w:tcBorders>
              <w:top w:val="nil"/>
            </w:tcBorders>
          </w:tcPr>
          <w:p>
            <w:pPr>
              <w:rPr>
                <w:rFonts w:ascii="Arial"/>
                <w:sz w:val="21"/>
              </w:rPr>
            </w:pPr>
            <w:r/>
          </w:p>
        </w:tc>
        <w:tc>
          <w:tcPr>
            <w:tcW w:w="1672" w:type="dxa"/>
            <w:vAlign w:val="top"/>
            <w:vMerge w:val="continue"/>
            <w:tcBorders>
              <w:top w:val="nil"/>
            </w:tcBorders>
          </w:tcPr>
          <w:p>
            <w:pPr>
              <w:rPr>
                <w:rFonts w:ascii="Arial"/>
                <w:sz w:val="21"/>
              </w:rPr>
            </w:pPr>
            <w:r/>
          </w:p>
        </w:tc>
        <w:tc>
          <w:tcPr>
            <w:tcW w:w="2679" w:type="dxa"/>
            <w:vAlign w:val="top"/>
            <w:vMerge w:val="continue"/>
            <w:tcBorders>
              <w:top w:val="nil"/>
            </w:tcBorders>
          </w:tcPr>
          <w:p>
            <w:pPr>
              <w:rPr>
                <w:rFonts w:ascii="Arial"/>
                <w:sz w:val="21"/>
              </w:rPr>
            </w:pPr>
            <w:r/>
          </w:p>
        </w:tc>
        <w:tc>
          <w:tcPr>
            <w:tcW w:w="1170" w:type="dxa"/>
            <w:vAlign w:val="top"/>
            <w:vMerge w:val="continue"/>
            <w:tcBorders>
              <w:right w:val="nil"/>
              <w:top w:val="nil"/>
            </w:tcBorders>
          </w:tcPr>
          <w:p>
            <w:pPr>
              <w:rPr>
                <w:rFonts w:ascii="Arial"/>
                <w:sz w:val="21"/>
              </w:rPr>
            </w:pPr>
            <w:r/>
          </w:p>
        </w:tc>
      </w:tr>
      <w:tr>
        <w:trPr>
          <w:trHeight w:val="276" w:hRule="atLeast"/>
        </w:trPr>
        <w:tc>
          <w:tcPr>
            <w:tcW w:w="637" w:type="dxa"/>
            <w:vAlign w:val="top"/>
            <w:tcBorders>
              <w:left w:val="nil"/>
            </w:tcBorders>
          </w:tcPr>
          <w:p>
            <w:pPr>
              <w:ind w:left="289"/>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1" w:type="dxa"/>
            <w:vAlign w:val="top"/>
          </w:tcPr>
          <w:p>
            <w:pPr>
              <w:pStyle w:val="TableText"/>
              <w:ind w:left="581"/>
              <w:spacing w:before="30" w:line="217" w:lineRule="auto"/>
              <w:rPr/>
            </w:pPr>
            <w:r>
              <w:rPr>
                <w:spacing w:val="5"/>
              </w:rPr>
              <w:t>主井提升机</w:t>
            </w:r>
          </w:p>
        </w:tc>
        <w:tc>
          <w:tcPr>
            <w:tcW w:w="1044" w:type="dxa"/>
            <w:vAlign w:val="top"/>
          </w:tcPr>
          <w:p>
            <w:pPr>
              <w:ind w:left="490"/>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68"/>
              <w:spacing w:before="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180" w:type="dxa"/>
            <w:vAlign w:val="top"/>
          </w:tcPr>
          <w:p>
            <w:pPr>
              <w:ind w:left="359"/>
              <w:spacing w:before="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66.42</w:t>
            </w:r>
          </w:p>
        </w:tc>
        <w:tc>
          <w:tcPr>
            <w:tcW w:w="1249" w:type="dxa"/>
            <w:vAlign w:val="top"/>
          </w:tcPr>
          <w:p>
            <w:pPr>
              <w:ind w:left="594"/>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72" w:type="dxa"/>
            <w:vAlign w:val="top"/>
          </w:tcPr>
          <w:p>
            <w:pPr>
              <w:pStyle w:val="TableText"/>
              <w:ind w:left="642"/>
              <w:spacing w:before="30" w:line="217" w:lineRule="auto"/>
              <w:rPr/>
            </w:pPr>
            <w:r>
              <w:rPr>
                <w:spacing w:val="-1"/>
              </w:rPr>
              <w:t>主井</w:t>
            </w:r>
          </w:p>
        </w:tc>
        <w:tc>
          <w:tcPr>
            <w:tcW w:w="2679"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21"/>
              <w:spacing w:before="65" w:line="231" w:lineRule="auto"/>
              <w:rPr/>
            </w:pPr>
            <w:r>
              <w:rPr>
                <w:spacing w:val="3"/>
              </w:rPr>
              <w:t>选取低噪设备，采取基础减</w:t>
            </w:r>
          </w:p>
          <w:p>
            <w:pPr>
              <w:pStyle w:val="TableText"/>
              <w:ind w:left="118"/>
              <w:spacing w:before="23" w:line="230" w:lineRule="auto"/>
              <w:rPr/>
            </w:pPr>
            <w:r>
              <w:rPr>
                <w:spacing w:val="4"/>
              </w:rPr>
              <w:t>振、厂房隔声，泵类安装消</w:t>
            </w:r>
          </w:p>
          <w:p>
            <w:pPr>
              <w:pStyle w:val="TableText"/>
              <w:ind w:left="118"/>
              <w:spacing w:before="22" w:line="230" w:lineRule="auto"/>
              <w:rPr/>
            </w:pPr>
            <w:r>
              <w:rPr>
                <w:spacing w:val="4"/>
              </w:rPr>
              <w:t>声器隔声罩等措施；空压机</w:t>
            </w:r>
          </w:p>
          <w:p>
            <w:pPr>
              <w:pStyle w:val="TableText"/>
              <w:ind w:left="120"/>
              <w:spacing w:before="24" w:line="230" w:lineRule="auto"/>
              <w:rPr/>
            </w:pPr>
            <w:r>
              <w:rPr>
                <w:spacing w:val="4"/>
              </w:rPr>
              <w:t>进气口消声、润滑零件、基</w:t>
            </w:r>
          </w:p>
          <w:p>
            <w:pPr>
              <w:pStyle w:val="TableText"/>
              <w:ind w:left="404"/>
              <w:spacing w:before="21" w:line="231" w:lineRule="auto"/>
              <w:rPr/>
            </w:pPr>
            <w:r>
              <w:rPr>
                <w:spacing w:val="7"/>
              </w:rPr>
              <w:t>础减振、建筑隔声；</w:t>
            </w:r>
          </w:p>
        </w:tc>
        <w:tc>
          <w:tcPr>
            <w:tcW w:w="1170" w:type="dxa"/>
            <w:vAlign w:val="top"/>
            <w:tcBorders>
              <w:right w:val="nil"/>
            </w:tcBorders>
          </w:tcPr>
          <w:p>
            <w:pPr>
              <w:pStyle w:val="TableText"/>
              <w:ind w:left="252"/>
              <w:spacing w:before="30" w:line="217"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6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1" w:type="dxa"/>
            <w:vAlign w:val="top"/>
          </w:tcPr>
          <w:p>
            <w:pPr>
              <w:pStyle w:val="TableText"/>
              <w:ind w:left="575"/>
              <w:spacing w:before="33" w:line="216" w:lineRule="auto"/>
              <w:rPr/>
            </w:pPr>
            <w:r>
              <w:rPr>
                <w:spacing w:val="7"/>
              </w:rPr>
              <w:t>颚式破碎机</w:t>
            </w:r>
          </w:p>
        </w:tc>
        <w:tc>
          <w:tcPr>
            <w:tcW w:w="1044" w:type="dxa"/>
            <w:vAlign w:val="top"/>
          </w:tcPr>
          <w:p>
            <w:pPr>
              <w:ind w:left="49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180" w:type="dxa"/>
            <w:vAlign w:val="top"/>
          </w:tcPr>
          <w:p>
            <w:pPr>
              <w:ind w:left="49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322"/>
              <w:spacing w:before="33" w:line="216" w:lineRule="auto"/>
              <w:rPr/>
            </w:pPr>
            <w:r>
              <w:rPr>
                <w:spacing w:val="7"/>
              </w:rPr>
              <w:t>粗破碎车间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3" w:line="216"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73"/>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1" w:type="dxa"/>
            <w:vAlign w:val="top"/>
          </w:tcPr>
          <w:p>
            <w:pPr>
              <w:pStyle w:val="TableText"/>
              <w:ind w:left="595"/>
              <w:spacing w:before="34" w:line="215" w:lineRule="auto"/>
              <w:rPr/>
            </w:pPr>
            <w:r>
              <w:rPr>
                <w:spacing w:val="3"/>
              </w:rPr>
              <w:t>圆锥破碎机</w:t>
            </w:r>
          </w:p>
        </w:tc>
        <w:tc>
          <w:tcPr>
            <w:tcW w:w="1044" w:type="dxa"/>
            <w:vAlign w:val="top"/>
          </w:tcPr>
          <w:p>
            <w:pPr>
              <w:ind w:left="490"/>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137</w:t>
            </w:r>
          </w:p>
        </w:tc>
        <w:tc>
          <w:tcPr>
            <w:tcW w:w="1180" w:type="dxa"/>
            <w:vAlign w:val="top"/>
          </w:tcPr>
          <w:p>
            <w:pPr>
              <w:ind w:left="495"/>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326"/>
              <w:spacing w:before="34" w:line="215" w:lineRule="auto"/>
              <w:rPr/>
            </w:pPr>
            <w:r>
              <w:rPr>
                <w:spacing w:val="6"/>
              </w:rPr>
              <w:t>细破碎车间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4" w:line="215"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68"/>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181" w:type="dxa"/>
            <w:vAlign w:val="top"/>
          </w:tcPr>
          <w:p>
            <w:pPr>
              <w:pStyle w:val="TableText"/>
              <w:ind w:left="700"/>
              <w:spacing w:before="33" w:line="216" w:lineRule="auto"/>
              <w:rPr/>
            </w:pPr>
            <w:r>
              <w:rPr>
                <w:spacing w:val="1"/>
              </w:rPr>
              <w:t>圆振动筛</w:t>
            </w:r>
          </w:p>
        </w:tc>
        <w:tc>
          <w:tcPr>
            <w:tcW w:w="1044" w:type="dxa"/>
            <w:vAlign w:val="top"/>
          </w:tcPr>
          <w:p>
            <w:pPr>
              <w:ind w:left="49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168</w:t>
            </w:r>
          </w:p>
        </w:tc>
        <w:tc>
          <w:tcPr>
            <w:tcW w:w="1180" w:type="dxa"/>
            <w:vAlign w:val="top"/>
          </w:tcPr>
          <w:p>
            <w:pPr>
              <w:ind w:left="49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249" w:type="dxa"/>
            <w:vAlign w:val="top"/>
          </w:tcPr>
          <w:p>
            <w:pPr>
              <w:ind w:left="594"/>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49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672" w:type="dxa"/>
            <w:vAlign w:val="top"/>
          </w:tcPr>
          <w:p>
            <w:pPr>
              <w:pStyle w:val="TableText"/>
              <w:ind w:left="430"/>
              <w:spacing w:before="33" w:line="216" w:lineRule="auto"/>
              <w:rPr/>
            </w:pPr>
            <w:r>
              <w:rPr>
                <w:spacing w:val="5"/>
              </w:rPr>
              <w:t>筛分车间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3" w:line="216"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75"/>
              <w:spacing w:before="7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81" w:type="dxa"/>
            <w:vAlign w:val="top"/>
          </w:tcPr>
          <w:p>
            <w:pPr>
              <w:pStyle w:val="TableText"/>
              <w:ind w:left="389"/>
              <w:spacing w:before="34" w:line="214" w:lineRule="auto"/>
              <w:rPr/>
            </w:pPr>
            <w:r>
              <w:rPr>
                <w:spacing w:val="4"/>
              </w:rPr>
              <w:t>电机振动给矿机</w:t>
            </w:r>
          </w:p>
        </w:tc>
        <w:tc>
          <w:tcPr>
            <w:tcW w:w="1044" w:type="dxa"/>
            <w:vAlign w:val="top"/>
          </w:tcPr>
          <w:p>
            <w:pPr>
              <w:ind w:left="490"/>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72"/>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1180" w:type="dxa"/>
            <w:vAlign w:val="top"/>
          </w:tcPr>
          <w:p>
            <w:pPr>
              <w:ind w:left="495"/>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322"/>
              <w:spacing w:before="34" w:line="214" w:lineRule="auto"/>
              <w:rPr/>
            </w:pPr>
            <w:r>
              <w:rPr>
                <w:spacing w:val="7"/>
              </w:rPr>
              <w:t>粗破碎车间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4" w:line="214"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74"/>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1" w:type="dxa"/>
            <w:vAlign w:val="top"/>
          </w:tcPr>
          <w:p>
            <w:pPr>
              <w:pStyle w:val="TableText"/>
              <w:ind w:left="389"/>
              <w:spacing w:before="34" w:line="215" w:lineRule="auto"/>
              <w:rPr/>
            </w:pPr>
            <w:r>
              <w:rPr>
                <w:spacing w:val="4"/>
              </w:rPr>
              <w:t>电机振动给矿机</w:t>
            </w:r>
          </w:p>
        </w:tc>
        <w:tc>
          <w:tcPr>
            <w:tcW w:w="1044" w:type="dxa"/>
            <w:vAlign w:val="top"/>
          </w:tcPr>
          <w:p>
            <w:pPr>
              <w:ind w:left="490"/>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132</w:t>
            </w:r>
          </w:p>
        </w:tc>
        <w:tc>
          <w:tcPr>
            <w:tcW w:w="1180" w:type="dxa"/>
            <w:vAlign w:val="top"/>
          </w:tcPr>
          <w:p>
            <w:pPr>
              <w:ind w:left="490"/>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c>
          <w:tcPr>
            <w:tcW w:w="1249" w:type="dxa"/>
            <w:vAlign w:val="top"/>
          </w:tcPr>
          <w:p>
            <w:pPr>
              <w:ind w:left="594"/>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326"/>
              <w:spacing w:before="34" w:line="215" w:lineRule="auto"/>
              <w:rPr/>
            </w:pPr>
            <w:r>
              <w:rPr>
                <w:spacing w:val="6"/>
              </w:rPr>
              <w:t>细破碎车间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4" w:line="215"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73"/>
              <w:spacing w:before="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81" w:type="dxa"/>
            <w:vAlign w:val="top"/>
          </w:tcPr>
          <w:p>
            <w:pPr>
              <w:pStyle w:val="TableText"/>
              <w:ind w:left="469"/>
              <w:spacing w:before="35" w:line="213" w:lineRule="auto"/>
              <w:rPr/>
            </w:pPr>
            <w:r>
              <w:rPr>
                <w:spacing w:val="7"/>
              </w:rPr>
              <w:t>格子型球磨机</w:t>
            </w:r>
          </w:p>
        </w:tc>
        <w:tc>
          <w:tcPr>
            <w:tcW w:w="1044"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w:t>
            </w:r>
          </w:p>
        </w:tc>
        <w:tc>
          <w:tcPr>
            <w:tcW w:w="1180"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78</w:t>
            </w:r>
          </w:p>
        </w:tc>
        <w:tc>
          <w:tcPr>
            <w:tcW w:w="1249" w:type="dxa"/>
            <w:vAlign w:val="top"/>
          </w:tcPr>
          <w:p>
            <w:pPr>
              <w:ind w:left="594"/>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672" w:type="dxa"/>
            <w:vAlign w:val="top"/>
          </w:tcPr>
          <w:p>
            <w:pPr>
              <w:pStyle w:val="TableText"/>
              <w:ind w:left="427"/>
              <w:spacing w:before="35" w:line="213"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5" w:line="213"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7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81" w:type="dxa"/>
            <w:vAlign w:val="top"/>
          </w:tcPr>
          <w:p>
            <w:pPr>
              <w:pStyle w:val="TableText"/>
              <w:ind w:left="159"/>
              <w:spacing w:before="35" w:line="213" w:lineRule="auto"/>
              <w:rPr/>
            </w:pPr>
            <w:r>
              <w:rPr>
                <w:spacing w:val="7"/>
              </w:rPr>
              <w:t>单螺旋沉没式分级机</w:t>
            </w:r>
          </w:p>
        </w:tc>
        <w:tc>
          <w:tcPr>
            <w:tcW w:w="1044"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w:t>
            </w:r>
          </w:p>
        </w:tc>
        <w:tc>
          <w:tcPr>
            <w:tcW w:w="1180"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249" w:type="dxa"/>
            <w:vAlign w:val="top"/>
          </w:tcPr>
          <w:p>
            <w:pPr>
              <w:ind w:left="594"/>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3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672" w:type="dxa"/>
            <w:vAlign w:val="top"/>
          </w:tcPr>
          <w:p>
            <w:pPr>
              <w:pStyle w:val="TableText"/>
              <w:ind w:left="427"/>
              <w:spacing w:before="35" w:line="213"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5" w:line="213"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73"/>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81" w:type="dxa"/>
            <w:vAlign w:val="top"/>
          </w:tcPr>
          <w:p>
            <w:pPr>
              <w:pStyle w:val="TableText"/>
              <w:ind w:left="787"/>
              <w:spacing w:before="37" w:line="212" w:lineRule="auto"/>
              <w:rPr/>
            </w:pPr>
            <w:r>
              <w:rPr>
                <w:spacing w:val="4"/>
              </w:rPr>
              <w:t>渣浆泵</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pStyle w:val="TableText"/>
              <w:ind w:left="427"/>
              <w:spacing w:before="37" w:line="212"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7" w:line="212"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9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w:t>
            </w:r>
          </w:p>
        </w:tc>
        <w:tc>
          <w:tcPr>
            <w:tcW w:w="2181" w:type="dxa"/>
            <w:vAlign w:val="top"/>
          </w:tcPr>
          <w:p>
            <w:pPr>
              <w:pStyle w:val="TableText"/>
              <w:ind w:left="708"/>
              <w:spacing w:before="38" w:line="210" w:lineRule="auto"/>
              <w:rPr>
                <w:rFonts w:ascii="Times New Roman" w:hAnsi="Times New Roman" w:eastAsia="Times New Roman" w:cs="Times New Roman"/>
              </w:rPr>
            </w:pPr>
            <w:r>
              <w:rPr>
                <w:spacing w:val="3"/>
              </w:rPr>
              <w:t>渣浆泵</w:t>
            </w:r>
            <w:r>
              <w:rPr>
                <w:spacing w:val="-22"/>
              </w:rPr>
              <w:t xml:space="preserve"> </w:t>
            </w:r>
            <w:r>
              <w:rPr>
                <w:rFonts w:ascii="Times New Roman" w:hAnsi="Times New Roman" w:eastAsia="Times New Roman" w:cs="Times New Roman"/>
                <w:spacing w:val="3"/>
              </w:rPr>
              <w:t>1</w:t>
            </w:r>
          </w:p>
        </w:tc>
        <w:tc>
          <w:tcPr>
            <w:tcW w:w="1044" w:type="dxa"/>
            <w:vAlign w:val="top"/>
          </w:tcPr>
          <w:p>
            <w:pPr>
              <w:ind w:left="490"/>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237</w:t>
            </w:r>
          </w:p>
        </w:tc>
        <w:tc>
          <w:tcPr>
            <w:tcW w:w="1180" w:type="dxa"/>
            <w:vAlign w:val="top"/>
          </w:tcPr>
          <w:p>
            <w:pPr>
              <w:ind w:left="486"/>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249" w:type="dxa"/>
            <w:vAlign w:val="top"/>
          </w:tcPr>
          <w:p>
            <w:pPr>
              <w:ind w:left="498"/>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7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427"/>
              <w:spacing w:before="38" w:line="210"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38" w:line="210"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9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9.2</w:t>
            </w:r>
          </w:p>
        </w:tc>
        <w:tc>
          <w:tcPr>
            <w:tcW w:w="2181" w:type="dxa"/>
            <w:vAlign w:val="top"/>
          </w:tcPr>
          <w:p>
            <w:pPr>
              <w:pStyle w:val="TableText"/>
              <w:ind w:left="708"/>
              <w:spacing w:before="40" w:line="208" w:lineRule="auto"/>
              <w:rPr>
                <w:rFonts w:ascii="Times New Roman" w:hAnsi="Times New Roman" w:eastAsia="Times New Roman" w:cs="Times New Roman"/>
              </w:rPr>
            </w:pPr>
            <w:r>
              <w:rPr>
                <w:spacing w:val="3"/>
              </w:rPr>
              <w:t>渣浆泵</w:t>
            </w:r>
            <w:r>
              <w:rPr>
                <w:spacing w:val="-42"/>
              </w:rPr>
              <w:t xml:space="preserve"> </w:t>
            </w:r>
            <w:r>
              <w:rPr>
                <w:rFonts w:ascii="Times New Roman" w:hAnsi="Times New Roman" w:eastAsia="Times New Roman" w:cs="Times New Roman"/>
                <w:spacing w:val="3"/>
              </w:rPr>
              <w:t>2</w:t>
            </w:r>
          </w:p>
        </w:tc>
        <w:tc>
          <w:tcPr>
            <w:tcW w:w="1044" w:type="dxa"/>
            <w:vAlign w:val="top"/>
          </w:tcPr>
          <w:p>
            <w:pPr>
              <w:ind w:left="49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239</w:t>
            </w:r>
          </w:p>
        </w:tc>
        <w:tc>
          <w:tcPr>
            <w:tcW w:w="1180" w:type="dxa"/>
            <w:vAlign w:val="top"/>
          </w:tcPr>
          <w:p>
            <w:pPr>
              <w:ind w:left="486"/>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249" w:type="dxa"/>
            <w:vAlign w:val="top"/>
          </w:tcPr>
          <w:p>
            <w:pPr>
              <w:ind w:left="498"/>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7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427"/>
              <w:spacing w:before="40" w:line="208"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0" w:line="208"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3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181" w:type="dxa"/>
            <w:vAlign w:val="top"/>
          </w:tcPr>
          <w:p>
            <w:pPr>
              <w:pStyle w:val="TableText"/>
              <w:ind w:left="582"/>
              <w:spacing w:before="40" w:line="209" w:lineRule="auto"/>
              <w:rPr/>
            </w:pPr>
            <w:r>
              <w:rPr>
                <w:spacing w:val="5"/>
              </w:rPr>
              <w:t>高效搅拌槽</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6" w:hRule="atLeast"/>
        </w:trPr>
        <w:tc>
          <w:tcPr>
            <w:tcW w:w="637" w:type="dxa"/>
            <w:vAlign w:val="top"/>
            <w:tcBorders>
              <w:left w:val="nil"/>
            </w:tcBorders>
          </w:tcPr>
          <w:p>
            <w:pPr>
              <w:ind w:left="157"/>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3"/>
              </w:rPr>
              <w:t>1</w:t>
            </w:r>
          </w:p>
        </w:tc>
        <w:tc>
          <w:tcPr>
            <w:tcW w:w="2181" w:type="dxa"/>
            <w:vAlign w:val="top"/>
          </w:tcPr>
          <w:p>
            <w:pPr>
              <w:pStyle w:val="TableText"/>
              <w:ind w:left="503"/>
              <w:spacing w:before="41" w:line="207" w:lineRule="auto"/>
              <w:rPr>
                <w:rFonts w:ascii="Times New Roman" w:hAnsi="Times New Roman" w:eastAsia="Times New Roman" w:cs="Times New Roman"/>
              </w:rPr>
            </w:pPr>
            <w:r>
              <w:rPr>
                <w:spacing w:val="4"/>
              </w:rPr>
              <w:t>高效搅拌槽</w:t>
            </w:r>
            <w:r>
              <w:rPr>
                <w:spacing w:val="-20"/>
              </w:rPr>
              <w:t xml:space="preserve"> </w:t>
            </w:r>
            <w:r>
              <w:rPr>
                <w:rFonts w:ascii="Times New Roman" w:hAnsi="Times New Roman" w:eastAsia="Times New Roman" w:cs="Times New Roman"/>
                <w:spacing w:val="4"/>
              </w:rPr>
              <w:t>1</w:t>
            </w:r>
          </w:p>
        </w:tc>
        <w:tc>
          <w:tcPr>
            <w:tcW w:w="1044" w:type="dxa"/>
            <w:vAlign w:val="top"/>
          </w:tcPr>
          <w:p>
            <w:pPr>
              <w:ind w:left="49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231</w:t>
            </w:r>
          </w:p>
        </w:tc>
        <w:tc>
          <w:tcPr>
            <w:tcW w:w="1180" w:type="dxa"/>
            <w:vAlign w:val="top"/>
          </w:tcPr>
          <w:p>
            <w:pPr>
              <w:ind w:left="492"/>
              <w:spacing w:before="8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49" w:type="dxa"/>
            <w:vAlign w:val="top"/>
          </w:tcPr>
          <w:p>
            <w:pPr>
              <w:ind w:left="594"/>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8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427"/>
              <w:spacing w:before="41" w:line="207"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1" w:line="207"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57"/>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2181" w:type="dxa"/>
            <w:vAlign w:val="top"/>
          </w:tcPr>
          <w:p>
            <w:pPr>
              <w:pStyle w:val="TableText"/>
              <w:ind w:left="503"/>
              <w:spacing w:before="43" w:line="205" w:lineRule="auto"/>
              <w:rPr>
                <w:rFonts w:ascii="Times New Roman" w:hAnsi="Times New Roman" w:eastAsia="Times New Roman" w:cs="Times New Roman"/>
              </w:rPr>
            </w:pPr>
            <w:r>
              <w:rPr>
                <w:spacing w:val="4"/>
              </w:rPr>
              <w:t>高效搅拌槽</w:t>
            </w:r>
            <w:r>
              <w:rPr>
                <w:spacing w:val="-40"/>
              </w:rPr>
              <w:t xml:space="preserve"> </w:t>
            </w:r>
            <w:r>
              <w:rPr>
                <w:rFonts w:ascii="Times New Roman" w:hAnsi="Times New Roman" w:eastAsia="Times New Roman" w:cs="Times New Roman"/>
                <w:spacing w:val="4"/>
              </w:rPr>
              <w:t>2</w:t>
            </w:r>
          </w:p>
        </w:tc>
        <w:tc>
          <w:tcPr>
            <w:tcW w:w="1044" w:type="dxa"/>
            <w:vAlign w:val="top"/>
          </w:tcPr>
          <w:p>
            <w:pPr>
              <w:ind w:left="490"/>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231</w:t>
            </w:r>
          </w:p>
        </w:tc>
        <w:tc>
          <w:tcPr>
            <w:tcW w:w="1180" w:type="dxa"/>
            <w:vAlign w:val="top"/>
          </w:tcPr>
          <w:p>
            <w:pPr>
              <w:ind w:left="492"/>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49" w:type="dxa"/>
            <w:vAlign w:val="top"/>
          </w:tcPr>
          <w:p>
            <w:pPr>
              <w:ind w:left="594"/>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427"/>
              <w:spacing w:before="43" w:line="205"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3" w:line="205"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41"/>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181" w:type="dxa"/>
            <w:vAlign w:val="top"/>
          </w:tcPr>
          <w:p>
            <w:pPr>
              <w:pStyle w:val="TableText"/>
              <w:ind w:left="789"/>
              <w:spacing w:before="43" w:line="206" w:lineRule="auto"/>
              <w:rPr/>
            </w:pPr>
            <w:r>
              <w:rPr>
                <w:spacing w:val="4"/>
              </w:rPr>
              <w:t>浮选机</w:t>
            </w:r>
          </w:p>
        </w:tc>
        <w:tc>
          <w:tcPr>
            <w:tcW w:w="1044" w:type="dxa"/>
            <w:vAlign w:val="top"/>
          </w:tcPr>
          <w:p>
            <w:pPr>
              <w:ind w:left="422"/>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143" w:type="dxa"/>
            <w:vAlign w:val="top"/>
          </w:tcPr>
          <w:p>
            <w:pPr>
              <w:ind w:left="223"/>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234-244</w:t>
            </w:r>
          </w:p>
        </w:tc>
        <w:tc>
          <w:tcPr>
            <w:tcW w:w="1180" w:type="dxa"/>
            <w:vAlign w:val="top"/>
          </w:tcPr>
          <w:p>
            <w:pPr>
              <w:ind w:left="346"/>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46-79</w:t>
            </w:r>
          </w:p>
        </w:tc>
        <w:tc>
          <w:tcPr>
            <w:tcW w:w="1249" w:type="dxa"/>
            <w:vAlign w:val="top"/>
          </w:tcPr>
          <w:p>
            <w:pPr>
              <w:ind w:left="594"/>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31"/>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672" w:type="dxa"/>
            <w:vAlign w:val="top"/>
          </w:tcPr>
          <w:p>
            <w:pPr>
              <w:pStyle w:val="TableText"/>
              <w:ind w:left="427"/>
              <w:spacing w:before="43" w:line="206" w:lineRule="auto"/>
              <w:rPr/>
            </w:pPr>
            <w:r>
              <w:rPr>
                <w:spacing w:val="5"/>
              </w:rPr>
              <w:t>磨浮车间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3" w:line="206"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37"/>
              <w:spacing w:before="8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181" w:type="dxa"/>
            <w:vAlign w:val="top"/>
          </w:tcPr>
          <w:p>
            <w:pPr>
              <w:pStyle w:val="TableText"/>
              <w:ind w:left="787"/>
              <w:spacing w:before="45" w:line="204" w:lineRule="auto"/>
              <w:rPr/>
            </w:pPr>
            <w:r>
              <w:rPr>
                <w:spacing w:val="4"/>
              </w:rPr>
              <w:t>渣浆泵</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6" w:hRule="atLeast"/>
        </w:trPr>
        <w:tc>
          <w:tcPr>
            <w:tcW w:w="637" w:type="dxa"/>
            <w:vAlign w:val="top"/>
            <w:tcBorders>
              <w:left w:val="nil"/>
            </w:tcBorders>
          </w:tcPr>
          <w:p>
            <w:pPr>
              <w:ind w:left="157"/>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3"/>
              </w:rPr>
              <w:t>1</w:t>
            </w:r>
          </w:p>
        </w:tc>
        <w:tc>
          <w:tcPr>
            <w:tcW w:w="2181" w:type="dxa"/>
            <w:vAlign w:val="top"/>
          </w:tcPr>
          <w:p>
            <w:pPr>
              <w:pStyle w:val="TableText"/>
              <w:ind w:left="708"/>
              <w:spacing w:before="47" w:line="202" w:lineRule="auto"/>
              <w:rPr>
                <w:rFonts w:ascii="Times New Roman" w:hAnsi="Times New Roman" w:eastAsia="Times New Roman" w:cs="Times New Roman"/>
              </w:rPr>
            </w:pPr>
            <w:r>
              <w:rPr>
                <w:spacing w:val="3"/>
              </w:rPr>
              <w:t>渣浆泵</w:t>
            </w:r>
            <w:r>
              <w:rPr>
                <w:spacing w:val="-22"/>
              </w:rPr>
              <w:t xml:space="preserve"> </w:t>
            </w:r>
            <w:r>
              <w:rPr>
                <w:rFonts w:ascii="Times New Roman" w:hAnsi="Times New Roman" w:eastAsia="Times New Roman" w:cs="Times New Roman"/>
                <w:spacing w:val="3"/>
              </w:rPr>
              <w:t>1</w:t>
            </w:r>
          </w:p>
        </w:tc>
        <w:tc>
          <w:tcPr>
            <w:tcW w:w="1044" w:type="dxa"/>
            <w:vAlign w:val="top"/>
          </w:tcPr>
          <w:p>
            <w:pPr>
              <w:ind w:left="490"/>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254</w:t>
            </w:r>
          </w:p>
        </w:tc>
        <w:tc>
          <w:tcPr>
            <w:tcW w:w="1180" w:type="dxa"/>
            <w:vAlign w:val="top"/>
          </w:tcPr>
          <w:p>
            <w:pPr>
              <w:ind w:left="486"/>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tc>
        <w:tc>
          <w:tcPr>
            <w:tcW w:w="1249" w:type="dxa"/>
            <w:vAlign w:val="top"/>
          </w:tcPr>
          <w:p>
            <w:pPr>
              <w:ind w:left="498"/>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216"/>
              <w:spacing w:before="47" w:line="202" w:lineRule="auto"/>
              <w:rPr/>
            </w:pPr>
            <w:r>
              <w:rPr>
                <w:spacing w:val="7"/>
              </w:rPr>
              <w:t>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7" w:line="202"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157"/>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12.2</w:t>
            </w:r>
          </w:p>
        </w:tc>
        <w:tc>
          <w:tcPr>
            <w:tcW w:w="2181" w:type="dxa"/>
            <w:vAlign w:val="top"/>
          </w:tcPr>
          <w:p>
            <w:pPr>
              <w:pStyle w:val="TableText"/>
              <w:ind w:left="708"/>
              <w:spacing w:before="47" w:line="203" w:lineRule="auto"/>
              <w:rPr>
                <w:rFonts w:ascii="Times New Roman" w:hAnsi="Times New Roman" w:eastAsia="Times New Roman" w:cs="Times New Roman"/>
              </w:rPr>
            </w:pPr>
            <w:r>
              <w:rPr>
                <w:spacing w:val="3"/>
              </w:rPr>
              <w:t>渣浆泵</w:t>
            </w:r>
            <w:r>
              <w:rPr>
                <w:spacing w:val="-42"/>
              </w:rPr>
              <w:t xml:space="preserve"> </w:t>
            </w:r>
            <w:r>
              <w:rPr>
                <w:rFonts w:ascii="Times New Roman" w:hAnsi="Times New Roman" w:eastAsia="Times New Roman" w:cs="Times New Roman"/>
                <w:spacing w:val="3"/>
              </w:rPr>
              <w:t>2</w:t>
            </w:r>
          </w:p>
        </w:tc>
        <w:tc>
          <w:tcPr>
            <w:tcW w:w="1044" w:type="dxa"/>
            <w:vAlign w:val="top"/>
          </w:tcPr>
          <w:p>
            <w:pPr>
              <w:ind w:left="490"/>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256</w:t>
            </w:r>
          </w:p>
        </w:tc>
        <w:tc>
          <w:tcPr>
            <w:tcW w:w="1180" w:type="dxa"/>
            <w:vAlign w:val="top"/>
          </w:tcPr>
          <w:p>
            <w:pPr>
              <w:ind w:left="486"/>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tc>
        <w:tc>
          <w:tcPr>
            <w:tcW w:w="1249" w:type="dxa"/>
            <w:vAlign w:val="top"/>
          </w:tcPr>
          <w:p>
            <w:pPr>
              <w:ind w:left="498"/>
              <w:spacing w:before="8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8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216"/>
              <w:spacing w:before="47" w:line="203" w:lineRule="auto"/>
              <w:rPr/>
            </w:pPr>
            <w:r>
              <w:rPr>
                <w:spacing w:val="7"/>
              </w:rPr>
              <w:t>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7" w:line="203"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37"/>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181" w:type="dxa"/>
            <w:vAlign w:val="top"/>
          </w:tcPr>
          <w:p>
            <w:pPr>
              <w:pStyle w:val="TableText"/>
              <w:ind w:left="393"/>
              <w:spacing w:before="48" w:line="201" w:lineRule="auto"/>
              <w:rPr/>
            </w:pPr>
            <w:r>
              <w:rPr>
                <w:spacing w:val="4"/>
              </w:rPr>
              <w:t>中心传动浓缩机</w:t>
            </w:r>
          </w:p>
        </w:tc>
        <w:tc>
          <w:tcPr>
            <w:tcW w:w="1044" w:type="dxa"/>
            <w:vAlign w:val="top"/>
          </w:tcPr>
          <w:p>
            <w:pPr>
              <w:ind w:left="490"/>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260</w:t>
            </w:r>
          </w:p>
        </w:tc>
        <w:tc>
          <w:tcPr>
            <w:tcW w:w="1180" w:type="dxa"/>
            <w:vAlign w:val="top"/>
          </w:tcPr>
          <w:p>
            <w:pPr>
              <w:ind w:left="490"/>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71</w:t>
            </w:r>
          </w:p>
        </w:tc>
        <w:tc>
          <w:tcPr>
            <w:tcW w:w="1249" w:type="dxa"/>
            <w:vAlign w:val="top"/>
          </w:tcPr>
          <w:p>
            <w:pPr>
              <w:ind w:left="594"/>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432"/>
              <w:spacing w:before="48" w:line="201" w:lineRule="auto"/>
              <w:rPr/>
            </w:pPr>
            <w:r>
              <w:rPr>
                <w:spacing w:val="4"/>
              </w:rPr>
              <w:t>浓缩车间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48" w:line="201"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37"/>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181" w:type="dxa"/>
            <w:vAlign w:val="top"/>
          </w:tcPr>
          <w:p>
            <w:pPr>
              <w:pStyle w:val="TableText"/>
              <w:ind w:left="582"/>
              <w:spacing w:before="50" w:line="199" w:lineRule="auto"/>
              <w:rPr/>
            </w:pPr>
            <w:r>
              <w:rPr>
                <w:spacing w:val="5"/>
              </w:rPr>
              <w:t>真空过滤机</w:t>
            </w:r>
          </w:p>
        </w:tc>
        <w:tc>
          <w:tcPr>
            <w:tcW w:w="1044" w:type="dxa"/>
            <w:vAlign w:val="top"/>
          </w:tcPr>
          <w:p>
            <w:pPr>
              <w:ind w:left="490"/>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261</w:t>
            </w:r>
          </w:p>
        </w:tc>
        <w:tc>
          <w:tcPr>
            <w:tcW w:w="1180" w:type="dxa"/>
            <w:vAlign w:val="top"/>
          </w:tcPr>
          <w:p>
            <w:pPr>
              <w:ind w:left="486"/>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w:t>
            </w:r>
          </w:p>
        </w:tc>
        <w:tc>
          <w:tcPr>
            <w:tcW w:w="1249" w:type="dxa"/>
            <w:vAlign w:val="top"/>
          </w:tcPr>
          <w:p>
            <w:pPr>
              <w:ind w:left="594"/>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7"/>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672" w:type="dxa"/>
            <w:vAlign w:val="top"/>
          </w:tcPr>
          <w:p>
            <w:pPr>
              <w:pStyle w:val="TableText"/>
              <w:ind w:left="216"/>
              <w:spacing w:before="50" w:line="199" w:lineRule="auto"/>
              <w:rPr/>
            </w:pPr>
            <w:r>
              <w:rPr>
                <w:spacing w:val="7"/>
              </w:rPr>
              <w:t>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50" w:line="199"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37"/>
              <w:spacing w:before="86"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181" w:type="dxa"/>
            <w:vAlign w:val="top"/>
          </w:tcPr>
          <w:p>
            <w:pPr>
              <w:pStyle w:val="TableText"/>
              <w:ind w:left="582"/>
              <w:spacing w:before="50" w:line="200" w:lineRule="auto"/>
              <w:rPr/>
            </w:pPr>
            <w:r>
              <w:rPr>
                <w:spacing w:val="5"/>
              </w:rPr>
              <w:t>真空过滤机</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6" w:hRule="atLeast"/>
        </w:trPr>
        <w:tc>
          <w:tcPr>
            <w:tcW w:w="637" w:type="dxa"/>
            <w:vAlign w:val="top"/>
            <w:tcBorders>
              <w:left w:val="nil"/>
            </w:tcBorders>
          </w:tcPr>
          <w:p>
            <w:pPr>
              <w:ind w:left="157"/>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3"/>
              </w:rPr>
              <w:t>1</w:t>
            </w:r>
          </w:p>
        </w:tc>
        <w:tc>
          <w:tcPr>
            <w:tcW w:w="2181" w:type="dxa"/>
            <w:vAlign w:val="top"/>
          </w:tcPr>
          <w:p>
            <w:pPr>
              <w:pStyle w:val="TableText"/>
              <w:ind w:left="503"/>
              <w:spacing w:before="51" w:line="198" w:lineRule="auto"/>
              <w:rPr>
                <w:rFonts w:ascii="Times New Roman" w:hAnsi="Times New Roman" w:eastAsia="Times New Roman" w:cs="Times New Roman"/>
              </w:rPr>
            </w:pPr>
            <w:r>
              <w:rPr>
                <w:spacing w:val="4"/>
              </w:rPr>
              <w:t>真空过滤机</w:t>
            </w:r>
            <w:r>
              <w:rPr>
                <w:spacing w:val="-20"/>
              </w:rPr>
              <w:t xml:space="preserve"> </w:t>
            </w:r>
            <w:r>
              <w:rPr>
                <w:rFonts w:ascii="Times New Roman" w:hAnsi="Times New Roman" w:eastAsia="Times New Roman" w:cs="Times New Roman"/>
                <w:spacing w:val="4"/>
              </w:rPr>
              <w:t>1</w:t>
            </w:r>
          </w:p>
        </w:tc>
        <w:tc>
          <w:tcPr>
            <w:tcW w:w="1044" w:type="dxa"/>
            <w:vAlign w:val="top"/>
          </w:tcPr>
          <w:p>
            <w:pPr>
              <w:ind w:left="490"/>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216</w:t>
            </w:r>
          </w:p>
        </w:tc>
        <w:tc>
          <w:tcPr>
            <w:tcW w:w="1180" w:type="dxa"/>
            <w:vAlign w:val="top"/>
          </w:tcPr>
          <w:p>
            <w:pPr>
              <w:ind w:left="492"/>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49" w:type="dxa"/>
            <w:vAlign w:val="top"/>
          </w:tcPr>
          <w:p>
            <w:pPr>
              <w:ind w:left="594"/>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7"/>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672" w:type="dxa"/>
            <w:vAlign w:val="top"/>
          </w:tcPr>
          <w:p>
            <w:pPr>
              <w:pStyle w:val="TableText"/>
              <w:ind w:left="218"/>
              <w:spacing w:before="51" w:line="198" w:lineRule="auto"/>
              <w:rPr/>
            </w:pPr>
            <w:r>
              <w:rPr>
                <w:spacing w:val="7"/>
              </w:rPr>
              <w:t>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51" w:line="198"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57"/>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15.2</w:t>
            </w:r>
          </w:p>
        </w:tc>
        <w:tc>
          <w:tcPr>
            <w:tcW w:w="2181" w:type="dxa"/>
            <w:vAlign w:val="top"/>
          </w:tcPr>
          <w:p>
            <w:pPr>
              <w:pStyle w:val="TableText"/>
              <w:ind w:left="503"/>
              <w:spacing w:before="51" w:line="198" w:lineRule="auto"/>
              <w:rPr>
                <w:rFonts w:ascii="Times New Roman" w:hAnsi="Times New Roman" w:eastAsia="Times New Roman" w:cs="Times New Roman"/>
              </w:rPr>
            </w:pPr>
            <w:r>
              <w:rPr>
                <w:spacing w:val="4"/>
              </w:rPr>
              <w:t>真空过滤机</w:t>
            </w:r>
            <w:r>
              <w:rPr>
                <w:spacing w:val="-40"/>
              </w:rPr>
              <w:t xml:space="preserve"> </w:t>
            </w:r>
            <w:r>
              <w:rPr>
                <w:rFonts w:ascii="Times New Roman" w:hAnsi="Times New Roman" w:eastAsia="Times New Roman" w:cs="Times New Roman"/>
                <w:spacing w:val="4"/>
              </w:rPr>
              <w:t>2</w:t>
            </w:r>
          </w:p>
        </w:tc>
        <w:tc>
          <w:tcPr>
            <w:tcW w:w="1044" w:type="dxa"/>
            <w:vAlign w:val="top"/>
          </w:tcPr>
          <w:p>
            <w:pPr>
              <w:ind w:left="490"/>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218</w:t>
            </w:r>
          </w:p>
        </w:tc>
        <w:tc>
          <w:tcPr>
            <w:tcW w:w="1180" w:type="dxa"/>
            <w:vAlign w:val="top"/>
          </w:tcPr>
          <w:p>
            <w:pPr>
              <w:ind w:left="492"/>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49" w:type="dxa"/>
            <w:vAlign w:val="top"/>
          </w:tcPr>
          <w:p>
            <w:pPr>
              <w:ind w:left="594"/>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7"/>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672" w:type="dxa"/>
            <w:vAlign w:val="top"/>
          </w:tcPr>
          <w:p>
            <w:pPr>
              <w:pStyle w:val="TableText"/>
              <w:ind w:left="218"/>
              <w:spacing w:before="51" w:line="198" w:lineRule="auto"/>
              <w:rPr/>
            </w:pPr>
            <w:r>
              <w:rPr>
                <w:spacing w:val="7"/>
              </w:rPr>
              <w:t>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51" w:line="198"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37"/>
              <w:spacing w:before="89"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181" w:type="dxa"/>
            <w:vAlign w:val="top"/>
          </w:tcPr>
          <w:p>
            <w:pPr>
              <w:pStyle w:val="TableText"/>
              <w:ind w:left="787"/>
              <w:spacing w:before="53" w:line="197" w:lineRule="auto"/>
              <w:rPr/>
            </w:pPr>
            <w:r>
              <w:rPr>
                <w:spacing w:val="4"/>
              </w:rPr>
              <w:t>渣浆泵</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6" w:hRule="atLeast"/>
        </w:trPr>
        <w:tc>
          <w:tcPr>
            <w:tcW w:w="637" w:type="dxa"/>
            <w:vAlign w:val="top"/>
            <w:tcBorders>
              <w:left w:val="nil"/>
            </w:tcBorders>
          </w:tcPr>
          <w:p>
            <w:pPr>
              <w:ind w:left="157"/>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3"/>
              </w:rPr>
              <w:t>1</w:t>
            </w:r>
          </w:p>
        </w:tc>
        <w:tc>
          <w:tcPr>
            <w:tcW w:w="2181" w:type="dxa"/>
            <w:vAlign w:val="top"/>
          </w:tcPr>
          <w:p>
            <w:pPr>
              <w:pStyle w:val="TableText"/>
              <w:ind w:left="787"/>
              <w:spacing w:before="52" w:line="197" w:lineRule="auto"/>
              <w:rPr/>
            </w:pPr>
            <w:r>
              <w:rPr>
                <w:spacing w:val="4"/>
              </w:rPr>
              <w:t>渣浆泵</w:t>
            </w:r>
          </w:p>
        </w:tc>
        <w:tc>
          <w:tcPr>
            <w:tcW w:w="1044" w:type="dxa"/>
            <w:vAlign w:val="top"/>
          </w:tcPr>
          <w:p>
            <w:pPr>
              <w:ind w:left="490"/>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215</w:t>
            </w:r>
          </w:p>
        </w:tc>
        <w:tc>
          <w:tcPr>
            <w:tcW w:w="1180" w:type="dxa"/>
            <w:vAlign w:val="top"/>
          </w:tcPr>
          <w:p>
            <w:pPr>
              <w:ind w:left="486"/>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249" w:type="dxa"/>
            <w:vAlign w:val="top"/>
          </w:tcPr>
          <w:p>
            <w:pPr>
              <w:ind w:left="498"/>
              <w:spacing w:before="88"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91" w:line="18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218"/>
              <w:spacing w:before="52" w:line="197" w:lineRule="auto"/>
              <w:rPr/>
            </w:pPr>
            <w:r>
              <w:rPr>
                <w:spacing w:val="7"/>
              </w:rPr>
              <w:t>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52" w:line="197"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157"/>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16.2</w:t>
            </w:r>
          </w:p>
        </w:tc>
        <w:tc>
          <w:tcPr>
            <w:tcW w:w="2181" w:type="dxa"/>
            <w:vAlign w:val="top"/>
          </w:tcPr>
          <w:p>
            <w:pPr>
              <w:pStyle w:val="TableText"/>
              <w:ind w:left="787"/>
              <w:spacing w:before="54" w:line="196" w:lineRule="auto"/>
              <w:rPr/>
            </w:pPr>
            <w:r>
              <w:rPr>
                <w:spacing w:val="4"/>
              </w:rPr>
              <w:t>渣浆泵</w:t>
            </w:r>
          </w:p>
        </w:tc>
        <w:tc>
          <w:tcPr>
            <w:tcW w:w="1044" w:type="dxa"/>
            <w:vAlign w:val="top"/>
          </w:tcPr>
          <w:p>
            <w:pPr>
              <w:ind w:left="490"/>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217</w:t>
            </w:r>
          </w:p>
        </w:tc>
        <w:tc>
          <w:tcPr>
            <w:tcW w:w="1180" w:type="dxa"/>
            <w:vAlign w:val="top"/>
          </w:tcPr>
          <w:p>
            <w:pPr>
              <w:ind w:left="486"/>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249" w:type="dxa"/>
            <w:vAlign w:val="top"/>
          </w:tcPr>
          <w:p>
            <w:pPr>
              <w:ind w:left="498"/>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93"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218"/>
              <w:spacing w:before="54" w:line="196" w:lineRule="auto"/>
              <w:rPr/>
            </w:pPr>
            <w:r>
              <w:rPr>
                <w:spacing w:val="7"/>
              </w:rPr>
              <w:t>尾矿过滤车间</w:t>
            </w:r>
          </w:p>
        </w:tc>
        <w:tc>
          <w:tcPr>
            <w:tcW w:w="2679" w:type="dxa"/>
            <w:vAlign w:val="top"/>
            <w:vMerge w:val="continue"/>
            <w:tcBorders>
              <w:bottom w:val="nil"/>
              <w:top w:val="nil"/>
            </w:tcBorders>
          </w:tcPr>
          <w:p>
            <w:pPr>
              <w:rPr>
                <w:rFonts w:ascii="Arial"/>
                <w:sz w:val="21"/>
              </w:rPr>
            </w:pPr>
            <w:r/>
          </w:p>
        </w:tc>
        <w:tc>
          <w:tcPr>
            <w:tcW w:w="1170" w:type="dxa"/>
            <w:vAlign w:val="top"/>
            <w:tcBorders>
              <w:right w:val="nil"/>
            </w:tcBorders>
          </w:tcPr>
          <w:p>
            <w:pPr>
              <w:pStyle w:val="TableText"/>
              <w:ind w:left="252"/>
              <w:spacing w:before="54" w:line="196" w:lineRule="auto"/>
              <w:rPr/>
            </w:pPr>
            <w:r>
              <w:rPr>
                <w:spacing w:val="3"/>
              </w:rPr>
              <w:t>昼</w:t>
            </w:r>
            <w:r>
              <w:rPr>
                <w:rFonts w:ascii="Times New Roman" w:hAnsi="Times New Roman" w:eastAsia="Times New Roman" w:cs="Times New Roman"/>
                <w:spacing w:val="3"/>
              </w:rPr>
              <w:t>/</w:t>
            </w:r>
            <w:r>
              <w:rPr>
                <w:spacing w:val="3"/>
              </w:rPr>
              <w:t>夜间</w:t>
            </w:r>
          </w:p>
        </w:tc>
      </w:tr>
      <w:tr>
        <w:trPr>
          <w:trHeight w:val="298" w:hRule="atLeast"/>
        </w:trPr>
        <w:tc>
          <w:tcPr>
            <w:tcW w:w="637" w:type="dxa"/>
            <w:vAlign w:val="top"/>
            <w:tcBorders>
              <w:left w:val="nil"/>
              <w:bottom w:val="single" w:color="000000" w:sz="10" w:space="0"/>
            </w:tcBorders>
          </w:tcPr>
          <w:p>
            <w:pPr>
              <w:ind w:left="23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181" w:type="dxa"/>
            <w:vAlign w:val="top"/>
            <w:tcBorders>
              <w:bottom w:val="single" w:color="000000" w:sz="10" w:space="0"/>
            </w:tcBorders>
          </w:tcPr>
          <w:p>
            <w:pPr>
              <w:pStyle w:val="TableText"/>
              <w:ind w:left="890"/>
              <w:spacing w:before="56" w:line="214" w:lineRule="auto"/>
              <w:rPr/>
            </w:pPr>
            <w:r>
              <w:rPr>
                <w:spacing w:val="1"/>
              </w:rPr>
              <w:t>胶泵</w:t>
            </w:r>
          </w:p>
        </w:tc>
        <w:tc>
          <w:tcPr>
            <w:tcW w:w="1044" w:type="dxa"/>
            <w:vAlign w:val="top"/>
            <w:tcBorders>
              <w:bottom w:val="single" w:color="000000" w:sz="10" w:space="0"/>
            </w:tcBorders>
          </w:tcPr>
          <w:p>
            <w:pPr>
              <w:ind w:left="49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Borders>
              <w:bottom w:val="single" w:color="000000" w:sz="10" w:space="0"/>
            </w:tcBorders>
          </w:tcPr>
          <w:p>
            <w:pPr>
              <w:ind w:left="41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265</w:t>
            </w:r>
          </w:p>
        </w:tc>
        <w:tc>
          <w:tcPr>
            <w:tcW w:w="1180" w:type="dxa"/>
            <w:vAlign w:val="top"/>
            <w:tcBorders>
              <w:bottom w:val="single" w:color="000000" w:sz="10" w:space="0"/>
            </w:tcBorders>
          </w:tcPr>
          <w:p>
            <w:pPr>
              <w:ind w:left="49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249" w:type="dxa"/>
            <w:vAlign w:val="top"/>
            <w:tcBorders>
              <w:bottom w:val="single" w:color="000000" w:sz="10" w:space="0"/>
            </w:tcBorders>
          </w:tcPr>
          <w:p>
            <w:pPr>
              <w:ind w:left="49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Borders>
              <w:bottom w:val="single" w:color="000000" w:sz="10" w:space="0"/>
            </w:tcBorders>
          </w:tcPr>
          <w:p>
            <w:pPr>
              <w:ind w:left="53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672" w:type="dxa"/>
            <w:vAlign w:val="top"/>
            <w:tcBorders>
              <w:bottom w:val="single" w:color="000000" w:sz="10" w:space="0"/>
            </w:tcBorders>
          </w:tcPr>
          <w:p>
            <w:pPr>
              <w:pStyle w:val="TableText"/>
              <w:ind w:left="216"/>
              <w:spacing w:before="56" w:line="214" w:lineRule="auto"/>
              <w:rPr/>
            </w:pPr>
            <w:r>
              <w:rPr>
                <w:spacing w:val="7"/>
              </w:rPr>
              <w:t>精矿过滤车间</w:t>
            </w:r>
          </w:p>
        </w:tc>
        <w:tc>
          <w:tcPr>
            <w:tcW w:w="2679" w:type="dxa"/>
            <w:vAlign w:val="top"/>
            <w:vMerge w:val="continue"/>
            <w:tcBorders>
              <w:bottom w:val="single" w:color="000000" w:sz="10" w:space="0"/>
              <w:top w:val="nil"/>
            </w:tcBorders>
          </w:tcPr>
          <w:p>
            <w:pPr>
              <w:rPr>
                <w:rFonts w:ascii="Arial"/>
                <w:sz w:val="21"/>
              </w:rPr>
            </w:pPr>
            <w:r/>
          </w:p>
        </w:tc>
        <w:tc>
          <w:tcPr>
            <w:tcW w:w="1170" w:type="dxa"/>
            <w:vAlign w:val="top"/>
            <w:tcBorders>
              <w:right w:val="nil"/>
              <w:bottom w:val="single" w:color="000000" w:sz="10" w:space="0"/>
            </w:tcBorders>
          </w:tcPr>
          <w:p>
            <w:pPr>
              <w:pStyle w:val="TableText"/>
              <w:ind w:left="252"/>
              <w:spacing w:before="56" w:line="214" w:lineRule="auto"/>
              <w:rPr/>
            </w:pPr>
            <w:r>
              <w:rPr>
                <w:spacing w:val="3"/>
              </w:rPr>
              <w:t>昼</w:t>
            </w:r>
            <w:r>
              <w:rPr>
                <w:rFonts w:ascii="Times New Roman" w:hAnsi="Times New Roman" w:eastAsia="Times New Roman" w:cs="Times New Roman"/>
                <w:spacing w:val="3"/>
              </w:rPr>
              <w:t>/</w:t>
            </w:r>
            <w:r>
              <w:rPr>
                <w:spacing w:val="3"/>
              </w:rPr>
              <w:t>夜间</w:t>
            </w:r>
          </w:p>
        </w:tc>
      </w:tr>
    </w:tbl>
    <w:p>
      <w:pPr>
        <w:pStyle w:val="BodyText"/>
        <w:rPr/>
      </w:pPr>
      <w:r/>
    </w:p>
    <w:p>
      <w:pPr>
        <w:sectPr>
          <w:headerReference w:type="default" r:id="rId192"/>
          <w:footerReference w:type="default" r:id="rId193"/>
          <w:pgSz w:w="16839" w:h="11911"/>
          <w:pgMar w:top="1140" w:right="1320" w:bottom="1147" w:left="1309" w:header="1130" w:footer="984"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20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7"/>
        <w:gridCol w:w="2181"/>
        <w:gridCol w:w="1044"/>
        <w:gridCol w:w="1143"/>
        <w:gridCol w:w="1180"/>
        <w:gridCol w:w="1249"/>
        <w:gridCol w:w="1254"/>
        <w:gridCol w:w="1672"/>
        <w:gridCol w:w="2679"/>
        <w:gridCol w:w="1170"/>
      </w:tblGrid>
      <w:tr>
        <w:trPr>
          <w:trHeight w:val="281" w:hRule="atLeast"/>
        </w:trPr>
        <w:tc>
          <w:tcPr>
            <w:tcW w:w="637" w:type="dxa"/>
            <w:vAlign w:val="top"/>
            <w:vMerge w:val="restart"/>
            <w:tcBorders>
              <w:left w:val="nil"/>
              <w:top w:val="single" w:color="000000" w:sz="10" w:space="0"/>
              <w:bottom w:val="nil"/>
            </w:tcBorders>
          </w:tcPr>
          <w:p>
            <w:pPr>
              <w:pStyle w:val="TableText"/>
              <w:ind w:left="120"/>
              <w:spacing w:before="171" w:line="231" w:lineRule="auto"/>
              <w:rPr/>
            </w:pPr>
            <w:r>
              <w:rPr>
                <w:spacing w:val="2"/>
              </w:rPr>
              <w:t>序号</w:t>
            </w:r>
          </w:p>
        </w:tc>
        <w:tc>
          <w:tcPr>
            <w:tcW w:w="2181" w:type="dxa"/>
            <w:vAlign w:val="top"/>
            <w:vMerge w:val="restart"/>
            <w:tcBorders>
              <w:top w:val="single" w:color="000000" w:sz="10" w:space="0"/>
              <w:bottom w:val="nil"/>
            </w:tcBorders>
          </w:tcPr>
          <w:p>
            <w:pPr>
              <w:pStyle w:val="TableText"/>
              <w:ind w:left="680"/>
              <w:spacing w:before="171" w:line="229" w:lineRule="auto"/>
              <w:rPr/>
            </w:pPr>
            <w:r>
              <w:rPr>
                <w:spacing w:val="6"/>
              </w:rPr>
              <w:t>声源名称</w:t>
            </w:r>
          </w:p>
        </w:tc>
        <w:tc>
          <w:tcPr>
            <w:tcW w:w="1044" w:type="dxa"/>
            <w:vAlign w:val="top"/>
            <w:vMerge w:val="restart"/>
            <w:tcBorders>
              <w:top w:val="single" w:color="000000" w:sz="10" w:space="0"/>
              <w:bottom w:val="nil"/>
            </w:tcBorders>
          </w:tcPr>
          <w:p>
            <w:pPr>
              <w:pStyle w:val="TableText"/>
              <w:ind w:left="189"/>
              <w:spacing w:before="171" w:line="229" w:lineRule="auto"/>
              <w:rPr/>
            </w:pPr>
            <w:r>
              <w:rPr>
                <w:spacing w:val="4"/>
              </w:rPr>
              <w:t>数量</w:t>
            </w:r>
            <w:r>
              <w:rPr>
                <w:rFonts w:ascii="Times New Roman" w:hAnsi="Times New Roman" w:eastAsia="Times New Roman" w:cs="Times New Roman"/>
                <w:spacing w:val="4"/>
              </w:rPr>
              <w:t>/</w:t>
            </w:r>
            <w:r>
              <w:rPr>
                <w:spacing w:val="4"/>
              </w:rPr>
              <w:t>台</w:t>
            </w:r>
          </w:p>
        </w:tc>
        <w:tc>
          <w:tcPr>
            <w:tcW w:w="3572" w:type="dxa"/>
            <w:vAlign w:val="top"/>
            <w:gridSpan w:val="3"/>
            <w:tcBorders>
              <w:top w:val="single" w:color="000000" w:sz="10" w:space="0"/>
            </w:tcBorders>
          </w:tcPr>
          <w:p>
            <w:pPr>
              <w:pStyle w:val="TableText"/>
              <w:ind w:left="1067"/>
              <w:spacing w:before="36" w:line="216" w:lineRule="auto"/>
              <w:rPr>
                <w:rFonts w:ascii="Times New Roman" w:hAnsi="Times New Roman" w:eastAsia="Times New Roman" w:cs="Times New Roman"/>
              </w:rPr>
            </w:pPr>
            <w:r>
              <w:rPr>
                <w:spacing w:val="5"/>
              </w:rPr>
              <w:t>空间相对位置</w:t>
            </w:r>
            <w:r>
              <w:rPr>
                <w:rFonts w:ascii="Times New Roman" w:hAnsi="Times New Roman" w:eastAsia="Times New Roman" w:cs="Times New Roman"/>
                <w:spacing w:val="5"/>
              </w:rPr>
              <w:t>/m</w:t>
            </w:r>
          </w:p>
        </w:tc>
        <w:tc>
          <w:tcPr>
            <w:tcW w:w="1254" w:type="dxa"/>
            <w:vAlign w:val="top"/>
            <w:vMerge w:val="restart"/>
            <w:tcBorders>
              <w:top w:val="single" w:color="000000" w:sz="10" w:space="0"/>
              <w:bottom w:val="nil"/>
            </w:tcBorders>
          </w:tcPr>
          <w:p>
            <w:pPr>
              <w:pStyle w:val="TableText"/>
              <w:ind w:left="187" w:right="206" w:firstLine="29"/>
              <w:spacing w:before="36" w:line="234" w:lineRule="auto"/>
              <w:rPr/>
            </w:pPr>
            <w:r>
              <w:rPr>
                <w:spacing w:val="6"/>
              </w:rPr>
              <w:t>声源源强</w:t>
            </w:r>
            <w:r>
              <w:rPr>
                <w:rFonts w:ascii="Times New Roman" w:hAnsi="Times New Roman" w:eastAsia="Times New Roman" w:cs="Times New Roman"/>
                <w:spacing w:val="5"/>
              </w:rPr>
              <w:t>/</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c>
          <w:tcPr>
            <w:tcW w:w="1672" w:type="dxa"/>
            <w:vAlign w:val="top"/>
            <w:vMerge w:val="restart"/>
            <w:tcBorders>
              <w:top w:val="single" w:color="000000" w:sz="10" w:space="0"/>
              <w:bottom w:val="nil"/>
            </w:tcBorders>
          </w:tcPr>
          <w:p>
            <w:pPr>
              <w:pStyle w:val="TableText"/>
              <w:ind w:left="428"/>
              <w:spacing w:before="171" w:line="230" w:lineRule="auto"/>
              <w:rPr/>
            </w:pPr>
            <w:r>
              <w:rPr>
                <w:spacing w:val="5"/>
              </w:rPr>
              <w:t>放置位置</w:t>
            </w:r>
          </w:p>
        </w:tc>
        <w:tc>
          <w:tcPr>
            <w:tcW w:w="2679" w:type="dxa"/>
            <w:vAlign w:val="top"/>
            <w:vMerge w:val="restart"/>
            <w:tcBorders>
              <w:top w:val="single" w:color="000000" w:sz="10" w:space="0"/>
              <w:bottom w:val="nil"/>
            </w:tcBorders>
          </w:tcPr>
          <w:p>
            <w:pPr>
              <w:pStyle w:val="TableText"/>
              <w:ind w:left="931"/>
              <w:spacing w:before="171" w:line="230" w:lineRule="auto"/>
              <w:rPr/>
            </w:pPr>
            <w:r>
              <w:rPr>
                <w:spacing w:val="5"/>
              </w:rPr>
              <w:t>控制措施</w:t>
            </w:r>
          </w:p>
        </w:tc>
        <w:tc>
          <w:tcPr>
            <w:tcW w:w="1170" w:type="dxa"/>
            <w:vAlign w:val="top"/>
            <w:vMerge w:val="restart"/>
            <w:tcBorders>
              <w:right w:val="nil"/>
              <w:top w:val="single" w:color="000000" w:sz="10" w:space="0"/>
              <w:bottom w:val="nil"/>
            </w:tcBorders>
          </w:tcPr>
          <w:p>
            <w:pPr>
              <w:pStyle w:val="TableText"/>
              <w:ind w:left="177"/>
              <w:spacing w:before="171" w:line="229" w:lineRule="auto"/>
              <w:rPr/>
            </w:pPr>
            <w:r>
              <w:rPr>
                <w:spacing w:val="5"/>
              </w:rPr>
              <w:t>运行时段</w:t>
            </w:r>
          </w:p>
        </w:tc>
      </w:tr>
      <w:tr>
        <w:trPr>
          <w:trHeight w:val="268" w:hRule="atLeast"/>
        </w:trPr>
        <w:tc>
          <w:tcPr>
            <w:tcW w:w="637" w:type="dxa"/>
            <w:vAlign w:val="top"/>
            <w:vMerge w:val="continue"/>
            <w:tcBorders>
              <w:left w:val="nil"/>
              <w:top w:val="nil"/>
            </w:tcBorders>
          </w:tcPr>
          <w:p>
            <w:pPr>
              <w:rPr>
                <w:rFonts w:ascii="Arial"/>
                <w:sz w:val="21"/>
              </w:rPr>
            </w:pPr>
            <w:r/>
          </w:p>
        </w:tc>
        <w:tc>
          <w:tcPr>
            <w:tcW w:w="2181" w:type="dxa"/>
            <w:vAlign w:val="top"/>
            <w:vMerge w:val="continue"/>
            <w:tcBorders>
              <w:top w:val="nil"/>
            </w:tcBorders>
          </w:tcPr>
          <w:p>
            <w:pPr>
              <w:rPr>
                <w:rFonts w:ascii="Arial"/>
                <w:sz w:val="21"/>
              </w:rPr>
            </w:pPr>
            <w:r/>
          </w:p>
        </w:tc>
        <w:tc>
          <w:tcPr>
            <w:tcW w:w="1044" w:type="dxa"/>
            <w:vAlign w:val="top"/>
            <w:vMerge w:val="continue"/>
            <w:tcBorders>
              <w:top w:val="nil"/>
            </w:tcBorders>
          </w:tcPr>
          <w:p>
            <w:pPr>
              <w:rPr>
                <w:rFonts w:ascii="Arial"/>
                <w:sz w:val="21"/>
              </w:rPr>
            </w:pPr>
            <w:r/>
          </w:p>
        </w:tc>
        <w:tc>
          <w:tcPr>
            <w:tcW w:w="1143" w:type="dxa"/>
            <w:vAlign w:val="top"/>
          </w:tcPr>
          <w:p>
            <w:pPr>
              <w:ind w:left="494"/>
              <w:spacing w:before="6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1180" w:type="dxa"/>
            <w:vAlign w:val="top"/>
          </w:tcPr>
          <w:p>
            <w:pPr>
              <w:ind w:left="513"/>
              <w:spacing w:before="6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1249" w:type="dxa"/>
            <w:vAlign w:val="top"/>
          </w:tcPr>
          <w:p>
            <w:pPr>
              <w:ind w:left="560"/>
              <w:spacing w:before="6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1254" w:type="dxa"/>
            <w:vAlign w:val="top"/>
            <w:vMerge w:val="continue"/>
            <w:tcBorders>
              <w:top w:val="nil"/>
            </w:tcBorders>
          </w:tcPr>
          <w:p>
            <w:pPr>
              <w:rPr>
                <w:rFonts w:ascii="Arial"/>
                <w:sz w:val="21"/>
              </w:rPr>
            </w:pPr>
            <w:r/>
          </w:p>
        </w:tc>
        <w:tc>
          <w:tcPr>
            <w:tcW w:w="1672" w:type="dxa"/>
            <w:vAlign w:val="top"/>
            <w:vMerge w:val="continue"/>
            <w:tcBorders>
              <w:top w:val="nil"/>
            </w:tcBorders>
          </w:tcPr>
          <w:p>
            <w:pPr>
              <w:rPr>
                <w:rFonts w:ascii="Arial"/>
                <w:sz w:val="21"/>
              </w:rPr>
            </w:pPr>
            <w:r/>
          </w:p>
        </w:tc>
        <w:tc>
          <w:tcPr>
            <w:tcW w:w="2679" w:type="dxa"/>
            <w:vAlign w:val="top"/>
            <w:vMerge w:val="continue"/>
            <w:tcBorders>
              <w:top w:val="nil"/>
            </w:tcBorders>
          </w:tcPr>
          <w:p>
            <w:pPr>
              <w:rPr>
                <w:rFonts w:ascii="Arial"/>
                <w:sz w:val="21"/>
              </w:rPr>
            </w:pPr>
            <w:r/>
          </w:p>
        </w:tc>
        <w:tc>
          <w:tcPr>
            <w:tcW w:w="1170" w:type="dxa"/>
            <w:vAlign w:val="top"/>
            <w:vMerge w:val="continue"/>
            <w:tcBorders>
              <w:right w:val="nil"/>
              <w:top w:val="nil"/>
            </w:tcBorders>
          </w:tcPr>
          <w:p>
            <w:pPr>
              <w:rPr>
                <w:rFonts w:ascii="Arial"/>
                <w:sz w:val="21"/>
              </w:rPr>
            </w:pPr>
            <w:r/>
          </w:p>
        </w:tc>
      </w:tr>
      <w:tr>
        <w:trPr>
          <w:trHeight w:val="276" w:hRule="atLeast"/>
        </w:trPr>
        <w:tc>
          <w:tcPr>
            <w:tcW w:w="637" w:type="dxa"/>
            <w:vAlign w:val="top"/>
            <w:tcBorders>
              <w:left w:val="nil"/>
            </w:tcBorders>
          </w:tcPr>
          <w:p>
            <w:pPr>
              <w:ind w:left="237"/>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181" w:type="dxa"/>
            <w:vAlign w:val="top"/>
          </w:tcPr>
          <w:p>
            <w:pPr>
              <w:pStyle w:val="TableText"/>
              <w:ind w:left="890"/>
              <w:spacing w:before="31" w:line="216" w:lineRule="auto"/>
              <w:rPr/>
            </w:pPr>
            <w:r>
              <w:rPr>
                <w:spacing w:val="1"/>
              </w:rPr>
              <w:t>胶泵</w:t>
            </w:r>
          </w:p>
        </w:tc>
        <w:tc>
          <w:tcPr>
            <w:tcW w:w="1044" w:type="dxa"/>
            <w:vAlign w:val="top"/>
          </w:tcPr>
          <w:p>
            <w:pPr>
              <w:ind w:left="490"/>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223</w:t>
            </w:r>
          </w:p>
        </w:tc>
        <w:tc>
          <w:tcPr>
            <w:tcW w:w="1180" w:type="dxa"/>
            <w:vAlign w:val="top"/>
          </w:tcPr>
          <w:p>
            <w:pPr>
              <w:ind w:left="486"/>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249" w:type="dxa"/>
            <w:vAlign w:val="top"/>
          </w:tcPr>
          <w:p>
            <w:pPr>
              <w:ind w:left="498"/>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31"/>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672" w:type="dxa"/>
            <w:vAlign w:val="top"/>
          </w:tcPr>
          <w:p>
            <w:pPr>
              <w:pStyle w:val="TableText"/>
              <w:ind w:left="218"/>
              <w:spacing w:before="31" w:line="216" w:lineRule="auto"/>
              <w:rPr/>
            </w:pPr>
            <w:r>
              <w:rPr>
                <w:spacing w:val="7"/>
              </w:rPr>
              <w:t>尾矿过滤车间</w:t>
            </w:r>
          </w:p>
        </w:tc>
        <w:tc>
          <w:tcPr>
            <w:tcW w:w="2679" w:type="dxa"/>
            <w:vAlign w:val="top"/>
            <w:tcBorders>
              <w:bottom w:val="nil"/>
            </w:tcBorders>
          </w:tcPr>
          <w:p>
            <w:pPr>
              <w:rPr>
                <w:rFonts w:ascii="Arial"/>
                <w:sz w:val="21"/>
              </w:rPr>
            </w:pPr>
            <w:r/>
          </w:p>
        </w:tc>
        <w:tc>
          <w:tcPr>
            <w:tcW w:w="1170" w:type="dxa"/>
            <w:vAlign w:val="top"/>
            <w:tcBorders>
              <w:right w:val="nil"/>
            </w:tcBorders>
          </w:tcPr>
          <w:p>
            <w:pPr>
              <w:pStyle w:val="TableText"/>
              <w:ind w:left="252"/>
              <w:spacing w:before="31" w:line="216"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37"/>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181" w:type="dxa"/>
            <w:vAlign w:val="top"/>
          </w:tcPr>
          <w:p>
            <w:pPr>
              <w:pStyle w:val="TableText"/>
              <w:ind w:left="393"/>
              <w:spacing w:before="31" w:line="216" w:lineRule="auto"/>
              <w:rPr/>
            </w:pPr>
            <w:r>
              <w:rPr>
                <w:spacing w:val="4"/>
              </w:rPr>
              <w:t>中心传动浓缩机</w:t>
            </w:r>
          </w:p>
        </w:tc>
        <w:tc>
          <w:tcPr>
            <w:tcW w:w="1044" w:type="dxa"/>
            <w:vAlign w:val="top"/>
          </w:tcPr>
          <w:p>
            <w:pPr>
              <w:ind w:left="490"/>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260</w:t>
            </w:r>
          </w:p>
        </w:tc>
        <w:tc>
          <w:tcPr>
            <w:tcW w:w="1180" w:type="dxa"/>
            <w:vAlign w:val="top"/>
          </w:tcPr>
          <w:p>
            <w:pPr>
              <w:ind w:left="491"/>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249" w:type="dxa"/>
            <w:vAlign w:val="top"/>
          </w:tcPr>
          <w:p>
            <w:pPr>
              <w:ind w:left="594"/>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432"/>
              <w:spacing w:before="31" w:line="216" w:lineRule="auto"/>
              <w:rPr/>
            </w:pPr>
            <w:r>
              <w:rPr>
                <w:spacing w:val="4"/>
              </w:rPr>
              <w:t>浓缩车间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1" w:line="216"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16"/>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181" w:type="dxa"/>
            <w:vAlign w:val="top"/>
          </w:tcPr>
          <w:p>
            <w:pPr>
              <w:pStyle w:val="TableText"/>
              <w:ind w:left="476"/>
              <w:spacing w:before="34" w:line="215" w:lineRule="auto"/>
              <w:rPr/>
            </w:pPr>
            <w:r>
              <w:rPr>
                <w:spacing w:val="6"/>
              </w:rPr>
              <w:t>高频振动细筛</w:t>
            </w:r>
          </w:p>
        </w:tc>
        <w:tc>
          <w:tcPr>
            <w:tcW w:w="1044" w:type="dxa"/>
            <w:vAlign w:val="top"/>
          </w:tcPr>
          <w:p>
            <w:pPr>
              <w:ind w:left="490"/>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174</w:t>
            </w:r>
          </w:p>
        </w:tc>
        <w:tc>
          <w:tcPr>
            <w:tcW w:w="1180" w:type="dxa"/>
            <w:vAlign w:val="top"/>
          </w:tcPr>
          <w:p>
            <w:pPr>
              <w:ind w:left="495"/>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490"/>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672" w:type="dxa"/>
            <w:vAlign w:val="top"/>
          </w:tcPr>
          <w:p>
            <w:pPr>
              <w:pStyle w:val="TableText"/>
              <w:ind w:left="430"/>
              <w:spacing w:before="34" w:line="215" w:lineRule="auto"/>
              <w:rPr/>
            </w:pPr>
            <w:r>
              <w:rPr>
                <w:spacing w:val="5"/>
              </w:rPr>
              <w:t>筛分车间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4" w:line="215"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16"/>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181" w:type="dxa"/>
            <w:vAlign w:val="top"/>
          </w:tcPr>
          <w:p>
            <w:pPr>
              <w:pStyle w:val="TableText"/>
              <w:ind w:left="575"/>
              <w:spacing w:before="33" w:line="215" w:lineRule="auto"/>
              <w:rPr/>
            </w:pPr>
            <w:r>
              <w:rPr>
                <w:spacing w:val="7"/>
              </w:rPr>
              <w:t>旋风除尘器</w:t>
            </w:r>
          </w:p>
        </w:tc>
        <w:tc>
          <w:tcPr>
            <w:tcW w:w="1044" w:type="dxa"/>
            <w:vAlign w:val="top"/>
          </w:tcPr>
          <w:p>
            <w:pPr>
              <w:ind w:left="49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107</w:t>
            </w:r>
          </w:p>
        </w:tc>
        <w:tc>
          <w:tcPr>
            <w:tcW w:w="1180" w:type="dxa"/>
            <w:vAlign w:val="top"/>
          </w:tcPr>
          <w:p>
            <w:pPr>
              <w:ind w:left="49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249" w:type="dxa"/>
            <w:vAlign w:val="top"/>
          </w:tcPr>
          <w:p>
            <w:pPr>
              <w:ind w:left="51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254" w:type="dxa"/>
            <w:vAlign w:val="top"/>
          </w:tcPr>
          <w:p>
            <w:pPr>
              <w:ind w:left="531"/>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672" w:type="dxa"/>
            <w:vAlign w:val="top"/>
          </w:tcPr>
          <w:p>
            <w:pPr>
              <w:pStyle w:val="TableText"/>
              <w:ind w:left="322"/>
              <w:spacing w:before="33" w:line="215" w:lineRule="auto"/>
              <w:rPr/>
            </w:pPr>
            <w:r>
              <w:rPr>
                <w:spacing w:val="7"/>
              </w:rPr>
              <w:t>粗破碎车间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3" w:line="215"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16"/>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181" w:type="dxa"/>
            <w:vAlign w:val="top"/>
          </w:tcPr>
          <w:p>
            <w:pPr>
              <w:pStyle w:val="TableText"/>
              <w:ind w:left="575"/>
              <w:spacing w:before="35" w:line="214" w:lineRule="auto"/>
              <w:rPr/>
            </w:pPr>
            <w:r>
              <w:rPr>
                <w:spacing w:val="7"/>
              </w:rPr>
              <w:t>旋风除尘器</w:t>
            </w:r>
          </w:p>
        </w:tc>
        <w:tc>
          <w:tcPr>
            <w:tcW w:w="1044"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143</w:t>
            </w:r>
          </w:p>
        </w:tc>
        <w:tc>
          <w:tcPr>
            <w:tcW w:w="1180" w:type="dxa"/>
            <w:vAlign w:val="top"/>
          </w:tcPr>
          <w:p>
            <w:pPr>
              <w:ind w:left="49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1249" w:type="dxa"/>
            <w:vAlign w:val="top"/>
          </w:tcPr>
          <w:p>
            <w:pPr>
              <w:ind w:left="51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254" w:type="dxa"/>
            <w:vAlign w:val="top"/>
          </w:tcPr>
          <w:p>
            <w:pPr>
              <w:ind w:left="53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672" w:type="dxa"/>
            <w:vAlign w:val="top"/>
          </w:tcPr>
          <w:p>
            <w:pPr>
              <w:pStyle w:val="TableText"/>
              <w:ind w:left="326"/>
              <w:spacing w:before="35" w:line="214" w:lineRule="auto"/>
              <w:rPr/>
            </w:pPr>
            <w:r>
              <w:rPr>
                <w:spacing w:val="6"/>
              </w:rPr>
              <w:t>细破碎车间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5" w:line="214"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16"/>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2181" w:type="dxa"/>
            <w:vAlign w:val="top"/>
          </w:tcPr>
          <w:p>
            <w:pPr>
              <w:pStyle w:val="TableText"/>
              <w:ind w:left="575"/>
              <w:spacing w:before="36" w:line="213" w:lineRule="auto"/>
              <w:rPr/>
            </w:pPr>
            <w:r>
              <w:rPr>
                <w:spacing w:val="7"/>
              </w:rPr>
              <w:t>旋风除尘器</w:t>
            </w:r>
          </w:p>
        </w:tc>
        <w:tc>
          <w:tcPr>
            <w:tcW w:w="1044" w:type="dxa"/>
            <w:vAlign w:val="top"/>
          </w:tcPr>
          <w:p>
            <w:pPr>
              <w:ind w:left="49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206</w:t>
            </w:r>
          </w:p>
        </w:tc>
        <w:tc>
          <w:tcPr>
            <w:tcW w:w="1180" w:type="dxa"/>
            <w:vAlign w:val="top"/>
          </w:tcPr>
          <w:p>
            <w:pPr>
              <w:ind w:left="49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1249" w:type="dxa"/>
            <w:vAlign w:val="top"/>
          </w:tcPr>
          <w:p>
            <w:pPr>
              <w:ind w:left="51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254" w:type="dxa"/>
            <w:vAlign w:val="top"/>
          </w:tcPr>
          <w:p>
            <w:pPr>
              <w:ind w:left="531"/>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672" w:type="dxa"/>
            <w:vAlign w:val="top"/>
          </w:tcPr>
          <w:p>
            <w:pPr>
              <w:pStyle w:val="TableText"/>
              <w:ind w:left="531"/>
              <w:spacing w:before="36" w:line="213" w:lineRule="auto"/>
              <w:rPr/>
            </w:pPr>
            <w:r>
              <w:rPr>
                <w:spacing w:val="4"/>
              </w:rPr>
              <w:t>粉矿仓</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6" w:line="213"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16"/>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2181" w:type="dxa"/>
            <w:vAlign w:val="top"/>
          </w:tcPr>
          <w:p>
            <w:pPr>
              <w:pStyle w:val="TableText"/>
              <w:ind w:left="575"/>
              <w:spacing w:before="35" w:line="214" w:lineRule="auto"/>
              <w:rPr/>
            </w:pPr>
            <w:r>
              <w:rPr>
                <w:spacing w:val="7"/>
              </w:rPr>
              <w:t>旋风除尘器</w:t>
            </w:r>
          </w:p>
        </w:tc>
        <w:tc>
          <w:tcPr>
            <w:tcW w:w="1044" w:type="dxa"/>
            <w:vAlign w:val="top"/>
          </w:tcPr>
          <w:p>
            <w:pPr>
              <w:ind w:left="49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182</w:t>
            </w:r>
          </w:p>
        </w:tc>
        <w:tc>
          <w:tcPr>
            <w:tcW w:w="1180" w:type="dxa"/>
            <w:vAlign w:val="top"/>
          </w:tcPr>
          <w:p>
            <w:pPr>
              <w:ind w:left="49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1249" w:type="dxa"/>
            <w:vAlign w:val="top"/>
          </w:tcPr>
          <w:p>
            <w:pPr>
              <w:ind w:left="51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254" w:type="dxa"/>
            <w:vAlign w:val="top"/>
          </w:tcPr>
          <w:p>
            <w:pPr>
              <w:ind w:left="53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672" w:type="dxa"/>
            <w:vAlign w:val="top"/>
          </w:tcPr>
          <w:p>
            <w:pPr>
              <w:pStyle w:val="TableText"/>
              <w:ind w:left="430"/>
              <w:spacing w:before="35" w:line="214" w:lineRule="auto"/>
              <w:rPr/>
            </w:pPr>
            <w:r>
              <w:rPr>
                <w:spacing w:val="5"/>
              </w:rPr>
              <w:t>筛分车间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5" w:line="214"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16"/>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181" w:type="dxa"/>
            <w:vAlign w:val="top"/>
          </w:tcPr>
          <w:p>
            <w:pPr>
              <w:pStyle w:val="TableText"/>
              <w:ind w:left="891"/>
              <w:spacing w:before="36" w:line="212" w:lineRule="auto"/>
              <w:rPr/>
            </w:pPr>
            <w:r>
              <w:rPr>
                <w:spacing w:val="1"/>
              </w:rPr>
              <w:t>风机</w:t>
            </w:r>
          </w:p>
        </w:tc>
        <w:tc>
          <w:tcPr>
            <w:tcW w:w="1044" w:type="dxa"/>
            <w:vAlign w:val="top"/>
          </w:tcPr>
          <w:p>
            <w:pPr>
              <w:ind w:left="49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107</w:t>
            </w:r>
          </w:p>
        </w:tc>
        <w:tc>
          <w:tcPr>
            <w:tcW w:w="1180" w:type="dxa"/>
            <w:vAlign w:val="top"/>
          </w:tcPr>
          <w:p>
            <w:pPr>
              <w:ind w:left="49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c>
          <w:tcPr>
            <w:tcW w:w="1249" w:type="dxa"/>
            <w:vAlign w:val="top"/>
          </w:tcPr>
          <w:p>
            <w:pPr>
              <w:ind w:left="594"/>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72" w:type="dxa"/>
            <w:vAlign w:val="top"/>
          </w:tcPr>
          <w:p>
            <w:pPr>
              <w:pStyle w:val="TableText"/>
              <w:ind w:left="322"/>
              <w:spacing w:before="36" w:line="212" w:lineRule="auto"/>
              <w:rPr/>
            </w:pPr>
            <w:r>
              <w:rPr>
                <w:spacing w:val="7"/>
              </w:rPr>
              <w:t>粗破碎车间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6" w:line="212"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16"/>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2181" w:type="dxa"/>
            <w:vAlign w:val="top"/>
          </w:tcPr>
          <w:p>
            <w:pPr>
              <w:pStyle w:val="TableText"/>
              <w:ind w:left="891"/>
              <w:spacing w:before="38" w:line="211" w:lineRule="auto"/>
              <w:rPr/>
            </w:pPr>
            <w:r>
              <w:rPr>
                <w:spacing w:val="1"/>
              </w:rPr>
              <w:t>风机</w:t>
            </w:r>
          </w:p>
        </w:tc>
        <w:tc>
          <w:tcPr>
            <w:tcW w:w="1044" w:type="dxa"/>
            <w:vAlign w:val="top"/>
          </w:tcPr>
          <w:p>
            <w:pPr>
              <w:ind w:left="490"/>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142</w:t>
            </w:r>
          </w:p>
        </w:tc>
        <w:tc>
          <w:tcPr>
            <w:tcW w:w="1180" w:type="dxa"/>
            <w:vAlign w:val="top"/>
          </w:tcPr>
          <w:p>
            <w:pPr>
              <w:ind w:left="49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72" w:type="dxa"/>
            <w:vAlign w:val="top"/>
          </w:tcPr>
          <w:p>
            <w:pPr>
              <w:pStyle w:val="TableText"/>
              <w:ind w:left="326"/>
              <w:spacing w:before="38" w:line="211" w:lineRule="auto"/>
              <w:rPr/>
            </w:pPr>
            <w:r>
              <w:rPr>
                <w:spacing w:val="6"/>
              </w:rPr>
              <w:t>细破碎车间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8" w:line="211"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16"/>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2181" w:type="dxa"/>
            <w:vAlign w:val="top"/>
          </w:tcPr>
          <w:p>
            <w:pPr>
              <w:pStyle w:val="TableText"/>
              <w:ind w:left="891"/>
              <w:spacing w:before="37" w:line="211" w:lineRule="auto"/>
              <w:rPr/>
            </w:pPr>
            <w:r>
              <w:rPr>
                <w:spacing w:val="1"/>
              </w:rPr>
              <w:t>风机</w:t>
            </w:r>
          </w:p>
        </w:tc>
        <w:tc>
          <w:tcPr>
            <w:tcW w:w="1044" w:type="dxa"/>
            <w:vAlign w:val="top"/>
          </w:tcPr>
          <w:p>
            <w:pPr>
              <w:ind w:left="490"/>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204</w:t>
            </w:r>
          </w:p>
        </w:tc>
        <w:tc>
          <w:tcPr>
            <w:tcW w:w="1180" w:type="dxa"/>
            <w:vAlign w:val="top"/>
          </w:tcPr>
          <w:p>
            <w:pPr>
              <w:ind w:left="490"/>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78</w:t>
            </w:r>
          </w:p>
        </w:tc>
        <w:tc>
          <w:tcPr>
            <w:tcW w:w="1249" w:type="dxa"/>
            <w:vAlign w:val="top"/>
          </w:tcPr>
          <w:p>
            <w:pPr>
              <w:ind w:left="594"/>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72" w:type="dxa"/>
            <w:vAlign w:val="top"/>
          </w:tcPr>
          <w:p>
            <w:pPr>
              <w:pStyle w:val="TableText"/>
              <w:ind w:left="531"/>
              <w:spacing w:before="37" w:line="211" w:lineRule="auto"/>
              <w:rPr/>
            </w:pPr>
            <w:r>
              <w:rPr>
                <w:spacing w:val="4"/>
              </w:rPr>
              <w:t>粉矿仓</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7" w:line="211"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16"/>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2181" w:type="dxa"/>
            <w:vAlign w:val="top"/>
          </w:tcPr>
          <w:p>
            <w:pPr>
              <w:pStyle w:val="TableText"/>
              <w:ind w:left="891"/>
              <w:spacing w:before="39" w:line="209" w:lineRule="auto"/>
              <w:rPr/>
            </w:pPr>
            <w:r>
              <w:rPr>
                <w:spacing w:val="1"/>
              </w:rPr>
              <w:t>风机</w:t>
            </w:r>
          </w:p>
        </w:tc>
        <w:tc>
          <w:tcPr>
            <w:tcW w:w="1044" w:type="dxa"/>
            <w:vAlign w:val="top"/>
          </w:tcPr>
          <w:p>
            <w:pPr>
              <w:ind w:left="49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183</w:t>
            </w:r>
          </w:p>
        </w:tc>
        <w:tc>
          <w:tcPr>
            <w:tcW w:w="1180" w:type="dxa"/>
            <w:vAlign w:val="top"/>
          </w:tcPr>
          <w:p>
            <w:pPr>
              <w:ind w:left="49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c>
          <w:tcPr>
            <w:tcW w:w="1249" w:type="dxa"/>
            <w:vAlign w:val="top"/>
          </w:tcPr>
          <w:p>
            <w:pPr>
              <w:ind w:left="59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72" w:type="dxa"/>
            <w:vAlign w:val="top"/>
          </w:tcPr>
          <w:p>
            <w:pPr>
              <w:pStyle w:val="TableText"/>
              <w:ind w:left="430"/>
              <w:spacing w:before="39" w:line="209" w:lineRule="auto"/>
              <w:rPr/>
            </w:pPr>
            <w:r>
              <w:rPr>
                <w:spacing w:val="5"/>
              </w:rPr>
              <w:t>筛分车间</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39" w:line="209"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16"/>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2181" w:type="dxa"/>
            <w:vAlign w:val="top"/>
          </w:tcPr>
          <w:p>
            <w:pPr>
              <w:pStyle w:val="TableText"/>
              <w:ind w:left="718"/>
              <w:spacing w:before="41" w:line="208" w:lineRule="auto"/>
              <w:rPr/>
            </w:pPr>
            <w:r>
              <w:rPr>
                <w:rFonts w:ascii="Times New Roman" w:hAnsi="Times New Roman" w:eastAsia="Times New Roman" w:cs="Times New Roman"/>
                <w:spacing w:val="-3"/>
              </w:rPr>
              <w:t>1</w:t>
            </w:r>
            <w:r>
              <w:rPr>
                <w:rFonts w:ascii="Times New Roman" w:hAnsi="Times New Roman" w:eastAsia="Times New Roman" w:cs="Times New Roman"/>
                <w:spacing w:val="21"/>
                <w:w w:val="101"/>
              </w:rPr>
              <w:t xml:space="preserve"> </w:t>
            </w:r>
            <w:r>
              <w:rPr>
                <w:spacing w:val="-3"/>
              </w:rPr>
              <w:t>号皮带</w:t>
            </w:r>
          </w:p>
        </w:tc>
        <w:tc>
          <w:tcPr>
            <w:tcW w:w="1044" w:type="dxa"/>
            <w:vAlign w:val="top"/>
          </w:tcPr>
          <w:p>
            <w:pPr>
              <w:ind w:left="490"/>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4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119</w:t>
            </w:r>
          </w:p>
        </w:tc>
        <w:tc>
          <w:tcPr>
            <w:tcW w:w="1180" w:type="dxa"/>
            <w:vAlign w:val="top"/>
          </w:tcPr>
          <w:p>
            <w:pPr>
              <w:ind w:left="49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391"/>
              <w:spacing w:before="41" w:line="208" w:lineRule="auto"/>
              <w:rPr/>
            </w:pPr>
            <w:r>
              <w:rPr>
                <w:spacing w:val="5"/>
              </w:rPr>
              <w:t>粗碎</w:t>
            </w:r>
            <w:r>
              <w:rPr>
                <w:rFonts w:ascii="Times New Roman" w:hAnsi="Times New Roman" w:eastAsia="Times New Roman" w:cs="Times New Roman"/>
                <w:spacing w:val="5"/>
              </w:rPr>
              <w:t>-</w:t>
            </w:r>
            <w:r>
              <w:rPr>
                <w:spacing w:val="5"/>
              </w:rPr>
              <w:t>细碎</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1" w:line="208"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21"/>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81" w:type="dxa"/>
            <w:vAlign w:val="top"/>
          </w:tcPr>
          <w:p>
            <w:pPr>
              <w:pStyle w:val="TableText"/>
              <w:ind w:left="698"/>
              <w:spacing w:before="40" w:line="208" w:lineRule="auto"/>
              <w:rPr/>
            </w:pPr>
            <w:r>
              <w:rPr>
                <w:rFonts w:ascii="Times New Roman" w:hAnsi="Times New Roman" w:eastAsia="Times New Roman" w:cs="Times New Roman"/>
                <w:spacing w:val="2"/>
              </w:rPr>
              <w:t>2</w:t>
            </w:r>
            <w:r>
              <w:rPr>
                <w:rFonts w:ascii="Times New Roman" w:hAnsi="Times New Roman" w:eastAsia="Times New Roman" w:cs="Times New Roman"/>
                <w:spacing w:val="21"/>
                <w:w w:val="101"/>
              </w:rPr>
              <w:t xml:space="preserve"> </w:t>
            </w:r>
            <w:r>
              <w:rPr>
                <w:spacing w:val="2"/>
              </w:rPr>
              <w:t>号皮带</w:t>
            </w:r>
          </w:p>
        </w:tc>
        <w:tc>
          <w:tcPr>
            <w:tcW w:w="1044" w:type="dxa"/>
            <w:vAlign w:val="top"/>
          </w:tcPr>
          <w:p>
            <w:pPr>
              <w:ind w:left="49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155</w:t>
            </w:r>
          </w:p>
        </w:tc>
        <w:tc>
          <w:tcPr>
            <w:tcW w:w="1180" w:type="dxa"/>
            <w:vAlign w:val="top"/>
          </w:tcPr>
          <w:p>
            <w:pPr>
              <w:ind w:left="49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1249" w:type="dxa"/>
            <w:vAlign w:val="top"/>
          </w:tcPr>
          <w:p>
            <w:pPr>
              <w:ind w:left="59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396"/>
              <w:spacing w:before="40" w:line="208" w:lineRule="auto"/>
              <w:rPr/>
            </w:pPr>
            <w:r>
              <w:rPr>
                <w:spacing w:val="4"/>
              </w:rPr>
              <w:t>细碎</w:t>
            </w:r>
            <w:r>
              <w:rPr>
                <w:rFonts w:ascii="Times New Roman" w:hAnsi="Times New Roman" w:eastAsia="Times New Roman" w:cs="Times New Roman"/>
                <w:spacing w:val="4"/>
              </w:rPr>
              <w:t>-</w:t>
            </w:r>
            <w:r>
              <w:rPr>
                <w:spacing w:val="4"/>
              </w:rPr>
              <w:t>筛分</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0" w:line="208"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21"/>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181" w:type="dxa"/>
            <w:vAlign w:val="top"/>
          </w:tcPr>
          <w:p>
            <w:pPr>
              <w:pStyle w:val="TableText"/>
              <w:ind w:left="702"/>
              <w:spacing w:before="42" w:line="207" w:lineRule="auto"/>
              <w:rPr/>
            </w:pPr>
            <w:r>
              <w:rPr>
                <w:rFonts w:ascii="Times New Roman" w:hAnsi="Times New Roman" w:eastAsia="Times New Roman" w:cs="Times New Roman"/>
                <w:spacing w:val="1"/>
              </w:rPr>
              <w:t>3</w:t>
            </w:r>
            <w:r>
              <w:rPr>
                <w:rFonts w:ascii="Times New Roman" w:hAnsi="Times New Roman" w:eastAsia="Times New Roman" w:cs="Times New Roman"/>
                <w:spacing w:val="21"/>
              </w:rPr>
              <w:t xml:space="preserve"> </w:t>
            </w:r>
            <w:r>
              <w:rPr>
                <w:spacing w:val="1"/>
              </w:rPr>
              <w:t>号皮带</w:t>
            </w:r>
          </w:p>
        </w:tc>
        <w:tc>
          <w:tcPr>
            <w:tcW w:w="1044" w:type="dxa"/>
            <w:vAlign w:val="top"/>
          </w:tcPr>
          <w:p>
            <w:pPr>
              <w:ind w:left="490"/>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192</w:t>
            </w:r>
          </w:p>
        </w:tc>
        <w:tc>
          <w:tcPr>
            <w:tcW w:w="1180" w:type="dxa"/>
            <w:vAlign w:val="top"/>
          </w:tcPr>
          <w:p>
            <w:pPr>
              <w:ind w:left="495"/>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288"/>
              <w:spacing w:before="42" w:line="207" w:lineRule="auto"/>
              <w:rPr/>
            </w:pPr>
            <w:r>
              <w:rPr>
                <w:spacing w:val="5"/>
              </w:rPr>
              <w:t>筛分</w:t>
            </w:r>
            <w:r>
              <w:rPr>
                <w:rFonts w:ascii="Times New Roman" w:hAnsi="Times New Roman" w:eastAsia="Times New Roman" w:cs="Times New Roman"/>
                <w:spacing w:val="5"/>
              </w:rPr>
              <w:t>-</w:t>
            </w:r>
            <w:r>
              <w:rPr>
                <w:spacing w:val="5"/>
              </w:rPr>
              <w:t>粉矿仓</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2" w:line="207"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21"/>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181" w:type="dxa"/>
            <w:vAlign w:val="top"/>
          </w:tcPr>
          <w:p>
            <w:pPr>
              <w:pStyle w:val="TableText"/>
              <w:ind w:left="697"/>
              <w:spacing w:before="43" w:line="205" w:lineRule="auto"/>
              <w:rPr/>
            </w:pPr>
            <w:r>
              <w:rPr>
                <w:rFonts w:ascii="Times New Roman" w:hAnsi="Times New Roman" w:eastAsia="Times New Roman" w:cs="Times New Roman"/>
                <w:spacing w:val="2"/>
              </w:rPr>
              <w:t>4</w:t>
            </w:r>
            <w:r>
              <w:rPr>
                <w:rFonts w:ascii="Times New Roman" w:hAnsi="Times New Roman" w:eastAsia="Times New Roman" w:cs="Times New Roman"/>
                <w:spacing w:val="22"/>
                <w:w w:val="101"/>
              </w:rPr>
              <w:t xml:space="preserve"> </w:t>
            </w:r>
            <w:r>
              <w:rPr>
                <w:spacing w:val="2"/>
              </w:rPr>
              <w:t>号皮带</w:t>
            </w:r>
          </w:p>
        </w:tc>
        <w:tc>
          <w:tcPr>
            <w:tcW w:w="1044" w:type="dxa"/>
            <w:vAlign w:val="top"/>
          </w:tcPr>
          <w:p>
            <w:pPr>
              <w:ind w:left="490"/>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219</w:t>
            </w:r>
          </w:p>
        </w:tc>
        <w:tc>
          <w:tcPr>
            <w:tcW w:w="1180" w:type="dxa"/>
            <w:vAlign w:val="top"/>
          </w:tcPr>
          <w:p>
            <w:pPr>
              <w:ind w:left="495"/>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49" w:type="dxa"/>
            <w:vAlign w:val="top"/>
          </w:tcPr>
          <w:p>
            <w:pPr>
              <w:ind w:left="594"/>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287"/>
              <w:spacing w:before="43" w:line="205" w:lineRule="auto"/>
              <w:rPr/>
            </w:pPr>
            <w:r>
              <w:rPr>
                <w:spacing w:val="6"/>
              </w:rPr>
              <w:t>粉矿仓</w:t>
            </w:r>
            <w:r>
              <w:rPr>
                <w:rFonts w:ascii="Times New Roman" w:hAnsi="Times New Roman" w:eastAsia="Times New Roman" w:cs="Times New Roman"/>
                <w:spacing w:val="6"/>
              </w:rPr>
              <w:t>-</w:t>
            </w:r>
            <w:r>
              <w:rPr>
                <w:spacing w:val="6"/>
              </w:rPr>
              <w:t>磨浮</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3" w:line="205"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21"/>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181" w:type="dxa"/>
            <w:vAlign w:val="top"/>
          </w:tcPr>
          <w:p>
            <w:pPr>
              <w:pStyle w:val="TableText"/>
              <w:ind w:left="703"/>
              <w:spacing w:before="43" w:line="205" w:lineRule="auto"/>
              <w:rPr/>
            </w:pPr>
            <w:r>
              <w:rPr>
                <w:rFonts w:ascii="Times New Roman" w:hAnsi="Times New Roman" w:eastAsia="Times New Roman" w:cs="Times New Roman"/>
                <w:spacing w:val="1"/>
              </w:rPr>
              <w:t>5</w:t>
            </w:r>
            <w:r>
              <w:rPr>
                <w:rFonts w:ascii="Times New Roman" w:hAnsi="Times New Roman" w:eastAsia="Times New Roman" w:cs="Times New Roman"/>
                <w:spacing w:val="20"/>
              </w:rPr>
              <w:t xml:space="preserve"> </w:t>
            </w:r>
            <w:r>
              <w:rPr>
                <w:spacing w:val="1"/>
              </w:rPr>
              <w:t>号皮带</w:t>
            </w:r>
          </w:p>
        </w:tc>
        <w:tc>
          <w:tcPr>
            <w:tcW w:w="1044" w:type="dxa"/>
            <w:vAlign w:val="top"/>
          </w:tcPr>
          <w:p>
            <w:pPr>
              <w:ind w:left="490"/>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247</w:t>
            </w:r>
          </w:p>
        </w:tc>
        <w:tc>
          <w:tcPr>
            <w:tcW w:w="1180" w:type="dxa"/>
            <w:vAlign w:val="top"/>
          </w:tcPr>
          <w:p>
            <w:pPr>
              <w:ind w:left="491"/>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249" w:type="dxa"/>
            <w:vAlign w:val="top"/>
          </w:tcPr>
          <w:p>
            <w:pPr>
              <w:ind w:left="594"/>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322"/>
              <w:spacing w:before="43" w:line="205" w:lineRule="auto"/>
              <w:rPr/>
            </w:pPr>
            <w:r>
              <w:rPr>
                <w:spacing w:val="7"/>
              </w:rPr>
              <w:t>磨浮车间内</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3" w:line="205"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21"/>
              <w:spacing w:before="8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181" w:type="dxa"/>
            <w:vAlign w:val="top"/>
          </w:tcPr>
          <w:p>
            <w:pPr>
              <w:pStyle w:val="TableText"/>
              <w:ind w:left="702"/>
              <w:spacing w:before="46" w:line="204" w:lineRule="auto"/>
              <w:rPr/>
            </w:pPr>
            <w:r>
              <w:rPr>
                <w:rFonts w:ascii="Times New Roman" w:hAnsi="Times New Roman" w:eastAsia="Times New Roman" w:cs="Times New Roman"/>
                <w:spacing w:val="1"/>
              </w:rPr>
              <w:t>6</w:t>
            </w:r>
            <w:r>
              <w:rPr>
                <w:rFonts w:ascii="Times New Roman" w:hAnsi="Times New Roman" w:eastAsia="Times New Roman" w:cs="Times New Roman"/>
                <w:spacing w:val="20"/>
                <w:w w:val="101"/>
              </w:rPr>
              <w:t xml:space="preserve"> </w:t>
            </w:r>
            <w:r>
              <w:rPr>
                <w:spacing w:val="1"/>
              </w:rPr>
              <w:t>号皮带</w:t>
            </w:r>
          </w:p>
        </w:tc>
        <w:tc>
          <w:tcPr>
            <w:tcW w:w="1044" w:type="dxa"/>
            <w:vAlign w:val="top"/>
          </w:tcPr>
          <w:p>
            <w:pPr>
              <w:ind w:left="490"/>
              <w:spacing w:before="8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247</w:t>
            </w:r>
          </w:p>
        </w:tc>
        <w:tc>
          <w:tcPr>
            <w:tcW w:w="1180" w:type="dxa"/>
            <w:vAlign w:val="top"/>
          </w:tcPr>
          <w:p>
            <w:pPr>
              <w:ind w:left="492"/>
              <w:spacing w:before="8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249" w:type="dxa"/>
            <w:vAlign w:val="top"/>
          </w:tcPr>
          <w:p>
            <w:pPr>
              <w:ind w:left="594"/>
              <w:spacing w:before="8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4" w:type="dxa"/>
            <w:vAlign w:val="top"/>
          </w:tcPr>
          <w:p>
            <w:pPr>
              <w:ind w:left="526"/>
              <w:spacing w:before="8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672" w:type="dxa"/>
            <w:vAlign w:val="top"/>
          </w:tcPr>
          <w:p>
            <w:pPr>
              <w:pStyle w:val="TableText"/>
              <w:ind w:left="322"/>
              <w:spacing w:before="46" w:line="204" w:lineRule="auto"/>
              <w:rPr/>
            </w:pPr>
            <w:r>
              <w:rPr>
                <w:spacing w:val="7"/>
              </w:rPr>
              <w:t>磨浮车间内</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6" w:line="204"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21"/>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181" w:type="dxa"/>
            <w:vAlign w:val="top"/>
          </w:tcPr>
          <w:p>
            <w:pPr>
              <w:pStyle w:val="TableText"/>
              <w:ind w:left="812"/>
              <w:spacing w:before="47" w:line="202" w:lineRule="auto"/>
              <w:rPr/>
            </w:pPr>
            <w:r>
              <w:rPr>
                <w:spacing w:val="-4"/>
              </w:rPr>
              <w:t>回水泵</w:t>
            </w:r>
          </w:p>
        </w:tc>
        <w:tc>
          <w:tcPr>
            <w:tcW w:w="1044" w:type="dxa"/>
            <w:vAlign w:val="top"/>
          </w:tcPr>
          <w:p>
            <w:pPr>
              <w:ind w:left="490"/>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240</w:t>
            </w:r>
          </w:p>
        </w:tc>
        <w:tc>
          <w:tcPr>
            <w:tcW w:w="1180" w:type="dxa"/>
            <w:vAlign w:val="top"/>
          </w:tcPr>
          <w:p>
            <w:pPr>
              <w:ind w:left="492"/>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249" w:type="dxa"/>
            <w:vAlign w:val="top"/>
          </w:tcPr>
          <w:p>
            <w:pPr>
              <w:ind w:left="498"/>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56"/>
              <w:spacing w:before="47" w:line="202" w:lineRule="auto"/>
              <w:rPr/>
            </w:pPr>
            <w:r>
              <w:rPr>
                <w:spacing w:val="-4"/>
              </w:rPr>
              <w:t>回水池</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7" w:line="202"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221"/>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181" w:type="dxa"/>
            <w:vAlign w:val="top"/>
          </w:tcPr>
          <w:p>
            <w:pPr>
              <w:pStyle w:val="TableText"/>
              <w:ind w:left="789"/>
              <w:spacing w:before="47" w:line="202" w:lineRule="auto"/>
              <w:rPr/>
            </w:pPr>
            <w:r>
              <w:rPr>
                <w:spacing w:val="4"/>
              </w:rPr>
              <w:t>清水泵</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7" w:hRule="atLeast"/>
        </w:trPr>
        <w:tc>
          <w:tcPr>
            <w:tcW w:w="637" w:type="dxa"/>
            <w:vAlign w:val="top"/>
            <w:tcBorders>
              <w:left w:val="nil"/>
            </w:tcBorders>
          </w:tcPr>
          <w:p>
            <w:pPr>
              <w:ind w:left="141"/>
              <w:spacing w:before="8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36.</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w:t>
            </w:r>
          </w:p>
        </w:tc>
        <w:tc>
          <w:tcPr>
            <w:tcW w:w="2181" w:type="dxa"/>
            <w:vAlign w:val="top"/>
          </w:tcPr>
          <w:p>
            <w:pPr>
              <w:pStyle w:val="TableText"/>
              <w:ind w:left="710"/>
              <w:spacing w:before="49" w:line="201" w:lineRule="auto"/>
              <w:rPr>
                <w:rFonts w:ascii="Times New Roman" w:hAnsi="Times New Roman" w:eastAsia="Times New Roman" w:cs="Times New Roman"/>
              </w:rPr>
            </w:pPr>
            <w:r>
              <w:rPr>
                <w:spacing w:val="3"/>
              </w:rPr>
              <w:t>清水泵</w:t>
            </w:r>
            <w:r>
              <w:rPr>
                <w:spacing w:val="-23"/>
              </w:rPr>
              <w:t xml:space="preserve"> </w:t>
            </w:r>
            <w:r>
              <w:rPr>
                <w:rFonts w:ascii="Times New Roman" w:hAnsi="Times New Roman" w:eastAsia="Times New Roman" w:cs="Times New Roman"/>
                <w:spacing w:val="3"/>
              </w:rPr>
              <w:t>1</w:t>
            </w:r>
          </w:p>
        </w:tc>
        <w:tc>
          <w:tcPr>
            <w:tcW w:w="1044" w:type="dxa"/>
            <w:vAlign w:val="top"/>
          </w:tcPr>
          <w:p>
            <w:pPr>
              <w:ind w:left="490"/>
              <w:spacing w:before="8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227</w:t>
            </w:r>
          </w:p>
        </w:tc>
        <w:tc>
          <w:tcPr>
            <w:tcW w:w="1180" w:type="dxa"/>
            <w:vAlign w:val="top"/>
          </w:tcPr>
          <w:p>
            <w:pPr>
              <w:ind w:left="492"/>
              <w:spacing w:before="8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49" w:type="dxa"/>
            <w:vAlign w:val="top"/>
          </w:tcPr>
          <w:p>
            <w:pPr>
              <w:ind w:left="498"/>
              <w:spacing w:before="8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88"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6"/>
              <w:spacing w:before="49" w:line="201" w:lineRule="auto"/>
              <w:rPr/>
            </w:pPr>
            <w:r>
              <w:rPr>
                <w:spacing w:val="3"/>
              </w:rPr>
              <w:t>蓄水池</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9" w:line="201"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41"/>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36.2</w:t>
            </w:r>
          </w:p>
        </w:tc>
        <w:tc>
          <w:tcPr>
            <w:tcW w:w="2181" w:type="dxa"/>
            <w:vAlign w:val="top"/>
          </w:tcPr>
          <w:p>
            <w:pPr>
              <w:pStyle w:val="TableText"/>
              <w:ind w:left="710"/>
              <w:spacing w:before="48" w:line="201" w:lineRule="auto"/>
              <w:rPr>
                <w:rFonts w:ascii="Times New Roman" w:hAnsi="Times New Roman" w:eastAsia="Times New Roman" w:cs="Times New Roman"/>
              </w:rPr>
            </w:pPr>
            <w:r>
              <w:rPr>
                <w:spacing w:val="3"/>
              </w:rPr>
              <w:t>清水泵</w:t>
            </w:r>
            <w:r>
              <w:rPr>
                <w:spacing w:val="-43"/>
              </w:rPr>
              <w:t xml:space="preserve"> </w:t>
            </w:r>
            <w:r>
              <w:rPr>
                <w:rFonts w:ascii="Times New Roman" w:hAnsi="Times New Roman" w:eastAsia="Times New Roman" w:cs="Times New Roman"/>
                <w:spacing w:val="3"/>
              </w:rPr>
              <w:t>2</w:t>
            </w:r>
          </w:p>
        </w:tc>
        <w:tc>
          <w:tcPr>
            <w:tcW w:w="1044" w:type="dxa"/>
            <w:vAlign w:val="top"/>
          </w:tcPr>
          <w:p>
            <w:pPr>
              <w:ind w:left="490"/>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229</w:t>
            </w:r>
          </w:p>
        </w:tc>
        <w:tc>
          <w:tcPr>
            <w:tcW w:w="1180" w:type="dxa"/>
            <w:vAlign w:val="top"/>
          </w:tcPr>
          <w:p>
            <w:pPr>
              <w:ind w:left="492"/>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49" w:type="dxa"/>
            <w:vAlign w:val="top"/>
          </w:tcPr>
          <w:p>
            <w:pPr>
              <w:ind w:left="498"/>
              <w:spacing w:before="8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6"/>
              <w:spacing w:before="48" w:line="201" w:lineRule="auto"/>
              <w:rPr/>
            </w:pPr>
            <w:r>
              <w:rPr>
                <w:spacing w:val="3"/>
              </w:rPr>
              <w:t>蓄水池</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48" w:line="201"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41"/>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36.3</w:t>
            </w:r>
          </w:p>
        </w:tc>
        <w:tc>
          <w:tcPr>
            <w:tcW w:w="2181" w:type="dxa"/>
            <w:vAlign w:val="top"/>
          </w:tcPr>
          <w:p>
            <w:pPr>
              <w:pStyle w:val="TableText"/>
              <w:ind w:left="710"/>
              <w:spacing w:before="50" w:line="199" w:lineRule="auto"/>
              <w:rPr>
                <w:rFonts w:ascii="Times New Roman" w:hAnsi="Times New Roman" w:eastAsia="Times New Roman" w:cs="Times New Roman"/>
              </w:rPr>
            </w:pPr>
            <w:r>
              <w:rPr>
                <w:spacing w:val="3"/>
              </w:rPr>
              <w:t>清水泵</w:t>
            </w:r>
            <w:r>
              <w:rPr>
                <w:spacing w:val="-39"/>
              </w:rPr>
              <w:t xml:space="preserve"> </w:t>
            </w:r>
            <w:r>
              <w:rPr>
                <w:rFonts w:ascii="Times New Roman" w:hAnsi="Times New Roman" w:eastAsia="Times New Roman" w:cs="Times New Roman"/>
                <w:spacing w:val="3"/>
              </w:rPr>
              <w:t>3</w:t>
            </w:r>
          </w:p>
        </w:tc>
        <w:tc>
          <w:tcPr>
            <w:tcW w:w="1044" w:type="dxa"/>
            <w:vAlign w:val="top"/>
          </w:tcPr>
          <w:p>
            <w:pPr>
              <w:ind w:left="490"/>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15"/>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227</w:t>
            </w:r>
          </w:p>
        </w:tc>
        <w:tc>
          <w:tcPr>
            <w:tcW w:w="1180" w:type="dxa"/>
            <w:vAlign w:val="top"/>
          </w:tcPr>
          <w:p>
            <w:pPr>
              <w:ind w:left="492"/>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249" w:type="dxa"/>
            <w:vAlign w:val="top"/>
          </w:tcPr>
          <w:p>
            <w:pPr>
              <w:ind w:left="498"/>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6"/>
              <w:spacing w:before="50" w:line="199" w:lineRule="auto"/>
              <w:rPr/>
            </w:pPr>
            <w:r>
              <w:rPr>
                <w:spacing w:val="3"/>
              </w:rPr>
              <w:t>蓄水池</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50" w:line="199"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21"/>
              <w:spacing w:before="88"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181" w:type="dxa"/>
            <w:vAlign w:val="top"/>
          </w:tcPr>
          <w:p>
            <w:pPr>
              <w:pStyle w:val="TableText"/>
              <w:ind w:left="787"/>
              <w:spacing w:before="52" w:line="198" w:lineRule="auto"/>
              <w:rPr/>
            </w:pPr>
            <w:r>
              <w:rPr>
                <w:spacing w:val="4"/>
              </w:rPr>
              <w:t>渣浆泵</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6" w:hRule="atLeast"/>
        </w:trPr>
        <w:tc>
          <w:tcPr>
            <w:tcW w:w="637" w:type="dxa"/>
            <w:vAlign w:val="top"/>
            <w:tcBorders>
              <w:left w:val="nil"/>
            </w:tcBorders>
          </w:tcPr>
          <w:p>
            <w:pPr>
              <w:ind w:left="141"/>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w:t>
            </w:r>
          </w:p>
        </w:tc>
        <w:tc>
          <w:tcPr>
            <w:tcW w:w="2181" w:type="dxa"/>
            <w:vAlign w:val="top"/>
          </w:tcPr>
          <w:p>
            <w:pPr>
              <w:pStyle w:val="TableText"/>
              <w:ind w:left="708"/>
              <w:spacing w:before="51" w:line="198" w:lineRule="auto"/>
              <w:rPr>
                <w:rFonts w:ascii="Times New Roman" w:hAnsi="Times New Roman" w:eastAsia="Times New Roman" w:cs="Times New Roman"/>
              </w:rPr>
            </w:pPr>
            <w:r>
              <w:rPr>
                <w:spacing w:val="3"/>
              </w:rPr>
              <w:t>渣浆泵</w:t>
            </w:r>
            <w:r>
              <w:rPr>
                <w:spacing w:val="-22"/>
              </w:rPr>
              <w:t xml:space="preserve"> </w:t>
            </w:r>
            <w:r>
              <w:rPr>
                <w:rFonts w:ascii="Times New Roman" w:hAnsi="Times New Roman" w:eastAsia="Times New Roman" w:cs="Times New Roman"/>
                <w:spacing w:val="3"/>
              </w:rPr>
              <w:t>1</w:t>
            </w:r>
          </w:p>
        </w:tc>
        <w:tc>
          <w:tcPr>
            <w:tcW w:w="1044" w:type="dxa"/>
            <w:vAlign w:val="top"/>
          </w:tcPr>
          <w:p>
            <w:pPr>
              <w:ind w:left="490"/>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155</w:t>
            </w:r>
          </w:p>
        </w:tc>
        <w:tc>
          <w:tcPr>
            <w:tcW w:w="1180" w:type="dxa"/>
            <w:vAlign w:val="top"/>
          </w:tcPr>
          <w:p>
            <w:pPr>
              <w:ind w:left="491"/>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249" w:type="dxa"/>
            <w:vAlign w:val="top"/>
          </w:tcPr>
          <w:p>
            <w:pPr>
              <w:ind w:left="498"/>
              <w:spacing w:before="8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1"/>
              <w:spacing w:before="51" w:line="198" w:lineRule="auto"/>
              <w:rPr/>
            </w:pPr>
            <w:r>
              <w:rPr>
                <w:spacing w:val="4"/>
              </w:rPr>
              <w:t>充填站</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51" w:line="198" w:lineRule="auto"/>
              <w:rPr/>
            </w:pPr>
            <w:r>
              <w:rPr>
                <w:spacing w:val="3"/>
              </w:rPr>
              <w:t>昼</w:t>
            </w:r>
            <w:r>
              <w:rPr>
                <w:rFonts w:ascii="Times New Roman" w:hAnsi="Times New Roman" w:eastAsia="Times New Roman" w:cs="Times New Roman"/>
                <w:spacing w:val="3"/>
              </w:rPr>
              <w:t>/</w:t>
            </w:r>
            <w:r>
              <w:rPr>
                <w:spacing w:val="3"/>
              </w:rPr>
              <w:t>夜间</w:t>
            </w:r>
          </w:p>
        </w:tc>
      </w:tr>
      <w:tr>
        <w:trPr>
          <w:trHeight w:val="276" w:hRule="atLeast"/>
        </w:trPr>
        <w:tc>
          <w:tcPr>
            <w:tcW w:w="637" w:type="dxa"/>
            <w:vAlign w:val="top"/>
            <w:tcBorders>
              <w:left w:val="nil"/>
            </w:tcBorders>
          </w:tcPr>
          <w:p>
            <w:pPr>
              <w:ind w:left="141"/>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37.2</w:t>
            </w:r>
          </w:p>
        </w:tc>
        <w:tc>
          <w:tcPr>
            <w:tcW w:w="2181" w:type="dxa"/>
            <w:vAlign w:val="top"/>
          </w:tcPr>
          <w:p>
            <w:pPr>
              <w:pStyle w:val="TableText"/>
              <w:ind w:left="708"/>
              <w:spacing w:before="53" w:line="196" w:lineRule="auto"/>
              <w:rPr>
                <w:rFonts w:ascii="Times New Roman" w:hAnsi="Times New Roman" w:eastAsia="Times New Roman" w:cs="Times New Roman"/>
              </w:rPr>
            </w:pPr>
            <w:r>
              <w:rPr>
                <w:spacing w:val="3"/>
              </w:rPr>
              <w:t>渣浆泵</w:t>
            </w:r>
            <w:r>
              <w:rPr>
                <w:spacing w:val="-42"/>
              </w:rPr>
              <w:t xml:space="preserve"> </w:t>
            </w:r>
            <w:r>
              <w:rPr>
                <w:rFonts w:ascii="Times New Roman" w:hAnsi="Times New Roman" w:eastAsia="Times New Roman" w:cs="Times New Roman"/>
                <w:spacing w:val="3"/>
              </w:rPr>
              <w:t>2</w:t>
            </w:r>
          </w:p>
        </w:tc>
        <w:tc>
          <w:tcPr>
            <w:tcW w:w="1044" w:type="dxa"/>
            <w:vAlign w:val="top"/>
          </w:tcPr>
          <w:p>
            <w:pPr>
              <w:ind w:left="490"/>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157</w:t>
            </w:r>
          </w:p>
        </w:tc>
        <w:tc>
          <w:tcPr>
            <w:tcW w:w="1180" w:type="dxa"/>
            <w:vAlign w:val="top"/>
          </w:tcPr>
          <w:p>
            <w:pPr>
              <w:ind w:left="491"/>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249" w:type="dxa"/>
            <w:vAlign w:val="top"/>
          </w:tcPr>
          <w:p>
            <w:pPr>
              <w:ind w:left="498"/>
              <w:spacing w:before="8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4" w:type="dxa"/>
            <w:vAlign w:val="top"/>
          </w:tcPr>
          <w:p>
            <w:pPr>
              <w:ind w:left="526"/>
              <w:spacing w:before="92"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1"/>
              <w:spacing w:before="53" w:line="196" w:lineRule="auto"/>
              <w:rPr/>
            </w:pPr>
            <w:r>
              <w:rPr>
                <w:spacing w:val="4"/>
              </w:rPr>
              <w:t>充填站</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53" w:line="196" w:lineRule="auto"/>
              <w:rPr/>
            </w:pPr>
            <w:r>
              <w:rPr>
                <w:spacing w:val="3"/>
              </w:rPr>
              <w:t>昼</w:t>
            </w:r>
            <w:r>
              <w:rPr>
                <w:rFonts w:ascii="Times New Roman" w:hAnsi="Times New Roman" w:eastAsia="Times New Roman" w:cs="Times New Roman"/>
                <w:spacing w:val="3"/>
              </w:rPr>
              <w:t>/</w:t>
            </w:r>
            <w:r>
              <w:rPr>
                <w:spacing w:val="3"/>
              </w:rPr>
              <w:t>夜间</w:t>
            </w:r>
          </w:p>
        </w:tc>
      </w:tr>
      <w:tr>
        <w:trPr>
          <w:trHeight w:val="277" w:hRule="atLeast"/>
        </w:trPr>
        <w:tc>
          <w:tcPr>
            <w:tcW w:w="637" w:type="dxa"/>
            <w:vAlign w:val="top"/>
            <w:tcBorders>
              <w:left w:val="nil"/>
            </w:tcBorders>
          </w:tcPr>
          <w:p>
            <w:pPr>
              <w:ind w:left="221"/>
              <w:spacing w:before="91"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181" w:type="dxa"/>
            <w:vAlign w:val="top"/>
          </w:tcPr>
          <w:p>
            <w:pPr>
              <w:pStyle w:val="TableText"/>
              <w:ind w:left="575"/>
              <w:spacing w:before="55" w:line="195" w:lineRule="auto"/>
              <w:rPr/>
            </w:pPr>
            <w:r>
              <w:rPr>
                <w:spacing w:val="7"/>
              </w:rPr>
              <w:t>料仓振动器</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4" w:type="dxa"/>
            <w:vAlign w:val="top"/>
          </w:tcPr>
          <w:p>
            <w:pPr>
              <w:rPr>
                <w:rFonts w:ascii="Arial"/>
                <w:sz w:val="21"/>
              </w:rPr>
            </w:pPr>
            <w:r/>
          </w:p>
        </w:tc>
        <w:tc>
          <w:tcPr>
            <w:tcW w:w="1672" w:type="dxa"/>
            <w:vAlign w:val="top"/>
          </w:tcPr>
          <w:p>
            <w:pPr>
              <w:rPr>
                <w:rFonts w:ascii="Arial"/>
                <w:sz w:val="21"/>
              </w:rPr>
            </w:pPr>
            <w:r/>
          </w:p>
        </w:tc>
        <w:tc>
          <w:tcPr>
            <w:tcW w:w="2679" w:type="dxa"/>
            <w:vAlign w:val="top"/>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7" w:hRule="atLeast"/>
        </w:trPr>
        <w:tc>
          <w:tcPr>
            <w:tcW w:w="637" w:type="dxa"/>
            <w:vAlign w:val="top"/>
            <w:tcBorders>
              <w:left w:val="nil"/>
            </w:tcBorders>
          </w:tcPr>
          <w:p>
            <w:pPr>
              <w:ind w:left="141"/>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38.</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w:t>
            </w:r>
          </w:p>
        </w:tc>
        <w:tc>
          <w:tcPr>
            <w:tcW w:w="2181" w:type="dxa"/>
            <w:vAlign w:val="top"/>
          </w:tcPr>
          <w:p>
            <w:pPr>
              <w:pStyle w:val="TableText"/>
              <w:ind w:left="575"/>
              <w:spacing w:before="54" w:line="196" w:lineRule="auto"/>
              <w:rPr/>
            </w:pPr>
            <w:r>
              <w:rPr>
                <w:spacing w:val="7"/>
              </w:rPr>
              <w:t>料仓振动器</w:t>
            </w:r>
          </w:p>
        </w:tc>
        <w:tc>
          <w:tcPr>
            <w:tcW w:w="1044" w:type="dxa"/>
            <w:vAlign w:val="top"/>
          </w:tcPr>
          <w:p>
            <w:pPr>
              <w:ind w:left="490"/>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145</w:t>
            </w:r>
          </w:p>
        </w:tc>
        <w:tc>
          <w:tcPr>
            <w:tcW w:w="1180" w:type="dxa"/>
            <w:vAlign w:val="top"/>
          </w:tcPr>
          <w:p>
            <w:pPr>
              <w:ind w:left="491"/>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249" w:type="dxa"/>
            <w:vAlign w:val="top"/>
          </w:tcPr>
          <w:p>
            <w:pPr>
              <w:ind w:left="498"/>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254" w:type="dxa"/>
            <w:vAlign w:val="top"/>
          </w:tcPr>
          <w:p>
            <w:pPr>
              <w:ind w:left="526"/>
              <w:spacing w:before="93"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1"/>
              <w:spacing w:before="54" w:line="196" w:lineRule="auto"/>
              <w:rPr/>
            </w:pPr>
            <w:r>
              <w:rPr>
                <w:spacing w:val="4"/>
              </w:rPr>
              <w:t>充填站</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2"/>
              <w:spacing w:before="54" w:line="196" w:lineRule="auto"/>
              <w:rPr/>
            </w:pPr>
            <w:r>
              <w:rPr>
                <w:spacing w:val="3"/>
              </w:rPr>
              <w:t>昼</w:t>
            </w:r>
            <w:r>
              <w:rPr>
                <w:rFonts w:ascii="Times New Roman" w:hAnsi="Times New Roman" w:eastAsia="Times New Roman" w:cs="Times New Roman"/>
                <w:spacing w:val="3"/>
              </w:rPr>
              <w:t>/</w:t>
            </w:r>
            <w:r>
              <w:rPr>
                <w:spacing w:val="3"/>
              </w:rPr>
              <w:t>夜间</w:t>
            </w:r>
          </w:p>
        </w:tc>
      </w:tr>
      <w:tr>
        <w:trPr>
          <w:trHeight w:val="298" w:hRule="atLeast"/>
        </w:trPr>
        <w:tc>
          <w:tcPr>
            <w:tcW w:w="637" w:type="dxa"/>
            <w:vAlign w:val="top"/>
            <w:tcBorders>
              <w:left w:val="nil"/>
              <w:bottom w:val="single" w:color="000000" w:sz="10" w:space="0"/>
            </w:tcBorders>
          </w:tcPr>
          <w:p>
            <w:pPr>
              <w:ind w:left="14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38.2</w:t>
            </w:r>
          </w:p>
        </w:tc>
        <w:tc>
          <w:tcPr>
            <w:tcW w:w="2181" w:type="dxa"/>
            <w:vAlign w:val="top"/>
            <w:tcBorders>
              <w:bottom w:val="single" w:color="000000" w:sz="10" w:space="0"/>
            </w:tcBorders>
          </w:tcPr>
          <w:p>
            <w:pPr>
              <w:pStyle w:val="TableText"/>
              <w:ind w:left="575"/>
              <w:spacing w:before="56" w:line="214" w:lineRule="auto"/>
              <w:rPr/>
            </w:pPr>
            <w:r>
              <w:rPr>
                <w:spacing w:val="7"/>
              </w:rPr>
              <w:t>料仓振动器</w:t>
            </w:r>
          </w:p>
        </w:tc>
        <w:tc>
          <w:tcPr>
            <w:tcW w:w="1044" w:type="dxa"/>
            <w:vAlign w:val="top"/>
            <w:tcBorders>
              <w:bottom w:val="single" w:color="000000" w:sz="10" w:space="0"/>
            </w:tcBorders>
          </w:tcPr>
          <w:p>
            <w:pPr>
              <w:ind w:left="49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Borders>
              <w:bottom w:val="single" w:color="000000" w:sz="10" w:space="0"/>
            </w:tcBorders>
          </w:tcPr>
          <w:p>
            <w:pPr>
              <w:ind w:left="43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147</w:t>
            </w:r>
          </w:p>
        </w:tc>
        <w:tc>
          <w:tcPr>
            <w:tcW w:w="1180" w:type="dxa"/>
            <w:vAlign w:val="top"/>
            <w:tcBorders>
              <w:bottom w:val="single" w:color="000000" w:sz="10" w:space="0"/>
            </w:tcBorders>
          </w:tcPr>
          <w:p>
            <w:pPr>
              <w:ind w:left="49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249" w:type="dxa"/>
            <w:vAlign w:val="top"/>
            <w:tcBorders>
              <w:bottom w:val="single" w:color="000000" w:sz="10" w:space="0"/>
            </w:tcBorders>
          </w:tcPr>
          <w:p>
            <w:pPr>
              <w:ind w:left="49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254" w:type="dxa"/>
            <w:vAlign w:val="top"/>
            <w:tcBorders>
              <w:bottom w:val="single" w:color="000000" w:sz="10" w:space="0"/>
            </w:tcBorders>
          </w:tcPr>
          <w:p>
            <w:pPr>
              <w:ind w:left="526"/>
              <w:spacing w:before="9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Borders>
              <w:bottom w:val="single" w:color="000000" w:sz="10" w:space="0"/>
            </w:tcBorders>
          </w:tcPr>
          <w:p>
            <w:pPr>
              <w:pStyle w:val="TableText"/>
              <w:ind w:left="531"/>
              <w:spacing w:before="56" w:line="214" w:lineRule="auto"/>
              <w:rPr/>
            </w:pPr>
            <w:r>
              <w:rPr>
                <w:spacing w:val="4"/>
              </w:rPr>
              <w:t>充填站</w:t>
            </w:r>
          </w:p>
        </w:tc>
        <w:tc>
          <w:tcPr>
            <w:tcW w:w="2679" w:type="dxa"/>
            <w:vAlign w:val="top"/>
            <w:tcBorders>
              <w:top w:val="nil"/>
              <w:bottom w:val="single" w:color="000000" w:sz="10" w:space="0"/>
            </w:tcBorders>
          </w:tcPr>
          <w:p>
            <w:pPr>
              <w:rPr>
                <w:rFonts w:ascii="Arial"/>
                <w:sz w:val="21"/>
              </w:rPr>
            </w:pPr>
            <w:r/>
          </w:p>
        </w:tc>
        <w:tc>
          <w:tcPr>
            <w:tcW w:w="1170" w:type="dxa"/>
            <w:vAlign w:val="top"/>
            <w:tcBorders>
              <w:right w:val="nil"/>
              <w:bottom w:val="single" w:color="000000" w:sz="10" w:space="0"/>
            </w:tcBorders>
          </w:tcPr>
          <w:p>
            <w:pPr>
              <w:pStyle w:val="TableText"/>
              <w:ind w:left="252"/>
              <w:spacing w:before="56" w:line="214" w:lineRule="auto"/>
              <w:rPr/>
            </w:pPr>
            <w:r>
              <w:rPr>
                <w:spacing w:val="3"/>
              </w:rPr>
              <w:t>昼</w:t>
            </w:r>
            <w:r>
              <w:rPr>
                <w:rFonts w:ascii="Times New Roman" w:hAnsi="Times New Roman" w:eastAsia="Times New Roman" w:cs="Times New Roman"/>
                <w:spacing w:val="3"/>
              </w:rPr>
              <w:t>/</w:t>
            </w:r>
            <w:r>
              <w:rPr>
                <w:spacing w:val="3"/>
              </w:rPr>
              <w:t>夜间</w:t>
            </w:r>
          </w:p>
        </w:tc>
      </w:tr>
    </w:tbl>
    <w:p>
      <w:pPr>
        <w:pStyle w:val="BodyText"/>
        <w:rPr/>
      </w:pPr>
      <w:r/>
    </w:p>
    <w:p>
      <w:pPr>
        <w:sectPr>
          <w:headerReference w:type="default" r:id="rId52"/>
          <w:footerReference w:type="default" r:id="rId194"/>
          <w:pgSz w:w="16839" w:h="11911"/>
          <w:pgMar w:top="400" w:right="1320" w:bottom="1147" w:left="1309" w:header="0" w:footer="984"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20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7"/>
        <w:gridCol w:w="2181"/>
        <w:gridCol w:w="1044"/>
        <w:gridCol w:w="1143"/>
        <w:gridCol w:w="1180"/>
        <w:gridCol w:w="1249"/>
        <w:gridCol w:w="1253"/>
        <w:gridCol w:w="1672"/>
        <w:gridCol w:w="2679"/>
        <w:gridCol w:w="1170"/>
      </w:tblGrid>
      <w:tr>
        <w:trPr>
          <w:trHeight w:val="278" w:hRule="atLeast"/>
        </w:trPr>
        <w:tc>
          <w:tcPr>
            <w:tcW w:w="637" w:type="dxa"/>
            <w:vAlign w:val="top"/>
            <w:vMerge w:val="restart"/>
            <w:tcBorders>
              <w:left w:val="nil"/>
              <w:top w:val="single" w:color="000000" w:sz="10" w:space="0"/>
              <w:bottom w:val="nil"/>
            </w:tcBorders>
          </w:tcPr>
          <w:p>
            <w:pPr>
              <w:pStyle w:val="TableText"/>
              <w:ind w:left="120"/>
              <w:spacing w:before="171" w:line="231" w:lineRule="auto"/>
              <w:rPr/>
            </w:pPr>
            <w:bookmarkStart w:name="bookmark561" w:id="259"/>
            <w:bookmarkEnd w:id="259"/>
            <w:r>
              <w:rPr>
                <w:spacing w:val="2"/>
              </w:rPr>
              <w:t>序号</w:t>
            </w:r>
          </w:p>
        </w:tc>
        <w:tc>
          <w:tcPr>
            <w:tcW w:w="2181" w:type="dxa"/>
            <w:vAlign w:val="top"/>
            <w:vMerge w:val="restart"/>
            <w:tcBorders>
              <w:top w:val="single" w:color="000000" w:sz="10" w:space="0"/>
              <w:bottom w:val="nil"/>
            </w:tcBorders>
          </w:tcPr>
          <w:p>
            <w:pPr>
              <w:pStyle w:val="TableText"/>
              <w:ind w:left="680"/>
              <w:spacing w:before="171" w:line="229" w:lineRule="auto"/>
              <w:rPr/>
            </w:pPr>
            <w:r>
              <w:rPr>
                <w:spacing w:val="6"/>
              </w:rPr>
              <w:t>声源名称</w:t>
            </w:r>
          </w:p>
        </w:tc>
        <w:tc>
          <w:tcPr>
            <w:tcW w:w="1044" w:type="dxa"/>
            <w:vAlign w:val="top"/>
            <w:vMerge w:val="restart"/>
            <w:tcBorders>
              <w:top w:val="single" w:color="000000" w:sz="10" w:space="0"/>
              <w:bottom w:val="nil"/>
            </w:tcBorders>
          </w:tcPr>
          <w:p>
            <w:pPr>
              <w:pStyle w:val="TableText"/>
              <w:ind w:left="189"/>
              <w:spacing w:before="171" w:line="229" w:lineRule="auto"/>
              <w:rPr/>
            </w:pPr>
            <w:r>
              <w:rPr>
                <w:spacing w:val="4"/>
              </w:rPr>
              <w:t>数量</w:t>
            </w:r>
            <w:r>
              <w:rPr>
                <w:rFonts w:ascii="Times New Roman" w:hAnsi="Times New Roman" w:eastAsia="Times New Roman" w:cs="Times New Roman"/>
                <w:spacing w:val="4"/>
              </w:rPr>
              <w:t>/</w:t>
            </w:r>
            <w:r>
              <w:rPr>
                <w:spacing w:val="4"/>
              </w:rPr>
              <w:t>台</w:t>
            </w:r>
          </w:p>
        </w:tc>
        <w:tc>
          <w:tcPr>
            <w:tcW w:w="3572" w:type="dxa"/>
            <w:vAlign w:val="top"/>
            <w:gridSpan w:val="3"/>
            <w:tcBorders>
              <w:top w:val="single" w:color="000000" w:sz="10" w:space="0"/>
            </w:tcBorders>
          </w:tcPr>
          <w:p>
            <w:pPr>
              <w:pStyle w:val="TableText"/>
              <w:ind w:left="1067"/>
              <w:spacing w:before="37" w:line="213" w:lineRule="auto"/>
              <w:rPr>
                <w:rFonts w:ascii="Times New Roman" w:hAnsi="Times New Roman" w:eastAsia="Times New Roman" w:cs="Times New Roman"/>
              </w:rPr>
            </w:pPr>
            <w:r>
              <w:rPr>
                <w:spacing w:val="5"/>
              </w:rPr>
              <w:t>空间相对位置</w:t>
            </w:r>
            <w:r>
              <w:rPr>
                <w:rFonts w:ascii="Times New Roman" w:hAnsi="Times New Roman" w:eastAsia="Times New Roman" w:cs="Times New Roman"/>
                <w:spacing w:val="5"/>
              </w:rPr>
              <w:t>/m</w:t>
            </w:r>
          </w:p>
        </w:tc>
        <w:tc>
          <w:tcPr>
            <w:tcW w:w="1253" w:type="dxa"/>
            <w:vAlign w:val="top"/>
            <w:vMerge w:val="restart"/>
            <w:tcBorders>
              <w:top w:val="single" w:color="000000" w:sz="10" w:space="0"/>
              <w:bottom w:val="nil"/>
            </w:tcBorders>
          </w:tcPr>
          <w:p>
            <w:pPr>
              <w:pStyle w:val="TableText"/>
              <w:ind w:left="187" w:right="205" w:firstLine="29"/>
              <w:spacing w:before="37" w:line="231" w:lineRule="auto"/>
              <w:rPr/>
            </w:pPr>
            <w:r>
              <w:rPr>
                <w:spacing w:val="6"/>
              </w:rPr>
              <w:t>声源源强</w:t>
            </w:r>
            <w:r>
              <w:rPr>
                <w:rFonts w:ascii="Times New Roman" w:hAnsi="Times New Roman" w:eastAsia="Times New Roman" w:cs="Times New Roman"/>
                <w:spacing w:val="5"/>
              </w:rPr>
              <w:t>/</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c>
          <w:tcPr>
            <w:tcW w:w="1672" w:type="dxa"/>
            <w:vAlign w:val="top"/>
            <w:vMerge w:val="restart"/>
            <w:tcBorders>
              <w:top w:val="single" w:color="000000" w:sz="10" w:space="0"/>
              <w:bottom w:val="nil"/>
            </w:tcBorders>
          </w:tcPr>
          <w:p>
            <w:pPr>
              <w:pStyle w:val="TableText"/>
              <w:ind w:left="429"/>
              <w:spacing w:before="171" w:line="230" w:lineRule="auto"/>
              <w:rPr/>
            </w:pPr>
            <w:r>
              <w:rPr>
                <w:spacing w:val="5"/>
              </w:rPr>
              <w:t>放置位置</w:t>
            </w:r>
          </w:p>
        </w:tc>
        <w:tc>
          <w:tcPr>
            <w:tcW w:w="2679" w:type="dxa"/>
            <w:vAlign w:val="top"/>
            <w:vMerge w:val="restart"/>
            <w:tcBorders>
              <w:top w:val="single" w:color="000000" w:sz="10" w:space="0"/>
              <w:bottom w:val="nil"/>
            </w:tcBorders>
          </w:tcPr>
          <w:p>
            <w:pPr>
              <w:pStyle w:val="TableText"/>
              <w:ind w:left="932"/>
              <w:spacing w:before="171" w:line="230" w:lineRule="auto"/>
              <w:rPr/>
            </w:pPr>
            <w:r>
              <w:rPr>
                <w:spacing w:val="5"/>
              </w:rPr>
              <w:t>控制措施</w:t>
            </w:r>
          </w:p>
        </w:tc>
        <w:tc>
          <w:tcPr>
            <w:tcW w:w="1170" w:type="dxa"/>
            <w:vAlign w:val="top"/>
            <w:vMerge w:val="restart"/>
            <w:tcBorders>
              <w:right w:val="nil"/>
              <w:top w:val="single" w:color="000000" w:sz="10" w:space="0"/>
              <w:bottom w:val="nil"/>
            </w:tcBorders>
          </w:tcPr>
          <w:p>
            <w:pPr>
              <w:pStyle w:val="TableText"/>
              <w:ind w:left="178"/>
              <w:spacing w:before="171" w:line="229" w:lineRule="auto"/>
              <w:rPr/>
            </w:pPr>
            <w:r>
              <w:rPr>
                <w:spacing w:val="5"/>
              </w:rPr>
              <w:t>运行时段</w:t>
            </w:r>
          </w:p>
        </w:tc>
      </w:tr>
      <w:tr>
        <w:trPr>
          <w:trHeight w:val="265" w:hRule="atLeast"/>
        </w:trPr>
        <w:tc>
          <w:tcPr>
            <w:tcW w:w="637" w:type="dxa"/>
            <w:vAlign w:val="top"/>
            <w:vMerge w:val="continue"/>
            <w:tcBorders>
              <w:left w:val="nil"/>
              <w:top w:val="nil"/>
            </w:tcBorders>
          </w:tcPr>
          <w:p>
            <w:pPr>
              <w:rPr>
                <w:rFonts w:ascii="Arial"/>
                <w:sz w:val="21"/>
              </w:rPr>
            </w:pPr>
            <w:r/>
          </w:p>
        </w:tc>
        <w:tc>
          <w:tcPr>
            <w:tcW w:w="2181" w:type="dxa"/>
            <w:vAlign w:val="top"/>
            <w:vMerge w:val="continue"/>
            <w:tcBorders>
              <w:top w:val="nil"/>
            </w:tcBorders>
          </w:tcPr>
          <w:p>
            <w:pPr>
              <w:rPr>
                <w:rFonts w:ascii="Arial"/>
                <w:sz w:val="21"/>
              </w:rPr>
            </w:pPr>
            <w:r/>
          </w:p>
        </w:tc>
        <w:tc>
          <w:tcPr>
            <w:tcW w:w="1044" w:type="dxa"/>
            <w:vAlign w:val="top"/>
            <w:vMerge w:val="continue"/>
            <w:tcBorders>
              <w:top w:val="nil"/>
            </w:tcBorders>
          </w:tcPr>
          <w:p>
            <w:pPr>
              <w:rPr>
                <w:rFonts w:ascii="Arial"/>
                <w:sz w:val="21"/>
              </w:rPr>
            </w:pPr>
            <w:r/>
          </w:p>
        </w:tc>
        <w:tc>
          <w:tcPr>
            <w:tcW w:w="1143" w:type="dxa"/>
            <w:vAlign w:val="top"/>
          </w:tcPr>
          <w:p>
            <w:pPr>
              <w:ind w:left="494"/>
              <w:spacing w:before="6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1180" w:type="dxa"/>
            <w:vAlign w:val="top"/>
          </w:tcPr>
          <w:p>
            <w:pPr>
              <w:ind w:left="513"/>
              <w:spacing w:before="6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1249" w:type="dxa"/>
            <w:vAlign w:val="top"/>
          </w:tcPr>
          <w:p>
            <w:pPr>
              <w:ind w:left="560"/>
              <w:spacing w:before="6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1253" w:type="dxa"/>
            <w:vAlign w:val="top"/>
            <w:vMerge w:val="continue"/>
            <w:tcBorders>
              <w:top w:val="nil"/>
            </w:tcBorders>
          </w:tcPr>
          <w:p>
            <w:pPr>
              <w:rPr>
                <w:rFonts w:ascii="Arial"/>
                <w:sz w:val="21"/>
              </w:rPr>
            </w:pPr>
            <w:r/>
          </w:p>
        </w:tc>
        <w:tc>
          <w:tcPr>
            <w:tcW w:w="1672" w:type="dxa"/>
            <w:vAlign w:val="top"/>
            <w:vMerge w:val="continue"/>
            <w:tcBorders>
              <w:top w:val="nil"/>
            </w:tcBorders>
          </w:tcPr>
          <w:p>
            <w:pPr>
              <w:rPr>
                <w:rFonts w:ascii="Arial"/>
                <w:sz w:val="21"/>
              </w:rPr>
            </w:pPr>
            <w:r/>
          </w:p>
        </w:tc>
        <w:tc>
          <w:tcPr>
            <w:tcW w:w="2679" w:type="dxa"/>
            <w:vAlign w:val="top"/>
            <w:vMerge w:val="continue"/>
            <w:tcBorders>
              <w:top w:val="nil"/>
            </w:tcBorders>
          </w:tcPr>
          <w:p>
            <w:pPr>
              <w:rPr>
                <w:rFonts w:ascii="Arial"/>
                <w:sz w:val="21"/>
              </w:rPr>
            </w:pPr>
            <w:r/>
          </w:p>
        </w:tc>
        <w:tc>
          <w:tcPr>
            <w:tcW w:w="1170" w:type="dxa"/>
            <w:vAlign w:val="top"/>
            <w:vMerge w:val="continue"/>
            <w:tcBorders>
              <w:right w:val="nil"/>
              <w:top w:val="nil"/>
            </w:tcBorders>
          </w:tcPr>
          <w:p>
            <w:pPr>
              <w:rPr>
                <w:rFonts w:ascii="Arial"/>
                <w:sz w:val="21"/>
              </w:rPr>
            </w:pPr>
            <w:r/>
          </w:p>
        </w:tc>
      </w:tr>
      <w:tr>
        <w:trPr>
          <w:trHeight w:val="273" w:hRule="atLeast"/>
        </w:trPr>
        <w:tc>
          <w:tcPr>
            <w:tcW w:w="637" w:type="dxa"/>
            <w:vAlign w:val="top"/>
            <w:tcBorders>
              <w:left w:val="nil"/>
            </w:tcBorders>
          </w:tcPr>
          <w:p>
            <w:pPr>
              <w:ind w:left="221"/>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181" w:type="dxa"/>
            <w:vAlign w:val="top"/>
          </w:tcPr>
          <w:p>
            <w:pPr>
              <w:pStyle w:val="TableText"/>
              <w:ind w:left="158"/>
              <w:spacing w:before="38" w:line="207" w:lineRule="auto"/>
              <w:rPr/>
            </w:pPr>
            <w:r>
              <w:rPr>
                <w:spacing w:val="8"/>
              </w:rPr>
              <w:t>无硫化接头环形皮带</w:t>
            </w:r>
          </w:p>
        </w:tc>
        <w:tc>
          <w:tcPr>
            <w:tcW w:w="1044" w:type="dxa"/>
            <w:vAlign w:val="top"/>
          </w:tcPr>
          <w:p>
            <w:pPr>
              <w:ind w:left="490"/>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146</w:t>
            </w:r>
          </w:p>
        </w:tc>
        <w:tc>
          <w:tcPr>
            <w:tcW w:w="1180" w:type="dxa"/>
            <w:vAlign w:val="top"/>
          </w:tcPr>
          <w:p>
            <w:pPr>
              <w:ind w:left="491"/>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49" w:type="dxa"/>
            <w:vAlign w:val="top"/>
          </w:tcPr>
          <w:p>
            <w:pPr>
              <w:ind w:left="59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3" w:type="dxa"/>
            <w:vAlign w:val="top"/>
          </w:tcPr>
          <w:p>
            <w:pPr>
              <w:ind w:left="521"/>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672" w:type="dxa"/>
            <w:vAlign w:val="top"/>
          </w:tcPr>
          <w:p>
            <w:pPr>
              <w:pStyle w:val="TableText"/>
              <w:ind w:left="532"/>
              <w:spacing w:before="38" w:line="207" w:lineRule="auto"/>
              <w:rPr/>
            </w:pPr>
            <w:r>
              <w:rPr>
                <w:spacing w:val="4"/>
              </w:rPr>
              <w:t>充填站</w:t>
            </w:r>
          </w:p>
        </w:tc>
        <w:tc>
          <w:tcPr>
            <w:tcW w:w="2679" w:type="dxa"/>
            <w:vAlign w:val="top"/>
            <w:tcBorders>
              <w:bottom w:val="nil"/>
            </w:tcBorders>
          </w:tcPr>
          <w:p>
            <w:pPr>
              <w:rPr>
                <w:rFonts w:ascii="Arial"/>
                <w:sz w:val="21"/>
              </w:rPr>
            </w:pPr>
            <w:r/>
          </w:p>
        </w:tc>
        <w:tc>
          <w:tcPr>
            <w:tcW w:w="1170" w:type="dxa"/>
            <w:vAlign w:val="top"/>
            <w:tcBorders>
              <w:right w:val="nil"/>
            </w:tcBorders>
          </w:tcPr>
          <w:p>
            <w:pPr>
              <w:pStyle w:val="TableText"/>
              <w:ind w:left="253"/>
              <w:spacing w:before="38" w:line="207" w:lineRule="auto"/>
              <w:rPr/>
            </w:pPr>
            <w:r>
              <w:rPr>
                <w:spacing w:val="3"/>
              </w:rPr>
              <w:t>昼</w:t>
            </w:r>
            <w:r>
              <w:rPr>
                <w:rFonts w:ascii="Times New Roman" w:hAnsi="Times New Roman" w:eastAsia="Times New Roman" w:cs="Times New Roman"/>
                <w:spacing w:val="3"/>
              </w:rPr>
              <w:t>/</w:t>
            </w:r>
            <w:r>
              <w:rPr>
                <w:spacing w:val="3"/>
              </w:rPr>
              <w:t>夜间</w:t>
            </w:r>
          </w:p>
        </w:tc>
      </w:tr>
      <w:tr>
        <w:trPr>
          <w:trHeight w:val="273" w:hRule="atLeast"/>
        </w:trPr>
        <w:tc>
          <w:tcPr>
            <w:tcW w:w="637" w:type="dxa"/>
            <w:vAlign w:val="top"/>
            <w:tcBorders>
              <w:left w:val="nil"/>
            </w:tcBorders>
          </w:tcPr>
          <w:p>
            <w:pPr>
              <w:ind w:left="215"/>
              <w:spacing w:before="7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2181" w:type="dxa"/>
            <w:vAlign w:val="top"/>
          </w:tcPr>
          <w:p>
            <w:pPr>
              <w:pStyle w:val="TableText"/>
              <w:ind w:left="789"/>
              <w:spacing w:before="40" w:line="205" w:lineRule="auto"/>
              <w:rPr/>
            </w:pPr>
            <w:r>
              <w:rPr>
                <w:spacing w:val="4"/>
              </w:rPr>
              <w:t>清水泵</w:t>
            </w:r>
          </w:p>
        </w:tc>
        <w:tc>
          <w:tcPr>
            <w:tcW w:w="1044" w:type="dxa"/>
            <w:vAlign w:val="top"/>
          </w:tcPr>
          <w:p>
            <w:pPr>
              <w:rPr>
                <w:rFonts w:ascii="Arial"/>
                <w:sz w:val="21"/>
              </w:rPr>
            </w:pPr>
            <w:r/>
          </w:p>
        </w:tc>
        <w:tc>
          <w:tcPr>
            <w:tcW w:w="1143" w:type="dxa"/>
            <w:vAlign w:val="top"/>
          </w:tcPr>
          <w:p>
            <w:pPr>
              <w:rPr>
                <w:rFonts w:ascii="Arial"/>
                <w:sz w:val="21"/>
              </w:rPr>
            </w:pPr>
            <w:r/>
          </w:p>
        </w:tc>
        <w:tc>
          <w:tcPr>
            <w:tcW w:w="1180" w:type="dxa"/>
            <w:vAlign w:val="top"/>
          </w:tcPr>
          <w:p>
            <w:pPr>
              <w:rPr>
                <w:rFonts w:ascii="Arial"/>
                <w:sz w:val="21"/>
              </w:rPr>
            </w:pPr>
            <w:r/>
          </w:p>
        </w:tc>
        <w:tc>
          <w:tcPr>
            <w:tcW w:w="1249" w:type="dxa"/>
            <w:vAlign w:val="top"/>
          </w:tcPr>
          <w:p>
            <w:pPr>
              <w:rPr>
                <w:rFonts w:ascii="Arial"/>
                <w:sz w:val="21"/>
              </w:rPr>
            </w:pPr>
            <w:r/>
          </w:p>
        </w:tc>
        <w:tc>
          <w:tcPr>
            <w:tcW w:w="1253" w:type="dxa"/>
            <w:vAlign w:val="top"/>
          </w:tcPr>
          <w:p>
            <w:pPr>
              <w:rPr>
                <w:rFonts w:ascii="Arial"/>
                <w:sz w:val="21"/>
              </w:rPr>
            </w:pPr>
            <w:r/>
          </w:p>
        </w:tc>
        <w:tc>
          <w:tcPr>
            <w:tcW w:w="1672" w:type="dxa"/>
            <w:vAlign w:val="top"/>
          </w:tcPr>
          <w:p>
            <w:pPr>
              <w:rPr>
                <w:rFonts w:ascii="Arial"/>
                <w:sz w:val="21"/>
              </w:rPr>
            </w:pPr>
            <w:r/>
          </w:p>
        </w:tc>
        <w:tc>
          <w:tcPr>
            <w:tcW w:w="2679" w:type="dxa"/>
            <w:vAlign w:val="top"/>
            <w:tcBorders>
              <w:bottom w:val="nil"/>
              <w:top w:val="nil"/>
            </w:tcBorders>
          </w:tcPr>
          <w:p>
            <w:pPr>
              <w:rPr>
                <w:rFonts w:ascii="Arial"/>
                <w:sz w:val="21"/>
              </w:rPr>
            </w:pPr>
            <w:r/>
          </w:p>
        </w:tc>
        <w:tc>
          <w:tcPr>
            <w:tcW w:w="1170" w:type="dxa"/>
            <w:vAlign w:val="top"/>
            <w:tcBorders>
              <w:right w:val="nil"/>
            </w:tcBorders>
          </w:tcPr>
          <w:p>
            <w:pPr>
              <w:rPr>
                <w:rFonts w:ascii="Arial"/>
                <w:sz w:val="21"/>
              </w:rPr>
            </w:pPr>
            <w:r/>
          </w:p>
        </w:tc>
      </w:tr>
      <w:tr>
        <w:trPr>
          <w:trHeight w:val="274" w:hRule="atLeast"/>
        </w:trPr>
        <w:tc>
          <w:tcPr>
            <w:tcW w:w="637" w:type="dxa"/>
            <w:vAlign w:val="top"/>
            <w:tcBorders>
              <w:left w:val="nil"/>
            </w:tcBorders>
          </w:tcPr>
          <w:p>
            <w:pPr>
              <w:ind w:left="136"/>
              <w:spacing w:before="82"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tc>
        <w:tc>
          <w:tcPr>
            <w:tcW w:w="2181" w:type="dxa"/>
            <w:vAlign w:val="top"/>
          </w:tcPr>
          <w:p>
            <w:pPr>
              <w:pStyle w:val="TableText"/>
              <w:ind w:left="789"/>
              <w:spacing w:before="46" w:line="201" w:lineRule="auto"/>
              <w:rPr/>
            </w:pPr>
            <w:r>
              <w:rPr>
                <w:spacing w:val="4"/>
              </w:rPr>
              <w:t>清水泵</w:t>
            </w:r>
          </w:p>
        </w:tc>
        <w:tc>
          <w:tcPr>
            <w:tcW w:w="1044" w:type="dxa"/>
            <w:vAlign w:val="top"/>
          </w:tcPr>
          <w:p>
            <w:pPr>
              <w:ind w:left="490"/>
              <w:spacing w:before="82"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82"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162</w:t>
            </w:r>
          </w:p>
        </w:tc>
        <w:tc>
          <w:tcPr>
            <w:tcW w:w="1180" w:type="dxa"/>
            <w:vAlign w:val="top"/>
          </w:tcPr>
          <w:p>
            <w:pPr>
              <w:ind w:left="491"/>
              <w:spacing w:before="82"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49" w:type="dxa"/>
            <w:vAlign w:val="top"/>
          </w:tcPr>
          <w:p>
            <w:pPr>
              <w:ind w:left="498"/>
              <w:spacing w:before="82"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3" w:type="dxa"/>
            <w:vAlign w:val="top"/>
          </w:tcPr>
          <w:p>
            <w:pPr>
              <w:ind w:left="526"/>
              <w:spacing w:before="8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2"/>
              <w:spacing w:before="46" w:line="201" w:lineRule="auto"/>
              <w:rPr/>
            </w:pPr>
            <w:r>
              <w:rPr>
                <w:spacing w:val="4"/>
              </w:rPr>
              <w:t>充填站</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3"/>
              <w:spacing w:before="46" w:line="201" w:lineRule="auto"/>
              <w:rPr/>
            </w:pPr>
            <w:r>
              <w:rPr>
                <w:spacing w:val="3"/>
              </w:rPr>
              <w:t>昼</w:t>
            </w:r>
            <w:r>
              <w:rPr>
                <w:rFonts w:ascii="Times New Roman" w:hAnsi="Times New Roman" w:eastAsia="Times New Roman" w:cs="Times New Roman"/>
                <w:spacing w:val="3"/>
              </w:rPr>
              <w:t>/</w:t>
            </w:r>
            <w:r>
              <w:rPr>
                <w:spacing w:val="3"/>
              </w:rPr>
              <w:t>夜间</w:t>
            </w:r>
          </w:p>
        </w:tc>
      </w:tr>
      <w:tr>
        <w:trPr>
          <w:trHeight w:val="274" w:hRule="atLeast"/>
        </w:trPr>
        <w:tc>
          <w:tcPr>
            <w:tcW w:w="637" w:type="dxa"/>
            <w:vAlign w:val="top"/>
            <w:tcBorders>
              <w:left w:val="nil"/>
            </w:tcBorders>
          </w:tcPr>
          <w:p>
            <w:pPr>
              <w:ind w:left="136"/>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40.2</w:t>
            </w:r>
          </w:p>
        </w:tc>
        <w:tc>
          <w:tcPr>
            <w:tcW w:w="2181" w:type="dxa"/>
            <w:vAlign w:val="top"/>
          </w:tcPr>
          <w:p>
            <w:pPr>
              <w:pStyle w:val="TableText"/>
              <w:ind w:left="789"/>
              <w:spacing w:before="48" w:line="199" w:lineRule="auto"/>
              <w:rPr/>
            </w:pPr>
            <w:r>
              <w:rPr>
                <w:spacing w:val="4"/>
              </w:rPr>
              <w:t>清水泵</w:t>
            </w:r>
          </w:p>
        </w:tc>
        <w:tc>
          <w:tcPr>
            <w:tcW w:w="1044" w:type="dxa"/>
            <w:vAlign w:val="top"/>
          </w:tcPr>
          <w:p>
            <w:pPr>
              <w:ind w:left="490"/>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pPr>
              <w:ind w:left="435"/>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164</w:t>
            </w:r>
          </w:p>
        </w:tc>
        <w:tc>
          <w:tcPr>
            <w:tcW w:w="1180" w:type="dxa"/>
            <w:vAlign w:val="top"/>
          </w:tcPr>
          <w:p>
            <w:pPr>
              <w:ind w:left="491"/>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49" w:type="dxa"/>
            <w:vAlign w:val="top"/>
          </w:tcPr>
          <w:p>
            <w:pPr>
              <w:ind w:left="498"/>
              <w:spacing w:before="8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53" w:type="dxa"/>
            <w:vAlign w:val="top"/>
          </w:tcPr>
          <w:p>
            <w:pPr>
              <w:ind w:left="526"/>
              <w:spacing w:before="87"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672" w:type="dxa"/>
            <w:vAlign w:val="top"/>
          </w:tcPr>
          <w:p>
            <w:pPr>
              <w:pStyle w:val="TableText"/>
              <w:ind w:left="532"/>
              <w:spacing w:before="48" w:line="199" w:lineRule="auto"/>
              <w:rPr/>
            </w:pPr>
            <w:r>
              <w:rPr>
                <w:spacing w:val="4"/>
              </w:rPr>
              <w:t>充填站</w:t>
            </w:r>
          </w:p>
        </w:tc>
        <w:tc>
          <w:tcPr>
            <w:tcW w:w="2679" w:type="dxa"/>
            <w:vAlign w:val="top"/>
            <w:tcBorders>
              <w:bottom w:val="nil"/>
              <w:top w:val="nil"/>
            </w:tcBorders>
          </w:tcPr>
          <w:p>
            <w:pPr>
              <w:rPr>
                <w:rFonts w:ascii="Arial"/>
                <w:sz w:val="21"/>
              </w:rPr>
            </w:pPr>
            <w:r/>
          </w:p>
        </w:tc>
        <w:tc>
          <w:tcPr>
            <w:tcW w:w="1170" w:type="dxa"/>
            <w:vAlign w:val="top"/>
            <w:tcBorders>
              <w:right w:val="nil"/>
            </w:tcBorders>
          </w:tcPr>
          <w:p>
            <w:pPr>
              <w:pStyle w:val="TableText"/>
              <w:ind w:left="253"/>
              <w:spacing w:before="48" w:line="199" w:lineRule="auto"/>
              <w:rPr/>
            </w:pPr>
            <w:r>
              <w:rPr>
                <w:spacing w:val="3"/>
              </w:rPr>
              <w:t>昼</w:t>
            </w:r>
            <w:r>
              <w:rPr>
                <w:rFonts w:ascii="Times New Roman" w:hAnsi="Times New Roman" w:eastAsia="Times New Roman" w:cs="Times New Roman"/>
                <w:spacing w:val="3"/>
              </w:rPr>
              <w:t>/</w:t>
            </w:r>
            <w:r>
              <w:rPr>
                <w:spacing w:val="3"/>
              </w:rPr>
              <w:t>夜间</w:t>
            </w:r>
          </w:p>
        </w:tc>
      </w:tr>
      <w:tr>
        <w:trPr>
          <w:trHeight w:val="297" w:hRule="atLeast"/>
        </w:trPr>
        <w:tc>
          <w:tcPr>
            <w:tcW w:w="637" w:type="dxa"/>
            <w:vAlign w:val="top"/>
            <w:tcBorders>
              <w:left w:val="nil"/>
              <w:bottom w:val="single" w:color="000000" w:sz="10" w:space="0"/>
            </w:tcBorders>
          </w:tcPr>
          <w:p>
            <w:pPr>
              <w:ind w:left="21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c>
          <w:tcPr>
            <w:tcW w:w="2181" w:type="dxa"/>
            <w:vAlign w:val="top"/>
            <w:tcBorders>
              <w:bottom w:val="single" w:color="000000" w:sz="10" w:space="0"/>
            </w:tcBorders>
          </w:tcPr>
          <w:p>
            <w:pPr>
              <w:pStyle w:val="TableText"/>
              <w:ind w:left="798"/>
              <w:spacing w:before="53" w:line="216" w:lineRule="auto"/>
              <w:rPr/>
            </w:pPr>
            <w:r>
              <w:rPr>
                <w:spacing w:val="1"/>
              </w:rPr>
              <w:t>空压机</w:t>
            </w:r>
          </w:p>
        </w:tc>
        <w:tc>
          <w:tcPr>
            <w:tcW w:w="1044" w:type="dxa"/>
            <w:vAlign w:val="top"/>
            <w:tcBorders>
              <w:bottom w:val="single" w:color="000000" w:sz="10" w:space="0"/>
            </w:tcBorders>
          </w:tcPr>
          <w:p>
            <w:pPr>
              <w:ind w:left="490"/>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Borders>
              <w:bottom w:val="single" w:color="000000" w:sz="10" w:space="0"/>
            </w:tcBorders>
          </w:tcPr>
          <w:p>
            <w:pPr>
              <w:ind w:left="43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1180" w:type="dxa"/>
            <w:vAlign w:val="top"/>
            <w:tcBorders>
              <w:bottom w:val="single" w:color="000000" w:sz="10" w:space="0"/>
            </w:tcBorders>
          </w:tcPr>
          <w:p>
            <w:pPr>
              <w:ind w:left="487"/>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49" w:type="dxa"/>
            <w:vAlign w:val="top"/>
            <w:tcBorders>
              <w:bottom w:val="single" w:color="000000" w:sz="10" w:space="0"/>
            </w:tcBorders>
          </w:tcPr>
          <w:p>
            <w:pPr>
              <w:ind w:left="594"/>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3" w:type="dxa"/>
            <w:vAlign w:val="top"/>
            <w:tcBorders>
              <w:bottom w:val="single" w:color="000000" w:sz="10" w:space="0"/>
            </w:tcBorders>
          </w:tcPr>
          <w:p>
            <w:pPr>
              <w:ind w:left="531"/>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672" w:type="dxa"/>
            <w:vAlign w:val="top"/>
            <w:tcBorders>
              <w:bottom w:val="single" w:color="000000" w:sz="10" w:space="0"/>
            </w:tcBorders>
          </w:tcPr>
          <w:p>
            <w:pPr>
              <w:pStyle w:val="TableText"/>
              <w:ind w:left="532"/>
              <w:spacing w:before="53" w:line="216" w:lineRule="auto"/>
              <w:rPr/>
            </w:pPr>
            <w:r>
              <w:rPr>
                <w:spacing w:val="4"/>
              </w:rPr>
              <w:t>充填站</w:t>
            </w:r>
          </w:p>
        </w:tc>
        <w:tc>
          <w:tcPr>
            <w:tcW w:w="2679" w:type="dxa"/>
            <w:vAlign w:val="top"/>
            <w:tcBorders>
              <w:top w:val="nil"/>
              <w:bottom w:val="single" w:color="000000" w:sz="10" w:space="0"/>
            </w:tcBorders>
          </w:tcPr>
          <w:p>
            <w:pPr>
              <w:rPr>
                <w:rFonts w:ascii="Arial"/>
                <w:sz w:val="21"/>
              </w:rPr>
            </w:pPr>
            <w:r/>
          </w:p>
        </w:tc>
        <w:tc>
          <w:tcPr>
            <w:tcW w:w="1170" w:type="dxa"/>
            <w:vAlign w:val="top"/>
            <w:tcBorders>
              <w:right w:val="nil"/>
              <w:bottom w:val="single" w:color="000000" w:sz="10" w:space="0"/>
            </w:tcBorders>
          </w:tcPr>
          <w:p>
            <w:pPr>
              <w:pStyle w:val="TableText"/>
              <w:ind w:left="253"/>
              <w:spacing w:before="53" w:line="216" w:lineRule="auto"/>
              <w:rPr/>
            </w:pPr>
            <w:r>
              <w:rPr>
                <w:spacing w:val="3"/>
              </w:rPr>
              <w:t>昼</w:t>
            </w:r>
            <w:r>
              <w:rPr>
                <w:rFonts w:ascii="Times New Roman" w:hAnsi="Times New Roman" w:eastAsia="Times New Roman" w:cs="Times New Roman"/>
                <w:spacing w:val="3"/>
              </w:rPr>
              <w:t>/</w:t>
            </w:r>
            <w:r>
              <w:rPr>
                <w:spacing w:val="3"/>
              </w:rPr>
              <w:t>夜间</w:t>
            </w:r>
          </w:p>
        </w:tc>
      </w:tr>
    </w:tbl>
    <w:p>
      <w:pPr>
        <w:pStyle w:val="BodyText"/>
        <w:rPr/>
      </w:pPr>
      <w:r/>
    </w:p>
    <w:p>
      <w:pPr>
        <w:sectPr>
          <w:footerReference w:type="default" r:id="rId195"/>
          <w:pgSz w:w="16839" w:h="11911"/>
          <w:pgMar w:top="400" w:right="1320" w:bottom="1147" w:left="1309" w:header="0" w:footer="984" w:gutter="0"/>
        </w:sectPr>
        <w:rPr/>
      </w:pPr>
    </w:p>
    <w:p>
      <w:pPr>
        <w:ind w:left="511"/>
        <w:spacing w:before="312" w:line="224" w:lineRule="auto"/>
        <w:rPr>
          <w:rFonts w:ascii="FangSong" w:hAnsi="FangSong" w:eastAsia="FangSong" w:cs="FangSong"/>
          <w:sz w:val="24"/>
          <w:szCs w:val="24"/>
        </w:rPr>
      </w:pPr>
      <w:bookmarkStart w:name="bookmark562" w:id="260"/>
      <w:bookmarkEnd w:id="260"/>
      <w:r>
        <w:rPr>
          <w:rFonts w:ascii="FangSong" w:hAnsi="FangSong" w:eastAsia="FangSong" w:cs="FangSong"/>
          <w:sz w:val="24"/>
          <w:szCs w:val="24"/>
          <w:spacing w:val="-5"/>
        </w:rPr>
        <w:t>（</w:t>
      </w:r>
      <w:r>
        <w:rPr>
          <w:rFonts w:ascii="Times New Roman" w:hAnsi="Times New Roman" w:eastAsia="Times New Roman" w:cs="Times New Roman"/>
          <w:sz w:val="24"/>
          <w:szCs w:val="24"/>
          <w:spacing w:val="-5"/>
        </w:rPr>
        <w:t>4</w:t>
      </w:r>
      <w:r>
        <w:rPr>
          <w:rFonts w:ascii="FangSong" w:hAnsi="FangSong" w:eastAsia="FangSong" w:cs="FangSong"/>
          <w:sz w:val="24"/>
          <w:szCs w:val="24"/>
          <w:spacing w:val="-5"/>
        </w:rPr>
        <w:t>）固废</w:t>
      </w:r>
    </w:p>
    <w:p>
      <w:pPr>
        <w:ind w:left="28" w:firstLine="479"/>
        <w:spacing w:before="174" w:line="359" w:lineRule="auto"/>
        <w:rPr>
          <w:rFonts w:ascii="FangSong" w:hAnsi="FangSong" w:eastAsia="FangSong" w:cs="FangSong"/>
          <w:sz w:val="24"/>
          <w:szCs w:val="24"/>
        </w:rPr>
      </w:pPr>
      <w:r>
        <w:rPr>
          <w:rFonts w:ascii="FangSong" w:hAnsi="FangSong" w:eastAsia="FangSong" w:cs="FangSong"/>
          <w:sz w:val="24"/>
          <w:szCs w:val="24"/>
          <w:spacing w:val="1"/>
        </w:rPr>
        <w:t>项目产生的固体废物主要包括一般工业固体废物、危险废物和生活垃圾及餐厨</w:t>
      </w:r>
      <w:r>
        <w:rPr>
          <w:rFonts w:ascii="FangSong" w:hAnsi="FangSong" w:eastAsia="FangSong" w:cs="FangSong"/>
          <w:sz w:val="24"/>
          <w:szCs w:val="24"/>
        </w:rPr>
        <w:t>垃圾（含废油脂</w:t>
      </w:r>
      <w:r>
        <w:rPr>
          <w:rFonts w:ascii="FangSong" w:hAnsi="FangSong" w:eastAsia="FangSong" w:cs="FangSong"/>
          <w:sz w:val="24"/>
          <w:szCs w:val="24"/>
          <w:spacing w:val="19"/>
        </w:rPr>
        <w:t>），</w:t>
      </w:r>
      <w:r>
        <w:rPr>
          <w:rFonts w:ascii="FangSong" w:hAnsi="FangSong" w:eastAsia="FangSong" w:cs="FangSong"/>
          <w:sz w:val="24"/>
          <w:szCs w:val="24"/>
        </w:rPr>
        <w:t>一般工业固体废物为采矿废石、选矿废石、污泥、尾砂、布袋</w:t>
      </w:r>
      <w:r>
        <w:rPr>
          <w:rFonts w:ascii="FangSong" w:hAnsi="FangSong" w:eastAsia="FangSong" w:cs="FangSong"/>
          <w:sz w:val="24"/>
          <w:szCs w:val="24"/>
          <w:spacing w:val="-3"/>
        </w:rPr>
        <w:t>除尘灰、废布袋、废钢球、废衬板及废筛网；危</w:t>
      </w:r>
      <w:r>
        <w:rPr>
          <w:rFonts w:ascii="FangSong" w:hAnsi="FangSong" w:eastAsia="FangSong" w:cs="FangSong"/>
          <w:sz w:val="24"/>
          <w:szCs w:val="24"/>
          <w:spacing w:val="-4"/>
        </w:rPr>
        <w:t>险废物主要为含油抹布及劳保用品、</w:t>
      </w:r>
      <w:r>
        <w:rPr>
          <w:rFonts w:ascii="FangSong" w:hAnsi="FangSong" w:eastAsia="FangSong" w:cs="FangSong"/>
          <w:sz w:val="24"/>
          <w:szCs w:val="24"/>
          <w:spacing w:val="-3"/>
        </w:rPr>
        <w:t>废机油及废油桶。</w:t>
      </w:r>
    </w:p>
    <w:p>
      <w:pPr>
        <w:ind w:left="507"/>
        <w:spacing w:line="221" w:lineRule="auto"/>
        <w:rPr>
          <w:rFonts w:ascii="FangSong" w:hAnsi="FangSong" w:eastAsia="FangSong" w:cs="FangSong"/>
          <w:sz w:val="24"/>
          <w:szCs w:val="24"/>
        </w:rPr>
      </w:pPr>
      <w:r>
        <w:rPr>
          <w:rFonts w:ascii="FangSong" w:hAnsi="FangSong" w:eastAsia="FangSong" w:cs="FangSong"/>
          <w:sz w:val="24"/>
          <w:szCs w:val="24"/>
          <w:spacing w:val="-2"/>
        </w:rPr>
        <w:t>各类固废产生情况核算如下。</w:t>
      </w:r>
    </w:p>
    <w:p>
      <w:pPr>
        <w:ind w:left="499"/>
        <w:spacing w:before="179" w:line="222" w:lineRule="auto"/>
        <w:rPr>
          <w:rFonts w:ascii="FangSong" w:hAnsi="FangSong" w:eastAsia="FangSong" w:cs="FangSong"/>
          <w:sz w:val="24"/>
          <w:szCs w:val="24"/>
        </w:rPr>
      </w:pPr>
      <w:r>
        <w:rPr>
          <w:rFonts w:ascii="FangSong" w:hAnsi="FangSong" w:eastAsia="FangSong" w:cs="FangSong"/>
          <w:sz w:val="24"/>
          <w:szCs w:val="24"/>
          <w:spacing w:val="-3"/>
        </w:rPr>
        <w:t>①</w:t>
      </w:r>
      <w:r>
        <w:rPr>
          <w:rFonts w:ascii="FangSong" w:hAnsi="FangSong" w:eastAsia="FangSong" w:cs="FangSong"/>
          <w:sz w:val="24"/>
          <w:szCs w:val="24"/>
          <w:spacing w:val="44"/>
        </w:rPr>
        <w:t xml:space="preserve"> </w:t>
      </w:r>
      <w:r>
        <w:rPr>
          <w:rFonts w:ascii="FangSong" w:hAnsi="FangSong" w:eastAsia="FangSong" w:cs="FangSong"/>
          <w:sz w:val="24"/>
          <w:szCs w:val="24"/>
          <w:spacing w:val="-3"/>
        </w:rPr>
        <w:t>员工生活垃圾、餐厨垃圾（含废油脂）</w:t>
      </w:r>
    </w:p>
    <w:p>
      <w:pPr>
        <w:ind w:left="24" w:right="76" w:firstLine="483"/>
        <w:spacing w:before="178" w:line="357" w:lineRule="auto"/>
        <w:rPr>
          <w:rFonts w:ascii="FangSong" w:hAnsi="FangSong" w:eastAsia="FangSong" w:cs="FangSong"/>
          <w:sz w:val="24"/>
          <w:szCs w:val="24"/>
        </w:rPr>
      </w:pPr>
      <w:r>
        <w:rPr>
          <w:rFonts w:ascii="FangSong" w:hAnsi="FangSong" w:eastAsia="FangSong" w:cs="FangSong"/>
          <w:sz w:val="24"/>
          <w:szCs w:val="24"/>
          <w:spacing w:val="-2"/>
        </w:rPr>
        <w:t>项目劳动定员</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134</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人</w:t>
      </w:r>
      <w:r>
        <w:rPr>
          <w:rFonts w:ascii="FangSong" w:hAnsi="FangSong" w:eastAsia="FangSong" w:cs="FangSong"/>
          <w:sz w:val="24"/>
          <w:szCs w:val="24"/>
          <w:spacing w:val="37"/>
        </w:rPr>
        <w:t xml:space="preserve"> </w:t>
      </w:r>
      <w:r>
        <w:rPr>
          <w:rFonts w:ascii="FangSong" w:hAnsi="FangSong" w:eastAsia="FangSong" w:cs="FangSong"/>
          <w:sz w:val="24"/>
          <w:szCs w:val="24"/>
          <w:spacing w:val="-2"/>
        </w:rPr>
        <w:t>，人均生活垃圾按每人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0.5kg/d</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3"/>
        </w:rPr>
        <w:t>计，生活垃圾年产生量为</w:t>
      </w:r>
      <w:r>
        <w:rPr>
          <w:rFonts w:ascii="Times New Roman" w:hAnsi="Times New Roman" w:eastAsia="Times New Roman" w:cs="Times New Roman"/>
          <w:sz w:val="24"/>
          <w:szCs w:val="24"/>
          <w:spacing w:val="-10"/>
        </w:rPr>
        <w:t>17.55t/a</w:t>
      </w:r>
      <w:r>
        <w:rPr>
          <w:rFonts w:ascii="FangSong" w:hAnsi="FangSong" w:eastAsia="FangSong" w:cs="FangSong"/>
          <w:sz w:val="24"/>
          <w:szCs w:val="24"/>
          <w:spacing w:val="-10"/>
        </w:rPr>
        <w:t>，设置垃圾收集桶，定期交环卫部门处理；餐厨垃圾（含废油脂）产生按</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0"/>
        </w:rPr>
        <w:t>0.3kg/</w:t>
      </w:r>
      <w:r>
        <w:rPr>
          <w:rFonts w:ascii="FangSong" w:hAnsi="FangSong" w:eastAsia="FangSong" w:cs="FangSong"/>
          <w:sz w:val="24"/>
          <w:szCs w:val="24"/>
          <w:spacing w:val="-4"/>
        </w:rPr>
        <w:t>人</w:t>
      </w:r>
      <w:r>
        <w:rPr>
          <w:rFonts w:ascii="FangSong" w:hAnsi="FangSong" w:eastAsia="FangSong" w:cs="FangSong"/>
          <w:sz w:val="24"/>
          <w:szCs w:val="24"/>
          <w:spacing w:val="-27"/>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计，则餐厨垃圾（含废油脂）产生量</w:t>
      </w:r>
      <w:r>
        <w:rPr>
          <w:rFonts w:ascii="FangSong" w:hAnsi="FangSong" w:eastAsia="FangSong" w:cs="FangSong"/>
          <w:sz w:val="24"/>
          <w:szCs w:val="24"/>
          <w:spacing w:val="-5"/>
        </w:rPr>
        <w:t>约为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10.53t/a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，集中密闭桶装收集，交由</w:t>
      </w:r>
      <w:r>
        <w:rPr>
          <w:rFonts w:ascii="FangSong" w:hAnsi="FangSong" w:eastAsia="FangSong" w:cs="FangSong"/>
          <w:sz w:val="24"/>
          <w:szCs w:val="24"/>
          <w:spacing w:val="-2"/>
        </w:rPr>
        <w:t>有资质的单位处理。</w:t>
      </w:r>
    </w:p>
    <w:p>
      <w:pPr>
        <w:ind w:left="498"/>
        <w:spacing w:before="10" w:line="221"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27"/>
        </w:rPr>
        <w:t xml:space="preserve"> </w:t>
      </w:r>
      <w:r>
        <w:rPr>
          <w:rFonts w:ascii="FangSong" w:hAnsi="FangSong" w:eastAsia="FangSong" w:cs="FangSong"/>
          <w:sz w:val="24"/>
          <w:szCs w:val="24"/>
          <w:spacing w:val="-4"/>
        </w:rPr>
        <w:t>一般工业固体废物</w:t>
      </w:r>
    </w:p>
    <w:p>
      <w:pPr>
        <w:ind w:left="492"/>
        <w:spacing w:before="181" w:line="222" w:lineRule="auto"/>
        <w:rPr>
          <w:rFonts w:ascii="FangSong" w:hAnsi="FangSong" w:eastAsia="FangSong" w:cs="FangSong"/>
          <w:sz w:val="24"/>
          <w:szCs w:val="24"/>
        </w:rPr>
      </w:pPr>
      <w:r>
        <w:rPr>
          <w:rFonts w:ascii="Times New Roman" w:hAnsi="Times New Roman" w:eastAsia="Times New Roman" w:cs="Times New Roman"/>
          <w:sz w:val="24"/>
          <w:szCs w:val="24"/>
          <w:spacing w:val="-6"/>
        </w:rPr>
        <w:t>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、采矿废石</w:t>
      </w:r>
    </w:p>
    <w:p>
      <w:pPr>
        <w:ind w:left="29" w:right="76" w:firstLine="478"/>
        <w:spacing w:before="178" w:line="359" w:lineRule="auto"/>
        <w:jc w:val="both"/>
        <w:rPr>
          <w:rFonts w:ascii="FangSong" w:hAnsi="FangSong" w:eastAsia="FangSong" w:cs="FangSong"/>
          <w:sz w:val="24"/>
          <w:szCs w:val="24"/>
        </w:rPr>
      </w:pPr>
      <w:r>
        <w:rPr>
          <w:rFonts w:ascii="FangSong" w:hAnsi="FangSong" w:eastAsia="FangSong" w:cs="FangSong"/>
          <w:sz w:val="24"/>
          <w:szCs w:val="24"/>
          <w:spacing w:val="1"/>
        </w:rPr>
        <w:t>根据《国家危险废物名录》（</w:t>
      </w:r>
      <w:r>
        <w:rPr>
          <w:rFonts w:ascii="Times New Roman" w:hAnsi="Times New Roman" w:eastAsia="Times New Roman" w:cs="Times New Roman"/>
          <w:sz w:val="24"/>
          <w:szCs w:val="24"/>
          <w:spacing w:val="1"/>
        </w:rPr>
        <w:t>2025</w:t>
      </w:r>
      <w:r>
        <w:rPr>
          <w:rFonts w:ascii="FangSong" w:hAnsi="FangSong" w:eastAsia="FangSong" w:cs="FangSong"/>
          <w:sz w:val="24"/>
          <w:szCs w:val="24"/>
          <w:spacing w:val="1"/>
        </w:rPr>
        <w:t>版</w:t>
      </w:r>
      <w:r>
        <w:rPr>
          <w:rFonts w:ascii="FangSong" w:hAnsi="FangSong" w:eastAsia="FangSong" w:cs="FangSong"/>
          <w:sz w:val="24"/>
          <w:szCs w:val="24"/>
          <w:spacing w:val="7"/>
        </w:rPr>
        <w:t>），</w:t>
      </w:r>
      <w:r>
        <w:rPr>
          <w:rFonts w:ascii="FangSong" w:hAnsi="FangSong" w:eastAsia="FangSong" w:cs="FangSong"/>
          <w:sz w:val="24"/>
          <w:szCs w:val="24"/>
          <w:spacing w:val="1"/>
        </w:rPr>
        <w:t>本项目产</w:t>
      </w:r>
      <w:r>
        <w:rPr>
          <w:rFonts w:ascii="FangSong" w:hAnsi="FangSong" w:eastAsia="FangSong" w:cs="FangSong"/>
          <w:sz w:val="24"/>
          <w:szCs w:val="24"/>
        </w:rPr>
        <w:t>生的废石不属于规定的危险</w:t>
      </w:r>
      <w:r>
        <w:rPr>
          <w:rFonts w:ascii="FangSong" w:hAnsi="FangSong" w:eastAsia="FangSong" w:cs="FangSong"/>
          <w:sz w:val="24"/>
          <w:szCs w:val="24"/>
        </w:rPr>
        <w:t>废物。另外根据“</w:t>
      </w:r>
      <w:r>
        <w:rPr>
          <w:rFonts w:ascii="Times New Roman" w:hAnsi="Times New Roman" w:eastAsia="Times New Roman" w:cs="Times New Roman"/>
          <w:sz w:val="24"/>
          <w:szCs w:val="24"/>
        </w:rPr>
        <w:t>2.6.2.4</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rPr>
        <w:t>章节</w:t>
      </w:r>
      <w:r>
        <w:rPr>
          <w:rFonts w:ascii="FangSong" w:hAnsi="FangSong" w:eastAsia="FangSong" w:cs="FangSong"/>
          <w:sz w:val="24"/>
          <w:szCs w:val="24"/>
          <w:spacing w:val="-86"/>
        </w:rPr>
        <w:t xml:space="preserve"> </w:t>
      </w:r>
      <w:r>
        <w:rPr>
          <w:rFonts w:ascii="FangSong" w:hAnsi="FangSong" w:eastAsia="FangSong" w:cs="FangSong"/>
          <w:sz w:val="24"/>
          <w:szCs w:val="24"/>
        </w:rPr>
        <w:t>”可知，本项目产生的</w:t>
      </w:r>
      <w:r>
        <w:rPr>
          <w:rFonts w:ascii="FangSong" w:hAnsi="FangSong" w:eastAsia="FangSong" w:cs="FangSong"/>
          <w:sz w:val="24"/>
          <w:szCs w:val="24"/>
          <w:spacing w:val="-1"/>
        </w:rPr>
        <w:t>废石属于第</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I</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
        </w:rPr>
        <w:t>类一般工业固体</w:t>
      </w:r>
      <w:r>
        <w:rPr>
          <w:rFonts w:ascii="FangSong" w:hAnsi="FangSong" w:eastAsia="FangSong" w:cs="FangSong"/>
          <w:sz w:val="24"/>
          <w:szCs w:val="24"/>
          <w:spacing w:val="-7"/>
        </w:rPr>
        <w:t>废物。</w:t>
      </w:r>
    </w:p>
    <w:p>
      <w:pPr>
        <w:ind w:left="29" w:right="76" w:firstLine="478"/>
        <w:spacing w:line="359" w:lineRule="auto"/>
        <w:rPr>
          <w:rFonts w:ascii="FangSong" w:hAnsi="FangSong" w:eastAsia="FangSong" w:cs="FangSong"/>
          <w:sz w:val="24"/>
          <w:szCs w:val="24"/>
        </w:rPr>
      </w:pPr>
      <w:r>
        <w:rPr>
          <w:rFonts w:ascii="FangSong" w:hAnsi="FangSong" w:eastAsia="FangSong" w:cs="FangSong"/>
          <w:sz w:val="24"/>
          <w:szCs w:val="24"/>
        </w:rPr>
        <w:t>根据开发方案可知，项目废石年产生量约</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1.08</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，废石不出坑，直接</w:t>
      </w:r>
      <w:r>
        <w:rPr>
          <w:rFonts w:ascii="FangSong" w:hAnsi="FangSong" w:eastAsia="FangSong" w:cs="FangSong"/>
          <w:sz w:val="24"/>
          <w:szCs w:val="24"/>
          <w:spacing w:val="-1"/>
        </w:rPr>
        <w:t>充填至</w:t>
      </w:r>
      <w:r>
        <w:rPr>
          <w:rFonts w:ascii="FangSong" w:hAnsi="FangSong" w:eastAsia="FangSong" w:cs="FangSong"/>
          <w:sz w:val="24"/>
          <w:szCs w:val="24"/>
          <w:spacing w:val="-4"/>
        </w:rPr>
        <w:t>井下空区。</w:t>
      </w:r>
    </w:p>
    <w:p>
      <w:pPr>
        <w:ind w:left="495"/>
        <w:spacing w:before="1" w:line="225" w:lineRule="auto"/>
        <w:rPr>
          <w:rFonts w:ascii="FangSong" w:hAnsi="FangSong" w:eastAsia="FangSong" w:cs="FangSong"/>
          <w:sz w:val="24"/>
          <w:szCs w:val="24"/>
        </w:rPr>
      </w:pPr>
      <w:r>
        <w:rPr>
          <w:rFonts w:ascii="Times New Roman" w:hAnsi="Times New Roman" w:eastAsia="Times New Roman" w:cs="Times New Roman"/>
          <w:sz w:val="24"/>
          <w:szCs w:val="24"/>
          <w:spacing w:val="-10"/>
        </w:rPr>
        <w:t>B</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、污泥</w:t>
      </w:r>
    </w:p>
    <w:p>
      <w:pPr>
        <w:ind w:left="21" w:right="76" w:firstLine="486"/>
        <w:spacing w:before="174" w:line="359" w:lineRule="auto"/>
        <w:rPr>
          <w:rFonts w:ascii="FangSong" w:hAnsi="FangSong" w:eastAsia="FangSong" w:cs="FangSong"/>
          <w:sz w:val="24"/>
          <w:szCs w:val="24"/>
        </w:rPr>
      </w:pPr>
      <w:r>
        <w:rPr>
          <w:rFonts w:ascii="FangSong" w:hAnsi="FangSong" w:eastAsia="FangSong" w:cs="FangSong"/>
          <w:sz w:val="24"/>
          <w:szCs w:val="24"/>
          <w:spacing w:val="1"/>
        </w:rPr>
        <w:t>项目运营期回水池及高位水池会产生一定量的沉淀污泥，根据前文工程分析，</w:t>
      </w:r>
      <w:r>
        <w:rPr>
          <w:rFonts w:ascii="FangSong" w:hAnsi="FangSong" w:eastAsia="FangSong" w:cs="FangSong"/>
          <w:sz w:val="24"/>
          <w:szCs w:val="24"/>
          <w:spacing w:val="2"/>
        </w:rPr>
        <w:t>高位水池沉淀效率取</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2"/>
        </w:rPr>
        <w:t>80%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w:t>
      </w:r>
      <w:r>
        <w:rPr>
          <w:rFonts w:ascii="FangSong" w:hAnsi="FangSong" w:eastAsia="FangSong" w:cs="FangSong"/>
          <w:sz w:val="24"/>
          <w:szCs w:val="24"/>
          <w:spacing w:val="-65"/>
        </w:rPr>
        <w:t xml:space="preserve"> </w:t>
      </w:r>
      <w:r>
        <w:rPr>
          <w:rFonts w:ascii="FangSong" w:hAnsi="FangSong" w:eastAsia="FangSong" w:cs="FangSong"/>
          <w:sz w:val="24"/>
          <w:szCs w:val="24"/>
          <w:spacing w:val="2"/>
        </w:rPr>
        <w:t>回水池混凝沉淀效率为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2"/>
        </w:rPr>
        <w:t>85%</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w:t>
      </w:r>
      <w:r>
        <w:rPr>
          <w:rFonts w:ascii="FangSong" w:hAnsi="FangSong" w:eastAsia="FangSong" w:cs="FangSong"/>
          <w:sz w:val="24"/>
          <w:szCs w:val="24"/>
          <w:spacing w:val="1"/>
        </w:rPr>
        <w:t>则沉淀池污泥产生量约</w:t>
      </w:r>
      <w:r>
        <w:rPr>
          <w:rFonts w:ascii="Times New Roman" w:hAnsi="Times New Roman" w:eastAsia="Times New Roman" w:cs="Times New Roman"/>
          <w:sz w:val="24"/>
          <w:szCs w:val="24"/>
          <w:spacing w:val="-1"/>
        </w:rPr>
        <w:t>63.09t/a</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
        </w:rPr>
        <w:t>，高位水池、回水池污泥采用机械排泥方式，各沉淀池产生的污</w:t>
      </w:r>
      <w:r>
        <w:rPr>
          <w:rFonts w:ascii="FangSong" w:hAnsi="FangSong" w:eastAsia="FangSong" w:cs="FangSong"/>
          <w:sz w:val="24"/>
          <w:szCs w:val="24"/>
          <w:spacing w:val="-2"/>
        </w:rPr>
        <w:t>泥直接返回</w:t>
      </w:r>
      <w:r>
        <w:rPr>
          <w:rFonts w:ascii="FangSong" w:hAnsi="FangSong" w:eastAsia="FangSong" w:cs="FangSong"/>
          <w:sz w:val="24"/>
          <w:szCs w:val="24"/>
          <w:spacing w:val="-2"/>
        </w:rPr>
        <w:t>选矿工序作原料。</w:t>
      </w:r>
    </w:p>
    <w:p>
      <w:pPr>
        <w:ind w:left="499"/>
        <w:spacing w:before="1" w:line="224" w:lineRule="auto"/>
        <w:rPr>
          <w:rFonts w:ascii="FangSong" w:hAnsi="FangSong" w:eastAsia="FangSong" w:cs="FangSong"/>
          <w:sz w:val="24"/>
          <w:szCs w:val="24"/>
        </w:rPr>
      </w:pPr>
      <w:r>
        <w:rPr>
          <w:rFonts w:ascii="Times New Roman" w:hAnsi="Times New Roman" w:eastAsia="Times New Roman" w:cs="Times New Roman"/>
          <w:sz w:val="24"/>
          <w:szCs w:val="24"/>
          <w:spacing w:val="-11"/>
        </w:rPr>
        <w:t>C</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1"/>
        </w:rPr>
        <w:t>、尾矿</w:t>
      </w:r>
    </w:p>
    <w:p>
      <w:pPr>
        <w:ind w:left="27" w:right="76" w:firstLine="480"/>
        <w:spacing w:before="175" w:line="359" w:lineRule="auto"/>
        <w:rPr>
          <w:rFonts w:ascii="FangSong" w:hAnsi="FangSong" w:eastAsia="FangSong" w:cs="FangSong"/>
          <w:sz w:val="24"/>
          <w:szCs w:val="24"/>
        </w:rPr>
      </w:pPr>
      <w:r>
        <w:rPr>
          <w:rFonts w:ascii="FangSong" w:hAnsi="FangSong" w:eastAsia="FangSong" w:cs="FangSong"/>
          <w:sz w:val="24"/>
          <w:szCs w:val="24"/>
          <w:spacing w:val="-1"/>
        </w:rPr>
        <w:t>项目尾矿采用干排方式，根据开发方案，尾砂产生量约</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1"/>
        </w:rPr>
        <w:t>6.249</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，根据《国</w:t>
      </w:r>
      <w:r>
        <w:rPr>
          <w:rFonts w:ascii="FangSong" w:hAnsi="FangSong" w:eastAsia="FangSong" w:cs="FangSong"/>
          <w:sz w:val="24"/>
          <w:szCs w:val="24"/>
        </w:rPr>
        <w:t>家危</w:t>
      </w:r>
      <w:r>
        <w:rPr>
          <w:rFonts w:ascii="FangSong" w:hAnsi="FangSong" w:eastAsia="FangSong" w:cs="FangSong"/>
          <w:sz w:val="24"/>
          <w:szCs w:val="24"/>
        </w:rPr>
        <w:t xml:space="preserve"> </w:t>
      </w:r>
      <w:r>
        <w:rPr>
          <w:rFonts w:ascii="FangSong" w:hAnsi="FangSong" w:eastAsia="FangSong" w:cs="FangSong"/>
          <w:sz w:val="24"/>
          <w:szCs w:val="24"/>
        </w:rPr>
        <w:t>险废物名录》（</w:t>
      </w:r>
      <w:r>
        <w:rPr>
          <w:rFonts w:ascii="Times New Roman" w:hAnsi="Times New Roman" w:eastAsia="Times New Roman" w:cs="Times New Roman"/>
          <w:sz w:val="24"/>
          <w:szCs w:val="24"/>
        </w:rPr>
        <w:t>2025  </w:t>
      </w:r>
      <w:r>
        <w:rPr>
          <w:rFonts w:ascii="FangSong" w:hAnsi="FangSong" w:eastAsia="FangSong" w:cs="FangSong"/>
          <w:sz w:val="24"/>
          <w:szCs w:val="24"/>
        </w:rPr>
        <w:t>版</w:t>
      </w:r>
      <w:r>
        <w:rPr>
          <w:rFonts w:ascii="FangSong" w:hAnsi="FangSong" w:eastAsia="FangSong" w:cs="FangSong"/>
          <w:sz w:val="24"/>
          <w:szCs w:val="24"/>
          <w:spacing w:val="18"/>
        </w:rPr>
        <w:t>），</w:t>
      </w:r>
      <w:r>
        <w:rPr>
          <w:rFonts w:ascii="FangSong" w:hAnsi="FangSong" w:eastAsia="FangSong" w:cs="FangSong"/>
          <w:sz w:val="24"/>
          <w:szCs w:val="24"/>
        </w:rPr>
        <w:t>本项目产生的尾砂不属于规定的危险废物。另外</w:t>
      </w:r>
      <w:r>
        <w:rPr>
          <w:rFonts w:ascii="FangSong" w:hAnsi="FangSong" w:eastAsia="FangSong" w:cs="FangSong"/>
          <w:sz w:val="24"/>
          <w:szCs w:val="24"/>
          <w:spacing w:val="-2"/>
        </w:rPr>
        <w:t>根据“</w:t>
      </w:r>
      <w:r>
        <w:rPr>
          <w:rFonts w:ascii="Times New Roman" w:hAnsi="Times New Roman" w:eastAsia="Times New Roman" w:cs="Times New Roman"/>
          <w:sz w:val="24"/>
          <w:szCs w:val="24"/>
          <w:spacing w:val="-2"/>
        </w:rPr>
        <w:t>2.6.2.4</w:t>
      </w:r>
      <w:r>
        <w:rPr>
          <w:rFonts w:ascii="Times New Roman" w:hAnsi="Times New Roman" w:eastAsia="Times New Roman" w:cs="Times New Roman"/>
          <w:sz w:val="24"/>
          <w:szCs w:val="24"/>
          <w:spacing w:val="33"/>
          <w:w w:val="101"/>
        </w:rPr>
        <w:t xml:space="preserve"> </w:t>
      </w:r>
      <w:r>
        <w:rPr>
          <w:rFonts w:ascii="FangSong" w:hAnsi="FangSong" w:eastAsia="FangSong" w:cs="FangSong"/>
          <w:sz w:val="24"/>
          <w:szCs w:val="24"/>
          <w:spacing w:val="-2"/>
        </w:rPr>
        <w:t>章节</w:t>
      </w:r>
      <w:r>
        <w:rPr>
          <w:rFonts w:ascii="FangSong" w:hAnsi="FangSong" w:eastAsia="FangSong" w:cs="FangSong"/>
          <w:sz w:val="24"/>
          <w:szCs w:val="24"/>
          <w:spacing w:val="-86"/>
        </w:rPr>
        <w:t xml:space="preserve"> </w:t>
      </w:r>
      <w:r>
        <w:rPr>
          <w:rFonts w:ascii="FangSong" w:hAnsi="FangSong" w:eastAsia="FangSong" w:cs="FangSong"/>
          <w:sz w:val="24"/>
          <w:szCs w:val="24"/>
          <w:spacing w:val="-2"/>
        </w:rPr>
        <w:t>”可知，本项目产生的尾矿属于第</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类一般工业固体废物，故产</w:t>
      </w:r>
      <w:r>
        <w:rPr>
          <w:rFonts w:ascii="FangSong" w:hAnsi="FangSong" w:eastAsia="FangSong" w:cs="FangSong"/>
          <w:sz w:val="24"/>
          <w:szCs w:val="24"/>
        </w:rPr>
        <w:t>生的尾矿经浓缩过滤脱水（脱水后尾矿含水率约</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rPr>
        <w:t>15</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）后临时堆存在尾矿临时堆场</w:t>
      </w:r>
      <w:r>
        <w:rPr>
          <w:rFonts w:ascii="FangSong" w:hAnsi="FangSong" w:eastAsia="FangSong" w:cs="FangSong"/>
          <w:sz w:val="24"/>
          <w:szCs w:val="24"/>
          <w:spacing w:val="-1"/>
        </w:rPr>
        <w:t>内，优先用于回填井下采空区，剩余外售建材生产企业生产建材。</w:t>
      </w:r>
    </w:p>
    <w:p>
      <w:pPr>
        <w:ind w:left="495"/>
        <w:spacing w:before="2" w:line="220" w:lineRule="auto"/>
        <w:rPr>
          <w:rFonts w:ascii="FangSong" w:hAnsi="FangSong" w:eastAsia="FangSong" w:cs="FangSong"/>
          <w:sz w:val="24"/>
          <w:szCs w:val="24"/>
        </w:rPr>
      </w:pP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、布袋除尘灰、废布袋</w:t>
      </w:r>
    </w:p>
    <w:p>
      <w:pPr>
        <w:spacing w:line="220" w:lineRule="auto"/>
        <w:sectPr>
          <w:headerReference w:type="default" r:id="rId196"/>
          <w:footerReference w:type="default" r:id="rId197"/>
          <w:pgSz w:w="11911" w:h="16839"/>
          <w:pgMar w:top="1140" w:right="1341" w:bottom="1146" w:left="1786" w:header="1130" w:footer="984" w:gutter="0"/>
        </w:sectPr>
        <w:rPr>
          <w:rFonts w:ascii="FangSong" w:hAnsi="FangSong" w:eastAsia="FangSong" w:cs="FangSong"/>
          <w:sz w:val="24"/>
          <w:szCs w:val="24"/>
        </w:rPr>
      </w:pPr>
    </w:p>
    <w:p>
      <w:pPr>
        <w:ind w:left="118" w:right="166" w:firstLine="486"/>
        <w:spacing w:before="312" w:line="358" w:lineRule="auto"/>
        <w:rPr>
          <w:rFonts w:ascii="FangSong" w:hAnsi="FangSong" w:eastAsia="FangSong" w:cs="FangSong"/>
          <w:sz w:val="24"/>
          <w:szCs w:val="24"/>
        </w:rPr>
      </w:pPr>
      <w:bookmarkStart w:name="bookmark563" w:id="261"/>
      <w:bookmarkEnd w:id="261"/>
      <w:r>
        <w:rPr>
          <w:rFonts w:ascii="FangSong" w:hAnsi="FangSong" w:eastAsia="FangSong" w:cs="FangSong"/>
          <w:sz w:val="24"/>
          <w:szCs w:val="24"/>
          <w:spacing w:val="-1"/>
        </w:rPr>
        <w:t>根据前文废气源强章节分析，布袋除尘灰产</w:t>
      </w:r>
      <w:r>
        <w:rPr>
          <w:rFonts w:ascii="FangSong" w:hAnsi="FangSong" w:eastAsia="FangSong" w:cs="FangSong"/>
          <w:sz w:val="24"/>
          <w:szCs w:val="24"/>
          <w:spacing w:val="-2"/>
        </w:rPr>
        <w:t>生量约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73.454t/a</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2"/>
        </w:rPr>
        <w:t>，废布袋产生量约</w:t>
      </w:r>
      <w:r>
        <w:rPr>
          <w:rFonts w:ascii="Times New Roman" w:hAnsi="Times New Roman" w:eastAsia="Times New Roman" w:cs="Times New Roman"/>
          <w:sz w:val="24"/>
          <w:szCs w:val="24"/>
          <w:spacing w:val="-1"/>
        </w:rPr>
        <w:t>6.54t/a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1"/>
        </w:rPr>
        <w:t>，布袋除尘灰全部返回磨浮工序作原料，废布袋收集后交由厂家回</w:t>
      </w:r>
      <w:r>
        <w:rPr>
          <w:rFonts w:ascii="FangSong" w:hAnsi="FangSong" w:eastAsia="FangSong" w:cs="FangSong"/>
          <w:sz w:val="24"/>
          <w:szCs w:val="24"/>
          <w:spacing w:val="-2"/>
        </w:rPr>
        <w:t>收处理。</w:t>
      </w:r>
    </w:p>
    <w:p>
      <w:pPr>
        <w:ind w:left="596"/>
        <w:spacing w:before="2" w:line="221"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21"/>
        </w:rPr>
        <w:t xml:space="preserve"> </w:t>
      </w:r>
      <w:r>
        <w:rPr>
          <w:rFonts w:ascii="FangSong" w:hAnsi="FangSong" w:eastAsia="FangSong" w:cs="FangSong"/>
          <w:sz w:val="24"/>
          <w:szCs w:val="24"/>
          <w:spacing w:val="-6"/>
        </w:rPr>
        <w:t>危险废物</w:t>
      </w:r>
    </w:p>
    <w:p>
      <w:pPr>
        <w:ind w:left="124" w:right="43" w:firstLine="480"/>
        <w:spacing w:before="179" w:line="359" w:lineRule="auto"/>
        <w:rPr>
          <w:rFonts w:ascii="FangSong" w:hAnsi="FangSong" w:eastAsia="FangSong" w:cs="FangSong"/>
          <w:sz w:val="24"/>
          <w:szCs w:val="24"/>
        </w:rPr>
      </w:pPr>
      <w:r>
        <w:rPr>
          <w:rFonts w:ascii="FangSong" w:hAnsi="FangSong" w:eastAsia="FangSong" w:cs="FangSong"/>
          <w:sz w:val="24"/>
          <w:szCs w:val="24"/>
          <w:spacing w:val="1"/>
        </w:rPr>
        <w:t>项目机修过程中有含油抹布及劳保用品、废机油及废油桶产生，废机油产生量</w:t>
      </w:r>
      <w:r>
        <w:rPr>
          <w:rFonts w:ascii="FangSong" w:hAnsi="FangSong" w:eastAsia="FangSong" w:cs="FangSong"/>
          <w:sz w:val="24"/>
          <w:szCs w:val="24"/>
          <w:spacing w:val="-3"/>
        </w:rPr>
        <w:t>约</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3"/>
        </w:rPr>
        <w:t>0.5t/a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，废油桶产生量约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0.3t/a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，均为《国家危险废物名录》（</w:t>
      </w:r>
      <w:r>
        <w:rPr>
          <w:rFonts w:ascii="Times New Roman" w:hAnsi="Times New Roman" w:eastAsia="Times New Roman" w:cs="Times New Roman"/>
          <w:sz w:val="24"/>
          <w:szCs w:val="24"/>
          <w:spacing w:val="-3"/>
        </w:rPr>
        <w:t>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年版）中规定</w:t>
      </w:r>
      <w:r>
        <w:rPr>
          <w:rFonts w:ascii="FangSong" w:hAnsi="FangSong" w:eastAsia="FangSong" w:cs="FangSong"/>
          <w:sz w:val="24"/>
          <w:szCs w:val="24"/>
          <w:spacing w:val="2"/>
        </w:rPr>
        <w:t>的“</w:t>
      </w:r>
      <w:r>
        <w:rPr>
          <w:rFonts w:ascii="Times New Roman" w:hAnsi="Times New Roman" w:eastAsia="Times New Roman" w:cs="Times New Roman"/>
          <w:sz w:val="24"/>
          <w:szCs w:val="24"/>
        </w:rPr>
        <w:t>HW</w:t>
      </w:r>
      <w:r>
        <w:rPr>
          <w:rFonts w:ascii="Times New Roman" w:hAnsi="Times New Roman" w:eastAsia="Times New Roman" w:cs="Times New Roman"/>
          <w:sz w:val="24"/>
          <w:szCs w:val="24"/>
          <w:spacing w:val="2"/>
        </w:rPr>
        <w:t>08  </w:t>
      </w:r>
      <w:r>
        <w:rPr>
          <w:rFonts w:ascii="FangSong" w:hAnsi="FangSong" w:eastAsia="FangSong" w:cs="FangSong"/>
          <w:sz w:val="24"/>
          <w:szCs w:val="24"/>
          <w:spacing w:val="2"/>
        </w:rPr>
        <w:t>废矿物油与含矿物油废物中</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900-249-08  </w:t>
      </w:r>
      <w:r>
        <w:rPr>
          <w:rFonts w:ascii="FangSong" w:hAnsi="FangSong" w:eastAsia="FangSong" w:cs="FangSong"/>
          <w:sz w:val="24"/>
          <w:szCs w:val="24"/>
          <w:spacing w:val="2"/>
        </w:rPr>
        <w:t>其他生</w:t>
      </w:r>
      <w:r>
        <w:rPr>
          <w:rFonts w:ascii="FangSong" w:hAnsi="FangSong" w:eastAsia="FangSong" w:cs="FangSong"/>
          <w:sz w:val="24"/>
          <w:szCs w:val="24"/>
          <w:spacing w:val="1"/>
        </w:rPr>
        <w:t>产、销售、使用过程中</w:t>
      </w:r>
      <w:r>
        <w:rPr>
          <w:rFonts w:ascii="FangSong" w:hAnsi="FangSong" w:eastAsia="FangSong" w:cs="FangSong"/>
          <w:sz w:val="24"/>
          <w:szCs w:val="24"/>
          <w:spacing w:val="-8"/>
        </w:rPr>
        <w:t>产生的废矿物油及沾染矿物油的废弃包装物</w:t>
      </w:r>
      <w:r>
        <w:rPr>
          <w:rFonts w:ascii="FangSong" w:hAnsi="FangSong" w:eastAsia="FangSong" w:cs="FangSong"/>
          <w:sz w:val="24"/>
          <w:szCs w:val="24"/>
          <w:spacing w:val="-85"/>
        </w:rPr>
        <w:t xml:space="preserve"> </w:t>
      </w:r>
      <w:r>
        <w:rPr>
          <w:rFonts w:ascii="FangSong" w:hAnsi="FangSong" w:eastAsia="FangSong" w:cs="FangSong"/>
          <w:sz w:val="24"/>
          <w:szCs w:val="24"/>
          <w:spacing w:val="-8"/>
        </w:rPr>
        <w:t>”；含油抹布及劳保用品产生量约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8"/>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8"/>
        </w:rPr>
        <w:t>1t/a</w:t>
      </w:r>
      <w:r>
        <w:rPr>
          <w:rFonts w:ascii="FangSong" w:hAnsi="FangSong" w:eastAsia="FangSong" w:cs="FangSong"/>
          <w:sz w:val="24"/>
          <w:szCs w:val="24"/>
          <w:spacing w:val="-8"/>
        </w:rPr>
        <w:t>，</w:t>
      </w:r>
      <w:r>
        <w:rPr>
          <w:rFonts w:ascii="FangSong" w:hAnsi="FangSong" w:eastAsia="FangSong" w:cs="FangSong"/>
          <w:sz w:val="24"/>
          <w:szCs w:val="24"/>
          <w:spacing w:val="1"/>
        </w:rPr>
        <w:t>为《国家危险废物名录》（</w:t>
      </w:r>
      <w:r>
        <w:rPr>
          <w:rFonts w:ascii="Times New Roman" w:hAnsi="Times New Roman" w:eastAsia="Times New Roman" w:cs="Times New Roman"/>
          <w:sz w:val="24"/>
          <w:szCs w:val="24"/>
          <w:spacing w:val="1"/>
        </w:rPr>
        <w:t>2025</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1"/>
        </w:rPr>
        <w:t>年版）</w:t>
      </w:r>
      <w:r>
        <w:rPr>
          <w:rFonts w:ascii="FangSong" w:hAnsi="FangSong" w:eastAsia="FangSong" w:cs="FangSong"/>
          <w:sz w:val="24"/>
          <w:szCs w:val="24"/>
          <w:spacing w:val="-61"/>
        </w:rPr>
        <w:t xml:space="preserve"> </w:t>
      </w:r>
      <w:r>
        <w:rPr>
          <w:rFonts w:ascii="FangSong" w:hAnsi="FangSong" w:eastAsia="FangSong" w:cs="FangSong"/>
          <w:sz w:val="24"/>
          <w:szCs w:val="24"/>
          <w:spacing w:val="1"/>
        </w:rPr>
        <w:t>中规定的“</w:t>
      </w:r>
      <w:r>
        <w:rPr>
          <w:rFonts w:ascii="Times New Roman" w:hAnsi="Times New Roman" w:eastAsia="Times New Roman" w:cs="Times New Roman"/>
          <w:sz w:val="24"/>
          <w:szCs w:val="24"/>
        </w:rPr>
        <w:t>HW</w:t>
      </w:r>
      <w:r>
        <w:rPr>
          <w:rFonts w:ascii="Times New Roman" w:hAnsi="Times New Roman" w:eastAsia="Times New Roman" w:cs="Times New Roman"/>
          <w:sz w:val="24"/>
          <w:szCs w:val="24"/>
          <w:spacing w:val="1"/>
        </w:rPr>
        <w:t>49  </w:t>
      </w:r>
      <w:r>
        <w:rPr>
          <w:rFonts w:ascii="FangSong" w:hAnsi="FangSong" w:eastAsia="FangSong" w:cs="FangSong"/>
          <w:sz w:val="24"/>
          <w:szCs w:val="24"/>
          <w:spacing w:val="1"/>
        </w:rPr>
        <w:t>其他废物中</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900-041-49</w:t>
      </w:r>
      <w:r>
        <w:rPr>
          <w:rFonts w:ascii="FangSong" w:hAnsi="FangSong" w:eastAsia="FangSong" w:cs="FangSong"/>
          <w:sz w:val="24"/>
          <w:szCs w:val="24"/>
        </w:rPr>
        <w:t>含有或沾染毒性、感染性危险废物的废弃包装物、容器、过滤吸附介质</w:t>
      </w:r>
      <w:r>
        <w:rPr>
          <w:rFonts w:ascii="FangSong" w:hAnsi="FangSong" w:eastAsia="FangSong" w:cs="FangSong"/>
          <w:sz w:val="24"/>
          <w:szCs w:val="24"/>
          <w:spacing w:val="-82"/>
        </w:rPr>
        <w:t xml:space="preserve"> </w:t>
      </w:r>
      <w:r>
        <w:rPr>
          <w:rFonts w:ascii="FangSong" w:hAnsi="FangSong" w:eastAsia="FangSong" w:cs="FangSong"/>
          <w:sz w:val="24"/>
          <w:szCs w:val="24"/>
        </w:rPr>
        <w:t>”；废机油</w:t>
      </w:r>
      <w:r>
        <w:rPr>
          <w:rFonts w:ascii="FangSong" w:hAnsi="FangSong" w:eastAsia="FangSong" w:cs="FangSong"/>
          <w:sz w:val="24"/>
          <w:szCs w:val="24"/>
          <w:spacing w:val="-2"/>
        </w:rPr>
        <w:t>均密封桶装、含油抹布及劳保用品密封袋装后</w:t>
      </w:r>
      <w:r>
        <w:rPr>
          <w:rFonts w:ascii="FangSong" w:hAnsi="FangSong" w:eastAsia="FangSong" w:cs="FangSong"/>
          <w:sz w:val="24"/>
          <w:szCs w:val="24"/>
          <w:spacing w:val="-2"/>
        </w:rPr>
        <w:t xml:space="preserve"> </w:t>
      </w:r>
      <w:r>
        <w:rPr>
          <w:rFonts w:ascii="FangSong" w:hAnsi="FangSong" w:eastAsia="FangSong" w:cs="FangSong"/>
          <w:sz w:val="24"/>
          <w:szCs w:val="24"/>
          <w:spacing w:val="-2"/>
        </w:rPr>
        <w:t>集中暂存于危险废</w:t>
      </w:r>
      <w:r>
        <w:rPr>
          <w:rFonts w:ascii="FangSong" w:hAnsi="FangSong" w:eastAsia="FangSong" w:cs="FangSong"/>
          <w:sz w:val="24"/>
          <w:szCs w:val="24"/>
          <w:spacing w:val="-3"/>
        </w:rPr>
        <w:t>物贮存点内，定期</w:t>
      </w:r>
      <w:r>
        <w:rPr>
          <w:rFonts w:ascii="FangSong" w:hAnsi="FangSong" w:eastAsia="FangSong" w:cs="FangSong"/>
          <w:sz w:val="24"/>
          <w:szCs w:val="24"/>
          <w:spacing w:val="-1"/>
        </w:rPr>
        <w:t>送有危废处理资质的单位进行处理</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处置。</w:t>
      </w:r>
    </w:p>
    <w:p>
      <w:pPr>
        <w:ind w:left="605"/>
        <w:spacing w:before="1" w:line="220" w:lineRule="auto"/>
        <w:rPr>
          <w:rFonts w:ascii="FangSong" w:hAnsi="FangSong" w:eastAsia="FangSong" w:cs="FangSong"/>
          <w:sz w:val="24"/>
          <w:szCs w:val="24"/>
        </w:rPr>
      </w:pPr>
      <w:r>
        <w:rPr>
          <w:rFonts w:ascii="FangSong" w:hAnsi="FangSong" w:eastAsia="FangSong" w:cs="FangSong"/>
          <w:sz w:val="24"/>
          <w:szCs w:val="24"/>
          <w:spacing w:val="-1"/>
        </w:rPr>
        <w:t>项目运营期固体废物的产生情况表见表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4.6-10</w:t>
      </w:r>
      <w:r>
        <w:rPr>
          <w:rFonts w:ascii="FangSong" w:hAnsi="FangSong" w:eastAsia="FangSong" w:cs="FangSong"/>
          <w:sz w:val="24"/>
          <w:szCs w:val="24"/>
          <w:spacing w:val="-1"/>
        </w:rPr>
        <w:t>。</w:t>
      </w:r>
    </w:p>
    <w:p>
      <w:pPr>
        <w:ind w:left="2024"/>
        <w:spacing w:before="180"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4.6-10  </w:t>
      </w:r>
      <w:r>
        <w:rPr>
          <w:rFonts w:ascii="FangSong" w:hAnsi="FangSong" w:eastAsia="FangSong" w:cs="FangSong"/>
          <w:sz w:val="24"/>
          <w:szCs w:val="24"/>
          <w:b/>
          <w:bCs/>
          <w:spacing w:val="-2"/>
        </w:rPr>
        <w:t>项目运营期固体废物产生情况一</w:t>
      </w:r>
      <w:r>
        <w:rPr>
          <w:rFonts w:ascii="FangSong" w:hAnsi="FangSong" w:eastAsia="FangSong" w:cs="FangSong"/>
          <w:sz w:val="24"/>
          <w:szCs w:val="24"/>
          <w:b/>
          <w:bCs/>
          <w:spacing w:val="-3"/>
        </w:rPr>
        <w:t>览表</w:t>
      </w:r>
    </w:p>
    <w:p>
      <w:pPr>
        <w:spacing w:line="144"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5"/>
        <w:gridCol w:w="1133"/>
        <w:gridCol w:w="1246"/>
        <w:gridCol w:w="887"/>
        <w:gridCol w:w="1313"/>
        <w:gridCol w:w="887"/>
        <w:gridCol w:w="1035"/>
        <w:gridCol w:w="887"/>
        <w:gridCol w:w="889"/>
      </w:tblGrid>
      <w:tr>
        <w:trPr>
          <w:trHeight w:val="582" w:hRule="atLeast"/>
        </w:trPr>
        <w:tc>
          <w:tcPr>
            <w:tcW w:w="635" w:type="dxa"/>
            <w:vAlign w:val="top"/>
            <w:textDirection w:val="tbRlV"/>
            <w:tcBorders>
              <w:top w:val="single" w:color="000000" w:sz="10" w:space="0"/>
              <w:left w:val="nil"/>
            </w:tcBorders>
          </w:tcPr>
          <w:p>
            <w:pPr>
              <w:pStyle w:val="TableText"/>
              <w:ind w:left="50"/>
              <w:spacing w:before="211" w:line="209" w:lineRule="auto"/>
              <w:rPr/>
            </w:pPr>
            <w:r>
              <w:rPr>
                <w:spacing w:val="13"/>
              </w:rPr>
              <w:t>序</w:t>
            </w:r>
            <w:r>
              <w:rPr>
                <w:spacing w:val="-43"/>
              </w:rPr>
              <w:t xml:space="preserve"> </w:t>
            </w:r>
            <w:r>
              <w:rPr>
                <w:spacing w:val="13"/>
              </w:rPr>
              <w:t>号</w:t>
            </w:r>
          </w:p>
        </w:tc>
        <w:tc>
          <w:tcPr>
            <w:tcW w:w="1133" w:type="dxa"/>
            <w:vAlign w:val="top"/>
            <w:tcBorders>
              <w:top w:val="single" w:color="000000" w:sz="10" w:space="0"/>
            </w:tcBorders>
          </w:tcPr>
          <w:p>
            <w:pPr>
              <w:pStyle w:val="TableText"/>
              <w:ind w:left="179"/>
              <w:spacing w:before="187" w:line="229" w:lineRule="auto"/>
              <w:rPr/>
            </w:pPr>
            <w:r>
              <w:rPr/>
              <w:t>固废名称</w:t>
            </w:r>
          </w:p>
        </w:tc>
        <w:tc>
          <w:tcPr>
            <w:tcW w:w="1246" w:type="dxa"/>
            <w:vAlign w:val="top"/>
            <w:tcBorders>
              <w:top w:val="single" w:color="000000" w:sz="10" w:space="0"/>
            </w:tcBorders>
          </w:tcPr>
          <w:p>
            <w:pPr>
              <w:pStyle w:val="TableText"/>
              <w:ind w:left="189"/>
              <w:spacing w:before="187" w:line="232" w:lineRule="auto"/>
              <w:rPr>
                <w:rFonts w:ascii="Times New Roman" w:hAnsi="Times New Roman" w:eastAsia="Times New Roman" w:cs="Times New Roman"/>
              </w:rPr>
            </w:pPr>
            <w:r>
              <w:rPr>
                <w:spacing w:val="3"/>
              </w:rPr>
              <w:t>产生量</w:t>
            </w:r>
            <w:r>
              <w:rPr>
                <w:spacing w:val="-46"/>
              </w:rPr>
              <w:t xml:space="preserve"> </w:t>
            </w:r>
            <w:r>
              <w:rPr>
                <w:rFonts w:ascii="Times New Roman" w:hAnsi="Times New Roman" w:eastAsia="Times New Roman" w:cs="Times New Roman"/>
                <w:spacing w:val="3"/>
              </w:rPr>
              <w:t>t/a</w:t>
            </w:r>
          </w:p>
        </w:tc>
        <w:tc>
          <w:tcPr>
            <w:tcW w:w="887" w:type="dxa"/>
            <w:vAlign w:val="top"/>
            <w:tcBorders>
              <w:top w:val="single" w:color="000000" w:sz="10" w:space="0"/>
            </w:tcBorders>
          </w:tcPr>
          <w:p>
            <w:pPr>
              <w:pStyle w:val="TableText"/>
              <w:ind w:left="351" w:right="127" w:hanging="190"/>
              <w:spacing w:before="49" w:line="241" w:lineRule="auto"/>
              <w:rPr/>
            </w:pPr>
            <w:r>
              <w:rPr>
                <w:spacing w:val="-3"/>
              </w:rPr>
              <w:t>固废属</w:t>
            </w:r>
            <w:r>
              <w:rPr/>
              <w:t>性</w:t>
            </w:r>
          </w:p>
        </w:tc>
        <w:tc>
          <w:tcPr>
            <w:tcW w:w="1313" w:type="dxa"/>
            <w:vAlign w:val="top"/>
            <w:tcBorders>
              <w:top w:val="single" w:color="000000" w:sz="10" w:space="0"/>
            </w:tcBorders>
          </w:tcPr>
          <w:p>
            <w:pPr>
              <w:pStyle w:val="TableText"/>
              <w:ind w:left="268"/>
              <w:spacing w:before="186" w:line="232" w:lineRule="auto"/>
              <w:rPr/>
            </w:pPr>
            <w:r>
              <w:rPr/>
              <w:t>固废代码</w:t>
            </w:r>
          </w:p>
        </w:tc>
        <w:tc>
          <w:tcPr>
            <w:tcW w:w="887" w:type="dxa"/>
            <w:vAlign w:val="top"/>
            <w:tcBorders>
              <w:top w:val="single" w:color="000000" w:sz="10" w:space="0"/>
            </w:tcBorders>
          </w:tcPr>
          <w:p>
            <w:pPr>
              <w:pStyle w:val="TableText"/>
              <w:ind w:left="348" w:right="126" w:hanging="207"/>
              <w:spacing w:before="49" w:line="241" w:lineRule="auto"/>
              <w:rPr/>
            </w:pPr>
            <w:r>
              <w:rPr>
                <w:spacing w:val="4"/>
              </w:rPr>
              <w:t>物理性</w:t>
            </w:r>
            <w:r>
              <w:rPr/>
              <w:t>状</w:t>
            </w:r>
          </w:p>
        </w:tc>
        <w:tc>
          <w:tcPr>
            <w:tcW w:w="1035" w:type="dxa"/>
            <w:vAlign w:val="top"/>
            <w:tcBorders>
              <w:top w:val="single" w:color="000000" w:sz="10" w:space="0"/>
            </w:tcBorders>
          </w:tcPr>
          <w:p>
            <w:pPr>
              <w:pStyle w:val="TableText"/>
              <w:ind w:left="425" w:right="201" w:hanging="207"/>
              <w:spacing w:before="49" w:line="241" w:lineRule="auto"/>
              <w:rPr/>
            </w:pPr>
            <w:r>
              <w:rPr>
                <w:spacing w:val="3"/>
              </w:rPr>
              <w:t>危险特</w:t>
            </w:r>
            <w:r>
              <w:rPr/>
              <w:t>性</w:t>
            </w:r>
          </w:p>
        </w:tc>
        <w:tc>
          <w:tcPr>
            <w:tcW w:w="887" w:type="dxa"/>
            <w:vAlign w:val="top"/>
            <w:tcBorders>
              <w:top w:val="single" w:color="000000" w:sz="10" w:space="0"/>
            </w:tcBorders>
          </w:tcPr>
          <w:p>
            <w:pPr>
              <w:pStyle w:val="TableText"/>
              <w:ind w:left="354" w:right="128" w:hanging="215"/>
              <w:spacing w:before="49" w:line="241" w:lineRule="auto"/>
              <w:rPr/>
            </w:pPr>
            <w:r>
              <w:rPr>
                <w:spacing w:val="4"/>
              </w:rPr>
              <w:t>贮存方</w:t>
            </w:r>
            <w:r>
              <w:rPr/>
              <w:t>式</w:t>
            </w:r>
          </w:p>
        </w:tc>
        <w:tc>
          <w:tcPr>
            <w:tcW w:w="889" w:type="dxa"/>
            <w:vAlign w:val="top"/>
            <w:tcBorders>
              <w:top w:val="single" w:color="000000" w:sz="10" w:space="0"/>
              <w:right w:val="nil"/>
            </w:tcBorders>
          </w:tcPr>
          <w:p>
            <w:pPr>
              <w:pStyle w:val="TableText"/>
              <w:ind w:left="253"/>
              <w:spacing w:before="187" w:line="234" w:lineRule="auto"/>
              <w:rPr/>
            </w:pPr>
            <w:r>
              <w:rPr>
                <w:spacing w:val="-2"/>
              </w:rPr>
              <w:t>去向</w:t>
            </w:r>
          </w:p>
        </w:tc>
      </w:tr>
      <w:tr>
        <w:trPr>
          <w:trHeight w:val="819" w:hRule="atLeast"/>
        </w:trPr>
        <w:tc>
          <w:tcPr>
            <w:tcW w:w="635" w:type="dxa"/>
            <w:vAlign w:val="top"/>
            <w:tcBorders>
              <w:left w:val="nil"/>
            </w:tcBorders>
          </w:tcPr>
          <w:p>
            <w:pPr>
              <w:spacing w:line="282" w:lineRule="auto"/>
              <w:rPr>
                <w:rFonts w:ascii="Arial"/>
                <w:sz w:val="21"/>
              </w:rPr>
            </w:pPr>
            <w:r/>
          </w:p>
          <w:p>
            <w:pPr>
              <w:ind w:left="28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169"/>
              <w:spacing w:before="306" w:line="232" w:lineRule="auto"/>
              <w:rPr/>
            </w:pPr>
            <w:r>
              <w:rPr>
                <w:spacing w:val="2"/>
              </w:rPr>
              <w:t>生活垃圾</w:t>
            </w:r>
          </w:p>
        </w:tc>
        <w:tc>
          <w:tcPr>
            <w:tcW w:w="1246" w:type="dxa"/>
            <w:vAlign w:val="top"/>
          </w:tcPr>
          <w:p>
            <w:pPr>
              <w:spacing w:line="282" w:lineRule="auto"/>
              <w:rPr>
                <w:rFonts w:ascii="Arial"/>
                <w:sz w:val="21"/>
              </w:rPr>
            </w:pPr>
            <w:r/>
          </w:p>
          <w:p>
            <w:pPr>
              <w:ind w:left="4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17.55</w:t>
            </w:r>
          </w:p>
        </w:tc>
        <w:tc>
          <w:tcPr>
            <w:tcW w:w="887" w:type="dxa"/>
            <w:vAlign w:val="top"/>
          </w:tcPr>
          <w:p>
            <w:pPr>
              <w:spacing w:line="285" w:lineRule="auto"/>
              <w:rPr>
                <w:rFonts w:ascii="Arial"/>
                <w:sz w:val="21"/>
              </w:rPr>
            </w:pPr>
            <w:r/>
          </w:p>
          <w:p>
            <w:pPr>
              <w:ind w:left="379"/>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313" w:type="dxa"/>
            <w:vAlign w:val="top"/>
          </w:tcPr>
          <w:p>
            <w:pPr>
              <w:pStyle w:val="TableText"/>
              <w:ind w:left="458" w:right="158" w:hanging="290"/>
              <w:spacing w:before="49" w:line="251" w:lineRule="auto"/>
              <w:rPr/>
            </w:pPr>
            <w:r>
              <w:rPr>
                <w:rFonts w:ascii="Times New Roman" w:hAnsi="Times New Roman" w:eastAsia="Times New Roman" w:cs="Times New Roman"/>
              </w:rPr>
              <w:t>SW</w:t>
            </w:r>
            <w:r>
              <w:rPr>
                <w:rFonts w:ascii="Times New Roman" w:hAnsi="Times New Roman" w:eastAsia="Times New Roman" w:cs="Times New Roman"/>
                <w:spacing w:val="2"/>
              </w:rPr>
              <w:t>64</w:t>
            </w:r>
            <w:r>
              <w:rPr>
                <w:rFonts w:ascii="Times New Roman" w:hAnsi="Times New Roman" w:eastAsia="Times New Roman" w:cs="Times New Roman"/>
                <w:spacing w:val="21"/>
                <w:w w:val="101"/>
              </w:rPr>
              <w:t xml:space="preserve"> </w:t>
            </w:r>
            <w:r>
              <w:rPr>
                <w:spacing w:val="2"/>
              </w:rPr>
              <w:t>其他</w:t>
            </w:r>
            <w:r>
              <w:rPr>
                <w:spacing w:val="1"/>
              </w:rPr>
              <w:t>垃圾</w:t>
            </w:r>
          </w:p>
          <w:p>
            <w:pPr>
              <w:ind w:left="113"/>
              <w:spacing w:before="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900-099-S64</w:t>
            </w:r>
          </w:p>
        </w:tc>
        <w:tc>
          <w:tcPr>
            <w:tcW w:w="887" w:type="dxa"/>
            <w:vAlign w:val="top"/>
          </w:tcPr>
          <w:p>
            <w:pPr>
              <w:pStyle w:val="TableText"/>
              <w:ind w:left="265"/>
              <w:spacing w:before="306" w:line="234" w:lineRule="auto"/>
              <w:rPr/>
            </w:pPr>
            <w:r>
              <w:rPr>
                <w:spacing w:val="-10"/>
              </w:rPr>
              <w:t>固态</w:t>
            </w:r>
          </w:p>
        </w:tc>
        <w:tc>
          <w:tcPr>
            <w:tcW w:w="1035" w:type="dxa"/>
            <w:vAlign w:val="top"/>
          </w:tcPr>
          <w:p>
            <w:pPr>
              <w:spacing w:line="285" w:lineRule="auto"/>
              <w:rPr>
                <w:rFonts w:ascii="Arial"/>
                <w:sz w:val="21"/>
              </w:rPr>
            </w:pPr>
            <w:r/>
          </w:p>
          <w:p>
            <w:pPr>
              <w:ind w:left="455"/>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887" w:type="dxa"/>
            <w:vAlign w:val="top"/>
          </w:tcPr>
          <w:p>
            <w:pPr>
              <w:pStyle w:val="TableText"/>
              <w:ind w:left="254" w:right="128" w:hanging="117"/>
              <w:spacing w:before="169" w:line="250" w:lineRule="auto"/>
              <w:rPr/>
            </w:pPr>
            <w:r>
              <w:rPr>
                <w:spacing w:val="5"/>
              </w:rPr>
              <w:t>桶密闭</w:t>
            </w:r>
            <w:r>
              <w:rPr>
                <w:spacing w:val="-4"/>
              </w:rPr>
              <w:t>收集</w:t>
            </w:r>
          </w:p>
        </w:tc>
        <w:tc>
          <w:tcPr>
            <w:tcW w:w="889" w:type="dxa"/>
            <w:vAlign w:val="top"/>
            <w:tcBorders>
              <w:right w:val="nil"/>
            </w:tcBorders>
          </w:tcPr>
          <w:p>
            <w:pPr>
              <w:pStyle w:val="TableText"/>
              <w:ind w:left="168"/>
              <w:spacing w:before="32" w:line="231" w:lineRule="auto"/>
              <w:rPr/>
            </w:pPr>
            <w:r>
              <w:rPr>
                <w:spacing w:val="-4"/>
              </w:rPr>
              <w:t>由环卫</w:t>
            </w:r>
          </w:p>
          <w:p>
            <w:pPr>
              <w:pStyle w:val="TableText"/>
              <w:ind w:left="351" w:right="129" w:hanging="209"/>
              <w:spacing w:before="24" w:line="232" w:lineRule="auto"/>
              <w:rPr/>
            </w:pPr>
            <w:r>
              <w:rPr>
                <w:spacing w:val="4"/>
              </w:rPr>
              <w:t>部门处</w:t>
            </w:r>
            <w:r>
              <w:rPr/>
              <w:t>理</w:t>
            </w:r>
          </w:p>
        </w:tc>
      </w:tr>
      <w:tr>
        <w:trPr>
          <w:trHeight w:val="819" w:hRule="atLeast"/>
        </w:trPr>
        <w:tc>
          <w:tcPr>
            <w:tcW w:w="635" w:type="dxa"/>
            <w:vAlign w:val="top"/>
            <w:tcBorders>
              <w:left w:val="nil"/>
            </w:tcBorders>
          </w:tcPr>
          <w:p>
            <w:pPr>
              <w:spacing w:line="284" w:lineRule="auto"/>
              <w:rPr>
                <w:rFonts w:ascii="Arial"/>
                <w:sz w:val="21"/>
              </w:rPr>
            </w:pPr>
            <w:r/>
          </w:p>
          <w:p>
            <w:pPr>
              <w:ind w:left="2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3" w:type="dxa"/>
            <w:vAlign w:val="top"/>
          </w:tcPr>
          <w:p>
            <w:pPr>
              <w:pStyle w:val="TableText"/>
              <w:ind w:left="213"/>
              <w:spacing w:before="36" w:line="232" w:lineRule="auto"/>
              <w:rPr/>
            </w:pPr>
            <w:r>
              <w:rPr/>
              <w:t>餐厨</w:t>
            </w:r>
            <w:r>
              <w:rPr>
                <w:spacing w:val="23"/>
              </w:rPr>
              <w:t xml:space="preserve"> </w:t>
            </w:r>
            <w:r>
              <w:rPr/>
              <w:t>垃</w:t>
            </w:r>
          </w:p>
          <w:p>
            <w:pPr>
              <w:pStyle w:val="TableText"/>
              <w:ind w:left="155"/>
              <w:spacing w:before="19" w:line="232" w:lineRule="auto"/>
              <w:rPr/>
            </w:pPr>
            <w:r>
              <w:rPr>
                <w:spacing w:val="6"/>
              </w:rPr>
              <w:t>圾（含废</w:t>
            </w:r>
          </w:p>
          <w:p>
            <w:pPr>
              <w:pStyle w:val="TableText"/>
              <w:ind w:left="267"/>
              <w:spacing w:before="22" w:line="210" w:lineRule="auto"/>
              <w:rPr/>
            </w:pPr>
            <w:r>
              <w:rPr>
                <w:spacing w:val="-1"/>
              </w:rPr>
              <w:t>油脂）</w:t>
            </w:r>
          </w:p>
        </w:tc>
        <w:tc>
          <w:tcPr>
            <w:tcW w:w="1246" w:type="dxa"/>
            <w:vAlign w:val="top"/>
          </w:tcPr>
          <w:p>
            <w:pPr>
              <w:spacing w:line="284" w:lineRule="auto"/>
              <w:rPr>
                <w:rFonts w:ascii="Arial"/>
                <w:sz w:val="21"/>
              </w:rPr>
            </w:pPr>
            <w:r/>
          </w:p>
          <w:p>
            <w:pPr>
              <w:ind w:left="40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10.53</w:t>
            </w:r>
          </w:p>
        </w:tc>
        <w:tc>
          <w:tcPr>
            <w:tcW w:w="887" w:type="dxa"/>
            <w:vAlign w:val="top"/>
          </w:tcPr>
          <w:p>
            <w:pPr>
              <w:spacing w:line="287" w:lineRule="auto"/>
              <w:rPr>
                <w:rFonts w:ascii="Arial"/>
                <w:sz w:val="21"/>
              </w:rPr>
            </w:pPr>
            <w:r/>
          </w:p>
          <w:p>
            <w:pPr>
              <w:ind w:left="379"/>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313" w:type="dxa"/>
            <w:vAlign w:val="top"/>
          </w:tcPr>
          <w:p>
            <w:pPr>
              <w:pStyle w:val="TableText"/>
              <w:ind w:left="458" w:right="158" w:hanging="290"/>
              <w:spacing w:before="49" w:line="254" w:lineRule="auto"/>
              <w:rPr/>
            </w:pPr>
            <w:r>
              <w:rPr>
                <w:rFonts w:ascii="Times New Roman" w:hAnsi="Times New Roman" w:eastAsia="Times New Roman" w:cs="Times New Roman"/>
              </w:rPr>
              <w:t>SW</w:t>
            </w:r>
            <w:r>
              <w:rPr>
                <w:rFonts w:ascii="Times New Roman" w:hAnsi="Times New Roman" w:eastAsia="Times New Roman" w:cs="Times New Roman"/>
                <w:spacing w:val="2"/>
              </w:rPr>
              <w:t>61</w:t>
            </w:r>
            <w:r>
              <w:rPr>
                <w:rFonts w:ascii="Times New Roman" w:hAnsi="Times New Roman" w:eastAsia="Times New Roman" w:cs="Times New Roman"/>
                <w:spacing w:val="21"/>
                <w:w w:val="101"/>
              </w:rPr>
              <w:t xml:space="preserve"> </w:t>
            </w:r>
            <w:r>
              <w:rPr>
                <w:spacing w:val="2"/>
              </w:rPr>
              <w:t>餐厨</w:t>
            </w:r>
            <w:r>
              <w:rPr>
                <w:spacing w:val="1"/>
              </w:rPr>
              <w:t>垃圾</w:t>
            </w:r>
          </w:p>
          <w:p>
            <w:pPr>
              <w:ind w:left="113"/>
              <w:spacing w:before="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900-002-S61</w:t>
            </w:r>
          </w:p>
        </w:tc>
        <w:tc>
          <w:tcPr>
            <w:tcW w:w="887" w:type="dxa"/>
            <w:vAlign w:val="top"/>
          </w:tcPr>
          <w:p>
            <w:pPr>
              <w:spacing w:line="241" w:lineRule="auto"/>
              <w:rPr>
                <w:rFonts w:ascii="Arial"/>
                <w:sz w:val="21"/>
              </w:rPr>
            </w:pPr>
            <w:r/>
          </w:p>
          <w:p>
            <w:pPr>
              <w:pStyle w:val="TableText"/>
              <w:ind w:left="265"/>
              <w:spacing w:before="65" w:line="234" w:lineRule="auto"/>
              <w:rPr/>
            </w:pPr>
            <w:r>
              <w:rPr>
                <w:spacing w:val="-10"/>
              </w:rPr>
              <w:t>固态</w:t>
            </w:r>
          </w:p>
        </w:tc>
        <w:tc>
          <w:tcPr>
            <w:tcW w:w="1035" w:type="dxa"/>
            <w:vAlign w:val="top"/>
          </w:tcPr>
          <w:p>
            <w:pPr>
              <w:spacing w:line="287" w:lineRule="auto"/>
              <w:rPr>
                <w:rFonts w:ascii="Arial"/>
                <w:sz w:val="21"/>
              </w:rPr>
            </w:pPr>
            <w:r/>
          </w:p>
          <w:p>
            <w:pPr>
              <w:ind w:left="455"/>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887" w:type="dxa"/>
            <w:vAlign w:val="top"/>
          </w:tcPr>
          <w:p>
            <w:pPr>
              <w:pStyle w:val="TableText"/>
              <w:ind w:left="254" w:right="128" w:hanging="117"/>
              <w:spacing w:before="173" w:line="250" w:lineRule="auto"/>
              <w:rPr/>
            </w:pPr>
            <w:r>
              <w:rPr>
                <w:spacing w:val="5"/>
              </w:rPr>
              <w:t>桶密闭</w:t>
            </w:r>
            <w:r>
              <w:rPr>
                <w:spacing w:val="-4"/>
              </w:rPr>
              <w:t>收集</w:t>
            </w:r>
          </w:p>
        </w:tc>
        <w:tc>
          <w:tcPr>
            <w:tcW w:w="889" w:type="dxa"/>
            <w:vAlign w:val="top"/>
            <w:tcBorders>
              <w:right w:val="nil"/>
            </w:tcBorders>
          </w:tcPr>
          <w:p>
            <w:pPr>
              <w:pStyle w:val="TableText"/>
              <w:ind w:left="168"/>
              <w:spacing w:before="36" w:line="231" w:lineRule="auto"/>
              <w:rPr/>
            </w:pPr>
            <w:r>
              <w:rPr>
                <w:spacing w:val="-4"/>
              </w:rPr>
              <w:t>由有资</w:t>
            </w:r>
          </w:p>
          <w:p>
            <w:pPr>
              <w:pStyle w:val="TableText"/>
              <w:ind w:left="146"/>
              <w:spacing w:before="21" w:line="229" w:lineRule="auto"/>
              <w:rPr/>
            </w:pPr>
            <w:r>
              <w:rPr>
                <w:spacing w:val="3"/>
              </w:rPr>
              <w:t>质的单</w:t>
            </w:r>
          </w:p>
          <w:p>
            <w:pPr>
              <w:pStyle w:val="TableText"/>
              <w:ind w:left="142"/>
              <w:spacing w:before="25" w:line="210" w:lineRule="auto"/>
              <w:rPr/>
            </w:pPr>
            <w:r>
              <w:rPr>
                <w:spacing w:val="4"/>
              </w:rPr>
              <w:t>位处理</w:t>
            </w:r>
          </w:p>
        </w:tc>
      </w:tr>
      <w:tr>
        <w:trPr>
          <w:trHeight w:val="1060" w:hRule="atLeast"/>
        </w:trPr>
        <w:tc>
          <w:tcPr>
            <w:tcW w:w="635" w:type="dxa"/>
            <w:vAlign w:val="top"/>
            <w:tcBorders>
              <w:left w:val="nil"/>
            </w:tcBorders>
          </w:tcPr>
          <w:p>
            <w:pPr>
              <w:spacing w:line="407" w:lineRule="auto"/>
              <w:rPr>
                <w:rFonts w:ascii="Arial"/>
                <w:sz w:val="21"/>
              </w:rPr>
            </w:pPr>
            <w:r/>
          </w:p>
          <w:p>
            <w:pPr>
              <w:ind w:left="27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33" w:type="dxa"/>
            <w:vAlign w:val="top"/>
          </w:tcPr>
          <w:p>
            <w:pPr>
              <w:spacing w:line="364" w:lineRule="auto"/>
              <w:rPr>
                <w:rFonts w:ascii="Arial"/>
                <w:sz w:val="21"/>
              </w:rPr>
            </w:pPr>
            <w:r/>
          </w:p>
          <w:p>
            <w:pPr>
              <w:pStyle w:val="TableText"/>
              <w:ind w:left="158"/>
              <w:spacing w:before="65" w:line="231" w:lineRule="auto"/>
              <w:rPr/>
            </w:pPr>
            <w:r>
              <w:rPr>
                <w:spacing w:val="5"/>
              </w:rPr>
              <w:t>采矿废石</w:t>
            </w:r>
          </w:p>
        </w:tc>
        <w:tc>
          <w:tcPr>
            <w:tcW w:w="1246" w:type="dxa"/>
            <w:vAlign w:val="top"/>
          </w:tcPr>
          <w:p>
            <w:pPr>
              <w:spacing w:line="364" w:lineRule="auto"/>
              <w:rPr>
                <w:rFonts w:ascii="Arial"/>
                <w:sz w:val="21"/>
              </w:rPr>
            </w:pPr>
            <w:r/>
          </w:p>
          <w:p>
            <w:pPr>
              <w:pStyle w:val="TableText"/>
              <w:ind w:left="330"/>
              <w:spacing w:before="65" w:line="234" w:lineRule="auto"/>
              <w:rPr/>
            </w:pPr>
            <w:r>
              <w:rPr>
                <w:rFonts w:ascii="Times New Roman" w:hAnsi="Times New Roman" w:eastAsia="Times New Roman" w:cs="Times New Roman"/>
                <w:spacing w:val="-2"/>
              </w:rPr>
              <w:t>1.08</w:t>
            </w:r>
            <w:r>
              <w:rPr>
                <w:rFonts w:ascii="Times New Roman" w:hAnsi="Times New Roman" w:eastAsia="Times New Roman" w:cs="Times New Roman"/>
                <w:spacing w:val="20"/>
              </w:rPr>
              <w:t xml:space="preserve"> </w:t>
            </w:r>
            <w:r>
              <w:rPr>
                <w:spacing w:val="-2"/>
              </w:rPr>
              <w:t>万</w:t>
            </w:r>
          </w:p>
        </w:tc>
        <w:tc>
          <w:tcPr>
            <w:tcW w:w="88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39" w:right="127" w:firstLine="3"/>
              <w:spacing w:before="65" w:line="252" w:lineRule="auto"/>
              <w:rPr/>
            </w:pPr>
            <w:r>
              <w:rPr>
                <w:spacing w:val="3"/>
              </w:rPr>
              <w:t>一般工</w:t>
            </w:r>
            <w:r>
              <w:rPr>
                <w:spacing w:val="5"/>
              </w:rPr>
              <w:t>业固废</w:t>
            </w:r>
          </w:p>
        </w:tc>
        <w:tc>
          <w:tcPr>
            <w:tcW w:w="1313" w:type="dxa"/>
            <w:vAlign w:val="top"/>
          </w:tcPr>
          <w:p>
            <w:pPr>
              <w:pStyle w:val="TableText"/>
              <w:ind w:left="168"/>
              <w:spacing w:before="40" w:line="230" w:lineRule="auto"/>
              <w:rPr/>
            </w:pPr>
            <w:r>
              <w:rPr>
                <w:rFonts w:ascii="Times New Roman" w:hAnsi="Times New Roman" w:eastAsia="Times New Roman" w:cs="Times New Roman"/>
              </w:rPr>
              <w:t>SW</w:t>
            </w:r>
            <w:r>
              <w:rPr>
                <w:rFonts w:ascii="Times New Roman" w:hAnsi="Times New Roman" w:eastAsia="Times New Roman" w:cs="Times New Roman"/>
                <w:spacing w:val="2"/>
              </w:rPr>
              <w:t>59</w:t>
            </w:r>
            <w:r>
              <w:rPr>
                <w:rFonts w:ascii="Times New Roman" w:hAnsi="Times New Roman" w:eastAsia="Times New Roman" w:cs="Times New Roman"/>
                <w:spacing w:val="21"/>
                <w:w w:val="101"/>
              </w:rPr>
              <w:t xml:space="preserve"> </w:t>
            </w:r>
            <w:r>
              <w:rPr>
                <w:spacing w:val="2"/>
              </w:rPr>
              <w:t>其他</w:t>
            </w:r>
          </w:p>
          <w:p>
            <w:pPr>
              <w:pStyle w:val="TableText"/>
              <w:ind w:left="147"/>
              <w:spacing w:before="21" w:line="231" w:lineRule="auto"/>
              <w:rPr/>
            </w:pPr>
            <w:r>
              <w:rPr>
                <w:spacing w:val="6"/>
              </w:rPr>
              <w:t>工业固体废</w:t>
            </w:r>
          </w:p>
          <w:p>
            <w:pPr>
              <w:pStyle w:val="TableText"/>
              <w:ind w:left="590"/>
              <w:spacing w:before="21" w:line="229" w:lineRule="auto"/>
              <w:rPr/>
            </w:pPr>
            <w:r>
              <w:rPr/>
              <w:t>物</w:t>
            </w:r>
          </w:p>
          <w:p>
            <w:pPr>
              <w:ind w:left="113"/>
              <w:spacing w:before="46"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900-099-S59</w:t>
            </w:r>
          </w:p>
        </w:tc>
        <w:tc>
          <w:tcPr>
            <w:tcW w:w="887" w:type="dxa"/>
            <w:vAlign w:val="top"/>
          </w:tcPr>
          <w:p>
            <w:pPr>
              <w:spacing w:line="364" w:lineRule="auto"/>
              <w:rPr>
                <w:rFonts w:ascii="Arial"/>
                <w:sz w:val="21"/>
              </w:rPr>
            </w:pPr>
            <w:r/>
          </w:p>
          <w:p>
            <w:pPr>
              <w:pStyle w:val="TableText"/>
              <w:ind w:left="265"/>
              <w:spacing w:before="65" w:line="234" w:lineRule="auto"/>
              <w:rPr/>
            </w:pPr>
            <w:r>
              <w:rPr>
                <w:spacing w:val="-10"/>
              </w:rPr>
              <w:t>固态</w:t>
            </w:r>
          </w:p>
        </w:tc>
        <w:tc>
          <w:tcPr>
            <w:tcW w:w="1035" w:type="dxa"/>
            <w:vAlign w:val="top"/>
          </w:tcPr>
          <w:p>
            <w:pPr>
              <w:spacing w:line="410" w:lineRule="auto"/>
              <w:rPr>
                <w:rFonts w:ascii="Arial"/>
                <w:sz w:val="21"/>
              </w:rPr>
            </w:pPr>
            <w:r/>
          </w:p>
          <w:p>
            <w:pPr>
              <w:ind w:left="455"/>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776" w:type="dxa"/>
            <w:vAlign w:val="top"/>
            <w:gridSpan w:val="2"/>
            <w:tcBorders>
              <w:right w:val="nil"/>
            </w:tcBorders>
          </w:tcPr>
          <w:p>
            <w:pPr>
              <w:pStyle w:val="TableText"/>
              <w:ind w:left="271" w:right="153" w:hanging="102"/>
              <w:spacing w:before="294" w:line="253" w:lineRule="auto"/>
              <w:rPr/>
            </w:pPr>
            <w:r>
              <w:rPr>
                <w:spacing w:val="7"/>
              </w:rPr>
              <w:t>不出坑，直接充</w:t>
            </w:r>
            <w:r>
              <w:rPr>
                <w:spacing w:val="7"/>
              </w:rPr>
              <w:t>填至井下空区</w:t>
            </w:r>
          </w:p>
        </w:tc>
      </w:tr>
      <w:tr>
        <w:trPr>
          <w:trHeight w:val="548" w:hRule="atLeast"/>
        </w:trPr>
        <w:tc>
          <w:tcPr>
            <w:tcW w:w="635" w:type="dxa"/>
            <w:vAlign w:val="top"/>
            <w:tcBorders>
              <w:left w:val="nil"/>
            </w:tcBorders>
          </w:tcPr>
          <w:p>
            <w:pPr>
              <w:ind w:left="267"/>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33" w:type="dxa"/>
            <w:vAlign w:val="top"/>
          </w:tcPr>
          <w:p>
            <w:pPr>
              <w:pStyle w:val="TableText"/>
              <w:ind w:left="372"/>
              <w:spacing w:before="177" w:line="234" w:lineRule="auto"/>
              <w:rPr/>
            </w:pPr>
            <w:r>
              <w:rPr>
                <w:spacing w:val="-1"/>
              </w:rPr>
              <w:t>污泥</w:t>
            </w:r>
          </w:p>
        </w:tc>
        <w:tc>
          <w:tcPr>
            <w:tcW w:w="1246" w:type="dxa"/>
            <w:vAlign w:val="top"/>
          </w:tcPr>
          <w:p>
            <w:pPr>
              <w:ind w:left="391"/>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63.09</w:t>
            </w:r>
          </w:p>
        </w:tc>
        <w:tc>
          <w:tcPr>
            <w:tcW w:w="887" w:type="dxa"/>
            <w:vAlign w:val="top"/>
            <w:vMerge w:val="continue"/>
            <w:tcBorders>
              <w:bottom w:val="nil"/>
              <w:top w:val="nil"/>
            </w:tcBorders>
          </w:tcPr>
          <w:p>
            <w:pPr>
              <w:rPr>
                <w:rFonts w:ascii="Arial"/>
                <w:sz w:val="21"/>
              </w:rPr>
            </w:pPr>
            <w:r/>
          </w:p>
        </w:tc>
        <w:tc>
          <w:tcPr>
            <w:tcW w:w="1313" w:type="dxa"/>
            <w:vAlign w:val="top"/>
          </w:tcPr>
          <w:p>
            <w:pPr>
              <w:pStyle w:val="TableText"/>
              <w:ind w:left="168"/>
              <w:spacing w:before="57" w:line="234" w:lineRule="auto"/>
              <w:rPr/>
            </w:pPr>
            <w:r>
              <w:rPr>
                <w:rFonts w:ascii="Times New Roman" w:hAnsi="Times New Roman" w:eastAsia="Times New Roman" w:cs="Times New Roman"/>
              </w:rPr>
              <w:t>SW</w:t>
            </w:r>
            <w:r>
              <w:rPr>
                <w:rFonts w:ascii="Times New Roman" w:hAnsi="Times New Roman" w:eastAsia="Times New Roman" w:cs="Times New Roman"/>
                <w:spacing w:val="2"/>
              </w:rPr>
              <w:t>07</w:t>
            </w:r>
            <w:r>
              <w:rPr>
                <w:rFonts w:ascii="Times New Roman" w:hAnsi="Times New Roman" w:eastAsia="Times New Roman" w:cs="Times New Roman"/>
                <w:spacing w:val="21"/>
                <w:w w:val="101"/>
              </w:rPr>
              <w:t xml:space="preserve"> </w:t>
            </w:r>
            <w:r>
              <w:rPr>
                <w:spacing w:val="2"/>
              </w:rPr>
              <w:t>污泥</w:t>
            </w:r>
          </w:p>
          <w:p>
            <w:pPr>
              <w:ind w:left="113"/>
              <w:spacing w:before="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900-099-S07</w:t>
            </w:r>
          </w:p>
        </w:tc>
        <w:tc>
          <w:tcPr>
            <w:tcW w:w="887" w:type="dxa"/>
            <w:vAlign w:val="top"/>
          </w:tcPr>
          <w:p>
            <w:pPr>
              <w:pStyle w:val="TableText"/>
              <w:ind w:left="265"/>
              <w:spacing w:before="178" w:line="234" w:lineRule="auto"/>
              <w:rPr/>
            </w:pPr>
            <w:r>
              <w:rPr>
                <w:spacing w:val="-10"/>
              </w:rPr>
              <w:t>固态</w:t>
            </w:r>
          </w:p>
        </w:tc>
        <w:tc>
          <w:tcPr>
            <w:tcW w:w="1035" w:type="dxa"/>
            <w:vAlign w:val="top"/>
          </w:tcPr>
          <w:p>
            <w:pPr>
              <w:ind w:left="471"/>
              <w:spacing w:before="21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76" w:type="dxa"/>
            <w:vAlign w:val="top"/>
            <w:gridSpan w:val="2"/>
            <w:tcBorders>
              <w:right w:val="nil"/>
            </w:tcBorders>
          </w:tcPr>
          <w:p>
            <w:pPr>
              <w:pStyle w:val="TableText"/>
              <w:ind w:left="478" w:right="153" w:hanging="314"/>
              <w:spacing w:before="43" w:line="228" w:lineRule="auto"/>
              <w:rPr/>
            </w:pPr>
            <w:r>
              <w:rPr>
                <w:spacing w:val="7"/>
              </w:rPr>
              <w:t>直接返回选矿工</w:t>
            </w:r>
            <w:r>
              <w:rPr>
                <w:spacing w:val="5"/>
              </w:rPr>
              <w:t>序作原料</w:t>
            </w:r>
          </w:p>
        </w:tc>
      </w:tr>
      <w:tr>
        <w:trPr>
          <w:trHeight w:val="1634" w:hRule="atLeast"/>
        </w:trPr>
        <w:tc>
          <w:tcPr>
            <w:tcW w:w="635" w:type="dxa"/>
            <w:vAlign w:val="top"/>
            <w:tcBorders>
              <w:left w:val="nil"/>
            </w:tcBorders>
          </w:tcPr>
          <w:p>
            <w:pPr>
              <w:spacing w:line="351" w:lineRule="auto"/>
              <w:rPr>
                <w:rFonts w:ascii="Arial"/>
                <w:sz w:val="21"/>
              </w:rPr>
            </w:pPr>
            <w:r/>
          </w:p>
          <w:p>
            <w:pPr>
              <w:spacing w:line="352" w:lineRule="auto"/>
              <w:rPr>
                <w:rFonts w:ascii="Arial"/>
                <w:sz w:val="21"/>
              </w:rPr>
            </w:pPr>
            <w:r/>
          </w:p>
          <w:p>
            <w:pPr>
              <w:ind w:left="274"/>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3" w:type="dxa"/>
            <w:vAlign w:val="top"/>
          </w:tcPr>
          <w:p>
            <w:pPr>
              <w:spacing w:line="327" w:lineRule="auto"/>
              <w:rPr>
                <w:rFonts w:ascii="Arial"/>
                <w:sz w:val="21"/>
              </w:rPr>
            </w:pPr>
            <w:r/>
          </w:p>
          <w:p>
            <w:pPr>
              <w:spacing w:line="328" w:lineRule="auto"/>
              <w:rPr>
                <w:rFonts w:ascii="Arial"/>
                <w:sz w:val="21"/>
              </w:rPr>
            </w:pPr>
            <w:r/>
          </w:p>
          <w:p>
            <w:pPr>
              <w:pStyle w:val="TableText"/>
              <w:ind w:left="369"/>
              <w:spacing w:before="65" w:line="232" w:lineRule="auto"/>
              <w:rPr/>
            </w:pPr>
            <w:r>
              <w:rPr>
                <w:spacing w:val="1"/>
              </w:rPr>
              <w:t>尾矿</w:t>
            </w:r>
          </w:p>
        </w:tc>
        <w:tc>
          <w:tcPr>
            <w:tcW w:w="1246" w:type="dxa"/>
            <w:vAlign w:val="top"/>
          </w:tcPr>
          <w:p>
            <w:pPr>
              <w:spacing w:line="327" w:lineRule="auto"/>
              <w:rPr>
                <w:rFonts w:ascii="Arial"/>
                <w:sz w:val="21"/>
              </w:rPr>
            </w:pPr>
            <w:r/>
          </w:p>
          <w:p>
            <w:pPr>
              <w:spacing w:line="328" w:lineRule="auto"/>
              <w:rPr>
                <w:rFonts w:ascii="Arial"/>
                <w:sz w:val="21"/>
              </w:rPr>
            </w:pPr>
            <w:r/>
          </w:p>
          <w:p>
            <w:pPr>
              <w:pStyle w:val="TableText"/>
              <w:ind w:left="262"/>
              <w:spacing w:before="65" w:line="234" w:lineRule="auto"/>
              <w:rPr/>
            </w:pPr>
            <w:r>
              <w:rPr>
                <w:rFonts w:ascii="Times New Roman" w:hAnsi="Times New Roman" w:eastAsia="Times New Roman" w:cs="Times New Roman"/>
                <w:spacing w:val="2"/>
              </w:rPr>
              <w:t>6.249</w:t>
            </w:r>
            <w:r>
              <w:rPr>
                <w:rFonts w:ascii="Times New Roman" w:hAnsi="Times New Roman" w:eastAsia="Times New Roman" w:cs="Times New Roman"/>
                <w:spacing w:val="16"/>
                <w:w w:val="101"/>
              </w:rPr>
              <w:t xml:space="preserve"> </w:t>
            </w:r>
            <w:r>
              <w:rPr>
                <w:spacing w:val="2"/>
              </w:rPr>
              <w:t>万</w:t>
            </w:r>
          </w:p>
        </w:tc>
        <w:tc>
          <w:tcPr>
            <w:tcW w:w="887" w:type="dxa"/>
            <w:vAlign w:val="top"/>
            <w:vMerge w:val="continue"/>
            <w:tcBorders>
              <w:bottom w:val="nil"/>
              <w:top w:val="nil"/>
            </w:tcBorders>
          </w:tcPr>
          <w:p>
            <w:pPr>
              <w:rPr>
                <w:rFonts w:ascii="Arial"/>
                <w:sz w:val="21"/>
              </w:rPr>
            </w:pPr>
            <w:r/>
          </w:p>
        </w:tc>
        <w:tc>
          <w:tcPr>
            <w:tcW w:w="1313" w:type="dxa"/>
            <w:vAlign w:val="top"/>
          </w:tcPr>
          <w:p>
            <w:pPr>
              <w:spacing w:line="267" w:lineRule="auto"/>
              <w:rPr>
                <w:rFonts w:ascii="Arial"/>
                <w:sz w:val="21"/>
              </w:rPr>
            </w:pPr>
            <w:r/>
          </w:p>
          <w:p>
            <w:pPr>
              <w:spacing w:line="268" w:lineRule="auto"/>
              <w:rPr>
                <w:rFonts w:ascii="Arial"/>
                <w:sz w:val="21"/>
              </w:rPr>
            </w:pPr>
            <w:r/>
          </w:p>
          <w:p>
            <w:pPr>
              <w:pStyle w:val="TableText"/>
              <w:ind w:left="168"/>
              <w:spacing w:before="65" w:line="232" w:lineRule="auto"/>
              <w:rPr/>
            </w:pPr>
            <w:r>
              <w:rPr>
                <w:rFonts w:ascii="Times New Roman" w:hAnsi="Times New Roman" w:eastAsia="Times New Roman" w:cs="Times New Roman"/>
              </w:rPr>
              <w:t>SW</w:t>
            </w:r>
            <w:r>
              <w:rPr>
                <w:rFonts w:ascii="Times New Roman" w:hAnsi="Times New Roman" w:eastAsia="Times New Roman" w:cs="Times New Roman"/>
                <w:spacing w:val="2"/>
              </w:rPr>
              <w:t>05</w:t>
            </w:r>
            <w:r>
              <w:rPr>
                <w:rFonts w:ascii="Times New Roman" w:hAnsi="Times New Roman" w:eastAsia="Times New Roman" w:cs="Times New Roman"/>
                <w:spacing w:val="21"/>
                <w:w w:val="101"/>
              </w:rPr>
              <w:t xml:space="preserve"> </w:t>
            </w:r>
            <w:r>
              <w:rPr>
                <w:spacing w:val="2"/>
              </w:rPr>
              <w:t>尾矿</w:t>
            </w:r>
          </w:p>
          <w:p>
            <w:pPr>
              <w:ind w:left="112"/>
              <w:spacing w:before="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081-001-S05</w:t>
            </w:r>
          </w:p>
        </w:tc>
        <w:tc>
          <w:tcPr>
            <w:tcW w:w="887" w:type="dxa"/>
            <w:vAlign w:val="top"/>
          </w:tcPr>
          <w:p>
            <w:pPr>
              <w:spacing w:line="327" w:lineRule="auto"/>
              <w:rPr>
                <w:rFonts w:ascii="Arial"/>
                <w:sz w:val="21"/>
              </w:rPr>
            </w:pPr>
            <w:r/>
          </w:p>
          <w:p>
            <w:pPr>
              <w:spacing w:line="328" w:lineRule="auto"/>
              <w:rPr>
                <w:rFonts w:ascii="Arial"/>
                <w:sz w:val="21"/>
              </w:rPr>
            </w:pPr>
            <w:r/>
          </w:p>
          <w:p>
            <w:pPr>
              <w:pStyle w:val="TableText"/>
              <w:ind w:left="265"/>
              <w:spacing w:before="65" w:line="234" w:lineRule="auto"/>
              <w:rPr/>
            </w:pPr>
            <w:r>
              <w:rPr>
                <w:spacing w:val="-10"/>
              </w:rPr>
              <w:t>固态</w:t>
            </w:r>
          </w:p>
        </w:tc>
        <w:tc>
          <w:tcPr>
            <w:tcW w:w="1035" w:type="dxa"/>
            <w:vAlign w:val="top"/>
          </w:tcPr>
          <w:p>
            <w:pPr>
              <w:spacing w:line="351" w:lineRule="auto"/>
              <w:rPr>
                <w:rFonts w:ascii="Arial"/>
                <w:sz w:val="21"/>
              </w:rPr>
            </w:pPr>
            <w:r/>
          </w:p>
          <w:p>
            <w:pPr>
              <w:spacing w:line="352" w:lineRule="auto"/>
              <w:rPr>
                <w:rFonts w:ascii="Arial"/>
                <w:sz w:val="21"/>
              </w:rPr>
            </w:pPr>
            <w:r/>
          </w:p>
          <w:p>
            <w:pPr>
              <w:ind w:left="455"/>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776" w:type="dxa"/>
            <w:vAlign w:val="top"/>
            <w:gridSpan w:val="2"/>
            <w:tcBorders>
              <w:right w:val="nil"/>
            </w:tcBorders>
          </w:tcPr>
          <w:p>
            <w:pPr>
              <w:pStyle w:val="TableText"/>
              <w:ind w:left="169"/>
              <w:spacing w:before="44" w:line="228" w:lineRule="auto"/>
              <w:rPr/>
            </w:pPr>
            <w:r>
              <w:rPr>
                <w:spacing w:val="6"/>
              </w:rPr>
              <w:t>暂存于尾矿临时</w:t>
            </w:r>
          </w:p>
          <w:p>
            <w:pPr>
              <w:pStyle w:val="TableText"/>
              <w:ind w:left="165"/>
              <w:spacing w:before="24" w:line="229" w:lineRule="auto"/>
              <w:rPr/>
            </w:pPr>
            <w:r>
              <w:rPr>
                <w:spacing w:val="7"/>
              </w:rPr>
              <w:t>堆场，优先回填</w:t>
            </w:r>
          </w:p>
          <w:p>
            <w:pPr>
              <w:pStyle w:val="TableText"/>
              <w:ind w:left="167"/>
              <w:spacing w:before="24" w:line="231" w:lineRule="auto"/>
              <w:rPr/>
            </w:pPr>
            <w:r>
              <w:rPr>
                <w:spacing w:val="8"/>
              </w:rPr>
              <w:t>井下采空区，剩</w:t>
            </w:r>
          </w:p>
          <w:p>
            <w:pPr>
              <w:pStyle w:val="TableText"/>
              <w:ind w:left="166"/>
              <w:spacing w:before="21" w:line="229" w:lineRule="auto"/>
              <w:rPr/>
            </w:pPr>
            <w:r>
              <w:rPr>
                <w:spacing w:val="7"/>
              </w:rPr>
              <w:t>余外剩余外售建</w:t>
            </w:r>
          </w:p>
          <w:p>
            <w:pPr>
              <w:pStyle w:val="TableText"/>
              <w:ind w:left="164"/>
              <w:spacing w:before="25" w:line="232" w:lineRule="auto"/>
              <w:rPr/>
            </w:pPr>
            <w:r>
              <w:rPr>
                <w:spacing w:val="7"/>
              </w:rPr>
              <w:t>材生产企业生产</w:t>
            </w:r>
          </w:p>
          <w:p>
            <w:pPr>
              <w:pStyle w:val="TableText"/>
              <w:ind w:left="690"/>
              <w:spacing w:before="20" w:line="202" w:lineRule="auto"/>
              <w:rPr/>
            </w:pPr>
            <w:r>
              <w:rPr>
                <w:spacing w:val="2"/>
              </w:rPr>
              <w:t>建材</w:t>
            </w:r>
          </w:p>
        </w:tc>
      </w:tr>
      <w:tr>
        <w:trPr>
          <w:trHeight w:val="1060" w:hRule="atLeast"/>
        </w:trPr>
        <w:tc>
          <w:tcPr>
            <w:tcW w:w="635" w:type="dxa"/>
            <w:vAlign w:val="top"/>
            <w:tcBorders>
              <w:left w:val="nil"/>
            </w:tcBorders>
          </w:tcPr>
          <w:p>
            <w:pPr>
              <w:spacing w:line="419" w:lineRule="auto"/>
              <w:rPr>
                <w:rFonts w:ascii="Arial"/>
                <w:sz w:val="21"/>
              </w:rPr>
            </w:pPr>
            <w:r/>
          </w:p>
          <w:p>
            <w:pPr>
              <w:ind w:left="27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33" w:type="dxa"/>
            <w:vAlign w:val="top"/>
          </w:tcPr>
          <w:p>
            <w:pPr>
              <w:pStyle w:val="TableText"/>
              <w:ind w:left="472" w:right="147" w:hanging="314"/>
              <w:spacing w:before="305" w:line="252" w:lineRule="auto"/>
              <w:rPr/>
            </w:pPr>
            <w:r>
              <w:rPr>
                <w:spacing w:val="5"/>
              </w:rPr>
              <w:t>布袋除尘</w:t>
            </w:r>
            <w:r>
              <w:rPr/>
              <w:t>灰</w:t>
            </w:r>
          </w:p>
        </w:tc>
        <w:tc>
          <w:tcPr>
            <w:tcW w:w="1246" w:type="dxa"/>
            <w:vAlign w:val="top"/>
          </w:tcPr>
          <w:p>
            <w:pPr>
              <w:spacing w:line="419" w:lineRule="auto"/>
              <w:rPr>
                <w:rFonts w:ascii="Arial"/>
                <w:sz w:val="21"/>
              </w:rPr>
            </w:pPr>
            <w:r/>
          </w:p>
          <w:p>
            <w:pPr>
              <w:ind w:left="34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73.454</w:t>
            </w:r>
          </w:p>
        </w:tc>
        <w:tc>
          <w:tcPr>
            <w:tcW w:w="887" w:type="dxa"/>
            <w:vAlign w:val="top"/>
            <w:vMerge w:val="continue"/>
            <w:tcBorders>
              <w:bottom w:val="nil"/>
              <w:top w:val="nil"/>
            </w:tcBorders>
          </w:tcPr>
          <w:p>
            <w:pPr>
              <w:rPr>
                <w:rFonts w:ascii="Arial"/>
                <w:sz w:val="21"/>
              </w:rPr>
            </w:pPr>
            <w:r/>
          </w:p>
        </w:tc>
        <w:tc>
          <w:tcPr>
            <w:tcW w:w="1313" w:type="dxa"/>
            <w:vAlign w:val="top"/>
          </w:tcPr>
          <w:p>
            <w:pPr>
              <w:pStyle w:val="TableText"/>
              <w:ind w:left="168"/>
              <w:spacing w:before="49" w:line="230" w:lineRule="auto"/>
              <w:rPr/>
            </w:pPr>
            <w:r>
              <w:rPr>
                <w:rFonts w:ascii="Times New Roman" w:hAnsi="Times New Roman" w:eastAsia="Times New Roman" w:cs="Times New Roman"/>
              </w:rPr>
              <w:t>SW</w:t>
            </w:r>
            <w:r>
              <w:rPr>
                <w:rFonts w:ascii="Times New Roman" w:hAnsi="Times New Roman" w:eastAsia="Times New Roman" w:cs="Times New Roman"/>
                <w:spacing w:val="2"/>
              </w:rPr>
              <w:t>59</w:t>
            </w:r>
            <w:r>
              <w:rPr>
                <w:rFonts w:ascii="Times New Roman" w:hAnsi="Times New Roman" w:eastAsia="Times New Roman" w:cs="Times New Roman"/>
                <w:spacing w:val="21"/>
                <w:w w:val="101"/>
              </w:rPr>
              <w:t xml:space="preserve"> </w:t>
            </w:r>
            <w:r>
              <w:rPr>
                <w:spacing w:val="2"/>
              </w:rPr>
              <w:t>其他</w:t>
            </w:r>
          </w:p>
          <w:p>
            <w:pPr>
              <w:pStyle w:val="TableText"/>
              <w:ind w:left="147"/>
              <w:spacing w:before="21" w:line="231" w:lineRule="auto"/>
              <w:rPr/>
            </w:pPr>
            <w:r>
              <w:rPr>
                <w:spacing w:val="6"/>
              </w:rPr>
              <w:t>工业固体废</w:t>
            </w:r>
          </w:p>
          <w:p>
            <w:pPr>
              <w:pStyle w:val="TableText"/>
              <w:ind w:left="590"/>
              <w:spacing w:before="23" w:line="229" w:lineRule="auto"/>
              <w:rPr/>
            </w:pPr>
            <w:r>
              <w:rPr/>
              <w:t>物</w:t>
            </w:r>
          </w:p>
          <w:p>
            <w:pPr>
              <w:ind w:left="113"/>
              <w:spacing w:before="44" w:line="17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900-099-S59</w:t>
            </w:r>
          </w:p>
        </w:tc>
        <w:tc>
          <w:tcPr>
            <w:tcW w:w="887" w:type="dxa"/>
            <w:vAlign w:val="top"/>
          </w:tcPr>
          <w:p>
            <w:pPr>
              <w:spacing w:line="374" w:lineRule="auto"/>
              <w:rPr>
                <w:rFonts w:ascii="Arial"/>
                <w:sz w:val="21"/>
              </w:rPr>
            </w:pPr>
            <w:r/>
          </w:p>
          <w:p>
            <w:pPr>
              <w:pStyle w:val="TableText"/>
              <w:ind w:left="265"/>
              <w:spacing w:before="65" w:line="234" w:lineRule="auto"/>
              <w:rPr/>
            </w:pPr>
            <w:r>
              <w:rPr>
                <w:spacing w:val="-10"/>
              </w:rPr>
              <w:t>固态</w:t>
            </w:r>
          </w:p>
        </w:tc>
        <w:tc>
          <w:tcPr>
            <w:tcW w:w="1035" w:type="dxa"/>
            <w:vAlign w:val="top"/>
          </w:tcPr>
          <w:p>
            <w:pPr>
              <w:spacing w:line="421" w:lineRule="auto"/>
              <w:rPr>
                <w:rFonts w:ascii="Arial"/>
                <w:sz w:val="21"/>
              </w:rPr>
            </w:pPr>
            <w:r/>
          </w:p>
          <w:p>
            <w:pPr>
              <w:ind w:left="455"/>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776" w:type="dxa"/>
            <w:vAlign w:val="top"/>
            <w:gridSpan w:val="2"/>
            <w:tcBorders>
              <w:right w:val="nil"/>
            </w:tcBorders>
          </w:tcPr>
          <w:p>
            <w:pPr>
              <w:pStyle w:val="TableText"/>
              <w:ind w:left="478" w:right="153" w:hanging="309"/>
              <w:spacing w:before="305" w:line="250" w:lineRule="auto"/>
              <w:rPr/>
            </w:pPr>
            <w:r>
              <w:rPr>
                <w:spacing w:val="7"/>
              </w:rPr>
              <w:t>全部返回磨浮工</w:t>
            </w:r>
            <w:r>
              <w:rPr>
                <w:spacing w:val="5"/>
              </w:rPr>
              <w:t>序作原料</w:t>
            </w:r>
          </w:p>
        </w:tc>
      </w:tr>
      <w:tr>
        <w:trPr>
          <w:trHeight w:val="1082" w:hRule="atLeast"/>
        </w:trPr>
        <w:tc>
          <w:tcPr>
            <w:tcW w:w="635" w:type="dxa"/>
            <w:vAlign w:val="top"/>
            <w:tcBorders>
              <w:bottom w:val="single" w:color="000000" w:sz="10" w:space="0"/>
              <w:left w:val="nil"/>
            </w:tcBorders>
          </w:tcPr>
          <w:p>
            <w:pPr>
              <w:spacing w:line="424" w:lineRule="auto"/>
              <w:rPr>
                <w:rFonts w:ascii="Arial"/>
                <w:sz w:val="21"/>
              </w:rPr>
            </w:pPr>
            <w:r/>
          </w:p>
          <w:p>
            <w:pPr>
              <w:ind w:left="272"/>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33" w:type="dxa"/>
            <w:vAlign w:val="top"/>
            <w:tcBorders>
              <w:bottom w:val="single" w:color="000000" w:sz="10" w:space="0"/>
            </w:tcBorders>
          </w:tcPr>
          <w:p>
            <w:pPr>
              <w:spacing w:line="378" w:lineRule="auto"/>
              <w:rPr>
                <w:rFonts w:ascii="Arial"/>
                <w:sz w:val="21"/>
              </w:rPr>
            </w:pPr>
            <w:r/>
          </w:p>
          <w:p>
            <w:pPr>
              <w:pStyle w:val="TableText"/>
              <w:ind w:left="264"/>
              <w:spacing w:before="65" w:line="229" w:lineRule="auto"/>
              <w:rPr/>
            </w:pPr>
            <w:r>
              <w:rPr>
                <w:spacing w:val="4"/>
              </w:rPr>
              <w:t>废布袋</w:t>
            </w:r>
          </w:p>
        </w:tc>
        <w:tc>
          <w:tcPr>
            <w:tcW w:w="1246" w:type="dxa"/>
            <w:vAlign w:val="top"/>
            <w:tcBorders>
              <w:bottom w:val="single" w:color="000000" w:sz="10" w:space="0"/>
            </w:tcBorders>
          </w:tcPr>
          <w:p>
            <w:pPr>
              <w:spacing w:line="422" w:lineRule="auto"/>
              <w:rPr>
                <w:rFonts w:ascii="Arial"/>
                <w:sz w:val="21"/>
              </w:rPr>
            </w:pPr>
            <w:r/>
          </w:p>
          <w:p>
            <w:pPr>
              <w:ind w:left="44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6.54</w:t>
            </w:r>
          </w:p>
        </w:tc>
        <w:tc>
          <w:tcPr>
            <w:tcW w:w="887" w:type="dxa"/>
            <w:vAlign w:val="top"/>
            <w:vMerge w:val="continue"/>
            <w:tcBorders>
              <w:bottom w:val="single" w:color="000000" w:sz="10" w:space="0"/>
              <w:top w:val="nil"/>
            </w:tcBorders>
          </w:tcPr>
          <w:p>
            <w:pPr>
              <w:rPr>
                <w:rFonts w:ascii="Arial"/>
                <w:sz w:val="21"/>
              </w:rPr>
            </w:pPr>
            <w:r/>
          </w:p>
        </w:tc>
        <w:tc>
          <w:tcPr>
            <w:tcW w:w="1313" w:type="dxa"/>
            <w:vAlign w:val="top"/>
            <w:tcBorders>
              <w:bottom w:val="single" w:color="000000" w:sz="10" w:space="0"/>
            </w:tcBorders>
          </w:tcPr>
          <w:p>
            <w:pPr>
              <w:pStyle w:val="TableText"/>
              <w:ind w:left="168"/>
              <w:spacing w:before="52" w:line="230" w:lineRule="auto"/>
              <w:rPr/>
            </w:pPr>
            <w:r>
              <w:rPr>
                <w:rFonts w:ascii="Times New Roman" w:hAnsi="Times New Roman" w:eastAsia="Times New Roman" w:cs="Times New Roman"/>
              </w:rPr>
              <w:t>SW</w:t>
            </w:r>
            <w:r>
              <w:rPr>
                <w:rFonts w:ascii="Times New Roman" w:hAnsi="Times New Roman" w:eastAsia="Times New Roman" w:cs="Times New Roman"/>
                <w:spacing w:val="2"/>
              </w:rPr>
              <w:t>59</w:t>
            </w:r>
            <w:r>
              <w:rPr>
                <w:rFonts w:ascii="Times New Roman" w:hAnsi="Times New Roman" w:eastAsia="Times New Roman" w:cs="Times New Roman"/>
                <w:spacing w:val="21"/>
                <w:w w:val="101"/>
              </w:rPr>
              <w:t xml:space="preserve"> </w:t>
            </w:r>
            <w:r>
              <w:rPr>
                <w:spacing w:val="2"/>
              </w:rPr>
              <w:t>其他</w:t>
            </w:r>
          </w:p>
          <w:p>
            <w:pPr>
              <w:pStyle w:val="TableText"/>
              <w:ind w:left="147"/>
              <w:spacing w:before="24" w:line="231" w:lineRule="auto"/>
              <w:rPr/>
            </w:pPr>
            <w:r>
              <w:rPr>
                <w:spacing w:val="6"/>
              </w:rPr>
              <w:t>工业固体废</w:t>
            </w:r>
          </w:p>
          <w:p>
            <w:pPr>
              <w:pStyle w:val="TableText"/>
              <w:ind w:left="590"/>
              <w:spacing w:before="21" w:line="229" w:lineRule="auto"/>
              <w:rPr/>
            </w:pPr>
            <w:r>
              <w:rPr/>
              <w:t>物</w:t>
            </w:r>
          </w:p>
          <w:p>
            <w:pPr>
              <w:ind w:left="113"/>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900-009-S59</w:t>
            </w:r>
          </w:p>
        </w:tc>
        <w:tc>
          <w:tcPr>
            <w:tcW w:w="887" w:type="dxa"/>
            <w:vAlign w:val="top"/>
            <w:tcBorders>
              <w:bottom w:val="single" w:color="000000" w:sz="10" w:space="0"/>
            </w:tcBorders>
          </w:tcPr>
          <w:p>
            <w:pPr>
              <w:spacing w:line="379" w:lineRule="auto"/>
              <w:rPr>
                <w:rFonts w:ascii="Arial"/>
                <w:sz w:val="21"/>
              </w:rPr>
            </w:pPr>
            <w:r/>
          </w:p>
          <w:p>
            <w:pPr>
              <w:pStyle w:val="TableText"/>
              <w:ind w:left="265"/>
              <w:spacing w:before="65" w:line="234" w:lineRule="auto"/>
              <w:rPr/>
            </w:pPr>
            <w:r>
              <w:rPr>
                <w:spacing w:val="-10"/>
              </w:rPr>
              <w:t>固态</w:t>
            </w:r>
          </w:p>
        </w:tc>
        <w:tc>
          <w:tcPr>
            <w:tcW w:w="1035" w:type="dxa"/>
            <w:vAlign w:val="top"/>
            <w:tcBorders>
              <w:bottom w:val="single" w:color="000000" w:sz="10" w:space="0"/>
            </w:tcBorders>
          </w:tcPr>
          <w:p>
            <w:pPr>
              <w:spacing w:line="424" w:lineRule="auto"/>
              <w:rPr>
                <w:rFonts w:ascii="Arial"/>
                <w:sz w:val="21"/>
              </w:rPr>
            </w:pPr>
            <w:r/>
          </w:p>
          <w:p>
            <w:pPr>
              <w:ind w:left="455"/>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776" w:type="dxa"/>
            <w:vAlign w:val="top"/>
            <w:gridSpan w:val="2"/>
            <w:tcBorders>
              <w:bottom w:val="single" w:color="000000" w:sz="10" w:space="0"/>
              <w:right w:val="nil"/>
            </w:tcBorders>
          </w:tcPr>
          <w:p>
            <w:pPr>
              <w:spacing w:line="242" w:lineRule="auto"/>
              <w:rPr>
                <w:rFonts w:ascii="Arial"/>
                <w:sz w:val="21"/>
              </w:rPr>
            </w:pPr>
            <w:r/>
          </w:p>
          <w:p>
            <w:pPr>
              <w:pStyle w:val="TableText"/>
              <w:ind w:left="794" w:right="153" w:hanging="625"/>
              <w:spacing w:before="66" w:line="256" w:lineRule="auto"/>
              <w:rPr/>
            </w:pPr>
            <w:r>
              <w:rPr>
                <w:spacing w:val="7"/>
              </w:rPr>
              <w:t>交由厂家回收处</w:t>
            </w:r>
            <w:r>
              <w:rPr/>
              <w:t>理</w:t>
            </w:r>
          </w:p>
        </w:tc>
      </w:tr>
    </w:tbl>
    <w:p>
      <w:pPr>
        <w:pStyle w:val="BodyText"/>
        <w:rPr/>
      </w:pPr>
      <w:r/>
    </w:p>
    <w:p>
      <w:pPr>
        <w:sectPr>
          <w:headerReference w:type="default" r:id="rId198"/>
          <w:footerReference w:type="default" r:id="rId199"/>
          <w:pgSz w:w="11911" w:h="16839"/>
          <w:pgMar w:top="1140" w:right="1309" w:bottom="1146" w:left="1689" w:header="1130" w:footer="984" w:gutter="0"/>
        </w:sectPr>
        <w:rPr/>
      </w:pPr>
    </w:p>
    <w:p>
      <w:pPr>
        <w:spacing w:before="13"/>
        <w:rPr/>
      </w:pPr>
      <w:r>
        <w:pict>
          <v:shape id="_x0000_s42" style="position:absolute;margin-left:90pt;margin-top:56.5pt;mso-position-vertical-relative:page;mso-position-horizontal-relative:page;width:415.25pt;height:0.55pt;z-index:251659264;" o:allowincell="f" fillcolor="#00000A" filled="true" stroked="false" coordsize="8305,11" coordorigin="0,0" path="m,l8304,0l8304,10l0,10l0,0xe"/>
        </w:pict>
      </w:r>
      <w:r/>
    </w:p>
    <w:p>
      <w:pPr>
        <w:spacing w:before="13"/>
        <w:rPr/>
      </w:pPr>
      <w:r/>
    </w:p>
    <w:p>
      <w:pPr>
        <w:spacing w:before="13"/>
        <w:rPr/>
      </w:pPr>
      <w:r/>
    </w:p>
    <w:p>
      <w:pPr>
        <w:spacing w:before="12"/>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5"/>
        <w:gridCol w:w="1133"/>
        <w:gridCol w:w="1246"/>
        <w:gridCol w:w="887"/>
        <w:gridCol w:w="1313"/>
        <w:gridCol w:w="887"/>
        <w:gridCol w:w="1035"/>
        <w:gridCol w:w="887"/>
        <w:gridCol w:w="889"/>
      </w:tblGrid>
      <w:tr>
        <w:trPr>
          <w:trHeight w:val="549" w:hRule="atLeast"/>
        </w:trPr>
        <w:tc>
          <w:tcPr>
            <w:tcW w:w="635" w:type="dxa"/>
            <w:vAlign w:val="top"/>
            <w:tcBorders>
              <w:top w:val="single" w:color="000000" w:sz="10" w:space="0"/>
              <w:left w:val="nil"/>
            </w:tcBorders>
          </w:tcPr>
          <w:p>
            <w:pPr>
              <w:ind w:left="277"/>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3" w:type="dxa"/>
            <w:vAlign w:val="top"/>
            <w:tcBorders>
              <w:top w:val="single" w:color="000000" w:sz="10" w:space="0"/>
            </w:tcBorders>
          </w:tcPr>
          <w:p>
            <w:pPr>
              <w:pStyle w:val="TableText"/>
              <w:ind w:left="264"/>
              <w:spacing w:before="172" w:line="231" w:lineRule="auto"/>
              <w:rPr/>
            </w:pPr>
            <w:bookmarkStart w:name="bookmark564" w:id="262"/>
            <w:bookmarkEnd w:id="262"/>
            <w:r>
              <w:rPr>
                <w:spacing w:val="4"/>
              </w:rPr>
              <w:t>废机油</w:t>
            </w:r>
          </w:p>
        </w:tc>
        <w:tc>
          <w:tcPr>
            <w:tcW w:w="1246" w:type="dxa"/>
            <w:vAlign w:val="top"/>
            <w:tcBorders>
              <w:top w:val="single" w:color="000000" w:sz="10" w:space="0"/>
            </w:tcBorders>
          </w:tcPr>
          <w:p>
            <w:pPr>
              <w:ind w:left="496"/>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887" w:type="dxa"/>
            <w:vAlign w:val="top"/>
            <w:vMerge w:val="restart"/>
            <w:tcBorders>
              <w:bottom w:val="nil"/>
              <w:top w:val="single" w:color="000000" w:sz="10"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348" w:right="127" w:hanging="204"/>
              <w:spacing w:before="65" w:line="252" w:lineRule="auto"/>
              <w:rPr/>
            </w:pPr>
            <w:r>
              <w:rPr>
                <w:spacing w:val="3"/>
              </w:rPr>
              <w:t>危险废</w:t>
            </w:r>
            <w:r>
              <w:rPr/>
              <w:t>物</w:t>
            </w:r>
          </w:p>
        </w:tc>
        <w:tc>
          <w:tcPr>
            <w:tcW w:w="1313" w:type="dxa"/>
            <w:vAlign w:val="top"/>
            <w:vMerge w:val="restart"/>
            <w:tcBorders>
              <w:top w:val="single" w:color="000000" w:sz="10" w:space="0"/>
              <w:bottom w:val="nil"/>
            </w:tcBorders>
          </w:tcPr>
          <w:p>
            <w:pPr>
              <w:pStyle w:val="TableText"/>
              <w:ind w:left="139"/>
              <w:spacing w:before="35" w:line="232" w:lineRule="auto"/>
              <w:rPr/>
            </w:pPr>
            <w:r>
              <w:rPr>
                <w:rFonts w:ascii="Times New Roman" w:hAnsi="Times New Roman" w:eastAsia="Times New Roman" w:cs="Times New Roman"/>
              </w:rPr>
              <w:t>HW</w:t>
            </w:r>
            <w:r>
              <w:rPr>
                <w:rFonts w:ascii="Times New Roman" w:hAnsi="Times New Roman" w:eastAsia="Times New Roman" w:cs="Times New Roman"/>
                <w:spacing w:val="5"/>
              </w:rPr>
              <w:t>08</w:t>
            </w:r>
            <w:r>
              <w:rPr>
                <w:rFonts w:ascii="Times New Roman" w:hAnsi="Times New Roman" w:eastAsia="Times New Roman" w:cs="Times New Roman"/>
                <w:spacing w:val="22"/>
              </w:rPr>
              <w:t xml:space="preserve"> </w:t>
            </w:r>
            <w:r>
              <w:rPr>
                <w:spacing w:val="5"/>
              </w:rPr>
              <w:t>废矿</w:t>
            </w:r>
          </w:p>
          <w:p>
            <w:pPr>
              <w:pStyle w:val="TableText"/>
              <w:ind w:left="143"/>
              <w:spacing w:before="22" w:line="229" w:lineRule="auto"/>
              <w:rPr/>
            </w:pPr>
            <w:r>
              <w:rPr>
                <w:spacing w:val="6"/>
              </w:rPr>
              <w:t>物油与含矿</w:t>
            </w:r>
          </w:p>
          <w:p>
            <w:pPr>
              <w:pStyle w:val="TableText"/>
              <w:ind w:left="246"/>
              <w:spacing w:before="23" w:line="229" w:lineRule="auto"/>
              <w:rPr/>
            </w:pPr>
            <w:r>
              <w:rPr>
                <w:spacing w:val="6"/>
              </w:rPr>
              <w:t>物油废物</w:t>
            </w:r>
          </w:p>
          <w:p>
            <w:pPr>
              <w:ind w:left="171"/>
              <w:spacing w:before="46"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900-249-08</w:t>
            </w:r>
          </w:p>
        </w:tc>
        <w:tc>
          <w:tcPr>
            <w:tcW w:w="887" w:type="dxa"/>
            <w:vAlign w:val="top"/>
            <w:tcBorders>
              <w:top w:val="single" w:color="000000" w:sz="10" w:space="0"/>
            </w:tcBorders>
          </w:tcPr>
          <w:p>
            <w:pPr>
              <w:pStyle w:val="TableText"/>
              <w:ind w:left="244"/>
              <w:spacing w:before="171" w:line="232" w:lineRule="auto"/>
              <w:rPr/>
            </w:pPr>
            <w:r>
              <w:rPr>
                <w:spacing w:val="1"/>
              </w:rPr>
              <w:t>液态</w:t>
            </w:r>
          </w:p>
        </w:tc>
        <w:tc>
          <w:tcPr>
            <w:tcW w:w="1035" w:type="dxa"/>
            <w:vAlign w:val="top"/>
            <w:tcBorders>
              <w:top w:val="single" w:color="000000" w:sz="10" w:space="0"/>
            </w:tcBorders>
          </w:tcPr>
          <w:p>
            <w:pPr>
              <w:ind w:left="402"/>
              <w:spacing w:before="21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T,I</w:t>
            </w:r>
          </w:p>
        </w:tc>
        <w:tc>
          <w:tcPr>
            <w:tcW w:w="887" w:type="dxa"/>
            <w:vAlign w:val="top"/>
            <w:tcBorders>
              <w:top w:val="single" w:color="000000" w:sz="10" w:space="0"/>
            </w:tcBorders>
          </w:tcPr>
          <w:p>
            <w:pPr>
              <w:pStyle w:val="TableText"/>
              <w:ind w:left="148"/>
              <w:spacing w:before="35" w:line="230" w:lineRule="auto"/>
              <w:rPr/>
            </w:pPr>
            <w:r>
              <w:rPr>
                <w:spacing w:val="1"/>
              </w:rPr>
              <w:t>密闭容</w:t>
            </w:r>
          </w:p>
          <w:p>
            <w:pPr>
              <w:pStyle w:val="TableText"/>
              <w:ind w:left="137"/>
              <w:spacing w:before="24" w:line="212" w:lineRule="auto"/>
              <w:rPr/>
            </w:pPr>
            <w:r>
              <w:rPr>
                <w:spacing w:val="5"/>
              </w:rPr>
              <w:t>器收集</w:t>
            </w:r>
          </w:p>
        </w:tc>
        <w:tc>
          <w:tcPr>
            <w:tcW w:w="889" w:type="dxa"/>
            <w:vAlign w:val="top"/>
            <w:vMerge w:val="restart"/>
            <w:tcBorders>
              <w:bottom w:val="nil"/>
              <w:top w:val="single" w:color="000000" w:sz="10" w:space="0"/>
              <w:right w:val="nil"/>
            </w:tcBorders>
          </w:tcPr>
          <w:p>
            <w:pPr>
              <w:pStyle w:val="TableText"/>
              <w:ind w:left="142"/>
              <w:spacing w:before="35" w:line="230" w:lineRule="auto"/>
              <w:rPr/>
            </w:pPr>
            <w:r>
              <w:rPr>
                <w:spacing w:val="4"/>
              </w:rPr>
              <w:t>集中收</w:t>
            </w:r>
          </w:p>
          <w:p>
            <w:pPr>
              <w:pStyle w:val="TableText"/>
              <w:ind w:left="142"/>
              <w:spacing w:before="24" w:line="230" w:lineRule="auto"/>
              <w:rPr/>
            </w:pPr>
            <w:r>
              <w:rPr>
                <w:spacing w:val="4"/>
              </w:rPr>
              <w:t>集后暂</w:t>
            </w:r>
          </w:p>
          <w:p>
            <w:pPr>
              <w:pStyle w:val="TableText"/>
              <w:ind w:left="145"/>
              <w:spacing w:before="21" w:line="228" w:lineRule="auto"/>
              <w:rPr/>
            </w:pPr>
            <w:r>
              <w:rPr>
                <w:spacing w:val="3"/>
              </w:rPr>
              <w:t>存于危</w:t>
            </w:r>
          </w:p>
          <w:p>
            <w:pPr>
              <w:pStyle w:val="TableText"/>
              <w:ind w:left="151"/>
              <w:spacing w:before="27" w:line="229" w:lineRule="auto"/>
              <w:rPr/>
            </w:pPr>
            <w:r>
              <w:rPr>
                <w:spacing w:val="1"/>
              </w:rPr>
              <w:t>险废物</w:t>
            </w:r>
          </w:p>
          <w:p>
            <w:pPr>
              <w:pStyle w:val="TableText"/>
              <w:ind w:left="142"/>
              <w:spacing w:before="22" w:line="228" w:lineRule="auto"/>
              <w:rPr/>
            </w:pPr>
            <w:r>
              <w:rPr>
                <w:spacing w:val="4"/>
              </w:rPr>
              <w:t>贮存点</w:t>
            </w:r>
          </w:p>
          <w:p>
            <w:pPr>
              <w:pStyle w:val="TableText"/>
              <w:ind w:left="167"/>
              <w:spacing w:before="24" w:line="231" w:lineRule="auto"/>
              <w:rPr/>
            </w:pPr>
            <w:r>
              <w:rPr>
                <w:spacing w:val="-1"/>
              </w:rPr>
              <w:t>内，定</w:t>
            </w:r>
          </w:p>
          <w:p>
            <w:pPr>
              <w:pStyle w:val="TableText"/>
              <w:ind w:left="141"/>
              <w:spacing w:before="24" w:line="231" w:lineRule="auto"/>
              <w:rPr/>
            </w:pPr>
            <w:r>
              <w:rPr>
                <w:spacing w:val="5"/>
              </w:rPr>
              <w:t>期交有</w:t>
            </w:r>
          </w:p>
          <w:p>
            <w:pPr>
              <w:pStyle w:val="TableText"/>
              <w:ind w:left="152"/>
              <w:spacing w:before="23" w:line="229" w:lineRule="auto"/>
              <w:rPr/>
            </w:pPr>
            <w:r>
              <w:rPr>
                <w:spacing w:val="1"/>
              </w:rPr>
              <w:t>资质单</w:t>
            </w:r>
          </w:p>
          <w:p>
            <w:pPr>
              <w:pStyle w:val="TableText"/>
              <w:ind w:left="142"/>
              <w:spacing w:before="24" w:line="216" w:lineRule="auto"/>
              <w:rPr/>
            </w:pPr>
            <w:r>
              <w:rPr>
                <w:spacing w:val="4"/>
              </w:rPr>
              <w:t>位处理</w:t>
            </w:r>
          </w:p>
        </w:tc>
      </w:tr>
      <w:tr>
        <w:trPr>
          <w:trHeight w:val="503" w:hRule="atLeast"/>
        </w:trPr>
        <w:tc>
          <w:tcPr>
            <w:tcW w:w="635" w:type="dxa"/>
            <w:vAlign w:val="top"/>
            <w:tcBorders>
              <w:left w:val="nil"/>
            </w:tcBorders>
          </w:tcPr>
          <w:p>
            <w:pPr>
              <w:ind w:left="272"/>
              <w:spacing w:before="1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33" w:type="dxa"/>
            <w:vAlign w:val="top"/>
          </w:tcPr>
          <w:p>
            <w:pPr>
              <w:pStyle w:val="TableText"/>
              <w:ind w:left="264"/>
              <w:spacing w:before="150" w:line="231" w:lineRule="auto"/>
              <w:rPr/>
            </w:pPr>
            <w:r>
              <w:rPr>
                <w:spacing w:val="4"/>
              </w:rPr>
              <w:t>废油桶</w:t>
            </w:r>
          </w:p>
        </w:tc>
        <w:tc>
          <w:tcPr>
            <w:tcW w:w="1246" w:type="dxa"/>
            <w:vAlign w:val="top"/>
          </w:tcPr>
          <w:p>
            <w:pPr>
              <w:ind w:left="496"/>
              <w:spacing w:before="1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0.3</w:t>
            </w:r>
          </w:p>
        </w:tc>
        <w:tc>
          <w:tcPr>
            <w:tcW w:w="887" w:type="dxa"/>
            <w:vAlign w:val="top"/>
            <w:vMerge w:val="continue"/>
            <w:tcBorders>
              <w:bottom w:val="nil"/>
              <w:top w:val="nil"/>
            </w:tcBorders>
          </w:tcPr>
          <w:p>
            <w:pPr>
              <w:rPr>
                <w:rFonts w:ascii="Arial"/>
                <w:sz w:val="21"/>
              </w:rPr>
            </w:pPr>
            <w:r/>
          </w:p>
        </w:tc>
        <w:tc>
          <w:tcPr>
            <w:tcW w:w="1313" w:type="dxa"/>
            <w:vAlign w:val="top"/>
            <w:vMerge w:val="continue"/>
            <w:tcBorders>
              <w:top w:val="nil"/>
            </w:tcBorders>
          </w:tcPr>
          <w:p>
            <w:pPr>
              <w:rPr>
                <w:rFonts w:ascii="Arial"/>
                <w:sz w:val="21"/>
              </w:rPr>
            </w:pPr>
            <w:r/>
          </w:p>
        </w:tc>
        <w:tc>
          <w:tcPr>
            <w:tcW w:w="887" w:type="dxa"/>
            <w:vAlign w:val="top"/>
          </w:tcPr>
          <w:p>
            <w:pPr>
              <w:pStyle w:val="TableText"/>
              <w:ind w:left="265"/>
              <w:spacing w:before="151" w:line="234" w:lineRule="auto"/>
              <w:rPr/>
            </w:pPr>
            <w:r>
              <w:rPr>
                <w:spacing w:val="-10"/>
              </w:rPr>
              <w:t>固态</w:t>
            </w:r>
          </w:p>
        </w:tc>
        <w:tc>
          <w:tcPr>
            <w:tcW w:w="1035" w:type="dxa"/>
            <w:vAlign w:val="top"/>
          </w:tcPr>
          <w:p>
            <w:pPr>
              <w:ind w:left="402"/>
              <w:spacing w:before="19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T,I</w:t>
            </w:r>
          </w:p>
        </w:tc>
        <w:tc>
          <w:tcPr>
            <w:tcW w:w="887" w:type="dxa"/>
            <w:vAlign w:val="top"/>
            <w:vMerge w:val="restart"/>
            <w:tcBorders>
              <w:bottom w:val="nil"/>
            </w:tcBorders>
          </w:tcPr>
          <w:p>
            <w:pPr>
              <w:spacing w:line="321" w:lineRule="auto"/>
              <w:rPr>
                <w:rFonts w:ascii="Arial"/>
                <w:sz w:val="21"/>
              </w:rPr>
            </w:pPr>
            <w:r/>
          </w:p>
          <w:p>
            <w:pPr>
              <w:spacing w:line="321" w:lineRule="auto"/>
              <w:rPr>
                <w:rFonts w:ascii="Arial"/>
                <w:sz w:val="21"/>
              </w:rPr>
            </w:pPr>
            <w:r/>
          </w:p>
          <w:p>
            <w:pPr>
              <w:pStyle w:val="TableText"/>
              <w:ind w:left="141" w:right="128" w:firstLine="7"/>
              <w:spacing w:before="65" w:line="252" w:lineRule="auto"/>
              <w:rPr/>
            </w:pPr>
            <w:r>
              <w:rPr>
                <w:spacing w:val="1"/>
              </w:rPr>
              <w:t>密闭袋</w:t>
            </w:r>
            <w:r>
              <w:rPr>
                <w:spacing w:val="3"/>
              </w:rPr>
              <w:t>装收集</w:t>
            </w:r>
          </w:p>
        </w:tc>
        <w:tc>
          <w:tcPr>
            <w:tcW w:w="889" w:type="dxa"/>
            <w:vAlign w:val="top"/>
            <w:vMerge w:val="continue"/>
            <w:tcBorders>
              <w:bottom w:val="nil"/>
              <w:top w:val="nil"/>
              <w:right w:val="nil"/>
            </w:tcBorders>
          </w:tcPr>
          <w:p>
            <w:pPr>
              <w:rPr>
                <w:rFonts w:ascii="Arial"/>
                <w:sz w:val="21"/>
              </w:rPr>
            </w:pPr>
            <w:r/>
          </w:p>
        </w:tc>
      </w:tr>
      <w:tr>
        <w:trPr>
          <w:trHeight w:val="1397" w:hRule="atLeast"/>
        </w:trPr>
        <w:tc>
          <w:tcPr>
            <w:tcW w:w="635" w:type="dxa"/>
            <w:vAlign w:val="top"/>
            <w:tcBorders>
              <w:bottom w:val="single" w:color="000000" w:sz="10" w:space="0"/>
              <w:left w:val="nil"/>
            </w:tcBorders>
          </w:tcPr>
          <w:p>
            <w:pPr>
              <w:spacing w:line="286" w:lineRule="auto"/>
              <w:rPr>
                <w:rFonts w:ascii="Arial"/>
                <w:sz w:val="21"/>
              </w:rPr>
            </w:pPr>
            <w:r/>
          </w:p>
          <w:p>
            <w:pPr>
              <w:spacing w:line="287" w:lineRule="auto"/>
              <w:rPr>
                <w:rFonts w:ascii="Arial"/>
                <w:sz w:val="21"/>
              </w:rPr>
            </w:pPr>
            <w:r/>
          </w:p>
          <w:p>
            <w:pPr>
              <w:ind w:left="23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133" w:type="dxa"/>
            <w:vAlign w:val="top"/>
            <w:tcBorders>
              <w:bottom w:val="single" w:color="000000" w:sz="10" w:space="0"/>
            </w:tcBorders>
          </w:tcPr>
          <w:p>
            <w:pPr>
              <w:spacing w:line="257" w:lineRule="auto"/>
              <w:rPr>
                <w:rFonts w:ascii="Arial"/>
                <w:sz w:val="21"/>
              </w:rPr>
            </w:pPr>
            <w:r/>
          </w:p>
          <w:p>
            <w:pPr>
              <w:pStyle w:val="TableText"/>
              <w:ind w:left="158"/>
              <w:spacing w:before="65" w:line="229" w:lineRule="auto"/>
              <w:rPr/>
            </w:pPr>
            <w:r>
              <w:rPr>
                <w:spacing w:val="5"/>
              </w:rPr>
              <w:t>含油抹布</w:t>
            </w:r>
          </w:p>
          <w:p>
            <w:pPr>
              <w:pStyle w:val="TableText"/>
              <w:ind w:left="159"/>
              <w:spacing w:before="23" w:line="229" w:lineRule="auto"/>
              <w:rPr/>
            </w:pPr>
            <w:r>
              <w:rPr>
                <w:spacing w:val="5"/>
              </w:rPr>
              <w:t>及劳保用</w:t>
            </w:r>
          </w:p>
          <w:p>
            <w:pPr>
              <w:pStyle w:val="TableText"/>
              <w:ind w:left="494"/>
              <w:spacing w:before="25" w:line="264" w:lineRule="exact"/>
              <w:rPr/>
            </w:pPr>
            <w:r>
              <w:rPr>
                <w:position w:val="1"/>
              </w:rPr>
              <w:t>品</w:t>
            </w:r>
          </w:p>
        </w:tc>
        <w:tc>
          <w:tcPr>
            <w:tcW w:w="1246" w:type="dxa"/>
            <w:vAlign w:val="top"/>
            <w:tcBorders>
              <w:bottom w:val="single" w:color="000000" w:sz="10" w:space="0"/>
            </w:tcBorders>
          </w:tcPr>
          <w:p>
            <w:pPr>
              <w:spacing w:line="286" w:lineRule="auto"/>
              <w:rPr>
                <w:rFonts w:ascii="Arial"/>
                <w:sz w:val="21"/>
              </w:rPr>
            </w:pPr>
            <w:r/>
          </w:p>
          <w:p>
            <w:pPr>
              <w:spacing w:line="287" w:lineRule="auto"/>
              <w:rPr>
                <w:rFonts w:ascii="Arial"/>
                <w:sz w:val="21"/>
              </w:rPr>
            </w:pPr>
            <w:r/>
          </w:p>
          <w:p>
            <w:pPr>
              <w:ind w:left="49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887" w:type="dxa"/>
            <w:vAlign w:val="top"/>
            <w:vMerge w:val="continue"/>
            <w:tcBorders>
              <w:bottom w:val="single" w:color="000000" w:sz="10" w:space="0"/>
              <w:top w:val="nil"/>
            </w:tcBorders>
          </w:tcPr>
          <w:p>
            <w:pPr>
              <w:rPr>
                <w:rFonts w:ascii="Arial"/>
                <w:sz w:val="21"/>
              </w:rPr>
            </w:pPr>
            <w:r/>
          </w:p>
        </w:tc>
        <w:tc>
          <w:tcPr>
            <w:tcW w:w="1313" w:type="dxa"/>
            <w:vAlign w:val="top"/>
            <w:tcBorders>
              <w:bottom w:val="single" w:color="000000" w:sz="10" w:space="0"/>
            </w:tcBorders>
          </w:tcPr>
          <w:p>
            <w:pPr>
              <w:spacing w:line="272" w:lineRule="auto"/>
              <w:rPr>
                <w:rFonts w:ascii="Arial"/>
                <w:sz w:val="21"/>
              </w:rPr>
            </w:pPr>
            <w:r/>
          </w:p>
          <w:p>
            <w:pPr>
              <w:pStyle w:val="TableText"/>
              <w:ind w:left="458" w:right="141" w:hanging="319"/>
              <w:spacing w:before="65" w:line="250" w:lineRule="auto"/>
              <w:rPr/>
            </w:pPr>
            <w:r>
              <w:rPr>
                <w:rFonts w:ascii="Times New Roman" w:hAnsi="Times New Roman" w:eastAsia="Times New Roman" w:cs="Times New Roman"/>
              </w:rPr>
              <w:t>HW</w:t>
            </w:r>
            <w:r>
              <w:rPr>
                <w:rFonts w:ascii="Times New Roman" w:hAnsi="Times New Roman" w:eastAsia="Times New Roman" w:cs="Times New Roman"/>
                <w:spacing w:val="5"/>
              </w:rPr>
              <w:t>49</w:t>
            </w:r>
            <w:r>
              <w:rPr>
                <w:rFonts w:ascii="Times New Roman" w:hAnsi="Times New Roman" w:eastAsia="Times New Roman" w:cs="Times New Roman"/>
                <w:spacing w:val="22"/>
              </w:rPr>
              <w:t xml:space="preserve"> </w:t>
            </w:r>
            <w:r>
              <w:rPr>
                <w:spacing w:val="5"/>
              </w:rPr>
              <w:t>其他</w:t>
            </w:r>
            <w:r>
              <w:rPr/>
              <w:t>废物</w:t>
            </w:r>
          </w:p>
          <w:p>
            <w:pPr>
              <w:ind w:left="171"/>
              <w:spacing w:before="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900-041-49</w:t>
            </w:r>
          </w:p>
        </w:tc>
        <w:tc>
          <w:tcPr>
            <w:tcW w:w="887" w:type="dxa"/>
            <w:vAlign w:val="top"/>
            <w:tcBorders>
              <w:bottom w:val="single" w:color="000000" w:sz="10" w:space="0"/>
            </w:tcBorders>
          </w:tcPr>
          <w:p>
            <w:pPr>
              <w:spacing w:line="264" w:lineRule="auto"/>
              <w:rPr>
                <w:rFonts w:ascii="Arial"/>
                <w:sz w:val="21"/>
              </w:rPr>
            </w:pPr>
            <w:r/>
          </w:p>
          <w:p>
            <w:pPr>
              <w:spacing w:line="264" w:lineRule="auto"/>
              <w:rPr>
                <w:rFonts w:ascii="Arial"/>
                <w:sz w:val="21"/>
              </w:rPr>
            </w:pPr>
            <w:r/>
          </w:p>
          <w:p>
            <w:pPr>
              <w:pStyle w:val="TableText"/>
              <w:ind w:left="265"/>
              <w:spacing w:before="65" w:line="234" w:lineRule="auto"/>
              <w:rPr/>
            </w:pPr>
            <w:r>
              <w:rPr>
                <w:spacing w:val="-10"/>
              </w:rPr>
              <w:t>固态</w:t>
            </w:r>
          </w:p>
        </w:tc>
        <w:tc>
          <w:tcPr>
            <w:tcW w:w="1035" w:type="dxa"/>
            <w:vAlign w:val="top"/>
            <w:tcBorders>
              <w:bottom w:val="single" w:color="000000" w:sz="10" w:space="0"/>
            </w:tcBorders>
          </w:tcPr>
          <w:p>
            <w:pPr>
              <w:spacing w:line="284" w:lineRule="auto"/>
              <w:rPr>
                <w:rFonts w:ascii="Arial"/>
                <w:sz w:val="21"/>
              </w:rPr>
            </w:pPr>
            <w:r/>
          </w:p>
          <w:p>
            <w:pPr>
              <w:spacing w:line="285" w:lineRule="auto"/>
              <w:rPr>
                <w:rFonts w:ascii="Arial"/>
                <w:sz w:val="21"/>
              </w:rPr>
            </w:pPr>
            <w:r/>
          </w:p>
          <w:p>
            <w:pPr>
              <w:ind w:left="34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rPr>
              <w:t>In</w:t>
            </w:r>
          </w:p>
        </w:tc>
        <w:tc>
          <w:tcPr>
            <w:tcW w:w="887" w:type="dxa"/>
            <w:vAlign w:val="top"/>
            <w:vMerge w:val="continue"/>
            <w:tcBorders>
              <w:bottom w:val="single" w:color="000000" w:sz="10" w:space="0"/>
              <w:top w:val="nil"/>
            </w:tcBorders>
          </w:tcPr>
          <w:p>
            <w:pPr>
              <w:rPr>
                <w:rFonts w:ascii="Arial"/>
                <w:sz w:val="21"/>
              </w:rPr>
            </w:pPr>
            <w:r/>
          </w:p>
        </w:tc>
        <w:tc>
          <w:tcPr>
            <w:tcW w:w="889" w:type="dxa"/>
            <w:vAlign w:val="top"/>
            <w:vMerge w:val="continue"/>
            <w:tcBorders>
              <w:bottom w:val="single" w:color="000000" w:sz="10" w:space="0"/>
              <w:top w:val="nil"/>
              <w:right w:val="nil"/>
            </w:tcBorders>
          </w:tcPr>
          <w:p>
            <w:pPr>
              <w:rPr>
                <w:rFonts w:ascii="Arial"/>
                <w:sz w:val="21"/>
              </w:rPr>
            </w:pPr>
            <w:r/>
          </w:p>
        </w:tc>
      </w:tr>
    </w:tbl>
    <w:p>
      <w:pPr>
        <w:pStyle w:val="BodyText"/>
        <w:spacing w:line="371" w:lineRule="auto"/>
        <w:rPr/>
      </w:pPr>
      <w:r/>
    </w:p>
    <w:p>
      <w:pPr>
        <w:ind w:left="609"/>
        <w:spacing w:before="78" w:line="226"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5</w:t>
      </w:r>
      <w:r>
        <w:rPr>
          <w:rFonts w:ascii="FangSong" w:hAnsi="FangSong" w:eastAsia="FangSong" w:cs="FangSong"/>
          <w:sz w:val="24"/>
          <w:szCs w:val="24"/>
          <w:spacing w:val="-5"/>
        </w:rPr>
        <w:t>）生态</w:t>
      </w:r>
    </w:p>
    <w:p>
      <w:pPr>
        <w:ind w:left="125" w:right="107" w:firstLine="480"/>
        <w:spacing w:before="170" w:line="359" w:lineRule="auto"/>
        <w:rPr>
          <w:rFonts w:ascii="FangSong" w:hAnsi="FangSong" w:eastAsia="FangSong" w:cs="FangSong"/>
          <w:sz w:val="24"/>
          <w:szCs w:val="24"/>
        </w:rPr>
      </w:pPr>
      <w:r>
        <w:rPr>
          <w:rFonts w:ascii="FangSong" w:hAnsi="FangSong" w:eastAsia="FangSong" w:cs="FangSong"/>
          <w:sz w:val="24"/>
          <w:szCs w:val="24"/>
          <w:spacing w:val="1"/>
        </w:rPr>
        <w:t>本项目运营期对生态环境的影响主要表现为对植被的破坏及占压，造成水土流</w:t>
      </w:r>
      <w:r>
        <w:rPr>
          <w:rFonts w:ascii="FangSong" w:hAnsi="FangSong" w:eastAsia="FangSong" w:cs="FangSong"/>
          <w:sz w:val="24"/>
          <w:szCs w:val="24"/>
          <w:spacing w:val="1"/>
        </w:rPr>
        <w:t>失等。评价要求，项目运营过程中严格按照设计进行开采，认真落实评价提出的各</w:t>
      </w:r>
      <w:r>
        <w:rPr>
          <w:rFonts w:ascii="FangSong" w:hAnsi="FangSong" w:eastAsia="FangSong" w:cs="FangSong"/>
          <w:sz w:val="24"/>
          <w:szCs w:val="24"/>
          <w:spacing w:val="-1"/>
        </w:rPr>
        <w:t>项生态减缓措</w:t>
      </w:r>
      <w:r>
        <w:rPr>
          <w:rFonts w:ascii="FangSong" w:hAnsi="FangSong" w:eastAsia="FangSong" w:cs="FangSong"/>
          <w:sz w:val="24"/>
          <w:szCs w:val="24"/>
          <w:spacing w:val="-1"/>
        </w:rPr>
        <w:t xml:space="preserve"> </w:t>
      </w:r>
      <w:r>
        <w:rPr>
          <w:rFonts w:ascii="FangSong" w:hAnsi="FangSong" w:eastAsia="FangSong" w:cs="FangSong"/>
          <w:sz w:val="24"/>
          <w:szCs w:val="24"/>
          <w:spacing w:val="-1"/>
        </w:rPr>
        <w:t>施及水土保持措施，从而减小项目植被破坏及水土流失。</w:t>
      </w:r>
    </w:p>
    <w:p>
      <w:pPr>
        <w:ind w:left="114"/>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4.13.2.3  </w:t>
      </w:r>
      <w:r>
        <w:rPr>
          <w:rFonts w:ascii="FangSong" w:hAnsi="FangSong" w:eastAsia="FangSong" w:cs="FangSong"/>
          <w:sz w:val="24"/>
          <w:szCs w:val="24"/>
          <w:b/>
          <w:bCs/>
          <w:spacing w:val="-2"/>
        </w:rPr>
        <w:t>服务期满后环境影响分析</w:t>
      </w:r>
    </w:p>
    <w:p>
      <w:pPr>
        <w:ind w:left="123" w:right="43" w:firstLine="480"/>
        <w:spacing w:before="182" w:line="359" w:lineRule="auto"/>
        <w:jc w:val="both"/>
        <w:rPr>
          <w:rFonts w:ascii="FangSong" w:hAnsi="FangSong" w:eastAsia="FangSong" w:cs="FangSong"/>
          <w:sz w:val="24"/>
          <w:szCs w:val="24"/>
        </w:rPr>
      </w:pPr>
      <w:r>
        <w:rPr>
          <w:rFonts w:ascii="FangSong" w:hAnsi="FangSong" w:eastAsia="FangSong" w:cs="FangSong"/>
          <w:sz w:val="24"/>
          <w:szCs w:val="24"/>
          <w:spacing w:val="1"/>
        </w:rPr>
        <w:t>服务期满后将进行封井、封场、拆除地表建筑物、平整土地，对矿区进行生态</w:t>
      </w:r>
      <w:r>
        <w:rPr>
          <w:rFonts w:ascii="FangSong" w:hAnsi="FangSong" w:eastAsia="FangSong" w:cs="FangSong"/>
          <w:sz w:val="24"/>
          <w:szCs w:val="24"/>
          <w:spacing w:val="1"/>
        </w:rPr>
        <w:t>修复，主要是草原的复垦和自然植被恢复，以及水土流失的治理等工程，包括采矿</w:t>
      </w:r>
      <w:r>
        <w:rPr>
          <w:rFonts w:ascii="FangSong" w:hAnsi="FangSong" w:eastAsia="FangSong" w:cs="FangSong"/>
          <w:sz w:val="24"/>
          <w:szCs w:val="24"/>
          <w:spacing w:val="-2"/>
        </w:rPr>
        <w:t>区的草地植被</w:t>
      </w:r>
      <w:r>
        <w:rPr>
          <w:rFonts w:ascii="FangSong" w:hAnsi="FangSong" w:eastAsia="FangSong" w:cs="FangSong"/>
          <w:sz w:val="24"/>
          <w:szCs w:val="24"/>
          <w:spacing w:val="-2"/>
        </w:rPr>
        <w:t xml:space="preserve"> </w:t>
      </w:r>
      <w:r>
        <w:rPr>
          <w:rFonts w:ascii="FangSong" w:hAnsi="FangSong" w:eastAsia="FangSong" w:cs="FangSong"/>
          <w:sz w:val="24"/>
          <w:szCs w:val="24"/>
          <w:spacing w:val="-2"/>
        </w:rPr>
        <w:t>恢复，选矿厂的土地复垦。项目服务期满后存在大面</w:t>
      </w:r>
      <w:r>
        <w:rPr>
          <w:rFonts w:ascii="FangSong" w:hAnsi="FangSong" w:eastAsia="FangSong" w:cs="FangSong"/>
          <w:sz w:val="24"/>
          <w:szCs w:val="24"/>
          <w:spacing w:val="-3"/>
        </w:rPr>
        <w:t>积裸露岩石和地</w:t>
      </w:r>
      <w:r>
        <w:rPr>
          <w:rFonts w:ascii="FangSong" w:hAnsi="FangSong" w:eastAsia="FangSong" w:cs="FangSong"/>
          <w:sz w:val="24"/>
          <w:szCs w:val="24"/>
          <w:spacing w:val="1"/>
        </w:rPr>
        <w:t>表，在大风情况下会产生大量扬尘，影响附近方圆几公里的范围。此外，项目退役</w:t>
      </w:r>
      <w:r>
        <w:rPr>
          <w:rFonts w:ascii="FangSong" w:hAnsi="FangSong" w:eastAsia="FangSong" w:cs="FangSong"/>
          <w:sz w:val="24"/>
          <w:szCs w:val="24"/>
          <w:spacing w:val="-7"/>
        </w:rPr>
        <w:t>遗留的采坑，对区域的水土</w:t>
      </w:r>
      <w:r>
        <w:rPr>
          <w:rFonts w:ascii="FangSong" w:hAnsi="FangSong" w:eastAsia="FangSong" w:cs="FangSong"/>
          <w:sz w:val="24"/>
          <w:szCs w:val="24"/>
          <w:spacing w:val="-7"/>
        </w:rPr>
        <w:t xml:space="preserve"> </w:t>
      </w:r>
      <w:r>
        <w:rPr>
          <w:rFonts w:ascii="FangSong" w:hAnsi="FangSong" w:eastAsia="FangSong" w:cs="FangSong"/>
          <w:sz w:val="24"/>
          <w:szCs w:val="24"/>
          <w:spacing w:val="-7"/>
        </w:rPr>
        <w:t>保持、地形地貌以及景观风貌等方面均会造成不利影响，</w:t>
      </w:r>
      <w:r>
        <w:rPr>
          <w:rFonts w:ascii="FangSong" w:hAnsi="FangSong" w:eastAsia="FangSong" w:cs="FangSong"/>
          <w:sz w:val="24"/>
          <w:szCs w:val="24"/>
        </w:rPr>
        <w:t>根据《矿山生态环境保护与恢复治理技术规范（试行）》（</w:t>
      </w:r>
      <w:r>
        <w:rPr>
          <w:rFonts w:ascii="Times New Roman" w:hAnsi="Times New Roman" w:eastAsia="Times New Roman" w:cs="Times New Roman"/>
          <w:sz w:val="24"/>
          <w:szCs w:val="24"/>
        </w:rPr>
        <w:t>HJ651-2013</w:t>
      </w:r>
      <w:r>
        <w:rPr>
          <w:rFonts w:ascii="FangSong" w:hAnsi="FangSong" w:eastAsia="FangSong" w:cs="FangSong"/>
          <w:sz w:val="24"/>
          <w:szCs w:val="24"/>
        </w:rPr>
        <w:t>）</w:t>
      </w:r>
      <w:r>
        <w:rPr>
          <w:rFonts w:ascii="FangSong" w:hAnsi="FangSong" w:eastAsia="FangSong" w:cs="FangSong"/>
          <w:sz w:val="24"/>
          <w:szCs w:val="24"/>
          <w:spacing w:val="-68"/>
        </w:rPr>
        <w:t xml:space="preserve"> </w:t>
      </w:r>
      <w:r>
        <w:rPr>
          <w:rFonts w:ascii="FangSong" w:hAnsi="FangSong" w:eastAsia="FangSong" w:cs="FangSong"/>
          <w:sz w:val="24"/>
          <w:szCs w:val="24"/>
        </w:rPr>
        <w:t>中相关要</w:t>
      </w:r>
      <w:r>
        <w:rPr>
          <w:rFonts w:ascii="FangSong" w:hAnsi="FangSong" w:eastAsia="FangSong" w:cs="FangSong"/>
          <w:sz w:val="24"/>
          <w:szCs w:val="24"/>
          <w:spacing w:val="-2"/>
        </w:rPr>
        <w:t>求，应采取相应的土地复垦绿化、水土</w:t>
      </w:r>
      <w:r>
        <w:rPr>
          <w:rFonts w:ascii="FangSong" w:hAnsi="FangSong" w:eastAsia="FangSong" w:cs="FangSong"/>
          <w:sz w:val="24"/>
          <w:szCs w:val="24"/>
          <w:spacing w:val="-2"/>
        </w:rPr>
        <w:t xml:space="preserve"> </w:t>
      </w:r>
      <w:r>
        <w:rPr>
          <w:rFonts w:ascii="FangSong" w:hAnsi="FangSong" w:eastAsia="FangSong" w:cs="FangSong"/>
          <w:sz w:val="24"/>
          <w:szCs w:val="24"/>
          <w:spacing w:val="-2"/>
        </w:rPr>
        <w:t>保持以及地质灾害治理等一</w:t>
      </w:r>
      <w:r>
        <w:rPr>
          <w:rFonts w:ascii="FangSong" w:hAnsi="FangSong" w:eastAsia="FangSong" w:cs="FangSong"/>
          <w:sz w:val="24"/>
          <w:szCs w:val="24"/>
          <w:spacing w:val="-3"/>
        </w:rPr>
        <w:t>系列措施来减缓</w:t>
      </w:r>
      <w:r>
        <w:rPr>
          <w:rFonts w:ascii="FangSong" w:hAnsi="FangSong" w:eastAsia="FangSong" w:cs="FangSong"/>
          <w:sz w:val="24"/>
          <w:szCs w:val="24"/>
          <w:spacing w:val="-2"/>
        </w:rPr>
        <w:t>退役后带来的生态环境影响。</w:t>
      </w:r>
    </w:p>
    <w:p>
      <w:pPr>
        <w:ind w:left="115"/>
        <w:spacing w:before="4" w:line="223" w:lineRule="auto"/>
        <w:outlineLvl w:val="1"/>
        <w:rPr>
          <w:rFonts w:ascii="FangSong" w:hAnsi="FangSong" w:eastAsia="FangSong" w:cs="FangSong"/>
          <w:sz w:val="28"/>
          <w:szCs w:val="28"/>
        </w:rPr>
      </w:pPr>
      <w:bookmarkStart w:name="bookmark190" w:id="263"/>
      <w:bookmarkEnd w:id="263"/>
      <w:bookmarkStart w:name="bookmark189" w:id="264"/>
      <w:bookmarkEnd w:id="264"/>
      <w:r>
        <w:rPr>
          <w:rFonts w:ascii="Times New Roman" w:hAnsi="Times New Roman" w:eastAsia="Times New Roman" w:cs="Times New Roman"/>
          <w:sz w:val="28"/>
          <w:szCs w:val="28"/>
          <w:b/>
          <w:bCs/>
          <w:spacing w:val="-4"/>
        </w:rPr>
        <w:t>4.14</w:t>
      </w:r>
      <w:r>
        <w:rPr>
          <w:rFonts w:ascii="Times New Roman" w:hAnsi="Times New Roman" w:eastAsia="Times New Roman" w:cs="Times New Roman"/>
          <w:sz w:val="28"/>
          <w:szCs w:val="28"/>
          <w:b/>
          <w:bCs/>
          <w:spacing w:val="10"/>
        </w:rPr>
        <w:t xml:space="preserve">  </w:t>
      </w:r>
      <w:r>
        <w:rPr>
          <w:rFonts w:ascii="FangSong" w:hAnsi="FangSong" w:eastAsia="FangSong" w:cs="FangSong"/>
          <w:sz w:val="28"/>
          <w:szCs w:val="28"/>
          <w:b/>
          <w:bCs/>
          <w:spacing w:val="-4"/>
        </w:rPr>
        <w:t>清洁生产要求</w:t>
      </w:r>
    </w:p>
    <w:p>
      <w:pPr>
        <w:ind w:left="124" w:right="107" w:firstLine="510"/>
        <w:spacing w:before="202" w:line="359" w:lineRule="auto"/>
        <w:jc w:val="both"/>
        <w:rPr>
          <w:rFonts w:ascii="FangSong" w:hAnsi="FangSong" w:eastAsia="FangSong" w:cs="FangSong"/>
          <w:sz w:val="24"/>
          <w:szCs w:val="24"/>
        </w:rPr>
      </w:pPr>
      <w:r>
        <w:rPr>
          <w:rFonts w:ascii="FangSong" w:hAnsi="FangSong" w:eastAsia="FangSong" w:cs="FangSong"/>
          <w:sz w:val="24"/>
          <w:szCs w:val="24"/>
        </w:rPr>
        <w:t>由于萤石矿采选业国家未发布清洁生产相关标准，故本次根据本项目开采方式</w:t>
      </w:r>
      <w:r>
        <w:rPr>
          <w:rFonts w:ascii="FangSong" w:hAnsi="FangSong" w:eastAsia="FangSong" w:cs="FangSong"/>
          <w:sz w:val="24"/>
          <w:szCs w:val="24"/>
          <w:spacing w:val="-6"/>
        </w:rPr>
        <w:t>和选矿工艺，参照</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6"/>
        </w:rPr>
        <w:t>2006</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6"/>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15  </w:t>
      </w:r>
      <w:r>
        <w:rPr>
          <w:rFonts w:ascii="FangSong" w:hAnsi="FangSong" w:eastAsia="FangSong" w:cs="FangSong"/>
          <w:sz w:val="24"/>
          <w:szCs w:val="24"/>
          <w:spacing w:val="-6"/>
        </w:rPr>
        <w:t>日原国家环境保护总局发布的《清洁生产标准</w:t>
      </w:r>
      <w:r>
        <w:rPr>
          <w:rFonts w:ascii="FangSong" w:hAnsi="FangSong" w:eastAsia="FangSong" w:cs="FangSong"/>
          <w:sz w:val="24"/>
          <w:szCs w:val="24"/>
          <w:spacing w:val="-6"/>
        </w:rPr>
        <w:t xml:space="preserve"> </w:t>
      </w:r>
      <w:r>
        <w:rPr>
          <w:rFonts w:ascii="FangSong" w:hAnsi="FangSong" w:eastAsia="FangSong" w:cs="FangSong"/>
          <w:sz w:val="24"/>
          <w:szCs w:val="24"/>
          <w:spacing w:val="-6"/>
        </w:rPr>
        <w:t>铁</w:t>
      </w:r>
      <w:r>
        <w:rPr>
          <w:rFonts w:ascii="FangSong" w:hAnsi="FangSong" w:eastAsia="FangSong" w:cs="FangSong"/>
          <w:sz w:val="24"/>
          <w:szCs w:val="24"/>
          <w:spacing w:val="-1"/>
        </w:rPr>
        <w:t>矿采选业》（</w:t>
      </w:r>
      <w:r>
        <w:rPr>
          <w:rFonts w:ascii="Times New Roman" w:hAnsi="Times New Roman" w:eastAsia="Times New Roman" w:cs="Times New Roman"/>
          <w:sz w:val="24"/>
          <w:szCs w:val="24"/>
          <w:spacing w:val="-1"/>
        </w:rPr>
        <w:t>HJ/T294-2006</w:t>
      </w:r>
      <w:r>
        <w:rPr>
          <w:rFonts w:ascii="FangSong" w:hAnsi="FangSong" w:eastAsia="FangSong" w:cs="FangSong"/>
          <w:sz w:val="24"/>
          <w:szCs w:val="24"/>
          <w:spacing w:val="-1"/>
        </w:rPr>
        <w:t>）进行分析。</w:t>
      </w:r>
    </w:p>
    <w:p>
      <w:pPr>
        <w:ind w:left="126" w:right="106" w:firstLine="477"/>
        <w:spacing w:before="4" w:line="358" w:lineRule="auto"/>
        <w:jc w:val="both"/>
        <w:rPr>
          <w:rFonts w:ascii="FangSong" w:hAnsi="FangSong" w:eastAsia="FangSong" w:cs="FangSong"/>
          <w:sz w:val="24"/>
          <w:szCs w:val="24"/>
        </w:rPr>
      </w:pPr>
      <w:r>
        <w:rPr>
          <w:rFonts w:ascii="FangSong" w:hAnsi="FangSong" w:eastAsia="FangSong" w:cs="FangSong"/>
          <w:sz w:val="24"/>
          <w:szCs w:val="24"/>
          <w:spacing w:val="2"/>
        </w:rPr>
        <w:t>《清洁生产标准</w:t>
      </w:r>
      <w:r>
        <w:rPr>
          <w:rFonts w:ascii="FangSong" w:hAnsi="FangSong" w:eastAsia="FangSong" w:cs="FangSong"/>
          <w:sz w:val="24"/>
          <w:szCs w:val="24"/>
          <w:spacing w:val="2"/>
        </w:rPr>
        <w:t xml:space="preserve"> </w:t>
      </w:r>
      <w:r>
        <w:rPr>
          <w:rFonts w:ascii="FangSong" w:hAnsi="FangSong" w:eastAsia="FangSong" w:cs="FangSong"/>
          <w:sz w:val="24"/>
          <w:szCs w:val="24"/>
          <w:spacing w:val="2"/>
        </w:rPr>
        <w:t>铁矿采选业》（</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/T29</w:t>
      </w:r>
      <w:r>
        <w:rPr>
          <w:rFonts w:ascii="Times New Roman" w:hAnsi="Times New Roman" w:eastAsia="Times New Roman" w:cs="Times New Roman"/>
          <w:sz w:val="24"/>
          <w:szCs w:val="24"/>
          <w:spacing w:val="1"/>
        </w:rPr>
        <w:t>4-2006</w:t>
      </w:r>
      <w:r>
        <w:rPr>
          <w:rFonts w:ascii="FangSong" w:hAnsi="FangSong" w:eastAsia="FangSong" w:cs="FangSong"/>
          <w:sz w:val="24"/>
          <w:szCs w:val="24"/>
          <w:spacing w:val="12"/>
        </w:rPr>
        <w:t>），</w:t>
      </w:r>
      <w:r>
        <w:rPr>
          <w:rFonts w:ascii="FangSong" w:hAnsi="FangSong" w:eastAsia="FangSong" w:cs="FangSong"/>
          <w:sz w:val="24"/>
          <w:szCs w:val="24"/>
          <w:spacing w:val="1"/>
        </w:rPr>
        <w:t>标准共分为三级，</w:t>
      </w:r>
      <w:r>
        <w:rPr>
          <w:rFonts w:ascii="FangSong" w:hAnsi="FangSong" w:eastAsia="FangSong" w:cs="FangSong"/>
          <w:sz w:val="24"/>
          <w:szCs w:val="24"/>
          <w:spacing w:val="1"/>
        </w:rPr>
        <w:t xml:space="preserve"> </w:t>
      </w:r>
      <w:r>
        <w:rPr>
          <w:rFonts w:ascii="FangSong" w:hAnsi="FangSong" w:eastAsia="FangSong" w:cs="FangSong"/>
          <w:sz w:val="24"/>
          <w:szCs w:val="24"/>
          <w:spacing w:val="1"/>
        </w:rPr>
        <w:t>一级代</w:t>
      </w:r>
      <w:r>
        <w:rPr>
          <w:rFonts w:ascii="FangSong" w:hAnsi="FangSong" w:eastAsia="FangSong" w:cs="FangSong"/>
          <w:sz w:val="24"/>
          <w:szCs w:val="24"/>
          <w:spacing w:val="1"/>
        </w:rPr>
        <w:t>表国际清洁生产先进水平，二级代表国内清洁生产先进水平，三级代表国内清洁生</w:t>
      </w:r>
      <w:r>
        <w:rPr>
          <w:rFonts w:ascii="FangSong" w:hAnsi="FangSong" w:eastAsia="FangSong" w:cs="FangSong"/>
          <w:sz w:val="24"/>
          <w:szCs w:val="24"/>
          <w:spacing w:val="-3"/>
        </w:rPr>
        <w:t>产基本水平。</w:t>
      </w:r>
    </w:p>
    <w:p>
      <w:pPr>
        <w:ind w:left="127" w:right="107" w:firstLine="478"/>
        <w:spacing w:before="1" w:line="360" w:lineRule="auto"/>
        <w:rPr>
          <w:rFonts w:ascii="FangSong" w:hAnsi="FangSong" w:eastAsia="FangSong" w:cs="FangSong"/>
          <w:sz w:val="24"/>
          <w:szCs w:val="24"/>
        </w:rPr>
      </w:pPr>
      <w:r>
        <w:rPr>
          <w:rFonts w:ascii="FangSong" w:hAnsi="FangSong" w:eastAsia="FangSong" w:cs="FangSong"/>
          <w:sz w:val="24"/>
          <w:szCs w:val="24"/>
          <w:spacing w:val="1"/>
        </w:rPr>
        <w:t>本项目包括采矿生产和选矿生产，本次清洁生产分析从工艺装备要求、资源能</w:t>
      </w:r>
      <w:r>
        <w:rPr>
          <w:rFonts w:ascii="FangSong" w:hAnsi="FangSong" w:eastAsia="FangSong" w:cs="FangSong"/>
          <w:sz w:val="24"/>
          <w:szCs w:val="24"/>
          <w:spacing w:val="1"/>
        </w:rPr>
        <w:t>源利用、污染物产生、废物回收利用和环境管理要求等五个方面对采矿清洁生产、</w:t>
      </w:r>
      <w:r>
        <w:rPr>
          <w:rFonts w:ascii="FangSong" w:hAnsi="FangSong" w:eastAsia="FangSong" w:cs="FangSong"/>
          <w:sz w:val="24"/>
          <w:szCs w:val="24"/>
          <w:spacing w:val="-2"/>
        </w:rPr>
        <w:t>选矿清洁生产进行分析。</w:t>
      </w:r>
    </w:p>
    <w:p>
      <w:pPr>
        <w:spacing w:line="360" w:lineRule="auto"/>
        <w:sectPr>
          <w:headerReference w:type="default" r:id="rId52"/>
          <w:footerReference w:type="default" r:id="rId200"/>
          <w:pgSz w:w="11911" w:h="16839"/>
          <w:pgMar w:top="400" w:right="1309" w:bottom="1146" w:left="1689"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ict>
          <v:shape id="_x0000_s44" style="position:absolute;margin-left:0.667496pt;margin-top:12.125pt;mso-position-vertical-relative:text;mso-position-horizontal-relative:text;width:415.25pt;height:0.55pt;z-index:251660288;" fillcolor="#00000A" filled="true" stroked="false" coordsize="8305,11" coordorigin="0,0" path="m,l8304,0l8304,10l0,10l0,0xe"/>
        </w:pict>
      </w:r>
      <w:r/>
    </w:p>
    <w:p>
      <w:pPr>
        <w:pStyle w:val="BodyText"/>
        <w:spacing w:line="242" w:lineRule="auto"/>
        <w:rPr/>
      </w:pPr>
      <w:r/>
    </w:p>
    <w:p>
      <w:pPr>
        <w:ind w:left="16"/>
        <w:spacing w:before="78" w:line="222" w:lineRule="auto"/>
        <w:outlineLvl w:val="2"/>
        <w:rPr>
          <w:rFonts w:ascii="FangSong" w:hAnsi="FangSong" w:eastAsia="FangSong" w:cs="FangSong"/>
          <w:sz w:val="24"/>
          <w:szCs w:val="24"/>
        </w:rPr>
      </w:pPr>
      <w:bookmarkStart w:name="bookmark192" w:id="265"/>
      <w:bookmarkEnd w:id="265"/>
      <w:bookmarkStart w:name="bookmark191" w:id="266"/>
      <w:bookmarkEnd w:id="266"/>
      <w:r>
        <w:rPr>
          <w:rFonts w:ascii="Times New Roman" w:hAnsi="Times New Roman" w:eastAsia="Times New Roman" w:cs="Times New Roman"/>
          <w:sz w:val="24"/>
          <w:szCs w:val="24"/>
          <w:b/>
          <w:bCs/>
          <w:spacing w:val="-2"/>
        </w:rPr>
        <w:t>4.14.1  </w:t>
      </w:r>
      <w:r>
        <w:rPr>
          <w:rFonts w:ascii="FangSong" w:hAnsi="FangSong" w:eastAsia="FangSong" w:cs="FangSong"/>
          <w:sz w:val="24"/>
          <w:szCs w:val="24"/>
          <w:b/>
          <w:bCs/>
          <w:spacing w:val="-2"/>
        </w:rPr>
        <w:t>地下采矿清洁生产分析</w:t>
      </w:r>
    </w:p>
    <w:p>
      <w:pPr>
        <w:ind w:left="507"/>
        <w:spacing w:before="177" w:line="222" w:lineRule="auto"/>
        <w:rPr>
          <w:rFonts w:ascii="FangSong" w:hAnsi="FangSong" w:eastAsia="FangSong" w:cs="FangSong"/>
          <w:sz w:val="24"/>
          <w:szCs w:val="24"/>
        </w:rPr>
      </w:pPr>
      <w:r>
        <w:rPr>
          <w:rFonts w:ascii="FangSong" w:hAnsi="FangSong" w:eastAsia="FangSong" w:cs="FangSong"/>
          <w:sz w:val="24"/>
          <w:szCs w:val="24"/>
          <w:spacing w:val="-1"/>
        </w:rPr>
        <w:t>本项目地下开采工艺设备清洁生产水平指标对比分析结果见表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4.14-1</w:t>
      </w:r>
      <w:r>
        <w:rPr>
          <w:rFonts w:ascii="FangSong" w:hAnsi="FangSong" w:eastAsia="FangSong" w:cs="FangSong"/>
          <w:sz w:val="24"/>
          <w:szCs w:val="24"/>
          <w:spacing w:val="-1"/>
        </w:rPr>
        <w:t>。</w:t>
      </w:r>
    </w:p>
    <w:p>
      <w:pPr>
        <w:ind w:left="1567"/>
        <w:spacing w:before="179"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2"/>
        </w:rPr>
        <w:t>4.14-1  </w:t>
      </w:r>
      <w:r>
        <w:rPr>
          <w:rFonts w:ascii="FangSong" w:hAnsi="FangSong" w:eastAsia="FangSong" w:cs="FangSong"/>
          <w:sz w:val="24"/>
          <w:szCs w:val="24"/>
          <w:b/>
          <w:bCs/>
          <w:spacing w:val="-2"/>
        </w:rPr>
        <w:t>铁矿采选行业清洁生产标准（地下</w:t>
      </w:r>
      <w:r>
        <w:rPr>
          <w:rFonts w:ascii="FangSong" w:hAnsi="FangSong" w:eastAsia="FangSong" w:cs="FangSong"/>
          <w:sz w:val="24"/>
          <w:szCs w:val="24"/>
          <w:b/>
          <w:bCs/>
          <w:spacing w:val="-3"/>
        </w:rPr>
        <w:t>开采类）</w:t>
      </w:r>
    </w:p>
    <w:p>
      <w:pPr>
        <w:spacing w:line="144" w:lineRule="exact"/>
        <w:rPr/>
      </w:pPr>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486"/>
        <w:gridCol w:w="2074"/>
        <w:gridCol w:w="1927"/>
        <w:gridCol w:w="1631"/>
        <w:gridCol w:w="1575"/>
      </w:tblGrid>
      <w:tr>
        <w:trPr>
          <w:trHeight w:val="553" w:hRule="atLeast"/>
        </w:trPr>
        <w:tc>
          <w:tcPr>
            <w:tcW w:w="1486" w:type="dxa"/>
            <w:vAlign w:val="top"/>
            <w:tcBorders>
              <w:top w:val="single" w:color="00000A" w:sz="10" w:space="0"/>
              <w:left w:val="nil"/>
            </w:tcBorders>
          </w:tcPr>
          <w:p>
            <w:pPr>
              <w:pStyle w:val="TableText"/>
              <w:ind w:left="544"/>
              <w:spacing w:before="170" w:line="231" w:lineRule="auto"/>
              <w:rPr/>
            </w:pPr>
            <w:r>
              <w:rPr>
                <w:spacing w:val="2"/>
              </w:rPr>
              <w:t>指标</w:t>
            </w:r>
          </w:p>
        </w:tc>
        <w:tc>
          <w:tcPr>
            <w:tcW w:w="2074" w:type="dxa"/>
            <w:vAlign w:val="top"/>
            <w:tcBorders>
              <w:top w:val="single" w:color="00000A" w:sz="10" w:space="0"/>
            </w:tcBorders>
          </w:tcPr>
          <w:p>
            <w:pPr>
              <w:pStyle w:val="TableText"/>
              <w:ind w:left="842"/>
              <w:spacing w:before="170" w:line="232" w:lineRule="auto"/>
              <w:rPr/>
            </w:pPr>
            <w:r>
              <w:rPr/>
              <w:t>一级</w:t>
            </w:r>
          </w:p>
        </w:tc>
        <w:tc>
          <w:tcPr>
            <w:tcW w:w="1927" w:type="dxa"/>
            <w:vAlign w:val="top"/>
            <w:tcBorders>
              <w:top w:val="single" w:color="00000A" w:sz="10" w:space="0"/>
            </w:tcBorders>
          </w:tcPr>
          <w:p>
            <w:pPr>
              <w:pStyle w:val="TableText"/>
              <w:ind w:left="771"/>
              <w:spacing w:before="170" w:line="232" w:lineRule="auto"/>
              <w:rPr/>
            </w:pPr>
            <w:r>
              <w:rPr>
                <w:spacing w:val="2"/>
              </w:rPr>
              <w:t>二级</w:t>
            </w:r>
          </w:p>
        </w:tc>
        <w:tc>
          <w:tcPr>
            <w:tcW w:w="1631" w:type="dxa"/>
            <w:vAlign w:val="top"/>
            <w:tcBorders>
              <w:top w:val="single" w:color="00000A" w:sz="10" w:space="0"/>
            </w:tcBorders>
          </w:tcPr>
          <w:p>
            <w:pPr>
              <w:pStyle w:val="TableText"/>
              <w:ind w:left="621"/>
              <w:spacing w:before="170" w:line="232" w:lineRule="auto"/>
              <w:rPr/>
            </w:pPr>
            <w:r>
              <w:rPr>
                <w:spacing w:val="-1"/>
              </w:rPr>
              <w:t>三级</w:t>
            </w:r>
          </w:p>
        </w:tc>
        <w:tc>
          <w:tcPr>
            <w:tcW w:w="1575" w:type="dxa"/>
            <w:vAlign w:val="top"/>
            <w:tcBorders>
              <w:top w:val="single" w:color="00000A" w:sz="10" w:space="0"/>
              <w:right w:val="nil"/>
            </w:tcBorders>
          </w:tcPr>
          <w:p>
            <w:pPr>
              <w:pStyle w:val="TableText"/>
              <w:ind w:left="698" w:right="49" w:hanging="630"/>
              <w:spacing w:before="36" w:line="234" w:lineRule="auto"/>
              <w:rPr/>
            </w:pPr>
            <w:r>
              <w:rPr>
                <w:spacing w:val="7"/>
              </w:rPr>
              <w:t>项目清洁生产等</w:t>
            </w:r>
            <w:r>
              <w:rPr/>
              <w:t>级</w:t>
            </w:r>
          </w:p>
        </w:tc>
      </w:tr>
    </w:tbl>
    <w:p>
      <w:pPr>
        <w:ind w:left="3428"/>
        <w:spacing w:before="31" w:line="223" w:lineRule="auto"/>
        <w:rPr>
          <w:rFonts w:ascii="FangSong" w:hAnsi="FangSong" w:eastAsia="FangSong" w:cs="FangSong"/>
          <w:sz w:val="20"/>
          <w:szCs w:val="20"/>
        </w:rPr>
      </w:pPr>
      <w:r>
        <w:rPr>
          <w:rFonts w:ascii="FangSong" w:hAnsi="FangSong" w:eastAsia="FangSong" w:cs="FangSong"/>
          <w:sz w:val="20"/>
          <w:szCs w:val="20"/>
          <w:spacing w:val="7"/>
        </w:rPr>
        <w:t>一、工艺与装备要求</w:t>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486"/>
        <w:gridCol w:w="2074"/>
        <w:gridCol w:w="1927"/>
        <w:gridCol w:w="1631"/>
        <w:gridCol w:w="1575"/>
      </w:tblGrid>
      <w:tr>
        <w:trPr>
          <w:trHeight w:val="1370" w:hRule="atLeast"/>
        </w:trPr>
        <w:tc>
          <w:tcPr>
            <w:tcW w:w="1486" w:type="dxa"/>
            <w:vAlign w:val="top"/>
            <w:tcBorders>
              <w:left w:val="nil"/>
            </w:tcBorders>
          </w:tcPr>
          <w:p>
            <w:pPr>
              <w:spacing w:line="255" w:lineRule="auto"/>
              <w:rPr>
                <w:rFonts w:ascii="Arial"/>
                <w:sz w:val="21"/>
              </w:rPr>
            </w:pPr>
            <w:r/>
          </w:p>
          <w:p>
            <w:pPr>
              <w:spacing w:line="255" w:lineRule="auto"/>
              <w:rPr>
                <w:rFonts w:ascii="Arial"/>
                <w:sz w:val="21"/>
              </w:rPr>
            </w:pPr>
            <w:r/>
          </w:p>
          <w:p>
            <w:pPr>
              <w:pStyle w:val="TableText"/>
              <w:ind w:left="548"/>
              <w:spacing w:before="65" w:line="233" w:lineRule="auto"/>
              <w:rPr/>
            </w:pPr>
            <w:r>
              <w:rPr>
                <w:spacing w:val="-1"/>
              </w:rPr>
              <w:t>凿岩</w:t>
            </w:r>
          </w:p>
        </w:tc>
        <w:tc>
          <w:tcPr>
            <w:tcW w:w="2074" w:type="dxa"/>
            <w:vAlign w:val="top"/>
          </w:tcPr>
          <w:p>
            <w:pPr>
              <w:pStyle w:val="TableText"/>
              <w:ind w:left="106"/>
              <w:spacing w:before="171" w:line="230" w:lineRule="auto"/>
              <w:rPr/>
            </w:pPr>
            <w:r>
              <w:rPr>
                <w:spacing w:val="8"/>
              </w:rPr>
              <w:t>采用国际先进的信息</w:t>
            </w:r>
          </w:p>
          <w:p>
            <w:pPr>
              <w:pStyle w:val="TableText"/>
              <w:ind w:left="105"/>
              <w:spacing w:before="21" w:line="231" w:lineRule="auto"/>
              <w:rPr/>
            </w:pPr>
            <w:r>
              <w:rPr>
                <w:spacing w:val="8"/>
              </w:rPr>
              <w:t>化程度高、凿岩效率</w:t>
            </w:r>
          </w:p>
          <w:p>
            <w:pPr>
              <w:pStyle w:val="TableText"/>
              <w:ind w:left="22"/>
              <w:spacing w:before="20" w:line="231" w:lineRule="auto"/>
              <w:rPr/>
            </w:pPr>
            <w:r>
              <w:rPr>
                <w:spacing w:val="4"/>
              </w:rPr>
              <w:t>高、配有除尘净化装置</w:t>
            </w:r>
          </w:p>
          <w:p>
            <w:pPr>
              <w:pStyle w:val="TableText"/>
              <w:ind w:left="537"/>
              <w:spacing w:before="23" w:line="228" w:lineRule="auto"/>
              <w:rPr/>
            </w:pPr>
            <w:r>
              <w:rPr>
                <w:spacing w:val="4"/>
              </w:rPr>
              <w:t>的凿岩台车</w:t>
            </w:r>
          </w:p>
        </w:tc>
        <w:tc>
          <w:tcPr>
            <w:tcW w:w="1927" w:type="dxa"/>
            <w:vAlign w:val="top"/>
          </w:tcPr>
          <w:p>
            <w:pPr>
              <w:pStyle w:val="TableText"/>
              <w:ind w:left="32" w:right="16" w:hanging="1"/>
              <w:spacing w:before="306" w:line="251" w:lineRule="auto"/>
              <w:rPr/>
            </w:pPr>
            <w:r>
              <w:rPr>
                <w:spacing w:val="8"/>
              </w:rPr>
              <w:t>采用国内先进的凿岩</w:t>
            </w:r>
            <w:r>
              <w:rPr>
                <w:spacing w:val="7"/>
              </w:rPr>
              <w:t>效率较高、配有除尘</w:t>
            </w:r>
          </w:p>
          <w:p>
            <w:pPr>
              <w:pStyle w:val="TableText"/>
              <w:ind w:left="31"/>
              <w:spacing w:before="1" w:line="227" w:lineRule="auto"/>
              <w:rPr/>
            </w:pPr>
            <w:r>
              <w:rPr>
                <w:spacing w:val="8"/>
              </w:rPr>
              <w:t>净化装置的凿岩台车</w:t>
            </w:r>
          </w:p>
        </w:tc>
        <w:tc>
          <w:tcPr>
            <w:tcW w:w="1631" w:type="dxa"/>
            <w:vAlign w:val="top"/>
          </w:tcPr>
          <w:p>
            <w:pPr>
              <w:pStyle w:val="TableText"/>
              <w:ind w:left="95" w:right="77" w:hanging="1"/>
              <w:spacing w:before="305" w:line="252" w:lineRule="auto"/>
              <w:jc w:val="both"/>
              <w:rPr/>
            </w:pPr>
            <w:r>
              <w:rPr>
                <w:spacing w:val="7"/>
              </w:rPr>
              <w:t>采用国产较先进</w:t>
            </w:r>
            <w:r>
              <w:rPr>
                <w:spacing w:val="7"/>
              </w:rPr>
              <w:t>的配有除尘净化</w:t>
            </w:r>
            <w:r>
              <w:rPr>
                <w:spacing w:val="7"/>
              </w:rPr>
              <w:t>装置的凿岩设备</w:t>
            </w:r>
          </w:p>
        </w:tc>
        <w:tc>
          <w:tcPr>
            <w:tcW w:w="1575" w:type="dxa"/>
            <w:vAlign w:val="top"/>
            <w:tcBorders>
              <w:right w:val="nil"/>
            </w:tcBorders>
          </w:tcPr>
          <w:p>
            <w:pPr>
              <w:pStyle w:val="TableText"/>
              <w:ind w:left="74"/>
              <w:spacing w:before="34" w:line="231" w:lineRule="auto"/>
              <w:rPr/>
            </w:pPr>
            <w:r>
              <w:rPr>
                <w:spacing w:val="6"/>
              </w:rPr>
              <w:t>二级；采用国内</w:t>
            </w:r>
          </w:p>
          <w:p>
            <w:pPr>
              <w:pStyle w:val="TableText"/>
              <w:ind w:left="69"/>
              <w:spacing w:before="23" w:line="232" w:lineRule="auto"/>
              <w:rPr/>
            </w:pPr>
            <w:r>
              <w:rPr>
                <w:spacing w:val="7"/>
              </w:rPr>
              <w:t>先进的凿岩效率</w:t>
            </w:r>
          </w:p>
          <w:p>
            <w:pPr>
              <w:pStyle w:val="TableText"/>
              <w:ind w:left="68"/>
              <w:spacing w:before="20" w:line="230" w:lineRule="auto"/>
              <w:rPr/>
            </w:pPr>
            <w:r>
              <w:rPr>
                <w:spacing w:val="7"/>
              </w:rPr>
              <w:t>较高、配有除尘</w:t>
            </w:r>
          </w:p>
          <w:p>
            <w:pPr>
              <w:pStyle w:val="TableText"/>
              <w:ind w:left="69"/>
              <w:spacing w:before="24" w:line="231" w:lineRule="auto"/>
              <w:rPr/>
            </w:pPr>
            <w:r>
              <w:rPr>
                <w:spacing w:val="7"/>
              </w:rPr>
              <w:t>净化装置的凿岩</w:t>
            </w:r>
          </w:p>
          <w:p>
            <w:pPr>
              <w:pStyle w:val="TableText"/>
              <w:ind w:left="612"/>
              <w:spacing w:before="21" w:line="218" w:lineRule="auto"/>
              <w:rPr/>
            </w:pPr>
            <w:r>
              <w:rPr>
                <w:spacing w:val="-8"/>
              </w:rPr>
              <w:t>台车</w:t>
            </w:r>
          </w:p>
        </w:tc>
      </w:tr>
      <w:tr>
        <w:trPr>
          <w:trHeight w:val="1366" w:hRule="atLeast"/>
        </w:trPr>
        <w:tc>
          <w:tcPr>
            <w:tcW w:w="1486" w:type="dxa"/>
            <w:vAlign w:val="top"/>
            <w:tcBorders>
              <w:left w:val="nil"/>
            </w:tcBorders>
          </w:tcPr>
          <w:p>
            <w:pPr>
              <w:spacing w:line="254" w:lineRule="auto"/>
              <w:rPr>
                <w:rFonts w:ascii="Arial"/>
                <w:sz w:val="21"/>
              </w:rPr>
            </w:pPr>
            <w:r/>
          </w:p>
          <w:p>
            <w:pPr>
              <w:spacing w:line="254" w:lineRule="auto"/>
              <w:rPr>
                <w:rFonts w:ascii="Arial"/>
                <w:sz w:val="21"/>
              </w:rPr>
            </w:pPr>
            <w:r/>
          </w:p>
          <w:p>
            <w:pPr>
              <w:pStyle w:val="TableText"/>
              <w:ind w:left="544"/>
              <w:spacing w:before="65" w:line="232" w:lineRule="auto"/>
              <w:rPr/>
            </w:pPr>
            <w:r>
              <w:rPr>
                <w:spacing w:val="2"/>
              </w:rPr>
              <w:t>爆破</w:t>
            </w:r>
          </w:p>
        </w:tc>
        <w:tc>
          <w:tcPr>
            <w:tcW w:w="2074" w:type="dxa"/>
            <w:vAlign w:val="top"/>
          </w:tcPr>
          <w:p>
            <w:pPr>
              <w:pStyle w:val="TableText"/>
              <w:ind w:left="106"/>
              <w:spacing w:before="303" w:line="229" w:lineRule="auto"/>
              <w:rPr/>
            </w:pPr>
            <w:r>
              <w:rPr>
                <w:spacing w:val="8"/>
              </w:rPr>
              <w:t>采用国际先进的机械</w:t>
            </w:r>
          </w:p>
          <w:p>
            <w:pPr>
              <w:pStyle w:val="TableText"/>
              <w:spacing w:before="22" w:line="228" w:lineRule="auto"/>
              <w:jc w:val="right"/>
              <w:rPr/>
            </w:pPr>
            <w:r>
              <w:rPr>
                <w:spacing w:val="4"/>
              </w:rPr>
              <w:t>化程度高的装药车，采</w:t>
            </w:r>
          </w:p>
          <w:p>
            <w:pPr>
              <w:pStyle w:val="TableText"/>
              <w:ind w:left="313"/>
              <w:spacing w:before="26" w:line="230" w:lineRule="auto"/>
              <w:rPr/>
            </w:pPr>
            <w:r>
              <w:rPr>
                <w:spacing w:val="7"/>
              </w:rPr>
              <w:t>用控制爆破技术</w:t>
            </w:r>
          </w:p>
        </w:tc>
        <w:tc>
          <w:tcPr>
            <w:tcW w:w="1927" w:type="dxa"/>
            <w:vAlign w:val="top"/>
          </w:tcPr>
          <w:p>
            <w:pPr>
              <w:pStyle w:val="TableText"/>
              <w:ind w:left="31"/>
              <w:spacing w:before="166" w:line="229" w:lineRule="auto"/>
              <w:rPr/>
            </w:pPr>
            <w:r>
              <w:rPr>
                <w:spacing w:val="8"/>
              </w:rPr>
              <w:t>采用国内先进的机械</w:t>
            </w:r>
          </w:p>
          <w:p>
            <w:pPr>
              <w:pStyle w:val="TableText"/>
              <w:ind w:left="136"/>
              <w:spacing w:before="25" w:line="230" w:lineRule="auto"/>
              <w:rPr/>
            </w:pPr>
            <w:r>
              <w:rPr>
                <w:spacing w:val="7"/>
              </w:rPr>
              <w:t>化程度较高的装药</w:t>
            </w:r>
          </w:p>
          <w:p>
            <w:pPr>
              <w:pStyle w:val="TableText"/>
              <w:ind w:left="35"/>
              <w:spacing w:before="21" w:line="228" w:lineRule="auto"/>
              <w:rPr/>
            </w:pPr>
            <w:r>
              <w:rPr>
                <w:spacing w:val="7"/>
              </w:rPr>
              <w:t>车，采用控制爆破技</w:t>
            </w:r>
          </w:p>
          <w:p>
            <w:pPr>
              <w:pStyle w:val="TableText"/>
              <w:ind w:left="871"/>
              <w:spacing w:before="26" w:line="231" w:lineRule="auto"/>
              <w:rPr/>
            </w:pPr>
            <w:r>
              <w:rPr/>
              <w:t>术</w:t>
            </w:r>
          </w:p>
        </w:tc>
        <w:tc>
          <w:tcPr>
            <w:tcW w:w="1631" w:type="dxa"/>
            <w:vAlign w:val="top"/>
          </w:tcPr>
          <w:p>
            <w:pPr>
              <w:pStyle w:val="TableText"/>
              <w:ind w:left="96"/>
              <w:spacing w:before="303" w:line="229" w:lineRule="auto"/>
              <w:rPr/>
            </w:pPr>
            <w:r>
              <w:rPr>
                <w:spacing w:val="7"/>
              </w:rPr>
              <w:t>厚矿体采用机械</w:t>
            </w:r>
          </w:p>
          <w:p>
            <w:pPr>
              <w:pStyle w:val="TableText"/>
              <w:ind w:left="16"/>
              <w:spacing w:before="22" w:line="231" w:lineRule="auto"/>
              <w:rPr/>
            </w:pPr>
            <w:r>
              <w:rPr/>
              <w:t>化装药，薄矿体采</w:t>
            </w:r>
          </w:p>
          <w:p>
            <w:pPr>
              <w:pStyle w:val="TableText"/>
              <w:ind w:left="301"/>
              <w:spacing w:before="23" w:line="232" w:lineRule="auto"/>
              <w:rPr/>
            </w:pPr>
            <w:r>
              <w:rPr>
                <w:spacing w:val="7"/>
              </w:rPr>
              <w:t>用人工装药</w:t>
            </w:r>
          </w:p>
        </w:tc>
        <w:tc>
          <w:tcPr>
            <w:tcW w:w="1575" w:type="dxa"/>
            <w:vAlign w:val="top"/>
            <w:tcBorders>
              <w:right w:val="nil"/>
            </w:tcBorders>
          </w:tcPr>
          <w:p>
            <w:pPr>
              <w:pStyle w:val="TableText"/>
              <w:ind w:left="74"/>
              <w:spacing w:before="31" w:line="231" w:lineRule="auto"/>
              <w:rPr/>
            </w:pPr>
            <w:r>
              <w:rPr>
                <w:spacing w:val="6"/>
              </w:rPr>
              <w:t>二级；采用国内</w:t>
            </w:r>
          </w:p>
          <w:p>
            <w:pPr>
              <w:pStyle w:val="TableText"/>
              <w:ind w:left="69"/>
              <w:spacing w:before="21" w:line="229" w:lineRule="auto"/>
              <w:rPr/>
            </w:pPr>
            <w:r>
              <w:rPr>
                <w:spacing w:val="7"/>
              </w:rPr>
              <w:t>先进的机械化程</w:t>
            </w:r>
          </w:p>
          <w:p>
            <w:pPr>
              <w:pStyle w:val="TableText"/>
              <w:ind w:left="173"/>
              <w:spacing w:before="25" w:line="230" w:lineRule="auto"/>
              <w:rPr/>
            </w:pPr>
            <w:r>
              <w:rPr>
                <w:spacing w:val="7"/>
              </w:rPr>
              <w:t>度较高的装药</w:t>
            </w:r>
          </w:p>
          <w:p>
            <w:pPr>
              <w:pStyle w:val="TableText"/>
              <w:ind w:left="72"/>
              <w:spacing w:before="24" w:line="228" w:lineRule="auto"/>
              <w:rPr/>
            </w:pPr>
            <w:r>
              <w:rPr>
                <w:spacing w:val="7"/>
              </w:rPr>
              <w:t>车，采用控制爆</w:t>
            </w:r>
          </w:p>
          <w:p>
            <w:pPr>
              <w:pStyle w:val="TableText"/>
              <w:ind w:left="486"/>
              <w:spacing w:before="24" w:line="216" w:lineRule="auto"/>
              <w:rPr/>
            </w:pPr>
            <w:r>
              <w:rPr>
                <w:spacing w:val="5"/>
              </w:rPr>
              <w:t>破技术</w:t>
            </w:r>
          </w:p>
        </w:tc>
      </w:tr>
      <w:tr>
        <w:trPr>
          <w:trHeight w:val="1638" w:hRule="atLeast"/>
        </w:trPr>
        <w:tc>
          <w:tcPr>
            <w:tcW w:w="1486" w:type="dxa"/>
            <w:vAlign w:val="top"/>
            <w:tcBorders>
              <w:left w:val="nil"/>
            </w:tcBorders>
          </w:tcPr>
          <w:p>
            <w:pPr>
              <w:spacing w:line="322" w:lineRule="auto"/>
              <w:rPr>
                <w:rFonts w:ascii="Arial"/>
                <w:sz w:val="21"/>
              </w:rPr>
            </w:pPr>
            <w:r/>
          </w:p>
          <w:p>
            <w:pPr>
              <w:spacing w:line="322" w:lineRule="auto"/>
              <w:rPr>
                <w:rFonts w:ascii="Arial"/>
                <w:sz w:val="21"/>
              </w:rPr>
            </w:pPr>
            <w:r/>
          </w:p>
          <w:p>
            <w:pPr>
              <w:pStyle w:val="TableText"/>
              <w:ind w:left="545"/>
              <w:spacing w:before="65" w:line="233" w:lineRule="auto"/>
              <w:rPr/>
            </w:pPr>
            <w:r>
              <w:rPr>
                <w:spacing w:val="1"/>
              </w:rPr>
              <w:t>铲装</w:t>
            </w:r>
          </w:p>
        </w:tc>
        <w:tc>
          <w:tcPr>
            <w:tcW w:w="2074" w:type="dxa"/>
            <w:vAlign w:val="top"/>
          </w:tcPr>
          <w:p>
            <w:pPr>
              <w:pStyle w:val="TableText"/>
              <w:spacing w:before="304" w:line="231" w:lineRule="auto"/>
              <w:jc w:val="right"/>
              <w:rPr/>
            </w:pPr>
            <w:r>
              <w:rPr>
                <w:spacing w:val="4"/>
              </w:rPr>
              <w:t>采用国际先进的高效、</w:t>
            </w:r>
          </w:p>
          <w:p>
            <w:pPr>
              <w:pStyle w:val="TableText"/>
              <w:ind w:left="64"/>
              <w:spacing w:before="21" w:line="230" w:lineRule="auto"/>
              <w:rPr/>
            </w:pPr>
            <w:r>
              <w:rPr>
                <w:spacing w:val="7"/>
              </w:rPr>
              <w:t>能</w:t>
            </w:r>
            <w:r>
              <w:rPr>
                <w:spacing w:val="7"/>
              </w:rPr>
              <w:t xml:space="preserve"> </w:t>
            </w:r>
            <w:r>
              <w:rPr>
                <w:spacing w:val="7"/>
              </w:rPr>
              <w:t>耗低的铲运机、装</w:t>
            </w:r>
          </w:p>
          <w:p>
            <w:pPr>
              <w:pStyle w:val="TableText"/>
              <w:ind w:left="13"/>
              <w:spacing w:before="24" w:line="231" w:lineRule="auto"/>
              <w:rPr/>
            </w:pPr>
            <w:r>
              <w:rPr>
                <w:spacing w:val="5"/>
              </w:rPr>
              <w:t>岩机等装岩设备，配有</w:t>
            </w:r>
          </w:p>
          <w:p>
            <w:pPr>
              <w:pStyle w:val="TableText"/>
              <w:ind w:left="429"/>
              <w:spacing w:before="23" w:line="231" w:lineRule="auto"/>
              <w:rPr/>
            </w:pPr>
            <w:r>
              <w:rPr>
                <w:spacing w:val="5"/>
              </w:rPr>
              <w:t>除尘净化设施</w:t>
            </w:r>
          </w:p>
        </w:tc>
        <w:tc>
          <w:tcPr>
            <w:tcW w:w="1927" w:type="dxa"/>
            <w:vAlign w:val="top"/>
          </w:tcPr>
          <w:p>
            <w:pPr>
              <w:pStyle w:val="TableText"/>
              <w:ind w:left="137"/>
              <w:spacing w:before="168" w:line="231" w:lineRule="auto"/>
              <w:rPr/>
            </w:pPr>
            <w:r>
              <w:rPr>
                <w:spacing w:val="7"/>
              </w:rPr>
              <w:t>采用国内先进的高</w:t>
            </w:r>
          </w:p>
          <w:p>
            <w:pPr>
              <w:pStyle w:val="TableText"/>
              <w:ind w:right="2"/>
              <w:spacing w:before="23" w:line="230" w:lineRule="auto"/>
              <w:jc w:val="right"/>
              <w:rPr/>
            </w:pPr>
            <w:r>
              <w:rPr>
                <w:spacing w:val="4"/>
              </w:rPr>
              <w:t>效、</w:t>
            </w:r>
            <w:r>
              <w:rPr>
                <w:spacing w:val="-39"/>
              </w:rPr>
              <w:t xml:space="preserve"> </w:t>
            </w:r>
            <w:r>
              <w:rPr>
                <w:spacing w:val="4"/>
              </w:rPr>
              <w:t>能耗较低的铲运</w:t>
            </w:r>
          </w:p>
          <w:p>
            <w:pPr>
              <w:pStyle w:val="TableText"/>
              <w:ind w:left="30"/>
              <w:spacing w:before="21" w:line="231" w:lineRule="auto"/>
              <w:rPr/>
            </w:pPr>
            <w:r>
              <w:rPr>
                <w:spacing w:val="8"/>
              </w:rPr>
              <w:t>机、装岩机等装岩设</w:t>
            </w:r>
          </w:p>
          <w:p>
            <w:pPr>
              <w:pStyle w:val="TableText"/>
              <w:ind w:left="31"/>
              <w:spacing w:before="23" w:line="231" w:lineRule="auto"/>
              <w:rPr/>
            </w:pPr>
            <w:r>
              <w:rPr>
                <w:spacing w:val="8"/>
              </w:rPr>
              <w:t>备，配有除尘净化设</w:t>
            </w:r>
          </w:p>
          <w:p>
            <w:pPr>
              <w:pStyle w:val="TableText"/>
              <w:ind w:left="869"/>
              <w:spacing w:before="21" w:line="233" w:lineRule="auto"/>
              <w:rPr/>
            </w:pPr>
            <w:r>
              <w:rPr/>
              <w:t>施</w:t>
            </w:r>
          </w:p>
        </w:tc>
        <w:tc>
          <w:tcPr>
            <w:tcW w:w="1631" w:type="dxa"/>
            <w:vAlign w:val="top"/>
          </w:tcPr>
          <w:p>
            <w:pPr>
              <w:pStyle w:val="TableText"/>
              <w:ind w:left="94"/>
              <w:spacing w:before="305" w:line="230" w:lineRule="auto"/>
              <w:rPr/>
            </w:pPr>
            <w:r>
              <w:rPr>
                <w:spacing w:val="7"/>
              </w:rPr>
              <w:t>采用国内较先进</w:t>
            </w:r>
          </w:p>
          <w:p>
            <w:pPr>
              <w:pStyle w:val="TableText"/>
              <w:ind w:left="105"/>
              <w:spacing w:before="22" w:line="229" w:lineRule="auto"/>
              <w:rPr/>
            </w:pPr>
            <w:r>
              <w:rPr>
                <w:spacing w:val="6"/>
              </w:rPr>
              <w:t>的机械化装岩设</w:t>
            </w:r>
          </w:p>
          <w:p>
            <w:pPr>
              <w:pStyle w:val="TableText"/>
              <w:ind w:left="17"/>
              <w:spacing w:before="24" w:line="231" w:lineRule="auto"/>
              <w:rPr/>
            </w:pPr>
            <w:r>
              <w:rPr/>
              <w:t>备，配有除尘净化</w:t>
            </w:r>
          </w:p>
          <w:p>
            <w:pPr>
              <w:pStyle w:val="TableText"/>
              <w:ind w:left="615"/>
              <w:spacing w:before="23" w:line="232" w:lineRule="auto"/>
              <w:rPr/>
            </w:pPr>
            <w:r>
              <w:rPr>
                <w:spacing w:val="2"/>
              </w:rPr>
              <w:t>设施</w:t>
            </w:r>
          </w:p>
        </w:tc>
        <w:tc>
          <w:tcPr>
            <w:tcW w:w="1575" w:type="dxa"/>
            <w:vAlign w:val="top"/>
            <w:tcBorders>
              <w:right w:val="nil"/>
            </w:tcBorders>
          </w:tcPr>
          <w:p>
            <w:pPr>
              <w:pStyle w:val="TableText"/>
              <w:ind w:left="74"/>
              <w:spacing w:before="33" w:line="231" w:lineRule="auto"/>
              <w:rPr/>
            </w:pPr>
            <w:r>
              <w:rPr>
                <w:spacing w:val="6"/>
              </w:rPr>
              <w:t>二级；采用国内</w:t>
            </w:r>
          </w:p>
          <w:p>
            <w:pPr>
              <w:pStyle w:val="TableText"/>
              <w:ind w:left="69"/>
              <w:spacing w:before="21" w:line="230" w:lineRule="auto"/>
              <w:rPr/>
            </w:pPr>
            <w:r>
              <w:rPr>
                <w:spacing w:val="9"/>
              </w:rPr>
              <w:t>先进的高效、能</w:t>
            </w:r>
          </w:p>
          <w:p>
            <w:pPr>
              <w:pStyle w:val="TableText"/>
              <w:ind w:left="173"/>
              <w:spacing w:before="22" w:line="230" w:lineRule="auto"/>
              <w:rPr/>
            </w:pPr>
            <w:r>
              <w:rPr>
                <w:spacing w:val="7"/>
              </w:rPr>
              <w:t>耗较低的铲运</w:t>
            </w:r>
          </w:p>
          <w:p>
            <w:pPr>
              <w:pStyle w:val="TableText"/>
              <w:ind w:left="67"/>
              <w:spacing w:before="24" w:line="231" w:lineRule="auto"/>
              <w:rPr/>
            </w:pPr>
            <w:r>
              <w:rPr>
                <w:spacing w:val="7"/>
              </w:rPr>
              <w:t>机、装岩机等装</w:t>
            </w:r>
          </w:p>
          <w:p>
            <w:pPr>
              <w:pStyle w:val="TableText"/>
              <w:ind w:left="65"/>
              <w:spacing w:before="23" w:line="231" w:lineRule="auto"/>
              <w:rPr/>
            </w:pPr>
            <w:r>
              <w:rPr>
                <w:spacing w:val="8"/>
              </w:rPr>
              <w:t>岩设备，配有除</w:t>
            </w:r>
          </w:p>
          <w:p>
            <w:pPr>
              <w:pStyle w:val="TableText"/>
              <w:ind w:left="277"/>
              <w:spacing w:before="21" w:line="215" w:lineRule="auto"/>
              <w:rPr/>
            </w:pPr>
            <w:r>
              <w:rPr>
                <w:spacing w:val="6"/>
              </w:rPr>
              <w:t>尘净化设施</w:t>
            </w:r>
          </w:p>
        </w:tc>
      </w:tr>
      <w:tr>
        <w:trPr>
          <w:trHeight w:val="1094" w:hRule="atLeast"/>
        </w:trPr>
        <w:tc>
          <w:tcPr>
            <w:tcW w:w="1486" w:type="dxa"/>
            <w:vAlign w:val="top"/>
            <w:tcBorders>
              <w:left w:val="nil"/>
            </w:tcBorders>
          </w:tcPr>
          <w:p>
            <w:pPr>
              <w:spacing w:line="375" w:lineRule="auto"/>
              <w:rPr>
                <w:rFonts w:ascii="Arial"/>
                <w:sz w:val="21"/>
              </w:rPr>
            </w:pPr>
            <w:r/>
          </w:p>
          <w:p>
            <w:pPr>
              <w:pStyle w:val="TableText"/>
              <w:ind w:left="546"/>
              <w:spacing w:before="65" w:line="232" w:lineRule="auto"/>
              <w:rPr/>
            </w:pPr>
            <w:r>
              <w:rPr>
                <w:spacing w:val="1"/>
              </w:rPr>
              <w:t>运输</w:t>
            </w:r>
          </w:p>
        </w:tc>
        <w:tc>
          <w:tcPr>
            <w:tcW w:w="4001" w:type="dxa"/>
            <w:vAlign w:val="top"/>
            <w:gridSpan w:val="2"/>
          </w:tcPr>
          <w:p>
            <w:pPr>
              <w:pStyle w:val="TableText"/>
              <w:ind w:left="17"/>
              <w:spacing w:before="169" w:line="229" w:lineRule="auto"/>
              <w:rPr/>
            </w:pPr>
            <w:r>
              <w:rPr>
                <w:spacing w:val="8"/>
              </w:rPr>
              <w:t>采用高效、规模化、配套的机械运输体系，</w:t>
            </w:r>
          </w:p>
          <w:p>
            <w:pPr>
              <w:pStyle w:val="TableText"/>
              <w:ind w:left="17"/>
              <w:spacing w:before="22" w:line="228" w:lineRule="auto"/>
              <w:rPr/>
            </w:pPr>
            <w:r>
              <w:rPr>
                <w:spacing w:val="9"/>
              </w:rPr>
              <w:t>如电机车运输，胶带运输，配有除尘净化设</w:t>
            </w:r>
          </w:p>
          <w:p>
            <w:pPr>
              <w:pStyle w:val="TableText"/>
              <w:ind w:left="1906"/>
              <w:spacing w:before="26" w:line="233" w:lineRule="auto"/>
              <w:rPr/>
            </w:pPr>
            <w:r>
              <w:rPr/>
              <w:t>施</w:t>
            </w:r>
          </w:p>
        </w:tc>
        <w:tc>
          <w:tcPr>
            <w:tcW w:w="1631" w:type="dxa"/>
            <w:vAlign w:val="top"/>
          </w:tcPr>
          <w:p>
            <w:pPr>
              <w:pStyle w:val="TableText"/>
              <w:ind w:left="94"/>
              <w:spacing w:before="34" w:line="230" w:lineRule="auto"/>
              <w:rPr/>
            </w:pPr>
            <w:r>
              <w:rPr>
                <w:spacing w:val="7"/>
              </w:rPr>
              <w:t>采用国内较先进</w:t>
            </w:r>
          </w:p>
          <w:p>
            <w:pPr>
              <w:pStyle w:val="TableText"/>
              <w:ind w:left="105"/>
              <w:spacing w:before="22" w:line="229" w:lineRule="auto"/>
              <w:rPr/>
            </w:pPr>
            <w:r>
              <w:rPr>
                <w:spacing w:val="6"/>
              </w:rPr>
              <w:t>的机械化运输体</w:t>
            </w:r>
          </w:p>
          <w:p>
            <w:pPr>
              <w:pStyle w:val="TableText"/>
              <w:ind w:right="3"/>
              <w:spacing w:before="22" w:line="231" w:lineRule="auto"/>
              <w:jc w:val="right"/>
              <w:rPr/>
            </w:pPr>
            <w:r>
              <w:rPr>
                <w:spacing w:val="-1"/>
              </w:rPr>
              <w:t>系，配有除尘净化</w:t>
            </w:r>
          </w:p>
          <w:p>
            <w:pPr>
              <w:pStyle w:val="TableText"/>
              <w:ind w:left="615"/>
              <w:spacing w:before="23" w:line="215" w:lineRule="auto"/>
              <w:rPr/>
            </w:pPr>
            <w:r>
              <w:rPr>
                <w:spacing w:val="2"/>
              </w:rPr>
              <w:t>设施</w:t>
            </w:r>
          </w:p>
        </w:tc>
        <w:tc>
          <w:tcPr>
            <w:tcW w:w="1575" w:type="dxa"/>
            <w:vAlign w:val="top"/>
            <w:tcBorders>
              <w:right w:val="nil"/>
            </w:tcBorders>
          </w:tcPr>
          <w:p>
            <w:pPr>
              <w:pStyle w:val="TableText"/>
              <w:spacing w:before="169" w:line="231" w:lineRule="auto"/>
              <w:jc w:val="right"/>
              <w:rPr/>
            </w:pPr>
            <w:r>
              <w:rPr>
                <w:spacing w:val="-6"/>
              </w:rPr>
              <w:t>一级；采用高效、</w:t>
            </w:r>
          </w:p>
          <w:p>
            <w:pPr>
              <w:pStyle w:val="TableText"/>
              <w:ind w:left="66"/>
              <w:spacing w:before="20" w:line="231" w:lineRule="auto"/>
              <w:rPr/>
            </w:pPr>
            <w:r>
              <w:rPr>
                <w:spacing w:val="7"/>
              </w:rPr>
              <w:t>规模化、配套的</w:t>
            </w:r>
          </w:p>
          <w:p>
            <w:pPr>
              <w:pStyle w:val="TableText"/>
              <w:ind w:left="173"/>
              <w:spacing w:before="23" w:line="229" w:lineRule="auto"/>
              <w:rPr/>
            </w:pPr>
            <w:r>
              <w:rPr>
                <w:spacing w:val="7"/>
              </w:rPr>
              <w:t>机械运输体系</w:t>
            </w:r>
          </w:p>
        </w:tc>
      </w:tr>
      <w:tr>
        <w:trPr>
          <w:trHeight w:val="1094" w:hRule="atLeast"/>
        </w:trPr>
        <w:tc>
          <w:tcPr>
            <w:tcW w:w="1486" w:type="dxa"/>
            <w:vAlign w:val="top"/>
            <w:tcBorders>
              <w:left w:val="nil"/>
            </w:tcBorders>
          </w:tcPr>
          <w:p>
            <w:pPr>
              <w:spacing w:line="375" w:lineRule="auto"/>
              <w:rPr>
                <w:rFonts w:ascii="Arial"/>
                <w:sz w:val="21"/>
              </w:rPr>
            </w:pPr>
            <w:r/>
          </w:p>
          <w:p>
            <w:pPr>
              <w:pStyle w:val="TableText"/>
              <w:ind w:left="546"/>
              <w:spacing w:before="65" w:line="232" w:lineRule="auto"/>
              <w:rPr/>
            </w:pPr>
            <w:r>
              <w:rPr>
                <w:spacing w:val="1"/>
              </w:rPr>
              <w:t>提升</w:t>
            </w:r>
          </w:p>
        </w:tc>
        <w:tc>
          <w:tcPr>
            <w:tcW w:w="2074" w:type="dxa"/>
            <w:vAlign w:val="top"/>
          </w:tcPr>
          <w:p>
            <w:pPr>
              <w:pStyle w:val="TableText"/>
              <w:ind w:left="105" w:right="88"/>
              <w:spacing w:before="305" w:line="251" w:lineRule="auto"/>
              <w:rPr/>
            </w:pPr>
            <w:r>
              <w:rPr>
                <w:spacing w:val="8"/>
              </w:rPr>
              <w:t>采用国际先进的自动</w:t>
            </w:r>
            <w:r>
              <w:rPr>
                <w:spacing w:val="8"/>
              </w:rPr>
              <w:t>化程度高的提升系统</w:t>
            </w:r>
          </w:p>
        </w:tc>
        <w:tc>
          <w:tcPr>
            <w:tcW w:w="1927" w:type="dxa"/>
            <w:vAlign w:val="top"/>
          </w:tcPr>
          <w:p>
            <w:pPr>
              <w:pStyle w:val="TableText"/>
              <w:ind w:left="31"/>
              <w:spacing w:before="169" w:line="231" w:lineRule="auto"/>
              <w:rPr/>
            </w:pPr>
            <w:r>
              <w:rPr>
                <w:spacing w:val="8"/>
              </w:rPr>
              <w:t>采用国内先进的自动</w:t>
            </w:r>
          </w:p>
          <w:p>
            <w:pPr>
              <w:pStyle w:val="TableText"/>
              <w:ind w:left="31"/>
              <w:spacing w:before="21" w:line="230" w:lineRule="auto"/>
              <w:rPr/>
            </w:pPr>
            <w:r>
              <w:rPr>
                <w:spacing w:val="8"/>
              </w:rPr>
              <w:t>化程度较高的提升系</w:t>
            </w:r>
          </w:p>
          <w:p>
            <w:pPr>
              <w:pStyle w:val="TableText"/>
              <w:ind w:left="874"/>
              <w:spacing w:before="24" w:line="233" w:lineRule="auto"/>
              <w:rPr/>
            </w:pPr>
            <w:r>
              <w:rPr/>
              <w:t>统</w:t>
            </w:r>
          </w:p>
        </w:tc>
        <w:tc>
          <w:tcPr>
            <w:tcW w:w="1631" w:type="dxa"/>
            <w:vAlign w:val="top"/>
          </w:tcPr>
          <w:p>
            <w:pPr>
              <w:pStyle w:val="TableText"/>
              <w:ind w:left="207" w:right="77" w:hanging="113"/>
              <w:spacing w:before="305" w:line="251" w:lineRule="auto"/>
              <w:rPr/>
            </w:pPr>
            <w:r>
              <w:rPr>
                <w:spacing w:val="7"/>
              </w:rPr>
              <w:t>采用国内较先进</w:t>
            </w:r>
            <w:r>
              <w:rPr>
                <w:spacing w:val="5"/>
              </w:rPr>
              <w:t>的提升机系统</w:t>
            </w:r>
          </w:p>
        </w:tc>
        <w:tc>
          <w:tcPr>
            <w:tcW w:w="1575" w:type="dxa"/>
            <w:vAlign w:val="top"/>
            <w:tcBorders>
              <w:right w:val="nil"/>
            </w:tcBorders>
          </w:tcPr>
          <w:p>
            <w:pPr>
              <w:pStyle w:val="TableText"/>
              <w:ind w:left="74"/>
              <w:spacing w:before="34" w:line="231" w:lineRule="auto"/>
              <w:rPr/>
            </w:pPr>
            <w:r>
              <w:rPr>
                <w:spacing w:val="6"/>
              </w:rPr>
              <w:t>二级；采用国内</w:t>
            </w:r>
          </w:p>
          <w:p>
            <w:pPr>
              <w:pStyle w:val="TableText"/>
              <w:ind w:left="69"/>
              <w:spacing w:before="20" w:line="231" w:lineRule="auto"/>
              <w:rPr/>
            </w:pPr>
            <w:r>
              <w:rPr>
                <w:spacing w:val="7"/>
              </w:rPr>
              <w:t>先进的自动化程</w:t>
            </w:r>
          </w:p>
          <w:p>
            <w:pPr>
              <w:pStyle w:val="TableText"/>
              <w:ind w:left="67"/>
              <w:spacing w:before="21" w:line="230" w:lineRule="auto"/>
              <w:rPr/>
            </w:pPr>
            <w:r>
              <w:rPr>
                <w:spacing w:val="7"/>
              </w:rPr>
              <w:t>度较高的提升系</w:t>
            </w:r>
          </w:p>
          <w:p>
            <w:pPr>
              <w:pStyle w:val="TableText"/>
              <w:ind w:left="700"/>
              <w:spacing w:before="24" w:line="215" w:lineRule="auto"/>
              <w:rPr/>
            </w:pPr>
            <w:r>
              <w:rPr/>
              <w:t>统</w:t>
            </w:r>
          </w:p>
        </w:tc>
      </w:tr>
      <w:tr>
        <w:trPr>
          <w:trHeight w:val="1093" w:hRule="atLeast"/>
        </w:trPr>
        <w:tc>
          <w:tcPr>
            <w:tcW w:w="1486" w:type="dxa"/>
            <w:vAlign w:val="top"/>
            <w:tcBorders>
              <w:left w:val="nil"/>
            </w:tcBorders>
          </w:tcPr>
          <w:p>
            <w:pPr>
              <w:spacing w:line="375" w:lineRule="auto"/>
              <w:rPr>
                <w:rFonts w:ascii="Arial"/>
                <w:sz w:val="21"/>
              </w:rPr>
            </w:pPr>
            <w:r/>
          </w:p>
          <w:p>
            <w:pPr>
              <w:pStyle w:val="TableText"/>
              <w:ind w:left="548"/>
              <w:spacing w:before="65" w:line="233" w:lineRule="auto"/>
              <w:rPr/>
            </w:pPr>
            <w:r>
              <w:rPr>
                <w:spacing w:val="-1"/>
              </w:rPr>
              <w:t>通风</w:t>
            </w:r>
          </w:p>
        </w:tc>
        <w:tc>
          <w:tcPr>
            <w:tcW w:w="2074" w:type="dxa"/>
            <w:vAlign w:val="top"/>
          </w:tcPr>
          <w:p>
            <w:pPr>
              <w:pStyle w:val="TableText"/>
              <w:spacing w:before="35" w:line="230" w:lineRule="auto"/>
              <w:jc w:val="right"/>
              <w:rPr/>
            </w:pPr>
            <w:r>
              <w:rPr>
                <w:spacing w:val="4"/>
              </w:rPr>
              <w:t>采用配有自动控制、监</w:t>
            </w:r>
          </w:p>
          <w:p>
            <w:pPr>
              <w:pStyle w:val="TableText"/>
              <w:spacing w:before="21" w:line="231" w:lineRule="auto"/>
              <w:jc w:val="right"/>
              <w:rPr/>
            </w:pPr>
            <w:r>
              <w:rPr>
                <w:spacing w:val="5"/>
              </w:rPr>
              <w:t>测系统的通风系统，采</w:t>
            </w:r>
          </w:p>
          <w:p>
            <w:pPr>
              <w:pStyle w:val="TableText"/>
              <w:spacing w:before="20" w:line="232" w:lineRule="auto"/>
              <w:jc w:val="right"/>
              <w:rPr/>
            </w:pPr>
            <w:r>
              <w:rPr>
                <w:spacing w:val="-14"/>
              </w:rPr>
              <w:t>用低压、大风量、高效、</w:t>
            </w:r>
          </w:p>
          <w:p>
            <w:pPr>
              <w:pStyle w:val="TableText"/>
              <w:ind w:left="213"/>
              <w:spacing w:before="22" w:line="214" w:lineRule="auto"/>
              <w:rPr/>
            </w:pPr>
            <w:r>
              <w:rPr>
                <w:spacing w:val="7"/>
              </w:rPr>
              <w:t>节能的矿用通风机</w:t>
            </w:r>
          </w:p>
        </w:tc>
        <w:tc>
          <w:tcPr>
            <w:tcW w:w="3558" w:type="dxa"/>
            <w:vAlign w:val="top"/>
            <w:gridSpan w:val="2"/>
          </w:tcPr>
          <w:p>
            <w:pPr>
              <w:rPr>
                <w:rFonts w:ascii="Arial"/>
                <w:sz w:val="21"/>
              </w:rPr>
            </w:pPr>
            <w:r/>
          </w:p>
          <w:p>
            <w:pPr>
              <w:pStyle w:val="TableText"/>
              <w:ind w:left="19"/>
              <w:spacing w:before="65" w:line="230" w:lineRule="auto"/>
              <w:rPr/>
            </w:pPr>
            <w:r>
              <w:rPr>
                <w:spacing w:val="7"/>
              </w:rPr>
              <w:t>采用大风量、低压、高效、节能的矿用</w:t>
            </w:r>
          </w:p>
          <w:p>
            <w:pPr>
              <w:pStyle w:val="TableText"/>
              <w:ind w:left="1479"/>
              <w:spacing w:before="21" w:line="231" w:lineRule="auto"/>
              <w:rPr/>
            </w:pPr>
            <w:r>
              <w:rPr>
                <w:spacing w:val="3"/>
              </w:rPr>
              <w:t>通风机</w:t>
            </w:r>
          </w:p>
        </w:tc>
        <w:tc>
          <w:tcPr>
            <w:tcW w:w="1575" w:type="dxa"/>
            <w:vAlign w:val="top"/>
            <w:tcBorders>
              <w:right w:val="nil"/>
            </w:tcBorders>
          </w:tcPr>
          <w:p>
            <w:pPr>
              <w:pStyle w:val="TableText"/>
              <w:ind w:left="74"/>
              <w:spacing w:before="35" w:line="231" w:lineRule="auto"/>
              <w:rPr/>
            </w:pPr>
            <w:r>
              <w:rPr>
                <w:spacing w:val="6"/>
              </w:rPr>
              <w:t>二级；采用大风</w:t>
            </w:r>
          </w:p>
          <w:p>
            <w:pPr>
              <w:pStyle w:val="TableText"/>
              <w:spacing w:before="20" w:line="232" w:lineRule="auto"/>
              <w:jc w:val="right"/>
              <w:rPr/>
            </w:pPr>
            <w:r>
              <w:rPr>
                <w:spacing w:val="-6"/>
              </w:rPr>
              <w:t>量、低压、高效、</w:t>
            </w:r>
          </w:p>
          <w:p>
            <w:pPr>
              <w:pStyle w:val="TableText"/>
              <w:ind w:left="72"/>
              <w:spacing w:before="20" w:line="230" w:lineRule="auto"/>
              <w:rPr/>
            </w:pPr>
            <w:r>
              <w:rPr>
                <w:spacing w:val="7"/>
              </w:rPr>
              <w:t>节能的矿用通风</w:t>
            </w:r>
          </w:p>
          <w:p>
            <w:pPr>
              <w:pStyle w:val="TableText"/>
              <w:ind w:left="696"/>
              <w:spacing w:before="24" w:line="214" w:lineRule="auto"/>
              <w:rPr/>
            </w:pPr>
            <w:r>
              <w:rPr/>
              <w:t>机</w:t>
            </w:r>
          </w:p>
        </w:tc>
      </w:tr>
      <w:tr>
        <w:trPr>
          <w:trHeight w:val="826" w:hRule="atLeast"/>
        </w:trPr>
        <w:tc>
          <w:tcPr>
            <w:tcW w:w="1486" w:type="dxa"/>
            <w:vAlign w:val="top"/>
            <w:tcBorders>
              <w:left w:val="nil"/>
            </w:tcBorders>
          </w:tcPr>
          <w:p>
            <w:pPr>
              <w:rPr>
                <w:rFonts w:ascii="Arial"/>
                <w:sz w:val="21"/>
              </w:rPr>
            </w:pPr>
            <w:r/>
          </w:p>
          <w:p>
            <w:pPr>
              <w:pStyle w:val="TableText"/>
              <w:ind w:left="542"/>
              <w:spacing w:before="65" w:line="231" w:lineRule="auto"/>
              <w:rPr/>
            </w:pPr>
            <w:r>
              <w:rPr>
                <w:spacing w:val="3"/>
              </w:rPr>
              <w:t>排水</w:t>
            </w:r>
          </w:p>
        </w:tc>
        <w:tc>
          <w:tcPr>
            <w:tcW w:w="2074" w:type="dxa"/>
            <w:vAlign w:val="top"/>
          </w:tcPr>
          <w:p>
            <w:pPr>
              <w:pStyle w:val="TableText"/>
              <w:ind w:left="262" w:right="38" w:hanging="209"/>
              <w:spacing w:before="173" w:line="250" w:lineRule="auto"/>
              <w:rPr/>
            </w:pPr>
            <w:r>
              <w:rPr>
                <w:spacing w:val="4"/>
              </w:rPr>
              <w:t>满足</w:t>
            </w:r>
            <w:r>
              <w:rPr>
                <w:spacing w:val="-36"/>
              </w:rPr>
              <w:t xml:space="preserve"> </w:t>
            </w:r>
            <w:r>
              <w:rPr>
                <w:rFonts w:ascii="Times New Roman" w:hAnsi="Times New Roman" w:eastAsia="Times New Roman" w:cs="Times New Roman"/>
                <w:spacing w:val="4"/>
              </w:rPr>
              <w:t>30</w:t>
            </w:r>
            <w:r>
              <w:rPr>
                <w:rFonts w:ascii="Times New Roman" w:hAnsi="Times New Roman" w:eastAsia="Times New Roman" w:cs="Times New Roman"/>
                <w:spacing w:val="22"/>
                <w:w w:val="101"/>
              </w:rPr>
              <w:t xml:space="preserve"> </w:t>
            </w:r>
            <w:r>
              <w:rPr>
                <w:spacing w:val="4"/>
              </w:rPr>
              <w:t>年一遇的矿井</w:t>
            </w:r>
            <w:r>
              <w:rPr>
                <w:spacing w:val="5"/>
              </w:rPr>
              <w:t>涌</w:t>
            </w:r>
            <w:r>
              <w:rPr>
                <w:spacing w:val="20"/>
              </w:rPr>
              <w:t xml:space="preserve"> </w:t>
            </w:r>
            <w:r>
              <w:rPr>
                <w:spacing w:val="5"/>
              </w:rPr>
              <w:t>水量排水要求</w:t>
            </w:r>
          </w:p>
        </w:tc>
        <w:tc>
          <w:tcPr>
            <w:tcW w:w="1927" w:type="dxa"/>
            <w:vAlign w:val="top"/>
          </w:tcPr>
          <w:p>
            <w:pPr>
              <w:pStyle w:val="TableText"/>
              <w:ind w:left="137" w:right="69" w:hanging="54"/>
              <w:spacing w:before="173" w:line="250" w:lineRule="auto"/>
              <w:rPr/>
            </w:pPr>
            <w:r>
              <w:rPr>
                <w:spacing w:val="4"/>
              </w:rPr>
              <w:t>满足</w:t>
            </w:r>
            <w:r>
              <w:rPr>
                <w:spacing w:val="-38"/>
              </w:rPr>
              <w:t xml:space="preserve"> </w:t>
            </w:r>
            <w:r>
              <w:rPr>
                <w:rFonts w:ascii="Times New Roman" w:hAnsi="Times New Roman" w:eastAsia="Times New Roman" w:cs="Times New Roman"/>
                <w:spacing w:val="4"/>
              </w:rPr>
              <w:t>20</w:t>
            </w:r>
            <w:r>
              <w:rPr>
                <w:rFonts w:ascii="Times New Roman" w:hAnsi="Times New Roman" w:eastAsia="Times New Roman" w:cs="Times New Roman"/>
                <w:spacing w:val="19"/>
                <w:w w:val="101"/>
              </w:rPr>
              <w:t xml:space="preserve"> </w:t>
            </w:r>
            <w:r>
              <w:rPr>
                <w:spacing w:val="4"/>
              </w:rPr>
              <w:t>年一遇的矿</w:t>
            </w:r>
            <w:r>
              <w:rPr>
                <w:spacing w:val="7"/>
              </w:rPr>
              <w:t>井涌水量排水要求</w:t>
            </w:r>
          </w:p>
        </w:tc>
        <w:tc>
          <w:tcPr>
            <w:tcW w:w="1631" w:type="dxa"/>
            <w:vAlign w:val="top"/>
          </w:tcPr>
          <w:p>
            <w:pPr>
              <w:pStyle w:val="TableText"/>
              <w:ind w:left="194" w:right="77" w:hanging="101"/>
              <w:spacing w:before="172" w:line="251" w:lineRule="auto"/>
              <w:rPr/>
            </w:pPr>
            <w:r>
              <w:rPr>
                <w:spacing w:val="7"/>
              </w:rPr>
              <w:t>满足矿井最大涌</w:t>
            </w:r>
            <w:r>
              <w:rPr>
                <w:spacing w:val="7"/>
              </w:rPr>
              <w:t>水量排水要求</w:t>
            </w:r>
          </w:p>
        </w:tc>
        <w:tc>
          <w:tcPr>
            <w:tcW w:w="1575" w:type="dxa"/>
            <w:vAlign w:val="top"/>
            <w:tcBorders>
              <w:right w:val="nil"/>
            </w:tcBorders>
          </w:tcPr>
          <w:p>
            <w:pPr>
              <w:pStyle w:val="TableText"/>
              <w:ind w:left="73"/>
              <w:spacing w:before="36" w:line="231" w:lineRule="auto"/>
              <w:rPr/>
            </w:pPr>
            <w:r>
              <w:rPr>
                <w:spacing w:val="6"/>
              </w:rPr>
              <w:t>三级；满足矿井</w:t>
            </w:r>
          </w:p>
          <w:p>
            <w:pPr>
              <w:pStyle w:val="TableText"/>
              <w:ind w:left="73"/>
              <w:spacing w:before="21" w:line="230" w:lineRule="auto"/>
              <w:rPr/>
            </w:pPr>
            <w:r>
              <w:rPr>
                <w:spacing w:val="7"/>
              </w:rPr>
              <w:t>最大涌水量排水</w:t>
            </w:r>
          </w:p>
          <w:p>
            <w:pPr>
              <w:pStyle w:val="TableText"/>
              <w:ind w:left="597"/>
              <w:spacing w:before="23" w:line="217" w:lineRule="auto"/>
              <w:rPr/>
            </w:pPr>
            <w:r>
              <w:rPr>
                <w:spacing w:val="-1"/>
              </w:rPr>
              <w:t>要求</w:t>
            </w:r>
          </w:p>
        </w:tc>
      </w:tr>
    </w:tbl>
    <w:p>
      <w:pPr>
        <w:ind w:left="3326"/>
        <w:spacing w:before="33" w:line="222" w:lineRule="auto"/>
        <w:rPr>
          <w:rFonts w:ascii="FangSong" w:hAnsi="FangSong" w:eastAsia="FangSong" w:cs="FangSong"/>
          <w:sz w:val="20"/>
          <w:szCs w:val="20"/>
        </w:rPr>
      </w:pPr>
      <w:r>
        <w:rPr>
          <w:rFonts w:ascii="FangSong" w:hAnsi="FangSong" w:eastAsia="FangSong" w:cs="FangSong"/>
          <w:sz w:val="20"/>
          <w:szCs w:val="20"/>
          <w:spacing w:val="7"/>
        </w:rPr>
        <w:t>二、资源能源利用指标</w:t>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486"/>
        <w:gridCol w:w="2074"/>
        <w:gridCol w:w="1927"/>
        <w:gridCol w:w="1631"/>
        <w:gridCol w:w="1575"/>
      </w:tblGrid>
      <w:tr>
        <w:trPr>
          <w:trHeight w:val="280" w:hRule="atLeast"/>
        </w:trPr>
        <w:tc>
          <w:tcPr>
            <w:tcW w:w="1486" w:type="dxa"/>
            <w:vAlign w:val="top"/>
            <w:tcBorders>
              <w:left w:val="nil"/>
            </w:tcBorders>
          </w:tcPr>
          <w:p>
            <w:pPr>
              <w:pStyle w:val="TableText"/>
              <w:ind w:left="347"/>
              <w:spacing w:before="34" w:line="217" w:lineRule="auto"/>
              <w:rPr>
                <w:rFonts w:ascii="Times New Roman" w:hAnsi="Times New Roman" w:eastAsia="Times New Roman" w:cs="Times New Roman"/>
              </w:rPr>
            </w:pPr>
            <w:r>
              <w:rPr/>
              <w:t>回采率</w:t>
            </w:r>
            <w:r>
              <w:rPr>
                <w:rFonts w:ascii="Times New Roman" w:hAnsi="Times New Roman" w:eastAsia="Times New Roman" w:cs="Times New Roman"/>
              </w:rPr>
              <w:t>/%</w:t>
            </w:r>
          </w:p>
        </w:tc>
        <w:tc>
          <w:tcPr>
            <w:tcW w:w="2074" w:type="dxa"/>
            <w:vAlign w:val="top"/>
          </w:tcPr>
          <w:p>
            <w:pPr>
              <w:ind w:left="87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≥90</w:t>
            </w:r>
          </w:p>
        </w:tc>
        <w:tc>
          <w:tcPr>
            <w:tcW w:w="1927" w:type="dxa"/>
            <w:vAlign w:val="top"/>
          </w:tcPr>
          <w:p>
            <w:pPr>
              <w:ind w:left="80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≥80</w:t>
            </w:r>
          </w:p>
        </w:tc>
        <w:tc>
          <w:tcPr>
            <w:tcW w:w="1631" w:type="dxa"/>
            <w:vAlign w:val="top"/>
          </w:tcPr>
          <w:p>
            <w:pPr>
              <w:ind w:left="652"/>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≥70</w:t>
            </w:r>
          </w:p>
        </w:tc>
        <w:tc>
          <w:tcPr>
            <w:tcW w:w="1575" w:type="dxa"/>
            <w:vAlign w:val="top"/>
            <w:tcBorders>
              <w:right w:val="nil"/>
            </w:tcBorders>
          </w:tcPr>
          <w:p>
            <w:pPr>
              <w:pStyle w:val="TableText"/>
              <w:ind w:left="385"/>
              <w:spacing w:before="34" w:line="217" w:lineRule="auto"/>
              <w:rPr>
                <w:rFonts w:ascii="Times New Roman" w:hAnsi="Times New Roman" w:eastAsia="Times New Roman" w:cs="Times New Roman"/>
              </w:rPr>
            </w:pPr>
            <w:r>
              <w:rPr>
                <w:spacing w:val="4"/>
              </w:rPr>
              <w:t>一级；</w:t>
            </w:r>
            <w:r>
              <w:rPr>
                <w:rFonts w:ascii="Times New Roman" w:hAnsi="Times New Roman" w:eastAsia="Times New Roman" w:cs="Times New Roman"/>
                <w:spacing w:val="4"/>
              </w:rPr>
              <w:t>90</w:t>
            </w:r>
          </w:p>
        </w:tc>
      </w:tr>
      <w:tr>
        <w:trPr>
          <w:trHeight w:val="276" w:hRule="atLeast"/>
        </w:trPr>
        <w:tc>
          <w:tcPr>
            <w:tcW w:w="1486" w:type="dxa"/>
            <w:vAlign w:val="top"/>
            <w:tcBorders>
              <w:left w:val="nil"/>
            </w:tcBorders>
          </w:tcPr>
          <w:p>
            <w:pPr>
              <w:pStyle w:val="TableText"/>
              <w:ind w:left="327"/>
              <w:spacing w:before="33" w:line="215" w:lineRule="auto"/>
              <w:rPr>
                <w:rFonts w:ascii="Times New Roman" w:hAnsi="Times New Roman" w:eastAsia="Times New Roman" w:cs="Times New Roman"/>
              </w:rPr>
            </w:pPr>
            <w:r>
              <w:rPr>
                <w:spacing w:val="4"/>
              </w:rPr>
              <w:t>贫化率</w:t>
            </w:r>
            <w:r>
              <w:rPr>
                <w:rFonts w:ascii="Times New Roman" w:hAnsi="Times New Roman" w:eastAsia="Times New Roman" w:cs="Times New Roman"/>
                <w:spacing w:val="4"/>
              </w:rPr>
              <w:t>/%</w:t>
            </w:r>
          </w:p>
        </w:tc>
        <w:tc>
          <w:tcPr>
            <w:tcW w:w="2074" w:type="dxa"/>
            <w:vAlign w:val="top"/>
          </w:tcPr>
          <w:p>
            <w:pPr>
              <w:ind w:left="92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w:t>
            </w:r>
          </w:p>
        </w:tc>
        <w:tc>
          <w:tcPr>
            <w:tcW w:w="1927" w:type="dxa"/>
            <w:vAlign w:val="top"/>
          </w:tcPr>
          <w:p>
            <w:pPr>
              <w:ind w:left="801"/>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1631" w:type="dxa"/>
            <w:vAlign w:val="top"/>
          </w:tcPr>
          <w:p>
            <w:pPr>
              <w:ind w:left="652"/>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575" w:type="dxa"/>
            <w:vAlign w:val="top"/>
            <w:tcBorders>
              <w:right w:val="nil"/>
            </w:tcBorders>
          </w:tcPr>
          <w:p>
            <w:pPr>
              <w:pStyle w:val="TableText"/>
              <w:ind w:left="388"/>
              <w:spacing w:before="33" w:line="215" w:lineRule="auto"/>
              <w:rPr>
                <w:rFonts w:ascii="Times New Roman" w:hAnsi="Times New Roman" w:eastAsia="Times New Roman" w:cs="Times New Roman"/>
              </w:rPr>
            </w:pPr>
            <w:r>
              <w:rPr>
                <w:spacing w:val="4"/>
              </w:rPr>
              <w:t>二级；</w:t>
            </w:r>
            <w:r>
              <w:rPr>
                <w:rFonts w:ascii="Times New Roman" w:hAnsi="Times New Roman" w:eastAsia="Times New Roman" w:cs="Times New Roman"/>
                <w:spacing w:val="4"/>
              </w:rPr>
              <w:t>10</w:t>
            </w:r>
          </w:p>
        </w:tc>
      </w:tr>
      <w:tr>
        <w:trPr>
          <w:trHeight w:val="548" w:hRule="atLeast"/>
        </w:trPr>
        <w:tc>
          <w:tcPr>
            <w:tcW w:w="1486" w:type="dxa"/>
            <w:vAlign w:val="top"/>
            <w:tcBorders>
              <w:left w:val="nil"/>
            </w:tcBorders>
          </w:tcPr>
          <w:p>
            <w:pPr>
              <w:pStyle w:val="TableText"/>
              <w:ind w:left="246" w:right="202" w:hanging="34"/>
              <w:spacing w:before="33" w:line="233" w:lineRule="auto"/>
              <w:rPr>
                <w:rFonts w:ascii="Times New Roman" w:hAnsi="Times New Roman" w:eastAsia="Times New Roman" w:cs="Times New Roman"/>
              </w:rPr>
            </w:pPr>
            <w:r>
              <w:rPr>
                <w:spacing w:val="4"/>
              </w:rPr>
              <w:t>采矿强度</w:t>
            </w:r>
            <w:r>
              <w:rPr>
                <w:rFonts w:ascii="Times New Roman" w:hAnsi="Times New Roman" w:eastAsia="Times New Roman" w:cs="Times New Roman"/>
                <w:spacing w:val="4"/>
              </w:rPr>
              <w:t>/[t/</w:t>
            </w:r>
            <w:r>
              <w:rPr>
                <w:rFonts w:ascii="Times New Roman" w:hAnsi="Times New Roman" w:eastAsia="Times New Roman" w:cs="Times New Roman"/>
                <w:spacing w:val="1"/>
              </w:rPr>
              <w:t xml:space="preserve"> </w:t>
            </w:r>
            <w:r>
              <w:rPr>
                <w:spacing w:val="1"/>
              </w:rPr>
              <w:t>（</w:t>
            </w:r>
            <w:r>
              <w:rPr>
                <w:rFonts w:ascii="Times New Roman" w:hAnsi="Times New Roman" w:eastAsia="Times New Roman" w:cs="Times New Roman"/>
                <w:spacing w:val="1"/>
              </w:rPr>
              <w:t>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9"/>
                <w:position w:val="6"/>
              </w:rPr>
              <w:t xml:space="preserve">  </w:t>
            </w:r>
            <w:r>
              <w:rPr>
                <w:spacing w:val="-13"/>
              </w:rPr>
              <w:t>·</w:t>
            </w:r>
            <w:r>
              <w:rPr>
                <w:rFonts w:ascii="Times New Roman" w:hAnsi="Times New Roman" w:eastAsia="Times New Roman" w:cs="Times New Roman"/>
                <w:spacing w:val="-13"/>
              </w:rPr>
              <w:t>a</w:t>
            </w:r>
            <w:r>
              <w:rPr>
                <w:spacing w:val="-13"/>
              </w:rPr>
              <w:t>）</w:t>
            </w:r>
            <w:r>
              <w:rPr>
                <w:rFonts w:ascii="Times New Roman" w:hAnsi="Times New Roman" w:eastAsia="Times New Roman" w:cs="Times New Roman"/>
                <w:spacing w:val="-13"/>
              </w:rPr>
              <w:t>]</w:t>
            </w:r>
          </w:p>
        </w:tc>
        <w:tc>
          <w:tcPr>
            <w:tcW w:w="2074" w:type="dxa"/>
            <w:vAlign w:val="top"/>
          </w:tcPr>
          <w:p>
            <w:pPr>
              <w:ind w:left="87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≥50</w:t>
            </w:r>
          </w:p>
        </w:tc>
        <w:tc>
          <w:tcPr>
            <w:tcW w:w="1927" w:type="dxa"/>
            <w:vAlign w:val="top"/>
          </w:tcPr>
          <w:p>
            <w:pPr>
              <w:ind w:left="80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≥30</w:t>
            </w:r>
          </w:p>
        </w:tc>
        <w:tc>
          <w:tcPr>
            <w:tcW w:w="1631" w:type="dxa"/>
            <w:vAlign w:val="top"/>
          </w:tcPr>
          <w:p>
            <w:pPr>
              <w:ind w:left="652"/>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575" w:type="dxa"/>
            <w:vAlign w:val="top"/>
            <w:tcBorders>
              <w:right w:val="nil"/>
            </w:tcBorders>
          </w:tcPr>
          <w:p>
            <w:pPr>
              <w:ind w:left="5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0.009</w:t>
            </w:r>
          </w:p>
        </w:tc>
      </w:tr>
      <w:tr>
        <w:trPr>
          <w:trHeight w:val="281" w:hRule="atLeast"/>
        </w:trPr>
        <w:tc>
          <w:tcPr>
            <w:tcW w:w="1486" w:type="dxa"/>
            <w:vAlign w:val="top"/>
            <w:tcBorders>
              <w:left w:val="nil"/>
            </w:tcBorders>
          </w:tcPr>
          <w:p>
            <w:pPr>
              <w:pStyle w:val="TableText"/>
              <w:spacing w:before="37" w:line="216" w:lineRule="auto"/>
              <w:jc w:val="right"/>
              <w:rPr/>
            </w:pPr>
            <w:r>
              <w:rPr>
                <w:spacing w:val="2"/>
              </w:rPr>
              <w:t>电耗</w:t>
            </w:r>
            <w:r>
              <w:rPr>
                <w:rFonts w:ascii="Times New Roman" w:hAnsi="Times New Roman" w:eastAsia="Times New Roman" w:cs="Times New Roman"/>
                <w:spacing w:val="2"/>
              </w:rPr>
              <w:t>/</w:t>
            </w:r>
            <w:r>
              <w:rPr>
                <w:spacing w:val="2"/>
              </w:rPr>
              <w:t>（</w:t>
            </w:r>
            <w:r>
              <w:rPr>
                <w:rFonts w:ascii="Times New Roman" w:hAnsi="Times New Roman" w:eastAsia="Times New Roman" w:cs="Times New Roman"/>
              </w:rPr>
              <w:t>kW</w:t>
            </w:r>
            <w:r>
              <w:rPr>
                <w:rFonts w:ascii="Times New Roman" w:hAnsi="Times New Roman" w:eastAsia="Times New Roman" w:cs="Times New Roman"/>
                <w:spacing w:val="2"/>
              </w:rPr>
              <w:t>·h/t</w:t>
            </w:r>
            <w:r>
              <w:rPr>
                <w:spacing w:val="2"/>
              </w:rPr>
              <w:t>）</w:t>
            </w:r>
          </w:p>
        </w:tc>
        <w:tc>
          <w:tcPr>
            <w:tcW w:w="2074" w:type="dxa"/>
            <w:vAlign w:val="top"/>
          </w:tcPr>
          <w:p>
            <w:pPr>
              <w:ind w:left="873"/>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1927" w:type="dxa"/>
            <w:vAlign w:val="top"/>
          </w:tcPr>
          <w:p>
            <w:pPr>
              <w:ind w:left="801"/>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≤18</w:t>
            </w:r>
          </w:p>
        </w:tc>
        <w:tc>
          <w:tcPr>
            <w:tcW w:w="1631" w:type="dxa"/>
            <w:vAlign w:val="top"/>
          </w:tcPr>
          <w:p>
            <w:pPr>
              <w:ind w:left="652"/>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w:t>
            </w:r>
          </w:p>
        </w:tc>
        <w:tc>
          <w:tcPr>
            <w:tcW w:w="1575" w:type="dxa"/>
            <w:vAlign w:val="top"/>
            <w:tcBorders>
              <w:right w:val="nil"/>
            </w:tcBorders>
          </w:tcPr>
          <w:p>
            <w:pPr>
              <w:ind w:left="559"/>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32.99</w:t>
            </w:r>
          </w:p>
        </w:tc>
      </w:tr>
    </w:tbl>
    <w:p>
      <w:pPr>
        <w:ind w:left="3325"/>
        <w:spacing w:before="30" w:line="224" w:lineRule="auto"/>
        <w:rPr>
          <w:rFonts w:ascii="FangSong" w:hAnsi="FangSong" w:eastAsia="FangSong" w:cs="FangSong"/>
          <w:sz w:val="20"/>
          <w:szCs w:val="20"/>
        </w:rPr>
      </w:pPr>
      <w:r>
        <w:rPr>
          <w:rFonts w:ascii="FangSong" w:hAnsi="FangSong" w:eastAsia="FangSong" w:cs="FangSong"/>
          <w:sz w:val="20"/>
          <w:szCs w:val="20"/>
          <w:spacing w:val="7"/>
        </w:rPr>
        <w:t>三、废物回收利用指标</w:t>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486"/>
        <w:gridCol w:w="2074"/>
        <w:gridCol w:w="1927"/>
        <w:gridCol w:w="1631"/>
        <w:gridCol w:w="1575"/>
      </w:tblGrid>
      <w:tr>
        <w:trPr>
          <w:trHeight w:val="523" w:hRule="atLeast"/>
        </w:trPr>
        <w:tc>
          <w:tcPr>
            <w:tcW w:w="1486" w:type="dxa"/>
            <w:vAlign w:val="top"/>
            <w:tcBorders>
              <w:left w:val="nil"/>
            </w:tcBorders>
          </w:tcPr>
          <w:p>
            <w:pPr>
              <w:pStyle w:val="TableText"/>
              <w:ind w:left="21"/>
              <w:spacing w:before="35" w:line="231" w:lineRule="auto"/>
              <w:rPr/>
            </w:pPr>
            <w:r>
              <w:rPr>
                <w:spacing w:val="7"/>
              </w:rPr>
              <w:t>废石综合利用率</w:t>
            </w:r>
          </w:p>
          <w:p>
            <w:pPr>
              <w:ind w:left="624"/>
              <w:spacing w:before="39"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t>
            </w:r>
          </w:p>
        </w:tc>
        <w:tc>
          <w:tcPr>
            <w:tcW w:w="2074" w:type="dxa"/>
            <w:vAlign w:val="top"/>
          </w:tcPr>
          <w:p>
            <w:pPr>
              <w:ind w:left="873"/>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≥30</w:t>
            </w:r>
          </w:p>
        </w:tc>
        <w:tc>
          <w:tcPr>
            <w:tcW w:w="1927" w:type="dxa"/>
            <w:vAlign w:val="top"/>
          </w:tcPr>
          <w:p>
            <w:pPr>
              <w:ind w:left="801"/>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631" w:type="dxa"/>
            <w:vAlign w:val="top"/>
          </w:tcPr>
          <w:p>
            <w:pPr>
              <w:ind w:left="652"/>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1575" w:type="dxa"/>
            <w:vAlign w:val="top"/>
            <w:tcBorders>
              <w:right w:val="nil"/>
            </w:tcBorders>
          </w:tcPr>
          <w:p>
            <w:pPr>
              <w:pStyle w:val="TableText"/>
              <w:ind w:left="332"/>
              <w:spacing w:before="155" w:line="231" w:lineRule="auto"/>
              <w:rPr>
                <w:rFonts w:ascii="Times New Roman" w:hAnsi="Times New Roman" w:eastAsia="Times New Roman" w:cs="Times New Roman"/>
              </w:rPr>
            </w:pPr>
            <w:r>
              <w:rPr>
                <w:spacing w:val="4"/>
              </w:rPr>
              <w:t>一级；</w:t>
            </w:r>
            <w:r>
              <w:rPr>
                <w:rFonts w:ascii="Times New Roman" w:hAnsi="Times New Roman" w:eastAsia="Times New Roman" w:cs="Times New Roman"/>
                <w:spacing w:val="4"/>
              </w:rPr>
              <w:t>100</w:t>
            </w:r>
          </w:p>
        </w:tc>
      </w:tr>
    </w:tbl>
    <w:p>
      <w:pPr>
        <w:ind w:left="3555"/>
        <w:spacing w:before="31" w:line="223" w:lineRule="auto"/>
        <w:rPr>
          <w:rFonts w:ascii="FangSong" w:hAnsi="FangSong" w:eastAsia="FangSong" w:cs="FangSong"/>
          <w:sz w:val="20"/>
          <w:szCs w:val="20"/>
        </w:rPr>
      </w:pPr>
      <w:r>
        <w:rPr>
          <w:rFonts w:ascii="FangSong" w:hAnsi="FangSong" w:eastAsia="FangSong" w:cs="FangSong"/>
          <w:sz w:val="20"/>
          <w:szCs w:val="20"/>
          <w:spacing w:val="4"/>
        </w:rPr>
        <w:t>四、环境管理要求</w:t>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486"/>
        <w:gridCol w:w="5632"/>
        <w:gridCol w:w="1575"/>
      </w:tblGrid>
      <w:tr>
        <w:trPr>
          <w:trHeight w:val="423" w:hRule="atLeast"/>
        </w:trPr>
        <w:tc>
          <w:tcPr>
            <w:tcW w:w="1486" w:type="dxa"/>
            <w:vAlign w:val="top"/>
            <w:tcBorders>
              <w:bottom w:val="single" w:color="00000A" w:sz="10" w:space="0"/>
              <w:left w:val="nil"/>
            </w:tcBorders>
          </w:tcPr>
          <w:p>
            <w:pPr>
              <w:pStyle w:val="TableText"/>
              <w:ind w:left="333"/>
              <w:spacing w:before="108" w:line="231" w:lineRule="auto"/>
              <w:rPr/>
            </w:pPr>
            <w:r>
              <w:rPr>
                <w:spacing w:val="5"/>
              </w:rPr>
              <w:t>环境法律</w:t>
            </w:r>
          </w:p>
        </w:tc>
        <w:tc>
          <w:tcPr>
            <w:tcW w:w="5632" w:type="dxa"/>
            <w:vAlign w:val="top"/>
            <w:tcBorders>
              <w:bottom w:val="single" w:color="00000A" w:sz="10" w:space="0"/>
            </w:tcBorders>
          </w:tcPr>
          <w:p>
            <w:pPr>
              <w:pStyle w:val="TableText"/>
              <w:ind w:left="21"/>
              <w:spacing w:before="108" w:line="229" w:lineRule="auto"/>
              <w:rPr/>
            </w:pPr>
            <w:r>
              <w:rPr>
                <w:spacing w:val="7"/>
              </w:rPr>
              <w:t>符合国家和地方有关环境法律、法规，污染物排放达到国家和</w:t>
            </w:r>
          </w:p>
        </w:tc>
        <w:tc>
          <w:tcPr>
            <w:tcW w:w="1575" w:type="dxa"/>
            <w:vAlign w:val="top"/>
            <w:tcBorders>
              <w:bottom w:val="single" w:color="00000A" w:sz="10" w:space="0"/>
              <w:right w:val="nil"/>
            </w:tcBorders>
          </w:tcPr>
          <w:p>
            <w:pPr>
              <w:pStyle w:val="TableText"/>
              <w:ind w:left="386"/>
              <w:spacing w:before="108" w:line="229" w:lineRule="auto"/>
              <w:rPr/>
            </w:pPr>
            <w:r>
              <w:rPr>
                <w:spacing w:val="4"/>
              </w:rPr>
              <w:t>符合要求</w:t>
            </w:r>
          </w:p>
        </w:tc>
      </w:tr>
    </w:tbl>
    <w:p>
      <w:pPr>
        <w:pStyle w:val="BodyText"/>
        <w:rPr/>
      </w:pPr>
      <w:r/>
    </w:p>
    <w:p>
      <w:pPr>
        <w:sectPr>
          <w:footerReference w:type="default" r:id="rId201"/>
          <w:pgSz w:w="11911" w:h="16839"/>
          <w:pgMar w:top="400" w:right="1420" w:bottom="1146" w:left="1786" w:header="0" w:footer="984" w:gutter="0"/>
        </w:sectPr>
        <w:rPr/>
      </w:pPr>
    </w:p>
    <w:p>
      <w:pPr>
        <w:spacing w:before="13"/>
        <w:rPr/>
      </w:pPr>
      <w:r/>
    </w:p>
    <w:p>
      <w:pPr>
        <w:spacing w:before="13"/>
        <w:rPr/>
      </w:pPr>
      <w:r/>
    </w:p>
    <w:p>
      <w:pPr>
        <w:spacing w:before="13"/>
        <w:rPr/>
      </w:pPr>
      <w:r/>
    </w:p>
    <w:p>
      <w:pPr>
        <w:spacing w:before="12"/>
        <w:rPr/>
      </w:pPr>
      <w:r/>
    </w:p>
    <w:tbl>
      <w:tblPr>
        <w:tblStyle w:val="TableNormal"/>
        <w:tblW w:w="8693"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459"/>
        <w:gridCol w:w="1028"/>
        <w:gridCol w:w="2074"/>
        <w:gridCol w:w="1927"/>
        <w:gridCol w:w="1630"/>
        <w:gridCol w:w="1575"/>
      </w:tblGrid>
      <w:tr>
        <w:trPr>
          <w:trHeight w:val="426" w:hRule="atLeast"/>
        </w:trPr>
        <w:tc>
          <w:tcPr>
            <w:tcW w:w="1487" w:type="dxa"/>
            <w:vAlign w:val="top"/>
            <w:gridSpan w:val="2"/>
            <w:tcBorders>
              <w:left w:val="nil"/>
              <w:top w:val="single" w:color="00000A" w:sz="10" w:space="0"/>
            </w:tcBorders>
          </w:tcPr>
          <w:p>
            <w:pPr>
              <w:pStyle w:val="TableText"/>
              <w:ind w:left="340"/>
              <w:spacing w:before="16" w:line="231" w:lineRule="auto"/>
              <w:rPr/>
            </w:pPr>
            <w:bookmarkStart w:name="bookmark565" w:id="267"/>
            <w:bookmarkEnd w:id="267"/>
            <w:r>
              <w:rPr>
                <w:spacing w:val="4"/>
              </w:rPr>
              <w:t>法规标准</w:t>
            </w:r>
          </w:p>
        </w:tc>
        <w:tc>
          <w:tcPr>
            <w:tcW w:w="5631" w:type="dxa"/>
            <w:vAlign w:val="top"/>
            <w:gridSpan w:val="3"/>
            <w:tcBorders>
              <w:top w:val="single" w:color="00000A" w:sz="10" w:space="0"/>
            </w:tcBorders>
          </w:tcPr>
          <w:p>
            <w:pPr>
              <w:pStyle w:val="TableText"/>
              <w:ind w:left="623"/>
              <w:spacing w:before="16" w:line="230" w:lineRule="auto"/>
              <w:rPr/>
            </w:pPr>
            <w:r>
              <w:rPr>
                <w:spacing w:val="9"/>
              </w:rPr>
              <w:t>地方排放标准、总量控制和排污许可证管理要求</w:t>
            </w:r>
          </w:p>
        </w:tc>
        <w:tc>
          <w:tcPr>
            <w:tcW w:w="1575" w:type="dxa"/>
            <w:vAlign w:val="top"/>
            <w:tcBorders>
              <w:right w:val="nil"/>
              <w:top w:val="single" w:color="00000A" w:sz="10" w:space="0"/>
            </w:tcBorders>
          </w:tcPr>
          <w:p>
            <w:pPr>
              <w:rPr>
                <w:rFonts w:ascii="Arial"/>
                <w:sz w:val="21"/>
              </w:rPr>
            </w:pPr>
            <w:r/>
          </w:p>
        </w:tc>
      </w:tr>
      <w:tr>
        <w:trPr>
          <w:trHeight w:val="1907" w:hRule="atLeast"/>
        </w:trPr>
        <w:tc>
          <w:tcPr>
            <w:tcW w:w="1487" w:type="dxa"/>
            <w:vAlign w:val="top"/>
            <w:gridSpan w:val="2"/>
            <w:tcBorders>
              <w:left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33"/>
              <w:spacing w:before="65" w:line="231" w:lineRule="auto"/>
              <w:rPr/>
            </w:pPr>
            <w:r>
              <w:rPr>
                <w:spacing w:val="5"/>
              </w:rPr>
              <w:t>环境审核</w:t>
            </w:r>
          </w:p>
        </w:tc>
        <w:tc>
          <w:tcPr>
            <w:tcW w:w="2074" w:type="dxa"/>
            <w:vAlign w:val="top"/>
          </w:tcPr>
          <w:p>
            <w:pPr>
              <w:pStyle w:val="TableText"/>
              <w:ind w:left="104"/>
              <w:spacing w:before="31" w:line="231" w:lineRule="auto"/>
              <w:rPr/>
            </w:pPr>
            <w:r>
              <w:rPr>
                <w:spacing w:val="8"/>
              </w:rPr>
              <w:t>按照企业清洁生产审</w:t>
            </w:r>
          </w:p>
          <w:p>
            <w:pPr>
              <w:pStyle w:val="TableText"/>
              <w:ind w:left="103"/>
              <w:spacing w:before="23" w:line="229" w:lineRule="auto"/>
              <w:rPr/>
            </w:pPr>
            <w:r>
              <w:rPr>
                <w:spacing w:val="8"/>
              </w:rPr>
              <w:t>核指南的要求进行了</w:t>
            </w:r>
          </w:p>
          <w:p>
            <w:pPr>
              <w:pStyle w:val="TableText"/>
              <w:ind w:left="82"/>
              <w:spacing w:before="22" w:line="231" w:lineRule="auto"/>
              <w:rPr>
                <w:rFonts w:ascii="Times New Roman" w:hAnsi="Times New Roman" w:eastAsia="Times New Roman" w:cs="Times New Roman"/>
              </w:rPr>
            </w:pPr>
            <w:r>
              <w:rPr>
                <w:spacing w:val="5"/>
              </w:rPr>
              <w:t>审核；按照</w:t>
            </w:r>
            <w:r>
              <w:rPr>
                <w:spacing w:val="-40"/>
              </w:rPr>
              <w:t xml:space="preserve"> </w:t>
            </w:r>
            <w:r>
              <w:rPr>
                <w:rFonts w:ascii="Times New Roman" w:hAnsi="Times New Roman" w:eastAsia="Times New Roman" w:cs="Times New Roman"/>
              </w:rPr>
              <w:t>ISO</w:t>
            </w:r>
            <w:r>
              <w:rPr>
                <w:rFonts w:ascii="Times New Roman" w:hAnsi="Times New Roman" w:eastAsia="Times New Roman" w:cs="Times New Roman"/>
                <w:spacing w:val="5"/>
              </w:rPr>
              <w:t>14001</w:t>
            </w:r>
          </w:p>
          <w:p>
            <w:pPr>
              <w:pStyle w:val="TableText"/>
              <w:ind w:left="104"/>
              <w:spacing w:before="23" w:line="229" w:lineRule="auto"/>
              <w:rPr/>
            </w:pPr>
            <w:r>
              <w:rPr>
                <w:spacing w:val="8"/>
              </w:rPr>
              <w:t>建立并运行环境管理</w:t>
            </w:r>
          </w:p>
          <w:p>
            <w:pPr>
              <w:pStyle w:val="TableText"/>
              <w:spacing w:before="23" w:line="231" w:lineRule="auto"/>
              <w:jc w:val="right"/>
              <w:rPr/>
            </w:pPr>
            <w:r>
              <w:rPr>
                <w:spacing w:val="4"/>
              </w:rPr>
              <w:t>体系，环境管理手册、</w:t>
            </w:r>
          </w:p>
          <w:p>
            <w:pPr>
              <w:pStyle w:val="TableText"/>
              <w:ind w:left="105"/>
              <w:spacing w:before="21" w:line="229" w:lineRule="auto"/>
              <w:rPr/>
            </w:pPr>
            <w:r>
              <w:rPr>
                <w:spacing w:val="8"/>
              </w:rPr>
              <w:t>程序文件及作业文件</w:t>
            </w:r>
          </w:p>
          <w:p>
            <w:pPr>
              <w:pStyle w:val="TableText"/>
              <w:ind w:left="840"/>
              <w:spacing w:before="26" w:line="213" w:lineRule="auto"/>
              <w:rPr/>
            </w:pPr>
            <w:r>
              <w:rPr>
                <w:spacing w:val="1"/>
              </w:rPr>
              <w:t>齐备</w:t>
            </w:r>
          </w:p>
        </w:tc>
        <w:tc>
          <w:tcPr>
            <w:tcW w:w="1927" w:type="dxa"/>
            <w:vAlign w:val="top"/>
          </w:tcPr>
          <w:p>
            <w:pPr>
              <w:pStyle w:val="TableText"/>
              <w:ind w:left="29"/>
              <w:spacing w:before="305" w:line="231" w:lineRule="auto"/>
              <w:rPr/>
            </w:pPr>
            <w:r>
              <w:rPr>
                <w:spacing w:val="8"/>
              </w:rPr>
              <w:t>按照企业清洁生产审</w:t>
            </w:r>
          </w:p>
          <w:p>
            <w:pPr>
              <w:pStyle w:val="TableText"/>
              <w:ind w:left="28"/>
              <w:spacing w:before="21" w:line="229" w:lineRule="auto"/>
              <w:rPr/>
            </w:pPr>
            <w:r>
              <w:rPr>
                <w:spacing w:val="8"/>
              </w:rPr>
              <w:t>核指南的要求进行了</w:t>
            </w:r>
          </w:p>
          <w:p>
            <w:pPr>
              <w:pStyle w:val="TableText"/>
              <w:ind w:left="45"/>
              <w:spacing w:before="22" w:line="230" w:lineRule="auto"/>
              <w:rPr/>
            </w:pPr>
            <w:r>
              <w:rPr>
                <w:spacing w:val="6"/>
              </w:rPr>
              <w:t>审核环境管理制度健</w:t>
            </w:r>
          </w:p>
          <w:p>
            <w:pPr>
              <w:pStyle w:val="TableText"/>
              <w:ind w:left="34"/>
              <w:spacing w:before="24" w:line="231" w:lineRule="auto"/>
              <w:rPr/>
            </w:pPr>
            <w:r>
              <w:rPr>
                <w:spacing w:val="7"/>
              </w:rPr>
              <w:t>全，原始记录及统计</w:t>
            </w:r>
          </w:p>
          <w:p>
            <w:pPr>
              <w:pStyle w:val="TableText"/>
              <w:ind w:left="343"/>
              <w:spacing w:before="20" w:line="231" w:lineRule="auto"/>
              <w:rPr/>
            </w:pPr>
            <w:r>
              <w:rPr>
                <w:spacing w:val="7"/>
              </w:rPr>
              <w:t>数据齐全有效</w:t>
            </w:r>
          </w:p>
        </w:tc>
        <w:tc>
          <w:tcPr>
            <w:tcW w:w="1630" w:type="dxa"/>
            <w:vAlign w:val="top"/>
          </w:tcPr>
          <w:p>
            <w:pPr>
              <w:pStyle w:val="TableText"/>
              <w:ind w:left="91"/>
              <w:spacing w:before="168" w:line="231" w:lineRule="auto"/>
              <w:rPr/>
            </w:pPr>
            <w:r>
              <w:rPr>
                <w:spacing w:val="7"/>
              </w:rPr>
              <w:t>按照企业清洁生</w:t>
            </w:r>
          </w:p>
          <w:p>
            <w:pPr>
              <w:pStyle w:val="TableText"/>
              <w:ind w:left="93"/>
              <w:spacing w:before="20" w:line="231" w:lineRule="auto"/>
              <w:rPr/>
            </w:pPr>
            <w:r>
              <w:rPr>
                <w:spacing w:val="7"/>
              </w:rPr>
              <w:t>产审核指南的要</w:t>
            </w:r>
          </w:p>
          <w:p>
            <w:pPr>
              <w:pStyle w:val="TableText"/>
              <w:spacing w:before="21" w:line="229" w:lineRule="auto"/>
              <w:jc w:val="right"/>
              <w:rPr/>
            </w:pPr>
            <w:r>
              <w:rPr/>
              <w:t>求进行了审核；环</w:t>
            </w:r>
          </w:p>
          <w:p>
            <w:pPr>
              <w:pStyle w:val="TableText"/>
              <w:ind w:left="17"/>
              <w:spacing w:before="25" w:line="230" w:lineRule="auto"/>
              <w:rPr/>
            </w:pPr>
            <w:r>
              <w:rPr/>
              <w:t>境管理制度、原始</w:t>
            </w:r>
          </w:p>
          <w:p>
            <w:pPr>
              <w:pStyle w:val="TableText"/>
              <w:ind w:left="89"/>
              <w:spacing w:before="21" w:line="231" w:lineRule="auto"/>
              <w:rPr/>
            </w:pPr>
            <w:r>
              <w:rPr>
                <w:spacing w:val="8"/>
              </w:rPr>
              <w:t>记录及统计数据</w:t>
            </w:r>
          </w:p>
          <w:p>
            <w:pPr>
              <w:pStyle w:val="TableText"/>
              <w:ind w:left="406"/>
              <w:spacing w:before="24" w:line="231" w:lineRule="auto"/>
              <w:rPr/>
            </w:pPr>
            <w:r>
              <w:rPr>
                <w:spacing w:val="5"/>
              </w:rPr>
              <w:t>基本齐全</w:t>
            </w:r>
          </w:p>
        </w:tc>
        <w:tc>
          <w:tcPr>
            <w:tcW w:w="1575" w:type="dxa"/>
            <w:vAlign w:val="top"/>
            <w:tcBorders>
              <w:right w:val="nil"/>
            </w:tcBorders>
          </w:tcPr>
          <w:p>
            <w:pPr>
              <w:spacing w:line="322" w:lineRule="auto"/>
              <w:rPr>
                <w:rFonts w:ascii="Arial"/>
                <w:sz w:val="21"/>
              </w:rPr>
            </w:pPr>
            <w:r/>
          </w:p>
          <w:p>
            <w:pPr>
              <w:spacing w:line="322" w:lineRule="auto"/>
              <w:rPr>
                <w:rFonts w:ascii="Arial"/>
                <w:sz w:val="21"/>
              </w:rPr>
            </w:pPr>
            <w:r/>
          </w:p>
          <w:p>
            <w:pPr>
              <w:pStyle w:val="TableText"/>
              <w:ind w:left="697" w:right="49" w:hanging="631"/>
              <w:spacing w:before="65" w:line="250" w:lineRule="auto"/>
              <w:rPr/>
            </w:pPr>
            <w:r>
              <w:rPr>
                <w:spacing w:val="7"/>
              </w:rPr>
              <w:t>投产后按一级执</w:t>
            </w:r>
            <w:r>
              <w:rPr/>
              <w:t>行</w:t>
            </w:r>
          </w:p>
        </w:tc>
      </w:tr>
      <w:tr>
        <w:trPr>
          <w:trHeight w:val="549" w:hRule="atLeast"/>
        </w:trPr>
        <w:tc>
          <w:tcPr>
            <w:tcW w:w="459" w:type="dxa"/>
            <w:vAlign w:val="top"/>
            <w:vMerge w:val="restart"/>
            <w:textDirection w:val="tbRlV"/>
            <w:tcBorders>
              <w:left w:val="nil"/>
              <w:bottom w:val="nil"/>
            </w:tcBorders>
          </w:tcPr>
          <w:p>
            <w:pPr>
              <w:pStyle w:val="TableText"/>
              <w:ind w:left="1009"/>
              <w:spacing w:before="124" w:line="209" w:lineRule="auto"/>
              <w:rPr/>
            </w:pPr>
            <w:r>
              <w:rPr>
                <w:spacing w:val="13"/>
              </w:rPr>
              <w:t>生</w:t>
            </w:r>
            <w:r>
              <w:rPr>
                <w:spacing w:val="-38"/>
              </w:rPr>
              <w:t xml:space="preserve"> </w:t>
            </w:r>
            <w:r>
              <w:rPr>
                <w:spacing w:val="13"/>
              </w:rPr>
              <w:t>产</w:t>
            </w:r>
            <w:r>
              <w:rPr>
                <w:spacing w:val="-40"/>
              </w:rPr>
              <w:t xml:space="preserve"> </w:t>
            </w:r>
            <w:r>
              <w:rPr>
                <w:spacing w:val="13"/>
              </w:rPr>
              <w:t>过</w:t>
            </w:r>
            <w:r>
              <w:rPr>
                <w:spacing w:val="-42"/>
              </w:rPr>
              <w:t xml:space="preserve"> </w:t>
            </w:r>
            <w:r>
              <w:rPr>
                <w:spacing w:val="13"/>
              </w:rPr>
              <w:t>程</w:t>
            </w:r>
            <w:r>
              <w:rPr>
                <w:spacing w:val="-41"/>
              </w:rPr>
              <w:t xml:space="preserve"> </w:t>
            </w:r>
            <w:r>
              <w:rPr>
                <w:spacing w:val="13"/>
              </w:rPr>
              <w:t>环</w:t>
            </w:r>
            <w:r>
              <w:rPr>
                <w:spacing w:val="-42"/>
              </w:rPr>
              <w:t xml:space="preserve"> </w:t>
            </w:r>
            <w:r>
              <w:rPr>
                <w:spacing w:val="13"/>
              </w:rPr>
              <w:t>境</w:t>
            </w:r>
            <w:r>
              <w:rPr>
                <w:spacing w:val="-41"/>
              </w:rPr>
              <w:t xml:space="preserve"> </w:t>
            </w:r>
            <w:r>
              <w:rPr>
                <w:spacing w:val="13"/>
              </w:rPr>
              <w:t>管</w:t>
            </w:r>
            <w:r>
              <w:rPr>
                <w:spacing w:val="-42"/>
              </w:rPr>
              <w:t xml:space="preserve"> </w:t>
            </w:r>
            <w:r>
              <w:rPr>
                <w:spacing w:val="13"/>
              </w:rPr>
              <w:t>理</w:t>
            </w:r>
          </w:p>
        </w:tc>
        <w:tc>
          <w:tcPr>
            <w:tcW w:w="1028" w:type="dxa"/>
            <w:vAlign w:val="top"/>
          </w:tcPr>
          <w:p>
            <w:pPr>
              <w:pStyle w:val="TableText"/>
              <w:ind w:left="131"/>
              <w:spacing w:before="171" w:line="230" w:lineRule="auto"/>
              <w:rPr/>
            </w:pPr>
            <w:r>
              <w:rPr>
                <w:spacing w:val="-1"/>
              </w:rPr>
              <w:t>岗位培训</w:t>
            </w:r>
          </w:p>
        </w:tc>
        <w:tc>
          <w:tcPr>
            <w:tcW w:w="4001" w:type="dxa"/>
            <w:vAlign w:val="top"/>
            <w:gridSpan w:val="2"/>
          </w:tcPr>
          <w:p>
            <w:pPr>
              <w:pStyle w:val="TableText"/>
              <w:ind w:left="856"/>
              <w:spacing w:before="172" w:line="229" w:lineRule="auto"/>
              <w:rPr/>
            </w:pPr>
            <w:r>
              <w:rPr>
                <w:spacing w:val="8"/>
              </w:rPr>
              <w:t>所有岗位进行过严格培训</w:t>
            </w:r>
          </w:p>
        </w:tc>
        <w:tc>
          <w:tcPr>
            <w:tcW w:w="1630" w:type="dxa"/>
            <w:vAlign w:val="top"/>
          </w:tcPr>
          <w:p>
            <w:pPr>
              <w:pStyle w:val="TableText"/>
              <w:ind w:left="407" w:right="77" w:hanging="310"/>
              <w:spacing w:before="36" w:line="232" w:lineRule="auto"/>
              <w:rPr/>
            </w:pPr>
            <w:r>
              <w:rPr>
                <w:spacing w:val="7"/>
              </w:rPr>
              <w:t>主要岗位进行过</w:t>
            </w:r>
            <w:r>
              <w:rPr>
                <w:spacing w:val="5"/>
              </w:rPr>
              <w:t>严格培训</w:t>
            </w:r>
          </w:p>
        </w:tc>
        <w:tc>
          <w:tcPr>
            <w:tcW w:w="1575" w:type="dxa"/>
            <w:vAlign w:val="top"/>
            <w:tcBorders>
              <w:right w:val="nil"/>
            </w:tcBorders>
          </w:tcPr>
          <w:p>
            <w:pPr>
              <w:pStyle w:val="TableText"/>
              <w:ind w:left="697" w:right="49" w:hanging="631"/>
              <w:spacing w:before="36" w:line="232" w:lineRule="auto"/>
              <w:rPr/>
            </w:pPr>
            <w:r>
              <w:rPr>
                <w:spacing w:val="7"/>
              </w:rPr>
              <w:t>投产后按一级执</w:t>
            </w:r>
            <w:r>
              <w:rPr/>
              <w:t>行</w:t>
            </w:r>
          </w:p>
        </w:tc>
      </w:tr>
      <w:tr>
        <w:trPr>
          <w:trHeight w:val="1364" w:hRule="atLeast"/>
        </w:trPr>
        <w:tc>
          <w:tcPr>
            <w:tcW w:w="459" w:type="dxa"/>
            <w:vAlign w:val="top"/>
            <w:vMerge w:val="continue"/>
            <w:textDirection w:val="tbRlV"/>
            <w:tcBorders>
              <w:left w:val="nil"/>
              <w:top w:val="nil"/>
              <w:bottom w:val="nil"/>
            </w:tcBorders>
          </w:tcPr>
          <w:p>
            <w:pPr>
              <w:rPr>
                <w:rFonts w:ascii="Arial"/>
                <w:sz w:val="21"/>
              </w:rPr>
            </w:pPr>
            <w:r/>
          </w:p>
        </w:tc>
        <w:tc>
          <w:tcPr>
            <w:tcW w:w="1028" w:type="dxa"/>
            <w:vAlign w:val="top"/>
          </w:tcPr>
          <w:p>
            <w:pPr>
              <w:pStyle w:val="TableText"/>
              <w:ind w:left="15" w:right="2" w:firstLine="93"/>
              <w:spacing w:before="37" w:line="251" w:lineRule="auto"/>
              <w:jc w:val="both"/>
              <w:rPr/>
            </w:pPr>
            <w:r>
              <w:rPr>
                <w:spacing w:val="4"/>
              </w:rPr>
              <w:t>凿岩、爆</w:t>
            </w:r>
            <w:r>
              <w:rPr/>
              <w:t>破、铲装运</w:t>
            </w:r>
            <w:r>
              <w:rPr>
                <w:spacing w:val="28"/>
              </w:rPr>
              <w:t>输等主要</w:t>
            </w:r>
          </w:p>
          <w:p>
            <w:pPr>
              <w:pStyle w:val="TableText"/>
              <w:ind w:left="212" w:right="94" w:hanging="103"/>
              <w:spacing w:before="2" w:line="230" w:lineRule="auto"/>
              <w:rPr/>
            </w:pPr>
            <w:r>
              <w:rPr>
                <w:spacing w:val="4"/>
              </w:rPr>
              <w:t>工序的操</w:t>
            </w:r>
            <w:r>
              <w:rPr>
                <w:spacing w:val="3"/>
              </w:rPr>
              <w:t>作管理</w:t>
            </w:r>
          </w:p>
        </w:tc>
        <w:tc>
          <w:tcPr>
            <w:tcW w:w="2074" w:type="dxa"/>
            <w:vAlign w:val="top"/>
          </w:tcPr>
          <w:p>
            <w:pPr>
              <w:spacing w:line="242" w:lineRule="auto"/>
              <w:rPr>
                <w:rFonts w:ascii="Arial"/>
                <w:sz w:val="21"/>
              </w:rPr>
            </w:pPr>
            <w:r/>
          </w:p>
          <w:p>
            <w:pPr>
              <w:pStyle w:val="TableText"/>
              <w:ind w:left="101"/>
              <w:spacing w:before="65" w:line="229" w:lineRule="auto"/>
              <w:rPr/>
            </w:pPr>
            <w:r>
              <w:rPr>
                <w:spacing w:val="8"/>
              </w:rPr>
              <w:t>有完善的岗位操作规</w:t>
            </w:r>
          </w:p>
          <w:p>
            <w:pPr>
              <w:pStyle w:val="TableText"/>
              <w:ind w:left="16"/>
              <w:spacing w:before="23" w:line="229" w:lineRule="auto"/>
              <w:rPr/>
            </w:pPr>
            <w:r>
              <w:rPr>
                <w:spacing w:val="4"/>
              </w:rPr>
              <w:t>程；运行无故障、设备</w:t>
            </w:r>
          </w:p>
          <w:p>
            <w:pPr>
              <w:pStyle w:val="TableText"/>
              <w:ind w:left="360"/>
              <w:spacing w:before="22" w:line="232" w:lineRule="auto"/>
              <w:rPr>
                <w:rFonts w:ascii="Times New Roman" w:hAnsi="Times New Roman" w:eastAsia="Times New Roman" w:cs="Times New Roman"/>
              </w:rPr>
            </w:pPr>
            <w:r>
              <w:rPr>
                <w:spacing w:val="2"/>
              </w:rPr>
              <w:t>完好率达</w:t>
            </w:r>
            <w:r>
              <w:rPr>
                <w:spacing w:val="-18"/>
              </w:rPr>
              <w:t xml:space="preserve"> </w:t>
            </w:r>
            <w:r>
              <w:rPr>
                <w:rFonts w:ascii="Times New Roman" w:hAnsi="Times New Roman" w:eastAsia="Times New Roman" w:cs="Times New Roman"/>
                <w:spacing w:val="2"/>
              </w:rPr>
              <w:t>100%</w:t>
            </w:r>
          </w:p>
        </w:tc>
        <w:tc>
          <w:tcPr>
            <w:tcW w:w="1927" w:type="dxa"/>
            <w:vAlign w:val="top"/>
          </w:tcPr>
          <w:p>
            <w:pPr>
              <w:spacing w:line="242" w:lineRule="auto"/>
              <w:rPr>
                <w:rFonts w:ascii="Arial"/>
                <w:sz w:val="21"/>
              </w:rPr>
            </w:pPr>
            <w:r/>
          </w:p>
          <w:p>
            <w:pPr>
              <w:pStyle w:val="TableText"/>
              <w:ind w:left="26"/>
              <w:spacing w:before="65" w:line="229" w:lineRule="auto"/>
              <w:rPr/>
            </w:pPr>
            <w:r>
              <w:rPr>
                <w:spacing w:val="8"/>
              </w:rPr>
              <w:t>有完善的岗位操作规</w:t>
            </w:r>
          </w:p>
          <w:p>
            <w:pPr>
              <w:pStyle w:val="TableText"/>
              <w:ind w:left="30"/>
              <w:spacing w:before="23" w:line="229" w:lineRule="auto"/>
              <w:rPr/>
            </w:pPr>
            <w:r>
              <w:rPr>
                <w:spacing w:val="8"/>
              </w:rPr>
              <w:t>程运行无故障、设备</w:t>
            </w:r>
          </w:p>
          <w:p>
            <w:pPr>
              <w:pStyle w:val="TableText"/>
              <w:ind w:left="340"/>
              <w:spacing w:before="22" w:line="232" w:lineRule="auto"/>
              <w:rPr>
                <w:rFonts w:ascii="Times New Roman" w:hAnsi="Times New Roman" w:eastAsia="Times New Roman" w:cs="Times New Roman"/>
              </w:rPr>
            </w:pPr>
            <w:r>
              <w:rPr>
                <w:spacing w:val="4"/>
              </w:rPr>
              <w:t>完好率达</w:t>
            </w:r>
            <w:r>
              <w:rPr>
                <w:spacing w:val="-36"/>
              </w:rPr>
              <w:t xml:space="preserve"> </w:t>
            </w:r>
            <w:r>
              <w:rPr>
                <w:rFonts w:ascii="Times New Roman" w:hAnsi="Times New Roman" w:eastAsia="Times New Roman" w:cs="Times New Roman"/>
                <w:spacing w:val="4"/>
              </w:rPr>
              <w:t>98%</w:t>
            </w:r>
          </w:p>
        </w:tc>
        <w:tc>
          <w:tcPr>
            <w:tcW w:w="1630" w:type="dxa"/>
            <w:vAlign w:val="top"/>
          </w:tcPr>
          <w:p>
            <w:pPr>
              <w:pStyle w:val="TableText"/>
              <w:ind w:left="89"/>
              <w:spacing w:before="172" w:line="230" w:lineRule="auto"/>
              <w:rPr/>
            </w:pPr>
            <w:r>
              <w:rPr>
                <w:spacing w:val="8"/>
              </w:rPr>
              <w:t>有较完善的岗位</w:t>
            </w:r>
          </w:p>
          <w:p>
            <w:pPr>
              <w:pStyle w:val="TableText"/>
              <w:ind w:left="15"/>
              <w:spacing w:before="21" w:line="229" w:lineRule="auto"/>
              <w:rPr/>
            </w:pPr>
            <w:r>
              <w:rPr/>
              <w:t>操作规程；运行无</w:t>
            </w:r>
          </w:p>
          <w:p>
            <w:pPr>
              <w:pStyle w:val="TableText"/>
              <w:ind w:left="15"/>
              <w:spacing w:before="25" w:line="230" w:lineRule="auto"/>
              <w:rPr/>
            </w:pPr>
            <w:r>
              <w:rPr/>
              <w:t>故障、设备完好率</w:t>
            </w:r>
          </w:p>
          <w:p>
            <w:pPr>
              <w:pStyle w:val="TableText"/>
              <w:ind w:left="504"/>
              <w:spacing w:before="24" w:line="237" w:lineRule="auto"/>
              <w:rPr>
                <w:rFonts w:ascii="Times New Roman" w:hAnsi="Times New Roman" w:eastAsia="Times New Roman" w:cs="Times New Roman"/>
              </w:rPr>
            </w:pPr>
            <w:r>
              <w:rPr/>
              <w:t>达</w:t>
            </w:r>
            <w:r>
              <w:rPr>
                <w:spacing w:val="-35"/>
              </w:rPr>
              <w:t xml:space="preserve"> </w:t>
            </w:r>
            <w:r>
              <w:rPr>
                <w:rFonts w:ascii="Times New Roman" w:hAnsi="Times New Roman" w:eastAsia="Times New Roman" w:cs="Times New Roman"/>
              </w:rPr>
              <w:t>95%</w:t>
            </w:r>
          </w:p>
        </w:tc>
        <w:tc>
          <w:tcPr>
            <w:tcW w:w="1575" w:type="dxa"/>
            <w:vAlign w:val="top"/>
            <w:tcBorders>
              <w:right w:val="nil"/>
            </w:tcBorders>
          </w:tcPr>
          <w:p>
            <w:pPr>
              <w:spacing w:line="378" w:lineRule="auto"/>
              <w:rPr>
                <w:rFonts w:ascii="Arial"/>
                <w:sz w:val="21"/>
              </w:rPr>
            </w:pPr>
            <w:r/>
          </w:p>
          <w:p>
            <w:pPr>
              <w:pStyle w:val="TableText"/>
              <w:ind w:left="697" w:right="49" w:hanging="631"/>
              <w:spacing w:before="65" w:line="250" w:lineRule="auto"/>
              <w:rPr/>
            </w:pPr>
            <w:r>
              <w:rPr>
                <w:spacing w:val="7"/>
              </w:rPr>
              <w:t>投产后按一级执</w:t>
            </w:r>
            <w:r>
              <w:rPr/>
              <w:t>行</w:t>
            </w:r>
          </w:p>
        </w:tc>
      </w:tr>
      <w:tr>
        <w:trPr>
          <w:trHeight w:val="1091" w:hRule="atLeast"/>
        </w:trPr>
        <w:tc>
          <w:tcPr>
            <w:tcW w:w="459" w:type="dxa"/>
            <w:vAlign w:val="top"/>
            <w:vMerge w:val="continue"/>
            <w:textDirection w:val="tbRlV"/>
            <w:tcBorders>
              <w:left w:val="nil"/>
              <w:top w:val="nil"/>
              <w:bottom w:val="nil"/>
            </w:tcBorders>
          </w:tcPr>
          <w:p>
            <w:pPr>
              <w:rPr>
                <w:rFonts w:ascii="Arial"/>
                <w:sz w:val="21"/>
              </w:rPr>
            </w:pPr>
            <w:r/>
          </w:p>
        </w:tc>
        <w:tc>
          <w:tcPr>
            <w:tcW w:w="1028" w:type="dxa"/>
            <w:vAlign w:val="top"/>
          </w:tcPr>
          <w:p>
            <w:pPr>
              <w:pStyle w:val="TableText"/>
              <w:ind w:left="28" w:right="2" w:firstLine="88"/>
              <w:spacing w:before="39" w:line="250" w:lineRule="auto"/>
              <w:rPr/>
            </w:pPr>
            <w:r>
              <w:rPr>
                <w:spacing w:val="2"/>
              </w:rPr>
              <w:t>生产设备</w:t>
            </w:r>
            <w:r>
              <w:rPr>
                <w:spacing w:val="-2"/>
              </w:rPr>
              <w:t>的使用、维</w:t>
            </w:r>
          </w:p>
          <w:p>
            <w:pPr>
              <w:pStyle w:val="TableText"/>
              <w:ind w:left="211" w:right="2" w:hanging="196"/>
              <w:spacing w:before="3" w:line="229" w:lineRule="auto"/>
              <w:rPr/>
            </w:pPr>
            <w:r>
              <w:rPr/>
              <w:t>护、检修管</w:t>
            </w:r>
            <w:r>
              <w:rPr>
                <w:spacing w:val="4"/>
              </w:rPr>
              <w:t>理制度</w:t>
            </w:r>
          </w:p>
        </w:tc>
        <w:tc>
          <w:tcPr>
            <w:tcW w:w="2074" w:type="dxa"/>
            <w:vAlign w:val="top"/>
          </w:tcPr>
          <w:p>
            <w:pPr>
              <w:spacing w:line="243" w:lineRule="auto"/>
              <w:rPr>
                <w:rFonts w:ascii="Arial"/>
                <w:sz w:val="21"/>
              </w:rPr>
            </w:pPr>
            <w:r/>
          </w:p>
          <w:p>
            <w:pPr>
              <w:pStyle w:val="TableText"/>
              <w:ind w:left="627" w:right="3" w:hanging="615"/>
              <w:spacing w:before="65" w:line="252" w:lineRule="auto"/>
              <w:rPr/>
            </w:pPr>
            <w:r>
              <w:rPr>
                <w:spacing w:val="5"/>
              </w:rPr>
              <w:t>有完善的管理制度，并</w:t>
            </w:r>
            <w:r>
              <w:rPr>
                <w:spacing w:val="5"/>
              </w:rPr>
              <w:t>严格执行</w:t>
            </w:r>
          </w:p>
        </w:tc>
        <w:tc>
          <w:tcPr>
            <w:tcW w:w="1927" w:type="dxa"/>
            <w:vAlign w:val="top"/>
          </w:tcPr>
          <w:p>
            <w:pPr>
              <w:spacing w:line="243" w:lineRule="auto"/>
              <w:rPr>
                <w:rFonts w:ascii="Arial"/>
                <w:sz w:val="21"/>
              </w:rPr>
            </w:pPr>
            <w:r/>
          </w:p>
          <w:p>
            <w:pPr>
              <w:pStyle w:val="TableText"/>
              <w:ind w:left="18" w:right="3" w:firstLine="16"/>
              <w:spacing w:before="65" w:line="252" w:lineRule="auto"/>
              <w:rPr/>
            </w:pPr>
            <w:r>
              <w:rPr>
                <w:spacing w:val="7"/>
              </w:rPr>
              <w:t>主要设备有具体的管</w:t>
            </w:r>
            <w:r>
              <w:rPr>
                <w:spacing w:val="-3"/>
              </w:rPr>
              <w:t>理</w:t>
            </w:r>
            <w:r>
              <w:rPr>
                <w:spacing w:val="25"/>
              </w:rPr>
              <w:t xml:space="preserve"> </w:t>
            </w:r>
            <w:r>
              <w:rPr>
                <w:spacing w:val="-3"/>
              </w:rPr>
              <w:t>制度，并严格执行</w:t>
            </w:r>
          </w:p>
        </w:tc>
        <w:tc>
          <w:tcPr>
            <w:tcW w:w="1630" w:type="dxa"/>
            <w:vAlign w:val="top"/>
          </w:tcPr>
          <w:p>
            <w:pPr>
              <w:pStyle w:val="TableText"/>
              <w:ind w:left="97"/>
              <w:spacing w:before="173" w:line="231" w:lineRule="auto"/>
              <w:rPr/>
            </w:pPr>
            <w:r>
              <w:rPr>
                <w:spacing w:val="7"/>
              </w:rPr>
              <w:t>主要设备有基本</w:t>
            </w:r>
          </w:p>
          <w:p>
            <w:pPr>
              <w:pStyle w:val="TableText"/>
              <w:ind w:right="3"/>
              <w:spacing w:before="23" w:line="229" w:lineRule="auto"/>
              <w:jc w:val="right"/>
              <w:rPr/>
            </w:pPr>
            <w:r>
              <w:rPr>
                <w:spacing w:val="-1"/>
              </w:rPr>
              <w:t>的管理制度，并严</w:t>
            </w:r>
          </w:p>
          <w:p>
            <w:pPr>
              <w:pStyle w:val="TableText"/>
              <w:ind w:left="511"/>
              <w:spacing w:before="23" w:line="229" w:lineRule="auto"/>
              <w:rPr/>
            </w:pPr>
            <w:r>
              <w:rPr>
                <w:spacing w:val="5"/>
              </w:rPr>
              <w:t>格执行</w:t>
            </w:r>
          </w:p>
        </w:tc>
        <w:tc>
          <w:tcPr>
            <w:tcW w:w="1575" w:type="dxa"/>
            <w:vAlign w:val="top"/>
            <w:tcBorders>
              <w:right w:val="nil"/>
            </w:tcBorders>
          </w:tcPr>
          <w:p>
            <w:pPr>
              <w:spacing w:line="243" w:lineRule="auto"/>
              <w:rPr>
                <w:rFonts w:ascii="Arial"/>
                <w:sz w:val="21"/>
              </w:rPr>
            </w:pPr>
            <w:r/>
          </w:p>
          <w:p>
            <w:pPr>
              <w:pStyle w:val="TableText"/>
              <w:ind w:left="697" w:right="49" w:hanging="631"/>
              <w:spacing w:before="65" w:line="252" w:lineRule="auto"/>
              <w:rPr/>
            </w:pPr>
            <w:r>
              <w:rPr>
                <w:spacing w:val="7"/>
              </w:rPr>
              <w:t>投产后按一级执</w:t>
            </w:r>
            <w:r>
              <w:rPr/>
              <w:t>行</w:t>
            </w:r>
          </w:p>
        </w:tc>
      </w:tr>
      <w:tr>
        <w:trPr>
          <w:trHeight w:val="820" w:hRule="atLeast"/>
        </w:trPr>
        <w:tc>
          <w:tcPr>
            <w:tcW w:w="459" w:type="dxa"/>
            <w:vAlign w:val="top"/>
            <w:vMerge w:val="continue"/>
            <w:textDirection w:val="tbRlV"/>
            <w:tcBorders>
              <w:left w:val="nil"/>
              <w:top w:val="nil"/>
              <w:bottom w:val="nil"/>
            </w:tcBorders>
          </w:tcPr>
          <w:p>
            <w:pPr>
              <w:rPr>
                <w:rFonts w:ascii="Arial"/>
                <w:sz w:val="21"/>
              </w:rPr>
            </w:pPr>
            <w:r/>
          </w:p>
        </w:tc>
        <w:tc>
          <w:tcPr>
            <w:tcW w:w="1028" w:type="dxa"/>
            <w:vAlign w:val="top"/>
          </w:tcPr>
          <w:p>
            <w:pPr>
              <w:pStyle w:val="TableText"/>
              <w:ind w:left="117"/>
              <w:spacing w:before="42" w:line="232" w:lineRule="auto"/>
              <w:rPr/>
            </w:pPr>
            <w:r>
              <w:rPr>
                <w:spacing w:val="2"/>
              </w:rPr>
              <w:t>生产工艺</w:t>
            </w:r>
          </w:p>
          <w:p>
            <w:pPr>
              <w:pStyle w:val="TableText"/>
              <w:ind w:left="232" w:right="94" w:hanging="128"/>
              <w:spacing w:before="22" w:line="228" w:lineRule="auto"/>
              <w:rPr/>
            </w:pPr>
            <w:r>
              <w:rPr>
                <w:spacing w:val="5"/>
              </w:rPr>
              <w:t>用水、用</w:t>
            </w:r>
            <w:r>
              <w:rPr>
                <w:spacing w:val="-3"/>
              </w:rPr>
              <w:t>电管理</w:t>
            </w:r>
          </w:p>
        </w:tc>
        <w:tc>
          <w:tcPr>
            <w:tcW w:w="2074" w:type="dxa"/>
            <w:vAlign w:val="top"/>
          </w:tcPr>
          <w:p>
            <w:pPr>
              <w:pStyle w:val="TableText"/>
              <w:spacing w:before="41" w:line="229" w:lineRule="auto"/>
              <w:jc w:val="right"/>
              <w:rPr/>
            </w:pPr>
            <w:r>
              <w:rPr>
                <w:spacing w:val="4"/>
              </w:rPr>
              <w:t>各种计量装置齐全，并</w:t>
            </w:r>
          </w:p>
          <w:p>
            <w:pPr>
              <w:pStyle w:val="TableText"/>
              <w:ind w:left="104"/>
              <w:spacing w:before="25" w:line="230" w:lineRule="auto"/>
              <w:rPr/>
            </w:pPr>
            <w:r>
              <w:rPr>
                <w:spacing w:val="8"/>
              </w:rPr>
              <w:t>制定严格计量考核制</w:t>
            </w:r>
          </w:p>
          <w:p>
            <w:pPr>
              <w:pStyle w:val="TableText"/>
              <w:ind w:left="944"/>
              <w:spacing w:before="21" w:line="206" w:lineRule="auto"/>
              <w:rPr/>
            </w:pPr>
            <w:r>
              <w:rPr/>
              <w:t>度</w:t>
            </w:r>
          </w:p>
        </w:tc>
        <w:tc>
          <w:tcPr>
            <w:tcW w:w="1927" w:type="dxa"/>
            <w:vAlign w:val="top"/>
          </w:tcPr>
          <w:p>
            <w:pPr>
              <w:pStyle w:val="TableText"/>
              <w:ind w:left="31" w:right="17" w:firstLine="3"/>
              <w:spacing w:before="178" w:line="250" w:lineRule="auto"/>
              <w:rPr/>
            </w:pPr>
            <w:r>
              <w:rPr>
                <w:spacing w:val="7"/>
              </w:rPr>
              <w:t>主要环节进行计量，</w:t>
            </w:r>
            <w:r>
              <w:rPr>
                <w:spacing w:val="8"/>
              </w:rPr>
              <w:t>并制定定量考核制度</w:t>
            </w:r>
          </w:p>
        </w:tc>
        <w:tc>
          <w:tcPr>
            <w:tcW w:w="1630" w:type="dxa"/>
            <w:vAlign w:val="top"/>
          </w:tcPr>
          <w:p>
            <w:pPr>
              <w:pStyle w:val="TableText"/>
              <w:ind w:left="723" w:right="77" w:hanging="626"/>
              <w:spacing w:before="178" w:line="253" w:lineRule="auto"/>
              <w:rPr/>
            </w:pPr>
            <w:r>
              <w:rPr>
                <w:spacing w:val="7"/>
              </w:rPr>
              <w:t>主要环节进行计</w:t>
            </w:r>
            <w:r>
              <w:rPr/>
              <w:t>量</w:t>
            </w:r>
          </w:p>
        </w:tc>
        <w:tc>
          <w:tcPr>
            <w:tcW w:w="1575" w:type="dxa"/>
            <w:vAlign w:val="top"/>
            <w:tcBorders>
              <w:right w:val="nil"/>
            </w:tcBorders>
          </w:tcPr>
          <w:p>
            <w:pPr>
              <w:pStyle w:val="TableText"/>
              <w:ind w:left="697" w:right="49" w:hanging="631"/>
              <w:spacing w:before="178" w:line="250" w:lineRule="auto"/>
              <w:rPr/>
            </w:pPr>
            <w:r>
              <w:rPr>
                <w:spacing w:val="7"/>
              </w:rPr>
              <w:t>投产后按一级执</w:t>
            </w:r>
            <w:r>
              <w:rPr/>
              <w:t>行</w:t>
            </w:r>
          </w:p>
        </w:tc>
      </w:tr>
      <w:tr>
        <w:trPr>
          <w:trHeight w:val="277" w:hRule="atLeast"/>
        </w:trPr>
        <w:tc>
          <w:tcPr>
            <w:tcW w:w="459" w:type="dxa"/>
            <w:vAlign w:val="top"/>
            <w:vMerge w:val="continue"/>
            <w:textDirection w:val="tbRlV"/>
            <w:tcBorders>
              <w:left w:val="nil"/>
              <w:top w:val="nil"/>
            </w:tcBorders>
          </w:tcPr>
          <w:p>
            <w:pPr>
              <w:rPr>
                <w:rFonts w:ascii="Arial"/>
                <w:sz w:val="21"/>
              </w:rPr>
            </w:pPr>
            <w:r/>
          </w:p>
        </w:tc>
        <w:tc>
          <w:tcPr>
            <w:tcW w:w="1028" w:type="dxa"/>
            <w:vAlign w:val="top"/>
          </w:tcPr>
          <w:p>
            <w:pPr>
              <w:pStyle w:val="TableText"/>
              <w:ind w:left="105"/>
              <w:spacing w:before="44" w:line="205" w:lineRule="auto"/>
              <w:rPr/>
            </w:pPr>
            <w:r>
              <w:rPr>
                <w:spacing w:val="5"/>
              </w:rPr>
              <w:t>各种标识</w:t>
            </w:r>
          </w:p>
        </w:tc>
        <w:tc>
          <w:tcPr>
            <w:tcW w:w="5631" w:type="dxa"/>
            <w:vAlign w:val="top"/>
            <w:gridSpan w:val="3"/>
          </w:tcPr>
          <w:p>
            <w:pPr>
              <w:pStyle w:val="TableText"/>
              <w:ind w:left="843"/>
              <w:spacing w:before="44" w:line="205" w:lineRule="auto"/>
              <w:rPr/>
            </w:pPr>
            <w:r>
              <w:rPr>
                <w:spacing w:val="8"/>
              </w:rPr>
              <w:t>生产区内各种标识明显，严格进行定期检查</w:t>
            </w:r>
          </w:p>
        </w:tc>
        <w:tc>
          <w:tcPr>
            <w:tcW w:w="1575" w:type="dxa"/>
            <w:vAlign w:val="top"/>
            <w:tcBorders>
              <w:right w:val="nil"/>
            </w:tcBorders>
          </w:tcPr>
          <w:p>
            <w:pPr>
              <w:pStyle w:val="TableText"/>
              <w:ind w:left="66"/>
              <w:spacing w:before="44" w:line="205" w:lineRule="auto"/>
              <w:rPr/>
            </w:pPr>
            <w:r>
              <w:rPr>
                <w:spacing w:val="7"/>
              </w:rPr>
              <w:t>投产后按此执行</w:t>
            </w:r>
          </w:p>
        </w:tc>
      </w:tr>
      <w:tr>
        <w:trPr>
          <w:trHeight w:val="548" w:hRule="atLeast"/>
        </w:trPr>
        <w:tc>
          <w:tcPr>
            <w:tcW w:w="459" w:type="dxa"/>
            <w:vAlign w:val="top"/>
            <w:vMerge w:val="restart"/>
            <w:tcBorders>
              <w:left w:val="nil"/>
              <w:bottom w:val="nil"/>
            </w:tcBorders>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42" w:right="21" w:hanging="11"/>
              <w:spacing w:before="65" w:line="251" w:lineRule="auto"/>
              <w:rPr/>
            </w:pPr>
            <w:r>
              <w:rPr>
                <w:spacing w:val="2"/>
              </w:rPr>
              <w:t>环境</w:t>
            </w:r>
            <w:r>
              <w:rPr>
                <w:spacing w:val="-4"/>
              </w:rPr>
              <w:t>管理</w:t>
            </w:r>
          </w:p>
        </w:tc>
        <w:tc>
          <w:tcPr>
            <w:tcW w:w="1028" w:type="dxa"/>
            <w:vAlign w:val="top"/>
          </w:tcPr>
          <w:p>
            <w:pPr>
              <w:pStyle w:val="TableText"/>
              <w:ind w:left="315" w:right="94" w:hanging="211"/>
              <w:spacing w:before="46" w:line="227" w:lineRule="auto"/>
              <w:rPr/>
            </w:pPr>
            <w:r>
              <w:rPr>
                <w:spacing w:val="5"/>
              </w:rPr>
              <w:t>环境管理</w:t>
            </w:r>
            <w:r>
              <w:rPr>
                <w:spacing w:val="2"/>
              </w:rPr>
              <w:t>机构</w:t>
            </w:r>
          </w:p>
        </w:tc>
        <w:tc>
          <w:tcPr>
            <w:tcW w:w="5631" w:type="dxa"/>
            <w:vAlign w:val="top"/>
            <w:gridSpan w:val="3"/>
          </w:tcPr>
          <w:p>
            <w:pPr>
              <w:pStyle w:val="TableText"/>
              <w:ind w:left="1988"/>
              <w:spacing w:before="180" w:line="229" w:lineRule="auto"/>
              <w:rPr/>
            </w:pPr>
            <w:r>
              <w:rPr>
                <w:spacing w:val="7"/>
              </w:rPr>
              <w:t>建立并有专人负责</w:t>
            </w:r>
          </w:p>
        </w:tc>
        <w:tc>
          <w:tcPr>
            <w:tcW w:w="1575" w:type="dxa"/>
            <w:vAlign w:val="top"/>
            <w:tcBorders>
              <w:right w:val="nil"/>
            </w:tcBorders>
          </w:tcPr>
          <w:p>
            <w:pPr>
              <w:pStyle w:val="TableText"/>
              <w:ind w:left="66"/>
              <w:spacing w:before="181" w:line="229" w:lineRule="auto"/>
              <w:rPr/>
            </w:pPr>
            <w:r>
              <w:rPr>
                <w:spacing w:val="7"/>
              </w:rPr>
              <w:t>投产后按此执行</w:t>
            </w:r>
          </w:p>
        </w:tc>
      </w:tr>
      <w:tr>
        <w:trPr>
          <w:trHeight w:val="549" w:hRule="atLeast"/>
        </w:trPr>
        <w:tc>
          <w:tcPr>
            <w:tcW w:w="459" w:type="dxa"/>
            <w:vAlign w:val="top"/>
            <w:vMerge w:val="continue"/>
            <w:tcBorders>
              <w:left w:val="nil"/>
              <w:top w:val="nil"/>
              <w:bottom w:val="nil"/>
            </w:tcBorders>
          </w:tcPr>
          <w:p>
            <w:pPr>
              <w:rPr>
                <w:rFonts w:ascii="Arial"/>
                <w:sz w:val="21"/>
              </w:rPr>
            </w:pPr>
            <w:r/>
          </w:p>
        </w:tc>
        <w:tc>
          <w:tcPr>
            <w:tcW w:w="1028" w:type="dxa"/>
            <w:vAlign w:val="top"/>
          </w:tcPr>
          <w:p>
            <w:pPr>
              <w:pStyle w:val="TableText"/>
              <w:ind w:left="316" w:right="94" w:hanging="212"/>
              <w:spacing w:before="47" w:line="227" w:lineRule="auto"/>
              <w:rPr/>
            </w:pPr>
            <w:r>
              <w:rPr>
                <w:spacing w:val="5"/>
              </w:rPr>
              <w:t>环境管理</w:t>
            </w:r>
            <w:r>
              <w:rPr>
                <w:spacing w:val="1"/>
              </w:rPr>
              <w:t>制度</w:t>
            </w:r>
          </w:p>
        </w:tc>
        <w:tc>
          <w:tcPr>
            <w:tcW w:w="4001" w:type="dxa"/>
            <w:vAlign w:val="top"/>
            <w:gridSpan w:val="2"/>
          </w:tcPr>
          <w:p>
            <w:pPr>
              <w:pStyle w:val="TableText"/>
              <w:ind w:left="14"/>
              <w:spacing w:before="47" w:line="229" w:lineRule="auto"/>
              <w:rPr/>
            </w:pPr>
            <w:r>
              <w:rPr>
                <w:spacing w:val="9"/>
              </w:rPr>
              <w:t>健全、完善的环境管理制度，并纳入日常管</w:t>
            </w:r>
          </w:p>
          <w:p>
            <w:pPr>
              <w:pStyle w:val="TableText"/>
              <w:ind w:left="1908"/>
              <w:spacing w:before="23" w:line="203" w:lineRule="auto"/>
              <w:rPr/>
            </w:pPr>
            <w:r>
              <w:rPr/>
              <w:t>理</w:t>
            </w:r>
          </w:p>
        </w:tc>
        <w:tc>
          <w:tcPr>
            <w:tcW w:w="1630" w:type="dxa"/>
            <w:vAlign w:val="top"/>
          </w:tcPr>
          <w:p>
            <w:pPr>
              <w:pStyle w:val="TableText"/>
              <w:ind w:left="512" w:right="77" w:hanging="420"/>
              <w:spacing w:before="47" w:line="227" w:lineRule="auto"/>
              <w:rPr/>
            </w:pPr>
            <w:r>
              <w:rPr>
                <w:spacing w:val="7"/>
              </w:rPr>
              <w:t>较完善的环境管</w:t>
            </w:r>
            <w:r>
              <w:rPr>
                <w:spacing w:val="4"/>
              </w:rPr>
              <w:t>理制度</w:t>
            </w:r>
          </w:p>
        </w:tc>
        <w:tc>
          <w:tcPr>
            <w:tcW w:w="1575" w:type="dxa"/>
            <w:vAlign w:val="top"/>
            <w:tcBorders>
              <w:right w:val="nil"/>
            </w:tcBorders>
          </w:tcPr>
          <w:p>
            <w:pPr>
              <w:pStyle w:val="TableText"/>
              <w:ind w:left="697" w:right="49" w:hanging="631"/>
              <w:spacing w:before="47" w:line="227" w:lineRule="auto"/>
              <w:rPr/>
            </w:pPr>
            <w:r>
              <w:rPr>
                <w:spacing w:val="7"/>
              </w:rPr>
              <w:t>投产后按一级执</w:t>
            </w:r>
            <w:r>
              <w:rPr/>
              <w:t>行</w:t>
            </w:r>
          </w:p>
        </w:tc>
      </w:tr>
      <w:tr>
        <w:trPr>
          <w:trHeight w:val="549" w:hRule="atLeast"/>
        </w:trPr>
        <w:tc>
          <w:tcPr>
            <w:tcW w:w="459" w:type="dxa"/>
            <w:vAlign w:val="top"/>
            <w:vMerge w:val="continue"/>
            <w:tcBorders>
              <w:left w:val="nil"/>
              <w:top w:val="nil"/>
              <w:bottom w:val="nil"/>
            </w:tcBorders>
          </w:tcPr>
          <w:p>
            <w:pPr>
              <w:rPr>
                <w:rFonts w:ascii="Arial"/>
                <w:sz w:val="21"/>
              </w:rPr>
            </w:pPr>
            <w:r/>
          </w:p>
        </w:tc>
        <w:tc>
          <w:tcPr>
            <w:tcW w:w="1028" w:type="dxa"/>
            <w:vAlign w:val="top"/>
          </w:tcPr>
          <w:p>
            <w:pPr>
              <w:pStyle w:val="TableText"/>
              <w:ind w:left="315" w:right="94" w:hanging="211"/>
              <w:spacing w:before="49" w:line="226" w:lineRule="auto"/>
              <w:rPr/>
            </w:pPr>
            <w:r>
              <w:rPr>
                <w:spacing w:val="5"/>
              </w:rPr>
              <w:t>环境管理</w:t>
            </w:r>
            <w:r>
              <w:rPr>
                <w:spacing w:val="2"/>
              </w:rPr>
              <w:t>计划</w:t>
            </w:r>
          </w:p>
        </w:tc>
        <w:tc>
          <w:tcPr>
            <w:tcW w:w="2074" w:type="dxa"/>
            <w:vAlign w:val="top"/>
          </w:tcPr>
          <w:p>
            <w:pPr>
              <w:pStyle w:val="TableText"/>
              <w:ind w:left="738" w:right="5" w:hanging="722"/>
              <w:spacing w:before="49" w:line="226" w:lineRule="auto"/>
              <w:rPr/>
            </w:pPr>
            <w:r>
              <w:rPr>
                <w:spacing w:val="4"/>
              </w:rPr>
              <w:t>制订近、远期计划并监</w:t>
            </w:r>
            <w:r>
              <w:rPr>
                <w:spacing w:val="3"/>
              </w:rPr>
              <w:t>督实施</w:t>
            </w:r>
          </w:p>
        </w:tc>
        <w:tc>
          <w:tcPr>
            <w:tcW w:w="1927" w:type="dxa"/>
            <w:vAlign w:val="top"/>
          </w:tcPr>
          <w:p>
            <w:pPr>
              <w:pStyle w:val="TableText"/>
              <w:ind w:left="767" w:right="17" w:hanging="737"/>
              <w:spacing w:before="49" w:line="226" w:lineRule="auto"/>
              <w:rPr/>
            </w:pPr>
            <w:r>
              <w:rPr>
                <w:spacing w:val="8"/>
              </w:rPr>
              <w:t>制订近期计划并监督</w:t>
            </w:r>
            <w:r>
              <w:rPr>
                <w:spacing w:val="-1"/>
              </w:rPr>
              <w:t>实施</w:t>
            </w:r>
          </w:p>
        </w:tc>
        <w:tc>
          <w:tcPr>
            <w:tcW w:w="1630" w:type="dxa"/>
            <w:vAlign w:val="top"/>
          </w:tcPr>
          <w:p>
            <w:pPr>
              <w:pStyle w:val="TableText"/>
              <w:ind w:left="411" w:right="77" w:hanging="319"/>
              <w:spacing w:before="49" w:line="226" w:lineRule="auto"/>
              <w:rPr/>
            </w:pPr>
            <w:r>
              <w:rPr>
                <w:spacing w:val="7"/>
              </w:rPr>
              <w:t>制订日常计划并</w:t>
            </w:r>
            <w:r>
              <w:rPr>
                <w:spacing w:val="4"/>
              </w:rPr>
              <w:t>监督实施</w:t>
            </w:r>
          </w:p>
        </w:tc>
        <w:tc>
          <w:tcPr>
            <w:tcW w:w="1575" w:type="dxa"/>
            <w:vAlign w:val="top"/>
            <w:tcBorders>
              <w:right w:val="nil"/>
            </w:tcBorders>
          </w:tcPr>
          <w:p>
            <w:pPr>
              <w:pStyle w:val="TableText"/>
              <w:ind w:left="697" w:right="49" w:hanging="631"/>
              <w:spacing w:before="49" w:line="226" w:lineRule="auto"/>
              <w:rPr/>
            </w:pPr>
            <w:r>
              <w:rPr>
                <w:spacing w:val="7"/>
              </w:rPr>
              <w:t>投产后按一级执</w:t>
            </w:r>
            <w:r>
              <w:rPr/>
              <w:t>行</w:t>
            </w:r>
          </w:p>
        </w:tc>
      </w:tr>
      <w:tr>
        <w:trPr>
          <w:trHeight w:val="548" w:hRule="atLeast"/>
        </w:trPr>
        <w:tc>
          <w:tcPr>
            <w:tcW w:w="459" w:type="dxa"/>
            <w:vAlign w:val="top"/>
            <w:vMerge w:val="continue"/>
            <w:tcBorders>
              <w:left w:val="nil"/>
              <w:top w:val="nil"/>
              <w:bottom w:val="nil"/>
            </w:tcBorders>
          </w:tcPr>
          <w:p>
            <w:pPr>
              <w:rPr>
                <w:rFonts w:ascii="Arial"/>
                <w:sz w:val="21"/>
              </w:rPr>
            </w:pPr>
            <w:r/>
          </w:p>
        </w:tc>
        <w:tc>
          <w:tcPr>
            <w:tcW w:w="1028" w:type="dxa"/>
            <w:vAlign w:val="top"/>
          </w:tcPr>
          <w:p>
            <w:pPr>
              <w:pStyle w:val="TableText"/>
              <w:ind w:left="104"/>
              <w:spacing w:before="49" w:line="229" w:lineRule="auto"/>
              <w:rPr/>
            </w:pPr>
            <w:r>
              <w:rPr>
                <w:spacing w:val="5"/>
              </w:rPr>
              <w:t>环保设施</w:t>
            </w:r>
          </w:p>
          <w:p>
            <w:pPr>
              <w:pStyle w:val="TableText"/>
              <w:ind w:left="106"/>
              <w:spacing w:before="23" w:line="201" w:lineRule="auto"/>
              <w:rPr/>
            </w:pPr>
            <w:r>
              <w:rPr>
                <w:spacing w:val="5"/>
              </w:rPr>
              <w:t>运行管理</w:t>
            </w:r>
          </w:p>
        </w:tc>
        <w:tc>
          <w:tcPr>
            <w:tcW w:w="4001" w:type="dxa"/>
            <w:vAlign w:val="top"/>
            <w:gridSpan w:val="2"/>
          </w:tcPr>
          <w:p>
            <w:pPr>
              <w:pStyle w:val="TableText"/>
              <w:ind w:left="644"/>
              <w:spacing w:before="182" w:line="229" w:lineRule="auto"/>
              <w:rPr/>
            </w:pPr>
            <w:r>
              <w:rPr>
                <w:spacing w:val="9"/>
              </w:rPr>
              <w:t>记录运行数据并建立环保档案</w:t>
            </w:r>
          </w:p>
        </w:tc>
        <w:tc>
          <w:tcPr>
            <w:tcW w:w="1630" w:type="dxa"/>
            <w:vAlign w:val="top"/>
          </w:tcPr>
          <w:p>
            <w:pPr>
              <w:pStyle w:val="TableText"/>
              <w:ind w:left="613" w:right="77" w:hanging="524"/>
              <w:spacing w:before="48" w:line="226" w:lineRule="auto"/>
              <w:rPr/>
            </w:pPr>
            <w:r>
              <w:rPr>
                <w:spacing w:val="8"/>
              </w:rPr>
              <w:t>记录并统计运行</w:t>
            </w:r>
            <w:r>
              <w:rPr>
                <w:spacing w:val="2"/>
              </w:rPr>
              <w:t>数据</w:t>
            </w:r>
          </w:p>
        </w:tc>
        <w:tc>
          <w:tcPr>
            <w:tcW w:w="1575" w:type="dxa"/>
            <w:vAlign w:val="top"/>
            <w:tcBorders>
              <w:right w:val="nil"/>
            </w:tcBorders>
          </w:tcPr>
          <w:p>
            <w:pPr>
              <w:pStyle w:val="TableText"/>
              <w:ind w:left="697" w:right="49" w:hanging="631"/>
              <w:spacing w:before="48" w:line="226" w:lineRule="auto"/>
              <w:rPr/>
            </w:pPr>
            <w:r>
              <w:rPr>
                <w:spacing w:val="7"/>
              </w:rPr>
              <w:t>投产后按一级执</w:t>
            </w:r>
            <w:r>
              <w:rPr/>
              <w:t>行</w:t>
            </w:r>
          </w:p>
        </w:tc>
      </w:tr>
      <w:tr>
        <w:trPr>
          <w:trHeight w:val="549" w:hRule="atLeast"/>
        </w:trPr>
        <w:tc>
          <w:tcPr>
            <w:tcW w:w="459" w:type="dxa"/>
            <w:vAlign w:val="top"/>
            <w:vMerge w:val="continue"/>
            <w:tcBorders>
              <w:left w:val="nil"/>
              <w:top w:val="nil"/>
              <w:bottom w:val="nil"/>
            </w:tcBorders>
          </w:tcPr>
          <w:p>
            <w:pPr>
              <w:rPr>
                <w:rFonts w:ascii="Arial"/>
                <w:sz w:val="21"/>
              </w:rPr>
            </w:pPr>
            <w:r/>
          </w:p>
        </w:tc>
        <w:tc>
          <w:tcPr>
            <w:tcW w:w="1028" w:type="dxa"/>
            <w:vAlign w:val="top"/>
          </w:tcPr>
          <w:p>
            <w:pPr>
              <w:pStyle w:val="TableText"/>
              <w:ind w:left="210" w:right="94" w:hanging="101"/>
              <w:spacing w:before="49" w:line="226" w:lineRule="auto"/>
              <w:rPr/>
            </w:pPr>
            <w:r>
              <w:rPr>
                <w:spacing w:val="4"/>
              </w:rPr>
              <w:t>污染源监</w:t>
            </w:r>
            <w:r>
              <w:rPr>
                <w:spacing w:val="5"/>
              </w:rPr>
              <w:t>测系统</w:t>
            </w:r>
          </w:p>
        </w:tc>
        <w:tc>
          <w:tcPr>
            <w:tcW w:w="5631" w:type="dxa"/>
            <w:vAlign w:val="top"/>
            <w:gridSpan w:val="3"/>
          </w:tcPr>
          <w:p>
            <w:pPr>
              <w:pStyle w:val="TableText"/>
              <w:ind w:left="16"/>
              <w:spacing w:before="50" w:line="229" w:lineRule="auto"/>
              <w:rPr/>
            </w:pPr>
            <w:r>
              <w:rPr>
                <w:spacing w:val="7"/>
              </w:rPr>
              <w:t>对凿岩、爆破、铲装、运输等生产过程产生的粉尘进行定期监</w:t>
            </w:r>
          </w:p>
          <w:p>
            <w:pPr>
              <w:pStyle w:val="TableText"/>
              <w:ind w:left="2722"/>
              <w:spacing w:before="22" w:line="201" w:lineRule="auto"/>
              <w:rPr/>
            </w:pPr>
            <w:r>
              <w:rPr/>
              <w:t>测</w:t>
            </w:r>
          </w:p>
        </w:tc>
        <w:tc>
          <w:tcPr>
            <w:tcW w:w="1575" w:type="dxa"/>
            <w:vAlign w:val="top"/>
            <w:tcBorders>
              <w:right w:val="nil"/>
            </w:tcBorders>
          </w:tcPr>
          <w:p>
            <w:pPr>
              <w:pStyle w:val="TableText"/>
              <w:ind w:left="66"/>
              <w:spacing w:before="184" w:line="229" w:lineRule="auto"/>
              <w:rPr/>
            </w:pPr>
            <w:r>
              <w:rPr>
                <w:spacing w:val="7"/>
              </w:rPr>
              <w:t>投产后按此执行</w:t>
            </w:r>
          </w:p>
        </w:tc>
      </w:tr>
      <w:tr>
        <w:trPr>
          <w:trHeight w:val="549" w:hRule="atLeast"/>
        </w:trPr>
        <w:tc>
          <w:tcPr>
            <w:tcW w:w="459" w:type="dxa"/>
            <w:vAlign w:val="top"/>
            <w:vMerge w:val="continue"/>
            <w:tcBorders>
              <w:left w:val="nil"/>
              <w:top w:val="nil"/>
            </w:tcBorders>
          </w:tcPr>
          <w:p>
            <w:pPr>
              <w:rPr>
                <w:rFonts w:ascii="Arial"/>
                <w:sz w:val="21"/>
              </w:rPr>
            </w:pPr>
            <w:r/>
          </w:p>
        </w:tc>
        <w:tc>
          <w:tcPr>
            <w:tcW w:w="1028" w:type="dxa"/>
            <w:vAlign w:val="top"/>
          </w:tcPr>
          <w:p>
            <w:pPr>
              <w:pStyle w:val="TableText"/>
              <w:ind w:left="104"/>
              <w:spacing w:before="187" w:line="230" w:lineRule="auto"/>
              <w:rPr/>
            </w:pPr>
            <w:r>
              <w:rPr>
                <w:spacing w:val="5"/>
              </w:rPr>
              <w:t>信息交流</w:t>
            </w:r>
          </w:p>
        </w:tc>
        <w:tc>
          <w:tcPr>
            <w:tcW w:w="4001" w:type="dxa"/>
            <w:vAlign w:val="top"/>
            <w:gridSpan w:val="2"/>
          </w:tcPr>
          <w:p>
            <w:pPr>
              <w:pStyle w:val="TableText"/>
              <w:ind w:left="754"/>
              <w:spacing w:before="187" w:line="230" w:lineRule="auto"/>
              <w:rPr/>
            </w:pPr>
            <w:r>
              <w:rPr>
                <w:spacing w:val="8"/>
              </w:rPr>
              <w:t>具备计算机网络化管理系统</w:t>
            </w:r>
          </w:p>
        </w:tc>
        <w:tc>
          <w:tcPr>
            <w:tcW w:w="1630" w:type="dxa"/>
            <w:vAlign w:val="top"/>
          </w:tcPr>
          <w:p>
            <w:pPr>
              <w:pStyle w:val="TableText"/>
              <w:ind w:left="410"/>
              <w:spacing w:before="186" w:line="232" w:lineRule="auto"/>
              <w:rPr/>
            </w:pPr>
            <w:r>
              <w:rPr>
                <w:spacing w:val="4"/>
              </w:rPr>
              <w:t>定期交流</w:t>
            </w:r>
          </w:p>
        </w:tc>
        <w:tc>
          <w:tcPr>
            <w:tcW w:w="1575" w:type="dxa"/>
            <w:vAlign w:val="top"/>
            <w:tcBorders>
              <w:right w:val="nil"/>
            </w:tcBorders>
          </w:tcPr>
          <w:p>
            <w:pPr>
              <w:pStyle w:val="TableText"/>
              <w:ind w:left="697" w:right="49" w:hanging="631"/>
              <w:spacing w:before="51" w:line="225" w:lineRule="auto"/>
              <w:rPr/>
            </w:pPr>
            <w:r>
              <w:rPr>
                <w:spacing w:val="7"/>
              </w:rPr>
              <w:t>投产后按一级执</w:t>
            </w:r>
            <w:r>
              <w:rPr/>
              <w:t>行</w:t>
            </w:r>
          </w:p>
        </w:tc>
      </w:tr>
      <w:tr>
        <w:trPr>
          <w:trHeight w:val="1363" w:hRule="atLeast"/>
        </w:trPr>
        <w:tc>
          <w:tcPr>
            <w:tcW w:w="1487" w:type="dxa"/>
            <w:vAlign w:val="top"/>
            <w:gridSpan w:val="2"/>
            <w:tcBorders>
              <w:left w:val="nil"/>
            </w:tcBorders>
          </w:tcPr>
          <w:p>
            <w:pPr>
              <w:spacing w:line="263" w:lineRule="auto"/>
              <w:rPr>
                <w:rFonts w:ascii="Arial"/>
                <w:sz w:val="21"/>
              </w:rPr>
            </w:pPr>
            <w:r/>
          </w:p>
          <w:p>
            <w:pPr>
              <w:spacing w:line="264" w:lineRule="auto"/>
              <w:rPr>
                <w:rFonts w:ascii="Arial"/>
                <w:sz w:val="21"/>
              </w:rPr>
            </w:pPr>
            <w:r/>
          </w:p>
          <w:p>
            <w:pPr>
              <w:pStyle w:val="TableText"/>
              <w:ind w:left="336"/>
              <w:spacing w:before="65" w:line="232" w:lineRule="auto"/>
              <w:rPr/>
            </w:pPr>
            <w:r>
              <w:rPr>
                <w:spacing w:val="5"/>
              </w:rPr>
              <w:t>土地复垦</w:t>
            </w:r>
          </w:p>
        </w:tc>
        <w:tc>
          <w:tcPr>
            <w:tcW w:w="2074" w:type="dxa"/>
            <w:vAlign w:val="top"/>
          </w:tcPr>
          <w:p>
            <w:pPr>
              <w:pStyle w:val="TableText"/>
              <w:ind w:left="61"/>
              <w:spacing w:before="50" w:line="231" w:lineRule="auto"/>
              <w:rPr/>
            </w:pPr>
            <w:r>
              <w:rPr>
                <w:rFonts w:ascii="Times New Roman" w:hAnsi="Times New Roman" w:eastAsia="Times New Roman" w:cs="Times New Roman"/>
                <w:spacing w:val="6"/>
              </w:rPr>
              <w:t>1</w:t>
            </w:r>
            <w:r>
              <w:rPr>
                <w:spacing w:val="6"/>
              </w:rPr>
              <w:t>）具有完整的复垦计</w:t>
            </w:r>
          </w:p>
          <w:p>
            <w:pPr>
              <w:pStyle w:val="TableText"/>
              <w:ind w:left="17"/>
              <w:spacing w:before="23" w:line="231" w:lineRule="auto"/>
              <w:rPr/>
            </w:pPr>
            <w:r>
              <w:rPr>
                <w:spacing w:val="4"/>
              </w:rPr>
              <w:t>划，复垦管理纳入日常</w:t>
            </w:r>
          </w:p>
          <w:p>
            <w:pPr>
              <w:pStyle w:val="TableText"/>
              <w:ind w:left="536"/>
              <w:spacing w:before="20" w:line="231" w:lineRule="auto"/>
              <w:rPr/>
            </w:pPr>
            <w:r>
              <w:rPr>
                <w:spacing w:val="2"/>
              </w:rPr>
              <w:t>生产管理；</w:t>
            </w:r>
          </w:p>
          <w:p>
            <w:pPr>
              <w:pStyle w:val="TableText"/>
              <w:ind w:left="642" w:right="142" w:hanging="497"/>
              <w:spacing w:before="24" w:line="223" w:lineRule="auto"/>
              <w:rPr/>
            </w:pPr>
            <w:r>
              <w:rPr>
                <w:rFonts w:ascii="Times New Roman" w:hAnsi="Times New Roman" w:eastAsia="Times New Roman" w:cs="Times New Roman"/>
                <w:spacing w:val="9"/>
              </w:rPr>
              <w:t>2</w:t>
            </w:r>
            <w:r>
              <w:rPr>
                <w:spacing w:val="9"/>
              </w:rPr>
              <w:t>）土地复垦率达到</w:t>
            </w:r>
            <w:r>
              <w:rPr>
                <w:rFonts w:ascii="Times New Roman" w:hAnsi="Times New Roman" w:eastAsia="Times New Roman" w:cs="Times New Roman"/>
                <w:spacing w:val="4"/>
              </w:rPr>
              <w:t>80%</w:t>
            </w:r>
            <w:r>
              <w:rPr>
                <w:spacing w:val="4"/>
              </w:rPr>
              <w:t>以上</w:t>
            </w:r>
          </w:p>
        </w:tc>
        <w:tc>
          <w:tcPr>
            <w:tcW w:w="1927" w:type="dxa"/>
            <w:vAlign w:val="top"/>
          </w:tcPr>
          <w:p>
            <w:pPr>
              <w:pStyle w:val="TableText"/>
              <w:ind w:left="27"/>
              <w:spacing w:before="50" w:line="231" w:lineRule="auto"/>
              <w:rPr/>
            </w:pPr>
            <w:r>
              <w:rPr>
                <w:rFonts w:ascii="Times New Roman" w:hAnsi="Times New Roman" w:eastAsia="Times New Roman" w:cs="Times New Roman"/>
                <w:spacing w:val="-2"/>
              </w:rPr>
              <w:t>1</w:t>
            </w:r>
            <w:r>
              <w:rPr>
                <w:spacing w:val="-2"/>
              </w:rPr>
              <w:t>）具有完整的复垦计</w:t>
            </w:r>
          </w:p>
          <w:p>
            <w:pPr>
              <w:pStyle w:val="TableText"/>
              <w:ind w:left="31"/>
              <w:spacing w:before="23" w:line="232" w:lineRule="auto"/>
              <w:rPr/>
            </w:pPr>
            <w:r>
              <w:rPr>
                <w:spacing w:val="8"/>
              </w:rPr>
              <w:t>划，复垦管理纳入日</w:t>
            </w:r>
          </w:p>
          <w:p>
            <w:pPr>
              <w:pStyle w:val="TableText"/>
              <w:ind w:left="355"/>
              <w:spacing w:before="19" w:line="231" w:lineRule="auto"/>
              <w:rPr/>
            </w:pPr>
            <w:r>
              <w:rPr>
                <w:spacing w:val="3"/>
              </w:rPr>
              <w:t>常生产管理；</w:t>
            </w:r>
          </w:p>
          <w:p>
            <w:pPr>
              <w:pStyle w:val="TableText"/>
              <w:ind w:left="567" w:right="70" w:hanging="495"/>
              <w:spacing w:before="24" w:line="223" w:lineRule="auto"/>
              <w:rPr/>
            </w:pPr>
            <w:r>
              <w:rPr>
                <w:rFonts w:ascii="Times New Roman" w:hAnsi="Times New Roman" w:eastAsia="Times New Roman" w:cs="Times New Roman"/>
                <w:spacing w:val="8"/>
              </w:rPr>
              <w:t>2</w:t>
            </w:r>
            <w:r>
              <w:rPr>
                <w:spacing w:val="8"/>
              </w:rPr>
              <w:t>）土地复垦率达到</w:t>
            </w:r>
            <w:r>
              <w:rPr>
                <w:rFonts w:ascii="Times New Roman" w:hAnsi="Times New Roman" w:eastAsia="Times New Roman" w:cs="Times New Roman"/>
                <w:spacing w:val="5"/>
              </w:rPr>
              <w:t>50%</w:t>
            </w:r>
            <w:r>
              <w:rPr>
                <w:spacing w:val="5"/>
              </w:rPr>
              <w:t>以上</w:t>
            </w:r>
          </w:p>
        </w:tc>
        <w:tc>
          <w:tcPr>
            <w:tcW w:w="1630" w:type="dxa"/>
            <w:vAlign w:val="top"/>
          </w:tcPr>
          <w:p>
            <w:pPr>
              <w:pStyle w:val="TableText"/>
              <w:ind w:left="410" w:right="27" w:hanging="361"/>
              <w:spacing w:before="184" w:line="242" w:lineRule="auto"/>
              <w:rPr/>
            </w:pPr>
            <w:r>
              <w:rPr>
                <w:rFonts w:ascii="Times New Roman" w:hAnsi="Times New Roman" w:eastAsia="Times New Roman" w:cs="Times New Roman"/>
                <w:spacing w:val="5"/>
              </w:rPr>
              <w:t>1</w:t>
            </w:r>
            <w:r>
              <w:rPr>
                <w:spacing w:val="5"/>
              </w:rPr>
              <w:t>）具有完整的复</w:t>
            </w:r>
            <w:r>
              <w:rPr>
                <w:spacing w:val="2"/>
              </w:rPr>
              <w:t>垦计划；</w:t>
            </w:r>
          </w:p>
          <w:p>
            <w:pPr>
              <w:pStyle w:val="TableText"/>
              <w:ind w:left="299" w:right="27" w:hanging="270"/>
              <w:spacing w:before="21" w:line="243" w:lineRule="auto"/>
              <w:rPr/>
            </w:pPr>
            <w:r>
              <w:rPr>
                <w:rFonts w:ascii="Times New Roman" w:hAnsi="Times New Roman" w:eastAsia="Times New Roman" w:cs="Times New Roman"/>
                <w:spacing w:val="8"/>
              </w:rPr>
              <w:t>2</w:t>
            </w:r>
            <w:r>
              <w:rPr>
                <w:spacing w:val="8"/>
              </w:rPr>
              <w:t>）土地复垦率达</w:t>
            </w:r>
            <w:r>
              <w:rPr>
                <w:spacing w:val="3"/>
              </w:rPr>
              <w:t>到</w:t>
            </w:r>
            <w:r>
              <w:rPr>
                <w:spacing w:val="-43"/>
              </w:rPr>
              <w:t xml:space="preserve"> </w:t>
            </w:r>
            <w:r>
              <w:rPr>
                <w:rFonts w:ascii="Times New Roman" w:hAnsi="Times New Roman" w:eastAsia="Times New Roman" w:cs="Times New Roman"/>
                <w:spacing w:val="3"/>
              </w:rPr>
              <w:t>20%</w:t>
            </w:r>
            <w:r>
              <w:rPr>
                <w:spacing w:val="3"/>
              </w:rPr>
              <w:t>以上</w:t>
            </w:r>
          </w:p>
        </w:tc>
        <w:tc>
          <w:tcPr>
            <w:tcW w:w="1575" w:type="dxa"/>
            <w:vAlign w:val="top"/>
            <w:tcBorders>
              <w:right w:val="nil"/>
            </w:tcBorders>
          </w:tcPr>
          <w:p>
            <w:pPr>
              <w:pStyle w:val="TableText"/>
              <w:ind w:left="70"/>
              <w:spacing w:before="51" w:line="229" w:lineRule="auto"/>
              <w:rPr/>
            </w:pPr>
            <w:r>
              <w:rPr>
                <w:spacing w:val="7"/>
              </w:rPr>
              <w:t>一级；要求进行</w:t>
            </w:r>
          </w:p>
          <w:p>
            <w:pPr>
              <w:pStyle w:val="TableText"/>
              <w:ind w:left="69"/>
              <w:spacing w:before="25" w:line="230" w:lineRule="auto"/>
              <w:rPr/>
            </w:pPr>
            <w:r>
              <w:rPr>
                <w:spacing w:val="7"/>
              </w:rPr>
              <w:t>编制的矿山地质</w:t>
            </w:r>
          </w:p>
          <w:p>
            <w:pPr>
              <w:pStyle w:val="TableText"/>
              <w:ind w:left="67"/>
              <w:spacing w:before="22" w:line="229" w:lineRule="auto"/>
              <w:rPr/>
            </w:pPr>
            <w:r>
              <w:rPr>
                <w:spacing w:val="7"/>
              </w:rPr>
              <w:t>环境保护与土地</w:t>
            </w:r>
          </w:p>
          <w:p>
            <w:pPr>
              <w:pStyle w:val="TableText"/>
              <w:ind w:left="77"/>
              <w:spacing w:before="24" w:line="232" w:lineRule="auto"/>
              <w:rPr/>
            </w:pPr>
            <w:r>
              <w:rPr>
                <w:spacing w:val="6"/>
              </w:rPr>
              <w:t>复垦方案，复垦</w:t>
            </w:r>
          </w:p>
          <w:p>
            <w:pPr>
              <w:pStyle w:val="TableText"/>
              <w:ind w:left="328"/>
              <w:spacing w:before="20" w:line="196" w:lineRule="auto"/>
              <w:rPr>
                <w:rFonts w:ascii="Times New Roman" w:hAnsi="Times New Roman" w:eastAsia="Times New Roman" w:cs="Times New Roman"/>
              </w:rPr>
            </w:pPr>
            <w:r>
              <w:rPr>
                <w:spacing w:val="-1"/>
              </w:rPr>
              <w:t>率为</w:t>
            </w:r>
            <w:r>
              <w:rPr>
                <w:spacing w:val="-21"/>
              </w:rPr>
              <w:t xml:space="preserve"> </w:t>
            </w:r>
            <w:r>
              <w:rPr>
                <w:rFonts w:ascii="Times New Roman" w:hAnsi="Times New Roman" w:eastAsia="Times New Roman" w:cs="Times New Roman"/>
                <w:spacing w:val="-1"/>
              </w:rPr>
              <w:t>100%</w:t>
            </w:r>
          </w:p>
        </w:tc>
      </w:tr>
      <w:tr>
        <w:trPr>
          <w:trHeight w:val="549" w:hRule="atLeast"/>
        </w:trPr>
        <w:tc>
          <w:tcPr>
            <w:tcW w:w="1487" w:type="dxa"/>
            <w:vAlign w:val="top"/>
            <w:gridSpan w:val="2"/>
            <w:tcBorders>
              <w:left w:val="nil"/>
            </w:tcBorders>
          </w:tcPr>
          <w:p>
            <w:pPr>
              <w:pStyle w:val="TableText"/>
              <w:ind w:left="21"/>
              <w:spacing w:before="190" w:line="229" w:lineRule="auto"/>
              <w:rPr/>
            </w:pPr>
            <w:r>
              <w:rPr>
                <w:spacing w:val="7"/>
              </w:rPr>
              <w:t>废物处理与处置</w:t>
            </w:r>
          </w:p>
        </w:tc>
        <w:tc>
          <w:tcPr>
            <w:tcW w:w="5631" w:type="dxa"/>
            <w:vAlign w:val="top"/>
            <w:gridSpan w:val="3"/>
          </w:tcPr>
          <w:p>
            <w:pPr>
              <w:pStyle w:val="TableText"/>
              <w:ind w:left="15"/>
              <w:spacing w:before="55" w:line="228" w:lineRule="auto"/>
              <w:rPr/>
            </w:pPr>
            <w:r>
              <w:rPr>
                <w:spacing w:val="7"/>
              </w:rPr>
              <w:t>应建有废石贮存、处置场，并有防止扬尘、淋滤水污染、水土</w:t>
            </w:r>
          </w:p>
          <w:p>
            <w:pPr>
              <w:pStyle w:val="TableText"/>
              <w:ind w:left="2302"/>
              <w:spacing w:before="24" w:line="196" w:lineRule="auto"/>
              <w:rPr/>
            </w:pPr>
            <w:r>
              <w:rPr>
                <w:spacing w:val="7"/>
              </w:rPr>
              <w:t>流失的措施</w:t>
            </w:r>
          </w:p>
        </w:tc>
        <w:tc>
          <w:tcPr>
            <w:tcW w:w="1575" w:type="dxa"/>
            <w:vAlign w:val="top"/>
            <w:tcBorders>
              <w:right w:val="nil"/>
            </w:tcBorders>
          </w:tcPr>
          <w:p>
            <w:pPr>
              <w:pStyle w:val="TableText"/>
              <w:ind w:left="386"/>
              <w:spacing w:before="190" w:line="229" w:lineRule="auto"/>
              <w:rPr/>
            </w:pPr>
            <w:r>
              <w:rPr>
                <w:spacing w:val="4"/>
              </w:rPr>
              <w:t>符合要求</w:t>
            </w:r>
          </w:p>
        </w:tc>
      </w:tr>
      <w:tr>
        <w:trPr>
          <w:trHeight w:val="573" w:hRule="atLeast"/>
        </w:trPr>
        <w:tc>
          <w:tcPr>
            <w:tcW w:w="1487" w:type="dxa"/>
            <w:vAlign w:val="top"/>
            <w:gridSpan w:val="2"/>
            <w:tcBorders>
              <w:left w:val="nil"/>
              <w:bottom w:val="single" w:color="00000A" w:sz="10" w:space="0"/>
            </w:tcBorders>
          </w:tcPr>
          <w:p>
            <w:pPr>
              <w:pStyle w:val="TableText"/>
              <w:ind w:left="20"/>
              <w:spacing w:before="190" w:line="230" w:lineRule="auto"/>
              <w:rPr/>
            </w:pPr>
            <w:r>
              <w:rPr>
                <w:spacing w:val="7"/>
              </w:rPr>
              <w:t>相关方环境管理</w:t>
            </w:r>
          </w:p>
        </w:tc>
        <w:tc>
          <w:tcPr>
            <w:tcW w:w="5631" w:type="dxa"/>
            <w:vAlign w:val="top"/>
            <w:gridSpan w:val="3"/>
            <w:tcBorders>
              <w:bottom w:val="single" w:color="00000A" w:sz="10" w:space="0"/>
            </w:tcBorders>
          </w:tcPr>
          <w:p>
            <w:pPr>
              <w:pStyle w:val="TableText"/>
              <w:ind w:left="14"/>
              <w:spacing w:before="55" w:line="229" w:lineRule="auto"/>
              <w:rPr/>
            </w:pPr>
            <w:r>
              <w:rPr>
                <w:spacing w:val="7"/>
              </w:rPr>
              <w:t>服务协议中应明确原辅材料的供应方、协作方、服务方的环境</w:t>
            </w:r>
          </w:p>
          <w:p>
            <w:pPr>
              <w:pStyle w:val="TableText"/>
              <w:ind w:left="2621"/>
              <w:spacing w:before="23" w:line="218" w:lineRule="auto"/>
              <w:rPr/>
            </w:pPr>
            <w:r>
              <w:rPr>
                <w:spacing w:val="-1"/>
              </w:rPr>
              <w:t>要求</w:t>
            </w:r>
          </w:p>
        </w:tc>
        <w:tc>
          <w:tcPr>
            <w:tcW w:w="1575" w:type="dxa"/>
            <w:vAlign w:val="top"/>
            <w:tcBorders>
              <w:right w:val="nil"/>
              <w:bottom w:val="single" w:color="00000A" w:sz="10" w:space="0"/>
            </w:tcBorders>
          </w:tcPr>
          <w:p>
            <w:pPr>
              <w:pStyle w:val="TableText"/>
              <w:ind w:left="386"/>
              <w:spacing w:before="190" w:line="229" w:lineRule="auto"/>
              <w:rPr/>
            </w:pPr>
            <w:r>
              <w:rPr>
                <w:spacing w:val="4"/>
              </w:rPr>
              <w:t>符合要求</w:t>
            </w:r>
          </w:p>
        </w:tc>
      </w:tr>
    </w:tbl>
    <w:p>
      <w:pPr>
        <w:pStyle w:val="BodyText"/>
        <w:spacing w:line="369" w:lineRule="auto"/>
        <w:rPr/>
      </w:pPr>
      <w:r/>
    </w:p>
    <w:p>
      <w:pPr>
        <w:ind w:left="16"/>
        <w:spacing w:before="78" w:line="222" w:lineRule="auto"/>
        <w:outlineLvl w:val="2"/>
        <w:rPr>
          <w:rFonts w:ascii="FangSong" w:hAnsi="FangSong" w:eastAsia="FangSong" w:cs="FangSong"/>
          <w:sz w:val="24"/>
          <w:szCs w:val="24"/>
        </w:rPr>
      </w:pPr>
      <w:bookmarkStart w:name="bookmark194" w:id="268"/>
      <w:bookmarkEnd w:id="268"/>
      <w:bookmarkStart w:name="bookmark193" w:id="269"/>
      <w:bookmarkEnd w:id="269"/>
      <w:r>
        <w:rPr>
          <w:rFonts w:ascii="Times New Roman" w:hAnsi="Times New Roman" w:eastAsia="Times New Roman" w:cs="Times New Roman"/>
          <w:sz w:val="24"/>
          <w:szCs w:val="24"/>
          <w:b/>
          <w:bCs/>
          <w:spacing w:val="-2"/>
        </w:rPr>
        <w:t>4.14.2  </w:t>
      </w:r>
      <w:r>
        <w:rPr>
          <w:rFonts w:ascii="FangSong" w:hAnsi="FangSong" w:eastAsia="FangSong" w:cs="FangSong"/>
          <w:sz w:val="24"/>
          <w:szCs w:val="24"/>
          <w:b/>
          <w:bCs/>
          <w:spacing w:val="-2"/>
        </w:rPr>
        <w:t>选矿清洁生产分析</w:t>
      </w:r>
    </w:p>
    <w:p>
      <w:pPr>
        <w:ind w:left="507"/>
        <w:spacing w:before="177" w:line="222" w:lineRule="auto"/>
        <w:rPr>
          <w:rFonts w:ascii="FangSong" w:hAnsi="FangSong" w:eastAsia="FangSong" w:cs="FangSong"/>
          <w:sz w:val="24"/>
          <w:szCs w:val="24"/>
        </w:rPr>
      </w:pPr>
      <w:r>
        <w:rPr>
          <w:rFonts w:ascii="FangSong" w:hAnsi="FangSong" w:eastAsia="FangSong" w:cs="FangSong"/>
          <w:sz w:val="24"/>
          <w:szCs w:val="24"/>
          <w:spacing w:val="-1"/>
        </w:rPr>
        <w:t>本项目选矿工艺装备清洁生产水平指标对比情况见表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4.14-2</w:t>
      </w:r>
      <w:r>
        <w:rPr>
          <w:rFonts w:ascii="FangSong" w:hAnsi="FangSong" w:eastAsia="FangSong" w:cs="FangSong"/>
          <w:sz w:val="24"/>
          <w:szCs w:val="24"/>
          <w:spacing w:val="-1"/>
        </w:rPr>
        <w:t>。</w:t>
      </w:r>
    </w:p>
    <w:p>
      <w:pPr>
        <w:spacing w:line="222" w:lineRule="auto"/>
        <w:sectPr>
          <w:footerReference w:type="default" r:id="rId202"/>
          <w:pgSz w:w="11911" w:h="16839"/>
          <w:pgMar w:top="400" w:right="1420" w:bottom="1146" w:left="1786" w:header="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ict>
          <v:shape id="_x0000_s46" style="position:absolute;margin-left:0.667496pt;margin-top:12.1719pt;mso-position-vertical-relative:text;mso-position-horizontal-relative:text;width:415.25pt;height:0.55pt;z-index:251662336;" fillcolor="#00000A" filled="true" stroked="false" coordsize="8305,11" coordorigin="0,0" path="m,l8304,0l8304,10l0,10l0,0xe"/>
        </w:pict>
      </w:r>
      <w:r/>
    </w:p>
    <w:p>
      <w:pPr>
        <w:pStyle w:val="BodyText"/>
        <w:spacing w:line="243" w:lineRule="auto"/>
        <w:rPr/>
      </w:pPr>
      <w:r/>
    </w:p>
    <w:p>
      <w:pPr>
        <w:ind w:left="2531"/>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4.14-2  </w:t>
      </w:r>
      <w:r>
        <w:rPr>
          <w:rFonts w:ascii="FangSong" w:hAnsi="FangSong" w:eastAsia="FangSong" w:cs="FangSong"/>
          <w:sz w:val="24"/>
          <w:szCs w:val="24"/>
          <w:b/>
          <w:bCs/>
          <w:spacing w:val="-3"/>
        </w:rPr>
        <w:t>清洁生产标准（选矿类）</w:t>
      </w:r>
    </w:p>
    <w:p>
      <w:pPr>
        <w:ind w:firstLine="10"/>
        <w:spacing w:before="141" w:line="29" w:lineRule="exact"/>
        <w:rPr/>
      </w:pPr>
      <w:r>
        <w:rPr/>
        <w:pict>
          <v:shape id="_x0000_s48" style="mso-position-vertical-relative:line;mso-position-horizontal-relative:char;width:434.9pt;height:1.45pt;" filled="false" strokecolor="#00000A" strokeweight="1.44pt" coordsize="8697,29" coordorigin="0,0" path="m0,14l8697,14e">
            <v:stroke joinstyle="bevel" miterlimit="2"/>
          </v:shape>
        </w:pict>
      </w:r>
    </w:p>
    <w:p>
      <w:pPr>
        <w:ind w:left="3431"/>
        <w:spacing w:before="32" w:line="222" w:lineRule="auto"/>
        <w:rPr>
          <w:rFonts w:ascii="FangSong" w:hAnsi="FangSong" w:eastAsia="FangSong" w:cs="FangSong"/>
          <w:sz w:val="20"/>
          <w:szCs w:val="20"/>
        </w:rPr>
      </w:pPr>
      <w:r>
        <w:rPr>
          <w:rFonts w:ascii="FangSong" w:hAnsi="FangSong" w:eastAsia="FangSong" w:cs="FangSong"/>
          <w:sz w:val="20"/>
          <w:szCs w:val="20"/>
          <w:spacing w:val="7"/>
        </w:rPr>
        <w:t>一、工艺与装备要求</w:t>
      </w:r>
    </w:p>
    <w:tbl>
      <w:tblPr>
        <w:tblStyle w:val="TableNormal"/>
        <w:tblW w:w="8697"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545"/>
        <w:gridCol w:w="1903"/>
        <w:gridCol w:w="2052"/>
        <w:gridCol w:w="1756"/>
        <w:gridCol w:w="1441"/>
      </w:tblGrid>
      <w:tr>
        <w:trPr>
          <w:trHeight w:val="554" w:hRule="atLeast"/>
        </w:trPr>
        <w:tc>
          <w:tcPr>
            <w:tcW w:w="1545" w:type="dxa"/>
            <w:vAlign w:val="top"/>
            <w:tcBorders>
              <w:left w:val="nil"/>
            </w:tcBorders>
          </w:tcPr>
          <w:p>
            <w:pPr>
              <w:pStyle w:val="TableText"/>
              <w:ind w:left="573"/>
              <w:spacing w:before="171" w:line="231" w:lineRule="auto"/>
              <w:rPr/>
            </w:pPr>
            <w:r>
              <w:rPr>
                <w:spacing w:val="2"/>
              </w:rPr>
              <w:t>指标</w:t>
            </w:r>
          </w:p>
        </w:tc>
        <w:tc>
          <w:tcPr>
            <w:tcW w:w="1903" w:type="dxa"/>
            <w:vAlign w:val="top"/>
          </w:tcPr>
          <w:p>
            <w:pPr>
              <w:pStyle w:val="TableText"/>
              <w:ind w:left="755"/>
              <w:spacing w:before="172" w:line="232" w:lineRule="auto"/>
              <w:rPr/>
            </w:pPr>
            <w:r>
              <w:rPr/>
              <w:t>一级</w:t>
            </w:r>
          </w:p>
        </w:tc>
        <w:tc>
          <w:tcPr>
            <w:tcW w:w="2052" w:type="dxa"/>
            <w:vAlign w:val="top"/>
          </w:tcPr>
          <w:p>
            <w:pPr>
              <w:pStyle w:val="TableText"/>
              <w:ind w:left="832"/>
              <w:spacing w:before="172" w:line="232" w:lineRule="auto"/>
              <w:rPr/>
            </w:pPr>
            <w:r>
              <w:rPr>
                <w:spacing w:val="2"/>
              </w:rPr>
              <w:t>二级</w:t>
            </w:r>
          </w:p>
        </w:tc>
        <w:tc>
          <w:tcPr>
            <w:tcW w:w="1756" w:type="dxa"/>
            <w:vAlign w:val="top"/>
          </w:tcPr>
          <w:p>
            <w:pPr>
              <w:pStyle w:val="TableText"/>
              <w:ind w:left="685"/>
              <w:spacing w:before="172" w:line="232" w:lineRule="auto"/>
              <w:rPr/>
            </w:pPr>
            <w:r>
              <w:rPr>
                <w:spacing w:val="-1"/>
              </w:rPr>
              <w:t>三级</w:t>
            </w:r>
          </w:p>
        </w:tc>
        <w:tc>
          <w:tcPr>
            <w:tcW w:w="1441" w:type="dxa"/>
            <w:vAlign w:val="top"/>
            <w:tcBorders>
              <w:right w:val="nil"/>
            </w:tcBorders>
          </w:tcPr>
          <w:p>
            <w:pPr>
              <w:pStyle w:val="TableText"/>
              <w:ind w:left="531" w:right="89" w:hanging="426"/>
              <w:spacing w:before="34" w:line="235" w:lineRule="auto"/>
              <w:rPr/>
            </w:pPr>
            <w:r>
              <w:rPr>
                <w:spacing w:val="7"/>
              </w:rPr>
              <w:t>项目清洁生产</w:t>
            </w:r>
            <w:r>
              <w:rPr>
                <w:spacing w:val="-2"/>
              </w:rPr>
              <w:t>等级</w:t>
            </w:r>
          </w:p>
        </w:tc>
      </w:tr>
      <w:tr>
        <w:trPr>
          <w:trHeight w:val="1366" w:hRule="atLeast"/>
        </w:trPr>
        <w:tc>
          <w:tcPr>
            <w:tcW w:w="1545" w:type="dxa"/>
            <w:vAlign w:val="top"/>
            <w:tcBorders>
              <w:left w:val="nil"/>
            </w:tcBorders>
          </w:tcPr>
          <w:p>
            <w:pPr>
              <w:spacing w:line="253" w:lineRule="auto"/>
              <w:rPr>
                <w:rFonts w:ascii="Arial"/>
                <w:sz w:val="21"/>
              </w:rPr>
            </w:pPr>
            <w:r/>
          </w:p>
          <w:p>
            <w:pPr>
              <w:spacing w:line="254" w:lineRule="auto"/>
              <w:rPr>
                <w:rFonts w:ascii="Arial"/>
                <w:sz w:val="21"/>
              </w:rPr>
            </w:pPr>
            <w:r/>
          </w:p>
          <w:p>
            <w:pPr>
              <w:pStyle w:val="TableText"/>
              <w:ind w:left="364"/>
              <w:spacing w:before="65" w:line="229" w:lineRule="auto"/>
              <w:rPr/>
            </w:pPr>
            <w:r>
              <w:rPr>
                <w:spacing w:val="6"/>
              </w:rPr>
              <w:t>破碎筛分</w:t>
            </w:r>
          </w:p>
        </w:tc>
        <w:tc>
          <w:tcPr>
            <w:tcW w:w="1903" w:type="dxa"/>
            <w:vAlign w:val="top"/>
          </w:tcPr>
          <w:p>
            <w:pPr>
              <w:pStyle w:val="TableText"/>
              <w:ind w:left="18"/>
              <w:spacing w:before="167" w:line="231" w:lineRule="auto"/>
              <w:rPr/>
            </w:pPr>
            <w:r>
              <w:rPr>
                <w:spacing w:val="8"/>
              </w:rPr>
              <w:t>采用国际先进的处理</w:t>
            </w:r>
          </w:p>
          <w:p>
            <w:pPr>
              <w:pStyle w:val="TableText"/>
              <w:ind w:left="20"/>
              <w:spacing w:before="21" w:line="229" w:lineRule="auto"/>
              <w:rPr/>
            </w:pPr>
            <w:r>
              <w:rPr>
                <w:spacing w:val="7"/>
              </w:rPr>
              <w:t>量大、高效超细破碎</w:t>
            </w:r>
          </w:p>
          <w:p>
            <w:pPr>
              <w:pStyle w:val="TableText"/>
              <w:ind w:left="17"/>
              <w:spacing w:before="23" w:line="229" w:lineRule="auto"/>
              <w:rPr/>
            </w:pPr>
            <w:r>
              <w:rPr>
                <w:spacing w:val="8"/>
              </w:rPr>
              <w:t>机等破碎设备，配有</w:t>
            </w:r>
          </w:p>
          <w:p>
            <w:pPr>
              <w:pStyle w:val="TableText"/>
              <w:ind w:left="341"/>
              <w:spacing w:before="24" w:line="231" w:lineRule="auto"/>
              <w:rPr/>
            </w:pPr>
            <w:r>
              <w:rPr>
                <w:spacing w:val="5"/>
              </w:rPr>
              <w:t>除尘净化设施</w:t>
            </w:r>
          </w:p>
        </w:tc>
        <w:tc>
          <w:tcPr>
            <w:tcW w:w="2052" w:type="dxa"/>
            <w:vAlign w:val="top"/>
          </w:tcPr>
          <w:p>
            <w:pPr>
              <w:pStyle w:val="TableText"/>
              <w:ind w:left="93"/>
              <w:spacing w:before="167" w:line="231" w:lineRule="auto"/>
              <w:rPr/>
            </w:pPr>
            <w:r>
              <w:rPr>
                <w:spacing w:val="8"/>
              </w:rPr>
              <w:t>采用国内先进的处理</w:t>
            </w:r>
          </w:p>
          <w:p>
            <w:pPr>
              <w:pStyle w:val="TableText"/>
              <w:ind w:left="18"/>
              <w:spacing w:before="21" w:line="230" w:lineRule="auto"/>
              <w:rPr/>
            </w:pPr>
            <w:r>
              <w:rPr>
                <w:spacing w:val="2"/>
              </w:rPr>
              <w:t>量较大、效率较高的超</w:t>
            </w:r>
          </w:p>
          <w:p>
            <w:pPr>
              <w:pStyle w:val="TableText"/>
              <w:spacing w:before="22" w:line="229" w:lineRule="auto"/>
              <w:jc w:val="right"/>
              <w:rPr/>
            </w:pPr>
            <w:r>
              <w:rPr>
                <w:spacing w:val="2"/>
              </w:rPr>
              <w:t>细破碎机等破碎设备，</w:t>
            </w:r>
          </w:p>
          <w:p>
            <w:pPr>
              <w:pStyle w:val="TableText"/>
              <w:ind w:left="200"/>
              <w:spacing w:before="24" w:line="231" w:lineRule="auto"/>
              <w:rPr/>
            </w:pPr>
            <w:r>
              <w:rPr>
                <w:spacing w:val="7"/>
              </w:rPr>
              <w:t>配有除尘净化设施</w:t>
            </w:r>
          </w:p>
        </w:tc>
        <w:tc>
          <w:tcPr>
            <w:tcW w:w="1756" w:type="dxa"/>
            <w:vAlign w:val="top"/>
          </w:tcPr>
          <w:p>
            <w:pPr>
              <w:pStyle w:val="TableText"/>
              <w:ind w:left="50"/>
              <w:spacing w:before="30" w:line="230" w:lineRule="auto"/>
              <w:rPr/>
            </w:pPr>
            <w:r>
              <w:rPr>
                <w:spacing w:val="7"/>
              </w:rPr>
              <w:t>采用国内较先进的</w:t>
            </w:r>
          </w:p>
          <w:p>
            <w:pPr>
              <w:pStyle w:val="TableText"/>
              <w:ind w:left="48"/>
              <w:spacing w:before="24" w:line="231" w:lineRule="auto"/>
              <w:rPr/>
            </w:pPr>
            <w:r>
              <w:rPr>
                <w:spacing w:val="2"/>
              </w:rPr>
              <w:t>旋回、鄂式、</w:t>
            </w:r>
            <w:r>
              <w:rPr>
                <w:spacing w:val="-53"/>
              </w:rPr>
              <w:t xml:space="preserve"> </w:t>
            </w:r>
            <w:r>
              <w:rPr>
                <w:spacing w:val="2"/>
              </w:rPr>
              <w:t>圆锥</w:t>
            </w:r>
          </w:p>
          <w:p>
            <w:pPr>
              <w:pStyle w:val="TableText"/>
              <w:ind w:left="49"/>
              <w:spacing w:before="21" w:line="229" w:lineRule="auto"/>
              <w:rPr/>
            </w:pPr>
            <w:r>
              <w:rPr>
                <w:spacing w:val="7"/>
              </w:rPr>
              <w:t>锤式破碎机等破碎</w:t>
            </w:r>
          </w:p>
          <w:p>
            <w:pPr>
              <w:pStyle w:val="TableText"/>
              <w:ind w:left="14"/>
              <w:spacing w:before="24" w:line="231" w:lineRule="auto"/>
              <w:rPr/>
            </w:pPr>
            <w:r>
              <w:rPr>
                <w:spacing w:val="3"/>
              </w:rPr>
              <w:t>设备，</w:t>
            </w:r>
            <w:r>
              <w:rPr>
                <w:spacing w:val="3"/>
              </w:rPr>
              <w:t xml:space="preserve"> </w:t>
            </w:r>
            <w:r>
              <w:rPr>
                <w:spacing w:val="3"/>
              </w:rPr>
              <w:t>配有除尘净</w:t>
            </w:r>
          </w:p>
          <w:p>
            <w:pPr>
              <w:pStyle w:val="TableText"/>
              <w:ind w:left="575"/>
              <w:spacing w:before="21" w:line="218" w:lineRule="auto"/>
              <w:rPr/>
            </w:pPr>
            <w:r>
              <w:rPr>
                <w:spacing w:val="4"/>
              </w:rPr>
              <w:t>化设施</w:t>
            </w:r>
          </w:p>
        </w:tc>
        <w:tc>
          <w:tcPr>
            <w:tcW w:w="1441" w:type="dxa"/>
            <w:vAlign w:val="top"/>
            <w:tcBorders>
              <w:right w:val="nil"/>
            </w:tcBorders>
          </w:tcPr>
          <w:p>
            <w:pPr>
              <w:spacing w:line="253" w:lineRule="auto"/>
              <w:rPr>
                <w:rFonts w:ascii="Arial"/>
                <w:sz w:val="21"/>
              </w:rPr>
            </w:pPr>
            <w:r/>
          </w:p>
          <w:p>
            <w:pPr>
              <w:spacing w:line="254" w:lineRule="auto"/>
              <w:rPr>
                <w:rFonts w:ascii="Arial"/>
                <w:sz w:val="21"/>
              </w:rPr>
            </w:pPr>
            <w:r/>
          </w:p>
          <w:p>
            <w:pPr>
              <w:pStyle w:val="TableText"/>
              <w:ind w:left="530"/>
              <w:spacing w:before="65" w:line="232" w:lineRule="auto"/>
              <w:rPr/>
            </w:pPr>
            <w:r>
              <w:rPr>
                <w:spacing w:val="-1"/>
              </w:rPr>
              <w:t>三级</w:t>
            </w:r>
          </w:p>
        </w:tc>
      </w:tr>
      <w:tr>
        <w:trPr>
          <w:trHeight w:val="1365" w:hRule="atLeast"/>
        </w:trPr>
        <w:tc>
          <w:tcPr>
            <w:tcW w:w="1545" w:type="dxa"/>
            <w:vAlign w:val="top"/>
            <w:tcBorders>
              <w:left w:val="nil"/>
            </w:tcBorders>
          </w:tcPr>
          <w:p>
            <w:pPr>
              <w:spacing w:line="254" w:lineRule="auto"/>
              <w:rPr>
                <w:rFonts w:ascii="Arial"/>
                <w:sz w:val="21"/>
              </w:rPr>
            </w:pPr>
            <w:r/>
          </w:p>
          <w:p>
            <w:pPr>
              <w:spacing w:line="255" w:lineRule="auto"/>
              <w:rPr>
                <w:rFonts w:ascii="Arial"/>
                <w:sz w:val="21"/>
              </w:rPr>
            </w:pPr>
            <w:r/>
          </w:p>
          <w:p>
            <w:pPr>
              <w:pStyle w:val="TableText"/>
              <w:ind w:left="573"/>
              <w:spacing w:before="65" w:line="232" w:lineRule="auto"/>
              <w:rPr/>
            </w:pPr>
            <w:r>
              <w:rPr>
                <w:spacing w:val="2"/>
              </w:rPr>
              <w:t>磨矿</w:t>
            </w:r>
          </w:p>
        </w:tc>
        <w:tc>
          <w:tcPr>
            <w:tcW w:w="1903" w:type="dxa"/>
            <w:vAlign w:val="top"/>
          </w:tcPr>
          <w:p>
            <w:pPr>
              <w:pStyle w:val="TableText"/>
              <w:ind w:left="17" w:right="5" w:firstLine="1"/>
              <w:spacing w:before="166" w:line="252" w:lineRule="auto"/>
              <w:jc w:val="both"/>
              <w:rPr/>
            </w:pPr>
            <w:r>
              <w:rPr>
                <w:spacing w:val="8"/>
              </w:rPr>
              <w:t>采用国际先进的处理</w:t>
            </w:r>
            <w:r>
              <w:rPr>
                <w:spacing w:val="8"/>
              </w:rPr>
              <w:t>量大，能耗低、效率</w:t>
            </w:r>
            <w:r>
              <w:rPr>
                <w:spacing w:val="8"/>
              </w:rPr>
              <w:t>高的筒式磨矿机、高</w:t>
            </w:r>
            <w:r>
              <w:rPr>
                <w:spacing w:val="8"/>
              </w:rPr>
              <w:t>压辊磨机等磨矿设备</w:t>
            </w:r>
          </w:p>
        </w:tc>
        <w:tc>
          <w:tcPr>
            <w:tcW w:w="2052" w:type="dxa"/>
            <w:vAlign w:val="top"/>
          </w:tcPr>
          <w:p>
            <w:pPr>
              <w:pStyle w:val="TableText"/>
              <w:ind w:left="93"/>
              <w:spacing w:before="32" w:line="231" w:lineRule="auto"/>
              <w:rPr/>
            </w:pPr>
            <w:r>
              <w:rPr>
                <w:spacing w:val="8"/>
              </w:rPr>
              <w:t>采用国内先进的处理</w:t>
            </w:r>
          </w:p>
          <w:p>
            <w:pPr>
              <w:pStyle w:val="TableText"/>
              <w:spacing w:before="21" w:line="230" w:lineRule="auto"/>
              <w:jc w:val="right"/>
              <w:rPr/>
            </w:pPr>
            <w:r>
              <w:rPr>
                <w:spacing w:val="2"/>
              </w:rPr>
              <w:t>量较大，能耗较低、效</w:t>
            </w:r>
          </w:p>
          <w:p>
            <w:pPr>
              <w:pStyle w:val="TableText"/>
              <w:spacing w:before="24" w:line="230" w:lineRule="auto"/>
              <w:jc w:val="right"/>
              <w:rPr/>
            </w:pPr>
            <w:r>
              <w:rPr>
                <w:spacing w:val="2"/>
              </w:rPr>
              <w:t>率较高的筒式磨矿机、</w:t>
            </w:r>
          </w:p>
          <w:p>
            <w:pPr>
              <w:pStyle w:val="TableText"/>
              <w:ind w:left="98"/>
              <w:spacing w:before="21" w:line="231" w:lineRule="auto"/>
              <w:rPr/>
            </w:pPr>
            <w:r>
              <w:rPr>
                <w:spacing w:val="7"/>
              </w:rPr>
              <w:t>高压辊磨机等磨矿设</w:t>
            </w:r>
          </w:p>
          <w:p>
            <w:pPr>
              <w:pStyle w:val="TableText"/>
              <w:ind w:left="933"/>
              <w:spacing w:before="23" w:line="215" w:lineRule="auto"/>
              <w:rPr/>
            </w:pPr>
            <w:r>
              <w:rPr/>
              <w:t>备</w:t>
            </w:r>
          </w:p>
        </w:tc>
        <w:tc>
          <w:tcPr>
            <w:tcW w:w="1756" w:type="dxa"/>
            <w:vAlign w:val="top"/>
          </w:tcPr>
          <w:p>
            <w:pPr>
              <w:pStyle w:val="TableText"/>
              <w:ind w:left="50"/>
              <w:spacing w:before="166" w:line="230" w:lineRule="auto"/>
              <w:rPr/>
            </w:pPr>
            <w:r>
              <w:rPr>
                <w:spacing w:val="7"/>
              </w:rPr>
              <w:t>采用国内较先进的</w:t>
            </w:r>
          </w:p>
          <w:p>
            <w:pPr>
              <w:pStyle w:val="TableText"/>
              <w:ind w:left="52"/>
              <w:spacing w:before="24" w:line="231" w:lineRule="auto"/>
              <w:rPr/>
            </w:pPr>
            <w:r>
              <w:rPr>
                <w:spacing w:val="7"/>
              </w:rPr>
              <w:t>筒式磨矿、干式自</w:t>
            </w:r>
          </w:p>
          <w:p>
            <w:pPr>
              <w:pStyle w:val="TableText"/>
              <w:ind w:left="48"/>
              <w:spacing w:before="20" w:line="229" w:lineRule="auto"/>
              <w:rPr/>
            </w:pPr>
            <w:r>
              <w:rPr>
                <w:spacing w:val="7"/>
              </w:rPr>
              <w:t>磨、棒磨、球磨等</w:t>
            </w:r>
          </w:p>
          <w:p>
            <w:pPr>
              <w:pStyle w:val="TableText"/>
              <w:ind w:left="468"/>
              <w:spacing w:before="26" w:line="232" w:lineRule="auto"/>
              <w:rPr/>
            </w:pPr>
            <w:r>
              <w:rPr>
                <w:spacing w:val="5"/>
              </w:rPr>
              <w:t>磨矿设备</w:t>
            </w:r>
          </w:p>
        </w:tc>
        <w:tc>
          <w:tcPr>
            <w:tcW w:w="1441" w:type="dxa"/>
            <w:vAlign w:val="top"/>
            <w:tcBorders>
              <w:right w:val="nil"/>
            </w:tcBorders>
          </w:tcPr>
          <w:p>
            <w:pPr>
              <w:spacing w:line="254" w:lineRule="auto"/>
              <w:rPr>
                <w:rFonts w:ascii="Arial"/>
                <w:sz w:val="21"/>
              </w:rPr>
            </w:pPr>
            <w:r/>
          </w:p>
          <w:p>
            <w:pPr>
              <w:spacing w:line="255" w:lineRule="auto"/>
              <w:rPr>
                <w:rFonts w:ascii="Arial"/>
                <w:sz w:val="21"/>
              </w:rPr>
            </w:pPr>
            <w:r/>
          </w:p>
          <w:p>
            <w:pPr>
              <w:pStyle w:val="TableText"/>
              <w:ind w:left="530"/>
              <w:spacing w:before="65" w:line="232" w:lineRule="auto"/>
              <w:rPr/>
            </w:pPr>
            <w:r>
              <w:rPr>
                <w:spacing w:val="-1"/>
              </w:rPr>
              <w:t>三级</w:t>
            </w:r>
          </w:p>
        </w:tc>
      </w:tr>
      <w:tr>
        <w:trPr>
          <w:trHeight w:val="1094" w:hRule="atLeast"/>
        </w:trPr>
        <w:tc>
          <w:tcPr>
            <w:tcW w:w="1545" w:type="dxa"/>
            <w:vAlign w:val="top"/>
            <w:tcBorders>
              <w:left w:val="nil"/>
            </w:tcBorders>
          </w:tcPr>
          <w:p>
            <w:pPr>
              <w:spacing w:line="376" w:lineRule="auto"/>
              <w:rPr>
                <w:rFonts w:ascii="Arial"/>
                <w:sz w:val="21"/>
              </w:rPr>
            </w:pPr>
            <w:r/>
          </w:p>
          <w:p>
            <w:pPr>
              <w:pStyle w:val="TableText"/>
              <w:ind w:left="576"/>
              <w:spacing w:before="65" w:line="232" w:lineRule="auto"/>
              <w:rPr/>
            </w:pPr>
            <w:r>
              <w:rPr/>
              <w:t>分级</w:t>
            </w:r>
          </w:p>
        </w:tc>
        <w:tc>
          <w:tcPr>
            <w:tcW w:w="1903" w:type="dxa"/>
            <w:vAlign w:val="top"/>
          </w:tcPr>
          <w:p>
            <w:pPr>
              <w:pStyle w:val="TableText"/>
              <w:ind w:left="19" w:right="5" w:hanging="1"/>
              <w:spacing w:before="169" w:line="251" w:lineRule="auto"/>
              <w:rPr/>
            </w:pPr>
            <w:r>
              <w:rPr>
                <w:spacing w:val="8"/>
              </w:rPr>
              <w:t>采用国际先进的分级</w:t>
            </w:r>
            <w:r>
              <w:rPr>
                <w:spacing w:val="7"/>
              </w:rPr>
              <w:t>效率高的高频振动细</w:t>
            </w:r>
          </w:p>
          <w:p>
            <w:pPr>
              <w:pStyle w:val="TableText"/>
              <w:ind w:left="19"/>
              <w:spacing w:line="231" w:lineRule="auto"/>
              <w:rPr/>
            </w:pPr>
            <w:r>
              <w:rPr>
                <w:spacing w:val="8"/>
              </w:rPr>
              <w:t>筛分级机等分级设备</w:t>
            </w:r>
          </w:p>
        </w:tc>
        <w:tc>
          <w:tcPr>
            <w:tcW w:w="2052" w:type="dxa"/>
            <w:vAlign w:val="top"/>
          </w:tcPr>
          <w:p>
            <w:pPr>
              <w:pStyle w:val="TableText"/>
              <w:ind w:left="93"/>
              <w:spacing w:before="35" w:line="231" w:lineRule="auto"/>
              <w:rPr/>
            </w:pPr>
            <w:r>
              <w:rPr>
                <w:spacing w:val="8"/>
              </w:rPr>
              <w:t>采用国内先进的分级</w:t>
            </w:r>
          </w:p>
          <w:p>
            <w:pPr>
              <w:pStyle w:val="TableText"/>
              <w:ind w:left="95"/>
              <w:spacing w:before="21" w:line="230" w:lineRule="auto"/>
              <w:rPr/>
            </w:pPr>
            <w:r>
              <w:rPr>
                <w:spacing w:val="7"/>
              </w:rPr>
              <w:t>效率较高的电磁振动</w:t>
            </w:r>
          </w:p>
          <w:p>
            <w:pPr>
              <w:pStyle w:val="TableText"/>
              <w:ind w:left="17"/>
              <w:spacing w:before="21" w:line="231" w:lineRule="auto"/>
              <w:rPr/>
            </w:pPr>
            <w:r>
              <w:rPr>
                <w:spacing w:val="2"/>
              </w:rPr>
              <w:t>筛、高频细筛等分级设</w:t>
            </w:r>
          </w:p>
          <w:p>
            <w:pPr>
              <w:pStyle w:val="TableText"/>
              <w:ind w:left="933"/>
              <w:spacing w:before="23" w:line="215" w:lineRule="auto"/>
              <w:rPr/>
            </w:pPr>
            <w:r>
              <w:rPr/>
              <w:t>备</w:t>
            </w:r>
          </w:p>
        </w:tc>
        <w:tc>
          <w:tcPr>
            <w:tcW w:w="1756" w:type="dxa"/>
            <w:vAlign w:val="top"/>
          </w:tcPr>
          <w:p>
            <w:pPr>
              <w:pStyle w:val="TableText"/>
              <w:ind w:left="50"/>
              <w:spacing w:before="35" w:line="230" w:lineRule="auto"/>
              <w:rPr/>
            </w:pPr>
            <w:r>
              <w:rPr>
                <w:spacing w:val="7"/>
              </w:rPr>
              <w:t>采用国内较先进的</w:t>
            </w:r>
          </w:p>
          <w:p>
            <w:pPr>
              <w:pStyle w:val="TableText"/>
              <w:spacing w:before="21" w:line="231" w:lineRule="auto"/>
              <w:jc w:val="right"/>
              <w:rPr/>
            </w:pPr>
            <w:r>
              <w:rPr>
                <w:spacing w:val="-8"/>
              </w:rPr>
              <w:t>旋流分级、振动筛、</w:t>
            </w:r>
          </w:p>
          <w:p>
            <w:pPr>
              <w:pStyle w:val="TableText"/>
              <w:ind w:left="55"/>
              <w:spacing w:before="20" w:line="231" w:lineRule="auto"/>
              <w:rPr/>
            </w:pPr>
            <w:r>
              <w:rPr>
                <w:spacing w:val="7"/>
              </w:rPr>
              <w:t>高频细筛等分级设</w:t>
            </w:r>
          </w:p>
          <w:p>
            <w:pPr>
              <w:pStyle w:val="TableText"/>
              <w:ind w:left="784"/>
              <w:spacing w:before="23" w:line="215" w:lineRule="auto"/>
              <w:rPr/>
            </w:pPr>
            <w:r>
              <w:rPr/>
              <w:t>备</w:t>
            </w:r>
          </w:p>
        </w:tc>
        <w:tc>
          <w:tcPr>
            <w:tcW w:w="1441" w:type="dxa"/>
            <w:vAlign w:val="top"/>
            <w:tcBorders>
              <w:right w:val="nil"/>
            </w:tcBorders>
          </w:tcPr>
          <w:p>
            <w:pPr>
              <w:spacing w:line="376" w:lineRule="auto"/>
              <w:rPr>
                <w:rFonts w:ascii="Arial"/>
                <w:sz w:val="21"/>
              </w:rPr>
            </w:pPr>
            <w:r/>
          </w:p>
          <w:p>
            <w:pPr>
              <w:pStyle w:val="TableText"/>
              <w:ind w:left="530"/>
              <w:spacing w:before="65" w:line="232" w:lineRule="auto"/>
              <w:rPr/>
            </w:pPr>
            <w:r>
              <w:rPr>
                <w:spacing w:val="-1"/>
              </w:rPr>
              <w:t>三级</w:t>
            </w:r>
          </w:p>
        </w:tc>
      </w:tr>
      <w:tr>
        <w:trPr>
          <w:trHeight w:val="1910" w:hRule="atLeast"/>
        </w:trPr>
        <w:tc>
          <w:tcPr>
            <w:tcW w:w="1545" w:type="dxa"/>
            <w:vAlign w:val="top"/>
            <w:tcBorders>
              <w:left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576"/>
              <w:spacing w:before="65" w:line="232" w:lineRule="auto"/>
              <w:rPr/>
            </w:pPr>
            <w:r>
              <w:rPr/>
              <w:t>选别</w:t>
            </w:r>
          </w:p>
        </w:tc>
        <w:tc>
          <w:tcPr>
            <w:tcW w:w="1903" w:type="dxa"/>
            <w:vAlign w:val="top"/>
          </w:tcPr>
          <w:p>
            <w:pPr>
              <w:pStyle w:val="TableText"/>
              <w:ind w:left="18"/>
              <w:spacing w:before="35" w:line="231" w:lineRule="auto"/>
              <w:rPr/>
            </w:pPr>
            <w:r>
              <w:rPr>
                <w:spacing w:val="8"/>
              </w:rPr>
              <w:t>采用国际先进的回收</w:t>
            </w:r>
          </w:p>
          <w:p>
            <w:pPr>
              <w:pStyle w:val="TableText"/>
              <w:ind w:left="23"/>
              <w:spacing w:before="20" w:line="231" w:lineRule="auto"/>
              <w:rPr/>
            </w:pPr>
            <w:r>
              <w:rPr>
                <w:spacing w:val="1"/>
              </w:rPr>
              <w:t>率高、</w:t>
            </w:r>
            <w:r>
              <w:rPr>
                <w:spacing w:val="-42"/>
              </w:rPr>
              <w:t xml:space="preserve"> </w:t>
            </w:r>
            <w:r>
              <w:rPr>
                <w:spacing w:val="1"/>
              </w:rPr>
              <w:t>自动化程度高</w:t>
            </w:r>
          </w:p>
          <w:p>
            <w:pPr>
              <w:pStyle w:val="TableText"/>
              <w:ind w:left="29"/>
              <w:spacing w:before="21" w:line="229" w:lineRule="auto"/>
              <w:rPr/>
            </w:pPr>
            <w:r>
              <w:rPr>
                <w:spacing w:val="6"/>
              </w:rPr>
              <w:t>的大粒度中高场强磁</w:t>
            </w:r>
          </w:p>
          <w:p>
            <w:pPr>
              <w:pStyle w:val="TableText"/>
              <w:ind w:left="19"/>
              <w:spacing w:before="24" w:line="231" w:lineRule="auto"/>
              <w:rPr/>
            </w:pPr>
            <w:r>
              <w:rPr>
                <w:spacing w:val="8"/>
              </w:rPr>
              <w:t>选机和跳汰机、立环</w:t>
            </w:r>
          </w:p>
          <w:p>
            <w:pPr>
              <w:pStyle w:val="TableText"/>
              <w:ind w:left="122"/>
              <w:spacing w:before="21" w:line="231" w:lineRule="auto"/>
              <w:rPr/>
            </w:pPr>
            <w:r>
              <w:rPr>
                <w:spacing w:val="8"/>
              </w:rPr>
              <w:t>脉动高梯度强磁选</w:t>
            </w:r>
          </w:p>
          <w:p>
            <w:pPr>
              <w:pStyle w:val="TableText"/>
              <w:ind w:left="17"/>
              <w:spacing w:before="24" w:line="229" w:lineRule="auto"/>
              <w:rPr/>
            </w:pPr>
            <w:r>
              <w:rPr>
                <w:spacing w:val="8"/>
              </w:rPr>
              <w:t>机、冲气机械搅拌式</w:t>
            </w:r>
          </w:p>
          <w:p>
            <w:pPr>
              <w:pStyle w:val="TableText"/>
              <w:ind w:left="125"/>
              <w:spacing w:before="22" w:line="215" w:lineRule="auto"/>
              <w:rPr/>
            </w:pPr>
            <w:r>
              <w:rPr>
                <w:spacing w:val="7"/>
              </w:rPr>
              <w:t>浮选机等选别设备</w:t>
            </w:r>
          </w:p>
        </w:tc>
        <w:tc>
          <w:tcPr>
            <w:tcW w:w="2052" w:type="dxa"/>
            <w:vAlign w:val="top"/>
          </w:tcPr>
          <w:p>
            <w:pPr>
              <w:pStyle w:val="TableText"/>
              <w:ind w:left="93"/>
              <w:spacing w:before="35" w:line="231" w:lineRule="auto"/>
              <w:rPr/>
            </w:pPr>
            <w:r>
              <w:rPr>
                <w:spacing w:val="8"/>
              </w:rPr>
              <w:t>采用国内先进的回收</w:t>
            </w:r>
          </w:p>
          <w:p>
            <w:pPr>
              <w:pStyle w:val="TableText"/>
              <w:ind w:left="21"/>
              <w:spacing w:before="21" w:line="230" w:lineRule="auto"/>
              <w:rPr/>
            </w:pPr>
            <w:r>
              <w:rPr>
                <w:spacing w:val="1"/>
              </w:rPr>
              <w:t>率较高、自动化程度较</w:t>
            </w:r>
          </w:p>
          <w:p>
            <w:pPr>
              <w:pStyle w:val="TableText"/>
              <w:ind w:left="98"/>
              <w:spacing w:before="22" w:line="229" w:lineRule="auto"/>
              <w:rPr/>
            </w:pPr>
            <w:r>
              <w:rPr>
                <w:spacing w:val="7"/>
              </w:rPr>
              <w:t>高的大粒度中高场强</w:t>
            </w:r>
          </w:p>
          <w:p>
            <w:pPr>
              <w:pStyle w:val="TableText"/>
              <w:ind w:left="15"/>
              <w:spacing w:before="24" w:line="231" w:lineRule="auto"/>
              <w:rPr/>
            </w:pPr>
            <w:r>
              <w:rPr>
                <w:spacing w:val="2"/>
              </w:rPr>
              <w:t>磁选机和跳汰机、立环</w:t>
            </w:r>
          </w:p>
          <w:p>
            <w:pPr>
              <w:pStyle w:val="TableText"/>
              <w:spacing w:before="20" w:line="231" w:lineRule="auto"/>
              <w:jc w:val="right"/>
              <w:rPr/>
            </w:pPr>
            <w:r>
              <w:rPr>
                <w:spacing w:val="3"/>
              </w:rPr>
              <w:t>脉动高梯度强磁选机、</w:t>
            </w:r>
          </w:p>
          <w:p>
            <w:pPr>
              <w:pStyle w:val="TableText"/>
              <w:ind w:left="94"/>
              <w:spacing w:before="24" w:line="229" w:lineRule="auto"/>
              <w:rPr/>
            </w:pPr>
            <w:r>
              <w:rPr>
                <w:spacing w:val="8"/>
              </w:rPr>
              <w:t>冲气机械搅拌式浮选</w:t>
            </w:r>
          </w:p>
          <w:p>
            <w:pPr>
              <w:pStyle w:val="TableText"/>
              <w:ind w:left="406"/>
              <w:spacing w:before="23" w:line="215" w:lineRule="auto"/>
              <w:rPr/>
            </w:pPr>
            <w:r>
              <w:rPr>
                <w:spacing w:val="7"/>
              </w:rPr>
              <w:t>机等选别设备</w:t>
            </w:r>
          </w:p>
        </w:tc>
        <w:tc>
          <w:tcPr>
            <w:tcW w:w="1756" w:type="dxa"/>
            <w:vAlign w:val="top"/>
          </w:tcPr>
          <w:p>
            <w:pPr>
              <w:pStyle w:val="TableText"/>
              <w:ind w:left="50"/>
              <w:spacing w:before="169" w:line="230" w:lineRule="auto"/>
              <w:rPr/>
            </w:pPr>
            <w:r>
              <w:rPr>
                <w:spacing w:val="7"/>
              </w:rPr>
              <w:t>采用国内较先进的</w:t>
            </w:r>
          </w:p>
          <w:p>
            <w:pPr>
              <w:pStyle w:val="TableText"/>
              <w:ind w:left="74"/>
              <w:spacing w:before="22" w:line="230" w:lineRule="auto"/>
              <w:rPr/>
            </w:pPr>
            <w:r>
              <w:rPr>
                <w:spacing w:val="4"/>
              </w:rPr>
              <w:t>回收率较高的立环</w:t>
            </w:r>
          </w:p>
          <w:p>
            <w:pPr>
              <w:pStyle w:val="TableText"/>
              <w:ind w:left="53"/>
              <w:spacing w:before="21" w:line="231" w:lineRule="auto"/>
              <w:rPr/>
            </w:pPr>
            <w:r>
              <w:rPr>
                <w:spacing w:val="7"/>
              </w:rPr>
              <w:t>式、平环式强磁选</w:t>
            </w:r>
          </w:p>
          <w:p>
            <w:pPr>
              <w:pStyle w:val="TableText"/>
              <w:ind w:left="48"/>
              <w:spacing w:before="23" w:line="229" w:lineRule="auto"/>
              <w:rPr/>
            </w:pPr>
            <w:r>
              <w:rPr>
                <w:spacing w:val="7"/>
              </w:rPr>
              <w:t>机、机械搅拌式浮</w:t>
            </w:r>
          </w:p>
          <w:p>
            <w:pPr>
              <w:pStyle w:val="TableText"/>
              <w:ind w:left="51"/>
              <w:spacing w:before="25" w:line="229" w:lineRule="auto"/>
              <w:rPr/>
            </w:pPr>
            <w:r>
              <w:rPr>
                <w:spacing w:val="7"/>
              </w:rPr>
              <w:t>选机、棒型浮选机</w:t>
            </w:r>
          </w:p>
          <w:p>
            <w:pPr>
              <w:pStyle w:val="TableText"/>
              <w:ind w:left="370"/>
              <w:spacing w:before="23" w:line="232" w:lineRule="auto"/>
              <w:rPr/>
            </w:pPr>
            <w:r>
              <w:rPr>
                <w:spacing w:val="5"/>
              </w:rPr>
              <w:t>等选别设备</w:t>
            </w:r>
          </w:p>
        </w:tc>
        <w:tc>
          <w:tcPr>
            <w:tcW w:w="1441" w:type="dxa"/>
            <w:vAlign w:val="top"/>
            <w:tcBorders>
              <w:right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530"/>
              <w:spacing w:before="65" w:line="232" w:lineRule="auto"/>
              <w:rPr/>
            </w:pPr>
            <w:r>
              <w:rPr>
                <w:spacing w:val="-1"/>
              </w:rPr>
              <w:t>三级</w:t>
            </w:r>
          </w:p>
        </w:tc>
      </w:tr>
      <w:tr>
        <w:trPr>
          <w:trHeight w:val="1371" w:hRule="atLeast"/>
        </w:trPr>
        <w:tc>
          <w:tcPr>
            <w:tcW w:w="1545" w:type="dxa"/>
            <w:vAlign w:val="top"/>
            <w:tcBorders>
              <w:left w:val="nil"/>
            </w:tcBorders>
          </w:tcPr>
          <w:p>
            <w:pPr>
              <w:spacing w:line="256" w:lineRule="auto"/>
              <w:rPr>
                <w:rFonts w:ascii="Arial"/>
                <w:sz w:val="21"/>
              </w:rPr>
            </w:pPr>
            <w:r/>
          </w:p>
          <w:p>
            <w:pPr>
              <w:spacing w:line="256" w:lineRule="auto"/>
              <w:rPr>
                <w:rFonts w:ascii="Arial"/>
                <w:sz w:val="21"/>
              </w:rPr>
            </w:pPr>
            <w:r/>
          </w:p>
          <w:p>
            <w:pPr>
              <w:pStyle w:val="TableText"/>
              <w:ind w:left="364"/>
              <w:spacing w:before="65" w:line="231" w:lineRule="auto"/>
              <w:rPr/>
            </w:pPr>
            <w:r>
              <w:rPr>
                <w:spacing w:val="5"/>
              </w:rPr>
              <w:t>脱水过滤</w:t>
            </w:r>
          </w:p>
        </w:tc>
        <w:tc>
          <w:tcPr>
            <w:tcW w:w="1903" w:type="dxa"/>
            <w:vAlign w:val="top"/>
          </w:tcPr>
          <w:p>
            <w:pPr>
              <w:pStyle w:val="TableText"/>
              <w:ind w:left="18"/>
              <w:spacing w:before="35" w:line="231" w:lineRule="auto"/>
              <w:rPr/>
            </w:pPr>
            <w:r>
              <w:rPr>
                <w:spacing w:val="8"/>
              </w:rPr>
              <w:t>采用国际先进的效率</w:t>
            </w:r>
          </w:p>
          <w:p>
            <w:pPr>
              <w:pStyle w:val="TableText"/>
              <w:ind w:left="23"/>
              <w:spacing w:before="23" w:line="231" w:lineRule="auto"/>
              <w:rPr/>
            </w:pPr>
            <w:r>
              <w:rPr>
                <w:spacing w:val="7"/>
              </w:rPr>
              <w:t>高自动化程度高的高</w:t>
            </w:r>
          </w:p>
          <w:p>
            <w:pPr>
              <w:pStyle w:val="TableText"/>
              <w:ind w:left="20"/>
              <w:spacing w:before="21" w:line="230" w:lineRule="auto"/>
              <w:rPr/>
            </w:pPr>
            <w:r>
              <w:rPr>
                <w:spacing w:val="7"/>
              </w:rPr>
              <w:t>效浓缩机和大型高效</w:t>
            </w:r>
          </w:p>
          <w:p>
            <w:pPr>
              <w:pStyle w:val="TableText"/>
              <w:ind w:left="24"/>
              <w:spacing w:before="24" w:line="231" w:lineRule="auto"/>
              <w:rPr/>
            </w:pPr>
            <w:r>
              <w:rPr>
                <w:spacing w:val="7"/>
              </w:rPr>
              <w:t>盘式过滤机等脱水过</w:t>
            </w:r>
          </w:p>
          <w:p>
            <w:pPr>
              <w:pStyle w:val="TableText"/>
              <w:ind w:left="647"/>
              <w:spacing w:before="20" w:line="218" w:lineRule="auto"/>
              <w:rPr/>
            </w:pPr>
            <w:r>
              <w:rPr>
                <w:spacing w:val="4"/>
              </w:rPr>
              <w:t>滤设备</w:t>
            </w:r>
          </w:p>
        </w:tc>
        <w:tc>
          <w:tcPr>
            <w:tcW w:w="2052" w:type="dxa"/>
            <w:vAlign w:val="top"/>
          </w:tcPr>
          <w:p>
            <w:pPr>
              <w:pStyle w:val="TableText"/>
              <w:ind w:left="17" w:right="3" w:firstLine="75"/>
              <w:spacing w:before="33" w:line="245" w:lineRule="auto"/>
              <w:jc w:val="both"/>
              <w:rPr/>
            </w:pPr>
            <w:r>
              <w:rPr>
                <w:spacing w:val="8"/>
              </w:rPr>
              <w:t>采用国内先进的脱水</w:t>
            </w:r>
            <w:r>
              <w:rPr>
                <w:spacing w:val="2"/>
              </w:rPr>
              <w:t>过滤效率较高、自动化</w:t>
            </w:r>
            <w:r>
              <w:rPr>
                <w:spacing w:val="16"/>
              </w:rPr>
              <w:t>程度较高的高效浓缩</w:t>
            </w:r>
            <w:r>
              <w:rPr>
                <w:spacing w:val="16"/>
              </w:rPr>
              <w:t>机和大型高效盘式压</w:t>
            </w:r>
            <w:r>
              <w:rPr>
                <w:spacing w:val="16"/>
              </w:rPr>
              <w:t>滤机等脱水过滤设备</w:t>
            </w:r>
          </w:p>
        </w:tc>
        <w:tc>
          <w:tcPr>
            <w:tcW w:w="1756" w:type="dxa"/>
            <w:vAlign w:val="top"/>
          </w:tcPr>
          <w:p>
            <w:pPr>
              <w:pStyle w:val="TableText"/>
              <w:ind w:left="50"/>
              <w:spacing w:before="35" w:line="230" w:lineRule="auto"/>
              <w:rPr/>
            </w:pPr>
            <w:r>
              <w:rPr>
                <w:spacing w:val="7"/>
              </w:rPr>
              <w:t>采用国内较先进的</w:t>
            </w:r>
          </w:p>
          <w:p>
            <w:pPr>
              <w:pStyle w:val="TableText"/>
              <w:ind w:left="48"/>
              <w:spacing w:before="24" w:line="230" w:lineRule="auto"/>
              <w:rPr/>
            </w:pPr>
            <w:r>
              <w:rPr>
                <w:spacing w:val="7"/>
              </w:rPr>
              <w:t>脱水过滤效率较高</w:t>
            </w:r>
          </w:p>
          <w:p>
            <w:pPr>
              <w:pStyle w:val="TableText"/>
              <w:ind w:left="61"/>
              <w:spacing w:before="22" w:line="230" w:lineRule="auto"/>
              <w:rPr/>
            </w:pPr>
            <w:r>
              <w:rPr>
                <w:spacing w:val="6"/>
              </w:rPr>
              <w:t>的浓缩机和筒式压</w:t>
            </w:r>
          </w:p>
          <w:p>
            <w:pPr>
              <w:pStyle w:val="TableText"/>
              <w:ind w:left="50"/>
              <w:spacing w:before="24" w:line="231" w:lineRule="auto"/>
              <w:rPr/>
            </w:pPr>
            <w:r>
              <w:rPr>
                <w:spacing w:val="7"/>
              </w:rPr>
              <w:t>滤机等脱水过滤设</w:t>
            </w:r>
          </w:p>
          <w:p>
            <w:pPr>
              <w:pStyle w:val="TableText"/>
              <w:ind w:left="784"/>
              <w:spacing w:before="20" w:line="218" w:lineRule="auto"/>
              <w:rPr/>
            </w:pPr>
            <w:r>
              <w:rPr/>
              <w:t>备</w:t>
            </w:r>
          </w:p>
        </w:tc>
        <w:tc>
          <w:tcPr>
            <w:tcW w:w="1441" w:type="dxa"/>
            <w:vAlign w:val="top"/>
            <w:tcBorders>
              <w:right w:val="nil"/>
            </w:tcBorders>
          </w:tcPr>
          <w:p>
            <w:pPr>
              <w:spacing w:line="256" w:lineRule="auto"/>
              <w:rPr>
                <w:rFonts w:ascii="Arial"/>
                <w:sz w:val="21"/>
              </w:rPr>
            </w:pPr>
            <w:r/>
          </w:p>
          <w:p>
            <w:pPr>
              <w:spacing w:line="256" w:lineRule="auto"/>
              <w:rPr>
                <w:rFonts w:ascii="Arial"/>
                <w:sz w:val="21"/>
              </w:rPr>
            </w:pPr>
            <w:r/>
          </w:p>
          <w:p>
            <w:pPr>
              <w:pStyle w:val="TableText"/>
              <w:ind w:left="530"/>
              <w:spacing w:before="65" w:line="232" w:lineRule="auto"/>
              <w:rPr/>
            </w:pPr>
            <w:r>
              <w:rPr>
                <w:spacing w:val="-1"/>
              </w:rPr>
              <w:t>三级</w:t>
            </w:r>
          </w:p>
        </w:tc>
      </w:tr>
    </w:tbl>
    <w:p>
      <w:pPr>
        <w:ind w:left="3329"/>
        <w:spacing w:before="31" w:line="222" w:lineRule="auto"/>
        <w:rPr>
          <w:rFonts w:ascii="FangSong" w:hAnsi="FangSong" w:eastAsia="FangSong" w:cs="FangSong"/>
          <w:sz w:val="20"/>
          <w:szCs w:val="20"/>
        </w:rPr>
      </w:pPr>
      <w:r>
        <w:rPr>
          <w:rFonts w:ascii="FangSong" w:hAnsi="FangSong" w:eastAsia="FangSong" w:cs="FangSong"/>
          <w:sz w:val="20"/>
          <w:szCs w:val="20"/>
          <w:spacing w:val="7"/>
        </w:rPr>
        <w:t>二、资源能源利用指标</w:t>
      </w:r>
    </w:p>
    <w:tbl>
      <w:tblPr>
        <w:tblStyle w:val="TableNormal"/>
        <w:tblW w:w="8697"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545"/>
        <w:gridCol w:w="1903"/>
        <w:gridCol w:w="2052"/>
        <w:gridCol w:w="1756"/>
        <w:gridCol w:w="1441"/>
      </w:tblGrid>
      <w:tr>
        <w:trPr>
          <w:trHeight w:val="281" w:hRule="atLeast"/>
        </w:trPr>
        <w:tc>
          <w:tcPr>
            <w:tcW w:w="1545" w:type="dxa"/>
            <w:vAlign w:val="top"/>
            <w:tcBorders>
              <w:left w:val="nil"/>
            </w:tcBorders>
          </w:tcPr>
          <w:p>
            <w:pPr>
              <w:pStyle w:val="TableText"/>
              <w:ind w:left="195"/>
              <w:spacing w:before="34" w:line="218" w:lineRule="auto"/>
              <w:rPr/>
            </w:pPr>
            <w:r>
              <w:rPr>
                <w:spacing w:val="1"/>
              </w:rPr>
              <w:t>回收率（</w:t>
            </w:r>
            <w:r>
              <w:rPr>
                <w:rFonts w:ascii="Times New Roman" w:hAnsi="Times New Roman" w:eastAsia="Times New Roman" w:cs="Times New Roman"/>
                <w:spacing w:val="1"/>
              </w:rPr>
              <w:t>%</w:t>
            </w:r>
            <w:r>
              <w:rPr>
                <w:spacing w:val="1"/>
              </w:rPr>
              <w:t>）</w:t>
            </w:r>
          </w:p>
        </w:tc>
        <w:tc>
          <w:tcPr>
            <w:tcW w:w="1903" w:type="dxa"/>
            <w:vAlign w:val="top"/>
          </w:tcPr>
          <w:p>
            <w:pPr>
              <w:ind w:left="78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≥90</w:t>
            </w:r>
          </w:p>
        </w:tc>
        <w:tc>
          <w:tcPr>
            <w:tcW w:w="2052" w:type="dxa"/>
            <w:vAlign w:val="top"/>
          </w:tcPr>
          <w:p>
            <w:pPr>
              <w:ind w:left="86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≥80</w:t>
            </w:r>
          </w:p>
        </w:tc>
        <w:tc>
          <w:tcPr>
            <w:tcW w:w="1756" w:type="dxa"/>
            <w:vAlign w:val="top"/>
          </w:tcPr>
          <w:p>
            <w:pPr>
              <w:ind w:left="714"/>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≥70</w:t>
            </w:r>
          </w:p>
        </w:tc>
        <w:tc>
          <w:tcPr>
            <w:tcW w:w="1441" w:type="dxa"/>
            <w:vAlign w:val="top"/>
            <w:tcBorders>
              <w:right w:val="nil"/>
            </w:tcBorders>
          </w:tcPr>
          <w:p>
            <w:pPr>
              <w:pStyle w:val="TableText"/>
              <w:ind w:left="101"/>
              <w:spacing w:before="34" w:line="218" w:lineRule="auto"/>
              <w:rPr>
                <w:rFonts w:ascii="Times New Roman" w:hAnsi="Times New Roman" w:eastAsia="Times New Roman" w:cs="Times New Roman"/>
              </w:rPr>
            </w:pPr>
            <w:r>
              <w:rPr>
                <w:spacing w:val="4"/>
              </w:rPr>
              <w:t>二级；</w:t>
            </w:r>
            <w:r>
              <w:rPr>
                <w:rFonts w:ascii="Times New Roman" w:hAnsi="Times New Roman" w:eastAsia="Times New Roman" w:cs="Times New Roman"/>
                <w:spacing w:val="4"/>
              </w:rPr>
              <w:t>89.05%</w:t>
            </w:r>
          </w:p>
        </w:tc>
      </w:tr>
      <w:tr>
        <w:trPr>
          <w:trHeight w:val="396" w:hRule="atLeast"/>
        </w:trPr>
        <w:tc>
          <w:tcPr>
            <w:tcW w:w="1545" w:type="dxa"/>
            <w:vAlign w:val="top"/>
            <w:tcBorders>
              <w:left w:val="nil"/>
            </w:tcBorders>
          </w:tcPr>
          <w:p>
            <w:pPr>
              <w:pStyle w:val="TableText"/>
              <w:spacing w:before="92" w:line="233" w:lineRule="auto"/>
              <w:jc w:val="right"/>
              <w:rPr>
                <w:rFonts w:ascii="Times New Roman" w:hAnsi="Times New Roman" w:eastAsia="Times New Roman" w:cs="Times New Roman"/>
              </w:rPr>
            </w:pPr>
            <w:r>
              <w:rPr>
                <w:spacing w:val="3"/>
              </w:rPr>
              <w:t>电耗（</w:t>
            </w:r>
            <w:r>
              <w:rPr>
                <w:rFonts w:ascii="Times New Roman" w:hAnsi="Times New Roman" w:eastAsia="Times New Roman" w:cs="Times New Roman"/>
              </w:rPr>
              <w:t>kW</w:t>
            </w:r>
            <w:r>
              <w:rPr>
                <w:rFonts w:ascii="Times New Roman" w:hAnsi="Times New Roman" w:eastAsia="Times New Roman" w:cs="Times New Roman"/>
                <w:spacing w:val="3"/>
              </w:rPr>
              <w:t>·h/t</w:t>
            </w:r>
            <w:r>
              <w:rPr>
                <w:spacing w:val="3"/>
              </w:rPr>
              <w:t>）</w:t>
            </w:r>
            <w:r>
              <w:rPr>
                <w:rFonts w:ascii="Times New Roman" w:hAnsi="Times New Roman" w:eastAsia="Times New Roman" w:cs="Times New Roman"/>
                <w:spacing w:val="3"/>
              </w:rPr>
              <w:t>*</w:t>
            </w:r>
          </w:p>
        </w:tc>
        <w:tc>
          <w:tcPr>
            <w:tcW w:w="1903" w:type="dxa"/>
            <w:vAlign w:val="top"/>
          </w:tcPr>
          <w:p>
            <w:pPr>
              <w:ind w:left="788"/>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≤16</w:t>
            </w:r>
          </w:p>
        </w:tc>
        <w:tc>
          <w:tcPr>
            <w:tcW w:w="2052" w:type="dxa"/>
            <w:vAlign w:val="top"/>
          </w:tcPr>
          <w:p>
            <w:pPr>
              <w:ind w:left="863"/>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≤28</w:t>
            </w:r>
          </w:p>
        </w:tc>
        <w:tc>
          <w:tcPr>
            <w:tcW w:w="1756" w:type="dxa"/>
            <w:vAlign w:val="top"/>
          </w:tcPr>
          <w:p>
            <w:pPr>
              <w:ind w:left="71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≤35</w:t>
            </w:r>
          </w:p>
        </w:tc>
        <w:tc>
          <w:tcPr>
            <w:tcW w:w="1441" w:type="dxa"/>
            <w:vAlign w:val="top"/>
            <w:tcBorders>
              <w:right w:val="nil"/>
            </w:tcBorders>
          </w:tcPr>
          <w:p>
            <w:pPr>
              <w:ind w:left="199"/>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86.73</w:t>
            </w:r>
            <w:r>
              <w:rPr>
                <w:rFonts w:ascii="Times New Roman" w:hAnsi="Times New Roman" w:eastAsia="Times New Roman" w:cs="Times New Roman"/>
                <w:sz w:val="20"/>
                <w:szCs w:val="20"/>
              </w:rPr>
              <w:t>kW</w:t>
            </w:r>
            <w:r>
              <w:rPr>
                <w:rFonts w:ascii="Times New Roman" w:hAnsi="Times New Roman" w:eastAsia="Times New Roman" w:cs="Times New Roman"/>
                <w:sz w:val="20"/>
                <w:szCs w:val="20"/>
                <w:spacing w:val="4"/>
              </w:rPr>
              <w:t>·h/t</w:t>
            </w:r>
          </w:p>
        </w:tc>
      </w:tr>
      <w:tr>
        <w:trPr>
          <w:trHeight w:val="280" w:hRule="atLeast"/>
        </w:trPr>
        <w:tc>
          <w:tcPr>
            <w:tcW w:w="1545" w:type="dxa"/>
            <w:vAlign w:val="top"/>
            <w:tcBorders>
              <w:left w:val="nil"/>
            </w:tcBorders>
          </w:tcPr>
          <w:p>
            <w:pPr>
              <w:pStyle w:val="TableText"/>
              <w:ind w:left="138"/>
              <w:spacing w:before="34" w:line="217" w:lineRule="auto"/>
              <w:rPr>
                <w:rFonts w:ascii="Times New Roman" w:hAnsi="Times New Roman" w:eastAsia="Times New Roman" w:cs="Times New Roman"/>
              </w:rPr>
            </w:pPr>
            <w:r>
              <w:rPr>
                <w:spacing w:val="2"/>
              </w:rPr>
              <w:t>水耗（</w:t>
            </w:r>
            <w:r>
              <w:rPr>
                <w:rFonts w:ascii="Times New Roman" w:hAnsi="Times New Roman" w:eastAsia="Times New Roman" w:cs="Times New Roman"/>
                <w:spacing w:val="2"/>
              </w:rPr>
              <w:t>m3/t</w:t>
            </w:r>
            <w:r>
              <w:rPr>
                <w:spacing w:val="2"/>
              </w:rPr>
              <w:t>）</w:t>
            </w:r>
            <w:r>
              <w:rPr>
                <w:rFonts w:ascii="Times New Roman" w:hAnsi="Times New Roman" w:eastAsia="Times New Roman" w:cs="Times New Roman"/>
                <w:spacing w:val="2"/>
              </w:rPr>
              <w:t>*</w:t>
            </w:r>
          </w:p>
        </w:tc>
        <w:tc>
          <w:tcPr>
            <w:tcW w:w="1903" w:type="dxa"/>
            <w:vAlign w:val="top"/>
          </w:tcPr>
          <w:p>
            <w:pPr>
              <w:ind w:left="84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p>
        </w:tc>
        <w:tc>
          <w:tcPr>
            <w:tcW w:w="2052" w:type="dxa"/>
            <w:vAlign w:val="top"/>
          </w:tcPr>
          <w:p>
            <w:pPr>
              <w:ind w:left="915"/>
              <w:spacing w:before="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w:t>
            </w:r>
          </w:p>
        </w:tc>
        <w:tc>
          <w:tcPr>
            <w:tcW w:w="1756" w:type="dxa"/>
            <w:vAlign w:val="top"/>
          </w:tcPr>
          <w:p>
            <w:pPr>
              <w:ind w:left="714"/>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1441" w:type="dxa"/>
            <w:vAlign w:val="top"/>
            <w:tcBorders>
              <w:right w:val="nil"/>
            </w:tcBorders>
          </w:tcPr>
          <w:p>
            <w:pPr>
              <w:pStyle w:val="TableText"/>
              <w:ind w:left="70"/>
              <w:spacing w:before="34" w:line="217" w:lineRule="auto"/>
              <w:rPr>
                <w:rFonts w:ascii="Times New Roman" w:hAnsi="Times New Roman" w:eastAsia="Times New Roman" w:cs="Times New Roman"/>
              </w:rPr>
            </w:pPr>
            <w:r>
              <w:rPr/>
              <w:t>二级；</w:t>
            </w:r>
            <w:r>
              <w:rPr>
                <w:rFonts w:ascii="Times New Roman" w:hAnsi="Times New Roman" w:eastAsia="Times New Roman" w:cs="Times New Roman"/>
              </w:rPr>
              <w:t>2.52m3/t</w:t>
            </w:r>
          </w:p>
        </w:tc>
      </w:tr>
    </w:tbl>
    <w:p>
      <w:pPr>
        <w:ind w:left="3433"/>
        <w:spacing w:before="30" w:line="224" w:lineRule="auto"/>
        <w:rPr>
          <w:rFonts w:ascii="FangSong" w:hAnsi="FangSong" w:eastAsia="FangSong" w:cs="FangSong"/>
          <w:sz w:val="20"/>
          <w:szCs w:val="20"/>
        </w:rPr>
      </w:pPr>
      <w:r>
        <w:rPr>
          <w:rFonts w:ascii="FangSong" w:hAnsi="FangSong" w:eastAsia="FangSong" w:cs="FangSong"/>
          <w:sz w:val="20"/>
          <w:szCs w:val="20"/>
          <w:spacing w:val="7"/>
        </w:rPr>
        <w:t>三、污染物产生指标</w:t>
      </w:r>
    </w:p>
    <w:tbl>
      <w:tblPr>
        <w:tblStyle w:val="TableNormal"/>
        <w:tblW w:w="8697"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545"/>
        <w:gridCol w:w="1903"/>
        <w:gridCol w:w="2052"/>
        <w:gridCol w:w="1756"/>
        <w:gridCol w:w="1441"/>
      </w:tblGrid>
      <w:tr>
        <w:trPr>
          <w:trHeight w:val="553" w:hRule="atLeast"/>
        </w:trPr>
        <w:tc>
          <w:tcPr>
            <w:tcW w:w="1545" w:type="dxa"/>
            <w:vAlign w:val="top"/>
            <w:tcBorders>
              <w:left w:val="nil"/>
            </w:tcBorders>
          </w:tcPr>
          <w:p>
            <w:pPr>
              <w:pStyle w:val="TableText"/>
              <w:ind w:left="404" w:right="248" w:hanging="143"/>
              <w:spacing w:before="35" w:line="234" w:lineRule="auto"/>
              <w:rPr/>
            </w:pPr>
            <w:r>
              <w:rPr>
                <w:spacing w:val="6"/>
              </w:rPr>
              <w:t>废水产生量</w:t>
            </w:r>
            <w:r>
              <w:rPr>
                <w:spacing w:val="-6"/>
              </w:rPr>
              <w:t>（</w:t>
            </w:r>
            <w:r>
              <w:rPr>
                <w:rFonts w:ascii="Times New Roman" w:hAnsi="Times New Roman" w:eastAsia="Times New Roman" w:cs="Times New Roman"/>
                <w:spacing w:val="-6"/>
              </w:rPr>
              <w:t>m3/t</w:t>
            </w:r>
            <w:r>
              <w:rPr>
                <w:spacing w:val="-6"/>
              </w:rPr>
              <w:t>）</w:t>
            </w:r>
          </w:p>
        </w:tc>
        <w:tc>
          <w:tcPr>
            <w:tcW w:w="1903" w:type="dxa"/>
            <w:vAlign w:val="top"/>
          </w:tcPr>
          <w:p>
            <w:pPr>
              <w:ind w:left="762"/>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tc>
        <w:tc>
          <w:tcPr>
            <w:tcW w:w="2052" w:type="dxa"/>
            <w:vAlign w:val="top"/>
          </w:tcPr>
          <w:p>
            <w:pPr>
              <w:ind w:left="836"/>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w:t>
            </w:r>
          </w:p>
        </w:tc>
        <w:tc>
          <w:tcPr>
            <w:tcW w:w="1756" w:type="dxa"/>
            <w:vAlign w:val="top"/>
          </w:tcPr>
          <w:p>
            <w:pPr>
              <w:ind w:left="687"/>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w:t>
            </w:r>
          </w:p>
        </w:tc>
        <w:tc>
          <w:tcPr>
            <w:tcW w:w="1441" w:type="dxa"/>
            <w:vAlign w:val="top"/>
            <w:tcBorders>
              <w:right w:val="nil"/>
            </w:tcBorders>
          </w:tcPr>
          <w:p>
            <w:pPr>
              <w:pStyle w:val="TableText"/>
              <w:ind w:left="627" w:right="3" w:hanging="608"/>
              <w:spacing w:before="35" w:line="234" w:lineRule="auto"/>
              <w:rPr/>
            </w:pPr>
            <w:r>
              <w:rPr>
                <w:spacing w:val="2"/>
              </w:rPr>
              <w:t>一级；废水不外</w:t>
            </w:r>
            <w:r>
              <w:rPr/>
              <w:t>排</w:t>
            </w:r>
          </w:p>
        </w:tc>
      </w:tr>
      <w:tr>
        <w:trPr>
          <w:trHeight w:val="548" w:hRule="atLeast"/>
        </w:trPr>
        <w:tc>
          <w:tcPr>
            <w:tcW w:w="1545" w:type="dxa"/>
            <w:vAlign w:val="top"/>
            <w:tcBorders>
              <w:left w:val="nil"/>
            </w:tcBorders>
          </w:tcPr>
          <w:p>
            <w:pPr>
              <w:pStyle w:val="TableText"/>
              <w:ind w:left="100"/>
              <w:spacing w:before="166" w:line="221" w:lineRule="auto"/>
              <w:rPr/>
            </w:pPr>
            <w:r>
              <w:rPr>
                <w:spacing w:val="4"/>
              </w:rPr>
              <w:t>悬浮物（</w:t>
            </w:r>
            <w:r>
              <w:rPr>
                <w:rFonts w:ascii="Times New Roman" w:hAnsi="Times New Roman" w:eastAsia="Times New Roman" w:cs="Times New Roman"/>
              </w:rPr>
              <w:t>kg</w:t>
            </w:r>
            <w:r>
              <w:rPr>
                <w:rFonts w:ascii="Times New Roman" w:hAnsi="Times New Roman" w:eastAsia="Times New Roman" w:cs="Times New Roman"/>
                <w:spacing w:val="4"/>
              </w:rPr>
              <w:t>/t</w:t>
            </w:r>
            <w:r>
              <w:rPr>
                <w:spacing w:val="4"/>
              </w:rPr>
              <w:t>）</w:t>
            </w:r>
          </w:p>
        </w:tc>
        <w:tc>
          <w:tcPr>
            <w:tcW w:w="1903" w:type="dxa"/>
            <w:vAlign w:val="top"/>
          </w:tcPr>
          <w:p>
            <w:pPr>
              <w:ind w:left="70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≤0.01</w:t>
            </w:r>
          </w:p>
        </w:tc>
        <w:tc>
          <w:tcPr>
            <w:tcW w:w="2052" w:type="dxa"/>
            <w:vAlign w:val="top"/>
          </w:tcPr>
          <w:p>
            <w:pPr>
              <w:ind w:left="78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≤0.21</w:t>
            </w:r>
          </w:p>
        </w:tc>
        <w:tc>
          <w:tcPr>
            <w:tcW w:w="1756" w:type="dxa"/>
            <w:vAlign w:val="top"/>
          </w:tcPr>
          <w:p>
            <w:pPr>
              <w:ind w:left="635"/>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≤0.60</w:t>
            </w:r>
          </w:p>
        </w:tc>
        <w:tc>
          <w:tcPr>
            <w:tcW w:w="1441" w:type="dxa"/>
            <w:vAlign w:val="top"/>
            <w:tcBorders>
              <w:right w:val="nil"/>
            </w:tcBorders>
          </w:tcPr>
          <w:p>
            <w:pPr>
              <w:pStyle w:val="TableText"/>
              <w:ind w:left="627" w:right="3" w:hanging="608"/>
              <w:spacing w:before="30" w:line="234" w:lineRule="auto"/>
              <w:rPr/>
            </w:pPr>
            <w:r>
              <w:rPr>
                <w:spacing w:val="2"/>
              </w:rPr>
              <w:t>一级；废水不外</w:t>
            </w:r>
            <w:r>
              <w:rPr/>
              <w:t>排</w:t>
            </w:r>
          </w:p>
        </w:tc>
      </w:tr>
      <w:tr>
        <w:trPr>
          <w:trHeight w:val="552" w:hRule="atLeast"/>
        </w:trPr>
        <w:tc>
          <w:tcPr>
            <w:tcW w:w="1545" w:type="dxa"/>
            <w:vAlign w:val="top"/>
            <w:tcBorders>
              <w:left w:val="nil"/>
            </w:tcBorders>
          </w:tcPr>
          <w:p>
            <w:pPr>
              <w:pStyle w:val="TableText"/>
              <w:ind w:left="414" w:right="248" w:hanging="154"/>
              <w:spacing w:before="32" w:line="235" w:lineRule="auto"/>
              <w:rPr/>
            </w:pPr>
            <w:r>
              <w:rPr>
                <w:spacing w:val="6"/>
              </w:rPr>
              <w:t>化学需氧量</w:t>
            </w: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/t</w:t>
            </w:r>
            <w:r>
              <w:rPr>
                <w:spacing w:val="1"/>
              </w:rPr>
              <w:t>）</w:t>
            </w:r>
          </w:p>
        </w:tc>
        <w:tc>
          <w:tcPr>
            <w:tcW w:w="1903" w:type="dxa"/>
            <w:vAlign w:val="top"/>
          </w:tcPr>
          <w:p>
            <w:pPr>
              <w:ind w:left="70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≤0.01</w:t>
            </w:r>
          </w:p>
        </w:tc>
        <w:tc>
          <w:tcPr>
            <w:tcW w:w="2052" w:type="dxa"/>
            <w:vAlign w:val="top"/>
          </w:tcPr>
          <w:p>
            <w:pPr>
              <w:ind w:left="78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11</w:t>
            </w:r>
          </w:p>
        </w:tc>
        <w:tc>
          <w:tcPr>
            <w:tcW w:w="1756" w:type="dxa"/>
            <w:vAlign w:val="top"/>
          </w:tcPr>
          <w:p>
            <w:pPr>
              <w:ind w:left="63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≤0.75</w:t>
            </w:r>
          </w:p>
        </w:tc>
        <w:tc>
          <w:tcPr>
            <w:tcW w:w="1441" w:type="dxa"/>
            <w:vAlign w:val="top"/>
            <w:tcBorders>
              <w:right w:val="nil"/>
            </w:tcBorders>
          </w:tcPr>
          <w:p>
            <w:pPr>
              <w:pStyle w:val="TableText"/>
              <w:ind w:left="627" w:right="3" w:hanging="608"/>
              <w:spacing w:before="32" w:line="235" w:lineRule="auto"/>
              <w:rPr/>
            </w:pPr>
            <w:r>
              <w:rPr>
                <w:spacing w:val="2"/>
              </w:rPr>
              <w:t>一级；废水不外</w:t>
            </w:r>
            <w:r>
              <w:rPr/>
              <w:t>排</w:t>
            </w:r>
          </w:p>
        </w:tc>
      </w:tr>
    </w:tbl>
    <w:p>
      <w:pPr>
        <w:ind w:left="3346"/>
        <w:spacing w:before="108" w:line="229" w:lineRule="auto"/>
        <w:rPr>
          <w:rFonts w:ascii="FangSong" w:hAnsi="FangSong" w:eastAsia="FangSong" w:cs="FangSong"/>
          <w:sz w:val="20"/>
          <w:szCs w:val="20"/>
        </w:rPr>
      </w:pPr>
      <w:r>
        <w:rPr>
          <w:rFonts w:ascii="FangSong" w:hAnsi="FangSong" w:eastAsia="FangSong" w:cs="FangSong"/>
          <w:sz w:val="20"/>
          <w:szCs w:val="20"/>
          <w:spacing w:val="5"/>
        </w:rPr>
        <w:t>四、废物回收利用指标</w:t>
      </w:r>
    </w:p>
    <w:p>
      <w:pPr>
        <w:spacing w:line="67" w:lineRule="exact"/>
        <w:rPr/>
      </w:pPr>
      <w:r/>
    </w:p>
    <w:tbl>
      <w:tblPr>
        <w:tblStyle w:val="TableNormal"/>
        <w:tblW w:w="8697" w:type="dxa"/>
        <w:tblInd w:w="10"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475"/>
        <w:gridCol w:w="1921"/>
        <w:gridCol w:w="2073"/>
        <w:gridCol w:w="1777"/>
        <w:gridCol w:w="1451"/>
      </w:tblGrid>
      <w:tr>
        <w:trPr>
          <w:trHeight w:val="552" w:hRule="atLeast"/>
        </w:trPr>
        <w:tc>
          <w:tcPr>
            <w:tcW w:w="1475" w:type="dxa"/>
            <w:vAlign w:val="top"/>
            <w:tcBorders>
              <w:left w:val="nil"/>
            </w:tcBorders>
          </w:tcPr>
          <w:p>
            <w:pPr>
              <w:pStyle w:val="TableText"/>
              <w:ind w:left="241" w:right="108" w:hanging="119"/>
              <w:spacing w:before="37" w:line="233" w:lineRule="auto"/>
              <w:rPr/>
            </w:pPr>
            <w:r>
              <w:rPr>
                <w:spacing w:val="6"/>
              </w:rPr>
              <w:t>选矿水重复利</w:t>
            </w:r>
            <w:r>
              <w:rPr>
                <w:spacing w:val="4"/>
              </w:rPr>
              <w:t>用率（</w:t>
            </w:r>
            <w:r>
              <w:rPr>
                <w:rFonts w:ascii="Times New Roman" w:hAnsi="Times New Roman" w:eastAsia="Times New Roman" w:cs="Times New Roman"/>
                <w:spacing w:val="4"/>
              </w:rPr>
              <w:t>%</w:t>
            </w:r>
            <w:r>
              <w:rPr>
                <w:spacing w:val="4"/>
              </w:rPr>
              <w:t>）</w:t>
            </w:r>
          </w:p>
        </w:tc>
        <w:tc>
          <w:tcPr>
            <w:tcW w:w="1921" w:type="dxa"/>
            <w:vAlign w:val="top"/>
          </w:tcPr>
          <w:p>
            <w:pPr>
              <w:ind w:left="798"/>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≥95</w:t>
            </w:r>
          </w:p>
        </w:tc>
        <w:tc>
          <w:tcPr>
            <w:tcW w:w="2073" w:type="dxa"/>
            <w:vAlign w:val="top"/>
          </w:tcPr>
          <w:p>
            <w:pPr>
              <w:ind w:left="874"/>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≥90</w:t>
            </w:r>
          </w:p>
        </w:tc>
        <w:tc>
          <w:tcPr>
            <w:tcW w:w="1777" w:type="dxa"/>
            <w:vAlign w:val="top"/>
          </w:tcPr>
          <w:p>
            <w:pPr>
              <w:ind w:left="726"/>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≥85</w:t>
            </w:r>
          </w:p>
        </w:tc>
        <w:tc>
          <w:tcPr>
            <w:tcW w:w="1451" w:type="dxa"/>
            <w:vAlign w:val="top"/>
            <w:tcBorders>
              <w:right w:val="nil"/>
            </w:tcBorders>
          </w:tcPr>
          <w:p>
            <w:pPr>
              <w:pStyle w:val="TableText"/>
              <w:ind w:left="228" w:right="25" w:hanging="209"/>
              <w:spacing w:before="37" w:line="233" w:lineRule="auto"/>
              <w:rPr/>
            </w:pPr>
            <w:r>
              <w:rPr/>
              <w:t>一级；废水全部</w:t>
            </w:r>
            <w:r>
              <w:rPr>
                <w:spacing w:val="1"/>
              </w:rPr>
              <w:t>回用不外排</w:t>
            </w:r>
          </w:p>
        </w:tc>
      </w:tr>
      <w:tr>
        <w:trPr>
          <w:trHeight w:val="552" w:hRule="atLeast"/>
        </w:trPr>
        <w:tc>
          <w:tcPr>
            <w:tcW w:w="1475" w:type="dxa"/>
            <w:vAlign w:val="top"/>
            <w:tcBorders>
              <w:left w:val="nil"/>
            </w:tcBorders>
          </w:tcPr>
          <w:p>
            <w:pPr>
              <w:pStyle w:val="TableText"/>
              <w:ind w:left="351" w:right="108" w:hanging="230"/>
              <w:spacing w:before="32" w:line="235" w:lineRule="auto"/>
              <w:rPr/>
            </w:pPr>
            <w:r>
              <w:rPr>
                <w:spacing w:val="7"/>
              </w:rPr>
              <w:t>尾矿综合利用</w:t>
            </w:r>
            <w:r>
              <w:rPr>
                <w:spacing w:val="1"/>
              </w:rPr>
              <w:t>率（</w:t>
            </w:r>
            <w:r>
              <w:rPr>
                <w:rFonts w:ascii="Times New Roman" w:hAnsi="Times New Roman" w:eastAsia="Times New Roman" w:cs="Times New Roman"/>
                <w:spacing w:val="1"/>
              </w:rPr>
              <w:t>%</w:t>
            </w:r>
            <w:r>
              <w:rPr>
                <w:spacing w:val="1"/>
              </w:rPr>
              <w:t>）</w:t>
            </w:r>
          </w:p>
        </w:tc>
        <w:tc>
          <w:tcPr>
            <w:tcW w:w="1921" w:type="dxa"/>
            <w:vAlign w:val="top"/>
          </w:tcPr>
          <w:p>
            <w:pPr>
              <w:ind w:left="79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≥30</w:t>
            </w:r>
          </w:p>
        </w:tc>
        <w:tc>
          <w:tcPr>
            <w:tcW w:w="2073" w:type="dxa"/>
            <w:vAlign w:val="top"/>
          </w:tcPr>
          <w:p>
            <w:pPr>
              <w:ind w:left="87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777" w:type="dxa"/>
            <w:vAlign w:val="top"/>
          </w:tcPr>
          <w:p>
            <w:pPr>
              <w:ind w:left="77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≥8</w:t>
            </w:r>
          </w:p>
        </w:tc>
        <w:tc>
          <w:tcPr>
            <w:tcW w:w="1451" w:type="dxa"/>
            <w:vAlign w:val="top"/>
            <w:tcBorders>
              <w:right w:val="nil"/>
            </w:tcBorders>
          </w:tcPr>
          <w:p>
            <w:pPr>
              <w:pStyle w:val="TableText"/>
              <w:ind w:left="521"/>
              <w:spacing w:before="168" w:line="232" w:lineRule="auto"/>
              <w:rPr/>
            </w:pPr>
            <w:r>
              <w:rPr/>
              <w:t>一级</w:t>
            </w:r>
          </w:p>
        </w:tc>
      </w:tr>
    </w:tbl>
    <w:p>
      <w:pPr>
        <w:ind w:left="3524"/>
        <w:spacing w:before="93" w:line="231" w:lineRule="auto"/>
        <w:rPr>
          <w:rFonts w:ascii="FangSong" w:hAnsi="FangSong" w:eastAsia="FangSong" w:cs="FangSong"/>
          <w:sz w:val="20"/>
          <w:szCs w:val="20"/>
        </w:rPr>
      </w:pPr>
      <w:r>
        <w:pict>
          <v:shape id="_x0000_s50" style="position:absolute;margin-left:0.857498pt;margin-top:20.0503pt;mso-position-vertical-relative:text;mso-position-horizontal-relative:text;width:433.65pt;height:0.5pt;z-index:251663360;" filled="false" strokecolor="#00000A" strokeweight="0.48pt" coordsize="8672,10" coordorigin="0,0" path="m0,4l8672,4e">
            <v:stroke joinstyle="bevel" miterlimit="2"/>
          </v:shape>
        </w:pict>
      </w:r>
      <w:r>
        <w:rPr>
          <w:rFonts w:ascii="FangSong" w:hAnsi="FangSong" w:eastAsia="FangSong" w:cs="FangSong"/>
          <w:sz w:val="20"/>
          <w:szCs w:val="20"/>
          <w:spacing w:val="7"/>
        </w:rPr>
        <w:t>五、环境管理要求</w:t>
      </w:r>
    </w:p>
    <w:p>
      <w:pPr>
        <w:spacing w:line="231" w:lineRule="auto"/>
        <w:sectPr>
          <w:footerReference w:type="default" r:id="rId203"/>
          <w:pgSz w:w="11911" w:h="16839"/>
          <w:pgMar w:top="400" w:right="1416" w:bottom="1146" w:left="1786" w:header="0" w:footer="984" w:gutter="0"/>
        </w:sectPr>
        <w:rPr>
          <w:rFonts w:ascii="FangSong" w:hAnsi="FangSong" w:eastAsia="FangSong" w:cs="FangSong"/>
          <w:sz w:val="20"/>
          <w:szCs w:val="20"/>
        </w:rPr>
      </w:pPr>
    </w:p>
    <w:p>
      <w:pPr>
        <w:spacing w:before="34"/>
        <w:rPr/>
      </w:pPr>
      <w:r/>
    </w:p>
    <w:tbl>
      <w:tblPr>
        <w:tblStyle w:val="TableNormal"/>
        <w:tblW w:w="8675" w:type="dxa"/>
        <w:tblInd w:w="12"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290"/>
        <w:gridCol w:w="1183"/>
        <w:gridCol w:w="1920"/>
        <w:gridCol w:w="2072"/>
        <w:gridCol w:w="1776"/>
        <w:gridCol w:w="1434"/>
      </w:tblGrid>
      <w:tr>
        <w:trPr>
          <w:trHeight w:val="553" w:hRule="atLeast"/>
        </w:trPr>
        <w:tc>
          <w:tcPr>
            <w:tcW w:w="1473" w:type="dxa"/>
            <w:vAlign w:val="top"/>
            <w:gridSpan w:val="2"/>
            <w:tcBorders>
              <w:left w:val="nil"/>
            </w:tcBorders>
          </w:tcPr>
          <w:p>
            <w:pPr>
              <w:pStyle w:val="TableText"/>
              <w:ind w:left="536" w:right="108" w:hanging="419"/>
              <w:spacing w:before="36" w:line="234" w:lineRule="auto"/>
              <w:rPr/>
            </w:pPr>
            <w:bookmarkStart w:name="bookmark566" w:id="270"/>
            <w:bookmarkEnd w:id="270"/>
            <w:r>
              <w:rPr>
                <w:spacing w:val="7"/>
              </w:rPr>
              <w:t>环境法律法规</w:t>
            </w:r>
            <w:r>
              <w:rPr>
                <w:spacing w:val="2"/>
              </w:rPr>
              <w:t>标准</w:t>
            </w:r>
          </w:p>
        </w:tc>
        <w:tc>
          <w:tcPr>
            <w:tcW w:w="5768" w:type="dxa"/>
            <w:vAlign w:val="top"/>
            <w:gridSpan w:val="3"/>
          </w:tcPr>
          <w:p>
            <w:pPr>
              <w:pStyle w:val="TableText"/>
              <w:ind w:left="692" w:right="47" w:hanging="627"/>
              <w:spacing w:before="36" w:line="234" w:lineRule="auto"/>
              <w:rPr/>
            </w:pPr>
            <w:r>
              <w:rPr>
                <w:spacing w:val="9"/>
              </w:rPr>
              <w:t>符合国家和地方有关环境法律、法规，污染物排放达到国家和</w:t>
            </w:r>
            <w:r>
              <w:rPr>
                <w:spacing w:val="9"/>
              </w:rPr>
              <w:t>地方排放标准、总量控制和排污许可证管理要求</w:t>
            </w:r>
          </w:p>
        </w:tc>
        <w:tc>
          <w:tcPr>
            <w:tcW w:w="1434" w:type="dxa"/>
            <w:vAlign w:val="top"/>
            <w:tcBorders>
              <w:right w:val="nil"/>
            </w:tcBorders>
          </w:tcPr>
          <w:p>
            <w:pPr>
              <w:pStyle w:val="TableText"/>
              <w:ind w:left="317"/>
              <w:spacing w:before="171" w:line="229" w:lineRule="auto"/>
              <w:rPr/>
            </w:pPr>
            <w:r>
              <w:rPr>
                <w:spacing w:val="4"/>
              </w:rPr>
              <w:t>符合要求</w:t>
            </w:r>
          </w:p>
        </w:tc>
      </w:tr>
      <w:tr>
        <w:trPr>
          <w:trHeight w:val="1907" w:hRule="atLeast"/>
        </w:trPr>
        <w:tc>
          <w:tcPr>
            <w:tcW w:w="1473" w:type="dxa"/>
            <w:vAlign w:val="top"/>
            <w:gridSpan w:val="2"/>
            <w:tcBorders>
              <w:left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26"/>
              <w:spacing w:before="65" w:line="231" w:lineRule="auto"/>
              <w:rPr/>
            </w:pPr>
            <w:r>
              <w:rPr>
                <w:spacing w:val="5"/>
              </w:rPr>
              <w:t>环境审核</w:t>
            </w:r>
          </w:p>
        </w:tc>
        <w:tc>
          <w:tcPr>
            <w:tcW w:w="1920" w:type="dxa"/>
            <w:vAlign w:val="top"/>
          </w:tcPr>
          <w:p>
            <w:pPr>
              <w:pStyle w:val="TableText"/>
              <w:ind w:left="27"/>
              <w:spacing w:before="32" w:line="231" w:lineRule="auto"/>
              <w:rPr/>
            </w:pPr>
            <w:r>
              <w:rPr>
                <w:spacing w:val="8"/>
              </w:rPr>
              <w:t>按照企业清洁生产审</w:t>
            </w:r>
          </w:p>
          <w:p>
            <w:pPr>
              <w:pStyle w:val="TableText"/>
              <w:ind w:left="26"/>
              <w:spacing w:before="21" w:line="229" w:lineRule="auto"/>
              <w:rPr/>
            </w:pPr>
            <w:r>
              <w:rPr>
                <w:spacing w:val="8"/>
              </w:rPr>
              <w:t>核指南要求进行了审</w:t>
            </w:r>
          </w:p>
          <w:p>
            <w:pPr>
              <w:pStyle w:val="TableText"/>
              <w:ind w:left="91"/>
              <w:spacing w:before="24" w:line="231" w:lineRule="auto"/>
              <w:rPr>
                <w:rFonts w:ascii="Times New Roman" w:hAnsi="Times New Roman" w:eastAsia="Times New Roman" w:cs="Times New Roman"/>
              </w:rPr>
            </w:pPr>
            <w:r>
              <w:rPr>
                <w:spacing w:val="6"/>
              </w:rPr>
              <w:t>核；按照</w:t>
            </w:r>
            <w:r>
              <w:rPr>
                <w:spacing w:val="-35"/>
              </w:rPr>
              <w:t xml:space="preserve"> </w:t>
            </w:r>
            <w:r>
              <w:rPr>
                <w:rFonts w:ascii="Times New Roman" w:hAnsi="Times New Roman" w:eastAsia="Times New Roman" w:cs="Times New Roman"/>
              </w:rPr>
              <w:t>ISO</w:t>
            </w:r>
            <w:r>
              <w:rPr>
                <w:rFonts w:ascii="Times New Roman" w:hAnsi="Times New Roman" w:eastAsia="Times New Roman" w:cs="Times New Roman"/>
                <w:spacing w:val="6"/>
              </w:rPr>
              <w:t>14001</w:t>
            </w:r>
          </w:p>
          <w:p>
            <w:pPr>
              <w:pStyle w:val="TableText"/>
              <w:ind w:left="27"/>
              <w:spacing w:before="20" w:line="229" w:lineRule="auto"/>
              <w:rPr/>
            </w:pPr>
            <w:r>
              <w:rPr>
                <w:spacing w:val="8"/>
              </w:rPr>
              <w:t>建立并运行环境管理</w:t>
            </w:r>
          </w:p>
          <w:p>
            <w:pPr>
              <w:pStyle w:val="TableText"/>
              <w:spacing w:before="26" w:line="231" w:lineRule="auto"/>
              <w:jc w:val="right"/>
              <w:rPr/>
            </w:pPr>
            <w:r>
              <w:rPr>
                <w:spacing w:val="-11"/>
              </w:rPr>
              <w:t>体系，环境管理手册、</w:t>
            </w:r>
          </w:p>
          <w:p>
            <w:pPr>
              <w:pStyle w:val="TableText"/>
              <w:ind w:left="28"/>
              <w:spacing w:before="21" w:line="229" w:lineRule="auto"/>
              <w:rPr/>
            </w:pPr>
            <w:r>
              <w:rPr>
                <w:spacing w:val="8"/>
              </w:rPr>
              <w:t>程序文件及作业文件</w:t>
            </w:r>
          </w:p>
          <w:p>
            <w:pPr>
              <w:pStyle w:val="TableText"/>
              <w:ind w:left="763"/>
              <w:spacing w:before="26" w:line="212" w:lineRule="auto"/>
              <w:rPr/>
            </w:pPr>
            <w:r>
              <w:rPr>
                <w:spacing w:val="1"/>
              </w:rPr>
              <w:t>齐备</w:t>
            </w:r>
          </w:p>
        </w:tc>
        <w:tc>
          <w:tcPr>
            <w:tcW w:w="2072" w:type="dxa"/>
            <w:vAlign w:val="top"/>
          </w:tcPr>
          <w:p>
            <w:pPr>
              <w:pStyle w:val="TableText"/>
              <w:ind w:left="104"/>
              <w:spacing w:before="303" w:line="231" w:lineRule="auto"/>
              <w:rPr/>
            </w:pPr>
            <w:r>
              <w:rPr>
                <w:spacing w:val="8"/>
              </w:rPr>
              <w:t>按照企业清洁生产审</w:t>
            </w:r>
          </w:p>
          <w:p>
            <w:pPr>
              <w:pStyle w:val="TableText"/>
              <w:ind w:left="103"/>
              <w:spacing w:before="23" w:line="229" w:lineRule="auto"/>
              <w:rPr/>
            </w:pPr>
            <w:r>
              <w:rPr>
                <w:spacing w:val="8"/>
              </w:rPr>
              <w:t>核指南要求进行了审</w:t>
            </w:r>
          </w:p>
          <w:p>
            <w:pPr>
              <w:pStyle w:val="TableText"/>
              <w:ind w:left="103"/>
              <w:spacing w:before="22" w:line="230" w:lineRule="auto"/>
              <w:rPr/>
            </w:pPr>
            <w:r>
              <w:rPr>
                <w:spacing w:val="8"/>
              </w:rPr>
              <w:t>核；环境管理制度健</w:t>
            </w:r>
          </w:p>
          <w:p>
            <w:pPr>
              <w:pStyle w:val="TableText"/>
              <w:ind w:right="3"/>
              <w:spacing w:before="24" w:line="231" w:lineRule="auto"/>
              <w:jc w:val="right"/>
              <w:rPr/>
            </w:pPr>
            <w:r>
              <w:rPr>
                <w:spacing w:val="4"/>
              </w:rPr>
              <w:t>全，原始记录及统计数</w:t>
            </w:r>
          </w:p>
          <w:p>
            <w:pPr>
              <w:pStyle w:val="TableText"/>
              <w:ind w:left="524"/>
              <w:spacing w:before="21" w:line="231" w:lineRule="auto"/>
              <w:rPr/>
            </w:pPr>
            <w:r>
              <w:rPr>
                <w:spacing w:val="6"/>
              </w:rPr>
              <w:t>据齐全有效</w:t>
            </w:r>
          </w:p>
        </w:tc>
        <w:tc>
          <w:tcPr>
            <w:tcW w:w="1776" w:type="dxa"/>
            <w:vAlign w:val="top"/>
          </w:tcPr>
          <w:p>
            <w:pPr>
              <w:pStyle w:val="TableText"/>
              <w:ind w:left="60" w:right="46"/>
              <w:spacing w:before="301" w:line="252" w:lineRule="auto"/>
              <w:jc w:val="both"/>
              <w:rPr/>
            </w:pPr>
            <w:r>
              <w:rPr>
                <w:spacing w:val="7"/>
              </w:rPr>
              <w:t>按照企业清洁生产</w:t>
            </w:r>
            <w:r>
              <w:rPr>
                <w:spacing w:val="7"/>
              </w:rPr>
              <w:t>审核指南要求进行</w:t>
            </w:r>
            <w:r>
              <w:rPr>
                <w:spacing w:val="7"/>
              </w:rPr>
              <w:t>了审核；环境管理</w:t>
            </w:r>
            <w:r>
              <w:rPr>
                <w:spacing w:val="7"/>
              </w:rPr>
              <w:t>制度、原始记录及</w:t>
            </w:r>
            <w:r>
              <w:rPr>
                <w:spacing w:val="7"/>
              </w:rPr>
              <w:t>统计数据基本齐全</w:t>
            </w:r>
          </w:p>
        </w:tc>
        <w:tc>
          <w:tcPr>
            <w:tcW w:w="1434" w:type="dxa"/>
            <w:vAlign w:val="top"/>
            <w:tcBorders>
              <w:right w:val="nil"/>
            </w:tcBorders>
          </w:tcPr>
          <w:p>
            <w:pPr>
              <w:spacing w:line="321" w:lineRule="auto"/>
              <w:rPr>
                <w:rFonts w:ascii="Arial"/>
                <w:sz w:val="21"/>
              </w:rPr>
            </w:pPr>
            <w:r/>
          </w:p>
          <w:p>
            <w:pPr>
              <w:spacing w:line="322" w:lineRule="auto"/>
              <w:rPr>
                <w:rFonts w:ascii="Arial"/>
                <w:sz w:val="21"/>
              </w:rPr>
            </w:pPr>
            <w:r/>
          </w:p>
          <w:p>
            <w:pPr>
              <w:pStyle w:val="TableText"/>
              <w:ind w:left="520" w:right="86" w:hanging="420"/>
              <w:spacing w:before="65" w:line="252" w:lineRule="auto"/>
              <w:rPr/>
            </w:pPr>
            <w:r>
              <w:rPr>
                <w:spacing w:val="7"/>
              </w:rPr>
              <w:t>投产后按一级</w:t>
            </w:r>
            <w:r>
              <w:rPr>
                <w:spacing w:val="2"/>
              </w:rPr>
              <w:t>执行</w:t>
            </w:r>
          </w:p>
        </w:tc>
      </w:tr>
      <w:tr>
        <w:trPr>
          <w:trHeight w:val="549" w:hRule="atLeast"/>
        </w:trPr>
        <w:tc>
          <w:tcPr>
            <w:tcW w:w="290" w:type="dxa"/>
            <w:vAlign w:val="top"/>
            <w:tcBorders>
              <w:left w:val="nil"/>
              <w:bottom w:val="nil"/>
            </w:tcBorders>
          </w:tcPr>
          <w:p>
            <w:pPr>
              <w:rPr>
                <w:rFonts w:ascii="Arial"/>
                <w:sz w:val="21"/>
              </w:rPr>
            </w:pPr>
            <w:r/>
          </w:p>
        </w:tc>
        <w:tc>
          <w:tcPr>
            <w:tcW w:w="1183" w:type="dxa"/>
            <w:vAlign w:val="top"/>
          </w:tcPr>
          <w:p>
            <w:pPr>
              <w:pStyle w:val="TableText"/>
              <w:ind w:left="209"/>
              <w:spacing w:before="172" w:line="230" w:lineRule="auto"/>
              <w:rPr/>
            </w:pPr>
            <w:r>
              <w:rPr>
                <w:spacing w:val="-1"/>
              </w:rPr>
              <w:t>岗位培训</w:t>
            </w:r>
          </w:p>
        </w:tc>
        <w:tc>
          <w:tcPr>
            <w:tcW w:w="3992" w:type="dxa"/>
            <w:vAlign w:val="top"/>
            <w:gridSpan w:val="2"/>
          </w:tcPr>
          <w:p>
            <w:pPr>
              <w:pStyle w:val="TableText"/>
              <w:ind w:left="853"/>
              <w:spacing w:before="173" w:line="229" w:lineRule="auto"/>
              <w:rPr/>
            </w:pPr>
            <w:r>
              <w:rPr>
                <w:spacing w:val="8"/>
              </w:rPr>
              <w:t>所有岗位进行过严格培训</w:t>
            </w:r>
          </w:p>
        </w:tc>
        <w:tc>
          <w:tcPr>
            <w:tcW w:w="1776" w:type="dxa"/>
            <w:vAlign w:val="top"/>
          </w:tcPr>
          <w:p>
            <w:pPr>
              <w:pStyle w:val="TableText"/>
              <w:ind w:left="584" w:right="46" w:hanging="519"/>
              <w:spacing w:before="38" w:line="231" w:lineRule="auto"/>
              <w:rPr/>
            </w:pPr>
            <w:r>
              <w:rPr>
                <w:spacing w:val="7"/>
              </w:rPr>
              <w:t>主要岗位进行过严</w:t>
            </w:r>
            <w:r>
              <w:rPr>
                <w:spacing w:val="5"/>
              </w:rPr>
              <w:t>格培训</w:t>
            </w:r>
          </w:p>
        </w:tc>
        <w:tc>
          <w:tcPr>
            <w:tcW w:w="1434" w:type="dxa"/>
            <w:vAlign w:val="top"/>
            <w:tcBorders>
              <w:right w:val="nil"/>
            </w:tcBorders>
          </w:tcPr>
          <w:p>
            <w:pPr>
              <w:pStyle w:val="TableText"/>
              <w:ind w:left="520" w:right="86" w:hanging="420"/>
              <w:spacing w:before="38" w:line="231" w:lineRule="auto"/>
              <w:rPr/>
            </w:pPr>
            <w:r>
              <w:rPr>
                <w:spacing w:val="7"/>
              </w:rPr>
              <w:t>投产后按一级</w:t>
            </w:r>
            <w:r>
              <w:rPr>
                <w:spacing w:val="2"/>
              </w:rPr>
              <w:t>执行</w:t>
            </w:r>
          </w:p>
        </w:tc>
      </w:tr>
      <w:tr>
        <w:trPr>
          <w:trHeight w:val="1092" w:hRule="atLeast"/>
        </w:trPr>
        <w:tc>
          <w:tcPr>
            <w:tcW w:w="290" w:type="dxa"/>
            <w:vAlign w:val="top"/>
            <w:textDirection w:val="tbRlV"/>
            <w:tcBorders>
              <w:left w:val="nil"/>
              <w:bottom w:val="nil"/>
              <w:top w:val="nil"/>
            </w:tcBorders>
          </w:tcPr>
          <w:p>
            <w:pPr>
              <w:pStyle w:val="TableText"/>
              <w:ind w:left="456"/>
              <w:spacing w:before="41" w:line="209" w:lineRule="auto"/>
              <w:rPr/>
            </w:pPr>
            <w:r>
              <w:rPr>
                <w:spacing w:val="13"/>
              </w:rPr>
              <w:t>生</w:t>
            </w:r>
            <w:r>
              <w:rPr>
                <w:spacing w:val="-42"/>
              </w:rPr>
              <w:t xml:space="preserve"> </w:t>
            </w:r>
            <w:r>
              <w:rPr>
                <w:spacing w:val="13"/>
              </w:rPr>
              <w:t>产</w:t>
            </w:r>
          </w:p>
        </w:tc>
        <w:tc>
          <w:tcPr>
            <w:tcW w:w="1183" w:type="dxa"/>
            <w:vAlign w:val="top"/>
          </w:tcPr>
          <w:p>
            <w:pPr>
              <w:pStyle w:val="TableText"/>
              <w:ind w:left="77" w:hanging="63"/>
              <w:spacing w:before="37" w:line="251" w:lineRule="auto"/>
              <w:rPr/>
            </w:pPr>
            <w:r>
              <w:rPr>
                <w:spacing w:val="-7"/>
              </w:rPr>
              <w:t>破碎、磨矿、</w:t>
            </w:r>
            <w:r>
              <w:rPr>
                <w:spacing w:val="-2"/>
              </w:rPr>
              <w:t>分级等主要</w:t>
            </w:r>
          </w:p>
          <w:p>
            <w:pPr>
              <w:pStyle w:val="TableText"/>
              <w:ind w:left="402" w:right="65" w:hanging="320"/>
              <w:spacing w:line="231" w:lineRule="auto"/>
              <w:rPr/>
            </w:pPr>
            <w:r>
              <w:rPr>
                <w:spacing w:val="6"/>
              </w:rPr>
              <w:t>工序得操作</w:t>
            </w:r>
            <w:r>
              <w:rPr>
                <w:spacing w:val="-4"/>
              </w:rPr>
              <w:t>管理</w:t>
            </w:r>
          </w:p>
        </w:tc>
        <w:tc>
          <w:tcPr>
            <w:tcW w:w="1920" w:type="dxa"/>
            <w:vAlign w:val="top"/>
          </w:tcPr>
          <w:p>
            <w:pPr>
              <w:pStyle w:val="TableText"/>
              <w:ind w:left="24"/>
              <w:spacing w:before="172" w:line="229" w:lineRule="auto"/>
              <w:rPr/>
            </w:pPr>
            <w:r>
              <w:rPr>
                <w:spacing w:val="8"/>
              </w:rPr>
              <w:t>有完善的岗位操作规</w:t>
            </w:r>
          </w:p>
          <w:p>
            <w:pPr>
              <w:pStyle w:val="TableText"/>
              <w:ind w:left="28"/>
              <w:spacing w:before="23" w:line="229" w:lineRule="auto"/>
              <w:rPr/>
            </w:pPr>
            <w:r>
              <w:rPr>
                <w:spacing w:val="8"/>
              </w:rPr>
              <w:t>程运行无故障、设备</w:t>
            </w:r>
          </w:p>
          <w:p>
            <w:pPr>
              <w:pStyle w:val="TableText"/>
              <w:ind w:left="283"/>
              <w:spacing w:before="22" w:line="232" w:lineRule="auto"/>
              <w:rPr>
                <w:rFonts w:ascii="Times New Roman" w:hAnsi="Times New Roman" w:eastAsia="Times New Roman" w:cs="Times New Roman"/>
              </w:rPr>
            </w:pPr>
            <w:r>
              <w:rPr>
                <w:spacing w:val="2"/>
              </w:rPr>
              <w:t>完好率达</w:t>
            </w:r>
            <w:r>
              <w:rPr>
                <w:spacing w:val="-18"/>
              </w:rPr>
              <w:t xml:space="preserve"> </w:t>
            </w:r>
            <w:r>
              <w:rPr>
                <w:rFonts w:ascii="Times New Roman" w:hAnsi="Times New Roman" w:eastAsia="Times New Roman" w:cs="Times New Roman"/>
                <w:spacing w:val="2"/>
              </w:rPr>
              <w:t>100%</w:t>
            </w:r>
          </w:p>
        </w:tc>
        <w:tc>
          <w:tcPr>
            <w:tcW w:w="2072" w:type="dxa"/>
            <w:vAlign w:val="top"/>
          </w:tcPr>
          <w:p>
            <w:pPr>
              <w:pStyle w:val="TableText"/>
              <w:ind w:left="101"/>
              <w:spacing w:before="172" w:line="229" w:lineRule="auto"/>
              <w:rPr/>
            </w:pPr>
            <w:r>
              <w:rPr>
                <w:spacing w:val="8"/>
              </w:rPr>
              <w:t>有完善的岗位操作规</w:t>
            </w:r>
          </w:p>
          <w:p>
            <w:pPr>
              <w:pStyle w:val="TableText"/>
              <w:ind w:left="19"/>
              <w:spacing w:before="23" w:line="229" w:lineRule="auto"/>
              <w:rPr/>
            </w:pPr>
            <w:r>
              <w:rPr>
                <w:spacing w:val="4"/>
              </w:rPr>
              <w:t>程；运行无故障、设备</w:t>
            </w:r>
          </w:p>
          <w:p>
            <w:pPr>
              <w:pStyle w:val="TableText"/>
              <w:ind w:left="415"/>
              <w:spacing w:before="22" w:line="232" w:lineRule="auto"/>
              <w:rPr>
                <w:rFonts w:ascii="Times New Roman" w:hAnsi="Times New Roman" w:eastAsia="Times New Roman" w:cs="Times New Roman"/>
              </w:rPr>
            </w:pPr>
            <w:r>
              <w:rPr>
                <w:spacing w:val="4"/>
              </w:rPr>
              <w:t>完好率达</w:t>
            </w:r>
            <w:r>
              <w:rPr>
                <w:spacing w:val="-38"/>
              </w:rPr>
              <w:t xml:space="preserve"> </w:t>
            </w:r>
            <w:r>
              <w:rPr>
                <w:rFonts w:ascii="Times New Roman" w:hAnsi="Times New Roman" w:eastAsia="Times New Roman" w:cs="Times New Roman"/>
                <w:spacing w:val="4"/>
              </w:rPr>
              <w:t>98%</w:t>
            </w:r>
          </w:p>
        </w:tc>
        <w:tc>
          <w:tcPr>
            <w:tcW w:w="1776" w:type="dxa"/>
            <w:vAlign w:val="top"/>
          </w:tcPr>
          <w:p>
            <w:pPr>
              <w:pStyle w:val="TableText"/>
              <w:ind w:left="18" w:firstLine="37"/>
              <w:spacing w:before="172" w:line="251" w:lineRule="auto"/>
              <w:jc w:val="both"/>
              <w:rPr>
                <w:rFonts w:ascii="Times New Roman" w:hAnsi="Times New Roman" w:eastAsia="Times New Roman" w:cs="Times New Roman"/>
              </w:rPr>
            </w:pPr>
            <w:r>
              <w:rPr/>
              <w:t>有完善的岗位操作</w:t>
            </w:r>
            <w:r>
              <w:rPr>
                <w:spacing w:val="-6"/>
              </w:rPr>
              <w:t>规程；运行无故障、</w:t>
            </w:r>
            <w:r>
              <w:rPr>
                <w:spacing w:val="1"/>
              </w:rPr>
              <w:t>设备完好率达</w:t>
            </w:r>
            <w:r>
              <w:rPr>
                <w:spacing w:val="1"/>
              </w:rPr>
              <w:t xml:space="preserve"> </w:t>
            </w:r>
            <w:r>
              <w:rPr>
                <w:rFonts w:ascii="Times New Roman" w:hAnsi="Times New Roman" w:eastAsia="Times New Roman" w:cs="Times New Roman"/>
                <w:spacing w:val="1"/>
              </w:rPr>
              <w:t>95%</w:t>
            </w:r>
          </w:p>
        </w:tc>
        <w:tc>
          <w:tcPr>
            <w:tcW w:w="1434" w:type="dxa"/>
            <w:vAlign w:val="top"/>
            <w:tcBorders>
              <w:right w:val="nil"/>
            </w:tcBorders>
          </w:tcPr>
          <w:p>
            <w:pPr>
              <w:spacing w:line="243" w:lineRule="auto"/>
              <w:rPr>
                <w:rFonts w:ascii="Arial"/>
                <w:sz w:val="21"/>
              </w:rPr>
            </w:pPr>
            <w:r/>
          </w:p>
          <w:p>
            <w:pPr>
              <w:pStyle w:val="TableText"/>
              <w:ind w:left="520" w:right="86" w:hanging="420"/>
              <w:spacing w:before="65" w:line="250" w:lineRule="auto"/>
              <w:rPr/>
            </w:pPr>
            <w:r>
              <w:rPr>
                <w:spacing w:val="7"/>
              </w:rPr>
              <w:t>投产后按一级</w:t>
            </w:r>
            <w:r>
              <w:rPr>
                <w:spacing w:val="2"/>
              </w:rPr>
              <w:t>执行</w:t>
            </w:r>
          </w:p>
        </w:tc>
      </w:tr>
      <w:tr>
        <w:trPr>
          <w:trHeight w:val="1093" w:hRule="atLeast"/>
        </w:trPr>
        <w:tc>
          <w:tcPr>
            <w:tcW w:w="290" w:type="dxa"/>
            <w:vAlign w:val="top"/>
            <w:textDirection w:val="tbRlV"/>
            <w:tcBorders>
              <w:left w:val="nil"/>
              <w:bottom w:val="nil"/>
              <w:top w:val="nil"/>
            </w:tcBorders>
          </w:tcPr>
          <w:p>
            <w:pPr>
              <w:pStyle w:val="TableText"/>
              <w:spacing w:before="41" w:line="209" w:lineRule="auto"/>
              <w:jc w:val="right"/>
              <w:rPr/>
            </w:pPr>
            <w:r>
              <w:rPr>
                <w:spacing w:val="18"/>
              </w:rPr>
              <w:t>过程环境管</w:t>
            </w:r>
          </w:p>
        </w:tc>
        <w:tc>
          <w:tcPr>
            <w:tcW w:w="1183" w:type="dxa"/>
            <w:vAlign w:val="top"/>
          </w:tcPr>
          <w:p>
            <w:pPr>
              <w:pStyle w:val="TableText"/>
              <w:ind w:left="89"/>
              <w:spacing w:before="41" w:line="232" w:lineRule="auto"/>
              <w:rPr/>
            </w:pPr>
            <w:r>
              <w:rPr>
                <w:spacing w:val="4"/>
              </w:rPr>
              <w:t>生产设备的</w:t>
            </w:r>
          </w:p>
          <w:p>
            <w:pPr>
              <w:pStyle w:val="TableText"/>
              <w:spacing w:before="19" w:line="230" w:lineRule="auto"/>
              <w:jc w:val="right"/>
              <w:rPr/>
            </w:pPr>
            <w:r>
              <w:rPr>
                <w:spacing w:val="-7"/>
              </w:rPr>
              <w:t>使用、维护、</w:t>
            </w:r>
          </w:p>
          <w:p>
            <w:pPr>
              <w:pStyle w:val="TableText"/>
              <w:ind w:left="79"/>
              <w:spacing w:before="21" w:line="229" w:lineRule="auto"/>
              <w:rPr/>
            </w:pPr>
            <w:r>
              <w:rPr>
                <w:spacing w:val="6"/>
              </w:rPr>
              <w:t>检修管理制</w:t>
            </w:r>
          </w:p>
          <w:p>
            <w:pPr>
              <w:pStyle w:val="TableText"/>
              <w:ind w:left="497"/>
              <w:spacing w:before="25" w:line="209" w:lineRule="auto"/>
              <w:rPr/>
            </w:pPr>
            <w:r>
              <w:rPr/>
              <w:t>度</w:t>
            </w:r>
          </w:p>
        </w:tc>
        <w:tc>
          <w:tcPr>
            <w:tcW w:w="1920" w:type="dxa"/>
            <w:vAlign w:val="top"/>
          </w:tcPr>
          <w:p>
            <w:pPr>
              <w:spacing w:line="244" w:lineRule="auto"/>
              <w:rPr>
                <w:rFonts w:ascii="Arial"/>
                <w:sz w:val="21"/>
              </w:rPr>
            </w:pPr>
            <w:r/>
          </w:p>
          <w:p>
            <w:pPr>
              <w:pStyle w:val="TableText"/>
              <w:ind w:left="448" w:right="60" w:hanging="424"/>
              <w:spacing w:before="65" w:line="250" w:lineRule="auto"/>
              <w:rPr/>
            </w:pPr>
            <w:r>
              <w:rPr>
                <w:spacing w:val="3"/>
              </w:rPr>
              <w:t>有完善的管理制度，</w:t>
            </w:r>
            <w:r>
              <w:rPr>
                <w:spacing w:val="6"/>
              </w:rPr>
              <w:t>并严格执行</w:t>
            </w:r>
          </w:p>
        </w:tc>
        <w:tc>
          <w:tcPr>
            <w:tcW w:w="2072" w:type="dxa"/>
            <w:vAlign w:val="top"/>
          </w:tcPr>
          <w:p>
            <w:pPr>
              <w:spacing w:line="244" w:lineRule="auto"/>
              <w:rPr>
                <w:rFonts w:ascii="Arial"/>
                <w:sz w:val="21"/>
              </w:rPr>
            </w:pPr>
            <w:r/>
          </w:p>
          <w:p>
            <w:pPr>
              <w:pStyle w:val="TableText"/>
              <w:ind w:left="105" w:right="87" w:firstLine="4"/>
              <w:spacing w:before="65" w:line="250" w:lineRule="auto"/>
              <w:rPr/>
            </w:pPr>
            <w:r>
              <w:rPr>
                <w:spacing w:val="7"/>
              </w:rPr>
              <w:t>主要设备有具体的管</w:t>
            </w:r>
            <w:r>
              <w:rPr>
                <w:spacing w:val="8"/>
              </w:rPr>
              <w:t>理制度，并严格执行</w:t>
            </w:r>
          </w:p>
        </w:tc>
        <w:tc>
          <w:tcPr>
            <w:tcW w:w="1776" w:type="dxa"/>
            <w:vAlign w:val="top"/>
          </w:tcPr>
          <w:p>
            <w:pPr>
              <w:pStyle w:val="TableText"/>
              <w:ind w:left="65"/>
              <w:spacing w:before="175" w:line="231" w:lineRule="auto"/>
              <w:rPr/>
            </w:pPr>
            <w:r>
              <w:rPr>
                <w:spacing w:val="7"/>
              </w:rPr>
              <w:t>主要设备有基本的</w:t>
            </w:r>
          </w:p>
          <w:p>
            <w:pPr>
              <w:pStyle w:val="TableText"/>
              <w:ind w:left="71"/>
              <w:spacing w:before="20" w:line="229" w:lineRule="auto"/>
              <w:rPr/>
            </w:pPr>
            <w:r>
              <w:rPr>
                <w:spacing w:val="6"/>
              </w:rPr>
              <w:t>管理制度，并严格</w:t>
            </w:r>
          </w:p>
          <w:p>
            <w:pPr>
              <w:pStyle w:val="TableText"/>
              <w:ind w:left="690"/>
              <w:spacing w:before="26" w:line="229" w:lineRule="auto"/>
              <w:rPr/>
            </w:pPr>
            <w:r>
              <w:rPr>
                <w:spacing w:val="2"/>
              </w:rPr>
              <w:t>执行</w:t>
            </w:r>
          </w:p>
        </w:tc>
        <w:tc>
          <w:tcPr>
            <w:tcW w:w="1434" w:type="dxa"/>
            <w:vAlign w:val="top"/>
            <w:tcBorders>
              <w:right w:val="nil"/>
            </w:tcBorders>
          </w:tcPr>
          <w:p>
            <w:pPr>
              <w:spacing w:line="245" w:lineRule="auto"/>
              <w:rPr>
                <w:rFonts w:ascii="Arial"/>
                <w:sz w:val="21"/>
              </w:rPr>
            </w:pPr>
            <w:r/>
          </w:p>
          <w:p>
            <w:pPr>
              <w:pStyle w:val="TableText"/>
              <w:ind w:left="520" w:right="86" w:hanging="420"/>
              <w:spacing w:before="65" w:line="250" w:lineRule="auto"/>
              <w:rPr/>
            </w:pPr>
            <w:r>
              <w:rPr>
                <w:spacing w:val="7"/>
              </w:rPr>
              <w:t>投产后按一级</w:t>
            </w:r>
            <w:r>
              <w:rPr>
                <w:spacing w:val="2"/>
              </w:rPr>
              <w:t>执行</w:t>
            </w:r>
          </w:p>
        </w:tc>
      </w:tr>
      <w:tr>
        <w:trPr>
          <w:trHeight w:val="820" w:hRule="atLeast"/>
        </w:trPr>
        <w:tc>
          <w:tcPr>
            <w:tcW w:w="290" w:type="dxa"/>
            <w:vAlign w:val="top"/>
            <w:tcBorders>
              <w:left w:val="nil"/>
              <w:bottom w:val="nil"/>
              <w:top w:val="nil"/>
            </w:tcBorders>
          </w:tcPr>
          <w:p>
            <w:pPr>
              <w:pStyle w:val="TableText"/>
              <w:ind w:left="52"/>
              <w:spacing w:before="166" w:line="242" w:lineRule="auto"/>
              <w:rPr/>
            </w:pPr>
            <w:r>
              <w:rPr/>
              <w:t>理</w:t>
            </w:r>
          </w:p>
        </w:tc>
        <w:tc>
          <w:tcPr>
            <w:tcW w:w="1183" w:type="dxa"/>
            <w:vAlign w:val="top"/>
          </w:tcPr>
          <w:p>
            <w:pPr>
              <w:pStyle w:val="TableText"/>
              <w:ind w:left="14" w:right="5" w:firstLine="75"/>
              <w:spacing w:before="176" w:line="253" w:lineRule="auto"/>
              <w:rPr/>
            </w:pPr>
            <w:r>
              <w:rPr>
                <w:spacing w:val="4"/>
              </w:rPr>
              <w:t>生产工艺用</w:t>
            </w:r>
            <w:r>
              <w:rPr>
                <w:spacing w:val="-7"/>
              </w:rPr>
              <w:t>水、用电管理</w:t>
            </w:r>
          </w:p>
        </w:tc>
        <w:tc>
          <w:tcPr>
            <w:tcW w:w="1920" w:type="dxa"/>
            <w:vAlign w:val="top"/>
          </w:tcPr>
          <w:p>
            <w:pPr>
              <w:pStyle w:val="TableText"/>
              <w:ind w:left="28"/>
              <w:spacing w:before="42" w:line="229" w:lineRule="auto"/>
              <w:rPr/>
            </w:pPr>
            <w:r>
              <w:rPr>
                <w:spacing w:val="7"/>
              </w:rPr>
              <w:t>各种计量装置齐全，</w:t>
            </w:r>
          </w:p>
          <w:p>
            <w:pPr>
              <w:pStyle w:val="TableText"/>
              <w:ind w:left="29"/>
              <w:spacing w:before="22" w:line="229" w:lineRule="auto"/>
              <w:rPr/>
            </w:pPr>
            <w:r>
              <w:rPr>
                <w:spacing w:val="8"/>
              </w:rPr>
              <w:t>并制定严格计量考核</w:t>
            </w:r>
          </w:p>
          <w:p>
            <w:pPr>
              <w:pStyle w:val="TableText"/>
              <w:ind w:left="762"/>
              <w:spacing w:before="23" w:line="208" w:lineRule="auto"/>
              <w:rPr/>
            </w:pPr>
            <w:r>
              <w:rPr>
                <w:spacing w:val="1"/>
              </w:rPr>
              <w:t>制度</w:t>
            </w:r>
          </w:p>
        </w:tc>
        <w:tc>
          <w:tcPr>
            <w:tcW w:w="2072" w:type="dxa"/>
            <w:vAlign w:val="top"/>
          </w:tcPr>
          <w:p>
            <w:pPr>
              <w:pStyle w:val="TableText"/>
              <w:ind w:left="207" w:right="1" w:hanging="184"/>
              <w:spacing w:before="177" w:line="252" w:lineRule="auto"/>
              <w:rPr/>
            </w:pPr>
            <w:r>
              <w:rPr>
                <w:spacing w:val="4"/>
              </w:rPr>
              <w:t>主要环节进行计量，并</w:t>
            </w:r>
            <w:r>
              <w:rPr>
                <w:spacing w:val="7"/>
              </w:rPr>
              <w:t>制定定量考核制度</w:t>
            </w:r>
          </w:p>
        </w:tc>
        <w:tc>
          <w:tcPr>
            <w:tcW w:w="1776" w:type="dxa"/>
            <w:vAlign w:val="top"/>
          </w:tcPr>
          <w:p>
            <w:pPr>
              <w:spacing w:line="247" w:lineRule="auto"/>
              <w:rPr>
                <w:rFonts w:ascii="Arial"/>
                <w:sz w:val="21"/>
              </w:rPr>
            </w:pPr>
            <w:r/>
          </w:p>
          <w:p>
            <w:pPr>
              <w:pStyle w:val="TableText"/>
              <w:ind w:left="65"/>
              <w:spacing w:before="65" w:line="229" w:lineRule="auto"/>
              <w:rPr/>
            </w:pPr>
            <w:r>
              <w:rPr>
                <w:spacing w:val="7"/>
              </w:rPr>
              <w:t>主要环节进行计量</w:t>
            </w:r>
          </w:p>
        </w:tc>
        <w:tc>
          <w:tcPr>
            <w:tcW w:w="1434" w:type="dxa"/>
            <w:vAlign w:val="top"/>
            <w:tcBorders>
              <w:right w:val="nil"/>
            </w:tcBorders>
          </w:tcPr>
          <w:p>
            <w:pPr>
              <w:pStyle w:val="TableText"/>
              <w:ind w:left="520" w:right="86" w:hanging="420"/>
              <w:spacing w:before="176" w:line="252" w:lineRule="auto"/>
              <w:rPr/>
            </w:pPr>
            <w:r>
              <w:rPr>
                <w:spacing w:val="7"/>
              </w:rPr>
              <w:t>投产后按一级</w:t>
            </w:r>
            <w:r>
              <w:rPr>
                <w:spacing w:val="2"/>
              </w:rPr>
              <w:t>执行</w:t>
            </w:r>
          </w:p>
        </w:tc>
      </w:tr>
      <w:tr>
        <w:trPr>
          <w:trHeight w:val="548" w:hRule="atLeast"/>
        </w:trPr>
        <w:tc>
          <w:tcPr>
            <w:tcW w:w="290" w:type="dxa"/>
            <w:vAlign w:val="top"/>
            <w:tcBorders>
              <w:left w:val="nil"/>
              <w:top w:val="nil"/>
            </w:tcBorders>
          </w:tcPr>
          <w:p>
            <w:pPr>
              <w:rPr>
                <w:rFonts w:ascii="Arial"/>
                <w:sz w:val="21"/>
              </w:rPr>
            </w:pPr>
            <w:r/>
          </w:p>
        </w:tc>
        <w:tc>
          <w:tcPr>
            <w:tcW w:w="1183" w:type="dxa"/>
            <w:vAlign w:val="top"/>
          </w:tcPr>
          <w:p>
            <w:pPr>
              <w:pStyle w:val="TableText"/>
              <w:ind w:left="183"/>
              <w:spacing w:before="179" w:line="229" w:lineRule="auto"/>
              <w:rPr/>
            </w:pPr>
            <w:r>
              <w:rPr>
                <w:spacing w:val="5"/>
              </w:rPr>
              <w:t>各种标识</w:t>
            </w:r>
          </w:p>
        </w:tc>
        <w:tc>
          <w:tcPr>
            <w:tcW w:w="5768" w:type="dxa"/>
            <w:vAlign w:val="top"/>
            <w:gridSpan w:val="3"/>
          </w:tcPr>
          <w:p>
            <w:pPr>
              <w:pStyle w:val="TableText"/>
              <w:ind w:left="1018"/>
              <w:spacing w:before="179" w:line="229" w:lineRule="auto"/>
              <w:rPr/>
            </w:pPr>
            <w:r>
              <w:rPr>
                <w:spacing w:val="8"/>
              </w:rPr>
              <w:t>生产区各种标识明显，严格进行定期检查</w:t>
            </w:r>
          </w:p>
        </w:tc>
        <w:tc>
          <w:tcPr>
            <w:tcW w:w="1434" w:type="dxa"/>
            <w:vAlign w:val="top"/>
            <w:tcBorders>
              <w:right w:val="nil"/>
            </w:tcBorders>
          </w:tcPr>
          <w:p>
            <w:pPr>
              <w:pStyle w:val="TableText"/>
              <w:ind w:left="627" w:right="86" w:hanging="527"/>
              <w:spacing w:before="41" w:line="229" w:lineRule="auto"/>
              <w:rPr/>
            </w:pPr>
            <w:r>
              <w:rPr>
                <w:spacing w:val="7"/>
              </w:rPr>
              <w:t>投产后按此执</w:t>
            </w:r>
            <w:r>
              <w:rPr/>
              <w:t>行</w:t>
            </w:r>
          </w:p>
        </w:tc>
      </w:tr>
      <w:tr>
        <w:trPr>
          <w:trHeight w:val="549" w:hRule="atLeast"/>
        </w:trPr>
        <w:tc>
          <w:tcPr>
            <w:tcW w:w="290" w:type="dxa"/>
            <w:vAlign w:val="top"/>
            <w:tcBorders>
              <w:left w:val="nil"/>
              <w:bottom w:val="nil"/>
            </w:tcBorders>
          </w:tcPr>
          <w:p>
            <w:pPr>
              <w:rPr>
                <w:rFonts w:ascii="Arial"/>
                <w:sz w:val="21"/>
              </w:rPr>
            </w:pPr>
            <w:r/>
          </w:p>
        </w:tc>
        <w:tc>
          <w:tcPr>
            <w:tcW w:w="1183" w:type="dxa"/>
            <w:vAlign w:val="top"/>
          </w:tcPr>
          <w:p>
            <w:pPr>
              <w:pStyle w:val="TableText"/>
              <w:ind w:left="496" w:right="12" w:hanging="472"/>
              <w:spacing w:before="47" w:line="227" w:lineRule="auto"/>
              <w:rPr/>
            </w:pPr>
            <w:r>
              <w:rPr>
                <w:spacing w:val="3"/>
              </w:rPr>
              <w:t>环境管理</w:t>
            </w:r>
            <w:r>
              <w:rPr>
                <w:spacing w:val="24"/>
              </w:rPr>
              <w:t xml:space="preserve"> </w:t>
            </w:r>
            <w:r>
              <w:rPr>
                <w:spacing w:val="3"/>
              </w:rPr>
              <w:t>机</w:t>
            </w:r>
            <w:r>
              <w:rPr/>
              <w:t>构</w:t>
            </w:r>
          </w:p>
        </w:tc>
        <w:tc>
          <w:tcPr>
            <w:tcW w:w="5768" w:type="dxa"/>
            <w:vAlign w:val="top"/>
            <w:gridSpan w:val="3"/>
          </w:tcPr>
          <w:p>
            <w:pPr>
              <w:pStyle w:val="TableText"/>
              <w:ind w:left="2055"/>
              <w:spacing w:before="180" w:line="229" w:lineRule="auto"/>
              <w:rPr/>
            </w:pPr>
            <w:r>
              <w:rPr>
                <w:spacing w:val="7"/>
              </w:rPr>
              <w:t>建立并有专人负责</w:t>
            </w:r>
          </w:p>
        </w:tc>
        <w:tc>
          <w:tcPr>
            <w:tcW w:w="1434" w:type="dxa"/>
            <w:vAlign w:val="top"/>
            <w:tcBorders>
              <w:right w:val="nil"/>
            </w:tcBorders>
          </w:tcPr>
          <w:p>
            <w:pPr>
              <w:pStyle w:val="TableText"/>
              <w:ind w:left="627" w:right="86" w:hanging="527"/>
              <w:spacing w:before="47" w:line="227" w:lineRule="auto"/>
              <w:rPr/>
            </w:pPr>
            <w:r>
              <w:rPr>
                <w:spacing w:val="7"/>
              </w:rPr>
              <w:t>投产后按此执</w:t>
            </w:r>
            <w:r>
              <w:rPr/>
              <w:t>行</w:t>
            </w:r>
          </w:p>
        </w:tc>
      </w:tr>
      <w:tr>
        <w:trPr>
          <w:trHeight w:val="549" w:hRule="atLeast"/>
        </w:trPr>
        <w:tc>
          <w:tcPr>
            <w:tcW w:w="290" w:type="dxa"/>
            <w:vAlign w:val="top"/>
            <w:tcBorders>
              <w:left w:val="nil"/>
              <w:bottom w:val="nil"/>
              <w:top w:val="nil"/>
            </w:tcBorders>
          </w:tcPr>
          <w:p>
            <w:pPr>
              <w:rPr>
                <w:rFonts w:ascii="Arial"/>
                <w:sz w:val="21"/>
              </w:rPr>
            </w:pPr>
            <w:r/>
          </w:p>
        </w:tc>
        <w:tc>
          <w:tcPr>
            <w:tcW w:w="1183" w:type="dxa"/>
            <w:vAlign w:val="top"/>
          </w:tcPr>
          <w:p>
            <w:pPr>
              <w:pStyle w:val="TableText"/>
              <w:ind w:left="392" w:right="170" w:hanging="209"/>
              <w:spacing w:before="45" w:line="228" w:lineRule="auto"/>
              <w:rPr/>
            </w:pPr>
            <w:r>
              <w:rPr>
                <w:spacing w:val="5"/>
              </w:rPr>
              <w:t>环境管理</w:t>
            </w:r>
            <w:r>
              <w:rPr>
                <w:spacing w:val="1"/>
              </w:rPr>
              <w:t>制度</w:t>
            </w:r>
          </w:p>
        </w:tc>
        <w:tc>
          <w:tcPr>
            <w:tcW w:w="3992" w:type="dxa"/>
            <w:vAlign w:val="top"/>
            <w:gridSpan w:val="2"/>
          </w:tcPr>
          <w:p>
            <w:pPr>
              <w:pStyle w:val="TableText"/>
              <w:ind w:left="14"/>
              <w:spacing w:before="44" w:line="229" w:lineRule="auto"/>
              <w:rPr/>
            </w:pPr>
            <w:r>
              <w:rPr>
                <w:spacing w:val="8"/>
              </w:rPr>
              <w:t>健全、完善的环境管理制度，并纳入日常管</w:t>
            </w:r>
          </w:p>
          <w:p>
            <w:pPr>
              <w:pStyle w:val="TableText"/>
              <w:ind w:left="1905"/>
              <w:spacing w:before="25" w:line="204" w:lineRule="auto"/>
              <w:rPr/>
            </w:pPr>
            <w:r>
              <w:rPr/>
              <w:t>理</w:t>
            </w:r>
          </w:p>
        </w:tc>
        <w:tc>
          <w:tcPr>
            <w:tcW w:w="1776" w:type="dxa"/>
            <w:vAlign w:val="top"/>
          </w:tcPr>
          <w:p>
            <w:pPr>
              <w:pStyle w:val="TableText"/>
              <w:ind w:left="691" w:right="46" w:hanging="631"/>
              <w:spacing w:before="45" w:line="228" w:lineRule="auto"/>
              <w:rPr/>
            </w:pPr>
            <w:r>
              <w:rPr>
                <w:spacing w:val="7"/>
              </w:rPr>
              <w:t>较完善的环境管理</w:t>
            </w:r>
            <w:r>
              <w:rPr>
                <w:spacing w:val="1"/>
              </w:rPr>
              <w:t>制度</w:t>
            </w:r>
          </w:p>
        </w:tc>
        <w:tc>
          <w:tcPr>
            <w:tcW w:w="1434" w:type="dxa"/>
            <w:vAlign w:val="top"/>
            <w:tcBorders>
              <w:right w:val="nil"/>
            </w:tcBorders>
          </w:tcPr>
          <w:p>
            <w:pPr>
              <w:pStyle w:val="TableText"/>
              <w:ind w:left="520" w:right="86" w:hanging="420"/>
              <w:spacing w:before="45" w:line="228" w:lineRule="auto"/>
              <w:rPr/>
            </w:pPr>
            <w:r>
              <w:rPr>
                <w:spacing w:val="7"/>
              </w:rPr>
              <w:t>投产后按一级</w:t>
            </w:r>
            <w:r>
              <w:rPr>
                <w:spacing w:val="2"/>
              </w:rPr>
              <w:t>执行</w:t>
            </w:r>
          </w:p>
        </w:tc>
      </w:tr>
      <w:tr>
        <w:trPr>
          <w:trHeight w:val="548" w:hRule="atLeast"/>
        </w:trPr>
        <w:tc>
          <w:tcPr>
            <w:tcW w:w="290" w:type="dxa"/>
            <w:vAlign w:val="top"/>
            <w:textDirection w:val="tbRlV"/>
            <w:tcBorders>
              <w:left w:val="nil"/>
              <w:bottom w:val="nil"/>
              <w:top w:val="nil"/>
            </w:tcBorders>
          </w:tcPr>
          <w:p>
            <w:pPr>
              <w:pStyle w:val="TableText"/>
              <w:ind w:left="52"/>
              <w:spacing w:before="41" w:line="209" w:lineRule="auto"/>
              <w:rPr/>
            </w:pPr>
            <w:r>
              <w:rPr>
                <w:spacing w:val="13"/>
              </w:rPr>
              <w:t>环</w:t>
            </w:r>
            <w:r>
              <w:rPr>
                <w:spacing w:val="-42"/>
              </w:rPr>
              <w:t xml:space="preserve"> </w:t>
            </w:r>
            <w:r>
              <w:rPr>
                <w:spacing w:val="13"/>
              </w:rPr>
              <w:t>境</w:t>
            </w:r>
          </w:p>
        </w:tc>
        <w:tc>
          <w:tcPr>
            <w:tcW w:w="1183" w:type="dxa"/>
            <w:vAlign w:val="top"/>
          </w:tcPr>
          <w:p>
            <w:pPr>
              <w:pStyle w:val="TableText"/>
              <w:ind w:left="288" w:right="65" w:hanging="211"/>
              <w:spacing w:before="48" w:line="226" w:lineRule="auto"/>
              <w:rPr/>
            </w:pPr>
            <w:r>
              <w:rPr>
                <w:spacing w:val="7"/>
              </w:rPr>
              <w:t>环境管理计</w:t>
            </w:r>
            <w:r>
              <w:rPr>
                <w:spacing w:val="4"/>
              </w:rPr>
              <w:t>划制度</w:t>
            </w:r>
          </w:p>
        </w:tc>
        <w:tc>
          <w:tcPr>
            <w:tcW w:w="1920" w:type="dxa"/>
            <w:vAlign w:val="top"/>
          </w:tcPr>
          <w:p>
            <w:pPr>
              <w:pStyle w:val="TableText"/>
              <w:ind w:left="661" w:right="12" w:hanging="633"/>
              <w:spacing w:before="48" w:line="226" w:lineRule="auto"/>
              <w:rPr/>
            </w:pPr>
            <w:r>
              <w:rPr>
                <w:spacing w:val="8"/>
              </w:rPr>
              <w:t>订近、远期计划并监</w:t>
            </w:r>
            <w:r>
              <w:rPr>
                <w:spacing w:val="3"/>
              </w:rPr>
              <w:t>督实施</w:t>
            </w:r>
          </w:p>
        </w:tc>
        <w:tc>
          <w:tcPr>
            <w:tcW w:w="2072" w:type="dxa"/>
            <w:vAlign w:val="top"/>
          </w:tcPr>
          <w:p>
            <w:pPr>
              <w:pStyle w:val="TableText"/>
              <w:ind w:left="841" w:right="87" w:hanging="737"/>
              <w:spacing w:before="48" w:line="226" w:lineRule="auto"/>
              <w:rPr/>
            </w:pPr>
            <w:r>
              <w:rPr>
                <w:spacing w:val="8"/>
              </w:rPr>
              <w:t>制定近期计划并监督</w:t>
            </w:r>
            <w:r>
              <w:rPr>
                <w:spacing w:val="-1"/>
              </w:rPr>
              <w:t>实施</w:t>
            </w:r>
          </w:p>
        </w:tc>
        <w:tc>
          <w:tcPr>
            <w:tcW w:w="1776" w:type="dxa"/>
            <w:vAlign w:val="top"/>
          </w:tcPr>
          <w:p>
            <w:pPr>
              <w:pStyle w:val="TableText"/>
              <w:ind w:left="590" w:right="46" w:hanging="530"/>
              <w:spacing w:before="48" w:line="226" w:lineRule="auto"/>
              <w:rPr/>
            </w:pPr>
            <w:r>
              <w:rPr>
                <w:spacing w:val="7"/>
              </w:rPr>
              <w:t>制定日常计划并监</w:t>
            </w:r>
            <w:r>
              <w:rPr>
                <w:spacing w:val="3"/>
              </w:rPr>
              <w:t>督实施</w:t>
            </w:r>
          </w:p>
        </w:tc>
        <w:tc>
          <w:tcPr>
            <w:tcW w:w="1434" w:type="dxa"/>
            <w:vAlign w:val="top"/>
            <w:tcBorders>
              <w:right w:val="nil"/>
            </w:tcBorders>
          </w:tcPr>
          <w:p>
            <w:pPr>
              <w:pStyle w:val="TableText"/>
              <w:ind w:left="520" w:right="86" w:hanging="420"/>
              <w:spacing w:before="48" w:line="226" w:lineRule="auto"/>
              <w:rPr/>
            </w:pPr>
            <w:r>
              <w:rPr>
                <w:spacing w:val="7"/>
              </w:rPr>
              <w:t>投产后按一级</w:t>
            </w:r>
            <w:r>
              <w:rPr>
                <w:spacing w:val="2"/>
              </w:rPr>
              <w:t>执行</w:t>
            </w:r>
          </w:p>
        </w:tc>
      </w:tr>
      <w:tr>
        <w:trPr>
          <w:trHeight w:val="549" w:hRule="atLeast"/>
        </w:trPr>
        <w:tc>
          <w:tcPr>
            <w:tcW w:w="290" w:type="dxa"/>
            <w:vAlign w:val="top"/>
            <w:textDirection w:val="tbRlV"/>
            <w:tcBorders>
              <w:left w:val="nil"/>
              <w:bottom w:val="nil"/>
              <w:top w:val="nil"/>
            </w:tcBorders>
          </w:tcPr>
          <w:p>
            <w:pPr>
              <w:pStyle w:val="TableText"/>
              <w:ind w:left="41"/>
              <w:spacing w:before="41" w:line="209" w:lineRule="auto"/>
              <w:rPr/>
            </w:pPr>
            <w:r>
              <w:rPr>
                <w:spacing w:val="13"/>
              </w:rPr>
              <w:t>管</w:t>
            </w:r>
            <w:r>
              <w:rPr>
                <w:spacing w:val="-40"/>
              </w:rPr>
              <w:t xml:space="preserve"> </w:t>
            </w:r>
            <w:r>
              <w:rPr>
                <w:spacing w:val="13"/>
              </w:rPr>
              <w:t>理</w:t>
            </w:r>
          </w:p>
        </w:tc>
        <w:tc>
          <w:tcPr>
            <w:tcW w:w="1183" w:type="dxa"/>
            <w:vAlign w:val="top"/>
          </w:tcPr>
          <w:p>
            <w:pPr>
              <w:pStyle w:val="TableText"/>
              <w:ind w:left="287" w:right="65" w:hanging="210"/>
              <w:spacing w:before="49" w:line="226" w:lineRule="auto"/>
              <w:rPr/>
            </w:pPr>
            <w:r>
              <w:rPr>
                <w:spacing w:val="7"/>
              </w:rPr>
              <w:t>环保设施运</w:t>
            </w:r>
            <w:r>
              <w:rPr>
                <w:spacing w:val="4"/>
              </w:rPr>
              <w:t>行管理</w:t>
            </w:r>
          </w:p>
        </w:tc>
        <w:tc>
          <w:tcPr>
            <w:tcW w:w="3992" w:type="dxa"/>
            <w:vAlign w:val="top"/>
            <w:gridSpan w:val="2"/>
          </w:tcPr>
          <w:p>
            <w:pPr>
              <w:pStyle w:val="TableText"/>
              <w:ind w:left="639"/>
              <w:spacing w:before="182" w:line="229" w:lineRule="auto"/>
              <w:rPr/>
            </w:pPr>
            <w:r>
              <w:rPr>
                <w:spacing w:val="9"/>
              </w:rPr>
              <w:t>记录运行数据并建立环保档案</w:t>
            </w:r>
          </w:p>
        </w:tc>
        <w:tc>
          <w:tcPr>
            <w:tcW w:w="1776" w:type="dxa"/>
            <w:vAlign w:val="top"/>
          </w:tcPr>
          <w:p>
            <w:pPr>
              <w:pStyle w:val="TableText"/>
              <w:ind w:left="794" w:right="46" w:hanging="737"/>
              <w:spacing w:before="49" w:line="226" w:lineRule="auto"/>
              <w:rPr/>
            </w:pPr>
            <w:r>
              <w:rPr>
                <w:spacing w:val="8"/>
              </w:rPr>
              <w:t>记录并统计运行数</w:t>
            </w:r>
            <w:r>
              <w:rPr/>
              <w:t>据</w:t>
            </w:r>
          </w:p>
        </w:tc>
        <w:tc>
          <w:tcPr>
            <w:tcW w:w="1434" w:type="dxa"/>
            <w:vAlign w:val="top"/>
            <w:tcBorders>
              <w:right w:val="nil"/>
            </w:tcBorders>
          </w:tcPr>
          <w:p>
            <w:pPr>
              <w:pStyle w:val="TableText"/>
              <w:ind w:left="517" w:right="89" w:hanging="420"/>
              <w:spacing w:before="49" w:line="226" w:lineRule="auto"/>
              <w:rPr/>
            </w:pPr>
            <w:r>
              <w:rPr>
                <w:spacing w:val="7"/>
              </w:rPr>
              <w:t>投产后按一级</w:t>
            </w:r>
            <w:r>
              <w:rPr>
                <w:spacing w:val="2"/>
              </w:rPr>
              <w:t>执行</w:t>
            </w:r>
          </w:p>
        </w:tc>
      </w:tr>
      <w:tr>
        <w:trPr>
          <w:trHeight w:val="549" w:hRule="atLeast"/>
        </w:trPr>
        <w:tc>
          <w:tcPr>
            <w:tcW w:w="290" w:type="dxa"/>
            <w:vAlign w:val="top"/>
            <w:tcBorders>
              <w:left w:val="nil"/>
              <w:bottom w:val="nil"/>
              <w:top w:val="nil"/>
            </w:tcBorders>
          </w:tcPr>
          <w:p>
            <w:pPr>
              <w:rPr>
                <w:rFonts w:ascii="Arial"/>
                <w:sz w:val="21"/>
              </w:rPr>
            </w:pPr>
            <w:r/>
          </w:p>
        </w:tc>
        <w:tc>
          <w:tcPr>
            <w:tcW w:w="1183" w:type="dxa"/>
            <w:vAlign w:val="top"/>
          </w:tcPr>
          <w:p>
            <w:pPr>
              <w:pStyle w:val="TableText"/>
              <w:ind w:left="399" w:right="65" w:hanging="318"/>
              <w:spacing w:before="49" w:line="226" w:lineRule="auto"/>
              <w:rPr/>
            </w:pPr>
            <w:r>
              <w:rPr>
                <w:spacing w:val="6"/>
              </w:rPr>
              <w:t>污染源监测</w:t>
            </w:r>
            <w:r>
              <w:rPr>
                <w:spacing w:val="-3"/>
              </w:rPr>
              <w:t>系统</w:t>
            </w:r>
          </w:p>
        </w:tc>
        <w:tc>
          <w:tcPr>
            <w:tcW w:w="5768" w:type="dxa"/>
            <w:vAlign w:val="top"/>
            <w:gridSpan w:val="3"/>
          </w:tcPr>
          <w:p>
            <w:pPr>
              <w:pStyle w:val="TableText"/>
              <w:ind w:left="482"/>
              <w:spacing w:before="183" w:line="229" w:lineRule="auto"/>
              <w:rPr/>
            </w:pPr>
            <w:r>
              <w:rPr>
                <w:spacing w:val="9"/>
              </w:rPr>
              <w:t>对水、气、声主要污染源、主要污染物进行定期监测</w:t>
            </w:r>
          </w:p>
        </w:tc>
        <w:tc>
          <w:tcPr>
            <w:tcW w:w="1434" w:type="dxa"/>
            <w:vAlign w:val="top"/>
            <w:tcBorders>
              <w:right w:val="nil"/>
            </w:tcBorders>
          </w:tcPr>
          <w:p>
            <w:pPr>
              <w:pStyle w:val="TableText"/>
              <w:ind w:left="624" w:right="89" w:hanging="527"/>
              <w:spacing w:before="49" w:line="226" w:lineRule="auto"/>
              <w:rPr/>
            </w:pPr>
            <w:r>
              <w:rPr>
                <w:spacing w:val="7"/>
              </w:rPr>
              <w:t>投产后按此执</w:t>
            </w:r>
            <w:r>
              <w:rPr/>
              <w:t>行</w:t>
            </w:r>
          </w:p>
        </w:tc>
      </w:tr>
      <w:tr>
        <w:trPr>
          <w:trHeight w:val="548" w:hRule="atLeast"/>
        </w:trPr>
        <w:tc>
          <w:tcPr>
            <w:tcW w:w="290" w:type="dxa"/>
            <w:vAlign w:val="top"/>
            <w:tcBorders>
              <w:left w:val="nil"/>
              <w:top w:val="nil"/>
            </w:tcBorders>
          </w:tcPr>
          <w:p>
            <w:pPr>
              <w:rPr>
                <w:rFonts w:ascii="Arial"/>
                <w:sz w:val="21"/>
              </w:rPr>
            </w:pPr>
            <w:r/>
          </w:p>
        </w:tc>
        <w:tc>
          <w:tcPr>
            <w:tcW w:w="1183" w:type="dxa"/>
            <w:vAlign w:val="top"/>
          </w:tcPr>
          <w:p>
            <w:pPr>
              <w:pStyle w:val="TableText"/>
              <w:ind w:left="183"/>
              <w:spacing w:before="183" w:line="230" w:lineRule="auto"/>
              <w:rPr/>
            </w:pPr>
            <w:r>
              <w:rPr>
                <w:spacing w:val="5"/>
              </w:rPr>
              <w:t>信息交流</w:t>
            </w:r>
          </w:p>
        </w:tc>
        <w:tc>
          <w:tcPr>
            <w:tcW w:w="3992" w:type="dxa"/>
            <w:vAlign w:val="top"/>
            <w:gridSpan w:val="2"/>
          </w:tcPr>
          <w:p>
            <w:pPr>
              <w:pStyle w:val="TableText"/>
              <w:ind w:left="749"/>
              <w:spacing w:before="183" w:line="230" w:lineRule="auto"/>
              <w:rPr/>
            </w:pPr>
            <w:r>
              <w:rPr>
                <w:spacing w:val="8"/>
              </w:rPr>
              <w:t>具备计算机网格化管理系统</w:t>
            </w:r>
          </w:p>
        </w:tc>
        <w:tc>
          <w:tcPr>
            <w:tcW w:w="1776" w:type="dxa"/>
            <w:vAlign w:val="top"/>
          </w:tcPr>
          <w:p>
            <w:pPr>
              <w:pStyle w:val="TableText"/>
              <w:ind w:left="484"/>
              <w:spacing w:before="183" w:line="232" w:lineRule="auto"/>
              <w:rPr/>
            </w:pPr>
            <w:r>
              <w:rPr>
                <w:spacing w:val="4"/>
              </w:rPr>
              <w:t>定期交流</w:t>
            </w:r>
          </w:p>
        </w:tc>
        <w:tc>
          <w:tcPr>
            <w:tcW w:w="1434" w:type="dxa"/>
            <w:vAlign w:val="top"/>
            <w:tcBorders>
              <w:right w:val="nil"/>
            </w:tcBorders>
          </w:tcPr>
          <w:p>
            <w:pPr>
              <w:pStyle w:val="TableText"/>
              <w:ind w:left="517" w:right="89" w:hanging="420"/>
              <w:spacing w:before="50" w:line="225" w:lineRule="auto"/>
              <w:rPr/>
            </w:pPr>
            <w:r>
              <w:rPr>
                <w:spacing w:val="7"/>
              </w:rPr>
              <w:t>投产后按一级</w:t>
            </w:r>
            <w:r>
              <w:rPr>
                <w:spacing w:val="2"/>
              </w:rPr>
              <w:t>执行</w:t>
            </w:r>
          </w:p>
        </w:tc>
      </w:tr>
      <w:tr>
        <w:trPr>
          <w:trHeight w:val="1364" w:hRule="atLeast"/>
        </w:trPr>
        <w:tc>
          <w:tcPr>
            <w:tcW w:w="1473" w:type="dxa"/>
            <w:vAlign w:val="top"/>
            <w:gridSpan w:val="2"/>
            <w:tcBorders>
              <w:left w:val="nil"/>
            </w:tcBorders>
          </w:tcPr>
          <w:p>
            <w:pPr>
              <w:spacing w:line="391" w:lineRule="auto"/>
              <w:rPr>
                <w:rFonts w:ascii="Arial"/>
                <w:sz w:val="21"/>
              </w:rPr>
            </w:pPr>
            <w:r/>
          </w:p>
          <w:p>
            <w:pPr>
              <w:pStyle w:val="TableText"/>
              <w:ind w:left="17"/>
              <w:spacing w:before="65" w:line="232" w:lineRule="auto"/>
              <w:rPr/>
            </w:pPr>
            <w:r>
              <w:rPr>
                <w:spacing w:val="6"/>
              </w:rPr>
              <w:t>土地复垦（尾矿</w:t>
            </w:r>
          </w:p>
          <w:p>
            <w:pPr>
              <w:pStyle w:val="TableText"/>
              <w:ind w:left="541"/>
              <w:spacing w:before="21" w:line="231" w:lineRule="auto"/>
              <w:rPr/>
            </w:pPr>
            <w:r>
              <w:rPr>
                <w:spacing w:val="-5"/>
              </w:rPr>
              <w:t>库）</w:t>
            </w:r>
          </w:p>
        </w:tc>
        <w:tc>
          <w:tcPr>
            <w:tcW w:w="1920" w:type="dxa"/>
            <w:vAlign w:val="top"/>
          </w:tcPr>
          <w:p>
            <w:pPr>
              <w:pStyle w:val="TableText"/>
              <w:ind w:right="2"/>
              <w:spacing w:before="50" w:line="232" w:lineRule="auto"/>
              <w:jc w:val="right"/>
              <w:rPr/>
            </w:pPr>
            <w:r>
              <w:rPr>
                <w:spacing w:val="-1"/>
              </w:rPr>
              <w:t>（</w:t>
            </w:r>
            <w:r>
              <w:rPr>
                <w:rFonts w:ascii="Times New Roman" w:hAnsi="Times New Roman" w:eastAsia="Times New Roman" w:cs="Times New Roman"/>
                <w:spacing w:val="-1"/>
              </w:rPr>
              <w:t>1</w:t>
            </w:r>
            <w:r>
              <w:rPr>
                <w:spacing w:val="-1"/>
              </w:rPr>
              <w:t>）具备完整的复垦</w:t>
            </w:r>
          </w:p>
          <w:p>
            <w:pPr>
              <w:pStyle w:val="TableText"/>
              <w:ind w:left="27"/>
              <w:spacing w:before="22" w:line="231" w:lineRule="auto"/>
              <w:rPr/>
            </w:pPr>
            <w:r>
              <w:rPr>
                <w:spacing w:val="8"/>
              </w:rPr>
              <w:t>计划，复垦管理纳入</w:t>
            </w:r>
          </w:p>
          <w:p>
            <w:pPr>
              <w:pStyle w:val="TableText"/>
              <w:ind w:left="227"/>
              <w:spacing w:before="20" w:line="231" w:lineRule="auto"/>
              <w:rPr/>
            </w:pPr>
            <w:r>
              <w:rPr>
                <w:spacing w:val="-4"/>
              </w:rPr>
              <w:t>日</w:t>
            </w:r>
            <w:r>
              <w:rPr>
                <w:spacing w:val="34"/>
              </w:rPr>
              <w:t xml:space="preserve"> </w:t>
            </w:r>
            <w:r>
              <w:rPr>
                <w:spacing w:val="-4"/>
              </w:rPr>
              <w:t>常生产管理；</w:t>
            </w:r>
          </w:p>
          <w:p>
            <w:pPr>
              <w:pStyle w:val="TableText"/>
              <w:ind w:left="567" w:right="2" w:hanging="548"/>
              <w:spacing w:before="22" w:line="224" w:lineRule="auto"/>
              <w:rPr/>
            </w:pPr>
            <w:r>
              <w:rPr>
                <w:spacing w:val="-1"/>
              </w:rPr>
              <w:t>（</w:t>
            </w:r>
            <w:r>
              <w:rPr>
                <w:rFonts w:ascii="Times New Roman" w:hAnsi="Times New Roman" w:eastAsia="Times New Roman" w:cs="Times New Roman"/>
                <w:spacing w:val="-1"/>
              </w:rPr>
              <w:t>2</w:t>
            </w:r>
            <w:r>
              <w:rPr>
                <w:spacing w:val="-1"/>
              </w:rPr>
              <w:t>）土地复垦率达到</w:t>
            </w:r>
            <w:r>
              <w:rPr>
                <w:rFonts w:ascii="Times New Roman" w:hAnsi="Times New Roman" w:eastAsia="Times New Roman" w:cs="Times New Roman"/>
                <w:spacing w:val="4"/>
              </w:rPr>
              <w:t>80%</w:t>
            </w:r>
            <w:r>
              <w:rPr>
                <w:spacing w:val="4"/>
              </w:rPr>
              <w:t>以上</w:t>
            </w:r>
          </w:p>
        </w:tc>
        <w:tc>
          <w:tcPr>
            <w:tcW w:w="2072" w:type="dxa"/>
            <w:vAlign w:val="top"/>
          </w:tcPr>
          <w:p>
            <w:pPr>
              <w:pStyle w:val="TableText"/>
              <w:ind w:left="55"/>
              <w:spacing w:before="50" w:line="232" w:lineRule="auto"/>
              <w:rPr/>
            </w:pPr>
            <w:r>
              <w:rPr>
                <w:spacing w:val="7"/>
              </w:rPr>
              <w:t>（</w:t>
            </w:r>
            <w:r>
              <w:rPr>
                <w:rFonts w:ascii="Times New Roman" w:hAnsi="Times New Roman" w:eastAsia="Times New Roman" w:cs="Times New Roman"/>
                <w:spacing w:val="7"/>
              </w:rPr>
              <w:t>1</w:t>
            </w:r>
            <w:r>
              <w:rPr>
                <w:spacing w:val="7"/>
              </w:rPr>
              <w:t>）具备完整的复垦</w:t>
            </w:r>
          </w:p>
          <w:p>
            <w:pPr>
              <w:pStyle w:val="TableText"/>
              <w:ind w:left="17"/>
              <w:spacing w:before="22" w:line="231" w:lineRule="auto"/>
              <w:rPr/>
            </w:pPr>
            <w:r>
              <w:rPr>
                <w:spacing w:val="4"/>
              </w:rPr>
              <w:t>计划，复垦管理纳入日</w:t>
            </w:r>
          </w:p>
          <w:p>
            <w:pPr>
              <w:pStyle w:val="TableText"/>
              <w:ind w:left="427"/>
              <w:spacing w:before="20" w:line="231" w:lineRule="auto"/>
              <w:rPr/>
            </w:pPr>
            <w:r>
              <w:rPr>
                <w:spacing w:val="3"/>
              </w:rPr>
              <w:t>常生产管理；</w:t>
            </w:r>
          </w:p>
          <w:p>
            <w:pPr>
              <w:pStyle w:val="TableText"/>
              <w:ind w:left="639" w:right="37" w:hanging="584"/>
              <w:spacing w:before="22" w:line="224" w:lineRule="auto"/>
              <w:rPr/>
            </w:pPr>
            <w:r>
              <w:rPr>
                <w:spacing w:val="7"/>
              </w:rPr>
              <w:t>（</w:t>
            </w:r>
            <w:r>
              <w:rPr>
                <w:rFonts w:ascii="Times New Roman" w:hAnsi="Times New Roman" w:eastAsia="Times New Roman" w:cs="Times New Roman"/>
                <w:spacing w:val="7"/>
              </w:rPr>
              <w:t>2</w:t>
            </w:r>
            <w:r>
              <w:rPr>
                <w:spacing w:val="7"/>
              </w:rPr>
              <w:t>）土地复垦率达到</w:t>
            </w:r>
            <w:r>
              <w:rPr>
                <w:rFonts w:ascii="Times New Roman" w:hAnsi="Times New Roman" w:eastAsia="Times New Roman" w:cs="Times New Roman"/>
                <w:spacing w:val="5"/>
              </w:rPr>
              <w:t>50%</w:t>
            </w:r>
            <w:r>
              <w:rPr>
                <w:spacing w:val="5"/>
              </w:rPr>
              <w:t>以上</w:t>
            </w:r>
          </w:p>
        </w:tc>
        <w:tc>
          <w:tcPr>
            <w:tcW w:w="1776" w:type="dxa"/>
            <w:vAlign w:val="top"/>
          </w:tcPr>
          <w:p>
            <w:pPr>
              <w:pStyle w:val="TableText"/>
              <w:ind w:left="484" w:right="3" w:hanging="463"/>
              <w:spacing w:before="184" w:line="242" w:lineRule="auto"/>
              <w:rPr/>
            </w:pPr>
            <w:r>
              <w:rPr>
                <w:spacing w:val="5"/>
              </w:rPr>
              <w:t>（</w:t>
            </w:r>
            <w:r>
              <w:rPr>
                <w:rFonts w:ascii="Times New Roman" w:hAnsi="Times New Roman" w:eastAsia="Times New Roman" w:cs="Times New Roman"/>
                <w:spacing w:val="5"/>
              </w:rPr>
              <w:t>1</w:t>
            </w:r>
            <w:r>
              <w:rPr>
                <w:spacing w:val="5"/>
              </w:rPr>
              <w:t>）具备完整的复</w:t>
            </w:r>
            <w:r>
              <w:rPr>
                <w:spacing w:val="2"/>
              </w:rPr>
              <w:t>垦计划；</w:t>
            </w:r>
          </w:p>
          <w:p>
            <w:pPr>
              <w:pStyle w:val="TableText"/>
              <w:ind w:left="371" w:right="3" w:hanging="350"/>
              <w:spacing w:before="21" w:line="243" w:lineRule="auto"/>
              <w:rPr/>
            </w:pPr>
            <w:r>
              <w:rPr>
                <w:spacing w:val="5"/>
              </w:rPr>
              <w:t>（</w:t>
            </w:r>
            <w:r>
              <w:rPr>
                <w:rFonts w:ascii="Times New Roman" w:hAnsi="Times New Roman" w:eastAsia="Times New Roman" w:cs="Times New Roman"/>
                <w:spacing w:val="5"/>
              </w:rPr>
              <w:t>2</w:t>
            </w:r>
            <w:r>
              <w:rPr>
                <w:spacing w:val="5"/>
              </w:rPr>
              <w:t>）土地复垦率达</w:t>
            </w:r>
            <w:r>
              <w:rPr>
                <w:spacing w:val="3"/>
              </w:rPr>
              <w:t>到</w:t>
            </w:r>
            <w:r>
              <w:rPr>
                <w:spacing w:val="-41"/>
              </w:rPr>
              <w:t xml:space="preserve"> </w:t>
            </w:r>
            <w:r>
              <w:rPr>
                <w:rFonts w:ascii="Times New Roman" w:hAnsi="Times New Roman" w:eastAsia="Times New Roman" w:cs="Times New Roman"/>
                <w:spacing w:val="3"/>
              </w:rPr>
              <w:t>20%</w:t>
            </w:r>
            <w:r>
              <w:rPr>
                <w:spacing w:val="3"/>
              </w:rPr>
              <w:t>以上</w:t>
            </w:r>
          </w:p>
        </w:tc>
        <w:tc>
          <w:tcPr>
            <w:tcW w:w="1434" w:type="dxa"/>
            <w:vAlign w:val="top"/>
            <w:tcBorders>
              <w:right w:val="nil"/>
            </w:tcBorders>
          </w:tcPr>
          <w:p>
            <w:pPr>
              <w:pStyle w:val="TableText"/>
              <w:ind w:left="19" w:right="5"/>
              <w:spacing w:before="48" w:line="241" w:lineRule="auto"/>
              <w:jc w:val="both"/>
              <w:rPr>
                <w:rFonts w:ascii="Times New Roman" w:hAnsi="Times New Roman" w:eastAsia="Times New Roman" w:cs="Times New Roman"/>
              </w:rPr>
            </w:pPr>
            <w:r>
              <w:rPr/>
              <w:t>一级；要求进行</w:t>
            </w:r>
            <w:r>
              <w:rPr>
                <w:spacing w:val="20"/>
              </w:rPr>
              <w:t>编制的矿山地</w:t>
            </w:r>
            <w:r>
              <w:rPr>
                <w:spacing w:val="20"/>
              </w:rPr>
              <w:t>质环境保护与</w:t>
            </w:r>
            <w:r>
              <w:rPr>
                <w:spacing w:val="1"/>
              </w:rPr>
              <w:t>土地复垦方案，</w:t>
            </w:r>
            <w:r>
              <w:rPr>
                <w:spacing w:val="5"/>
              </w:rPr>
              <w:t>复垦率为</w:t>
            </w:r>
            <w:r>
              <w:rPr>
                <w:spacing w:val="-21"/>
              </w:rPr>
              <w:t xml:space="preserve"> </w:t>
            </w:r>
            <w:r>
              <w:rPr>
                <w:rFonts w:ascii="Times New Roman" w:hAnsi="Times New Roman" w:eastAsia="Times New Roman" w:cs="Times New Roman"/>
                <w:spacing w:val="5"/>
              </w:rPr>
              <w:t>100%</w:t>
            </w:r>
          </w:p>
        </w:tc>
      </w:tr>
      <w:tr>
        <w:trPr>
          <w:trHeight w:val="549" w:hRule="atLeast"/>
        </w:trPr>
        <w:tc>
          <w:tcPr>
            <w:tcW w:w="1473" w:type="dxa"/>
            <w:vAlign w:val="top"/>
            <w:gridSpan w:val="2"/>
            <w:tcBorders>
              <w:left w:val="nil"/>
            </w:tcBorders>
          </w:tcPr>
          <w:p>
            <w:pPr>
              <w:pStyle w:val="TableText"/>
              <w:ind w:left="643" w:right="108" w:hanging="523"/>
              <w:spacing w:before="53" w:line="224" w:lineRule="auto"/>
              <w:rPr/>
            </w:pPr>
            <w:r>
              <w:rPr>
                <w:spacing w:val="6"/>
              </w:rPr>
              <w:t>废物处理与处</w:t>
            </w:r>
            <w:r>
              <w:rPr/>
              <w:t>置</w:t>
            </w:r>
          </w:p>
        </w:tc>
        <w:tc>
          <w:tcPr>
            <w:tcW w:w="5768" w:type="dxa"/>
            <w:vAlign w:val="top"/>
            <w:gridSpan w:val="3"/>
          </w:tcPr>
          <w:p>
            <w:pPr>
              <w:pStyle w:val="TableText"/>
              <w:ind w:left="60"/>
              <w:spacing w:before="54" w:line="228" w:lineRule="auto"/>
              <w:rPr/>
            </w:pPr>
            <w:r>
              <w:rPr>
                <w:spacing w:val="9"/>
              </w:rPr>
              <w:t>应建有尾矿贮存、处置场，并有防止扬尘、淋滤水污染、水土</w:t>
            </w:r>
          </w:p>
          <w:p>
            <w:pPr>
              <w:pStyle w:val="TableText"/>
              <w:ind w:left="2369"/>
              <w:spacing w:before="24" w:line="197" w:lineRule="auto"/>
              <w:rPr/>
            </w:pPr>
            <w:r>
              <w:rPr>
                <w:spacing w:val="7"/>
              </w:rPr>
              <w:t>流失的措施</w:t>
            </w:r>
          </w:p>
        </w:tc>
        <w:tc>
          <w:tcPr>
            <w:tcW w:w="1434" w:type="dxa"/>
            <w:vAlign w:val="top"/>
            <w:tcBorders>
              <w:right w:val="nil"/>
            </w:tcBorders>
          </w:tcPr>
          <w:p>
            <w:pPr>
              <w:pStyle w:val="TableText"/>
              <w:ind w:left="314"/>
              <w:spacing w:before="189" w:line="229" w:lineRule="auto"/>
              <w:rPr/>
            </w:pPr>
            <w:r>
              <w:rPr>
                <w:spacing w:val="4"/>
              </w:rPr>
              <w:t>符合要求</w:t>
            </w:r>
          </w:p>
        </w:tc>
      </w:tr>
      <w:tr>
        <w:trPr>
          <w:trHeight w:val="548" w:hRule="atLeast"/>
        </w:trPr>
        <w:tc>
          <w:tcPr>
            <w:tcW w:w="1473" w:type="dxa"/>
            <w:vAlign w:val="top"/>
            <w:gridSpan w:val="2"/>
            <w:tcBorders>
              <w:left w:val="nil"/>
            </w:tcBorders>
          </w:tcPr>
          <w:p>
            <w:pPr>
              <w:pStyle w:val="TableText"/>
              <w:ind w:left="644" w:right="108" w:hanging="525"/>
              <w:spacing w:before="54" w:line="223" w:lineRule="auto"/>
              <w:rPr/>
            </w:pPr>
            <w:r>
              <w:rPr>
                <w:spacing w:val="7"/>
              </w:rPr>
              <w:t>相关方环境管</w:t>
            </w:r>
            <w:r>
              <w:rPr/>
              <w:t>理</w:t>
            </w:r>
          </w:p>
        </w:tc>
        <w:tc>
          <w:tcPr>
            <w:tcW w:w="5768" w:type="dxa"/>
            <w:vAlign w:val="top"/>
            <w:gridSpan w:val="3"/>
          </w:tcPr>
          <w:p>
            <w:pPr>
              <w:pStyle w:val="TableText"/>
              <w:ind w:left="60"/>
              <w:spacing w:before="54" w:line="229" w:lineRule="auto"/>
              <w:rPr/>
            </w:pPr>
            <w:r>
              <w:rPr>
                <w:spacing w:val="9"/>
              </w:rPr>
              <w:t>服务协议中应明确原辅材料的供应方、协作方、服务方的环境</w:t>
            </w:r>
          </w:p>
          <w:p>
            <w:pPr>
              <w:pStyle w:val="TableText"/>
              <w:ind w:left="2688"/>
              <w:spacing w:before="23" w:line="195" w:lineRule="auto"/>
              <w:rPr/>
            </w:pPr>
            <w:r>
              <w:rPr>
                <w:spacing w:val="-1"/>
              </w:rPr>
              <w:t>要求</w:t>
            </w:r>
          </w:p>
        </w:tc>
        <w:tc>
          <w:tcPr>
            <w:tcW w:w="1434" w:type="dxa"/>
            <w:vAlign w:val="top"/>
            <w:tcBorders>
              <w:right w:val="nil"/>
            </w:tcBorders>
          </w:tcPr>
          <w:p>
            <w:pPr>
              <w:pStyle w:val="TableText"/>
              <w:ind w:left="314"/>
              <w:spacing w:before="189" w:line="229" w:lineRule="auto"/>
              <w:rPr/>
            </w:pPr>
            <w:r>
              <w:rPr>
                <w:spacing w:val="4"/>
              </w:rPr>
              <w:t>符合要求</w:t>
            </w:r>
          </w:p>
        </w:tc>
      </w:tr>
      <w:tr>
        <w:trPr>
          <w:trHeight w:val="301" w:hRule="atLeast"/>
        </w:trPr>
        <w:tc>
          <w:tcPr>
            <w:tcW w:w="8675" w:type="dxa"/>
            <w:vAlign w:val="top"/>
            <w:gridSpan w:val="6"/>
            <w:tcBorders>
              <w:left w:val="nil"/>
              <w:bottom w:val="single" w:color="00000A" w:sz="10" w:space="0"/>
            </w:tcBorders>
          </w:tcPr>
          <w:p>
            <w:pPr>
              <w:pStyle w:val="TableText"/>
              <w:ind w:left="3038"/>
              <w:spacing w:before="57" w:line="216" w:lineRule="auto"/>
              <w:rPr/>
            </w:pPr>
            <w:r>
              <w:rPr>
                <w:spacing w:val="6"/>
              </w:rPr>
              <w:t>（注：</w:t>
            </w:r>
            <w:r>
              <w:rPr>
                <w:rFonts w:ascii="Times New Roman" w:hAnsi="Times New Roman" w:eastAsia="Times New Roman" w:cs="Times New Roman"/>
                <w:spacing w:val="6"/>
              </w:rPr>
              <w:t>*</w:t>
            </w:r>
            <w:r>
              <w:rPr>
                <w:spacing w:val="6"/>
              </w:rPr>
              <w:t>选矿为单位原矿。）</w:t>
            </w:r>
          </w:p>
        </w:tc>
      </w:tr>
    </w:tbl>
    <w:p>
      <w:pPr>
        <w:pStyle w:val="BodyText"/>
        <w:spacing w:line="369" w:lineRule="auto"/>
        <w:rPr/>
      </w:pPr>
      <w:r/>
    </w:p>
    <w:p>
      <w:pPr>
        <w:ind w:left="16"/>
        <w:spacing w:before="78" w:line="222" w:lineRule="auto"/>
        <w:outlineLvl w:val="2"/>
        <w:rPr>
          <w:rFonts w:ascii="FangSong" w:hAnsi="FangSong" w:eastAsia="FangSong" w:cs="FangSong"/>
          <w:sz w:val="24"/>
          <w:szCs w:val="24"/>
        </w:rPr>
      </w:pPr>
      <w:bookmarkStart w:name="bookmark196" w:id="271"/>
      <w:bookmarkEnd w:id="271"/>
      <w:bookmarkStart w:name="bookmark195" w:id="272"/>
      <w:bookmarkEnd w:id="272"/>
      <w:r>
        <w:rPr>
          <w:rFonts w:ascii="Times New Roman" w:hAnsi="Times New Roman" w:eastAsia="Times New Roman" w:cs="Times New Roman"/>
          <w:sz w:val="24"/>
          <w:szCs w:val="24"/>
          <w:b/>
          <w:bCs/>
          <w:spacing w:val="-3"/>
        </w:rPr>
        <w:t>4.14.3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清洁生产小结</w:t>
      </w:r>
    </w:p>
    <w:p>
      <w:pPr>
        <w:spacing w:before="179" w:line="222" w:lineRule="auto"/>
        <w:jc w:val="right"/>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）地下开采、选矿清洁生产综合评价：通过对照参照《清洁生产标准</w:t>
      </w:r>
      <w:r>
        <w:rPr>
          <w:rFonts w:ascii="FangSong" w:hAnsi="FangSong" w:eastAsia="FangSong" w:cs="FangSong"/>
          <w:sz w:val="24"/>
          <w:szCs w:val="24"/>
          <w:spacing w:val="1"/>
        </w:rPr>
        <w:t xml:space="preserve"> </w:t>
      </w:r>
      <w:r>
        <w:rPr>
          <w:rFonts w:ascii="FangSong" w:hAnsi="FangSong" w:eastAsia="FangSong" w:cs="FangSong"/>
          <w:sz w:val="24"/>
          <w:szCs w:val="24"/>
          <w:spacing w:val="1"/>
        </w:rPr>
        <w:t>铁矿</w:t>
      </w:r>
    </w:p>
    <w:p>
      <w:pPr>
        <w:spacing w:line="222" w:lineRule="auto"/>
        <w:sectPr>
          <w:headerReference w:type="default" r:id="rId204"/>
          <w:footerReference w:type="default" r:id="rId205"/>
          <w:pgSz w:w="11911" w:h="16839"/>
          <w:pgMar w:top="1140" w:right="1415" w:bottom="1146" w:left="1786" w:header="1130" w:footer="984" w:gutter="0"/>
        </w:sectPr>
        <w:rPr>
          <w:rFonts w:ascii="FangSong" w:hAnsi="FangSong" w:eastAsia="FangSong" w:cs="FangSong"/>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8" w:right="74"/>
        <w:spacing w:before="78" w:line="359" w:lineRule="auto"/>
        <w:jc w:val="both"/>
        <w:rPr>
          <w:rFonts w:ascii="FangSong" w:hAnsi="FangSong" w:eastAsia="FangSong" w:cs="FangSong"/>
          <w:sz w:val="24"/>
          <w:szCs w:val="24"/>
        </w:rPr>
      </w:pPr>
      <w:r>
        <w:rPr>
          <w:rFonts w:ascii="FangSong" w:hAnsi="FangSong" w:eastAsia="FangSong" w:cs="FangSong"/>
          <w:sz w:val="24"/>
          <w:szCs w:val="24"/>
          <w:spacing w:val="-1"/>
        </w:rPr>
        <w:t>采选业》（</w:t>
      </w:r>
      <w:r>
        <w:rPr>
          <w:rFonts w:ascii="Times New Roman" w:hAnsi="Times New Roman" w:eastAsia="Times New Roman" w:cs="Times New Roman"/>
          <w:sz w:val="24"/>
          <w:szCs w:val="24"/>
          <w:spacing w:val="-1"/>
        </w:rPr>
        <w:t>HJ/T294-2006</w:t>
      </w:r>
      <w:r>
        <w:rPr>
          <w:rFonts w:ascii="FangSong" w:hAnsi="FangSong" w:eastAsia="FangSong" w:cs="FangSong"/>
          <w:sz w:val="24"/>
          <w:szCs w:val="24"/>
          <w:spacing w:val="-1"/>
        </w:rPr>
        <w:t>）指标，地下开采类有</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13</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项达到一级，</w:t>
      </w: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1"/>
        </w:rPr>
        <w:t>项达</w:t>
      </w:r>
      <w:r>
        <w:rPr>
          <w:rFonts w:ascii="FangSong" w:hAnsi="FangSong" w:eastAsia="FangSong" w:cs="FangSong"/>
          <w:sz w:val="24"/>
          <w:szCs w:val="24"/>
          <w:spacing w:val="-2"/>
        </w:rPr>
        <w:t>到二级；通</w:t>
      </w:r>
      <w:r>
        <w:rPr>
          <w:rFonts w:ascii="FangSong" w:hAnsi="FangSong" w:eastAsia="FangSong" w:cs="FangSong"/>
          <w:sz w:val="24"/>
          <w:szCs w:val="24"/>
          <w:spacing w:val="1"/>
        </w:rPr>
        <w:t>过对照《清洁生产标准</w:t>
      </w:r>
      <w:r>
        <w:rPr>
          <w:rFonts w:ascii="FangSong" w:hAnsi="FangSong" w:eastAsia="FangSong" w:cs="FangSong"/>
          <w:sz w:val="24"/>
          <w:szCs w:val="24"/>
          <w:spacing w:val="1"/>
        </w:rPr>
        <w:t xml:space="preserve"> </w:t>
      </w:r>
      <w:r>
        <w:rPr>
          <w:rFonts w:ascii="FangSong" w:hAnsi="FangSong" w:eastAsia="FangSong" w:cs="FangSong"/>
          <w:sz w:val="24"/>
          <w:szCs w:val="24"/>
          <w:spacing w:val="1"/>
        </w:rPr>
        <w:t>铁矿采选业》（</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/T294</w:t>
      </w:r>
      <w:r>
        <w:rPr>
          <w:rFonts w:ascii="Times New Roman" w:hAnsi="Times New Roman" w:eastAsia="Times New Roman" w:cs="Times New Roman"/>
          <w:sz w:val="24"/>
          <w:szCs w:val="24"/>
        </w:rPr>
        <w:t>-2006</w:t>
      </w:r>
      <w:r>
        <w:rPr>
          <w:rFonts w:ascii="FangSong" w:hAnsi="FangSong" w:eastAsia="FangSong" w:cs="FangSong"/>
          <w:sz w:val="24"/>
          <w:szCs w:val="24"/>
        </w:rPr>
        <w:t>）指标，选矿类有</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17</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rPr>
        <w:t>项达到</w:t>
      </w:r>
      <w:r>
        <w:rPr>
          <w:rFonts w:ascii="FangSong" w:hAnsi="FangSong" w:eastAsia="FangSong" w:cs="FangSong"/>
          <w:sz w:val="24"/>
          <w:szCs w:val="24"/>
          <w:spacing w:val="-4"/>
        </w:rPr>
        <w:t>一级，</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项达到二级。</w:t>
      </w:r>
    </w:p>
    <w:p>
      <w:pPr>
        <w:ind w:left="511"/>
        <w:spacing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）矿山的废水、固废均得到了有效利用，提高了循环利用率。</w:t>
      </w:r>
    </w:p>
    <w:p>
      <w:pPr>
        <w:ind w:left="27" w:right="74" w:firstLine="484"/>
        <w:spacing w:before="179" w:line="31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）矿山采用尾矿作为充填料，多余尾矿外售，不设尾矿库但设有尾矿临时堆</w:t>
      </w:r>
      <w:r>
        <w:rPr>
          <w:rFonts w:ascii="FangSong" w:hAnsi="FangSong" w:eastAsia="FangSong" w:cs="FangSong"/>
          <w:sz w:val="24"/>
          <w:szCs w:val="24"/>
          <w:spacing w:val="1"/>
        </w:rPr>
        <w:t>场用于临时堆存尾矿；项目在建设过程中、生产运营中、服务期满后，通过采取水</w:t>
      </w:r>
      <w:r>
        <w:rPr>
          <w:rFonts w:ascii="FangSong" w:hAnsi="FangSong" w:eastAsia="FangSong" w:cs="FangSong"/>
          <w:sz w:val="24"/>
          <w:szCs w:val="24"/>
          <w:spacing w:val="-1"/>
        </w:rPr>
        <w:t>土保持、土地复垦等措施，生态系统逐步修复。</w:t>
      </w:r>
    </w:p>
    <w:p>
      <w:pPr>
        <w:ind w:left="31" w:right="74" w:firstLine="480"/>
        <w:spacing w:before="175" w:line="33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）由上表可见，本项目采选生产能力均为</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，为小型地下生产矿山，</w:t>
      </w:r>
      <w:r>
        <w:rPr>
          <w:rFonts w:ascii="FangSong" w:hAnsi="FangSong" w:eastAsia="FangSong" w:cs="FangSong"/>
          <w:sz w:val="24"/>
          <w:szCs w:val="24"/>
          <w:spacing w:val="1"/>
        </w:rPr>
        <w:t>生产工艺装备尽可能选择国内外先进、高效、节能工艺与装备，评价认为本项目地</w:t>
      </w:r>
      <w:r>
        <w:rPr>
          <w:rFonts w:ascii="FangSong" w:hAnsi="FangSong" w:eastAsia="FangSong" w:cs="FangSong"/>
          <w:sz w:val="24"/>
          <w:szCs w:val="24"/>
          <w:spacing w:val="-16"/>
        </w:rPr>
        <w:t>下</w:t>
      </w:r>
      <w:r>
        <w:rPr>
          <w:rFonts w:ascii="FangSong" w:hAnsi="FangSong" w:eastAsia="FangSong" w:cs="FangSong"/>
          <w:sz w:val="24"/>
          <w:szCs w:val="24"/>
          <w:spacing w:val="-67"/>
        </w:rPr>
        <w:t xml:space="preserve"> </w:t>
      </w:r>
      <w:r>
        <w:rPr>
          <w:rFonts w:ascii="FangSong" w:hAnsi="FangSong" w:eastAsia="FangSong" w:cs="FangSong"/>
          <w:sz w:val="24"/>
          <w:szCs w:val="24"/>
          <w:spacing w:val="-16"/>
        </w:rPr>
        <w:t>采</w:t>
      </w:r>
      <w:r>
        <w:rPr>
          <w:rFonts w:ascii="FangSong" w:hAnsi="FangSong" w:eastAsia="FangSong" w:cs="FangSong"/>
          <w:sz w:val="24"/>
          <w:szCs w:val="24"/>
          <w:spacing w:val="-65"/>
        </w:rPr>
        <w:t xml:space="preserve"> </w:t>
      </w:r>
      <w:r>
        <w:rPr>
          <w:rFonts w:ascii="FangSong" w:hAnsi="FangSong" w:eastAsia="FangSong" w:cs="FangSong"/>
          <w:sz w:val="24"/>
          <w:szCs w:val="24"/>
          <w:spacing w:val="-16"/>
        </w:rPr>
        <w:t>矿</w:t>
      </w:r>
      <w:r>
        <w:rPr>
          <w:rFonts w:ascii="FangSong" w:hAnsi="FangSong" w:eastAsia="FangSong" w:cs="FangSong"/>
          <w:sz w:val="24"/>
          <w:szCs w:val="24"/>
          <w:spacing w:val="-50"/>
        </w:rPr>
        <w:t xml:space="preserve"> </w:t>
      </w:r>
      <w:r>
        <w:rPr>
          <w:rFonts w:ascii="FangSong" w:hAnsi="FangSong" w:eastAsia="FangSong" w:cs="FangSong"/>
          <w:sz w:val="24"/>
          <w:szCs w:val="24"/>
          <w:spacing w:val="-16"/>
        </w:rPr>
        <w:t>、</w:t>
      </w:r>
      <w:r>
        <w:rPr>
          <w:rFonts w:ascii="FangSong" w:hAnsi="FangSong" w:eastAsia="FangSong" w:cs="FangSong"/>
          <w:sz w:val="24"/>
          <w:szCs w:val="24"/>
          <w:spacing w:val="-66"/>
        </w:rPr>
        <w:t xml:space="preserve"> </w:t>
      </w:r>
      <w:r>
        <w:rPr>
          <w:rFonts w:ascii="FangSong" w:hAnsi="FangSong" w:eastAsia="FangSong" w:cs="FangSong"/>
          <w:sz w:val="24"/>
          <w:szCs w:val="24"/>
          <w:spacing w:val="-16"/>
        </w:rPr>
        <w:t>选</w:t>
      </w:r>
      <w:r>
        <w:rPr>
          <w:rFonts w:ascii="FangSong" w:hAnsi="FangSong" w:eastAsia="FangSong" w:cs="FangSong"/>
          <w:sz w:val="24"/>
          <w:szCs w:val="24"/>
          <w:spacing w:val="-68"/>
        </w:rPr>
        <w:t xml:space="preserve"> </w:t>
      </w:r>
      <w:r>
        <w:rPr>
          <w:rFonts w:ascii="FangSong" w:hAnsi="FangSong" w:eastAsia="FangSong" w:cs="FangSong"/>
          <w:sz w:val="24"/>
          <w:szCs w:val="24"/>
          <w:spacing w:val="-16"/>
        </w:rPr>
        <w:t>矿</w:t>
      </w:r>
      <w:r>
        <w:rPr>
          <w:rFonts w:ascii="FangSong" w:hAnsi="FangSong" w:eastAsia="FangSong" w:cs="FangSong"/>
          <w:sz w:val="24"/>
          <w:szCs w:val="24"/>
          <w:spacing w:val="-63"/>
        </w:rPr>
        <w:t xml:space="preserve"> </w:t>
      </w:r>
      <w:r>
        <w:rPr>
          <w:rFonts w:ascii="FangSong" w:hAnsi="FangSong" w:eastAsia="FangSong" w:cs="FangSong"/>
          <w:sz w:val="24"/>
          <w:szCs w:val="24"/>
          <w:spacing w:val="-16"/>
        </w:rPr>
        <w:t>清</w:t>
      </w:r>
      <w:r>
        <w:rPr>
          <w:rFonts w:ascii="FangSong" w:hAnsi="FangSong" w:eastAsia="FangSong" w:cs="FangSong"/>
          <w:sz w:val="24"/>
          <w:szCs w:val="24"/>
          <w:spacing w:val="-65"/>
        </w:rPr>
        <w:t xml:space="preserve"> </w:t>
      </w:r>
      <w:r>
        <w:rPr>
          <w:rFonts w:ascii="FangSong" w:hAnsi="FangSong" w:eastAsia="FangSong" w:cs="FangSong"/>
          <w:sz w:val="24"/>
          <w:szCs w:val="24"/>
          <w:spacing w:val="-16"/>
        </w:rPr>
        <w:t>洁</w:t>
      </w:r>
      <w:r>
        <w:rPr>
          <w:rFonts w:ascii="FangSong" w:hAnsi="FangSong" w:eastAsia="FangSong" w:cs="FangSong"/>
          <w:sz w:val="24"/>
          <w:szCs w:val="24"/>
          <w:spacing w:val="-54"/>
        </w:rPr>
        <w:t xml:space="preserve"> </w:t>
      </w:r>
      <w:r>
        <w:rPr>
          <w:rFonts w:ascii="FangSong" w:hAnsi="FangSong" w:eastAsia="FangSong" w:cs="FangSong"/>
          <w:sz w:val="24"/>
          <w:szCs w:val="24"/>
          <w:spacing w:val="-16"/>
        </w:rPr>
        <w:t>生</w:t>
      </w:r>
      <w:r>
        <w:rPr>
          <w:rFonts w:ascii="FangSong" w:hAnsi="FangSong" w:eastAsia="FangSong" w:cs="FangSong"/>
          <w:sz w:val="24"/>
          <w:szCs w:val="24"/>
          <w:spacing w:val="-64"/>
        </w:rPr>
        <w:t xml:space="preserve"> </w:t>
      </w:r>
      <w:r>
        <w:rPr>
          <w:rFonts w:ascii="FangSong" w:hAnsi="FangSong" w:eastAsia="FangSong" w:cs="FangSong"/>
          <w:sz w:val="24"/>
          <w:szCs w:val="24"/>
          <w:spacing w:val="-16"/>
        </w:rPr>
        <w:t>产</w:t>
      </w:r>
      <w:r>
        <w:rPr>
          <w:rFonts w:ascii="FangSong" w:hAnsi="FangSong" w:eastAsia="FangSong" w:cs="FangSong"/>
          <w:sz w:val="24"/>
          <w:szCs w:val="24"/>
          <w:spacing w:val="-71"/>
        </w:rPr>
        <w:t xml:space="preserve"> </w:t>
      </w:r>
      <w:r>
        <w:rPr>
          <w:rFonts w:ascii="FangSong" w:hAnsi="FangSong" w:eastAsia="FangSong" w:cs="FangSong"/>
          <w:sz w:val="24"/>
          <w:szCs w:val="24"/>
          <w:spacing w:val="-16"/>
        </w:rPr>
        <w:t>基</w:t>
      </w:r>
      <w:r>
        <w:rPr>
          <w:rFonts w:ascii="FangSong" w:hAnsi="FangSong" w:eastAsia="FangSong" w:cs="FangSong"/>
          <w:sz w:val="24"/>
          <w:szCs w:val="24"/>
          <w:spacing w:val="-67"/>
        </w:rPr>
        <w:t xml:space="preserve"> </w:t>
      </w:r>
      <w:r>
        <w:rPr>
          <w:rFonts w:ascii="FangSong" w:hAnsi="FangSong" w:eastAsia="FangSong" w:cs="FangSong"/>
          <w:sz w:val="24"/>
          <w:szCs w:val="24"/>
          <w:spacing w:val="-16"/>
        </w:rPr>
        <w:t>本</w:t>
      </w:r>
      <w:r>
        <w:rPr>
          <w:rFonts w:ascii="FangSong" w:hAnsi="FangSong" w:eastAsia="FangSong" w:cs="FangSong"/>
          <w:sz w:val="24"/>
          <w:szCs w:val="24"/>
          <w:spacing w:val="-65"/>
        </w:rPr>
        <w:t xml:space="preserve"> </w:t>
      </w:r>
      <w:r>
        <w:rPr>
          <w:rFonts w:ascii="FangSong" w:hAnsi="FangSong" w:eastAsia="FangSong" w:cs="FangSong"/>
          <w:sz w:val="24"/>
          <w:szCs w:val="24"/>
          <w:spacing w:val="-16"/>
        </w:rPr>
        <w:t>满</w:t>
      </w:r>
      <w:r>
        <w:rPr>
          <w:rFonts w:ascii="FangSong" w:hAnsi="FangSong" w:eastAsia="FangSong" w:cs="FangSong"/>
          <w:sz w:val="24"/>
          <w:szCs w:val="24"/>
          <w:spacing w:val="-68"/>
        </w:rPr>
        <w:t xml:space="preserve"> </w:t>
      </w:r>
      <w:r>
        <w:rPr>
          <w:rFonts w:ascii="FangSong" w:hAnsi="FangSong" w:eastAsia="FangSong" w:cs="FangSong"/>
          <w:sz w:val="24"/>
          <w:szCs w:val="24"/>
          <w:spacing w:val="-16"/>
        </w:rPr>
        <w:t>足</w:t>
      </w:r>
      <w:r>
        <w:rPr>
          <w:rFonts w:ascii="FangSong" w:hAnsi="FangSong" w:eastAsia="FangSong" w:cs="FangSong"/>
          <w:sz w:val="24"/>
          <w:szCs w:val="24"/>
          <w:spacing w:val="-68"/>
        </w:rPr>
        <w:t xml:space="preserve"> </w:t>
      </w:r>
      <w:r>
        <w:rPr>
          <w:rFonts w:ascii="FangSong" w:hAnsi="FangSong" w:eastAsia="FangSong" w:cs="FangSong"/>
          <w:sz w:val="24"/>
          <w:szCs w:val="24"/>
          <w:spacing w:val="-16"/>
        </w:rPr>
        <w:t>所</w:t>
      </w:r>
      <w:r>
        <w:rPr>
          <w:rFonts w:ascii="FangSong" w:hAnsi="FangSong" w:eastAsia="FangSong" w:cs="FangSong"/>
          <w:sz w:val="24"/>
          <w:szCs w:val="24"/>
          <w:spacing w:val="-64"/>
        </w:rPr>
        <w:t xml:space="preserve"> </w:t>
      </w:r>
      <w:r>
        <w:rPr>
          <w:rFonts w:ascii="FangSong" w:hAnsi="FangSong" w:eastAsia="FangSong" w:cs="FangSong"/>
          <w:sz w:val="24"/>
          <w:szCs w:val="24"/>
          <w:spacing w:val="-16"/>
        </w:rPr>
        <w:t>参</w:t>
      </w:r>
      <w:r>
        <w:rPr>
          <w:rFonts w:ascii="FangSong" w:hAnsi="FangSong" w:eastAsia="FangSong" w:cs="FangSong"/>
          <w:sz w:val="24"/>
          <w:szCs w:val="24"/>
          <w:spacing w:val="-60"/>
        </w:rPr>
        <w:t xml:space="preserve"> </w:t>
      </w:r>
      <w:r>
        <w:rPr>
          <w:rFonts w:ascii="FangSong" w:hAnsi="FangSong" w:eastAsia="FangSong" w:cs="FangSong"/>
          <w:sz w:val="24"/>
          <w:szCs w:val="24"/>
          <w:spacing w:val="-16"/>
        </w:rPr>
        <w:t>照的《</w:t>
      </w:r>
      <w:r>
        <w:rPr>
          <w:rFonts w:ascii="FangSong" w:hAnsi="FangSong" w:eastAsia="FangSong" w:cs="FangSong"/>
          <w:sz w:val="24"/>
          <w:szCs w:val="24"/>
          <w:spacing w:val="-42"/>
        </w:rPr>
        <w:t xml:space="preserve"> </w:t>
      </w:r>
      <w:r>
        <w:rPr>
          <w:rFonts w:ascii="FangSong" w:hAnsi="FangSong" w:eastAsia="FangSong" w:cs="FangSong"/>
          <w:sz w:val="24"/>
          <w:szCs w:val="24"/>
          <w:spacing w:val="-16"/>
        </w:rPr>
        <w:t>清</w:t>
      </w:r>
      <w:r>
        <w:rPr>
          <w:rFonts w:ascii="FangSong" w:hAnsi="FangSong" w:eastAsia="FangSong" w:cs="FangSong"/>
          <w:sz w:val="24"/>
          <w:szCs w:val="24"/>
          <w:spacing w:val="-63"/>
        </w:rPr>
        <w:t xml:space="preserve"> </w:t>
      </w:r>
      <w:r>
        <w:rPr>
          <w:rFonts w:ascii="FangSong" w:hAnsi="FangSong" w:eastAsia="FangSong" w:cs="FangSong"/>
          <w:sz w:val="24"/>
          <w:szCs w:val="24"/>
          <w:spacing w:val="-17"/>
        </w:rPr>
        <w:t>洁</w:t>
      </w:r>
      <w:r>
        <w:rPr>
          <w:rFonts w:ascii="FangSong" w:hAnsi="FangSong" w:eastAsia="FangSong" w:cs="FangSong"/>
          <w:sz w:val="24"/>
          <w:szCs w:val="24"/>
          <w:spacing w:val="-54"/>
        </w:rPr>
        <w:t xml:space="preserve"> </w:t>
      </w:r>
      <w:r>
        <w:rPr>
          <w:rFonts w:ascii="FangSong" w:hAnsi="FangSong" w:eastAsia="FangSong" w:cs="FangSong"/>
          <w:sz w:val="24"/>
          <w:szCs w:val="24"/>
          <w:spacing w:val="-17"/>
        </w:rPr>
        <w:t>生</w:t>
      </w:r>
      <w:r>
        <w:rPr>
          <w:rFonts w:ascii="FangSong" w:hAnsi="FangSong" w:eastAsia="FangSong" w:cs="FangSong"/>
          <w:sz w:val="24"/>
          <w:szCs w:val="24"/>
          <w:spacing w:val="-66"/>
        </w:rPr>
        <w:t xml:space="preserve"> </w:t>
      </w:r>
      <w:r>
        <w:rPr>
          <w:rFonts w:ascii="FangSong" w:hAnsi="FangSong" w:eastAsia="FangSong" w:cs="FangSong"/>
          <w:sz w:val="24"/>
          <w:szCs w:val="24"/>
          <w:spacing w:val="-17"/>
        </w:rPr>
        <w:t>产</w:t>
      </w:r>
      <w:r>
        <w:rPr>
          <w:rFonts w:ascii="FangSong" w:hAnsi="FangSong" w:eastAsia="FangSong" w:cs="FangSong"/>
          <w:sz w:val="24"/>
          <w:szCs w:val="24"/>
          <w:spacing w:val="-69"/>
        </w:rPr>
        <w:t xml:space="preserve"> </w:t>
      </w:r>
      <w:r>
        <w:rPr>
          <w:rFonts w:ascii="FangSong" w:hAnsi="FangSong" w:eastAsia="FangSong" w:cs="FangSong"/>
          <w:sz w:val="24"/>
          <w:szCs w:val="24"/>
          <w:spacing w:val="-17"/>
        </w:rPr>
        <w:t>标</w:t>
      </w:r>
      <w:r>
        <w:rPr>
          <w:rFonts w:ascii="FangSong" w:hAnsi="FangSong" w:eastAsia="FangSong" w:cs="FangSong"/>
          <w:sz w:val="24"/>
          <w:szCs w:val="24"/>
          <w:spacing w:val="-63"/>
        </w:rPr>
        <w:t xml:space="preserve"> </w:t>
      </w:r>
      <w:r>
        <w:rPr>
          <w:rFonts w:ascii="FangSong" w:hAnsi="FangSong" w:eastAsia="FangSong" w:cs="FangSong"/>
          <w:sz w:val="24"/>
          <w:szCs w:val="24"/>
          <w:spacing w:val="-17"/>
        </w:rPr>
        <w:t>准</w:t>
      </w:r>
      <w:r>
        <w:rPr>
          <w:rFonts w:ascii="FangSong" w:hAnsi="FangSong" w:eastAsia="FangSong" w:cs="FangSong"/>
          <w:sz w:val="24"/>
          <w:szCs w:val="24"/>
          <w:spacing w:val="91"/>
        </w:rPr>
        <w:t xml:space="preserve"> </w:t>
      </w:r>
      <w:r>
        <w:rPr>
          <w:rFonts w:ascii="FangSong" w:hAnsi="FangSong" w:eastAsia="FangSong" w:cs="FangSong"/>
          <w:sz w:val="24"/>
          <w:szCs w:val="24"/>
          <w:spacing w:val="-17"/>
        </w:rPr>
        <w:t>铁</w:t>
      </w:r>
      <w:r>
        <w:rPr>
          <w:rFonts w:ascii="FangSong" w:hAnsi="FangSong" w:eastAsia="FangSong" w:cs="FangSong"/>
          <w:sz w:val="24"/>
          <w:szCs w:val="24"/>
          <w:spacing w:val="-68"/>
        </w:rPr>
        <w:t xml:space="preserve"> </w:t>
      </w:r>
      <w:r>
        <w:rPr>
          <w:rFonts w:ascii="FangSong" w:hAnsi="FangSong" w:eastAsia="FangSong" w:cs="FangSong"/>
          <w:sz w:val="24"/>
          <w:szCs w:val="24"/>
          <w:spacing w:val="-17"/>
        </w:rPr>
        <w:t>矿</w:t>
      </w:r>
      <w:r>
        <w:rPr>
          <w:rFonts w:ascii="FangSong" w:hAnsi="FangSong" w:eastAsia="FangSong" w:cs="FangSong"/>
          <w:sz w:val="24"/>
          <w:szCs w:val="24"/>
          <w:spacing w:val="-64"/>
        </w:rPr>
        <w:t xml:space="preserve"> </w:t>
      </w:r>
      <w:r>
        <w:rPr>
          <w:rFonts w:ascii="FangSong" w:hAnsi="FangSong" w:eastAsia="FangSong" w:cs="FangSong"/>
          <w:sz w:val="24"/>
          <w:szCs w:val="24"/>
          <w:spacing w:val="-17"/>
        </w:rPr>
        <w:t>采</w:t>
      </w:r>
      <w:r>
        <w:rPr>
          <w:rFonts w:ascii="FangSong" w:hAnsi="FangSong" w:eastAsia="FangSong" w:cs="FangSong"/>
          <w:sz w:val="24"/>
          <w:szCs w:val="24"/>
          <w:spacing w:val="-65"/>
        </w:rPr>
        <w:t xml:space="preserve"> </w:t>
      </w:r>
      <w:r>
        <w:rPr>
          <w:rFonts w:ascii="FangSong" w:hAnsi="FangSong" w:eastAsia="FangSong" w:cs="FangSong"/>
          <w:sz w:val="24"/>
          <w:szCs w:val="24"/>
          <w:spacing w:val="-17"/>
        </w:rPr>
        <w:t>选</w:t>
      </w:r>
      <w:r>
        <w:rPr>
          <w:rFonts w:ascii="FangSong" w:hAnsi="FangSong" w:eastAsia="FangSong" w:cs="FangSong"/>
          <w:sz w:val="24"/>
          <w:szCs w:val="24"/>
          <w:spacing w:val="-68"/>
        </w:rPr>
        <w:t xml:space="preserve"> </w:t>
      </w:r>
      <w:r>
        <w:rPr>
          <w:rFonts w:ascii="FangSong" w:hAnsi="FangSong" w:eastAsia="FangSong" w:cs="FangSong"/>
          <w:sz w:val="24"/>
          <w:szCs w:val="24"/>
          <w:spacing w:val="-17"/>
        </w:rPr>
        <w:t>业</w:t>
      </w:r>
      <w:r>
        <w:rPr>
          <w:rFonts w:ascii="FangSong" w:hAnsi="FangSong" w:eastAsia="FangSong" w:cs="FangSong"/>
          <w:sz w:val="24"/>
          <w:szCs w:val="24"/>
          <w:spacing w:val="-62"/>
        </w:rPr>
        <w:t xml:space="preserve"> </w:t>
      </w:r>
      <w:r>
        <w:rPr>
          <w:rFonts w:ascii="FangSong" w:hAnsi="FangSong" w:eastAsia="FangSong" w:cs="FangSong"/>
          <w:sz w:val="24"/>
          <w:szCs w:val="24"/>
          <w:spacing w:val="-17"/>
        </w:rPr>
        <w:t>》</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/T294-2006</w:t>
      </w:r>
      <w:r>
        <w:rPr>
          <w:rFonts w:ascii="FangSong" w:hAnsi="FangSong" w:eastAsia="FangSong" w:cs="FangSong"/>
          <w:sz w:val="24"/>
          <w:szCs w:val="24"/>
          <w:spacing w:val="2"/>
        </w:rPr>
        <w:t>）二级水平，绝大多数介于一级与二级之间，说明本项</w:t>
      </w:r>
      <w:r>
        <w:rPr>
          <w:rFonts w:ascii="FangSong" w:hAnsi="FangSong" w:eastAsia="FangSong" w:cs="FangSong"/>
          <w:sz w:val="24"/>
          <w:szCs w:val="24"/>
          <w:spacing w:val="1"/>
        </w:rPr>
        <w:t>目符合清洁</w:t>
      </w:r>
      <w:r>
        <w:rPr>
          <w:rFonts w:ascii="FangSong" w:hAnsi="FangSong" w:eastAsia="FangSong" w:cs="FangSong"/>
          <w:sz w:val="24"/>
          <w:szCs w:val="24"/>
          <w:spacing w:val="-2"/>
        </w:rPr>
        <w:t>生产要求，属于国内清洁生产较先进水平。</w:t>
      </w:r>
    </w:p>
    <w:p>
      <w:pPr>
        <w:ind w:left="26" w:firstLine="505"/>
        <w:spacing w:before="177" w:line="360" w:lineRule="auto"/>
        <w:jc w:val="both"/>
        <w:rPr>
          <w:rFonts w:ascii="FangSong" w:hAnsi="FangSong" w:eastAsia="FangSong" w:cs="FangSong"/>
          <w:sz w:val="24"/>
          <w:szCs w:val="24"/>
        </w:rPr>
      </w:pPr>
      <w:r>
        <w:rPr>
          <w:rFonts w:ascii="FangSong" w:hAnsi="FangSong" w:eastAsia="FangSong" w:cs="FangSong"/>
          <w:sz w:val="24"/>
          <w:szCs w:val="24"/>
          <w:spacing w:val="-4"/>
        </w:rPr>
        <w:t>以上分析表明，本项目的建设符合相关产业政策及环境管</w:t>
      </w:r>
      <w:r>
        <w:rPr>
          <w:rFonts w:ascii="FangSong" w:hAnsi="FangSong" w:eastAsia="FangSong" w:cs="FangSong"/>
          <w:sz w:val="24"/>
          <w:szCs w:val="24"/>
          <w:spacing w:val="-5"/>
        </w:rPr>
        <w:t>理要求；项目的工艺、</w:t>
      </w:r>
      <w:r>
        <w:rPr>
          <w:rFonts w:ascii="FangSong" w:hAnsi="FangSong" w:eastAsia="FangSong" w:cs="FangSong"/>
          <w:sz w:val="24"/>
          <w:szCs w:val="24"/>
          <w:spacing w:val="1"/>
        </w:rPr>
        <w:t>设备及生产控制均具有一定的清洁生产水平；项目生产过程中注意节能降耗、资源</w:t>
      </w:r>
      <w:r>
        <w:rPr>
          <w:rFonts w:ascii="FangSong" w:hAnsi="FangSong" w:eastAsia="FangSong" w:cs="FangSong"/>
          <w:sz w:val="24"/>
          <w:szCs w:val="24"/>
          <w:spacing w:val="1"/>
        </w:rPr>
        <w:t>综合利用，物耗能耗较低；项目对生产过程中产生的“三废</w:t>
      </w:r>
      <w:r>
        <w:rPr>
          <w:rFonts w:ascii="FangSong" w:hAnsi="FangSong" w:eastAsia="FangSong" w:cs="FangSong"/>
          <w:sz w:val="24"/>
          <w:szCs w:val="24"/>
          <w:spacing w:val="-85"/>
        </w:rPr>
        <w:t xml:space="preserve"> </w:t>
      </w:r>
      <w:r>
        <w:rPr>
          <w:rFonts w:ascii="FangSong" w:hAnsi="FangSong" w:eastAsia="FangSong" w:cs="FangSong"/>
          <w:sz w:val="24"/>
          <w:szCs w:val="24"/>
          <w:spacing w:val="1"/>
        </w:rPr>
        <w:t>”进行了资源化治理，</w:t>
      </w:r>
      <w:r>
        <w:rPr>
          <w:rFonts w:ascii="FangSong" w:hAnsi="FangSong" w:eastAsia="FangSong" w:cs="FangSong"/>
          <w:sz w:val="24"/>
          <w:szCs w:val="24"/>
          <w:spacing w:val="-2"/>
        </w:rPr>
        <w:t>污染物能够达标排放。</w:t>
      </w:r>
    </w:p>
    <w:p>
      <w:pPr>
        <w:ind w:left="17"/>
        <w:spacing w:before="3" w:line="222" w:lineRule="auto"/>
        <w:outlineLvl w:val="1"/>
        <w:rPr>
          <w:rFonts w:ascii="FangSong" w:hAnsi="FangSong" w:eastAsia="FangSong" w:cs="FangSong"/>
          <w:sz w:val="28"/>
          <w:szCs w:val="28"/>
        </w:rPr>
      </w:pPr>
      <w:bookmarkStart w:name="bookmark198" w:id="273"/>
      <w:bookmarkEnd w:id="273"/>
      <w:bookmarkStart w:name="bookmark197" w:id="274"/>
      <w:bookmarkEnd w:id="274"/>
      <w:r>
        <w:rPr>
          <w:rFonts w:ascii="Times New Roman" w:hAnsi="Times New Roman" w:eastAsia="Times New Roman" w:cs="Times New Roman"/>
          <w:sz w:val="28"/>
          <w:szCs w:val="28"/>
          <w:b/>
          <w:bCs/>
          <w:spacing w:val="-5"/>
        </w:rPr>
        <w:t>4.15</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5"/>
        </w:rPr>
        <w:t>总量控制指标</w:t>
      </w:r>
    </w:p>
    <w:p>
      <w:pPr>
        <w:ind w:left="8" w:firstLine="499"/>
        <w:spacing w:before="202" w:line="359" w:lineRule="auto"/>
        <w:rPr>
          <w:rFonts w:ascii="FangSong" w:hAnsi="FangSong" w:eastAsia="FangSong" w:cs="FangSong"/>
          <w:sz w:val="24"/>
          <w:szCs w:val="24"/>
        </w:rPr>
      </w:pPr>
      <w:r>
        <w:rPr>
          <w:rFonts w:ascii="FangSong" w:hAnsi="FangSong" w:eastAsia="FangSong" w:cs="FangSong"/>
          <w:sz w:val="24"/>
          <w:szCs w:val="24"/>
          <w:spacing w:val="-6"/>
        </w:rPr>
        <w:t>根据国家的相关规定，现阶段进行总量控制的指标为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6"/>
        </w:rPr>
        <w:t>SO</w:t>
      </w:r>
      <w:r>
        <w:rPr>
          <w:rFonts w:ascii="Times New Roman" w:hAnsi="Times New Roman" w:eastAsia="Times New Roman" w:cs="Times New Roman"/>
          <w:sz w:val="15"/>
          <w:szCs w:val="15"/>
          <w:spacing w:val="-6"/>
          <w:position w:val="-1"/>
        </w:rPr>
        <w:t>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NO</w:t>
      </w:r>
      <w:r>
        <w:rPr>
          <w:rFonts w:ascii="Times New Roman" w:hAnsi="Times New Roman" w:eastAsia="Times New Roman" w:cs="Times New Roman"/>
          <w:sz w:val="15"/>
          <w:szCs w:val="15"/>
          <w:spacing w:val="-6"/>
          <w:position w:val="-1"/>
        </w:rPr>
        <w:t>X</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VOCs</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COD</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NH</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-N</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五项。</w:t>
      </w:r>
    </w:p>
    <w:p>
      <w:pPr>
        <w:ind w:left="507"/>
        <w:spacing w:before="1" w:line="220" w:lineRule="auto"/>
        <w:rPr>
          <w:rFonts w:ascii="FangSong" w:hAnsi="FangSong" w:eastAsia="FangSong" w:cs="FangSong"/>
          <w:sz w:val="24"/>
          <w:szCs w:val="24"/>
        </w:rPr>
      </w:pPr>
      <w:r>
        <w:rPr>
          <w:rFonts w:ascii="FangSong" w:hAnsi="FangSong" w:eastAsia="FangSong" w:cs="FangSong"/>
          <w:sz w:val="24"/>
          <w:szCs w:val="24"/>
          <w:spacing w:val="-2"/>
        </w:rPr>
        <w:t>本项目运营期内无挥发性有机气体产生，不涉及</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VOCs</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总量控制指标。</w:t>
      </w:r>
    </w:p>
    <w:p>
      <w:pPr>
        <w:ind w:left="507"/>
        <w:spacing w:before="182" w:line="220" w:lineRule="auto"/>
        <w:rPr>
          <w:rFonts w:ascii="FangSong" w:hAnsi="FangSong" w:eastAsia="FangSong" w:cs="FangSong"/>
          <w:sz w:val="24"/>
          <w:szCs w:val="24"/>
        </w:rPr>
      </w:pPr>
      <w:r>
        <w:rPr>
          <w:rFonts w:ascii="FangSong" w:hAnsi="FangSong" w:eastAsia="FangSong" w:cs="FangSong"/>
          <w:sz w:val="24"/>
          <w:szCs w:val="24"/>
          <w:spacing w:val="-2"/>
        </w:rPr>
        <w:t>本项目地下开采涉及</w:t>
      </w:r>
      <w:r>
        <w:rPr>
          <w:rFonts w:ascii="FangSong" w:hAnsi="FangSong" w:eastAsia="FangSong" w:cs="FangSong"/>
          <w:sz w:val="24"/>
          <w:szCs w:val="24"/>
          <w:spacing w:val="-62"/>
        </w:rPr>
        <w:t xml:space="preserve"> </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X</w:t>
      </w:r>
      <w:r>
        <w:rPr>
          <w:rFonts w:ascii="Times New Roman" w:hAnsi="Times New Roman" w:eastAsia="Times New Roman" w:cs="Times New Roman"/>
          <w:sz w:val="15"/>
          <w:szCs w:val="15"/>
          <w:spacing w:val="14"/>
          <w:position w:val="-1"/>
        </w:rPr>
        <w:t xml:space="preserve"> </w:t>
      </w:r>
      <w:r>
        <w:rPr>
          <w:rFonts w:ascii="FangSong" w:hAnsi="FangSong" w:eastAsia="FangSong" w:cs="FangSong"/>
          <w:sz w:val="24"/>
          <w:szCs w:val="24"/>
          <w:spacing w:val="-2"/>
        </w:rPr>
        <w:t>排放。需申请</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x</w:t>
      </w:r>
      <w:r>
        <w:rPr>
          <w:rFonts w:ascii="Times New Roman" w:hAnsi="Times New Roman" w:eastAsia="Times New Roman" w:cs="Times New Roman"/>
          <w:sz w:val="15"/>
          <w:szCs w:val="15"/>
          <w:spacing w:val="28"/>
          <w:w w:val="101"/>
          <w:position w:val="-1"/>
        </w:rPr>
        <w:t xml:space="preserve"> </w:t>
      </w:r>
      <w:r>
        <w:rPr>
          <w:rFonts w:ascii="FangSong" w:hAnsi="FangSong" w:eastAsia="FangSong" w:cs="FangSong"/>
          <w:sz w:val="24"/>
          <w:szCs w:val="24"/>
          <w:spacing w:val="-2"/>
        </w:rPr>
        <w:t>总量控制</w:t>
      </w:r>
      <w:r>
        <w:rPr>
          <w:rFonts w:ascii="FangSong" w:hAnsi="FangSong" w:eastAsia="FangSong" w:cs="FangSong"/>
          <w:sz w:val="24"/>
          <w:szCs w:val="24"/>
          <w:spacing w:val="-3"/>
        </w:rPr>
        <w:t>指标</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3"/>
        </w:rPr>
        <w:t>186t/a</w:t>
      </w:r>
      <w:r>
        <w:rPr>
          <w:rFonts w:ascii="FangSong" w:hAnsi="FangSong" w:eastAsia="FangSong" w:cs="FangSong"/>
          <w:sz w:val="24"/>
          <w:szCs w:val="24"/>
          <w:spacing w:val="-3"/>
        </w:rPr>
        <w:t>。</w:t>
      </w:r>
    </w:p>
    <w:p>
      <w:pPr>
        <w:ind w:left="30" w:right="76" w:firstLine="490"/>
        <w:spacing w:before="177" w:line="360" w:lineRule="auto"/>
        <w:rPr>
          <w:rFonts w:ascii="FangSong" w:hAnsi="FangSong" w:eastAsia="FangSong" w:cs="FangSong"/>
          <w:sz w:val="24"/>
          <w:szCs w:val="24"/>
        </w:rPr>
      </w:pPr>
      <w:r>
        <w:rPr>
          <w:rFonts w:ascii="FangSong" w:hAnsi="FangSong" w:eastAsia="FangSong" w:cs="FangSong"/>
          <w:sz w:val="24"/>
          <w:szCs w:val="24"/>
          <w:spacing w:val="-1"/>
        </w:rPr>
        <w:t>生活污水和经隔油池处理后的食堂废水排入防渗储池内，</w:t>
      </w:r>
      <w:r>
        <w:rPr>
          <w:rFonts w:ascii="FangSong" w:hAnsi="FangSong" w:eastAsia="FangSong" w:cs="FangSong"/>
          <w:sz w:val="24"/>
          <w:szCs w:val="24"/>
          <w:spacing w:val="-62"/>
        </w:rPr>
        <w:t xml:space="preserve"> </w:t>
      </w:r>
      <w:r>
        <w:rPr>
          <w:rFonts w:ascii="FangSong" w:hAnsi="FangSong" w:eastAsia="FangSong" w:cs="FangSong"/>
          <w:sz w:val="24"/>
          <w:szCs w:val="24"/>
          <w:spacing w:val="-1"/>
        </w:rPr>
        <w:t>由环卫部门定期抽运</w:t>
      </w:r>
      <w:r>
        <w:rPr>
          <w:rFonts w:ascii="FangSong" w:hAnsi="FangSong" w:eastAsia="FangSong" w:cs="FangSong"/>
          <w:sz w:val="24"/>
          <w:szCs w:val="24"/>
          <w:spacing w:val="-3"/>
        </w:rPr>
        <w:t>至内蒙古锡林郭勒盟苏尼特右旗赛汉塔拉镇污水处理厂处理，不涉及</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3"/>
        </w:rPr>
        <w:t>COD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、氨氮总</w:t>
      </w:r>
      <w:r>
        <w:rPr>
          <w:rFonts w:ascii="FangSong" w:hAnsi="FangSong" w:eastAsia="FangSong" w:cs="FangSong"/>
          <w:sz w:val="24"/>
          <w:szCs w:val="24"/>
          <w:spacing w:val="-3"/>
        </w:rPr>
        <w:t>量控制标准。。</w:t>
      </w:r>
    </w:p>
    <w:p>
      <w:pPr>
        <w:ind w:left="17"/>
        <w:spacing w:before="5" w:line="222" w:lineRule="auto"/>
        <w:outlineLvl w:val="1"/>
        <w:rPr>
          <w:rFonts w:ascii="FangSong" w:hAnsi="FangSong" w:eastAsia="FangSong" w:cs="FangSong"/>
          <w:sz w:val="28"/>
          <w:szCs w:val="28"/>
        </w:rPr>
      </w:pPr>
      <w:bookmarkStart w:name="bookmark200" w:id="275"/>
      <w:bookmarkEnd w:id="275"/>
      <w:bookmarkStart w:name="bookmark199" w:id="276"/>
      <w:bookmarkEnd w:id="276"/>
      <w:r>
        <w:rPr>
          <w:rFonts w:ascii="Times New Roman" w:hAnsi="Times New Roman" w:eastAsia="Times New Roman" w:cs="Times New Roman"/>
          <w:sz w:val="28"/>
          <w:szCs w:val="28"/>
          <w:b/>
          <w:bCs/>
          <w:spacing w:val="3"/>
        </w:rPr>
        <w:t>4.16</w:t>
      </w:r>
      <w:r>
        <w:rPr>
          <w:rFonts w:ascii="Times New Roman" w:hAnsi="Times New Roman" w:eastAsia="Times New Roman" w:cs="Times New Roman"/>
          <w:sz w:val="28"/>
          <w:szCs w:val="28"/>
          <w:b/>
          <w:bCs/>
          <w:spacing w:val="33"/>
        </w:rPr>
        <w:t xml:space="preserve"> </w:t>
      </w:r>
      <w:r>
        <w:rPr>
          <w:rFonts w:ascii="FangSong" w:hAnsi="FangSong" w:eastAsia="FangSong" w:cs="FangSong"/>
          <w:sz w:val="28"/>
          <w:szCs w:val="28"/>
          <w:b/>
          <w:bCs/>
          <w:spacing w:val="3"/>
        </w:rPr>
        <w:t>污染物排放“三本账</w:t>
      </w:r>
      <w:r>
        <w:rPr>
          <w:rFonts w:ascii="FangSong" w:hAnsi="FangSong" w:eastAsia="FangSong" w:cs="FangSong"/>
          <w:sz w:val="28"/>
          <w:szCs w:val="28"/>
          <w:spacing w:val="36"/>
        </w:rPr>
        <w:t xml:space="preserve"> </w:t>
      </w:r>
      <w:r>
        <w:rPr>
          <w:rFonts w:ascii="FangSong" w:hAnsi="FangSong" w:eastAsia="FangSong" w:cs="FangSong"/>
          <w:sz w:val="28"/>
          <w:szCs w:val="28"/>
          <w:b/>
          <w:bCs/>
          <w:spacing w:val="3"/>
        </w:rPr>
        <w:t>”</w:t>
      </w:r>
    </w:p>
    <w:p>
      <w:pPr>
        <w:ind w:left="507"/>
        <w:spacing w:before="203" w:line="221" w:lineRule="auto"/>
        <w:rPr>
          <w:rFonts w:ascii="FangSong" w:hAnsi="FangSong" w:eastAsia="FangSong" w:cs="FangSong"/>
          <w:sz w:val="24"/>
          <w:szCs w:val="24"/>
        </w:rPr>
      </w:pPr>
      <w:r>
        <w:rPr>
          <w:rFonts w:ascii="FangSong" w:hAnsi="FangSong" w:eastAsia="FangSong" w:cs="FangSong"/>
          <w:sz w:val="24"/>
          <w:szCs w:val="24"/>
          <w:spacing w:val="-1"/>
        </w:rPr>
        <w:t>本项目污染物排放汇总情况见表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4.16-</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p>
    <w:p>
      <w:pPr>
        <w:spacing w:line="221" w:lineRule="auto"/>
        <w:sectPr>
          <w:headerReference w:type="default" r:id="rId52"/>
          <w:footerReference w:type="default" r:id="rId206"/>
          <w:pgSz w:w="11911" w:h="16839"/>
          <w:pgMar w:top="400" w:right="1341" w:bottom="1146" w:left="1786" w:header="0" w:footer="984" w:gutter="0"/>
        </w:sectPr>
        <w:rPr>
          <w:rFonts w:ascii="FangSong" w:hAnsi="FangSong" w:eastAsia="FangSong" w:cs="FangSong"/>
          <w:sz w:val="24"/>
          <w:szCs w:val="24"/>
        </w:rPr>
      </w:pPr>
    </w:p>
    <w:p>
      <w:pPr>
        <w:ind w:left="2147"/>
        <w:spacing w:before="312"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b/>
          <w:bCs/>
          <w:spacing w:val="-3"/>
        </w:rPr>
        <w:t>4.16-1  </w:t>
      </w:r>
      <w:r>
        <w:rPr>
          <w:rFonts w:ascii="FangSong" w:hAnsi="FangSong" w:eastAsia="FangSong" w:cs="FangSong"/>
          <w:sz w:val="24"/>
          <w:szCs w:val="24"/>
          <w:b/>
          <w:bCs/>
          <w:spacing w:val="-3"/>
        </w:rPr>
        <w:t>本项目污染物排放汇总情况一览表</w:t>
      </w:r>
    </w:p>
    <w:p>
      <w:pPr>
        <w:spacing w:line="143" w:lineRule="exact"/>
        <w:rPr/>
      </w:pPr>
      <w:r/>
    </w:p>
    <w:tbl>
      <w:tblPr>
        <w:tblStyle w:val="TableNormal"/>
        <w:tblW w:w="89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7"/>
        <w:gridCol w:w="754"/>
        <w:gridCol w:w="1180"/>
        <w:gridCol w:w="1101"/>
        <w:gridCol w:w="1109"/>
        <w:gridCol w:w="963"/>
        <w:gridCol w:w="3018"/>
      </w:tblGrid>
      <w:tr>
        <w:trPr>
          <w:trHeight w:val="281" w:hRule="atLeast"/>
        </w:trPr>
        <w:tc>
          <w:tcPr>
            <w:tcW w:w="787" w:type="dxa"/>
            <w:vAlign w:val="top"/>
            <w:vMerge w:val="restart"/>
            <w:tcBorders>
              <w:left w:val="nil"/>
              <w:top w:val="single" w:color="000000" w:sz="10" w:space="0"/>
              <w:bottom w:val="nil"/>
            </w:tcBorders>
          </w:tcPr>
          <w:p>
            <w:pPr>
              <w:pStyle w:val="TableText"/>
              <w:ind w:left="198"/>
              <w:spacing w:before="176" w:line="229" w:lineRule="auto"/>
              <w:rPr/>
            </w:pPr>
            <w:r>
              <w:rPr>
                <w:spacing w:val="1"/>
              </w:rPr>
              <w:t>种类</w:t>
            </w:r>
          </w:p>
        </w:tc>
        <w:tc>
          <w:tcPr>
            <w:tcW w:w="1934" w:type="dxa"/>
            <w:vAlign w:val="top"/>
            <w:gridSpan w:val="2"/>
            <w:vMerge w:val="restart"/>
            <w:tcBorders>
              <w:top w:val="single" w:color="000000" w:sz="10" w:space="0"/>
              <w:bottom w:val="nil"/>
            </w:tcBorders>
          </w:tcPr>
          <w:p>
            <w:pPr>
              <w:pStyle w:val="TableText"/>
              <w:ind w:left="457"/>
              <w:spacing w:before="176" w:line="229" w:lineRule="auto"/>
              <w:rPr/>
            </w:pPr>
            <w:r>
              <w:rPr>
                <w:spacing w:val="6"/>
              </w:rPr>
              <w:t>污染物名称</w:t>
            </w:r>
          </w:p>
        </w:tc>
        <w:tc>
          <w:tcPr>
            <w:tcW w:w="3173" w:type="dxa"/>
            <w:vAlign w:val="top"/>
            <w:gridSpan w:val="3"/>
            <w:tcBorders>
              <w:top w:val="single" w:color="000000" w:sz="10" w:space="0"/>
            </w:tcBorders>
          </w:tcPr>
          <w:p>
            <w:pPr>
              <w:pStyle w:val="TableText"/>
              <w:ind w:left="859"/>
              <w:spacing w:before="36" w:line="216" w:lineRule="auto"/>
              <w:rPr/>
            </w:pPr>
            <w:r>
              <w:rPr>
                <w:spacing w:val="5"/>
              </w:rPr>
              <w:t>排放情况（</w:t>
            </w:r>
            <w:r>
              <w:rPr>
                <w:rFonts w:ascii="Times New Roman" w:hAnsi="Times New Roman" w:eastAsia="Times New Roman" w:cs="Times New Roman"/>
                <w:spacing w:val="5"/>
              </w:rPr>
              <w:t>t/a</w:t>
            </w:r>
            <w:r>
              <w:rPr>
                <w:spacing w:val="5"/>
              </w:rPr>
              <w:t>）</w:t>
            </w:r>
          </w:p>
        </w:tc>
        <w:tc>
          <w:tcPr>
            <w:tcW w:w="3018" w:type="dxa"/>
            <w:vAlign w:val="top"/>
            <w:vMerge w:val="restart"/>
            <w:tcBorders>
              <w:right w:val="nil"/>
              <w:top w:val="single" w:color="000000" w:sz="10" w:space="0"/>
              <w:bottom w:val="nil"/>
            </w:tcBorders>
          </w:tcPr>
          <w:p>
            <w:pPr>
              <w:pStyle w:val="TableText"/>
              <w:ind w:left="1097"/>
              <w:spacing w:before="175" w:line="231" w:lineRule="auto"/>
              <w:rPr/>
            </w:pPr>
            <w:r>
              <w:rPr>
                <w:spacing w:val="6"/>
              </w:rPr>
              <w:t>排放去向</w:t>
            </w:r>
          </w:p>
        </w:tc>
      </w:tr>
      <w:tr>
        <w:trPr>
          <w:trHeight w:val="277" w:hRule="atLeast"/>
        </w:trPr>
        <w:tc>
          <w:tcPr>
            <w:tcW w:w="787" w:type="dxa"/>
            <w:vAlign w:val="top"/>
            <w:vMerge w:val="continue"/>
            <w:tcBorders>
              <w:left w:val="nil"/>
              <w:top w:val="nil"/>
            </w:tcBorders>
          </w:tcPr>
          <w:p>
            <w:pPr>
              <w:rPr>
                <w:rFonts w:ascii="Arial"/>
                <w:sz w:val="21"/>
              </w:rPr>
            </w:pPr>
            <w:r/>
          </w:p>
        </w:tc>
        <w:tc>
          <w:tcPr>
            <w:tcW w:w="1934" w:type="dxa"/>
            <w:vAlign w:val="top"/>
            <w:gridSpan w:val="2"/>
            <w:vMerge w:val="continue"/>
            <w:tcBorders>
              <w:top w:val="nil"/>
            </w:tcBorders>
          </w:tcPr>
          <w:p>
            <w:pPr>
              <w:rPr>
                <w:rFonts w:ascii="Arial"/>
                <w:sz w:val="21"/>
              </w:rPr>
            </w:pPr>
            <w:r/>
          </w:p>
        </w:tc>
        <w:tc>
          <w:tcPr>
            <w:tcW w:w="1101" w:type="dxa"/>
            <w:vAlign w:val="top"/>
          </w:tcPr>
          <w:p>
            <w:pPr>
              <w:pStyle w:val="TableText"/>
              <w:ind w:left="246"/>
              <w:spacing w:before="30" w:line="218" w:lineRule="auto"/>
              <w:rPr/>
            </w:pPr>
            <w:r>
              <w:rPr>
                <w:spacing w:val="4"/>
              </w:rPr>
              <w:t>产生量</w:t>
            </w:r>
          </w:p>
        </w:tc>
        <w:tc>
          <w:tcPr>
            <w:tcW w:w="1109" w:type="dxa"/>
            <w:vAlign w:val="top"/>
          </w:tcPr>
          <w:p>
            <w:pPr>
              <w:pStyle w:val="TableText"/>
              <w:ind w:left="259"/>
              <w:spacing w:before="30" w:line="218" w:lineRule="auto"/>
              <w:rPr/>
            </w:pPr>
            <w:r>
              <w:rPr>
                <w:spacing w:val="2"/>
              </w:rPr>
              <w:t>削减量</w:t>
            </w:r>
          </w:p>
        </w:tc>
        <w:tc>
          <w:tcPr>
            <w:tcW w:w="963" w:type="dxa"/>
            <w:vAlign w:val="top"/>
          </w:tcPr>
          <w:p>
            <w:pPr>
              <w:pStyle w:val="TableText"/>
              <w:ind w:left="173"/>
              <w:spacing w:before="30" w:line="218" w:lineRule="auto"/>
              <w:rPr/>
            </w:pPr>
            <w:r>
              <w:rPr>
                <w:spacing w:val="5"/>
              </w:rPr>
              <w:t>排放量</w:t>
            </w:r>
          </w:p>
        </w:tc>
        <w:tc>
          <w:tcPr>
            <w:tcW w:w="3018" w:type="dxa"/>
            <w:vAlign w:val="top"/>
            <w:vMerge w:val="continue"/>
            <w:tcBorders>
              <w:right w:val="nil"/>
              <w:top w:val="nil"/>
            </w:tcBorders>
          </w:tcPr>
          <w:p>
            <w:pPr>
              <w:rPr>
                <w:rFonts w:ascii="Arial"/>
                <w:sz w:val="21"/>
              </w:rPr>
            </w:pPr>
            <w:r/>
          </w:p>
        </w:tc>
      </w:tr>
      <w:tr>
        <w:trPr>
          <w:trHeight w:val="433" w:hRule="atLeast"/>
        </w:trPr>
        <w:tc>
          <w:tcPr>
            <w:tcW w:w="787" w:type="dxa"/>
            <w:vAlign w:val="top"/>
            <w:vMerge w:val="restart"/>
            <w:tcBorders>
              <w:left w:val="nil"/>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99"/>
              <w:spacing w:before="65" w:line="232" w:lineRule="auto"/>
              <w:rPr/>
            </w:pPr>
            <w:r>
              <w:rPr/>
              <w:t>废水</w:t>
            </w:r>
          </w:p>
        </w:tc>
        <w:tc>
          <w:tcPr>
            <w:tcW w:w="1934" w:type="dxa"/>
            <w:vAlign w:val="top"/>
            <w:gridSpan w:val="2"/>
          </w:tcPr>
          <w:p>
            <w:pPr>
              <w:pStyle w:val="TableText"/>
              <w:ind w:left="664"/>
              <w:spacing w:before="108" w:line="232" w:lineRule="auto"/>
              <w:rPr/>
            </w:pPr>
            <w:r>
              <w:rPr>
                <w:spacing w:val="4"/>
              </w:rPr>
              <w:t>废水量</w:t>
            </w:r>
          </w:p>
        </w:tc>
        <w:tc>
          <w:tcPr>
            <w:tcW w:w="1101" w:type="dxa"/>
            <w:vAlign w:val="top"/>
          </w:tcPr>
          <w:p>
            <w:pPr>
              <w:ind w:left="10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477711.90</w:t>
            </w:r>
          </w:p>
        </w:tc>
        <w:tc>
          <w:tcPr>
            <w:tcW w:w="1109" w:type="dxa"/>
            <w:vAlign w:val="top"/>
          </w:tcPr>
          <w:p>
            <w:pPr>
              <w:ind w:left="10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473563.26</w:t>
            </w:r>
          </w:p>
        </w:tc>
        <w:tc>
          <w:tcPr>
            <w:tcW w:w="963" w:type="dxa"/>
            <w:vAlign w:val="top"/>
          </w:tcPr>
          <w:p>
            <w:pPr>
              <w:ind w:left="14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4148.64</w:t>
            </w:r>
          </w:p>
        </w:tc>
        <w:tc>
          <w:tcPr>
            <w:tcW w:w="3018" w:type="dxa"/>
            <w:vAlign w:val="top"/>
            <w:vMerge w:val="restart"/>
            <w:tcBorders>
              <w:right w:val="nil"/>
              <w:bottom w:val="nil"/>
            </w:tcBorders>
          </w:tcPr>
          <w:p>
            <w:pPr>
              <w:pStyle w:val="TableText"/>
              <w:ind w:left="168"/>
              <w:spacing w:before="79" w:line="232" w:lineRule="auto"/>
              <w:rPr/>
            </w:pPr>
            <w:r>
              <w:rPr>
                <w:spacing w:val="7"/>
              </w:rPr>
              <w:t>生活污水与经隔油池处理后的</w:t>
            </w:r>
          </w:p>
          <w:p>
            <w:pPr>
              <w:pStyle w:val="TableText"/>
              <w:ind w:left="156"/>
              <w:spacing w:before="22" w:line="231" w:lineRule="auto"/>
              <w:rPr/>
            </w:pPr>
            <w:r>
              <w:rPr>
                <w:spacing w:val="9"/>
              </w:rPr>
              <w:t>食堂废水排入防渗储池内，定</w:t>
            </w:r>
          </w:p>
          <w:p>
            <w:pPr>
              <w:pStyle w:val="TableText"/>
              <w:ind w:left="156"/>
              <w:spacing w:before="21" w:line="229" w:lineRule="auto"/>
              <w:rPr/>
            </w:pPr>
            <w:r>
              <w:rPr>
                <w:spacing w:val="8"/>
              </w:rPr>
              <w:t>期运至内蒙古锡林郭勒盟苏尼</w:t>
            </w:r>
          </w:p>
          <w:p>
            <w:pPr>
              <w:pStyle w:val="TableText"/>
              <w:ind w:left="155"/>
              <w:spacing w:before="25" w:line="231" w:lineRule="auto"/>
              <w:rPr/>
            </w:pPr>
            <w:r>
              <w:rPr>
                <w:spacing w:val="8"/>
              </w:rPr>
              <w:t>特右旗赛汉塔拉镇污水处理厂</w:t>
            </w:r>
          </w:p>
          <w:p>
            <w:pPr>
              <w:pStyle w:val="TableText"/>
              <w:ind w:left="1205"/>
              <w:spacing w:before="21" w:line="237" w:lineRule="auto"/>
              <w:rPr/>
            </w:pPr>
            <w:r>
              <w:rPr>
                <w:spacing w:val="1"/>
              </w:rPr>
              <w:t>处理。</w:t>
            </w:r>
          </w:p>
          <w:p>
            <w:pPr>
              <w:pStyle w:val="TableText"/>
              <w:ind w:left="157"/>
              <w:spacing w:before="14" w:line="230" w:lineRule="auto"/>
              <w:rPr/>
            </w:pPr>
            <w:r>
              <w:rPr>
                <w:spacing w:val="8"/>
              </w:rPr>
              <w:t>部分矿井涌水经过地表高位水</w:t>
            </w:r>
          </w:p>
          <w:p>
            <w:pPr>
              <w:pStyle w:val="TableText"/>
              <w:ind w:left="160"/>
              <w:spacing w:before="24" w:line="231" w:lineRule="auto"/>
              <w:rPr/>
            </w:pPr>
            <w:r>
              <w:rPr>
                <w:spacing w:val="5"/>
              </w:rPr>
              <w:t>池沉淀处理后，</w:t>
            </w:r>
            <w:r>
              <w:rPr>
                <w:spacing w:val="-55"/>
              </w:rPr>
              <w:t xml:space="preserve"> </w:t>
            </w:r>
            <w:r>
              <w:rPr>
                <w:spacing w:val="5"/>
              </w:rPr>
              <w:t>回用于采矿井</w:t>
            </w:r>
          </w:p>
          <w:p>
            <w:pPr>
              <w:pStyle w:val="TableText"/>
              <w:ind w:left="160"/>
              <w:spacing w:before="24" w:line="229" w:lineRule="auto"/>
              <w:rPr/>
            </w:pPr>
            <w:r>
              <w:rPr>
                <w:spacing w:val="7"/>
              </w:rPr>
              <w:t>下凿岩、爆破降尘、各堆场、</w:t>
            </w:r>
          </w:p>
          <w:p>
            <w:pPr>
              <w:pStyle w:val="TableText"/>
              <w:ind w:left="157"/>
              <w:spacing w:before="23" w:line="231" w:lineRule="auto"/>
              <w:rPr/>
            </w:pPr>
            <w:r>
              <w:rPr>
                <w:spacing w:val="8"/>
              </w:rPr>
              <w:t>道路降尘，剩余部分与选矿废</w:t>
            </w:r>
          </w:p>
          <w:p>
            <w:pPr>
              <w:pStyle w:val="TableText"/>
              <w:ind w:left="155"/>
              <w:spacing w:before="23" w:line="232" w:lineRule="auto"/>
              <w:rPr/>
            </w:pPr>
            <w:r>
              <w:rPr>
                <w:spacing w:val="8"/>
              </w:rPr>
              <w:t>水经回水池混凝沉淀处理后，</w:t>
            </w:r>
          </w:p>
          <w:p>
            <w:pPr>
              <w:pStyle w:val="TableText"/>
              <w:ind w:left="284"/>
              <w:spacing w:before="20" w:line="231" w:lineRule="auto"/>
              <w:rPr/>
            </w:pPr>
            <w:r>
              <w:rPr>
                <w:spacing w:val="5"/>
              </w:rPr>
              <w:t>回用于选矿用水，不外排。</w:t>
            </w:r>
          </w:p>
        </w:tc>
      </w:tr>
      <w:tr>
        <w:trPr>
          <w:trHeight w:val="395" w:hRule="atLeast"/>
        </w:trPr>
        <w:tc>
          <w:tcPr>
            <w:tcW w:w="787" w:type="dxa"/>
            <w:vAlign w:val="top"/>
            <w:vMerge w:val="continue"/>
            <w:tcBorders>
              <w:left w:val="nil"/>
              <w:top w:val="nil"/>
              <w:bottom w:val="nil"/>
            </w:tcBorders>
          </w:tcPr>
          <w:p>
            <w:pPr>
              <w:rPr>
                <w:rFonts w:ascii="Arial"/>
                <w:sz w:val="21"/>
              </w:rPr>
            </w:pPr>
            <w:r/>
          </w:p>
        </w:tc>
        <w:tc>
          <w:tcPr>
            <w:tcW w:w="1934" w:type="dxa"/>
            <w:vAlign w:val="top"/>
            <w:gridSpan w:val="2"/>
          </w:tcPr>
          <w:p>
            <w:pPr>
              <w:ind w:left="749"/>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1101" w:type="dxa"/>
            <w:vAlign w:val="top"/>
          </w:tcPr>
          <w:p>
            <w:pPr>
              <w:ind w:left="282"/>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15.350</w:t>
            </w:r>
          </w:p>
        </w:tc>
        <w:tc>
          <w:tcPr>
            <w:tcW w:w="1109" w:type="dxa"/>
            <w:vAlign w:val="top"/>
          </w:tcPr>
          <w:p>
            <w:pPr>
              <w:ind w:left="287"/>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14.135</w:t>
            </w:r>
          </w:p>
        </w:tc>
        <w:tc>
          <w:tcPr>
            <w:tcW w:w="963" w:type="dxa"/>
            <w:vAlign w:val="top"/>
          </w:tcPr>
          <w:p>
            <w:pPr>
              <w:ind w:left="265"/>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1.215</w:t>
            </w:r>
          </w:p>
        </w:tc>
        <w:tc>
          <w:tcPr>
            <w:tcW w:w="3018" w:type="dxa"/>
            <w:vAlign w:val="top"/>
            <w:vMerge w:val="continue"/>
            <w:tcBorders>
              <w:right w:val="nil"/>
              <w:top w:val="nil"/>
              <w:bottom w:val="nil"/>
            </w:tcBorders>
          </w:tcPr>
          <w:p>
            <w:pPr>
              <w:rPr>
                <w:rFonts w:ascii="Arial"/>
                <w:sz w:val="21"/>
              </w:rPr>
            </w:pPr>
            <w:r/>
          </w:p>
        </w:tc>
      </w:tr>
      <w:tr>
        <w:trPr>
          <w:trHeight w:val="428" w:hRule="atLeast"/>
        </w:trPr>
        <w:tc>
          <w:tcPr>
            <w:tcW w:w="787" w:type="dxa"/>
            <w:vAlign w:val="top"/>
            <w:vMerge w:val="continue"/>
            <w:tcBorders>
              <w:left w:val="nil"/>
              <w:top w:val="nil"/>
              <w:bottom w:val="nil"/>
            </w:tcBorders>
          </w:tcPr>
          <w:p>
            <w:pPr>
              <w:rPr>
                <w:rFonts w:ascii="Arial"/>
                <w:sz w:val="21"/>
              </w:rPr>
            </w:pPr>
            <w:r/>
          </w:p>
        </w:tc>
        <w:tc>
          <w:tcPr>
            <w:tcW w:w="1934" w:type="dxa"/>
            <w:vAlign w:val="top"/>
            <w:gridSpan w:val="2"/>
          </w:tcPr>
          <w:p>
            <w:pPr>
              <w:ind w:left="665"/>
              <w:spacing w:before="149"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1101" w:type="dxa"/>
            <w:vAlign w:val="top"/>
          </w:tcPr>
          <w:p>
            <w:pPr>
              <w:ind w:left="31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0.262</w:t>
            </w:r>
          </w:p>
        </w:tc>
        <w:tc>
          <w:tcPr>
            <w:tcW w:w="1109" w:type="dxa"/>
            <w:vAlign w:val="top"/>
          </w:tcPr>
          <w:p>
            <w:pPr>
              <w:ind w:left="32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0.158</w:t>
            </w:r>
          </w:p>
        </w:tc>
        <w:tc>
          <w:tcPr>
            <w:tcW w:w="963" w:type="dxa"/>
            <w:vAlign w:val="top"/>
          </w:tcPr>
          <w:p>
            <w:pPr>
              <w:ind w:left="24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0.104</w:t>
            </w:r>
          </w:p>
        </w:tc>
        <w:tc>
          <w:tcPr>
            <w:tcW w:w="3018" w:type="dxa"/>
            <w:vAlign w:val="top"/>
            <w:vMerge w:val="continue"/>
            <w:tcBorders>
              <w:right w:val="nil"/>
              <w:top w:val="nil"/>
              <w:bottom w:val="nil"/>
            </w:tcBorders>
          </w:tcPr>
          <w:p>
            <w:pPr>
              <w:rPr>
                <w:rFonts w:ascii="Arial"/>
                <w:sz w:val="21"/>
              </w:rPr>
            </w:pPr>
            <w:r/>
          </w:p>
        </w:tc>
      </w:tr>
      <w:tr>
        <w:trPr>
          <w:trHeight w:val="476" w:hRule="atLeast"/>
        </w:trPr>
        <w:tc>
          <w:tcPr>
            <w:tcW w:w="787" w:type="dxa"/>
            <w:vAlign w:val="top"/>
            <w:vMerge w:val="continue"/>
            <w:tcBorders>
              <w:left w:val="nil"/>
              <w:top w:val="nil"/>
              <w:bottom w:val="nil"/>
            </w:tcBorders>
          </w:tcPr>
          <w:p>
            <w:pPr>
              <w:rPr>
                <w:rFonts w:ascii="Arial"/>
                <w:sz w:val="21"/>
              </w:rPr>
            </w:pPr>
            <w:r/>
          </w:p>
        </w:tc>
        <w:tc>
          <w:tcPr>
            <w:tcW w:w="1934" w:type="dxa"/>
            <w:vAlign w:val="top"/>
            <w:gridSpan w:val="2"/>
          </w:tcPr>
          <w:p>
            <w:pPr>
              <w:pStyle w:val="TableText"/>
              <w:ind w:left="561"/>
              <w:spacing w:before="134" w:line="229" w:lineRule="auto"/>
              <w:rPr/>
            </w:pPr>
            <w:r>
              <w:rPr>
                <w:spacing w:val="5"/>
              </w:rPr>
              <w:t>动植物油</w:t>
            </w:r>
          </w:p>
        </w:tc>
        <w:tc>
          <w:tcPr>
            <w:tcW w:w="1101" w:type="dxa"/>
            <w:vAlign w:val="top"/>
          </w:tcPr>
          <w:p>
            <w:pPr>
              <w:ind w:left="318"/>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0.666</w:t>
            </w:r>
          </w:p>
        </w:tc>
        <w:tc>
          <w:tcPr>
            <w:tcW w:w="1109" w:type="dxa"/>
            <w:vAlign w:val="top"/>
          </w:tcPr>
          <w:p>
            <w:pPr>
              <w:ind w:left="323"/>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0.559</w:t>
            </w:r>
          </w:p>
        </w:tc>
        <w:tc>
          <w:tcPr>
            <w:tcW w:w="963" w:type="dxa"/>
            <w:vAlign w:val="top"/>
          </w:tcPr>
          <w:p>
            <w:pPr>
              <w:ind w:left="249"/>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0.107</w:t>
            </w:r>
          </w:p>
        </w:tc>
        <w:tc>
          <w:tcPr>
            <w:tcW w:w="3018" w:type="dxa"/>
            <w:vAlign w:val="top"/>
            <w:vMerge w:val="continue"/>
            <w:tcBorders>
              <w:right w:val="nil"/>
              <w:top w:val="nil"/>
              <w:bottom w:val="nil"/>
            </w:tcBorders>
          </w:tcPr>
          <w:p>
            <w:pPr>
              <w:rPr>
                <w:rFonts w:ascii="Arial"/>
                <w:sz w:val="21"/>
              </w:rPr>
            </w:pPr>
            <w:r/>
          </w:p>
        </w:tc>
      </w:tr>
      <w:tr>
        <w:trPr>
          <w:trHeight w:val="385" w:hRule="atLeast"/>
        </w:trPr>
        <w:tc>
          <w:tcPr>
            <w:tcW w:w="787" w:type="dxa"/>
            <w:vAlign w:val="top"/>
            <w:vMerge w:val="continue"/>
            <w:tcBorders>
              <w:left w:val="nil"/>
              <w:top w:val="nil"/>
              <w:bottom w:val="nil"/>
            </w:tcBorders>
          </w:tcPr>
          <w:p>
            <w:pPr>
              <w:rPr>
                <w:rFonts w:ascii="Arial"/>
                <w:sz w:val="21"/>
              </w:rPr>
            </w:pPr>
            <w:r/>
          </w:p>
        </w:tc>
        <w:tc>
          <w:tcPr>
            <w:tcW w:w="1934" w:type="dxa"/>
            <w:vAlign w:val="top"/>
            <w:gridSpan w:val="2"/>
          </w:tcPr>
          <w:p>
            <w:pPr>
              <w:ind w:left="86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1101" w:type="dxa"/>
            <w:vAlign w:val="top"/>
          </w:tcPr>
          <w:p>
            <w:pPr>
              <w:ind w:left="26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95.542</w:t>
            </w:r>
          </w:p>
        </w:tc>
        <w:tc>
          <w:tcPr>
            <w:tcW w:w="1109" w:type="dxa"/>
            <w:vAlign w:val="top"/>
          </w:tcPr>
          <w:p>
            <w:pPr>
              <w:ind w:left="27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94.831</w:t>
            </w:r>
          </w:p>
        </w:tc>
        <w:tc>
          <w:tcPr>
            <w:tcW w:w="963" w:type="dxa"/>
            <w:vAlign w:val="top"/>
          </w:tcPr>
          <w:p>
            <w:pPr>
              <w:ind w:left="25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0.711</w:t>
            </w:r>
          </w:p>
        </w:tc>
        <w:tc>
          <w:tcPr>
            <w:tcW w:w="3018" w:type="dxa"/>
            <w:vAlign w:val="top"/>
            <w:vMerge w:val="continue"/>
            <w:tcBorders>
              <w:right w:val="nil"/>
              <w:top w:val="nil"/>
              <w:bottom w:val="nil"/>
            </w:tcBorders>
          </w:tcPr>
          <w:p>
            <w:pPr>
              <w:rPr>
                <w:rFonts w:ascii="Arial"/>
                <w:sz w:val="21"/>
              </w:rPr>
            </w:pPr>
            <w:r/>
          </w:p>
        </w:tc>
      </w:tr>
      <w:tr>
        <w:trPr>
          <w:trHeight w:val="492" w:hRule="atLeast"/>
        </w:trPr>
        <w:tc>
          <w:tcPr>
            <w:tcW w:w="787" w:type="dxa"/>
            <w:vAlign w:val="top"/>
            <w:vMerge w:val="continue"/>
            <w:tcBorders>
              <w:left w:val="nil"/>
              <w:top w:val="nil"/>
              <w:bottom w:val="nil"/>
            </w:tcBorders>
          </w:tcPr>
          <w:p>
            <w:pPr>
              <w:rPr>
                <w:rFonts w:ascii="Arial"/>
                <w:sz w:val="21"/>
              </w:rPr>
            </w:pPr>
            <w:r/>
          </w:p>
        </w:tc>
        <w:tc>
          <w:tcPr>
            <w:tcW w:w="1934" w:type="dxa"/>
            <w:vAlign w:val="top"/>
            <w:gridSpan w:val="2"/>
          </w:tcPr>
          <w:p>
            <w:pPr>
              <w:ind w:left="712"/>
              <w:spacing w:before="18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19"/>
                <w:position w:val="-1"/>
              </w:rPr>
              <w:t>5</w:t>
            </w:r>
          </w:p>
        </w:tc>
        <w:tc>
          <w:tcPr>
            <w:tcW w:w="1101" w:type="dxa"/>
            <w:vAlign w:val="top"/>
          </w:tcPr>
          <w:p>
            <w:pPr>
              <w:ind w:left="318"/>
              <w:spacing w:before="1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0.733</w:t>
            </w:r>
          </w:p>
        </w:tc>
        <w:tc>
          <w:tcPr>
            <w:tcW w:w="1109" w:type="dxa"/>
            <w:vAlign w:val="top"/>
          </w:tcPr>
          <w:p>
            <w:pPr>
              <w:ind w:left="323"/>
              <w:spacing w:before="1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0.051</w:t>
            </w:r>
          </w:p>
        </w:tc>
        <w:tc>
          <w:tcPr>
            <w:tcW w:w="963" w:type="dxa"/>
            <w:vAlign w:val="top"/>
          </w:tcPr>
          <w:p>
            <w:pPr>
              <w:ind w:left="249"/>
              <w:spacing w:before="1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0.682</w:t>
            </w:r>
          </w:p>
        </w:tc>
        <w:tc>
          <w:tcPr>
            <w:tcW w:w="3018" w:type="dxa"/>
            <w:vAlign w:val="top"/>
            <w:vMerge w:val="continue"/>
            <w:tcBorders>
              <w:right w:val="nil"/>
              <w:top w:val="nil"/>
              <w:bottom w:val="nil"/>
            </w:tcBorders>
          </w:tcPr>
          <w:p>
            <w:pPr>
              <w:rPr>
                <w:rFonts w:ascii="Arial"/>
                <w:sz w:val="21"/>
              </w:rPr>
            </w:pPr>
            <w:r/>
          </w:p>
        </w:tc>
      </w:tr>
      <w:tr>
        <w:trPr>
          <w:trHeight w:val="453" w:hRule="atLeast"/>
        </w:trPr>
        <w:tc>
          <w:tcPr>
            <w:tcW w:w="787" w:type="dxa"/>
            <w:vAlign w:val="top"/>
            <w:vMerge w:val="continue"/>
            <w:tcBorders>
              <w:left w:val="nil"/>
              <w:top w:val="nil"/>
            </w:tcBorders>
          </w:tcPr>
          <w:p>
            <w:pPr>
              <w:rPr>
                <w:rFonts w:ascii="Arial"/>
                <w:sz w:val="21"/>
              </w:rPr>
            </w:pPr>
            <w:r/>
          </w:p>
        </w:tc>
        <w:tc>
          <w:tcPr>
            <w:tcW w:w="1934" w:type="dxa"/>
            <w:vAlign w:val="top"/>
            <w:gridSpan w:val="2"/>
          </w:tcPr>
          <w:p>
            <w:pPr>
              <w:pStyle w:val="TableText"/>
              <w:ind w:left="668"/>
              <w:spacing w:before="127" w:line="229" w:lineRule="auto"/>
              <w:rPr/>
            </w:pPr>
            <w:r>
              <w:rPr>
                <w:spacing w:val="3"/>
              </w:rPr>
              <w:t>氟化物</w:t>
            </w:r>
          </w:p>
        </w:tc>
        <w:tc>
          <w:tcPr>
            <w:tcW w:w="1101" w:type="dxa"/>
            <w:vAlign w:val="top"/>
          </w:tcPr>
          <w:p>
            <w:pPr>
              <w:ind w:left="318"/>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0.860</w:t>
            </w:r>
          </w:p>
        </w:tc>
        <w:tc>
          <w:tcPr>
            <w:tcW w:w="1109" w:type="dxa"/>
            <w:vAlign w:val="top"/>
          </w:tcPr>
          <w:p>
            <w:pPr>
              <w:ind w:left="323"/>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0.860</w:t>
            </w:r>
          </w:p>
        </w:tc>
        <w:tc>
          <w:tcPr>
            <w:tcW w:w="963" w:type="dxa"/>
            <w:vAlign w:val="top"/>
          </w:tcPr>
          <w:p>
            <w:pPr>
              <w:ind w:left="450"/>
              <w:spacing w:before="1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018" w:type="dxa"/>
            <w:vAlign w:val="top"/>
            <w:vMerge w:val="continue"/>
            <w:tcBorders>
              <w:right w:val="nil"/>
              <w:top w:val="nil"/>
            </w:tcBorders>
          </w:tcPr>
          <w:p>
            <w:pPr>
              <w:rPr>
                <w:rFonts w:ascii="Arial"/>
                <w:sz w:val="21"/>
              </w:rPr>
            </w:pPr>
            <w:r/>
          </w:p>
        </w:tc>
      </w:tr>
      <w:tr>
        <w:trPr>
          <w:trHeight w:val="276" w:hRule="atLeast"/>
        </w:trPr>
        <w:tc>
          <w:tcPr>
            <w:tcW w:w="787" w:type="dxa"/>
            <w:vAlign w:val="top"/>
            <w:vMerge w:val="restart"/>
            <w:tcBorders>
              <w:left w:val="nil"/>
              <w:bottom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199"/>
              <w:spacing w:before="65" w:line="233" w:lineRule="auto"/>
              <w:rPr/>
            </w:pPr>
            <w:r>
              <w:rPr/>
              <w:t>废气</w:t>
            </w:r>
          </w:p>
        </w:tc>
        <w:tc>
          <w:tcPr>
            <w:tcW w:w="754" w:type="dxa"/>
            <w:vAlign w:val="top"/>
            <w:vMerge w:val="restart"/>
            <w:tcBorders>
              <w:bottom w:val="nil"/>
            </w:tcBorders>
          </w:tcPr>
          <w:p>
            <w:pPr>
              <w:spacing w:line="395" w:lineRule="auto"/>
              <w:rPr>
                <w:rFonts w:ascii="Arial"/>
                <w:sz w:val="21"/>
              </w:rPr>
            </w:pPr>
            <w:r/>
          </w:p>
          <w:p>
            <w:pPr>
              <w:pStyle w:val="TableText"/>
              <w:ind w:left="286" w:right="167" w:hanging="111"/>
              <w:spacing w:before="65" w:line="253" w:lineRule="auto"/>
              <w:rPr/>
            </w:pPr>
            <w:r>
              <w:rPr>
                <w:spacing w:val="3"/>
              </w:rPr>
              <w:t>有组</w:t>
            </w:r>
            <w:r>
              <w:rPr/>
              <w:t>织</w:t>
            </w:r>
          </w:p>
        </w:tc>
        <w:tc>
          <w:tcPr>
            <w:tcW w:w="1180" w:type="dxa"/>
            <w:vAlign w:val="top"/>
          </w:tcPr>
          <w:p>
            <w:pPr>
              <w:pStyle w:val="TableText"/>
              <w:ind w:left="286"/>
              <w:spacing w:before="38" w:line="210" w:lineRule="auto"/>
              <w:rPr/>
            </w:pPr>
            <w:r>
              <w:rPr>
                <w:spacing w:val="4"/>
              </w:rPr>
              <w:t>颗粒物</w:t>
            </w:r>
          </w:p>
        </w:tc>
        <w:tc>
          <w:tcPr>
            <w:tcW w:w="1101" w:type="dxa"/>
            <w:vAlign w:val="top"/>
          </w:tcPr>
          <w:p>
            <w:pPr>
              <w:ind w:left="261"/>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44.446</w:t>
            </w:r>
          </w:p>
        </w:tc>
        <w:tc>
          <w:tcPr>
            <w:tcW w:w="1109" w:type="dxa"/>
            <w:vAlign w:val="top"/>
          </w:tcPr>
          <w:p>
            <w:pPr>
              <w:ind w:left="266"/>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43.557</w:t>
            </w:r>
          </w:p>
        </w:tc>
        <w:tc>
          <w:tcPr>
            <w:tcW w:w="963" w:type="dxa"/>
            <w:vAlign w:val="top"/>
          </w:tcPr>
          <w:p>
            <w:pPr>
              <w:ind w:left="24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0.889</w:t>
            </w:r>
          </w:p>
        </w:tc>
        <w:tc>
          <w:tcPr>
            <w:tcW w:w="3018" w:type="dxa"/>
            <w:vAlign w:val="top"/>
            <w:vMerge w:val="restart"/>
            <w:tcBorders>
              <w:right w:val="nil"/>
              <w:bottom w:val="nil"/>
            </w:tcBorders>
          </w:tcPr>
          <w:p>
            <w:pPr>
              <w:pStyle w:val="TableText"/>
              <w:ind w:left="125"/>
              <w:spacing w:before="43" w:line="229" w:lineRule="auto"/>
              <w:rPr/>
            </w:pPr>
            <w:r>
              <w:rPr>
                <w:spacing w:val="5"/>
              </w:rPr>
              <w:t>经布袋除尘器处理后由</w:t>
            </w:r>
            <w:r>
              <w:rPr>
                <w:spacing w:val="-14"/>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24"/>
              </w:rPr>
              <w:t xml:space="preserve"> </w:t>
            </w:r>
            <w:r>
              <w:rPr>
                <w:spacing w:val="5"/>
              </w:rPr>
              <w:t>高</w:t>
            </w:r>
          </w:p>
          <w:p>
            <w:pPr>
              <w:pStyle w:val="TableText"/>
              <w:ind w:left="993"/>
              <w:spacing w:before="23" w:line="214" w:lineRule="auto"/>
              <w:rPr/>
            </w:pPr>
            <w:r>
              <w:rPr>
                <w:spacing w:val="7"/>
              </w:rPr>
              <w:t>排气筒排放</w:t>
            </w:r>
          </w:p>
        </w:tc>
      </w:tr>
      <w:tr>
        <w:trPr>
          <w:trHeight w:val="276" w:hRule="atLeast"/>
        </w:trPr>
        <w:tc>
          <w:tcPr>
            <w:tcW w:w="787" w:type="dxa"/>
            <w:vAlign w:val="top"/>
            <w:vMerge w:val="continue"/>
            <w:tcBorders>
              <w:left w:val="nil"/>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1180" w:type="dxa"/>
            <w:vAlign w:val="top"/>
          </w:tcPr>
          <w:p>
            <w:pPr>
              <w:pStyle w:val="TableText"/>
              <w:ind w:left="291"/>
              <w:spacing w:before="40" w:line="208" w:lineRule="auto"/>
              <w:rPr/>
            </w:pPr>
            <w:r>
              <w:rPr>
                <w:spacing w:val="3"/>
              </w:rPr>
              <w:t>氟化物</w:t>
            </w:r>
          </w:p>
        </w:tc>
        <w:tc>
          <w:tcPr>
            <w:tcW w:w="1101" w:type="dxa"/>
            <w:vAlign w:val="top"/>
          </w:tcPr>
          <w:p>
            <w:pPr>
              <w:ind w:left="266"/>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30.506</w:t>
            </w:r>
          </w:p>
        </w:tc>
        <w:tc>
          <w:tcPr>
            <w:tcW w:w="1109" w:type="dxa"/>
            <w:vAlign w:val="top"/>
          </w:tcPr>
          <w:p>
            <w:pPr>
              <w:ind w:left="26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29.897</w:t>
            </w:r>
          </w:p>
        </w:tc>
        <w:tc>
          <w:tcPr>
            <w:tcW w:w="963" w:type="dxa"/>
            <w:vAlign w:val="top"/>
          </w:tcPr>
          <w:p>
            <w:pPr>
              <w:ind w:left="24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0.609</w:t>
            </w:r>
          </w:p>
        </w:tc>
        <w:tc>
          <w:tcPr>
            <w:tcW w:w="3018" w:type="dxa"/>
            <w:vAlign w:val="top"/>
            <w:vMerge w:val="continue"/>
            <w:tcBorders>
              <w:right w:val="nil"/>
              <w:top w:val="nil"/>
            </w:tcBorders>
          </w:tcPr>
          <w:p>
            <w:pPr>
              <w:rPr>
                <w:rFonts w:ascii="Arial"/>
                <w:sz w:val="21"/>
              </w:rPr>
            </w:pPr>
            <w:r/>
          </w:p>
        </w:tc>
      </w:tr>
      <w:tr>
        <w:trPr>
          <w:trHeight w:val="549" w:hRule="atLeast"/>
        </w:trPr>
        <w:tc>
          <w:tcPr>
            <w:tcW w:w="787" w:type="dxa"/>
            <w:vAlign w:val="top"/>
            <w:vMerge w:val="continue"/>
            <w:tcBorders>
              <w:left w:val="nil"/>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1180" w:type="dxa"/>
            <w:vAlign w:val="top"/>
          </w:tcPr>
          <w:p>
            <w:pPr>
              <w:pStyle w:val="TableText"/>
              <w:ind w:left="182"/>
              <w:spacing w:before="176" w:line="232" w:lineRule="auto"/>
              <w:rPr/>
            </w:pPr>
            <w:r>
              <w:rPr>
                <w:spacing w:val="5"/>
              </w:rPr>
              <w:t>食堂油烟</w:t>
            </w:r>
          </w:p>
        </w:tc>
        <w:tc>
          <w:tcPr>
            <w:tcW w:w="1101" w:type="dxa"/>
            <w:vAlign w:val="top"/>
          </w:tcPr>
          <w:p>
            <w:pPr>
              <w:ind w:left="318"/>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0.036</w:t>
            </w:r>
          </w:p>
        </w:tc>
        <w:tc>
          <w:tcPr>
            <w:tcW w:w="1109" w:type="dxa"/>
            <w:vAlign w:val="top"/>
          </w:tcPr>
          <w:p>
            <w:pPr>
              <w:ind w:left="323"/>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0.029</w:t>
            </w:r>
          </w:p>
        </w:tc>
        <w:tc>
          <w:tcPr>
            <w:tcW w:w="963" w:type="dxa"/>
            <w:vAlign w:val="top"/>
          </w:tcPr>
          <w:p>
            <w:pPr>
              <w:ind w:left="249"/>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0.007</w:t>
            </w:r>
          </w:p>
        </w:tc>
        <w:tc>
          <w:tcPr>
            <w:tcW w:w="3018" w:type="dxa"/>
            <w:vAlign w:val="top"/>
            <w:tcBorders>
              <w:right w:val="nil"/>
            </w:tcBorders>
          </w:tcPr>
          <w:p>
            <w:pPr>
              <w:pStyle w:val="TableText"/>
              <w:ind w:left="156"/>
              <w:spacing w:before="42" w:line="231" w:lineRule="auto"/>
              <w:rPr/>
            </w:pPr>
            <w:r>
              <w:rPr>
                <w:spacing w:val="8"/>
              </w:rPr>
              <w:t>经油烟净化装置处理后经屋顶</w:t>
            </w:r>
          </w:p>
          <w:p>
            <w:pPr>
              <w:pStyle w:val="TableText"/>
              <w:ind w:left="993"/>
              <w:spacing w:before="21" w:line="207" w:lineRule="auto"/>
              <w:rPr/>
            </w:pPr>
            <w:r>
              <w:rPr>
                <w:spacing w:val="7"/>
              </w:rPr>
              <w:t>排气筒排放</w:t>
            </w:r>
          </w:p>
        </w:tc>
      </w:tr>
      <w:tr>
        <w:trPr>
          <w:trHeight w:val="276" w:hRule="atLeast"/>
        </w:trPr>
        <w:tc>
          <w:tcPr>
            <w:tcW w:w="787" w:type="dxa"/>
            <w:vAlign w:val="top"/>
            <w:vMerge w:val="continue"/>
            <w:tcBorders>
              <w:left w:val="nil"/>
              <w:top w:val="nil"/>
              <w:bottom w:val="nil"/>
            </w:tcBorders>
          </w:tcPr>
          <w:p>
            <w:pPr>
              <w:rPr>
                <w:rFonts w:ascii="Arial"/>
                <w:sz w:val="21"/>
              </w:rPr>
            </w:pPr>
            <w:r/>
          </w:p>
        </w:tc>
        <w:tc>
          <w:tcPr>
            <w:tcW w:w="754" w:type="dxa"/>
            <w:vAlign w:val="top"/>
            <w:vMerge w:val="continue"/>
            <w:tcBorders>
              <w:top w:val="nil"/>
            </w:tcBorders>
          </w:tcPr>
          <w:p>
            <w:pPr>
              <w:rPr>
                <w:rFonts w:ascii="Arial"/>
                <w:sz w:val="21"/>
              </w:rPr>
            </w:pPr>
            <w:r/>
          </w:p>
        </w:tc>
        <w:tc>
          <w:tcPr>
            <w:tcW w:w="1180" w:type="dxa"/>
            <w:vAlign w:val="top"/>
          </w:tcPr>
          <w:p>
            <w:pPr>
              <w:ind w:left="398"/>
              <w:spacing w:before="79" w:line="19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101" w:type="dxa"/>
            <w:vAlign w:val="top"/>
          </w:tcPr>
          <w:p>
            <w:pPr>
              <w:ind w:left="318"/>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0.186</w:t>
            </w:r>
          </w:p>
        </w:tc>
        <w:tc>
          <w:tcPr>
            <w:tcW w:w="1109" w:type="dxa"/>
            <w:vAlign w:val="top"/>
          </w:tcPr>
          <w:p>
            <w:pPr>
              <w:ind w:left="506"/>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63" w:type="dxa"/>
            <w:vAlign w:val="top"/>
          </w:tcPr>
          <w:p>
            <w:pPr>
              <w:ind w:left="249"/>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0.186</w:t>
            </w:r>
          </w:p>
        </w:tc>
        <w:tc>
          <w:tcPr>
            <w:tcW w:w="3018" w:type="dxa"/>
            <w:vAlign w:val="top"/>
            <w:tcBorders>
              <w:right w:val="nil"/>
            </w:tcBorders>
          </w:tcPr>
          <w:p>
            <w:pPr>
              <w:pStyle w:val="TableText"/>
              <w:ind w:left="545"/>
              <w:spacing w:before="43" w:line="205" w:lineRule="auto"/>
              <w:rPr/>
            </w:pPr>
            <w:r>
              <w:rPr>
                <w:spacing w:val="2"/>
              </w:rPr>
              <w:t>经</w:t>
            </w:r>
            <w:r>
              <w:rPr>
                <w:spacing w:val="-16"/>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2"/>
              </w:rPr>
              <w:t xml:space="preserve"> </w:t>
            </w:r>
            <w:r>
              <w:rPr>
                <w:spacing w:val="2"/>
              </w:rPr>
              <w:t>高排气筒排放</w:t>
            </w:r>
          </w:p>
        </w:tc>
      </w:tr>
      <w:tr>
        <w:trPr>
          <w:trHeight w:val="277" w:hRule="atLeast"/>
        </w:trPr>
        <w:tc>
          <w:tcPr>
            <w:tcW w:w="787" w:type="dxa"/>
            <w:vAlign w:val="top"/>
            <w:vMerge w:val="continue"/>
            <w:tcBorders>
              <w:left w:val="nil"/>
              <w:top w:val="nil"/>
              <w:bottom w:val="nil"/>
            </w:tcBorders>
          </w:tcPr>
          <w:p>
            <w:pPr>
              <w:rPr>
                <w:rFonts w:ascii="Arial"/>
                <w:sz w:val="21"/>
              </w:rPr>
            </w:pPr>
            <w:r/>
          </w:p>
        </w:tc>
        <w:tc>
          <w:tcPr>
            <w:tcW w:w="754" w:type="dxa"/>
            <w:vAlign w:val="top"/>
            <w:vMerge w:val="restart"/>
            <w:tcBorders>
              <w:bottom w:val="nil"/>
            </w:tcBorders>
          </w:tcPr>
          <w:p>
            <w:pPr>
              <w:pStyle w:val="TableText"/>
              <w:ind w:left="286" w:right="167" w:hanging="106"/>
              <w:spacing w:before="47" w:line="231" w:lineRule="auto"/>
              <w:rPr/>
            </w:pPr>
            <w:r>
              <w:rPr/>
              <w:t>无组</w:t>
            </w:r>
            <w:r>
              <w:rPr/>
              <w:t>织</w:t>
            </w:r>
          </w:p>
        </w:tc>
        <w:tc>
          <w:tcPr>
            <w:tcW w:w="1180" w:type="dxa"/>
            <w:vAlign w:val="top"/>
          </w:tcPr>
          <w:p>
            <w:pPr>
              <w:pStyle w:val="TableText"/>
              <w:ind w:left="286"/>
              <w:spacing w:before="42" w:line="207" w:lineRule="auto"/>
              <w:rPr/>
            </w:pPr>
            <w:r>
              <w:rPr>
                <w:spacing w:val="4"/>
              </w:rPr>
              <w:t>颗粒物</w:t>
            </w:r>
          </w:p>
        </w:tc>
        <w:tc>
          <w:tcPr>
            <w:tcW w:w="1101" w:type="dxa"/>
            <w:vAlign w:val="top"/>
          </w:tcPr>
          <w:p>
            <w:pPr>
              <w:ind w:left="266"/>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34.784</w:t>
            </w:r>
          </w:p>
        </w:tc>
        <w:tc>
          <w:tcPr>
            <w:tcW w:w="1109" w:type="dxa"/>
            <w:vAlign w:val="top"/>
          </w:tcPr>
          <w:p>
            <w:pPr>
              <w:ind w:left="267"/>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29.899</w:t>
            </w:r>
          </w:p>
        </w:tc>
        <w:tc>
          <w:tcPr>
            <w:tcW w:w="963" w:type="dxa"/>
            <w:vAlign w:val="top"/>
          </w:tcPr>
          <w:p>
            <w:pPr>
              <w:ind w:left="244"/>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4.885</w:t>
            </w:r>
          </w:p>
        </w:tc>
        <w:tc>
          <w:tcPr>
            <w:tcW w:w="3018" w:type="dxa"/>
            <w:vAlign w:val="top"/>
            <w:vMerge w:val="restart"/>
            <w:tcBorders>
              <w:right w:val="nil"/>
              <w:bottom w:val="nil"/>
            </w:tcBorders>
          </w:tcPr>
          <w:p>
            <w:pPr>
              <w:pStyle w:val="TableText"/>
              <w:ind w:left="998"/>
              <w:spacing w:before="184" w:line="231" w:lineRule="auto"/>
              <w:rPr/>
            </w:pPr>
            <w:r>
              <w:rPr>
                <w:spacing w:val="6"/>
              </w:rPr>
              <w:t>无组织排放</w:t>
            </w:r>
          </w:p>
        </w:tc>
      </w:tr>
      <w:tr>
        <w:trPr>
          <w:trHeight w:val="276" w:hRule="atLeast"/>
        </w:trPr>
        <w:tc>
          <w:tcPr>
            <w:tcW w:w="787" w:type="dxa"/>
            <w:vAlign w:val="top"/>
            <w:vMerge w:val="continue"/>
            <w:tcBorders>
              <w:left w:val="nil"/>
              <w:top w:val="nil"/>
            </w:tcBorders>
          </w:tcPr>
          <w:p>
            <w:pPr>
              <w:rPr>
                <w:rFonts w:ascii="Arial"/>
                <w:sz w:val="21"/>
              </w:rPr>
            </w:pPr>
            <w:r/>
          </w:p>
        </w:tc>
        <w:tc>
          <w:tcPr>
            <w:tcW w:w="754" w:type="dxa"/>
            <w:vAlign w:val="top"/>
            <w:vMerge w:val="continue"/>
            <w:tcBorders>
              <w:top w:val="nil"/>
            </w:tcBorders>
          </w:tcPr>
          <w:p>
            <w:pPr>
              <w:rPr>
                <w:rFonts w:ascii="Arial"/>
                <w:sz w:val="21"/>
              </w:rPr>
            </w:pPr>
            <w:r/>
          </w:p>
        </w:tc>
        <w:tc>
          <w:tcPr>
            <w:tcW w:w="1180" w:type="dxa"/>
            <w:vAlign w:val="top"/>
          </w:tcPr>
          <w:p>
            <w:pPr>
              <w:pStyle w:val="TableText"/>
              <w:ind w:left="291"/>
              <w:spacing w:before="44" w:line="204" w:lineRule="auto"/>
              <w:rPr/>
            </w:pPr>
            <w:r>
              <w:rPr>
                <w:spacing w:val="3"/>
              </w:rPr>
              <w:t>氟化物</w:t>
            </w:r>
          </w:p>
        </w:tc>
        <w:tc>
          <w:tcPr>
            <w:tcW w:w="1101" w:type="dxa"/>
            <w:vAlign w:val="top"/>
          </w:tcPr>
          <w:p>
            <w:pPr>
              <w:ind w:left="319"/>
              <w:spacing w:before="8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3.513</w:t>
            </w:r>
          </w:p>
        </w:tc>
        <w:tc>
          <w:tcPr>
            <w:tcW w:w="1109" w:type="dxa"/>
            <w:vAlign w:val="top"/>
          </w:tcPr>
          <w:p>
            <w:pPr>
              <w:ind w:left="320"/>
              <w:spacing w:before="8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2.326</w:t>
            </w:r>
          </w:p>
        </w:tc>
        <w:tc>
          <w:tcPr>
            <w:tcW w:w="963" w:type="dxa"/>
            <w:vAlign w:val="top"/>
          </w:tcPr>
          <w:p>
            <w:pPr>
              <w:ind w:left="265"/>
              <w:spacing w:before="8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1.187</w:t>
            </w:r>
          </w:p>
        </w:tc>
        <w:tc>
          <w:tcPr>
            <w:tcW w:w="3018" w:type="dxa"/>
            <w:vAlign w:val="top"/>
            <w:vMerge w:val="continue"/>
            <w:tcBorders>
              <w:right w:val="nil"/>
              <w:top w:val="nil"/>
            </w:tcBorders>
          </w:tcPr>
          <w:p>
            <w:pPr>
              <w:rPr>
                <w:rFonts w:ascii="Arial"/>
                <w:sz w:val="21"/>
              </w:rPr>
            </w:pPr>
            <w:r/>
          </w:p>
        </w:tc>
      </w:tr>
      <w:tr>
        <w:trPr>
          <w:trHeight w:val="276" w:hRule="atLeast"/>
        </w:trPr>
        <w:tc>
          <w:tcPr>
            <w:tcW w:w="787" w:type="dxa"/>
            <w:vAlign w:val="top"/>
            <w:vMerge w:val="restart"/>
            <w:tcBorders>
              <w:left w:val="nil"/>
              <w:bottom w:val="nil"/>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99" w:right="183" w:firstLine="19"/>
              <w:spacing w:before="65" w:line="252" w:lineRule="auto"/>
              <w:rPr/>
            </w:pPr>
            <w:r>
              <w:rPr>
                <w:spacing w:val="-10"/>
              </w:rPr>
              <w:t>固体</w:t>
            </w:r>
            <w:r>
              <w:rPr/>
              <w:t>废物</w:t>
            </w:r>
          </w:p>
        </w:tc>
        <w:tc>
          <w:tcPr>
            <w:tcW w:w="1934" w:type="dxa"/>
            <w:vAlign w:val="top"/>
            <w:gridSpan w:val="2"/>
          </w:tcPr>
          <w:p>
            <w:pPr>
              <w:pStyle w:val="TableText"/>
              <w:ind w:left="571"/>
              <w:spacing w:before="43" w:line="205" w:lineRule="auto"/>
              <w:rPr/>
            </w:pPr>
            <w:r>
              <w:rPr>
                <w:spacing w:val="2"/>
              </w:rPr>
              <w:t>生活垃圾</w:t>
            </w:r>
          </w:p>
        </w:tc>
        <w:tc>
          <w:tcPr>
            <w:tcW w:w="1101" w:type="dxa"/>
            <w:vAlign w:val="top"/>
          </w:tcPr>
          <w:p>
            <w:pPr>
              <w:ind w:left="335"/>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17.55</w:t>
            </w:r>
          </w:p>
        </w:tc>
        <w:tc>
          <w:tcPr>
            <w:tcW w:w="1109" w:type="dxa"/>
            <w:vAlign w:val="top"/>
          </w:tcPr>
          <w:p>
            <w:pPr>
              <w:ind w:left="522"/>
              <w:spacing w:before="76"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63" w:type="dxa"/>
            <w:vAlign w:val="top"/>
          </w:tcPr>
          <w:p>
            <w:pPr>
              <w:ind w:left="265"/>
              <w:spacing w:before="8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17.55</w:t>
            </w:r>
          </w:p>
        </w:tc>
        <w:tc>
          <w:tcPr>
            <w:tcW w:w="3018" w:type="dxa"/>
            <w:vAlign w:val="top"/>
            <w:tcBorders>
              <w:right w:val="nil"/>
            </w:tcBorders>
          </w:tcPr>
          <w:p>
            <w:pPr>
              <w:pStyle w:val="TableText"/>
              <w:ind w:left="812"/>
              <w:spacing w:before="43" w:line="205" w:lineRule="auto"/>
              <w:rPr/>
            </w:pPr>
            <w:r>
              <w:rPr>
                <w:spacing w:val="4"/>
              </w:rPr>
              <w:t>由环卫部门处理</w:t>
            </w:r>
          </w:p>
        </w:tc>
      </w:tr>
      <w:tr>
        <w:trPr>
          <w:trHeight w:val="549"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142"/>
              <w:spacing w:before="46" w:line="232" w:lineRule="auto"/>
              <w:rPr/>
            </w:pPr>
            <w:r>
              <w:rPr>
                <w:spacing w:val="7"/>
              </w:rPr>
              <w:t>餐厨垃圾（含废油</w:t>
            </w:r>
          </w:p>
          <w:p>
            <w:pPr>
              <w:pStyle w:val="TableText"/>
              <w:ind w:left="767"/>
              <w:spacing w:before="22" w:line="202" w:lineRule="auto"/>
              <w:rPr/>
            </w:pPr>
            <w:r>
              <w:rPr>
                <w:spacing w:val="-3"/>
              </w:rPr>
              <w:t>脂）</w:t>
            </w:r>
          </w:p>
        </w:tc>
        <w:tc>
          <w:tcPr>
            <w:tcW w:w="1101" w:type="dxa"/>
            <w:vAlign w:val="top"/>
          </w:tcPr>
          <w:p>
            <w:pPr>
              <w:ind w:left="33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10.53</w:t>
            </w:r>
          </w:p>
        </w:tc>
        <w:tc>
          <w:tcPr>
            <w:tcW w:w="1109" w:type="dxa"/>
            <w:vAlign w:val="top"/>
          </w:tcPr>
          <w:p>
            <w:pPr>
              <w:ind w:left="522"/>
              <w:spacing w:before="21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63" w:type="dxa"/>
            <w:vAlign w:val="top"/>
          </w:tcPr>
          <w:p>
            <w:pPr>
              <w:ind w:left="26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10.53</w:t>
            </w:r>
          </w:p>
        </w:tc>
        <w:tc>
          <w:tcPr>
            <w:tcW w:w="3018" w:type="dxa"/>
            <w:vAlign w:val="top"/>
            <w:tcBorders>
              <w:right w:val="nil"/>
            </w:tcBorders>
          </w:tcPr>
          <w:p>
            <w:pPr>
              <w:pStyle w:val="TableText"/>
              <w:ind w:left="706"/>
              <w:spacing w:before="183" w:line="229" w:lineRule="auto"/>
              <w:rPr/>
            </w:pPr>
            <w:r>
              <w:rPr>
                <w:spacing w:val="4"/>
              </w:rPr>
              <w:t>由有资质单位处理</w:t>
            </w:r>
          </w:p>
        </w:tc>
      </w:tr>
      <w:tr>
        <w:trPr>
          <w:trHeight w:val="276"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560"/>
              <w:spacing w:before="49" w:line="200" w:lineRule="auto"/>
              <w:rPr/>
            </w:pPr>
            <w:r>
              <w:rPr>
                <w:spacing w:val="5"/>
              </w:rPr>
              <w:t>采矿废石</w:t>
            </w:r>
          </w:p>
        </w:tc>
        <w:tc>
          <w:tcPr>
            <w:tcW w:w="1101" w:type="dxa"/>
            <w:vAlign w:val="top"/>
          </w:tcPr>
          <w:p>
            <w:pPr>
              <w:pStyle w:val="TableText"/>
              <w:ind w:left="255"/>
              <w:spacing w:before="49" w:line="200" w:lineRule="auto"/>
              <w:rPr/>
            </w:pPr>
            <w:r>
              <w:rPr>
                <w:rFonts w:ascii="Times New Roman" w:hAnsi="Times New Roman" w:eastAsia="Times New Roman" w:cs="Times New Roman"/>
                <w:spacing w:val="-2"/>
              </w:rPr>
              <w:t>1.08</w:t>
            </w:r>
            <w:r>
              <w:rPr>
                <w:rFonts w:ascii="Times New Roman" w:hAnsi="Times New Roman" w:eastAsia="Times New Roman" w:cs="Times New Roman"/>
                <w:spacing w:val="20"/>
              </w:rPr>
              <w:t xml:space="preserve"> </w:t>
            </w:r>
            <w:r>
              <w:rPr>
                <w:spacing w:val="-2"/>
              </w:rPr>
              <w:t>万</w:t>
            </w:r>
          </w:p>
        </w:tc>
        <w:tc>
          <w:tcPr>
            <w:tcW w:w="1109" w:type="dxa"/>
            <w:vAlign w:val="top"/>
          </w:tcPr>
          <w:p>
            <w:pPr>
              <w:pStyle w:val="TableText"/>
              <w:ind w:left="261"/>
              <w:spacing w:before="49" w:line="200" w:lineRule="auto"/>
              <w:rPr/>
            </w:pPr>
            <w:r>
              <w:rPr>
                <w:rFonts w:ascii="Times New Roman" w:hAnsi="Times New Roman" w:eastAsia="Times New Roman" w:cs="Times New Roman"/>
                <w:spacing w:val="-2"/>
              </w:rPr>
              <w:t>1.08</w:t>
            </w:r>
            <w:r>
              <w:rPr>
                <w:rFonts w:ascii="Times New Roman" w:hAnsi="Times New Roman" w:eastAsia="Times New Roman" w:cs="Times New Roman"/>
                <w:spacing w:val="20"/>
              </w:rPr>
              <w:t xml:space="preserve"> </w:t>
            </w:r>
            <w:r>
              <w:rPr>
                <w:spacing w:val="-2"/>
              </w:rPr>
              <w:t>万</w:t>
            </w:r>
          </w:p>
        </w:tc>
        <w:tc>
          <w:tcPr>
            <w:tcW w:w="963" w:type="dxa"/>
            <w:vAlign w:val="top"/>
          </w:tcPr>
          <w:p>
            <w:pPr>
              <w:ind w:left="450"/>
              <w:spacing w:before="8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018" w:type="dxa"/>
            <w:vAlign w:val="top"/>
            <w:tcBorders>
              <w:right w:val="nil"/>
            </w:tcBorders>
          </w:tcPr>
          <w:p>
            <w:pPr>
              <w:pStyle w:val="TableText"/>
              <w:ind w:left="161"/>
              <w:spacing w:before="49" w:line="200" w:lineRule="auto"/>
              <w:rPr/>
            </w:pPr>
            <w:r>
              <w:rPr>
                <w:spacing w:val="8"/>
              </w:rPr>
              <w:t>不出井，用于井下采空区充填</w:t>
            </w:r>
          </w:p>
        </w:tc>
      </w:tr>
      <w:tr>
        <w:trPr>
          <w:trHeight w:val="277"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772"/>
              <w:spacing w:before="49" w:line="201" w:lineRule="auto"/>
              <w:rPr/>
            </w:pPr>
            <w:r>
              <w:rPr>
                <w:spacing w:val="-1"/>
              </w:rPr>
              <w:t>污泥</w:t>
            </w:r>
          </w:p>
        </w:tc>
        <w:tc>
          <w:tcPr>
            <w:tcW w:w="1101" w:type="dxa"/>
            <w:vAlign w:val="top"/>
          </w:tcPr>
          <w:p>
            <w:pPr>
              <w:ind w:left="319"/>
              <w:spacing w:before="8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63.09</w:t>
            </w:r>
          </w:p>
        </w:tc>
        <w:tc>
          <w:tcPr>
            <w:tcW w:w="1109" w:type="dxa"/>
            <w:vAlign w:val="top"/>
          </w:tcPr>
          <w:p>
            <w:pPr>
              <w:ind w:left="325"/>
              <w:spacing w:before="8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63.09</w:t>
            </w:r>
          </w:p>
        </w:tc>
        <w:tc>
          <w:tcPr>
            <w:tcW w:w="963" w:type="dxa"/>
            <w:vAlign w:val="top"/>
          </w:tcPr>
          <w:p>
            <w:pPr>
              <w:ind w:left="450"/>
              <w:spacing w:before="81"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018" w:type="dxa"/>
            <w:vAlign w:val="top"/>
            <w:tcBorders>
              <w:right w:val="nil"/>
            </w:tcBorders>
          </w:tcPr>
          <w:p>
            <w:pPr>
              <w:pStyle w:val="TableText"/>
              <w:ind w:left="496"/>
              <w:spacing w:before="49" w:line="201" w:lineRule="auto"/>
              <w:rPr/>
            </w:pPr>
            <w:r>
              <w:rPr>
                <w:spacing w:val="5"/>
              </w:rPr>
              <w:t>回用于选矿工序作原料</w:t>
            </w:r>
          </w:p>
        </w:tc>
      </w:tr>
      <w:tr>
        <w:trPr>
          <w:trHeight w:val="820"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spacing w:line="255" w:lineRule="auto"/>
              <w:rPr>
                <w:rFonts w:ascii="Arial"/>
                <w:sz w:val="21"/>
              </w:rPr>
            </w:pPr>
            <w:r/>
          </w:p>
          <w:p>
            <w:pPr>
              <w:pStyle w:val="TableText"/>
              <w:ind w:left="769"/>
              <w:spacing w:before="65" w:line="232" w:lineRule="auto"/>
              <w:rPr/>
            </w:pPr>
            <w:r>
              <w:rPr>
                <w:spacing w:val="1"/>
              </w:rPr>
              <w:t>尾矿</w:t>
            </w:r>
          </w:p>
        </w:tc>
        <w:tc>
          <w:tcPr>
            <w:tcW w:w="1101" w:type="dxa"/>
            <w:vAlign w:val="top"/>
          </w:tcPr>
          <w:p>
            <w:pPr>
              <w:spacing w:line="255" w:lineRule="auto"/>
              <w:rPr>
                <w:rFonts w:ascii="Arial"/>
                <w:sz w:val="21"/>
              </w:rPr>
            </w:pPr>
            <w:r/>
          </w:p>
          <w:p>
            <w:pPr>
              <w:pStyle w:val="TableText"/>
              <w:ind w:left="190"/>
              <w:spacing w:before="65" w:line="234" w:lineRule="auto"/>
              <w:rPr/>
            </w:pPr>
            <w:r>
              <w:rPr>
                <w:rFonts w:ascii="Times New Roman" w:hAnsi="Times New Roman" w:eastAsia="Times New Roman" w:cs="Times New Roman"/>
                <w:spacing w:val="2"/>
              </w:rPr>
              <w:t>6.249</w:t>
            </w:r>
            <w:r>
              <w:rPr>
                <w:rFonts w:ascii="Times New Roman" w:hAnsi="Times New Roman" w:eastAsia="Times New Roman" w:cs="Times New Roman"/>
                <w:spacing w:val="16"/>
                <w:w w:val="101"/>
              </w:rPr>
              <w:t xml:space="preserve"> </w:t>
            </w:r>
            <w:r>
              <w:rPr>
                <w:spacing w:val="2"/>
              </w:rPr>
              <w:t>万</w:t>
            </w:r>
          </w:p>
        </w:tc>
        <w:tc>
          <w:tcPr>
            <w:tcW w:w="1109" w:type="dxa"/>
            <w:vAlign w:val="top"/>
          </w:tcPr>
          <w:p>
            <w:pPr>
              <w:spacing w:line="255" w:lineRule="auto"/>
              <w:rPr>
                <w:rFonts w:ascii="Arial"/>
                <w:sz w:val="21"/>
              </w:rPr>
            </w:pPr>
            <w:r/>
          </w:p>
          <w:p>
            <w:pPr>
              <w:pStyle w:val="TableText"/>
              <w:ind w:left="193"/>
              <w:spacing w:before="65" w:line="234" w:lineRule="auto"/>
              <w:rPr/>
            </w:pPr>
            <w:r>
              <w:rPr>
                <w:rFonts w:ascii="Times New Roman" w:hAnsi="Times New Roman" w:eastAsia="Times New Roman" w:cs="Times New Roman"/>
                <w:spacing w:val="2"/>
              </w:rPr>
              <w:t>6.249</w:t>
            </w:r>
            <w:r>
              <w:rPr>
                <w:rFonts w:ascii="Times New Roman" w:hAnsi="Times New Roman" w:eastAsia="Times New Roman" w:cs="Times New Roman"/>
                <w:spacing w:val="19"/>
              </w:rPr>
              <w:t xml:space="preserve"> </w:t>
            </w:r>
            <w:r>
              <w:rPr>
                <w:spacing w:val="2"/>
              </w:rPr>
              <w:t>万</w:t>
            </w:r>
          </w:p>
        </w:tc>
        <w:tc>
          <w:tcPr>
            <w:tcW w:w="963" w:type="dxa"/>
            <w:vAlign w:val="top"/>
          </w:tcPr>
          <w:p>
            <w:pPr>
              <w:spacing w:line="294" w:lineRule="auto"/>
              <w:rPr>
                <w:rFonts w:ascii="Arial"/>
                <w:sz w:val="21"/>
              </w:rPr>
            </w:pPr>
            <w:r/>
          </w:p>
          <w:p>
            <w:pPr>
              <w:ind w:left="45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018" w:type="dxa"/>
            <w:vAlign w:val="top"/>
            <w:tcBorders>
              <w:right w:val="nil"/>
            </w:tcBorders>
          </w:tcPr>
          <w:p>
            <w:pPr>
              <w:pStyle w:val="TableText"/>
              <w:ind w:left="161"/>
              <w:spacing w:before="50" w:line="228" w:lineRule="auto"/>
              <w:rPr/>
            </w:pPr>
            <w:r>
              <w:rPr>
                <w:spacing w:val="8"/>
              </w:rPr>
              <w:t>暂存于尾矿临时堆场，优先回</w:t>
            </w:r>
          </w:p>
          <w:p>
            <w:pPr>
              <w:pStyle w:val="TableText"/>
              <w:ind w:left="157"/>
              <w:spacing w:before="24" w:line="231" w:lineRule="auto"/>
              <w:rPr/>
            </w:pPr>
            <w:r>
              <w:rPr>
                <w:spacing w:val="8"/>
              </w:rPr>
              <w:t>填井下采空区，剩余外剩余外</w:t>
            </w:r>
          </w:p>
          <w:p>
            <w:pPr>
              <w:pStyle w:val="TableText"/>
              <w:ind w:left="376"/>
              <w:spacing w:before="20" w:line="201" w:lineRule="auto"/>
              <w:rPr/>
            </w:pPr>
            <w:r>
              <w:rPr>
                <w:spacing w:val="7"/>
              </w:rPr>
              <w:t>售建材生产企业生产建材</w:t>
            </w:r>
          </w:p>
        </w:tc>
      </w:tr>
      <w:tr>
        <w:trPr>
          <w:trHeight w:val="276"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455"/>
              <w:spacing w:before="50" w:line="199" w:lineRule="auto"/>
              <w:rPr/>
            </w:pPr>
            <w:r>
              <w:rPr>
                <w:spacing w:val="6"/>
              </w:rPr>
              <w:t>布袋除尘灰</w:t>
            </w:r>
          </w:p>
        </w:tc>
        <w:tc>
          <w:tcPr>
            <w:tcW w:w="1101" w:type="dxa"/>
            <w:vAlign w:val="top"/>
          </w:tcPr>
          <w:p>
            <w:pPr>
              <w:ind w:left="265"/>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73.454</w:t>
            </w:r>
          </w:p>
        </w:tc>
        <w:tc>
          <w:tcPr>
            <w:tcW w:w="1109" w:type="dxa"/>
            <w:vAlign w:val="top"/>
          </w:tcPr>
          <w:p>
            <w:pPr>
              <w:ind w:left="271"/>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73.454</w:t>
            </w:r>
          </w:p>
        </w:tc>
        <w:tc>
          <w:tcPr>
            <w:tcW w:w="963" w:type="dxa"/>
            <w:vAlign w:val="top"/>
          </w:tcPr>
          <w:p>
            <w:pPr>
              <w:ind w:left="450"/>
              <w:spacing w:before="8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018" w:type="dxa"/>
            <w:vAlign w:val="top"/>
            <w:tcBorders>
              <w:right w:val="nil"/>
            </w:tcBorders>
          </w:tcPr>
          <w:p>
            <w:pPr>
              <w:pStyle w:val="TableText"/>
              <w:ind w:left="370"/>
              <w:spacing w:before="50" w:line="199" w:lineRule="auto"/>
              <w:rPr/>
            </w:pPr>
            <w:r>
              <w:rPr>
                <w:spacing w:val="8"/>
              </w:rPr>
              <w:t>全部返回磨浮工序作原料</w:t>
            </w:r>
          </w:p>
        </w:tc>
      </w:tr>
      <w:tr>
        <w:trPr>
          <w:trHeight w:val="279"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664"/>
              <w:spacing w:before="55" w:line="197" w:lineRule="auto"/>
              <w:rPr/>
            </w:pPr>
            <w:r>
              <w:rPr>
                <w:spacing w:val="4"/>
              </w:rPr>
              <w:t>废布袋</w:t>
            </w:r>
          </w:p>
        </w:tc>
        <w:tc>
          <w:tcPr>
            <w:tcW w:w="1101" w:type="dxa"/>
            <w:vAlign w:val="top"/>
          </w:tcPr>
          <w:p>
            <w:pPr>
              <w:ind w:left="372"/>
              <w:spacing w:before="91"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6.54</w:t>
            </w:r>
          </w:p>
        </w:tc>
        <w:tc>
          <w:tcPr>
            <w:tcW w:w="1109" w:type="dxa"/>
            <w:vAlign w:val="top"/>
          </w:tcPr>
          <w:p>
            <w:pPr>
              <w:ind w:left="522"/>
              <w:spacing w:before="87"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63" w:type="dxa"/>
            <w:vAlign w:val="top"/>
          </w:tcPr>
          <w:p>
            <w:pPr>
              <w:ind w:left="303"/>
              <w:spacing w:before="91"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6.54</w:t>
            </w:r>
          </w:p>
        </w:tc>
        <w:tc>
          <w:tcPr>
            <w:tcW w:w="3018" w:type="dxa"/>
            <w:vAlign w:val="top"/>
            <w:tcBorders>
              <w:right w:val="nil"/>
            </w:tcBorders>
          </w:tcPr>
          <w:p>
            <w:pPr>
              <w:pStyle w:val="TableText"/>
              <w:ind w:left="684"/>
              <w:spacing w:before="55" w:line="197" w:lineRule="auto"/>
              <w:rPr/>
            </w:pPr>
            <w:r>
              <w:rPr>
                <w:spacing w:val="7"/>
              </w:rPr>
              <w:t>交由厂家回收处理</w:t>
            </w:r>
          </w:p>
        </w:tc>
      </w:tr>
      <w:tr>
        <w:trPr>
          <w:trHeight w:val="276"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664"/>
              <w:spacing w:before="54" w:line="195" w:lineRule="auto"/>
              <w:rPr/>
            </w:pPr>
            <w:r>
              <w:rPr>
                <w:spacing w:val="4"/>
              </w:rPr>
              <w:t>废机油</w:t>
            </w:r>
          </w:p>
        </w:tc>
        <w:tc>
          <w:tcPr>
            <w:tcW w:w="1101" w:type="dxa"/>
            <w:vAlign w:val="top"/>
          </w:tcPr>
          <w:p>
            <w:pPr>
              <w:ind w:left="423"/>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109" w:type="dxa"/>
            <w:vAlign w:val="top"/>
          </w:tcPr>
          <w:p>
            <w:pPr>
              <w:ind w:left="522"/>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63" w:type="dxa"/>
            <w:vAlign w:val="top"/>
          </w:tcPr>
          <w:p>
            <w:pPr>
              <w:ind w:left="354"/>
              <w:spacing w:before="9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3018" w:type="dxa"/>
            <w:vAlign w:val="top"/>
            <w:vMerge w:val="restart"/>
            <w:tcBorders>
              <w:right w:val="nil"/>
              <w:bottom w:val="nil"/>
            </w:tcBorders>
          </w:tcPr>
          <w:p>
            <w:pPr>
              <w:spacing w:line="268" w:lineRule="auto"/>
              <w:rPr>
                <w:rFonts w:ascii="Arial"/>
                <w:sz w:val="21"/>
              </w:rPr>
            </w:pPr>
            <w:r/>
          </w:p>
          <w:p>
            <w:pPr>
              <w:pStyle w:val="TableText"/>
              <w:ind w:left="157"/>
              <w:spacing w:before="65" w:line="230" w:lineRule="auto"/>
              <w:rPr/>
            </w:pPr>
            <w:r>
              <w:rPr>
                <w:spacing w:val="4"/>
              </w:rPr>
              <w:t>集中收集与危废间内，</w:t>
            </w:r>
            <w:r>
              <w:rPr>
                <w:spacing w:val="-39"/>
              </w:rPr>
              <w:t xml:space="preserve"> </w:t>
            </w:r>
            <w:r>
              <w:rPr>
                <w:spacing w:val="4"/>
              </w:rPr>
              <w:t>由有资</w:t>
            </w:r>
          </w:p>
          <w:p>
            <w:pPr>
              <w:pStyle w:val="TableText"/>
              <w:ind w:left="1001"/>
              <w:spacing w:before="24" w:line="229" w:lineRule="auto"/>
              <w:rPr/>
            </w:pPr>
            <w:r>
              <w:rPr>
                <w:spacing w:val="6"/>
              </w:rPr>
              <w:t>质单位处置</w:t>
            </w:r>
          </w:p>
        </w:tc>
      </w:tr>
      <w:tr>
        <w:trPr>
          <w:trHeight w:val="277" w:hRule="atLeast"/>
        </w:trPr>
        <w:tc>
          <w:tcPr>
            <w:tcW w:w="787" w:type="dxa"/>
            <w:vAlign w:val="top"/>
            <w:vMerge w:val="continue"/>
            <w:tcBorders>
              <w:left w:val="nil"/>
              <w:bottom w:val="nil"/>
              <w:top w:val="nil"/>
            </w:tcBorders>
          </w:tcPr>
          <w:p>
            <w:pPr>
              <w:rPr>
                <w:rFonts w:ascii="Arial"/>
                <w:sz w:val="21"/>
              </w:rPr>
            </w:pPr>
            <w:r/>
          </w:p>
        </w:tc>
        <w:tc>
          <w:tcPr>
            <w:tcW w:w="1934" w:type="dxa"/>
            <w:vAlign w:val="top"/>
            <w:gridSpan w:val="2"/>
          </w:tcPr>
          <w:p>
            <w:pPr>
              <w:pStyle w:val="TableText"/>
              <w:ind w:left="664"/>
              <w:spacing w:before="54" w:line="196" w:lineRule="auto"/>
              <w:rPr/>
            </w:pPr>
            <w:r>
              <w:rPr>
                <w:spacing w:val="4"/>
              </w:rPr>
              <w:t>废油桶</w:t>
            </w:r>
          </w:p>
        </w:tc>
        <w:tc>
          <w:tcPr>
            <w:tcW w:w="1101" w:type="dxa"/>
            <w:vAlign w:val="top"/>
          </w:tcPr>
          <w:p>
            <w:pPr>
              <w:ind w:left="423"/>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0.3</w:t>
            </w:r>
          </w:p>
        </w:tc>
        <w:tc>
          <w:tcPr>
            <w:tcW w:w="1109" w:type="dxa"/>
            <w:vAlign w:val="top"/>
          </w:tcPr>
          <w:p>
            <w:pPr>
              <w:ind w:left="522"/>
              <w:spacing w:before="86"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63" w:type="dxa"/>
            <w:vAlign w:val="top"/>
          </w:tcPr>
          <w:p>
            <w:pPr>
              <w:ind w:left="354"/>
              <w:spacing w:before="90"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3018" w:type="dxa"/>
            <w:vAlign w:val="top"/>
            <w:vMerge w:val="continue"/>
            <w:tcBorders>
              <w:right w:val="nil"/>
              <w:bottom w:val="nil"/>
              <w:top w:val="nil"/>
            </w:tcBorders>
          </w:tcPr>
          <w:p>
            <w:pPr>
              <w:rPr>
                <w:rFonts w:ascii="Arial"/>
                <w:sz w:val="21"/>
              </w:rPr>
            </w:pPr>
            <w:r/>
          </w:p>
        </w:tc>
      </w:tr>
      <w:tr>
        <w:trPr>
          <w:trHeight w:val="572" w:hRule="atLeast"/>
        </w:trPr>
        <w:tc>
          <w:tcPr>
            <w:tcW w:w="787" w:type="dxa"/>
            <w:vAlign w:val="top"/>
            <w:vMerge w:val="continue"/>
            <w:tcBorders>
              <w:left w:val="nil"/>
              <w:bottom w:val="single" w:color="000000" w:sz="10" w:space="0"/>
              <w:top w:val="nil"/>
            </w:tcBorders>
          </w:tcPr>
          <w:p>
            <w:pPr>
              <w:rPr>
                <w:rFonts w:ascii="Arial"/>
                <w:sz w:val="21"/>
              </w:rPr>
            </w:pPr>
            <w:r/>
          </w:p>
        </w:tc>
        <w:tc>
          <w:tcPr>
            <w:tcW w:w="1934" w:type="dxa"/>
            <w:vAlign w:val="top"/>
            <w:gridSpan w:val="2"/>
            <w:tcBorders>
              <w:bottom w:val="single" w:color="000000" w:sz="10" w:space="0"/>
            </w:tcBorders>
          </w:tcPr>
          <w:p>
            <w:pPr>
              <w:pStyle w:val="TableText"/>
              <w:ind w:left="140"/>
              <w:spacing w:before="55" w:line="229" w:lineRule="auto"/>
              <w:rPr/>
            </w:pPr>
            <w:r>
              <w:rPr>
                <w:spacing w:val="7"/>
              </w:rPr>
              <w:t>含油抹布及劳保用</w:t>
            </w:r>
          </w:p>
          <w:p>
            <w:pPr>
              <w:pStyle w:val="TableText"/>
              <w:ind w:left="896"/>
              <w:spacing w:before="23" w:line="217" w:lineRule="auto"/>
              <w:rPr/>
            </w:pPr>
            <w:r>
              <w:rPr/>
              <w:t>品</w:t>
            </w:r>
          </w:p>
        </w:tc>
        <w:tc>
          <w:tcPr>
            <w:tcW w:w="1101" w:type="dxa"/>
            <w:vAlign w:val="top"/>
            <w:tcBorders>
              <w:bottom w:val="single" w:color="000000" w:sz="10" w:space="0"/>
            </w:tcBorders>
          </w:tcPr>
          <w:p>
            <w:pPr>
              <w:ind w:left="423"/>
              <w:spacing w:before="2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109" w:type="dxa"/>
            <w:vAlign w:val="top"/>
            <w:tcBorders>
              <w:bottom w:val="single" w:color="000000" w:sz="10" w:space="0"/>
            </w:tcBorders>
          </w:tcPr>
          <w:p>
            <w:pPr>
              <w:ind w:left="522"/>
              <w:spacing w:before="2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63" w:type="dxa"/>
            <w:vAlign w:val="top"/>
            <w:tcBorders>
              <w:bottom w:val="single" w:color="000000" w:sz="10" w:space="0"/>
            </w:tcBorders>
          </w:tcPr>
          <w:p>
            <w:pPr>
              <w:ind w:left="354"/>
              <w:spacing w:before="2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3018"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headerReference w:type="default" r:id="rId198"/>
          <w:footerReference w:type="default" r:id="rId207"/>
          <w:pgSz w:w="11911" w:h="16839"/>
          <w:pgMar w:top="1140" w:right="1309" w:bottom="1146" w:left="1689" w:header="1130" w:footer="984" w:gutter="0"/>
        </w:sectPr>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24"/>
        <w:spacing w:before="98" w:line="222" w:lineRule="auto"/>
        <w:outlineLvl w:val="0"/>
        <w:rPr>
          <w:rFonts w:ascii="FangSong" w:hAnsi="FangSong" w:eastAsia="FangSong" w:cs="FangSong"/>
          <w:sz w:val="30"/>
          <w:szCs w:val="30"/>
        </w:rPr>
      </w:pPr>
      <w:bookmarkStart w:name="bookmark202" w:id="277"/>
      <w:bookmarkEnd w:id="277"/>
      <w:bookmarkStart w:name="bookmark204" w:id="278"/>
      <w:bookmarkEnd w:id="278"/>
      <w:bookmarkStart w:name="bookmark206" w:id="279"/>
      <w:bookmarkEnd w:id="279"/>
      <w:bookmarkStart w:name="bookmark201" w:id="280"/>
      <w:bookmarkEnd w:id="280"/>
      <w:bookmarkStart w:name="bookmark203" w:id="281"/>
      <w:bookmarkEnd w:id="281"/>
      <w:bookmarkStart w:name="bookmark205" w:id="282"/>
      <w:bookmarkEnd w:id="282"/>
      <w:r>
        <w:rPr>
          <w:rFonts w:ascii="Times New Roman" w:hAnsi="Times New Roman" w:eastAsia="Times New Roman" w:cs="Times New Roman"/>
          <w:sz w:val="30"/>
          <w:szCs w:val="30"/>
          <w:b/>
          <w:bCs/>
          <w:spacing w:val="-3"/>
        </w:rPr>
        <w:t>5  </w:t>
      </w:r>
      <w:r>
        <w:rPr>
          <w:rFonts w:ascii="FangSong" w:hAnsi="FangSong" w:eastAsia="FangSong" w:cs="FangSong"/>
          <w:sz w:val="30"/>
          <w:szCs w:val="30"/>
          <w:b/>
          <w:bCs/>
          <w:spacing w:val="-3"/>
        </w:rPr>
        <w:t>现状调查与评价</w:t>
      </w:r>
    </w:p>
    <w:p>
      <w:pPr>
        <w:ind w:left="23"/>
        <w:spacing w:before="271" w:line="223" w:lineRule="auto"/>
        <w:outlineLvl w:val="1"/>
        <w:rPr>
          <w:rFonts w:ascii="FangSong" w:hAnsi="FangSong" w:eastAsia="FangSong" w:cs="FangSong"/>
          <w:sz w:val="28"/>
          <w:szCs w:val="28"/>
        </w:rPr>
      </w:pPr>
      <w:bookmarkStart w:name="bookmark567" w:id="283"/>
      <w:bookmarkEnd w:id="283"/>
      <w:r>
        <w:rPr>
          <w:rFonts w:ascii="Times New Roman" w:hAnsi="Times New Roman" w:eastAsia="Times New Roman" w:cs="Times New Roman"/>
          <w:sz w:val="28"/>
          <w:szCs w:val="28"/>
          <w:b/>
          <w:bCs/>
          <w:spacing w:val="-8"/>
        </w:rPr>
        <w:t>5.1   </w:t>
      </w:r>
      <w:r>
        <w:rPr>
          <w:rFonts w:ascii="FangSong" w:hAnsi="FangSong" w:eastAsia="FangSong" w:cs="FangSong"/>
          <w:sz w:val="28"/>
          <w:szCs w:val="28"/>
          <w:b/>
          <w:bCs/>
          <w:spacing w:val="-8"/>
        </w:rPr>
        <w:t>自然环境调查</w:t>
      </w:r>
    </w:p>
    <w:p>
      <w:pPr>
        <w:ind w:left="22"/>
        <w:spacing w:before="226" w:line="222" w:lineRule="auto"/>
        <w:outlineLvl w:val="2"/>
        <w:rPr>
          <w:rFonts w:ascii="FangSong" w:hAnsi="FangSong" w:eastAsia="FangSong" w:cs="FangSong"/>
          <w:sz w:val="24"/>
          <w:szCs w:val="24"/>
        </w:rPr>
      </w:pPr>
      <w:bookmarkStart w:name="bookmark568" w:id="284"/>
      <w:bookmarkEnd w:id="284"/>
      <w:r>
        <w:rPr>
          <w:rFonts w:ascii="Times New Roman" w:hAnsi="Times New Roman" w:eastAsia="Times New Roman" w:cs="Times New Roman"/>
          <w:sz w:val="24"/>
          <w:szCs w:val="24"/>
          <w:b/>
          <w:bCs/>
          <w:spacing w:val="-4"/>
        </w:rPr>
        <w:t>5.1.1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地理位置</w:t>
      </w:r>
    </w:p>
    <w:p>
      <w:pPr>
        <w:ind w:left="19" w:right="65" w:firstLine="497"/>
        <w:spacing w:before="178" w:line="360" w:lineRule="auto"/>
        <w:rPr>
          <w:rFonts w:ascii="FangSong" w:hAnsi="FangSong" w:eastAsia="FangSong" w:cs="FangSong"/>
          <w:sz w:val="24"/>
          <w:szCs w:val="24"/>
        </w:rPr>
      </w:pPr>
      <w:r>
        <w:rPr>
          <w:rFonts w:ascii="FangSong" w:hAnsi="FangSong" w:eastAsia="FangSong" w:cs="FangSong"/>
          <w:sz w:val="24"/>
          <w:szCs w:val="24"/>
          <w:spacing w:val="-4"/>
        </w:rPr>
        <w:t>苏尼特右旗位于内蒙古自治区锡林郭勒盟西部，东北与苏尼特左旗为邻，东</w:t>
      </w:r>
      <w:r>
        <w:rPr>
          <w:rFonts w:ascii="FangSong" w:hAnsi="FangSong" w:eastAsia="FangSong" w:cs="FangSong"/>
          <w:sz w:val="24"/>
          <w:szCs w:val="24"/>
          <w:spacing w:val="-3"/>
        </w:rPr>
        <w:t>南与镶黄旗相连，南与乌兰察布市察哈尔右翼后旗、商都县相接，西接乌兰察布</w:t>
      </w:r>
      <w:r>
        <w:rPr>
          <w:rFonts w:ascii="FangSong" w:hAnsi="FangSong" w:eastAsia="FangSong" w:cs="FangSong"/>
          <w:sz w:val="24"/>
          <w:szCs w:val="24"/>
          <w:spacing w:val="5"/>
        </w:rPr>
        <w:t>市四子王旗，西北与二连浩特市、蒙古国交界，</w:t>
      </w:r>
      <w:r>
        <w:rPr>
          <w:rFonts w:ascii="FangSong" w:hAnsi="FangSong" w:eastAsia="FangSong" w:cs="FangSong"/>
          <w:sz w:val="24"/>
          <w:szCs w:val="24"/>
          <w:spacing w:val="-63"/>
        </w:rPr>
        <w:t xml:space="preserve"> </w:t>
      </w:r>
      <w:r>
        <w:rPr>
          <w:rFonts w:ascii="FangSong" w:hAnsi="FangSong" w:eastAsia="FangSong" w:cs="FangSong"/>
          <w:sz w:val="24"/>
          <w:szCs w:val="24"/>
          <w:spacing w:val="5"/>
        </w:rPr>
        <w:t>国界线长</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5"/>
        </w:rPr>
        <w:t>18.5</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5"/>
        </w:rPr>
        <w:t>，区域面积</w:t>
      </w:r>
      <w:r>
        <w:rPr>
          <w:rFonts w:ascii="Times New Roman" w:hAnsi="Times New Roman" w:eastAsia="Times New Roman" w:cs="Times New Roman"/>
          <w:sz w:val="24"/>
          <w:szCs w:val="24"/>
          <w:spacing w:val="-8"/>
        </w:rPr>
        <w:t>22461km</w:t>
      </w:r>
      <w:r>
        <w:rPr>
          <w:rFonts w:ascii="Times New Roman" w:hAnsi="Times New Roman" w:eastAsia="Times New Roman" w:cs="Times New Roman"/>
          <w:sz w:val="15"/>
          <w:szCs w:val="15"/>
          <w:spacing w:val="-8"/>
          <w:position w:val="7"/>
        </w:rPr>
        <w:t>2 </w:t>
      </w:r>
      <w:r>
        <w:rPr>
          <w:rFonts w:ascii="FangSong" w:hAnsi="FangSong" w:eastAsia="FangSong" w:cs="FangSong"/>
          <w:sz w:val="24"/>
          <w:szCs w:val="24"/>
          <w:spacing w:val="-8"/>
        </w:rPr>
        <w:t>。地理位置为东经</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8"/>
        </w:rPr>
        <w:t>111</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08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-114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8"/>
        </w:rPr>
        <w:t>°</w:t>
      </w:r>
      <w:r>
        <w:rPr>
          <w:rFonts w:ascii="FangSong" w:hAnsi="FangSong" w:eastAsia="FangSong" w:cs="FangSong"/>
          <w:sz w:val="24"/>
          <w:szCs w:val="24"/>
          <w:spacing w:val="-90"/>
        </w:rPr>
        <w:t xml:space="preserve"> </w:t>
      </w:r>
      <w:r>
        <w:rPr>
          <w:rFonts w:ascii="Times New Roman" w:hAnsi="Times New Roman" w:eastAsia="Times New Roman" w:cs="Times New Roman"/>
          <w:sz w:val="24"/>
          <w:szCs w:val="24"/>
          <w:spacing w:val="-8"/>
        </w:rPr>
        <w:t>16 </w:t>
      </w:r>
      <w:r>
        <w:rPr>
          <w:rFonts w:ascii="FangSong" w:hAnsi="FangSong" w:eastAsia="FangSong" w:cs="FangSong"/>
          <w:sz w:val="24"/>
          <w:szCs w:val="24"/>
          <w:spacing w:val="-8"/>
        </w:rPr>
        <w:t>′</w:t>
      </w:r>
      <w:r>
        <w:rPr>
          <w:rFonts w:ascii="FangSong" w:hAnsi="FangSong" w:eastAsia="FangSong" w:cs="FangSong"/>
          <w:sz w:val="24"/>
          <w:szCs w:val="24"/>
          <w:spacing w:val="-82"/>
        </w:rPr>
        <w:t xml:space="preserve"> </w:t>
      </w:r>
      <w:r>
        <w:rPr>
          <w:rFonts w:ascii="FangSong" w:hAnsi="FangSong" w:eastAsia="FangSong" w:cs="FangSong"/>
          <w:sz w:val="24"/>
          <w:szCs w:val="24"/>
          <w:spacing w:val="-8"/>
        </w:rPr>
        <w:t>，北纬</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8"/>
        </w:rPr>
        <w:t>41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55</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-43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39 </w:t>
      </w:r>
      <w:r>
        <w:rPr>
          <w:rFonts w:ascii="FangSong" w:hAnsi="FangSong" w:eastAsia="FangSong" w:cs="FangSong"/>
          <w:sz w:val="24"/>
          <w:szCs w:val="24"/>
          <w:spacing w:val="-37"/>
        </w:rPr>
        <w:t>′</w:t>
      </w:r>
      <w:r>
        <w:rPr>
          <w:rFonts w:ascii="FangSong" w:hAnsi="FangSong" w:eastAsia="FangSong" w:cs="FangSong"/>
          <w:sz w:val="24"/>
          <w:szCs w:val="24"/>
          <w:spacing w:val="-81"/>
        </w:rPr>
        <w:t xml:space="preserve"> </w:t>
      </w:r>
      <w:r>
        <w:rPr>
          <w:rFonts w:ascii="FangSong" w:hAnsi="FangSong" w:eastAsia="FangSong" w:cs="FangSong"/>
          <w:sz w:val="24"/>
          <w:szCs w:val="24"/>
          <w:spacing w:val="-37"/>
        </w:rPr>
        <w:t>。</w:t>
      </w:r>
      <w:r>
        <w:rPr>
          <w:rFonts w:ascii="FangSong" w:hAnsi="FangSong" w:eastAsia="FangSong" w:cs="FangSong"/>
          <w:sz w:val="24"/>
          <w:szCs w:val="24"/>
          <w:spacing w:val="-1"/>
        </w:rPr>
        <w:t>连接欧亚大陆的交通枢纽北京</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乌兰巴托</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莫斯科国际铁路线贯穿全境。旗政府所</w:t>
      </w:r>
      <w:r>
        <w:rPr>
          <w:rFonts w:ascii="FangSong" w:hAnsi="FangSong" w:eastAsia="FangSong" w:cs="FangSong"/>
          <w:sz w:val="24"/>
          <w:szCs w:val="24"/>
          <w:spacing w:val="-2"/>
        </w:rPr>
        <w:t>在地赛汉塔拉镇至北京</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600km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，呼和浩特市</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
        </w:rPr>
        <w:t>75km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，东距锡林浩特市</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375km</w:t>
      </w:r>
      <w:r>
        <w:rPr>
          <w:rFonts w:ascii="FangSong" w:hAnsi="FangSong" w:eastAsia="FangSong" w:cs="FangSong"/>
          <w:sz w:val="24"/>
          <w:szCs w:val="24"/>
          <w:spacing w:val="-3"/>
        </w:rPr>
        <w:t>。</w:t>
      </w:r>
    </w:p>
    <w:p>
      <w:pPr>
        <w:ind w:left="29" w:firstLine="486"/>
        <w:spacing w:before="1" w:line="360" w:lineRule="auto"/>
        <w:rPr>
          <w:rFonts w:ascii="FangSong" w:hAnsi="FangSong" w:eastAsia="FangSong" w:cs="FangSong"/>
          <w:sz w:val="24"/>
          <w:szCs w:val="24"/>
        </w:rPr>
      </w:pPr>
      <w:r>
        <w:rPr>
          <w:rFonts w:ascii="FangSong" w:hAnsi="FangSong" w:eastAsia="FangSong" w:cs="FangSong"/>
          <w:sz w:val="24"/>
          <w:szCs w:val="24"/>
          <w:spacing w:val="4"/>
        </w:rPr>
        <w:t>苏尼特右旗富邦矿业有限公司苏尼特右旗桑宝力嘎额尔登塔</w:t>
      </w:r>
      <w:r>
        <w:rPr>
          <w:rFonts w:ascii="FangSong" w:hAnsi="FangSong" w:eastAsia="FangSong" w:cs="FangSong"/>
          <w:sz w:val="24"/>
          <w:szCs w:val="24"/>
          <w:spacing w:val="3"/>
        </w:rPr>
        <w:t>拉萤石矿位于</w:t>
      </w:r>
      <w:r>
        <w:rPr>
          <w:rFonts w:ascii="FangSong" w:hAnsi="FangSong" w:eastAsia="FangSong" w:cs="FangSong"/>
          <w:sz w:val="24"/>
          <w:szCs w:val="24"/>
          <w:spacing w:val="-5"/>
        </w:rPr>
        <w:t>苏尼特右旗旗政府所在地赛汉塔拉镇</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25</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40km</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5"/>
        </w:rPr>
        <w:t>处，行政区划隶属于苏</w:t>
      </w:r>
      <w:r>
        <w:rPr>
          <w:rFonts w:ascii="FangSong" w:hAnsi="FangSong" w:eastAsia="FangSong" w:cs="FangSong"/>
          <w:sz w:val="24"/>
          <w:szCs w:val="24"/>
          <w:spacing w:val="-9"/>
        </w:rPr>
        <w:t>尼特右旗桑宝力嘎苏木。其地理坐标为：东经：</w:t>
      </w:r>
      <w:r>
        <w:rPr>
          <w:rFonts w:ascii="Times New Roman" w:hAnsi="Times New Roman" w:eastAsia="Times New Roman" w:cs="Times New Roman"/>
          <w:sz w:val="24"/>
          <w:szCs w:val="24"/>
          <w:spacing w:val="-9"/>
        </w:rPr>
        <w:t>112</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52</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01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-112</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56</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9"/>
        </w:rPr>
        <w:t>′</w:t>
      </w:r>
      <w:r>
        <w:rPr>
          <w:rFonts w:ascii="FangSong" w:hAnsi="FangSong" w:eastAsia="FangSong" w:cs="FangSong"/>
          <w:sz w:val="24"/>
          <w:szCs w:val="24"/>
          <w:spacing w:val="-92"/>
        </w:rPr>
        <w:t xml:space="preserve"> </w:t>
      </w:r>
      <w:r>
        <w:rPr>
          <w:rFonts w:ascii="Times New Roman" w:hAnsi="Times New Roman" w:eastAsia="Times New Roman" w:cs="Times New Roman"/>
          <w:sz w:val="24"/>
          <w:szCs w:val="24"/>
          <w:spacing w:val="-9"/>
        </w:rPr>
        <w:t>11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9"/>
        </w:rPr>
        <w:t>″，</w:t>
      </w:r>
      <w:r>
        <w:rPr>
          <w:rFonts w:ascii="FangSong" w:hAnsi="FangSong" w:eastAsia="FangSong" w:cs="FangSong"/>
          <w:sz w:val="24"/>
          <w:szCs w:val="24"/>
          <w:spacing w:val="-11"/>
        </w:rPr>
        <w:t>北纬：</w:t>
      </w:r>
      <w:r>
        <w:rPr>
          <w:rFonts w:ascii="Times New Roman" w:hAnsi="Times New Roman" w:eastAsia="Times New Roman" w:cs="Times New Roman"/>
          <w:sz w:val="24"/>
          <w:szCs w:val="24"/>
          <w:spacing w:val="-11"/>
        </w:rPr>
        <w:t>42</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59</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53</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-43</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02</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1"/>
        </w:rPr>
        <w:t>′</w:t>
      </w:r>
      <w:r>
        <w:rPr>
          <w:rFonts w:ascii="Times New Roman" w:hAnsi="Times New Roman" w:eastAsia="Times New Roman" w:cs="Times New Roman"/>
          <w:sz w:val="24"/>
          <w:szCs w:val="24"/>
          <w:spacing w:val="-12"/>
        </w:rPr>
        <w:t>49</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2"/>
        </w:rPr>
        <w:t>″。</w:t>
      </w:r>
    </w:p>
    <w:p>
      <w:pPr>
        <w:ind w:left="29" w:right="65" w:firstLine="487"/>
        <w:spacing w:line="360" w:lineRule="auto"/>
        <w:jc w:val="both"/>
        <w:rPr>
          <w:rFonts w:ascii="FangSong" w:hAnsi="FangSong" w:eastAsia="FangSong" w:cs="FangSong"/>
          <w:sz w:val="24"/>
          <w:szCs w:val="24"/>
        </w:rPr>
      </w:pPr>
      <w:r>
        <w:rPr>
          <w:rFonts w:ascii="FangSong" w:hAnsi="FangSong" w:eastAsia="FangSong" w:cs="FangSong"/>
          <w:sz w:val="24"/>
          <w:szCs w:val="24"/>
          <w:spacing w:val="4"/>
        </w:rPr>
        <w:t>苏尼特右旗富邦矿业有限公司苏尼特右旗桑宝力嘎额尔登塔</w:t>
      </w:r>
      <w:r>
        <w:rPr>
          <w:rFonts w:ascii="FangSong" w:hAnsi="FangSong" w:eastAsia="FangSong" w:cs="FangSong"/>
          <w:sz w:val="24"/>
          <w:szCs w:val="24"/>
          <w:spacing w:val="3"/>
        </w:rPr>
        <w:t>拉萤石矿北西</w:t>
      </w:r>
      <w:r>
        <w:rPr>
          <w:rFonts w:ascii="FangSong" w:hAnsi="FangSong" w:eastAsia="FangSong" w:cs="FangSong"/>
          <w:sz w:val="24"/>
          <w:szCs w:val="24"/>
          <w:spacing w:val="-4"/>
        </w:rPr>
        <w:t>距</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S101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省道</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5km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，有柏油路与</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S101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省</w:t>
      </w:r>
      <w:r>
        <w:rPr>
          <w:rFonts w:ascii="FangSong" w:hAnsi="FangSong" w:eastAsia="FangSong" w:cs="FangSong"/>
          <w:sz w:val="24"/>
          <w:szCs w:val="24"/>
          <w:spacing w:val="-5"/>
        </w:rPr>
        <w:t>道相连；经</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S101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5"/>
        </w:rPr>
        <w:t>省道南西至苏尼特右旗</w:t>
      </w:r>
      <w:r>
        <w:rPr>
          <w:rFonts w:ascii="FangSong" w:hAnsi="FangSong" w:eastAsia="FangSong" w:cs="FangSong"/>
          <w:sz w:val="24"/>
          <w:szCs w:val="24"/>
          <w:spacing w:val="-2"/>
        </w:rPr>
        <w:t>赛汉塔拉镇运距约</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40km</w:t>
      </w:r>
      <w:r>
        <w:rPr>
          <w:rFonts w:ascii="FangSong" w:hAnsi="FangSong" w:eastAsia="FangSong" w:cs="FangSong"/>
          <w:sz w:val="24"/>
          <w:szCs w:val="24"/>
          <w:spacing w:val="-2"/>
        </w:rPr>
        <w:t>。本项目所在区域北西距集宁</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二连铁路</w:t>
      </w:r>
      <w:r>
        <w:rPr>
          <w:rFonts w:ascii="FangSong" w:hAnsi="FangSong" w:eastAsia="FangSong" w:cs="FangSong"/>
          <w:sz w:val="24"/>
          <w:szCs w:val="24"/>
          <w:spacing w:val="-3"/>
        </w:rPr>
        <w:t>赛汉塔拉火车站</w:t>
      </w:r>
      <w:r>
        <w:rPr>
          <w:rFonts w:ascii="FangSong" w:hAnsi="FangSong" w:eastAsia="FangSong" w:cs="FangSong"/>
          <w:sz w:val="24"/>
          <w:szCs w:val="24"/>
          <w:spacing w:val="-5"/>
        </w:rPr>
        <w:t>运距</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40km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，交通便利。</w:t>
      </w:r>
    </w:p>
    <w:p>
      <w:pPr>
        <w:ind w:left="511"/>
        <w:spacing w:before="1" w:line="221" w:lineRule="auto"/>
        <w:rPr>
          <w:rFonts w:ascii="FangSong" w:hAnsi="FangSong" w:eastAsia="FangSong" w:cs="FangSong"/>
          <w:sz w:val="24"/>
          <w:szCs w:val="24"/>
        </w:rPr>
      </w:pPr>
      <w:r>
        <w:rPr>
          <w:rFonts w:ascii="FangSong" w:hAnsi="FangSong" w:eastAsia="FangSong" w:cs="FangSong"/>
          <w:sz w:val="24"/>
          <w:szCs w:val="24"/>
          <w:spacing w:val="-2"/>
        </w:rPr>
        <w:t>其地理位置及交通位置见附图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4-1</w:t>
      </w:r>
      <w:r>
        <w:rPr>
          <w:rFonts w:ascii="FangSong" w:hAnsi="FangSong" w:eastAsia="FangSong" w:cs="FangSong"/>
          <w:sz w:val="24"/>
          <w:szCs w:val="24"/>
          <w:spacing w:val="-2"/>
        </w:rPr>
        <w:t>。</w:t>
      </w:r>
    </w:p>
    <w:p>
      <w:pPr>
        <w:ind w:left="22"/>
        <w:spacing w:before="179" w:line="222" w:lineRule="auto"/>
        <w:outlineLvl w:val="2"/>
        <w:rPr>
          <w:rFonts w:ascii="FangSong" w:hAnsi="FangSong" w:eastAsia="FangSong" w:cs="FangSong"/>
          <w:sz w:val="24"/>
          <w:szCs w:val="24"/>
        </w:rPr>
      </w:pPr>
      <w:bookmarkStart w:name="bookmark208" w:id="285"/>
      <w:bookmarkEnd w:id="285"/>
      <w:bookmarkStart w:name="bookmark207" w:id="286"/>
      <w:bookmarkEnd w:id="286"/>
      <w:r>
        <w:rPr>
          <w:rFonts w:ascii="Times New Roman" w:hAnsi="Times New Roman" w:eastAsia="Times New Roman" w:cs="Times New Roman"/>
          <w:sz w:val="24"/>
          <w:szCs w:val="24"/>
          <w:b/>
          <w:bCs/>
          <w:spacing w:val="-5"/>
        </w:rPr>
        <w:t>5.1.2</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5"/>
        </w:rPr>
        <w:t>气候、气象</w:t>
      </w:r>
    </w:p>
    <w:p>
      <w:pPr>
        <w:ind w:left="29" w:firstLine="480"/>
        <w:spacing w:before="182" w:line="360" w:lineRule="auto"/>
        <w:jc w:val="both"/>
        <w:rPr>
          <w:rFonts w:ascii="FangSong" w:hAnsi="FangSong" w:eastAsia="FangSong" w:cs="FangSong"/>
          <w:sz w:val="24"/>
          <w:szCs w:val="24"/>
        </w:rPr>
      </w:pPr>
      <w:r>
        <w:rPr>
          <w:rFonts w:ascii="FangSong" w:hAnsi="FangSong" w:eastAsia="FangSong" w:cs="FangSong"/>
          <w:sz w:val="24"/>
          <w:szCs w:val="24"/>
          <w:spacing w:val="-3"/>
        </w:rPr>
        <w:t>本项目所在区域为半干旱气候，主要气候特征</w:t>
      </w:r>
      <w:r>
        <w:rPr>
          <w:rFonts w:ascii="FangSong" w:hAnsi="FangSong" w:eastAsia="FangSong" w:cs="FangSong"/>
          <w:sz w:val="24"/>
          <w:szCs w:val="24"/>
          <w:spacing w:val="-4"/>
        </w:rPr>
        <w:t>为：寒冷、干燥、多风，昼夜</w:t>
      </w:r>
      <w:r>
        <w:rPr>
          <w:rFonts w:ascii="FangSong" w:hAnsi="FangSong" w:eastAsia="FangSong" w:cs="FangSong"/>
          <w:sz w:val="24"/>
          <w:szCs w:val="24"/>
          <w:spacing w:val="-3"/>
        </w:rPr>
        <w:t>温差较大，表现为典型的大陆性气候。其特点是：夏季炎热、冬季</w:t>
      </w:r>
      <w:r>
        <w:rPr>
          <w:rFonts w:ascii="FangSong" w:hAnsi="FangSong" w:eastAsia="FangSong" w:cs="FangSong"/>
          <w:sz w:val="24"/>
          <w:szCs w:val="24"/>
          <w:spacing w:val="-4"/>
        </w:rPr>
        <w:t>寒冷，降水量</w:t>
      </w:r>
      <w:r>
        <w:rPr>
          <w:rFonts w:ascii="FangSong" w:hAnsi="FangSong" w:eastAsia="FangSong" w:cs="FangSong"/>
          <w:sz w:val="24"/>
          <w:szCs w:val="24"/>
          <w:spacing w:val="-1"/>
        </w:rPr>
        <w:t>小而集中，蒸发量大，空气干燥。据苏尼特右旗气象局</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2013-2022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年</w:t>
      </w:r>
      <w:r>
        <w:rPr>
          <w:rFonts w:ascii="FangSong" w:hAnsi="FangSong" w:eastAsia="FangSong" w:cs="FangSong"/>
          <w:sz w:val="24"/>
          <w:szCs w:val="24"/>
          <w:spacing w:val="-2"/>
        </w:rPr>
        <w:t>气象资料：</w:t>
      </w:r>
      <w:r>
        <w:rPr>
          <w:rFonts w:ascii="FangSong" w:hAnsi="FangSong" w:eastAsia="FangSong" w:cs="FangSong"/>
          <w:sz w:val="24"/>
          <w:szCs w:val="24"/>
          <w:spacing w:val="-9"/>
        </w:rPr>
        <w:t>年日最低气温</w:t>
      </w:r>
      <w:r>
        <w:rPr>
          <w:rFonts w:ascii="Times New Roman" w:hAnsi="Times New Roman" w:eastAsia="Times New Roman" w:cs="Times New Roman"/>
          <w:sz w:val="24"/>
          <w:szCs w:val="24"/>
          <w:spacing w:val="-9"/>
        </w:rPr>
        <w:t>-39.6</w:t>
      </w:r>
      <w:r>
        <w:rPr>
          <w:rFonts w:ascii="FangSong" w:hAnsi="FangSong" w:eastAsia="FangSong" w:cs="FangSong"/>
          <w:sz w:val="24"/>
          <w:szCs w:val="24"/>
          <w:spacing w:val="-9"/>
        </w:rPr>
        <w:t>℃</w:t>
      </w:r>
      <w:r>
        <w:rPr>
          <w:rFonts w:ascii="FangSong" w:hAnsi="FangSong" w:eastAsia="FangSong" w:cs="FangSong"/>
          <w:sz w:val="24"/>
          <w:szCs w:val="24"/>
          <w:spacing w:val="-87"/>
        </w:rPr>
        <w:t xml:space="preserve"> </w:t>
      </w:r>
      <w:r>
        <w:rPr>
          <w:rFonts w:ascii="FangSong" w:hAnsi="FangSong" w:eastAsia="FangSong" w:cs="FangSong"/>
          <w:sz w:val="24"/>
          <w:szCs w:val="24"/>
          <w:spacing w:val="-9"/>
        </w:rPr>
        <w:t>,</w:t>
      </w:r>
      <w:r>
        <w:rPr>
          <w:rFonts w:ascii="FangSong" w:hAnsi="FangSong" w:eastAsia="FangSong" w:cs="FangSong"/>
          <w:sz w:val="24"/>
          <w:szCs w:val="24"/>
          <w:spacing w:val="44"/>
        </w:rPr>
        <w:t xml:space="preserve"> </w:t>
      </w:r>
      <w:r>
        <w:rPr>
          <w:rFonts w:ascii="FangSong" w:hAnsi="FangSong" w:eastAsia="FangSong" w:cs="FangSong"/>
          <w:sz w:val="24"/>
          <w:szCs w:val="24"/>
          <w:spacing w:val="-9"/>
        </w:rPr>
        <w:t>最高</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39</w:t>
      </w:r>
      <w:r>
        <w:rPr>
          <w:rFonts w:ascii="FangSong" w:hAnsi="FangSong" w:eastAsia="FangSong" w:cs="FangSong"/>
          <w:sz w:val="24"/>
          <w:szCs w:val="24"/>
          <w:spacing w:val="-9"/>
        </w:rPr>
        <w:t>℃</w:t>
      </w:r>
      <w:r>
        <w:rPr>
          <w:rFonts w:ascii="FangSong" w:hAnsi="FangSong" w:eastAsia="FangSong" w:cs="FangSong"/>
          <w:sz w:val="24"/>
          <w:szCs w:val="24"/>
          <w:spacing w:val="-88"/>
        </w:rPr>
        <w:t xml:space="preserve"> </w:t>
      </w:r>
      <w:r>
        <w:rPr>
          <w:rFonts w:ascii="FangSong" w:hAnsi="FangSong" w:eastAsia="FangSong" w:cs="FangSong"/>
          <w:sz w:val="24"/>
          <w:szCs w:val="24"/>
          <w:spacing w:val="-9"/>
        </w:rPr>
        <w:t>,</w:t>
      </w:r>
      <w:r>
        <w:rPr>
          <w:rFonts w:ascii="FangSong" w:hAnsi="FangSong" w:eastAsia="FangSong" w:cs="FangSong"/>
          <w:sz w:val="24"/>
          <w:szCs w:val="24"/>
          <w:spacing w:val="42"/>
        </w:rPr>
        <w:t xml:space="preserve"> </w:t>
      </w:r>
      <w:r>
        <w:rPr>
          <w:rFonts w:ascii="FangSong" w:hAnsi="FangSong" w:eastAsia="FangSong" w:cs="FangSong"/>
          <w:sz w:val="24"/>
          <w:szCs w:val="24"/>
          <w:spacing w:val="-9"/>
        </w:rPr>
        <w:t>年平均气温</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4.3</w:t>
      </w:r>
      <w:r>
        <w:rPr>
          <w:rFonts w:ascii="FangSong" w:hAnsi="FangSong" w:eastAsia="FangSong" w:cs="FangSong"/>
          <w:sz w:val="24"/>
          <w:szCs w:val="24"/>
          <w:spacing w:val="-9"/>
        </w:rPr>
        <w:t>℃</w:t>
      </w:r>
      <w:r>
        <w:rPr>
          <w:rFonts w:ascii="FangSong" w:hAnsi="FangSong" w:eastAsia="FangSong" w:cs="FangSong"/>
          <w:sz w:val="24"/>
          <w:szCs w:val="24"/>
          <w:spacing w:val="-87"/>
        </w:rPr>
        <w:t xml:space="preserve"> </w:t>
      </w:r>
      <w:r>
        <w:rPr>
          <w:rFonts w:ascii="FangSong" w:hAnsi="FangSong" w:eastAsia="FangSong" w:cs="FangSong"/>
          <w:sz w:val="24"/>
          <w:szCs w:val="24"/>
          <w:spacing w:val="-9"/>
        </w:rPr>
        <w:t>,</w:t>
      </w:r>
      <w:r>
        <w:rPr>
          <w:rFonts w:ascii="FangSong" w:hAnsi="FangSong" w:eastAsia="FangSong" w:cs="FangSong"/>
          <w:sz w:val="24"/>
          <w:szCs w:val="24"/>
          <w:spacing w:val="41"/>
        </w:rPr>
        <w:t xml:space="preserve"> </w:t>
      </w:r>
      <w:r>
        <w:rPr>
          <w:rFonts w:ascii="FangSong" w:hAnsi="FangSong" w:eastAsia="FangSong" w:cs="FangSong"/>
          <w:sz w:val="24"/>
          <w:szCs w:val="24"/>
          <w:spacing w:val="-9"/>
        </w:rPr>
        <w:t>年温</w:t>
      </w:r>
      <w:r>
        <w:rPr>
          <w:rFonts w:ascii="FangSong" w:hAnsi="FangSong" w:eastAsia="FangSong" w:cs="FangSong"/>
          <w:sz w:val="24"/>
          <w:szCs w:val="24"/>
          <w:spacing w:val="-10"/>
        </w:rPr>
        <w:t>差达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0"/>
        </w:rPr>
        <w:t>74</w:t>
      </w:r>
      <w:r>
        <w:rPr>
          <w:rFonts w:ascii="FangSong" w:hAnsi="FangSong" w:eastAsia="FangSong" w:cs="FangSong"/>
          <w:sz w:val="24"/>
          <w:szCs w:val="24"/>
          <w:spacing w:val="-10"/>
        </w:rPr>
        <w:t>℃。冰冻期从</w:t>
      </w:r>
      <w:r>
        <w:rPr>
          <w:rFonts w:ascii="FangSong" w:hAnsi="FangSong" w:eastAsia="FangSong" w:cs="FangSong"/>
          <w:sz w:val="24"/>
          <w:szCs w:val="24"/>
          <w:spacing w:val="-10"/>
        </w:rPr>
        <w:t>九月底到翌年五月，长达八个月之久，冻土层厚约</w:t>
      </w:r>
      <w:r>
        <w:rPr>
          <w:rFonts w:ascii="Times New Roman" w:hAnsi="Times New Roman" w:eastAsia="Times New Roman" w:cs="Times New Roman"/>
          <w:sz w:val="24"/>
          <w:szCs w:val="24"/>
          <w:spacing w:val="-10"/>
        </w:rPr>
        <w:t>2.3m</w:t>
      </w:r>
      <w:r>
        <w:rPr>
          <w:rFonts w:ascii="FangSong" w:hAnsi="FangSong" w:eastAsia="FangSong" w:cs="FangSong"/>
          <w:sz w:val="24"/>
          <w:szCs w:val="24"/>
          <w:spacing w:val="-10"/>
        </w:rPr>
        <w:t>。年平均降水量</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10"/>
        </w:rPr>
        <w:t>16</w:t>
      </w:r>
      <w:r>
        <w:rPr>
          <w:rFonts w:ascii="Times New Roman" w:hAnsi="Times New Roman" w:eastAsia="Times New Roman" w:cs="Times New Roman"/>
          <w:sz w:val="24"/>
          <w:szCs w:val="24"/>
          <w:spacing w:val="-11"/>
        </w:rPr>
        <w:t>7.62mm</w:t>
      </w:r>
      <w:r>
        <w:rPr>
          <w:rFonts w:ascii="FangSong" w:hAnsi="FangSong" w:eastAsia="FangSong" w:cs="FangSong"/>
          <w:sz w:val="24"/>
          <w:szCs w:val="24"/>
          <w:spacing w:val="-11"/>
        </w:rPr>
        <w:t>，</w:t>
      </w:r>
      <w:r>
        <w:rPr>
          <w:rFonts w:ascii="FangSong" w:hAnsi="FangSong" w:eastAsia="FangSong" w:cs="FangSong"/>
          <w:sz w:val="24"/>
          <w:szCs w:val="24"/>
          <w:spacing w:val="-6"/>
        </w:rPr>
        <w:t>年最大降水量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239.</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10mm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6"/>
        </w:rPr>
        <w:t>，年最小降水量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105.40mm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FangSong" w:hAnsi="FangSong" w:eastAsia="FangSong" w:cs="FangSong"/>
          <w:sz w:val="24"/>
          <w:szCs w:val="24"/>
          <w:spacing w:val="-59"/>
        </w:rPr>
        <w:t xml:space="preserve"> </w:t>
      </w:r>
      <w:r>
        <w:rPr>
          <w:rFonts w:ascii="FangSong" w:hAnsi="FangSong" w:eastAsia="FangSong" w:cs="FangSong"/>
          <w:sz w:val="24"/>
          <w:szCs w:val="24"/>
          <w:spacing w:val="-6"/>
        </w:rPr>
        <w:t>日最大降水量</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60.2mm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6"/>
        </w:rPr>
        <w:t>，年</w:t>
      </w:r>
      <w:r>
        <w:rPr>
          <w:rFonts w:ascii="FangSong" w:hAnsi="FangSong" w:eastAsia="FangSong" w:cs="FangSong"/>
          <w:sz w:val="24"/>
          <w:szCs w:val="24"/>
        </w:rPr>
        <w:t>蒸发量高达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2423.9mm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6-8</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rPr>
        <w:t>月为雨季。区内水网不发育，无常年性地表水。区</w:t>
      </w:r>
      <w:r>
        <w:rPr>
          <w:rFonts w:ascii="FangSong" w:hAnsi="FangSong" w:eastAsia="FangSong" w:cs="FangSong"/>
          <w:sz w:val="24"/>
          <w:szCs w:val="24"/>
          <w:spacing w:val="-3"/>
        </w:rPr>
        <w:t>内风向以西北风为主，最大风速十级（</w:t>
      </w:r>
      <w:r>
        <w:rPr>
          <w:rFonts w:ascii="Times New Roman" w:hAnsi="Times New Roman" w:eastAsia="Times New Roman" w:cs="Times New Roman"/>
          <w:sz w:val="24"/>
          <w:szCs w:val="24"/>
          <w:spacing w:val="-3"/>
        </w:rPr>
        <w:t>28m/s</w:t>
      </w:r>
      <w:r>
        <w:rPr>
          <w:rFonts w:ascii="FangSong" w:hAnsi="FangSong" w:eastAsia="FangSong" w:cs="FangSong"/>
          <w:sz w:val="24"/>
          <w:szCs w:val="24"/>
          <w:spacing w:val="-2"/>
        </w:rPr>
        <w:t>），</w:t>
      </w:r>
      <w:r>
        <w:rPr>
          <w:rFonts w:ascii="FangSong" w:hAnsi="FangSong" w:eastAsia="FangSong" w:cs="FangSong"/>
          <w:sz w:val="24"/>
          <w:szCs w:val="24"/>
          <w:spacing w:val="-3"/>
        </w:rPr>
        <w:t>平均风速为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3"/>
        </w:rPr>
        <w:t>级（</w:t>
      </w:r>
      <w:r>
        <w:rPr>
          <w:rFonts w:ascii="Times New Roman" w:hAnsi="Times New Roman" w:eastAsia="Times New Roman" w:cs="Times New Roman"/>
          <w:sz w:val="24"/>
          <w:szCs w:val="24"/>
          <w:spacing w:val="-3"/>
        </w:rPr>
        <w:t>15m/s</w:t>
      </w:r>
      <w:r>
        <w:rPr>
          <w:rFonts w:ascii="FangSong" w:hAnsi="FangSong" w:eastAsia="FangSong" w:cs="FangSong"/>
          <w:sz w:val="24"/>
          <w:szCs w:val="24"/>
          <w:spacing w:val="-2"/>
        </w:rPr>
        <w:t>），</w:t>
      </w:r>
      <w:r>
        <w:rPr>
          <w:rFonts w:ascii="FangSong" w:hAnsi="FangSong" w:eastAsia="FangSong" w:cs="FangSong"/>
          <w:sz w:val="24"/>
          <w:szCs w:val="24"/>
          <w:spacing w:val="-3"/>
        </w:rPr>
        <w:t>冬</w:t>
      </w:r>
      <w:r>
        <w:rPr>
          <w:rFonts w:ascii="FangSong" w:hAnsi="FangSong" w:eastAsia="FangSong" w:cs="FangSong"/>
          <w:sz w:val="24"/>
          <w:szCs w:val="24"/>
          <w:spacing w:val="-5"/>
        </w:rPr>
        <w:t>春季节（每年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5"/>
        </w:rPr>
        <w:t>月</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次年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5"/>
        </w:rPr>
        <w:t>月）多强风沙天</w:t>
      </w:r>
      <w:r>
        <w:rPr>
          <w:rFonts w:ascii="FangSong" w:hAnsi="FangSong" w:eastAsia="FangSong" w:cs="FangSong"/>
          <w:sz w:val="24"/>
          <w:szCs w:val="24"/>
          <w:spacing w:val="-6"/>
        </w:rPr>
        <w:t>气。</w:t>
      </w:r>
    </w:p>
    <w:p>
      <w:pPr>
        <w:spacing w:line="360" w:lineRule="auto"/>
        <w:sectPr>
          <w:headerReference w:type="default" r:id="rId52"/>
          <w:footerReference w:type="default" r:id="rId208"/>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3" w:lineRule="auto"/>
        <w:outlineLvl w:val="2"/>
        <w:rPr>
          <w:rFonts w:ascii="FangSong" w:hAnsi="FangSong" w:eastAsia="FangSong" w:cs="FangSong"/>
          <w:sz w:val="24"/>
          <w:szCs w:val="24"/>
        </w:rPr>
      </w:pPr>
      <w:bookmarkStart w:name="bookmark210" w:id="287"/>
      <w:bookmarkEnd w:id="287"/>
      <w:bookmarkStart w:name="bookmark209" w:id="288"/>
      <w:bookmarkEnd w:id="288"/>
      <w:r>
        <w:rPr>
          <w:rFonts w:ascii="Times New Roman" w:hAnsi="Times New Roman" w:eastAsia="Times New Roman" w:cs="Times New Roman"/>
          <w:sz w:val="24"/>
          <w:szCs w:val="24"/>
          <w:b/>
          <w:bCs/>
          <w:spacing w:val="-4"/>
        </w:rPr>
        <w:t>5.1.3</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4"/>
        </w:rPr>
        <w:t>地形、地貌</w:t>
      </w:r>
    </w:p>
    <w:p>
      <w:pPr>
        <w:ind w:left="31" w:firstLine="479"/>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本项目所在区域地处内蒙古中北部的锡林郭勒</w:t>
      </w:r>
      <w:r>
        <w:rPr>
          <w:rFonts w:ascii="FangSong" w:hAnsi="FangSong" w:eastAsia="FangSong" w:cs="FangSong"/>
          <w:sz w:val="24"/>
          <w:szCs w:val="24"/>
          <w:spacing w:val="-4"/>
        </w:rPr>
        <w:t>草原草原区，本项目所在区域</w:t>
      </w:r>
      <w:r>
        <w:rPr>
          <w:rFonts w:ascii="FangSong" w:hAnsi="FangSong" w:eastAsia="FangSong" w:cs="FangSong"/>
          <w:sz w:val="24"/>
          <w:szCs w:val="24"/>
          <w:spacing w:val="-2"/>
        </w:rPr>
        <w:t>海拔高度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1007-1065m</w:t>
      </w:r>
      <w:r>
        <w:rPr>
          <w:rFonts w:ascii="FangSong" w:hAnsi="FangSong" w:eastAsia="FangSong" w:cs="FangSong"/>
          <w:sz w:val="24"/>
          <w:szCs w:val="24"/>
          <w:spacing w:val="-2"/>
        </w:rPr>
        <w:t>，相对高差</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58m</w:t>
      </w:r>
      <w:r>
        <w:rPr>
          <w:rFonts w:ascii="FangSong" w:hAnsi="FangSong" w:eastAsia="FangSong" w:cs="FangSong"/>
          <w:sz w:val="24"/>
          <w:szCs w:val="24"/>
          <w:spacing w:val="-2"/>
        </w:rPr>
        <w:t>。最高点位于勘查</w:t>
      </w:r>
      <w:r>
        <w:rPr>
          <w:rFonts w:ascii="FangSong" w:hAnsi="FangSong" w:eastAsia="FangSong" w:cs="FangSong"/>
          <w:sz w:val="24"/>
          <w:szCs w:val="24"/>
          <w:spacing w:val="-3"/>
        </w:rPr>
        <w:t>区南端石英斑岩出露处，</w:t>
      </w:r>
      <w:r>
        <w:rPr>
          <w:rFonts w:ascii="FangSong" w:hAnsi="FangSong" w:eastAsia="FangSong" w:cs="FangSong"/>
          <w:sz w:val="24"/>
          <w:szCs w:val="24"/>
          <w:spacing w:val="-5"/>
        </w:rPr>
        <w:t>最低点位置处于本项目所在区域北部一干涸水塘处。最低侵蚀基准面标高</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5"/>
        </w:rPr>
        <w:t>1007m</w:t>
      </w:r>
      <w:r>
        <w:rPr>
          <w:rFonts w:ascii="FangSong" w:hAnsi="FangSong" w:eastAsia="FangSong" w:cs="FangSong"/>
          <w:sz w:val="24"/>
          <w:szCs w:val="24"/>
          <w:spacing w:val="-5"/>
        </w:rPr>
        <w:t>。</w:t>
      </w:r>
      <w:r>
        <w:rPr>
          <w:rFonts w:ascii="FangSong" w:hAnsi="FangSong" w:eastAsia="FangSong" w:cs="FangSong"/>
          <w:sz w:val="24"/>
          <w:szCs w:val="24"/>
          <w:spacing w:val="-3"/>
        </w:rPr>
        <w:t>区内地形总体北高南低，基岩地形切割较浅，植被较发育且绝</w:t>
      </w:r>
      <w:r>
        <w:rPr>
          <w:rFonts w:ascii="FangSong" w:hAnsi="FangSong" w:eastAsia="FangSong" w:cs="FangSong"/>
          <w:sz w:val="24"/>
          <w:szCs w:val="24"/>
          <w:spacing w:val="-4"/>
        </w:rPr>
        <w:t>大部分被第四系砂</w:t>
      </w:r>
      <w:r>
        <w:rPr>
          <w:rFonts w:ascii="FangSong" w:hAnsi="FangSong" w:eastAsia="FangSong" w:cs="FangSong"/>
          <w:sz w:val="24"/>
          <w:szCs w:val="24"/>
          <w:spacing w:val="-2"/>
        </w:rPr>
        <w:t>土覆盖。区内属锡林郭勒草原区，按地貌单元类型划分属高原低山</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平缓草原区。</w:t>
      </w:r>
    </w:p>
    <w:p>
      <w:pPr>
        <w:ind w:left="22"/>
        <w:spacing w:line="223" w:lineRule="auto"/>
        <w:outlineLvl w:val="2"/>
        <w:rPr>
          <w:rFonts w:ascii="FangSong" w:hAnsi="FangSong" w:eastAsia="FangSong" w:cs="FangSong"/>
          <w:sz w:val="24"/>
          <w:szCs w:val="24"/>
        </w:rPr>
      </w:pPr>
      <w:bookmarkStart w:name="bookmark212" w:id="289"/>
      <w:bookmarkEnd w:id="289"/>
      <w:bookmarkStart w:name="bookmark211" w:id="290"/>
      <w:bookmarkEnd w:id="290"/>
      <w:r>
        <w:rPr>
          <w:rFonts w:ascii="Times New Roman" w:hAnsi="Times New Roman" w:eastAsia="Times New Roman" w:cs="Times New Roman"/>
          <w:sz w:val="24"/>
          <w:szCs w:val="24"/>
          <w:b/>
          <w:bCs/>
          <w:spacing w:val="-5"/>
        </w:rPr>
        <w:t>5.1.4</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b/>
          <w:bCs/>
          <w:spacing w:val="-5"/>
        </w:rPr>
        <w:t>河流水系</w:t>
      </w:r>
    </w:p>
    <w:p>
      <w:pPr>
        <w:ind w:left="30" w:right="164" w:firstLine="485"/>
        <w:spacing w:before="177" w:line="360" w:lineRule="auto"/>
        <w:jc w:val="both"/>
        <w:rPr>
          <w:rFonts w:ascii="FangSong" w:hAnsi="FangSong" w:eastAsia="FangSong" w:cs="FangSong"/>
          <w:sz w:val="24"/>
          <w:szCs w:val="24"/>
        </w:rPr>
      </w:pPr>
      <w:r>
        <w:rPr>
          <w:rFonts w:ascii="FangSong" w:hAnsi="FangSong" w:eastAsia="FangSong" w:cs="FangSong"/>
          <w:sz w:val="24"/>
          <w:szCs w:val="24"/>
          <w:spacing w:val="-2"/>
        </w:rPr>
        <w:t>苏尼特右旗由于深居内陆，地处高原、缺乏各种形态的地表水。有湖泊</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300</w:t>
      </w:r>
      <w:r>
        <w:rPr>
          <w:rFonts w:ascii="FangSong" w:hAnsi="FangSong" w:eastAsia="FangSong" w:cs="FangSong"/>
          <w:sz w:val="24"/>
          <w:szCs w:val="24"/>
          <w:spacing w:val="-3"/>
        </w:rPr>
        <w:t>多处，但大多是雨季暂时存水，其它季节多处于干涸状态。南部</w:t>
      </w:r>
      <w:r>
        <w:rPr>
          <w:rFonts w:ascii="FangSong" w:hAnsi="FangSong" w:eastAsia="FangSong" w:cs="FangSong"/>
          <w:sz w:val="24"/>
          <w:szCs w:val="24"/>
          <w:spacing w:val="-4"/>
        </w:rPr>
        <w:t>山谷间虽有些河</w:t>
      </w:r>
      <w:r>
        <w:rPr>
          <w:rFonts w:ascii="FangSong" w:hAnsi="FangSong" w:eastAsia="FangSong" w:cs="FangSong"/>
          <w:sz w:val="24"/>
          <w:szCs w:val="24"/>
          <w:spacing w:val="-3"/>
        </w:rPr>
        <w:t>床，除雨季会出现洪水外，其它时间无水或水少。地下水位深、</w:t>
      </w:r>
      <w:r>
        <w:rPr>
          <w:rFonts w:ascii="FangSong" w:hAnsi="FangSong" w:eastAsia="FangSong" w:cs="FangSong"/>
          <w:sz w:val="24"/>
          <w:szCs w:val="24"/>
          <w:spacing w:val="-4"/>
        </w:rPr>
        <w:t>贮量少，其流向</w:t>
      </w:r>
      <w:r>
        <w:rPr>
          <w:rFonts w:ascii="FangSong" w:hAnsi="FangSong" w:eastAsia="FangSong" w:cs="FangSong"/>
          <w:sz w:val="24"/>
          <w:szCs w:val="24"/>
          <w:spacing w:val="-2"/>
        </w:rPr>
        <w:t>与整个地势相一致，含水层埋藏深度从南向北由深至浅，降水少，地表水</w:t>
      </w:r>
      <w:r>
        <w:rPr>
          <w:rFonts w:ascii="FangSong" w:hAnsi="FangSong" w:eastAsia="FangSong" w:cs="FangSong"/>
          <w:sz w:val="24"/>
          <w:szCs w:val="24"/>
          <w:spacing w:val="-3"/>
        </w:rPr>
        <w:t>贫乏，</w:t>
      </w:r>
      <w:r>
        <w:rPr>
          <w:rFonts w:ascii="FangSong" w:hAnsi="FangSong" w:eastAsia="FangSong" w:cs="FangSong"/>
          <w:sz w:val="24"/>
          <w:szCs w:val="24"/>
          <w:spacing w:val="-2"/>
        </w:rPr>
        <w:t>地下水不稳定，深层水开发困难，在一些地区形成缺水草场。境内无长年</w:t>
      </w:r>
      <w:r>
        <w:rPr>
          <w:rFonts w:ascii="FangSong" w:hAnsi="FangSong" w:eastAsia="FangSong" w:cs="FangSong"/>
          <w:sz w:val="24"/>
          <w:szCs w:val="24"/>
          <w:spacing w:val="-3"/>
        </w:rPr>
        <w:t>河流，</w:t>
      </w:r>
      <w:r>
        <w:rPr>
          <w:rFonts w:ascii="FangSong" w:hAnsi="FangSong" w:eastAsia="FangSong" w:cs="FangSong"/>
          <w:sz w:val="24"/>
          <w:szCs w:val="24"/>
          <w:spacing w:val="-1"/>
        </w:rPr>
        <w:t>地表水贫乏，地下水资源分布不均匀且埋藏较深。</w:t>
      </w:r>
    </w:p>
    <w:p>
      <w:pPr>
        <w:ind w:left="36" w:right="203" w:firstLine="474"/>
        <w:spacing w:before="1" w:line="359" w:lineRule="auto"/>
        <w:rPr>
          <w:rFonts w:ascii="FangSong" w:hAnsi="FangSong" w:eastAsia="FangSong" w:cs="FangSong"/>
          <w:sz w:val="24"/>
          <w:szCs w:val="24"/>
        </w:rPr>
      </w:pPr>
      <w:r>
        <w:rPr>
          <w:rFonts w:ascii="FangSong" w:hAnsi="FangSong" w:eastAsia="FangSong" w:cs="FangSong"/>
          <w:sz w:val="24"/>
          <w:szCs w:val="24"/>
          <w:spacing w:val="-2"/>
        </w:rPr>
        <w:t>本矿区属地势较平坦，区内切割微弱，多呈开阔的</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U</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”型谷地，水系不发</w:t>
      </w:r>
      <w:r>
        <w:rPr>
          <w:rFonts w:ascii="FangSong" w:hAnsi="FangSong" w:eastAsia="FangSong" w:cs="FangSong"/>
          <w:sz w:val="24"/>
          <w:szCs w:val="24"/>
          <w:spacing w:val="-1"/>
        </w:rPr>
        <w:t>育，无常年性地表水体，仅在雨季形成季节性小溪及小湖泊。</w:t>
      </w:r>
    </w:p>
    <w:p>
      <w:pPr>
        <w:ind w:left="22"/>
        <w:spacing w:before="1" w:line="223" w:lineRule="auto"/>
        <w:outlineLvl w:val="2"/>
        <w:rPr>
          <w:rFonts w:ascii="FangSong" w:hAnsi="FangSong" w:eastAsia="FangSong" w:cs="FangSong"/>
          <w:sz w:val="24"/>
          <w:szCs w:val="24"/>
        </w:rPr>
      </w:pPr>
      <w:bookmarkStart w:name="bookmark214" w:id="291"/>
      <w:bookmarkEnd w:id="291"/>
      <w:bookmarkStart w:name="bookmark213" w:id="292"/>
      <w:bookmarkEnd w:id="292"/>
      <w:r>
        <w:rPr>
          <w:rFonts w:ascii="Times New Roman" w:hAnsi="Times New Roman" w:eastAsia="Times New Roman" w:cs="Times New Roman"/>
          <w:sz w:val="24"/>
          <w:szCs w:val="24"/>
          <w:b/>
          <w:bCs/>
          <w:spacing w:val="-7"/>
        </w:rPr>
        <w:t>5.1.5   </w:t>
      </w:r>
      <w:r>
        <w:rPr>
          <w:rFonts w:ascii="FangSong" w:hAnsi="FangSong" w:eastAsia="FangSong" w:cs="FangSong"/>
          <w:sz w:val="24"/>
          <w:szCs w:val="24"/>
          <w:b/>
          <w:bCs/>
          <w:spacing w:val="-7"/>
        </w:rPr>
        <w:t>自然资源</w:t>
      </w:r>
    </w:p>
    <w:p>
      <w:pPr>
        <w:ind w:left="514"/>
        <w:spacing w:before="178" w:line="22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）矿产资源</w:t>
      </w:r>
    </w:p>
    <w:p>
      <w:pPr>
        <w:ind w:left="29" w:right="203" w:firstLine="486"/>
        <w:spacing w:before="177" w:line="360" w:lineRule="auto"/>
        <w:rPr>
          <w:rFonts w:ascii="FangSong" w:hAnsi="FangSong" w:eastAsia="FangSong" w:cs="FangSong"/>
          <w:sz w:val="24"/>
          <w:szCs w:val="24"/>
        </w:rPr>
      </w:pPr>
      <w:r>
        <w:rPr>
          <w:rFonts w:ascii="FangSong" w:hAnsi="FangSong" w:eastAsia="FangSong" w:cs="FangSong"/>
          <w:sz w:val="24"/>
          <w:szCs w:val="24"/>
          <w:spacing w:val="-4"/>
        </w:rPr>
        <w:t>苏尼特右旗矿产资源比较丰富，目前已发现的矿产资源有能源矿产，黑色金</w:t>
      </w:r>
      <w:r>
        <w:rPr>
          <w:rFonts w:ascii="FangSong" w:hAnsi="FangSong" w:eastAsia="FangSong" w:cs="FangSong"/>
          <w:sz w:val="24"/>
          <w:szCs w:val="24"/>
          <w:spacing w:val="-3"/>
        </w:rPr>
        <w:t>属矿产，有色金属矿产，贵金属矿产，稀散元素、冶金辅助原料矿</w:t>
      </w:r>
      <w:r>
        <w:rPr>
          <w:rFonts w:ascii="FangSong" w:hAnsi="FangSong" w:eastAsia="FangSong" w:cs="FangSong"/>
          <w:sz w:val="24"/>
          <w:szCs w:val="24"/>
          <w:spacing w:val="-4"/>
        </w:rPr>
        <w:t>产、化工原料</w:t>
      </w:r>
      <w:r>
        <w:rPr>
          <w:rFonts w:ascii="FangSong" w:hAnsi="FangSong" w:eastAsia="FangSong" w:cs="FangSong"/>
          <w:sz w:val="24"/>
          <w:szCs w:val="24"/>
          <w:spacing w:val="-4"/>
        </w:rPr>
        <w:t>矿产、建筑材料、非金属矿产及水气矿产等，共十大类，</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5"/>
        </w:rPr>
        <w:t>种矿产，</w:t>
      </w:r>
      <w:r>
        <w:rPr>
          <w:rFonts w:ascii="Times New Roman" w:hAnsi="Times New Roman" w:eastAsia="Times New Roman" w:cs="Times New Roman"/>
          <w:sz w:val="24"/>
          <w:szCs w:val="24"/>
          <w:spacing w:val="-5"/>
        </w:rPr>
        <w:t>120</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多处矿</w:t>
      </w:r>
      <w:r>
        <w:rPr>
          <w:rFonts w:ascii="FangSong" w:hAnsi="FangSong" w:eastAsia="FangSong" w:cs="FangSong"/>
          <w:sz w:val="24"/>
          <w:szCs w:val="24"/>
          <w:spacing w:val="-6"/>
        </w:rPr>
        <w:t>产地。</w:t>
      </w:r>
    </w:p>
    <w:p>
      <w:pPr>
        <w:ind w:left="31" w:right="203"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3"/>
        </w:rPr>
        <w:t>在已知的矿产地中，探明矿床规模的有</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余</w:t>
      </w:r>
      <w:r>
        <w:rPr>
          <w:rFonts w:ascii="FangSong" w:hAnsi="FangSong" w:eastAsia="FangSong" w:cs="FangSong"/>
          <w:sz w:val="24"/>
          <w:szCs w:val="24"/>
          <w:spacing w:val="-4"/>
        </w:rPr>
        <w:t>处，有</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15</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种矿产资源获得了不</w:t>
      </w:r>
      <w:r>
        <w:rPr>
          <w:rFonts w:ascii="FangSong" w:hAnsi="FangSong" w:eastAsia="FangSong" w:cs="FangSong"/>
          <w:sz w:val="24"/>
          <w:szCs w:val="24"/>
          <w:spacing w:val="-4"/>
        </w:rPr>
        <w:t>同级别的储量，主要有石油</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4"/>
        </w:rPr>
        <w:t>2000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，萤石矿</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4"/>
        </w:rPr>
        <w:t>1.6</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4"/>
        </w:rPr>
        <w:t>亿</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、碱</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4000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、芒硝</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414</w:t>
      </w:r>
      <w:r>
        <w:rPr>
          <w:rFonts w:ascii="FangSong" w:hAnsi="FangSong" w:eastAsia="FangSong" w:cs="FangSong"/>
          <w:sz w:val="24"/>
          <w:szCs w:val="24"/>
          <w:spacing w:val="-8"/>
        </w:rPr>
        <w:t>万</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8"/>
        </w:rPr>
        <w:t>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、铜</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8"/>
        </w:rPr>
        <w:t>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8"/>
        </w:rPr>
        <w:t>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、金</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8"/>
        </w:rPr>
        <w:t>吨、锰</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8"/>
        </w:rPr>
        <w:t>53</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8"/>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8"/>
        </w:rPr>
        <w:t>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、蛇文岩</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8"/>
        </w:rPr>
        <w:t>521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8"/>
        </w:rPr>
        <w:t>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8"/>
        </w:rPr>
        <w:t>t</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8"/>
        </w:rPr>
        <w:t>、萤石</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8"/>
        </w:rPr>
        <w:t>60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8"/>
        </w:rPr>
        <w:t>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。现已开采</w:t>
      </w:r>
      <w:r>
        <w:rPr>
          <w:rFonts w:ascii="FangSong" w:hAnsi="FangSong" w:eastAsia="FangSong" w:cs="FangSong"/>
          <w:sz w:val="24"/>
          <w:szCs w:val="24"/>
          <w:spacing w:val="-1"/>
        </w:rPr>
        <w:t>的主要有金矿、铁矿、碱矿、石油、石灰石等。</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）植物资源</w:t>
      </w:r>
    </w:p>
    <w:p>
      <w:pPr>
        <w:ind w:left="31" w:right="120" w:firstLine="484"/>
        <w:spacing w:before="182" w:line="360" w:lineRule="auto"/>
        <w:rPr>
          <w:rFonts w:ascii="FangSong" w:hAnsi="FangSong" w:eastAsia="FangSong" w:cs="FangSong"/>
          <w:sz w:val="24"/>
          <w:szCs w:val="24"/>
        </w:rPr>
      </w:pPr>
      <w:r>
        <w:rPr>
          <w:rFonts w:ascii="FangSong" w:hAnsi="FangSong" w:eastAsia="FangSong" w:cs="FangSong"/>
          <w:sz w:val="24"/>
          <w:szCs w:val="24"/>
          <w:spacing w:val="-8"/>
        </w:rPr>
        <w:t>苏尼特右旗植被为典型草原区。主要分布在其境内的中部、西部和北部</w:t>
      </w:r>
      <w:r>
        <w:rPr>
          <w:rFonts w:ascii="FangSong" w:hAnsi="FangSong" w:eastAsia="FangSong" w:cs="FangSong"/>
          <w:sz w:val="24"/>
          <w:szCs w:val="24"/>
          <w:spacing w:val="-9"/>
        </w:rPr>
        <w:t>地区。</w:t>
      </w:r>
      <w:r>
        <w:rPr>
          <w:rFonts w:ascii="FangSong" w:hAnsi="FangSong" w:eastAsia="FangSong" w:cs="FangSong"/>
          <w:sz w:val="24"/>
          <w:szCs w:val="24"/>
          <w:spacing w:val="-1"/>
        </w:rPr>
        <w:t>主要植被为小灌木、禾草类。丘间低地，干河道和湖盆洼地上主要植被有沙柳、</w:t>
      </w:r>
      <w:r>
        <w:rPr>
          <w:rFonts w:ascii="FangSong" w:hAnsi="FangSong" w:eastAsia="FangSong" w:cs="FangSong"/>
          <w:sz w:val="24"/>
          <w:szCs w:val="24"/>
          <w:spacing w:val="-3"/>
        </w:rPr>
        <w:t>芦苇、芨芨草、苔草、白刺、红砂、柠条锦鸡、盐爪爪、马莲</w:t>
      </w:r>
      <w:r>
        <w:rPr>
          <w:rFonts w:ascii="FangSong" w:hAnsi="FangSong" w:eastAsia="FangSong" w:cs="FangSong"/>
          <w:sz w:val="24"/>
          <w:szCs w:val="24"/>
          <w:spacing w:val="-4"/>
        </w:rPr>
        <w:t>等。森林植被包括</w:t>
      </w:r>
    </w:p>
    <w:p>
      <w:pPr>
        <w:spacing w:line="360" w:lineRule="auto"/>
        <w:sectPr>
          <w:footerReference w:type="default" r:id="rId209"/>
          <w:pgSz w:w="11906" w:h="16839"/>
          <w:pgMar w:top="400" w:right="159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27" w:firstLine="3"/>
        <w:spacing w:before="78" w:line="359" w:lineRule="auto"/>
        <w:jc w:val="both"/>
        <w:rPr>
          <w:rFonts w:ascii="FangSong" w:hAnsi="FangSong" w:eastAsia="FangSong" w:cs="FangSong"/>
          <w:sz w:val="24"/>
          <w:szCs w:val="24"/>
        </w:rPr>
      </w:pPr>
      <w:r>
        <w:rPr>
          <w:rFonts w:ascii="FangSong" w:hAnsi="FangSong" w:eastAsia="FangSong" w:cs="FangSong"/>
          <w:sz w:val="24"/>
          <w:szCs w:val="24"/>
          <w:spacing w:val="-3"/>
        </w:rPr>
        <w:t>天然林和人工林。天然林重要分布在呼木苏木、额仁卓尔苏木等</w:t>
      </w:r>
      <w:r>
        <w:rPr>
          <w:rFonts w:ascii="FangSong" w:hAnsi="FangSong" w:eastAsia="FangSong" w:cs="FangSong"/>
          <w:sz w:val="24"/>
          <w:szCs w:val="24"/>
          <w:spacing w:val="-4"/>
        </w:rPr>
        <w:t>地，各地都有零</w:t>
      </w:r>
      <w:r>
        <w:rPr>
          <w:rFonts w:ascii="FangSong" w:hAnsi="FangSong" w:eastAsia="FangSong" w:cs="FangSong"/>
          <w:sz w:val="24"/>
          <w:szCs w:val="24"/>
          <w:spacing w:val="-3"/>
        </w:rPr>
        <w:t>星分布，主要树种为榆树、山杏和柳树等。人工林主要分布在赛汉镇西南</w:t>
      </w:r>
      <w:r>
        <w:rPr>
          <w:rFonts w:ascii="FangSong" w:hAnsi="FangSong" w:eastAsia="FangSong" w:cs="FangSong"/>
          <w:sz w:val="24"/>
          <w:szCs w:val="24"/>
          <w:spacing w:val="-4"/>
        </w:rPr>
        <w:t>部，白</w:t>
      </w:r>
      <w:r>
        <w:rPr>
          <w:rFonts w:ascii="FangSong" w:hAnsi="FangSong" w:eastAsia="FangSong" w:cs="FangSong"/>
          <w:sz w:val="24"/>
          <w:szCs w:val="24"/>
          <w:spacing w:val="-8"/>
        </w:rPr>
        <w:t>音哈尔林场分场。苏尼特右旗境内野生经济植物种类也比较多，以药用植物居多，</w:t>
      </w:r>
      <w:r>
        <w:rPr>
          <w:rFonts w:ascii="FangSong" w:hAnsi="FangSong" w:eastAsia="FangSong" w:cs="FangSong"/>
          <w:sz w:val="24"/>
          <w:szCs w:val="24"/>
        </w:rPr>
        <w:t>有麻黄草、甘草、知母、天冬等，食用菌及</w:t>
      </w:r>
      <w:r>
        <w:rPr>
          <w:rFonts w:ascii="FangSong" w:hAnsi="FangSong" w:eastAsia="FangSong" w:cs="FangSong"/>
          <w:sz w:val="24"/>
          <w:szCs w:val="24"/>
          <w:spacing w:val="-1"/>
        </w:rPr>
        <w:t>食用植物有发菜、蘑菇、蕨菜等。</w:t>
      </w:r>
    </w:p>
    <w:p>
      <w:pPr>
        <w:ind w:left="29" w:right="65" w:firstLine="501"/>
        <w:spacing w:before="4" w:line="351" w:lineRule="auto"/>
        <w:jc w:val="both"/>
        <w:rPr>
          <w:rFonts w:ascii="FangSong" w:hAnsi="FangSong" w:eastAsia="FangSong" w:cs="FangSong"/>
          <w:sz w:val="24"/>
          <w:szCs w:val="24"/>
        </w:rPr>
      </w:pPr>
      <w:r>
        <w:rPr>
          <w:rFonts w:ascii="FangSong" w:hAnsi="FangSong" w:eastAsia="FangSong" w:cs="FangSong"/>
          <w:sz w:val="24"/>
          <w:szCs w:val="24"/>
          <w:spacing w:val="-4"/>
        </w:rPr>
        <w:t>区域内植被类型单一、群落结构简单，典型草原植被是公路沿线地区的主要</w:t>
      </w:r>
      <w:r>
        <w:rPr>
          <w:rFonts w:ascii="FangSong" w:hAnsi="FangSong" w:eastAsia="FangSong" w:cs="FangSong"/>
          <w:sz w:val="24"/>
          <w:szCs w:val="24"/>
          <w:spacing w:val="11"/>
        </w:rPr>
        <w:t>植被类型，植被组成主要有：小叶锦鸡儿、克氏针茅、羊草等。植被覆盖度</w:t>
      </w:r>
      <w:r>
        <w:rPr>
          <w:rFonts w:ascii="Times New Roman" w:hAnsi="Times New Roman" w:eastAsia="Times New Roman" w:cs="Times New Roman"/>
          <w:sz w:val="24"/>
          <w:szCs w:val="24"/>
          <w:spacing w:val="-3"/>
        </w:rPr>
        <w:t>10%-20%</w:t>
      </w:r>
      <w:r>
        <w:rPr>
          <w:rFonts w:ascii="FangSong" w:hAnsi="FangSong" w:eastAsia="FangSong" w:cs="FangSong"/>
          <w:sz w:val="24"/>
          <w:szCs w:val="24"/>
          <w:spacing w:val="-3"/>
        </w:rPr>
        <w:t>。</w:t>
      </w:r>
    </w:p>
    <w:p>
      <w:pPr>
        <w:ind w:left="514"/>
        <w:spacing w:before="33" w:line="224"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）土壤资源</w:t>
      </w:r>
    </w:p>
    <w:p>
      <w:pPr>
        <w:ind w:left="28" w:firstLine="488"/>
        <w:spacing w:before="177" w:line="360" w:lineRule="auto"/>
        <w:rPr>
          <w:rFonts w:ascii="FangSong" w:hAnsi="FangSong" w:eastAsia="FangSong" w:cs="FangSong"/>
          <w:sz w:val="24"/>
          <w:szCs w:val="24"/>
        </w:rPr>
      </w:pPr>
      <w:r>
        <w:rPr>
          <w:rFonts w:ascii="FangSong" w:hAnsi="FangSong" w:eastAsia="FangSong" w:cs="FangSong"/>
          <w:sz w:val="24"/>
          <w:szCs w:val="24"/>
          <w:spacing w:val="-2"/>
        </w:rPr>
        <w:t>苏尼特右旗地处干旱、半荒漠地区，降水量很少，蒸发量大，风大频度高，</w:t>
      </w:r>
      <w:r>
        <w:rPr>
          <w:rFonts w:ascii="FangSong" w:hAnsi="FangSong" w:eastAsia="FangSong" w:cs="FangSong"/>
          <w:sz w:val="24"/>
          <w:szCs w:val="24"/>
          <w:spacing w:val="-1"/>
        </w:rPr>
        <w:t>在这种条件下，形成的土壤为草原土，其特点是具有腐殖质</w:t>
      </w:r>
      <w:r>
        <w:rPr>
          <w:rFonts w:ascii="FangSong" w:hAnsi="FangSong" w:eastAsia="FangSong" w:cs="FangSong"/>
          <w:sz w:val="24"/>
          <w:szCs w:val="24"/>
          <w:spacing w:val="-2"/>
        </w:rPr>
        <w:t>积累与钙积化过程。</w:t>
      </w:r>
      <w:r>
        <w:rPr>
          <w:rFonts w:ascii="FangSong" w:hAnsi="FangSong" w:eastAsia="FangSong" w:cs="FangSong"/>
          <w:sz w:val="24"/>
          <w:szCs w:val="24"/>
          <w:spacing w:val="-2"/>
        </w:rPr>
        <w:t>根据土壤普查资料，分为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2"/>
        </w:rPr>
        <w:t>个土类，</w:t>
      </w:r>
      <w:r>
        <w:rPr>
          <w:rFonts w:ascii="Times New Roman" w:hAnsi="Times New Roman" w:eastAsia="Times New Roman" w:cs="Times New Roman"/>
          <w:sz w:val="24"/>
          <w:szCs w:val="24"/>
          <w:spacing w:val="-2"/>
        </w:rPr>
        <w:t>17</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个亚类，</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个土属。从整体上来看以朱</w:t>
      </w:r>
      <w:r>
        <w:rPr>
          <w:rFonts w:ascii="FangSong" w:hAnsi="FangSong" w:eastAsia="FangSong" w:cs="FangSong"/>
          <w:sz w:val="24"/>
          <w:szCs w:val="24"/>
          <w:spacing w:val="-3"/>
        </w:rPr>
        <w:t>日和为界分南（栗钙土）北（棕钙土）两个地带性土壤。隐域性土壤有</w:t>
      </w:r>
      <w:r>
        <w:rPr>
          <w:rFonts w:ascii="FangSong" w:hAnsi="FangSong" w:eastAsia="FangSong" w:cs="FangSong"/>
          <w:sz w:val="24"/>
          <w:szCs w:val="24"/>
          <w:spacing w:val="-4"/>
        </w:rPr>
        <w:t>灰色草甸</w:t>
      </w:r>
      <w:r>
        <w:rPr>
          <w:rFonts w:ascii="FangSong" w:hAnsi="FangSong" w:eastAsia="FangSong" w:cs="FangSong"/>
          <w:sz w:val="24"/>
          <w:szCs w:val="24"/>
          <w:spacing w:val="-1"/>
        </w:rPr>
        <w:t>土、沼泽土、盐土、碱土、风沙土和潮土。土壤肥力总的状</w:t>
      </w:r>
      <w:r>
        <w:rPr>
          <w:rFonts w:ascii="FangSong" w:hAnsi="FangSong" w:eastAsia="FangSong" w:cs="FangSong"/>
          <w:sz w:val="24"/>
          <w:szCs w:val="24"/>
          <w:spacing w:val="-2"/>
        </w:rPr>
        <w:t>况是有机质含量少、</w:t>
      </w:r>
      <w:r>
        <w:rPr>
          <w:rFonts w:ascii="FangSong" w:hAnsi="FangSong" w:eastAsia="FangSong" w:cs="FangSong"/>
          <w:sz w:val="24"/>
          <w:szCs w:val="24"/>
          <w:spacing w:val="-8"/>
        </w:rPr>
        <w:t>缺磷缺氮。从分布趋势看，由南向北肥力递减。适用于畜牧业的土地面积为最大，</w:t>
      </w:r>
      <w:r>
        <w:rPr>
          <w:rFonts w:ascii="FangSong" w:hAnsi="FangSong" w:eastAsia="FangSong" w:cs="FangSong"/>
          <w:sz w:val="24"/>
          <w:szCs w:val="24"/>
          <w:spacing w:val="-2"/>
        </w:rPr>
        <w:t>适用于发展林业的次之。</w:t>
      </w:r>
    </w:p>
    <w:p>
      <w:pPr>
        <w:ind w:left="29" w:right="65" w:firstLine="501"/>
        <w:spacing w:line="360" w:lineRule="auto"/>
        <w:jc w:val="both"/>
        <w:rPr>
          <w:rFonts w:ascii="FangSong" w:hAnsi="FangSong" w:eastAsia="FangSong" w:cs="FangSong"/>
          <w:sz w:val="24"/>
          <w:szCs w:val="24"/>
        </w:rPr>
      </w:pPr>
      <w:r>
        <w:rPr>
          <w:rFonts w:ascii="FangSong" w:hAnsi="FangSong" w:eastAsia="FangSong" w:cs="FangSong"/>
          <w:sz w:val="24"/>
          <w:szCs w:val="24"/>
          <w:spacing w:val="-4"/>
        </w:rPr>
        <w:t>区内土壤类型主要有栗钙土、棕钙土、风沙土、灰色草甸土等。土壤表面侵</w:t>
      </w:r>
      <w:r>
        <w:rPr>
          <w:rFonts w:ascii="FangSong" w:hAnsi="FangSong" w:eastAsia="FangSong" w:cs="FangSong"/>
          <w:sz w:val="24"/>
          <w:szCs w:val="24"/>
          <w:spacing w:val="-3"/>
        </w:rPr>
        <w:t>蚀程度较重，有机质含量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1.21%</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，有机质层厚度为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20-50cm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，植物生长量小</w:t>
      </w:r>
      <w:r>
        <w:rPr>
          <w:rFonts w:ascii="FangSong" w:hAnsi="FangSong" w:eastAsia="FangSong" w:cs="FangSong"/>
          <w:sz w:val="24"/>
          <w:szCs w:val="24"/>
          <w:spacing w:val="-4"/>
        </w:rPr>
        <w:t>，有</w:t>
      </w:r>
      <w:r>
        <w:rPr>
          <w:rFonts w:ascii="FangSong" w:hAnsi="FangSong" w:eastAsia="FangSong" w:cs="FangSong"/>
          <w:sz w:val="24"/>
          <w:szCs w:val="24"/>
          <w:spacing w:val="-3"/>
        </w:rPr>
        <w:t>机质含量低。</w:t>
      </w:r>
    </w:p>
    <w:p>
      <w:pPr>
        <w:ind w:left="22"/>
        <w:spacing w:line="223" w:lineRule="auto"/>
        <w:outlineLvl w:val="2"/>
        <w:rPr>
          <w:rFonts w:ascii="FangSong" w:hAnsi="FangSong" w:eastAsia="FangSong" w:cs="FangSong"/>
          <w:sz w:val="24"/>
          <w:szCs w:val="24"/>
        </w:rPr>
      </w:pPr>
      <w:bookmarkStart w:name="bookmark216" w:id="293"/>
      <w:bookmarkEnd w:id="293"/>
      <w:bookmarkStart w:name="bookmark215" w:id="294"/>
      <w:bookmarkEnd w:id="294"/>
      <w:r>
        <w:rPr>
          <w:rFonts w:ascii="Times New Roman" w:hAnsi="Times New Roman" w:eastAsia="Times New Roman" w:cs="Times New Roman"/>
          <w:sz w:val="24"/>
          <w:szCs w:val="24"/>
          <w:b/>
          <w:bCs/>
          <w:spacing w:val="-2"/>
        </w:rPr>
        <w:t>5.1.6  </w:t>
      </w:r>
      <w:r>
        <w:rPr>
          <w:rFonts w:ascii="FangSong" w:hAnsi="FangSong" w:eastAsia="FangSong" w:cs="FangSong"/>
          <w:sz w:val="24"/>
          <w:szCs w:val="24"/>
          <w:b/>
          <w:bCs/>
          <w:spacing w:val="-2"/>
        </w:rPr>
        <w:t>地震及地质灾害</w:t>
      </w:r>
    </w:p>
    <w:p>
      <w:pPr>
        <w:ind w:left="22" w:right="65" w:firstLine="488"/>
        <w:spacing w:before="177" w:line="359" w:lineRule="auto"/>
        <w:jc w:val="both"/>
        <w:rPr>
          <w:rFonts w:ascii="FangSong" w:hAnsi="FangSong" w:eastAsia="FangSong" w:cs="FangSong"/>
          <w:sz w:val="24"/>
          <w:szCs w:val="24"/>
        </w:rPr>
      </w:pPr>
      <w:r>
        <w:rPr>
          <w:rFonts w:ascii="FangSong" w:hAnsi="FangSong" w:eastAsia="FangSong" w:cs="FangSong"/>
          <w:sz w:val="24"/>
          <w:szCs w:val="24"/>
          <w:spacing w:val="-4"/>
        </w:rPr>
        <w:t>根据《中国地震参数区划图》（国标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18306-2015</w:t>
      </w:r>
      <w:r>
        <w:rPr>
          <w:rFonts w:ascii="FangSong" w:hAnsi="FangSong" w:eastAsia="FangSong" w:cs="FangSong"/>
          <w:sz w:val="24"/>
          <w:szCs w:val="24"/>
          <w:spacing w:val="-4"/>
        </w:rPr>
        <w:t>）本区地</w:t>
      </w:r>
      <w:r>
        <w:rPr>
          <w:rFonts w:ascii="FangSong" w:hAnsi="FangSong" w:eastAsia="FangSong" w:cs="FangSong"/>
          <w:sz w:val="24"/>
          <w:szCs w:val="24"/>
          <w:spacing w:val="-5"/>
        </w:rPr>
        <w:t>震动峰值加速度为</w:t>
      </w:r>
      <w:r>
        <w:rPr>
          <w:rFonts w:ascii="Times New Roman" w:hAnsi="Times New Roman" w:eastAsia="Times New Roman" w:cs="Times New Roman"/>
          <w:sz w:val="24"/>
          <w:szCs w:val="24"/>
          <w:spacing w:val="-1"/>
        </w:rPr>
        <w:t>0.05g</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，据《中国地震动反应谱特征周期区</w:t>
      </w:r>
      <w:r>
        <w:rPr>
          <w:rFonts w:ascii="FangSong" w:hAnsi="FangSong" w:eastAsia="FangSong" w:cs="FangSong"/>
          <w:sz w:val="24"/>
          <w:szCs w:val="24"/>
          <w:spacing w:val="-2"/>
        </w:rPr>
        <w:t>划图》，该区反应谱特征周期</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0.35s</w:t>
      </w:r>
      <w:r>
        <w:rPr>
          <w:rFonts w:ascii="FangSong" w:hAnsi="FangSong" w:eastAsia="FangSong" w:cs="FangSong"/>
          <w:sz w:val="24"/>
          <w:szCs w:val="24"/>
          <w:spacing w:val="-2"/>
        </w:rPr>
        <w:t>，</w:t>
      </w:r>
      <w:r>
        <w:rPr>
          <w:rFonts w:ascii="FangSong" w:hAnsi="FangSong" w:eastAsia="FangSong" w:cs="FangSong"/>
          <w:sz w:val="24"/>
          <w:szCs w:val="24"/>
          <w:spacing w:val="-3"/>
        </w:rPr>
        <w:t>比照《中国地震烈度区划图》，对应地震烈度为</w:t>
      </w:r>
      <w:r>
        <w:rPr>
          <w:rFonts w:ascii="Times New Roman" w:hAnsi="Times New Roman" w:eastAsia="Times New Roman" w:cs="Times New Roman"/>
          <w:sz w:val="24"/>
          <w:szCs w:val="24"/>
          <w:spacing w:val="-3"/>
        </w:rPr>
        <w:t>Ⅵ</w:t>
      </w:r>
      <w:r>
        <w:rPr>
          <w:rFonts w:ascii="FangSong" w:hAnsi="FangSong" w:eastAsia="FangSong" w:cs="FangSong"/>
          <w:sz w:val="24"/>
          <w:szCs w:val="24"/>
          <w:spacing w:val="-3"/>
        </w:rPr>
        <w:t>度，属</w:t>
      </w:r>
      <w:r>
        <w:rPr>
          <w:rFonts w:ascii="FangSong" w:hAnsi="FangSong" w:eastAsia="FangSong" w:cs="FangSong"/>
          <w:sz w:val="24"/>
          <w:szCs w:val="24"/>
          <w:spacing w:val="-4"/>
        </w:rPr>
        <w:t>相对较稳定区段，有感</w:t>
      </w:r>
      <w:r>
        <w:rPr>
          <w:rFonts w:ascii="FangSong" w:hAnsi="FangSong" w:eastAsia="FangSong" w:cs="FangSong"/>
          <w:sz w:val="24"/>
          <w:szCs w:val="24"/>
          <w:spacing w:val="-1"/>
        </w:rPr>
        <w:t>地震发生相对较小。</w:t>
      </w:r>
    </w:p>
    <w:p>
      <w:pPr>
        <w:ind w:left="36" w:right="65" w:firstLine="472"/>
        <w:spacing w:before="4" w:line="360" w:lineRule="auto"/>
        <w:rPr>
          <w:rFonts w:ascii="FangSong" w:hAnsi="FangSong" w:eastAsia="FangSong" w:cs="FangSong"/>
          <w:sz w:val="24"/>
          <w:szCs w:val="24"/>
        </w:rPr>
      </w:pPr>
      <w:r>
        <w:rPr>
          <w:rFonts w:ascii="FangSong" w:hAnsi="FangSong" w:eastAsia="FangSong" w:cs="FangSong"/>
          <w:sz w:val="24"/>
          <w:szCs w:val="24"/>
          <w:spacing w:val="-3"/>
        </w:rPr>
        <w:t>勘查区内无滑坡、泥石流、地裂缝、地面塌陷等地</w:t>
      </w:r>
      <w:r>
        <w:rPr>
          <w:rFonts w:ascii="FangSong" w:hAnsi="FangSong" w:eastAsia="FangSong" w:cs="FangSong"/>
          <w:sz w:val="24"/>
          <w:szCs w:val="24"/>
          <w:spacing w:val="-4"/>
        </w:rPr>
        <w:t>质灾害现象，本次勘查未</w:t>
      </w:r>
      <w:r>
        <w:rPr>
          <w:rFonts w:ascii="FangSong" w:hAnsi="FangSong" w:eastAsia="FangSong" w:cs="FangSong"/>
          <w:sz w:val="24"/>
          <w:szCs w:val="24"/>
          <w:spacing w:val="-2"/>
        </w:rPr>
        <w:t>发现新构造运动痕迹，总体区域稳定性好。</w:t>
      </w:r>
    </w:p>
    <w:p>
      <w:pPr>
        <w:ind w:left="23"/>
        <w:spacing w:before="59" w:line="222" w:lineRule="auto"/>
        <w:outlineLvl w:val="1"/>
        <w:rPr>
          <w:rFonts w:ascii="FangSong" w:hAnsi="FangSong" w:eastAsia="FangSong" w:cs="FangSong"/>
          <w:sz w:val="28"/>
          <w:szCs w:val="28"/>
        </w:rPr>
      </w:pPr>
      <w:bookmarkStart w:name="bookmark218" w:id="295"/>
      <w:bookmarkEnd w:id="295"/>
      <w:bookmarkStart w:name="bookmark217" w:id="296"/>
      <w:bookmarkEnd w:id="296"/>
      <w:r>
        <w:rPr>
          <w:rFonts w:ascii="Times New Roman" w:hAnsi="Times New Roman" w:eastAsia="Times New Roman" w:cs="Times New Roman"/>
          <w:sz w:val="28"/>
          <w:szCs w:val="28"/>
          <w:b/>
          <w:bCs/>
          <w:spacing w:val="-2"/>
        </w:rPr>
        <w:t>5.2  </w:t>
      </w:r>
      <w:r>
        <w:rPr>
          <w:rFonts w:ascii="FangSong" w:hAnsi="FangSong" w:eastAsia="FangSong" w:cs="FangSong"/>
          <w:sz w:val="28"/>
          <w:szCs w:val="28"/>
          <w:b/>
          <w:bCs/>
          <w:spacing w:val="-2"/>
        </w:rPr>
        <w:t>社会环境经济概况</w:t>
      </w:r>
    </w:p>
    <w:p>
      <w:pPr>
        <w:ind w:left="30" w:right="15" w:firstLine="480"/>
        <w:spacing w:before="230" w:line="360" w:lineRule="auto"/>
        <w:jc w:val="both"/>
        <w:rPr>
          <w:rFonts w:ascii="FangSong" w:hAnsi="FangSong" w:eastAsia="FangSong" w:cs="FangSong"/>
          <w:sz w:val="24"/>
          <w:szCs w:val="24"/>
        </w:rPr>
      </w:pPr>
      <w:r>
        <w:rPr>
          <w:rFonts w:ascii="FangSong" w:hAnsi="FangSong" w:eastAsia="FangSong" w:cs="FangSong"/>
          <w:sz w:val="24"/>
          <w:szCs w:val="24"/>
          <w:spacing w:val="-5"/>
        </w:rPr>
        <w:t>本项目所在区域属草原地区，人烟稀少，人口密度不足</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5"/>
        </w:rPr>
        <w:t>人</w:t>
      </w:r>
      <w:r>
        <w:rPr>
          <w:rFonts w:ascii="Times New Roman" w:hAnsi="Times New Roman" w:eastAsia="Times New Roman" w:cs="Times New Roman"/>
          <w:sz w:val="24"/>
          <w:szCs w:val="24"/>
          <w:spacing w:val="-5"/>
        </w:rPr>
        <w:t>/km</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，主体蒙古</w:t>
      </w:r>
      <w:r>
        <w:rPr>
          <w:rFonts w:ascii="FangSong" w:hAnsi="FangSong" w:eastAsia="FangSong" w:cs="FangSong"/>
          <w:sz w:val="24"/>
          <w:szCs w:val="24"/>
          <w:spacing w:val="-2"/>
        </w:rPr>
        <w:t>族，其它民族次之。当地经济形式单一，畜牧业为主，矿业次之，主要放牧羊、</w:t>
      </w:r>
      <w:r>
        <w:rPr>
          <w:rFonts w:ascii="FangSong" w:hAnsi="FangSong" w:eastAsia="FangSong" w:cs="FangSong"/>
          <w:sz w:val="24"/>
          <w:szCs w:val="24"/>
          <w:spacing w:val="-1"/>
        </w:rPr>
        <w:t>牛、马、骆驼，手工业和加工业不发达，经济收入较少。</w:t>
      </w:r>
    </w:p>
    <w:p>
      <w:pPr>
        <w:spacing w:line="360" w:lineRule="auto"/>
        <w:sectPr>
          <w:footerReference w:type="default" r:id="rId210"/>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29" w:firstLine="480"/>
        <w:spacing w:before="78" w:line="360" w:lineRule="auto"/>
        <w:jc w:val="both"/>
        <w:rPr>
          <w:rFonts w:ascii="FangSong" w:hAnsi="FangSong" w:eastAsia="FangSong" w:cs="FangSong"/>
          <w:sz w:val="24"/>
          <w:szCs w:val="24"/>
        </w:rPr>
      </w:pPr>
      <w:bookmarkStart w:name="bookmark569" w:id="297"/>
      <w:bookmarkEnd w:id="297"/>
      <w:r>
        <w:rPr>
          <w:rFonts w:ascii="FangSong" w:hAnsi="FangSong" w:eastAsia="FangSong" w:cs="FangSong"/>
          <w:sz w:val="24"/>
          <w:szCs w:val="24"/>
          <w:spacing w:val="-5"/>
        </w:rPr>
        <w:t>本项目所在区域虽属人烟稀少的边远牧区，但具体所处的地理位置较为优越，</w:t>
      </w:r>
      <w:r>
        <w:rPr>
          <w:rFonts w:ascii="FangSong" w:hAnsi="FangSong" w:eastAsia="FangSong" w:cs="FangSong"/>
          <w:sz w:val="24"/>
          <w:szCs w:val="24"/>
          <w:spacing w:val="-5"/>
        </w:rPr>
        <w:t>其一，距当地政府所在地较近，移动网络已</w:t>
      </w:r>
      <w:r>
        <w:rPr>
          <w:rFonts w:ascii="FangSong" w:hAnsi="FangSong" w:eastAsia="FangSong" w:cs="FangSong"/>
          <w:sz w:val="24"/>
          <w:szCs w:val="24"/>
          <w:spacing w:val="-6"/>
        </w:rPr>
        <w:t>覆盖全区，通信条件较好，矿山建设、</w:t>
      </w:r>
      <w:r>
        <w:rPr>
          <w:rFonts w:ascii="FangSong" w:hAnsi="FangSong" w:eastAsia="FangSong" w:cs="FangSong"/>
          <w:sz w:val="24"/>
          <w:szCs w:val="24"/>
          <w:spacing w:val="-3"/>
        </w:rPr>
        <w:t>生产物资可从苏尼特右旗赛汉塔拉镇购进，与外部信息联系较为方</w:t>
      </w:r>
      <w:r>
        <w:rPr>
          <w:rFonts w:ascii="FangSong" w:hAnsi="FangSong" w:eastAsia="FangSong" w:cs="FangSong"/>
          <w:sz w:val="24"/>
          <w:szCs w:val="24"/>
          <w:spacing w:val="-4"/>
        </w:rPr>
        <w:t>便；其二，距</w:t>
      </w:r>
      <w:r>
        <w:rPr>
          <w:rFonts w:ascii="FangSong" w:hAnsi="FangSong" w:eastAsia="FangSong" w:cs="FangSong"/>
          <w:sz w:val="24"/>
          <w:szCs w:val="24"/>
          <w:spacing w:val="-3"/>
        </w:rPr>
        <w:t>铁路运输线距离较近，无论是从本项目所在区域采出的原矿石或是</w:t>
      </w:r>
      <w:r>
        <w:rPr>
          <w:rFonts w:ascii="FangSong" w:hAnsi="FangSong" w:eastAsia="FangSong" w:cs="FangSong"/>
          <w:sz w:val="24"/>
          <w:szCs w:val="24"/>
          <w:spacing w:val="-4"/>
        </w:rPr>
        <w:t>选矿车间产出</w:t>
      </w:r>
      <w:r>
        <w:rPr>
          <w:rFonts w:ascii="FangSong" w:hAnsi="FangSong" w:eastAsia="FangSong" w:cs="FangSong"/>
          <w:sz w:val="24"/>
          <w:szCs w:val="24"/>
          <w:spacing w:val="-5"/>
        </w:rPr>
        <w:t>的精品矿粉，装车后经过</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5km</w:t>
      </w:r>
      <w:r>
        <w:rPr>
          <w:rFonts w:ascii="Times New Roman" w:hAnsi="Times New Roman" w:eastAsia="Times New Roman" w:cs="Times New Roman"/>
          <w:sz w:val="24"/>
          <w:szCs w:val="24"/>
          <w:spacing w:val="31"/>
          <w:w w:val="101"/>
        </w:rPr>
        <w:t xml:space="preserve"> </w:t>
      </w:r>
      <w:r>
        <w:rPr>
          <w:rFonts w:ascii="FangSong" w:hAnsi="FangSong" w:eastAsia="FangSong" w:cs="FangSong"/>
          <w:sz w:val="24"/>
          <w:szCs w:val="24"/>
          <w:spacing w:val="-5"/>
        </w:rPr>
        <w:t>的砂石路和</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5"/>
        </w:rPr>
        <w:t>40</w:t>
      </w:r>
      <w:r>
        <w:rPr>
          <w:rFonts w:ascii="Times New Roman" w:hAnsi="Times New Roman" w:eastAsia="Times New Roman" w:cs="Times New Roman"/>
          <w:sz w:val="24"/>
          <w:szCs w:val="24"/>
          <w:spacing w:val="-6"/>
        </w:rPr>
        <w:t>km</w:t>
      </w:r>
      <w:r>
        <w:rPr>
          <w:rFonts w:ascii="Times New Roman" w:hAnsi="Times New Roman" w:eastAsia="Times New Roman" w:cs="Times New Roman"/>
          <w:sz w:val="24"/>
          <w:szCs w:val="24"/>
          <w:spacing w:val="31"/>
          <w:w w:val="101"/>
        </w:rPr>
        <w:t xml:space="preserve"> </w:t>
      </w:r>
      <w:r>
        <w:rPr>
          <w:rFonts w:ascii="FangSong" w:hAnsi="FangSong" w:eastAsia="FangSong" w:cs="FangSong"/>
          <w:sz w:val="24"/>
          <w:szCs w:val="24"/>
          <w:spacing w:val="-6"/>
        </w:rPr>
        <w:t>的柏油公路，即可转往铁路运输</w:t>
      </w:r>
      <w:r>
        <w:rPr>
          <w:rFonts w:ascii="FangSong" w:hAnsi="FangSong" w:eastAsia="FangSong" w:cs="FangSong"/>
          <w:sz w:val="24"/>
          <w:szCs w:val="24"/>
          <w:spacing w:val="-1"/>
        </w:rPr>
        <w:t>场站，相对运输成本较低。本项目所在区域电源已由桑宝力嘎供电所引自</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1"/>
        </w:rPr>
        <w:t>III</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矿</w:t>
      </w:r>
      <w:r>
        <w:rPr>
          <w:rFonts w:ascii="FangSong" w:hAnsi="FangSong" w:eastAsia="FangSong" w:cs="FangSong"/>
          <w:sz w:val="24"/>
          <w:szCs w:val="24"/>
          <w:spacing w:val="-9"/>
        </w:rPr>
        <w:t>段，供电电压</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9"/>
        </w:rPr>
        <w:t>10KV</w:t>
      </w:r>
      <w:r>
        <w:rPr>
          <w:rFonts w:ascii="FangSong" w:hAnsi="FangSong" w:eastAsia="FangSong" w:cs="FangSong"/>
          <w:sz w:val="24"/>
          <w:szCs w:val="24"/>
          <w:spacing w:val="-9"/>
        </w:rPr>
        <w:t>，采用Ф</w:t>
      </w:r>
      <w:r>
        <w:rPr>
          <w:rFonts w:ascii="Times New Roman" w:hAnsi="Times New Roman" w:eastAsia="Times New Roman" w:cs="Times New Roman"/>
          <w:sz w:val="24"/>
          <w:szCs w:val="24"/>
          <w:spacing w:val="-9"/>
        </w:rPr>
        <w:t>190</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12000</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9"/>
        </w:rPr>
        <w:t>钢筋混凝土电</w:t>
      </w:r>
      <w:r>
        <w:rPr>
          <w:rFonts w:ascii="FangSong" w:hAnsi="FangSong" w:eastAsia="FangSong" w:cs="FangSong"/>
          <w:sz w:val="24"/>
          <w:szCs w:val="24"/>
          <w:spacing w:val="-10"/>
        </w:rPr>
        <w:t>杆，导线型号为</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0"/>
        </w:rPr>
        <w:t>LGJ-95mm</w:t>
      </w:r>
      <w:r>
        <w:rPr>
          <w:rFonts w:ascii="Times New Roman" w:hAnsi="Times New Roman" w:eastAsia="Times New Roman" w:cs="Times New Roman"/>
          <w:sz w:val="15"/>
          <w:szCs w:val="15"/>
          <w:spacing w:val="-10"/>
          <w:position w:val="7"/>
        </w:rPr>
        <w:t>2</w:t>
      </w:r>
      <w:r>
        <w:rPr>
          <w:rFonts w:ascii="FangSong" w:hAnsi="FangSong" w:eastAsia="FangSong" w:cs="FangSong"/>
          <w:sz w:val="24"/>
          <w:szCs w:val="24"/>
          <w:spacing w:val="-54"/>
        </w:rPr>
        <w:t>，</w:t>
      </w:r>
      <w:r>
        <w:rPr>
          <w:rFonts w:ascii="FangSong" w:hAnsi="FangSong" w:eastAsia="FangSong" w:cs="FangSong"/>
          <w:sz w:val="24"/>
          <w:szCs w:val="24"/>
          <w:spacing w:val="-3"/>
        </w:rPr>
        <w:t>杆塔选用砼杆。</w:t>
      </w:r>
    </w:p>
    <w:p>
      <w:pPr>
        <w:ind w:left="23"/>
        <w:spacing w:before="55" w:line="224" w:lineRule="auto"/>
        <w:outlineLvl w:val="1"/>
        <w:rPr>
          <w:rFonts w:ascii="FangSong" w:hAnsi="FangSong" w:eastAsia="FangSong" w:cs="FangSong"/>
          <w:sz w:val="28"/>
          <w:szCs w:val="28"/>
        </w:rPr>
      </w:pPr>
      <w:bookmarkStart w:name="bookmark220" w:id="298"/>
      <w:bookmarkEnd w:id="298"/>
      <w:bookmarkStart w:name="bookmark219" w:id="299"/>
      <w:bookmarkEnd w:id="299"/>
      <w:r>
        <w:rPr>
          <w:rFonts w:ascii="Times New Roman" w:hAnsi="Times New Roman" w:eastAsia="Times New Roman" w:cs="Times New Roman"/>
          <w:sz w:val="28"/>
          <w:szCs w:val="28"/>
          <w:b/>
          <w:bCs/>
          <w:spacing w:val="-6"/>
        </w:rPr>
        <w:t>5.3</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6"/>
        </w:rPr>
        <w:t>地质构造</w:t>
      </w:r>
    </w:p>
    <w:p>
      <w:pPr>
        <w:ind w:left="30" w:right="185" w:firstLine="480"/>
        <w:spacing w:before="223" w:line="361" w:lineRule="auto"/>
        <w:jc w:val="both"/>
        <w:rPr>
          <w:rFonts w:ascii="FangSong" w:hAnsi="FangSong" w:eastAsia="FangSong" w:cs="FangSong"/>
          <w:sz w:val="24"/>
          <w:szCs w:val="24"/>
        </w:rPr>
      </w:pPr>
      <w:r>
        <w:rPr>
          <w:rFonts w:ascii="FangSong" w:hAnsi="FangSong" w:eastAsia="FangSong" w:cs="FangSong"/>
          <w:sz w:val="24"/>
          <w:szCs w:val="24"/>
          <w:spacing w:val="-3"/>
        </w:rPr>
        <w:t>本项目所在区域大地构造位置属古生代对接或结合带（</w:t>
      </w:r>
      <w:r>
        <w:rPr>
          <w:rFonts w:ascii="Times New Roman" w:hAnsi="Times New Roman" w:eastAsia="Times New Roman" w:cs="Times New Roman"/>
          <w:sz w:val="24"/>
          <w:szCs w:val="24"/>
          <w:spacing w:val="-3"/>
        </w:rPr>
        <w:t>II</w:t>
      </w:r>
      <w:r>
        <w:rPr>
          <w:rFonts w:ascii="FangSong" w:hAnsi="FangSong" w:eastAsia="FangSong" w:cs="FangSong"/>
          <w:sz w:val="24"/>
          <w:szCs w:val="24"/>
          <w:spacing w:val="-3"/>
        </w:rPr>
        <w:t>）、</w:t>
      </w:r>
      <w:r>
        <w:rPr>
          <w:rFonts w:ascii="FangSong" w:hAnsi="FangSong" w:eastAsia="FangSong" w:cs="FangSong"/>
          <w:sz w:val="24"/>
          <w:szCs w:val="24"/>
          <w:spacing w:val="-4"/>
        </w:rPr>
        <w:t>索伦山</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西拉木</w:t>
      </w:r>
      <w:r>
        <w:rPr>
          <w:rFonts w:ascii="FangSong" w:hAnsi="FangSong" w:eastAsia="FangSong" w:cs="FangSong"/>
          <w:sz w:val="24"/>
          <w:szCs w:val="24"/>
          <w:spacing w:val="1"/>
        </w:rPr>
        <w:t>伦古生代结合带（</w:t>
      </w:r>
      <w:r>
        <w:rPr>
          <w:rFonts w:ascii="Times New Roman" w:hAnsi="Times New Roman" w:eastAsia="Times New Roman" w:cs="Times New Roman"/>
          <w:sz w:val="24"/>
          <w:szCs w:val="24"/>
        </w:rPr>
        <w:t>II</w:t>
      </w:r>
      <w:r>
        <w:rPr>
          <w:rFonts w:ascii="Times New Roman" w:hAnsi="Times New Roman" w:eastAsia="Times New Roman" w:cs="Times New Roman"/>
          <w:sz w:val="24"/>
          <w:szCs w:val="24"/>
          <w:spacing w:val="1"/>
        </w:rPr>
        <w:t>-1</w:t>
      </w:r>
      <w:r>
        <w:rPr>
          <w:rFonts w:ascii="FangSong" w:hAnsi="FangSong" w:eastAsia="FangSong" w:cs="FangSong"/>
          <w:sz w:val="24"/>
          <w:szCs w:val="24"/>
          <w:spacing w:val="8"/>
        </w:rPr>
        <w:t>），</w:t>
      </w:r>
      <w:r>
        <w:rPr>
          <w:rFonts w:ascii="FangSong" w:hAnsi="FangSong" w:eastAsia="FangSong" w:cs="FangSong"/>
          <w:sz w:val="24"/>
          <w:szCs w:val="24"/>
          <w:spacing w:val="1"/>
        </w:rPr>
        <w:t>苏左旗南俯冲增生楔（</w:t>
      </w:r>
      <w:r>
        <w:rPr>
          <w:rFonts w:ascii="Times New Roman" w:hAnsi="Times New Roman" w:eastAsia="Times New Roman" w:cs="Times New Roman"/>
          <w:sz w:val="24"/>
          <w:szCs w:val="24"/>
        </w:rPr>
        <w:t>II</w:t>
      </w:r>
      <w:r>
        <w:rPr>
          <w:rFonts w:ascii="Times New Roman" w:hAnsi="Times New Roman" w:eastAsia="Times New Roman" w:cs="Times New Roman"/>
          <w:sz w:val="24"/>
          <w:szCs w:val="24"/>
          <w:spacing w:val="1"/>
        </w:rPr>
        <w:t>-1-2</w:t>
      </w:r>
      <w:r>
        <w:rPr>
          <w:rFonts w:ascii="FangSong" w:hAnsi="FangSong" w:eastAsia="FangSong" w:cs="FangSong"/>
          <w:sz w:val="24"/>
          <w:szCs w:val="24"/>
          <w:spacing w:val="8"/>
        </w:rPr>
        <w:t>）（</w:t>
      </w:r>
      <w:r>
        <w:rPr>
          <w:rFonts w:ascii="FangSong" w:hAnsi="FangSong" w:eastAsia="FangSong" w:cs="FangSong"/>
          <w:sz w:val="24"/>
          <w:szCs w:val="24"/>
          <w:spacing w:val="1"/>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4.3-1</w:t>
      </w:r>
      <w:r>
        <w:rPr>
          <w:rFonts w:ascii="FangSong" w:hAnsi="FangSong" w:eastAsia="FangSong" w:cs="FangSong"/>
          <w:sz w:val="24"/>
          <w:szCs w:val="24"/>
          <w:spacing w:val="8"/>
        </w:rPr>
        <w:t>）；</w:t>
      </w:r>
      <w:r>
        <w:rPr>
          <w:rFonts w:ascii="FangSong" w:hAnsi="FangSong" w:eastAsia="FangSong" w:cs="FangSong"/>
          <w:sz w:val="24"/>
          <w:szCs w:val="24"/>
          <w:spacing w:val="1"/>
        </w:rPr>
        <w:t>地层区</w:t>
      </w:r>
      <w:r>
        <w:rPr>
          <w:rFonts w:ascii="FangSong" w:hAnsi="FangSong" w:eastAsia="FangSong" w:cs="FangSong"/>
          <w:sz w:val="24"/>
          <w:szCs w:val="24"/>
          <w:spacing w:val="-3"/>
        </w:rPr>
        <w:t>划古生代属恩格尔乌苏</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西拉木伦地层大区</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Ⅲ</w:t>
      </w:r>
      <w:r>
        <w:rPr>
          <w:rFonts w:ascii="FangSong" w:hAnsi="FangSong" w:eastAsia="FangSong" w:cs="FangSong"/>
          <w:sz w:val="24"/>
          <w:szCs w:val="24"/>
          <w:spacing w:val="-3"/>
        </w:rPr>
        <w:t>)</w:t>
      </w:r>
      <w:r>
        <w:rPr>
          <w:rFonts w:ascii="FangSong" w:hAnsi="FangSong" w:eastAsia="FangSong" w:cs="FangSong"/>
          <w:sz w:val="24"/>
          <w:szCs w:val="24"/>
          <w:spacing w:val="36"/>
        </w:rPr>
        <w:t xml:space="preserve"> </w:t>
      </w:r>
      <w:r>
        <w:rPr>
          <w:rFonts w:ascii="FangSong" w:hAnsi="FangSong" w:eastAsia="FangSong" w:cs="FangSong"/>
          <w:sz w:val="24"/>
          <w:szCs w:val="24"/>
          <w:spacing w:val="-3"/>
        </w:rPr>
        <w:t>西拉木伦地层区</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Ⅲ</w:t>
      </w:r>
      <w:r>
        <w:rPr>
          <w:rFonts w:ascii="Times New Roman" w:hAnsi="Times New Roman" w:eastAsia="Times New Roman" w:cs="Times New Roman"/>
          <w:sz w:val="15"/>
          <w:szCs w:val="15"/>
          <w:spacing w:val="-3"/>
          <w:position w:val="-1"/>
        </w:rPr>
        <w:t>2 </w:t>
      </w:r>
      <w:r>
        <w:rPr>
          <w:rFonts w:ascii="FangSong" w:hAnsi="FangSong" w:eastAsia="FangSong" w:cs="FangSong"/>
          <w:sz w:val="24"/>
          <w:szCs w:val="24"/>
          <w:spacing w:val="14"/>
        </w:rPr>
        <w:t>），</w:t>
      </w:r>
      <w:r>
        <w:rPr>
          <w:rFonts w:ascii="FangSong" w:hAnsi="FangSong" w:eastAsia="FangSong" w:cs="FangSong"/>
          <w:sz w:val="24"/>
          <w:szCs w:val="24"/>
          <w:spacing w:val="-3"/>
        </w:rPr>
        <w:t>中新</w:t>
      </w:r>
      <w:r>
        <w:rPr>
          <w:rFonts w:ascii="FangSong" w:hAnsi="FangSong" w:eastAsia="FangSong" w:cs="FangSong"/>
          <w:sz w:val="24"/>
          <w:szCs w:val="24"/>
          <w:spacing w:val="-4"/>
        </w:rPr>
        <w:t>生代区划东北</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阿尔泰地层大区</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Ⅰ</w:t>
      </w:r>
      <w:r>
        <w:rPr>
          <w:rFonts w:ascii="FangSong" w:hAnsi="FangSong" w:eastAsia="FangSong" w:cs="FangSong"/>
          <w:sz w:val="24"/>
          <w:szCs w:val="24"/>
          <w:spacing w:val="-4"/>
        </w:rPr>
        <w:t>)</w:t>
      </w:r>
      <w:r>
        <w:rPr>
          <w:rFonts w:ascii="FangSong" w:hAnsi="FangSong" w:eastAsia="FangSong" w:cs="FangSong"/>
          <w:sz w:val="24"/>
          <w:szCs w:val="24"/>
          <w:spacing w:val="37"/>
        </w:rPr>
        <w:t xml:space="preserve"> </w:t>
      </w:r>
      <w:r>
        <w:rPr>
          <w:rFonts w:ascii="FangSong" w:hAnsi="FangSong" w:eastAsia="FangSong" w:cs="FangSong"/>
          <w:sz w:val="24"/>
          <w:szCs w:val="24"/>
          <w:spacing w:val="-4"/>
        </w:rPr>
        <w:t>内蒙古</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通辽地层区</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5"/>
        </w:rPr>
        <w:t>Ⅰ</w:t>
      </w:r>
      <w:r>
        <w:rPr>
          <w:rFonts w:ascii="Times New Roman" w:hAnsi="Times New Roman" w:eastAsia="Times New Roman" w:cs="Times New Roman"/>
          <w:sz w:val="15"/>
          <w:szCs w:val="15"/>
          <w:spacing w:val="-5"/>
          <w:position w:val="-1"/>
        </w:rPr>
        <w:t>2 </w:t>
      </w:r>
      <w:r>
        <w:rPr>
          <w:rFonts w:ascii="FangSong" w:hAnsi="FangSong" w:eastAsia="FangSong" w:cs="FangSong"/>
          <w:sz w:val="24"/>
          <w:szCs w:val="24"/>
          <w:spacing w:val="-5"/>
        </w:rPr>
        <w:t>）二连</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海拉尔地层分</w:t>
      </w:r>
      <w:r>
        <w:rPr>
          <w:rFonts w:ascii="FangSong" w:hAnsi="FangSong" w:eastAsia="FangSong" w:cs="FangSong"/>
          <w:sz w:val="24"/>
          <w:szCs w:val="24"/>
          <w:spacing w:val="-11"/>
        </w:rPr>
        <w:t>区</w:t>
      </w:r>
      <w:r>
        <w:rPr>
          <w:rFonts w:ascii="FangSong" w:hAnsi="FangSong" w:eastAsia="FangSong" w:cs="FangSong"/>
          <w:sz w:val="24"/>
          <w:szCs w:val="24"/>
          <w:spacing w:val="17"/>
        </w:rPr>
        <w:t xml:space="preserve"> </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Ⅰ</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2"/>
          <w:position w:val="7"/>
        </w:rPr>
        <w:t>1 </w:t>
      </w:r>
      <w:r>
        <w:rPr>
          <w:rFonts w:ascii="FangSong" w:hAnsi="FangSong" w:eastAsia="FangSong" w:cs="FangSong"/>
          <w:sz w:val="24"/>
          <w:szCs w:val="24"/>
          <w:spacing w:val="-2"/>
        </w:rPr>
        <w:t>）二连地层小区</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Ⅰ</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2"/>
          <w:position w:val="7"/>
        </w:rPr>
        <w:t>1-3 </w:t>
      </w:r>
      <w:r>
        <w:rPr>
          <w:rFonts w:ascii="FangSong" w:hAnsi="FangSong" w:eastAsia="FangSong" w:cs="FangSong"/>
          <w:sz w:val="24"/>
          <w:szCs w:val="24"/>
          <w:spacing w:val="-35"/>
        </w:rPr>
        <w:t>）（</w:t>
      </w:r>
      <w:r>
        <w:rPr>
          <w:rFonts w:ascii="FangSong" w:hAnsi="FangSong" w:eastAsia="FangSong" w:cs="FangSong"/>
          <w:sz w:val="24"/>
          <w:szCs w:val="24"/>
          <w:spacing w:val="-2"/>
        </w:rPr>
        <w:t>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5.3-1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5.3-2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5.3-3</w:t>
      </w:r>
      <w:r>
        <w:rPr>
          <w:rFonts w:ascii="FangSong" w:hAnsi="FangSong" w:eastAsia="FangSong" w:cs="FangSong"/>
          <w:sz w:val="24"/>
          <w:szCs w:val="24"/>
          <w:spacing w:val="-2"/>
        </w:rPr>
        <w:t>）。</w:t>
      </w:r>
    </w:p>
    <w:p>
      <w:pPr>
        <w:ind w:firstLine="306"/>
        <w:spacing w:before="14" w:line="6593" w:lineRule="exact"/>
        <w:rPr/>
      </w:pPr>
      <w:r>
        <w:rPr>
          <w:position w:val="-131"/>
        </w:rPr>
        <w:drawing>
          <wp:inline distT="0" distB="0" distL="0" distR="0">
            <wp:extent cx="4893563" cy="4186428"/>
            <wp:effectExtent l="0" t="0" r="0" b="0"/>
            <wp:docPr id="40" name="IM 40"/>
            <wp:cNvGraphicFramePr/>
            <a:graphic>
              <a:graphicData uri="http://schemas.openxmlformats.org/drawingml/2006/picture">
                <pic:pic>
                  <pic:nvPicPr>
                    <pic:cNvPr id="40" name="IM 40"/>
                    <pic:cNvPicPr/>
                  </pic:nvPicPr>
                  <pic:blipFill>
                    <a:blip r:embed="rId212"/>
                    <a:stretch>
                      <a:fillRect/>
                    </a:stretch>
                  </pic:blipFill>
                  <pic:spPr>
                    <a:xfrm rot="0">
                      <a:off x="0" y="0"/>
                      <a:ext cx="4893563" cy="4186428"/>
                    </a:xfrm>
                    <a:prstGeom prst="rect">
                      <a:avLst/>
                    </a:prstGeom>
                  </pic:spPr>
                </pic:pic>
              </a:graphicData>
            </a:graphic>
          </wp:inline>
        </w:drawing>
      </w:r>
    </w:p>
    <w:p>
      <w:pPr>
        <w:ind w:left="53"/>
        <w:spacing w:before="176" w:line="221" w:lineRule="auto"/>
        <w:rPr>
          <w:rFonts w:ascii="FangSong" w:hAnsi="FangSong" w:eastAsia="FangSong" w:cs="FangSong"/>
          <w:sz w:val="24"/>
          <w:szCs w:val="24"/>
        </w:rPr>
      </w:pPr>
      <w:r>
        <w:rPr>
          <w:rFonts w:ascii="FangSong" w:hAnsi="FangSong" w:eastAsia="FangSong" w:cs="FangSong"/>
          <w:sz w:val="24"/>
          <w:szCs w:val="24"/>
          <w:b/>
          <w:bCs/>
          <w:spacing w:val="-7"/>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7"/>
        </w:rPr>
        <w:t>5.3-1</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7"/>
        </w:rPr>
        <w:t>内蒙古大地构造分区图（引自《中国区域地质志</w:t>
      </w:r>
      <w:r>
        <w:rPr>
          <w:rFonts w:ascii="FangSong" w:hAnsi="FangSong" w:eastAsia="FangSong" w:cs="FangSong"/>
          <w:sz w:val="24"/>
          <w:szCs w:val="24"/>
          <w:spacing w:val="-25"/>
        </w:rPr>
        <w:t xml:space="preserve"> </w:t>
      </w:r>
      <w:r>
        <w:rPr>
          <w:rFonts w:ascii="FangSong" w:hAnsi="FangSong" w:eastAsia="FangSong" w:cs="FangSong"/>
          <w:sz w:val="24"/>
          <w:szCs w:val="24"/>
          <w:b/>
          <w:bCs/>
          <w:spacing w:val="-7"/>
        </w:rPr>
        <w:t>·</w:t>
      </w:r>
      <w:r>
        <w:rPr>
          <w:rFonts w:ascii="FangSong" w:hAnsi="FangSong" w:eastAsia="FangSong" w:cs="FangSong"/>
          <w:sz w:val="24"/>
          <w:szCs w:val="24"/>
          <w:spacing w:val="-75"/>
        </w:rPr>
        <w:t xml:space="preserve"> </w:t>
      </w:r>
      <w:r>
        <w:rPr>
          <w:rFonts w:ascii="FangSong" w:hAnsi="FangSong" w:eastAsia="FangSong" w:cs="FangSong"/>
          <w:sz w:val="24"/>
          <w:szCs w:val="24"/>
          <w:b/>
          <w:bCs/>
          <w:spacing w:val="-7"/>
        </w:rPr>
        <w:t>内蒙</w:t>
      </w:r>
      <w:r>
        <w:rPr>
          <w:rFonts w:ascii="FangSong" w:hAnsi="FangSong" w:eastAsia="FangSong" w:cs="FangSong"/>
          <w:sz w:val="24"/>
          <w:szCs w:val="24"/>
          <w:b/>
          <w:bCs/>
          <w:spacing w:val="-8"/>
        </w:rPr>
        <w:t>古志》（</w:t>
      </w:r>
      <w:r>
        <w:rPr>
          <w:rFonts w:ascii="Times New Roman" w:hAnsi="Times New Roman" w:eastAsia="Times New Roman" w:cs="Times New Roman"/>
          <w:sz w:val="24"/>
          <w:szCs w:val="24"/>
          <w:b/>
          <w:bCs/>
          <w:spacing w:val="-8"/>
        </w:rPr>
        <w:t>2020</w:t>
      </w:r>
      <w:r>
        <w:rPr>
          <w:rFonts w:ascii="FangSong" w:hAnsi="FangSong" w:eastAsia="FangSong" w:cs="FangSong"/>
          <w:sz w:val="24"/>
          <w:szCs w:val="24"/>
          <w:b/>
          <w:bCs/>
          <w:spacing w:val="-8"/>
        </w:rPr>
        <w:t>）</w:t>
      </w:r>
    </w:p>
    <w:p>
      <w:pPr>
        <w:spacing w:line="221" w:lineRule="auto"/>
        <w:sectPr>
          <w:footerReference w:type="default" r:id="rId211"/>
          <w:pgSz w:w="11906" w:h="16839"/>
          <w:pgMar w:top="400" w:right="1614" w:bottom="1358" w:left="1785" w:header="0" w:footer="1195" w:gutter="0"/>
        </w:sectPr>
        <w:rPr>
          <w:rFonts w:ascii="FangSong" w:hAnsi="FangSong" w:eastAsia="FangSong" w:cs="FangSong"/>
          <w:sz w:val="24"/>
          <w:szCs w:val="24"/>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94"/>
        <w:spacing w:line="6228" w:lineRule="exact"/>
        <w:rPr/>
      </w:pPr>
      <w:r>
        <w:rPr>
          <w:position w:val="-124"/>
        </w:rPr>
        <w:drawing>
          <wp:inline distT="0" distB="0" distL="0" distR="0">
            <wp:extent cx="4751832" cy="3954779"/>
            <wp:effectExtent l="0" t="0" r="0" b="0"/>
            <wp:docPr id="42" name="IM 42"/>
            <wp:cNvGraphicFramePr/>
            <a:graphic>
              <a:graphicData uri="http://schemas.openxmlformats.org/drawingml/2006/picture">
                <pic:pic>
                  <pic:nvPicPr>
                    <pic:cNvPr id="42" name="IM 42"/>
                    <pic:cNvPicPr/>
                  </pic:nvPicPr>
                  <pic:blipFill>
                    <a:blip r:embed="rId214"/>
                    <a:stretch>
                      <a:fillRect/>
                    </a:stretch>
                  </pic:blipFill>
                  <pic:spPr>
                    <a:xfrm rot="0">
                      <a:off x="0" y="0"/>
                      <a:ext cx="4751832" cy="3954779"/>
                    </a:xfrm>
                    <a:prstGeom prst="rect">
                      <a:avLst/>
                    </a:prstGeom>
                  </pic:spPr>
                </pic:pic>
              </a:graphicData>
            </a:graphic>
          </wp:inline>
        </w:drawing>
      </w:r>
    </w:p>
    <w:p>
      <w:pPr>
        <w:ind w:left="132"/>
        <w:spacing w:before="125" w:line="221" w:lineRule="auto"/>
        <w:rPr>
          <w:rFonts w:ascii="FangSong" w:hAnsi="FangSong" w:eastAsia="FangSong" w:cs="FangSong"/>
          <w:sz w:val="24"/>
          <w:szCs w:val="24"/>
        </w:rPr>
      </w:pPr>
      <w:r>
        <w:rPr>
          <w:rFonts w:ascii="FangSong" w:hAnsi="FangSong" w:eastAsia="FangSong" w:cs="FangSong"/>
          <w:sz w:val="24"/>
          <w:szCs w:val="24"/>
          <w:b/>
          <w:bCs/>
          <w:spacing w:val="-6"/>
        </w:rPr>
        <w:t>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6"/>
        </w:rPr>
        <w:t>5.3-2  </w:t>
      </w:r>
      <w:r>
        <w:rPr>
          <w:rFonts w:ascii="FangSong" w:hAnsi="FangSong" w:eastAsia="FangSong" w:cs="FangSong"/>
          <w:sz w:val="24"/>
          <w:szCs w:val="24"/>
          <w:b/>
          <w:bCs/>
          <w:spacing w:val="-6"/>
        </w:rPr>
        <w:t>古生代地层区划图（引自《中国区域地质志</w:t>
      </w:r>
      <w:r>
        <w:rPr>
          <w:rFonts w:ascii="FangSong" w:hAnsi="FangSong" w:eastAsia="FangSong" w:cs="FangSong"/>
          <w:sz w:val="24"/>
          <w:szCs w:val="24"/>
          <w:spacing w:val="-24"/>
        </w:rPr>
        <w:t xml:space="preserve"> </w:t>
      </w:r>
      <w:r>
        <w:rPr>
          <w:rFonts w:ascii="FangSong" w:hAnsi="FangSong" w:eastAsia="FangSong" w:cs="FangSong"/>
          <w:sz w:val="24"/>
          <w:szCs w:val="24"/>
          <w:b/>
          <w:bCs/>
          <w:spacing w:val="-6"/>
        </w:rPr>
        <w:t>·</w:t>
      </w:r>
      <w:r>
        <w:rPr>
          <w:rFonts w:ascii="FangSong" w:hAnsi="FangSong" w:eastAsia="FangSong" w:cs="FangSong"/>
          <w:sz w:val="24"/>
          <w:szCs w:val="24"/>
          <w:spacing w:val="-75"/>
        </w:rPr>
        <w:t xml:space="preserve"> </w:t>
      </w:r>
      <w:r>
        <w:rPr>
          <w:rFonts w:ascii="FangSong" w:hAnsi="FangSong" w:eastAsia="FangSong" w:cs="FangSong"/>
          <w:sz w:val="24"/>
          <w:szCs w:val="24"/>
          <w:b/>
          <w:bCs/>
          <w:spacing w:val="-6"/>
        </w:rPr>
        <w:t>内蒙古志》（</w:t>
      </w:r>
      <w:r>
        <w:rPr>
          <w:rFonts w:ascii="Times New Roman" w:hAnsi="Times New Roman" w:eastAsia="Times New Roman" w:cs="Times New Roman"/>
          <w:sz w:val="24"/>
          <w:szCs w:val="24"/>
          <w:b/>
          <w:bCs/>
          <w:spacing w:val="-7"/>
        </w:rPr>
        <w:t>2020</w:t>
      </w:r>
      <w:r>
        <w:rPr>
          <w:rFonts w:ascii="FangSong" w:hAnsi="FangSong" w:eastAsia="FangSong" w:cs="FangSong"/>
          <w:sz w:val="24"/>
          <w:szCs w:val="24"/>
          <w:b/>
          <w:bCs/>
          <w:spacing w:val="-3"/>
        </w:rPr>
        <w:t>））</w:t>
      </w:r>
    </w:p>
    <w:p>
      <w:pPr>
        <w:pStyle w:val="BodyText"/>
        <w:spacing w:line="265" w:lineRule="auto"/>
        <w:rPr/>
      </w:pPr>
      <w:r/>
    </w:p>
    <w:p>
      <w:pPr>
        <w:pStyle w:val="BodyText"/>
        <w:spacing w:line="266" w:lineRule="auto"/>
        <w:rPr/>
      </w:pPr>
      <w:r/>
    </w:p>
    <w:p>
      <w:pPr>
        <w:ind w:firstLine="494"/>
        <w:spacing w:line="6240" w:lineRule="exact"/>
        <w:rPr/>
      </w:pPr>
      <w:r>
        <w:rPr>
          <w:position w:val="-124"/>
        </w:rPr>
        <w:drawing>
          <wp:inline distT="0" distB="0" distL="0" distR="0">
            <wp:extent cx="4756403" cy="3962400"/>
            <wp:effectExtent l="0" t="0" r="0" b="0"/>
            <wp:docPr id="44" name="IM 44"/>
            <wp:cNvGraphicFramePr/>
            <a:graphic>
              <a:graphicData uri="http://schemas.openxmlformats.org/drawingml/2006/picture">
                <pic:pic>
                  <pic:nvPicPr>
                    <pic:cNvPr id="44" name="IM 44"/>
                    <pic:cNvPicPr/>
                  </pic:nvPicPr>
                  <pic:blipFill>
                    <a:blip r:embed="rId215"/>
                    <a:stretch>
                      <a:fillRect/>
                    </a:stretch>
                  </pic:blipFill>
                  <pic:spPr>
                    <a:xfrm rot="0">
                      <a:off x="0" y="0"/>
                      <a:ext cx="4756403" cy="3962400"/>
                    </a:xfrm>
                    <a:prstGeom prst="rect">
                      <a:avLst/>
                    </a:prstGeom>
                  </pic:spPr>
                </pic:pic>
              </a:graphicData>
            </a:graphic>
          </wp:inline>
        </w:drawing>
      </w:r>
    </w:p>
    <w:p>
      <w:pPr>
        <w:ind w:left="132"/>
        <w:spacing w:before="113" w:line="221" w:lineRule="auto"/>
        <w:rPr>
          <w:rFonts w:ascii="FangSong" w:hAnsi="FangSong" w:eastAsia="FangSong" w:cs="FangSong"/>
          <w:sz w:val="24"/>
          <w:szCs w:val="24"/>
        </w:rPr>
      </w:pPr>
      <w:r>
        <w:rPr>
          <w:rFonts w:ascii="FangSong" w:hAnsi="FangSong" w:eastAsia="FangSong" w:cs="FangSong"/>
          <w:sz w:val="24"/>
          <w:szCs w:val="24"/>
          <w:b/>
          <w:bCs/>
          <w:spacing w:val="-8"/>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8"/>
        </w:rPr>
        <w:t>5.3-3</w:t>
      </w:r>
      <w:r>
        <w:rPr>
          <w:rFonts w:ascii="Times New Roman" w:hAnsi="Times New Roman" w:eastAsia="Times New Roman" w:cs="Times New Roman"/>
          <w:sz w:val="24"/>
          <w:szCs w:val="24"/>
          <w:b/>
          <w:bCs/>
          <w:spacing w:val="23"/>
          <w:w w:val="101"/>
        </w:rPr>
        <w:t xml:space="preserve">  </w:t>
      </w:r>
      <w:r>
        <w:rPr>
          <w:rFonts w:ascii="FangSong" w:hAnsi="FangSong" w:eastAsia="FangSong" w:cs="FangSong"/>
          <w:sz w:val="24"/>
          <w:szCs w:val="24"/>
          <w:b/>
          <w:bCs/>
          <w:spacing w:val="-8"/>
        </w:rPr>
        <w:t>中生代地层区划图（引自《中国区域地质志</w:t>
      </w:r>
      <w:r>
        <w:rPr>
          <w:rFonts w:ascii="FangSong" w:hAnsi="FangSong" w:eastAsia="FangSong" w:cs="FangSong"/>
          <w:sz w:val="24"/>
          <w:szCs w:val="24"/>
          <w:spacing w:val="-25"/>
        </w:rPr>
        <w:t xml:space="preserve"> </w:t>
      </w:r>
      <w:r>
        <w:rPr>
          <w:rFonts w:ascii="FangSong" w:hAnsi="FangSong" w:eastAsia="FangSong" w:cs="FangSong"/>
          <w:sz w:val="24"/>
          <w:szCs w:val="24"/>
          <w:b/>
          <w:bCs/>
          <w:spacing w:val="-8"/>
        </w:rPr>
        <w:t>·</w:t>
      </w:r>
      <w:r>
        <w:rPr>
          <w:rFonts w:ascii="FangSong" w:hAnsi="FangSong" w:eastAsia="FangSong" w:cs="FangSong"/>
          <w:sz w:val="24"/>
          <w:szCs w:val="24"/>
          <w:spacing w:val="-74"/>
        </w:rPr>
        <w:t xml:space="preserve"> </w:t>
      </w:r>
      <w:r>
        <w:rPr>
          <w:rFonts w:ascii="FangSong" w:hAnsi="FangSong" w:eastAsia="FangSong" w:cs="FangSong"/>
          <w:sz w:val="24"/>
          <w:szCs w:val="24"/>
          <w:b/>
          <w:bCs/>
          <w:spacing w:val="-8"/>
        </w:rPr>
        <w:t>内蒙古志》（</w:t>
      </w:r>
      <w:r>
        <w:rPr>
          <w:rFonts w:ascii="Times New Roman" w:hAnsi="Times New Roman" w:eastAsia="Times New Roman" w:cs="Times New Roman"/>
          <w:sz w:val="24"/>
          <w:szCs w:val="24"/>
          <w:b/>
          <w:bCs/>
          <w:spacing w:val="-8"/>
        </w:rPr>
        <w:t>2020</w:t>
      </w:r>
      <w:r>
        <w:rPr>
          <w:rFonts w:ascii="FangSong" w:hAnsi="FangSong" w:eastAsia="FangSong" w:cs="FangSong"/>
          <w:sz w:val="24"/>
          <w:szCs w:val="24"/>
          <w:b/>
          <w:bCs/>
          <w:spacing w:val="2"/>
        </w:rPr>
        <w:t>））</w:t>
      </w:r>
    </w:p>
    <w:p>
      <w:pPr>
        <w:spacing w:line="221" w:lineRule="auto"/>
        <w:sectPr>
          <w:footerReference w:type="default" r:id="rId213"/>
          <w:pgSz w:w="11906" w:h="16839"/>
          <w:pgMar w:top="400" w:right="1785"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7" w:lineRule="auto"/>
        <w:outlineLvl w:val="2"/>
        <w:rPr>
          <w:rFonts w:ascii="FangSong" w:hAnsi="FangSong" w:eastAsia="FangSong" w:cs="FangSong"/>
          <w:sz w:val="24"/>
          <w:szCs w:val="24"/>
        </w:rPr>
      </w:pPr>
      <w:bookmarkStart w:name="bookmark222" w:id="300"/>
      <w:bookmarkEnd w:id="300"/>
      <w:bookmarkStart w:name="bookmark221" w:id="301"/>
      <w:bookmarkEnd w:id="301"/>
      <w:r>
        <w:rPr>
          <w:rFonts w:ascii="Times New Roman" w:hAnsi="Times New Roman" w:eastAsia="Times New Roman" w:cs="Times New Roman"/>
          <w:sz w:val="24"/>
          <w:szCs w:val="24"/>
          <w:b/>
          <w:bCs/>
          <w:spacing w:val="-5"/>
        </w:rPr>
        <w:t>5.3.1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5"/>
        </w:rPr>
        <w:t>地层</w:t>
      </w:r>
    </w:p>
    <w:p>
      <w:pPr>
        <w:ind w:left="29" w:right="99" w:firstLine="480"/>
        <w:spacing w:before="172" w:line="360" w:lineRule="auto"/>
        <w:jc w:val="both"/>
        <w:rPr>
          <w:rFonts w:ascii="FangSong" w:hAnsi="FangSong" w:eastAsia="FangSong" w:cs="FangSong"/>
          <w:sz w:val="24"/>
          <w:szCs w:val="24"/>
        </w:rPr>
      </w:pPr>
      <w:r>
        <w:rPr>
          <w:rFonts w:ascii="FangSong" w:hAnsi="FangSong" w:eastAsia="FangSong" w:cs="FangSong"/>
          <w:sz w:val="24"/>
          <w:szCs w:val="24"/>
          <w:spacing w:val="-3"/>
        </w:rPr>
        <w:t>本项目所在区域周边区域内出露的地层相对较</w:t>
      </w:r>
      <w:r>
        <w:rPr>
          <w:rFonts w:ascii="FangSong" w:hAnsi="FangSong" w:eastAsia="FangSong" w:cs="FangSong"/>
          <w:sz w:val="24"/>
          <w:szCs w:val="24"/>
          <w:spacing w:val="-4"/>
        </w:rPr>
        <w:t>为简单，主要有中元古代蓟县</w:t>
      </w:r>
      <w:r>
        <w:rPr>
          <w:rFonts w:ascii="FangSong" w:hAnsi="FangSong" w:eastAsia="FangSong" w:cs="FangSong"/>
          <w:sz w:val="24"/>
          <w:szCs w:val="24"/>
          <w:spacing w:val="-3"/>
        </w:rPr>
        <w:t>系、晚古生代二叠系、新生代新近系及分布面积较大的第四系。依</w:t>
      </w:r>
      <w:r>
        <w:rPr>
          <w:rFonts w:ascii="FangSong" w:hAnsi="FangSong" w:eastAsia="FangSong" w:cs="FangSong"/>
          <w:sz w:val="24"/>
          <w:szCs w:val="24"/>
          <w:spacing w:val="-4"/>
        </w:rPr>
        <w:t>据《内蒙古岩</w:t>
      </w:r>
      <w:r>
        <w:rPr>
          <w:rFonts w:ascii="FangSong" w:hAnsi="FangSong" w:eastAsia="FangSong" w:cs="FangSong"/>
          <w:sz w:val="24"/>
          <w:szCs w:val="24"/>
          <w:spacing w:val="-1"/>
        </w:rPr>
        <w:t>石地层》清理成果，由老至新叙述如下，见表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2"/>
        </w:rPr>
        <w:t>3-1</w:t>
      </w:r>
      <w:r>
        <w:rPr>
          <w:rFonts w:ascii="FangSong" w:hAnsi="FangSong" w:eastAsia="FangSong" w:cs="FangSong"/>
          <w:sz w:val="24"/>
          <w:szCs w:val="24"/>
          <w:spacing w:val="-2"/>
        </w:rPr>
        <w:t>。</w:t>
      </w:r>
    </w:p>
    <w:p>
      <w:pPr>
        <w:ind w:left="2640"/>
        <w:spacing w:line="222" w:lineRule="auto"/>
        <w:rPr>
          <w:rFonts w:ascii="FangSong" w:hAnsi="FangSong" w:eastAsia="FangSong" w:cs="FangSong"/>
          <w:sz w:val="24"/>
          <w:szCs w:val="24"/>
        </w:rPr>
      </w:pPr>
      <w:r>
        <w:rPr>
          <w:rFonts w:ascii="FangSong" w:hAnsi="FangSong" w:eastAsia="FangSong" w:cs="FangSong"/>
          <w:sz w:val="24"/>
          <w:szCs w:val="24"/>
          <w:b/>
          <w:bCs/>
          <w:spacing w:val="-6"/>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6"/>
        </w:rPr>
        <w:t>5.3-1</w:t>
      </w:r>
      <w:r>
        <w:rPr>
          <w:rFonts w:ascii="Times New Roman" w:hAnsi="Times New Roman" w:eastAsia="Times New Roman" w:cs="Times New Roman"/>
          <w:sz w:val="24"/>
          <w:szCs w:val="24"/>
          <w:b/>
          <w:bCs/>
          <w:spacing w:val="18"/>
          <w:w w:val="101"/>
        </w:rPr>
        <w:t xml:space="preserve">  </w:t>
      </w:r>
      <w:r>
        <w:rPr>
          <w:rFonts w:ascii="FangSong" w:hAnsi="FangSong" w:eastAsia="FangSong" w:cs="FangSong"/>
          <w:sz w:val="24"/>
          <w:szCs w:val="24"/>
          <w:b/>
          <w:bCs/>
          <w:spacing w:val="-6"/>
        </w:rPr>
        <w:t>区域地层层序分列表</w:t>
      </w:r>
    </w:p>
    <w:p>
      <w:pPr>
        <w:spacing w:line="64" w:lineRule="exact"/>
        <w:rPr/>
      </w:pPr>
      <w:r/>
    </w:p>
    <w:tbl>
      <w:tblPr>
        <w:tblStyle w:val="TableNormal"/>
        <w:tblW w:w="8304"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9"/>
        <w:gridCol w:w="638"/>
        <w:gridCol w:w="862"/>
        <w:gridCol w:w="979"/>
        <w:gridCol w:w="1208"/>
        <w:gridCol w:w="3088"/>
        <w:gridCol w:w="780"/>
      </w:tblGrid>
      <w:tr>
        <w:trPr>
          <w:trHeight w:val="320" w:hRule="atLeast"/>
        </w:trPr>
        <w:tc>
          <w:tcPr>
            <w:tcW w:w="3228" w:type="dxa"/>
            <w:vAlign w:val="top"/>
            <w:gridSpan w:val="4"/>
            <w:tcBorders>
              <w:left w:val="nil"/>
              <w:top w:val="single" w:color="000000" w:sz="10" w:space="0"/>
            </w:tcBorders>
          </w:tcPr>
          <w:p>
            <w:pPr>
              <w:pStyle w:val="TableText"/>
              <w:ind w:left="1049"/>
              <w:spacing w:before="55" w:line="232" w:lineRule="auto"/>
              <w:rPr/>
            </w:pPr>
            <w:r>
              <w:rPr>
                <w:spacing w:val="-8"/>
              </w:rPr>
              <w:t>地</w:t>
            </w:r>
            <w:r>
              <w:rPr>
                <w:spacing w:val="20"/>
              </w:rPr>
              <w:t xml:space="preserve"> </w:t>
            </w:r>
            <w:r>
              <w:rPr>
                <w:spacing w:val="-8"/>
              </w:rPr>
              <w:t>层</w:t>
            </w:r>
            <w:r>
              <w:rPr>
                <w:spacing w:val="34"/>
              </w:rPr>
              <w:t xml:space="preserve"> </w:t>
            </w:r>
            <w:r>
              <w:rPr>
                <w:spacing w:val="-8"/>
              </w:rPr>
              <w:t>时</w:t>
            </w:r>
            <w:r>
              <w:rPr>
                <w:spacing w:val="25"/>
              </w:rPr>
              <w:t xml:space="preserve"> </w:t>
            </w:r>
            <w:r>
              <w:rPr>
                <w:spacing w:val="-8"/>
              </w:rPr>
              <w:t>代</w:t>
            </w:r>
          </w:p>
        </w:tc>
        <w:tc>
          <w:tcPr>
            <w:tcW w:w="1208" w:type="dxa"/>
            <w:vAlign w:val="top"/>
            <w:vMerge w:val="restart"/>
            <w:tcBorders>
              <w:top w:val="single" w:color="000000" w:sz="10" w:space="0"/>
              <w:bottom w:val="nil"/>
            </w:tcBorders>
          </w:tcPr>
          <w:p>
            <w:pPr>
              <w:pStyle w:val="TableText"/>
              <w:ind w:left="410" w:right="77" w:hanging="316"/>
              <w:spacing w:before="60" w:line="263" w:lineRule="auto"/>
              <w:rPr/>
            </w:pPr>
            <w:r>
              <w:rPr>
                <w:spacing w:val="6"/>
              </w:rPr>
              <w:t>代号及接触</w:t>
            </w:r>
            <w:r>
              <w:rPr>
                <w:spacing w:val="-1"/>
              </w:rPr>
              <w:t>关系</w:t>
            </w:r>
          </w:p>
        </w:tc>
        <w:tc>
          <w:tcPr>
            <w:tcW w:w="3088" w:type="dxa"/>
            <w:vAlign w:val="top"/>
            <w:vMerge w:val="restart"/>
            <w:tcBorders>
              <w:top w:val="single" w:color="000000" w:sz="10" w:space="0"/>
              <w:bottom w:val="nil"/>
            </w:tcBorders>
          </w:tcPr>
          <w:p>
            <w:pPr>
              <w:pStyle w:val="TableText"/>
              <w:ind w:left="825"/>
              <w:spacing w:before="216" w:line="229" w:lineRule="auto"/>
              <w:rPr/>
            </w:pPr>
            <w:r>
              <w:rPr>
                <w:spacing w:val="-6"/>
              </w:rPr>
              <w:t>主</w:t>
            </w:r>
            <w:r>
              <w:rPr>
                <w:spacing w:val="14"/>
              </w:rPr>
              <w:t xml:space="preserve">  </w:t>
            </w:r>
            <w:r>
              <w:rPr>
                <w:spacing w:val="-6"/>
              </w:rPr>
              <w:t>要</w:t>
            </w:r>
            <w:r>
              <w:rPr>
                <w:spacing w:val="12"/>
              </w:rPr>
              <w:t xml:space="preserve">  </w:t>
            </w:r>
            <w:r>
              <w:rPr>
                <w:spacing w:val="-6"/>
              </w:rPr>
              <w:t>岩</w:t>
            </w:r>
            <w:r>
              <w:rPr>
                <w:spacing w:val="14"/>
              </w:rPr>
              <w:t xml:space="preserve">  </w:t>
            </w:r>
            <w:r>
              <w:rPr>
                <w:spacing w:val="-6"/>
              </w:rPr>
              <w:t>性</w:t>
            </w:r>
          </w:p>
        </w:tc>
        <w:tc>
          <w:tcPr>
            <w:tcW w:w="780" w:type="dxa"/>
            <w:vAlign w:val="top"/>
            <w:vMerge w:val="restart"/>
            <w:tcBorders>
              <w:right w:val="nil"/>
              <w:top w:val="single" w:color="000000" w:sz="10" w:space="0"/>
              <w:bottom w:val="nil"/>
            </w:tcBorders>
          </w:tcPr>
          <w:p>
            <w:pPr>
              <w:pStyle w:val="TableText"/>
              <w:ind w:left="116" w:right="116" w:firstLine="80"/>
              <w:spacing w:before="60" w:line="263" w:lineRule="auto"/>
              <w:rPr/>
            </w:pPr>
            <w:r>
              <w:rPr/>
              <w:t>厚度</w:t>
            </w:r>
            <w:r>
              <w:rPr>
                <w:spacing w:val="-4"/>
              </w:rPr>
              <w:t>（</w:t>
            </w:r>
            <w:r>
              <w:rPr>
                <w:rFonts w:ascii="Times New Roman" w:hAnsi="Times New Roman" w:eastAsia="Times New Roman" w:cs="Times New Roman"/>
                <w:spacing w:val="-4"/>
              </w:rPr>
              <w:t>m</w:t>
            </w:r>
            <w:r>
              <w:rPr>
                <w:spacing w:val="-4"/>
              </w:rPr>
              <w:t>）</w:t>
            </w:r>
          </w:p>
        </w:tc>
      </w:tr>
      <w:tr>
        <w:trPr>
          <w:trHeight w:val="315" w:hRule="atLeast"/>
        </w:trPr>
        <w:tc>
          <w:tcPr>
            <w:tcW w:w="749" w:type="dxa"/>
            <w:vAlign w:val="top"/>
            <w:tcBorders>
              <w:left w:val="nil"/>
            </w:tcBorders>
          </w:tcPr>
          <w:p>
            <w:pPr>
              <w:pStyle w:val="TableText"/>
              <w:ind w:left="280"/>
              <w:spacing w:before="51" w:line="232" w:lineRule="auto"/>
              <w:rPr/>
            </w:pPr>
            <w:r>
              <w:rPr/>
              <w:t>界</w:t>
            </w:r>
          </w:p>
        </w:tc>
        <w:tc>
          <w:tcPr>
            <w:tcW w:w="638" w:type="dxa"/>
            <w:vAlign w:val="top"/>
          </w:tcPr>
          <w:p>
            <w:pPr>
              <w:pStyle w:val="TableText"/>
              <w:ind w:left="232"/>
              <w:spacing w:before="52" w:line="233" w:lineRule="auto"/>
              <w:rPr/>
            </w:pPr>
            <w:r>
              <w:rPr/>
              <w:t>系</w:t>
            </w:r>
          </w:p>
        </w:tc>
        <w:tc>
          <w:tcPr>
            <w:tcW w:w="862" w:type="dxa"/>
            <w:vAlign w:val="top"/>
          </w:tcPr>
          <w:p>
            <w:pPr>
              <w:pStyle w:val="TableText"/>
              <w:ind w:left="342"/>
              <w:spacing w:before="52" w:line="233" w:lineRule="auto"/>
              <w:rPr/>
            </w:pPr>
            <w:r>
              <w:rPr/>
              <w:t>统</w:t>
            </w:r>
          </w:p>
        </w:tc>
        <w:tc>
          <w:tcPr>
            <w:tcW w:w="979" w:type="dxa"/>
            <w:vAlign w:val="top"/>
          </w:tcPr>
          <w:p>
            <w:pPr>
              <w:pStyle w:val="TableText"/>
              <w:ind w:left="395"/>
              <w:spacing w:before="52" w:line="233" w:lineRule="auto"/>
              <w:rPr/>
            </w:pPr>
            <w:r>
              <w:rPr/>
              <w:t>组</w:t>
            </w:r>
          </w:p>
        </w:tc>
        <w:tc>
          <w:tcPr>
            <w:tcW w:w="1208" w:type="dxa"/>
            <w:vAlign w:val="top"/>
            <w:vMerge w:val="continue"/>
            <w:tcBorders>
              <w:top w:val="nil"/>
            </w:tcBorders>
          </w:tcPr>
          <w:p>
            <w:pPr>
              <w:rPr>
                <w:rFonts w:ascii="Arial"/>
                <w:sz w:val="21"/>
              </w:rPr>
            </w:pPr>
            <w:r/>
          </w:p>
        </w:tc>
        <w:tc>
          <w:tcPr>
            <w:tcW w:w="3088" w:type="dxa"/>
            <w:vAlign w:val="top"/>
            <w:vMerge w:val="continue"/>
            <w:tcBorders>
              <w:top w:val="nil"/>
            </w:tcBorders>
          </w:tcPr>
          <w:p>
            <w:pPr>
              <w:rPr>
                <w:rFonts w:ascii="Arial"/>
                <w:sz w:val="21"/>
              </w:rPr>
            </w:pPr>
            <w:r/>
          </w:p>
        </w:tc>
        <w:tc>
          <w:tcPr>
            <w:tcW w:w="780" w:type="dxa"/>
            <w:vAlign w:val="top"/>
            <w:vMerge w:val="continue"/>
            <w:tcBorders>
              <w:right w:val="nil"/>
              <w:top w:val="nil"/>
            </w:tcBorders>
          </w:tcPr>
          <w:p>
            <w:pPr>
              <w:rPr>
                <w:rFonts w:ascii="Arial"/>
                <w:sz w:val="21"/>
              </w:rPr>
            </w:pPr>
            <w:r/>
          </w:p>
        </w:tc>
      </w:tr>
      <w:tr>
        <w:trPr>
          <w:trHeight w:val="315" w:hRule="atLeast"/>
        </w:trPr>
        <w:tc>
          <w:tcPr>
            <w:tcW w:w="749" w:type="dxa"/>
            <w:vAlign w:val="top"/>
            <w:vMerge w:val="restart"/>
            <w:tcBorders>
              <w:left w:val="nil"/>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70"/>
              <w:spacing w:before="65" w:line="231" w:lineRule="auto"/>
              <w:rPr/>
            </w:pPr>
            <w:r>
              <w:rPr>
                <w:spacing w:val="5"/>
              </w:rPr>
              <w:t>新生界</w:t>
            </w:r>
          </w:p>
        </w:tc>
        <w:tc>
          <w:tcPr>
            <w:tcW w:w="638" w:type="dxa"/>
            <w:vAlign w:val="top"/>
            <w:vMerge w:val="restart"/>
            <w:tcBorders>
              <w:bottom w:val="nil"/>
            </w:tcBorders>
          </w:tcPr>
          <w:p>
            <w:pPr>
              <w:spacing w:line="471" w:lineRule="auto"/>
              <w:rPr>
                <w:rFonts w:ascii="Arial"/>
                <w:sz w:val="21"/>
              </w:rPr>
            </w:pPr>
            <w:r/>
          </w:p>
          <w:p>
            <w:pPr>
              <w:pStyle w:val="TableText"/>
              <w:ind w:left="232" w:right="109" w:hanging="104"/>
              <w:spacing w:before="65" w:line="289" w:lineRule="auto"/>
              <w:rPr/>
            </w:pPr>
            <w:r>
              <w:rPr>
                <w:spacing w:val="-3"/>
              </w:rPr>
              <w:t>第四</w:t>
            </w:r>
            <w:r>
              <w:rPr/>
              <w:t>系</w:t>
            </w:r>
          </w:p>
        </w:tc>
        <w:tc>
          <w:tcPr>
            <w:tcW w:w="862" w:type="dxa"/>
            <w:vAlign w:val="top"/>
            <w:vMerge w:val="restart"/>
            <w:tcBorders>
              <w:bottom w:val="nil"/>
            </w:tcBorders>
          </w:tcPr>
          <w:p>
            <w:pPr>
              <w:spacing w:line="465" w:lineRule="auto"/>
              <w:rPr>
                <w:rFonts w:ascii="Arial"/>
                <w:sz w:val="21"/>
              </w:rPr>
            </w:pPr>
            <w:r/>
          </w:p>
          <w:p>
            <w:pPr>
              <w:pStyle w:val="TableText"/>
              <w:ind w:left="131"/>
              <w:spacing w:before="65" w:line="231" w:lineRule="auto"/>
              <w:rPr/>
            </w:pPr>
            <w:r>
              <w:rPr>
                <w:spacing w:val="3"/>
              </w:rPr>
              <w:t>全新统</w:t>
            </w:r>
          </w:p>
        </w:tc>
        <w:tc>
          <w:tcPr>
            <w:tcW w:w="979" w:type="dxa"/>
            <w:vAlign w:val="top"/>
            <w:vMerge w:val="restart"/>
            <w:tcBorders>
              <w:bottom w:val="nil"/>
            </w:tcBorders>
          </w:tcPr>
          <w:p>
            <w:pPr>
              <w:rPr>
                <w:rFonts w:ascii="Arial"/>
                <w:sz w:val="21"/>
              </w:rPr>
            </w:pPr>
            <w:r/>
          </w:p>
        </w:tc>
        <w:tc>
          <w:tcPr>
            <w:tcW w:w="1208" w:type="dxa"/>
            <w:vAlign w:val="top"/>
          </w:tcPr>
          <w:p>
            <w:pPr>
              <w:ind w:left="415"/>
              <w:spacing w:before="69" w:line="22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position w:val="-1"/>
              </w:rPr>
              <w:t>Q</w:t>
            </w:r>
            <w:r>
              <w:rPr>
                <w:rFonts w:ascii="Times New Roman" w:hAnsi="Times New Roman" w:eastAsia="Times New Roman" w:cs="Times New Roman"/>
                <w:sz w:val="13"/>
                <w:szCs w:val="13"/>
                <w:spacing w:val="2"/>
                <w:position w:val="-3"/>
              </w:rPr>
              <w:t>h</w:t>
            </w:r>
            <w:r>
              <w:rPr>
                <w:rFonts w:ascii="Times New Roman" w:hAnsi="Times New Roman" w:eastAsia="Times New Roman" w:cs="Times New Roman"/>
                <w:sz w:val="13"/>
                <w:szCs w:val="13"/>
                <w:spacing w:val="2"/>
                <w:position w:val="5"/>
              </w:rPr>
              <w:t>eol</w:t>
            </w:r>
          </w:p>
        </w:tc>
        <w:tc>
          <w:tcPr>
            <w:tcW w:w="3088" w:type="dxa"/>
            <w:vAlign w:val="top"/>
          </w:tcPr>
          <w:p>
            <w:pPr>
              <w:pStyle w:val="TableText"/>
              <w:ind w:left="1032"/>
              <w:spacing w:before="55" w:line="230" w:lineRule="auto"/>
              <w:rPr/>
            </w:pPr>
            <w:r>
              <w:rPr>
                <w:spacing w:val="6"/>
              </w:rPr>
              <w:t>风积砂土层</w:t>
            </w:r>
          </w:p>
        </w:tc>
        <w:tc>
          <w:tcPr>
            <w:tcW w:w="780" w:type="dxa"/>
            <w:vAlign w:val="top"/>
            <w:tcBorders>
              <w:right w:val="nil"/>
            </w:tcBorders>
          </w:tcPr>
          <w:p>
            <w:pPr>
              <w:ind w:left="17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0.2-7</w:t>
            </w:r>
          </w:p>
        </w:tc>
      </w:tr>
      <w:tr>
        <w:trPr>
          <w:trHeight w:val="315" w:hRule="atLeast"/>
        </w:trPr>
        <w:tc>
          <w:tcPr>
            <w:tcW w:w="749" w:type="dxa"/>
            <w:vAlign w:val="top"/>
            <w:vMerge w:val="continue"/>
            <w:tcBorders>
              <w:left w:val="nil"/>
              <w:top w:val="nil"/>
              <w:bottom w:val="nil"/>
            </w:tcBorders>
          </w:tcPr>
          <w:p>
            <w:pPr>
              <w:rPr>
                <w:rFonts w:ascii="Arial"/>
                <w:sz w:val="21"/>
              </w:rPr>
            </w:pPr>
            <w:r/>
          </w:p>
        </w:tc>
        <w:tc>
          <w:tcPr>
            <w:tcW w:w="638" w:type="dxa"/>
            <w:vAlign w:val="top"/>
            <w:vMerge w:val="continue"/>
            <w:tcBorders>
              <w:top w:val="nil"/>
              <w:bottom w:val="nil"/>
            </w:tcBorders>
          </w:tcPr>
          <w:p>
            <w:pPr>
              <w:rPr>
                <w:rFonts w:ascii="Arial"/>
                <w:sz w:val="21"/>
              </w:rPr>
            </w:pPr>
            <w:r/>
          </w:p>
        </w:tc>
        <w:tc>
          <w:tcPr>
            <w:tcW w:w="862" w:type="dxa"/>
            <w:vAlign w:val="top"/>
            <w:vMerge w:val="continue"/>
            <w:tcBorders>
              <w:top w:val="nil"/>
              <w:bottom w:val="nil"/>
            </w:tcBorders>
          </w:tcPr>
          <w:p>
            <w:pPr>
              <w:rPr>
                <w:rFonts w:ascii="Arial"/>
                <w:sz w:val="21"/>
              </w:rPr>
            </w:pPr>
            <w:r/>
          </w:p>
        </w:tc>
        <w:tc>
          <w:tcPr>
            <w:tcW w:w="979" w:type="dxa"/>
            <w:vAlign w:val="top"/>
            <w:vMerge w:val="continue"/>
            <w:tcBorders>
              <w:top w:val="nil"/>
              <w:bottom w:val="nil"/>
            </w:tcBorders>
          </w:tcPr>
          <w:p>
            <w:pPr>
              <w:rPr>
                <w:rFonts w:ascii="Arial"/>
                <w:sz w:val="21"/>
              </w:rPr>
            </w:pPr>
            <w:r/>
          </w:p>
        </w:tc>
        <w:tc>
          <w:tcPr>
            <w:tcW w:w="1208" w:type="dxa"/>
            <w:vAlign w:val="top"/>
          </w:tcPr>
          <w:p>
            <w:pPr>
              <w:ind w:left="357"/>
              <w:spacing w:before="71" w:line="22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Q</w:t>
            </w:r>
            <w:r>
              <w:rPr>
                <w:rFonts w:ascii="Times New Roman" w:hAnsi="Times New Roman" w:eastAsia="Times New Roman" w:cs="Times New Roman"/>
                <w:sz w:val="13"/>
                <w:szCs w:val="13"/>
                <w:position w:val="-4"/>
              </w:rPr>
              <w:t>h</w:t>
            </w:r>
            <w:r>
              <w:rPr>
                <w:rFonts w:ascii="Times New Roman" w:hAnsi="Times New Roman" w:eastAsia="Times New Roman" w:cs="Times New Roman"/>
                <w:sz w:val="13"/>
                <w:szCs w:val="13"/>
                <w:position w:val="3"/>
              </w:rPr>
              <w:t>al</w:t>
            </w:r>
            <w:r>
              <w:rPr>
                <w:rFonts w:ascii="Times New Roman" w:hAnsi="Times New Roman" w:eastAsia="Times New Roman" w:cs="Times New Roman"/>
                <w:sz w:val="13"/>
                <w:szCs w:val="13"/>
                <w:spacing w:val="13"/>
                <w:position w:val="3"/>
              </w:rPr>
              <w:t>+</w:t>
            </w:r>
            <w:r>
              <w:rPr>
                <w:rFonts w:ascii="Times New Roman" w:hAnsi="Times New Roman" w:eastAsia="Times New Roman" w:cs="Times New Roman"/>
                <w:sz w:val="13"/>
                <w:szCs w:val="13"/>
                <w:position w:val="3"/>
              </w:rPr>
              <w:t>pl</w:t>
            </w:r>
          </w:p>
        </w:tc>
        <w:tc>
          <w:tcPr>
            <w:tcW w:w="3088" w:type="dxa"/>
            <w:vAlign w:val="top"/>
          </w:tcPr>
          <w:p>
            <w:pPr>
              <w:pStyle w:val="TableText"/>
              <w:ind w:left="192"/>
              <w:spacing w:before="58" w:line="228" w:lineRule="auto"/>
              <w:rPr/>
            </w:pPr>
            <w:r>
              <w:rPr>
                <w:spacing w:val="8"/>
              </w:rPr>
              <w:t>冲洪积含砾砂土层及湖积淤泥</w:t>
            </w:r>
          </w:p>
        </w:tc>
        <w:tc>
          <w:tcPr>
            <w:tcW w:w="780" w:type="dxa"/>
            <w:vAlign w:val="top"/>
            <w:tcBorders>
              <w:right w:val="nil"/>
            </w:tcBorders>
          </w:tcPr>
          <w:p>
            <w:pPr>
              <w:ind w:left="20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8-15</w:t>
            </w:r>
          </w:p>
        </w:tc>
      </w:tr>
      <w:tr>
        <w:trPr>
          <w:trHeight w:val="626" w:hRule="atLeast"/>
        </w:trPr>
        <w:tc>
          <w:tcPr>
            <w:tcW w:w="749" w:type="dxa"/>
            <w:vAlign w:val="top"/>
            <w:vMerge w:val="continue"/>
            <w:tcBorders>
              <w:left w:val="nil"/>
              <w:top w:val="nil"/>
              <w:bottom w:val="nil"/>
            </w:tcBorders>
          </w:tcPr>
          <w:p>
            <w:pPr>
              <w:rPr>
                <w:rFonts w:ascii="Arial"/>
                <w:sz w:val="21"/>
              </w:rPr>
            </w:pPr>
            <w:r/>
          </w:p>
        </w:tc>
        <w:tc>
          <w:tcPr>
            <w:tcW w:w="638" w:type="dxa"/>
            <w:vAlign w:val="top"/>
            <w:vMerge w:val="continue"/>
            <w:tcBorders>
              <w:top w:val="nil"/>
              <w:bottom w:val="nil"/>
            </w:tcBorders>
          </w:tcPr>
          <w:p>
            <w:pPr>
              <w:rPr>
                <w:rFonts w:ascii="Arial"/>
                <w:sz w:val="21"/>
              </w:rPr>
            </w:pPr>
            <w:r/>
          </w:p>
        </w:tc>
        <w:tc>
          <w:tcPr>
            <w:tcW w:w="862"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208" w:type="dxa"/>
            <w:vAlign w:val="top"/>
          </w:tcPr>
          <w:p>
            <w:pPr>
              <w:ind w:left="357"/>
              <w:spacing w:before="229" w:line="22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Q</w:t>
            </w:r>
            <w:r>
              <w:rPr>
                <w:rFonts w:ascii="Times New Roman" w:hAnsi="Times New Roman" w:eastAsia="Times New Roman" w:cs="Times New Roman"/>
                <w:sz w:val="13"/>
                <w:szCs w:val="13"/>
                <w:position w:val="-4"/>
              </w:rPr>
              <w:t>h</w:t>
            </w:r>
            <w:r>
              <w:rPr>
                <w:rFonts w:ascii="Times New Roman" w:hAnsi="Times New Roman" w:eastAsia="Times New Roman" w:cs="Times New Roman"/>
                <w:sz w:val="13"/>
                <w:szCs w:val="13"/>
                <w:position w:val="3"/>
              </w:rPr>
              <w:t>al</w:t>
            </w:r>
            <w:r>
              <w:rPr>
                <w:rFonts w:ascii="Times New Roman" w:hAnsi="Times New Roman" w:eastAsia="Times New Roman" w:cs="Times New Roman"/>
                <w:sz w:val="13"/>
                <w:szCs w:val="13"/>
                <w:spacing w:val="16"/>
                <w:position w:val="3"/>
              </w:rPr>
              <w:t>+</w:t>
            </w:r>
            <w:r>
              <w:rPr>
                <w:rFonts w:ascii="Times New Roman" w:hAnsi="Times New Roman" w:eastAsia="Times New Roman" w:cs="Times New Roman"/>
                <w:sz w:val="13"/>
                <w:szCs w:val="13"/>
                <w:position w:val="3"/>
              </w:rPr>
              <w:t>dl</w:t>
            </w:r>
          </w:p>
        </w:tc>
        <w:tc>
          <w:tcPr>
            <w:tcW w:w="3088" w:type="dxa"/>
            <w:vAlign w:val="top"/>
          </w:tcPr>
          <w:p>
            <w:pPr>
              <w:pStyle w:val="TableText"/>
              <w:ind w:left="17"/>
              <w:spacing w:before="59" w:line="229" w:lineRule="auto"/>
              <w:rPr/>
            </w:pPr>
            <w:r>
              <w:rPr>
                <w:spacing w:val="4"/>
              </w:rPr>
              <w:t>冲洪积含砾砂石层、坡积基岩碎石</w:t>
            </w:r>
          </w:p>
          <w:p>
            <w:pPr>
              <w:pStyle w:val="TableText"/>
              <w:ind w:left="1344"/>
              <w:spacing w:before="63" w:line="226" w:lineRule="auto"/>
              <w:rPr/>
            </w:pPr>
            <w:r>
              <w:rPr>
                <w:spacing w:val="2"/>
              </w:rPr>
              <w:t>块层</w:t>
            </w:r>
          </w:p>
        </w:tc>
        <w:tc>
          <w:tcPr>
            <w:tcW w:w="780" w:type="dxa"/>
            <w:vAlign w:val="top"/>
            <w:tcBorders>
              <w:right w:val="nil"/>
            </w:tcBorders>
          </w:tcPr>
          <w:p>
            <w:pPr>
              <w:ind w:left="205"/>
              <w:spacing w:before="2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3-10</w:t>
            </w:r>
          </w:p>
        </w:tc>
      </w:tr>
      <w:tr>
        <w:trPr>
          <w:trHeight w:val="315" w:hRule="atLeast"/>
        </w:trPr>
        <w:tc>
          <w:tcPr>
            <w:tcW w:w="749" w:type="dxa"/>
            <w:vAlign w:val="top"/>
            <w:vMerge w:val="continue"/>
            <w:tcBorders>
              <w:left w:val="nil"/>
              <w:top w:val="nil"/>
              <w:bottom w:val="nil"/>
            </w:tcBorders>
          </w:tcPr>
          <w:p>
            <w:pPr>
              <w:rPr>
                <w:rFonts w:ascii="Arial"/>
                <w:sz w:val="21"/>
              </w:rPr>
            </w:pPr>
            <w:r/>
          </w:p>
        </w:tc>
        <w:tc>
          <w:tcPr>
            <w:tcW w:w="638" w:type="dxa"/>
            <w:vAlign w:val="top"/>
            <w:vMerge w:val="continue"/>
            <w:tcBorders>
              <w:top w:val="nil"/>
            </w:tcBorders>
          </w:tcPr>
          <w:p>
            <w:pPr>
              <w:rPr>
                <w:rFonts w:ascii="Arial"/>
                <w:sz w:val="21"/>
              </w:rPr>
            </w:pPr>
            <w:r/>
          </w:p>
        </w:tc>
        <w:tc>
          <w:tcPr>
            <w:tcW w:w="862" w:type="dxa"/>
            <w:vAlign w:val="top"/>
          </w:tcPr>
          <w:p>
            <w:pPr>
              <w:pStyle w:val="TableText"/>
              <w:ind w:left="129"/>
              <w:spacing w:before="62" w:line="224" w:lineRule="auto"/>
              <w:rPr/>
            </w:pPr>
            <w:r>
              <w:rPr>
                <w:spacing w:val="4"/>
              </w:rPr>
              <w:t>更新统</w:t>
            </w:r>
          </w:p>
        </w:tc>
        <w:tc>
          <w:tcPr>
            <w:tcW w:w="979" w:type="dxa"/>
            <w:vAlign w:val="top"/>
          </w:tcPr>
          <w:p>
            <w:pPr>
              <w:rPr>
                <w:rFonts w:ascii="Arial"/>
                <w:sz w:val="21"/>
              </w:rPr>
            </w:pPr>
            <w:r/>
          </w:p>
        </w:tc>
        <w:tc>
          <w:tcPr>
            <w:tcW w:w="1208" w:type="dxa"/>
            <w:vAlign w:val="top"/>
          </w:tcPr>
          <w:p>
            <w:pPr>
              <w:ind w:left="355"/>
              <w:spacing w:before="75" w:line="22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Q</w:t>
            </w:r>
            <w:r>
              <w:rPr>
                <w:rFonts w:ascii="Times New Roman" w:hAnsi="Times New Roman" w:eastAsia="Times New Roman" w:cs="Times New Roman"/>
                <w:sz w:val="13"/>
                <w:szCs w:val="13"/>
                <w:position w:val="-4"/>
              </w:rPr>
              <w:t>p</w:t>
            </w:r>
            <w:r>
              <w:rPr>
                <w:rFonts w:ascii="Times New Roman" w:hAnsi="Times New Roman" w:eastAsia="Times New Roman" w:cs="Times New Roman"/>
                <w:sz w:val="13"/>
                <w:szCs w:val="13"/>
                <w:position w:val="3"/>
              </w:rPr>
              <w:t>dl</w:t>
            </w:r>
            <w:r>
              <w:rPr>
                <w:rFonts w:ascii="Times New Roman" w:hAnsi="Times New Roman" w:eastAsia="Times New Roman" w:cs="Times New Roman"/>
                <w:sz w:val="13"/>
                <w:szCs w:val="13"/>
                <w:spacing w:val="13"/>
                <w:position w:val="3"/>
              </w:rPr>
              <w:t>+</w:t>
            </w:r>
            <w:r>
              <w:rPr>
                <w:rFonts w:ascii="Times New Roman" w:hAnsi="Times New Roman" w:eastAsia="Times New Roman" w:cs="Times New Roman"/>
                <w:sz w:val="13"/>
                <w:szCs w:val="13"/>
                <w:position w:val="3"/>
              </w:rPr>
              <w:t>pl</w:t>
            </w:r>
          </w:p>
        </w:tc>
        <w:tc>
          <w:tcPr>
            <w:tcW w:w="3088" w:type="dxa"/>
            <w:vAlign w:val="top"/>
          </w:tcPr>
          <w:p>
            <w:pPr>
              <w:pStyle w:val="TableText"/>
              <w:ind w:left="507"/>
              <w:spacing w:before="62" w:line="224" w:lineRule="auto"/>
              <w:rPr/>
            </w:pPr>
            <w:r>
              <w:rPr>
                <w:spacing w:val="8"/>
              </w:rPr>
              <w:t>冲洪积半固结砂砾石层</w:t>
            </w:r>
          </w:p>
        </w:tc>
        <w:tc>
          <w:tcPr>
            <w:tcW w:w="780" w:type="dxa"/>
            <w:vAlign w:val="top"/>
            <w:tcBorders>
              <w:right w:val="nil"/>
            </w:tcBorders>
          </w:tcPr>
          <w:p>
            <w:pPr>
              <w:ind w:left="20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6-23</w:t>
            </w:r>
          </w:p>
        </w:tc>
      </w:tr>
      <w:tr>
        <w:trPr>
          <w:trHeight w:val="626" w:hRule="atLeast"/>
        </w:trPr>
        <w:tc>
          <w:tcPr>
            <w:tcW w:w="749" w:type="dxa"/>
            <w:vAlign w:val="top"/>
            <w:vMerge w:val="continue"/>
            <w:tcBorders>
              <w:left w:val="nil"/>
              <w:top w:val="nil"/>
              <w:bottom w:val="nil"/>
            </w:tcBorders>
          </w:tcPr>
          <w:p>
            <w:pPr>
              <w:rPr>
                <w:rFonts w:ascii="Arial"/>
                <w:sz w:val="21"/>
              </w:rPr>
            </w:pPr>
            <w:r/>
          </w:p>
        </w:tc>
        <w:tc>
          <w:tcPr>
            <w:tcW w:w="638" w:type="dxa"/>
            <w:vAlign w:val="top"/>
            <w:vMerge w:val="restart"/>
            <w:tcBorders>
              <w:bottom w:val="nil"/>
            </w:tcBorders>
          </w:tcPr>
          <w:p>
            <w:pPr>
              <w:spacing w:line="314" w:lineRule="auto"/>
              <w:rPr>
                <w:rFonts w:ascii="Arial"/>
                <w:sz w:val="21"/>
              </w:rPr>
            </w:pPr>
            <w:r/>
          </w:p>
          <w:p>
            <w:pPr>
              <w:pStyle w:val="TableText"/>
              <w:ind w:left="232" w:right="109" w:hanging="114"/>
              <w:spacing w:before="65" w:line="289" w:lineRule="auto"/>
              <w:rPr/>
            </w:pPr>
            <w:r>
              <w:rPr>
                <w:spacing w:val="2"/>
              </w:rPr>
              <w:t>新近</w:t>
            </w:r>
            <w:r>
              <w:rPr/>
              <w:t>系</w:t>
            </w:r>
          </w:p>
        </w:tc>
        <w:tc>
          <w:tcPr>
            <w:tcW w:w="862" w:type="dxa"/>
            <w:vAlign w:val="top"/>
          </w:tcPr>
          <w:p>
            <w:pPr>
              <w:pStyle w:val="TableText"/>
              <w:ind w:left="128"/>
              <w:spacing w:before="219" w:line="231" w:lineRule="auto"/>
              <w:rPr/>
            </w:pPr>
            <w:r>
              <w:rPr>
                <w:spacing w:val="4"/>
              </w:rPr>
              <w:t>上新统</w:t>
            </w:r>
          </w:p>
        </w:tc>
        <w:tc>
          <w:tcPr>
            <w:tcW w:w="979" w:type="dxa"/>
            <w:vAlign w:val="top"/>
          </w:tcPr>
          <w:p>
            <w:pPr>
              <w:pStyle w:val="TableText"/>
              <w:ind w:left="288" w:right="69" w:hanging="194"/>
              <w:spacing w:before="63" w:line="255" w:lineRule="auto"/>
              <w:rPr/>
            </w:pPr>
            <w:r>
              <w:rPr>
                <w:spacing w:val="2"/>
              </w:rPr>
              <w:t>宝格达乌</w:t>
            </w:r>
            <w:r>
              <w:rPr>
                <w:spacing w:val="2"/>
              </w:rPr>
              <w:t>拉组</w:t>
            </w:r>
          </w:p>
        </w:tc>
        <w:tc>
          <w:tcPr>
            <w:tcW w:w="1208" w:type="dxa"/>
            <w:vAlign w:val="top"/>
          </w:tcPr>
          <w:p>
            <w:pPr>
              <w:ind w:left="436"/>
              <w:spacing w:before="251" w:line="20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N</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20"/>
                <w:szCs w:val="20"/>
                <w:spacing w:val="5"/>
              </w:rPr>
              <w:t>b</w:t>
            </w:r>
          </w:p>
        </w:tc>
        <w:tc>
          <w:tcPr>
            <w:tcW w:w="3088" w:type="dxa"/>
            <w:vAlign w:val="top"/>
          </w:tcPr>
          <w:p>
            <w:pPr>
              <w:pStyle w:val="TableText"/>
              <w:ind w:left="506"/>
              <w:spacing w:before="219" w:line="230" w:lineRule="auto"/>
              <w:rPr/>
            </w:pPr>
            <w:r>
              <w:rPr>
                <w:spacing w:val="8"/>
              </w:rPr>
              <w:t>灰白色、黄褐色砂砾岩</w:t>
            </w:r>
          </w:p>
        </w:tc>
        <w:tc>
          <w:tcPr>
            <w:tcW w:w="780" w:type="dxa"/>
            <w:vAlign w:val="top"/>
            <w:tcBorders>
              <w:right w:val="nil"/>
            </w:tcBorders>
          </w:tcPr>
          <w:p>
            <w:pPr>
              <w:pStyle w:val="TableText"/>
              <w:ind w:left="154"/>
              <w:spacing w:before="219" w:line="270" w:lineRule="exact"/>
              <w:rPr>
                <w:rFonts w:ascii="Times New Roman" w:hAnsi="Times New Roman" w:eastAsia="Times New Roman" w:cs="Times New Roman"/>
              </w:rPr>
            </w:pPr>
            <w:r>
              <w:rPr>
                <w:spacing w:val="24"/>
                <w:position w:val="1"/>
              </w:rPr>
              <w:t>&gt;</w:t>
            </w:r>
            <w:r>
              <w:rPr>
                <w:rFonts w:ascii="Times New Roman" w:hAnsi="Times New Roman" w:eastAsia="Times New Roman" w:cs="Times New Roman"/>
                <w:spacing w:val="24"/>
                <w:position w:val="1"/>
              </w:rPr>
              <w:t>100</w:t>
            </w:r>
          </w:p>
        </w:tc>
      </w:tr>
      <w:tr>
        <w:trPr>
          <w:trHeight w:val="626" w:hRule="atLeast"/>
        </w:trPr>
        <w:tc>
          <w:tcPr>
            <w:tcW w:w="749" w:type="dxa"/>
            <w:vAlign w:val="top"/>
            <w:vMerge w:val="continue"/>
            <w:tcBorders>
              <w:left w:val="nil"/>
              <w:top w:val="nil"/>
            </w:tcBorders>
          </w:tcPr>
          <w:p>
            <w:pPr>
              <w:rPr>
                <w:rFonts w:ascii="Arial"/>
                <w:sz w:val="21"/>
              </w:rPr>
            </w:pPr>
            <w:r/>
          </w:p>
        </w:tc>
        <w:tc>
          <w:tcPr>
            <w:tcW w:w="638" w:type="dxa"/>
            <w:vAlign w:val="top"/>
            <w:vMerge w:val="continue"/>
            <w:tcBorders>
              <w:top w:val="nil"/>
            </w:tcBorders>
          </w:tcPr>
          <w:p>
            <w:pPr>
              <w:rPr>
                <w:rFonts w:ascii="Arial"/>
                <w:sz w:val="21"/>
              </w:rPr>
            </w:pPr>
            <w:r/>
          </w:p>
        </w:tc>
        <w:tc>
          <w:tcPr>
            <w:tcW w:w="862" w:type="dxa"/>
            <w:vAlign w:val="top"/>
          </w:tcPr>
          <w:p>
            <w:pPr>
              <w:pStyle w:val="TableText"/>
              <w:ind w:left="153"/>
              <w:spacing w:before="222" w:line="231" w:lineRule="auto"/>
              <w:rPr/>
            </w:pPr>
            <w:r>
              <w:rPr>
                <w:spacing w:val="-4"/>
              </w:rPr>
              <w:t>中新统</w:t>
            </w:r>
          </w:p>
        </w:tc>
        <w:tc>
          <w:tcPr>
            <w:tcW w:w="979" w:type="dxa"/>
            <w:vAlign w:val="top"/>
          </w:tcPr>
          <w:p>
            <w:pPr>
              <w:pStyle w:val="TableText"/>
              <w:ind w:left="84"/>
              <w:spacing w:before="222" w:line="229" w:lineRule="auto"/>
              <w:rPr/>
            </w:pPr>
            <w:r>
              <w:rPr>
                <w:spacing w:val="4"/>
              </w:rPr>
              <w:t>通古尔组</w:t>
            </w:r>
          </w:p>
        </w:tc>
        <w:tc>
          <w:tcPr>
            <w:tcW w:w="1208" w:type="dxa"/>
            <w:vAlign w:val="top"/>
          </w:tcPr>
          <w:p>
            <w:pPr>
              <w:ind w:left="460"/>
              <w:spacing w:before="26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N</w:t>
            </w:r>
            <w:r>
              <w:rPr>
                <w:rFonts w:ascii="Times New Roman" w:hAnsi="Times New Roman" w:eastAsia="Times New Roman" w:cs="Times New Roman"/>
                <w:sz w:val="13"/>
                <w:szCs w:val="13"/>
                <w:spacing w:val="4"/>
                <w:position w:val="-1"/>
              </w:rPr>
              <w:t>1</w:t>
            </w:r>
            <w:r>
              <w:rPr>
                <w:rFonts w:ascii="Times New Roman" w:hAnsi="Times New Roman" w:eastAsia="Times New Roman" w:cs="Times New Roman"/>
                <w:sz w:val="20"/>
                <w:szCs w:val="20"/>
                <w:spacing w:val="4"/>
              </w:rPr>
              <w:t>t</w:t>
            </w:r>
          </w:p>
        </w:tc>
        <w:tc>
          <w:tcPr>
            <w:tcW w:w="3088" w:type="dxa"/>
            <w:vAlign w:val="top"/>
          </w:tcPr>
          <w:p>
            <w:pPr>
              <w:pStyle w:val="TableText"/>
              <w:ind w:left="86"/>
              <w:spacing w:before="66" w:line="231" w:lineRule="auto"/>
              <w:rPr/>
            </w:pPr>
            <w:r>
              <w:rPr>
                <w:spacing w:val="8"/>
              </w:rPr>
              <w:t>上部为砖红色泥岩下部为灰白色</w:t>
            </w:r>
          </w:p>
          <w:p>
            <w:pPr>
              <w:pStyle w:val="TableText"/>
              <w:ind w:left="1238"/>
              <w:spacing w:before="62" w:line="219" w:lineRule="auto"/>
              <w:rPr/>
            </w:pPr>
            <w:r>
              <w:rPr>
                <w:spacing w:val="5"/>
              </w:rPr>
              <w:t>砂砾岩</w:t>
            </w:r>
          </w:p>
        </w:tc>
        <w:tc>
          <w:tcPr>
            <w:tcW w:w="780" w:type="dxa"/>
            <w:vAlign w:val="top"/>
            <w:tcBorders>
              <w:right w:val="nil"/>
            </w:tcBorders>
          </w:tcPr>
          <w:p>
            <w:pPr>
              <w:ind w:left="288"/>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r>
      <w:tr>
        <w:trPr>
          <w:trHeight w:val="626" w:hRule="atLeast"/>
        </w:trPr>
        <w:tc>
          <w:tcPr>
            <w:tcW w:w="749" w:type="dxa"/>
            <w:vAlign w:val="top"/>
            <w:tcBorders>
              <w:left w:val="nil"/>
            </w:tcBorders>
          </w:tcPr>
          <w:p>
            <w:pPr>
              <w:pStyle w:val="TableText"/>
              <w:ind w:left="75"/>
              <w:spacing w:before="227" w:line="229" w:lineRule="auto"/>
              <w:rPr/>
            </w:pPr>
            <w:r>
              <w:rPr>
                <w:spacing w:val="3"/>
              </w:rPr>
              <w:t>古生界</w:t>
            </w:r>
          </w:p>
        </w:tc>
        <w:tc>
          <w:tcPr>
            <w:tcW w:w="638" w:type="dxa"/>
            <w:vAlign w:val="top"/>
          </w:tcPr>
          <w:p>
            <w:pPr>
              <w:pStyle w:val="TableText"/>
              <w:ind w:left="232" w:right="109" w:hanging="107"/>
              <w:spacing w:before="72" w:line="251" w:lineRule="auto"/>
              <w:rPr/>
            </w:pPr>
            <w:r>
              <w:rPr>
                <w:spacing w:val="-2"/>
              </w:rPr>
              <w:t>二叠</w:t>
            </w:r>
            <w:r>
              <w:rPr/>
              <w:t>系</w:t>
            </w:r>
          </w:p>
        </w:tc>
        <w:tc>
          <w:tcPr>
            <w:tcW w:w="862" w:type="dxa"/>
            <w:vAlign w:val="top"/>
          </w:tcPr>
          <w:p>
            <w:pPr>
              <w:pStyle w:val="TableText"/>
              <w:ind w:left="259"/>
              <w:spacing w:before="227" w:line="231" w:lineRule="auto"/>
              <w:rPr/>
            </w:pPr>
            <w:r>
              <w:rPr>
                <w:spacing w:val="-12"/>
              </w:rPr>
              <w:t>中统</w:t>
            </w:r>
          </w:p>
        </w:tc>
        <w:tc>
          <w:tcPr>
            <w:tcW w:w="979" w:type="dxa"/>
            <w:vAlign w:val="top"/>
          </w:tcPr>
          <w:p>
            <w:pPr>
              <w:pStyle w:val="TableText"/>
              <w:ind w:left="193"/>
              <w:spacing w:before="227" w:line="230" w:lineRule="auto"/>
              <w:rPr/>
            </w:pPr>
            <w:r>
              <w:rPr>
                <w:spacing w:val="2"/>
              </w:rPr>
              <w:t>哲斯组</w:t>
            </w:r>
          </w:p>
        </w:tc>
        <w:tc>
          <w:tcPr>
            <w:tcW w:w="1208" w:type="dxa"/>
            <w:vAlign w:val="top"/>
          </w:tcPr>
          <w:p>
            <w:pPr>
              <w:ind w:left="425"/>
              <w:spacing w:before="266" w:line="20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w:t>
            </w:r>
            <w:r>
              <w:rPr>
                <w:rFonts w:ascii="Times New Roman" w:hAnsi="Times New Roman" w:eastAsia="Times New Roman" w:cs="Times New Roman"/>
                <w:sz w:val="13"/>
                <w:szCs w:val="13"/>
                <w:spacing w:val="4"/>
              </w:rPr>
              <w:t>2</w:t>
            </w:r>
            <w:r>
              <w:rPr>
                <w:rFonts w:ascii="Times New Roman" w:hAnsi="Times New Roman" w:eastAsia="Times New Roman" w:cs="Times New Roman"/>
                <w:sz w:val="20"/>
                <w:szCs w:val="20"/>
              </w:rPr>
              <w:t>zs</w:t>
            </w:r>
          </w:p>
        </w:tc>
        <w:tc>
          <w:tcPr>
            <w:tcW w:w="3088" w:type="dxa"/>
            <w:vAlign w:val="top"/>
          </w:tcPr>
          <w:p>
            <w:pPr>
              <w:pStyle w:val="TableText"/>
              <w:ind w:right="4"/>
              <w:spacing w:before="71" w:line="231" w:lineRule="auto"/>
              <w:jc w:val="right"/>
              <w:rPr/>
            </w:pPr>
            <w:r>
              <w:rPr>
                <w:spacing w:val="2"/>
              </w:rPr>
              <w:t>以凝灰岩、凝灰质板岩、变质砂岩</w:t>
            </w:r>
          </w:p>
          <w:p>
            <w:pPr>
              <w:pStyle w:val="TableText"/>
              <w:ind w:left="1246"/>
              <w:spacing w:before="61" w:line="215" w:lineRule="auto"/>
              <w:rPr/>
            </w:pPr>
            <w:r>
              <w:rPr>
                <w:spacing w:val="-2"/>
              </w:rPr>
              <w:t>为主。</w:t>
            </w:r>
          </w:p>
        </w:tc>
        <w:tc>
          <w:tcPr>
            <w:tcW w:w="780" w:type="dxa"/>
            <w:vAlign w:val="top"/>
            <w:tcBorders>
              <w:right w:val="nil"/>
            </w:tcBorders>
          </w:tcPr>
          <w:p>
            <w:pPr>
              <w:pStyle w:val="TableText"/>
              <w:ind w:left="101"/>
              <w:spacing w:before="227" w:line="269" w:lineRule="exact"/>
              <w:rPr>
                <w:rFonts w:ascii="Times New Roman" w:hAnsi="Times New Roman" w:eastAsia="Times New Roman" w:cs="Times New Roman"/>
              </w:rPr>
            </w:pPr>
            <w:r>
              <w:rPr>
                <w:spacing w:val="20"/>
                <w:position w:val="1"/>
              </w:rPr>
              <w:t>&gt;</w:t>
            </w:r>
            <w:r>
              <w:rPr>
                <w:rFonts w:ascii="Times New Roman" w:hAnsi="Times New Roman" w:eastAsia="Times New Roman" w:cs="Times New Roman"/>
                <w:spacing w:val="20"/>
                <w:position w:val="1"/>
              </w:rPr>
              <w:t>1075</w:t>
            </w:r>
          </w:p>
        </w:tc>
      </w:tr>
      <w:tr>
        <w:trPr>
          <w:trHeight w:val="649" w:hRule="atLeast"/>
        </w:trPr>
        <w:tc>
          <w:tcPr>
            <w:tcW w:w="749" w:type="dxa"/>
            <w:vAlign w:val="top"/>
            <w:tcBorders>
              <w:left w:val="nil"/>
              <w:bottom w:val="single" w:color="000000" w:sz="10" w:space="0"/>
            </w:tcBorders>
          </w:tcPr>
          <w:p>
            <w:pPr>
              <w:pStyle w:val="TableText"/>
              <w:ind w:left="279" w:right="59" w:hanging="181"/>
              <w:spacing w:before="73" w:line="261" w:lineRule="auto"/>
              <w:rPr/>
            </w:pPr>
            <w:r>
              <w:rPr>
                <w:spacing w:val="-4"/>
              </w:rPr>
              <w:t>中元古</w:t>
            </w:r>
            <w:r>
              <w:rPr/>
              <w:t>界</w:t>
            </w:r>
          </w:p>
        </w:tc>
        <w:tc>
          <w:tcPr>
            <w:tcW w:w="638" w:type="dxa"/>
            <w:vAlign w:val="top"/>
            <w:tcBorders>
              <w:bottom w:val="single" w:color="000000" w:sz="10" w:space="0"/>
            </w:tcBorders>
          </w:tcPr>
          <w:p>
            <w:pPr>
              <w:pStyle w:val="TableText"/>
              <w:ind w:left="232" w:right="109" w:hanging="107"/>
              <w:spacing w:before="73" w:line="261" w:lineRule="auto"/>
              <w:rPr/>
            </w:pPr>
            <w:r>
              <w:rPr>
                <w:spacing w:val="-2"/>
              </w:rPr>
              <w:t>蓟县</w:t>
            </w:r>
            <w:r>
              <w:rPr/>
              <w:t>系</w:t>
            </w:r>
          </w:p>
        </w:tc>
        <w:tc>
          <w:tcPr>
            <w:tcW w:w="862" w:type="dxa"/>
            <w:vAlign w:val="top"/>
            <w:tcBorders>
              <w:bottom w:val="single" w:color="000000" w:sz="10" w:space="0"/>
            </w:tcBorders>
          </w:tcPr>
          <w:p>
            <w:pPr>
              <w:pStyle w:val="TableText"/>
              <w:ind w:left="336" w:right="11" w:hanging="313"/>
              <w:spacing w:before="73" w:line="261" w:lineRule="auto"/>
              <w:rPr/>
            </w:pPr>
            <w:r>
              <w:rPr>
                <w:spacing w:val="5"/>
              </w:rPr>
              <w:t>温都尔庙</w:t>
            </w:r>
            <w:r>
              <w:rPr/>
              <w:t>群</w:t>
            </w:r>
          </w:p>
        </w:tc>
        <w:tc>
          <w:tcPr>
            <w:tcW w:w="979" w:type="dxa"/>
            <w:vAlign w:val="top"/>
            <w:tcBorders>
              <w:bottom w:val="single" w:color="000000" w:sz="10" w:space="0"/>
            </w:tcBorders>
          </w:tcPr>
          <w:p>
            <w:pPr>
              <w:pStyle w:val="TableText"/>
              <w:ind w:left="395" w:right="69" w:hanging="305"/>
              <w:spacing w:before="73" w:line="261" w:lineRule="auto"/>
              <w:rPr/>
            </w:pPr>
            <w:r>
              <w:rPr>
                <w:spacing w:val="3"/>
              </w:rPr>
              <w:t>哈尔哈达</w:t>
            </w:r>
            <w:r>
              <w:rPr/>
              <w:t>组</w:t>
            </w:r>
          </w:p>
        </w:tc>
        <w:tc>
          <w:tcPr>
            <w:tcW w:w="1208" w:type="dxa"/>
            <w:vAlign w:val="top"/>
            <w:tcBorders>
              <w:bottom w:val="single" w:color="000000" w:sz="10" w:space="0"/>
            </w:tcBorders>
          </w:tcPr>
          <w:p>
            <w:pPr>
              <w:ind w:left="424"/>
              <w:spacing w:before="2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Jxhr</w:t>
            </w:r>
          </w:p>
        </w:tc>
        <w:tc>
          <w:tcPr>
            <w:tcW w:w="3088" w:type="dxa"/>
            <w:vAlign w:val="top"/>
            <w:tcBorders>
              <w:bottom w:val="single" w:color="000000" w:sz="10" w:space="0"/>
            </w:tcBorders>
          </w:tcPr>
          <w:p>
            <w:pPr>
              <w:pStyle w:val="TableText"/>
              <w:ind w:left="21"/>
              <w:spacing w:before="73" w:line="232" w:lineRule="auto"/>
              <w:rPr/>
            </w:pPr>
            <w:r>
              <w:rPr>
                <w:spacing w:val="3"/>
              </w:rPr>
              <w:t>主要为石英片岩，黑云母片岩夹含</w:t>
            </w:r>
          </w:p>
          <w:p>
            <w:pPr>
              <w:pStyle w:val="TableText"/>
              <w:ind w:left="612"/>
              <w:spacing w:before="60" w:line="231" w:lineRule="auto"/>
              <w:rPr/>
            </w:pPr>
            <w:r>
              <w:rPr>
                <w:spacing w:val="6"/>
              </w:rPr>
              <w:t>铁石英岩透镜体等。</w:t>
            </w:r>
          </w:p>
        </w:tc>
        <w:tc>
          <w:tcPr>
            <w:tcW w:w="780" w:type="dxa"/>
            <w:vAlign w:val="top"/>
            <w:tcBorders>
              <w:right w:val="nil"/>
              <w:bottom w:val="single" w:color="000000" w:sz="10" w:space="0"/>
            </w:tcBorders>
          </w:tcPr>
          <w:p>
            <w:pPr>
              <w:ind w:left="204"/>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1435</w:t>
            </w:r>
          </w:p>
        </w:tc>
      </w:tr>
    </w:tbl>
    <w:p>
      <w:pPr>
        <w:pStyle w:val="BodyText"/>
        <w:spacing w:line="251" w:lineRule="auto"/>
        <w:rPr/>
      </w:pPr>
      <w:r/>
    </w:p>
    <w:p>
      <w:pPr>
        <w:pStyle w:val="BodyText"/>
        <w:spacing w:line="251" w:lineRule="auto"/>
        <w:rPr/>
      </w:pPr>
      <w:r/>
    </w:p>
    <w:p>
      <w:pPr>
        <w:ind w:left="22"/>
        <w:spacing w:before="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5.3.1.1  </w:t>
      </w:r>
      <w:r>
        <w:rPr>
          <w:rFonts w:ascii="FangSong" w:hAnsi="FangSong" w:eastAsia="FangSong" w:cs="FangSong"/>
          <w:sz w:val="24"/>
          <w:szCs w:val="24"/>
          <w:b/>
          <w:bCs/>
          <w:spacing w:val="-1"/>
        </w:rPr>
        <w:t>蓟县系温都尔庙群哈尔哈达</w:t>
      </w:r>
      <w:r>
        <w:rPr>
          <w:rFonts w:ascii="FangSong" w:hAnsi="FangSong" w:eastAsia="FangSong" w:cs="FangSong"/>
          <w:sz w:val="24"/>
          <w:szCs w:val="24"/>
          <w:b/>
          <w:bCs/>
          <w:spacing w:val="-2"/>
        </w:rPr>
        <w:t>组（</w:t>
      </w:r>
      <w:r>
        <w:rPr>
          <w:rFonts w:ascii="Times New Roman" w:hAnsi="Times New Roman" w:eastAsia="Times New Roman" w:cs="Times New Roman"/>
          <w:sz w:val="24"/>
          <w:szCs w:val="24"/>
          <w:b/>
          <w:bCs/>
          <w:spacing w:val="-2"/>
        </w:rPr>
        <w:t>Jxhr</w:t>
      </w:r>
      <w:r>
        <w:rPr>
          <w:rFonts w:ascii="FangSong" w:hAnsi="FangSong" w:eastAsia="FangSong" w:cs="FangSong"/>
          <w:sz w:val="24"/>
          <w:szCs w:val="24"/>
          <w:b/>
          <w:bCs/>
          <w:spacing w:val="-2"/>
        </w:rPr>
        <w:t>）</w:t>
      </w:r>
    </w:p>
    <w:p>
      <w:pPr>
        <w:ind w:left="33" w:right="99" w:firstLine="500"/>
        <w:spacing w:before="179" w:line="360" w:lineRule="auto"/>
        <w:jc w:val="both"/>
        <w:rPr>
          <w:rFonts w:ascii="FangSong" w:hAnsi="FangSong" w:eastAsia="FangSong" w:cs="FangSong"/>
          <w:sz w:val="24"/>
          <w:szCs w:val="24"/>
        </w:rPr>
      </w:pPr>
      <w:r>
        <w:rPr>
          <w:rFonts w:ascii="FangSong" w:hAnsi="FangSong" w:eastAsia="FangSong" w:cs="FangSong"/>
          <w:sz w:val="24"/>
          <w:szCs w:val="24"/>
          <w:spacing w:val="-6"/>
        </w:rPr>
        <w:t>出露于本项目所在区域西南位置处，露头面积约</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1km</w:t>
      </w:r>
      <w:r>
        <w:rPr>
          <w:rFonts w:ascii="Times New Roman" w:hAnsi="Times New Roman" w:eastAsia="Times New Roman" w:cs="Times New Roman"/>
          <w:sz w:val="15"/>
          <w:szCs w:val="15"/>
          <w:spacing w:val="-6"/>
          <w:position w:val="8"/>
        </w:rPr>
        <w:t>2 </w:t>
      </w:r>
      <w:r>
        <w:rPr>
          <w:rFonts w:ascii="FangSong" w:hAnsi="FangSong" w:eastAsia="FangSong" w:cs="FangSong"/>
          <w:sz w:val="24"/>
          <w:szCs w:val="24"/>
          <w:spacing w:val="-6"/>
        </w:rPr>
        <w:t>，出露范</w:t>
      </w:r>
      <w:r>
        <w:rPr>
          <w:rFonts w:ascii="FangSong" w:hAnsi="FangSong" w:eastAsia="FangSong" w:cs="FangSong"/>
          <w:sz w:val="24"/>
          <w:szCs w:val="24"/>
          <w:spacing w:val="-7"/>
        </w:rPr>
        <w:t>围较小。岩</w:t>
      </w:r>
      <w:r>
        <w:rPr>
          <w:rFonts w:ascii="FangSong" w:hAnsi="FangSong" w:eastAsia="FangSong" w:cs="FangSong"/>
          <w:sz w:val="24"/>
          <w:szCs w:val="24"/>
          <w:spacing w:val="-3"/>
        </w:rPr>
        <w:t>性以石英绿泥片岩和绿泥石英片岩、变质安山岩夹石英岩</w:t>
      </w:r>
      <w:r>
        <w:rPr>
          <w:rFonts w:ascii="FangSong" w:hAnsi="FangSong" w:eastAsia="FangSong" w:cs="FangSong"/>
          <w:sz w:val="24"/>
          <w:szCs w:val="24"/>
          <w:spacing w:val="-4"/>
        </w:rPr>
        <w:t>及含铁石英岩透镜体为</w:t>
      </w:r>
      <w:r>
        <w:rPr>
          <w:rFonts w:ascii="FangSong" w:hAnsi="FangSong" w:eastAsia="FangSong" w:cs="FangSong"/>
          <w:sz w:val="24"/>
          <w:szCs w:val="24"/>
          <w:spacing w:val="-5"/>
        </w:rPr>
        <w:t>主。厚度约</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1435m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5"/>
        </w:rPr>
        <w:t>，走向近东西向，倾北，倾角</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6"/>
        </w:rPr>
        <w:t>0-70°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FangSong" w:hAnsi="FangSong" w:eastAsia="FangSong" w:cs="FangSong"/>
          <w:sz w:val="24"/>
          <w:szCs w:val="24"/>
          <w:spacing w:val="68"/>
        </w:rPr>
        <w:t xml:space="preserve"> </w:t>
      </w:r>
      <w:r>
        <w:rPr>
          <w:rFonts w:ascii="FangSong" w:hAnsi="FangSong" w:eastAsia="FangSong" w:cs="FangSong"/>
          <w:sz w:val="24"/>
          <w:szCs w:val="24"/>
          <w:spacing w:val="-6"/>
        </w:rPr>
        <w:t>产状较稳定。</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5.3.1.2  </w:t>
      </w:r>
      <w:r>
        <w:rPr>
          <w:rFonts w:ascii="FangSong" w:hAnsi="FangSong" w:eastAsia="FangSong" w:cs="FangSong"/>
          <w:sz w:val="24"/>
          <w:szCs w:val="24"/>
          <w:b/>
          <w:bCs/>
          <w:spacing w:val="-1"/>
        </w:rPr>
        <w:t>二叠系中统哲斯组（</w:t>
      </w:r>
      <w:r>
        <w:rPr>
          <w:rFonts w:ascii="Times New Roman" w:hAnsi="Times New Roman" w:eastAsia="Times New Roman" w:cs="Times New Roman"/>
          <w:sz w:val="24"/>
          <w:szCs w:val="24"/>
          <w:b/>
          <w:bCs/>
          <w:spacing w:val="-1"/>
        </w:rPr>
        <w:t>P</w:t>
      </w:r>
      <w:r>
        <w:rPr>
          <w:rFonts w:ascii="Times New Roman" w:hAnsi="Times New Roman" w:eastAsia="Times New Roman" w:cs="Times New Roman"/>
          <w:sz w:val="15"/>
          <w:szCs w:val="15"/>
          <w:b/>
          <w:bCs/>
          <w:spacing w:val="-1"/>
        </w:rPr>
        <w:t>2</w:t>
      </w:r>
      <w:r>
        <w:rPr>
          <w:rFonts w:ascii="Times New Roman" w:hAnsi="Times New Roman" w:eastAsia="Times New Roman" w:cs="Times New Roman"/>
          <w:sz w:val="20"/>
          <w:szCs w:val="20"/>
          <w:b/>
          <w:bCs/>
          <w:spacing w:val="-1"/>
        </w:rPr>
        <w:t>z</w:t>
      </w:r>
      <w:r>
        <w:rPr>
          <w:rFonts w:ascii="Times New Roman" w:hAnsi="Times New Roman" w:eastAsia="Times New Roman" w:cs="Times New Roman"/>
          <w:sz w:val="24"/>
          <w:szCs w:val="24"/>
          <w:b/>
          <w:bCs/>
          <w:spacing w:val="-1"/>
        </w:rPr>
        <w:t>s</w:t>
      </w:r>
      <w:r>
        <w:rPr>
          <w:rFonts w:ascii="FangSong" w:hAnsi="FangSong" w:eastAsia="FangSong" w:cs="FangSong"/>
          <w:sz w:val="24"/>
          <w:szCs w:val="24"/>
          <w:b/>
          <w:bCs/>
          <w:spacing w:val="-1"/>
        </w:rPr>
        <w:t>）</w:t>
      </w:r>
    </w:p>
    <w:p>
      <w:pPr>
        <w:ind w:left="27" w:firstLine="483"/>
        <w:spacing w:before="180" w:line="358" w:lineRule="auto"/>
        <w:jc w:val="both"/>
        <w:rPr>
          <w:rFonts w:ascii="FangSong" w:hAnsi="FangSong" w:eastAsia="FangSong" w:cs="FangSong"/>
          <w:sz w:val="24"/>
          <w:szCs w:val="24"/>
        </w:rPr>
      </w:pPr>
      <w:r>
        <w:rPr>
          <w:rFonts w:ascii="FangSong" w:hAnsi="FangSong" w:eastAsia="FangSong" w:cs="FangSong"/>
          <w:sz w:val="24"/>
          <w:szCs w:val="24"/>
          <w:spacing w:val="-2"/>
        </w:rPr>
        <w:t>本项目所在区域分布范围较广，出露面积约</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81.8km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。主要为一套凝灰质板</w:t>
      </w:r>
      <w:r>
        <w:rPr>
          <w:rFonts w:ascii="FangSong" w:hAnsi="FangSong" w:eastAsia="FangSong" w:cs="FangSong"/>
          <w:sz w:val="24"/>
          <w:szCs w:val="24"/>
          <w:spacing w:val="3"/>
        </w:rPr>
        <w:t>岩、凝灰岩夹炭质板岩，岩层走向北东</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南西向，倾北西</w:t>
      </w:r>
      <w:r>
        <w:rPr>
          <w:rFonts w:ascii="FangSong" w:hAnsi="FangSong" w:eastAsia="FangSong" w:cs="FangSong"/>
          <w:sz w:val="24"/>
          <w:szCs w:val="24"/>
          <w:spacing w:val="44"/>
        </w:rPr>
        <w:t xml:space="preserve"> </w:t>
      </w:r>
      <w:r>
        <w:rPr>
          <w:rFonts w:ascii="FangSong" w:hAnsi="FangSong" w:eastAsia="FangSong" w:cs="FangSong"/>
          <w:sz w:val="24"/>
          <w:szCs w:val="24"/>
          <w:spacing w:val="3"/>
        </w:rPr>
        <w:t>，倾角一般在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3"/>
        </w:rPr>
        <w:t>54-66°</w:t>
      </w:r>
      <w:r>
        <w:rPr>
          <w:rFonts w:ascii="FangSong" w:hAnsi="FangSong" w:eastAsia="FangSong" w:cs="FangSong"/>
          <w:sz w:val="24"/>
          <w:szCs w:val="24"/>
          <w:spacing w:val="-3"/>
        </w:rPr>
        <w:t>之间，出露厚度大于</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3"/>
        </w:rPr>
        <w:t>1075m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，不整合于蓟县系温都尔庙群哈尔哈达组（</w:t>
      </w:r>
      <w:r>
        <w:rPr>
          <w:rFonts w:ascii="Times New Roman" w:hAnsi="Times New Roman" w:eastAsia="Times New Roman" w:cs="Times New Roman"/>
          <w:sz w:val="24"/>
          <w:szCs w:val="24"/>
          <w:spacing w:val="-3"/>
        </w:rPr>
        <w:t>Jxhr</w:t>
      </w:r>
      <w:r>
        <w:rPr>
          <w:rFonts w:ascii="FangSong" w:hAnsi="FangSong" w:eastAsia="FangSong" w:cs="FangSong"/>
          <w:sz w:val="24"/>
          <w:szCs w:val="24"/>
          <w:spacing w:val="-3"/>
        </w:rPr>
        <w:t>）之</w:t>
      </w:r>
      <w:r>
        <w:rPr>
          <w:rFonts w:ascii="FangSong" w:hAnsi="FangSong" w:eastAsia="FangSong" w:cs="FangSong"/>
          <w:sz w:val="24"/>
          <w:szCs w:val="24"/>
          <w:spacing w:val="1"/>
        </w:rPr>
        <w:t>上，并被第四系更新统冲洪积半固结砂砾石层（</w:t>
      </w:r>
      <w:r>
        <w:rPr>
          <w:rFonts w:ascii="Times New Roman" w:hAnsi="Times New Roman" w:eastAsia="Times New Roman" w:cs="Times New Roman"/>
          <w:sz w:val="24"/>
          <w:szCs w:val="24"/>
        </w:rPr>
        <w:t>Q</w:t>
      </w:r>
      <w:r>
        <w:rPr>
          <w:rFonts w:ascii="Times New Roman" w:hAnsi="Times New Roman" w:eastAsia="Times New Roman" w:cs="Times New Roman"/>
          <w:sz w:val="15"/>
          <w:szCs w:val="15"/>
          <w:position w:val="-1"/>
        </w:rPr>
        <w:t>p</w:t>
      </w:r>
      <w:r>
        <w:rPr>
          <w:rFonts w:ascii="Times New Roman" w:hAnsi="Times New Roman" w:eastAsia="Times New Roman" w:cs="Times New Roman"/>
          <w:sz w:val="15"/>
          <w:szCs w:val="15"/>
          <w:position w:val="7"/>
        </w:rPr>
        <w:t>al</w:t>
      </w:r>
      <w:r>
        <w:rPr>
          <w:rFonts w:ascii="Times New Roman" w:hAnsi="Times New Roman" w:eastAsia="Times New Roman" w:cs="Times New Roman"/>
          <w:sz w:val="15"/>
          <w:szCs w:val="15"/>
          <w:spacing w:val="1"/>
          <w:position w:val="7"/>
        </w:rPr>
        <w:t>+</w:t>
      </w:r>
      <w:r>
        <w:rPr>
          <w:rFonts w:ascii="Times New Roman" w:hAnsi="Times New Roman" w:eastAsia="Times New Roman" w:cs="Times New Roman"/>
          <w:sz w:val="15"/>
          <w:szCs w:val="15"/>
          <w:position w:val="7"/>
        </w:rPr>
        <w:t>pl</w:t>
      </w:r>
      <w:r>
        <w:rPr>
          <w:rFonts w:ascii="FangSong" w:hAnsi="FangSong" w:eastAsia="FangSong" w:cs="FangSong"/>
          <w:sz w:val="24"/>
          <w:szCs w:val="24"/>
          <w:spacing w:val="1"/>
        </w:rPr>
        <w:t>）和全新统冲洪积含砾砂</w:t>
      </w:r>
      <w:r>
        <w:rPr>
          <w:rFonts w:ascii="FangSong" w:hAnsi="FangSong" w:eastAsia="FangSong" w:cs="FangSong"/>
          <w:sz w:val="24"/>
          <w:szCs w:val="24"/>
          <w:spacing w:val="-7"/>
        </w:rPr>
        <w:t>石层、坡积基岩碎石块层（</w:t>
      </w:r>
      <w:r>
        <w:rPr>
          <w:rFonts w:ascii="Times New Roman" w:hAnsi="Times New Roman" w:eastAsia="Times New Roman" w:cs="Times New Roman"/>
          <w:sz w:val="24"/>
          <w:szCs w:val="24"/>
          <w:spacing w:val="-7"/>
        </w:rPr>
        <w:t>Q</w:t>
      </w:r>
      <w:r>
        <w:rPr>
          <w:rFonts w:ascii="Times New Roman" w:hAnsi="Times New Roman" w:eastAsia="Times New Roman" w:cs="Times New Roman"/>
          <w:sz w:val="15"/>
          <w:szCs w:val="15"/>
          <w:spacing w:val="-7"/>
          <w:position w:val="-2"/>
        </w:rPr>
        <w:t>h</w:t>
      </w:r>
      <w:r>
        <w:rPr>
          <w:rFonts w:ascii="Times New Roman" w:hAnsi="Times New Roman" w:eastAsia="Times New Roman" w:cs="Times New Roman"/>
          <w:sz w:val="15"/>
          <w:szCs w:val="15"/>
          <w:spacing w:val="-7"/>
          <w:position w:val="7"/>
        </w:rPr>
        <w:t>al+dl</w:t>
      </w:r>
      <w:r>
        <w:rPr>
          <w:rFonts w:ascii="FangSong" w:hAnsi="FangSong" w:eastAsia="FangSong" w:cs="FangSong"/>
          <w:sz w:val="24"/>
          <w:szCs w:val="24"/>
          <w:spacing w:val="-14"/>
        </w:rPr>
        <w:t>）、冲洪积含砾砂土层、部分湖积淤泥层（</w:t>
      </w:r>
      <w:r>
        <w:rPr>
          <w:rFonts w:ascii="Times New Roman" w:hAnsi="Times New Roman" w:eastAsia="Times New Roman" w:cs="Times New Roman"/>
          <w:sz w:val="24"/>
          <w:szCs w:val="24"/>
          <w:spacing w:val="-14"/>
        </w:rPr>
        <w:t>Q</w:t>
      </w:r>
      <w:r>
        <w:rPr>
          <w:rFonts w:ascii="Times New Roman" w:hAnsi="Times New Roman" w:eastAsia="Times New Roman" w:cs="Times New Roman"/>
          <w:sz w:val="15"/>
          <w:szCs w:val="15"/>
          <w:spacing w:val="1"/>
          <w:position w:val="-2"/>
        </w:rPr>
        <w:t>h</w:t>
      </w:r>
      <w:r>
        <w:rPr>
          <w:rFonts w:ascii="Times New Roman" w:hAnsi="Times New Roman" w:eastAsia="Times New Roman" w:cs="Times New Roman"/>
          <w:sz w:val="15"/>
          <w:szCs w:val="15"/>
          <w:spacing w:val="1"/>
          <w:position w:val="7"/>
        </w:rPr>
        <w:t>al+dl</w:t>
      </w:r>
      <w:r>
        <w:rPr>
          <w:rFonts w:ascii="FangSong" w:hAnsi="FangSong" w:eastAsia="FangSong" w:cs="FangSong"/>
          <w:sz w:val="24"/>
          <w:szCs w:val="24"/>
          <w:spacing w:val="1"/>
        </w:rPr>
        <w:t>）</w:t>
      </w:r>
      <w:r>
        <w:rPr>
          <w:rFonts w:ascii="FangSong" w:hAnsi="FangSong" w:eastAsia="FangSong" w:cs="FangSong"/>
          <w:sz w:val="24"/>
          <w:szCs w:val="24"/>
          <w:spacing w:val="-3"/>
        </w:rPr>
        <w:t>及风积砂土层（</w:t>
      </w: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1"/>
        </w:rPr>
        <w:t>h</w:t>
      </w:r>
      <w:r>
        <w:rPr>
          <w:rFonts w:ascii="Times New Roman" w:hAnsi="Times New Roman" w:eastAsia="Times New Roman" w:cs="Times New Roman"/>
          <w:sz w:val="15"/>
          <w:szCs w:val="15"/>
          <w:spacing w:val="-3"/>
          <w:position w:val="7"/>
        </w:rPr>
        <w:t>eol </w:t>
      </w:r>
      <w:r>
        <w:rPr>
          <w:rFonts w:ascii="FangSong" w:hAnsi="FangSong" w:eastAsia="FangSong" w:cs="FangSong"/>
          <w:sz w:val="24"/>
          <w:szCs w:val="24"/>
          <w:spacing w:val="-3"/>
        </w:rPr>
        <w:t>）等大面积所覆盖</w:t>
      </w:r>
    </w:p>
    <w:p>
      <w:pPr>
        <w:ind w:left="22"/>
        <w:spacing w:before="16"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5.3.1.3  </w:t>
      </w:r>
      <w:r>
        <w:rPr>
          <w:rFonts w:ascii="FangSong" w:hAnsi="FangSong" w:eastAsia="FangSong" w:cs="FangSong"/>
          <w:sz w:val="24"/>
          <w:szCs w:val="24"/>
          <w:b/>
          <w:bCs/>
          <w:spacing w:val="-1"/>
        </w:rPr>
        <w:t>新近系中新统通古尔组（</w:t>
      </w:r>
      <w:r>
        <w:rPr>
          <w:rFonts w:ascii="Times New Roman" w:hAnsi="Times New Roman" w:eastAsia="Times New Roman" w:cs="Times New Roman"/>
          <w:sz w:val="24"/>
          <w:szCs w:val="24"/>
          <w:b/>
          <w:bCs/>
          <w:spacing w:val="-1"/>
        </w:rPr>
        <w:t>N</w:t>
      </w:r>
      <w:r>
        <w:rPr>
          <w:rFonts w:ascii="Times New Roman" w:hAnsi="Times New Roman" w:eastAsia="Times New Roman" w:cs="Times New Roman"/>
          <w:sz w:val="15"/>
          <w:szCs w:val="15"/>
          <w:b/>
          <w:bCs/>
          <w:spacing w:val="-2"/>
          <w:position w:val="-1"/>
        </w:rPr>
        <w:t>1</w:t>
      </w:r>
      <w:r>
        <w:rPr>
          <w:rFonts w:ascii="Times New Roman" w:hAnsi="Times New Roman" w:eastAsia="Times New Roman" w:cs="Times New Roman"/>
          <w:sz w:val="24"/>
          <w:szCs w:val="24"/>
          <w:b/>
          <w:bCs/>
          <w:spacing w:val="-2"/>
        </w:rPr>
        <w:t>t</w:t>
      </w:r>
      <w:r>
        <w:rPr>
          <w:rFonts w:ascii="FangSong" w:hAnsi="FangSong" w:eastAsia="FangSong" w:cs="FangSong"/>
          <w:sz w:val="24"/>
          <w:szCs w:val="24"/>
          <w:b/>
          <w:bCs/>
          <w:spacing w:val="-2"/>
        </w:rPr>
        <w:t>）</w:t>
      </w:r>
    </w:p>
    <w:p>
      <w:pPr>
        <w:ind w:left="512"/>
        <w:spacing w:before="181" w:line="219" w:lineRule="auto"/>
        <w:rPr>
          <w:rFonts w:ascii="FangSong" w:hAnsi="FangSong" w:eastAsia="FangSong" w:cs="FangSong"/>
          <w:sz w:val="24"/>
          <w:szCs w:val="24"/>
        </w:rPr>
      </w:pPr>
      <w:r>
        <w:rPr>
          <w:rFonts w:ascii="FangSong" w:hAnsi="FangSong" w:eastAsia="FangSong" w:cs="FangSong"/>
          <w:sz w:val="24"/>
          <w:szCs w:val="24"/>
          <w:spacing w:val="-2"/>
        </w:rPr>
        <w:t>分布于本项目所在区域西北部及西南位置处，出露面积为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30.5km</w:t>
      </w:r>
      <w:r>
        <w:rPr>
          <w:rFonts w:ascii="Times New Roman" w:hAnsi="Times New Roman" w:eastAsia="Times New Roman" w:cs="Times New Roman"/>
          <w:sz w:val="15"/>
          <w:szCs w:val="15"/>
          <w:spacing w:val="-2"/>
          <w:position w:val="8"/>
        </w:rPr>
        <w:t>2 </w:t>
      </w:r>
      <w:r>
        <w:rPr>
          <w:rFonts w:ascii="FangSong" w:hAnsi="FangSong" w:eastAsia="FangSong" w:cs="FangSong"/>
          <w:sz w:val="24"/>
          <w:szCs w:val="24"/>
          <w:spacing w:val="-2"/>
        </w:rPr>
        <w:t>。其岩性</w:t>
      </w:r>
    </w:p>
    <w:p>
      <w:pPr>
        <w:spacing w:line="219" w:lineRule="auto"/>
        <w:sectPr>
          <w:footerReference w:type="default" r:id="rId216"/>
          <w:pgSz w:w="11906" w:h="16839"/>
          <w:pgMar w:top="400" w:right="170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40" w:right="83" w:hanging="4"/>
        <w:spacing w:before="78" w:line="360" w:lineRule="auto"/>
        <w:rPr>
          <w:rFonts w:ascii="FangSong" w:hAnsi="FangSong" w:eastAsia="FangSong" w:cs="FangSong"/>
          <w:sz w:val="24"/>
          <w:szCs w:val="24"/>
        </w:rPr>
      </w:pPr>
      <w:r>
        <w:rPr>
          <w:rFonts w:ascii="FangSong" w:hAnsi="FangSong" w:eastAsia="FangSong" w:cs="FangSong"/>
          <w:sz w:val="24"/>
          <w:szCs w:val="24"/>
          <w:spacing w:val="-4"/>
        </w:rPr>
        <w:t>主要为一套砖红色泥岩夹砂砾岩，厚度约</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4"/>
        </w:rPr>
        <w:t>41m</w:t>
      </w:r>
      <w:r>
        <w:rPr>
          <w:rFonts w:ascii="FangSong" w:hAnsi="FangSong" w:eastAsia="FangSong" w:cs="FangSong"/>
          <w:sz w:val="24"/>
          <w:szCs w:val="24"/>
          <w:spacing w:val="-4"/>
        </w:rPr>
        <w:t>，不整合于蓟县系温都尔庙群哈尔</w:t>
      </w:r>
      <w:r>
        <w:rPr>
          <w:rFonts w:ascii="FangSong" w:hAnsi="FangSong" w:eastAsia="FangSong" w:cs="FangSong"/>
          <w:sz w:val="24"/>
          <w:szCs w:val="24"/>
          <w:spacing w:val="-2"/>
        </w:rPr>
        <w:t>哈达组和二叠系中统哲斯组之上。</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5.3.1.4  </w:t>
      </w:r>
      <w:r>
        <w:rPr>
          <w:rFonts w:ascii="FangSong" w:hAnsi="FangSong" w:eastAsia="FangSong" w:cs="FangSong"/>
          <w:sz w:val="24"/>
          <w:szCs w:val="24"/>
          <w:b/>
          <w:bCs/>
          <w:spacing w:val="-1"/>
        </w:rPr>
        <w:t>新近系上新统宝格达乌拉组（</w:t>
      </w:r>
      <w:r>
        <w:rPr>
          <w:rFonts w:ascii="Times New Roman" w:hAnsi="Times New Roman" w:eastAsia="Times New Roman" w:cs="Times New Roman"/>
          <w:sz w:val="24"/>
          <w:szCs w:val="24"/>
          <w:b/>
          <w:bCs/>
          <w:spacing w:val="-1"/>
        </w:rPr>
        <w:t>N</w:t>
      </w:r>
      <w:r>
        <w:rPr>
          <w:rFonts w:ascii="Times New Roman" w:hAnsi="Times New Roman" w:eastAsia="Times New Roman" w:cs="Times New Roman"/>
          <w:sz w:val="15"/>
          <w:szCs w:val="15"/>
          <w:b/>
          <w:bCs/>
          <w:spacing w:val="-2"/>
          <w:position w:val="-1"/>
        </w:rPr>
        <w:t>2</w:t>
      </w:r>
      <w:r>
        <w:rPr>
          <w:rFonts w:ascii="Times New Roman" w:hAnsi="Times New Roman" w:eastAsia="Times New Roman" w:cs="Times New Roman"/>
          <w:sz w:val="24"/>
          <w:szCs w:val="24"/>
          <w:b/>
          <w:bCs/>
          <w:spacing w:val="-2"/>
        </w:rPr>
        <w:t>b</w:t>
      </w:r>
      <w:r>
        <w:rPr>
          <w:rFonts w:ascii="FangSong" w:hAnsi="FangSong" w:eastAsia="FangSong" w:cs="FangSong"/>
          <w:sz w:val="24"/>
          <w:szCs w:val="24"/>
          <w:b/>
          <w:bCs/>
          <w:spacing w:val="-2"/>
        </w:rPr>
        <w:t>）</w:t>
      </w:r>
    </w:p>
    <w:p>
      <w:pPr>
        <w:ind w:left="31" w:right="85" w:firstLine="477"/>
        <w:spacing w:before="178" w:line="360" w:lineRule="auto"/>
        <w:jc w:val="both"/>
        <w:rPr>
          <w:rFonts w:ascii="FangSong" w:hAnsi="FangSong" w:eastAsia="FangSong" w:cs="FangSong"/>
          <w:sz w:val="24"/>
          <w:szCs w:val="24"/>
        </w:rPr>
      </w:pPr>
      <w:r>
        <w:rPr>
          <w:rFonts w:ascii="FangSong" w:hAnsi="FangSong" w:eastAsia="FangSong" w:cs="FangSong"/>
          <w:sz w:val="24"/>
          <w:szCs w:val="24"/>
          <w:spacing w:val="-2"/>
        </w:rPr>
        <w:t>仅分布于本项目所在区域西南角，出露面积约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16.5km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。分布</w:t>
      </w:r>
      <w:r>
        <w:rPr>
          <w:rFonts w:ascii="FangSong" w:hAnsi="FangSong" w:eastAsia="FangSong" w:cs="FangSong"/>
          <w:sz w:val="24"/>
          <w:szCs w:val="24"/>
          <w:spacing w:val="-3"/>
        </w:rPr>
        <w:t>范围较小，主</w:t>
      </w:r>
      <w:r>
        <w:rPr>
          <w:rFonts w:ascii="FangSong" w:hAnsi="FangSong" w:eastAsia="FangSong" w:cs="FangSong"/>
          <w:sz w:val="24"/>
          <w:szCs w:val="24"/>
          <w:spacing w:val="-2"/>
        </w:rPr>
        <w:t>要由盆地沉积形成的砖红色泥岩夹砂砾岩。厚度大于</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2"/>
        </w:rPr>
        <w:t>100m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，整合于通古尔组之</w:t>
      </w:r>
      <w:r>
        <w:rPr>
          <w:rFonts w:ascii="FangSong" w:hAnsi="FangSong" w:eastAsia="FangSong" w:cs="FangSong"/>
          <w:sz w:val="24"/>
          <w:szCs w:val="24"/>
          <w:spacing w:val="-9"/>
        </w:rPr>
        <w:t>上。</w:t>
      </w:r>
    </w:p>
    <w:p>
      <w:pPr>
        <w:ind w:left="22"/>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5.3.1.5</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第四系沉积物</w:t>
      </w:r>
    </w:p>
    <w:p>
      <w:pPr>
        <w:ind w:left="34" w:right="83" w:firstLine="474"/>
        <w:spacing w:before="180" w:line="360" w:lineRule="auto"/>
        <w:rPr>
          <w:rFonts w:ascii="FangSong" w:hAnsi="FangSong" w:eastAsia="FangSong" w:cs="FangSong"/>
          <w:sz w:val="24"/>
          <w:szCs w:val="24"/>
        </w:rPr>
      </w:pPr>
      <w:r>
        <w:rPr>
          <w:rFonts w:ascii="FangSong" w:hAnsi="FangSong" w:eastAsia="FangSong" w:cs="FangSong"/>
          <w:sz w:val="24"/>
          <w:szCs w:val="24"/>
          <w:spacing w:val="-3"/>
        </w:rPr>
        <w:t>广泛分布于测区内的大小沟谷及洼地中，根据沉积</w:t>
      </w:r>
      <w:r>
        <w:rPr>
          <w:rFonts w:ascii="FangSong" w:hAnsi="FangSong" w:eastAsia="FangSong" w:cs="FangSong"/>
          <w:sz w:val="24"/>
          <w:szCs w:val="24"/>
          <w:spacing w:val="-4"/>
        </w:rPr>
        <w:t>时代不同又可划分为更新</w:t>
      </w:r>
      <w:r>
        <w:rPr>
          <w:rFonts w:ascii="FangSong" w:hAnsi="FangSong" w:eastAsia="FangSong" w:cs="FangSong"/>
          <w:sz w:val="24"/>
          <w:szCs w:val="24"/>
          <w:spacing w:val="-4"/>
        </w:rPr>
        <w:t>统和全新统。</w:t>
      </w:r>
    </w:p>
    <w:p>
      <w:pPr>
        <w:ind w:left="514"/>
        <w:spacing w:before="1" w:line="214"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）第四系更新统（</w:t>
      </w:r>
      <w:r>
        <w:rPr>
          <w:rFonts w:ascii="Times New Roman" w:hAnsi="Times New Roman" w:eastAsia="Times New Roman" w:cs="Times New Roman"/>
          <w:sz w:val="24"/>
          <w:szCs w:val="24"/>
          <w:spacing w:val="-2"/>
        </w:rPr>
        <w:t>Q</w:t>
      </w:r>
      <w:r>
        <w:rPr>
          <w:rFonts w:ascii="Times New Roman" w:hAnsi="Times New Roman" w:eastAsia="Times New Roman" w:cs="Times New Roman"/>
          <w:sz w:val="15"/>
          <w:szCs w:val="15"/>
          <w:spacing w:val="-2"/>
          <w:position w:val="-1"/>
        </w:rPr>
        <w:t>p </w:t>
      </w:r>
      <w:r>
        <w:rPr>
          <w:rFonts w:ascii="FangSong" w:hAnsi="FangSong" w:eastAsia="FangSong" w:cs="FangSong"/>
          <w:sz w:val="24"/>
          <w:szCs w:val="24"/>
          <w:spacing w:val="-16"/>
        </w:rPr>
        <w:t>）：</w:t>
      </w:r>
    </w:p>
    <w:p>
      <w:pPr>
        <w:ind w:left="502"/>
        <w:spacing w:before="189" w:line="211"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冲洪积半固结砂砾石层（</w:t>
      </w:r>
      <w:r>
        <w:rPr>
          <w:rFonts w:ascii="Times New Roman" w:hAnsi="Times New Roman" w:eastAsia="Times New Roman" w:cs="Times New Roman"/>
          <w:sz w:val="24"/>
          <w:szCs w:val="24"/>
        </w:rPr>
        <w:t>Q</w:t>
      </w:r>
      <w:r>
        <w:rPr>
          <w:rFonts w:ascii="Times New Roman" w:hAnsi="Times New Roman" w:eastAsia="Times New Roman" w:cs="Times New Roman"/>
          <w:sz w:val="15"/>
          <w:szCs w:val="15"/>
          <w:position w:val="-2"/>
        </w:rPr>
        <w:t>p</w:t>
      </w:r>
      <w:r>
        <w:rPr>
          <w:rFonts w:ascii="Times New Roman" w:hAnsi="Times New Roman" w:eastAsia="Times New Roman" w:cs="Times New Roman"/>
          <w:sz w:val="15"/>
          <w:szCs w:val="15"/>
          <w:position w:val="7"/>
        </w:rPr>
        <w:t>al+pl</w:t>
      </w:r>
      <w:r>
        <w:rPr>
          <w:rFonts w:ascii="FangSong" w:hAnsi="FangSong" w:eastAsia="FangSong" w:cs="FangSong"/>
          <w:sz w:val="24"/>
          <w:szCs w:val="24"/>
        </w:rPr>
        <w:t>）：</w:t>
      </w:r>
    </w:p>
    <w:p>
      <w:pPr>
        <w:ind w:left="23" w:right="83" w:firstLine="488"/>
        <w:spacing w:before="194" w:line="360" w:lineRule="auto"/>
        <w:rPr>
          <w:rFonts w:ascii="FangSong" w:hAnsi="FangSong" w:eastAsia="FangSong" w:cs="FangSong"/>
          <w:sz w:val="24"/>
          <w:szCs w:val="24"/>
        </w:rPr>
      </w:pPr>
      <w:r>
        <w:rPr>
          <w:rFonts w:ascii="FangSong" w:hAnsi="FangSong" w:eastAsia="FangSong" w:cs="FangSong"/>
          <w:sz w:val="24"/>
          <w:szCs w:val="24"/>
          <w:spacing w:val="-4"/>
        </w:rPr>
        <w:t>覆盖物基本呈较宽的带状体从测区北西向南东展布，出落面积</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64.70km</w:t>
      </w:r>
      <w:r>
        <w:rPr>
          <w:rFonts w:ascii="Times New Roman" w:hAnsi="Times New Roman" w:eastAsia="Times New Roman" w:cs="Times New Roman"/>
          <w:sz w:val="15"/>
          <w:szCs w:val="15"/>
          <w:spacing w:val="-4"/>
          <w:position w:val="7"/>
        </w:rPr>
        <w:t>2</w:t>
      </w:r>
      <w:r>
        <w:rPr>
          <w:rFonts w:ascii="FangSong" w:hAnsi="FangSong" w:eastAsia="FangSong" w:cs="FangSong"/>
          <w:sz w:val="24"/>
          <w:szCs w:val="24"/>
          <w:spacing w:val="-4"/>
        </w:rPr>
        <w:t>，其</w:t>
      </w:r>
      <w:r>
        <w:rPr>
          <w:rFonts w:ascii="FangSong" w:hAnsi="FangSong" w:eastAsia="FangSong" w:cs="FangSong"/>
          <w:sz w:val="24"/>
          <w:szCs w:val="24"/>
          <w:spacing w:val="10"/>
        </w:rPr>
        <w:t>成分主要为冲洪积形成的半固结状砂砾石层，厚</w:t>
      </w:r>
      <w:r>
        <w:rPr>
          <w:rFonts w:ascii="FangSong" w:hAnsi="FangSong" w:eastAsia="FangSong" w:cs="FangSong"/>
          <w:sz w:val="24"/>
          <w:szCs w:val="24"/>
          <w:spacing w:val="9"/>
        </w:rPr>
        <w:t>度约</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9"/>
        </w:rPr>
        <w:t>6-23m</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9"/>
        </w:rPr>
        <w:t>，砾石粒径多在</w:t>
      </w:r>
      <w:r>
        <w:rPr>
          <w:rFonts w:ascii="Times New Roman" w:hAnsi="Times New Roman" w:eastAsia="Times New Roman" w:cs="Times New Roman"/>
          <w:sz w:val="24"/>
          <w:szCs w:val="24"/>
          <w:spacing w:val="-3"/>
        </w:rPr>
        <w:t>3-25cm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之间，个别大的约</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50cm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，磨圆度相差较大，分选性差，压实状半固结未</w:t>
      </w:r>
      <w:r>
        <w:rPr>
          <w:rFonts w:ascii="FangSong" w:hAnsi="FangSong" w:eastAsia="FangSong" w:cs="FangSong"/>
          <w:sz w:val="24"/>
          <w:szCs w:val="24"/>
          <w:spacing w:val="-1"/>
        </w:rPr>
        <w:t>成岩，其上部被全新统覆盖。</w:t>
      </w:r>
    </w:p>
    <w:p>
      <w:pPr>
        <w:ind w:left="514"/>
        <w:spacing w:line="21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）第四系全新统（</w:t>
      </w:r>
      <w:r>
        <w:rPr>
          <w:rFonts w:ascii="Times New Roman" w:hAnsi="Times New Roman" w:eastAsia="Times New Roman" w:cs="Times New Roman"/>
          <w:sz w:val="24"/>
          <w:szCs w:val="24"/>
          <w:spacing w:val="-2"/>
        </w:rPr>
        <w:t>Q</w:t>
      </w:r>
      <w:r>
        <w:rPr>
          <w:rFonts w:ascii="Times New Roman" w:hAnsi="Times New Roman" w:eastAsia="Times New Roman" w:cs="Times New Roman"/>
          <w:sz w:val="15"/>
          <w:szCs w:val="15"/>
          <w:spacing w:val="-2"/>
          <w:position w:val="-1"/>
        </w:rPr>
        <w:t>h </w:t>
      </w:r>
      <w:r>
        <w:rPr>
          <w:rFonts w:ascii="FangSong" w:hAnsi="FangSong" w:eastAsia="FangSong" w:cs="FangSong"/>
          <w:sz w:val="24"/>
          <w:szCs w:val="24"/>
          <w:spacing w:val="-16"/>
        </w:rPr>
        <w:t>）：</w:t>
      </w:r>
    </w:p>
    <w:p>
      <w:pPr>
        <w:ind w:left="30" w:firstLine="480"/>
        <w:spacing w:before="195" w:line="359" w:lineRule="auto"/>
        <w:rPr>
          <w:rFonts w:ascii="FangSong" w:hAnsi="FangSong" w:eastAsia="FangSong" w:cs="FangSong"/>
          <w:sz w:val="24"/>
          <w:szCs w:val="24"/>
        </w:rPr>
      </w:pPr>
      <w:r>
        <w:rPr>
          <w:rFonts w:ascii="FangSong" w:hAnsi="FangSong" w:eastAsia="FangSong" w:cs="FangSong"/>
          <w:sz w:val="24"/>
          <w:szCs w:val="24"/>
          <w:spacing w:val="-3"/>
        </w:rPr>
        <w:t>根据堆积物成分和相对成因，具体又可分为由</w:t>
      </w:r>
      <w:r>
        <w:rPr>
          <w:rFonts w:ascii="FangSong" w:hAnsi="FangSong" w:eastAsia="FangSong" w:cs="FangSong"/>
          <w:sz w:val="24"/>
          <w:szCs w:val="24"/>
          <w:spacing w:val="-4"/>
        </w:rPr>
        <w:t>冲洪积含砂砾破积基岩碎块层</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2"/>
        </w:rPr>
        <w:t>h</w:t>
      </w:r>
      <w:r>
        <w:rPr>
          <w:rFonts w:ascii="Times New Roman" w:hAnsi="Times New Roman" w:eastAsia="Times New Roman" w:cs="Times New Roman"/>
          <w:sz w:val="15"/>
          <w:szCs w:val="15"/>
          <w:spacing w:val="-3"/>
          <w:position w:val="7"/>
        </w:rPr>
        <w:t>al+dl</w:t>
      </w:r>
      <w:r>
        <w:rPr>
          <w:rFonts w:ascii="FangSong" w:hAnsi="FangSong" w:eastAsia="FangSong" w:cs="FangSong"/>
          <w:sz w:val="24"/>
          <w:szCs w:val="24"/>
          <w:spacing w:val="-3"/>
        </w:rPr>
        <w:t>）、冲洪积砂砾石及湖积淤泥层（</w:t>
      </w: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2"/>
        </w:rPr>
        <w:t>h</w:t>
      </w:r>
      <w:r>
        <w:rPr>
          <w:rFonts w:ascii="Times New Roman" w:hAnsi="Times New Roman" w:eastAsia="Times New Roman" w:cs="Times New Roman"/>
          <w:sz w:val="15"/>
          <w:szCs w:val="15"/>
          <w:spacing w:val="-3"/>
          <w:position w:val="7"/>
        </w:rPr>
        <w:t>al+pl</w:t>
      </w:r>
      <w:r>
        <w:rPr>
          <w:rFonts w:ascii="FangSong" w:hAnsi="FangSong" w:eastAsia="FangSong" w:cs="FangSong"/>
          <w:sz w:val="24"/>
          <w:szCs w:val="24"/>
          <w:spacing w:val="-3"/>
        </w:rPr>
        <w:t>）、和风积砂土碎石层（</w:t>
      </w: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2"/>
        </w:rPr>
        <w:t>h</w:t>
      </w:r>
      <w:r>
        <w:rPr>
          <w:rFonts w:ascii="Times New Roman" w:hAnsi="Times New Roman" w:eastAsia="Times New Roman" w:cs="Times New Roman"/>
          <w:sz w:val="15"/>
          <w:szCs w:val="15"/>
          <w:spacing w:val="-3"/>
          <w:position w:val="7"/>
        </w:rPr>
        <w:t>eol</w:t>
      </w:r>
      <w:r>
        <w:rPr>
          <w:rFonts w:ascii="FangSong" w:hAnsi="FangSong" w:eastAsia="FangSong" w:cs="FangSong"/>
          <w:sz w:val="24"/>
          <w:szCs w:val="24"/>
          <w:spacing w:val="-3"/>
        </w:rPr>
        <w:t>）。</w:t>
      </w:r>
      <w:r>
        <w:rPr>
          <w:rFonts w:ascii="FangSong" w:hAnsi="FangSong" w:eastAsia="FangSong" w:cs="FangSong"/>
          <w:sz w:val="24"/>
          <w:szCs w:val="24"/>
          <w:spacing w:val="1"/>
        </w:rPr>
        <w:t>其中：冲洪积含砂砾石层、坡积砂土石岩碎石块层（</w:t>
      </w:r>
      <w:r>
        <w:rPr>
          <w:rFonts w:ascii="Times New Roman" w:hAnsi="Times New Roman" w:eastAsia="Times New Roman" w:cs="Times New Roman"/>
          <w:sz w:val="24"/>
          <w:szCs w:val="24"/>
        </w:rPr>
        <w:t>Q</w:t>
      </w:r>
      <w:r>
        <w:rPr>
          <w:rFonts w:ascii="Times New Roman" w:hAnsi="Times New Roman" w:eastAsia="Times New Roman" w:cs="Times New Roman"/>
          <w:sz w:val="15"/>
          <w:szCs w:val="15"/>
          <w:position w:val="-1"/>
        </w:rPr>
        <w:t>h</w:t>
      </w:r>
      <w:r>
        <w:rPr>
          <w:rFonts w:ascii="Times New Roman" w:hAnsi="Times New Roman" w:eastAsia="Times New Roman" w:cs="Times New Roman"/>
          <w:sz w:val="15"/>
          <w:szCs w:val="15"/>
          <w:position w:val="7"/>
        </w:rPr>
        <w:t>al</w:t>
      </w:r>
      <w:r>
        <w:rPr>
          <w:rFonts w:ascii="Times New Roman" w:hAnsi="Times New Roman" w:eastAsia="Times New Roman" w:cs="Times New Roman"/>
          <w:sz w:val="15"/>
          <w:szCs w:val="15"/>
          <w:spacing w:val="1"/>
          <w:position w:val="7"/>
        </w:rPr>
        <w:t>+</w:t>
      </w:r>
      <w:r>
        <w:rPr>
          <w:rFonts w:ascii="Times New Roman" w:hAnsi="Times New Roman" w:eastAsia="Times New Roman" w:cs="Times New Roman"/>
          <w:sz w:val="15"/>
          <w:szCs w:val="15"/>
          <w:position w:val="7"/>
        </w:rPr>
        <w:t>dl</w:t>
      </w:r>
      <w:r>
        <w:rPr>
          <w:rFonts w:ascii="Times New Roman" w:hAnsi="Times New Roman" w:eastAsia="Times New Roman" w:cs="Times New Roman"/>
          <w:sz w:val="15"/>
          <w:szCs w:val="15"/>
          <w:spacing w:val="1"/>
          <w:position w:val="7"/>
        </w:rPr>
        <w:t xml:space="preserve"> </w:t>
      </w:r>
      <w:r>
        <w:rPr>
          <w:rFonts w:ascii="FangSong" w:hAnsi="FangSong" w:eastAsia="FangSong" w:cs="FangSong"/>
          <w:sz w:val="24"/>
          <w:szCs w:val="24"/>
          <w:spacing w:val="-7"/>
        </w:rPr>
        <w:t>）：</w:t>
      </w:r>
      <w:r>
        <w:rPr>
          <w:rFonts w:ascii="FangSong" w:hAnsi="FangSong" w:eastAsia="FangSong" w:cs="FangSong"/>
          <w:sz w:val="24"/>
          <w:szCs w:val="24"/>
          <w:spacing w:val="1"/>
        </w:rPr>
        <w:t>分</w:t>
      </w:r>
      <w:r>
        <w:rPr>
          <w:rFonts w:ascii="FangSong" w:hAnsi="FangSong" w:eastAsia="FangSong" w:cs="FangSong"/>
          <w:sz w:val="24"/>
          <w:szCs w:val="24"/>
        </w:rPr>
        <w:t>布于测区西南</w:t>
      </w:r>
      <w:r>
        <w:rPr>
          <w:rFonts w:ascii="FangSong" w:hAnsi="FangSong" w:eastAsia="FangSong" w:cs="FangSong"/>
          <w:sz w:val="24"/>
          <w:szCs w:val="24"/>
          <w:spacing w:val="-1"/>
        </w:rPr>
        <w:t>位置处的沟谷中，以北西</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南东向展布，面积约</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4.0km</w:t>
      </w:r>
      <w:r>
        <w:rPr>
          <w:rFonts w:ascii="Times New Roman" w:hAnsi="Times New Roman" w:eastAsia="Times New Roman" w:cs="Times New Roman"/>
          <w:sz w:val="15"/>
          <w:szCs w:val="15"/>
          <w:spacing w:val="-1"/>
          <w:position w:val="7"/>
        </w:rPr>
        <w:t>2 </w:t>
      </w:r>
      <w:r>
        <w:rPr>
          <w:rFonts w:ascii="FangSong" w:hAnsi="FangSong" w:eastAsia="FangSong" w:cs="FangSong"/>
          <w:sz w:val="24"/>
          <w:szCs w:val="24"/>
          <w:spacing w:val="-1"/>
        </w:rPr>
        <w:t>，厚度约</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3-10m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。堆积物</w:t>
      </w:r>
      <w:r>
        <w:rPr>
          <w:rFonts w:ascii="FangSong" w:hAnsi="FangSong" w:eastAsia="FangSong" w:cs="FangSong"/>
          <w:sz w:val="24"/>
          <w:szCs w:val="24"/>
          <w:spacing w:val="-3"/>
        </w:rPr>
        <w:t>成分复杂，砂砾石主要有附近各时代地层中的基岩风化物经河流</w:t>
      </w:r>
      <w:r>
        <w:rPr>
          <w:rFonts w:ascii="FangSong" w:hAnsi="FangSong" w:eastAsia="FangSong" w:cs="FangSong"/>
          <w:sz w:val="24"/>
          <w:szCs w:val="24"/>
          <w:spacing w:val="-4"/>
        </w:rPr>
        <w:t>或洪水短距离搬</w:t>
      </w:r>
      <w:r>
        <w:rPr>
          <w:rFonts w:ascii="FangSong" w:hAnsi="FangSong" w:eastAsia="FangSong" w:cs="FangSong"/>
          <w:sz w:val="24"/>
          <w:szCs w:val="24"/>
          <w:spacing w:val="-2"/>
        </w:rPr>
        <w:t>运及就地风化剥蚀堆积而成。</w:t>
      </w:r>
    </w:p>
    <w:p>
      <w:pPr>
        <w:ind w:left="33" w:right="83" w:firstLine="468"/>
        <w:spacing w:before="4" w:line="325"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冲洪积含砾砂土及湖积淤泥层（</w:t>
      </w:r>
      <w:r>
        <w:rPr>
          <w:rFonts w:ascii="Times New Roman" w:hAnsi="Times New Roman" w:eastAsia="Times New Roman" w:cs="Times New Roman"/>
          <w:sz w:val="24"/>
          <w:szCs w:val="24"/>
          <w:spacing w:val="-1"/>
        </w:rPr>
        <w:t>Q</w:t>
      </w:r>
      <w:r>
        <w:rPr>
          <w:rFonts w:ascii="Times New Roman" w:hAnsi="Times New Roman" w:eastAsia="Times New Roman" w:cs="Times New Roman"/>
          <w:sz w:val="15"/>
          <w:szCs w:val="15"/>
          <w:spacing w:val="-1"/>
          <w:position w:val="-1"/>
        </w:rPr>
        <w:t>h</w:t>
      </w:r>
      <w:r>
        <w:rPr>
          <w:rFonts w:ascii="Times New Roman" w:hAnsi="Times New Roman" w:eastAsia="Times New Roman" w:cs="Times New Roman"/>
          <w:sz w:val="15"/>
          <w:szCs w:val="15"/>
          <w:spacing w:val="-1"/>
          <w:position w:val="7"/>
        </w:rPr>
        <w:t>al+pl</w:t>
      </w:r>
      <w:r>
        <w:rPr>
          <w:rFonts w:ascii="FangSong" w:hAnsi="FangSong" w:eastAsia="FangSong" w:cs="FangSong"/>
          <w:sz w:val="24"/>
          <w:szCs w:val="24"/>
          <w:spacing w:val="-8"/>
        </w:rPr>
        <w:t>）：</w:t>
      </w:r>
      <w:r>
        <w:rPr>
          <w:rFonts w:ascii="FangSong" w:hAnsi="FangSong" w:eastAsia="FangSong" w:cs="FangSong"/>
          <w:sz w:val="24"/>
          <w:szCs w:val="24"/>
          <w:spacing w:val="-1"/>
        </w:rPr>
        <w:t>基</w:t>
      </w:r>
      <w:r>
        <w:rPr>
          <w:rFonts w:ascii="FangSong" w:hAnsi="FangSong" w:eastAsia="FangSong" w:cs="FangSong"/>
          <w:sz w:val="24"/>
          <w:szCs w:val="24"/>
          <w:spacing w:val="-2"/>
        </w:rPr>
        <w:t>本呈带状体，从测区北西向</w:t>
      </w:r>
      <w:r>
        <w:rPr>
          <w:rFonts w:ascii="FangSong" w:hAnsi="FangSong" w:eastAsia="FangSong" w:cs="FangSong"/>
          <w:sz w:val="24"/>
          <w:szCs w:val="24"/>
          <w:spacing w:val="-1"/>
        </w:rPr>
        <w:t>南东展布。其成分主要为含砾砂土夹湖积淤泥层组成。砾石粒径多在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3-25</w:t>
      </w:r>
      <w:r>
        <w:rPr>
          <w:rFonts w:ascii="Times New Roman" w:hAnsi="Times New Roman" w:eastAsia="Times New Roman" w:cs="Times New Roman"/>
          <w:sz w:val="24"/>
          <w:szCs w:val="24"/>
          <w:spacing w:val="-2"/>
        </w:rPr>
        <w:t>cm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之</w:t>
      </w:r>
      <w:r>
        <w:rPr>
          <w:rFonts w:ascii="FangSong" w:hAnsi="FangSong" w:eastAsia="FangSong" w:cs="FangSong"/>
          <w:sz w:val="24"/>
          <w:szCs w:val="24"/>
          <w:spacing w:val="-3"/>
        </w:rPr>
        <w:t>间，砾石磨圆度相对较差，呈次棱角状。湖积淤泥呈土灰</w:t>
      </w:r>
      <w:r>
        <w:rPr>
          <w:rFonts w:ascii="FangSong" w:hAnsi="FangSong" w:eastAsia="FangSong" w:cs="FangSong"/>
          <w:sz w:val="24"/>
          <w:szCs w:val="24"/>
          <w:spacing w:val="-4"/>
        </w:rPr>
        <w:t>色，较松软。该成分层</w:t>
      </w:r>
      <w:r>
        <w:rPr>
          <w:rFonts w:ascii="FangSong" w:hAnsi="FangSong" w:eastAsia="FangSong" w:cs="FangSong"/>
          <w:sz w:val="24"/>
          <w:szCs w:val="24"/>
          <w:spacing w:val="-5"/>
        </w:rPr>
        <w:t>厚样</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5"/>
        </w:rPr>
        <w:t>8-15m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，出露面积约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14.50km</w:t>
      </w:r>
      <w:r>
        <w:rPr>
          <w:rFonts w:ascii="Times New Roman" w:hAnsi="Times New Roman" w:eastAsia="Times New Roman" w:cs="Times New Roman"/>
          <w:sz w:val="15"/>
          <w:szCs w:val="15"/>
          <w:spacing w:val="-5"/>
          <w:position w:val="7"/>
        </w:rPr>
        <w:t>2</w:t>
      </w:r>
      <w:r>
        <w:rPr>
          <w:rFonts w:ascii="FangSong" w:hAnsi="FangSong" w:eastAsia="FangSong" w:cs="FangSong"/>
          <w:sz w:val="24"/>
          <w:szCs w:val="24"/>
          <w:spacing w:val="-5"/>
        </w:rPr>
        <w:t>。</w:t>
      </w:r>
    </w:p>
    <w:p>
      <w:pPr>
        <w:ind w:left="34" w:right="83" w:firstLine="466"/>
        <w:spacing w:before="184" w:line="313" w:lineRule="auto"/>
        <w:rPr>
          <w:rFonts w:ascii="FangSong" w:hAnsi="FangSong" w:eastAsia="FangSong" w:cs="FangSong"/>
          <w:sz w:val="24"/>
          <w:szCs w:val="24"/>
        </w:rPr>
      </w:pPr>
      <w:r>
        <w:rPr>
          <w:rFonts w:ascii="FangSong" w:hAnsi="FangSong" w:eastAsia="FangSong" w:cs="FangSong"/>
          <w:sz w:val="24"/>
          <w:szCs w:val="24"/>
          <w:spacing w:val="-3"/>
        </w:rPr>
        <w:t>②</w:t>
      </w:r>
      <w:r>
        <w:rPr>
          <w:rFonts w:ascii="FangSong" w:hAnsi="FangSong" w:eastAsia="FangSong" w:cs="FangSong"/>
          <w:sz w:val="24"/>
          <w:szCs w:val="24"/>
          <w:spacing w:val="-3"/>
        </w:rPr>
        <w:t xml:space="preserve"> </w:t>
      </w:r>
      <w:r>
        <w:rPr>
          <w:rFonts w:ascii="FangSong" w:hAnsi="FangSong" w:eastAsia="FangSong" w:cs="FangSong"/>
          <w:sz w:val="24"/>
          <w:szCs w:val="24"/>
          <w:spacing w:val="-3"/>
        </w:rPr>
        <w:t>风积砂土层（</w:t>
      </w: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1"/>
        </w:rPr>
        <w:t>h</w:t>
      </w:r>
      <w:r>
        <w:rPr>
          <w:rFonts w:ascii="Times New Roman" w:hAnsi="Times New Roman" w:eastAsia="Times New Roman" w:cs="Times New Roman"/>
          <w:sz w:val="15"/>
          <w:szCs w:val="15"/>
          <w:spacing w:val="-3"/>
          <w:position w:val="7"/>
        </w:rPr>
        <w:t>eol</w:t>
      </w:r>
      <w:r>
        <w:rPr>
          <w:rFonts w:ascii="FangSong" w:hAnsi="FangSong" w:eastAsia="FangSong" w:cs="FangSong"/>
          <w:sz w:val="24"/>
          <w:szCs w:val="24"/>
          <w:spacing w:val="-41"/>
        </w:rPr>
        <w:t>）：</w:t>
      </w:r>
      <w:r>
        <w:rPr>
          <w:rFonts w:ascii="FangSong" w:hAnsi="FangSong" w:eastAsia="FangSong" w:cs="FangSong"/>
          <w:sz w:val="24"/>
          <w:szCs w:val="24"/>
          <w:spacing w:val="-3"/>
        </w:rPr>
        <w:t>大面积分布为测区北部及</w:t>
      </w:r>
      <w:r>
        <w:rPr>
          <w:rFonts w:ascii="FangSong" w:hAnsi="FangSong" w:eastAsia="FangSong" w:cs="FangSong"/>
          <w:sz w:val="24"/>
          <w:szCs w:val="24"/>
          <w:spacing w:val="-4"/>
        </w:rPr>
        <w:t>矿区周边，由厚约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0.2-7m</w:t>
      </w:r>
      <w:r>
        <w:rPr>
          <w:rFonts w:ascii="FangSong" w:hAnsi="FangSong" w:eastAsia="FangSong" w:cs="FangSong"/>
          <w:sz w:val="24"/>
          <w:szCs w:val="24"/>
          <w:spacing w:val="-4"/>
        </w:rPr>
        <w:t>的砂土堆积而成。出露面积为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4"/>
        </w:rPr>
        <w:t>70.75km</w:t>
      </w:r>
      <w:r>
        <w:rPr>
          <w:rFonts w:ascii="Times New Roman" w:hAnsi="Times New Roman" w:eastAsia="Times New Roman" w:cs="Times New Roman"/>
          <w:sz w:val="15"/>
          <w:szCs w:val="15"/>
          <w:spacing w:val="-4"/>
          <w:position w:val="7"/>
        </w:rPr>
        <w:t>2</w:t>
      </w:r>
      <w:r>
        <w:rPr>
          <w:rFonts w:ascii="FangSong" w:hAnsi="FangSong" w:eastAsia="FangSong" w:cs="FangSong"/>
          <w:sz w:val="24"/>
          <w:szCs w:val="24"/>
          <w:spacing w:val="-4"/>
        </w:rPr>
        <w:t>，其成因为长年累月的冬春季节大风搬运</w:t>
      </w:r>
      <w:r>
        <w:rPr>
          <w:rFonts w:ascii="FangSong" w:hAnsi="FangSong" w:eastAsia="FangSong" w:cs="FangSong"/>
          <w:sz w:val="24"/>
          <w:szCs w:val="24"/>
          <w:spacing w:val="-1"/>
        </w:rPr>
        <w:t>而成，局部形成链状沙丘，长达数公里，覆盖在区域内的地层之上。</w:t>
      </w:r>
    </w:p>
    <w:p>
      <w:pPr>
        <w:spacing w:line="313" w:lineRule="auto"/>
        <w:sectPr>
          <w:footerReference w:type="default" r:id="rId217"/>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3" w:lineRule="auto"/>
        <w:outlineLvl w:val="2"/>
        <w:rPr>
          <w:rFonts w:ascii="FangSong" w:hAnsi="FangSong" w:eastAsia="FangSong" w:cs="FangSong"/>
          <w:sz w:val="24"/>
          <w:szCs w:val="24"/>
        </w:rPr>
      </w:pPr>
      <w:bookmarkStart w:name="bookmark224" w:id="302"/>
      <w:bookmarkEnd w:id="302"/>
      <w:bookmarkStart w:name="bookmark223" w:id="303"/>
      <w:bookmarkEnd w:id="303"/>
      <w:r>
        <w:rPr>
          <w:rFonts w:ascii="Times New Roman" w:hAnsi="Times New Roman" w:eastAsia="Times New Roman" w:cs="Times New Roman"/>
          <w:sz w:val="24"/>
          <w:szCs w:val="24"/>
          <w:b/>
          <w:bCs/>
          <w:spacing w:val="-5"/>
        </w:rPr>
        <w:t>5.3.2</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5"/>
        </w:rPr>
        <w:t>构造</w:t>
      </w:r>
    </w:p>
    <w:p>
      <w:pPr>
        <w:ind w:left="17" w:right="3" w:firstLine="492"/>
        <w:spacing w:before="181" w:line="356" w:lineRule="auto"/>
        <w:jc w:val="both"/>
        <w:rPr>
          <w:rFonts w:ascii="FangSong" w:hAnsi="FangSong" w:eastAsia="FangSong" w:cs="FangSong"/>
          <w:sz w:val="24"/>
          <w:szCs w:val="24"/>
        </w:rPr>
      </w:pPr>
      <w:r>
        <w:rPr>
          <w:rFonts w:ascii="FangSong" w:hAnsi="FangSong" w:eastAsia="FangSong" w:cs="FangSong"/>
          <w:sz w:val="24"/>
          <w:szCs w:val="24"/>
          <w:spacing w:val="4"/>
        </w:rPr>
        <w:t>依据矿区周边区域内出露的晚古生代二叠系哲斯组地层展布方向及褶皱岩</w:t>
      </w:r>
      <w:r>
        <w:rPr>
          <w:rFonts w:ascii="FangSong" w:hAnsi="FangSong" w:eastAsia="FangSong" w:cs="FangSong"/>
          <w:sz w:val="24"/>
          <w:szCs w:val="24"/>
          <w:spacing w:val="-3"/>
        </w:rPr>
        <w:t>层产状和其内上侵岩体出露位置及相对排列关系和断层分布等特征，是与中新生</w:t>
      </w:r>
      <w:r>
        <w:rPr>
          <w:rFonts w:ascii="FangSong" w:hAnsi="FangSong" w:eastAsia="FangSong" w:cs="FangSong"/>
          <w:sz w:val="24"/>
          <w:szCs w:val="24"/>
          <w:spacing w:val="-3"/>
        </w:rPr>
        <w:t>代以来由太平洋板块对欧亚板块的俯冲，形成的内蒙古中东部一系列北东或北北</w:t>
      </w:r>
      <w:r>
        <w:rPr>
          <w:rFonts w:ascii="FangSong" w:hAnsi="FangSong" w:eastAsia="FangSong" w:cs="FangSong"/>
          <w:sz w:val="24"/>
          <w:szCs w:val="24"/>
          <w:spacing w:val="-3"/>
        </w:rPr>
        <w:t>东向的隆起带和坳陷区等大地构造及其内的火山活动和岩浆侵入相匹配的。也就</w:t>
      </w:r>
      <w:r>
        <w:rPr>
          <w:rFonts w:ascii="FangSong" w:hAnsi="FangSong" w:eastAsia="FangSong" w:cs="FangSong"/>
          <w:sz w:val="24"/>
          <w:szCs w:val="24"/>
          <w:spacing w:val="-3"/>
        </w:rPr>
        <w:t>是说矿区周边区域内的主要构造：褶皱及断裂的展布方向也基本上是近东西、北</w:t>
      </w:r>
      <w:r>
        <w:rPr>
          <w:rFonts w:ascii="FangSong" w:hAnsi="FangSong" w:eastAsia="FangSong" w:cs="FangSong"/>
          <w:sz w:val="24"/>
          <w:szCs w:val="24"/>
          <w:spacing w:val="-3"/>
        </w:rPr>
        <w:t>东向。而北西向的断层则是主构造形成过程中产生的次一级构造的体现形式。区</w:t>
      </w:r>
      <w:r>
        <w:rPr>
          <w:rFonts w:ascii="FangSong" w:hAnsi="FangSong" w:eastAsia="FangSong" w:cs="FangSong"/>
          <w:sz w:val="24"/>
          <w:szCs w:val="24"/>
          <w:spacing w:val="-3"/>
        </w:rPr>
        <w:t>内由于新生界地层分布范围较广，第四系风尘砂土覆盖面积较大，掩盖了许多构</w:t>
      </w:r>
      <w:r>
        <w:rPr>
          <w:rFonts w:ascii="FangSong" w:hAnsi="FangSong" w:eastAsia="FangSong" w:cs="FangSong"/>
          <w:sz w:val="24"/>
          <w:szCs w:val="24"/>
          <w:spacing w:val="-3"/>
        </w:rPr>
        <w:t>造形迹，不过从前人的工作成果看，测区内未见到较明显的完整褶皱，仅以单斜</w:t>
      </w:r>
      <w:r>
        <w:rPr>
          <w:rFonts w:ascii="FangSong" w:hAnsi="FangSong" w:eastAsia="FangSong" w:cs="FangSong"/>
          <w:sz w:val="24"/>
          <w:szCs w:val="24"/>
          <w:spacing w:val="-1"/>
        </w:rPr>
        <w:t>形式分布。断裂主要为北东、北西向两种，出露于</w:t>
      </w:r>
      <w:r>
        <w:rPr>
          <w:rFonts w:ascii="FangSong" w:hAnsi="FangSong" w:eastAsia="FangSong" w:cs="FangSong"/>
          <w:sz w:val="24"/>
          <w:szCs w:val="24"/>
          <w:spacing w:val="-2"/>
        </w:rPr>
        <w:t>测区南端，编号分别为：</w:t>
      </w:r>
      <w:r>
        <w:rPr>
          <w:rFonts w:ascii="Times New Roman" w:hAnsi="Times New Roman" w:eastAsia="Times New Roman" w:cs="Times New Roman"/>
          <w:sz w:val="24"/>
          <w:szCs w:val="24"/>
          <w:spacing w:val="-2"/>
        </w:rPr>
        <w:t>F1</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F2</w:t>
      </w:r>
      <w:r>
        <w:rPr>
          <w:rFonts w:ascii="FangSong" w:hAnsi="FangSong" w:eastAsia="FangSong" w:cs="FangSong"/>
          <w:sz w:val="24"/>
          <w:szCs w:val="24"/>
          <w:spacing w:val="-2"/>
        </w:rPr>
        <w:t>。</w:t>
      </w:r>
    </w:p>
    <w:p>
      <w:pPr>
        <w:ind w:left="22"/>
        <w:spacing w:before="47"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5.3.2.1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褶皱</w:t>
      </w:r>
    </w:p>
    <w:p>
      <w:pPr>
        <w:ind w:left="29" w:firstLine="480"/>
        <w:spacing w:before="177" w:line="360" w:lineRule="auto"/>
        <w:jc w:val="both"/>
        <w:rPr>
          <w:rFonts w:ascii="FangSong" w:hAnsi="FangSong" w:eastAsia="FangSong" w:cs="FangSong"/>
          <w:sz w:val="24"/>
          <w:szCs w:val="24"/>
        </w:rPr>
      </w:pPr>
      <w:r>
        <w:rPr>
          <w:rFonts w:ascii="FangSong" w:hAnsi="FangSong" w:eastAsia="FangSong" w:cs="FangSong"/>
          <w:sz w:val="24"/>
          <w:szCs w:val="24"/>
          <w:spacing w:val="-4"/>
        </w:rPr>
        <w:t>组成单斜的地层为温都尔庙群哈尔哈达组（</w:t>
      </w:r>
      <w:r>
        <w:rPr>
          <w:rFonts w:ascii="Times New Roman" w:hAnsi="Times New Roman" w:eastAsia="Times New Roman" w:cs="Times New Roman"/>
          <w:sz w:val="24"/>
          <w:szCs w:val="24"/>
          <w:spacing w:val="-4"/>
        </w:rPr>
        <w:t>Jxhr</w:t>
      </w:r>
      <w:r>
        <w:rPr>
          <w:rFonts w:ascii="FangSong" w:hAnsi="FangSong" w:eastAsia="FangSong" w:cs="FangSong"/>
          <w:sz w:val="24"/>
          <w:szCs w:val="24"/>
          <w:spacing w:val="-4"/>
        </w:rPr>
        <w:t>）。岩层走向北东</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20°</w:t>
      </w:r>
      <w:r>
        <w:rPr>
          <w:rFonts w:ascii="FangSong" w:hAnsi="FangSong" w:eastAsia="FangSong" w:cs="FangSong"/>
          <w:sz w:val="24"/>
          <w:szCs w:val="24"/>
          <w:spacing w:val="-4"/>
        </w:rPr>
        <w:t>左右，</w:t>
      </w:r>
      <w:r>
        <w:rPr>
          <w:rFonts w:ascii="FangSong" w:hAnsi="FangSong" w:eastAsia="FangSong" w:cs="FangSong"/>
          <w:sz w:val="24"/>
          <w:szCs w:val="24"/>
          <w:spacing w:val="-2"/>
        </w:rPr>
        <w:t>倾向北西，倾角约在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50-56°</w:t>
      </w:r>
      <w:r>
        <w:rPr>
          <w:rFonts w:ascii="FangSong" w:hAnsi="FangSong" w:eastAsia="FangSong" w:cs="FangSong"/>
          <w:sz w:val="24"/>
          <w:szCs w:val="24"/>
          <w:spacing w:val="-2"/>
        </w:rPr>
        <w:t>之间，走向长度在区域内约</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18km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。其上部并被新近</w:t>
      </w:r>
      <w:r>
        <w:rPr>
          <w:rFonts w:ascii="FangSong" w:hAnsi="FangSong" w:eastAsia="FangSong" w:cs="FangSong"/>
          <w:sz w:val="24"/>
          <w:szCs w:val="24"/>
          <w:spacing w:val="-2"/>
        </w:rPr>
        <w:t>系通古尔组（</w:t>
      </w:r>
      <w:r>
        <w:rPr>
          <w:rFonts w:ascii="Times New Roman" w:hAnsi="Times New Roman" w:eastAsia="Times New Roman" w:cs="Times New Roman"/>
          <w:sz w:val="24"/>
          <w:szCs w:val="24"/>
          <w:spacing w:val="-2"/>
        </w:rPr>
        <w:t>N</w:t>
      </w:r>
      <w:r>
        <w:rPr>
          <w:rFonts w:ascii="Times New Roman" w:hAnsi="Times New Roman" w:eastAsia="Times New Roman" w:cs="Times New Roman"/>
          <w:sz w:val="15"/>
          <w:szCs w:val="15"/>
          <w:spacing w:val="-2"/>
          <w:position w:val="-1"/>
        </w:rPr>
        <w:t>1</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2"/>
        </w:rPr>
        <w:t>）、宝格达乌拉组（</w:t>
      </w:r>
      <w:r>
        <w:rPr>
          <w:rFonts w:ascii="Times New Roman" w:hAnsi="Times New Roman" w:eastAsia="Times New Roman" w:cs="Times New Roman"/>
          <w:sz w:val="24"/>
          <w:szCs w:val="24"/>
          <w:spacing w:val="-2"/>
        </w:rPr>
        <w:t>N</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24"/>
          <w:szCs w:val="24"/>
          <w:spacing w:val="-2"/>
        </w:rPr>
        <w:t>b</w:t>
      </w:r>
      <w:r>
        <w:rPr>
          <w:rFonts w:ascii="FangSong" w:hAnsi="FangSong" w:eastAsia="FangSong" w:cs="FangSong"/>
          <w:sz w:val="24"/>
          <w:szCs w:val="24"/>
          <w:spacing w:val="-2"/>
        </w:rPr>
        <w:t>）及第四系地层覆盖。</w:t>
      </w:r>
    </w:p>
    <w:p>
      <w:pPr>
        <w:ind w:left="22"/>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5.3.2.2</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5"/>
        </w:rPr>
        <w:t>断层</w:t>
      </w:r>
    </w:p>
    <w:p>
      <w:pPr>
        <w:ind w:left="29" w:right="65" w:firstLine="468"/>
        <w:spacing w:before="181" w:line="360" w:lineRule="auto"/>
        <w:jc w:val="both"/>
        <w:rPr>
          <w:rFonts w:ascii="FangSong" w:hAnsi="FangSong" w:eastAsia="FangSong" w:cs="FangSong"/>
          <w:sz w:val="24"/>
          <w:szCs w:val="24"/>
        </w:rPr>
      </w:pPr>
      <w:r>
        <w:rPr>
          <w:rFonts w:ascii="Times New Roman" w:hAnsi="Times New Roman" w:eastAsia="Times New Roman" w:cs="Times New Roman"/>
          <w:sz w:val="24"/>
          <w:szCs w:val="24"/>
        </w:rPr>
        <w:t>F1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rPr>
        <w:t>位于本项目所在区域哈沙司台各少东南约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rPr>
        <w:t>1.5km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rPr>
        <w:t>处，切穿</w:t>
      </w:r>
      <w:r>
        <w:rPr>
          <w:rFonts w:ascii="FangSong" w:hAnsi="FangSong" w:eastAsia="FangSong" w:cs="FangSong"/>
          <w:sz w:val="24"/>
          <w:szCs w:val="24"/>
          <w:spacing w:val="-1"/>
        </w:rPr>
        <w:t>中元古代蓟县</w:t>
      </w:r>
      <w:r>
        <w:rPr>
          <w:rFonts w:ascii="FangSong" w:hAnsi="FangSong" w:eastAsia="FangSong" w:cs="FangSong"/>
          <w:sz w:val="24"/>
          <w:szCs w:val="24"/>
          <w:spacing w:val="-3"/>
        </w:rPr>
        <w:t>系温都尔庙群哈尔哈达组及古生代二叠系中统哲斯组老地层，使之</w:t>
      </w:r>
      <w:r>
        <w:rPr>
          <w:rFonts w:ascii="FangSong" w:hAnsi="FangSong" w:eastAsia="FangSong" w:cs="FangSong"/>
          <w:sz w:val="24"/>
          <w:szCs w:val="24"/>
          <w:spacing w:val="-4"/>
        </w:rPr>
        <w:t>产生位移。其</w:t>
      </w:r>
      <w:r>
        <w:rPr>
          <w:rFonts w:ascii="FangSong" w:hAnsi="FangSong" w:eastAsia="FangSong" w:cs="FangSong"/>
          <w:sz w:val="24"/>
          <w:szCs w:val="24"/>
          <w:spacing w:val="-3"/>
        </w:rPr>
        <w:t>经过处，地表岩石破碎，构造角砾发育，其西南端被新近系中新统</w:t>
      </w:r>
      <w:r>
        <w:rPr>
          <w:rFonts w:ascii="FangSong" w:hAnsi="FangSong" w:eastAsia="FangSong" w:cs="FangSong"/>
          <w:sz w:val="24"/>
          <w:szCs w:val="24"/>
          <w:spacing w:val="-4"/>
        </w:rPr>
        <w:t>通古尔组地层</w:t>
      </w:r>
      <w:r>
        <w:rPr>
          <w:rFonts w:ascii="FangSong" w:hAnsi="FangSong" w:eastAsia="FangSong" w:cs="FangSong"/>
          <w:sz w:val="24"/>
          <w:szCs w:val="24"/>
          <w:spacing w:val="-3"/>
        </w:rPr>
        <w:t>覆盖，北东端延入第四系沟谷中，走向长度约</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3.6km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。其性质为实测的张性平移</w:t>
      </w:r>
      <w:r>
        <w:rPr>
          <w:rFonts w:ascii="FangSong" w:hAnsi="FangSong" w:eastAsia="FangSong" w:cs="FangSong"/>
          <w:sz w:val="24"/>
          <w:szCs w:val="24"/>
          <w:spacing w:val="-6"/>
        </w:rPr>
        <w:t>断层。</w:t>
      </w:r>
    </w:p>
    <w:p>
      <w:pPr>
        <w:ind w:left="33" w:right="65" w:firstLine="464"/>
        <w:spacing w:before="4" w:line="359" w:lineRule="auto"/>
        <w:jc w:val="both"/>
        <w:rPr>
          <w:rFonts w:ascii="FangSong" w:hAnsi="FangSong" w:eastAsia="FangSong" w:cs="FangSong"/>
          <w:sz w:val="24"/>
          <w:szCs w:val="24"/>
        </w:rPr>
      </w:pPr>
      <w:r>
        <w:rPr>
          <w:rFonts w:ascii="Times New Roman" w:hAnsi="Times New Roman" w:eastAsia="Times New Roman" w:cs="Times New Roman"/>
          <w:sz w:val="24"/>
          <w:szCs w:val="24"/>
          <w:spacing w:val="-4"/>
        </w:rPr>
        <w:t>F2</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为实测的性质不明断层，处于勘查区南端，北西走向，长</w:t>
      </w:r>
      <w:r>
        <w:rPr>
          <w:rFonts w:ascii="FangSong" w:hAnsi="FangSong" w:eastAsia="FangSong" w:cs="FangSong"/>
          <w:sz w:val="24"/>
          <w:szCs w:val="24"/>
          <w:spacing w:val="-5"/>
        </w:rPr>
        <w:t>度约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3.8km</w:t>
      </w:r>
      <w:r>
        <w:rPr>
          <w:rFonts w:ascii="FangSong" w:hAnsi="FangSong" w:eastAsia="FangSong" w:cs="FangSong"/>
          <w:sz w:val="24"/>
          <w:szCs w:val="24"/>
          <w:spacing w:val="-5"/>
        </w:rPr>
        <w:t>，产</w:t>
      </w:r>
      <w:r>
        <w:rPr>
          <w:rFonts w:ascii="FangSong" w:hAnsi="FangSong" w:eastAsia="FangSong" w:cs="FangSong"/>
          <w:sz w:val="24"/>
          <w:szCs w:val="24"/>
          <w:spacing w:val="-3"/>
        </w:rPr>
        <w:t>于二叠系哲斯组地层中，其经过处地表岩石较破碎，经检</w:t>
      </w:r>
      <w:r>
        <w:rPr>
          <w:rFonts w:ascii="FangSong" w:hAnsi="FangSong" w:eastAsia="FangSong" w:cs="FangSong"/>
          <w:sz w:val="24"/>
          <w:szCs w:val="24"/>
          <w:spacing w:val="-4"/>
        </w:rPr>
        <w:t>查未见有后期热液充填</w:t>
      </w:r>
      <w:r>
        <w:rPr>
          <w:rFonts w:ascii="FangSong" w:hAnsi="FangSong" w:eastAsia="FangSong" w:cs="FangSong"/>
          <w:sz w:val="24"/>
          <w:szCs w:val="24"/>
          <w:spacing w:val="-4"/>
        </w:rPr>
        <w:t>成的矿化。</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5.3.2.3</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b/>
          <w:bCs/>
          <w:spacing w:val="-3"/>
        </w:rPr>
        <w:t>岩浆岩</w:t>
      </w:r>
    </w:p>
    <w:p>
      <w:pPr>
        <w:ind w:left="29" w:right="26"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本项目所在区域外围周边区域内，由于构造相</w:t>
      </w:r>
      <w:r>
        <w:rPr>
          <w:rFonts w:ascii="FangSong" w:hAnsi="FangSong" w:eastAsia="FangSong" w:cs="FangSong"/>
          <w:sz w:val="24"/>
          <w:szCs w:val="24"/>
          <w:spacing w:val="-4"/>
        </w:rPr>
        <w:t>对不发育，深部岩浆上侵活动</w:t>
      </w:r>
      <w:r>
        <w:rPr>
          <w:rFonts w:ascii="FangSong" w:hAnsi="FangSong" w:eastAsia="FangSong" w:cs="FangSong"/>
          <w:sz w:val="24"/>
          <w:szCs w:val="24"/>
          <w:spacing w:val="-2"/>
        </w:rPr>
        <w:t>较弱的原故，致使区内形成的中酸性侵入体和脉岩分布面积较小。含矿性较</w:t>
      </w:r>
      <w:r>
        <w:rPr>
          <w:rFonts w:ascii="FangSong" w:hAnsi="FangSong" w:eastAsia="FangSong" w:cs="FangSong"/>
          <w:sz w:val="24"/>
          <w:szCs w:val="24"/>
          <w:spacing w:val="-3"/>
        </w:rPr>
        <w:t>差，</w:t>
      </w:r>
      <w:r>
        <w:rPr>
          <w:rFonts w:ascii="FangSong" w:hAnsi="FangSong" w:eastAsia="FangSong" w:cs="FangSong"/>
          <w:sz w:val="24"/>
          <w:szCs w:val="24"/>
          <w:spacing w:val="-1"/>
        </w:rPr>
        <w:t>形成时代主要为华力西晚期和燕山期。各期侵入体特征简述如下：</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）侵入岩</w:t>
      </w:r>
    </w:p>
    <w:p>
      <w:pPr>
        <w:spacing w:line="223" w:lineRule="auto"/>
        <w:sectPr>
          <w:footerReference w:type="default" r:id="rId218"/>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02"/>
        <w:spacing w:before="78" w:line="212"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45"/>
        </w:rPr>
        <w:t xml:space="preserve"> </w:t>
      </w:r>
      <w:r>
        <w:rPr>
          <w:rFonts w:ascii="FangSong" w:hAnsi="FangSong" w:eastAsia="FangSong" w:cs="FangSong"/>
          <w:sz w:val="24"/>
          <w:szCs w:val="24"/>
          <w:spacing w:val="-5"/>
        </w:rPr>
        <w:t>闪长玢岩体（</w:t>
      </w:r>
      <w:r>
        <w:rPr>
          <w:rFonts w:ascii="Times New Roman" w:hAnsi="Times New Roman" w:eastAsia="Times New Roman" w:cs="Times New Roman"/>
          <w:sz w:val="24"/>
          <w:szCs w:val="24"/>
          <w:spacing w:val="-5"/>
        </w:rPr>
        <w:t>pδμ</w:t>
      </w:r>
      <w:r>
        <w:rPr>
          <w:rFonts w:ascii="FangSong" w:hAnsi="FangSong" w:eastAsia="FangSong" w:cs="FangSong"/>
          <w:sz w:val="24"/>
          <w:szCs w:val="24"/>
          <w:spacing w:val="-5"/>
        </w:rPr>
        <w:t>)</w:t>
      </w:r>
    </w:p>
    <w:p>
      <w:pPr>
        <w:ind w:left="29" w:firstLine="482"/>
        <w:spacing w:before="192" w:line="360" w:lineRule="auto"/>
        <w:rPr>
          <w:rFonts w:ascii="FangSong" w:hAnsi="FangSong" w:eastAsia="FangSong" w:cs="FangSong"/>
          <w:sz w:val="24"/>
          <w:szCs w:val="24"/>
        </w:rPr>
      </w:pPr>
      <w:r>
        <w:rPr>
          <w:rFonts w:ascii="FangSong" w:hAnsi="FangSong" w:eastAsia="FangSong" w:cs="FangSong"/>
          <w:sz w:val="24"/>
          <w:szCs w:val="24"/>
          <w:spacing w:val="1"/>
        </w:rPr>
        <w:t>分布于本项目所在区域外围东侧约</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处，另一处位于区域</w:t>
      </w:r>
      <w:r>
        <w:rPr>
          <w:rFonts w:ascii="FangSong" w:hAnsi="FangSong" w:eastAsia="FangSong" w:cs="FangSong"/>
          <w:sz w:val="24"/>
          <w:szCs w:val="24"/>
        </w:rPr>
        <w:t>最北端处。两</w:t>
      </w:r>
      <w:r>
        <w:rPr>
          <w:rFonts w:ascii="FangSong" w:hAnsi="FangSong" w:eastAsia="FangSong" w:cs="FangSong"/>
          <w:sz w:val="24"/>
          <w:szCs w:val="24"/>
        </w:rPr>
        <w:t>处总面积合计</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rPr>
        <w:t>0.99km</w:t>
      </w:r>
      <w:r>
        <w:rPr>
          <w:rFonts w:ascii="Times New Roman" w:hAnsi="Times New Roman" w:eastAsia="Times New Roman" w:cs="Times New Roman"/>
          <w:sz w:val="15"/>
          <w:szCs w:val="15"/>
          <w:position w:val="7"/>
        </w:rPr>
        <w:t>2 </w:t>
      </w:r>
      <w:r>
        <w:rPr>
          <w:rFonts w:ascii="FangSong" w:hAnsi="FangSong" w:eastAsia="FangSong" w:cs="FangSong"/>
          <w:sz w:val="24"/>
          <w:szCs w:val="24"/>
        </w:rPr>
        <w:t>。均呈较小的株状产出。侵入到二叠系哲斯组（</w:t>
      </w:r>
      <w:r>
        <w:rPr>
          <w:rFonts w:ascii="Times New Roman" w:hAnsi="Times New Roman" w:eastAsia="Times New Roman" w:cs="Times New Roman"/>
          <w:sz w:val="24"/>
          <w:szCs w:val="24"/>
        </w:rPr>
        <w:t>P</w:t>
      </w:r>
      <w:r>
        <w:rPr>
          <w:rFonts w:ascii="Times New Roman" w:hAnsi="Times New Roman" w:eastAsia="Times New Roman" w:cs="Times New Roman"/>
          <w:sz w:val="15"/>
          <w:szCs w:val="15"/>
        </w:rPr>
        <w:t>2</w:t>
      </w:r>
      <w:r>
        <w:rPr>
          <w:rFonts w:ascii="Times New Roman" w:hAnsi="Times New Roman" w:eastAsia="Times New Roman" w:cs="Times New Roman"/>
          <w:sz w:val="24"/>
          <w:szCs w:val="24"/>
        </w:rPr>
        <w:t>zs</w:t>
      </w:r>
      <w:r>
        <w:rPr>
          <w:rFonts w:ascii="FangSong" w:hAnsi="FangSong" w:eastAsia="FangSong" w:cs="FangSong"/>
          <w:sz w:val="24"/>
          <w:szCs w:val="24"/>
        </w:rPr>
        <w:t>）地</w:t>
      </w:r>
      <w:r>
        <w:rPr>
          <w:rFonts w:ascii="FangSong" w:hAnsi="FangSong" w:eastAsia="FangSong" w:cs="FangSong"/>
          <w:sz w:val="24"/>
          <w:szCs w:val="24"/>
          <w:spacing w:val="-8"/>
        </w:rPr>
        <w:t>层中。局部被第四系风成砂土覆盖。岩石为灰白色，似斑状结构，斑晶为斜长石，</w:t>
      </w:r>
      <w:r>
        <w:rPr>
          <w:rFonts w:ascii="FangSong" w:hAnsi="FangSong" w:eastAsia="FangSong" w:cs="FangSong"/>
          <w:sz w:val="24"/>
          <w:szCs w:val="24"/>
          <w:spacing w:val="-3"/>
        </w:rPr>
        <w:t>半自形板状，双晶环节带构造可见。基质成分为微细粒、半自形粒</w:t>
      </w:r>
      <w:r>
        <w:rPr>
          <w:rFonts w:ascii="FangSong" w:hAnsi="FangSong" w:eastAsia="FangSong" w:cs="FangSong"/>
          <w:sz w:val="24"/>
          <w:szCs w:val="24"/>
          <w:spacing w:val="-4"/>
        </w:rPr>
        <w:t>状结构的斜长</w:t>
      </w:r>
      <w:r>
        <w:rPr>
          <w:rFonts w:ascii="FangSong" w:hAnsi="FangSong" w:eastAsia="FangSong" w:cs="FangSong"/>
          <w:sz w:val="24"/>
          <w:szCs w:val="24"/>
          <w:spacing w:val="-1"/>
        </w:rPr>
        <w:t>石、钾长石、石英及不透明矿物等组成。其与地层的接触带未见矿化现象。</w:t>
      </w:r>
    </w:p>
    <w:p>
      <w:pPr>
        <w:ind w:left="501"/>
        <w:spacing w:line="212"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似斑状黑云母花岗岩（</w:t>
      </w:r>
      <w:r>
        <w:rPr>
          <w:rFonts w:ascii="Times New Roman" w:hAnsi="Times New Roman" w:eastAsia="Times New Roman" w:cs="Times New Roman"/>
          <w:sz w:val="24"/>
          <w:szCs w:val="24"/>
          <w:spacing w:val="-1"/>
        </w:rPr>
        <w:t>pγ</w:t>
      </w:r>
      <w:r>
        <w:rPr>
          <w:rFonts w:ascii="FangSong" w:hAnsi="FangSong" w:eastAsia="FangSong" w:cs="FangSong"/>
          <w:sz w:val="24"/>
          <w:szCs w:val="24"/>
          <w:spacing w:val="-1"/>
        </w:rPr>
        <w:t>)</w:t>
      </w:r>
    </w:p>
    <w:p>
      <w:pPr>
        <w:ind w:left="29" w:right="26" w:firstLine="505"/>
        <w:spacing w:before="192" w:line="360" w:lineRule="auto"/>
        <w:rPr>
          <w:rFonts w:ascii="FangSong" w:hAnsi="FangSong" w:eastAsia="FangSong" w:cs="FangSong"/>
          <w:sz w:val="24"/>
          <w:szCs w:val="24"/>
        </w:rPr>
      </w:pPr>
      <w:r>
        <w:rPr>
          <w:rFonts w:ascii="FangSong" w:hAnsi="FangSong" w:eastAsia="FangSong" w:cs="FangSong"/>
          <w:sz w:val="24"/>
          <w:szCs w:val="24"/>
          <w:spacing w:val="-4"/>
        </w:rPr>
        <w:t>出露于本项目所在区域外围东北部，部分延入本项目所在区域内。分</w:t>
      </w:r>
      <w:r>
        <w:rPr>
          <w:rFonts w:ascii="FangSong" w:hAnsi="FangSong" w:eastAsia="FangSong" w:cs="FangSong"/>
          <w:sz w:val="24"/>
          <w:szCs w:val="24"/>
          <w:spacing w:val="-5"/>
        </w:rPr>
        <w:t>布面积</w:t>
      </w:r>
      <w:r>
        <w:rPr>
          <w:rFonts w:ascii="FangSong" w:hAnsi="FangSong" w:eastAsia="FangSong" w:cs="FangSong"/>
          <w:sz w:val="24"/>
          <w:szCs w:val="24"/>
          <w:spacing w:val="-3"/>
        </w:rPr>
        <w:t>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10.01km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，呈较大的株状产出，侵二叠系哲斯组（</w:t>
      </w:r>
      <w:r>
        <w:rPr>
          <w:rFonts w:ascii="Times New Roman" w:hAnsi="Times New Roman" w:eastAsia="Times New Roman" w:cs="Times New Roman"/>
          <w:sz w:val="24"/>
          <w:szCs w:val="24"/>
          <w:spacing w:val="-3"/>
        </w:rPr>
        <w:t>P</w:t>
      </w:r>
      <w:r>
        <w:rPr>
          <w:rFonts w:ascii="Times New Roman" w:hAnsi="Times New Roman" w:eastAsia="Times New Roman" w:cs="Times New Roman"/>
          <w:sz w:val="15"/>
          <w:szCs w:val="15"/>
          <w:spacing w:val="-3"/>
        </w:rPr>
        <w:t>2</w:t>
      </w:r>
      <w:r>
        <w:rPr>
          <w:rFonts w:ascii="Times New Roman" w:hAnsi="Times New Roman" w:eastAsia="Times New Roman" w:cs="Times New Roman"/>
          <w:sz w:val="24"/>
          <w:szCs w:val="24"/>
          <w:spacing w:val="-3"/>
        </w:rPr>
        <w:t>zs</w:t>
      </w:r>
      <w:r>
        <w:rPr>
          <w:rFonts w:ascii="FangSong" w:hAnsi="FangSong" w:eastAsia="FangSong" w:cs="FangSong"/>
          <w:sz w:val="24"/>
          <w:szCs w:val="24"/>
          <w:spacing w:val="-3"/>
        </w:rPr>
        <w:t>）地层中，局部被第四</w:t>
      </w:r>
      <w:r>
        <w:rPr>
          <w:rFonts w:ascii="FangSong" w:hAnsi="FangSong" w:eastAsia="FangSong" w:cs="FangSong"/>
          <w:sz w:val="24"/>
          <w:szCs w:val="24"/>
          <w:spacing w:val="-2"/>
        </w:rPr>
        <w:t>系风成砂土覆盖。根据流面产状，推测岩体外倾。岩石：灰红色，似斑状结构，</w:t>
      </w:r>
      <w:r>
        <w:rPr>
          <w:rFonts w:ascii="FangSong" w:hAnsi="FangSong" w:eastAsia="FangSong" w:cs="FangSong"/>
          <w:sz w:val="24"/>
          <w:szCs w:val="24"/>
          <w:spacing w:val="-3"/>
        </w:rPr>
        <w:t>块状构造，矿物成分主要由钾长石，石英，黑云母不透明矿物等组成</w:t>
      </w:r>
      <w:r>
        <w:rPr>
          <w:rFonts w:ascii="FangSong" w:hAnsi="FangSong" w:eastAsia="FangSong" w:cs="FangSong"/>
          <w:sz w:val="24"/>
          <w:szCs w:val="24"/>
          <w:spacing w:val="-4"/>
        </w:rPr>
        <w:t>。其与地层</w:t>
      </w:r>
      <w:r>
        <w:rPr>
          <w:rFonts w:ascii="FangSong" w:hAnsi="FangSong" w:eastAsia="FangSong" w:cs="FangSong"/>
          <w:sz w:val="24"/>
          <w:szCs w:val="24"/>
          <w:spacing w:val="-1"/>
        </w:rPr>
        <w:t>的接触带未见有较明显蚀变和矿化。</w:t>
      </w:r>
    </w:p>
    <w:p>
      <w:pPr>
        <w:ind w:left="501"/>
        <w:spacing w:line="221" w:lineRule="auto"/>
        <w:rPr>
          <w:rFonts w:ascii="FangSong" w:hAnsi="FangSong" w:eastAsia="FangSong" w:cs="FangSong"/>
          <w:sz w:val="24"/>
          <w:szCs w:val="24"/>
        </w:rPr>
      </w:pPr>
      <w:r>
        <w:rPr>
          <w:rFonts w:ascii="FangSong" w:hAnsi="FangSong" w:eastAsia="FangSong" w:cs="FangSong"/>
          <w:sz w:val="24"/>
          <w:szCs w:val="24"/>
          <w:spacing w:val="-4"/>
        </w:rPr>
        <w:t>③</w:t>
      </w:r>
      <w:r>
        <w:rPr>
          <w:rFonts w:ascii="FangSong" w:hAnsi="FangSong" w:eastAsia="FangSong" w:cs="FangSong"/>
          <w:sz w:val="24"/>
          <w:szCs w:val="24"/>
          <w:spacing w:val="19"/>
        </w:rPr>
        <w:t xml:space="preserve"> </w:t>
      </w:r>
      <w:r>
        <w:rPr>
          <w:rFonts w:ascii="FangSong" w:hAnsi="FangSong" w:eastAsia="FangSong" w:cs="FangSong"/>
          <w:sz w:val="24"/>
          <w:szCs w:val="24"/>
          <w:spacing w:val="-4"/>
        </w:rPr>
        <w:t>侏罗纪侵入岩</w:t>
      </w:r>
    </w:p>
    <w:p>
      <w:pPr>
        <w:ind w:left="29" w:right="65" w:firstLine="480"/>
        <w:spacing w:before="180" w:line="360" w:lineRule="auto"/>
        <w:rPr>
          <w:rFonts w:ascii="FangSong" w:hAnsi="FangSong" w:eastAsia="FangSong" w:cs="FangSong"/>
          <w:sz w:val="24"/>
          <w:szCs w:val="24"/>
        </w:rPr>
      </w:pPr>
      <w:r>
        <w:rPr>
          <w:rFonts w:ascii="FangSong" w:hAnsi="FangSong" w:eastAsia="FangSong" w:cs="FangSong"/>
          <w:sz w:val="24"/>
          <w:szCs w:val="24"/>
          <w:spacing w:val="-4"/>
        </w:rPr>
        <w:t>石英斑岩（</w:t>
      </w:r>
      <w:r>
        <w:rPr>
          <w:rFonts w:ascii="Times New Roman" w:hAnsi="Times New Roman" w:eastAsia="Times New Roman" w:cs="Times New Roman"/>
          <w:sz w:val="24"/>
          <w:szCs w:val="24"/>
          <w:spacing w:val="-4"/>
        </w:rPr>
        <w:t>Jλοπ</w:t>
      </w:r>
      <w:r>
        <w:rPr>
          <w:rFonts w:ascii="FangSong" w:hAnsi="FangSong" w:eastAsia="FangSong" w:cs="FangSong"/>
          <w:sz w:val="24"/>
          <w:szCs w:val="24"/>
          <w:spacing w:val="-4"/>
        </w:rPr>
        <w:t>)</w:t>
      </w:r>
      <w:r>
        <w:rPr>
          <w:rFonts w:ascii="FangSong" w:hAnsi="FangSong" w:eastAsia="FangSong" w:cs="FangSong"/>
          <w:sz w:val="24"/>
          <w:szCs w:val="24"/>
          <w:spacing w:val="37"/>
        </w:rPr>
        <w:t xml:space="preserve"> </w:t>
      </w:r>
      <w:r>
        <w:rPr>
          <w:rFonts w:ascii="FangSong" w:hAnsi="FangSong" w:eastAsia="FangSong" w:cs="FangSong"/>
          <w:sz w:val="24"/>
          <w:szCs w:val="24"/>
          <w:spacing w:val="-4"/>
        </w:rPr>
        <w:t>：区域上出露有</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处，呈较小的珠状产出。一处位于本项</w:t>
      </w:r>
      <w:r>
        <w:rPr>
          <w:rFonts w:ascii="FangSong" w:hAnsi="FangSong" w:eastAsia="FangSong" w:cs="FangSong"/>
          <w:sz w:val="24"/>
          <w:szCs w:val="24"/>
          <w:spacing w:val="-3"/>
        </w:rPr>
        <w:t>目所在区域外围南端，并延入本项目所在区域内。另一处产于区内</w:t>
      </w:r>
      <w:r>
        <w:rPr>
          <w:rFonts w:ascii="FangSong" w:hAnsi="FangSong" w:eastAsia="FangSong" w:cs="FangSong"/>
          <w:sz w:val="24"/>
          <w:szCs w:val="24"/>
          <w:spacing w:val="-4"/>
        </w:rPr>
        <w:t>最西端并延出</w:t>
      </w:r>
      <w:r>
        <w:rPr>
          <w:rFonts w:ascii="FangSong" w:hAnsi="FangSong" w:eastAsia="FangSong" w:cs="FangSong"/>
          <w:sz w:val="24"/>
          <w:szCs w:val="24"/>
          <w:spacing w:val="1"/>
        </w:rPr>
        <w:t>区外，两处合计总面积</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0.78</w:t>
      </w:r>
      <w:r>
        <w:rPr>
          <w:rFonts w:ascii="Times New Roman" w:hAnsi="Times New Roman" w:eastAsia="Times New Roman" w:cs="Times New Roman"/>
          <w:sz w:val="24"/>
          <w:szCs w:val="24"/>
        </w:rPr>
        <w:t>km</w:t>
      </w:r>
      <w:r>
        <w:rPr>
          <w:rFonts w:ascii="Times New Roman" w:hAnsi="Times New Roman" w:eastAsia="Times New Roman" w:cs="Times New Roman"/>
          <w:sz w:val="15"/>
          <w:szCs w:val="15"/>
          <w:spacing w:val="1"/>
          <w:position w:val="7"/>
        </w:rPr>
        <w:t>2 </w:t>
      </w:r>
      <w:r>
        <w:rPr>
          <w:rFonts w:ascii="FangSong" w:hAnsi="FangSong" w:eastAsia="FangSong" w:cs="FangSong"/>
          <w:sz w:val="24"/>
          <w:szCs w:val="24"/>
          <w:spacing w:val="1"/>
        </w:rPr>
        <w:t>。侵入到二叠系哲斯组（</w:t>
      </w:r>
      <w:r>
        <w:rPr>
          <w:rFonts w:ascii="Times New Roman" w:hAnsi="Times New Roman" w:eastAsia="Times New Roman" w:cs="Times New Roman"/>
          <w:sz w:val="24"/>
          <w:szCs w:val="24"/>
          <w:spacing w:val="1"/>
        </w:rPr>
        <w:t>P</w:t>
      </w:r>
      <w:r>
        <w:rPr>
          <w:rFonts w:ascii="Times New Roman" w:hAnsi="Times New Roman" w:eastAsia="Times New Roman" w:cs="Times New Roman"/>
          <w:sz w:val="15"/>
          <w:szCs w:val="15"/>
          <w:spacing w:val="1"/>
          <w:position w:val="-1"/>
        </w:rPr>
        <w:t>2</w:t>
      </w:r>
      <w:r>
        <w:rPr>
          <w:rFonts w:ascii="Times New Roman" w:hAnsi="Times New Roman" w:eastAsia="Times New Roman" w:cs="Times New Roman"/>
          <w:sz w:val="24"/>
          <w:szCs w:val="24"/>
          <w:spacing w:val="1"/>
        </w:rPr>
        <w:t>P</w:t>
      </w:r>
      <w:r>
        <w:rPr>
          <w:rFonts w:ascii="Times New Roman" w:hAnsi="Times New Roman" w:eastAsia="Times New Roman" w:cs="Times New Roman"/>
          <w:sz w:val="15"/>
          <w:szCs w:val="15"/>
          <w:spacing w:val="1"/>
        </w:rPr>
        <w:t>2</w:t>
      </w:r>
      <w:r>
        <w:rPr>
          <w:rFonts w:ascii="Times New Roman" w:hAnsi="Times New Roman" w:eastAsia="Times New Roman" w:cs="Times New Roman"/>
          <w:sz w:val="24"/>
          <w:szCs w:val="24"/>
        </w:rPr>
        <w:t>zs</w:t>
      </w:r>
      <w:r>
        <w:rPr>
          <w:rFonts w:ascii="FangSong" w:hAnsi="FangSong" w:eastAsia="FangSong" w:cs="FangSong"/>
          <w:sz w:val="24"/>
          <w:szCs w:val="24"/>
          <w:spacing w:val="1"/>
        </w:rPr>
        <w:t>）地层中，并被</w:t>
      </w:r>
      <w:r>
        <w:rPr>
          <w:rFonts w:ascii="FangSong" w:hAnsi="FangSong" w:eastAsia="FangSong" w:cs="FangSong"/>
          <w:sz w:val="24"/>
          <w:szCs w:val="24"/>
          <w:spacing w:val="1"/>
        </w:rPr>
        <w:t>第四系更新统（</w:t>
      </w:r>
      <w:r>
        <w:rPr>
          <w:rFonts w:ascii="Times New Roman" w:hAnsi="Times New Roman" w:eastAsia="Times New Roman" w:cs="Times New Roman"/>
          <w:sz w:val="24"/>
          <w:szCs w:val="24"/>
        </w:rPr>
        <w:t>Q</w:t>
      </w:r>
      <w:r>
        <w:rPr>
          <w:rFonts w:ascii="Times New Roman" w:hAnsi="Times New Roman" w:eastAsia="Times New Roman" w:cs="Times New Roman"/>
          <w:sz w:val="15"/>
          <w:szCs w:val="15"/>
          <w:position w:val="-1"/>
        </w:rPr>
        <w:t>p</w:t>
      </w:r>
      <w:r>
        <w:rPr>
          <w:rFonts w:ascii="Times New Roman" w:hAnsi="Times New Roman" w:eastAsia="Times New Roman" w:cs="Times New Roman"/>
          <w:sz w:val="15"/>
          <w:szCs w:val="15"/>
          <w:position w:val="7"/>
        </w:rPr>
        <w:t>al</w:t>
      </w:r>
      <w:r>
        <w:rPr>
          <w:rFonts w:ascii="Times New Roman" w:hAnsi="Times New Roman" w:eastAsia="Times New Roman" w:cs="Times New Roman"/>
          <w:sz w:val="15"/>
          <w:szCs w:val="15"/>
          <w:spacing w:val="1"/>
          <w:position w:val="7"/>
        </w:rPr>
        <w:t>+</w:t>
      </w:r>
      <w:r>
        <w:rPr>
          <w:rFonts w:ascii="Times New Roman" w:hAnsi="Times New Roman" w:eastAsia="Times New Roman" w:cs="Times New Roman"/>
          <w:sz w:val="15"/>
          <w:szCs w:val="15"/>
          <w:position w:val="7"/>
        </w:rPr>
        <w:t>pl</w:t>
      </w:r>
      <w:r>
        <w:rPr>
          <w:rFonts w:ascii="FangSong" w:hAnsi="FangSong" w:eastAsia="FangSong" w:cs="FangSong"/>
          <w:sz w:val="24"/>
          <w:szCs w:val="24"/>
          <w:spacing w:val="1"/>
        </w:rPr>
        <w:t>）冲洪积形成的半固结砂砾石层覆盖。岩石：灰白色、斑</w:t>
      </w:r>
      <w:r>
        <w:rPr>
          <w:rFonts w:ascii="FangSong" w:hAnsi="FangSong" w:eastAsia="FangSong" w:cs="FangSong"/>
          <w:sz w:val="24"/>
          <w:szCs w:val="24"/>
          <w:spacing w:val="-3"/>
        </w:rPr>
        <w:t>状结构、块状构造，斑晶为被溶蚀的圆颗粒石英，基质为灰白色的</w:t>
      </w:r>
      <w:r>
        <w:rPr>
          <w:rFonts w:ascii="FangSong" w:hAnsi="FangSong" w:eastAsia="FangSong" w:cs="FangSong"/>
          <w:sz w:val="24"/>
          <w:szCs w:val="24"/>
          <w:spacing w:val="-4"/>
        </w:rPr>
        <w:t>隐晶质。岩石</w:t>
      </w:r>
      <w:r>
        <w:rPr>
          <w:rFonts w:ascii="FangSong" w:hAnsi="FangSong" w:eastAsia="FangSong" w:cs="FangSong"/>
          <w:sz w:val="24"/>
          <w:szCs w:val="24"/>
          <w:spacing w:val="-5"/>
        </w:rPr>
        <w:t>坚硬致密，贝壳状断</w:t>
      </w:r>
      <w:r>
        <w:rPr>
          <w:rFonts w:ascii="FangSong" w:hAnsi="FangSong" w:eastAsia="FangSong" w:cs="FangSong"/>
          <w:sz w:val="24"/>
          <w:szCs w:val="24"/>
          <w:spacing w:val="-56"/>
        </w:rPr>
        <w:t xml:space="preserve"> </w:t>
      </w:r>
      <w:r>
        <w:rPr>
          <w:rFonts w:ascii="FangSong" w:hAnsi="FangSong" w:eastAsia="FangSong" w:cs="FangSong"/>
          <w:sz w:val="24"/>
          <w:szCs w:val="24"/>
          <w:spacing w:val="-5"/>
        </w:rPr>
        <w:t>口，油脂光泽，岩体与地层的接触部位多具淡粉色的萤石矿</w:t>
      </w:r>
      <w:r>
        <w:rPr>
          <w:rFonts w:ascii="FangSong" w:hAnsi="FangSong" w:eastAsia="FangSong" w:cs="FangSong"/>
          <w:sz w:val="24"/>
          <w:szCs w:val="24"/>
          <w:spacing w:val="-4"/>
        </w:rPr>
        <w:t>化。接触带外围地层的裂隙中，也断续分布有长度</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4"/>
        </w:rPr>
        <w:t>1-50m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，宽度不等的萤石矿化</w:t>
      </w:r>
      <w:r>
        <w:rPr>
          <w:rFonts w:ascii="FangSong" w:hAnsi="FangSong" w:eastAsia="FangSong" w:cs="FangSong"/>
          <w:sz w:val="24"/>
          <w:szCs w:val="24"/>
          <w:spacing w:val="-1"/>
        </w:rPr>
        <w:t>石英细脉。其热液活动及上侵过程与区内萤石矿的形成有直接原因。</w:t>
      </w:r>
    </w:p>
    <w:p>
      <w:pPr>
        <w:ind w:left="514"/>
        <w:spacing w:before="1" w:line="223"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）脉岩</w:t>
      </w:r>
    </w:p>
    <w:p>
      <w:pPr>
        <w:ind w:left="29" w:firstLine="481"/>
        <w:spacing w:before="177" w:line="360" w:lineRule="auto"/>
        <w:rPr>
          <w:rFonts w:ascii="FangSong" w:hAnsi="FangSong" w:eastAsia="FangSong" w:cs="FangSong"/>
          <w:sz w:val="24"/>
          <w:szCs w:val="24"/>
        </w:rPr>
      </w:pPr>
      <w:r>
        <w:rPr>
          <w:rFonts w:ascii="FangSong" w:hAnsi="FangSong" w:eastAsia="FangSong" w:cs="FangSong"/>
          <w:sz w:val="24"/>
          <w:szCs w:val="24"/>
          <w:spacing w:val="-3"/>
        </w:rPr>
        <w:t>本项目所在区域外围周边区域内脉岩不发育，</w:t>
      </w:r>
      <w:r>
        <w:rPr>
          <w:rFonts w:ascii="FangSong" w:hAnsi="FangSong" w:eastAsia="FangSong" w:cs="FangSong"/>
          <w:sz w:val="24"/>
          <w:szCs w:val="24"/>
          <w:spacing w:val="-4"/>
        </w:rPr>
        <w:t>主要为二叠纪和侏罗纪侵入岩</w:t>
      </w:r>
      <w:r>
        <w:rPr>
          <w:rFonts w:ascii="FangSong" w:hAnsi="FangSong" w:eastAsia="FangSong" w:cs="FangSong"/>
          <w:sz w:val="24"/>
          <w:szCs w:val="24"/>
          <w:spacing w:val="-3"/>
        </w:rPr>
        <w:t>的期后脉岩。主要有闪长玢岩脉和细粒花岗岩脉。分布于本项目所在</w:t>
      </w:r>
      <w:r>
        <w:rPr>
          <w:rFonts w:ascii="FangSong" w:hAnsi="FangSong" w:eastAsia="FangSong" w:cs="FangSong"/>
          <w:sz w:val="24"/>
          <w:szCs w:val="24"/>
          <w:spacing w:val="-4"/>
        </w:rPr>
        <w:t>区域外围东</w:t>
      </w:r>
      <w:r>
        <w:rPr>
          <w:rFonts w:ascii="FangSong" w:hAnsi="FangSong" w:eastAsia="FangSong" w:cs="FangSong"/>
          <w:sz w:val="24"/>
          <w:szCs w:val="24"/>
          <w:spacing w:val="-8"/>
        </w:rPr>
        <w:t>南部二叠系地层中。脉体近东西向、近南北向和北西向展布。走向长度约数百米，</w:t>
      </w:r>
      <w:r>
        <w:rPr>
          <w:rFonts w:ascii="FangSong" w:hAnsi="FangSong" w:eastAsia="FangSong" w:cs="FangSong"/>
          <w:sz w:val="24"/>
          <w:szCs w:val="24"/>
          <w:spacing w:val="-3"/>
        </w:rPr>
        <w:t>宽度几厘米到几米，主要产于二叠系地层的裂隙中。未见有蚀变矿化</w:t>
      </w:r>
      <w:r>
        <w:rPr>
          <w:rFonts w:ascii="FangSong" w:hAnsi="FangSong" w:eastAsia="FangSong" w:cs="FangSong"/>
          <w:sz w:val="24"/>
          <w:szCs w:val="24"/>
          <w:spacing w:val="-4"/>
        </w:rPr>
        <w:t>等现象。各</w:t>
      </w:r>
      <w:r>
        <w:rPr>
          <w:rFonts w:ascii="FangSong" w:hAnsi="FangSong" w:eastAsia="FangSong" w:cs="FangSong"/>
          <w:sz w:val="24"/>
          <w:szCs w:val="24"/>
          <w:spacing w:val="-2"/>
        </w:rPr>
        <w:t>脉岩具体特征描述如下：</w:t>
      </w:r>
    </w:p>
    <w:p>
      <w:pPr>
        <w:ind w:left="30" w:right="65" w:firstLine="471"/>
        <w:spacing w:before="2" w:line="353" w:lineRule="auto"/>
        <w:rPr>
          <w:rFonts w:ascii="FangSong" w:hAnsi="FangSong" w:eastAsia="FangSong" w:cs="FangSong"/>
          <w:sz w:val="24"/>
          <w:szCs w:val="24"/>
        </w:rPr>
      </w:pPr>
      <w:r>
        <w:rPr>
          <w:rFonts w:ascii="FangSong" w:hAnsi="FangSong" w:eastAsia="FangSong" w:cs="FangSong"/>
          <w:sz w:val="24"/>
          <w:szCs w:val="24"/>
          <w:spacing w:val="-2"/>
        </w:rPr>
        <w:t>①</w:t>
      </w:r>
      <w:r>
        <w:rPr>
          <w:rFonts w:ascii="FangSong" w:hAnsi="FangSong" w:eastAsia="FangSong" w:cs="FangSong"/>
          <w:sz w:val="24"/>
          <w:szCs w:val="24"/>
          <w:spacing w:val="39"/>
        </w:rPr>
        <w:t xml:space="preserve"> </w:t>
      </w:r>
      <w:r>
        <w:rPr>
          <w:rFonts w:ascii="FangSong" w:hAnsi="FangSong" w:eastAsia="FangSong" w:cs="FangSong"/>
          <w:sz w:val="24"/>
          <w:szCs w:val="24"/>
          <w:spacing w:val="-2"/>
        </w:rPr>
        <w:t>闪长玢岩脉</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δμ</w:t>
      </w:r>
      <w:r>
        <w:rPr>
          <w:rFonts w:ascii="FangSong" w:hAnsi="FangSong" w:eastAsia="FangSong" w:cs="FangSong"/>
          <w:sz w:val="24"/>
          <w:szCs w:val="24"/>
          <w:spacing w:val="-2"/>
        </w:rPr>
        <w:t>)</w:t>
      </w:r>
      <w:r>
        <w:rPr>
          <w:rFonts w:ascii="FangSong" w:hAnsi="FangSong" w:eastAsia="FangSong" w:cs="FangSong"/>
          <w:sz w:val="24"/>
          <w:szCs w:val="24"/>
          <w:spacing w:val="49"/>
        </w:rPr>
        <w:t xml:space="preserve"> </w:t>
      </w:r>
      <w:r>
        <w:rPr>
          <w:rFonts w:ascii="FangSong" w:hAnsi="FangSong" w:eastAsia="FangSong" w:cs="FangSong"/>
          <w:sz w:val="24"/>
          <w:szCs w:val="24"/>
          <w:spacing w:val="-2"/>
        </w:rPr>
        <w:t>：出露于测区东南位置处，见一条</w:t>
      </w:r>
      <w:r>
        <w:rPr>
          <w:rFonts w:ascii="FangSong" w:hAnsi="FangSong" w:eastAsia="FangSong" w:cs="FangSong"/>
          <w:sz w:val="24"/>
          <w:szCs w:val="24"/>
          <w:spacing w:val="-3"/>
        </w:rPr>
        <w:t>，走向北西向，脉</w:t>
      </w:r>
      <w:r>
        <w:rPr>
          <w:rFonts w:ascii="FangSong" w:hAnsi="FangSong" w:eastAsia="FangSong" w:cs="FangSong"/>
          <w:sz w:val="24"/>
          <w:szCs w:val="24"/>
          <w:spacing w:val="-5"/>
        </w:rPr>
        <w:t>体出露长度约</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453m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5"/>
        </w:rPr>
        <w:t>，宽约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1-5m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。岩石灰白色，斑状结构，块状构造。斑晶为斜</w:t>
      </w:r>
    </w:p>
    <w:p>
      <w:pPr>
        <w:spacing w:line="353" w:lineRule="auto"/>
        <w:sectPr>
          <w:footerReference w:type="default" r:id="rId219"/>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381"/>
        <w:spacing w:before="78" w:line="360" w:lineRule="auto"/>
        <w:rPr>
          <w:rFonts w:ascii="FangSong" w:hAnsi="FangSong" w:eastAsia="FangSong" w:cs="FangSong"/>
          <w:sz w:val="24"/>
          <w:szCs w:val="24"/>
        </w:rPr>
      </w:pPr>
      <w:r>
        <w:rPr>
          <w:rFonts w:ascii="FangSong" w:hAnsi="FangSong" w:eastAsia="FangSong" w:cs="FangSong"/>
          <w:sz w:val="24"/>
          <w:szCs w:val="24"/>
          <w:spacing w:val="-3"/>
        </w:rPr>
        <w:t>长石，半自形板状，基质微细粒的斜长石、石英和角闪石及不透明</w:t>
      </w:r>
      <w:r>
        <w:rPr>
          <w:rFonts w:ascii="FangSong" w:hAnsi="FangSong" w:eastAsia="FangSong" w:cs="FangSong"/>
          <w:sz w:val="24"/>
          <w:szCs w:val="24"/>
          <w:spacing w:val="-4"/>
        </w:rPr>
        <w:t>矿物组成。脉</w:t>
      </w:r>
      <w:r>
        <w:rPr>
          <w:rFonts w:ascii="FangSong" w:hAnsi="FangSong" w:eastAsia="FangSong" w:cs="FangSong"/>
          <w:sz w:val="24"/>
          <w:szCs w:val="24"/>
          <w:spacing w:val="-1"/>
        </w:rPr>
        <w:t>体两侧与围岩的接触部位未见矿化蚀变现象。</w:t>
      </w:r>
    </w:p>
    <w:p>
      <w:pPr>
        <w:ind w:left="29" w:right="381" w:firstLine="472"/>
        <w:spacing w:before="6" w:line="359" w:lineRule="auto"/>
        <w:jc w:val="both"/>
        <w:rPr>
          <w:rFonts w:ascii="FangSong" w:hAnsi="FangSong" w:eastAsia="FangSong" w:cs="FangSong"/>
          <w:sz w:val="24"/>
          <w:szCs w:val="24"/>
        </w:rPr>
      </w:pPr>
      <w:r>
        <w:rPr>
          <w:rFonts w:ascii="FangSong" w:hAnsi="FangSong" w:eastAsia="FangSong" w:cs="FangSong"/>
          <w:sz w:val="24"/>
          <w:szCs w:val="24"/>
          <w:spacing w:val="-2"/>
        </w:rPr>
        <w:t>②</w:t>
      </w:r>
      <w:r>
        <w:rPr>
          <w:rFonts w:ascii="FangSong" w:hAnsi="FangSong" w:eastAsia="FangSong" w:cs="FangSong"/>
          <w:sz w:val="24"/>
          <w:szCs w:val="24"/>
          <w:spacing w:val="-2"/>
        </w:rPr>
        <w:t xml:space="preserve"> </w:t>
      </w:r>
      <w:r>
        <w:rPr>
          <w:rFonts w:ascii="FangSong" w:hAnsi="FangSong" w:eastAsia="FangSong" w:cs="FangSong"/>
          <w:sz w:val="24"/>
          <w:szCs w:val="24"/>
          <w:spacing w:val="-2"/>
        </w:rPr>
        <w:t>细粒花岗岩脉</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γ</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：分布于测区</w:t>
      </w:r>
      <w:r>
        <w:rPr>
          <w:rFonts w:ascii="FangSong" w:hAnsi="FangSong" w:eastAsia="FangSong" w:cs="FangSong"/>
          <w:sz w:val="24"/>
          <w:szCs w:val="24"/>
          <w:spacing w:val="-3"/>
        </w:rPr>
        <w:t>东南位置处的闪长玢岩脉之东侧，共见</w:t>
      </w:r>
      <w:r>
        <w:rPr>
          <w:rFonts w:ascii="FangSong" w:hAnsi="FangSong" w:eastAsia="FangSong" w:cs="FangSong"/>
          <w:sz w:val="24"/>
          <w:szCs w:val="24"/>
          <w:spacing w:val="-3"/>
        </w:rPr>
        <w:t>两条，分别近南北向和东西向展布。脉体走向长度分别为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443m</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224m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3"/>
        </w:rPr>
        <w:t>，宽度分</w:t>
      </w:r>
      <w:r>
        <w:rPr>
          <w:rFonts w:ascii="FangSong" w:hAnsi="FangSong" w:eastAsia="FangSong" w:cs="FangSong"/>
          <w:sz w:val="24"/>
          <w:szCs w:val="24"/>
          <w:spacing w:val="-3"/>
        </w:rPr>
        <w:t>别为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0.5-3m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0.1-1.2m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，脉体产于二叠系哲斯组地层中。岩石灰色，细粒结构，</w:t>
      </w:r>
      <w:r>
        <w:rPr>
          <w:rFonts w:ascii="FangSong" w:hAnsi="FangSong" w:eastAsia="FangSong" w:cs="FangSong"/>
          <w:sz w:val="24"/>
          <w:szCs w:val="24"/>
          <w:spacing w:val="-3"/>
        </w:rPr>
        <w:t>块状构造，组成矿物成分为钾长石、斜长石和石英。脉体与围岩的接</w:t>
      </w:r>
      <w:r>
        <w:rPr>
          <w:rFonts w:ascii="FangSong" w:hAnsi="FangSong" w:eastAsia="FangSong" w:cs="FangSong"/>
          <w:sz w:val="24"/>
          <w:szCs w:val="24"/>
          <w:spacing w:val="-4"/>
        </w:rPr>
        <w:t>触位置处未</w:t>
      </w:r>
      <w:r>
        <w:rPr>
          <w:rFonts w:ascii="FangSong" w:hAnsi="FangSong" w:eastAsia="FangSong" w:cs="FangSong"/>
          <w:sz w:val="24"/>
          <w:szCs w:val="24"/>
          <w:spacing w:val="-2"/>
        </w:rPr>
        <w:t>见矿化蚀变现象。</w:t>
      </w:r>
    </w:p>
    <w:p>
      <w:pPr>
        <w:ind w:left="22"/>
        <w:spacing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5.3.2.4</w:t>
      </w:r>
      <w:r>
        <w:rPr>
          <w:rFonts w:ascii="Times New Roman" w:hAnsi="Times New Roman" w:eastAsia="Times New Roman" w:cs="Times New Roman"/>
          <w:sz w:val="24"/>
          <w:szCs w:val="24"/>
          <w:b/>
          <w:bCs/>
          <w:spacing w:val="19"/>
        </w:rPr>
        <w:t xml:space="preserve">  </w:t>
      </w:r>
      <w:r>
        <w:rPr>
          <w:rFonts w:ascii="FangSong" w:hAnsi="FangSong" w:eastAsia="FangSong" w:cs="FangSong"/>
          <w:sz w:val="24"/>
          <w:szCs w:val="24"/>
          <w:b/>
          <w:bCs/>
          <w:spacing w:val="-5"/>
        </w:rPr>
        <w:t>区域矿产</w:t>
      </w:r>
    </w:p>
    <w:p>
      <w:pPr>
        <w:ind w:left="16" w:right="305" w:firstLine="494"/>
        <w:spacing w:before="176" w:line="358" w:lineRule="auto"/>
        <w:jc w:val="both"/>
        <w:rPr>
          <w:rFonts w:ascii="FangSong" w:hAnsi="FangSong" w:eastAsia="FangSong" w:cs="FangSong"/>
          <w:sz w:val="24"/>
          <w:szCs w:val="24"/>
        </w:rPr>
      </w:pPr>
      <w:r>
        <w:rPr>
          <w:rFonts w:ascii="FangSong" w:hAnsi="FangSong" w:eastAsia="FangSong" w:cs="FangSong"/>
          <w:sz w:val="24"/>
          <w:szCs w:val="24"/>
          <w:spacing w:val="3"/>
        </w:rPr>
        <w:t>本项目所在区域区域上位于滨太平洋成矿域（叠加在古亚洲成矿域之上）</w:t>
      </w:r>
      <w:r>
        <w:rPr>
          <w:rFonts w:ascii="FangSong" w:hAnsi="FangSong" w:eastAsia="FangSong" w:cs="FangSong"/>
          <w:sz w:val="24"/>
          <w:szCs w:val="24"/>
          <w:spacing w:val="14"/>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I-4</w:t>
      </w:r>
      <w:r>
        <w:rPr>
          <w:rFonts w:ascii="FangSong" w:hAnsi="FangSong" w:eastAsia="FangSong" w:cs="FangSong"/>
          <w:sz w:val="24"/>
          <w:szCs w:val="24"/>
          <w:spacing w:val="-10"/>
        </w:rPr>
        <w:t>）、大兴安岭成矿省（</w:t>
      </w:r>
      <w:r>
        <w:rPr>
          <w:rFonts w:ascii="Times New Roman" w:hAnsi="Times New Roman" w:eastAsia="Times New Roman" w:cs="Times New Roman"/>
          <w:sz w:val="24"/>
          <w:szCs w:val="24"/>
          <w:spacing w:val="-10"/>
        </w:rPr>
        <w:t>II-12</w:t>
      </w:r>
      <w:r>
        <w:rPr>
          <w:rFonts w:ascii="FangSong" w:hAnsi="FangSong" w:eastAsia="FangSong" w:cs="FangSong"/>
          <w:sz w:val="24"/>
          <w:szCs w:val="24"/>
          <w:spacing w:val="-10"/>
        </w:rPr>
        <w:t>）、白乃庙锡林郭勒</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0"/>
        </w:rPr>
        <w:t>Fe-Cu-Mo-Pb-Zn-</w:t>
      </w:r>
      <w:r>
        <w:rPr>
          <w:rFonts w:ascii="Times New Roman" w:hAnsi="Times New Roman" w:eastAsia="Times New Roman" w:cs="Times New Roman"/>
          <w:sz w:val="24"/>
          <w:szCs w:val="24"/>
          <w:spacing w:val="-11"/>
        </w:rPr>
        <w:t>Mn-Cr-Au-Ge-</w:t>
      </w:r>
      <w:r>
        <w:rPr>
          <w:rFonts w:ascii="FangSong" w:hAnsi="FangSong" w:eastAsia="FangSong" w:cs="FangSong"/>
          <w:sz w:val="24"/>
          <w:szCs w:val="24"/>
          <w:spacing w:val="-2"/>
        </w:rPr>
        <w:t>煤</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天然碱</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芒硝成矿带</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Ⅲ-49</w:t>
      </w:r>
      <w:r>
        <w:rPr>
          <w:rFonts w:ascii="FangSong" w:hAnsi="FangSong" w:eastAsia="FangSong" w:cs="FangSong"/>
          <w:sz w:val="24"/>
          <w:szCs w:val="24"/>
          <w:spacing w:val="-2"/>
        </w:rPr>
        <w:t>）、温都尔庙</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红格尔庙</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Fe-</w:t>
      </w:r>
      <w:r>
        <w:rPr>
          <w:rFonts w:ascii="Times New Roman" w:hAnsi="Times New Roman" w:eastAsia="Times New Roman" w:cs="Times New Roman"/>
          <w:sz w:val="24"/>
          <w:szCs w:val="24"/>
          <w:spacing w:val="-3"/>
        </w:rPr>
        <w:t>Au-Mo</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3"/>
        </w:rPr>
        <w:t>成矿亚带（</w:t>
      </w:r>
      <w:r>
        <w:rPr>
          <w:rFonts w:ascii="Times New Roman" w:hAnsi="Times New Roman" w:eastAsia="Times New Roman" w:cs="Times New Roman"/>
          <w:sz w:val="24"/>
          <w:szCs w:val="24"/>
          <w:spacing w:val="-3"/>
        </w:rPr>
        <w:t>PL</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V</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Y</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Ⅲ-49-</w:t>
      </w:r>
      <w:r>
        <w:rPr>
          <w:rFonts w:ascii="SimSun" w:hAnsi="SimSun" w:eastAsia="SimSun" w:cs="SimSun"/>
          <w:sz w:val="24"/>
          <w:szCs w:val="24"/>
          <w:spacing w:val="-4"/>
        </w:rPr>
        <w:t>④</w:t>
      </w:r>
      <w:r>
        <w:rPr>
          <w:rFonts w:ascii="FangSong" w:hAnsi="FangSong" w:eastAsia="FangSong" w:cs="FangSong"/>
          <w:sz w:val="24"/>
          <w:szCs w:val="24"/>
          <w:spacing w:val="-4"/>
        </w:rPr>
        <w:t>)</w:t>
      </w:r>
      <w:r>
        <w:rPr>
          <w:rFonts w:ascii="FangSong" w:hAnsi="FangSong" w:eastAsia="FangSong" w:cs="FangSong"/>
          <w:sz w:val="24"/>
          <w:szCs w:val="24"/>
          <w:spacing w:val="50"/>
        </w:rPr>
        <w:t xml:space="preserve"> </w:t>
      </w:r>
      <w:r>
        <w:rPr>
          <w:rFonts w:ascii="FangSong" w:hAnsi="FangSong" w:eastAsia="FangSong" w:cs="FangSong"/>
          <w:sz w:val="24"/>
          <w:szCs w:val="24"/>
          <w:spacing w:val="-4"/>
        </w:rPr>
        <w:t>。（详见图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5.3-4</w:t>
      </w:r>
      <w:r>
        <w:rPr>
          <w:rFonts w:ascii="FangSong" w:hAnsi="FangSong" w:eastAsia="FangSong" w:cs="FangSong"/>
          <w:sz w:val="24"/>
          <w:szCs w:val="24"/>
          <w:spacing w:val="-4"/>
        </w:rPr>
        <w:t>）。</w:t>
      </w:r>
    </w:p>
    <w:p>
      <w:pPr>
        <w:ind w:firstLine="14"/>
        <w:spacing w:line="7272" w:lineRule="exact"/>
        <w:rPr/>
      </w:pPr>
      <w:r>
        <w:rPr>
          <w:position w:val="-145"/>
        </w:rPr>
        <w:drawing>
          <wp:inline distT="0" distB="0" distL="0" distR="0">
            <wp:extent cx="5516880" cy="4617720"/>
            <wp:effectExtent l="0" t="0" r="0" b="0"/>
            <wp:docPr id="46" name="IM 46"/>
            <wp:cNvGraphicFramePr/>
            <a:graphic>
              <a:graphicData uri="http://schemas.openxmlformats.org/drawingml/2006/picture">
                <pic:pic>
                  <pic:nvPicPr>
                    <pic:cNvPr id="46" name="IM 46"/>
                    <pic:cNvPicPr/>
                  </pic:nvPicPr>
                  <pic:blipFill>
                    <a:blip r:embed="rId221"/>
                    <a:stretch>
                      <a:fillRect/>
                    </a:stretch>
                  </pic:blipFill>
                  <pic:spPr>
                    <a:xfrm rot="0">
                      <a:off x="0" y="0"/>
                      <a:ext cx="5516880" cy="4617720"/>
                    </a:xfrm>
                    <a:prstGeom prst="rect">
                      <a:avLst/>
                    </a:prstGeom>
                  </pic:spPr>
                </pic:pic>
              </a:graphicData>
            </a:graphic>
          </wp:inline>
        </w:drawing>
      </w:r>
    </w:p>
    <w:p>
      <w:pPr>
        <w:ind w:left="53"/>
        <w:spacing w:before="227" w:line="220" w:lineRule="auto"/>
        <w:rPr>
          <w:rFonts w:ascii="FangSong" w:hAnsi="FangSong" w:eastAsia="FangSong" w:cs="FangSong"/>
          <w:sz w:val="24"/>
          <w:szCs w:val="24"/>
        </w:rPr>
      </w:pPr>
      <w:r>
        <w:rPr>
          <w:rFonts w:ascii="FangSong" w:hAnsi="FangSong" w:eastAsia="FangSong" w:cs="FangSong"/>
          <w:sz w:val="24"/>
          <w:szCs w:val="24"/>
          <w:b/>
          <w:bCs/>
          <w:spacing w:val="-7"/>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7"/>
        </w:rPr>
        <w:t>5.3-4</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7"/>
        </w:rPr>
        <w:t>内蒙古成矿区带划分图（引自《中国区域地质志</w:t>
      </w:r>
      <w:r>
        <w:rPr>
          <w:rFonts w:ascii="FangSong" w:hAnsi="FangSong" w:eastAsia="FangSong" w:cs="FangSong"/>
          <w:sz w:val="24"/>
          <w:szCs w:val="24"/>
          <w:spacing w:val="-25"/>
        </w:rPr>
        <w:t xml:space="preserve"> </w:t>
      </w:r>
      <w:r>
        <w:rPr>
          <w:rFonts w:ascii="FangSong" w:hAnsi="FangSong" w:eastAsia="FangSong" w:cs="FangSong"/>
          <w:sz w:val="24"/>
          <w:szCs w:val="24"/>
          <w:b/>
          <w:bCs/>
          <w:spacing w:val="-7"/>
        </w:rPr>
        <w:t>·</w:t>
      </w:r>
      <w:r>
        <w:rPr>
          <w:rFonts w:ascii="FangSong" w:hAnsi="FangSong" w:eastAsia="FangSong" w:cs="FangSong"/>
          <w:sz w:val="24"/>
          <w:szCs w:val="24"/>
          <w:spacing w:val="-75"/>
        </w:rPr>
        <w:t xml:space="preserve"> </w:t>
      </w:r>
      <w:r>
        <w:rPr>
          <w:rFonts w:ascii="FangSong" w:hAnsi="FangSong" w:eastAsia="FangSong" w:cs="FangSong"/>
          <w:sz w:val="24"/>
          <w:szCs w:val="24"/>
          <w:b/>
          <w:bCs/>
          <w:spacing w:val="-7"/>
        </w:rPr>
        <w:t>内蒙</w:t>
      </w:r>
      <w:r>
        <w:rPr>
          <w:rFonts w:ascii="FangSong" w:hAnsi="FangSong" w:eastAsia="FangSong" w:cs="FangSong"/>
          <w:sz w:val="24"/>
          <w:szCs w:val="24"/>
          <w:b/>
          <w:bCs/>
          <w:spacing w:val="-8"/>
        </w:rPr>
        <w:t>古志》（</w:t>
      </w:r>
      <w:r>
        <w:rPr>
          <w:rFonts w:ascii="Times New Roman" w:hAnsi="Times New Roman" w:eastAsia="Times New Roman" w:cs="Times New Roman"/>
          <w:sz w:val="24"/>
          <w:szCs w:val="24"/>
          <w:b/>
          <w:bCs/>
          <w:spacing w:val="-8"/>
        </w:rPr>
        <w:t>2020</w:t>
      </w:r>
      <w:r>
        <w:rPr>
          <w:rFonts w:ascii="FangSong" w:hAnsi="FangSong" w:eastAsia="FangSong" w:cs="FangSong"/>
          <w:sz w:val="24"/>
          <w:szCs w:val="24"/>
          <w:b/>
          <w:bCs/>
          <w:spacing w:val="-8"/>
        </w:rPr>
        <w:t>）</w:t>
      </w:r>
    </w:p>
    <w:p>
      <w:pPr>
        <w:spacing w:line="220" w:lineRule="auto"/>
        <w:sectPr>
          <w:footerReference w:type="default" r:id="rId220"/>
          <w:pgSz w:w="11906" w:h="16839"/>
          <w:pgMar w:top="400" w:right="1417"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9" w:line="219" w:lineRule="auto"/>
        <w:outlineLvl w:val="2"/>
        <w:rPr>
          <w:rFonts w:ascii="FangSong" w:hAnsi="FangSong" w:eastAsia="FangSong" w:cs="FangSong"/>
          <w:sz w:val="24"/>
          <w:szCs w:val="24"/>
        </w:rPr>
      </w:pPr>
      <w:bookmarkStart w:name="bookmark226" w:id="304"/>
      <w:bookmarkEnd w:id="304"/>
      <w:bookmarkStart w:name="bookmark225" w:id="305"/>
      <w:bookmarkEnd w:id="305"/>
      <w:r>
        <w:rPr>
          <w:rFonts w:ascii="Times New Roman" w:hAnsi="Times New Roman" w:eastAsia="Times New Roman" w:cs="Times New Roman"/>
          <w:sz w:val="24"/>
          <w:szCs w:val="24"/>
          <w:b/>
          <w:bCs/>
          <w:spacing w:val="-2"/>
        </w:rPr>
        <w:t>5.3.3  </w:t>
      </w:r>
      <w:r>
        <w:rPr>
          <w:rFonts w:ascii="FangSong" w:hAnsi="FangSong" w:eastAsia="FangSong" w:cs="FangSong"/>
          <w:sz w:val="24"/>
          <w:szCs w:val="24"/>
          <w:b/>
          <w:bCs/>
          <w:spacing w:val="-2"/>
        </w:rPr>
        <w:t>本项目所在区域地层</w:t>
      </w:r>
    </w:p>
    <w:p>
      <w:pPr>
        <w:ind w:left="30" w:firstLine="480"/>
        <w:spacing w:before="184" w:line="359" w:lineRule="auto"/>
        <w:jc w:val="both"/>
        <w:rPr>
          <w:rFonts w:ascii="FangSong" w:hAnsi="FangSong" w:eastAsia="FangSong" w:cs="FangSong"/>
          <w:sz w:val="24"/>
          <w:szCs w:val="24"/>
        </w:rPr>
      </w:pPr>
      <w:r>
        <w:rPr>
          <w:rFonts w:ascii="FangSong" w:hAnsi="FangSong" w:eastAsia="FangSong" w:cs="FangSong"/>
          <w:sz w:val="24"/>
          <w:szCs w:val="24"/>
          <w:spacing w:val="-3"/>
        </w:rPr>
        <w:t>根据《内蒙古自治区苏尼特右旗桑宝力嘎额尔</w:t>
      </w:r>
      <w:r>
        <w:rPr>
          <w:rFonts w:ascii="FangSong" w:hAnsi="FangSong" w:eastAsia="FangSong" w:cs="FangSong"/>
          <w:sz w:val="24"/>
          <w:szCs w:val="24"/>
          <w:spacing w:val="-4"/>
        </w:rPr>
        <w:t>登塔拉矿区萤石矿资源储量核</w:t>
      </w:r>
      <w:r>
        <w:rPr>
          <w:rFonts w:ascii="FangSong" w:hAnsi="FangSong" w:eastAsia="FangSong" w:cs="FangSong"/>
          <w:sz w:val="24"/>
          <w:szCs w:val="24"/>
          <w:spacing w:val="-11"/>
        </w:rPr>
        <w:t>实报告》可知，本项目所在区域地层缺失较多，仅出露有二叠系中统哲斯组（</w:t>
      </w:r>
      <w:r>
        <w:rPr>
          <w:rFonts w:ascii="Times New Roman" w:hAnsi="Times New Roman" w:eastAsia="Times New Roman" w:cs="Times New Roman"/>
          <w:sz w:val="24"/>
          <w:szCs w:val="24"/>
          <w:spacing w:val="-11"/>
        </w:rPr>
        <w:t>P</w:t>
      </w:r>
      <w:r>
        <w:rPr>
          <w:rFonts w:ascii="Times New Roman" w:hAnsi="Times New Roman" w:eastAsia="Times New Roman" w:cs="Times New Roman"/>
          <w:sz w:val="15"/>
          <w:szCs w:val="15"/>
          <w:spacing w:val="-11"/>
        </w:rPr>
        <w:t>2</w:t>
      </w:r>
      <w:r>
        <w:rPr>
          <w:rFonts w:ascii="Times New Roman" w:hAnsi="Times New Roman" w:eastAsia="Times New Roman" w:cs="Times New Roman"/>
          <w:sz w:val="24"/>
          <w:szCs w:val="24"/>
          <w:spacing w:val="-11"/>
        </w:rPr>
        <w:t>zs</w:t>
      </w:r>
      <w:r>
        <w:rPr>
          <w:rFonts w:ascii="FangSong" w:hAnsi="FangSong" w:eastAsia="FangSong" w:cs="FangSong"/>
          <w:sz w:val="24"/>
          <w:szCs w:val="24"/>
          <w:spacing w:val="-65"/>
          <w:w w:val="96"/>
        </w:rPr>
        <w:t>）、</w:t>
      </w:r>
      <w:r>
        <w:rPr>
          <w:rFonts w:ascii="FangSong" w:hAnsi="FangSong" w:eastAsia="FangSong" w:cs="FangSong"/>
          <w:sz w:val="24"/>
          <w:szCs w:val="24"/>
          <w:spacing w:val="-2"/>
        </w:rPr>
        <w:t>中生界下白垩统白音高老组（</w:t>
      </w:r>
      <w:r>
        <w:rPr>
          <w:rFonts w:ascii="Times New Roman" w:hAnsi="Times New Roman" w:eastAsia="Times New Roman" w:cs="Times New Roman"/>
          <w:sz w:val="24"/>
          <w:szCs w:val="24"/>
          <w:spacing w:val="-2"/>
        </w:rPr>
        <w:t>K</w:t>
      </w:r>
      <w:r>
        <w:rPr>
          <w:rFonts w:ascii="Times New Roman" w:hAnsi="Times New Roman" w:eastAsia="Times New Roman" w:cs="Times New Roman"/>
          <w:sz w:val="15"/>
          <w:szCs w:val="15"/>
          <w:spacing w:val="-2"/>
          <w:position w:val="-1"/>
        </w:rPr>
        <w:t>1</w:t>
      </w:r>
      <w:r>
        <w:rPr>
          <w:rFonts w:ascii="Times New Roman" w:hAnsi="Times New Roman" w:eastAsia="Times New Roman" w:cs="Times New Roman"/>
          <w:sz w:val="24"/>
          <w:szCs w:val="24"/>
          <w:spacing w:val="-2"/>
        </w:rPr>
        <w:t>b</w:t>
      </w:r>
      <w:r>
        <w:rPr>
          <w:rFonts w:ascii="FangSong" w:hAnsi="FangSong" w:eastAsia="FangSong" w:cs="FangSong"/>
          <w:sz w:val="24"/>
          <w:szCs w:val="24"/>
          <w:spacing w:val="-2"/>
        </w:rPr>
        <w:t>）及第四系风积层、风成砂土、沙丘（</w:t>
      </w:r>
      <w:r>
        <w:rPr>
          <w:rFonts w:ascii="Times New Roman" w:hAnsi="Times New Roman" w:eastAsia="Times New Roman" w:cs="Times New Roman"/>
          <w:sz w:val="24"/>
          <w:szCs w:val="24"/>
          <w:spacing w:val="-2"/>
        </w:rPr>
        <w:t>Q</w:t>
      </w:r>
      <w:r>
        <w:rPr>
          <w:rFonts w:ascii="Times New Roman" w:hAnsi="Times New Roman" w:eastAsia="Times New Roman" w:cs="Times New Roman"/>
          <w:sz w:val="15"/>
          <w:szCs w:val="15"/>
          <w:spacing w:val="-2"/>
          <w:position w:val="-1"/>
        </w:rPr>
        <w:t>h</w:t>
      </w:r>
      <w:r>
        <w:rPr>
          <w:rFonts w:ascii="Times New Roman" w:hAnsi="Times New Roman" w:eastAsia="Times New Roman" w:cs="Times New Roman"/>
          <w:sz w:val="15"/>
          <w:szCs w:val="15"/>
          <w:spacing w:val="-2"/>
          <w:position w:val="7"/>
        </w:rPr>
        <w:t>eol </w:t>
      </w:r>
      <w:r>
        <w:rPr>
          <w:rFonts w:ascii="FangSong" w:hAnsi="FangSong" w:eastAsia="FangSong" w:cs="FangSong"/>
          <w:sz w:val="24"/>
          <w:szCs w:val="24"/>
          <w:spacing w:val="-2"/>
        </w:rPr>
        <w:t>）。</w:t>
      </w:r>
      <w:r>
        <w:rPr>
          <w:rFonts w:ascii="FangSong" w:hAnsi="FangSong" w:eastAsia="FangSong" w:cs="FangSong"/>
          <w:sz w:val="24"/>
          <w:szCs w:val="24"/>
          <w:spacing w:val="-3"/>
        </w:rPr>
        <w:t>区内脉岩较发育，均为后期热液形成的石英脉，近南北向断续分</w:t>
      </w:r>
      <w:r>
        <w:rPr>
          <w:rFonts w:ascii="FangSong" w:hAnsi="FangSong" w:eastAsia="FangSong" w:cs="FangSong"/>
          <w:sz w:val="24"/>
          <w:szCs w:val="24"/>
          <w:spacing w:val="-4"/>
        </w:rPr>
        <w:t>布。侵入岩仅在</w:t>
      </w:r>
      <w:r>
        <w:rPr>
          <w:rFonts w:ascii="FangSong" w:hAnsi="FangSong" w:eastAsia="FangSong" w:cs="FangSong"/>
          <w:sz w:val="24"/>
          <w:szCs w:val="24"/>
          <w:spacing w:val="-1"/>
        </w:rPr>
        <w:t>本项目所在区域南端出露，侵入二叠系中统哲斯组地层中，向外延出勘查区。</w:t>
      </w:r>
    </w:p>
    <w:p>
      <w:pPr>
        <w:ind w:left="22"/>
        <w:spacing w:before="4"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5.3.3.1  </w:t>
      </w:r>
      <w:r>
        <w:rPr>
          <w:rFonts w:ascii="FangSong" w:hAnsi="FangSong" w:eastAsia="FangSong" w:cs="FangSong"/>
          <w:sz w:val="24"/>
          <w:szCs w:val="24"/>
          <w:b/>
          <w:bCs/>
          <w:spacing w:val="-1"/>
        </w:rPr>
        <w:t>二叠系中统哲斯组（</w:t>
      </w:r>
      <w:r>
        <w:rPr>
          <w:rFonts w:ascii="Times New Roman" w:hAnsi="Times New Roman" w:eastAsia="Times New Roman" w:cs="Times New Roman"/>
          <w:sz w:val="24"/>
          <w:szCs w:val="24"/>
          <w:b/>
          <w:bCs/>
          <w:spacing w:val="-1"/>
        </w:rPr>
        <w:t>P</w:t>
      </w:r>
      <w:r>
        <w:rPr>
          <w:rFonts w:ascii="Times New Roman" w:hAnsi="Times New Roman" w:eastAsia="Times New Roman" w:cs="Times New Roman"/>
          <w:sz w:val="15"/>
          <w:szCs w:val="15"/>
          <w:b/>
          <w:bCs/>
          <w:spacing w:val="-1"/>
        </w:rPr>
        <w:t>2</w:t>
      </w:r>
      <w:r>
        <w:rPr>
          <w:rFonts w:ascii="Times New Roman" w:hAnsi="Times New Roman" w:eastAsia="Times New Roman" w:cs="Times New Roman"/>
          <w:sz w:val="24"/>
          <w:szCs w:val="24"/>
          <w:b/>
          <w:bCs/>
          <w:spacing w:val="-1"/>
        </w:rPr>
        <w:t>z</w:t>
      </w:r>
      <w:r>
        <w:rPr>
          <w:rFonts w:ascii="Times New Roman" w:hAnsi="Times New Roman" w:eastAsia="Times New Roman" w:cs="Times New Roman"/>
          <w:sz w:val="24"/>
          <w:szCs w:val="24"/>
          <w:b/>
          <w:bCs/>
          <w:spacing w:val="-2"/>
        </w:rPr>
        <w:t>s</w:t>
      </w:r>
      <w:r>
        <w:rPr>
          <w:rFonts w:ascii="FangSong" w:hAnsi="FangSong" w:eastAsia="FangSong" w:cs="FangSong"/>
          <w:sz w:val="24"/>
          <w:szCs w:val="24"/>
          <w:b/>
          <w:bCs/>
          <w:spacing w:val="-2"/>
        </w:rPr>
        <w:t>）</w:t>
      </w:r>
    </w:p>
    <w:p>
      <w:pPr>
        <w:ind w:left="31" w:right="196" w:firstLine="479"/>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地层仅在丘陵状低山山脊脊线延伸方向及两侧</w:t>
      </w:r>
      <w:r>
        <w:rPr>
          <w:rFonts w:ascii="FangSong" w:hAnsi="FangSong" w:eastAsia="FangSong" w:cs="FangSong"/>
          <w:sz w:val="24"/>
          <w:szCs w:val="24"/>
          <w:spacing w:val="-4"/>
        </w:rPr>
        <w:t>附近处才能观察到。大部分被</w:t>
      </w:r>
      <w:r>
        <w:rPr>
          <w:rFonts w:ascii="FangSong" w:hAnsi="FangSong" w:eastAsia="FangSong" w:cs="FangSong"/>
          <w:sz w:val="24"/>
          <w:szCs w:val="24"/>
          <w:spacing w:val="-3"/>
        </w:rPr>
        <w:t>第四系风成砂土覆盖。宏观上呈串珠的条带状分布，岩性组合</w:t>
      </w:r>
      <w:r>
        <w:rPr>
          <w:rFonts w:ascii="FangSong" w:hAnsi="FangSong" w:eastAsia="FangSong" w:cs="FangSong"/>
          <w:sz w:val="24"/>
          <w:szCs w:val="24"/>
          <w:spacing w:val="-4"/>
        </w:rPr>
        <w:t>为凝灰质板岩、凝</w:t>
      </w:r>
      <w:r>
        <w:rPr>
          <w:rFonts w:ascii="FangSong" w:hAnsi="FangSong" w:eastAsia="FangSong" w:cs="FangSong"/>
          <w:sz w:val="24"/>
          <w:szCs w:val="24"/>
          <w:spacing w:val="-1"/>
        </w:rPr>
        <w:t>灰岩及黑色炭质板岩。哲斯组地层最大控制厚度约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276m</w:t>
      </w:r>
      <w:r>
        <w:rPr>
          <w:rFonts w:ascii="FangSong" w:hAnsi="FangSong" w:eastAsia="FangSong" w:cs="FangSong"/>
          <w:sz w:val="24"/>
          <w:szCs w:val="24"/>
          <w:spacing w:val="-1"/>
        </w:rPr>
        <w:t>。</w:t>
      </w:r>
    </w:p>
    <w:p>
      <w:pPr>
        <w:ind w:left="514"/>
        <w:spacing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）凝灰质板岩</w:t>
      </w:r>
    </w:p>
    <w:p>
      <w:pPr>
        <w:ind w:left="29" w:right="157" w:firstLine="477"/>
        <w:spacing w:before="179" w:line="360" w:lineRule="auto"/>
        <w:rPr>
          <w:rFonts w:ascii="FangSong" w:hAnsi="FangSong" w:eastAsia="FangSong" w:cs="FangSong"/>
          <w:sz w:val="24"/>
          <w:szCs w:val="24"/>
        </w:rPr>
      </w:pPr>
      <w:r>
        <w:rPr>
          <w:rFonts w:ascii="FangSong" w:hAnsi="FangSong" w:eastAsia="FangSong" w:cs="FangSong"/>
          <w:sz w:val="24"/>
          <w:szCs w:val="24"/>
          <w:spacing w:val="-2"/>
        </w:rPr>
        <w:t>岩石新鲜面呈灰黄色，变余凝灰结构、板状构造、岩石主要成分为火</w:t>
      </w:r>
      <w:r>
        <w:rPr>
          <w:rFonts w:ascii="FangSong" w:hAnsi="FangSong" w:eastAsia="FangSong" w:cs="FangSong"/>
          <w:sz w:val="24"/>
          <w:szCs w:val="24"/>
          <w:spacing w:val="-3"/>
        </w:rPr>
        <w:t>山灰，</w:t>
      </w:r>
      <w:r>
        <w:rPr>
          <w:rFonts w:ascii="FangSong" w:hAnsi="FangSong" w:eastAsia="FangSong" w:cs="FangSong"/>
          <w:sz w:val="24"/>
          <w:szCs w:val="24"/>
          <w:spacing w:val="-2"/>
        </w:rPr>
        <w:t>风化后灰褐色，板理发育，板理面平直光滑，岩层走向受构造影响有轻微摆</w:t>
      </w:r>
      <w:r>
        <w:rPr>
          <w:rFonts w:ascii="FangSong" w:hAnsi="FangSong" w:eastAsia="FangSong" w:cs="FangSong"/>
          <w:sz w:val="24"/>
          <w:szCs w:val="24"/>
          <w:spacing w:val="-3"/>
        </w:rPr>
        <w:t>动，</w:t>
      </w:r>
      <w:r>
        <w:rPr>
          <w:rFonts w:ascii="FangSong" w:hAnsi="FangSong" w:eastAsia="FangSong" w:cs="FangSong"/>
          <w:sz w:val="24"/>
          <w:szCs w:val="24"/>
          <w:spacing w:val="-2"/>
        </w:rPr>
        <w:t>一般走向在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15°</w:t>
      </w:r>
      <w:r>
        <w:rPr>
          <w:rFonts w:ascii="FangSong" w:hAnsi="FangSong" w:eastAsia="FangSong" w:cs="FangSong"/>
          <w:sz w:val="24"/>
          <w:szCs w:val="24"/>
          <w:spacing w:val="-2"/>
        </w:rPr>
        <w:t>左右，倾向北西、倾角约在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55</w:t>
      </w:r>
      <w:r>
        <w:rPr>
          <w:rFonts w:ascii="Times New Roman" w:hAnsi="Times New Roman" w:eastAsia="Times New Roman" w:cs="Times New Roman"/>
          <w:sz w:val="24"/>
          <w:szCs w:val="24"/>
          <w:spacing w:val="-3"/>
        </w:rPr>
        <w:t>-60°</w:t>
      </w:r>
      <w:r>
        <w:rPr>
          <w:rFonts w:ascii="FangSong" w:hAnsi="FangSong" w:eastAsia="FangSong" w:cs="FangSong"/>
          <w:sz w:val="24"/>
          <w:szCs w:val="24"/>
          <w:spacing w:val="-3"/>
        </w:rPr>
        <w:t>之间。受后期硅质热液活动的</w:t>
      </w:r>
      <w:r>
        <w:rPr>
          <w:rFonts w:ascii="FangSong" w:hAnsi="FangSong" w:eastAsia="FangSong" w:cs="FangSong"/>
          <w:sz w:val="24"/>
          <w:szCs w:val="24"/>
          <w:spacing w:val="-3"/>
        </w:rPr>
        <w:t>影响。岩石具有一定程度的变质，较为坚硬，依据钻孔</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ZK5008</w:t>
      </w:r>
      <w:r>
        <w:rPr>
          <w:rFonts w:ascii="Times New Roman" w:hAnsi="Times New Roman" w:eastAsia="Times New Roman" w:cs="Times New Roman"/>
          <w:sz w:val="24"/>
          <w:szCs w:val="24"/>
          <w:spacing w:val="32"/>
          <w:w w:val="101"/>
        </w:rPr>
        <w:t xml:space="preserve"> </w:t>
      </w:r>
      <w:r>
        <w:rPr>
          <w:rFonts w:ascii="FangSong" w:hAnsi="FangSong" w:eastAsia="FangSong" w:cs="FangSong"/>
          <w:sz w:val="24"/>
          <w:szCs w:val="24"/>
          <w:spacing w:val="-3"/>
        </w:rPr>
        <w:t>能够观察到的厚</w:t>
      </w:r>
      <w:r>
        <w:rPr>
          <w:rFonts w:ascii="FangSong" w:hAnsi="FangSong" w:eastAsia="FangSong" w:cs="FangSong"/>
          <w:sz w:val="24"/>
          <w:szCs w:val="24"/>
          <w:spacing w:val="-3"/>
        </w:rPr>
        <w:t>度大于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221m</w:t>
      </w:r>
      <w:r>
        <w:rPr>
          <w:rFonts w:ascii="FangSong" w:hAnsi="FangSong" w:eastAsia="FangSong" w:cs="FangSong"/>
          <w:sz w:val="24"/>
          <w:szCs w:val="24"/>
          <w:spacing w:val="-3"/>
        </w:rPr>
        <w:t>。</w:t>
      </w:r>
    </w:p>
    <w:p>
      <w:pPr>
        <w:ind w:left="514"/>
        <w:spacing w:line="224"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）凝灰岩</w:t>
      </w:r>
    </w:p>
    <w:p>
      <w:pPr>
        <w:ind w:left="27" w:right="131" w:firstLine="483"/>
        <w:spacing w:before="176" w:line="360" w:lineRule="auto"/>
        <w:rPr>
          <w:rFonts w:ascii="FangSong" w:hAnsi="FangSong" w:eastAsia="FangSong" w:cs="FangSong"/>
          <w:sz w:val="24"/>
          <w:szCs w:val="24"/>
        </w:rPr>
      </w:pPr>
      <w:r>
        <w:rPr>
          <w:rFonts w:ascii="FangSong" w:hAnsi="FangSong" w:eastAsia="FangSong" w:cs="FangSong"/>
          <w:sz w:val="24"/>
          <w:szCs w:val="24"/>
          <w:spacing w:val="2"/>
        </w:rPr>
        <w:t>地表未见，在钻孔中与凝灰质板岩互层，厚度约在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8-30</w:t>
      </w:r>
      <w:r>
        <w:rPr>
          <w:rFonts w:ascii="Times New Roman" w:hAnsi="Times New Roman" w:eastAsia="Times New Roman" w:cs="Times New Roman"/>
          <w:sz w:val="24"/>
          <w:szCs w:val="24"/>
          <w:spacing w:val="1"/>
        </w:rPr>
        <w:t>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之间，岩石，呈</w:t>
      </w:r>
      <w:r>
        <w:rPr>
          <w:rFonts w:ascii="FangSong" w:hAnsi="FangSong" w:eastAsia="FangSong" w:cs="FangSong"/>
          <w:sz w:val="24"/>
          <w:szCs w:val="24"/>
          <w:spacing w:val="-8"/>
        </w:rPr>
        <w:t>灰绿色，凝灰结构，层状构造。主要成分为火山灰，被火山尘胶结，岩心较完整，</w:t>
      </w:r>
      <w:r>
        <w:rPr>
          <w:rFonts w:ascii="FangSong" w:hAnsi="FangSong" w:eastAsia="FangSong" w:cs="FangSong"/>
          <w:sz w:val="24"/>
          <w:szCs w:val="24"/>
          <w:spacing w:val="-3"/>
        </w:rPr>
        <w:t>呈长柱状或棒状。构造发育地段或靠近萤石矿产出部位，岩石裂隙发育，</w:t>
      </w:r>
      <w:r>
        <w:rPr>
          <w:rFonts w:ascii="FangSong" w:hAnsi="FangSong" w:eastAsia="FangSong" w:cs="FangSong"/>
          <w:sz w:val="24"/>
          <w:szCs w:val="24"/>
          <w:spacing w:val="-4"/>
        </w:rPr>
        <w:t>多充填</w:t>
      </w:r>
      <w:r>
        <w:rPr>
          <w:rFonts w:ascii="FangSong" w:hAnsi="FangSong" w:eastAsia="FangSong" w:cs="FangSong"/>
          <w:sz w:val="24"/>
          <w:szCs w:val="24"/>
          <w:spacing w:val="-1"/>
        </w:rPr>
        <w:t>有碳酸盐脉或高岭土化，致使岩芯呈碎块状。</w:t>
      </w:r>
    </w:p>
    <w:p>
      <w:pPr>
        <w:ind w:left="514"/>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）碳质板岩</w:t>
      </w:r>
    </w:p>
    <w:p>
      <w:pPr>
        <w:ind w:left="27" w:right="196" w:firstLine="483"/>
        <w:spacing w:before="179" w:line="360" w:lineRule="auto"/>
        <w:rPr>
          <w:rFonts w:ascii="FangSong" w:hAnsi="FangSong" w:eastAsia="FangSong" w:cs="FangSong"/>
          <w:sz w:val="24"/>
          <w:szCs w:val="24"/>
        </w:rPr>
      </w:pPr>
      <w:r>
        <w:rPr>
          <w:rFonts w:ascii="FangSong" w:hAnsi="FangSong" w:eastAsia="FangSong" w:cs="FangSong"/>
          <w:sz w:val="24"/>
          <w:szCs w:val="24"/>
          <w:spacing w:val="-1"/>
        </w:rPr>
        <w:t>地表未见，在钻孔中与凝灰质板岩和凝灰岩互层，依据</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53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号勘探线测得其</w:t>
      </w:r>
      <w:r>
        <w:rPr>
          <w:rFonts w:ascii="FangSong" w:hAnsi="FangSong" w:eastAsia="FangSong" w:cs="FangSong"/>
          <w:sz w:val="24"/>
          <w:szCs w:val="24"/>
          <w:spacing w:val="-2"/>
        </w:rPr>
        <w:t>厚度约在</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2"/>
        </w:rPr>
        <w:t>10-25m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之间，其产出部位，靠下较深处，一般钻孔中见有黑色炭质板</w:t>
      </w:r>
      <w:r>
        <w:rPr>
          <w:rFonts w:ascii="FangSong" w:hAnsi="FangSong" w:eastAsia="FangSong" w:cs="FangSong"/>
          <w:sz w:val="24"/>
          <w:szCs w:val="24"/>
          <w:spacing w:val="-3"/>
        </w:rPr>
        <w:t>岩，视为无矿的底板界线应停止钻进。岩石灰黑色，变余结构，板状构造</w:t>
      </w:r>
      <w:r>
        <w:rPr>
          <w:rFonts w:ascii="FangSong" w:hAnsi="FangSong" w:eastAsia="FangSong" w:cs="FangSong"/>
          <w:sz w:val="24"/>
          <w:szCs w:val="24"/>
          <w:spacing w:val="-4"/>
        </w:rPr>
        <w:t>。成分</w:t>
      </w:r>
      <w:r>
        <w:rPr>
          <w:rFonts w:ascii="FangSong" w:hAnsi="FangSong" w:eastAsia="FangSong" w:cs="FangSong"/>
          <w:sz w:val="24"/>
          <w:szCs w:val="24"/>
          <w:spacing w:val="-3"/>
        </w:rPr>
        <w:t>主要为凝灰质、碳质。板理发育，岩石较破碎，有时偶见岩心中有石英细</w:t>
      </w:r>
      <w:r>
        <w:rPr>
          <w:rFonts w:ascii="FangSong" w:hAnsi="FangSong" w:eastAsia="FangSong" w:cs="FangSong"/>
          <w:sz w:val="24"/>
          <w:szCs w:val="24"/>
          <w:spacing w:val="-4"/>
        </w:rPr>
        <w:t>脉或白</w:t>
      </w:r>
      <w:r>
        <w:rPr>
          <w:rFonts w:ascii="FangSong" w:hAnsi="FangSong" w:eastAsia="FangSong" w:cs="FangSong"/>
          <w:sz w:val="24"/>
          <w:szCs w:val="24"/>
          <w:spacing w:val="-2"/>
        </w:rPr>
        <w:t>色碳酸盐脉穿入。</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5.3.3.2</w:t>
      </w:r>
      <w:r>
        <w:rPr>
          <w:rFonts w:ascii="Times New Roman" w:hAnsi="Times New Roman" w:eastAsia="Times New Roman" w:cs="Times New Roman"/>
          <w:sz w:val="24"/>
          <w:szCs w:val="24"/>
          <w:b/>
          <w:bCs/>
          <w:spacing w:val="23"/>
        </w:rPr>
        <w:t xml:space="preserve">  </w:t>
      </w:r>
      <w:r>
        <w:rPr>
          <w:rFonts w:ascii="FangSong" w:hAnsi="FangSong" w:eastAsia="FangSong" w:cs="FangSong"/>
          <w:sz w:val="24"/>
          <w:szCs w:val="24"/>
          <w:b/>
          <w:bCs/>
          <w:spacing w:val="-3"/>
        </w:rPr>
        <w:t>中生界下白垩统白音高老组</w:t>
      </w:r>
      <w:r>
        <w:rPr>
          <w:rFonts w:ascii="FangSong" w:hAnsi="FangSong" w:eastAsia="FangSong" w:cs="FangSong"/>
          <w:sz w:val="24"/>
          <w:szCs w:val="24"/>
          <w:b/>
          <w:bCs/>
          <w:spacing w:val="-4"/>
        </w:rPr>
        <w:t>（</w:t>
      </w:r>
      <w:r>
        <w:rPr>
          <w:rFonts w:ascii="Times New Roman" w:hAnsi="Times New Roman" w:eastAsia="Times New Roman" w:cs="Times New Roman"/>
          <w:sz w:val="24"/>
          <w:szCs w:val="24"/>
          <w:b/>
          <w:bCs/>
          <w:spacing w:val="-4"/>
        </w:rPr>
        <w:t>K</w:t>
      </w:r>
      <w:r>
        <w:rPr>
          <w:rFonts w:ascii="Times New Roman" w:hAnsi="Times New Roman" w:eastAsia="Times New Roman" w:cs="Times New Roman"/>
          <w:sz w:val="15"/>
          <w:szCs w:val="15"/>
          <w:b/>
          <w:bCs/>
          <w:spacing w:val="-4"/>
          <w:position w:val="-1"/>
        </w:rPr>
        <w:t>1</w:t>
      </w:r>
      <w:r>
        <w:rPr>
          <w:rFonts w:ascii="Times New Roman" w:hAnsi="Times New Roman" w:eastAsia="Times New Roman" w:cs="Times New Roman"/>
          <w:sz w:val="24"/>
          <w:szCs w:val="24"/>
          <w:b/>
          <w:bCs/>
          <w:spacing w:val="-4"/>
        </w:rPr>
        <w:t>b</w:t>
      </w:r>
      <w:r>
        <w:rPr>
          <w:rFonts w:ascii="FangSong" w:hAnsi="FangSong" w:eastAsia="FangSong" w:cs="FangSong"/>
          <w:sz w:val="24"/>
          <w:szCs w:val="24"/>
          <w:b/>
          <w:bCs/>
          <w:spacing w:val="-4"/>
        </w:rPr>
        <w:t>）</w:t>
      </w:r>
    </w:p>
    <w:p>
      <w:pPr>
        <w:ind w:left="510"/>
        <w:spacing w:before="180" w:line="219" w:lineRule="auto"/>
        <w:rPr>
          <w:rFonts w:ascii="FangSong" w:hAnsi="FangSong" w:eastAsia="FangSong" w:cs="FangSong"/>
          <w:sz w:val="24"/>
          <w:szCs w:val="24"/>
        </w:rPr>
      </w:pPr>
      <w:r>
        <w:rPr>
          <w:rFonts w:ascii="FangSong" w:hAnsi="FangSong" w:eastAsia="FangSong" w:cs="FangSong"/>
          <w:sz w:val="24"/>
          <w:szCs w:val="24"/>
          <w:spacing w:val="-3"/>
        </w:rPr>
        <w:t>位于本项目所在区域东南部，是区外白音高老</w:t>
      </w:r>
      <w:r>
        <w:rPr>
          <w:rFonts w:ascii="FangSong" w:hAnsi="FangSong" w:eastAsia="FangSong" w:cs="FangSong"/>
          <w:sz w:val="24"/>
          <w:szCs w:val="24"/>
          <w:spacing w:val="-4"/>
        </w:rPr>
        <w:t>组的向北延入部分。本项目所</w:t>
      </w:r>
    </w:p>
    <w:p>
      <w:pPr>
        <w:spacing w:line="219" w:lineRule="auto"/>
        <w:sectPr>
          <w:footerReference w:type="default" r:id="rId222"/>
          <w:pgSz w:w="11906" w:h="16839"/>
          <w:pgMar w:top="400" w:right="160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1" w:right="83"/>
        <w:spacing w:before="78" w:line="360" w:lineRule="auto"/>
        <w:rPr>
          <w:rFonts w:ascii="FangSong" w:hAnsi="FangSong" w:eastAsia="FangSong" w:cs="FangSong"/>
          <w:sz w:val="24"/>
          <w:szCs w:val="24"/>
        </w:rPr>
      </w:pPr>
      <w:bookmarkStart w:name="bookmark570" w:id="306"/>
      <w:bookmarkEnd w:id="306"/>
      <w:r>
        <w:rPr>
          <w:rFonts w:ascii="FangSong" w:hAnsi="FangSong" w:eastAsia="FangSong" w:cs="FangSong"/>
          <w:sz w:val="24"/>
          <w:szCs w:val="24"/>
        </w:rPr>
        <w:t>在区域内出露面积约为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rPr>
        <w:t>15km</w:t>
      </w:r>
      <w:r>
        <w:rPr>
          <w:rFonts w:ascii="Times New Roman" w:hAnsi="Times New Roman" w:eastAsia="Times New Roman" w:cs="Times New Roman"/>
          <w:sz w:val="15"/>
          <w:szCs w:val="15"/>
          <w:position w:val="7"/>
        </w:rPr>
        <w:t>2 </w:t>
      </w:r>
      <w:r>
        <w:rPr>
          <w:rFonts w:ascii="FangSong" w:hAnsi="FangSong" w:eastAsia="FangSong" w:cs="FangSong"/>
          <w:sz w:val="24"/>
          <w:szCs w:val="24"/>
        </w:rPr>
        <w:t>，该套</w:t>
      </w:r>
      <w:r>
        <w:rPr>
          <w:rFonts w:ascii="FangSong" w:hAnsi="FangSong" w:eastAsia="FangSong" w:cs="FangSong"/>
          <w:sz w:val="24"/>
          <w:szCs w:val="24"/>
          <w:spacing w:val="-1"/>
        </w:rPr>
        <w:t>地层不整合于中二叠系哲斯组（</w:t>
      </w:r>
      <w:r>
        <w:rPr>
          <w:rFonts w:ascii="Times New Roman" w:hAnsi="Times New Roman" w:eastAsia="Times New Roman" w:cs="Times New Roman"/>
          <w:sz w:val="24"/>
          <w:szCs w:val="24"/>
          <w:spacing w:val="-1"/>
        </w:rPr>
        <w:t>P</w:t>
      </w:r>
      <w:r>
        <w:rPr>
          <w:rFonts w:ascii="Times New Roman" w:hAnsi="Times New Roman" w:eastAsia="Times New Roman" w:cs="Times New Roman"/>
          <w:sz w:val="15"/>
          <w:szCs w:val="15"/>
          <w:spacing w:val="-1"/>
        </w:rPr>
        <w:t>2</w:t>
      </w:r>
      <w:r>
        <w:rPr>
          <w:rFonts w:ascii="Times New Roman" w:hAnsi="Times New Roman" w:eastAsia="Times New Roman" w:cs="Times New Roman"/>
          <w:sz w:val="24"/>
          <w:szCs w:val="24"/>
          <w:spacing w:val="-1"/>
        </w:rPr>
        <w:t>zs</w:t>
      </w:r>
      <w:r>
        <w:rPr>
          <w:rFonts w:ascii="FangSong" w:hAnsi="FangSong" w:eastAsia="FangSong" w:cs="FangSong"/>
          <w:sz w:val="24"/>
          <w:szCs w:val="24"/>
          <w:spacing w:val="-1"/>
        </w:rPr>
        <w:t>）凝</w:t>
      </w:r>
      <w:r>
        <w:rPr>
          <w:rFonts w:ascii="FangSong" w:hAnsi="FangSong" w:eastAsia="FangSong" w:cs="FangSong"/>
          <w:sz w:val="24"/>
          <w:szCs w:val="24"/>
          <w:spacing w:val="-1"/>
        </w:rPr>
        <w:t>灰岩质板岩之上，东端部分被第四系覆盖。</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）石英斑岩</w:t>
      </w:r>
    </w:p>
    <w:p>
      <w:pPr>
        <w:ind w:left="29" w:right="83" w:firstLine="477"/>
        <w:spacing w:before="177" w:line="360" w:lineRule="auto"/>
        <w:rPr>
          <w:rFonts w:ascii="FangSong" w:hAnsi="FangSong" w:eastAsia="FangSong" w:cs="FangSong"/>
          <w:sz w:val="24"/>
          <w:szCs w:val="24"/>
        </w:rPr>
      </w:pPr>
      <w:r>
        <w:rPr>
          <w:rFonts w:ascii="FangSong" w:hAnsi="FangSong" w:eastAsia="FangSong" w:cs="FangSong"/>
          <w:sz w:val="24"/>
          <w:szCs w:val="24"/>
          <w:spacing w:val="-3"/>
        </w:rPr>
        <w:t>岩石呈灰白色，斑状结构，块状构造，斑晶为被熔蚀的</w:t>
      </w:r>
      <w:r>
        <w:rPr>
          <w:rFonts w:ascii="FangSong" w:hAnsi="FangSong" w:eastAsia="FangSong" w:cs="FangSong"/>
          <w:sz w:val="24"/>
          <w:szCs w:val="24"/>
          <w:spacing w:val="-4"/>
        </w:rPr>
        <w:t>椭圆及圆粒石英，粒</w:t>
      </w:r>
      <w:r>
        <w:rPr>
          <w:rFonts w:ascii="FangSong" w:hAnsi="FangSong" w:eastAsia="FangSong" w:cs="FangSong"/>
          <w:sz w:val="24"/>
          <w:szCs w:val="24"/>
          <w:spacing w:val="-2"/>
        </w:rPr>
        <w:t>径：</w:t>
      </w:r>
      <w:r>
        <w:rPr>
          <w:rFonts w:ascii="Times New Roman" w:hAnsi="Times New Roman" w:eastAsia="Times New Roman" w:cs="Times New Roman"/>
          <w:sz w:val="24"/>
          <w:szCs w:val="24"/>
          <w:spacing w:val="-2"/>
        </w:rPr>
        <w:t>1-3mm</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2"/>
        </w:rPr>
        <w:t>含量</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30%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，基质为灰白色隐晶质，含量</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70%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，岩石致密坚硬，贝壳</w:t>
      </w:r>
      <w:r>
        <w:rPr>
          <w:rFonts w:ascii="FangSong" w:hAnsi="FangSong" w:eastAsia="FangSong" w:cs="FangSong"/>
          <w:sz w:val="24"/>
          <w:szCs w:val="24"/>
          <w:spacing w:val="-5"/>
        </w:rPr>
        <w:t>状断</w:t>
      </w:r>
      <w:r>
        <w:rPr>
          <w:rFonts w:ascii="FangSong" w:hAnsi="FangSong" w:eastAsia="FangSong" w:cs="FangSong"/>
          <w:sz w:val="24"/>
          <w:szCs w:val="24"/>
          <w:spacing w:val="-56"/>
        </w:rPr>
        <w:t xml:space="preserve"> </w:t>
      </w:r>
      <w:r>
        <w:rPr>
          <w:rFonts w:ascii="FangSong" w:hAnsi="FangSong" w:eastAsia="FangSong" w:cs="FangSong"/>
          <w:sz w:val="24"/>
          <w:szCs w:val="24"/>
          <w:spacing w:val="-5"/>
        </w:rPr>
        <w:t>口，显油脂光泽。岩体与地层的接触带多硅化、萤石矿化、碳酸盐化。靠近</w:t>
      </w:r>
      <w:r>
        <w:rPr>
          <w:rFonts w:ascii="FangSong" w:hAnsi="FangSong" w:eastAsia="FangSong" w:cs="FangSong"/>
          <w:sz w:val="24"/>
          <w:szCs w:val="24"/>
          <w:spacing w:val="-3"/>
        </w:rPr>
        <w:t>接触带内侧的岩体中也能观察到颗粒大小不等，稀疏分布的淡粉色</w:t>
      </w:r>
      <w:r>
        <w:rPr>
          <w:rFonts w:ascii="FangSong" w:hAnsi="FangSong" w:eastAsia="FangSong" w:cs="FangSong"/>
          <w:sz w:val="24"/>
          <w:szCs w:val="24"/>
          <w:spacing w:val="-4"/>
        </w:rPr>
        <w:t>立方体状萤石</w:t>
      </w:r>
      <w:r>
        <w:rPr>
          <w:rFonts w:ascii="FangSong" w:hAnsi="FangSong" w:eastAsia="FangSong" w:cs="FangSong"/>
          <w:sz w:val="24"/>
          <w:szCs w:val="24"/>
          <w:spacing w:val="-3"/>
        </w:rPr>
        <w:t>颗粒。其内发育有一条北东向较宽裂隙，充填有萤石矿化石英脉，</w:t>
      </w:r>
      <w:r>
        <w:rPr>
          <w:rFonts w:ascii="FangSong" w:hAnsi="FangSong" w:eastAsia="FangSong" w:cs="FangSong"/>
          <w:sz w:val="24"/>
          <w:szCs w:val="24"/>
          <w:spacing w:val="-4"/>
        </w:rPr>
        <w:t>并与本项目所</w:t>
      </w:r>
      <w:r>
        <w:rPr>
          <w:rFonts w:ascii="FangSong" w:hAnsi="FangSong" w:eastAsia="FangSong" w:cs="FangSong"/>
          <w:sz w:val="24"/>
          <w:szCs w:val="24"/>
          <w:spacing w:val="-3"/>
        </w:rPr>
        <w:t>在区域断续分布的石英脉相连。该套地层北端北东倾，倾角为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60-70°</w:t>
      </w:r>
      <w:r>
        <w:rPr>
          <w:rFonts w:ascii="FangSong" w:hAnsi="FangSong" w:eastAsia="FangSong" w:cs="FangSong"/>
          <w:sz w:val="24"/>
          <w:szCs w:val="24"/>
          <w:spacing w:val="-3"/>
        </w:rPr>
        <w:t>之间</w:t>
      </w:r>
      <w:r>
        <w:rPr>
          <w:rFonts w:ascii="FangSong" w:hAnsi="FangSong" w:eastAsia="FangSong" w:cs="FangSong"/>
          <w:sz w:val="24"/>
          <w:szCs w:val="24"/>
          <w:spacing w:val="-4"/>
        </w:rPr>
        <w:t>，推测</w:t>
      </w:r>
      <w:r>
        <w:rPr>
          <w:rFonts w:ascii="FangSong" w:hAnsi="FangSong" w:eastAsia="FangSong" w:cs="FangSong"/>
          <w:sz w:val="24"/>
          <w:szCs w:val="24"/>
          <w:spacing w:val="-1"/>
        </w:rPr>
        <w:t>是一期对成矿物质来源起主要作用的酸性火山岩。</w:t>
      </w:r>
    </w:p>
    <w:p>
      <w:pPr>
        <w:ind w:left="514"/>
        <w:spacing w:before="1" w:line="223"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）流纹岩</w:t>
      </w:r>
    </w:p>
    <w:p>
      <w:pPr>
        <w:ind w:left="29" w:firstLine="477"/>
        <w:spacing w:before="177" w:line="360" w:lineRule="auto"/>
        <w:rPr>
          <w:rFonts w:ascii="FangSong" w:hAnsi="FangSong" w:eastAsia="FangSong" w:cs="FangSong"/>
          <w:sz w:val="24"/>
          <w:szCs w:val="24"/>
        </w:rPr>
      </w:pPr>
      <w:r>
        <w:rPr>
          <w:rFonts w:ascii="FangSong" w:hAnsi="FangSong" w:eastAsia="FangSong" w:cs="FangSong"/>
          <w:sz w:val="24"/>
          <w:szCs w:val="24"/>
          <w:spacing w:val="-3"/>
        </w:rPr>
        <w:t>岩石呈浅粉色、灰白色，斑状结构，流纹构造，石泡构</w:t>
      </w:r>
      <w:r>
        <w:rPr>
          <w:rFonts w:ascii="FangSong" w:hAnsi="FangSong" w:eastAsia="FangSong" w:cs="FangSong"/>
          <w:sz w:val="24"/>
          <w:szCs w:val="24"/>
          <w:spacing w:val="-4"/>
        </w:rPr>
        <w:t>造。岩石由斑晶和基</w:t>
      </w:r>
      <w:r>
        <w:rPr>
          <w:rFonts w:ascii="FangSong" w:hAnsi="FangSong" w:eastAsia="FangSong" w:cs="FangSong"/>
          <w:sz w:val="24"/>
          <w:szCs w:val="24"/>
        </w:rPr>
        <w:t>质两部分组成。斑晶含量</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rPr>
        <w:t>5%</w:t>
      </w:r>
      <w:r>
        <w:rPr>
          <w:rFonts w:ascii="FangSong" w:hAnsi="FangSong" w:eastAsia="FangSong" w:cs="FangSong"/>
          <w:sz w:val="24"/>
          <w:szCs w:val="24"/>
        </w:rPr>
        <w:t>左右，大小</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rPr>
        <w:t>0.3-1.4mm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，斑晶主要为石英，少见斜</w:t>
      </w:r>
      <w:r>
        <w:rPr>
          <w:rFonts w:ascii="FangSong" w:hAnsi="FangSong" w:eastAsia="FangSong" w:cs="FangSong"/>
          <w:sz w:val="24"/>
          <w:szCs w:val="24"/>
          <w:spacing w:val="-3"/>
        </w:rPr>
        <w:t>长石，呈星散分布，少数聚斑状产出，斜长石半自形板状，石英半</w:t>
      </w:r>
      <w:r>
        <w:rPr>
          <w:rFonts w:ascii="FangSong" w:hAnsi="FangSong" w:eastAsia="FangSong" w:cs="FangSong"/>
          <w:sz w:val="24"/>
          <w:szCs w:val="24"/>
          <w:spacing w:val="-4"/>
        </w:rPr>
        <w:t>自形</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它形粒</w:t>
      </w:r>
      <w:r>
        <w:rPr>
          <w:rFonts w:ascii="FangSong" w:hAnsi="FangSong" w:eastAsia="FangSong" w:cs="FangSong"/>
          <w:sz w:val="24"/>
          <w:szCs w:val="24"/>
          <w:spacing w:val="-5"/>
        </w:rPr>
        <w:t>状，石英略显熔蚀边；斑晶：由石英和斜长</w:t>
      </w:r>
      <w:r>
        <w:rPr>
          <w:rFonts w:ascii="FangSong" w:hAnsi="FangSong" w:eastAsia="FangSong" w:cs="FangSong"/>
          <w:sz w:val="24"/>
          <w:szCs w:val="24"/>
          <w:spacing w:val="-6"/>
        </w:rPr>
        <w:t>石组成，大小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0.3-1.4mm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6"/>
        </w:rPr>
        <w:t>，星散分布，</w:t>
      </w:r>
      <w:r>
        <w:rPr>
          <w:rFonts w:ascii="FangSong" w:hAnsi="FangSong" w:eastAsia="FangSong" w:cs="FangSong"/>
          <w:sz w:val="24"/>
          <w:szCs w:val="24"/>
          <w:spacing w:val="-3"/>
        </w:rPr>
        <w:t>少数聚斑状产出，斜长石半自形板状，石英半自形</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它形粒状，石英略显熔蚀边。</w:t>
      </w:r>
      <w:r>
        <w:rPr>
          <w:rFonts w:ascii="FangSong" w:hAnsi="FangSong" w:eastAsia="FangSong" w:cs="FangSong"/>
          <w:sz w:val="24"/>
          <w:szCs w:val="24"/>
          <w:spacing w:val="-1"/>
        </w:rPr>
        <w:t>基质为隐晶结构、包含霏细结构，由长英质组成，隐晶状，霏细状，定向分布，</w:t>
      </w:r>
      <w:r>
        <w:rPr>
          <w:rFonts w:ascii="FangSong" w:hAnsi="FangSong" w:eastAsia="FangSong" w:cs="FangSong"/>
          <w:sz w:val="24"/>
          <w:szCs w:val="24"/>
          <w:spacing w:val="-3"/>
        </w:rPr>
        <w:t>局部可见纤状长英质构成似球粒结构，局部见包含霏细结构。岩石</w:t>
      </w:r>
      <w:r>
        <w:rPr>
          <w:rFonts w:ascii="FangSong" w:hAnsi="FangSong" w:eastAsia="FangSong" w:cs="FangSong"/>
          <w:sz w:val="24"/>
          <w:szCs w:val="24"/>
          <w:spacing w:val="-4"/>
        </w:rPr>
        <w:t>中见有近圆形</w:t>
      </w:r>
      <w:r>
        <w:rPr>
          <w:rFonts w:ascii="FangSong" w:hAnsi="FangSong" w:eastAsia="FangSong" w:cs="FangSong"/>
          <w:sz w:val="24"/>
          <w:szCs w:val="24"/>
          <w:spacing w:val="-2"/>
        </w:rPr>
        <w:t>的石泡，石泡大小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1.6-32mm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，由纤状长英质构成，</w:t>
      </w:r>
      <w:r>
        <w:rPr>
          <w:rFonts w:ascii="FangSong" w:hAnsi="FangSong" w:eastAsia="FangSong" w:cs="FangSong"/>
          <w:sz w:val="24"/>
          <w:szCs w:val="24"/>
          <w:spacing w:val="-3"/>
        </w:rPr>
        <w:t>石泡中被硅质充填。</w:t>
      </w:r>
    </w:p>
    <w:p>
      <w:pPr>
        <w:ind w:left="22"/>
        <w:spacing w:line="21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5.3.3.3  </w:t>
      </w:r>
      <w:r>
        <w:rPr>
          <w:rFonts w:ascii="FangSong" w:hAnsi="FangSong" w:eastAsia="FangSong" w:cs="FangSong"/>
          <w:sz w:val="24"/>
          <w:szCs w:val="24"/>
          <w:b/>
          <w:bCs/>
          <w:spacing w:val="-1"/>
        </w:rPr>
        <w:t>第四系风积层、风成砂土、砂丘（</w:t>
      </w:r>
      <w:r>
        <w:rPr>
          <w:rFonts w:ascii="Times New Roman" w:hAnsi="Times New Roman" w:eastAsia="Times New Roman" w:cs="Times New Roman"/>
          <w:sz w:val="24"/>
          <w:szCs w:val="24"/>
          <w:b/>
          <w:bCs/>
          <w:spacing w:val="-1"/>
        </w:rPr>
        <w:t>Q</w:t>
      </w:r>
      <w:r>
        <w:rPr>
          <w:rFonts w:ascii="Times New Roman" w:hAnsi="Times New Roman" w:eastAsia="Times New Roman" w:cs="Times New Roman"/>
          <w:sz w:val="15"/>
          <w:szCs w:val="15"/>
          <w:b/>
          <w:bCs/>
          <w:spacing w:val="-1"/>
          <w:position w:val="-1"/>
        </w:rPr>
        <w:t>h</w:t>
      </w:r>
      <w:r>
        <w:rPr>
          <w:rFonts w:ascii="Times New Roman" w:hAnsi="Times New Roman" w:eastAsia="Times New Roman" w:cs="Times New Roman"/>
          <w:sz w:val="15"/>
          <w:szCs w:val="15"/>
          <w:b/>
          <w:bCs/>
          <w:spacing w:val="-1"/>
          <w:position w:val="7"/>
        </w:rPr>
        <w:t>eol</w:t>
      </w:r>
      <w:r>
        <w:rPr>
          <w:rFonts w:ascii="FangSong" w:hAnsi="FangSong" w:eastAsia="FangSong" w:cs="FangSong"/>
          <w:sz w:val="24"/>
          <w:szCs w:val="24"/>
          <w:b/>
          <w:bCs/>
          <w:spacing w:val="-1"/>
        </w:rPr>
        <w:t>）</w:t>
      </w:r>
    </w:p>
    <w:p>
      <w:pPr>
        <w:ind w:left="29" w:right="83" w:firstLine="482"/>
        <w:spacing w:before="192" w:line="360" w:lineRule="auto"/>
        <w:jc w:val="both"/>
        <w:rPr>
          <w:rFonts w:ascii="FangSong" w:hAnsi="FangSong" w:eastAsia="FangSong" w:cs="FangSong"/>
          <w:sz w:val="24"/>
          <w:szCs w:val="24"/>
        </w:rPr>
      </w:pPr>
      <w:r>
        <w:rPr>
          <w:rFonts w:ascii="FangSong" w:hAnsi="FangSong" w:eastAsia="FangSong" w:cs="FangSong"/>
          <w:sz w:val="24"/>
          <w:szCs w:val="24"/>
          <w:spacing w:val="-3"/>
        </w:rPr>
        <w:t>在本项目所在区域中及外围大面积分布，下</w:t>
      </w:r>
      <w:r>
        <w:rPr>
          <w:rFonts w:ascii="FangSong" w:hAnsi="FangSong" w:eastAsia="FangSong" w:cs="FangSong"/>
          <w:sz w:val="24"/>
          <w:szCs w:val="24"/>
          <w:spacing w:val="-4"/>
        </w:rPr>
        <w:t>部为风积砂砾石层，上部为风成</w:t>
      </w:r>
      <w:r>
        <w:rPr>
          <w:rFonts w:ascii="FangSong" w:hAnsi="FangSong" w:eastAsia="FangSong" w:cs="FangSong"/>
          <w:sz w:val="24"/>
          <w:szCs w:val="24"/>
          <w:spacing w:val="-1"/>
        </w:rPr>
        <w:t>砂土。有时形成的条带状砂丘长达几公里，堆积高度</w:t>
      </w:r>
      <w:r>
        <w:rPr>
          <w:rFonts w:ascii="FangSong" w:hAnsi="FangSong" w:eastAsia="FangSong" w:cs="FangSong"/>
          <w:sz w:val="24"/>
          <w:szCs w:val="24"/>
          <w:spacing w:val="-2"/>
        </w:rPr>
        <w:t>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20-30m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w:t>
      </w:r>
      <w:r>
        <w:rPr>
          <w:rFonts w:ascii="FangSong" w:hAnsi="FangSong" w:eastAsia="FangSong" w:cs="FangSong"/>
          <w:sz w:val="24"/>
          <w:szCs w:val="24"/>
          <w:spacing w:val="-71"/>
        </w:rPr>
        <w:t xml:space="preserve"> </w:t>
      </w:r>
      <w:r>
        <w:rPr>
          <w:rFonts w:ascii="FangSong" w:hAnsi="FangSong" w:eastAsia="FangSong" w:cs="FangSong"/>
          <w:sz w:val="24"/>
          <w:szCs w:val="24"/>
          <w:spacing w:val="-2"/>
        </w:rPr>
        <w:t>由于覆盖物较</w:t>
      </w:r>
      <w:r>
        <w:rPr>
          <w:rFonts w:ascii="FangSong" w:hAnsi="FangSong" w:eastAsia="FangSong" w:cs="FangSong"/>
          <w:sz w:val="24"/>
          <w:szCs w:val="24"/>
          <w:spacing w:val="-3"/>
        </w:rPr>
        <w:t>厚，宏观上掩盖了许多地表构造形迹，使地层与地层、地层与岩体间</w:t>
      </w:r>
      <w:r>
        <w:rPr>
          <w:rFonts w:ascii="FangSong" w:hAnsi="FangSong" w:eastAsia="FangSong" w:cs="FangSong"/>
          <w:sz w:val="24"/>
          <w:szCs w:val="24"/>
          <w:spacing w:val="-4"/>
        </w:rPr>
        <w:t>接触关系不</w:t>
      </w:r>
      <w:r>
        <w:rPr>
          <w:rFonts w:ascii="FangSong" w:hAnsi="FangSong" w:eastAsia="FangSong" w:cs="FangSong"/>
          <w:sz w:val="24"/>
          <w:szCs w:val="24"/>
          <w:spacing w:val="-2"/>
        </w:rPr>
        <w:t>清，且构造断裂破碎带无法识别。</w:t>
      </w:r>
    </w:p>
    <w:p>
      <w:pPr>
        <w:ind w:left="22"/>
        <w:spacing w:line="219" w:lineRule="auto"/>
        <w:outlineLvl w:val="2"/>
        <w:rPr>
          <w:rFonts w:ascii="FangSong" w:hAnsi="FangSong" w:eastAsia="FangSong" w:cs="FangSong"/>
          <w:sz w:val="24"/>
          <w:szCs w:val="24"/>
        </w:rPr>
      </w:pPr>
      <w:bookmarkStart w:name="bookmark228" w:id="307"/>
      <w:bookmarkEnd w:id="307"/>
      <w:bookmarkStart w:name="bookmark227" w:id="308"/>
      <w:bookmarkEnd w:id="308"/>
      <w:r>
        <w:rPr>
          <w:rFonts w:ascii="Times New Roman" w:hAnsi="Times New Roman" w:eastAsia="Times New Roman" w:cs="Times New Roman"/>
          <w:sz w:val="24"/>
          <w:szCs w:val="24"/>
          <w:b/>
          <w:bCs/>
          <w:spacing w:val="-2"/>
        </w:rPr>
        <w:t>5.3.4  </w:t>
      </w:r>
      <w:r>
        <w:rPr>
          <w:rFonts w:ascii="FangSong" w:hAnsi="FangSong" w:eastAsia="FangSong" w:cs="FangSong"/>
          <w:sz w:val="24"/>
          <w:szCs w:val="24"/>
          <w:b/>
          <w:bCs/>
          <w:spacing w:val="-2"/>
        </w:rPr>
        <w:t>本项目所在区域构造</w:t>
      </w:r>
    </w:p>
    <w:p>
      <w:pPr>
        <w:ind w:left="33" w:right="83" w:firstLine="477"/>
        <w:spacing w:before="184" w:line="360" w:lineRule="auto"/>
        <w:jc w:val="both"/>
        <w:rPr>
          <w:rFonts w:ascii="FangSong" w:hAnsi="FangSong" w:eastAsia="FangSong" w:cs="FangSong"/>
          <w:sz w:val="24"/>
          <w:szCs w:val="24"/>
        </w:rPr>
      </w:pPr>
      <w:r>
        <w:rPr>
          <w:rFonts w:ascii="FangSong" w:hAnsi="FangSong" w:eastAsia="FangSong" w:cs="FangSong"/>
          <w:sz w:val="24"/>
          <w:szCs w:val="24"/>
          <w:spacing w:val="-3"/>
        </w:rPr>
        <w:t>根据《内蒙古自治区苏尼特右旗桑宝力嘎额尔</w:t>
      </w:r>
      <w:r>
        <w:rPr>
          <w:rFonts w:ascii="FangSong" w:hAnsi="FangSong" w:eastAsia="FangSong" w:cs="FangSong"/>
          <w:sz w:val="24"/>
          <w:szCs w:val="24"/>
          <w:spacing w:val="-4"/>
        </w:rPr>
        <w:t>登塔拉矿区萤石矿资源储量核</w:t>
      </w:r>
      <w:r>
        <w:rPr>
          <w:rFonts w:ascii="FangSong" w:hAnsi="FangSong" w:eastAsia="FangSong" w:cs="FangSong"/>
          <w:sz w:val="24"/>
          <w:szCs w:val="24"/>
          <w:spacing w:val="-3"/>
        </w:rPr>
        <w:t>实报告》可知，由于受区域构造上的张拉应力的影响，致</w:t>
      </w:r>
      <w:r>
        <w:rPr>
          <w:rFonts w:ascii="FangSong" w:hAnsi="FangSong" w:eastAsia="FangSong" w:cs="FangSong"/>
          <w:sz w:val="24"/>
          <w:szCs w:val="24"/>
          <w:spacing w:val="-4"/>
        </w:rPr>
        <w:t>使在二叠系地层中形成</w:t>
      </w:r>
      <w:r>
        <w:rPr>
          <w:rFonts w:ascii="FangSong" w:hAnsi="FangSong" w:eastAsia="FangSong" w:cs="FangSong"/>
          <w:sz w:val="24"/>
          <w:szCs w:val="24"/>
          <w:spacing w:val="-3"/>
        </w:rPr>
        <w:t>了一系列东西向和北东向张性断裂，这些张性断层在相互</w:t>
      </w:r>
      <w:r>
        <w:rPr>
          <w:rFonts w:ascii="FangSong" w:hAnsi="FangSong" w:eastAsia="FangSong" w:cs="FangSong"/>
          <w:sz w:val="24"/>
          <w:szCs w:val="24"/>
          <w:spacing w:val="-4"/>
        </w:rPr>
        <w:t>形成的过程中，由于应</w:t>
      </w:r>
      <w:r>
        <w:rPr>
          <w:rFonts w:ascii="FangSong" w:hAnsi="FangSong" w:eastAsia="FangSong" w:cs="FangSong"/>
          <w:sz w:val="24"/>
          <w:szCs w:val="24"/>
          <w:spacing w:val="-3"/>
        </w:rPr>
        <w:t>力释放致使周边围岩进一步裂解，形成了一系列较小的北</w:t>
      </w:r>
      <w:r>
        <w:rPr>
          <w:rFonts w:ascii="FangSong" w:hAnsi="FangSong" w:eastAsia="FangSong" w:cs="FangSong"/>
          <w:sz w:val="24"/>
          <w:szCs w:val="24"/>
          <w:spacing w:val="-4"/>
        </w:rPr>
        <w:t>北东向、近南北向及北</w:t>
      </w:r>
    </w:p>
    <w:p>
      <w:pPr>
        <w:spacing w:line="360" w:lineRule="auto"/>
        <w:sectPr>
          <w:footerReference w:type="default" r:id="rId223"/>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8" w:right="83" w:hanging="26"/>
        <w:spacing w:before="78" w:line="360" w:lineRule="auto"/>
        <w:rPr>
          <w:rFonts w:ascii="FangSong" w:hAnsi="FangSong" w:eastAsia="FangSong" w:cs="FangSong"/>
          <w:sz w:val="24"/>
          <w:szCs w:val="24"/>
        </w:rPr>
      </w:pPr>
      <w:bookmarkStart w:name="bookmark571" w:id="309"/>
      <w:bookmarkEnd w:id="309"/>
      <w:r>
        <w:rPr>
          <w:rFonts w:ascii="FangSong" w:hAnsi="FangSong" w:eastAsia="FangSong" w:cs="FangSong"/>
          <w:sz w:val="24"/>
          <w:szCs w:val="24"/>
          <w:spacing w:val="-3"/>
        </w:rPr>
        <w:t>西向次一级的较小羽状构造及张性裂隙带，充填了与成矿有</w:t>
      </w:r>
      <w:r>
        <w:rPr>
          <w:rFonts w:ascii="FangSong" w:hAnsi="FangSong" w:eastAsia="FangSong" w:cs="FangSong"/>
          <w:sz w:val="24"/>
          <w:szCs w:val="24"/>
          <w:spacing w:val="-4"/>
        </w:rPr>
        <w:t>关的热液，形成了区</w:t>
      </w:r>
      <w:r>
        <w:rPr>
          <w:rFonts w:ascii="FangSong" w:hAnsi="FangSong" w:eastAsia="FangSong" w:cs="FangSong"/>
          <w:sz w:val="24"/>
          <w:szCs w:val="24"/>
          <w:spacing w:val="-7"/>
        </w:rPr>
        <w:t>内的萤石矿床。</w:t>
      </w:r>
    </w:p>
    <w:p>
      <w:pPr>
        <w:ind w:left="29" w:right="17" w:firstLine="482"/>
        <w:spacing w:before="5" w:line="359" w:lineRule="auto"/>
        <w:jc w:val="both"/>
        <w:rPr>
          <w:rFonts w:ascii="FangSong" w:hAnsi="FangSong" w:eastAsia="FangSong" w:cs="FangSong"/>
          <w:sz w:val="24"/>
          <w:szCs w:val="24"/>
        </w:rPr>
      </w:pPr>
      <w:r>
        <w:rPr>
          <w:rFonts w:ascii="FangSong" w:hAnsi="FangSong" w:eastAsia="FangSong" w:cs="FangSong"/>
          <w:sz w:val="24"/>
          <w:szCs w:val="24"/>
          <w:spacing w:val="-4"/>
        </w:rPr>
        <w:t>之后随着这些东西向和北东向张性主构造复活等继承性活动，造成断裂两盘</w:t>
      </w:r>
      <w:r>
        <w:rPr>
          <w:rFonts w:ascii="FangSong" w:hAnsi="FangSong" w:eastAsia="FangSong" w:cs="FangSong"/>
          <w:sz w:val="24"/>
          <w:szCs w:val="24"/>
          <w:spacing w:val="-3"/>
        </w:rPr>
        <w:t>错动产生了较小的位移，破坏了前期北北走向或近南向张裂中充填</w:t>
      </w:r>
      <w:r>
        <w:rPr>
          <w:rFonts w:ascii="FangSong" w:hAnsi="FangSong" w:eastAsia="FangSong" w:cs="FangSong"/>
          <w:sz w:val="24"/>
          <w:szCs w:val="24"/>
          <w:spacing w:val="-4"/>
        </w:rPr>
        <w:t>的石英脉和萤</w:t>
      </w:r>
      <w:r>
        <w:rPr>
          <w:rFonts w:ascii="FangSong" w:hAnsi="FangSong" w:eastAsia="FangSong" w:cs="FangSong"/>
          <w:sz w:val="24"/>
          <w:szCs w:val="24"/>
          <w:spacing w:val="-8"/>
        </w:rPr>
        <w:t>石矿体。其结构面较弱的破碎地段经长期风化剥蚀，形成了洼地沟谷等负地形等，</w:t>
      </w:r>
      <w:r>
        <w:rPr>
          <w:rFonts w:ascii="FangSong" w:hAnsi="FangSong" w:eastAsia="FangSong" w:cs="FangSong"/>
          <w:sz w:val="24"/>
          <w:szCs w:val="24"/>
          <w:spacing w:val="-3"/>
        </w:rPr>
        <w:t>呈负地形状态分布在本项目所在区域中，随后被第四系覆盖，形成</w:t>
      </w:r>
      <w:r>
        <w:rPr>
          <w:rFonts w:ascii="FangSong" w:hAnsi="FangSong" w:eastAsia="FangSong" w:cs="FangSong"/>
          <w:sz w:val="24"/>
          <w:szCs w:val="24"/>
          <w:spacing w:val="-4"/>
        </w:rPr>
        <w:t>了现今本项目</w:t>
      </w:r>
      <w:r>
        <w:rPr>
          <w:rFonts w:ascii="FangSong" w:hAnsi="FangSong" w:eastAsia="FangSong" w:cs="FangSong"/>
          <w:sz w:val="24"/>
          <w:szCs w:val="24"/>
          <w:spacing w:val="-2"/>
        </w:rPr>
        <w:t>所在区域地形地貌宏观特征。</w:t>
      </w:r>
    </w:p>
    <w:p>
      <w:pPr>
        <w:ind w:left="17" w:right="44" w:firstLine="492"/>
        <w:spacing w:line="360" w:lineRule="auto"/>
        <w:rPr>
          <w:rFonts w:ascii="FangSong" w:hAnsi="FangSong" w:eastAsia="FangSong" w:cs="FangSong"/>
          <w:sz w:val="24"/>
          <w:szCs w:val="24"/>
        </w:rPr>
      </w:pPr>
      <w:r>
        <w:rPr>
          <w:rFonts w:ascii="FangSong" w:hAnsi="FangSong" w:eastAsia="FangSong" w:cs="FangSong"/>
          <w:sz w:val="24"/>
          <w:szCs w:val="24"/>
        </w:rPr>
        <w:t>本项目所在区域的东部石英脉东侧分布有宽约分别为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rPr>
        <w:t>4-6m</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rPr>
        <w:t>和</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6-8m</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rPr>
        <w:t>宽的两</w:t>
      </w:r>
      <w:r>
        <w:rPr>
          <w:rFonts w:ascii="FangSong" w:hAnsi="FangSong" w:eastAsia="FangSong" w:cs="FangSong"/>
          <w:sz w:val="24"/>
          <w:szCs w:val="24"/>
          <w:spacing w:val="-1"/>
        </w:rPr>
        <w:t>条构造破碎带，编号分别为：</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34"/>
          <w:w w:val="101"/>
        </w:rPr>
        <w:t xml:space="preserve"> </w:t>
      </w:r>
      <w:r>
        <w:rPr>
          <w:rFonts w:ascii="FangSong" w:hAnsi="FangSong" w:eastAsia="FangSong" w:cs="FangSong"/>
          <w:sz w:val="24"/>
          <w:szCs w:val="24"/>
          <w:spacing w:val="-1"/>
        </w:rPr>
        <w:t>号构造破碎带、</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1"/>
        </w:rPr>
        <w:t>号构造破碎带，其内充填有萤</w:t>
      </w:r>
      <w:r>
        <w:rPr>
          <w:rFonts w:ascii="FangSong" w:hAnsi="FangSong" w:eastAsia="FangSong" w:cs="FangSong"/>
          <w:sz w:val="24"/>
          <w:szCs w:val="24"/>
          <w:spacing w:val="-3"/>
        </w:rPr>
        <w:t>石矿脉和萤石矿化石英脉，控制着矿体的产出，是本项目所在区域的主要控矿构</w:t>
      </w:r>
      <w:r>
        <w:rPr>
          <w:rFonts w:ascii="FangSong" w:hAnsi="FangSong" w:eastAsia="FangSong" w:cs="FangSong"/>
          <w:sz w:val="24"/>
          <w:szCs w:val="24"/>
          <w:spacing w:val="-2"/>
        </w:rPr>
        <w:t>造。沿断续分布的石英脉走向上，有被近东西向和北东向第四系覆盖物截断处，</w:t>
      </w:r>
      <w:r>
        <w:rPr>
          <w:rFonts w:ascii="FangSong" w:hAnsi="FangSong" w:eastAsia="FangSong" w:cs="FangSong"/>
          <w:sz w:val="24"/>
          <w:szCs w:val="24"/>
          <w:spacing w:val="-1"/>
        </w:rPr>
        <w:t>分布有</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条对矿体和石英脉破坏的张性断层，编号由南向北，分别为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F4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F5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F6</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，对矿体破坏作用较小。其特征如下：</w:t>
      </w:r>
    </w:p>
    <w:p>
      <w:pPr>
        <w:ind w:left="22"/>
        <w:spacing w:before="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5.3.4.1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成矿前构造</w:t>
      </w:r>
    </w:p>
    <w:p>
      <w:pPr>
        <w:ind w:left="514"/>
        <w:spacing w:before="180" w:line="220"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号破碎带</w:t>
      </w:r>
    </w:p>
    <w:p>
      <w:pPr>
        <w:ind w:left="30"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地表由</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TC10-TC16</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条探槽控制，走向近南北，产状较陡或近直立。倾向</w:t>
      </w:r>
      <w:r>
        <w:rPr>
          <w:rFonts w:ascii="FangSong" w:hAnsi="FangSong" w:eastAsia="FangSong" w:cs="FangSong"/>
          <w:sz w:val="24"/>
          <w:szCs w:val="24"/>
          <w:spacing w:val="-4"/>
        </w:rPr>
        <w:t>西，倾角约在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4"/>
        </w:rPr>
        <w:t>70-85°</w:t>
      </w:r>
      <w:r>
        <w:rPr>
          <w:rFonts w:ascii="FangSong" w:hAnsi="FangSong" w:eastAsia="FangSong" w:cs="FangSong"/>
          <w:sz w:val="24"/>
          <w:szCs w:val="24"/>
          <w:spacing w:val="-4"/>
        </w:rPr>
        <w:t>左右。实际长度大于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500m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，宽约</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6-8m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，向下延深＞</w:t>
      </w:r>
      <w:r>
        <w:rPr>
          <w:rFonts w:ascii="Times New Roman" w:hAnsi="Times New Roman" w:eastAsia="Times New Roman" w:cs="Times New Roman"/>
          <w:sz w:val="24"/>
          <w:szCs w:val="24"/>
          <w:spacing w:val="-4"/>
        </w:rPr>
        <w:t>200m</w:t>
      </w:r>
      <w:r>
        <w:rPr>
          <w:rFonts w:ascii="FangSong" w:hAnsi="FangSong" w:eastAsia="FangSong" w:cs="FangSong"/>
          <w:sz w:val="24"/>
          <w:szCs w:val="24"/>
          <w:spacing w:val="-4"/>
        </w:rPr>
        <w:t>。</w:t>
      </w:r>
      <w:r>
        <w:rPr>
          <w:rFonts w:ascii="FangSong" w:hAnsi="FangSong" w:eastAsia="FangSong" w:cs="FangSong"/>
          <w:sz w:val="24"/>
          <w:szCs w:val="24"/>
          <w:spacing w:val="-3"/>
        </w:rPr>
        <w:t>充填有萤石矿化硅质脉，近地表萤石矿或萤石矿化硅质脉呈角砾</w:t>
      </w:r>
      <w:r>
        <w:rPr>
          <w:rFonts w:ascii="FangSong" w:hAnsi="FangSong" w:eastAsia="FangSong" w:cs="FangSong"/>
          <w:sz w:val="24"/>
          <w:szCs w:val="24"/>
          <w:spacing w:val="-4"/>
        </w:rPr>
        <w:t>状，并被灰白色</w:t>
      </w:r>
      <w:r>
        <w:rPr>
          <w:rFonts w:ascii="FangSong" w:hAnsi="FangSong" w:eastAsia="FangSong" w:cs="FangSong"/>
          <w:sz w:val="24"/>
          <w:szCs w:val="24"/>
          <w:spacing w:val="-7"/>
        </w:rPr>
        <w:t>的高岭土和红色泥质物胶结，而深部钻孔揭</w:t>
      </w:r>
      <w:r>
        <w:rPr>
          <w:rFonts w:ascii="FangSong" w:hAnsi="FangSong" w:eastAsia="FangSong" w:cs="FangSong"/>
          <w:sz w:val="24"/>
          <w:szCs w:val="24"/>
          <w:spacing w:val="-8"/>
        </w:rPr>
        <w:t>露情况，顶底板围岩处，岩石较破碎，</w:t>
      </w:r>
      <w:r>
        <w:rPr>
          <w:rFonts w:ascii="FangSong" w:hAnsi="FangSong" w:eastAsia="FangSong" w:cs="FangSong"/>
          <w:sz w:val="24"/>
          <w:szCs w:val="24"/>
          <w:spacing w:val="-2"/>
        </w:rPr>
        <w:t>其间主要充填角砾状萤石脉和较硬的萤石矿化硅质脉，控制着</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2"/>
        </w:rPr>
        <w:t>号矿体的产出。</w:t>
      </w:r>
      <w:r>
        <w:rPr>
          <w:rFonts w:ascii="FangSong" w:hAnsi="FangSong" w:eastAsia="FangSong" w:cs="FangSong"/>
          <w:sz w:val="24"/>
          <w:szCs w:val="24"/>
          <w:spacing w:val="-1"/>
        </w:rPr>
        <w:t>推测其性质为张性裂隙破碎带，向下延伸达＞</w:t>
      </w:r>
      <w:r>
        <w:rPr>
          <w:rFonts w:ascii="Times New Roman" w:hAnsi="Times New Roman" w:eastAsia="Times New Roman" w:cs="Times New Roman"/>
          <w:sz w:val="24"/>
          <w:szCs w:val="24"/>
          <w:spacing w:val="-1"/>
        </w:rPr>
        <w:t>200m</w:t>
      </w:r>
      <w:r>
        <w:rPr>
          <w:rFonts w:ascii="FangSong" w:hAnsi="FangSong" w:eastAsia="FangSong" w:cs="FangSong"/>
          <w:sz w:val="24"/>
          <w:szCs w:val="24"/>
          <w:spacing w:val="-1"/>
        </w:rPr>
        <w:t>。</w:t>
      </w:r>
    </w:p>
    <w:p>
      <w:pPr>
        <w:ind w:left="514"/>
        <w:spacing w:line="220"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号破碎带</w:t>
      </w:r>
    </w:p>
    <w:p>
      <w:pPr>
        <w:ind w:left="29" w:right="24" w:firstLine="480"/>
        <w:spacing w:before="182" w:line="360" w:lineRule="auto"/>
        <w:rPr>
          <w:rFonts w:ascii="FangSong" w:hAnsi="FangSong" w:eastAsia="FangSong" w:cs="FangSong"/>
          <w:sz w:val="24"/>
          <w:szCs w:val="24"/>
        </w:rPr>
      </w:pPr>
      <w:r>
        <w:rPr>
          <w:rFonts w:ascii="FangSong" w:hAnsi="FangSong" w:eastAsia="FangSong" w:cs="FangSong"/>
          <w:sz w:val="24"/>
          <w:szCs w:val="24"/>
          <w:spacing w:val="-5"/>
        </w:rPr>
        <w:t>地表由</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FTC16-1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FTC-17</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FTC18-1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FTC17</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FTC17-5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6"/>
        </w:rPr>
        <w:t>条探槽控制，</w:t>
      </w:r>
      <w:r>
        <w:rPr>
          <w:rFonts w:ascii="FangSong" w:hAnsi="FangSong" w:eastAsia="FangSong" w:cs="FangSong"/>
          <w:sz w:val="24"/>
          <w:szCs w:val="24"/>
          <w:spacing w:val="-5"/>
        </w:rPr>
        <w:t>走向北东向，倾向北西，倾角</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w:t>
      </w:r>
      <w:r>
        <w:rPr>
          <w:rFonts w:ascii="FangSong" w:hAnsi="FangSong" w:eastAsia="FangSong" w:cs="FangSong"/>
          <w:sz w:val="24"/>
          <w:szCs w:val="24"/>
          <w:spacing w:val="71"/>
        </w:rPr>
        <w:t xml:space="preserve"> </w:t>
      </w:r>
      <w:r>
        <w:rPr>
          <w:rFonts w:ascii="FangSong" w:hAnsi="FangSong" w:eastAsia="FangSong" w:cs="FangSong"/>
          <w:sz w:val="24"/>
          <w:szCs w:val="24"/>
          <w:spacing w:val="-5"/>
        </w:rPr>
        <w:t>实际长度大于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350m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，宽约</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6"/>
        </w:rPr>
        <w:t>6m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，地表探槽</w:t>
      </w:r>
      <w:r>
        <w:rPr>
          <w:rFonts w:ascii="FangSong" w:hAnsi="FangSong" w:eastAsia="FangSong" w:cs="FangSong"/>
          <w:sz w:val="24"/>
          <w:szCs w:val="24"/>
          <w:spacing w:val="-3"/>
        </w:rPr>
        <w:t>和深部钻孔均见有萤石矿脉或萤石矿化硅质脉填充其间，破碎带两</w:t>
      </w:r>
      <w:r>
        <w:rPr>
          <w:rFonts w:ascii="FangSong" w:hAnsi="FangSong" w:eastAsia="FangSong" w:cs="FangSong"/>
          <w:sz w:val="24"/>
          <w:szCs w:val="24"/>
          <w:spacing w:val="-4"/>
        </w:rPr>
        <w:t>侧围岩片理化</w:t>
      </w:r>
      <w:r>
        <w:rPr>
          <w:rFonts w:ascii="FangSong" w:hAnsi="FangSong" w:eastAsia="FangSong" w:cs="FangSong"/>
          <w:sz w:val="24"/>
          <w:szCs w:val="24"/>
          <w:spacing w:val="-3"/>
        </w:rPr>
        <w:t>和角砾发育，岩石破碎。深部见矿顶底板围岩也具这一现象，推测</w:t>
      </w:r>
      <w:r>
        <w:rPr>
          <w:rFonts w:ascii="FangSong" w:hAnsi="FangSong" w:eastAsia="FangSong" w:cs="FangSong"/>
          <w:sz w:val="24"/>
          <w:szCs w:val="24"/>
          <w:spacing w:val="-4"/>
        </w:rPr>
        <w:t>为张性构造裂</w:t>
      </w:r>
      <w:r>
        <w:rPr>
          <w:rFonts w:ascii="FangSong" w:hAnsi="FangSong" w:eastAsia="FangSong" w:cs="FangSong"/>
          <w:sz w:val="24"/>
          <w:szCs w:val="24"/>
          <w:spacing w:val="-3"/>
        </w:rPr>
        <w:t>隙破碎带。控制着</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号矿体的产出。</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5.3.4.2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成矿后构造</w:t>
      </w:r>
    </w:p>
    <w:p>
      <w:pPr>
        <w:ind w:left="514"/>
        <w:spacing w:before="178" w:line="221"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F6</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7"/>
        </w:rPr>
        <w:t>断层</w:t>
      </w:r>
    </w:p>
    <w:p>
      <w:pPr>
        <w:spacing w:line="221" w:lineRule="auto"/>
        <w:sectPr>
          <w:footerReference w:type="default" r:id="rId224"/>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5" w:right="65" w:firstLine="485"/>
        <w:spacing w:before="78" w:line="360" w:lineRule="auto"/>
        <w:jc w:val="both"/>
        <w:rPr>
          <w:rFonts w:ascii="FangSong" w:hAnsi="FangSong" w:eastAsia="FangSong" w:cs="FangSong"/>
          <w:sz w:val="24"/>
          <w:szCs w:val="24"/>
        </w:rPr>
      </w:pPr>
      <w:bookmarkStart w:name="bookmark572" w:id="310"/>
      <w:bookmarkEnd w:id="310"/>
      <w:r>
        <w:rPr>
          <w:rFonts w:ascii="FangSong" w:hAnsi="FangSong" w:eastAsia="FangSong" w:cs="FangSong"/>
          <w:sz w:val="24"/>
          <w:szCs w:val="24"/>
          <w:spacing w:val="-5"/>
        </w:rPr>
        <w:t>位于本项目所在区域东部二矿段内的</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54</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5"/>
        </w:rPr>
        <w:t>与</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56</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5"/>
        </w:rPr>
        <w:t>勘探线之间，断裂</w:t>
      </w:r>
      <w:r>
        <w:rPr>
          <w:rFonts w:ascii="FangSong" w:hAnsi="FangSong" w:eastAsia="FangSong" w:cs="FangSong"/>
          <w:sz w:val="24"/>
          <w:szCs w:val="24"/>
          <w:spacing w:val="-6"/>
        </w:rPr>
        <w:t>经过处呈负</w:t>
      </w:r>
      <w:r>
        <w:rPr>
          <w:rFonts w:ascii="FangSong" w:hAnsi="FangSong" w:eastAsia="FangSong" w:cs="FangSong"/>
          <w:sz w:val="24"/>
          <w:szCs w:val="24"/>
          <w:spacing w:val="2"/>
        </w:rPr>
        <w:t>地形，被第四系风成砂土覆盖，走向近东西向，略向北倾，产状近直立。</w:t>
      </w:r>
      <w:r>
        <w:rPr>
          <w:rFonts w:ascii="FangSong" w:hAnsi="FangSong" w:eastAsia="FangSong" w:cs="FangSong"/>
          <w:sz w:val="24"/>
          <w:szCs w:val="24"/>
          <w:spacing w:val="-57"/>
        </w:rPr>
        <w:t xml:space="preserve"> </w:t>
      </w:r>
      <w:r>
        <w:rPr>
          <w:rFonts w:ascii="FangSong" w:hAnsi="FangSong" w:eastAsia="FangSong" w:cs="FangSong"/>
          <w:sz w:val="24"/>
          <w:szCs w:val="24"/>
          <w:spacing w:val="2"/>
        </w:rPr>
        <w:t>由第</w:t>
      </w:r>
      <w:r>
        <w:rPr>
          <w:rFonts w:ascii="Times New Roman" w:hAnsi="Times New Roman" w:eastAsia="Times New Roman" w:cs="Times New Roman"/>
          <w:sz w:val="24"/>
          <w:szCs w:val="24"/>
          <w:spacing w:val="-2"/>
        </w:rPr>
        <w:t>54</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2"/>
        </w:rPr>
        <w:t>号勘探线的</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ZK5405</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2"/>
        </w:rPr>
        <w:t>号钻孔控制，断层形成的破碎带，宽约</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5-6m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。破碎带中</w:t>
      </w:r>
      <w:r>
        <w:rPr>
          <w:rFonts w:ascii="FangSong" w:hAnsi="FangSong" w:eastAsia="FangSong" w:cs="FangSong"/>
          <w:sz w:val="24"/>
          <w:szCs w:val="24"/>
          <w:spacing w:val="-3"/>
        </w:rPr>
        <w:t>的岩石呈角砾状，大小不等，并被灰白色高岭土和红色泥质物胶结，是后期</w:t>
      </w:r>
      <w:r>
        <w:rPr>
          <w:rFonts w:ascii="FangSong" w:hAnsi="FangSong" w:eastAsia="FangSong" w:cs="FangSong"/>
          <w:sz w:val="24"/>
          <w:szCs w:val="24"/>
          <w:spacing w:val="-4"/>
        </w:rPr>
        <w:t>形成</w:t>
      </w:r>
      <w:r>
        <w:rPr>
          <w:rFonts w:ascii="FangSong" w:hAnsi="FangSong" w:eastAsia="FangSong" w:cs="FangSong"/>
          <w:sz w:val="24"/>
          <w:szCs w:val="24"/>
          <w:spacing w:val="-3"/>
        </w:rPr>
        <w:t>的对矿体起破坏的构造，其性质为张性平移断层，平移距离较短，因地表被</w:t>
      </w:r>
      <w:r>
        <w:rPr>
          <w:rFonts w:ascii="FangSong" w:hAnsi="FangSong" w:eastAsia="FangSong" w:cs="FangSong"/>
          <w:sz w:val="24"/>
          <w:szCs w:val="24"/>
          <w:spacing w:val="-4"/>
        </w:rPr>
        <w:t>第四</w:t>
      </w:r>
      <w:r>
        <w:rPr>
          <w:rFonts w:ascii="FangSong" w:hAnsi="FangSong" w:eastAsia="FangSong" w:cs="FangSong"/>
          <w:sz w:val="24"/>
          <w:szCs w:val="24"/>
          <w:spacing w:val="-1"/>
        </w:rPr>
        <w:t>系覆盖物遮掩，走向长度不清。</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2</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F5</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7"/>
        </w:rPr>
        <w:t>断层</w:t>
      </w:r>
    </w:p>
    <w:p>
      <w:pPr>
        <w:ind w:left="29" w:right="65" w:firstLine="480"/>
        <w:spacing w:before="180" w:line="360" w:lineRule="auto"/>
        <w:rPr>
          <w:rFonts w:ascii="FangSong" w:hAnsi="FangSong" w:eastAsia="FangSong" w:cs="FangSong"/>
          <w:sz w:val="24"/>
          <w:szCs w:val="24"/>
        </w:rPr>
      </w:pPr>
      <w:r>
        <w:rPr>
          <w:rFonts w:ascii="FangSong" w:hAnsi="FangSong" w:eastAsia="FangSong" w:cs="FangSong"/>
          <w:sz w:val="24"/>
          <w:szCs w:val="24"/>
          <w:spacing w:val="4"/>
        </w:rPr>
        <w:t>位于本项目所在区域二矿段外围南部与本项目所在区域东南的三矿段北部</w:t>
      </w:r>
      <w:r>
        <w:rPr>
          <w:rFonts w:ascii="FangSong" w:hAnsi="FangSong" w:eastAsia="FangSong" w:cs="FangSong"/>
          <w:sz w:val="24"/>
          <w:szCs w:val="24"/>
          <w:spacing w:val="-3"/>
        </w:rPr>
        <w:t>边缘之间，断层出露处为负地形，被第四系风成砂土覆盖，路线地</w:t>
      </w:r>
      <w:r>
        <w:rPr>
          <w:rFonts w:ascii="FangSong" w:hAnsi="FangSong" w:eastAsia="FangSong" w:cs="FangSong"/>
          <w:sz w:val="24"/>
          <w:szCs w:val="24"/>
          <w:spacing w:val="-4"/>
        </w:rPr>
        <w:t>质调查发现两</w:t>
      </w:r>
      <w:r>
        <w:rPr>
          <w:rFonts w:ascii="FangSong" w:hAnsi="FangSong" w:eastAsia="FangSong" w:cs="FangSong"/>
          <w:sz w:val="24"/>
          <w:szCs w:val="24"/>
          <w:spacing w:val="-3"/>
        </w:rPr>
        <w:t>侧的硅质脉略显位移，边缘围岩中发育有一组近东西向的片理，推</w:t>
      </w:r>
      <w:r>
        <w:rPr>
          <w:rFonts w:ascii="FangSong" w:hAnsi="FangSong" w:eastAsia="FangSong" w:cs="FangSong"/>
          <w:sz w:val="24"/>
          <w:szCs w:val="24"/>
          <w:spacing w:val="-4"/>
        </w:rPr>
        <w:t>测其性质为张</w:t>
      </w:r>
      <w:r>
        <w:rPr>
          <w:rFonts w:ascii="FangSong" w:hAnsi="FangSong" w:eastAsia="FangSong" w:cs="FangSong"/>
          <w:sz w:val="24"/>
          <w:szCs w:val="24"/>
          <w:spacing w:val="-1"/>
        </w:rPr>
        <w:t>性平移断层，是成矿后的破坏性构造。</w:t>
      </w:r>
    </w:p>
    <w:p>
      <w:pPr>
        <w:ind w:left="514"/>
        <w:spacing w:line="221"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3</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F4</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7"/>
        </w:rPr>
        <w:t>断层</w:t>
      </w:r>
    </w:p>
    <w:p>
      <w:pPr>
        <w:ind w:left="30" w:firstLine="481"/>
        <w:spacing w:before="180" w:line="360" w:lineRule="auto"/>
        <w:rPr>
          <w:rFonts w:ascii="FangSong" w:hAnsi="FangSong" w:eastAsia="FangSong" w:cs="FangSong"/>
          <w:sz w:val="24"/>
          <w:szCs w:val="24"/>
        </w:rPr>
      </w:pPr>
      <w:r>
        <w:rPr>
          <w:rFonts w:ascii="FangSong" w:hAnsi="FangSong" w:eastAsia="FangSong" w:cs="FangSong"/>
          <w:sz w:val="24"/>
          <w:szCs w:val="24"/>
          <w:spacing w:val="-5"/>
        </w:rPr>
        <w:t>具体位置处于本项目所在区域东南部二矿段内的</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5"/>
        </w:rPr>
        <w:t>号勘探线北部附近，断层</w:t>
      </w:r>
      <w:r>
        <w:rPr>
          <w:rFonts w:ascii="FangSong" w:hAnsi="FangSong" w:eastAsia="FangSong" w:cs="FangSong"/>
          <w:sz w:val="24"/>
          <w:szCs w:val="24"/>
          <w:spacing w:val="-1"/>
        </w:rPr>
        <w:t>通过处为负地形，被第四系覆盖物掩盖，</w:t>
      </w:r>
      <w:r>
        <w:rPr>
          <w:rFonts w:ascii="FangSong" w:hAnsi="FangSong" w:eastAsia="FangSong" w:cs="FangSong"/>
          <w:sz w:val="24"/>
          <w:szCs w:val="24"/>
          <w:spacing w:val="-61"/>
        </w:rPr>
        <w:t xml:space="preserve"> </w:t>
      </w:r>
      <w:r>
        <w:rPr>
          <w:rFonts w:ascii="FangSong" w:hAnsi="FangSong" w:eastAsia="FangSong" w:cs="FangSong"/>
          <w:sz w:val="24"/>
          <w:szCs w:val="24"/>
          <w:spacing w:val="-1"/>
        </w:rPr>
        <w:t>由钻孔</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1"/>
        </w:rPr>
        <w:t>ZK101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控制，断层破碎带中分</w:t>
      </w:r>
      <w:r>
        <w:rPr>
          <w:rFonts w:ascii="FangSong" w:hAnsi="FangSong" w:eastAsia="FangSong" w:cs="FangSong"/>
          <w:sz w:val="24"/>
          <w:szCs w:val="24"/>
          <w:spacing w:val="-5"/>
        </w:rPr>
        <w:t>布有大小不等的岩石角砾，被灰白色高岭土和红色泥质物胶结，宽度约为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6"/>
        </w:rPr>
        <w:t>5m</w:t>
      </w:r>
      <w:r>
        <w:rPr>
          <w:rFonts w:ascii="FangSong" w:hAnsi="FangSong" w:eastAsia="FangSong" w:cs="FangSong"/>
          <w:sz w:val="24"/>
          <w:szCs w:val="24"/>
          <w:spacing w:val="-6"/>
        </w:rPr>
        <w:t>，</w:t>
      </w:r>
      <w:r>
        <w:rPr>
          <w:rFonts w:ascii="FangSong" w:hAnsi="FangSong" w:eastAsia="FangSong" w:cs="FangSong"/>
          <w:sz w:val="24"/>
          <w:szCs w:val="24"/>
          <w:spacing w:val="-3"/>
        </w:rPr>
        <w:t>略向南倾。产状近直立，推测其性质应为张性断层，是成矿后期</w:t>
      </w:r>
      <w:r>
        <w:rPr>
          <w:rFonts w:ascii="FangSong" w:hAnsi="FangSong" w:eastAsia="FangSong" w:cs="FangSong"/>
          <w:sz w:val="24"/>
          <w:szCs w:val="24"/>
          <w:spacing w:val="-4"/>
        </w:rPr>
        <w:t>形成的，对矿体</w:t>
      </w:r>
      <w:r>
        <w:rPr>
          <w:rFonts w:ascii="FangSong" w:hAnsi="FangSong" w:eastAsia="FangSong" w:cs="FangSong"/>
          <w:sz w:val="24"/>
          <w:szCs w:val="24"/>
          <w:spacing w:val="-2"/>
        </w:rPr>
        <w:t>起破坏性作用较小。</w:t>
      </w:r>
    </w:p>
    <w:p>
      <w:pPr>
        <w:ind w:left="514"/>
        <w:spacing w:before="1" w:line="223"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4</w:t>
      </w:r>
      <w:r>
        <w:rPr>
          <w:rFonts w:ascii="FangSong" w:hAnsi="FangSong" w:eastAsia="FangSong" w:cs="FangSong"/>
          <w:sz w:val="24"/>
          <w:szCs w:val="24"/>
          <w:spacing w:val="-5"/>
        </w:rPr>
        <w:t>）小结</w:t>
      </w:r>
    </w:p>
    <w:p>
      <w:pPr>
        <w:ind w:left="31" w:right="65" w:firstLine="480"/>
        <w:spacing w:before="177" w:line="360" w:lineRule="auto"/>
        <w:rPr>
          <w:rFonts w:ascii="FangSong" w:hAnsi="FangSong" w:eastAsia="FangSong" w:cs="FangSong"/>
          <w:sz w:val="24"/>
          <w:szCs w:val="24"/>
        </w:rPr>
      </w:pPr>
      <w:r>
        <w:rPr>
          <w:rFonts w:ascii="FangSong" w:hAnsi="FangSong" w:eastAsia="FangSong" w:cs="FangSong"/>
          <w:sz w:val="24"/>
          <w:szCs w:val="24"/>
          <w:spacing w:val="-3"/>
        </w:rPr>
        <w:t>上述三条断层，均对石英脉和矿体有破坏作</w:t>
      </w:r>
      <w:r>
        <w:rPr>
          <w:rFonts w:ascii="FangSong" w:hAnsi="FangSong" w:eastAsia="FangSong" w:cs="FangSong"/>
          <w:sz w:val="24"/>
          <w:szCs w:val="24"/>
          <w:spacing w:val="-4"/>
        </w:rPr>
        <w:t>用、但位移较小，未影响矿体的</w:t>
      </w:r>
      <w:r>
        <w:rPr>
          <w:rFonts w:ascii="FangSong" w:hAnsi="FangSong" w:eastAsia="FangSong" w:cs="FangSong"/>
          <w:sz w:val="24"/>
          <w:szCs w:val="24"/>
          <w:spacing w:val="-3"/>
        </w:rPr>
        <w:t>对比与连接。</w:t>
      </w:r>
    </w:p>
    <w:p>
      <w:pPr>
        <w:ind w:left="22"/>
        <w:spacing w:line="219" w:lineRule="auto"/>
        <w:outlineLvl w:val="2"/>
        <w:rPr>
          <w:rFonts w:ascii="FangSong" w:hAnsi="FangSong" w:eastAsia="FangSong" w:cs="FangSong"/>
          <w:sz w:val="24"/>
          <w:szCs w:val="24"/>
        </w:rPr>
      </w:pPr>
      <w:bookmarkStart w:name="bookmark230" w:id="311"/>
      <w:bookmarkEnd w:id="311"/>
      <w:bookmarkStart w:name="bookmark229" w:id="312"/>
      <w:bookmarkEnd w:id="312"/>
      <w:r>
        <w:rPr>
          <w:rFonts w:ascii="Times New Roman" w:hAnsi="Times New Roman" w:eastAsia="Times New Roman" w:cs="Times New Roman"/>
          <w:sz w:val="24"/>
          <w:szCs w:val="24"/>
          <w:b/>
          <w:bCs/>
          <w:spacing w:val="-2"/>
        </w:rPr>
        <w:t>5.3.5  </w:t>
      </w:r>
      <w:r>
        <w:rPr>
          <w:rFonts w:ascii="FangSong" w:hAnsi="FangSong" w:eastAsia="FangSong" w:cs="FangSong"/>
          <w:sz w:val="24"/>
          <w:szCs w:val="24"/>
          <w:b/>
          <w:bCs/>
          <w:spacing w:val="-2"/>
        </w:rPr>
        <w:t>本项目所在区域岩浆岩</w:t>
      </w:r>
    </w:p>
    <w:p>
      <w:pPr>
        <w:ind w:left="29" w:right="65" w:firstLine="480"/>
        <w:spacing w:before="186" w:line="360" w:lineRule="auto"/>
        <w:jc w:val="both"/>
        <w:rPr>
          <w:rFonts w:ascii="FangSong" w:hAnsi="FangSong" w:eastAsia="FangSong" w:cs="FangSong"/>
          <w:sz w:val="24"/>
          <w:szCs w:val="24"/>
        </w:rPr>
      </w:pPr>
      <w:r>
        <w:rPr>
          <w:rFonts w:ascii="FangSong" w:hAnsi="FangSong" w:eastAsia="FangSong" w:cs="FangSong"/>
          <w:sz w:val="24"/>
          <w:szCs w:val="24"/>
          <w:spacing w:val="-3"/>
        </w:rPr>
        <w:t>根据《内蒙古自治区苏尼特右旗桑宝力嘎额尔</w:t>
      </w:r>
      <w:r>
        <w:rPr>
          <w:rFonts w:ascii="FangSong" w:hAnsi="FangSong" w:eastAsia="FangSong" w:cs="FangSong"/>
          <w:sz w:val="24"/>
          <w:szCs w:val="24"/>
          <w:spacing w:val="-4"/>
        </w:rPr>
        <w:t>登塔拉矿区萤石矿资源储量核</w:t>
      </w:r>
      <w:r>
        <w:rPr>
          <w:rFonts w:ascii="FangSong" w:hAnsi="FangSong" w:eastAsia="FangSong" w:cs="FangSong"/>
          <w:sz w:val="24"/>
          <w:szCs w:val="24"/>
          <w:spacing w:val="-3"/>
        </w:rPr>
        <w:t>实报告》可知，区内的岩浆侵入活动形成的侵入体有二叠纪晚期似</w:t>
      </w:r>
      <w:r>
        <w:rPr>
          <w:rFonts w:ascii="FangSong" w:hAnsi="FangSong" w:eastAsia="FangSong" w:cs="FangSong"/>
          <w:sz w:val="24"/>
          <w:szCs w:val="24"/>
          <w:spacing w:val="-4"/>
        </w:rPr>
        <w:t>斑状黑云母花</w:t>
      </w:r>
      <w:r>
        <w:rPr>
          <w:rFonts w:ascii="FangSong" w:hAnsi="FangSong" w:eastAsia="FangSong" w:cs="FangSong"/>
          <w:sz w:val="24"/>
          <w:szCs w:val="24"/>
          <w:spacing w:val="-3"/>
        </w:rPr>
        <w:t>岗岩，火山岩为石英斑岩，分布本项目所在区域东北端和东南端位</w:t>
      </w:r>
      <w:r>
        <w:rPr>
          <w:rFonts w:ascii="FangSong" w:hAnsi="FangSong" w:eastAsia="FangSong" w:cs="FangSong"/>
          <w:sz w:val="24"/>
          <w:szCs w:val="24"/>
          <w:spacing w:val="-4"/>
        </w:rPr>
        <w:t>置处，脉岩出</w:t>
      </w:r>
      <w:r>
        <w:rPr>
          <w:rFonts w:ascii="FangSong" w:hAnsi="FangSong" w:eastAsia="FangSong" w:cs="FangSong"/>
          <w:sz w:val="24"/>
          <w:szCs w:val="24"/>
          <w:spacing w:val="-4"/>
        </w:rPr>
        <w:t>露于本项目所在区域中部矿权证登记的</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6</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7</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19</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号点所圈成小面积范围内及</w:t>
      </w:r>
      <w:r>
        <w:rPr>
          <w:rFonts w:ascii="FangSong" w:hAnsi="FangSong" w:eastAsia="FangSong" w:cs="FangSong"/>
          <w:sz w:val="24"/>
          <w:szCs w:val="24"/>
          <w:spacing w:val="-3"/>
        </w:rPr>
        <w:t>本项目所在区域东部近南北向狭长的带状范围内。群脉状产出走向</w:t>
      </w:r>
      <w:r>
        <w:rPr>
          <w:rFonts w:ascii="FangSong" w:hAnsi="FangSong" w:eastAsia="FangSong" w:cs="FangSong"/>
          <w:sz w:val="24"/>
          <w:szCs w:val="24"/>
          <w:spacing w:val="-4"/>
        </w:rPr>
        <w:t>多呈北东向和</w:t>
      </w:r>
      <w:r>
        <w:rPr>
          <w:rFonts w:ascii="FangSong" w:hAnsi="FangSong" w:eastAsia="FangSong" w:cs="FangSong"/>
          <w:sz w:val="24"/>
          <w:szCs w:val="24"/>
          <w:spacing w:val="-2"/>
        </w:rPr>
        <w:t>近南北向，大的宽约</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2"/>
        </w:rPr>
        <w:t>1-4m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，断续出露绵延达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4km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，小者长度仅有</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3-5c</w:t>
      </w:r>
      <w:r>
        <w:rPr>
          <w:rFonts w:ascii="Times New Roman" w:hAnsi="Times New Roman" w:eastAsia="Times New Roman" w:cs="Times New Roman"/>
          <w:sz w:val="24"/>
          <w:szCs w:val="24"/>
          <w:spacing w:val="-3"/>
        </w:rPr>
        <w:t>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，走向</w:t>
      </w:r>
      <w:r>
        <w:rPr>
          <w:rFonts w:ascii="FangSong" w:hAnsi="FangSong" w:eastAsia="FangSong" w:cs="FangSong"/>
          <w:sz w:val="24"/>
          <w:szCs w:val="24"/>
          <w:spacing w:val="-6"/>
        </w:rPr>
        <w:t>长度约</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6"/>
        </w:rPr>
        <w:t>1-7m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，其特征如下：</w:t>
      </w:r>
    </w:p>
    <w:p>
      <w:pPr>
        <w:spacing w:line="360" w:lineRule="auto"/>
        <w:sectPr>
          <w:footerReference w:type="default" r:id="rId225"/>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1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5.3.5.1  </w:t>
      </w:r>
      <w:r>
        <w:rPr>
          <w:rFonts w:ascii="FangSong" w:hAnsi="FangSong" w:eastAsia="FangSong" w:cs="FangSong"/>
          <w:sz w:val="24"/>
          <w:szCs w:val="24"/>
          <w:b/>
          <w:bCs/>
          <w:spacing w:val="-1"/>
        </w:rPr>
        <w:t>侵入岩</w:t>
      </w:r>
      <w:r>
        <w:rPr>
          <w:rFonts w:ascii="Times New Roman" w:hAnsi="Times New Roman" w:eastAsia="Times New Roman" w:cs="Times New Roman"/>
          <w:sz w:val="24"/>
          <w:szCs w:val="24"/>
          <w:b/>
          <w:bCs/>
          <w:spacing w:val="-1"/>
        </w:rPr>
        <w:t>-</w:t>
      </w:r>
      <w:r>
        <w:rPr>
          <w:rFonts w:ascii="FangSong" w:hAnsi="FangSong" w:eastAsia="FangSong" w:cs="FangSong"/>
          <w:sz w:val="24"/>
          <w:szCs w:val="24"/>
          <w:b/>
          <w:bCs/>
          <w:spacing w:val="-1"/>
        </w:rPr>
        <w:t>黑云母似斑状花岗</w:t>
      </w:r>
      <w:r>
        <w:rPr>
          <w:rFonts w:ascii="FangSong" w:hAnsi="FangSong" w:eastAsia="FangSong" w:cs="FangSong"/>
          <w:sz w:val="24"/>
          <w:szCs w:val="24"/>
          <w:b/>
          <w:bCs/>
          <w:spacing w:val="-2"/>
        </w:rPr>
        <w:t>岩</w:t>
      </w:r>
      <w:r>
        <w:rPr>
          <w:rFonts w:ascii="FangSong" w:hAnsi="FangSong" w:eastAsia="FangSong" w:cs="FangSong"/>
          <w:sz w:val="24"/>
          <w:szCs w:val="24"/>
          <w:spacing w:val="-2"/>
        </w:rPr>
        <w:t xml:space="preserve"> </w:t>
      </w:r>
      <w:r>
        <w:rPr>
          <w:rFonts w:ascii="FangSong" w:hAnsi="FangSong" w:eastAsia="FangSong" w:cs="FangSong"/>
          <w:sz w:val="24"/>
          <w:szCs w:val="24"/>
          <w:b/>
          <w:bCs/>
          <w:spacing w:val="-2"/>
        </w:rPr>
        <w:t>(</w:t>
      </w:r>
      <w:r>
        <w:rPr>
          <w:rFonts w:ascii="Times New Roman" w:hAnsi="Times New Roman" w:eastAsia="Times New Roman" w:cs="Times New Roman"/>
          <w:sz w:val="24"/>
          <w:szCs w:val="24"/>
          <w:b/>
          <w:bCs/>
          <w:spacing w:val="-2"/>
        </w:rPr>
        <w:t>ργ</w:t>
      </w:r>
      <w:r>
        <w:rPr>
          <w:rFonts w:ascii="FangSong" w:hAnsi="FangSong" w:eastAsia="FangSong" w:cs="FangSong"/>
          <w:sz w:val="24"/>
          <w:szCs w:val="24"/>
          <w:b/>
          <w:bCs/>
          <w:spacing w:val="-2"/>
        </w:rPr>
        <w:t>)</w:t>
      </w:r>
    </w:p>
    <w:p>
      <w:pPr>
        <w:ind w:left="22" w:firstLine="490"/>
        <w:spacing w:before="192" w:line="360" w:lineRule="auto"/>
        <w:jc w:val="both"/>
        <w:rPr>
          <w:rFonts w:ascii="FangSong" w:hAnsi="FangSong" w:eastAsia="FangSong" w:cs="FangSong"/>
          <w:sz w:val="24"/>
          <w:szCs w:val="24"/>
        </w:rPr>
      </w:pPr>
      <w:r>
        <w:rPr>
          <w:rFonts w:ascii="FangSong" w:hAnsi="FangSong" w:eastAsia="FangSong" w:cs="FangSong"/>
          <w:sz w:val="24"/>
          <w:szCs w:val="24"/>
          <w:spacing w:val="-4"/>
        </w:rPr>
        <w:t>分布于本项目所在区域东北端边缘，是区域内呈较小岩珠状产出的酸性黑云</w:t>
      </w:r>
      <w:r>
        <w:rPr>
          <w:rFonts w:ascii="FangSong" w:hAnsi="FangSong" w:eastAsia="FangSong" w:cs="FangSong"/>
          <w:sz w:val="24"/>
          <w:szCs w:val="24"/>
          <w:spacing w:val="11"/>
        </w:rPr>
        <w:t>母似斑状花岗岩体向西伸展的外延部分。在本项目所在区域内分布的面积约</w:t>
      </w:r>
      <w:r>
        <w:rPr>
          <w:rFonts w:ascii="Times New Roman" w:hAnsi="Times New Roman" w:eastAsia="Times New Roman" w:cs="Times New Roman"/>
          <w:sz w:val="24"/>
          <w:szCs w:val="24"/>
          <w:spacing w:val="-7"/>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17km</w:t>
      </w:r>
      <w:r>
        <w:rPr>
          <w:rFonts w:ascii="Times New Roman" w:hAnsi="Times New Roman" w:eastAsia="Times New Roman" w:cs="Times New Roman"/>
          <w:sz w:val="15"/>
          <w:szCs w:val="15"/>
          <w:spacing w:val="-7"/>
          <w:position w:val="7"/>
        </w:rPr>
        <w:t>2</w:t>
      </w:r>
      <w:r>
        <w:rPr>
          <w:rFonts w:ascii="FangSong" w:hAnsi="FangSong" w:eastAsia="FangSong" w:cs="FangSong"/>
          <w:sz w:val="24"/>
          <w:szCs w:val="24"/>
          <w:spacing w:val="-7"/>
        </w:rPr>
        <w:t>，该岩体侵入二叠系哲斯组（</w:t>
      </w:r>
      <w:r>
        <w:rPr>
          <w:rFonts w:ascii="Times New Roman" w:hAnsi="Times New Roman" w:eastAsia="Times New Roman" w:cs="Times New Roman"/>
          <w:sz w:val="24"/>
          <w:szCs w:val="24"/>
          <w:spacing w:val="-7"/>
        </w:rPr>
        <w:t>P</w:t>
      </w:r>
      <w:r>
        <w:rPr>
          <w:rFonts w:ascii="Times New Roman" w:hAnsi="Times New Roman" w:eastAsia="Times New Roman" w:cs="Times New Roman"/>
          <w:sz w:val="15"/>
          <w:szCs w:val="15"/>
          <w:spacing w:val="-7"/>
        </w:rPr>
        <w:t>2</w:t>
      </w:r>
      <w:r>
        <w:rPr>
          <w:rFonts w:ascii="Times New Roman" w:hAnsi="Times New Roman" w:eastAsia="Times New Roman" w:cs="Times New Roman"/>
          <w:sz w:val="24"/>
          <w:szCs w:val="24"/>
          <w:spacing w:val="-7"/>
        </w:rPr>
        <w:t>zs</w:t>
      </w:r>
      <w:r>
        <w:rPr>
          <w:rFonts w:ascii="FangSong" w:hAnsi="FangSong" w:eastAsia="FangSong" w:cs="FangSong"/>
          <w:sz w:val="24"/>
          <w:szCs w:val="24"/>
          <w:spacing w:val="-7"/>
        </w:rPr>
        <w:t>）凝灰质板岩中，周边均被第</w:t>
      </w:r>
      <w:r>
        <w:rPr>
          <w:rFonts w:ascii="FangSong" w:hAnsi="FangSong" w:eastAsia="FangSong" w:cs="FangSong"/>
          <w:sz w:val="24"/>
          <w:szCs w:val="24"/>
          <w:spacing w:val="-8"/>
        </w:rPr>
        <w:t>四系覆盖。</w:t>
      </w:r>
    </w:p>
    <w:p>
      <w:pPr>
        <w:ind w:left="19" w:right="21" w:firstLine="488"/>
        <w:spacing w:before="12" w:line="359" w:lineRule="auto"/>
        <w:jc w:val="both"/>
        <w:rPr>
          <w:rFonts w:ascii="FangSong" w:hAnsi="FangSong" w:eastAsia="FangSong" w:cs="FangSong"/>
          <w:sz w:val="24"/>
          <w:szCs w:val="24"/>
        </w:rPr>
      </w:pPr>
      <w:r>
        <w:rPr>
          <w:rFonts w:ascii="FangSong" w:hAnsi="FangSong" w:eastAsia="FangSong" w:cs="FangSong"/>
          <w:sz w:val="24"/>
          <w:szCs w:val="24"/>
          <w:spacing w:val="-4"/>
        </w:rPr>
        <w:t>岩石</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灰红色，似斑状结构，块状构造，斑晶主要为钾长石和石英。钾长石：</w:t>
      </w:r>
      <w:r>
        <w:rPr>
          <w:rFonts w:ascii="FangSong" w:hAnsi="FangSong" w:eastAsia="FangSong" w:cs="FangSong"/>
          <w:sz w:val="24"/>
          <w:szCs w:val="24"/>
          <w:spacing w:val="1"/>
        </w:rPr>
        <w:t>半自形粒状、土化，主要由条纹长石和微斜</w:t>
      </w:r>
      <w:r>
        <w:rPr>
          <w:rFonts w:ascii="FangSong" w:hAnsi="FangSong" w:eastAsia="FangSong" w:cs="FangSong"/>
          <w:sz w:val="24"/>
          <w:szCs w:val="24"/>
        </w:rPr>
        <w:t>长石组成，大小以</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rPr>
        <w:t>2-5mm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之间的中</w:t>
      </w:r>
      <w:r>
        <w:rPr>
          <w:rFonts w:ascii="FangSong" w:hAnsi="FangSong" w:eastAsia="FangSong" w:cs="FangSong"/>
          <w:sz w:val="24"/>
          <w:szCs w:val="24"/>
          <w:spacing w:val="-3"/>
        </w:rPr>
        <w:t>粒为主，</w:t>
      </w:r>
      <w:r>
        <w:rPr>
          <w:rFonts w:ascii="Times New Roman" w:hAnsi="Times New Roman" w:eastAsia="Times New Roman" w:cs="Times New Roman"/>
          <w:sz w:val="24"/>
          <w:szCs w:val="24"/>
          <w:spacing w:val="-3"/>
        </w:rPr>
        <w:t>0.2-2mm</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之间的细粒次之。石英：它形粒状</w:t>
      </w:r>
      <w:r>
        <w:rPr>
          <w:rFonts w:ascii="FangSong" w:hAnsi="FangSong" w:eastAsia="FangSong" w:cs="FangSong"/>
          <w:sz w:val="24"/>
          <w:szCs w:val="24"/>
          <w:spacing w:val="-4"/>
        </w:rPr>
        <w:t>，波状消光，大小以</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3-6mm</w:t>
      </w:r>
      <w:r>
        <w:rPr>
          <w:rFonts w:ascii="FangSong" w:hAnsi="FangSong" w:eastAsia="FangSong" w:cs="FangSong"/>
          <w:sz w:val="24"/>
          <w:szCs w:val="24"/>
          <w:spacing w:val="2"/>
        </w:rPr>
        <w:t>之间的粗粒为主，少数为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0.2-2</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之间的细粒。基质主要为细粒的钾长石、石</w:t>
      </w:r>
      <w:r>
        <w:rPr>
          <w:rFonts w:ascii="FangSong" w:hAnsi="FangSong" w:eastAsia="FangSong" w:cs="FangSong"/>
          <w:sz w:val="24"/>
          <w:szCs w:val="24"/>
          <w:spacing w:val="-3"/>
        </w:rPr>
        <w:t>英、黑云母和少量斜长石及不透明矿物、副矿物组成。其中黑云母：片状、沿解</w:t>
      </w:r>
      <w:r>
        <w:rPr>
          <w:rFonts w:ascii="FangSong" w:hAnsi="FangSong" w:eastAsia="FangSong" w:cs="FangSong"/>
          <w:sz w:val="24"/>
          <w:szCs w:val="24"/>
        </w:rPr>
        <w:t>理面有少量的铁质析出，并且弯曲变形现象，大小以</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rPr>
        <w:t>0.2-0.75mm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之间的细粒为</w:t>
      </w:r>
      <w:r>
        <w:rPr>
          <w:rFonts w:ascii="FangSong" w:hAnsi="FangSong" w:eastAsia="FangSong" w:cs="FangSong"/>
          <w:sz w:val="24"/>
          <w:szCs w:val="24"/>
          <w:spacing w:val="-4"/>
        </w:rPr>
        <w:t>主。少量为＜</w:t>
      </w:r>
      <w:r>
        <w:rPr>
          <w:rFonts w:ascii="Times New Roman" w:hAnsi="Times New Roman" w:eastAsia="Times New Roman" w:cs="Times New Roman"/>
          <w:sz w:val="24"/>
          <w:szCs w:val="24"/>
          <w:spacing w:val="-4"/>
        </w:rPr>
        <w:t>0.2mm</w:t>
      </w:r>
      <w:r>
        <w:rPr>
          <w:rFonts w:ascii="Times New Roman" w:hAnsi="Times New Roman" w:eastAsia="Times New Roman" w:cs="Times New Roman"/>
          <w:sz w:val="24"/>
          <w:szCs w:val="24"/>
          <w:spacing w:val="34"/>
          <w:w w:val="101"/>
        </w:rPr>
        <w:t xml:space="preserve"> </w:t>
      </w:r>
      <w:r>
        <w:rPr>
          <w:rFonts w:ascii="FangSong" w:hAnsi="FangSong" w:eastAsia="FangSong" w:cs="FangSong"/>
          <w:sz w:val="24"/>
          <w:szCs w:val="24"/>
          <w:spacing w:val="-4"/>
        </w:rPr>
        <w:t>的微米。不透明矿物：粒状，主要由铁矿物组成，大小多在</w:t>
      </w:r>
      <w:r>
        <w:rPr>
          <w:rFonts w:ascii="Times New Roman" w:hAnsi="Times New Roman" w:eastAsia="Times New Roman" w:cs="Times New Roman"/>
          <w:sz w:val="24"/>
          <w:szCs w:val="24"/>
          <w:spacing w:val="-2"/>
        </w:rPr>
        <w:t>0.05mm</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2"/>
        </w:rPr>
        <w:t>以下，副矿物主要为锆石、磷灰</w:t>
      </w:r>
      <w:r>
        <w:rPr>
          <w:rFonts w:ascii="FangSong" w:hAnsi="FangSong" w:eastAsia="FangSong" w:cs="FangSong"/>
          <w:sz w:val="24"/>
          <w:szCs w:val="24"/>
          <w:spacing w:val="-3"/>
        </w:rPr>
        <w:t>石。矿物相对含量：钾长石</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71%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、石英</w:t>
      </w:r>
      <w:r>
        <w:rPr>
          <w:rFonts w:ascii="Times New Roman" w:hAnsi="Times New Roman" w:eastAsia="Times New Roman" w:cs="Times New Roman"/>
          <w:sz w:val="24"/>
          <w:szCs w:val="24"/>
          <w:spacing w:val="-1"/>
        </w:rPr>
        <w:t>24%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、黑云母</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、不透明矿物及副矿物少量，该岩体内未见有矿化，对矿体没</w:t>
      </w:r>
      <w:r>
        <w:rPr>
          <w:rFonts w:ascii="FangSong" w:hAnsi="FangSong" w:eastAsia="FangSong" w:cs="FangSong"/>
          <w:sz w:val="24"/>
          <w:szCs w:val="24"/>
          <w:spacing w:val="-2"/>
        </w:rPr>
        <w:t>有影响。</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1"/>
        </w:rPr>
        <w:t>5.3.5.2  </w:t>
      </w:r>
      <w:r>
        <w:rPr>
          <w:rFonts w:ascii="FangSong" w:hAnsi="FangSong" w:eastAsia="FangSong" w:cs="FangSong"/>
          <w:sz w:val="24"/>
          <w:szCs w:val="24"/>
          <w:b/>
          <w:bCs/>
          <w:spacing w:val="-1"/>
        </w:rPr>
        <w:t>火山岩</w:t>
      </w:r>
      <w:r>
        <w:rPr>
          <w:rFonts w:ascii="Times New Roman" w:hAnsi="Times New Roman" w:eastAsia="Times New Roman" w:cs="Times New Roman"/>
          <w:sz w:val="24"/>
          <w:szCs w:val="24"/>
          <w:b/>
          <w:bCs/>
          <w:spacing w:val="-1"/>
        </w:rPr>
        <w:t>-</w:t>
      </w:r>
      <w:r>
        <w:rPr>
          <w:rFonts w:ascii="FangSong" w:hAnsi="FangSong" w:eastAsia="FangSong" w:cs="FangSong"/>
          <w:sz w:val="24"/>
          <w:szCs w:val="24"/>
          <w:b/>
          <w:bCs/>
          <w:spacing w:val="-1"/>
        </w:rPr>
        <w:t>白音高老组流纹斑</w:t>
      </w:r>
      <w:r>
        <w:rPr>
          <w:rFonts w:ascii="FangSong" w:hAnsi="FangSong" w:eastAsia="FangSong" w:cs="FangSong"/>
          <w:sz w:val="24"/>
          <w:szCs w:val="24"/>
          <w:b/>
          <w:bCs/>
          <w:spacing w:val="-2"/>
        </w:rPr>
        <w:t>岩（</w:t>
      </w:r>
      <w:r>
        <w:rPr>
          <w:rFonts w:ascii="Times New Roman" w:hAnsi="Times New Roman" w:eastAsia="Times New Roman" w:cs="Times New Roman"/>
          <w:sz w:val="24"/>
          <w:szCs w:val="24"/>
          <w:b/>
          <w:bCs/>
          <w:spacing w:val="-2"/>
        </w:rPr>
        <w:t>Kοπ</w:t>
      </w:r>
      <w:r>
        <w:rPr>
          <w:rFonts w:ascii="FangSong" w:hAnsi="FangSong" w:eastAsia="FangSong" w:cs="FangSong"/>
          <w:sz w:val="24"/>
          <w:szCs w:val="24"/>
          <w:b/>
          <w:bCs/>
          <w:spacing w:val="-2"/>
        </w:rPr>
        <w:t>)</w:t>
      </w:r>
    </w:p>
    <w:p>
      <w:pPr>
        <w:ind w:left="30" w:right="26"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2"/>
        </w:rPr>
        <w:t>产于本项目所在区域东南端部，是区外岩株状石英斑岩体的向北延入部分。</w:t>
      </w:r>
      <w:r>
        <w:rPr>
          <w:rFonts w:ascii="FangSong" w:hAnsi="FangSong" w:eastAsia="FangSong" w:cs="FangSong"/>
          <w:sz w:val="24"/>
          <w:szCs w:val="24"/>
        </w:rPr>
        <w:t>本项目所在区域内出露面积约为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rPr>
        <w:t>15km</w:t>
      </w:r>
      <w:r>
        <w:rPr>
          <w:rFonts w:ascii="Times New Roman" w:hAnsi="Times New Roman" w:eastAsia="Times New Roman" w:cs="Times New Roman"/>
          <w:sz w:val="15"/>
          <w:szCs w:val="15"/>
          <w:position w:val="7"/>
        </w:rPr>
        <w:t>2 </w:t>
      </w:r>
      <w:r>
        <w:rPr>
          <w:rFonts w:ascii="FangSong" w:hAnsi="FangSong" w:eastAsia="FangSong" w:cs="FangSong"/>
          <w:sz w:val="24"/>
          <w:szCs w:val="24"/>
          <w:spacing w:val="-1"/>
        </w:rPr>
        <w:t>，该岩体侵入二叠系哲斯组（</w:t>
      </w:r>
      <w:r>
        <w:rPr>
          <w:rFonts w:ascii="Times New Roman" w:hAnsi="Times New Roman" w:eastAsia="Times New Roman" w:cs="Times New Roman"/>
          <w:sz w:val="24"/>
          <w:szCs w:val="24"/>
          <w:spacing w:val="-1"/>
        </w:rPr>
        <w:t>P</w:t>
      </w:r>
      <w:r>
        <w:rPr>
          <w:rFonts w:ascii="Times New Roman" w:hAnsi="Times New Roman" w:eastAsia="Times New Roman" w:cs="Times New Roman"/>
          <w:sz w:val="15"/>
          <w:szCs w:val="15"/>
          <w:spacing w:val="-1"/>
        </w:rPr>
        <w:t>2</w:t>
      </w:r>
      <w:r>
        <w:rPr>
          <w:rFonts w:ascii="Times New Roman" w:hAnsi="Times New Roman" w:eastAsia="Times New Roman" w:cs="Times New Roman"/>
          <w:sz w:val="24"/>
          <w:szCs w:val="24"/>
          <w:spacing w:val="-1"/>
        </w:rPr>
        <w:t>zs</w:t>
      </w:r>
      <w:r>
        <w:rPr>
          <w:rFonts w:ascii="FangSong" w:hAnsi="FangSong" w:eastAsia="FangSong" w:cs="FangSong"/>
          <w:sz w:val="24"/>
          <w:szCs w:val="24"/>
          <w:spacing w:val="-1"/>
        </w:rPr>
        <w:t>）凝</w:t>
      </w:r>
      <w:r>
        <w:rPr>
          <w:rFonts w:ascii="FangSong" w:hAnsi="FangSong" w:eastAsia="FangSong" w:cs="FangSong"/>
          <w:sz w:val="24"/>
          <w:szCs w:val="24"/>
          <w:spacing w:val="-1"/>
        </w:rPr>
        <w:t>灰岩质板岩地层中，岩体东端部分被第四系覆盖。</w:t>
      </w:r>
    </w:p>
    <w:p>
      <w:pPr>
        <w:ind w:left="29" w:right="83" w:firstLine="477"/>
        <w:spacing w:before="8" w:line="359" w:lineRule="auto"/>
        <w:jc w:val="both"/>
        <w:rPr>
          <w:rFonts w:ascii="FangSong" w:hAnsi="FangSong" w:eastAsia="FangSong" w:cs="FangSong"/>
          <w:sz w:val="24"/>
          <w:szCs w:val="24"/>
        </w:rPr>
      </w:pPr>
      <w:r>
        <w:rPr>
          <w:rFonts w:ascii="FangSong" w:hAnsi="FangSong" w:eastAsia="FangSong" w:cs="FangSong"/>
          <w:sz w:val="24"/>
          <w:szCs w:val="24"/>
          <w:spacing w:val="-3"/>
        </w:rPr>
        <w:t>岩石呈灰白色，斑状结构，块状构造，斑晶为被熔蚀的</w:t>
      </w:r>
      <w:r>
        <w:rPr>
          <w:rFonts w:ascii="FangSong" w:hAnsi="FangSong" w:eastAsia="FangSong" w:cs="FangSong"/>
          <w:sz w:val="24"/>
          <w:szCs w:val="24"/>
          <w:spacing w:val="-4"/>
        </w:rPr>
        <w:t>椭圆及圆粒石英，粒</w:t>
      </w:r>
      <w:r>
        <w:rPr>
          <w:rFonts w:ascii="FangSong" w:hAnsi="FangSong" w:eastAsia="FangSong" w:cs="FangSong"/>
          <w:sz w:val="24"/>
          <w:szCs w:val="24"/>
          <w:spacing w:val="-2"/>
        </w:rPr>
        <w:t>径：</w:t>
      </w:r>
      <w:r>
        <w:rPr>
          <w:rFonts w:ascii="Times New Roman" w:hAnsi="Times New Roman" w:eastAsia="Times New Roman" w:cs="Times New Roman"/>
          <w:sz w:val="24"/>
          <w:szCs w:val="24"/>
          <w:spacing w:val="-2"/>
        </w:rPr>
        <w:t>1-3mm</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2"/>
        </w:rPr>
        <w:t>含量</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30%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，基质为灰白色隐晶质，含量</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70%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，岩石致密坚硬，贝壳</w:t>
      </w:r>
      <w:r>
        <w:rPr>
          <w:rFonts w:ascii="FangSong" w:hAnsi="FangSong" w:eastAsia="FangSong" w:cs="FangSong"/>
          <w:sz w:val="24"/>
          <w:szCs w:val="24"/>
          <w:spacing w:val="-5"/>
        </w:rPr>
        <w:t>状断</w:t>
      </w:r>
      <w:r>
        <w:rPr>
          <w:rFonts w:ascii="FangSong" w:hAnsi="FangSong" w:eastAsia="FangSong" w:cs="FangSong"/>
          <w:sz w:val="24"/>
          <w:szCs w:val="24"/>
          <w:spacing w:val="-56"/>
        </w:rPr>
        <w:t xml:space="preserve"> </w:t>
      </w:r>
      <w:r>
        <w:rPr>
          <w:rFonts w:ascii="FangSong" w:hAnsi="FangSong" w:eastAsia="FangSong" w:cs="FangSong"/>
          <w:sz w:val="24"/>
          <w:szCs w:val="24"/>
          <w:spacing w:val="-5"/>
        </w:rPr>
        <w:t>口，显油脂光泽。岩体与地层的接触带多硅化、萤石矿化、碳酸盐化。靠近</w:t>
      </w:r>
      <w:r>
        <w:rPr>
          <w:rFonts w:ascii="FangSong" w:hAnsi="FangSong" w:eastAsia="FangSong" w:cs="FangSong"/>
          <w:sz w:val="24"/>
          <w:szCs w:val="24"/>
          <w:spacing w:val="-3"/>
        </w:rPr>
        <w:t>接触带内侧的岩体中也能观察到颗粒大小不等，稀疏分布的淡粉色</w:t>
      </w:r>
      <w:r>
        <w:rPr>
          <w:rFonts w:ascii="FangSong" w:hAnsi="FangSong" w:eastAsia="FangSong" w:cs="FangSong"/>
          <w:sz w:val="24"/>
          <w:szCs w:val="24"/>
          <w:spacing w:val="-4"/>
        </w:rPr>
        <w:t>立方体状萤石</w:t>
      </w:r>
      <w:r>
        <w:rPr>
          <w:rFonts w:ascii="FangSong" w:hAnsi="FangSong" w:eastAsia="FangSong" w:cs="FangSong"/>
          <w:sz w:val="24"/>
          <w:szCs w:val="24"/>
          <w:spacing w:val="-3"/>
        </w:rPr>
        <w:t>颗粒。其内发育有一条北东向较宽裂隙，充填有萤石矿化石英脉，</w:t>
      </w:r>
      <w:r>
        <w:rPr>
          <w:rFonts w:ascii="FangSong" w:hAnsi="FangSong" w:eastAsia="FangSong" w:cs="FangSong"/>
          <w:sz w:val="24"/>
          <w:szCs w:val="24"/>
          <w:spacing w:val="-4"/>
        </w:rPr>
        <w:t>并与本项目所</w:t>
      </w:r>
      <w:r>
        <w:rPr>
          <w:rFonts w:ascii="FangSong" w:hAnsi="FangSong" w:eastAsia="FangSong" w:cs="FangSong"/>
          <w:sz w:val="24"/>
          <w:szCs w:val="24"/>
          <w:spacing w:val="-3"/>
        </w:rPr>
        <w:t>在区域断续分布的石英脉相连。该套地层北端北东倾，倾角为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60-70°</w:t>
      </w:r>
      <w:r>
        <w:rPr>
          <w:rFonts w:ascii="FangSong" w:hAnsi="FangSong" w:eastAsia="FangSong" w:cs="FangSong"/>
          <w:sz w:val="24"/>
          <w:szCs w:val="24"/>
          <w:spacing w:val="-3"/>
        </w:rPr>
        <w:t>之间</w:t>
      </w:r>
      <w:r>
        <w:rPr>
          <w:rFonts w:ascii="FangSong" w:hAnsi="FangSong" w:eastAsia="FangSong" w:cs="FangSong"/>
          <w:sz w:val="24"/>
          <w:szCs w:val="24"/>
          <w:spacing w:val="-4"/>
        </w:rPr>
        <w:t>，推测</w:t>
      </w:r>
      <w:r>
        <w:rPr>
          <w:rFonts w:ascii="FangSong" w:hAnsi="FangSong" w:eastAsia="FangSong" w:cs="FangSong"/>
          <w:sz w:val="24"/>
          <w:szCs w:val="24"/>
          <w:spacing w:val="-1"/>
        </w:rPr>
        <w:t>是一期对成矿物质来源起主要作用的酸性火山岩。</w:t>
      </w:r>
    </w:p>
    <w:p>
      <w:pPr>
        <w:ind w:left="22"/>
        <w:spacing w:before="2"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5.3.5.3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脉岩</w:t>
      </w:r>
    </w:p>
    <w:p>
      <w:pPr>
        <w:ind w:left="72" w:right="83" w:firstLine="449"/>
        <w:spacing w:before="175" w:line="360" w:lineRule="auto"/>
        <w:rPr>
          <w:rFonts w:ascii="FangSong" w:hAnsi="FangSong" w:eastAsia="FangSong" w:cs="FangSong"/>
          <w:sz w:val="24"/>
          <w:szCs w:val="24"/>
        </w:rPr>
      </w:pPr>
      <w:r>
        <w:rPr>
          <w:rFonts w:ascii="FangSong" w:hAnsi="FangSong" w:eastAsia="FangSong" w:cs="FangSong"/>
          <w:sz w:val="24"/>
          <w:szCs w:val="24"/>
          <w:spacing w:val="-4"/>
        </w:rPr>
        <w:t>受张裂隙控制本项目所在区域内石英脉呈群脉状产出，主要集中分布于本项</w:t>
      </w:r>
      <w:r>
        <w:rPr>
          <w:rFonts w:ascii="FangSong" w:hAnsi="FangSong" w:eastAsia="FangSong" w:cs="FangSong"/>
          <w:sz w:val="24"/>
          <w:szCs w:val="24"/>
          <w:spacing w:val="-2"/>
        </w:rPr>
        <w:t>目所在区域中部和本项目所在区域东部近南北向的狭长带状区</w:t>
      </w:r>
      <w:r>
        <w:rPr>
          <w:rFonts w:ascii="FangSong" w:hAnsi="FangSong" w:eastAsia="FangSong" w:cs="FangSong"/>
          <w:sz w:val="24"/>
          <w:szCs w:val="24"/>
          <w:spacing w:val="-3"/>
        </w:rPr>
        <w:t>内。</w:t>
      </w:r>
    </w:p>
    <w:p>
      <w:pPr>
        <w:ind w:left="514"/>
        <w:spacing w:before="2"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）中部石英脉群</w:t>
      </w:r>
    </w:p>
    <w:p>
      <w:pPr>
        <w:spacing w:line="222" w:lineRule="auto"/>
        <w:sectPr>
          <w:footerReference w:type="default" r:id="rId226"/>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firstLine="482"/>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见数条石英脉，走向北北东向，断续延入北</w:t>
      </w:r>
      <w:r>
        <w:rPr>
          <w:rFonts w:ascii="FangSong" w:hAnsi="FangSong" w:eastAsia="FangSong" w:cs="FangSong"/>
          <w:sz w:val="24"/>
          <w:szCs w:val="24"/>
          <w:spacing w:val="-4"/>
        </w:rPr>
        <w:t>部的汇鑫萤石矿，延入部分在区</w:t>
      </w:r>
      <w:r>
        <w:rPr>
          <w:rFonts w:ascii="FangSong" w:hAnsi="FangSong" w:eastAsia="FangSong" w:cs="FangSong"/>
          <w:sz w:val="24"/>
          <w:szCs w:val="24"/>
          <w:spacing w:val="-5"/>
        </w:rPr>
        <w:t>域和本项目所在区域地质图中未做标注。脉群东西两侧经过的区域宽度约</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5"/>
        </w:rPr>
        <w:t>450m</w:t>
      </w:r>
      <w:r>
        <w:rPr>
          <w:rFonts w:ascii="FangSong" w:hAnsi="FangSong" w:eastAsia="FangSong" w:cs="FangSong"/>
          <w:sz w:val="24"/>
          <w:szCs w:val="24"/>
          <w:spacing w:val="-5"/>
        </w:rPr>
        <w:t>，</w:t>
      </w:r>
      <w:r>
        <w:rPr>
          <w:rFonts w:ascii="FangSong" w:hAnsi="FangSong" w:eastAsia="FangSong" w:cs="FangSong"/>
          <w:sz w:val="24"/>
          <w:szCs w:val="24"/>
          <w:spacing w:val="-7"/>
        </w:rPr>
        <w:t>区内走向长度</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7"/>
        </w:rPr>
        <w:t>650m</w:t>
      </w:r>
      <w:r>
        <w:rPr>
          <w:rFonts w:ascii="FangSong" w:hAnsi="FangSong" w:eastAsia="FangSong" w:cs="FangSong"/>
          <w:sz w:val="24"/>
          <w:szCs w:val="24"/>
          <w:spacing w:val="-7"/>
        </w:rPr>
        <w:t>，组成脉群中的单个石英脉宽度最大约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7"/>
        </w:rPr>
        <w:t>3m</w:t>
      </w:r>
      <w:r>
        <w:rPr>
          <w:rFonts w:ascii="FangSong" w:hAnsi="FangSong" w:eastAsia="FangSong" w:cs="FangSong"/>
          <w:sz w:val="24"/>
          <w:szCs w:val="24"/>
          <w:spacing w:val="-7"/>
        </w:rPr>
        <w:t>，小者约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20-30cm</w:t>
      </w:r>
      <w:r>
        <w:rPr>
          <w:rFonts w:ascii="FangSong" w:hAnsi="FangSong" w:eastAsia="FangSong" w:cs="FangSong"/>
          <w:sz w:val="24"/>
          <w:szCs w:val="24"/>
          <w:spacing w:val="-7"/>
        </w:rPr>
        <w:t>，</w:t>
      </w:r>
      <w:r>
        <w:rPr>
          <w:rFonts w:ascii="FangSong" w:hAnsi="FangSong" w:eastAsia="FangSong" w:cs="FangSong"/>
          <w:sz w:val="24"/>
          <w:szCs w:val="24"/>
          <w:spacing w:val="-3"/>
        </w:rPr>
        <w:t>在走向上具分枝复合，断续分布等特征，且石英脉中多处见有萤石矿</w:t>
      </w:r>
      <w:r>
        <w:rPr>
          <w:rFonts w:ascii="FangSong" w:hAnsi="FangSong" w:eastAsia="FangSong" w:cs="FangSong"/>
          <w:sz w:val="24"/>
          <w:szCs w:val="24"/>
          <w:spacing w:val="-4"/>
        </w:rPr>
        <w:t>化细脉及立</w:t>
      </w:r>
      <w:r>
        <w:rPr>
          <w:rFonts w:ascii="FangSong" w:hAnsi="FangSong" w:eastAsia="FangSong" w:cs="FangSong"/>
          <w:sz w:val="24"/>
          <w:szCs w:val="24"/>
          <w:spacing w:val="-3"/>
        </w:rPr>
        <w:t>方体状的淡粉、淡绿色萤石颗粒，其赋存区域内的地下深处未发现具</w:t>
      </w:r>
      <w:r>
        <w:rPr>
          <w:rFonts w:ascii="FangSong" w:hAnsi="FangSong" w:eastAsia="FangSong" w:cs="FangSong"/>
          <w:sz w:val="24"/>
          <w:szCs w:val="24"/>
          <w:spacing w:val="-4"/>
        </w:rPr>
        <w:t>规模的萤石</w:t>
      </w:r>
      <w:r>
        <w:rPr>
          <w:rFonts w:ascii="FangSong" w:hAnsi="FangSong" w:eastAsia="FangSong" w:cs="FangSong"/>
          <w:sz w:val="24"/>
          <w:szCs w:val="24"/>
          <w:spacing w:val="-6"/>
        </w:rPr>
        <w:t>矿脉。</w:t>
      </w:r>
    </w:p>
    <w:p>
      <w:pPr>
        <w:ind w:left="514"/>
        <w:spacing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）本项目所在区域东部石英脉群</w:t>
      </w:r>
    </w:p>
    <w:p>
      <w:pPr>
        <w:ind w:left="29" w:right="26" w:firstLine="479"/>
        <w:spacing w:before="181" w:line="360" w:lineRule="auto"/>
        <w:rPr>
          <w:rFonts w:ascii="FangSong" w:hAnsi="FangSong" w:eastAsia="FangSong" w:cs="FangSong"/>
          <w:sz w:val="24"/>
          <w:szCs w:val="24"/>
        </w:rPr>
      </w:pPr>
      <w:r>
        <w:rPr>
          <w:rFonts w:ascii="FangSong" w:hAnsi="FangSong" w:eastAsia="FangSong" w:cs="FangSong"/>
          <w:sz w:val="24"/>
          <w:szCs w:val="24"/>
          <w:spacing w:val="-2"/>
        </w:rPr>
        <w:t>脉群主体由一规模较大的断续分布单个石英脉体及两侧多条走向</w:t>
      </w:r>
      <w:r>
        <w:rPr>
          <w:rFonts w:ascii="FangSong" w:hAnsi="FangSong" w:eastAsia="FangSong" w:cs="FangSong"/>
          <w:sz w:val="24"/>
          <w:szCs w:val="24"/>
          <w:spacing w:val="-3"/>
        </w:rPr>
        <w:t>近乎相同，</w:t>
      </w:r>
      <w:r>
        <w:rPr>
          <w:rFonts w:ascii="FangSong" w:hAnsi="FangSong" w:eastAsia="FangSong" w:cs="FangSong"/>
          <w:sz w:val="24"/>
          <w:szCs w:val="24"/>
          <w:spacing w:val="-3"/>
        </w:rPr>
        <w:t>大致平行排列的数条宽度较窄，走向长度相对较短石英脉构成，宏</w:t>
      </w:r>
      <w:r>
        <w:rPr>
          <w:rFonts w:ascii="FangSong" w:hAnsi="FangSong" w:eastAsia="FangSong" w:cs="FangSong"/>
          <w:sz w:val="24"/>
          <w:szCs w:val="24"/>
          <w:spacing w:val="-4"/>
        </w:rPr>
        <w:t>观上体现为纵</w:t>
      </w:r>
      <w:r>
        <w:rPr>
          <w:rFonts w:ascii="FangSong" w:hAnsi="FangSong" w:eastAsia="FangSong" w:cs="FangSong"/>
          <w:sz w:val="24"/>
          <w:szCs w:val="24"/>
          <w:spacing w:val="-1"/>
        </w:rPr>
        <w:t>贯本项目所在区域南北，分布范围及规模较大的特征。</w:t>
      </w:r>
    </w:p>
    <w:p>
      <w:pPr>
        <w:ind w:left="22" w:right="65" w:firstLine="486"/>
        <w:spacing w:before="1" w:line="360" w:lineRule="auto"/>
        <w:jc w:val="both"/>
        <w:rPr>
          <w:rFonts w:ascii="FangSong" w:hAnsi="FangSong" w:eastAsia="FangSong" w:cs="FangSong"/>
          <w:sz w:val="24"/>
          <w:szCs w:val="24"/>
        </w:rPr>
      </w:pPr>
      <w:r>
        <w:rPr>
          <w:rFonts w:ascii="FangSong" w:hAnsi="FangSong" w:eastAsia="FangSong" w:cs="FangSong"/>
          <w:sz w:val="24"/>
          <w:szCs w:val="24"/>
          <w:spacing w:val="-3"/>
        </w:rPr>
        <w:t>脉群东西两侧经过的区域范围内最大宽度可达</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430m</w:t>
      </w:r>
      <w:r>
        <w:rPr>
          <w:rFonts w:ascii="FangSong" w:hAnsi="FangSong" w:eastAsia="FangSong" w:cs="FangSong"/>
          <w:sz w:val="24"/>
          <w:szCs w:val="24"/>
          <w:spacing w:val="-3"/>
        </w:rPr>
        <w:t>，最窄处仅</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10-2</w:t>
      </w:r>
      <w:r>
        <w:rPr>
          <w:rFonts w:ascii="Times New Roman" w:hAnsi="Times New Roman" w:eastAsia="Times New Roman" w:cs="Times New Roman"/>
          <w:sz w:val="24"/>
          <w:szCs w:val="24"/>
          <w:spacing w:val="-4"/>
        </w:rPr>
        <w:t>0m</w:t>
      </w:r>
      <w:r>
        <w:rPr>
          <w:rFonts w:ascii="FangSong" w:hAnsi="FangSong" w:eastAsia="FangSong" w:cs="FangSong"/>
          <w:sz w:val="24"/>
          <w:szCs w:val="24"/>
          <w:spacing w:val="-4"/>
        </w:rPr>
        <w:t>，脉</w:t>
      </w:r>
      <w:r>
        <w:rPr>
          <w:rFonts w:ascii="FangSong" w:hAnsi="FangSong" w:eastAsia="FangSong" w:cs="FangSong"/>
          <w:sz w:val="24"/>
          <w:szCs w:val="24"/>
          <w:spacing w:val="7"/>
        </w:rPr>
        <w:t>群分布面约</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7"/>
        </w:rPr>
        <w:t>0.56</w:t>
      </w:r>
      <w:r>
        <w:rPr>
          <w:rFonts w:ascii="Times New Roman" w:hAnsi="Times New Roman" w:eastAsia="Times New Roman" w:cs="Times New Roman"/>
          <w:sz w:val="24"/>
          <w:szCs w:val="24"/>
        </w:rPr>
        <w:t>km</w:t>
      </w:r>
      <w:r>
        <w:rPr>
          <w:rFonts w:ascii="Times New Roman" w:hAnsi="Times New Roman" w:eastAsia="Times New Roman" w:cs="Times New Roman"/>
          <w:sz w:val="15"/>
          <w:szCs w:val="15"/>
          <w:spacing w:val="7"/>
          <w:position w:val="7"/>
        </w:rPr>
        <w:t>2</w:t>
      </w:r>
      <w:r>
        <w:rPr>
          <w:rFonts w:ascii="Times New Roman" w:hAnsi="Times New Roman" w:eastAsia="Times New Roman" w:cs="Times New Roman"/>
          <w:sz w:val="15"/>
          <w:szCs w:val="15"/>
          <w:spacing w:val="12"/>
          <w:position w:val="7"/>
        </w:rPr>
        <w:t xml:space="preserve"> </w:t>
      </w:r>
      <w:r>
        <w:rPr>
          <w:rFonts w:ascii="FangSong" w:hAnsi="FangSong" w:eastAsia="FangSong" w:cs="FangSong"/>
          <w:sz w:val="24"/>
          <w:szCs w:val="24"/>
          <w:spacing w:val="7"/>
        </w:rPr>
        <w:t>。此范围内单个石英脉体宽度最小约</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7"/>
        </w:rPr>
        <w:t>0.3m</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7"/>
        </w:rPr>
        <w:t>，一般宽度约</w:t>
      </w:r>
      <w:r>
        <w:rPr>
          <w:rFonts w:ascii="Times New Roman" w:hAnsi="Times New Roman" w:eastAsia="Times New Roman" w:cs="Times New Roman"/>
          <w:sz w:val="24"/>
          <w:szCs w:val="24"/>
          <w:spacing w:val="-2"/>
        </w:rPr>
        <w:t>0.8-2.0m</w:t>
      </w:r>
      <w:r>
        <w:rPr>
          <w:rFonts w:ascii="FangSong" w:hAnsi="FangSong" w:eastAsia="FangSong" w:cs="FangSong"/>
          <w:sz w:val="24"/>
          <w:szCs w:val="24"/>
          <w:spacing w:val="-2"/>
        </w:rPr>
        <w:t>。规模较大可达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4-6m</w:t>
      </w:r>
      <w:r>
        <w:rPr>
          <w:rFonts w:ascii="FangSong" w:hAnsi="FangSong" w:eastAsia="FangSong" w:cs="FangSong"/>
          <w:sz w:val="24"/>
          <w:szCs w:val="24"/>
          <w:spacing w:val="-2"/>
        </w:rPr>
        <w:t>，并且</w:t>
      </w:r>
      <w:r>
        <w:rPr>
          <w:rFonts w:ascii="FangSong" w:hAnsi="FangSong" w:eastAsia="FangSong" w:cs="FangSong"/>
          <w:sz w:val="24"/>
          <w:szCs w:val="24"/>
          <w:spacing w:val="-3"/>
        </w:rPr>
        <w:t>断续分布有萤石细脉及立方体状淡粉色萤石</w:t>
      </w:r>
      <w:r>
        <w:rPr>
          <w:rFonts w:ascii="FangSong" w:hAnsi="FangSong" w:eastAsia="FangSong" w:cs="FangSong"/>
          <w:sz w:val="24"/>
          <w:szCs w:val="24"/>
          <w:spacing w:val="-3"/>
        </w:rPr>
        <w:t>颗粒。</w:t>
      </w:r>
    </w:p>
    <w:p>
      <w:pPr>
        <w:ind w:left="29" w:firstLine="481"/>
        <w:spacing w:before="5" w:line="360" w:lineRule="auto"/>
        <w:jc w:val="both"/>
        <w:rPr>
          <w:rFonts w:ascii="FangSong" w:hAnsi="FangSong" w:eastAsia="FangSong" w:cs="FangSong"/>
          <w:sz w:val="24"/>
          <w:szCs w:val="24"/>
        </w:rPr>
      </w:pPr>
      <w:r>
        <w:rPr>
          <w:rFonts w:ascii="FangSong" w:hAnsi="FangSong" w:eastAsia="FangSong" w:cs="FangSong"/>
          <w:sz w:val="24"/>
          <w:szCs w:val="24"/>
          <w:spacing w:val="-2"/>
        </w:rPr>
        <w:t>对成矿起主要作用的则是，该脉群内大石英脉，其显著特征是：脉体灰色，</w:t>
      </w:r>
      <w:r>
        <w:rPr>
          <w:rFonts w:ascii="FangSong" w:hAnsi="FangSong" w:eastAsia="FangSong" w:cs="FangSong"/>
          <w:sz w:val="24"/>
          <w:szCs w:val="24"/>
          <w:spacing w:val="-2"/>
        </w:rPr>
        <w:t>细粒隐晶结构，块状构造，单个脉体宽度一般在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4-6m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，局部膨大部位均值可达</w:t>
      </w:r>
      <w:r>
        <w:rPr>
          <w:rFonts w:ascii="FangSong" w:hAnsi="FangSong" w:eastAsia="FangSong" w:cs="FangSong"/>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rPr>
        <w:t>多米。走向长度可达</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rPr>
        <w:t>4km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，断续出露。局部具</w:t>
      </w:r>
      <w:r>
        <w:rPr>
          <w:rFonts w:ascii="FangSong" w:hAnsi="FangSong" w:eastAsia="FangSong" w:cs="FangSong"/>
          <w:sz w:val="24"/>
          <w:szCs w:val="24"/>
          <w:spacing w:val="-1"/>
        </w:rPr>
        <w:t>有分枝现象。大脉两侧岩石硅</w:t>
      </w:r>
      <w:r>
        <w:rPr>
          <w:rFonts w:ascii="FangSong" w:hAnsi="FangSong" w:eastAsia="FangSong" w:cs="FangSong"/>
          <w:sz w:val="24"/>
          <w:szCs w:val="24"/>
          <w:spacing w:val="-3"/>
        </w:rPr>
        <w:t>化强烈，能观察到地层角砾呈三角形状、多边形状，被硅质热液胶</w:t>
      </w:r>
      <w:r>
        <w:rPr>
          <w:rFonts w:ascii="FangSong" w:hAnsi="FangSong" w:eastAsia="FangSong" w:cs="FangSong"/>
          <w:sz w:val="24"/>
          <w:szCs w:val="24"/>
          <w:spacing w:val="-4"/>
        </w:rPr>
        <w:t>结。岩石致密</w:t>
      </w:r>
      <w:r>
        <w:rPr>
          <w:rFonts w:ascii="FangSong" w:hAnsi="FangSong" w:eastAsia="FangSong" w:cs="FangSong"/>
          <w:sz w:val="24"/>
          <w:szCs w:val="24"/>
          <w:spacing w:val="-3"/>
        </w:rPr>
        <w:t>坚硬，局部裂隙中充填有萤石颗粒和萤石细脉。脉体近地表产状受</w:t>
      </w:r>
      <w:r>
        <w:rPr>
          <w:rFonts w:ascii="FangSong" w:hAnsi="FangSong" w:eastAsia="FangSong" w:cs="FangSong"/>
          <w:sz w:val="24"/>
          <w:szCs w:val="24"/>
          <w:spacing w:val="-4"/>
        </w:rPr>
        <w:t>构造影响，东</w:t>
      </w:r>
      <w:r>
        <w:rPr>
          <w:rFonts w:ascii="FangSong" w:hAnsi="FangSong" w:eastAsia="FangSong" w:cs="FangSong"/>
          <w:sz w:val="24"/>
          <w:szCs w:val="24"/>
          <w:spacing w:val="-8"/>
        </w:rPr>
        <w:t>西摆动较大，倾向局部时而向西，时而向东。深部钻孔揭示：略向西倾，产状陡，</w:t>
      </w:r>
      <w:r>
        <w:rPr>
          <w:rFonts w:ascii="FangSong" w:hAnsi="FangSong" w:eastAsia="FangSong" w:cs="FangSong"/>
          <w:sz w:val="24"/>
          <w:szCs w:val="24"/>
          <w:spacing w:val="-3"/>
        </w:rPr>
        <w:t>近乎直立。这现象表明，本项目所在区域在燕山晚期，区内硅质热</w:t>
      </w:r>
      <w:r>
        <w:rPr>
          <w:rFonts w:ascii="FangSong" w:hAnsi="FangSong" w:eastAsia="FangSong" w:cs="FangSong"/>
          <w:sz w:val="24"/>
          <w:szCs w:val="24"/>
          <w:spacing w:val="-4"/>
        </w:rPr>
        <w:t>液活动较为强</w:t>
      </w:r>
      <w:r>
        <w:rPr>
          <w:rFonts w:ascii="FangSong" w:hAnsi="FangSong" w:eastAsia="FangSong" w:cs="FangSong"/>
          <w:sz w:val="24"/>
          <w:szCs w:val="24"/>
          <w:spacing w:val="-1"/>
        </w:rPr>
        <w:t>烈，一部沿先期形成的北北东向较宽的张裂隙充填形成</w:t>
      </w:r>
      <w:r>
        <w:rPr>
          <w:rFonts w:ascii="FangSong" w:hAnsi="FangSong" w:eastAsia="FangSong" w:cs="FangSong"/>
          <w:sz w:val="24"/>
          <w:szCs w:val="24"/>
          <w:spacing w:val="-2"/>
        </w:rPr>
        <w:t>了含萤石矿化的石英脉，</w:t>
      </w:r>
      <w:r>
        <w:rPr>
          <w:rFonts w:ascii="FangSong" w:hAnsi="FangSong" w:eastAsia="FangSong" w:cs="FangSong"/>
          <w:sz w:val="24"/>
          <w:szCs w:val="24"/>
          <w:spacing w:val="-3"/>
        </w:rPr>
        <w:t>另一部分热液则在局部与之平行较小的张裂隙或张裂隙群中充填成</w:t>
      </w:r>
      <w:r>
        <w:rPr>
          <w:rFonts w:ascii="FangSong" w:hAnsi="FangSong" w:eastAsia="FangSong" w:cs="FangSong"/>
          <w:sz w:val="24"/>
          <w:szCs w:val="24"/>
          <w:spacing w:val="-4"/>
        </w:rPr>
        <w:t>矿。区内主矿</w:t>
      </w:r>
      <w:r>
        <w:rPr>
          <w:rFonts w:ascii="FangSong" w:hAnsi="FangSong" w:eastAsia="FangSong" w:cs="FangSong"/>
          <w:sz w:val="24"/>
          <w:szCs w:val="24"/>
          <w:spacing w:val="-3"/>
        </w:rPr>
        <w:t>体就产于该石英脉体东侧附近的张裂隙带内，并与该脉体近似平行</w:t>
      </w:r>
      <w:r>
        <w:rPr>
          <w:rFonts w:ascii="FangSong" w:hAnsi="FangSong" w:eastAsia="FangSong" w:cs="FangSong"/>
          <w:sz w:val="24"/>
          <w:szCs w:val="24"/>
          <w:spacing w:val="-4"/>
        </w:rPr>
        <w:t>产出。这一现</w:t>
      </w:r>
      <w:r>
        <w:rPr>
          <w:rFonts w:ascii="FangSong" w:hAnsi="FangSong" w:eastAsia="FangSong" w:cs="FangSong"/>
          <w:sz w:val="24"/>
          <w:szCs w:val="24"/>
          <w:spacing w:val="-3"/>
        </w:rPr>
        <w:t>象说明，石英脉形成与矿体是同源同期次同一含矿热液相互作用产</w:t>
      </w:r>
      <w:r>
        <w:rPr>
          <w:rFonts w:ascii="FangSong" w:hAnsi="FangSong" w:eastAsia="FangSong" w:cs="FangSong"/>
          <w:sz w:val="24"/>
          <w:szCs w:val="24"/>
          <w:spacing w:val="-4"/>
        </w:rPr>
        <w:t>生的不同结果</w:t>
      </w:r>
      <w:r>
        <w:rPr>
          <w:rFonts w:ascii="FangSong" w:hAnsi="FangSong" w:eastAsia="FangSong" w:cs="FangSong"/>
          <w:sz w:val="24"/>
          <w:szCs w:val="24"/>
          <w:spacing w:val="-4"/>
        </w:rPr>
        <w:t>的表现。</w:t>
      </w:r>
    </w:p>
    <w:p>
      <w:pPr>
        <w:ind w:left="23"/>
        <w:spacing w:before="53" w:line="223" w:lineRule="auto"/>
        <w:outlineLvl w:val="1"/>
        <w:rPr>
          <w:rFonts w:ascii="FangSong" w:hAnsi="FangSong" w:eastAsia="FangSong" w:cs="FangSong"/>
          <w:sz w:val="28"/>
          <w:szCs w:val="28"/>
        </w:rPr>
      </w:pPr>
      <w:bookmarkStart w:name="bookmark232" w:id="313"/>
      <w:bookmarkEnd w:id="313"/>
      <w:bookmarkStart w:name="bookmark234" w:id="314"/>
      <w:bookmarkEnd w:id="314"/>
      <w:bookmarkStart w:name="bookmark231" w:id="315"/>
      <w:bookmarkEnd w:id="315"/>
      <w:bookmarkStart w:name="bookmark233" w:id="316"/>
      <w:bookmarkEnd w:id="316"/>
      <w:r>
        <w:rPr>
          <w:rFonts w:ascii="Times New Roman" w:hAnsi="Times New Roman" w:eastAsia="Times New Roman" w:cs="Times New Roman"/>
          <w:sz w:val="28"/>
          <w:szCs w:val="28"/>
          <w:b/>
          <w:bCs/>
          <w:spacing w:val="-2"/>
        </w:rPr>
        <w:t>5.4  </w:t>
      </w:r>
      <w:r>
        <w:rPr>
          <w:rFonts w:ascii="FangSong" w:hAnsi="FangSong" w:eastAsia="FangSong" w:cs="FangSong"/>
          <w:sz w:val="28"/>
          <w:szCs w:val="28"/>
          <w:b/>
          <w:bCs/>
          <w:spacing w:val="-2"/>
        </w:rPr>
        <w:t>矿床开采技术条件</w:t>
      </w:r>
    </w:p>
    <w:p>
      <w:pPr>
        <w:ind w:left="22"/>
        <w:spacing w:before="227" w:line="223" w:lineRule="auto"/>
        <w:outlineLvl w:val="2"/>
        <w:rPr>
          <w:rFonts w:ascii="FangSong" w:hAnsi="FangSong" w:eastAsia="FangSong" w:cs="FangSong"/>
          <w:sz w:val="24"/>
          <w:szCs w:val="24"/>
        </w:rPr>
      </w:pPr>
      <w:bookmarkStart w:name="bookmark573" w:id="317"/>
      <w:bookmarkEnd w:id="317"/>
      <w:r>
        <w:rPr>
          <w:rFonts w:ascii="Times New Roman" w:hAnsi="Times New Roman" w:eastAsia="Times New Roman" w:cs="Times New Roman"/>
          <w:sz w:val="24"/>
          <w:szCs w:val="24"/>
          <w:b/>
          <w:bCs/>
          <w:spacing w:val="-4"/>
        </w:rPr>
        <w:t>5.4.1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水文地质</w:t>
      </w:r>
    </w:p>
    <w:p>
      <w:pPr>
        <w:ind w:left="518"/>
        <w:spacing w:before="179" w:line="222" w:lineRule="auto"/>
        <w:rPr>
          <w:rFonts w:ascii="FangSong" w:hAnsi="FangSong" w:eastAsia="FangSong" w:cs="FangSong"/>
          <w:sz w:val="24"/>
          <w:szCs w:val="24"/>
        </w:rPr>
      </w:pPr>
      <w:r>
        <w:rPr>
          <w:rFonts w:ascii="FangSong" w:hAnsi="FangSong" w:eastAsia="FangSong" w:cs="FangSong"/>
          <w:sz w:val="24"/>
          <w:szCs w:val="24"/>
          <w:spacing w:val="4"/>
        </w:rPr>
        <w:t>为满足苏尼特右旗富邦矿业有限公司桑宝力嘎额尔</w:t>
      </w:r>
      <w:r>
        <w:rPr>
          <w:rFonts w:ascii="FangSong" w:hAnsi="FangSong" w:eastAsia="FangSong" w:cs="FangSong"/>
          <w:sz w:val="24"/>
          <w:szCs w:val="24"/>
          <w:spacing w:val="3"/>
        </w:rPr>
        <w:t>登塔拉本项目萤石矿储</w:t>
      </w:r>
    </w:p>
    <w:p>
      <w:pPr>
        <w:spacing w:line="222" w:lineRule="auto"/>
        <w:sectPr>
          <w:footerReference w:type="default" r:id="rId227"/>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1" w:right="65" w:firstLine="1"/>
        <w:spacing w:before="78" w:line="360" w:lineRule="auto"/>
        <w:rPr>
          <w:rFonts w:ascii="FangSong" w:hAnsi="FangSong" w:eastAsia="FangSong" w:cs="FangSong"/>
          <w:sz w:val="24"/>
          <w:szCs w:val="24"/>
        </w:rPr>
      </w:pPr>
      <w:r>
        <w:rPr>
          <w:rFonts w:ascii="FangSong" w:hAnsi="FangSong" w:eastAsia="FangSong" w:cs="FangSong"/>
          <w:sz w:val="24"/>
          <w:szCs w:val="24"/>
          <w:spacing w:val="-3"/>
        </w:rPr>
        <w:t>量核实工作的需要，详细查明该矿床开采技术条件，于</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3"/>
        </w:rPr>
        <w:t>2023-2024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年在本项目进</w:t>
      </w:r>
      <w:r>
        <w:rPr>
          <w:rFonts w:ascii="FangSong" w:hAnsi="FangSong" w:eastAsia="FangSong" w:cs="FangSong"/>
          <w:sz w:val="24"/>
          <w:szCs w:val="24"/>
          <w:spacing w:val="-1"/>
        </w:rPr>
        <w:t>行了水文地质、工程地质、环境地质工作，完成的主要工作量见表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5.4-1</w:t>
      </w:r>
      <w:r>
        <w:rPr>
          <w:rFonts w:ascii="FangSong" w:hAnsi="FangSong" w:eastAsia="FangSong" w:cs="FangSong"/>
          <w:sz w:val="24"/>
          <w:szCs w:val="24"/>
          <w:spacing w:val="-1"/>
        </w:rPr>
        <w:t>。</w:t>
      </w:r>
    </w:p>
    <w:p>
      <w:pPr>
        <w:ind w:left="2880"/>
        <w:spacing w:line="220"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5"/>
        </w:rPr>
        <w:t>5.4-1</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5"/>
        </w:rPr>
        <w:t>主要工作量见表</w:t>
      </w:r>
    </w:p>
    <w:p>
      <w:pPr>
        <w:spacing w:line="67" w:lineRule="exact"/>
        <w:rPr/>
      </w:pPr>
      <w:r/>
    </w:p>
    <w:tbl>
      <w:tblPr>
        <w:tblStyle w:val="TableNormal"/>
        <w:tblW w:w="8303" w:type="dxa"/>
        <w:tblInd w:w="1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5"/>
        <w:gridCol w:w="919"/>
        <w:gridCol w:w="1002"/>
        <w:gridCol w:w="967"/>
        <w:gridCol w:w="1002"/>
        <w:gridCol w:w="967"/>
        <w:gridCol w:w="1002"/>
        <w:gridCol w:w="909"/>
        <w:gridCol w:w="590"/>
      </w:tblGrid>
      <w:tr>
        <w:trPr>
          <w:trHeight w:val="797" w:hRule="atLeast"/>
        </w:trPr>
        <w:tc>
          <w:tcPr>
            <w:tcW w:w="945" w:type="dxa"/>
            <w:vAlign w:val="top"/>
            <w:vMerge w:val="restart"/>
            <w:tcBorders>
              <w:top w:val="single" w:color="000000" w:sz="10" w:space="0"/>
              <w:left w:val="nil"/>
              <w:bottom w:val="nil"/>
            </w:tcBorders>
          </w:tcPr>
          <w:p>
            <w:pPr>
              <w:pStyle w:val="TableText"/>
              <w:ind w:left="129"/>
              <w:spacing w:before="305" w:line="268" w:lineRule="exact"/>
              <w:rPr>
                <w:rFonts w:ascii="Times New Roman" w:hAnsi="Times New Roman" w:eastAsia="Times New Roman" w:cs="Times New Roman"/>
              </w:rPr>
            </w:pPr>
            <w:r>
              <w:rPr>
                <w:rFonts w:ascii="Times New Roman" w:hAnsi="Times New Roman" w:eastAsia="Times New Roman" w:cs="Times New Roman"/>
                <w:spacing w:val="-3"/>
                <w:position w:val="1"/>
              </w:rPr>
              <w:t>1</w:t>
            </w:r>
            <w:r>
              <w:rPr>
                <w:rFonts w:ascii="Times New Roman" w:hAnsi="Times New Roman" w:eastAsia="Times New Roman" w:cs="Times New Roman"/>
                <w:spacing w:val="-22"/>
                <w:position w:val="1"/>
              </w:rPr>
              <w:t xml:space="preserve"> </w:t>
            </w:r>
            <w:r>
              <w:rPr>
                <w:spacing w:val="-3"/>
                <w:position w:val="1"/>
              </w:rPr>
              <w:t>：</w:t>
            </w:r>
            <w:r>
              <w:rPr>
                <w:rFonts w:ascii="Times New Roman" w:hAnsi="Times New Roman" w:eastAsia="Times New Roman" w:cs="Times New Roman"/>
                <w:spacing w:val="-3"/>
                <w:position w:val="1"/>
              </w:rPr>
              <w:t>2000</w:t>
            </w:r>
          </w:p>
          <w:p>
            <w:pPr>
              <w:pStyle w:val="TableText"/>
              <w:ind w:left="64"/>
              <w:spacing w:before="43" w:line="232" w:lineRule="auto"/>
              <w:rPr/>
            </w:pPr>
            <w:r>
              <w:rPr>
                <w:spacing w:val="6"/>
              </w:rPr>
              <w:t>水文地质</w:t>
            </w:r>
          </w:p>
          <w:p>
            <w:pPr>
              <w:pStyle w:val="TableText"/>
              <w:ind w:left="276"/>
              <w:spacing w:before="60" w:line="232" w:lineRule="auto"/>
              <w:rPr/>
            </w:pPr>
            <w:r>
              <w:rPr>
                <w:spacing w:val="1"/>
              </w:rPr>
              <w:t>填图</w:t>
            </w:r>
          </w:p>
        </w:tc>
        <w:tc>
          <w:tcPr>
            <w:tcW w:w="919" w:type="dxa"/>
            <w:vAlign w:val="top"/>
            <w:vMerge w:val="restart"/>
            <w:tcBorders>
              <w:top w:val="single" w:color="000000" w:sz="10" w:space="0"/>
              <w:bottom w:val="nil"/>
            </w:tcBorders>
          </w:tcPr>
          <w:p>
            <w:pPr>
              <w:spacing w:line="393" w:lineRule="auto"/>
              <w:rPr>
                <w:rFonts w:ascii="Arial"/>
                <w:sz w:val="21"/>
              </w:rPr>
            </w:pPr>
            <w:r/>
          </w:p>
          <w:p>
            <w:pPr>
              <w:pStyle w:val="TableText"/>
              <w:ind w:left="259" w:right="40" w:hanging="211"/>
              <w:spacing w:before="65" w:line="289" w:lineRule="auto"/>
              <w:rPr/>
            </w:pPr>
            <w:r>
              <w:rPr>
                <w:spacing w:val="6"/>
              </w:rPr>
              <w:t>水文地质</w:t>
            </w:r>
            <w:r>
              <w:rPr>
                <w:spacing w:val="2"/>
              </w:rPr>
              <w:t>钻探</w:t>
            </w:r>
          </w:p>
        </w:tc>
        <w:tc>
          <w:tcPr>
            <w:tcW w:w="1969" w:type="dxa"/>
            <w:vAlign w:val="top"/>
            <w:gridSpan w:val="2"/>
            <w:tcBorders>
              <w:top w:val="single" w:color="000000" w:sz="10" w:space="0"/>
            </w:tcBorders>
          </w:tcPr>
          <w:p>
            <w:pPr>
              <w:pStyle w:val="TableText"/>
              <w:ind w:left="684" w:right="39" w:hanging="636"/>
              <w:spacing w:before="143" w:line="289" w:lineRule="auto"/>
              <w:rPr/>
            </w:pPr>
            <w:r>
              <w:rPr>
                <w:spacing w:val="8"/>
              </w:rPr>
              <w:t>钻孔水文地质工程地</w:t>
            </w:r>
            <w:r>
              <w:rPr>
                <w:spacing w:val="3"/>
              </w:rPr>
              <w:t>质编录</w:t>
            </w:r>
          </w:p>
        </w:tc>
        <w:tc>
          <w:tcPr>
            <w:tcW w:w="1969" w:type="dxa"/>
            <w:vAlign w:val="top"/>
            <w:gridSpan w:val="2"/>
            <w:tcBorders>
              <w:top w:val="single" w:color="000000" w:sz="10" w:space="0"/>
            </w:tcBorders>
          </w:tcPr>
          <w:p>
            <w:pPr>
              <w:pStyle w:val="TableText"/>
              <w:ind w:left="153"/>
              <w:spacing w:before="300" w:line="229" w:lineRule="auto"/>
              <w:rPr/>
            </w:pPr>
            <w:r>
              <w:rPr>
                <w:spacing w:val="8"/>
              </w:rPr>
              <w:t>钻孔简易水文观测</w:t>
            </w:r>
          </w:p>
        </w:tc>
        <w:tc>
          <w:tcPr>
            <w:tcW w:w="1911" w:type="dxa"/>
            <w:vAlign w:val="top"/>
            <w:gridSpan w:val="2"/>
            <w:tcBorders>
              <w:top w:val="single" w:color="000000" w:sz="10" w:space="0"/>
            </w:tcBorders>
          </w:tcPr>
          <w:p>
            <w:pPr>
              <w:pStyle w:val="TableText"/>
              <w:ind w:left="756"/>
              <w:spacing w:before="300" w:line="228" w:lineRule="auto"/>
              <w:rPr/>
            </w:pPr>
            <w:r>
              <w:rPr>
                <w:spacing w:val="1"/>
              </w:rPr>
              <w:t>样品</w:t>
            </w:r>
          </w:p>
        </w:tc>
        <w:tc>
          <w:tcPr>
            <w:tcW w:w="590" w:type="dxa"/>
            <w:vAlign w:val="top"/>
            <w:vMerge w:val="restart"/>
            <w:tcBorders>
              <w:top w:val="single" w:color="000000" w:sz="10" w:space="0"/>
              <w:right w:val="nil"/>
              <w:bottom w:val="nil"/>
            </w:tcBorders>
          </w:tcPr>
          <w:p>
            <w:pPr>
              <w:spacing w:line="274" w:lineRule="auto"/>
              <w:rPr>
                <w:rFonts w:ascii="Arial"/>
                <w:sz w:val="21"/>
              </w:rPr>
            </w:pPr>
            <w:r/>
          </w:p>
          <w:p>
            <w:pPr>
              <w:spacing w:line="274" w:lineRule="auto"/>
              <w:rPr>
                <w:rFonts w:ascii="Arial"/>
                <w:sz w:val="21"/>
              </w:rPr>
            </w:pPr>
            <w:r/>
          </w:p>
          <w:p>
            <w:pPr>
              <w:pStyle w:val="TableText"/>
              <w:ind w:left="98"/>
              <w:spacing w:before="65" w:line="233" w:lineRule="auto"/>
              <w:rPr/>
            </w:pPr>
            <w:r>
              <w:rPr>
                <w:spacing w:val="1"/>
              </w:rPr>
              <w:t>备注</w:t>
            </w:r>
          </w:p>
        </w:tc>
      </w:tr>
      <w:tr>
        <w:trPr>
          <w:trHeight w:val="620" w:hRule="atLeast"/>
        </w:trPr>
        <w:tc>
          <w:tcPr>
            <w:tcW w:w="945" w:type="dxa"/>
            <w:vAlign w:val="top"/>
            <w:vMerge w:val="continue"/>
            <w:tcBorders>
              <w:top w:val="nil"/>
              <w:left w:val="nil"/>
            </w:tcBorders>
          </w:tcPr>
          <w:p>
            <w:pPr>
              <w:rPr>
                <w:rFonts w:ascii="Arial"/>
                <w:sz w:val="21"/>
              </w:rPr>
            </w:pPr>
            <w:r/>
          </w:p>
        </w:tc>
        <w:tc>
          <w:tcPr>
            <w:tcW w:w="919" w:type="dxa"/>
            <w:vAlign w:val="top"/>
            <w:vMerge w:val="continue"/>
            <w:tcBorders>
              <w:top w:val="nil"/>
            </w:tcBorders>
          </w:tcPr>
          <w:p>
            <w:pPr>
              <w:rPr>
                <w:rFonts w:ascii="Arial"/>
                <w:sz w:val="21"/>
              </w:rPr>
            </w:pPr>
            <w:r/>
          </w:p>
        </w:tc>
        <w:tc>
          <w:tcPr>
            <w:tcW w:w="1002" w:type="dxa"/>
            <w:vAlign w:val="top"/>
          </w:tcPr>
          <w:p>
            <w:pPr>
              <w:pStyle w:val="TableText"/>
              <w:spacing w:before="217" w:line="232" w:lineRule="auto"/>
              <w:jc w:val="right"/>
              <w:rPr/>
            </w:pPr>
            <w:r>
              <w:rPr>
                <w:spacing w:val="-4"/>
              </w:rPr>
              <w:t>孔数（个）</w:t>
            </w:r>
          </w:p>
        </w:tc>
        <w:tc>
          <w:tcPr>
            <w:tcW w:w="967" w:type="dxa"/>
            <w:vAlign w:val="top"/>
          </w:tcPr>
          <w:p>
            <w:pPr>
              <w:pStyle w:val="TableText"/>
              <w:ind w:left="185"/>
              <w:spacing w:before="62" w:line="229" w:lineRule="auto"/>
              <w:rPr/>
            </w:pPr>
            <w:r>
              <w:rPr>
                <w:spacing w:val="3"/>
              </w:rPr>
              <w:t>工作量</w:t>
            </w:r>
          </w:p>
          <w:p>
            <w:pPr>
              <w:pStyle w:val="TableText"/>
              <w:ind w:left="208"/>
              <w:spacing w:before="64" w:line="217" w:lineRule="auto"/>
              <w:rPr/>
            </w:pPr>
            <w:r>
              <w:rPr>
                <w:spacing w:val="-1"/>
              </w:rPr>
              <w:t>（</w:t>
            </w:r>
            <w:r>
              <w:rPr>
                <w:rFonts w:ascii="Times New Roman" w:hAnsi="Times New Roman" w:eastAsia="Times New Roman" w:cs="Times New Roman"/>
                <w:spacing w:val="-1"/>
              </w:rPr>
              <w:t>m</w:t>
            </w:r>
            <w:r>
              <w:rPr>
                <w:spacing w:val="-1"/>
              </w:rPr>
              <w:t>）</w:t>
            </w:r>
          </w:p>
        </w:tc>
        <w:tc>
          <w:tcPr>
            <w:tcW w:w="1002" w:type="dxa"/>
            <w:vAlign w:val="top"/>
          </w:tcPr>
          <w:p>
            <w:pPr>
              <w:pStyle w:val="TableText"/>
              <w:spacing w:before="217" w:line="232" w:lineRule="auto"/>
              <w:jc w:val="right"/>
              <w:rPr/>
            </w:pPr>
            <w:r>
              <w:rPr>
                <w:spacing w:val="-4"/>
              </w:rPr>
              <w:t>孔数（个）</w:t>
            </w:r>
          </w:p>
        </w:tc>
        <w:tc>
          <w:tcPr>
            <w:tcW w:w="967" w:type="dxa"/>
            <w:vAlign w:val="top"/>
          </w:tcPr>
          <w:p>
            <w:pPr>
              <w:pStyle w:val="TableText"/>
              <w:ind w:left="185"/>
              <w:spacing w:before="62" w:line="231" w:lineRule="auto"/>
              <w:rPr/>
            </w:pPr>
            <w:r>
              <w:rPr>
                <w:spacing w:val="3"/>
              </w:rPr>
              <w:t>合格率</w:t>
            </w:r>
          </w:p>
          <w:p>
            <w:pPr>
              <w:pStyle w:val="TableText"/>
              <w:ind w:left="200"/>
              <w:spacing w:before="62" w:line="217" w:lineRule="auto"/>
              <w:rPr/>
            </w:pPr>
            <w:r>
              <w:rPr/>
              <w:t>（</w:t>
            </w:r>
            <w:r>
              <w:rPr>
                <w:rFonts w:ascii="Times New Roman" w:hAnsi="Times New Roman" w:eastAsia="Times New Roman" w:cs="Times New Roman"/>
              </w:rPr>
              <w:t>%</w:t>
            </w:r>
            <w:r>
              <w:rPr/>
              <w:t>）</w:t>
            </w:r>
          </w:p>
        </w:tc>
        <w:tc>
          <w:tcPr>
            <w:tcW w:w="1002" w:type="dxa"/>
            <w:vAlign w:val="top"/>
          </w:tcPr>
          <w:p>
            <w:pPr>
              <w:pStyle w:val="TableText"/>
              <w:spacing w:before="218" w:line="228" w:lineRule="auto"/>
              <w:jc w:val="right"/>
              <w:rPr/>
            </w:pPr>
            <w:r>
              <w:rPr>
                <w:spacing w:val="-4"/>
              </w:rPr>
              <w:t>水样（件）</w:t>
            </w:r>
          </w:p>
        </w:tc>
        <w:tc>
          <w:tcPr>
            <w:tcW w:w="909" w:type="dxa"/>
            <w:vAlign w:val="top"/>
          </w:tcPr>
          <w:p>
            <w:pPr>
              <w:pStyle w:val="TableText"/>
              <w:ind w:left="152" w:right="33" w:hanging="109"/>
              <w:spacing w:before="61" w:line="253" w:lineRule="auto"/>
              <w:rPr/>
            </w:pPr>
            <w:r>
              <w:rPr>
                <w:spacing w:val="6"/>
              </w:rPr>
              <w:t>岩石力学</w:t>
            </w:r>
            <w:r>
              <w:rPr>
                <w:spacing w:val="-1"/>
              </w:rPr>
              <w:t>（组）</w:t>
            </w:r>
          </w:p>
        </w:tc>
        <w:tc>
          <w:tcPr>
            <w:tcW w:w="590" w:type="dxa"/>
            <w:vAlign w:val="top"/>
            <w:vMerge w:val="continue"/>
            <w:tcBorders>
              <w:top w:val="nil"/>
              <w:right w:val="nil"/>
            </w:tcBorders>
          </w:tcPr>
          <w:p>
            <w:pPr>
              <w:rPr>
                <w:rFonts w:ascii="Arial"/>
                <w:sz w:val="21"/>
              </w:rPr>
            </w:pPr>
            <w:r/>
          </w:p>
        </w:tc>
      </w:tr>
      <w:tr>
        <w:trPr>
          <w:trHeight w:val="347" w:hRule="atLeast"/>
        </w:trPr>
        <w:tc>
          <w:tcPr>
            <w:tcW w:w="945" w:type="dxa"/>
            <w:vAlign w:val="top"/>
            <w:tcBorders>
              <w:bottom w:val="single" w:color="000000" w:sz="10" w:space="0"/>
              <w:left w:val="nil"/>
            </w:tcBorders>
          </w:tcPr>
          <w:p>
            <w:pPr>
              <w:ind w:left="95"/>
              <w:spacing w:before="9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11.20km</w:t>
            </w:r>
            <w:r>
              <w:rPr>
                <w:rFonts w:ascii="Times New Roman" w:hAnsi="Times New Roman" w:eastAsia="Times New Roman" w:cs="Times New Roman"/>
                <w:sz w:val="13"/>
                <w:szCs w:val="13"/>
                <w:position w:val="6"/>
              </w:rPr>
              <w:t>2</w:t>
            </w:r>
          </w:p>
        </w:tc>
        <w:tc>
          <w:tcPr>
            <w:tcW w:w="919" w:type="dxa"/>
            <w:vAlign w:val="top"/>
            <w:tcBorders>
              <w:bottom w:val="single" w:color="000000" w:sz="10" w:space="0"/>
            </w:tcBorders>
          </w:tcPr>
          <w:p>
            <w:pPr>
              <w:ind w:left="94"/>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10m</w:t>
            </w:r>
          </w:p>
        </w:tc>
        <w:tc>
          <w:tcPr>
            <w:tcW w:w="1002" w:type="dxa"/>
            <w:vAlign w:val="top"/>
            <w:tcBorders>
              <w:bottom w:val="single" w:color="000000" w:sz="10" w:space="0"/>
            </w:tcBorders>
          </w:tcPr>
          <w:p>
            <w:pPr>
              <w:ind w:left="417"/>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967" w:type="dxa"/>
            <w:vAlign w:val="top"/>
            <w:tcBorders>
              <w:bottom w:val="single" w:color="000000" w:sz="10" w:space="0"/>
            </w:tcBorders>
          </w:tcPr>
          <w:p>
            <w:pPr>
              <w:ind w:left="27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3993</w:t>
            </w:r>
          </w:p>
        </w:tc>
        <w:tc>
          <w:tcPr>
            <w:tcW w:w="1002" w:type="dxa"/>
            <w:vAlign w:val="top"/>
            <w:tcBorders>
              <w:bottom w:val="single" w:color="000000" w:sz="10" w:space="0"/>
            </w:tcBorders>
          </w:tcPr>
          <w:p>
            <w:pPr>
              <w:ind w:left="40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67" w:type="dxa"/>
            <w:vAlign w:val="top"/>
            <w:tcBorders>
              <w:bottom w:val="single" w:color="000000" w:sz="10" w:space="0"/>
            </w:tcBorders>
          </w:tcPr>
          <w:p>
            <w:pPr>
              <w:ind w:left="348"/>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002" w:type="dxa"/>
            <w:vAlign w:val="top"/>
            <w:tcBorders>
              <w:bottom w:val="single" w:color="000000" w:sz="10" w:space="0"/>
            </w:tcBorders>
          </w:tcPr>
          <w:p>
            <w:pPr>
              <w:ind w:left="45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9" w:type="dxa"/>
            <w:vAlign w:val="top"/>
            <w:tcBorders>
              <w:bottom w:val="single" w:color="000000" w:sz="10" w:space="0"/>
            </w:tcBorders>
          </w:tcPr>
          <w:p>
            <w:pPr>
              <w:ind w:left="373"/>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590" w:type="dxa"/>
            <w:vAlign w:val="top"/>
            <w:tcBorders>
              <w:bottom w:val="single" w:color="000000" w:sz="10" w:space="0"/>
              <w:right w:val="nil"/>
            </w:tcBorders>
          </w:tcPr>
          <w:p>
            <w:pPr>
              <w:pStyle w:val="TableText"/>
              <w:ind w:left="96"/>
              <w:spacing w:before="77" w:line="232" w:lineRule="auto"/>
              <w:rPr/>
            </w:pPr>
            <w:r>
              <w:rPr>
                <w:spacing w:val="2"/>
              </w:rPr>
              <w:t>勘探</w:t>
            </w:r>
          </w:p>
        </w:tc>
      </w:tr>
    </w:tbl>
    <w:p>
      <w:pPr>
        <w:pStyle w:val="BodyText"/>
        <w:spacing w:line="251" w:lineRule="auto"/>
        <w:rPr/>
      </w:pPr>
      <w:r/>
    </w:p>
    <w:p>
      <w:pPr>
        <w:pStyle w:val="BodyText"/>
        <w:spacing w:line="251" w:lineRule="auto"/>
        <w:rPr/>
      </w:pPr>
      <w:r/>
    </w:p>
    <w:p>
      <w:pPr>
        <w:ind w:left="29" w:right="65" w:firstLine="481"/>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本次水文地质、工程地质、环境地质勘查工作</w:t>
      </w:r>
      <w:r>
        <w:rPr>
          <w:rFonts w:ascii="FangSong" w:hAnsi="FangSong" w:eastAsia="FangSong" w:cs="FangSong"/>
          <w:sz w:val="24"/>
          <w:szCs w:val="24"/>
          <w:spacing w:val="-4"/>
        </w:rPr>
        <w:t>，在搜集利用区域水文地质资</w:t>
      </w:r>
      <w:r>
        <w:rPr>
          <w:rFonts w:ascii="FangSong" w:hAnsi="FangSong" w:eastAsia="FangSong" w:cs="FangSong"/>
          <w:sz w:val="24"/>
          <w:szCs w:val="24"/>
          <w:spacing w:val="-3"/>
        </w:rPr>
        <w:t>料和周边已有工程地质、环境地质资料的基础上，根据《矿区</w:t>
      </w:r>
      <w:r>
        <w:rPr>
          <w:rFonts w:ascii="FangSong" w:hAnsi="FangSong" w:eastAsia="FangSong" w:cs="FangSong"/>
          <w:sz w:val="24"/>
          <w:szCs w:val="24"/>
          <w:spacing w:val="-4"/>
        </w:rPr>
        <w:t>水文地质工程地质</w:t>
      </w:r>
      <w:r>
        <w:rPr>
          <w:rFonts w:ascii="FangSong" w:hAnsi="FangSong" w:eastAsia="FangSong" w:cs="FangSong"/>
          <w:sz w:val="24"/>
          <w:szCs w:val="24"/>
          <w:spacing w:val="2"/>
        </w:rPr>
        <w:t>勘查规范》（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12719-2021</w:t>
      </w:r>
      <w:r>
        <w:rPr>
          <w:rFonts w:ascii="FangSong" w:hAnsi="FangSong" w:eastAsia="FangSong" w:cs="FangSong"/>
          <w:sz w:val="24"/>
          <w:szCs w:val="24"/>
          <w:spacing w:val="2"/>
        </w:rPr>
        <w:t>）的有关规定，结合本项目的实际情况，开展</w:t>
      </w:r>
      <w:r>
        <w:rPr>
          <w:rFonts w:ascii="FangSong" w:hAnsi="FangSong" w:eastAsia="FangSong" w:cs="FangSong"/>
          <w:sz w:val="24"/>
          <w:szCs w:val="24"/>
          <w:spacing w:val="1"/>
        </w:rPr>
        <w:t>了相</w:t>
      </w:r>
      <w:r>
        <w:rPr>
          <w:rFonts w:ascii="FangSong" w:hAnsi="FangSong" w:eastAsia="FangSong" w:cs="FangSong"/>
          <w:sz w:val="24"/>
          <w:szCs w:val="24"/>
          <w:spacing w:val="-3"/>
        </w:rPr>
        <w:t>应的工作。其目的是详细查明本项目含水层及隔水层的岩性、厚度、</w:t>
      </w:r>
      <w:r>
        <w:rPr>
          <w:rFonts w:ascii="FangSong" w:hAnsi="FangSong" w:eastAsia="FangSong" w:cs="FangSong"/>
          <w:sz w:val="24"/>
          <w:szCs w:val="24"/>
          <w:spacing w:val="-4"/>
        </w:rPr>
        <w:t>产状、分布</w:t>
      </w:r>
      <w:r>
        <w:rPr>
          <w:rFonts w:ascii="FangSong" w:hAnsi="FangSong" w:eastAsia="FangSong" w:cs="FangSong"/>
          <w:sz w:val="24"/>
          <w:szCs w:val="24"/>
          <w:spacing w:val="-3"/>
        </w:rPr>
        <w:t>范围、埋藏条件、水位、水质、水量、矿体顶底板岩石的稳定性、本</w:t>
      </w:r>
      <w:r>
        <w:rPr>
          <w:rFonts w:ascii="FangSong" w:hAnsi="FangSong" w:eastAsia="FangSong" w:cs="FangSong"/>
          <w:sz w:val="24"/>
          <w:szCs w:val="24"/>
          <w:spacing w:val="-4"/>
        </w:rPr>
        <w:t>项目地下水</w:t>
      </w:r>
      <w:r>
        <w:rPr>
          <w:rFonts w:ascii="FangSong" w:hAnsi="FangSong" w:eastAsia="FangSong" w:cs="FangSong"/>
          <w:sz w:val="24"/>
          <w:szCs w:val="24"/>
          <w:spacing w:val="-3"/>
        </w:rPr>
        <w:t>的补给、径流、排泄条件及各含水层之间的水力联系，以确定矿床充</w:t>
      </w:r>
      <w:r>
        <w:rPr>
          <w:rFonts w:ascii="FangSong" w:hAnsi="FangSong" w:eastAsia="FangSong" w:cs="FangSong"/>
          <w:sz w:val="24"/>
          <w:szCs w:val="24"/>
          <w:spacing w:val="-4"/>
        </w:rPr>
        <w:t>水因素，预</w:t>
      </w:r>
      <w:r>
        <w:rPr>
          <w:rFonts w:ascii="FangSong" w:hAnsi="FangSong" w:eastAsia="FangSong" w:cs="FangSong"/>
          <w:sz w:val="24"/>
          <w:szCs w:val="24"/>
          <w:spacing w:val="-3"/>
        </w:rPr>
        <w:t>测矿坑涌水量，对矿床水资源综合利用进行分析，指出供水水源方向</w:t>
      </w:r>
      <w:r>
        <w:rPr>
          <w:rFonts w:ascii="FangSong" w:hAnsi="FangSong" w:eastAsia="FangSong" w:cs="FangSong"/>
          <w:sz w:val="24"/>
          <w:szCs w:val="24"/>
          <w:spacing w:val="-4"/>
        </w:rPr>
        <w:t>，评价地质</w:t>
      </w:r>
      <w:r>
        <w:rPr>
          <w:rFonts w:ascii="FangSong" w:hAnsi="FangSong" w:eastAsia="FangSong" w:cs="FangSong"/>
          <w:sz w:val="24"/>
          <w:szCs w:val="24"/>
          <w:spacing w:val="-10"/>
        </w:rPr>
        <w:t>环境。鉴于本阶段工作要为矿山生产提供依据，故水文地质、工程地质工作按《矿</w:t>
      </w:r>
      <w:r>
        <w:rPr>
          <w:rFonts w:ascii="FangSong" w:hAnsi="FangSong" w:eastAsia="FangSong" w:cs="FangSong"/>
          <w:sz w:val="24"/>
          <w:szCs w:val="24"/>
          <w:spacing w:val="-1"/>
        </w:rPr>
        <w:t>区水文地质工程地质勘查规范》勘探阶段要求进行。</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5.4.1.1</w:t>
      </w:r>
      <w:r>
        <w:rPr>
          <w:rFonts w:ascii="Times New Roman" w:hAnsi="Times New Roman" w:eastAsia="Times New Roman" w:cs="Times New Roman"/>
          <w:sz w:val="24"/>
          <w:szCs w:val="24"/>
          <w:b/>
          <w:bCs/>
          <w:spacing w:val="18"/>
          <w:w w:val="101"/>
        </w:rPr>
        <w:t xml:space="preserve">  </w:t>
      </w:r>
      <w:r>
        <w:rPr>
          <w:rFonts w:ascii="FangSong" w:hAnsi="FangSong" w:eastAsia="FangSong" w:cs="FangSong"/>
          <w:sz w:val="24"/>
          <w:szCs w:val="24"/>
          <w:b/>
          <w:bCs/>
          <w:spacing w:val="-4"/>
        </w:rPr>
        <w:t>区域水文地质概况</w:t>
      </w:r>
    </w:p>
    <w:p>
      <w:pPr>
        <w:ind w:left="514"/>
        <w:spacing w:before="179"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）地形地貌及气象</w:t>
      </w:r>
    </w:p>
    <w:p>
      <w:pPr>
        <w:ind w:left="29" w:right="8"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本项目地处内蒙古中北部，锡林郭勒草原西北</w:t>
      </w:r>
      <w:r>
        <w:rPr>
          <w:rFonts w:ascii="FangSong" w:hAnsi="FangSong" w:eastAsia="FangSong" w:cs="FangSong"/>
          <w:sz w:val="24"/>
          <w:szCs w:val="24"/>
          <w:spacing w:val="-4"/>
        </w:rPr>
        <w:t>缘的残山草原区，本项目海拔</w:t>
      </w:r>
      <w:r>
        <w:rPr>
          <w:rFonts w:ascii="FangSong" w:hAnsi="FangSong" w:eastAsia="FangSong" w:cs="FangSong"/>
          <w:sz w:val="24"/>
          <w:szCs w:val="24"/>
          <w:spacing w:val="-2"/>
        </w:rPr>
        <w:t>高度</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1007-1065m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，相对高差</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58m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。最高点位于勘查区南端石英斑岩出露处，最</w:t>
      </w:r>
      <w:r>
        <w:rPr>
          <w:rFonts w:ascii="FangSong" w:hAnsi="FangSong" w:eastAsia="FangSong" w:cs="FangSong"/>
          <w:sz w:val="24"/>
          <w:szCs w:val="24"/>
          <w:spacing w:val="-4"/>
        </w:rPr>
        <w:t>低点位置处于本项目北部一干涸水塘处。最低侵蚀基准面标高</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4"/>
        </w:rPr>
        <w:t>1007m</w:t>
      </w:r>
      <w:r>
        <w:rPr>
          <w:rFonts w:ascii="FangSong" w:hAnsi="FangSong" w:eastAsia="FangSong" w:cs="FangSong"/>
          <w:sz w:val="24"/>
          <w:szCs w:val="24"/>
          <w:spacing w:val="-4"/>
        </w:rPr>
        <w:t>。区内地形</w:t>
      </w:r>
      <w:r>
        <w:rPr>
          <w:rFonts w:ascii="FangSong" w:hAnsi="FangSong" w:eastAsia="FangSong" w:cs="FangSong"/>
          <w:sz w:val="24"/>
          <w:szCs w:val="24"/>
          <w:spacing w:val="-2"/>
        </w:rPr>
        <w:t>总体北高南低，基岩地形切割较浅，植被较发育且绝大部分被第四系砂土覆盖。</w:t>
      </w:r>
      <w:r>
        <w:rPr>
          <w:rFonts w:ascii="FangSong" w:hAnsi="FangSong" w:eastAsia="FangSong" w:cs="FangSong"/>
          <w:sz w:val="24"/>
          <w:szCs w:val="24"/>
          <w:spacing w:val="-1"/>
        </w:rPr>
        <w:t>区内按地貌单元类型划分属高原低山</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平缓草原区。</w:t>
      </w:r>
    </w:p>
    <w:p>
      <w:pPr>
        <w:ind w:left="29" w:firstLine="480"/>
        <w:spacing w:before="7" w:line="349" w:lineRule="auto"/>
        <w:jc w:val="both"/>
        <w:rPr>
          <w:rFonts w:ascii="FangSong" w:hAnsi="FangSong" w:eastAsia="FangSong" w:cs="FangSong"/>
          <w:sz w:val="24"/>
          <w:szCs w:val="24"/>
        </w:rPr>
      </w:pPr>
      <w:r>
        <w:rPr>
          <w:rFonts w:ascii="FangSong" w:hAnsi="FangSong" w:eastAsia="FangSong" w:cs="FangSong"/>
          <w:sz w:val="24"/>
          <w:szCs w:val="24"/>
          <w:spacing w:val="-8"/>
        </w:rPr>
        <w:t>本项目为半干旱气候，主要气候特征为：寒</w:t>
      </w:r>
      <w:r>
        <w:rPr>
          <w:rFonts w:ascii="FangSong" w:hAnsi="FangSong" w:eastAsia="FangSong" w:cs="FangSong"/>
          <w:sz w:val="24"/>
          <w:szCs w:val="24"/>
          <w:spacing w:val="-9"/>
        </w:rPr>
        <w:t>冷、干燥、多风，昼夜温差较大，</w:t>
      </w:r>
      <w:r>
        <w:rPr>
          <w:rFonts w:ascii="FangSong" w:hAnsi="FangSong" w:eastAsia="FangSong" w:cs="FangSong"/>
          <w:sz w:val="24"/>
          <w:szCs w:val="24"/>
          <w:spacing w:val="-1"/>
        </w:rPr>
        <w:t>表现为典型的大陆性气候。其特点是：夏季炎热、冬季</w:t>
      </w:r>
      <w:r>
        <w:rPr>
          <w:rFonts w:ascii="FangSong" w:hAnsi="FangSong" w:eastAsia="FangSong" w:cs="FangSong"/>
          <w:sz w:val="24"/>
          <w:szCs w:val="24"/>
          <w:spacing w:val="-2"/>
        </w:rPr>
        <w:t>寒冷，降水量小而集中，</w:t>
      </w:r>
      <w:r>
        <w:rPr>
          <w:rFonts w:ascii="FangSong" w:hAnsi="FangSong" w:eastAsia="FangSong" w:cs="FangSong"/>
          <w:sz w:val="24"/>
          <w:szCs w:val="24"/>
          <w:spacing w:val="-2"/>
        </w:rPr>
        <w:t>蒸发量大，空气干燥。据苏尼特右旗气象局</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
        </w:rPr>
        <w:t>013-2022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年气象资料：年日最低气</w:t>
      </w:r>
      <w:r>
        <w:rPr>
          <w:rFonts w:ascii="FangSong" w:hAnsi="FangSong" w:eastAsia="FangSong" w:cs="FangSong"/>
          <w:sz w:val="24"/>
          <w:szCs w:val="24"/>
          <w:spacing w:val="-9"/>
        </w:rPr>
        <w:t>温</w:t>
      </w:r>
      <w:r>
        <w:rPr>
          <w:rFonts w:ascii="Times New Roman" w:hAnsi="Times New Roman" w:eastAsia="Times New Roman" w:cs="Times New Roman"/>
          <w:sz w:val="24"/>
          <w:szCs w:val="24"/>
          <w:spacing w:val="-9"/>
        </w:rPr>
        <w:t>-39.6</w:t>
      </w:r>
      <w:r>
        <w:rPr>
          <w:rFonts w:ascii="FangSong" w:hAnsi="FangSong" w:eastAsia="FangSong" w:cs="FangSong"/>
          <w:sz w:val="24"/>
          <w:szCs w:val="24"/>
          <w:spacing w:val="-9"/>
        </w:rPr>
        <w:t>℃</w:t>
      </w:r>
      <w:r>
        <w:rPr>
          <w:rFonts w:ascii="FangSong" w:hAnsi="FangSong" w:eastAsia="FangSong" w:cs="FangSong"/>
          <w:sz w:val="24"/>
          <w:szCs w:val="24"/>
          <w:spacing w:val="-87"/>
        </w:rPr>
        <w:t xml:space="preserve"> </w:t>
      </w:r>
      <w:r>
        <w:rPr>
          <w:rFonts w:ascii="FangSong" w:hAnsi="FangSong" w:eastAsia="FangSong" w:cs="FangSong"/>
          <w:sz w:val="24"/>
          <w:szCs w:val="24"/>
          <w:spacing w:val="-9"/>
        </w:rPr>
        <w:t>,</w:t>
      </w:r>
      <w:r>
        <w:rPr>
          <w:rFonts w:ascii="FangSong" w:hAnsi="FangSong" w:eastAsia="FangSong" w:cs="FangSong"/>
          <w:sz w:val="24"/>
          <w:szCs w:val="24"/>
          <w:spacing w:val="44"/>
        </w:rPr>
        <w:t xml:space="preserve"> </w:t>
      </w:r>
      <w:r>
        <w:rPr>
          <w:rFonts w:ascii="FangSong" w:hAnsi="FangSong" w:eastAsia="FangSong" w:cs="FangSong"/>
          <w:sz w:val="24"/>
          <w:szCs w:val="24"/>
          <w:spacing w:val="-9"/>
        </w:rPr>
        <w:t>最高</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39</w:t>
      </w:r>
      <w:r>
        <w:rPr>
          <w:rFonts w:ascii="FangSong" w:hAnsi="FangSong" w:eastAsia="FangSong" w:cs="FangSong"/>
          <w:sz w:val="24"/>
          <w:szCs w:val="24"/>
          <w:spacing w:val="-9"/>
        </w:rPr>
        <w:t>℃</w:t>
      </w:r>
      <w:r>
        <w:rPr>
          <w:rFonts w:ascii="FangSong" w:hAnsi="FangSong" w:eastAsia="FangSong" w:cs="FangSong"/>
          <w:sz w:val="24"/>
          <w:szCs w:val="24"/>
          <w:spacing w:val="-88"/>
        </w:rPr>
        <w:t xml:space="preserve"> </w:t>
      </w:r>
      <w:r>
        <w:rPr>
          <w:rFonts w:ascii="FangSong" w:hAnsi="FangSong" w:eastAsia="FangSong" w:cs="FangSong"/>
          <w:sz w:val="24"/>
          <w:szCs w:val="24"/>
          <w:spacing w:val="-9"/>
        </w:rPr>
        <w:t>,</w:t>
      </w:r>
      <w:r>
        <w:rPr>
          <w:rFonts w:ascii="FangSong" w:hAnsi="FangSong" w:eastAsia="FangSong" w:cs="FangSong"/>
          <w:sz w:val="24"/>
          <w:szCs w:val="24"/>
          <w:spacing w:val="42"/>
        </w:rPr>
        <w:t xml:space="preserve"> </w:t>
      </w:r>
      <w:r>
        <w:rPr>
          <w:rFonts w:ascii="FangSong" w:hAnsi="FangSong" w:eastAsia="FangSong" w:cs="FangSong"/>
          <w:sz w:val="24"/>
          <w:szCs w:val="24"/>
          <w:spacing w:val="-9"/>
        </w:rPr>
        <w:t>年平均气温</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4.3</w:t>
      </w:r>
      <w:r>
        <w:rPr>
          <w:rFonts w:ascii="FangSong" w:hAnsi="FangSong" w:eastAsia="FangSong" w:cs="FangSong"/>
          <w:sz w:val="24"/>
          <w:szCs w:val="24"/>
          <w:spacing w:val="-9"/>
        </w:rPr>
        <w:t>℃</w:t>
      </w:r>
      <w:r>
        <w:rPr>
          <w:rFonts w:ascii="FangSong" w:hAnsi="FangSong" w:eastAsia="FangSong" w:cs="FangSong"/>
          <w:sz w:val="24"/>
          <w:szCs w:val="24"/>
          <w:spacing w:val="-87"/>
        </w:rPr>
        <w:t xml:space="preserve"> </w:t>
      </w:r>
      <w:r>
        <w:rPr>
          <w:rFonts w:ascii="FangSong" w:hAnsi="FangSong" w:eastAsia="FangSong" w:cs="FangSong"/>
          <w:sz w:val="24"/>
          <w:szCs w:val="24"/>
          <w:spacing w:val="-9"/>
        </w:rPr>
        <w:t>,</w:t>
      </w:r>
      <w:r>
        <w:rPr>
          <w:rFonts w:ascii="FangSong" w:hAnsi="FangSong" w:eastAsia="FangSong" w:cs="FangSong"/>
          <w:sz w:val="24"/>
          <w:szCs w:val="24"/>
          <w:spacing w:val="41"/>
        </w:rPr>
        <w:t xml:space="preserve"> </w:t>
      </w:r>
      <w:r>
        <w:rPr>
          <w:rFonts w:ascii="FangSong" w:hAnsi="FangSong" w:eastAsia="FangSong" w:cs="FangSong"/>
          <w:sz w:val="24"/>
          <w:szCs w:val="24"/>
          <w:spacing w:val="-9"/>
        </w:rPr>
        <w:t>年温差达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9"/>
        </w:rPr>
        <w:t>74</w:t>
      </w:r>
      <w:r>
        <w:rPr>
          <w:rFonts w:ascii="FangSong" w:hAnsi="FangSong" w:eastAsia="FangSong" w:cs="FangSong"/>
          <w:sz w:val="24"/>
          <w:szCs w:val="24"/>
          <w:spacing w:val="-9"/>
        </w:rPr>
        <w:t>℃</w:t>
      </w:r>
      <w:r>
        <w:rPr>
          <w:rFonts w:ascii="FangSong" w:hAnsi="FangSong" w:eastAsia="FangSong" w:cs="FangSong"/>
          <w:sz w:val="24"/>
          <w:szCs w:val="24"/>
          <w:spacing w:val="-10"/>
        </w:rPr>
        <w:t>。冰冻期从九月底到翌</w:t>
      </w:r>
      <w:r>
        <w:rPr>
          <w:rFonts w:ascii="FangSong" w:hAnsi="FangSong" w:eastAsia="FangSong" w:cs="FangSong"/>
          <w:sz w:val="24"/>
          <w:szCs w:val="24"/>
          <w:spacing w:val="-4"/>
        </w:rPr>
        <w:t>年五月，长达八个月之久，冻土层厚约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2.3m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。年平均降水量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16</w:t>
      </w:r>
      <w:r>
        <w:rPr>
          <w:rFonts w:ascii="Times New Roman" w:hAnsi="Times New Roman" w:eastAsia="Times New Roman" w:cs="Times New Roman"/>
          <w:sz w:val="24"/>
          <w:szCs w:val="24"/>
          <w:spacing w:val="-5"/>
        </w:rPr>
        <w:t>7.62mm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5"/>
        </w:rPr>
        <w:t>，年最大</w:t>
      </w:r>
      <w:r>
        <w:rPr>
          <w:rFonts w:ascii="FangSong" w:hAnsi="FangSong" w:eastAsia="FangSong" w:cs="FangSong"/>
          <w:sz w:val="24"/>
          <w:szCs w:val="24"/>
          <w:spacing w:val="-6"/>
        </w:rPr>
        <w:t>降水量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239.</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10mm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6"/>
        </w:rPr>
        <w:t>，年最小降水量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105.40mm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FangSong" w:hAnsi="FangSong" w:eastAsia="FangSong" w:cs="FangSong"/>
          <w:sz w:val="24"/>
          <w:szCs w:val="24"/>
          <w:spacing w:val="-59"/>
        </w:rPr>
        <w:t xml:space="preserve"> </w:t>
      </w:r>
      <w:r>
        <w:rPr>
          <w:rFonts w:ascii="FangSong" w:hAnsi="FangSong" w:eastAsia="FangSong" w:cs="FangSong"/>
          <w:sz w:val="24"/>
          <w:szCs w:val="24"/>
          <w:spacing w:val="-6"/>
        </w:rPr>
        <w:t>日最大降水量</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60.2mm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6"/>
        </w:rPr>
        <w:t>，年蒸发量</w:t>
      </w:r>
    </w:p>
    <w:p>
      <w:pPr>
        <w:spacing w:line="349" w:lineRule="auto"/>
        <w:sectPr>
          <w:footerReference w:type="default" r:id="rId228"/>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4" w:right="83" w:firstLine="2"/>
        <w:spacing w:before="78" w:line="360" w:lineRule="auto"/>
        <w:jc w:val="both"/>
        <w:rPr>
          <w:rFonts w:ascii="FangSong" w:hAnsi="FangSong" w:eastAsia="FangSong" w:cs="FangSong"/>
          <w:sz w:val="24"/>
          <w:szCs w:val="24"/>
        </w:rPr>
      </w:pPr>
      <w:r>
        <w:rPr>
          <w:rFonts w:ascii="FangSong" w:hAnsi="FangSong" w:eastAsia="FangSong" w:cs="FangSong"/>
          <w:sz w:val="24"/>
          <w:szCs w:val="24"/>
        </w:rPr>
        <w:t>高达</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rPr>
        <w:t>2423.9mm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6-8</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rPr>
        <w:t>月为雨季。区内水网不发育，无常年性地表水。区内风向</w:t>
      </w:r>
      <w:r>
        <w:rPr>
          <w:rFonts w:ascii="FangSong" w:hAnsi="FangSong" w:eastAsia="FangSong" w:cs="FangSong"/>
          <w:sz w:val="24"/>
          <w:szCs w:val="24"/>
          <w:spacing w:val="-3"/>
        </w:rPr>
        <w:t>以西北风为主，最大风速十级（</w:t>
      </w:r>
      <w:r>
        <w:rPr>
          <w:rFonts w:ascii="Times New Roman" w:hAnsi="Times New Roman" w:eastAsia="Times New Roman" w:cs="Times New Roman"/>
          <w:sz w:val="24"/>
          <w:szCs w:val="24"/>
          <w:spacing w:val="-3"/>
        </w:rPr>
        <w:t>28m/s</w:t>
      </w:r>
      <w:r>
        <w:rPr>
          <w:rFonts w:ascii="FangSong" w:hAnsi="FangSong" w:eastAsia="FangSong" w:cs="FangSong"/>
          <w:sz w:val="24"/>
          <w:szCs w:val="24"/>
          <w:spacing w:val="-2"/>
        </w:rPr>
        <w:t>），</w:t>
      </w:r>
      <w:r>
        <w:rPr>
          <w:rFonts w:ascii="FangSong" w:hAnsi="FangSong" w:eastAsia="FangSong" w:cs="FangSong"/>
          <w:sz w:val="24"/>
          <w:szCs w:val="24"/>
          <w:spacing w:val="-3"/>
        </w:rPr>
        <w:t>平均风速为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级（</w:t>
      </w:r>
      <w:r>
        <w:rPr>
          <w:rFonts w:ascii="Times New Roman" w:hAnsi="Times New Roman" w:eastAsia="Times New Roman" w:cs="Times New Roman"/>
          <w:sz w:val="24"/>
          <w:szCs w:val="24"/>
          <w:spacing w:val="-3"/>
        </w:rPr>
        <w:t>15m/s</w:t>
      </w:r>
      <w:r>
        <w:rPr>
          <w:rFonts w:ascii="FangSong" w:hAnsi="FangSong" w:eastAsia="FangSong" w:cs="FangSong"/>
          <w:sz w:val="24"/>
          <w:szCs w:val="24"/>
          <w:spacing w:val="-2"/>
        </w:rPr>
        <w:t>），</w:t>
      </w:r>
      <w:r>
        <w:rPr>
          <w:rFonts w:ascii="FangSong" w:hAnsi="FangSong" w:eastAsia="FangSong" w:cs="FangSong"/>
          <w:sz w:val="24"/>
          <w:szCs w:val="24"/>
          <w:spacing w:val="-3"/>
        </w:rPr>
        <w:t>冬</w:t>
      </w:r>
      <w:r>
        <w:rPr>
          <w:rFonts w:ascii="FangSong" w:hAnsi="FangSong" w:eastAsia="FangSong" w:cs="FangSong"/>
          <w:sz w:val="24"/>
          <w:szCs w:val="24"/>
          <w:spacing w:val="-4"/>
        </w:rPr>
        <w:t>春季节</w:t>
      </w:r>
      <w:r>
        <w:rPr>
          <w:rFonts w:ascii="FangSong" w:hAnsi="FangSong" w:eastAsia="FangSong" w:cs="FangSong"/>
          <w:sz w:val="24"/>
          <w:szCs w:val="24"/>
          <w:spacing w:val="-7"/>
        </w:rPr>
        <w:t>（每年</w:t>
      </w:r>
      <w:r>
        <w:rPr>
          <w:rFonts w:ascii="FangSong" w:hAnsi="FangSong" w:eastAsia="FangSong" w:cs="FangSong"/>
          <w:sz w:val="24"/>
          <w:szCs w:val="24"/>
          <w:spacing w:val="-16"/>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7"/>
        </w:rPr>
        <w:t>月</w:t>
      </w:r>
      <w:r>
        <w:rPr>
          <w:rFonts w:ascii="Times New Roman" w:hAnsi="Times New Roman" w:eastAsia="Times New Roman" w:cs="Times New Roman"/>
          <w:sz w:val="24"/>
          <w:szCs w:val="24"/>
          <w:spacing w:val="-7"/>
        </w:rPr>
        <w:t>-</w:t>
      </w:r>
      <w:r>
        <w:rPr>
          <w:rFonts w:ascii="FangSong" w:hAnsi="FangSong" w:eastAsia="FangSong" w:cs="FangSong"/>
          <w:sz w:val="24"/>
          <w:szCs w:val="24"/>
          <w:spacing w:val="-7"/>
        </w:rPr>
        <w:t>次年</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7"/>
        </w:rPr>
        <w:t>月）多强风沙天气。</w:t>
      </w:r>
    </w:p>
    <w:p>
      <w:pPr>
        <w:ind w:left="22"/>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5.4.1.2</w:t>
      </w:r>
      <w:r>
        <w:rPr>
          <w:rFonts w:ascii="Times New Roman" w:hAnsi="Times New Roman" w:eastAsia="Times New Roman" w:cs="Times New Roman"/>
          <w:sz w:val="24"/>
          <w:szCs w:val="24"/>
          <w:b/>
          <w:bCs/>
          <w:spacing w:val="21"/>
          <w:w w:val="101"/>
        </w:rPr>
        <w:t xml:space="preserve">  </w:t>
      </w:r>
      <w:r>
        <w:rPr>
          <w:rFonts w:ascii="FangSong" w:hAnsi="FangSong" w:eastAsia="FangSong" w:cs="FangSong"/>
          <w:sz w:val="24"/>
          <w:szCs w:val="24"/>
          <w:b/>
          <w:bCs/>
          <w:spacing w:val="-4"/>
        </w:rPr>
        <w:t>区域含水层及其富水性</w:t>
      </w:r>
    </w:p>
    <w:p>
      <w:pPr>
        <w:ind w:left="29" w:right="83" w:firstLine="501"/>
        <w:spacing w:before="180" w:line="360" w:lineRule="auto"/>
        <w:jc w:val="both"/>
        <w:rPr>
          <w:rFonts w:ascii="FangSong" w:hAnsi="FangSong" w:eastAsia="FangSong" w:cs="FangSong"/>
          <w:sz w:val="24"/>
          <w:szCs w:val="24"/>
        </w:rPr>
      </w:pPr>
      <w:r>
        <w:rPr>
          <w:rFonts w:ascii="FangSong" w:hAnsi="FangSong" w:eastAsia="FangSong" w:cs="FangSong"/>
          <w:sz w:val="24"/>
          <w:szCs w:val="24"/>
          <w:spacing w:val="-4"/>
        </w:rPr>
        <w:t>区域地下水的埋藏、分布及富水性受地层岩性、构造、地形地貌、岩石风化</w:t>
      </w:r>
      <w:r>
        <w:rPr>
          <w:rFonts w:ascii="FangSong" w:hAnsi="FangSong" w:eastAsia="FangSong" w:cs="FangSong"/>
          <w:sz w:val="24"/>
          <w:szCs w:val="24"/>
        </w:rPr>
        <w:t>程度等因素的控制。根据地下水埋藏条件、含水介</w:t>
      </w:r>
      <w:r>
        <w:rPr>
          <w:rFonts w:ascii="FangSong" w:hAnsi="FangSong" w:eastAsia="FangSong" w:cs="FangSong"/>
          <w:sz w:val="24"/>
          <w:szCs w:val="24"/>
          <w:spacing w:val="-1"/>
        </w:rPr>
        <w:t>质及水力特征，据</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万区域</w:t>
      </w:r>
      <w:r>
        <w:rPr>
          <w:rFonts w:ascii="FangSong" w:hAnsi="FangSong" w:eastAsia="FangSong" w:cs="FangSong"/>
          <w:sz w:val="24"/>
          <w:szCs w:val="24"/>
          <w:spacing w:val="-1"/>
        </w:rPr>
        <w:t>水文地质资料及</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1"/>
        </w:rPr>
        <w:t>2017</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年《内蒙古自治区苏尼特右旗桑宝力嘎额尔登塔拉矿区萤</w:t>
      </w:r>
      <w:r>
        <w:rPr>
          <w:rFonts w:ascii="FangSong" w:hAnsi="FangSong" w:eastAsia="FangSong" w:cs="FangSong"/>
          <w:sz w:val="24"/>
          <w:szCs w:val="24"/>
          <w:spacing w:val="-3"/>
        </w:rPr>
        <w:t>石矿生产及深部详查报告》，区域地下水类型主要为基岩风化裂隙潜</w:t>
      </w:r>
      <w:r>
        <w:rPr>
          <w:rFonts w:ascii="FangSong" w:hAnsi="FangSong" w:eastAsia="FangSong" w:cs="FangSong"/>
          <w:sz w:val="24"/>
          <w:szCs w:val="24"/>
          <w:spacing w:val="-4"/>
        </w:rPr>
        <w:t>水，第三系</w:t>
      </w:r>
      <w:r>
        <w:rPr>
          <w:rFonts w:ascii="FangSong" w:hAnsi="FangSong" w:eastAsia="FangSong" w:cs="FangSong"/>
          <w:sz w:val="24"/>
          <w:szCs w:val="24"/>
          <w:spacing w:val="-1"/>
        </w:rPr>
        <w:t>孔隙裂隙水，地表分布的第四系在低洼地段有汇集的孔隙潜水。</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）第四系松散沉积物（孔隙）含水层</w:t>
      </w:r>
    </w:p>
    <w:p>
      <w:pPr>
        <w:ind w:left="18" w:right="83" w:firstLine="489"/>
        <w:spacing w:before="182" w:line="359" w:lineRule="auto"/>
        <w:rPr>
          <w:rFonts w:ascii="FangSong" w:hAnsi="FangSong" w:eastAsia="FangSong" w:cs="FangSong"/>
          <w:sz w:val="24"/>
          <w:szCs w:val="24"/>
        </w:rPr>
      </w:pPr>
      <w:r>
        <w:rPr>
          <w:rFonts w:ascii="FangSong" w:hAnsi="FangSong" w:eastAsia="FangSong" w:cs="FangSong"/>
          <w:sz w:val="24"/>
          <w:szCs w:val="24"/>
          <w:spacing w:val="-1"/>
        </w:rPr>
        <w:t>岩性主要为冲洪积砂砾石和风成砂土，厚度</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
        </w:rPr>
        <w:t>1.0-5.00m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，风成砂土多为透水</w:t>
      </w:r>
      <w:r>
        <w:rPr>
          <w:rFonts w:ascii="FangSong" w:hAnsi="FangSong" w:eastAsia="FangSong" w:cs="FangSong"/>
          <w:sz w:val="24"/>
          <w:szCs w:val="24"/>
          <w:spacing w:val="-1"/>
        </w:rPr>
        <w:t>不含水层，只在低洼地带含有少量的孔隙水，水位埋深</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2.30-10.20m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w:t>
      </w:r>
      <w:r>
        <w:rPr>
          <w:rFonts w:ascii="FangSong" w:hAnsi="FangSong" w:eastAsia="FangSong" w:cs="FangSong"/>
          <w:sz w:val="24"/>
          <w:szCs w:val="24"/>
          <w:spacing w:val="-71"/>
        </w:rPr>
        <w:t xml:space="preserve"> </w:t>
      </w:r>
      <w:r>
        <w:rPr>
          <w:rFonts w:ascii="FangSong" w:hAnsi="FangSong" w:eastAsia="FangSong" w:cs="FangSong"/>
          <w:sz w:val="24"/>
          <w:szCs w:val="24"/>
          <w:spacing w:val="-1"/>
        </w:rPr>
        <w:t>民井</w:t>
      </w:r>
      <w:r>
        <w:rPr>
          <w:rFonts w:ascii="FangSong" w:hAnsi="FangSong" w:eastAsia="FangSong" w:cs="FangSong"/>
          <w:sz w:val="24"/>
          <w:szCs w:val="24"/>
          <w:spacing w:val="-2"/>
        </w:rPr>
        <w:t>单井</w:t>
      </w:r>
      <w:r>
        <w:rPr>
          <w:rFonts w:ascii="FangSong" w:hAnsi="FangSong" w:eastAsia="FangSong" w:cs="FangSong"/>
          <w:sz w:val="24"/>
          <w:szCs w:val="24"/>
          <w:spacing w:val="2"/>
        </w:rPr>
        <w:t>涌水量</w:t>
      </w:r>
      <w:r>
        <w:rPr>
          <w:rFonts w:ascii="FangSong" w:hAnsi="FangSong" w:eastAsia="FangSong" w:cs="FangSong"/>
          <w:sz w:val="24"/>
          <w:szCs w:val="24"/>
          <w:spacing w:val="-64"/>
        </w:rPr>
        <w:t xml:space="preserve"> </w:t>
      </w:r>
      <w:r>
        <w:rPr>
          <w:rFonts w:ascii="FangSong" w:hAnsi="FangSong" w:eastAsia="FangSong" w:cs="FangSong"/>
          <w:sz w:val="24"/>
          <w:szCs w:val="24"/>
          <w:spacing w:val="2"/>
        </w:rPr>
        <w:t>一般</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2"/>
        </w:rPr>
        <w:t>20-40m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 </w:t>
      </w:r>
      <w:r>
        <w:rPr>
          <w:rFonts w:ascii="FangSong" w:hAnsi="FangSong" w:eastAsia="FangSong" w:cs="FangSong"/>
          <w:sz w:val="24"/>
          <w:szCs w:val="24"/>
          <w:spacing w:val="2"/>
        </w:rPr>
        <w:t>，矿化度</w:t>
      </w:r>
      <w:r>
        <w:rPr>
          <w:rFonts w:ascii="FangSong" w:hAnsi="FangSong" w:eastAsia="FangSong" w:cs="FangSong"/>
          <w:sz w:val="24"/>
          <w:szCs w:val="24"/>
          <w:spacing w:val="-69"/>
        </w:rPr>
        <w:t xml:space="preserve"> </w:t>
      </w:r>
      <w:r>
        <w:rPr>
          <w:rFonts w:ascii="FangSong" w:hAnsi="FangSong" w:eastAsia="FangSong" w:cs="FangSong"/>
          <w:sz w:val="24"/>
          <w:szCs w:val="24"/>
          <w:spacing w:val="2"/>
        </w:rPr>
        <w:t>一般小</w:t>
      </w:r>
      <w:r>
        <w:rPr>
          <w:rFonts w:ascii="FangSong" w:hAnsi="FangSong" w:eastAsia="FangSong" w:cs="FangSong"/>
          <w:sz w:val="24"/>
          <w:szCs w:val="24"/>
          <w:spacing w:val="-68"/>
        </w:rPr>
        <w:t xml:space="preserve"> </w:t>
      </w:r>
      <w:r>
        <w:rPr>
          <w:rFonts w:ascii="FangSong" w:hAnsi="FangSong" w:eastAsia="FangSong" w:cs="FangSong"/>
          <w:sz w:val="24"/>
          <w:szCs w:val="24"/>
          <w:spacing w:val="2"/>
        </w:rPr>
        <w:t>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1g/l </w:t>
      </w:r>
      <w:r>
        <w:rPr>
          <w:rFonts w:ascii="FangSong" w:hAnsi="FangSong" w:eastAsia="FangSong" w:cs="FangSong"/>
          <w:sz w:val="24"/>
          <w:szCs w:val="24"/>
          <w:spacing w:val="2"/>
        </w:rPr>
        <w:t>。水化</w:t>
      </w:r>
      <w:r>
        <w:rPr>
          <w:rFonts w:ascii="FangSong" w:hAnsi="FangSong" w:eastAsia="FangSong" w:cs="FangSong"/>
          <w:sz w:val="24"/>
          <w:szCs w:val="24"/>
          <w:spacing w:val="-63"/>
        </w:rPr>
        <w:t xml:space="preserve"> </w:t>
      </w:r>
      <w:r>
        <w:rPr>
          <w:rFonts w:ascii="FangSong" w:hAnsi="FangSong" w:eastAsia="FangSong" w:cs="FangSong"/>
          <w:sz w:val="24"/>
          <w:szCs w:val="24"/>
          <w:spacing w:val="2"/>
        </w:rPr>
        <w:t>学</w:t>
      </w:r>
      <w:r>
        <w:rPr>
          <w:rFonts w:ascii="FangSong" w:hAnsi="FangSong" w:eastAsia="FangSong" w:cs="FangSong"/>
          <w:sz w:val="24"/>
          <w:szCs w:val="24"/>
          <w:spacing w:val="-70"/>
        </w:rPr>
        <w:t xml:space="preserve"> </w:t>
      </w:r>
      <w:r>
        <w:rPr>
          <w:rFonts w:ascii="FangSong" w:hAnsi="FangSong" w:eastAsia="FangSong" w:cs="FangSong"/>
          <w:sz w:val="24"/>
          <w:szCs w:val="24"/>
          <w:spacing w:val="2"/>
        </w:rPr>
        <w:t>类型</w:t>
      </w:r>
      <w:r>
        <w:rPr>
          <w:rFonts w:ascii="FangSong" w:hAnsi="FangSong" w:eastAsia="FangSong" w:cs="FangSong"/>
          <w:sz w:val="24"/>
          <w:szCs w:val="24"/>
          <w:spacing w:val="-64"/>
        </w:rPr>
        <w:t xml:space="preserve"> </w:t>
      </w:r>
      <w:r>
        <w:rPr>
          <w:rFonts w:ascii="FangSong" w:hAnsi="FangSong" w:eastAsia="FangSong" w:cs="FangSong"/>
          <w:sz w:val="24"/>
          <w:szCs w:val="24"/>
          <w:spacing w:val="2"/>
        </w:rPr>
        <w:t>为</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rPr>
        <w:t>HCO</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Na</w:t>
      </w:r>
      <w:r>
        <w:rPr>
          <w:rFonts w:ascii="Times New Roman" w:hAnsi="Times New Roman" w:eastAsia="Times New Roman" w:cs="Times New Roman"/>
          <w:sz w:val="24"/>
          <w:szCs w:val="24"/>
          <w:spacing w:val="49"/>
        </w:rPr>
        <w:t xml:space="preserve"> </w:t>
      </w:r>
      <w:r>
        <w:rPr>
          <w:rFonts w:ascii="FangSong" w:hAnsi="FangSong" w:eastAsia="FangSong" w:cs="FangSong"/>
          <w:sz w:val="24"/>
          <w:szCs w:val="24"/>
          <w:spacing w:val="2"/>
        </w:rPr>
        <w:t>和</w:t>
      </w:r>
      <w:r>
        <w:rPr>
          <w:rFonts w:ascii="Times New Roman" w:hAnsi="Times New Roman" w:eastAsia="Times New Roman" w:cs="Times New Roman"/>
          <w:sz w:val="24"/>
          <w:szCs w:val="24"/>
          <w:spacing w:val="-1"/>
        </w:rPr>
        <w:t>HCO</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-SO</w:t>
      </w:r>
      <w:r>
        <w:rPr>
          <w:rFonts w:ascii="Times New Roman" w:hAnsi="Times New Roman" w:eastAsia="Times New Roman" w:cs="Times New Roman"/>
          <w:sz w:val="15"/>
          <w:szCs w:val="15"/>
          <w:spacing w:val="-1"/>
        </w:rPr>
        <w:t>4</w:t>
      </w:r>
      <w:r>
        <w:rPr>
          <w:rFonts w:ascii="Times New Roman" w:hAnsi="Times New Roman" w:eastAsia="Times New Roman" w:cs="Times New Roman"/>
          <w:sz w:val="24"/>
          <w:szCs w:val="24"/>
          <w:spacing w:val="-1"/>
        </w:rPr>
        <w:t>-Na</w:t>
      </w:r>
      <w:r>
        <w:rPr>
          <w:rFonts w:ascii="Times New Roman" w:hAnsi="Times New Roman" w:eastAsia="Times New Roman" w:cs="Times New Roman"/>
          <w:sz w:val="24"/>
          <w:szCs w:val="24"/>
          <w:spacing w:val="38"/>
          <w:w w:val="101"/>
        </w:rPr>
        <w:t xml:space="preserve"> </w:t>
      </w:r>
      <w:r>
        <w:rPr>
          <w:rFonts w:ascii="FangSong" w:hAnsi="FangSong" w:eastAsia="FangSong" w:cs="FangSong"/>
          <w:sz w:val="24"/>
          <w:szCs w:val="24"/>
          <w:spacing w:val="-19"/>
        </w:rPr>
        <w:t>·</w:t>
      </w:r>
      <w:r>
        <w:rPr>
          <w:rFonts w:ascii="Times New Roman" w:hAnsi="Times New Roman" w:eastAsia="Times New Roman" w:cs="Times New Roman"/>
          <w:sz w:val="24"/>
          <w:szCs w:val="24"/>
          <w:spacing w:val="-19"/>
        </w:rPr>
        <w:t>Ca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9"/>
        </w:rPr>
        <w:t>型水。</w:t>
      </w:r>
    </w:p>
    <w:p>
      <w:pPr>
        <w:ind w:left="514"/>
        <w:spacing w:before="4"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）第三系孔隙裂隙水</w:t>
      </w:r>
    </w:p>
    <w:p>
      <w:pPr>
        <w:ind w:left="18" w:firstLine="492"/>
        <w:spacing w:before="179" w:line="359" w:lineRule="auto"/>
        <w:rPr>
          <w:rFonts w:ascii="FangSong" w:hAnsi="FangSong" w:eastAsia="FangSong" w:cs="FangSong"/>
          <w:sz w:val="24"/>
          <w:szCs w:val="24"/>
        </w:rPr>
      </w:pPr>
      <w:r>
        <w:rPr>
          <w:rFonts w:ascii="FangSong" w:hAnsi="FangSong" w:eastAsia="FangSong" w:cs="FangSong"/>
          <w:sz w:val="24"/>
          <w:szCs w:val="24"/>
          <w:spacing w:val="-3"/>
        </w:rPr>
        <w:t>本项目区域上分布有第三系地层，潜水仅在隔</w:t>
      </w:r>
      <w:r>
        <w:rPr>
          <w:rFonts w:ascii="FangSong" w:hAnsi="FangSong" w:eastAsia="FangSong" w:cs="FangSong"/>
          <w:sz w:val="24"/>
          <w:szCs w:val="24"/>
          <w:spacing w:val="-4"/>
        </w:rPr>
        <w:t>水泥岩顶面较低，且上覆有胶</w:t>
      </w:r>
      <w:r>
        <w:rPr>
          <w:rFonts w:ascii="FangSong" w:hAnsi="FangSong" w:eastAsia="FangSong" w:cs="FangSong"/>
          <w:sz w:val="24"/>
          <w:szCs w:val="24"/>
          <w:spacing w:val="-7"/>
        </w:rPr>
        <w:t>结较差的砂岩、砂砾岩的局部洼地中，才形成断续分布的局部洼地孔隙裂</w:t>
      </w:r>
      <w:r>
        <w:rPr>
          <w:rFonts w:ascii="FangSong" w:hAnsi="FangSong" w:eastAsia="FangSong" w:cs="FangSong"/>
          <w:sz w:val="24"/>
          <w:szCs w:val="24"/>
          <w:spacing w:val="-8"/>
        </w:rPr>
        <w:t>隙潜水。</w:t>
      </w:r>
      <w:r>
        <w:rPr>
          <w:rFonts w:ascii="FangSong" w:hAnsi="FangSong" w:eastAsia="FangSong" w:cs="FangSong"/>
          <w:sz w:val="24"/>
          <w:szCs w:val="24"/>
          <w:spacing w:val="3"/>
        </w:rPr>
        <w:t>局部洼地潜水因径流距离短，水质一般较好。矿化度小于</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3"/>
        </w:rPr>
        <w:t>1g/l</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，水化学类型为</w:t>
      </w:r>
      <w:r>
        <w:rPr>
          <w:rFonts w:ascii="Times New Roman" w:hAnsi="Times New Roman" w:eastAsia="Times New Roman" w:cs="Times New Roman"/>
          <w:sz w:val="24"/>
          <w:szCs w:val="24"/>
          <w:spacing w:val="-1"/>
        </w:rPr>
        <w:t>HCO</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-Na</w:t>
      </w:r>
      <w:r>
        <w:rPr>
          <w:rFonts w:ascii="Times New Roman" w:hAnsi="Times New Roman" w:eastAsia="Times New Roman" w:cs="Times New Roman"/>
          <w:sz w:val="24"/>
          <w:szCs w:val="24"/>
          <w:spacing w:val="38"/>
          <w:w w:val="101"/>
        </w:rPr>
        <w:t xml:space="preserve"> </w:t>
      </w:r>
      <w:r>
        <w:rPr>
          <w:rFonts w:ascii="FangSong" w:hAnsi="FangSong" w:eastAsia="FangSong" w:cs="FangSong"/>
          <w:sz w:val="24"/>
          <w:szCs w:val="24"/>
          <w:spacing w:val="-16"/>
        </w:rPr>
        <w:t>·</w:t>
      </w:r>
      <w:r>
        <w:rPr>
          <w:rFonts w:ascii="Times New Roman" w:hAnsi="Times New Roman" w:eastAsia="Times New Roman" w:cs="Times New Roman"/>
          <w:sz w:val="24"/>
          <w:szCs w:val="24"/>
          <w:spacing w:val="-16"/>
        </w:rPr>
        <w:t>Mg</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6"/>
        </w:rPr>
        <w:t>和</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6"/>
        </w:rPr>
        <w:t>HCO</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Ca</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Mg</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6"/>
        </w:rPr>
        <w:t>型。单井涌水量一般小于</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6"/>
        </w:rPr>
        <w:t>10m</w:t>
      </w:r>
      <w:r>
        <w:rPr>
          <w:rFonts w:ascii="Times New Roman" w:hAnsi="Times New Roman" w:eastAsia="Times New Roman" w:cs="Times New Roman"/>
          <w:sz w:val="15"/>
          <w:szCs w:val="15"/>
          <w:spacing w:val="-6"/>
          <w:position w:val="7"/>
        </w:rPr>
        <w:t>3</w:t>
      </w:r>
      <w:r>
        <w:rPr>
          <w:rFonts w:ascii="Times New Roman" w:hAnsi="Times New Roman" w:eastAsia="Times New Roman" w:cs="Times New Roman"/>
          <w:sz w:val="24"/>
          <w:szCs w:val="24"/>
          <w:spacing w:val="-6"/>
        </w:rPr>
        <w:t>/d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。深部层</w:t>
      </w:r>
      <w:r>
        <w:rPr>
          <w:rFonts w:ascii="FangSong" w:hAnsi="FangSong" w:eastAsia="FangSong" w:cs="FangSong"/>
          <w:sz w:val="24"/>
          <w:szCs w:val="24"/>
          <w:spacing w:val="-7"/>
        </w:rPr>
        <w:t>间水</w:t>
      </w:r>
      <w:r>
        <w:rPr>
          <w:rFonts w:ascii="FangSong" w:hAnsi="FangSong" w:eastAsia="FangSong" w:cs="FangSong"/>
          <w:sz w:val="24"/>
          <w:szCs w:val="24"/>
          <w:spacing w:val="-3"/>
        </w:rPr>
        <w:t>受地质构造和古地理条件的严格控制，含水层断续分布，顶板埋深不稳定，单井</w:t>
      </w:r>
      <w:r>
        <w:rPr>
          <w:rFonts w:ascii="FangSong" w:hAnsi="FangSong" w:eastAsia="FangSong" w:cs="FangSong"/>
          <w:sz w:val="24"/>
          <w:szCs w:val="24"/>
          <w:spacing w:val="-2"/>
        </w:rPr>
        <w:t>涌水量一般小于</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100m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p>
    <w:p>
      <w:pPr>
        <w:ind w:left="514"/>
        <w:spacing w:before="7"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）基岩风化裂隙含水层</w:t>
      </w:r>
    </w:p>
    <w:p>
      <w:pPr>
        <w:ind w:left="32" w:right="83" w:firstLine="508"/>
        <w:spacing w:before="179" w:line="360" w:lineRule="auto"/>
        <w:rPr>
          <w:rFonts w:ascii="FangSong" w:hAnsi="FangSong" w:eastAsia="FangSong" w:cs="FangSong"/>
          <w:sz w:val="24"/>
          <w:szCs w:val="24"/>
        </w:rPr>
      </w:pPr>
      <w:r>
        <w:rPr>
          <w:rFonts w:ascii="FangSong" w:hAnsi="FangSong" w:eastAsia="FangSong" w:cs="FangSong"/>
          <w:sz w:val="24"/>
          <w:szCs w:val="24"/>
          <w:spacing w:val="-4"/>
        </w:rPr>
        <w:t>由花岗岩、变质岩组成的低缓丘陵，基岩呈零星出露</w:t>
      </w:r>
      <w:r>
        <w:rPr>
          <w:rFonts w:ascii="FangSong" w:hAnsi="FangSong" w:eastAsia="FangSong" w:cs="FangSong"/>
          <w:sz w:val="24"/>
          <w:szCs w:val="24"/>
          <w:spacing w:val="-5"/>
        </w:rPr>
        <w:t>，且露头不好，地下水</w:t>
      </w:r>
      <w:r>
        <w:rPr>
          <w:rFonts w:ascii="FangSong" w:hAnsi="FangSong" w:eastAsia="FangSong" w:cs="FangSong"/>
          <w:sz w:val="24"/>
          <w:szCs w:val="24"/>
          <w:spacing w:val="11"/>
        </w:rPr>
        <w:t>分布在局部低洼地带或导水的断裂破碎带，水量很小，单井涌水量一般小于</w:t>
      </w:r>
      <w:r>
        <w:rPr>
          <w:rFonts w:ascii="Times New Roman" w:hAnsi="Times New Roman" w:eastAsia="Times New Roman" w:cs="Times New Roman"/>
          <w:sz w:val="24"/>
          <w:szCs w:val="24"/>
          <w:spacing w:val="-3"/>
        </w:rPr>
        <w:t>10m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，但在北西向的张性断裂中富水性一般较好，单井涌水量可达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55m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，水</w:t>
      </w:r>
      <w:r>
        <w:rPr>
          <w:rFonts w:ascii="FangSong" w:hAnsi="FangSong" w:eastAsia="FangSong" w:cs="FangSong"/>
          <w:sz w:val="24"/>
          <w:szCs w:val="24"/>
          <w:spacing w:val="-2"/>
        </w:rPr>
        <w:t>质一般较好，水化学类型为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HCO</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-Na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和</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HCO</w:t>
      </w:r>
      <w:r>
        <w:rPr>
          <w:rFonts w:ascii="Times New Roman" w:hAnsi="Times New Roman" w:eastAsia="Times New Roman" w:cs="Times New Roman"/>
          <w:sz w:val="15"/>
          <w:szCs w:val="15"/>
          <w:spacing w:val="-2"/>
        </w:rPr>
        <w:t>3</w:t>
      </w:r>
      <w:r>
        <w:rPr>
          <w:rFonts w:ascii="Times New Roman" w:hAnsi="Times New Roman" w:eastAsia="Times New Roman" w:cs="Times New Roman"/>
          <w:sz w:val="24"/>
          <w:szCs w:val="24"/>
          <w:spacing w:val="-2"/>
        </w:rPr>
        <w:t>-SO</w:t>
      </w:r>
      <w:r>
        <w:rPr>
          <w:rFonts w:ascii="Times New Roman" w:hAnsi="Times New Roman" w:eastAsia="Times New Roman" w:cs="Times New Roman"/>
          <w:sz w:val="15"/>
          <w:szCs w:val="15"/>
          <w:spacing w:val="-2"/>
        </w:rPr>
        <w:t>4</w:t>
      </w:r>
      <w:r>
        <w:rPr>
          <w:rFonts w:ascii="Times New Roman" w:hAnsi="Times New Roman" w:eastAsia="Times New Roman" w:cs="Times New Roman"/>
          <w:sz w:val="24"/>
          <w:szCs w:val="24"/>
          <w:spacing w:val="-2"/>
        </w:rPr>
        <w:t>-Na</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2"/>
        </w:rPr>
        <w:t>型。</w:t>
      </w:r>
    </w:p>
    <w:p>
      <w:pPr>
        <w:ind w:left="22"/>
        <w:spacing w:before="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5.4.1.3</w:t>
      </w:r>
      <w:r>
        <w:rPr>
          <w:rFonts w:ascii="Times New Roman" w:hAnsi="Times New Roman" w:eastAsia="Times New Roman" w:cs="Times New Roman"/>
          <w:sz w:val="24"/>
          <w:szCs w:val="24"/>
          <w:b/>
          <w:bCs/>
          <w:spacing w:val="25"/>
          <w:w w:val="101"/>
        </w:rPr>
        <w:t xml:space="preserve">  </w:t>
      </w:r>
      <w:r>
        <w:rPr>
          <w:rFonts w:ascii="FangSong" w:hAnsi="FangSong" w:eastAsia="FangSong" w:cs="FangSong"/>
          <w:sz w:val="24"/>
          <w:szCs w:val="24"/>
          <w:b/>
          <w:bCs/>
          <w:spacing w:val="-4"/>
        </w:rPr>
        <w:t>区域地下水的补给、径流与排泄</w:t>
      </w:r>
    </w:p>
    <w:p>
      <w:pPr>
        <w:ind w:left="514"/>
        <w:spacing w:before="180"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）区域地下水的补给</w:t>
      </w:r>
    </w:p>
    <w:p>
      <w:pPr>
        <w:ind w:left="510"/>
        <w:spacing w:before="179" w:line="222" w:lineRule="auto"/>
        <w:rPr>
          <w:rFonts w:ascii="FangSong" w:hAnsi="FangSong" w:eastAsia="FangSong" w:cs="FangSong"/>
          <w:sz w:val="24"/>
          <w:szCs w:val="24"/>
        </w:rPr>
      </w:pPr>
      <w:r>
        <w:rPr>
          <w:rFonts w:ascii="FangSong" w:hAnsi="FangSong" w:eastAsia="FangSong" w:cs="FangSong"/>
          <w:sz w:val="24"/>
          <w:szCs w:val="24"/>
          <w:spacing w:val="-3"/>
        </w:rPr>
        <w:t>本区域地下水的主要补给来源为大气降水和地</w:t>
      </w:r>
      <w:r>
        <w:rPr>
          <w:rFonts w:ascii="FangSong" w:hAnsi="FangSong" w:eastAsia="FangSong" w:cs="FangSong"/>
          <w:sz w:val="24"/>
          <w:szCs w:val="24"/>
          <w:spacing w:val="-4"/>
        </w:rPr>
        <w:t>下水的径流补给，降雨的补给</w:t>
      </w:r>
    </w:p>
    <w:p>
      <w:pPr>
        <w:spacing w:line="222" w:lineRule="auto"/>
        <w:sectPr>
          <w:footerReference w:type="default" r:id="rId229"/>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37"/>
        <w:spacing w:before="78" w:line="222" w:lineRule="auto"/>
        <w:rPr>
          <w:rFonts w:ascii="FangSong" w:hAnsi="FangSong" w:eastAsia="FangSong" w:cs="FangSong"/>
          <w:sz w:val="24"/>
          <w:szCs w:val="24"/>
        </w:rPr>
      </w:pPr>
      <w:bookmarkStart w:name="bookmark574" w:id="318"/>
      <w:bookmarkEnd w:id="318"/>
      <w:r>
        <w:rPr>
          <w:rFonts w:ascii="FangSong" w:hAnsi="FangSong" w:eastAsia="FangSong" w:cs="FangSong"/>
          <w:sz w:val="24"/>
          <w:szCs w:val="24"/>
          <w:spacing w:val="-2"/>
        </w:rPr>
        <w:t>强度总体较小，补给时间短。</w:t>
      </w:r>
    </w:p>
    <w:p>
      <w:pPr>
        <w:ind w:left="514"/>
        <w:spacing w:before="180"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）区域地下水的径流</w:t>
      </w:r>
    </w:p>
    <w:p>
      <w:pPr>
        <w:ind w:left="44" w:right="185" w:firstLine="476"/>
        <w:spacing w:before="178" w:line="360" w:lineRule="auto"/>
        <w:rPr>
          <w:rFonts w:ascii="FangSong" w:hAnsi="FangSong" w:eastAsia="FangSong" w:cs="FangSong"/>
          <w:sz w:val="24"/>
          <w:szCs w:val="24"/>
        </w:rPr>
      </w:pPr>
      <w:r>
        <w:rPr>
          <w:rFonts w:ascii="FangSong" w:hAnsi="FangSong" w:eastAsia="FangSong" w:cs="FangSong"/>
          <w:sz w:val="24"/>
          <w:szCs w:val="24"/>
          <w:spacing w:val="-4"/>
        </w:rPr>
        <w:t>第四系松散沉积物（孔隙）潜水含水层主要分布在沟谷之中，砂砾石渗透性</w:t>
      </w:r>
      <w:r>
        <w:rPr>
          <w:rFonts w:ascii="FangSong" w:hAnsi="FangSong" w:eastAsia="FangSong" w:cs="FangSong"/>
          <w:sz w:val="24"/>
          <w:szCs w:val="24"/>
          <w:spacing w:val="-4"/>
        </w:rPr>
        <w:t>能良好，故地下水径流畅通，径流方向由受地形地貌影响由北东向南西方向流入</w:t>
      </w:r>
      <w:r>
        <w:rPr>
          <w:rFonts w:ascii="FangSong" w:hAnsi="FangSong" w:eastAsia="FangSong" w:cs="FangSong"/>
          <w:sz w:val="24"/>
          <w:szCs w:val="24"/>
          <w:spacing w:val="-2"/>
        </w:rPr>
        <w:t>山前洪积扇，本区域地下水总体流向北东向南西径流。</w:t>
      </w:r>
    </w:p>
    <w:p>
      <w:pPr>
        <w:ind w:left="514"/>
        <w:spacing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）区域地下水排泄</w:t>
      </w:r>
    </w:p>
    <w:p>
      <w:pPr>
        <w:ind w:left="510"/>
        <w:spacing w:before="180" w:line="222" w:lineRule="auto"/>
        <w:rPr>
          <w:rFonts w:ascii="FangSong" w:hAnsi="FangSong" w:eastAsia="FangSong" w:cs="FangSong"/>
          <w:sz w:val="24"/>
          <w:szCs w:val="24"/>
        </w:rPr>
      </w:pPr>
      <w:r>
        <w:rPr>
          <w:rFonts w:ascii="FangSong" w:hAnsi="FangSong" w:eastAsia="FangSong" w:cs="FangSong"/>
          <w:sz w:val="24"/>
          <w:szCs w:val="24"/>
          <w:spacing w:val="-1"/>
        </w:rPr>
        <w:t>地下水排泄方式以径流排泄为主，其次为地面蒸发和少量人工开采。</w:t>
      </w:r>
    </w:p>
    <w:p>
      <w:pPr>
        <w:ind w:left="22"/>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5.4.1.4  </w:t>
      </w:r>
      <w:r>
        <w:rPr>
          <w:rFonts w:ascii="FangSong" w:hAnsi="FangSong" w:eastAsia="FangSong" w:cs="FangSong"/>
          <w:sz w:val="24"/>
          <w:szCs w:val="24"/>
          <w:b/>
          <w:bCs/>
          <w:spacing w:val="-2"/>
        </w:rPr>
        <w:t>本项目水文地质</w:t>
      </w:r>
    </w:p>
    <w:p>
      <w:pPr>
        <w:ind w:left="25" w:right="102" w:firstLine="485"/>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本项目地势南高北低，地形起伏不大，海拔标</w:t>
      </w:r>
      <w:r>
        <w:rPr>
          <w:rFonts w:ascii="FangSong" w:hAnsi="FangSong" w:eastAsia="FangSong" w:cs="FangSong"/>
          <w:sz w:val="24"/>
          <w:szCs w:val="24"/>
          <w:spacing w:val="-4"/>
        </w:rPr>
        <w:t>高</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1007.0-1065.0m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，相对高差</w:t>
      </w:r>
      <w:r>
        <w:rPr>
          <w:rFonts w:ascii="Times New Roman" w:hAnsi="Times New Roman" w:eastAsia="Times New Roman" w:cs="Times New Roman"/>
          <w:sz w:val="24"/>
          <w:szCs w:val="24"/>
        </w:rPr>
        <w:t>58.0m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rPr>
        <w:t>，地貌类型主要为高平原区；地形起伏地段山体呈浑圆状，山顶较平坦，</w:t>
      </w:r>
      <w:r>
        <w:rPr>
          <w:rFonts w:ascii="FangSong" w:hAnsi="FangSong" w:eastAsia="FangSong" w:cs="FangSong"/>
          <w:sz w:val="24"/>
          <w:szCs w:val="24"/>
          <w:spacing w:val="-7"/>
        </w:rPr>
        <w:t>山坡缓倾，地形坡度</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7"/>
        </w:rPr>
        <w:t>15-25°</w:t>
      </w:r>
      <w:r>
        <w:rPr>
          <w:rFonts w:ascii="FangSong" w:hAnsi="FangSong" w:eastAsia="FangSong" w:cs="FangSong"/>
          <w:sz w:val="24"/>
          <w:szCs w:val="24"/>
          <w:spacing w:val="-7"/>
        </w:rPr>
        <w:t>；高平原区地势平坦</w:t>
      </w:r>
      <w:r>
        <w:rPr>
          <w:rFonts w:ascii="FangSong" w:hAnsi="FangSong" w:eastAsia="FangSong" w:cs="FangSong"/>
          <w:sz w:val="24"/>
          <w:szCs w:val="24"/>
          <w:spacing w:val="-8"/>
        </w:rPr>
        <w:t>开阔，属冲洪积、风成堆积地貌。</w:t>
      </w:r>
      <w:r>
        <w:rPr>
          <w:rFonts w:ascii="FangSong" w:hAnsi="FangSong" w:eastAsia="FangSong" w:cs="FangSong"/>
          <w:sz w:val="24"/>
          <w:szCs w:val="24"/>
        </w:rPr>
        <w:t>矿体赋存标高</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rPr>
        <w:t>838.0-1065.0m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w:t>
      </w:r>
      <w:r>
        <w:rPr>
          <w:rFonts w:ascii="FangSong" w:hAnsi="FangSong" w:eastAsia="FangSong" w:cs="FangSong"/>
          <w:sz w:val="24"/>
          <w:szCs w:val="24"/>
          <w:spacing w:val="-1"/>
        </w:rPr>
        <w:t>本项目最低海拔标高</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1007.0m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，位于本项目西南</w:t>
      </w:r>
      <w:r>
        <w:rPr>
          <w:rFonts w:ascii="FangSong" w:hAnsi="FangSong" w:eastAsia="FangSong" w:cs="FangSong"/>
          <w:sz w:val="24"/>
          <w:szCs w:val="24"/>
        </w:rPr>
        <w:t>部边缘，为当地最低侵蚀基准面，本项目内大部</w:t>
      </w:r>
      <w:r>
        <w:rPr>
          <w:rFonts w:ascii="FangSong" w:hAnsi="FangSong" w:eastAsia="FangSong" w:cs="FangSong"/>
          <w:sz w:val="24"/>
          <w:szCs w:val="24"/>
          <w:spacing w:val="-1"/>
        </w:rPr>
        <w:t>分矿体位于侵蚀基准面以下。</w:t>
      </w:r>
    </w:p>
    <w:p>
      <w:pPr>
        <w:ind w:left="27" w:right="185" w:firstLine="482"/>
        <w:spacing w:before="3" w:line="359" w:lineRule="auto"/>
        <w:rPr>
          <w:rFonts w:ascii="FangSong" w:hAnsi="FangSong" w:eastAsia="FangSong" w:cs="FangSong"/>
          <w:sz w:val="24"/>
          <w:szCs w:val="24"/>
        </w:rPr>
      </w:pPr>
      <w:r>
        <w:rPr>
          <w:rFonts w:ascii="FangSong" w:hAnsi="FangSong" w:eastAsia="FangSong" w:cs="FangSong"/>
          <w:sz w:val="24"/>
          <w:szCs w:val="24"/>
          <w:spacing w:val="-3"/>
        </w:rPr>
        <w:t>按含水介质、水力类型、埋藏条件，勘查区划分</w:t>
      </w:r>
      <w:r>
        <w:rPr>
          <w:rFonts w:ascii="FangSong" w:hAnsi="FangSong" w:eastAsia="FangSong" w:cs="FangSong"/>
          <w:sz w:val="24"/>
          <w:szCs w:val="24"/>
          <w:spacing w:val="-4"/>
        </w:rPr>
        <w:t>的主要含水层为第四系松散</w:t>
      </w:r>
      <w:r>
        <w:rPr>
          <w:rFonts w:ascii="FangSong" w:hAnsi="FangSong" w:eastAsia="FangSong" w:cs="FangSong"/>
          <w:sz w:val="24"/>
          <w:szCs w:val="24"/>
          <w:spacing w:val="-1"/>
        </w:rPr>
        <w:t>岩类孔隙潜水含（透）水层、基岩裂隙含水层。具体分述如下：</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）含（隔）水层水文地质特征</w:t>
      </w:r>
    </w:p>
    <w:p>
      <w:pPr>
        <w:ind w:left="502"/>
        <w:spacing w:before="177" w:line="222"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第四系松散岩类孔隙潜水含（透）水层</w:t>
      </w:r>
    </w:p>
    <w:p>
      <w:pPr>
        <w:ind w:left="31" w:firstLine="479"/>
        <w:spacing w:before="180" w:line="360" w:lineRule="auto"/>
        <w:rPr>
          <w:rFonts w:ascii="FangSong" w:hAnsi="FangSong" w:eastAsia="FangSong" w:cs="FangSong"/>
          <w:sz w:val="24"/>
          <w:szCs w:val="24"/>
        </w:rPr>
      </w:pPr>
      <w:r>
        <w:rPr>
          <w:rFonts w:ascii="FangSong" w:hAnsi="FangSong" w:eastAsia="FangSong" w:cs="FangSong"/>
          <w:sz w:val="24"/>
          <w:szCs w:val="24"/>
          <w:spacing w:val="-3"/>
        </w:rPr>
        <w:t>据本项目内钻孔揭露，残坡积层主要由砂土及</w:t>
      </w:r>
      <w:r>
        <w:rPr>
          <w:rFonts w:ascii="FangSong" w:hAnsi="FangSong" w:eastAsia="FangSong" w:cs="FangSong"/>
          <w:sz w:val="24"/>
          <w:szCs w:val="24"/>
          <w:spacing w:val="-4"/>
        </w:rPr>
        <w:t>碎石组成，碎石大小不一，堆</w:t>
      </w:r>
      <w:r>
        <w:rPr>
          <w:rFonts w:ascii="FangSong" w:hAnsi="FangSong" w:eastAsia="FangSong" w:cs="FangSong"/>
          <w:sz w:val="24"/>
          <w:szCs w:val="24"/>
          <w:spacing w:val="-3"/>
        </w:rPr>
        <w:t>积松散，为透水不含水层，只有在低洼地带见有少量地下水。</w:t>
      </w:r>
      <w:r>
        <w:rPr>
          <w:rFonts w:ascii="FangSong" w:hAnsi="FangSong" w:eastAsia="FangSong" w:cs="FangSong"/>
          <w:sz w:val="24"/>
          <w:szCs w:val="24"/>
          <w:spacing w:val="-4"/>
        </w:rPr>
        <w:t>对本项目内以及外</w:t>
      </w:r>
      <w:r>
        <w:rPr>
          <w:rFonts w:ascii="FangSong" w:hAnsi="FangSong" w:eastAsia="FangSong" w:cs="FangSong"/>
          <w:sz w:val="24"/>
          <w:szCs w:val="24"/>
          <w:spacing w:val="-3"/>
        </w:rPr>
        <w:t>围的民井进行调查，井点多分布于沟谷及南部低洼地带。含水</w:t>
      </w:r>
      <w:r>
        <w:rPr>
          <w:rFonts w:ascii="FangSong" w:hAnsi="FangSong" w:eastAsia="FangSong" w:cs="FangSong"/>
          <w:sz w:val="24"/>
          <w:szCs w:val="24"/>
          <w:spacing w:val="-4"/>
        </w:rPr>
        <w:t>层岩性为第四系冲</w:t>
      </w:r>
      <w:r>
        <w:rPr>
          <w:rFonts w:ascii="FangSong" w:hAnsi="FangSong" w:eastAsia="FangSong" w:cs="FangSong"/>
          <w:sz w:val="24"/>
          <w:szCs w:val="24"/>
          <w:spacing w:val="-10"/>
        </w:rPr>
        <w:t>洪积砂砾层、坡积砂土，厚度一般为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10"/>
        </w:rPr>
        <w:t>1.20-5.00m</w:t>
      </w:r>
      <w:r>
        <w:rPr>
          <w:rFonts w:ascii="FangSong" w:hAnsi="FangSong" w:eastAsia="FangSong" w:cs="FangSong"/>
          <w:sz w:val="24"/>
          <w:szCs w:val="24"/>
          <w:spacing w:val="-10"/>
        </w:rPr>
        <w:t>，地下水位埋深一般为</w:t>
      </w:r>
      <w:r>
        <w:rPr>
          <w:rFonts w:ascii="FangSong" w:hAnsi="FangSong" w:eastAsia="FangSong" w:cs="FangSong"/>
          <w:sz w:val="24"/>
          <w:szCs w:val="24"/>
          <w:spacing w:val="-67"/>
        </w:rPr>
        <w:t xml:space="preserve"> </w:t>
      </w:r>
      <w:r>
        <w:rPr>
          <w:rFonts w:ascii="Times New Roman" w:hAnsi="Times New Roman" w:eastAsia="Times New Roman" w:cs="Times New Roman"/>
          <w:sz w:val="24"/>
          <w:szCs w:val="24"/>
          <w:spacing w:val="-10"/>
        </w:rPr>
        <w:t>2.30-10.20m</w:t>
      </w:r>
      <w:r>
        <w:rPr>
          <w:rFonts w:ascii="FangSong" w:hAnsi="FangSong" w:eastAsia="FangSong" w:cs="FangSong"/>
          <w:sz w:val="24"/>
          <w:szCs w:val="24"/>
          <w:spacing w:val="-10"/>
        </w:rPr>
        <w:t>，</w:t>
      </w:r>
      <w:r>
        <w:rPr>
          <w:rFonts w:ascii="FangSong" w:hAnsi="FangSong" w:eastAsia="FangSong" w:cs="FangSong"/>
          <w:sz w:val="24"/>
          <w:szCs w:val="24"/>
          <w:spacing w:val="-5"/>
        </w:rPr>
        <w:t>单位涌水量小于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s</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w:t>
      </w:r>
      <w:r>
        <w:rPr>
          <w:rFonts w:ascii="FangSong" w:hAnsi="FangSong" w:eastAsia="FangSong" w:cs="FangSong"/>
          <w:sz w:val="24"/>
          <w:szCs w:val="24"/>
          <w:spacing w:val="-5"/>
        </w:rPr>
        <w:t>富水性弱。</w:t>
      </w:r>
      <w:r>
        <w:rPr>
          <w:rFonts w:ascii="FangSong" w:hAnsi="FangSong" w:eastAsia="FangSong" w:cs="FangSong"/>
          <w:sz w:val="24"/>
          <w:szCs w:val="24"/>
          <w:spacing w:val="-6"/>
        </w:rPr>
        <w:t>矿化度一般小于</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6"/>
        </w:rPr>
        <w:t>1g/l</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。水化学类型</w:t>
      </w:r>
      <w:r>
        <w:rPr>
          <w:rFonts w:ascii="FangSong" w:hAnsi="FangSong" w:eastAsia="FangSong" w:cs="FangSong"/>
          <w:sz w:val="24"/>
          <w:szCs w:val="24"/>
          <w:spacing w:val="-5"/>
        </w:rPr>
        <w:t>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HCO</w:t>
      </w:r>
      <w:r>
        <w:rPr>
          <w:rFonts w:ascii="Times New Roman" w:hAnsi="Times New Roman" w:eastAsia="Times New Roman" w:cs="Times New Roman"/>
          <w:sz w:val="15"/>
          <w:szCs w:val="15"/>
          <w:spacing w:val="-5"/>
        </w:rPr>
        <w:t>3</w:t>
      </w:r>
      <w:r>
        <w:rPr>
          <w:rFonts w:ascii="Times New Roman" w:hAnsi="Times New Roman" w:eastAsia="Times New Roman" w:cs="Times New Roman"/>
          <w:sz w:val="24"/>
          <w:szCs w:val="24"/>
          <w:spacing w:val="-5"/>
        </w:rPr>
        <w:t>-Na</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5"/>
        </w:rPr>
        <w:t>型。</w:t>
      </w:r>
    </w:p>
    <w:p>
      <w:pPr>
        <w:ind w:left="501"/>
        <w:spacing w:before="1"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基岩裂隙含水层</w:t>
      </w:r>
    </w:p>
    <w:p>
      <w:pPr>
        <w:ind w:left="27" w:right="119" w:firstLine="484"/>
        <w:spacing w:before="180" w:line="360" w:lineRule="auto"/>
        <w:rPr>
          <w:rFonts w:ascii="FangSong" w:hAnsi="FangSong" w:eastAsia="FangSong" w:cs="FangSong"/>
          <w:sz w:val="24"/>
          <w:szCs w:val="24"/>
        </w:rPr>
      </w:pPr>
      <w:r>
        <w:rPr>
          <w:rFonts w:ascii="FangSong" w:hAnsi="FangSong" w:eastAsia="FangSong" w:cs="FangSong"/>
          <w:sz w:val="24"/>
          <w:szCs w:val="24"/>
          <w:spacing w:val="-4"/>
        </w:rPr>
        <w:t>在本项目内广泛分布，含水层（带）岩性主要为二叠系中统哲斯组凝灰质板</w:t>
      </w:r>
      <w:r>
        <w:rPr>
          <w:rFonts w:ascii="FangSong" w:hAnsi="FangSong" w:eastAsia="FangSong" w:cs="FangSong"/>
          <w:sz w:val="24"/>
          <w:szCs w:val="24"/>
          <w:spacing w:val="-1"/>
        </w:rPr>
        <w:t>岩，局部为炭质板岩。根据本项目内钻探揭露，基岩表层风化</w:t>
      </w:r>
      <w:r>
        <w:rPr>
          <w:rFonts w:ascii="FangSong" w:hAnsi="FangSong" w:eastAsia="FangSong" w:cs="FangSong"/>
          <w:sz w:val="24"/>
          <w:szCs w:val="24"/>
          <w:spacing w:val="-2"/>
        </w:rPr>
        <w:t>强烈，越近地表，</w:t>
      </w:r>
      <w:r>
        <w:rPr>
          <w:rFonts w:ascii="FangSong" w:hAnsi="FangSong" w:eastAsia="FangSong" w:cs="FangSong"/>
          <w:sz w:val="24"/>
          <w:szCs w:val="24"/>
          <w:spacing w:val="-8"/>
        </w:rPr>
        <w:t>岩石越破碎，风化裂隙带发育，充填较少。本项目萤石矿类型为构造热液充填型，</w:t>
      </w:r>
      <w:r>
        <w:rPr>
          <w:rFonts w:ascii="FangSong" w:hAnsi="FangSong" w:eastAsia="FangSong" w:cs="FangSong"/>
          <w:sz w:val="24"/>
          <w:szCs w:val="24"/>
          <w:spacing w:val="-3"/>
        </w:rPr>
        <w:t>构造裂隙发育，基岩裂隙含水层受风化裂隙及构造裂隙的影响，整体呈似</w:t>
      </w:r>
      <w:r>
        <w:rPr>
          <w:rFonts w:ascii="FangSong" w:hAnsi="FangSong" w:eastAsia="FangSong" w:cs="FangSong"/>
          <w:sz w:val="24"/>
          <w:szCs w:val="24"/>
          <w:spacing w:val="-4"/>
        </w:rPr>
        <w:t>层状分</w:t>
      </w:r>
      <w:r>
        <w:rPr>
          <w:rFonts w:ascii="FangSong" w:hAnsi="FangSong" w:eastAsia="FangSong" w:cs="FangSong"/>
          <w:sz w:val="24"/>
          <w:szCs w:val="24"/>
          <w:spacing w:val="-15"/>
        </w:rPr>
        <w:t>布</w:t>
      </w:r>
      <w:r>
        <w:rPr>
          <w:rFonts w:ascii="FangSong" w:hAnsi="FangSong" w:eastAsia="FangSong" w:cs="FangSong"/>
          <w:sz w:val="24"/>
          <w:szCs w:val="24"/>
          <w:spacing w:val="-47"/>
        </w:rPr>
        <w:t xml:space="preserve"> </w:t>
      </w:r>
      <w:r>
        <w:rPr>
          <w:rFonts w:ascii="FangSong" w:hAnsi="FangSong" w:eastAsia="FangSong" w:cs="FangSong"/>
          <w:sz w:val="24"/>
          <w:szCs w:val="24"/>
          <w:spacing w:val="-15"/>
        </w:rPr>
        <w:t>，</w:t>
      </w:r>
      <w:r>
        <w:rPr>
          <w:rFonts w:ascii="FangSong" w:hAnsi="FangSong" w:eastAsia="FangSong" w:cs="FangSong"/>
          <w:sz w:val="24"/>
          <w:szCs w:val="24"/>
          <w:spacing w:val="-49"/>
        </w:rPr>
        <w:t xml:space="preserve"> </w:t>
      </w:r>
      <w:r>
        <w:rPr>
          <w:rFonts w:ascii="FangSong" w:hAnsi="FangSong" w:eastAsia="FangSong" w:cs="FangSong"/>
          <w:sz w:val="24"/>
          <w:szCs w:val="24"/>
          <w:spacing w:val="-15"/>
        </w:rPr>
        <w:t>富</w:t>
      </w:r>
      <w:r>
        <w:rPr>
          <w:rFonts w:ascii="FangSong" w:hAnsi="FangSong" w:eastAsia="FangSong" w:cs="FangSong"/>
          <w:sz w:val="24"/>
          <w:szCs w:val="24"/>
          <w:spacing w:val="-69"/>
        </w:rPr>
        <w:t xml:space="preserve"> </w:t>
      </w:r>
      <w:r>
        <w:rPr>
          <w:rFonts w:ascii="FangSong" w:hAnsi="FangSong" w:eastAsia="FangSong" w:cs="FangSong"/>
          <w:sz w:val="24"/>
          <w:szCs w:val="24"/>
          <w:spacing w:val="-15"/>
        </w:rPr>
        <w:t>水</w:t>
      </w:r>
      <w:r>
        <w:rPr>
          <w:rFonts w:ascii="FangSong" w:hAnsi="FangSong" w:eastAsia="FangSong" w:cs="FangSong"/>
          <w:sz w:val="24"/>
          <w:szCs w:val="24"/>
          <w:spacing w:val="-64"/>
        </w:rPr>
        <w:t xml:space="preserve"> </w:t>
      </w:r>
      <w:r>
        <w:rPr>
          <w:rFonts w:ascii="FangSong" w:hAnsi="FangSong" w:eastAsia="FangSong" w:cs="FangSong"/>
          <w:sz w:val="24"/>
          <w:szCs w:val="24"/>
          <w:spacing w:val="-15"/>
        </w:rPr>
        <w:t>性</w:t>
      </w:r>
      <w:r>
        <w:rPr>
          <w:rFonts w:ascii="FangSong" w:hAnsi="FangSong" w:eastAsia="FangSong" w:cs="FangSong"/>
          <w:sz w:val="24"/>
          <w:szCs w:val="24"/>
          <w:spacing w:val="-69"/>
        </w:rPr>
        <w:t xml:space="preserve"> </w:t>
      </w:r>
      <w:r>
        <w:rPr>
          <w:rFonts w:ascii="FangSong" w:hAnsi="FangSong" w:eastAsia="FangSong" w:cs="FangSong"/>
          <w:sz w:val="24"/>
          <w:szCs w:val="24"/>
          <w:spacing w:val="-15"/>
        </w:rPr>
        <w:t>极</w:t>
      </w:r>
      <w:r>
        <w:rPr>
          <w:rFonts w:ascii="FangSong" w:hAnsi="FangSong" w:eastAsia="FangSong" w:cs="FangSong"/>
          <w:sz w:val="24"/>
          <w:szCs w:val="24"/>
          <w:spacing w:val="-62"/>
        </w:rPr>
        <w:t xml:space="preserve"> </w:t>
      </w:r>
      <w:r>
        <w:rPr>
          <w:rFonts w:ascii="FangSong" w:hAnsi="FangSong" w:eastAsia="FangSong" w:cs="FangSong"/>
          <w:sz w:val="24"/>
          <w:szCs w:val="24"/>
          <w:spacing w:val="-15"/>
        </w:rPr>
        <w:t>不</w:t>
      </w:r>
      <w:r>
        <w:rPr>
          <w:rFonts w:ascii="FangSong" w:hAnsi="FangSong" w:eastAsia="FangSong" w:cs="FangSong"/>
          <w:sz w:val="24"/>
          <w:szCs w:val="24"/>
          <w:spacing w:val="-68"/>
        </w:rPr>
        <w:t xml:space="preserve"> </w:t>
      </w:r>
      <w:r>
        <w:rPr>
          <w:rFonts w:ascii="FangSong" w:hAnsi="FangSong" w:eastAsia="FangSong" w:cs="FangSong"/>
          <w:sz w:val="24"/>
          <w:szCs w:val="24"/>
          <w:spacing w:val="-15"/>
        </w:rPr>
        <w:t>均</w:t>
      </w:r>
      <w:r>
        <w:rPr>
          <w:rFonts w:ascii="FangSong" w:hAnsi="FangSong" w:eastAsia="FangSong" w:cs="FangSong"/>
          <w:sz w:val="24"/>
          <w:szCs w:val="24"/>
          <w:spacing w:val="-65"/>
        </w:rPr>
        <w:t xml:space="preserve"> </w:t>
      </w:r>
      <w:r>
        <w:rPr>
          <w:rFonts w:ascii="FangSong" w:hAnsi="FangSong" w:eastAsia="FangSong" w:cs="FangSong"/>
          <w:sz w:val="24"/>
          <w:szCs w:val="24"/>
          <w:spacing w:val="-15"/>
        </w:rPr>
        <w:t>匀</w:t>
      </w:r>
      <w:r>
        <w:rPr>
          <w:rFonts w:ascii="FangSong" w:hAnsi="FangSong" w:eastAsia="FangSong" w:cs="FangSong"/>
          <w:sz w:val="24"/>
          <w:szCs w:val="24"/>
          <w:spacing w:val="-50"/>
        </w:rPr>
        <w:t xml:space="preserve"> </w:t>
      </w:r>
      <w:r>
        <w:rPr>
          <w:rFonts w:ascii="FangSong" w:hAnsi="FangSong" w:eastAsia="FangSong" w:cs="FangSong"/>
          <w:sz w:val="24"/>
          <w:szCs w:val="24"/>
          <w:spacing w:val="-15"/>
        </w:rPr>
        <w:t>。</w:t>
      </w:r>
      <w:r>
        <w:rPr>
          <w:rFonts w:ascii="FangSong" w:hAnsi="FangSong" w:eastAsia="FangSong" w:cs="FangSong"/>
          <w:sz w:val="24"/>
          <w:szCs w:val="24"/>
          <w:spacing w:val="-67"/>
        </w:rPr>
        <w:t xml:space="preserve"> </w:t>
      </w:r>
      <w:r>
        <w:rPr>
          <w:rFonts w:ascii="FangSong" w:hAnsi="FangSong" w:eastAsia="FangSong" w:cs="FangSong"/>
          <w:sz w:val="24"/>
          <w:szCs w:val="24"/>
          <w:spacing w:val="-15"/>
        </w:rPr>
        <w:t>本</w:t>
      </w:r>
      <w:r>
        <w:rPr>
          <w:rFonts w:ascii="FangSong" w:hAnsi="FangSong" w:eastAsia="FangSong" w:cs="FangSong"/>
          <w:sz w:val="24"/>
          <w:szCs w:val="24"/>
          <w:spacing w:val="-67"/>
        </w:rPr>
        <w:t xml:space="preserve"> </w:t>
      </w:r>
      <w:r>
        <w:rPr>
          <w:rFonts w:ascii="FangSong" w:hAnsi="FangSong" w:eastAsia="FangSong" w:cs="FangSong"/>
          <w:sz w:val="24"/>
          <w:szCs w:val="24"/>
          <w:spacing w:val="-15"/>
        </w:rPr>
        <w:t>项</w:t>
      </w:r>
      <w:r>
        <w:rPr>
          <w:rFonts w:ascii="FangSong" w:hAnsi="FangSong" w:eastAsia="FangSong" w:cs="FangSong"/>
          <w:sz w:val="24"/>
          <w:szCs w:val="24"/>
          <w:spacing w:val="-15"/>
        </w:rPr>
        <w:t xml:space="preserve"> </w:t>
      </w:r>
      <w:r>
        <w:rPr>
          <w:rFonts w:ascii="FangSong" w:hAnsi="FangSong" w:eastAsia="FangSong" w:cs="FangSong"/>
          <w:sz w:val="24"/>
          <w:szCs w:val="24"/>
          <w:spacing w:val="-15"/>
        </w:rPr>
        <w:t>目</w:t>
      </w:r>
      <w:r>
        <w:rPr>
          <w:rFonts w:ascii="FangSong" w:hAnsi="FangSong" w:eastAsia="FangSong" w:cs="FangSong"/>
          <w:sz w:val="24"/>
          <w:szCs w:val="24"/>
          <w:spacing w:val="-39"/>
        </w:rPr>
        <w:t xml:space="preserve"> </w:t>
      </w:r>
      <w:r>
        <w:rPr>
          <w:rFonts w:ascii="FangSong" w:hAnsi="FangSong" w:eastAsia="FangSong" w:cs="FangSong"/>
          <w:sz w:val="24"/>
          <w:szCs w:val="24"/>
          <w:spacing w:val="-15"/>
        </w:rPr>
        <w:t>内</w:t>
      </w:r>
      <w:r>
        <w:rPr>
          <w:rFonts w:ascii="FangSong" w:hAnsi="FangSong" w:eastAsia="FangSong" w:cs="FangSong"/>
          <w:sz w:val="24"/>
          <w:szCs w:val="24"/>
          <w:spacing w:val="-69"/>
        </w:rPr>
        <w:t xml:space="preserve"> </w:t>
      </w:r>
      <w:r>
        <w:rPr>
          <w:rFonts w:ascii="FangSong" w:hAnsi="FangSong" w:eastAsia="FangSong" w:cs="FangSong"/>
          <w:sz w:val="24"/>
          <w:szCs w:val="24"/>
          <w:spacing w:val="-15"/>
        </w:rPr>
        <w:t>水</w:t>
      </w:r>
      <w:r>
        <w:rPr>
          <w:rFonts w:ascii="FangSong" w:hAnsi="FangSong" w:eastAsia="FangSong" w:cs="FangSong"/>
          <w:sz w:val="24"/>
          <w:szCs w:val="24"/>
          <w:spacing w:val="-67"/>
        </w:rPr>
        <w:t xml:space="preserve"> </w:t>
      </w:r>
      <w:r>
        <w:rPr>
          <w:rFonts w:ascii="FangSong" w:hAnsi="FangSong" w:eastAsia="FangSong" w:cs="FangSong"/>
          <w:sz w:val="24"/>
          <w:szCs w:val="24"/>
          <w:spacing w:val="-15"/>
        </w:rPr>
        <w:t>位</w:t>
      </w:r>
      <w:r>
        <w:rPr>
          <w:rFonts w:ascii="FangSong" w:hAnsi="FangSong" w:eastAsia="FangSong" w:cs="FangSong"/>
          <w:sz w:val="24"/>
          <w:szCs w:val="24"/>
          <w:spacing w:val="-70"/>
        </w:rPr>
        <w:t xml:space="preserve"> </w:t>
      </w:r>
      <w:r>
        <w:rPr>
          <w:rFonts w:ascii="FangSong" w:hAnsi="FangSong" w:eastAsia="FangSong" w:cs="FangSong"/>
          <w:sz w:val="24"/>
          <w:szCs w:val="24"/>
          <w:spacing w:val="-15"/>
        </w:rPr>
        <w:t>埋</w:t>
      </w:r>
      <w:r>
        <w:rPr>
          <w:rFonts w:ascii="FangSong" w:hAnsi="FangSong" w:eastAsia="FangSong" w:cs="FangSong"/>
          <w:sz w:val="24"/>
          <w:szCs w:val="24"/>
          <w:spacing w:val="-66"/>
        </w:rPr>
        <w:t xml:space="preserve"> </w:t>
      </w:r>
      <w:r>
        <w:rPr>
          <w:rFonts w:ascii="FangSong" w:hAnsi="FangSong" w:eastAsia="FangSong" w:cs="FangSong"/>
          <w:sz w:val="24"/>
          <w:szCs w:val="24"/>
          <w:spacing w:val="-15"/>
        </w:rPr>
        <w:t>深</w:t>
      </w:r>
      <w:r>
        <w:rPr>
          <w:rFonts w:ascii="FangSong" w:hAnsi="FangSong" w:eastAsia="FangSong" w:cs="FangSong"/>
          <w:sz w:val="24"/>
          <w:szCs w:val="24"/>
          <w:spacing w:val="-60"/>
        </w:rPr>
        <w:t xml:space="preserve"> </w:t>
      </w:r>
      <w:r>
        <w:rPr>
          <w:rFonts w:ascii="FangSong" w:hAnsi="FangSong" w:eastAsia="FangSong" w:cs="FangSong"/>
          <w:sz w:val="24"/>
          <w:szCs w:val="24"/>
          <w:spacing w:val="-15"/>
        </w:rPr>
        <w:t>为</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15"/>
        </w:rPr>
        <w:t>25.89-78.92m </w:t>
      </w:r>
      <w:r>
        <w:rPr>
          <w:rFonts w:ascii="FangSong" w:hAnsi="FangSong" w:eastAsia="FangSong" w:cs="FangSong"/>
          <w:sz w:val="24"/>
          <w:szCs w:val="24"/>
          <w:spacing w:val="-15"/>
        </w:rPr>
        <w:t>，</w:t>
      </w:r>
      <w:r>
        <w:rPr>
          <w:rFonts w:ascii="FangSong" w:hAnsi="FangSong" w:eastAsia="FangSong" w:cs="FangSong"/>
          <w:sz w:val="24"/>
          <w:szCs w:val="24"/>
          <w:spacing w:val="-69"/>
        </w:rPr>
        <w:t xml:space="preserve"> </w:t>
      </w:r>
      <w:r>
        <w:rPr>
          <w:rFonts w:ascii="FangSong" w:hAnsi="FangSong" w:eastAsia="FangSong" w:cs="FangSong"/>
          <w:sz w:val="24"/>
          <w:szCs w:val="24"/>
          <w:spacing w:val="-15"/>
        </w:rPr>
        <w:t>水</w:t>
      </w:r>
      <w:r>
        <w:rPr>
          <w:rFonts w:ascii="FangSong" w:hAnsi="FangSong" w:eastAsia="FangSong" w:cs="FangSong"/>
          <w:sz w:val="24"/>
          <w:szCs w:val="24"/>
          <w:spacing w:val="-67"/>
        </w:rPr>
        <w:t xml:space="preserve"> </w:t>
      </w:r>
      <w:r>
        <w:rPr>
          <w:rFonts w:ascii="FangSong" w:hAnsi="FangSong" w:eastAsia="FangSong" w:cs="FangSong"/>
          <w:sz w:val="24"/>
          <w:szCs w:val="24"/>
          <w:spacing w:val="-15"/>
        </w:rPr>
        <w:t>位</w:t>
      </w:r>
      <w:r>
        <w:rPr>
          <w:rFonts w:ascii="FangSong" w:hAnsi="FangSong" w:eastAsia="FangSong" w:cs="FangSong"/>
          <w:sz w:val="24"/>
          <w:szCs w:val="24"/>
          <w:spacing w:val="-69"/>
        </w:rPr>
        <w:t xml:space="preserve"> </w:t>
      </w:r>
      <w:r>
        <w:rPr>
          <w:rFonts w:ascii="FangSong" w:hAnsi="FangSong" w:eastAsia="FangSong" w:cs="FangSong"/>
          <w:sz w:val="24"/>
          <w:szCs w:val="24"/>
          <w:spacing w:val="-15"/>
        </w:rPr>
        <w:t>标</w:t>
      </w:r>
      <w:r>
        <w:rPr>
          <w:rFonts w:ascii="FangSong" w:hAnsi="FangSong" w:eastAsia="FangSong" w:cs="FangSong"/>
          <w:sz w:val="24"/>
          <w:szCs w:val="24"/>
          <w:spacing w:val="-60"/>
        </w:rPr>
        <w:t xml:space="preserve"> </w:t>
      </w:r>
      <w:r>
        <w:rPr>
          <w:rFonts w:ascii="FangSong" w:hAnsi="FangSong" w:eastAsia="FangSong" w:cs="FangSong"/>
          <w:sz w:val="24"/>
          <w:szCs w:val="24"/>
          <w:spacing w:val="-15"/>
        </w:rPr>
        <w:t>高</w:t>
      </w:r>
      <w:r>
        <w:rPr>
          <w:rFonts w:ascii="FangSong" w:hAnsi="FangSong" w:eastAsia="FangSong" w:cs="FangSong"/>
          <w:sz w:val="24"/>
          <w:szCs w:val="24"/>
          <w:spacing w:val="-60"/>
        </w:rPr>
        <w:t xml:space="preserve"> </w:t>
      </w:r>
      <w:r>
        <w:rPr>
          <w:rFonts w:ascii="FangSong" w:hAnsi="FangSong" w:eastAsia="FangSong" w:cs="FangSong"/>
          <w:sz w:val="24"/>
          <w:szCs w:val="24"/>
          <w:spacing w:val="-15"/>
        </w:rPr>
        <w:t>为</w:t>
      </w:r>
    </w:p>
    <w:p>
      <w:pPr>
        <w:spacing w:line="360" w:lineRule="auto"/>
        <w:sectPr>
          <w:footerReference w:type="default" r:id="rId230"/>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9" w:right="13" w:hanging="6"/>
        <w:spacing w:before="78" w:line="359" w:lineRule="auto"/>
        <w:jc w:val="both"/>
        <w:rPr>
          <w:rFonts w:ascii="FangSong" w:hAnsi="FangSong" w:eastAsia="FangSong" w:cs="FangSong"/>
          <w:sz w:val="24"/>
          <w:szCs w:val="24"/>
        </w:rPr>
      </w:pPr>
      <w:bookmarkStart w:name="bookmark575" w:id="319"/>
      <w:bookmarkEnd w:id="319"/>
      <w:r>
        <w:rPr>
          <w:rFonts w:ascii="Times New Roman" w:hAnsi="Times New Roman" w:eastAsia="Times New Roman" w:cs="Times New Roman"/>
          <w:sz w:val="24"/>
          <w:szCs w:val="24"/>
          <w:spacing w:val="-2"/>
        </w:rPr>
        <w:t>965.95-1024.92m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，本次选取</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SZK02</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SZK03</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钻孔分别对</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II</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Ⅲ</w:t>
      </w:r>
      <w:r>
        <w:rPr>
          <w:rFonts w:ascii="FangSong" w:hAnsi="FangSong" w:eastAsia="FangSong" w:cs="FangSong"/>
          <w:sz w:val="24"/>
          <w:szCs w:val="24"/>
          <w:spacing w:val="-2"/>
        </w:rPr>
        <w:t>三矿段开展单孔</w:t>
      </w:r>
      <w:r>
        <w:rPr>
          <w:rFonts w:ascii="FangSong" w:hAnsi="FangSong" w:eastAsia="FangSong" w:cs="FangSong"/>
          <w:sz w:val="24"/>
          <w:szCs w:val="24"/>
          <w:spacing w:val="-6"/>
        </w:rPr>
        <w:t>稳定流抽水试验。</w:t>
      </w:r>
      <w:r>
        <w:rPr>
          <w:rFonts w:ascii="Times New Roman" w:hAnsi="Times New Roman" w:eastAsia="Times New Roman" w:cs="Times New Roman"/>
          <w:sz w:val="24"/>
          <w:szCs w:val="24"/>
          <w:spacing w:val="-6"/>
        </w:rPr>
        <w:t>II</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6"/>
        </w:rPr>
        <w:t>矿段</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6"/>
        </w:rPr>
        <w:t>SZK02</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6"/>
        </w:rPr>
        <w:t>孔最大降深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14.29m</w:t>
      </w:r>
      <w:r>
        <w:rPr>
          <w:rFonts w:ascii="FangSong" w:hAnsi="FangSong" w:eastAsia="FangSong" w:cs="FangSong"/>
          <w:sz w:val="24"/>
          <w:szCs w:val="24"/>
          <w:spacing w:val="-6"/>
        </w:rPr>
        <w:t>，涌水量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13L/s</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，单位涌水</w:t>
      </w:r>
      <w:r>
        <w:rPr>
          <w:rFonts w:ascii="FangSong" w:hAnsi="FangSong" w:eastAsia="FangSong" w:cs="FangSong"/>
          <w:sz w:val="24"/>
          <w:szCs w:val="24"/>
          <w:spacing w:val="-5"/>
        </w:rPr>
        <w:t>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0.08L/</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s</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7"/>
        </w:rPr>
        <w:t>），</w:t>
      </w:r>
      <w:r>
        <w:rPr>
          <w:rFonts w:ascii="FangSong" w:hAnsi="FangSong" w:eastAsia="FangSong" w:cs="FangSong"/>
          <w:sz w:val="24"/>
          <w:szCs w:val="24"/>
          <w:spacing w:val="-5"/>
        </w:rPr>
        <w:t>渗透系数为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0.070m/d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，水化学</w:t>
      </w:r>
      <w:r>
        <w:rPr>
          <w:rFonts w:ascii="FangSong" w:hAnsi="FangSong" w:eastAsia="FangSong" w:cs="FangSong"/>
          <w:sz w:val="24"/>
          <w:szCs w:val="24"/>
          <w:spacing w:val="-6"/>
        </w:rPr>
        <w:t>类型为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6"/>
        </w:rPr>
        <w:t>HCO</w:t>
      </w:r>
      <w:r>
        <w:rPr>
          <w:rFonts w:ascii="Times New Roman" w:hAnsi="Times New Roman" w:eastAsia="Times New Roman" w:cs="Times New Roman"/>
          <w:sz w:val="15"/>
          <w:szCs w:val="15"/>
          <w:spacing w:val="-6"/>
        </w:rPr>
        <w:t>3</w:t>
      </w:r>
      <w:r>
        <w:rPr>
          <w:rFonts w:ascii="Times New Roman" w:hAnsi="Times New Roman" w:eastAsia="Times New Roman" w:cs="Times New Roman"/>
          <w:sz w:val="24"/>
          <w:szCs w:val="24"/>
          <w:spacing w:val="-6"/>
        </w:rPr>
        <w:t>-Cl-Na</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6"/>
        </w:rPr>
        <w:t>型，矿</w:t>
      </w:r>
      <w:r>
        <w:rPr>
          <w:rFonts w:ascii="FangSong" w:hAnsi="FangSong" w:eastAsia="FangSong" w:cs="FangSong"/>
          <w:sz w:val="24"/>
          <w:szCs w:val="24"/>
          <w:spacing w:val="-3"/>
        </w:rPr>
        <w:t>化度为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2.00g/l</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Ⅲ</w:t>
      </w:r>
      <w:r>
        <w:rPr>
          <w:rFonts w:ascii="FangSong" w:hAnsi="FangSong" w:eastAsia="FangSong" w:cs="FangSong"/>
          <w:sz w:val="24"/>
          <w:szCs w:val="24"/>
          <w:spacing w:val="-3"/>
        </w:rPr>
        <w:t>矿段</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SZK03</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3"/>
        </w:rPr>
        <w:t>孔最大降深</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50.20m</w:t>
      </w:r>
      <w:r>
        <w:rPr>
          <w:rFonts w:ascii="FangSong" w:hAnsi="FangSong" w:eastAsia="FangSong" w:cs="FangSong"/>
          <w:sz w:val="24"/>
          <w:szCs w:val="24"/>
          <w:spacing w:val="-4"/>
        </w:rPr>
        <w:t>，涌水量</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0.33L/s</w:t>
      </w:r>
      <w:r>
        <w:rPr>
          <w:rFonts w:ascii="FangSong" w:hAnsi="FangSong" w:eastAsia="FangSong" w:cs="FangSong"/>
          <w:sz w:val="24"/>
          <w:szCs w:val="24"/>
          <w:spacing w:val="-4"/>
        </w:rPr>
        <w:t>，单位涌水量</w:t>
      </w:r>
      <w:r>
        <w:rPr>
          <w:rFonts w:ascii="FangSong" w:hAnsi="FangSong" w:eastAsia="FangSong" w:cs="FangSong"/>
          <w:sz w:val="24"/>
          <w:szCs w:val="24"/>
          <w:spacing w:val="-2"/>
        </w:rPr>
        <w:t>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0.0063m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，渗透系数为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0.011m/d</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，水化学类型为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HCO</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-Cl-SO</w:t>
      </w:r>
      <w:r>
        <w:rPr>
          <w:rFonts w:ascii="Times New Roman" w:hAnsi="Times New Roman" w:eastAsia="Times New Roman" w:cs="Times New Roman"/>
          <w:sz w:val="15"/>
          <w:szCs w:val="15"/>
          <w:spacing w:val="-3"/>
        </w:rPr>
        <w:t>4</w:t>
      </w:r>
      <w:r>
        <w:rPr>
          <w:rFonts w:ascii="Times New Roman" w:hAnsi="Times New Roman" w:eastAsia="Times New Roman" w:cs="Times New Roman"/>
          <w:sz w:val="24"/>
          <w:szCs w:val="24"/>
          <w:spacing w:val="-3"/>
        </w:rPr>
        <w:t>-Na</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3"/>
        </w:rPr>
        <w:t>型，矿化</w:t>
      </w:r>
      <w:r>
        <w:rPr>
          <w:rFonts w:ascii="FangSong" w:hAnsi="FangSong" w:eastAsia="FangSong" w:cs="FangSong"/>
          <w:sz w:val="24"/>
          <w:szCs w:val="24"/>
          <w:spacing w:val="-3"/>
        </w:rPr>
        <w:t>度为</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3"/>
        </w:rPr>
        <w:t>1.00g/l</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，结合抽水试验单位涌水量，富水性等级为弱。</w:t>
      </w:r>
    </w:p>
    <w:p>
      <w:pPr>
        <w:ind w:left="501"/>
        <w:spacing w:before="8" w:line="222"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第三系红色砂质泥岩隔水层</w:t>
      </w:r>
    </w:p>
    <w:p>
      <w:pPr>
        <w:ind w:left="22" w:right="13" w:firstLine="493"/>
        <w:spacing w:before="179" w:line="360" w:lineRule="auto"/>
        <w:rPr>
          <w:rFonts w:ascii="FangSong" w:hAnsi="FangSong" w:eastAsia="FangSong" w:cs="FangSong"/>
          <w:sz w:val="24"/>
          <w:szCs w:val="24"/>
        </w:rPr>
      </w:pPr>
      <w:r>
        <w:rPr>
          <w:rFonts w:ascii="FangSong" w:hAnsi="FangSong" w:eastAsia="FangSong" w:cs="FangSong"/>
          <w:sz w:val="24"/>
          <w:szCs w:val="24"/>
          <w:spacing w:val="-4"/>
        </w:rPr>
        <w:t>主要位于第四系覆盖层下部，泥岩厚度变化较大，泥岩胶结较好，根据区内</w:t>
      </w:r>
      <w:r>
        <w:rPr>
          <w:rFonts w:ascii="FangSong" w:hAnsi="FangSong" w:eastAsia="FangSong" w:cs="FangSong"/>
          <w:sz w:val="24"/>
          <w:szCs w:val="24"/>
          <w:spacing w:val="-2"/>
        </w:rPr>
        <w:t>钻孔揭露较少，根据</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2"/>
        </w:rPr>
        <w:t>ZK5408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ZK54-102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ZK56-101</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ZK5701-1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揭露，厚度在</w:t>
      </w:r>
      <w:r>
        <w:rPr>
          <w:rFonts w:ascii="Times New Roman" w:hAnsi="Times New Roman" w:eastAsia="Times New Roman" w:cs="Times New Roman"/>
          <w:sz w:val="24"/>
          <w:szCs w:val="24"/>
          <w:spacing w:val="-4"/>
        </w:rPr>
        <w:t>0.7-8m</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，为区内隔水层。</w:t>
      </w:r>
    </w:p>
    <w:p>
      <w:pPr>
        <w:ind w:left="501"/>
        <w:spacing w:line="221"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深灰色</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灰黑色凝灰质板岩、灰黑色碳质板岩隔水层</w:t>
      </w:r>
    </w:p>
    <w:p>
      <w:pPr>
        <w:ind w:left="18" w:right="13" w:firstLine="498"/>
        <w:spacing w:before="180" w:line="360" w:lineRule="auto"/>
        <w:rPr>
          <w:rFonts w:ascii="FangSong" w:hAnsi="FangSong" w:eastAsia="FangSong" w:cs="FangSong"/>
          <w:sz w:val="24"/>
          <w:szCs w:val="24"/>
        </w:rPr>
      </w:pPr>
      <w:r>
        <w:rPr>
          <w:rFonts w:ascii="FangSong" w:hAnsi="FangSong" w:eastAsia="FangSong" w:cs="FangSong"/>
          <w:sz w:val="24"/>
          <w:szCs w:val="24"/>
          <w:spacing w:val="-1"/>
        </w:rPr>
        <w:t>主要位于基岩裂隙含水层下部，根据</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SZK02</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SZK03</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1"/>
        </w:rPr>
        <w:t>钻孔揭露，高程位于</w:t>
      </w:r>
      <w:r>
        <w:rPr>
          <w:rFonts w:ascii="Times New Roman" w:hAnsi="Times New Roman" w:eastAsia="Times New Roman" w:cs="Times New Roman"/>
          <w:sz w:val="24"/>
          <w:szCs w:val="24"/>
          <w:spacing w:val="-2"/>
        </w:rPr>
        <w:t>+840m</w:t>
      </w:r>
      <w:r>
        <w:rPr>
          <w:rFonts w:ascii="Times New Roman" w:hAnsi="Times New Roman" w:eastAsia="Times New Roman" w:cs="Times New Roman"/>
          <w:sz w:val="24"/>
          <w:szCs w:val="24"/>
          <w:spacing w:val="41"/>
          <w:w w:val="101"/>
        </w:rPr>
        <w:t xml:space="preserve"> </w:t>
      </w:r>
      <w:r>
        <w:rPr>
          <w:rFonts w:ascii="FangSong" w:hAnsi="FangSong" w:eastAsia="FangSong" w:cs="FangSong"/>
          <w:sz w:val="24"/>
          <w:szCs w:val="24"/>
          <w:spacing w:val="-2"/>
        </w:rPr>
        <w:t>以下，厚度为</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40-60m</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2"/>
        </w:rPr>
        <w:t>不等，岩芯完整</w:t>
      </w:r>
      <w:r>
        <w:rPr>
          <w:rFonts w:ascii="FangSong" w:hAnsi="FangSong" w:eastAsia="FangSong" w:cs="FangSong"/>
          <w:sz w:val="24"/>
          <w:szCs w:val="24"/>
          <w:spacing w:val="-3"/>
        </w:rPr>
        <w:t>致密，裂隙发育较少，为区内隔水</w:t>
      </w:r>
      <w:r>
        <w:rPr>
          <w:rFonts w:ascii="FangSong" w:hAnsi="FangSong" w:eastAsia="FangSong" w:cs="FangSong"/>
          <w:sz w:val="24"/>
          <w:szCs w:val="24"/>
          <w:spacing w:val="-3"/>
        </w:rPr>
        <w:t>层。</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）地表水特征</w:t>
      </w:r>
    </w:p>
    <w:p>
      <w:pPr>
        <w:ind w:left="31" w:right="13" w:firstLine="478"/>
        <w:spacing w:before="178" w:line="360" w:lineRule="auto"/>
        <w:rPr>
          <w:rFonts w:ascii="FangSong" w:hAnsi="FangSong" w:eastAsia="FangSong" w:cs="FangSong"/>
          <w:sz w:val="24"/>
          <w:szCs w:val="24"/>
        </w:rPr>
      </w:pPr>
      <w:r>
        <w:rPr>
          <w:rFonts w:ascii="FangSong" w:hAnsi="FangSong" w:eastAsia="FangSong" w:cs="FangSong"/>
          <w:sz w:val="24"/>
          <w:szCs w:val="24"/>
          <w:spacing w:val="-1"/>
        </w:rPr>
        <w:t>矿区附近无地表水体，蒸发量是降水量的</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倍以上，矿区潜</w:t>
      </w:r>
      <w:r>
        <w:rPr>
          <w:rFonts w:ascii="FangSong" w:hAnsi="FangSong" w:eastAsia="FangSong" w:cs="FangSong"/>
          <w:sz w:val="24"/>
          <w:szCs w:val="24"/>
          <w:spacing w:val="-2"/>
        </w:rPr>
        <w:t>水水位埋藏较</w:t>
      </w:r>
      <w:r>
        <w:rPr>
          <w:rFonts w:ascii="FangSong" w:hAnsi="FangSong" w:eastAsia="FangSong" w:cs="FangSong"/>
          <w:sz w:val="24"/>
          <w:szCs w:val="24"/>
          <w:spacing w:val="-3"/>
        </w:rPr>
        <w:t>深，潜水含水层以侧向径流补给为主，大气降水对矿床充水影</w:t>
      </w:r>
      <w:r>
        <w:rPr>
          <w:rFonts w:ascii="FangSong" w:hAnsi="FangSong" w:eastAsia="FangSong" w:cs="FangSong"/>
          <w:sz w:val="24"/>
          <w:szCs w:val="24"/>
          <w:spacing w:val="-4"/>
        </w:rPr>
        <w:t>响不大。矿体大部</w:t>
      </w:r>
      <w:r>
        <w:rPr>
          <w:rFonts w:ascii="FangSong" w:hAnsi="FangSong" w:eastAsia="FangSong" w:cs="FangSong"/>
          <w:sz w:val="24"/>
          <w:szCs w:val="24"/>
          <w:spacing w:val="-1"/>
        </w:rPr>
        <w:t>分位于潜水水位以下，基岩风化裂隙水是矿床直接充水含水层。</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）地下水动态及其补给、径流与排泄</w:t>
      </w:r>
    </w:p>
    <w:p>
      <w:pPr>
        <w:ind w:left="502"/>
        <w:spacing w:before="179" w:line="222"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22"/>
        </w:rPr>
        <w:t xml:space="preserve"> </w:t>
      </w:r>
      <w:r>
        <w:rPr>
          <w:rFonts w:ascii="FangSong" w:hAnsi="FangSong" w:eastAsia="FangSong" w:cs="FangSong"/>
          <w:sz w:val="24"/>
          <w:szCs w:val="24"/>
          <w:spacing w:val="-4"/>
        </w:rPr>
        <w:t>地下水动态特征</w:t>
      </w:r>
    </w:p>
    <w:p>
      <w:pPr>
        <w:ind w:left="29" w:right="13" w:firstLine="485"/>
        <w:spacing w:before="183" w:line="360" w:lineRule="auto"/>
        <w:rPr>
          <w:rFonts w:ascii="FangSong" w:hAnsi="FangSong" w:eastAsia="FangSong" w:cs="FangSong"/>
          <w:sz w:val="24"/>
          <w:szCs w:val="24"/>
        </w:rPr>
      </w:pPr>
      <w:r>
        <w:rPr>
          <w:rFonts w:ascii="FangSong" w:hAnsi="FangSong" w:eastAsia="FangSong" w:cs="FangSong"/>
          <w:sz w:val="24"/>
          <w:szCs w:val="24"/>
        </w:rPr>
        <w:t>通过对本项目西北部原盟里水位监测井</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J001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rPr>
        <w:t>进行地下水动态观测，观测时</w:t>
      </w:r>
      <w:r>
        <w:rPr>
          <w:rFonts w:ascii="FangSong" w:hAnsi="FangSong" w:eastAsia="FangSong" w:cs="FangSong"/>
          <w:sz w:val="24"/>
          <w:szCs w:val="24"/>
          <w:spacing w:val="-8"/>
        </w:rPr>
        <w:t>间为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8"/>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月</w:t>
      </w: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8"/>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8"/>
        </w:rPr>
        <w:t>月底，观测时间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11 </w:t>
      </w:r>
      <w:r>
        <w:rPr>
          <w:rFonts w:ascii="FangSong" w:hAnsi="FangSong" w:eastAsia="FangSong" w:cs="FangSong"/>
          <w:sz w:val="24"/>
          <w:szCs w:val="24"/>
          <w:spacing w:val="-8"/>
        </w:rPr>
        <w:t>个月，观测期主要为丰水期及枯</w:t>
      </w:r>
      <w:r>
        <w:rPr>
          <w:rFonts w:ascii="FangSong" w:hAnsi="FangSong" w:eastAsia="FangSong" w:cs="FangSong"/>
          <w:sz w:val="24"/>
          <w:szCs w:val="24"/>
          <w:spacing w:val="-1"/>
        </w:rPr>
        <w:t>水期。本区地下水</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6-9</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1"/>
        </w:rPr>
        <w:t>月份为高水位期，</w:t>
      </w:r>
      <w:r>
        <w:rPr>
          <w:rFonts w:ascii="Times New Roman" w:hAnsi="Times New Roman" w:eastAsia="Times New Roman" w:cs="Times New Roman"/>
          <w:sz w:val="24"/>
          <w:szCs w:val="24"/>
          <w:spacing w:val="-1"/>
        </w:rPr>
        <w:t>1-3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月份为低水位期，水位年变</w:t>
      </w:r>
      <w:r>
        <w:rPr>
          <w:rFonts w:ascii="FangSong" w:hAnsi="FangSong" w:eastAsia="FangSong" w:cs="FangSong"/>
          <w:sz w:val="24"/>
          <w:szCs w:val="24"/>
          <w:spacing w:val="-2"/>
        </w:rPr>
        <w:t>幅最大</w:t>
      </w:r>
      <w:r>
        <w:rPr>
          <w:rFonts w:ascii="FangSong" w:hAnsi="FangSong" w:eastAsia="FangSong" w:cs="FangSong"/>
          <w:sz w:val="24"/>
          <w:szCs w:val="24"/>
          <w:spacing w:val="-3"/>
        </w:rPr>
        <w:t>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1.23m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3"/>
        </w:rPr>
        <w:t>，地下水动态变化受降雨的变化影响。另外，春季冰雪融化</w:t>
      </w:r>
      <w:r>
        <w:rPr>
          <w:rFonts w:ascii="FangSong" w:hAnsi="FangSong" w:eastAsia="FangSong" w:cs="FangSong"/>
          <w:sz w:val="24"/>
          <w:szCs w:val="24"/>
          <w:spacing w:val="-4"/>
        </w:rPr>
        <w:t>也对地下水</w:t>
      </w:r>
      <w:r>
        <w:rPr>
          <w:rFonts w:ascii="FangSong" w:hAnsi="FangSong" w:eastAsia="FangSong" w:cs="FangSong"/>
          <w:sz w:val="24"/>
          <w:szCs w:val="24"/>
          <w:spacing w:val="-1"/>
        </w:rPr>
        <w:t>动态产生微弱的影响，本区地下水动态受季节变化影响明显。结合</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1"/>
        </w:rPr>
        <w:t>2017</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年详查</w:t>
      </w:r>
      <w:r>
        <w:rPr>
          <w:rFonts w:ascii="FangSong" w:hAnsi="FangSong" w:eastAsia="FangSong" w:cs="FangSong"/>
          <w:sz w:val="24"/>
          <w:szCs w:val="24"/>
          <w:spacing w:val="-3"/>
        </w:rPr>
        <w:t>水位变化，及周边矿山运营开采情况，综合分析影响区内地下水动态</w:t>
      </w:r>
      <w:r>
        <w:rPr>
          <w:rFonts w:ascii="FangSong" w:hAnsi="FangSong" w:eastAsia="FangSong" w:cs="FangSong"/>
          <w:sz w:val="24"/>
          <w:szCs w:val="24"/>
          <w:spacing w:val="-4"/>
        </w:rPr>
        <w:t>的主要因素</w:t>
      </w:r>
      <w:r>
        <w:rPr>
          <w:rFonts w:ascii="FangSong" w:hAnsi="FangSong" w:eastAsia="FangSong" w:cs="FangSong"/>
          <w:sz w:val="24"/>
          <w:szCs w:val="24"/>
          <w:spacing w:val="-3"/>
        </w:rPr>
        <w:t>为大气降水、人工开采和区外地下水的侧向径流补给。因此地下水动</w:t>
      </w:r>
      <w:r>
        <w:rPr>
          <w:rFonts w:ascii="FangSong" w:hAnsi="FangSong" w:eastAsia="FangSong" w:cs="FangSong"/>
          <w:sz w:val="24"/>
          <w:szCs w:val="24"/>
          <w:spacing w:val="-4"/>
        </w:rPr>
        <w:t>态类型为降</w:t>
      </w:r>
      <w:r>
        <w:rPr>
          <w:rFonts w:ascii="FangSong" w:hAnsi="FangSong" w:eastAsia="FangSong" w:cs="FangSong"/>
          <w:sz w:val="24"/>
          <w:szCs w:val="24"/>
          <w:spacing w:val="-2"/>
        </w:rPr>
        <w:t>水渗入</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径流型。见图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5.4-1</w:t>
      </w:r>
      <w:r>
        <w:rPr>
          <w:rFonts w:ascii="FangSong" w:hAnsi="FangSong" w:eastAsia="FangSong" w:cs="FangSong"/>
          <w:sz w:val="24"/>
          <w:szCs w:val="24"/>
          <w:spacing w:val="-2"/>
        </w:rPr>
        <w:t>。</w:t>
      </w:r>
    </w:p>
    <w:p>
      <w:pPr>
        <w:spacing w:line="360" w:lineRule="auto"/>
        <w:sectPr>
          <w:footerReference w:type="default" r:id="rId231"/>
          <w:pgSz w:w="11906" w:h="16839"/>
          <w:pgMar w:top="400" w:right="1785" w:bottom="1358" w:left="1785" w:header="0" w:footer="1195" w:gutter="0"/>
        </w:sectPr>
        <w:rPr>
          <w:rFonts w:ascii="FangSong" w:hAnsi="FangSong" w:eastAsia="FangSong" w:cs="FangSong"/>
          <w:sz w:val="24"/>
          <w:szCs w:val="24"/>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firstLine="476"/>
        <w:spacing w:line="4758" w:lineRule="exact"/>
        <w:rPr/>
      </w:pPr>
      <w:r>
        <w:rPr>
          <w:position w:val="-95"/>
        </w:rPr>
        <w:drawing>
          <wp:inline distT="0" distB="0" distL="0" distR="0">
            <wp:extent cx="4683759" cy="3021266"/>
            <wp:effectExtent l="0" t="0" r="0" b="0"/>
            <wp:docPr id="48" name="IM 48"/>
            <wp:cNvGraphicFramePr/>
            <a:graphic>
              <a:graphicData uri="http://schemas.openxmlformats.org/drawingml/2006/picture">
                <pic:pic>
                  <pic:nvPicPr>
                    <pic:cNvPr id="48" name="IM 48"/>
                    <pic:cNvPicPr/>
                  </pic:nvPicPr>
                  <pic:blipFill>
                    <a:blip r:embed="rId233"/>
                    <a:stretch>
                      <a:fillRect/>
                    </a:stretch>
                  </pic:blipFill>
                  <pic:spPr>
                    <a:xfrm rot="0">
                      <a:off x="0" y="0"/>
                      <a:ext cx="4683759" cy="3021266"/>
                    </a:xfrm>
                    <a:prstGeom prst="rect">
                      <a:avLst/>
                    </a:prstGeom>
                  </pic:spPr>
                </pic:pic>
              </a:graphicData>
            </a:graphic>
          </wp:inline>
        </w:drawing>
      </w:r>
    </w:p>
    <w:p>
      <w:pPr>
        <w:ind w:left="1939"/>
        <w:spacing w:before="36" w:line="222" w:lineRule="auto"/>
        <w:rPr>
          <w:rFonts w:ascii="FangSong" w:hAnsi="FangSong" w:eastAsia="FangSong" w:cs="FangSong"/>
          <w:sz w:val="24"/>
          <w:szCs w:val="24"/>
        </w:rPr>
      </w:pPr>
      <w:r>
        <w:rPr>
          <w:rFonts w:ascii="FangSong" w:hAnsi="FangSong" w:eastAsia="FangSong" w:cs="FangSong"/>
          <w:sz w:val="24"/>
          <w:szCs w:val="24"/>
          <w:b/>
          <w:bCs/>
          <w:spacing w:val="-4"/>
        </w:rPr>
        <w:t>图</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4"/>
        </w:rPr>
        <w:t>5.4-1 J001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水井地下水动态长期观测曲线</w:t>
      </w:r>
    </w:p>
    <w:p>
      <w:pPr>
        <w:ind w:left="501"/>
        <w:spacing w:before="178" w:line="222"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地下水补给、径流与排泄</w:t>
      </w:r>
    </w:p>
    <w:p>
      <w:pPr>
        <w:ind w:left="32" w:right="128" w:firstLine="476"/>
        <w:spacing w:before="179" w:line="360" w:lineRule="auto"/>
        <w:rPr>
          <w:rFonts w:ascii="FangSong" w:hAnsi="FangSong" w:eastAsia="FangSong" w:cs="FangSong"/>
          <w:sz w:val="24"/>
          <w:szCs w:val="24"/>
        </w:rPr>
      </w:pPr>
      <w:r>
        <w:rPr>
          <w:rFonts w:ascii="FangSong" w:hAnsi="FangSong" w:eastAsia="FangSong" w:cs="FangSong"/>
          <w:sz w:val="24"/>
          <w:szCs w:val="24"/>
          <w:spacing w:val="-2"/>
        </w:rPr>
        <w:t>勘查区地下水的补给来源主要为大气降水补给及区外地下水侧向径流补给。</w:t>
      </w:r>
      <w:r>
        <w:rPr>
          <w:rFonts w:ascii="FangSong" w:hAnsi="FangSong" w:eastAsia="FangSong" w:cs="FangSong"/>
          <w:sz w:val="24"/>
          <w:szCs w:val="24"/>
          <w:spacing w:val="-1"/>
        </w:rPr>
        <w:t>大气降水通过第四系松散层和风化带裂隙补给地下水。</w:t>
      </w:r>
    </w:p>
    <w:p>
      <w:pPr>
        <w:ind w:left="60" w:right="185" w:firstLine="450"/>
        <w:spacing w:line="360" w:lineRule="auto"/>
        <w:rPr>
          <w:rFonts w:ascii="FangSong" w:hAnsi="FangSong" w:eastAsia="FangSong" w:cs="FangSong"/>
          <w:sz w:val="24"/>
          <w:szCs w:val="24"/>
        </w:rPr>
      </w:pPr>
      <w:r>
        <w:rPr>
          <w:rFonts w:ascii="FangSong" w:hAnsi="FangSong" w:eastAsia="FangSong" w:cs="FangSong"/>
          <w:sz w:val="24"/>
          <w:szCs w:val="24"/>
          <w:spacing w:val="-3"/>
        </w:rPr>
        <w:t>地下水的径流是受地形的控制，勘查区地下水</w:t>
      </w:r>
      <w:r>
        <w:rPr>
          <w:rFonts w:ascii="FangSong" w:hAnsi="FangSong" w:eastAsia="FangSong" w:cs="FangSong"/>
          <w:sz w:val="24"/>
          <w:szCs w:val="24"/>
          <w:spacing w:val="-4"/>
        </w:rPr>
        <w:t>由南东向北西方向径流，而后</w:t>
      </w:r>
      <w:r>
        <w:rPr>
          <w:rFonts w:ascii="FangSong" w:hAnsi="FangSong" w:eastAsia="FangSong" w:cs="FangSong"/>
          <w:sz w:val="24"/>
          <w:szCs w:val="24"/>
          <w:spacing w:val="-5"/>
        </w:rPr>
        <w:t>向勘查区山间盆地汇集。</w:t>
      </w:r>
    </w:p>
    <w:p>
      <w:pPr>
        <w:ind w:left="29" w:firstLine="480"/>
        <w:spacing w:line="360" w:lineRule="auto"/>
        <w:rPr>
          <w:rFonts w:ascii="FangSong" w:hAnsi="FangSong" w:eastAsia="FangSong" w:cs="FangSong"/>
          <w:sz w:val="24"/>
          <w:szCs w:val="24"/>
        </w:rPr>
      </w:pPr>
      <w:r>
        <w:rPr>
          <w:rFonts w:ascii="FangSong" w:hAnsi="FangSong" w:eastAsia="FangSong" w:cs="FangSong"/>
          <w:sz w:val="24"/>
          <w:szCs w:val="24"/>
          <w:spacing w:val="-5"/>
        </w:rPr>
        <w:t>地下水的主要排泄方式是侧向径流和人工开采，其次在地下水埋深较浅地段，</w:t>
      </w:r>
      <w:r>
        <w:rPr>
          <w:rFonts w:ascii="FangSong" w:hAnsi="FangSong" w:eastAsia="FangSong" w:cs="FangSong"/>
          <w:sz w:val="24"/>
          <w:szCs w:val="24"/>
          <w:spacing w:val="-2"/>
        </w:rPr>
        <w:t>蒸发也是地下水的排泄方式之一。</w:t>
      </w:r>
    </w:p>
    <w:p>
      <w:pPr>
        <w:ind w:left="514"/>
        <w:spacing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）矿床充水因素分析</w:t>
      </w:r>
    </w:p>
    <w:p>
      <w:pPr>
        <w:ind w:left="23" w:right="146" w:firstLine="487"/>
        <w:spacing w:before="180" w:line="360" w:lineRule="auto"/>
        <w:rPr>
          <w:rFonts w:ascii="FangSong" w:hAnsi="FangSong" w:eastAsia="FangSong" w:cs="FangSong"/>
          <w:sz w:val="24"/>
          <w:szCs w:val="24"/>
        </w:rPr>
      </w:pPr>
      <w:r>
        <w:rPr>
          <w:rFonts w:ascii="FangSong" w:hAnsi="FangSong" w:eastAsia="FangSong" w:cs="FangSong"/>
          <w:sz w:val="24"/>
          <w:szCs w:val="24"/>
          <w:spacing w:val="1"/>
        </w:rPr>
        <w:t>根据</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rPr>
        <w:t>II</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矿段北部已施工钻孔</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rPr>
        <w:t>ZK</w:t>
      </w:r>
      <w:r>
        <w:rPr>
          <w:rFonts w:ascii="Times New Roman" w:hAnsi="Times New Roman" w:eastAsia="Times New Roman" w:cs="Times New Roman"/>
          <w:sz w:val="24"/>
          <w:szCs w:val="24"/>
          <w:spacing w:val="1"/>
        </w:rPr>
        <w:t>5704</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地下水位高程及调查井</w:t>
      </w:r>
      <w:r>
        <w:rPr>
          <w:rFonts w:ascii="Times New Roman" w:hAnsi="Times New Roman" w:eastAsia="Times New Roman" w:cs="Times New Roman"/>
          <w:sz w:val="24"/>
          <w:szCs w:val="24"/>
          <w:spacing w:val="1"/>
        </w:rPr>
        <w:t>j001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水位高程</w:t>
      </w:r>
      <w:r>
        <w:rPr>
          <w:rFonts w:ascii="Times New Roman" w:hAnsi="Times New Roman" w:eastAsia="Times New Roman" w:cs="Times New Roman"/>
          <w:sz w:val="24"/>
          <w:szCs w:val="24"/>
        </w:rPr>
        <w:t>963-965m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，水位高程远低于水塘底部高程</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1007m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，该地表水不构成</w:t>
      </w:r>
      <w:r>
        <w:rPr>
          <w:rFonts w:ascii="FangSong" w:hAnsi="FangSong" w:eastAsia="FangSong" w:cs="FangSong"/>
          <w:sz w:val="24"/>
          <w:szCs w:val="24"/>
          <w:spacing w:val="-1"/>
        </w:rPr>
        <w:t>矿床主要充</w:t>
      </w:r>
      <w:r>
        <w:rPr>
          <w:rFonts w:ascii="FangSong" w:hAnsi="FangSong" w:eastAsia="FangSong" w:cs="FangSong"/>
          <w:sz w:val="24"/>
          <w:szCs w:val="24"/>
          <w:spacing w:val="-2"/>
        </w:rPr>
        <w:t>水类型。结合本项目动态监测数据，地下水位高程受雨季降水及冬季融雪影响，</w:t>
      </w:r>
      <w:r>
        <w:rPr>
          <w:rFonts w:ascii="FangSong" w:hAnsi="FangSong" w:eastAsia="FangSong" w:cs="FangSong"/>
          <w:sz w:val="24"/>
          <w:szCs w:val="24"/>
          <w:spacing w:val="-3"/>
        </w:rPr>
        <w:t>综合分析本项目主要充水因素为大气降雨及区外地下水径流，基岩裂隙水是矿床</w:t>
      </w:r>
      <w:r>
        <w:rPr>
          <w:rFonts w:ascii="FangSong" w:hAnsi="FangSong" w:eastAsia="FangSong" w:cs="FangSong"/>
          <w:sz w:val="24"/>
          <w:szCs w:val="24"/>
          <w:spacing w:val="-2"/>
        </w:rPr>
        <w:t>直接充水含水层。</w:t>
      </w:r>
    </w:p>
    <w:p>
      <w:pPr>
        <w:ind w:left="514"/>
        <w:spacing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）矿坑涌水量</w:t>
      </w:r>
    </w:p>
    <w:p>
      <w:pPr>
        <w:ind w:left="29" w:right="185" w:firstLine="481"/>
        <w:spacing w:before="180" w:line="360" w:lineRule="auto"/>
        <w:rPr>
          <w:rFonts w:ascii="FangSong" w:hAnsi="FangSong" w:eastAsia="FangSong" w:cs="FangSong"/>
          <w:sz w:val="24"/>
          <w:szCs w:val="24"/>
        </w:rPr>
      </w:pPr>
      <w:r>
        <w:rPr>
          <w:rFonts w:ascii="FangSong" w:hAnsi="FangSong" w:eastAsia="FangSong" w:cs="FangSong"/>
          <w:sz w:val="24"/>
          <w:szCs w:val="24"/>
          <w:spacing w:val="-3"/>
        </w:rPr>
        <w:t>根据《内蒙古自治区苏尼特右旗桑宝力嘎额尔</w:t>
      </w:r>
      <w:r>
        <w:rPr>
          <w:rFonts w:ascii="FangSong" w:hAnsi="FangSong" w:eastAsia="FangSong" w:cs="FangSong"/>
          <w:sz w:val="24"/>
          <w:szCs w:val="24"/>
          <w:spacing w:val="-4"/>
        </w:rPr>
        <w:t>登塔拉矿区萤石矿资源储量核</w:t>
      </w:r>
      <w:r>
        <w:rPr>
          <w:rFonts w:ascii="FangSong" w:hAnsi="FangSong" w:eastAsia="FangSong" w:cs="FangSong"/>
          <w:sz w:val="24"/>
          <w:szCs w:val="24"/>
          <w:spacing w:val="-3"/>
        </w:rPr>
        <w:t>实报告》可知，本项目位于低山丘陵区，区内地层岩性单一，有地表</w:t>
      </w:r>
      <w:r>
        <w:rPr>
          <w:rFonts w:ascii="FangSong" w:hAnsi="FangSong" w:eastAsia="FangSong" w:cs="FangSong"/>
          <w:sz w:val="24"/>
          <w:szCs w:val="24"/>
          <w:spacing w:val="-4"/>
        </w:rPr>
        <w:t>水体，但不</w:t>
      </w:r>
      <w:r>
        <w:rPr>
          <w:rFonts w:ascii="FangSong" w:hAnsi="FangSong" w:eastAsia="FangSong" w:cs="FangSong"/>
          <w:sz w:val="24"/>
          <w:szCs w:val="24"/>
          <w:spacing w:val="-3"/>
        </w:rPr>
        <w:t>构成矿床的主要充水类型，水文地质边界条件简单，区内基岩风化裂</w:t>
      </w:r>
      <w:r>
        <w:rPr>
          <w:rFonts w:ascii="FangSong" w:hAnsi="FangSong" w:eastAsia="FangSong" w:cs="FangSong"/>
          <w:sz w:val="24"/>
          <w:szCs w:val="24"/>
          <w:spacing w:val="-4"/>
        </w:rPr>
        <w:t>隙水是矿床</w:t>
      </w:r>
      <w:r>
        <w:rPr>
          <w:rFonts w:ascii="FangSong" w:hAnsi="FangSong" w:eastAsia="FangSong" w:cs="FangSong"/>
          <w:sz w:val="24"/>
          <w:szCs w:val="24"/>
          <w:spacing w:val="-2"/>
        </w:rPr>
        <w:t>主要充水水源，分布面积广。</w:t>
      </w:r>
    </w:p>
    <w:p>
      <w:pPr>
        <w:spacing w:line="360" w:lineRule="auto"/>
        <w:sectPr>
          <w:footerReference w:type="default" r:id="rId232"/>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1" w:right="185" w:firstLine="479"/>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根据项目水文地质特征、地下水类型、边界条</w:t>
      </w:r>
      <w:r>
        <w:rPr>
          <w:rFonts w:ascii="FangSong" w:hAnsi="FangSong" w:eastAsia="FangSong" w:cs="FangSong"/>
          <w:sz w:val="24"/>
          <w:szCs w:val="24"/>
          <w:spacing w:val="-4"/>
        </w:rPr>
        <w:t>件、充水方式、矿体分布特征</w:t>
      </w:r>
      <w:r>
        <w:rPr>
          <w:rFonts w:ascii="FangSong" w:hAnsi="FangSong" w:eastAsia="FangSong" w:cs="FangSong"/>
          <w:sz w:val="24"/>
          <w:szCs w:val="24"/>
          <w:spacing w:val="-4"/>
        </w:rPr>
        <w:t>及开采方式（井采</w:t>
      </w:r>
      <w:r>
        <w:rPr>
          <w:rFonts w:ascii="FangSong" w:hAnsi="FangSong" w:eastAsia="FangSong" w:cs="FangSong"/>
          <w:sz w:val="24"/>
          <w:szCs w:val="24"/>
          <w:spacing w:val="-7"/>
        </w:rPr>
        <w:t>），</w:t>
      </w:r>
      <w:r>
        <w:rPr>
          <w:rFonts w:ascii="FangSong" w:hAnsi="FangSong" w:eastAsia="FangSong" w:cs="FangSong"/>
          <w:sz w:val="24"/>
          <w:szCs w:val="24"/>
          <w:spacing w:val="-4"/>
        </w:rPr>
        <w:t>选择“大井</w:t>
      </w:r>
      <w:r>
        <w:rPr>
          <w:rFonts w:ascii="FangSong" w:hAnsi="FangSong" w:eastAsia="FangSong" w:cs="FangSong"/>
          <w:sz w:val="24"/>
          <w:szCs w:val="24"/>
          <w:spacing w:val="-87"/>
        </w:rPr>
        <w:t xml:space="preserve"> </w:t>
      </w:r>
      <w:r>
        <w:rPr>
          <w:rFonts w:ascii="FangSong" w:hAnsi="FangSong" w:eastAsia="FangSong" w:cs="FangSong"/>
          <w:sz w:val="24"/>
          <w:szCs w:val="24"/>
          <w:spacing w:val="-4"/>
        </w:rPr>
        <w:t>”法潜水完整井公式进行矿坑涌水量预测。经</w:t>
      </w:r>
      <w:r>
        <w:rPr>
          <w:rFonts w:ascii="FangSong" w:hAnsi="FangSong" w:eastAsia="FangSong" w:cs="FangSong"/>
          <w:sz w:val="24"/>
          <w:szCs w:val="24"/>
          <w:spacing w:val="-3"/>
        </w:rPr>
        <w:t>预测矿坑正常涌水量为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1161.79m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，最大涌水量为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1785.</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10m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/d</w:t>
      </w:r>
      <w:r>
        <w:rPr>
          <w:rFonts w:ascii="FangSong" w:hAnsi="FangSong" w:eastAsia="FangSong" w:cs="FangSong"/>
          <w:sz w:val="24"/>
          <w:szCs w:val="24"/>
          <w:spacing w:val="-4"/>
        </w:rPr>
        <w:t>。</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5.4.1.5  </w:t>
      </w:r>
      <w:r>
        <w:rPr>
          <w:rFonts w:ascii="FangSong" w:hAnsi="FangSong" w:eastAsia="FangSong" w:cs="FangSong"/>
          <w:sz w:val="24"/>
          <w:szCs w:val="24"/>
          <w:b/>
          <w:bCs/>
          <w:spacing w:val="-2"/>
        </w:rPr>
        <w:t>矿床水文地质勘查类型划分</w:t>
      </w:r>
    </w:p>
    <w:p>
      <w:pPr>
        <w:ind w:left="29" w:right="102" w:firstLine="480"/>
        <w:spacing w:before="178" w:line="360" w:lineRule="auto"/>
        <w:rPr>
          <w:rFonts w:ascii="FangSong" w:hAnsi="FangSong" w:eastAsia="FangSong" w:cs="FangSong"/>
          <w:sz w:val="24"/>
          <w:szCs w:val="24"/>
        </w:rPr>
      </w:pPr>
      <w:r>
        <w:rPr>
          <w:rFonts w:ascii="FangSong" w:hAnsi="FangSong" w:eastAsia="FangSong" w:cs="FangSong"/>
          <w:sz w:val="24"/>
          <w:szCs w:val="24"/>
          <w:spacing w:val="-8"/>
        </w:rPr>
        <w:t>矿床所处地形位置较高，地形有利于自然排水，以风化裂隙含水层充水为主，</w:t>
      </w:r>
      <w:r>
        <w:rPr>
          <w:rFonts w:ascii="FangSong" w:hAnsi="FangSong" w:eastAsia="FangSong" w:cs="FangSong"/>
          <w:sz w:val="24"/>
          <w:szCs w:val="24"/>
          <w:spacing w:val="-3"/>
        </w:rPr>
        <w:t>主要矿体虽位于当地侵蚀基准面之下，本项目东北方向有两处地表水</w:t>
      </w:r>
      <w:r>
        <w:rPr>
          <w:rFonts w:ascii="FangSong" w:hAnsi="FangSong" w:eastAsia="FangSong" w:cs="FangSong"/>
          <w:sz w:val="24"/>
          <w:szCs w:val="24"/>
          <w:spacing w:val="-4"/>
        </w:rPr>
        <w:t>体浅塘，由</w:t>
      </w:r>
      <w:r>
        <w:rPr>
          <w:rFonts w:ascii="FangSong" w:hAnsi="FangSong" w:eastAsia="FangSong" w:cs="FangSong"/>
          <w:sz w:val="24"/>
          <w:szCs w:val="24"/>
          <w:spacing w:val="-1"/>
        </w:rPr>
        <w:t>附近矿山排水产生，但不构成矿床的主要充水类型，矿床主要含水层富水性弱，</w:t>
      </w:r>
      <w:r>
        <w:rPr>
          <w:rFonts w:ascii="FangSong" w:hAnsi="FangSong" w:eastAsia="FangSong" w:cs="FangSong"/>
          <w:sz w:val="24"/>
          <w:szCs w:val="24"/>
          <w:spacing w:val="9"/>
        </w:rPr>
        <w:t>松散岩类覆盖面积小且薄，</w:t>
      </w:r>
      <w:r>
        <w:rPr>
          <w:rFonts w:ascii="FangSong" w:hAnsi="FangSong" w:eastAsia="FangSong" w:cs="FangSong"/>
          <w:sz w:val="24"/>
          <w:szCs w:val="24"/>
          <w:spacing w:val="-57"/>
        </w:rPr>
        <w:t xml:space="preserve"> </w:t>
      </w:r>
      <w:r>
        <w:rPr>
          <w:rFonts w:ascii="FangSong" w:hAnsi="FangSong" w:eastAsia="FangSong" w:cs="FangSong"/>
          <w:sz w:val="24"/>
          <w:szCs w:val="24"/>
          <w:spacing w:val="9"/>
        </w:rPr>
        <w:t>因此，按照《矿区水文地质工程地质勘探规范》</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GB12719-2021</w:t>
      </w:r>
      <w:r>
        <w:rPr>
          <w:rFonts w:ascii="FangSong" w:hAnsi="FangSong" w:eastAsia="FangSong" w:cs="FangSong"/>
          <w:sz w:val="24"/>
          <w:szCs w:val="24"/>
          <w:spacing w:val="-1"/>
        </w:rPr>
        <w:t>），</w:t>
      </w:r>
      <w:r>
        <w:rPr>
          <w:rFonts w:ascii="FangSong" w:hAnsi="FangSong" w:eastAsia="FangSong" w:cs="FangSong"/>
          <w:sz w:val="24"/>
          <w:szCs w:val="24"/>
          <w:spacing w:val="-2"/>
        </w:rPr>
        <w:t>本项目水文地质勘探类型划分为第二类第一型简单型矿床。</w:t>
      </w:r>
      <w:r>
        <w:rPr>
          <w:rFonts w:ascii="FangSong" w:hAnsi="FangSong" w:eastAsia="FangSong" w:cs="FangSong"/>
          <w:sz w:val="24"/>
          <w:szCs w:val="24"/>
          <w:spacing w:val="-1"/>
        </w:rPr>
        <w:t>即以裂隙含水层充水为主、水文地质条件简单的矿床。</w:t>
      </w:r>
    </w:p>
    <w:p>
      <w:pPr>
        <w:ind w:left="22"/>
        <w:spacing w:line="223" w:lineRule="auto"/>
        <w:outlineLvl w:val="2"/>
        <w:rPr>
          <w:rFonts w:ascii="FangSong" w:hAnsi="FangSong" w:eastAsia="FangSong" w:cs="FangSong"/>
          <w:sz w:val="24"/>
          <w:szCs w:val="24"/>
        </w:rPr>
      </w:pPr>
      <w:bookmarkStart w:name="bookmark236" w:id="320"/>
      <w:bookmarkEnd w:id="320"/>
      <w:bookmarkStart w:name="bookmark235" w:id="321"/>
      <w:bookmarkEnd w:id="321"/>
      <w:r>
        <w:rPr>
          <w:rFonts w:ascii="Times New Roman" w:hAnsi="Times New Roman" w:eastAsia="Times New Roman" w:cs="Times New Roman"/>
          <w:sz w:val="24"/>
          <w:szCs w:val="24"/>
          <w:b/>
          <w:bCs/>
          <w:spacing w:val="-5"/>
        </w:rPr>
        <w:t>5.4.2</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b/>
          <w:bCs/>
          <w:spacing w:val="-5"/>
        </w:rPr>
        <w:t>工程地质</w:t>
      </w:r>
    </w:p>
    <w:p>
      <w:pPr>
        <w:ind w:left="22"/>
        <w:spacing w:before="1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5.4.2.1  </w:t>
      </w:r>
      <w:r>
        <w:rPr>
          <w:rFonts w:ascii="FangSong" w:hAnsi="FangSong" w:eastAsia="FangSong" w:cs="FangSong"/>
          <w:sz w:val="24"/>
          <w:szCs w:val="24"/>
          <w:b/>
          <w:bCs/>
          <w:spacing w:val="-2"/>
        </w:rPr>
        <w:t>本项目工程地质特征</w:t>
      </w:r>
    </w:p>
    <w:p>
      <w:pPr>
        <w:ind w:left="514"/>
        <w:spacing w:before="179"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）风化带的划分</w:t>
      </w:r>
    </w:p>
    <w:p>
      <w:pPr>
        <w:ind w:left="31" w:right="120" w:firstLine="485"/>
        <w:spacing w:before="180" w:line="360" w:lineRule="auto"/>
        <w:rPr>
          <w:rFonts w:ascii="FangSong" w:hAnsi="FangSong" w:eastAsia="FangSong" w:cs="FangSong"/>
          <w:sz w:val="24"/>
          <w:szCs w:val="24"/>
        </w:rPr>
      </w:pPr>
      <w:r>
        <w:rPr>
          <w:rFonts w:ascii="FangSong" w:hAnsi="FangSong" w:eastAsia="FangSong" w:cs="FangSong"/>
          <w:sz w:val="24"/>
          <w:szCs w:val="24"/>
          <w:spacing w:val="-3"/>
        </w:rPr>
        <w:t>强风化带岩石深度为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8-20m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左右，岩性主要为凝灰质板</w:t>
      </w:r>
      <w:r>
        <w:rPr>
          <w:rFonts w:ascii="FangSong" w:hAnsi="FangSong" w:eastAsia="FangSong" w:cs="FangSong"/>
          <w:sz w:val="24"/>
          <w:szCs w:val="24"/>
          <w:spacing w:val="-4"/>
        </w:rPr>
        <w:t>岩，岩心均较破碎，</w:t>
      </w:r>
      <w:r>
        <w:rPr>
          <w:rFonts w:ascii="FangSong" w:hAnsi="FangSong" w:eastAsia="FangSong" w:cs="FangSong"/>
          <w:sz w:val="24"/>
          <w:szCs w:val="24"/>
          <w:spacing w:val="-1"/>
        </w:rPr>
        <w:t>风化裂隙发育，呈块状和短柱状，稳定性差。</w:t>
      </w:r>
    </w:p>
    <w:p>
      <w:pPr>
        <w:ind w:left="31" w:right="120" w:firstLine="509"/>
        <w:spacing w:line="360" w:lineRule="auto"/>
        <w:rPr>
          <w:rFonts w:ascii="FangSong" w:hAnsi="FangSong" w:eastAsia="FangSong" w:cs="FangSong"/>
          <w:sz w:val="24"/>
          <w:szCs w:val="24"/>
        </w:rPr>
      </w:pPr>
      <w:r>
        <w:rPr>
          <w:rFonts w:ascii="FangSong" w:hAnsi="FangSong" w:eastAsia="FangSong" w:cs="FangSong"/>
          <w:sz w:val="24"/>
          <w:szCs w:val="24"/>
          <w:spacing w:val="-4"/>
        </w:rPr>
        <w:t>中风化带岩石深度为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4"/>
        </w:rPr>
        <w:t>7-40m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左右，岩性主要为凝灰质板岩，岩心完整性差，</w:t>
      </w:r>
      <w:r>
        <w:rPr>
          <w:rFonts w:ascii="FangSong" w:hAnsi="FangSong" w:eastAsia="FangSong" w:cs="FangSong"/>
          <w:sz w:val="24"/>
          <w:szCs w:val="24"/>
          <w:spacing w:val="-1"/>
        </w:rPr>
        <w:t>风化裂隙较发育，多呈短柱状，稳定性较差。</w:t>
      </w:r>
    </w:p>
    <w:p>
      <w:pPr>
        <w:ind w:left="34" w:right="185" w:firstLine="480"/>
        <w:spacing w:line="360" w:lineRule="auto"/>
        <w:rPr>
          <w:rFonts w:ascii="FangSong" w:hAnsi="FangSong" w:eastAsia="FangSong" w:cs="FangSong"/>
          <w:sz w:val="24"/>
          <w:szCs w:val="24"/>
        </w:rPr>
      </w:pPr>
      <w:r>
        <w:rPr>
          <w:rFonts w:ascii="FangSong" w:hAnsi="FangSong" w:eastAsia="FangSong" w:cs="FangSong"/>
          <w:sz w:val="24"/>
          <w:szCs w:val="24"/>
          <w:spacing w:val="2"/>
        </w:rPr>
        <w:t>弱风化带岩石深度为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60-140m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左右，岩性主</w:t>
      </w:r>
      <w:r>
        <w:rPr>
          <w:rFonts w:ascii="FangSong" w:hAnsi="FangSong" w:eastAsia="FangSong" w:cs="FangSong"/>
          <w:sz w:val="24"/>
          <w:szCs w:val="24"/>
          <w:spacing w:val="1"/>
        </w:rPr>
        <w:t>要凝灰质板岩，岩心质量中等</w:t>
      </w:r>
      <w:r>
        <w:rPr>
          <w:rFonts w:ascii="FangSong" w:hAnsi="FangSong" w:eastAsia="FangSong" w:cs="FangSong"/>
          <w:sz w:val="24"/>
          <w:szCs w:val="24"/>
          <w:spacing w:val="-1"/>
        </w:rPr>
        <w:t>完整</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较完整，风化裂隙弱发育，多呈长柱状，稳定性较好。</w:t>
      </w:r>
    </w:p>
    <w:p>
      <w:pPr>
        <w:ind w:left="514"/>
        <w:spacing w:before="1"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）本项目工程地质岩组划分</w:t>
      </w:r>
    </w:p>
    <w:p>
      <w:pPr>
        <w:ind w:left="32" w:firstLine="482"/>
        <w:spacing w:before="179" w:line="360" w:lineRule="auto"/>
        <w:rPr>
          <w:rFonts w:ascii="FangSong" w:hAnsi="FangSong" w:eastAsia="FangSong" w:cs="FangSong"/>
          <w:sz w:val="24"/>
          <w:szCs w:val="24"/>
        </w:rPr>
      </w:pPr>
      <w:r>
        <w:rPr>
          <w:rFonts w:ascii="FangSong" w:hAnsi="FangSong" w:eastAsia="FangSong" w:cs="FangSong"/>
          <w:sz w:val="24"/>
          <w:szCs w:val="24"/>
          <w:spacing w:val="-4"/>
        </w:rPr>
        <w:t>工程地质条件受构造、矿体形态、岩性、岩石物理力学性质及岩石风化程度</w:t>
      </w:r>
      <w:r>
        <w:rPr>
          <w:rFonts w:ascii="FangSong" w:hAnsi="FangSong" w:eastAsia="FangSong" w:cs="FangSong"/>
          <w:sz w:val="24"/>
          <w:szCs w:val="24"/>
          <w:spacing w:val="-5"/>
        </w:rPr>
        <w:t>等多种因素的影响和控制，根据本项目地层岩性分布和近矿围岩的物理力学性质，</w:t>
      </w:r>
      <w:r>
        <w:rPr>
          <w:rFonts w:ascii="FangSong" w:hAnsi="FangSong" w:eastAsia="FangSong" w:cs="FangSong"/>
          <w:sz w:val="24"/>
          <w:szCs w:val="24"/>
          <w:spacing w:val="-1"/>
        </w:rPr>
        <w:t>划分为软岩</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较软岩层状岩组、第四系松散岩土组两个工程地质岩组。</w:t>
      </w:r>
    </w:p>
    <w:p>
      <w:pPr>
        <w:ind w:left="502"/>
        <w:spacing w:before="1" w:line="221"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18"/>
        </w:rPr>
        <w:t xml:space="preserve"> </w:t>
      </w:r>
      <w:r>
        <w:rPr>
          <w:rFonts w:ascii="FangSong" w:hAnsi="FangSong" w:eastAsia="FangSong" w:cs="FangSong"/>
          <w:sz w:val="24"/>
          <w:szCs w:val="24"/>
          <w:spacing w:val="-7"/>
        </w:rPr>
        <w:t>软岩类</w:t>
      </w:r>
    </w:p>
    <w:p>
      <w:pPr>
        <w:ind w:left="27" w:right="102" w:firstLine="480"/>
        <w:spacing w:before="179" w:line="359" w:lineRule="auto"/>
        <w:rPr>
          <w:rFonts w:ascii="FangSong" w:hAnsi="FangSong" w:eastAsia="FangSong" w:cs="FangSong"/>
          <w:sz w:val="24"/>
          <w:szCs w:val="24"/>
        </w:rPr>
      </w:pPr>
      <w:r>
        <w:rPr>
          <w:rFonts w:ascii="FangSong" w:hAnsi="FangSong" w:eastAsia="FangSong" w:cs="FangSong"/>
          <w:sz w:val="24"/>
          <w:szCs w:val="24"/>
          <w:spacing w:val="-3"/>
        </w:rPr>
        <w:t>凝灰质板岩：岩石</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RQD</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值为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1-90%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，平均值为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55%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。其中，</w:t>
      </w:r>
      <w:r>
        <w:rPr>
          <w:rFonts w:ascii="Times New Roman" w:hAnsi="Times New Roman" w:eastAsia="Times New Roman" w:cs="Times New Roman"/>
          <w:sz w:val="24"/>
          <w:szCs w:val="24"/>
          <w:spacing w:val="-3"/>
        </w:rPr>
        <w:t>7-50m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，岩体</w:t>
      </w:r>
      <w:r>
        <w:rPr>
          <w:rFonts w:ascii="FangSong" w:hAnsi="FangSong" w:eastAsia="FangSong" w:cs="FangSong"/>
          <w:sz w:val="24"/>
          <w:szCs w:val="24"/>
          <w:spacing w:val="-1"/>
        </w:rPr>
        <w:t>较破碎，总体岩石质量属极差</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差的，岩石完整性属岩体破碎</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岩体完整性差。根</w:t>
      </w:r>
      <w:r>
        <w:rPr>
          <w:rFonts w:ascii="FangSong" w:hAnsi="FangSong" w:eastAsia="FangSong" w:cs="FangSong"/>
          <w:sz w:val="24"/>
          <w:szCs w:val="24"/>
          <w:spacing w:val="-2"/>
        </w:rPr>
        <w:t>据力学样测试结果在天然状态下单轴极限抗压</w:t>
      </w:r>
      <w:r>
        <w:rPr>
          <w:rFonts w:ascii="FangSong" w:hAnsi="FangSong" w:eastAsia="FangSong" w:cs="FangSong"/>
          <w:sz w:val="24"/>
          <w:szCs w:val="24"/>
          <w:spacing w:val="-3"/>
        </w:rPr>
        <w:t>强度</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5.0-5.3Mpa</w:t>
      </w:r>
      <w:r>
        <w:rPr>
          <w:rFonts w:ascii="FangSong" w:hAnsi="FangSong" w:eastAsia="FangSong" w:cs="FangSong"/>
          <w:sz w:val="24"/>
          <w:szCs w:val="24"/>
          <w:spacing w:val="-3"/>
        </w:rPr>
        <w:t>，岩石在饱和状态</w:t>
      </w:r>
      <w:r>
        <w:rPr>
          <w:rFonts w:ascii="FangSong" w:hAnsi="FangSong" w:eastAsia="FangSong" w:cs="FangSong"/>
          <w:sz w:val="24"/>
          <w:szCs w:val="24"/>
          <w:spacing w:val="-2"/>
        </w:rPr>
        <w:t>下岩石单轴极限抗压强度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4.6-4.8MPa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，岩石坚硬程度属软岩类；</w:t>
      </w:r>
      <w:r>
        <w:rPr>
          <w:rFonts w:ascii="Times New Roman" w:hAnsi="Times New Roman" w:eastAsia="Times New Roman" w:cs="Times New Roman"/>
          <w:sz w:val="24"/>
          <w:szCs w:val="24"/>
          <w:spacing w:val="-2"/>
        </w:rPr>
        <w:t>50-150m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，局部</w:t>
      </w:r>
      <w:r>
        <w:rPr>
          <w:rFonts w:ascii="FangSong" w:hAnsi="FangSong" w:eastAsia="FangSong" w:cs="FangSong"/>
          <w:sz w:val="24"/>
          <w:szCs w:val="24"/>
          <w:spacing w:val="-5"/>
        </w:rPr>
        <w:t>岩体破碎，总体岩石质量属极差</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中等，岩石完整性属岩体破碎</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岩体中等完整性。</w:t>
      </w:r>
    </w:p>
    <w:p>
      <w:pPr>
        <w:spacing w:line="359" w:lineRule="auto"/>
        <w:sectPr>
          <w:footerReference w:type="default" r:id="rId234"/>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65"/>
        <w:spacing w:before="78" w:line="353" w:lineRule="auto"/>
        <w:rPr>
          <w:rFonts w:ascii="FangSong" w:hAnsi="FangSong" w:eastAsia="FangSong" w:cs="FangSong"/>
          <w:sz w:val="24"/>
          <w:szCs w:val="24"/>
        </w:rPr>
      </w:pPr>
      <w:r>
        <w:rPr>
          <w:rFonts w:ascii="FangSong" w:hAnsi="FangSong" w:eastAsia="FangSong" w:cs="FangSong"/>
          <w:sz w:val="24"/>
          <w:szCs w:val="24"/>
          <w:spacing w:val="-2"/>
        </w:rPr>
        <w:t>根据力学样测试结果在天然状态下单轴极限抗压强度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23.</w:t>
      </w:r>
      <w:r>
        <w:rPr>
          <w:rFonts w:ascii="Times New Roman" w:hAnsi="Times New Roman" w:eastAsia="Times New Roman" w:cs="Times New Roman"/>
          <w:sz w:val="24"/>
          <w:szCs w:val="24"/>
          <w:spacing w:val="-3"/>
        </w:rPr>
        <w:t>6-31.3Mpa</w:t>
      </w:r>
      <w:r>
        <w:rPr>
          <w:rFonts w:ascii="FangSong" w:hAnsi="FangSong" w:eastAsia="FangSong" w:cs="FangSong"/>
          <w:sz w:val="24"/>
          <w:szCs w:val="24"/>
          <w:spacing w:val="-3"/>
        </w:rPr>
        <w:t>，岩石在饱和</w:t>
      </w:r>
      <w:r>
        <w:rPr>
          <w:rFonts w:ascii="FangSong" w:hAnsi="FangSong" w:eastAsia="FangSong" w:cs="FangSong"/>
          <w:sz w:val="24"/>
          <w:szCs w:val="24"/>
          <w:spacing w:val="-2"/>
        </w:rPr>
        <w:t>状态下岩石单轴极限抗压强度</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8.2-26.4MPa</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，岩石坚硬程度属较软岩类。</w:t>
      </w:r>
    </w:p>
    <w:p>
      <w:pPr>
        <w:ind w:left="29" w:right="65" w:firstLine="480"/>
        <w:spacing w:before="19" w:line="358" w:lineRule="auto"/>
        <w:jc w:val="both"/>
        <w:rPr>
          <w:rFonts w:ascii="FangSong" w:hAnsi="FangSong" w:eastAsia="FangSong" w:cs="FangSong"/>
          <w:sz w:val="24"/>
          <w:szCs w:val="24"/>
        </w:rPr>
      </w:pPr>
      <w:r>
        <w:rPr>
          <w:rFonts w:ascii="FangSong" w:hAnsi="FangSong" w:eastAsia="FangSong" w:cs="FangSong"/>
          <w:sz w:val="24"/>
          <w:szCs w:val="24"/>
          <w:spacing w:val="-3"/>
        </w:rPr>
        <w:t>碳质板岩：岩石</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RQD</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值为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0-80%</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，平均值为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，岩体较破碎，总体岩石</w:t>
      </w:r>
      <w:r>
        <w:rPr>
          <w:rFonts w:ascii="FangSong" w:hAnsi="FangSong" w:eastAsia="FangSong" w:cs="FangSong"/>
          <w:sz w:val="24"/>
          <w:szCs w:val="24"/>
          <w:spacing w:val="-1"/>
        </w:rPr>
        <w:t>质量属极差</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差的，岩石完整性属岩体破碎</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岩体完整性差。本层岩组主要分布在</w:t>
      </w:r>
      <w:r>
        <w:rPr>
          <w:rFonts w:ascii="FangSong" w:hAnsi="FangSong" w:eastAsia="FangSong" w:cs="FangSong"/>
          <w:sz w:val="24"/>
          <w:szCs w:val="24"/>
          <w:spacing w:val="-1"/>
        </w:rPr>
        <w:t>矿床下部，不构成矿床直接围岩，本次工作未采集岩石物理力学样。</w:t>
      </w:r>
    </w:p>
    <w:p>
      <w:pPr>
        <w:ind w:left="501"/>
        <w:spacing w:before="5" w:line="222"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16"/>
        </w:rPr>
        <w:t xml:space="preserve"> </w:t>
      </w:r>
      <w:r>
        <w:rPr>
          <w:rFonts w:ascii="FangSong" w:hAnsi="FangSong" w:eastAsia="FangSong" w:cs="FangSong"/>
          <w:sz w:val="24"/>
          <w:szCs w:val="24"/>
          <w:spacing w:val="-5"/>
        </w:rPr>
        <w:t>松散岩类</w:t>
      </w:r>
    </w:p>
    <w:p>
      <w:pPr>
        <w:ind w:left="29" w:firstLine="481"/>
        <w:spacing w:before="179" w:line="360" w:lineRule="auto"/>
        <w:rPr>
          <w:rFonts w:ascii="FangSong" w:hAnsi="FangSong" w:eastAsia="FangSong" w:cs="FangSong"/>
          <w:sz w:val="24"/>
          <w:szCs w:val="24"/>
        </w:rPr>
      </w:pPr>
      <w:r>
        <w:rPr>
          <w:rFonts w:ascii="FangSong" w:hAnsi="FangSong" w:eastAsia="FangSong" w:cs="FangSong"/>
          <w:sz w:val="24"/>
          <w:szCs w:val="24"/>
          <w:spacing w:val="-3"/>
        </w:rPr>
        <w:t>本项目内零星分布，岩土体由冲洪积砂砾碎石</w:t>
      </w:r>
      <w:r>
        <w:rPr>
          <w:rFonts w:ascii="FangSong" w:hAnsi="FangSong" w:eastAsia="FangSong" w:cs="FangSong"/>
          <w:sz w:val="24"/>
          <w:szCs w:val="24"/>
          <w:spacing w:val="-4"/>
        </w:rPr>
        <w:t>透镜体夹薄层亚砂土组成，砂</w:t>
      </w:r>
      <w:r>
        <w:rPr>
          <w:rFonts w:ascii="FangSong" w:hAnsi="FangSong" w:eastAsia="FangSong" w:cs="FangSong"/>
          <w:sz w:val="24"/>
          <w:szCs w:val="24"/>
          <w:spacing w:val="-8"/>
        </w:rPr>
        <w:t>砾碎石无分选，粒度大小不等，堆积松散，多为片状、次棱角状，具一定流动性，</w:t>
      </w:r>
      <w:r>
        <w:rPr>
          <w:rFonts w:ascii="FangSong" w:hAnsi="FangSong" w:eastAsia="FangSong" w:cs="FangSong"/>
          <w:sz w:val="24"/>
          <w:szCs w:val="24"/>
          <w:spacing w:val="-1"/>
        </w:rPr>
        <w:t>渗透性较好，富水性差，工程地质条件差。</w:t>
      </w:r>
    </w:p>
    <w:p>
      <w:pPr>
        <w:ind w:left="22"/>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5.4.2.2  </w:t>
      </w:r>
      <w:r>
        <w:rPr>
          <w:rFonts w:ascii="FangSong" w:hAnsi="FangSong" w:eastAsia="FangSong" w:cs="FangSong"/>
          <w:sz w:val="24"/>
          <w:szCs w:val="24"/>
          <w:b/>
          <w:bCs/>
          <w:spacing w:val="-2"/>
        </w:rPr>
        <w:t>本项目工程地质勘探类型划分</w:t>
      </w:r>
    </w:p>
    <w:p>
      <w:pPr>
        <w:ind w:left="29" w:right="65"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从本项目的地貌，岩性，构造及工程地质特</w:t>
      </w:r>
      <w:r>
        <w:rPr>
          <w:rFonts w:ascii="FangSong" w:hAnsi="FangSong" w:eastAsia="FangSong" w:cs="FangSong"/>
          <w:sz w:val="24"/>
          <w:szCs w:val="24"/>
          <w:spacing w:val="-4"/>
        </w:rPr>
        <w:t>征等条件看，矿体及围岩由软弱</w:t>
      </w:r>
      <w:r>
        <w:rPr>
          <w:rFonts w:ascii="FangSong" w:hAnsi="FangSong" w:eastAsia="FangSong" w:cs="FangSong"/>
          <w:sz w:val="24"/>
          <w:szCs w:val="24"/>
          <w:spacing w:val="-3"/>
        </w:rPr>
        <w:t>及较软弱的层状岩石组成，主要矿体位于构造和风化裂隙带中及附近</w:t>
      </w:r>
      <w:r>
        <w:rPr>
          <w:rFonts w:ascii="FangSong" w:hAnsi="FangSong" w:eastAsia="FangSong" w:cs="FangSong"/>
          <w:sz w:val="24"/>
          <w:szCs w:val="24"/>
          <w:spacing w:val="-4"/>
        </w:rPr>
        <w:t>，岩矿石受</w:t>
      </w:r>
      <w:r>
        <w:rPr>
          <w:rFonts w:ascii="FangSong" w:hAnsi="FangSong" w:eastAsia="FangSong" w:cs="FangSong"/>
          <w:sz w:val="24"/>
          <w:szCs w:val="24"/>
          <w:spacing w:val="-3"/>
        </w:rPr>
        <w:t>风化作用和构造作用影响较破碎，软弱，稳定性差，开采时会</w:t>
      </w:r>
      <w:r>
        <w:rPr>
          <w:rFonts w:ascii="FangSong" w:hAnsi="FangSong" w:eastAsia="FangSong" w:cs="FangSong"/>
          <w:sz w:val="24"/>
          <w:szCs w:val="24"/>
          <w:spacing w:val="-4"/>
        </w:rPr>
        <w:t>造成不同程度的坍</w:t>
      </w:r>
      <w:r>
        <w:rPr>
          <w:rFonts w:ascii="FangSong" w:hAnsi="FangSong" w:eastAsia="FangSong" w:cs="FangSong"/>
          <w:sz w:val="24"/>
          <w:szCs w:val="24"/>
          <w:spacing w:val="-3"/>
        </w:rPr>
        <w:t>塌，掉块，部分岩体存在地下水软化和泥化现象，依据《矿区水文地</w:t>
      </w:r>
      <w:r>
        <w:rPr>
          <w:rFonts w:ascii="FangSong" w:hAnsi="FangSong" w:eastAsia="FangSong" w:cs="FangSong"/>
          <w:sz w:val="24"/>
          <w:szCs w:val="24"/>
          <w:spacing w:val="-4"/>
        </w:rPr>
        <w:t>质工程地质</w:t>
      </w:r>
      <w:r>
        <w:rPr>
          <w:rFonts w:ascii="FangSong" w:hAnsi="FangSong" w:eastAsia="FangSong" w:cs="FangSong"/>
          <w:sz w:val="24"/>
          <w:szCs w:val="24"/>
          <w:spacing w:val="1"/>
        </w:rPr>
        <w:t>勘探规范》（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12719-21</w:t>
      </w:r>
      <w:r>
        <w:rPr>
          <w:rFonts w:ascii="FangSong" w:hAnsi="FangSong" w:eastAsia="FangSong" w:cs="FangSong"/>
          <w:sz w:val="24"/>
          <w:szCs w:val="24"/>
          <w:spacing w:val="20"/>
        </w:rPr>
        <w:t>），</w:t>
      </w:r>
      <w:r>
        <w:rPr>
          <w:rFonts w:ascii="FangSong" w:hAnsi="FangSong" w:eastAsia="FangSong" w:cs="FangSong"/>
          <w:sz w:val="24"/>
          <w:szCs w:val="24"/>
          <w:spacing w:val="1"/>
        </w:rPr>
        <w:t>工程地质勘查类型属以层状岩类为主的工程地质</w:t>
      </w:r>
      <w:r>
        <w:rPr>
          <w:rFonts w:ascii="FangSong" w:hAnsi="FangSong" w:eastAsia="FangSong" w:cs="FangSong"/>
          <w:sz w:val="24"/>
          <w:szCs w:val="24"/>
          <w:spacing w:val="-1"/>
        </w:rPr>
        <w:t>条件中等的矿床，即：第四类中等型。</w:t>
      </w:r>
    </w:p>
    <w:p>
      <w:pPr>
        <w:ind w:left="22"/>
        <w:spacing w:line="222" w:lineRule="auto"/>
        <w:outlineLvl w:val="2"/>
        <w:rPr>
          <w:rFonts w:ascii="FangSong" w:hAnsi="FangSong" w:eastAsia="FangSong" w:cs="FangSong"/>
          <w:sz w:val="24"/>
          <w:szCs w:val="24"/>
        </w:rPr>
      </w:pPr>
      <w:bookmarkStart w:name="bookmark238" w:id="322"/>
      <w:bookmarkEnd w:id="322"/>
      <w:bookmarkStart w:name="bookmark237" w:id="323"/>
      <w:bookmarkEnd w:id="323"/>
      <w:r>
        <w:rPr>
          <w:rFonts w:ascii="Times New Roman" w:hAnsi="Times New Roman" w:eastAsia="Times New Roman" w:cs="Times New Roman"/>
          <w:sz w:val="24"/>
          <w:szCs w:val="24"/>
          <w:b/>
          <w:bCs/>
          <w:spacing w:val="-4"/>
        </w:rPr>
        <w:t>5.4.3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环境地质</w:t>
      </w:r>
    </w:p>
    <w:p>
      <w:pPr>
        <w:ind w:left="22"/>
        <w:spacing w:before="180"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5.4.3.1</w:t>
      </w:r>
      <w:r>
        <w:rPr>
          <w:rFonts w:ascii="Times New Roman" w:hAnsi="Times New Roman" w:eastAsia="Times New Roman" w:cs="Times New Roman"/>
          <w:sz w:val="24"/>
          <w:szCs w:val="24"/>
          <w:b/>
          <w:bCs/>
          <w:spacing w:val="21"/>
        </w:rPr>
        <w:t xml:space="preserve">  </w:t>
      </w:r>
      <w:r>
        <w:rPr>
          <w:rFonts w:ascii="FangSong" w:hAnsi="FangSong" w:eastAsia="FangSong" w:cs="FangSong"/>
          <w:sz w:val="24"/>
          <w:szCs w:val="24"/>
          <w:b/>
          <w:bCs/>
          <w:spacing w:val="-5"/>
        </w:rPr>
        <w:t>区域稳定性</w:t>
      </w:r>
    </w:p>
    <w:p>
      <w:pPr>
        <w:ind w:left="30" w:right="65" w:firstLine="480"/>
        <w:spacing w:before="184" w:line="358" w:lineRule="auto"/>
        <w:jc w:val="both"/>
        <w:rPr>
          <w:rFonts w:ascii="FangSong" w:hAnsi="FangSong" w:eastAsia="FangSong" w:cs="FangSong"/>
          <w:sz w:val="24"/>
          <w:szCs w:val="24"/>
        </w:rPr>
      </w:pPr>
      <w:r>
        <w:rPr>
          <w:rFonts w:ascii="FangSong" w:hAnsi="FangSong" w:eastAsia="FangSong" w:cs="FangSong"/>
          <w:sz w:val="24"/>
          <w:szCs w:val="24"/>
          <w:spacing w:val="-3"/>
        </w:rPr>
        <w:t>本项目属内蒙古高原的一部分，区域断裂构造</w:t>
      </w:r>
      <w:r>
        <w:rPr>
          <w:rFonts w:ascii="FangSong" w:hAnsi="FangSong" w:eastAsia="FangSong" w:cs="FangSong"/>
          <w:sz w:val="24"/>
          <w:szCs w:val="24"/>
          <w:spacing w:val="-4"/>
        </w:rPr>
        <w:t>较发育，但未见新构造活动痕</w:t>
      </w:r>
      <w:r>
        <w:rPr>
          <w:rFonts w:ascii="FangSong" w:hAnsi="FangSong" w:eastAsia="FangSong" w:cs="FangSong"/>
          <w:sz w:val="24"/>
          <w:szCs w:val="24"/>
          <w:spacing w:val="22"/>
        </w:rPr>
        <w:t>迹</w:t>
      </w:r>
      <w:r>
        <w:rPr>
          <w:rFonts w:ascii="FangSong" w:hAnsi="FangSong" w:eastAsia="FangSong" w:cs="FangSong"/>
          <w:sz w:val="24"/>
          <w:szCs w:val="24"/>
          <w:spacing w:val="-42"/>
        </w:rPr>
        <w:t xml:space="preserve"> </w:t>
      </w:r>
      <w:r>
        <w:rPr>
          <w:rFonts w:ascii="FangSong" w:hAnsi="FangSong" w:eastAsia="FangSong" w:cs="FangSong"/>
          <w:sz w:val="24"/>
          <w:szCs w:val="24"/>
          <w:spacing w:val="22"/>
        </w:rPr>
        <w:t>，</w:t>
      </w:r>
      <w:r>
        <w:rPr>
          <w:rFonts w:ascii="FangSong" w:hAnsi="FangSong" w:eastAsia="FangSong" w:cs="FangSong"/>
          <w:sz w:val="24"/>
          <w:szCs w:val="24"/>
          <w:spacing w:val="-65"/>
        </w:rPr>
        <w:t xml:space="preserve"> </w:t>
      </w:r>
      <w:r>
        <w:rPr>
          <w:rFonts w:ascii="FangSong" w:hAnsi="FangSong" w:eastAsia="FangSong" w:cs="FangSong"/>
          <w:sz w:val="24"/>
          <w:szCs w:val="24"/>
          <w:spacing w:val="22"/>
        </w:rPr>
        <w:t>本项目处于区域相对稳定地带</w:t>
      </w:r>
      <w:r>
        <w:rPr>
          <w:rFonts w:ascii="FangSong" w:hAnsi="FangSong" w:eastAsia="FangSong" w:cs="FangSong"/>
          <w:sz w:val="24"/>
          <w:szCs w:val="24"/>
          <w:spacing w:val="-47"/>
        </w:rPr>
        <w:t xml:space="preserve"> </w:t>
      </w:r>
      <w:r>
        <w:rPr>
          <w:rFonts w:ascii="FangSong" w:hAnsi="FangSong" w:eastAsia="FangSong" w:cs="FangSong"/>
          <w:sz w:val="24"/>
          <w:szCs w:val="24"/>
          <w:spacing w:val="22"/>
        </w:rPr>
        <w:t>。</w:t>
      </w:r>
      <w:r>
        <w:rPr>
          <w:rFonts w:ascii="FangSong" w:hAnsi="FangSong" w:eastAsia="FangSong" w:cs="FangSong"/>
          <w:sz w:val="24"/>
          <w:szCs w:val="24"/>
          <w:spacing w:val="-65"/>
        </w:rPr>
        <w:t xml:space="preserve"> </w:t>
      </w:r>
      <w:r>
        <w:rPr>
          <w:rFonts w:ascii="FangSong" w:hAnsi="FangSong" w:eastAsia="FangSong" w:cs="FangSong"/>
          <w:sz w:val="24"/>
          <w:szCs w:val="24"/>
          <w:spacing w:val="22"/>
        </w:rPr>
        <w:t>根据《</w:t>
      </w:r>
      <w:r>
        <w:rPr>
          <w:rFonts w:ascii="FangSong" w:hAnsi="FangSong" w:eastAsia="FangSong" w:cs="FangSong"/>
          <w:sz w:val="24"/>
          <w:szCs w:val="24"/>
          <w:spacing w:val="-14"/>
        </w:rPr>
        <w:t xml:space="preserve"> </w:t>
      </w:r>
      <w:r>
        <w:rPr>
          <w:rFonts w:ascii="FangSong" w:hAnsi="FangSong" w:eastAsia="FangSong" w:cs="FangSong"/>
          <w:sz w:val="24"/>
          <w:szCs w:val="24"/>
          <w:spacing w:val="22"/>
        </w:rPr>
        <w:t>中国地震动参数区划图</w:t>
      </w:r>
      <w:r>
        <w:rPr>
          <w:rFonts w:ascii="FangSong" w:hAnsi="FangSong" w:eastAsia="FangSong" w:cs="FangSong"/>
          <w:sz w:val="24"/>
          <w:szCs w:val="24"/>
          <w:spacing w:val="-59"/>
        </w:rPr>
        <w:t xml:space="preserve"> </w:t>
      </w:r>
      <w:r>
        <w:rPr>
          <w:rFonts w:ascii="FangSong" w:hAnsi="FangSong" w:eastAsia="FangSong" w:cs="FangSong"/>
          <w:sz w:val="24"/>
          <w:szCs w:val="24"/>
          <w:spacing w:val="22"/>
        </w:rPr>
        <w:t>》</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GB18306-2015</w:t>
      </w:r>
      <w:r>
        <w:rPr>
          <w:rFonts w:ascii="FangSong" w:hAnsi="FangSong" w:eastAsia="FangSong" w:cs="FangSong"/>
          <w:sz w:val="24"/>
          <w:szCs w:val="24"/>
          <w:spacing w:val="-1"/>
        </w:rPr>
        <w:t>），</w:t>
      </w:r>
      <w:r>
        <w:rPr>
          <w:rFonts w:ascii="FangSong" w:hAnsi="FangSong" w:eastAsia="FangSong" w:cs="FangSong"/>
          <w:sz w:val="24"/>
          <w:szCs w:val="24"/>
          <w:spacing w:val="-2"/>
        </w:rPr>
        <w:t>本区动峰值加速度为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0.05g</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，对照地震烈度为</w:t>
      </w:r>
      <w:r>
        <w:rPr>
          <w:rFonts w:ascii="Times New Roman" w:hAnsi="Times New Roman" w:eastAsia="Times New Roman" w:cs="Times New Roman"/>
          <w:sz w:val="24"/>
          <w:szCs w:val="24"/>
          <w:spacing w:val="-3"/>
        </w:rPr>
        <w:t>Ⅵ</w:t>
      </w:r>
      <w:r>
        <w:rPr>
          <w:rFonts w:ascii="FangSong" w:hAnsi="FangSong" w:eastAsia="FangSong" w:cs="FangSong"/>
          <w:sz w:val="24"/>
          <w:szCs w:val="24"/>
          <w:spacing w:val="-3"/>
        </w:rPr>
        <w:t>度，属于基</w:t>
      </w:r>
      <w:r>
        <w:rPr>
          <w:rFonts w:ascii="FangSong" w:hAnsi="FangSong" w:eastAsia="FangSong" w:cs="FangSong"/>
          <w:sz w:val="24"/>
          <w:szCs w:val="24"/>
          <w:spacing w:val="-4"/>
        </w:rPr>
        <w:t>本稳定区。</w:t>
      </w:r>
    </w:p>
    <w:p>
      <w:pPr>
        <w:ind w:left="22"/>
        <w:spacing w:before="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5.4.3.2  </w:t>
      </w:r>
      <w:r>
        <w:rPr>
          <w:rFonts w:ascii="FangSong" w:hAnsi="FangSong" w:eastAsia="FangSong" w:cs="FangSong"/>
          <w:sz w:val="24"/>
          <w:szCs w:val="24"/>
          <w:b/>
          <w:bCs/>
          <w:spacing w:val="-2"/>
        </w:rPr>
        <w:t>地质环境现状</w:t>
      </w:r>
    </w:p>
    <w:p>
      <w:pPr>
        <w:ind w:left="29"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2"/>
        </w:rPr>
        <w:t>矿床附近地形起伏不大，风化剥蚀较强烈，</w:t>
      </w:r>
      <w:r>
        <w:rPr>
          <w:rFonts w:ascii="FangSong" w:hAnsi="FangSong" w:eastAsia="FangSong" w:cs="FangSong"/>
          <w:sz w:val="24"/>
          <w:szCs w:val="24"/>
          <w:spacing w:val="-55"/>
        </w:rPr>
        <w:t xml:space="preserve"> </w:t>
      </w:r>
      <w:r>
        <w:rPr>
          <w:rFonts w:ascii="FangSong" w:hAnsi="FangSong" w:eastAsia="FangSong" w:cs="FangSong"/>
          <w:sz w:val="24"/>
          <w:szCs w:val="24"/>
          <w:spacing w:val="-2"/>
        </w:rPr>
        <w:t>自然边坡角一般＜</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。据调查</w:t>
      </w:r>
      <w:r>
        <w:rPr>
          <w:rFonts w:ascii="FangSong" w:hAnsi="FangSong" w:eastAsia="FangSong" w:cs="FangSong"/>
          <w:sz w:val="24"/>
          <w:szCs w:val="24"/>
          <w:spacing w:val="-3"/>
        </w:rPr>
        <w:t>范围内未见崩塌、滑坡、泥石流、地面塌陷、地裂缝及地面沉降等地</w:t>
      </w:r>
      <w:r>
        <w:rPr>
          <w:rFonts w:ascii="FangSong" w:hAnsi="FangSong" w:eastAsia="FangSong" w:cs="FangSong"/>
          <w:sz w:val="24"/>
          <w:szCs w:val="24"/>
          <w:spacing w:val="-4"/>
        </w:rPr>
        <w:t>质灾害现象</w:t>
      </w:r>
      <w:r>
        <w:rPr>
          <w:rFonts w:ascii="FangSong" w:hAnsi="FangSong" w:eastAsia="FangSong" w:cs="FangSong"/>
          <w:sz w:val="24"/>
          <w:szCs w:val="24"/>
          <w:spacing w:val="-3"/>
        </w:rPr>
        <w:t>的发生。经调查本项目内及附近无各类地质遗迹、自然保护区、人文</w:t>
      </w:r>
      <w:r>
        <w:rPr>
          <w:rFonts w:ascii="FangSong" w:hAnsi="FangSong" w:eastAsia="FangSong" w:cs="FangSong"/>
          <w:sz w:val="24"/>
          <w:szCs w:val="24"/>
          <w:spacing w:val="-4"/>
        </w:rPr>
        <w:t>景观、风景</w:t>
      </w:r>
      <w:r>
        <w:rPr>
          <w:rFonts w:ascii="FangSong" w:hAnsi="FangSong" w:eastAsia="FangSong" w:cs="FangSong"/>
          <w:sz w:val="24"/>
          <w:szCs w:val="24"/>
          <w:spacing w:val="-10"/>
        </w:rPr>
        <w:t>旅游区，本项目内</w:t>
      </w:r>
      <w:r>
        <w:rPr>
          <w:rFonts w:ascii="FangSong" w:hAnsi="FangSong" w:eastAsia="FangSong" w:cs="FangSong"/>
          <w:sz w:val="24"/>
          <w:szCs w:val="24"/>
          <w:spacing w:val="-45"/>
        </w:rPr>
        <w:t xml:space="preserve"> </w:t>
      </w:r>
      <w:r>
        <w:rPr>
          <w:rFonts w:ascii="FangSong" w:hAnsi="FangSong" w:eastAsia="FangSong" w:cs="FangSong"/>
          <w:sz w:val="24"/>
          <w:szCs w:val="24"/>
          <w:spacing w:val="-10"/>
        </w:rPr>
        <w:t>自然环境现状较好，地表无其他污染源，岩体用手触摸无热感，</w:t>
      </w:r>
      <w:r>
        <w:rPr>
          <w:rFonts w:ascii="FangSong" w:hAnsi="FangSong" w:eastAsia="FangSong" w:cs="FangSong"/>
          <w:sz w:val="24"/>
          <w:szCs w:val="24"/>
          <w:spacing w:val="-2"/>
        </w:rPr>
        <w:t>未见热异常现象，无热害。</w:t>
      </w:r>
    </w:p>
    <w:p>
      <w:pPr>
        <w:ind w:left="510"/>
        <w:spacing w:before="1" w:line="220" w:lineRule="auto"/>
        <w:rPr>
          <w:rFonts w:ascii="FangSong" w:hAnsi="FangSong" w:eastAsia="FangSong" w:cs="FangSong"/>
          <w:sz w:val="24"/>
          <w:szCs w:val="24"/>
        </w:rPr>
      </w:pPr>
      <w:r>
        <w:rPr>
          <w:rFonts w:ascii="FangSong" w:hAnsi="FangSong" w:eastAsia="FangSong" w:cs="FangSong"/>
          <w:sz w:val="24"/>
          <w:szCs w:val="24"/>
          <w:spacing w:val="-3"/>
        </w:rPr>
        <w:t>根据《内蒙古自治区苏尼特右旗桑宝力嘎额尔</w:t>
      </w:r>
      <w:r>
        <w:rPr>
          <w:rFonts w:ascii="FangSong" w:hAnsi="FangSong" w:eastAsia="FangSong" w:cs="FangSong"/>
          <w:sz w:val="24"/>
          <w:szCs w:val="24"/>
          <w:spacing w:val="-4"/>
        </w:rPr>
        <w:t>登塔拉矿区萤石矿资源储量核</w:t>
      </w:r>
    </w:p>
    <w:p>
      <w:pPr>
        <w:spacing w:line="220" w:lineRule="auto"/>
        <w:sectPr>
          <w:footerReference w:type="default" r:id="rId235"/>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9" w:right="153" w:firstLine="15"/>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实报告》可知，本次储量核实工作水文地质工作共采集</w:t>
      </w:r>
      <w:r>
        <w:rPr>
          <w:rFonts w:ascii="FangSong" w:hAnsi="FangSong" w:eastAsia="FangSong" w:cs="FangSong"/>
          <w:sz w:val="24"/>
          <w:szCs w:val="24"/>
          <w:spacing w:val="-4"/>
        </w:rPr>
        <w:t>基岩裂隙水水质全分析样</w:t>
      </w:r>
      <w:r>
        <w:rPr>
          <w:rFonts w:ascii="Times New Roman" w:hAnsi="Times New Roman" w:eastAsia="Times New Roman" w:cs="Times New Roman"/>
          <w:sz w:val="24"/>
          <w:szCs w:val="24"/>
          <w:spacing w:val="-7"/>
        </w:rPr>
        <w:t>2 </w:t>
      </w:r>
      <w:r>
        <w:rPr>
          <w:rFonts w:ascii="FangSong" w:hAnsi="FangSong" w:eastAsia="FangSong" w:cs="FangSong"/>
          <w:sz w:val="24"/>
          <w:szCs w:val="24"/>
          <w:spacing w:val="-7"/>
        </w:rPr>
        <w:t>组。从水质化验结果分析，本项目所在区域地下水水化学类型</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7"/>
        </w:rPr>
        <w:t>HCO</w:t>
      </w:r>
      <w:r>
        <w:rPr>
          <w:rFonts w:ascii="Times New Roman" w:hAnsi="Times New Roman" w:eastAsia="Times New Roman" w:cs="Times New Roman"/>
          <w:sz w:val="15"/>
          <w:szCs w:val="15"/>
          <w:spacing w:val="-7"/>
        </w:rPr>
        <w:t>3</w:t>
      </w:r>
      <w:r>
        <w:rPr>
          <w:rFonts w:ascii="Times New Roman" w:hAnsi="Times New Roman" w:eastAsia="Times New Roman" w:cs="Times New Roman"/>
          <w:sz w:val="24"/>
          <w:szCs w:val="24"/>
          <w:spacing w:val="-7"/>
        </w:rPr>
        <w:t>-Cl-SO</w:t>
      </w:r>
      <w:r>
        <w:rPr>
          <w:rFonts w:ascii="Times New Roman" w:hAnsi="Times New Roman" w:eastAsia="Times New Roman" w:cs="Times New Roman"/>
          <w:sz w:val="15"/>
          <w:szCs w:val="15"/>
          <w:spacing w:val="-7"/>
        </w:rPr>
        <w:t>4</w:t>
      </w:r>
      <w:r>
        <w:rPr>
          <w:rFonts w:ascii="Times New Roman" w:hAnsi="Times New Roman" w:eastAsia="Times New Roman" w:cs="Times New Roman"/>
          <w:sz w:val="24"/>
          <w:szCs w:val="24"/>
          <w:spacing w:val="-7"/>
        </w:rPr>
        <w:t>-Na</w:t>
      </w:r>
      <w:r>
        <w:rPr>
          <w:rFonts w:ascii="FangSong" w:hAnsi="FangSong" w:eastAsia="FangSong" w:cs="FangSong"/>
          <w:sz w:val="24"/>
          <w:szCs w:val="24"/>
          <w:spacing w:val="-7"/>
        </w:rPr>
        <w:t>，</w:t>
      </w:r>
      <w:r>
        <w:rPr>
          <w:rFonts w:ascii="FangSong" w:hAnsi="FangSong" w:eastAsia="FangSong" w:cs="FangSong"/>
          <w:sz w:val="24"/>
          <w:szCs w:val="24"/>
          <w:spacing w:val="-3"/>
        </w:rPr>
        <w:t>矿化度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0.996-2.002g/L</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。地表水水</w:t>
      </w:r>
      <w:r>
        <w:rPr>
          <w:rFonts w:ascii="FangSong" w:hAnsi="FangSong" w:eastAsia="FangSong" w:cs="FangSong"/>
          <w:sz w:val="24"/>
          <w:szCs w:val="24"/>
          <w:spacing w:val="-4"/>
        </w:rPr>
        <w:t>化学类型</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HCO</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-Cl-Na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，矿化度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3.458g/L</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。根据</w:t>
      </w:r>
      <w:r>
        <w:rPr>
          <w:rFonts w:ascii="FangSong" w:hAnsi="FangSong" w:eastAsia="FangSong" w:cs="FangSong"/>
          <w:sz w:val="24"/>
          <w:szCs w:val="24"/>
          <w:spacing w:val="-11"/>
        </w:rPr>
        <w:t>《地表水环境质量标准》（</w:t>
      </w:r>
      <w:r>
        <w:rPr>
          <w:rFonts w:ascii="Times New Roman" w:hAnsi="Times New Roman" w:eastAsia="Times New Roman" w:cs="Times New Roman"/>
          <w:sz w:val="24"/>
          <w:szCs w:val="24"/>
          <w:spacing w:val="-11"/>
        </w:rPr>
        <w:t>GB3838-2002</w:t>
      </w:r>
      <w:r>
        <w:rPr>
          <w:rFonts w:ascii="FangSong" w:hAnsi="FangSong" w:eastAsia="FangSong" w:cs="FangSong"/>
          <w:sz w:val="24"/>
          <w:szCs w:val="24"/>
          <w:spacing w:val="-11"/>
        </w:rPr>
        <w:t>）《地下水质量标准》</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GB/T14848-2017</w:t>
      </w:r>
      <w:r>
        <w:rPr>
          <w:rFonts w:ascii="FangSong" w:hAnsi="FangSong" w:eastAsia="FangSong" w:cs="FangSong"/>
          <w:sz w:val="24"/>
          <w:szCs w:val="24"/>
          <w:spacing w:val="-59"/>
          <w:w w:val="88"/>
        </w:rPr>
        <w:t>），</w:t>
      </w:r>
      <w:r>
        <w:rPr>
          <w:rFonts w:ascii="FangSong" w:hAnsi="FangSong" w:eastAsia="FangSong" w:cs="FangSong"/>
          <w:sz w:val="24"/>
          <w:szCs w:val="24"/>
          <w:spacing w:val="1"/>
        </w:rPr>
        <w:t>本项目地下水质量分类等级为</w:t>
      </w:r>
      <w:r>
        <w:rPr>
          <w:rFonts w:ascii="Times New Roman" w:hAnsi="Times New Roman" w:eastAsia="Times New Roman" w:cs="Times New Roman"/>
          <w:sz w:val="24"/>
          <w:szCs w:val="24"/>
          <w:spacing w:val="1"/>
        </w:rPr>
        <w:t>Ⅴ</w:t>
      </w:r>
      <w:r>
        <w:rPr>
          <w:rFonts w:ascii="FangSong" w:hAnsi="FangSong" w:eastAsia="FangSong" w:cs="FangSong"/>
          <w:sz w:val="24"/>
          <w:szCs w:val="24"/>
          <w:spacing w:val="1"/>
        </w:rPr>
        <w:t>类，地表水质量分类为</w:t>
      </w:r>
      <w:r>
        <w:rPr>
          <w:rFonts w:ascii="Times New Roman" w:hAnsi="Times New Roman" w:eastAsia="Times New Roman" w:cs="Times New Roman"/>
          <w:sz w:val="24"/>
          <w:szCs w:val="24"/>
          <w:spacing w:val="1"/>
        </w:rPr>
        <w:t>Ⅴ</w:t>
      </w:r>
      <w:r>
        <w:rPr>
          <w:rFonts w:ascii="FangSong" w:hAnsi="FangSong" w:eastAsia="FangSong" w:cs="FangSong"/>
          <w:sz w:val="24"/>
          <w:szCs w:val="24"/>
          <w:spacing w:val="1"/>
        </w:rPr>
        <w:t>类，地下水、</w:t>
      </w:r>
      <w:r>
        <w:rPr>
          <w:rFonts w:ascii="FangSong" w:hAnsi="FangSong" w:eastAsia="FangSong" w:cs="FangSong"/>
          <w:sz w:val="24"/>
          <w:szCs w:val="24"/>
        </w:rPr>
        <w:t>地表水极</w:t>
      </w:r>
      <w:r>
        <w:rPr>
          <w:rFonts w:ascii="FangSong" w:hAnsi="FangSong" w:eastAsia="FangSong" w:cs="FangSong"/>
          <w:sz w:val="24"/>
          <w:szCs w:val="24"/>
          <w:spacing w:val="-3"/>
        </w:rPr>
        <w:t>差。本项目地下水水化学成分为原生水环境背景值，水质受地形、地貌、地质构</w:t>
      </w:r>
      <w:r>
        <w:rPr>
          <w:rFonts w:ascii="FangSong" w:hAnsi="FangSong" w:eastAsia="FangSong" w:cs="FangSong"/>
          <w:sz w:val="24"/>
          <w:szCs w:val="24"/>
          <w:spacing w:val="-3"/>
        </w:rPr>
        <w:t>造与水文气象等因素影响，某些成分含量高与土壤及岩石中的矿物成分相关，也</w:t>
      </w:r>
      <w:r>
        <w:rPr>
          <w:rFonts w:ascii="FangSong" w:hAnsi="FangSong" w:eastAsia="FangSong" w:cs="FangSong"/>
          <w:sz w:val="24"/>
          <w:szCs w:val="24"/>
          <w:spacing w:val="-3"/>
        </w:rPr>
        <w:t>与当地气候干旱，年降水量小有关，至使水交替与循环作用较差，使某些成分沉</w:t>
      </w:r>
      <w:r>
        <w:rPr>
          <w:rFonts w:ascii="FangSong" w:hAnsi="FangSong" w:eastAsia="FangSong" w:cs="FangSong"/>
          <w:sz w:val="24"/>
          <w:szCs w:val="24"/>
          <w:spacing w:val="-1"/>
        </w:rPr>
        <w:t>积，含量较高，水质变差。</w:t>
      </w:r>
    </w:p>
    <w:p>
      <w:pPr>
        <w:ind w:left="22" w:firstLine="488"/>
        <w:spacing w:before="9" w:line="356" w:lineRule="auto"/>
        <w:rPr>
          <w:rFonts w:ascii="FangSong" w:hAnsi="FangSong" w:eastAsia="FangSong" w:cs="FangSong"/>
          <w:sz w:val="24"/>
          <w:szCs w:val="24"/>
        </w:rPr>
      </w:pPr>
      <w:r>
        <w:rPr>
          <w:rFonts w:ascii="FangSong" w:hAnsi="FangSong" w:eastAsia="FangSong" w:cs="FangSong"/>
          <w:sz w:val="24"/>
          <w:szCs w:val="24"/>
          <w:spacing w:val="6"/>
        </w:rPr>
        <w:t>根据</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6"/>
        </w:rPr>
        <w:t>2017</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6"/>
        </w:rPr>
        <w:t>年萤石矿体放射性测量，矿体及围岩的伽玛照射量率平均值为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3.48μC/kg</w:t>
      </w:r>
      <w:r>
        <w:rPr>
          <w:rFonts w:ascii="Times New Roman" w:hAnsi="Times New Roman" w:eastAsia="Times New Roman" w:cs="Times New Roman"/>
          <w:sz w:val="24"/>
          <w:szCs w:val="24"/>
          <w:spacing w:val="45"/>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h</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4"/>
        </w:rPr>
        <w:t>变化范围为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2.98-4.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13×10</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μC/kg</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h</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。矿体及围岩伽玛照射量率都</w:t>
      </w:r>
      <w:r>
        <w:rPr>
          <w:rFonts w:ascii="FangSong" w:hAnsi="FangSong" w:eastAsia="FangSong" w:cs="FangSong"/>
          <w:sz w:val="24"/>
          <w:szCs w:val="24"/>
          <w:spacing w:val="-14"/>
        </w:rPr>
        <w:t>较低，无明显异常，且低于国家《天然石材产品放射防护分类控制标准》（</w:t>
      </w:r>
      <w:r>
        <w:rPr>
          <w:rFonts w:ascii="Times New Roman" w:hAnsi="Times New Roman" w:eastAsia="Times New Roman" w:cs="Times New Roman"/>
          <w:sz w:val="24"/>
          <w:szCs w:val="24"/>
          <w:spacing w:val="-14"/>
        </w:rPr>
        <w:t>JC518-93</w:t>
      </w:r>
      <w:r>
        <w:rPr>
          <w:rFonts w:ascii="FangSong" w:hAnsi="FangSong" w:eastAsia="FangSong" w:cs="FangSong"/>
          <w:sz w:val="24"/>
          <w:szCs w:val="24"/>
          <w:spacing w:val="-14"/>
        </w:rPr>
        <w:t>）</w:t>
      </w:r>
      <w:r>
        <w:rPr>
          <w:rFonts w:ascii="FangSong" w:hAnsi="FangSong" w:eastAsia="FangSong" w:cs="FangSong"/>
          <w:sz w:val="24"/>
          <w:szCs w:val="24"/>
          <w:spacing w:val="-2"/>
        </w:rPr>
        <w:t>规定的</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5.2×10</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μC</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kg</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，实测区内矿体及围岩放射性强度属于正常范围，对</w:t>
      </w:r>
      <w:r>
        <w:rPr>
          <w:rFonts w:ascii="FangSong" w:hAnsi="FangSong" w:eastAsia="FangSong" w:cs="FangSong"/>
          <w:sz w:val="24"/>
          <w:szCs w:val="24"/>
          <w:spacing w:val="1"/>
        </w:rPr>
        <w:t>人体危害程度较小。同时经对矿石样品分析镭</w:t>
      </w:r>
      <w:r>
        <w:rPr>
          <w:rFonts w:ascii="Times New Roman" w:hAnsi="Times New Roman" w:eastAsia="Times New Roman" w:cs="Times New Roman"/>
          <w:sz w:val="24"/>
          <w:szCs w:val="24"/>
          <w:spacing w:val="1"/>
        </w:rPr>
        <w:t>-226</w:t>
      </w:r>
      <w:r>
        <w:rPr>
          <w:rFonts w:ascii="FangSong" w:hAnsi="FangSong" w:eastAsia="FangSong" w:cs="FangSong"/>
          <w:sz w:val="24"/>
          <w:szCs w:val="24"/>
          <w:spacing w:val="1"/>
        </w:rPr>
        <w:t>（</w:t>
      </w:r>
      <w:r>
        <w:rPr>
          <w:rFonts w:ascii="Times New Roman" w:hAnsi="Times New Roman" w:eastAsia="Times New Roman" w:cs="Times New Roman"/>
          <w:sz w:val="15"/>
          <w:szCs w:val="15"/>
          <w:spacing w:val="1"/>
          <w:position w:val="7"/>
        </w:rPr>
        <w:t>226</w:t>
      </w:r>
      <w:r>
        <w:rPr>
          <w:rFonts w:ascii="Times New Roman" w:hAnsi="Times New Roman" w:eastAsia="Times New Roman" w:cs="Times New Roman"/>
          <w:sz w:val="24"/>
          <w:szCs w:val="24"/>
        </w:rPr>
        <w:t>Ra</w:t>
      </w:r>
      <w:r>
        <w:rPr>
          <w:rFonts w:ascii="FangSong" w:hAnsi="FangSong" w:eastAsia="FangSong" w:cs="FangSong"/>
          <w:sz w:val="24"/>
          <w:szCs w:val="24"/>
          <w:spacing w:val="1"/>
        </w:rPr>
        <w:t>）、钍</w:t>
      </w:r>
      <w:r>
        <w:rPr>
          <w:rFonts w:ascii="Times New Roman" w:hAnsi="Times New Roman" w:eastAsia="Times New Roman" w:cs="Times New Roman"/>
          <w:sz w:val="24"/>
          <w:szCs w:val="24"/>
          <w:spacing w:val="1"/>
        </w:rPr>
        <w:t>-232</w:t>
      </w:r>
      <w:r>
        <w:rPr>
          <w:rFonts w:ascii="FangSong" w:hAnsi="FangSong" w:eastAsia="FangSong" w:cs="FangSong"/>
          <w:sz w:val="24"/>
          <w:szCs w:val="24"/>
          <w:spacing w:val="1"/>
        </w:rPr>
        <w:t>（</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15"/>
          <w:szCs w:val="15"/>
          <w:position w:val="7"/>
        </w:rPr>
        <w:t>32</w:t>
      </w:r>
      <w:r>
        <w:rPr>
          <w:rFonts w:ascii="Times New Roman" w:hAnsi="Times New Roman" w:eastAsia="Times New Roman" w:cs="Times New Roman"/>
          <w:sz w:val="24"/>
          <w:szCs w:val="24"/>
        </w:rPr>
        <w:t>Th</w:t>
      </w:r>
      <w:r>
        <w:rPr>
          <w:rFonts w:ascii="FangSong" w:hAnsi="FangSong" w:eastAsia="FangSong" w:cs="FangSong"/>
          <w:sz w:val="24"/>
          <w:szCs w:val="24"/>
        </w:rPr>
        <w:t>）、</w:t>
      </w:r>
      <w:r>
        <w:rPr>
          <w:rFonts w:ascii="FangSong" w:hAnsi="FangSong" w:eastAsia="FangSong" w:cs="FangSong"/>
          <w:sz w:val="24"/>
          <w:szCs w:val="24"/>
          <w:spacing w:val="-18"/>
        </w:rPr>
        <w:t>钾</w:t>
      </w:r>
      <w:r>
        <w:rPr>
          <w:rFonts w:ascii="Times New Roman" w:hAnsi="Times New Roman" w:eastAsia="Times New Roman" w:cs="Times New Roman"/>
          <w:sz w:val="24"/>
          <w:szCs w:val="24"/>
          <w:spacing w:val="-18"/>
        </w:rPr>
        <w:t>-40</w:t>
      </w:r>
      <w:r>
        <w:rPr>
          <w:rFonts w:ascii="FangSong" w:hAnsi="FangSong" w:eastAsia="FangSong" w:cs="FangSong"/>
          <w:sz w:val="24"/>
          <w:szCs w:val="24"/>
          <w:spacing w:val="-18"/>
        </w:rPr>
        <w:t>（</w:t>
      </w:r>
      <w:r>
        <w:rPr>
          <w:rFonts w:ascii="Times New Roman" w:hAnsi="Times New Roman" w:eastAsia="Times New Roman" w:cs="Times New Roman"/>
          <w:sz w:val="15"/>
          <w:szCs w:val="15"/>
          <w:spacing w:val="-9"/>
          <w:position w:val="7"/>
        </w:rPr>
        <w:t>40</w:t>
      </w:r>
      <w:r>
        <w:rPr>
          <w:rFonts w:ascii="Times New Roman" w:hAnsi="Times New Roman" w:eastAsia="Times New Roman" w:cs="Times New Roman"/>
          <w:sz w:val="24"/>
          <w:szCs w:val="24"/>
          <w:spacing w:val="-9"/>
        </w:rPr>
        <w:t>K</w:t>
      </w:r>
      <w:r>
        <w:rPr>
          <w:rFonts w:ascii="FangSong" w:hAnsi="FangSong" w:eastAsia="FangSong" w:cs="FangSong"/>
          <w:sz w:val="24"/>
          <w:szCs w:val="24"/>
          <w:spacing w:val="-9"/>
        </w:rPr>
        <w:t>）放射性核素的比活度，检测结果为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aRa=3.9Bq</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4"/>
          <w:w w:val="71"/>
        </w:rPr>
        <w:t>kg</w:t>
      </w:r>
      <w:r>
        <w:rPr>
          <w:rFonts w:ascii="Times New Roman" w:hAnsi="Times New Roman" w:eastAsia="Times New Roman" w:cs="Times New Roman"/>
          <w:sz w:val="15"/>
          <w:szCs w:val="15"/>
          <w:spacing w:val="2"/>
          <w:position w:val="7"/>
        </w:rPr>
        <w:t>-1</w:t>
      </w:r>
      <w:r>
        <w:rPr>
          <w:rFonts w:ascii="FangSong" w:hAnsi="FangSong" w:eastAsia="FangSong" w:cs="FangSong"/>
          <w:sz w:val="24"/>
          <w:szCs w:val="24"/>
          <w:spacing w:val="-20"/>
        </w:rPr>
        <w:t>、</w:t>
      </w:r>
      <w:r>
        <w:rPr>
          <w:rFonts w:ascii="Times New Roman" w:hAnsi="Times New Roman" w:eastAsia="Times New Roman" w:cs="Times New Roman"/>
          <w:sz w:val="24"/>
          <w:szCs w:val="24"/>
          <w:spacing w:val="-20"/>
        </w:rPr>
        <w:t>aTh=3.4Bq</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20"/>
        </w:rPr>
        <w:t>·</w:t>
      </w:r>
      <w:r>
        <w:rPr>
          <w:rFonts w:ascii="Times New Roman" w:hAnsi="Times New Roman" w:eastAsia="Times New Roman" w:cs="Times New Roman"/>
          <w:sz w:val="24"/>
          <w:szCs w:val="24"/>
          <w:spacing w:val="-20"/>
        </w:rPr>
        <w:t>kg</w:t>
      </w:r>
      <w:r>
        <w:rPr>
          <w:rFonts w:ascii="Times New Roman" w:hAnsi="Times New Roman" w:eastAsia="Times New Roman" w:cs="Times New Roman"/>
          <w:sz w:val="15"/>
          <w:szCs w:val="15"/>
          <w:spacing w:val="3"/>
          <w:position w:val="7"/>
        </w:rPr>
        <w:t>-1</w:t>
      </w:r>
      <w:r>
        <w:rPr>
          <w:rFonts w:ascii="Times New Roman" w:hAnsi="Times New Roman" w:eastAsia="Times New Roman" w:cs="Times New Roman"/>
          <w:sz w:val="15"/>
          <w:szCs w:val="15"/>
          <w:spacing w:val="-5"/>
          <w:position w:val="7"/>
        </w:rPr>
        <w:t xml:space="preserve"> </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2"/>
        </w:rPr>
        <w:t>aK=</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12"/>
        </w:rPr>
        <w:t>124.8Bq</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kg</w:t>
      </w:r>
      <w:r>
        <w:rPr>
          <w:rFonts w:ascii="Times New Roman" w:hAnsi="Times New Roman" w:eastAsia="Times New Roman" w:cs="Times New Roman"/>
          <w:sz w:val="15"/>
          <w:szCs w:val="15"/>
          <w:spacing w:val="-6"/>
          <w:position w:val="7"/>
        </w:rPr>
        <w:t>-1 </w:t>
      </w:r>
      <w:r>
        <w:rPr>
          <w:rFonts w:ascii="FangSong" w:hAnsi="FangSong" w:eastAsia="FangSong" w:cs="FangSong"/>
          <w:sz w:val="24"/>
          <w:szCs w:val="24"/>
          <w:spacing w:val="-6"/>
        </w:rPr>
        <w:t>，计算结果镭当量浓度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6"/>
        </w:rPr>
        <w:t>aeRa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19.47</w:t>
      </w:r>
      <w:r>
        <w:rPr>
          <w:rFonts w:ascii="Times New Roman" w:hAnsi="Times New Roman" w:eastAsia="Times New Roman" w:cs="Times New Roman"/>
          <w:sz w:val="24"/>
          <w:szCs w:val="24"/>
          <w:spacing w:val="-7"/>
        </w:rPr>
        <w:t>Bq</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kg</w:t>
      </w:r>
      <w:r>
        <w:rPr>
          <w:rFonts w:ascii="Times New Roman" w:hAnsi="Times New Roman" w:eastAsia="Times New Roman" w:cs="Times New Roman"/>
          <w:sz w:val="15"/>
          <w:szCs w:val="15"/>
          <w:spacing w:val="-7"/>
          <w:position w:val="7"/>
        </w:rPr>
        <w:t>-1 </w:t>
      </w:r>
      <w:r>
        <w:rPr>
          <w:rFonts w:ascii="FangSong" w:hAnsi="FangSong" w:eastAsia="FangSong" w:cs="FangSong"/>
          <w:sz w:val="24"/>
          <w:szCs w:val="24"/>
          <w:spacing w:val="-7"/>
        </w:rPr>
        <w:t>，要低于镭当量浓</w:t>
      </w:r>
      <w:r>
        <w:rPr>
          <w:rFonts w:ascii="FangSong" w:hAnsi="FangSong" w:eastAsia="FangSong" w:cs="FangSong"/>
          <w:sz w:val="24"/>
          <w:szCs w:val="24"/>
          <w:spacing w:val="-7"/>
        </w:rPr>
        <w:t>度</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7"/>
        </w:rPr>
        <w:t>a</w:t>
      </w:r>
      <w:r>
        <w:rPr>
          <w:rFonts w:ascii="Times New Roman" w:hAnsi="Times New Roman" w:eastAsia="Times New Roman" w:cs="Times New Roman"/>
          <w:sz w:val="15"/>
          <w:szCs w:val="15"/>
          <w:spacing w:val="-7"/>
          <w:position w:val="7"/>
        </w:rPr>
        <w:t>e</w:t>
      </w:r>
      <w:r>
        <w:rPr>
          <w:rFonts w:ascii="Times New Roman" w:hAnsi="Times New Roman" w:eastAsia="Times New Roman" w:cs="Times New Roman"/>
          <w:sz w:val="15"/>
          <w:szCs w:val="15"/>
          <w:spacing w:val="-7"/>
          <w:position w:val="-1"/>
        </w:rPr>
        <w:t>Ra</w:t>
      </w:r>
      <w:r>
        <w:rPr>
          <w:rFonts w:ascii="Times New Roman" w:hAnsi="Times New Roman" w:eastAsia="Times New Roman" w:cs="Times New Roman"/>
          <w:sz w:val="24"/>
          <w:szCs w:val="24"/>
          <w:spacing w:val="-7"/>
        </w:rPr>
        <w:t>≤350Bq</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kg</w:t>
      </w:r>
      <w:r>
        <w:rPr>
          <w:rFonts w:ascii="Times New Roman" w:hAnsi="Times New Roman" w:eastAsia="Times New Roman" w:cs="Times New Roman"/>
          <w:sz w:val="15"/>
          <w:szCs w:val="15"/>
          <w:spacing w:val="-7"/>
          <w:position w:val="7"/>
        </w:rPr>
        <w:t>-1 </w:t>
      </w:r>
      <w:r>
        <w:rPr>
          <w:rFonts w:ascii="FangSong" w:hAnsi="FangSong" w:eastAsia="FangSong" w:cs="FangSong"/>
          <w:sz w:val="24"/>
          <w:szCs w:val="24"/>
          <w:spacing w:val="-8"/>
        </w:rPr>
        <w:t>、</w:t>
      </w:r>
      <w:r>
        <w:rPr>
          <w:rFonts w:ascii="Times New Roman" w:hAnsi="Times New Roman" w:eastAsia="Times New Roman" w:cs="Times New Roman"/>
          <w:sz w:val="24"/>
          <w:szCs w:val="24"/>
          <w:spacing w:val="-8"/>
          <w:position w:val="-1"/>
        </w:rPr>
        <w:t>a</w:t>
      </w:r>
      <w:r>
        <w:rPr>
          <w:rFonts w:ascii="Times New Roman" w:hAnsi="Times New Roman" w:eastAsia="Times New Roman" w:cs="Times New Roman"/>
          <w:sz w:val="15"/>
          <w:szCs w:val="15"/>
          <w:spacing w:val="-9"/>
          <w:position w:val="-1"/>
        </w:rPr>
        <w:t>Ra</w:t>
      </w:r>
      <w:r>
        <w:rPr>
          <w:rFonts w:ascii="Times New Roman" w:hAnsi="Times New Roman" w:eastAsia="Times New Roman" w:cs="Times New Roman"/>
          <w:sz w:val="24"/>
          <w:szCs w:val="24"/>
          <w:spacing w:val="-9"/>
        </w:rPr>
        <w:t>≤200Bq</w:t>
      </w:r>
      <w:r>
        <w:rPr>
          <w:rFonts w:ascii="Times New Roman" w:hAnsi="Times New Roman" w:eastAsia="Times New Roman" w:cs="Times New Roman"/>
          <w:sz w:val="24"/>
          <w:szCs w:val="24"/>
          <w:spacing w:val="37"/>
          <w:w w:val="101"/>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kg</w:t>
      </w:r>
      <w:r>
        <w:rPr>
          <w:rFonts w:ascii="Times New Roman" w:hAnsi="Times New Roman" w:eastAsia="Times New Roman" w:cs="Times New Roman"/>
          <w:sz w:val="15"/>
          <w:szCs w:val="15"/>
          <w:spacing w:val="-1"/>
          <w:position w:val="7"/>
        </w:rPr>
        <w:t>-1</w:t>
      </w:r>
      <w:r>
        <w:rPr>
          <w:rFonts w:ascii="Times New Roman" w:hAnsi="Times New Roman" w:eastAsia="Times New Roman" w:cs="Times New Roman"/>
          <w:sz w:val="15"/>
          <w:szCs w:val="15"/>
          <w:spacing w:val="32"/>
          <w:position w:val="7"/>
        </w:rPr>
        <w:t xml:space="preserve"> </w:t>
      </w:r>
      <w:r>
        <w:rPr>
          <w:rFonts w:ascii="FangSong" w:hAnsi="FangSong" w:eastAsia="FangSong" w:cs="FangSong"/>
          <w:sz w:val="24"/>
          <w:szCs w:val="24"/>
          <w:spacing w:val="-1"/>
        </w:rPr>
        <w:t>的要求，说明矿石在开采及加工过程中天</w:t>
      </w:r>
      <w:r>
        <w:rPr>
          <w:rFonts w:ascii="FangSong" w:hAnsi="FangSong" w:eastAsia="FangSong" w:cs="FangSong"/>
          <w:sz w:val="24"/>
          <w:szCs w:val="24"/>
          <w:spacing w:val="-1"/>
        </w:rPr>
        <w:t>然放射性不会产生对人的任何危害作用。</w:t>
      </w:r>
    </w:p>
    <w:p>
      <w:pPr>
        <w:ind w:left="22"/>
        <w:spacing w:before="3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5.4.3.3  </w:t>
      </w:r>
      <w:r>
        <w:rPr>
          <w:rFonts w:ascii="FangSong" w:hAnsi="FangSong" w:eastAsia="FangSong" w:cs="FangSong"/>
          <w:sz w:val="24"/>
          <w:szCs w:val="24"/>
          <w:b/>
          <w:bCs/>
          <w:spacing w:val="-2"/>
        </w:rPr>
        <w:t>本项目地质环境类型</w:t>
      </w:r>
    </w:p>
    <w:p>
      <w:pPr>
        <w:ind w:left="27" w:right="153" w:firstLine="483"/>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本项目附近居民居住较少，附近无污染源，有</w:t>
      </w:r>
      <w:r>
        <w:rPr>
          <w:rFonts w:ascii="FangSong" w:hAnsi="FangSong" w:eastAsia="FangSong" w:cs="FangSong"/>
          <w:sz w:val="24"/>
          <w:szCs w:val="24"/>
          <w:spacing w:val="-4"/>
        </w:rPr>
        <w:t>两个浅塘地表水均为附近矿山</w:t>
      </w:r>
      <w:r>
        <w:rPr>
          <w:rFonts w:ascii="FangSong" w:hAnsi="FangSong" w:eastAsia="FangSong" w:cs="FangSong"/>
          <w:sz w:val="24"/>
          <w:szCs w:val="24"/>
          <w:spacing w:val="-6"/>
        </w:rPr>
        <w:t>排水产生，受当地自然环境影响，地表水、地下水质较差，均为</w:t>
      </w:r>
      <w:r>
        <w:rPr>
          <w:rFonts w:ascii="Times New Roman" w:hAnsi="Times New Roman" w:eastAsia="Times New Roman" w:cs="Times New Roman"/>
          <w:sz w:val="24"/>
          <w:szCs w:val="24"/>
          <w:spacing w:val="-6"/>
        </w:rPr>
        <w:t>Ⅴ</w:t>
      </w:r>
      <w:r>
        <w:rPr>
          <w:rFonts w:ascii="FangSong" w:hAnsi="FangSong" w:eastAsia="FangSong" w:cs="FangSong"/>
          <w:sz w:val="24"/>
          <w:szCs w:val="24"/>
          <w:spacing w:val="-6"/>
        </w:rPr>
        <w:t>类饮用水标准，</w:t>
      </w:r>
      <w:r>
        <w:rPr>
          <w:rFonts w:ascii="FangSong" w:hAnsi="FangSong" w:eastAsia="FangSong" w:cs="FangSong"/>
          <w:sz w:val="24"/>
          <w:szCs w:val="24"/>
          <w:spacing w:val="-3"/>
        </w:rPr>
        <w:t>矿井排水对附近水体有一定污染。本矿山拟采用地下井巷开采，采矿可产</w:t>
      </w:r>
      <w:r>
        <w:rPr>
          <w:rFonts w:ascii="FangSong" w:hAnsi="FangSong" w:eastAsia="FangSong" w:cs="FangSong"/>
          <w:sz w:val="24"/>
          <w:szCs w:val="24"/>
          <w:spacing w:val="-4"/>
        </w:rPr>
        <w:t>生局部</w:t>
      </w:r>
      <w:r>
        <w:rPr>
          <w:rFonts w:ascii="FangSong" w:hAnsi="FangSong" w:eastAsia="FangSong" w:cs="FangSong"/>
          <w:sz w:val="24"/>
          <w:szCs w:val="24"/>
          <w:spacing w:val="-3"/>
        </w:rPr>
        <w:t>地表变形，但对地质环境破坏不大；矿石和废石化学成分稳定，不易分解</w:t>
      </w:r>
      <w:r>
        <w:rPr>
          <w:rFonts w:ascii="FangSong" w:hAnsi="FangSong" w:eastAsia="FangSong" w:cs="FangSong"/>
          <w:sz w:val="24"/>
          <w:szCs w:val="24"/>
          <w:spacing w:val="-4"/>
        </w:rPr>
        <w:t>出有害</w:t>
      </w:r>
      <w:r>
        <w:rPr>
          <w:rFonts w:ascii="FangSong" w:hAnsi="FangSong" w:eastAsia="FangSong" w:cs="FangSong"/>
          <w:sz w:val="24"/>
          <w:szCs w:val="24"/>
          <w:spacing w:val="1"/>
        </w:rPr>
        <w:t>元素。依据《矿区水文地质工程地质勘探规范》（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12719-2021</w:t>
      </w:r>
      <w:r>
        <w:rPr>
          <w:rFonts w:ascii="FangSong" w:hAnsi="FangSong" w:eastAsia="FangSong" w:cs="FangSong"/>
          <w:sz w:val="24"/>
          <w:szCs w:val="24"/>
          <w:spacing w:val="21"/>
        </w:rPr>
        <w:t>），</w:t>
      </w:r>
      <w:r>
        <w:rPr>
          <w:rFonts w:ascii="FangSong" w:hAnsi="FangSong" w:eastAsia="FangSong" w:cs="FangSong"/>
          <w:sz w:val="24"/>
          <w:szCs w:val="24"/>
          <w:spacing w:val="1"/>
        </w:rPr>
        <w:t>本项目地</w:t>
      </w:r>
      <w:r>
        <w:rPr>
          <w:rFonts w:ascii="FangSong" w:hAnsi="FangSong" w:eastAsia="FangSong" w:cs="FangSong"/>
          <w:sz w:val="24"/>
          <w:szCs w:val="24"/>
          <w:spacing w:val="-1"/>
        </w:rPr>
        <w:t>质环境质量中等，即：第二类。</w:t>
      </w:r>
    </w:p>
    <w:p>
      <w:pPr>
        <w:ind w:left="23"/>
        <w:spacing w:before="56" w:line="223" w:lineRule="auto"/>
        <w:outlineLvl w:val="1"/>
        <w:rPr>
          <w:rFonts w:ascii="FangSong" w:hAnsi="FangSong" w:eastAsia="FangSong" w:cs="FangSong"/>
          <w:sz w:val="28"/>
          <w:szCs w:val="28"/>
        </w:rPr>
      </w:pPr>
      <w:bookmarkStart w:name="bookmark240" w:id="324"/>
      <w:bookmarkEnd w:id="324"/>
      <w:bookmarkStart w:name="bookmark242" w:id="325"/>
      <w:bookmarkEnd w:id="325"/>
      <w:bookmarkStart w:name="bookmark239" w:id="326"/>
      <w:bookmarkEnd w:id="326"/>
      <w:bookmarkStart w:name="bookmark241" w:id="327"/>
      <w:bookmarkEnd w:id="327"/>
      <w:r>
        <w:rPr>
          <w:rFonts w:ascii="Times New Roman" w:hAnsi="Times New Roman" w:eastAsia="Times New Roman" w:cs="Times New Roman"/>
          <w:sz w:val="28"/>
          <w:szCs w:val="28"/>
          <w:b/>
          <w:bCs/>
          <w:spacing w:val="-2"/>
        </w:rPr>
        <w:t>5.5  </w:t>
      </w:r>
      <w:r>
        <w:rPr>
          <w:rFonts w:ascii="FangSong" w:hAnsi="FangSong" w:eastAsia="FangSong" w:cs="FangSong"/>
          <w:sz w:val="28"/>
          <w:szCs w:val="28"/>
          <w:b/>
          <w:bCs/>
          <w:spacing w:val="-2"/>
        </w:rPr>
        <w:t>环境质量现状调查与评价</w:t>
      </w:r>
    </w:p>
    <w:p>
      <w:pPr>
        <w:ind w:left="22"/>
        <w:spacing w:before="227" w:line="222" w:lineRule="auto"/>
        <w:outlineLvl w:val="2"/>
        <w:rPr>
          <w:rFonts w:ascii="FangSong" w:hAnsi="FangSong" w:eastAsia="FangSong" w:cs="FangSong"/>
          <w:sz w:val="24"/>
          <w:szCs w:val="24"/>
        </w:rPr>
      </w:pPr>
      <w:bookmarkStart w:name="bookmark576" w:id="328"/>
      <w:bookmarkEnd w:id="328"/>
      <w:r>
        <w:rPr>
          <w:rFonts w:ascii="Times New Roman" w:hAnsi="Times New Roman" w:eastAsia="Times New Roman" w:cs="Times New Roman"/>
          <w:sz w:val="24"/>
          <w:szCs w:val="24"/>
          <w:b/>
          <w:bCs/>
          <w:spacing w:val="-2"/>
        </w:rPr>
        <w:t>5.5.1  </w:t>
      </w:r>
      <w:r>
        <w:rPr>
          <w:rFonts w:ascii="FangSong" w:hAnsi="FangSong" w:eastAsia="FangSong" w:cs="FangSong"/>
          <w:sz w:val="24"/>
          <w:szCs w:val="24"/>
          <w:b/>
          <w:bCs/>
          <w:spacing w:val="-2"/>
        </w:rPr>
        <w:t>环境空气质量现状调查与评价</w:t>
      </w:r>
    </w:p>
    <w:p>
      <w:pPr>
        <w:ind w:left="22"/>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5.5.1.1</w:t>
      </w:r>
      <w:r>
        <w:rPr>
          <w:rFonts w:ascii="Times New Roman" w:hAnsi="Times New Roman" w:eastAsia="Times New Roman" w:cs="Times New Roman"/>
          <w:sz w:val="24"/>
          <w:szCs w:val="24"/>
          <w:b/>
          <w:bCs/>
          <w:spacing w:val="22"/>
        </w:rPr>
        <w:t xml:space="preserve">  </w:t>
      </w:r>
      <w:r>
        <w:rPr>
          <w:rFonts w:ascii="FangSong" w:hAnsi="FangSong" w:eastAsia="FangSong" w:cs="FangSong"/>
          <w:sz w:val="24"/>
          <w:szCs w:val="24"/>
          <w:b/>
          <w:bCs/>
          <w:spacing w:val="-4"/>
        </w:rPr>
        <w:t>区域环境空气达标区判定</w:t>
      </w:r>
    </w:p>
    <w:p>
      <w:pPr>
        <w:ind w:left="510"/>
        <w:spacing w:before="179" w:line="221" w:lineRule="auto"/>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大气环境》（</w:t>
      </w:r>
      <w:r>
        <w:rPr>
          <w:rFonts w:ascii="Times New Roman" w:hAnsi="Times New Roman" w:eastAsia="Times New Roman" w:cs="Times New Roman"/>
          <w:sz w:val="24"/>
          <w:szCs w:val="24"/>
          <w:spacing w:val="-2"/>
        </w:rPr>
        <w:t>HJ2.2-2018</w:t>
      </w:r>
      <w:r>
        <w:rPr>
          <w:rFonts w:ascii="FangSong" w:hAnsi="FangSong" w:eastAsia="FangSong" w:cs="FangSong"/>
          <w:sz w:val="24"/>
          <w:szCs w:val="24"/>
          <w:spacing w:val="-2"/>
        </w:rPr>
        <w:t>）中</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6.1.2</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2"/>
        </w:rPr>
        <w:t>二级评价</w:t>
      </w:r>
    </w:p>
    <w:p>
      <w:pPr>
        <w:spacing w:line="221" w:lineRule="auto"/>
        <w:sectPr>
          <w:footerReference w:type="default" r:id="rId236"/>
          <w:pgSz w:w="11906" w:h="16839"/>
          <w:pgMar w:top="400" w:right="158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65" w:firstLine="1"/>
        <w:spacing w:before="78" w:line="360" w:lineRule="auto"/>
        <w:jc w:val="both"/>
        <w:rPr>
          <w:rFonts w:ascii="FangSong" w:hAnsi="FangSong" w:eastAsia="FangSong" w:cs="FangSong"/>
          <w:sz w:val="24"/>
          <w:szCs w:val="24"/>
        </w:rPr>
      </w:pPr>
      <w:bookmarkStart w:name="bookmark577" w:id="329"/>
      <w:bookmarkEnd w:id="329"/>
      <w:r>
        <w:rPr>
          <w:rFonts w:ascii="FangSong" w:hAnsi="FangSong" w:eastAsia="FangSong" w:cs="FangSong"/>
          <w:sz w:val="24"/>
          <w:szCs w:val="24"/>
          <w:spacing w:val="-4"/>
        </w:rPr>
        <w:t>项目“调查项目所在区域环境质量达标情况</w:t>
      </w:r>
      <w:r>
        <w:rPr>
          <w:rFonts w:ascii="FangSong" w:hAnsi="FangSong" w:eastAsia="FangSong" w:cs="FangSong"/>
          <w:sz w:val="24"/>
          <w:szCs w:val="24"/>
          <w:spacing w:val="-88"/>
        </w:rPr>
        <w:t xml:space="preserve"> </w:t>
      </w:r>
      <w:r>
        <w:rPr>
          <w:rFonts w:ascii="FangSong" w:hAnsi="FangSong" w:eastAsia="FangSong" w:cs="FangSong"/>
          <w:sz w:val="24"/>
          <w:szCs w:val="24"/>
          <w:spacing w:val="-4"/>
        </w:rPr>
        <w:t>”以及“调查评价范围内有</w:t>
      </w:r>
      <w:r>
        <w:rPr>
          <w:rFonts w:ascii="FangSong" w:hAnsi="FangSong" w:eastAsia="FangSong" w:cs="FangSong"/>
          <w:sz w:val="24"/>
          <w:szCs w:val="24"/>
          <w:spacing w:val="-5"/>
        </w:rPr>
        <w:t>环境质量</w:t>
      </w:r>
      <w:r>
        <w:rPr>
          <w:rFonts w:ascii="FangSong" w:hAnsi="FangSong" w:eastAsia="FangSong" w:cs="FangSong"/>
          <w:sz w:val="24"/>
          <w:szCs w:val="24"/>
          <w:spacing w:val="-3"/>
        </w:rPr>
        <w:t>标准的评价因子的环境质量监测数据或进行补充监测，用于评价项目</w:t>
      </w:r>
      <w:r>
        <w:rPr>
          <w:rFonts w:ascii="FangSong" w:hAnsi="FangSong" w:eastAsia="FangSong" w:cs="FangSong"/>
          <w:sz w:val="24"/>
          <w:szCs w:val="24"/>
          <w:spacing w:val="-4"/>
        </w:rPr>
        <w:t>所在区域污</w:t>
      </w:r>
      <w:r>
        <w:rPr>
          <w:rFonts w:ascii="FangSong" w:hAnsi="FangSong" w:eastAsia="FangSong" w:cs="FangSong"/>
          <w:sz w:val="24"/>
          <w:szCs w:val="24"/>
          <w:spacing w:val="-4"/>
        </w:rPr>
        <w:t>染物环境质量现状</w:t>
      </w:r>
      <w:r>
        <w:rPr>
          <w:rFonts w:ascii="FangSong" w:hAnsi="FangSong" w:eastAsia="FangSong" w:cs="FangSong"/>
          <w:sz w:val="24"/>
          <w:szCs w:val="24"/>
          <w:spacing w:val="-88"/>
        </w:rPr>
        <w:t xml:space="preserve"> </w:t>
      </w:r>
      <w:r>
        <w:rPr>
          <w:rFonts w:ascii="FangSong" w:hAnsi="FangSong" w:eastAsia="FangSong" w:cs="FangSong"/>
          <w:sz w:val="24"/>
          <w:szCs w:val="24"/>
          <w:spacing w:val="-4"/>
        </w:rPr>
        <w:t>”的规定，因此，项目所在区域达标判定采用国家或地方</w:t>
      </w:r>
      <w:r>
        <w:rPr>
          <w:rFonts w:ascii="FangSong" w:hAnsi="FangSong" w:eastAsia="FangSong" w:cs="FangSong"/>
          <w:sz w:val="24"/>
          <w:szCs w:val="24"/>
          <w:spacing w:val="-5"/>
        </w:rPr>
        <w:t>生态</w:t>
      </w:r>
      <w:r>
        <w:rPr>
          <w:rFonts w:ascii="FangSong" w:hAnsi="FangSong" w:eastAsia="FangSong" w:cs="FangSong"/>
          <w:sz w:val="24"/>
          <w:szCs w:val="24"/>
          <w:spacing w:val="4"/>
        </w:rPr>
        <w:t>环境主管部门公开发布的评价基准年环境质量公告或环境</w:t>
      </w:r>
      <w:r>
        <w:rPr>
          <w:rFonts w:ascii="FangSong" w:hAnsi="FangSong" w:eastAsia="FangSong" w:cs="FangSong"/>
          <w:sz w:val="24"/>
          <w:szCs w:val="24"/>
          <w:spacing w:val="3"/>
        </w:rPr>
        <w:t>质量报告中数据或结</w:t>
      </w:r>
      <w:r>
        <w:rPr>
          <w:rFonts w:ascii="FangSong" w:hAnsi="FangSong" w:eastAsia="FangSong" w:cs="FangSong"/>
          <w:sz w:val="24"/>
          <w:szCs w:val="24"/>
          <w:spacing w:val="-8"/>
        </w:rPr>
        <w:t>论。</w:t>
      </w:r>
    </w:p>
    <w:p>
      <w:pPr>
        <w:ind w:left="30" w:right="65" w:firstLine="480"/>
        <w:spacing w:before="3" w:line="359" w:lineRule="auto"/>
        <w:jc w:val="both"/>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大气环境》（</w:t>
      </w:r>
      <w:r>
        <w:rPr>
          <w:rFonts w:ascii="Times New Roman" w:hAnsi="Times New Roman" w:eastAsia="Times New Roman" w:cs="Times New Roman"/>
          <w:sz w:val="24"/>
          <w:szCs w:val="24"/>
          <w:spacing w:val="-2"/>
        </w:rPr>
        <w:t>HJ2.2-201</w:t>
      </w:r>
      <w:r>
        <w:rPr>
          <w:rFonts w:ascii="Times New Roman" w:hAnsi="Times New Roman" w:eastAsia="Times New Roman" w:cs="Times New Roman"/>
          <w:sz w:val="24"/>
          <w:szCs w:val="24"/>
          <w:spacing w:val="-3"/>
        </w:rPr>
        <w:t>8</w:t>
      </w:r>
      <w:r>
        <w:rPr>
          <w:rFonts w:ascii="FangSong" w:hAnsi="FangSong" w:eastAsia="FangSong" w:cs="FangSong"/>
          <w:sz w:val="24"/>
          <w:szCs w:val="24"/>
          <w:spacing w:val="-3"/>
        </w:rPr>
        <w:t>）</w:t>
      </w:r>
      <w:r>
        <w:rPr>
          <w:rFonts w:ascii="FangSong" w:hAnsi="FangSong" w:eastAsia="FangSong" w:cs="FangSong"/>
          <w:sz w:val="24"/>
          <w:szCs w:val="24"/>
          <w:spacing w:val="-71"/>
        </w:rPr>
        <w:t xml:space="preserve"> </w:t>
      </w:r>
      <w:r>
        <w:rPr>
          <w:rFonts w:ascii="FangSong" w:hAnsi="FangSong" w:eastAsia="FangSong" w:cs="FangSong"/>
          <w:sz w:val="24"/>
          <w:szCs w:val="24"/>
          <w:spacing w:val="-3"/>
        </w:rPr>
        <w:t>中</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6.4.1.1  </w:t>
      </w:r>
      <w:r>
        <w:rPr>
          <w:rFonts w:ascii="FangSong" w:hAnsi="FangSong" w:eastAsia="FangSong" w:cs="FangSong"/>
          <w:sz w:val="24"/>
          <w:szCs w:val="24"/>
          <w:spacing w:val="-3"/>
        </w:rPr>
        <w:t>中的内</w:t>
      </w:r>
      <w:r>
        <w:rPr>
          <w:rFonts w:ascii="FangSong" w:hAnsi="FangSong" w:eastAsia="FangSong" w:cs="FangSong"/>
          <w:sz w:val="24"/>
          <w:szCs w:val="24"/>
          <w:spacing w:val="-3"/>
        </w:rPr>
        <w:t>容“城市环境空气质量达标评价指标为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SO</w:t>
      </w:r>
      <w:r>
        <w:rPr>
          <w:rFonts w:ascii="Times New Roman" w:hAnsi="Times New Roman" w:eastAsia="Times New Roman" w:cs="Times New Roman"/>
          <w:sz w:val="15"/>
          <w:szCs w:val="15"/>
          <w:spacing w:val="-3"/>
          <w:position w:val="-1"/>
        </w:rPr>
        <w:t>2</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2</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10</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P</w:t>
      </w:r>
      <w:r>
        <w:rPr>
          <w:rFonts w:ascii="Times New Roman" w:hAnsi="Times New Roman" w:eastAsia="Times New Roman" w:cs="Times New Roman"/>
          <w:sz w:val="24"/>
          <w:szCs w:val="24"/>
          <w:spacing w:val="-4"/>
        </w:rPr>
        <w:t>M</w:t>
      </w:r>
      <w:r>
        <w:rPr>
          <w:rFonts w:ascii="Times New Roman" w:hAnsi="Times New Roman" w:eastAsia="Times New Roman" w:cs="Times New Roman"/>
          <w:sz w:val="15"/>
          <w:szCs w:val="15"/>
          <w:spacing w:val="-4"/>
          <w:position w:val="-1"/>
        </w:rPr>
        <w:t>2.5</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CO</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和</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O</w:t>
      </w:r>
      <w:r>
        <w:rPr>
          <w:rFonts w:ascii="Times New Roman" w:hAnsi="Times New Roman" w:eastAsia="Times New Roman" w:cs="Times New Roman"/>
          <w:sz w:val="15"/>
          <w:szCs w:val="15"/>
          <w:spacing w:val="-4"/>
          <w:position w:val="-1"/>
        </w:rPr>
        <w:t>3 </w:t>
      </w:r>
      <w:r>
        <w:rPr>
          <w:rFonts w:ascii="FangSong" w:hAnsi="FangSong" w:eastAsia="FangSong" w:cs="FangSong"/>
          <w:sz w:val="24"/>
          <w:szCs w:val="24"/>
          <w:spacing w:val="-4"/>
        </w:rPr>
        <w:t>，六</w:t>
      </w:r>
      <w:r>
        <w:rPr>
          <w:rFonts w:ascii="FangSong" w:hAnsi="FangSong" w:eastAsia="FangSong" w:cs="FangSong"/>
          <w:sz w:val="24"/>
          <w:szCs w:val="24"/>
          <w:spacing w:val="-1"/>
        </w:rPr>
        <w:t>项污染物全部达标即为城市环境空气质量达标</w:t>
      </w:r>
      <w:r>
        <w:rPr>
          <w:rFonts w:ascii="FangSong" w:hAnsi="FangSong" w:eastAsia="FangSong" w:cs="FangSong"/>
          <w:sz w:val="24"/>
          <w:szCs w:val="24"/>
          <w:spacing w:val="-82"/>
        </w:rPr>
        <w:t xml:space="preserve"> </w:t>
      </w:r>
      <w:r>
        <w:rPr>
          <w:rFonts w:ascii="FangSong" w:hAnsi="FangSong" w:eastAsia="FangSong" w:cs="FangSong"/>
          <w:sz w:val="24"/>
          <w:szCs w:val="24"/>
          <w:spacing w:val="-1"/>
        </w:rPr>
        <w:t>”。</w:t>
      </w:r>
    </w:p>
    <w:p>
      <w:pPr>
        <w:ind w:left="29" w:firstLine="481"/>
        <w:spacing w:before="6" w:line="349" w:lineRule="auto"/>
        <w:jc w:val="both"/>
        <w:rPr>
          <w:rFonts w:ascii="FangSong" w:hAnsi="FangSong" w:eastAsia="FangSong" w:cs="FangSong"/>
          <w:sz w:val="24"/>
          <w:szCs w:val="24"/>
        </w:rPr>
      </w:pPr>
      <w:r>
        <w:rPr>
          <w:rFonts w:ascii="FangSong" w:hAnsi="FangSong" w:eastAsia="FangSong" w:cs="FangSong"/>
          <w:sz w:val="24"/>
          <w:szCs w:val="24"/>
          <w:spacing w:val="-5"/>
        </w:rPr>
        <w:t>本项目区达标判定采用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5"/>
        </w:rPr>
        <w:t>2025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  </w:t>
      </w:r>
      <w:r>
        <w:rPr>
          <w:rFonts w:ascii="FangSong" w:hAnsi="FangSong" w:eastAsia="FangSong" w:cs="FangSong"/>
          <w:sz w:val="24"/>
          <w:szCs w:val="24"/>
          <w:spacing w:val="-5"/>
        </w:rPr>
        <w:t>日发布的《</w:t>
      </w:r>
      <w:r>
        <w:rPr>
          <w:rFonts w:ascii="Times New Roman" w:hAnsi="Times New Roman" w:eastAsia="Times New Roman" w:cs="Times New Roman"/>
          <w:sz w:val="24"/>
          <w:szCs w:val="24"/>
          <w:spacing w:val="-5"/>
        </w:rPr>
        <w:t>202</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年内蒙古自治区生态</w:t>
      </w:r>
      <w:r>
        <w:rPr>
          <w:rFonts w:ascii="FangSong" w:hAnsi="FangSong" w:eastAsia="FangSong" w:cs="FangSong"/>
          <w:sz w:val="24"/>
          <w:szCs w:val="24"/>
          <w:spacing w:val="-9"/>
        </w:rPr>
        <w:t>环境状况公报》（以下简称《环境状况公报》）。《环境状况</w:t>
      </w:r>
      <w:r>
        <w:rPr>
          <w:rFonts w:ascii="FangSong" w:hAnsi="FangSong" w:eastAsia="FangSong" w:cs="FangSong"/>
          <w:sz w:val="24"/>
          <w:szCs w:val="24"/>
          <w:spacing w:val="-10"/>
        </w:rPr>
        <w:t>公报》中指出：</w:t>
      </w:r>
      <w:r>
        <w:rPr>
          <w:rFonts w:ascii="Times New Roman" w:hAnsi="Times New Roman" w:eastAsia="Times New Roman" w:cs="Times New Roman"/>
          <w:sz w:val="24"/>
          <w:szCs w:val="24"/>
          <w:spacing w:val="-10"/>
        </w:rPr>
        <w:t>2024</w:t>
      </w:r>
      <w:r>
        <w:rPr>
          <w:rFonts w:ascii="FangSong" w:hAnsi="FangSong" w:eastAsia="FangSong" w:cs="FangSong"/>
          <w:sz w:val="24"/>
          <w:szCs w:val="24"/>
          <w:spacing w:val="-3"/>
        </w:rPr>
        <w:t>年全区环境空气六项污染物年均浓度均达标。全区环境空气质量平均</w:t>
      </w:r>
      <w:r>
        <w:rPr>
          <w:rFonts w:ascii="FangSong" w:hAnsi="FangSong" w:eastAsia="FangSong" w:cs="FangSong"/>
          <w:sz w:val="24"/>
          <w:szCs w:val="24"/>
          <w:spacing w:val="-4"/>
        </w:rPr>
        <w:t>优良天数比</w:t>
      </w:r>
      <w:r>
        <w:rPr>
          <w:rFonts w:ascii="FangSong" w:hAnsi="FangSong" w:eastAsia="FangSong" w:cs="FangSong"/>
          <w:sz w:val="24"/>
          <w:szCs w:val="24"/>
          <w:spacing w:val="-2"/>
        </w:rPr>
        <w:t>例为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89.6%</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，同比上升</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2.4</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个百分点；扣除异常沙尘天气等影</w:t>
      </w:r>
      <w:r>
        <w:rPr>
          <w:rFonts w:ascii="FangSong" w:hAnsi="FangSong" w:eastAsia="FangSong" w:cs="FangSong"/>
          <w:sz w:val="24"/>
          <w:szCs w:val="24"/>
          <w:spacing w:val="-3"/>
        </w:rPr>
        <w:t>响后，全区环境空</w:t>
      </w:r>
      <w:r>
        <w:rPr>
          <w:rFonts w:ascii="FangSong" w:hAnsi="FangSong" w:eastAsia="FangSong" w:cs="FangSong"/>
          <w:sz w:val="24"/>
          <w:szCs w:val="24"/>
          <w:spacing w:val="-7"/>
        </w:rPr>
        <w:t>气质量优良天数比例为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90.7%</w:t>
      </w:r>
      <w:r>
        <w:rPr>
          <w:rFonts w:ascii="FangSong" w:hAnsi="FangSong" w:eastAsia="FangSong" w:cs="FangSong"/>
          <w:sz w:val="24"/>
          <w:szCs w:val="24"/>
          <w:spacing w:val="-7"/>
        </w:rPr>
        <w:t>，同比上升</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8"/>
        </w:rPr>
        <w:t>0.5</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8"/>
        </w:rPr>
        <w:t>个百分点，重污染天数比例为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8"/>
        </w:rPr>
        <w:t>0.2%</w:t>
      </w:r>
      <w:r>
        <w:rPr>
          <w:rFonts w:ascii="FangSong" w:hAnsi="FangSong" w:eastAsia="FangSong" w:cs="FangSong"/>
          <w:sz w:val="24"/>
          <w:szCs w:val="24"/>
          <w:spacing w:val="-8"/>
        </w:rPr>
        <w:t>，</w:t>
      </w:r>
      <w:r>
        <w:rPr>
          <w:rFonts w:ascii="FangSong" w:hAnsi="FangSong" w:eastAsia="FangSong" w:cs="FangSong"/>
          <w:sz w:val="24"/>
          <w:szCs w:val="24"/>
          <w:spacing w:val="-4"/>
        </w:rPr>
        <w:t>同比持平。</w:t>
      </w:r>
    </w:p>
    <w:p>
      <w:pPr>
        <w:ind w:left="29" w:right="65" w:firstLine="481"/>
        <w:spacing w:before="3" w:line="349" w:lineRule="auto"/>
        <w:jc w:val="both"/>
        <w:rPr>
          <w:rFonts w:ascii="FangSong" w:hAnsi="FangSong" w:eastAsia="FangSong" w:cs="FangSong"/>
          <w:sz w:val="24"/>
          <w:szCs w:val="24"/>
        </w:rPr>
      </w:pPr>
      <w:r>
        <w:rPr>
          <w:rFonts w:ascii="FangSong" w:hAnsi="FangSong" w:eastAsia="FangSong" w:cs="FangSong"/>
          <w:sz w:val="24"/>
          <w:szCs w:val="24"/>
          <w:spacing w:val="-3"/>
        </w:rPr>
        <w:t>本项目选址位于锡林郭勒盟苏尼特右旗桑宝拉</w:t>
      </w:r>
      <w:r>
        <w:rPr>
          <w:rFonts w:ascii="FangSong" w:hAnsi="FangSong" w:eastAsia="FangSong" w:cs="FangSong"/>
          <w:sz w:val="24"/>
          <w:szCs w:val="24"/>
          <w:spacing w:val="-4"/>
        </w:rPr>
        <w:t>格苏木额尔敦塔拉查，各项指</w:t>
      </w:r>
      <w:r>
        <w:rPr>
          <w:rFonts w:ascii="FangSong" w:hAnsi="FangSong" w:eastAsia="FangSong" w:cs="FangSong"/>
          <w:sz w:val="24"/>
          <w:szCs w:val="24"/>
          <w:spacing w:val="-1"/>
        </w:rPr>
        <w:t>标全部符合《环境空气质量标准》</w:t>
      </w:r>
      <w:r>
        <w:rPr>
          <w:rFonts w:ascii="Times New Roman" w:hAnsi="Times New Roman" w:eastAsia="Times New Roman" w:cs="Times New Roman"/>
          <w:sz w:val="24"/>
          <w:szCs w:val="24"/>
          <w:spacing w:val="-1"/>
        </w:rPr>
        <w:t>GB3095-2012</w:t>
      </w:r>
      <w:r>
        <w:rPr>
          <w:rFonts w:ascii="FangSong" w:hAnsi="FangSong" w:eastAsia="FangSong" w:cs="FangSong"/>
          <w:sz w:val="24"/>
          <w:szCs w:val="24"/>
          <w:spacing w:val="-1"/>
        </w:rPr>
        <w:t>）中二级标准。因此，</w:t>
      </w:r>
      <w:r>
        <w:rPr>
          <w:rFonts w:ascii="FangSong" w:hAnsi="FangSong" w:eastAsia="FangSong" w:cs="FangSong"/>
          <w:sz w:val="24"/>
          <w:szCs w:val="24"/>
          <w:spacing w:val="-2"/>
        </w:rPr>
        <w:t>锡林郭勒</w:t>
      </w:r>
      <w:r>
        <w:rPr>
          <w:rFonts w:ascii="FangSong" w:hAnsi="FangSong" w:eastAsia="FangSong" w:cs="FangSong"/>
          <w:sz w:val="24"/>
          <w:szCs w:val="24"/>
          <w:spacing w:val="-2"/>
        </w:rPr>
        <w:t>盟环境空气质量属于达标区，截图见图</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5.5-1</w:t>
      </w:r>
      <w:r>
        <w:rPr>
          <w:rFonts w:ascii="FangSong" w:hAnsi="FangSong" w:eastAsia="FangSong" w:cs="FangSong"/>
          <w:sz w:val="24"/>
          <w:szCs w:val="24"/>
          <w:spacing w:val="-2"/>
        </w:rPr>
        <w:t>。</w:t>
      </w:r>
    </w:p>
    <w:p>
      <w:pPr>
        <w:ind w:firstLine="671"/>
        <w:spacing w:line="5405" w:lineRule="exact"/>
        <w:rPr/>
      </w:pPr>
      <w:r>
        <w:rPr>
          <w:position w:val="-108"/>
        </w:rPr>
        <w:drawing>
          <wp:inline distT="0" distB="0" distL="0" distR="0">
            <wp:extent cx="4439411" cy="3432048"/>
            <wp:effectExtent l="0" t="0" r="0" b="0"/>
            <wp:docPr id="50" name="IM 50"/>
            <wp:cNvGraphicFramePr/>
            <a:graphic>
              <a:graphicData uri="http://schemas.openxmlformats.org/drawingml/2006/picture">
                <pic:pic>
                  <pic:nvPicPr>
                    <pic:cNvPr id="50" name="IM 50"/>
                    <pic:cNvPicPr/>
                  </pic:nvPicPr>
                  <pic:blipFill>
                    <a:blip r:embed="rId238"/>
                    <a:stretch>
                      <a:fillRect/>
                    </a:stretch>
                  </pic:blipFill>
                  <pic:spPr>
                    <a:xfrm rot="0">
                      <a:off x="0" y="0"/>
                      <a:ext cx="4439411" cy="3432048"/>
                    </a:xfrm>
                    <a:prstGeom prst="rect">
                      <a:avLst/>
                    </a:prstGeom>
                  </pic:spPr>
                </pic:pic>
              </a:graphicData>
            </a:graphic>
          </wp:inline>
        </w:drawing>
      </w:r>
    </w:p>
    <w:p>
      <w:pPr>
        <w:ind w:left="1817"/>
        <w:spacing w:before="173" w:line="221" w:lineRule="auto"/>
        <w:rPr>
          <w:rFonts w:ascii="FangSong" w:hAnsi="FangSong" w:eastAsia="FangSong" w:cs="FangSong"/>
          <w:sz w:val="24"/>
          <w:szCs w:val="24"/>
        </w:rPr>
      </w:pPr>
      <w:r>
        <w:rPr>
          <w:rFonts w:ascii="FangSong" w:hAnsi="FangSong" w:eastAsia="FangSong" w:cs="FangSong"/>
          <w:sz w:val="24"/>
          <w:szCs w:val="24"/>
          <w:b/>
          <w:bCs/>
          <w:spacing w:val="-6"/>
        </w:rPr>
        <w:t>图</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b/>
          <w:bCs/>
          <w:spacing w:val="-6"/>
        </w:rPr>
        <w:t>5.5-1</w:t>
      </w:r>
      <w:r>
        <w:rPr>
          <w:rFonts w:ascii="Times New Roman" w:hAnsi="Times New Roman" w:eastAsia="Times New Roman" w:cs="Times New Roman"/>
          <w:sz w:val="24"/>
          <w:szCs w:val="24"/>
          <w:b/>
          <w:bCs/>
          <w:spacing w:val="23"/>
          <w:w w:val="101"/>
        </w:rPr>
        <w:t xml:space="preserve">  </w:t>
      </w:r>
      <w:r>
        <w:rPr>
          <w:rFonts w:ascii="FangSong" w:hAnsi="FangSong" w:eastAsia="FangSong" w:cs="FangSong"/>
          <w:sz w:val="24"/>
          <w:szCs w:val="24"/>
          <w:b/>
          <w:bCs/>
          <w:spacing w:val="-6"/>
        </w:rPr>
        <w:t>内蒙古自治区生态环境状况公报截图</w:t>
      </w:r>
    </w:p>
    <w:p>
      <w:pPr>
        <w:spacing w:line="221" w:lineRule="auto"/>
        <w:sectPr>
          <w:footerReference w:type="default" r:id="rId237"/>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5.5.1.2  </w:t>
      </w:r>
      <w:r>
        <w:rPr>
          <w:rFonts w:ascii="FangSong" w:hAnsi="FangSong" w:eastAsia="FangSong" w:cs="FangSong"/>
          <w:sz w:val="24"/>
          <w:szCs w:val="24"/>
          <w:b/>
          <w:bCs/>
          <w:spacing w:val="-2"/>
        </w:rPr>
        <w:t>环境空气质量现状补充监测</w:t>
      </w:r>
    </w:p>
    <w:p>
      <w:pPr>
        <w:ind w:left="608"/>
        <w:spacing w:before="180"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）监测点位布设</w:t>
      </w:r>
    </w:p>
    <w:p>
      <w:pPr>
        <w:ind w:left="126" w:right="107" w:firstLine="485"/>
        <w:spacing w:before="181" w:line="360" w:lineRule="auto"/>
        <w:rPr>
          <w:rFonts w:ascii="FangSong" w:hAnsi="FangSong" w:eastAsia="FangSong" w:cs="FangSong"/>
          <w:sz w:val="24"/>
          <w:szCs w:val="24"/>
        </w:rPr>
      </w:pPr>
      <w:r>
        <w:rPr>
          <w:rFonts w:ascii="FangSong" w:hAnsi="FangSong" w:eastAsia="FangSong" w:cs="FangSong"/>
          <w:sz w:val="24"/>
          <w:szCs w:val="24"/>
          <w:spacing w:val="-4"/>
        </w:rPr>
        <w:t>为了解项目所在地环境空气质量现状，根据《环境影响评价技术导则大气环</w:t>
      </w:r>
      <w:r>
        <w:rPr>
          <w:rFonts w:ascii="FangSong" w:hAnsi="FangSong" w:eastAsia="FangSong" w:cs="FangSong"/>
          <w:sz w:val="24"/>
          <w:szCs w:val="24"/>
          <w:spacing w:val="-3"/>
        </w:rPr>
        <w:t>境》（</w:t>
      </w:r>
      <w:r>
        <w:rPr>
          <w:rFonts w:ascii="Times New Roman" w:hAnsi="Times New Roman" w:eastAsia="Times New Roman" w:cs="Times New Roman"/>
          <w:sz w:val="24"/>
          <w:szCs w:val="24"/>
          <w:spacing w:val="-3"/>
        </w:rPr>
        <w:t>HJ2.2-2018</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条要求，</w:t>
      </w:r>
      <w:r>
        <w:rPr>
          <w:rFonts w:ascii="FangSong" w:hAnsi="FangSong" w:eastAsia="FangSong" w:cs="FangSong"/>
          <w:sz w:val="24"/>
          <w:szCs w:val="24"/>
          <w:spacing w:val="-4"/>
        </w:rPr>
        <w:t>本次评价对特征污染物</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TSP</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NO</w:t>
      </w:r>
      <w:r>
        <w:rPr>
          <w:rFonts w:ascii="Times New Roman" w:hAnsi="Times New Roman" w:eastAsia="Times New Roman" w:cs="Times New Roman"/>
          <w:sz w:val="15"/>
          <w:szCs w:val="15"/>
          <w:spacing w:val="-4"/>
          <w:position w:val="-1"/>
        </w:rPr>
        <w:t>x </w:t>
      </w:r>
      <w:r>
        <w:rPr>
          <w:rFonts w:ascii="FangSong" w:hAnsi="FangSong" w:eastAsia="FangSong" w:cs="FangSong"/>
          <w:sz w:val="24"/>
          <w:szCs w:val="24"/>
          <w:spacing w:val="-4"/>
        </w:rPr>
        <w:t>、氟化物进行</w:t>
      </w:r>
      <w:r>
        <w:rPr>
          <w:rFonts w:ascii="FangSong" w:hAnsi="FangSong" w:eastAsia="FangSong" w:cs="FangSong"/>
          <w:sz w:val="24"/>
          <w:szCs w:val="24"/>
          <w:spacing w:val="-3"/>
        </w:rPr>
        <w:t>补充监测，根据导则要求本次环评在本项目拟建工业广场所</w:t>
      </w:r>
      <w:r>
        <w:rPr>
          <w:rFonts w:ascii="FangSong" w:hAnsi="FangSong" w:eastAsia="FangSong" w:cs="FangSong"/>
          <w:sz w:val="24"/>
          <w:szCs w:val="24"/>
          <w:spacing w:val="-4"/>
        </w:rPr>
        <w:t>在地及拟建工业广场</w:t>
      </w:r>
      <w:r>
        <w:rPr>
          <w:rFonts w:ascii="FangSong" w:hAnsi="FangSong" w:eastAsia="FangSong" w:cs="FangSong"/>
          <w:sz w:val="24"/>
          <w:szCs w:val="24"/>
          <w:spacing w:val="-4"/>
        </w:rPr>
        <w:t>下风向</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4"/>
        </w:rPr>
        <w:t>500m</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处各布设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个监测点位进行监测，委托检测单位为锡林郭勒盟中兴</w:t>
      </w:r>
      <w:r>
        <w:rPr>
          <w:rFonts w:ascii="FangSong" w:hAnsi="FangSong" w:eastAsia="FangSong" w:cs="FangSong"/>
          <w:sz w:val="24"/>
          <w:szCs w:val="24"/>
          <w:spacing w:val="-9"/>
        </w:rPr>
        <w:t>德环保科技有限公司，监测时间为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9"/>
        </w:rPr>
        <w:t>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9"/>
        </w:rPr>
        <w:t>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9"/>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0"/>
        </w:rPr>
        <w:t>4  </w:t>
      </w:r>
      <w:r>
        <w:rPr>
          <w:rFonts w:ascii="FangSong" w:hAnsi="FangSong" w:eastAsia="FangSong" w:cs="FangSong"/>
          <w:sz w:val="24"/>
          <w:szCs w:val="24"/>
          <w:spacing w:val="-10"/>
        </w:rPr>
        <w:t>日</w:t>
      </w:r>
      <w:r>
        <w:rPr>
          <w:rFonts w:ascii="Times New Roman" w:hAnsi="Times New Roman" w:eastAsia="Times New Roman" w:cs="Times New Roman"/>
          <w:sz w:val="24"/>
          <w:szCs w:val="24"/>
          <w:spacing w:val="-10"/>
        </w:rPr>
        <w:t>-2025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0"/>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0"/>
        </w:rPr>
        <w:t>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0"/>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0"/>
        </w:rPr>
        <w:t>20  </w:t>
      </w:r>
      <w:r>
        <w:rPr>
          <w:rFonts w:ascii="FangSong" w:hAnsi="FangSong" w:eastAsia="FangSong" w:cs="FangSong"/>
          <w:sz w:val="24"/>
          <w:szCs w:val="24"/>
          <w:spacing w:val="-10"/>
        </w:rPr>
        <w:t>日。监测点</w:t>
      </w:r>
      <w:r>
        <w:rPr>
          <w:rFonts w:ascii="FangSong" w:hAnsi="FangSong" w:eastAsia="FangSong" w:cs="FangSong"/>
          <w:sz w:val="24"/>
          <w:szCs w:val="24"/>
          <w:spacing w:val="-4"/>
        </w:rPr>
        <w:t>具体情况见表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4"/>
        </w:rPr>
        <w:t>5.5-1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和附图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5-1</w:t>
      </w:r>
      <w:r>
        <w:rPr>
          <w:rFonts w:ascii="FangSong" w:hAnsi="FangSong" w:eastAsia="FangSong" w:cs="FangSong"/>
          <w:sz w:val="24"/>
          <w:szCs w:val="24"/>
          <w:spacing w:val="-4"/>
        </w:rPr>
        <w:t>。</w:t>
      </w:r>
    </w:p>
    <w:p>
      <w:pPr>
        <w:ind w:left="2009"/>
        <w:spacing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5.5-1  </w:t>
      </w:r>
      <w:r>
        <w:rPr>
          <w:rFonts w:ascii="FangSong" w:hAnsi="FangSong" w:eastAsia="FangSong" w:cs="FangSong"/>
          <w:sz w:val="24"/>
          <w:szCs w:val="24"/>
          <w:b/>
          <w:bCs/>
          <w:spacing w:val="-3"/>
        </w:rPr>
        <w:t>环境空气现状监测点位情况一览表</w:t>
      </w:r>
    </w:p>
    <w:p>
      <w:pPr>
        <w:spacing w:line="66"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
        <w:gridCol w:w="1084"/>
        <w:gridCol w:w="1915"/>
        <w:gridCol w:w="2073"/>
        <w:gridCol w:w="1134"/>
        <w:gridCol w:w="1839"/>
      </w:tblGrid>
      <w:tr>
        <w:trPr>
          <w:trHeight w:val="486" w:hRule="atLeast"/>
        </w:trPr>
        <w:tc>
          <w:tcPr>
            <w:tcW w:w="473" w:type="dxa"/>
            <w:vAlign w:val="top"/>
            <w:vMerge w:val="restart"/>
            <w:textDirection w:val="tbRlV"/>
            <w:tcBorders>
              <w:top w:val="single" w:color="000000" w:sz="10" w:space="0"/>
              <w:left w:val="nil"/>
              <w:bottom w:val="nil"/>
            </w:tcBorders>
          </w:tcPr>
          <w:p>
            <w:pPr>
              <w:pStyle w:val="TableText"/>
              <w:ind w:left="233"/>
              <w:spacing w:before="129" w:line="209" w:lineRule="auto"/>
              <w:rPr/>
            </w:pPr>
            <w:r>
              <w:rPr>
                <w:spacing w:val="13"/>
              </w:rPr>
              <w:t>序</w:t>
            </w:r>
            <w:r>
              <w:rPr>
                <w:spacing w:val="-2"/>
              </w:rPr>
              <w:t xml:space="preserve"> </w:t>
            </w:r>
            <w:r>
              <w:rPr>
                <w:spacing w:val="13"/>
              </w:rPr>
              <w:t>号</w:t>
            </w:r>
          </w:p>
        </w:tc>
        <w:tc>
          <w:tcPr>
            <w:tcW w:w="1084" w:type="dxa"/>
            <w:vAlign w:val="top"/>
            <w:vMerge w:val="restart"/>
            <w:tcBorders>
              <w:top w:val="single" w:color="000000" w:sz="10" w:space="0"/>
              <w:bottom w:val="nil"/>
            </w:tcBorders>
          </w:tcPr>
          <w:p>
            <w:pPr>
              <w:pStyle w:val="TableText"/>
              <w:ind w:left="133" w:right="121" w:firstLine="5"/>
              <w:spacing w:before="232" w:line="288" w:lineRule="auto"/>
              <w:rPr/>
            </w:pPr>
            <w:r>
              <w:rPr>
                <w:spacing w:val="4"/>
              </w:rPr>
              <w:t>监测点名</w:t>
            </w:r>
            <w:r>
              <w:rPr>
                <w:spacing w:val="5"/>
              </w:rPr>
              <w:t>称及位置</w:t>
            </w:r>
          </w:p>
        </w:tc>
        <w:tc>
          <w:tcPr>
            <w:tcW w:w="3988" w:type="dxa"/>
            <w:vAlign w:val="top"/>
            <w:gridSpan w:val="2"/>
            <w:tcBorders>
              <w:top w:val="single" w:color="000000" w:sz="10" w:space="0"/>
            </w:tcBorders>
          </w:tcPr>
          <w:p>
            <w:pPr>
              <w:pStyle w:val="TableText"/>
              <w:ind w:left="1800"/>
              <w:spacing w:before="139" w:line="231" w:lineRule="auto"/>
              <w:rPr/>
            </w:pPr>
            <w:r>
              <w:rPr>
                <w:spacing w:val="-1"/>
              </w:rPr>
              <w:t>坐标</w:t>
            </w:r>
          </w:p>
        </w:tc>
        <w:tc>
          <w:tcPr>
            <w:tcW w:w="1134" w:type="dxa"/>
            <w:vAlign w:val="top"/>
            <w:vMerge w:val="restart"/>
            <w:tcBorders>
              <w:top w:val="single" w:color="000000" w:sz="10" w:space="0"/>
              <w:bottom w:val="nil"/>
            </w:tcBorders>
          </w:tcPr>
          <w:p>
            <w:pPr>
              <w:spacing w:line="321" w:lineRule="auto"/>
              <w:rPr>
                <w:rFonts w:ascii="Arial"/>
                <w:sz w:val="21"/>
              </w:rPr>
            </w:pPr>
            <w:r/>
          </w:p>
          <w:p>
            <w:pPr>
              <w:pStyle w:val="TableText"/>
              <w:ind w:left="164"/>
              <w:spacing w:before="65" w:line="232" w:lineRule="auto"/>
              <w:rPr/>
            </w:pPr>
            <w:r>
              <w:rPr>
                <w:spacing w:val="4"/>
              </w:rPr>
              <w:t>监测项目</w:t>
            </w:r>
          </w:p>
        </w:tc>
        <w:tc>
          <w:tcPr>
            <w:tcW w:w="1839" w:type="dxa"/>
            <w:vAlign w:val="top"/>
            <w:vMerge w:val="restart"/>
            <w:tcBorders>
              <w:top w:val="single" w:color="000000" w:sz="10" w:space="0"/>
              <w:right w:val="nil"/>
              <w:bottom w:val="nil"/>
            </w:tcBorders>
          </w:tcPr>
          <w:p>
            <w:pPr>
              <w:spacing w:line="322" w:lineRule="auto"/>
              <w:rPr>
                <w:rFonts w:ascii="Arial"/>
                <w:sz w:val="21"/>
              </w:rPr>
            </w:pPr>
            <w:r/>
          </w:p>
          <w:p>
            <w:pPr>
              <w:pStyle w:val="TableText"/>
              <w:ind w:left="510"/>
              <w:spacing w:before="65" w:line="229" w:lineRule="auto"/>
              <w:rPr/>
            </w:pPr>
            <w:r>
              <w:rPr>
                <w:spacing w:val="6"/>
              </w:rPr>
              <w:t>执行标准</w:t>
            </w:r>
          </w:p>
        </w:tc>
      </w:tr>
      <w:tr>
        <w:trPr>
          <w:trHeight w:val="487" w:hRule="atLeast"/>
        </w:trPr>
        <w:tc>
          <w:tcPr>
            <w:tcW w:w="473" w:type="dxa"/>
            <w:vAlign w:val="top"/>
            <w:vMerge w:val="continue"/>
            <w:textDirection w:val="tbRlV"/>
            <w:tcBorders>
              <w:top w:val="nil"/>
              <w:left w:val="nil"/>
            </w:tcBorders>
          </w:tcPr>
          <w:p>
            <w:pPr>
              <w:rPr>
                <w:rFonts w:ascii="Arial"/>
                <w:sz w:val="21"/>
              </w:rPr>
            </w:pPr>
            <w:r/>
          </w:p>
        </w:tc>
        <w:tc>
          <w:tcPr>
            <w:tcW w:w="1084" w:type="dxa"/>
            <w:vAlign w:val="top"/>
            <w:vMerge w:val="continue"/>
            <w:tcBorders>
              <w:top w:val="nil"/>
            </w:tcBorders>
          </w:tcPr>
          <w:p>
            <w:pPr>
              <w:rPr>
                <w:rFonts w:ascii="Arial"/>
                <w:sz w:val="21"/>
              </w:rPr>
            </w:pPr>
            <w:r/>
          </w:p>
        </w:tc>
        <w:tc>
          <w:tcPr>
            <w:tcW w:w="1915" w:type="dxa"/>
            <w:vAlign w:val="top"/>
          </w:tcPr>
          <w:p>
            <w:pPr>
              <w:pStyle w:val="TableText"/>
              <w:ind w:left="758"/>
              <w:spacing w:before="142" w:line="232" w:lineRule="auto"/>
              <w:rPr/>
            </w:pPr>
            <w:r>
              <w:rPr>
                <w:spacing w:val="2"/>
              </w:rPr>
              <w:t>经度</w:t>
            </w:r>
          </w:p>
        </w:tc>
        <w:tc>
          <w:tcPr>
            <w:tcW w:w="2073" w:type="dxa"/>
            <w:vAlign w:val="top"/>
          </w:tcPr>
          <w:p>
            <w:pPr>
              <w:pStyle w:val="TableText"/>
              <w:ind w:left="841"/>
              <w:spacing w:before="143" w:line="230" w:lineRule="auto"/>
              <w:rPr/>
            </w:pPr>
            <w:r>
              <w:rPr>
                <w:spacing w:val="-1"/>
              </w:rPr>
              <w:t>维度</w:t>
            </w:r>
          </w:p>
        </w:tc>
        <w:tc>
          <w:tcPr>
            <w:tcW w:w="1134" w:type="dxa"/>
            <w:vAlign w:val="top"/>
            <w:vMerge w:val="continue"/>
            <w:tcBorders>
              <w:top w:val="nil"/>
            </w:tcBorders>
          </w:tcPr>
          <w:p>
            <w:pPr>
              <w:rPr>
                <w:rFonts w:ascii="Arial"/>
                <w:sz w:val="21"/>
              </w:rPr>
            </w:pPr>
            <w:r/>
          </w:p>
        </w:tc>
        <w:tc>
          <w:tcPr>
            <w:tcW w:w="1839" w:type="dxa"/>
            <w:vAlign w:val="top"/>
            <w:vMerge w:val="continue"/>
            <w:tcBorders>
              <w:top w:val="nil"/>
              <w:right w:val="nil"/>
            </w:tcBorders>
          </w:tcPr>
          <w:p>
            <w:pPr>
              <w:rPr>
                <w:rFonts w:ascii="Arial"/>
                <w:sz w:val="21"/>
              </w:rPr>
            </w:pPr>
            <w:r/>
          </w:p>
        </w:tc>
      </w:tr>
      <w:tr>
        <w:trPr>
          <w:trHeight w:val="933" w:hRule="atLeast"/>
        </w:trPr>
        <w:tc>
          <w:tcPr>
            <w:tcW w:w="473" w:type="dxa"/>
            <w:vAlign w:val="top"/>
            <w:tcBorders>
              <w:left w:val="nil"/>
            </w:tcBorders>
          </w:tcPr>
          <w:p>
            <w:pPr>
              <w:spacing w:line="347" w:lineRule="auto"/>
              <w:rPr>
                <w:rFonts w:ascii="Arial"/>
                <w:sz w:val="21"/>
              </w:rPr>
            </w:pPr>
            <w:r/>
          </w:p>
          <w:p>
            <w:pPr>
              <w:ind w:left="10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A1</w:t>
            </w:r>
          </w:p>
        </w:tc>
        <w:tc>
          <w:tcPr>
            <w:tcW w:w="1084" w:type="dxa"/>
            <w:vAlign w:val="top"/>
          </w:tcPr>
          <w:p>
            <w:pPr>
              <w:pStyle w:val="TableText"/>
              <w:ind w:left="134"/>
              <w:spacing w:before="58" w:line="232" w:lineRule="auto"/>
              <w:rPr/>
            </w:pPr>
            <w:r>
              <w:rPr>
                <w:spacing w:val="5"/>
              </w:rPr>
              <w:t>项目拟建</w:t>
            </w:r>
          </w:p>
          <w:p>
            <w:pPr>
              <w:pStyle w:val="TableText"/>
              <w:ind w:left="239" w:right="121" w:hanging="101"/>
              <w:spacing w:before="60" w:line="255" w:lineRule="auto"/>
              <w:rPr/>
            </w:pPr>
            <w:r>
              <w:rPr>
                <w:spacing w:val="4"/>
              </w:rPr>
              <w:t>工业广场</w:t>
            </w:r>
            <w:r>
              <w:rPr>
                <w:spacing w:val="4"/>
              </w:rPr>
              <w:t>所在地</w:t>
            </w:r>
          </w:p>
        </w:tc>
        <w:tc>
          <w:tcPr>
            <w:tcW w:w="1915" w:type="dxa"/>
            <w:vAlign w:val="top"/>
          </w:tcPr>
          <w:p>
            <w:pPr>
              <w:spacing w:line="347" w:lineRule="auto"/>
              <w:rPr>
                <w:rFonts w:ascii="Arial"/>
                <w:sz w:val="21"/>
              </w:rPr>
            </w:pPr>
            <w:r/>
          </w:p>
          <w:p>
            <w:pPr>
              <w:ind w:left="21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112°55′27.40094″</w:t>
            </w:r>
          </w:p>
        </w:tc>
        <w:tc>
          <w:tcPr>
            <w:tcW w:w="2073" w:type="dxa"/>
            <w:vAlign w:val="top"/>
          </w:tcPr>
          <w:p>
            <w:pPr>
              <w:spacing w:line="347" w:lineRule="auto"/>
              <w:rPr>
                <w:rFonts w:ascii="Arial"/>
                <w:sz w:val="21"/>
              </w:rPr>
            </w:pPr>
            <w:r/>
          </w:p>
          <w:p>
            <w:pPr>
              <w:ind w:left="37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spacing w:val="1"/>
              </w:rPr>
              <w:t>′21.43280″</w:t>
            </w:r>
          </w:p>
        </w:tc>
        <w:tc>
          <w:tcPr>
            <w:tcW w:w="1134" w:type="dxa"/>
            <w:vAlign w:val="top"/>
          </w:tcPr>
          <w:p>
            <w:pPr>
              <w:pStyle w:val="TableText"/>
              <w:ind w:left="285"/>
              <w:spacing w:before="94" w:line="187" w:lineRule="auto"/>
              <w:rPr/>
            </w:pPr>
            <w:r>
              <w:rPr>
                <w:rFonts w:ascii="Times New Roman" w:hAnsi="Times New Roman" w:eastAsia="Times New Roman" w:cs="Times New Roman"/>
              </w:rPr>
              <w:t>TSP</w:t>
            </w:r>
            <w:r>
              <w:rPr>
                <w:spacing w:val="10"/>
              </w:rPr>
              <w:t>、</w:t>
            </w:r>
          </w:p>
          <w:p>
            <w:pPr>
              <w:pStyle w:val="TableText"/>
              <w:ind w:left="104"/>
              <w:spacing w:before="74" w:line="230" w:lineRule="auto"/>
              <w:rPr/>
            </w:pPr>
            <w:r>
              <w:rPr>
                <w:rFonts w:ascii="Times New Roman" w:hAnsi="Times New Roman" w:eastAsia="Times New Roman" w:cs="Times New Roman"/>
                <w:spacing w:val="6"/>
              </w:rPr>
              <w:t>NO</w:t>
            </w:r>
            <w:r>
              <w:rPr>
                <w:rFonts w:ascii="Times New Roman" w:hAnsi="Times New Roman" w:eastAsia="Times New Roman" w:cs="Times New Roman"/>
                <w:sz w:val="13"/>
                <w:szCs w:val="13"/>
                <w:spacing w:val="6"/>
                <w:position w:val="-1"/>
              </w:rPr>
              <w:t>x</w:t>
            </w:r>
            <w:r>
              <w:rPr>
                <w:spacing w:val="-19"/>
                <w:position w:val="-1"/>
              </w:rPr>
              <w:t>、</w:t>
            </w:r>
            <w:r>
              <w:rPr>
                <w:spacing w:val="-19"/>
              </w:rPr>
              <w:t>氟化</w:t>
            </w:r>
          </w:p>
          <w:p>
            <w:pPr>
              <w:pStyle w:val="TableText"/>
              <w:ind w:left="474"/>
              <w:spacing w:before="53" w:line="221" w:lineRule="auto"/>
              <w:rPr/>
            </w:pPr>
            <w:r>
              <w:rPr/>
              <w:t>物</w:t>
            </w:r>
          </w:p>
        </w:tc>
        <w:tc>
          <w:tcPr>
            <w:tcW w:w="1839" w:type="dxa"/>
            <w:vAlign w:val="top"/>
            <w:vMerge w:val="restart"/>
            <w:tcBorders>
              <w:bottom w:val="nil"/>
              <w:right w:val="nil"/>
            </w:tcBorders>
          </w:tcPr>
          <w:p>
            <w:pPr>
              <w:pStyle w:val="TableText"/>
              <w:ind w:left="195"/>
              <w:spacing w:before="219" w:line="231" w:lineRule="auto"/>
              <w:rPr/>
            </w:pPr>
            <w:r>
              <w:rPr>
                <w:spacing w:val="7"/>
              </w:rPr>
              <w:t>《环境空气质量</w:t>
            </w:r>
          </w:p>
          <w:p>
            <w:pPr>
              <w:pStyle w:val="TableText"/>
              <w:ind w:left="615"/>
              <w:spacing w:before="61" w:line="231" w:lineRule="auto"/>
              <w:rPr/>
            </w:pPr>
            <w:r>
              <w:rPr>
                <w:spacing w:val="1"/>
              </w:rPr>
              <w:t>标准》</w:t>
            </w:r>
          </w:p>
          <w:p>
            <w:pPr>
              <w:pStyle w:val="TableText"/>
              <w:ind w:left="123"/>
              <w:spacing w:before="61" w:line="265" w:lineRule="exact"/>
              <w:rPr/>
            </w:pPr>
            <w:r>
              <w:rPr>
                <w:spacing w:val="4"/>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4"/>
                <w:position w:val="1"/>
              </w:rPr>
              <w:t>3095-2018</w:t>
            </w:r>
            <w:r>
              <w:rPr>
                <w:spacing w:val="4"/>
                <w:position w:val="1"/>
              </w:rPr>
              <w:t>）</w:t>
            </w:r>
          </w:p>
          <w:p>
            <w:pPr>
              <w:pStyle w:val="TableText"/>
              <w:ind w:left="171"/>
              <w:spacing w:before="47" w:line="231" w:lineRule="auto"/>
              <w:rPr/>
            </w:pPr>
            <w:r>
              <w:rPr/>
              <w:t>表</w:t>
            </w:r>
            <w:r>
              <w:rPr>
                <w:spacing w:val="-43"/>
              </w:rPr>
              <w:t xml:space="preserve"> </w:t>
            </w:r>
            <w:r>
              <w:rPr>
                <w:rFonts w:ascii="Times New Roman" w:hAnsi="Times New Roman" w:eastAsia="Times New Roman" w:cs="Times New Roman"/>
              </w:rPr>
              <w:t>2</w:t>
            </w:r>
            <w:r>
              <w:rPr>
                <w:rFonts w:ascii="Times New Roman" w:hAnsi="Times New Roman" w:eastAsia="Times New Roman" w:cs="Times New Roman"/>
                <w:spacing w:val="24"/>
              </w:rPr>
              <w:t xml:space="preserve">  </w:t>
            </w:r>
            <w:r>
              <w:rPr/>
              <w:t>中二级浓度</w:t>
            </w:r>
          </w:p>
          <w:p>
            <w:pPr>
              <w:pStyle w:val="TableText"/>
              <w:ind w:left="185"/>
              <w:spacing w:before="61" w:line="231" w:lineRule="auto"/>
              <w:rPr/>
            </w:pPr>
            <w:r>
              <w:rPr>
                <w:spacing w:val="3"/>
              </w:rPr>
              <w:t>限值和附录</w:t>
            </w:r>
            <w:r>
              <w:rPr>
                <w:spacing w:val="-39"/>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9"/>
                <w:w w:val="101"/>
              </w:rPr>
              <w:t xml:space="preserve"> </w:t>
            </w:r>
            <w:r>
              <w:rPr>
                <w:spacing w:val="3"/>
              </w:rPr>
              <w:t>的</w:t>
            </w:r>
          </w:p>
          <w:p>
            <w:pPr>
              <w:pStyle w:val="TableText"/>
              <w:ind w:left="514"/>
              <w:spacing w:before="62" w:line="231" w:lineRule="auto"/>
              <w:rPr/>
            </w:pPr>
            <w:r>
              <w:rPr>
                <w:spacing w:val="4"/>
              </w:rPr>
              <w:t>浓度限值</w:t>
            </w:r>
          </w:p>
        </w:tc>
      </w:tr>
      <w:tr>
        <w:trPr>
          <w:trHeight w:val="1267" w:hRule="atLeast"/>
        </w:trPr>
        <w:tc>
          <w:tcPr>
            <w:tcW w:w="473" w:type="dxa"/>
            <w:vAlign w:val="top"/>
            <w:tcBorders>
              <w:bottom w:val="single" w:color="000000" w:sz="10" w:space="0"/>
              <w:left w:val="nil"/>
            </w:tcBorders>
          </w:tcPr>
          <w:p>
            <w:pPr>
              <w:spacing w:line="254" w:lineRule="auto"/>
              <w:rPr>
                <w:rFonts w:ascii="Arial"/>
                <w:sz w:val="21"/>
              </w:rPr>
            </w:pPr>
            <w:r/>
          </w:p>
          <w:p>
            <w:pPr>
              <w:spacing w:line="255" w:lineRule="auto"/>
              <w:rPr>
                <w:rFonts w:ascii="Arial"/>
                <w:sz w:val="21"/>
              </w:rPr>
            </w:pPr>
            <w:r/>
          </w:p>
          <w:p>
            <w:pPr>
              <w:ind w:left="10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A2</w:t>
            </w:r>
          </w:p>
        </w:tc>
        <w:tc>
          <w:tcPr>
            <w:tcW w:w="1084" w:type="dxa"/>
            <w:vAlign w:val="top"/>
            <w:tcBorders>
              <w:bottom w:val="single" w:color="000000" w:sz="10" w:space="0"/>
            </w:tcBorders>
          </w:tcPr>
          <w:p>
            <w:pPr>
              <w:pStyle w:val="TableText"/>
              <w:ind w:left="134"/>
              <w:spacing w:before="66" w:line="232" w:lineRule="auto"/>
              <w:rPr/>
            </w:pPr>
            <w:r>
              <w:rPr>
                <w:spacing w:val="5"/>
              </w:rPr>
              <w:t>项目拟建</w:t>
            </w:r>
          </w:p>
          <w:p>
            <w:pPr>
              <w:pStyle w:val="TableText"/>
              <w:ind w:left="177" w:right="121" w:hanging="39"/>
              <w:spacing w:before="62" w:line="270" w:lineRule="auto"/>
              <w:jc w:val="both"/>
              <w:rPr/>
            </w:pPr>
            <w:r>
              <w:rPr>
                <w:spacing w:val="4"/>
              </w:rPr>
              <w:t>工业广场</w:t>
            </w:r>
            <w:r>
              <w:rPr>
                <w:spacing w:val="25"/>
              </w:rPr>
              <w:t>下风向</w:t>
            </w:r>
            <w:r>
              <w:rPr/>
              <w:t xml:space="preserve"> </w:t>
            </w:r>
            <w:r>
              <w:rPr>
                <w:rFonts w:ascii="Times New Roman" w:hAnsi="Times New Roman" w:eastAsia="Times New Roman" w:cs="Times New Roman"/>
                <w:spacing w:val="2"/>
              </w:rPr>
              <w:t>500m</w:t>
            </w:r>
            <w:r>
              <w:rPr>
                <w:rFonts w:ascii="Times New Roman" w:hAnsi="Times New Roman" w:eastAsia="Times New Roman" w:cs="Times New Roman"/>
                <w:spacing w:val="18"/>
              </w:rPr>
              <w:t xml:space="preserve"> </w:t>
            </w:r>
            <w:r>
              <w:rPr>
                <w:spacing w:val="2"/>
              </w:rPr>
              <w:t>处</w:t>
            </w:r>
          </w:p>
        </w:tc>
        <w:tc>
          <w:tcPr>
            <w:tcW w:w="1915" w:type="dxa"/>
            <w:vAlign w:val="top"/>
            <w:tcBorders>
              <w:bottom w:val="single" w:color="000000" w:sz="10" w:space="0"/>
            </w:tcBorders>
          </w:tcPr>
          <w:p>
            <w:pPr>
              <w:spacing w:line="254" w:lineRule="auto"/>
              <w:rPr>
                <w:rFonts w:ascii="Arial"/>
                <w:sz w:val="21"/>
              </w:rPr>
            </w:pPr>
            <w:r/>
          </w:p>
          <w:p>
            <w:pPr>
              <w:spacing w:line="255" w:lineRule="auto"/>
              <w:rPr>
                <w:rFonts w:ascii="Arial"/>
                <w:sz w:val="21"/>
              </w:rPr>
            </w:pPr>
            <w:r/>
          </w:p>
          <w:p>
            <w:pPr>
              <w:ind w:left="21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112°55′51.63739″</w:t>
            </w:r>
          </w:p>
        </w:tc>
        <w:tc>
          <w:tcPr>
            <w:tcW w:w="2073" w:type="dxa"/>
            <w:vAlign w:val="top"/>
            <w:tcBorders>
              <w:bottom w:val="single" w:color="000000" w:sz="10" w:space="0"/>
            </w:tcBorders>
          </w:tcPr>
          <w:p>
            <w:pPr>
              <w:spacing w:line="254" w:lineRule="auto"/>
              <w:rPr>
                <w:rFonts w:ascii="Arial"/>
                <w:sz w:val="21"/>
              </w:rPr>
            </w:pPr>
            <w:r/>
          </w:p>
          <w:p>
            <w:pPr>
              <w:spacing w:line="255" w:lineRule="auto"/>
              <w:rPr>
                <w:rFonts w:ascii="Arial"/>
                <w:sz w:val="21"/>
              </w:rPr>
            </w:pPr>
            <w:r/>
          </w:p>
          <w:p>
            <w:pPr>
              <w:ind w:left="3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spacing w:val="1"/>
              </w:rPr>
              <w:t>′34.89320″</w:t>
            </w:r>
          </w:p>
        </w:tc>
        <w:tc>
          <w:tcPr>
            <w:tcW w:w="1134" w:type="dxa"/>
            <w:vAlign w:val="top"/>
            <w:tcBorders>
              <w:bottom w:val="single" w:color="000000" w:sz="10" w:space="0"/>
            </w:tcBorders>
          </w:tcPr>
          <w:p>
            <w:pPr>
              <w:pStyle w:val="TableText"/>
              <w:ind w:left="285"/>
              <w:spacing w:before="258" w:line="187" w:lineRule="auto"/>
              <w:rPr/>
            </w:pPr>
            <w:r>
              <w:rPr>
                <w:rFonts w:ascii="Times New Roman" w:hAnsi="Times New Roman" w:eastAsia="Times New Roman" w:cs="Times New Roman"/>
              </w:rPr>
              <w:t>TSP</w:t>
            </w:r>
            <w:r>
              <w:rPr>
                <w:spacing w:val="10"/>
              </w:rPr>
              <w:t>、</w:t>
            </w:r>
          </w:p>
          <w:p>
            <w:pPr>
              <w:pStyle w:val="TableText"/>
              <w:ind w:left="104"/>
              <w:spacing w:before="74" w:line="230" w:lineRule="auto"/>
              <w:rPr/>
            </w:pPr>
            <w:r>
              <w:rPr>
                <w:rFonts w:ascii="Times New Roman" w:hAnsi="Times New Roman" w:eastAsia="Times New Roman" w:cs="Times New Roman"/>
                <w:spacing w:val="6"/>
              </w:rPr>
              <w:t>NO</w:t>
            </w:r>
            <w:r>
              <w:rPr>
                <w:rFonts w:ascii="Times New Roman" w:hAnsi="Times New Roman" w:eastAsia="Times New Roman" w:cs="Times New Roman"/>
                <w:sz w:val="13"/>
                <w:szCs w:val="13"/>
                <w:spacing w:val="6"/>
                <w:position w:val="-1"/>
              </w:rPr>
              <w:t>x</w:t>
            </w:r>
            <w:r>
              <w:rPr>
                <w:spacing w:val="-19"/>
                <w:position w:val="-1"/>
              </w:rPr>
              <w:t>、</w:t>
            </w:r>
            <w:r>
              <w:rPr>
                <w:spacing w:val="-19"/>
              </w:rPr>
              <w:t>氟化</w:t>
            </w:r>
          </w:p>
          <w:p>
            <w:pPr>
              <w:pStyle w:val="TableText"/>
              <w:ind w:left="474"/>
              <w:spacing w:before="52" w:line="229" w:lineRule="auto"/>
              <w:rPr/>
            </w:pPr>
            <w:r>
              <w:rPr/>
              <w:t>物</w:t>
            </w:r>
          </w:p>
        </w:tc>
        <w:tc>
          <w:tcPr>
            <w:tcW w:w="1839" w:type="dxa"/>
            <w:vAlign w:val="top"/>
            <w:vMerge w:val="continue"/>
            <w:tcBorders>
              <w:bottom w:val="single" w:color="000000" w:sz="10" w:space="0"/>
              <w:right w:val="nil"/>
              <w:top w:val="nil"/>
            </w:tcBorders>
          </w:tcPr>
          <w:p>
            <w:pPr>
              <w:rPr>
                <w:rFonts w:ascii="Arial"/>
                <w:sz w:val="21"/>
              </w:rPr>
            </w:pPr>
            <w:r/>
          </w:p>
        </w:tc>
      </w:tr>
    </w:tbl>
    <w:p>
      <w:pPr>
        <w:pStyle w:val="BodyText"/>
        <w:spacing w:line="251" w:lineRule="auto"/>
        <w:rPr/>
      </w:pPr>
      <w:r/>
    </w:p>
    <w:p>
      <w:pPr>
        <w:pStyle w:val="BodyText"/>
        <w:spacing w:line="251" w:lineRule="auto"/>
        <w:rPr/>
      </w:pPr>
      <w:r/>
    </w:p>
    <w:p>
      <w:pPr>
        <w:ind w:left="608"/>
        <w:spacing w:before="78"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）监测时间与频次</w:t>
      </w:r>
    </w:p>
    <w:p>
      <w:pPr>
        <w:ind w:left="610"/>
        <w:spacing w:before="179" w:line="219" w:lineRule="auto"/>
        <w:rPr>
          <w:rFonts w:ascii="FangSong" w:hAnsi="FangSong" w:eastAsia="FangSong" w:cs="FangSong"/>
          <w:sz w:val="24"/>
          <w:szCs w:val="24"/>
        </w:rPr>
      </w:pPr>
      <w:r>
        <w:rPr>
          <w:rFonts w:ascii="FangSong" w:hAnsi="FangSong" w:eastAsia="FangSong" w:cs="FangSong"/>
          <w:sz w:val="24"/>
          <w:szCs w:val="24"/>
          <w:spacing w:val="-6"/>
        </w:rPr>
        <w:t>监测时间：检测采样时间为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6"/>
        </w:rPr>
        <w:t>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6"/>
        </w:rPr>
        <w:t>8</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6"/>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14  </w:t>
      </w:r>
      <w:r>
        <w:rPr>
          <w:rFonts w:ascii="FangSong" w:hAnsi="FangSong" w:eastAsia="FangSong" w:cs="FangSong"/>
          <w:sz w:val="24"/>
          <w:szCs w:val="24"/>
          <w:spacing w:val="-6"/>
        </w:rPr>
        <w:t>日至</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6"/>
        </w:rPr>
        <w:t>20  </w:t>
      </w:r>
      <w:r>
        <w:rPr>
          <w:rFonts w:ascii="FangSong" w:hAnsi="FangSong" w:eastAsia="FangSong" w:cs="FangSong"/>
          <w:sz w:val="24"/>
          <w:szCs w:val="24"/>
          <w:spacing w:val="-6"/>
        </w:rPr>
        <w:t>日</w:t>
      </w:r>
    </w:p>
    <w:p>
      <w:pPr>
        <w:spacing w:before="183" w:line="222" w:lineRule="auto"/>
        <w:jc w:val="right"/>
        <w:rPr>
          <w:rFonts w:ascii="FangSong" w:hAnsi="FangSong" w:eastAsia="FangSong" w:cs="FangSong"/>
          <w:sz w:val="24"/>
          <w:szCs w:val="24"/>
        </w:rPr>
      </w:pPr>
      <w:r>
        <w:rPr>
          <w:rFonts w:ascii="FangSong" w:hAnsi="FangSong" w:eastAsia="FangSong" w:cs="FangSong"/>
          <w:sz w:val="24"/>
          <w:szCs w:val="24"/>
          <w:spacing w:val="-4"/>
        </w:rPr>
        <w:t>监测频次：具体见表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5.5-2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4"/>
        </w:rPr>
        <w:t>，同时观测</w:t>
      </w:r>
      <w:r>
        <w:rPr>
          <w:rFonts w:ascii="FangSong" w:hAnsi="FangSong" w:eastAsia="FangSong" w:cs="FangSong"/>
          <w:sz w:val="24"/>
          <w:szCs w:val="24"/>
          <w:spacing w:val="-5"/>
        </w:rPr>
        <w:t>风向、风速、气压、气温等气象条件。</w:t>
      </w:r>
    </w:p>
    <w:p>
      <w:pPr>
        <w:ind w:left="2132"/>
        <w:spacing w:before="179"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5.5-2  </w:t>
      </w:r>
      <w:r>
        <w:rPr>
          <w:rFonts w:ascii="FangSong" w:hAnsi="FangSong" w:eastAsia="FangSong" w:cs="FangSong"/>
          <w:sz w:val="24"/>
          <w:szCs w:val="24"/>
          <w:b/>
          <w:bCs/>
          <w:spacing w:val="-3"/>
        </w:rPr>
        <w:t>环境空气监测时间和频次一览表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0"/>
        <w:gridCol w:w="2130"/>
        <w:gridCol w:w="2131"/>
        <w:gridCol w:w="2131"/>
      </w:tblGrid>
      <w:tr>
        <w:trPr>
          <w:trHeight w:val="317" w:hRule="atLeast"/>
        </w:trPr>
        <w:tc>
          <w:tcPr>
            <w:tcW w:w="2130" w:type="dxa"/>
            <w:vAlign w:val="top"/>
            <w:tcBorders>
              <w:top w:val="single" w:color="000000" w:sz="10" w:space="0"/>
              <w:left w:val="nil"/>
            </w:tcBorders>
          </w:tcPr>
          <w:p>
            <w:pPr>
              <w:pStyle w:val="TableText"/>
              <w:ind w:left="868"/>
              <w:spacing w:before="55" w:line="231" w:lineRule="auto"/>
              <w:rPr/>
            </w:pPr>
            <w:r>
              <w:rPr>
                <w:spacing w:val="2"/>
              </w:rPr>
              <w:t>序号</w:t>
            </w:r>
          </w:p>
        </w:tc>
        <w:tc>
          <w:tcPr>
            <w:tcW w:w="2130" w:type="dxa"/>
            <w:vAlign w:val="top"/>
            <w:tcBorders>
              <w:top w:val="single" w:color="000000" w:sz="10" w:space="0"/>
            </w:tcBorders>
          </w:tcPr>
          <w:p>
            <w:pPr>
              <w:pStyle w:val="TableText"/>
              <w:ind w:left="765"/>
              <w:spacing w:before="56" w:line="229" w:lineRule="auto"/>
              <w:rPr/>
            </w:pPr>
            <w:r>
              <w:rPr>
                <w:spacing w:val="3"/>
              </w:rPr>
              <w:t>污染物</w:t>
            </w:r>
          </w:p>
        </w:tc>
        <w:tc>
          <w:tcPr>
            <w:tcW w:w="2131" w:type="dxa"/>
            <w:vAlign w:val="top"/>
            <w:tcBorders>
              <w:top w:val="single" w:color="000000" w:sz="10" w:space="0"/>
            </w:tcBorders>
          </w:tcPr>
          <w:p>
            <w:pPr>
              <w:pStyle w:val="TableText"/>
              <w:ind w:left="656"/>
              <w:spacing w:before="55" w:line="232" w:lineRule="auto"/>
              <w:rPr/>
            </w:pPr>
            <w:r>
              <w:rPr>
                <w:spacing w:val="5"/>
              </w:rPr>
              <w:t>平均时间</w:t>
            </w:r>
          </w:p>
        </w:tc>
        <w:tc>
          <w:tcPr>
            <w:tcW w:w="2131" w:type="dxa"/>
            <w:vAlign w:val="top"/>
            <w:tcBorders>
              <w:top w:val="single" w:color="000000" w:sz="10" w:space="0"/>
              <w:right w:val="nil"/>
            </w:tcBorders>
          </w:tcPr>
          <w:p>
            <w:pPr>
              <w:pStyle w:val="TableText"/>
              <w:ind w:left="662"/>
              <w:spacing w:before="55" w:line="232" w:lineRule="auto"/>
              <w:rPr/>
            </w:pPr>
            <w:r>
              <w:rPr>
                <w:spacing w:val="4"/>
              </w:rPr>
              <w:t>监测频次</w:t>
            </w:r>
          </w:p>
        </w:tc>
      </w:tr>
      <w:tr>
        <w:trPr>
          <w:trHeight w:val="313" w:hRule="atLeast"/>
        </w:trPr>
        <w:tc>
          <w:tcPr>
            <w:tcW w:w="2130" w:type="dxa"/>
            <w:vAlign w:val="top"/>
            <w:tcBorders>
              <w:left w:val="nil"/>
            </w:tcBorders>
          </w:tcPr>
          <w:p>
            <w:pPr>
              <w:ind w:left="103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30" w:type="dxa"/>
            <w:vAlign w:val="top"/>
          </w:tcPr>
          <w:p>
            <w:pPr>
              <w:ind w:left="88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tc>
        <w:tc>
          <w:tcPr>
            <w:tcW w:w="2131" w:type="dxa"/>
            <w:vAlign w:val="top"/>
          </w:tcPr>
          <w:p>
            <w:pPr>
              <w:pStyle w:val="TableText"/>
              <w:ind w:left="515"/>
              <w:spacing w:before="54" w:line="229" w:lineRule="auto"/>
              <w:rPr/>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131" w:type="dxa"/>
            <w:vAlign w:val="top"/>
            <w:vMerge w:val="restart"/>
            <w:tcBorders>
              <w:bottom w:val="nil"/>
              <w:right w:val="nil"/>
            </w:tcBorders>
          </w:tcPr>
          <w:p>
            <w:pPr>
              <w:spacing w:line="316" w:lineRule="auto"/>
              <w:rPr>
                <w:rFonts w:ascii="Arial"/>
                <w:sz w:val="21"/>
              </w:rPr>
            </w:pPr>
            <w:r/>
          </w:p>
          <w:p>
            <w:pPr>
              <w:spacing w:line="316" w:lineRule="auto"/>
              <w:rPr>
                <w:rFonts w:ascii="Arial"/>
                <w:sz w:val="21"/>
              </w:rPr>
            </w:pPr>
            <w:r/>
          </w:p>
          <w:p>
            <w:pPr>
              <w:pStyle w:val="TableText"/>
              <w:ind w:left="657"/>
              <w:spacing w:before="65" w:line="232" w:lineRule="auto"/>
              <w:rPr/>
            </w:pPr>
            <w:r>
              <w:rPr>
                <w:spacing w:val="-1"/>
              </w:rPr>
              <w:t>连续</w:t>
            </w:r>
            <w:r>
              <w:rPr>
                <w:spacing w:val="-37"/>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18"/>
                <w:w w:val="101"/>
              </w:rPr>
              <w:t xml:space="preserve"> </w:t>
            </w:r>
            <w:r>
              <w:rPr>
                <w:spacing w:val="-1"/>
              </w:rPr>
              <w:t>天</w:t>
            </w:r>
          </w:p>
        </w:tc>
      </w:tr>
      <w:tr>
        <w:trPr>
          <w:trHeight w:val="313" w:hRule="atLeast"/>
        </w:trPr>
        <w:tc>
          <w:tcPr>
            <w:tcW w:w="2130" w:type="dxa"/>
            <w:vAlign w:val="top"/>
            <w:vMerge w:val="restart"/>
            <w:tcBorders>
              <w:left w:val="nil"/>
              <w:bottom w:val="nil"/>
            </w:tcBorders>
          </w:tcPr>
          <w:p>
            <w:pPr>
              <w:ind w:left="1017"/>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30" w:type="dxa"/>
            <w:vAlign w:val="top"/>
          </w:tcPr>
          <w:p>
            <w:pPr>
              <w:ind w:left="874"/>
              <w:spacing w:before="9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2131" w:type="dxa"/>
            <w:vAlign w:val="top"/>
          </w:tcPr>
          <w:p>
            <w:pPr>
              <w:pStyle w:val="TableText"/>
              <w:ind w:left="588"/>
              <w:spacing w:before="61" w:line="223" w:lineRule="auto"/>
              <w:rPr/>
            </w:pPr>
            <w:r>
              <w:rPr>
                <w:rFonts w:ascii="Times New Roman" w:hAnsi="Times New Roman" w:eastAsia="Times New Roman" w:cs="Times New Roman"/>
              </w:rPr>
              <w:t>1</w:t>
            </w:r>
            <w:r>
              <w:rPr>
                <w:rFonts w:ascii="Times New Roman" w:hAnsi="Times New Roman" w:eastAsia="Times New Roman" w:cs="Times New Roman"/>
                <w:spacing w:val="18"/>
              </w:rPr>
              <w:t xml:space="preserve"> </w:t>
            </w:r>
            <w:r>
              <w:rPr/>
              <w:t>小时平均</w:t>
            </w:r>
          </w:p>
        </w:tc>
        <w:tc>
          <w:tcPr>
            <w:tcW w:w="2131" w:type="dxa"/>
            <w:vAlign w:val="top"/>
            <w:vMerge w:val="continue"/>
            <w:tcBorders>
              <w:bottom w:val="nil"/>
              <w:right w:val="nil"/>
              <w:top w:val="nil"/>
            </w:tcBorders>
          </w:tcPr>
          <w:p>
            <w:pPr>
              <w:rPr>
                <w:rFonts w:ascii="Arial"/>
                <w:sz w:val="21"/>
              </w:rPr>
            </w:pPr>
            <w:r/>
          </w:p>
        </w:tc>
      </w:tr>
      <w:tr>
        <w:trPr>
          <w:trHeight w:val="313" w:hRule="atLeast"/>
        </w:trPr>
        <w:tc>
          <w:tcPr>
            <w:tcW w:w="2130" w:type="dxa"/>
            <w:vAlign w:val="top"/>
            <w:vMerge w:val="continue"/>
            <w:tcBorders>
              <w:left w:val="nil"/>
              <w:top w:val="nil"/>
            </w:tcBorders>
          </w:tcPr>
          <w:p>
            <w:pPr>
              <w:rPr>
                <w:rFonts w:ascii="Arial"/>
                <w:sz w:val="21"/>
              </w:rPr>
            </w:pPr>
            <w:r/>
          </w:p>
        </w:tc>
        <w:tc>
          <w:tcPr>
            <w:tcW w:w="2130" w:type="dxa"/>
            <w:vAlign w:val="top"/>
          </w:tcPr>
          <w:p>
            <w:pPr>
              <w:ind w:left="874"/>
              <w:spacing w:before="10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2131" w:type="dxa"/>
            <w:vAlign w:val="top"/>
          </w:tcPr>
          <w:p>
            <w:pPr>
              <w:pStyle w:val="TableText"/>
              <w:ind w:left="515"/>
              <w:spacing w:before="64" w:line="220" w:lineRule="auto"/>
              <w:rPr/>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131" w:type="dxa"/>
            <w:vAlign w:val="top"/>
            <w:vMerge w:val="continue"/>
            <w:tcBorders>
              <w:bottom w:val="nil"/>
              <w:right w:val="nil"/>
              <w:top w:val="nil"/>
            </w:tcBorders>
          </w:tcPr>
          <w:p>
            <w:pPr>
              <w:rPr>
                <w:rFonts w:ascii="Arial"/>
                <w:sz w:val="21"/>
              </w:rPr>
            </w:pPr>
            <w:r/>
          </w:p>
        </w:tc>
      </w:tr>
      <w:tr>
        <w:trPr>
          <w:trHeight w:val="313" w:hRule="atLeast"/>
        </w:trPr>
        <w:tc>
          <w:tcPr>
            <w:tcW w:w="2130" w:type="dxa"/>
            <w:vAlign w:val="top"/>
            <w:vMerge w:val="restart"/>
            <w:tcBorders>
              <w:bottom w:val="nil"/>
              <w:left w:val="nil"/>
            </w:tcBorders>
          </w:tcPr>
          <w:p>
            <w:pPr>
              <w:ind w:left="1021"/>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30" w:type="dxa"/>
            <w:vAlign w:val="top"/>
          </w:tcPr>
          <w:p>
            <w:pPr>
              <w:pStyle w:val="TableText"/>
              <w:ind w:left="767"/>
              <w:spacing w:before="68" w:line="216" w:lineRule="auto"/>
              <w:rPr/>
            </w:pPr>
            <w:r>
              <w:rPr>
                <w:spacing w:val="3"/>
              </w:rPr>
              <w:t>氟化物</w:t>
            </w:r>
          </w:p>
        </w:tc>
        <w:tc>
          <w:tcPr>
            <w:tcW w:w="2131" w:type="dxa"/>
            <w:vAlign w:val="top"/>
          </w:tcPr>
          <w:p>
            <w:pPr>
              <w:pStyle w:val="TableText"/>
              <w:ind w:left="588"/>
              <w:spacing w:before="68" w:line="216" w:lineRule="auto"/>
              <w:rPr/>
            </w:pPr>
            <w:r>
              <w:rPr>
                <w:rFonts w:ascii="Times New Roman" w:hAnsi="Times New Roman" w:eastAsia="Times New Roman" w:cs="Times New Roman"/>
              </w:rPr>
              <w:t>1</w:t>
            </w:r>
            <w:r>
              <w:rPr>
                <w:rFonts w:ascii="Times New Roman" w:hAnsi="Times New Roman" w:eastAsia="Times New Roman" w:cs="Times New Roman"/>
                <w:spacing w:val="18"/>
              </w:rPr>
              <w:t xml:space="preserve"> </w:t>
            </w:r>
            <w:r>
              <w:rPr/>
              <w:t>小时平均</w:t>
            </w:r>
          </w:p>
        </w:tc>
        <w:tc>
          <w:tcPr>
            <w:tcW w:w="2131" w:type="dxa"/>
            <w:vAlign w:val="top"/>
            <w:vMerge w:val="continue"/>
            <w:tcBorders>
              <w:bottom w:val="nil"/>
              <w:right w:val="nil"/>
              <w:top w:val="nil"/>
            </w:tcBorders>
          </w:tcPr>
          <w:p>
            <w:pPr>
              <w:rPr>
                <w:rFonts w:ascii="Arial"/>
                <w:sz w:val="21"/>
              </w:rPr>
            </w:pPr>
            <w:r/>
          </w:p>
        </w:tc>
      </w:tr>
      <w:tr>
        <w:trPr>
          <w:trHeight w:val="336" w:hRule="atLeast"/>
        </w:trPr>
        <w:tc>
          <w:tcPr>
            <w:tcW w:w="2130" w:type="dxa"/>
            <w:vAlign w:val="top"/>
            <w:vMerge w:val="continue"/>
            <w:tcBorders>
              <w:bottom w:val="single" w:color="000000" w:sz="10" w:space="0"/>
              <w:left w:val="nil"/>
              <w:top w:val="nil"/>
            </w:tcBorders>
          </w:tcPr>
          <w:p>
            <w:pPr>
              <w:rPr>
                <w:rFonts w:ascii="Arial"/>
                <w:sz w:val="21"/>
              </w:rPr>
            </w:pPr>
            <w:r/>
          </w:p>
        </w:tc>
        <w:tc>
          <w:tcPr>
            <w:tcW w:w="2130" w:type="dxa"/>
            <w:vAlign w:val="top"/>
            <w:tcBorders>
              <w:bottom w:val="single" w:color="000000" w:sz="10" w:space="0"/>
            </w:tcBorders>
          </w:tcPr>
          <w:p>
            <w:pPr>
              <w:pStyle w:val="TableText"/>
              <w:ind w:left="767"/>
              <w:spacing w:before="72" w:line="229" w:lineRule="auto"/>
              <w:rPr/>
            </w:pPr>
            <w:r>
              <w:rPr>
                <w:spacing w:val="3"/>
              </w:rPr>
              <w:t>氟化物</w:t>
            </w:r>
          </w:p>
        </w:tc>
        <w:tc>
          <w:tcPr>
            <w:tcW w:w="2131" w:type="dxa"/>
            <w:vAlign w:val="top"/>
            <w:tcBorders>
              <w:bottom w:val="single" w:color="000000" w:sz="10" w:space="0"/>
            </w:tcBorders>
          </w:tcPr>
          <w:p>
            <w:pPr>
              <w:pStyle w:val="TableText"/>
              <w:ind w:left="515"/>
              <w:spacing w:before="71" w:line="232" w:lineRule="auto"/>
              <w:rPr/>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131" w:type="dxa"/>
            <w:vAlign w:val="top"/>
            <w:vMerge w:val="continue"/>
            <w:tcBorders>
              <w:bottom w:val="single" w:color="000000" w:sz="10" w:space="0"/>
              <w:right w:val="nil"/>
              <w:top w:val="nil"/>
            </w:tcBorders>
          </w:tcPr>
          <w:p>
            <w:pPr>
              <w:rPr>
                <w:rFonts w:ascii="Arial"/>
                <w:sz w:val="21"/>
              </w:rPr>
            </w:pPr>
            <w:r/>
          </w:p>
        </w:tc>
      </w:tr>
    </w:tbl>
    <w:p>
      <w:pPr>
        <w:pStyle w:val="BodyText"/>
        <w:spacing w:line="251" w:lineRule="auto"/>
        <w:rPr/>
      </w:pPr>
      <w:r/>
    </w:p>
    <w:p>
      <w:pPr>
        <w:pStyle w:val="BodyText"/>
        <w:spacing w:line="252" w:lineRule="auto"/>
        <w:rPr/>
      </w:pPr>
      <w:r/>
    </w:p>
    <w:p>
      <w:pPr>
        <w:ind w:left="608"/>
        <w:spacing w:before="78"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）采样和分析方法</w:t>
      </w:r>
    </w:p>
    <w:p>
      <w:pPr>
        <w:ind w:left="605"/>
        <w:spacing w:before="183" w:line="222" w:lineRule="auto"/>
        <w:rPr>
          <w:rFonts w:ascii="FangSong" w:hAnsi="FangSong" w:eastAsia="FangSong" w:cs="FangSong"/>
          <w:sz w:val="24"/>
          <w:szCs w:val="24"/>
        </w:rPr>
      </w:pPr>
      <w:r>
        <w:rPr>
          <w:rFonts w:ascii="FangSong" w:hAnsi="FangSong" w:eastAsia="FangSong" w:cs="FangSong"/>
          <w:sz w:val="24"/>
          <w:szCs w:val="24"/>
          <w:spacing w:val="-1"/>
        </w:rPr>
        <w:t>采用国家规定的标准分析方法，具体见附件监测报告。</w:t>
      </w:r>
    </w:p>
    <w:p>
      <w:pPr>
        <w:ind w:left="608"/>
        <w:spacing w:before="180"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）环境空气质量现状监测结果</w:t>
      </w:r>
    </w:p>
    <w:p>
      <w:pPr>
        <w:spacing w:line="222" w:lineRule="auto"/>
        <w:sectPr>
          <w:footerReference w:type="default" r:id="rId239"/>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604"/>
        <w:spacing w:before="78" w:line="221" w:lineRule="auto"/>
        <w:rPr>
          <w:rFonts w:ascii="FangSong" w:hAnsi="FangSong" w:eastAsia="FangSong" w:cs="FangSong"/>
          <w:sz w:val="24"/>
          <w:szCs w:val="24"/>
        </w:rPr>
      </w:pPr>
      <w:r>
        <w:rPr>
          <w:rFonts w:ascii="FangSong" w:hAnsi="FangSong" w:eastAsia="FangSong" w:cs="FangSong"/>
          <w:sz w:val="24"/>
          <w:szCs w:val="24"/>
          <w:spacing w:val="-2"/>
        </w:rPr>
        <w:t>本项目特征污染物环境质量现状监测结果统计表见表</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5.5-3</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和表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5.5-4</w:t>
      </w:r>
      <w:r>
        <w:rPr>
          <w:rFonts w:ascii="FangSong" w:hAnsi="FangSong" w:eastAsia="FangSong" w:cs="FangSong"/>
          <w:sz w:val="24"/>
          <w:szCs w:val="24"/>
          <w:spacing w:val="-2"/>
        </w:rPr>
        <w:t>。</w:t>
      </w:r>
    </w:p>
    <w:p>
      <w:pPr>
        <w:ind w:left="1673"/>
        <w:spacing w:before="180"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5.5-3  </w:t>
      </w:r>
      <w:r>
        <w:rPr>
          <w:rFonts w:ascii="FangSong" w:hAnsi="FangSong" w:eastAsia="FangSong" w:cs="FangSong"/>
          <w:sz w:val="24"/>
          <w:szCs w:val="24"/>
          <w:b/>
          <w:bCs/>
          <w:spacing w:val="-2"/>
        </w:rPr>
        <w:t>特征污染物监测结果一览表（</w:t>
      </w:r>
      <w:r>
        <w:rPr>
          <w:rFonts w:ascii="Times New Roman" w:hAnsi="Times New Roman" w:eastAsia="Times New Roman" w:cs="Times New Roman"/>
          <w:sz w:val="24"/>
          <w:szCs w:val="24"/>
          <w:b/>
          <w:bCs/>
          <w:spacing w:val="-2"/>
        </w:rPr>
        <w:t>24h </w:t>
      </w:r>
      <w:r>
        <w:rPr>
          <w:rFonts w:ascii="FangSong" w:hAnsi="FangSong" w:eastAsia="FangSong" w:cs="FangSong"/>
          <w:sz w:val="24"/>
          <w:szCs w:val="24"/>
          <w:b/>
          <w:bCs/>
          <w:spacing w:val="-2"/>
        </w:rPr>
        <w:t>均</w:t>
      </w:r>
      <w:r>
        <w:rPr>
          <w:rFonts w:ascii="FangSong" w:hAnsi="FangSong" w:eastAsia="FangSong" w:cs="FangSong"/>
          <w:sz w:val="24"/>
          <w:szCs w:val="24"/>
          <w:b/>
          <w:bCs/>
          <w:spacing w:val="-3"/>
        </w:rPr>
        <w:t>值）</w:t>
      </w:r>
    </w:p>
    <w:p>
      <w:pPr>
        <w:spacing w:line="66"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4"/>
        <w:gridCol w:w="1161"/>
        <w:gridCol w:w="1059"/>
        <w:gridCol w:w="1086"/>
        <w:gridCol w:w="1035"/>
        <w:gridCol w:w="1122"/>
        <w:gridCol w:w="1171"/>
        <w:gridCol w:w="1164"/>
      </w:tblGrid>
      <w:tr>
        <w:trPr>
          <w:trHeight w:val="320" w:hRule="atLeast"/>
        </w:trPr>
        <w:tc>
          <w:tcPr>
            <w:tcW w:w="1885" w:type="dxa"/>
            <w:vAlign w:val="top"/>
            <w:gridSpan w:val="2"/>
            <w:tcBorders>
              <w:left w:val="nil"/>
              <w:top w:val="single" w:color="000000" w:sz="10" w:space="0"/>
            </w:tcBorders>
          </w:tcPr>
          <w:p>
            <w:pPr>
              <w:pStyle w:val="TableText"/>
              <w:ind w:left="540"/>
              <w:spacing w:before="55" w:line="230" w:lineRule="auto"/>
              <w:rPr/>
            </w:pPr>
            <w:r>
              <w:rPr>
                <w:spacing w:val="4"/>
              </w:rPr>
              <w:t>监测点位</w:t>
            </w:r>
          </w:p>
        </w:tc>
        <w:tc>
          <w:tcPr>
            <w:tcW w:w="3180" w:type="dxa"/>
            <w:vAlign w:val="top"/>
            <w:gridSpan w:val="3"/>
            <w:tcBorders>
              <w:top w:val="single" w:color="000000" w:sz="10" w:space="0"/>
            </w:tcBorders>
          </w:tcPr>
          <w:p>
            <w:pPr>
              <w:ind w:left="145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A1</w:t>
            </w:r>
          </w:p>
        </w:tc>
        <w:tc>
          <w:tcPr>
            <w:tcW w:w="3457" w:type="dxa"/>
            <w:vAlign w:val="top"/>
            <w:gridSpan w:val="3"/>
            <w:tcBorders>
              <w:right w:val="nil"/>
              <w:top w:val="single" w:color="000000" w:sz="10" w:space="0"/>
            </w:tcBorders>
          </w:tcPr>
          <w:p>
            <w:pPr>
              <w:ind w:left="159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A2</w:t>
            </w:r>
          </w:p>
        </w:tc>
      </w:tr>
      <w:tr>
        <w:trPr>
          <w:trHeight w:val="315" w:hRule="atLeast"/>
        </w:trPr>
        <w:tc>
          <w:tcPr>
            <w:tcW w:w="1885" w:type="dxa"/>
            <w:vAlign w:val="top"/>
            <w:gridSpan w:val="2"/>
            <w:tcBorders>
              <w:left w:val="nil"/>
            </w:tcBorders>
          </w:tcPr>
          <w:p>
            <w:pPr>
              <w:pStyle w:val="TableText"/>
              <w:ind w:left="546"/>
              <w:spacing w:before="52" w:line="229" w:lineRule="auto"/>
              <w:rPr/>
            </w:pPr>
            <w:r>
              <w:rPr>
                <w:spacing w:val="3"/>
              </w:rPr>
              <w:t>点位名称</w:t>
            </w:r>
          </w:p>
        </w:tc>
        <w:tc>
          <w:tcPr>
            <w:tcW w:w="3180" w:type="dxa"/>
            <w:vAlign w:val="top"/>
            <w:gridSpan w:val="3"/>
          </w:tcPr>
          <w:p>
            <w:pPr>
              <w:pStyle w:val="TableText"/>
              <w:ind w:left="447"/>
              <w:spacing w:before="52" w:line="228" w:lineRule="auto"/>
              <w:rPr/>
            </w:pPr>
            <w:r>
              <w:rPr>
                <w:spacing w:val="8"/>
              </w:rPr>
              <w:t>项目拟建工业广场所在地</w:t>
            </w:r>
          </w:p>
        </w:tc>
        <w:tc>
          <w:tcPr>
            <w:tcW w:w="3457" w:type="dxa"/>
            <w:vAlign w:val="top"/>
            <w:gridSpan w:val="3"/>
            <w:tcBorders>
              <w:right w:val="nil"/>
            </w:tcBorders>
          </w:tcPr>
          <w:p>
            <w:pPr>
              <w:pStyle w:val="TableText"/>
              <w:ind w:left="188"/>
              <w:spacing w:before="52" w:line="231" w:lineRule="auto"/>
              <w:rPr/>
            </w:pPr>
            <w:r>
              <w:rPr>
                <w:spacing w:val="6"/>
              </w:rPr>
              <w:t>项目拟建工业广场下风向</w:t>
            </w:r>
            <w:r>
              <w:rPr>
                <w:spacing w:val="-27"/>
              </w:rPr>
              <w:t xml:space="preserve"> </w:t>
            </w:r>
            <w:r>
              <w:rPr>
                <w:rFonts w:ascii="Times New Roman" w:hAnsi="Times New Roman" w:eastAsia="Times New Roman" w:cs="Times New Roman"/>
                <w:spacing w:val="6"/>
              </w:rPr>
              <w:t>500m</w:t>
            </w:r>
            <w:r>
              <w:rPr>
                <w:rFonts w:ascii="Times New Roman" w:hAnsi="Times New Roman" w:eastAsia="Times New Roman" w:cs="Times New Roman"/>
                <w:spacing w:val="18"/>
                <w:w w:val="101"/>
              </w:rPr>
              <w:t xml:space="preserve"> </w:t>
            </w:r>
            <w:r>
              <w:rPr>
                <w:spacing w:val="6"/>
              </w:rPr>
              <w:t>处</w:t>
            </w:r>
          </w:p>
        </w:tc>
      </w:tr>
      <w:tr>
        <w:trPr>
          <w:trHeight w:val="626" w:hRule="atLeast"/>
        </w:trPr>
        <w:tc>
          <w:tcPr>
            <w:tcW w:w="1885" w:type="dxa"/>
            <w:vAlign w:val="top"/>
            <w:gridSpan w:val="2"/>
            <w:tcBorders>
              <w:left w:val="nil"/>
            </w:tcBorders>
          </w:tcPr>
          <w:p>
            <w:pPr>
              <w:pStyle w:val="TableText"/>
              <w:ind w:left="540"/>
              <w:spacing w:before="211" w:line="232" w:lineRule="auto"/>
              <w:rPr/>
            </w:pPr>
            <w:r>
              <w:rPr>
                <w:spacing w:val="4"/>
              </w:rPr>
              <w:t>监测项目</w:t>
            </w:r>
          </w:p>
        </w:tc>
        <w:tc>
          <w:tcPr>
            <w:tcW w:w="1059" w:type="dxa"/>
            <w:vAlign w:val="top"/>
          </w:tcPr>
          <w:p>
            <w:pPr>
              <w:ind w:left="35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p>
            <w:pPr>
              <w:ind w:left="284"/>
              <w:spacing w:before="104"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μg/m</w:t>
            </w:r>
            <w:r>
              <w:rPr>
                <w:rFonts w:ascii="Times New Roman" w:hAnsi="Times New Roman" w:eastAsia="Times New Roman" w:cs="Times New Roman"/>
                <w:sz w:val="13"/>
                <w:szCs w:val="13"/>
                <w:spacing w:val="2"/>
                <w:position w:val="6"/>
              </w:rPr>
              <w:t>3</w:t>
            </w:r>
          </w:p>
        </w:tc>
        <w:tc>
          <w:tcPr>
            <w:tcW w:w="1086" w:type="dxa"/>
            <w:vAlign w:val="top"/>
          </w:tcPr>
          <w:p>
            <w:pPr>
              <w:ind w:left="350"/>
              <w:spacing w:before="9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x</w:t>
            </w:r>
          </w:p>
          <w:p>
            <w:pPr>
              <w:ind w:left="263"/>
              <w:spacing w:before="98"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035" w:type="dxa"/>
            <w:vAlign w:val="top"/>
          </w:tcPr>
          <w:p>
            <w:pPr>
              <w:pStyle w:val="TableText"/>
              <w:ind w:left="236" w:right="202" w:hanging="18"/>
              <w:spacing w:before="56" w:line="274" w:lineRule="auto"/>
              <w:rPr>
                <w:rFonts w:ascii="Times New Roman" w:hAnsi="Times New Roman" w:eastAsia="Times New Roman" w:cs="Times New Roman"/>
                <w:sz w:val="13"/>
                <w:szCs w:val="13"/>
              </w:rPr>
            </w:pPr>
            <w:r>
              <w:rPr>
                <w:spacing w:val="3"/>
              </w:rPr>
              <w:t>氟化物</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z w:val="13"/>
                <w:szCs w:val="13"/>
                <w:spacing w:val="8"/>
                <w:position w:val="6"/>
              </w:rPr>
              <w:t>3</w:t>
            </w:r>
          </w:p>
        </w:tc>
        <w:tc>
          <w:tcPr>
            <w:tcW w:w="1122" w:type="dxa"/>
            <w:vAlign w:val="top"/>
          </w:tcPr>
          <w:p>
            <w:pPr>
              <w:ind w:left="38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TSP</w:t>
            </w:r>
          </w:p>
          <w:p>
            <w:pPr>
              <w:ind w:left="315"/>
              <w:spacing w:before="104"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μg/m</w:t>
            </w:r>
            <w:r>
              <w:rPr>
                <w:rFonts w:ascii="Times New Roman" w:hAnsi="Times New Roman" w:eastAsia="Times New Roman" w:cs="Times New Roman"/>
                <w:sz w:val="13"/>
                <w:szCs w:val="13"/>
                <w:spacing w:val="2"/>
                <w:position w:val="6"/>
              </w:rPr>
              <w:t>3</w:t>
            </w:r>
          </w:p>
        </w:tc>
        <w:tc>
          <w:tcPr>
            <w:tcW w:w="1171" w:type="dxa"/>
            <w:vAlign w:val="top"/>
          </w:tcPr>
          <w:p>
            <w:pPr>
              <w:ind w:left="395"/>
              <w:spacing w:before="9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p>
            <w:pPr>
              <w:ind w:left="304"/>
              <w:spacing w:before="98"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/m</w:t>
            </w:r>
            <w:r>
              <w:rPr>
                <w:rFonts w:ascii="Times New Roman" w:hAnsi="Times New Roman" w:eastAsia="Times New Roman" w:cs="Times New Roman"/>
                <w:sz w:val="13"/>
                <w:szCs w:val="13"/>
                <w:spacing w:val="9"/>
                <w:position w:val="6"/>
              </w:rPr>
              <w:t>3</w:t>
            </w:r>
          </w:p>
        </w:tc>
        <w:tc>
          <w:tcPr>
            <w:tcW w:w="1164" w:type="dxa"/>
            <w:vAlign w:val="top"/>
            <w:tcBorders>
              <w:right w:val="nil"/>
            </w:tcBorders>
          </w:tcPr>
          <w:p>
            <w:pPr>
              <w:pStyle w:val="TableText"/>
              <w:ind w:left="301" w:right="268" w:hanging="18"/>
              <w:spacing w:before="56" w:line="274" w:lineRule="auto"/>
              <w:rPr>
                <w:rFonts w:ascii="Times New Roman" w:hAnsi="Times New Roman" w:eastAsia="Times New Roman" w:cs="Times New Roman"/>
                <w:sz w:val="13"/>
                <w:szCs w:val="13"/>
              </w:rPr>
            </w:pPr>
            <w:r>
              <w:rPr>
                <w:spacing w:val="3"/>
              </w:rPr>
              <w:t>氟化物</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z w:val="13"/>
                <w:szCs w:val="13"/>
                <w:spacing w:val="8"/>
                <w:position w:val="6"/>
              </w:rPr>
              <w:t>3</w:t>
            </w:r>
          </w:p>
        </w:tc>
      </w:tr>
      <w:tr>
        <w:trPr>
          <w:trHeight w:val="316" w:hRule="atLeast"/>
        </w:trPr>
        <w:tc>
          <w:tcPr>
            <w:tcW w:w="724" w:type="dxa"/>
            <w:vAlign w:val="top"/>
            <w:vMerge w:val="restart"/>
            <w:tcBorders>
              <w:left w:val="nil"/>
              <w:bottom w:val="nil"/>
            </w:tcBorders>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08" w:right="152" w:hanging="38"/>
              <w:spacing w:before="65" w:line="289" w:lineRule="auto"/>
              <w:rPr/>
            </w:pPr>
            <w:r>
              <w:rPr>
                <w:spacing w:val="-1"/>
              </w:rPr>
              <w:t>监测</w:t>
            </w:r>
            <w:r>
              <w:rPr>
                <w:spacing w:val="-21"/>
              </w:rPr>
              <w:t>日期</w:t>
            </w:r>
          </w:p>
        </w:tc>
        <w:tc>
          <w:tcPr>
            <w:tcW w:w="1161" w:type="dxa"/>
            <w:vAlign w:val="top"/>
          </w:tcPr>
          <w:p>
            <w:pPr>
              <w:ind w:left="11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2025.08.14</w:t>
            </w:r>
          </w:p>
        </w:tc>
        <w:tc>
          <w:tcPr>
            <w:tcW w:w="1059" w:type="dxa"/>
            <w:vAlign w:val="top"/>
          </w:tcPr>
          <w:p>
            <w:pPr>
              <w:ind w:left="372"/>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w:t>
            </w:r>
          </w:p>
        </w:tc>
        <w:tc>
          <w:tcPr>
            <w:tcW w:w="1086" w:type="dxa"/>
            <w:vAlign w:val="top"/>
          </w:tcPr>
          <w:p>
            <w:pPr>
              <w:ind w:left="31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w:t>
            </w:r>
          </w:p>
        </w:tc>
        <w:tc>
          <w:tcPr>
            <w:tcW w:w="1035" w:type="dxa"/>
            <w:vAlign w:val="top"/>
          </w:tcPr>
          <w:p>
            <w:pPr>
              <w:ind w:left="167"/>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w:t>
            </w:r>
          </w:p>
        </w:tc>
        <w:tc>
          <w:tcPr>
            <w:tcW w:w="1171" w:type="dxa"/>
            <w:vAlign w:val="top"/>
          </w:tcPr>
          <w:p>
            <w:pPr>
              <w:ind w:left="353"/>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w:t>
            </w:r>
          </w:p>
        </w:tc>
        <w:tc>
          <w:tcPr>
            <w:tcW w:w="1164" w:type="dxa"/>
            <w:vAlign w:val="top"/>
            <w:tcBorders>
              <w:right w:val="nil"/>
            </w:tcBorders>
          </w:tcPr>
          <w:p>
            <w:pPr>
              <w:ind w:left="233"/>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724" w:type="dxa"/>
            <w:vAlign w:val="top"/>
            <w:vMerge w:val="continue"/>
            <w:tcBorders>
              <w:left w:val="nil"/>
              <w:top w:val="nil"/>
              <w:bottom w:val="nil"/>
            </w:tcBorders>
          </w:tcPr>
          <w:p>
            <w:pPr>
              <w:rPr>
                <w:rFonts w:ascii="Arial"/>
                <w:sz w:val="21"/>
              </w:rPr>
            </w:pPr>
            <w:r/>
          </w:p>
        </w:tc>
        <w:tc>
          <w:tcPr>
            <w:tcW w:w="1161" w:type="dxa"/>
            <w:vAlign w:val="top"/>
          </w:tcPr>
          <w:p>
            <w:pPr>
              <w:ind w:left="110"/>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2025.08.15</w:t>
            </w:r>
          </w:p>
        </w:tc>
        <w:tc>
          <w:tcPr>
            <w:tcW w:w="1059" w:type="dxa"/>
            <w:vAlign w:val="top"/>
          </w:tcPr>
          <w:p>
            <w:pPr>
              <w:ind w:left="372"/>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221</w:t>
            </w:r>
          </w:p>
        </w:tc>
        <w:tc>
          <w:tcPr>
            <w:tcW w:w="1086" w:type="dxa"/>
            <w:vAlign w:val="top"/>
          </w:tcPr>
          <w:p>
            <w:pPr>
              <w:ind w:left="310"/>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035" w:type="dxa"/>
            <w:vAlign w:val="top"/>
          </w:tcPr>
          <w:p>
            <w:pPr>
              <w:ind w:left="167"/>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w:t>
            </w:r>
          </w:p>
        </w:tc>
        <w:tc>
          <w:tcPr>
            <w:tcW w:w="1171" w:type="dxa"/>
            <w:vAlign w:val="top"/>
          </w:tcPr>
          <w:p>
            <w:pPr>
              <w:ind w:left="353"/>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164" w:type="dxa"/>
            <w:vAlign w:val="top"/>
            <w:tcBorders>
              <w:right w:val="nil"/>
            </w:tcBorders>
          </w:tcPr>
          <w:p>
            <w:pPr>
              <w:ind w:left="233"/>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724" w:type="dxa"/>
            <w:vAlign w:val="top"/>
            <w:vMerge w:val="continue"/>
            <w:tcBorders>
              <w:left w:val="nil"/>
              <w:top w:val="nil"/>
              <w:bottom w:val="nil"/>
            </w:tcBorders>
          </w:tcPr>
          <w:p>
            <w:pPr>
              <w:rPr>
                <w:rFonts w:ascii="Arial"/>
                <w:sz w:val="21"/>
              </w:rPr>
            </w:pPr>
            <w:r/>
          </w:p>
        </w:tc>
        <w:tc>
          <w:tcPr>
            <w:tcW w:w="1161" w:type="dxa"/>
            <w:vAlign w:val="top"/>
          </w:tcPr>
          <w:p>
            <w:pPr>
              <w:ind w:left="110"/>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2025.08.16</w:t>
            </w:r>
          </w:p>
        </w:tc>
        <w:tc>
          <w:tcPr>
            <w:tcW w:w="1059" w:type="dxa"/>
            <w:vAlign w:val="top"/>
          </w:tcPr>
          <w:p>
            <w:pPr>
              <w:ind w:left="372"/>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229</w:t>
            </w:r>
          </w:p>
        </w:tc>
        <w:tc>
          <w:tcPr>
            <w:tcW w:w="1086" w:type="dxa"/>
            <w:vAlign w:val="top"/>
          </w:tcPr>
          <w:p>
            <w:pPr>
              <w:ind w:left="310"/>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w:t>
            </w:r>
          </w:p>
        </w:tc>
        <w:tc>
          <w:tcPr>
            <w:tcW w:w="1035" w:type="dxa"/>
            <w:vAlign w:val="top"/>
          </w:tcPr>
          <w:p>
            <w:pPr>
              <w:ind w:left="16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238</w:t>
            </w:r>
          </w:p>
        </w:tc>
        <w:tc>
          <w:tcPr>
            <w:tcW w:w="1171" w:type="dxa"/>
            <w:vAlign w:val="top"/>
          </w:tcPr>
          <w:p>
            <w:pPr>
              <w:ind w:left="35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164" w:type="dxa"/>
            <w:vAlign w:val="top"/>
            <w:tcBorders>
              <w:right w:val="nil"/>
            </w:tcBorders>
          </w:tcPr>
          <w:p>
            <w:pPr>
              <w:ind w:left="23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724" w:type="dxa"/>
            <w:vAlign w:val="top"/>
            <w:vMerge w:val="continue"/>
            <w:tcBorders>
              <w:left w:val="nil"/>
              <w:top w:val="nil"/>
              <w:bottom w:val="nil"/>
            </w:tcBorders>
          </w:tcPr>
          <w:p>
            <w:pPr>
              <w:rPr>
                <w:rFonts w:ascii="Arial"/>
                <w:sz w:val="21"/>
              </w:rPr>
            </w:pPr>
            <w:r/>
          </w:p>
        </w:tc>
        <w:tc>
          <w:tcPr>
            <w:tcW w:w="1161" w:type="dxa"/>
            <w:vAlign w:val="top"/>
          </w:tcPr>
          <w:p>
            <w:pPr>
              <w:ind w:left="110"/>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2025.08.17</w:t>
            </w:r>
          </w:p>
        </w:tc>
        <w:tc>
          <w:tcPr>
            <w:tcW w:w="1059" w:type="dxa"/>
            <w:vAlign w:val="top"/>
          </w:tcPr>
          <w:p>
            <w:pPr>
              <w:ind w:left="392"/>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197</w:t>
            </w:r>
          </w:p>
        </w:tc>
        <w:tc>
          <w:tcPr>
            <w:tcW w:w="1086" w:type="dxa"/>
            <w:vAlign w:val="top"/>
          </w:tcPr>
          <w:p>
            <w:pPr>
              <w:ind w:left="310"/>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w:t>
            </w:r>
          </w:p>
        </w:tc>
        <w:tc>
          <w:tcPr>
            <w:tcW w:w="1035" w:type="dxa"/>
            <w:vAlign w:val="top"/>
          </w:tcPr>
          <w:p>
            <w:pPr>
              <w:ind w:left="167"/>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213</w:t>
            </w:r>
          </w:p>
        </w:tc>
        <w:tc>
          <w:tcPr>
            <w:tcW w:w="1171" w:type="dxa"/>
            <w:vAlign w:val="top"/>
          </w:tcPr>
          <w:p>
            <w:pPr>
              <w:ind w:left="353"/>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164" w:type="dxa"/>
            <w:vAlign w:val="top"/>
            <w:tcBorders>
              <w:right w:val="nil"/>
            </w:tcBorders>
          </w:tcPr>
          <w:p>
            <w:pPr>
              <w:ind w:left="233"/>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6" w:hRule="atLeast"/>
        </w:trPr>
        <w:tc>
          <w:tcPr>
            <w:tcW w:w="724" w:type="dxa"/>
            <w:vAlign w:val="top"/>
            <w:vMerge w:val="continue"/>
            <w:tcBorders>
              <w:left w:val="nil"/>
              <w:top w:val="nil"/>
              <w:bottom w:val="nil"/>
            </w:tcBorders>
          </w:tcPr>
          <w:p>
            <w:pPr>
              <w:rPr>
                <w:rFonts w:ascii="Arial"/>
                <w:sz w:val="21"/>
              </w:rPr>
            </w:pPr>
            <w:r/>
          </w:p>
        </w:tc>
        <w:tc>
          <w:tcPr>
            <w:tcW w:w="1161" w:type="dxa"/>
            <w:vAlign w:val="top"/>
          </w:tcPr>
          <w:p>
            <w:pPr>
              <w:ind w:left="110"/>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2025.08.18</w:t>
            </w:r>
          </w:p>
        </w:tc>
        <w:tc>
          <w:tcPr>
            <w:tcW w:w="1059" w:type="dxa"/>
            <w:vAlign w:val="top"/>
          </w:tcPr>
          <w:p>
            <w:pPr>
              <w:ind w:left="372"/>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207</w:t>
            </w:r>
          </w:p>
        </w:tc>
        <w:tc>
          <w:tcPr>
            <w:tcW w:w="1086" w:type="dxa"/>
            <w:vAlign w:val="top"/>
          </w:tcPr>
          <w:p>
            <w:pPr>
              <w:ind w:left="310"/>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w:t>
            </w:r>
          </w:p>
        </w:tc>
        <w:tc>
          <w:tcPr>
            <w:tcW w:w="1035" w:type="dxa"/>
            <w:vAlign w:val="top"/>
          </w:tcPr>
          <w:p>
            <w:pPr>
              <w:ind w:left="167"/>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223</w:t>
            </w:r>
          </w:p>
        </w:tc>
        <w:tc>
          <w:tcPr>
            <w:tcW w:w="1171" w:type="dxa"/>
            <w:vAlign w:val="top"/>
          </w:tcPr>
          <w:p>
            <w:pPr>
              <w:ind w:left="35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w:t>
            </w:r>
          </w:p>
        </w:tc>
        <w:tc>
          <w:tcPr>
            <w:tcW w:w="1164" w:type="dxa"/>
            <w:vAlign w:val="top"/>
            <w:tcBorders>
              <w:right w:val="nil"/>
            </w:tcBorders>
          </w:tcPr>
          <w:p>
            <w:pPr>
              <w:ind w:left="23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6" w:hRule="atLeast"/>
        </w:trPr>
        <w:tc>
          <w:tcPr>
            <w:tcW w:w="724" w:type="dxa"/>
            <w:vAlign w:val="top"/>
            <w:vMerge w:val="continue"/>
            <w:tcBorders>
              <w:left w:val="nil"/>
              <w:top w:val="nil"/>
              <w:bottom w:val="nil"/>
            </w:tcBorders>
          </w:tcPr>
          <w:p>
            <w:pPr>
              <w:rPr>
                <w:rFonts w:ascii="Arial"/>
                <w:sz w:val="21"/>
              </w:rPr>
            </w:pPr>
            <w:r/>
          </w:p>
        </w:tc>
        <w:tc>
          <w:tcPr>
            <w:tcW w:w="1161" w:type="dxa"/>
            <w:vAlign w:val="top"/>
          </w:tcPr>
          <w:p>
            <w:pPr>
              <w:ind w:left="11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2025.08.19</w:t>
            </w:r>
          </w:p>
        </w:tc>
        <w:tc>
          <w:tcPr>
            <w:tcW w:w="1059" w:type="dxa"/>
            <w:vAlign w:val="top"/>
          </w:tcPr>
          <w:p>
            <w:pPr>
              <w:ind w:left="37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w:t>
            </w:r>
          </w:p>
        </w:tc>
        <w:tc>
          <w:tcPr>
            <w:tcW w:w="1086" w:type="dxa"/>
            <w:vAlign w:val="top"/>
          </w:tcPr>
          <w:p>
            <w:pPr>
              <w:ind w:left="31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w:t>
            </w:r>
          </w:p>
        </w:tc>
        <w:tc>
          <w:tcPr>
            <w:tcW w:w="1035" w:type="dxa"/>
            <w:vAlign w:val="top"/>
          </w:tcPr>
          <w:p>
            <w:pPr>
              <w:ind w:left="167"/>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228</w:t>
            </w:r>
          </w:p>
        </w:tc>
        <w:tc>
          <w:tcPr>
            <w:tcW w:w="1171" w:type="dxa"/>
            <w:vAlign w:val="top"/>
          </w:tcPr>
          <w:p>
            <w:pPr>
              <w:ind w:left="35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w:t>
            </w:r>
          </w:p>
        </w:tc>
        <w:tc>
          <w:tcPr>
            <w:tcW w:w="1164" w:type="dxa"/>
            <w:vAlign w:val="top"/>
            <w:tcBorders>
              <w:right w:val="nil"/>
            </w:tcBorders>
          </w:tcPr>
          <w:p>
            <w:pPr>
              <w:ind w:left="23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724" w:type="dxa"/>
            <w:vAlign w:val="top"/>
            <w:vMerge w:val="continue"/>
            <w:tcBorders>
              <w:left w:val="nil"/>
              <w:top w:val="nil"/>
            </w:tcBorders>
          </w:tcPr>
          <w:p>
            <w:pPr>
              <w:rPr>
                <w:rFonts w:ascii="Arial"/>
                <w:sz w:val="21"/>
              </w:rPr>
            </w:pPr>
            <w:r/>
          </w:p>
        </w:tc>
        <w:tc>
          <w:tcPr>
            <w:tcW w:w="1161" w:type="dxa"/>
            <w:vAlign w:val="top"/>
          </w:tcPr>
          <w:p>
            <w:pPr>
              <w:ind w:left="11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2025.08.20</w:t>
            </w:r>
          </w:p>
        </w:tc>
        <w:tc>
          <w:tcPr>
            <w:tcW w:w="1059" w:type="dxa"/>
            <w:vAlign w:val="top"/>
          </w:tcPr>
          <w:p>
            <w:pPr>
              <w:ind w:left="37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w:t>
            </w:r>
          </w:p>
        </w:tc>
        <w:tc>
          <w:tcPr>
            <w:tcW w:w="1086" w:type="dxa"/>
            <w:vAlign w:val="top"/>
          </w:tcPr>
          <w:p>
            <w:pPr>
              <w:ind w:left="31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w:t>
            </w:r>
          </w:p>
        </w:tc>
        <w:tc>
          <w:tcPr>
            <w:tcW w:w="1035" w:type="dxa"/>
            <w:vAlign w:val="top"/>
          </w:tcPr>
          <w:p>
            <w:pPr>
              <w:ind w:left="167"/>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122" w:type="dxa"/>
            <w:vAlign w:val="top"/>
          </w:tcPr>
          <w:p>
            <w:pPr>
              <w:ind w:left="40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243</w:t>
            </w:r>
          </w:p>
        </w:tc>
        <w:tc>
          <w:tcPr>
            <w:tcW w:w="1171" w:type="dxa"/>
            <w:vAlign w:val="top"/>
          </w:tcPr>
          <w:p>
            <w:pPr>
              <w:ind w:left="35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164" w:type="dxa"/>
            <w:vAlign w:val="top"/>
            <w:tcBorders>
              <w:right w:val="nil"/>
            </w:tcBorders>
          </w:tcPr>
          <w:p>
            <w:pPr>
              <w:ind w:left="23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1885" w:type="dxa"/>
            <w:vAlign w:val="top"/>
            <w:gridSpan w:val="2"/>
            <w:tcBorders>
              <w:left w:val="nil"/>
            </w:tcBorders>
          </w:tcPr>
          <w:p>
            <w:pPr>
              <w:pStyle w:val="TableText"/>
              <w:ind w:left="533"/>
              <w:spacing w:before="69" w:line="217" w:lineRule="auto"/>
              <w:rPr/>
            </w:pPr>
            <w:r>
              <w:rPr>
                <w:spacing w:val="6"/>
              </w:rPr>
              <w:t>标准限值</w:t>
            </w:r>
          </w:p>
        </w:tc>
        <w:tc>
          <w:tcPr>
            <w:tcW w:w="1059" w:type="dxa"/>
            <w:vAlign w:val="top"/>
          </w:tcPr>
          <w:p>
            <w:pPr>
              <w:ind w:left="37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086" w:type="dxa"/>
            <w:vAlign w:val="top"/>
          </w:tcPr>
          <w:p>
            <w:pPr>
              <w:ind w:left="41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035" w:type="dxa"/>
            <w:vAlign w:val="top"/>
          </w:tcPr>
          <w:p>
            <w:pPr>
              <w:ind w:left="28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0.007</w:t>
            </w:r>
          </w:p>
        </w:tc>
        <w:tc>
          <w:tcPr>
            <w:tcW w:w="1122" w:type="dxa"/>
            <w:vAlign w:val="top"/>
          </w:tcPr>
          <w:p>
            <w:pPr>
              <w:ind w:left="40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171" w:type="dxa"/>
            <w:vAlign w:val="top"/>
          </w:tcPr>
          <w:p>
            <w:pPr>
              <w:ind w:left="45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164" w:type="dxa"/>
            <w:vAlign w:val="top"/>
            <w:tcBorders>
              <w:right w:val="nil"/>
            </w:tcBorders>
          </w:tcPr>
          <w:p>
            <w:pPr>
              <w:ind w:left="35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0.007</w:t>
            </w:r>
          </w:p>
        </w:tc>
      </w:tr>
      <w:tr>
        <w:trPr>
          <w:trHeight w:val="316" w:hRule="atLeast"/>
        </w:trPr>
        <w:tc>
          <w:tcPr>
            <w:tcW w:w="1885" w:type="dxa"/>
            <w:vAlign w:val="top"/>
            <w:gridSpan w:val="2"/>
            <w:tcBorders>
              <w:left w:val="nil"/>
            </w:tcBorders>
          </w:tcPr>
          <w:p>
            <w:pPr>
              <w:pStyle w:val="TableText"/>
              <w:ind w:left="537"/>
              <w:spacing w:before="70" w:line="217" w:lineRule="auto"/>
              <w:rPr/>
            </w:pPr>
            <w:r>
              <w:rPr>
                <w:spacing w:val="5"/>
              </w:rPr>
              <w:t>达标情况</w:t>
            </w:r>
          </w:p>
        </w:tc>
        <w:tc>
          <w:tcPr>
            <w:tcW w:w="1059" w:type="dxa"/>
            <w:vAlign w:val="top"/>
          </w:tcPr>
          <w:p>
            <w:pPr>
              <w:pStyle w:val="TableText"/>
              <w:ind w:left="331"/>
              <w:spacing w:before="70" w:line="217" w:lineRule="auto"/>
              <w:rPr/>
            </w:pPr>
            <w:r>
              <w:rPr/>
              <w:t>达标</w:t>
            </w:r>
          </w:p>
        </w:tc>
        <w:tc>
          <w:tcPr>
            <w:tcW w:w="1086" w:type="dxa"/>
            <w:vAlign w:val="top"/>
          </w:tcPr>
          <w:p>
            <w:pPr>
              <w:pStyle w:val="TableText"/>
              <w:ind w:left="345"/>
              <w:spacing w:before="70" w:line="217" w:lineRule="auto"/>
              <w:rPr/>
            </w:pPr>
            <w:r>
              <w:rPr/>
              <w:t>达标</w:t>
            </w:r>
          </w:p>
        </w:tc>
        <w:tc>
          <w:tcPr>
            <w:tcW w:w="1035" w:type="dxa"/>
            <w:vAlign w:val="top"/>
          </w:tcPr>
          <w:p>
            <w:pPr>
              <w:pStyle w:val="TableText"/>
              <w:ind w:left="320"/>
              <w:spacing w:before="70" w:line="217" w:lineRule="auto"/>
              <w:rPr/>
            </w:pPr>
            <w:r>
              <w:rPr/>
              <w:t>达标</w:t>
            </w:r>
          </w:p>
        </w:tc>
        <w:tc>
          <w:tcPr>
            <w:tcW w:w="1122" w:type="dxa"/>
            <w:vAlign w:val="top"/>
          </w:tcPr>
          <w:p>
            <w:pPr>
              <w:pStyle w:val="TableText"/>
              <w:ind w:left="365"/>
              <w:spacing w:before="70" w:line="217" w:lineRule="auto"/>
              <w:rPr/>
            </w:pPr>
            <w:r>
              <w:rPr/>
              <w:t>达标</w:t>
            </w:r>
          </w:p>
        </w:tc>
        <w:tc>
          <w:tcPr>
            <w:tcW w:w="1171" w:type="dxa"/>
            <w:vAlign w:val="top"/>
          </w:tcPr>
          <w:p>
            <w:pPr>
              <w:pStyle w:val="TableText"/>
              <w:ind w:left="388"/>
              <w:spacing w:before="70" w:line="217" w:lineRule="auto"/>
              <w:rPr/>
            </w:pPr>
            <w:r>
              <w:rPr/>
              <w:t>达标</w:t>
            </w:r>
          </w:p>
        </w:tc>
        <w:tc>
          <w:tcPr>
            <w:tcW w:w="1164" w:type="dxa"/>
            <w:vAlign w:val="top"/>
            <w:tcBorders>
              <w:right w:val="nil"/>
            </w:tcBorders>
          </w:tcPr>
          <w:p>
            <w:pPr>
              <w:pStyle w:val="TableText"/>
              <w:ind w:left="386"/>
              <w:spacing w:before="70" w:line="217" w:lineRule="auto"/>
              <w:rPr/>
            </w:pPr>
            <w:r>
              <w:rPr/>
              <w:t>达标</w:t>
            </w:r>
          </w:p>
        </w:tc>
      </w:tr>
      <w:tr>
        <w:trPr>
          <w:trHeight w:val="960" w:hRule="atLeast"/>
        </w:trPr>
        <w:tc>
          <w:tcPr>
            <w:tcW w:w="1885" w:type="dxa"/>
            <w:vAlign w:val="top"/>
            <w:gridSpan w:val="2"/>
            <w:tcBorders>
              <w:left w:val="nil"/>
              <w:bottom w:val="single" w:color="000000" w:sz="10" w:space="0"/>
            </w:tcBorders>
          </w:tcPr>
          <w:p>
            <w:pPr>
              <w:spacing w:line="316" w:lineRule="auto"/>
              <w:rPr>
                <w:rFonts w:ascii="Arial"/>
                <w:sz w:val="21"/>
              </w:rPr>
            </w:pPr>
            <w:r/>
          </w:p>
          <w:p>
            <w:pPr>
              <w:pStyle w:val="TableText"/>
              <w:ind w:left="747"/>
              <w:spacing w:before="65" w:line="233" w:lineRule="auto"/>
              <w:rPr/>
            </w:pPr>
            <w:r>
              <w:rPr>
                <w:spacing w:val="1"/>
              </w:rPr>
              <w:t>备注</w:t>
            </w:r>
          </w:p>
        </w:tc>
        <w:tc>
          <w:tcPr>
            <w:tcW w:w="6637" w:type="dxa"/>
            <w:vAlign w:val="top"/>
            <w:gridSpan w:val="6"/>
            <w:tcBorders>
              <w:right w:val="nil"/>
              <w:bottom w:val="single" w:color="000000" w:sz="10" w:space="0"/>
            </w:tcBorders>
          </w:tcPr>
          <w:p>
            <w:pPr>
              <w:pStyle w:val="TableText"/>
              <w:ind w:right="15"/>
              <w:spacing w:before="72" w:line="229" w:lineRule="auto"/>
              <w:jc w:val="right"/>
              <w:rPr/>
            </w:pPr>
            <w:r>
              <w:rPr>
                <w:rFonts w:ascii="Times New Roman" w:hAnsi="Times New Roman" w:eastAsia="Times New Roman" w:cs="Times New Roman"/>
              </w:rPr>
              <w:t>TSP</w:t>
            </w:r>
            <w:r>
              <w:rPr>
                <w:spacing w:val="6"/>
              </w:rPr>
              <w:t>、</w:t>
            </w: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r>
              <w:rPr>
                <w:rFonts w:ascii="Times New Roman" w:hAnsi="Times New Roman" w:eastAsia="Times New Roman" w:cs="Times New Roman"/>
                <w:sz w:val="13"/>
                <w:szCs w:val="13"/>
                <w:spacing w:val="14"/>
                <w:w w:val="101"/>
                <w:position w:val="-1"/>
              </w:rPr>
              <w:t xml:space="preserve"> </w:t>
            </w:r>
            <w:r>
              <w:rPr>
                <w:spacing w:val="6"/>
              </w:rPr>
              <w:t>执行《环境空气质量标准》（</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6"/>
              </w:rPr>
              <w:t>）表</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4"/>
                <w:w w:val="101"/>
              </w:rPr>
              <w:t xml:space="preserve"> </w:t>
            </w:r>
            <w:r>
              <w:rPr>
                <w:spacing w:val="6"/>
              </w:rPr>
              <w:t>二级标准；</w:t>
            </w:r>
          </w:p>
          <w:p>
            <w:pPr>
              <w:pStyle w:val="TableText"/>
              <w:ind w:left="124"/>
              <w:spacing w:before="63" w:line="229" w:lineRule="auto"/>
              <w:rPr/>
            </w:pPr>
            <w:r>
              <w:rPr>
                <w:spacing w:val="4"/>
              </w:rPr>
              <w:t>氟化物执行《环境空气质量标准》（</w:t>
            </w:r>
            <w:r>
              <w:rPr>
                <w:rFonts w:ascii="Times New Roman" w:hAnsi="Times New Roman" w:eastAsia="Times New Roman" w:cs="Times New Roman"/>
              </w:rPr>
              <w:t>GB</w:t>
            </w:r>
            <w:r>
              <w:rPr>
                <w:rFonts w:ascii="Times New Roman" w:hAnsi="Times New Roman" w:eastAsia="Times New Roman" w:cs="Times New Roman"/>
                <w:spacing w:val="4"/>
              </w:rPr>
              <w:t>3095-2012</w:t>
            </w:r>
            <w:r>
              <w:rPr>
                <w:spacing w:val="4"/>
              </w:rPr>
              <w:t>）附录</w:t>
            </w:r>
            <w:r>
              <w:rPr>
                <w:spacing w:val="-42"/>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19"/>
              </w:rPr>
              <w:t xml:space="preserve"> </w:t>
            </w:r>
            <w:r>
              <w:rPr>
                <w:spacing w:val="4"/>
              </w:rPr>
              <w:t>表</w:t>
            </w:r>
            <w:r>
              <w:rPr>
                <w:spacing w:val="-43"/>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4"/>
                <w:w w:val="101"/>
              </w:rPr>
              <w:t xml:space="preserve"> </w:t>
            </w:r>
            <w:r>
              <w:rPr>
                <w:spacing w:val="4"/>
              </w:rPr>
              <w:t>二级</w:t>
            </w:r>
          </w:p>
          <w:p>
            <w:pPr>
              <w:pStyle w:val="TableText"/>
              <w:ind w:left="1742"/>
              <w:spacing w:before="63" w:line="229" w:lineRule="auto"/>
              <w:rPr/>
            </w:pPr>
            <w:r>
              <w:rPr>
                <w:spacing w:val="10"/>
              </w:rPr>
              <w:t>标准；检出限后加</w:t>
            </w:r>
            <w:r>
              <w:rPr>
                <w:rFonts w:ascii="Times New Roman" w:hAnsi="Times New Roman" w:eastAsia="Times New Roman" w:cs="Times New Roman"/>
                <w:spacing w:val="10"/>
              </w:rPr>
              <w:t>L</w:t>
            </w:r>
            <w:r>
              <w:rPr>
                <w:rFonts w:ascii="Times New Roman" w:hAnsi="Times New Roman" w:eastAsia="Times New Roman" w:cs="Times New Roman"/>
                <w:spacing w:val="25"/>
              </w:rPr>
              <w:t xml:space="preserve"> </w:t>
            </w:r>
            <w:r>
              <w:rPr>
                <w:spacing w:val="10"/>
              </w:rPr>
              <w:t>代表未检出。</w:t>
            </w:r>
          </w:p>
        </w:tc>
      </w:tr>
    </w:tbl>
    <w:p>
      <w:pPr>
        <w:pStyle w:val="BodyText"/>
        <w:spacing w:line="250" w:lineRule="auto"/>
        <w:rPr/>
      </w:pPr>
      <w:r/>
    </w:p>
    <w:p>
      <w:pPr>
        <w:pStyle w:val="BodyText"/>
        <w:spacing w:line="251" w:lineRule="auto"/>
        <w:rPr/>
      </w:pPr>
      <w:r/>
    </w:p>
    <w:p>
      <w:pPr>
        <w:ind w:left="1733"/>
        <w:spacing w:before="78" w:line="221"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5.5-4  </w:t>
      </w:r>
      <w:r>
        <w:rPr>
          <w:rFonts w:ascii="FangSong" w:hAnsi="FangSong" w:eastAsia="FangSong" w:cs="FangSong"/>
          <w:sz w:val="24"/>
          <w:szCs w:val="24"/>
          <w:b/>
          <w:bCs/>
          <w:spacing w:val="-2"/>
        </w:rPr>
        <w:t>特征污染物监测结果一览表（</w:t>
      </w:r>
      <w:r>
        <w:rPr>
          <w:rFonts w:ascii="Times New Roman" w:hAnsi="Times New Roman" w:eastAsia="Times New Roman" w:cs="Times New Roman"/>
          <w:sz w:val="24"/>
          <w:szCs w:val="24"/>
          <w:b/>
          <w:bCs/>
          <w:spacing w:val="-2"/>
        </w:rPr>
        <w:t>1h</w:t>
      </w:r>
      <w:r>
        <w:rPr>
          <w:rFonts w:ascii="Times New Roman" w:hAnsi="Times New Roman" w:eastAsia="Times New Roman" w:cs="Times New Roman"/>
          <w:sz w:val="24"/>
          <w:szCs w:val="24"/>
          <w:b/>
          <w:bCs/>
          <w:spacing w:val="-3"/>
        </w:rPr>
        <w:t xml:space="preserve"> </w:t>
      </w:r>
      <w:r>
        <w:rPr>
          <w:rFonts w:ascii="FangSong" w:hAnsi="FangSong" w:eastAsia="FangSong" w:cs="FangSong"/>
          <w:sz w:val="24"/>
          <w:szCs w:val="24"/>
          <w:b/>
          <w:bCs/>
          <w:spacing w:val="-3"/>
        </w:rPr>
        <w:t>均值）</w:t>
      </w:r>
    </w:p>
    <w:p>
      <w:pPr>
        <w:spacing w:line="67"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5"/>
        <w:gridCol w:w="1540"/>
        <w:gridCol w:w="1391"/>
        <w:gridCol w:w="1564"/>
        <w:gridCol w:w="1476"/>
        <w:gridCol w:w="1622"/>
      </w:tblGrid>
      <w:tr>
        <w:trPr>
          <w:trHeight w:val="320" w:hRule="atLeast"/>
        </w:trPr>
        <w:tc>
          <w:tcPr>
            <w:tcW w:w="2465" w:type="dxa"/>
            <w:vAlign w:val="top"/>
            <w:gridSpan w:val="2"/>
            <w:tcBorders>
              <w:left w:val="nil"/>
              <w:top w:val="single" w:color="000000" w:sz="10" w:space="0"/>
            </w:tcBorders>
          </w:tcPr>
          <w:p>
            <w:pPr>
              <w:pStyle w:val="TableText"/>
              <w:ind w:left="833"/>
              <w:spacing w:before="55" w:line="230" w:lineRule="auto"/>
              <w:rPr/>
            </w:pPr>
            <w:r>
              <w:rPr>
                <w:spacing w:val="4"/>
              </w:rPr>
              <w:t>监测点位</w:t>
            </w:r>
          </w:p>
        </w:tc>
        <w:tc>
          <w:tcPr>
            <w:tcW w:w="2955" w:type="dxa"/>
            <w:vAlign w:val="top"/>
            <w:gridSpan w:val="2"/>
            <w:tcBorders>
              <w:top w:val="single" w:color="000000" w:sz="10" w:space="0"/>
            </w:tcBorders>
          </w:tcPr>
          <w:p>
            <w:pPr>
              <w:ind w:left="135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A1</w:t>
            </w:r>
          </w:p>
        </w:tc>
        <w:tc>
          <w:tcPr>
            <w:tcW w:w="3098" w:type="dxa"/>
            <w:vAlign w:val="top"/>
            <w:gridSpan w:val="2"/>
            <w:tcBorders>
              <w:right w:val="nil"/>
              <w:top w:val="single" w:color="000000" w:sz="10" w:space="0"/>
            </w:tcBorders>
          </w:tcPr>
          <w:p>
            <w:pPr>
              <w:ind w:left="141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A2</w:t>
            </w:r>
          </w:p>
        </w:tc>
      </w:tr>
      <w:tr>
        <w:trPr>
          <w:trHeight w:val="626" w:hRule="atLeast"/>
        </w:trPr>
        <w:tc>
          <w:tcPr>
            <w:tcW w:w="2465" w:type="dxa"/>
            <w:vAlign w:val="top"/>
            <w:gridSpan w:val="2"/>
            <w:tcBorders>
              <w:left w:val="nil"/>
            </w:tcBorders>
          </w:tcPr>
          <w:p>
            <w:pPr>
              <w:pStyle w:val="TableText"/>
              <w:ind w:left="838"/>
              <w:spacing w:before="208" w:line="229" w:lineRule="auto"/>
              <w:rPr/>
            </w:pPr>
            <w:r>
              <w:rPr>
                <w:spacing w:val="3"/>
              </w:rPr>
              <w:t>点位名称</w:t>
            </w:r>
          </w:p>
        </w:tc>
        <w:tc>
          <w:tcPr>
            <w:tcW w:w="2955" w:type="dxa"/>
            <w:vAlign w:val="top"/>
            <w:gridSpan w:val="2"/>
          </w:tcPr>
          <w:p>
            <w:pPr>
              <w:pStyle w:val="TableText"/>
              <w:ind w:left="335"/>
              <w:spacing w:before="208" w:line="228" w:lineRule="auto"/>
              <w:rPr/>
            </w:pPr>
            <w:r>
              <w:rPr>
                <w:spacing w:val="8"/>
              </w:rPr>
              <w:t>项目拟建工业广场所在地</w:t>
            </w:r>
          </w:p>
        </w:tc>
        <w:tc>
          <w:tcPr>
            <w:tcW w:w="3098" w:type="dxa"/>
            <w:vAlign w:val="top"/>
            <w:gridSpan w:val="2"/>
            <w:tcBorders>
              <w:right w:val="nil"/>
            </w:tcBorders>
          </w:tcPr>
          <w:p>
            <w:pPr>
              <w:pStyle w:val="TableText"/>
              <w:ind w:left="121"/>
              <w:spacing w:before="52" w:line="231" w:lineRule="auto"/>
              <w:rPr>
                <w:rFonts w:ascii="Times New Roman" w:hAnsi="Times New Roman" w:eastAsia="Times New Roman" w:cs="Times New Roman"/>
              </w:rPr>
            </w:pPr>
            <w:r>
              <w:rPr>
                <w:spacing w:val="7"/>
              </w:rPr>
              <w:t>项目拟建工业广场下风向</w:t>
            </w:r>
            <w:r>
              <w:rPr>
                <w:spacing w:val="-38"/>
              </w:rPr>
              <w:t xml:space="preserve"> </w:t>
            </w:r>
            <w:r>
              <w:rPr>
                <w:rFonts w:ascii="Times New Roman" w:hAnsi="Times New Roman" w:eastAsia="Times New Roman" w:cs="Times New Roman"/>
                <w:spacing w:val="7"/>
              </w:rPr>
              <w:t>500m</w:t>
            </w:r>
          </w:p>
          <w:p>
            <w:pPr>
              <w:pStyle w:val="TableText"/>
              <w:ind w:left="1456"/>
              <w:spacing w:before="62" w:line="232" w:lineRule="auto"/>
              <w:rPr/>
            </w:pPr>
            <w:r>
              <w:rPr/>
              <w:t>处</w:t>
            </w:r>
          </w:p>
        </w:tc>
      </w:tr>
      <w:tr>
        <w:trPr>
          <w:trHeight w:val="626" w:hRule="atLeast"/>
        </w:trPr>
        <w:tc>
          <w:tcPr>
            <w:tcW w:w="2465" w:type="dxa"/>
            <w:vAlign w:val="top"/>
            <w:gridSpan w:val="2"/>
            <w:tcBorders>
              <w:left w:val="nil"/>
            </w:tcBorders>
          </w:tcPr>
          <w:p>
            <w:pPr>
              <w:pStyle w:val="TableText"/>
              <w:ind w:left="833"/>
              <w:spacing w:before="212" w:line="232" w:lineRule="auto"/>
              <w:rPr/>
            </w:pPr>
            <w:r>
              <w:rPr>
                <w:spacing w:val="4"/>
              </w:rPr>
              <w:t>监测项目</w:t>
            </w:r>
          </w:p>
        </w:tc>
        <w:tc>
          <w:tcPr>
            <w:tcW w:w="1391" w:type="dxa"/>
            <w:vAlign w:val="top"/>
          </w:tcPr>
          <w:p>
            <w:pPr>
              <w:ind w:left="505"/>
              <w:spacing w:before="93"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p>
            <w:pPr>
              <w:ind w:left="416"/>
              <w:spacing w:before="98"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564" w:type="dxa"/>
            <w:vAlign w:val="top"/>
          </w:tcPr>
          <w:p>
            <w:pPr>
              <w:pStyle w:val="TableText"/>
              <w:ind w:left="503" w:right="463" w:hanging="18"/>
              <w:spacing w:before="56" w:line="274" w:lineRule="auto"/>
              <w:rPr>
                <w:rFonts w:ascii="Times New Roman" w:hAnsi="Times New Roman" w:eastAsia="Times New Roman" w:cs="Times New Roman"/>
                <w:sz w:val="13"/>
                <w:szCs w:val="13"/>
              </w:rPr>
            </w:pPr>
            <w:r>
              <w:rPr>
                <w:spacing w:val="3"/>
              </w:rPr>
              <w:t>氟化物</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z w:val="13"/>
                <w:szCs w:val="13"/>
                <w:spacing w:val="8"/>
                <w:position w:val="6"/>
              </w:rPr>
              <w:t>3</w:t>
            </w:r>
          </w:p>
        </w:tc>
        <w:tc>
          <w:tcPr>
            <w:tcW w:w="1476" w:type="dxa"/>
            <w:vAlign w:val="top"/>
          </w:tcPr>
          <w:p>
            <w:pPr>
              <w:ind w:left="548"/>
              <w:spacing w:before="93"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p>
            <w:pPr>
              <w:ind w:left="459"/>
              <w:spacing w:before="98"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1622" w:type="dxa"/>
            <w:vAlign w:val="top"/>
            <w:tcBorders>
              <w:right w:val="nil"/>
            </w:tcBorders>
          </w:tcPr>
          <w:p>
            <w:pPr>
              <w:pStyle w:val="TableText"/>
              <w:ind w:left="531" w:right="497" w:hanging="18"/>
              <w:spacing w:before="56" w:line="274" w:lineRule="auto"/>
              <w:rPr>
                <w:rFonts w:ascii="Times New Roman" w:hAnsi="Times New Roman" w:eastAsia="Times New Roman" w:cs="Times New Roman"/>
                <w:sz w:val="13"/>
                <w:szCs w:val="13"/>
              </w:rPr>
            </w:pPr>
            <w:r>
              <w:rPr>
                <w:spacing w:val="3"/>
              </w:rPr>
              <w:t>氟化物</w:t>
            </w:r>
            <w:r>
              <w:rPr>
                <w:rFonts w:ascii="Times New Roman" w:hAnsi="Times New Roman" w:eastAsia="Times New Roman" w:cs="Times New Roman"/>
              </w:rPr>
              <w:t>mg</w:t>
            </w:r>
            <w:r>
              <w:rPr>
                <w:rFonts w:ascii="Times New Roman" w:hAnsi="Times New Roman" w:eastAsia="Times New Roman" w:cs="Times New Roman"/>
                <w:spacing w:val="9"/>
              </w:rPr>
              <w:t>/m</w:t>
            </w:r>
            <w:r>
              <w:rPr>
                <w:rFonts w:ascii="Times New Roman" w:hAnsi="Times New Roman" w:eastAsia="Times New Roman" w:cs="Times New Roman"/>
                <w:sz w:val="13"/>
                <w:szCs w:val="13"/>
                <w:spacing w:val="9"/>
                <w:position w:val="6"/>
              </w:rPr>
              <w:t>3</w:t>
            </w:r>
          </w:p>
        </w:tc>
      </w:tr>
      <w:tr>
        <w:trPr>
          <w:trHeight w:val="315" w:hRule="atLeast"/>
        </w:trPr>
        <w:tc>
          <w:tcPr>
            <w:tcW w:w="925" w:type="dxa"/>
            <w:vAlign w:val="top"/>
            <w:vMerge w:val="restart"/>
            <w:tcBorders>
              <w:left w:val="nil"/>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09" w:right="252" w:hanging="38"/>
              <w:spacing w:before="65" w:line="289" w:lineRule="auto"/>
              <w:rPr/>
            </w:pPr>
            <w:r>
              <w:rPr>
                <w:spacing w:val="-1"/>
              </w:rPr>
              <w:t>监测</w:t>
            </w:r>
            <w:r>
              <w:rPr>
                <w:spacing w:val="-21"/>
              </w:rPr>
              <w:t>日期</w:t>
            </w:r>
          </w:p>
        </w:tc>
        <w:tc>
          <w:tcPr>
            <w:tcW w:w="1540" w:type="dxa"/>
            <w:vAlign w:val="top"/>
          </w:tcPr>
          <w:p>
            <w:pPr>
              <w:ind w:left="300"/>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2025.08.</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1"/>
              </w:rPr>
              <w:t>14</w:t>
            </w:r>
          </w:p>
        </w:tc>
        <w:tc>
          <w:tcPr>
            <w:tcW w:w="1391" w:type="dxa"/>
            <w:vAlign w:val="top"/>
          </w:tcPr>
          <w:p>
            <w:pPr>
              <w:ind w:left="194"/>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0.018-0.021</w:t>
            </w:r>
          </w:p>
        </w:tc>
        <w:tc>
          <w:tcPr>
            <w:tcW w:w="1564" w:type="dxa"/>
            <w:vAlign w:val="top"/>
          </w:tcPr>
          <w:p>
            <w:pPr>
              <w:ind w:left="435"/>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0.019-0.021</w:t>
            </w:r>
          </w:p>
        </w:tc>
        <w:tc>
          <w:tcPr>
            <w:tcW w:w="1622" w:type="dxa"/>
            <w:vAlign w:val="top"/>
            <w:tcBorders>
              <w:right w:val="nil"/>
            </w:tcBorders>
          </w:tcPr>
          <w:p>
            <w:pPr>
              <w:ind w:left="465"/>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925" w:type="dxa"/>
            <w:vAlign w:val="top"/>
            <w:vMerge w:val="continue"/>
            <w:tcBorders>
              <w:left w:val="nil"/>
              <w:top w:val="nil"/>
              <w:bottom w:val="nil"/>
            </w:tcBorders>
          </w:tcPr>
          <w:p>
            <w:pPr>
              <w:rPr>
                <w:rFonts w:ascii="Arial"/>
                <w:sz w:val="21"/>
              </w:rPr>
            </w:pPr>
            <w:r/>
          </w:p>
        </w:tc>
        <w:tc>
          <w:tcPr>
            <w:tcW w:w="1540" w:type="dxa"/>
            <w:vAlign w:val="top"/>
          </w:tcPr>
          <w:p>
            <w:pPr>
              <w:ind w:left="300"/>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2025.08.15</w:t>
            </w:r>
          </w:p>
        </w:tc>
        <w:tc>
          <w:tcPr>
            <w:tcW w:w="1391" w:type="dxa"/>
            <w:vAlign w:val="top"/>
          </w:tcPr>
          <w:p>
            <w:pPr>
              <w:ind w:left="194"/>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0.018-0.021</w:t>
            </w:r>
          </w:p>
        </w:tc>
        <w:tc>
          <w:tcPr>
            <w:tcW w:w="1564" w:type="dxa"/>
            <w:vAlign w:val="top"/>
          </w:tcPr>
          <w:p>
            <w:pPr>
              <w:ind w:left="43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0.021-0.022</w:t>
            </w:r>
          </w:p>
        </w:tc>
        <w:tc>
          <w:tcPr>
            <w:tcW w:w="1622" w:type="dxa"/>
            <w:vAlign w:val="top"/>
            <w:tcBorders>
              <w:right w:val="nil"/>
            </w:tcBorders>
          </w:tcPr>
          <w:p>
            <w:pPr>
              <w:ind w:left="46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6" w:hRule="atLeast"/>
        </w:trPr>
        <w:tc>
          <w:tcPr>
            <w:tcW w:w="925" w:type="dxa"/>
            <w:vAlign w:val="top"/>
            <w:vMerge w:val="continue"/>
            <w:tcBorders>
              <w:left w:val="nil"/>
              <w:top w:val="nil"/>
              <w:bottom w:val="nil"/>
            </w:tcBorders>
          </w:tcPr>
          <w:p>
            <w:pPr>
              <w:rPr>
                <w:rFonts w:ascii="Arial"/>
                <w:sz w:val="21"/>
              </w:rPr>
            </w:pPr>
            <w:r/>
          </w:p>
        </w:tc>
        <w:tc>
          <w:tcPr>
            <w:tcW w:w="1540" w:type="dxa"/>
            <w:vAlign w:val="top"/>
          </w:tcPr>
          <w:p>
            <w:pPr>
              <w:ind w:left="300"/>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2025.08.16</w:t>
            </w:r>
          </w:p>
        </w:tc>
        <w:tc>
          <w:tcPr>
            <w:tcW w:w="1391" w:type="dxa"/>
            <w:vAlign w:val="top"/>
          </w:tcPr>
          <w:p>
            <w:pPr>
              <w:ind w:left="194"/>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0.018-0.021</w:t>
            </w:r>
          </w:p>
        </w:tc>
        <w:tc>
          <w:tcPr>
            <w:tcW w:w="1564" w:type="dxa"/>
            <w:vAlign w:val="top"/>
          </w:tcPr>
          <w:p>
            <w:pPr>
              <w:ind w:left="435"/>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0.019-0.022</w:t>
            </w:r>
          </w:p>
        </w:tc>
        <w:tc>
          <w:tcPr>
            <w:tcW w:w="1622" w:type="dxa"/>
            <w:vAlign w:val="top"/>
            <w:tcBorders>
              <w:right w:val="nil"/>
            </w:tcBorders>
          </w:tcPr>
          <w:p>
            <w:pPr>
              <w:ind w:left="465"/>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925" w:type="dxa"/>
            <w:vAlign w:val="top"/>
            <w:vMerge w:val="continue"/>
            <w:tcBorders>
              <w:left w:val="nil"/>
              <w:top w:val="nil"/>
              <w:bottom w:val="nil"/>
            </w:tcBorders>
          </w:tcPr>
          <w:p>
            <w:pPr>
              <w:rPr>
                <w:rFonts w:ascii="Arial"/>
                <w:sz w:val="21"/>
              </w:rPr>
            </w:pPr>
            <w:r/>
          </w:p>
        </w:tc>
        <w:tc>
          <w:tcPr>
            <w:tcW w:w="1540" w:type="dxa"/>
            <w:vAlign w:val="top"/>
          </w:tcPr>
          <w:p>
            <w:pPr>
              <w:ind w:left="300"/>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2025.08.17</w:t>
            </w:r>
          </w:p>
        </w:tc>
        <w:tc>
          <w:tcPr>
            <w:tcW w:w="1391" w:type="dxa"/>
            <w:vAlign w:val="top"/>
          </w:tcPr>
          <w:p>
            <w:pPr>
              <w:ind w:left="19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0.017-0.020</w:t>
            </w:r>
          </w:p>
        </w:tc>
        <w:tc>
          <w:tcPr>
            <w:tcW w:w="1564" w:type="dxa"/>
            <w:vAlign w:val="top"/>
          </w:tcPr>
          <w:p>
            <w:pPr>
              <w:ind w:left="43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0.019-0.021</w:t>
            </w:r>
          </w:p>
        </w:tc>
        <w:tc>
          <w:tcPr>
            <w:tcW w:w="1622" w:type="dxa"/>
            <w:vAlign w:val="top"/>
            <w:tcBorders>
              <w:right w:val="nil"/>
            </w:tcBorders>
          </w:tcPr>
          <w:p>
            <w:pPr>
              <w:ind w:left="46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6" w:hRule="atLeast"/>
        </w:trPr>
        <w:tc>
          <w:tcPr>
            <w:tcW w:w="925" w:type="dxa"/>
            <w:vAlign w:val="top"/>
            <w:vMerge w:val="continue"/>
            <w:tcBorders>
              <w:left w:val="nil"/>
              <w:top w:val="nil"/>
              <w:bottom w:val="nil"/>
            </w:tcBorders>
          </w:tcPr>
          <w:p>
            <w:pPr>
              <w:rPr>
                <w:rFonts w:ascii="Arial"/>
                <w:sz w:val="21"/>
              </w:rPr>
            </w:pPr>
            <w:r/>
          </w:p>
        </w:tc>
        <w:tc>
          <w:tcPr>
            <w:tcW w:w="1540" w:type="dxa"/>
            <w:vAlign w:val="top"/>
          </w:tcPr>
          <w:p>
            <w:pPr>
              <w:ind w:left="300"/>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2025.08.18</w:t>
            </w:r>
          </w:p>
        </w:tc>
        <w:tc>
          <w:tcPr>
            <w:tcW w:w="1391" w:type="dxa"/>
            <w:vAlign w:val="top"/>
          </w:tcPr>
          <w:p>
            <w:pPr>
              <w:ind w:left="19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0.018-0.020</w:t>
            </w:r>
          </w:p>
        </w:tc>
        <w:tc>
          <w:tcPr>
            <w:tcW w:w="1564" w:type="dxa"/>
            <w:vAlign w:val="top"/>
          </w:tcPr>
          <w:p>
            <w:pPr>
              <w:ind w:left="435"/>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0.019-0.020</w:t>
            </w:r>
          </w:p>
        </w:tc>
        <w:tc>
          <w:tcPr>
            <w:tcW w:w="1622" w:type="dxa"/>
            <w:vAlign w:val="top"/>
            <w:tcBorders>
              <w:right w:val="nil"/>
            </w:tcBorders>
          </w:tcPr>
          <w:p>
            <w:pPr>
              <w:ind w:left="465"/>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925" w:type="dxa"/>
            <w:vAlign w:val="top"/>
            <w:vMerge w:val="continue"/>
            <w:tcBorders>
              <w:left w:val="nil"/>
              <w:top w:val="nil"/>
              <w:bottom w:val="nil"/>
            </w:tcBorders>
          </w:tcPr>
          <w:p>
            <w:pPr>
              <w:rPr>
                <w:rFonts w:ascii="Arial"/>
                <w:sz w:val="21"/>
              </w:rPr>
            </w:pPr>
            <w:r/>
          </w:p>
        </w:tc>
        <w:tc>
          <w:tcPr>
            <w:tcW w:w="1540" w:type="dxa"/>
            <w:vAlign w:val="top"/>
          </w:tcPr>
          <w:p>
            <w:pPr>
              <w:ind w:left="30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2025.08.19</w:t>
            </w:r>
          </w:p>
        </w:tc>
        <w:tc>
          <w:tcPr>
            <w:tcW w:w="1391" w:type="dxa"/>
            <w:vAlign w:val="top"/>
          </w:tcPr>
          <w:p>
            <w:pPr>
              <w:ind w:left="19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0.017-0.020</w:t>
            </w:r>
          </w:p>
        </w:tc>
        <w:tc>
          <w:tcPr>
            <w:tcW w:w="1564" w:type="dxa"/>
            <w:vAlign w:val="top"/>
          </w:tcPr>
          <w:p>
            <w:pPr>
              <w:ind w:left="43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0.018-0.021</w:t>
            </w:r>
          </w:p>
        </w:tc>
        <w:tc>
          <w:tcPr>
            <w:tcW w:w="1622" w:type="dxa"/>
            <w:vAlign w:val="top"/>
            <w:tcBorders>
              <w:right w:val="nil"/>
            </w:tcBorders>
          </w:tcPr>
          <w:p>
            <w:pPr>
              <w:ind w:left="46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5" w:hRule="atLeast"/>
        </w:trPr>
        <w:tc>
          <w:tcPr>
            <w:tcW w:w="925" w:type="dxa"/>
            <w:vAlign w:val="top"/>
            <w:vMerge w:val="continue"/>
            <w:tcBorders>
              <w:left w:val="nil"/>
              <w:top w:val="nil"/>
            </w:tcBorders>
          </w:tcPr>
          <w:p>
            <w:pPr>
              <w:rPr>
                <w:rFonts w:ascii="Arial"/>
                <w:sz w:val="21"/>
              </w:rPr>
            </w:pPr>
            <w:r/>
          </w:p>
        </w:tc>
        <w:tc>
          <w:tcPr>
            <w:tcW w:w="1540" w:type="dxa"/>
            <w:vAlign w:val="top"/>
          </w:tcPr>
          <w:p>
            <w:pPr>
              <w:ind w:left="30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2025.08.20</w:t>
            </w:r>
          </w:p>
        </w:tc>
        <w:tc>
          <w:tcPr>
            <w:tcW w:w="1391" w:type="dxa"/>
            <w:vAlign w:val="top"/>
          </w:tcPr>
          <w:p>
            <w:pPr>
              <w:ind w:left="19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0.017-0.019</w:t>
            </w:r>
          </w:p>
        </w:tc>
        <w:tc>
          <w:tcPr>
            <w:tcW w:w="1564" w:type="dxa"/>
            <w:vAlign w:val="top"/>
          </w:tcPr>
          <w:p>
            <w:pPr>
              <w:ind w:left="43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c>
          <w:tcPr>
            <w:tcW w:w="1476" w:type="dxa"/>
            <w:vAlign w:val="top"/>
          </w:tcPr>
          <w:p>
            <w:pPr>
              <w:ind w:left="23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0.019-0.021</w:t>
            </w:r>
          </w:p>
        </w:tc>
        <w:tc>
          <w:tcPr>
            <w:tcW w:w="1622" w:type="dxa"/>
            <w:vAlign w:val="top"/>
            <w:tcBorders>
              <w:right w:val="nil"/>
            </w:tcBorders>
          </w:tcPr>
          <w:p>
            <w:pPr>
              <w:ind w:left="46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0.0005L</w:t>
            </w:r>
          </w:p>
        </w:tc>
      </w:tr>
      <w:tr>
        <w:trPr>
          <w:trHeight w:val="316" w:hRule="atLeast"/>
        </w:trPr>
        <w:tc>
          <w:tcPr>
            <w:tcW w:w="2465" w:type="dxa"/>
            <w:vAlign w:val="top"/>
            <w:gridSpan w:val="2"/>
            <w:tcBorders>
              <w:left w:val="nil"/>
            </w:tcBorders>
          </w:tcPr>
          <w:p>
            <w:pPr>
              <w:pStyle w:val="TableText"/>
              <w:ind w:left="826"/>
              <w:spacing w:before="72" w:line="216" w:lineRule="auto"/>
              <w:rPr/>
            </w:pPr>
            <w:r>
              <w:rPr>
                <w:spacing w:val="6"/>
              </w:rPr>
              <w:t>标准限值</w:t>
            </w:r>
          </w:p>
        </w:tc>
        <w:tc>
          <w:tcPr>
            <w:tcW w:w="1391" w:type="dxa"/>
            <w:vAlign w:val="top"/>
          </w:tcPr>
          <w:p>
            <w:pPr>
              <w:ind w:left="51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0.25</w:t>
            </w:r>
          </w:p>
        </w:tc>
        <w:tc>
          <w:tcPr>
            <w:tcW w:w="1564" w:type="dxa"/>
            <w:vAlign w:val="top"/>
          </w:tcPr>
          <w:p>
            <w:pPr>
              <w:ind w:left="60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476" w:type="dxa"/>
            <w:vAlign w:val="top"/>
          </w:tcPr>
          <w:p>
            <w:pPr>
              <w:ind w:left="561"/>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0.25</w:t>
            </w:r>
          </w:p>
        </w:tc>
        <w:tc>
          <w:tcPr>
            <w:tcW w:w="1622" w:type="dxa"/>
            <w:vAlign w:val="top"/>
            <w:tcBorders>
              <w:right w:val="nil"/>
            </w:tcBorders>
          </w:tcPr>
          <w:p>
            <w:pPr>
              <w:ind w:left="63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r>
      <w:tr>
        <w:trPr>
          <w:trHeight w:val="316" w:hRule="atLeast"/>
        </w:trPr>
        <w:tc>
          <w:tcPr>
            <w:tcW w:w="2465" w:type="dxa"/>
            <w:vAlign w:val="top"/>
            <w:gridSpan w:val="2"/>
            <w:tcBorders>
              <w:left w:val="nil"/>
            </w:tcBorders>
          </w:tcPr>
          <w:p>
            <w:pPr>
              <w:pStyle w:val="TableText"/>
              <w:ind w:left="829"/>
              <w:spacing w:before="72" w:line="216" w:lineRule="auto"/>
              <w:rPr/>
            </w:pPr>
            <w:r>
              <w:rPr>
                <w:spacing w:val="5"/>
              </w:rPr>
              <w:t>达标情况</w:t>
            </w:r>
          </w:p>
        </w:tc>
        <w:tc>
          <w:tcPr>
            <w:tcW w:w="1391" w:type="dxa"/>
            <w:vAlign w:val="top"/>
          </w:tcPr>
          <w:p>
            <w:pPr>
              <w:pStyle w:val="TableText"/>
              <w:ind w:left="500"/>
              <w:spacing w:before="72" w:line="216" w:lineRule="auto"/>
              <w:rPr/>
            </w:pPr>
            <w:r>
              <w:rPr/>
              <w:t>达标</w:t>
            </w:r>
          </w:p>
        </w:tc>
        <w:tc>
          <w:tcPr>
            <w:tcW w:w="1564" w:type="dxa"/>
            <w:vAlign w:val="top"/>
          </w:tcPr>
          <w:p>
            <w:pPr>
              <w:pStyle w:val="TableText"/>
              <w:ind w:left="585"/>
              <w:spacing w:before="72" w:line="216" w:lineRule="auto"/>
              <w:rPr/>
            </w:pPr>
            <w:r>
              <w:rPr/>
              <w:t>达标</w:t>
            </w:r>
          </w:p>
        </w:tc>
        <w:tc>
          <w:tcPr>
            <w:tcW w:w="1476" w:type="dxa"/>
            <w:vAlign w:val="top"/>
          </w:tcPr>
          <w:p>
            <w:pPr>
              <w:pStyle w:val="TableText"/>
              <w:ind w:left="543"/>
              <w:spacing w:before="72" w:line="216" w:lineRule="auto"/>
              <w:rPr/>
            </w:pPr>
            <w:r>
              <w:rPr/>
              <w:t>达标</w:t>
            </w:r>
          </w:p>
        </w:tc>
        <w:tc>
          <w:tcPr>
            <w:tcW w:w="1622" w:type="dxa"/>
            <w:vAlign w:val="top"/>
            <w:tcBorders>
              <w:right w:val="nil"/>
            </w:tcBorders>
          </w:tcPr>
          <w:p>
            <w:pPr>
              <w:pStyle w:val="TableText"/>
              <w:ind w:left="615"/>
              <w:spacing w:before="72" w:line="216" w:lineRule="auto"/>
              <w:rPr/>
            </w:pPr>
            <w:r>
              <w:rPr/>
              <w:t>达标</w:t>
            </w:r>
          </w:p>
        </w:tc>
      </w:tr>
      <w:tr>
        <w:trPr>
          <w:trHeight w:val="961" w:hRule="atLeast"/>
        </w:trPr>
        <w:tc>
          <w:tcPr>
            <w:tcW w:w="2465" w:type="dxa"/>
            <w:vAlign w:val="top"/>
            <w:gridSpan w:val="2"/>
            <w:tcBorders>
              <w:left w:val="nil"/>
              <w:bottom w:val="single" w:color="000000" w:sz="10" w:space="0"/>
            </w:tcBorders>
          </w:tcPr>
          <w:p>
            <w:pPr>
              <w:spacing w:line="317" w:lineRule="auto"/>
              <w:rPr>
                <w:rFonts w:ascii="Arial"/>
                <w:sz w:val="21"/>
              </w:rPr>
            </w:pPr>
            <w:r/>
          </w:p>
          <w:p>
            <w:pPr>
              <w:pStyle w:val="TableText"/>
              <w:ind w:left="1037"/>
              <w:spacing w:before="65" w:line="233" w:lineRule="auto"/>
              <w:rPr/>
            </w:pPr>
            <w:r>
              <w:rPr>
                <w:spacing w:val="1"/>
              </w:rPr>
              <w:t>备注</w:t>
            </w:r>
          </w:p>
        </w:tc>
        <w:tc>
          <w:tcPr>
            <w:tcW w:w="6053" w:type="dxa"/>
            <w:vAlign w:val="top"/>
            <w:gridSpan w:val="4"/>
            <w:tcBorders>
              <w:right w:val="nil"/>
              <w:bottom w:val="single" w:color="000000" w:sz="10" w:space="0"/>
            </w:tcBorders>
          </w:tcPr>
          <w:p>
            <w:pPr>
              <w:pStyle w:val="TableText"/>
              <w:ind w:left="157"/>
              <w:spacing w:before="73" w:line="229" w:lineRule="auto"/>
              <w:rPr/>
            </w:pPr>
            <w:r>
              <w:rPr>
                <w:rFonts w:ascii="Times New Roman" w:hAnsi="Times New Roman" w:eastAsia="Times New Roman" w:cs="Times New Roman"/>
              </w:rPr>
              <w:t>TSP</w:t>
            </w:r>
            <w:r>
              <w:rPr>
                <w:rFonts w:ascii="Times New Roman" w:hAnsi="Times New Roman" w:eastAsia="Times New Roman" w:cs="Times New Roman"/>
                <w:spacing w:val="-12"/>
              </w:rPr>
              <w:t xml:space="preserve"> </w:t>
            </w:r>
            <w:r>
              <w:rPr>
                <w:spacing w:val="7"/>
              </w:rPr>
              <w:t>、</w:t>
            </w: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r>
              <w:rPr>
                <w:rFonts w:ascii="Times New Roman" w:hAnsi="Times New Roman" w:eastAsia="Times New Roman" w:cs="Times New Roman"/>
                <w:sz w:val="13"/>
                <w:szCs w:val="13"/>
                <w:spacing w:val="16"/>
                <w:position w:val="-1"/>
              </w:rPr>
              <w:t xml:space="preserve"> </w:t>
            </w:r>
            <w:r>
              <w:rPr>
                <w:spacing w:val="7"/>
              </w:rPr>
              <w:t>执行《环境空气质量标准》（</w:t>
            </w:r>
            <w:r>
              <w:rPr>
                <w:rFonts w:ascii="Times New Roman" w:hAnsi="Times New Roman" w:eastAsia="Times New Roman" w:cs="Times New Roman"/>
              </w:rPr>
              <w:t>GB</w:t>
            </w:r>
            <w:r>
              <w:rPr>
                <w:rFonts w:ascii="Times New Roman" w:hAnsi="Times New Roman" w:eastAsia="Times New Roman" w:cs="Times New Roman"/>
                <w:spacing w:val="7"/>
              </w:rPr>
              <w:t>3095-2012</w:t>
            </w:r>
            <w:r>
              <w:rPr>
                <w:spacing w:val="7"/>
              </w:rPr>
              <w:t>）表</w:t>
            </w:r>
            <w:r>
              <w:rPr>
                <w:spacing w:val="-41"/>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2"/>
                <w:w w:val="101"/>
              </w:rPr>
              <w:t xml:space="preserve"> </w:t>
            </w:r>
            <w:r>
              <w:rPr>
                <w:spacing w:val="7"/>
              </w:rPr>
              <w:t>二</w:t>
            </w:r>
          </w:p>
          <w:p>
            <w:pPr>
              <w:pStyle w:val="TableText"/>
              <w:ind w:left="128"/>
              <w:spacing w:before="63" w:line="229" w:lineRule="auto"/>
              <w:rPr/>
            </w:pPr>
            <w:r>
              <w:rPr>
                <w:spacing w:val="9"/>
              </w:rPr>
              <w:t>级标准；氟化物执行《环境空气质量标准》（</w:t>
            </w:r>
            <w:r>
              <w:rPr>
                <w:rFonts w:ascii="Times New Roman" w:hAnsi="Times New Roman" w:eastAsia="Times New Roman" w:cs="Times New Roman"/>
              </w:rPr>
              <w:t>GB</w:t>
            </w:r>
            <w:r>
              <w:rPr>
                <w:rFonts w:ascii="Times New Roman" w:hAnsi="Times New Roman" w:eastAsia="Times New Roman" w:cs="Times New Roman"/>
                <w:spacing w:val="9"/>
              </w:rPr>
              <w:t>3095</w:t>
            </w:r>
            <w:r>
              <w:rPr>
                <w:rFonts w:ascii="Times New Roman" w:hAnsi="Times New Roman" w:eastAsia="Times New Roman" w:cs="Times New Roman"/>
                <w:spacing w:val="8"/>
              </w:rPr>
              <w:t>-2012</w:t>
            </w:r>
            <w:r>
              <w:rPr>
                <w:spacing w:val="8"/>
              </w:rPr>
              <w:t>）附</w:t>
            </w:r>
          </w:p>
          <w:p>
            <w:pPr>
              <w:pStyle w:val="TableText"/>
              <w:ind w:left="702"/>
              <w:spacing w:before="63" w:line="229" w:lineRule="auto"/>
              <w:rPr/>
            </w:pPr>
            <w:r>
              <w:rPr>
                <w:spacing w:val="6"/>
              </w:rPr>
              <w:t>录</w:t>
            </w:r>
            <w:r>
              <w:rPr>
                <w:spacing w:val="-41"/>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19"/>
              </w:rPr>
              <w:t xml:space="preserve"> </w:t>
            </w:r>
            <w:r>
              <w:rPr>
                <w:spacing w:val="6"/>
              </w:rPr>
              <w:t>表</w:t>
            </w:r>
            <w:r>
              <w:rPr>
                <w:spacing w:val="-46"/>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4"/>
                <w:w w:val="101"/>
              </w:rPr>
              <w:t xml:space="preserve"> </w:t>
            </w:r>
            <w:r>
              <w:rPr>
                <w:spacing w:val="6"/>
              </w:rPr>
              <w:t>二级标准；检出限后加</w:t>
            </w:r>
            <w:r>
              <w:rPr>
                <w:rFonts w:ascii="Times New Roman" w:hAnsi="Times New Roman" w:eastAsia="Times New Roman" w:cs="Times New Roman"/>
                <w:spacing w:val="6"/>
              </w:rPr>
              <w:t>L</w:t>
            </w:r>
            <w:r>
              <w:rPr>
                <w:rFonts w:ascii="Times New Roman" w:hAnsi="Times New Roman" w:eastAsia="Times New Roman" w:cs="Times New Roman"/>
                <w:spacing w:val="20"/>
                <w:w w:val="101"/>
              </w:rPr>
              <w:t xml:space="preserve"> </w:t>
            </w:r>
            <w:r>
              <w:rPr>
                <w:spacing w:val="6"/>
              </w:rPr>
              <w:t>代表未检出。</w:t>
            </w:r>
          </w:p>
        </w:tc>
      </w:tr>
    </w:tbl>
    <w:p>
      <w:pPr>
        <w:pStyle w:val="BodyText"/>
        <w:spacing w:line="251" w:lineRule="auto"/>
        <w:rPr/>
      </w:pPr>
      <w:r/>
    </w:p>
    <w:p>
      <w:pPr>
        <w:pStyle w:val="BodyText"/>
        <w:spacing w:line="251" w:lineRule="auto"/>
        <w:rPr/>
      </w:pPr>
      <w:r/>
    </w:p>
    <w:p>
      <w:pPr>
        <w:ind w:left="608"/>
        <w:spacing w:before="79"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）评价方法</w:t>
      </w:r>
    </w:p>
    <w:p>
      <w:pPr>
        <w:ind w:left="604"/>
        <w:spacing w:before="178" w:line="221" w:lineRule="auto"/>
        <w:rPr>
          <w:rFonts w:ascii="FangSong" w:hAnsi="FangSong" w:eastAsia="FangSong" w:cs="FangSong"/>
          <w:sz w:val="24"/>
          <w:szCs w:val="24"/>
        </w:rPr>
      </w:pPr>
      <w:r>
        <w:rPr>
          <w:rFonts w:ascii="FangSong" w:hAnsi="FangSong" w:eastAsia="FangSong" w:cs="FangSong"/>
          <w:sz w:val="24"/>
          <w:szCs w:val="24"/>
        </w:rPr>
        <w:t>根据《环境影响评价技术导则</w:t>
      </w:r>
      <w:r>
        <w:rPr>
          <w:rFonts w:ascii="FangSong" w:hAnsi="FangSong" w:eastAsia="FangSong" w:cs="FangSong"/>
          <w:sz w:val="24"/>
          <w:szCs w:val="24"/>
        </w:rPr>
        <w:t xml:space="preserve"> </w:t>
      </w:r>
      <w:r>
        <w:rPr>
          <w:rFonts w:ascii="FangSong" w:hAnsi="FangSong" w:eastAsia="FangSong" w:cs="FangSong"/>
          <w:sz w:val="24"/>
          <w:szCs w:val="24"/>
        </w:rPr>
        <w:t>大气环境》（</w:t>
      </w:r>
      <w:r>
        <w:rPr>
          <w:rFonts w:ascii="Times New Roman" w:hAnsi="Times New Roman" w:eastAsia="Times New Roman" w:cs="Times New Roman"/>
          <w:sz w:val="24"/>
          <w:szCs w:val="24"/>
        </w:rPr>
        <w:t>HJ2.2-2018</w:t>
      </w:r>
      <w:r>
        <w:rPr>
          <w:rFonts w:ascii="FangSong" w:hAnsi="FangSong" w:eastAsia="FangSong" w:cs="FangSong"/>
          <w:sz w:val="24"/>
          <w:szCs w:val="24"/>
        </w:rPr>
        <w:t>）</w:t>
      </w:r>
      <w:r>
        <w:rPr>
          <w:rFonts w:ascii="FangSong" w:hAnsi="FangSong" w:eastAsia="FangSong" w:cs="FangSong"/>
          <w:sz w:val="24"/>
          <w:szCs w:val="24"/>
          <w:spacing w:val="-54"/>
        </w:rPr>
        <w:t xml:space="preserve"> </w:t>
      </w:r>
      <w:r>
        <w:rPr>
          <w:rFonts w:ascii="FangSong" w:hAnsi="FangSong" w:eastAsia="FangSong" w:cs="FangSong"/>
          <w:sz w:val="24"/>
          <w:szCs w:val="24"/>
        </w:rPr>
        <w:t>中</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rPr>
        <w:t>6.4.3.2</w:t>
      </w:r>
      <w:r>
        <w:rPr>
          <w:rFonts w:ascii="FangSong" w:hAnsi="FangSong" w:eastAsia="FangSong" w:cs="FangSong"/>
          <w:sz w:val="24"/>
          <w:szCs w:val="24"/>
        </w:rPr>
        <w:t>“对于</w:t>
      </w:r>
    </w:p>
    <w:p>
      <w:pPr>
        <w:spacing w:line="221" w:lineRule="auto"/>
        <w:sectPr>
          <w:footerReference w:type="default" r:id="rId240"/>
          <w:pgSz w:w="11906" w:h="16839"/>
          <w:pgMar w:top="400" w:right="1691" w:bottom="1358" w:left="1691" w:header="0" w:footer="1195" w:gutter="0"/>
        </w:sectPr>
        <w:rPr>
          <w:rFonts w:ascii="FangSong" w:hAnsi="FangSong" w:eastAsia="FangSong" w:cs="FangSong"/>
          <w:sz w:val="24"/>
          <w:szCs w:val="24"/>
        </w:rPr>
      </w:pP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02" w:firstLine="2"/>
        <w:spacing w:before="78" w:line="361" w:lineRule="auto"/>
        <w:jc w:val="both"/>
        <w:rPr>
          <w:rFonts w:ascii="FangSong" w:hAnsi="FangSong" w:eastAsia="FangSong" w:cs="FangSong"/>
          <w:sz w:val="24"/>
          <w:szCs w:val="24"/>
        </w:rPr>
      </w:pPr>
      <w:bookmarkStart w:name="bookmark578" w:id="330"/>
      <w:bookmarkEnd w:id="330"/>
      <w:r>
        <w:rPr>
          <w:rFonts w:ascii="FangSong" w:hAnsi="FangSong" w:eastAsia="FangSong" w:cs="FangSong"/>
          <w:sz w:val="24"/>
          <w:szCs w:val="24"/>
          <w:spacing w:val="-5"/>
        </w:rPr>
        <w:t>采用补充监测数据进行现状评价的，取各污染物不同评价时段监测浓度的最大值，</w:t>
      </w:r>
      <w:r>
        <w:rPr>
          <w:rFonts w:ascii="FangSong" w:hAnsi="FangSong" w:eastAsia="FangSong" w:cs="FangSong"/>
          <w:sz w:val="24"/>
          <w:szCs w:val="24"/>
          <w:spacing w:val="-3"/>
        </w:rPr>
        <w:t>作为评价范围内环境空气保护目标及网格点环境质量现状浓度。对于</w:t>
      </w:r>
      <w:r>
        <w:rPr>
          <w:rFonts w:ascii="FangSong" w:hAnsi="FangSong" w:eastAsia="FangSong" w:cs="FangSong"/>
          <w:sz w:val="24"/>
          <w:szCs w:val="24"/>
          <w:spacing w:val="-4"/>
        </w:rPr>
        <w:t>多个监测点</w:t>
      </w:r>
      <w:r>
        <w:rPr>
          <w:rFonts w:ascii="FangSong" w:hAnsi="FangSong" w:eastAsia="FangSong" w:cs="FangSong"/>
          <w:sz w:val="24"/>
          <w:szCs w:val="24"/>
          <w:spacing w:val="-3"/>
        </w:rPr>
        <w:t>位数据的，先计算相同时刻各监测点位平均值，再取各监测时段平均</w:t>
      </w:r>
      <w:r>
        <w:rPr>
          <w:rFonts w:ascii="FangSong" w:hAnsi="FangSong" w:eastAsia="FangSong" w:cs="FangSong"/>
          <w:sz w:val="24"/>
          <w:szCs w:val="24"/>
          <w:spacing w:val="-4"/>
        </w:rPr>
        <w:t>值中的最大</w:t>
      </w:r>
      <w:r>
        <w:rPr>
          <w:rFonts w:ascii="FangSong" w:hAnsi="FangSong" w:eastAsia="FangSong" w:cs="FangSong"/>
          <w:sz w:val="24"/>
          <w:szCs w:val="24"/>
          <w:spacing w:val="24"/>
        </w:rPr>
        <w:t>值。</w:t>
      </w:r>
      <w:r>
        <w:rPr>
          <w:rFonts w:ascii="FangSong" w:hAnsi="FangSong" w:eastAsia="FangSong" w:cs="FangSong"/>
          <w:sz w:val="24"/>
          <w:szCs w:val="24"/>
          <w:spacing w:val="-89"/>
        </w:rPr>
        <w:t xml:space="preserve"> </w:t>
      </w:r>
      <w:r>
        <w:rPr>
          <w:rFonts w:ascii="FangSong" w:hAnsi="FangSong" w:eastAsia="FangSong" w:cs="FangSong"/>
          <w:sz w:val="24"/>
          <w:szCs w:val="24"/>
          <w:spacing w:val="24"/>
        </w:rPr>
        <w:t>”</w:t>
      </w:r>
    </w:p>
    <w:p>
      <w:pPr>
        <w:pStyle w:val="BodyText"/>
        <w:ind w:left="582"/>
        <w:spacing w:before="3" w:line="737" w:lineRule="exact"/>
        <w:rPr>
          <w:rFonts w:ascii="FangSong" w:hAnsi="FangSong" w:eastAsia="FangSong" w:cs="FangSong"/>
          <w:sz w:val="24"/>
          <w:szCs w:val="24"/>
        </w:rPr>
      </w:pPr>
      <w:r>
        <w:rPr>
          <w:rFonts w:ascii="FangSong" w:hAnsi="FangSong" w:eastAsia="FangSong" w:cs="FangSong"/>
          <w:sz w:val="24"/>
          <w:szCs w:val="24"/>
          <w:spacing w:val="1"/>
          <w:position w:val="18"/>
        </w:rPr>
        <w:t>计算公式为：</w:t>
      </w:r>
      <w:r>
        <w:rPr>
          <w:rFonts w:ascii="Times New Roman" w:hAnsi="Times New Roman" w:eastAsia="Times New Roman" w:cs="Times New Roman"/>
          <w:sz w:val="23"/>
          <w:szCs w:val="23"/>
          <w:spacing w:val="1"/>
          <w:position w:val="18"/>
        </w:rPr>
        <w:t>C</w:t>
      </w:r>
      <w:r>
        <w:rPr>
          <w:rFonts w:ascii="SimSun" w:hAnsi="SimSun" w:eastAsia="SimSun" w:cs="SimSun"/>
          <w:sz w:val="13"/>
          <w:szCs w:val="13"/>
          <w:spacing w:val="1"/>
          <w:position w:val="11"/>
        </w:rPr>
        <w:t>现状 </w:t>
      </w:r>
      <w:r>
        <w:rPr>
          <w:sz w:val="13"/>
          <w:szCs w:val="13"/>
          <w:position w:val="10"/>
        </w:rPr>
        <w:drawing>
          <wp:inline distT="0" distB="0" distL="0" distR="0">
            <wp:extent cx="255307" cy="94715"/>
            <wp:effectExtent l="0" t="0" r="0" b="0"/>
            <wp:docPr id="52" name="IM 52"/>
            <wp:cNvGraphicFramePr/>
            <a:graphic>
              <a:graphicData uri="http://schemas.openxmlformats.org/drawingml/2006/picture">
                <pic:pic>
                  <pic:nvPicPr>
                    <pic:cNvPr id="52" name="IM 52"/>
                    <pic:cNvPicPr/>
                  </pic:nvPicPr>
                  <pic:blipFill>
                    <a:blip r:embed="rId242"/>
                    <a:stretch>
                      <a:fillRect/>
                    </a:stretch>
                  </pic:blipFill>
                  <pic:spPr>
                    <a:xfrm rot="0">
                      <a:off x="0" y="0"/>
                      <a:ext cx="255307" cy="94715"/>
                    </a:xfrm>
                    <a:prstGeom prst="rect">
                      <a:avLst/>
                    </a:prstGeom>
                  </pic:spPr>
                </pic:pic>
              </a:graphicData>
            </a:graphic>
          </wp:inline>
        </w:drawing>
      </w:r>
      <w:r>
        <w:rPr>
          <w:rFonts w:ascii="SimSun" w:hAnsi="SimSun" w:eastAsia="SimSun" w:cs="SimSun"/>
          <w:sz w:val="13"/>
          <w:szCs w:val="13"/>
          <w:spacing w:val="29"/>
          <w:position w:val="11"/>
        </w:rPr>
        <w:t xml:space="preserve"> </w:t>
      </w:r>
      <w:r>
        <w:rPr>
          <w:sz w:val="23"/>
          <w:szCs w:val="23"/>
          <w:spacing w:val="1"/>
          <w:position w:val="18"/>
        </w:rPr>
        <w:t>= </w:t>
      </w:r>
      <w:r>
        <w:rPr>
          <w:rFonts w:ascii="Times New Roman" w:hAnsi="Times New Roman" w:eastAsia="Times New Roman" w:cs="Times New Roman"/>
          <w:sz w:val="23"/>
          <w:szCs w:val="23"/>
          <w:position w:val="18"/>
        </w:rPr>
        <w:t>MAX</w:t>
      </w:r>
      <w:r>
        <w:rPr>
          <w:sz w:val="23"/>
          <w:szCs w:val="23"/>
          <w:position w:val="-8"/>
        </w:rPr>
        <w:drawing>
          <wp:inline distT="0" distB="0" distL="0" distR="0">
            <wp:extent cx="1127303" cy="406965"/>
            <wp:effectExtent l="0" t="0" r="0" b="0"/>
            <wp:docPr id="54" name="IM 54"/>
            <wp:cNvGraphicFramePr/>
            <a:graphic>
              <a:graphicData uri="http://schemas.openxmlformats.org/drawingml/2006/picture">
                <pic:pic>
                  <pic:nvPicPr>
                    <pic:cNvPr id="54" name="IM 54"/>
                    <pic:cNvPicPr/>
                  </pic:nvPicPr>
                  <pic:blipFill>
                    <a:blip r:embed="rId243"/>
                    <a:stretch>
                      <a:fillRect/>
                    </a:stretch>
                  </pic:blipFill>
                  <pic:spPr>
                    <a:xfrm rot="0">
                      <a:off x="0" y="0"/>
                      <a:ext cx="1127303" cy="406965"/>
                    </a:xfrm>
                    <a:prstGeom prst="rect">
                      <a:avLst/>
                    </a:prstGeom>
                  </pic:spPr>
                </pic:pic>
              </a:graphicData>
            </a:graphic>
          </wp:inline>
        </w:drawing>
      </w:r>
      <w:r>
        <w:rPr>
          <w:rFonts w:ascii="Times New Roman" w:hAnsi="Times New Roman" w:eastAsia="Times New Roman" w:cs="Times New Roman"/>
          <w:sz w:val="23"/>
          <w:szCs w:val="23"/>
          <w:spacing w:val="2"/>
          <w:position w:val="18"/>
        </w:rPr>
        <w:t xml:space="preserve">         </w:t>
      </w:r>
      <w:r>
        <w:rPr>
          <w:rFonts w:ascii="FangSong" w:hAnsi="FangSong" w:eastAsia="FangSong" w:cs="FangSong"/>
          <w:sz w:val="24"/>
          <w:szCs w:val="24"/>
          <w:spacing w:val="1"/>
          <w:position w:val="-9"/>
        </w:rPr>
        <w:t>（公式</w:t>
      </w:r>
      <w:r>
        <w:rPr>
          <w:rFonts w:ascii="FangSong" w:hAnsi="FangSong" w:eastAsia="FangSong" w:cs="FangSong"/>
          <w:sz w:val="24"/>
          <w:szCs w:val="24"/>
          <w:spacing w:val="-47"/>
          <w:position w:val="-9"/>
        </w:rPr>
        <w:t xml:space="preserve"> </w:t>
      </w:r>
      <w:r>
        <w:rPr>
          <w:rFonts w:ascii="Times New Roman" w:hAnsi="Times New Roman" w:eastAsia="Times New Roman" w:cs="Times New Roman"/>
          <w:sz w:val="24"/>
          <w:szCs w:val="24"/>
          <w:spacing w:val="1"/>
          <w:position w:val="-9"/>
        </w:rPr>
        <w:t>5.5-</w:t>
      </w:r>
      <w:r>
        <w:rPr>
          <w:rFonts w:ascii="Times New Roman" w:hAnsi="Times New Roman" w:eastAsia="Times New Roman" w:cs="Times New Roman"/>
          <w:sz w:val="24"/>
          <w:szCs w:val="24"/>
          <w:spacing w:val="-33"/>
          <w:position w:val="-9"/>
        </w:rPr>
        <w:t xml:space="preserve"> </w:t>
      </w:r>
      <w:r>
        <w:rPr>
          <w:rFonts w:ascii="Times New Roman" w:hAnsi="Times New Roman" w:eastAsia="Times New Roman" w:cs="Times New Roman"/>
          <w:sz w:val="24"/>
          <w:szCs w:val="24"/>
          <w:spacing w:val="1"/>
          <w:position w:val="-9"/>
        </w:rPr>
        <w:t>1</w:t>
      </w:r>
      <w:r>
        <w:rPr>
          <w:rFonts w:ascii="FangSong" w:hAnsi="FangSong" w:eastAsia="FangSong" w:cs="FangSong"/>
          <w:sz w:val="24"/>
          <w:szCs w:val="24"/>
          <w:spacing w:val="1"/>
          <w:position w:val="-9"/>
        </w:rPr>
        <w:t>）</w:t>
      </w:r>
    </w:p>
    <w:p>
      <w:pPr>
        <w:ind w:left="2982" w:right="185" w:hanging="2394"/>
        <w:spacing w:before="193" w:line="349" w:lineRule="auto"/>
        <w:rPr>
          <w:rFonts w:ascii="FangSong" w:hAnsi="FangSong" w:eastAsia="FangSong" w:cs="FangSong"/>
          <w:sz w:val="24"/>
          <w:szCs w:val="24"/>
        </w:rPr>
      </w:pPr>
      <w:r>
        <w:rPr>
          <w:rFonts w:ascii="FangSong" w:hAnsi="FangSong" w:eastAsia="FangSong" w:cs="FangSong"/>
          <w:sz w:val="24"/>
          <w:szCs w:val="24"/>
          <w:spacing w:val="-3"/>
        </w:rPr>
        <w:t>式中：</w:t>
      </w:r>
      <w:r>
        <w:rPr>
          <w:rFonts w:ascii="Times New Roman" w:hAnsi="Times New Roman" w:eastAsia="Times New Roman" w:cs="Times New Roman"/>
          <w:sz w:val="24"/>
          <w:szCs w:val="24"/>
          <w:spacing w:val="-3"/>
        </w:rPr>
        <w:t>C </w:t>
      </w:r>
      <w:r>
        <w:rPr>
          <w:rFonts w:ascii="FangSong" w:hAnsi="FangSong" w:eastAsia="FangSong" w:cs="FangSong"/>
          <w:sz w:val="12"/>
          <w:szCs w:val="12"/>
          <w:spacing w:val="-3"/>
          <w:position w:val="-3"/>
        </w:rPr>
        <w:t>现状</w:t>
      </w:r>
      <w:r>
        <w:rPr>
          <w:rFonts w:ascii="FangSong" w:hAnsi="FangSong" w:eastAsia="FangSong" w:cs="FangSong"/>
          <w:sz w:val="12"/>
          <w:szCs w:val="12"/>
          <w:spacing w:val="-3"/>
          <w:position w:val="-2"/>
        </w:rPr>
        <w:t>（</w:t>
      </w:r>
      <w:r>
        <w:rPr>
          <w:rFonts w:ascii="Times New Roman" w:hAnsi="Times New Roman" w:eastAsia="Times New Roman" w:cs="Times New Roman"/>
          <w:sz w:val="15"/>
          <w:szCs w:val="15"/>
          <w:spacing w:val="-3"/>
          <w:position w:val="-2"/>
        </w:rPr>
        <w:t>x</w:t>
      </w:r>
      <w:r>
        <w:rPr>
          <w:rFonts w:ascii="FangSong" w:hAnsi="FangSong" w:eastAsia="FangSong" w:cs="FangSong"/>
          <w:sz w:val="12"/>
          <w:szCs w:val="12"/>
          <w:spacing w:val="-3"/>
          <w:position w:val="-3"/>
        </w:rPr>
        <w:t>，</w:t>
      </w:r>
      <w:r>
        <w:rPr>
          <w:rFonts w:ascii="Times New Roman" w:hAnsi="Times New Roman" w:eastAsia="Times New Roman" w:cs="Times New Roman"/>
          <w:sz w:val="15"/>
          <w:szCs w:val="15"/>
          <w:spacing w:val="-3"/>
          <w:position w:val="-2"/>
        </w:rPr>
        <w:t>y</w:t>
      </w:r>
      <w:r>
        <w:rPr>
          <w:rFonts w:ascii="Times New Roman" w:hAnsi="Times New Roman" w:eastAsia="Times New Roman" w:cs="Times New Roman"/>
          <w:sz w:val="15"/>
          <w:szCs w:val="15"/>
          <w:spacing w:val="-19"/>
          <w:position w:val="-2"/>
        </w:rPr>
        <w:t xml:space="preserve"> </w:t>
      </w:r>
      <w:r>
        <w:rPr>
          <w:rFonts w:ascii="FangSong" w:hAnsi="FangSong" w:eastAsia="FangSong" w:cs="FangSong"/>
          <w:sz w:val="12"/>
          <w:szCs w:val="12"/>
          <w:spacing w:val="-3"/>
          <w:position w:val="-2"/>
        </w:rPr>
        <w:t>）</w:t>
      </w:r>
      <w:r>
        <w:rPr>
          <w:rFonts w:ascii="FangSong" w:hAnsi="FangSong" w:eastAsia="FangSong" w:cs="FangSong"/>
          <w:sz w:val="12"/>
          <w:szCs w:val="12"/>
          <w:spacing w:val="-3"/>
          <w:position w:val="-2"/>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环境</w:t>
      </w:r>
      <w:r>
        <w:rPr>
          <w:rFonts w:ascii="FangSong" w:hAnsi="FangSong" w:eastAsia="FangSong" w:cs="FangSong"/>
          <w:sz w:val="24"/>
          <w:szCs w:val="24"/>
          <w:spacing w:val="-4"/>
        </w:rPr>
        <w:t>空气保护目标及网格点（</w:t>
      </w:r>
      <w:r>
        <w:rPr>
          <w:rFonts w:ascii="Times New Roman" w:hAnsi="Times New Roman" w:eastAsia="Times New Roman" w:cs="Times New Roman"/>
          <w:sz w:val="24"/>
          <w:szCs w:val="24"/>
          <w:spacing w:val="-4"/>
        </w:rPr>
        <w:t>x</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y</w:t>
      </w:r>
      <w:r>
        <w:rPr>
          <w:rFonts w:ascii="FangSong" w:hAnsi="FangSong" w:eastAsia="FangSong" w:cs="FangSong"/>
          <w:sz w:val="24"/>
          <w:szCs w:val="24"/>
          <w:spacing w:val="-4"/>
        </w:rPr>
        <w:t>）环境质量现状浓</w:t>
      </w:r>
      <w:r>
        <w:rPr>
          <w:rFonts w:ascii="FangSong" w:hAnsi="FangSong" w:eastAsia="FangSong" w:cs="FangSong"/>
          <w:sz w:val="24"/>
          <w:szCs w:val="24"/>
          <w:spacing w:val="-2"/>
        </w:rPr>
        <w:t>度，</w:t>
      </w:r>
      <w:r>
        <w:rPr>
          <w:rFonts w:ascii="Times New Roman" w:hAnsi="Times New Roman" w:eastAsia="Times New Roman" w:cs="Times New Roman"/>
          <w:sz w:val="24"/>
          <w:szCs w:val="24"/>
          <w:spacing w:val="-2"/>
        </w:rPr>
        <w:t>ug/m</w:t>
      </w:r>
      <w:r>
        <w:rPr>
          <w:rFonts w:ascii="Times New Roman" w:hAnsi="Times New Roman" w:eastAsia="Times New Roman" w:cs="Times New Roman"/>
          <w:sz w:val="15"/>
          <w:szCs w:val="15"/>
          <w:spacing w:val="-2"/>
          <w:position w:val="7"/>
        </w:rPr>
        <w:t>3</w:t>
      </w:r>
      <w:r>
        <w:rPr>
          <w:rFonts w:ascii="FangSong" w:hAnsi="FangSong" w:eastAsia="FangSong" w:cs="FangSong"/>
          <w:sz w:val="24"/>
          <w:szCs w:val="24"/>
          <w:spacing w:val="-2"/>
        </w:rPr>
        <w:t>；</w:t>
      </w:r>
    </w:p>
    <w:p>
      <w:pPr>
        <w:ind w:left="2982" w:right="192" w:hanging="1687"/>
        <w:spacing w:before="28" w:line="349" w:lineRule="auto"/>
        <w:rPr>
          <w:rFonts w:ascii="FangSong" w:hAnsi="FangSong" w:eastAsia="FangSong" w:cs="FangSong"/>
          <w:sz w:val="24"/>
          <w:szCs w:val="24"/>
        </w:rPr>
      </w:pPr>
      <w:r>
        <w:rPr>
          <w:rFonts w:ascii="Times New Roman" w:hAnsi="Times New Roman" w:eastAsia="Times New Roman" w:cs="Times New Roman"/>
          <w:sz w:val="24"/>
          <w:szCs w:val="24"/>
          <w:spacing w:val="-9"/>
        </w:rPr>
        <w:t>C</w:t>
      </w:r>
      <w:r>
        <w:rPr>
          <w:rFonts w:ascii="Times New Roman" w:hAnsi="Times New Roman" w:eastAsia="Times New Roman" w:cs="Times New Roman"/>
          <w:sz w:val="24"/>
          <w:szCs w:val="24"/>
          <w:spacing w:val="13"/>
        </w:rPr>
        <w:t xml:space="preserve"> </w:t>
      </w:r>
      <w:r>
        <w:rPr>
          <w:rFonts w:ascii="FangSong" w:hAnsi="FangSong" w:eastAsia="FangSong" w:cs="FangSong"/>
          <w:sz w:val="12"/>
          <w:szCs w:val="12"/>
          <w:spacing w:val="-1"/>
          <w:position w:val="-3"/>
        </w:rPr>
        <w:t>监测</w:t>
      </w:r>
      <w:r>
        <w:rPr>
          <w:rFonts w:ascii="FangSong" w:hAnsi="FangSong" w:eastAsia="FangSong" w:cs="FangSong"/>
          <w:sz w:val="12"/>
          <w:szCs w:val="12"/>
          <w:spacing w:val="-1"/>
          <w:position w:val="-2"/>
        </w:rPr>
        <w:t>（</w:t>
      </w:r>
      <w:r>
        <w:rPr>
          <w:rFonts w:ascii="Times New Roman" w:hAnsi="Times New Roman" w:eastAsia="Times New Roman" w:cs="Times New Roman"/>
          <w:sz w:val="15"/>
          <w:szCs w:val="15"/>
          <w:spacing w:val="-1"/>
          <w:position w:val="-2"/>
        </w:rPr>
        <w:t>j</w:t>
      </w:r>
      <w:r>
        <w:rPr>
          <w:rFonts w:ascii="Times New Roman" w:hAnsi="Times New Roman" w:eastAsia="Times New Roman" w:cs="Times New Roman"/>
          <w:sz w:val="15"/>
          <w:szCs w:val="15"/>
          <w:spacing w:val="-21"/>
          <w:position w:val="-2"/>
        </w:rPr>
        <w:t xml:space="preserve"> </w:t>
      </w:r>
      <w:r>
        <w:rPr>
          <w:rFonts w:ascii="FangSong" w:hAnsi="FangSong" w:eastAsia="FangSong" w:cs="FangSong"/>
          <w:sz w:val="12"/>
          <w:szCs w:val="12"/>
          <w:spacing w:val="-1"/>
          <w:position w:val="-3"/>
        </w:rPr>
        <w:t>，</w:t>
      </w:r>
      <w:r>
        <w:rPr>
          <w:rFonts w:ascii="Times New Roman" w:hAnsi="Times New Roman" w:eastAsia="Times New Roman" w:cs="Times New Roman"/>
          <w:sz w:val="15"/>
          <w:szCs w:val="15"/>
          <w:spacing w:val="-1"/>
          <w:position w:val="-2"/>
        </w:rPr>
        <w:t>t</w:t>
      </w:r>
      <w:r>
        <w:rPr>
          <w:rFonts w:ascii="FangSong" w:hAnsi="FangSong" w:eastAsia="FangSong" w:cs="FangSong"/>
          <w:sz w:val="12"/>
          <w:szCs w:val="12"/>
          <w:spacing w:val="-1"/>
          <w:position w:val="-2"/>
        </w:rPr>
        <w:t>）</w:t>
      </w:r>
      <w:r>
        <w:rPr>
          <w:rFonts w:ascii="FangSong" w:hAnsi="FangSong" w:eastAsia="FangSong" w:cs="FangSong"/>
          <w:sz w:val="12"/>
          <w:szCs w:val="12"/>
          <w:spacing w:val="-1"/>
          <w:position w:val="-2"/>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第</w:t>
      </w:r>
      <w:r>
        <w:rPr>
          <w:rFonts w:ascii="Times New Roman" w:hAnsi="Times New Roman" w:eastAsia="Times New Roman" w:cs="Times New Roman"/>
          <w:sz w:val="24"/>
          <w:szCs w:val="24"/>
          <w:spacing w:val="-1"/>
        </w:rPr>
        <w:t>j</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个监测点位在</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t</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1"/>
        </w:rPr>
        <w:t>时刻</w:t>
      </w:r>
      <w:r>
        <w:rPr>
          <w:rFonts w:ascii="FangSong" w:hAnsi="FangSong" w:eastAsia="FangSong" w:cs="FangSong"/>
          <w:sz w:val="24"/>
          <w:szCs w:val="24"/>
          <w:spacing w:val="-2"/>
        </w:rPr>
        <w:t>环境质量现状浓度（包括</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1h</w:t>
      </w:r>
      <w:r>
        <w:rPr>
          <w:rFonts w:ascii="FangSong" w:hAnsi="FangSong" w:eastAsia="FangSong" w:cs="FangSong"/>
          <w:sz w:val="24"/>
          <w:szCs w:val="24"/>
          <w:spacing w:val="-5"/>
        </w:rPr>
        <w:t>平均、</w:t>
      </w:r>
      <w:r>
        <w:rPr>
          <w:rFonts w:ascii="Times New Roman" w:hAnsi="Times New Roman" w:eastAsia="Times New Roman" w:cs="Times New Roman"/>
          <w:sz w:val="24"/>
          <w:szCs w:val="24"/>
          <w:spacing w:val="-5"/>
        </w:rPr>
        <w:t>8h</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平均或</w:t>
      </w:r>
      <w:r>
        <w:rPr>
          <w:rFonts w:ascii="FangSong" w:hAnsi="FangSong" w:eastAsia="FangSong" w:cs="FangSong"/>
          <w:sz w:val="24"/>
          <w:szCs w:val="24"/>
          <w:spacing w:val="-54"/>
        </w:rPr>
        <w:t xml:space="preserve"> </w:t>
      </w:r>
      <w:r>
        <w:rPr>
          <w:rFonts w:ascii="FangSong" w:hAnsi="FangSong" w:eastAsia="FangSong" w:cs="FangSong"/>
          <w:sz w:val="24"/>
          <w:szCs w:val="24"/>
          <w:spacing w:val="-5"/>
        </w:rPr>
        <w:t>日平均质量浓度</w:t>
      </w:r>
      <w:r>
        <w:rPr>
          <w:rFonts w:ascii="FangSong" w:hAnsi="FangSong" w:eastAsia="FangSong" w:cs="FangSong"/>
          <w:sz w:val="24"/>
          <w:szCs w:val="24"/>
          <w:spacing w:val="3"/>
        </w:rPr>
        <w:t>），</w:t>
      </w:r>
      <w:r>
        <w:rPr>
          <w:rFonts w:ascii="Times New Roman" w:hAnsi="Times New Roman" w:eastAsia="Times New Roman" w:cs="Times New Roman"/>
          <w:sz w:val="24"/>
          <w:szCs w:val="24"/>
          <w:spacing w:val="-5"/>
        </w:rPr>
        <w:t>ug/m</w:t>
      </w:r>
      <w:r>
        <w:rPr>
          <w:rFonts w:ascii="Times New Roman" w:hAnsi="Times New Roman" w:eastAsia="Times New Roman" w:cs="Times New Roman"/>
          <w:sz w:val="15"/>
          <w:szCs w:val="15"/>
          <w:spacing w:val="-5"/>
          <w:position w:val="7"/>
        </w:rPr>
        <w:t>3</w:t>
      </w:r>
      <w:r>
        <w:rPr>
          <w:rFonts w:ascii="FangSong" w:hAnsi="FangSong" w:eastAsia="FangSong" w:cs="FangSong"/>
          <w:sz w:val="24"/>
          <w:szCs w:val="24"/>
          <w:spacing w:val="-5"/>
        </w:rPr>
        <w:t>；</w:t>
      </w:r>
    </w:p>
    <w:p>
      <w:pPr>
        <w:ind w:left="1768"/>
        <w:spacing w:before="26"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n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现状补充监测点位数。</w:t>
      </w:r>
    </w:p>
    <w:p>
      <w:pPr>
        <w:ind w:left="589"/>
        <w:spacing w:before="180" w:line="222" w:lineRule="auto"/>
        <w:rPr>
          <w:rFonts w:ascii="FangSong" w:hAnsi="FangSong" w:eastAsia="FangSong" w:cs="FangSong"/>
          <w:sz w:val="24"/>
          <w:szCs w:val="24"/>
        </w:rPr>
      </w:pPr>
      <w:r>
        <w:rPr>
          <w:rFonts w:ascii="FangSong" w:hAnsi="FangSong" w:eastAsia="FangSong" w:cs="FangSong"/>
          <w:sz w:val="24"/>
          <w:szCs w:val="24"/>
          <w:spacing w:val="-2"/>
        </w:rPr>
        <w:t>监测点各监测因子的计算结果见表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5.5-5</w:t>
      </w:r>
      <w:r>
        <w:rPr>
          <w:rFonts w:ascii="FangSong" w:hAnsi="FangSong" w:eastAsia="FangSong" w:cs="FangSong"/>
          <w:sz w:val="24"/>
          <w:szCs w:val="24"/>
          <w:spacing w:val="-2"/>
        </w:rPr>
        <w:t>。</w:t>
      </w:r>
    </w:p>
    <w:p>
      <w:pPr>
        <w:ind w:left="2111"/>
        <w:spacing w:before="180" w:line="212" w:lineRule="auto"/>
        <w:rPr>
          <w:rFonts w:ascii="Times New Roman" w:hAnsi="Times New Roman" w:eastAsia="Times New Roman" w:cs="Times New Roman"/>
          <w:sz w:val="15"/>
          <w:szCs w:val="15"/>
        </w:rPr>
      </w:pPr>
      <w:r>
        <w:rPr>
          <w:rFonts w:ascii="FangSong" w:hAnsi="FangSong" w:eastAsia="FangSong" w:cs="FangSong"/>
          <w:sz w:val="24"/>
          <w:szCs w:val="24"/>
          <w:b/>
          <w:bCs/>
          <w:spacing w:val="-3"/>
        </w:rPr>
        <w:t>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b/>
          <w:bCs/>
          <w:spacing w:val="-3"/>
        </w:rPr>
        <w:t>5.5-5  </w:t>
      </w:r>
      <w:r>
        <w:rPr>
          <w:rFonts w:ascii="FangSong" w:hAnsi="FangSong" w:eastAsia="FangSong" w:cs="FangSong"/>
          <w:sz w:val="24"/>
          <w:szCs w:val="24"/>
          <w:b/>
          <w:bCs/>
          <w:spacing w:val="-3"/>
        </w:rPr>
        <w:t>现状监测结果统计</w:t>
      </w:r>
      <w:r>
        <w:rPr>
          <w:rFonts w:ascii="FangSong" w:hAnsi="FangSong" w:eastAsia="FangSong" w:cs="FangSong"/>
          <w:sz w:val="24"/>
          <w:szCs w:val="24"/>
          <w:spacing w:val="20"/>
        </w:rPr>
        <w:t xml:space="preserve"> </w:t>
      </w:r>
      <w:r>
        <w:rPr>
          <w:rFonts w:ascii="FangSong" w:hAnsi="FangSong" w:eastAsia="FangSong" w:cs="FangSong"/>
          <w:sz w:val="24"/>
          <w:szCs w:val="24"/>
          <w:b/>
          <w:bCs/>
          <w:spacing w:val="-3"/>
        </w:rPr>
        <w:t>单位：</w:t>
      </w:r>
      <w:r>
        <w:rPr>
          <w:rFonts w:ascii="Times New Roman" w:hAnsi="Times New Roman" w:eastAsia="Times New Roman" w:cs="Times New Roman"/>
          <w:sz w:val="24"/>
          <w:szCs w:val="24"/>
          <w:b/>
          <w:bCs/>
          <w:spacing w:val="-3"/>
        </w:rPr>
        <w:t>μg/m</w:t>
      </w:r>
      <w:r>
        <w:rPr>
          <w:rFonts w:ascii="Times New Roman" w:hAnsi="Times New Roman" w:eastAsia="Times New Roman" w:cs="Times New Roman"/>
          <w:sz w:val="15"/>
          <w:szCs w:val="15"/>
          <w:b/>
          <w:bCs/>
          <w:spacing w:val="-3"/>
          <w:position w:val="7"/>
        </w:rPr>
        <w:t>3</w:t>
      </w:r>
    </w:p>
    <w:p>
      <w:pPr>
        <w:spacing w:line="78" w:lineRule="exact"/>
        <w:rPr/>
      </w:pPr>
      <w:r/>
    </w:p>
    <w:tbl>
      <w:tblPr>
        <w:tblStyle w:val="TableNormal"/>
        <w:tblW w:w="8479"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65"/>
        <w:gridCol w:w="1152"/>
        <w:gridCol w:w="1460"/>
        <w:gridCol w:w="934"/>
        <w:gridCol w:w="1251"/>
        <w:gridCol w:w="1044"/>
        <w:gridCol w:w="934"/>
        <w:gridCol w:w="939"/>
      </w:tblGrid>
      <w:tr>
        <w:trPr>
          <w:trHeight w:val="632" w:hRule="atLeast"/>
        </w:trPr>
        <w:tc>
          <w:tcPr>
            <w:tcW w:w="765" w:type="dxa"/>
            <w:vAlign w:val="top"/>
            <w:tcBorders>
              <w:right w:val="single" w:color="000000" w:sz="2" w:space="0"/>
              <w:left w:val="nil"/>
              <w:top w:val="single" w:color="000000" w:sz="10" w:space="0"/>
            </w:tcBorders>
          </w:tcPr>
          <w:p>
            <w:pPr>
              <w:pStyle w:val="TableText"/>
              <w:ind w:left="85"/>
              <w:spacing w:before="211" w:line="232" w:lineRule="auto"/>
              <w:rPr/>
            </w:pPr>
            <w:r>
              <w:rPr>
                <w:spacing w:val="3"/>
              </w:rPr>
              <w:t>监测点</w:t>
            </w:r>
          </w:p>
        </w:tc>
        <w:tc>
          <w:tcPr>
            <w:tcW w:w="1152" w:type="dxa"/>
            <w:vAlign w:val="top"/>
            <w:tcBorders>
              <w:left w:val="single" w:color="000000" w:sz="2" w:space="0"/>
              <w:right w:val="single" w:color="000000" w:sz="2" w:space="0"/>
              <w:top w:val="single" w:color="000000" w:sz="10" w:space="0"/>
            </w:tcBorders>
          </w:tcPr>
          <w:p>
            <w:pPr>
              <w:pStyle w:val="TableText"/>
              <w:ind w:left="171"/>
              <w:spacing w:before="211" w:line="232" w:lineRule="auto"/>
              <w:rPr/>
            </w:pPr>
            <w:r>
              <w:rPr>
                <w:spacing w:val="4"/>
              </w:rPr>
              <w:t>监测项目</w:t>
            </w:r>
          </w:p>
        </w:tc>
        <w:tc>
          <w:tcPr>
            <w:tcW w:w="1460" w:type="dxa"/>
            <w:vAlign w:val="top"/>
            <w:tcBorders>
              <w:left w:val="single" w:color="000000" w:sz="2" w:space="0"/>
              <w:right w:val="single" w:color="000000" w:sz="2" w:space="0"/>
              <w:top w:val="single" w:color="000000" w:sz="10" w:space="0"/>
            </w:tcBorders>
          </w:tcPr>
          <w:p>
            <w:pPr>
              <w:pStyle w:val="TableText"/>
              <w:ind w:left="322"/>
              <w:spacing w:before="211" w:line="232" w:lineRule="auto"/>
              <w:rPr/>
            </w:pPr>
            <w:r>
              <w:rPr>
                <w:spacing w:val="5"/>
              </w:rPr>
              <w:t>平均时间</w:t>
            </w:r>
          </w:p>
        </w:tc>
        <w:tc>
          <w:tcPr>
            <w:tcW w:w="934" w:type="dxa"/>
            <w:vAlign w:val="top"/>
            <w:tcBorders>
              <w:left w:val="single" w:color="000000" w:sz="2" w:space="0"/>
              <w:right w:val="single" w:color="000000" w:sz="2" w:space="0"/>
              <w:top w:val="single" w:color="000000" w:sz="10" w:space="0"/>
            </w:tcBorders>
          </w:tcPr>
          <w:p>
            <w:pPr>
              <w:pStyle w:val="TableText"/>
              <w:ind w:left="58"/>
              <w:spacing w:before="211" w:line="231" w:lineRule="auto"/>
              <w:rPr/>
            </w:pPr>
            <w:r>
              <w:rPr>
                <w:spacing w:val="5"/>
              </w:rPr>
              <w:t>评价标准</w:t>
            </w:r>
          </w:p>
        </w:tc>
        <w:tc>
          <w:tcPr>
            <w:tcW w:w="1251" w:type="dxa"/>
            <w:vAlign w:val="top"/>
            <w:tcBorders>
              <w:left w:val="single" w:color="000000" w:sz="2" w:space="0"/>
              <w:right w:val="single" w:color="000000" w:sz="2" w:space="0"/>
              <w:top w:val="single" w:color="000000" w:sz="10" w:space="0"/>
            </w:tcBorders>
          </w:tcPr>
          <w:p>
            <w:pPr>
              <w:pStyle w:val="TableText"/>
              <w:ind w:left="552" w:right="98" w:hanging="435"/>
              <w:spacing w:before="56" w:line="261" w:lineRule="auto"/>
              <w:rPr/>
            </w:pPr>
            <w:r>
              <w:rPr>
                <w:spacing w:val="5"/>
              </w:rPr>
              <w:t>监测浓度范</w:t>
            </w:r>
            <w:r>
              <w:rPr/>
              <w:t>围</w:t>
            </w:r>
          </w:p>
        </w:tc>
        <w:tc>
          <w:tcPr>
            <w:tcW w:w="1044" w:type="dxa"/>
            <w:vAlign w:val="top"/>
            <w:tcBorders>
              <w:left w:val="single" w:color="000000" w:sz="2" w:space="0"/>
              <w:right w:val="single" w:color="000000" w:sz="2" w:space="0"/>
              <w:top w:val="single" w:color="000000" w:sz="10" w:space="0"/>
            </w:tcBorders>
          </w:tcPr>
          <w:p>
            <w:pPr>
              <w:pStyle w:val="TableText"/>
              <w:ind w:left="252" w:right="101" w:hanging="133"/>
              <w:spacing w:before="56" w:line="261" w:lineRule="auto"/>
              <w:rPr/>
            </w:pPr>
            <w:r>
              <w:rPr>
                <w:spacing w:val="4"/>
              </w:rPr>
              <w:t>最大浓度</w:t>
            </w:r>
            <w:r>
              <w:rPr>
                <w:spacing w:val="-7"/>
              </w:rPr>
              <w:t>占标率</w:t>
            </w:r>
          </w:p>
        </w:tc>
        <w:tc>
          <w:tcPr>
            <w:tcW w:w="934" w:type="dxa"/>
            <w:vAlign w:val="top"/>
            <w:tcBorders>
              <w:left w:val="single" w:color="000000" w:sz="2" w:space="0"/>
              <w:right w:val="single" w:color="000000" w:sz="2" w:space="0"/>
              <w:top w:val="single" w:color="000000" w:sz="10" w:space="0"/>
            </w:tcBorders>
          </w:tcPr>
          <w:p>
            <w:pPr>
              <w:pStyle w:val="TableText"/>
              <w:ind w:left="165"/>
              <w:spacing w:before="211" w:line="231" w:lineRule="auto"/>
              <w:rPr/>
            </w:pPr>
            <w:r>
              <w:rPr>
                <w:spacing w:val="4"/>
              </w:rPr>
              <w:t>超标率</w:t>
            </w:r>
          </w:p>
        </w:tc>
        <w:tc>
          <w:tcPr>
            <w:tcW w:w="939" w:type="dxa"/>
            <w:vAlign w:val="top"/>
            <w:tcBorders>
              <w:left w:val="single" w:color="000000" w:sz="2" w:space="0"/>
              <w:right w:val="nil"/>
              <w:top w:val="single" w:color="000000" w:sz="10" w:space="0"/>
            </w:tcBorders>
          </w:tcPr>
          <w:p>
            <w:pPr>
              <w:pStyle w:val="TableText"/>
              <w:ind w:left="63"/>
              <w:spacing w:before="211" w:line="231" w:lineRule="auto"/>
              <w:rPr/>
            </w:pPr>
            <w:r>
              <w:rPr>
                <w:spacing w:val="5"/>
              </w:rPr>
              <w:t>是否超标</w:t>
            </w:r>
          </w:p>
        </w:tc>
      </w:tr>
      <w:tr>
        <w:trPr>
          <w:trHeight w:val="342" w:hRule="atLeast"/>
        </w:trPr>
        <w:tc>
          <w:tcPr>
            <w:tcW w:w="765" w:type="dxa"/>
            <w:vAlign w:val="top"/>
            <w:tcBorders>
              <w:right w:val="single" w:color="000000" w:sz="2" w:space="0"/>
              <w:left w:val="nil"/>
            </w:tcBorders>
          </w:tcPr>
          <w:p>
            <w:pPr>
              <w:ind w:left="251"/>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A1</w:t>
            </w:r>
          </w:p>
        </w:tc>
        <w:tc>
          <w:tcPr>
            <w:tcW w:w="1152" w:type="dxa"/>
            <w:vAlign w:val="top"/>
            <w:vMerge w:val="restart"/>
            <w:tcBorders>
              <w:left w:val="single" w:color="000000" w:sz="2" w:space="0"/>
              <w:right w:val="single" w:color="000000" w:sz="2" w:space="0"/>
              <w:bottom w:val="nil"/>
            </w:tcBorders>
          </w:tcPr>
          <w:p>
            <w:pPr>
              <w:ind w:left="398"/>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460" w:type="dxa"/>
            <w:vAlign w:val="top"/>
            <w:tcBorders>
              <w:left w:val="single" w:color="000000" w:sz="2" w:space="0"/>
              <w:right w:val="single" w:color="000000" w:sz="2" w:space="0"/>
            </w:tcBorders>
          </w:tcPr>
          <w:p>
            <w:pPr>
              <w:pStyle w:val="TableText"/>
              <w:ind w:left="336"/>
              <w:spacing w:before="65" w:line="232" w:lineRule="auto"/>
              <w:rPr/>
            </w:pPr>
            <w:r>
              <w:rPr>
                <w:rFonts w:ascii="Times New Roman" w:hAnsi="Times New Roman" w:eastAsia="Times New Roman" w:cs="Times New Roman"/>
                <w:spacing w:val="3"/>
              </w:rPr>
              <w:t>24h</w:t>
            </w:r>
            <w:r>
              <w:rPr>
                <w:rFonts w:ascii="Times New Roman" w:hAnsi="Times New Roman" w:eastAsia="Times New Roman" w:cs="Times New Roman"/>
                <w:spacing w:val="16"/>
                <w:w w:val="101"/>
              </w:rPr>
              <w:t xml:space="preserve"> </w:t>
            </w:r>
            <w:r>
              <w:rPr>
                <w:spacing w:val="3"/>
              </w:rPr>
              <w:t>均值</w:t>
            </w:r>
          </w:p>
        </w:tc>
        <w:tc>
          <w:tcPr>
            <w:tcW w:w="934" w:type="dxa"/>
            <w:vAlign w:val="top"/>
            <w:tcBorders>
              <w:left w:val="single" w:color="000000" w:sz="2" w:space="0"/>
              <w:right w:val="single" w:color="000000" w:sz="2" w:space="0"/>
            </w:tcBorders>
          </w:tcPr>
          <w:p>
            <w:pPr>
              <w:ind w:left="31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51" w:type="dxa"/>
            <w:vAlign w:val="top"/>
            <w:tcBorders>
              <w:left w:val="single" w:color="000000" w:sz="2" w:space="0"/>
              <w:right w:val="single" w:color="000000" w:sz="2" w:space="0"/>
            </w:tcBorders>
          </w:tcPr>
          <w:p>
            <w:pPr>
              <w:ind w:left="297"/>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197-232</w:t>
            </w:r>
          </w:p>
        </w:tc>
        <w:tc>
          <w:tcPr>
            <w:tcW w:w="1044" w:type="dxa"/>
            <w:vAlign w:val="top"/>
            <w:tcBorders>
              <w:left w:val="single" w:color="000000" w:sz="2" w:space="0"/>
              <w:right w:val="single" w:color="000000" w:sz="2" w:space="0"/>
            </w:tcBorders>
          </w:tcPr>
          <w:p>
            <w:pPr>
              <w:ind w:left="20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77.33%</w:t>
            </w:r>
          </w:p>
        </w:tc>
        <w:tc>
          <w:tcPr>
            <w:tcW w:w="934" w:type="dxa"/>
            <w:vAlign w:val="top"/>
            <w:tcBorders>
              <w:left w:val="single" w:color="000000" w:sz="2" w:space="0"/>
              <w:right w:val="single" w:color="000000" w:sz="2" w:space="0"/>
            </w:tcBorders>
          </w:tcPr>
          <w:p>
            <w:pPr>
              <w:ind w:left="41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66" w:line="233" w:lineRule="auto"/>
              <w:rPr/>
            </w:pPr>
            <w:r>
              <w:rPr/>
              <w:t>否</w:t>
            </w:r>
          </w:p>
        </w:tc>
      </w:tr>
      <w:tr>
        <w:trPr>
          <w:trHeight w:val="343" w:hRule="atLeast"/>
        </w:trPr>
        <w:tc>
          <w:tcPr>
            <w:tcW w:w="765" w:type="dxa"/>
            <w:vAlign w:val="top"/>
            <w:tcBorders>
              <w:right w:val="single" w:color="000000" w:sz="2" w:space="0"/>
              <w:left w:val="nil"/>
            </w:tcBorders>
          </w:tcPr>
          <w:p>
            <w:pPr>
              <w:ind w:left="25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A2</w:t>
            </w:r>
          </w:p>
        </w:tc>
        <w:tc>
          <w:tcPr>
            <w:tcW w:w="1152" w:type="dxa"/>
            <w:vAlign w:val="top"/>
            <w:vMerge w:val="continue"/>
            <w:tcBorders>
              <w:left w:val="single" w:color="000000" w:sz="2" w:space="0"/>
              <w:right w:val="single" w:color="000000" w:sz="2" w:space="0"/>
              <w:top w:val="nil"/>
            </w:tcBorders>
          </w:tcPr>
          <w:p>
            <w:pPr>
              <w:rPr>
                <w:rFonts w:ascii="Arial"/>
                <w:sz w:val="21"/>
              </w:rPr>
            </w:pPr>
            <w:r/>
          </w:p>
        </w:tc>
        <w:tc>
          <w:tcPr>
            <w:tcW w:w="1460" w:type="dxa"/>
            <w:vAlign w:val="top"/>
            <w:tcBorders>
              <w:left w:val="single" w:color="000000" w:sz="2" w:space="0"/>
              <w:right w:val="single" w:color="000000" w:sz="2" w:space="0"/>
            </w:tcBorders>
          </w:tcPr>
          <w:p>
            <w:pPr>
              <w:pStyle w:val="TableText"/>
              <w:ind w:left="336"/>
              <w:spacing w:before="69" w:line="232" w:lineRule="auto"/>
              <w:rPr/>
            </w:pPr>
            <w:r>
              <w:rPr>
                <w:rFonts w:ascii="Times New Roman" w:hAnsi="Times New Roman" w:eastAsia="Times New Roman" w:cs="Times New Roman"/>
                <w:spacing w:val="3"/>
              </w:rPr>
              <w:t>24h</w:t>
            </w:r>
            <w:r>
              <w:rPr>
                <w:rFonts w:ascii="Times New Roman" w:hAnsi="Times New Roman" w:eastAsia="Times New Roman" w:cs="Times New Roman"/>
                <w:spacing w:val="16"/>
                <w:w w:val="101"/>
              </w:rPr>
              <w:t xml:space="preserve"> </w:t>
            </w:r>
            <w:r>
              <w:rPr>
                <w:spacing w:val="3"/>
              </w:rPr>
              <w:t>均值</w:t>
            </w:r>
          </w:p>
        </w:tc>
        <w:tc>
          <w:tcPr>
            <w:tcW w:w="934" w:type="dxa"/>
            <w:vAlign w:val="top"/>
            <w:tcBorders>
              <w:left w:val="single" w:color="000000" w:sz="2" w:space="0"/>
              <w:right w:val="single" w:color="000000" w:sz="2" w:space="0"/>
            </w:tcBorders>
          </w:tcPr>
          <w:p>
            <w:pPr>
              <w:ind w:left="31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51" w:type="dxa"/>
            <w:vAlign w:val="top"/>
            <w:tcBorders>
              <w:left w:val="single" w:color="000000" w:sz="2" w:space="0"/>
              <w:right w:val="single" w:color="000000" w:sz="2" w:space="0"/>
            </w:tcBorders>
          </w:tcPr>
          <w:p>
            <w:pPr>
              <w:ind w:left="27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213-243</w:t>
            </w:r>
          </w:p>
        </w:tc>
        <w:tc>
          <w:tcPr>
            <w:tcW w:w="1044" w:type="dxa"/>
            <w:vAlign w:val="top"/>
            <w:tcBorders>
              <w:left w:val="single" w:color="000000" w:sz="2" w:space="0"/>
              <w:right w:val="single" w:color="000000" w:sz="2" w:space="0"/>
            </w:tcBorders>
          </w:tcPr>
          <w:p>
            <w:pPr>
              <w:ind w:left="20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81.00%</w:t>
            </w:r>
          </w:p>
        </w:tc>
        <w:tc>
          <w:tcPr>
            <w:tcW w:w="934" w:type="dxa"/>
            <w:vAlign w:val="top"/>
            <w:tcBorders>
              <w:left w:val="single" w:color="000000" w:sz="2" w:space="0"/>
              <w:right w:val="single" w:color="000000" w:sz="2" w:space="0"/>
            </w:tcBorders>
          </w:tcPr>
          <w:p>
            <w:pPr>
              <w:ind w:left="41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69" w:line="233" w:lineRule="auto"/>
              <w:rPr/>
            </w:pPr>
            <w:r>
              <w:rPr/>
              <w:t>否</w:t>
            </w:r>
          </w:p>
        </w:tc>
      </w:tr>
      <w:tr>
        <w:trPr>
          <w:trHeight w:val="343" w:hRule="atLeast"/>
        </w:trPr>
        <w:tc>
          <w:tcPr>
            <w:tcW w:w="765" w:type="dxa"/>
            <w:vAlign w:val="top"/>
            <w:vMerge w:val="restart"/>
            <w:tcBorders>
              <w:right w:val="single" w:color="000000" w:sz="2" w:space="0"/>
              <w:left w:val="nil"/>
              <w:bottom w:val="nil"/>
            </w:tcBorders>
          </w:tcPr>
          <w:p>
            <w:pPr>
              <w:ind w:left="251"/>
              <w:spacing w:before="2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A1</w:t>
            </w:r>
          </w:p>
        </w:tc>
        <w:tc>
          <w:tcPr>
            <w:tcW w:w="1152" w:type="dxa"/>
            <w:vAlign w:val="top"/>
            <w:vMerge w:val="restart"/>
            <w:tcBorders>
              <w:left w:val="single" w:color="000000" w:sz="2" w:space="0"/>
              <w:right w:val="single" w:color="000000" w:sz="2" w:space="0"/>
              <w:bottom w:val="nil"/>
            </w:tcBorders>
          </w:tcPr>
          <w:p>
            <w:pPr>
              <w:spacing w:line="289" w:lineRule="auto"/>
              <w:rPr>
                <w:rFonts w:ascii="Arial"/>
                <w:sz w:val="21"/>
              </w:rPr>
            </w:pPr>
            <w:r/>
          </w:p>
          <w:p>
            <w:pPr>
              <w:spacing w:line="290" w:lineRule="auto"/>
              <w:rPr>
                <w:rFonts w:ascii="Arial"/>
                <w:sz w:val="21"/>
              </w:rPr>
            </w:pPr>
            <w:r/>
          </w:p>
          <w:p>
            <w:pPr>
              <w:ind w:left="384"/>
              <w:spacing w:before="5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460" w:type="dxa"/>
            <w:vAlign w:val="top"/>
            <w:tcBorders>
              <w:left w:val="single" w:color="000000" w:sz="2" w:space="0"/>
              <w:right w:val="single" w:color="000000" w:sz="2" w:space="0"/>
            </w:tcBorders>
          </w:tcPr>
          <w:p>
            <w:pPr>
              <w:pStyle w:val="TableText"/>
              <w:ind w:left="409"/>
              <w:spacing w:before="71" w:line="232" w:lineRule="auto"/>
              <w:rPr/>
            </w:pPr>
            <w:r>
              <w:rPr>
                <w:rFonts w:ascii="Times New Roman" w:hAnsi="Times New Roman" w:eastAsia="Times New Roman" w:cs="Times New Roman"/>
                <w:spacing w:val="-3"/>
              </w:rPr>
              <w:t>1h</w:t>
            </w:r>
            <w:r>
              <w:rPr>
                <w:rFonts w:ascii="Times New Roman" w:hAnsi="Times New Roman" w:eastAsia="Times New Roman" w:cs="Times New Roman"/>
                <w:spacing w:val="15"/>
                <w:w w:val="101"/>
              </w:rPr>
              <w:t xml:space="preserve"> </w:t>
            </w:r>
            <w:r>
              <w:rPr>
                <w:spacing w:val="-3"/>
              </w:rPr>
              <w:t>均值</w:t>
            </w:r>
          </w:p>
        </w:tc>
        <w:tc>
          <w:tcPr>
            <w:tcW w:w="934" w:type="dxa"/>
            <w:vAlign w:val="top"/>
            <w:tcBorders>
              <w:left w:val="single" w:color="000000" w:sz="2" w:space="0"/>
              <w:right w:val="single" w:color="000000" w:sz="2" w:space="0"/>
            </w:tcBorders>
          </w:tcPr>
          <w:p>
            <w:pPr>
              <w:ind w:left="311"/>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251" w:type="dxa"/>
            <w:vAlign w:val="top"/>
            <w:tcBorders>
              <w:left w:val="single" w:color="000000" w:sz="2" w:space="0"/>
              <w:right w:val="single" w:color="000000" w:sz="2" w:space="0"/>
            </w:tcBorders>
          </w:tcPr>
          <w:p>
            <w:pPr>
              <w:ind w:left="401"/>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17-21</w:t>
            </w:r>
          </w:p>
        </w:tc>
        <w:tc>
          <w:tcPr>
            <w:tcW w:w="1044" w:type="dxa"/>
            <w:vAlign w:val="top"/>
            <w:tcBorders>
              <w:left w:val="single" w:color="000000" w:sz="2" w:space="0"/>
              <w:right w:val="single" w:color="000000" w:sz="2" w:space="0"/>
            </w:tcBorders>
          </w:tcPr>
          <w:p>
            <w:pPr>
              <w:ind w:left="261"/>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8.40%</w:t>
            </w:r>
          </w:p>
        </w:tc>
        <w:tc>
          <w:tcPr>
            <w:tcW w:w="934" w:type="dxa"/>
            <w:vAlign w:val="top"/>
            <w:tcBorders>
              <w:left w:val="single" w:color="000000" w:sz="2" w:space="0"/>
              <w:right w:val="single" w:color="000000" w:sz="2" w:space="0"/>
            </w:tcBorders>
          </w:tcPr>
          <w:p>
            <w:pPr>
              <w:ind w:left="41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71" w:line="233" w:lineRule="auto"/>
              <w:rPr/>
            </w:pPr>
            <w:r>
              <w:rPr/>
              <w:t>否</w:t>
            </w:r>
          </w:p>
        </w:tc>
      </w:tr>
      <w:tr>
        <w:trPr>
          <w:trHeight w:val="343" w:hRule="atLeast"/>
        </w:trPr>
        <w:tc>
          <w:tcPr>
            <w:tcW w:w="765" w:type="dxa"/>
            <w:vAlign w:val="top"/>
            <w:vMerge w:val="continue"/>
            <w:tcBorders>
              <w:right w:val="single" w:color="000000" w:sz="2" w:space="0"/>
              <w:left w:val="nil"/>
              <w:top w:val="nil"/>
            </w:tcBorders>
          </w:tcPr>
          <w:p>
            <w:pPr>
              <w:rPr>
                <w:rFonts w:ascii="Arial"/>
                <w:sz w:val="21"/>
              </w:rPr>
            </w:pPr>
            <w:r/>
          </w:p>
        </w:tc>
        <w:tc>
          <w:tcPr>
            <w:tcW w:w="1152" w:type="dxa"/>
            <w:vAlign w:val="top"/>
            <w:vMerge w:val="continue"/>
            <w:tcBorders>
              <w:left w:val="single" w:color="000000" w:sz="2" w:space="0"/>
              <w:right w:val="single" w:color="000000" w:sz="2" w:space="0"/>
              <w:top w:val="nil"/>
              <w:bottom w:val="nil"/>
            </w:tcBorders>
          </w:tcPr>
          <w:p>
            <w:pPr>
              <w:rPr>
                <w:rFonts w:ascii="Arial"/>
                <w:sz w:val="21"/>
              </w:rPr>
            </w:pPr>
            <w:r/>
          </w:p>
        </w:tc>
        <w:tc>
          <w:tcPr>
            <w:tcW w:w="1460" w:type="dxa"/>
            <w:vAlign w:val="top"/>
            <w:tcBorders>
              <w:left w:val="single" w:color="000000" w:sz="2" w:space="0"/>
              <w:right w:val="single" w:color="000000" w:sz="2" w:space="0"/>
            </w:tcBorders>
          </w:tcPr>
          <w:p>
            <w:pPr>
              <w:pStyle w:val="TableText"/>
              <w:ind w:left="336"/>
              <w:spacing w:before="73" w:line="232"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均值</w:t>
            </w:r>
          </w:p>
        </w:tc>
        <w:tc>
          <w:tcPr>
            <w:tcW w:w="934" w:type="dxa"/>
            <w:vAlign w:val="top"/>
            <w:tcBorders>
              <w:left w:val="single" w:color="000000" w:sz="2" w:space="0"/>
              <w:right w:val="single" w:color="000000" w:sz="2" w:space="0"/>
            </w:tcBorders>
          </w:tcPr>
          <w:p>
            <w:pPr>
              <w:ind w:left="33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251" w:type="dxa"/>
            <w:vAlign w:val="top"/>
            <w:tcBorders>
              <w:left w:val="single" w:color="000000" w:sz="2" w:space="0"/>
              <w:right w:val="single" w:color="000000" w:sz="2" w:space="0"/>
            </w:tcBorders>
          </w:tcPr>
          <w:p>
            <w:pPr>
              <w:ind w:left="40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16-18</w:t>
            </w:r>
          </w:p>
        </w:tc>
        <w:tc>
          <w:tcPr>
            <w:tcW w:w="1044" w:type="dxa"/>
            <w:vAlign w:val="top"/>
            <w:tcBorders>
              <w:left w:val="single" w:color="000000" w:sz="2" w:space="0"/>
              <w:right w:val="single" w:color="000000" w:sz="2" w:space="0"/>
            </w:tcBorders>
          </w:tcPr>
          <w:p>
            <w:pPr>
              <w:ind w:left="220"/>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18.00%</w:t>
            </w:r>
          </w:p>
        </w:tc>
        <w:tc>
          <w:tcPr>
            <w:tcW w:w="934" w:type="dxa"/>
            <w:vAlign w:val="top"/>
            <w:tcBorders>
              <w:left w:val="single" w:color="000000" w:sz="2" w:space="0"/>
              <w:right w:val="single" w:color="000000" w:sz="2" w:space="0"/>
            </w:tcBorders>
          </w:tcPr>
          <w:p>
            <w:pPr>
              <w:ind w:left="41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74" w:line="233" w:lineRule="auto"/>
              <w:rPr/>
            </w:pPr>
            <w:r>
              <w:rPr/>
              <w:t>否</w:t>
            </w:r>
          </w:p>
        </w:tc>
      </w:tr>
      <w:tr>
        <w:trPr>
          <w:trHeight w:val="343" w:hRule="atLeast"/>
        </w:trPr>
        <w:tc>
          <w:tcPr>
            <w:tcW w:w="765" w:type="dxa"/>
            <w:vAlign w:val="top"/>
            <w:vMerge w:val="restart"/>
            <w:tcBorders>
              <w:right w:val="single" w:color="000000" w:sz="2" w:space="0"/>
              <w:left w:val="nil"/>
              <w:bottom w:val="nil"/>
            </w:tcBorders>
          </w:tcPr>
          <w:p>
            <w:pPr>
              <w:ind w:left="251"/>
              <w:spacing w:before="2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A2</w:t>
            </w:r>
          </w:p>
        </w:tc>
        <w:tc>
          <w:tcPr>
            <w:tcW w:w="1152" w:type="dxa"/>
            <w:vAlign w:val="top"/>
            <w:vMerge w:val="continue"/>
            <w:tcBorders>
              <w:left w:val="single" w:color="000000" w:sz="2" w:space="0"/>
              <w:right w:val="single" w:color="000000" w:sz="2" w:space="0"/>
              <w:top w:val="nil"/>
              <w:bottom w:val="nil"/>
            </w:tcBorders>
          </w:tcPr>
          <w:p>
            <w:pPr>
              <w:rPr>
                <w:rFonts w:ascii="Arial"/>
                <w:sz w:val="21"/>
              </w:rPr>
            </w:pPr>
            <w:r/>
          </w:p>
        </w:tc>
        <w:tc>
          <w:tcPr>
            <w:tcW w:w="1460" w:type="dxa"/>
            <w:vAlign w:val="top"/>
            <w:tcBorders>
              <w:left w:val="single" w:color="000000" w:sz="2" w:space="0"/>
              <w:right w:val="single" w:color="000000" w:sz="2" w:space="0"/>
            </w:tcBorders>
          </w:tcPr>
          <w:p>
            <w:pPr>
              <w:pStyle w:val="TableText"/>
              <w:ind w:left="409"/>
              <w:spacing w:before="75" w:line="232" w:lineRule="auto"/>
              <w:rPr/>
            </w:pPr>
            <w:r>
              <w:rPr>
                <w:rFonts w:ascii="Times New Roman" w:hAnsi="Times New Roman" w:eastAsia="Times New Roman" w:cs="Times New Roman"/>
                <w:spacing w:val="-3"/>
              </w:rPr>
              <w:t>1h</w:t>
            </w:r>
            <w:r>
              <w:rPr>
                <w:rFonts w:ascii="Times New Roman" w:hAnsi="Times New Roman" w:eastAsia="Times New Roman" w:cs="Times New Roman"/>
                <w:spacing w:val="15"/>
                <w:w w:val="101"/>
              </w:rPr>
              <w:t xml:space="preserve"> </w:t>
            </w:r>
            <w:r>
              <w:rPr>
                <w:spacing w:val="-3"/>
              </w:rPr>
              <w:t>均值</w:t>
            </w:r>
          </w:p>
        </w:tc>
        <w:tc>
          <w:tcPr>
            <w:tcW w:w="934" w:type="dxa"/>
            <w:vAlign w:val="top"/>
            <w:tcBorders>
              <w:left w:val="single" w:color="000000" w:sz="2" w:space="0"/>
              <w:right w:val="single" w:color="000000" w:sz="2" w:space="0"/>
            </w:tcBorders>
          </w:tcPr>
          <w:p>
            <w:pPr>
              <w:ind w:left="311"/>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251" w:type="dxa"/>
            <w:vAlign w:val="top"/>
            <w:tcBorders>
              <w:left w:val="single" w:color="000000" w:sz="2" w:space="0"/>
              <w:right w:val="single" w:color="000000" w:sz="2" w:space="0"/>
            </w:tcBorders>
          </w:tcPr>
          <w:p>
            <w:pPr>
              <w:ind w:left="401"/>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18-22</w:t>
            </w:r>
          </w:p>
        </w:tc>
        <w:tc>
          <w:tcPr>
            <w:tcW w:w="1044" w:type="dxa"/>
            <w:vAlign w:val="top"/>
            <w:tcBorders>
              <w:left w:val="single" w:color="000000" w:sz="2" w:space="0"/>
              <w:right w:val="single" w:color="000000" w:sz="2" w:space="0"/>
            </w:tcBorders>
          </w:tcPr>
          <w:p>
            <w:pPr>
              <w:ind w:left="31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8.8%</w:t>
            </w:r>
          </w:p>
        </w:tc>
        <w:tc>
          <w:tcPr>
            <w:tcW w:w="934" w:type="dxa"/>
            <w:vAlign w:val="top"/>
            <w:tcBorders>
              <w:left w:val="single" w:color="000000" w:sz="2" w:space="0"/>
              <w:right w:val="single" w:color="000000" w:sz="2" w:space="0"/>
            </w:tcBorders>
          </w:tcPr>
          <w:p>
            <w:pPr>
              <w:ind w:left="41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76" w:line="233" w:lineRule="auto"/>
              <w:rPr/>
            </w:pPr>
            <w:r>
              <w:rPr/>
              <w:t>否</w:t>
            </w:r>
          </w:p>
        </w:tc>
      </w:tr>
      <w:tr>
        <w:trPr>
          <w:trHeight w:val="343" w:hRule="atLeast"/>
        </w:trPr>
        <w:tc>
          <w:tcPr>
            <w:tcW w:w="765" w:type="dxa"/>
            <w:vAlign w:val="top"/>
            <w:vMerge w:val="continue"/>
            <w:tcBorders>
              <w:right w:val="single" w:color="000000" w:sz="2" w:space="0"/>
              <w:left w:val="nil"/>
              <w:top w:val="nil"/>
            </w:tcBorders>
          </w:tcPr>
          <w:p>
            <w:pPr>
              <w:rPr>
                <w:rFonts w:ascii="Arial"/>
                <w:sz w:val="21"/>
              </w:rPr>
            </w:pPr>
            <w:r/>
          </w:p>
        </w:tc>
        <w:tc>
          <w:tcPr>
            <w:tcW w:w="1152" w:type="dxa"/>
            <w:vAlign w:val="top"/>
            <w:vMerge w:val="continue"/>
            <w:tcBorders>
              <w:left w:val="single" w:color="000000" w:sz="2" w:space="0"/>
              <w:right w:val="single" w:color="000000" w:sz="2" w:space="0"/>
              <w:top w:val="nil"/>
            </w:tcBorders>
          </w:tcPr>
          <w:p>
            <w:pPr>
              <w:rPr>
                <w:rFonts w:ascii="Arial"/>
                <w:sz w:val="21"/>
              </w:rPr>
            </w:pPr>
            <w:r/>
          </w:p>
        </w:tc>
        <w:tc>
          <w:tcPr>
            <w:tcW w:w="1460" w:type="dxa"/>
            <w:vAlign w:val="top"/>
            <w:tcBorders>
              <w:left w:val="single" w:color="000000" w:sz="2" w:space="0"/>
              <w:right w:val="single" w:color="000000" w:sz="2" w:space="0"/>
            </w:tcBorders>
          </w:tcPr>
          <w:p>
            <w:pPr>
              <w:pStyle w:val="TableText"/>
              <w:ind w:left="336"/>
              <w:spacing w:before="77" w:line="232"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均值</w:t>
            </w:r>
          </w:p>
        </w:tc>
        <w:tc>
          <w:tcPr>
            <w:tcW w:w="934" w:type="dxa"/>
            <w:vAlign w:val="top"/>
            <w:tcBorders>
              <w:left w:val="single" w:color="000000" w:sz="2" w:space="0"/>
              <w:right w:val="single" w:color="000000" w:sz="2" w:space="0"/>
            </w:tcBorders>
          </w:tcPr>
          <w:p>
            <w:pPr>
              <w:ind w:left="331"/>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251" w:type="dxa"/>
            <w:vAlign w:val="top"/>
            <w:tcBorders>
              <w:left w:val="single" w:color="000000" w:sz="2" w:space="0"/>
              <w:right w:val="single" w:color="000000" w:sz="2" w:space="0"/>
            </w:tcBorders>
          </w:tcPr>
          <w:p>
            <w:pPr>
              <w:ind w:left="401"/>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17-19</w:t>
            </w:r>
          </w:p>
        </w:tc>
        <w:tc>
          <w:tcPr>
            <w:tcW w:w="1044" w:type="dxa"/>
            <w:vAlign w:val="top"/>
            <w:tcBorders>
              <w:left w:val="single" w:color="000000" w:sz="2" w:space="0"/>
              <w:right w:val="single" w:color="000000" w:sz="2" w:space="0"/>
            </w:tcBorders>
          </w:tcPr>
          <w:p>
            <w:pPr>
              <w:ind w:left="22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19.00%</w:t>
            </w:r>
          </w:p>
        </w:tc>
        <w:tc>
          <w:tcPr>
            <w:tcW w:w="934" w:type="dxa"/>
            <w:vAlign w:val="top"/>
            <w:tcBorders>
              <w:left w:val="single" w:color="000000" w:sz="2" w:space="0"/>
              <w:right w:val="single" w:color="000000" w:sz="2" w:space="0"/>
            </w:tcBorders>
          </w:tcPr>
          <w:p>
            <w:pPr>
              <w:ind w:left="419"/>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78" w:line="233" w:lineRule="auto"/>
              <w:rPr/>
            </w:pPr>
            <w:r>
              <w:rPr/>
              <w:t>否</w:t>
            </w:r>
          </w:p>
        </w:tc>
      </w:tr>
      <w:tr>
        <w:trPr>
          <w:trHeight w:val="343" w:hRule="atLeast"/>
        </w:trPr>
        <w:tc>
          <w:tcPr>
            <w:tcW w:w="765" w:type="dxa"/>
            <w:vAlign w:val="top"/>
            <w:vMerge w:val="restart"/>
            <w:tcBorders>
              <w:right w:val="single" w:color="000000" w:sz="2" w:space="0"/>
              <w:left w:val="nil"/>
              <w:bottom w:val="nil"/>
            </w:tcBorders>
          </w:tcPr>
          <w:p>
            <w:pPr>
              <w:ind w:left="251"/>
              <w:spacing w:before="2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A1</w:t>
            </w:r>
          </w:p>
        </w:tc>
        <w:tc>
          <w:tcPr>
            <w:tcW w:w="1152" w:type="dxa"/>
            <w:vAlign w:val="top"/>
            <w:vMerge w:val="restart"/>
            <w:tcBorders>
              <w:left w:val="single" w:color="000000" w:sz="2" w:space="0"/>
              <w:right w:val="single" w:color="000000" w:sz="2" w:space="0"/>
              <w:bottom w:val="nil"/>
            </w:tcBorders>
          </w:tcPr>
          <w:p>
            <w:pPr>
              <w:spacing w:line="272" w:lineRule="auto"/>
              <w:rPr>
                <w:rFonts w:ascii="Arial"/>
                <w:sz w:val="21"/>
              </w:rPr>
            </w:pPr>
            <w:r/>
          </w:p>
          <w:p>
            <w:pPr>
              <w:spacing w:line="273" w:lineRule="auto"/>
              <w:rPr>
                <w:rFonts w:ascii="Arial"/>
                <w:sz w:val="21"/>
              </w:rPr>
            </w:pPr>
            <w:r/>
          </w:p>
          <w:p>
            <w:pPr>
              <w:pStyle w:val="TableText"/>
              <w:ind w:left="277"/>
              <w:spacing w:before="65" w:line="229" w:lineRule="auto"/>
              <w:rPr/>
            </w:pPr>
            <w:r>
              <w:rPr>
                <w:spacing w:val="3"/>
              </w:rPr>
              <w:t>氟化物</w:t>
            </w:r>
          </w:p>
        </w:tc>
        <w:tc>
          <w:tcPr>
            <w:tcW w:w="1460" w:type="dxa"/>
            <w:vAlign w:val="top"/>
            <w:tcBorders>
              <w:left w:val="single" w:color="000000" w:sz="2" w:space="0"/>
              <w:right w:val="single" w:color="000000" w:sz="2" w:space="0"/>
            </w:tcBorders>
          </w:tcPr>
          <w:p>
            <w:pPr>
              <w:pStyle w:val="TableText"/>
              <w:ind w:left="409"/>
              <w:spacing w:before="80" w:line="232" w:lineRule="auto"/>
              <w:rPr/>
            </w:pPr>
            <w:r>
              <w:rPr>
                <w:rFonts w:ascii="Times New Roman" w:hAnsi="Times New Roman" w:eastAsia="Times New Roman" w:cs="Times New Roman"/>
                <w:spacing w:val="-3"/>
              </w:rPr>
              <w:t>1h</w:t>
            </w:r>
            <w:r>
              <w:rPr>
                <w:rFonts w:ascii="Times New Roman" w:hAnsi="Times New Roman" w:eastAsia="Times New Roman" w:cs="Times New Roman"/>
                <w:spacing w:val="15"/>
                <w:w w:val="101"/>
              </w:rPr>
              <w:t xml:space="preserve"> </w:t>
            </w:r>
            <w:r>
              <w:rPr>
                <w:spacing w:val="-3"/>
              </w:rPr>
              <w:t>均值</w:t>
            </w:r>
          </w:p>
        </w:tc>
        <w:tc>
          <w:tcPr>
            <w:tcW w:w="934" w:type="dxa"/>
            <w:vAlign w:val="top"/>
            <w:tcBorders>
              <w:left w:val="single" w:color="000000" w:sz="2" w:space="0"/>
              <w:right w:val="single" w:color="000000" w:sz="2" w:space="0"/>
            </w:tcBorders>
          </w:tcPr>
          <w:p>
            <w:pPr>
              <w:ind w:left="364"/>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51" w:type="dxa"/>
            <w:vAlign w:val="top"/>
            <w:tcBorders>
              <w:left w:val="single" w:color="000000" w:sz="2" w:space="0"/>
              <w:right w:val="single" w:color="000000" w:sz="2" w:space="0"/>
            </w:tcBorders>
          </w:tcPr>
          <w:p>
            <w:pPr>
              <w:ind w:left="434"/>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0.5L</w:t>
            </w:r>
          </w:p>
        </w:tc>
        <w:tc>
          <w:tcPr>
            <w:tcW w:w="1044" w:type="dxa"/>
            <w:vAlign w:val="top"/>
            <w:tcBorders>
              <w:left w:val="single" w:color="000000" w:sz="2" w:space="0"/>
              <w:right w:val="single" w:color="000000" w:sz="2" w:space="0"/>
            </w:tcBorders>
          </w:tcPr>
          <w:p>
            <w:pPr>
              <w:ind w:left="253"/>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2.50%</w:t>
            </w:r>
          </w:p>
        </w:tc>
        <w:tc>
          <w:tcPr>
            <w:tcW w:w="934" w:type="dxa"/>
            <w:vAlign w:val="top"/>
            <w:tcBorders>
              <w:left w:val="single" w:color="000000" w:sz="2" w:space="0"/>
              <w:right w:val="single" w:color="000000" w:sz="2" w:space="0"/>
            </w:tcBorders>
          </w:tcPr>
          <w:p>
            <w:pPr>
              <w:ind w:left="419"/>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80" w:line="233" w:lineRule="auto"/>
              <w:rPr/>
            </w:pPr>
            <w:r>
              <w:rPr/>
              <w:t>否</w:t>
            </w:r>
          </w:p>
        </w:tc>
      </w:tr>
      <w:tr>
        <w:trPr>
          <w:trHeight w:val="343" w:hRule="atLeast"/>
        </w:trPr>
        <w:tc>
          <w:tcPr>
            <w:tcW w:w="765" w:type="dxa"/>
            <w:vAlign w:val="top"/>
            <w:vMerge w:val="continue"/>
            <w:tcBorders>
              <w:right w:val="single" w:color="000000" w:sz="2" w:space="0"/>
              <w:left w:val="nil"/>
              <w:top w:val="nil"/>
            </w:tcBorders>
          </w:tcPr>
          <w:p>
            <w:pPr>
              <w:rPr>
                <w:rFonts w:ascii="Arial"/>
                <w:sz w:val="21"/>
              </w:rPr>
            </w:pPr>
            <w:r/>
          </w:p>
        </w:tc>
        <w:tc>
          <w:tcPr>
            <w:tcW w:w="1152" w:type="dxa"/>
            <w:vAlign w:val="top"/>
            <w:vMerge w:val="continue"/>
            <w:tcBorders>
              <w:left w:val="single" w:color="000000" w:sz="2" w:space="0"/>
              <w:right w:val="single" w:color="000000" w:sz="2" w:space="0"/>
              <w:bottom w:val="nil"/>
              <w:top w:val="nil"/>
            </w:tcBorders>
          </w:tcPr>
          <w:p>
            <w:pPr>
              <w:rPr>
                <w:rFonts w:ascii="Arial"/>
                <w:sz w:val="21"/>
              </w:rPr>
            </w:pPr>
            <w:r/>
          </w:p>
        </w:tc>
        <w:tc>
          <w:tcPr>
            <w:tcW w:w="1460" w:type="dxa"/>
            <w:vAlign w:val="top"/>
            <w:tcBorders>
              <w:left w:val="single" w:color="000000" w:sz="2" w:space="0"/>
              <w:right w:val="single" w:color="000000" w:sz="2" w:space="0"/>
            </w:tcBorders>
          </w:tcPr>
          <w:p>
            <w:pPr>
              <w:pStyle w:val="TableText"/>
              <w:ind w:left="336"/>
              <w:spacing w:before="82" w:line="231"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均值</w:t>
            </w:r>
          </w:p>
        </w:tc>
        <w:tc>
          <w:tcPr>
            <w:tcW w:w="934" w:type="dxa"/>
            <w:vAlign w:val="top"/>
            <w:tcBorders>
              <w:left w:val="single" w:color="000000" w:sz="2" w:space="0"/>
              <w:right w:val="single" w:color="000000" w:sz="2" w:space="0"/>
            </w:tcBorders>
          </w:tcPr>
          <w:p>
            <w:pPr>
              <w:ind w:left="418"/>
              <w:spacing w:before="12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51" w:type="dxa"/>
            <w:vAlign w:val="top"/>
            <w:tcBorders>
              <w:left w:val="single" w:color="000000" w:sz="2" w:space="0"/>
              <w:right w:val="single" w:color="000000" w:sz="2" w:space="0"/>
            </w:tcBorders>
          </w:tcPr>
          <w:p>
            <w:pPr>
              <w:ind w:left="43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0.5L</w:t>
            </w:r>
          </w:p>
        </w:tc>
        <w:tc>
          <w:tcPr>
            <w:tcW w:w="1044" w:type="dxa"/>
            <w:vAlign w:val="top"/>
            <w:tcBorders>
              <w:left w:val="single" w:color="000000" w:sz="2" w:space="0"/>
              <w:right w:val="single" w:color="000000" w:sz="2" w:space="0"/>
            </w:tcBorders>
          </w:tcPr>
          <w:p>
            <w:pPr>
              <w:ind w:left="256"/>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14%</w:t>
            </w:r>
          </w:p>
        </w:tc>
        <w:tc>
          <w:tcPr>
            <w:tcW w:w="934" w:type="dxa"/>
            <w:vAlign w:val="top"/>
            <w:tcBorders>
              <w:left w:val="single" w:color="000000" w:sz="2" w:space="0"/>
              <w:right w:val="single" w:color="000000" w:sz="2" w:space="0"/>
            </w:tcBorders>
          </w:tcPr>
          <w:p>
            <w:pPr>
              <w:ind w:left="41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82" w:line="231" w:lineRule="auto"/>
              <w:rPr/>
            </w:pPr>
            <w:r>
              <w:rPr/>
              <w:t>否</w:t>
            </w:r>
          </w:p>
        </w:tc>
      </w:tr>
      <w:tr>
        <w:trPr>
          <w:trHeight w:val="343" w:hRule="atLeast"/>
        </w:trPr>
        <w:tc>
          <w:tcPr>
            <w:tcW w:w="765" w:type="dxa"/>
            <w:vAlign w:val="top"/>
            <w:vMerge w:val="restart"/>
            <w:tcBorders>
              <w:right w:val="single" w:color="000000" w:sz="2" w:space="0"/>
              <w:left w:val="nil"/>
              <w:bottom w:val="nil"/>
            </w:tcBorders>
          </w:tcPr>
          <w:p>
            <w:pPr>
              <w:ind w:left="251"/>
              <w:spacing w:before="2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A2</w:t>
            </w:r>
          </w:p>
        </w:tc>
        <w:tc>
          <w:tcPr>
            <w:tcW w:w="1152" w:type="dxa"/>
            <w:vAlign w:val="top"/>
            <w:vMerge w:val="continue"/>
            <w:tcBorders>
              <w:left w:val="single" w:color="000000" w:sz="2" w:space="0"/>
              <w:right w:val="single" w:color="000000" w:sz="2" w:space="0"/>
              <w:bottom w:val="nil"/>
              <w:top w:val="nil"/>
            </w:tcBorders>
          </w:tcPr>
          <w:p>
            <w:pPr>
              <w:rPr>
                <w:rFonts w:ascii="Arial"/>
                <w:sz w:val="21"/>
              </w:rPr>
            </w:pPr>
            <w:r/>
          </w:p>
        </w:tc>
        <w:tc>
          <w:tcPr>
            <w:tcW w:w="1460" w:type="dxa"/>
            <w:vAlign w:val="top"/>
            <w:tcBorders>
              <w:left w:val="single" w:color="000000" w:sz="2" w:space="0"/>
              <w:right w:val="single" w:color="000000" w:sz="2" w:space="0"/>
            </w:tcBorders>
          </w:tcPr>
          <w:p>
            <w:pPr>
              <w:pStyle w:val="TableText"/>
              <w:ind w:left="409"/>
              <w:spacing w:before="84" w:line="229" w:lineRule="auto"/>
              <w:rPr/>
            </w:pPr>
            <w:r>
              <w:rPr>
                <w:rFonts w:ascii="Times New Roman" w:hAnsi="Times New Roman" w:eastAsia="Times New Roman" w:cs="Times New Roman"/>
                <w:spacing w:val="-3"/>
              </w:rPr>
              <w:t>1h</w:t>
            </w:r>
            <w:r>
              <w:rPr>
                <w:rFonts w:ascii="Times New Roman" w:hAnsi="Times New Roman" w:eastAsia="Times New Roman" w:cs="Times New Roman"/>
                <w:spacing w:val="15"/>
                <w:w w:val="101"/>
              </w:rPr>
              <w:t xml:space="preserve"> </w:t>
            </w:r>
            <w:r>
              <w:rPr>
                <w:spacing w:val="-3"/>
              </w:rPr>
              <w:t>均值</w:t>
            </w:r>
          </w:p>
        </w:tc>
        <w:tc>
          <w:tcPr>
            <w:tcW w:w="934" w:type="dxa"/>
            <w:vAlign w:val="top"/>
            <w:tcBorders>
              <w:left w:val="single" w:color="000000" w:sz="2" w:space="0"/>
              <w:right w:val="single" w:color="000000" w:sz="2" w:space="0"/>
            </w:tcBorders>
          </w:tcPr>
          <w:p>
            <w:pPr>
              <w:ind w:left="36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51" w:type="dxa"/>
            <w:vAlign w:val="top"/>
            <w:tcBorders>
              <w:left w:val="single" w:color="000000" w:sz="2" w:space="0"/>
              <w:right w:val="single" w:color="000000" w:sz="2" w:space="0"/>
            </w:tcBorders>
          </w:tcPr>
          <w:p>
            <w:pPr>
              <w:ind w:left="43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0.5L</w:t>
            </w:r>
          </w:p>
        </w:tc>
        <w:tc>
          <w:tcPr>
            <w:tcW w:w="1044" w:type="dxa"/>
            <w:vAlign w:val="top"/>
            <w:tcBorders>
              <w:left w:val="single" w:color="000000" w:sz="2" w:space="0"/>
              <w:right w:val="single" w:color="000000" w:sz="2" w:space="0"/>
            </w:tcBorders>
          </w:tcPr>
          <w:p>
            <w:pPr>
              <w:ind w:left="25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2.50%</w:t>
            </w:r>
          </w:p>
        </w:tc>
        <w:tc>
          <w:tcPr>
            <w:tcW w:w="934" w:type="dxa"/>
            <w:vAlign w:val="top"/>
            <w:tcBorders>
              <w:left w:val="single" w:color="000000" w:sz="2" w:space="0"/>
              <w:right w:val="single" w:color="000000" w:sz="2" w:space="0"/>
            </w:tcBorders>
          </w:tcPr>
          <w:p>
            <w:pPr>
              <w:ind w:left="419"/>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tcBorders>
          </w:tcPr>
          <w:p>
            <w:pPr>
              <w:pStyle w:val="TableText"/>
              <w:ind w:left="382"/>
              <w:spacing w:before="84" w:line="229" w:lineRule="auto"/>
              <w:rPr/>
            </w:pPr>
            <w:r>
              <w:rPr/>
              <w:t>否</w:t>
            </w:r>
          </w:p>
        </w:tc>
      </w:tr>
      <w:tr>
        <w:trPr>
          <w:trHeight w:val="364" w:hRule="atLeast"/>
        </w:trPr>
        <w:tc>
          <w:tcPr>
            <w:tcW w:w="765" w:type="dxa"/>
            <w:vAlign w:val="top"/>
            <w:vMerge w:val="continue"/>
            <w:tcBorders>
              <w:right w:val="single" w:color="000000" w:sz="2" w:space="0"/>
              <w:left w:val="nil"/>
              <w:bottom w:val="single" w:color="000000" w:sz="10" w:space="0"/>
              <w:top w:val="nil"/>
            </w:tcBorders>
          </w:tcPr>
          <w:p>
            <w:pPr>
              <w:rPr>
                <w:rFonts w:ascii="Arial"/>
                <w:sz w:val="21"/>
              </w:rPr>
            </w:pPr>
            <w:r/>
          </w:p>
        </w:tc>
        <w:tc>
          <w:tcPr>
            <w:tcW w:w="1152" w:type="dxa"/>
            <w:vAlign w:val="top"/>
            <w:vMerge w:val="continue"/>
            <w:tcBorders>
              <w:left w:val="single" w:color="000000" w:sz="2" w:space="0"/>
              <w:right w:val="single" w:color="000000" w:sz="2" w:space="0"/>
              <w:bottom w:val="single" w:color="000000" w:sz="10" w:space="0"/>
              <w:top w:val="nil"/>
            </w:tcBorders>
          </w:tcPr>
          <w:p>
            <w:pPr>
              <w:rPr>
                <w:rFonts w:ascii="Arial"/>
                <w:sz w:val="21"/>
              </w:rPr>
            </w:pPr>
            <w:r/>
          </w:p>
        </w:tc>
        <w:tc>
          <w:tcPr>
            <w:tcW w:w="1460" w:type="dxa"/>
            <w:vAlign w:val="top"/>
            <w:tcBorders>
              <w:left w:val="single" w:color="000000" w:sz="2" w:space="0"/>
              <w:right w:val="single" w:color="000000" w:sz="2" w:space="0"/>
              <w:bottom w:val="single" w:color="000000" w:sz="10" w:space="0"/>
            </w:tcBorders>
          </w:tcPr>
          <w:p>
            <w:pPr>
              <w:pStyle w:val="TableText"/>
              <w:ind w:left="336"/>
              <w:spacing w:before="86" w:line="232" w:lineRule="auto"/>
              <w:rPr/>
            </w:pPr>
            <w:r>
              <w:rPr>
                <w:rFonts w:ascii="Times New Roman" w:hAnsi="Times New Roman" w:eastAsia="Times New Roman" w:cs="Times New Roman"/>
                <w:spacing w:val="3"/>
              </w:rPr>
              <w:t>24h</w:t>
            </w:r>
            <w:r>
              <w:rPr>
                <w:rFonts w:ascii="Times New Roman" w:hAnsi="Times New Roman" w:eastAsia="Times New Roman" w:cs="Times New Roman"/>
                <w:spacing w:val="15"/>
              </w:rPr>
              <w:t xml:space="preserve"> </w:t>
            </w:r>
            <w:r>
              <w:rPr>
                <w:spacing w:val="3"/>
              </w:rPr>
              <w:t>均值</w:t>
            </w:r>
          </w:p>
        </w:tc>
        <w:tc>
          <w:tcPr>
            <w:tcW w:w="934" w:type="dxa"/>
            <w:vAlign w:val="top"/>
            <w:tcBorders>
              <w:left w:val="single" w:color="000000" w:sz="2" w:space="0"/>
              <w:right w:val="single" w:color="000000" w:sz="2" w:space="0"/>
              <w:bottom w:val="single" w:color="000000" w:sz="10" w:space="0"/>
            </w:tcBorders>
          </w:tcPr>
          <w:p>
            <w:pPr>
              <w:ind w:left="418"/>
              <w:spacing w:before="12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51" w:type="dxa"/>
            <w:vAlign w:val="top"/>
            <w:tcBorders>
              <w:left w:val="single" w:color="000000" w:sz="2" w:space="0"/>
              <w:right w:val="single" w:color="000000" w:sz="2" w:space="0"/>
              <w:bottom w:val="single" w:color="000000" w:sz="10" w:space="0"/>
            </w:tcBorders>
          </w:tcPr>
          <w:p>
            <w:pPr>
              <w:ind w:left="434"/>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0.5L</w:t>
            </w:r>
          </w:p>
        </w:tc>
        <w:tc>
          <w:tcPr>
            <w:tcW w:w="1044" w:type="dxa"/>
            <w:vAlign w:val="top"/>
            <w:tcBorders>
              <w:left w:val="single" w:color="000000" w:sz="2" w:space="0"/>
              <w:right w:val="single" w:color="000000" w:sz="2" w:space="0"/>
              <w:bottom w:val="single" w:color="000000" w:sz="10" w:space="0"/>
            </w:tcBorders>
          </w:tcPr>
          <w:p>
            <w:pPr>
              <w:ind w:left="256"/>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14%</w:t>
            </w:r>
          </w:p>
        </w:tc>
        <w:tc>
          <w:tcPr>
            <w:tcW w:w="934" w:type="dxa"/>
            <w:vAlign w:val="top"/>
            <w:tcBorders>
              <w:left w:val="single" w:color="000000" w:sz="2" w:space="0"/>
              <w:right w:val="single" w:color="000000" w:sz="2" w:space="0"/>
              <w:bottom w:val="single" w:color="000000" w:sz="10" w:space="0"/>
            </w:tcBorders>
          </w:tcPr>
          <w:p>
            <w:pPr>
              <w:ind w:left="41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9" w:type="dxa"/>
            <w:vAlign w:val="top"/>
            <w:tcBorders>
              <w:left w:val="single" w:color="000000" w:sz="2" w:space="0"/>
              <w:right w:val="nil"/>
              <w:bottom w:val="single" w:color="000000" w:sz="10" w:space="0"/>
            </w:tcBorders>
          </w:tcPr>
          <w:p>
            <w:pPr>
              <w:pStyle w:val="TableText"/>
              <w:ind w:left="382"/>
              <w:spacing w:before="87" w:line="233" w:lineRule="auto"/>
              <w:rPr/>
            </w:pPr>
            <w:r>
              <w:rPr/>
              <w:t>否</w:t>
            </w:r>
          </w:p>
        </w:tc>
      </w:tr>
    </w:tbl>
    <w:p>
      <w:pPr>
        <w:pStyle w:val="BodyText"/>
        <w:spacing w:line="251" w:lineRule="auto"/>
        <w:rPr/>
      </w:pPr>
      <w:r/>
    </w:p>
    <w:p>
      <w:pPr>
        <w:pStyle w:val="BodyText"/>
        <w:spacing w:line="251" w:lineRule="auto"/>
        <w:rPr/>
      </w:pPr>
      <w:r/>
    </w:p>
    <w:p>
      <w:pPr>
        <w:ind w:left="587"/>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）评价标准</w:t>
      </w:r>
    </w:p>
    <w:p>
      <w:pPr>
        <w:ind w:left="116" w:right="187" w:firstLine="465"/>
        <w:spacing w:before="179" w:line="360" w:lineRule="auto"/>
        <w:rPr>
          <w:rFonts w:ascii="FangSong" w:hAnsi="FangSong" w:eastAsia="FangSong" w:cs="FangSong"/>
          <w:sz w:val="24"/>
          <w:szCs w:val="24"/>
        </w:rPr>
      </w:pPr>
      <w:r>
        <w:rPr>
          <w:rFonts w:ascii="FangSong" w:hAnsi="FangSong" w:eastAsia="FangSong" w:cs="FangSong"/>
          <w:sz w:val="24"/>
          <w:szCs w:val="24"/>
          <w:spacing w:val="-4"/>
        </w:rPr>
        <w:t>执行《环境空气质量标准》（</w:t>
      </w:r>
      <w:r>
        <w:rPr>
          <w:rFonts w:ascii="Times New Roman" w:hAnsi="Times New Roman" w:eastAsia="Times New Roman" w:cs="Times New Roman"/>
          <w:sz w:val="24"/>
          <w:szCs w:val="24"/>
          <w:spacing w:val="-4"/>
        </w:rPr>
        <w:t>GB3095-2018</w:t>
      </w:r>
      <w:r>
        <w:rPr>
          <w:rFonts w:ascii="FangSong" w:hAnsi="FangSong" w:eastAsia="FangSong" w:cs="FangSong"/>
          <w:sz w:val="24"/>
          <w:szCs w:val="24"/>
          <w:spacing w:val="-4"/>
        </w:rPr>
        <w:t>）表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中二级浓度限值和附录</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A</w:t>
      </w:r>
      <w:r>
        <w:rPr>
          <w:rFonts w:ascii="FangSong" w:hAnsi="FangSong" w:eastAsia="FangSong" w:cs="FangSong"/>
          <w:sz w:val="24"/>
          <w:szCs w:val="24"/>
          <w:spacing w:val="-5"/>
        </w:rPr>
        <w:t>的浓度限值；</w:t>
      </w:r>
    </w:p>
    <w:p>
      <w:pPr>
        <w:ind w:left="587"/>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7</w:t>
      </w:r>
      <w:r>
        <w:rPr>
          <w:rFonts w:ascii="FangSong" w:hAnsi="FangSong" w:eastAsia="FangSong" w:cs="FangSong"/>
          <w:sz w:val="24"/>
          <w:szCs w:val="24"/>
          <w:spacing w:val="-3"/>
        </w:rPr>
        <w:t>）评价结果</w:t>
      </w:r>
    </w:p>
    <w:p>
      <w:pPr>
        <w:ind w:left="84" w:right="108" w:firstLine="499"/>
        <w:spacing w:before="179" w:line="360" w:lineRule="auto"/>
        <w:rPr>
          <w:rFonts w:ascii="FangSong" w:hAnsi="FangSong" w:eastAsia="FangSong" w:cs="FangSong"/>
          <w:sz w:val="24"/>
          <w:szCs w:val="24"/>
        </w:rPr>
      </w:pPr>
      <w:r>
        <w:rPr>
          <w:rFonts w:ascii="FangSong" w:hAnsi="FangSong" w:eastAsia="FangSong" w:cs="FangSong"/>
          <w:sz w:val="24"/>
          <w:szCs w:val="24"/>
          <w:spacing w:val="-7"/>
        </w:rPr>
        <w:t>根据监测结果可知，监测点的各项污染物单因子指数均小于</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7"/>
        </w:rPr>
        <w:t>1</w:t>
      </w:r>
      <w:r>
        <w:rPr>
          <w:rFonts w:ascii="FangSong" w:hAnsi="FangSong" w:eastAsia="FangSong" w:cs="FangSong"/>
          <w:sz w:val="24"/>
          <w:szCs w:val="24"/>
          <w:spacing w:val="-7"/>
        </w:rPr>
        <w:t>，监测点</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7"/>
        </w:rPr>
        <w:t>TSP</w:t>
      </w:r>
      <w:r>
        <w:rPr>
          <w:rFonts w:ascii="FangSong" w:hAnsi="FangSong" w:eastAsia="FangSong" w:cs="FangSong"/>
          <w:sz w:val="24"/>
          <w:szCs w:val="24"/>
          <w:spacing w:val="-7"/>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x </w:t>
      </w:r>
      <w:r>
        <w:rPr>
          <w:rFonts w:ascii="FangSong" w:hAnsi="FangSong" w:eastAsia="FangSong" w:cs="FangSong"/>
          <w:sz w:val="24"/>
          <w:szCs w:val="24"/>
          <w:spacing w:val="-3"/>
        </w:rPr>
        <w:t>、氟化物均满足《环境空气质量标准》（</w:t>
      </w:r>
      <w:r>
        <w:rPr>
          <w:rFonts w:ascii="Times New Roman" w:hAnsi="Times New Roman" w:eastAsia="Times New Roman" w:cs="Times New Roman"/>
          <w:sz w:val="24"/>
          <w:szCs w:val="24"/>
          <w:spacing w:val="-3"/>
        </w:rPr>
        <w:t>GB3095-2018</w:t>
      </w:r>
      <w:r>
        <w:rPr>
          <w:rFonts w:ascii="FangSong" w:hAnsi="FangSong" w:eastAsia="FangSong" w:cs="FangSong"/>
          <w:sz w:val="24"/>
          <w:szCs w:val="24"/>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中二级浓度限</w:t>
      </w:r>
    </w:p>
    <w:p>
      <w:pPr>
        <w:spacing w:line="360" w:lineRule="auto"/>
        <w:sectPr>
          <w:footerReference w:type="default" r:id="rId241"/>
          <w:pgSz w:w="11906" w:h="16839"/>
          <w:pgMar w:top="400" w:right="1614" w:bottom="1358" w:left="1713"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3"/>
        <w:spacing w:before="78" w:line="222" w:lineRule="auto"/>
        <w:rPr>
          <w:rFonts w:ascii="FangSong" w:hAnsi="FangSong" w:eastAsia="FangSong" w:cs="FangSong"/>
          <w:sz w:val="24"/>
          <w:szCs w:val="24"/>
        </w:rPr>
      </w:pPr>
      <w:r>
        <w:rPr>
          <w:rFonts w:ascii="FangSong" w:hAnsi="FangSong" w:eastAsia="FangSong" w:cs="FangSong"/>
          <w:sz w:val="24"/>
          <w:szCs w:val="24"/>
          <w:spacing w:val="-5"/>
        </w:rPr>
        <w:t>值和附录</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的浓度限值；</w:t>
      </w:r>
    </w:p>
    <w:p>
      <w:pPr>
        <w:ind w:left="116"/>
        <w:spacing w:before="179" w:line="222" w:lineRule="auto"/>
        <w:outlineLvl w:val="2"/>
        <w:rPr>
          <w:rFonts w:ascii="FangSong" w:hAnsi="FangSong" w:eastAsia="FangSong" w:cs="FangSong"/>
          <w:sz w:val="24"/>
          <w:szCs w:val="24"/>
        </w:rPr>
      </w:pPr>
      <w:bookmarkStart w:name="bookmark244" w:id="331"/>
      <w:bookmarkEnd w:id="331"/>
      <w:bookmarkStart w:name="bookmark243" w:id="332"/>
      <w:bookmarkEnd w:id="332"/>
      <w:r>
        <w:rPr>
          <w:rFonts w:ascii="Times New Roman" w:hAnsi="Times New Roman" w:eastAsia="Times New Roman" w:cs="Times New Roman"/>
          <w:sz w:val="24"/>
          <w:szCs w:val="24"/>
          <w:b/>
          <w:bCs/>
          <w:spacing w:val="-2"/>
        </w:rPr>
        <w:t>5.5.2  </w:t>
      </w:r>
      <w:r>
        <w:rPr>
          <w:rFonts w:ascii="FangSong" w:hAnsi="FangSong" w:eastAsia="FangSong" w:cs="FangSong"/>
          <w:sz w:val="24"/>
          <w:szCs w:val="24"/>
          <w:b/>
          <w:bCs/>
          <w:spacing w:val="-2"/>
        </w:rPr>
        <w:t>声环境质量现状调查与评价</w:t>
      </w:r>
    </w:p>
    <w:p>
      <w:pPr>
        <w:ind w:left="116"/>
        <w:spacing w:before="179"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5.5.2.1</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监测点位布设</w:t>
      </w:r>
    </w:p>
    <w:p>
      <w:pPr>
        <w:ind w:left="126" w:firstLine="478"/>
        <w:spacing w:before="181" w:line="360" w:lineRule="auto"/>
        <w:jc w:val="both"/>
        <w:rPr>
          <w:rFonts w:ascii="FangSong" w:hAnsi="FangSong" w:eastAsia="FangSong" w:cs="FangSong"/>
          <w:sz w:val="24"/>
          <w:szCs w:val="24"/>
        </w:rPr>
      </w:pPr>
      <w:r>
        <w:rPr>
          <w:rFonts w:ascii="FangSong" w:hAnsi="FangSong" w:eastAsia="FangSong" w:cs="FangSong"/>
          <w:sz w:val="24"/>
          <w:szCs w:val="24"/>
          <w:spacing w:val="-5"/>
        </w:rPr>
        <w:t>本次现状监测共在噪声源所在的拟建工业广场和拟建办公生活区厂房东、南、</w:t>
      </w:r>
      <w:r>
        <w:rPr>
          <w:rFonts w:ascii="FangSong" w:hAnsi="FangSong" w:eastAsia="FangSong" w:cs="FangSong"/>
          <w:sz w:val="24"/>
          <w:szCs w:val="24"/>
          <w:spacing w:val="-7"/>
        </w:rPr>
        <w:t>西、北面厂界外</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7"/>
        </w:rPr>
        <w:t>1 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7"/>
        </w:rPr>
        <w:t>处各设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7"/>
        </w:rPr>
        <w:t>个厂界噪声监测点，本次评价共布设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7"/>
        </w:rPr>
        <w:t>个噪声监测</w:t>
      </w:r>
      <w:r>
        <w:rPr>
          <w:rFonts w:ascii="FangSong" w:hAnsi="FangSong" w:eastAsia="FangSong" w:cs="FangSong"/>
          <w:sz w:val="24"/>
          <w:szCs w:val="24"/>
          <w:spacing w:val="-2"/>
        </w:rPr>
        <w:t>点，各监测点位及其功能区划详见表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5.5-6</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及附图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5-1</w:t>
      </w:r>
      <w:r>
        <w:rPr>
          <w:rFonts w:ascii="FangSong" w:hAnsi="FangSong" w:eastAsia="FangSong" w:cs="FangSong"/>
          <w:sz w:val="24"/>
          <w:szCs w:val="24"/>
          <w:spacing w:val="-3"/>
        </w:rPr>
        <w:t>。</w:t>
      </w:r>
    </w:p>
    <w:p>
      <w:pPr>
        <w:ind w:left="3094"/>
        <w:spacing w:before="1" w:line="221" w:lineRule="auto"/>
        <w:rPr>
          <w:rFonts w:ascii="FangSong" w:hAnsi="FangSong" w:eastAsia="FangSong" w:cs="FangSong"/>
          <w:sz w:val="24"/>
          <w:szCs w:val="24"/>
        </w:rPr>
      </w:pPr>
      <w:r>
        <w:rPr>
          <w:rFonts w:ascii="FangSong" w:hAnsi="FangSong" w:eastAsia="FangSong" w:cs="FangSong"/>
          <w:sz w:val="24"/>
          <w:szCs w:val="24"/>
          <w:b/>
          <w:bCs/>
          <w:spacing w:val="-6"/>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6"/>
        </w:rPr>
        <w:t>5.5-9</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b/>
          <w:bCs/>
          <w:spacing w:val="-6"/>
        </w:rPr>
        <w:t>噪声监测点位</w:t>
      </w:r>
    </w:p>
    <w:p>
      <w:pPr>
        <w:spacing w:line="65"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0"/>
        <w:gridCol w:w="2056"/>
        <w:gridCol w:w="364"/>
        <w:gridCol w:w="398"/>
        <w:gridCol w:w="414"/>
        <w:gridCol w:w="754"/>
        <w:gridCol w:w="345"/>
        <w:gridCol w:w="487"/>
        <w:gridCol w:w="412"/>
        <w:gridCol w:w="862"/>
        <w:gridCol w:w="1757"/>
      </w:tblGrid>
      <w:tr>
        <w:trPr>
          <w:trHeight w:val="320" w:hRule="atLeast"/>
        </w:trPr>
        <w:tc>
          <w:tcPr>
            <w:tcW w:w="670" w:type="dxa"/>
            <w:vAlign w:val="top"/>
            <w:tcBorders>
              <w:left w:val="nil"/>
              <w:top w:val="single" w:color="000000" w:sz="10" w:space="0"/>
            </w:tcBorders>
          </w:tcPr>
          <w:p>
            <w:pPr>
              <w:pStyle w:val="TableText"/>
              <w:ind w:left="138"/>
              <w:spacing w:before="55" w:line="231" w:lineRule="auto"/>
              <w:rPr/>
            </w:pPr>
            <w:r>
              <w:rPr>
                <w:spacing w:val="2"/>
              </w:rPr>
              <w:t>序号</w:t>
            </w:r>
          </w:p>
        </w:tc>
        <w:tc>
          <w:tcPr>
            <w:tcW w:w="2056" w:type="dxa"/>
            <w:vAlign w:val="top"/>
            <w:tcBorders>
              <w:top w:val="single" w:color="000000" w:sz="10" w:space="0"/>
            </w:tcBorders>
          </w:tcPr>
          <w:p>
            <w:pPr>
              <w:pStyle w:val="TableText"/>
              <w:ind w:left="623"/>
              <w:spacing w:before="55" w:line="230" w:lineRule="auto"/>
              <w:rPr/>
            </w:pPr>
            <w:r>
              <w:rPr>
                <w:spacing w:val="4"/>
              </w:rPr>
              <w:t>监测点位</w:t>
            </w:r>
          </w:p>
        </w:tc>
        <w:tc>
          <w:tcPr>
            <w:tcW w:w="4036" w:type="dxa"/>
            <w:vAlign w:val="top"/>
            <w:gridSpan w:val="8"/>
            <w:tcBorders>
              <w:top w:val="single" w:color="000000" w:sz="10" w:space="0"/>
            </w:tcBorders>
          </w:tcPr>
          <w:p>
            <w:pPr>
              <w:pStyle w:val="TableText"/>
              <w:ind w:left="1823"/>
              <w:spacing w:before="55" w:line="231" w:lineRule="auto"/>
              <w:rPr/>
            </w:pPr>
            <w:r>
              <w:rPr>
                <w:spacing w:val="-1"/>
              </w:rPr>
              <w:t>坐标</w:t>
            </w:r>
          </w:p>
        </w:tc>
        <w:tc>
          <w:tcPr>
            <w:tcW w:w="1757" w:type="dxa"/>
            <w:vAlign w:val="top"/>
            <w:tcBorders>
              <w:right w:val="nil"/>
              <w:top w:val="single" w:color="000000" w:sz="10" w:space="0"/>
            </w:tcBorders>
          </w:tcPr>
          <w:p>
            <w:pPr>
              <w:pStyle w:val="TableText"/>
              <w:ind w:left="679"/>
              <w:spacing w:before="55" w:line="231" w:lineRule="auto"/>
              <w:rPr/>
            </w:pPr>
            <w:r>
              <w:rPr>
                <w:spacing w:val="2"/>
              </w:rPr>
              <w:t>标准</w:t>
            </w:r>
          </w:p>
        </w:tc>
      </w:tr>
      <w:tr>
        <w:trPr>
          <w:trHeight w:val="626" w:hRule="atLeast"/>
        </w:trPr>
        <w:tc>
          <w:tcPr>
            <w:tcW w:w="670" w:type="dxa"/>
            <w:vAlign w:val="top"/>
            <w:tcBorders>
              <w:left w:val="nil"/>
            </w:tcBorders>
          </w:tcPr>
          <w:p>
            <w:pPr>
              <w:ind w:left="203"/>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N1</w:t>
            </w:r>
          </w:p>
        </w:tc>
        <w:tc>
          <w:tcPr>
            <w:tcW w:w="2056" w:type="dxa"/>
            <w:vAlign w:val="top"/>
          </w:tcPr>
          <w:p>
            <w:pPr>
              <w:pStyle w:val="TableText"/>
              <w:ind w:left="567" w:right="188" w:hanging="369"/>
              <w:spacing w:before="52" w:line="260" w:lineRule="auto"/>
              <w:rPr>
                <w:rFonts w:ascii="Times New Roman" w:hAnsi="Times New Roman" w:eastAsia="Times New Roman" w:cs="Times New Roman"/>
              </w:rPr>
            </w:pPr>
            <w:r>
              <w:rPr>
                <w:spacing w:val="7"/>
              </w:rPr>
              <w:t>拟建工业广场厂界</w:t>
            </w:r>
            <w:r>
              <w:rPr>
                <w:spacing w:val="-1"/>
              </w:rPr>
              <w:t>东侧外</w:t>
            </w:r>
            <w:r>
              <w:rPr>
                <w:spacing w:val="-21"/>
              </w:rPr>
              <w:t xml:space="preserve"> </w:t>
            </w:r>
            <w:r>
              <w:rPr>
                <w:rFonts w:ascii="Times New Roman" w:hAnsi="Times New Roman" w:eastAsia="Times New Roman" w:cs="Times New Roman"/>
                <w:spacing w:val="-1"/>
              </w:rPr>
              <w:t>1m</w:t>
            </w:r>
          </w:p>
        </w:tc>
        <w:tc>
          <w:tcPr>
            <w:tcW w:w="1176" w:type="dxa"/>
            <w:vAlign w:val="top"/>
            <w:gridSpan w:val="3"/>
            <w:tcBorders>
              <w:right w:val="nil"/>
            </w:tcBorders>
          </w:tcPr>
          <w:p>
            <w:pPr>
              <w:pStyle w:val="TableText"/>
              <w:spacing w:before="208" w:line="268" w:lineRule="exact"/>
              <w:jc w:val="right"/>
              <w:rPr/>
            </w:pPr>
            <w:r>
              <w:rPr>
                <w:rFonts w:ascii="Times New Roman" w:hAnsi="Times New Roman" w:eastAsia="Times New Roman" w:cs="Times New Roman"/>
                <w:spacing w:val="-7"/>
              </w:rPr>
              <w:t>N</w:t>
            </w:r>
            <w:r>
              <w:rPr>
                <w:spacing w:val="-7"/>
              </w:rPr>
              <w:t>：</w:t>
            </w:r>
            <w:r>
              <w:rPr>
                <w:rFonts w:ascii="Times New Roman" w:hAnsi="Times New Roman" w:eastAsia="Times New Roman" w:cs="Times New Roman"/>
                <w:spacing w:val="-7"/>
              </w:rPr>
              <w:t>43°01</w:t>
            </w:r>
            <w:r>
              <w:rPr>
                <w:rFonts w:ascii="Times New Roman" w:hAnsi="Times New Roman" w:eastAsia="Times New Roman" w:cs="Times New Roman"/>
                <w:spacing w:val="-12"/>
              </w:rPr>
              <w:t xml:space="preserve"> </w:t>
            </w:r>
            <w:r>
              <w:rPr>
                <w:spacing w:val="-7"/>
              </w:rPr>
              <w:t>′</w:t>
            </w:r>
          </w:p>
        </w:tc>
        <w:tc>
          <w:tcPr>
            <w:tcW w:w="754" w:type="dxa"/>
            <w:vAlign w:val="top"/>
            <w:tcBorders>
              <w:left w:val="nil"/>
              <w:right w:val="nil"/>
            </w:tcBorders>
          </w:tcPr>
          <w:p>
            <w:pPr>
              <w:pStyle w:val="TableText"/>
              <w:spacing w:before="221" w:line="207" w:lineRule="auto"/>
              <w:jc w:val="right"/>
              <w:rPr/>
            </w:pPr>
            <w:r>
              <w:rPr>
                <w:rFonts w:ascii="Times New Roman" w:hAnsi="Times New Roman" w:eastAsia="Times New Roman" w:cs="Times New Roman"/>
                <w:spacing w:val="-3"/>
              </w:rPr>
              <w:t>28.74</w:t>
            </w:r>
            <w:r>
              <w:rPr>
                <w:rFonts w:ascii="Times New Roman" w:hAnsi="Times New Roman" w:eastAsia="Times New Roman" w:cs="Times New Roman"/>
                <w:spacing w:val="-6"/>
              </w:rPr>
              <w:t xml:space="preserve"> </w:t>
            </w:r>
            <w:r>
              <w:rPr>
                <w:spacing w:val="-3"/>
              </w:rPr>
              <w:t>″</w:t>
            </w:r>
          </w:p>
        </w:tc>
        <w:tc>
          <w:tcPr>
            <w:tcW w:w="2106" w:type="dxa"/>
            <w:vAlign w:val="top"/>
            <w:gridSpan w:val="4"/>
            <w:tcBorders>
              <w:left w:val="nil"/>
            </w:tcBorders>
          </w:tcPr>
          <w:p>
            <w:pPr>
              <w:pStyle w:val="TableText"/>
              <w:ind w:left="107"/>
              <w:spacing w:before="208" w:line="268" w:lineRule="exact"/>
              <w:rPr/>
            </w:pPr>
            <w:r>
              <w:rPr>
                <w:rFonts w:ascii="Times New Roman" w:hAnsi="Times New Roman" w:eastAsia="Times New Roman" w:cs="Times New Roman"/>
                <w:spacing w:val="1"/>
              </w:rPr>
              <w:t>E</w:t>
            </w:r>
            <w:r>
              <w:rPr>
                <w:spacing w:val="1"/>
              </w:rPr>
              <w:t>：</w:t>
            </w:r>
            <w:r>
              <w:rPr>
                <w:rFonts w:ascii="Times New Roman" w:hAnsi="Times New Roman" w:eastAsia="Times New Roman" w:cs="Times New Roman"/>
                <w:spacing w:val="1"/>
              </w:rPr>
              <w:t>112°56</w:t>
            </w:r>
            <w:r>
              <w:rPr>
                <w:rFonts w:ascii="Times New Roman" w:hAnsi="Times New Roman" w:eastAsia="Times New Roman" w:cs="Times New Roman"/>
                <w:spacing w:val="-2"/>
              </w:rPr>
              <w:t xml:space="preserve"> </w:t>
            </w:r>
            <w:r>
              <w:rPr>
                <w:spacing w:val="1"/>
              </w:rPr>
              <w:t>′</w:t>
            </w:r>
            <w:r>
              <w:rPr>
                <w:rFonts w:ascii="Times New Roman" w:hAnsi="Times New Roman" w:eastAsia="Times New Roman" w:cs="Times New Roman"/>
                <w:spacing w:val="1"/>
              </w:rPr>
              <w:t>01.33</w:t>
            </w:r>
            <w:r>
              <w:rPr>
                <w:rFonts w:ascii="Times New Roman" w:hAnsi="Times New Roman" w:eastAsia="Times New Roman" w:cs="Times New Roman"/>
                <w:spacing w:val="-10"/>
              </w:rPr>
              <w:t xml:space="preserve"> </w:t>
            </w:r>
            <w:r>
              <w:rPr>
                <w:spacing w:val="1"/>
              </w:rPr>
              <w:t>″</w:t>
            </w:r>
          </w:p>
        </w:tc>
        <w:tc>
          <w:tcPr>
            <w:tcW w:w="1757" w:type="dxa"/>
            <w:vAlign w:val="top"/>
            <w:tcBorders>
              <w:right w:val="nil"/>
            </w:tcBorders>
          </w:tcPr>
          <w:p>
            <w:pPr>
              <w:pStyle w:val="TableText"/>
              <w:ind w:left="700"/>
              <w:spacing w:before="208"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26" w:hRule="atLeast"/>
        </w:trPr>
        <w:tc>
          <w:tcPr>
            <w:tcW w:w="670" w:type="dxa"/>
            <w:vAlign w:val="top"/>
            <w:tcBorders>
              <w:left w:val="nil"/>
            </w:tcBorders>
          </w:tcPr>
          <w:p>
            <w:pPr>
              <w:ind w:left="203"/>
              <w:spacing w:before="2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N2</w:t>
            </w:r>
          </w:p>
        </w:tc>
        <w:tc>
          <w:tcPr>
            <w:tcW w:w="2056" w:type="dxa"/>
            <w:vAlign w:val="top"/>
          </w:tcPr>
          <w:p>
            <w:pPr>
              <w:pStyle w:val="TableText"/>
              <w:ind w:left="572" w:right="188" w:hanging="374"/>
              <w:spacing w:before="56" w:line="258" w:lineRule="auto"/>
              <w:rPr>
                <w:rFonts w:ascii="Times New Roman" w:hAnsi="Times New Roman" w:eastAsia="Times New Roman" w:cs="Times New Roman"/>
              </w:rPr>
            </w:pPr>
            <w:r>
              <w:rPr>
                <w:spacing w:val="7"/>
              </w:rPr>
              <w:t>拟建工业广场厂界</w:t>
            </w:r>
            <w:r>
              <w:rPr>
                <w:spacing w:val="-2"/>
              </w:rPr>
              <w:t>南侧外</w:t>
            </w:r>
            <w:r>
              <w:rPr>
                <w:spacing w:val="-21"/>
              </w:rPr>
              <w:t xml:space="preserve"> </w:t>
            </w:r>
            <w:r>
              <w:rPr>
                <w:rFonts w:ascii="Times New Roman" w:hAnsi="Times New Roman" w:eastAsia="Times New Roman" w:cs="Times New Roman"/>
                <w:spacing w:val="-2"/>
              </w:rPr>
              <w:t>1m</w:t>
            </w:r>
          </w:p>
        </w:tc>
        <w:tc>
          <w:tcPr>
            <w:tcW w:w="364" w:type="dxa"/>
            <w:vAlign w:val="top"/>
            <w:tcBorders>
              <w:right w:val="nil"/>
            </w:tcBorders>
          </w:tcPr>
          <w:p>
            <w:pPr>
              <w:pStyle w:val="TableText"/>
              <w:spacing w:before="213"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tcBorders>
          </w:tcPr>
          <w:p>
            <w:pPr>
              <w:pStyle w:val="TableText"/>
              <w:spacing w:before="242"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tcBorders>
          </w:tcPr>
          <w:p>
            <w:pPr>
              <w:pStyle w:val="TableText"/>
              <w:spacing w:before="227"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tcBorders>
          </w:tcPr>
          <w:p>
            <w:pPr>
              <w:pStyle w:val="TableText"/>
              <w:spacing w:before="226" w:line="207" w:lineRule="auto"/>
              <w:jc w:val="right"/>
              <w:rPr/>
            </w:pPr>
            <w:r>
              <w:rPr>
                <w:rFonts w:ascii="Times New Roman" w:hAnsi="Times New Roman" w:eastAsia="Times New Roman" w:cs="Times New Roman"/>
                <w:spacing w:val="-3"/>
              </w:rPr>
              <w:t>30.63</w:t>
            </w:r>
            <w:r>
              <w:rPr>
                <w:rFonts w:ascii="Times New Roman" w:hAnsi="Times New Roman" w:eastAsia="Times New Roman" w:cs="Times New Roman"/>
                <w:spacing w:val="-10"/>
              </w:rPr>
              <w:t xml:space="preserve"> </w:t>
            </w:r>
            <w:r>
              <w:rPr>
                <w:spacing w:val="-3"/>
              </w:rPr>
              <w:t>″</w:t>
            </w:r>
          </w:p>
        </w:tc>
        <w:tc>
          <w:tcPr>
            <w:tcW w:w="345" w:type="dxa"/>
            <w:vAlign w:val="top"/>
            <w:tcBorders>
              <w:left w:val="nil"/>
              <w:right w:val="nil"/>
            </w:tcBorders>
          </w:tcPr>
          <w:p>
            <w:pPr>
              <w:pStyle w:val="TableText"/>
              <w:spacing w:before="213"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tcBorders>
          </w:tcPr>
          <w:p>
            <w:pPr>
              <w:pStyle w:val="TableText"/>
              <w:spacing w:before="242"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tcBorders>
          </w:tcPr>
          <w:p>
            <w:pPr>
              <w:pStyle w:val="TableText"/>
              <w:spacing w:before="227" w:line="206" w:lineRule="auto"/>
              <w:jc w:val="right"/>
              <w:rPr/>
            </w:pPr>
            <w:r>
              <w:rPr>
                <w:rFonts w:ascii="Times New Roman" w:hAnsi="Times New Roman" w:eastAsia="Times New Roman" w:cs="Times New Roman"/>
                <w:spacing w:val="-31"/>
              </w:rPr>
              <w:t>55</w:t>
            </w:r>
            <w:r>
              <w:rPr>
                <w:rFonts w:ascii="Times New Roman" w:hAnsi="Times New Roman" w:eastAsia="Times New Roman" w:cs="Times New Roman"/>
                <w:spacing w:val="-20"/>
              </w:rPr>
              <w:t xml:space="preserve"> </w:t>
            </w:r>
            <w:r>
              <w:rPr>
                <w:spacing w:val="-31"/>
              </w:rPr>
              <w:t>′</w:t>
            </w:r>
          </w:p>
        </w:tc>
        <w:tc>
          <w:tcPr>
            <w:tcW w:w="862" w:type="dxa"/>
            <w:vAlign w:val="top"/>
            <w:tcBorders>
              <w:left w:val="nil"/>
            </w:tcBorders>
          </w:tcPr>
          <w:p>
            <w:pPr>
              <w:pStyle w:val="TableText"/>
              <w:ind w:left="74"/>
              <w:spacing w:before="226" w:line="207" w:lineRule="auto"/>
              <w:rPr/>
            </w:pPr>
            <w:r>
              <w:rPr>
                <w:rFonts w:ascii="Times New Roman" w:hAnsi="Times New Roman" w:eastAsia="Times New Roman" w:cs="Times New Roman"/>
                <w:spacing w:val="3"/>
              </w:rPr>
              <w:t>41.52</w:t>
            </w:r>
            <w:r>
              <w:rPr>
                <w:rFonts w:ascii="Times New Roman" w:hAnsi="Times New Roman" w:eastAsia="Times New Roman" w:cs="Times New Roman"/>
                <w:spacing w:val="-12"/>
              </w:rPr>
              <w:t xml:space="preserve"> </w:t>
            </w:r>
            <w:r>
              <w:rPr>
                <w:spacing w:val="3"/>
              </w:rPr>
              <w:t>″</w:t>
            </w:r>
          </w:p>
        </w:tc>
        <w:tc>
          <w:tcPr>
            <w:tcW w:w="1757" w:type="dxa"/>
            <w:vAlign w:val="top"/>
            <w:tcBorders>
              <w:right w:val="nil"/>
            </w:tcBorders>
          </w:tcPr>
          <w:p>
            <w:pPr>
              <w:pStyle w:val="TableText"/>
              <w:ind w:left="700"/>
              <w:spacing w:before="213"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26" w:hRule="atLeast"/>
        </w:trPr>
        <w:tc>
          <w:tcPr>
            <w:tcW w:w="670" w:type="dxa"/>
            <w:vAlign w:val="top"/>
            <w:tcBorders>
              <w:left w:val="nil"/>
            </w:tcBorders>
          </w:tcPr>
          <w:p>
            <w:pPr>
              <w:ind w:left="203"/>
              <w:spacing w:before="2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N3</w:t>
            </w:r>
          </w:p>
        </w:tc>
        <w:tc>
          <w:tcPr>
            <w:tcW w:w="2056" w:type="dxa"/>
            <w:vAlign w:val="top"/>
          </w:tcPr>
          <w:p>
            <w:pPr>
              <w:pStyle w:val="TableText"/>
              <w:ind w:left="565" w:right="188" w:hanging="367"/>
              <w:spacing w:before="59" w:line="257" w:lineRule="auto"/>
              <w:rPr>
                <w:rFonts w:ascii="Times New Roman" w:hAnsi="Times New Roman" w:eastAsia="Times New Roman" w:cs="Times New Roman"/>
              </w:rPr>
            </w:pPr>
            <w:r>
              <w:rPr>
                <w:spacing w:val="7"/>
              </w:rPr>
              <w:t>拟建工业广场厂界</w:t>
            </w:r>
            <w:r>
              <w:rPr/>
              <w:t>西侧外</w:t>
            </w:r>
            <w:r>
              <w:rPr>
                <w:spacing w:val="-23"/>
              </w:rPr>
              <w:t xml:space="preserve"> </w:t>
            </w:r>
            <w:r>
              <w:rPr>
                <w:rFonts w:ascii="Times New Roman" w:hAnsi="Times New Roman" w:eastAsia="Times New Roman" w:cs="Times New Roman"/>
              </w:rPr>
              <w:t>1m</w:t>
            </w:r>
          </w:p>
        </w:tc>
        <w:tc>
          <w:tcPr>
            <w:tcW w:w="364" w:type="dxa"/>
            <w:vAlign w:val="top"/>
            <w:tcBorders>
              <w:right w:val="nil"/>
            </w:tcBorders>
          </w:tcPr>
          <w:p>
            <w:pPr>
              <w:pStyle w:val="TableText"/>
              <w:spacing w:before="215"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tcBorders>
          </w:tcPr>
          <w:p>
            <w:pPr>
              <w:pStyle w:val="TableText"/>
              <w:spacing w:before="245"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tcBorders>
          </w:tcPr>
          <w:p>
            <w:pPr>
              <w:pStyle w:val="TableText"/>
              <w:spacing w:before="230"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tcBorders>
          </w:tcPr>
          <w:p>
            <w:pPr>
              <w:pStyle w:val="TableText"/>
              <w:spacing w:before="229" w:line="207" w:lineRule="auto"/>
              <w:jc w:val="right"/>
              <w:rPr/>
            </w:pPr>
            <w:r>
              <w:rPr>
                <w:rFonts w:ascii="Times New Roman" w:hAnsi="Times New Roman" w:eastAsia="Times New Roman" w:cs="Times New Roman"/>
                <w:spacing w:val="-2"/>
              </w:rPr>
              <w:t>24.85</w:t>
            </w:r>
            <w:r>
              <w:rPr>
                <w:rFonts w:ascii="Times New Roman" w:hAnsi="Times New Roman" w:eastAsia="Times New Roman" w:cs="Times New Roman"/>
                <w:spacing w:val="-12"/>
              </w:rPr>
              <w:t xml:space="preserve"> </w:t>
            </w:r>
            <w:r>
              <w:rPr>
                <w:spacing w:val="-2"/>
              </w:rPr>
              <w:t>″</w:t>
            </w:r>
          </w:p>
        </w:tc>
        <w:tc>
          <w:tcPr>
            <w:tcW w:w="345" w:type="dxa"/>
            <w:vAlign w:val="top"/>
            <w:tcBorders>
              <w:left w:val="nil"/>
              <w:right w:val="nil"/>
            </w:tcBorders>
          </w:tcPr>
          <w:p>
            <w:pPr>
              <w:pStyle w:val="TableText"/>
              <w:spacing w:before="215"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tcBorders>
          </w:tcPr>
          <w:p>
            <w:pPr>
              <w:pStyle w:val="TableText"/>
              <w:spacing w:before="245"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tcBorders>
          </w:tcPr>
          <w:p>
            <w:pPr>
              <w:pStyle w:val="TableText"/>
              <w:spacing w:before="230" w:line="206" w:lineRule="auto"/>
              <w:jc w:val="right"/>
              <w:rPr/>
            </w:pPr>
            <w:r>
              <w:rPr>
                <w:rFonts w:ascii="Times New Roman" w:hAnsi="Times New Roman" w:eastAsia="Times New Roman" w:cs="Times New Roman"/>
                <w:spacing w:val="-31"/>
              </w:rPr>
              <w:t>55</w:t>
            </w:r>
            <w:r>
              <w:rPr>
                <w:rFonts w:ascii="Times New Roman" w:hAnsi="Times New Roman" w:eastAsia="Times New Roman" w:cs="Times New Roman"/>
                <w:spacing w:val="-20"/>
              </w:rPr>
              <w:t xml:space="preserve"> </w:t>
            </w:r>
            <w:r>
              <w:rPr>
                <w:spacing w:val="-31"/>
              </w:rPr>
              <w:t>′</w:t>
            </w:r>
          </w:p>
        </w:tc>
        <w:tc>
          <w:tcPr>
            <w:tcW w:w="862" w:type="dxa"/>
            <w:vAlign w:val="top"/>
            <w:tcBorders>
              <w:left w:val="nil"/>
            </w:tcBorders>
          </w:tcPr>
          <w:p>
            <w:pPr>
              <w:pStyle w:val="TableText"/>
              <w:ind w:left="81"/>
              <w:spacing w:before="229" w:line="207" w:lineRule="auto"/>
              <w:rPr/>
            </w:pPr>
            <w:r>
              <w:rPr>
                <w:rFonts w:ascii="Times New Roman" w:hAnsi="Times New Roman" w:eastAsia="Times New Roman" w:cs="Times New Roman"/>
                <w:spacing w:val="2"/>
              </w:rPr>
              <w:t>52.85</w:t>
            </w:r>
            <w:r>
              <w:rPr>
                <w:rFonts w:ascii="Times New Roman" w:hAnsi="Times New Roman" w:eastAsia="Times New Roman" w:cs="Times New Roman"/>
                <w:spacing w:val="-12"/>
              </w:rPr>
              <w:t xml:space="preserve"> </w:t>
            </w:r>
            <w:r>
              <w:rPr>
                <w:spacing w:val="2"/>
              </w:rPr>
              <w:t>″</w:t>
            </w:r>
          </w:p>
        </w:tc>
        <w:tc>
          <w:tcPr>
            <w:tcW w:w="1757" w:type="dxa"/>
            <w:vAlign w:val="top"/>
            <w:tcBorders>
              <w:right w:val="nil"/>
            </w:tcBorders>
          </w:tcPr>
          <w:p>
            <w:pPr>
              <w:pStyle w:val="TableText"/>
              <w:ind w:left="700"/>
              <w:spacing w:before="215"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26" w:hRule="atLeast"/>
        </w:trPr>
        <w:tc>
          <w:tcPr>
            <w:tcW w:w="670" w:type="dxa"/>
            <w:vAlign w:val="top"/>
            <w:tcBorders>
              <w:left w:val="nil"/>
            </w:tcBorders>
          </w:tcPr>
          <w:p>
            <w:pPr>
              <w:ind w:left="203"/>
              <w:spacing w:before="2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N4</w:t>
            </w:r>
          </w:p>
        </w:tc>
        <w:tc>
          <w:tcPr>
            <w:tcW w:w="2056" w:type="dxa"/>
            <w:vAlign w:val="top"/>
          </w:tcPr>
          <w:p>
            <w:pPr>
              <w:pStyle w:val="TableText"/>
              <w:ind w:left="568" w:right="188" w:hanging="370"/>
              <w:spacing w:before="63" w:line="255" w:lineRule="auto"/>
              <w:rPr>
                <w:rFonts w:ascii="Times New Roman" w:hAnsi="Times New Roman" w:eastAsia="Times New Roman" w:cs="Times New Roman"/>
              </w:rPr>
            </w:pPr>
            <w:r>
              <w:rPr>
                <w:spacing w:val="7"/>
              </w:rPr>
              <w:t>拟建工业广场厂界</w:t>
            </w:r>
            <w:r>
              <w:rPr>
                <w:spacing w:val="-1"/>
              </w:rPr>
              <w:t>北侧外</w:t>
            </w:r>
            <w:r>
              <w:rPr>
                <w:spacing w:val="-22"/>
              </w:rPr>
              <w:t xml:space="preserve"> </w:t>
            </w:r>
            <w:r>
              <w:rPr>
                <w:rFonts w:ascii="Times New Roman" w:hAnsi="Times New Roman" w:eastAsia="Times New Roman" w:cs="Times New Roman"/>
                <w:spacing w:val="-1"/>
              </w:rPr>
              <w:t>1m</w:t>
            </w:r>
          </w:p>
        </w:tc>
        <w:tc>
          <w:tcPr>
            <w:tcW w:w="364" w:type="dxa"/>
            <w:vAlign w:val="top"/>
            <w:tcBorders>
              <w:right w:val="nil"/>
            </w:tcBorders>
          </w:tcPr>
          <w:p>
            <w:pPr>
              <w:pStyle w:val="TableText"/>
              <w:spacing w:before="218"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tcBorders>
          </w:tcPr>
          <w:p>
            <w:pPr>
              <w:pStyle w:val="TableText"/>
              <w:spacing w:before="248"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tcBorders>
          </w:tcPr>
          <w:p>
            <w:pPr>
              <w:pStyle w:val="TableText"/>
              <w:spacing w:before="232"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tcBorders>
          </w:tcPr>
          <w:p>
            <w:pPr>
              <w:pStyle w:val="TableText"/>
              <w:spacing w:before="231" w:line="207" w:lineRule="auto"/>
              <w:jc w:val="right"/>
              <w:rPr/>
            </w:pPr>
            <w:r>
              <w:rPr>
                <w:rFonts w:ascii="Times New Roman" w:hAnsi="Times New Roman" w:eastAsia="Times New Roman" w:cs="Times New Roman"/>
                <w:spacing w:val="-3"/>
              </w:rPr>
              <w:t>32.55</w:t>
            </w:r>
            <w:r>
              <w:rPr>
                <w:rFonts w:ascii="Times New Roman" w:hAnsi="Times New Roman" w:eastAsia="Times New Roman" w:cs="Times New Roman"/>
                <w:spacing w:val="-10"/>
              </w:rPr>
              <w:t xml:space="preserve"> </w:t>
            </w:r>
            <w:r>
              <w:rPr>
                <w:spacing w:val="-3"/>
              </w:rPr>
              <w:t>″</w:t>
            </w:r>
          </w:p>
        </w:tc>
        <w:tc>
          <w:tcPr>
            <w:tcW w:w="345" w:type="dxa"/>
            <w:vAlign w:val="top"/>
            <w:tcBorders>
              <w:left w:val="nil"/>
              <w:right w:val="nil"/>
            </w:tcBorders>
          </w:tcPr>
          <w:p>
            <w:pPr>
              <w:pStyle w:val="TableText"/>
              <w:spacing w:before="218"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tcBorders>
          </w:tcPr>
          <w:p>
            <w:pPr>
              <w:pStyle w:val="TableText"/>
              <w:spacing w:before="248"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tcBorders>
          </w:tcPr>
          <w:p>
            <w:pPr>
              <w:pStyle w:val="TableText"/>
              <w:spacing w:before="232" w:line="206" w:lineRule="auto"/>
              <w:jc w:val="right"/>
              <w:rPr/>
            </w:pPr>
            <w:r>
              <w:rPr>
                <w:rFonts w:ascii="Times New Roman" w:hAnsi="Times New Roman" w:eastAsia="Times New Roman" w:cs="Times New Roman"/>
                <w:spacing w:val="-31"/>
              </w:rPr>
              <w:t>55</w:t>
            </w:r>
            <w:r>
              <w:rPr>
                <w:rFonts w:ascii="Times New Roman" w:hAnsi="Times New Roman" w:eastAsia="Times New Roman" w:cs="Times New Roman"/>
                <w:spacing w:val="-20"/>
              </w:rPr>
              <w:t xml:space="preserve"> </w:t>
            </w:r>
            <w:r>
              <w:rPr>
                <w:spacing w:val="-31"/>
              </w:rPr>
              <w:t>′</w:t>
            </w:r>
          </w:p>
        </w:tc>
        <w:tc>
          <w:tcPr>
            <w:tcW w:w="862" w:type="dxa"/>
            <w:vAlign w:val="top"/>
            <w:tcBorders>
              <w:left w:val="nil"/>
            </w:tcBorders>
          </w:tcPr>
          <w:p>
            <w:pPr>
              <w:pStyle w:val="TableText"/>
              <w:ind w:left="81"/>
              <w:spacing w:before="231" w:line="207" w:lineRule="auto"/>
              <w:rPr/>
            </w:pPr>
            <w:r>
              <w:rPr>
                <w:rFonts w:ascii="Times New Roman" w:hAnsi="Times New Roman" w:eastAsia="Times New Roman" w:cs="Times New Roman"/>
                <w:spacing w:val="2"/>
              </w:rPr>
              <w:t>51.99</w:t>
            </w:r>
            <w:r>
              <w:rPr>
                <w:rFonts w:ascii="Times New Roman" w:hAnsi="Times New Roman" w:eastAsia="Times New Roman" w:cs="Times New Roman"/>
                <w:spacing w:val="-12"/>
              </w:rPr>
              <w:t xml:space="preserve"> </w:t>
            </w:r>
            <w:r>
              <w:rPr>
                <w:spacing w:val="2"/>
              </w:rPr>
              <w:t>″</w:t>
            </w:r>
          </w:p>
        </w:tc>
        <w:tc>
          <w:tcPr>
            <w:tcW w:w="1757" w:type="dxa"/>
            <w:vAlign w:val="top"/>
            <w:tcBorders>
              <w:right w:val="nil"/>
            </w:tcBorders>
          </w:tcPr>
          <w:p>
            <w:pPr>
              <w:pStyle w:val="TableText"/>
              <w:ind w:left="700"/>
              <w:spacing w:before="218"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26" w:hRule="atLeast"/>
        </w:trPr>
        <w:tc>
          <w:tcPr>
            <w:tcW w:w="670" w:type="dxa"/>
            <w:vAlign w:val="top"/>
            <w:tcBorders>
              <w:left w:val="nil"/>
            </w:tcBorders>
          </w:tcPr>
          <w:p>
            <w:pPr>
              <w:ind w:left="203"/>
              <w:spacing w:before="25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N5</w:t>
            </w:r>
          </w:p>
        </w:tc>
        <w:tc>
          <w:tcPr>
            <w:tcW w:w="2056" w:type="dxa"/>
            <w:vAlign w:val="top"/>
          </w:tcPr>
          <w:p>
            <w:pPr>
              <w:pStyle w:val="TableText"/>
              <w:ind w:left="457" w:right="188" w:hanging="259"/>
              <w:spacing w:before="65" w:line="254" w:lineRule="auto"/>
              <w:rPr>
                <w:rFonts w:ascii="Times New Roman" w:hAnsi="Times New Roman" w:eastAsia="Times New Roman" w:cs="Times New Roman"/>
              </w:rPr>
            </w:pPr>
            <w:r>
              <w:rPr>
                <w:spacing w:val="7"/>
              </w:rPr>
              <w:t>拟建办公生活区厂</w:t>
            </w:r>
            <w:r>
              <w:rPr>
                <w:spacing w:val="2"/>
              </w:rPr>
              <w:t>界东侧外</w:t>
            </w:r>
            <w:r>
              <w:rPr>
                <w:spacing w:val="-22"/>
              </w:rPr>
              <w:t xml:space="preserve"> </w:t>
            </w:r>
            <w:r>
              <w:rPr>
                <w:rFonts w:ascii="Times New Roman" w:hAnsi="Times New Roman" w:eastAsia="Times New Roman" w:cs="Times New Roman"/>
                <w:spacing w:val="2"/>
              </w:rPr>
              <w:t>1m</w:t>
            </w:r>
          </w:p>
        </w:tc>
        <w:tc>
          <w:tcPr>
            <w:tcW w:w="364" w:type="dxa"/>
            <w:vAlign w:val="top"/>
            <w:tcBorders>
              <w:right w:val="nil"/>
            </w:tcBorders>
          </w:tcPr>
          <w:p>
            <w:pPr>
              <w:pStyle w:val="TableText"/>
              <w:spacing w:before="221"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tcBorders>
          </w:tcPr>
          <w:p>
            <w:pPr>
              <w:pStyle w:val="TableText"/>
              <w:spacing w:before="250"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tcBorders>
          </w:tcPr>
          <w:p>
            <w:pPr>
              <w:pStyle w:val="TableText"/>
              <w:spacing w:before="235"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tcBorders>
          </w:tcPr>
          <w:p>
            <w:pPr>
              <w:pStyle w:val="TableText"/>
              <w:spacing w:before="234" w:line="207" w:lineRule="auto"/>
              <w:jc w:val="right"/>
              <w:rPr/>
            </w:pPr>
            <w:r>
              <w:rPr>
                <w:rFonts w:ascii="Times New Roman" w:hAnsi="Times New Roman" w:eastAsia="Times New Roman" w:cs="Times New Roman"/>
                <w:spacing w:val="-2"/>
              </w:rPr>
              <w:t>27.23</w:t>
            </w:r>
            <w:r>
              <w:rPr>
                <w:rFonts w:ascii="Times New Roman" w:hAnsi="Times New Roman" w:eastAsia="Times New Roman" w:cs="Times New Roman"/>
                <w:spacing w:val="-12"/>
              </w:rPr>
              <w:t xml:space="preserve"> </w:t>
            </w:r>
            <w:r>
              <w:rPr>
                <w:spacing w:val="-2"/>
              </w:rPr>
              <w:t>″</w:t>
            </w:r>
          </w:p>
        </w:tc>
        <w:tc>
          <w:tcPr>
            <w:tcW w:w="345" w:type="dxa"/>
            <w:vAlign w:val="top"/>
            <w:tcBorders>
              <w:left w:val="nil"/>
              <w:right w:val="nil"/>
            </w:tcBorders>
          </w:tcPr>
          <w:p>
            <w:pPr>
              <w:pStyle w:val="TableText"/>
              <w:spacing w:before="221"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tcBorders>
          </w:tcPr>
          <w:p>
            <w:pPr>
              <w:pStyle w:val="TableText"/>
              <w:spacing w:before="250"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tcBorders>
          </w:tcPr>
          <w:p>
            <w:pPr>
              <w:pStyle w:val="TableText"/>
              <w:spacing w:before="235" w:line="206" w:lineRule="auto"/>
              <w:jc w:val="right"/>
              <w:rPr/>
            </w:pPr>
            <w:r>
              <w:rPr>
                <w:rFonts w:ascii="Times New Roman" w:hAnsi="Times New Roman" w:eastAsia="Times New Roman" w:cs="Times New Roman"/>
                <w:spacing w:val="-31"/>
              </w:rPr>
              <w:t>54</w:t>
            </w:r>
            <w:r>
              <w:rPr>
                <w:rFonts w:ascii="Times New Roman" w:hAnsi="Times New Roman" w:eastAsia="Times New Roman" w:cs="Times New Roman"/>
                <w:spacing w:val="-20"/>
              </w:rPr>
              <w:t xml:space="preserve"> </w:t>
            </w:r>
            <w:r>
              <w:rPr>
                <w:spacing w:val="-31"/>
              </w:rPr>
              <w:t>′</w:t>
            </w:r>
          </w:p>
        </w:tc>
        <w:tc>
          <w:tcPr>
            <w:tcW w:w="862" w:type="dxa"/>
            <w:vAlign w:val="top"/>
            <w:tcBorders>
              <w:left w:val="nil"/>
            </w:tcBorders>
          </w:tcPr>
          <w:p>
            <w:pPr>
              <w:pStyle w:val="TableText"/>
              <w:ind w:left="79"/>
              <w:spacing w:before="234" w:line="207" w:lineRule="auto"/>
              <w:rPr/>
            </w:pPr>
            <w:r>
              <w:rPr>
                <w:rFonts w:ascii="Times New Roman" w:hAnsi="Times New Roman" w:eastAsia="Times New Roman" w:cs="Times New Roman"/>
                <w:spacing w:val="2"/>
              </w:rPr>
              <w:t>39.65</w:t>
            </w:r>
            <w:r>
              <w:rPr>
                <w:rFonts w:ascii="Times New Roman" w:hAnsi="Times New Roman" w:eastAsia="Times New Roman" w:cs="Times New Roman"/>
                <w:spacing w:val="-11"/>
              </w:rPr>
              <w:t xml:space="preserve"> </w:t>
            </w:r>
            <w:r>
              <w:rPr>
                <w:spacing w:val="2"/>
              </w:rPr>
              <w:t>″</w:t>
            </w:r>
          </w:p>
        </w:tc>
        <w:tc>
          <w:tcPr>
            <w:tcW w:w="1757" w:type="dxa"/>
            <w:vAlign w:val="top"/>
            <w:tcBorders>
              <w:right w:val="nil"/>
            </w:tcBorders>
          </w:tcPr>
          <w:p>
            <w:pPr>
              <w:pStyle w:val="TableText"/>
              <w:ind w:left="700"/>
              <w:spacing w:before="221"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26" w:hRule="atLeast"/>
        </w:trPr>
        <w:tc>
          <w:tcPr>
            <w:tcW w:w="670" w:type="dxa"/>
            <w:vAlign w:val="top"/>
            <w:tcBorders>
              <w:left w:val="nil"/>
            </w:tcBorders>
          </w:tcPr>
          <w:p>
            <w:pPr>
              <w:ind w:left="203"/>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N6</w:t>
            </w:r>
          </w:p>
        </w:tc>
        <w:tc>
          <w:tcPr>
            <w:tcW w:w="2056" w:type="dxa"/>
            <w:vAlign w:val="top"/>
          </w:tcPr>
          <w:p>
            <w:pPr>
              <w:pStyle w:val="TableText"/>
              <w:ind w:left="457" w:right="188" w:hanging="259"/>
              <w:spacing w:before="67" w:line="253" w:lineRule="auto"/>
              <w:rPr>
                <w:rFonts w:ascii="Times New Roman" w:hAnsi="Times New Roman" w:eastAsia="Times New Roman" w:cs="Times New Roman"/>
              </w:rPr>
            </w:pPr>
            <w:r>
              <w:rPr>
                <w:spacing w:val="7"/>
              </w:rPr>
              <w:t>拟建办公生活区厂</w:t>
            </w:r>
            <w:r>
              <w:rPr>
                <w:spacing w:val="1"/>
              </w:rPr>
              <w:t>界南侧外</w:t>
            </w:r>
            <w:r>
              <w:rPr>
                <w:spacing w:val="-16"/>
              </w:rPr>
              <w:t xml:space="preserve"> </w:t>
            </w:r>
            <w:r>
              <w:rPr>
                <w:rFonts w:ascii="Times New Roman" w:hAnsi="Times New Roman" w:eastAsia="Times New Roman" w:cs="Times New Roman"/>
                <w:spacing w:val="1"/>
              </w:rPr>
              <w:t>1m</w:t>
            </w:r>
          </w:p>
        </w:tc>
        <w:tc>
          <w:tcPr>
            <w:tcW w:w="364" w:type="dxa"/>
            <w:vAlign w:val="top"/>
            <w:tcBorders>
              <w:right w:val="nil"/>
            </w:tcBorders>
          </w:tcPr>
          <w:p>
            <w:pPr>
              <w:pStyle w:val="TableText"/>
              <w:spacing w:before="223"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tcBorders>
          </w:tcPr>
          <w:p>
            <w:pPr>
              <w:pStyle w:val="TableText"/>
              <w:spacing w:before="253"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tcBorders>
          </w:tcPr>
          <w:p>
            <w:pPr>
              <w:pStyle w:val="TableText"/>
              <w:spacing w:before="238"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tcBorders>
          </w:tcPr>
          <w:p>
            <w:pPr>
              <w:pStyle w:val="TableText"/>
              <w:spacing w:before="237" w:line="207" w:lineRule="auto"/>
              <w:jc w:val="right"/>
              <w:rPr/>
            </w:pPr>
            <w:r>
              <w:rPr>
                <w:rFonts w:ascii="Times New Roman" w:hAnsi="Times New Roman" w:eastAsia="Times New Roman" w:cs="Times New Roman"/>
                <w:spacing w:val="-2"/>
              </w:rPr>
              <w:t>27.26</w:t>
            </w:r>
            <w:r>
              <w:rPr>
                <w:rFonts w:ascii="Times New Roman" w:hAnsi="Times New Roman" w:eastAsia="Times New Roman" w:cs="Times New Roman"/>
                <w:spacing w:val="-12"/>
              </w:rPr>
              <w:t xml:space="preserve"> </w:t>
            </w:r>
            <w:r>
              <w:rPr>
                <w:spacing w:val="-2"/>
              </w:rPr>
              <w:t>″</w:t>
            </w:r>
          </w:p>
        </w:tc>
        <w:tc>
          <w:tcPr>
            <w:tcW w:w="345" w:type="dxa"/>
            <w:vAlign w:val="top"/>
            <w:tcBorders>
              <w:left w:val="nil"/>
              <w:right w:val="nil"/>
            </w:tcBorders>
          </w:tcPr>
          <w:p>
            <w:pPr>
              <w:pStyle w:val="TableText"/>
              <w:spacing w:before="223"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tcBorders>
          </w:tcPr>
          <w:p>
            <w:pPr>
              <w:pStyle w:val="TableText"/>
              <w:spacing w:before="253"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tcBorders>
          </w:tcPr>
          <w:p>
            <w:pPr>
              <w:pStyle w:val="TableText"/>
              <w:spacing w:before="238" w:line="206" w:lineRule="auto"/>
              <w:jc w:val="right"/>
              <w:rPr/>
            </w:pPr>
            <w:r>
              <w:rPr>
                <w:rFonts w:ascii="Times New Roman" w:hAnsi="Times New Roman" w:eastAsia="Times New Roman" w:cs="Times New Roman"/>
                <w:spacing w:val="-31"/>
              </w:rPr>
              <w:t>54</w:t>
            </w:r>
            <w:r>
              <w:rPr>
                <w:rFonts w:ascii="Times New Roman" w:hAnsi="Times New Roman" w:eastAsia="Times New Roman" w:cs="Times New Roman"/>
                <w:spacing w:val="-20"/>
              </w:rPr>
              <w:t xml:space="preserve"> </w:t>
            </w:r>
            <w:r>
              <w:rPr>
                <w:spacing w:val="-31"/>
              </w:rPr>
              <w:t>′</w:t>
            </w:r>
          </w:p>
        </w:tc>
        <w:tc>
          <w:tcPr>
            <w:tcW w:w="862" w:type="dxa"/>
            <w:vAlign w:val="top"/>
            <w:tcBorders>
              <w:left w:val="nil"/>
            </w:tcBorders>
          </w:tcPr>
          <w:p>
            <w:pPr>
              <w:pStyle w:val="TableText"/>
              <w:ind w:left="79"/>
              <w:spacing w:before="237" w:line="207" w:lineRule="auto"/>
              <w:rPr/>
            </w:pPr>
            <w:r>
              <w:rPr>
                <w:rFonts w:ascii="Times New Roman" w:hAnsi="Times New Roman" w:eastAsia="Times New Roman" w:cs="Times New Roman"/>
                <w:spacing w:val="2"/>
              </w:rPr>
              <w:t>33.15</w:t>
            </w:r>
            <w:r>
              <w:rPr>
                <w:rFonts w:ascii="Times New Roman" w:hAnsi="Times New Roman" w:eastAsia="Times New Roman" w:cs="Times New Roman"/>
                <w:spacing w:val="-11"/>
              </w:rPr>
              <w:t xml:space="preserve"> </w:t>
            </w:r>
            <w:r>
              <w:rPr>
                <w:spacing w:val="2"/>
              </w:rPr>
              <w:t>″</w:t>
            </w:r>
          </w:p>
        </w:tc>
        <w:tc>
          <w:tcPr>
            <w:tcW w:w="1757" w:type="dxa"/>
            <w:vAlign w:val="top"/>
            <w:tcBorders>
              <w:right w:val="nil"/>
            </w:tcBorders>
          </w:tcPr>
          <w:p>
            <w:pPr>
              <w:pStyle w:val="TableText"/>
              <w:ind w:left="700"/>
              <w:spacing w:before="223"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26" w:hRule="atLeast"/>
        </w:trPr>
        <w:tc>
          <w:tcPr>
            <w:tcW w:w="670" w:type="dxa"/>
            <w:vAlign w:val="top"/>
            <w:tcBorders>
              <w:left w:val="nil"/>
            </w:tcBorders>
          </w:tcPr>
          <w:p>
            <w:pPr>
              <w:ind w:left="203"/>
              <w:spacing w:before="26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N7</w:t>
            </w:r>
          </w:p>
        </w:tc>
        <w:tc>
          <w:tcPr>
            <w:tcW w:w="2056" w:type="dxa"/>
            <w:vAlign w:val="top"/>
          </w:tcPr>
          <w:p>
            <w:pPr>
              <w:pStyle w:val="TableText"/>
              <w:ind w:left="457" w:right="188" w:hanging="259"/>
              <w:spacing w:before="69" w:line="252" w:lineRule="auto"/>
              <w:rPr>
                <w:rFonts w:ascii="Times New Roman" w:hAnsi="Times New Roman" w:eastAsia="Times New Roman" w:cs="Times New Roman"/>
              </w:rPr>
            </w:pPr>
            <w:r>
              <w:rPr>
                <w:spacing w:val="7"/>
              </w:rPr>
              <w:t>拟建办公生活区厂</w:t>
            </w:r>
            <w:r>
              <w:rPr>
                <w:spacing w:val="1"/>
              </w:rPr>
              <w:t>界西侧外</w:t>
            </w:r>
            <w:r>
              <w:rPr>
                <w:spacing w:val="-16"/>
              </w:rPr>
              <w:t xml:space="preserve"> </w:t>
            </w:r>
            <w:r>
              <w:rPr>
                <w:rFonts w:ascii="Times New Roman" w:hAnsi="Times New Roman" w:eastAsia="Times New Roman" w:cs="Times New Roman"/>
                <w:spacing w:val="1"/>
              </w:rPr>
              <w:t>1m</w:t>
            </w:r>
          </w:p>
        </w:tc>
        <w:tc>
          <w:tcPr>
            <w:tcW w:w="364" w:type="dxa"/>
            <w:vAlign w:val="top"/>
            <w:tcBorders>
              <w:right w:val="nil"/>
            </w:tcBorders>
          </w:tcPr>
          <w:p>
            <w:pPr>
              <w:pStyle w:val="TableText"/>
              <w:spacing w:before="226"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tcBorders>
          </w:tcPr>
          <w:p>
            <w:pPr>
              <w:pStyle w:val="TableText"/>
              <w:spacing w:before="255"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tcBorders>
          </w:tcPr>
          <w:p>
            <w:pPr>
              <w:pStyle w:val="TableText"/>
              <w:spacing w:before="240"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tcBorders>
          </w:tcPr>
          <w:p>
            <w:pPr>
              <w:pStyle w:val="TableText"/>
              <w:spacing w:before="239" w:line="207" w:lineRule="auto"/>
              <w:jc w:val="right"/>
              <w:rPr/>
            </w:pPr>
            <w:r>
              <w:rPr>
                <w:rFonts w:ascii="Times New Roman" w:hAnsi="Times New Roman" w:eastAsia="Times New Roman" w:cs="Times New Roman"/>
                <w:spacing w:val="-2"/>
              </w:rPr>
              <w:t>25.26</w:t>
            </w:r>
            <w:r>
              <w:rPr>
                <w:rFonts w:ascii="Times New Roman" w:hAnsi="Times New Roman" w:eastAsia="Times New Roman" w:cs="Times New Roman"/>
                <w:spacing w:val="-12"/>
              </w:rPr>
              <w:t xml:space="preserve"> </w:t>
            </w:r>
            <w:r>
              <w:rPr>
                <w:spacing w:val="-2"/>
              </w:rPr>
              <w:t>″</w:t>
            </w:r>
          </w:p>
        </w:tc>
        <w:tc>
          <w:tcPr>
            <w:tcW w:w="345" w:type="dxa"/>
            <w:vAlign w:val="top"/>
            <w:tcBorders>
              <w:left w:val="nil"/>
              <w:right w:val="nil"/>
            </w:tcBorders>
          </w:tcPr>
          <w:p>
            <w:pPr>
              <w:pStyle w:val="TableText"/>
              <w:spacing w:before="226"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tcBorders>
          </w:tcPr>
          <w:p>
            <w:pPr>
              <w:pStyle w:val="TableText"/>
              <w:spacing w:before="255"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tcBorders>
          </w:tcPr>
          <w:p>
            <w:pPr>
              <w:pStyle w:val="TableText"/>
              <w:spacing w:before="240" w:line="206" w:lineRule="auto"/>
              <w:jc w:val="right"/>
              <w:rPr/>
            </w:pPr>
            <w:r>
              <w:rPr>
                <w:rFonts w:ascii="Times New Roman" w:hAnsi="Times New Roman" w:eastAsia="Times New Roman" w:cs="Times New Roman"/>
                <w:spacing w:val="-31"/>
              </w:rPr>
              <w:t>54</w:t>
            </w:r>
            <w:r>
              <w:rPr>
                <w:rFonts w:ascii="Times New Roman" w:hAnsi="Times New Roman" w:eastAsia="Times New Roman" w:cs="Times New Roman"/>
                <w:spacing w:val="-20"/>
              </w:rPr>
              <w:t xml:space="preserve"> </w:t>
            </w:r>
            <w:r>
              <w:rPr>
                <w:spacing w:val="-31"/>
              </w:rPr>
              <w:t>′</w:t>
            </w:r>
          </w:p>
        </w:tc>
        <w:tc>
          <w:tcPr>
            <w:tcW w:w="862" w:type="dxa"/>
            <w:vAlign w:val="top"/>
            <w:tcBorders>
              <w:left w:val="nil"/>
            </w:tcBorders>
          </w:tcPr>
          <w:p>
            <w:pPr>
              <w:pStyle w:val="TableText"/>
              <w:ind w:left="79"/>
              <w:spacing w:before="239" w:line="207" w:lineRule="auto"/>
              <w:rPr/>
            </w:pPr>
            <w:r>
              <w:rPr>
                <w:rFonts w:ascii="Times New Roman" w:hAnsi="Times New Roman" w:eastAsia="Times New Roman" w:cs="Times New Roman"/>
                <w:spacing w:val="2"/>
              </w:rPr>
              <w:t>36.35</w:t>
            </w:r>
            <w:r>
              <w:rPr>
                <w:rFonts w:ascii="Times New Roman" w:hAnsi="Times New Roman" w:eastAsia="Times New Roman" w:cs="Times New Roman"/>
                <w:spacing w:val="-11"/>
              </w:rPr>
              <w:t xml:space="preserve"> </w:t>
            </w:r>
            <w:r>
              <w:rPr>
                <w:spacing w:val="2"/>
              </w:rPr>
              <w:t>″</w:t>
            </w:r>
          </w:p>
        </w:tc>
        <w:tc>
          <w:tcPr>
            <w:tcW w:w="1757" w:type="dxa"/>
            <w:vAlign w:val="top"/>
            <w:tcBorders>
              <w:right w:val="nil"/>
            </w:tcBorders>
          </w:tcPr>
          <w:p>
            <w:pPr>
              <w:pStyle w:val="TableText"/>
              <w:ind w:left="700"/>
              <w:spacing w:before="226"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r>
        <w:trPr>
          <w:trHeight w:val="650" w:hRule="atLeast"/>
        </w:trPr>
        <w:tc>
          <w:tcPr>
            <w:tcW w:w="670" w:type="dxa"/>
            <w:vAlign w:val="top"/>
            <w:tcBorders>
              <w:left w:val="nil"/>
              <w:bottom w:val="single" w:color="000000" w:sz="10" w:space="0"/>
            </w:tcBorders>
          </w:tcPr>
          <w:p>
            <w:pPr>
              <w:ind w:left="203"/>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N8</w:t>
            </w:r>
          </w:p>
        </w:tc>
        <w:tc>
          <w:tcPr>
            <w:tcW w:w="2056" w:type="dxa"/>
            <w:vAlign w:val="top"/>
            <w:tcBorders>
              <w:bottom w:val="single" w:color="000000" w:sz="10" w:space="0"/>
            </w:tcBorders>
          </w:tcPr>
          <w:p>
            <w:pPr>
              <w:pStyle w:val="TableText"/>
              <w:ind w:left="457" w:right="188" w:hanging="259"/>
              <w:spacing w:before="74" w:line="261" w:lineRule="auto"/>
              <w:rPr>
                <w:rFonts w:ascii="Times New Roman" w:hAnsi="Times New Roman" w:eastAsia="Times New Roman" w:cs="Times New Roman"/>
              </w:rPr>
            </w:pPr>
            <w:r>
              <w:rPr>
                <w:spacing w:val="7"/>
              </w:rPr>
              <w:t>拟建办公生活区厂</w:t>
            </w:r>
            <w:r>
              <w:rPr>
                <w:spacing w:val="1"/>
              </w:rPr>
              <w:t>界北侧外</w:t>
            </w:r>
            <w:r>
              <w:rPr>
                <w:spacing w:val="-16"/>
              </w:rPr>
              <w:t xml:space="preserve"> </w:t>
            </w:r>
            <w:r>
              <w:rPr>
                <w:rFonts w:ascii="Times New Roman" w:hAnsi="Times New Roman" w:eastAsia="Times New Roman" w:cs="Times New Roman"/>
                <w:spacing w:val="1"/>
              </w:rPr>
              <w:t>1m</w:t>
            </w:r>
          </w:p>
        </w:tc>
        <w:tc>
          <w:tcPr>
            <w:tcW w:w="364" w:type="dxa"/>
            <w:vAlign w:val="top"/>
            <w:tcBorders>
              <w:right w:val="nil"/>
              <w:bottom w:val="single" w:color="000000" w:sz="10" w:space="0"/>
            </w:tcBorders>
          </w:tcPr>
          <w:p>
            <w:pPr>
              <w:pStyle w:val="TableText"/>
              <w:spacing w:before="231" w:line="268" w:lineRule="exact"/>
              <w:jc w:val="right"/>
              <w:rPr/>
            </w:pPr>
            <w:r>
              <w:rPr>
                <w:rFonts w:ascii="Times New Roman" w:hAnsi="Times New Roman" w:eastAsia="Times New Roman" w:cs="Times New Roman"/>
                <w:spacing w:val="-22"/>
                <w:w w:val="87"/>
                <w:position w:val="2"/>
              </w:rPr>
              <w:t>N</w:t>
            </w:r>
            <w:r>
              <w:rPr>
                <w:spacing w:val="-22"/>
                <w:w w:val="87"/>
                <w:position w:val="2"/>
              </w:rPr>
              <w:t>：</w:t>
            </w:r>
          </w:p>
        </w:tc>
        <w:tc>
          <w:tcPr>
            <w:tcW w:w="398" w:type="dxa"/>
            <w:vAlign w:val="top"/>
            <w:tcBorders>
              <w:left w:val="nil"/>
              <w:right w:val="nil"/>
              <w:bottom w:val="single" w:color="000000" w:sz="10" w:space="0"/>
            </w:tcBorders>
          </w:tcPr>
          <w:p>
            <w:pPr>
              <w:pStyle w:val="TableText"/>
              <w:spacing w:before="260" w:line="192" w:lineRule="auto"/>
              <w:jc w:val="right"/>
              <w:rPr/>
            </w:pPr>
            <w:r>
              <w:rPr>
                <w:rFonts w:ascii="Times New Roman" w:hAnsi="Times New Roman" w:eastAsia="Times New Roman" w:cs="Times New Roman"/>
                <w:spacing w:val="-24"/>
              </w:rPr>
              <w:t>43</w:t>
            </w:r>
            <w:r>
              <w:rPr>
                <w:rFonts w:ascii="Times New Roman" w:hAnsi="Times New Roman" w:eastAsia="Times New Roman" w:cs="Times New Roman"/>
                <w:spacing w:val="-27"/>
              </w:rPr>
              <w:t xml:space="preserve"> </w:t>
            </w:r>
            <w:r>
              <w:rPr>
                <w:spacing w:val="-24"/>
              </w:rPr>
              <w:t>°</w:t>
            </w:r>
          </w:p>
        </w:tc>
        <w:tc>
          <w:tcPr>
            <w:tcW w:w="414" w:type="dxa"/>
            <w:vAlign w:val="top"/>
            <w:tcBorders>
              <w:left w:val="nil"/>
              <w:right w:val="nil"/>
              <w:bottom w:val="single" w:color="000000" w:sz="10" w:space="0"/>
            </w:tcBorders>
          </w:tcPr>
          <w:p>
            <w:pPr>
              <w:pStyle w:val="TableText"/>
              <w:spacing w:before="245" w:line="206" w:lineRule="auto"/>
              <w:jc w:val="right"/>
              <w:rPr/>
            </w:pPr>
            <w:r>
              <w:rPr>
                <w:rFonts w:ascii="Times New Roman" w:hAnsi="Times New Roman" w:eastAsia="Times New Roman" w:cs="Times New Roman"/>
                <w:spacing w:val="-30"/>
              </w:rPr>
              <w:t>01</w:t>
            </w:r>
            <w:r>
              <w:rPr>
                <w:rFonts w:ascii="Times New Roman" w:hAnsi="Times New Roman" w:eastAsia="Times New Roman" w:cs="Times New Roman"/>
                <w:spacing w:val="-19"/>
              </w:rPr>
              <w:t xml:space="preserve"> </w:t>
            </w:r>
            <w:r>
              <w:rPr>
                <w:spacing w:val="-30"/>
              </w:rPr>
              <w:t>′</w:t>
            </w:r>
          </w:p>
        </w:tc>
        <w:tc>
          <w:tcPr>
            <w:tcW w:w="754" w:type="dxa"/>
            <w:vAlign w:val="top"/>
            <w:tcBorders>
              <w:left w:val="nil"/>
              <w:right w:val="nil"/>
              <w:bottom w:val="single" w:color="000000" w:sz="10" w:space="0"/>
            </w:tcBorders>
          </w:tcPr>
          <w:p>
            <w:pPr>
              <w:pStyle w:val="TableText"/>
              <w:spacing w:before="244" w:line="207" w:lineRule="auto"/>
              <w:jc w:val="right"/>
              <w:rPr/>
            </w:pPr>
            <w:r>
              <w:rPr>
                <w:rFonts w:ascii="Times New Roman" w:hAnsi="Times New Roman" w:eastAsia="Times New Roman" w:cs="Times New Roman"/>
                <w:spacing w:val="-2"/>
              </w:rPr>
              <w:t>28.62</w:t>
            </w:r>
            <w:r>
              <w:rPr>
                <w:rFonts w:ascii="Times New Roman" w:hAnsi="Times New Roman" w:eastAsia="Times New Roman" w:cs="Times New Roman"/>
                <w:spacing w:val="-12"/>
              </w:rPr>
              <w:t xml:space="preserve"> </w:t>
            </w:r>
            <w:r>
              <w:rPr>
                <w:spacing w:val="-2"/>
              </w:rPr>
              <w:t>″</w:t>
            </w:r>
          </w:p>
        </w:tc>
        <w:tc>
          <w:tcPr>
            <w:tcW w:w="345" w:type="dxa"/>
            <w:vAlign w:val="top"/>
            <w:tcBorders>
              <w:left w:val="nil"/>
              <w:right w:val="nil"/>
              <w:bottom w:val="single" w:color="000000" w:sz="10" w:space="0"/>
            </w:tcBorders>
          </w:tcPr>
          <w:p>
            <w:pPr>
              <w:pStyle w:val="TableText"/>
              <w:spacing w:before="231" w:line="268" w:lineRule="exact"/>
              <w:jc w:val="right"/>
              <w:rPr/>
            </w:pPr>
            <w:r>
              <w:rPr>
                <w:rFonts w:ascii="Times New Roman" w:hAnsi="Times New Roman" w:eastAsia="Times New Roman" w:cs="Times New Roman"/>
                <w:spacing w:val="-29"/>
                <w:w w:val="91"/>
                <w:position w:val="2"/>
              </w:rPr>
              <w:t>E</w:t>
            </w:r>
            <w:r>
              <w:rPr>
                <w:spacing w:val="-29"/>
                <w:w w:val="91"/>
                <w:position w:val="2"/>
              </w:rPr>
              <w:t>：</w:t>
            </w:r>
          </w:p>
        </w:tc>
        <w:tc>
          <w:tcPr>
            <w:tcW w:w="487" w:type="dxa"/>
            <w:vAlign w:val="top"/>
            <w:tcBorders>
              <w:left w:val="nil"/>
              <w:right w:val="nil"/>
              <w:bottom w:val="single" w:color="000000" w:sz="10" w:space="0"/>
            </w:tcBorders>
          </w:tcPr>
          <w:p>
            <w:pPr>
              <w:pStyle w:val="TableText"/>
              <w:spacing w:before="260" w:line="192" w:lineRule="auto"/>
              <w:jc w:val="right"/>
              <w:rPr/>
            </w:pPr>
            <w:r>
              <w:rPr>
                <w:rFonts w:ascii="Times New Roman" w:hAnsi="Times New Roman" w:eastAsia="Times New Roman" w:cs="Times New Roman"/>
                <w:spacing w:val="-24"/>
              </w:rPr>
              <w:t>112</w:t>
            </w:r>
            <w:r>
              <w:rPr>
                <w:rFonts w:ascii="Times New Roman" w:hAnsi="Times New Roman" w:eastAsia="Times New Roman" w:cs="Times New Roman"/>
                <w:spacing w:val="-25"/>
              </w:rPr>
              <w:t xml:space="preserve"> </w:t>
            </w:r>
            <w:r>
              <w:rPr>
                <w:spacing w:val="-24"/>
              </w:rPr>
              <w:t>°</w:t>
            </w:r>
          </w:p>
        </w:tc>
        <w:tc>
          <w:tcPr>
            <w:tcW w:w="412" w:type="dxa"/>
            <w:vAlign w:val="top"/>
            <w:tcBorders>
              <w:left w:val="nil"/>
              <w:right w:val="nil"/>
              <w:bottom w:val="single" w:color="000000" w:sz="10" w:space="0"/>
            </w:tcBorders>
          </w:tcPr>
          <w:p>
            <w:pPr>
              <w:pStyle w:val="TableText"/>
              <w:spacing w:before="245" w:line="206" w:lineRule="auto"/>
              <w:jc w:val="right"/>
              <w:rPr/>
            </w:pPr>
            <w:r>
              <w:rPr>
                <w:rFonts w:ascii="Times New Roman" w:hAnsi="Times New Roman" w:eastAsia="Times New Roman" w:cs="Times New Roman"/>
                <w:spacing w:val="-31"/>
              </w:rPr>
              <w:t>54</w:t>
            </w:r>
            <w:r>
              <w:rPr>
                <w:rFonts w:ascii="Times New Roman" w:hAnsi="Times New Roman" w:eastAsia="Times New Roman" w:cs="Times New Roman"/>
                <w:spacing w:val="-20"/>
              </w:rPr>
              <w:t xml:space="preserve"> </w:t>
            </w:r>
            <w:r>
              <w:rPr>
                <w:spacing w:val="-31"/>
              </w:rPr>
              <w:t>′</w:t>
            </w:r>
          </w:p>
        </w:tc>
        <w:tc>
          <w:tcPr>
            <w:tcW w:w="862" w:type="dxa"/>
            <w:vAlign w:val="top"/>
            <w:tcBorders>
              <w:left w:val="nil"/>
              <w:bottom w:val="single" w:color="000000" w:sz="10" w:space="0"/>
            </w:tcBorders>
          </w:tcPr>
          <w:p>
            <w:pPr>
              <w:pStyle w:val="TableText"/>
              <w:ind w:left="79"/>
              <w:spacing w:before="244" w:line="207" w:lineRule="auto"/>
              <w:rPr/>
            </w:pPr>
            <w:r>
              <w:rPr>
                <w:rFonts w:ascii="Times New Roman" w:hAnsi="Times New Roman" w:eastAsia="Times New Roman" w:cs="Times New Roman"/>
                <w:spacing w:val="2"/>
              </w:rPr>
              <w:t>35.87</w:t>
            </w:r>
            <w:r>
              <w:rPr>
                <w:rFonts w:ascii="Times New Roman" w:hAnsi="Times New Roman" w:eastAsia="Times New Roman" w:cs="Times New Roman"/>
                <w:spacing w:val="-11"/>
              </w:rPr>
              <w:t xml:space="preserve"> </w:t>
            </w:r>
            <w:r>
              <w:rPr>
                <w:spacing w:val="2"/>
              </w:rPr>
              <w:t>″</w:t>
            </w:r>
          </w:p>
        </w:tc>
        <w:tc>
          <w:tcPr>
            <w:tcW w:w="1757" w:type="dxa"/>
            <w:vAlign w:val="top"/>
            <w:tcBorders>
              <w:right w:val="nil"/>
              <w:bottom w:val="single" w:color="000000" w:sz="10" w:space="0"/>
            </w:tcBorders>
          </w:tcPr>
          <w:p>
            <w:pPr>
              <w:pStyle w:val="TableText"/>
              <w:ind w:left="700"/>
              <w:spacing w:before="231" w:line="233" w:lineRule="auto"/>
              <w:rPr/>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类</w:t>
            </w:r>
          </w:p>
        </w:tc>
      </w:tr>
    </w:tbl>
    <w:p>
      <w:pPr>
        <w:pStyle w:val="BodyText"/>
        <w:spacing w:line="251" w:lineRule="auto"/>
        <w:rPr/>
      </w:pPr>
      <w:r/>
    </w:p>
    <w:p>
      <w:pPr>
        <w:pStyle w:val="BodyText"/>
        <w:spacing w:line="252" w:lineRule="auto"/>
        <w:rPr/>
      </w:pPr>
      <w:r/>
    </w:p>
    <w:p>
      <w:pPr>
        <w:ind w:left="116"/>
        <w:spacing w:before="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5.5.3.2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监测因子</w:t>
      </w:r>
    </w:p>
    <w:p>
      <w:pPr>
        <w:ind w:left="612"/>
        <w:spacing w:before="178" w:line="223" w:lineRule="auto"/>
        <w:rPr>
          <w:rFonts w:ascii="FangSong" w:hAnsi="FangSong" w:eastAsia="FangSong" w:cs="FangSong"/>
          <w:sz w:val="24"/>
          <w:szCs w:val="24"/>
        </w:rPr>
      </w:pPr>
      <w:r>
        <w:rPr>
          <w:rFonts w:ascii="FangSong" w:hAnsi="FangSong" w:eastAsia="FangSong" w:cs="FangSong"/>
          <w:sz w:val="24"/>
          <w:szCs w:val="24"/>
          <w:spacing w:val="-6"/>
        </w:rPr>
        <w:t>等效连续</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6"/>
        </w:rPr>
        <w: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6"/>
        </w:rPr>
        <w:t>声级。</w:t>
      </w:r>
    </w:p>
    <w:p>
      <w:pPr>
        <w:ind w:left="116"/>
        <w:spacing w:before="178"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5.5.3.3</w:t>
      </w:r>
      <w:r>
        <w:rPr>
          <w:rFonts w:ascii="Times New Roman" w:hAnsi="Times New Roman" w:eastAsia="Times New Roman" w:cs="Times New Roman"/>
          <w:sz w:val="24"/>
          <w:szCs w:val="24"/>
          <w:b/>
          <w:bCs/>
          <w:spacing w:val="16"/>
          <w:w w:val="101"/>
        </w:rPr>
        <w:t xml:space="preserve">  </w:t>
      </w:r>
      <w:r>
        <w:rPr>
          <w:rFonts w:ascii="FangSong" w:hAnsi="FangSong" w:eastAsia="FangSong" w:cs="FangSong"/>
          <w:sz w:val="24"/>
          <w:szCs w:val="24"/>
          <w:b/>
          <w:bCs/>
          <w:spacing w:val="-4"/>
        </w:rPr>
        <w:t>监测时间及频次</w:t>
      </w:r>
    </w:p>
    <w:p>
      <w:pPr>
        <w:ind w:left="593"/>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2025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7"/>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7"/>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19  </w:t>
      </w:r>
      <w:r>
        <w:rPr>
          <w:rFonts w:ascii="FangSong" w:hAnsi="FangSong" w:eastAsia="FangSong" w:cs="FangSong"/>
          <w:sz w:val="24"/>
          <w:szCs w:val="24"/>
          <w:spacing w:val="-7"/>
        </w:rPr>
        <w:t>日</w:t>
      </w:r>
      <w:r>
        <w:rPr>
          <w:rFonts w:ascii="Times New Roman" w:hAnsi="Times New Roman" w:eastAsia="Times New Roman" w:cs="Times New Roman"/>
          <w:sz w:val="24"/>
          <w:szCs w:val="24"/>
          <w:spacing w:val="-7"/>
        </w:rPr>
        <w:t>-2025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7"/>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8"/>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20  </w:t>
      </w:r>
      <w:r>
        <w:rPr>
          <w:rFonts w:ascii="FangSong" w:hAnsi="FangSong" w:eastAsia="FangSong" w:cs="FangSong"/>
          <w:sz w:val="24"/>
          <w:szCs w:val="24"/>
          <w:spacing w:val="-8"/>
        </w:rPr>
        <w:t>日，分昼间、夜间各监测一次。</w:t>
      </w:r>
    </w:p>
    <w:p>
      <w:pPr>
        <w:ind w:left="116"/>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5.5.3.4</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监测结果</w:t>
      </w:r>
    </w:p>
    <w:p>
      <w:pPr>
        <w:ind w:left="610"/>
        <w:spacing w:before="179" w:line="221" w:lineRule="auto"/>
        <w:rPr>
          <w:rFonts w:ascii="FangSong" w:hAnsi="FangSong" w:eastAsia="FangSong" w:cs="FangSong"/>
          <w:sz w:val="24"/>
          <w:szCs w:val="24"/>
        </w:rPr>
      </w:pPr>
      <w:r>
        <w:rPr>
          <w:rFonts w:ascii="FangSong" w:hAnsi="FangSong" w:eastAsia="FangSong" w:cs="FangSong"/>
          <w:sz w:val="24"/>
          <w:szCs w:val="24"/>
          <w:spacing w:val="-3"/>
        </w:rPr>
        <w:t>监测结果详见表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5.5-7</w:t>
      </w:r>
      <w:r>
        <w:rPr>
          <w:rFonts w:ascii="FangSong" w:hAnsi="FangSong" w:eastAsia="FangSong" w:cs="FangSong"/>
          <w:sz w:val="24"/>
          <w:szCs w:val="24"/>
          <w:spacing w:val="-3"/>
        </w:rPr>
        <w:t>。</w:t>
      </w:r>
    </w:p>
    <w:p>
      <w:pPr>
        <w:spacing w:line="221" w:lineRule="auto"/>
        <w:sectPr>
          <w:footerReference w:type="default" r:id="rId244"/>
          <w:pgSz w:w="11906" w:h="16839"/>
          <w:pgMar w:top="400" w:right="1603"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853"/>
        <w:spacing w:before="78" w:line="222" w:lineRule="auto"/>
        <w:rPr>
          <w:rFonts w:ascii="FangSong" w:hAnsi="FangSong" w:eastAsia="FangSong" w:cs="FangSong"/>
          <w:sz w:val="24"/>
          <w:szCs w:val="24"/>
        </w:rPr>
      </w:pPr>
      <w:bookmarkStart w:name="bookmark579" w:id="333"/>
      <w:bookmarkEnd w:id="333"/>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5.5-7  </w:t>
      </w:r>
      <w:r>
        <w:rPr>
          <w:rFonts w:ascii="FangSong" w:hAnsi="FangSong" w:eastAsia="FangSong" w:cs="FangSong"/>
          <w:sz w:val="24"/>
          <w:szCs w:val="24"/>
          <w:b/>
          <w:bCs/>
          <w:spacing w:val="-3"/>
        </w:rPr>
        <w:t>环境噪声监测结果</w:t>
      </w:r>
    </w:p>
    <w:p>
      <w:pPr>
        <w:spacing w:line="64"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3"/>
        <w:gridCol w:w="2321"/>
        <w:gridCol w:w="1115"/>
        <w:gridCol w:w="1118"/>
        <w:gridCol w:w="977"/>
        <w:gridCol w:w="992"/>
        <w:gridCol w:w="1203"/>
      </w:tblGrid>
      <w:tr>
        <w:trPr>
          <w:trHeight w:val="348" w:hRule="atLeast"/>
        </w:trPr>
        <w:tc>
          <w:tcPr>
            <w:tcW w:w="793" w:type="dxa"/>
            <w:vAlign w:val="top"/>
            <w:vMerge w:val="restart"/>
            <w:tcBorders>
              <w:left w:val="nil"/>
              <w:top w:val="single" w:color="000000" w:sz="10" w:space="0"/>
              <w:bottom w:val="nil"/>
            </w:tcBorders>
          </w:tcPr>
          <w:p>
            <w:pPr>
              <w:pStyle w:val="TableText"/>
              <w:ind w:left="199"/>
              <w:spacing w:before="245" w:line="231" w:lineRule="auto"/>
              <w:rPr/>
            </w:pPr>
            <w:r>
              <w:rPr>
                <w:spacing w:val="2"/>
              </w:rPr>
              <w:t>序号</w:t>
            </w:r>
          </w:p>
        </w:tc>
        <w:tc>
          <w:tcPr>
            <w:tcW w:w="2321" w:type="dxa"/>
            <w:vAlign w:val="top"/>
            <w:vMerge w:val="restart"/>
            <w:tcBorders>
              <w:top w:val="single" w:color="000000" w:sz="10" w:space="0"/>
              <w:bottom w:val="nil"/>
            </w:tcBorders>
          </w:tcPr>
          <w:p>
            <w:pPr>
              <w:pStyle w:val="TableText"/>
              <w:ind w:left="547"/>
              <w:spacing w:before="245" w:line="229" w:lineRule="auto"/>
              <w:rPr/>
            </w:pPr>
            <w:r>
              <w:rPr>
                <w:spacing w:val="6"/>
              </w:rPr>
              <w:t>监测点位名称</w:t>
            </w:r>
          </w:p>
        </w:tc>
        <w:tc>
          <w:tcPr>
            <w:tcW w:w="2233" w:type="dxa"/>
            <w:vAlign w:val="top"/>
            <w:gridSpan w:val="2"/>
            <w:tcBorders>
              <w:top w:val="single" w:color="000000" w:sz="10" w:space="0"/>
            </w:tcBorders>
          </w:tcPr>
          <w:p>
            <w:pPr>
              <w:pStyle w:val="TableText"/>
              <w:ind w:left="384"/>
              <w:spacing w:before="69" w:line="232" w:lineRule="auto"/>
              <w:rPr/>
            </w:pPr>
            <w:r>
              <w:rPr>
                <w:spacing w:val="5"/>
              </w:rPr>
              <w:t>监测值</w:t>
            </w:r>
            <w:r>
              <w:rPr>
                <w:spacing w:val="-40"/>
              </w:rPr>
              <w:t xml:space="preserve"> </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c>
          <w:tcPr>
            <w:tcW w:w="1969" w:type="dxa"/>
            <w:vAlign w:val="top"/>
            <w:gridSpan w:val="2"/>
            <w:tcBorders>
              <w:top w:val="single" w:color="000000" w:sz="10" w:space="0"/>
            </w:tcBorders>
          </w:tcPr>
          <w:p>
            <w:pPr>
              <w:pStyle w:val="TableText"/>
              <w:ind w:left="573"/>
              <w:spacing w:before="70" w:line="229" w:lineRule="auto"/>
              <w:rPr/>
            </w:pPr>
            <w:r>
              <w:rPr>
                <w:spacing w:val="6"/>
              </w:rPr>
              <w:t>执行标准</w:t>
            </w:r>
          </w:p>
        </w:tc>
        <w:tc>
          <w:tcPr>
            <w:tcW w:w="1203" w:type="dxa"/>
            <w:vAlign w:val="top"/>
            <w:vMerge w:val="restart"/>
            <w:tcBorders>
              <w:right w:val="nil"/>
              <w:top w:val="single" w:color="000000" w:sz="10" w:space="0"/>
              <w:bottom w:val="nil"/>
            </w:tcBorders>
          </w:tcPr>
          <w:p>
            <w:pPr>
              <w:pStyle w:val="TableText"/>
              <w:ind w:left="194"/>
              <w:spacing w:before="245" w:line="231" w:lineRule="auto"/>
              <w:rPr/>
            </w:pPr>
            <w:r>
              <w:rPr>
                <w:spacing w:val="5"/>
              </w:rPr>
              <w:t>达标情况</w:t>
            </w:r>
          </w:p>
        </w:tc>
      </w:tr>
      <w:tr>
        <w:trPr>
          <w:trHeight w:val="344" w:hRule="atLeast"/>
        </w:trPr>
        <w:tc>
          <w:tcPr>
            <w:tcW w:w="793" w:type="dxa"/>
            <w:vAlign w:val="top"/>
            <w:vMerge w:val="continue"/>
            <w:tcBorders>
              <w:left w:val="nil"/>
              <w:top w:val="nil"/>
            </w:tcBorders>
          </w:tcPr>
          <w:p>
            <w:pPr>
              <w:rPr>
                <w:rFonts w:ascii="Arial"/>
                <w:sz w:val="21"/>
              </w:rPr>
            </w:pPr>
            <w:r/>
          </w:p>
        </w:tc>
        <w:tc>
          <w:tcPr>
            <w:tcW w:w="2321" w:type="dxa"/>
            <w:vAlign w:val="top"/>
            <w:vMerge w:val="continue"/>
            <w:tcBorders>
              <w:top w:val="nil"/>
            </w:tcBorders>
          </w:tcPr>
          <w:p>
            <w:pPr>
              <w:rPr>
                <w:rFonts w:ascii="Arial"/>
                <w:sz w:val="21"/>
              </w:rPr>
            </w:pPr>
            <w:r/>
          </w:p>
        </w:tc>
        <w:tc>
          <w:tcPr>
            <w:tcW w:w="1115" w:type="dxa"/>
            <w:vAlign w:val="top"/>
          </w:tcPr>
          <w:p>
            <w:pPr>
              <w:pStyle w:val="TableText"/>
              <w:ind w:left="462"/>
              <w:spacing w:before="67" w:line="239" w:lineRule="auto"/>
              <w:rPr/>
            </w:pPr>
            <w:r>
              <w:rPr/>
              <w:t>昼</w:t>
            </w:r>
          </w:p>
        </w:tc>
        <w:tc>
          <w:tcPr>
            <w:tcW w:w="1118" w:type="dxa"/>
            <w:vAlign w:val="top"/>
          </w:tcPr>
          <w:p>
            <w:pPr>
              <w:pStyle w:val="TableText"/>
              <w:ind w:left="466"/>
              <w:spacing w:before="67" w:line="231" w:lineRule="auto"/>
              <w:rPr/>
            </w:pPr>
            <w:r>
              <w:rPr/>
              <w:t>夜</w:t>
            </w:r>
          </w:p>
        </w:tc>
        <w:tc>
          <w:tcPr>
            <w:tcW w:w="977" w:type="dxa"/>
            <w:vAlign w:val="top"/>
          </w:tcPr>
          <w:p>
            <w:pPr>
              <w:pStyle w:val="TableText"/>
              <w:ind w:left="394"/>
              <w:spacing w:before="67" w:line="239" w:lineRule="auto"/>
              <w:rPr/>
            </w:pPr>
            <w:r>
              <w:rPr/>
              <w:t>昼</w:t>
            </w:r>
          </w:p>
        </w:tc>
        <w:tc>
          <w:tcPr>
            <w:tcW w:w="992" w:type="dxa"/>
            <w:vAlign w:val="top"/>
          </w:tcPr>
          <w:p>
            <w:pPr>
              <w:pStyle w:val="TableText"/>
              <w:ind w:left="401"/>
              <w:spacing w:before="67" w:line="231" w:lineRule="auto"/>
              <w:rPr/>
            </w:pPr>
            <w:r>
              <w:rPr/>
              <w:t>夜</w:t>
            </w:r>
          </w:p>
        </w:tc>
        <w:tc>
          <w:tcPr>
            <w:tcW w:w="1203" w:type="dxa"/>
            <w:vAlign w:val="top"/>
            <w:vMerge w:val="continue"/>
            <w:tcBorders>
              <w:right w:val="nil"/>
              <w:top w:val="nil"/>
            </w:tcBorders>
          </w:tcPr>
          <w:p>
            <w:pPr>
              <w:rPr>
                <w:rFonts w:ascii="Arial"/>
                <w:sz w:val="21"/>
              </w:rPr>
            </w:pPr>
            <w:r/>
          </w:p>
        </w:tc>
      </w:tr>
      <w:tr>
        <w:trPr>
          <w:trHeight w:val="626" w:hRule="atLeast"/>
        </w:trPr>
        <w:tc>
          <w:tcPr>
            <w:tcW w:w="793" w:type="dxa"/>
            <w:vAlign w:val="top"/>
            <w:tcBorders>
              <w:left w:val="nil"/>
            </w:tcBorders>
          </w:tcPr>
          <w:p>
            <w:pPr>
              <w:ind w:left="26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N1</w:t>
            </w:r>
          </w:p>
        </w:tc>
        <w:tc>
          <w:tcPr>
            <w:tcW w:w="2321" w:type="dxa"/>
            <w:vAlign w:val="top"/>
          </w:tcPr>
          <w:p>
            <w:pPr>
              <w:pStyle w:val="TableText"/>
              <w:ind w:left="122"/>
              <w:spacing w:before="53" w:line="232" w:lineRule="auto"/>
              <w:rPr/>
            </w:pPr>
            <w:r>
              <w:rPr>
                <w:spacing w:val="8"/>
              </w:rPr>
              <w:t>拟建工业广场厂界东侧</w:t>
            </w:r>
          </w:p>
          <w:p>
            <w:pPr>
              <w:pStyle w:val="TableText"/>
              <w:ind w:left="909"/>
              <w:spacing w:before="61" w:line="230" w:lineRule="auto"/>
              <w:rPr>
                <w:rFonts w:ascii="Times New Roman" w:hAnsi="Times New Roman" w:eastAsia="Times New Roman" w:cs="Times New Roman"/>
              </w:rPr>
            </w:pPr>
            <w:r>
              <w:rPr>
                <w:spacing w:val="-7"/>
              </w:rPr>
              <w:t>外</w:t>
            </w:r>
            <w:r>
              <w:rPr>
                <w:spacing w:val="-23"/>
              </w:rPr>
              <w:t xml:space="preserve"> </w:t>
            </w:r>
            <w:r>
              <w:rPr>
                <w:rFonts w:ascii="Times New Roman" w:hAnsi="Times New Roman" w:eastAsia="Times New Roman" w:cs="Times New Roman"/>
                <w:spacing w:val="-7"/>
              </w:rPr>
              <w:t>1m</w:t>
            </w:r>
          </w:p>
        </w:tc>
        <w:tc>
          <w:tcPr>
            <w:tcW w:w="1115" w:type="dxa"/>
            <w:vAlign w:val="top"/>
          </w:tcPr>
          <w:p>
            <w:pPr>
              <w:ind w:left="37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45.3</w:t>
            </w:r>
          </w:p>
        </w:tc>
        <w:tc>
          <w:tcPr>
            <w:tcW w:w="1118" w:type="dxa"/>
            <w:vAlign w:val="top"/>
          </w:tcPr>
          <w:p>
            <w:pPr>
              <w:ind w:left="381"/>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39.2</w:t>
            </w:r>
          </w:p>
        </w:tc>
        <w:tc>
          <w:tcPr>
            <w:tcW w:w="97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38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92"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397"/>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03" w:type="dxa"/>
            <w:vAlign w:val="top"/>
            <w:tcBorders>
              <w:right w:val="nil"/>
            </w:tcBorders>
          </w:tcPr>
          <w:p>
            <w:pPr>
              <w:pStyle w:val="TableText"/>
              <w:ind w:left="405"/>
              <w:spacing w:before="210" w:line="231" w:lineRule="auto"/>
              <w:rPr/>
            </w:pPr>
            <w:r>
              <w:rPr/>
              <w:t>达标</w:t>
            </w:r>
          </w:p>
        </w:tc>
      </w:tr>
      <w:tr>
        <w:trPr>
          <w:trHeight w:val="627" w:hRule="atLeast"/>
        </w:trPr>
        <w:tc>
          <w:tcPr>
            <w:tcW w:w="793" w:type="dxa"/>
            <w:vAlign w:val="top"/>
            <w:tcBorders>
              <w:left w:val="nil"/>
            </w:tcBorders>
          </w:tcPr>
          <w:p>
            <w:pPr>
              <w:ind w:left="265"/>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N2</w:t>
            </w:r>
          </w:p>
        </w:tc>
        <w:tc>
          <w:tcPr>
            <w:tcW w:w="2321" w:type="dxa"/>
            <w:vAlign w:val="top"/>
          </w:tcPr>
          <w:p>
            <w:pPr>
              <w:pStyle w:val="TableText"/>
              <w:ind w:left="122"/>
              <w:spacing w:before="56" w:line="232" w:lineRule="auto"/>
              <w:rPr/>
            </w:pPr>
            <w:r>
              <w:rPr>
                <w:spacing w:val="8"/>
              </w:rPr>
              <w:t>拟建工业广场厂界南侧</w:t>
            </w:r>
          </w:p>
          <w:p>
            <w:pPr>
              <w:pStyle w:val="TableText"/>
              <w:ind w:left="909"/>
              <w:spacing w:before="61" w:line="229" w:lineRule="auto"/>
              <w:rPr>
                <w:rFonts w:ascii="Times New Roman" w:hAnsi="Times New Roman" w:eastAsia="Times New Roman" w:cs="Times New Roman"/>
              </w:rPr>
            </w:pPr>
            <w:r>
              <w:rPr>
                <w:spacing w:val="-7"/>
              </w:rPr>
              <w:t>外</w:t>
            </w:r>
            <w:r>
              <w:rPr>
                <w:spacing w:val="-23"/>
              </w:rPr>
              <w:t xml:space="preserve"> </w:t>
            </w:r>
            <w:r>
              <w:rPr>
                <w:rFonts w:ascii="Times New Roman" w:hAnsi="Times New Roman" w:eastAsia="Times New Roman" w:cs="Times New Roman"/>
                <w:spacing w:val="-7"/>
              </w:rPr>
              <w:t>1m</w:t>
            </w:r>
          </w:p>
        </w:tc>
        <w:tc>
          <w:tcPr>
            <w:tcW w:w="1115" w:type="dxa"/>
            <w:vAlign w:val="top"/>
          </w:tcPr>
          <w:p>
            <w:pPr>
              <w:ind w:left="373"/>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45.5</w:t>
            </w:r>
          </w:p>
        </w:tc>
        <w:tc>
          <w:tcPr>
            <w:tcW w:w="1118" w:type="dxa"/>
            <w:vAlign w:val="top"/>
          </w:tcPr>
          <w:p>
            <w:pPr>
              <w:ind w:left="381"/>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39.0</w:t>
            </w:r>
          </w:p>
        </w:tc>
        <w:tc>
          <w:tcPr>
            <w:tcW w:w="977" w:type="dxa"/>
            <w:vAlign w:val="top"/>
            <w:vMerge w:val="continue"/>
            <w:tcBorders>
              <w:bottom w:val="nil"/>
              <w:top w:val="nil"/>
            </w:tcBorders>
          </w:tcPr>
          <w:p>
            <w:pPr>
              <w:rPr>
                <w:rFonts w:ascii="Arial"/>
                <w:sz w:val="21"/>
              </w:rPr>
            </w:pPr>
            <w:r/>
          </w:p>
        </w:tc>
        <w:tc>
          <w:tcPr>
            <w:tcW w:w="992" w:type="dxa"/>
            <w:vAlign w:val="top"/>
            <w:vMerge w:val="continue"/>
            <w:tcBorders>
              <w:bottom w:val="nil"/>
              <w:top w:val="nil"/>
            </w:tcBorders>
          </w:tcPr>
          <w:p>
            <w:pPr>
              <w:rPr>
                <w:rFonts w:ascii="Arial"/>
                <w:sz w:val="21"/>
              </w:rPr>
            </w:pPr>
            <w:r/>
          </w:p>
        </w:tc>
        <w:tc>
          <w:tcPr>
            <w:tcW w:w="1203" w:type="dxa"/>
            <w:vAlign w:val="top"/>
            <w:tcBorders>
              <w:right w:val="nil"/>
            </w:tcBorders>
          </w:tcPr>
          <w:p>
            <w:pPr>
              <w:pStyle w:val="TableText"/>
              <w:ind w:left="405"/>
              <w:spacing w:before="212" w:line="231" w:lineRule="auto"/>
              <w:rPr/>
            </w:pPr>
            <w:r>
              <w:rPr/>
              <w:t>达标</w:t>
            </w:r>
          </w:p>
        </w:tc>
      </w:tr>
      <w:tr>
        <w:trPr>
          <w:trHeight w:val="626" w:hRule="atLeast"/>
        </w:trPr>
        <w:tc>
          <w:tcPr>
            <w:tcW w:w="793" w:type="dxa"/>
            <w:vAlign w:val="top"/>
            <w:tcBorders>
              <w:left w:val="nil"/>
            </w:tcBorders>
          </w:tcPr>
          <w:p>
            <w:pPr>
              <w:ind w:left="265"/>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N3</w:t>
            </w:r>
          </w:p>
        </w:tc>
        <w:tc>
          <w:tcPr>
            <w:tcW w:w="2321" w:type="dxa"/>
            <w:vAlign w:val="top"/>
          </w:tcPr>
          <w:p>
            <w:pPr>
              <w:pStyle w:val="TableText"/>
              <w:ind w:left="122"/>
              <w:spacing w:before="58" w:line="232" w:lineRule="auto"/>
              <w:rPr/>
            </w:pPr>
            <w:r>
              <w:rPr>
                <w:spacing w:val="8"/>
              </w:rPr>
              <w:t>拟建工业广场厂界西侧</w:t>
            </w:r>
          </w:p>
          <w:p>
            <w:pPr>
              <w:pStyle w:val="TableText"/>
              <w:ind w:left="909"/>
              <w:spacing w:before="61" w:line="226" w:lineRule="auto"/>
              <w:rPr>
                <w:rFonts w:ascii="Times New Roman" w:hAnsi="Times New Roman" w:eastAsia="Times New Roman" w:cs="Times New Roman"/>
              </w:rPr>
            </w:pPr>
            <w:r>
              <w:rPr>
                <w:spacing w:val="-7"/>
              </w:rPr>
              <w:t>外</w:t>
            </w:r>
            <w:r>
              <w:rPr>
                <w:spacing w:val="-23"/>
              </w:rPr>
              <w:t xml:space="preserve"> </w:t>
            </w:r>
            <w:r>
              <w:rPr>
                <w:rFonts w:ascii="Times New Roman" w:hAnsi="Times New Roman" w:eastAsia="Times New Roman" w:cs="Times New Roman"/>
                <w:spacing w:val="-7"/>
              </w:rPr>
              <w:t>1m</w:t>
            </w:r>
          </w:p>
        </w:tc>
        <w:tc>
          <w:tcPr>
            <w:tcW w:w="1115" w:type="dxa"/>
            <w:vAlign w:val="top"/>
          </w:tcPr>
          <w:p>
            <w:pPr>
              <w:ind w:left="373"/>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47.2</w:t>
            </w:r>
          </w:p>
        </w:tc>
        <w:tc>
          <w:tcPr>
            <w:tcW w:w="1118" w:type="dxa"/>
            <w:vAlign w:val="top"/>
          </w:tcPr>
          <w:p>
            <w:pPr>
              <w:ind w:left="381"/>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39.2</w:t>
            </w:r>
          </w:p>
        </w:tc>
        <w:tc>
          <w:tcPr>
            <w:tcW w:w="977" w:type="dxa"/>
            <w:vAlign w:val="top"/>
            <w:vMerge w:val="continue"/>
            <w:tcBorders>
              <w:bottom w:val="nil"/>
              <w:top w:val="nil"/>
            </w:tcBorders>
          </w:tcPr>
          <w:p>
            <w:pPr>
              <w:rPr>
                <w:rFonts w:ascii="Arial"/>
                <w:sz w:val="21"/>
              </w:rPr>
            </w:pPr>
            <w:r/>
          </w:p>
        </w:tc>
        <w:tc>
          <w:tcPr>
            <w:tcW w:w="992" w:type="dxa"/>
            <w:vAlign w:val="top"/>
            <w:vMerge w:val="continue"/>
            <w:tcBorders>
              <w:bottom w:val="nil"/>
              <w:top w:val="nil"/>
            </w:tcBorders>
          </w:tcPr>
          <w:p>
            <w:pPr>
              <w:rPr>
                <w:rFonts w:ascii="Arial"/>
                <w:sz w:val="21"/>
              </w:rPr>
            </w:pPr>
            <w:r/>
          </w:p>
        </w:tc>
        <w:tc>
          <w:tcPr>
            <w:tcW w:w="1203" w:type="dxa"/>
            <w:vAlign w:val="top"/>
            <w:tcBorders>
              <w:right w:val="nil"/>
            </w:tcBorders>
          </w:tcPr>
          <w:p>
            <w:pPr>
              <w:pStyle w:val="TableText"/>
              <w:ind w:left="405"/>
              <w:spacing w:before="214" w:line="231" w:lineRule="auto"/>
              <w:rPr/>
            </w:pPr>
            <w:r>
              <w:rPr/>
              <w:t>达标</w:t>
            </w:r>
          </w:p>
        </w:tc>
      </w:tr>
      <w:tr>
        <w:trPr>
          <w:trHeight w:val="626" w:hRule="atLeast"/>
        </w:trPr>
        <w:tc>
          <w:tcPr>
            <w:tcW w:w="793" w:type="dxa"/>
            <w:vAlign w:val="top"/>
            <w:tcBorders>
              <w:left w:val="nil"/>
            </w:tcBorders>
          </w:tcPr>
          <w:p>
            <w:pPr>
              <w:ind w:left="265"/>
              <w:spacing w:before="2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N4</w:t>
            </w:r>
          </w:p>
        </w:tc>
        <w:tc>
          <w:tcPr>
            <w:tcW w:w="2321" w:type="dxa"/>
            <w:vAlign w:val="top"/>
          </w:tcPr>
          <w:p>
            <w:pPr>
              <w:pStyle w:val="TableText"/>
              <w:ind w:left="122"/>
              <w:spacing w:before="61" w:line="231" w:lineRule="auto"/>
              <w:rPr/>
            </w:pPr>
            <w:r>
              <w:rPr>
                <w:spacing w:val="8"/>
              </w:rPr>
              <w:t>拟建工业广场厂界北侧</w:t>
            </w:r>
          </w:p>
          <w:p>
            <w:pPr>
              <w:pStyle w:val="TableText"/>
              <w:ind w:left="909"/>
              <w:spacing w:before="62" w:line="224" w:lineRule="auto"/>
              <w:rPr>
                <w:rFonts w:ascii="Times New Roman" w:hAnsi="Times New Roman" w:eastAsia="Times New Roman" w:cs="Times New Roman"/>
              </w:rPr>
            </w:pPr>
            <w:r>
              <w:rPr>
                <w:spacing w:val="-7"/>
              </w:rPr>
              <w:t>外</w:t>
            </w:r>
            <w:r>
              <w:rPr>
                <w:spacing w:val="-23"/>
              </w:rPr>
              <w:t xml:space="preserve"> </w:t>
            </w:r>
            <w:r>
              <w:rPr>
                <w:rFonts w:ascii="Times New Roman" w:hAnsi="Times New Roman" w:eastAsia="Times New Roman" w:cs="Times New Roman"/>
                <w:spacing w:val="-7"/>
              </w:rPr>
              <w:t>1m</w:t>
            </w:r>
          </w:p>
        </w:tc>
        <w:tc>
          <w:tcPr>
            <w:tcW w:w="1115" w:type="dxa"/>
            <w:vAlign w:val="top"/>
          </w:tcPr>
          <w:p>
            <w:pPr>
              <w:ind w:left="373"/>
              <w:spacing w:before="2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41.9</w:t>
            </w:r>
          </w:p>
        </w:tc>
        <w:tc>
          <w:tcPr>
            <w:tcW w:w="1118" w:type="dxa"/>
            <w:vAlign w:val="top"/>
          </w:tcPr>
          <w:p>
            <w:pPr>
              <w:ind w:left="381"/>
              <w:spacing w:before="2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39.4</w:t>
            </w:r>
          </w:p>
        </w:tc>
        <w:tc>
          <w:tcPr>
            <w:tcW w:w="977" w:type="dxa"/>
            <w:vAlign w:val="top"/>
            <w:vMerge w:val="continue"/>
            <w:tcBorders>
              <w:bottom w:val="nil"/>
              <w:top w:val="nil"/>
            </w:tcBorders>
          </w:tcPr>
          <w:p>
            <w:pPr>
              <w:rPr>
                <w:rFonts w:ascii="Arial"/>
                <w:sz w:val="21"/>
              </w:rPr>
            </w:pPr>
            <w:r/>
          </w:p>
        </w:tc>
        <w:tc>
          <w:tcPr>
            <w:tcW w:w="992" w:type="dxa"/>
            <w:vAlign w:val="top"/>
            <w:vMerge w:val="continue"/>
            <w:tcBorders>
              <w:bottom w:val="nil"/>
              <w:top w:val="nil"/>
            </w:tcBorders>
          </w:tcPr>
          <w:p>
            <w:pPr>
              <w:rPr>
                <w:rFonts w:ascii="Arial"/>
                <w:sz w:val="21"/>
              </w:rPr>
            </w:pPr>
            <w:r/>
          </w:p>
        </w:tc>
        <w:tc>
          <w:tcPr>
            <w:tcW w:w="1203" w:type="dxa"/>
            <w:vAlign w:val="top"/>
            <w:tcBorders>
              <w:right w:val="nil"/>
            </w:tcBorders>
          </w:tcPr>
          <w:p>
            <w:pPr>
              <w:pStyle w:val="TableText"/>
              <w:ind w:left="405"/>
              <w:spacing w:before="217" w:line="231" w:lineRule="auto"/>
              <w:rPr/>
            </w:pPr>
            <w:r>
              <w:rPr/>
              <w:t>达标</w:t>
            </w:r>
          </w:p>
        </w:tc>
      </w:tr>
      <w:tr>
        <w:trPr>
          <w:trHeight w:val="626" w:hRule="atLeast"/>
        </w:trPr>
        <w:tc>
          <w:tcPr>
            <w:tcW w:w="793" w:type="dxa"/>
            <w:vAlign w:val="top"/>
            <w:tcBorders>
              <w:left w:val="nil"/>
            </w:tcBorders>
          </w:tcPr>
          <w:p>
            <w:pPr>
              <w:ind w:left="265"/>
              <w:spacing w:before="26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N5</w:t>
            </w:r>
          </w:p>
        </w:tc>
        <w:tc>
          <w:tcPr>
            <w:tcW w:w="2321" w:type="dxa"/>
            <w:vAlign w:val="top"/>
          </w:tcPr>
          <w:p>
            <w:pPr>
              <w:pStyle w:val="TableText"/>
              <w:ind w:left="801" w:right="109" w:hanging="679"/>
              <w:spacing w:before="65" w:line="254" w:lineRule="auto"/>
              <w:rPr>
                <w:rFonts w:ascii="Times New Roman" w:hAnsi="Times New Roman" w:eastAsia="Times New Roman" w:cs="Times New Roman"/>
              </w:rPr>
            </w:pPr>
            <w:r>
              <w:rPr>
                <w:spacing w:val="8"/>
              </w:rPr>
              <w:t>拟建办公生活区厂界东</w:t>
            </w:r>
            <w:r>
              <w:rPr>
                <w:spacing w:val="-3"/>
              </w:rPr>
              <w:t>侧外</w:t>
            </w:r>
            <w:r>
              <w:rPr>
                <w:spacing w:val="-18"/>
              </w:rPr>
              <w:t xml:space="preserve"> </w:t>
            </w:r>
            <w:r>
              <w:rPr>
                <w:rFonts w:ascii="Times New Roman" w:hAnsi="Times New Roman" w:eastAsia="Times New Roman" w:cs="Times New Roman"/>
                <w:spacing w:val="-3"/>
              </w:rPr>
              <w:t>1m</w:t>
            </w:r>
          </w:p>
        </w:tc>
        <w:tc>
          <w:tcPr>
            <w:tcW w:w="1115" w:type="dxa"/>
            <w:vAlign w:val="top"/>
          </w:tcPr>
          <w:p>
            <w:pPr>
              <w:ind w:left="373"/>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45.6</w:t>
            </w:r>
          </w:p>
        </w:tc>
        <w:tc>
          <w:tcPr>
            <w:tcW w:w="1118" w:type="dxa"/>
            <w:vAlign w:val="top"/>
          </w:tcPr>
          <w:p>
            <w:pPr>
              <w:ind w:left="376"/>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41.7</w:t>
            </w:r>
          </w:p>
        </w:tc>
        <w:tc>
          <w:tcPr>
            <w:tcW w:w="977" w:type="dxa"/>
            <w:vAlign w:val="top"/>
            <w:vMerge w:val="continue"/>
            <w:tcBorders>
              <w:bottom w:val="nil"/>
              <w:top w:val="nil"/>
            </w:tcBorders>
          </w:tcPr>
          <w:p>
            <w:pPr>
              <w:rPr>
                <w:rFonts w:ascii="Arial"/>
                <w:sz w:val="21"/>
              </w:rPr>
            </w:pPr>
            <w:r/>
          </w:p>
        </w:tc>
        <w:tc>
          <w:tcPr>
            <w:tcW w:w="992" w:type="dxa"/>
            <w:vAlign w:val="top"/>
            <w:vMerge w:val="continue"/>
            <w:tcBorders>
              <w:bottom w:val="nil"/>
              <w:top w:val="nil"/>
            </w:tcBorders>
          </w:tcPr>
          <w:p>
            <w:pPr>
              <w:rPr>
                <w:rFonts w:ascii="Arial"/>
                <w:sz w:val="21"/>
              </w:rPr>
            </w:pPr>
            <w:r/>
          </w:p>
        </w:tc>
        <w:tc>
          <w:tcPr>
            <w:tcW w:w="1203" w:type="dxa"/>
            <w:vAlign w:val="top"/>
            <w:tcBorders>
              <w:right w:val="nil"/>
            </w:tcBorders>
          </w:tcPr>
          <w:p>
            <w:pPr>
              <w:pStyle w:val="TableText"/>
              <w:ind w:left="405"/>
              <w:spacing w:before="222" w:line="231" w:lineRule="auto"/>
              <w:rPr/>
            </w:pPr>
            <w:r>
              <w:rPr/>
              <w:t>达标</w:t>
            </w:r>
          </w:p>
        </w:tc>
      </w:tr>
      <w:tr>
        <w:trPr>
          <w:trHeight w:val="626" w:hRule="atLeast"/>
        </w:trPr>
        <w:tc>
          <w:tcPr>
            <w:tcW w:w="793" w:type="dxa"/>
            <w:vAlign w:val="top"/>
            <w:tcBorders>
              <w:left w:val="nil"/>
            </w:tcBorders>
          </w:tcPr>
          <w:p>
            <w:pPr>
              <w:ind w:left="265"/>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N6</w:t>
            </w:r>
          </w:p>
        </w:tc>
        <w:tc>
          <w:tcPr>
            <w:tcW w:w="2321" w:type="dxa"/>
            <w:vAlign w:val="top"/>
          </w:tcPr>
          <w:p>
            <w:pPr>
              <w:pStyle w:val="TableText"/>
              <w:ind w:left="801" w:right="109" w:hanging="679"/>
              <w:spacing w:before="67" w:line="253" w:lineRule="auto"/>
              <w:rPr>
                <w:rFonts w:ascii="Times New Roman" w:hAnsi="Times New Roman" w:eastAsia="Times New Roman" w:cs="Times New Roman"/>
              </w:rPr>
            </w:pPr>
            <w:r>
              <w:rPr>
                <w:spacing w:val="8"/>
              </w:rPr>
              <w:t>拟建办公生活区厂界南</w:t>
            </w:r>
            <w:r>
              <w:rPr>
                <w:spacing w:val="-3"/>
              </w:rPr>
              <w:t>侧外</w:t>
            </w:r>
            <w:r>
              <w:rPr>
                <w:spacing w:val="-18"/>
              </w:rPr>
              <w:t xml:space="preserve"> </w:t>
            </w:r>
            <w:r>
              <w:rPr>
                <w:rFonts w:ascii="Times New Roman" w:hAnsi="Times New Roman" w:eastAsia="Times New Roman" w:cs="Times New Roman"/>
                <w:spacing w:val="-3"/>
              </w:rPr>
              <w:t>1m</w:t>
            </w:r>
          </w:p>
        </w:tc>
        <w:tc>
          <w:tcPr>
            <w:tcW w:w="1115" w:type="dxa"/>
            <w:vAlign w:val="top"/>
          </w:tcPr>
          <w:p>
            <w:pPr>
              <w:ind w:left="373"/>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44.8</w:t>
            </w:r>
          </w:p>
        </w:tc>
        <w:tc>
          <w:tcPr>
            <w:tcW w:w="1118" w:type="dxa"/>
            <w:vAlign w:val="top"/>
          </w:tcPr>
          <w:p>
            <w:pPr>
              <w:ind w:left="376"/>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41.0</w:t>
            </w:r>
          </w:p>
        </w:tc>
        <w:tc>
          <w:tcPr>
            <w:tcW w:w="977" w:type="dxa"/>
            <w:vAlign w:val="top"/>
            <w:vMerge w:val="continue"/>
            <w:tcBorders>
              <w:bottom w:val="nil"/>
              <w:top w:val="nil"/>
            </w:tcBorders>
          </w:tcPr>
          <w:p>
            <w:pPr>
              <w:rPr>
                <w:rFonts w:ascii="Arial"/>
                <w:sz w:val="21"/>
              </w:rPr>
            </w:pPr>
            <w:r/>
          </w:p>
        </w:tc>
        <w:tc>
          <w:tcPr>
            <w:tcW w:w="992" w:type="dxa"/>
            <w:vAlign w:val="top"/>
            <w:vMerge w:val="continue"/>
            <w:tcBorders>
              <w:bottom w:val="nil"/>
              <w:top w:val="nil"/>
            </w:tcBorders>
          </w:tcPr>
          <w:p>
            <w:pPr>
              <w:rPr>
                <w:rFonts w:ascii="Arial"/>
                <w:sz w:val="21"/>
              </w:rPr>
            </w:pPr>
            <w:r/>
          </w:p>
        </w:tc>
        <w:tc>
          <w:tcPr>
            <w:tcW w:w="1203" w:type="dxa"/>
            <w:vAlign w:val="top"/>
            <w:tcBorders>
              <w:right w:val="nil"/>
            </w:tcBorders>
          </w:tcPr>
          <w:p>
            <w:pPr>
              <w:pStyle w:val="TableText"/>
              <w:ind w:left="405"/>
              <w:spacing w:before="224" w:line="231" w:lineRule="auto"/>
              <w:rPr/>
            </w:pPr>
            <w:r>
              <w:rPr/>
              <w:t>达标</w:t>
            </w:r>
          </w:p>
        </w:tc>
      </w:tr>
      <w:tr>
        <w:trPr>
          <w:trHeight w:val="626" w:hRule="atLeast"/>
        </w:trPr>
        <w:tc>
          <w:tcPr>
            <w:tcW w:w="793" w:type="dxa"/>
            <w:vAlign w:val="top"/>
            <w:tcBorders>
              <w:left w:val="nil"/>
            </w:tcBorders>
          </w:tcPr>
          <w:p>
            <w:pPr>
              <w:ind w:left="265"/>
              <w:spacing w:before="2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N7</w:t>
            </w:r>
          </w:p>
        </w:tc>
        <w:tc>
          <w:tcPr>
            <w:tcW w:w="2321" w:type="dxa"/>
            <w:vAlign w:val="top"/>
          </w:tcPr>
          <w:p>
            <w:pPr>
              <w:pStyle w:val="TableText"/>
              <w:ind w:left="801" w:right="109" w:hanging="679"/>
              <w:spacing w:before="72" w:line="251" w:lineRule="auto"/>
              <w:rPr>
                <w:rFonts w:ascii="Times New Roman" w:hAnsi="Times New Roman" w:eastAsia="Times New Roman" w:cs="Times New Roman"/>
              </w:rPr>
            </w:pPr>
            <w:r>
              <w:rPr>
                <w:spacing w:val="8"/>
              </w:rPr>
              <w:t>拟建办公生活区厂界西</w:t>
            </w:r>
            <w:r>
              <w:rPr>
                <w:spacing w:val="-3"/>
              </w:rPr>
              <w:t>侧外</w:t>
            </w:r>
            <w:r>
              <w:rPr>
                <w:spacing w:val="-18"/>
              </w:rPr>
              <w:t xml:space="preserve"> </w:t>
            </w:r>
            <w:r>
              <w:rPr>
                <w:rFonts w:ascii="Times New Roman" w:hAnsi="Times New Roman" w:eastAsia="Times New Roman" w:cs="Times New Roman"/>
                <w:spacing w:val="-3"/>
              </w:rPr>
              <w:t>1m</w:t>
            </w:r>
          </w:p>
        </w:tc>
        <w:tc>
          <w:tcPr>
            <w:tcW w:w="1115" w:type="dxa"/>
            <w:vAlign w:val="top"/>
          </w:tcPr>
          <w:p>
            <w:pPr>
              <w:ind w:left="373"/>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45.6</w:t>
            </w:r>
          </w:p>
        </w:tc>
        <w:tc>
          <w:tcPr>
            <w:tcW w:w="1118" w:type="dxa"/>
            <w:vAlign w:val="top"/>
          </w:tcPr>
          <w:p>
            <w:pPr>
              <w:ind w:left="376"/>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41.7</w:t>
            </w:r>
          </w:p>
        </w:tc>
        <w:tc>
          <w:tcPr>
            <w:tcW w:w="977" w:type="dxa"/>
            <w:vAlign w:val="top"/>
            <w:vMerge w:val="continue"/>
            <w:tcBorders>
              <w:bottom w:val="nil"/>
              <w:top w:val="nil"/>
            </w:tcBorders>
          </w:tcPr>
          <w:p>
            <w:pPr>
              <w:rPr>
                <w:rFonts w:ascii="Arial"/>
                <w:sz w:val="21"/>
              </w:rPr>
            </w:pPr>
            <w:r/>
          </w:p>
        </w:tc>
        <w:tc>
          <w:tcPr>
            <w:tcW w:w="992" w:type="dxa"/>
            <w:vAlign w:val="top"/>
            <w:vMerge w:val="continue"/>
            <w:tcBorders>
              <w:bottom w:val="nil"/>
              <w:top w:val="nil"/>
            </w:tcBorders>
          </w:tcPr>
          <w:p>
            <w:pPr>
              <w:rPr>
                <w:rFonts w:ascii="Arial"/>
                <w:sz w:val="21"/>
              </w:rPr>
            </w:pPr>
            <w:r/>
          </w:p>
        </w:tc>
        <w:tc>
          <w:tcPr>
            <w:tcW w:w="1203" w:type="dxa"/>
            <w:vAlign w:val="top"/>
            <w:tcBorders>
              <w:right w:val="nil"/>
            </w:tcBorders>
          </w:tcPr>
          <w:p>
            <w:pPr>
              <w:pStyle w:val="TableText"/>
              <w:ind w:left="405"/>
              <w:spacing w:before="227" w:line="231" w:lineRule="auto"/>
              <w:rPr/>
            </w:pPr>
            <w:r>
              <w:rPr/>
              <w:t>达标</w:t>
            </w:r>
          </w:p>
        </w:tc>
      </w:tr>
      <w:tr>
        <w:trPr>
          <w:trHeight w:val="650" w:hRule="atLeast"/>
        </w:trPr>
        <w:tc>
          <w:tcPr>
            <w:tcW w:w="793" w:type="dxa"/>
            <w:vAlign w:val="top"/>
            <w:tcBorders>
              <w:left w:val="nil"/>
              <w:bottom w:val="single" w:color="000000" w:sz="10" w:space="0"/>
            </w:tcBorders>
          </w:tcPr>
          <w:p>
            <w:pPr>
              <w:ind w:left="265"/>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N8</w:t>
            </w:r>
          </w:p>
        </w:tc>
        <w:tc>
          <w:tcPr>
            <w:tcW w:w="2321" w:type="dxa"/>
            <w:vAlign w:val="top"/>
            <w:tcBorders>
              <w:bottom w:val="single" w:color="000000" w:sz="10" w:space="0"/>
            </w:tcBorders>
          </w:tcPr>
          <w:p>
            <w:pPr>
              <w:pStyle w:val="TableText"/>
              <w:ind w:left="801" w:right="109" w:hanging="679"/>
              <w:spacing w:before="74" w:line="261" w:lineRule="auto"/>
              <w:rPr>
                <w:rFonts w:ascii="Times New Roman" w:hAnsi="Times New Roman" w:eastAsia="Times New Roman" w:cs="Times New Roman"/>
              </w:rPr>
            </w:pPr>
            <w:r>
              <w:rPr>
                <w:spacing w:val="8"/>
              </w:rPr>
              <w:t>拟建办公生活区厂界北</w:t>
            </w:r>
            <w:r>
              <w:rPr>
                <w:spacing w:val="-3"/>
              </w:rPr>
              <w:t>侧外</w:t>
            </w:r>
            <w:r>
              <w:rPr>
                <w:spacing w:val="-18"/>
              </w:rPr>
              <w:t xml:space="preserve"> </w:t>
            </w:r>
            <w:r>
              <w:rPr>
                <w:rFonts w:ascii="Times New Roman" w:hAnsi="Times New Roman" w:eastAsia="Times New Roman" w:cs="Times New Roman"/>
                <w:spacing w:val="-3"/>
              </w:rPr>
              <w:t>1m</w:t>
            </w:r>
          </w:p>
        </w:tc>
        <w:tc>
          <w:tcPr>
            <w:tcW w:w="1115" w:type="dxa"/>
            <w:vAlign w:val="top"/>
            <w:tcBorders>
              <w:bottom w:val="single" w:color="000000" w:sz="10" w:space="0"/>
            </w:tcBorders>
          </w:tcPr>
          <w:p>
            <w:pPr>
              <w:ind w:left="373"/>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44.3</w:t>
            </w:r>
          </w:p>
        </w:tc>
        <w:tc>
          <w:tcPr>
            <w:tcW w:w="1118" w:type="dxa"/>
            <w:vAlign w:val="top"/>
            <w:tcBorders>
              <w:bottom w:val="single" w:color="000000" w:sz="10" w:space="0"/>
            </w:tcBorders>
          </w:tcPr>
          <w:p>
            <w:pPr>
              <w:ind w:left="376"/>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40.8</w:t>
            </w:r>
          </w:p>
        </w:tc>
        <w:tc>
          <w:tcPr>
            <w:tcW w:w="977" w:type="dxa"/>
            <w:vAlign w:val="top"/>
            <w:vMerge w:val="continue"/>
            <w:tcBorders>
              <w:bottom w:val="single" w:color="000000" w:sz="10" w:space="0"/>
              <w:top w:val="nil"/>
            </w:tcBorders>
          </w:tcPr>
          <w:p>
            <w:pPr>
              <w:rPr>
                <w:rFonts w:ascii="Arial"/>
                <w:sz w:val="21"/>
              </w:rPr>
            </w:pPr>
            <w:r/>
          </w:p>
        </w:tc>
        <w:tc>
          <w:tcPr>
            <w:tcW w:w="992" w:type="dxa"/>
            <w:vAlign w:val="top"/>
            <w:vMerge w:val="continue"/>
            <w:tcBorders>
              <w:bottom w:val="single" w:color="000000" w:sz="10" w:space="0"/>
              <w:top w:val="nil"/>
            </w:tcBorders>
          </w:tcPr>
          <w:p>
            <w:pPr>
              <w:rPr>
                <w:rFonts w:ascii="Arial"/>
                <w:sz w:val="21"/>
              </w:rPr>
            </w:pPr>
            <w:r/>
          </w:p>
        </w:tc>
        <w:tc>
          <w:tcPr>
            <w:tcW w:w="1203" w:type="dxa"/>
            <w:vAlign w:val="top"/>
            <w:tcBorders>
              <w:right w:val="nil"/>
              <w:bottom w:val="single" w:color="000000" w:sz="10" w:space="0"/>
            </w:tcBorders>
          </w:tcPr>
          <w:p>
            <w:pPr>
              <w:pStyle w:val="TableText"/>
              <w:ind w:left="405"/>
              <w:spacing w:before="229" w:line="231" w:lineRule="auto"/>
              <w:rPr/>
            </w:pPr>
            <w:r>
              <w:rPr/>
              <w:t>达标</w:t>
            </w:r>
          </w:p>
        </w:tc>
      </w:tr>
    </w:tbl>
    <w:p>
      <w:pPr>
        <w:pStyle w:val="BodyText"/>
        <w:spacing w:line="251" w:lineRule="auto"/>
        <w:rPr/>
      </w:pPr>
      <w:r/>
    </w:p>
    <w:p>
      <w:pPr>
        <w:pStyle w:val="BodyText"/>
        <w:spacing w:line="251" w:lineRule="auto"/>
        <w:rPr/>
      </w:pPr>
      <w:r/>
    </w:p>
    <w:p>
      <w:pPr>
        <w:ind w:left="115"/>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5.5.3.5</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评价结论</w:t>
      </w:r>
    </w:p>
    <w:p>
      <w:pPr>
        <w:ind w:left="122" w:right="105"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声环境质量现状评价结果表明：评价区区域内布设的</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处监测点位昼、夜间</w:t>
      </w:r>
      <w:r>
        <w:rPr>
          <w:rFonts w:ascii="FangSong" w:hAnsi="FangSong" w:eastAsia="FangSong" w:cs="FangSong"/>
          <w:sz w:val="24"/>
          <w:szCs w:val="24"/>
          <w:spacing w:val="-2"/>
        </w:rPr>
        <w:t>声环境监测值均满足《声环境质量标准》（</w:t>
      </w:r>
      <w:r>
        <w:rPr>
          <w:rFonts w:ascii="Times New Roman" w:hAnsi="Times New Roman" w:eastAsia="Times New Roman" w:cs="Times New Roman"/>
          <w:sz w:val="24"/>
          <w:szCs w:val="24"/>
          <w:spacing w:val="-2"/>
        </w:rPr>
        <w:t>GB3096-2008</w:t>
      </w:r>
      <w:r>
        <w:rPr>
          <w:rFonts w:ascii="FangSong" w:hAnsi="FangSong" w:eastAsia="FangSong" w:cs="FangSong"/>
          <w:sz w:val="24"/>
          <w:szCs w:val="24"/>
          <w:spacing w:val="-2"/>
        </w:rPr>
        <w:t>）中</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类区标准要求，</w:t>
      </w:r>
      <w:r>
        <w:rPr>
          <w:rFonts w:ascii="FangSong" w:hAnsi="FangSong" w:eastAsia="FangSong" w:cs="FangSong"/>
          <w:sz w:val="24"/>
          <w:szCs w:val="24"/>
          <w:spacing w:val="-2"/>
        </w:rPr>
        <w:t>说明评价区声环境质量良好。</w:t>
      </w:r>
    </w:p>
    <w:p>
      <w:pPr>
        <w:ind w:left="115"/>
        <w:spacing w:before="1" w:line="222" w:lineRule="auto"/>
        <w:outlineLvl w:val="2"/>
        <w:rPr>
          <w:rFonts w:ascii="FangSong" w:hAnsi="FangSong" w:eastAsia="FangSong" w:cs="FangSong"/>
          <w:sz w:val="24"/>
          <w:szCs w:val="24"/>
        </w:rPr>
      </w:pPr>
      <w:bookmarkStart w:name="bookmark246" w:id="334"/>
      <w:bookmarkEnd w:id="334"/>
      <w:bookmarkStart w:name="bookmark245" w:id="335"/>
      <w:bookmarkEnd w:id="335"/>
      <w:r>
        <w:rPr>
          <w:rFonts w:ascii="Times New Roman" w:hAnsi="Times New Roman" w:eastAsia="Times New Roman" w:cs="Times New Roman"/>
          <w:sz w:val="24"/>
          <w:szCs w:val="24"/>
          <w:b/>
          <w:bCs/>
          <w:spacing w:val="-2"/>
        </w:rPr>
        <w:t>5.5.3  </w:t>
      </w:r>
      <w:r>
        <w:rPr>
          <w:rFonts w:ascii="FangSong" w:hAnsi="FangSong" w:eastAsia="FangSong" w:cs="FangSong"/>
          <w:sz w:val="24"/>
          <w:szCs w:val="24"/>
          <w:b/>
          <w:bCs/>
          <w:spacing w:val="-2"/>
        </w:rPr>
        <w:t>地下水环境质量现状调查与评价</w:t>
      </w:r>
    </w:p>
    <w:p>
      <w:pPr>
        <w:ind w:left="115"/>
        <w:spacing w:before="179"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5.5.3.1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监测点布设</w:t>
      </w:r>
    </w:p>
    <w:p>
      <w:pPr>
        <w:ind w:left="122" w:right="105" w:firstLine="488"/>
        <w:spacing w:before="184" w:line="360" w:lineRule="auto"/>
        <w:jc w:val="both"/>
        <w:rPr>
          <w:rFonts w:ascii="FangSong" w:hAnsi="FangSong" w:eastAsia="FangSong" w:cs="FangSong"/>
          <w:sz w:val="24"/>
          <w:szCs w:val="24"/>
        </w:rPr>
      </w:pPr>
      <w:r>
        <w:rPr>
          <w:rFonts w:ascii="FangSong" w:hAnsi="FangSong" w:eastAsia="FangSong" w:cs="FangSong"/>
          <w:sz w:val="24"/>
          <w:szCs w:val="24"/>
          <w:spacing w:val="-4"/>
        </w:rPr>
        <w:t>为查清评价区地下水环境质量现状，根据有关环评技术导则，根据本项目水</w:t>
      </w:r>
      <w:r>
        <w:rPr>
          <w:rFonts w:ascii="FangSong" w:hAnsi="FangSong" w:eastAsia="FangSong" w:cs="FangSong"/>
          <w:sz w:val="24"/>
          <w:szCs w:val="24"/>
          <w:spacing w:val="-3"/>
        </w:rPr>
        <w:t>文地质图，地下水流向整体为由北向南，由两侧向中间，三个水质</w:t>
      </w:r>
      <w:r>
        <w:rPr>
          <w:rFonts w:ascii="FangSong" w:hAnsi="FangSong" w:eastAsia="FangSong" w:cs="FangSong"/>
          <w:sz w:val="24"/>
          <w:szCs w:val="24"/>
          <w:spacing w:val="-4"/>
        </w:rPr>
        <w:t>监测点分别位</w:t>
      </w:r>
      <w:r>
        <w:rPr>
          <w:rFonts w:ascii="FangSong" w:hAnsi="FangSong" w:eastAsia="FangSong" w:cs="FangSong"/>
          <w:sz w:val="24"/>
          <w:szCs w:val="24"/>
          <w:spacing w:val="-3"/>
        </w:rPr>
        <w:t>于拟建工业广场处、拟建工业广场上游和拟建工业广场下游，评价</w:t>
      </w:r>
      <w:r>
        <w:rPr>
          <w:rFonts w:ascii="FangSong" w:hAnsi="FangSong" w:eastAsia="FangSong" w:cs="FangSong"/>
          <w:sz w:val="24"/>
          <w:szCs w:val="24"/>
          <w:spacing w:val="-4"/>
        </w:rPr>
        <w:t>范围附近无可</w:t>
      </w:r>
      <w:r>
        <w:rPr>
          <w:rFonts w:ascii="FangSong" w:hAnsi="FangSong" w:eastAsia="FangSong" w:cs="FangSong"/>
          <w:sz w:val="24"/>
          <w:szCs w:val="24"/>
          <w:spacing w:val="-3"/>
        </w:rPr>
        <w:t>能受建设项目影响且具有饮用水开发利用价值的含水层，因此未进</w:t>
      </w:r>
      <w:r>
        <w:rPr>
          <w:rFonts w:ascii="FangSong" w:hAnsi="FangSong" w:eastAsia="FangSong" w:cs="FangSong"/>
          <w:sz w:val="24"/>
          <w:szCs w:val="24"/>
          <w:spacing w:val="-4"/>
        </w:rPr>
        <w:t>行布点，本次</w:t>
      </w:r>
      <w:r>
        <w:rPr>
          <w:rFonts w:ascii="FangSong" w:hAnsi="FangSong" w:eastAsia="FangSong" w:cs="FangSong"/>
          <w:sz w:val="24"/>
          <w:szCs w:val="24"/>
          <w:spacing w:val="-4"/>
        </w:rPr>
        <w:t>地下水评价共布设地下水水位及化学类型、水质监测点</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个，地下水监测点布设</w:t>
      </w:r>
      <w:r>
        <w:rPr>
          <w:rFonts w:ascii="FangSong" w:hAnsi="FangSong" w:eastAsia="FangSong" w:cs="FangSong"/>
          <w:sz w:val="24"/>
          <w:szCs w:val="24"/>
          <w:spacing w:val="-4"/>
        </w:rPr>
        <w:t>情况见表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5.5-8</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4"/>
        </w:rPr>
        <w:t>及附图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5-1</w:t>
      </w:r>
      <w:r>
        <w:rPr>
          <w:rFonts w:ascii="FangSong" w:hAnsi="FangSong" w:eastAsia="FangSong" w:cs="FangSong"/>
          <w:sz w:val="24"/>
          <w:szCs w:val="24"/>
          <w:spacing w:val="-4"/>
        </w:rPr>
        <w:t>。</w:t>
      </w:r>
    </w:p>
    <w:p>
      <w:pPr>
        <w:spacing w:line="360" w:lineRule="auto"/>
        <w:sectPr>
          <w:footerReference w:type="default" r:id="rId245"/>
          <w:pgSz w:w="11906" w:h="16839"/>
          <w:pgMar w:top="400" w:right="1693" w:bottom="1358" w:left="1693"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492"/>
        <w:spacing w:before="78" w:line="220" w:lineRule="auto"/>
        <w:rPr>
          <w:rFonts w:ascii="FangSong" w:hAnsi="FangSong" w:eastAsia="FangSong" w:cs="FangSong"/>
          <w:sz w:val="24"/>
          <w:szCs w:val="24"/>
        </w:rPr>
      </w:pPr>
      <w:bookmarkStart w:name="bookmark580" w:id="336"/>
      <w:bookmarkEnd w:id="336"/>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5.5-8  </w:t>
      </w:r>
      <w:r>
        <w:rPr>
          <w:rFonts w:ascii="FangSong" w:hAnsi="FangSong" w:eastAsia="FangSong" w:cs="FangSong"/>
          <w:sz w:val="24"/>
          <w:szCs w:val="24"/>
          <w:b/>
          <w:bCs/>
          <w:spacing w:val="-3"/>
        </w:rPr>
        <w:t>地下水监测点布设情况表</w:t>
      </w:r>
    </w:p>
    <w:p>
      <w:pPr>
        <w:spacing w:line="68"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5"/>
        <w:gridCol w:w="2824"/>
        <w:gridCol w:w="2309"/>
        <w:gridCol w:w="2561"/>
      </w:tblGrid>
      <w:tr>
        <w:trPr>
          <w:trHeight w:val="345" w:hRule="atLeast"/>
        </w:trPr>
        <w:tc>
          <w:tcPr>
            <w:tcW w:w="825" w:type="dxa"/>
            <w:vAlign w:val="top"/>
            <w:tcBorders>
              <w:left w:val="nil"/>
              <w:top w:val="single" w:color="000000" w:sz="10" w:space="0"/>
            </w:tcBorders>
          </w:tcPr>
          <w:p>
            <w:pPr>
              <w:pStyle w:val="TableText"/>
              <w:ind w:left="215"/>
              <w:spacing w:before="71" w:line="231" w:lineRule="auto"/>
              <w:rPr/>
            </w:pPr>
            <w:r>
              <w:rPr>
                <w:spacing w:val="2"/>
              </w:rPr>
              <w:t>序号</w:t>
            </w:r>
          </w:p>
        </w:tc>
        <w:tc>
          <w:tcPr>
            <w:tcW w:w="2824" w:type="dxa"/>
            <w:vAlign w:val="top"/>
            <w:tcBorders>
              <w:top w:val="single" w:color="000000" w:sz="10" w:space="0"/>
            </w:tcBorders>
          </w:tcPr>
          <w:p>
            <w:pPr>
              <w:pStyle w:val="TableText"/>
              <w:ind w:left="1008"/>
              <w:spacing w:before="71" w:line="230" w:lineRule="auto"/>
              <w:rPr/>
            </w:pPr>
            <w:r>
              <w:rPr>
                <w:spacing w:val="4"/>
              </w:rPr>
              <w:t>监测点位</w:t>
            </w:r>
          </w:p>
        </w:tc>
        <w:tc>
          <w:tcPr>
            <w:tcW w:w="2309" w:type="dxa"/>
            <w:vAlign w:val="top"/>
            <w:tcBorders>
              <w:top w:val="single" w:color="000000" w:sz="10" w:space="0"/>
            </w:tcBorders>
          </w:tcPr>
          <w:p>
            <w:pPr>
              <w:pStyle w:val="TableText"/>
              <w:ind w:left="960"/>
              <w:spacing w:before="71" w:line="231" w:lineRule="auto"/>
              <w:rPr/>
            </w:pPr>
            <w:r>
              <w:rPr>
                <w:spacing w:val="-1"/>
              </w:rPr>
              <w:t>坐标</w:t>
            </w:r>
          </w:p>
        </w:tc>
        <w:tc>
          <w:tcPr>
            <w:tcW w:w="2561" w:type="dxa"/>
            <w:vAlign w:val="top"/>
            <w:tcBorders>
              <w:right w:val="nil"/>
              <w:top w:val="single" w:color="000000" w:sz="10" w:space="0"/>
            </w:tcBorders>
          </w:tcPr>
          <w:p>
            <w:pPr>
              <w:pStyle w:val="TableText"/>
              <w:ind w:left="1081"/>
              <w:spacing w:before="71" w:line="232" w:lineRule="auto"/>
              <w:rPr/>
            </w:pPr>
            <w:r>
              <w:rPr>
                <w:spacing w:val="1"/>
              </w:rPr>
              <w:t>说明</w:t>
            </w:r>
          </w:p>
        </w:tc>
      </w:tr>
      <w:tr>
        <w:trPr>
          <w:trHeight w:val="622" w:hRule="atLeast"/>
        </w:trPr>
        <w:tc>
          <w:tcPr>
            <w:tcW w:w="825" w:type="dxa"/>
            <w:vAlign w:val="top"/>
            <w:tcBorders>
              <w:left w:val="nil"/>
            </w:tcBorders>
          </w:tcPr>
          <w:p>
            <w:pPr>
              <w:ind w:left="284"/>
              <w:spacing w:before="2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U1</w:t>
            </w:r>
          </w:p>
        </w:tc>
        <w:tc>
          <w:tcPr>
            <w:tcW w:w="2824" w:type="dxa"/>
            <w:vAlign w:val="top"/>
          </w:tcPr>
          <w:p>
            <w:pPr>
              <w:pStyle w:val="TableText"/>
              <w:ind w:left="583"/>
              <w:spacing w:before="212" w:line="232" w:lineRule="auto"/>
              <w:rPr/>
            </w:pPr>
            <w:r>
              <w:rPr>
                <w:spacing w:val="7"/>
              </w:rPr>
              <w:t>拟建工业广场上游</w:t>
            </w:r>
          </w:p>
        </w:tc>
        <w:tc>
          <w:tcPr>
            <w:tcW w:w="2309" w:type="dxa"/>
            <w:vAlign w:val="top"/>
          </w:tcPr>
          <w:p>
            <w:pPr>
              <w:pStyle w:val="TableText"/>
              <w:ind w:left="207"/>
              <w:spacing w:before="57" w:line="268" w:lineRule="exact"/>
              <w:rPr/>
            </w:pPr>
            <w:r>
              <w:rPr>
                <w:rFonts w:ascii="Times New Roman" w:hAnsi="Times New Roman" w:eastAsia="Times New Roman" w:cs="Times New Roman"/>
                <w:spacing w:val="1"/>
              </w:rPr>
              <w:t>N</w:t>
            </w:r>
            <w:r>
              <w:rPr>
                <w:spacing w:val="1"/>
              </w:rPr>
              <w:t>：</w:t>
            </w:r>
            <w:r>
              <w:rPr>
                <w:rFonts w:ascii="Times New Roman" w:hAnsi="Times New Roman" w:eastAsia="Times New Roman" w:cs="Times New Roman"/>
                <w:spacing w:val="1"/>
              </w:rPr>
              <w:t>43</w:t>
            </w:r>
            <w:r>
              <w:rPr>
                <w:rFonts w:ascii="Times New Roman" w:hAnsi="Times New Roman" w:eastAsia="Times New Roman" w:cs="Times New Roman"/>
                <w:spacing w:val="-22"/>
              </w:rPr>
              <w:t xml:space="preserve"> </w:t>
            </w:r>
            <w:r>
              <w:rPr>
                <w:spacing w:val="1"/>
              </w:rPr>
              <w:t>°</w:t>
            </w:r>
            <w:r>
              <w:rPr>
                <w:rFonts w:ascii="Times New Roman" w:hAnsi="Times New Roman" w:eastAsia="Times New Roman" w:cs="Times New Roman"/>
                <w:spacing w:val="1"/>
              </w:rPr>
              <w:t>01</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40.35</w:t>
            </w:r>
            <w:r>
              <w:rPr>
                <w:rFonts w:ascii="Times New Roman" w:hAnsi="Times New Roman" w:eastAsia="Times New Roman" w:cs="Times New Roman"/>
                <w:spacing w:val="-13"/>
              </w:rPr>
              <w:t xml:space="preserve"> </w:t>
            </w:r>
            <w:r>
              <w:rPr>
                <w:spacing w:val="1"/>
              </w:rPr>
              <w:t>″</w:t>
            </w:r>
          </w:p>
          <w:p>
            <w:pPr>
              <w:pStyle w:val="TableText"/>
              <w:ind w:left="176"/>
              <w:spacing w:before="43" w:line="224" w:lineRule="auto"/>
              <w:rPr/>
            </w:pPr>
            <w:r>
              <w:rPr>
                <w:rFonts w:ascii="Times New Roman" w:hAnsi="Times New Roman" w:eastAsia="Times New Roman" w:cs="Times New Roman"/>
              </w:rPr>
              <w:t>E</w:t>
            </w:r>
            <w:r>
              <w:rPr/>
              <w:t>：</w:t>
            </w:r>
            <w:r>
              <w:rPr>
                <w:rFonts w:ascii="Times New Roman" w:hAnsi="Times New Roman" w:eastAsia="Times New Roman" w:cs="Times New Roman"/>
              </w:rPr>
              <w:t>112</w:t>
            </w:r>
            <w:r>
              <w:rPr>
                <w:rFonts w:ascii="Times New Roman" w:hAnsi="Times New Roman" w:eastAsia="Times New Roman" w:cs="Times New Roman"/>
                <w:spacing w:val="-16"/>
              </w:rPr>
              <w:t xml:space="preserve"> </w:t>
            </w:r>
            <w:r>
              <w:rPr/>
              <w:t>°</w:t>
            </w:r>
            <w:r>
              <w:rPr>
                <w:rFonts w:ascii="Times New Roman" w:hAnsi="Times New Roman" w:eastAsia="Times New Roman" w:cs="Times New Roman"/>
              </w:rPr>
              <w:t>55</w:t>
            </w:r>
            <w:r>
              <w:rPr>
                <w:rFonts w:ascii="Times New Roman" w:hAnsi="Times New Roman" w:eastAsia="Times New Roman" w:cs="Times New Roman"/>
                <w:spacing w:val="-14"/>
              </w:rPr>
              <w:t xml:space="preserve"> </w:t>
            </w:r>
            <w:r>
              <w:rPr/>
              <w:t>′</w:t>
            </w:r>
            <w:r>
              <w:rPr>
                <w:rFonts w:ascii="Times New Roman" w:hAnsi="Times New Roman" w:eastAsia="Times New Roman" w:cs="Times New Roman"/>
              </w:rPr>
              <w:t>45.99</w:t>
            </w:r>
            <w:r>
              <w:rPr>
                <w:rFonts w:ascii="Times New Roman" w:hAnsi="Times New Roman" w:eastAsia="Times New Roman" w:cs="Times New Roman"/>
                <w:spacing w:val="-12"/>
              </w:rPr>
              <w:t xml:space="preserve"> </w:t>
            </w:r>
            <w:r>
              <w:rPr/>
              <w:t>″</w:t>
            </w:r>
          </w:p>
        </w:tc>
        <w:tc>
          <w:tcPr>
            <w:tcW w:w="2561" w:type="dxa"/>
            <w:vAlign w:val="top"/>
            <w:tcBorders>
              <w:right w:val="nil"/>
            </w:tcBorders>
          </w:tcPr>
          <w:p>
            <w:pPr>
              <w:pStyle w:val="TableText"/>
              <w:ind w:left="241" w:right="234" w:firstLine="130"/>
              <w:spacing w:before="57" w:line="256" w:lineRule="auto"/>
              <w:rPr/>
            </w:pPr>
            <w:r>
              <w:rPr>
                <w:spacing w:val="5"/>
              </w:rPr>
              <w:t>了解项目上游地下水</w:t>
            </w:r>
            <w:r>
              <w:rPr>
                <w:spacing w:val="8"/>
              </w:rPr>
              <w:t>化学类型、水质、水位</w:t>
            </w:r>
          </w:p>
        </w:tc>
      </w:tr>
      <w:tr>
        <w:trPr>
          <w:trHeight w:val="622" w:hRule="atLeast"/>
        </w:trPr>
        <w:tc>
          <w:tcPr>
            <w:tcW w:w="825" w:type="dxa"/>
            <w:vAlign w:val="top"/>
            <w:tcBorders>
              <w:left w:val="nil"/>
            </w:tcBorders>
          </w:tcPr>
          <w:p>
            <w:pPr>
              <w:ind w:left="284"/>
              <w:spacing w:before="2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w:t>
            </w:r>
          </w:p>
        </w:tc>
        <w:tc>
          <w:tcPr>
            <w:tcW w:w="2824" w:type="dxa"/>
            <w:vAlign w:val="top"/>
          </w:tcPr>
          <w:p>
            <w:pPr>
              <w:pStyle w:val="TableText"/>
              <w:ind w:left="583"/>
              <w:spacing w:before="220" w:line="230" w:lineRule="auto"/>
              <w:rPr/>
            </w:pPr>
            <w:r>
              <w:rPr>
                <w:spacing w:val="7"/>
              </w:rPr>
              <w:t>拟建工业广场位置</w:t>
            </w:r>
          </w:p>
        </w:tc>
        <w:tc>
          <w:tcPr>
            <w:tcW w:w="2309" w:type="dxa"/>
            <w:vAlign w:val="top"/>
          </w:tcPr>
          <w:p>
            <w:pPr>
              <w:pStyle w:val="TableText"/>
              <w:ind w:left="207"/>
              <w:spacing w:before="64" w:line="268" w:lineRule="exact"/>
              <w:rPr/>
            </w:pPr>
            <w:r>
              <w:rPr>
                <w:rFonts w:ascii="Times New Roman" w:hAnsi="Times New Roman" w:eastAsia="Times New Roman" w:cs="Times New Roman"/>
                <w:spacing w:val="1"/>
              </w:rPr>
              <w:t>N</w:t>
            </w:r>
            <w:r>
              <w:rPr>
                <w:spacing w:val="1"/>
              </w:rPr>
              <w:t>：</w:t>
            </w:r>
            <w:r>
              <w:rPr>
                <w:rFonts w:ascii="Times New Roman" w:hAnsi="Times New Roman" w:eastAsia="Times New Roman" w:cs="Times New Roman"/>
                <w:spacing w:val="1"/>
              </w:rPr>
              <w:t>43</w:t>
            </w:r>
            <w:r>
              <w:rPr>
                <w:rFonts w:ascii="Times New Roman" w:hAnsi="Times New Roman" w:eastAsia="Times New Roman" w:cs="Times New Roman"/>
                <w:spacing w:val="-22"/>
              </w:rPr>
              <w:t xml:space="preserve"> </w:t>
            </w:r>
            <w:r>
              <w:rPr>
                <w:spacing w:val="1"/>
              </w:rPr>
              <w:t>°</w:t>
            </w:r>
            <w:r>
              <w:rPr>
                <w:rFonts w:ascii="Times New Roman" w:hAnsi="Times New Roman" w:eastAsia="Times New Roman" w:cs="Times New Roman"/>
                <w:spacing w:val="1"/>
              </w:rPr>
              <w:t>01</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30.81</w:t>
            </w:r>
            <w:r>
              <w:rPr>
                <w:rFonts w:ascii="Times New Roman" w:hAnsi="Times New Roman" w:eastAsia="Times New Roman" w:cs="Times New Roman"/>
                <w:spacing w:val="-13"/>
              </w:rPr>
              <w:t xml:space="preserve"> </w:t>
            </w:r>
            <w:r>
              <w:rPr>
                <w:spacing w:val="1"/>
              </w:rPr>
              <w:t>″</w:t>
            </w:r>
          </w:p>
          <w:p>
            <w:pPr>
              <w:pStyle w:val="TableText"/>
              <w:ind w:left="176"/>
              <w:spacing w:before="43" w:line="218" w:lineRule="auto"/>
              <w:rPr/>
            </w:pPr>
            <w:r>
              <w:rPr>
                <w:rFonts w:ascii="Times New Roman" w:hAnsi="Times New Roman" w:eastAsia="Times New Roman" w:cs="Times New Roman"/>
              </w:rPr>
              <w:t>E</w:t>
            </w:r>
            <w:r>
              <w:rPr/>
              <w:t>：</w:t>
            </w:r>
            <w:r>
              <w:rPr>
                <w:rFonts w:ascii="Times New Roman" w:hAnsi="Times New Roman" w:eastAsia="Times New Roman" w:cs="Times New Roman"/>
              </w:rPr>
              <w:t>112</w:t>
            </w:r>
            <w:r>
              <w:rPr>
                <w:rFonts w:ascii="Times New Roman" w:hAnsi="Times New Roman" w:eastAsia="Times New Roman" w:cs="Times New Roman"/>
                <w:spacing w:val="-16"/>
              </w:rPr>
              <w:t xml:space="preserve"> </w:t>
            </w:r>
            <w:r>
              <w:rPr/>
              <w:t>°</w:t>
            </w:r>
            <w:r>
              <w:rPr>
                <w:rFonts w:ascii="Times New Roman" w:hAnsi="Times New Roman" w:eastAsia="Times New Roman" w:cs="Times New Roman"/>
              </w:rPr>
              <w:t>55</w:t>
            </w:r>
            <w:r>
              <w:rPr>
                <w:rFonts w:ascii="Times New Roman" w:hAnsi="Times New Roman" w:eastAsia="Times New Roman" w:cs="Times New Roman"/>
                <w:spacing w:val="-14"/>
              </w:rPr>
              <w:t xml:space="preserve"> </w:t>
            </w:r>
            <w:r>
              <w:rPr/>
              <w:t>′</w:t>
            </w:r>
            <w:r>
              <w:rPr>
                <w:rFonts w:ascii="Times New Roman" w:hAnsi="Times New Roman" w:eastAsia="Times New Roman" w:cs="Times New Roman"/>
              </w:rPr>
              <w:t>55.26</w:t>
            </w:r>
            <w:r>
              <w:rPr>
                <w:rFonts w:ascii="Times New Roman" w:hAnsi="Times New Roman" w:eastAsia="Times New Roman" w:cs="Times New Roman"/>
                <w:spacing w:val="-12"/>
              </w:rPr>
              <w:t xml:space="preserve"> </w:t>
            </w:r>
            <w:r>
              <w:rPr/>
              <w:t>″</w:t>
            </w:r>
          </w:p>
        </w:tc>
        <w:tc>
          <w:tcPr>
            <w:tcW w:w="2561" w:type="dxa"/>
            <w:vAlign w:val="top"/>
            <w:tcBorders>
              <w:right w:val="nil"/>
            </w:tcBorders>
          </w:tcPr>
          <w:p>
            <w:pPr>
              <w:pStyle w:val="TableText"/>
              <w:ind w:left="241" w:right="234" w:firstLine="25"/>
              <w:spacing w:before="63" w:line="253" w:lineRule="auto"/>
              <w:rPr/>
            </w:pPr>
            <w:r>
              <w:rPr>
                <w:spacing w:val="5"/>
              </w:rPr>
              <w:t>了解项目区域内地下水</w:t>
            </w:r>
            <w:r>
              <w:rPr>
                <w:spacing w:val="8"/>
              </w:rPr>
              <w:t>化学类型、水质、水位</w:t>
            </w:r>
          </w:p>
        </w:tc>
      </w:tr>
      <w:tr>
        <w:trPr>
          <w:trHeight w:val="646" w:hRule="atLeast"/>
        </w:trPr>
        <w:tc>
          <w:tcPr>
            <w:tcW w:w="825" w:type="dxa"/>
            <w:vAlign w:val="top"/>
            <w:tcBorders>
              <w:left w:val="nil"/>
              <w:bottom w:val="single" w:color="000000" w:sz="10" w:space="0"/>
            </w:tcBorders>
          </w:tcPr>
          <w:p>
            <w:pPr>
              <w:ind w:left="284"/>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U3</w:t>
            </w:r>
          </w:p>
        </w:tc>
        <w:tc>
          <w:tcPr>
            <w:tcW w:w="2824" w:type="dxa"/>
            <w:vAlign w:val="top"/>
            <w:tcBorders>
              <w:bottom w:val="single" w:color="000000" w:sz="10" w:space="0"/>
            </w:tcBorders>
          </w:tcPr>
          <w:p>
            <w:pPr>
              <w:pStyle w:val="TableText"/>
              <w:ind w:left="583"/>
              <w:spacing w:before="226" w:line="231" w:lineRule="auto"/>
              <w:rPr/>
            </w:pPr>
            <w:r>
              <w:rPr>
                <w:spacing w:val="7"/>
              </w:rPr>
              <w:t>拟建工业广场下游</w:t>
            </w:r>
          </w:p>
        </w:tc>
        <w:tc>
          <w:tcPr>
            <w:tcW w:w="2309" w:type="dxa"/>
            <w:vAlign w:val="top"/>
            <w:tcBorders>
              <w:bottom w:val="single" w:color="000000" w:sz="10" w:space="0"/>
            </w:tcBorders>
          </w:tcPr>
          <w:p>
            <w:pPr>
              <w:pStyle w:val="TableText"/>
              <w:ind w:left="207"/>
              <w:spacing w:before="70" w:line="268" w:lineRule="exact"/>
              <w:rPr/>
            </w:pPr>
            <w:r>
              <w:rPr>
                <w:rFonts w:ascii="Times New Roman" w:hAnsi="Times New Roman" w:eastAsia="Times New Roman" w:cs="Times New Roman"/>
                <w:spacing w:val="1"/>
              </w:rPr>
              <w:t>N</w:t>
            </w:r>
            <w:r>
              <w:rPr>
                <w:spacing w:val="1"/>
              </w:rPr>
              <w:t>：</w:t>
            </w:r>
            <w:r>
              <w:rPr>
                <w:rFonts w:ascii="Times New Roman" w:hAnsi="Times New Roman" w:eastAsia="Times New Roman" w:cs="Times New Roman"/>
                <w:spacing w:val="1"/>
              </w:rPr>
              <w:t>43</w:t>
            </w:r>
            <w:r>
              <w:rPr>
                <w:rFonts w:ascii="Times New Roman" w:hAnsi="Times New Roman" w:eastAsia="Times New Roman" w:cs="Times New Roman"/>
                <w:spacing w:val="-22"/>
              </w:rPr>
              <w:t xml:space="preserve"> </w:t>
            </w:r>
            <w:r>
              <w:rPr>
                <w:spacing w:val="1"/>
              </w:rPr>
              <w:t>°</w:t>
            </w:r>
            <w:r>
              <w:rPr>
                <w:rFonts w:ascii="Times New Roman" w:hAnsi="Times New Roman" w:eastAsia="Times New Roman" w:cs="Times New Roman"/>
                <w:spacing w:val="1"/>
              </w:rPr>
              <w:t>01</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26.35</w:t>
            </w:r>
            <w:r>
              <w:rPr>
                <w:rFonts w:ascii="Times New Roman" w:hAnsi="Times New Roman" w:eastAsia="Times New Roman" w:cs="Times New Roman"/>
                <w:spacing w:val="-13"/>
              </w:rPr>
              <w:t xml:space="preserve"> </w:t>
            </w:r>
            <w:r>
              <w:rPr>
                <w:spacing w:val="1"/>
              </w:rPr>
              <w:t>″</w:t>
            </w:r>
          </w:p>
          <w:p>
            <w:pPr>
              <w:pStyle w:val="TableText"/>
              <w:ind w:left="176"/>
              <w:spacing w:before="43" w:line="234" w:lineRule="auto"/>
              <w:rPr/>
            </w:pPr>
            <w:r>
              <w:rPr>
                <w:rFonts w:ascii="Times New Roman" w:hAnsi="Times New Roman" w:eastAsia="Times New Roman" w:cs="Times New Roman"/>
              </w:rPr>
              <w:t>E</w:t>
            </w:r>
            <w:r>
              <w:rPr/>
              <w:t>：</w:t>
            </w:r>
            <w:r>
              <w:rPr>
                <w:rFonts w:ascii="Times New Roman" w:hAnsi="Times New Roman" w:eastAsia="Times New Roman" w:cs="Times New Roman"/>
              </w:rPr>
              <w:t>112</w:t>
            </w:r>
            <w:r>
              <w:rPr>
                <w:rFonts w:ascii="Times New Roman" w:hAnsi="Times New Roman" w:eastAsia="Times New Roman" w:cs="Times New Roman"/>
                <w:spacing w:val="-16"/>
              </w:rPr>
              <w:t xml:space="preserve"> </w:t>
            </w:r>
            <w:r>
              <w:rPr/>
              <w:t>°</w:t>
            </w:r>
            <w:r>
              <w:rPr>
                <w:rFonts w:ascii="Times New Roman" w:hAnsi="Times New Roman" w:eastAsia="Times New Roman" w:cs="Times New Roman"/>
              </w:rPr>
              <w:t>55</w:t>
            </w:r>
            <w:r>
              <w:rPr>
                <w:rFonts w:ascii="Times New Roman" w:hAnsi="Times New Roman" w:eastAsia="Times New Roman" w:cs="Times New Roman"/>
                <w:spacing w:val="-14"/>
              </w:rPr>
              <w:t xml:space="preserve"> </w:t>
            </w:r>
            <w:r>
              <w:rPr/>
              <w:t>′</w:t>
            </w:r>
            <w:r>
              <w:rPr>
                <w:rFonts w:ascii="Times New Roman" w:hAnsi="Times New Roman" w:eastAsia="Times New Roman" w:cs="Times New Roman"/>
              </w:rPr>
              <w:t>39.23</w:t>
            </w:r>
            <w:r>
              <w:rPr>
                <w:rFonts w:ascii="Times New Roman" w:hAnsi="Times New Roman" w:eastAsia="Times New Roman" w:cs="Times New Roman"/>
                <w:spacing w:val="-12"/>
              </w:rPr>
              <w:t xml:space="preserve"> </w:t>
            </w:r>
            <w:r>
              <w:rPr/>
              <w:t>″</w:t>
            </w:r>
          </w:p>
        </w:tc>
        <w:tc>
          <w:tcPr>
            <w:tcW w:w="2561" w:type="dxa"/>
            <w:vAlign w:val="top"/>
            <w:tcBorders>
              <w:right w:val="nil"/>
              <w:bottom w:val="single" w:color="000000" w:sz="10" w:space="0"/>
            </w:tcBorders>
          </w:tcPr>
          <w:p>
            <w:pPr>
              <w:pStyle w:val="TableText"/>
              <w:ind w:left="241" w:right="234" w:firstLine="130"/>
              <w:spacing w:before="70" w:line="261" w:lineRule="auto"/>
              <w:rPr/>
            </w:pPr>
            <w:r>
              <w:rPr>
                <w:spacing w:val="5"/>
              </w:rPr>
              <w:t>了解项目下游地下水</w:t>
            </w:r>
            <w:r>
              <w:rPr>
                <w:spacing w:val="8"/>
              </w:rPr>
              <w:t>化学类型、水质、水位</w:t>
            </w:r>
          </w:p>
        </w:tc>
      </w:tr>
    </w:tbl>
    <w:p>
      <w:pPr>
        <w:pStyle w:val="BodyText"/>
        <w:spacing w:line="251" w:lineRule="auto"/>
        <w:rPr/>
      </w:pPr>
      <w:r/>
    </w:p>
    <w:p>
      <w:pPr>
        <w:pStyle w:val="BodyText"/>
        <w:spacing w:line="252" w:lineRule="auto"/>
        <w:rPr/>
      </w:pPr>
      <w:r/>
    </w:p>
    <w:p>
      <w:pPr>
        <w:ind w:left="116"/>
        <w:spacing w:before="78"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5.5.4.2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监测项目</w:t>
      </w:r>
    </w:p>
    <w:p>
      <w:pPr>
        <w:ind w:left="116" w:right="28" w:firstLine="488"/>
        <w:spacing w:before="176" w:line="351" w:lineRule="auto"/>
        <w:rPr>
          <w:rFonts w:ascii="FangSong" w:hAnsi="FangSong" w:eastAsia="FangSong" w:cs="FangSong"/>
          <w:sz w:val="24"/>
          <w:szCs w:val="24"/>
        </w:rPr>
      </w:pPr>
      <w:r>
        <w:rPr>
          <w:rFonts w:ascii="FangSong" w:hAnsi="FangSong" w:eastAsia="FangSong" w:cs="FangSong"/>
          <w:sz w:val="24"/>
          <w:szCs w:val="24"/>
          <w:spacing w:val="-4"/>
        </w:rPr>
        <w:t>地下水化学类型分析因子（</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4"/>
        </w:rPr>
        <w:t>项</w:t>
      </w:r>
      <w:r>
        <w:rPr>
          <w:rFonts w:ascii="FangSong" w:hAnsi="FangSong" w:eastAsia="FangSong" w:cs="FangSong"/>
          <w:sz w:val="24"/>
          <w:szCs w:val="24"/>
        </w:rPr>
        <w:t>）：</w:t>
      </w:r>
      <w:r>
        <w:rPr>
          <w:rFonts w:ascii="Times New Roman" w:hAnsi="Times New Roman" w:eastAsia="Times New Roman" w:cs="Times New Roman"/>
          <w:sz w:val="24"/>
          <w:szCs w:val="24"/>
          <w:spacing w:val="-4"/>
        </w:rPr>
        <w:t>K</w:t>
      </w:r>
      <w:r>
        <w:rPr>
          <w:rFonts w:ascii="Times New Roman" w:hAnsi="Times New Roman" w:eastAsia="Times New Roman" w:cs="Times New Roman"/>
          <w:sz w:val="15"/>
          <w:szCs w:val="15"/>
          <w:spacing w:val="-4"/>
          <w:position w:val="7"/>
        </w:rPr>
        <w:t>+</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Na</w:t>
      </w:r>
      <w:r>
        <w:rPr>
          <w:rFonts w:ascii="Times New Roman" w:hAnsi="Times New Roman" w:eastAsia="Times New Roman" w:cs="Times New Roman"/>
          <w:sz w:val="15"/>
          <w:szCs w:val="15"/>
          <w:spacing w:val="-4"/>
          <w:position w:val="7"/>
        </w:rPr>
        <w:t>+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Ca</w:t>
      </w:r>
      <w:r>
        <w:rPr>
          <w:rFonts w:ascii="Times New Roman" w:hAnsi="Times New Roman" w:eastAsia="Times New Roman" w:cs="Times New Roman"/>
          <w:sz w:val="15"/>
          <w:szCs w:val="15"/>
          <w:spacing w:val="-4"/>
          <w:position w:val="7"/>
        </w:rPr>
        <w:t>2</w:t>
      </w:r>
      <w:r>
        <w:rPr>
          <w:rFonts w:ascii="Times New Roman" w:hAnsi="Times New Roman" w:eastAsia="Times New Roman" w:cs="Times New Roman"/>
          <w:sz w:val="15"/>
          <w:szCs w:val="15"/>
          <w:spacing w:val="-5"/>
          <w:position w:val="7"/>
        </w:rPr>
        <w:t>+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Mg</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CO</w:t>
      </w:r>
      <w:r>
        <w:rPr>
          <w:rFonts w:ascii="Times New Roman" w:hAnsi="Times New Roman" w:eastAsia="Times New Roman" w:cs="Times New Roman"/>
          <w:sz w:val="15"/>
          <w:szCs w:val="15"/>
          <w:spacing w:val="-5"/>
          <w:position w:val="-2"/>
        </w:rPr>
        <w:t>3</w:t>
      </w:r>
      <w:r>
        <w:rPr>
          <w:rFonts w:ascii="Times New Roman" w:hAnsi="Times New Roman" w:eastAsia="Times New Roman" w:cs="Times New Roman"/>
          <w:sz w:val="15"/>
          <w:szCs w:val="15"/>
          <w:spacing w:val="-5"/>
          <w:position w:val="7"/>
        </w:rPr>
        <w:t>2-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HCO</w:t>
      </w:r>
      <w:r>
        <w:rPr>
          <w:rFonts w:ascii="Times New Roman" w:hAnsi="Times New Roman" w:eastAsia="Times New Roman" w:cs="Times New Roman"/>
          <w:sz w:val="15"/>
          <w:szCs w:val="15"/>
          <w:spacing w:val="-5"/>
          <w:position w:val="-2"/>
        </w:rPr>
        <w:t>3</w:t>
      </w:r>
      <w:r>
        <w:rPr>
          <w:rFonts w:ascii="Times New Roman" w:hAnsi="Times New Roman" w:eastAsia="Times New Roman" w:cs="Times New Roman"/>
          <w:sz w:val="15"/>
          <w:szCs w:val="15"/>
          <w:spacing w:val="-5"/>
          <w:position w:val="7"/>
        </w:rPr>
        <w:t>-</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Cl</w:t>
      </w:r>
      <w:r>
        <w:rPr>
          <w:rFonts w:ascii="Times New Roman" w:hAnsi="Times New Roman" w:eastAsia="Times New Roman" w:cs="Times New Roman"/>
          <w:sz w:val="15"/>
          <w:szCs w:val="15"/>
          <w:spacing w:val="-3"/>
          <w:position w:val="7"/>
        </w:rPr>
        <w:t>-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SO</w:t>
      </w:r>
      <w:r>
        <w:rPr>
          <w:rFonts w:ascii="Times New Roman" w:hAnsi="Times New Roman" w:eastAsia="Times New Roman" w:cs="Times New Roman"/>
          <w:sz w:val="15"/>
          <w:szCs w:val="15"/>
          <w:spacing w:val="-4"/>
          <w:position w:val="-2"/>
        </w:rPr>
        <w:t>4</w:t>
      </w:r>
      <w:r>
        <w:rPr>
          <w:rFonts w:ascii="Times New Roman" w:hAnsi="Times New Roman" w:eastAsia="Times New Roman" w:cs="Times New Roman"/>
          <w:sz w:val="15"/>
          <w:szCs w:val="15"/>
          <w:spacing w:val="-4"/>
          <w:position w:val="7"/>
        </w:rPr>
        <w:t>2-</w:t>
      </w:r>
      <w:r>
        <w:rPr>
          <w:rFonts w:ascii="FangSong" w:hAnsi="FangSong" w:eastAsia="FangSong" w:cs="FangSong"/>
          <w:sz w:val="24"/>
          <w:szCs w:val="24"/>
          <w:spacing w:val="-4"/>
        </w:rPr>
        <w:t>；</w:t>
      </w:r>
    </w:p>
    <w:p>
      <w:pPr>
        <w:ind w:left="124" w:right="28" w:firstLine="480"/>
        <w:spacing w:before="24" w:line="360" w:lineRule="auto"/>
        <w:jc w:val="both"/>
        <w:rPr>
          <w:rFonts w:ascii="FangSong" w:hAnsi="FangSong" w:eastAsia="FangSong" w:cs="FangSong"/>
          <w:sz w:val="24"/>
          <w:szCs w:val="24"/>
        </w:rPr>
      </w:pPr>
      <w:r>
        <w:rPr>
          <w:rFonts w:ascii="FangSong" w:hAnsi="FangSong" w:eastAsia="FangSong" w:cs="FangSong"/>
          <w:sz w:val="24"/>
          <w:szCs w:val="24"/>
          <w:spacing w:val="-1"/>
        </w:rPr>
        <w:t>地下水水质监测因子（</w:t>
      </w:r>
      <w:r>
        <w:rPr>
          <w:rFonts w:ascii="Times New Roman" w:hAnsi="Times New Roman" w:eastAsia="Times New Roman" w:cs="Times New Roman"/>
          <w:sz w:val="24"/>
          <w:szCs w:val="24"/>
          <w:spacing w:val="-1"/>
        </w:rPr>
        <w:t>25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项</w:t>
      </w:r>
      <w:r>
        <w:rPr>
          <w:rFonts w:ascii="FangSong" w:hAnsi="FangSong" w:eastAsia="FangSong" w:cs="FangSong"/>
          <w:sz w:val="24"/>
          <w:szCs w:val="24"/>
          <w:spacing w:val="3"/>
        </w:rPr>
        <w:t>）：</w:t>
      </w:r>
      <w:r>
        <w:rPr>
          <w:rFonts w:ascii="Times New Roman" w:hAnsi="Times New Roman" w:eastAsia="Times New Roman" w:cs="Times New Roman"/>
          <w:sz w:val="24"/>
          <w:szCs w:val="24"/>
          <w:spacing w:val="-1"/>
        </w:rPr>
        <w:t>pH</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、硝酸盐、</w:t>
      </w:r>
      <w:r>
        <w:rPr>
          <w:rFonts w:ascii="FangSong" w:hAnsi="FangSong" w:eastAsia="FangSong" w:cs="FangSong"/>
          <w:sz w:val="24"/>
          <w:szCs w:val="24"/>
          <w:spacing w:val="-2"/>
        </w:rPr>
        <w:t>亚硝酸盐、挥发性</w:t>
      </w:r>
      <w:r>
        <w:rPr>
          <w:rFonts w:ascii="FangSong" w:hAnsi="FangSong" w:eastAsia="FangSong" w:cs="FangSong"/>
          <w:sz w:val="24"/>
          <w:szCs w:val="24"/>
          <w:spacing w:val="-1"/>
        </w:rPr>
        <w:t>酚类、氰化物、砷、汞、六价铬、总硬度、铅、氟化物、镉、铁、锰、铜、锌、</w:t>
      </w:r>
      <w:r>
        <w:rPr>
          <w:rFonts w:ascii="FangSong" w:hAnsi="FangSong" w:eastAsia="FangSong" w:cs="FangSong"/>
          <w:sz w:val="24"/>
          <w:szCs w:val="24"/>
          <w:spacing w:val="-2"/>
        </w:rPr>
        <w:t>铝、硫化物、溶解性总固体、耗氧量（</w:t>
      </w:r>
      <w:r>
        <w:rPr>
          <w:rFonts w:ascii="Times New Roman" w:hAnsi="Times New Roman" w:eastAsia="Times New Roman" w:cs="Times New Roman"/>
          <w:sz w:val="24"/>
          <w:szCs w:val="24"/>
          <w:spacing w:val="-2"/>
        </w:rPr>
        <w:t>COD</w:t>
      </w:r>
      <w:r>
        <w:rPr>
          <w:rFonts w:ascii="FangSong" w:hAnsi="FangSong" w:eastAsia="FangSong" w:cs="FangSong"/>
          <w:sz w:val="24"/>
          <w:szCs w:val="24"/>
          <w:spacing w:val="-2"/>
        </w:rPr>
        <w:t>）、硫酸盐、氯化物、总大肠菌数、</w:t>
      </w:r>
      <w:r>
        <w:rPr>
          <w:rFonts w:ascii="FangSong" w:hAnsi="FangSong" w:eastAsia="FangSong" w:cs="FangSong"/>
          <w:sz w:val="24"/>
          <w:szCs w:val="24"/>
          <w:spacing w:val="-4"/>
        </w:rPr>
        <w:t>细菌总数。</w:t>
      </w:r>
    </w:p>
    <w:p>
      <w:pPr>
        <w:ind w:left="116"/>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5.5.4.3</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监测时间</w:t>
      </w:r>
    </w:p>
    <w:p>
      <w:pPr>
        <w:ind w:left="604"/>
        <w:spacing w:before="178" w:line="219" w:lineRule="auto"/>
        <w:rPr>
          <w:rFonts w:ascii="FangSong" w:hAnsi="FangSong" w:eastAsia="FangSong" w:cs="FangSong"/>
          <w:sz w:val="24"/>
          <w:szCs w:val="24"/>
        </w:rPr>
      </w:pPr>
      <w:r>
        <w:rPr>
          <w:rFonts w:ascii="FangSong" w:hAnsi="FangSong" w:eastAsia="FangSong" w:cs="FangSong"/>
          <w:sz w:val="24"/>
          <w:szCs w:val="24"/>
          <w:spacing w:val="-5"/>
        </w:rPr>
        <w:t>本次环评地下水监测时间为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2025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20  </w:t>
      </w:r>
      <w:r>
        <w:rPr>
          <w:rFonts w:ascii="FangSong" w:hAnsi="FangSong" w:eastAsia="FangSong" w:cs="FangSong"/>
          <w:sz w:val="24"/>
          <w:szCs w:val="24"/>
          <w:spacing w:val="-5"/>
        </w:rPr>
        <w:t>日，一次采样。</w:t>
      </w:r>
    </w:p>
    <w:p>
      <w:pPr>
        <w:ind w:left="116"/>
        <w:spacing w:before="183"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5.5.4.4</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监测结果</w:t>
      </w:r>
    </w:p>
    <w:p>
      <w:pPr>
        <w:ind w:left="604"/>
        <w:spacing w:before="179" w:line="221" w:lineRule="auto"/>
        <w:rPr>
          <w:rFonts w:ascii="FangSong" w:hAnsi="FangSong" w:eastAsia="FangSong" w:cs="FangSong"/>
          <w:sz w:val="24"/>
          <w:szCs w:val="24"/>
        </w:rPr>
      </w:pPr>
      <w:r>
        <w:rPr>
          <w:rFonts w:ascii="FangSong" w:hAnsi="FangSong" w:eastAsia="FangSong" w:cs="FangSong"/>
          <w:sz w:val="24"/>
          <w:szCs w:val="24"/>
          <w:spacing w:val="-2"/>
        </w:rPr>
        <w:t>地下水环境质量监测结果详见表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5.5-9</w:t>
      </w:r>
      <w:r>
        <w:rPr>
          <w:rFonts w:ascii="FangSong" w:hAnsi="FangSong" w:eastAsia="FangSong" w:cs="FangSong"/>
          <w:sz w:val="24"/>
          <w:szCs w:val="24"/>
          <w:spacing w:val="-2"/>
        </w:rPr>
        <w:t>。</w:t>
      </w:r>
    </w:p>
    <w:p>
      <w:pPr>
        <w:ind w:left="2492"/>
        <w:spacing w:before="18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5.5-9  </w:t>
      </w:r>
      <w:r>
        <w:rPr>
          <w:rFonts w:ascii="FangSong" w:hAnsi="FangSong" w:eastAsia="FangSong" w:cs="FangSong"/>
          <w:sz w:val="24"/>
          <w:szCs w:val="24"/>
          <w:b/>
          <w:bCs/>
          <w:spacing w:val="-3"/>
        </w:rPr>
        <w:t>地下水水质现状监测结果</w:t>
      </w:r>
    </w:p>
    <w:p>
      <w:pPr>
        <w:spacing w:line="65" w:lineRule="exact"/>
        <w:rPr/>
      </w:pPr>
      <w:r/>
    </w:p>
    <w:tbl>
      <w:tblPr>
        <w:tblStyle w:val="TableNormal"/>
        <w:tblW w:w="85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0"/>
        <w:gridCol w:w="1637"/>
        <w:gridCol w:w="1271"/>
        <w:gridCol w:w="1271"/>
        <w:gridCol w:w="1271"/>
        <w:gridCol w:w="1211"/>
        <w:gridCol w:w="1211"/>
      </w:tblGrid>
      <w:tr>
        <w:trPr>
          <w:trHeight w:val="348" w:hRule="atLeast"/>
        </w:trPr>
        <w:tc>
          <w:tcPr>
            <w:tcW w:w="640" w:type="dxa"/>
            <w:vAlign w:val="top"/>
            <w:tcBorders>
              <w:left w:val="nil"/>
              <w:top w:val="single" w:color="000000" w:sz="10" w:space="0"/>
            </w:tcBorders>
          </w:tcPr>
          <w:p>
            <w:pPr>
              <w:pStyle w:val="TableText"/>
              <w:ind w:left="124"/>
              <w:spacing w:before="69" w:line="231" w:lineRule="auto"/>
              <w:rPr/>
            </w:pPr>
            <w:r>
              <w:rPr>
                <w:spacing w:val="2"/>
              </w:rPr>
              <w:t>序号</w:t>
            </w:r>
          </w:p>
        </w:tc>
        <w:tc>
          <w:tcPr>
            <w:tcW w:w="1637" w:type="dxa"/>
            <w:vAlign w:val="top"/>
            <w:tcBorders>
              <w:top w:val="single" w:color="000000" w:sz="10" w:space="0"/>
            </w:tcBorders>
          </w:tcPr>
          <w:p>
            <w:pPr>
              <w:pStyle w:val="TableText"/>
              <w:ind w:left="413"/>
              <w:spacing w:before="69" w:line="232" w:lineRule="auto"/>
              <w:rPr/>
            </w:pPr>
            <w:r>
              <w:rPr>
                <w:spacing w:val="4"/>
              </w:rPr>
              <w:t>监测项目</w:t>
            </w:r>
          </w:p>
        </w:tc>
        <w:tc>
          <w:tcPr>
            <w:tcW w:w="1271" w:type="dxa"/>
            <w:vAlign w:val="top"/>
            <w:tcBorders>
              <w:top w:val="single" w:color="000000" w:sz="10" w:space="0"/>
            </w:tcBorders>
          </w:tcPr>
          <w:p>
            <w:pPr>
              <w:ind w:left="50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U1</w:t>
            </w:r>
          </w:p>
        </w:tc>
        <w:tc>
          <w:tcPr>
            <w:tcW w:w="1271" w:type="dxa"/>
            <w:vAlign w:val="top"/>
            <w:tcBorders>
              <w:top w:val="single" w:color="000000" w:sz="10" w:space="0"/>
            </w:tcBorders>
          </w:tcPr>
          <w:p>
            <w:pPr>
              <w:ind w:left="50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w:t>
            </w:r>
          </w:p>
        </w:tc>
        <w:tc>
          <w:tcPr>
            <w:tcW w:w="1271" w:type="dxa"/>
            <w:vAlign w:val="top"/>
            <w:tcBorders>
              <w:top w:val="single" w:color="000000" w:sz="10" w:space="0"/>
            </w:tcBorders>
          </w:tcPr>
          <w:p>
            <w:pPr>
              <w:ind w:left="50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U3</w:t>
            </w:r>
          </w:p>
        </w:tc>
        <w:tc>
          <w:tcPr>
            <w:tcW w:w="1211" w:type="dxa"/>
            <w:vAlign w:val="top"/>
            <w:tcBorders>
              <w:top w:val="single" w:color="000000" w:sz="10" w:space="0"/>
            </w:tcBorders>
          </w:tcPr>
          <w:p>
            <w:pPr>
              <w:pStyle w:val="TableText"/>
              <w:ind w:left="410"/>
              <w:spacing w:before="70" w:line="229" w:lineRule="auto"/>
              <w:rPr/>
            </w:pPr>
            <w:r>
              <w:rPr>
                <w:spacing w:val="-1"/>
              </w:rPr>
              <w:t>单位</w:t>
            </w:r>
          </w:p>
        </w:tc>
        <w:tc>
          <w:tcPr>
            <w:tcW w:w="1211" w:type="dxa"/>
            <w:vAlign w:val="top"/>
            <w:tcBorders>
              <w:right w:val="nil"/>
              <w:top w:val="single" w:color="000000" w:sz="10" w:space="0"/>
            </w:tcBorders>
          </w:tcPr>
          <w:p>
            <w:pPr>
              <w:pStyle w:val="TableText"/>
              <w:ind w:left="195"/>
              <w:spacing w:before="69" w:line="231" w:lineRule="auto"/>
              <w:rPr/>
            </w:pPr>
            <w:r>
              <w:rPr>
                <w:spacing w:val="6"/>
              </w:rPr>
              <w:t>标准限值</w:t>
            </w:r>
          </w:p>
        </w:tc>
      </w:tr>
      <w:tr>
        <w:trPr>
          <w:trHeight w:val="343" w:hRule="atLeast"/>
        </w:trPr>
        <w:tc>
          <w:tcPr>
            <w:tcW w:w="640" w:type="dxa"/>
            <w:vAlign w:val="top"/>
            <w:tcBorders>
              <w:left w:val="nil"/>
            </w:tcBorders>
          </w:tcPr>
          <w:p>
            <w:pPr>
              <w:ind w:left="29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37" w:type="dxa"/>
            <w:vAlign w:val="top"/>
          </w:tcPr>
          <w:p>
            <w:pPr>
              <w:pStyle w:val="TableText"/>
              <w:ind w:left="618"/>
              <w:spacing w:before="67" w:line="230" w:lineRule="auto"/>
              <w:rPr/>
            </w:pPr>
            <w:r>
              <w:rPr>
                <w:spacing w:val="2"/>
              </w:rPr>
              <w:t>水位</w:t>
            </w:r>
          </w:p>
        </w:tc>
        <w:tc>
          <w:tcPr>
            <w:tcW w:w="1271" w:type="dxa"/>
            <w:vAlign w:val="top"/>
          </w:tcPr>
          <w:p>
            <w:pPr>
              <w:ind w:left="54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1271" w:type="dxa"/>
            <w:vAlign w:val="top"/>
          </w:tcPr>
          <w:p>
            <w:pPr>
              <w:ind w:left="53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271" w:type="dxa"/>
            <w:vAlign w:val="top"/>
          </w:tcPr>
          <w:p>
            <w:pPr>
              <w:ind w:left="54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211" w:type="dxa"/>
            <w:vAlign w:val="top"/>
          </w:tcPr>
          <w:p>
            <w:pPr>
              <w:ind w:left="523"/>
              <w:spacing w:before="149"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w:t>
            </w:r>
          </w:p>
        </w:tc>
        <w:tc>
          <w:tcPr>
            <w:tcW w:w="1211" w:type="dxa"/>
            <w:vAlign w:val="top"/>
            <w:tcBorders>
              <w:right w:val="nil"/>
            </w:tcBorders>
          </w:tcPr>
          <w:p>
            <w:pPr>
              <w:ind w:left="573"/>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3" w:hRule="atLeast"/>
        </w:trPr>
        <w:tc>
          <w:tcPr>
            <w:tcW w:w="640" w:type="dxa"/>
            <w:vAlign w:val="top"/>
            <w:tcBorders>
              <w:left w:val="nil"/>
            </w:tcBorders>
          </w:tcPr>
          <w:p>
            <w:pPr>
              <w:ind w:left="27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37" w:type="dxa"/>
            <w:vAlign w:val="top"/>
          </w:tcPr>
          <w:p>
            <w:pPr>
              <w:ind w:left="686"/>
              <w:spacing w:before="10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1271" w:type="dxa"/>
            <w:vAlign w:val="top"/>
          </w:tcPr>
          <w:p>
            <w:pPr>
              <w:ind w:left="50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7.8</w:t>
            </w:r>
          </w:p>
        </w:tc>
        <w:tc>
          <w:tcPr>
            <w:tcW w:w="1271" w:type="dxa"/>
            <w:vAlign w:val="top"/>
          </w:tcPr>
          <w:p>
            <w:pPr>
              <w:ind w:left="50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c>
          <w:tcPr>
            <w:tcW w:w="1271" w:type="dxa"/>
            <w:vAlign w:val="top"/>
          </w:tcPr>
          <w:p>
            <w:pPr>
              <w:ind w:left="50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7.7</w:t>
            </w:r>
          </w:p>
        </w:tc>
        <w:tc>
          <w:tcPr>
            <w:tcW w:w="1211" w:type="dxa"/>
            <w:vAlign w:val="top"/>
          </w:tcPr>
          <w:p>
            <w:pPr>
              <w:pStyle w:val="TableText"/>
              <w:ind w:left="302"/>
              <w:spacing w:before="69" w:line="233" w:lineRule="auto"/>
              <w:rPr/>
            </w:pPr>
            <w:r>
              <w:rPr>
                <w:spacing w:val="4"/>
              </w:rPr>
              <w:t>无量纲</w:t>
            </w:r>
          </w:p>
        </w:tc>
        <w:tc>
          <w:tcPr>
            <w:tcW w:w="1211" w:type="dxa"/>
            <w:vAlign w:val="top"/>
            <w:tcBorders>
              <w:right w:val="nil"/>
            </w:tcBorders>
          </w:tcPr>
          <w:p>
            <w:pPr>
              <w:ind w:left="3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6.5-8.5</w:t>
            </w:r>
          </w:p>
        </w:tc>
      </w:tr>
      <w:tr>
        <w:trPr>
          <w:trHeight w:val="343" w:hRule="atLeast"/>
        </w:trPr>
        <w:tc>
          <w:tcPr>
            <w:tcW w:w="640" w:type="dxa"/>
            <w:vAlign w:val="top"/>
            <w:tcBorders>
              <w:left w:val="nil"/>
            </w:tcBorders>
          </w:tcPr>
          <w:p>
            <w:pPr>
              <w:ind w:left="27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37" w:type="dxa"/>
            <w:vAlign w:val="top"/>
          </w:tcPr>
          <w:p>
            <w:pPr>
              <w:pStyle w:val="TableText"/>
              <w:ind w:left="522"/>
              <w:spacing w:before="71" w:line="232" w:lineRule="auto"/>
              <w:rPr/>
            </w:pPr>
            <w:r>
              <w:rPr>
                <w:spacing w:val="2"/>
              </w:rPr>
              <w:t>总硬度</w:t>
            </w:r>
          </w:p>
        </w:tc>
        <w:tc>
          <w:tcPr>
            <w:tcW w:w="1271" w:type="dxa"/>
            <w:vAlign w:val="top"/>
          </w:tcPr>
          <w:p>
            <w:pPr>
              <w:ind w:left="48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352</w:t>
            </w:r>
          </w:p>
        </w:tc>
        <w:tc>
          <w:tcPr>
            <w:shd w:val="clear" w:fill="FFFF00"/>
            <w:tcW w:w="1271" w:type="dxa"/>
            <w:vAlign w:val="top"/>
          </w:tcPr>
          <w:p>
            <w:pPr>
              <w:ind w:left="48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610</w:t>
            </w:r>
          </w:p>
        </w:tc>
        <w:tc>
          <w:tcPr>
            <w:shd w:val="clear" w:fill="FFFF00"/>
            <w:tcW w:w="1271" w:type="dxa"/>
            <w:vAlign w:val="top"/>
          </w:tcPr>
          <w:p>
            <w:pPr>
              <w:ind w:left="47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488</w:t>
            </w:r>
          </w:p>
        </w:tc>
        <w:tc>
          <w:tcPr>
            <w:tcW w:w="1211" w:type="dxa"/>
            <w:vAlign w:val="top"/>
          </w:tcPr>
          <w:p>
            <w:pPr>
              <w:ind w:left="377"/>
              <w:spacing w:before="10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63"/>
              <w:spacing w:before="71" w:line="241" w:lineRule="auto"/>
              <w:rPr>
                <w:rFonts w:ascii="Times New Roman" w:hAnsi="Times New Roman" w:eastAsia="Times New Roman" w:cs="Times New Roman"/>
              </w:rPr>
            </w:pPr>
            <w:r>
              <w:rPr/>
              <w:t>≤</w:t>
            </w:r>
            <w:r>
              <w:rPr>
                <w:rFonts w:ascii="Times New Roman" w:hAnsi="Times New Roman" w:eastAsia="Times New Roman" w:cs="Times New Roman"/>
              </w:rPr>
              <w:t>450</w:t>
            </w:r>
          </w:p>
        </w:tc>
      </w:tr>
      <w:tr>
        <w:trPr>
          <w:trHeight w:val="343" w:hRule="atLeast"/>
        </w:trPr>
        <w:tc>
          <w:tcPr>
            <w:tcW w:w="640" w:type="dxa"/>
            <w:vAlign w:val="top"/>
            <w:tcBorders>
              <w:left w:val="nil"/>
            </w:tcBorders>
          </w:tcPr>
          <w:p>
            <w:pPr>
              <w:ind w:left="26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37" w:type="dxa"/>
            <w:vAlign w:val="top"/>
          </w:tcPr>
          <w:p>
            <w:pPr>
              <w:pStyle w:val="TableText"/>
              <w:ind w:left="313"/>
              <w:spacing w:before="72" w:line="231" w:lineRule="auto"/>
              <w:rPr/>
            </w:pPr>
            <w:r>
              <w:rPr>
                <w:spacing w:val="5"/>
              </w:rPr>
              <w:t>总大肠菌群</w:t>
            </w:r>
          </w:p>
        </w:tc>
        <w:tc>
          <w:tcPr>
            <w:tcW w:w="1271" w:type="dxa"/>
            <w:vAlign w:val="top"/>
          </w:tcPr>
          <w:p>
            <w:pPr>
              <w:ind w:left="532"/>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71" w:type="dxa"/>
            <w:vAlign w:val="top"/>
          </w:tcPr>
          <w:p>
            <w:pPr>
              <w:ind w:left="53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71" w:type="dxa"/>
            <w:vAlign w:val="top"/>
          </w:tcPr>
          <w:p>
            <w:pPr>
              <w:ind w:left="532"/>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11" w:type="dxa"/>
            <w:vAlign w:val="top"/>
          </w:tcPr>
          <w:p>
            <w:pPr>
              <w:ind w:left="285"/>
              <w:spacing w:before="10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z w:val="20"/>
                <w:szCs w:val="20"/>
                <w:spacing w:val="11"/>
              </w:rPr>
              <w:t>/L</w:t>
            </w:r>
          </w:p>
        </w:tc>
        <w:tc>
          <w:tcPr>
            <w:tcW w:w="1211" w:type="dxa"/>
            <w:vAlign w:val="top"/>
            <w:tcBorders>
              <w:right w:val="nil"/>
            </w:tcBorders>
          </w:tcPr>
          <w:p>
            <w:pPr>
              <w:pStyle w:val="TableText"/>
              <w:ind w:left="416"/>
              <w:spacing w:before="71" w:line="241" w:lineRule="auto"/>
              <w:rPr>
                <w:rFonts w:ascii="Times New Roman" w:hAnsi="Times New Roman" w:eastAsia="Times New Roman" w:cs="Times New Roman"/>
              </w:rPr>
            </w:pPr>
            <w:r>
              <w:rPr>
                <w:spacing w:val="-2"/>
              </w:rPr>
              <w:t>≤</w:t>
            </w:r>
            <w:r>
              <w:rPr>
                <w:rFonts w:ascii="Times New Roman" w:hAnsi="Times New Roman" w:eastAsia="Times New Roman" w:cs="Times New Roman"/>
                <w:spacing w:val="-2"/>
              </w:rPr>
              <w:t>30</w:t>
            </w:r>
          </w:p>
        </w:tc>
      </w:tr>
      <w:tr>
        <w:trPr>
          <w:trHeight w:val="343" w:hRule="atLeast"/>
        </w:trPr>
        <w:tc>
          <w:tcPr>
            <w:tcW w:w="640" w:type="dxa"/>
            <w:vAlign w:val="top"/>
            <w:tcBorders>
              <w:left w:val="nil"/>
            </w:tcBorders>
          </w:tcPr>
          <w:p>
            <w:pPr>
              <w:ind w:left="276"/>
              <w:spacing w:before="11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37" w:type="dxa"/>
            <w:vAlign w:val="top"/>
          </w:tcPr>
          <w:p>
            <w:pPr>
              <w:pStyle w:val="TableText"/>
              <w:ind w:left="412"/>
              <w:spacing w:before="74" w:line="232" w:lineRule="auto"/>
              <w:rPr/>
            </w:pPr>
            <w:r>
              <w:rPr>
                <w:spacing w:val="4"/>
              </w:rPr>
              <w:t>菌落总数</w:t>
            </w:r>
          </w:p>
        </w:tc>
        <w:tc>
          <w:tcPr>
            <w:tcW w:w="1271" w:type="dxa"/>
            <w:vAlign w:val="top"/>
          </w:tcPr>
          <w:p>
            <w:pPr>
              <w:ind w:left="541"/>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87</w:t>
            </w:r>
          </w:p>
        </w:tc>
        <w:tc>
          <w:tcPr>
            <w:tcW w:w="1271" w:type="dxa"/>
            <w:vAlign w:val="top"/>
          </w:tcPr>
          <w:p>
            <w:pPr>
              <w:ind w:left="530"/>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c>
          <w:tcPr>
            <w:tcW w:w="1271" w:type="dxa"/>
            <w:vAlign w:val="top"/>
          </w:tcPr>
          <w:p>
            <w:pPr>
              <w:ind w:left="53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211" w:type="dxa"/>
            <w:vAlign w:val="top"/>
          </w:tcPr>
          <w:p>
            <w:pPr>
              <w:ind w:left="231"/>
              <w:spacing w:before="10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CFU/mL</w:t>
            </w:r>
          </w:p>
        </w:tc>
        <w:tc>
          <w:tcPr>
            <w:tcW w:w="1211" w:type="dxa"/>
            <w:vAlign w:val="top"/>
            <w:tcBorders>
              <w:right w:val="nil"/>
            </w:tcBorders>
          </w:tcPr>
          <w:p>
            <w:pPr>
              <w:pStyle w:val="TableText"/>
              <w:ind w:left="363"/>
              <w:spacing w:before="75" w:line="238" w:lineRule="auto"/>
              <w:rPr>
                <w:rFonts w:ascii="Times New Roman" w:hAnsi="Times New Roman" w:eastAsia="Times New Roman" w:cs="Times New Roman"/>
              </w:rPr>
            </w:pPr>
            <w:r>
              <w:rPr/>
              <w:t>≤</w:t>
            </w:r>
            <w:r>
              <w:rPr>
                <w:rFonts w:ascii="Times New Roman" w:hAnsi="Times New Roman" w:eastAsia="Times New Roman" w:cs="Times New Roman"/>
              </w:rPr>
              <w:t>100</w:t>
            </w:r>
          </w:p>
        </w:tc>
      </w:tr>
      <w:tr>
        <w:trPr>
          <w:trHeight w:val="343" w:hRule="atLeast"/>
        </w:trPr>
        <w:tc>
          <w:tcPr>
            <w:tcW w:w="640" w:type="dxa"/>
            <w:vAlign w:val="top"/>
            <w:tcBorders>
              <w:left w:val="nil"/>
            </w:tcBorders>
          </w:tcPr>
          <w:p>
            <w:pPr>
              <w:ind w:left="275"/>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37" w:type="dxa"/>
            <w:vAlign w:val="top"/>
          </w:tcPr>
          <w:p>
            <w:pPr>
              <w:pStyle w:val="TableText"/>
              <w:ind w:left="198"/>
              <w:spacing w:before="76" w:line="229" w:lineRule="auto"/>
              <w:rPr/>
            </w:pPr>
            <w:r>
              <w:rPr>
                <w:spacing w:val="7"/>
              </w:rPr>
              <w:t>溶解性总固体</w:t>
            </w:r>
          </w:p>
        </w:tc>
        <w:tc>
          <w:tcPr>
            <w:tcW w:w="1271" w:type="dxa"/>
            <w:vAlign w:val="top"/>
          </w:tcPr>
          <w:p>
            <w:pPr>
              <w:ind w:left="48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810</w:t>
            </w:r>
          </w:p>
        </w:tc>
        <w:tc>
          <w:tcPr>
            <w:shd w:val="clear" w:fill="FFFF00"/>
            <w:tcW w:w="1271" w:type="dxa"/>
            <w:vAlign w:val="top"/>
          </w:tcPr>
          <w:p>
            <w:pPr>
              <w:ind w:left="450"/>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1140</w:t>
            </w:r>
          </w:p>
        </w:tc>
        <w:tc>
          <w:tcPr>
            <w:tcW w:w="1271" w:type="dxa"/>
            <w:vAlign w:val="top"/>
          </w:tcPr>
          <w:p>
            <w:pPr>
              <w:ind w:left="488"/>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887</w:t>
            </w:r>
          </w:p>
        </w:tc>
        <w:tc>
          <w:tcPr>
            <w:tcW w:w="1211" w:type="dxa"/>
            <w:vAlign w:val="top"/>
          </w:tcPr>
          <w:p>
            <w:pPr>
              <w:ind w:left="377"/>
              <w:spacing w:before="10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10"/>
              <w:spacing w:before="77" w:line="236"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1000</w:t>
            </w:r>
          </w:p>
        </w:tc>
      </w:tr>
      <w:tr>
        <w:trPr>
          <w:trHeight w:val="343" w:hRule="atLeast"/>
        </w:trPr>
        <w:tc>
          <w:tcPr>
            <w:tcW w:w="640" w:type="dxa"/>
            <w:vAlign w:val="top"/>
            <w:tcBorders>
              <w:left w:val="nil"/>
            </w:tcBorders>
          </w:tcPr>
          <w:p>
            <w:pPr>
              <w:ind w:left="274"/>
              <w:spacing w:before="11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37" w:type="dxa"/>
            <w:vAlign w:val="top"/>
          </w:tcPr>
          <w:p>
            <w:pPr>
              <w:pStyle w:val="TableText"/>
              <w:ind w:left="205"/>
              <w:spacing w:before="78" w:line="232" w:lineRule="auto"/>
              <w:rPr/>
            </w:pPr>
            <w:r>
              <w:rPr>
                <w:spacing w:val="6"/>
              </w:rPr>
              <w:t>高锰酸盐指数</w:t>
            </w:r>
          </w:p>
        </w:tc>
        <w:tc>
          <w:tcPr>
            <w:shd w:val="clear" w:fill="FFFF00"/>
            <w:tcW w:w="1271" w:type="dxa"/>
            <w:vAlign w:val="top"/>
          </w:tcPr>
          <w:p>
            <w:pPr>
              <w:ind w:left="510"/>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3.8</w:t>
            </w:r>
          </w:p>
        </w:tc>
        <w:tc>
          <w:tcPr>
            <w:shd w:val="clear" w:fill="FFFF00"/>
            <w:tcW w:w="1271" w:type="dxa"/>
            <w:vAlign w:val="top"/>
          </w:tcPr>
          <w:p>
            <w:pPr>
              <w:ind w:left="504"/>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271" w:type="dxa"/>
            <w:vAlign w:val="top"/>
          </w:tcPr>
          <w:p>
            <w:pPr>
              <w:ind w:left="605"/>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1" w:type="dxa"/>
            <w:vAlign w:val="top"/>
          </w:tcPr>
          <w:p>
            <w:pPr>
              <w:ind w:left="377"/>
              <w:spacing w:before="11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89"/>
              <w:spacing w:before="79" w:line="234"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3.0</w:t>
            </w:r>
          </w:p>
        </w:tc>
      </w:tr>
      <w:tr>
        <w:trPr>
          <w:trHeight w:val="343" w:hRule="atLeast"/>
        </w:trPr>
        <w:tc>
          <w:tcPr>
            <w:tcW w:w="640" w:type="dxa"/>
            <w:vAlign w:val="top"/>
            <w:tcBorders>
              <w:left w:val="nil"/>
            </w:tcBorders>
          </w:tcPr>
          <w:p>
            <w:pPr>
              <w:ind w:left="279"/>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37" w:type="dxa"/>
            <w:vAlign w:val="top"/>
          </w:tcPr>
          <w:p>
            <w:pPr>
              <w:ind w:left="516"/>
              <w:spacing w:before="120"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shd w:val="clear" w:fill="FFFF00"/>
            <w:tcW w:w="1271" w:type="dxa"/>
            <w:vAlign w:val="top"/>
          </w:tcPr>
          <w:p>
            <w:pPr>
              <w:ind w:left="473"/>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shd w:val="clear" w:fill="FFFF00"/>
            <w:tcW w:w="1271" w:type="dxa"/>
            <w:vAlign w:val="top"/>
          </w:tcPr>
          <w:p>
            <w:pPr>
              <w:ind w:left="40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0.914</w:t>
            </w:r>
          </w:p>
        </w:tc>
        <w:tc>
          <w:tcPr>
            <w:shd w:val="clear" w:fill="FFFF00"/>
            <w:tcW w:w="1271" w:type="dxa"/>
            <w:vAlign w:val="top"/>
          </w:tcPr>
          <w:p>
            <w:pPr>
              <w:ind w:left="403"/>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0.607</w:t>
            </w:r>
          </w:p>
        </w:tc>
        <w:tc>
          <w:tcPr>
            <w:tcW w:w="1211" w:type="dxa"/>
            <w:vAlign w:val="top"/>
          </w:tcPr>
          <w:p>
            <w:pPr>
              <w:ind w:left="377"/>
              <w:spacing w:before="11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81" w:line="232" w:lineRule="auto"/>
              <w:rPr>
                <w:rFonts w:ascii="Times New Roman" w:hAnsi="Times New Roman" w:eastAsia="Times New Roman" w:cs="Times New Roman"/>
              </w:rPr>
            </w:pPr>
            <w:r>
              <w:rPr/>
              <w:t>≤</w:t>
            </w:r>
            <w:r>
              <w:rPr>
                <w:rFonts w:ascii="Times New Roman" w:hAnsi="Times New Roman" w:eastAsia="Times New Roman" w:cs="Times New Roman"/>
              </w:rPr>
              <w:t>0.50</w:t>
            </w:r>
          </w:p>
        </w:tc>
      </w:tr>
      <w:tr>
        <w:trPr>
          <w:trHeight w:val="343" w:hRule="atLeast"/>
        </w:trPr>
        <w:tc>
          <w:tcPr>
            <w:tcW w:w="640" w:type="dxa"/>
            <w:vAlign w:val="top"/>
            <w:tcBorders>
              <w:left w:val="nil"/>
            </w:tcBorders>
          </w:tcPr>
          <w:p>
            <w:pPr>
              <w:ind w:left="27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37" w:type="dxa"/>
            <w:vAlign w:val="top"/>
          </w:tcPr>
          <w:p>
            <w:pPr>
              <w:pStyle w:val="TableText"/>
              <w:ind w:left="408"/>
              <w:spacing w:before="84" w:line="228" w:lineRule="auto"/>
              <w:rPr/>
            </w:pPr>
            <w:r>
              <w:rPr>
                <w:spacing w:val="5"/>
              </w:rPr>
              <w:t>硝酸盐氮</w:t>
            </w:r>
          </w:p>
        </w:tc>
        <w:tc>
          <w:tcPr>
            <w:tcW w:w="1271" w:type="dxa"/>
            <w:vAlign w:val="top"/>
          </w:tcPr>
          <w:p>
            <w:pPr>
              <w:ind w:left="339"/>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0.016L</w:t>
            </w:r>
          </w:p>
        </w:tc>
        <w:tc>
          <w:tcPr>
            <w:tcW w:w="1271" w:type="dxa"/>
            <w:vAlign w:val="top"/>
          </w:tcPr>
          <w:p>
            <w:pPr>
              <w:ind w:left="405"/>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0.719</w:t>
            </w:r>
          </w:p>
        </w:tc>
        <w:tc>
          <w:tcPr>
            <w:tcW w:w="1271" w:type="dxa"/>
            <w:vAlign w:val="top"/>
          </w:tcPr>
          <w:p>
            <w:pPr>
              <w:ind w:left="338"/>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0.016L</w:t>
            </w:r>
          </w:p>
        </w:tc>
        <w:tc>
          <w:tcPr>
            <w:tcW w:w="1211" w:type="dxa"/>
            <w:vAlign w:val="top"/>
          </w:tcPr>
          <w:p>
            <w:pPr>
              <w:ind w:left="377"/>
              <w:spacing w:before="11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83" w:line="230" w:lineRule="auto"/>
              <w:rPr>
                <w:rFonts w:ascii="Times New Roman" w:hAnsi="Times New Roman" w:eastAsia="Times New Roman" w:cs="Times New Roman"/>
              </w:rPr>
            </w:pPr>
            <w:r>
              <w:rPr/>
              <w:t>≤</w:t>
            </w:r>
            <w:r>
              <w:rPr>
                <w:rFonts w:ascii="Times New Roman" w:hAnsi="Times New Roman" w:eastAsia="Times New Roman" w:cs="Times New Roman"/>
              </w:rPr>
              <w:t>20.0</w:t>
            </w:r>
          </w:p>
        </w:tc>
      </w:tr>
      <w:tr>
        <w:trPr>
          <w:trHeight w:val="343" w:hRule="atLeast"/>
        </w:trPr>
        <w:tc>
          <w:tcPr>
            <w:tcW w:w="640" w:type="dxa"/>
            <w:vAlign w:val="top"/>
            <w:tcBorders>
              <w:left w:val="nil"/>
            </w:tcBorders>
          </w:tcPr>
          <w:p>
            <w:pPr>
              <w:ind w:left="240"/>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637" w:type="dxa"/>
            <w:vAlign w:val="top"/>
          </w:tcPr>
          <w:p>
            <w:pPr>
              <w:pStyle w:val="TableText"/>
              <w:ind w:left="308"/>
              <w:spacing w:before="84" w:line="228" w:lineRule="auto"/>
              <w:rPr/>
            </w:pPr>
            <w:r>
              <w:rPr>
                <w:spacing w:val="6"/>
              </w:rPr>
              <w:t>亚硝酸盐氮</w:t>
            </w:r>
          </w:p>
        </w:tc>
        <w:tc>
          <w:tcPr>
            <w:tcW w:w="1271" w:type="dxa"/>
            <w:vAlign w:val="top"/>
          </w:tcPr>
          <w:p>
            <w:pPr>
              <w:ind w:left="339"/>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0.016L</w:t>
            </w:r>
          </w:p>
        </w:tc>
        <w:tc>
          <w:tcPr>
            <w:tcW w:w="1271" w:type="dxa"/>
            <w:vAlign w:val="top"/>
          </w:tcPr>
          <w:p>
            <w:pPr>
              <w:ind w:left="340"/>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0.016L</w:t>
            </w:r>
          </w:p>
        </w:tc>
        <w:tc>
          <w:tcPr>
            <w:tcW w:w="1271" w:type="dxa"/>
            <w:vAlign w:val="top"/>
          </w:tcPr>
          <w:p>
            <w:pPr>
              <w:ind w:left="338"/>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0.016L</w:t>
            </w:r>
          </w:p>
        </w:tc>
        <w:tc>
          <w:tcPr>
            <w:tcW w:w="1211" w:type="dxa"/>
            <w:vAlign w:val="top"/>
          </w:tcPr>
          <w:p>
            <w:pPr>
              <w:ind w:left="377"/>
              <w:spacing w:before="11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83" w:line="230" w:lineRule="auto"/>
              <w:rPr>
                <w:rFonts w:ascii="Times New Roman" w:hAnsi="Times New Roman" w:eastAsia="Times New Roman" w:cs="Times New Roman"/>
              </w:rPr>
            </w:pPr>
            <w:r>
              <w:rPr/>
              <w:t>≤</w:t>
            </w:r>
            <w:r>
              <w:rPr>
                <w:rFonts w:ascii="Times New Roman" w:hAnsi="Times New Roman" w:eastAsia="Times New Roman" w:cs="Times New Roman"/>
              </w:rPr>
              <w:t>1.00</w:t>
            </w:r>
          </w:p>
        </w:tc>
      </w:tr>
      <w:tr>
        <w:trPr>
          <w:trHeight w:val="344" w:hRule="atLeast"/>
        </w:trPr>
        <w:tc>
          <w:tcPr>
            <w:tcW w:w="640" w:type="dxa"/>
            <w:vAlign w:val="top"/>
            <w:tcBorders>
              <w:left w:val="nil"/>
            </w:tcBorders>
          </w:tcPr>
          <w:p>
            <w:pPr>
              <w:ind w:left="24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637" w:type="dxa"/>
            <w:vAlign w:val="top"/>
          </w:tcPr>
          <w:p>
            <w:pPr>
              <w:pStyle w:val="TableText"/>
              <w:ind w:left="515"/>
              <w:spacing w:before="86" w:line="228" w:lineRule="auto"/>
              <w:rPr/>
            </w:pPr>
            <w:r>
              <w:rPr>
                <w:spacing w:val="4"/>
              </w:rPr>
              <w:t>挥发酚</w:t>
            </w:r>
          </w:p>
        </w:tc>
        <w:tc>
          <w:tcPr>
            <w:tcW w:w="1271" w:type="dxa"/>
            <w:vAlign w:val="top"/>
          </w:tcPr>
          <w:p>
            <w:pPr>
              <w:ind w:left="28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0.0003L</w:t>
            </w:r>
          </w:p>
        </w:tc>
        <w:tc>
          <w:tcPr>
            <w:tcW w:w="1271" w:type="dxa"/>
            <w:vAlign w:val="top"/>
          </w:tcPr>
          <w:p>
            <w:pPr>
              <w:ind w:left="287"/>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0.0003L</w:t>
            </w:r>
          </w:p>
        </w:tc>
        <w:tc>
          <w:tcPr>
            <w:tcW w:w="1271" w:type="dxa"/>
            <w:vAlign w:val="top"/>
          </w:tcPr>
          <w:p>
            <w:pPr>
              <w:ind w:left="28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0.0003L</w:t>
            </w:r>
          </w:p>
        </w:tc>
        <w:tc>
          <w:tcPr>
            <w:tcW w:w="1211" w:type="dxa"/>
            <w:vAlign w:val="top"/>
          </w:tcPr>
          <w:p>
            <w:pPr>
              <w:ind w:left="377"/>
              <w:spacing w:before="11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284"/>
              <w:spacing w:before="86" w:line="228"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0.002</w:t>
            </w:r>
          </w:p>
        </w:tc>
      </w:tr>
      <w:tr>
        <w:trPr>
          <w:trHeight w:val="344" w:hRule="atLeast"/>
        </w:trPr>
        <w:tc>
          <w:tcPr>
            <w:tcW w:w="640" w:type="dxa"/>
            <w:vAlign w:val="top"/>
            <w:tcBorders>
              <w:left w:val="nil"/>
            </w:tcBorders>
          </w:tcPr>
          <w:p>
            <w:pPr>
              <w:ind w:left="24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637" w:type="dxa"/>
            <w:vAlign w:val="top"/>
          </w:tcPr>
          <w:p>
            <w:pPr>
              <w:pStyle w:val="TableText"/>
              <w:ind w:left="523"/>
              <w:spacing w:before="88" w:line="227" w:lineRule="auto"/>
              <w:rPr/>
            </w:pPr>
            <w:r>
              <w:rPr>
                <w:spacing w:val="1"/>
              </w:rPr>
              <w:t>氰化物</w:t>
            </w:r>
          </w:p>
        </w:tc>
        <w:tc>
          <w:tcPr>
            <w:tcW w:w="1271" w:type="dxa"/>
            <w:vAlign w:val="top"/>
          </w:tcPr>
          <w:p>
            <w:pPr>
              <w:ind w:left="33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0.001L</w:t>
            </w:r>
          </w:p>
        </w:tc>
        <w:tc>
          <w:tcPr>
            <w:tcW w:w="1271" w:type="dxa"/>
            <w:vAlign w:val="top"/>
          </w:tcPr>
          <w:p>
            <w:pPr>
              <w:ind w:left="34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0.001L</w:t>
            </w:r>
          </w:p>
        </w:tc>
        <w:tc>
          <w:tcPr>
            <w:tcW w:w="1271" w:type="dxa"/>
            <w:vAlign w:val="top"/>
          </w:tcPr>
          <w:p>
            <w:pPr>
              <w:ind w:left="338"/>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0.001L</w:t>
            </w:r>
          </w:p>
        </w:tc>
        <w:tc>
          <w:tcPr>
            <w:tcW w:w="1211" w:type="dxa"/>
            <w:vAlign w:val="top"/>
          </w:tcPr>
          <w:p>
            <w:pPr>
              <w:ind w:left="377"/>
              <w:spacing w:before="12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88" w:line="227" w:lineRule="auto"/>
              <w:rPr>
                <w:rFonts w:ascii="Times New Roman" w:hAnsi="Times New Roman" w:eastAsia="Times New Roman" w:cs="Times New Roman"/>
              </w:rPr>
            </w:pPr>
            <w:r>
              <w:rPr/>
              <w:t>≤</w:t>
            </w:r>
            <w:r>
              <w:rPr>
                <w:rFonts w:ascii="Times New Roman" w:hAnsi="Times New Roman" w:eastAsia="Times New Roman" w:cs="Times New Roman"/>
              </w:rPr>
              <w:t>0.05</w:t>
            </w:r>
          </w:p>
        </w:tc>
      </w:tr>
      <w:tr>
        <w:trPr>
          <w:trHeight w:val="365" w:hRule="atLeast"/>
        </w:trPr>
        <w:tc>
          <w:tcPr>
            <w:tcW w:w="640" w:type="dxa"/>
            <w:vAlign w:val="top"/>
            <w:tcBorders>
              <w:left w:val="nil"/>
              <w:bottom w:val="single" w:color="000000" w:sz="10" w:space="0"/>
            </w:tcBorders>
          </w:tcPr>
          <w:p>
            <w:pPr>
              <w:ind w:left="24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637" w:type="dxa"/>
            <w:vAlign w:val="top"/>
            <w:tcBorders>
              <w:bottom w:val="single" w:color="000000" w:sz="10" w:space="0"/>
            </w:tcBorders>
          </w:tcPr>
          <w:p>
            <w:pPr>
              <w:pStyle w:val="TableText"/>
              <w:ind w:left="724"/>
              <w:spacing w:before="89" w:line="229" w:lineRule="auto"/>
              <w:rPr/>
            </w:pPr>
            <w:r>
              <w:rPr/>
              <w:t>砷</w:t>
            </w:r>
          </w:p>
        </w:tc>
        <w:tc>
          <w:tcPr>
            <w:tcW w:w="1271" w:type="dxa"/>
            <w:vAlign w:val="top"/>
            <w:tcBorders>
              <w:bottom w:val="single" w:color="000000" w:sz="10" w:space="0"/>
            </w:tcBorders>
          </w:tcPr>
          <w:p>
            <w:pPr>
              <w:ind w:left="35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0.0013</w:t>
            </w:r>
          </w:p>
        </w:tc>
        <w:tc>
          <w:tcPr>
            <w:tcW w:w="1271" w:type="dxa"/>
            <w:vAlign w:val="top"/>
            <w:tcBorders>
              <w:bottom w:val="single" w:color="000000" w:sz="10" w:space="0"/>
            </w:tcBorders>
          </w:tcPr>
          <w:p>
            <w:pPr>
              <w:ind w:left="34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0.0016</w:t>
            </w:r>
          </w:p>
        </w:tc>
        <w:tc>
          <w:tcPr>
            <w:tcW w:w="1271" w:type="dxa"/>
            <w:vAlign w:val="top"/>
            <w:tcBorders>
              <w:bottom w:val="single" w:color="000000" w:sz="10" w:space="0"/>
            </w:tcBorders>
          </w:tcPr>
          <w:p>
            <w:pPr>
              <w:ind w:left="35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0.0024</w:t>
            </w:r>
          </w:p>
        </w:tc>
        <w:tc>
          <w:tcPr>
            <w:tcW w:w="1211" w:type="dxa"/>
            <w:vAlign w:val="top"/>
            <w:tcBorders>
              <w:bottom w:val="single" w:color="000000" w:sz="10" w:space="0"/>
            </w:tcBorders>
          </w:tcPr>
          <w:p>
            <w:pPr>
              <w:ind w:left="377"/>
              <w:spacing w:before="12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bottom w:val="single" w:color="000000" w:sz="10" w:space="0"/>
            </w:tcBorders>
          </w:tcPr>
          <w:p>
            <w:pPr>
              <w:pStyle w:val="TableText"/>
              <w:ind w:left="336"/>
              <w:spacing w:before="89" w:line="266"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0.01</w:t>
            </w:r>
          </w:p>
        </w:tc>
      </w:tr>
    </w:tbl>
    <w:p>
      <w:pPr>
        <w:pStyle w:val="BodyText"/>
        <w:spacing w:line="228" w:lineRule="exact"/>
        <w:rPr>
          <w:sz w:val="19"/>
        </w:rPr>
      </w:pPr>
      <w:r/>
    </w:p>
    <w:p>
      <w:pPr>
        <w:spacing w:line="228" w:lineRule="exact"/>
        <w:sectPr>
          <w:footerReference w:type="default" r:id="rId246"/>
          <w:pgSz w:w="11906" w:h="16839"/>
          <w:pgMar w:top="400" w:right="1695" w:bottom="1358" w:left="1691" w:header="0" w:footer="1195" w:gutter="0"/>
        </w:sectPr>
        <w:rPr>
          <w:sz w:val="19"/>
          <w:szCs w:val="19"/>
        </w:rPr>
      </w:pPr>
    </w:p>
    <w:p>
      <w:pPr>
        <w:spacing w:before="19"/>
        <w:rPr/>
      </w:pPr>
      <w:r/>
    </w:p>
    <w:p>
      <w:pPr>
        <w:spacing w:before="19"/>
        <w:rPr/>
      </w:pPr>
      <w:r/>
    </w:p>
    <w:p>
      <w:pPr>
        <w:spacing w:before="18"/>
        <w:rPr/>
      </w:pPr>
      <w:r/>
    </w:p>
    <w:p>
      <w:pPr>
        <w:spacing w:before="18"/>
        <w:rPr/>
      </w:pPr>
      <w:r/>
    </w:p>
    <w:tbl>
      <w:tblPr>
        <w:tblStyle w:val="TableNormal"/>
        <w:tblW w:w="851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0"/>
        <w:gridCol w:w="1637"/>
        <w:gridCol w:w="1271"/>
        <w:gridCol w:w="1271"/>
        <w:gridCol w:w="1271"/>
        <w:gridCol w:w="1211"/>
        <w:gridCol w:w="1211"/>
      </w:tblGrid>
      <w:tr>
        <w:trPr>
          <w:trHeight w:val="349" w:hRule="atLeast"/>
        </w:trPr>
        <w:tc>
          <w:tcPr>
            <w:tcW w:w="640" w:type="dxa"/>
            <w:vAlign w:val="top"/>
            <w:tcBorders>
              <w:left w:val="nil"/>
              <w:top w:val="single" w:color="000000" w:sz="10" w:space="0"/>
            </w:tcBorders>
          </w:tcPr>
          <w:p>
            <w:pPr>
              <w:ind w:left="24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637" w:type="dxa"/>
            <w:vAlign w:val="top"/>
            <w:tcBorders>
              <w:top w:val="single" w:color="000000" w:sz="10" w:space="0"/>
            </w:tcBorders>
          </w:tcPr>
          <w:p>
            <w:pPr>
              <w:pStyle w:val="TableText"/>
              <w:ind w:left="725"/>
              <w:spacing w:before="70" w:line="232" w:lineRule="auto"/>
              <w:rPr/>
            </w:pPr>
            <w:r>
              <w:rPr/>
              <w:t>汞</w:t>
            </w:r>
          </w:p>
        </w:tc>
        <w:tc>
          <w:tcPr>
            <w:tcW w:w="1271" w:type="dxa"/>
            <w:vAlign w:val="top"/>
            <w:tcBorders>
              <w:top w:val="single" w:color="000000" w:sz="10" w:space="0"/>
            </w:tcBorders>
          </w:tcPr>
          <w:p>
            <w:pPr>
              <w:ind w:left="23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0.00004L</w:t>
            </w:r>
          </w:p>
        </w:tc>
        <w:tc>
          <w:tcPr>
            <w:tcW w:w="1271" w:type="dxa"/>
            <w:vAlign w:val="top"/>
            <w:tcBorders>
              <w:top w:val="single" w:color="000000" w:sz="10" w:space="0"/>
            </w:tcBorders>
          </w:tcPr>
          <w:p>
            <w:pPr>
              <w:ind w:left="23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0.00004L</w:t>
            </w:r>
          </w:p>
        </w:tc>
        <w:tc>
          <w:tcPr>
            <w:tcW w:w="1271" w:type="dxa"/>
            <w:vAlign w:val="top"/>
            <w:tcBorders>
              <w:top w:val="single" w:color="000000" w:sz="10" w:space="0"/>
            </w:tcBorders>
          </w:tcPr>
          <w:p>
            <w:pPr>
              <w:ind w:left="23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0.00004L</w:t>
            </w:r>
          </w:p>
        </w:tc>
        <w:tc>
          <w:tcPr>
            <w:tcW w:w="1211" w:type="dxa"/>
            <w:vAlign w:val="top"/>
            <w:tcBorders>
              <w:top w:val="single" w:color="000000" w:sz="10" w:space="0"/>
            </w:tcBorders>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op w:val="single" w:color="000000" w:sz="10" w:space="0"/>
            </w:tcBorders>
          </w:tcPr>
          <w:p>
            <w:pPr>
              <w:pStyle w:val="TableText"/>
              <w:ind w:left="284"/>
              <w:spacing w:before="70" w:line="269"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0.001</w:t>
            </w:r>
          </w:p>
        </w:tc>
      </w:tr>
      <w:tr>
        <w:trPr>
          <w:trHeight w:val="344" w:hRule="atLeast"/>
        </w:trPr>
        <w:tc>
          <w:tcPr>
            <w:tcW w:w="640" w:type="dxa"/>
            <w:vAlign w:val="top"/>
            <w:tcBorders>
              <w:left w:val="nil"/>
            </w:tcBorders>
          </w:tcPr>
          <w:p>
            <w:pPr>
              <w:ind w:left="240"/>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637" w:type="dxa"/>
            <w:vAlign w:val="top"/>
          </w:tcPr>
          <w:p>
            <w:pPr>
              <w:pStyle w:val="TableText"/>
              <w:ind w:left="515"/>
              <w:spacing w:before="66" w:line="230" w:lineRule="auto"/>
              <w:rPr/>
            </w:pPr>
            <w:r>
              <w:rPr>
                <w:spacing w:val="4"/>
              </w:rPr>
              <w:t>六价铬</w:t>
            </w:r>
          </w:p>
        </w:tc>
        <w:tc>
          <w:tcPr>
            <w:tcW w:w="1271" w:type="dxa"/>
            <w:vAlign w:val="top"/>
          </w:tcPr>
          <w:p>
            <w:pPr>
              <w:ind w:left="33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0.004L</w:t>
            </w:r>
          </w:p>
        </w:tc>
        <w:tc>
          <w:tcPr>
            <w:tcW w:w="1271" w:type="dxa"/>
            <w:vAlign w:val="top"/>
          </w:tcPr>
          <w:p>
            <w:pPr>
              <w:ind w:left="340"/>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0.004L</w:t>
            </w:r>
          </w:p>
        </w:tc>
        <w:tc>
          <w:tcPr>
            <w:tcW w:w="1271" w:type="dxa"/>
            <w:vAlign w:val="top"/>
          </w:tcPr>
          <w:p>
            <w:pPr>
              <w:ind w:left="338"/>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0.004L</w:t>
            </w:r>
          </w:p>
        </w:tc>
        <w:tc>
          <w:tcPr>
            <w:tcW w:w="1211" w:type="dxa"/>
            <w:vAlign w:val="top"/>
          </w:tcPr>
          <w:p>
            <w:pPr>
              <w:ind w:left="377"/>
              <w:spacing w:before="9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66" w:line="268"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0.05</w:t>
            </w:r>
          </w:p>
        </w:tc>
      </w:tr>
      <w:tr>
        <w:trPr>
          <w:trHeight w:val="344" w:hRule="atLeast"/>
        </w:trPr>
        <w:tc>
          <w:tcPr>
            <w:tcW w:w="640" w:type="dxa"/>
            <w:vAlign w:val="top"/>
            <w:tcBorders>
              <w:left w:val="nil"/>
            </w:tcBorders>
          </w:tcPr>
          <w:p>
            <w:pPr>
              <w:ind w:left="24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637" w:type="dxa"/>
            <w:vAlign w:val="top"/>
          </w:tcPr>
          <w:p>
            <w:pPr>
              <w:pStyle w:val="TableText"/>
              <w:ind w:left="724"/>
              <w:spacing w:before="67" w:line="231" w:lineRule="auto"/>
              <w:rPr/>
            </w:pPr>
            <w:r>
              <w:rPr/>
              <w:t>铅</w:t>
            </w:r>
          </w:p>
        </w:tc>
        <w:tc>
          <w:tcPr>
            <w:tcW w:w="1271" w:type="dxa"/>
            <w:vAlign w:val="top"/>
          </w:tcPr>
          <w:p>
            <w:pPr>
              <w:ind w:left="39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0.01L</w:t>
            </w:r>
          </w:p>
        </w:tc>
        <w:tc>
          <w:tcPr>
            <w:tcW w:w="1271" w:type="dxa"/>
            <w:vAlign w:val="top"/>
          </w:tcPr>
          <w:p>
            <w:pPr>
              <w:ind w:left="39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0.01L</w:t>
            </w:r>
          </w:p>
        </w:tc>
        <w:tc>
          <w:tcPr>
            <w:tcW w:w="1271" w:type="dxa"/>
            <w:vAlign w:val="top"/>
          </w:tcPr>
          <w:p>
            <w:pPr>
              <w:ind w:left="39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0.01L</w:t>
            </w:r>
          </w:p>
        </w:tc>
        <w:tc>
          <w:tcPr>
            <w:tcW w:w="1211" w:type="dxa"/>
            <w:vAlign w:val="top"/>
          </w:tcPr>
          <w:p>
            <w:pPr>
              <w:ind w:left="377"/>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67" w:line="267"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0.01</w:t>
            </w:r>
          </w:p>
        </w:tc>
      </w:tr>
      <w:tr>
        <w:trPr>
          <w:trHeight w:val="344" w:hRule="atLeast"/>
        </w:trPr>
        <w:tc>
          <w:tcPr>
            <w:tcW w:w="640" w:type="dxa"/>
            <w:vAlign w:val="top"/>
            <w:tcBorders>
              <w:left w:val="nil"/>
            </w:tcBorders>
          </w:tcPr>
          <w:p>
            <w:pPr>
              <w:ind w:left="24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637" w:type="dxa"/>
            <w:vAlign w:val="top"/>
          </w:tcPr>
          <w:p>
            <w:pPr>
              <w:pStyle w:val="TableText"/>
              <w:ind w:left="519"/>
              <w:spacing w:before="69" w:line="229" w:lineRule="auto"/>
              <w:rPr/>
            </w:pPr>
            <w:r>
              <w:rPr>
                <w:spacing w:val="3"/>
              </w:rPr>
              <w:t>氟化物</w:t>
            </w:r>
          </w:p>
        </w:tc>
        <w:tc>
          <w:tcPr>
            <w:shd w:val="clear" w:fill="FFFF00"/>
            <w:tcW w:w="1271" w:type="dxa"/>
            <w:vAlign w:val="top"/>
          </w:tcPr>
          <w:p>
            <w:pPr>
              <w:ind w:left="45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4.38</w:t>
            </w:r>
          </w:p>
        </w:tc>
        <w:tc>
          <w:tcPr>
            <w:shd w:val="clear" w:fill="FFFF00"/>
            <w:tcW w:w="1271" w:type="dxa"/>
            <w:vAlign w:val="top"/>
          </w:tcPr>
          <w:p>
            <w:pPr>
              <w:ind w:left="45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4.98</w:t>
            </w:r>
          </w:p>
        </w:tc>
        <w:tc>
          <w:tcPr>
            <w:shd w:val="clear" w:fill="FFFF00"/>
            <w:tcW w:w="1271" w:type="dxa"/>
            <w:vAlign w:val="top"/>
          </w:tcPr>
          <w:p>
            <w:pPr>
              <w:ind w:left="45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4.52</w:t>
            </w:r>
          </w:p>
        </w:tc>
        <w:tc>
          <w:tcPr>
            <w:tcW w:w="1211" w:type="dxa"/>
            <w:vAlign w:val="top"/>
          </w:tcPr>
          <w:p>
            <w:pPr>
              <w:ind w:left="37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89"/>
              <w:spacing w:before="69" w:line="265"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1.0</w:t>
            </w:r>
          </w:p>
        </w:tc>
      </w:tr>
      <w:tr>
        <w:trPr>
          <w:trHeight w:val="344" w:hRule="atLeast"/>
        </w:trPr>
        <w:tc>
          <w:tcPr>
            <w:tcW w:w="640" w:type="dxa"/>
            <w:vAlign w:val="top"/>
            <w:tcBorders>
              <w:left w:val="nil"/>
            </w:tcBorders>
          </w:tcPr>
          <w:p>
            <w:pPr>
              <w:ind w:left="24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637" w:type="dxa"/>
            <w:vAlign w:val="top"/>
          </w:tcPr>
          <w:p>
            <w:pPr>
              <w:pStyle w:val="TableText"/>
              <w:ind w:left="725"/>
              <w:spacing w:before="68" w:line="232" w:lineRule="auto"/>
              <w:rPr/>
            </w:pPr>
            <w:r>
              <w:rPr/>
              <w:t>镉</w:t>
            </w:r>
          </w:p>
        </w:tc>
        <w:tc>
          <w:tcPr>
            <w:tcW w:w="1271" w:type="dxa"/>
            <w:vAlign w:val="top"/>
          </w:tcPr>
          <w:p>
            <w:pPr>
              <w:ind w:left="33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0.001L</w:t>
            </w:r>
          </w:p>
        </w:tc>
        <w:tc>
          <w:tcPr>
            <w:tcW w:w="1271" w:type="dxa"/>
            <w:vAlign w:val="top"/>
          </w:tcPr>
          <w:p>
            <w:pPr>
              <w:ind w:left="34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0.001L</w:t>
            </w:r>
          </w:p>
        </w:tc>
        <w:tc>
          <w:tcPr>
            <w:tcW w:w="1271" w:type="dxa"/>
            <w:vAlign w:val="top"/>
          </w:tcPr>
          <w:p>
            <w:pPr>
              <w:ind w:left="33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0.001L</w:t>
            </w:r>
          </w:p>
        </w:tc>
        <w:tc>
          <w:tcPr>
            <w:tcW w:w="1211" w:type="dxa"/>
            <w:vAlign w:val="top"/>
          </w:tcPr>
          <w:p>
            <w:pPr>
              <w:ind w:left="377"/>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284"/>
              <w:spacing w:before="68" w:line="266"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0.005</w:t>
            </w:r>
          </w:p>
        </w:tc>
      </w:tr>
      <w:tr>
        <w:trPr>
          <w:trHeight w:val="345" w:hRule="atLeast"/>
        </w:trPr>
        <w:tc>
          <w:tcPr>
            <w:tcW w:w="640" w:type="dxa"/>
            <w:vAlign w:val="top"/>
            <w:tcBorders>
              <w:left w:val="nil"/>
            </w:tcBorders>
          </w:tcPr>
          <w:p>
            <w:pPr>
              <w:ind w:left="24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637" w:type="dxa"/>
            <w:vAlign w:val="top"/>
          </w:tcPr>
          <w:p>
            <w:pPr>
              <w:pStyle w:val="TableText"/>
              <w:ind w:left="727"/>
              <w:spacing w:before="69" w:line="232" w:lineRule="auto"/>
              <w:rPr/>
            </w:pPr>
            <w:r>
              <w:rPr/>
              <w:t>铁</w:t>
            </w:r>
          </w:p>
        </w:tc>
        <w:tc>
          <w:tcPr>
            <w:tcW w:w="1271" w:type="dxa"/>
            <w:vAlign w:val="top"/>
          </w:tcPr>
          <w:p>
            <w:pPr>
              <w:ind w:left="39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0.03L</w:t>
            </w:r>
          </w:p>
        </w:tc>
        <w:tc>
          <w:tcPr>
            <w:tcW w:w="1271" w:type="dxa"/>
            <w:vAlign w:val="top"/>
          </w:tcPr>
          <w:p>
            <w:pPr>
              <w:ind w:left="3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0.03L</w:t>
            </w:r>
          </w:p>
        </w:tc>
        <w:tc>
          <w:tcPr>
            <w:tcW w:w="1271" w:type="dxa"/>
            <w:vAlign w:val="top"/>
          </w:tcPr>
          <w:p>
            <w:pPr>
              <w:ind w:left="39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0.03L</w:t>
            </w:r>
          </w:p>
        </w:tc>
        <w:tc>
          <w:tcPr>
            <w:tcW w:w="1211" w:type="dxa"/>
            <w:vAlign w:val="top"/>
          </w:tcPr>
          <w:p>
            <w:pPr>
              <w:ind w:left="37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89"/>
              <w:spacing w:before="69" w:line="266" w:lineRule="exact"/>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0.3</w:t>
            </w:r>
          </w:p>
        </w:tc>
      </w:tr>
      <w:tr>
        <w:trPr>
          <w:trHeight w:val="345" w:hRule="atLeast"/>
        </w:trPr>
        <w:tc>
          <w:tcPr>
            <w:tcW w:w="640" w:type="dxa"/>
            <w:vAlign w:val="top"/>
            <w:tcBorders>
              <w:left w:val="nil"/>
            </w:tcBorders>
          </w:tcPr>
          <w:p>
            <w:pPr>
              <w:ind w:left="22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637" w:type="dxa"/>
            <w:vAlign w:val="top"/>
          </w:tcPr>
          <w:p>
            <w:pPr>
              <w:pStyle w:val="TableText"/>
              <w:ind w:left="724"/>
              <w:spacing w:before="70" w:line="239" w:lineRule="auto"/>
              <w:rPr/>
            </w:pPr>
            <w:r>
              <w:rPr/>
              <w:t>锰</w:t>
            </w:r>
          </w:p>
        </w:tc>
        <w:tc>
          <w:tcPr>
            <w:shd w:val="clear" w:fill="FFFF00"/>
            <w:tcW w:w="1271" w:type="dxa"/>
            <w:vAlign w:val="top"/>
          </w:tcPr>
          <w:p>
            <w:pPr>
              <w:ind w:left="45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1271" w:type="dxa"/>
            <w:vAlign w:val="top"/>
          </w:tcPr>
          <w:p>
            <w:pPr>
              <w:ind w:left="3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0.01L</w:t>
            </w:r>
          </w:p>
        </w:tc>
        <w:tc>
          <w:tcPr>
            <w:tcW w:w="1271" w:type="dxa"/>
            <w:vAlign w:val="top"/>
          </w:tcPr>
          <w:p>
            <w:pPr>
              <w:ind w:left="45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70" w:line="265"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0.10</w:t>
            </w:r>
          </w:p>
        </w:tc>
      </w:tr>
      <w:tr>
        <w:trPr>
          <w:trHeight w:val="345" w:hRule="atLeast"/>
        </w:trPr>
        <w:tc>
          <w:tcPr>
            <w:tcW w:w="640" w:type="dxa"/>
            <w:vAlign w:val="top"/>
            <w:tcBorders>
              <w:left w:val="nil"/>
            </w:tcBorders>
          </w:tcPr>
          <w:p>
            <w:pPr>
              <w:ind w:left="22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637" w:type="dxa"/>
            <w:vAlign w:val="top"/>
          </w:tcPr>
          <w:p>
            <w:pPr>
              <w:pStyle w:val="TableText"/>
              <w:ind w:left="726"/>
              <w:spacing w:before="69" w:line="232" w:lineRule="auto"/>
              <w:rPr/>
            </w:pPr>
            <w:r>
              <w:rPr/>
              <w:t>铜</w:t>
            </w:r>
          </w:p>
        </w:tc>
        <w:tc>
          <w:tcPr>
            <w:tcW w:w="1271" w:type="dxa"/>
            <w:vAlign w:val="top"/>
          </w:tcPr>
          <w:p>
            <w:pPr>
              <w:ind w:left="39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0.05L</w:t>
            </w:r>
          </w:p>
        </w:tc>
        <w:tc>
          <w:tcPr>
            <w:tcW w:w="1271" w:type="dxa"/>
            <w:vAlign w:val="top"/>
          </w:tcPr>
          <w:p>
            <w:pPr>
              <w:ind w:left="39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0.05L</w:t>
            </w:r>
          </w:p>
        </w:tc>
        <w:tc>
          <w:tcPr>
            <w:tcW w:w="1271" w:type="dxa"/>
            <w:vAlign w:val="top"/>
          </w:tcPr>
          <w:p>
            <w:pPr>
              <w:ind w:left="39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0.05L</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70" w:line="265"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1.00</w:t>
            </w:r>
          </w:p>
        </w:tc>
      </w:tr>
      <w:tr>
        <w:trPr>
          <w:trHeight w:val="345" w:hRule="atLeast"/>
        </w:trPr>
        <w:tc>
          <w:tcPr>
            <w:tcW w:w="640" w:type="dxa"/>
            <w:vAlign w:val="top"/>
            <w:tcBorders>
              <w:left w:val="nil"/>
            </w:tcBorders>
          </w:tcPr>
          <w:p>
            <w:pPr>
              <w:ind w:left="22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637" w:type="dxa"/>
            <w:vAlign w:val="top"/>
          </w:tcPr>
          <w:p>
            <w:pPr>
              <w:pStyle w:val="TableText"/>
              <w:ind w:left="724"/>
              <w:spacing w:before="70" w:line="231" w:lineRule="auto"/>
              <w:rPr/>
            </w:pPr>
            <w:r>
              <w:rPr/>
              <w:t>锌</w:t>
            </w:r>
          </w:p>
        </w:tc>
        <w:tc>
          <w:tcPr>
            <w:tcW w:w="1271" w:type="dxa"/>
            <w:vAlign w:val="top"/>
          </w:tcPr>
          <w:p>
            <w:pPr>
              <w:ind w:left="39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0.05L</w:t>
            </w:r>
          </w:p>
        </w:tc>
        <w:tc>
          <w:tcPr>
            <w:tcW w:w="1271" w:type="dxa"/>
            <w:vAlign w:val="top"/>
          </w:tcPr>
          <w:p>
            <w:pPr>
              <w:ind w:left="39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0.05L</w:t>
            </w:r>
          </w:p>
        </w:tc>
        <w:tc>
          <w:tcPr>
            <w:tcW w:w="1271" w:type="dxa"/>
            <w:vAlign w:val="top"/>
          </w:tcPr>
          <w:p>
            <w:pPr>
              <w:ind w:left="39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0.05L</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70" w:line="265"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1.00</w:t>
            </w:r>
          </w:p>
        </w:tc>
      </w:tr>
      <w:tr>
        <w:trPr>
          <w:trHeight w:val="345" w:hRule="atLeast"/>
        </w:trPr>
        <w:tc>
          <w:tcPr>
            <w:tcW w:w="640" w:type="dxa"/>
            <w:vAlign w:val="top"/>
            <w:tcBorders>
              <w:left w:val="nil"/>
            </w:tcBorders>
          </w:tcPr>
          <w:p>
            <w:pPr>
              <w:ind w:left="22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637" w:type="dxa"/>
            <w:vAlign w:val="top"/>
          </w:tcPr>
          <w:p>
            <w:pPr>
              <w:pStyle w:val="TableText"/>
              <w:ind w:left="513"/>
              <w:spacing w:before="71" w:line="229" w:lineRule="auto"/>
              <w:rPr/>
            </w:pPr>
            <w:r>
              <w:rPr>
                <w:spacing w:val="5"/>
              </w:rPr>
              <w:t>硫化物</w:t>
            </w:r>
          </w:p>
        </w:tc>
        <w:tc>
          <w:tcPr>
            <w:tcW w:w="1271" w:type="dxa"/>
            <w:vAlign w:val="top"/>
          </w:tcPr>
          <w:p>
            <w:pPr>
              <w:ind w:left="33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0.003L</w:t>
            </w:r>
          </w:p>
        </w:tc>
        <w:tc>
          <w:tcPr>
            <w:tcW w:w="1271" w:type="dxa"/>
            <w:vAlign w:val="top"/>
          </w:tcPr>
          <w:p>
            <w:pPr>
              <w:ind w:left="34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0.003L</w:t>
            </w:r>
          </w:p>
        </w:tc>
        <w:tc>
          <w:tcPr>
            <w:tcW w:w="1271" w:type="dxa"/>
            <w:vAlign w:val="top"/>
          </w:tcPr>
          <w:p>
            <w:pPr>
              <w:ind w:left="338"/>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0.003L</w:t>
            </w:r>
          </w:p>
        </w:tc>
        <w:tc>
          <w:tcPr>
            <w:tcW w:w="1211" w:type="dxa"/>
            <w:vAlign w:val="top"/>
          </w:tcPr>
          <w:p>
            <w:pPr>
              <w:ind w:left="377"/>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71" w:line="263"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0.02</w:t>
            </w:r>
          </w:p>
        </w:tc>
      </w:tr>
      <w:tr>
        <w:trPr>
          <w:trHeight w:val="345" w:hRule="atLeast"/>
        </w:trPr>
        <w:tc>
          <w:tcPr>
            <w:tcW w:w="640" w:type="dxa"/>
            <w:vAlign w:val="top"/>
            <w:tcBorders>
              <w:left w:val="nil"/>
            </w:tcBorders>
          </w:tcPr>
          <w:p>
            <w:pPr>
              <w:ind w:left="22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637" w:type="dxa"/>
            <w:vAlign w:val="top"/>
          </w:tcPr>
          <w:p>
            <w:pPr>
              <w:pStyle w:val="TableText"/>
              <w:ind w:left="725"/>
              <w:spacing w:before="69" w:line="233" w:lineRule="auto"/>
              <w:rPr/>
            </w:pPr>
            <w:r>
              <w:rPr/>
              <w:t>铝</w:t>
            </w:r>
          </w:p>
        </w:tc>
        <w:tc>
          <w:tcPr>
            <w:tcW w:w="1271" w:type="dxa"/>
            <w:vAlign w:val="top"/>
          </w:tcPr>
          <w:p>
            <w:pPr>
              <w:ind w:left="39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0.01L</w:t>
            </w:r>
          </w:p>
        </w:tc>
        <w:tc>
          <w:tcPr>
            <w:tcW w:w="1271" w:type="dxa"/>
            <w:vAlign w:val="top"/>
          </w:tcPr>
          <w:p>
            <w:pPr>
              <w:ind w:left="3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0.01L</w:t>
            </w:r>
          </w:p>
        </w:tc>
        <w:tc>
          <w:tcPr>
            <w:tcW w:w="1271" w:type="dxa"/>
            <w:vAlign w:val="top"/>
          </w:tcPr>
          <w:p>
            <w:pPr>
              <w:ind w:left="39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0.01L</w:t>
            </w:r>
          </w:p>
        </w:tc>
        <w:tc>
          <w:tcPr>
            <w:tcW w:w="1211" w:type="dxa"/>
            <w:vAlign w:val="top"/>
          </w:tcPr>
          <w:p>
            <w:pPr>
              <w:ind w:left="37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36"/>
              <w:spacing w:before="69" w:line="266"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0.20</w:t>
            </w:r>
          </w:p>
        </w:tc>
      </w:tr>
      <w:tr>
        <w:trPr>
          <w:trHeight w:val="345" w:hRule="atLeast"/>
        </w:trPr>
        <w:tc>
          <w:tcPr>
            <w:tcW w:w="640" w:type="dxa"/>
            <w:vAlign w:val="top"/>
            <w:tcBorders>
              <w:left w:val="nil"/>
            </w:tcBorders>
          </w:tcPr>
          <w:p>
            <w:pPr>
              <w:ind w:left="22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637" w:type="dxa"/>
            <w:vAlign w:val="top"/>
          </w:tcPr>
          <w:p>
            <w:pPr>
              <w:ind w:left="705"/>
              <w:spacing w:before="9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position w:val="-1"/>
              </w:rPr>
              <w:t>K</w:t>
            </w:r>
            <w:r>
              <w:rPr>
                <w:rFonts w:ascii="Times New Roman" w:hAnsi="Times New Roman" w:eastAsia="Times New Roman" w:cs="Times New Roman"/>
                <w:sz w:val="13"/>
                <w:szCs w:val="13"/>
                <w:spacing w:val="3"/>
                <w:position w:val="5"/>
              </w:rPr>
              <w:t>+</w:t>
            </w:r>
          </w:p>
        </w:tc>
        <w:tc>
          <w:tcPr>
            <w:tcW w:w="1271" w:type="dxa"/>
            <w:vAlign w:val="top"/>
          </w:tcPr>
          <w:p>
            <w:pPr>
              <w:ind w:left="45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271" w:type="dxa"/>
            <w:vAlign w:val="top"/>
          </w:tcPr>
          <w:p>
            <w:pPr>
              <w:ind w:left="45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0.26</w:t>
            </w:r>
          </w:p>
        </w:tc>
        <w:tc>
          <w:tcPr>
            <w:tcW w:w="1271" w:type="dxa"/>
            <w:vAlign w:val="top"/>
          </w:tcPr>
          <w:p>
            <w:pPr>
              <w:ind w:left="45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0.73</w:t>
            </w:r>
          </w:p>
        </w:tc>
        <w:tc>
          <w:tcPr>
            <w:tcW w:w="1211" w:type="dxa"/>
            <w:vAlign w:val="top"/>
          </w:tcPr>
          <w:p>
            <w:pPr>
              <w:ind w:left="37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ind w:left="577"/>
              <w:spacing w:before="193"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45" w:hRule="atLeast"/>
        </w:trPr>
        <w:tc>
          <w:tcPr>
            <w:tcW w:w="640" w:type="dxa"/>
            <w:vAlign w:val="top"/>
            <w:tcBorders>
              <w:left w:val="nil"/>
            </w:tcBorders>
          </w:tcPr>
          <w:p>
            <w:pPr>
              <w:ind w:left="22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637" w:type="dxa"/>
            <w:vAlign w:val="top"/>
          </w:tcPr>
          <w:p>
            <w:pPr>
              <w:ind w:left="650"/>
              <w:spacing w:before="97"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Na</w:t>
            </w:r>
            <w:r>
              <w:rPr>
                <w:rFonts w:ascii="Times New Roman" w:hAnsi="Times New Roman" w:eastAsia="Times New Roman" w:cs="Times New Roman"/>
                <w:sz w:val="13"/>
                <w:szCs w:val="13"/>
                <w:spacing w:val="17"/>
                <w:position w:val="5"/>
              </w:rPr>
              <w:t>+</w:t>
            </w:r>
          </w:p>
        </w:tc>
        <w:tc>
          <w:tcPr>
            <w:tcW w:w="1271" w:type="dxa"/>
            <w:vAlign w:val="top"/>
          </w:tcPr>
          <w:p>
            <w:pPr>
              <w:ind w:left="47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1271" w:type="dxa"/>
            <w:vAlign w:val="top"/>
          </w:tcPr>
          <w:p>
            <w:pPr>
              <w:ind w:left="47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1271" w:type="dxa"/>
            <w:vAlign w:val="top"/>
          </w:tcPr>
          <w:p>
            <w:pPr>
              <w:ind w:left="51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63"/>
              <w:spacing w:before="70" w:line="265"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200</w:t>
            </w:r>
          </w:p>
        </w:tc>
      </w:tr>
      <w:tr>
        <w:trPr>
          <w:trHeight w:val="345" w:hRule="atLeast"/>
        </w:trPr>
        <w:tc>
          <w:tcPr>
            <w:tcW w:w="640" w:type="dxa"/>
            <w:vAlign w:val="top"/>
            <w:tcBorders>
              <w:left w:val="nil"/>
            </w:tcBorders>
          </w:tcPr>
          <w:p>
            <w:pPr>
              <w:ind w:left="22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637" w:type="dxa"/>
            <w:vAlign w:val="top"/>
          </w:tcPr>
          <w:p>
            <w:pPr>
              <w:ind w:left="634"/>
              <w:spacing w:before="86"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Ca</w:t>
            </w:r>
            <w:r>
              <w:rPr>
                <w:rFonts w:ascii="Times New Roman" w:hAnsi="Times New Roman" w:eastAsia="Times New Roman" w:cs="Times New Roman"/>
                <w:sz w:val="13"/>
                <w:szCs w:val="13"/>
                <w:spacing w:val="5"/>
                <w:position w:val="4"/>
              </w:rPr>
              <w:t>2+</w:t>
            </w:r>
          </w:p>
        </w:tc>
        <w:tc>
          <w:tcPr>
            <w:tcW w:w="1271" w:type="dxa"/>
            <w:vAlign w:val="top"/>
          </w:tcPr>
          <w:p>
            <w:pPr>
              <w:ind w:left="53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271" w:type="dxa"/>
            <w:vAlign w:val="top"/>
          </w:tcPr>
          <w:p>
            <w:pPr>
              <w:ind w:left="45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5.17</w:t>
            </w:r>
          </w:p>
        </w:tc>
        <w:tc>
          <w:tcPr>
            <w:tcW w:w="1271" w:type="dxa"/>
            <w:vAlign w:val="top"/>
          </w:tcPr>
          <w:p>
            <w:pPr>
              <w:ind w:left="45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39.7</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ind w:left="577"/>
              <w:spacing w:before="194"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45" w:hRule="atLeast"/>
        </w:trPr>
        <w:tc>
          <w:tcPr>
            <w:tcW w:w="640" w:type="dxa"/>
            <w:vAlign w:val="top"/>
            <w:tcBorders>
              <w:left w:val="nil"/>
            </w:tcBorders>
          </w:tcPr>
          <w:p>
            <w:pPr>
              <w:ind w:left="22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637" w:type="dxa"/>
            <w:vAlign w:val="top"/>
          </w:tcPr>
          <w:p>
            <w:pPr>
              <w:ind w:left="601"/>
              <w:spacing w:before="86"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Mg</w:t>
            </w:r>
            <w:r>
              <w:rPr>
                <w:rFonts w:ascii="Times New Roman" w:hAnsi="Times New Roman" w:eastAsia="Times New Roman" w:cs="Times New Roman"/>
                <w:sz w:val="13"/>
                <w:szCs w:val="13"/>
                <w:spacing w:val="8"/>
                <w:position w:val="5"/>
              </w:rPr>
              <w:t>2+</w:t>
            </w:r>
          </w:p>
        </w:tc>
        <w:tc>
          <w:tcPr>
            <w:tcW w:w="1271" w:type="dxa"/>
            <w:vAlign w:val="top"/>
          </w:tcPr>
          <w:p>
            <w:pPr>
              <w:ind w:left="45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58.4</w:t>
            </w:r>
          </w:p>
        </w:tc>
        <w:tc>
          <w:tcPr>
            <w:tcW w:w="1271" w:type="dxa"/>
            <w:vAlign w:val="top"/>
          </w:tcPr>
          <w:p>
            <w:pPr>
              <w:ind w:left="49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153</w:t>
            </w:r>
          </w:p>
        </w:tc>
        <w:tc>
          <w:tcPr>
            <w:tcW w:w="1271" w:type="dxa"/>
            <w:vAlign w:val="top"/>
          </w:tcPr>
          <w:p>
            <w:pPr>
              <w:ind w:left="46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83.2</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ind w:left="577"/>
              <w:spacing w:before="195"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45" w:hRule="atLeast"/>
        </w:trPr>
        <w:tc>
          <w:tcPr>
            <w:tcW w:w="640" w:type="dxa"/>
            <w:vAlign w:val="top"/>
            <w:tcBorders>
              <w:left w:val="nil"/>
            </w:tcBorders>
          </w:tcPr>
          <w:p>
            <w:pPr>
              <w:ind w:left="22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1637" w:type="dxa"/>
            <w:vAlign w:val="top"/>
          </w:tcPr>
          <w:p>
            <w:pPr>
              <w:ind w:left="586"/>
              <w:spacing w:before="86"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z w:val="13"/>
                <w:szCs w:val="13"/>
                <w:spacing w:val="5"/>
                <w:position w:val="-2"/>
              </w:rPr>
              <w:t>3</w:t>
            </w:r>
            <w:r>
              <w:rPr>
                <w:rFonts w:ascii="Times New Roman" w:hAnsi="Times New Roman" w:eastAsia="Times New Roman" w:cs="Times New Roman"/>
                <w:sz w:val="13"/>
                <w:szCs w:val="13"/>
                <w:spacing w:val="5"/>
                <w:position w:val="6"/>
              </w:rPr>
              <w:t>2-</w:t>
            </w:r>
          </w:p>
        </w:tc>
        <w:tc>
          <w:tcPr>
            <w:tcW w:w="1271" w:type="dxa"/>
            <w:vAlign w:val="top"/>
          </w:tcPr>
          <w:p>
            <w:pPr>
              <w:ind w:left="588"/>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1" w:type="dxa"/>
            <w:vAlign w:val="top"/>
          </w:tcPr>
          <w:p>
            <w:pPr>
              <w:ind w:left="58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1" w:type="dxa"/>
            <w:vAlign w:val="top"/>
          </w:tcPr>
          <w:p>
            <w:pPr>
              <w:ind w:left="588"/>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11" w:type="dxa"/>
            <w:vAlign w:val="top"/>
          </w:tcPr>
          <w:p>
            <w:pPr>
              <w:ind w:left="377"/>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ind w:left="577"/>
              <w:spacing w:before="195"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45" w:hRule="atLeast"/>
        </w:trPr>
        <w:tc>
          <w:tcPr>
            <w:tcW w:w="640" w:type="dxa"/>
            <w:vAlign w:val="top"/>
            <w:tcBorders>
              <w:left w:val="nil"/>
            </w:tcBorders>
          </w:tcPr>
          <w:p>
            <w:pPr>
              <w:ind w:left="22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37" w:type="dxa"/>
            <w:vAlign w:val="top"/>
          </w:tcPr>
          <w:p>
            <w:pPr>
              <w:ind w:left="541"/>
              <w:spacing w:before="87"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z w:val="13"/>
                <w:szCs w:val="13"/>
                <w:spacing w:val="11"/>
                <w:position w:val="5"/>
              </w:rPr>
              <w:t>3-</w:t>
            </w:r>
          </w:p>
        </w:tc>
        <w:tc>
          <w:tcPr>
            <w:tcW w:w="1271" w:type="dxa"/>
            <w:vAlign w:val="top"/>
          </w:tcPr>
          <w:p>
            <w:pPr>
              <w:ind w:left="48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897</w:t>
            </w:r>
          </w:p>
        </w:tc>
        <w:tc>
          <w:tcPr>
            <w:tcW w:w="1271" w:type="dxa"/>
            <w:vAlign w:val="top"/>
          </w:tcPr>
          <w:p>
            <w:pPr>
              <w:ind w:left="45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1183</w:t>
            </w:r>
          </w:p>
        </w:tc>
        <w:tc>
          <w:tcPr>
            <w:tcW w:w="1271" w:type="dxa"/>
            <w:vAlign w:val="top"/>
          </w:tcPr>
          <w:p>
            <w:pPr>
              <w:ind w:left="48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769</w:t>
            </w:r>
          </w:p>
        </w:tc>
        <w:tc>
          <w:tcPr>
            <w:tcW w:w="1211" w:type="dxa"/>
            <w:vAlign w:val="top"/>
          </w:tcPr>
          <w:p>
            <w:pPr>
              <w:ind w:left="37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ind w:left="577"/>
              <w:spacing w:before="193"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45" w:hRule="atLeast"/>
        </w:trPr>
        <w:tc>
          <w:tcPr>
            <w:tcW w:w="640" w:type="dxa"/>
            <w:vAlign w:val="top"/>
            <w:tcBorders>
              <w:left w:val="nil"/>
            </w:tcBorders>
          </w:tcPr>
          <w:p>
            <w:pPr>
              <w:ind w:left="22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637" w:type="dxa"/>
            <w:vAlign w:val="top"/>
          </w:tcPr>
          <w:p>
            <w:pPr>
              <w:ind w:left="604"/>
              <w:spacing w:before="88" w:line="21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2"/>
              </w:rPr>
              <w:t>4</w:t>
            </w:r>
            <w:r>
              <w:rPr>
                <w:rFonts w:ascii="Times New Roman" w:hAnsi="Times New Roman" w:eastAsia="Times New Roman" w:cs="Times New Roman"/>
                <w:sz w:val="13"/>
                <w:szCs w:val="13"/>
                <w:spacing w:val="3"/>
                <w:position w:val="5"/>
              </w:rPr>
              <w:t>2-</w:t>
            </w:r>
          </w:p>
        </w:tc>
        <w:tc>
          <w:tcPr>
            <w:tcW w:w="1271" w:type="dxa"/>
            <w:vAlign w:val="top"/>
          </w:tcPr>
          <w:p>
            <w:pPr>
              <w:ind w:left="45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w:t>
            </w:r>
          </w:p>
        </w:tc>
        <w:tc>
          <w:tcPr>
            <w:tcW w:w="1271" w:type="dxa"/>
            <w:vAlign w:val="top"/>
          </w:tcPr>
          <w:p>
            <w:pPr>
              <w:ind w:left="50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115</w:t>
            </w:r>
          </w:p>
        </w:tc>
        <w:tc>
          <w:tcPr>
            <w:tcW w:w="1271" w:type="dxa"/>
            <w:vAlign w:val="top"/>
          </w:tcPr>
          <w:p>
            <w:pPr>
              <w:ind w:left="45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67.5</w:t>
            </w:r>
          </w:p>
        </w:tc>
        <w:tc>
          <w:tcPr>
            <w:tcW w:w="1211" w:type="dxa"/>
            <w:vAlign w:val="top"/>
          </w:tcPr>
          <w:p>
            <w:pPr>
              <w:ind w:left="37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63"/>
              <w:spacing w:before="69" w:line="266"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250</w:t>
            </w:r>
          </w:p>
        </w:tc>
      </w:tr>
      <w:tr>
        <w:trPr>
          <w:trHeight w:val="349" w:hRule="atLeast"/>
        </w:trPr>
        <w:tc>
          <w:tcPr>
            <w:tcW w:w="640" w:type="dxa"/>
            <w:vAlign w:val="top"/>
            <w:tcBorders>
              <w:left w:val="nil"/>
            </w:tcBorders>
          </w:tcPr>
          <w:p>
            <w:pPr>
              <w:ind w:left="22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637" w:type="dxa"/>
            <w:vAlign w:val="top"/>
          </w:tcPr>
          <w:p>
            <w:pPr>
              <w:pStyle w:val="TableText"/>
              <w:ind w:left="517"/>
              <w:spacing w:before="70" w:line="229" w:lineRule="auto"/>
              <w:rPr/>
            </w:pPr>
            <w:r>
              <w:rPr>
                <w:spacing w:val="3"/>
              </w:rPr>
              <w:t>氯化物</w:t>
            </w:r>
          </w:p>
        </w:tc>
        <w:tc>
          <w:tcPr>
            <w:tcW w:w="1271" w:type="dxa"/>
            <w:vAlign w:val="top"/>
          </w:tcPr>
          <w:p>
            <w:pPr>
              <w:ind w:left="50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157</w:t>
            </w:r>
          </w:p>
        </w:tc>
        <w:tc>
          <w:tcPr>
            <w:shd w:val="clear" w:fill="FFFF00"/>
            <w:tcW w:w="1271" w:type="dxa"/>
            <w:vAlign w:val="top"/>
          </w:tcPr>
          <w:p>
            <w:pPr>
              <w:ind w:left="47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413</w:t>
            </w:r>
          </w:p>
        </w:tc>
        <w:tc>
          <w:tcPr>
            <w:tcW w:w="1271" w:type="dxa"/>
            <w:vAlign w:val="top"/>
          </w:tcPr>
          <w:p>
            <w:pPr>
              <w:ind w:left="47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237</w:t>
            </w:r>
          </w:p>
        </w:tc>
        <w:tc>
          <w:tcPr>
            <w:tcW w:w="1211" w:type="dxa"/>
            <w:vAlign w:val="top"/>
          </w:tcPr>
          <w:p>
            <w:pPr>
              <w:ind w:left="37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211" w:type="dxa"/>
            <w:vAlign w:val="top"/>
            <w:tcBorders>
              <w:right w:val="nil"/>
            </w:tcBorders>
          </w:tcPr>
          <w:p>
            <w:pPr>
              <w:pStyle w:val="TableText"/>
              <w:ind w:left="363"/>
              <w:spacing w:before="70" w:line="269" w:lineRule="exact"/>
              <w:rPr>
                <w:rFonts w:ascii="Times New Roman" w:hAnsi="Times New Roman" w:eastAsia="Times New Roman" w:cs="Times New Roman"/>
              </w:rPr>
            </w:pPr>
            <w:r>
              <w:rPr>
                <w:position w:val="1"/>
              </w:rPr>
              <w:t>≤</w:t>
            </w:r>
            <w:r>
              <w:rPr>
                <w:rFonts w:ascii="Times New Roman" w:hAnsi="Times New Roman" w:eastAsia="Times New Roman" w:cs="Times New Roman"/>
                <w:position w:val="1"/>
              </w:rPr>
              <w:t>250</w:t>
            </w:r>
          </w:p>
        </w:tc>
      </w:tr>
    </w:tbl>
    <w:p>
      <w:pPr>
        <w:ind w:left="2899"/>
        <w:spacing w:before="65" w:line="229" w:lineRule="auto"/>
        <w:rPr>
          <w:rFonts w:ascii="FangSong" w:hAnsi="FangSong" w:eastAsia="FangSong" w:cs="FangSong"/>
          <w:sz w:val="20"/>
          <w:szCs w:val="20"/>
        </w:rPr>
      </w:pPr>
      <w:r>
        <w:rPr>
          <w:rFonts w:ascii="FangSong" w:hAnsi="FangSong" w:eastAsia="FangSong" w:cs="FangSong"/>
          <w:sz w:val="20"/>
          <w:szCs w:val="20"/>
          <w:spacing w:val="10"/>
        </w:rPr>
        <w:t>注：检出限后加</w:t>
      </w:r>
      <w:r>
        <w:rPr>
          <w:rFonts w:ascii="Times New Roman" w:hAnsi="Times New Roman" w:eastAsia="Times New Roman" w:cs="Times New Roman"/>
          <w:sz w:val="20"/>
          <w:szCs w:val="20"/>
          <w:spacing w:val="10"/>
        </w:rPr>
        <w:t>L</w:t>
      </w:r>
      <w:r>
        <w:rPr>
          <w:rFonts w:ascii="Times New Roman" w:hAnsi="Times New Roman" w:eastAsia="Times New Roman" w:cs="Times New Roman"/>
          <w:sz w:val="20"/>
          <w:szCs w:val="20"/>
          <w:spacing w:val="27"/>
          <w:w w:val="101"/>
        </w:rPr>
        <w:t xml:space="preserve"> </w:t>
      </w:r>
      <w:r>
        <w:rPr>
          <w:rFonts w:ascii="FangSong" w:hAnsi="FangSong" w:eastAsia="FangSong" w:cs="FangSong"/>
          <w:sz w:val="20"/>
          <w:szCs w:val="20"/>
          <w:spacing w:val="10"/>
        </w:rPr>
        <w:t>代表未检出</w:t>
      </w:r>
    </w:p>
    <w:p>
      <w:pPr>
        <w:spacing w:before="26" w:line="29" w:lineRule="exact"/>
        <w:rPr/>
      </w:pPr>
      <w:r>
        <w:rPr/>
        <w:pict>
          <v:shape id="_x0000_s54" style="mso-position-vertical-relative:line;mso-position-horizontal-relative:char;width:425.65pt;height:1.45pt;" filled="false" strokecolor="#000000" strokeweight="1.44pt" coordsize="8512,29" coordorigin="0,0" path="m0,14l8512,14e">
            <v:stroke joinstyle="bevel" miterlimit="2"/>
          </v:shape>
        </w:pict>
      </w:r>
    </w:p>
    <w:p>
      <w:pPr>
        <w:pStyle w:val="BodyText"/>
        <w:spacing w:line="251" w:lineRule="auto"/>
        <w:rPr/>
      </w:pPr>
      <w:r/>
    </w:p>
    <w:p>
      <w:pPr>
        <w:pStyle w:val="BodyText"/>
        <w:spacing w:line="252"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5.5.4.5</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评价方法</w:t>
      </w:r>
    </w:p>
    <w:p>
      <w:pPr>
        <w:ind w:left="126" w:right="159" w:firstLine="479"/>
        <w:spacing w:before="179" w:line="360" w:lineRule="auto"/>
        <w:rPr>
          <w:rFonts w:ascii="FangSong" w:hAnsi="FangSong" w:eastAsia="FangSong" w:cs="FangSong"/>
          <w:sz w:val="24"/>
          <w:szCs w:val="24"/>
        </w:rPr>
      </w:pPr>
      <w:r>
        <w:rPr>
          <w:rFonts w:ascii="FangSong" w:hAnsi="FangSong" w:eastAsia="FangSong" w:cs="FangSong"/>
          <w:sz w:val="24"/>
          <w:szCs w:val="24"/>
          <w:spacing w:val="-1"/>
        </w:rPr>
        <w:t>采用单项污染物指数法，按《地下水质量标准》（</w:t>
      </w:r>
      <w:r>
        <w:rPr>
          <w:rFonts w:ascii="Times New Roman" w:hAnsi="Times New Roman" w:eastAsia="Times New Roman" w:cs="Times New Roman"/>
          <w:sz w:val="24"/>
          <w:szCs w:val="24"/>
          <w:spacing w:val="-1"/>
        </w:rPr>
        <w:t>GB/T14848-2017</w:t>
      </w:r>
      <w:r>
        <w:rPr>
          <w:rFonts w:ascii="FangSong" w:hAnsi="FangSong" w:eastAsia="FangSong" w:cs="FangSong"/>
          <w:sz w:val="24"/>
          <w:szCs w:val="24"/>
          <w:spacing w:val="-1"/>
        </w:rPr>
        <w:t>）中</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1"/>
        </w:rPr>
        <w:t>III</w:t>
      </w:r>
      <w:r>
        <w:rPr>
          <w:rFonts w:ascii="FangSong" w:hAnsi="FangSong" w:eastAsia="FangSong" w:cs="FangSong"/>
          <w:sz w:val="24"/>
          <w:szCs w:val="24"/>
          <w:spacing w:val="-2"/>
        </w:rPr>
        <w:t>类标准进行评价。评价模型为：</w:t>
      </w:r>
    </w:p>
    <w:p>
      <w:pPr>
        <w:ind w:left="2890"/>
        <w:spacing w:before="76"/>
        <w:rPr>
          <w:rFonts w:ascii="FangSong" w:hAnsi="FangSong" w:eastAsia="FangSong" w:cs="FangSong"/>
          <w:sz w:val="24"/>
          <w:szCs w:val="24"/>
        </w:rPr>
      </w:pPr>
      <w:r>
        <w:rPr>
          <w:rFonts w:ascii="Times New Roman" w:hAnsi="Times New Roman" w:eastAsia="Times New Roman" w:cs="Times New Roman"/>
          <w:sz w:val="23"/>
          <w:szCs w:val="23"/>
          <w:i/>
          <w:iCs/>
        </w:rPr>
        <w:t>S</w:t>
      </w:r>
      <w:r>
        <w:rPr>
          <w:rFonts w:ascii="Times New Roman" w:hAnsi="Times New Roman" w:eastAsia="Times New Roman" w:cs="Times New Roman"/>
          <w:sz w:val="15"/>
          <w:szCs w:val="15"/>
          <w:i/>
          <w:iCs/>
          <w:position w:val="-5"/>
        </w:rPr>
        <w:t>i  </w:t>
      </w:r>
      <w:r>
        <w:rPr>
          <w:sz w:val="15"/>
          <w:szCs w:val="15"/>
          <w:position w:val="-24"/>
        </w:rPr>
        <w:drawing>
          <wp:inline distT="0" distB="0" distL="0" distR="0">
            <wp:extent cx="300389" cy="357319"/>
            <wp:effectExtent l="0" t="0" r="0" b="0"/>
            <wp:docPr id="56" name="IM 56"/>
            <wp:cNvGraphicFramePr/>
            <a:graphic>
              <a:graphicData uri="http://schemas.openxmlformats.org/drawingml/2006/picture">
                <pic:pic>
                  <pic:nvPicPr>
                    <pic:cNvPr id="56" name="IM 56"/>
                    <pic:cNvPicPr/>
                  </pic:nvPicPr>
                  <pic:blipFill>
                    <a:blip r:embed="rId248"/>
                    <a:stretch>
                      <a:fillRect/>
                    </a:stretch>
                  </pic:blipFill>
                  <pic:spPr>
                    <a:xfrm rot="0">
                      <a:off x="0" y="0"/>
                      <a:ext cx="300389" cy="357319"/>
                    </a:xfrm>
                    <a:prstGeom prst="rect">
                      <a:avLst/>
                    </a:prstGeom>
                  </pic:spPr>
                </pic:pic>
              </a:graphicData>
            </a:graphic>
          </wp:inline>
        </w:drawing>
      </w:r>
      <w:r>
        <w:rPr>
          <w:rFonts w:ascii="Times New Roman" w:hAnsi="Times New Roman" w:eastAsia="Times New Roman" w:cs="Times New Roman"/>
          <w:sz w:val="15"/>
          <w:szCs w:val="15"/>
          <w:i/>
          <w:iCs/>
          <w:spacing w:val="1"/>
          <w:position w:val="-5"/>
        </w:rPr>
        <w:t xml:space="preserve">              </w:t>
      </w:r>
      <w:r>
        <w:rPr>
          <w:rFonts w:ascii="FangSong" w:hAnsi="FangSong" w:eastAsia="FangSong" w:cs="FangSong"/>
          <w:sz w:val="24"/>
          <w:szCs w:val="24"/>
        </w:rPr>
        <w:t>（公式</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rPr>
        <w:t>5.5-2</w:t>
      </w:r>
      <w:r>
        <w:rPr>
          <w:rFonts w:ascii="FangSong" w:hAnsi="FangSong" w:eastAsia="FangSong" w:cs="FangSong"/>
          <w:sz w:val="24"/>
          <w:szCs w:val="24"/>
        </w:rPr>
        <w:t>）</w:t>
      </w:r>
    </w:p>
    <w:p>
      <w:pPr>
        <w:ind w:left="609"/>
        <w:spacing w:before="297" w:line="221" w:lineRule="auto"/>
        <w:rPr>
          <w:rFonts w:ascii="FangSong" w:hAnsi="FangSong" w:eastAsia="FangSong" w:cs="FangSong"/>
          <w:sz w:val="24"/>
          <w:szCs w:val="24"/>
        </w:rPr>
      </w:pP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S</w:t>
      </w:r>
      <w:r>
        <w:rPr>
          <w:rFonts w:ascii="Times New Roman" w:hAnsi="Times New Roman" w:eastAsia="Times New Roman" w:cs="Times New Roman"/>
          <w:sz w:val="15"/>
          <w:szCs w:val="15"/>
          <w:spacing w:val="-2"/>
          <w:position w:val="-1"/>
        </w:rPr>
        <w:t>i      </w:t>
      </w:r>
      <w:r>
        <w:rPr>
          <w:rFonts w:ascii="FangSong" w:hAnsi="FangSong" w:eastAsia="FangSong" w:cs="FangSong"/>
          <w:sz w:val="24"/>
          <w:szCs w:val="24"/>
          <w:spacing w:val="-2"/>
        </w:rPr>
        <w:t>——</w:t>
      </w:r>
      <w:r>
        <w:rPr>
          <w:rFonts w:ascii="FangSong" w:hAnsi="FangSong" w:eastAsia="FangSong" w:cs="FangSong"/>
          <w:sz w:val="24"/>
          <w:szCs w:val="24"/>
          <w:spacing w:val="19"/>
        </w:rPr>
        <w:t xml:space="preserve">  </w:t>
      </w:r>
      <w:r>
        <w:rPr>
          <w:rFonts w:ascii="FangSong" w:hAnsi="FangSong" w:eastAsia="FangSong" w:cs="FangSong"/>
          <w:sz w:val="24"/>
          <w:szCs w:val="24"/>
          <w:spacing w:val="-2"/>
        </w:rPr>
        <w:t>某污染物的污染指数；</w:t>
      </w:r>
    </w:p>
    <w:p>
      <w:pPr>
        <w:ind w:left="1316"/>
        <w:spacing w:before="181" w:line="210" w:lineRule="auto"/>
        <w:rPr>
          <w:rFonts w:ascii="FangSong" w:hAnsi="FangSong" w:eastAsia="FangSong" w:cs="FangSong"/>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15"/>
          <w:szCs w:val="15"/>
          <w:spacing w:val="-1"/>
          <w:position w:val="-1"/>
        </w:rPr>
        <w:t>i      </w:t>
      </w:r>
      <w:r>
        <w:rPr>
          <w:rFonts w:ascii="FangSong" w:hAnsi="FangSong" w:eastAsia="FangSong" w:cs="FangSong"/>
          <w:sz w:val="24"/>
          <w:szCs w:val="24"/>
          <w:spacing w:val="-1"/>
        </w:rPr>
        <w:t>——</w:t>
      </w:r>
      <w:r>
        <w:rPr>
          <w:rFonts w:ascii="FangSong" w:hAnsi="FangSong" w:eastAsia="FangSong" w:cs="FangSong"/>
          <w:sz w:val="24"/>
          <w:szCs w:val="24"/>
          <w:spacing w:val="15"/>
        </w:rPr>
        <w:t xml:space="preserve">  </w:t>
      </w:r>
      <w:r>
        <w:rPr>
          <w:rFonts w:ascii="FangSong" w:hAnsi="FangSong" w:eastAsia="FangSong" w:cs="FangSong"/>
          <w:sz w:val="24"/>
          <w:szCs w:val="24"/>
          <w:spacing w:val="-1"/>
        </w:rPr>
        <w:t>某污染物的实测浓度，</w:t>
      </w:r>
      <w:r>
        <w:rPr>
          <w:rFonts w:ascii="Times New Roman" w:hAnsi="Times New Roman" w:eastAsia="Times New Roman" w:cs="Times New Roman"/>
          <w:sz w:val="24"/>
          <w:szCs w:val="24"/>
          <w:spacing w:val="-1"/>
        </w:rPr>
        <w:t>mg/L</w:t>
      </w:r>
      <w:r>
        <w:rPr>
          <w:rFonts w:ascii="FangSong" w:hAnsi="FangSong" w:eastAsia="FangSong" w:cs="FangSong"/>
          <w:sz w:val="24"/>
          <w:szCs w:val="24"/>
          <w:spacing w:val="-1"/>
        </w:rPr>
        <w:t>；</w:t>
      </w:r>
    </w:p>
    <w:p>
      <w:pPr>
        <w:ind w:left="1316"/>
        <w:spacing w:before="195" w:line="210" w:lineRule="auto"/>
        <w:rPr>
          <w:rFonts w:ascii="FangSong" w:hAnsi="FangSong" w:eastAsia="FangSong" w:cs="FangSong"/>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15"/>
          <w:szCs w:val="15"/>
          <w:spacing w:val="-1"/>
          <w:position w:val="-1"/>
        </w:rPr>
        <w:t>o      </w:t>
      </w:r>
      <w:r>
        <w:rPr>
          <w:rFonts w:ascii="FangSong" w:hAnsi="FangSong" w:eastAsia="FangSong" w:cs="FangSong"/>
          <w:sz w:val="24"/>
          <w:szCs w:val="24"/>
          <w:spacing w:val="-1"/>
        </w:rPr>
        <w:t>——</w:t>
      </w:r>
      <w:r>
        <w:rPr>
          <w:rFonts w:ascii="FangSong" w:hAnsi="FangSong" w:eastAsia="FangSong" w:cs="FangSong"/>
          <w:sz w:val="24"/>
          <w:szCs w:val="24"/>
          <w:spacing w:val="16"/>
        </w:rPr>
        <w:t xml:space="preserve">  </w:t>
      </w:r>
      <w:r>
        <w:rPr>
          <w:rFonts w:ascii="FangSong" w:hAnsi="FangSong" w:eastAsia="FangSong" w:cs="FangSong"/>
          <w:sz w:val="24"/>
          <w:szCs w:val="24"/>
          <w:spacing w:val="-1"/>
        </w:rPr>
        <w:t>某污染物的评价标准值，</w:t>
      </w:r>
      <w:r>
        <w:rPr>
          <w:rFonts w:ascii="Times New Roman" w:hAnsi="Times New Roman" w:eastAsia="Times New Roman" w:cs="Times New Roman"/>
          <w:sz w:val="24"/>
          <w:szCs w:val="24"/>
          <w:spacing w:val="-1"/>
        </w:rPr>
        <w:t>mg/L</w:t>
      </w:r>
      <w:r>
        <w:rPr>
          <w:rFonts w:ascii="FangSong" w:hAnsi="FangSong" w:eastAsia="FangSong" w:cs="FangSong"/>
          <w:sz w:val="24"/>
          <w:szCs w:val="24"/>
          <w:spacing w:val="-1"/>
        </w:rPr>
        <w:t>。</w:t>
      </w:r>
    </w:p>
    <w:p>
      <w:pPr>
        <w:ind w:left="587"/>
        <w:spacing w:before="195" w:line="210" w:lineRule="auto"/>
        <w:rPr>
          <w:rFonts w:ascii="FangSong" w:hAnsi="FangSong" w:eastAsia="FangSong" w:cs="FangSong"/>
          <w:sz w:val="24"/>
          <w:szCs w:val="24"/>
        </w:rPr>
      </w:pPr>
      <w:r>
        <w:rPr>
          <w:rFonts w:ascii="Times New Roman" w:hAnsi="Times New Roman" w:eastAsia="Times New Roman" w:cs="Times New Roman"/>
          <w:sz w:val="24"/>
          <w:szCs w:val="24"/>
          <w:spacing w:val="-3"/>
        </w:rPr>
        <w:t>pH</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3"/>
        </w:rPr>
        <w:t>的标准指数公式：</w:t>
      </w:r>
    </w:p>
    <w:p>
      <w:pPr>
        <w:spacing w:before="23"/>
        <w:rPr/>
      </w:pPr>
      <w:r/>
    </w:p>
    <w:tbl>
      <w:tblPr>
        <w:tblStyle w:val="TableNormal"/>
        <w:tblW w:w="5486" w:type="dxa"/>
        <w:tblInd w:w="147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062"/>
        <w:gridCol w:w="1792"/>
        <w:gridCol w:w="1632"/>
      </w:tblGrid>
      <w:tr>
        <w:trPr>
          <w:trHeight w:val="765" w:hRule="atLeast"/>
        </w:trPr>
        <w:tc>
          <w:tcPr>
            <w:tcW w:w="2062" w:type="dxa"/>
            <w:vAlign w:val="top"/>
          </w:tcPr>
          <w:p>
            <w:pPr>
              <w:ind w:left="11"/>
              <w:spacing w:line="593" w:lineRule="exact"/>
              <w:rPr/>
            </w:pPr>
            <w:r>
              <w:rPr>
                <w:position w:val="-12"/>
              </w:rPr>
              <w:drawing>
                <wp:inline distT="0" distB="0" distL="0" distR="0">
                  <wp:extent cx="1089921" cy="376711"/>
                  <wp:effectExtent l="0" t="0" r="0" b="0"/>
                  <wp:docPr id="58" name="IM 58"/>
                  <wp:cNvGraphicFramePr/>
                  <a:graphic>
                    <a:graphicData uri="http://schemas.openxmlformats.org/drawingml/2006/picture">
                      <pic:pic>
                        <pic:nvPicPr>
                          <pic:cNvPr id="58" name="IM 58"/>
                          <pic:cNvPicPr/>
                        </pic:nvPicPr>
                        <pic:blipFill>
                          <a:blip r:embed="rId249"/>
                          <a:stretch>
                            <a:fillRect/>
                          </a:stretch>
                        </pic:blipFill>
                        <pic:spPr>
                          <a:xfrm rot="0">
                            <a:off x="0" y="0"/>
                            <a:ext cx="1089921" cy="376711"/>
                          </a:xfrm>
                          <a:prstGeom prst="rect">
                            <a:avLst/>
                          </a:prstGeom>
                        </pic:spPr>
                      </pic:pic>
                    </a:graphicData>
                  </a:graphic>
                </wp:inline>
              </w:drawing>
            </w:r>
          </w:p>
        </w:tc>
        <w:tc>
          <w:tcPr>
            <w:tcW w:w="1792" w:type="dxa"/>
            <w:vAlign w:val="top"/>
          </w:tcPr>
          <w:p>
            <w:pPr>
              <w:pStyle w:val="TableText"/>
              <w:ind w:left="211"/>
              <w:spacing w:before="136" w:line="213" w:lineRule="auto"/>
              <w:rPr>
                <w:sz w:val="24"/>
                <w:szCs w:val="24"/>
              </w:rPr>
            </w:pPr>
            <w:r>
              <w:rPr>
                <w:sz w:val="24"/>
                <w:szCs w:val="24"/>
                <w:spacing w:val="-3"/>
              </w:rPr>
              <w:t>（</w:t>
            </w:r>
            <w:r>
              <w:rPr>
                <w:rFonts w:ascii="Times New Roman" w:hAnsi="Times New Roman" w:eastAsia="Times New Roman" w:cs="Times New Roman"/>
                <w:sz w:val="24"/>
                <w:szCs w:val="24"/>
                <w:spacing w:val="-3"/>
              </w:rPr>
              <w:t>pH</w:t>
            </w:r>
            <w:r>
              <w:rPr>
                <w:rFonts w:ascii="Times New Roman" w:hAnsi="Times New Roman" w:eastAsia="Times New Roman" w:cs="Times New Roman"/>
                <w:sz w:val="15"/>
                <w:szCs w:val="15"/>
                <w:spacing w:val="-3"/>
                <w:position w:val="-1"/>
              </w:rPr>
              <w:t>j</w:t>
            </w:r>
            <w:r>
              <w:rPr>
                <w:sz w:val="24"/>
                <w:szCs w:val="24"/>
                <w:spacing w:val="-3"/>
              </w:rPr>
              <w:t>＞</w:t>
            </w:r>
            <w:r>
              <w:rPr>
                <w:rFonts w:ascii="Times New Roman" w:hAnsi="Times New Roman" w:eastAsia="Times New Roman" w:cs="Times New Roman"/>
                <w:sz w:val="24"/>
                <w:szCs w:val="24"/>
                <w:spacing w:val="-3"/>
              </w:rPr>
              <w:t>7.0</w:t>
            </w:r>
            <w:r>
              <w:rPr>
                <w:sz w:val="24"/>
                <w:szCs w:val="24"/>
                <w:spacing w:val="-3"/>
              </w:rPr>
              <w:t>）</w:t>
            </w:r>
          </w:p>
        </w:tc>
        <w:tc>
          <w:tcPr>
            <w:tcW w:w="1632" w:type="dxa"/>
            <w:vAlign w:val="top"/>
          </w:tcPr>
          <w:p>
            <w:pPr>
              <w:pStyle w:val="TableText"/>
              <w:spacing w:before="136" w:line="223" w:lineRule="auto"/>
              <w:jc w:val="right"/>
              <w:rPr>
                <w:sz w:val="24"/>
                <w:szCs w:val="24"/>
              </w:rPr>
            </w:pPr>
            <w:r>
              <w:rPr>
                <w:sz w:val="24"/>
                <w:szCs w:val="24"/>
                <w:spacing w:val="-17"/>
              </w:rPr>
              <w:t>（公式</w:t>
            </w:r>
            <w:r>
              <w:rPr>
                <w:sz w:val="24"/>
                <w:szCs w:val="24"/>
                <w:spacing w:val="-52"/>
              </w:rPr>
              <w:t xml:space="preserve"> </w:t>
            </w:r>
            <w:r>
              <w:rPr>
                <w:rFonts w:ascii="Times New Roman" w:hAnsi="Times New Roman" w:eastAsia="Times New Roman" w:cs="Times New Roman"/>
                <w:sz w:val="24"/>
                <w:szCs w:val="24"/>
                <w:spacing w:val="-17"/>
              </w:rPr>
              <w:t>5.5-3</w:t>
            </w:r>
            <w:r>
              <w:rPr>
                <w:sz w:val="24"/>
                <w:szCs w:val="24"/>
                <w:spacing w:val="-17"/>
              </w:rPr>
              <w:t>）</w:t>
            </w:r>
          </w:p>
        </w:tc>
      </w:tr>
      <w:tr>
        <w:trPr>
          <w:trHeight w:val="764" w:hRule="atLeast"/>
        </w:trPr>
        <w:tc>
          <w:tcPr>
            <w:tcW w:w="2062" w:type="dxa"/>
            <w:vAlign w:val="top"/>
          </w:tcPr>
          <w:p>
            <w:pPr>
              <w:spacing w:before="171" w:line="582" w:lineRule="exact"/>
              <w:rPr/>
            </w:pPr>
            <w:r>
              <w:rPr>
                <w:position w:val="-12"/>
              </w:rPr>
              <w:drawing>
                <wp:inline distT="0" distB="0" distL="0" distR="0">
                  <wp:extent cx="1102976" cy="370203"/>
                  <wp:effectExtent l="0" t="0" r="0" b="0"/>
                  <wp:docPr id="60" name="IM 60"/>
                  <wp:cNvGraphicFramePr/>
                  <a:graphic>
                    <a:graphicData uri="http://schemas.openxmlformats.org/drawingml/2006/picture">
                      <pic:pic>
                        <pic:nvPicPr>
                          <pic:cNvPr id="60" name="IM 60"/>
                          <pic:cNvPicPr/>
                        </pic:nvPicPr>
                        <pic:blipFill>
                          <a:blip r:embed="rId250"/>
                          <a:stretch>
                            <a:fillRect/>
                          </a:stretch>
                        </pic:blipFill>
                        <pic:spPr>
                          <a:xfrm rot="0">
                            <a:off x="0" y="0"/>
                            <a:ext cx="1102976" cy="370203"/>
                          </a:xfrm>
                          <a:prstGeom prst="rect">
                            <a:avLst/>
                          </a:prstGeom>
                        </pic:spPr>
                      </pic:pic>
                    </a:graphicData>
                  </a:graphic>
                </wp:inline>
              </w:drawing>
            </w:r>
          </w:p>
        </w:tc>
        <w:tc>
          <w:tcPr>
            <w:tcW w:w="1792" w:type="dxa"/>
            <w:vAlign w:val="top"/>
          </w:tcPr>
          <w:p>
            <w:pPr>
              <w:pStyle w:val="TableText"/>
              <w:ind w:left="223"/>
              <w:spacing w:before="307" w:line="213" w:lineRule="auto"/>
              <w:rPr>
                <w:sz w:val="24"/>
                <w:szCs w:val="24"/>
              </w:rPr>
            </w:pPr>
            <w:r>
              <w:rPr>
                <w:sz w:val="24"/>
                <w:szCs w:val="24"/>
                <w:spacing w:val="-6"/>
              </w:rPr>
              <w:t>（</w:t>
            </w:r>
            <w:r>
              <w:rPr>
                <w:rFonts w:ascii="Times New Roman" w:hAnsi="Times New Roman" w:eastAsia="Times New Roman" w:cs="Times New Roman"/>
                <w:sz w:val="24"/>
                <w:szCs w:val="24"/>
                <w:spacing w:val="-6"/>
              </w:rPr>
              <w:t>pH</w:t>
            </w:r>
            <w:r>
              <w:rPr>
                <w:rFonts w:ascii="Times New Roman" w:hAnsi="Times New Roman" w:eastAsia="Times New Roman" w:cs="Times New Roman"/>
                <w:sz w:val="15"/>
                <w:szCs w:val="15"/>
                <w:spacing w:val="-6"/>
                <w:position w:val="-1"/>
              </w:rPr>
              <w:t>j</w:t>
            </w:r>
            <w:r>
              <w:rPr>
                <w:rFonts w:ascii="Times New Roman" w:hAnsi="Times New Roman" w:eastAsia="Times New Roman" w:cs="Times New Roman"/>
                <w:sz w:val="15"/>
                <w:szCs w:val="15"/>
                <w:spacing w:val="-5"/>
                <w:position w:val="-1"/>
              </w:rPr>
              <w:t xml:space="preserve"> </w:t>
            </w:r>
            <w:r>
              <w:rPr>
                <w:sz w:val="24"/>
                <w:szCs w:val="24"/>
                <w:spacing w:val="-6"/>
              </w:rPr>
              <w:t>≤</w:t>
            </w:r>
            <w:r>
              <w:rPr>
                <w:rFonts w:ascii="Times New Roman" w:hAnsi="Times New Roman" w:eastAsia="Times New Roman" w:cs="Times New Roman"/>
                <w:sz w:val="24"/>
                <w:szCs w:val="24"/>
                <w:spacing w:val="-6"/>
              </w:rPr>
              <w:t>7.0</w:t>
            </w:r>
            <w:r>
              <w:rPr>
                <w:sz w:val="24"/>
                <w:szCs w:val="24"/>
                <w:spacing w:val="-6"/>
              </w:rPr>
              <w:t>）</w:t>
            </w:r>
          </w:p>
        </w:tc>
        <w:tc>
          <w:tcPr>
            <w:tcW w:w="1632" w:type="dxa"/>
            <w:vAlign w:val="top"/>
          </w:tcPr>
          <w:p>
            <w:pPr>
              <w:pStyle w:val="TableText"/>
              <w:spacing w:before="307" w:line="223" w:lineRule="auto"/>
              <w:jc w:val="right"/>
              <w:rPr>
                <w:sz w:val="24"/>
                <w:szCs w:val="24"/>
              </w:rPr>
            </w:pPr>
            <w:r>
              <w:rPr>
                <w:sz w:val="24"/>
                <w:szCs w:val="24"/>
                <w:spacing w:val="-18"/>
              </w:rPr>
              <w:t>（公式</w:t>
            </w:r>
            <w:r>
              <w:rPr>
                <w:sz w:val="24"/>
                <w:szCs w:val="24"/>
                <w:spacing w:val="-55"/>
              </w:rPr>
              <w:t xml:space="preserve"> </w:t>
            </w:r>
            <w:r>
              <w:rPr>
                <w:rFonts w:ascii="Times New Roman" w:hAnsi="Times New Roman" w:eastAsia="Times New Roman" w:cs="Times New Roman"/>
                <w:sz w:val="24"/>
                <w:szCs w:val="24"/>
                <w:spacing w:val="-18"/>
              </w:rPr>
              <w:t>5.5-4</w:t>
            </w:r>
            <w:r>
              <w:rPr>
                <w:sz w:val="24"/>
                <w:szCs w:val="24"/>
                <w:spacing w:val="-18"/>
              </w:rPr>
              <w:t>）</w:t>
            </w:r>
          </w:p>
        </w:tc>
      </w:tr>
    </w:tbl>
    <w:p>
      <w:pPr>
        <w:pStyle w:val="BodyText"/>
        <w:rPr/>
      </w:pPr>
      <w:r/>
    </w:p>
    <w:p>
      <w:pPr>
        <w:sectPr>
          <w:footerReference w:type="default" r:id="rId247"/>
          <w:pgSz w:w="11906" w:h="16839"/>
          <w:pgMar w:top="400" w:right="1701" w:bottom="1358" w:left="1691" w:header="0" w:footer="1195" w:gutter="0"/>
        </w:sectPr>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609"/>
        <w:spacing w:before="78" w:line="212"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S</w:t>
      </w:r>
      <w:r>
        <w:rPr>
          <w:rFonts w:ascii="Times New Roman" w:hAnsi="Times New Roman" w:eastAsia="Times New Roman" w:cs="Times New Roman"/>
          <w:sz w:val="15"/>
          <w:szCs w:val="15"/>
          <w:spacing w:val="-1"/>
          <w:position w:val="-1"/>
        </w:rPr>
        <w:t>pH</w:t>
      </w:r>
      <w:r>
        <w:rPr>
          <w:rFonts w:ascii="FangSong" w:hAnsi="FangSong" w:eastAsia="FangSong" w:cs="FangSong"/>
          <w:sz w:val="12"/>
          <w:szCs w:val="12"/>
          <w:spacing w:val="-1"/>
          <w:position w:val="-3"/>
        </w:rPr>
        <w:t>，</w:t>
      </w:r>
      <w:r>
        <w:rPr>
          <w:rFonts w:ascii="Times New Roman" w:hAnsi="Times New Roman" w:eastAsia="Times New Roman" w:cs="Times New Roman"/>
          <w:sz w:val="15"/>
          <w:szCs w:val="15"/>
          <w:spacing w:val="-1"/>
          <w:position w:val="-1"/>
        </w:rPr>
        <w:t>j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pH</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值的单项指数；</w:t>
      </w:r>
    </w:p>
    <w:p>
      <w:pPr>
        <w:ind w:left="1307"/>
        <w:spacing w:before="192"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pH</w:t>
      </w:r>
      <w:r>
        <w:rPr>
          <w:rFonts w:ascii="Times New Roman" w:hAnsi="Times New Roman" w:eastAsia="Times New Roman" w:cs="Times New Roman"/>
          <w:sz w:val="15"/>
          <w:szCs w:val="15"/>
          <w:spacing w:val="-2"/>
          <w:position w:val="-1"/>
        </w:rPr>
        <w:t>j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j</w:t>
      </w:r>
      <w:r>
        <w:rPr>
          <w:rFonts w:ascii="Times New Roman" w:hAnsi="Times New Roman" w:eastAsia="Times New Roman" w:cs="Times New Roman"/>
          <w:sz w:val="24"/>
          <w:szCs w:val="24"/>
          <w:spacing w:val="37"/>
          <w:w w:val="101"/>
        </w:rPr>
        <w:t xml:space="preserve"> </w:t>
      </w:r>
      <w:r>
        <w:rPr>
          <w:rFonts w:ascii="FangSong" w:hAnsi="FangSong" w:eastAsia="FangSong" w:cs="FangSong"/>
          <w:sz w:val="24"/>
          <w:szCs w:val="24"/>
          <w:spacing w:val="-2"/>
        </w:rPr>
        <w:t>点</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2"/>
        </w:rPr>
        <w:t>pH</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值监测值；</w:t>
      </w:r>
    </w:p>
    <w:p>
      <w:pPr>
        <w:ind w:left="1307"/>
        <w:spacing w:before="192" w:line="212" w:lineRule="auto"/>
        <w:rPr>
          <w:rFonts w:ascii="FangSong" w:hAnsi="FangSong" w:eastAsia="FangSong" w:cs="FangSong"/>
          <w:sz w:val="24"/>
          <w:szCs w:val="24"/>
        </w:rPr>
      </w:pPr>
      <w:r>
        <w:rPr>
          <w:rFonts w:ascii="Times New Roman" w:hAnsi="Times New Roman" w:eastAsia="Times New Roman" w:cs="Times New Roman"/>
          <w:sz w:val="24"/>
          <w:szCs w:val="24"/>
        </w:rPr>
        <w:t>pH</w:t>
      </w:r>
      <w:r>
        <w:rPr>
          <w:rFonts w:ascii="Times New Roman" w:hAnsi="Times New Roman" w:eastAsia="Times New Roman" w:cs="Times New Roman"/>
          <w:sz w:val="15"/>
          <w:szCs w:val="15"/>
          <w:position w:val="-1"/>
        </w:rPr>
        <w:t>su</w:t>
      </w:r>
      <w:r>
        <w:rPr>
          <w:rFonts w:ascii="Times New Roman" w:hAnsi="Times New Roman" w:eastAsia="Times New Roman" w:cs="Times New Roman"/>
          <w:sz w:val="15"/>
          <w:szCs w:val="15"/>
          <w:spacing w:val="3"/>
          <w:position w:val="-1"/>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水质标准中</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值上限；</w:t>
      </w:r>
    </w:p>
    <w:p>
      <w:pPr>
        <w:ind w:left="1307"/>
        <w:spacing w:before="192" w:line="212" w:lineRule="auto"/>
        <w:rPr>
          <w:rFonts w:ascii="FangSong" w:hAnsi="FangSong" w:eastAsia="FangSong" w:cs="FangSong"/>
          <w:sz w:val="24"/>
          <w:szCs w:val="24"/>
        </w:rPr>
      </w:pPr>
      <w:r>
        <w:rPr>
          <w:rFonts w:ascii="Times New Roman" w:hAnsi="Times New Roman" w:eastAsia="Times New Roman" w:cs="Times New Roman"/>
          <w:sz w:val="24"/>
          <w:szCs w:val="24"/>
        </w:rPr>
        <w:t>pH</w:t>
      </w:r>
      <w:r>
        <w:rPr>
          <w:rFonts w:ascii="Times New Roman" w:hAnsi="Times New Roman" w:eastAsia="Times New Roman" w:cs="Times New Roman"/>
          <w:sz w:val="15"/>
          <w:szCs w:val="15"/>
          <w:position w:val="-1"/>
        </w:rPr>
        <w:t>sd</w:t>
      </w:r>
      <w:r>
        <w:rPr>
          <w:rFonts w:ascii="Times New Roman" w:hAnsi="Times New Roman" w:eastAsia="Times New Roman" w:cs="Times New Roman"/>
          <w:sz w:val="15"/>
          <w:szCs w:val="15"/>
          <w:spacing w:val="3"/>
          <w:position w:val="-1"/>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水质标准中</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3"/>
        </w:rPr>
        <w:t>值下限。</w:t>
      </w:r>
    </w:p>
    <w:p>
      <w:pPr>
        <w:ind w:left="130" w:right="105" w:firstLine="498"/>
        <w:spacing w:before="192" w:line="360" w:lineRule="auto"/>
        <w:rPr>
          <w:rFonts w:ascii="FangSong" w:hAnsi="FangSong" w:eastAsia="FangSong" w:cs="FangSong"/>
          <w:sz w:val="24"/>
          <w:szCs w:val="24"/>
        </w:rPr>
      </w:pPr>
      <w:r>
        <w:rPr>
          <w:rFonts w:ascii="FangSong" w:hAnsi="FangSong" w:eastAsia="FangSong" w:cs="FangSong"/>
          <w:sz w:val="24"/>
          <w:szCs w:val="24"/>
        </w:rPr>
        <w:t>当单项标准指数</w:t>
      </w:r>
      <w:r>
        <w:rPr>
          <w:rFonts w:ascii="Times New Roman" w:hAnsi="Times New Roman" w:eastAsia="Times New Roman" w:cs="Times New Roman"/>
          <w:sz w:val="24"/>
          <w:szCs w:val="24"/>
        </w:rPr>
        <w:t>&gt;1</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rPr>
        <w:t>时，表示该水质参数所表征的污染物已</w:t>
      </w:r>
      <w:r>
        <w:rPr>
          <w:rFonts w:ascii="FangSong" w:hAnsi="FangSong" w:eastAsia="FangSong" w:cs="FangSong"/>
          <w:sz w:val="24"/>
          <w:szCs w:val="24"/>
          <w:spacing w:val="-1"/>
        </w:rPr>
        <w:t>满足不了标准要</w:t>
      </w:r>
      <w:r>
        <w:rPr>
          <w:rFonts w:ascii="FangSong" w:hAnsi="FangSong" w:eastAsia="FangSong" w:cs="FangSong"/>
          <w:sz w:val="24"/>
          <w:szCs w:val="24"/>
          <w:spacing w:val="-2"/>
        </w:rPr>
        <w:t>求，水体已受到污染；反之，则满足标准要求。</w:t>
      </w:r>
    </w:p>
    <w:p>
      <w:pPr>
        <w:ind w:left="1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5.5.4.6</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评价标准</w:t>
      </w:r>
    </w:p>
    <w:p>
      <w:pPr>
        <w:ind w:left="605"/>
        <w:spacing w:before="179" w:line="222" w:lineRule="auto"/>
        <w:rPr>
          <w:rFonts w:ascii="FangSong" w:hAnsi="FangSong" w:eastAsia="FangSong" w:cs="FangSong"/>
          <w:sz w:val="24"/>
          <w:szCs w:val="24"/>
        </w:rPr>
      </w:pPr>
      <w:r>
        <w:rPr>
          <w:rFonts w:ascii="FangSong" w:hAnsi="FangSong" w:eastAsia="FangSong" w:cs="FangSong"/>
          <w:sz w:val="24"/>
          <w:szCs w:val="24"/>
          <w:spacing w:val="-1"/>
        </w:rPr>
        <w:t>采用《地下水质量标准》（</w:t>
      </w:r>
      <w:r>
        <w:rPr>
          <w:rFonts w:ascii="Times New Roman" w:hAnsi="Times New Roman" w:eastAsia="Times New Roman" w:cs="Times New Roman"/>
          <w:sz w:val="24"/>
          <w:szCs w:val="24"/>
          <w:spacing w:val="-1"/>
        </w:rPr>
        <w:t>GB/T14848-20</w:t>
      </w:r>
      <w:r>
        <w:rPr>
          <w:rFonts w:ascii="Times New Roman" w:hAnsi="Times New Roman" w:eastAsia="Times New Roman" w:cs="Times New Roman"/>
          <w:sz w:val="24"/>
          <w:szCs w:val="24"/>
          <w:spacing w:val="-2"/>
        </w:rPr>
        <w:t>17</w:t>
      </w:r>
      <w:r>
        <w:rPr>
          <w:rFonts w:ascii="FangSong" w:hAnsi="FangSong" w:eastAsia="FangSong" w:cs="FangSong"/>
          <w:sz w:val="24"/>
          <w:szCs w:val="24"/>
          <w:spacing w:val="-2"/>
        </w:rPr>
        <w:t>）中的</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III</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类标准。</w:t>
      </w:r>
    </w:p>
    <w:p>
      <w:pPr>
        <w:ind w:left="116"/>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5.5.4.7</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评价结果</w:t>
      </w:r>
    </w:p>
    <w:p>
      <w:pPr>
        <w:ind w:left="604"/>
        <w:spacing w:before="179" w:line="221" w:lineRule="auto"/>
        <w:rPr>
          <w:rFonts w:ascii="FangSong" w:hAnsi="FangSong" w:eastAsia="FangSong" w:cs="FangSong"/>
          <w:sz w:val="24"/>
          <w:szCs w:val="24"/>
        </w:rPr>
      </w:pPr>
      <w:r>
        <w:rPr>
          <w:rFonts w:ascii="FangSong" w:hAnsi="FangSong" w:eastAsia="FangSong" w:cs="FangSong"/>
          <w:sz w:val="24"/>
          <w:szCs w:val="24"/>
          <w:spacing w:val="-2"/>
        </w:rPr>
        <w:t>评价区地下水水质评价结果详见表</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5.5-10</w:t>
      </w:r>
      <w:r>
        <w:rPr>
          <w:rFonts w:ascii="FangSong" w:hAnsi="FangSong" w:eastAsia="FangSong" w:cs="FangSong"/>
          <w:sz w:val="24"/>
          <w:szCs w:val="24"/>
          <w:spacing w:val="-2"/>
        </w:rPr>
        <w:t>。</w:t>
      </w:r>
    </w:p>
    <w:p>
      <w:pPr>
        <w:ind w:left="2554"/>
        <w:spacing w:before="18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5.5-10  </w:t>
      </w:r>
      <w:r>
        <w:rPr>
          <w:rFonts w:ascii="FangSong" w:hAnsi="FangSong" w:eastAsia="FangSong" w:cs="FangSong"/>
          <w:sz w:val="24"/>
          <w:szCs w:val="24"/>
          <w:b/>
          <w:bCs/>
          <w:spacing w:val="-3"/>
        </w:rPr>
        <w:t>地下水现状评价结果表</w:t>
      </w:r>
    </w:p>
    <w:p>
      <w:pPr>
        <w:spacing w:line="65"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3"/>
        <w:gridCol w:w="2291"/>
        <w:gridCol w:w="1778"/>
        <w:gridCol w:w="1778"/>
        <w:gridCol w:w="1779"/>
      </w:tblGrid>
      <w:tr>
        <w:trPr>
          <w:trHeight w:val="348" w:hRule="atLeast"/>
        </w:trPr>
        <w:tc>
          <w:tcPr>
            <w:tcW w:w="893" w:type="dxa"/>
            <w:vAlign w:val="top"/>
            <w:tcBorders>
              <w:left w:val="nil"/>
              <w:top w:val="single" w:color="000000" w:sz="10" w:space="0"/>
            </w:tcBorders>
          </w:tcPr>
          <w:p>
            <w:pPr>
              <w:pStyle w:val="TableText"/>
              <w:ind w:left="248"/>
              <w:spacing w:before="69" w:line="231" w:lineRule="auto"/>
              <w:rPr/>
            </w:pPr>
            <w:r>
              <w:rPr>
                <w:spacing w:val="2"/>
              </w:rPr>
              <w:t>序号</w:t>
            </w:r>
          </w:p>
        </w:tc>
        <w:tc>
          <w:tcPr>
            <w:tcW w:w="2291" w:type="dxa"/>
            <w:vAlign w:val="top"/>
            <w:tcBorders>
              <w:top w:val="single" w:color="000000" w:sz="10" w:space="0"/>
            </w:tcBorders>
          </w:tcPr>
          <w:p>
            <w:pPr>
              <w:pStyle w:val="TableText"/>
              <w:ind w:left="741"/>
              <w:spacing w:before="69" w:line="232" w:lineRule="auto"/>
              <w:rPr/>
            </w:pPr>
            <w:r>
              <w:rPr>
                <w:spacing w:val="4"/>
              </w:rPr>
              <w:t>监测项目</w:t>
            </w:r>
          </w:p>
        </w:tc>
        <w:tc>
          <w:tcPr>
            <w:tcW w:w="1778" w:type="dxa"/>
            <w:vAlign w:val="top"/>
            <w:tcBorders>
              <w:top w:val="single" w:color="000000" w:sz="10" w:space="0"/>
            </w:tcBorders>
          </w:tcPr>
          <w:p>
            <w:pPr>
              <w:ind w:left="75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U1</w:t>
            </w:r>
          </w:p>
        </w:tc>
        <w:tc>
          <w:tcPr>
            <w:tcW w:w="1778" w:type="dxa"/>
            <w:vAlign w:val="top"/>
            <w:tcBorders>
              <w:top w:val="single" w:color="000000" w:sz="10" w:space="0"/>
            </w:tcBorders>
          </w:tcPr>
          <w:p>
            <w:pPr>
              <w:ind w:left="75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w:t>
            </w:r>
          </w:p>
        </w:tc>
        <w:tc>
          <w:tcPr>
            <w:tcW w:w="1779" w:type="dxa"/>
            <w:vAlign w:val="top"/>
            <w:tcBorders>
              <w:right w:val="nil"/>
              <w:top w:val="single" w:color="000000" w:sz="10" w:space="0"/>
            </w:tcBorders>
          </w:tcPr>
          <w:p>
            <w:pPr>
              <w:ind w:left="75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U3</w:t>
            </w:r>
          </w:p>
        </w:tc>
      </w:tr>
      <w:tr>
        <w:trPr>
          <w:trHeight w:val="344" w:hRule="atLeast"/>
        </w:trPr>
        <w:tc>
          <w:tcPr>
            <w:tcW w:w="893" w:type="dxa"/>
            <w:vAlign w:val="top"/>
            <w:tcBorders>
              <w:left w:val="nil"/>
            </w:tcBorders>
          </w:tcPr>
          <w:p>
            <w:pPr>
              <w:ind w:left="41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91" w:type="dxa"/>
            <w:vAlign w:val="top"/>
          </w:tcPr>
          <w:p>
            <w:pPr>
              <w:ind w:left="1014"/>
              <w:spacing w:before="106"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1778" w:type="dxa"/>
            <w:vAlign w:val="top"/>
          </w:tcPr>
          <w:p>
            <w:pPr>
              <w:ind w:left="70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0.53</w:t>
            </w:r>
          </w:p>
        </w:tc>
        <w:tc>
          <w:tcPr>
            <w:tcW w:w="1778" w:type="dxa"/>
            <w:vAlign w:val="top"/>
          </w:tcPr>
          <w:p>
            <w:pPr>
              <w:ind w:left="70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0.60</w:t>
            </w:r>
          </w:p>
        </w:tc>
        <w:tc>
          <w:tcPr>
            <w:tcW w:w="1779" w:type="dxa"/>
            <w:vAlign w:val="top"/>
            <w:tcBorders>
              <w:right w:val="nil"/>
            </w:tcBorders>
          </w:tcPr>
          <w:p>
            <w:pPr>
              <w:ind w:left="70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0.47</w:t>
            </w:r>
          </w:p>
        </w:tc>
      </w:tr>
      <w:tr>
        <w:trPr>
          <w:trHeight w:val="344" w:hRule="atLeast"/>
        </w:trPr>
        <w:tc>
          <w:tcPr>
            <w:tcW w:w="893" w:type="dxa"/>
            <w:vAlign w:val="top"/>
            <w:tcBorders>
              <w:left w:val="nil"/>
            </w:tcBorders>
          </w:tcPr>
          <w:p>
            <w:pPr>
              <w:ind w:left="39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91" w:type="dxa"/>
            <w:vAlign w:val="top"/>
          </w:tcPr>
          <w:p>
            <w:pPr>
              <w:pStyle w:val="TableText"/>
              <w:ind w:left="850"/>
              <w:spacing w:before="68" w:line="232" w:lineRule="auto"/>
              <w:rPr/>
            </w:pPr>
            <w:r>
              <w:rPr>
                <w:spacing w:val="2"/>
              </w:rPr>
              <w:t>总硬度</w:t>
            </w:r>
          </w:p>
        </w:tc>
        <w:tc>
          <w:tcPr>
            <w:tcW w:w="1778" w:type="dxa"/>
            <w:vAlign w:val="top"/>
          </w:tcPr>
          <w:p>
            <w:pPr>
              <w:ind w:left="70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0.78</w:t>
            </w:r>
          </w:p>
        </w:tc>
        <w:tc>
          <w:tcPr>
            <w:shd w:val="clear" w:fill="FFFF00"/>
            <w:tcW w:w="1778" w:type="dxa"/>
            <w:vAlign w:val="top"/>
          </w:tcPr>
          <w:p>
            <w:pPr>
              <w:ind w:left="72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1.36</w:t>
            </w:r>
          </w:p>
        </w:tc>
        <w:tc>
          <w:tcPr>
            <w:shd w:val="clear" w:fill="FFFF00"/>
            <w:tcW w:w="1779" w:type="dxa"/>
            <w:vAlign w:val="top"/>
            <w:tcBorders>
              <w:right w:val="nil"/>
            </w:tcBorders>
          </w:tcPr>
          <w:p>
            <w:pPr>
              <w:ind w:left="72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r>
      <w:tr>
        <w:trPr>
          <w:trHeight w:val="344" w:hRule="atLeast"/>
        </w:trPr>
        <w:tc>
          <w:tcPr>
            <w:tcW w:w="893" w:type="dxa"/>
            <w:vAlign w:val="top"/>
            <w:tcBorders>
              <w:left w:val="nil"/>
            </w:tcBorders>
          </w:tcPr>
          <w:p>
            <w:pPr>
              <w:ind w:left="40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91" w:type="dxa"/>
            <w:vAlign w:val="top"/>
          </w:tcPr>
          <w:p>
            <w:pPr>
              <w:pStyle w:val="TableText"/>
              <w:ind w:left="639"/>
              <w:spacing w:before="70" w:line="231" w:lineRule="auto"/>
              <w:rPr/>
            </w:pPr>
            <w:r>
              <w:rPr>
                <w:spacing w:val="5"/>
              </w:rPr>
              <w:t>总大肠菌群</w:t>
            </w:r>
          </w:p>
        </w:tc>
        <w:tc>
          <w:tcPr>
            <w:tcW w:w="1778" w:type="dxa"/>
            <w:vAlign w:val="top"/>
          </w:tcPr>
          <w:p>
            <w:pPr>
              <w:ind w:left="70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0.67</w:t>
            </w:r>
          </w:p>
        </w:tc>
        <w:tc>
          <w:tcPr>
            <w:tcW w:w="1778" w:type="dxa"/>
            <w:vAlign w:val="top"/>
          </w:tcPr>
          <w:p>
            <w:pPr>
              <w:ind w:left="70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0.67</w:t>
            </w:r>
          </w:p>
        </w:tc>
        <w:tc>
          <w:tcPr>
            <w:tcW w:w="1779" w:type="dxa"/>
            <w:vAlign w:val="top"/>
            <w:tcBorders>
              <w:right w:val="nil"/>
            </w:tcBorders>
          </w:tcPr>
          <w:p>
            <w:pPr>
              <w:ind w:left="70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0.67</w:t>
            </w:r>
          </w:p>
        </w:tc>
      </w:tr>
      <w:tr>
        <w:trPr>
          <w:trHeight w:val="344" w:hRule="atLeast"/>
        </w:trPr>
        <w:tc>
          <w:tcPr>
            <w:tcW w:w="893" w:type="dxa"/>
            <w:vAlign w:val="top"/>
            <w:tcBorders>
              <w:left w:val="nil"/>
            </w:tcBorders>
          </w:tcPr>
          <w:p>
            <w:pPr>
              <w:ind w:left="39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291" w:type="dxa"/>
            <w:vAlign w:val="top"/>
          </w:tcPr>
          <w:p>
            <w:pPr>
              <w:pStyle w:val="TableText"/>
              <w:ind w:left="740"/>
              <w:spacing w:before="68" w:line="232" w:lineRule="auto"/>
              <w:rPr/>
            </w:pPr>
            <w:r>
              <w:rPr>
                <w:spacing w:val="4"/>
              </w:rPr>
              <w:t>菌落总数</w:t>
            </w:r>
          </w:p>
        </w:tc>
        <w:tc>
          <w:tcPr>
            <w:tcW w:w="1778" w:type="dxa"/>
            <w:vAlign w:val="top"/>
          </w:tcPr>
          <w:p>
            <w:pPr>
              <w:ind w:left="70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0.87</w:t>
            </w:r>
          </w:p>
        </w:tc>
        <w:tc>
          <w:tcPr>
            <w:tcW w:w="1778" w:type="dxa"/>
            <w:vAlign w:val="top"/>
          </w:tcPr>
          <w:p>
            <w:pPr>
              <w:ind w:left="70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0.41</w:t>
            </w:r>
          </w:p>
        </w:tc>
        <w:tc>
          <w:tcPr>
            <w:tcW w:w="1779" w:type="dxa"/>
            <w:vAlign w:val="top"/>
            <w:tcBorders>
              <w:right w:val="nil"/>
            </w:tcBorders>
          </w:tcPr>
          <w:p>
            <w:pPr>
              <w:ind w:left="70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0.56</w:t>
            </w:r>
          </w:p>
        </w:tc>
      </w:tr>
      <w:tr>
        <w:trPr>
          <w:trHeight w:val="344" w:hRule="atLeast"/>
        </w:trPr>
        <w:tc>
          <w:tcPr>
            <w:tcW w:w="893" w:type="dxa"/>
            <w:vAlign w:val="top"/>
            <w:tcBorders>
              <w:left w:val="nil"/>
            </w:tcBorders>
          </w:tcPr>
          <w:p>
            <w:pPr>
              <w:ind w:left="403"/>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91" w:type="dxa"/>
            <w:vAlign w:val="top"/>
          </w:tcPr>
          <w:p>
            <w:pPr>
              <w:pStyle w:val="TableText"/>
              <w:ind w:left="526"/>
              <w:spacing w:before="70" w:line="229" w:lineRule="auto"/>
              <w:rPr/>
            </w:pPr>
            <w:r>
              <w:rPr>
                <w:spacing w:val="7"/>
              </w:rPr>
              <w:t>溶解性总固体</w:t>
            </w:r>
          </w:p>
        </w:tc>
        <w:tc>
          <w:tcPr>
            <w:tcW w:w="1778" w:type="dxa"/>
            <w:vAlign w:val="top"/>
          </w:tcPr>
          <w:p>
            <w:pPr>
              <w:ind w:left="70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0.81</w:t>
            </w:r>
          </w:p>
        </w:tc>
        <w:tc>
          <w:tcPr>
            <w:shd w:val="clear" w:fill="FFFF00"/>
            <w:tcW w:w="1778" w:type="dxa"/>
            <w:vAlign w:val="top"/>
          </w:tcPr>
          <w:p>
            <w:pPr>
              <w:ind w:left="72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8"/>
              </w:rPr>
              <w:t>14</w:t>
            </w:r>
          </w:p>
        </w:tc>
        <w:tc>
          <w:tcPr>
            <w:tcW w:w="1779" w:type="dxa"/>
            <w:vAlign w:val="top"/>
            <w:tcBorders>
              <w:right w:val="nil"/>
            </w:tcBorders>
          </w:tcPr>
          <w:p>
            <w:pPr>
              <w:ind w:left="70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0.89</w:t>
            </w:r>
          </w:p>
        </w:tc>
      </w:tr>
      <w:tr>
        <w:trPr>
          <w:trHeight w:val="344" w:hRule="atLeast"/>
        </w:trPr>
        <w:tc>
          <w:tcPr>
            <w:tcW w:w="893" w:type="dxa"/>
            <w:vAlign w:val="top"/>
            <w:tcBorders>
              <w:left w:val="nil"/>
            </w:tcBorders>
          </w:tcPr>
          <w:p>
            <w:pPr>
              <w:ind w:left="40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91" w:type="dxa"/>
            <w:vAlign w:val="top"/>
          </w:tcPr>
          <w:p>
            <w:pPr>
              <w:pStyle w:val="TableText"/>
              <w:ind w:left="533"/>
              <w:spacing w:before="71" w:line="232" w:lineRule="auto"/>
              <w:rPr/>
            </w:pPr>
            <w:r>
              <w:rPr>
                <w:spacing w:val="6"/>
              </w:rPr>
              <w:t>高锰酸盐指数</w:t>
            </w:r>
          </w:p>
        </w:tc>
        <w:tc>
          <w:tcPr>
            <w:shd w:val="clear" w:fill="FFFF00"/>
            <w:tcW w:w="1778" w:type="dxa"/>
            <w:vAlign w:val="top"/>
          </w:tcPr>
          <w:p>
            <w:pPr>
              <w:ind w:left="725"/>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1.27</w:t>
            </w:r>
          </w:p>
        </w:tc>
        <w:tc>
          <w:tcPr>
            <w:shd w:val="clear" w:fill="FFFF00"/>
            <w:tcW w:w="1778" w:type="dxa"/>
            <w:vAlign w:val="top"/>
          </w:tcPr>
          <w:p>
            <w:pPr>
              <w:ind w:left="72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1.40</w:t>
            </w:r>
          </w:p>
        </w:tc>
        <w:tc>
          <w:tcPr>
            <w:tcW w:w="1779" w:type="dxa"/>
            <w:vAlign w:val="top"/>
            <w:tcBorders>
              <w:right w:val="nil"/>
            </w:tcBorders>
          </w:tcPr>
          <w:p>
            <w:pPr>
              <w:ind w:left="70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0.33</w:t>
            </w:r>
          </w:p>
        </w:tc>
      </w:tr>
      <w:tr>
        <w:trPr>
          <w:trHeight w:val="344" w:hRule="atLeast"/>
        </w:trPr>
        <w:tc>
          <w:tcPr>
            <w:tcW w:w="893" w:type="dxa"/>
            <w:vAlign w:val="top"/>
            <w:tcBorders>
              <w:left w:val="nil"/>
            </w:tcBorders>
          </w:tcPr>
          <w:p>
            <w:pPr>
              <w:ind w:left="401"/>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91" w:type="dxa"/>
            <w:vAlign w:val="top"/>
          </w:tcPr>
          <w:p>
            <w:pPr>
              <w:ind w:left="844"/>
              <w:spacing w:before="112"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shd w:val="clear" w:fill="FFFF00"/>
            <w:tcW w:w="1778" w:type="dxa"/>
            <w:vAlign w:val="top"/>
          </w:tcPr>
          <w:p>
            <w:pPr>
              <w:ind w:left="653"/>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21.60</w:t>
            </w:r>
          </w:p>
        </w:tc>
        <w:tc>
          <w:tcPr>
            <w:shd w:val="clear" w:fill="FFFF00"/>
            <w:tcW w:w="1778" w:type="dxa"/>
            <w:vAlign w:val="top"/>
          </w:tcPr>
          <w:p>
            <w:pPr>
              <w:ind w:left="72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shd w:val="clear" w:fill="FFFF00"/>
            <w:tcW w:w="1779" w:type="dxa"/>
            <w:vAlign w:val="top"/>
            <w:tcBorders>
              <w:right w:val="nil"/>
            </w:tcBorders>
          </w:tcPr>
          <w:p>
            <w:pPr>
              <w:ind w:left="72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1.21</w:t>
            </w:r>
          </w:p>
        </w:tc>
      </w:tr>
      <w:tr>
        <w:trPr>
          <w:trHeight w:val="344" w:hRule="atLeast"/>
        </w:trPr>
        <w:tc>
          <w:tcPr>
            <w:tcW w:w="893" w:type="dxa"/>
            <w:vAlign w:val="top"/>
            <w:tcBorders>
              <w:left w:val="nil"/>
            </w:tcBorders>
          </w:tcPr>
          <w:p>
            <w:pPr>
              <w:ind w:left="40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91" w:type="dxa"/>
            <w:vAlign w:val="top"/>
          </w:tcPr>
          <w:p>
            <w:pPr>
              <w:pStyle w:val="TableText"/>
              <w:ind w:left="735"/>
              <w:spacing w:before="74" w:line="228" w:lineRule="auto"/>
              <w:rPr/>
            </w:pPr>
            <w:r>
              <w:rPr>
                <w:spacing w:val="5"/>
              </w:rPr>
              <w:t>硝酸盐氮</w:t>
            </w:r>
          </w:p>
        </w:tc>
        <w:tc>
          <w:tcPr>
            <w:tcW w:w="1778" w:type="dxa"/>
            <w:vAlign w:val="top"/>
          </w:tcPr>
          <w:p>
            <w:pPr>
              <w:ind w:left="70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1778" w:type="dxa"/>
            <w:vAlign w:val="top"/>
          </w:tcPr>
          <w:p>
            <w:pPr>
              <w:ind w:left="70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1779" w:type="dxa"/>
            <w:vAlign w:val="top"/>
            <w:tcBorders>
              <w:right w:val="nil"/>
            </w:tcBorders>
          </w:tcPr>
          <w:p>
            <w:pPr>
              <w:ind w:left="70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r>
      <w:tr>
        <w:trPr>
          <w:trHeight w:val="344" w:hRule="atLeast"/>
        </w:trPr>
        <w:tc>
          <w:tcPr>
            <w:tcW w:w="893" w:type="dxa"/>
            <w:vAlign w:val="top"/>
            <w:tcBorders>
              <w:left w:val="nil"/>
            </w:tcBorders>
          </w:tcPr>
          <w:p>
            <w:pPr>
              <w:ind w:left="401"/>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91" w:type="dxa"/>
            <w:vAlign w:val="top"/>
          </w:tcPr>
          <w:p>
            <w:pPr>
              <w:pStyle w:val="TableText"/>
              <w:ind w:left="633"/>
              <w:spacing w:before="76" w:line="228" w:lineRule="auto"/>
              <w:rPr/>
            </w:pPr>
            <w:r>
              <w:rPr>
                <w:spacing w:val="6"/>
              </w:rPr>
              <w:t>亚硝酸盐氮</w:t>
            </w:r>
          </w:p>
        </w:tc>
        <w:tc>
          <w:tcPr>
            <w:tcW w:w="1778" w:type="dxa"/>
            <w:vAlign w:val="top"/>
          </w:tcPr>
          <w:p>
            <w:pPr>
              <w:ind w:left="70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778" w:type="dxa"/>
            <w:vAlign w:val="top"/>
          </w:tcPr>
          <w:p>
            <w:pPr>
              <w:ind w:left="70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779" w:type="dxa"/>
            <w:vAlign w:val="top"/>
            <w:tcBorders>
              <w:right w:val="nil"/>
            </w:tcBorders>
          </w:tcPr>
          <w:p>
            <w:pPr>
              <w:ind w:left="70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r>
      <w:tr>
        <w:trPr>
          <w:trHeight w:val="344" w:hRule="atLeast"/>
        </w:trPr>
        <w:tc>
          <w:tcPr>
            <w:tcW w:w="893" w:type="dxa"/>
            <w:vAlign w:val="top"/>
            <w:tcBorders>
              <w:left w:val="nil"/>
            </w:tcBorders>
          </w:tcPr>
          <w:p>
            <w:pPr>
              <w:ind w:left="365"/>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291" w:type="dxa"/>
            <w:vAlign w:val="top"/>
          </w:tcPr>
          <w:p>
            <w:pPr>
              <w:pStyle w:val="TableText"/>
              <w:ind w:left="843"/>
              <w:spacing w:before="75" w:line="231" w:lineRule="auto"/>
              <w:rPr/>
            </w:pPr>
            <w:r>
              <w:rPr>
                <w:spacing w:val="4"/>
              </w:rPr>
              <w:t>挥发酚</w:t>
            </w:r>
          </w:p>
        </w:tc>
        <w:tc>
          <w:tcPr>
            <w:tcW w:w="1778" w:type="dxa"/>
            <w:vAlign w:val="top"/>
          </w:tcPr>
          <w:p>
            <w:pPr>
              <w:ind w:left="70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778" w:type="dxa"/>
            <w:vAlign w:val="top"/>
          </w:tcPr>
          <w:p>
            <w:pPr>
              <w:ind w:left="70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779" w:type="dxa"/>
            <w:vAlign w:val="top"/>
            <w:tcBorders>
              <w:right w:val="nil"/>
            </w:tcBorders>
          </w:tcPr>
          <w:p>
            <w:pPr>
              <w:ind w:left="70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r>
      <w:tr>
        <w:trPr>
          <w:trHeight w:val="344" w:hRule="atLeast"/>
        </w:trPr>
        <w:tc>
          <w:tcPr>
            <w:tcW w:w="893" w:type="dxa"/>
            <w:vAlign w:val="top"/>
            <w:tcBorders>
              <w:left w:val="nil"/>
            </w:tcBorders>
          </w:tcPr>
          <w:p>
            <w:pPr>
              <w:ind w:left="370"/>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291" w:type="dxa"/>
            <w:vAlign w:val="top"/>
          </w:tcPr>
          <w:p>
            <w:pPr>
              <w:pStyle w:val="TableText"/>
              <w:ind w:left="851"/>
              <w:spacing w:before="77" w:line="229" w:lineRule="auto"/>
              <w:rPr/>
            </w:pPr>
            <w:r>
              <w:rPr>
                <w:spacing w:val="1"/>
              </w:rPr>
              <w:t>氰化物</w:t>
            </w:r>
          </w:p>
        </w:tc>
        <w:tc>
          <w:tcPr>
            <w:tcW w:w="1778" w:type="dxa"/>
            <w:vAlign w:val="top"/>
          </w:tcPr>
          <w:p>
            <w:pPr>
              <w:ind w:left="70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778" w:type="dxa"/>
            <w:vAlign w:val="top"/>
          </w:tcPr>
          <w:p>
            <w:pPr>
              <w:ind w:left="70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779" w:type="dxa"/>
            <w:vAlign w:val="top"/>
            <w:tcBorders>
              <w:right w:val="nil"/>
            </w:tcBorders>
          </w:tcPr>
          <w:p>
            <w:pPr>
              <w:ind w:left="709"/>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r>
      <w:tr>
        <w:trPr>
          <w:trHeight w:val="344" w:hRule="atLeast"/>
        </w:trPr>
        <w:tc>
          <w:tcPr>
            <w:tcW w:w="893" w:type="dxa"/>
            <w:vAlign w:val="top"/>
            <w:tcBorders>
              <w:left w:val="nil"/>
            </w:tcBorders>
          </w:tcPr>
          <w:p>
            <w:pPr>
              <w:ind w:left="365"/>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291" w:type="dxa"/>
            <w:vAlign w:val="top"/>
          </w:tcPr>
          <w:p>
            <w:pPr>
              <w:pStyle w:val="TableText"/>
              <w:ind w:left="1050"/>
              <w:spacing w:before="77" w:line="229" w:lineRule="auto"/>
              <w:rPr/>
            </w:pPr>
            <w:r>
              <w:rPr/>
              <w:t>砷</w:t>
            </w:r>
          </w:p>
        </w:tc>
        <w:tc>
          <w:tcPr>
            <w:tcW w:w="1778" w:type="dxa"/>
            <w:vAlign w:val="top"/>
          </w:tcPr>
          <w:p>
            <w:pPr>
              <w:ind w:left="70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w:t>
            </w:r>
          </w:p>
        </w:tc>
        <w:tc>
          <w:tcPr>
            <w:tcW w:w="1778" w:type="dxa"/>
            <w:vAlign w:val="top"/>
          </w:tcPr>
          <w:p>
            <w:pPr>
              <w:ind w:left="70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0.16</w:t>
            </w:r>
          </w:p>
        </w:tc>
        <w:tc>
          <w:tcPr>
            <w:tcW w:w="1779" w:type="dxa"/>
            <w:vAlign w:val="top"/>
            <w:tcBorders>
              <w:right w:val="nil"/>
            </w:tcBorders>
          </w:tcPr>
          <w:p>
            <w:pPr>
              <w:ind w:left="709"/>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0.24</w:t>
            </w:r>
          </w:p>
        </w:tc>
      </w:tr>
      <w:tr>
        <w:trPr>
          <w:trHeight w:val="344" w:hRule="atLeast"/>
        </w:trPr>
        <w:tc>
          <w:tcPr>
            <w:tcW w:w="893" w:type="dxa"/>
            <w:vAlign w:val="top"/>
            <w:tcBorders>
              <w:left w:val="nil"/>
            </w:tcBorders>
          </w:tcPr>
          <w:p>
            <w:pPr>
              <w:ind w:left="365"/>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291" w:type="dxa"/>
            <w:vAlign w:val="top"/>
          </w:tcPr>
          <w:p>
            <w:pPr>
              <w:pStyle w:val="TableText"/>
              <w:ind w:left="1051"/>
              <w:spacing w:before="79" w:line="232" w:lineRule="auto"/>
              <w:rPr/>
            </w:pPr>
            <w:r>
              <w:rPr/>
              <w:t>汞</w:t>
            </w:r>
          </w:p>
        </w:tc>
        <w:tc>
          <w:tcPr>
            <w:tcW w:w="1778" w:type="dxa"/>
            <w:vAlign w:val="top"/>
          </w:tcPr>
          <w:p>
            <w:pPr>
              <w:ind w:left="709"/>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1778" w:type="dxa"/>
            <w:vAlign w:val="top"/>
          </w:tcPr>
          <w:p>
            <w:pPr>
              <w:ind w:left="709"/>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1779" w:type="dxa"/>
            <w:vAlign w:val="top"/>
            <w:tcBorders>
              <w:right w:val="nil"/>
            </w:tcBorders>
          </w:tcPr>
          <w:p>
            <w:pPr>
              <w:ind w:left="709"/>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r>
      <w:tr>
        <w:trPr>
          <w:trHeight w:val="344" w:hRule="atLeast"/>
        </w:trPr>
        <w:tc>
          <w:tcPr>
            <w:tcW w:w="893" w:type="dxa"/>
            <w:vAlign w:val="top"/>
            <w:tcBorders>
              <w:left w:val="nil"/>
            </w:tcBorders>
          </w:tcPr>
          <w:p>
            <w:pPr>
              <w:ind w:left="365"/>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291" w:type="dxa"/>
            <w:vAlign w:val="top"/>
          </w:tcPr>
          <w:p>
            <w:pPr>
              <w:pStyle w:val="TableText"/>
              <w:ind w:left="843"/>
              <w:spacing w:before="80" w:line="230" w:lineRule="auto"/>
              <w:rPr/>
            </w:pPr>
            <w:r>
              <w:rPr>
                <w:spacing w:val="4"/>
              </w:rPr>
              <w:t>六价铬</w:t>
            </w:r>
          </w:p>
        </w:tc>
        <w:tc>
          <w:tcPr>
            <w:tcW w:w="1778" w:type="dxa"/>
            <w:vAlign w:val="top"/>
          </w:tcPr>
          <w:p>
            <w:pPr>
              <w:ind w:left="709"/>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778" w:type="dxa"/>
            <w:vAlign w:val="top"/>
          </w:tcPr>
          <w:p>
            <w:pPr>
              <w:ind w:left="709"/>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779" w:type="dxa"/>
            <w:vAlign w:val="top"/>
            <w:tcBorders>
              <w:right w:val="nil"/>
            </w:tcBorders>
          </w:tcPr>
          <w:p>
            <w:pPr>
              <w:ind w:left="709"/>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r>
      <w:tr>
        <w:trPr>
          <w:trHeight w:val="344" w:hRule="atLeast"/>
        </w:trPr>
        <w:tc>
          <w:tcPr>
            <w:tcW w:w="893" w:type="dxa"/>
            <w:vAlign w:val="top"/>
            <w:tcBorders>
              <w:left w:val="nil"/>
            </w:tcBorders>
          </w:tcPr>
          <w:p>
            <w:pPr>
              <w:ind w:left="365"/>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291" w:type="dxa"/>
            <w:vAlign w:val="top"/>
          </w:tcPr>
          <w:p>
            <w:pPr>
              <w:pStyle w:val="TableText"/>
              <w:ind w:left="1049"/>
              <w:spacing w:before="82" w:line="231" w:lineRule="auto"/>
              <w:rPr/>
            </w:pPr>
            <w:r>
              <w:rPr/>
              <w:t>铅</w:t>
            </w:r>
          </w:p>
        </w:tc>
        <w:tc>
          <w:tcPr>
            <w:tcW w:w="1778" w:type="dxa"/>
            <w:vAlign w:val="top"/>
          </w:tcPr>
          <w:p>
            <w:pPr>
              <w:ind w:left="725"/>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1.00</w:t>
            </w:r>
          </w:p>
        </w:tc>
        <w:tc>
          <w:tcPr>
            <w:tcW w:w="1778" w:type="dxa"/>
            <w:vAlign w:val="top"/>
          </w:tcPr>
          <w:p>
            <w:pPr>
              <w:ind w:left="726"/>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1.00</w:t>
            </w:r>
          </w:p>
        </w:tc>
        <w:tc>
          <w:tcPr>
            <w:tcW w:w="1779" w:type="dxa"/>
            <w:vAlign w:val="top"/>
            <w:tcBorders>
              <w:right w:val="nil"/>
            </w:tcBorders>
          </w:tcPr>
          <w:p>
            <w:pPr>
              <w:ind w:left="726"/>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1.00</w:t>
            </w:r>
          </w:p>
        </w:tc>
      </w:tr>
      <w:tr>
        <w:trPr>
          <w:trHeight w:val="344" w:hRule="atLeast"/>
        </w:trPr>
        <w:tc>
          <w:tcPr>
            <w:tcW w:w="893" w:type="dxa"/>
            <w:vAlign w:val="top"/>
            <w:tcBorders>
              <w:left w:val="nil"/>
            </w:tcBorders>
          </w:tcPr>
          <w:p>
            <w:pPr>
              <w:ind w:left="36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291" w:type="dxa"/>
            <w:vAlign w:val="top"/>
          </w:tcPr>
          <w:p>
            <w:pPr>
              <w:pStyle w:val="TableText"/>
              <w:ind w:left="847"/>
              <w:spacing w:before="81" w:line="229" w:lineRule="auto"/>
              <w:rPr/>
            </w:pPr>
            <w:r>
              <w:rPr>
                <w:spacing w:val="3"/>
              </w:rPr>
              <w:t>氟化物</w:t>
            </w:r>
          </w:p>
        </w:tc>
        <w:tc>
          <w:tcPr>
            <w:shd w:val="clear" w:fill="FFFF00"/>
            <w:tcW w:w="1778" w:type="dxa"/>
            <w:vAlign w:val="top"/>
          </w:tcPr>
          <w:p>
            <w:pPr>
              <w:ind w:left="704"/>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4.38</w:t>
            </w:r>
          </w:p>
        </w:tc>
        <w:tc>
          <w:tcPr>
            <w:shd w:val="clear" w:fill="FFFF00"/>
            <w:tcW w:w="1778" w:type="dxa"/>
            <w:vAlign w:val="top"/>
          </w:tcPr>
          <w:p>
            <w:pPr>
              <w:ind w:left="70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4.98</w:t>
            </w:r>
          </w:p>
        </w:tc>
        <w:tc>
          <w:tcPr>
            <w:shd w:val="clear" w:fill="FFFF00"/>
            <w:tcW w:w="1779" w:type="dxa"/>
            <w:vAlign w:val="top"/>
            <w:tcBorders>
              <w:right w:val="nil"/>
            </w:tcBorders>
          </w:tcPr>
          <w:p>
            <w:pPr>
              <w:ind w:left="705"/>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4.52</w:t>
            </w:r>
          </w:p>
        </w:tc>
      </w:tr>
      <w:tr>
        <w:trPr>
          <w:trHeight w:val="344" w:hRule="atLeast"/>
        </w:trPr>
        <w:tc>
          <w:tcPr>
            <w:tcW w:w="893" w:type="dxa"/>
            <w:vAlign w:val="top"/>
            <w:tcBorders>
              <w:left w:val="nil"/>
            </w:tcBorders>
          </w:tcPr>
          <w:p>
            <w:pPr>
              <w:ind w:left="365"/>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291" w:type="dxa"/>
            <w:vAlign w:val="top"/>
          </w:tcPr>
          <w:p>
            <w:pPr>
              <w:pStyle w:val="TableText"/>
              <w:ind w:left="1051"/>
              <w:spacing w:before="82" w:line="232" w:lineRule="auto"/>
              <w:rPr/>
            </w:pPr>
            <w:r>
              <w:rPr/>
              <w:t>镉</w:t>
            </w:r>
          </w:p>
        </w:tc>
        <w:tc>
          <w:tcPr>
            <w:tcW w:w="1778" w:type="dxa"/>
            <w:vAlign w:val="top"/>
          </w:tcPr>
          <w:p>
            <w:pPr>
              <w:ind w:left="70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0.20</w:t>
            </w:r>
          </w:p>
        </w:tc>
        <w:tc>
          <w:tcPr>
            <w:tcW w:w="1778" w:type="dxa"/>
            <w:vAlign w:val="top"/>
          </w:tcPr>
          <w:p>
            <w:pPr>
              <w:ind w:left="70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0.20</w:t>
            </w:r>
          </w:p>
        </w:tc>
        <w:tc>
          <w:tcPr>
            <w:tcW w:w="1779" w:type="dxa"/>
            <w:vAlign w:val="top"/>
            <w:tcBorders>
              <w:right w:val="nil"/>
            </w:tcBorders>
          </w:tcPr>
          <w:p>
            <w:pPr>
              <w:ind w:left="70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0.20</w:t>
            </w:r>
          </w:p>
        </w:tc>
      </w:tr>
      <w:tr>
        <w:trPr>
          <w:trHeight w:val="344" w:hRule="atLeast"/>
        </w:trPr>
        <w:tc>
          <w:tcPr>
            <w:tcW w:w="893" w:type="dxa"/>
            <w:vAlign w:val="top"/>
            <w:tcBorders>
              <w:left w:val="nil"/>
            </w:tcBorders>
          </w:tcPr>
          <w:p>
            <w:pPr>
              <w:ind w:left="365"/>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291" w:type="dxa"/>
            <w:vAlign w:val="top"/>
          </w:tcPr>
          <w:p>
            <w:pPr>
              <w:pStyle w:val="TableText"/>
              <w:ind w:left="1052"/>
              <w:spacing w:before="83" w:line="231" w:lineRule="auto"/>
              <w:rPr/>
            </w:pPr>
            <w:r>
              <w:rPr/>
              <w:t>铁</w:t>
            </w:r>
          </w:p>
        </w:tc>
        <w:tc>
          <w:tcPr>
            <w:tcW w:w="1778" w:type="dxa"/>
            <w:vAlign w:val="top"/>
          </w:tcPr>
          <w:p>
            <w:pPr>
              <w:ind w:left="70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c>
          <w:tcPr>
            <w:tcW w:w="1778" w:type="dxa"/>
            <w:vAlign w:val="top"/>
          </w:tcPr>
          <w:p>
            <w:pPr>
              <w:ind w:left="70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c>
          <w:tcPr>
            <w:tcW w:w="1779" w:type="dxa"/>
            <w:vAlign w:val="top"/>
            <w:tcBorders>
              <w:right w:val="nil"/>
            </w:tcBorders>
          </w:tcPr>
          <w:p>
            <w:pPr>
              <w:ind w:left="70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r>
      <w:tr>
        <w:trPr>
          <w:trHeight w:val="344" w:hRule="atLeast"/>
        </w:trPr>
        <w:tc>
          <w:tcPr>
            <w:tcW w:w="893" w:type="dxa"/>
            <w:vAlign w:val="top"/>
            <w:tcBorders>
              <w:left w:val="nil"/>
            </w:tcBorders>
          </w:tcPr>
          <w:p>
            <w:pPr>
              <w:ind w:left="365"/>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291" w:type="dxa"/>
            <w:vAlign w:val="top"/>
          </w:tcPr>
          <w:p>
            <w:pPr>
              <w:pStyle w:val="TableText"/>
              <w:ind w:left="1050"/>
              <w:spacing w:before="85" w:line="229" w:lineRule="auto"/>
              <w:rPr/>
            </w:pPr>
            <w:r>
              <w:rPr/>
              <w:t>锰</w:t>
            </w:r>
          </w:p>
        </w:tc>
        <w:tc>
          <w:tcPr>
            <w:shd w:val="clear" w:fill="FFFF00"/>
            <w:tcW w:w="1778" w:type="dxa"/>
            <w:vAlign w:val="top"/>
          </w:tcPr>
          <w:p>
            <w:pPr>
              <w:ind w:left="704"/>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4.50</w:t>
            </w:r>
          </w:p>
        </w:tc>
        <w:tc>
          <w:tcPr>
            <w:tcW w:w="1778" w:type="dxa"/>
            <w:vAlign w:val="top"/>
          </w:tcPr>
          <w:p>
            <w:pPr>
              <w:ind w:left="709"/>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c>
          <w:tcPr>
            <w:tcW w:w="1779" w:type="dxa"/>
            <w:vAlign w:val="top"/>
            <w:tcBorders>
              <w:right w:val="nil"/>
            </w:tcBorders>
          </w:tcPr>
          <w:p>
            <w:pPr>
              <w:ind w:left="709"/>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0.50</w:t>
            </w:r>
          </w:p>
        </w:tc>
      </w:tr>
      <w:tr>
        <w:trPr>
          <w:trHeight w:val="344" w:hRule="atLeast"/>
        </w:trPr>
        <w:tc>
          <w:tcPr>
            <w:tcW w:w="893" w:type="dxa"/>
            <w:vAlign w:val="top"/>
            <w:tcBorders>
              <w:left w:val="nil"/>
            </w:tcBorders>
          </w:tcPr>
          <w:p>
            <w:pPr>
              <w:ind w:left="345"/>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291" w:type="dxa"/>
            <w:vAlign w:val="top"/>
          </w:tcPr>
          <w:p>
            <w:pPr>
              <w:pStyle w:val="TableText"/>
              <w:ind w:left="1051"/>
              <w:spacing w:before="86" w:line="228" w:lineRule="auto"/>
              <w:rPr/>
            </w:pPr>
            <w:r>
              <w:rPr/>
              <w:t>铜</w:t>
            </w:r>
          </w:p>
        </w:tc>
        <w:tc>
          <w:tcPr>
            <w:tcW w:w="1778" w:type="dxa"/>
            <w:vAlign w:val="top"/>
          </w:tcPr>
          <w:p>
            <w:pPr>
              <w:ind w:left="70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8" w:type="dxa"/>
            <w:vAlign w:val="top"/>
          </w:tcPr>
          <w:p>
            <w:pPr>
              <w:ind w:left="70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9" w:type="dxa"/>
            <w:vAlign w:val="top"/>
            <w:tcBorders>
              <w:right w:val="nil"/>
            </w:tcBorders>
          </w:tcPr>
          <w:p>
            <w:pPr>
              <w:ind w:left="70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r>
      <w:tr>
        <w:trPr>
          <w:trHeight w:val="344" w:hRule="atLeast"/>
        </w:trPr>
        <w:tc>
          <w:tcPr>
            <w:tcW w:w="893" w:type="dxa"/>
            <w:vAlign w:val="top"/>
            <w:tcBorders>
              <w:left w:val="nil"/>
            </w:tcBorders>
          </w:tcPr>
          <w:p>
            <w:pPr>
              <w:ind w:left="345"/>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291" w:type="dxa"/>
            <w:vAlign w:val="top"/>
          </w:tcPr>
          <w:p>
            <w:pPr>
              <w:pStyle w:val="TableText"/>
              <w:ind w:left="1050"/>
              <w:spacing w:before="88" w:line="227" w:lineRule="auto"/>
              <w:rPr/>
            </w:pPr>
            <w:r>
              <w:rPr/>
              <w:t>锌</w:t>
            </w:r>
          </w:p>
        </w:tc>
        <w:tc>
          <w:tcPr>
            <w:tcW w:w="1778" w:type="dxa"/>
            <w:vAlign w:val="top"/>
          </w:tcPr>
          <w:p>
            <w:pPr>
              <w:ind w:left="70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8" w:type="dxa"/>
            <w:vAlign w:val="top"/>
          </w:tcPr>
          <w:p>
            <w:pPr>
              <w:ind w:left="70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9" w:type="dxa"/>
            <w:vAlign w:val="top"/>
            <w:tcBorders>
              <w:right w:val="nil"/>
            </w:tcBorders>
          </w:tcPr>
          <w:p>
            <w:pPr>
              <w:ind w:left="70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r>
      <w:tr>
        <w:trPr>
          <w:trHeight w:val="344" w:hRule="atLeast"/>
        </w:trPr>
        <w:tc>
          <w:tcPr>
            <w:tcW w:w="893" w:type="dxa"/>
            <w:vAlign w:val="top"/>
            <w:tcBorders>
              <w:left w:val="nil"/>
            </w:tcBorders>
          </w:tcPr>
          <w:p>
            <w:pPr>
              <w:ind w:left="345"/>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291" w:type="dxa"/>
            <w:vAlign w:val="top"/>
          </w:tcPr>
          <w:p>
            <w:pPr>
              <w:pStyle w:val="TableText"/>
              <w:ind w:left="840"/>
              <w:spacing w:before="86" w:line="228" w:lineRule="auto"/>
              <w:rPr/>
            </w:pPr>
            <w:r>
              <w:rPr>
                <w:spacing w:val="5"/>
              </w:rPr>
              <w:t>硫化物</w:t>
            </w:r>
          </w:p>
        </w:tc>
        <w:tc>
          <w:tcPr>
            <w:tcW w:w="1778" w:type="dxa"/>
            <w:vAlign w:val="top"/>
          </w:tcPr>
          <w:p>
            <w:pPr>
              <w:ind w:left="70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778" w:type="dxa"/>
            <w:vAlign w:val="top"/>
          </w:tcPr>
          <w:p>
            <w:pPr>
              <w:ind w:left="70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779" w:type="dxa"/>
            <w:vAlign w:val="top"/>
            <w:tcBorders>
              <w:right w:val="nil"/>
            </w:tcBorders>
          </w:tcPr>
          <w:p>
            <w:pPr>
              <w:ind w:left="70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r>
      <w:tr>
        <w:trPr>
          <w:trHeight w:val="344" w:hRule="atLeast"/>
        </w:trPr>
        <w:tc>
          <w:tcPr>
            <w:tcW w:w="893" w:type="dxa"/>
            <w:vAlign w:val="top"/>
            <w:tcBorders>
              <w:left w:val="nil"/>
            </w:tcBorders>
          </w:tcPr>
          <w:p>
            <w:pPr>
              <w:ind w:left="345"/>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2291" w:type="dxa"/>
            <w:vAlign w:val="top"/>
          </w:tcPr>
          <w:p>
            <w:pPr>
              <w:pStyle w:val="TableText"/>
              <w:ind w:left="1051"/>
              <w:spacing w:before="89" w:line="226" w:lineRule="auto"/>
              <w:rPr/>
            </w:pPr>
            <w:r>
              <w:rPr/>
              <w:t>铝</w:t>
            </w:r>
          </w:p>
        </w:tc>
        <w:tc>
          <w:tcPr>
            <w:tcW w:w="1778" w:type="dxa"/>
            <w:vAlign w:val="top"/>
          </w:tcPr>
          <w:p>
            <w:pPr>
              <w:ind w:left="70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8" w:type="dxa"/>
            <w:vAlign w:val="top"/>
          </w:tcPr>
          <w:p>
            <w:pPr>
              <w:ind w:left="70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9" w:type="dxa"/>
            <w:vAlign w:val="top"/>
            <w:tcBorders>
              <w:right w:val="nil"/>
            </w:tcBorders>
          </w:tcPr>
          <w:p>
            <w:pPr>
              <w:ind w:left="70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r>
      <w:tr>
        <w:trPr>
          <w:trHeight w:val="366" w:hRule="atLeast"/>
        </w:trPr>
        <w:tc>
          <w:tcPr>
            <w:tcW w:w="893" w:type="dxa"/>
            <w:vAlign w:val="top"/>
            <w:tcBorders>
              <w:left w:val="nil"/>
              <w:bottom w:val="single" w:color="000000" w:sz="10" w:space="0"/>
            </w:tcBorders>
          </w:tcPr>
          <w:p>
            <w:pPr>
              <w:ind w:left="34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2291" w:type="dxa"/>
            <w:vAlign w:val="top"/>
            <w:tcBorders>
              <w:bottom w:val="single" w:color="000000" w:sz="10" w:space="0"/>
            </w:tcBorders>
          </w:tcPr>
          <w:p>
            <w:pPr>
              <w:ind w:left="1032"/>
              <w:spacing w:before="117"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position w:val="-1"/>
              </w:rPr>
              <w:t>K</w:t>
            </w:r>
            <w:r>
              <w:rPr>
                <w:rFonts w:ascii="Times New Roman" w:hAnsi="Times New Roman" w:eastAsia="Times New Roman" w:cs="Times New Roman"/>
                <w:sz w:val="13"/>
                <w:szCs w:val="13"/>
                <w:spacing w:val="3"/>
                <w:position w:val="5"/>
              </w:rPr>
              <w:t>+</w:t>
            </w:r>
          </w:p>
        </w:tc>
        <w:tc>
          <w:tcPr>
            <w:tcW w:w="1778" w:type="dxa"/>
            <w:vAlign w:val="top"/>
            <w:tcBorders>
              <w:bottom w:val="single" w:color="000000" w:sz="10" w:space="0"/>
            </w:tcBorders>
          </w:tcPr>
          <w:p>
            <w:pPr>
              <w:ind w:left="857"/>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8" w:type="dxa"/>
            <w:vAlign w:val="top"/>
            <w:tcBorders>
              <w:bottom w:val="single" w:color="000000" w:sz="10" w:space="0"/>
            </w:tcBorders>
          </w:tcPr>
          <w:p>
            <w:pPr>
              <w:ind w:left="858"/>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9" w:type="dxa"/>
            <w:vAlign w:val="top"/>
            <w:tcBorders>
              <w:right w:val="nil"/>
              <w:bottom w:val="single" w:color="000000" w:sz="10" w:space="0"/>
            </w:tcBorders>
          </w:tcPr>
          <w:p>
            <w:pPr>
              <w:ind w:left="858"/>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spacing w:line="85" w:lineRule="exact"/>
        <w:rPr>
          <w:sz w:val="7"/>
        </w:rPr>
      </w:pPr>
      <w:r/>
    </w:p>
    <w:p>
      <w:pPr>
        <w:spacing w:line="85" w:lineRule="exact"/>
        <w:sectPr>
          <w:footerReference w:type="default" r:id="rId251"/>
          <w:pgSz w:w="11906" w:h="16839"/>
          <w:pgMar w:top="400" w:right="1693" w:bottom="1358" w:left="1691" w:header="0" w:footer="1195" w:gutter="0"/>
        </w:sectPr>
        <w:rPr>
          <w:sz w:val="7"/>
          <w:szCs w:val="7"/>
        </w:rPr>
      </w:pPr>
    </w:p>
    <w:p>
      <w:pPr>
        <w:spacing w:before="19"/>
        <w:rPr/>
      </w:pPr>
      <w:r/>
    </w:p>
    <w:p>
      <w:pPr>
        <w:spacing w:before="19"/>
        <w:rPr/>
      </w:pPr>
      <w:r/>
    </w:p>
    <w:p>
      <w:pPr>
        <w:spacing w:before="18"/>
        <w:rPr/>
      </w:pPr>
      <w:r/>
    </w:p>
    <w:p>
      <w:pPr>
        <w:spacing w:before="18"/>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3"/>
        <w:gridCol w:w="2291"/>
        <w:gridCol w:w="1778"/>
        <w:gridCol w:w="1777"/>
        <w:gridCol w:w="1779"/>
      </w:tblGrid>
      <w:tr>
        <w:trPr>
          <w:trHeight w:val="346" w:hRule="atLeast"/>
        </w:trPr>
        <w:tc>
          <w:tcPr>
            <w:tcW w:w="893" w:type="dxa"/>
            <w:vAlign w:val="top"/>
            <w:tcBorders>
              <w:left w:val="nil"/>
              <w:top w:val="single" w:color="000000" w:sz="10" w:space="0"/>
            </w:tcBorders>
          </w:tcPr>
          <w:p>
            <w:pPr>
              <w:ind w:left="34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291" w:type="dxa"/>
            <w:vAlign w:val="top"/>
            <w:tcBorders>
              <w:top w:val="single" w:color="000000" w:sz="10" w:space="0"/>
            </w:tcBorders>
          </w:tcPr>
          <w:p>
            <w:pPr>
              <w:ind w:left="978"/>
              <w:spacing w:before="97"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Na</w:t>
            </w:r>
            <w:r>
              <w:rPr>
                <w:rFonts w:ascii="Times New Roman" w:hAnsi="Times New Roman" w:eastAsia="Times New Roman" w:cs="Times New Roman"/>
                <w:sz w:val="13"/>
                <w:szCs w:val="13"/>
                <w:spacing w:val="17"/>
                <w:position w:val="5"/>
              </w:rPr>
              <w:t>+</w:t>
            </w:r>
          </w:p>
        </w:tc>
        <w:tc>
          <w:tcPr>
            <w:tcW w:w="1778" w:type="dxa"/>
            <w:vAlign w:val="top"/>
            <w:tcBorders>
              <w:top w:val="single" w:color="000000" w:sz="10" w:space="0"/>
            </w:tcBorders>
          </w:tcPr>
          <w:p>
            <w:pPr>
              <w:ind w:left="70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77" w:type="dxa"/>
            <w:vAlign w:val="top"/>
            <w:tcBorders>
              <w:top w:val="single" w:color="000000" w:sz="10" w:space="0"/>
            </w:tcBorders>
          </w:tcPr>
          <w:p>
            <w:pPr>
              <w:ind w:left="70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779" w:type="dxa"/>
            <w:vAlign w:val="top"/>
            <w:tcBorders>
              <w:right w:val="nil"/>
              <w:top w:val="single" w:color="000000" w:sz="10" w:space="0"/>
            </w:tcBorders>
          </w:tcPr>
          <w:p>
            <w:pPr>
              <w:ind w:left="71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0.03</w:t>
            </w:r>
          </w:p>
        </w:tc>
      </w:tr>
      <w:tr>
        <w:trPr>
          <w:trHeight w:val="341" w:hRule="atLeast"/>
        </w:trPr>
        <w:tc>
          <w:tcPr>
            <w:tcW w:w="893" w:type="dxa"/>
            <w:vAlign w:val="top"/>
            <w:tcBorders>
              <w:left w:val="nil"/>
            </w:tcBorders>
          </w:tcPr>
          <w:p>
            <w:pPr>
              <w:ind w:left="34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2291" w:type="dxa"/>
            <w:vAlign w:val="top"/>
          </w:tcPr>
          <w:p>
            <w:pPr>
              <w:ind w:left="960"/>
              <w:spacing w:before="8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Ca</w:t>
            </w:r>
            <w:r>
              <w:rPr>
                <w:rFonts w:ascii="Times New Roman" w:hAnsi="Times New Roman" w:eastAsia="Times New Roman" w:cs="Times New Roman"/>
                <w:sz w:val="13"/>
                <w:szCs w:val="13"/>
                <w:spacing w:val="5"/>
                <w:position w:val="4"/>
              </w:rPr>
              <w:t>2+</w:t>
            </w:r>
          </w:p>
        </w:tc>
        <w:tc>
          <w:tcPr>
            <w:tcW w:w="1778" w:type="dxa"/>
            <w:vAlign w:val="top"/>
          </w:tcPr>
          <w:p>
            <w:pPr>
              <w:ind w:left="857"/>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7" w:type="dxa"/>
            <w:vAlign w:val="top"/>
          </w:tcPr>
          <w:p>
            <w:pPr>
              <w:ind w:left="858"/>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9" w:type="dxa"/>
            <w:vAlign w:val="top"/>
            <w:tcBorders>
              <w:right w:val="nil"/>
            </w:tcBorders>
          </w:tcPr>
          <w:p>
            <w:pPr>
              <w:ind w:left="859"/>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1" w:hRule="atLeast"/>
        </w:trPr>
        <w:tc>
          <w:tcPr>
            <w:tcW w:w="893" w:type="dxa"/>
            <w:vAlign w:val="top"/>
            <w:tcBorders>
              <w:left w:val="nil"/>
            </w:tcBorders>
          </w:tcPr>
          <w:p>
            <w:pPr>
              <w:ind w:left="34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2291" w:type="dxa"/>
            <w:vAlign w:val="top"/>
          </w:tcPr>
          <w:p>
            <w:pPr>
              <w:ind w:left="927"/>
              <w:spacing w:before="89"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Mg</w:t>
            </w:r>
            <w:r>
              <w:rPr>
                <w:rFonts w:ascii="Times New Roman" w:hAnsi="Times New Roman" w:eastAsia="Times New Roman" w:cs="Times New Roman"/>
                <w:sz w:val="13"/>
                <w:szCs w:val="13"/>
                <w:spacing w:val="8"/>
                <w:position w:val="5"/>
              </w:rPr>
              <w:t>2+</w:t>
            </w:r>
          </w:p>
        </w:tc>
        <w:tc>
          <w:tcPr>
            <w:tcW w:w="1778" w:type="dxa"/>
            <w:vAlign w:val="top"/>
          </w:tcPr>
          <w:p>
            <w:pPr>
              <w:ind w:left="857"/>
              <w:spacing w:before="10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7" w:type="dxa"/>
            <w:vAlign w:val="top"/>
          </w:tcPr>
          <w:p>
            <w:pPr>
              <w:ind w:left="858"/>
              <w:spacing w:before="10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9" w:type="dxa"/>
            <w:vAlign w:val="top"/>
            <w:tcBorders>
              <w:right w:val="nil"/>
            </w:tcBorders>
          </w:tcPr>
          <w:p>
            <w:pPr>
              <w:ind w:left="859"/>
              <w:spacing w:before="10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1" w:hRule="atLeast"/>
        </w:trPr>
        <w:tc>
          <w:tcPr>
            <w:tcW w:w="893" w:type="dxa"/>
            <w:vAlign w:val="top"/>
            <w:tcBorders>
              <w:left w:val="nil"/>
            </w:tcBorders>
          </w:tcPr>
          <w:p>
            <w:pPr>
              <w:ind w:left="345"/>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2291" w:type="dxa"/>
            <w:vAlign w:val="top"/>
          </w:tcPr>
          <w:p>
            <w:pPr>
              <w:ind w:left="914"/>
              <w:spacing w:before="93"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z w:val="13"/>
                <w:szCs w:val="13"/>
                <w:spacing w:val="4"/>
                <w:position w:val="-2"/>
              </w:rPr>
              <w:t>3</w:t>
            </w:r>
            <w:r>
              <w:rPr>
                <w:rFonts w:ascii="Times New Roman" w:hAnsi="Times New Roman" w:eastAsia="Times New Roman" w:cs="Times New Roman"/>
                <w:sz w:val="13"/>
                <w:szCs w:val="13"/>
                <w:spacing w:val="4"/>
                <w:position w:val="6"/>
              </w:rPr>
              <w:t>2-</w:t>
            </w:r>
          </w:p>
        </w:tc>
        <w:tc>
          <w:tcPr>
            <w:tcW w:w="1778" w:type="dxa"/>
            <w:vAlign w:val="top"/>
          </w:tcPr>
          <w:p>
            <w:pPr>
              <w:ind w:left="857"/>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7" w:type="dxa"/>
            <w:vAlign w:val="top"/>
          </w:tcPr>
          <w:p>
            <w:pPr>
              <w:ind w:left="858"/>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9" w:type="dxa"/>
            <w:vAlign w:val="top"/>
            <w:tcBorders>
              <w:right w:val="nil"/>
            </w:tcBorders>
          </w:tcPr>
          <w:p>
            <w:pPr>
              <w:ind w:left="859"/>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2" w:hRule="atLeast"/>
        </w:trPr>
        <w:tc>
          <w:tcPr>
            <w:tcW w:w="893" w:type="dxa"/>
            <w:vAlign w:val="top"/>
            <w:tcBorders>
              <w:left w:val="nil"/>
            </w:tcBorders>
          </w:tcPr>
          <w:p>
            <w:pPr>
              <w:ind w:left="345"/>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2291" w:type="dxa"/>
            <w:vAlign w:val="top"/>
          </w:tcPr>
          <w:p>
            <w:pPr>
              <w:ind w:left="867"/>
              <w:spacing w:before="98"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z w:val="13"/>
                <w:szCs w:val="13"/>
                <w:spacing w:val="12"/>
                <w:position w:val="5"/>
              </w:rPr>
              <w:t>3-</w:t>
            </w:r>
          </w:p>
        </w:tc>
        <w:tc>
          <w:tcPr>
            <w:tcW w:w="1778" w:type="dxa"/>
            <w:vAlign w:val="top"/>
          </w:tcPr>
          <w:p>
            <w:pPr>
              <w:ind w:left="857"/>
              <w:spacing w:before="11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7" w:type="dxa"/>
            <w:vAlign w:val="top"/>
          </w:tcPr>
          <w:p>
            <w:pPr>
              <w:ind w:left="858"/>
              <w:spacing w:before="11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79" w:type="dxa"/>
            <w:vAlign w:val="top"/>
            <w:tcBorders>
              <w:right w:val="nil"/>
            </w:tcBorders>
          </w:tcPr>
          <w:p>
            <w:pPr>
              <w:ind w:left="859"/>
              <w:spacing w:before="11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2" w:hRule="atLeast"/>
        </w:trPr>
        <w:tc>
          <w:tcPr>
            <w:tcW w:w="893" w:type="dxa"/>
            <w:vAlign w:val="top"/>
            <w:tcBorders>
              <w:left w:val="nil"/>
            </w:tcBorders>
          </w:tcPr>
          <w:p>
            <w:pPr>
              <w:ind w:left="34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291" w:type="dxa"/>
            <w:vAlign w:val="top"/>
          </w:tcPr>
          <w:p>
            <w:pPr>
              <w:ind w:left="929"/>
              <w:spacing w:before="102" w:line="21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2"/>
              </w:rPr>
              <w:t>4</w:t>
            </w:r>
            <w:r>
              <w:rPr>
                <w:rFonts w:ascii="Times New Roman" w:hAnsi="Times New Roman" w:eastAsia="Times New Roman" w:cs="Times New Roman"/>
                <w:sz w:val="13"/>
                <w:szCs w:val="13"/>
                <w:spacing w:val="3"/>
                <w:position w:val="5"/>
              </w:rPr>
              <w:t>2-</w:t>
            </w:r>
          </w:p>
        </w:tc>
        <w:tc>
          <w:tcPr>
            <w:tcW w:w="1778" w:type="dxa"/>
            <w:vAlign w:val="top"/>
          </w:tcPr>
          <w:p>
            <w:pPr>
              <w:ind w:left="70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777" w:type="dxa"/>
            <w:vAlign w:val="top"/>
          </w:tcPr>
          <w:p>
            <w:pPr>
              <w:ind w:left="70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0.46</w:t>
            </w:r>
          </w:p>
        </w:tc>
        <w:tc>
          <w:tcPr>
            <w:tcW w:w="1779" w:type="dxa"/>
            <w:vAlign w:val="top"/>
            <w:tcBorders>
              <w:right w:val="nil"/>
            </w:tcBorders>
          </w:tcPr>
          <w:p>
            <w:pPr>
              <w:ind w:left="710"/>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0.27</w:t>
            </w:r>
          </w:p>
        </w:tc>
      </w:tr>
      <w:tr>
        <w:trPr>
          <w:trHeight w:val="365" w:hRule="atLeast"/>
        </w:trPr>
        <w:tc>
          <w:tcPr>
            <w:tcW w:w="893" w:type="dxa"/>
            <w:vAlign w:val="top"/>
            <w:tcBorders>
              <w:left w:val="nil"/>
              <w:bottom w:val="single" w:color="000000" w:sz="10" w:space="0"/>
            </w:tcBorders>
          </w:tcPr>
          <w:p>
            <w:pPr>
              <w:ind w:left="34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291" w:type="dxa"/>
            <w:vAlign w:val="top"/>
            <w:tcBorders>
              <w:bottom w:val="single" w:color="000000" w:sz="10" w:space="0"/>
            </w:tcBorders>
          </w:tcPr>
          <w:p>
            <w:pPr>
              <w:pStyle w:val="TableText"/>
              <w:ind w:left="845"/>
              <w:spacing w:before="87" w:line="229" w:lineRule="auto"/>
              <w:rPr/>
            </w:pPr>
            <w:r>
              <w:rPr>
                <w:spacing w:val="3"/>
              </w:rPr>
              <w:t>氯化物</w:t>
            </w:r>
          </w:p>
        </w:tc>
        <w:tc>
          <w:tcPr>
            <w:tcW w:w="1778" w:type="dxa"/>
            <w:vAlign w:val="top"/>
            <w:tcBorders>
              <w:bottom w:val="single" w:color="000000" w:sz="10" w:space="0"/>
            </w:tcBorders>
          </w:tcPr>
          <w:p>
            <w:pPr>
              <w:ind w:left="70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0.63</w:t>
            </w:r>
          </w:p>
        </w:tc>
        <w:tc>
          <w:tcPr>
            <w:shd w:val="clear" w:fill="FFFF00"/>
            <w:tcW w:w="1777" w:type="dxa"/>
            <w:vAlign w:val="top"/>
            <w:tcBorders>
              <w:bottom w:val="single" w:color="000000" w:sz="10" w:space="0"/>
            </w:tcBorders>
          </w:tcPr>
          <w:p>
            <w:pPr>
              <w:ind w:left="72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1.65</w:t>
            </w:r>
          </w:p>
        </w:tc>
        <w:tc>
          <w:tcPr>
            <w:tcW w:w="1779" w:type="dxa"/>
            <w:vAlign w:val="top"/>
            <w:tcBorders>
              <w:right w:val="nil"/>
              <w:bottom w:val="single" w:color="000000" w:sz="10" w:space="0"/>
            </w:tcBorders>
          </w:tcPr>
          <w:p>
            <w:pPr>
              <w:ind w:left="710"/>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0.95</w:t>
            </w:r>
          </w:p>
        </w:tc>
      </w:tr>
    </w:tbl>
    <w:p>
      <w:pPr>
        <w:pStyle w:val="BodyText"/>
        <w:spacing w:line="251" w:lineRule="auto"/>
        <w:rPr/>
      </w:pPr>
      <w:r/>
    </w:p>
    <w:p>
      <w:pPr>
        <w:pStyle w:val="BodyText"/>
        <w:spacing w:line="251" w:lineRule="auto"/>
        <w:rPr/>
      </w:pPr>
      <w:r/>
    </w:p>
    <w:p>
      <w:pPr>
        <w:ind w:left="123" w:firstLine="480"/>
        <w:spacing w:before="78" w:line="360" w:lineRule="auto"/>
        <w:tabs>
          <w:tab w:val="left" w:pos="8597"/>
        </w:tabs>
        <w:jc w:val="both"/>
        <w:rPr>
          <w:rFonts w:ascii="FangSong" w:hAnsi="FangSong" w:eastAsia="FangSong" w:cs="FangSong"/>
          <w:sz w:val="24"/>
          <w:szCs w:val="24"/>
        </w:rPr>
      </w:pPr>
      <w:r>
        <w:rPr>
          <w:rFonts w:ascii="FangSong" w:hAnsi="FangSong" w:eastAsia="FangSong" w:cs="FangSong"/>
          <w:sz w:val="24"/>
          <w:szCs w:val="24"/>
          <w:spacing w:val="-6"/>
        </w:rPr>
        <w:t>地下水环境质量现状评价结果表明：评价区域内共布设</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个地下水监测点位，</w:t>
      </w:r>
      <w:r>
        <w:rPr>
          <w:rFonts w:ascii="FangSong" w:hAnsi="FangSong" w:eastAsia="FangSong" w:cs="FangSong"/>
          <w:sz w:val="24"/>
          <w:szCs w:val="24"/>
          <w:spacing w:val="-4"/>
        </w:rPr>
        <w:t>共监测化学类型分析因子（</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4"/>
        </w:rPr>
        <w:t>项）、水质（</w:t>
      </w:r>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项</w:t>
      </w:r>
      <w:r>
        <w:rPr>
          <w:rFonts w:ascii="FangSong" w:hAnsi="FangSong" w:eastAsia="FangSong" w:cs="FangSong"/>
          <w:sz w:val="24"/>
          <w:szCs w:val="24"/>
          <w:spacing w:val="-5"/>
        </w:rPr>
        <w:t>），</w:t>
      </w:r>
      <w:r>
        <w:rPr>
          <w:rFonts w:ascii="FangSong" w:hAnsi="FangSong" w:eastAsia="FangSong" w:cs="FangSong"/>
          <w:sz w:val="24"/>
          <w:szCs w:val="24"/>
          <w:spacing w:val="-4"/>
        </w:rPr>
        <w:t>其中拟建工业广场上游高锰</w:t>
      </w:r>
      <w:r>
        <w:rPr>
          <w:rFonts w:ascii="FangSong" w:hAnsi="FangSong" w:eastAsia="FangSong" w:cs="FangSong"/>
          <w:sz w:val="24"/>
          <w:szCs w:val="24"/>
          <w:spacing w:val="-3"/>
        </w:rPr>
        <w:t>酸盐指数（耗氧量）、</w:t>
      </w:r>
      <w:r>
        <w:rPr>
          <w:rFonts w:ascii="Times New Roman" w:hAnsi="Times New Roman" w:eastAsia="Times New Roman" w:cs="Times New Roman"/>
          <w:sz w:val="24"/>
          <w:szCs w:val="24"/>
          <w:spacing w:val="-3"/>
        </w:rPr>
        <w:t>NH</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-N</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、氟化物和锰超标，拟建工业广场位置总硬度、溶</w:t>
      </w:r>
      <w:r>
        <w:rPr>
          <w:rFonts w:ascii="FangSong" w:hAnsi="FangSong" w:eastAsia="FangSong" w:cs="FangSong"/>
          <w:sz w:val="24"/>
          <w:szCs w:val="24"/>
          <w:spacing w:val="-3"/>
        </w:rPr>
        <w:t>解性总固体、高锰酸盐指数（耗氧量）、</w:t>
      </w:r>
      <w:r>
        <w:rPr>
          <w:rFonts w:ascii="Times New Roman" w:hAnsi="Times New Roman" w:eastAsia="Times New Roman" w:cs="Times New Roman"/>
          <w:sz w:val="24"/>
          <w:szCs w:val="24"/>
          <w:spacing w:val="-3"/>
        </w:rPr>
        <w:t>NH</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-N</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、氯化物和氟化物超标，你见工</w:t>
      </w:r>
      <w:r>
        <w:rPr>
          <w:rFonts w:ascii="FangSong" w:hAnsi="FangSong" w:eastAsia="FangSong" w:cs="FangSong"/>
          <w:sz w:val="24"/>
          <w:szCs w:val="24"/>
          <w:spacing w:val="-4"/>
        </w:rPr>
        <w:t>业广场位置下游总硬度、</w:t>
      </w:r>
      <w:r>
        <w:rPr>
          <w:rFonts w:ascii="Times New Roman" w:hAnsi="Times New Roman" w:eastAsia="Times New Roman" w:cs="Times New Roman"/>
          <w:sz w:val="24"/>
          <w:szCs w:val="24"/>
          <w:spacing w:val="-4"/>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和氟化物超标，其余各监测因子标准指数均小于</w:t>
      </w:r>
      <w:r>
        <w:rPr>
          <w:rFonts w:ascii="FangSong" w:hAnsi="FangSong" w:eastAsia="FangSong" w:cs="FangSong"/>
          <w:sz w:val="24"/>
          <w:szCs w:val="24"/>
        </w:rPr>
        <w:tab/>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，满足《地下水质量标准》（</w:t>
      </w:r>
      <w:r>
        <w:rPr>
          <w:rFonts w:ascii="Times New Roman" w:hAnsi="Times New Roman" w:eastAsia="Times New Roman" w:cs="Times New Roman"/>
          <w:sz w:val="24"/>
          <w:szCs w:val="24"/>
          <w:spacing w:val="-2"/>
        </w:rPr>
        <w:t>GB/T14848-2017</w:t>
      </w:r>
      <w:r>
        <w:rPr>
          <w:rFonts w:ascii="FangSong" w:hAnsi="FangSong" w:eastAsia="FangSong" w:cs="FangSong"/>
          <w:sz w:val="24"/>
          <w:szCs w:val="24"/>
          <w:spacing w:val="-2"/>
        </w:rPr>
        <w:t>）中的</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III</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类</w:t>
      </w:r>
      <w:r>
        <w:rPr>
          <w:rFonts w:ascii="FangSong" w:hAnsi="FangSong" w:eastAsia="FangSong" w:cs="FangSong"/>
          <w:sz w:val="24"/>
          <w:szCs w:val="24"/>
          <w:spacing w:val="-3"/>
        </w:rPr>
        <w:t>标准。</w:t>
      </w:r>
    </w:p>
    <w:p>
      <w:pPr>
        <w:ind w:left="122" w:right="149" w:firstLine="482"/>
        <w:spacing w:line="360" w:lineRule="auto"/>
        <w:jc w:val="both"/>
        <w:rPr>
          <w:rFonts w:ascii="FangSong" w:hAnsi="FangSong" w:eastAsia="FangSong" w:cs="FangSong"/>
          <w:sz w:val="24"/>
          <w:szCs w:val="24"/>
        </w:rPr>
      </w:pPr>
      <w:r>
        <w:rPr>
          <w:rFonts w:ascii="FangSong" w:hAnsi="FangSong" w:eastAsia="FangSong" w:cs="FangSong"/>
          <w:sz w:val="24"/>
          <w:szCs w:val="24"/>
          <w:spacing w:val="-3"/>
        </w:rPr>
        <w:t>根据调查，本项目地下水水化学成分为原生水</w:t>
      </w:r>
      <w:r>
        <w:rPr>
          <w:rFonts w:ascii="FangSong" w:hAnsi="FangSong" w:eastAsia="FangSong" w:cs="FangSong"/>
          <w:sz w:val="24"/>
          <w:szCs w:val="24"/>
          <w:spacing w:val="-4"/>
        </w:rPr>
        <w:t>环境背景值，水质受地形、地</w:t>
      </w:r>
      <w:r>
        <w:rPr>
          <w:rFonts w:ascii="FangSong" w:hAnsi="FangSong" w:eastAsia="FangSong" w:cs="FangSong"/>
          <w:sz w:val="24"/>
          <w:szCs w:val="24"/>
          <w:spacing w:val="-3"/>
        </w:rPr>
        <w:t>貌、地质构造与水文气象等因素影响，某些成分含量高与土壤及岩石中</w:t>
      </w:r>
      <w:r>
        <w:rPr>
          <w:rFonts w:ascii="FangSong" w:hAnsi="FangSong" w:eastAsia="FangSong" w:cs="FangSong"/>
          <w:sz w:val="24"/>
          <w:szCs w:val="24"/>
          <w:spacing w:val="-4"/>
        </w:rPr>
        <w:t>的矿物成</w:t>
      </w:r>
      <w:r>
        <w:rPr>
          <w:rFonts w:ascii="FangSong" w:hAnsi="FangSong" w:eastAsia="FangSong" w:cs="FangSong"/>
          <w:sz w:val="24"/>
          <w:szCs w:val="24"/>
          <w:spacing w:val="-3"/>
        </w:rPr>
        <w:t>分相关，也与当地气候干旱，年降水量小有关，至使水交替与循环作用</w:t>
      </w:r>
      <w:r>
        <w:rPr>
          <w:rFonts w:ascii="FangSong" w:hAnsi="FangSong" w:eastAsia="FangSong" w:cs="FangSong"/>
          <w:sz w:val="24"/>
          <w:szCs w:val="24"/>
          <w:spacing w:val="-4"/>
        </w:rPr>
        <w:t>较差，使</w:t>
      </w:r>
      <w:r>
        <w:rPr>
          <w:rFonts w:ascii="FangSong" w:hAnsi="FangSong" w:eastAsia="FangSong" w:cs="FangSong"/>
          <w:sz w:val="24"/>
          <w:szCs w:val="24"/>
          <w:spacing w:val="-3"/>
        </w:rPr>
        <w:t>某些成分沉积，含量较高，水质变差。故本项目地下水监测因子“总硬</w:t>
      </w:r>
      <w:r>
        <w:rPr>
          <w:rFonts w:ascii="FangSong" w:hAnsi="FangSong" w:eastAsia="FangSong" w:cs="FangSong"/>
          <w:sz w:val="24"/>
          <w:szCs w:val="24"/>
          <w:spacing w:val="-4"/>
        </w:rPr>
        <w:t>度、溶解</w:t>
      </w:r>
      <w:r>
        <w:rPr>
          <w:rFonts w:ascii="FangSong" w:hAnsi="FangSong" w:eastAsia="FangSong" w:cs="FangSong"/>
          <w:sz w:val="24"/>
          <w:szCs w:val="24"/>
          <w:spacing w:val="-3"/>
        </w:rPr>
        <w:t>性总固体、氟化物、锰、氯化物</w:t>
      </w:r>
      <w:r>
        <w:rPr>
          <w:rFonts w:ascii="FangSong" w:hAnsi="FangSong" w:eastAsia="FangSong" w:cs="FangSong"/>
          <w:sz w:val="24"/>
          <w:szCs w:val="24"/>
          <w:spacing w:val="-88"/>
        </w:rPr>
        <w:t xml:space="preserve"> </w:t>
      </w:r>
      <w:r>
        <w:rPr>
          <w:rFonts w:ascii="FangSong" w:hAnsi="FangSong" w:eastAsia="FangSong" w:cs="FangSong"/>
          <w:sz w:val="24"/>
          <w:szCs w:val="24"/>
          <w:spacing w:val="-3"/>
        </w:rPr>
        <w:t>”超标为本项目所在区域本底背景值高造成的；</w:t>
      </w:r>
      <w:r>
        <w:rPr>
          <w:rFonts w:ascii="FangSong" w:hAnsi="FangSong" w:eastAsia="FangSong" w:cs="FangSong"/>
          <w:sz w:val="24"/>
          <w:szCs w:val="24"/>
          <w:spacing w:val="-1"/>
        </w:rPr>
        <w:t>而高锰酸盐指数、</w:t>
      </w:r>
      <w:r>
        <w:rPr>
          <w:rFonts w:ascii="Times New Roman" w:hAnsi="Times New Roman" w:eastAsia="Times New Roman" w:cs="Times New Roman"/>
          <w:sz w:val="24"/>
          <w:szCs w:val="24"/>
          <w:spacing w:val="-1"/>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1"/>
        </w:rPr>
        <w:t>为牧户牛羊养殖活动造成的井口污染所</w:t>
      </w:r>
      <w:r>
        <w:rPr>
          <w:rFonts w:ascii="FangSong" w:hAnsi="FangSong" w:eastAsia="FangSong" w:cs="FangSong"/>
          <w:sz w:val="24"/>
          <w:szCs w:val="24"/>
          <w:spacing w:val="-2"/>
        </w:rPr>
        <w:t>造成的。</w:t>
      </w:r>
    </w:p>
    <w:p>
      <w:pPr>
        <w:ind w:left="116"/>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5.5.4.8</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3"/>
        </w:rPr>
        <w:t>阴阳离子平衡及地下水化学</w:t>
      </w:r>
      <w:r>
        <w:rPr>
          <w:rFonts w:ascii="FangSong" w:hAnsi="FangSong" w:eastAsia="FangSong" w:cs="FangSong"/>
          <w:sz w:val="24"/>
          <w:szCs w:val="24"/>
          <w:b/>
          <w:bCs/>
          <w:spacing w:val="-4"/>
        </w:rPr>
        <w:t>类型</w:t>
      </w:r>
    </w:p>
    <w:p>
      <w:pPr>
        <w:ind w:left="112" w:right="231" w:firstLine="500"/>
        <w:spacing w:before="179" w:line="354" w:lineRule="auto"/>
        <w:rPr>
          <w:rFonts w:ascii="FangSong" w:hAnsi="FangSong" w:eastAsia="FangSong" w:cs="FangSong"/>
          <w:sz w:val="24"/>
          <w:szCs w:val="24"/>
        </w:rPr>
      </w:pPr>
      <w:r>
        <w:rPr>
          <w:rFonts w:ascii="FangSong" w:hAnsi="FangSong" w:eastAsia="FangSong" w:cs="FangSong"/>
          <w:sz w:val="24"/>
          <w:szCs w:val="24"/>
          <w:spacing w:val="-1"/>
        </w:rPr>
        <w:t>为了解区域地下水水质化学类型，检测了</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K</w:t>
      </w:r>
      <w:r>
        <w:rPr>
          <w:rFonts w:ascii="Times New Roman" w:hAnsi="Times New Roman" w:eastAsia="Times New Roman" w:cs="Times New Roman"/>
          <w:sz w:val="15"/>
          <w:szCs w:val="15"/>
          <w:spacing w:val="-1"/>
          <w:position w:val="7"/>
        </w:rPr>
        <w:t>+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Na</w:t>
      </w:r>
      <w:r>
        <w:rPr>
          <w:rFonts w:ascii="Times New Roman" w:hAnsi="Times New Roman" w:eastAsia="Times New Roman" w:cs="Times New Roman"/>
          <w:sz w:val="15"/>
          <w:szCs w:val="15"/>
          <w:spacing w:val="-1"/>
          <w:position w:val="7"/>
        </w:rPr>
        <w:t>+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Ca</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15"/>
          <w:szCs w:val="15"/>
          <w:spacing w:val="-2"/>
          <w:position w:val="7"/>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Mg</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CO</w:t>
      </w:r>
      <w:r>
        <w:rPr>
          <w:rFonts w:ascii="Times New Roman" w:hAnsi="Times New Roman" w:eastAsia="Times New Roman" w:cs="Times New Roman"/>
          <w:sz w:val="15"/>
          <w:szCs w:val="15"/>
          <w:spacing w:val="-2"/>
          <w:position w:val="-2"/>
        </w:rPr>
        <w:t>3</w:t>
      </w:r>
      <w:r>
        <w:rPr>
          <w:rFonts w:ascii="Times New Roman" w:hAnsi="Times New Roman" w:eastAsia="Times New Roman" w:cs="Times New Roman"/>
          <w:sz w:val="15"/>
          <w:szCs w:val="15"/>
          <w:spacing w:val="-2"/>
          <w:position w:val="7"/>
        </w:rPr>
        <w:t>2-</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HCO</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15"/>
          <w:szCs w:val="15"/>
          <w:spacing w:val="-3"/>
          <w:position w:val="8"/>
        </w:rPr>
        <w:t>-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Cl</w:t>
      </w:r>
      <w:r>
        <w:rPr>
          <w:rFonts w:ascii="Times New Roman" w:hAnsi="Times New Roman" w:eastAsia="Times New Roman" w:cs="Times New Roman"/>
          <w:sz w:val="15"/>
          <w:szCs w:val="15"/>
          <w:spacing w:val="-3"/>
          <w:position w:val="8"/>
        </w:rPr>
        <w:t>-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SO</w:t>
      </w:r>
      <w:r>
        <w:rPr>
          <w:rFonts w:ascii="Times New Roman" w:hAnsi="Times New Roman" w:eastAsia="Times New Roman" w:cs="Times New Roman"/>
          <w:sz w:val="15"/>
          <w:szCs w:val="15"/>
          <w:spacing w:val="-3"/>
          <w:position w:val="-1"/>
        </w:rPr>
        <w:t>4</w:t>
      </w:r>
      <w:r>
        <w:rPr>
          <w:rFonts w:ascii="Times New Roman" w:hAnsi="Times New Roman" w:eastAsia="Times New Roman" w:cs="Times New Roman"/>
          <w:sz w:val="15"/>
          <w:szCs w:val="15"/>
          <w:spacing w:val="-3"/>
        </w:rPr>
        <w:t>2-</w:t>
      </w:r>
      <w:r>
        <w:rPr>
          <w:rFonts w:ascii="FangSong" w:hAnsi="FangSong" w:eastAsia="FangSong" w:cs="FangSong"/>
          <w:sz w:val="24"/>
          <w:szCs w:val="24"/>
          <w:spacing w:val="-3"/>
        </w:rPr>
        <w:t>离子浓度浓度值，见表</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5.5-11</w:t>
      </w:r>
      <w:r>
        <w:rPr>
          <w:rFonts w:ascii="FangSong" w:hAnsi="FangSong" w:eastAsia="FangSong" w:cs="FangSong"/>
          <w:sz w:val="24"/>
          <w:szCs w:val="24"/>
          <w:spacing w:val="-3"/>
        </w:rPr>
        <w:t>。</w:t>
      </w:r>
    </w:p>
    <w:p>
      <w:pPr>
        <w:ind w:left="1263"/>
        <w:spacing w:before="16" w:line="212" w:lineRule="auto"/>
        <w:rPr>
          <w:rFonts w:ascii="Times New Roman" w:hAnsi="Times New Roman" w:eastAsia="Times New Roman" w:cs="Times New Roman"/>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5.5-11  </w:t>
      </w:r>
      <w:r>
        <w:rPr>
          <w:rFonts w:ascii="FangSong" w:hAnsi="FangSong" w:eastAsia="FangSong" w:cs="FangSong"/>
          <w:sz w:val="24"/>
          <w:szCs w:val="24"/>
          <w:b/>
          <w:bCs/>
          <w:spacing w:val="-2"/>
        </w:rPr>
        <w:t>地下水化学类型分析因子监测结果</w:t>
      </w:r>
      <w:r>
        <w:rPr>
          <w:rFonts w:ascii="FangSong" w:hAnsi="FangSong" w:eastAsia="FangSong" w:cs="FangSong"/>
          <w:sz w:val="24"/>
          <w:szCs w:val="24"/>
          <w:spacing w:val="-2"/>
        </w:rPr>
        <w:t xml:space="preserve"> </w:t>
      </w:r>
      <w:r>
        <w:rPr>
          <w:rFonts w:ascii="FangSong" w:hAnsi="FangSong" w:eastAsia="FangSong" w:cs="FangSong"/>
          <w:sz w:val="24"/>
          <w:szCs w:val="24"/>
          <w:b/>
          <w:bCs/>
          <w:spacing w:val="-3"/>
        </w:rPr>
        <w:t>单位：</w:t>
      </w:r>
      <w:r>
        <w:rPr>
          <w:rFonts w:ascii="Times New Roman" w:hAnsi="Times New Roman" w:eastAsia="Times New Roman" w:cs="Times New Roman"/>
          <w:sz w:val="24"/>
          <w:szCs w:val="24"/>
          <w:b/>
          <w:bCs/>
          <w:spacing w:val="-3"/>
        </w:rPr>
        <w:t>mg/L</w:t>
      </w:r>
    </w:p>
    <w:p>
      <w:pPr>
        <w:spacing w:line="77"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8"/>
        <w:gridCol w:w="2129"/>
        <w:gridCol w:w="1704"/>
        <w:gridCol w:w="1703"/>
        <w:gridCol w:w="1704"/>
      </w:tblGrid>
      <w:tr>
        <w:trPr>
          <w:trHeight w:val="319" w:hRule="atLeast"/>
        </w:trPr>
        <w:tc>
          <w:tcPr>
            <w:tcW w:w="1278" w:type="dxa"/>
            <w:vAlign w:val="top"/>
            <w:tcBorders>
              <w:left w:val="nil"/>
              <w:top w:val="single" w:color="000000" w:sz="10" w:space="0"/>
            </w:tcBorders>
          </w:tcPr>
          <w:p>
            <w:pPr>
              <w:pStyle w:val="TableText"/>
              <w:ind w:left="443"/>
              <w:spacing w:before="56" w:line="231" w:lineRule="auto"/>
              <w:rPr/>
            </w:pPr>
            <w:r>
              <w:rPr>
                <w:spacing w:val="2"/>
              </w:rPr>
              <w:t>序号</w:t>
            </w:r>
          </w:p>
        </w:tc>
        <w:tc>
          <w:tcPr>
            <w:tcW w:w="2129" w:type="dxa"/>
            <w:vAlign w:val="top"/>
            <w:tcBorders>
              <w:top w:val="single" w:color="000000" w:sz="10" w:space="0"/>
            </w:tcBorders>
          </w:tcPr>
          <w:p>
            <w:pPr>
              <w:pStyle w:val="TableText"/>
              <w:ind w:left="661"/>
              <w:spacing w:before="55" w:line="232" w:lineRule="auto"/>
              <w:rPr/>
            </w:pPr>
            <w:r>
              <w:rPr>
                <w:spacing w:val="4"/>
              </w:rPr>
              <w:t>监测项目</w:t>
            </w:r>
          </w:p>
        </w:tc>
        <w:tc>
          <w:tcPr>
            <w:tcW w:w="1704" w:type="dxa"/>
            <w:vAlign w:val="top"/>
            <w:tcBorders>
              <w:top w:val="single" w:color="000000" w:sz="10" w:space="0"/>
            </w:tcBorders>
          </w:tcPr>
          <w:p>
            <w:pPr>
              <w:ind w:left="721"/>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U1</w:t>
            </w:r>
          </w:p>
        </w:tc>
        <w:tc>
          <w:tcPr>
            <w:tcW w:w="1703" w:type="dxa"/>
            <w:vAlign w:val="top"/>
            <w:tcBorders>
              <w:top w:val="single" w:color="000000" w:sz="10" w:space="0"/>
            </w:tcBorders>
          </w:tcPr>
          <w:p>
            <w:pPr>
              <w:ind w:left="721"/>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w:t>
            </w:r>
          </w:p>
        </w:tc>
        <w:tc>
          <w:tcPr>
            <w:tcW w:w="1704" w:type="dxa"/>
            <w:vAlign w:val="top"/>
            <w:tcBorders>
              <w:right w:val="nil"/>
              <w:top w:val="single" w:color="000000" w:sz="10" w:space="0"/>
            </w:tcBorders>
          </w:tcPr>
          <w:p>
            <w:pPr>
              <w:ind w:left="72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U3</w:t>
            </w:r>
          </w:p>
        </w:tc>
      </w:tr>
      <w:tr>
        <w:trPr>
          <w:trHeight w:val="314" w:hRule="atLeast"/>
        </w:trPr>
        <w:tc>
          <w:tcPr>
            <w:tcW w:w="1278" w:type="dxa"/>
            <w:vAlign w:val="top"/>
            <w:tcBorders>
              <w:left w:val="nil"/>
            </w:tcBorders>
          </w:tcPr>
          <w:p>
            <w:pPr>
              <w:ind w:left="610"/>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29" w:type="dxa"/>
            <w:vAlign w:val="top"/>
          </w:tcPr>
          <w:p>
            <w:pPr>
              <w:ind w:left="950"/>
              <w:spacing w:before="81"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position w:val="-1"/>
              </w:rPr>
              <w:t>K</w:t>
            </w:r>
            <w:r>
              <w:rPr>
                <w:rFonts w:ascii="Times New Roman" w:hAnsi="Times New Roman" w:eastAsia="Times New Roman" w:cs="Times New Roman"/>
                <w:sz w:val="13"/>
                <w:szCs w:val="13"/>
                <w:spacing w:val="3"/>
                <w:position w:val="5"/>
              </w:rPr>
              <w:t>+</w:t>
            </w:r>
          </w:p>
        </w:tc>
        <w:tc>
          <w:tcPr>
            <w:tcW w:w="1704" w:type="dxa"/>
            <w:vAlign w:val="top"/>
          </w:tcPr>
          <w:p>
            <w:pPr>
              <w:ind w:left="67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703" w:type="dxa"/>
            <w:vAlign w:val="top"/>
          </w:tcPr>
          <w:p>
            <w:pPr>
              <w:ind w:left="67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0.26</w:t>
            </w:r>
          </w:p>
        </w:tc>
        <w:tc>
          <w:tcPr>
            <w:tcW w:w="1704" w:type="dxa"/>
            <w:vAlign w:val="top"/>
            <w:tcBorders>
              <w:right w:val="nil"/>
            </w:tcBorders>
          </w:tcPr>
          <w:p>
            <w:pPr>
              <w:ind w:left="674"/>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0.73</w:t>
            </w:r>
          </w:p>
        </w:tc>
      </w:tr>
      <w:tr>
        <w:trPr>
          <w:trHeight w:val="314" w:hRule="atLeast"/>
        </w:trPr>
        <w:tc>
          <w:tcPr>
            <w:tcW w:w="1278" w:type="dxa"/>
            <w:vAlign w:val="top"/>
            <w:tcBorders>
              <w:left w:val="nil"/>
            </w:tcBorders>
          </w:tcPr>
          <w:p>
            <w:pPr>
              <w:ind w:left="58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9" w:type="dxa"/>
            <w:vAlign w:val="top"/>
          </w:tcPr>
          <w:p>
            <w:pPr>
              <w:ind w:left="898"/>
              <w:spacing w:before="85"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Na</w:t>
            </w:r>
            <w:r>
              <w:rPr>
                <w:rFonts w:ascii="Times New Roman" w:hAnsi="Times New Roman" w:eastAsia="Times New Roman" w:cs="Times New Roman"/>
                <w:sz w:val="13"/>
                <w:szCs w:val="13"/>
                <w:spacing w:val="15"/>
                <w:position w:val="5"/>
              </w:rPr>
              <w:t>+</w:t>
            </w:r>
          </w:p>
        </w:tc>
        <w:tc>
          <w:tcPr>
            <w:tcW w:w="1704" w:type="dxa"/>
            <w:vAlign w:val="top"/>
          </w:tcPr>
          <w:p>
            <w:pPr>
              <w:ind w:left="69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1703" w:type="dxa"/>
            <w:vAlign w:val="top"/>
          </w:tcPr>
          <w:p>
            <w:pPr>
              <w:ind w:left="69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1704" w:type="dxa"/>
            <w:vAlign w:val="top"/>
            <w:tcBorders>
              <w:right w:val="nil"/>
            </w:tcBorders>
          </w:tcPr>
          <w:p>
            <w:pPr>
              <w:ind w:left="72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trPr>
          <w:trHeight w:val="314" w:hRule="atLeast"/>
        </w:trPr>
        <w:tc>
          <w:tcPr>
            <w:tcW w:w="1278" w:type="dxa"/>
            <w:vAlign w:val="top"/>
            <w:tcBorders>
              <w:left w:val="nil"/>
            </w:tcBorders>
          </w:tcPr>
          <w:p>
            <w:pPr>
              <w:ind w:left="594"/>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29" w:type="dxa"/>
            <w:vAlign w:val="top"/>
          </w:tcPr>
          <w:p>
            <w:pPr>
              <w:ind w:left="879"/>
              <w:spacing w:before="77"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Ca</w:t>
            </w:r>
            <w:r>
              <w:rPr>
                <w:rFonts w:ascii="Times New Roman" w:hAnsi="Times New Roman" w:eastAsia="Times New Roman" w:cs="Times New Roman"/>
                <w:sz w:val="13"/>
                <w:szCs w:val="13"/>
                <w:spacing w:val="5"/>
                <w:position w:val="4"/>
              </w:rPr>
              <w:t>2+</w:t>
            </w:r>
          </w:p>
        </w:tc>
        <w:tc>
          <w:tcPr>
            <w:tcW w:w="1704" w:type="dxa"/>
            <w:vAlign w:val="top"/>
          </w:tcPr>
          <w:p>
            <w:pPr>
              <w:ind w:left="753"/>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703" w:type="dxa"/>
            <w:vAlign w:val="top"/>
          </w:tcPr>
          <w:p>
            <w:pPr>
              <w:ind w:left="675"/>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5.17</w:t>
            </w:r>
          </w:p>
        </w:tc>
        <w:tc>
          <w:tcPr>
            <w:tcW w:w="1704" w:type="dxa"/>
            <w:vAlign w:val="top"/>
            <w:tcBorders>
              <w:right w:val="nil"/>
            </w:tcBorders>
          </w:tcPr>
          <w:p>
            <w:pPr>
              <w:ind w:left="675"/>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39.7</w:t>
            </w:r>
          </w:p>
        </w:tc>
      </w:tr>
      <w:tr>
        <w:trPr>
          <w:trHeight w:val="314" w:hRule="atLeast"/>
        </w:trPr>
        <w:tc>
          <w:tcPr>
            <w:tcW w:w="1278" w:type="dxa"/>
            <w:vAlign w:val="top"/>
            <w:tcBorders>
              <w:left w:val="nil"/>
            </w:tcBorders>
          </w:tcPr>
          <w:p>
            <w:pPr>
              <w:ind w:left="588"/>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129" w:type="dxa"/>
            <w:vAlign w:val="top"/>
          </w:tcPr>
          <w:p>
            <w:pPr>
              <w:ind w:left="847"/>
              <w:spacing w:before="79"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Mg</w:t>
            </w:r>
            <w:r>
              <w:rPr>
                <w:rFonts w:ascii="Times New Roman" w:hAnsi="Times New Roman" w:eastAsia="Times New Roman" w:cs="Times New Roman"/>
                <w:sz w:val="13"/>
                <w:szCs w:val="13"/>
                <w:spacing w:val="8"/>
                <w:position w:val="5"/>
              </w:rPr>
              <w:t>2+</w:t>
            </w:r>
          </w:p>
        </w:tc>
        <w:tc>
          <w:tcPr>
            <w:tcW w:w="1704" w:type="dxa"/>
            <w:vAlign w:val="top"/>
          </w:tcPr>
          <w:p>
            <w:pPr>
              <w:ind w:left="67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58.4</w:t>
            </w:r>
          </w:p>
        </w:tc>
        <w:tc>
          <w:tcPr>
            <w:tcW w:w="1703" w:type="dxa"/>
            <w:vAlign w:val="top"/>
          </w:tcPr>
          <w:p>
            <w:pPr>
              <w:ind w:left="7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153</w:t>
            </w:r>
          </w:p>
        </w:tc>
        <w:tc>
          <w:tcPr>
            <w:tcW w:w="1704" w:type="dxa"/>
            <w:vAlign w:val="top"/>
            <w:tcBorders>
              <w:right w:val="nil"/>
            </w:tcBorders>
          </w:tcPr>
          <w:p>
            <w:pPr>
              <w:ind w:left="679"/>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83.2</w:t>
            </w:r>
          </w:p>
        </w:tc>
      </w:tr>
      <w:tr>
        <w:trPr>
          <w:trHeight w:val="314" w:hRule="atLeast"/>
        </w:trPr>
        <w:tc>
          <w:tcPr>
            <w:tcW w:w="1278" w:type="dxa"/>
            <w:vAlign w:val="top"/>
            <w:tcBorders>
              <w:left w:val="nil"/>
            </w:tcBorders>
          </w:tcPr>
          <w:p>
            <w:pPr>
              <w:ind w:left="595"/>
              <w:spacing w:before="10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9" w:type="dxa"/>
            <w:vAlign w:val="top"/>
          </w:tcPr>
          <w:p>
            <w:pPr>
              <w:ind w:left="831"/>
              <w:spacing w:before="83" w:line="21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z w:val="13"/>
                <w:szCs w:val="13"/>
                <w:spacing w:val="5"/>
                <w:position w:val="-2"/>
              </w:rPr>
              <w:t>3</w:t>
            </w:r>
            <w:r>
              <w:rPr>
                <w:rFonts w:ascii="Times New Roman" w:hAnsi="Times New Roman" w:eastAsia="Times New Roman" w:cs="Times New Roman"/>
                <w:sz w:val="13"/>
                <w:szCs w:val="13"/>
                <w:spacing w:val="5"/>
                <w:position w:val="6"/>
              </w:rPr>
              <w:t>2-</w:t>
            </w:r>
          </w:p>
        </w:tc>
        <w:tc>
          <w:tcPr>
            <w:tcW w:w="1704" w:type="dxa"/>
            <w:vAlign w:val="top"/>
          </w:tcPr>
          <w:p>
            <w:pPr>
              <w:ind w:left="80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03" w:type="dxa"/>
            <w:vAlign w:val="top"/>
          </w:tcPr>
          <w:p>
            <w:pPr>
              <w:ind w:left="80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04" w:type="dxa"/>
            <w:vAlign w:val="top"/>
            <w:tcBorders>
              <w:right w:val="nil"/>
            </w:tcBorders>
          </w:tcPr>
          <w:p>
            <w:pPr>
              <w:ind w:left="80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315" w:hRule="atLeast"/>
        </w:trPr>
        <w:tc>
          <w:tcPr>
            <w:tcW w:w="1278" w:type="dxa"/>
            <w:vAlign w:val="top"/>
            <w:tcBorders>
              <w:left w:val="nil"/>
            </w:tcBorders>
          </w:tcPr>
          <w:p>
            <w:pPr>
              <w:ind w:left="59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29" w:type="dxa"/>
            <w:vAlign w:val="top"/>
          </w:tcPr>
          <w:p>
            <w:pPr>
              <w:ind w:left="787"/>
              <w:spacing w:before="8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z w:val="13"/>
                <w:szCs w:val="13"/>
                <w:spacing w:val="11"/>
                <w:position w:val="6"/>
              </w:rPr>
              <w:t>3-</w:t>
            </w:r>
          </w:p>
        </w:tc>
        <w:tc>
          <w:tcPr>
            <w:tcW w:w="1704" w:type="dxa"/>
            <w:vAlign w:val="top"/>
          </w:tcPr>
          <w:p>
            <w:pPr>
              <w:ind w:left="70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897</w:t>
            </w:r>
          </w:p>
        </w:tc>
        <w:tc>
          <w:tcPr>
            <w:tcW w:w="1703" w:type="dxa"/>
            <w:vAlign w:val="top"/>
          </w:tcPr>
          <w:p>
            <w:pPr>
              <w:ind w:left="66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1183</w:t>
            </w:r>
          </w:p>
        </w:tc>
        <w:tc>
          <w:tcPr>
            <w:tcW w:w="1704" w:type="dxa"/>
            <w:vAlign w:val="top"/>
            <w:tcBorders>
              <w:right w:val="nil"/>
            </w:tcBorders>
          </w:tcPr>
          <w:p>
            <w:pPr>
              <w:ind w:left="70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769</w:t>
            </w:r>
          </w:p>
        </w:tc>
      </w:tr>
      <w:tr>
        <w:trPr>
          <w:trHeight w:val="314" w:hRule="atLeast"/>
        </w:trPr>
        <w:tc>
          <w:tcPr>
            <w:tcW w:w="1278" w:type="dxa"/>
            <w:vAlign w:val="top"/>
            <w:tcBorders>
              <w:left w:val="nil"/>
            </w:tcBorders>
          </w:tcPr>
          <w:p>
            <w:pPr>
              <w:ind w:left="593"/>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9" w:type="dxa"/>
            <w:vAlign w:val="top"/>
          </w:tcPr>
          <w:p>
            <w:pPr>
              <w:ind w:left="849"/>
              <w:spacing w:before="87" w:line="21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2"/>
              </w:rPr>
              <w:t>4</w:t>
            </w:r>
            <w:r>
              <w:rPr>
                <w:rFonts w:ascii="Times New Roman" w:hAnsi="Times New Roman" w:eastAsia="Times New Roman" w:cs="Times New Roman"/>
                <w:sz w:val="13"/>
                <w:szCs w:val="13"/>
                <w:spacing w:val="3"/>
                <w:position w:val="6"/>
              </w:rPr>
              <w:t>2-</w:t>
            </w:r>
          </w:p>
        </w:tc>
        <w:tc>
          <w:tcPr>
            <w:tcW w:w="1704" w:type="dxa"/>
            <w:vAlign w:val="top"/>
          </w:tcPr>
          <w:p>
            <w:pPr>
              <w:ind w:left="66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w:t>
            </w:r>
          </w:p>
        </w:tc>
        <w:tc>
          <w:tcPr>
            <w:tcW w:w="1703" w:type="dxa"/>
            <w:vAlign w:val="top"/>
          </w:tcPr>
          <w:p>
            <w:pPr>
              <w:ind w:left="71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115</w:t>
            </w:r>
          </w:p>
        </w:tc>
        <w:tc>
          <w:tcPr>
            <w:tcW w:w="1704" w:type="dxa"/>
            <w:vAlign w:val="top"/>
            <w:tcBorders>
              <w:right w:val="nil"/>
            </w:tcBorders>
          </w:tcPr>
          <w:p>
            <w:pPr>
              <w:ind w:left="67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67.5</w:t>
            </w:r>
          </w:p>
        </w:tc>
      </w:tr>
      <w:tr>
        <w:trPr>
          <w:trHeight w:val="338" w:hRule="atLeast"/>
        </w:trPr>
        <w:tc>
          <w:tcPr>
            <w:tcW w:w="1278" w:type="dxa"/>
            <w:vAlign w:val="top"/>
            <w:tcBorders>
              <w:left w:val="nil"/>
              <w:bottom w:val="single" w:color="000000" w:sz="10" w:space="0"/>
            </w:tcBorders>
          </w:tcPr>
          <w:p>
            <w:pPr>
              <w:ind w:left="59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29" w:type="dxa"/>
            <w:vAlign w:val="top"/>
            <w:tcBorders>
              <w:bottom w:val="single" w:color="000000" w:sz="10" w:space="0"/>
            </w:tcBorders>
          </w:tcPr>
          <w:p>
            <w:pPr>
              <w:pStyle w:val="TableText"/>
              <w:ind w:left="765"/>
              <w:spacing w:before="74" w:line="229" w:lineRule="auto"/>
              <w:rPr/>
            </w:pPr>
            <w:r>
              <w:rPr>
                <w:spacing w:val="3"/>
              </w:rPr>
              <w:t>氯化物</w:t>
            </w:r>
          </w:p>
        </w:tc>
        <w:tc>
          <w:tcPr>
            <w:tcW w:w="1704" w:type="dxa"/>
            <w:vAlign w:val="top"/>
            <w:tcBorders>
              <w:bottom w:val="single" w:color="000000" w:sz="10" w:space="0"/>
            </w:tcBorders>
          </w:tcPr>
          <w:p>
            <w:pPr>
              <w:ind w:left="71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157</w:t>
            </w:r>
          </w:p>
        </w:tc>
        <w:tc>
          <w:tcPr>
            <w:tcW w:w="1703" w:type="dxa"/>
            <w:vAlign w:val="top"/>
            <w:tcBorders>
              <w:bottom w:val="single" w:color="000000" w:sz="10" w:space="0"/>
            </w:tcBorders>
          </w:tcPr>
          <w:p>
            <w:pPr>
              <w:ind w:left="69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413</w:t>
            </w:r>
          </w:p>
        </w:tc>
        <w:tc>
          <w:tcPr>
            <w:tcW w:w="1704" w:type="dxa"/>
            <w:vAlign w:val="top"/>
            <w:tcBorders>
              <w:right w:val="nil"/>
              <w:bottom w:val="single" w:color="000000" w:sz="10" w:space="0"/>
            </w:tcBorders>
          </w:tcPr>
          <w:p>
            <w:pPr>
              <w:ind w:left="69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237</w:t>
            </w:r>
          </w:p>
        </w:tc>
      </w:tr>
    </w:tbl>
    <w:p>
      <w:pPr>
        <w:pStyle w:val="BodyText"/>
        <w:rPr/>
      </w:pPr>
      <w:r/>
    </w:p>
    <w:p>
      <w:pPr>
        <w:sectPr>
          <w:footerReference w:type="default" r:id="rId252"/>
          <w:pgSz w:w="11906" w:h="16839"/>
          <w:pgMar w:top="400" w:right="1614" w:bottom="1358" w:left="1691" w:header="0" w:footer="1195" w:gutter="0"/>
        </w:sectPr>
        <w:rPr/>
      </w:pP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123" w:right="107" w:firstLine="480"/>
        <w:spacing w:before="78" w:line="359" w:lineRule="auto"/>
        <w:jc w:val="both"/>
        <w:rPr>
          <w:rFonts w:ascii="FangSong" w:hAnsi="FangSong" w:eastAsia="FangSong" w:cs="FangSong"/>
          <w:sz w:val="24"/>
          <w:szCs w:val="24"/>
        </w:rPr>
      </w:pPr>
      <w:r>
        <w:rPr>
          <w:rFonts w:ascii="FangSong" w:hAnsi="FangSong" w:eastAsia="FangSong" w:cs="FangSong"/>
          <w:sz w:val="24"/>
          <w:szCs w:val="24"/>
          <w:spacing w:val="-2"/>
        </w:rPr>
        <w:t>将各监测点的</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K</w:t>
      </w:r>
      <w:r>
        <w:rPr>
          <w:rFonts w:ascii="Times New Roman" w:hAnsi="Times New Roman" w:eastAsia="Times New Roman" w:cs="Times New Roman"/>
          <w:sz w:val="15"/>
          <w:szCs w:val="15"/>
          <w:spacing w:val="-2"/>
          <w:position w:val="7"/>
        </w:rPr>
        <w:t>+</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Na</w:t>
      </w:r>
      <w:r>
        <w:rPr>
          <w:rFonts w:ascii="Times New Roman" w:hAnsi="Times New Roman" w:eastAsia="Times New Roman" w:cs="Times New Roman"/>
          <w:sz w:val="15"/>
          <w:szCs w:val="15"/>
          <w:spacing w:val="-2"/>
          <w:position w:val="7"/>
        </w:rPr>
        <w:t>+</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Ca</w:t>
      </w:r>
      <w:r>
        <w:rPr>
          <w:rFonts w:ascii="Times New Roman" w:hAnsi="Times New Roman" w:eastAsia="Times New Roman" w:cs="Times New Roman"/>
          <w:sz w:val="15"/>
          <w:szCs w:val="15"/>
          <w:spacing w:val="-2"/>
          <w:position w:val="7"/>
        </w:rPr>
        <w:t>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Mg</w:t>
      </w:r>
      <w:r>
        <w:rPr>
          <w:rFonts w:ascii="Times New Roman" w:hAnsi="Times New Roman" w:eastAsia="Times New Roman" w:cs="Times New Roman"/>
          <w:sz w:val="15"/>
          <w:szCs w:val="15"/>
          <w:spacing w:val="-2"/>
          <w:position w:val="7"/>
        </w:rPr>
        <w:t>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CO</w:t>
      </w:r>
      <w:r>
        <w:rPr>
          <w:rFonts w:ascii="Times New Roman" w:hAnsi="Times New Roman" w:eastAsia="Times New Roman" w:cs="Times New Roman"/>
          <w:sz w:val="15"/>
          <w:szCs w:val="15"/>
          <w:spacing w:val="-2"/>
          <w:position w:val="-2"/>
        </w:rPr>
        <w:t>3</w:t>
      </w:r>
      <w:r>
        <w:rPr>
          <w:rFonts w:ascii="Times New Roman" w:hAnsi="Times New Roman" w:eastAsia="Times New Roman" w:cs="Times New Roman"/>
          <w:sz w:val="15"/>
          <w:szCs w:val="15"/>
          <w:spacing w:val="-2"/>
          <w:position w:val="7"/>
        </w:rPr>
        <w:t>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HCO</w:t>
      </w:r>
      <w:r>
        <w:rPr>
          <w:rFonts w:ascii="Times New Roman" w:hAnsi="Times New Roman" w:eastAsia="Times New Roman" w:cs="Times New Roman"/>
          <w:sz w:val="15"/>
          <w:szCs w:val="15"/>
          <w:spacing w:val="-2"/>
          <w:position w:val="-2"/>
        </w:rPr>
        <w:t>3</w:t>
      </w:r>
      <w:r>
        <w:rPr>
          <w:rFonts w:ascii="Times New Roman" w:hAnsi="Times New Roman" w:eastAsia="Times New Roman" w:cs="Times New Roman"/>
          <w:sz w:val="15"/>
          <w:szCs w:val="15"/>
          <w:spacing w:val="-2"/>
          <w:position w:val="7"/>
        </w:rPr>
        <w:t>-</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Cl</w:t>
      </w:r>
      <w:r>
        <w:rPr>
          <w:rFonts w:ascii="Times New Roman" w:hAnsi="Times New Roman" w:eastAsia="Times New Roman" w:cs="Times New Roman"/>
          <w:sz w:val="15"/>
          <w:szCs w:val="15"/>
          <w:spacing w:val="-2"/>
          <w:position w:val="7"/>
        </w:rPr>
        <w:t>-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SO</w:t>
      </w:r>
      <w:r>
        <w:rPr>
          <w:rFonts w:ascii="Times New Roman" w:hAnsi="Times New Roman" w:eastAsia="Times New Roman" w:cs="Times New Roman"/>
          <w:sz w:val="15"/>
          <w:szCs w:val="15"/>
          <w:spacing w:val="-2"/>
          <w:position w:val="-2"/>
        </w:rPr>
        <w:t>4</w:t>
      </w:r>
      <w:r>
        <w:rPr>
          <w:rFonts w:ascii="Times New Roman" w:hAnsi="Times New Roman" w:eastAsia="Times New Roman" w:cs="Times New Roman"/>
          <w:sz w:val="15"/>
          <w:szCs w:val="15"/>
          <w:spacing w:val="-2"/>
        </w:rPr>
        <w:t>2-</w:t>
      </w:r>
      <w:r>
        <w:rPr>
          <w:rFonts w:ascii="FangSong" w:hAnsi="FangSong" w:eastAsia="FangSong" w:cs="FangSong"/>
          <w:sz w:val="24"/>
          <w:szCs w:val="24"/>
          <w:spacing w:val="-2"/>
        </w:rPr>
        <w:t>质</w:t>
      </w:r>
      <w:r>
        <w:rPr>
          <w:rFonts w:ascii="FangSong" w:hAnsi="FangSong" w:eastAsia="FangSong" w:cs="FangSong"/>
          <w:sz w:val="24"/>
          <w:szCs w:val="24"/>
          <w:spacing w:val="-3"/>
        </w:rPr>
        <w:t>量浓度换</w:t>
      </w:r>
      <w:r>
        <w:rPr>
          <w:rFonts w:ascii="FangSong" w:hAnsi="FangSong" w:eastAsia="FangSong" w:cs="FangSong"/>
          <w:sz w:val="24"/>
          <w:szCs w:val="24"/>
          <w:spacing w:val="-3"/>
        </w:rPr>
        <w:t>算为物质的量浓度，然后进行阴阳离子平衡校核，既判定阴离子物</w:t>
      </w:r>
      <w:r>
        <w:rPr>
          <w:rFonts w:ascii="FangSong" w:hAnsi="FangSong" w:eastAsia="FangSong" w:cs="FangSong"/>
          <w:sz w:val="24"/>
          <w:szCs w:val="24"/>
          <w:spacing w:val="-4"/>
        </w:rPr>
        <w:t>质的量浓度综</w:t>
      </w:r>
      <w:r>
        <w:rPr>
          <w:rFonts w:ascii="FangSong" w:hAnsi="FangSong" w:eastAsia="FangSong" w:cs="FangSong"/>
          <w:sz w:val="24"/>
          <w:szCs w:val="24"/>
          <w:spacing w:val="-1"/>
        </w:rPr>
        <w:t>合</w:t>
      </w:r>
      <w:r>
        <w:rPr>
          <w:rFonts w:ascii="FangSong" w:hAnsi="FangSong" w:eastAsia="FangSong" w:cs="FangSong"/>
          <w:sz w:val="24"/>
          <w:szCs w:val="24"/>
          <w:spacing w:val="-83"/>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1"/>
        </w:rPr>
        <w:t>与阳离子物质的量浓度综合∑</w:t>
      </w:r>
      <w:r>
        <w:rPr>
          <w:rFonts w:ascii="Times New Roman" w:hAnsi="Times New Roman" w:eastAsia="Times New Roman" w:cs="Times New Roman"/>
          <w:sz w:val="24"/>
          <w:szCs w:val="24"/>
          <w:spacing w:val="-1"/>
        </w:rPr>
        <w:t>c</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是否接近。经计</w:t>
      </w:r>
      <w:r>
        <w:rPr>
          <w:rFonts w:ascii="FangSong" w:hAnsi="FangSong" w:eastAsia="FangSong" w:cs="FangSong"/>
          <w:sz w:val="24"/>
          <w:szCs w:val="24"/>
          <w:spacing w:val="-2"/>
        </w:rPr>
        <w:t>算，阴离子普遍高于阳离</w:t>
      </w:r>
      <w:r>
        <w:rPr>
          <w:rFonts w:ascii="FangSong" w:hAnsi="FangSong" w:eastAsia="FangSong" w:cs="FangSong"/>
          <w:sz w:val="24"/>
          <w:szCs w:val="24"/>
          <w:spacing w:val="-1"/>
        </w:rPr>
        <w:t>子，各监测点阴阳离子基本平衡，判定结果见表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5.5-1</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w:t>
      </w:r>
    </w:p>
    <w:p>
      <w:pPr>
        <w:ind w:left="2674"/>
        <w:spacing w:before="2"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5.5-12  </w:t>
      </w:r>
      <w:r>
        <w:rPr>
          <w:rFonts w:ascii="FangSong" w:hAnsi="FangSong" w:eastAsia="FangSong" w:cs="FangSong"/>
          <w:sz w:val="24"/>
          <w:szCs w:val="24"/>
          <w:b/>
          <w:bCs/>
          <w:spacing w:val="-3"/>
        </w:rPr>
        <w:t>离子平衡结果统计表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1420"/>
        <w:gridCol w:w="1420"/>
        <w:gridCol w:w="1420"/>
        <w:gridCol w:w="1421"/>
        <w:gridCol w:w="1421"/>
      </w:tblGrid>
      <w:tr>
        <w:trPr>
          <w:trHeight w:val="319" w:hRule="atLeast"/>
        </w:trPr>
        <w:tc>
          <w:tcPr>
            <w:tcW w:w="1420" w:type="dxa"/>
            <w:vAlign w:val="top"/>
            <w:tcBorders>
              <w:left w:val="nil"/>
              <w:top w:val="single" w:color="000000" w:sz="10" w:space="0"/>
            </w:tcBorders>
          </w:tcPr>
          <w:p>
            <w:pPr>
              <w:pStyle w:val="TableText"/>
              <w:ind w:left="512"/>
              <w:spacing w:before="55" w:line="231" w:lineRule="auto"/>
              <w:rPr/>
            </w:pPr>
            <w:r>
              <w:rPr>
                <w:spacing w:val="2"/>
              </w:rPr>
              <w:t>序号</w:t>
            </w:r>
          </w:p>
        </w:tc>
        <w:tc>
          <w:tcPr>
            <w:tcW w:w="1420" w:type="dxa"/>
            <w:vAlign w:val="top"/>
            <w:tcBorders>
              <w:top w:val="single" w:color="000000" w:sz="10" w:space="0"/>
            </w:tcBorders>
          </w:tcPr>
          <w:p>
            <w:pPr>
              <w:pStyle w:val="TableText"/>
              <w:ind w:left="512"/>
              <w:spacing w:before="55" w:line="232" w:lineRule="auto"/>
              <w:rPr/>
            </w:pPr>
            <w:r>
              <w:rPr>
                <w:spacing w:val="1"/>
              </w:rPr>
              <w:t>项目</w:t>
            </w:r>
          </w:p>
        </w:tc>
        <w:tc>
          <w:tcPr>
            <w:tcW w:w="1420" w:type="dxa"/>
            <w:vAlign w:val="top"/>
            <w:tcBorders>
              <w:top w:val="single" w:color="000000" w:sz="10" w:space="0"/>
            </w:tcBorders>
          </w:tcPr>
          <w:p>
            <w:pPr>
              <w:pStyle w:val="TableText"/>
              <w:ind w:left="516"/>
              <w:spacing w:before="56" w:line="229" w:lineRule="auto"/>
              <w:rPr/>
            </w:pPr>
            <w:r>
              <w:rPr>
                <w:spacing w:val="-1"/>
              </w:rPr>
              <w:t>单位</w:t>
            </w:r>
          </w:p>
        </w:tc>
        <w:tc>
          <w:tcPr>
            <w:tcW w:w="1420" w:type="dxa"/>
            <w:vAlign w:val="top"/>
            <w:tcBorders>
              <w:top w:val="single" w:color="000000" w:sz="10" w:space="0"/>
            </w:tcBorders>
          </w:tcPr>
          <w:p>
            <w:pPr>
              <w:ind w:left="57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U1</w:t>
            </w:r>
          </w:p>
        </w:tc>
        <w:tc>
          <w:tcPr>
            <w:tcW w:w="1421" w:type="dxa"/>
            <w:vAlign w:val="top"/>
            <w:tcBorders>
              <w:top w:val="single" w:color="000000" w:sz="10" w:space="0"/>
            </w:tcBorders>
          </w:tcPr>
          <w:p>
            <w:pPr>
              <w:ind w:left="58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w:t>
            </w:r>
          </w:p>
        </w:tc>
        <w:tc>
          <w:tcPr>
            <w:tcW w:w="1421" w:type="dxa"/>
            <w:vAlign w:val="top"/>
            <w:tcBorders>
              <w:right w:val="nil"/>
              <w:top w:val="single" w:color="000000" w:sz="10" w:space="0"/>
            </w:tcBorders>
          </w:tcPr>
          <w:p>
            <w:pPr>
              <w:ind w:left="57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U3</w:t>
            </w:r>
          </w:p>
        </w:tc>
      </w:tr>
      <w:tr>
        <w:trPr>
          <w:trHeight w:val="314" w:hRule="atLeast"/>
        </w:trPr>
        <w:tc>
          <w:tcPr>
            <w:tcW w:w="1420" w:type="dxa"/>
            <w:vAlign w:val="top"/>
            <w:tcBorders>
              <w:left w:val="nil"/>
            </w:tcBorders>
          </w:tcPr>
          <w:p>
            <w:pPr>
              <w:ind w:left="682"/>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0" w:type="dxa"/>
            <w:vAlign w:val="top"/>
          </w:tcPr>
          <w:p>
            <w:pPr>
              <w:ind w:left="597"/>
              <w:spacing w:before="8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position w:val="-1"/>
              </w:rPr>
              <w:t>K</w:t>
            </w:r>
            <w:r>
              <w:rPr>
                <w:rFonts w:ascii="Times New Roman" w:hAnsi="Times New Roman" w:eastAsia="Times New Roman" w:cs="Times New Roman"/>
                <w:sz w:val="13"/>
                <w:szCs w:val="13"/>
                <w:spacing w:val="3"/>
                <w:position w:val="5"/>
              </w:rPr>
              <w:t>+</w:t>
            </w:r>
          </w:p>
        </w:tc>
        <w:tc>
          <w:tcPr>
            <w:tcW w:w="1420" w:type="dxa"/>
            <w:vAlign w:val="top"/>
          </w:tcPr>
          <w:p>
            <w:pPr>
              <w:ind w:left="370"/>
              <w:spacing w:before="8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3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1421" w:type="dxa"/>
            <w:vAlign w:val="top"/>
          </w:tcPr>
          <w:p>
            <w:pPr>
              <w:ind w:left="53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w:t>
            </w:r>
          </w:p>
        </w:tc>
        <w:tc>
          <w:tcPr>
            <w:tcW w:w="1421" w:type="dxa"/>
            <w:vAlign w:val="top"/>
            <w:tcBorders>
              <w:right w:val="nil"/>
            </w:tcBorders>
          </w:tcPr>
          <w:p>
            <w:pPr>
              <w:ind w:left="53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r>
      <w:tr>
        <w:trPr>
          <w:trHeight w:val="315" w:hRule="atLeast"/>
        </w:trPr>
        <w:tc>
          <w:tcPr>
            <w:tcW w:w="1420" w:type="dxa"/>
            <w:vAlign w:val="top"/>
            <w:tcBorders>
              <w:left w:val="nil"/>
            </w:tcBorders>
          </w:tcPr>
          <w:p>
            <w:pPr>
              <w:ind w:left="66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20" w:type="dxa"/>
            <w:vAlign w:val="top"/>
          </w:tcPr>
          <w:p>
            <w:pPr>
              <w:ind w:left="542"/>
              <w:spacing w:before="85" w:line="20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Na</w:t>
            </w:r>
            <w:r>
              <w:rPr>
                <w:rFonts w:ascii="Times New Roman" w:hAnsi="Times New Roman" w:eastAsia="Times New Roman" w:cs="Times New Roman"/>
                <w:sz w:val="13"/>
                <w:szCs w:val="13"/>
                <w:spacing w:val="17"/>
                <w:position w:val="5"/>
              </w:rPr>
              <w:t>+</w:t>
            </w:r>
          </w:p>
        </w:tc>
        <w:tc>
          <w:tcPr>
            <w:tcW w:w="1420" w:type="dxa"/>
            <w:vAlign w:val="top"/>
          </w:tcPr>
          <w:p>
            <w:pPr>
              <w:ind w:left="370"/>
              <w:spacing w:before="9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3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0.47</w:t>
            </w:r>
          </w:p>
        </w:tc>
        <w:tc>
          <w:tcPr>
            <w:tcW w:w="1421" w:type="dxa"/>
            <w:vAlign w:val="top"/>
          </w:tcPr>
          <w:p>
            <w:pPr>
              <w:ind w:left="53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0.74</w:t>
            </w:r>
          </w:p>
        </w:tc>
        <w:tc>
          <w:tcPr>
            <w:tcW w:w="1421" w:type="dxa"/>
            <w:vAlign w:val="top"/>
            <w:tcBorders>
              <w:right w:val="nil"/>
            </w:tcBorders>
          </w:tcPr>
          <w:p>
            <w:pPr>
              <w:ind w:left="53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0.23</w:t>
            </w:r>
          </w:p>
        </w:tc>
      </w:tr>
      <w:tr>
        <w:trPr>
          <w:trHeight w:val="314" w:hRule="atLeast"/>
        </w:trPr>
        <w:tc>
          <w:tcPr>
            <w:tcW w:w="1420" w:type="dxa"/>
            <w:vAlign w:val="top"/>
            <w:tcBorders>
              <w:left w:val="nil"/>
            </w:tcBorders>
          </w:tcPr>
          <w:p>
            <w:pPr>
              <w:ind w:left="666"/>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0" w:type="dxa"/>
            <w:vAlign w:val="top"/>
          </w:tcPr>
          <w:p>
            <w:pPr>
              <w:ind w:left="526"/>
              <w:spacing w:before="7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Ca</w:t>
            </w:r>
            <w:r>
              <w:rPr>
                <w:rFonts w:ascii="Times New Roman" w:hAnsi="Times New Roman" w:eastAsia="Times New Roman" w:cs="Times New Roman"/>
                <w:sz w:val="13"/>
                <w:szCs w:val="13"/>
                <w:spacing w:val="5"/>
                <w:position w:val="4"/>
              </w:rPr>
              <w:t>2+</w:t>
            </w:r>
          </w:p>
        </w:tc>
        <w:tc>
          <w:tcPr>
            <w:tcW w:w="1420" w:type="dxa"/>
            <w:vAlign w:val="top"/>
          </w:tcPr>
          <w:p>
            <w:pPr>
              <w:ind w:left="370"/>
              <w:spacing w:before="9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47"/>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1.55</w:t>
            </w:r>
          </w:p>
        </w:tc>
        <w:tc>
          <w:tcPr>
            <w:tcW w:w="1421" w:type="dxa"/>
            <w:vAlign w:val="top"/>
          </w:tcPr>
          <w:p>
            <w:pPr>
              <w:ind w:left="531"/>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0.26</w:t>
            </w:r>
          </w:p>
        </w:tc>
        <w:tc>
          <w:tcPr>
            <w:tcW w:w="1421" w:type="dxa"/>
            <w:vAlign w:val="top"/>
            <w:tcBorders>
              <w:right w:val="nil"/>
            </w:tcBorders>
          </w:tcPr>
          <w:p>
            <w:pPr>
              <w:ind w:left="548"/>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1.99</w:t>
            </w:r>
          </w:p>
        </w:tc>
      </w:tr>
      <w:tr>
        <w:trPr>
          <w:trHeight w:val="315" w:hRule="atLeast"/>
        </w:trPr>
        <w:tc>
          <w:tcPr>
            <w:tcW w:w="1420" w:type="dxa"/>
            <w:vAlign w:val="top"/>
            <w:tcBorders>
              <w:left w:val="nil"/>
            </w:tcBorders>
          </w:tcPr>
          <w:p>
            <w:pPr>
              <w:ind w:left="660"/>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420" w:type="dxa"/>
            <w:vAlign w:val="top"/>
          </w:tcPr>
          <w:p>
            <w:pPr>
              <w:ind w:left="493"/>
              <w:spacing w:before="78"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Mg</w:t>
            </w:r>
            <w:r>
              <w:rPr>
                <w:rFonts w:ascii="Times New Roman" w:hAnsi="Times New Roman" w:eastAsia="Times New Roman" w:cs="Times New Roman"/>
                <w:sz w:val="13"/>
                <w:szCs w:val="13"/>
                <w:spacing w:val="8"/>
                <w:position w:val="5"/>
              </w:rPr>
              <w:t>2+</w:t>
            </w:r>
          </w:p>
        </w:tc>
        <w:tc>
          <w:tcPr>
            <w:tcW w:w="1420" w:type="dxa"/>
            <w:vAlign w:val="top"/>
          </w:tcPr>
          <w:p>
            <w:pPr>
              <w:ind w:left="370"/>
              <w:spacing w:before="9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26"/>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4.79</w:t>
            </w:r>
          </w:p>
        </w:tc>
        <w:tc>
          <w:tcPr>
            <w:tcW w:w="1421" w:type="dxa"/>
            <w:vAlign w:val="top"/>
          </w:tcPr>
          <w:p>
            <w:pPr>
              <w:ind w:left="495"/>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12.54</w:t>
            </w:r>
          </w:p>
        </w:tc>
        <w:tc>
          <w:tcPr>
            <w:tcW w:w="1421" w:type="dxa"/>
            <w:vAlign w:val="top"/>
            <w:tcBorders>
              <w:right w:val="nil"/>
            </w:tcBorders>
          </w:tcPr>
          <w:p>
            <w:pPr>
              <w:ind w:left="532"/>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6.82</w:t>
            </w:r>
          </w:p>
        </w:tc>
      </w:tr>
      <w:tr>
        <w:trPr>
          <w:trHeight w:val="315" w:hRule="atLeast"/>
        </w:trPr>
        <w:tc>
          <w:tcPr>
            <w:tcW w:w="2840" w:type="dxa"/>
            <w:vAlign w:val="top"/>
            <w:gridSpan w:val="2"/>
            <w:tcBorders>
              <w:left w:val="nil"/>
            </w:tcBorders>
          </w:tcPr>
          <w:p>
            <w:pPr>
              <w:pStyle w:val="TableText"/>
              <w:ind w:left="921"/>
              <w:spacing w:before="64" w:line="222" w:lineRule="auto"/>
              <w:rPr/>
            </w:pPr>
            <w:r>
              <w:rPr>
                <w:spacing w:val="4"/>
              </w:rPr>
              <w:t>阳离子合计</w:t>
            </w:r>
          </w:p>
        </w:tc>
        <w:tc>
          <w:tcPr>
            <w:tcW w:w="1420" w:type="dxa"/>
            <w:vAlign w:val="top"/>
          </w:tcPr>
          <w:p>
            <w:pPr>
              <w:ind w:left="370"/>
              <w:spacing w:before="9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3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6.81</w:t>
            </w:r>
          </w:p>
        </w:tc>
        <w:tc>
          <w:tcPr>
            <w:tcW w:w="1421" w:type="dxa"/>
            <w:vAlign w:val="top"/>
          </w:tcPr>
          <w:p>
            <w:pPr>
              <w:ind w:left="49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13.55</w:t>
            </w:r>
          </w:p>
        </w:tc>
        <w:tc>
          <w:tcPr>
            <w:tcW w:w="1421" w:type="dxa"/>
            <w:vAlign w:val="top"/>
            <w:tcBorders>
              <w:right w:val="nil"/>
            </w:tcBorders>
          </w:tcPr>
          <w:p>
            <w:pPr>
              <w:ind w:left="53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9.05</w:t>
            </w:r>
          </w:p>
        </w:tc>
      </w:tr>
      <w:tr>
        <w:trPr>
          <w:trHeight w:val="315" w:hRule="atLeast"/>
        </w:trPr>
        <w:tc>
          <w:tcPr>
            <w:tcW w:w="1420" w:type="dxa"/>
            <w:vAlign w:val="top"/>
            <w:tcBorders>
              <w:left w:val="nil"/>
            </w:tcBorders>
          </w:tcPr>
          <w:p>
            <w:pPr>
              <w:ind w:left="667"/>
              <w:spacing w:before="10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20" w:type="dxa"/>
            <w:vAlign w:val="top"/>
          </w:tcPr>
          <w:p>
            <w:pPr>
              <w:ind w:left="478"/>
              <w:spacing w:before="84" w:line="21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z w:val="13"/>
                <w:szCs w:val="13"/>
                <w:spacing w:val="4"/>
                <w:position w:val="-2"/>
              </w:rPr>
              <w:t>3</w:t>
            </w:r>
            <w:r>
              <w:rPr>
                <w:rFonts w:ascii="Times New Roman" w:hAnsi="Times New Roman" w:eastAsia="Times New Roman" w:cs="Times New Roman"/>
                <w:sz w:val="13"/>
                <w:szCs w:val="13"/>
                <w:spacing w:val="4"/>
                <w:position w:val="5"/>
              </w:rPr>
              <w:t>2-</w:t>
            </w:r>
          </w:p>
        </w:tc>
        <w:tc>
          <w:tcPr>
            <w:tcW w:w="1420" w:type="dxa"/>
            <w:vAlign w:val="top"/>
          </w:tcPr>
          <w:p>
            <w:pPr>
              <w:ind w:left="370"/>
              <w:spacing w:before="9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30"/>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1421" w:type="dxa"/>
            <w:vAlign w:val="top"/>
          </w:tcPr>
          <w:p>
            <w:pPr>
              <w:ind w:left="531"/>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1421" w:type="dxa"/>
            <w:vAlign w:val="top"/>
            <w:tcBorders>
              <w:right w:val="nil"/>
            </w:tcBorders>
          </w:tcPr>
          <w:p>
            <w:pPr>
              <w:ind w:left="531"/>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r>
      <w:tr>
        <w:trPr>
          <w:trHeight w:val="315" w:hRule="atLeast"/>
        </w:trPr>
        <w:tc>
          <w:tcPr>
            <w:tcW w:w="1420" w:type="dxa"/>
            <w:vAlign w:val="top"/>
            <w:tcBorders>
              <w:left w:val="nil"/>
            </w:tcBorders>
          </w:tcPr>
          <w:p>
            <w:pPr>
              <w:ind w:left="66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20" w:type="dxa"/>
            <w:vAlign w:val="top"/>
          </w:tcPr>
          <w:p>
            <w:pPr>
              <w:ind w:left="431"/>
              <w:spacing w:before="102" w:line="20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z w:val="13"/>
                <w:szCs w:val="13"/>
                <w:spacing w:val="11"/>
                <w:position w:val="-1"/>
              </w:rPr>
              <w:t>3</w:t>
            </w:r>
            <w:r>
              <w:rPr>
                <w:rFonts w:ascii="Times New Roman" w:hAnsi="Times New Roman" w:eastAsia="Times New Roman" w:cs="Times New Roman"/>
                <w:sz w:val="13"/>
                <w:szCs w:val="13"/>
                <w:spacing w:val="11"/>
                <w:position w:val="6"/>
              </w:rPr>
              <w:t>-</w:t>
            </w:r>
          </w:p>
        </w:tc>
        <w:tc>
          <w:tcPr>
            <w:tcW w:w="1420" w:type="dxa"/>
            <w:vAlign w:val="top"/>
          </w:tcPr>
          <w:p>
            <w:pPr>
              <w:ind w:left="370"/>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49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14.70</w:t>
            </w:r>
          </w:p>
        </w:tc>
        <w:tc>
          <w:tcPr>
            <w:tcW w:w="1421" w:type="dxa"/>
            <w:vAlign w:val="top"/>
          </w:tcPr>
          <w:p>
            <w:pPr>
              <w:ind w:left="49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19.39</w:t>
            </w:r>
          </w:p>
        </w:tc>
        <w:tc>
          <w:tcPr>
            <w:tcW w:w="1421" w:type="dxa"/>
            <w:vAlign w:val="top"/>
            <w:tcBorders>
              <w:right w:val="nil"/>
            </w:tcBorders>
          </w:tcPr>
          <w:p>
            <w:pPr>
              <w:ind w:left="49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12.61</w:t>
            </w:r>
          </w:p>
        </w:tc>
      </w:tr>
      <w:tr>
        <w:trPr>
          <w:trHeight w:val="315" w:hRule="atLeast"/>
        </w:trPr>
        <w:tc>
          <w:tcPr>
            <w:tcW w:w="1420" w:type="dxa"/>
            <w:vAlign w:val="top"/>
            <w:tcBorders>
              <w:left w:val="nil"/>
            </w:tcBorders>
          </w:tcPr>
          <w:p>
            <w:pPr>
              <w:ind w:left="665"/>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20" w:type="dxa"/>
            <w:vAlign w:val="top"/>
          </w:tcPr>
          <w:p>
            <w:pPr>
              <w:ind w:left="593"/>
              <w:spacing w:before="103"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Cl</w:t>
            </w:r>
            <w:r>
              <w:rPr>
                <w:rFonts w:ascii="Times New Roman" w:hAnsi="Times New Roman" w:eastAsia="Times New Roman" w:cs="Times New Roman"/>
                <w:sz w:val="13"/>
                <w:szCs w:val="13"/>
                <w:spacing w:val="2"/>
                <w:position w:val="6"/>
              </w:rPr>
              <w:t>-</w:t>
            </w:r>
          </w:p>
        </w:tc>
        <w:tc>
          <w:tcPr>
            <w:tcW w:w="1420" w:type="dxa"/>
            <w:vAlign w:val="top"/>
          </w:tcPr>
          <w:p>
            <w:pPr>
              <w:ind w:left="370"/>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2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4.42</w:t>
            </w:r>
          </w:p>
        </w:tc>
        <w:tc>
          <w:tcPr>
            <w:tcW w:w="1421" w:type="dxa"/>
            <w:vAlign w:val="top"/>
          </w:tcPr>
          <w:p>
            <w:pPr>
              <w:ind w:left="50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11.63</w:t>
            </w:r>
          </w:p>
        </w:tc>
        <w:tc>
          <w:tcPr>
            <w:tcW w:w="1421" w:type="dxa"/>
            <w:vAlign w:val="top"/>
            <w:tcBorders>
              <w:right w:val="nil"/>
            </w:tcBorders>
          </w:tcPr>
          <w:p>
            <w:pPr>
              <w:ind w:left="53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6.68</w:t>
            </w:r>
          </w:p>
        </w:tc>
      </w:tr>
      <w:tr>
        <w:trPr>
          <w:trHeight w:val="315" w:hRule="atLeast"/>
        </w:trPr>
        <w:tc>
          <w:tcPr>
            <w:tcW w:w="1420" w:type="dxa"/>
            <w:vAlign w:val="top"/>
            <w:tcBorders>
              <w:left w:val="nil"/>
            </w:tcBorders>
          </w:tcPr>
          <w:p>
            <w:pPr>
              <w:ind w:left="670"/>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20" w:type="dxa"/>
            <w:vAlign w:val="top"/>
          </w:tcPr>
          <w:p>
            <w:pPr>
              <w:ind w:left="496"/>
              <w:spacing w:before="89" w:line="21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2"/>
              </w:rPr>
              <w:t>4</w:t>
            </w:r>
            <w:r>
              <w:rPr>
                <w:rFonts w:ascii="Times New Roman" w:hAnsi="Times New Roman" w:eastAsia="Times New Roman" w:cs="Times New Roman"/>
                <w:sz w:val="13"/>
                <w:szCs w:val="13"/>
                <w:spacing w:val="3"/>
                <w:position w:val="6"/>
              </w:rPr>
              <w:t>2-</w:t>
            </w:r>
          </w:p>
        </w:tc>
        <w:tc>
          <w:tcPr>
            <w:tcW w:w="1420" w:type="dxa"/>
            <w:vAlign w:val="top"/>
          </w:tcPr>
          <w:p>
            <w:pPr>
              <w:ind w:left="370"/>
              <w:spacing w:before="10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Pr>
          <w:p>
            <w:pPr>
              <w:ind w:left="530"/>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c>
          <w:tcPr>
            <w:tcW w:w="1421" w:type="dxa"/>
            <w:vAlign w:val="top"/>
          </w:tcPr>
          <w:p>
            <w:pPr>
              <w:ind w:left="52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2.40</w:t>
            </w:r>
          </w:p>
        </w:tc>
        <w:tc>
          <w:tcPr>
            <w:tcW w:w="1421" w:type="dxa"/>
            <w:vAlign w:val="top"/>
            <w:tcBorders>
              <w:right w:val="nil"/>
            </w:tcBorders>
          </w:tcPr>
          <w:p>
            <w:pPr>
              <w:ind w:left="54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1.41</w:t>
            </w:r>
          </w:p>
        </w:tc>
      </w:tr>
      <w:tr>
        <w:trPr>
          <w:trHeight w:val="338" w:hRule="atLeast"/>
        </w:trPr>
        <w:tc>
          <w:tcPr>
            <w:tcW w:w="2840" w:type="dxa"/>
            <w:vAlign w:val="top"/>
            <w:gridSpan w:val="2"/>
            <w:tcBorders>
              <w:left w:val="nil"/>
              <w:bottom w:val="single" w:color="000000" w:sz="10" w:space="0"/>
            </w:tcBorders>
          </w:tcPr>
          <w:p>
            <w:pPr>
              <w:pStyle w:val="TableText"/>
              <w:ind w:left="922"/>
              <w:spacing w:before="74" w:line="231" w:lineRule="auto"/>
              <w:rPr/>
            </w:pPr>
            <w:r>
              <w:rPr>
                <w:spacing w:val="4"/>
              </w:rPr>
              <w:t>阴离子合计</w:t>
            </w:r>
          </w:p>
        </w:tc>
        <w:tc>
          <w:tcPr>
            <w:tcW w:w="1420" w:type="dxa"/>
            <w:vAlign w:val="top"/>
            <w:tcBorders>
              <w:bottom w:val="single" w:color="000000" w:sz="10" w:space="0"/>
            </w:tcBorders>
          </w:tcPr>
          <w:p>
            <w:pPr>
              <w:ind w:left="370"/>
              <w:spacing w:before="10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mmol</w:t>
            </w:r>
            <w:r>
              <w:rPr>
                <w:rFonts w:ascii="Times New Roman" w:hAnsi="Times New Roman" w:eastAsia="Times New Roman" w:cs="Times New Roman"/>
                <w:sz w:val="20"/>
                <w:szCs w:val="20"/>
                <w:spacing w:val="14"/>
              </w:rPr>
              <w:t>/L</w:t>
            </w:r>
          </w:p>
        </w:tc>
        <w:tc>
          <w:tcPr>
            <w:tcW w:w="1420" w:type="dxa"/>
            <w:vAlign w:val="top"/>
            <w:tcBorders>
              <w:bottom w:val="single" w:color="000000" w:sz="10" w:space="0"/>
            </w:tcBorders>
          </w:tcPr>
          <w:p>
            <w:pPr>
              <w:ind w:left="494"/>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19.23</w:t>
            </w:r>
          </w:p>
        </w:tc>
        <w:tc>
          <w:tcPr>
            <w:tcW w:w="1421" w:type="dxa"/>
            <w:vAlign w:val="top"/>
            <w:tcBorders>
              <w:bottom w:val="single" w:color="000000" w:sz="10" w:space="0"/>
            </w:tcBorders>
          </w:tcPr>
          <w:p>
            <w:pPr>
              <w:ind w:left="479"/>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33.42</w:t>
            </w:r>
          </w:p>
        </w:tc>
        <w:tc>
          <w:tcPr>
            <w:tcW w:w="1421" w:type="dxa"/>
            <w:vAlign w:val="top"/>
            <w:tcBorders>
              <w:right w:val="nil"/>
              <w:bottom w:val="single" w:color="000000" w:sz="10" w:space="0"/>
            </w:tcBorders>
          </w:tcPr>
          <w:p>
            <w:pPr>
              <w:ind w:left="475"/>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20.69</w:t>
            </w:r>
          </w:p>
        </w:tc>
      </w:tr>
    </w:tbl>
    <w:p>
      <w:pPr>
        <w:pStyle w:val="BodyText"/>
        <w:spacing w:line="251" w:lineRule="auto"/>
        <w:rPr/>
      </w:pPr>
      <w:r/>
    </w:p>
    <w:p>
      <w:pPr>
        <w:pStyle w:val="BodyText"/>
        <w:spacing w:line="251" w:lineRule="auto"/>
        <w:rPr/>
      </w:pPr>
      <w:r/>
    </w:p>
    <w:p>
      <w:pPr>
        <w:ind w:left="116" w:right="110" w:firstLine="488"/>
        <w:spacing w:before="78" w:line="358" w:lineRule="auto"/>
        <w:rPr>
          <w:rFonts w:ascii="FangSong" w:hAnsi="FangSong" w:eastAsia="FangSong" w:cs="FangSong"/>
          <w:sz w:val="24"/>
          <w:szCs w:val="24"/>
        </w:rPr>
      </w:pPr>
      <w:r>
        <w:rPr>
          <w:rFonts w:ascii="FangSong" w:hAnsi="FangSong" w:eastAsia="FangSong" w:cs="FangSong"/>
          <w:sz w:val="24"/>
          <w:szCs w:val="24"/>
          <w:spacing w:val="2"/>
        </w:rPr>
        <w:t>根据舒卡列夫分类分类方法结合表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2"/>
        </w:rPr>
        <w:t>5.5-12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可知，本项目地下水</w:t>
      </w:r>
      <w:r>
        <w:rPr>
          <w:rFonts w:ascii="FangSong" w:hAnsi="FangSong" w:eastAsia="FangSong" w:cs="FangSong"/>
          <w:sz w:val="24"/>
          <w:szCs w:val="24"/>
          <w:spacing w:val="1"/>
        </w:rPr>
        <w:t>化学成分以</w:t>
      </w:r>
      <w:r>
        <w:rPr>
          <w:rFonts w:ascii="Times New Roman" w:hAnsi="Times New Roman" w:eastAsia="Times New Roman" w:cs="Times New Roman"/>
          <w:sz w:val="24"/>
          <w:szCs w:val="24"/>
          <w:spacing w:val="-2"/>
        </w:rPr>
        <w:t>Ca+Mg-HCO</w:t>
      </w:r>
      <w:r>
        <w:rPr>
          <w:rFonts w:ascii="Times New Roman" w:hAnsi="Times New Roman" w:eastAsia="Times New Roman" w:cs="Times New Roman"/>
          <w:sz w:val="15"/>
          <w:szCs w:val="15"/>
          <w:spacing w:val="-2"/>
          <w:position w:val="-1"/>
        </w:rPr>
        <w:t>3</w:t>
      </w:r>
      <w:r>
        <w:rPr>
          <w:rFonts w:ascii="Times New Roman" w:hAnsi="Times New Roman" w:eastAsia="Times New Roman" w:cs="Times New Roman"/>
          <w:sz w:val="24"/>
          <w:szCs w:val="24"/>
          <w:spacing w:val="-2"/>
        </w:rPr>
        <w:t>+Cl</w:t>
      </w:r>
      <w:r>
        <w:rPr>
          <w:rFonts w:ascii="Times New Roman" w:hAnsi="Times New Roman" w:eastAsia="Times New Roman" w:cs="Times New Roman"/>
          <w:sz w:val="24"/>
          <w:szCs w:val="24"/>
          <w:spacing w:val="28"/>
          <w:w w:val="101"/>
        </w:rPr>
        <w:t xml:space="preserve"> </w:t>
      </w:r>
      <w:r>
        <w:rPr>
          <w:rFonts w:ascii="FangSong" w:hAnsi="FangSong" w:eastAsia="FangSong" w:cs="FangSong"/>
          <w:sz w:val="24"/>
          <w:szCs w:val="24"/>
          <w:spacing w:val="-2"/>
        </w:rPr>
        <w:t>成分为主。</w:t>
      </w:r>
    </w:p>
    <w:p>
      <w:pPr>
        <w:ind w:left="116"/>
        <w:spacing w:before="6" w:line="222" w:lineRule="auto"/>
        <w:outlineLvl w:val="2"/>
        <w:rPr>
          <w:rFonts w:ascii="FangSong" w:hAnsi="FangSong" w:eastAsia="FangSong" w:cs="FangSong"/>
          <w:sz w:val="24"/>
          <w:szCs w:val="24"/>
        </w:rPr>
      </w:pPr>
      <w:bookmarkStart w:name="bookmark248" w:id="337"/>
      <w:bookmarkEnd w:id="337"/>
      <w:bookmarkStart w:name="bookmark247" w:id="338"/>
      <w:bookmarkEnd w:id="338"/>
      <w:r>
        <w:rPr>
          <w:rFonts w:ascii="Times New Roman" w:hAnsi="Times New Roman" w:eastAsia="Times New Roman" w:cs="Times New Roman"/>
          <w:sz w:val="24"/>
          <w:szCs w:val="24"/>
          <w:b/>
          <w:bCs/>
          <w:spacing w:val="-2"/>
        </w:rPr>
        <w:t>5.5.5  </w:t>
      </w:r>
      <w:r>
        <w:rPr>
          <w:rFonts w:ascii="FangSong" w:hAnsi="FangSong" w:eastAsia="FangSong" w:cs="FangSong"/>
          <w:sz w:val="24"/>
          <w:szCs w:val="24"/>
          <w:b/>
          <w:bCs/>
          <w:spacing w:val="-2"/>
        </w:rPr>
        <w:t>土壤环境质量现状调查与评价</w:t>
      </w:r>
    </w:p>
    <w:p>
      <w:pPr>
        <w:ind w:left="116"/>
        <w:spacing w:before="179"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5.5.5.1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监测点布设</w:t>
      </w:r>
    </w:p>
    <w:p>
      <w:pPr>
        <w:ind w:left="123" w:right="107" w:firstLine="481"/>
        <w:spacing w:before="182" w:line="360" w:lineRule="auto"/>
        <w:jc w:val="both"/>
        <w:rPr>
          <w:rFonts w:ascii="FangSong" w:hAnsi="FangSong" w:eastAsia="FangSong" w:cs="FangSong"/>
          <w:sz w:val="24"/>
          <w:szCs w:val="24"/>
        </w:rPr>
      </w:pPr>
      <w:r>
        <w:rPr>
          <w:rFonts w:ascii="FangSong" w:hAnsi="FangSong" w:eastAsia="FangSong" w:cs="FangSong"/>
          <w:sz w:val="24"/>
          <w:szCs w:val="24"/>
          <w:spacing w:val="-1"/>
        </w:rPr>
        <w:t>根据《环境影响评价技术导则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土壤环境（试行）》（</w:t>
      </w:r>
      <w:r>
        <w:rPr>
          <w:rFonts w:ascii="Times New Roman" w:hAnsi="Times New Roman" w:eastAsia="Times New Roman" w:cs="Times New Roman"/>
          <w:sz w:val="24"/>
          <w:szCs w:val="24"/>
          <w:spacing w:val="-1"/>
        </w:rPr>
        <w:t>HJ964-2018</w:t>
      </w:r>
      <w:r>
        <w:rPr>
          <w:rFonts w:ascii="FangSong" w:hAnsi="FangSong" w:eastAsia="FangSong" w:cs="FangSong"/>
          <w:sz w:val="24"/>
          <w:szCs w:val="24"/>
          <w:spacing w:val="-1"/>
        </w:rPr>
        <w:t>）</w:t>
      </w:r>
      <w:r>
        <w:rPr>
          <w:rFonts w:ascii="FangSong" w:hAnsi="FangSong" w:eastAsia="FangSong" w:cs="FangSong"/>
          <w:sz w:val="24"/>
          <w:szCs w:val="24"/>
          <w:spacing w:val="-2"/>
        </w:rPr>
        <w:t>中</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7.4.3</w:t>
      </w:r>
      <w:r>
        <w:rPr>
          <w:rFonts w:ascii="FangSong" w:hAnsi="FangSong" w:eastAsia="FangSong" w:cs="FangSong"/>
          <w:sz w:val="24"/>
          <w:szCs w:val="24"/>
          <w:spacing w:val="-2"/>
        </w:rPr>
        <w:t>现状监测点数量要求中表</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现状监测布点类型与数量可知，本项目土壤环境评价</w:t>
      </w:r>
      <w:r>
        <w:rPr>
          <w:rFonts w:ascii="FangSong" w:hAnsi="FangSong" w:eastAsia="FangSong" w:cs="FangSong"/>
          <w:sz w:val="24"/>
          <w:szCs w:val="24"/>
          <w:spacing w:val="-4"/>
        </w:rPr>
        <w:t>工作等级为三级，土壤环境影响类型为污染影响型，故在场区内布设</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个土壤采</w:t>
      </w:r>
      <w:r>
        <w:rPr>
          <w:rFonts w:ascii="FangSong" w:hAnsi="FangSong" w:eastAsia="FangSong" w:cs="FangSong"/>
          <w:sz w:val="24"/>
          <w:szCs w:val="24"/>
          <w:spacing w:val="-3"/>
        </w:rPr>
        <w:t>样点，采取表层的土壤样品，具体监测点位布设情况见表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5.5-13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，监测点位图详</w:t>
      </w:r>
      <w:r>
        <w:rPr>
          <w:rFonts w:ascii="FangSong" w:hAnsi="FangSong" w:eastAsia="FangSong" w:cs="FangSong"/>
          <w:sz w:val="24"/>
          <w:szCs w:val="24"/>
          <w:spacing w:val="-4"/>
        </w:rPr>
        <w:t>见附图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5-1</w:t>
      </w:r>
      <w:r>
        <w:rPr>
          <w:rFonts w:ascii="FangSong" w:hAnsi="FangSong" w:eastAsia="FangSong" w:cs="FangSong"/>
          <w:sz w:val="24"/>
          <w:szCs w:val="24"/>
          <w:spacing w:val="-4"/>
        </w:rPr>
        <w:t>。</w:t>
      </w:r>
    </w:p>
    <w:p>
      <w:pPr>
        <w:ind w:left="2312"/>
        <w:spacing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5.5-13  </w:t>
      </w:r>
      <w:r>
        <w:rPr>
          <w:rFonts w:ascii="FangSong" w:hAnsi="FangSong" w:eastAsia="FangSong" w:cs="FangSong"/>
          <w:sz w:val="24"/>
          <w:szCs w:val="24"/>
          <w:b/>
          <w:bCs/>
          <w:spacing w:val="-3"/>
        </w:rPr>
        <w:t>土壤环境监测点位布设情况</w:t>
      </w:r>
    </w:p>
    <w:p>
      <w:pPr>
        <w:spacing w:line="67"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6"/>
        <w:gridCol w:w="1068"/>
        <w:gridCol w:w="2171"/>
        <w:gridCol w:w="2569"/>
        <w:gridCol w:w="1808"/>
      </w:tblGrid>
      <w:tr>
        <w:trPr>
          <w:trHeight w:val="318" w:hRule="atLeast"/>
        </w:trPr>
        <w:tc>
          <w:tcPr>
            <w:tcW w:w="1974" w:type="dxa"/>
            <w:vAlign w:val="top"/>
            <w:gridSpan w:val="2"/>
            <w:tcBorders>
              <w:left w:val="nil"/>
              <w:top w:val="single" w:color="000000" w:sz="10" w:space="0"/>
            </w:tcBorders>
          </w:tcPr>
          <w:p>
            <w:pPr>
              <w:pStyle w:val="TableText"/>
              <w:ind w:left="793"/>
              <w:spacing w:before="56" w:line="232" w:lineRule="auto"/>
              <w:rPr/>
            </w:pPr>
            <w:r>
              <w:rPr>
                <w:spacing w:val="1"/>
              </w:rPr>
              <w:t>编号</w:t>
            </w:r>
          </w:p>
        </w:tc>
        <w:tc>
          <w:tcPr>
            <w:tcW w:w="2171" w:type="dxa"/>
            <w:vAlign w:val="top"/>
            <w:tcBorders>
              <w:top w:val="single" w:color="000000" w:sz="10" w:space="0"/>
            </w:tcBorders>
          </w:tcPr>
          <w:p>
            <w:pPr>
              <w:ind w:left="98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S1</w:t>
            </w:r>
          </w:p>
        </w:tc>
        <w:tc>
          <w:tcPr>
            <w:tcW w:w="2569" w:type="dxa"/>
            <w:vAlign w:val="top"/>
            <w:tcBorders>
              <w:top w:val="single" w:color="000000" w:sz="10" w:space="0"/>
            </w:tcBorders>
          </w:tcPr>
          <w:p>
            <w:pPr>
              <w:ind w:left="118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S2</w:t>
            </w:r>
          </w:p>
        </w:tc>
        <w:tc>
          <w:tcPr>
            <w:tcW w:w="1808" w:type="dxa"/>
            <w:vAlign w:val="top"/>
            <w:tcBorders>
              <w:right w:val="nil"/>
              <w:top w:val="single" w:color="000000" w:sz="10" w:space="0"/>
            </w:tcBorders>
          </w:tcPr>
          <w:p>
            <w:pPr>
              <w:ind w:left="80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S3</w:t>
            </w:r>
          </w:p>
        </w:tc>
      </w:tr>
      <w:tr>
        <w:trPr>
          <w:trHeight w:val="622" w:hRule="atLeast"/>
        </w:trPr>
        <w:tc>
          <w:tcPr>
            <w:tcW w:w="1974" w:type="dxa"/>
            <w:vAlign w:val="top"/>
            <w:gridSpan w:val="2"/>
            <w:tcBorders>
              <w:left w:val="nil"/>
            </w:tcBorders>
          </w:tcPr>
          <w:p>
            <w:pPr>
              <w:pStyle w:val="TableText"/>
              <w:ind w:left="480"/>
              <w:spacing w:before="211" w:line="229" w:lineRule="auto"/>
              <w:rPr/>
            </w:pPr>
            <w:r>
              <w:rPr>
                <w:spacing w:val="5"/>
              </w:rPr>
              <w:t>监测点名称</w:t>
            </w:r>
          </w:p>
        </w:tc>
        <w:tc>
          <w:tcPr>
            <w:tcW w:w="2171" w:type="dxa"/>
            <w:vAlign w:val="top"/>
          </w:tcPr>
          <w:p>
            <w:pPr>
              <w:pStyle w:val="TableText"/>
              <w:ind w:left="364" w:right="139" w:hanging="213"/>
              <w:spacing w:before="55" w:line="257" w:lineRule="auto"/>
              <w:rPr/>
            </w:pPr>
            <w:r>
              <w:rPr>
                <w:spacing w:val="8"/>
              </w:rPr>
              <w:t>拟建工业广场内尾矿</w:t>
            </w:r>
            <w:r>
              <w:rPr>
                <w:spacing w:val="7"/>
              </w:rPr>
              <w:t>暂存场所在位置</w:t>
            </w:r>
          </w:p>
        </w:tc>
        <w:tc>
          <w:tcPr>
            <w:tcW w:w="2569" w:type="dxa"/>
            <w:vAlign w:val="top"/>
          </w:tcPr>
          <w:p>
            <w:pPr>
              <w:pStyle w:val="TableText"/>
              <w:ind w:left="875" w:right="128" w:hanging="735"/>
              <w:spacing w:before="55" w:line="257" w:lineRule="auto"/>
              <w:rPr/>
            </w:pPr>
            <w:r>
              <w:rPr>
                <w:spacing w:val="8"/>
              </w:rPr>
              <w:t>拟建工业广场内原矿堆场</w:t>
            </w:r>
            <w:r>
              <w:rPr>
                <w:spacing w:val="5"/>
              </w:rPr>
              <w:t>所在位置</w:t>
            </w:r>
          </w:p>
        </w:tc>
        <w:tc>
          <w:tcPr>
            <w:tcW w:w="1808" w:type="dxa"/>
            <w:vAlign w:val="top"/>
            <w:tcBorders>
              <w:right w:val="nil"/>
            </w:tcBorders>
          </w:tcPr>
          <w:p>
            <w:pPr>
              <w:pStyle w:val="TableText"/>
              <w:ind w:left="495" w:right="169" w:hanging="315"/>
              <w:spacing w:before="55" w:line="257" w:lineRule="auto"/>
              <w:rPr/>
            </w:pPr>
            <w:r>
              <w:rPr>
                <w:spacing w:val="7"/>
              </w:rPr>
              <w:t>拟建办公生活区</w:t>
            </w:r>
            <w:r>
              <w:rPr>
                <w:spacing w:val="5"/>
              </w:rPr>
              <w:t>所在位置</w:t>
            </w:r>
          </w:p>
        </w:tc>
      </w:tr>
      <w:tr>
        <w:trPr>
          <w:trHeight w:val="313" w:hRule="atLeast"/>
        </w:trPr>
        <w:tc>
          <w:tcPr>
            <w:tcW w:w="1974" w:type="dxa"/>
            <w:vAlign w:val="top"/>
            <w:gridSpan w:val="2"/>
            <w:tcBorders>
              <w:left w:val="nil"/>
            </w:tcBorders>
          </w:tcPr>
          <w:p>
            <w:pPr>
              <w:pStyle w:val="TableText"/>
              <w:ind w:left="373"/>
              <w:spacing w:before="61" w:line="223" w:lineRule="auto"/>
              <w:rPr/>
            </w:pPr>
            <w:r>
              <w:rPr>
                <w:spacing w:val="6"/>
              </w:rPr>
              <w:t>土地利用现状</w:t>
            </w:r>
          </w:p>
        </w:tc>
        <w:tc>
          <w:tcPr>
            <w:tcW w:w="2171" w:type="dxa"/>
            <w:vAlign w:val="top"/>
          </w:tcPr>
          <w:p>
            <w:pPr>
              <w:pStyle w:val="TableText"/>
              <w:ind w:left="781"/>
              <w:spacing w:before="61" w:line="223" w:lineRule="auto"/>
              <w:rPr/>
            </w:pPr>
            <w:r>
              <w:rPr>
                <w:spacing w:val="4"/>
              </w:rPr>
              <w:t>农用地</w:t>
            </w:r>
          </w:p>
        </w:tc>
        <w:tc>
          <w:tcPr>
            <w:tcW w:w="2569" w:type="dxa"/>
            <w:vAlign w:val="top"/>
          </w:tcPr>
          <w:p>
            <w:pPr>
              <w:pStyle w:val="TableText"/>
              <w:ind w:left="981"/>
              <w:spacing w:before="61" w:line="223" w:lineRule="auto"/>
              <w:rPr/>
            </w:pPr>
            <w:r>
              <w:rPr>
                <w:spacing w:val="4"/>
              </w:rPr>
              <w:t>农用地</w:t>
            </w:r>
          </w:p>
        </w:tc>
        <w:tc>
          <w:tcPr>
            <w:tcW w:w="1808" w:type="dxa"/>
            <w:vAlign w:val="top"/>
            <w:tcBorders>
              <w:right w:val="nil"/>
            </w:tcBorders>
          </w:tcPr>
          <w:p>
            <w:pPr>
              <w:pStyle w:val="TableText"/>
              <w:ind w:left="601"/>
              <w:spacing w:before="61" w:line="223" w:lineRule="auto"/>
              <w:rPr/>
            </w:pPr>
            <w:r>
              <w:rPr>
                <w:spacing w:val="4"/>
              </w:rPr>
              <w:t>农用地</w:t>
            </w:r>
          </w:p>
        </w:tc>
      </w:tr>
      <w:tr>
        <w:trPr>
          <w:trHeight w:val="314" w:hRule="atLeast"/>
        </w:trPr>
        <w:tc>
          <w:tcPr>
            <w:tcW w:w="906" w:type="dxa"/>
            <w:vAlign w:val="top"/>
            <w:vMerge w:val="restart"/>
            <w:tcBorders>
              <w:left w:val="nil"/>
              <w:bottom w:val="nil"/>
            </w:tcBorders>
          </w:tcPr>
          <w:p>
            <w:pPr>
              <w:pStyle w:val="TableText"/>
              <w:ind w:left="260" w:right="137" w:hanging="104"/>
              <w:spacing w:before="71" w:line="254" w:lineRule="auto"/>
              <w:rPr/>
            </w:pPr>
            <w:r>
              <w:rPr>
                <w:spacing w:val="3"/>
              </w:rPr>
              <w:t>监测点</w:t>
            </w:r>
            <w:r>
              <w:rPr>
                <w:spacing w:val="-1"/>
              </w:rPr>
              <w:t>坐标</w:t>
            </w:r>
          </w:p>
        </w:tc>
        <w:tc>
          <w:tcPr>
            <w:tcW w:w="1068" w:type="dxa"/>
            <w:vAlign w:val="top"/>
          </w:tcPr>
          <w:p>
            <w:pPr>
              <w:pStyle w:val="TableText"/>
              <w:ind w:left="334"/>
              <w:spacing w:before="65" w:line="220" w:lineRule="auto"/>
              <w:rPr/>
            </w:pPr>
            <w:r>
              <w:rPr>
                <w:spacing w:val="2"/>
              </w:rPr>
              <w:t>经度</w:t>
            </w:r>
          </w:p>
        </w:tc>
        <w:tc>
          <w:tcPr>
            <w:tcW w:w="2171" w:type="dxa"/>
            <w:vAlign w:val="top"/>
          </w:tcPr>
          <w:p>
            <w:pPr>
              <w:ind w:left="34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112°55′31.60129″</w:t>
            </w:r>
          </w:p>
        </w:tc>
        <w:tc>
          <w:tcPr>
            <w:tcW w:w="2569" w:type="dxa"/>
            <w:vAlign w:val="top"/>
          </w:tcPr>
          <w:p>
            <w:pPr>
              <w:ind w:left="54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112°55′26.07325″</w:t>
            </w:r>
          </w:p>
        </w:tc>
        <w:tc>
          <w:tcPr>
            <w:tcW w:w="1808" w:type="dxa"/>
            <w:vAlign w:val="top"/>
            <w:tcBorders>
              <w:right w:val="nil"/>
            </w:tcBorders>
          </w:tcPr>
          <w:p>
            <w:pPr>
              <w:ind w:left="16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112°54′</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10.41886″</w:t>
            </w:r>
          </w:p>
        </w:tc>
      </w:tr>
      <w:tr>
        <w:trPr>
          <w:trHeight w:val="313" w:hRule="atLeast"/>
        </w:trPr>
        <w:tc>
          <w:tcPr>
            <w:tcW w:w="906" w:type="dxa"/>
            <w:vAlign w:val="top"/>
            <w:vMerge w:val="continue"/>
            <w:tcBorders>
              <w:left w:val="nil"/>
              <w:top w:val="nil"/>
            </w:tcBorders>
          </w:tcPr>
          <w:p>
            <w:pPr>
              <w:rPr>
                <w:rFonts w:ascii="Arial"/>
                <w:sz w:val="21"/>
              </w:rPr>
            </w:pPr>
            <w:r/>
          </w:p>
        </w:tc>
        <w:tc>
          <w:tcPr>
            <w:tcW w:w="1068" w:type="dxa"/>
            <w:vAlign w:val="top"/>
          </w:tcPr>
          <w:p>
            <w:pPr>
              <w:pStyle w:val="TableText"/>
              <w:ind w:left="336"/>
              <w:spacing w:before="70" w:line="215" w:lineRule="auto"/>
              <w:rPr/>
            </w:pPr>
            <w:r>
              <w:rPr/>
              <w:t>纬度</w:t>
            </w:r>
          </w:p>
        </w:tc>
        <w:tc>
          <w:tcPr>
            <w:tcW w:w="2171" w:type="dxa"/>
            <w:vAlign w:val="top"/>
          </w:tcPr>
          <w:p>
            <w:pPr>
              <w:ind w:left="42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43°</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2"/>
              </w:rPr>
              <w:t>1′20.75205″</w:t>
            </w:r>
          </w:p>
        </w:tc>
        <w:tc>
          <w:tcPr>
            <w:tcW w:w="2569" w:type="dxa"/>
            <w:vAlign w:val="top"/>
          </w:tcPr>
          <w:p>
            <w:pPr>
              <w:ind w:left="62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spacing w:val="1"/>
              </w:rPr>
              <w:t>′21.33624″</w:t>
            </w:r>
          </w:p>
        </w:tc>
        <w:tc>
          <w:tcPr>
            <w:tcW w:w="1808" w:type="dxa"/>
            <w:vAlign w:val="top"/>
            <w:tcBorders>
              <w:right w:val="nil"/>
            </w:tcBorders>
          </w:tcPr>
          <w:p>
            <w:pPr>
              <w:ind w:left="24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spacing w:val="1"/>
              </w:rPr>
              <w:t>′20.36099″</w:t>
            </w:r>
          </w:p>
        </w:tc>
      </w:tr>
      <w:tr>
        <w:trPr>
          <w:trHeight w:val="337" w:hRule="atLeast"/>
        </w:trPr>
        <w:tc>
          <w:tcPr>
            <w:tcW w:w="1974" w:type="dxa"/>
            <w:vAlign w:val="top"/>
            <w:gridSpan w:val="2"/>
            <w:tcBorders>
              <w:left w:val="nil"/>
              <w:bottom w:val="single" w:color="000000" w:sz="10" w:space="0"/>
            </w:tcBorders>
          </w:tcPr>
          <w:p>
            <w:pPr>
              <w:pStyle w:val="TableText"/>
              <w:ind w:left="586"/>
              <w:spacing w:before="73" w:line="232" w:lineRule="auto"/>
              <w:rPr/>
            </w:pPr>
            <w:r>
              <w:rPr>
                <w:spacing w:val="4"/>
              </w:rPr>
              <w:t>监测因子</w:t>
            </w:r>
          </w:p>
        </w:tc>
        <w:tc>
          <w:tcPr>
            <w:tcW w:w="6548" w:type="dxa"/>
            <w:vAlign w:val="top"/>
            <w:gridSpan w:val="3"/>
            <w:tcBorders>
              <w:right w:val="nil"/>
              <w:bottom w:val="single" w:color="000000" w:sz="10" w:space="0"/>
            </w:tcBorders>
          </w:tcPr>
          <w:p>
            <w:pPr>
              <w:pStyle w:val="TableText"/>
              <w:ind w:left="1710"/>
              <w:spacing w:before="73" w:line="229" w:lineRule="auto"/>
              <w:rPr/>
            </w:pPr>
            <w:r>
              <w:rPr>
                <w:spacing w:val="9"/>
              </w:rPr>
              <w:t>镉、汞、砷、铅、铬、铜、镍、锌</w:t>
            </w:r>
          </w:p>
        </w:tc>
      </w:tr>
    </w:tbl>
    <w:p>
      <w:pPr>
        <w:pStyle w:val="BodyText"/>
        <w:rPr/>
      </w:pPr>
      <w:r/>
    </w:p>
    <w:p>
      <w:pPr>
        <w:sectPr>
          <w:footerReference w:type="default" r:id="rId253"/>
          <w:pgSz w:w="11906" w:h="16839"/>
          <w:pgMar w:top="400" w:right="1691" w:bottom="1358" w:left="1691" w:header="0" w:footer="1195" w:gutter="0"/>
        </w:sectPr>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14"/>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5.5.5.2  </w:t>
      </w:r>
      <w:r>
        <w:rPr>
          <w:rFonts w:ascii="FangSong" w:hAnsi="FangSong" w:eastAsia="FangSong" w:cs="FangSong"/>
          <w:sz w:val="24"/>
          <w:szCs w:val="24"/>
          <w:b/>
          <w:bCs/>
          <w:spacing w:val="-2"/>
        </w:rPr>
        <w:t>环境质量现状分析</w:t>
      </w:r>
    </w:p>
    <w:p>
      <w:pPr>
        <w:ind w:left="136" w:right="104" w:firstLine="465"/>
        <w:spacing w:before="178" w:line="360" w:lineRule="auto"/>
        <w:rPr>
          <w:rFonts w:ascii="FangSong" w:hAnsi="FangSong" w:eastAsia="FangSong" w:cs="FangSong"/>
          <w:sz w:val="24"/>
          <w:szCs w:val="24"/>
        </w:rPr>
      </w:pPr>
      <w:r>
        <w:rPr>
          <w:rFonts w:ascii="FangSong" w:hAnsi="FangSong" w:eastAsia="FangSong" w:cs="FangSong"/>
          <w:sz w:val="24"/>
          <w:szCs w:val="24"/>
          <w:spacing w:val="4"/>
        </w:rPr>
        <w:t>本次土壤环境质量现状监测与评价采用委托锡林郭勒盟中兴德环保科技有</w:t>
      </w:r>
      <w:r>
        <w:rPr>
          <w:rFonts w:ascii="FangSong" w:hAnsi="FangSong" w:eastAsia="FangSong" w:cs="FangSong"/>
          <w:sz w:val="24"/>
          <w:szCs w:val="24"/>
          <w:spacing w:val="-9"/>
        </w:rPr>
        <w:t>限公司于</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9"/>
        </w:rPr>
        <w:t>2025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9"/>
        </w:rPr>
        <w:t>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9"/>
        </w:rPr>
        <w:t>月</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19  </w:t>
      </w:r>
      <w:r>
        <w:rPr>
          <w:rFonts w:ascii="FangSong" w:hAnsi="FangSong" w:eastAsia="FangSong" w:cs="FangSong"/>
          <w:sz w:val="24"/>
          <w:szCs w:val="24"/>
          <w:spacing w:val="-9"/>
        </w:rPr>
        <w:t>日至</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9"/>
        </w:rPr>
        <w:t>8</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9"/>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9"/>
        </w:rPr>
        <w:t>20  </w:t>
      </w:r>
      <w:r>
        <w:rPr>
          <w:rFonts w:ascii="FangSong" w:hAnsi="FangSong" w:eastAsia="FangSong" w:cs="FangSong"/>
          <w:sz w:val="24"/>
          <w:szCs w:val="24"/>
          <w:spacing w:val="-9"/>
        </w:rPr>
        <w:t>日采样监测的监测数据。</w:t>
      </w:r>
    </w:p>
    <w:p>
      <w:pPr>
        <w:ind w:left="608"/>
        <w:spacing w:before="1" w:line="220" w:lineRule="auto"/>
        <w:rPr>
          <w:rFonts w:ascii="FangSong" w:hAnsi="FangSong" w:eastAsia="FangSong" w:cs="FangSong"/>
          <w:sz w:val="24"/>
          <w:szCs w:val="24"/>
        </w:rPr>
      </w:pPr>
      <w:r>
        <w:rPr>
          <w:rFonts w:ascii="FangSong" w:hAnsi="FangSong" w:eastAsia="FangSong" w:cs="FangSong"/>
          <w:sz w:val="24"/>
          <w:szCs w:val="24"/>
          <w:spacing w:val="-2"/>
        </w:rPr>
        <w:t>监测项目：镉、汞、砷、铅、铬、铜、镍、锌。</w:t>
      </w:r>
    </w:p>
    <w:p>
      <w:pPr>
        <w:ind w:left="132" w:right="7" w:firstLine="476"/>
        <w:spacing w:before="181" w:line="360" w:lineRule="auto"/>
        <w:rPr>
          <w:rFonts w:ascii="FangSong" w:hAnsi="FangSong" w:eastAsia="FangSong" w:cs="FangSong"/>
          <w:sz w:val="24"/>
          <w:szCs w:val="24"/>
        </w:rPr>
      </w:pPr>
      <w:r>
        <w:rPr>
          <w:rFonts w:ascii="FangSong" w:hAnsi="FangSong" w:eastAsia="FangSong" w:cs="FangSong"/>
          <w:sz w:val="24"/>
          <w:szCs w:val="24"/>
          <w:spacing w:val="-10"/>
        </w:rPr>
        <w:t>监测频率：根据《环境影响评价技术导则</w:t>
      </w:r>
      <w:r>
        <w:rPr>
          <w:rFonts w:ascii="FangSong" w:hAnsi="FangSong" w:eastAsia="FangSong" w:cs="FangSong"/>
          <w:sz w:val="24"/>
          <w:szCs w:val="24"/>
          <w:spacing w:val="-10"/>
        </w:rPr>
        <w:t xml:space="preserve"> </w:t>
      </w:r>
      <w:r>
        <w:rPr>
          <w:rFonts w:ascii="FangSong" w:hAnsi="FangSong" w:eastAsia="FangSong" w:cs="FangSong"/>
          <w:sz w:val="24"/>
          <w:szCs w:val="24"/>
          <w:spacing w:val="-10"/>
        </w:rPr>
        <w:t>土壤环境</w:t>
      </w:r>
      <w:r>
        <w:rPr>
          <w:rFonts w:ascii="FangSong" w:hAnsi="FangSong" w:eastAsia="FangSong" w:cs="FangSong"/>
          <w:sz w:val="24"/>
          <w:szCs w:val="24"/>
          <w:spacing w:val="-11"/>
        </w:rPr>
        <w:t>（试行）》（</w:t>
      </w:r>
      <w:r>
        <w:rPr>
          <w:rFonts w:ascii="Times New Roman" w:hAnsi="Times New Roman" w:eastAsia="Times New Roman" w:cs="Times New Roman"/>
          <w:sz w:val="24"/>
          <w:szCs w:val="24"/>
          <w:spacing w:val="-11"/>
        </w:rPr>
        <w:t>HJ 964-2018</w:t>
      </w:r>
      <w:r>
        <w:rPr>
          <w:rFonts w:ascii="FangSong" w:hAnsi="FangSong" w:eastAsia="FangSong" w:cs="FangSong"/>
          <w:sz w:val="24"/>
          <w:szCs w:val="24"/>
          <w:spacing w:val="-11"/>
        </w:rPr>
        <w:t>）</w:t>
      </w:r>
      <w:r>
        <w:rPr>
          <w:rFonts w:ascii="FangSong" w:hAnsi="FangSong" w:eastAsia="FangSong" w:cs="FangSong"/>
          <w:sz w:val="24"/>
          <w:szCs w:val="24"/>
          <w:spacing w:val="-4"/>
        </w:rPr>
        <w:t>第</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7.4.6</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所述，基本因子需要开展</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次有效监测。</w:t>
      </w:r>
    </w:p>
    <w:p>
      <w:pPr>
        <w:ind w:left="126" w:right="88" w:firstLine="475"/>
        <w:spacing w:before="4" w:line="359" w:lineRule="auto"/>
        <w:jc w:val="right"/>
        <w:rPr>
          <w:rFonts w:ascii="FangSong" w:hAnsi="FangSong" w:eastAsia="FangSong" w:cs="FangSong"/>
          <w:sz w:val="24"/>
          <w:szCs w:val="24"/>
        </w:rPr>
      </w:pPr>
      <w:r>
        <w:rPr>
          <w:rFonts w:ascii="FangSong" w:hAnsi="FangSong" w:eastAsia="FangSong" w:cs="FangSong"/>
          <w:sz w:val="24"/>
          <w:szCs w:val="24"/>
          <w:spacing w:val="1"/>
        </w:rPr>
        <w:t>评价标准：执行《土壤环境质量</w:t>
      </w:r>
      <w:r>
        <w:rPr>
          <w:rFonts w:ascii="FangSong" w:hAnsi="FangSong" w:eastAsia="FangSong" w:cs="FangSong"/>
          <w:sz w:val="24"/>
          <w:szCs w:val="24"/>
          <w:spacing w:val="1"/>
        </w:rPr>
        <w:t xml:space="preserve"> </w:t>
      </w:r>
      <w:r>
        <w:rPr>
          <w:rFonts w:ascii="FangSong" w:hAnsi="FangSong" w:eastAsia="FangSong" w:cs="FangSong"/>
          <w:sz w:val="24"/>
          <w:szCs w:val="24"/>
          <w:spacing w:val="1"/>
        </w:rPr>
        <w:t>农用地土壤污染风险</w:t>
      </w:r>
      <w:r>
        <w:rPr>
          <w:rFonts w:ascii="FangSong" w:hAnsi="FangSong" w:eastAsia="FangSong" w:cs="FangSong"/>
          <w:sz w:val="24"/>
          <w:szCs w:val="24"/>
        </w:rPr>
        <w:t>管控标准（试行）》</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GB15618-2018</w:t>
      </w:r>
      <w:r>
        <w:rPr>
          <w:rFonts w:ascii="FangSong" w:hAnsi="FangSong" w:eastAsia="FangSong" w:cs="FangSong"/>
          <w:sz w:val="24"/>
          <w:szCs w:val="24"/>
          <w:spacing w:val="-1"/>
        </w:rPr>
        <w:t>）表</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农用地土壤污染风险筛选值（基本项目）风险筛选值。</w:t>
      </w:r>
      <w:r>
        <w:rPr>
          <w:rFonts w:ascii="FangSong" w:hAnsi="FangSong" w:eastAsia="FangSong" w:cs="FangSong"/>
          <w:sz w:val="24"/>
          <w:szCs w:val="24"/>
          <w:spacing w:val="-1"/>
        </w:rPr>
        <w:t>监测结果：本项目土壤环境质量监测结果见表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5.5-14</w:t>
      </w:r>
      <w:r>
        <w:rPr>
          <w:rFonts w:ascii="FangSong" w:hAnsi="FangSong" w:eastAsia="FangSong" w:cs="FangSong"/>
          <w:sz w:val="24"/>
          <w:szCs w:val="24"/>
          <w:spacing w:val="-1"/>
        </w:rPr>
        <w:t>（检测报告见附件）。</w:t>
      </w:r>
    </w:p>
    <w:p>
      <w:pPr>
        <w:ind w:left="2552"/>
        <w:spacing w:before="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5.5-14  </w:t>
      </w:r>
      <w:r>
        <w:rPr>
          <w:rFonts w:ascii="FangSong" w:hAnsi="FangSong" w:eastAsia="FangSong" w:cs="FangSong"/>
          <w:sz w:val="24"/>
          <w:szCs w:val="24"/>
          <w:b/>
          <w:bCs/>
          <w:spacing w:val="-3"/>
        </w:rPr>
        <w:t>土壤环境质量监测结果</w:t>
      </w:r>
    </w:p>
    <w:p>
      <w:pPr>
        <w:spacing w:line="65"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2"/>
        <w:gridCol w:w="1161"/>
        <w:gridCol w:w="606"/>
        <w:gridCol w:w="906"/>
        <w:gridCol w:w="790"/>
        <w:gridCol w:w="1088"/>
        <w:gridCol w:w="1044"/>
        <w:gridCol w:w="1221"/>
        <w:gridCol w:w="1078"/>
      </w:tblGrid>
      <w:tr>
        <w:trPr>
          <w:trHeight w:val="632" w:hRule="atLeast"/>
        </w:trPr>
        <w:tc>
          <w:tcPr>
            <w:tcW w:w="622" w:type="dxa"/>
            <w:vAlign w:val="top"/>
            <w:textDirection w:val="tbRlV"/>
            <w:tcBorders>
              <w:left w:val="nil"/>
              <w:top w:val="single" w:color="000000" w:sz="10" w:space="0"/>
            </w:tcBorders>
          </w:tcPr>
          <w:p>
            <w:pPr>
              <w:pStyle w:val="TableText"/>
              <w:ind w:left="55"/>
              <w:spacing w:before="203" w:line="209" w:lineRule="auto"/>
              <w:rPr/>
            </w:pPr>
            <w:r>
              <w:rPr>
                <w:spacing w:val="13"/>
              </w:rPr>
              <w:t>序</w:t>
            </w:r>
            <w:r>
              <w:rPr>
                <w:spacing w:val="-2"/>
              </w:rPr>
              <w:t xml:space="preserve"> </w:t>
            </w:r>
            <w:r>
              <w:rPr>
                <w:spacing w:val="13"/>
              </w:rPr>
              <w:t>号</w:t>
            </w:r>
          </w:p>
        </w:tc>
        <w:tc>
          <w:tcPr>
            <w:tcW w:w="1161" w:type="dxa"/>
            <w:vAlign w:val="top"/>
            <w:tcBorders>
              <w:top w:val="single" w:color="000000" w:sz="10" w:space="0"/>
            </w:tcBorders>
          </w:tcPr>
          <w:p>
            <w:pPr>
              <w:pStyle w:val="TableText"/>
              <w:ind w:left="173"/>
              <w:spacing w:before="211" w:line="228" w:lineRule="auto"/>
              <w:rPr/>
            </w:pPr>
            <w:r>
              <w:rPr>
                <w:spacing w:val="5"/>
              </w:rPr>
              <w:t>采样日期</w:t>
            </w:r>
          </w:p>
        </w:tc>
        <w:tc>
          <w:tcPr>
            <w:tcW w:w="606" w:type="dxa"/>
            <w:vAlign w:val="top"/>
            <w:textDirection w:val="tbRlV"/>
            <w:tcBorders>
              <w:top w:val="single" w:color="000000" w:sz="10" w:space="0"/>
            </w:tcBorders>
          </w:tcPr>
          <w:p>
            <w:pPr>
              <w:pStyle w:val="TableText"/>
              <w:ind w:left="55"/>
              <w:spacing w:before="196" w:line="208" w:lineRule="auto"/>
              <w:rPr/>
            </w:pPr>
            <w:r>
              <w:rPr>
                <w:spacing w:val="13"/>
              </w:rPr>
              <w:t>点</w:t>
            </w:r>
            <w:r>
              <w:rPr>
                <w:spacing w:val="-2"/>
              </w:rPr>
              <w:t xml:space="preserve"> </w:t>
            </w:r>
            <w:r>
              <w:rPr>
                <w:spacing w:val="13"/>
              </w:rPr>
              <w:t>位</w:t>
            </w:r>
          </w:p>
        </w:tc>
        <w:tc>
          <w:tcPr>
            <w:tcW w:w="906" w:type="dxa"/>
            <w:vAlign w:val="top"/>
            <w:tcBorders>
              <w:top w:val="single" w:color="000000" w:sz="10" w:space="0"/>
            </w:tcBorders>
          </w:tcPr>
          <w:p>
            <w:pPr>
              <w:pStyle w:val="TableText"/>
              <w:ind w:left="256"/>
              <w:spacing w:before="211" w:line="232" w:lineRule="auto"/>
              <w:rPr/>
            </w:pPr>
            <w:r>
              <w:rPr>
                <w:spacing w:val="1"/>
              </w:rPr>
              <w:t>项目</w:t>
            </w:r>
          </w:p>
        </w:tc>
        <w:tc>
          <w:tcPr>
            <w:tcW w:w="790" w:type="dxa"/>
            <w:vAlign w:val="top"/>
            <w:tcBorders>
              <w:top w:val="single" w:color="000000" w:sz="10" w:space="0"/>
            </w:tcBorders>
          </w:tcPr>
          <w:p>
            <w:pPr>
              <w:pStyle w:val="TableText"/>
              <w:ind w:left="200"/>
              <w:spacing w:before="212" w:line="229" w:lineRule="auto"/>
              <w:rPr/>
            </w:pPr>
            <w:r>
              <w:rPr>
                <w:spacing w:val="-1"/>
              </w:rPr>
              <w:t>单位</w:t>
            </w:r>
          </w:p>
        </w:tc>
        <w:tc>
          <w:tcPr>
            <w:tcW w:w="1088" w:type="dxa"/>
            <w:vAlign w:val="top"/>
            <w:tcBorders>
              <w:top w:val="single" w:color="000000" w:sz="10" w:space="0"/>
            </w:tcBorders>
          </w:tcPr>
          <w:p>
            <w:pPr>
              <w:pStyle w:val="TableText"/>
              <w:ind w:left="137"/>
              <w:spacing w:before="211" w:line="229" w:lineRule="auto"/>
              <w:rPr/>
            </w:pPr>
            <w:r>
              <w:rPr>
                <w:spacing w:val="5"/>
              </w:rPr>
              <w:t>检测结果</w:t>
            </w:r>
          </w:p>
        </w:tc>
        <w:tc>
          <w:tcPr>
            <w:tcW w:w="1044" w:type="dxa"/>
            <w:vAlign w:val="top"/>
            <w:tcBorders>
              <w:top w:val="single" w:color="000000" w:sz="10" w:space="0"/>
            </w:tcBorders>
          </w:tcPr>
          <w:p>
            <w:pPr>
              <w:pStyle w:val="TableText"/>
              <w:ind w:left="430" w:right="204" w:hanging="210"/>
              <w:spacing w:before="56" w:line="261" w:lineRule="auto"/>
              <w:rPr/>
            </w:pPr>
            <w:r>
              <w:rPr>
                <w:spacing w:val="4"/>
              </w:rPr>
              <w:t>评价标</w:t>
            </w:r>
            <w:r>
              <w:rPr/>
              <w:t>准</w:t>
            </w:r>
          </w:p>
        </w:tc>
        <w:tc>
          <w:tcPr>
            <w:tcW w:w="1221" w:type="dxa"/>
            <w:vAlign w:val="top"/>
            <w:tcBorders>
              <w:top w:val="single" w:color="000000" w:sz="10" w:space="0"/>
            </w:tcBorders>
          </w:tcPr>
          <w:p>
            <w:pPr>
              <w:pStyle w:val="TableText"/>
              <w:ind w:left="344"/>
              <w:spacing w:before="55" w:line="231" w:lineRule="auto"/>
              <w:rPr/>
            </w:pPr>
            <w:r>
              <w:rPr>
                <w:spacing w:val="-7"/>
              </w:rPr>
              <w:t>占标率</w:t>
            </w:r>
          </w:p>
          <w:p>
            <w:pPr>
              <w:pStyle w:val="TableText"/>
              <w:ind w:left="329"/>
              <w:spacing w:before="61" w:line="235" w:lineRule="auto"/>
              <w:rPr/>
            </w:pPr>
            <w:r>
              <w:rPr/>
              <w:t>（</w:t>
            </w:r>
            <w:r>
              <w:rPr>
                <w:rFonts w:ascii="Times New Roman" w:hAnsi="Times New Roman" w:eastAsia="Times New Roman" w:cs="Times New Roman"/>
              </w:rPr>
              <w:t>%</w:t>
            </w:r>
            <w:r>
              <w:rPr/>
              <w:t>）</w:t>
            </w:r>
          </w:p>
        </w:tc>
        <w:tc>
          <w:tcPr>
            <w:tcW w:w="1078" w:type="dxa"/>
            <w:vAlign w:val="top"/>
            <w:tcBorders>
              <w:right w:val="nil"/>
              <w:top w:val="single" w:color="000000" w:sz="10" w:space="0"/>
            </w:tcBorders>
          </w:tcPr>
          <w:p>
            <w:pPr>
              <w:pStyle w:val="TableText"/>
              <w:ind w:left="133"/>
              <w:spacing w:before="211" w:line="231" w:lineRule="auto"/>
              <w:rPr/>
            </w:pPr>
            <w:r>
              <w:rPr>
                <w:spacing w:val="5"/>
              </w:rPr>
              <w:t>达标情况</w:t>
            </w:r>
          </w:p>
        </w:tc>
      </w:tr>
      <w:tr>
        <w:trPr>
          <w:trHeight w:val="316" w:hRule="atLeast"/>
        </w:trPr>
        <w:tc>
          <w:tcPr>
            <w:tcW w:w="622" w:type="dxa"/>
            <w:vAlign w:val="top"/>
            <w:tcBorders>
              <w:left w:val="nil"/>
            </w:tcBorders>
          </w:tcPr>
          <w:p>
            <w:pPr>
              <w:ind w:left="281"/>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61"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10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2025.08.20</w:t>
            </w:r>
          </w:p>
        </w:tc>
        <w:tc>
          <w:tcPr>
            <w:tcW w:w="606"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20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S1</w:t>
            </w:r>
          </w:p>
        </w:tc>
        <w:tc>
          <w:tcPr>
            <w:tcW w:w="906" w:type="dxa"/>
            <w:vAlign w:val="top"/>
          </w:tcPr>
          <w:p>
            <w:pPr>
              <w:pStyle w:val="TableText"/>
              <w:ind w:left="361"/>
              <w:spacing w:before="51" w:line="229" w:lineRule="auto"/>
              <w:rPr/>
            </w:pPr>
            <w:r>
              <w:rPr/>
              <w:t>砷</w:t>
            </w:r>
          </w:p>
        </w:tc>
        <w:tc>
          <w:tcPr>
            <w:tcW w:w="790" w:type="dxa"/>
            <w:vAlign w:val="top"/>
          </w:tcPr>
          <w:p>
            <w:pPr>
              <w:ind w:left="126"/>
              <w:spacing w:before="8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6"/>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c>
          <w:tcPr>
            <w:tcW w:w="1044" w:type="dxa"/>
            <w:vAlign w:val="top"/>
          </w:tcPr>
          <w:p>
            <w:pPr>
              <w:ind w:left="418"/>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21" w:type="dxa"/>
            <w:vAlign w:val="top"/>
          </w:tcPr>
          <w:p>
            <w:pPr>
              <w:ind w:left="39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12.96</w:t>
            </w:r>
          </w:p>
        </w:tc>
        <w:tc>
          <w:tcPr>
            <w:tcW w:w="1078" w:type="dxa"/>
            <w:vAlign w:val="top"/>
            <w:tcBorders>
              <w:right w:val="nil"/>
            </w:tcBorders>
          </w:tcPr>
          <w:p>
            <w:pPr>
              <w:pStyle w:val="TableText"/>
              <w:ind w:left="342"/>
              <w:spacing w:before="52" w:line="231" w:lineRule="auto"/>
              <w:rPr/>
            </w:pPr>
            <w:r>
              <w:rPr/>
              <w:t>达标</w:t>
            </w:r>
          </w:p>
        </w:tc>
      </w:tr>
      <w:tr>
        <w:trPr>
          <w:trHeight w:val="316" w:hRule="atLeast"/>
        </w:trPr>
        <w:tc>
          <w:tcPr>
            <w:tcW w:w="622" w:type="dxa"/>
            <w:vAlign w:val="top"/>
            <w:tcBorders>
              <w:left w:val="nil"/>
            </w:tcBorders>
          </w:tcPr>
          <w:p>
            <w:pPr>
              <w:ind w:left="26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1"/>
              <w:spacing w:before="55" w:line="231" w:lineRule="auto"/>
              <w:rPr/>
            </w:pPr>
            <w:r>
              <w:rPr/>
              <w:t>汞</w:t>
            </w:r>
          </w:p>
        </w:tc>
        <w:tc>
          <w:tcPr>
            <w:tcW w:w="790" w:type="dxa"/>
            <w:vAlign w:val="top"/>
          </w:tcPr>
          <w:p>
            <w:pPr>
              <w:ind w:left="126"/>
              <w:spacing w:before="8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1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121</w:t>
            </w:r>
          </w:p>
        </w:tc>
        <w:tc>
          <w:tcPr>
            <w:tcW w:w="1044" w:type="dxa"/>
            <w:vAlign w:val="top"/>
          </w:tcPr>
          <w:p>
            <w:pPr>
              <w:ind w:left="396"/>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3.4</w:t>
            </w:r>
          </w:p>
        </w:tc>
        <w:tc>
          <w:tcPr>
            <w:tcW w:w="1221" w:type="dxa"/>
            <w:vAlign w:val="top"/>
          </w:tcPr>
          <w:p>
            <w:pPr>
              <w:ind w:left="43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3.56</w:t>
            </w:r>
          </w:p>
        </w:tc>
        <w:tc>
          <w:tcPr>
            <w:tcW w:w="1078" w:type="dxa"/>
            <w:vAlign w:val="top"/>
            <w:tcBorders>
              <w:right w:val="nil"/>
            </w:tcBorders>
          </w:tcPr>
          <w:p>
            <w:pPr>
              <w:pStyle w:val="TableText"/>
              <w:ind w:left="342"/>
              <w:spacing w:before="55" w:line="231" w:lineRule="auto"/>
              <w:rPr/>
            </w:pPr>
            <w:r>
              <w:rPr/>
              <w:t>达标</w:t>
            </w:r>
          </w:p>
        </w:tc>
      </w:tr>
      <w:tr>
        <w:trPr>
          <w:trHeight w:val="316" w:hRule="atLeast"/>
        </w:trPr>
        <w:tc>
          <w:tcPr>
            <w:tcW w:w="622" w:type="dxa"/>
            <w:vAlign w:val="top"/>
            <w:tcBorders>
              <w:left w:val="nil"/>
            </w:tcBorders>
          </w:tcPr>
          <w:p>
            <w:pPr>
              <w:ind w:left="26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0"/>
              <w:spacing w:before="55" w:line="231" w:lineRule="auto"/>
              <w:rPr/>
            </w:pPr>
            <w:r>
              <w:rPr/>
              <w:t>铅</w:t>
            </w:r>
          </w:p>
        </w:tc>
        <w:tc>
          <w:tcPr>
            <w:tcW w:w="790" w:type="dxa"/>
            <w:vAlign w:val="top"/>
          </w:tcPr>
          <w:p>
            <w:pPr>
              <w:ind w:left="126"/>
              <w:spacing w:before="8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413"/>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044" w:type="dxa"/>
            <w:vAlign w:val="top"/>
          </w:tcPr>
          <w:p>
            <w:pPr>
              <w:ind w:left="386"/>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170</w:t>
            </w:r>
          </w:p>
        </w:tc>
        <w:tc>
          <w:tcPr>
            <w:tcW w:w="1221" w:type="dxa"/>
            <w:vAlign w:val="top"/>
          </w:tcPr>
          <w:p>
            <w:pPr>
              <w:ind w:left="42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2.47</w:t>
            </w:r>
          </w:p>
        </w:tc>
        <w:tc>
          <w:tcPr>
            <w:tcW w:w="1078" w:type="dxa"/>
            <w:vAlign w:val="top"/>
            <w:tcBorders>
              <w:right w:val="nil"/>
            </w:tcBorders>
          </w:tcPr>
          <w:p>
            <w:pPr>
              <w:pStyle w:val="TableText"/>
              <w:ind w:left="342"/>
              <w:spacing w:before="55" w:line="231" w:lineRule="auto"/>
              <w:rPr/>
            </w:pPr>
            <w:r>
              <w:rPr/>
              <w:t>达标</w:t>
            </w:r>
          </w:p>
        </w:tc>
      </w:tr>
      <w:tr>
        <w:trPr>
          <w:trHeight w:val="316" w:hRule="atLeast"/>
        </w:trPr>
        <w:tc>
          <w:tcPr>
            <w:tcW w:w="622" w:type="dxa"/>
            <w:vAlign w:val="top"/>
            <w:tcBorders>
              <w:left w:val="nil"/>
            </w:tcBorders>
          </w:tcPr>
          <w:p>
            <w:pPr>
              <w:ind w:left="26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1"/>
              <w:spacing w:before="56" w:line="230" w:lineRule="auto"/>
              <w:rPr/>
            </w:pPr>
            <w:r>
              <w:rPr/>
              <w:t>镉</w:t>
            </w:r>
          </w:p>
        </w:tc>
        <w:tc>
          <w:tcPr>
            <w:tcW w:w="790" w:type="dxa"/>
            <w:vAlign w:val="top"/>
          </w:tcPr>
          <w:p>
            <w:pPr>
              <w:ind w:left="126"/>
              <w:spacing w:before="8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5"/>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w:t>
            </w:r>
          </w:p>
        </w:tc>
        <w:tc>
          <w:tcPr>
            <w:tcW w:w="1044" w:type="dxa"/>
            <w:vAlign w:val="top"/>
          </w:tcPr>
          <w:p>
            <w:pPr>
              <w:ind w:left="395"/>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1221" w:type="dxa"/>
            <w:vAlign w:val="top"/>
          </w:tcPr>
          <w:p>
            <w:pPr>
              <w:ind w:left="395"/>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16.67</w:t>
            </w:r>
          </w:p>
        </w:tc>
        <w:tc>
          <w:tcPr>
            <w:tcW w:w="1078" w:type="dxa"/>
            <w:vAlign w:val="top"/>
            <w:tcBorders>
              <w:right w:val="nil"/>
            </w:tcBorders>
          </w:tcPr>
          <w:p>
            <w:pPr>
              <w:pStyle w:val="TableText"/>
              <w:ind w:left="342"/>
              <w:spacing w:before="56" w:line="230" w:lineRule="auto"/>
              <w:rPr/>
            </w:pPr>
            <w:r>
              <w:rPr/>
              <w:t>达标</w:t>
            </w:r>
          </w:p>
        </w:tc>
      </w:tr>
      <w:tr>
        <w:trPr>
          <w:trHeight w:val="316" w:hRule="atLeast"/>
        </w:trPr>
        <w:tc>
          <w:tcPr>
            <w:tcW w:w="622" w:type="dxa"/>
            <w:vAlign w:val="top"/>
            <w:tcBorders>
              <w:left w:val="nil"/>
            </w:tcBorders>
          </w:tcPr>
          <w:p>
            <w:pPr>
              <w:ind w:left="267"/>
              <w:spacing w:before="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1"/>
              <w:spacing w:before="56" w:line="230" w:lineRule="auto"/>
              <w:rPr/>
            </w:pPr>
            <w:r>
              <w:rPr/>
              <w:t>铬</w:t>
            </w:r>
          </w:p>
        </w:tc>
        <w:tc>
          <w:tcPr>
            <w:tcW w:w="790" w:type="dxa"/>
            <w:vAlign w:val="top"/>
          </w:tcPr>
          <w:p>
            <w:pPr>
              <w:ind w:left="126"/>
              <w:spacing w:before="8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w:t>
            </w:r>
          </w:p>
        </w:tc>
        <w:tc>
          <w:tcPr>
            <w:tcW w:w="1044" w:type="dxa"/>
            <w:vAlign w:val="top"/>
          </w:tcPr>
          <w:p>
            <w:pPr>
              <w:ind w:left="366"/>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221" w:type="dxa"/>
            <w:vAlign w:val="top"/>
          </w:tcPr>
          <w:p>
            <w:pPr>
              <w:ind w:left="395"/>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10.80</w:t>
            </w:r>
          </w:p>
        </w:tc>
        <w:tc>
          <w:tcPr>
            <w:tcW w:w="1078" w:type="dxa"/>
            <w:vAlign w:val="top"/>
            <w:tcBorders>
              <w:right w:val="nil"/>
            </w:tcBorders>
          </w:tcPr>
          <w:p>
            <w:pPr>
              <w:pStyle w:val="TableText"/>
              <w:ind w:left="342"/>
              <w:spacing w:before="56" w:line="230" w:lineRule="auto"/>
              <w:rPr/>
            </w:pPr>
            <w:r>
              <w:rPr/>
              <w:t>达标</w:t>
            </w:r>
          </w:p>
        </w:tc>
      </w:tr>
      <w:tr>
        <w:trPr>
          <w:trHeight w:val="316" w:hRule="atLeast"/>
        </w:trPr>
        <w:tc>
          <w:tcPr>
            <w:tcW w:w="622" w:type="dxa"/>
            <w:vAlign w:val="top"/>
            <w:tcBorders>
              <w:left w:val="nil"/>
            </w:tcBorders>
          </w:tcPr>
          <w:p>
            <w:pPr>
              <w:ind w:left="26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2"/>
              <w:spacing w:before="57" w:line="229" w:lineRule="auto"/>
              <w:rPr/>
            </w:pPr>
            <w:r>
              <w:rPr/>
              <w:t>铜</w:t>
            </w:r>
          </w:p>
        </w:tc>
        <w:tc>
          <w:tcPr>
            <w:tcW w:w="790" w:type="dxa"/>
            <w:vAlign w:val="top"/>
          </w:tcPr>
          <w:p>
            <w:pPr>
              <w:ind w:left="126"/>
              <w:spacing w:before="8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82"/>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15.5</w:t>
            </w:r>
          </w:p>
        </w:tc>
        <w:tc>
          <w:tcPr>
            <w:tcW w:w="1044" w:type="dxa"/>
            <w:vAlign w:val="top"/>
          </w:tcPr>
          <w:p>
            <w:pPr>
              <w:ind w:left="38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221" w:type="dxa"/>
            <w:vAlign w:val="top"/>
          </w:tcPr>
          <w:p>
            <w:pPr>
              <w:ind w:left="395"/>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15.50</w:t>
            </w:r>
          </w:p>
        </w:tc>
        <w:tc>
          <w:tcPr>
            <w:tcW w:w="1078" w:type="dxa"/>
            <w:vAlign w:val="top"/>
            <w:tcBorders>
              <w:right w:val="nil"/>
            </w:tcBorders>
          </w:tcPr>
          <w:p>
            <w:pPr>
              <w:pStyle w:val="TableText"/>
              <w:ind w:left="342"/>
              <w:spacing w:before="57" w:line="229" w:lineRule="auto"/>
              <w:rPr/>
            </w:pPr>
            <w:r>
              <w:rPr/>
              <w:t>达标</w:t>
            </w:r>
          </w:p>
        </w:tc>
      </w:tr>
      <w:tr>
        <w:trPr>
          <w:trHeight w:val="316" w:hRule="atLeast"/>
        </w:trPr>
        <w:tc>
          <w:tcPr>
            <w:tcW w:w="622" w:type="dxa"/>
            <w:vAlign w:val="top"/>
            <w:tcBorders>
              <w:left w:val="nil"/>
            </w:tcBorders>
          </w:tcPr>
          <w:p>
            <w:pPr>
              <w:ind w:left="264"/>
              <w:spacing w:before="9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2"/>
              <w:spacing w:before="57" w:line="229" w:lineRule="auto"/>
              <w:rPr/>
            </w:pPr>
            <w:r>
              <w:rPr/>
              <w:t>镍</w:t>
            </w:r>
          </w:p>
        </w:tc>
        <w:tc>
          <w:tcPr>
            <w:tcW w:w="790" w:type="dxa"/>
            <w:vAlign w:val="top"/>
          </w:tcPr>
          <w:p>
            <w:pPr>
              <w:ind w:left="126"/>
              <w:spacing w:before="9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7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85.6</w:t>
            </w:r>
          </w:p>
        </w:tc>
        <w:tc>
          <w:tcPr>
            <w:tcW w:w="1044" w:type="dxa"/>
            <w:vAlign w:val="top"/>
          </w:tcPr>
          <w:p>
            <w:pPr>
              <w:ind w:left="386"/>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190</w:t>
            </w:r>
          </w:p>
        </w:tc>
        <w:tc>
          <w:tcPr>
            <w:tcW w:w="1221" w:type="dxa"/>
            <w:vAlign w:val="top"/>
          </w:tcPr>
          <w:p>
            <w:pPr>
              <w:ind w:left="37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45.05</w:t>
            </w:r>
          </w:p>
        </w:tc>
        <w:tc>
          <w:tcPr>
            <w:tcW w:w="1078" w:type="dxa"/>
            <w:vAlign w:val="top"/>
            <w:tcBorders>
              <w:right w:val="nil"/>
            </w:tcBorders>
          </w:tcPr>
          <w:p>
            <w:pPr>
              <w:pStyle w:val="TableText"/>
              <w:ind w:left="342"/>
              <w:spacing w:before="57" w:line="229" w:lineRule="auto"/>
              <w:rPr/>
            </w:pPr>
            <w:r>
              <w:rPr/>
              <w:t>达标</w:t>
            </w:r>
          </w:p>
        </w:tc>
      </w:tr>
      <w:tr>
        <w:trPr>
          <w:trHeight w:val="316" w:hRule="atLeast"/>
        </w:trPr>
        <w:tc>
          <w:tcPr>
            <w:tcW w:w="622" w:type="dxa"/>
            <w:vAlign w:val="top"/>
            <w:tcBorders>
              <w:left w:val="nil"/>
            </w:tcBorders>
          </w:tcPr>
          <w:p>
            <w:pPr>
              <w:ind w:left="269"/>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61" w:type="dxa"/>
            <w:vAlign w:val="top"/>
            <w:vMerge w:val="continue"/>
            <w:tcBorders>
              <w:top w:val="nil"/>
            </w:tcBorders>
          </w:tcPr>
          <w:p>
            <w:pPr>
              <w:rPr>
                <w:rFonts w:ascii="Arial"/>
                <w:sz w:val="21"/>
              </w:rPr>
            </w:pPr>
            <w:r/>
          </w:p>
        </w:tc>
        <w:tc>
          <w:tcPr>
            <w:tcW w:w="606" w:type="dxa"/>
            <w:vAlign w:val="top"/>
            <w:vMerge w:val="continue"/>
            <w:tcBorders>
              <w:top w:val="nil"/>
            </w:tcBorders>
          </w:tcPr>
          <w:p>
            <w:pPr>
              <w:rPr>
                <w:rFonts w:ascii="Arial"/>
                <w:sz w:val="21"/>
              </w:rPr>
            </w:pPr>
            <w:r/>
          </w:p>
        </w:tc>
        <w:tc>
          <w:tcPr>
            <w:tcW w:w="906" w:type="dxa"/>
            <w:vAlign w:val="top"/>
          </w:tcPr>
          <w:p>
            <w:pPr>
              <w:pStyle w:val="TableText"/>
              <w:ind w:left="361"/>
              <w:spacing w:before="61" w:line="226" w:lineRule="auto"/>
              <w:rPr/>
            </w:pPr>
            <w:r>
              <w:rPr/>
              <w:t>锌</w:t>
            </w:r>
          </w:p>
        </w:tc>
        <w:tc>
          <w:tcPr>
            <w:tcW w:w="790" w:type="dxa"/>
            <w:vAlign w:val="top"/>
          </w:tcPr>
          <w:p>
            <w:pPr>
              <w:ind w:left="126"/>
              <w:spacing w:before="9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2"/>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20.8</w:t>
            </w:r>
          </w:p>
        </w:tc>
        <w:tc>
          <w:tcPr>
            <w:tcW w:w="1044" w:type="dxa"/>
            <w:vAlign w:val="top"/>
          </w:tcPr>
          <w:p>
            <w:pPr>
              <w:ind w:left="370"/>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21" w:type="dxa"/>
            <w:vAlign w:val="top"/>
          </w:tcPr>
          <w:p>
            <w:pPr>
              <w:ind w:left="43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6.93</w:t>
            </w:r>
          </w:p>
        </w:tc>
        <w:tc>
          <w:tcPr>
            <w:tcW w:w="1078" w:type="dxa"/>
            <w:vAlign w:val="top"/>
            <w:tcBorders>
              <w:right w:val="nil"/>
            </w:tcBorders>
          </w:tcPr>
          <w:p>
            <w:pPr>
              <w:pStyle w:val="TableText"/>
              <w:ind w:left="342"/>
              <w:spacing w:before="61" w:line="226" w:lineRule="auto"/>
              <w:rPr/>
            </w:pPr>
            <w:r>
              <w:rPr/>
              <w:t>达标</w:t>
            </w:r>
          </w:p>
        </w:tc>
      </w:tr>
      <w:tr>
        <w:trPr>
          <w:trHeight w:val="316" w:hRule="atLeast"/>
        </w:trPr>
        <w:tc>
          <w:tcPr>
            <w:tcW w:w="622" w:type="dxa"/>
            <w:vAlign w:val="top"/>
            <w:tcBorders>
              <w:left w:val="nil"/>
            </w:tcBorders>
          </w:tcPr>
          <w:p>
            <w:pPr>
              <w:ind w:left="26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61"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10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2025.08.20</w:t>
            </w:r>
          </w:p>
        </w:tc>
        <w:tc>
          <w:tcPr>
            <w:tcW w:w="606"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20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S2</w:t>
            </w:r>
          </w:p>
        </w:tc>
        <w:tc>
          <w:tcPr>
            <w:tcW w:w="906" w:type="dxa"/>
            <w:vAlign w:val="top"/>
          </w:tcPr>
          <w:p>
            <w:pPr>
              <w:pStyle w:val="TableText"/>
              <w:ind w:left="361"/>
              <w:spacing w:before="62" w:line="225" w:lineRule="auto"/>
              <w:rPr/>
            </w:pPr>
            <w:r>
              <w:rPr/>
              <w:t>砷</w:t>
            </w:r>
          </w:p>
        </w:tc>
        <w:tc>
          <w:tcPr>
            <w:tcW w:w="790" w:type="dxa"/>
            <w:vAlign w:val="top"/>
          </w:tcPr>
          <w:p>
            <w:pPr>
              <w:ind w:left="126"/>
              <w:spacing w:before="9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6"/>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3.65</w:t>
            </w:r>
          </w:p>
        </w:tc>
        <w:tc>
          <w:tcPr>
            <w:tcW w:w="1044" w:type="dxa"/>
            <w:vAlign w:val="top"/>
          </w:tcPr>
          <w:p>
            <w:pPr>
              <w:ind w:left="418"/>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21" w:type="dxa"/>
            <w:vAlign w:val="top"/>
          </w:tcPr>
          <w:p>
            <w:pPr>
              <w:ind w:left="39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14.60</w:t>
            </w:r>
          </w:p>
        </w:tc>
        <w:tc>
          <w:tcPr>
            <w:tcW w:w="1078" w:type="dxa"/>
            <w:vAlign w:val="top"/>
            <w:tcBorders>
              <w:right w:val="nil"/>
            </w:tcBorders>
          </w:tcPr>
          <w:p>
            <w:pPr>
              <w:pStyle w:val="TableText"/>
              <w:ind w:left="342"/>
              <w:spacing w:before="62" w:line="225" w:lineRule="auto"/>
              <w:rPr/>
            </w:pPr>
            <w:r>
              <w:rPr/>
              <w:t>达标</w:t>
            </w:r>
          </w:p>
        </w:tc>
      </w:tr>
      <w:tr>
        <w:trPr>
          <w:trHeight w:val="316" w:hRule="atLeast"/>
        </w:trPr>
        <w:tc>
          <w:tcPr>
            <w:tcW w:w="622" w:type="dxa"/>
            <w:vAlign w:val="top"/>
            <w:tcBorders>
              <w:left w:val="nil"/>
            </w:tcBorders>
          </w:tcPr>
          <w:p>
            <w:pPr>
              <w:ind w:left="231"/>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10</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1"/>
              <w:spacing w:before="62" w:line="225" w:lineRule="auto"/>
              <w:rPr/>
            </w:pPr>
            <w:r>
              <w:rPr/>
              <w:t>汞</w:t>
            </w:r>
          </w:p>
        </w:tc>
        <w:tc>
          <w:tcPr>
            <w:tcW w:w="790" w:type="dxa"/>
            <w:vAlign w:val="top"/>
          </w:tcPr>
          <w:p>
            <w:pPr>
              <w:ind w:left="126"/>
              <w:spacing w:before="9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12"/>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0.133</w:t>
            </w:r>
          </w:p>
        </w:tc>
        <w:tc>
          <w:tcPr>
            <w:tcW w:w="1044" w:type="dxa"/>
            <w:vAlign w:val="top"/>
          </w:tcPr>
          <w:p>
            <w:pPr>
              <w:ind w:left="396"/>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3.4</w:t>
            </w:r>
          </w:p>
        </w:tc>
        <w:tc>
          <w:tcPr>
            <w:tcW w:w="1221" w:type="dxa"/>
            <w:vAlign w:val="top"/>
          </w:tcPr>
          <w:p>
            <w:pPr>
              <w:ind w:left="432"/>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3.91</w:t>
            </w:r>
          </w:p>
        </w:tc>
        <w:tc>
          <w:tcPr>
            <w:tcW w:w="1078" w:type="dxa"/>
            <w:vAlign w:val="top"/>
            <w:tcBorders>
              <w:right w:val="nil"/>
            </w:tcBorders>
          </w:tcPr>
          <w:p>
            <w:pPr>
              <w:pStyle w:val="TableText"/>
              <w:ind w:left="342"/>
              <w:spacing w:before="62" w:line="225" w:lineRule="auto"/>
              <w:rPr/>
            </w:pPr>
            <w:r>
              <w:rPr/>
              <w:t>达标</w:t>
            </w:r>
          </w:p>
        </w:tc>
      </w:tr>
      <w:tr>
        <w:trPr>
          <w:trHeight w:val="316" w:hRule="atLeast"/>
        </w:trPr>
        <w:tc>
          <w:tcPr>
            <w:tcW w:w="622" w:type="dxa"/>
            <w:vAlign w:val="top"/>
            <w:tcBorders>
              <w:left w:val="nil"/>
            </w:tcBorders>
          </w:tcPr>
          <w:p>
            <w:pPr>
              <w:ind w:left="233"/>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0"/>
              <w:spacing w:before="63" w:line="224" w:lineRule="auto"/>
              <w:rPr/>
            </w:pPr>
            <w:r>
              <w:rPr/>
              <w:t>铅</w:t>
            </w:r>
          </w:p>
        </w:tc>
        <w:tc>
          <w:tcPr>
            <w:tcW w:w="790" w:type="dxa"/>
            <w:vAlign w:val="top"/>
          </w:tcPr>
          <w:p>
            <w:pPr>
              <w:ind w:left="126"/>
              <w:spacing w:before="9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419"/>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3.3</w:t>
            </w:r>
          </w:p>
        </w:tc>
        <w:tc>
          <w:tcPr>
            <w:tcW w:w="1044" w:type="dxa"/>
            <w:vAlign w:val="top"/>
          </w:tcPr>
          <w:p>
            <w:pPr>
              <w:ind w:left="386"/>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170</w:t>
            </w:r>
          </w:p>
        </w:tc>
        <w:tc>
          <w:tcPr>
            <w:tcW w:w="1221" w:type="dxa"/>
            <w:vAlign w:val="top"/>
          </w:tcPr>
          <w:p>
            <w:pPr>
              <w:ind w:left="448"/>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1.94</w:t>
            </w:r>
          </w:p>
        </w:tc>
        <w:tc>
          <w:tcPr>
            <w:tcW w:w="1078" w:type="dxa"/>
            <w:vAlign w:val="top"/>
            <w:tcBorders>
              <w:right w:val="nil"/>
            </w:tcBorders>
          </w:tcPr>
          <w:p>
            <w:pPr>
              <w:pStyle w:val="TableText"/>
              <w:ind w:left="342"/>
              <w:spacing w:before="63" w:line="224" w:lineRule="auto"/>
              <w:rPr/>
            </w:pPr>
            <w:r>
              <w:rPr/>
              <w:t>达标</w:t>
            </w:r>
          </w:p>
        </w:tc>
      </w:tr>
      <w:tr>
        <w:trPr>
          <w:trHeight w:val="316" w:hRule="atLeast"/>
        </w:trPr>
        <w:tc>
          <w:tcPr>
            <w:tcW w:w="622" w:type="dxa"/>
            <w:vAlign w:val="top"/>
            <w:tcBorders>
              <w:left w:val="nil"/>
            </w:tcBorders>
          </w:tcPr>
          <w:p>
            <w:pPr>
              <w:ind w:left="231"/>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12</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1"/>
              <w:spacing w:before="63" w:line="224" w:lineRule="auto"/>
              <w:rPr/>
            </w:pPr>
            <w:r>
              <w:rPr/>
              <w:t>镉</w:t>
            </w:r>
          </w:p>
        </w:tc>
        <w:tc>
          <w:tcPr>
            <w:tcW w:w="790" w:type="dxa"/>
            <w:vAlign w:val="top"/>
          </w:tcPr>
          <w:p>
            <w:pPr>
              <w:ind w:left="126"/>
              <w:spacing w:before="9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044" w:type="dxa"/>
            <w:vAlign w:val="top"/>
          </w:tcPr>
          <w:p>
            <w:pPr>
              <w:ind w:left="39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1221" w:type="dxa"/>
            <w:vAlign w:val="top"/>
          </w:tcPr>
          <w:p>
            <w:pPr>
              <w:ind w:left="39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1078" w:type="dxa"/>
            <w:vAlign w:val="top"/>
            <w:tcBorders>
              <w:right w:val="nil"/>
            </w:tcBorders>
          </w:tcPr>
          <w:p>
            <w:pPr>
              <w:pStyle w:val="TableText"/>
              <w:ind w:left="342"/>
              <w:spacing w:before="63" w:line="224" w:lineRule="auto"/>
              <w:rPr/>
            </w:pPr>
            <w:r>
              <w:rPr/>
              <w:t>达标</w:t>
            </w:r>
          </w:p>
        </w:tc>
      </w:tr>
      <w:tr>
        <w:trPr>
          <w:trHeight w:val="316" w:hRule="atLeast"/>
        </w:trPr>
        <w:tc>
          <w:tcPr>
            <w:tcW w:w="622" w:type="dxa"/>
            <w:vAlign w:val="top"/>
            <w:tcBorders>
              <w:left w:val="nil"/>
            </w:tcBorders>
          </w:tcPr>
          <w:p>
            <w:pPr>
              <w:ind w:left="231"/>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13</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1"/>
              <w:spacing w:before="64" w:line="223" w:lineRule="auto"/>
              <w:rPr/>
            </w:pPr>
            <w:r>
              <w:rPr/>
              <w:t>铬</w:t>
            </w:r>
          </w:p>
        </w:tc>
        <w:tc>
          <w:tcPr>
            <w:tcW w:w="790" w:type="dxa"/>
            <w:vAlign w:val="top"/>
          </w:tcPr>
          <w:p>
            <w:pPr>
              <w:ind w:left="126"/>
              <w:spacing w:before="9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1"/>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44.3</w:t>
            </w:r>
          </w:p>
        </w:tc>
        <w:tc>
          <w:tcPr>
            <w:tcW w:w="1044" w:type="dxa"/>
            <w:vAlign w:val="top"/>
          </w:tcPr>
          <w:p>
            <w:pPr>
              <w:ind w:left="36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221" w:type="dxa"/>
            <w:vAlign w:val="top"/>
          </w:tcPr>
          <w:p>
            <w:pPr>
              <w:ind w:left="39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17.72</w:t>
            </w:r>
          </w:p>
        </w:tc>
        <w:tc>
          <w:tcPr>
            <w:tcW w:w="1078" w:type="dxa"/>
            <w:vAlign w:val="top"/>
            <w:tcBorders>
              <w:right w:val="nil"/>
            </w:tcBorders>
          </w:tcPr>
          <w:p>
            <w:pPr>
              <w:pStyle w:val="TableText"/>
              <w:ind w:left="342"/>
              <w:spacing w:before="64" w:line="223" w:lineRule="auto"/>
              <w:rPr/>
            </w:pPr>
            <w:r>
              <w:rPr/>
              <w:t>达标</w:t>
            </w:r>
          </w:p>
        </w:tc>
      </w:tr>
      <w:tr>
        <w:trPr>
          <w:trHeight w:val="316" w:hRule="atLeast"/>
        </w:trPr>
        <w:tc>
          <w:tcPr>
            <w:tcW w:w="622" w:type="dxa"/>
            <w:vAlign w:val="top"/>
            <w:tcBorders>
              <w:left w:val="nil"/>
            </w:tcBorders>
          </w:tcPr>
          <w:p>
            <w:pPr>
              <w:ind w:left="23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14</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2"/>
              <w:spacing w:before="67" w:line="220" w:lineRule="auto"/>
              <w:rPr/>
            </w:pPr>
            <w:r>
              <w:rPr/>
              <w:t>铜</w:t>
            </w:r>
          </w:p>
        </w:tc>
        <w:tc>
          <w:tcPr>
            <w:tcW w:w="790" w:type="dxa"/>
            <w:vAlign w:val="top"/>
          </w:tcPr>
          <w:p>
            <w:pPr>
              <w:ind w:left="126"/>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8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15.5</w:t>
            </w:r>
          </w:p>
        </w:tc>
        <w:tc>
          <w:tcPr>
            <w:tcW w:w="1044" w:type="dxa"/>
            <w:vAlign w:val="top"/>
          </w:tcPr>
          <w:p>
            <w:pPr>
              <w:ind w:left="38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221" w:type="dxa"/>
            <w:vAlign w:val="top"/>
          </w:tcPr>
          <w:p>
            <w:pPr>
              <w:ind w:left="39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15.50</w:t>
            </w:r>
          </w:p>
        </w:tc>
        <w:tc>
          <w:tcPr>
            <w:tcW w:w="1078" w:type="dxa"/>
            <w:vAlign w:val="top"/>
            <w:tcBorders>
              <w:right w:val="nil"/>
            </w:tcBorders>
          </w:tcPr>
          <w:p>
            <w:pPr>
              <w:pStyle w:val="TableText"/>
              <w:ind w:left="342"/>
              <w:spacing w:before="67" w:line="220" w:lineRule="auto"/>
              <w:rPr/>
            </w:pPr>
            <w:r>
              <w:rPr/>
              <w:t>达标</w:t>
            </w:r>
          </w:p>
        </w:tc>
      </w:tr>
      <w:tr>
        <w:trPr>
          <w:trHeight w:val="316" w:hRule="atLeast"/>
        </w:trPr>
        <w:tc>
          <w:tcPr>
            <w:tcW w:w="622" w:type="dxa"/>
            <w:vAlign w:val="top"/>
            <w:tcBorders>
              <w:left w:val="nil"/>
            </w:tcBorders>
          </w:tcPr>
          <w:p>
            <w:pPr>
              <w:ind w:left="23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15</w:t>
            </w:r>
          </w:p>
        </w:tc>
        <w:tc>
          <w:tcPr>
            <w:tcW w:w="1161" w:type="dxa"/>
            <w:vAlign w:val="top"/>
            <w:vMerge w:val="continue"/>
            <w:tcBorders>
              <w:top w:val="nil"/>
              <w:bottom w:val="nil"/>
            </w:tcBorders>
          </w:tcPr>
          <w:p>
            <w:pPr>
              <w:rPr>
                <w:rFonts w:ascii="Arial"/>
                <w:sz w:val="21"/>
              </w:rPr>
            </w:pPr>
            <w:r/>
          </w:p>
        </w:tc>
        <w:tc>
          <w:tcPr>
            <w:tcW w:w="606" w:type="dxa"/>
            <w:vAlign w:val="top"/>
            <w:vMerge w:val="continue"/>
            <w:tcBorders>
              <w:top w:val="nil"/>
              <w:bottom w:val="nil"/>
            </w:tcBorders>
          </w:tcPr>
          <w:p>
            <w:pPr>
              <w:rPr>
                <w:rFonts w:ascii="Arial"/>
                <w:sz w:val="21"/>
              </w:rPr>
            </w:pPr>
            <w:r/>
          </w:p>
        </w:tc>
        <w:tc>
          <w:tcPr>
            <w:tcW w:w="906" w:type="dxa"/>
            <w:vAlign w:val="top"/>
          </w:tcPr>
          <w:p>
            <w:pPr>
              <w:pStyle w:val="TableText"/>
              <w:ind w:left="362"/>
              <w:spacing w:before="67" w:line="220" w:lineRule="auto"/>
              <w:rPr/>
            </w:pPr>
            <w:r>
              <w:rPr/>
              <w:t>镍</w:t>
            </w:r>
          </w:p>
        </w:tc>
        <w:tc>
          <w:tcPr>
            <w:tcW w:w="790" w:type="dxa"/>
            <w:vAlign w:val="top"/>
          </w:tcPr>
          <w:p>
            <w:pPr>
              <w:ind w:left="126"/>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7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044" w:type="dxa"/>
            <w:vAlign w:val="top"/>
          </w:tcPr>
          <w:p>
            <w:pPr>
              <w:ind w:left="38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190</w:t>
            </w:r>
          </w:p>
        </w:tc>
        <w:tc>
          <w:tcPr>
            <w:tcW w:w="1221" w:type="dxa"/>
            <w:vAlign w:val="top"/>
          </w:tcPr>
          <w:p>
            <w:pPr>
              <w:ind w:left="37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42.68</w:t>
            </w:r>
          </w:p>
        </w:tc>
        <w:tc>
          <w:tcPr>
            <w:tcW w:w="1078" w:type="dxa"/>
            <w:vAlign w:val="top"/>
            <w:tcBorders>
              <w:right w:val="nil"/>
            </w:tcBorders>
          </w:tcPr>
          <w:p>
            <w:pPr>
              <w:pStyle w:val="TableText"/>
              <w:ind w:left="342"/>
              <w:spacing w:before="67" w:line="220" w:lineRule="auto"/>
              <w:rPr/>
            </w:pPr>
            <w:r>
              <w:rPr/>
              <w:t>达标</w:t>
            </w:r>
          </w:p>
        </w:tc>
      </w:tr>
      <w:tr>
        <w:trPr>
          <w:trHeight w:val="316" w:hRule="atLeast"/>
        </w:trPr>
        <w:tc>
          <w:tcPr>
            <w:tcW w:w="622" w:type="dxa"/>
            <w:vAlign w:val="top"/>
            <w:tcBorders>
              <w:left w:val="nil"/>
            </w:tcBorders>
          </w:tcPr>
          <w:p>
            <w:pPr>
              <w:ind w:left="23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16</w:t>
            </w:r>
          </w:p>
        </w:tc>
        <w:tc>
          <w:tcPr>
            <w:tcW w:w="1161" w:type="dxa"/>
            <w:vAlign w:val="top"/>
            <w:vMerge w:val="continue"/>
            <w:tcBorders>
              <w:top w:val="nil"/>
            </w:tcBorders>
          </w:tcPr>
          <w:p>
            <w:pPr>
              <w:rPr>
                <w:rFonts w:ascii="Arial"/>
                <w:sz w:val="21"/>
              </w:rPr>
            </w:pPr>
            <w:r/>
          </w:p>
        </w:tc>
        <w:tc>
          <w:tcPr>
            <w:tcW w:w="606" w:type="dxa"/>
            <w:vAlign w:val="top"/>
            <w:vMerge w:val="continue"/>
            <w:tcBorders>
              <w:top w:val="nil"/>
            </w:tcBorders>
          </w:tcPr>
          <w:p>
            <w:pPr>
              <w:rPr>
                <w:rFonts w:ascii="Arial"/>
                <w:sz w:val="21"/>
              </w:rPr>
            </w:pPr>
            <w:r/>
          </w:p>
        </w:tc>
        <w:tc>
          <w:tcPr>
            <w:tcW w:w="906" w:type="dxa"/>
            <w:vAlign w:val="top"/>
          </w:tcPr>
          <w:p>
            <w:pPr>
              <w:pStyle w:val="TableText"/>
              <w:ind w:left="361"/>
              <w:spacing w:before="68" w:line="219" w:lineRule="auto"/>
              <w:rPr/>
            </w:pPr>
            <w:r>
              <w:rPr/>
              <w:t>锌</w:t>
            </w:r>
          </w:p>
        </w:tc>
        <w:tc>
          <w:tcPr>
            <w:tcW w:w="790" w:type="dxa"/>
            <w:vAlign w:val="top"/>
          </w:tcPr>
          <w:p>
            <w:pPr>
              <w:ind w:left="126"/>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w:t>
            </w:r>
          </w:p>
        </w:tc>
        <w:tc>
          <w:tcPr>
            <w:tcW w:w="1044" w:type="dxa"/>
            <w:vAlign w:val="top"/>
          </w:tcPr>
          <w:p>
            <w:pPr>
              <w:ind w:left="37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21" w:type="dxa"/>
            <w:vAlign w:val="top"/>
          </w:tcPr>
          <w:p>
            <w:pPr>
              <w:ind w:left="43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6.73</w:t>
            </w:r>
          </w:p>
        </w:tc>
        <w:tc>
          <w:tcPr>
            <w:tcW w:w="1078" w:type="dxa"/>
            <w:vAlign w:val="top"/>
            <w:tcBorders>
              <w:right w:val="nil"/>
            </w:tcBorders>
          </w:tcPr>
          <w:p>
            <w:pPr>
              <w:pStyle w:val="TableText"/>
              <w:ind w:left="342"/>
              <w:spacing w:before="68" w:line="219" w:lineRule="auto"/>
              <w:rPr/>
            </w:pPr>
            <w:r>
              <w:rPr/>
              <w:t>达标</w:t>
            </w:r>
          </w:p>
        </w:tc>
      </w:tr>
      <w:tr>
        <w:trPr>
          <w:trHeight w:val="316" w:hRule="atLeast"/>
        </w:trPr>
        <w:tc>
          <w:tcPr>
            <w:tcW w:w="622" w:type="dxa"/>
            <w:vAlign w:val="top"/>
            <w:tcBorders>
              <w:left w:val="nil"/>
            </w:tcBorders>
          </w:tcPr>
          <w:p>
            <w:pPr>
              <w:ind w:left="23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161"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10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2025.08.19</w:t>
            </w:r>
          </w:p>
        </w:tc>
        <w:tc>
          <w:tcPr>
            <w:tcW w:w="606"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20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S3</w:t>
            </w:r>
          </w:p>
        </w:tc>
        <w:tc>
          <w:tcPr>
            <w:tcW w:w="906" w:type="dxa"/>
            <w:vAlign w:val="top"/>
          </w:tcPr>
          <w:p>
            <w:pPr>
              <w:pStyle w:val="TableText"/>
              <w:ind w:left="361"/>
              <w:spacing w:before="68" w:line="219" w:lineRule="auto"/>
              <w:rPr/>
            </w:pPr>
            <w:r>
              <w:rPr/>
              <w:t>砷</w:t>
            </w:r>
          </w:p>
        </w:tc>
        <w:tc>
          <w:tcPr>
            <w:tcW w:w="790" w:type="dxa"/>
            <w:vAlign w:val="top"/>
          </w:tcPr>
          <w:p>
            <w:pPr>
              <w:ind w:left="1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3.02</w:t>
            </w:r>
          </w:p>
        </w:tc>
        <w:tc>
          <w:tcPr>
            <w:tcW w:w="1044" w:type="dxa"/>
            <w:vAlign w:val="top"/>
          </w:tcPr>
          <w:p>
            <w:pPr>
              <w:ind w:left="41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21" w:type="dxa"/>
            <w:vAlign w:val="top"/>
          </w:tcPr>
          <w:p>
            <w:pPr>
              <w:ind w:left="39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12.08</w:t>
            </w:r>
          </w:p>
        </w:tc>
        <w:tc>
          <w:tcPr>
            <w:tcW w:w="1078" w:type="dxa"/>
            <w:vAlign w:val="top"/>
            <w:tcBorders>
              <w:right w:val="nil"/>
            </w:tcBorders>
          </w:tcPr>
          <w:p>
            <w:pPr>
              <w:pStyle w:val="TableText"/>
              <w:ind w:left="342"/>
              <w:spacing w:before="68" w:line="219" w:lineRule="auto"/>
              <w:rPr/>
            </w:pPr>
            <w:r>
              <w:rPr/>
              <w:t>达标</w:t>
            </w:r>
          </w:p>
        </w:tc>
      </w:tr>
      <w:tr>
        <w:trPr>
          <w:trHeight w:val="316" w:hRule="atLeast"/>
        </w:trPr>
        <w:tc>
          <w:tcPr>
            <w:tcW w:w="622" w:type="dxa"/>
            <w:vAlign w:val="top"/>
            <w:tcBorders>
              <w:left w:val="nil"/>
            </w:tcBorders>
          </w:tcPr>
          <w:p>
            <w:pPr>
              <w:ind w:left="23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161" w:type="dxa"/>
            <w:vAlign w:val="top"/>
            <w:vMerge w:val="continue"/>
            <w:tcBorders>
              <w:bottom w:val="nil"/>
              <w:top w:val="nil"/>
            </w:tcBorders>
          </w:tcPr>
          <w:p>
            <w:pPr>
              <w:rPr>
                <w:rFonts w:ascii="Arial"/>
                <w:sz w:val="21"/>
              </w:rPr>
            </w:pPr>
            <w:r/>
          </w:p>
        </w:tc>
        <w:tc>
          <w:tcPr>
            <w:tcW w:w="606" w:type="dxa"/>
            <w:vAlign w:val="top"/>
            <w:vMerge w:val="continue"/>
            <w:tcBorders>
              <w:bottom w:val="nil"/>
              <w:top w:val="nil"/>
            </w:tcBorders>
          </w:tcPr>
          <w:p>
            <w:pPr>
              <w:rPr>
                <w:rFonts w:ascii="Arial"/>
                <w:sz w:val="21"/>
              </w:rPr>
            </w:pPr>
            <w:r/>
          </w:p>
        </w:tc>
        <w:tc>
          <w:tcPr>
            <w:tcW w:w="906" w:type="dxa"/>
            <w:vAlign w:val="top"/>
          </w:tcPr>
          <w:p>
            <w:pPr>
              <w:pStyle w:val="TableText"/>
              <w:ind w:left="361"/>
              <w:spacing w:before="69" w:line="218" w:lineRule="auto"/>
              <w:rPr/>
            </w:pPr>
            <w:r>
              <w:rPr/>
              <w:t>汞</w:t>
            </w:r>
          </w:p>
        </w:tc>
        <w:tc>
          <w:tcPr>
            <w:tcW w:w="790" w:type="dxa"/>
            <w:vAlign w:val="top"/>
          </w:tcPr>
          <w:p>
            <w:pPr>
              <w:ind w:left="1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1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0.118</w:t>
            </w:r>
          </w:p>
        </w:tc>
        <w:tc>
          <w:tcPr>
            <w:tcW w:w="1044" w:type="dxa"/>
            <w:vAlign w:val="top"/>
          </w:tcPr>
          <w:p>
            <w:pPr>
              <w:ind w:left="39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3.4</w:t>
            </w:r>
          </w:p>
        </w:tc>
        <w:tc>
          <w:tcPr>
            <w:tcW w:w="1221" w:type="dxa"/>
            <w:vAlign w:val="top"/>
          </w:tcPr>
          <w:p>
            <w:pPr>
              <w:ind w:left="43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3.47</w:t>
            </w:r>
          </w:p>
        </w:tc>
        <w:tc>
          <w:tcPr>
            <w:tcW w:w="1078" w:type="dxa"/>
            <w:vAlign w:val="top"/>
            <w:tcBorders>
              <w:right w:val="nil"/>
            </w:tcBorders>
          </w:tcPr>
          <w:p>
            <w:pPr>
              <w:pStyle w:val="TableText"/>
              <w:ind w:left="342"/>
              <w:spacing w:before="69" w:line="218" w:lineRule="auto"/>
              <w:rPr/>
            </w:pPr>
            <w:r>
              <w:rPr/>
              <w:t>达标</w:t>
            </w:r>
          </w:p>
        </w:tc>
      </w:tr>
      <w:tr>
        <w:trPr>
          <w:trHeight w:val="316" w:hRule="atLeast"/>
        </w:trPr>
        <w:tc>
          <w:tcPr>
            <w:tcW w:w="622" w:type="dxa"/>
            <w:vAlign w:val="top"/>
            <w:tcBorders>
              <w:left w:val="nil"/>
            </w:tcBorders>
          </w:tcPr>
          <w:p>
            <w:pPr>
              <w:ind w:left="23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161" w:type="dxa"/>
            <w:vAlign w:val="top"/>
            <w:vMerge w:val="continue"/>
            <w:tcBorders>
              <w:bottom w:val="nil"/>
              <w:top w:val="nil"/>
            </w:tcBorders>
          </w:tcPr>
          <w:p>
            <w:pPr>
              <w:rPr>
                <w:rFonts w:ascii="Arial"/>
                <w:sz w:val="21"/>
              </w:rPr>
            </w:pPr>
            <w:r/>
          </w:p>
        </w:tc>
        <w:tc>
          <w:tcPr>
            <w:tcW w:w="606" w:type="dxa"/>
            <w:vAlign w:val="top"/>
            <w:vMerge w:val="continue"/>
            <w:tcBorders>
              <w:bottom w:val="nil"/>
              <w:top w:val="nil"/>
            </w:tcBorders>
          </w:tcPr>
          <w:p>
            <w:pPr>
              <w:rPr>
                <w:rFonts w:ascii="Arial"/>
                <w:sz w:val="21"/>
              </w:rPr>
            </w:pPr>
            <w:r/>
          </w:p>
        </w:tc>
        <w:tc>
          <w:tcPr>
            <w:tcW w:w="906" w:type="dxa"/>
            <w:vAlign w:val="top"/>
          </w:tcPr>
          <w:p>
            <w:pPr>
              <w:pStyle w:val="TableText"/>
              <w:ind w:left="360"/>
              <w:spacing w:before="69" w:line="218" w:lineRule="auto"/>
              <w:rPr/>
            </w:pPr>
            <w:r>
              <w:rPr/>
              <w:t>铅</w:t>
            </w:r>
          </w:p>
        </w:tc>
        <w:tc>
          <w:tcPr>
            <w:tcW w:w="790" w:type="dxa"/>
            <w:vAlign w:val="top"/>
          </w:tcPr>
          <w:p>
            <w:pPr>
              <w:ind w:left="1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41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044" w:type="dxa"/>
            <w:vAlign w:val="top"/>
          </w:tcPr>
          <w:p>
            <w:pPr>
              <w:ind w:left="38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170</w:t>
            </w:r>
          </w:p>
        </w:tc>
        <w:tc>
          <w:tcPr>
            <w:tcW w:w="1221" w:type="dxa"/>
            <w:vAlign w:val="top"/>
          </w:tcPr>
          <w:p>
            <w:pPr>
              <w:ind w:left="44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1.65</w:t>
            </w:r>
          </w:p>
        </w:tc>
        <w:tc>
          <w:tcPr>
            <w:tcW w:w="1078" w:type="dxa"/>
            <w:vAlign w:val="top"/>
            <w:tcBorders>
              <w:right w:val="nil"/>
            </w:tcBorders>
          </w:tcPr>
          <w:p>
            <w:pPr>
              <w:pStyle w:val="TableText"/>
              <w:ind w:left="342"/>
              <w:spacing w:before="69" w:line="218" w:lineRule="auto"/>
              <w:rPr/>
            </w:pPr>
            <w:r>
              <w:rPr/>
              <w:t>达标</w:t>
            </w:r>
          </w:p>
        </w:tc>
      </w:tr>
      <w:tr>
        <w:trPr>
          <w:trHeight w:val="316" w:hRule="atLeast"/>
        </w:trPr>
        <w:tc>
          <w:tcPr>
            <w:tcW w:w="622" w:type="dxa"/>
            <w:vAlign w:val="top"/>
            <w:tcBorders>
              <w:left w:val="nil"/>
            </w:tcBorders>
          </w:tcPr>
          <w:p>
            <w:pPr>
              <w:ind w:left="21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161" w:type="dxa"/>
            <w:vAlign w:val="top"/>
            <w:vMerge w:val="continue"/>
            <w:tcBorders>
              <w:bottom w:val="nil"/>
              <w:top w:val="nil"/>
            </w:tcBorders>
          </w:tcPr>
          <w:p>
            <w:pPr>
              <w:rPr>
                <w:rFonts w:ascii="Arial"/>
                <w:sz w:val="21"/>
              </w:rPr>
            </w:pPr>
            <w:r/>
          </w:p>
        </w:tc>
        <w:tc>
          <w:tcPr>
            <w:tcW w:w="606" w:type="dxa"/>
            <w:vAlign w:val="top"/>
            <w:vMerge w:val="continue"/>
            <w:tcBorders>
              <w:bottom w:val="nil"/>
              <w:top w:val="nil"/>
            </w:tcBorders>
          </w:tcPr>
          <w:p>
            <w:pPr>
              <w:rPr>
                <w:rFonts w:ascii="Arial"/>
                <w:sz w:val="21"/>
              </w:rPr>
            </w:pPr>
            <w:r/>
          </w:p>
        </w:tc>
        <w:tc>
          <w:tcPr>
            <w:tcW w:w="906" w:type="dxa"/>
            <w:vAlign w:val="top"/>
          </w:tcPr>
          <w:p>
            <w:pPr>
              <w:pStyle w:val="TableText"/>
              <w:ind w:left="361"/>
              <w:spacing w:before="73" w:line="215" w:lineRule="auto"/>
              <w:rPr/>
            </w:pPr>
            <w:r>
              <w:rPr/>
              <w:t>镉</w:t>
            </w:r>
          </w:p>
        </w:tc>
        <w:tc>
          <w:tcPr>
            <w:tcW w:w="790" w:type="dxa"/>
            <w:vAlign w:val="top"/>
          </w:tcPr>
          <w:p>
            <w:pPr>
              <w:ind w:left="126"/>
              <w:spacing w:before="10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0.25</w:t>
            </w:r>
          </w:p>
        </w:tc>
        <w:tc>
          <w:tcPr>
            <w:tcW w:w="1044" w:type="dxa"/>
            <w:vAlign w:val="top"/>
          </w:tcPr>
          <w:p>
            <w:pPr>
              <w:ind w:left="39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1221" w:type="dxa"/>
            <w:vAlign w:val="top"/>
          </w:tcPr>
          <w:p>
            <w:pPr>
              <w:ind w:left="374"/>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41.67</w:t>
            </w:r>
          </w:p>
        </w:tc>
        <w:tc>
          <w:tcPr>
            <w:tcW w:w="1078" w:type="dxa"/>
            <w:vAlign w:val="top"/>
            <w:tcBorders>
              <w:right w:val="nil"/>
            </w:tcBorders>
          </w:tcPr>
          <w:p>
            <w:pPr>
              <w:pStyle w:val="TableText"/>
              <w:ind w:left="342"/>
              <w:spacing w:before="73" w:line="215" w:lineRule="auto"/>
              <w:rPr/>
            </w:pPr>
            <w:r>
              <w:rPr/>
              <w:t>达标</w:t>
            </w:r>
          </w:p>
        </w:tc>
      </w:tr>
      <w:tr>
        <w:trPr>
          <w:trHeight w:val="316" w:hRule="atLeast"/>
        </w:trPr>
        <w:tc>
          <w:tcPr>
            <w:tcW w:w="622" w:type="dxa"/>
            <w:vAlign w:val="top"/>
            <w:tcBorders>
              <w:left w:val="nil"/>
            </w:tcBorders>
          </w:tcPr>
          <w:p>
            <w:pPr>
              <w:ind w:left="21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161" w:type="dxa"/>
            <w:vAlign w:val="top"/>
            <w:vMerge w:val="continue"/>
            <w:tcBorders>
              <w:bottom w:val="nil"/>
              <w:top w:val="nil"/>
            </w:tcBorders>
          </w:tcPr>
          <w:p>
            <w:pPr>
              <w:rPr>
                <w:rFonts w:ascii="Arial"/>
                <w:sz w:val="21"/>
              </w:rPr>
            </w:pPr>
            <w:r/>
          </w:p>
        </w:tc>
        <w:tc>
          <w:tcPr>
            <w:tcW w:w="606" w:type="dxa"/>
            <w:vAlign w:val="top"/>
            <w:vMerge w:val="continue"/>
            <w:tcBorders>
              <w:bottom w:val="nil"/>
              <w:top w:val="nil"/>
            </w:tcBorders>
          </w:tcPr>
          <w:p>
            <w:pPr>
              <w:rPr>
                <w:rFonts w:ascii="Arial"/>
                <w:sz w:val="21"/>
              </w:rPr>
            </w:pPr>
            <w:r/>
          </w:p>
        </w:tc>
        <w:tc>
          <w:tcPr>
            <w:tcW w:w="906" w:type="dxa"/>
            <w:vAlign w:val="top"/>
          </w:tcPr>
          <w:p>
            <w:pPr>
              <w:pStyle w:val="TableText"/>
              <w:ind w:left="361"/>
              <w:spacing w:before="74" w:line="214" w:lineRule="auto"/>
              <w:rPr/>
            </w:pPr>
            <w:r>
              <w:rPr/>
              <w:t>铬</w:t>
            </w:r>
          </w:p>
        </w:tc>
        <w:tc>
          <w:tcPr>
            <w:tcW w:w="790" w:type="dxa"/>
            <w:vAlign w:val="top"/>
          </w:tcPr>
          <w:p>
            <w:pPr>
              <w:ind w:left="126"/>
              <w:spacing w:before="10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57.4</w:t>
            </w:r>
          </w:p>
        </w:tc>
        <w:tc>
          <w:tcPr>
            <w:tcW w:w="1044" w:type="dxa"/>
            <w:vAlign w:val="top"/>
          </w:tcPr>
          <w:p>
            <w:pPr>
              <w:ind w:left="36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221" w:type="dxa"/>
            <w:vAlign w:val="top"/>
          </w:tcPr>
          <w:p>
            <w:pPr>
              <w:ind w:left="37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22.96</w:t>
            </w:r>
          </w:p>
        </w:tc>
        <w:tc>
          <w:tcPr>
            <w:tcW w:w="1078" w:type="dxa"/>
            <w:vAlign w:val="top"/>
            <w:tcBorders>
              <w:right w:val="nil"/>
            </w:tcBorders>
          </w:tcPr>
          <w:p>
            <w:pPr>
              <w:pStyle w:val="TableText"/>
              <w:ind w:left="342"/>
              <w:spacing w:before="74" w:line="214" w:lineRule="auto"/>
              <w:rPr/>
            </w:pPr>
            <w:r>
              <w:rPr/>
              <w:t>达标</w:t>
            </w:r>
          </w:p>
        </w:tc>
      </w:tr>
      <w:tr>
        <w:trPr>
          <w:trHeight w:val="316" w:hRule="atLeast"/>
        </w:trPr>
        <w:tc>
          <w:tcPr>
            <w:tcW w:w="622" w:type="dxa"/>
            <w:vAlign w:val="top"/>
            <w:tcBorders>
              <w:left w:val="nil"/>
            </w:tcBorders>
          </w:tcPr>
          <w:p>
            <w:pPr>
              <w:ind w:left="211"/>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161" w:type="dxa"/>
            <w:vAlign w:val="top"/>
            <w:vMerge w:val="continue"/>
            <w:tcBorders>
              <w:bottom w:val="nil"/>
              <w:top w:val="nil"/>
            </w:tcBorders>
          </w:tcPr>
          <w:p>
            <w:pPr>
              <w:rPr>
                <w:rFonts w:ascii="Arial"/>
                <w:sz w:val="21"/>
              </w:rPr>
            </w:pPr>
            <w:r/>
          </w:p>
        </w:tc>
        <w:tc>
          <w:tcPr>
            <w:tcW w:w="606" w:type="dxa"/>
            <w:vAlign w:val="top"/>
            <w:vMerge w:val="continue"/>
            <w:tcBorders>
              <w:bottom w:val="nil"/>
              <w:top w:val="nil"/>
            </w:tcBorders>
          </w:tcPr>
          <w:p>
            <w:pPr>
              <w:rPr>
                <w:rFonts w:ascii="Arial"/>
                <w:sz w:val="21"/>
              </w:rPr>
            </w:pPr>
            <w:r/>
          </w:p>
        </w:tc>
        <w:tc>
          <w:tcPr>
            <w:tcW w:w="906" w:type="dxa"/>
            <w:vAlign w:val="top"/>
          </w:tcPr>
          <w:p>
            <w:pPr>
              <w:pStyle w:val="TableText"/>
              <w:ind w:left="362"/>
              <w:spacing w:before="74" w:line="214" w:lineRule="auto"/>
              <w:rPr/>
            </w:pPr>
            <w:r>
              <w:rPr/>
              <w:t>铜</w:t>
            </w:r>
          </w:p>
        </w:tc>
        <w:tc>
          <w:tcPr>
            <w:tcW w:w="790" w:type="dxa"/>
            <w:vAlign w:val="top"/>
          </w:tcPr>
          <w:p>
            <w:pPr>
              <w:ind w:left="126"/>
              <w:spacing w:before="10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82"/>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18.9</w:t>
            </w:r>
          </w:p>
        </w:tc>
        <w:tc>
          <w:tcPr>
            <w:tcW w:w="1044" w:type="dxa"/>
            <w:vAlign w:val="top"/>
          </w:tcPr>
          <w:p>
            <w:pPr>
              <w:ind w:left="38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221" w:type="dxa"/>
            <w:vAlign w:val="top"/>
          </w:tcPr>
          <w:p>
            <w:pPr>
              <w:ind w:left="395"/>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18.90</w:t>
            </w:r>
          </w:p>
        </w:tc>
        <w:tc>
          <w:tcPr>
            <w:tcW w:w="1078" w:type="dxa"/>
            <w:vAlign w:val="top"/>
            <w:tcBorders>
              <w:right w:val="nil"/>
            </w:tcBorders>
          </w:tcPr>
          <w:p>
            <w:pPr>
              <w:pStyle w:val="TableText"/>
              <w:ind w:left="342"/>
              <w:spacing w:before="74" w:line="214" w:lineRule="auto"/>
              <w:rPr/>
            </w:pPr>
            <w:r>
              <w:rPr/>
              <w:t>达标</w:t>
            </w:r>
          </w:p>
        </w:tc>
      </w:tr>
      <w:tr>
        <w:trPr>
          <w:trHeight w:val="316" w:hRule="atLeast"/>
        </w:trPr>
        <w:tc>
          <w:tcPr>
            <w:tcW w:w="622" w:type="dxa"/>
            <w:vAlign w:val="top"/>
            <w:tcBorders>
              <w:left w:val="nil"/>
            </w:tcBorders>
          </w:tcPr>
          <w:p>
            <w:pPr>
              <w:ind w:left="211"/>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161" w:type="dxa"/>
            <w:vAlign w:val="top"/>
            <w:vMerge w:val="continue"/>
            <w:tcBorders>
              <w:bottom w:val="nil"/>
              <w:top w:val="nil"/>
            </w:tcBorders>
          </w:tcPr>
          <w:p>
            <w:pPr>
              <w:rPr>
                <w:rFonts w:ascii="Arial"/>
                <w:sz w:val="21"/>
              </w:rPr>
            </w:pPr>
            <w:r/>
          </w:p>
        </w:tc>
        <w:tc>
          <w:tcPr>
            <w:tcW w:w="606" w:type="dxa"/>
            <w:vAlign w:val="top"/>
            <w:vMerge w:val="continue"/>
            <w:tcBorders>
              <w:bottom w:val="nil"/>
              <w:top w:val="nil"/>
            </w:tcBorders>
          </w:tcPr>
          <w:p>
            <w:pPr>
              <w:rPr>
                <w:rFonts w:ascii="Arial"/>
                <w:sz w:val="21"/>
              </w:rPr>
            </w:pPr>
            <w:r/>
          </w:p>
        </w:tc>
        <w:tc>
          <w:tcPr>
            <w:tcW w:w="906" w:type="dxa"/>
            <w:vAlign w:val="top"/>
          </w:tcPr>
          <w:p>
            <w:pPr>
              <w:pStyle w:val="TableText"/>
              <w:ind w:left="362"/>
              <w:spacing w:before="75" w:line="213" w:lineRule="auto"/>
              <w:rPr/>
            </w:pPr>
            <w:r>
              <w:rPr/>
              <w:t>镍</w:t>
            </w:r>
          </w:p>
        </w:tc>
        <w:tc>
          <w:tcPr>
            <w:tcW w:w="790" w:type="dxa"/>
            <w:vAlign w:val="top"/>
          </w:tcPr>
          <w:p>
            <w:pPr>
              <w:ind w:left="126"/>
              <w:spacing w:before="10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Pr>
          <w:p>
            <w:pPr>
              <w:ind w:left="36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95.2</w:t>
            </w:r>
          </w:p>
        </w:tc>
        <w:tc>
          <w:tcPr>
            <w:tcW w:w="1044" w:type="dxa"/>
            <w:vAlign w:val="top"/>
          </w:tcPr>
          <w:p>
            <w:pPr>
              <w:ind w:left="38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190</w:t>
            </w:r>
          </w:p>
        </w:tc>
        <w:tc>
          <w:tcPr>
            <w:tcW w:w="1221" w:type="dxa"/>
            <w:vAlign w:val="top"/>
          </w:tcPr>
          <w:p>
            <w:pPr>
              <w:ind w:left="38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50.</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4"/>
              </w:rPr>
              <w:t>11</w:t>
            </w:r>
          </w:p>
        </w:tc>
        <w:tc>
          <w:tcPr>
            <w:tcW w:w="1078" w:type="dxa"/>
            <w:vAlign w:val="top"/>
            <w:tcBorders>
              <w:right w:val="nil"/>
            </w:tcBorders>
          </w:tcPr>
          <w:p>
            <w:pPr>
              <w:pStyle w:val="TableText"/>
              <w:ind w:left="342"/>
              <w:spacing w:before="75" w:line="213" w:lineRule="auto"/>
              <w:rPr/>
            </w:pPr>
            <w:r>
              <w:rPr/>
              <w:t>达标</w:t>
            </w:r>
          </w:p>
        </w:tc>
      </w:tr>
      <w:tr>
        <w:trPr>
          <w:trHeight w:val="340" w:hRule="atLeast"/>
        </w:trPr>
        <w:tc>
          <w:tcPr>
            <w:tcW w:w="622" w:type="dxa"/>
            <w:vAlign w:val="top"/>
            <w:tcBorders>
              <w:left w:val="nil"/>
              <w:bottom w:val="single" w:color="000000" w:sz="10" w:space="0"/>
            </w:tcBorders>
          </w:tcPr>
          <w:p>
            <w:pPr>
              <w:ind w:left="211"/>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161" w:type="dxa"/>
            <w:vAlign w:val="top"/>
            <w:vMerge w:val="continue"/>
            <w:tcBorders>
              <w:bottom w:val="single" w:color="000000" w:sz="10" w:space="0"/>
              <w:top w:val="nil"/>
            </w:tcBorders>
          </w:tcPr>
          <w:p>
            <w:pPr>
              <w:rPr>
                <w:rFonts w:ascii="Arial"/>
                <w:sz w:val="21"/>
              </w:rPr>
            </w:pPr>
            <w:r/>
          </w:p>
        </w:tc>
        <w:tc>
          <w:tcPr>
            <w:tcW w:w="606" w:type="dxa"/>
            <w:vAlign w:val="top"/>
            <w:vMerge w:val="continue"/>
            <w:tcBorders>
              <w:bottom w:val="single" w:color="000000" w:sz="10" w:space="0"/>
              <w:top w:val="nil"/>
            </w:tcBorders>
          </w:tcPr>
          <w:p>
            <w:pPr>
              <w:rPr>
                <w:rFonts w:ascii="Arial"/>
                <w:sz w:val="21"/>
              </w:rPr>
            </w:pPr>
            <w:r/>
          </w:p>
        </w:tc>
        <w:tc>
          <w:tcPr>
            <w:tcW w:w="906" w:type="dxa"/>
            <w:vAlign w:val="top"/>
            <w:tcBorders>
              <w:bottom w:val="single" w:color="000000" w:sz="10" w:space="0"/>
            </w:tcBorders>
          </w:tcPr>
          <w:p>
            <w:pPr>
              <w:pStyle w:val="TableText"/>
              <w:ind w:left="361"/>
              <w:spacing w:before="75" w:line="231" w:lineRule="auto"/>
              <w:rPr/>
            </w:pPr>
            <w:r>
              <w:rPr/>
              <w:t>锌</w:t>
            </w:r>
          </w:p>
        </w:tc>
        <w:tc>
          <w:tcPr>
            <w:tcW w:w="790" w:type="dxa"/>
            <w:vAlign w:val="top"/>
            <w:tcBorders>
              <w:bottom w:val="single" w:color="000000" w:sz="10" w:space="0"/>
            </w:tcBorders>
          </w:tcPr>
          <w:p>
            <w:pPr>
              <w:ind w:left="126"/>
              <w:spacing w:before="10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1088" w:type="dxa"/>
            <w:vAlign w:val="top"/>
            <w:tcBorders>
              <w:bottom w:val="single" w:color="000000" w:sz="10" w:space="0"/>
            </w:tcBorders>
          </w:tcPr>
          <w:p>
            <w:pPr>
              <w:ind w:left="366"/>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37.9</w:t>
            </w:r>
          </w:p>
        </w:tc>
        <w:tc>
          <w:tcPr>
            <w:tcW w:w="1044" w:type="dxa"/>
            <w:vAlign w:val="top"/>
            <w:tcBorders>
              <w:bottom w:val="single" w:color="000000" w:sz="10" w:space="0"/>
            </w:tcBorders>
          </w:tcPr>
          <w:p>
            <w:pPr>
              <w:ind w:left="370"/>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21" w:type="dxa"/>
            <w:vAlign w:val="top"/>
            <w:tcBorders>
              <w:bottom w:val="single" w:color="000000" w:sz="10" w:space="0"/>
            </w:tcBorders>
          </w:tcPr>
          <w:p>
            <w:pPr>
              <w:ind w:left="395"/>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12.63</w:t>
            </w:r>
          </w:p>
        </w:tc>
        <w:tc>
          <w:tcPr>
            <w:tcW w:w="1078" w:type="dxa"/>
            <w:vAlign w:val="top"/>
            <w:tcBorders>
              <w:right w:val="nil"/>
              <w:bottom w:val="single" w:color="000000" w:sz="10" w:space="0"/>
            </w:tcBorders>
          </w:tcPr>
          <w:p>
            <w:pPr>
              <w:pStyle w:val="TableText"/>
              <w:ind w:left="342"/>
              <w:spacing w:before="75" w:line="231" w:lineRule="auto"/>
              <w:rPr/>
            </w:pPr>
            <w:r>
              <w:rPr/>
              <w:t>达标</w:t>
            </w:r>
          </w:p>
        </w:tc>
      </w:tr>
    </w:tbl>
    <w:p>
      <w:pPr>
        <w:pStyle w:val="BodyText"/>
        <w:spacing w:line="251" w:lineRule="auto"/>
        <w:rPr/>
      </w:pPr>
      <w:r/>
    </w:p>
    <w:p>
      <w:pPr>
        <w:pStyle w:val="BodyText"/>
        <w:spacing w:line="251" w:lineRule="auto"/>
        <w:rPr/>
      </w:pPr>
      <w:r/>
    </w:p>
    <w:p>
      <w:pPr>
        <w:ind w:left="632"/>
        <w:spacing w:before="78" w:line="222" w:lineRule="auto"/>
        <w:rPr>
          <w:rFonts w:ascii="FangSong" w:hAnsi="FangSong" w:eastAsia="FangSong" w:cs="FangSong"/>
          <w:sz w:val="24"/>
          <w:szCs w:val="24"/>
        </w:rPr>
      </w:pPr>
      <w:r>
        <w:rPr>
          <w:rFonts w:ascii="FangSong" w:hAnsi="FangSong" w:eastAsia="FangSong" w:cs="FangSong"/>
          <w:sz w:val="24"/>
          <w:szCs w:val="24"/>
          <w:spacing w:val="-2"/>
        </w:rPr>
        <w:t>由表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5.5-14</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可知，项目占地范围内土壤环境满足《土壤环境质量</w:t>
      </w:r>
      <w:r>
        <w:rPr>
          <w:rFonts w:ascii="FangSong" w:hAnsi="FangSong" w:eastAsia="FangSong" w:cs="FangSong"/>
          <w:sz w:val="24"/>
          <w:szCs w:val="24"/>
          <w:spacing w:val="-2"/>
        </w:rPr>
        <w:t xml:space="preserve"> </w:t>
      </w:r>
      <w:r>
        <w:rPr>
          <w:rFonts w:ascii="FangSong" w:hAnsi="FangSong" w:eastAsia="FangSong" w:cs="FangSong"/>
          <w:sz w:val="24"/>
          <w:szCs w:val="24"/>
          <w:spacing w:val="-2"/>
        </w:rPr>
        <w:t>农</w:t>
      </w:r>
      <w:r>
        <w:rPr>
          <w:rFonts w:ascii="FangSong" w:hAnsi="FangSong" w:eastAsia="FangSong" w:cs="FangSong"/>
          <w:sz w:val="24"/>
          <w:szCs w:val="24"/>
          <w:spacing w:val="-3"/>
        </w:rPr>
        <w:t>用地土</w:t>
      </w:r>
    </w:p>
    <w:p>
      <w:pPr>
        <w:spacing w:line="222" w:lineRule="auto"/>
        <w:sectPr>
          <w:footerReference w:type="default" r:id="rId254"/>
          <w:pgSz w:w="11906" w:h="16839"/>
          <w:pgMar w:top="400" w:right="1695" w:bottom="1358" w:left="1693"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32" w:right="85" w:hanging="3"/>
        <w:spacing w:before="78" w:line="358" w:lineRule="auto"/>
        <w:rPr>
          <w:rFonts w:ascii="FangSong" w:hAnsi="FangSong" w:eastAsia="FangSong" w:cs="FangSong"/>
          <w:sz w:val="24"/>
          <w:szCs w:val="24"/>
        </w:rPr>
      </w:pPr>
      <w:r>
        <w:rPr>
          <w:rFonts w:ascii="FangSong" w:hAnsi="FangSong" w:eastAsia="FangSong" w:cs="FangSong"/>
          <w:sz w:val="24"/>
          <w:szCs w:val="24"/>
          <w:spacing w:val="1"/>
        </w:rPr>
        <w:t>壤污染风险管控标准（试行）》（</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15618-2</w:t>
      </w:r>
      <w:r>
        <w:rPr>
          <w:rFonts w:ascii="Times New Roman" w:hAnsi="Times New Roman" w:eastAsia="Times New Roman" w:cs="Times New Roman"/>
          <w:sz w:val="24"/>
          <w:szCs w:val="24"/>
        </w:rPr>
        <w:t>018</w:t>
      </w:r>
      <w:r>
        <w:rPr>
          <w:rFonts w:ascii="FangSong" w:hAnsi="FangSong" w:eastAsia="FangSong" w:cs="FangSong"/>
          <w:sz w:val="24"/>
          <w:szCs w:val="24"/>
        </w:rPr>
        <w:t>）表</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rPr>
        <w:t>农用地土壤污染风险筛</w:t>
      </w:r>
      <w:r>
        <w:rPr>
          <w:rFonts w:ascii="FangSong" w:hAnsi="FangSong" w:eastAsia="FangSong" w:cs="FangSong"/>
          <w:sz w:val="24"/>
          <w:szCs w:val="24"/>
          <w:spacing w:val="-3"/>
        </w:rPr>
        <w:t>选值（基本项目）中</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pH</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7.5</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3"/>
        </w:rPr>
        <w:t>的风险筛选值。</w:t>
      </w:r>
    </w:p>
    <w:p>
      <w:pPr>
        <w:ind w:left="22"/>
        <w:spacing w:before="5" w:line="224" w:lineRule="auto"/>
        <w:outlineLvl w:val="3"/>
        <w:rPr>
          <w:rFonts w:ascii="FangSong" w:hAnsi="FangSong" w:eastAsia="FangSong" w:cs="FangSong"/>
          <w:sz w:val="24"/>
          <w:szCs w:val="24"/>
        </w:rPr>
      </w:pPr>
      <w:bookmarkStart w:name="bookmark581" w:id="339"/>
      <w:bookmarkEnd w:id="339"/>
      <w:r>
        <w:rPr>
          <w:rFonts w:ascii="Times New Roman" w:hAnsi="Times New Roman" w:eastAsia="Times New Roman" w:cs="Times New Roman"/>
          <w:sz w:val="24"/>
          <w:szCs w:val="24"/>
          <w:b/>
          <w:bCs/>
          <w:spacing w:val="-3"/>
        </w:rPr>
        <w:t>5.5.5.3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土壤类型调查</w:t>
      </w:r>
    </w:p>
    <w:p>
      <w:pPr>
        <w:ind w:left="16" w:right="83" w:firstLine="494"/>
        <w:spacing w:before="177" w:line="360" w:lineRule="auto"/>
        <w:jc w:val="both"/>
        <w:rPr>
          <w:rFonts w:ascii="FangSong" w:hAnsi="FangSong" w:eastAsia="FangSong" w:cs="FangSong"/>
          <w:sz w:val="24"/>
          <w:szCs w:val="24"/>
        </w:rPr>
      </w:pPr>
      <w:r>
        <w:rPr>
          <w:rFonts w:ascii="FangSong" w:hAnsi="FangSong" w:eastAsia="FangSong" w:cs="FangSong"/>
          <w:sz w:val="24"/>
          <w:szCs w:val="24"/>
          <w:spacing w:val="-1"/>
        </w:rPr>
        <w:t>根据国家土壤信息服务平台</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公里土壤类型图查询结果（见附图</w:t>
      </w:r>
      <w:r>
        <w:rPr>
          <w:rFonts w:ascii="Times New Roman" w:hAnsi="Times New Roman" w:eastAsia="Times New Roman" w:cs="Times New Roman"/>
          <w:sz w:val="24"/>
          <w:szCs w:val="24"/>
          <w:spacing w:val="-1"/>
        </w:rPr>
        <w:t>5-2</w:t>
      </w:r>
      <w:r>
        <w:rPr>
          <w:rFonts w:ascii="FangSong" w:hAnsi="FangSong" w:eastAsia="FangSong" w:cs="FangSong"/>
          <w:sz w:val="24"/>
          <w:szCs w:val="24"/>
          <w:spacing w:val="14"/>
        </w:rPr>
        <w:t>），</w:t>
      </w:r>
      <w:r>
        <w:rPr>
          <w:rFonts w:ascii="FangSong" w:hAnsi="FangSong" w:eastAsia="FangSong" w:cs="FangSong"/>
          <w:sz w:val="24"/>
          <w:szCs w:val="24"/>
          <w:spacing w:val="-1"/>
        </w:rPr>
        <w:t>本</w:t>
      </w:r>
      <w:r>
        <w:rPr>
          <w:rFonts w:ascii="FangSong" w:hAnsi="FangSong" w:eastAsia="FangSong" w:cs="FangSong"/>
          <w:sz w:val="24"/>
          <w:szCs w:val="24"/>
        </w:rPr>
        <w:t>项目所在地的土壤类型为栗钙土。土壤编号：</w:t>
      </w:r>
      <w:r>
        <w:rPr>
          <w:rFonts w:ascii="Times New Roman" w:hAnsi="Times New Roman" w:eastAsia="Times New Roman" w:cs="Times New Roman"/>
          <w:sz w:val="24"/>
          <w:szCs w:val="24"/>
        </w:rPr>
        <w:t>40287</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rPr>
        <w:t>，土</w:t>
      </w:r>
      <w:r>
        <w:rPr>
          <w:rFonts w:ascii="FangSong" w:hAnsi="FangSong" w:eastAsia="FangSong" w:cs="FangSong"/>
          <w:sz w:val="24"/>
          <w:szCs w:val="24"/>
          <w:spacing w:val="-1"/>
        </w:rPr>
        <w:t>种名称：淡栗麻土，土</w:t>
      </w:r>
      <w:r>
        <w:rPr>
          <w:rFonts w:ascii="FangSong" w:hAnsi="FangSong" w:eastAsia="FangSong" w:cs="FangSong"/>
          <w:sz w:val="24"/>
          <w:szCs w:val="24"/>
          <w:spacing w:val="-3"/>
        </w:rPr>
        <w:t>壤亚类：淡栗钙土。该土种成土母质为花岗岩等酸性岩风化的残坡积物，剖面为</w:t>
      </w:r>
      <w:r>
        <w:rPr>
          <w:rFonts w:ascii="Times New Roman" w:hAnsi="Times New Roman" w:eastAsia="Times New Roman" w:cs="Times New Roman"/>
          <w:sz w:val="24"/>
          <w:szCs w:val="24"/>
          <w:spacing w:val="-4"/>
        </w:rPr>
        <w:t>A-Bk-Ck</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4"/>
        </w:rPr>
        <w:t>型。</w:t>
      </w:r>
    </w:p>
    <w:p>
      <w:pPr>
        <w:ind w:left="29" w:right="83" w:firstLine="485"/>
        <w:spacing w:before="3" w:line="32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）归属与分布：淡栗麻土，属淡栗钙土亚类淡栗麻土土属。主要分布于</w:t>
      </w:r>
      <w:r>
        <w:rPr>
          <w:rFonts w:ascii="FangSong" w:hAnsi="FangSong" w:eastAsia="FangSong" w:cs="FangSong"/>
          <w:sz w:val="24"/>
          <w:szCs w:val="24"/>
          <w:spacing w:val="-3"/>
        </w:rPr>
        <w:t>内蒙古自治区乌兰察布盟达尔罕茂明安联合旗、包头市固阳县、巴彦</w:t>
      </w:r>
      <w:r>
        <w:rPr>
          <w:rFonts w:ascii="FangSong" w:hAnsi="FangSong" w:eastAsia="FangSong" w:cs="FangSong"/>
          <w:sz w:val="24"/>
          <w:szCs w:val="24"/>
          <w:spacing w:val="-4"/>
        </w:rPr>
        <w:t>淖尔盟乌拉</w:t>
      </w:r>
      <w:r>
        <w:rPr>
          <w:rFonts w:ascii="FangSong" w:hAnsi="FangSong" w:eastAsia="FangSong" w:cs="FangSong"/>
          <w:sz w:val="24"/>
          <w:szCs w:val="24"/>
          <w:spacing w:val="-2"/>
        </w:rPr>
        <w:t>特中旗、锡林郭勒盟苏尼特右旗等旗（县）的石质低丘坡地。面积</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698.</w:t>
      </w:r>
      <w:r>
        <w:rPr>
          <w:rFonts w:ascii="Times New Roman" w:hAnsi="Times New Roman" w:eastAsia="Times New Roman" w:cs="Times New Roman"/>
          <w:sz w:val="24"/>
          <w:szCs w:val="24"/>
          <w:spacing w:val="-3"/>
        </w:rPr>
        <w:t>8</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万亩，</w:t>
      </w:r>
      <w:r>
        <w:rPr>
          <w:rFonts w:ascii="FangSong" w:hAnsi="FangSong" w:eastAsia="FangSong" w:cs="FangSong"/>
          <w:sz w:val="24"/>
          <w:szCs w:val="24"/>
          <w:spacing w:val="-5"/>
        </w:rPr>
        <w:t>其中耕地</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6.3</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万亩。</w:t>
      </w:r>
    </w:p>
    <w:p>
      <w:pPr>
        <w:ind w:left="16" w:right="83" w:firstLine="498"/>
        <w:spacing w:before="181" w:line="330"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2</w:t>
      </w:r>
      <w:r>
        <w:rPr>
          <w:rFonts w:ascii="FangSong" w:hAnsi="FangSong" w:eastAsia="FangSong" w:cs="FangSong"/>
          <w:sz w:val="24"/>
          <w:szCs w:val="24"/>
          <w:spacing w:val="8"/>
        </w:rPr>
        <w:t>）主要性状：该土种母质为花岗岩等酸性</w:t>
      </w:r>
      <w:r>
        <w:rPr>
          <w:rFonts w:ascii="FangSong" w:hAnsi="FangSong" w:eastAsia="FangSong" w:cs="FangSong"/>
          <w:sz w:val="24"/>
          <w:szCs w:val="24"/>
          <w:spacing w:val="7"/>
        </w:rPr>
        <w:t>岩风化的残坡积物，剖面为</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rPr>
        <w:t>Bk</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Ck</w:t>
      </w:r>
      <w:r>
        <w:rPr>
          <w:rFonts w:ascii="Times New Roman" w:hAnsi="Times New Roman" w:eastAsia="Times New Roman" w:cs="Times New Roman"/>
          <w:sz w:val="24"/>
          <w:szCs w:val="24"/>
          <w:spacing w:val="46"/>
        </w:rPr>
        <w:t xml:space="preserve"> </w:t>
      </w:r>
      <w:r>
        <w:rPr>
          <w:rFonts w:ascii="FangSong" w:hAnsi="FangSong" w:eastAsia="FangSong" w:cs="FangSong"/>
          <w:sz w:val="24"/>
          <w:szCs w:val="24"/>
          <w:spacing w:val="3"/>
        </w:rPr>
        <w:t>型。A层厚</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20-40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，灰黄棕色砂质粘壤土，地表有小砾石：</w:t>
      </w:r>
      <w:r>
        <w:rPr>
          <w:rFonts w:ascii="Times New Roman" w:hAnsi="Times New Roman" w:eastAsia="Times New Roman" w:cs="Times New Roman"/>
          <w:sz w:val="24"/>
          <w:szCs w:val="24"/>
        </w:rPr>
        <w:t>Bk</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层厚</w:t>
      </w:r>
      <w:r>
        <w:rPr>
          <w:rFonts w:ascii="Times New Roman" w:hAnsi="Times New Roman" w:eastAsia="Times New Roman" w:cs="Times New Roman"/>
          <w:sz w:val="24"/>
          <w:szCs w:val="24"/>
          <w:spacing w:val="-4"/>
        </w:rPr>
        <w:t>25-40cm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，淡黄色砂质粘壤土，有假菌丝状石灰淀积，碳酸钙含量达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13.37%</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。通</w:t>
      </w:r>
      <w:r>
        <w:rPr>
          <w:rFonts w:ascii="FangSong" w:hAnsi="FangSong" w:eastAsia="FangSong" w:cs="FangSong"/>
          <w:sz w:val="24"/>
          <w:szCs w:val="24"/>
          <w:spacing w:val="-1"/>
        </w:rPr>
        <w:t>体有石灰反应，</w:t>
      </w:r>
      <w:r>
        <w:rPr>
          <w:rFonts w:ascii="Times New Roman" w:hAnsi="Times New Roman" w:eastAsia="Times New Roman" w:cs="Times New Roman"/>
          <w:sz w:val="24"/>
          <w:szCs w:val="24"/>
          <w:spacing w:val="-1"/>
        </w:rPr>
        <w:t>pH7.9-8.8</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，呈微碱性。据</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56</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个</w:t>
      </w:r>
      <w:r>
        <w:rPr>
          <w:rFonts w:ascii="FangSong" w:hAnsi="FangSong" w:eastAsia="FangSong" w:cs="FangSong"/>
          <w:sz w:val="24"/>
          <w:szCs w:val="24"/>
          <w:spacing w:val="-2"/>
        </w:rPr>
        <w:t>农化样分析结果统计：有机质含</w:t>
      </w:r>
      <w:r>
        <w:rPr>
          <w:rFonts w:ascii="FangSong" w:hAnsi="FangSong" w:eastAsia="FangSong" w:cs="FangSong"/>
          <w:sz w:val="24"/>
          <w:szCs w:val="24"/>
          <w:spacing w:val="-6"/>
        </w:rPr>
        <w:t>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1.89%</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，全氮</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107%</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6"/>
        </w:rPr>
        <w:t>，速效磷</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6ppm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，速效钾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141pp</w:t>
      </w:r>
      <w:r>
        <w:rPr>
          <w:rFonts w:ascii="Times New Roman" w:hAnsi="Times New Roman" w:eastAsia="Times New Roman" w:cs="Times New Roman"/>
          <w:sz w:val="24"/>
          <w:szCs w:val="24"/>
          <w:spacing w:val="-7"/>
        </w:rPr>
        <w:t>m</w:t>
      </w:r>
      <w:r>
        <w:rPr>
          <w:rFonts w:ascii="FangSong" w:hAnsi="FangSong" w:eastAsia="FangSong" w:cs="FangSong"/>
          <w:sz w:val="24"/>
          <w:szCs w:val="24"/>
          <w:spacing w:val="-7"/>
        </w:rPr>
        <w:t>。</w:t>
      </w:r>
    </w:p>
    <w:p>
      <w:pPr>
        <w:ind w:left="23" w:right="83" w:firstLine="491"/>
        <w:spacing w:before="190" w:line="343"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）典型部面：采自锡林郭勒盟苏尼特右旗冒图锡勒苏木布冬三角点正北</w:t>
      </w:r>
      <w:r>
        <w:rPr>
          <w:rFonts w:ascii="Times New Roman" w:hAnsi="Times New Roman" w:eastAsia="Times New Roman" w:cs="Times New Roman"/>
          <w:sz w:val="24"/>
          <w:szCs w:val="24"/>
          <w:spacing w:val="-4"/>
        </w:rPr>
        <w:t>3000m</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处，位于丘陵缓坡中下部，海拔</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1100m</w:t>
      </w:r>
      <w:r>
        <w:rPr>
          <w:rFonts w:ascii="FangSong" w:hAnsi="FangSong" w:eastAsia="FangSong" w:cs="FangSong"/>
          <w:sz w:val="24"/>
          <w:szCs w:val="24"/>
          <w:spacing w:val="-4"/>
        </w:rPr>
        <w:t>。母质为花岗岩风化</w:t>
      </w:r>
      <w:r>
        <w:rPr>
          <w:rFonts w:ascii="FangSong" w:hAnsi="FangSong" w:eastAsia="FangSong" w:cs="FangSong"/>
          <w:sz w:val="24"/>
          <w:szCs w:val="24"/>
          <w:spacing w:val="-5"/>
        </w:rPr>
        <w:t>残积物．年均</w:t>
      </w:r>
      <w:r>
        <w:rPr>
          <w:rFonts w:ascii="FangSong" w:hAnsi="FangSong" w:eastAsia="FangSong" w:cs="FangSong"/>
          <w:sz w:val="24"/>
          <w:szCs w:val="24"/>
          <w:spacing w:val="-7"/>
        </w:rPr>
        <w:t>温</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7"/>
        </w:rPr>
        <w:t>2.5℃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w:t>
      </w:r>
      <w:r>
        <w:rPr>
          <w:rFonts w:ascii="FangSong" w:hAnsi="FangSong" w:eastAsia="FangSong" w:cs="FangSong"/>
          <w:sz w:val="24"/>
          <w:szCs w:val="24"/>
          <w:spacing w:val="75"/>
        </w:rPr>
        <w:t xml:space="preserve"> </w:t>
      </w:r>
      <w:r>
        <w:rPr>
          <w:rFonts w:ascii="FangSong" w:hAnsi="FangSong" w:eastAsia="FangSong" w:cs="FangSong"/>
          <w:sz w:val="24"/>
          <w:szCs w:val="24"/>
          <w:spacing w:val="-7"/>
        </w:rPr>
        <w:t>年降水量</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7"/>
        </w:rPr>
        <w:t>210mm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7"/>
        </w:rPr>
        <w:t>，</w:t>
      </w:r>
      <w:r>
        <w:rPr>
          <w:rFonts w:ascii="FangSong" w:hAnsi="FangSong" w:eastAsia="FangSong" w:cs="FangSong"/>
          <w:sz w:val="24"/>
          <w:szCs w:val="24"/>
          <w:spacing w:val="-82"/>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10℃</w:t>
      </w:r>
      <w:r>
        <w:rPr>
          <w:rFonts w:ascii="FangSong" w:hAnsi="FangSong" w:eastAsia="FangSong" w:cs="FangSong"/>
          <w:sz w:val="24"/>
          <w:szCs w:val="24"/>
          <w:spacing w:val="-7"/>
        </w:rPr>
        <w:t>积温</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2350℃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w:t>
      </w:r>
      <w:r>
        <w:rPr>
          <w:rFonts w:ascii="FangSong" w:hAnsi="FangSong" w:eastAsia="FangSong" w:cs="FangSong"/>
          <w:sz w:val="24"/>
          <w:szCs w:val="24"/>
          <w:spacing w:val="74"/>
        </w:rPr>
        <w:t xml:space="preserve"> </w:t>
      </w:r>
      <w:r>
        <w:rPr>
          <w:rFonts w:ascii="FangSong" w:hAnsi="FangSong" w:eastAsia="FangSong" w:cs="FangSong"/>
          <w:sz w:val="24"/>
          <w:szCs w:val="24"/>
          <w:spacing w:val="-7"/>
        </w:rPr>
        <w:t>无霜期</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7"/>
        </w:rPr>
        <w:t>120</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7"/>
        </w:rPr>
        <w:t>天。牧用地，生</w:t>
      </w:r>
      <w:r>
        <w:rPr>
          <w:rFonts w:ascii="FangSong" w:hAnsi="FangSong" w:eastAsia="FangSong" w:cs="FangSong"/>
          <w:sz w:val="24"/>
          <w:szCs w:val="24"/>
          <w:spacing w:val="2"/>
        </w:rPr>
        <w:t>长克氏针茅、戈壁针茅、冷蒿等。A层：</w:t>
      </w:r>
      <w:r>
        <w:rPr>
          <w:rFonts w:ascii="Times New Roman" w:hAnsi="Times New Roman" w:eastAsia="Times New Roman" w:cs="Times New Roman"/>
          <w:sz w:val="24"/>
          <w:szCs w:val="24"/>
          <w:spacing w:val="2"/>
        </w:rPr>
        <w:t>0-27</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，灰黄棕色（干，</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rPr>
        <w:t>YR</w:t>
      </w:r>
      <w:r>
        <w:rPr>
          <w:rFonts w:ascii="Times New Roman" w:hAnsi="Times New Roman" w:eastAsia="Times New Roman" w:cs="Times New Roman"/>
          <w:sz w:val="24"/>
          <w:szCs w:val="24"/>
          <w:spacing w:val="2"/>
        </w:rPr>
        <w:t>5/2</w:t>
      </w:r>
      <w:r>
        <w:rPr>
          <w:rFonts w:ascii="FangSong" w:hAnsi="FangSong" w:eastAsia="FangSong" w:cs="FangSong"/>
          <w:sz w:val="24"/>
          <w:szCs w:val="24"/>
          <w:spacing w:val="-11"/>
        </w:rPr>
        <w:t>），</w:t>
      </w:r>
      <w:r>
        <w:rPr>
          <w:rFonts w:ascii="FangSong" w:hAnsi="FangSong" w:eastAsia="FangSong" w:cs="FangSong"/>
          <w:sz w:val="24"/>
          <w:szCs w:val="24"/>
          <w:spacing w:val="-1"/>
        </w:rPr>
        <w:t>砂质粘壤土，粒状结构，稍紧，根系较多，石灰反应弱。</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Bk</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
        </w:rPr>
        <w:t>层：</w:t>
      </w:r>
      <w:r>
        <w:rPr>
          <w:rFonts w:ascii="Times New Roman" w:hAnsi="Times New Roman" w:eastAsia="Times New Roman" w:cs="Times New Roman"/>
          <w:sz w:val="24"/>
          <w:szCs w:val="24"/>
          <w:spacing w:val="-1"/>
        </w:rPr>
        <w:t>27-53cm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，淡</w:t>
      </w:r>
      <w:r>
        <w:rPr>
          <w:rFonts w:ascii="FangSong" w:hAnsi="FangSong" w:eastAsia="FangSong" w:cs="FangSong"/>
          <w:sz w:val="24"/>
          <w:szCs w:val="24"/>
          <w:spacing w:val="1"/>
        </w:rPr>
        <w:t>黄色（湿，</w:t>
      </w:r>
      <w:r>
        <w:rPr>
          <w:rFonts w:ascii="Times New Roman" w:hAnsi="Times New Roman" w:eastAsia="Times New Roman" w:cs="Times New Roman"/>
          <w:sz w:val="24"/>
          <w:szCs w:val="24"/>
          <w:spacing w:val="1"/>
        </w:rPr>
        <w:t>2.5Y7/3</w:t>
      </w:r>
      <w:r>
        <w:rPr>
          <w:rFonts w:ascii="FangSong" w:hAnsi="FangSong" w:eastAsia="FangSong" w:cs="FangSong"/>
          <w:sz w:val="24"/>
          <w:szCs w:val="24"/>
          <w:spacing w:val="19"/>
        </w:rPr>
        <w:t>），</w:t>
      </w:r>
      <w:r>
        <w:rPr>
          <w:rFonts w:ascii="FangSong" w:hAnsi="FangSong" w:eastAsia="FangSong" w:cs="FangSong"/>
          <w:sz w:val="24"/>
          <w:szCs w:val="24"/>
          <w:spacing w:val="1"/>
        </w:rPr>
        <w:t>砂质粘壤土，块状结构，紧，根少，有假菌丝状石灰淀</w:t>
      </w:r>
      <w:r>
        <w:rPr>
          <w:rFonts w:ascii="FangSong" w:hAnsi="FangSong" w:eastAsia="FangSong" w:cs="FangSong"/>
          <w:sz w:val="24"/>
          <w:szCs w:val="24"/>
          <w:spacing w:val="-2"/>
        </w:rPr>
        <w:t>积，石灰反应强。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Ck</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层：</w:t>
      </w:r>
      <w:r>
        <w:rPr>
          <w:rFonts w:ascii="Times New Roman" w:hAnsi="Times New Roman" w:eastAsia="Times New Roman" w:cs="Times New Roman"/>
          <w:sz w:val="24"/>
          <w:szCs w:val="24"/>
          <w:spacing w:val="-2"/>
        </w:rPr>
        <w:t>53-96cm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，浅淡黄色（湿</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2.5Y8/3</w:t>
      </w:r>
      <w:r>
        <w:rPr>
          <w:rFonts w:ascii="FangSong" w:hAnsi="FangSong" w:eastAsia="FangSong" w:cs="FangSong"/>
          <w:sz w:val="24"/>
          <w:szCs w:val="24"/>
          <w:spacing w:val="4"/>
        </w:rPr>
        <w:t>），</w:t>
      </w:r>
      <w:r>
        <w:rPr>
          <w:rFonts w:ascii="FangSong" w:hAnsi="FangSong" w:eastAsia="FangSong" w:cs="FangSong"/>
          <w:sz w:val="24"/>
          <w:szCs w:val="24"/>
          <w:spacing w:val="-3"/>
        </w:rPr>
        <w:t>砂壤土，粒状</w:t>
      </w:r>
      <w:r>
        <w:rPr>
          <w:rFonts w:ascii="FangSong" w:hAnsi="FangSong" w:eastAsia="FangSong" w:cs="FangSong"/>
          <w:sz w:val="24"/>
          <w:szCs w:val="24"/>
          <w:spacing w:val="-1"/>
        </w:rPr>
        <w:t>结构，紧，多砾石，石灰反应中等。</w:t>
      </w:r>
    </w:p>
    <w:p>
      <w:pPr>
        <w:ind w:left="30" w:firstLine="484"/>
        <w:spacing w:before="178" w:line="33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）生产性能综述：该土种养分含量中等，保水保肥能力较好，但土壤水</w:t>
      </w:r>
      <w:r>
        <w:rPr>
          <w:rFonts w:ascii="FangSong" w:hAnsi="FangSong" w:eastAsia="FangSong" w:cs="FangSong"/>
          <w:sz w:val="24"/>
          <w:szCs w:val="24"/>
          <w:spacing w:val="-3"/>
        </w:rPr>
        <w:t>分缺乏，热量不足，多数为天然牧场，少数为耕地，农耕地主要</w:t>
      </w:r>
      <w:r>
        <w:rPr>
          <w:rFonts w:ascii="FangSong" w:hAnsi="FangSong" w:eastAsia="FangSong" w:cs="FangSong"/>
          <w:sz w:val="24"/>
          <w:szCs w:val="24"/>
          <w:spacing w:val="-4"/>
        </w:rPr>
        <w:t>种植春小麦、莜</w:t>
      </w:r>
      <w:r>
        <w:rPr>
          <w:rFonts w:ascii="FangSong" w:hAnsi="FangSong" w:eastAsia="FangSong" w:cs="FangSong"/>
          <w:sz w:val="24"/>
          <w:szCs w:val="24"/>
        </w:rPr>
        <w:t>麦，亩产</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rPr>
        <w:t>40-50kg</w:t>
      </w:r>
      <w:r>
        <w:rPr>
          <w:rFonts w:ascii="FangSong" w:hAnsi="FangSong" w:eastAsia="FangSong" w:cs="FangSong"/>
          <w:sz w:val="24"/>
          <w:szCs w:val="24"/>
        </w:rPr>
        <w:t>；牧用地亩产牧草</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100-200kg</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rPr>
        <w:t>。利用方向应以牧为主，农、牧</w:t>
      </w:r>
      <w:r>
        <w:rPr>
          <w:rFonts w:ascii="FangSong" w:hAnsi="FangSong" w:eastAsia="FangSong" w:cs="FangSong"/>
          <w:sz w:val="24"/>
          <w:szCs w:val="24"/>
          <w:spacing w:val="-7"/>
        </w:rPr>
        <w:t>结合，改良措施：加强草原基本建设，围建</w:t>
      </w:r>
      <w:r>
        <w:rPr>
          <w:rFonts w:ascii="FangSong" w:hAnsi="FangSong" w:eastAsia="FangSong" w:cs="FangSong"/>
          <w:sz w:val="24"/>
          <w:szCs w:val="24"/>
          <w:spacing w:val="-8"/>
        </w:rPr>
        <w:t>草库仑，提高草场的覆盖度和利用率。</w:t>
      </w:r>
      <w:r>
        <w:rPr>
          <w:rFonts w:ascii="FangSong" w:hAnsi="FangSong" w:eastAsia="FangSong" w:cs="FangSong"/>
          <w:sz w:val="24"/>
          <w:szCs w:val="24"/>
          <w:spacing w:val="-3"/>
        </w:rPr>
        <w:t>地形低洼、水分条件较好的地方可开辟为饲料基地，以保障畜牧业稳步发展：种</w:t>
      </w:r>
    </w:p>
    <w:p>
      <w:pPr>
        <w:spacing w:line="332" w:lineRule="auto"/>
        <w:sectPr>
          <w:footerReference w:type="default" r:id="rId255"/>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17"/>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植优良牧草如苜蓿、沙打旺、草木樨等，提高草场利用率。农用地要</w:t>
      </w:r>
      <w:r>
        <w:rPr>
          <w:rFonts w:ascii="FangSong" w:hAnsi="FangSong" w:eastAsia="FangSong" w:cs="FangSong"/>
          <w:sz w:val="24"/>
          <w:szCs w:val="24"/>
          <w:spacing w:val="-4"/>
        </w:rPr>
        <w:t>作好蓄水保</w:t>
      </w:r>
      <w:r>
        <w:rPr>
          <w:rFonts w:ascii="FangSong" w:hAnsi="FangSong" w:eastAsia="FangSong" w:cs="FangSong"/>
          <w:sz w:val="24"/>
          <w:szCs w:val="24"/>
          <w:spacing w:val="-8"/>
        </w:rPr>
        <w:t>墒工作，也可采取带状耕作来提高土壤水分利用率：现有牧场应合理配置载畜量，</w:t>
      </w:r>
      <w:r>
        <w:rPr>
          <w:rFonts w:ascii="FangSong" w:hAnsi="FangSong" w:eastAsia="FangSong" w:cs="FangSong"/>
          <w:sz w:val="24"/>
          <w:szCs w:val="24"/>
          <w:spacing w:val="-1"/>
        </w:rPr>
        <w:t>保护自然植被，作到以草定畜。并合理配置牲畜种类，以防草场退化。</w:t>
      </w:r>
    </w:p>
    <w:p>
      <w:pPr>
        <w:ind w:left="23"/>
        <w:spacing w:before="58" w:line="223" w:lineRule="auto"/>
        <w:outlineLvl w:val="1"/>
        <w:rPr>
          <w:rFonts w:ascii="FangSong" w:hAnsi="FangSong" w:eastAsia="FangSong" w:cs="FangSong"/>
          <w:sz w:val="28"/>
          <w:szCs w:val="28"/>
        </w:rPr>
      </w:pPr>
      <w:bookmarkStart w:name="bookmark250" w:id="340"/>
      <w:bookmarkEnd w:id="340"/>
      <w:bookmarkStart w:name="bookmark249" w:id="341"/>
      <w:bookmarkEnd w:id="341"/>
      <w:r>
        <w:rPr>
          <w:rFonts w:ascii="Times New Roman" w:hAnsi="Times New Roman" w:eastAsia="Times New Roman" w:cs="Times New Roman"/>
          <w:sz w:val="28"/>
          <w:szCs w:val="28"/>
          <w:b/>
          <w:bCs/>
          <w:spacing w:val="-5"/>
        </w:rPr>
        <w:t>5.6</w:t>
      </w:r>
      <w:r>
        <w:rPr>
          <w:rFonts w:ascii="Times New Roman" w:hAnsi="Times New Roman" w:eastAsia="Times New Roman" w:cs="Times New Roman"/>
          <w:sz w:val="28"/>
          <w:szCs w:val="28"/>
          <w:b/>
          <w:bCs/>
          <w:spacing w:val="19"/>
        </w:rPr>
        <w:t xml:space="preserve">  </w:t>
      </w:r>
      <w:r>
        <w:rPr>
          <w:rFonts w:ascii="FangSong" w:hAnsi="FangSong" w:eastAsia="FangSong" w:cs="FangSong"/>
          <w:sz w:val="28"/>
          <w:szCs w:val="28"/>
          <w:b/>
          <w:bCs/>
          <w:spacing w:val="-5"/>
        </w:rPr>
        <w:t>生态环境现状调查与评价</w:t>
      </w:r>
    </w:p>
    <w:p>
      <w:pPr>
        <w:ind w:left="29" w:right="83" w:firstLine="481"/>
        <w:spacing w:before="227" w:line="360" w:lineRule="auto"/>
        <w:jc w:val="both"/>
        <w:rPr>
          <w:rFonts w:ascii="FangSong" w:hAnsi="FangSong" w:eastAsia="FangSong" w:cs="FangSong"/>
          <w:sz w:val="24"/>
          <w:szCs w:val="24"/>
        </w:rPr>
      </w:pPr>
      <w:r>
        <w:rPr>
          <w:rFonts w:ascii="FangSong" w:hAnsi="FangSong" w:eastAsia="FangSong" w:cs="FangSong"/>
          <w:sz w:val="24"/>
          <w:szCs w:val="24"/>
          <w:spacing w:val="-1"/>
        </w:rPr>
        <w:t>根据《环境影响评价技术导则</w:t>
      </w:r>
      <w:r>
        <w:rPr>
          <w:rFonts w:ascii="FangSong" w:hAnsi="FangSong" w:eastAsia="FangSong" w:cs="FangSong"/>
          <w:sz w:val="24"/>
          <w:szCs w:val="24"/>
          <w:spacing w:val="40"/>
        </w:rPr>
        <w:t xml:space="preserve"> </w:t>
      </w:r>
      <w:r>
        <w:rPr>
          <w:rFonts w:ascii="FangSong" w:hAnsi="FangSong" w:eastAsia="FangSong" w:cs="FangSong"/>
          <w:sz w:val="24"/>
          <w:szCs w:val="24"/>
          <w:spacing w:val="-1"/>
        </w:rPr>
        <w:t>生态影响》（</w:t>
      </w:r>
      <w:r>
        <w:rPr>
          <w:rFonts w:ascii="Times New Roman" w:hAnsi="Times New Roman" w:eastAsia="Times New Roman" w:cs="Times New Roman"/>
          <w:sz w:val="24"/>
          <w:szCs w:val="24"/>
          <w:spacing w:val="-1"/>
        </w:rPr>
        <w:t>HJ</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1"/>
        </w:rPr>
        <w:t>19-2022</w:t>
      </w:r>
      <w:r>
        <w:rPr>
          <w:rFonts w:ascii="FangSong" w:hAnsi="FangSong" w:eastAsia="FangSong" w:cs="FangSong"/>
          <w:sz w:val="24"/>
          <w:szCs w:val="24"/>
          <w:spacing w:val="20"/>
        </w:rPr>
        <w:t>），</w:t>
      </w:r>
      <w:r>
        <w:rPr>
          <w:rFonts w:ascii="FangSong" w:hAnsi="FangSong" w:eastAsia="FangSong" w:cs="FangSong"/>
          <w:sz w:val="24"/>
          <w:szCs w:val="24"/>
          <w:spacing w:val="-1"/>
        </w:rPr>
        <w:t>本次生态评价</w:t>
      </w:r>
      <w:r>
        <w:rPr>
          <w:rFonts w:ascii="FangSong" w:hAnsi="FangSong" w:eastAsia="FangSong" w:cs="FangSong"/>
          <w:sz w:val="24"/>
          <w:szCs w:val="24"/>
          <w:spacing w:val="-3"/>
        </w:rPr>
        <w:t>工作等级为二级，陆生生态现状评价要求开展样线、样方调查，调查</w:t>
      </w:r>
      <w:r>
        <w:rPr>
          <w:rFonts w:ascii="FangSong" w:hAnsi="FangSong" w:eastAsia="FangSong" w:cs="FangSong"/>
          <w:sz w:val="24"/>
          <w:szCs w:val="24"/>
          <w:spacing w:val="-4"/>
        </w:rPr>
        <w:t>时间宜选择</w:t>
      </w:r>
      <w:r>
        <w:rPr>
          <w:rFonts w:ascii="FangSong" w:hAnsi="FangSong" w:eastAsia="FangSong" w:cs="FangSong"/>
          <w:sz w:val="24"/>
          <w:szCs w:val="24"/>
          <w:spacing w:val="-3"/>
        </w:rPr>
        <w:t>植物生长旺盛季节，二级评价尽量获得野生动物繁殖期、越冬期、迁</w:t>
      </w:r>
      <w:r>
        <w:rPr>
          <w:rFonts w:ascii="FangSong" w:hAnsi="FangSong" w:eastAsia="FangSong" w:cs="FangSong"/>
          <w:sz w:val="24"/>
          <w:szCs w:val="24"/>
          <w:spacing w:val="-4"/>
        </w:rPr>
        <w:t>徙期等关键</w:t>
      </w:r>
      <w:r>
        <w:rPr>
          <w:rFonts w:ascii="FangSong" w:hAnsi="FangSong" w:eastAsia="FangSong" w:cs="FangSong"/>
          <w:sz w:val="24"/>
          <w:szCs w:val="24"/>
          <w:spacing w:val="-3"/>
        </w:rPr>
        <w:t>活动期的现状资料。本次生态评价范围内植被类型较为单一，无珍稀</w:t>
      </w:r>
      <w:r>
        <w:rPr>
          <w:rFonts w:ascii="FangSong" w:hAnsi="FangSong" w:eastAsia="FangSong" w:cs="FangSong"/>
          <w:sz w:val="24"/>
          <w:szCs w:val="24"/>
          <w:spacing w:val="-4"/>
        </w:rPr>
        <w:t>濒危、重要</w:t>
      </w:r>
      <w:r>
        <w:rPr>
          <w:rFonts w:ascii="FangSong" w:hAnsi="FangSong" w:eastAsia="FangSong" w:cs="FangSong"/>
          <w:sz w:val="24"/>
          <w:szCs w:val="24"/>
          <w:spacing w:val="-3"/>
        </w:rPr>
        <w:t>物种分布，不涉及国家重点保护野生动物资源及栖息地，因此，本次</w:t>
      </w:r>
      <w:r>
        <w:rPr>
          <w:rFonts w:ascii="FangSong" w:hAnsi="FangSong" w:eastAsia="FangSong" w:cs="FangSong"/>
          <w:sz w:val="24"/>
          <w:szCs w:val="24"/>
          <w:spacing w:val="-4"/>
        </w:rPr>
        <w:t>生态环境现</w:t>
      </w:r>
      <w:r>
        <w:rPr>
          <w:rFonts w:ascii="FangSong" w:hAnsi="FangSong" w:eastAsia="FangSong" w:cs="FangSong"/>
          <w:sz w:val="24"/>
          <w:szCs w:val="24"/>
          <w:spacing w:val="-3"/>
        </w:rPr>
        <w:t>状评价主要参考已有资料，并结合现场样方、样线进行，同时</w:t>
      </w:r>
      <w:r>
        <w:rPr>
          <w:rFonts w:ascii="FangSong" w:hAnsi="FangSong" w:eastAsia="FangSong" w:cs="FangSong"/>
          <w:sz w:val="24"/>
          <w:szCs w:val="24"/>
          <w:spacing w:val="-4"/>
        </w:rPr>
        <w:t>咨询相关专家进行</w:t>
      </w:r>
      <w:r>
        <w:rPr>
          <w:rFonts w:ascii="FangSong" w:hAnsi="FangSong" w:eastAsia="FangSong" w:cs="FangSong"/>
          <w:sz w:val="24"/>
          <w:szCs w:val="24"/>
          <w:spacing w:val="-6"/>
        </w:rPr>
        <w:t>修正。</w:t>
      </w:r>
    </w:p>
    <w:p>
      <w:pPr>
        <w:ind w:left="22"/>
        <w:spacing w:line="222" w:lineRule="auto"/>
        <w:outlineLvl w:val="2"/>
        <w:rPr>
          <w:rFonts w:ascii="FangSong" w:hAnsi="FangSong" w:eastAsia="FangSong" w:cs="FangSong"/>
          <w:sz w:val="24"/>
          <w:szCs w:val="24"/>
        </w:rPr>
      </w:pPr>
      <w:bookmarkStart w:name="bookmark252" w:id="342"/>
      <w:bookmarkEnd w:id="342"/>
      <w:bookmarkStart w:name="bookmark251" w:id="343"/>
      <w:bookmarkEnd w:id="343"/>
      <w:r>
        <w:rPr>
          <w:rFonts w:ascii="Times New Roman" w:hAnsi="Times New Roman" w:eastAsia="Times New Roman" w:cs="Times New Roman"/>
          <w:sz w:val="24"/>
          <w:szCs w:val="24"/>
          <w:b/>
          <w:bCs/>
          <w:spacing w:val="-2"/>
        </w:rPr>
        <w:t>5.6.1  </w:t>
      </w:r>
      <w:r>
        <w:rPr>
          <w:rFonts w:ascii="FangSong" w:hAnsi="FangSong" w:eastAsia="FangSong" w:cs="FangSong"/>
          <w:sz w:val="24"/>
          <w:szCs w:val="24"/>
          <w:b/>
          <w:bCs/>
          <w:spacing w:val="-2"/>
        </w:rPr>
        <w:t>调查内容及范围</w:t>
      </w:r>
    </w:p>
    <w:p>
      <w:pPr>
        <w:ind w:left="22"/>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5.6.1.1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调查内容</w:t>
      </w:r>
    </w:p>
    <w:p>
      <w:pPr>
        <w:ind w:left="29" w:firstLine="485"/>
        <w:spacing w:before="179" w:line="325"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）陆生生态现状调查内容主要包括：评价范围内的植物区系、植被类型，</w:t>
      </w:r>
      <w:r>
        <w:rPr>
          <w:rFonts w:ascii="FangSong" w:hAnsi="FangSong" w:eastAsia="FangSong" w:cs="FangSong"/>
          <w:sz w:val="24"/>
          <w:szCs w:val="24"/>
          <w:spacing w:val="-3"/>
        </w:rPr>
        <w:t>植物群落结构及演替规律，群落中的关键种、建群种、优势种；动物</w:t>
      </w:r>
      <w:r>
        <w:rPr>
          <w:rFonts w:ascii="FangSong" w:hAnsi="FangSong" w:eastAsia="FangSong" w:cs="FangSong"/>
          <w:sz w:val="24"/>
          <w:szCs w:val="24"/>
          <w:spacing w:val="-4"/>
        </w:rPr>
        <w:t>区系、物种</w:t>
      </w:r>
      <w:r>
        <w:rPr>
          <w:rFonts w:ascii="FangSong" w:hAnsi="FangSong" w:eastAsia="FangSong" w:cs="FangSong"/>
          <w:sz w:val="24"/>
          <w:szCs w:val="24"/>
          <w:spacing w:val="-3"/>
        </w:rPr>
        <w:t>组成及分布特征；生态系统的类型、面积及空间分布；重要物种的分</w:t>
      </w:r>
      <w:r>
        <w:rPr>
          <w:rFonts w:ascii="FangSong" w:hAnsi="FangSong" w:eastAsia="FangSong" w:cs="FangSong"/>
          <w:sz w:val="24"/>
          <w:szCs w:val="24"/>
          <w:spacing w:val="-4"/>
        </w:rPr>
        <w:t>布、生态学</w:t>
      </w:r>
      <w:r>
        <w:rPr>
          <w:rFonts w:ascii="FangSong" w:hAnsi="FangSong" w:eastAsia="FangSong" w:cs="FangSong"/>
          <w:sz w:val="24"/>
          <w:szCs w:val="24"/>
          <w:spacing w:val="-7"/>
        </w:rPr>
        <w:t>特征、种群现状，迁徙物种的主要迁徙路线、迁</w:t>
      </w:r>
      <w:r>
        <w:rPr>
          <w:rFonts w:ascii="FangSong" w:hAnsi="FangSong" w:eastAsia="FangSong" w:cs="FangSong"/>
          <w:sz w:val="24"/>
          <w:szCs w:val="24"/>
          <w:spacing w:val="-8"/>
        </w:rPr>
        <w:t>徙时间，重要生境的分布及现状。</w:t>
      </w:r>
    </w:p>
    <w:p>
      <w:pPr>
        <w:ind w:left="38" w:right="83" w:firstLine="476"/>
        <w:spacing w:before="181"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）调查范围域存在的主要生态问题：如水土流失、生物入侵和污染危害</w:t>
      </w:r>
      <w:r>
        <w:rPr>
          <w:rFonts w:ascii="FangSong" w:hAnsi="FangSong" w:eastAsia="FangSong" w:cs="FangSong"/>
          <w:sz w:val="24"/>
          <w:szCs w:val="24"/>
          <w:spacing w:val="-1"/>
        </w:rPr>
        <w:t>等。调查已经存在的对生态保护目标产生不利影响的干扰因素。</w:t>
      </w:r>
    </w:p>
    <w:p>
      <w:pPr>
        <w:ind w:left="22"/>
        <w:spacing w:before="183"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5.6.1.2</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调查范围</w:t>
      </w:r>
    </w:p>
    <w:p>
      <w:pPr>
        <w:ind w:left="32" w:right="83" w:firstLine="478"/>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本次调查范围为以项目区域为研究重点，充分</w:t>
      </w:r>
      <w:r>
        <w:rPr>
          <w:rFonts w:ascii="FangSong" w:hAnsi="FangSong" w:eastAsia="FangSong" w:cs="FangSong"/>
          <w:sz w:val="24"/>
          <w:szCs w:val="24"/>
          <w:spacing w:val="-4"/>
        </w:rPr>
        <w:t>体现生态完整性，涵盖工程活</w:t>
      </w:r>
      <w:r>
        <w:rPr>
          <w:rFonts w:ascii="FangSong" w:hAnsi="FangSong" w:eastAsia="FangSong" w:cs="FangSong"/>
          <w:sz w:val="24"/>
          <w:szCs w:val="24"/>
          <w:spacing w:val="1"/>
        </w:rPr>
        <w:t>动的直接影响区和间接影响区域。调查范围主</w:t>
      </w:r>
      <w:r>
        <w:rPr>
          <w:rFonts w:ascii="FangSong" w:hAnsi="FangSong" w:eastAsia="FangSong" w:cs="FangSong"/>
          <w:sz w:val="24"/>
          <w:szCs w:val="24"/>
        </w:rPr>
        <w:t>要包括采区外延</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2km</w:t>
      </w:r>
      <w:r>
        <w:rPr>
          <w:rFonts w:ascii="Times New Roman" w:hAnsi="Times New Roman" w:eastAsia="Times New Roman" w:cs="Times New Roman"/>
          <w:sz w:val="24"/>
          <w:szCs w:val="24"/>
          <w:spacing w:val="32"/>
          <w:w w:val="101"/>
        </w:rPr>
        <w:t xml:space="preserve"> </w:t>
      </w:r>
      <w:r>
        <w:rPr>
          <w:rFonts w:ascii="FangSong" w:hAnsi="FangSong" w:eastAsia="FangSong" w:cs="FangSong"/>
          <w:sz w:val="24"/>
          <w:szCs w:val="24"/>
        </w:rPr>
        <w:t>范围，面积</w:t>
      </w:r>
      <w:r>
        <w:rPr>
          <w:rFonts w:ascii="FangSong" w:hAnsi="FangSong" w:eastAsia="FangSong" w:cs="FangSong"/>
          <w:sz w:val="24"/>
          <w:szCs w:val="24"/>
          <w:spacing w:val="-2"/>
        </w:rPr>
        <w:t>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64.55km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，包含了项目工业广场、办公生活区、矿区道路、矿区等范围。</w:t>
      </w:r>
    </w:p>
    <w:p>
      <w:pPr>
        <w:ind w:left="22"/>
        <w:spacing w:line="222" w:lineRule="auto"/>
        <w:outlineLvl w:val="2"/>
        <w:rPr>
          <w:rFonts w:ascii="FangSong" w:hAnsi="FangSong" w:eastAsia="FangSong" w:cs="FangSong"/>
          <w:sz w:val="24"/>
          <w:szCs w:val="24"/>
        </w:rPr>
      </w:pPr>
      <w:bookmarkStart w:name="bookmark254" w:id="344"/>
      <w:bookmarkEnd w:id="344"/>
      <w:bookmarkStart w:name="bookmark253" w:id="345"/>
      <w:bookmarkEnd w:id="345"/>
      <w:r>
        <w:rPr>
          <w:rFonts w:ascii="Times New Roman" w:hAnsi="Times New Roman" w:eastAsia="Times New Roman" w:cs="Times New Roman"/>
          <w:sz w:val="24"/>
          <w:szCs w:val="24"/>
          <w:b/>
          <w:bCs/>
          <w:spacing w:val="-2"/>
        </w:rPr>
        <w:t>5.6.2  </w:t>
      </w:r>
      <w:r>
        <w:rPr>
          <w:rFonts w:ascii="FangSong" w:hAnsi="FangSong" w:eastAsia="FangSong" w:cs="FangSong"/>
          <w:sz w:val="24"/>
          <w:szCs w:val="24"/>
          <w:b/>
          <w:bCs/>
          <w:spacing w:val="-2"/>
        </w:rPr>
        <w:t>现状调查与评价方法</w:t>
      </w:r>
    </w:p>
    <w:p>
      <w:pPr>
        <w:ind w:left="22"/>
        <w:spacing w:before="179"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5.6.2.1  </w:t>
      </w:r>
      <w:r>
        <w:rPr>
          <w:rFonts w:ascii="FangSong" w:hAnsi="FangSong" w:eastAsia="FangSong" w:cs="FangSong"/>
          <w:sz w:val="24"/>
          <w:szCs w:val="24"/>
          <w:b/>
          <w:bCs/>
          <w:spacing w:val="-2"/>
        </w:rPr>
        <w:t>现状调查方法</w:t>
      </w:r>
    </w:p>
    <w:p>
      <w:pPr>
        <w:ind w:left="514"/>
        <w:spacing w:before="177"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）基础资料收集</w:t>
      </w:r>
    </w:p>
    <w:p>
      <w:pPr>
        <w:ind w:left="29" w:right="44" w:firstLine="484"/>
        <w:spacing w:before="182" w:line="360" w:lineRule="auto"/>
        <w:rPr>
          <w:rFonts w:ascii="FangSong" w:hAnsi="FangSong" w:eastAsia="FangSong" w:cs="FangSong"/>
          <w:sz w:val="24"/>
          <w:szCs w:val="24"/>
        </w:rPr>
      </w:pPr>
      <w:r>
        <w:rPr>
          <w:rFonts w:ascii="FangSong" w:hAnsi="FangSong" w:eastAsia="FangSong" w:cs="FangSong"/>
          <w:sz w:val="24"/>
          <w:szCs w:val="24"/>
          <w:spacing w:val="-4"/>
        </w:rPr>
        <w:t>走访项目所在地林业、农业、自然资源等部门收集相关统计年鉴、土地利用</w:t>
      </w:r>
      <w:r>
        <w:rPr>
          <w:rFonts w:ascii="FangSong" w:hAnsi="FangSong" w:eastAsia="FangSong" w:cs="FangSong"/>
          <w:sz w:val="24"/>
          <w:szCs w:val="24"/>
          <w:spacing w:val="-2"/>
        </w:rPr>
        <w:t>规划、等最新资料，获取项目区生物多样性、土地利用、城乡规划等现状信息，</w:t>
      </w:r>
      <w:r>
        <w:rPr>
          <w:rFonts w:ascii="FangSong" w:hAnsi="FangSong" w:eastAsia="FangSong" w:cs="FangSong"/>
          <w:sz w:val="24"/>
          <w:szCs w:val="24"/>
          <w:spacing w:val="-1"/>
        </w:rPr>
        <w:t>并参考《内蒙古植被》等专著和其它相关科技文献。</w:t>
      </w:r>
    </w:p>
    <w:p>
      <w:pPr>
        <w:spacing w:line="360" w:lineRule="auto"/>
        <w:sectPr>
          <w:footerReference w:type="default" r:id="rId256"/>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14"/>
        <w:spacing w:before="78" w:line="221" w:lineRule="auto"/>
        <w:rPr>
          <w:rFonts w:ascii="FangSong" w:hAnsi="FangSong" w:eastAsia="FangSong" w:cs="FangSong"/>
          <w:sz w:val="24"/>
          <w:szCs w:val="24"/>
        </w:rPr>
      </w:pPr>
      <w:bookmarkStart w:name="bookmark582" w:id="346"/>
      <w:bookmarkEnd w:id="346"/>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）动植物资源调查方法</w:t>
      </w:r>
    </w:p>
    <w:p>
      <w:pPr>
        <w:ind w:left="31" w:right="26" w:firstLine="491"/>
        <w:spacing w:before="179" w:line="360" w:lineRule="auto"/>
        <w:rPr>
          <w:rFonts w:ascii="FangSong" w:hAnsi="FangSong" w:eastAsia="FangSong" w:cs="FangSong"/>
          <w:sz w:val="24"/>
          <w:szCs w:val="24"/>
        </w:rPr>
      </w:pPr>
      <w:r>
        <w:rPr>
          <w:rFonts w:ascii="FangSong" w:hAnsi="FangSong" w:eastAsia="FangSong" w:cs="FangSong"/>
          <w:sz w:val="24"/>
          <w:szCs w:val="24"/>
          <w:spacing w:val="-3"/>
        </w:rPr>
        <w:t>收集整理评价范围及邻近地区内现有的能反映生态现状或生态本底的资料，</w:t>
      </w:r>
      <w:r>
        <w:rPr>
          <w:rFonts w:ascii="FangSong" w:hAnsi="FangSong" w:eastAsia="FangSong" w:cs="FangSong"/>
          <w:sz w:val="24"/>
          <w:szCs w:val="24"/>
          <w:spacing w:val="-1"/>
        </w:rPr>
        <w:t>在综合分析现有资料的基础上，确定实地考察的重点区域及考察路线。</w:t>
      </w:r>
    </w:p>
    <w:p>
      <w:pPr>
        <w:ind w:left="502"/>
        <w:spacing w:before="1" w:line="221" w:lineRule="auto"/>
        <w:rPr>
          <w:rFonts w:ascii="FangSong" w:hAnsi="FangSong" w:eastAsia="FangSong" w:cs="FangSong"/>
          <w:sz w:val="24"/>
          <w:szCs w:val="24"/>
        </w:rPr>
      </w:pPr>
      <w:r>
        <w:rPr>
          <w:rFonts w:ascii="SimSun" w:hAnsi="SimSun" w:eastAsia="SimSun" w:cs="SimSun"/>
          <w:sz w:val="24"/>
          <w:szCs w:val="24"/>
          <w:spacing w:val="-4"/>
        </w:rPr>
        <w:t>①</w:t>
      </w:r>
      <w:r>
        <w:rPr>
          <w:rFonts w:ascii="SimSun" w:hAnsi="SimSun" w:eastAsia="SimSun" w:cs="SimSun"/>
          <w:sz w:val="24"/>
          <w:szCs w:val="24"/>
          <w:spacing w:val="18"/>
        </w:rPr>
        <w:t xml:space="preserve"> </w:t>
      </w:r>
      <w:r>
        <w:rPr>
          <w:rFonts w:ascii="FangSong" w:hAnsi="FangSong" w:eastAsia="FangSong" w:cs="FangSong"/>
          <w:sz w:val="24"/>
          <w:szCs w:val="24"/>
          <w:spacing w:val="-4"/>
        </w:rPr>
        <w:t>植物种类调查</w:t>
      </w:r>
    </w:p>
    <w:p>
      <w:pPr>
        <w:ind w:left="30" w:right="65" w:firstLine="480"/>
        <w:spacing w:before="180" w:line="360" w:lineRule="auto"/>
        <w:rPr>
          <w:rFonts w:ascii="FangSong" w:hAnsi="FangSong" w:eastAsia="FangSong" w:cs="FangSong"/>
          <w:sz w:val="24"/>
          <w:szCs w:val="24"/>
        </w:rPr>
      </w:pPr>
      <w:r>
        <w:rPr>
          <w:rFonts w:ascii="FangSong" w:hAnsi="FangSong" w:eastAsia="FangSong" w:cs="FangSong"/>
          <w:sz w:val="24"/>
          <w:szCs w:val="24"/>
          <w:spacing w:val="-3"/>
        </w:rPr>
        <w:t>详细记录推荐方案线路沿途评价区范围内分布</w:t>
      </w:r>
      <w:r>
        <w:rPr>
          <w:rFonts w:ascii="FangSong" w:hAnsi="FangSong" w:eastAsia="FangSong" w:cs="FangSong"/>
          <w:sz w:val="24"/>
          <w:szCs w:val="24"/>
          <w:spacing w:val="-4"/>
        </w:rPr>
        <w:t>的植物种类。对现场能确认物</w:t>
      </w:r>
      <w:r>
        <w:rPr>
          <w:rFonts w:ascii="FangSong" w:hAnsi="FangSong" w:eastAsia="FangSong" w:cs="FangSong"/>
          <w:sz w:val="24"/>
          <w:szCs w:val="24"/>
          <w:spacing w:val="-3"/>
        </w:rPr>
        <w:t>种的，只记录种名、分布的海拔、生境和大致的多度等。对现场</w:t>
      </w:r>
      <w:r>
        <w:rPr>
          <w:rFonts w:ascii="FangSong" w:hAnsi="FangSong" w:eastAsia="FangSong" w:cs="FangSong"/>
          <w:sz w:val="24"/>
          <w:szCs w:val="24"/>
          <w:spacing w:val="-4"/>
        </w:rPr>
        <w:t>不能准确确定具</w:t>
      </w:r>
      <w:r>
        <w:rPr>
          <w:rFonts w:ascii="FangSong" w:hAnsi="FangSong" w:eastAsia="FangSong" w:cs="FangSong"/>
          <w:sz w:val="24"/>
          <w:szCs w:val="24"/>
          <w:spacing w:val="-3"/>
        </w:rPr>
        <w:t>体种类的，采集其标本后，根据《中国植物志》《中国高等植物</w:t>
      </w:r>
      <w:r>
        <w:rPr>
          <w:rFonts w:ascii="FangSong" w:hAnsi="FangSong" w:eastAsia="FangSong" w:cs="FangSong"/>
          <w:sz w:val="24"/>
          <w:szCs w:val="24"/>
          <w:spacing w:val="-4"/>
        </w:rPr>
        <w:t>图鉴》等专著进</w:t>
      </w:r>
      <w:r>
        <w:rPr>
          <w:rFonts w:ascii="FangSong" w:hAnsi="FangSong" w:eastAsia="FangSong" w:cs="FangSong"/>
          <w:sz w:val="24"/>
          <w:szCs w:val="24"/>
          <w:spacing w:val="-3"/>
        </w:rPr>
        <w:t>行标本鉴定。最后，将样地内出现的物种与样地外沿途记录的物</w:t>
      </w:r>
      <w:r>
        <w:rPr>
          <w:rFonts w:ascii="FangSong" w:hAnsi="FangSong" w:eastAsia="FangSong" w:cs="FangSong"/>
          <w:sz w:val="24"/>
          <w:szCs w:val="24"/>
          <w:spacing w:val="-4"/>
        </w:rPr>
        <w:t>种汇总，得到评</w:t>
      </w:r>
      <w:r>
        <w:rPr>
          <w:rFonts w:ascii="FangSong" w:hAnsi="FangSong" w:eastAsia="FangSong" w:cs="FangSong"/>
          <w:sz w:val="24"/>
          <w:szCs w:val="24"/>
          <w:spacing w:val="-3"/>
        </w:rPr>
        <w:t>价区的植物名录。</w:t>
      </w:r>
    </w:p>
    <w:p>
      <w:pPr>
        <w:ind w:left="501"/>
        <w:spacing w:before="1" w:line="220" w:lineRule="auto"/>
        <w:rPr>
          <w:rFonts w:ascii="FangSong" w:hAnsi="FangSong" w:eastAsia="FangSong" w:cs="FangSong"/>
          <w:sz w:val="24"/>
          <w:szCs w:val="24"/>
        </w:rPr>
      </w:pPr>
      <w:r>
        <w:rPr>
          <w:rFonts w:ascii="SimSun" w:hAnsi="SimSun" w:eastAsia="SimSun" w:cs="SimSun"/>
          <w:sz w:val="24"/>
          <w:szCs w:val="24"/>
          <w:spacing w:val="-4"/>
        </w:rPr>
        <w:t>②</w:t>
      </w:r>
      <w:r>
        <w:rPr>
          <w:rFonts w:ascii="SimSun" w:hAnsi="SimSun" w:eastAsia="SimSun" w:cs="SimSun"/>
          <w:sz w:val="24"/>
          <w:szCs w:val="24"/>
          <w:spacing w:val="19"/>
        </w:rPr>
        <w:t xml:space="preserve"> </w:t>
      </w:r>
      <w:r>
        <w:rPr>
          <w:rFonts w:ascii="FangSong" w:hAnsi="FangSong" w:eastAsia="FangSong" w:cs="FangSong"/>
          <w:sz w:val="24"/>
          <w:szCs w:val="24"/>
          <w:spacing w:val="-4"/>
        </w:rPr>
        <w:t>动物资源调查</w:t>
      </w:r>
    </w:p>
    <w:p>
      <w:pPr>
        <w:ind w:left="30" w:right="65" w:firstLine="480"/>
        <w:spacing w:before="180" w:line="360" w:lineRule="auto"/>
        <w:rPr>
          <w:rFonts w:ascii="FangSong" w:hAnsi="FangSong" w:eastAsia="FangSong" w:cs="FangSong"/>
          <w:sz w:val="24"/>
          <w:szCs w:val="24"/>
        </w:rPr>
      </w:pPr>
      <w:r>
        <w:rPr>
          <w:rFonts w:ascii="FangSong" w:hAnsi="FangSong" w:eastAsia="FangSong" w:cs="FangSong"/>
          <w:sz w:val="24"/>
          <w:szCs w:val="24"/>
          <w:spacing w:val="-3"/>
        </w:rPr>
        <w:t>采用路线统计法记录沿线目击到的动物种类</w:t>
      </w:r>
      <w:r>
        <w:rPr>
          <w:rFonts w:ascii="FangSong" w:hAnsi="FangSong" w:eastAsia="FangSong" w:cs="FangSong"/>
          <w:sz w:val="24"/>
          <w:szCs w:val="24"/>
          <w:spacing w:val="-4"/>
        </w:rPr>
        <w:t>物种名称，未目击到的动物通过</w:t>
      </w:r>
      <w:r>
        <w:rPr>
          <w:rFonts w:ascii="FangSong" w:hAnsi="FangSong" w:eastAsia="FangSong" w:cs="FangSong"/>
          <w:sz w:val="24"/>
          <w:szCs w:val="24"/>
          <w:spacing w:val="-3"/>
        </w:rPr>
        <w:t>其观察发现的生命活动现象，如鸣叫声、粪便、脚印等判断其种</w:t>
      </w:r>
      <w:r>
        <w:rPr>
          <w:rFonts w:ascii="FangSong" w:hAnsi="FangSong" w:eastAsia="FangSong" w:cs="FangSong"/>
          <w:sz w:val="24"/>
          <w:szCs w:val="24"/>
          <w:spacing w:val="-4"/>
        </w:rPr>
        <w:t>类，并访谈当地</w:t>
      </w:r>
      <w:r>
        <w:rPr>
          <w:rFonts w:ascii="FangSong" w:hAnsi="FangSong" w:eastAsia="FangSong" w:cs="FangSong"/>
          <w:sz w:val="24"/>
          <w:szCs w:val="24"/>
          <w:spacing w:val="-1"/>
        </w:rPr>
        <w:t>农户和相关部门工作人员调查记录项目区常见动物及保护动物。</w:t>
      </w:r>
    </w:p>
    <w:p>
      <w:pPr>
        <w:ind w:left="29" w:right="65" w:firstLine="481"/>
        <w:spacing w:line="360" w:lineRule="auto"/>
        <w:rPr>
          <w:rFonts w:ascii="FangSong" w:hAnsi="FangSong" w:eastAsia="FangSong" w:cs="FangSong"/>
          <w:sz w:val="24"/>
          <w:szCs w:val="24"/>
        </w:rPr>
      </w:pPr>
      <w:r>
        <w:rPr>
          <w:rFonts w:ascii="FangSong" w:hAnsi="FangSong" w:eastAsia="FangSong" w:cs="FangSong"/>
          <w:sz w:val="24"/>
          <w:szCs w:val="24"/>
          <w:spacing w:val="-3"/>
        </w:rPr>
        <w:t>根据工程设计确定的路线走向及不同地貌特征</w:t>
      </w:r>
      <w:r>
        <w:rPr>
          <w:rFonts w:ascii="FangSong" w:hAnsi="FangSong" w:eastAsia="FangSong" w:cs="FangSong"/>
          <w:sz w:val="24"/>
          <w:szCs w:val="24"/>
          <w:spacing w:val="-4"/>
        </w:rPr>
        <w:t>，对全线的各类生态、野生动</w:t>
      </w:r>
      <w:r>
        <w:rPr>
          <w:rFonts w:ascii="FangSong" w:hAnsi="FangSong" w:eastAsia="FangSong" w:cs="FangSong"/>
          <w:sz w:val="24"/>
          <w:szCs w:val="24"/>
          <w:spacing w:val="-1"/>
        </w:rPr>
        <w:t>植物资源各植被类型进行了实地调查。</w:t>
      </w:r>
    </w:p>
    <w:p>
      <w:pPr>
        <w:ind w:left="22"/>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5.6.2.2</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评价方法</w:t>
      </w:r>
    </w:p>
    <w:p>
      <w:pPr>
        <w:ind w:left="30" w:right="15"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2"/>
        </w:rPr>
        <w:t>评价区生物资源的现状及工程对其可能产生的影响采用了生态机理分析法、</w:t>
      </w:r>
      <w:r>
        <w:rPr>
          <w:rFonts w:ascii="FangSong" w:hAnsi="FangSong" w:eastAsia="FangSong" w:cs="FangSong"/>
          <w:sz w:val="24"/>
          <w:szCs w:val="24"/>
          <w:spacing w:val="-3"/>
        </w:rPr>
        <w:t>图形叠置法、类比分析法、生态系统评价法等方法，通过实地调</w:t>
      </w:r>
      <w:r>
        <w:rPr>
          <w:rFonts w:ascii="FangSong" w:hAnsi="FangSong" w:eastAsia="FangSong" w:cs="FangSong"/>
          <w:sz w:val="24"/>
          <w:szCs w:val="24"/>
          <w:spacing w:val="-4"/>
        </w:rPr>
        <w:t>查，利用已有的</w:t>
      </w:r>
      <w:r>
        <w:rPr>
          <w:rFonts w:ascii="FangSong" w:hAnsi="FangSong" w:eastAsia="FangSong" w:cs="FangSong"/>
          <w:sz w:val="24"/>
          <w:szCs w:val="24"/>
          <w:spacing w:val="-3"/>
        </w:rPr>
        <w:t>各类资料和野外调查的资料分别对评价区植物、动物的生态环境</w:t>
      </w:r>
      <w:r>
        <w:rPr>
          <w:rFonts w:ascii="FangSong" w:hAnsi="FangSong" w:eastAsia="FangSong" w:cs="FangSong"/>
          <w:sz w:val="24"/>
          <w:szCs w:val="24"/>
          <w:spacing w:val="-4"/>
        </w:rPr>
        <w:t>、种群的分布特</w:t>
      </w:r>
      <w:r>
        <w:rPr>
          <w:rFonts w:ascii="FangSong" w:hAnsi="FangSong" w:eastAsia="FangSong" w:cs="FangSong"/>
          <w:sz w:val="24"/>
          <w:szCs w:val="24"/>
          <w:spacing w:val="-3"/>
        </w:rPr>
        <w:t>点、结构特征和演替趋势以及生物学物种多样性、生物群落异质</w:t>
      </w:r>
      <w:r>
        <w:rPr>
          <w:rFonts w:ascii="FangSong" w:hAnsi="FangSong" w:eastAsia="FangSong" w:cs="FangSong"/>
          <w:sz w:val="24"/>
          <w:szCs w:val="24"/>
          <w:spacing w:val="-4"/>
        </w:rPr>
        <w:t>状况和生物量等</w:t>
      </w:r>
      <w:r>
        <w:rPr>
          <w:rFonts w:ascii="FangSong" w:hAnsi="FangSong" w:eastAsia="FangSong" w:cs="FangSong"/>
          <w:sz w:val="24"/>
          <w:szCs w:val="24"/>
          <w:spacing w:val="-3"/>
        </w:rPr>
        <w:t>进行评价分析。</w:t>
      </w:r>
    </w:p>
    <w:p>
      <w:pPr>
        <w:ind w:left="22"/>
        <w:spacing w:before="1" w:line="221" w:lineRule="auto"/>
        <w:outlineLvl w:val="2"/>
        <w:rPr>
          <w:rFonts w:ascii="FangSong" w:hAnsi="FangSong" w:eastAsia="FangSong" w:cs="FangSong"/>
          <w:sz w:val="24"/>
          <w:szCs w:val="24"/>
        </w:rPr>
      </w:pPr>
      <w:bookmarkStart w:name="bookmark256" w:id="347"/>
      <w:bookmarkEnd w:id="347"/>
      <w:bookmarkStart w:name="bookmark255" w:id="348"/>
      <w:bookmarkEnd w:id="348"/>
      <w:r>
        <w:rPr>
          <w:rFonts w:ascii="Times New Roman" w:hAnsi="Times New Roman" w:eastAsia="Times New Roman" w:cs="Times New Roman"/>
          <w:sz w:val="24"/>
          <w:szCs w:val="24"/>
          <w:b/>
          <w:bCs/>
          <w:spacing w:val="-2"/>
        </w:rPr>
        <w:t>5.6.3  </w:t>
      </w:r>
      <w:r>
        <w:rPr>
          <w:rFonts w:ascii="FangSong" w:hAnsi="FangSong" w:eastAsia="FangSong" w:cs="FangSong"/>
          <w:sz w:val="24"/>
          <w:szCs w:val="24"/>
          <w:b/>
          <w:bCs/>
          <w:spacing w:val="-2"/>
        </w:rPr>
        <w:t>基础信息获取过程</w:t>
      </w:r>
    </w:p>
    <w:p>
      <w:pPr>
        <w:ind w:left="22"/>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5.6.3.1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数据来源</w:t>
      </w:r>
    </w:p>
    <w:p>
      <w:pPr>
        <w:ind w:left="18" w:firstLine="491"/>
        <w:spacing w:before="182" w:line="353" w:lineRule="auto"/>
        <w:jc w:val="both"/>
        <w:rPr>
          <w:rFonts w:ascii="FangSong" w:hAnsi="FangSong" w:eastAsia="FangSong" w:cs="FangSong"/>
          <w:sz w:val="24"/>
          <w:szCs w:val="24"/>
        </w:rPr>
      </w:pPr>
      <w:r>
        <w:rPr>
          <w:rFonts w:ascii="FangSong" w:hAnsi="FangSong" w:eastAsia="FangSong" w:cs="FangSong"/>
          <w:sz w:val="24"/>
          <w:szCs w:val="24"/>
          <w:spacing w:val="12"/>
        </w:rPr>
        <w:t>评价区生态调查采用遥感数字图像，生态现状调查解译使</w:t>
      </w:r>
      <w:r>
        <w:rPr>
          <w:rFonts w:ascii="FangSong" w:hAnsi="FangSong" w:eastAsia="FangSong" w:cs="FangSong"/>
          <w:sz w:val="24"/>
          <w:szCs w:val="24"/>
          <w:spacing w:val="11"/>
        </w:rPr>
        <w:t>用的信息源为</w:t>
      </w:r>
      <w:r>
        <w:rPr>
          <w:rFonts w:ascii="Times New Roman" w:hAnsi="Times New Roman" w:eastAsia="Times New Roman" w:cs="Times New Roman"/>
          <w:sz w:val="24"/>
          <w:szCs w:val="24"/>
          <w:spacing w:val="-1"/>
        </w:rPr>
        <w:t>Landsat</w:t>
      </w:r>
      <w:r>
        <w:rPr>
          <w:rFonts w:ascii="Times New Roman" w:hAnsi="Times New Roman" w:eastAsia="Times New Roman" w:cs="Times New Roman"/>
          <w:sz w:val="24"/>
          <w:szCs w:val="24"/>
          <w:spacing w:val="17"/>
          <w:w w:val="101"/>
        </w:rPr>
        <w:t xml:space="preserve"> </w:t>
      </w:r>
      <w:r>
        <w:rPr>
          <w:rFonts w:ascii="Times New Roman" w:hAnsi="Times New Roman" w:eastAsia="Times New Roman" w:cs="Times New Roman"/>
          <w:sz w:val="24"/>
          <w:szCs w:val="24"/>
          <w:spacing w:val="-1"/>
        </w:rPr>
        <w:t>8 OLI</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卫星遥感影像（轨道：</w:t>
      </w:r>
      <w:r>
        <w:rPr>
          <w:rFonts w:ascii="Times New Roman" w:hAnsi="Times New Roman" w:eastAsia="Times New Roman" w:cs="Times New Roman"/>
          <w:sz w:val="24"/>
          <w:szCs w:val="24"/>
          <w:spacing w:val="-1"/>
        </w:rPr>
        <w:t>122/31</w:t>
      </w:r>
      <w:r>
        <w:rPr>
          <w:rFonts w:ascii="FangSong" w:hAnsi="FangSong" w:eastAsia="FangSong" w:cs="FangSong"/>
          <w:sz w:val="24"/>
          <w:szCs w:val="24"/>
          <w:spacing w:val="13"/>
        </w:rPr>
        <w:t>），</w:t>
      </w:r>
      <w:r>
        <w:rPr>
          <w:rFonts w:ascii="FangSong" w:hAnsi="FangSong" w:eastAsia="FangSong" w:cs="FangSong"/>
          <w:sz w:val="24"/>
          <w:szCs w:val="24"/>
          <w:spacing w:val="-1"/>
        </w:rPr>
        <w:t>影像获</w:t>
      </w:r>
      <w:r>
        <w:rPr>
          <w:rFonts w:ascii="FangSong" w:hAnsi="FangSong" w:eastAsia="FangSong" w:cs="FangSong"/>
          <w:sz w:val="24"/>
          <w:szCs w:val="24"/>
          <w:spacing w:val="-2"/>
        </w:rPr>
        <w:t>取时间为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2024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年</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2"/>
        </w:rPr>
        <w:t>月，</w:t>
      </w:r>
      <w:r>
        <w:rPr>
          <w:rFonts w:ascii="FangSong" w:hAnsi="FangSong" w:eastAsia="FangSong" w:cs="FangSong"/>
          <w:sz w:val="24"/>
          <w:szCs w:val="24"/>
          <w:spacing w:val="-5"/>
        </w:rPr>
        <w:t>分辨率为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5"/>
        </w:rPr>
        <w:t>1m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5"/>
        </w:rPr>
        <w:t>。充分利用现有的调查和普查、土地详查、资源遥感调查等资料，</w:t>
      </w:r>
      <w:r>
        <w:rPr>
          <w:rFonts w:ascii="FangSong" w:hAnsi="FangSong" w:eastAsia="FangSong" w:cs="FangSong"/>
          <w:sz w:val="24"/>
          <w:szCs w:val="24"/>
          <w:spacing w:val="4"/>
        </w:rPr>
        <w:t>与实地调查相结合，并采用综合的解译法进行分析。本项目遥感影像图见附图</w:t>
      </w:r>
      <w:r>
        <w:rPr>
          <w:rFonts w:ascii="Times New Roman" w:hAnsi="Times New Roman" w:eastAsia="Times New Roman" w:cs="Times New Roman"/>
          <w:sz w:val="24"/>
          <w:szCs w:val="24"/>
          <w:spacing w:val="-2"/>
        </w:rPr>
        <w:t>5-3</w:t>
      </w:r>
      <w:r>
        <w:rPr>
          <w:rFonts w:ascii="FangSong" w:hAnsi="FangSong" w:eastAsia="FangSong" w:cs="FangSong"/>
          <w:sz w:val="24"/>
          <w:szCs w:val="24"/>
          <w:spacing w:val="-2"/>
        </w:rPr>
        <w:t>。</w:t>
      </w:r>
    </w:p>
    <w:p>
      <w:pPr>
        <w:ind w:left="512"/>
        <w:spacing w:before="44" w:line="222" w:lineRule="auto"/>
        <w:rPr>
          <w:rFonts w:ascii="FangSong" w:hAnsi="FangSong" w:eastAsia="FangSong" w:cs="FangSong"/>
          <w:sz w:val="24"/>
          <w:szCs w:val="24"/>
        </w:rPr>
      </w:pPr>
      <w:r>
        <w:rPr>
          <w:rFonts w:ascii="FangSong" w:hAnsi="FangSong" w:eastAsia="FangSong" w:cs="FangSong"/>
          <w:sz w:val="24"/>
          <w:szCs w:val="24"/>
          <w:spacing w:val="-4"/>
        </w:rPr>
        <w:t>选取这一时间段遥感数据，主要考虑到这一时期的地表类型差异是一年中最</w:t>
      </w:r>
    </w:p>
    <w:p>
      <w:pPr>
        <w:spacing w:line="222" w:lineRule="auto"/>
        <w:sectPr>
          <w:footerReference w:type="default" r:id="rId257"/>
          <w:pgSz w:w="11906" w:h="16839"/>
          <w:pgMar w:top="400" w:right="1734" w:bottom="1358" w:left="1785" w:header="0" w:footer="1195" w:gutter="0"/>
        </w:sectPr>
        <w:rPr>
          <w:rFonts w:ascii="FangSong" w:hAnsi="FangSong" w:eastAsia="FangSong" w:cs="FangSong"/>
          <w:sz w:val="24"/>
          <w:szCs w:val="24"/>
        </w:rPr>
      </w:pP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18" w:right="107" w:firstLine="20"/>
        <w:spacing w:before="78" w:line="353" w:lineRule="auto"/>
        <w:jc w:val="both"/>
        <w:rPr>
          <w:rFonts w:ascii="FangSong" w:hAnsi="FangSong" w:eastAsia="FangSong" w:cs="FangSong"/>
          <w:sz w:val="24"/>
          <w:szCs w:val="24"/>
        </w:rPr>
      </w:pPr>
      <w:bookmarkStart w:name="bookmark583" w:id="349"/>
      <w:bookmarkEnd w:id="349"/>
      <w:r>
        <w:rPr>
          <w:rFonts w:ascii="FangSong" w:hAnsi="FangSong" w:eastAsia="FangSong" w:cs="FangSong"/>
          <w:sz w:val="24"/>
          <w:szCs w:val="24"/>
          <w:spacing w:val="-4"/>
        </w:rPr>
        <w:t>明显的时候，该时间段具有地物区分显著、地表信息丰富的特点，有利于对各生</w:t>
      </w:r>
      <w:r>
        <w:rPr>
          <w:rFonts w:ascii="FangSong" w:hAnsi="FangSong" w:eastAsia="FangSong" w:cs="FangSong"/>
          <w:sz w:val="24"/>
          <w:szCs w:val="24"/>
          <w:spacing w:val="1"/>
        </w:rPr>
        <w:t>态环境因子的研判。调查范围为矿区边界向外延伸</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1"/>
        </w:rPr>
        <w:t>的范围，</w:t>
      </w:r>
      <w:r>
        <w:rPr>
          <w:rFonts w:ascii="FangSong" w:hAnsi="FangSong" w:eastAsia="FangSong" w:cs="FangSong"/>
          <w:sz w:val="24"/>
          <w:szCs w:val="24"/>
        </w:rPr>
        <w:t>总调查面积约</w:t>
      </w:r>
      <w:r>
        <w:rPr>
          <w:rFonts w:ascii="Times New Roman" w:hAnsi="Times New Roman" w:eastAsia="Times New Roman" w:cs="Times New Roman"/>
          <w:sz w:val="24"/>
          <w:szCs w:val="24"/>
          <w:spacing w:val="-2"/>
        </w:rPr>
        <w:t>64.55km</w:t>
      </w:r>
      <w:r>
        <w:rPr>
          <w:rFonts w:ascii="Times New Roman" w:hAnsi="Times New Roman" w:eastAsia="Times New Roman" w:cs="Times New Roman"/>
          <w:sz w:val="15"/>
          <w:szCs w:val="15"/>
          <w:spacing w:val="-2"/>
          <w:position w:val="7"/>
        </w:rPr>
        <w:t>2</w:t>
      </w:r>
      <w:r>
        <w:rPr>
          <w:rFonts w:ascii="FangSong" w:hAnsi="FangSong" w:eastAsia="FangSong" w:cs="FangSong"/>
          <w:sz w:val="24"/>
          <w:szCs w:val="24"/>
          <w:spacing w:val="-2"/>
        </w:rPr>
        <w:t>。</w:t>
      </w:r>
    </w:p>
    <w:p>
      <w:pPr>
        <w:ind w:left="116"/>
        <w:spacing w:before="2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5.6.3.2</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软件介绍</w:t>
      </w:r>
    </w:p>
    <w:p>
      <w:pPr>
        <w:ind w:left="122" w:right="107" w:firstLine="482"/>
        <w:spacing w:before="177" w:line="360" w:lineRule="auto"/>
        <w:jc w:val="both"/>
        <w:rPr>
          <w:rFonts w:ascii="FangSong" w:hAnsi="FangSong" w:eastAsia="FangSong" w:cs="FangSong"/>
          <w:sz w:val="24"/>
          <w:szCs w:val="24"/>
        </w:rPr>
      </w:pPr>
      <w:r>
        <w:rPr>
          <w:rFonts w:ascii="FangSong" w:hAnsi="FangSong" w:eastAsia="FangSong" w:cs="FangSong"/>
          <w:sz w:val="24"/>
          <w:szCs w:val="24"/>
          <w:spacing w:val="-3"/>
        </w:rPr>
        <w:t>本项工作所使用的软件有：遥感数字图像处理</w:t>
      </w:r>
      <w:r>
        <w:rPr>
          <w:rFonts w:ascii="FangSong" w:hAnsi="FangSong" w:eastAsia="FangSong" w:cs="FangSong"/>
          <w:sz w:val="24"/>
          <w:szCs w:val="24"/>
          <w:spacing w:val="-4"/>
        </w:rPr>
        <w:t>软件、面向对象的软件和地理</w:t>
      </w:r>
      <w:r>
        <w:rPr>
          <w:rFonts w:ascii="FangSong" w:hAnsi="FangSong" w:eastAsia="FangSong" w:cs="FangSong"/>
          <w:sz w:val="24"/>
          <w:szCs w:val="24"/>
          <w:spacing w:val="-3"/>
        </w:rPr>
        <w:t>信息系统软件。遥感数字图像处理软件主要用于进行几何校正和图像增</w:t>
      </w:r>
      <w:r>
        <w:rPr>
          <w:rFonts w:ascii="FangSong" w:hAnsi="FangSong" w:eastAsia="FangSong" w:cs="FangSong"/>
          <w:sz w:val="24"/>
          <w:szCs w:val="24"/>
          <w:spacing w:val="-4"/>
        </w:rPr>
        <w:t>强，以及</w:t>
      </w:r>
      <w:r>
        <w:rPr>
          <w:rFonts w:ascii="FangSong" w:hAnsi="FangSong" w:eastAsia="FangSong" w:cs="FangSong"/>
          <w:sz w:val="24"/>
          <w:szCs w:val="24"/>
          <w:spacing w:val="-3"/>
        </w:rPr>
        <w:t>辅助目视解译；面向对象的软件主要用于图像自动分类；地理信息系统</w:t>
      </w:r>
      <w:r>
        <w:rPr>
          <w:rFonts w:ascii="FangSong" w:hAnsi="FangSong" w:eastAsia="FangSong" w:cs="FangSong"/>
          <w:sz w:val="24"/>
          <w:szCs w:val="24"/>
          <w:spacing w:val="-4"/>
        </w:rPr>
        <w:t>软件主要</w:t>
      </w:r>
      <w:r>
        <w:rPr>
          <w:rFonts w:ascii="FangSong" w:hAnsi="FangSong" w:eastAsia="FangSong" w:cs="FangSong"/>
          <w:sz w:val="24"/>
          <w:szCs w:val="24"/>
          <w:spacing w:val="-1"/>
        </w:rPr>
        <w:t>用于矢量数据的编辑、分析和制图。</w:t>
      </w:r>
    </w:p>
    <w:p>
      <w:pPr>
        <w:ind w:left="116"/>
        <w:spacing w:line="222" w:lineRule="auto"/>
        <w:outlineLvl w:val="2"/>
        <w:rPr>
          <w:rFonts w:ascii="FangSong" w:hAnsi="FangSong" w:eastAsia="FangSong" w:cs="FangSong"/>
          <w:sz w:val="24"/>
          <w:szCs w:val="24"/>
        </w:rPr>
      </w:pPr>
      <w:bookmarkStart w:name="bookmark258" w:id="350"/>
      <w:bookmarkEnd w:id="350"/>
      <w:bookmarkStart w:name="bookmark257" w:id="351"/>
      <w:bookmarkEnd w:id="351"/>
      <w:r>
        <w:rPr>
          <w:rFonts w:ascii="Times New Roman" w:hAnsi="Times New Roman" w:eastAsia="Times New Roman" w:cs="Times New Roman"/>
          <w:sz w:val="24"/>
          <w:szCs w:val="24"/>
          <w:b/>
          <w:bCs/>
          <w:spacing w:val="-5"/>
        </w:rPr>
        <w:t>5.6.4</w:t>
      </w:r>
      <w:r>
        <w:rPr>
          <w:rFonts w:ascii="Times New Roman" w:hAnsi="Times New Roman" w:eastAsia="Times New Roman" w:cs="Times New Roman"/>
          <w:sz w:val="24"/>
          <w:szCs w:val="24"/>
          <w:b/>
          <w:bCs/>
          <w:spacing w:val="17"/>
          <w:w w:val="101"/>
        </w:rPr>
        <w:t xml:space="preserve">  </w:t>
      </w:r>
      <w:r>
        <w:rPr>
          <w:rFonts w:ascii="FangSong" w:hAnsi="FangSong" w:eastAsia="FangSong" w:cs="FangSong"/>
          <w:sz w:val="24"/>
          <w:szCs w:val="24"/>
          <w:b/>
          <w:bCs/>
          <w:spacing w:val="-5"/>
        </w:rPr>
        <w:t>生态功能区划</w:t>
      </w:r>
    </w:p>
    <w:p>
      <w:pPr>
        <w:ind w:left="116"/>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5.6.4.1</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生态功能区划</w:t>
      </w:r>
    </w:p>
    <w:p>
      <w:pPr>
        <w:ind w:left="111" w:right="42" w:firstLine="492"/>
        <w:spacing w:before="179" w:line="360" w:lineRule="auto"/>
        <w:jc w:val="both"/>
        <w:rPr>
          <w:rFonts w:ascii="FangSong" w:hAnsi="FangSong" w:eastAsia="FangSong" w:cs="FangSong"/>
          <w:sz w:val="24"/>
          <w:szCs w:val="24"/>
        </w:rPr>
      </w:pPr>
      <w:r>
        <w:rPr>
          <w:rFonts w:ascii="FangSong" w:hAnsi="FangSong" w:eastAsia="FangSong" w:cs="FangSong"/>
          <w:sz w:val="24"/>
          <w:szCs w:val="24"/>
          <w:spacing w:val="11"/>
        </w:rPr>
        <w:t>本项</w:t>
      </w:r>
      <w:r>
        <w:rPr>
          <w:rFonts w:ascii="FangSong" w:hAnsi="FangSong" w:eastAsia="FangSong" w:cs="FangSong"/>
          <w:sz w:val="24"/>
          <w:szCs w:val="24"/>
          <w:spacing w:val="-44"/>
        </w:rPr>
        <w:t xml:space="preserve"> </w:t>
      </w:r>
      <w:r>
        <w:rPr>
          <w:rFonts w:ascii="FangSong" w:hAnsi="FangSong" w:eastAsia="FangSong" w:cs="FangSong"/>
          <w:sz w:val="24"/>
          <w:szCs w:val="24"/>
          <w:spacing w:val="11"/>
        </w:rPr>
        <w:t>目调查范围位于苏尼特右旗旗政府所在地赛汉塔拉镇</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11"/>
        </w:rPr>
        <w:t>25°</w:t>
      </w:r>
      <w:r>
        <w:rPr>
          <w:rFonts w:ascii="FangSong" w:hAnsi="FangSong" w:eastAsia="FangSong" w:cs="FangSong"/>
          <w:sz w:val="24"/>
          <w:szCs w:val="24"/>
          <w:spacing w:val="11"/>
        </w:rPr>
        <w:t>方位直距</w:t>
      </w:r>
      <w:r>
        <w:rPr>
          <w:rFonts w:ascii="Times New Roman" w:hAnsi="Times New Roman" w:eastAsia="Times New Roman" w:cs="Times New Roman"/>
          <w:sz w:val="24"/>
          <w:szCs w:val="24"/>
          <w:spacing w:val="-11"/>
        </w:rPr>
        <w:t>40km</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1"/>
        </w:rPr>
        <w:t>处，行政区划隶属于苏尼特右旗桑宝力嘎苏木，根据《全国生态功能区划》，</w:t>
      </w:r>
      <w:r>
        <w:rPr>
          <w:rFonts w:ascii="FangSong" w:hAnsi="FangSong" w:eastAsia="FangSong" w:cs="FangSong"/>
          <w:sz w:val="24"/>
          <w:szCs w:val="24"/>
          <w:spacing w:val="-6"/>
        </w:rPr>
        <w:t>项目所在区域属于</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6"/>
        </w:rPr>
        <w:t>I-04-03</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浑善达克沙地防风固沙重要区（见附图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5-4</w:t>
      </w:r>
      <w:r>
        <w:rPr>
          <w:rFonts w:ascii="FangSong" w:hAnsi="FangSong" w:eastAsia="FangSong" w:cs="FangSong"/>
          <w:sz w:val="24"/>
          <w:szCs w:val="24"/>
          <w:spacing w:val="-61"/>
          <w:w w:val="91"/>
        </w:rPr>
        <w:t>），</w:t>
      </w:r>
      <w:r>
        <w:rPr>
          <w:rFonts w:ascii="FangSong" w:hAnsi="FangSong" w:eastAsia="FangSong" w:cs="FangSong"/>
          <w:sz w:val="24"/>
          <w:szCs w:val="24"/>
          <w:spacing w:val="-6"/>
        </w:rPr>
        <w:t>根据《内</w:t>
      </w:r>
      <w:r>
        <w:rPr>
          <w:rFonts w:ascii="FangSong" w:hAnsi="FangSong" w:eastAsia="FangSong" w:cs="FangSong"/>
          <w:sz w:val="24"/>
          <w:szCs w:val="24"/>
          <w:spacing w:val="-3"/>
        </w:rPr>
        <w:t>蒙古自治区主体功能区规划》，项目所在区域属于限制开发区域（国家级重点生</w:t>
      </w:r>
      <w:r>
        <w:rPr>
          <w:rFonts w:ascii="FangSong" w:hAnsi="FangSong" w:eastAsia="FangSong" w:cs="FangSong"/>
          <w:sz w:val="24"/>
          <w:szCs w:val="24"/>
          <w:spacing w:val="-3"/>
        </w:rPr>
        <w:t>态功能区）</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浑善达克沙漠化防治生态功能区（见附图</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3"/>
        </w:rPr>
        <w:t>1-1</w:t>
      </w:r>
      <w:r>
        <w:rPr>
          <w:rFonts w:ascii="FangSong" w:hAnsi="FangSong" w:eastAsia="FangSong" w:cs="FangSong"/>
          <w:sz w:val="24"/>
          <w:szCs w:val="24"/>
          <w:spacing w:val="-3"/>
        </w:rPr>
        <w:t>）。根据《内蒙古生态</w:t>
      </w:r>
      <w:r>
        <w:rPr>
          <w:rFonts w:ascii="FangSong" w:hAnsi="FangSong" w:eastAsia="FangSong" w:cs="FangSong"/>
          <w:sz w:val="24"/>
          <w:szCs w:val="24"/>
          <w:spacing w:val="1"/>
        </w:rPr>
        <w:t>功能区划》，项目所在区域属于</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rPr>
        <w:t>IV</w:t>
      </w:r>
      <w:r>
        <w:rPr>
          <w:rFonts w:ascii="Times New Roman" w:hAnsi="Times New Roman" w:eastAsia="Times New Roman" w:cs="Times New Roman"/>
          <w:sz w:val="24"/>
          <w:szCs w:val="24"/>
          <w:spacing w:val="1"/>
        </w:rPr>
        <w:t>-1-2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苏尼特、二连荒漠草原防风固沙生态功</w:t>
      </w:r>
      <w:r>
        <w:rPr>
          <w:rFonts w:ascii="FangSong" w:hAnsi="FangSong" w:eastAsia="FangSong" w:cs="FangSong"/>
          <w:sz w:val="24"/>
          <w:szCs w:val="24"/>
          <w:spacing w:val="1"/>
        </w:rPr>
        <w:t>能区（见附图</w:t>
      </w:r>
      <w:r>
        <w:rPr>
          <w:rFonts w:ascii="Times New Roman" w:hAnsi="Times New Roman" w:eastAsia="Times New Roman" w:cs="Times New Roman"/>
          <w:sz w:val="24"/>
          <w:szCs w:val="24"/>
          <w:spacing w:val="1"/>
        </w:rPr>
        <w:t>2-1</w:t>
      </w:r>
      <w:r>
        <w:rPr>
          <w:rFonts w:ascii="FangSong" w:hAnsi="FangSong" w:eastAsia="FangSong" w:cs="FangSong"/>
          <w:sz w:val="24"/>
          <w:szCs w:val="24"/>
          <w:spacing w:val="12"/>
        </w:rPr>
        <w:t>），</w:t>
      </w:r>
      <w:r>
        <w:rPr>
          <w:rFonts w:ascii="FangSong" w:hAnsi="FangSong" w:eastAsia="FangSong" w:cs="FangSong"/>
          <w:sz w:val="24"/>
          <w:szCs w:val="24"/>
          <w:spacing w:val="1"/>
        </w:rPr>
        <w:t>经过现场踏勘，评价范围内无国家级和地方重点保护野生</w:t>
      </w:r>
      <w:r>
        <w:rPr>
          <w:rFonts w:ascii="FangSong" w:hAnsi="FangSong" w:eastAsia="FangSong" w:cs="FangSong"/>
          <w:sz w:val="24"/>
          <w:szCs w:val="24"/>
          <w:spacing w:val="-3"/>
        </w:rPr>
        <w:t>动植物集中分布区或栖息地、国家级和自治区级自然保护区、生态功能保护区以</w:t>
      </w:r>
      <w:r>
        <w:rPr>
          <w:rFonts w:ascii="FangSong" w:hAnsi="FangSong" w:eastAsia="FangSong" w:cs="FangSong"/>
          <w:sz w:val="24"/>
          <w:szCs w:val="24"/>
          <w:spacing w:val="-1"/>
        </w:rPr>
        <w:t>及其它类型的保护区域。</w:t>
      </w:r>
    </w:p>
    <w:p>
      <w:pPr>
        <w:ind w:left="116"/>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5.6.4.2</w:t>
      </w:r>
      <w:r>
        <w:rPr>
          <w:rFonts w:ascii="Times New Roman" w:hAnsi="Times New Roman" w:eastAsia="Times New Roman" w:cs="Times New Roman"/>
          <w:sz w:val="24"/>
          <w:szCs w:val="24"/>
          <w:b/>
          <w:bCs/>
          <w:spacing w:val="18"/>
          <w:w w:val="101"/>
        </w:rPr>
        <w:t xml:space="preserve">  </w:t>
      </w:r>
      <w:r>
        <w:rPr>
          <w:rFonts w:ascii="FangSong" w:hAnsi="FangSong" w:eastAsia="FangSong" w:cs="FangSong"/>
          <w:sz w:val="24"/>
          <w:szCs w:val="24"/>
          <w:b/>
          <w:bCs/>
          <w:spacing w:val="-4"/>
        </w:rPr>
        <w:t>生态系统类型调差</w:t>
      </w:r>
    </w:p>
    <w:p>
      <w:pPr>
        <w:ind w:left="119" w:right="107" w:firstLine="484"/>
        <w:spacing w:before="179" w:line="352" w:lineRule="auto"/>
        <w:jc w:val="both"/>
        <w:rPr>
          <w:rFonts w:ascii="FangSong" w:hAnsi="FangSong" w:eastAsia="FangSong" w:cs="FangSong"/>
          <w:sz w:val="24"/>
          <w:szCs w:val="24"/>
        </w:rPr>
      </w:pPr>
      <w:r>
        <w:rPr>
          <w:rFonts w:ascii="FangSong" w:hAnsi="FangSong" w:eastAsia="FangSong" w:cs="FangSong"/>
          <w:sz w:val="24"/>
          <w:szCs w:val="24"/>
          <w:spacing w:val="4"/>
        </w:rPr>
        <w:t>调查范围内生态系统类型主要为草原生态系统，具体生态系统分布见附图</w:t>
      </w:r>
      <w:r>
        <w:rPr>
          <w:rFonts w:ascii="Times New Roman" w:hAnsi="Times New Roman" w:eastAsia="Times New Roman" w:cs="Times New Roman"/>
          <w:sz w:val="24"/>
          <w:szCs w:val="24"/>
          <w:spacing w:val="-3"/>
        </w:rPr>
        <w:t>5-5</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，永久占地范围内生态系统类型面积遥感统计见表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5.6-1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、矿界范围内生态系</w:t>
      </w:r>
      <w:r>
        <w:rPr>
          <w:rFonts w:ascii="FangSong" w:hAnsi="FangSong" w:eastAsia="FangSong" w:cs="FangSong"/>
          <w:sz w:val="24"/>
          <w:szCs w:val="24"/>
          <w:spacing w:val="6"/>
        </w:rPr>
        <w:t>统类型面积遥感统计见表</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6"/>
        </w:rPr>
        <w:t>5.6-2</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6"/>
        </w:rPr>
        <w:t>、调查范围内生态系统类型面积遥感统计见表</w:t>
      </w:r>
      <w:r>
        <w:rPr>
          <w:rFonts w:ascii="Times New Roman" w:hAnsi="Times New Roman" w:eastAsia="Times New Roman" w:cs="Times New Roman"/>
          <w:sz w:val="24"/>
          <w:szCs w:val="24"/>
          <w:spacing w:val="-3"/>
        </w:rPr>
        <w:t>5.6-3</w:t>
      </w:r>
      <w:r>
        <w:rPr>
          <w:rFonts w:ascii="FangSong" w:hAnsi="FangSong" w:eastAsia="FangSong" w:cs="FangSong"/>
          <w:sz w:val="24"/>
          <w:szCs w:val="24"/>
          <w:spacing w:val="-3"/>
        </w:rPr>
        <w:t>。</w:t>
      </w:r>
    </w:p>
    <w:p>
      <w:pPr>
        <w:ind w:left="927"/>
        <w:spacing w:before="41"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5.6-1  </w:t>
      </w:r>
      <w:r>
        <w:rPr>
          <w:rFonts w:ascii="FangSong" w:hAnsi="FangSong" w:eastAsia="FangSong" w:cs="FangSong"/>
          <w:sz w:val="24"/>
          <w:szCs w:val="24"/>
          <w:b/>
          <w:bCs/>
          <w:spacing w:val="-2"/>
        </w:rPr>
        <w:t>本项目永久占地范围内生态系统类型面积</w:t>
      </w:r>
      <w:r>
        <w:rPr>
          <w:rFonts w:ascii="FangSong" w:hAnsi="FangSong" w:eastAsia="FangSong" w:cs="FangSong"/>
          <w:sz w:val="24"/>
          <w:szCs w:val="24"/>
          <w:b/>
          <w:bCs/>
          <w:spacing w:val="-3"/>
        </w:rPr>
        <w:t>遥感统计见表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17" w:hRule="atLeast"/>
        </w:trPr>
        <w:tc>
          <w:tcPr>
            <w:tcW w:w="1625" w:type="dxa"/>
            <w:vAlign w:val="top"/>
            <w:tcBorders>
              <w:left w:val="nil"/>
              <w:top w:val="single" w:color="000000" w:sz="10" w:space="0"/>
            </w:tcBorders>
          </w:tcPr>
          <w:p>
            <w:pPr>
              <w:pStyle w:val="TableText"/>
              <w:ind w:left="616"/>
              <w:spacing w:before="55" w:line="231" w:lineRule="auto"/>
              <w:rPr/>
            </w:pPr>
            <w:r>
              <w:rPr>
                <w:spacing w:val="2"/>
              </w:rPr>
              <w:t>序号</w:t>
            </w:r>
          </w:p>
        </w:tc>
        <w:tc>
          <w:tcPr>
            <w:tcW w:w="2635" w:type="dxa"/>
            <w:vAlign w:val="top"/>
            <w:tcBorders>
              <w:top w:val="single" w:color="000000" w:sz="10" w:space="0"/>
            </w:tcBorders>
          </w:tcPr>
          <w:p>
            <w:pPr>
              <w:pStyle w:val="TableText"/>
              <w:ind w:left="699"/>
              <w:spacing w:before="55" w:line="231" w:lineRule="auto"/>
              <w:rPr/>
            </w:pPr>
            <w:r>
              <w:rPr>
                <w:spacing w:val="6"/>
              </w:rPr>
              <w:t>土地利用类型</w:t>
            </w:r>
          </w:p>
        </w:tc>
        <w:tc>
          <w:tcPr>
            <w:tcW w:w="2131"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2" w:lineRule="auto"/>
              <w:rPr/>
            </w:pPr>
            <w:r>
              <w:rPr/>
              <w:t>比例（</w:t>
            </w:r>
            <w:r>
              <w:rPr>
                <w:rFonts w:ascii="Times New Roman" w:hAnsi="Times New Roman" w:eastAsia="Times New Roman" w:cs="Times New Roman"/>
              </w:rPr>
              <w:t>%</w:t>
            </w:r>
            <w:r>
              <w:rPr/>
              <w:t>）</w:t>
            </w:r>
          </w:p>
        </w:tc>
      </w:tr>
      <w:tr>
        <w:trPr>
          <w:trHeight w:val="313" w:hRule="atLeast"/>
        </w:trPr>
        <w:tc>
          <w:tcPr>
            <w:tcW w:w="1625" w:type="dxa"/>
            <w:vAlign w:val="top"/>
            <w:tcBorders>
              <w:left w:val="nil"/>
            </w:tcBorders>
          </w:tcPr>
          <w:p>
            <w:pPr>
              <w:ind w:left="78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700"/>
              <w:spacing w:before="54" w:line="229" w:lineRule="auto"/>
              <w:rPr/>
            </w:pPr>
            <w:r>
              <w:rPr>
                <w:spacing w:val="6"/>
              </w:rPr>
              <w:t>沙地生态系统</w:t>
            </w:r>
          </w:p>
        </w:tc>
        <w:tc>
          <w:tcPr>
            <w:tcW w:w="2131" w:type="dxa"/>
            <w:vAlign w:val="top"/>
          </w:tcPr>
          <w:p>
            <w:pPr>
              <w:ind w:left="78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0.4760</w:t>
            </w:r>
          </w:p>
        </w:tc>
        <w:tc>
          <w:tcPr>
            <w:tcW w:w="2131" w:type="dxa"/>
            <w:vAlign w:val="top"/>
            <w:tcBorders>
              <w:right w:val="nil"/>
            </w:tcBorders>
          </w:tcPr>
          <w:p>
            <w:pPr>
              <w:ind w:left="88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6.59</w:t>
            </w:r>
          </w:p>
        </w:tc>
      </w:tr>
      <w:tr>
        <w:trPr>
          <w:trHeight w:val="313" w:hRule="atLeast"/>
        </w:trPr>
        <w:tc>
          <w:tcPr>
            <w:tcW w:w="1625" w:type="dxa"/>
            <w:vAlign w:val="top"/>
            <w:tcBorders>
              <w:left w:val="nil"/>
            </w:tcBorders>
          </w:tcPr>
          <w:p>
            <w:pPr>
              <w:ind w:left="76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700"/>
              <w:spacing w:before="61" w:line="223" w:lineRule="auto"/>
              <w:rPr/>
            </w:pPr>
            <w:r>
              <w:rPr>
                <w:spacing w:val="6"/>
              </w:rPr>
              <w:t>草原生态系统</w:t>
            </w:r>
          </w:p>
        </w:tc>
        <w:tc>
          <w:tcPr>
            <w:tcW w:w="2131" w:type="dxa"/>
            <w:vAlign w:val="top"/>
          </w:tcPr>
          <w:p>
            <w:pPr>
              <w:ind w:left="782"/>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5.6656</w:t>
            </w:r>
          </w:p>
        </w:tc>
        <w:tc>
          <w:tcPr>
            <w:tcW w:w="2131" w:type="dxa"/>
            <w:vAlign w:val="top"/>
            <w:tcBorders>
              <w:right w:val="nil"/>
            </w:tcBorders>
          </w:tcPr>
          <w:p>
            <w:pPr>
              <w:ind w:left="83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78.47</w:t>
            </w:r>
          </w:p>
        </w:tc>
      </w:tr>
      <w:tr>
        <w:trPr>
          <w:trHeight w:val="313" w:hRule="atLeast"/>
        </w:trPr>
        <w:tc>
          <w:tcPr>
            <w:tcW w:w="1625" w:type="dxa"/>
            <w:vAlign w:val="top"/>
            <w:tcBorders>
              <w:left w:val="nil"/>
            </w:tcBorders>
          </w:tcPr>
          <w:p>
            <w:pPr>
              <w:ind w:left="769"/>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490"/>
              <w:spacing w:before="64" w:line="220" w:lineRule="auto"/>
              <w:rPr/>
            </w:pPr>
            <w:r>
              <w:rPr>
                <w:spacing w:val="7"/>
              </w:rPr>
              <w:t>稀疏灌丛生态系统</w:t>
            </w:r>
          </w:p>
        </w:tc>
        <w:tc>
          <w:tcPr>
            <w:tcW w:w="2131" w:type="dxa"/>
            <w:vAlign w:val="top"/>
          </w:tcPr>
          <w:p>
            <w:pPr>
              <w:ind w:left="797"/>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1.0677</w:t>
            </w:r>
          </w:p>
        </w:tc>
        <w:tc>
          <w:tcPr>
            <w:tcW w:w="2131" w:type="dxa"/>
            <w:vAlign w:val="top"/>
            <w:tcBorders>
              <w:right w:val="nil"/>
            </w:tcBorders>
          </w:tcPr>
          <w:p>
            <w:pPr>
              <w:ind w:left="850"/>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14.77</w:t>
            </w:r>
          </w:p>
        </w:tc>
      </w:tr>
      <w:tr>
        <w:trPr>
          <w:trHeight w:val="313" w:hRule="atLeast"/>
        </w:trPr>
        <w:tc>
          <w:tcPr>
            <w:tcW w:w="1625" w:type="dxa"/>
            <w:vAlign w:val="top"/>
            <w:tcBorders>
              <w:left w:val="nil"/>
            </w:tcBorders>
          </w:tcPr>
          <w:p>
            <w:pPr>
              <w:ind w:left="76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35" w:type="dxa"/>
            <w:vAlign w:val="top"/>
          </w:tcPr>
          <w:p>
            <w:pPr>
              <w:pStyle w:val="TableText"/>
              <w:ind w:left="493"/>
              <w:spacing w:before="69" w:line="216" w:lineRule="auto"/>
              <w:rPr/>
            </w:pPr>
            <w:r>
              <w:rPr>
                <w:spacing w:val="7"/>
              </w:rPr>
              <w:t>工矿交通生态系统</w:t>
            </w:r>
          </w:p>
        </w:tc>
        <w:tc>
          <w:tcPr>
            <w:tcW w:w="2131" w:type="dxa"/>
            <w:vAlign w:val="top"/>
          </w:tcPr>
          <w:p>
            <w:pPr>
              <w:ind w:left="83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0.011</w:t>
            </w:r>
          </w:p>
        </w:tc>
        <w:tc>
          <w:tcPr>
            <w:tcW w:w="2131" w:type="dxa"/>
            <w:vAlign w:val="top"/>
            <w:tcBorders>
              <w:right w:val="nil"/>
            </w:tcBorders>
          </w:tcPr>
          <w:p>
            <w:pPr>
              <w:ind w:left="88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0.17</w:t>
            </w:r>
          </w:p>
        </w:tc>
      </w:tr>
      <w:tr>
        <w:trPr>
          <w:trHeight w:val="336" w:hRule="atLeast"/>
        </w:trPr>
        <w:tc>
          <w:tcPr>
            <w:tcW w:w="4260" w:type="dxa"/>
            <w:vAlign w:val="top"/>
            <w:gridSpan w:val="2"/>
            <w:tcBorders>
              <w:left w:val="nil"/>
              <w:bottom w:val="single" w:color="000000" w:sz="10" w:space="0"/>
            </w:tcBorders>
          </w:tcPr>
          <w:p>
            <w:pPr>
              <w:pStyle w:val="TableText"/>
              <w:ind w:left="1939"/>
              <w:spacing w:before="71" w:line="231" w:lineRule="auto"/>
              <w:rPr/>
            </w:pPr>
            <w:r>
              <w:rPr>
                <w:spacing w:val="-1"/>
              </w:rPr>
              <w:t>合计</w:t>
            </w:r>
          </w:p>
        </w:tc>
        <w:tc>
          <w:tcPr>
            <w:tcW w:w="2131" w:type="dxa"/>
            <w:vAlign w:val="top"/>
            <w:tcBorders>
              <w:bottom w:val="single" w:color="000000" w:sz="10" w:space="0"/>
            </w:tcBorders>
          </w:tcPr>
          <w:p>
            <w:pPr>
              <w:ind w:left="78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7.2203</w:t>
            </w:r>
          </w:p>
        </w:tc>
        <w:tc>
          <w:tcPr>
            <w:tcW w:w="2131" w:type="dxa"/>
            <w:vAlign w:val="top"/>
            <w:tcBorders>
              <w:right w:val="nil"/>
              <w:bottom w:val="single" w:color="000000" w:sz="10" w:space="0"/>
            </w:tcBorders>
          </w:tcPr>
          <w:p>
            <w:pPr>
              <w:ind w:left="79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rPr/>
      </w:pPr>
      <w:r/>
    </w:p>
    <w:p>
      <w:pPr>
        <w:sectPr>
          <w:footerReference w:type="default" r:id="rId258"/>
          <w:pgSz w:w="11906" w:h="16839"/>
          <w:pgMar w:top="400" w:right="1691" w:bottom="1358" w:left="1691" w:header="0" w:footer="1195" w:gutter="0"/>
        </w:sectPr>
        <w:rPr/>
      </w:pP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167"/>
        <w:spacing w:before="78" w:line="222" w:lineRule="auto"/>
        <w:rPr>
          <w:rFonts w:ascii="FangSong" w:hAnsi="FangSong" w:eastAsia="FangSong" w:cs="FangSong"/>
          <w:sz w:val="24"/>
          <w:szCs w:val="24"/>
        </w:rPr>
      </w:pPr>
      <w:bookmarkStart w:name="bookmark584" w:id="352"/>
      <w:bookmarkEnd w:id="352"/>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5.6-2  </w:t>
      </w:r>
      <w:r>
        <w:rPr>
          <w:rFonts w:ascii="FangSong" w:hAnsi="FangSong" w:eastAsia="FangSong" w:cs="FangSong"/>
          <w:sz w:val="24"/>
          <w:szCs w:val="24"/>
          <w:b/>
          <w:bCs/>
          <w:spacing w:val="-2"/>
        </w:rPr>
        <w:t>本项目矿界范围内生态系统类型面积遥</w:t>
      </w:r>
      <w:r>
        <w:rPr>
          <w:rFonts w:ascii="FangSong" w:hAnsi="FangSong" w:eastAsia="FangSong" w:cs="FangSong"/>
          <w:sz w:val="24"/>
          <w:szCs w:val="24"/>
          <w:b/>
          <w:bCs/>
          <w:spacing w:val="-3"/>
        </w:rPr>
        <w:t>感统计见表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19" w:hRule="atLeast"/>
        </w:trPr>
        <w:tc>
          <w:tcPr>
            <w:tcW w:w="1625" w:type="dxa"/>
            <w:vAlign w:val="top"/>
            <w:tcBorders>
              <w:left w:val="nil"/>
              <w:top w:val="single" w:color="000000" w:sz="10" w:space="0"/>
            </w:tcBorders>
          </w:tcPr>
          <w:p>
            <w:pPr>
              <w:pStyle w:val="TableText"/>
              <w:ind w:left="616"/>
              <w:spacing w:before="55" w:line="231" w:lineRule="auto"/>
              <w:rPr/>
            </w:pPr>
            <w:r>
              <w:rPr>
                <w:spacing w:val="2"/>
              </w:rPr>
              <w:t>序号</w:t>
            </w:r>
          </w:p>
        </w:tc>
        <w:tc>
          <w:tcPr>
            <w:tcW w:w="2635" w:type="dxa"/>
            <w:vAlign w:val="top"/>
            <w:tcBorders>
              <w:top w:val="single" w:color="000000" w:sz="10" w:space="0"/>
            </w:tcBorders>
          </w:tcPr>
          <w:p>
            <w:pPr>
              <w:pStyle w:val="TableText"/>
              <w:ind w:left="699"/>
              <w:spacing w:before="55" w:line="231" w:lineRule="auto"/>
              <w:rPr/>
            </w:pPr>
            <w:r>
              <w:rPr>
                <w:spacing w:val="6"/>
              </w:rPr>
              <w:t>土地利用类型</w:t>
            </w:r>
          </w:p>
        </w:tc>
        <w:tc>
          <w:tcPr>
            <w:tcW w:w="2131"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2" w:lineRule="auto"/>
              <w:rPr/>
            </w:pPr>
            <w:r>
              <w:rPr/>
              <w:t>比例（</w:t>
            </w:r>
            <w:r>
              <w:rPr>
                <w:rFonts w:ascii="Times New Roman" w:hAnsi="Times New Roman" w:eastAsia="Times New Roman" w:cs="Times New Roman"/>
              </w:rPr>
              <w:t>%</w:t>
            </w:r>
            <w:r>
              <w:rPr/>
              <w:t>）</w:t>
            </w:r>
          </w:p>
        </w:tc>
      </w:tr>
      <w:tr>
        <w:trPr>
          <w:trHeight w:val="314" w:hRule="atLeast"/>
        </w:trPr>
        <w:tc>
          <w:tcPr>
            <w:tcW w:w="1625" w:type="dxa"/>
            <w:vAlign w:val="top"/>
            <w:tcBorders>
              <w:left w:val="nil"/>
            </w:tcBorders>
          </w:tcPr>
          <w:p>
            <w:pPr>
              <w:ind w:left="78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490"/>
              <w:spacing w:before="53" w:line="229" w:lineRule="auto"/>
              <w:rPr/>
            </w:pPr>
            <w:r>
              <w:rPr>
                <w:spacing w:val="7"/>
              </w:rPr>
              <w:t>稀疏灌丛生态系统</w:t>
            </w:r>
          </w:p>
        </w:tc>
        <w:tc>
          <w:tcPr>
            <w:tcW w:w="2131" w:type="dxa"/>
            <w:vAlign w:val="top"/>
          </w:tcPr>
          <w:p>
            <w:pPr>
              <w:ind w:left="834"/>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68.78</w:t>
            </w:r>
          </w:p>
        </w:tc>
        <w:tc>
          <w:tcPr>
            <w:tcW w:w="2131" w:type="dxa"/>
            <w:vAlign w:val="top"/>
            <w:tcBorders>
              <w:right w:val="nil"/>
            </w:tcBorders>
          </w:tcPr>
          <w:p>
            <w:pPr>
              <w:ind w:left="887"/>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6.15</w:t>
            </w:r>
          </w:p>
        </w:tc>
      </w:tr>
      <w:tr>
        <w:trPr>
          <w:trHeight w:val="314" w:hRule="atLeast"/>
        </w:trPr>
        <w:tc>
          <w:tcPr>
            <w:tcW w:w="1625" w:type="dxa"/>
            <w:vAlign w:val="top"/>
            <w:tcBorders>
              <w:left w:val="nil"/>
            </w:tcBorders>
          </w:tcPr>
          <w:p>
            <w:pPr>
              <w:ind w:left="76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700"/>
              <w:spacing w:before="58" w:line="227" w:lineRule="auto"/>
              <w:rPr/>
            </w:pPr>
            <w:r>
              <w:rPr>
                <w:spacing w:val="6"/>
              </w:rPr>
              <w:t>草原生态系统</w:t>
            </w:r>
          </w:p>
        </w:tc>
        <w:tc>
          <w:tcPr>
            <w:tcW w:w="2131" w:type="dxa"/>
            <w:vAlign w:val="top"/>
          </w:tcPr>
          <w:p>
            <w:pPr>
              <w:ind w:left="78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813.60</w:t>
            </w:r>
          </w:p>
        </w:tc>
        <w:tc>
          <w:tcPr>
            <w:tcW w:w="2131" w:type="dxa"/>
            <w:vAlign w:val="top"/>
            <w:tcBorders>
              <w:right w:val="nil"/>
            </w:tcBorders>
          </w:tcPr>
          <w:p>
            <w:pPr>
              <w:ind w:left="833"/>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72.79</w:t>
            </w:r>
          </w:p>
        </w:tc>
      </w:tr>
      <w:tr>
        <w:trPr>
          <w:trHeight w:val="314" w:hRule="atLeast"/>
        </w:trPr>
        <w:tc>
          <w:tcPr>
            <w:tcW w:w="1625" w:type="dxa"/>
            <w:vAlign w:val="top"/>
            <w:tcBorders>
              <w:left w:val="nil"/>
            </w:tcBorders>
          </w:tcPr>
          <w:p>
            <w:pPr>
              <w:ind w:left="769"/>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700"/>
              <w:spacing w:before="61" w:line="224" w:lineRule="auto"/>
              <w:rPr/>
            </w:pPr>
            <w:r>
              <w:rPr>
                <w:spacing w:val="6"/>
              </w:rPr>
              <w:t>沙地生态系统</w:t>
            </w:r>
          </w:p>
        </w:tc>
        <w:tc>
          <w:tcPr>
            <w:tcW w:w="2131" w:type="dxa"/>
            <w:vAlign w:val="top"/>
          </w:tcPr>
          <w:p>
            <w:pPr>
              <w:ind w:left="79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192.42</w:t>
            </w:r>
          </w:p>
        </w:tc>
        <w:tc>
          <w:tcPr>
            <w:tcW w:w="2131" w:type="dxa"/>
            <w:vAlign w:val="top"/>
            <w:tcBorders>
              <w:right w:val="nil"/>
            </w:tcBorders>
          </w:tcPr>
          <w:p>
            <w:pPr>
              <w:ind w:left="850"/>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17.21</w:t>
            </w:r>
          </w:p>
        </w:tc>
      </w:tr>
      <w:tr>
        <w:trPr>
          <w:trHeight w:val="315" w:hRule="atLeast"/>
        </w:trPr>
        <w:tc>
          <w:tcPr>
            <w:tcW w:w="1625" w:type="dxa"/>
            <w:vAlign w:val="top"/>
            <w:tcBorders>
              <w:left w:val="nil"/>
            </w:tcBorders>
          </w:tcPr>
          <w:p>
            <w:pPr>
              <w:ind w:left="76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35" w:type="dxa"/>
            <w:vAlign w:val="top"/>
          </w:tcPr>
          <w:p>
            <w:pPr>
              <w:pStyle w:val="TableText"/>
              <w:ind w:left="697"/>
              <w:spacing w:before="63" w:line="223" w:lineRule="auto"/>
              <w:rPr/>
            </w:pPr>
            <w:r>
              <w:rPr>
                <w:spacing w:val="7"/>
              </w:rPr>
              <w:t>耕地生态系统</w:t>
            </w:r>
          </w:p>
        </w:tc>
        <w:tc>
          <w:tcPr>
            <w:tcW w:w="2131" w:type="dxa"/>
            <w:vAlign w:val="top"/>
          </w:tcPr>
          <w:p>
            <w:pPr>
              <w:ind w:left="82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23.90</w:t>
            </w:r>
          </w:p>
        </w:tc>
        <w:tc>
          <w:tcPr>
            <w:tcW w:w="2131" w:type="dxa"/>
            <w:vAlign w:val="top"/>
            <w:tcBorders>
              <w:right w:val="nil"/>
            </w:tcBorders>
          </w:tcPr>
          <w:p>
            <w:pPr>
              <w:ind w:left="88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14</w:t>
            </w:r>
          </w:p>
        </w:tc>
      </w:tr>
      <w:tr>
        <w:trPr>
          <w:trHeight w:val="314" w:hRule="atLeast"/>
        </w:trPr>
        <w:tc>
          <w:tcPr>
            <w:tcW w:w="1625" w:type="dxa"/>
            <w:vAlign w:val="top"/>
            <w:tcBorders>
              <w:left w:val="nil"/>
            </w:tcBorders>
          </w:tcPr>
          <w:p>
            <w:pPr>
              <w:ind w:left="770"/>
              <w:spacing w:before="10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35" w:type="dxa"/>
            <w:vAlign w:val="top"/>
          </w:tcPr>
          <w:p>
            <w:pPr>
              <w:pStyle w:val="TableText"/>
              <w:ind w:left="594"/>
              <w:spacing w:before="64" w:line="221" w:lineRule="auto"/>
              <w:rPr/>
            </w:pPr>
            <w:r>
              <w:rPr>
                <w:spacing w:val="7"/>
              </w:rPr>
              <w:t>居住地生态系统</w:t>
            </w:r>
          </w:p>
        </w:tc>
        <w:tc>
          <w:tcPr>
            <w:tcW w:w="2131" w:type="dxa"/>
            <w:vAlign w:val="top"/>
          </w:tcPr>
          <w:p>
            <w:pPr>
              <w:ind w:left="88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0.46</w:t>
            </w:r>
          </w:p>
        </w:tc>
        <w:tc>
          <w:tcPr>
            <w:tcW w:w="2131" w:type="dxa"/>
            <w:vAlign w:val="top"/>
            <w:tcBorders>
              <w:right w:val="nil"/>
            </w:tcBorders>
          </w:tcPr>
          <w:p>
            <w:pPr>
              <w:ind w:left="88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r>
      <w:tr>
        <w:trPr>
          <w:trHeight w:val="314" w:hRule="atLeast"/>
        </w:trPr>
        <w:tc>
          <w:tcPr>
            <w:tcW w:w="1625" w:type="dxa"/>
            <w:vAlign w:val="top"/>
            <w:tcBorders>
              <w:left w:val="nil"/>
            </w:tcBorders>
          </w:tcPr>
          <w:p>
            <w:pPr>
              <w:ind w:left="76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35" w:type="dxa"/>
            <w:vAlign w:val="top"/>
          </w:tcPr>
          <w:p>
            <w:pPr>
              <w:pStyle w:val="TableText"/>
              <w:ind w:left="493"/>
              <w:spacing w:before="67" w:line="218" w:lineRule="auto"/>
              <w:rPr/>
            </w:pPr>
            <w:r>
              <w:rPr>
                <w:spacing w:val="7"/>
              </w:rPr>
              <w:t>工矿交通生态系统</w:t>
            </w:r>
          </w:p>
        </w:tc>
        <w:tc>
          <w:tcPr>
            <w:tcW w:w="2131" w:type="dxa"/>
            <w:vAlign w:val="top"/>
          </w:tcPr>
          <w:p>
            <w:pPr>
              <w:ind w:left="88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5.32</w:t>
            </w:r>
          </w:p>
        </w:tc>
        <w:tc>
          <w:tcPr>
            <w:tcW w:w="2131" w:type="dxa"/>
            <w:vAlign w:val="top"/>
            <w:tcBorders>
              <w:right w:val="nil"/>
            </w:tcBorders>
          </w:tcPr>
          <w:p>
            <w:pPr>
              <w:ind w:left="88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0.48</w:t>
            </w:r>
          </w:p>
        </w:tc>
      </w:tr>
      <w:tr>
        <w:trPr>
          <w:trHeight w:val="314" w:hRule="atLeast"/>
        </w:trPr>
        <w:tc>
          <w:tcPr>
            <w:tcW w:w="1625" w:type="dxa"/>
            <w:vAlign w:val="top"/>
            <w:tcBorders>
              <w:left w:val="nil"/>
            </w:tcBorders>
          </w:tcPr>
          <w:p>
            <w:pPr>
              <w:ind w:left="768"/>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35" w:type="dxa"/>
            <w:vAlign w:val="top"/>
          </w:tcPr>
          <w:p>
            <w:pPr>
              <w:pStyle w:val="TableText"/>
              <w:ind w:left="702"/>
              <w:spacing w:before="70" w:line="216" w:lineRule="auto"/>
              <w:rPr/>
            </w:pPr>
            <w:r>
              <w:rPr>
                <w:spacing w:val="6"/>
              </w:rPr>
              <w:t>湖泊生态系统</w:t>
            </w:r>
          </w:p>
        </w:tc>
        <w:tc>
          <w:tcPr>
            <w:tcW w:w="2131" w:type="dxa"/>
            <w:vAlign w:val="top"/>
          </w:tcPr>
          <w:p>
            <w:pPr>
              <w:ind w:left="84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13.28</w:t>
            </w:r>
          </w:p>
        </w:tc>
        <w:tc>
          <w:tcPr>
            <w:tcW w:w="2131" w:type="dxa"/>
            <w:vAlign w:val="top"/>
            <w:tcBorders>
              <w:right w:val="nil"/>
            </w:tcBorders>
          </w:tcPr>
          <w:p>
            <w:pPr>
              <w:ind w:left="90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1.19</w:t>
            </w:r>
          </w:p>
        </w:tc>
      </w:tr>
      <w:tr>
        <w:trPr>
          <w:trHeight w:val="338" w:hRule="atLeast"/>
        </w:trPr>
        <w:tc>
          <w:tcPr>
            <w:tcW w:w="4260" w:type="dxa"/>
            <w:vAlign w:val="top"/>
            <w:gridSpan w:val="2"/>
            <w:tcBorders>
              <w:left w:val="nil"/>
              <w:bottom w:val="single" w:color="000000" w:sz="10" w:space="0"/>
            </w:tcBorders>
          </w:tcPr>
          <w:p>
            <w:pPr>
              <w:pStyle w:val="TableText"/>
              <w:ind w:left="1939"/>
              <w:spacing w:before="75" w:line="231" w:lineRule="auto"/>
              <w:rPr/>
            </w:pPr>
            <w:r>
              <w:rPr>
                <w:spacing w:val="-1"/>
              </w:rPr>
              <w:t>合计</w:t>
            </w:r>
          </w:p>
        </w:tc>
        <w:tc>
          <w:tcPr>
            <w:tcW w:w="2131" w:type="dxa"/>
            <w:vAlign w:val="top"/>
            <w:tcBorders>
              <w:bottom w:val="single" w:color="000000" w:sz="10" w:space="0"/>
            </w:tcBorders>
          </w:tcPr>
          <w:p>
            <w:pPr>
              <w:ind w:left="75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1117.76</w:t>
            </w:r>
          </w:p>
        </w:tc>
        <w:tc>
          <w:tcPr>
            <w:tcW w:w="2131" w:type="dxa"/>
            <w:vAlign w:val="top"/>
            <w:tcBorders>
              <w:right w:val="nil"/>
              <w:bottom w:val="single" w:color="000000" w:sz="10" w:space="0"/>
            </w:tcBorders>
          </w:tcPr>
          <w:p>
            <w:pPr>
              <w:ind w:left="797"/>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2" w:lineRule="auto"/>
        <w:rPr/>
      </w:pPr>
      <w:r/>
    </w:p>
    <w:p>
      <w:pPr>
        <w:pStyle w:val="BodyText"/>
        <w:spacing w:line="252" w:lineRule="auto"/>
        <w:rPr/>
      </w:pPr>
      <w:r/>
    </w:p>
    <w:p>
      <w:pPr>
        <w:ind w:left="1167"/>
        <w:spacing w:before="78"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5.6-3  </w:t>
      </w:r>
      <w:r>
        <w:rPr>
          <w:rFonts w:ascii="FangSong" w:hAnsi="FangSong" w:eastAsia="FangSong" w:cs="FangSong"/>
          <w:sz w:val="24"/>
          <w:szCs w:val="24"/>
          <w:b/>
          <w:bCs/>
          <w:spacing w:val="-2"/>
        </w:rPr>
        <w:t>本项目调查范围内生态系统类型面积遥</w:t>
      </w:r>
      <w:r>
        <w:rPr>
          <w:rFonts w:ascii="FangSong" w:hAnsi="FangSong" w:eastAsia="FangSong" w:cs="FangSong"/>
          <w:sz w:val="24"/>
          <w:szCs w:val="24"/>
          <w:b/>
          <w:bCs/>
          <w:spacing w:val="-3"/>
        </w:rPr>
        <w:t>感统计见表</w:t>
      </w:r>
    </w:p>
    <w:p>
      <w:pPr>
        <w:spacing w:line="63"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7"/>
        <w:gridCol w:w="2643"/>
        <w:gridCol w:w="2130"/>
        <w:gridCol w:w="2131"/>
      </w:tblGrid>
      <w:tr>
        <w:trPr>
          <w:trHeight w:val="319" w:hRule="atLeast"/>
        </w:trPr>
        <w:tc>
          <w:tcPr>
            <w:tcW w:w="1617" w:type="dxa"/>
            <w:vAlign w:val="top"/>
            <w:tcBorders>
              <w:left w:val="nil"/>
              <w:top w:val="single" w:color="000000" w:sz="10" w:space="0"/>
            </w:tcBorders>
          </w:tcPr>
          <w:p>
            <w:pPr>
              <w:pStyle w:val="TableText"/>
              <w:ind w:left="611"/>
              <w:spacing w:before="57" w:line="231" w:lineRule="auto"/>
              <w:rPr/>
            </w:pPr>
            <w:r>
              <w:rPr>
                <w:spacing w:val="2"/>
              </w:rPr>
              <w:t>序号</w:t>
            </w:r>
          </w:p>
        </w:tc>
        <w:tc>
          <w:tcPr>
            <w:tcW w:w="2643" w:type="dxa"/>
            <w:vAlign w:val="top"/>
            <w:tcBorders>
              <w:top w:val="single" w:color="000000" w:sz="10" w:space="0"/>
            </w:tcBorders>
          </w:tcPr>
          <w:p>
            <w:pPr>
              <w:pStyle w:val="TableText"/>
              <w:ind w:left="705"/>
              <w:spacing w:before="57" w:line="231" w:lineRule="auto"/>
              <w:rPr/>
            </w:pPr>
            <w:r>
              <w:rPr>
                <w:spacing w:val="6"/>
              </w:rPr>
              <w:t>土地利用类型</w:t>
            </w:r>
          </w:p>
        </w:tc>
        <w:tc>
          <w:tcPr>
            <w:tcW w:w="2130" w:type="dxa"/>
            <w:vAlign w:val="top"/>
            <w:tcBorders>
              <w:top w:val="single" w:color="000000" w:sz="10" w:space="0"/>
            </w:tcBorders>
          </w:tcPr>
          <w:p>
            <w:pPr>
              <w:pStyle w:val="TableText"/>
              <w:ind w:left="493"/>
              <w:spacing w:before="56"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3"/>
              <w:spacing w:before="56" w:line="232" w:lineRule="auto"/>
              <w:rPr/>
            </w:pPr>
            <w:r>
              <w:rPr/>
              <w:t>比例（</w:t>
            </w:r>
            <w:r>
              <w:rPr>
                <w:rFonts w:ascii="Times New Roman" w:hAnsi="Times New Roman" w:eastAsia="Times New Roman" w:cs="Times New Roman"/>
              </w:rPr>
              <w:t>%</w:t>
            </w:r>
            <w:r>
              <w:rPr/>
              <w:t>）</w:t>
            </w:r>
          </w:p>
        </w:tc>
      </w:tr>
      <w:tr>
        <w:trPr>
          <w:trHeight w:val="314" w:hRule="atLeast"/>
        </w:trPr>
        <w:tc>
          <w:tcPr>
            <w:tcW w:w="1617" w:type="dxa"/>
            <w:vAlign w:val="top"/>
            <w:tcBorders>
              <w:left w:val="nil"/>
            </w:tcBorders>
          </w:tcPr>
          <w:p>
            <w:pPr>
              <w:ind w:left="780"/>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43" w:type="dxa"/>
            <w:vAlign w:val="top"/>
          </w:tcPr>
          <w:p>
            <w:pPr>
              <w:pStyle w:val="TableText"/>
              <w:ind w:left="493"/>
              <w:spacing w:before="55" w:line="229" w:lineRule="auto"/>
              <w:rPr/>
            </w:pPr>
            <w:r>
              <w:rPr>
                <w:spacing w:val="7"/>
              </w:rPr>
              <w:t>稀疏灌丛生态系统</w:t>
            </w:r>
          </w:p>
        </w:tc>
        <w:tc>
          <w:tcPr>
            <w:tcW w:w="2130" w:type="dxa"/>
            <w:vAlign w:val="top"/>
          </w:tcPr>
          <w:p>
            <w:pPr>
              <w:ind w:left="781"/>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367.06</w:t>
            </w:r>
          </w:p>
        </w:tc>
        <w:tc>
          <w:tcPr>
            <w:tcW w:w="2131" w:type="dxa"/>
            <w:vAlign w:val="top"/>
            <w:tcBorders>
              <w:right w:val="nil"/>
            </w:tcBorders>
          </w:tcPr>
          <w:p>
            <w:pPr>
              <w:ind w:left="88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w:t>
            </w:r>
          </w:p>
        </w:tc>
      </w:tr>
      <w:tr>
        <w:trPr>
          <w:trHeight w:val="314" w:hRule="atLeast"/>
        </w:trPr>
        <w:tc>
          <w:tcPr>
            <w:tcW w:w="1617" w:type="dxa"/>
            <w:vAlign w:val="top"/>
            <w:tcBorders>
              <w:left w:val="nil"/>
            </w:tcBorders>
          </w:tcPr>
          <w:p>
            <w:pPr>
              <w:ind w:left="76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43" w:type="dxa"/>
            <w:vAlign w:val="top"/>
          </w:tcPr>
          <w:p>
            <w:pPr>
              <w:pStyle w:val="TableText"/>
              <w:ind w:left="706"/>
              <w:spacing w:before="57" w:line="228" w:lineRule="auto"/>
              <w:rPr/>
            </w:pPr>
            <w:r>
              <w:rPr>
                <w:spacing w:val="6"/>
              </w:rPr>
              <w:t>草原生态系统</w:t>
            </w:r>
          </w:p>
        </w:tc>
        <w:tc>
          <w:tcPr>
            <w:tcW w:w="2130" w:type="dxa"/>
            <w:vAlign w:val="top"/>
          </w:tcPr>
          <w:p>
            <w:pPr>
              <w:ind w:left="73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3590.18</w:t>
            </w:r>
          </w:p>
        </w:tc>
        <w:tc>
          <w:tcPr>
            <w:tcW w:w="2131" w:type="dxa"/>
            <w:vAlign w:val="top"/>
            <w:tcBorders>
              <w:right w:val="nil"/>
            </w:tcBorders>
          </w:tcPr>
          <w:p>
            <w:pPr>
              <w:ind w:left="83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55.62</w:t>
            </w:r>
          </w:p>
        </w:tc>
      </w:tr>
      <w:tr>
        <w:trPr>
          <w:trHeight w:val="314" w:hRule="atLeast"/>
        </w:trPr>
        <w:tc>
          <w:tcPr>
            <w:tcW w:w="1617" w:type="dxa"/>
            <w:vAlign w:val="top"/>
            <w:tcBorders>
              <w:left w:val="nil"/>
            </w:tcBorders>
          </w:tcPr>
          <w:p>
            <w:pPr>
              <w:ind w:left="764"/>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43" w:type="dxa"/>
            <w:vAlign w:val="top"/>
          </w:tcPr>
          <w:p>
            <w:pPr>
              <w:pStyle w:val="TableText"/>
              <w:ind w:left="706"/>
              <w:spacing w:before="60" w:line="225" w:lineRule="auto"/>
              <w:rPr/>
            </w:pPr>
            <w:r>
              <w:rPr>
                <w:spacing w:val="6"/>
              </w:rPr>
              <w:t>沙地生态系统</w:t>
            </w:r>
          </w:p>
        </w:tc>
        <w:tc>
          <w:tcPr>
            <w:tcW w:w="2130" w:type="dxa"/>
            <w:vAlign w:val="top"/>
          </w:tcPr>
          <w:p>
            <w:pPr>
              <w:ind w:left="726"/>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2410.86</w:t>
            </w:r>
          </w:p>
        </w:tc>
        <w:tc>
          <w:tcPr>
            <w:tcW w:w="2131" w:type="dxa"/>
            <w:vAlign w:val="top"/>
            <w:tcBorders>
              <w:right w:val="nil"/>
            </w:tcBorders>
          </w:tcPr>
          <w:p>
            <w:pPr>
              <w:ind w:left="835"/>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37.35</w:t>
            </w:r>
          </w:p>
        </w:tc>
      </w:tr>
      <w:tr>
        <w:trPr>
          <w:trHeight w:val="314" w:hRule="atLeast"/>
        </w:trPr>
        <w:tc>
          <w:tcPr>
            <w:tcW w:w="1617" w:type="dxa"/>
            <w:vAlign w:val="top"/>
            <w:tcBorders>
              <w:left w:val="nil"/>
            </w:tcBorders>
          </w:tcPr>
          <w:p>
            <w:pPr>
              <w:ind w:left="759"/>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43" w:type="dxa"/>
            <w:vAlign w:val="top"/>
          </w:tcPr>
          <w:p>
            <w:pPr>
              <w:pStyle w:val="TableText"/>
              <w:ind w:left="703"/>
              <w:spacing w:before="62" w:line="223" w:lineRule="auto"/>
              <w:rPr/>
            </w:pPr>
            <w:r>
              <w:rPr>
                <w:spacing w:val="7"/>
              </w:rPr>
              <w:t>耕地生态系统</w:t>
            </w:r>
          </w:p>
        </w:tc>
        <w:tc>
          <w:tcPr>
            <w:tcW w:w="2130" w:type="dxa"/>
            <w:vAlign w:val="top"/>
          </w:tcPr>
          <w:p>
            <w:pPr>
              <w:ind w:left="834"/>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32.75</w:t>
            </w:r>
          </w:p>
        </w:tc>
        <w:tc>
          <w:tcPr>
            <w:tcW w:w="2131" w:type="dxa"/>
            <w:vAlign w:val="top"/>
            <w:tcBorders>
              <w:right w:val="nil"/>
            </w:tcBorders>
          </w:tcPr>
          <w:p>
            <w:pPr>
              <w:ind w:left="887"/>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r>
      <w:tr>
        <w:trPr>
          <w:trHeight w:val="314" w:hRule="atLeast"/>
        </w:trPr>
        <w:tc>
          <w:tcPr>
            <w:tcW w:w="1617" w:type="dxa"/>
            <w:vAlign w:val="top"/>
            <w:tcBorders>
              <w:left w:val="nil"/>
            </w:tcBorders>
          </w:tcPr>
          <w:p>
            <w:pPr>
              <w:ind w:left="766"/>
              <w:spacing w:before="10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43" w:type="dxa"/>
            <w:vAlign w:val="top"/>
          </w:tcPr>
          <w:p>
            <w:pPr>
              <w:pStyle w:val="TableText"/>
              <w:ind w:left="597"/>
              <w:spacing w:before="65" w:line="220" w:lineRule="auto"/>
              <w:rPr/>
            </w:pPr>
            <w:r>
              <w:rPr>
                <w:spacing w:val="7"/>
              </w:rPr>
              <w:t>居住地生态系统</w:t>
            </w:r>
          </w:p>
        </w:tc>
        <w:tc>
          <w:tcPr>
            <w:tcW w:w="2130" w:type="dxa"/>
            <w:vAlign w:val="top"/>
          </w:tcPr>
          <w:p>
            <w:pPr>
              <w:ind w:left="849"/>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10.27</w:t>
            </w:r>
          </w:p>
        </w:tc>
        <w:tc>
          <w:tcPr>
            <w:tcW w:w="2131" w:type="dxa"/>
            <w:vAlign w:val="top"/>
            <w:tcBorders>
              <w:right w:val="nil"/>
            </w:tcBorders>
          </w:tcPr>
          <w:p>
            <w:pPr>
              <w:ind w:left="887"/>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0.16</w:t>
            </w:r>
          </w:p>
        </w:tc>
      </w:tr>
      <w:tr>
        <w:trPr>
          <w:trHeight w:val="314" w:hRule="atLeast"/>
        </w:trPr>
        <w:tc>
          <w:tcPr>
            <w:tcW w:w="1617" w:type="dxa"/>
            <w:vAlign w:val="top"/>
            <w:tcBorders>
              <w:left w:val="nil"/>
            </w:tcBorders>
          </w:tcPr>
          <w:p>
            <w:pPr>
              <w:ind w:left="76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43" w:type="dxa"/>
            <w:vAlign w:val="top"/>
          </w:tcPr>
          <w:p>
            <w:pPr>
              <w:pStyle w:val="TableText"/>
              <w:ind w:left="496"/>
              <w:spacing w:before="70" w:line="216" w:lineRule="auto"/>
              <w:rPr/>
            </w:pPr>
            <w:r>
              <w:rPr>
                <w:spacing w:val="7"/>
              </w:rPr>
              <w:t>工矿交通生态系统</w:t>
            </w:r>
          </w:p>
        </w:tc>
        <w:tc>
          <w:tcPr>
            <w:tcW w:w="2130" w:type="dxa"/>
            <w:vAlign w:val="top"/>
          </w:tcPr>
          <w:p>
            <w:pPr>
              <w:ind w:left="83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30.73</w:t>
            </w:r>
          </w:p>
        </w:tc>
        <w:tc>
          <w:tcPr>
            <w:tcW w:w="2131" w:type="dxa"/>
            <w:vAlign w:val="top"/>
            <w:tcBorders>
              <w:right w:val="nil"/>
            </w:tcBorders>
          </w:tcPr>
          <w:p>
            <w:pPr>
              <w:ind w:left="88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0.48</w:t>
            </w:r>
          </w:p>
        </w:tc>
      </w:tr>
      <w:tr>
        <w:trPr>
          <w:trHeight w:val="315" w:hRule="atLeast"/>
        </w:trPr>
        <w:tc>
          <w:tcPr>
            <w:tcW w:w="1617" w:type="dxa"/>
            <w:vAlign w:val="top"/>
            <w:tcBorders>
              <w:left w:val="nil"/>
            </w:tcBorders>
          </w:tcPr>
          <w:p>
            <w:pPr>
              <w:ind w:left="763"/>
              <w:spacing w:before="11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43" w:type="dxa"/>
            <w:vAlign w:val="top"/>
          </w:tcPr>
          <w:p>
            <w:pPr>
              <w:pStyle w:val="TableText"/>
              <w:ind w:left="708"/>
              <w:spacing w:before="73" w:line="214" w:lineRule="auto"/>
              <w:rPr/>
            </w:pPr>
            <w:r>
              <w:rPr>
                <w:spacing w:val="6"/>
              </w:rPr>
              <w:t>湖泊生态系统</w:t>
            </w:r>
          </w:p>
        </w:tc>
        <w:tc>
          <w:tcPr>
            <w:tcW w:w="2130" w:type="dxa"/>
            <w:vAlign w:val="top"/>
          </w:tcPr>
          <w:p>
            <w:pPr>
              <w:ind w:left="84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13.28</w:t>
            </w:r>
          </w:p>
        </w:tc>
        <w:tc>
          <w:tcPr>
            <w:tcW w:w="2131" w:type="dxa"/>
            <w:vAlign w:val="top"/>
            <w:tcBorders>
              <w:right w:val="nil"/>
            </w:tcBorders>
          </w:tcPr>
          <w:p>
            <w:pPr>
              <w:ind w:left="887"/>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0.21</w:t>
            </w:r>
          </w:p>
        </w:tc>
      </w:tr>
      <w:tr>
        <w:trPr>
          <w:trHeight w:val="338" w:hRule="atLeast"/>
        </w:trPr>
        <w:tc>
          <w:tcPr>
            <w:tcW w:w="4260" w:type="dxa"/>
            <w:vAlign w:val="top"/>
            <w:gridSpan w:val="2"/>
            <w:tcBorders>
              <w:left w:val="nil"/>
              <w:bottom w:val="single" w:color="000000" w:sz="10" w:space="0"/>
            </w:tcBorders>
          </w:tcPr>
          <w:p>
            <w:pPr>
              <w:pStyle w:val="TableText"/>
              <w:ind w:left="1939"/>
              <w:spacing w:before="74" w:line="231" w:lineRule="auto"/>
              <w:rPr/>
            </w:pPr>
            <w:r>
              <w:rPr>
                <w:spacing w:val="-1"/>
              </w:rPr>
              <w:t>合计</w:t>
            </w:r>
          </w:p>
        </w:tc>
        <w:tc>
          <w:tcPr>
            <w:tcW w:w="2130" w:type="dxa"/>
            <w:vAlign w:val="top"/>
            <w:tcBorders>
              <w:bottom w:val="single" w:color="000000" w:sz="10" w:space="0"/>
            </w:tcBorders>
          </w:tcPr>
          <w:p>
            <w:pPr>
              <w:ind w:left="731"/>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6455.13</w:t>
            </w:r>
          </w:p>
        </w:tc>
        <w:tc>
          <w:tcPr>
            <w:tcW w:w="2131" w:type="dxa"/>
            <w:vAlign w:val="top"/>
            <w:tcBorders>
              <w:right w:val="nil"/>
              <w:bottom w:val="single" w:color="000000" w:sz="10" w:space="0"/>
            </w:tcBorders>
          </w:tcPr>
          <w:p>
            <w:pPr>
              <w:ind w:left="79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1" w:lineRule="auto"/>
        <w:rPr/>
      </w:pPr>
      <w:r/>
    </w:p>
    <w:p>
      <w:pPr>
        <w:ind w:left="116"/>
        <w:spacing w:before="79" w:line="221" w:lineRule="auto"/>
        <w:outlineLvl w:val="2"/>
        <w:rPr>
          <w:rFonts w:ascii="FangSong" w:hAnsi="FangSong" w:eastAsia="FangSong" w:cs="FangSong"/>
          <w:sz w:val="24"/>
          <w:szCs w:val="24"/>
        </w:rPr>
      </w:pPr>
      <w:bookmarkStart w:name="bookmark260" w:id="353"/>
      <w:bookmarkEnd w:id="353"/>
      <w:bookmarkStart w:name="bookmark259" w:id="354"/>
      <w:bookmarkEnd w:id="354"/>
      <w:r>
        <w:rPr>
          <w:rFonts w:ascii="Times New Roman" w:hAnsi="Times New Roman" w:eastAsia="Times New Roman" w:cs="Times New Roman"/>
          <w:sz w:val="24"/>
          <w:szCs w:val="24"/>
          <w:b/>
          <w:bCs/>
          <w:spacing w:val="-4"/>
        </w:rPr>
        <w:t>5.6.5</w:t>
      </w:r>
      <w:r>
        <w:rPr>
          <w:rFonts w:ascii="Times New Roman" w:hAnsi="Times New Roman" w:eastAsia="Times New Roman" w:cs="Times New Roman"/>
          <w:sz w:val="24"/>
          <w:szCs w:val="24"/>
          <w:b/>
          <w:bCs/>
          <w:spacing w:val="17"/>
          <w:w w:val="101"/>
        </w:rPr>
        <w:t xml:space="preserve">  </w:t>
      </w:r>
      <w:r>
        <w:rPr>
          <w:rFonts w:ascii="FangSong" w:hAnsi="FangSong" w:eastAsia="FangSong" w:cs="FangSong"/>
          <w:sz w:val="24"/>
          <w:szCs w:val="24"/>
          <w:b/>
          <w:bCs/>
          <w:spacing w:val="-4"/>
        </w:rPr>
        <w:t>陆生植物生态现状调查</w:t>
      </w:r>
    </w:p>
    <w:p>
      <w:pPr>
        <w:ind w:left="116"/>
        <w:spacing w:before="18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5.6.5.1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植被区系</w:t>
      </w:r>
    </w:p>
    <w:p>
      <w:pPr>
        <w:ind w:left="123" w:right="42" w:firstLine="481"/>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根据《内蒙古植被》可知，本项目调查范围所</w:t>
      </w:r>
      <w:r>
        <w:rPr>
          <w:rFonts w:ascii="FangSong" w:hAnsi="FangSong" w:eastAsia="FangSong" w:cs="FangSong"/>
          <w:sz w:val="24"/>
          <w:szCs w:val="24"/>
          <w:spacing w:val="-4"/>
        </w:rPr>
        <w:t>属植物区系为“蒙古高原草原</w:t>
      </w:r>
      <w:r>
        <w:rPr>
          <w:rFonts w:ascii="FangSong" w:hAnsi="FangSong" w:eastAsia="FangSong" w:cs="FangSong"/>
          <w:sz w:val="24"/>
          <w:szCs w:val="24"/>
          <w:spacing w:val="-2"/>
        </w:rPr>
        <w:t>植物省</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蒙古高原东部州</w:t>
      </w:r>
      <w:r>
        <w:rPr>
          <w:rFonts w:ascii="FangSong" w:hAnsi="FangSong" w:eastAsia="FangSong" w:cs="FangSong"/>
          <w:sz w:val="24"/>
          <w:szCs w:val="24"/>
          <w:spacing w:val="-76"/>
        </w:rPr>
        <w:t xml:space="preserve"> </w:t>
      </w:r>
      <w:r>
        <w:rPr>
          <w:rFonts w:ascii="FangSong" w:hAnsi="FangSong" w:eastAsia="FangSong" w:cs="FangSong"/>
          <w:sz w:val="24"/>
          <w:szCs w:val="24"/>
          <w:spacing w:val="-2"/>
        </w:rPr>
        <w:t>”（见附图</w:t>
      </w:r>
      <w:r>
        <w:rPr>
          <w:rFonts w:ascii="Times New Roman" w:hAnsi="Times New Roman" w:eastAsia="Times New Roman" w:cs="Times New Roman"/>
          <w:sz w:val="24"/>
          <w:szCs w:val="24"/>
          <w:spacing w:val="-2"/>
        </w:rPr>
        <w:t>5-6</w:t>
      </w:r>
      <w:r>
        <w:rPr>
          <w:rFonts w:ascii="FangSong" w:hAnsi="FangSong" w:eastAsia="FangSong" w:cs="FangSong"/>
          <w:sz w:val="24"/>
          <w:szCs w:val="24"/>
          <w:spacing w:val="-2"/>
        </w:rPr>
        <w:t>）。本州境内大型针茅在草原植被中占优</w:t>
      </w:r>
      <w:r>
        <w:rPr>
          <w:rFonts w:ascii="FangSong" w:hAnsi="FangSong" w:eastAsia="FangSong" w:cs="FangSong"/>
          <w:sz w:val="24"/>
          <w:szCs w:val="24"/>
          <w:spacing w:val="-3"/>
        </w:rPr>
        <w:t>势，近岭西山地森林草原州的东半部广泛地分布着含丰富杂类草的大</w:t>
      </w:r>
      <w:r>
        <w:rPr>
          <w:rFonts w:ascii="FangSong" w:hAnsi="FangSong" w:eastAsia="FangSong" w:cs="FangSong"/>
          <w:sz w:val="24"/>
          <w:szCs w:val="24"/>
          <w:spacing w:val="-4"/>
        </w:rPr>
        <w:t>针茅草原和</w:t>
      </w:r>
      <w:r>
        <w:rPr>
          <w:rFonts w:ascii="FangSong" w:hAnsi="FangSong" w:eastAsia="FangSong" w:cs="FangSong"/>
          <w:sz w:val="24"/>
          <w:szCs w:val="24"/>
          <w:spacing w:val="-3"/>
        </w:rPr>
        <w:t>羊草草原，中部为贫杂类草的大针茅、克氏针茅、隐子草草原，西半</w:t>
      </w:r>
      <w:r>
        <w:rPr>
          <w:rFonts w:ascii="FangSong" w:hAnsi="FangSong" w:eastAsia="FangSong" w:cs="FangSong"/>
          <w:sz w:val="24"/>
          <w:szCs w:val="24"/>
          <w:spacing w:val="-4"/>
        </w:rPr>
        <w:t>部大气湿润</w:t>
      </w:r>
      <w:r>
        <w:rPr>
          <w:rFonts w:ascii="FangSong" w:hAnsi="FangSong" w:eastAsia="FangSong" w:cs="FangSong"/>
          <w:sz w:val="24"/>
          <w:szCs w:val="24"/>
          <w:spacing w:val="1"/>
        </w:rPr>
        <w:t>度明显下降，大针茅被克氏针茅替代，形成了克氏针茅和冷蒿为主的丛生禾草</w:t>
      </w:r>
      <w:r>
        <w:rPr>
          <w:rFonts w:ascii="Times New Roman" w:hAnsi="Times New Roman" w:eastAsia="Times New Roman" w:cs="Times New Roman"/>
          <w:sz w:val="24"/>
          <w:szCs w:val="24"/>
          <w:spacing w:val="1"/>
        </w:rPr>
        <w:t>-</w:t>
      </w:r>
      <w:r>
        <w:rPr>
          <w:rFonts w:ascii="FangSong" w:hAnsi="FangSong" w:eastAsia="FangSong" w:cs="FangSong"/>
          <w:sz w:val="24"/>
          <w:szCs w:val="24"/>
          <w:spacing w:val="-3"/>
        </w:rPr>
        <w:t>小半灌木蒿类草原。沟谷洼地和河流两岸常发育着芨芨草（古地中海</w:t>
      </w:r>
      <w:r>
        <w:rPr>
          <w:rFonts w:ascii="FangSong" w:hAnsi="FangSong" w:eastAsia="FangSong" w:cs="FangSong"/>
          <w:sz w:val="24"/>
          <w:szCs w:val="24"/>
          <w:spacing w:val="-4"/>
        </w:rPr>
        <w:t>成分）高草</w:t>
      </w:r>
      <w:r>
        <w:rPr>
          <w:rFonts w:ascii="FangSong" w:hAnsi="FangSong" w:eastAsia="FangSong" w:cs="FangSong"/>
          <w:sz w:val="24"/>
          <w:szCs w:val="24"/>
          <w:spacing w:val="-10"/>
        </w:rPr>
        <w:t>草甸。在盐湿低地上，可出现红砂、盐爪爪和多根葱等。大面积的固定沙地上（如</w:t>
      </w:r>
      <w:r>
        <w:rPr>
          <w:rFonts w:ascii="FangSong" w:hAnsi="FangSong" w:eastAsia="FangSong" w:cs="FangSong"/>
          <w:sz w:val="24"/>
          <w:szCs w:val="24"/>
          <w:spacing w:val="-5"/>
        </w:rPr>
        <w:t>小腾格里沙地</w:t>
      </w:r>
      <w:r>
        <w:rPr>
          <w:rFonts w:ascii="FangSong" w:hAnsi="FangSong" w:eastAsia="FangSong" w:cs="FangSong"/>
          <w:sz w:val="24"/>
          <w:szCs w:val="24"/>
          <w:spacing w:val="-58"/>
        </w:rPr>
        <w:t>），</w:t>
      </w:r>
      <w:r>
        <w:rPr>
          <w:rFonts w:ascii="FangSong" w:hAnsi="FangSong" w:eastAsia="FangSong" w:cs="FangSong"/>
          <w:sz w:val="24"/>
          <w:szCs w:val="24"/>
          <w:spacing w:val="-5"/>
        </w:rPr>
        <w:t>榆树疏林和各种沙地丛发育良好，其间并有沙生半木蒿类群落，</w:t>
      </w:r>
      <w:r>
        <w:rPr>
          <w:rFonts w:ascii="FangSong" w:hAnsi="FangSong" w:eastAsia="FangSong" w:cs="FangSong"/>
          <w:sz w:val="24"/>
          <w:szCs w:val="24"/>
          <w:spacing w:val="-1"/>
        </w:rPr>
        <w:t>禾草、杂类草草甸以及小型草本沼泽交错分布。</w:t>
      </w:r>
    </w:p>
    <w:p>
      <w:pPr>
        <w:ind w:left="604"/>
        <w:spacing w:line="220" w:lineRule="auto"/>
        <w:rPr>
          <w:rFonts w:ascii="FangSong" w:hAnsi="FangSong" w:eastAsia="FangSong" w:cs="FangSong"/>
          <w:sz w:val="24"/>
          <w:szCs w:val="24"/>
        </w:rPr>
      </w:pPr>
      <w:r>
        <w:rPr>
          <w:rFonts w:ascii="FangSong" w:hAnsi="FangSong" w:eastAsia="FangSong" w:cs="FangSong"/>
          <w:sz w:val="24"/>
          <w:szCs w:val="24"/>
          <w:spacing w:val="-2"/>
        </w:rPr>
        <w:t>本项目调查范围所属植被地带为“</w:t>
      </w:r>
      <w:r>
        <w:rPr>
          <w:rFonts w:ascii="Times New Roman" w:hAnsi="Times New Roman" w:eastAsia="Times New Roman" w:cs="Times New Roman"/>
          <w:sz w:val="24"/>
          <w:szCs w:val="24"/>
          <w:spacing w:val="-2"/>
        </w:rPr>
        <w:t>IV</w:t>
      </w:r>
      <w:r>
        <w:rPr>
          <w:rFonts w:ascii="Times New Roman" w:hAnsi="Times New Roman" w:eastAsia="Times New Roman" w:cs="Times New Roman"/>
          <w:sz w:val="24"/>
          <w:szCs w:val="24"/>
          <w:spacing w:val="54"/>
        </w:rPr>
        <w:t xml:space="preserve"> </w:t>
      </w:r>
      <w:r>
        <w:rPr>
          <w:rFonts w:ascii="FangSong" w:hAnsi="FangSong" w:eastAsia="FangSong" w:cs="FangSong"/>
          <w:sz w:val="24"/>
          <w:szCs w:val="24"/>
          <w:spacing w:val="-2"/>
        </w:rPr>
        <w:t>中温型草原带</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典型草原</w:t>
      </w:r>
      <w:r>
        <w:rPr>
          <w:rFonts w:ascii="FangSong" w:hAnsi="FangSong" w:eastAsia="FangSong" w:cs="FangSong"/>
          <w:sz w:val="24"/>
          <w:szCs w:val="24"/>
          <w:spacing w:val="-3"/>
        </w:rPr>
        <w:t>亚带</w:t>
      </w:r>
      <w:r>
        <w:rPr>
          <w:rFonts w:ascii="FangSong" w:hAnsi="FangSong" w:eastAsia="FangSong" w:cs="FangSong"/>
          <w:sz w:val="24"/>
          <w:szCs w:val="24"/>
          <w:spacing w:val="-88"/>
        </w:rPr>
        <w:t xml:space="preserve"> </w:t>
      </w:r>
      <w:r>
        <w:rPr>
          <w:rFonts w:ascii="FangSong" w:hAnsi="FangSong" w:eastAsia="FangSong" w:cs="FangSong"/>
          <w:sz w:val="24"/>
          <w:szCs w:val="24"/>
          <w:spacing w:val="-3"/>
        </w:rPr>
        <w:t>”（见</w:t>
      </w:r>
    </w:p>
    <w:p>
      <w:pPr>
        <w:spacing w:line="220" w:lineRule="auto"/>
        <w:sectPr>
          <w:footerReference w:type="default" r:id="rId259"/>
          <w:pgSz w:w="11906" w:h="16839"/>
          <w:pgMar w:top="400" w:right="1691" w:bottom="1358" w:left="1691" w:header="0" w:footer="1195" w:gutter="0"/>
        </w:sectPr>
        <w:rPr>
          <w:rFonts w:ascii="FangSong" w:hAnsi="FangSong" w:eastAsia="FangSong" w:cs="FangSong"/>
          <w:sz w:val="24"/>
          <w:szCs w:val="24"/>
        </w:rPr>
      </w:pP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115" w:right="42" w:firstLine="18"/>
        <w:spacing w:before="78" w:line="360" w:lineRule="auto"/>
        <w:jc w:val="both"/>
        <w:rPr>
          <w:rFonts w:ascii="FangSong" w:hAnsi="FangSong" w:eastAsia="FangSong" w:cs="FangSong"/>
          <w:sz w:val="24"/>
          <w:szCs w:val="24"/>
        </w:rPr>
      </w:pPr>
      <w:r>
        <w:rPr>
          <w:rFonts w:ascii="FangSong" w:hAnsi="FangSong" w:eastAsia="FangSong" w:cs="FangSong"/>
          <w:sz w:val="24"/>
          <w:szCs w:val="24"/>
          <w:spacing w:val="1"/>
        </w:rPr>
        <w:t>附图</w:t>
      </w:r>
      <w:r>
        <w:rPr>
          <w:rFonts w:ascii="Times New Roman" w:hAnsi="Times New Roman" w:eastAsia="Times New Roman" w:cs="Times New Roman"/>
          <w:sz w:val="24"/>
          <w:szCs w:val="24"/>
          <w:spacing w:val="1"/>
        </w:rPr>
        <w:t>5-7</w:t>
      </w:r>
      <w:r>
        <w:rPr>
          <w:rFonts w:ascii="FangSong" w:hAnsi="FangSong" w:eastAsia="FangSong" w:cs="FangSong"/>
          <w:sz w:val="24"/>
          <w:szCs w:val="24"/>
          <w:spacing w:val="1"/>
        </w:rPr>
        <w:t>）。该植被地带为中温型典型草原亚带又称真草原亚带，也有人称为于</w:t>
      </w:r>
      <w:r>
        <w:rPr>
          <w:rFonts w:ascii="FangSong" w:hAnsi="FangSong" w:eastAsia="FangSong" w:cs="FangSong"/>
          <w:sz w:val="24"/>
          <w:szCs w:val="24"/>
          <w:spacing w:val="-8"/>
        </w:rPr>
        <w:t>草原亚带，它居于中温型草原带的中部，是最基本的一个草原亚带。在我国境内，</w:t>
      </w:r>
      <w:r>
        <w:rPr>
          <w:rFonts w:ascii="FangSong" w:hAnsi="FangSong" w:eastAsia="FangSong" w:cs="FangSong"/>
          <w:sz w:val="24"/>
          <w:szCs w:val="24"/>
          <w:spacing w:val="-3"/>
        </w:rPr>
        <w:t>这个亚带从内蒙古高原的中部一直延续分布到东北平原的中部，成为面积最广的</w:t>
      </w:r>
      <w:r>
        <w:rPr>
          <w:rFonts w:ascii="FangSong" w:hAnsi="FangSong" w:eastAsia="FangSong" w:cs="FangSong"/>
          <w:sz w:val="24"/>
          <w:szCs w:val="24"/>
          <w:spacing w:val="-3"/>
        </w:rPr>
        <w:t>草原亚带，它的西面与蒙古和外贝加尔的典型草原亚带直接相连，都是亚洲中部</w:t>
      </w:r>
      <w:r>
        <w:rPr>
          <w:rFonts w:ascii="FangSong" w:hAnsi="FangSong" w:eastAsia="FangSong" w:cs="FangSong"/>
          <w:sz w:val="24"/>
          <w:szCs w:val="24"/>
          <w:spacing w:val="-3"/>
        </w:rPr>
        <w:t>草原亚区的主要组成部分。在本亚带草原植被的组成中，起主导作用的生活型是</w:t>
      </w:r>
      <w:r>
        <w:rPr>
          <w:rFonts w:ascii="FangSong" w:hAnsi="FangSong" w:eastAsia="FangSong" w:cs="FangSong"/>
          <w:sz w:val="24"/>
          <w:szCs w:val="24"/>
          <w:spacing w:val="-3"/>
        </w:rPr>
        <w:t>早生的多年生丛生禾草，其次是根茎型禾草，它们构成群落的建群层片或优势层</w:t>
      </w:r>
      <w:r>
        <w:rPr>
          <w:rFonts w:ascii="FangSong" w:hAnsi="FangSong" w:eastAsia="FangSong" w:cs="FangSong"/>
          <w:sz w:val="24"/>
          <w:szCs w:val="24"/>
          <w:spacing w:val="-3"/>
        </w:rPr>
        <w:t>片。典型草原亚带的植物区系地理成分是以蒙古草原成分和更广泛的亚洲中部草</w:t>
      </w:r>
      <w:r>
        <w:rPr>
          <w:rFonts w:ascii="FangSong" w:hAnsi="FangSong" w:eastAsia="FangSong" w:cs="FangSong"/>
          <w:sz w:val="24"/>
          <w:szCs w:val="24"/>
          <w:spacing w:val="-8"/>
        </w:rPr>
        <w:t>原成分占优势，东来的东北、华北森林成分及西来的亚洲中部荒漠成分数量稀少，</w:t>
      </w:r>
      <w:r>
        <w:rPr>
          <w:rFonts w:ascii="FangSong" w:hAnsi="FangSong" w:eastAsia="FangSong" w:cs="FangSong"/>
          <w:sz w:val="24"/>
          <w:szCs w:val="24"/>
          <w:spacing w:val="-3"/>
        </w:rPr>
        <w:t>作用不大。属于本亚带的草原特征植物，主要有禾本科的大针茅、克氏针茅、糙</w:t>
      </w:r>
      <w:r>
        <w:rPr>
          <w:rFonts w:ascii="FangSong" w:hAnsi="FangSong" w:eastAsia="FangSong" w:cs="FangSong"/>
          <w:sz w:val="24"/>
          <w:szCs w:val="24"/>
          <w:spacing w:val="-4"/>
        </w:rPr>
        <w:t>隐子草（</w:t>
      </w:r>
      <w:r>
        <w:rPr>
          <w:rFonts w:ascii="Times New Roman" w:hAnsi="Times New Roman" w:eastAsia="Times New Roman" w:cs="Times New Roman"/>
          <w:sz w:val="24"/>
          <w:szCs w:val="24"/>
          <w:spacing w:val="-4"/>
        </w:rPr>
        <w:t>Cleistogenessquarrosa</w:t>
      </w:r>
      <w:r>
        <w:rPr>
          <w:rFonts w:ascii="FangSong" w:hAnsi="FangSong" w:eastAsia="FangSong" w:cs="FangSong"/>
          <w:sz w:val="24"/>
          <w:szCs w:val="24"/>
          <w:spacing w:val="-4"/>
        </w:rPr>
        <w:t>）、冰草（</w:t>
      </w:r>
      <w:r>
        <w:rPr>
          <w:rFonts w:ascii="Times New Roman" w:hAnsi="Times New Roman" w:eastAsia="Times New Roman" w:cs="Times New Roman"/>
          <w:sz w:val="24"/>
          <w:szCs w:val="24"/>
          <w:spacing w:val="-4"/>
        </w:rPr>
        <w:t>Agro</w:t>
      </w:r>
      <w:r>
        <w:rPr>
          <w:rFonts w:ascii="Times New Roman" w:hAnsi="Times New Roman" w:eastAsia="Times New Roman" w:cs="Times New Roman"/>
          <w:sz w:val="24"/>
          <w:szCs w:val="24"/>
          <w:spacing w:val="-5"/>
        </w:rPr>
        <w:t>pyron cristatum</w:t>
      </w:r>
      <w:r>
        <w:rPr>
          <w:rFonts w:ascii="FangSong" w:hAnsi="FangSong" w:eastAsia="FangSong" w:cs="FangSong"/>
          <w:sz w:val="24"/>
          <w:szCs w:val="24"/>
          <w:spacing w:val="-5"/>
        </w:rPr>
        <w:t>）以及寸草苔（</w:t>
      </w:r>
      <w:r>
        <w:rPr>
          <w:rFonts w:ascii="Times New Roman" w:hAnsi="Times New Roman" w:eastAsia="Times New Roman" w:cs="Times New Roman"/>
          <w:sz w:val="24"/>
          <w:szCs w:val="24"/>
          <w:spacing w:val="-5"/>
        </w:rPr>
        <w:t>Carex</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duriuscula</w:t>
      </w:r>
      <w:r>
        <w:rPr>
          <w:rFonts w:ascii="FangSong" w:hAnsi="FangSong" w:eastAsia="FangSong" w:cs="FangSong"/>
          <w:sz w:val="24"/>
          <w:szCs w:val="24"/>
        </w:rPr>
        <w:t>）、</w:t>
      </w:r>
      <w:r>
        <w:rPr>
          <w:rFonts w:ascii="FangSong" w:hAnsi="FangSong" w:eastAsia="FangSong" w:cs="FangSong"/>
          <w:sz w:val="24"/>
          <w:szCs w:val="24"/>
          <w:spacing w:val="-61"/>
        </w:rPr>
        <w:t xml:space="preserve"> </w:t>
      </w:r>
      <w:r>
        <w:rPr>
          <w:rFonts w:ascii="FangSong" w:hAnsi="FangSong" w:eastAsia="FangSong" w:cs="FangSong"/>
          <w:sz w:val="24"/>
          <w:szCs w:val="24"/>
        </w:rPr>
        <w:t>白婆婆纳（</w:t>
      </w:r>
      <w:r>
        <w:rPr>
          <w:rFonts w:ascii="Times New Roman" w:hAnsi="Times New Roman" w:eastAsia="Times New Roman" w:cs="Times New Roman"/>
          <w:sz w:val="24"/>
          <w:szCs w:val="24"/>
        </w:rPr>
        <w:t>Veronica incana</w:t>
      </w:r>
      <w:r>
        <w:rPr>
          <w:rFonts w:ascii="FangSong" w:hAnsi="FangSong" w:eastAsia="FangSong" w:cs="FangSong"/>
          <w:sz w:val="24"/>
          <w:szCs w:val="24"/>
        </w:rPr>
        <w:t>）、芯芭（</w:t>
      </w:r>
      <w:r>
        <w:rPr>
          <w:rFonts w:ascii="Times New Roman" w:hAnsi="Times New Roman" w:eastAsia="Times New Roman" w:cs="Times New Roman"/>
          <w:sz w:val="24"/>
          <w:szCs w:val="24"/>
        </w:rPr>
        <w:t>Cymbaria dahurica</w:t>
      </w:r>
      <w:r>
        <w:rPr>
          <w:rFonts w:ascii="FangSong" w:hAnsi="FangSong" w:eastAsia="FangSong" w:cs="FangSong"/>
          <w:sz w:val="24"/>
          <w:szCs w:val="24"/>
        </w:rPr>
        <w:t>）、火线</w:t>
      </w:r>
      <w:r>
        <w:rPr>
          <w:rFonts w:ascii="FangSong" w:hAnsi="FangSong" w:eastAsia="FangSong" w:cs="FangSong"/>
          <w:sz w:val="24"/>
          <w:szCs w:val="24"/>
        </w:rPr>
        <w:t>草（</w:t>
      </w:r>
      <w:r>
        <w:rPr>
          <w:rFonts w:ascii="Times New Roman" w:hAnsi="Times New Roman" w:eastAsia="Times New Roman" w:cs="Times New Roman"/>
          <w:sz w:val="24"/>
          <w:szCs w:val="24"/>
        </w:rPr>
        <w:t>Leontopodiumleontopodioides </w:t>
      </w:r>
      <w:r>
        <w:rPr>
          <w:rFonts w:ascii="FangSong" w:hAnsi="FangSong" w:eastAsia="FangSong" w:cs="FangSong"/>
          <w:sz w:val="24"/>
          <w:szCs w:val="24"/>
        </w:rPr>
        <w:t>）</w:t>
      </w:r>
      <w:r>
        <w:rPr>
          <w:rFonts w:ascii="FangSong" w:hAnsi="FangSong" w:eastAsia="FangSong" w:cs="FangSong"/>
          <w:sz w:val="24"/>
          <w:szCs w:val="24"/>
          <w:spacing w:val="-62"/>
        </w:rPr>
        <w:t xml:space="preserve"> </w:t>
      </w:r>
      <w:r>
        <w:rPr>
          <w:rFonts w:ascii="FangSong" w:hAnsi="FangSong" w:eastAsia="FangSong" w:cs="FangSong"/>
          <w:sz w:val="24"/>
          <w:szCs w:val="24"/>
        </w:rPr>
        <w:t>、麻花头（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rPr>
        <w:t>Serratula</w:t>
      </w:r>
      <w:r>
        <w:rPr>
          <w:rFonts w:ascii="Times New Roman" w:hAnsi="Times New Roman" w:eastAsia="Times New Roman" w:cs="Times New Roman"/>
          <w:sz w:val="24"/>
          <w:szCs w:val="24"/>
          <w:spacing w:val="33"/>
          <w:w w:val="101"/>
        </w:rPr>
        <w:t xml:space="preserve"> </w:t>
      </w:r>
      <w:r>
        <w:rPr>
          <w:rFonts w:ascii="Times New Roman" w:hAnsi="Times New Roman" w:eastAsia="Times New Roman" w:cs="Times New Roman"/>
          <w:sz w:val="24"/>
          <w:szCs w:val="24"/>
        </w:rPr>
        <w:t>cen</w:t>
      </w:r>
      <w:r>
        <w:rPr>
          <w:rFonts w:ascii="Times New Roman" w:hAnsi="Times New Roman" w:eastAsia="Times New Roman" w:cs="Times New Roman"/>
          <w:sz w:val="24"/>
          <w:szCs w:val="24"/>
          <w:spacing w:val="-1"/>
        </w:rPr>
        <w:t>tauroides </w:t>
      </w:r>
      <w:r>
        <w:rPr>
          <w:rFonts w:ascii="FangSong" w:hAnsi="FangSong" w:eastAsia="FangSong" w:cs="FangSong"/>
          <w:sz w:val="24"/>
          <w:szCs w:val="24"/>
          <w:spacing w:val="-1"/>
        </w:rPr>
        <w:t>）</w:t>
      </w:r>
      <w:r>
        <w:rPr>
          <w:rFonts w:ascii="FangSong" w:hAnsi="FangSong" w:eastAsia="FangSong" w:cs="FangSong"/>
          <w:sz w:val="24"/>
          <w:szCs w:val="24"/>
          <w:spacing w:val="-62"/>
        </w:rPr>
        <w:t xml:space="preserve"> </w:t>
      </w:r>
      <w:r>
        <w:rPr>
          <w:rFonts w:ascii="FangSong" w:hAnsi="FangSong" w:eastAsia="FangSong" w:cs="FangSong"/>
          <w:sz w:val="24"/>
          <w:szCs w:val="24"/>
          <w:spacing w:val="-1"/>
        </w:rPr>
        <w:t>、冷营</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Artemisia frigida</w:t>
      </w:r>
      <w:r>
        <w:rPr>
          <w:rFonts w:ascii="FangSong" w:hAnsi="FangSong" w:eastAsia="FangSong" w:cs="FangSong"/>
          <w:sz w:val="24"/>
          <w:szCs w:val="24"/>
          <w:spacing w:val="-1"/>
        </w:rPr>
        <w:t>）、小叶锦鸡儿（</w:t>
      </w:r>
      <w:r>
        <w:rPr>
          <w:rFonts w:ascii="Times New Roman" w:hAnsi="Times New Roman" w:eastAsia="Times New Roman" w:cs="Times New Roman"/>
          <w:sz w:val="24"/>
          <w:szCs w:val="24"/>
          <w:spacing w:val="-1"/>
        </w:rPr>
        <w:t>Caragana mi-crophylla</w:t>
      </w:r>
      <w:r>
        <w:rPr>
          <w:rFonts w:ascii="FangSong" w:hAnsi="FangSong" w:eastAsia="FangSong" w:cs="FangSong"/>
          <w:sz w:val="24"/>
          <w:szCs w:val="24"/>
          <w:spacing w:val="-1"/>
        </w:rPr>
        <w:t>）等。以上这些植物，</w:t>
      </w:r>
      <w:r>
        <w:rPr>
          <w:rFonts w:ascii="FangSong" w:hAnsi="FangSong" w:eastAsia="FangSong" w:cs="FangSong"/>
          <w:sz w:val="24"/>
          <w:szCs w:val="24"/>
          <w:spacing w:val="-1"/>
        </w:rPr>
        <w:t>都是典型的草原旱生植物，以多年生草本为主，兼有少数小半灌木</w:t>
      </w:r>
      <w:r>
        <w:rPr>
          <w:rFonts w:ascii="FangSong" w:hAnsi="FangSong" w:eastAsia="FangSong" w:cs="FangSong"/>
          <w:sz w:val="24"/>
          <w:szCs w:val="24"/>
          <w:spacing w:val="-2"/>
        </w:rPr>
        <w:t>及小灌木等。</w:t>
      </w:r>
    </w:p>
    <w:p>
      <w:pPr>
        <w:ind w:left="116"/>
        <w:spacing w:before="7"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5.6.5.2  </w:t>
      </w:r>
      <w:r>
        <w:rPr>
          <w:rFonts w:ascii="FangSong" w:hAnsi="FangSong" w:eastAsia="FangSong" w:cs="FangSong"/>
          <w:sz w:val="24"/>
          <w:szCs w:val="24"/>
          <w:b/>
          <w:bCs/>
          <w:spacing w:val="-2"/>
        </w:rPr>
        <w:t>调查范围植被现状遥感解译</w:t>
      </w:r>
    </w:p>
    <w:p>
      <w:pPr>
        <w:ind w:left="125" w:right="107" w:firstLine="478"/>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调查范围植被类型以荒漠草原为主，植物群落类</w:t>
      </w:r>
      <w:r>
        <w:rPr>
          <w:rFonts w:ascii="FangSong" w:hAnsi="FangSong" w:eastAsia="FangSong" w:cs="FangSong"/>
          <w:sz w:val="24"/>
          <w:szCs w:val="24"/>
          <w:spacing w:val="-4"/>
        </w:rPr>
        <w:t>型主要为克氏针茅、芨芨草</w:t>
      </w:r>
      <w:r>
        <w:rPr>
          <w:rFonts w:ascii="FangSong" w:hAnsi="FangSong" w:eastAsia="FangSong" w:cs="FangSong"/>
          <w:sz w:val="24"/>
          <w:szCs w:val="24"/>
          <w:spacing w:val="-2"/>
        </w:rPr>
        <w:t>草原，同时分布有其他植被类型，具体各植被类型分布见附图</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5-8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，永久占地范</w:t>
      </w:r>
      <w:r>
        <w:rPr>
          <w:rFonts w:ascii="FangSong" w:hAnsi="FangSong" w:eastAsia="FangSong" w:cs="FangSong"/>
          <w:sz w:val="24"/>
          <w:szCs w:val="24"/>
        </w:rPr>
        <w:t>围内各植被类型面积遥感统计见表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5.6-4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rPr>
        <w:t>、矿界范围内各植被类型面积遥</w:t>
      </w:r>
      <w:r>
        <w:rPr>
          <w:rFonts w:ascii="FangSong" w:hAnsi="FangSong" w:eastAsia="FangSong" w:cs="FangSong"/>
          <w:sz w:val="24"/>
          <w:szCs w:val="24"/>
          <w:spacing w:val="-1"/>
        </w:rPr>
        <w:t>感统计</w:t>
      </w:r>
      <w:r>
        <w:rPr>
          <w:rFonts w:ascii="FangSong" w:hAnsi="FangSong" w:eastAsia="FangSong" w:cs="FangSong"/>
          <w:sz w:val="24"/>
          <w:szCs w:val="24"/>
          <w:spacing w:val="-3"/>
        </w:rPr>
        <w:t>见表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5.6-5</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、调查范围内各植被类型面积遥感统计见表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5.6-6</w:t>
      </w:r>
      <w:r>
        <w:rPr>
          <w:rFonts w:ascii="FangSong" w:hAnsi="FangSong" w:eastAsia="FangSong" w:cs="FangSong"/>
          <w:sz w:val="24"/>
          <w:szCs w:val="24"/>
          <w:spacing w:val="-3"/>
        </w:rPr>
        <w:t>。</w:t>
      </w:r>
    </w:p>
    <w:p>
      <w:pPr>
        <w:ind w:left="1047"/>
        <w:spacing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5.6-4  </w:t>
      </w:r>
      <w:r>
        <w:rPr>
          <w:rFonts w:ascii="FangSong" w:hAnsi="FangSong" w:eastAsia="FangSong" w:cs="FangSong"/>
          <w:sz w:val="24"/>
          <w:szCs w:val="24"/>
          <w:b/>
          <w:bCs/>
          <w:spacing w:val="-2"/>
        </w:rPr>
        <w:t>本项目永久占地范围内各植被类型面积遥感统</w:t>
      </w:r>
      <w:r>
        <w:rPr>
          <w:rFonts w:ascii="FangSong" w:hAnsi="FangSong" w:eastAsia="FangSong" w:cs="FangSong"/>
          <w:sz w:val="24"/>
          <w:szCs w:val="24"/>
          <w:b/>
          <w:bCs/>
          <w:spacing w:val="-3"/>
        </w:rPr>
        <w:t>计见表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17" w:hRule="atLeast"/>
        </w:trPr>
        <w:tc>
          <w:tcPr>
            <w:tcW w:w="1625" w:type="dxa"/>
            <w:vAlign w:val="top"/>
            <w:tcBorders>
              <w:left w:val="nil"/>
              <w:top w:val="single" w:color="000000" w:sz="10" w:space="0"/>
            </w:tcBorders>
          </w:tcPr>
          <w:p>
            <w:pPr>
              <w:pStyle w:val="TableText"/>
              <w:ind w:left="616"/>
              <w:spacing w:before="55" w:line="231" w:lineRule="auto"/>
              <w:rPr/>
            </w:pPr>
            <w:r>
              <w:rPr>
                <w:spacing w:val="2"/>
              </w:rPr>
              <w:t>序号</w:t>
            </w:r>
          </w:p>
        </w:tc>
        <w:tc>
          <w:tcPr>
            <w:tcW w:w="2635" w:type="dxa"/>
            <w:vAlign w:val="top"/>
            <w:tcBorders>
              <w:top w:val="single" w:color="000000" w:sz="10" w:space="0"/>
            </w:tcBorders>
          </w:tcPr>
          <w:p>
            <w:pPr>
              <w:pStyle w:val="TableText"/>
              <w:ind w:left="908"/>
              <w:spacing w:before="55" w:line="231" w:lineRule="auto"/>
              <w:rPr/>
            </w:pPr>
            <w:r>
              <w:rPr>
                <w:spacing w:val="6"/>
              </w:rPr>
              <w:t>植被类型</w:t>
            </w:r>
          </w:p>
        </w:tc>
        <w:tc>
          <w:tcPr>
            <w:tcW w:w="2131"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2" w:lineRule="auto"/>
              <w:rPr/>
            </w:pPr>
            <w:r>
              <w:rPr/>
              <w:t>比例（</w:t>
            </w:r>
            <w:r>
              <w:rPr>
                <w:rFonts w:ascii="Times New Roman" w:hAnsi="Times New Roman" w:eastAsia="Times New Roman" w:cs="Times New Roman"/>
              </w:rPr>
              <w:t>%</w:t>
            </w:r>
            <w:r>
              <w:rPr/>
              <w:t>）</w:t>
            </w:r>
          </w:p>
        </w:tc>
      </w:tr>
      <w:tr>
        <w:trPr>
          <w:trHeight w:val="313" w:hRule="atLeast"/>
        </w:trPr>
        <w:tc>
          <w:tcPr>
            <w:tcW w:w="1625" w:type="dxa"/>
            <w:vAlign w:val="top"/>
            <w:tcBorders>
              <w:left w:val="nil"/>
            </w:tcBorders>
          </w:tcPr>
          <w:p>
            <w:pPr>
              <w:ind w:left="78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277"/>
              <w:spacing w:before="54" w:line="229" w:lineRule="auto"/>
              <w:rPr/>
            </w:pPr>
            <w:r>
              <w:rPr>
                <w:spacing w:val="3"/>
              </w:rPr>
              <w:t>小叶锦鸡儿、</w:t>
            </w:r>
            <w:r>
              <w:rPr>
                <w:spacing w:val="-47"/>
              </w:rPr>
              <w:t xml:space="preserve"> </w:t>
            </w:r>
            <w:r>
              <w:rPr>
                <w:spacing w:val="3"/>
              </w:rPr>
              <w:t>白刺灌丛</w:t>
            </w:r>
          </w:p>
        </w:tc>
        <w:tc>
          <w:tcPr>
            <w:tcW w:w="2131" w:type="dxa"/>
            <w:vAlign w:val="top"/>
          </w:tcPr>
          <w:p>
            <w:pPr>
              <w:ind w:left="79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1.0677</w:t>
            </w:r>
          </w:p>
        </w:tc>
        <w:tc>
          <w:tcPr>
            <w:tcW w:w="2131" w:type="dxa"/>
            <w:vAlign w:val="top"/>
            <w:tcBorders>
              <w:right w:val="nil"/>
            </w:tcBorders>
          </w:tcPr>
          <w:p>
            <w:pPr>
              <w:ind w:left="85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14.77</w:t>
            </w:r>
          </w:p>
        </w:tc>
      </w:tr>
      <w:tr>
        <w:trPr>
          <w:trHeight w:val="313" w:hRule="atLeast"/>
        </w:trPr>
        <w:tc>
          <w:tcPr>
            <w:tcW w:w="1625" w:type="dxa"/>
            <w:vAlign w:val="top"/>
            <w:tcBorders>
              <w:left w:val="nil"/>
            </w:tcBorders>
          </w:tcPr>
          <w:p>
            <w:pPr>
              <w:ind w:left="76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283"/>
              <w:spacing w:before="61" w:line="223" w:lineRule="auto"/>
              <w:rPr/>
            </w:pPr>
            <w:r>
              <w:rPr>
                <w:spacing w:val="7"/>
              </w:rPr>
              <w:t>克氏针茅、芨芨草草原</w:t>
            </w:r>
          </w:p>
        </w:tc>
        <w:tc>
          <w:tcPr>
            <w:tcW w:w="2131" w:type="dxa"/>
            <w:vAlign w:val="top"/>
          </w:tcPr>
          <w:p>
            <w:pPr>
              <w:ind w:left="782"/>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5.6766</w:t>
            </w:r>
          </w:p>
        </w:tc>
        <w:tc>
          <w:tcPr>
            <w:tcW w:w="2131" w:type="dxa"/>
            <w:vAlign w:val="top"/>
            <w:tcBorders>
              <w:right w:val="nil"/>
            </w:tcBorders>
          </w:tcPr>
          <w:p>
            <w:pPr>
              <w:ind w:left="83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78.47</w:t>
            </w:r>
          </w:p>
        </w:tc>
      </w:tr>
      <w:tr>
        <w:trPr>
          <w:trHeight w:val="313" w:hRule="atLeast"/>
        </w:trPr>
        <w:tc>
          <w:tcPr>
            <w:tcW w:w="1625" w:type="dxa"/>
            <w:vAlign w:val="top"/>
            <w:tcBorders>
              <w:left w:val="nil"/>
            </w:tcBorders>
          </w:tcPr>
          <w:p>
            <w:pPr>
              <w:ind w:left="769"/>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597"/>
              <w:spacing w:before="64" w:line="220" w:lineRule="auto"/>
              <w:rPr/>
            </w:pPr>
            <w:r>
              <w:rPr>
                <w:spacing w:val="7"/>
              </w:rPr>
              <w:t>沙米等先锋植物</w:t>
            </w:r>
          </w:p>
        </w:tc>
        <w:tc>
          <w:tcPr>
            <w:tcW w:w="2131" w:type="dxa"/>
            <w:vAlign w:val="top"/>
          </w:tcPr>
          <w:p>
            <w:pPr>
              <w:ind w:left="780"/>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0.4760</w:t>
            </w:r>
          </w:p>
        </w:tc>
        <w:tc>
          <w:tcPr>
            <w:tcW w:w="2131" w:type="dxa"/>
            <w:vAlign w:val="top"/>
            <w:tcBorders>
              <w:right w:val="nil"/>
            </w:tcBorders>
          </w:tcPr>
          <w:p>
            <w:pPr>
              <w:ind w:left="887"/>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6.59</w:t>
            </w:r>
          </w:p>
        </w:tc>
      </w:tr>
      <w:tr>
        <w:trPr>
          <w:trHeight w:val="313" w:hRule="atLeast"/>
        </w:trPr>
        <w:tc>
          <w:tcPr>
            <w:tcW w:w="1625" w:type="dxa"/>
            <w:vAlign w:val="top"/>
            <w:tcBorders>
              <w:left w:val="nil"/>
            </w:tcBorders>
          </w:tcPr>
          <w:p>
            <w:pPr>
              <w:ind w:left="76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35" w:type="dxa"/>
            <w:vAlign w:val="top"/>
          </w:tcPr>
          <w:p>
            <w:pPr>
              <w:pStyle w:val="TableText"/>
              <w:ind w:left="911"/>
              <w:spacing w:before="68" w:line="216" w:lineRule="auto"/>
              <w:rPr/>
            </w:pPr>
            <w:r>
              <w:rPr>
                <w:spacing w:val="5"/>
              </w:rPr>
              <w:t>无植被区</w:t>
            </w:r>
          </w:p>
        </w:tc>
        <w:tc>
          <w:tcPr>
            <w:tcW w:w="2131" w:type="dxa"/>
            <w:vAlign w:val="top"/>
          </w:tcPr>
          <w:p>
            <w:pPr>
              <w:ind w:left="83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0.011</w:t>
            </w:r>
          </w:p>
        </w:tc>
        <w:tc>
          <w:tcPr>
            <w:tcW w:w="2131" w:type="dxa"/>
            <w:vAlign w:val="top"/>
            <w:tcBorders>
              <w:right w:val="nil"/>
            </w:tcBorders>
          </w:tcPr>
          <w:p>
            <w:pPr>
              <w:ind w:left="88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0.17</w:t>
            </w:r>
          </w:p>
        </w:tc>
      </w:tr>
      <w:tr>
        <w:trPr>
          <w:trHeight w:val="336" w:hRule="atLeast"/>
        </w:trPr>
        <w:tc>
          <w:tcPr>
            <w:tcW w:w="4260" w:type="dxa"/>
            <w:vAlign w:val="top"/>
            <w:gridSpan w:val="2"/>
            <w:tcBorders>
              <w:left w:val="nil"/>
              <w:bottom w:val="single" w:color="000000" w:sz="10" w:space="0"/>
            </w:tcBorders>
          </w:tcPr>
          <w:p>
            <w:pPr>
              <w:pStyle w:val="TableText"/>
              <w:ind w:left="1939"/>
              <w:spacing w:before="71" w:line="231" w:lineRule="auto"/>
              <w:rPr/>
            </w:pPr>
            <w:r>
              <w:rPr>
                <w:spacing w:val="-1"/>
              </w:rPr>
              <w:t>合计</w:t>
            </w:r>
          </w:p>
        </w:tc>
        <w:tc>
          <w:tcPr>
            <w:tcW w:w="2131" w:type="dxa"/>
            <w:vAlign w:val="top"/>
            <w:tcBorders>
              <w:bottom w:val="single" w:color="000000" w:sz="10" w:space="0"/>
            </w:tcBorders>
          </w:tcPr>
          <w:p>
            <w:pPr>
              <w:ind w:left="78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7.2203</w:t>
            </w:r>
          </w:p>
        </w:tc>
        <w:tc>
          <w:tcPr>
            <w:tcW w:w="2131" w:type="dxa"/>
            <w:vAlign w:val="top"/>
            <w:tcBorders>
              <w:right w:val="nil"/>
              <w:bottom w:val="single" w:color="000000" w:sz="10" w:space="0"/>
            </w:tcBorders>
          </w:tcPr>
          <w:p>
            <w:pPr>
              <w:ind w:left="79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1" w:lineRule="auto"/>
        <w:rPr/>
      </w:pPr>
      <w:r/>
    </w:p>
    <w:p>
      <w:pPr>
        <w:ind w:left="1287"/>
        <w:spacing w:before="79"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5.6-5  </w:t>
      </w:r>
      <w:r>
        <w:rPr>
          <w:rFonts w:ascii="FangSong" w:hAnsi="FangSong" w:eastAsia="FangSong" w:cs="FangSong"/>
          <w:sz w:val="24"/>
          <w:szCs w:val="24"/>
          <w:b/>
          <w:bCs/>
          <w:spacing w:val="-2"/>
        </w:rPr>
        <w:t>本项目矿界范围内各植被类型面积遥感</w:t>
      </w:r>
      <w:r>
        <w:rPr>
          <w:rFonts w:ascii="FangSong" w:hAnsi="FangSong" w:eastAsia="FangSong" w:cs="FangSong"/>
          <w:sz w:val="24"/>
          <w:szCs w:val="24"/>
          <w:b/>
          <w:bCs/>
          <w:spacing w:val="-3"/>
        </w:rPr>
        <w:t>统计见表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20" w:hRule="atLeast"/>
        </w:trPr>
        <w:tc>
          <w:tcPr>
            <w:tcW w:w="1625" w:type="dxa"/>
            <w:vAlign w:val="top"/>
            <w:tcBorders>
              <w:left w:val="nil"/>
              <w:top w:val="single" w:color="000000" w:sz="10" w:space="0"/>
            </w:tcBorders>
          </w:tcPr>
          <w:p>
            <w:pPr>
              <w:pStyle w:val="TableText"/>
              <w:ind w:left="616"/>
              <w:spacing w:before="55" w:line="231" w:lineRule="auto"/>
              <w:rPr/>
            </w:pPr>
            <w:r>
              <w:rPr>
                <w:spacing w:val="2"/>
              </w:rPr>
              <w:t>序号</w:t>
            </w:r>
          </w:p>
        </w:tc>
        <w:tc>
          <w:tcPr>
            <w:tcW w:w="2635" w:type="dxa"/>
            <w:vAlign w:val="top"/>
            <w:tcBorders>
              <w:top w:val="single" w:color="000000" w:sz="10" w:space="0"/>
            </w:tcBorders>
          </w:tcPr>
          <w:p>
            <w:pPr>
              <w:pStyle w:val="TableText"/>
              <w:ind w:left="908"/>
              <w:spacing w:before="55" w:line="231" w:lineRule="auto"/>
              <w:rPr/>
            </w:pPr>
            <w:r>
              <w:rPr>
                <w:spacing w:val="6"/>
              </w:rPr>
              <w:t>植被类型</w:t>
            </w:r>
          </w:p>
        </w:tc>
        <w:tc>
          <w:tcPr>
            <w:tcW w:w="2131"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2" w:lineRule="auto"/>
              <w:rPr/>
            </w:pPr>
            <w:r>
              <w:rPr/>
              <w:t>比例（</w:t>
            </w:r>
            <w:r>
              <w:rPr>
                <w:rFonts w:ascii="Times New Roman" w:hAnsi="Times New Roman" w:eastAsia="Times New Roman" w:cs="Times New Roman"/>
              </w:rPr>
              <w:t>%</w:t>
            </w:r>
            <w:r>
              <w:rPr/>
              <w:t>）</w:t>
            </w:r>
          </w:p>
        </w:tc>
      </w:tr>
      <w:tr>
        <w:trPr>
          <w:trHeight w:val="316" w:hRule="atLeast"/>
        </w:trPr>
        <w:tc>
          <w:tcPr>
            <w:tcW w:w="1625" w:type="dxa"/>
            <w:vAlign w:val="top"/>
            <w:tcBorders>
              <w:left w:val="nil"/>
            </w:tcBorders>
          </w:tcPr>
          <w:p>
            <w:pPr>
              <w:ind w:left="78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277"/>
              <w:spacing w:before="52" w:line="231" w:lineRule="auto"/>
              <w:rPr/>
            </w:pPr>
            <w:r>
              <w:rPr>
                <w:spacing w:val="3"/>
              </w:rPr>
              <w:t>小叶锦鸡儿、</w:t>
            </w:r>
            <w:r>
              <w:rPr>
                <w:spacing w:val="-47"/>
              </w:rPr>
              <w:t xml:space="preserve"> </w:t>
            </w:r>
            <w:r>
              <w:rPr>
                <w:spacing w:val="3"/>
              </w:rPr>
              <w:t>白刺灌丛</w:t>
            </w:r>
          </w:p>
        </w:tc>
        <w:tc>
          <w:tcPr>
            <w:tcW w:w="2131" w:type="dxa"/>
            <w:vAlign w:val="top"/>
          </w:tcPr>
          <w:p>
            <w:pPr>
              <w:ind w:left="834"/>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68.78</w:t>
            </w:r>
          </w:p>
        </w:tc>
        <w:tc>
          <w:tcPr>
            <w:tcW w:w="2131" w:type="dxa"/>
            <w:vAlign w:val="top"/>
            <w:tcBorders>
              <w:right w:val="nil"/>
            </w:tcBorders>
          </w:tcPr>
          <w:p>
            <w:pPr>
              <w:ind w:left="887"/>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6.15</w:t>
            </w:r>
          </w:p>
        </w:tc>
      </w:tr>
      <w:tr>
        <w:trPr>
          <w:trHeight w:val="316" w:hRule="atLeast"/>
        </w:trPr>
        <w:tc>
          <w:tcPr>
            <w:tcW w:w="1625" w:type="dxa"/>
            <w:vAlign w:val="top"/>
            <w:tcBorders>
              <w:left w:val="nil"/>
            </w:tcBorders>
          </w:tcPr>
          <w:p>
            <w:pPr>
              <w:ind w:left="76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283"/>
              <w:spacing w:before="53" w:line="231" w:lineRule="auto"/>
              <w:rPr/>
            </w:pPr>
            <w:r>
              <w:rPr>
                <w:spacing w:val="7"/>
              </w:rPr>
              <w:t>克氏针茅、芨芨草草原</w:t>
            </w:r>
          </w:p>
        </w:tc>
        <w:tc>
          <w:tcPr>
            <w:tcW w:w="2131" w:type="dxa"/>
            <w:vAlign w:val="top"/>
          </w:tcPr>
          <w:p>
            <w:pPr>
              <w:ind w:left="78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814.18</w:t>
            </w:r>
          </w:p>
        </w:tc>
        <w:tc>
          <w:tcPr>
            <w:tcW w:w="2131" w:type="dxa"/>
            <w:vAlign w:val="top"/>
            <w:tcBorders>
              <w:right w:val="nil"/>
            </w:tcBorders>
          </w:tcPr>
          <w:p>
            <w:pPr>
              <w:ind w:left="83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72.79</w:t>
            </w:r>
          </w:p>
        </w:tc>
      </w:tr>
      <w:tr>
        <w:trPr>
          <w:trHeight w:val="316" w:hRule="atLeast"/>
        </w:trPr>
        <w:tc>
          <w:tcPr>
            <w:tcW w:w="1625" w:type="dxa"/>
            <w:vAlign w:val="top"/>
            <w:tcBorders>
              <w:left w:val="nil"/>
            </w:tcBorders>
          </w:tcPr>
          <w:p>
            <w:pPr>
              <w:ind w:left="76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597"/>
              <w:spacing w:before="56" w:line="229" w:lineRule="auto"/>
              <w:rPr/>
            </w:pPr>
            <w:r>
              <w:rPr>
                <w:spacing w:val="7"/>
              </w:rPr>
              <w:t>沙米等先锋植物</w:t>
            </w:r>
          </w:p>
        </w:tc>
        <w:tc>
          <w:tcPr>
            <w:tcW w:w="2131" w:type="dxa"/>
            <w:vAlign w:val="top"/>
          </w:tcPr>
          <w:p>
            <w:pPr>
              <w:ind w:left="79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192.42</w:t>
            </w:r>
          </w:p>
        </w:tc>
        <w:tc>
          <w:tcPr>
            <w:tcW w:w="2131" w:type="dxa"/>
            <w:vAlign w:val="top"/>
            <w:tcBorders>
              <w:right w:val="nil"/>
            </w:tcBorders>
          </w:tcPr>
          <w:p>
            <w:pPr>
              <w:ind w:left="85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17.21</w:t>
            </w:r>
          </w:p>
        </w:tc>
      </w:tr>
      <w:tr>
        <w:trPr>
          <w:trHeight w:val="319" w:hRule="atLeast"/>
        </w:trPr>
        <w:tc>
          <w:tcPr>
            <w:tcW w:w="1625" w:type="dxa"/>
            <w:vAlign w:val="top"/>
            <w:tcBorders>
              <w:left w:val="nil"/>
            </w:tcBorders>
          </w:tcPr>
          <w:p>
            <w:pPr>
              <w:ind w:left="76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35" w:type="dxa"/>
            <w:vAlign w:val="top"/>
          </w:tcPr>
          <w:p>
            <w:pPr>
              <w:pStyle w:val="TableText"/>
              <w:ind w:left="912"/>
              <w:spacing w:before="56" w:line="229" w:lineRule="auto"/>
              <w:rPr/>
            </w:pPr>
            <w:r>
              <w:rPr>
                <w:spacing w:val="4"/>
              </w:rPr>
              <w:t>栽培植被</w:t>
            </w:r>
          </w:p>
        </w:tc>
        <w:tc>
          <w:tcPr>
            <w:tcW w:w="2131" w:type="dxa"/>
            <w:vAlign w:val="top"/>
          </w:tcPr>
          <w:p>
            <w:pPr>
              <w:ind w:left="82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23.90</w:t>
            </w:r>
          </w:p>
        </w:tc>
        <w:tc>
          <w:tcPr>
            <w:tcW w:w="2131" w:type="dxa"/>
            <w:vAlign w:val="top"/>
            <w:tcBorders>
              <w:right w:val="nil"/>
            </w:tcBorders>
          </w:tcPr>
          <w:p>
            <w:pPr>
              <w:ind w:left="88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14</w:t>
            </w:r>
          </w:p>
        </w:tc>
      </w:tr>
    </w:tbl>
    <w:p>
      <w:pPr>
        <w:pStyle w:val="BodyText"/>
        <w:spacing w:line="115" w:lineRule="exact"/>
        <w:rPr>
          <w:sz w:val="9"/>
        </w:rPr>
      </w:pPr>
      <w:r/>
    </w:p>
    <w:p>
      <w:pPr>
        <w:spacing w:line="115" w:lineRule="exact"/>
        <w:sectPr>
          <w:footerReference w:type="default" r:id="rId260"/>
          <w:pgSz w:w="11906" w:h="16839"/>
          <w:pgMar w:top="400" w:right="1691" w:bottom="1358" w:left="1691" w:header="0" w:footer="1195" w:gutter="0"/>
        </w:sectPr>
        <w:rPr>
          <w:sz w:val="9"/>
          <w:szCs w:val="9"/>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09" w:hRule="atLeast"/>
        </w:trPr>
        <w:tc>
          <w:tcPr>
            <w:tcW w:w="1625" w:type="dxa"/>
            <w:vAlign w:val="top"/>
            <w:tcBorders>
              <w:left w:val="nil"/>
            </w:tcBorders>
          </w:tcPr>
          <w:p>
            <w:pPr>
              <w:ind w:left="770"/>
              <w:spacing w:before="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35" w:type="dxa"/>
            <w:vAlign w:val="top"/>
          </w:tcPr>
          <w:p>
            <w:pPr>
              <w:pStyle w:val="TableText"/>
              <w:ind w:left="911"/>
              <w:spacing w:before="56" w:line="224" w:lineRule="auto"/>
              <w:rPr/>
            </w:pPr>
            <w:r>
              <w:rPr>
                <w:spacing w:val="5"/>
              </w:rPr>
              <w:t>无植被区</w:t>
            </w:r>
          </w:p>
        </w:tc>
        <w:tc>
          <w:tcPr>
            <w:tcW w:w="2131" w:type="dxa"/>
            <w:vAlign w:val="top"/>
          </w:tcPr>
          <w:p>
            <w:pPr>
              <w:ind w:left="84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19.06</w:t>
            </w:r>
          </w:p>
        </w:tc>
        <w:tc>
          <w:tcPr>
            <w:tcW w:w="2131" w:type="dxa"/>
            <w:vAlign w:val="top"/>
            <w:tcBorders>
              <w:right w:val="nil"/>
            </w:tcBorders>
          </w:tcPr>
          <w:p>
            <w:pPr>
              <w:ind w:left="90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1.71</w:t>
            </w:r>
          </w:p>
        </w:tc>
      </w:tr>
      <w:tr>
        <w:trPr>
          <w:trHeight w:val="328" w:hRule="atLeast"/>
        </w:trPr>
        <w:tc>
          <w:tcPr>
            <w:tcW w:w="4260" w:type="dxa"/>
            <w:vAlign w:val="top"/>
            <w:gridSpan w:val="2"/>
            <w:tcBorders>
              <w:left w:val="nil"/>
              <w:bottom w:val="single" w:color="000000" w:sz="10" w:space="0"/>
            </w:tcBorders>
          </w:tcPr>
          <w:p>
            <w:pPr>
              <w:pStyle w:val="TableText"/>
              <w:ind w:left="1939"/>
              <w:spacing w:before="63" w:line="231" w:lineRule="auto"/>
              <w:rPr/>
            </w:pPr>
            <w:r>
              <w:rPr>
                <w:spacing w:val="-1"/>
              </w:rPr>
              <w:t>合计</w:t>
            </w:r>
          </w:p>
        </w:tc>
        <w:tc>
          <w:tcPr>
            <w:tcW w:w="2131" w:type="dxa"/>
            <w:vAlign w:val="top"/>
            <w:tcBorders>
              <w:bottom w:val="single" w:color="000000" w:sz="10" w:space="0"/>
            </w:tcBorders>
          </w:tcPr>
          <w:p>
            <w:pPr>
              <w:ind w:left="753"/>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1117.76</w:t>
            </w:r>
          </w:p>
        </w:tc>
        <w:tc>
          <w:tcPr>
            <w:tcW w:w="2131" w:type="dxa"/>
            <w:vAlign w:val="top"/>
            <w:tcBorders>
              <w:right w:val="nil"/>
              <w:bottom w:val="single" w:color="000000" w:sz="10" w:space="0"/>
            </w:tcBorders>
          </w:tcPr>
          <w:p>
            <w:pPr>
              <w:ind w:left="79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1" w:lineRule="auto"/>
        <w:rPr/>
      </w:pPr>
      <w:r/>
    </w:p>
    <w:p>
      <w:pPr>
        <w:ind w:left="1287"/>
        <w:spacing w:before="78"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5.6-6  </w:t>
      </w:r>
      <w:r>
        <w:rPr>
          <w:rFonts w:ascii="FangSong" w:hAnsi="FangSong" w:eastAsia="FangSong" w:cs="FangSong"/>
          <w:sz w:val="24"/>
          <w:szCs w:val="24"/>
          <w:b/>
          <w:bCs/>
          <w:spacing w:val="-2"/>
        </w:rPr>
        <w:t>本项目调查范围内各植被类型面积遥感</w:t>
      </w:r>
      <w:r>
        <w:rPr>
          <w:rFonts w:ascii="FangSong" w:hAnsi="FangSong" w:eastAsia="FangSong" w:cs="FangSong"/>
          <w:sz w:val="24"/>
          <w:szCs w:val="24"/>
          <w:b/>
          <w:bCs/>
          <w:spacing w:val="-3"/>
        </w:rPr>
        <w:t>统计见表</w:t>
      </w:r>
    </w:p>
    <w:p>
      <w:pPr>
        <w:spacing w:line="64"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7"/>
        <w:gridCol w:w="2643"/>
        <w:gridCol w:w="2130"/>
        <w:gridCol w:w="2131"/>
      </w:tblGrid>
      <w:tr>
        <w:trPr>
          <w:trHeight w:val="318" w:hRule="atLeast"/>
        </w:trPr>
        <w:tc>
          <w:tcPr>
            <w:tcW w:w="1617" w:type="dxa"/>
            <w:vAlign w:val="top"/>
            <w:tcBorders>
              <w:left w:val="nil"/>
              <w:top w:val="single" w:color="000000" w:sz="10" w:space="0"/>
            </w:tcBorders>
          </w:tcPr>
          <w:p>
            <w:pPr>
              <w:pStyle w:val="TableText"/>
              <w:ind w:left="611"/>
              <w:spacing w:before="55" w:line="231" w:lineRule="auto"/>
              <w:rPr/>
            </w:pPr>
            <w:r>
              <w:rPr>
                <w:spacing w:val="2"/>
              </w:rPr>
              <w:t>序号</w:t>
            </w:r>
          </w:p>
        </w:tc>
        <w:tc>
          <w:tcPr>
            <w:tcW w:w="2643" w:type="dxa"/>
            <w:vAlign w:val="top"/>
            <w:tcBorders>
              <w:top w:val="single" w:color="000000" w:sz="10" w:space="0"/>
            </w:tcBorders>
          </w:tcPr>
          <w:p>
            <w:pPr>
              <w:pStyle w:val="TableText"/>
              <w:ind w:left="911"/>
              <w:spacing w:before="55" w:line="231" w:lineRule="auto"/>
              <w:rPr/>
            </w:pPr>
            <w:r>
              <w:rPr>
                <w:spacing w:val="6"/>
              </w:rPr>
              <w:t>植被类型</w:t>
            </w:r>
          </w:p>
        </w:tc>
        <w:tc>
          <w:tcPr>
            <w:tcW w:w="2130"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3"/>
              <w:spacing w:before="55" w:line="232" w:lineRule="auto"/>
              <w:rPr/>
            </w:pPr>
            <w:r>
              <w:rPr/>
              <w:t>比例（</w:t>
            </w:r>
            <w:r>
              <w:rPr>
                <w:rFonts w:ascii="Times New Roman" w:hAnsi="Times New Roman" w:eastAsia="Times New Roman" w:cs="Times New Roman"/>
              </w:rPr>
              <w:t>%</w:t>
            </w:r>
            <w:r>
              <w:rPr/>
              <w:t>）</w:t>
            </w:r>
          </w:p>
        </w:tc>
      </w:tr>
      <w:tr>
        <w:trPr>
          <w:trHeight w:val="313" w:hRule="atLeast"/>
        </w:trPr>
        <w:tc>
          <w:tcPr>
            <w:tcW w:w="1617" w:type="dxa"/>
            <w:vAlign w:val="top"/>
            <w:tcBorders>
              <w:left w:val="nil"/>
            </w:tcBorders>
          </w:tcPr>
          <w:p>
            <w:pPr>
              <w:ind w:left="780"/>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43" w:type="dxa"/>
            <w:vAlign w:val="top"/>
          </w:tcPr>
          <w:p>
            <w:pPr>
              <w:pStyle w:val="TableText"/>
              <w:ind w:left="283"/>
              <w:spacing w:before="54" w:line="229" w:lineRule="auto"/>
              <w:rPr/>
            </w:pPr>
            <w:r>
              <w:rPr>
                <w:spacing w:val="3"/>
              </w:rPr>
              <w:t>小叶锦鸡儿、</w:t>
            </w:r>
            <w:r>
              <w:rPr>
                <w:spacing w:val="-47"/>
              </w:rPr>
              <w:t xml:space="preserve"> </w:t>
            </w:r>
            <w:r>
              <w:rPr>
                <w:spacing w:val="3"/>
              </w:rPr>
              <w:t>白刺灌丛</w:t>
            </w:r>
          </w:p>
        </w:tc>
        <w:tc>
          <w:tcPr>
            <w:tcW w:w="2130" w:type="dxa"/>
            <w:vAlign w:val="top"/>
          </w:tcPr>
          <w:p>
            <w:pPr>
              <w:ind w:left="781"/>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367.06</w:t>
            </w:r>
          </w:p>
        </w:tc>
        <w:tc>
          <w:tcPr>
            <w:tcW w:w="2131" w:type="dxa"/>
            <w:vAlign w:val="top"/>
            <w:tcBorders>
              <w:right w:val="nil"/>
            </w:tcBorders>
          </w:tcPr>
          <w:p>
            <w:pPr>
              <w:ind w:left="88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w:t>
            </w:r>
          </w:p>
        </w:tc>
      </w:tr>
      <w:tr>
        <w:trPr>
          <w:trHeight w:val="314" w:hRule="atLeast"/>
        </w:trPr>
        <w:tc>
          <w:tcPr>
            <w:tcW w:w="1617" w:type="dxa"/>
            <w:vAlign w:val="top"/>
            <w:tcBorders>
              <w:left w:val="nil"/>
            </w:tcBorders>
          </w:tcPr>
          <w:p>
            <w:pPr>
              <w:ind w:left="76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43" w:type="dxa"/>
            <w:vAlign w:val="top"/>
          </w:tcPr>
          <w:p>
            <w:pPr>
              <w:pStyle w:val="TableText"/>
              <w:ind w:left="288"/>
              <w:spacing w:before="58" w:line="227" w:lineRule="auto"/>
              <w:rPr/>
            </w:pPr>
            <w:r>
              <w:rPr>
                <w:spacing w:val="7"/>
              </w:rPr>
              <w:t>克氏针茅、芨芨草草原</w:t>
            </w:r>
          </w:p>
        </w:tc>
        <w:tc>
          <w:tcPr>
            <w:tcW w:w="2130" w:type="dxa"/>
            <w:vAlign w:val="top"/>
          </w:tcPr>
          <w:p>
            <w:pPr>
              <w:ind w:left="73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3590.18</w:t>
            </w:r>
          </w:p>
        </w:tc>
        <w:tc>
          <w:tcPr>
            <w:tcW w:w="2131" w:type="dxa"/>
            <w:vAlign w:val="top"/>
            <w:tcBorders>
              <w:right w:val="nil"/>
            </w:tcBorders>
          </w:tcPr>
          <w:p>
            <w:pPr>
              <w:ind w:left="836"/>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55.62</w:t>
            </w:r>
          </w:p>
        </w:tc>
      </w:tr>
      <w:tr>
        <w:trPr>
          <w:trHeight w:val="313" w:hRule="atLeast"/>
        </w:trPr>
        <w:tc>
          <w:tcPr>
            <w:tcW w:w="1617" w:type="dxa"/>
            <w:vAlign w:val="top"/>
            <w:tcBorders>
              <w:left w:val="nil"/>
            </w:tcBorders>
          </w:tcPr>
          <w:p>
            <w:pPr>
              <w:ind w:left="76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43" w:type="dxa"/>
            <w:vAlign w:val="top"/>
          </w:tcPr>
          <w:p>
            <w:pPr>
              <w:pStyle w:val="TableText"/>
              <w:ind w:left="600"/>
              <w:spacing w:before="63" w:line="221" w:lineRule="auto"/>
              <w:rPr/>
            </w:pPr>
            <w:r>
              <w:rPr>
                <w:spacing w:val="7"/>
              </w:rPr>
              <w:t>沙米等先锋植物</w:t>
            </w:r>
          </w:p>
        </w:tc>
        <w:tc>
          <w:tcPr>
            <w:tcW w:w="2130" w:type="dxa"/>
            <w:vAlign w:val="top"/>
          </w:tcPr>
          <w:p>
            <w:pPr>
              <w:ind w:left="726"/>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2410.86</w:t>
            </w:r>
          </w:p>
        </w:tc>
        <w:tc>
          <w:tcPr>
            <w:tcW w:w="2131" w:type="dxa"/>
            <w:vAlign w:val="top"/>
            <w:tcBorders>
              <w:right w:val="nil"/>
            </w:tcBorders>
          </w:tcPr>
          <w:p>
            <w:pPr>
              <w:ind w:left="83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37.35</w:t>
            </w:r>
          </w:p>
        </w:tc>
      </w:tr>
      <w:tr>
        <w:trPr>
          <w:trHeight w:val="313" w:hRule="atLeast"/>
        </w:trPr>
        <w:tc>
          <w:tcPr>
            <w:tcW w:w="1617" w:type="dxa"/>
            <w:vAlign w:val="top"/>
            <w:tcBorders>
              <w:left w:val="nil"/>
            </w:tcBorders>
          </w:tcPr>
          <w:p>
            <w:pPr>
              <w:ind w:left="75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43" w:type="dxa"/>
            <w:vAlign w:val="top"/>
          </w:tcPr>
          <w:p>
            <w:pPr>
              <w:pStyle w:val="TableText"/>
              <w:ind w:left="916"/>
              <w:spacing w:before="66" w:line="218" w:lineRule="auto"/>
              <w:rPr/>
            </w:pPr>
            <w:r>
              <w:rPr>
                <w:spacing w:val="4"/>
              </w:rPr>
              <w:t>栽培植被</w:t>
            </w:r>
          </w:p>
        </w:tc>
        <w:tc>
          <w:tcPr>
            <w:tcW w:w="2130" w:type="dxa"/>
            <w:vAlign w:val="top"/>
          </w:tcPr>
          <w:p>
            <w:pPr>
              <w:ind w:left="834"/>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32.75</w:t>
            </w:r>
          </w:p>
        </w:tc>
        <w:tc>
          <w:tcPr>
            <w:tcW w:w="2131" w:type="dxa"/>
            <w:vAlign w:val="top"/>
            <w:tcBorders>
              <w:right w:val="nil"/>
            </w:tcBorders>
          </w:tcPr>
          <w:p>
            <w:pPr>
              <w:ind w:left="887"/>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r>
      <w:tr>
        <w:trPr>
          <w:trHeight w:val="314" w:hRule="atLeast"/>
        </w:trPr>
        <w:tc>
          <w:tcPr>
            <w:tcW w:w="1617" w:type="dxa"/>
            <w:vAlign w:val="top"/>
            <w:tcBorders>
              <w:left w:val="nil"/>
            </w:tcBorders>
          </w:tcPr>
          <w:p>
            <w:pPr>
              <w:ind w:left="76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43" w:type="dxa"/>
            <w:vAlign w:val="top"/>
          </w:tcPr>
          <w:p>
            <w:pPr>
              <w:pStyle w:val="TableText"/>
              <w:ind w:left="914"/>
              <w:spacing w:before="70" w:line="216" w:lineRule="auto"/>
              <w:rPr/>
            </w:pPr>
            <w:r>
              <w:rPr>
                <w:spacing w:val="5"/>
              </w:rPr>
              <w:t>无植被区</w:t>
            </w:r>
          </w:p>
        </w:tc>
        <w:tc>
          <w:tcPr>
            <w:tcW w:w="2130" w:type="dxa"/>
            <w:vAlign w:val="top"/>
          </w:tcPr>
          <w:p>
            <w:pPr>
              <w:ind w:left="83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54.28</w:t>
            </w:r>
          </w:p>
        </w:tc>
        <w:tc>
          <w:tcPr>
            <w:tcW w:w="2131" w:type="dxa"/>
            <w:vAlign w:val="top"/>
            <w:tcBorders>
              <w:right w:val="nil"/>
            </w:tcBorders>
          </w:tcPr>
          <w:p>
            <w:pPr>
              <w:ind w:left="88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0.84</w:t>
            </w:r>
          </w:p>
        </w:tc>
      </w:tr>
      <w:tr>
        <w:trPr>
          <w:trHeight w:val="337" w:hRule="atLeast"/>
        </w:trPr>
        <w:tc>
          <w:tcPr>
            <w:tcW w:w="4260" w:type="dxa"/>
            <w:vAlign w:val="top"/>
            <w:gridSpan w:val="2"/>
            <w:tcBorders>
              <w:left w:val="nil"/>
              <w:bottom w:val="single" w:color="000000" w:sz="10" w:space="0"/>
            </w:tcBorders>
          </w:tcPr>
          <w:p>
            <w:pPr>
              <w:pStyle w:val="TableText"/>
              <w:ind w:left="1939"/>
              <w:spacing w:before="72" w:line="231" w:lineRule="auto"/>
              <w:rPr/>
            </w:pPr>
            <w:r>
              <w:rPr>
                <w:spacing w:val="-1"/>
              </w:rPr>
              <w:t>合计</w:t>
            </w:r>
          </w:p>
        </w:tc>
        <w:tc>
          <w:tcPr>
            <w:tcW w:w="2130" w:type="dxa"/>
            <w:vAlign w:val="top"/>
            <w:tcBorders>
              <w:bottom w:val="single" w:color="000000" w:sz="10" w:space="0"/>
            </w:tcBorders>
          </w:tcPr>
          <w:p>
            <w:pPr>
              <w:ind w:left="73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6455.13</w:t>
            </w:r>
          </w:p>
        </w:tc>
        <w:tc>
          <w:tcPr>
            <w:tcW w:w="2131" w:type="dxa"/>
            <w:vAlign w:val="top"/>
            <w:tcBorders>
              <w:right w:val="nil"/>
              <w:bottom w:val="single" w:color="000000" w:sz="10" w:space="0"/>
            </w:tcBorders>
          </w:tcPr>
          <w:p>
            <w:pPr>
              <w:ind w:left="79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1"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5.6.5.3  </w:t>
      </w:r>
      <w:r>
        <w:rPr>
          <w:rFonts w:ascii="FangSong" w:hAnsi="FangSong" w:eastAsia="FangSong" w:cs="FangSong"/>
          <w:sz w:val="24"/>
          <w:szCs w:val="24"/>
          <w:b/>
          <w:bCs/>
          <w:spacing w:val="-2"/>
        </w:rPr>
        <w:t>调查范围植被名录</w:t>
      </w:r>
    </w:p>
    <w:p>
      <w:pPr>
        <w:ind w:left="604"/>
        <w:spacing w:before="179" w:line="220" w:lineRule="auto"/>
        <w:rPr>
          <w:rFonts w:ascii="FangSong" w:hAnsi="FangSong" w:eastAsia="FangSong" w:cs="FangSong"/>
          <w:sz w:val="24"/>
          <w:szCs w:val="24"/>
        </w:rPr>
      </w:pPr>
      <w:r>
        <w:rPr>
          <w:rFonts w:ascii="FangSong" w:hAnsi="FangSong" w:eastAsia="FangSong" w:cs="FangSong"/>
          <w:sz w:val="24"/>
          <w:szCs w:val="24"/>
          <w:spacing w:val="-3"/>
        </w:rPr>
        <w:t>根据现场勘查及资料收集，结合遥感影像分析</w:t>
      </w:r>
      <w:r>
        <w:rPr>
          <w:rFonts w:ascii="FangSong" w:hAnsi="FangSong" w:eastAsia="FangSong" w:cs="FangSong"/>
          <w:sz w:val="24"/>
          <w:szCs w:val="24"/>
          <w:spacing w:val="-4"/>
        </w:rPr>
        <w:t>，调查范围内植被植物名录见</w:t>
      </w:r>
    </w:p>
    <w:p>
      <w:pPr>
        <w:ind w:left="125"/>
        <w:spacing w:before="183" w:line="224" w:lineRule="auto"/>
        <w:rPr>
          <w:rFonts w:ascii="FangSong" w:hAnsi="FangSong" w:eastAsia="FangSong" w:cs="FangSong"/>
          <w:sz w:val="24"/>
          <w:szCs w:val="24"/>
        </w:rPr>
      </w:pPr>
      <w:r>
        <w:rPr>
          <w:rFonts w:ascii="FangSong" w:hAnsi="FangSong" w:eastAsia="FangSong" w:cs="FangSong"/>
          <w:sz w:val="24"/>
          <w:szCs w:val="24"/>
          <w:spacing w:val="-5"/>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5.6-7</w:t>
      </w:r>
      <w:r>
        <w:rPr>
          <w:rFonts w:ascii="FangSong" w:hAnsi="FangSong" w:eastAsia="FangSong" w:cs="FangSong"/>
          <w:sz w:val="24"/>
          <w:szCs w:val="24"/>
          <w:spacing w:val="-5"/>
        </w:rPr>
        <w:t>。</w:t>
      </w:r>
    </w:p>
    <w:p>
      <w:pPr>
        <w:ind w:left="2854"/>
        <w:spacing w:before="176"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5.6-7  </w:t>
      </w:r>
      <w:r>
        <w:rPr>
          <w:rFonts w:ascii="FangSong" w:hAnsi="FangSong" w:eastAsia="FangSong" w:cs="FangSong"/>
          <w:sz w:val="24"/>
          <w:szCs w:val="24"/>
          <w:b/>
          <w:bCs/>
          <w:spacing w:val="-3"/>
        </w:rPr>
        <w:t>调查范围植物名录</w:t>
      </w:r>
    </w:p>
    <w:p>
      <w:pPr>
        <w:spacing w:line="66" w:lineRule="exact"/>
        <w:rPr/>
      </w:pPr>
      <w:r/>
    </w:p>
    <w:tbl>
      <w:tblPr>
        <w:tblStyle w:val="TableNormal"/>
        <w:tblW w:w="8418" w:type="dxa"/>
        <w:tblInd w:w="5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1"/>
        <w:gridCol w:w="2054"/>
        <w:gridCol w:w="5283"/>
      </w:tblGrid>
      <w:tr>
        <w:trPr>
          <w:trHeight w:val="405" w:hRule="atLeast"/>
        </w:trPr>
        <w:tc>
          <w:tcPr>
            <w:tcW w:w="1081" w:type="dxa"/>
            <w:vAlign w:val="top"/>
            <w:tcBorders>
              <w:left w:val="nil"/>
              <w:top w:val="single" w:color="000000" w:sz="10" w:space="0"/>
            </w:tcBorders>
          </w:tcPr>
          <w:p>
            <w:pPr>
              <w:pStyle w:val="TableText"/>
              <w:ind w:left="343"/>
              <w:spacing w:before="99" w:line="231" w:lineRule="auto"/>
              <w:rPr/>
            </w:pPr>
            <w:r>
              <w:rPr>
                <w:spacing w:val="2"/>
              </w:rPr>
              <w:t>序号</w:t>
            </w:r>
          </w:p>
        </w:tc>
        <w:tc>
          <w:tcPr>
            <w:tcW w:w="2054" w:type="dxa"/>
            <w:vAlign w:val="top"/>
            <w:tcBorders>
              <w:top w:val="single" w:color="000000" w:sz="10" w:space="0"/>
            </w:tcBorders>
          </w:tcPr>
          <w:p>
            <w:pPr>
              <w:pStyle w:val="TableText"/>
              <w:ind w:left="750"/>
              <w:spacing w:before="99" w:line="231" w:lineRule="auto"/>
              <w:rPr/>
            </w:pPr>
            <w:r>
              <w:rPr>
                <w:spacing w:val="-4"/>
              </w:rPr>
              <w:t>中文名</w:t>
            </w:r>
          </w:p>
        </w:tc>
        <w:tc>
          <w:tcPr>
            <w:tcW w:w="5283" w:type="dxa"/>
            <w:vAlign w:val="top"/>
            <w:tcBorders>
              <w:right w:val="nil"/>
              <w:top w:val="single" w:color="000000" w:sz="10" w:space="0"/>
            </w:tcBorders>
          </w:tcPr>
          <w:p>
            <w:pPr>
              <w:pStyle w:val="TableText"/>
              <w:ind w:left="2336"/>
              <w:spacing w:before="99" w:line="232" w:lineRule="auto"/>
              <w:rPr/>
            </w:pPr>
            <w:r>
              <w:rPr>
                <w:spacing w:val="5"/>
              </w:rPr>
              <w:t>拉丁名</w:t>
            </w:r>
          </w:p>
        </w:tc>
      </w:tr>
      <w:tr>
        <w:trPr>
          <w:trHeight w:val="401" w:hRule="atLeast"/>
        </w:trPr>
        <w:tc>
          <w:tcPr>
            <w:tcW w:w="1081" w:type="dxa"/>
            <w:vAlign w:val="top"/>
            <w:tcBorders>
              <w:left w:val="nil"/>
            </w:tcBorders>
          </w:tcPr>
          <w:p>
            <w:pPr>
              <w:pStyle w:val="TableText"/>
              <w:ind w:left="452"/>
              <w:spacing w:before="179" w:line="150" w:lineRule="exact"/>
              <w:rPr/>
            </w:pPr>
            <w:r>
              <w:rPr>
                <w:position w:val="-3"/>
              </w:rPr>
              <w:t>一</w:t>
            </w:r>
          </w:p>
        </w:tc>
        <w:tc>
          <w:tcPr>
            <w:tcW w:w="2054" w:type="dxa"/>
            <w:vAlign w:val="top"/>
          </w:tcPr>
          <w:p>
            <w:pPr>
              <w:pStyle w:val="TableText"/>
              <w:ind w:left="725"/>
              <w:spacing w:before="94" w:line="230" w:lineRule="auto"/>
              <w:rPr/>
            </w:pPr>
            <w:r>
              <w:rPr>
                <w:spacing w:val="4"/>
              </w:rPr>
              <w:t>麻黄科</w:t>
            </w:r>
          </w:p>
        </w:tc>
        <w:tc>
          <w:tcPr>
            <w:tcW w:w="5283" w:type="dxa"/>
            <w:vAlign w:val="top"/>
            <w:tcBorders>
              <w:right w:val="nil"/>
            </w:tcBorders>
          </w:tcPr>
          <w:p>
            <w:pPr>
              <w:ind w:left="2106"/>
              <w:spacing w:before="12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Ephedraceae</w:t>
            </w:r>
          </w:p>
        </w:tc>
      </w:tr>
      <w:tr>
        <w:trPr>
          <w:trHeight w:val="400" w:hRule="atLeast"/>
        </w:trPr>
        <w:tc>
          <w:tcPr>
            <w:tcW w:w="1081" w:type="dxa"/>
            <w:vAlign w:val="top"/>
            <w:tcBorders>
              <w:left w:val="nil"/>
            </w:tcBorders>
          </w:tcPr>
          <w:p>
            <w:pPr>
              <w:ind w:left="51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54" w:type="dxa"/>
            <w:vAlign w:val="top"/>
          </w:tcPr>
          <w:p>
            <w:pPr>
              <w:pStyle w:val="TableText"/>
              <w:ind w:left="828"/>
              <w:spacing w:before="96" w:line="230" w:lineRule="auto"/>
              <w:rPr/>
            </w:pPr>
            <w:r>
              <w:rPr>
                <w:spacing w:val="1"/>
              </w:rPr>
              <w:t>麻黄</w:t>
            </w:r>
          </w:p>
        </w:tc>
        <w:tc>
          <w:tcPr>
            <w:tcW w:w="5283" w:type="dxa"/>
            <w:vAlign w:val="top"/>
            <w:tcBorders>
              <w:right w:val="nil"/>
            </w:tcBorders>
          </w:tcPr>
          <w:p>
            <w:pPr>
              <w:ind w:left="1773"/>
              <w:spacing w:before="12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Ephedra sinica</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4"/>
              </w:rPr>
              <w:t>Stapf</w:t>
            </w:r>
          </w:p>
        </w:tc>
      </w:tr>
      <w:tr>
        <w:trPr>
          <w:trHeight w:val="401" w:hRule="atLeast"/>
        </w:trPr>
        <w:tc>
          <w:tcPr>
            <w:tcW w:w="1081" w:type="dxa"/>
            <w:vAlign w:val="top"/>
            <w:tcBorders>
              <w:left w:val="nil"/>
            </w:tcBorders>
          </w:tcPr>
          <w:p>
            <w:pPr>
              <w:pStyle w:val="TableText"/>
              <w:ind w:left="455"/>
              <w:spacing w:before="139" w:line="180" w:lineRule="auto"/>
              <w:rPr/>
            </w:pPr>
            <w:r>
              <w:rPr/>
              <w:t>二</w:t>
            </w:r>
          </w:p>
        </w:tc>
        <w:tc>
          <w:tcPr>
            <w:tcW w:w="2054" w:type="dxa"/>
            <w:vAlign w:val="top"/>
          </w:tcPr>
          <w:p>
            <w:pPr>
              <w:pStyle w:val="TableText"/>
              <w:ind w:left="827"/>
              <w:spacing w:before="97" w:line="231" w:lineRule="auto"/>
              <w:rPr/>
            </w:pPr>
            <w:r>
              <w:rPr>
                <w:spacing w:val="1"/>
              </w:rPr>
              <w:t>藜科</w:t>
            </w:r>
          </w:p>
        </w:tc>
        <w:tc>
          <w:tcPr>
            <w:tcW w:w="5283" w:type="dxa"/>
            <w:vAlign w:val="top"/>
            <w:tcBorders>
              <w:right w:val="nil"/>
            </w:tcBorders>
          </w:tcPr>
          <w:p>
            <w:pPr>
              <w:ind w:left="1951"/>
              <w:spacing w:before="12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Chenopodiaceae</w:t>
            </w:r>
          </w:p>
        </w:tc>
      </w:tr>
      <w:tr>
        <w:trPr>
          <w:trHeight w:val="401" w:hRule="atLeast"/>
        </w:trPr>
        <w:tc>
          <w:tcPr>
            <w:tcW w:w="1081" w:type="dxa"/>
            <w:vAlign w:val="top"/>
            <w:tcBorders>
              <w:left w:val="nil"/>
            </w:tcBorders>
          </w:tcPr>
          <w:p>
            <w:pPr>
              <w:ind w:left="49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54" w:type="dxa"/>
            <w:vAlign w:val="top"/>
          </w:tcPr>
          <w:p>
            <w:pPr>
              <w:pStyle w:val="TableText"/>
              <w:ind w:left="725"/>
              <w:spacing w:before="100" w:line="226" w:lineRule="auto"/>
              <w:rPr/>
            </w:pPr>
            <w:r>
              <w:rPr>
                <w:spacing w:val="4"/>
              </w:rPr>
              <w:t>猪毛菜</w:t>
            </w:r>
          </w:p>
        </w:tc>
        <w:tc>
          <w:tcPr>
            <w:tcW w:w="5283" w:type="dxa"/>
            <w:vAlign w:val="top"/>
            <w:tcBorders>
              <w:right w:val="nil"/>
            </w:tcBorders>
          </w:tcPr>
          <w:p>
            <w:pPr>
              <w:ind w:left="1820"/>
              <w:spacing w:before="1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Salsola collina</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2"/>
              </w:rPr>
              <w:t>Pall.</w:t>
            </w:r>
          </w:p>
        </w:tc>
      </w:tr>
      <w:tr>
        <w:trPr>
          <w:trHeight w:val="401" w:hRule="atLeast"/>
        </w:trPr>
        <w:tc>
          <w:tcPr>
            <w:tcW w:w="1081" w:type="dxa"/>
            <w:vAlign w:val="top"/>
            <w:tcBorders>
              <w:left w:val="nil"/>
            </w:tcBorders>
          </w:tcPr>
          <w:p>
            <w:pPr>
              <w:ind w:left="49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54" w:type="dxa"/>
            <w:vAlign w:val="top"/>
          </w:tcPr>
          <w:p>
            <w:pPr>
              <w:pStyle w:val="TableText"/>
              <w:ind w:left="723"/>
              <w:spacing w:before="101" w:line="231" w:lineRule="auto"/>
              <w:rPr/>
            </w:pPr>
            <w:r>
              <w:rPr>
                <w:spacing w:val="5"/>
              </w:rPr>
              <w:t>刺沙蓬</w:t>
            </w:r>
          </w:p>
        </w:tc>
        <w:tc>
          <w:tcPr>
            <w:tcW w:w="5283" w:type="dxa"/>
            <w:vAlign w:val="top"/>
            <w:tcBorders>
              <w:right w:val="nil"/>
            </w:tcBorders>
          </w:tcPr>
          <w:p>
            <w:pPr>
              <w:ind w:left="1930"/>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Salsola ruthenica</w:t>
            </w:r>
          </w:p>
        </w:tc>
      </w:tr>
      <w:tr>
        <w:trPr>
          <w:trHeight w:val="401" w:hRule="atLeast"/>
        </w:trPr>
        <w:tc>
          <w:tcPr>
            <w:tcW w:w="1081" w:type="dxa"/>
            <w:vAlign w:val="top"/>
            <w:tcBorders>
              <w:left w:val="nil"/>
            </w:tcBorders>
          </w:tcPr>
          <w:p>
            <w:pPr>
              <w:ind w:left="491"/>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054" w:type="dxa"/>
            <w:vAlign w:val="top"/>
          </w:tcPr>
          <w:p>
            <w:pPr>
              <w:pStyle w:val="TableText"/>
              <w:ind w:left="830"/>
              <w:spacing w:before="100" w:line="231" w:lineRule="auto"/>
              <w:rPr/>
            </w:pPr>
            <w:r>
              <w:rPr/>
              <w:t>沙米</w:t>
            </w:r>
          </w:p>
        </w:tc>
        <w:tc>
          <w:tcPr>
            <w:tcW w:w="5283" w:type="dxa"/>
            <w:vAlign w:val="top"/>
            <w:tcBorders>
              <w:right w:val="nil"/>
            </w:tcBorders>
          </w:tcPr>
          <w:p>
            <w:pPr>
              <w:pStyle w:val="TableText"/>
              <w:ind w:left="764"/>
              <w:spacing w:before="101" w:line="221" w:lineRule="auto"/>
              <w:rPr>
                <w:rFonts w:ascii="Times New Roman" w:hAnsi="Times New Roman" w:eastAsia="Times New Roman" w:cs="Times New Roman"/>
              </w:rPr>
            </w:pPr>
            <w:r>
              <w:rPr>
                <w:rFonts w:ascii="Times New Roman" w:hAnsi="Times New Roman" w:eastAsia="Times New Roman" w:cs="Times New Roman"/>
              </w:rPr>
              <w:t>Agriophyllum</w:t>
            </w:r>
            <w:r>
              <w:rPr>
                <w:rFonts w:ascii="Times New Roman" w:hAnsi="Times New Roman" w:eastAsia="Times New Roman" w:cs="Times New Roman"/>
                <w:spacing w:val="17"/>
              </w:rPr>
              <w:t xml:space="preserve"> </w:t>
            </w:r>
            <w:r>
              <w:rPr>
                <w:rFonts w:ascii="Times New Roman" w:hAnsi="Times New Roman" w:eastAsia="Times New Roman" w:cs="Times New Roman"/>
              </w:rPr>
              <w:t>squarrosum</w:t>
            </w:r>
            <w:r>
              <w:rPr>
                <w:rFonts w:ascii="Times New Roman" w:hAnsi="Times New Roman" w:eastAsia="Times New Roman" w:cs="Times New Roman"/>
                <w:spacing w:val="17"/>
              </w:rPr>
              <w:t xml:space="preserve">  </w:t>
            </w:r>
            <w:r>
              <w:rPr>
                <w:spacing w:val="17"/>
              </w:rPr>
              <w:t>（</w:t>
            </w:r>
            <w:r>
              <w:rPr>
                <w:rFonts w:ascii="Times New Roman" w:hAnsi="Times New Roman" w:eastAsia="Times New Roman" w:cs="Times New Roman"/>
              </w:rPr>
              <w:t>Linn</w:t>
            </w:r>
            <w:r>
              <w:rPr>
                <w:rFonts w:ascii="Times New Roman" w:hAnsi="Times New Roman" w:eastAsia="Times New Roman" w:cs="Times New Roman"/>
                <w:spacing w:val="17"/>
              </w:rPr>
              <w:t>.</w:t>
            </w:r>
            <w:r>
              <w:rPr>
                <w:rFonts w:ascii="Times New Roman" w:hAnsi="Times New Roman" w:eastAsia="Times New Roman" w:cs="Times New Roman"/>
                <w:spacing w:val="-13"/>
              </w:rPr>
              <w:t xml:space="preserve"> </w:t>
            </w:r>
            <w:r>
              <w:rPr>
                <w:spacing w:val="17"/>
              </w:rPr>
              <w:t>）</w:t>
            </w:r>
            <w:r>
              <w:rPr>
                <w:spacing w:val="17"/>
              </w:rPr>
              <w:t xml:space="preserve"> </w:t>
            </w:r>
            <w:r>
              <w:rPr>
                <w:rFonts w:ascii="Times New Roman" w:hAnsi="Times New Roman" w:eastAsia="Times New Roman" w:cs="Times New Roman"/>
              </w:rPr>
              <w:t>Moq</w:t>
            </w:r>
            <w:r>
              <w:rPr>
                <w:rFonts w:ascii="Times New Roman" w:hAnsi="Times New Roman" w:eastAsia="Times New Roman" w:cs="Times New Roman"/>
                <w:spacing w:val="17"/>
              </w:rPr>
              <w:t>.</w:t>
            </w:r>
          </w:p>
        </w:tc>
      </w:tr>
      <w:tr>
        <w:trPr>
          <w:trHeight w:val="400" w:hRule="atLeast"/>
        </w:trPr>
        <w:tc>
          <w:tcPr>
            <w:tcW w:w="1081" w:type="dxa"/>
            <w:vAlign w:val="top"/>
            <w:tcBorders>
              <w:left w:val="nil"/>
            </w:tcBorders>
          </w:tcPr>
          <w:p>
            <w:pPr>
              <w:pStyle w:val="TableText"/>
              <w:ind w:left="454"/>
              <w:spacing w:before="130" w:line="194" w:lineRule="auto"/>
              <w:rPr/>
            </w:pPr>
            <w:r>
              <w:rPr/>
              <w:t>三</w:t>
            </w:r>
          </w:p>
        </w:tc>
        <w:tc>
          <w:tcPr>
            <w:tcW w:w="2054" w:type="dxa"/>
            <w:vAlign w:val="top"/>
          </w:tcPr>
          <w:p>
            <w:pPr>
              <w:pStyle w:val="TableText"/>
              <w:ind w:left="624"/>
              <w:spacing w:before="102" w:line="229" w:lineRule="auto"/>
              <w:rPr/>
            </w:pPr>
            <w:r>
              <w:rPr>
                <w:spacing w:val="4"/>
              </w:rPr>
              <w:t>十字花科</w:t>
            </w:r>
          </w:p>
        </w:tc>
        <w:tc>
          <w:tcPr>
            <w:tcW w:w="5283" w:type="dxa"/>
            <w:vAlign w:val="top"/>
            <w:tcBorders>
              <w:right w:val="nil"/>
            </w:tcBorders>
          </w:tcPr>
          <w:p>
            <w:pPr>
              <w:ind w:left="2203"/>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Cruciferae</w:t>
            </w:r>
          </w:p>
        </w:tc>
      </w:tr>
      <w:tr>
        <w:trPr>
          <w:trHeight w:val="401" w:hRule="atLeast"/>
        </w:trPr>
        <w:tc>
          <w:tcPr>
            <w:tcW w:w="1081" w:type="dxa"/>
            <w:vAlign w:val="top"/>
            <w:tcBorders>
              <w:left w:val="nil"/>
            </w:tcBorders>
          </w:tcPr>
          <w:p>
            <w:pPr>
              <w:ind w:left="498"/>
              <w:spacing w:before="14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54" w:type="dxa"/>
            <w:vAlign w:val="top"/>
          </w:tcPr>
          <w:p>
            <w:pPr>
              <w:pStyle w:val="TableText"/>
              <w:ind w:left="830"/>
              <w:spacing w:before="103" w:line="231" w:lineRule="auto"/>
              <w:rPr/>
            </w:pPr>
            <w:r>
              <w:rPr/>
              <w:t>沙芥</w:t>
            </w:r>
          </w:p>
        </w:tc>
        <w:tc>
          <w:tcPr>
            <w:tcW w:w="5283" w:type="dxa"/>
            <w:vAlign w:val="top"/>
            <w:tcBorders>
              <w:right w:val="nil"/>
            </w:tcBorders>
          </w:tcPr>
          <w:p>
            <w:pPr>
              <w:pStyle w:val="TableText"/>
              <w:ind w:left="1035"/>
              <w:spacing w:before="103" w:line="221" w:lineRule="auto"/>
              <w:rPr>
                <w:rFonts w:ascii="Times New Roman" w:hAnsi="Times New Roman" w:eastAsia="Times New Roman" w:cs="Times New Roman"/>
              </w:rPr>
            </w:pPr>
            <w:r>
              <w:rPr>
                <w:rFonts w:ascii="Times New Roman" w:hAnsi="Times New Roman" w:eastAsia="Times New Roman" w:cs="Times New Roman"/>
              </w:rPr>
              <w:t>Pugionium</w:t>
            </w:r>
            <w:r>
              <w:rPr>
                <w:rFonts w:ascii="Times New Roman" w:hAnsi="Times New Roman" w:eastAsia="Times New Roman" w:cs="Times New Roman"/>
                <w:spacing w:val="12"/>
              </w:rPr>
              <w:t xml:space="preserve"> </w:t>
            </w:r>
            <w:r>
              <w:rPr>
                <w:rFonts w:ascii="Times New Roman" w:hAnsi="Times New Roman" w:eastAsia="Times New Roman" w:cs="Times New Roman"/>
              </w:rPr>
              <w:t>cornutum</w:t>
            </w:r>
            <w:r>
              <w:rPr>
                <w:rFonts w:ascii="Times New Roman" w:hAnsi="Times New Roman" w:eastAsia="Times New Roman" w:cs="Times New Roman"/>
                <w:spacing w:val="12"/>
              </w:rPr>
              <w:t xml:space="preserve">  </w:t>
            </w:r>
            <w:r>
              <w:rPr>
                <w:spacing w:val="12"/>
              </w:rPr>
              <w:t>（</w:t>
            </w:r>
            <w:r>
              <w:rPr>
                <w:rFonts w:ascii="Times New Roman" w:hAnsi="Times New Roman" w:eastAsia="Times New Roman" w:cs="Times New Roman"/>
                <w:spacing w:val="12"/>
              </w:rPr>
              <w:t>L.</w:t>
            </w:r>
            <w:r>
              <w:rPr>
                <w:rFonts w:ascii="Times New Roman" w:hAnsi="Times New Roman" w:eastAsia="Times New Roman" w:cs="Times New Roman"/>
                <w:spacing w:val="-19"/>
              </w:rPr>
              <w:t xml:space="preserve"> </w:t>
            </w:r>
            <w:r>
              <w:rPr>
                <w:spacing w:val="12"/>
              </w:rPr>
              <w:t>）</w:t>
            </w:r>
            <w:r>
              <w:rPr>
                <w:spacing w:val="18"/>
              </w:rPr>
              <w:t xml:space="preserve"> </w:t>
            </w:r>
            <w:r>
              <w:rPr>
                <w:rFonts w:ascii="Times New Roman" w:hAnsi="Times New Roman" w:eastAsia="Times New Roman" w:cs="Times New Roman"/>
              </w:rPr>
              <w:t>Gaertn</w:t>
            </w:r>
            <w:r>
              <w:rPr>
                <w:rFonts w:ascii="Times New Roman" w:hAnsi="Times New Roman" w:eastAsia="Times New Roman" w:cs="Times New Roman"/>
                <w:spacing w:val="12"/>
              </w:rPr>
              <w:t>.</w:t>
            </w:r>
          </w:p>
        </w:tc>
      </w:tr>
      <w:tr>
        <w:trPr>
          <w:trHeight w:val="400" w:hRule="atLeast"/>
        </w:trPr>
        <w:tc>
          <w:tcPr>
            <w:tcW w:w="1081" w:type="dxa"/>
            <w:vAlign w:val="top"/>
            <w:tcBorders>
              <w:left w:val="nil"/>
            </w:tcBorders>
          </w:tcPr>
          <w:p>
            <w:pPr>
              <w:ind w:left="496"/>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54" w:type="dxa"/>
            <w:vAlign w:val="top"/>
          </w:tcPr>
          <w:p>
            <w:pPr>
              <w:pStyle w:val="TableText"/>
              <w:ind w:left="514"/>
              <w:spacing w:before="106" w:line="226" w:lineRule="auto"/>
              <w:rPr/>
            </w:pPr>
            <w:r>
              <w:rPr>
                <w:spacing w:val="6"/>
              </w:rPr>
              <w:t>毛果群心菜</w:t>
            </w:r>
          </w:p>
        </w:tc>
        <w:tc>
          <w:tcPr>
            <w:tcW w:w="5283" w:type="dxa"/>
            <w:vAlign w:val="top"/>
            <w:tcBorders>
              <w:right w:val="nil"/>
            </w:tcBorders>
          </w:tcPr>
          <w:p>
            <w:pPr>
              <w:ind w:left="1826"/>
              <w:spacing w:before="13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Cardaria pubescens</w:t>
            </w:r>
          </w:p>
        </w:tc>
      </w:tr>
      <w:tr>
        <w:trPr>
          <w:trHeight w:val="401" w:hRule="atLeast"/>
        </w:trPr>
        <w:tc>
          <w:tcPr>
            <w:tcW w:w="1081" w:type="dxa"/>
            <w:vAlign w:val="top"/>
            <w:tcBorders>
              <w:left w:val="nil"/>
            </w:tcBorders>
          </w:tcPr>
          <w:p>
            <w:pPr>
              <w:ind w:left="495"/>
              <w:spacing w:before="14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54" w:type="dxa"/>
            <w:vAlign w:val="top"/>
          </w:tcPr>
          <w:p>
            <w:pPr>
              <w:pStyle w:val="TableText"/>
              <w:ind w:left="616"/>
              <w:spacing w:before="106" w:line="226" w:lineRule="auto"/>
              <w:rPr/>
            </w:pPr>
            <w:r>
              <w:rPr>
                <w:spacing w:val="6"/>
              </w:rPr>
              <w:t>碱独行菜</w:t>
            </w:r>
          </w:p>
        </w:tc>
        <w:tc>
          <w:tcPr>
            <w:tcW w:w="5283" w:type="dxa"/>
            <w:vAlign w:val="top"/>
            <w:tcBorders>
              <w:right w:val="nil"/>
            </w:tcBorders>
          </w:tcPr>
          <w:p>
            <w:pPr>
              <w:ind w:left="1631"/>
              <w:spacing w:before="13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Lepidium cartilagineum</w:t>
            </w:r>
          </w:p>
        </w:tc>
      </w:tr>
      <w:tr>
        <w:trPr>
          <w:trHeight w:val="400" w:hRule="atLeast"/>
        </w:trPr>
        <w:tc>
          <w:tcPr>
            <w:tcW w:w="1081" w:type="dxa"/>
            <w:vAlign w:val="top"/>
            <w:tcBorders>
              <w:left w:val="nil"/>
            </w:tcBorders>
          </w:tcPr>
          <w:p>
            <w:pPr>
              <w:ind w:left="50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54" w:type="dxa"/>
            <w:vAlign w:val="top"/>
          </w:tcPr>
          <w:p>
            <w:pPr>
              <w:pStyle w:val="TableText"/>
              <w:ind w:left="523"/>
              <w:spacing w:before="108" w:line="229" w:lineRule="auto"/>
              <w:rPr/>
            </w:pPr>
            <w:r>
              <w:rPr>
                <w:spacing w:val="4"/>
              </w:rPr>
              <w:t>薄叶燥原荠</w:t>
            </w:r>
          </w:p>
        </w:tc>
        <w:tc>
          <w:tcPr>
            <w:tcW w:w="5283" w:type="dxa"/>
            <w:vAlign w:val="top"/>
            <w:tcBorders>
              <w:right w:val="nil"/>
            </w:tcBorders>
          </w:tcPr>
          <w:p>
            <w:pPr>
              <w:ind w:left="1734"/>
              <w:spacing w:before="14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Ptilotricum tenuifium</w:t>
            </w:r>
          </w:p>
        </w:tc>
      </w:tr>
      <w:tr>
        <w:trPr>
          <w:trHeight w:val="401" w:hRule="atLeast"/>
        </w:trPr>
        <w:tc>
          <w:tcPr>
            <w:tcW w:w="1081" w:type="dxa"/>
            <w:vAlign w:val="top"/>
            <w:tcBorders>
              <w:left w:val="nil"/>
            </w:tcBorders>
          </w:tcPr>
          <w:p>
            <w:pPr>
              <w:ind w:left="49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54" w:type="dxa"/>
            <w:vAlign w:val="top"/>
          </w:tcPr>
          <w:p>
            <w:pPr>
              <w:pStyle w:val="TableText"/>
              <w:ind w:left="518"/>
              <w:spacing w:before="110" w:line="229" w:lineRule="auto"/>
              <w:rPr/>
            </w:pPr>
            <w:r>
              <w:rPr>
                <w:spacing w:val="5"/>
              </w:rPr>
              <w:t>紫花棒果芥</w:t>
            </w:r>
          </w:p>
        </w:tc>
        <w:tc>
          <w:tcPr>
            <w:tcW w:w="5283" w:type="dxa"/>
            <w:vAlign w:val="top"/>
            <w:tcBorders>
              <w:right w:val="nil"/>
            </w:tcBorders>
          </w:tcPr>
          <w:p>
            <w:pPr>
              <w:pStyle w:val="TableText"/>
              <w:ind w:left="411"/>
              <w:spacing w:before="111" w:line="221" w:lineRule="auto"/>
              <w:rPr>
                <w:rFonts w:ascii="Times New Roman" w:hAnsi="Times New Roman" w:eastAsia="Times New Roman" w:cs="Times New Roman"/>
              </w:rPr>
            </w:pPr>
            <w:r>
              <w:rPr>
                <w:rFonts w:ascii="Times New Roman" w:hAnsi="Times New Roman" w:eastAsia="Times New Roman" w:cs="Times New Roman"/>
              </w:rPr>
              <w:t>Sterigmostemum</w:t>
            </w:r>
            <w:r>
              <w:rPr>
                <w:rFonts w:ascii="Times New Roman" w:hAnsi="Times New Roman" w:eastAsia="Times New Roman" w:cs="Times New Roman"/>
                <w:spacing w:val="23"/>
              </w:rPr>
              <w:t xml:space="preserve"> </w:t>
            </w:r>
            <w:r>
              <w:rPr>
                <w:rFonts w:ascii="Times New Roman" w:hAnsi="Times New Roman" w:eastAsia="Times New Roman" w:cs="Times New Roman"/>
              </w:rPr>
              <w:t>matthioloides</w:t>
            </w:r>
            <w:r>
              <w:rPr>
                <w:rFonts w:ascii="Times New Roman" w:hAnsi="Times New Roman" w:eastAsia="Times New Roman" w:cs="Times New Roman"/>
                <w:spacing w:val="23"/>
              </w:rPr>
              <w:t xml:space="preserve">  </w:t>
            </w:r>
            <w:r>
              <w:rPr>
                <w:spacing w:val="23"/>
              </w:rPr>
              <w:t>（</w:t>
            </w:r>
            <w:r>
              <w:rPr>
                <w:rFonts w:ascii="Times New Roman" w:hAnsi="Times New Roman" w:eastAsia="Times New Roman" w:cs="Times New Roman"/>
              </w:rPr>
              <w:t>Franch</w:t>
            </w:r>
            <w:r>
              <w:rPr>
                <w:rFonts w:ascii="Times New Roman" w:hAnsi="Times New Roman" w:eastAsia="Times New Roman" w:cs="Times New Roman"/>
                <w:spacing w:val="23"/>
              </w:rPr>
              <w:t>.</w:t>
            </w:r>
            <w:r>
              <w:rPr>
                <w:rFonts w:ascii="Times New Roman" w:hAnsi="Times New Roman" w:eastAsia="Times New Roman" w:cs="Times New Roman"/>
                <w:spacing w:val="-15"/>
              </w:rPr>
              <w:t xml:space="preserve"> </w:t>
            </w:r>
            <w:r>
              <w:rPr>
                <w:spacing w:val="23"/>
              </w:rPr>
              <w:t>）</w:t>
            </w:r>
            <w:r>
              <w:rPr>
                <w:spacing w:val="23"/>
              </w:rPr>
              <w:t xml:space="preserve"> </w:t>
            </w:r>
            <w:r>
              <w:rPr>
                <w:rFonts w:ascii="Times New Roman" w:hAnsi="Times New Roman" w:eastAsia="Times New Roman" w:cs="Times New Roman"/>
              </w:rPr>
              <w:t>Botsch</w:t>
            </w:r>
          </w:p>
        </w:tc>
      </w:tr>
      <w:tr>
        <w:trPr>
          <w:trHeight w:val="400" w:hRule="atLeast"/>
        </w:trPr>
        <w:tc>
          <w:tcPr>
            <w:tcW w:w="1081" w:type="dxa"/>
            <w:vAlign w:val="top"/>
            <w:tcBorders>
              <w:left w:val="nil"/>
            </w:tcBorders>
          </w:tcPr>
          <w:p>
            <w:pPr>
              <w:pStyle w:val="TableText"/>
              <w:ind w:left="473"/>
              <w:spacing w:before="110" w:line="264" w:lineRule="exact"/>
              <w:rPr/>
            </w:pPr>
            <w:r>
              <w:rPr>
                <w:position w:val="1"/>
              </w:rPr>
              <w:t>四</w:t>
            </w:r>
          </w:p>
        </w:tc>
        <w:tc>
          <w:tcPr>
            <w:tcW w:w="2054" w:type="dxa"/>
            <w:vAlign w:val="top"/>
          </w:tcPr>
          <w:p>
            <w:pPr>
              <w:pStyle w:val="TableText"/>
              <w:ind w:left="827"/>
              <w:spacing w:before="110" w:line="231" w:lineRule="auto"/>
              <w:rPr/>
            </w:pPr>
            <w:r>
              <w:rPr>
                <w:spacing w:val="2"/>
              </w:rPr>
              <w:t>豆科</w:t>
            </w:r>
          </w:p>
        </w:tc>
        <w:tc>
          <w:tcPr>
            <w:tcW w:w="5283" w:type="dxa"/>
            <w:vAlign w:val="top"/>
            <w:tcBorders>
              <w:right w:val="nil"/>
            </w:tcBorders>
          </w:tcPr>
          <w:p>
            <w:pPr>
              <w:ind w:left="1931"/>
              <w:spacing w:before="1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Leguminosae sp.</w:t>
            </w:r>
          </w:p>
        </w:tc>
      </w:tr>
      <w:tr>
        <w:trPr>
          <w:trHeight w:val="401" w:hRule="atLeast"/>
        </w:trPr>
        <w:tc>
          <w:tcPr>
            <w:tcW w:w="1081" w:type="dxa"/>
            <w:vAlign w:val="top"/>
            <w:tcBorders>
              <w:left w:val="nil"/>
            </w:tcBorders>
          </w:tcPr>
          <w:p>
            <w:pPr>
              <w:ind w:left="459"/>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054" w:type="dxa"/>
            <w:vAlign w:val="top"/>
          </w:tcPr>
          <w:p>
            <w:pPr>
              <w:pStyle w:val="TableText"/>
              <w:ind w:left="516"/>
              <w:spacing w:before="113" w:line="230" w:lineRule="auto"/>
              <w:rPr/>
            </w:pPr>
            <w:r>
              <w:rPr>
                <w:spacing w:val="6"/>
              </w:rPr>
              <w:t>细齿草木樨</w:t>
            </w:r>
          </w:p>
        </w:tc>
        <w:tc>
          <w:tcPr>
            <w:tcW w:w="5283" w:type="dxa"/>
            <w:vAlign w:val="top"/>
            <w:tcBorders>
              <w:right w:val="nil"/>
            </w:tcBorders>
          </w:tcPr>
          <w:p>
            <w:pPr>
              <w:pStyle w:val="TableText"/>
              <w:ind w:left="894"/>
              <w:spacing w:before="113" w:line="265" w:lineRule="exact"/>
              <w:rPr>
                <w:rFonts w:ascii="Times New Roman" w:hAnsi="Times New Roman" w:eastAsia="Times New Roman" w:cs="Times New Roman"/>
              </w:rPr>
            </w:pPr>
            <w:r>
              <w:rPr>
                <w:rFonts w:ascii="Times New Roman" w:hAnsi="Times New Roman" w:eastAsia="Times New Roman" w:cs="Times New Roman"/>
                <w:position w:val="1"/>
              </w:rPr>
              <w:t>Melilotus</w:t>
            </w:r>
            <w:r>
              <w:rPr>
                <w:rFonts w:ascii="Times New Roman" w:hAnsi="Times New Roman" w:eastAsia="Times New Roman" w:cs="Times New Roman"/>
                <w:spacing w:val="14"/>
                <w:position w:val="1"/>
              </w:rPr>
              <w:t xml:space="preserve"> </w:t>
            </w:r>
            <w:r>
              <w:rPr>
                <w:rFonts w:ascii="Times New Roman" w:hAnsi="Times New Roman" w:eastAsia="Times New Roman" w:cs="Times New Roman"/>
                <w:position w:val="1"/>
              </w:rPr>
              <w:t>dentatus</w:t>
            </w:r>
            <w:r>
              <w:rPr>
                <w:rFonts w:ascii="Times New Roman" w:hAnsi="Times New Roman" w:eastAsia="Times New Roman" w:cs="Times New Roman"/>
                <w:spacing w:val="14"/>
                <w:position w:val="1"/>
              </w:rPr>
              <w:t xml:space="preserve">  </w:t>
            </w:r>
            <w:r>
              <w:rPr>
                <w:spacing w:val="14"/>
                <w:position w:val="1"/>
              </w:rPr>
              <w:t>（</w:t>
            </w:r>
            <w:r>
              <w:rPr>
                <w:rFonts w:ascii="Times New Roman" w:hAnsi="Times New Roman" w:eastAsia="Times New Roman" w:cs="Times New Roman"/>
                <w:position w:val="1"/>
              </w:rPr>
              <w:t>Wald</w:t>
            </w:r>
            <w:r>
              <w:rPr>
                <w:rFonts w:ascii="Times New Roman" w:hAnsi="Times New Roman" w:eastAsia="Times New Roman" w:cs="Times New Roman"/>
                <w:spacing w:val="14"/>
                <w:position w:val="1"/>
              </w:rPr>
              <w:t>.</w:t>
            </w:r>
            <w:r>
              <w:rPr>
                <w:rFonts w:ascii="Times New Roman" w:hAnsi="Times New Roman" w:eastAsia="Times New Roman" w:cs="Times New Roman"/>
                <w:position w:val="1"/>
              </w:rPr>
              <w:t>EtKit</w:t>
            </w:r>
            <w:r>
              <w:rPr>
                <w:rFonts w:ascii="Times New Roman" w:hAnsi="Times New Roman" w:eastAsia="Times New Roman" w:cs="Times New Roman"/>
                <w:spacing w:val="14"/>
                <w:position w:val="1"/>
              </w:rPr>
              <w:t>.</w:t>
            </w:r>
            <w:r>
              <w:rPr>
                <w:rFonts w:ascii="Times New Roman" w:hAnsi="Times New Roman" w:eastAsia="Times New Roman" w:cs="Times New Roman"/>
                <w:spacing w:val="-17"/>
                <w:position w:val="1"/>
              </w:rPr>
              <w:t xml:space="preserve"> </w:t>
            </w:r>
            <w:r>
              <w:rPr>
                <w:spacing w:val="14"/>
                <w:position w:val="1"/>
              </w:rPr>
              <w:t>）</w:t>
            </w:r>
            <w:r>
              <w:rPr>
                <w:rFonts w:ascii="Times New Roman" w:hAnsi="Times New Roman" w:eastAsia="Times New Roman" w:cs="Times New Roman"/>
                <w:position w:val="1"/>
              </w:rPr>
              <w:t>Pers</w:t>
            </w:r>
            <w:r>
              <w:rPr>
                <w:rFonts w:ascii="Times New Roman" w:hAnsi="Times New Roman" w:eastAsia="Times New Roman" w:cs="Times New Roman"/>
                <w:spacing w:val="14"/>
                <w:position w:val="1"/>
              </w:rPr>
              <w:t>.</w:t>
            </w:r>
          </w:p>
        </w:tc>
      </w:tr>
      <w:tr>
        <w:trPr>
          <w:trHeight w:val="400" w:hRule="atLeast"/>
        </w:trPr>
        <w:tc>
          <w:tcPr>
            <w:tcW w:w="1081" w:type="dxa"/>
            <w:vAlign w:val="top"/>
            <w:tcBorders>
              <w:left w:val="nil"/>
            </w:tcBorders>
          </w:tcPr>
          <w:p>
            <w:pPr>
              <w:ind w:left="46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054" w:type="dxa"/>
            <w:vAlign w:val="top"/>
          </w:tcPr>
          <w:p>
            <w:pPr>
              <w:pStyle w:val="TableText"/>
              <w:ind w:left="826"/>
              <w:spacing w:before="113" w:line="231" w:lineRule="auto"/>
              <w:rPr/>
            </w:pPr>
            <w:r>
              <w:rPr>
                <w:spacing w:val="2"/>
              </w:rPr>
              <w:t>柠条</w:t>
            </w:r>
          </w:p>
        </w:tc>
        <w:tc>
          <w:tcPr>
            <w:tcW w:w="5283" w:type="dxa"/>
            <w:vAlign w:val="top"/>
            <w:tcBorders>
              <w:right w:val="nil"/>
            </w:tcBorders>
          </w:tcPr>
          <w:p>
            <w:pPr>
              <w:ind w:left="1757"/>
              <w:spacing w:before="14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Caragana korshinskii</w:t>
            </w:r>
          </w:p>
        </w:tc>
      </w:tr>
      <w:tr>
        <w:trPr>
          <w:trHeight w:val="401" w:hRule="atLeast"/>
        </w:trPr>
        <w:tc>
          <w:tcPr>
            <w:tcW w:w="1081" w:type="dxa"/>
            <w:vAlign w:val="top"/>
            <w:tcBorders>
              <w:left w:val="nil"/>
            </w:tcBorders>
          </w:tcPr>
          <w:p>
            <w:pPr>
              <w:ind w:left="459"/>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054" w:type="dxa"/>
            <w:vAlign w:val="top"/>
          </w:tcPr>
          <w:p>
            <w:pPr>
              <w:pStyle w:val="TableText"/>
              <w:ind w:left="623"/>
              <w:spacing w:before="116" w:line="232" w:lineRule="auto"/>
              <w:rPr/>
            </w:pPr>
            <w:r>
              <w:rPr>
                <w:spacing w:val="4"/>
              </w:rPr>
              <w:t>荒漠黄芪</w:t>
            </w:r>
          </w:p>
        </w:tc>
        <w:tc>
          <w:tcPr>
            <w:tcW w:w="5283" w:type="dxa"/>
            <w:vAlign w:val="top"/>
            <w:tcBorders>
              <w:right w:val="nil"/>
            </w:tcBorders>
          </w:tcPr>
          <w:p>
            <w:pPr>
              <w:ind w:left="1592"/>
              <w:spacing w:before="14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Astragalus dengkouensis</w:t>
            </w:r>
          </w:p>
        </w:tc>
      </w:tr>
      <w:tr>
        <w:trPr>
          <w:trHeight w:val="422" w:hRule="atLeast"/>
        </w:trPr>
        <w:tc>
          <w:tcPr>
            <w:tcW w:w="1081" w:type="dxa"/>
            <w:vAlign w:val="top"/>
            <w:tcBorders>
              <w:left w:val="nil"/>
              <w:bottom w:val="single" w:color="000000" w:sz="10" w:space="0"/>
            </w:tcBorders>
          </w:tcPr>
          <w:p>
            <w:pPr>
              <w:ind w:left="45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054" w:type="dxa"/>
            <w:vAlign w:val="top"/>
            <w:tcBorders>
              <w:bottom w:val="single" w:color="000000" w:sz="10" w:space="0"/>
            </w:tcBorders>
          </w:tcPr>
          <w:p>
            <w:pPr>
              <w:pStyle w:val="TableText"/>
              <w:ind w:left="649"/>
              <w:spacing w:before="118" w:line="229" w:lineRule="auto"/>
              <w:rPr/>
            </w:pPr>
            <w:r>
              <w:rPr>
                <w:spacing w:val="-2"/>
              </w:rPr>
              <w:t>白花黄芪</w:t>
            </w:r>
          </w:p>
        </w:tc>
        <w:tc>
          <w:tcPr>
            <w:tcW w:w="5283" w:type="dxa"/>
            <w:vAlign w:val="top"/>
            <w:tcBorders>
              <w:right w:val="nil"/>
              <w:bottom w:val="single" w:color="000000" w:sz="10" w:space="0"/>
            </w:tcBorders>
          </w:tcPr>
          <w:p>
            <w:pPr>
              <w:ind w:left="1552"/>
              <w:spacing w:before="15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Astragalus galactites Pall.</w:t>
            </w:r>
          </w:p>
        </w:tc>
      </w:tr>
    </w:tbl>
    <w:p>
      <w:pPr>
        <w:pStyle w:val="BodyText"/>
        <w:rPr/>
      </w:pPr>
      <w:r/>
    </w:p>
    <w:p>
      <w:pPr>
        <w:sectPr>
          <w:footerReference w:type="default" r:id="rId261"/>
          <w:pgSz w:w="11906" w:h="16839"/>
          <w:pgMar w:top="400" w:right="1691" w:bottom="1358" w:left="1691" w:header="0" w:footer="1195" w:gutter="0"/>
        </w:sectPr>
        <w:rPr/>
      </w:pPr>
    </w:p>
    <w:p>
      <w:pPr>
        <w:spacing w:before="19"/>
        <w:rPr/>
      </w:pPr>
      <w:r/>
    </w:p>
    <w:p>
      <w:pPr>
        <w:spacing w:before="19"/>
        <w:rPr/>
      </w:pPr>
      <w:r/>
    </w:p>
    <w:p>
      <w:pPr>
        <w:spacing w:before="18"/>
        <w:rPr/>
      </w:pPr>
      <w:r/>
    </w:p>
    <w:p>
      <w:pPr>
        <w:spacing w:before="18"/>
        <w:rPr/>
      </w:pPr>
      <w:r/>
    </w:p>
    <w:tbl>
      <w:tblPr>
        <w:tblStyle w:val="TableNormal"/>
        <w:tblW w:w="8418" w:type="dxa"/>
        <w:tblInd w:w="5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1"/>
        <w:gridCol w:w="2054"/>
        <w:gridCol w:w="5283"/>
      </w:tblGrid>
      <w:tr>
        <w:trPr>
          <w:trHeight w:val="405" w:hRule="atLeast"/>
        </w:trPr>
        <w:tc>
          <w:tcPr>
            <w:tcW w:w="1081" w:type="dxa"/>
            <w:vAlign w:val="top"/>
            <w:tcBorders>
              <w:left w:val="nil"/>
              <w:top w:val="single" w:color="000000" w:sz="10" w:space="0"/>
            </w:tcBorders>
          </w:tcPr>
          <w:p>
            <w:pPr>
              <w:ind w:left="459"/>
              <w:spacing w:before="134" w:line="195" w:lineRule="auto"/>
              <w:rPr>
                <w:rFonts w:ascii="Times New Roman" w:hAnsi="Times New Roman" w:eastAsia="Times New Roman" w:cs="Times New Roman"/>
                <w:sz w:val="20"/>
                <w:szCs w:val="20"/>
              </w:rPr>
            </w:pPr>
            <w:bookmarkStart w:name="bookmark585" w:id="355"/>
            <w:bookmarkEnd w:id="355"/>
            <w:r>
              <w:rPr>
                <w:rFonts w:ascii="Times New Roman" w:hAnsi="Times New Roman" w:eastAsia="Times New Roman" w:cs="Times New Roman"/>
                <w:sz w:val="20"/>
                <w:szCs w:val="20"/>
                <w:spacing w:val="-8"/>
              </w:rPr>
              <w:t>14</w:t>
            </w:r>
          </w:p>
        </w:tc>
        <w:tc>
          <w:tcPr>
            <w:tcW w:w="2054" w:type="dxa"/>
            <w:vAlign w:val="top"/>
            <w:tcBorders>
              <w:top w:val="single" w:color="000000" w:sz="10" w:space="0"/>
            </w:tcBorders>
          </w:tcPr>
          <w:p>
            <w:pPr>
              <w:pStyle w:val="TableText"/>
              <w:ind w:left="630"/>
              <w:spacing w:before="98" w:line="228" w:lineRule="auto"/>
              <w:rPr/>
            </w:pPr>
            <w:r>
              <w:rPr>
                <w:spacing w:val="2"/>
              </w:rPr>
              <w:t>多枝棘豆</w:t>
            </w:r>
          </w:p>
        </w:tc>
        <w:tc>
          <w:tcPr>
            <w:tcW w:w="5283" w:type="dxa"/>
            <w:vAlign w:val="top"/>
            <w:tcBorders>
              <w:right w:val="nil"/>
              <w:top w:val="single" w:color="000000" w:sz="10" w:space="0"/>
            </w:tcBorders>
          </w:tcPr>
          <w:p>
            <w:pPr>
              <w:ind w:left="1413"/>
              <w:spacing w:before="13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Oxytropis ramosissima Kom.</w:t>
            </w:r>
          </w:p>
        </w:tc>
      </w:tr>
      <w:tr>
        <w:trPr>
          <w:trHeight w:val="401" w:hRule="atLeast"/>
        </w:trPr>
        <w:tc>
          <w:tcPr>
            <w:tcW w:w="1081" w:type="dxa"/>
            <w:vAlign w:val="top"/>
            <w:tcBorders>
              <w:left w:val="nil"/>
            </w:tcBorders>
          </w:tcPr>
          <w:p>
            <w:pPr>
              <w:ind w:left="45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054" w:type="dxa"/>
            <w:vAlign w:val="top"/>
          </w:tcPr>
          <w:p>
            <w:pPr>
              <w:pStyle w:val="TableText"/>
              <w:ind w:left="516"/>
              <w:spacing w:before="94" w:line="228" w:lineRule="auto"/>
              <w:rPr/>
            </w:pPr>
            <w:r>
              <w:rPr>
                <w:spacing w:val="6"/>
              </w:rPr>
              <w:t>细枝岩黄芪</w:t>
            </w:r>
          </w:p>
        </w:tc>
        <w:tc>
          <w:tcPr>
            <w:tcW w:w="5283" w:type="dxa"/>
            <w:vAlign w:val="top"/>
            <w:tcBorders>
              <w:right w:val="nil"/>
            </w:tcBorders>
          </w:tcPr>
          <w:p>
            <w:pPr>
              <w:ind w:left="1074"/>
              <w:spacing w:before="12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Hedysarum scoparium Fisch. et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4"/>
              </w:rPr>
              <w:t>Mey.</w:t>
            </w:r>
          </w:p>
        </w:tc>
      </w:tr>
      <w:tr>
        <w:trPr>
          <w:trHeight w:val="401" w:hRule="atLeast"/>
        </w:trPr>
        <w:tc>
          <w:tcPr>
            <w:tcW w:w="1081" w:type="dxa"/>
            <w:vAlign w:val="top"/>
            <w:tcBorders>
              <w:left w:val="nil"/>
            </w:tcBorders>
          </w:tcPr>
          <w:p>
            <w:pPr>
              <w:pStyle w:val="TableText"/>
              <w:ind w:left="452"/>
              <w:spacing w:before="117" w:line="200" w:lineRule="auto"/>
              <w:rPr/>
            </w:pPr>
            <w:r>
              <w:rPr/>
              <w:t>五</w:t>
            </w:r>
          </w:p>
        </w:tc>
        <w:tc>
          <w:tcPr>
            <w:tcW w:w="2054" w:type="dxa"/>
            <w:vAlign w:val="top"/>
          </w:tcPr>
          <w:p>
            <w:pPr>
              <w:pStyle w:val="TableText"/>
              <w:ind w:left="723"/>
              <w:spacing w:before="96" w:line="231" w:lineRule="auto"/>
              <w:rPr/>
            </w:pPr>
            <w:r>
              <w:rPr>
                <w:spacing w:val="5"/>
              </w:rPr>
              <w:t>蒺藜科</w:t>
            </w:r>
          </w:p>
        </w:tc>
        <w:tc>
          <w:tcPr>
            <w:tcW w:w="5283" w:type="dxa"/>
            <w:vAlign w:val="top"/>
            <w:tcBorders>
              <w:right w:val="nil"/>
            </w:tcBorders>
          </w:tcPr>
          <w:p>
            <w:pPr>
              <w:ind w:left="1970"/>
              <w:spacing w:before="12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Zygophyllaceae</w:t>
            </w:r>
          </w:p>
        </w:tc>
      </w:tr>
      <w:tr>
        <w:trPr>
          <w:trHeight w:val="400" w:hRule="atLeast"/>
        </w:trPr>
        <w:tc>
          <w:tcPr>
            <w:tcW w:w="1081" w:type="dxa"/>
            <w:vAlign w:val="top"/>
            <w:tcBorders>
              <w:left w:val="nil"/>
            </w:tcBorders>
          </w:tcPr>
          <w:p>
            <w:pPr>
              <w:ind w:left="45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054" w:type="dxa"/>
            <w:vAlign w:val="top"/>
          </w:tcPr>
          <w:p>
            <w:pPr>
              <w:pStyle w:val="TableText"/>
              <w:ind w:left="723"/>
              <w:spacing w:before="98" w:line="231" w:lineRule="auto"/>
              <w:rPr/>
            </w:pPr>
            <w:r>
              <w:rPr>
                <w:spacing w:val="5"/>
              </w:rPr>
              <w:t>骆驼蓬</w:t>
            </w:r>
          </w:p>
        </w:tc>
        <w:tc>
          <w:tcPr>
            <w:tcW w:w="5283" w:type="dxa"/>
            <w:vAlign w:val="top"/>
            <w:tcBorders>
              <w:right w:val="nil"/>
            </w:tcBorders>
          </w:tcPr>
          <w:p>
            <w:pPr>
              <w:ind w:left="1770"/>
              <w:spacing w:before="13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Peganum harmala L.</w:t>
            </w:r>
          </w:p>
        </w:tc>
      </w:tr>
      <w:tr>
        <w:trPr>
          <w:trHeight w:val="400" w:hRule="atLeast"/>
        </w:trPr>
        <w:tc>
          <w:tcPr>
            <w:tcW w:w="1081" w:type="dxa"/>
            <w:vAlign w:val="top"/>
            <w:tcBorders>
              <w:left w:val="nil"/>
            </w:tcBorders>
          </w:tcPr>
          <w:p>
            <w:pPr>
              <w:ind w:left="45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054" w:type="dxa"/>
            <w:vAlign w:val="top"/>
          </w:tcPr>
          <w:p>
            <w:pPr>
              <w:pStyle w:val="TableText"/>
              <w:ind w:left="619"/>
              <w:spacing w:before="98" w:line="231" w:lineRule="auto"/>
              <w:rPr/>
            </w:pPr>
            <w:r>
              <w:rPr>
                <w:spacing w:val="5"/>
              </w:rPr>
              <w:t>牛心朴子</w:t>
            </w:r>
          </w:p>
        </w:tc>
        <w:tc>
          <w:tcPr>
            <w:tcW w:w="5283" w:type="dxa"/>
            <w:vAlign w:val="top"/>
            <w:tcBorders>
              <w:right w:val="nil"/>
            </w:tcBorders>
          </w:tcPr>
          <w:p>
            <w:pPr>
              <w:pStyle w:val="TableText"/>
              <w:ind w:left="379"/>
              <w:spacing w:before="99" w:line="221" w:lineRule="auto"/>
              <w:rPr>
                <w:rFonts w:ascii="Times New Roman" w:hAnsi="Times New Roman" w:eastAsia="Times New Roman" w:cs="Times New Roman"/>
              </w:rPr>
            </w:pPr>
            <w:r>
              <w:rPr>
                <w:rFonts w:ascii="Times New Roman" w:hAnsi="Times New Roman" w:eastAsia="Times New Roman" w:cs="Times New Roman"/>
              </w:rPr>
              <w:t>Cynanchum</w:t>
            </w:r>
            <w:r>
              <w:rPr>
                <w:rFonts w:ascii="Times New Roman" w:hAnsi="Times New Roman" w:eastAsia="Times New Roman" w:cs="Times New Roman"/>
                <w:spacing w:val="16"/>
              </w:rPr>
              <w:t xml:space="preserve"> </w:t>
            </w:r>
            <w:r>
              <w:rPr>
                <w:rFonts w:ascii="Times New Roman" w:hAnsi="Times New Roman" w:eastAsia="Times New Roman" w:cs="Times New Roman"/>
              </w:rPr>
              <w:t>hancockianum</w:t>
            </w:r>
            <w:r>
              <w:rPr>
                <w:rFonts w:ascii="Times New Roman" w:hAnsi="Times New Roman" w:eastAsia="Times New Roman" w:cs="Times New Roman"/>
                <w:spacing w:val="16"/>
              </w:rPr>
              <w:t xml:space="preserve">  </w:t>
            </w:r>
            <w:r>
              <w:rPr>
                <w:spacing w:val="16"/>
              </w:rPr>
              <w:t>（</w:t>
            </w:r>
            <w:r>
              <w:rPr>
                <w:rFonts w:ascii="Times New Roman" w:hAnsi="Times New Roman" w:eastAsia="Times New Roman" w:cs="Times New Roman"/>
              </w:rPr>
              <w:t>Maxim</w:t>
            </w:r>
            <w:r>
              <w:rPr>
                <w:rFonts w:ascii="Times New Roman" w:hAnsi="Times New Roman" w:eastAsia="Times New Roman" w:cs="Times New Roman"/>
                <w:spacing w:val="16"/>
              </w:rPr>
              <w:t>.</w:t>
            </w:r>
            <w:r>
              <w:rPr>
                <w:rFonts w:ascii="Times New Roman" w:hAnsi="Times New Roman" w:eastAsia="Times New Roman" w:cs="Times New Roman"/>
                <w:spacing w:val="-17"/>
              </w:rPr>
              <w:t xml:space="preserve"> </w:t>
            </w:r>
            <w:r>
              <w:rPr>
                <w:spacing w:val="16"/>
              </w:rPr>
              <w:t>）</w:t>
            </w:r>
            <w:r>
              <w:rPr>
                <w:spacing w:val="16"/>
              </w:rPr>
              <w:t xml:space="preserve"> </w:t>
            </w:r>
            <w:r>
              <w:rPr>
                <w:rFonts w:ascii="Times New Roman" w:hAnsi="Times New Roman" w:eastAsia="Times New Roman" w:cs="Times New Roman"/>
              </w:rPr>
              <w:t>Al</w:t>
            </w:r>
            <w:r>
              <w:rPr>
                <w:rFonts w:ascii="Times New Roman" w:hAnsi="Times New Roman" w:eastAsia="Times New Roman" w:cs="Times New Roman"/>
                <w:spacing w:val="16"/>
              </w:rPr>
              <w:t>. </w:t>
            </w:r>
            <w:r>
              <w:rPr>
                <w:rFonts w:ascii="Times New Roman" w:hAnsi="Times New Roman" w:eastAsia="Times New Roman" w:cs="Times New Roman"/>
              </w:rPr>
              <w:t>Iljinski</w:t>
            </w:r>
            <w:r>
              <w:rPr>
                <w:rFonts w:ascii="Times New Roman" w:hAnsi="Times New Roman" w:eastAsia="Times New Roman" w:cs="Times New Roman"/>
                <w:spacing w:val="16"/>
              </w:rPr>
              <w:t>.</w:t>
            </w:r>
          </w:p>
        </w:tc>
      </w:tr>
      <w:tr>
        <w:trPr>
          <w:trHeight w:val="400" w:hRule="atLeast"/>
        </w:trPr>
        <w:tc>
          <w:tcPr>
            <w:tcW w:w="1081" w:type="dxa"/>
            <w:vAlign w:val="top"/>
            <w:tcBorders>
              <w:left w:val="nil"/>
            </w:tcBorders>
          </w:tcPr>
          <w:p>
            <w:pPr>
              <w:pStyle w:val="TableText"/>
              <w:ind w:left="450"/>
              <w:spacing w:before="102" w:line="239" w:lineRule="auto"/>
              <w:rPr/>
            </w:pPr>
            <w:r>
              <w:rPr/>
              <w:t>六</w:t>
            </w:r>
          </w:p>
        </w:tc>
        <w:tc>
          <w:tcPr>
            <w:tcW w:w="2054" w:type="dxa"/>
            <w:vAlign w:val="top"/>
          </w:tcPr>
          <w:p>
            <w:pPr>
              <w:pStyle w:val="TableText"/>
              <w:ind w:left="726"/>
              <w:spacing w:before="101" w:line="231" w:lineRule="auto"/>
              <w:rPr/>
            </w:pPr>
            <w:r>
              <w:rPr>
                <w:spacing w:val="4"/>
              </w:rPr>
              <w:t>唇形科</w:t>
            </w:r>
          </w:p>
        </w:tc>
        <w:tc>
          <w:tcPr>
            <w:tcW w:w="5283" w:type="dxa"/>
            <w:vAlign w:val="top"/>
            <w:tcBorders>
              <w:right w:val="nil"/>
            </w:tcBorders>
          </w:tcPr>
          <w:p>
            <w:pPr>
              <w:ind w:left="2281"/>
              <w:spacing w:before="13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Labiatae</w:t>
            </w:r>
          </w:p>
        </w:tc>
      </w:tr>
      <w:tr>
        <w:trPr>
          <w:trHeight w:val="401" w:hRule="atLeast"/>
        </w:trPr>
        <w:tc>
          <w:tcPr>
            <w:tcW w:w="1081" w:type="dxa"/>
            <w:vAlign w:val="top"/>
            <w:tcBorders>
              <w:left w:val="nil"/>
            </w:tcBorders>
          </w:tcPr>
          <w:p>
            <w:pPr>
              <w:ind w:left="45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054" w:type="dxa"/>
            <w:vAlign w:val="top"/>
          </w:tcPr>
          <w:p>
            <w:pPr>
              <w:pStyle w:val="TableText"/>
              <w:ind w:left="420"/>
              <w:spacing w:before="103" w:line="229" w:lineRule="auto"/>
              <w:rPr/>
            </w:pPr>
            <w:r>
              <w:rPr>
                <w:spacing w:val="5"/>
              </w:rPr>
              <w:t>阿拉善脓疮草</w:t>
            </w:r>
          </w:p>
        </w:tc>
        <w:tc>
          <w:tcPr>
            <w:tcW w:w="5283" w:type="dxa"/>
            <w:vAlign w:val="top"/>
            <w:tcBorders>
              <w:right w:val="nil"/>
            </w:tcBorders>
          </w:tcPr>
          <w:p>
            <w:pPr>
              <w:pStyle w:val="TableText"/>
              <w:ind w:left="58"/>
              <w:spacing w:before="102" w:line="221" w:lineRule="auto"/>
              <w:rPr>
                <w:rFonts w:ascii="Times New Roman" w:hAnsi="Times New Roman" w:eastAsia="Times New Roman" w:cs="Times New Roman"/>
              </w:rPr>
            </w:pPr>
            <w:r>
              <w:rPr>
                <w:rFonts w:ascii="Times New Roman" w:hAnsi="Times New Roman" w:eastAsia="Times New Roman" w:cs="Times New Roman"/>
              </w:rPr>
              <w:t>Panzeria</w:t>
            </w:r>
            <w:r>
              <w:rPr>
                <w:rFonts w:ascii="Times New Roman" w:hAnsi="Times New Roman" w:eastAsia="Times New Roman" w:cs="Times New Roman"/>
                <w:spacing w:val="11"/>
              </w:rPr>
              <w:t xml:space="preserve"> </w:t>
            </w:r>
            <w:r>
              <w:rPr>
                <w:rFonts w:ascii="Times New Roman" w:hAnsi="Times New Roman" w:eastAsia="Times New Roman" w:cs="Times New Roman"/>
              </w:rPr>
              <w:t>lanata</w:t>
            </w:r>
            <w:r>
              <w:rPr>
                <w:rFonts w:ascii="Times New Roman" w:hAnsi="Times New Roman" w:eastAsia="Times New Roman" w:cs="Times New Roman"/>
                <w:spacing w:val="31"/>
              </w:rPr>
              <w:t xml:space="preserve"> </w:t>
            </w:r>
            <w:r>
              <w:rPr>
                <w:spacing w:val="11"/>
              </w:rPr>
              <w:t>（</w:t>
            </w:r>
            <w:r>
              <w:rPr>
                <w:rFonts w:ascii="Times New Roman" w:hAnsi="Times New Roman" w:eastAsia="Times New Roman" w:cs="Times New Roman"/>
                <w:spacing w:val="11"/>
              </w:rPr>
              <w:t>L.</w:t>
            </w:r>
            <w:r>
              <w:rPr>
                <w:spacing w:val="11"/>
              </w:rPr>
              <w:t>）</w:t>
            </w:r>
            <w:r>
              <w:rPr>
                <w:rFonts w:ascii="Times New Roman" w:hAnsi="Times New Roman" w:eastAsia="Times New Roman" w:cs="Times New Roman"/>
              </w:rPr>
              <w:t>Bgevar</w:t>
            </w:r>
            <w:r>
              <w:rPr>
                <w:rFonts w:ascii="Times New Roman" w:hAnsi="Times New Roman" w:eastAsia="Times New Roman" w:cs="Times New Roman"/>
                <w:spacing w:val="11"/>
              </w:rPr>
              <w:t>.</w:t>
            </w:r>
            <w:r>
              <w:rPr>
                <w:rFonts w:ascii="Times New Roman" w:hAnsi="Times New Roman" w:eastAsia="Times New Roman" w:cs="Times New Roman"/>
              </w:rPr>
              <w:t>alaschanica</w:t>
            </w:r>
            <w:r>
              <w:rPr>
                <w:rFonts w:ascii="Times New Roman" w:hAnsi="Times New Roman" w:eastAsia="Times New Roman" w:cs="Times New Roman"/>
                <w:spacing w:val="28"/>
                <w:w w:val="101"/>
              </w:rPr>
              <w:t xml:space="preserve"> </w:t>
            </w:r>
            <w:r>
              <w:rPr>
                <w:spacing w:val="11"/>
              </w:rPr>
              <w:t>（</w:t>
            </w:r>
            <w:r>
              <w:rPr>
                <w:rFonts w:ascii="Times New Roman" w:hAnsi="Times New Roman" w:eastAsia="Times New Roman" w:cs="Times New Roman"/>
              </w:rPr>
              <w:t>Kupr</w:t>
            </w:r>
            <w:r>
              <w:rPr>
                <w:rFonts w:ascii="Times New Roman" w:hAnsi="Times New Roman" w:eastAsia="Times New Roman" w:cs="Times New Roman"/>
                <w:spacing w:val="11"/>
              </w:rPr>
              <w:t>.</w:t>
            </w:r>
            <w:r>
              <w:rPr>
                <w:spacing w:val="11"/>
              </w:rPr>
              <w:t>）</w:t>
            </w:r>
            <w:r>
              <w:rPr>
                <w:rFonts w:ascii="Times New Roman" w:hAnsi="Times New Roman" w:eastAsia="Times New Roman" w:cs="Times New Roman"/>
              </w:rPr>
              <w:t>Tschern</w:t>
            </w:r>
            <w:r>
              <w:rPr>
                <w:rFonts w:ascii="Times New Roman" w:hAnsi="Times New Roman" w:eastAsia="Times New Roman" w:cs="Times New Roman"/>
                <w:spacing w:val="11"/>
              </w:rPr>
              <w:t>.</w:t>
            </w:r>
          </w:p>
        </w:tc>
      </w:tr>
      <w:tr>
        <w:trPr>
          <w:trHeight w:val="401" w:hRule="atLeast"/>
        </w:trPr>
        <w:tc>
          <w:tcPr>
            <w:tcW w:w="1081" w:type="dxa"/>
            <w:vAlign w:val="top"/>
            <w:tcBorders>
              <w:left w:val="nil"/>
            </w:tcBorders>
          </w:tcPr>
          <w:p>
            <w:pPr>
              <w:ind w:left="45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054" w:type="dxa"/>
            <w:vAlign w:val="top"/>
          </w:tcPr>
          <w:p>
            <w:pPr>
              <w:pStyle w:val="TableText"/>
              <w:ind w:left="408"/>
              <w:spacing w:before="104" w:line="229" w:lineRule="auto"/>
              <w:rPr/>
            </w:pPr>
            <w:r>
              <w:rPr>
                <w:spacing w:val="7"/>
              </w:rPr>
              <w:t>冬青叶兔唇花</w:t>
            </w:r>
          </w:p>
        </w:tc>
        <w:tc>
          <w:tcPr>
            <w:tcW w:w="5283" w:type="dxa"/>
            <w:vAlign w:val="top"/>
            <w:tcBorders>
              <w:right w:val="nil"/>
            </w:tcBorders>
          </w:tcPr>
          <w:p>
            <w:pPr>
              <w:ind w:left="1746"/>
              <w:spacing w:before="13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Lagochilus ilicifolius</w:t>
            </w:r>
          </w:p>
        </w:tc>
      </w:tr>
      <w:tr>
        <w:trPr>
          <w:trHeight w:val="401" w:hRule="atLeast"/>
        </w:trPr>
        <w:tc>
          <w:tcPr>
            <w:tcW w:w="1081" w:type="dxa"/>
            <w:vAlign w:val="top"/>
            <w:tcBorders>
              <w:left w:val="nil"/>
            </w:tcBorders>
          </w:tcPr>
          <w:p>
            <w:pPr>
              <w:ind w:left="43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054" w:type="dxa"/>
            <w:vAlign w:val="top"/>
          </w:tcPr>
          <w:p>
            <w:pPr>
              <w:pStyle w:val="TableText"/>
              <w:ind w:left="723"/>
              <w:spacing w:before="104" w:line="232" w:lineRule="auto"/>
              <w:rPr/>
            </w:pPr>
            <w:r>
              <w:rPr>
                <w:spacing w:val="5"/>
              </w:rPr>
              <w:t>砾玄参</w:t>
            </w:r>
          </w:p>
        </w:tc>
        <w:tc>
          <w:tcPr>
            <w:tcW w:w="5283" w:type="dxa"/>
            <w:vAlign w:val="top"/>
            <w:tcBorders>
              <w:right w:val="nil"/>
            </w:tcBorders>
          </w:tcPr>
          <w:p>
            <w:pPr>
              <w:ind w:left="1491"/>
              <w:spacing w:before="13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Scrophularia incisa Wein</w:t>
            </w:r>
            <w:r>
              <w:rPr>
                <w:rFonts w:ascii="Times New Roman" w:hAnsi="Times New Roman" w:eastAsia="Times New Roman" w:cs="Times New Roman"/>
                <w:sz w:val="20"/>
                <w:szCs w:val="20"/>
                <w:spacing w:val="2"/>
              </w:rPr>
              <w:t>m.</w:t>
            </w:r>
          </w:p>
        </w:tc>
      </w:tr>
      <w:tr>
        <w:trPr>
          <w:trHeight w:val="401" w:hRule="atLeast"/>
        </w:trPr>
        <w:tc>
          <w:tcPr>
            <w:tcW w:w="1081" w:type="dxa"/>
            <w:vAlign w:val="top"/>
            <w:tcBorders>
              <w:left w:val="nil"/>
            </w:tcBorders>
          </w:tcPr>
          <w:p>
            <w:pPr>
              <w:pStyle w:val="TableText"/>
              <w:ind w:left="453"/>
              <w:spacing w:before="106" w:line="242" w:lineRule="auto"/>
              <w:rPr/>
            </w:pPr>
            <w:r>
              <w:rPr/>
              <w:t>七</w:t>
            </w:r>
          </w:p>
        </w:tc>
        <w:tc>
          <w:tcPr>
            <w:tcW w:w="2054" w:type="dxa"/>
            <w:vAlign w:val="top"/>
          </w:tcPr>
          <w:p>
            <w:pPr>
              <w:pStyle w:val="TableText"/>
              <w:ind w:left="625"/>
              <w:spacing w:before="106" w:line="226" w:lineRule="auto"/>
              <w:rPr/>
            </w:pPr>
            <w:r>
              <w:rPr>
                <w:spacing w:val="4"/>
              </w:rPr>
              <w:t>眼子菜科</w:t>
            </w:r>
          </w:p>
        </w:tc>
        <w:tc>
          <w:tcPr>
            <w:tcW w:w="5283" w:type="dxa"/>
            <w:vAlign w:val="top"/>
            <w:tcBorders>
              <w:right w:val="nil"/>
            </w:tcBorders>
          </w:tcPr>
          <w:p>
            <w:pPr>
              <w:ind w:left="1854"/>
              <w:spacing w:before="14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Potamogetonaceae</w:t>
            </w:r>
          </w:p>
        </w:tc>
      </w:tr>
      <w:tr>
        <w:trPr>
          <w:trHeight w:val="401" w:hRule="atLeast"/>
        </w:trPr>
        <w:tc>
          <w:tcPr>
            <w:tcW w:w="1081" w:type="dxa"/>
            <w:vAlign w:val="top"/>
            <w:tcBorders>
              <w:left w:val="nil"/>
            </w:tcBorders>
          </w:tcPr>
          <w:p>
            <w:pPr>
              <w:ind w:left="439"/>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054" w:type="dxa"/>
            <w:vAlign w:val="top"/>
          </w:tcPr>
          <w:p>
            <w:pPr>
              <w:pStyle w:val="TableText"/>
              <w:ind w:left="731"/>
              <w:spacing w:before="108" w:line="226" w:lineRule="auto"/>
              <w:rPr/>
            </w:pPr>
            <w:r>
              <w:rPr>
                <w:spacing w:val="2"/>
              </w:rPr>
              <w:t>眼子菜</w:t>
            </w:r>
          </w:p>
        </w:tc>
        <w:tc>
          <w:tcPr>
            <w:tcW w:w="5283" w:type="dxa"/>
            <w:vAlign w:val="top"/>
            <w:tcBorders>
              <w:right w:val="nil"/>
            </w:tcBorders>
          </w:tcPr>
          <w:p>
            <w:pPr>
              <w:ind w:left="1290"/>
              <w:spacing w:before="1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Potamogeton distinctus</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4"/>
              </w:rPr>
              <w:t>A.Benn.</w:t>
            </w:r>
          </w:p>
        </w:tc>
      </w:tr>
      <w:tr>
        <w:trPr>
          <w:trHeight w:val="401" w:hRule="atLeast"/>
        </w:trPr>
        <w:tc>
          <w:tcPr>
            <w:tcW w:w="1081" w:type="dxa"/>
            <w:vAlign w:val="top"/>
            <w:tcBorders>
              <w:left w:val="nil"/>
            </w:tcBorders>
          </w:tcPr>
          <w:p>
            <w:pPr>
              <w:pStyle w:val="TableText"/>
              <w:ind w:left="448"/>
              <w:spacing w:before="107" w:line="242" w:lineRule="auto"/>
              <w:rPr/>
            </w:pPr>
            <w:r>
              <w:rPr/>
              <w:t>八</w:t>
            </w:r>
          </w:p>
        </w:tc>
        <w:tc>
          <w:tcPr>
            <w:tcW w:w="2054" w:type="dxa"/>
            <w:vAlign w:val="top"/>
          </w:tcPr>
          <w:p>
            <w:pPr>
              <w:pStyle w:val="TableText"/>
              <w:ind w:left="728"/>
              <w:spacing w:before="108" w:line="229" w:lineRule="auto"/>
              <w:rPr/>
            </w:pPr>
            <w:r>
              <w:rPr>
                <w:spacing w:val="3"/>
              </w:rPr>
              <w:t>茨藻科</w:t>
            </w:r>
          </w:p>
        </w:tc>
        <w:tc>
          <w:tcPr>
            <w:tcW w:w="5283" w:type="dxa"/>
            <w:vAlign w:val="top"/>
            <w:tcBorders>
              <w:right w:val="nil"/>
            </w:tcBorders>
          </w:tcPr>
          <w:p>
            <w:pPr>
              <w:ind w:left="2152"/>
              <w:spacing w:before="13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Najadaceae</w:t>
            </w:r>
          </w:p>
        </w:tc>
      </w:tr>
      <w:tr>
        <w:trPr>
          <w:trHeight w:val="401" w:hRule="atLeast"/>
        </w:trPr>
        <w:tc>
          <w:tcPr>
            <w:tcW w:w="1081" w:type="dxa"/>
            <w:vAlign w:val="top"/>
            <w:tcBorders>
              <w:left w:val="nil"/>
            </w:tcBorders>
          </w:tcPr>
          <w:p>
            <w:pPr>
              <w:ind w:left="43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054" w:type="dxa"/>
            <w:vAlign w:val="top"/>
          </w:tcPr>
          <w:p>
            <w:pPr>
              <w:pStyle w:val="TableText"/>
              <w:ind w:left="538"/>
              <w:spacing w:before="110" w:line="229" w:lineRule="auto"/>
              <w:rPr/>
            </w:pPr>
            <w:r>
              <w:rPr>
                <w:spacing w:val="1"/>
              </w:rPr>
              <w:t>内蒙大茨藻</w:t>
            </w:r>
          </w:p>
        </w:tc>
        <w:tc>
          <w:tcPr>
            <w:tcW w:w="5283" w:type="dxa"/>
            <w:vAlign w:val="top"/>
            <w:tcBorders>
              <w:right w:val="nil"/>
            </w:tcBorders>
          </w:tcPr>
          <w:p>
            <w:pPr>
              <w:ind w:left="2215"/>
              <w:spacing w:before="1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3"/>
              </w:rPr>
              <w:t>N. </w:t>
            </w:r>
            <w:r>
              <w:rPr>
                <w:rFonts w:ascii="Times New Roman" w:hAnsi="Times New Roman" w:eastAsia="Times New Roman" w:cs="Times New Roman"/>
                <w:sz w:val="20"/>
                <w:szCs w:val="20"/>
              </w:rPr>
              <w:t>marina</w:t>
            </w:r>
          </w:p>
        </w:tc>
      </w:tr>
      <w:tr>
        <w:trPr>
          <w:trHeight w:val="401" w:hRule="atLeast"/>
        </w:trPr>
        <w:tc>
          <w:tcPr>
            <w:tcW w:w="1081" w:type="dxa"/>
            <w:vAlign w:val="top"/>
            <w:tcBorders>
              <w:left w:val="nil"/>
            </w:tcBorders>
          </w:tcPr>
          <w:p>
            <w:pPr>
              <w:ind w:left="43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2054" w:type="dxa"/>
            <w:vAlign w:val="top"/>
          </w:tcPr>
          <w:p>
            <w:pPr>
              <w:pStyle w:val="TableText"/>
              <w:ind w:left="723"/>
              <w:spacing w:before="109" w:line="229" w:lineRule="auto"/>
              <w:rPr/>
            </w:pPr>
            <w:r>
              <w:rPr>
                <w:spacing w:val="5"/>
              </w:rPr>
              <w:t>小茨藻</w:t>
            </w:r>
          </w:p>
        </w:tc>
        <w:tc>
          <w:tcPr>
            <w:tcW w:w="5283" w:type="dxa"/>
            <w:vAlign w:val="top"/>
            <w:tcBorders>
              <w:right w:val="nil"/>
            </w:tcBorders>
          </w:tcPr>
          <w:p>
            <w:pPr>
              <w:ind w:left="1939"/>
              <w:spacing w:before="1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Najas minor</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4"/>
              </w:rPr>
              <w:t>All.</w:t>
            </w:r>
          </w:p>
        </w:tc>
      </w:tr>
      <w:tr>
        <w:trPr>
          <w:trHeight w:val="316" w:hRule="atLeast"/>
        </w:trPr>
        <w:tc>
          <w:tcPr>
            <w:tcW w:w="1081" w:type="dxa"/>
            <w:vAlign w:val="top"/>
            <w:tcBorders>
              <w:left w:val="nil"/>
            </w:tcBorders>
          </w:tcPr>
          <w:p>
            <w:pPr>
              <w:pStyle w:val="TableText"/>
              <w:ind w:left="456"/>
              <w:spacing w:before="68" w:line="219" w:lineRule="auto"/>
              <w:rPr/>
            </w:pPr>
            <w:r>
              <w:rPr/>
              <w:t>九</w:t>
            </w:r>
          </w:p>
        </w:tc>
        <w:tc>
          <w:tcPr>
            <w:tcW w:w="2054" w:type="dxa"/>
            <w:vAlign w:val="top"/>
          </w:tcPr>
          <w:p>
            <w:pPr>
              <w:pStyle w:val="TableText"/>
              <w:ind w:left="724"/>
              <w:spacing w:before="68" w:line="219" w:lineRule="auto"/>
              <w:rPr/>
            </w:pPr>
            <w:r>
              <w:rPr>
                <w:spacing w:val="4"/>
              </w:rPr>
              <w:t>禾本科</w:t>
            </w:r>
          </w:p>
        </w:tc>
        <w:tc>
          <w:tcPr>
            <w:tcW w:w="5283" w:type="dxa"/>
            <w:vAlign w:val="top"/>
            <w:tcBorders>
              <w:right w:val="nil"/>
            </w:tcBorders>
          </w:tcPr>
          <w:p>
            <w:pPr>
              <w:ind w:left="2186"/>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Gramineae</w:t>
            </w:r>
          </w:p>
        </w:tc>
      </w:tr>
      <w:tr>
        <w:trPr>
          <w:trHeight w:val="401" w:hRule="atLeast"/>
        </w:trPr>
        <w:tc>
          <w:tcPr>
            <w:tcW w:w="1081" w:type="dxa"/>
            <w:vAlign w:val="top"/>
            <w:tcBorders>
              <w:left w:val="nil"/>
            </w:tcBorders>
          </w:tcPr>
          <w:p>
            <w:pPr>
              <w:ind w:left="439"/>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2054" w:type="dxa"/>
            <w:vAlign w:val="top"/>
          </w:tcPr>
          <w:p>
            <w:pPr>
              <w:pStyle w:val="TableText"/>
              <w:ind w:left="828"/>
              <w:spacing w:before="112" w:line="230" w:lineRule="auto"/>
              <w:rPr/>
            </w:pPr>
            <w:r>
              <w:rPr>
                <w:spacing w:val="1"/>
              </w:rPr>
              <w:t>芦苇</w:t>
            </w:r>
          </w:p>
        </w:tc>
        <w:tc>
          <w:tcPr>
            <w:tcW w:w="5283" w:type="dxa"/>
            <w:vAlign w:val="top"/>
            <w:tcBorders>
              <w:right w:val="nil"/>
            </w:tcBorders>
          </w:tcPr>
          <w:p>
            <w:pPr>
              <w:ind w:left="1705"/>
              <w:spacing w:before="1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Phragmites communis</w:t>
            </w:r>
          </w:p>
        </w:tc>
      </w:tr>
      <w:tr>
        <w:trPr>
          <w:trHeight w:val="401" w:hRule="atLeast"/>
        </w:trPr>
        <w:tc>
          <w:tcPr>
            <w:tcW w:w="1081" w:type="dxa"/>
            <w:vAlign w:val="top"/>
            <w:tcBorders>
              <w:left w:val="nil"/>
            </w:tcBorders>
          </w:tcPr>
          <w:p>
            <w:pPr>
              <w:ind w:left="439"/>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054" w:type="dxa"/>
            <w:vAlign w:val="top"/>
          </w:tcPr>
          <w:p>
            <w:pPr>
              <w:pStyle w:val="TableText"/>
              <w:ind w:left="834"/>
              <w:spacing w:before="114" w:line="230" w:lineRule="auto"/>
              <w:rPr/>
            </w:pPr>
            <w:r>
              <w:rPr>
                <w:spacing w:val="-2"/>
              </w:rPr>
              <w:t>羊草</w:t>
            </w:r>
          </w:p>
        </w:tc>
        <w:tc>
          <w:tcPr>
            <w:tcW w:w="5283" w:type="dxa"/>
            <w:vAlign w:val="top"/>
            <w:tcBorders>
              <w:right w:val="nil"/>
            </w:tcBorders>
          </w:tcPr>
          <w:p>
            <w:pPr>
              <w:pStyle w:val="TableText"/>
              <w:ind w:left="1105"/>
              <w:spacing w:before="114" w:line="221" w:lineRule="auto"/>
              <w:rPr>
                <w:rFonts w:ascii="Times New Roman" w:hAnsi="Times New Roman" w:eastAsia="Times New Roman" w:cs="Times New Roman"/>
              </w:rPr>
            </w:pPr>
            <w:r>
              <w:rPr>
                <w:rFonts w:ascii="Times New Roman" w:hAnsi="Times New Roman" w:eastAsia="Times New Roman" w:cs="Times New Roman"/>
              </w:rPr>
              <w:t>Leymus</w:t>
            </w:r>
            <w:r>
              <w:rPr>
                <w:rFonts w:ascii="Times New Roman" w:hAnsi="Times New Roman" w:eastAsia="Times New Roman" w:cs="Times New Roman"/>
                <w:spacing w:val="12"/>
              </w:rPr>
              <w:t xml:space="preserve"> </w:t>
            </w:r>
            <w:r>
              <w:rPr>
                <w:rFonts w:ascii="Times New Roman" w:hAnsi="Times New Roman" w:eastAsia="Times New Roman" w:cs="Times New Roman"/>
              </w:rPr>
              <w:t>chinensis</w:t>
            </w:r>
            <w:r>
              <w:rPr>
                <w:rFonts w:ascii="Times New Roman" w:hAnsi="Times New Roman" w:eastAsia="Times New Roman" w:cs="Times New Roman"/>
                <w:spacing w:val="12"/>
              </w:rPr>
              <w:t xml:space="preserve">  </w:t>
            </w:r>
            <w:r>
              <w:rPr>
                <w:spacing w:val="12"/>
              </w:rPr>
              <w:t>（</w:t>
            </w:r>
            <w:r>
              <w:rPr>
                <w:rFonts w:ascii="Times New Roman" w:hAnsi="Times New Roman" w:eastAsia="Times New Roman" w:cs="Times New Roman"/>
              </w:rPr>
              <w:t>Trin</w:t>
            </w:r>
            <w:r>
              <w:rPr>
                <w:rFonts w:ascii="Times New Roman" w:hAnsi="Times New Roman" w:eastAsia="Times New Roman" w:cs="Times New Roman"/>
                <w:spacing w:val="12"/>
              </w:rPr>
              <w:t>.</w:t>
            </w:r>
            <w:r>
              <w:rPr>
                <w:rFonts w:ascii="Times New Roman" w:hAnsi="Times New Roman" w:eastAsia="Times New Roman" w:cs="Times New Roman"/>
                <w:spacing w:val="-18"/>
              </w:rPr>
              <w:t xml:space="preserve"> </w:t>
            </w:r>
            <w:r>
              <w:rPr>
                <w:spacing w:val="12"/>
              </w:rPr>
              <w:t>）</w:t>
            </w:r>
            <w:r>
              <w:rPr>
                <w:spacing w:val="11"/>
              </w:rPr>
              <w:t xml:space="preserve"> </w:t>
            </w:r>
            <w:r>
              <w:rPr>
                <w:rFonts w:ascii="Times New Roman" w:hAnsi="Times New Roman" w:eastAsia="Times New Roman" w:cs="Times New Roman"/>
              </w:rPr>
              <w:t>Tzvel</w:t>
            </w:r>
            <w:r>
              <w:rPr>
                <w:rFonts w:ascii="Times New Roman" w:hAnsi="Times New Roman" w:eastAsia="Times New Roman" w:cs="Times New Roman"/>
                <w:spacing w:val="12"/>
              </w:rPr>
              <w:t>.</w:t>
            </w:r>
          </w:p>
        </w:tc>
      </w:tr>
      <w:tr>
        <w:trPr>
          <w:trHeight w:val="401" w:hRule="atLeast"/>
        </w:trPr>
        <w:tc>
          <w:tcPr>
            <w:tcW w:w="1081" w:type="dxa"/>
            <w:vAlign w:val="top"/>
            <w:tcBorders>
              <w:left w:val="nil"/>
            </w:tcBorders>
          </w:tcPr>
          <w:p>
            <w:pPr>
              <w:ind w:left="439"/>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2054" w:type="dxa"/>
            <w:vAlign w:val="top"/>
          </w:tcPr>
          <w:p>
            <w:pPr>
              <w:pStyle w:val="TableText"/>
              <w:ind w:left="726"/>
              <w:spacing w:before="113" w:line="231" w:lineRule="auto"/>
              <w:rPr/>
            </w:pPr>
            <w:r>
              <w:rPr>
                <w:spacing w:val="4"/>
              </w:rPr>
              <w:t>大麦草</w:t>
            </w:r>
          </w:p>
        </w:tc>
        <w:tc>
          <w:tcPr>
            <w:tcW w:w="5283" w:type="dxa"/>
            <w:vAlign w:val="top"/>
            <w:tcBorders>
              <w:right w:val="nil"/>
            </w:tcBorders>
          </w:tcPr>
          <w:p>
            <w:pPr>
              <w:ind w:left="1774"/>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Hordeum roshevitzii</w:t>
            </w:r>
          </w:p>
        </w:tc>
      </w:tr>
      <w:tr>
        <w:trPr>
          <w:trHeight w:val="401" w:hRule="atLeast"/>
        </w:trPr>
        <w:tc>
          <w:tcPr>
            <w:tcW w:w="1081" w:type="dxa"/>
            <w:vAlign w:val="top"/>
            <w:tcBorders>
              <w:left w:val="nil"/>
            </w:tcBorders>
          </w:tcPr>
          <w:p>
            <w:pPr>
              <w:ind w:left="439"/>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2054" w:type="dxa"/>
            <w:vAlign w:val="top"/>
          </w:tcPr>
          <w:p>
            <w:pPr>
              <w:pStyle w:val="TableText"/>
              <w:ind w:left="723"/>
              <w:spacing w:before="115" w:line="231" w:lineRule="auto"/>
              <w:rPr/>
            </w:pPr>
            <w:r>
              <w:rPr>
                <w:spacing w:val="5"/>
              </w:rPr>
              <w:t>小针茅</w:t>
            </w:r>
          </w:p>
        </w:tc>
        <w:tc>
          <w:tcPr>
            <w:tcW w:w="5283" w:type="dxa"/>
            <w:vAlign w:val="top"/>
            <w:tcBorders>
              <w:right w:val="nil"/>
            </w:tcBorders>
          </w:tcPr>
          <w:p>
            <w:pPr>
              <w:ind w:left="1971"/>
              <w:spacing w:before="14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Stipa Klemenzii</w:t>
            </w:r>
          </w:p>
        </w:tc>
      </w:tr>
      <w:tr>
        <w:trPr>
          <w:trHeight w:val="401" w:hRule="atLeast"/>
        </w:trPr>
        <w:tc>
          <w:tcPr>
            <w:tcW w:w="1081" w:type="dxa"/>
            <w:vAlign w:val="top"/>
            <w:tcBorders>
              <w:left w:val="nil"/>
            </w:tcBorders>
          </w:tcPr>
          <w:p>
            <w:pPr>
              <w:ind w:left="439"/>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2054" w:type="dxa"/>
            <w:vAlign w:val="top"/>
          </w:tcPr>
          <w:p>
            <w:pPr>
              <w:pStyle w:val="TableText"/>
              <w:ind w:left="726"/>
              <w:spacing w:before="115" w:line="231" w:lineRule="auto"/>
              <w:rPr/>
            </w:pPr>
            <w:r>
              <w:rPr>
                <w:spacing w:val="4"/>
              </w:rPr>
              <w:t>大针茅</w:t>
            </w:r>
          </w:p>
        </w:tc>
        <w:tc>
          <w:tcPr>
            <w:tcW w:w="5283" w:type="dxa"/>
            <w:vAlign w:val="top"/>
            <w:tcBorders>
              <w:right w:val="nil"/>
            </w:tcBorders>
          </w:tcPr>
          <w:p>
            <w:pPr>
              <w:ind w:left="1693"/>
              <w:spacing w:before="14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Stipa</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grandis</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P</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rPr>
              <w:t>Smirn</w:t>
            </w:r>
            <w:r>
              <w:rPr>
                <w:rFonts w:ascii="Times New Roman" w:hAnsi="Times New Roman" w:eastAsia="Times New Roman" w:cs="Times New Roman"/>
                <w:sz w:val="20"/>
                <w:szCs w:val="20"/>
                <w:spacing w:val="10"/>
              </w:rPr>
              <w:t>.</w:t>
            </w:r>
          </w:p>
        </w:tc>
      </w:tr>
      <w:tr>
        <w:trPr>
          <w:trHeight w:val="424" w:hRule="atLeast"/>
        </w:trPr>
        <w:tc>
          <w:tcPr>
            <w:tcW w:w="1081" w:type="dxa"/>
            <w:vAlign w:val="top"/>
            <w:tcBorders>
              <w:left w:val="nil"/>
              <w:bottom w:val="single" w:color="000000" w:sz="10" w:space="0"/>
            </w:tcBorders>
          </w:tcPr>
          <w:p>
            <w:pPr>
              <w:ind w:left="439"/>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2054" w:type="dxa"/>
            <w:vAlign w:val="top"/>
            <w:tcBorders>
              <w:bottom w:val="single" w:color="000000" w:sz="10" w:space="0"/>
            </w:tcBorders>
          </w:tcPr>
          <w:p>
            <w:pPr>
              <w:pStyle w:val="TableText"/>
              <w:ind w:left="728"/>
              <w:spacing w:before="117" w:line="231" w:lineRule="auto"/>
              <w:rPr/>
            </w:pPr>
            <w:r>
              <w:rPr>
                <w:spacing w:val="3"/>
              </w:rPr>
              <w:t>芨芨草</w:t>
            </w:r>
          </w:p>
        </w:tc>
        <w:tc>
          <w:tcPr>
            <w:tcW w:w="5283" w:type="dxa"/>
            <w:vAlign w:val="top"/>
            <w:tcBorders>
              <w:right w:val="nil"/>
              <w:bottom w:val="single" w:color="000000" w:sz="10" w:space="0"/>
            </w:tcBorders>
          </w:tcPr>
          <w:p>
            <w:pPr>
              <w:ind w:left="1628"/>
              <w:spacing w:before="14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Achnatherum splendens</w:t>
            </w:r>
          </w:p>
        </w:tc>
      </w:tr>
    </w:tbl>
    <w:p>
      <w:pPr>
        <w:pStyle w:val="BodyText"/>
        <w:spacing w:line="251" w:lineRule="auto"/>
        <w:rPr/>
      </w:pPr>
      <w:r/>
    </w:p>
    <w:p>
      <w:pPr>
        <w:pStyle w:val="BodyText"/>
        <w:spacing w:line="252" w:lineRule="auto"/>
        <w:rPr/>
      </w:pPr>
      <w:r/>
    </w:p>
    <w:p>
      <w:pPr>
        <w:ind w:left="116"/>
        <w:spacing w:before="78"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5.6.5.4  </w:t>
      </w:r>
      <w:r>
        <w:rPr>
          <w:rFonts w:ascii="FangSong" w:hAnsi="FangSong" w:eastAsia="FangSong" w:cs="FangSong"/>
          <w:sz w:val="24"/>
          <w:szCs w:val="24"/>
          <w:b/>
          <w:bCs/>
          <w:spacing w:val="-2"/>
        </w:rPr>
        <w:t>调查范围及周边样方调查</w:t>
      </w:r>
    </w:p>
    <w:p>
      <w:pPr>
        <w:ind w:left="123" w:right="107" w:firstLine="488"/>
        <w:spacing w:before="182" w:line="360" w:lineRule="auto"/>
        <w:jc w:val="both"/>
        <w:rPr>
          <w:rFonts w:ascii="FangSong" w:hAnsi="FangSong" w:eastAsia="FangSong" w:cs="FangSong"/>
          <w:sz w:val="24"/>
          <w:szCs w:val="24"/>
        </w:rPr>
      </w:pPr>
      <w:r>
        <w:rPr>
          <w:rFonts w:ascii="FangSong" w:hAnsi="FangSong" w:eastAsia="FangSong" w:cs="FangSong"/>
          <w:sz w:val="24"/>
          <w:szCs w:val="24"/>
          <w:spacing w:val="-4"/>
        </w:rPr>
        <w:t>为进一步了解拟建项目区域目前林地生态系统的现状，本次对调查范围进行</w:t>
      </w:r>
      <w:r>
        <w:rPr>
          <w:rFonts w:ascii="FangSong" w:hAnsi="FangSong" w:eastAsia="FangSong" w:cs="FangSong"/>
          <w:sz w:val="24"/>
          <w:szCs w:val="24"/>
          <w:spacing w:val="-3"/>
        </w:rPr>
        <w:t>样方调查。调查内容包括地表植被和主要植物群落的基本特性，包</w:t>
      </w:r>
      <w:r>
        <w:rPr>
          <w:rFonts w:ascii="FangSong" w:hAnsi="FangSong" w:eastAsia="FangSong" w:cs="FangSong"/>
          <w:sz w:val="24"/>
          <w:szCs w:val="24"/>
          <w:spacing w:val="-4"/>
        </w:rPr>
        <w:t>括以群系为描</w:t>
      </w:r>
      <w:r>
        <w:rPr>
          <w:rFonts w:ascii="FangSong" w:hAnsi="FangSong" w:eastAsia="FangSong" w:cs="FangSong"/>
          <w:sz w:val="24"/>
          <w:szCs w:val="24"/>
          <w:spacing w:val="-1"/>
        </w:rPr>
        <w:t>述单位的植被类型、群落结构、茂盛度、群落小环境特点等。</w:t>
      </w:r>
    </w:p>
    <w:p>
      <w:pPr>
        <w:ind w:left="123" w:right="107" w:firstLine="480"/>
        <w:spacing w:before="4" w:line="359" w:lineRule="auto"/>
        <w:jc w:val="both"/>
        <w:rPr>
          <w:rFonts w:ascii="FangSong" w:hAnsi="FangSong" w:eastAsia="FangSong" w:cs="FangSong"/>
          <w:sz w:val="24"/>
          <w:szCs w:val="24"/>
        </w:rPr>
      </w:pPr>
      <w:r>
        <w:rPr>
          <w:rFonts w:ascii="FangSong" w:hAnsi="FangSong" w:eastAsia="FangSong" w:cs="FangSong"/>
          <w:sz w:val="24"/>
          <w:szCs w:val="24"/>
          <w:spacing w:val="-3"/>
        </w:rPr>
        <w:t>本项目对调查范围内的生态植被进行了现场样</w:t>
      </w:r>
      <w:r>
        <w:rPr>
          <w:rFonts w:ascii="FangSong" w:hAnsi="FangSong" w:eastAsia="FangSong" w:cs="FangSong"/>
          <w:sz w:val="24"/>
          <w:szCs w:val="24"/>
          <w:spacing w:val="-4"/>
        </w:rPr>
        <w:t>方调查，调查过程中选取典型</w:t>
      </w:r>
      <w:r>
        <w:rPr>
          <w:rFonts w:ascii="FangSong" w:hAnsi="FangSong" w:eastAsia="FangSong" w:cs="FangSong"/>
          <w:sz w:val="24"/>
          <w:szCs w:val="24"/>
          <w:spacing w:val="-2"/>
        </w:rPr>
        <w:t>生境主要为草地植被。草本植物样方调查：设置</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1m×1m</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2"/>
        </w:rPr>
        <w:t>的草本植</w:t>
      </w:r>
      <w:r>
        <w:rPr>
          <w:rFonts w:ascii="FangSong" w:hAnsi="FangSong" w:eastAsia="FangSong" w:cs="FangSong"/>
          <w:sz w:val="24"/>
          <w:szCs w:val="24"/>
          <w:spacing w:val="-3"/>
        </w:rPr>
        <w:t>被样方，记录</w:t>
      </w:r>
      <w:r>
        <w:rPr>
          <w:rFonts w:ascii="FangSong" w:hAnsi="FangSong" w:eastAsia="FangSong" w:cs="FangSong"/>
          <w:sz w:val="24"/>
          <w:szCs w:val="24"/>
          <w:spacing w:val="-3"/>
        </w:rPr>
        <w:t>该样方的坐标、植物种名称、株数、平均高、丛幅、盖度等信息。</w:t>
      </w:r>
      <w:r>
        <w:rPr>
          <w:rFonts w:ascii="FangSong" w:hAnsi="FangSong" w:eastAsia="FangSong" w:cs="FangSong"/>
          <w:sz w:val="24"/>
          <w:szCs w:val="24"/>
          <w:spacing w:val="-4"/>
        </w:rPr>
        <w:t>调查和收集到</w:t>
      </w:r>
      <w:r>
        <w:rPr>
          <w:rFonts w:ascii="FangSong" w:hAnsi="FangSong" w:eastAsia="FangSong" w:cs="FangSong"/>
          <w:sz w:val="24"/>
          <w:szCs w:val="24"/>
          <w:spacing w:val="-4"/>
        </w:rPr>
        <w:t>的植物样方见表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4"/>
        </w:rPr>
        <w:t>5.6-8</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至表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5.6-15</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和附图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5-9</w:t>
      </w:r>
      <w:r>
        <w:rPr>
          <w:rFonts w:ascii="FangSong" w:hAnsi="FangSong" w:eastAsia="FangSong" w:cs="FangSong"/>
          <w:sz w:val="24"/>
          <w:szCs w:val="24"/>
          <w:spacing w:val="-4"/>
        </w:rPr>
        <w:t>：</w:t>
      </w:r>
    </w:p>
    <w:p>
      <w:pPr>
        <w:ind w:left="3125"/>
        <w:spacing w:before="1" w:line="219"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5"/>
        </w:rPr>
        <w:t>5.6-8</w:t>
      </w:r>
      <w:r>
        <w:rPr>
          <w:rFonts w:ascii="Times New Roman" w:hAnsi="Times New Roman" w:eastAsia="Times New Roman" w:cs="Times New Roman"/>
          <w:sz w:val="24"/>
          <w:szCs w:val="24"/>
          <w:b/>
          <w:bCs/>
          <w:spacing w:val="16"/>
        </w:rPr>
        <w:t xml:space="preserve"> </w:t>
      </w:r>
      <w:r>
        <w:rPr>
          <w:rFonts w:ascii="Times New Roman" w:hAnsi="Times New Roman" w:eastAsia="Times New Roman" w:cs="Times New Roman"/>
          <w:sz w:val="24"/>
          <w:szCs w:val="24"/>
          <w:b/>
          <w:bCs/>
          <w:spacing w:val="-5"/>
        </w:rPr>
        <w:t>1#</w:t>
      </w:r>
      <w:r>
        <w:rPr>
          <w:rFonts w:ascii="FangSong" w:hAnsi="FangSong" w:eastAsia="FangSong" w:cs="FangSong"/>
          <w:sz w:val="24"/>
          <w:szCs w:val="24"/>
          <w:b/>
          <w:bCs/>
          <w:spacing w:val="-5"/>
        </w:rPr>
        <w:t>样方调查表</w:t>
      </w:r>
    </w:p>
    <w:p>
      <w:pPr>
        <w:spacing w:line="67"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09" w:hRule="atLeast"/>
        </w:trPr>
        <w:tc>
          <w:tcPr>
            <w:tcW w:w="1064" w:type="dxa"/>
            <w:vAlign w:val="top"/>
            <w:tcBorders>
              <w:top w:val="single" w:color="000000" w:sz="10" w:space="0"/>
              <w:left w:val="nil"/>
            </w:tcBorders>
          </w:tcPr>
          <w:p>
            <w:pPr>
              <w:pStyle w:val="TableText"/>
              <w:ind w:left="230"/>
              <w:spacing w:before="56" w:line="224" w:lineRule="auto"/>
              <w:rPr/>
            </w:pPr>
            <w:r>
              <w:rPr>
                <w:spacing w:val="4"/>
              </w:rPr>
              <w:t>样方号</w:t>
            </w:r>
          </w:p>
        </w:tc>
        <w:tc>
          <w:tcPr>
            <w:tcW w:w="1064" w:type="dxa"/>
            <w:vAlign w:val="top"/>
            <w:tcBorders>
              <w:top w:val="single" w:color="000000" w:sz="10" w:space="0"/>
            </w:tcBorders>
          </w:tcPr>
          <w:p>
            <w:pPr>
              <w:ind w:left="44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1064" w:type="dxa"/>
            <w:vAlign w:val="top"/>
            <w:tcBorders>
              <w:top w:val="single" w:color="000000" w:sz="10" w:space="0"/>
            </w:tcBorders>
          </w:tcPr>
          <w:p>
            <w:pPr>
              <w:pStyle w:val="TableText"/>
              <w:ind w:left="124"/>
              <w:spacing w:before="56" w:line="224" w:lineRule="auto"/>
              <w:rPr/>
            </w:pPr>
            <w:r>
              <w:rPr>
                <w:spacing w:val="5"/>
              </w:rPr>
              <w:t>海拔高度</w:t>
            </w:r>
          </w:p>
        </w:tc>
        <w:tc>
          <w:tcPr>
            <w:tcW w:w="1064" w:type="dxa"/>
            <w:vAlign w:val="top"/>
            <w:tcBorders>
              <w:top w:val="single" w:color="000000" w:sz="10" w:space="0"/>
            </w:tcBorders>
          </w:tcPr>
          <w:p>
            <w:pPr>
              <w:ind w:left="15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1040.476</w:t>
            </w:r>
          </w:p>
        </w:tc>
        <w:tc>
          <w:tcPr>
            <w:tcW w:w="1064" w:type="dxa"/>
            <w:vAlign w:val="top"/>
            <w:tcBorders>
              <w:top w:val="single" w:color="000000" w:sz="10" w:space="0"/>
            </w:tcBorders>
          </w:tcPr>
          <w:p>
            <w:pPr>
              <w:pStyle w:val="TableText"/>
              <w:ind w:left="124"/>
              <w:spacing w:before="56" w:line="224" w:lineRule="auto"/>
              <w:rPr/>
            </w:pPr>
            <w:r>
              <w:rPr>
                <w:spacing w:val="5"/>
              </w:rPr>
              <w:t>样方类型</w:t>
            </w:r>
          </w:p>
        </w:tc>
        <w:tc>
          <w:tcPr>
            <w:tcW w:w="1063" w:type="dxa"/>
            <w:vAlign w:val="top"/>
            <w:tcBorders>
              <w:top w:val="single" w:color="000000" w:sz="10" w:space="0"/>
            </w:tcBorders>
          </w:tcPr>
          <w:p>
            <w:pPr>
              <w:pStyle w:val="TableText"/>
              <w:ind w:left="231"/>
              <w:spacing w:before="56" w:line="224" w:lineRule="auto"/>
              <w:rPr/>
            </w:pPr>
            <w:r>
              <w:rPr>
                <w:spacing w:val="3"/>
              </w:rPr>
              <w:t>草木层</w:t>
            </w:r>
          </w:p>
        </w:tc>
        <w:tc>
          <w:tcPr>
            <w:tcW w:w="1069" w:type="dxa"/>
            <w:vAlign w:val="top"/>
            <w:tcBorders>
              <w:top w:val="single" w:color="000000" w:sz="10" w:space="0"/>
            </w:tcBorders>
          </w:tcPr>
          <w:p>
            <w:pPr>
              <w:pStyle w:val="TableText"/>
              <w:ind w:left="125"/>
              <w:spacing w:before="56" w:line="224" w:lineRule="auto"/>
              <w:rPr/>
            </w:pPr>
            <w:r>
              <w:rPr>
                <w:spacing w:val="5"/>
              </w:rPr>
              <w:t>样方面积</w:t>
            </w:r>
          </w:p>
        </w:tc>
        <w:tc>
          <w:tcPr>
            <w:tcW w:w="1069" w:type="dxa"/>
            <w:vAlign w:val="top"/>
            <w:tcBorders>
              <w:top w:val="single" w:color="000000" w:sz="10" w:space="0"/>
              <w:right w:val="nil"/>
            </w:tcBorders>
          </w:tcPr>
          <w:p>
            <w:pPr>
              <w:pStyle w:val="TableText"/>
              <w:ind w:left="182"/>
              <w:spacing w:before="56" w:line="224"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326" w:hRule="atLeast"/>
        </w:trPr>
        <w:tc>
          <w:tcPr>
            <w:tcW w:w="2128" w:type="dxa"/>
            <w:vAlign w:val="top"/>
            <w:gridSpan w:val="2"/>
            <w:tcBorders>
              <w:bottom w:val="single" w:color="000000" w:sz="10" w:space="0"/>
              <w:left w:val="nil"/>
            </w:tcBorders>
          </w:tcPr>
          <w:p>
            <w:pPr>
              <w:pStyle w:val="TableText"/>
              <w:ind w:left="313"/>
              <w:spacing w:before="64"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Borders>
              <w:bottom w:val="single" w:color="000000" w:sz="10" w:space="0"/>
            </w:tcBorders>
          </w:tcPr>
          <w:p>
            <w:pPr>
              <w:pStyle w:val="TableText"/>
              <w:ind w:left="335"/>
              <w:spacing w:before="63" w:line="232" w:lineRule="auto"/>
              <w:rPr/>
            </w:pPr>
            <w:r>
              <w:rPr>
                <w:spacing w:val="1"/>
              </w:rPr>
              <w:t>层次</w:t>
            </w:r>
          </w:p>
        </w:tc>
        <w:tc>
          <w:tcPr>
            <w:tcW w:w="1064" w:type="dxa"/>
            <w:vAlign w:val="top"/>
            <w:tcBorders>
              <w:bottom w:val="single" w:color="000000" w:sz="10" w:space="0"/>
            </w:tcBorders>
          </w:tcPr>
          <w:p>
            <w:pPr>
              <w:pStyle w:val="TableText"/>
              <w:ind w:left="334"/>
              <w:spacing w:before="64" w:line="228" w:lineRule="auto"/>
              <w:rPr/>
            </w:pPr>
            <w:r>
              <w:rPr>
                <w:spacing w:val="1"/>
              </w:rPr>
              <w:t>株树</w:t>
            </w:r>
          </w:p>
        </w:tc>
        <w:tc>
          <w:tcPr>
            <w:tcW w:w="1064" w:type="dxa"/>
            <w:vAlign w:val="top"/>
            <w:tcBorders>
              <w:bottom w:val="single" w:color="000000" w:sz="10" w:space="0"/>
            </w:tcBorders>
          </w:tcPr>
          <w:p>
            <w:pPr>
              <w:pStyle w:val="TableText"/>
              <w:ind w:left="123"/>
              <w:spacing w:before="63" w:line="232" w:lineRule="auto"/>
              <w:rPr/>
            </w:pPr>
            <w:r>
              <w:rPr>
                <w:spacing w:val="5"/>
              </w:rPr>
              <w:t>平均高度</w:t>
            </w:r>
          </w:p>
        </w:tc>
        <w:tc>
          <w:tcPr>
            <w:tcW w:w="1063" w:type="dxa"/>
            <w:vAlign w:val="top"/>
            <w:tcBorders>
              <w:bottom w:val="single" w:color="000000" w:sz="10" w:space="0"/>
            </w:tcBorders>
          </w:tcPr>
          <w:p>
            <w:pPr>
              <w:pStyle w:val="TableText"/>
              <w:ind w:left="228"/>
              <w:spacing w:before="63" w:line="232" w:lineRule="auto"/>
              <w:rPr/>
            </w:pPr>
            <w:r>
              <w:rPr>
                <w:spacing w:val="5"/>
              </w:rPr>
              <w:t>茂盛度</w:t>
            </w:r>
          </w:p>
        </w:tc>
        <w:tc>
          <w:tcPr>
            <w:tcW w:w="2138" w:type="dxa"/>
            <w:vAlign w:val="top"/>
            <w:gridSpan w:val="2"/>
            <w:tcBorders>
              <w:bottom w:val="single" w:color="000000" w:sz="10" w:space="0"/>
              <w:right w:val="nil"/>
            </w:tcBorders>
          </w:tcPr>
          <w:p>
            <w:pPr>
              <w:pStyle w:val="TableText"/>
              <w:ind w:left="778"/>
              <w:spacing w:before="64" w:line="232" w:lineRule="auto"/>
              <w:rPr/>
            </w:pPr>
            <w:r>
              <w:rPr/>
              <w:t>生活力</w:t>
            </w:r>
          </w:p>
        </w:tc>
      </w:tr>
    </w:tbl>
    <w:p>
      <w:pPr>
        <w:pStyle w:val="BodyText"/>
        <w:spacing w:line="148" w:lineRule="exact"/>
        <w:rPr>
          <w:sz w:val="12"/>
        </w:rPr>
      </w:pPr>
      <w:r/>
    </w:p>
    <w:p>
      <w:pPr>
        <w:spacing w:line="148" w:lineRule="exact"/>
        <w:sectPr>
          <w:footerReference w:type="default" r:id="rId262"/>
          <w:pgSz w:w="11906" w:h="16839"/>
          <w:pgMar w:top="400" w:right="1691" w:bottom="1358" w:left="1691" w:header="0" w:footer="1195" w:gutter="0"/>
        </w:sectPr>
        <w:rPr>
          <w:sz w:val="12"/>
          <w:szCs w:val="12"/>
        </w:rPr>
      </w:pPr>
    </w:p>
    <w:p>
      <w:pPr>
        <w:spacing w:before="19"/>
        <w:rPr/>
      </w:pPr>
      <w:r/>
    </w:p>
    <w:p>
      <w:pPr>
        <w:spacing w:before="19"/>
        <w:rPr/>
      </w:pPr>
      <w:r/>
    </w:p>
    <w:p>
      <w:pPr>
        <w:spacing w:before="18"/>
        <w:rPr/>
      </w:pPr>
      <w:r/>
    </w:p>
    <w:p>
      <w:pPr>
        <w:spacing w:before="18"/>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8"/>
        <w:gridCol w:w="1064"/>
        <w:gridCol w:w="1064"/>
        <w:gridCol w:w="1064"/>
        <w:gridCol w:w="1063"/>
        <w:gridCol w:w="2138"/>
      </w:tblGrid>
      <w:tr>
        <w:trPr>
          <w:trHeight w:val="293" w:hRule="atLeast"/>
        </w:trPr>
        <w:tc>
          <w:tcPr>
            <w:tcW w:w="2128" w:type="dxa"/>
            <w:vAlign w:val="top"/>
            <w:tcBorders>
              <w:top w:val="single" w:color="000000" w:sz="10" w:space="0"/>
              <w:left w:val="nil"/>
            </w:tcBorders>
          </w:tcPr>
          <w:p>
            <w:pPr>
              <w:rPr>
                <w:rFonts w:ascii="Arial"/>
                <w:sz w:val="21"/>
              </w:rPr>
            </w:pPr>
            <w:r/>
          </w:p>
        </w:tc>
        <w:tc>
          <w:tcPr>
            <w:tcW w:w="1064" w:type="dxa"/>
            <w:vAlign w:val="top"/>
            <w:tcBorders>
              <w:top w:val="single" w:color="000000" w:sz="10" w:space="0"/>
            </w:tcBorders>
          </w:tcPr>
          <w:p>
            <w:pPr>
              <w:rPr>
                <w:rFonts w:ascii="Arial"/>
                <w:sz w:val="21"/>
              </w:rPr>
            </w:pPr>
            <w:r/>
          </w:p>
        </w:tc>
        <w:tc>
          <w:tcPr>
            <w:tcW w:w="1064" w:type="dxa"/>
            <w:vAlign w:val="top"/>
            <w:tcBorders>
              <w:top w:val="single" w:color="000000" w:sz="10" w:space="0"/>
            </w:tcBorders>
          </w:tcPr>
          <w:p>
            <w:pPr>
              <w:rPr>
                <w:rFonts w:ascii="Arial"/>
                <w:sz w:val="21"/>
              </w:rPr>
            </w:pPr>
            <w:r/>
          </w:p>
        </w:tc>
        <w:tc>
          <w:tcPr>
            <w:tcW w:w="1064" w:type="dxa"/>
            <w:vAlign w:val="top"/>
            <w:tcBorders>
              <w:top w:val="single" w:color="000000" w:sz="10" w:space="0"/>
            </w:tcBorders>
          </w:tcPr>
          <w:p>
            <w:pPr>
              <w:pStyle w:val="TableText"/>
              <w:ind w:left="209"/>
              <w:spacing w:before="36" w:line="228" w:lineRule="auto"/>
              <w:rPr/>
            </w:pPr>
            <w:r>
              <w:rPr>
                <w:spacing w:val="1"/>
              </w:rPr>
              <w:t>（</w:t>
            </w:r>
            <w:r>
              <w:rPr>
                <w:rFonts w:ascii="Times New Roman" w:hAnsi="Times New Roman" w:eastAsia="Times New Roman" w:cs="Times New Roman"/>
              </w:rPr>
              <w:t>cm</w:t>
            </w:r>
            <w:r>
              <w:rPr>
                <w:spacing w:val="1"/>
              </w:rPr>
              <w:t>）</w:t>
            </w:r>
          </w:p>
        </w:tc>
        <w:tc>
          <w:tcPr>
            <w:tcW w:w="1063" w:type="dxa"/>
            <w:vAlign w:val="top"/>
            <w:tcBorders>
              <w:top w:val="single" w:color="000000" w:sz="10" w:space="0"/>
            </w:tcBorders>
          </w:tcPr>
          <w:p>
            <w:pPr>
              <w:rPr>
                <w:rFonts w:ascii="Arial"/>
                <w:sz w:val="21"/>
              </w:rPr>
            </w:pPr>
            <w:r/>
          </w:p>
        </w:tc>
        <w:tc>
          <w:tcPr>
            <w:tcW w:w="2138" w:type="dxa"/>
            <w:vAlign w:val="top"/>
            <w:tcBorders>
              <w:top w:val="single" w:color="000000" w:sz="10" w:space="0"/>
              <w:right w:val="nil"/>
            </w:tcBorders>
          </w:tcPr>
          <w:p>
            <w:pPr>
              <w:rPr>
                <w:rFonts w:ascii="Arial"/>
                <w:sz w:val="21"/>
              </w:rPr>
            </w:pPr>
            <w:r/>
          </w:p>
        </w:tc>
      </w:tr>
      <w:tr>
        <w:trPr>
          <w:trHeight w:val="636" w:hRule="atLeast"/>
        </w:trPr>
        <w:tc>
          <w:tcPr>
            <w:tcW w:w="2128" w:type="dxa"/>
            <w:vAlign w:val="top"/>
            <w:tcBorders>
              <w:bottom w:val="single" w:color="000000" w:sz="10" w:space="0"/>
              <w:left w:val="nil"/>
            </w:tcBorders>
          </w:tcPr>
          <w:p>
            <w:pPr>
              <w:pStyle w:val="TableText"/>
              <w:ind w:left="390" w:right="389" w:firstLine="27"/>
              <w:spacing w:before="60" w:line="277" w:lineRule="auto"/>
              <w:rPr>
                <w:rFonts w:ascii="Times New Roman" w:hAnsi="Times New Roman" w:eastAsia="Times New Roman" w:cs="Times New Roman"/>
              </w:rPr>
            </w:pPr>
            <w:r>
              <w:rPr>
                <w:spacing w:val="8"/>
              </w:rPr>
              <w:t>克氏针茅</w:t>
            </w:r>
            <w:r>
              <w:rPr>
                <w:rFonts w:ascii="Times New Roman" w:hAnsi="Times New Roman" w:eastAsia="Times New Roman" w:cs="Times New Roman"/>
                <w:spacing w:val="8"/>
              </w:rPr>
              <w:t>/</w:t>
            </w:r>
            <w:r>
              <w:rPr>
                <w:rFonts w:ascii="Times New Roman" w:hAnsi="Times New Roman" w:eastAsia="Times New Roman" w:cs="Times New Roman"/>
              </w:rPr>
              <w:t>Stipa</w:t>
            </w:r>
            <w:r>
              <w:rPr>
                <w:rFonts w:ascii="Times New Roman" w:hAnsi="Times New Roman" w:eastAsia="Times New Roman" w:cs="Times New Roman"/>
                <w:spacing w:val="1"/>
              </w:rPr>
              <w:t xml:space="preserve"> </w:t>
            </w:r>
            <w:r>
              <w:rPr>
                <w:rFonts w:ascii="Times New Roman" w:hAnsi="Times New Roman" w:eastAsia="Times New Roman" w:cs="Times New Roman"/>
                <w:spacing w:val="4"/>
              </w:rPr>
              <w:t>krylovii Roshev</w:t>
            </w:r>
          </w:p>
        </w:tc>
        <w:tc>
          <w:tcPr>
            <w:tcW w:w="1064" w:type="dxa"/>
            <w:vAlign w:val="top"/>
            <w:tcBorders>
              <w:bottom w:val="single" w:color="000000" w:sz="10" w:space="0"/>
            </w:tcBorders>
          </w:tcPr>
          <w:p>
            <w:pPr>
              <w:pStyle w:val="TableText"/>
              <w:ind w:left="231"/>
              <w:spacing w:before="216" w:line="230" w:lineRule="auto"/>
              <w:rPr/>
            </w:pPr>
            <w:r>
              <w:rPr>
                <w:spacing w:val="3"/>
              </w:rPr>
              <w:t>草木层</w:t>
            </w:r>
          </w:p>
        </w:tc>
        <w:tc>
          <w:tcPr>
            <w:tcW w:w="1064" w:type="dxa"/>
            <w:vAlign w:val="top"/>
            <w:tcBorders>
              <w:bottom w:val="single" w:color="000000" w:sz="10" w:space="0"/>
            </w:tcBorders>
          </w:tcPr>
          <w:p>
            <w:pPr>
              <w:ind w:left="449"/>
              <w:spacing w:before="2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064" w:type="dxa"/>
            <w:vAlign w:val="top"/>
            <w:tcBorders>
              <w:bottom w:val="single" w:color="000000" w:sz="10" w:space="0"/>
            </w:tcBorders>
          </w:tcPr>
          <w:p>
            <w:pPr>
              <w:ind w:left="405"/>
              <w:spacing w:before="2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3" w:type="dxa"/>
            <w:vAlign w:val="top"/>
            <w:tcBorders>
              <w:bottom w:val="single" w:color="000000" w:sz="10" w:space="0"/>
            </w:tcBorders>
          </w:tcPr>
          <w:p>
            <w:pPr>
              <w:pStyle w:val="TableText"/>
              <w:ind w:left="447"/>
              <w:spacing w:before="216" w:line="239" w:lineRule="auto"/>
              <w:rPr/>
            </w:pPr>
            <w:r>
              <w:rPr/>
              <w:t>盛</w:t>
            </w:r>
          </w:p>
        </w:tc>
        <w:tc>
          <w:tcPr>
            <w:tcW w:w="2138" w:type="dxa"/>
            <w:vAlign w:val="top"/>
            <w:tcBorders>
              <w:bottom w:val="single" w:color="000000" w:sz="10" w:space="0"/>
              <w:right w:val="nil"/>
            </w:tcBorders>
          </w:tcPr>
          <w:p>
            <w:pPr>
              <w:pStyle w:val="TableText"/>
              <w:ind w:left="977"/>
              <w:spacing w:before="215" w:line="231" w:lineRule="auto"/>
              <w:rPr/>
            </w:pPr>
            <w:r>
              <w:rPr/>
              <w:t>优</w:t>
            </w:r>
          </w:p>
        </w:tc>
      </w:tr>
    </w:tbl>
    <w:p>
      <w:pPr>
        <w:pStyle w:val="BodyText"/>
        <w:spacing w:line="251" w:lineRule="auto"/>
        <w:rPr/>
      </w:pPr>
      <w:r/>
    </w:p>
    <w:p>
      <w:pPr>
        <w:pStyle w:val="BodyText"/>
        <w:spacing w:line="252" w:lineRule="auto"/>
        <w:rPr/>
      </w:pPr>
      <w:r/>
    </w:p>
    <w:p>
      <w:pPr>
        <w:ind w:left="3125"/>
        <w:spacing w:before="78" w:line="219" w:lineRule="auto"/>
        <w:rPr>
          <w:rFonts w:ascii="FangSong" w:hAnsi="FangSong" w:eastAsia="FangSong" w:cs="FangSong"/>
          <w:sz w:val="24"/>
          <w:szCs w:val="24"/>
        </w:rPr>
      </w:pPr>
      <w:bookmarkStart w:name="bookmark586" w:id="356"/>
      <w:bookmarkEnd w:id="356"/>
      <w:r>
        <w:rPr>
          <w:rFonts w:ascii="FangSong" w:hAnsi="FangSong" w:eastAsia="FangSong" w:cs="FangSong"/>
          <w:sz w:val="24"/>
          <w:szCs w:val="24"/>
          <w:b/>
          <w:bCs/>
          <w:spacing w:val="-3"/>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spacing w:val="-3"/>
        </w:rPr>
        <w:t>5.6-9 2#</w:t>
      </w:r>
      <w:r>
        <w:rPr>
          <w:rFonts w:ascii="FangSong" w:hAnsi="FangSong" w:eastAsia="FangSong" w:cs="FangSong"/>
          <w:sz w:val="24"/>
          <w:szCs w:val="24"/>
          <w:b/>
          <w:bCs/>
          <w:spacing w:val="-3"/>
        </w:rPr>
        <w:t>样方调查表</w:t>
      </w:r>
    </w:p>
    <w:p>
      <w:pPr>
        <w:spacing w:line="68"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6" w:hRule="atLeast"/>
        </w:trPr>
        <w:tc>
          <w:tcPr>
            <w:tcW w:w="1064" w:type="dxa"/>
            <w:vAlign w:val="top"/>
            <w:tcBorders>
              <w:top w:val="single" w:color="000000" w:sz="10" w:space="0"/>
              <w:left w:val="nil"/>
            </w:tcBorders>
          </w:tcPr>
          <w:p>
            <w:pPr>
              <w:pStyle w:val="TableText"/>
              <w:ind w:left="230"/>
              <w:spacing w:before="56" w:line="228" w:lineRule="auto"/>
              <w:rPr/>
            </w:pPr>
            <w:r>
              <w:rPr>
                <w:spacing w:val="4"/>
              </w:rPr>
              <w:t>样方号</w:t>
            </w:r>
          </w:p>
        </w:tc>
        <w:tc>
          <w:tcPr>
            <w:tcW w:w="1064" w:type="dxa"/>
            <w:vAlign w:val="top"/>
            <w:tcBorders>
              <w:top w:val="single" w:color="000000" w:sz="10" w:space="0"/>
            </w:tcBorders>
          </w:tcPr>
          <w:p>
            <w:pPr>
              <w:ind w:left="42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p>
        </w:tc>
        <w:tc>
          <w:tcPr>
            <w:tcW w:w="1064" w:type="dxa"/>
            <w:vAlign w:val="top"/>
            <w:tcBorders>
              <w:top w:val="single" w:color="000000" w:sz="10" w:space="0"/>
            </w:tcBorders>
          </w:tcPr>
          <w:p>
            <w:pPr>
              <w:pStyle w:val="TableText"/>
              <w:ind w:left="124"/>
              <w:spacing w:before="55" w:line="231" w:lineRule="auto"/>
              <w:rPr/>
            </w:pPr>
            <w:r>
              <w:rPr>
                <w:spacing w:val="5"/>
              </w:rPr>
              <w:t>海拔高度</w:t>
            </w:r>
          </w:p>
        </w:tc>
        <w:tc>
          <w:tcPr>
            <w:tcW w:w="1064" w:type="dxa"/>
            <w:vAlign w:val="top"/>
            <w:tcBorders>
              <w:top w:val="single" w:color="000000" w:sz="10" w:space="0"/>
            </w:tcBorders>
          </w:tcPr>
          <w:p>
            <w:pPr>
              <w:ind w:left="15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1045.088</w:t>
            </w:r>
          </w:p>
        </w:tc>
        <w:tc>
          <w:tcPr>
            <w:tcW w:w="1064" w:type="dxa"/>
            <w:vAlign w:val="top"/>
            <w:tcBorders>
              <w:top w:val="single" w:color="000000" w:sz="10" w:space="0"/>
            </w:tcBorders>
          </w:tcPr>
          <w:p>
            <w:pPr>
              <w:pStyle w:val="TableText"/>
              <w:ind w:left="124"/>
              <w:spacing w:before="56" w:line="228" w:lineRule="auto"/>
              <w:rPr/>
            </w:pPr>
            <w:r>
              <w:rPr>
                <w:spacing w:val="5"/>
              </w:rPr>
              <w:t>样方类型</w:t>
            </w:r>
          </w:p>
        </w:tc>
        <w:tc>
          <w:tcPr>
            <w:tcW w:w="1063" w:type="dxa"/>
            <w:vAlign w:val="top"/>
            <w:tcBorders>
              <w:top w:val="single" w:color="000000" w:sz="10" w:space="0"/>
            </w:tcBorders>
          </w:tcPr>
          <w:p>
            <w:pPr>
              <w:pStyle w:val="TableText"/>
              <w:ind w:left="231"/>
              <w:spacing w:before="56" w:line="230" w:lineRule="auto"/>
              <w:rPr/>
            </w:pPr>
            <w:r>
              <w:rPr>
                <w:spacing w:val="3"/>
              </w:rPr>
              <w:t>草木层</w:t>
            </w:r>
          </w:p>
        </w:tc>
        <w:tc>
          <w:tcPr>
            <w:tcW w:w="1069" w:type="dxa"/>
            <w:vAlign w:val="top"/>
            <w:tcBorders>
              <w:top w:val="single" w:color="000000" w:sz="10" w:space="0"/>
            </w:tcBorders>
          </w:tcPr>
          <w:p>
            <w:pPr>
              <w:pStyle w:val="TableText"/>
              <w:ind w:left="125"/>
              <w:spacing w:before="56"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5" w:line="231"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19" w:hRule="atLeast"/>
        </w:trPr>
        <w:tc>
          <w:tcPr>
            <w:tcW w:w="2128" w:type="dxa"/>
            <w:vAlign w:val="top"/>
            <w:gridSpan w:val="2"/>
            <w:tcBorders>
              <w:left w:val="nil"/>
            </w:tcBorders>
          </w:tcPr>
          <w:p>
            <w:pPr>
              <w:pStyle w:val="TableText"/>
              <w:ind w:left="313"/>
              <w:spacing w:before="213"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2" w:line="232" w:lineRule="auto"/>
              <w:rPr/>
            </w:pPr>
            <w:r>
              <w:rPr>
                <w:spacing w:val="1"/>
              </w:rPr>
              <w:t>层次</w:t>
            </w:r>
          </w:p>
        </w:tc>
        <w:tc>
          <w:tcPr>
            <w:tcW w:w="1064" w:type="dxa"/>
            <w:vAlign w:val="top"/>
          </w:tcPr>
          <w:p>
            <w:pPr>
              <w:pStyle w:val="TableText"/>
              <w:ind w:left="334"/>
              <w:spacing w:before="212" w:line="228" w:lineRule="auto"/>
              <w:rPr/>
            </w:pPr>
            <w:r>
              <w:rPr>
                <w:spacing w:val="1"/>
              </w:rPr>
              <w:t>株树</w:t>
            </w:r>
          </w:p>
        </w:tc>
        <w:tc>
          <w:tcPr>
            <w:tcW w:w="1064" w:type="dxa"/>
            <w:vAlign w:val="top"/>
          </w:tcPr>
          <w:p>
            <w:pPr>
              <w:pStyle w:val="TableText"/>
              <w:ind w:left="123"/>
              <w:spacing w:before="56" w:line="232" w:lineRule="auto"/>
              <w:rPr/>
            </w:pPr>
            <w:r>
              <w:rPr>
                <w:spacing w:val="5"/>
              </w:rPr>
              <w:t>平均高度</w:t>
            </w:r>
          </w:p>
          <w:p>
            <w:pPr>
              <w:pStyle w:val="TableText"/>
              <w:ind w:left="209"/>
              <w:spacing w:before="61" w:line="222"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2" w:line="232" w:lineRule="auto"/>
              <w:rPr/>
            </w:pPr>
            <w:r>
              <w:rPr>
                <w:spacing w:val="5"/>
              </w:rPr>
              <w:t>茂盛度</w:t>
            </w:r>
          </w:p>
        </w:tc>
        <w:tc>
          <w:tcPr>
            <w:tcW w:w="2138" w:type="dxa"/>
            <w:vAlign w:val="top"/>
            <w:gridSpan w:val="2"/>
            <w:tcBorders>
              <w:right w:val="nil"/>
            </w:tcBorders>
          </w:tcPr>
          <w:p>
            <w:pPr>
              <w:pStyle w:val="TableText"/>
              <w:ind w:left="778"/>
              <w:spacing w:before="212" w:line="232" w:lineRule="auto"/>
              <w:rPr/>
            </w:pPr>
            <w:r>
              <w:rPr/>
              <w:t>生活力</w:t>
            </w:r>
          </w:p>
        </w:tc>
      </w:tr>
      <w:tr>
        <w:trPr>
          <w:trHeight w:val="643" w:hRule="atLeast"/>
        </w:trPr>
        <w:tc>
          <w:tcPr>
            <w:tcW w:w="2128" w:type="dxa"/>
            <w:vAlign w:val="top"/>
            <w:gridSpan w:val="2"/>
            <w:tcBorders>
              <w:bottom w:val="single" w:color="000000" w:sz="10" w:space="0"/>
              <w:left w:val="nil"/>
            </w:tcBorders>
          </w:tcPr>
          <w:p>
            <w:pPr>
              <w:pStyle w:val="TableText"/>
              <w:ind w:left="390" w:right="389" w:firstLine="27"/>
              <w:spacing w:before="65" w:line="278" w:lineRule="auto"/>
              <w:rPr>
                <w:rFonts w:ascii="Times New Roman" w:hAnsi="Times New Roman" w:eastAsia="Times New Roman" w:cs="Times New Roman"/>
              </w:rPr>
            </w:pPr>
            <w:r>
              <w:rPr>
                <w:spacing w:val="8"/>
              </w:rPr>
              <w:t>克氏针茅</w:t>
            </w:r>
            <w:r>
              <w:rPr>
                <w:rFonts w:ascii="Times New Roman" w:hAnsi="Times New Roman" w:eastAsia="Times New Roman" w:cs="Times New Roman"/>
                <w:spacing w:val="8"/>
              </w:rPr>
              <w:t>/</w:t>
            </w:r>
            <w:r>
              <w:rPr>
                <w:rFonts w:ascii="Times New Roman" w:hAnsi="Times New Roman" w:eastAsia="Times New Roman" w:cs="Times New Roman"/>
              </w:rPr>
              <w:t>Stipa</w:t>
            </w:r>
            <w:r>
              <w:rPr>
                <w:rFonts w:ascii="Times New Roman" w:hAnsi="Times New Roman" w:eastAsia="Times New Roman" w:cs="Times New Roman"/>
                <w:spacing w:val="1"/>
              </w:rPr>
              <w:t xml:space="preserve"> </w:t>
            </w:r>
            <w:r>
              <w:rPr>
                <w:rFonts w:ascii="Times New Roman" w:hAnsi="Times New Roman" w:eastAsia="Times New Roman" w:cs="Times New Roman"/>
                <w:spacing w:val="4"/>
              </w:rPr>
              <w:t>krylovii Roshev</w:t>
            </w:r>
          </w:p>
        </w:tc>
        <w:tc>
          <w:tcPr>
            <w:tcW w:w="1064" w:type="dxa"/>
            <w:vAlign w:val="top"/>
            <w:tcBorders>
              <w:bottom w:val="single" w:color="000000" w:sz="10" w:space="0"/>
            </w:tcBorders>
          </w:tcPr>
          <w:p>
            <w:pPr>
              <w:pStyle w:val="TableText"/>
              <w:ind w:left="231"/>
              <w:spacing w:before="222" w:line="230" w:lineRule="auto"/>
              <w:rPr/>
            </w:pPr>
            <w:r>
              <w:rPr>
                <w:spacing w:val="3"/>
              </w:rPr>
              <w:t>草木层</w:t>
            </w:r>
          </w:p>
        </w:tc>
        <w:tc>
          <w:tcPr>
            <w:tcW w:w="1064" w:type="dxa"/>
            <w:vAlign w:val="top"/>
            <w:tcBorders>
              <w:bottom w:val="single" w:color="000000" w:sz="10" w:space="0"/>
            </w:tcBorders>
          </w:tcPr>
          <w:p>
            <w:pPr>
              <w:ind w:left="449"/>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064" w:type="dxa"/>
            <w:vAlign w:val="top"/>
            <w:tcBorders>
              <w:bottom w:val="single" w:color="000000" w:sz="10" w:space="0"/>
            </w:tcBorders>
          </w:tcPr>
          <w:p>
            <w:pPr>
              <w:ind w:left="405"/>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1063" w:type="dxa"/>
            <w:vAlign w:val="top"/>
            <w:tcBorders>
              <w:bottom w:val="single" w:color="000000" w:sz="10" w:space="0"/>
            </w:tcBorders>
          </w:tcPr>
          <w:p>
            <w:pPr>
              <w:pStyle w:val="TableText"/>
              <w:ind w:left="466"/>
              <w:spacing w:before="222" w:line="231" w:lineRule="auto"/>
              <w:rPr/>
            </w:pPr>
            <w:r>
              <w:rPr/>
              <w:t>中</w:t>
            </w:r>
          </w:p>
        </w:tc>
        <w:tc>
          <w:tcPr>
            <w:tcW w:w="2138" w:type="dxa"/>
            <w:vAlign w:val="top"/>
            <w:gridSpan w:val="2"/>
            <w:tcBorders>
              <w:bottom w:val="single" w:color="000000" w:sz="10" w:space="0"/>
              <w:right w:val="nil"/>
            </w:tcBorders>
          </w:tcPr>
          <w:p>
            <w:pPr>
              <w:pStyle w:val="TableText"/>
              <w:ind w:left="977"/>
              <w:spacing w:before="222" w:line="231" w:lineRule="auto"/>
              <w:rPr/>
            </w:pPr>
            <w:r>
              <w:rPr/>
              <w:t>优</w:t>
            </w:r>
          </w:p>
        </w:tc>
      </w:tr>
    </w:tbl>
    <w:p>
      <w:pPr>
        <w:pStyle w:val="BodyText"/>
        <w:spacing w:line="251" w:lineRule="auto"/>
        <w:rPr/>
      </w:pPr>
      <w:r/>
    </w:p>
    <w:p>
      <w:pPr>
        <w:pStyle w:val="BodyText"/>
        <w:spacing w:line="251" w:lineRule="auto"/>
        <w:rPr/>
      </w:pPr>
      <w:r/>
    </w:p>
    <w:p>
      <w:pPr>
        <w:ind w:left="3065"/>
        <w:spacing w:before="78"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5.6-10 3#</w:t>
      </w:r>
      <w:r>
        <w:rPr>
          <w:rFonts w:ascii="FangSong" w:hAnsi="FangSong" w:eastAsia="FangSong" w:cs="FangSong"/>
          <w:sz w:val="24"/>
          <w:szCs w:val="24"/>
          <w:b/>
          <w:bCs/>
          <w:spacing w:val="-3"/>
        </w:rPr>
        <w:t>样方调查表</w:t>
      </w:r>
    </w:p>
    <w:p>
      <w:pPr>
        <w:spacing w:line="69"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5" w:hRule="atLeast"/>
        </w:trPr>
        <w:tc>
          <w:tcPr>
            <w:tcW w:w="1064" w:type="dxa"/>
            <w:vAlign w:val="top"/>
            <w:tcBorders>
              <w:top w:val="single" w:color="000000" w:sz="10" w:space="0"/>
              <w:left w:val="nil"/>
            </w:tcBorders>
          </w:tcPr>
          <w:p>
            <w:pPr>
              <w:pStyle w:val="TableText"/>
              <w:ind w:left="230"/>
              <w:spacing w:before="55" w:line="228" w:lineRule="auto"/>
              <w:rPr/>
            </w:pPr>
            <w:r>
              <w:rPr>
                <w:spacing w:val="4"/>
              </w:rPr>
              <w:t>样方号</w:t>
            </w:r>
          </w:p>
        </w:tc>
        <w:tc>
          <w:tcPr>
            <w:tcW w:w="1064" w:type="dxa"/>
            <w:vAlign w:val="top"/>
            <w:tcBorders>
              <w:top w:val="single" w:color="000000" w:sz="10" w:space="0"/>
            </w:tcBorders>
          </w:tcPr>
          <w:p>
            <w:pPr>
              <w:ind w:left="43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64" w:type="dxa"/>
            <w:vAlign w:val="top"/>
            <w:tcBorders>
              <w:top w:val="single" w:color="000000" w:sz="10" w:space="0"/>
            </w:tcBorders>
          </w:tcPr>
          <w:p>
            <w:pPr>
              <w:pStyle w:val="TableText"/>
              <w:ind w:left="124"/>
              <w:spacing w:before="54" w:line="231" w:lineRule="auto"/>
              <w:rPr/>
            </w:pPr>
            <w:r>
              <w:rPr>
                <w:spacing w:val="5"/>
              </w:rPr>
              <w:t>海拔高度</w:t>
            </w:r>
          </w:p>
        </w:tc>
        <w:tc>
          <w:tcPr>
            <w:tcW w:w="1064" w:type="dxa"/>
            <w:vAlign w:val="top"/>
            <w:tcBorders>
              <w:top w:val="single" w:color="000000" w:sz="10" w:space="0"/>
            </w:tcBorders>
          </w:tcPr>
          <w:p>
            <w:pPr>
              <w:ind w:left="15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1040.476</w:t>
            </w:r>
          </w:p>
        </w:tc>
        <w:tc>
          <w:tcPr>
            <w:tcW w:w="1064" w:type="dxa"/>
            <w:vAlign w:val="top"/>
            <w:tcBorders>
              <w:top w:val="single" w:color="000000" w:sz="10" w:space="0"/>
            </w:tcBorders>
          </w:tcPr>
          <w:p>
            <w:pPr>
              <w:pStyle w:val="TableText"/>
              <w:ind w:left="124"/>
              <w:spacing w:before="55" w:line="228" w:lineRule="auto"/>
              <w:rPr/>
            </w:pPr>
            <w:r>
              <w:rPr>
                <w:spacing w:val="5"/>
              </w:rPr>
              <w:t>样方类型</w:t>
            </w:r>
          </w:p>
        </w:tc>
        <w:tc>
          <w:tcPr>
            <w:tcW w:w="1063" w:type="dxa"/>
            <w:vAlign w:val="top"/>
            <w:tcBorders>
              <w:top w:val="single" w:color="000000" w:sz="10" w:space="0"/>
            </w:tcBorders>
          </w:tcPr>
          <w:p>
            <w:pPr>
              <w:pStyle w:val="TableText"/>
              <w:ind w:left="231"/>
              <w:spacing w:before="55" w:line="230" w:lineRule="auto"/>
              <w:rPr/>
            </w:pPr>
            <w:r>
              <w:rPr>
                <w:spacing w:val="3"/>
              </w:rPr>
              <w:t>草木层</w:t>
            </w:r>
          </w:p>
        </w:tc>
        <w:tc>
          <w:tcPr>
            <w:tcW w:w="1069" w:type="dxa"/>
            <w:vAlign w:val="top"/>
            <w:tcBorders>
              <w:top w:val="single" w:color="000000" w:sz="10" w:space="0"/>
            </w:tcBorders>
          </w:tcPr>
          <w:p>
            <w:pPr>
              <w:pStyle w:val="TableText"/>
              <w:ind w:left="125"/>
              <w:spacing w:before="55"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4" w:line="231"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17" w:hRule="atLeast"/>
        </w:trPr>
        <w:tc>
          <w:tcPr>
            <w:tcW w:w="2128" w:type="dxa"/>
            <w:vAlign w:val="top"/>
            <w:gridSpan w:val="2"/>
            <w:tcBorders>
              <w:left w:val="nil"/>
            </w:tcBorders>
          </w:tcPr>
          <w:p>
            <w:pPr>
              <w:pStyle w:val="TableText"/>
              <w:ind w:left="313"/>
              <w:spacing w:before="215"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4" w:line="232" w:lineRule="auto"/>
              <w:rPr/>
            </w:pPr>
            <w:r>
              <w:rPr>
                <w:spacing w:val="1"/>
              </w:rPr>
              <w:t>层次</w:t>
            </w:r>
          </w:p>
        </w:tc>
        <w:tc>
          <w:tcPr>
            <w:tcW w:w="1064" w:type="dxa"/>
            <w:vAlign w:val="top"/>
          </w:tcPr>
          <w:p>
            <w:pPr>
              <w:pStyle w:val="TableText"/>
              <w:ind w:left="334"/>
              <w:spacing w:before="215" w:line="228" w:lineRule="auto"/>
              <w:rPr/>
            </w:pPr>
            <w:r>
              <w:rPr>
                <w:spacing w:val="1"/>
              </w:rPr>
              <w:t>株树</w:t>
            </w:r>
          </w:p>
        </w:tc>
        <w:tc>
          <w:tcPr>
            <w:tcW w:w="1064" w:type="dxa"/>
            <w:vAlign w:val="top"/>
          </w:tcPr>
          <w:p>
            <w:pPr>
              <w:pStyle w:val="TableText"/>
              <w:ind w:left="123"/>
              <w:spacing w:before="58" w:line="232" w:lineRule="auto"/>
              <w:rPr/>
            </w:pPr>
            <w:r>
              <w:rPr>
                <w:spacing w:val="5"/>
              </w:rPr>
              <w:t>平均高度</w:t>
            </w:r>
          </w:p>
          <w:p>
            <w:pPr>
              <w:pStyle w:val="TableText"/>
              <w:ind w:left="209"/>
              <w:spacing w:before="60" w:line="218"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4" w:line="232" w:lineRule="auto"/>
              <w:rPr/>
            </w:pPr>
            <w:r>
              <w:rPr>
                <w:spacing w:val="5"/>
              </w:rPr>
              <w:t>茂盛度</w:t>
            </w:r>
          </w:p>
        </w:tc>
        <w:tc>
          <w:tcPr>
            <w:tcW w:w="2138" w:type="dxa"/>
            <w:vAlign w:val="top"/>
            <w:gridSpan w:val="2"/>
            <w:tcBorders>
              <w:right w:val="nil"/>
            </w:tcBorders>
          </w:tcPr>
          <w:p>
            <w:pPr>
              <w:pStyle w:val="TableText"/>
              <w:ind w:left="778"/>
              <w:spacing w:before="215" w:line="232" w:lineRule="auto"/>
              <w:rPr/>
            </w:pPr>
            <w:r>
              <w:rPr/>
              <w:t>生活力</w:t>
            </w:r>
          </w:p>
        </w:tc>
      </w:tr>
      <w:tr>
        <w:trPr>
          <w:trHeight w:val="334" w:hRule="atLeast"/>
        </w:trPr>
        <w:tc>
          <w:tcPr>
            <w:tcW w:w="2128" w:type="dxa"/>
            <w:vAlign w:val="top"/>
            <w:gridSpan w:val="2"/>
            <w:tcBorders>
              <w:bottom w:val="single" w:color="000000" w:sz="10" w:space="0"/>
              <w:left w:val="nil"/>
            </w:tcBorders>
          </w:tcPr>
          <w:p>
            <w:pPr>
              <w:pStyle w:val="TableText"/>
              <w:ind w:left="201"/>
              <w:spacing w:before="70" w:line="221" w:lineRule="auto"/>
              <w:rPr>
                <w:rFonts w:ascii="Times New Roman" w:hAnsi="Times New Roman" w:eastAsia="Times New Roman" w:cs="Times New Roman"/>
              </w:rPr>
            </w:pPr>
            <w:r>
              <w:rPr>
                <w:spacing w:val="16"/>
              </w:rPr>
              <w:t>沙柳</w:t>
            </w:r>
            <w:r>
              <w:rPr>
                <w:rFonts w:ascii="Times New Roman" w:hAnsi="Times New Roman" w:eastAsia="Times New Roman" w:cs="Times New Roman"/>
                <w:spacing w:val="16"/>
              </w:rPr>
              <w:t>/</w:t>
            </w:r>
            <w:r>
              <w:rPr>
                <w:rFonts w:ascii="Times New Roman" w:hAnsi="Times New Roman" w:eastAsia="Times New Roman" w:cs="Times New Roman"/>
              </w:rPr>
              <w:t>Salix</w:t>
            </w:r>
            <w:r>
              <w:rPr>
                <w:rFonts w:ascii="Times New Roman" w:hAnsi="Times New Roman" w:eastAsia="Times New Roman" w:cs="Times New Roman"/>
                <w:spacing w:val="16"/>
              </w:rPr>
              <w:t xml:space="preserve"> </w:t>
            </w:r>
            <w:r>
              <w:rPr>
                <w:rFonts w:ascii="Times New Roman" w:hAnsi="Times New Roman" w:eastAsia="Times New Roman" w:cs="Times New Roman"/>
              </w:rPr>
              <w:t>gordejeui</w:t>
            </w:r>
          </w:p>
        </w:tc>
        <w:tc>
          <w:tcPr>
            <w:tcW w:w="1064" w:type="dxa"/>
            <w:vAlign w:val="top"/>
            <w:tcBorders>
              <w:bottom w:val="single" w:color="000000" w:sz="10" w:space="0"/>
            </w:tcBorders>
          </w:tcPr>
          <w:p>
            <w:pPr>
              <w:pStyle w:val="TableText"/>
              <w:ind w:left="231"/>
              <w:spacing w:before="70" w:line="230" w:lineRule="auto"/>
              <w:rPr/>
            </w:pPr>
            <w:r>
              <w:rPr>
                <w:spacing w:val="3"/>
              </w:rPr>
              <w:t>草木层</w:t>
            </w:r>
          </w:p>
        </w:tc>
        <w:tc>
          <w:tcPr>
            <w:tcW w:w="1064" w:type="dxa"/>
            <w:vAlign w:val="top"/>
            <w:tcBorders>
              <w:bottom w:val="single" w:color="000000" w:sz="10" w:space="0"/>
            </w:tcBorders>
          </w:tcPr>
          <w:p>
            <w:pPr>
              <w:ind w:left="42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064" w:type="dxa"/>
            <w:vAlign w:val="top"/>
            <w:tcBorders>
              <w:bottom w:val="single" w:color="000000" w:sz="10" w:space="0"/>
            </w:tcBorders>
          </w:tcPr>
          <w:p>
            <w:pPr>
              <w:ind w:left="40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3" w:type="dxa"/>
            <w:vAlign w:val="top"/>
            <w:tcBorders>
              <w:bottom w:val="single" w:color="000000" w:sz="10" w:space="0"/>
            </w:tcBorders>
          </w:tcPr>
          <w:p>
            <w:pPr>
              <w:pStyle w:val="TableText"/>
              <w:ind w:left="447"/>
              <w:spacing w:before="70" w:line="234" w:lineRule="auto"/>
              <w:rPr/>
            </w:pPr>
            <w:r>
              <w:rPr/>
              <w:t>盛</w:t>
            </w:r>
          </w:p>
        </w:tc>
        <w:tc>
          <w:tcPr>
            <w:tcW w:w="2138" w:type="dxa"/>
            <w:vAlign w:val="top"/>
            <w:gridSpan w:val="2"/>
            <w:tcBorders>
              <w:bottom w:val="single" w:color="000000" w:sz="10" w:space="0"/>
              <w:right w:val="nil"/>
            </w:tcBorders>
          </w:tcPr>
          <w:p>
            <w:pPr>
              <w:pStyle w:val="TableText"/>
              <w:ind w:left="977"/>
              <w:spacing w:before="70" w:line="231" w:lineRule="auto"/>
              <w:rPr/>
            </w:pPr>
            <w:r>
              <w:rPr/>
              <w:t>优</w:t>
            </w:r>
          </w:p>
        </w:tc>
      </w:tr>
    </w:tbl>
    <w:p>
      <w:pPr>
        <w:pStyle w:val="BodyText"/>
        <w:spacing w:line="251" w:lineRule="auto"/>
        <w:rPr/>
      </w:pPr>
      <w:r/>
    </w:p>
    <w:p>
      <w:pPr>
        <w:pStyle w:val="BodyText"/>
        <w:spacing w:line="252" w:lineRule="auto"/>
        <w:rPr/>
      </w:pPr>
      <w:r/>
    </w:p>
    <w:p>
      <w:pPr>
        <w:ind w:left="3072"/>
        <w:spacing w:before="78" w:line="219" w:lineRule="auto"/>
        <w:rPr>
          <w:rFonts w:ascii="FangSong" w:hAnsi="FangSong" w:eastAsia="FangSong" w:cs="FangSong"/>
          <w:sz w:val="24"/>
          <w:szCs w:val="24"/>
        </w:rPr>
      </w:pPr>
      <w:r>
        <w:rPr>
          <w:rFonts w:ascii="FangSong" w:hAnsi="FangSong" w:eastAsia="FangSong" w:cs="FangSong"/>
          <w:sz w:val="24"/>
          <w:szCs w:val="24"/>
          <w:b/>
          <w:bCs/>
          <w:spacing w:val="-4"/>
        </w:rPr>
        <w:t>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b/>
          <w:bCs/>
          <w:spacing w:val="-4"/>
        </w:rPr>
        <w:t>5.6-11 4#</w:t>
      </w:r>
      <w:r>
        <w:rPr>
          <w:rFonts w:ascii="FangSong" w:hAnsi="FangSong" w:eastAsia="FangSong" w:cs="FangSong"/>
          <w:sz w:val="24"/>
          <w:szCs w:val="24"/>
          <w:b/>
          <w:bCs/>
          <w:spacing w:val="-4"/>
        </w:rPr>
        <w:t>样方调查表</w:t>
      </w:r>
    </w:p>
    <w:p>
      <w:pPr>
        <w:spacing w:line="67"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6" w:hRule="atLeast"/>
        </w:trPr>
        <w:tc>
          <w:tcPr>
            <w:tcW w:w="1064" w:type="dxa"/>
            <w:vAlign w:val="top"/>
            <w:tcBorders>
              <w:top w:val="single" w:color="000000" w:sz="10" w:space="0"/>
              <w:left w:val="nil"/>
            </w:tcBorders>
          </w:tcPr>
          <w:p>
            <w:pPr>
              <w:pStyle w:val="TableText"/>
              <w:ind w:left="230"/>
              <w:spacing w:before="56" w:line="228" w:lineRule="auto"/>
              <w:rPr/>
            </w:pPr>
            <w:r>
              <w:rPr>
                <w:spacing w:val="4"/>
              </w:rPr>
              <w:t>样方号</w:t>
            </w:r>
          </w:p>
        </w:tc>
        <w:tc>
          <w:tcPr>
            <w:tcW w:w="1064" w:type="dxa"/>
            <w:vAlign w:val="top"/>
            <w:tcBorders>
              <w:top w:val="single" w:color="000000" w:sz="10" w:space="0"/>
            </w:tcBorders>
          </w:tcPr>
          <w:p>
            <w:pPr>
              <w:ind w:left="42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w:t>
            </w:r>
          </w:p>
        </w:tc>
        <w:tc>
          <w:tcPr>
            <w:tcW w:w="1064" w:type="dxa"/>
            <w:vAlign w:val="top"/>
            <w:tcBorders>
              <w:top w:val="single" w:color="000000" w:sz="10" w:space="0"/>
            </w:tcBorders>
          </w:tcPr>
          <w:p>
            <w:pPr>
              <w:pStyle w:val="TableText"/>
              <w:ind w:left="124"/>
              <w:spacing w:before="56" w:line="230" w:lineRule="auto"/>
              <w:rPr/>
            </w:pPr>
            <w:r>
              <w:rPr>
                <w:spacing w:val="5"/>
              </w:rPr>
              <w:t>海拔高度</w:t>
            </w:r>
          </w:p>
        </w:tc>
        <w:tc>
          <w:tcPr>
            <w:tcW w:w="1064" w:type="dxa"/>
            <w:vAlign w:val="top"/>
            <w:tcBorders>
              <w:top w:val="single" w:color="000000" w:sz="10" w:space="0"/>
            </w:tcBorders>
          </w:tcPr>
          <w:p>
            <w:pPr>
              <w:ind w:left="15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1045.414</w:t>
            </w:r>
          </w:p>
        </w:tc>
        <w:tc>
          <w:tcPr>
            <w:tcW w:w="1064" w:type="dxa"/>
            <w:vAlign w:val="top"/>
            <w:tcBorders>
              <w:top w:val="single" w:color="000000" w:sz="10" w:space="0"/>
            </w:tcBorders>
          </w:tcPr>
          <w:p>
            <w:pPr>
              <w:pStyle w:val="TableText"/>
              <w:ind w:left="124"/>
              <w:spacing w:before="56" w:line="228" w:lineRule="auto"/>
              <w:rPr/>
            </w:pPr>
            <w:r>
              <w:rPr>
                <w:spacing w:val="5"/>
              </w:rPr>
              <w:t>样方类型</w:t>
            </w:r>
          </w:p>
        </w:tc>
        <w:tc>
          <w:tcPr>
            <w:tcW w:w="1063" w:type="dxa"/>
            <w:vAlign w:val="top"/>
            <w:tcBorders>
              <w:top w:val="single" w:color="000000" w:sz="10" w:space="0"/>
            </w:tcBorders>
          </w:tcPr>
          <w:p>
            <w:pPr>
              <w:pStyle w:val="TableText"/>
              <w:ind w:left="231"/>
              <w:spacing w:before="56" w:line="230" w:lineRule="auto"/>
              <w:rPr/>
            </w:pPr>
            <w:r>
              <w:rPr>
                <w:spacing w:val="3"/>
              </w:rPr>
              <w:t>草木层</w:t>
            </w:r>
          </w:p>
        </w:tc>
        <w:tc>
          <w:tcPr>
            <w:tcW w:w="1069" w:type="dxa"/>
            <w:vAlign w:val="top"/>
            <w:tcBorders>
              <w:top w:val="single" w:color="000000" w:sz="10" w:space="0"/>
            </w:tcBorders>
          </w:tcPr>
          <w:p>
            <w:pPr>
              <w:pStyle w:val="TableText"/>
              <w:ind w:left="125"/>
              <w:spacing w:before="56"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6" w:line="230"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19" w:hRule="atLeast"/>
        </w:trPr>
        <w:tc>
          <w:tcPr>
            <w:tcW w:w="2128" w:type="dxa"/>
            <w:vAlign w:val="top"/>
            <w:gridSpan w:val="2"/>
            <w:tcBorders>
              <w:left w:val="nil"/>
            </w:tcBorders>
          </w:tcPr>
          <w:p>
            <w:pPr>
              <w:pStyle w:val="TableText"/>
              <w:ind w:left="313"/>
              <w:spacing w:before="213"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2" w:line="232" w:lineRule="auto"/>
              <w:rPr/>
            </w:pPr>
            <w:r>
              <w:rPr>
                <w:spacing w:val="1"/>
              </w:rPr>
              <w:t>层次</w:t>
            </w:r>
          </w:p>
        </w:tc>
        <w:tc>
          <w:tcPr>
            <w:tcW w:w="1064" w:type="dxa"/>
            <w:vAlign w:val="top"/>
          </w:tcPr>
          <w:p>
            <w:pPr>
              <w:pStyle w:val="TableText"/>
              <w:ind w:left="334"/>
              <w:spacing w:before="213" w:line="228" w:lineRule="auto"/>
              <w:rPr/>
            </w:pPr>
            <w:r>
              <w:rPr>
                <w:spacing w:val="1"/>
              </w:rPr>
              <w:t>株树</w:t>
            </w:r>
          </w:p>
        </w:tc>
        <w:tc>
          <w:tcPr>
            <w:tcW w:w="1064" w:type="dxa"/>
            <w:vAlign w:val="top"/>
          </w:tcPr>
          <w:p>
            <w:pPr>
              <w:pStyle w:val="TableText"/>
              <w:ind w:left="123"/>
              <w:spacing w:before="56" w:line="232" w:lineRule="auto"/>
              <w:rPr/>
            </w:pPr>
            <w:r>
              <w:rPr>
                <w:spacing w:val="5"/>
              </w:rPr>
              <w:t>平均高度</w:t>
            </w:r>
          </w:p>
          <w:p>
            <w:pPr>
              <w:pStyle w:val="TableText"/>
              <w:ind w:left="209"/>
              <w:spacing w:before="61" w:line="221"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2" w:line="232" w:lineRule="auto"/>
              <w:rPr/>
            </w:pPr>
            <w:r>
              <w:rPr>
                <w:spacing w:val="5"/>
              </w:rPr>
              <w:t>茂盛度</w:t>
            </w:r>
          </w:p>
        </w:tc>
        <w:tc>
          <w:tcPr>
            <w:tcW w:w="2138" w:type="dxa"/>
            <w:vAlign w:val="top"/>
            <w:gridSpan w:val="2"/>
            <w:tcBorders>
              <w:right w:val="nil"/>
            </w:tcBorders>
          </w:tcPr>
          <w:p>
            <w:pPr>
              <w:pStyle w:val="TableText"/>
              <w:ind w:left="778"/>
              <w:spacing w:before="213" w:line="232" w:lineRule="auto"/>
              <w:rPr/>
            </w:pPr>
            <w:r>
              <w:rPr/>
              <w:t>生活力</w:t>
            </w:r>
          </w:p>
        </w:tc>
      </w:tr>
      <w:tr>
        <w:trPr>
          <w:trHeight w:val="643" w:hRule="atLeast"/>
        </w:trPr>
        <w:tc>
          <w:tcPr>
            <w:tcW w:w="2128" w:type="dxa"/>
            <w:vAlign w:val="top"/>
            <w:gridSpan w:val="2"/>
            <w:tcBorders>
              <w:bottom w:val="single" w:color="000000" w:sz="10" w:space="0"/>
              <w:left w:val="nil"/>
            </w:tcBorders>
          </w:tcPr>
          <w:p>
            <w:pPr>
              <w:pStyle w:val="TableText"/>
              <w:ind w:left="558" w:right="321" w:hanging="218"/>
              <w:spacing w:before="67" w:line="277" w:lineRule="auto"/>
              <w:rPr>
                <w:rFonts w:ascii="Times New Roman" w:hAnsi="Times New Roman" w:eastAsia="Times New Roman" w:cs="Times New Roman"/>
              </w:rPr>
            </w:pPr>
            <w:r>
              <w:rPr>
                <w:spacing w:val="13"/>
              </w:rPr>
              <w:t>锦鸡儿</w:t>
            </w:r>
            <w:r>
              <w:rPr>
                <w:rFonts w:ascii="Times New Roman" w:hAnsi="Times New Roman" w:eastAsia="Times New Roman" w:cs="Times New Roman"/>
                <w:spacing w:val="13"/>
              </w:rPr>
              <w:t>/</w:t>
            </w:r>
            <w:r>
              <w:rPr>
                <w:rFonts w:ascii="Times New Roman" w:hAnsi="Times New Roman" w:eastAsia="Times New Roman" w:cs="Times New Roman"/>
              </w:rPr>
              <w:t>Caragana </w:t>
            </w:r>
            <w:r>
              <w:rPr>
                <w:rFonts w:ascii="Times New Roman" w:hAnsi="Times New Roman" w:eastAsia="Times New Roman" w:cs="Times New Roman"/>
                <w:spacing w:val="3"/>
              </w:rPr>
              <w:t>microphylla</w:t>
            </w:r>
          </w:p>
        </w:tc>
        <w:tc>
          <w:tcPr>
            <w:tcW w:w="1064" w:type="dxa"/>
            <w:vAlign w:val="top"/>
            <w:tcBorders>
              <w:bottom w:val="single" w:color="000000" w:sz="10" w:space="0"/>
            </w:tcBorders>
          </w:tcPr>
          <w:p>
            <w:pPr>
              <w:pStyle w:val="TableText"/>
              <w:ind w:left="231"/>
              <w:spacing w:before="223" w:line="230" w:lineRule="auto"/>
              <w:rPr/>
            </w:pPr>
            <w:r>
              <w:rPr>
                <w:spacing w:val="3"/>
              </w:rPr>
              <w:t>草木层</w:t>
            </w:r>
          </w:p>
        </w:tc>
        <w:tc>
          <w:tcPr>
            <w:tcW w:w="1064" w:type="dxa"/>
            <w:vAlign w:val="top"/>
            <w:tcBorders>
              <w:bottom w:val="single" w:color="000000" w:sz="10" w:space="0"/>
            </w:tcBorders>
          </w:tcPr>
          <w:p>
            <w:pPr>
              <w:ind w:left="501"/>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4" w:type="dxa"/>
            <w:vAlign w:val="top"/>
            <w:tcBorders>
              <w:bottom w:val="single" w:color="000000" w:sz="10" w:space="0"/>
            </w:tcBorders>
          </w:tcPr>
          <w:p>
            <w:pPr>
              <w:ind w:left="405"/>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3" w:type="dxa"/>
            <w:vAlign w:val="top"/>
            <w:tcBorders>
              <w:bottom w:val="single" w:color="000000" w:sz="10" w:space="0"/>
            </w:tcBorders>
          </w:tcPr>
          <w:p>
            <w:pPr>
              <w:pStyle w:val="TableText"/>
              <w:ind w:left="447"/>
              <w:spacing w:before="223" w:line="239" w:lineRule="auto"/>
              <w:rPr/>
            </w:pPr>
            <w:r>
              <w:rPr/>
              <w:t>盛</w:t>
            </w:r>
          </w:p>
        </w:tc>
        <w:tc>
          <w:tcPr>
            <w:tcW w:w="2138" w:type="dxa"/>
            <w:vAlign w:val="top"/>
            <w:gridSpan w:val="2"/>
            <w:tcBorders>
              <w:bottom w:val="single" w:color="000000" w:sz="10" w:space="0"/>
              <w:right w:val="nil"/>
            </w:tcBorders>
          </w:tcPr>
          <w:p>
            <w:pPr>
              <w:pStyle w:val="TableText"/>
              <w:ind w:left="977"/>
              <w:spacing w:before="222" w:line="231" w:lineRule="auto"/>
              <w:rPr/>
            </w:pPr>
            <w:r>
              <w:rPr/>
              <w:t>优</w:t>
            </w:r>
          </w:p>
        </w:tc>
      </w:tr>
    </w:tbl>
    <w:p>
      <w:pPr>
        <w:pStyle w:val="BodyText"/>
        <w:spacing w:line="251" w:lineRule="auto"/>
        <w:rPr/>
      </w:pPr>
      <w:r/>
    </w:p>
    <w:p>
      <w:pPr>
        <w:pStyle w:val="BodyText"/>
        <w:spacing w:line="252" w:lineRule="auto"/>
        <w:rPr/>
      </w:pPr>
      <w:r/>
    </w:p>
    <w:p>
      <w:pPr>
        <w:ind w:left="3065"/>
        <w:spacing w:before="78"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5.6-12 5#</w:t>
      </w:r>
      <w:r>
        <w:rPr>
          <w:rFonts w:ascii="FangSong" w:hAnsi="FangSong" w:eastAsia="FangSong" w:cs="FangSong"/>
          <w:sz w:val="24"/>
          <w:szCs w:val="24"/>
          <w:b/>
          <w:bCs/>
          <w:spacing w:val="-3"/>
        </w:rPr>
        <w:t>样方调查表</w:t>
      </w:r>
    </w:p>
    <w:p>
      <w:pPr>
        <w:spacing w:line="68"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5" w:hRule="atLeast"/>
        </w:trPr>
        <w:tc>
          <w:tcPr>
            <w:tcW w:w="1064" w:type="dxa"/>
            <w:vAlign w:val="top"/>
            <w:tcBorders>
              <w:top w:val="single" w:color="000000" w:sz="10" w:space="0"/>
              <w:left w:val="nil"/>
            </w:tcBorders>
          </w:tcPr>
          <w:p>
            <w:pPr>
              <w:pStyle w:val="TableText"/>
              <w:ind w:left="230"/>
              <w:spacing w:before="56" w:line="228" w:lineRule="auto"/>
              <w:rPr/>
            </w:pPr>
            <w:r>
              <w:rPr>
                <w:spacing w:val="4"/>
              </w:rPr>
              <w:t>样方号</w:t>
            </w:r>
          </w:p>
        </w:tc>
        <w:tc>
          <w:tcPr>
            <w:tcW w:w="1064" w:type="dxa"/>
            <w:vAlign w:val="top"/>
            <w:tcBorders>
              <w:top w:val="single" w:color="000000" w:sz="10" w:space="0"/>
            </w:tcBorders>
          </w:tcPr>
          <w:p>
            <w:pPr>
              <w:ind w:left="433"/>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4" w:type="dxa"/>
            <w:vAlign w:val="top"/>
            <w:tcBorders>
              <w:top w:val="single" w:color="000000" w:sz="10" w:space="0"/>
            </w:tcBorders>
          </w:tcPr>
          <w:p>
            <w:pPr>
              <w:pStyle w:val="TableText"/>
              <w:ind w:left="124"/>
              <w:spacing w:before="55" w:line="230" w:lineRule="auto"/>
              <w:rPr/>
            </w:pPr>
            <w:r>
              <w:rPr>
                <w:spacing w:val="5"/>
              </w:rPr>
              <w:t>海拔高度</w:t>
            </w:r>
          </w:p>
        </w:tc>
        <w:tc>
          <w:tcPr>
            <w:tcW w:w="1064" w:type="dxa"/>
            <w:vAlign w:val="top"/>
            <w:tcBorders>
              <w:top w:val="single" w:color="000000" w:sz="10" w:space="0"/>
            </w:tcBorders>
          </w:tcPr>
          <w:p>
            <w:pPr>
              <w:ind w:left="15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1037.408</w:t>
            </w:r>
          </w:p>
        </w:tc>
        <w:tc>
          <w:tcPr>
            <w:tcW w:w="1064" w:type="dxa"/>
            <w:vAlign w:val="top"/>
            <w:tcBorders>
              <w:top w:val="single" w:color="000000" w:sz="10" w:space="0"/>
            </w:tcBorders>
          </w:tcPr>
          <w:p>
            <w:pPr>
              <w:pStyle w:val="TableText"/>
              <w:ind w:left="124"/>
              <w:spacing w:before="56" w:line="228" w:lineRule="auto"/>
              <w:rPr/>
            </w:pPr>
            <w:r>
              <w:rPr>
                <w:spacing w:val="5"/>
              </w:rPr>
              <w:t>样方类型</w:t>
            </w:r>
          </w:p>
        </w:tc>
        <w:tc>
          <w:tcPr>
            <w:tcW w:w="1063" w:type="dxa"/>
            <w:vAlign w:val="top"/>
            <w:tcBorders>
              <w:top w:val="single" w:color="000000" w:sz="10" w:space="0"/>
            </w:tcBorders>
          </w:tcPr>
          <w:p>
            <w:pPr>
              <w:pStyle w:val="TableText"/>
              <w:ind w:left="231"/>
              <w:spacing w:before="55" w:line="230" w:lineRule="auto"/>
              <w:rPr/>
            </w:pPr>
            <w:r>
              <w:rPr>
                <w:spacing w:val="3"/>
              </w:rPr>
              <w:t>草木层</w:t>
            </w:r>
          </w:p>
        </w:tc>
        <w:tc>
          <w:tcPr>
            <w:tcW w:w="1069" w:type="dxa"/>
            <w:vAlign w:val="top"/>
            <w:tcBorders>
              <w:top w:val="single" w:color="000000" w:sz="10" w:space="0"/>
            </w:tcBorders>
          </w:tcPr>
          <w:p>
            <w:pPr>
              <w:pStyle w:val="TableText"/>
              <w:ind w:left="125"/>
              <w:spacing w:before="56"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5" w:line="230"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17" w:hRule="atLeast"/>
        </w:trPr>
        <w:tc>
          <w:tcPr>
            <w:tcW w:w="2128" w:type="dxa"/>
            <w:vAlign w:val="top"/>
            <w:gridSpan w:val="2"/>
            <w:tcBorders>
              <w:left w:val="nil"/>
            </w:tcBorders>
          </w:tcPr>
          <w:p>
            <w:pPr>
              <w:pStyle w:val="TableText"/>
              <w:ind w:left="313"/>
              <w:spacing w:before="214"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3" w:line="232" w:lineRule="auto"/>
              <w:rPr/>
            </w:pPr>
            <w:r>
              <w:rPr>
                <w:spacing w:val="1"/>
              </w:rPr>
              <w:t>层次</w:t>
            </w:r>
          </w:p>
        </w:tc>
        <w:tc>
          <w:tcPr>
            <w:tcW w:w="1064" w:type="dxa"/>
            <w:vAlign w:val="top"/>
          </w:tcPr>
          <w:p>
            <w:pPr>
              <w:pStyle w:val="TableText"/>
              <w:ind w:left="334"/>
              <w:spacing w:before="213" w:line="228" w:lineRule="auto"/>
              <w:rPr/>
            </w:pPr>
            <w:r>
              <w:rPr>
                <w:spacing w:val="1"/>
              </w:rPr>
              <w:t>株树</w:t>
            </w:r>
          </w:p>
        </w:tc>
        <w:tc>
          <w:tcPr>
            <w:tcW w:w="1064" w:type="dxa"/>
            <w:vAlign w:val="top"/>
          </w:tcPr>
          <w:p>
            <w:pPr>
              <w:pStyle w:val="TableText"/>
              <w:ind w:left="123"/>
              <w:spacing w:before="57" w:line="232" w:lineRule="auto"/>
              <w:rPr/>
            </w:pPr>
            <w:r>
              <w:rPr>
                <w:spacing w:val="5"/>
              </w:rPr>
              <w:t>平均高度</w:t>
            </w:r>
          </w:p>
          <w:p>
            <w:pPr>
              <w:pStyle w:val="TableText"/>
              <w:ind w:left="209"/>
              <w:spacing w:before="61" w:line="219"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3" w:line="232" w:lineRule="auto"/>
              <w:rPr/>
            </w:pPr>
            <w:r>
              <w:rPr>
                <w:spacing w:val="5"/>
              </w:rPr>
              <w:t>茂盛度</w:t>
            </w:r>
          </w:p>
        </w:tc>
        <w:tc>
          <w:tcPr>
            <w:tcW w:w="2138" w:type="dxa"/>
            <w:vAlign w:val="top"/>
            <w:gridSpan w:val="2"/>
            <w:tcBorders>
              <w:right w:val="nil"/>
            </w:tcBorders>
          </w:tcPr>
          <w:p>
            <w:pPr>
              <w:pStyle w:val="TableText"/>
              <w:ind w:left="778"/>
              <w:spacing w:before="213" w:line="232" w:lineRule="auto"/>
              <w:rPr/>
            </w:pPr>
            <w:r>
              <w:rPr/>
              <w:t>生活力</w:t>
            </w:r>
          </w:p>
        </w:tc>
      </w:tr>
      <w:tr>
        <w:trPr>
          <w:trHeight w:val="334" w:hRule="atLeast"/>
        </w:trPr>
        <w:tc>
          <w:tcPr>
            <w:tcW w:w="2128" w:type="dxa"/>
            <w:vAlign w:val="top"/>
            <w:gridSpan w:val="2"/>
            <w:tcBorders>
              <w:bottom w:val="single" w:color="000000" w:sz="10" w:space="0"/>
              <w:left w:val="nil"/>
            </w:tcBorders>
          </w:tcPr>
          <w:p>
            <w:pPr>
              <w:pStyle w:val="TableText"/>
              <w:ind w:left="201"/>
              <w:spacing w:before="69" w:line="221" w:lineRule="auto"/>
              <w:rPr>
                <w:rFonts w:ascii="Times New Roman" w:hAnsi="Times New Roman" w:eastAsia="Times New Roman" w:cs="Times New Roman"/>
              </w:rPr>
            </w:pPr>
            <w:r>
              <w:rPr>
                <w:spacing w:val="16"/>
              </w:rPr>
              <w:t>沙柳</w:t>
            </w:r>
            <w:r>
              <w:rPr>
                <w:rFonts w:ascii="Times New Roman" w:hAnsi="Times New Roman" w:eastAsia="Times New Roman" w:cs="Times New Roman"/>
                <w:spacing w:val="16"/>
              </w:rPr>
              <w:t>/</w:t>
            </w:r>
            <w:r>
              <w:rPr>
                <w:rFonts w:ascii="Times New Roman" w:hAnsi="Times New Roman" w:eastAsia="Times New Roman" w:cs="Times New Roman"/>
              </w:rPr>
              <w:t>Salix</w:t>
            </w:r>
            <w:r>
              <w:rPr>
                <w:rFonts w:ascii="Times New Roman" w:hAnsi="Times New Roman" w:eastAsia="Times New Roman" w:cs="Times New Roman"/>
                <w:spacing w:val="16"/>
              </w:rPr>
              <w:t xml:space="preserve"> </w:t>
            </w:r>
            <w:r>
              <w:rPr>
                <w:rFonts w:ascii="Times New Roman" w:hAnsi="Times New Roman" w:eastAsia="Times New Roman" w:cs="Times New Roman"/>
              </w:rPr>
              <w:t>gordejeui</w:t>
            </w:r>
          </w:p>
        </w:tc>
        <w:tc>
          <w:tcPr>
            <w:tcW w:w="1064" w:type="dxa"/>
            <w:vAlign w:val="top"/>
            <w:tcBorders>
              <w:bottom w:val="single" w:color="000000" w:sz="10" w:space="0"/>
            </w:tcBorders>
          </w:tcPr>
          <w:p>
            <w:pPr>
              <w:pStyle w:val="TableText"/>
              <w:ind w:left="231"/>
              <w:spacing w:before="69" w:line="230" w:lineRule="auto"/>
              <w:rPr/>
            </w:pPr>
            <w:r>
              <w:rPr>
                <w:spacing w:val="3"/>
              </w:rPr>
              <w:t>草木层</w:t>
            </w:r>
          </w:p>
        </w:tc>
        <w:tc>
          <w:tcPr>
            <w:tcW w:w="1064" w:type="dxa"/>
            <w:vAlign w:val="top"/>
            <w:tcBorders>
              <w:bottom w:val="single" w:color="000000" w:sz="10" w:space="0"/>
            </w:tcBorders>
          </w:tcPr>
          <w:p>
            <w:pPr>
              <w:ind w:left="4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064" w:type="dxa"/>
            <w:vAlign w:val="top"/>
            <w:tcBorders>
              <w:bottom w:val="single" w:color="000000" w:sz="10" w:space="0"/>
            </w:tcBorders>
          </w:tcPr>
          <w:p>
            <w:pPr>
              <w:ind w:left="40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3" w:type="dxa"/>
            <w:vAlign w:val="top"/>
            <w:tcBorders>
              <w:bottom w:val="single" w:color="000000" w:sz="10" w:space="0"/>
            </w:tcBorders>
          </w:tcPr>
          <w:p>
            <w:pPr>
              <w:pStyle w:val="TableText"/>
              <w:ind w:left="447"/>
              <w:spacing w:before="69" w:line="235" w:lineRule="auto"/>
              <w:rPr/>
            </w:pPr>
            <w:r>
              <w:rPr/>
              <w:t>盛</w:t>
            </w:r>
          </w:p>
        </w:tc>
        <w:tc>
          <w:tcPr>
            <w:tcW w:w="2138" w:type="dxa"/>
            <w:vAlign w:val="top"/>
            <w:gridSpan w:val="2"/>
            <w:tcBorders>
              <w:bottom w:val="single" w:color="000000" w:sz="10" w:space="0"/>
              <w:right w:val="nil"/>
            </w:tcBorders>
          </w:tcPr>
          <w:p>
            <w:pPr>
              <w:pStyle w:val="TableText"/>
              <w:ind w:left="977"/>
              <w:spacing w:before="69" w:line="231" w:lineRule="auto"/>
              <w:rPr/>
            </w:pPr>
            <w:r>
              <w:rPr/>
              <w:t>优</w:t>
            </w:r>
          </w:p>
        </w:tc>
      </w:tr>
    </w:tbl>
    <w:p>
      <w:pPr>
        <w:pStyle w:val="BodyText"/>
        <w:spacing w:line="251" w:lineRule="auto"/>
        <w:rPr/>
      </w:pPr>
      <w:r/>
    </w:p>
    <w:p>
      <w:pPr>
        <w:pStyle w:val="BodyText"/>
        <w:spacing w:line="251" w:lineRule="auto"/>
        <w:rPr/>
      </w:pPr>
      <w:r/>
    </w:p>
    <w:p>
      <w:pPr>
        <w:ind w:left="3065"/>
        <w:spacing w:before="79"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5.6-13 6#</w:t>
      </w:r>
      <w:r>
        <w:rPr>
          <w:rFonts w:ascii="FangSong" w:hAnsi="FangSong" w:eastAsia="FangSong" w:cs="FangSong"/>
          <w:sz w:val="24"/>
          <w:szCs w:val="24"/>
          <w:b/>
          <w:bCs/>
          <w:spacing w:val="-3"/>
        </w:rPr>
        <w:t>样方调查表</w:t>
      </w:r>
    </w:p>
    <w:p>
      <w:pPr>
        <w:spacing w:line="69"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8" w:hRule="atLeast"/>
        </w:trPr>
        <w:tc>
          <w:tcPr>
            <w:tcW w:w="1064" w:type="dxa"/>
            <w:vAlign w:val="top"/>
            <w:tcBorders>
              <w:top w:val="single" w:color="000000" w:sz="10" w:space="0"/>
              <w:left w:val="nil"/>
            </w:tcBorders>
          </w:tcPr>
          <w:p>
            <w:pPr>
              <w:pStyle w:val="TableText"/>
              <w:ind w:left="230"/>
              <w:spacing w:before="55" w:line="228" w:lineRule="auto"/>
              <w:rPr/>
            </w:pPr>
            <w:r>
              <w:rPr>
                <w:spacing w:val="4"/>
              </w:rPr>
              <w:t>样方号</w:t>
            </w:r>
          </w:p>
        </w:tc>
        <w:tc>
          <w:tcPr>
            <w:tcW w:w="1064" w:type="dxa"/>
            <w:vAlign w:val="top"/>
            <w:tcBorders>
              <w:top w:val="single" w:color="000000" w:sz="10" w:space="0"/>
            </w:tcBorders>
          </w:tcPr>
          <w:p>
            <w:pPr>
              <w:ind w:left="43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64" w:type="dxa"/>
            <w:vAlign w:val="top"/>
            <w:tcBorders>
              <w:top w:val="single" w:color="000000" w:sz="10" w:space="0"/>
            </w:tcBorders>
          </w:tcPr>
          <w:p>
            <w:pPr>
              <w:pStyle w:val="TableText"/>
              <w:ind w:left="124"/>
              <w:spacing w:before="54" w:line="232" w:lineRule="auto"/>
              <w:rPr/>
            </w:pPr>
            <w:r>
              <w:rPr>
                <w:spacing w:val="5"/>
              </w:rPr>
              <w:t>海拔高度</w:t>
            </w:r>
          </w:p>
        </w:tc>
        <w:tc>
          <w:tcPr>
            <w:tcW w:w="1064" w:type="dxa"/>
            <w:vAlign w:val="top"/>
            <w:tcBorders>
              <w:top w:val="single" w:color="000000" w:sz="10" w:space="0"/>
            </w:tcBorders>
          </w:tcPr>
          <w:p>
            <w:pPr>
              <w:ind w:left="158"/>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1026.838</w:t>
            </w:r>
          </w:p>
        </w:tc>
        <w:tc>
          <w:tcPr>
            <w:tcW w:w="1064" w:type="dxa"/>
            <w:vAlign w:val="top"/>
            <w:tcBorders>
              <w:top w:val="single" w:color="000000" w:sz="10" w:space="0"/>
            </w:tcBorders>
          </w:tcPr>
          <w:p>
            <w:pPr>
              <w:pStyle w:val="TableText"/>
              <w:ind w:left="124"/>
              <w:spacing w:before="55" w:line="228" w:lineRule="auto"/>
              <w:rPr/>
            </w:pPr>
            <w:r>
              <w:rPr>
                <w:spacing w:val="5"/>
              </w:rPr>
              <w:t>样方类型</w:t>
            </w:r>
          </w:p>
        </w:tc>
        <w:tc>
          <w:tcPr>
            <w:tcW w:w="1063" w:type="dxa"/>
            <w:vAlign w:val="top"/>
            <w:tcBorders>
              <w:top w:val="single" w:color="000000" w:sz="10" w:space="0"/>
            </w:tcBorders>
          </w:tcPr>
          <w:p>
            <w:pPr>
              <w:pStyle w:val="TableText"/>
              <w:ind w:left="231"/>
              <w:spacing w:before="55" w:line="230" w:lineRule="auto"/>
              <w:rPr/>
            </w:pPr>
            <w:r>
              <w:rPr>
                <w:spacing w:val="3"/>
              </w:rPr>
              <w:t>草木层</w:t>
            </w:r>
          </w:p>
        </w:tc>
        <w:tc>
          <w:tcPr>
            <w:tcW w:w="1069" w:type="dxa"/>
            <w:vAlign w:val="top"/>
            <w:tcBorders>
              <w:top w:val="single" w:color="000000" w:sz="10" w:space="0"/>
            </w:tcBorders>
          </w:tcPr>
          <w:p>
            <w:pPr>
              <w:pStyle w:val="TableText"/>
              <w:ind w:left="125"/>
              <w:spacing w:before="55"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5" w:line="233"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22" w:hRule="atLeast"/>
        </w:trPr>
        <w:tc>
          <w:tcPr>
            <w:tcW w:w="2128" w:type="dxa"/>
            <w:vAlign w:val="top"/>
            <w:gridSpan w:val="2"/>
            <w:tcBorders>
              <w:left w:val="nil"/>
            </w:tcBorders>
          </w:tcPr>
          <w:p>
            <w:pPr>
              <w:pStyle w:val="TableText"/>
              <w:ind w:left="313"/>
              <w:spacing w:before="212"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1" w:line="232" w:lineRule="auto"/>
              <w:rPr/>
            </w:pPr>
            <w:r>
              <w:rPr>
                <w:spacing w:val="1"/>
              </w:rPr>
              <w:t>层次</w:t>
            </w:r>
          </w:p>
        </w:tc>
        <w:tc>
          <w:tcPr>
            <w:tcW w:w="1064" w:type="dxa"/>
            <w:vAlign w:val="top"/>
          </w:tcPr>
          <w:p>
            <w:pPr>
              <w:pStyle w:val="TableText"/>
              <w:ind w:left="334"/>
              <w:spacing w:before="212" w:line="228" w:lineRule="auto"/>
              <w:rPr/>
            </w:pPr>
            <w:r>
              <w:rPr>
                <w:spacing w:val="1"/>
              </w:rPr>
              <w:t>株树</w:t>
            </w:r>
          </w:p>
        </w:tc>
        <w:tc>
          <w:tcPr>
            <w:tcW w:w="1064" w:type="dxa"/>
            <w:vAlign w:val="top"/>
          </w:tcPr>
          <w:p>
            <w:pPr>
              <w:pStyle w:val="TableText"/>
              <w:ind w:left="123"/>
              <w:spacing w:before="55" w:line="232" w:lineRule="auto"/>
              <w:rPr/>
            </w:pPr>
            <w:r>
              <w:rPr>
                <w:spacing w:val="5"/>
              </w:rPr>
              <w:t>平均高度</w:t>
            </w:r>
          </w:p>
          <w:p>
            <w:pPr>
              <w:pStyle w:val="TableText"/>
              <w:ind w:left="209"/>
              <w:spacing w:before="61" w:line="225"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1" w:line="232" w:lineRule="auto"/>
              <w:rPr/>
            </w:pPr>
            <w:r>
              <w:rPr>
                <w:spacing w:val="5"/>
              </w:rPr>
              <w:t>茂盛度</w:t>
            </w:r>
          </w:p>
        </w:tc>
        <w:tc>
          <w:tcPr>
            <w:tcW w:w="2138" w:type="dxa"/>
            <w:vAlign w:val="top"/>
            <w:gridSpan w:val="2"/>
            <w:tcBorders>
              <w:right w:val="nil"/>
            </w:tcBorders>
          </w:tcPr>
          <w:p>
            <w:pPr>
              <w:pStyle w:val="TableText"/>
              <w:ind w:left="778"/>
              <w:spacing w:before="212" w:line="232" w:lineRule="auto"/>
              <w:rPr/>
            </w:pPr>
            <w:r>
              <w:rPr/>
              <w:t>生活力</w:t>
            </w:r>
          </w:p>
        </w:tc>
      </w:tr>
      <w:tr>
        <w:trPr>
          <w:trHeight w:val="622" w:hRule="atLeast"/>
        </w:trPr>
        <w:tc>
          <w:tcPr>
            <w:tcW w:w="2128" w:type="dxa"/>
            <w:vAlign w:val="top"/>
            <w:gridSpan w:val="2"/>
            <w:tcBorders>
              <w:left w:val="nil"/>
            </w:tcBorders>
          </w:tcPr>
          <w:p>
            <w:pPr>
              <w:pStyle w:val="TableText"/>
              <w:ind w:left="263" w:right="262" w:firstLine="176"/>
              <w:spacing w:before="62" w:line="269" w:lineRule="auto"/>
              <w:rPr>
                <w:rFonts w:ascii="Times New Roman" w:hAnsi="Times New Roman" w:eastAsia="Times New Roman" w:cs="Times New Roman"/>
              </w:rPr>
            </w:pPr>
            <w:r>
              <w:rPr>
                <w:spacing w:val="10"/>
              </w:rPr>
              <w:t>沙葱花</w:t>
            </w:r>
            <w:r>
              <w:rPr>
                <w:rFonts w:ascii="Times New Roman" w:hAnsi="Times New Roman" w:eastAsia="Times New Roman" w:cs="Times New Roman"/>
                <w:spacing w:val="10"/>
              </w:rPr>
              <w:t>/</w:t>
            </w:r>
            <w:r>
              <w:rPr>
                <w:rFonts w:ascii="Times New Roman" w:hAnsi="Times New Roman" w:eastAsia="Times New Roman" w:cs="Times New Roman"/>
              </w:rPr>
              <w:t>Allium </w:t>
            </w:r>
            <w:r>
              <w:rPr>
                <w:rFonts w:ascii="Times New Roman" w:hAnsi="Times New Roman" w:eastAsia="Times New Roman" w:cs="Times New Roman"/>
                <w:spacing w:val="4"/>
              </w:rPr>
              <w:t>mongolicum Regel</w:t>
            </w:r>
          </w:p>
        </w:tc>
        <w:tc>
          <w:tcPr>
            <w:tcW w:w="1064" w:type="dxa"/>
            <w:vAlign w:val="top"/>
          </w:tcPr>
          <w:p>
            <w:pPr>
              <w:pStyle w:val="TableText"/>
              <w:ind w:left="231"/>
              <w:spacing w:before="218" w:line="230" w:lineRule="auto"/>
              <w:rPr/>
            </w:pPr>
            <w:r>
              <w:rPr>
                <w:spacing w:val="3"/>
              </w:rPr>
              <w:t>草木层</w:t>
            </w:r>
          </w:p>
        </w:tc>
        <w:tc>
          <w:tcPr>
            <w:tcW w:w="1064" w:type="dxa"/>
            <w:vAlign w:val="top"/>
          </w:tcPr>
          <w:p>
            <w:pPr>
              <w:ind w:left="501"/>
              <w:spacing w:before="2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4" w:type="dxa"/>
            <w:vAlign w:val="top"/>
          </w:tcPr>
          <w:p>
            <w:pPr>
              <w:ind w:left="405"/>
              <w:spacing w:before="2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063" w:type="dxa"/>
            <w:vAlign w:val="top"/>
          </w:tcPr>
          <w:p>
            <w:pPr>
              <w:pStyle w:val="TableText"/>
              <w:ind w:left="466"/>
              <w:spacing w:before="218" w:line="231" w:lineRule="auto"/>
              <w:rPr/>
            </w:pPr>
            <w:r>
              <w:rPr/>
              <w:t>中</w:t>
            </w:r>
          </w:p>
        </w:tc>
        <w:tc>
          <w:tcPr>
            <w:tcW w:w="2138" w:type="dxa"/>
            <w:vAlign w:val="top"/>
            <w:gridSpan w:val="2"/>
            <w:tcBorders>
              <w:right w:val="nil"/>
            </w:tcBorders>
          </w:tcPr>
          <w:p>
            <w:pPr>
              <w:pStyle w:val="TableText"/>
              <w:ind w:left="977"/>
              <w:spacing w:before="218" w:line="231" w:lineRule="auto"/>
              <w:rPr/>
            </w:pPr>
            <w:r>
              <w:rPr/>
              <w:t>优</w:t>
            </w:r>
          </w:p>
        </w:tc>
      </w:tr>
      <w:tr>
        <w:trPr>
          <w:trHeight w:val="643" w:hRule="atLeast"/>
        </w:trPr>
        <w:tc>
          <w:tcPr>
            <w:tcW w:w="2128" w:type="dxa"/>
            <w:vAlign w:val="top"/>
            <w:gridSpan w:val="2"/>
            <w:tcBorders>
              <w:bottom w:val="single" w:color="000000" w:sz="10" w:space="0"/>
              <w:left w:val="nil"/>
            </w:tcBorders>
          </w:tcPr>
          <w:p>
            <w:pPr>
              <w:pStyle w:val="TableText"/>
              <w:ind w:left="181"/>
              <w:spacing w:before="69" w:line="229" w:lineRule="auto"/>
              <w:rPr>
                <w:rFonts w:ascii="Times New Roman" w:hAnsi="Times New Roman" w:eastAsia="Times New Roman" w:cs="Times New Roman"/>
              </w:rPr>
            </w:pPr>
            <w:r>
              <w:rPr>
                <w:spacing w:val="13"/>
              </w:rPr>
              <w:t>马兰花</w:t>
            </w:r>
            <w:r>
              <w:rPr>
                <w:rFonts w:ascii="Times New Roman" w:hAnsi="Times New Roman" w:eastAsia="Times New Roman" w:cs="Times New Roman"/>
                <w:spacing w:val="13"/>
              </w:rPr>
              <w:t>/</w:t>
            </w:r>
            <w:r>
              <w:rPr>
                <w:rFonts w:ascii="Times New Roman" w:hAnsi="Times New Roman" w:eastAsia="Times New Roman" w:cs="Times New Roman"/>
              </w:rPr>
              <w:t>Aster</w:t>
            </w:r>
            <w:r>
              <w:rPr>
                <w:rFonts w:ascii="Times New Roman" w:hAnsi="Times New Roman" w:eastAsia="Times New Roman" w:cs="Times New Roman"/>
                <w:spacing w:val="13"/>
              </w:rPr>
              <w:t xml:space="preserve"> </w:t>
            </w:r>
            <w:r>
              <w:rPr>
                <w:rFonts w:ascii="Times New Roman" w:hAnsi="Times New Roman" w:eastAsia="Times New Roman" w:cs="Times New Roman"/>
              </w:rPr>
              <w:t>indicus</w:t>
            </w:r>
          </w:p>
          <w:p>
            <w:pPr>
              <w:ind w:left="976"/>
              <w:spacing w:before="10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064" w:type="dxa"/>
            <w:vAlign w:val="top"/>
            <w:tcBorders>
              <w:bottom w:val="single" w:color="000000" w:sz="10" w:space="0"/>
            </w:tcBorders>
          </w:tcPr>
          <w:p>
            <w:pPr>
              <w:pStyle w:val="TableText"/>
              <w:ind w:left="231"/>
              <w:spacing w:before="225" w:line="230" w:lineRule="auto"/>
              <w:rPr/>
            </w:pPr>
            <w:r>
              <w:rPr>
                <w:spacing w:val="3"/>
              </w:rPr>
              <w:t>草木层</w:t>
            </w:r>
          </w:p>
        </w:tc>
        <w:tc>
          <w:tcPr>
            <w:tcW w:w="1064" w:type="dxa"/>
            <w:vAlign w:val="top"/>
            <w:tcBorders>
              <w:bottom w:val="single" w:color="000000" w:sz="10" w:space="0"/>
            </w:tcBorders>
          </w:tcPr>
          <w:p>
            <w:pPr>
              <w:ind w:left="501"/>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4" w:type="dxa"/>
            <w:vAlign w:val="top"/>
            <w:tcBorders>
              <w:bottom w:val="single" w:color="000000" w:sz="10" w:space="0"/>
            </w:tcBorders>
          </w:tcPr>
          <w:p>
            <w:pPr>
              <w:ind w:left="405"/>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063" w:type="dxa"/>
            <w:vAlign w:val="top"/>
            <w:tcBorders>
              <w:bottom w:val="single" w:color="000000" w:sz="10" w:space="0"/>
            </w:tcBorders>
          </w:tcPr>
          <w:p>
            <w:pPr>
              <w:pStyle w:val="TableText"/>
              <w:ind w:left="466"/>
              <w:spacing w:before="225" w:line="231" w:lineRule="auto"/>
              <w:rPr/>
            </w:pPr>
            <w:r>
              <w:rPr/>
              <w:t>中</w:t>
            </w:r>
          </w:p>
        </w:tc>
        <w:tc>
          <w:tcPr>
            <w:tcW w:w="2138" w:type="dxa"/>
            <w:vAlign w:val="top"/>
            <w:gridSpan w:val="2"/>
            <w:tcBorders>
              <w:bottom w:val="single" w:color="000000" w:sz="10" w:space="0"/>
              <w:right w:val="nil"/>
            </w:tcBorders>
          </w:tcPr>
          <w:p>
            <w:pPr>
              <w:pStyle w:val="TableText"/>
              <w:ind w:left="977"/>
              <w:spacing w:before="225" w:line="231" w:lineRule="auto"/>
              <w:rPr/>
            </w:pPr>
            <w:r>
              <w:rPr/>
              <w:t>优</w:t>
            </w:r>
          </w:p>
        </w:tc>
      </w:tr>
    </w:tbl>
    <w:p>
      <w:pPr>
        <w:pStyle w:val="BodyText"/>
        <w:spacing w:line="157" w:lineRule="exact"/>
        <w:rPr>
          <w:sz w:val="13"/>
        </w:rPr>
      </w:pPr>
      <w:r/>
    </w:p>
    <w:p>
      <w:pPr>
        <w:spacing w:line="157" w:lineRule="exact"/>
        <w:sectPr>
          <w:footerReference w:type="default" r:id="rId263"/>
          <w:pgSz w:w="11906" w:h="16839"/>
          <w:pgMar w:top="400" w:right="1691" w:bottom="1358" w:left="1691" w:header="0" w:footer="1195" w:gutter="0"/>
        </w:sectPr>
        <w:rPr>
          <w:sz w:val="13"/>
          <w:szCs w:val="13"/>
        </w:rPr>
      </w:pPr>
    </w:p>
    <w:p>
      <w:pPr>
        <w:spacing w:before="19"/>
        <w:rPr/>
      </w:pPr>
      <w:r/>
    </w:p>
    <w:p>
      <w:pPr>
        <w:spacing w:before="19"/>
        <w:rPr/>
      </w:pPr>
      <w:r/>
    </w:p>
    <w:p>
      <w:pPr>
        <w:spacing w:before="18"/>
        <w:rPr/>
      </w:pPr>
      <w:r/>
    </w:p>
    <w:p>
      <w:pPr>
        <w:spacing w:before="18"/>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8"/>
        <w:gridCol w:w="1064"/>
        <w:gridCol w:w="1064"/>
        <w:gridCol w:w="1064"/>
        <w:gridCol w:w="1063"/>
        <w:gridCol w:w="2138"/>
      </w:tblGrid>
      <w:tr>
        <w:trPr>
          <w:trHeight w:val="316" w:hRule="atLeast"/>
        </w:trPr>
        <w:tc>
          <w:tcPr>
            <w:tcW w:w="2128" w:type="dxa"/>
            <w:vAlign w:val="top"/>
            <w:tcBorders>
              <w:top w:val="single" w:color="000000" w:sz="10" w:space="0"/>
              <w:left w:val="nil"/>
            </w:tcBorders>
          </w:tcPr>
          <w:p>
            <w:pPr>
              <w:pStyle w:val="TableText"/>
              <w:ind w:left="762"/>
              <w:spacing w:before="55" w:line="229" w:lineRule="auto"/>
              <w:rPr/>
            </w:pPr>
            <w:r>
              <w:rPr>
                <w:spacing w:val="5"/>
              </w:rPr>
              <w:t>小黄花</w:t>
            </w:r>
          </w:p>
        </w:tc>
        <w:tc>
          <w:tcPr>
            <w:tcW w:w="1064" w:type="dxa"/>
            <w:vAlign w:val="top"/>
            <w:tcBorders>
              <w:top w:val="single" w:color="000000" w:sz="10" w:space="0"/>
            </w:tcBorders>
          </w:tcPr>
          <w:p>
            <w:pPr>
              <w:pStyle w:val="TableText"/>
              <w:ind w:left="231"/>
              <w:spacing w:before="55" w:line="230" w:lineRule="auto"/>
              <w:rPr/>
            </w:pPr>
            <w:r>
              <w:rPr>
                <w:spacing w:val="3"/>
              </w:rPr>
              <w:t>草木层</w:t>
            </w:r>
          </w:p>
        </w:tc>
        <w:tc>
          <w:tcPr>
            <w:tcW w:w="1064" w:type="dxa"/>
            <w:vAlign w:val="top"/>
            <w:tcBorders>
              <w:top w:val="single" w:color="000000" w:sz="10" w:space="0"/>
            </w:tcBorders>
          </w:tcPr>
          <w:p>
            <w:pPr>
              <w:ind w:left="50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4" w:type="dxa"/>
            <w:vAlign w:val="top"/>
            <w:tcBorders>
              <w:top w:val="single" w:color="000000" w:sz="10" w:space="0"/>
            </w:tcBorders>
          </w:tcPr>
          <w:p>
            <w:pPr>
              <w:ind w:left="40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063" w:type="dxa"/>
            <w:vAlign w:val="top"/>
            <w:tcBorders>
              <w:top w:val="single" w:color="000000" w:sz="10" w:space="0"/>
            </w:tcBorders>
          </w:tcPr>
          <w:p>
            <w:pPr>
              <w:pStyle w:val="TableText"/>
              <w:ind w:left="466"/>
              <w:spacing w:before="55" w:line="231" w:lineRule="auto"/>
              <w:rPr/>
            </w:pPr>
            <w:r>
              <w:rPr/>
              <w:t>中</w:t>
            </w:r>
          </w:p>
        </w:tc>
        <w:tc>
          <w:tcPr>
            <w:tcW w:w="2138" w:type="dxa"/>
            <w:vAlign w:val="top"/>
            <w:tcBorders>
              <w:top w:val="single" w:color="000000" w:sz="10" w:space="0"/>
              <w:right w:val="nil"/>
            </w:tcBorders>
          </w:tcPr>
          <w:p>
            <w:pPr>
              <w:pStyle w:val="TableText"/>
              <w:ind w:left="977"/>
              <w:spacing w:before="55" w:line="231" w:lineRule="auto"/>
              <w:rPr/>
            </w:pPr>
            <w:r>
              <w:rPr/>
              <w:t>优</w:t>
            </w:r>
          </w:p>
        </w:tc>
      </w:tr>
      <w:tr>
        <w:trPr>
          <w:trHeight w:val="619" w:hRule="atLeast"/>
        </w:trPr>
        <w:tc>
          <w:tcPr>
            <w:tcW w:w="2128" w:type="dxa"/>
            <w:vAlign w:val="top"/>
            <w:tcBorders>
              <w:left w:val="nil"/>
            </w:tcBorders>
          </w:tcPr>
          <w:p>
            <w:pPr>
              <w:pStyle w:val="TableText"/>
              <w:ind w:left="556" w:right="426" w:hanging="116"/>
              <w:spacing w:before="55" w:line="271" w:lineRule="auto"/>
              <w:rPr>
                <w:rFonts w:ascii="Times New Roman" w:hAnsi="Times New Roman" w:eastAsia="Times New Roman" w:cs="Times New Roman"/>
              </w:rPr>
            </w:pPr>
            <w:r>
              <w:rPr>
                <w:spacing w:val="11"/>
              </w:rPr>
              <w:t>柄扁桃</w:t>
            </w:r>
            <w:r>
              <w:rPr>
                <w:rFonts w:ascii="Times New Roman" w:hAnsi="Times New Roman" w:eastAsia="Times New Roman" w:cs="Times New Roman"/>
                <w:spacing w:val="11"/>
              </w:rPr>
              <w:t>/</w:t>
            </w:r>
            <w:r>
              <w:rPr>
                <w:rFonts w:ascii="Times New Roman" w:hAnsi="Times New Roman" w:eastAsia="Times New Roman" w:cs="Times New Roman"/>
              </w:rPr>
              <w:t>Prunus</w:t>
            </w:r>
            <w:r>
              <w:rPr>
                <w:rFonts w:ascii="Times New Roman" w:hAnsi="Times New Roman" w:eastAsia="Times New Roman" w:cs="Times New Roman"/>
                <w:spacing w:val="2"/>
              </w:rPr>
              <w:t xml:space="preserve"> </w:t>
            </w:r>
            <w:r>
              <w:rPr>
                <w:rFonts w:ascii="Times New Roman" w:hAnsi="Times New Roman" w:eastAsia="Times New Roman" w:cs="Times New Roman"/>
                <w:spacing w:val="4"/>
              </w:rPr>
              <w:t>pedunculata</w:t>
            </w:r>
          </w:p>
        </w:tc>
        <w:tc>
          <w:tcPr>
            <w:tcW w:w="1064" w:type="dxa"/>
            <w:vAlign w:val="top"/>
          </w:tcPr>
          <w:p>
            <w:pPr>
              <w:pStyle w:val="TableText"/>
              <w:ind w:left="231"/>
              <w:spacing w:before="212" w:line="230" w:lineRule="auto"/>
              <w:rPr/>
            </w:pPr>
            <w:r>
              <w:rPr>
                <w:spacing w:val="3"/>
              </w:rPr>
              <w:t>草木层</w:t>
            </w:r>
          </w:p>
        </w:tc>
        <w:tc>
          <w:tcPr>
            <w:tcW w:w="1064" w:type="dxa"/>
            <w:vAlign w:val="top"/>
          </w:tcPr>
          <w:p>
            <w:pPr>
              <w:ind w:left="501"/>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4" w:type="dxa"/>
            <w:vAlign w:val="top"/>
          </w:tcPr>
          <w:p>
            <w:pPr>
              <w:ind w:left="405"/>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063" w:type="dxa"/>
            <w:vAlign w:val="top"/>
          </w:tcPr>
          <w:p>
            <w:pPr>
              <w:pStyle w:val="TableText"/>
              <w:ind w:left="466"/>
              <w:spacing w:before="212" w:line="231" w:lineRule="auto"/>
              <w:rPr/>
            </w:pPr>
            <w:r>
              <w:rPr/>
              <w:t>中</w:t>
            </w:r>
          </w:p>
        </w:tc>
        <w:tc>
          <w:tcPr>
            <w:tcW w:w="2138" w:type="dxa"/>
            <w:vAlign w:val="top"/>
            <w:tcBorders>
              <w:right w:val="nil"/>
            </w:tcBorders>
          </w:tcPr>
          <w:p>
            <w:pPr>
              <w:pStyle w:val="TableText"/>
              <w:ind w:left="977"/>
              <w:spacing w:before="212" w:line="231" w:lineRule="auto"/>
              <w:rPr/>
            </w:pPr>
            <w:r>
              <w:rPr/>
              <w:t>优</w:t>
            </w:r>
          </w:p>
        </w:tc>
      </w:tr>
      <w:tr>
        <w:trPr>
          <w:trHeight w:val="643" w:hRule="atLeast"/>
        </w:trPr>
        <w:tc>
          <w:tcPr>
            <w:tcW w:w="2128" w:type="dxa"/>
            <w:vAlign w:val="top"/>
            <w:tcBorders>
              <w:bottom w:val="single" w:color="000000" w:sz="10" w:space="0"/>
              <w:left w:val="nil"/>
            </w:tcBorders>
          </w:tcPr>
          <w:p>
            <w:pPr>
              <w:pStyle w:val="TableText"/>
              <w:ind w:left="390" w:right="389" w:firstLine="27"/>
              <w:spacing w:before="67" w:line="277" w:lineRule="auto"/>
              <w:rPr>
                <w:rFonts w:ascii="Times New Roman" w:hAnsi="Times New Roman" w:eastAsia="Times New Roman" w:cs="Times New Roman"/>
              </w:rPr>
            </w:pPr>
            <w:r>
              <w:rPr>
                <w:spacing w:val="8"/>
              </w:rPr>
              <w:t>克氏针茅</w:t>
            </w:r>
            <w:r>
              <w:rPr>
                <w:rFonts w:ascii="Times New Roman" w:hAnsi="Times New Roman" w:eastAsia="Times New Roman" w:cs="Times New Roman"/>
                <w:spacing w:val="8"/>
              </w:rPr>
              <w:t>/</w:t>
            </w:r>
            <w:r>
              <w:rPr>
                <w:rFonts w:ascii="Times New Roman" w:hAnsi="Times New Roman" w:eastAsia="Times New Roman" w:cs="Times New Roman"/>
              </w:rPr>
              <w:t>Stipa</w:t>
            </w:r>
            <w:r>
              <w:rPr>
                <w:rFonts w:ascii="Times New Roman" w:hAnsi="Times New Roman" w:eastAsia="Times New Roman" w:cs="Times New Roman"/>
                <w:spacing w:val="1"/>
              </w:rPr>
              <w:t xml:space="preserve"> </w:t>
            </w:r>
            <w:r>
              <w:rPr>
                <w:rFonts w:ascii="Times New Roman" w:hAnsi="Times New Roman" w:eastAsia="Times New Roman" w:cs="Times New Roman"/>
                <w:spacing w:val="4"/>
              </w:rPr>
              <w:t>krylovii Roshev</w:t>
            </w:r>
          </w:p>
        </w:tc>
        <w:tc>
          <w:tcPr>
            <w:tcW w:w="1064" w:type="dxa"/>
            <w:vAlign w:val="top"/>
            <w:tcBorders>
              <w:bottom w:val="single" w:color="000000" w:sz="10" w:space="0"/>
            </w:tcBorders>
          </w:tcPr>
          <w:p>
            <w:pPr>
              <w:pStyle w:val="TableText"/>
              <w:ind w:left="231"/>
              <w:spacing w:before="224" w:line="230" w:lineRule="auto"/>
              <w:rPr/>
            </w:pPr>
            <w:r>
              <w:rPr>
                <w:spacing w:val="3"/>
              </w:rPr>
              <w:t>草木层</w:t>
            </w:r>
          </w:p>
        </w:tc>
        <w:tc>
          <w:tcPr>
            <w:tcW w:w="1064" w:type="dxa"/>
            <w:vAlign w:val="top"/>
            <w:tcBorders>
              <w:bottom w:val="single" w:color="000000" w:sz="10" w:space="0"/>
            </w:tcBorders>
          </w:tcPr>
          <w:p>
            <w:pPr>
              <w:ind w:left="453"/>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064" w:type="dxa"/>
            <w:vAlign w:val="top"/>
            <w:tcBorders>
              <w:bottom w:val="single" w:color="000000" w:sz="10" w:space="0"/>
            </w:tcBorders>
          </w:tcPr>
          <w:p>
            <w:pPr>
              <w:ind w:left="405"/>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1063" w:type="dxa"/>
            <w:vAlign w:val="top"/>
            <w:tcBorders>
              <w:bottom w:val="single" w:color="000000" w:sz="10" w:space="0"/>
            </w:tcBorders>
          </w:tcPr>
          <w:p>
            <w:pPr>
              <w:pStyle w:val="TableText"/>
              <w:ind w:left="466"/>
              <w:spacing w:before="224" w:line="231" w:lineRule="auto"/>
              <w:rPr/>
            </w:pPr>
            <w:r>
              <w:rPr/>
              <w:t>中</w:t>
            </w:r>
          </w:p>
        </w:tc>
        <w:tc>
          <w:tcPr>
            <w:tcW w:w="2138" w:type="dxa"/>
            <w:vAlign w:val="top"/>
            <w:tcBorders>
              <w:bottom w:val="single" w:color="000000" w:sz="10" w:space="0"/>
              <w:right w:val="nil"/>
            </w:tcBorders>
          </w:tcPr>
          <w:p>
            <w:pPr>
              <w:pStyle w:val="TableText"/>
              <w:ind w:left="977"/>
              <w:spacing w:before="224" w:line="231" w:lineRule="auto"/>
              <w:rPr/>
            </w:pPr>
            <w:r>
              <w:rPr/>
              <w:t>优</w:t>
            </w:r>
          </w:p>
        </w:tc>
      </w:tr>
    </w:tbl>
    <w:p>
      <w:pPr>
        <w:pStyle w:val="BodyText"/>
        <w:spacing w:line="252" w:lineRule="auto"/>
        <w:rPr/>
      </w:pPr>
      <w:r/>
    </w:p>
    <w:p>
      <w:pPr>
        <w:pStyle w:val="BodyText"/>
        <w:spacing w:line="252" w:lineRule="auto"/>
        <w:rPr/>
      </w:pPr>
      <w:r/>
    </w:p>
    <w:p>
      <w:pPr>
        <w:ind w:left="3065"/>
        <w:spacing w:before="78"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5.6-14 7#</w:t>
      </w:r>
      <w:r>
        <w:rPr>
          <w:rFonts w:ascii="FangSong" w:hAnsi="FangSong" w:eastAsia="FangSong" w:cs="FangSong"/>
          <w:sz w:val="24"/>
          <w:szCs w:val="24"/>
          <w:b/>
          <w:bCs/>
          <w:spacing w:val="-3"/>
        </w:rPr>
        <w:t>样方调查表</w:t>
      </w:r>
    </w:p>
    <w:p>
      <w:pPr>
        <w:spacing w:line="67"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6" w:hRule="atLeast"/>
        </w:trPr>
        <w:tc>
          <w:tcPr>
            <w:tcW w:w="1064" w:type="dxa"/>
            <w:vAlign w:val="top"/>
            <w:tcBorders>
              <w:top w:val="single" w:color="000000" w:sz="10" w:space="0"/>
              <w:left w:val="nil"/>
            </w:tcBorders>
          </w:tcPr>
          <w:p>
            <w:pPr>
              <w:pStyle w:val="TableText"/>
              <w:ind w:left="230"/>
              <w:spacing w:before="57" w:line="228" w:lineRule="auto"/>
              <w:rPr/>
            </w:pPr>
            <w:r>
              <w:rPr>
                <w:spacing w:val="4"/>
              </w:rPr>
              <w:t>样方号</w:t>
            </w:r>
          </w:p>
        </w:tc>
        <w:tc>
          <w:tcPr>
            <w:tcW w:w="1064" w:type="dxa"/>
            <w:vAlign w:val="top"/>
            <w:tcBorders>
              <w:top w:val="single" w:color="000000" w:sz="10" w:space="0"/>
            </w:tcBorders>
          </w:tcPr>
          <w:p>
            <w:pPr>
              <w:ind w:left="431"/>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w:t>
            </w:r>
          </w:p>
        </w:tc>
        <w:tc>
          <w:tcPr>
            <w:tcW w:w="1064" w:type="dxa"/>
            <w:vAlign w:val="top"/>
            <w:tcBorders>
              <w:top w:val="single" w:color="000000" w:sz="10" w:space="0"/>
            </w:tcBorders>
          </w:tcPr>
          <w:p>
            <w:pPr>
              <w:pStyle w:val="TableText"/>
              <w:ind w:left="124"/>
              <w:spacing w:before="56" w:line="230" w:lineRule="auto"/>
              <w:rPr/>
            </w:pPr>
            <w:r>
              <w:rPr>
                <w:spacing w:val="5"/>
              </w:rPr>
              <w:t>海拔高度</w:t>
            </w:r>
          </w:p>
        </w:tc>
        <w:tc>
          <w:tcPr>
            <w:tcW w:w="1064" w:type="dxa"/>
            <w:vAlign w:val="top"/>
            <w:tcBorders>
              <w:top w:val="single" w:color="000000" w:sz="10" w:space="0"/>
            </w:tcBorders>
          </w:tcPr>
          <w:p>
            <w:pPr>
              <w:ind w:left="158"/>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1010.977</w:t>
            </w:r>
          </w:p>
        </w:tc>
        <w:tc>
          <w:tcPr>
            <w:tcW w:w="1064" w:type="dxa"/>
            <w:vAlign w:val="top"/>
            <w:tcBorders>
              <w:top w:val="single" w:color="000000" w:sz="10" w:space="0"/>
            </w:tcBorders>
          </w:tcPr>
          <w:p>
            <w:pPr>
              <w:pStyle w:val="TableText"/>
              <w:ind w:left="124"/>
              <w:spacing w:before="57" w:line="228" w:lineRule="auto"/>
              <w:rPr/>
            </w:pPr>
            <w:r>
              <w:rPr>
                <w:spacing w:val="5"/>
              </w:rPr>
              <w:t>样方类型</w:t>
            </w:r>
          </w:p>
        </w:tc>
        <w:tc>
          <w:tcPr>
            <w:tcW w:w="1063" w:type="dxa"/>
            <w:vAlign w:val="top"/>
            <w:tcBorders>
              <w:top w:val="single" w:color="000000" w:sz="10" w:space="0"/>
            </w:tcBorders>
          </w:tcPr>
          <w:p>
            <w:pPr>
              <w:pStyle w:val="TableText"/>
              <w:ind w:left="231"/>
              <w:spacing w:before="56" w:line="230" w:lineRule="auto"/>
              <w:rPr/>
            </w:pPr>
            <w:r>
              <w:rPr>
                <w:spacing w:val="3"/>
              </w:rPr>
              <w:t>草木层</w:t>
            </w:r>
          </w:p>
        </w:tc>
        <w:tc>
          <w:tcPr>
            <w:tcW w:w="1069" w:type="dxa"/>
            <w:vAlign w:val="top"/>
            <w:tcBorders>
              <w:top w:val="single" w:color="000000" w:sz="10" w:space="0"/>
            </w:tcBorders>
          </w:tcPr>
          <w:p>
            <w:pPr>
              <w:pStyle w:val="TableText"/>
              <w:ind w:left="125"/>
              <w:spacing w:before="57"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6" w:line="230"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19" w:hRule="atLeast"/>
        </w:trPr>
        <w:tc>
          <w:tcPr>
            <w:tcW w:w="2128" w:type="dxa"/>
            <w:vAlign w:val="top"/>
            <w:gridSpan w:val="2"/>
            <w:tcBorders>
              <w:left w:val="nil"/>
            </w:tcBorders>
          </w:tcPr>
          <w:p>
            <w:pPr>
              <w:pStyle w:val="TableText"/>
              <w:ind w:left="313"/>
              <w:spacing w:before="214"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3" w:line="232" w:lineRule="auto"/>
              <w:rPr/>
            </w:pPr>
            <w:r>
              <w:rPr>
                <w:spacing w:val="1"/>
              </w:rPr>
              <w:t>层次</w:t>
            </w:r>
          </w:p>
        </w:tc>
        <w:tc>
          <w:tcPr>
            <w:tcW w:w="1064" w:type="dxa"/>
            <w:vAlign w:val="top"/>
          </w:tcPr>
          <w:p>
            <w:pPr>
              <w:pStyle w:val="TableText"/>
              <w:ind w:left="334"/>
              <w:spacing w:before="213" w:line="228" w:lineRule="auto"/>
              <w:rPr/>
            </w:pPr>
            <w:r>
              <w:rPr>
                <w:spacing w:val="1"/>
              </w:rPr>
              <w:t>株树</w:t>
            </w:r>
          </w:p>
        </w:tc>
        <w:tc>
          <w:tcPr>
            <w:tcW w:w="1064" w:type="dxa"/>
            <w:vAlign w:val="top"/>
          </w:tcPr>
          <w:p>
            <w:pPr>
              <w:pStyle w:val="TableText"/>
              <w:ind w:left="123"/>
              <w:spacing w:before="57" w:line="232" w:lineRule="auto"/>
              <w:rPr/>
            </w:pPr>
            <w:r>
              <w:rPr>
                <w:spacing w:val="5"/>
              </w:rPr>
              <w:t>平均高度</w:t>
            </w:r>
          </w:p>
          <w:p>
            <w:pPr>
              <w:pStyle w:val="TableText"/>
              <w:ind w:left="209"/>
              <w:spacing w:before="60" w:line="221"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3" w:line="232" w:lineRule="auto"/>
              <w:rPr/>
            </w:pPr>
            <w:r>
              <w:rPr>
                <w:spacing w:val="5"/>
              </w:rPr>
              <w:t>茂盛度</w:t>
            </w:r>
          </w:p>
        </w:tc>
        <w:tc>
          <w:tcPr>
            <w:tcW w:w="2138" w:type="dxa"/>
            <w:vAlign w:val="top"/>
            <w:gridSpan w:val="2"/>
            <w:tcBorders>
              <w:right w:val="nil"/>
            </w:tcBorders>
          </w:tcPr>
          <w:p>
            <w:pPr>
              <w:pStyle w:val="TableText"/>
              <w:ind w:left="778"/>
              <w:spacing w:before="214" w:line="232" w:lineRule="auto"/>
              <w:rPr/>
            </w:pPr>
            <w:r>
              <w:rPr/>
              <w:t>生活力</w:t>
            </w:r>
          </w:p>
        </w:tc>
      </w:tr>
      <w:tr>
        <w:trPr>
          <w:trHeight w:val="643" w:hRule="atLeast"/>
        </w:trPr>
        <w:tc>
          <w:tcPr>
            <w:tcW w:w="2128" w:type="dxa"/>
            <w:vAlign w:val="top"/>
            <w:gridSpan w:val="2"/>
            <w:tcBorders>
              <w:bottom w:val="single" w:color="000000" w:sz="10" w:space="0"/>
              <w:left w:val="nil"/>
            </w:tcBorders>
          </w:tcPr>
          <w:p>
            <w:pPr>
              <w:pStyle w:val="TableText"/>
              <w:ind w:left="558" w:right="321" w:hanging="218"/>
              <w:spacing w:before="67" w:line="277" w:lineRule="auto"/>
              <w:rPr>
                <w:rFonts w:ascii="Times New Roman" w:hAnsi="Times New Roman" w:eastAsia="Times New Roman" w:cs="Times New Roman"/>
              </w:rPr>
            </w:pPr>
            <w:r>
              <w:rPr>
                <w:spacing w:val="13"/>
              </w:rPr>
              <w:t>锦鸡儿</w:t>
            </w:r>
            <w:r>
              <w:rPr>
                <w:rFonts w:ascii="Times New Roman" w:hAnsi="Times New Roman" w:eastAsia="Times New Roman" w:cs="Times New Roman"/>
                <w:spacing w:val="13"/>
              </w:rPr>
              <w:t>/</w:t>
            </w:r>
            <w:r>
              <w:rPr>
                <w:rFonts w:ascii="Times New Roman" w:hAnsi="Times New Roman" w:eastAsia="Times New Roman" w:cs="Times New Roman"/>
              </w:rPr>
              <w:t>Caragana </w:t>
            </w:r>
            <w:r>
              <w:rPr>
                <w:rFonts w:ascii="Times New Roman" w:hAnsi="Times New Roman" w:eastAsia="Times New Roman" w:cs="Times New Roman"/>
                <w:spacing w:val="3"/>
              </w:rPr>
              <w:t>microphylla</w:t>
            </w:r>
          </w:p>
        </w:tc>
        <w:tc>
          <w:tcPr>
            <w:tcW w:w="1064" w:type="dxa"/>
            <w:vAlign w:val="top"/>
            <w:tcBorders>
              <w:bottom w:val="single" w:color="000000" w:sz="10" w:space="0"/>
            </w:tcBorders>
          </w:tcPr>
          <w:p>
            <w:pPr>
              <w:pStyle w:val="TableText"/>
              <w:ind w:left="231"/>
              <w:spacing w:before="223" w:line="230" w:lineRule="auto"/>
              <w:rPr/>
            </w:pPr>
            <w:r>
              <w:rPr>
                <w:spacing w:val="3"/>
              </w:rPr>
              <w:t>草木层</w:t>
            </w:r>
          </w:p>
        </w:tc>
        <w:tc>
          <w:tcPr>
            <w:tcW w:w="1064" w:type="dxa"/>
            <w:vAlign w:val="top"/>
            <w:tcBorders>
              <w:bottom w:val="single" w:color="000000" w:sz="10" w:space="0"/>
            </w:tcBorders>
          </w:tcPr>
          <w:p>
            <w:pPr>
              <w:ind w:left="481"/>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4" w:type="dxa"/>
            <w:vAlign w:val="top"/>
            <w:tcBorders>
              <w:bottom w:val="single" w:color="000000" w:sz="10" w:space="0"/>
            </w:tcBorders>
          </w:tcPr>
          <w:p>
            <w:pPr>
              <w:ind w:left="405"/>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3" w:type="dxa"/>
            <w:vAlign w:val="top"/>
            <w:tcBorders>
              <w:bottom w:val="single" w:color="000000" w:sz="10" w:space="0"/>
            </w:tcBorders>
          </w:tcPr>
          <w:p>
            <w:pPr>
              <w:pStyle w:val="TableText"/>
              <w:ind w:left="466"/>
              <w:spacing w:before="223" w:line="231" w:lineRule="auto"/>
              <w:rPr/>
            </w:pPr>
            <w:r>
              <w:rPr/>
              <w:t>中</w:t>
            </w:r>
          </w:p>
        </w:tc>
        <w:tc>
          <w:tcPr>
            <w:tcW w:w="2138" w:type="dxa"/>
            <w:vAlign w:val="top"/>
            <w:gridSpan w:val="2"/>
            <w:tcBorders>
              <w:bottom w:val="single" w:color="000000" w:sz="10" w:space="0"/>
              <w:right w:val="nil"/>
            </w:tcBorders>
          </w:tcPr>
          <w:p>
            <w:pPr>
              <w:pStyle w:val="TableText"/>
              <w:ind w:left="977"/>
              <w:spacing w:before="223" w:line="231" w:lineRule="auto"/>
              <w:rPr/>
            </w:pPr>
            <w:r>
              <w:rPr/>
              <w:t>优</w:t>
            </w:r>
          </w:p>
        </w:tc>
      </w:tr>
    </w:tbl>
    <w:p>
      <w:pPr>
        <w:pStyle w:val="BodyText"/>
        <w:spacing w:line="251" w:lineRule="auto"/>
        <w:rPr/>
      </w:pPr>
      <w:r/>
    </w:p>
    <w:p>
      <w:pPr>
        <w:pStyle w:val="BodyText"/>
        <w:spacing w:line="252" w:lineRule="auto"/>
        <w:rPr/>
      </w:pPr>
      <w:r/>
    </w:p>
    <w:p>
      <w:pPr>
        <w:ind w:left="3065"/>
        <w:spacing w:before="78"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5.6-15 8#</w:t>
      </w:r>
      <w:r>
        <w:rPr>
          <w:rFonts w:ascii="FangSong" w:hAnsi="FangSong" w:eastAsia="FangSong" w:cs="FangSong"/>
          <w:sz w:val="24"/>
          <w:szCs w:val="24"/>
          <w:b/>
          <w:bCs/>
          <w:spacing w:val="-3"/>
        </w:rPr>
        <w:t>样方调查表</w:t>
      </w:r>
    </w:p>
    <w:p>
      <w:pPr>
        <w:spacing w:line="67"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4"/>
        <w:gridCol w:w="1064"/>
        <w:gridCol w:w="1064"/>
        <w:gridCol w:w="1064"/>
        <w:gridCol w:w="1064"/>
        <w:gridCol w:w="1063"/>
        <w:gridCol w:w="1069"/>
        <w:gridCol w:w="1069"/>
      </w:tblGrid>
      <w:tr>
        <w:trPr>
          <w:trHeight w:val="316" w:hRule="atLeast"/>
        </w:trPr>
        <w:tc>
          <w:tcPr>
            <w:tcW w:w="1064" w:type="dxa"/>
            <w:vAlign w:val="top"/>
            <w:tcBorders>
              <w:top w:val="single" w:color="000000" w:sz="10" w:space="0"/>
              <w:left w:val="nil"/>
            </w:tcBorders>
          </w:tcPr>
          <w:p>
            <w:pPr>
              <w:pStyle w:val="TableText"/>
              <w:ind w:left="230"/>
              <w:spacing w:before="56" w:line="228" w:lineRule="auto"/>
              <w:rPr/>
            </w:pPr>
            <w:r>
              <w:rPr>
                <w:spacing w:val="4"/>
              </w:rPr>
              <w:t>样方号</w:t>
            </w:r>
          </w:p>
        </w:tc>
        <w:tc>
          <w:tcPr>
            <w:tcW w:w="1064" w:type="dxa"/>
            <w:vAlign w:val="top"/>
            <w:tcBorders>
              <w:top w:val="single" w:color="000000" w:sz="10" w:space="0"/>
            </w:tcBorders>
          </w:tcPr>
          <w:p>
            <w:pPr>
              <w:ind w:left="44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1064" w:type="dxa"/>
            <w:vAlign w:val="top"/>
            <w:tcBorders>
              <w:top w:val="single" w:color="000000" w:sz="10" w:space="0"/>
            </w:tcBorders>
          </w:tcPr>
          <w:p>
            <w:pPr>
              <w:pStyle w:val="TableText"/>
              <w:ind w:left="124"/>
              <w:spacing w:before="56" w:line="230" w:lineRule="auto"/>
              <w:rPr/>
            </w:pPr>
            <w:r>
              <w:rPr>
                <w:spacing w:val="5"/>
              </w:rPr>
              <w:t>海拔高度</w:t>
            </w:r>
          </w:p>
        </w:tc>
        <w:tc>
          <w:tcPr>
            <w:tcW w:w="1064" w:type="dxa"/>
            <w:vAlign w:val="top"/>
            <w:tcBorders>
              <w:top w:val="single" w:color="000000" w:sz="10" w:space="0"/>
            </w:tcBorders>
          </w:tcPr>
          <w:p>
            <w:pPr>
              <w:ind w:left="15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1025.240</w:t>
            </w:r>
          </w:p>
        </w:tc>
        <w:tc>
          <w:tcPr>
            <w:tcW w:w="1064" w:type="dxa"/>
            <w:vAlign w:val="top"/>
            <w:tcBorders>
              <w:top w:val="single" w:color="000000" w:sz="10" w:space="0"/>
            </w:tcBorders>
          </w:tcPr>
          <w:p>
            <w:pPr>
              <w:pStyle w:val="TableText"/>
              <w:ind w:left="124"/>
              <w:spacing w:before="56" w:line="228" w:lineRule="auto"/>
              <w:rPr/>
            </w:pPr>
            <w:r>
              <w:rPr>
                <w:spacing w:val="5"/>
              </w:rPr>
              <w:t>样方类型</w:t>
            </w:r>
          </w:p>
        </w:tc>
        <w:tc>
          <w:tcPr>
            <w:tcW w:w="1063" w:type="dxa"/>
            <w:vAlign w:val="top"/>
            <w:tcBorders>
              <w:top w:val="single" w:color="000000" w:sz="10" w:space="0"/>
            </w:tcBorders>
          </w:tcPr>
          <w:p>
            <w:pPr>
              <w:pStyle w:val="TableText"/>
              <w:ind w:left="231"/>
              <w:spacing w:before="56" w:line="230" w:lineRule="auto"/>
              <w:rPr/>
            </w:pPr>
            <w:r>
              <w:rPr>
                <w:spacing w:val="3"/>
              </w:rPr>
              <w:t>草木层</w:t>
            </w:r>
          </w:p>
        </w:tc>
        <w:tc>
          <w:tcPr>
            <w:tcW w:w="1069" w:type="dxa"/>
            <w:vAlign w:val="top"/>
            <w:tcBorders>
              <w:top w:val="single" w:color="000000" w:sz="10" w:space="0"/>
            </w:tcBorders>
          </w:tcPr>
          <w:p>
            <w:pPr>
              <w:pStyle w:val="TableText"/>
              <w:ind w:left="125"/>
              <w:spacing w:before="56" w:line="228" w:lineRule="auto"/>
              <w:rPr/>
            </w:pPr>
            <w:r>
              <w:rPr>
                <w:spacing w:val="5"/>
              </w:rPr>
              <w:t>样方面积</w:t>
            </w:r>
          </w:p>
        </w:tc>
        <w:tc>
          <w:tcPr>
            <w:tcW w:w="1069" w:type="dxa"/>
            <w:vAlign w:val="top"/>
            <w:tcBorders>
              <w:top w:val="single" w:color="000000" w:sz="10" w:space="0"/>
              <w:right w:val="nil"/>
            </w:tcBorders>
          </w:tcPr>
          <w:p>
            <w:pPr>
              <w:pStyle w:val="TableText"/>
              <w:ind w:left="182"/>
              <w:spacing w:before="56" w:line="230" w:lineRule="auto"/>
              <w:rPr>
                <w:rFonts w:ascii="Times New Roman" w:hAnsi="Times New Roman" w:eastAsia="Times New Roman" w:cs="Times New Roman"/>
              </w:rPr>
            </w:pPr>
            <w:r>
              <w:rPr>
                <w:rFonts w:ascii="Times New Roman" w:hAnsi="Times New Roman" w:eastAsia="Times New Roman" w:cs="Times New Roman"/>
                <w:spacing w:val="-3"/>
              </w:rPr>
              <w:t>1m</w:t>
            </w:r>
            <w:r>
              <w:rPr>
                <w:spacing w:val="-3"/>
              </w:rPr>
              <w:t>×</w:t>
            </w:r>
            <w:r>
              <w:rPr>
                <w:spacing w:val="-74"/>
              </w:rPr>
              <w:t xml:space="preserve"> </w:t>
            </w:r>
            <w:r>
              <w:rPr>
                <w:rFonts w:ascii="Times New Roman" w:hAnsi="Times New Roman" w:eastAsia="Times New Roman" w:cs="Times New Roman"/>
                <w:spacing w:val="-3"/>
              </w:rPr>
              <w:t>1m</w:t>
            </w:r>
          </w:p>
        </w:tc>
      </w:tr>
      <w:tr>
        <w:trPr>
          <w:trHeight w:val="619" w:hRule="atLeast"/>
        </w:trPr>
        <w:tc>
          <w:tcPr>
            <w:tcW w:w="2128" w:type="dxa"/>
            <w:vAlign w:val="top"/>
            <w:gridSpan w:val="2"/>
            <w:tcBorders>
              <w:left w:val="nil"/>
            </w:tcBorders>
          </w:tcPr>
          <w:p>
            <w:pPr>
              <w:pStyle w:val="TableText"/>
              <w:ind w:left="313"/>
              <w:spacing w:before="213" w:line="229" w:lineRule="auto"/>
              <w:rPr/>
            </w:pPr>
            <w:r>
              <w:rPr>
                <w:spacing w:val="7"/>
              </w:rPr>
              <w:t>植物名称</w:t>
            </w:r>
            <w:r>
              <w:rPr>
                <w:rFonts w:ascii="Times New Roman" w:hAnsi="Times New Roman" w:eastAsia="Times New Roman" w:cs="Times New Roman"/>
                <w:spacing w:val="7"/>
              </w:rPr>
              <w:t>/</w:t>
            </w:r>
            <w:r>
              <w:rPr>
                <w:spacing w:val="7"/>
              </w:rPr>
              <w:t>拉丁名</w:t>
            </w:r>
          </w:p>
        </w:tc>
        <w:tc>
          <w:tcPr>
            <w:tcW w:w="1064" w:type="dxa"/>
            <w:vAlign w:val="top"/>
          </w:tcPr>
          <w:p>
            <w:pPr>
              <w:pStyle w:val="TableText"/>
              <w:ind w:left="335"/>
              <w:spacing w:before="212" w:line="232" w:lineRule="auto"/>
              <w:rPr/>
            </w:pPr>
            <w:r>
              <w:rPr>
                <w:spacing w:val="1"/>
              </w:rPr>
              <w:t>层次</w:t>
            </w:r>
          </w:p>
        </w:tc>
        <w:tc>
          <w:tcPr>
            <w:tcW w:w="1064" w:type="dxa"/>
            <w:vAlign w:val="top"/>
          </w:tcPr>
          <w:p>
            <w:pPr>
              <w:pStyle w:val="TableText"/>
              <w:ind w:left="334"/>
              <w:spacing w:before="213" w:line="228" w:lineRule="auto"/>
              <w:rPr/>
            </w:pPr>
            <w:r>
              <w:rPr>
                <w:spacing w:val="1"/>
              </w:rPr>
              <w:t>株树</w:t>
            </w:r>
          </w:p>
        </w:tc>
        <w:tc>
          <w:tcPr>
            <w:tcW w:w="1064" w:type="dxa"/>
            <w:vAlign w:val="top"/>
          </w:tcPr>
          <w:p>
            <w:pPr>
              <w:pStyle w:val="TableText"/>
              <w:ind w:left="123"/>
              <w:spacing w:before="56" w:line="232" w:lineRule="auto"/>
              <w:rPr/>
            </w:pPr>
            <w:r>
              <w:rPr>
                <w:spacing w:val="5"/>
              </w:rPr>
              <w:t>平均高度</w:t>
            </w:r>
          </w:p>
          <w:p>
            <w:pPr>
              <w:pStyle w:val="TableText"/>
              <w:ind w:left="209"/>
              <w:spacing w:before="61" w:line="221" w:lineRule="auto"/>
              <w:rPr/>
            </w:pPr>
            <w:r>
              <w:rPr>
                <w:spacing w:val="1"/>
              </w:rPr>
              <w:t>（</w:t>
            </w:r>
            <w:r>
              <w:rPr>
                <w:rFonts w:ascii="Times New Roman" w:hAnsi="Times New Roman" w:eastAsia="Times New Roman" w:cs="Times New Roman"/>
              </w:rPr>
              <w:t>cm</w:t>
            </w:r>
            <w:r>
              <w:rPr>
                <w:spacing w:val="1"/>
              </w:rPr>
              <w:t>）</w:t>
            </w:r>
          </w:p>
        </w:tc>
        <w:tc>
          <w:tcPr>
            <w:tcW w:w="1063" w:type="dxa"/>
            <w:vAlign w:val="top"/>
          </w:tcPr>
          <w:p>
            <w:pPr>
              <w:pStyle w:val="TableText"/>
              <w:ind w:left="228"/>
              <w:spacing w:before="212" w:line="232" w:lineRule="auto"/>
              <w:rPr/>
            </w:pPr>
            <w:r>
              <w:rPr>
                <w:spacing w:val="5"/>
              </w:rPr>
              <w:t>茂盛度</w:t>
            </w:r>
          </w:p>
        </w:tc>
        <w:tc>
          <w:tcPr>
            <w:tcW w:w="2138" w:type="dxa"/>
            <w:vAlign w:val="top"/>
            <w:gridSpan w:val="2"/>
            <w:tcBorders>
              <w:right w:val="nil"/>
            </w:tcBorders>
          </w:tcPr>
          <w:p>
            <w:pPr>
              <w:pStyle w:val="TableText"/>
              <w:ind w:left="778"/>
              <w:spacing w:before="213" w:line="232" w:lineRule="auto"/>
              <w:rPr/>
            </w:pPr>
            <w:r>
              <w:rPr/>
              <w:t>生活力</w:t>
            </w:r>
          </w:p>
        </w:tc>
      </w:tr>
      <w:tr>
        <w:trPr>
          <w:trHeight w:val="643" w:hRule="atLeast"/>
        </w:trPr>
        <w:tc>
          <w:tcPr>
            <w:tcW w:w="2128" w:type="dxa"/>
            <w:vAlign w:val="top"/>
            <w:gridSpan w:val="2"/>
            <w:tcBorders>
              <w:bottom w:val="single" w:color="000000" w:sz="10" w:space="0"/>
              <w:left w:val="nil"/>
            </w:tcBorders>
          </w:tcPr>
          <w:p>
            <w:pPr>
              <w:pStyle w:val="TableText"/>
              <w:ind w:left="558" w:right="321" w:hanging="218"/>
              <w:spacing w:before="67" w:line="277" w:lineRule="auto"/>
              <w:rPr>
                <w:rFonts w:ascii="Times New Roman" w:hAnsi="Times New Roman" w:eastAsia="Times New Roman" w:cs="Times New Roman"/>
              </w:rPr>
            </w:pPr>
            <w:r>
              <w:rPr>
                <w:spacing w:val="13"/>
              </w:rPr>
              <w:t>锦鸡儿</w:t>
            </w:r>
            <w:r>
              <w:rPr>
                <w:rFonts w:ascii="Times New Roman" w:hAnsi="Times New Roman" w:eastAsia="Times New Roman" w:cs="Times New Roman"/>
                <w:spacing w:val="13"/>
              </w:rPr>
              <w:t>/</w:t>
            </w:r>
            <w:r>
              <w:rPr>
                <w:rFonts w:ascii="Times New Roman" w:hAnsi="Times New Roman" w:eastAsia="Times New Roman" w:cs="Times New Roman"/>
              </w:rPr>
              <w:t>Caragana </w:t>
            </w:r>
            <w:r>
              <w:rPr>
                <w:rFonts w:ascii="Times New Roman" w:hAnsi="Times New Roman" w:eastAsia="Times New Roman" w:cs="Times New Roman"/>
                <w:spacing w:val="3"/>
              </w:rPr>
              <w:t>microphylla</w:t>
            </w:r>
          </w:p>
        </w:tc>
        <w:tc>
          <w:tcPr>
            <w:tcW w:w="1064" w:type="dxa"/>
            <w:vAlign w:val="top"/>
            <w:tcBorders>
              <w:bottom w:val="single" w:color="000000" w:sz="10" w:space="0"/>
            </w:tcBorders>
          </w:tcPr>
          <w:p>
            <w:pPr>
              <w:pStyle w:val="TableText"/>
              <w:ind w:left="231"/>
              <w:spacing w:before="222" w:line="230" w:lineRule="auto"/>
              <w:rPr/>
            </w:pPr>
            <w:r>
              <w:rPr>
                <w:spacing w:val="3"/>
              </w:rPr>
              <w:t>草木层</w:t>
            </w:r>
          </w:p>
        </w:tc>
        <w:tc>
          <w:tcPr>
            <w:tcW w:w="1064" w:type="dxa"/>
            <w:vAlign w:val="top"/>
            <w:tcBorders>
              <w:bottom w:val="single" w:color="000000" w:sz="10" w:space="0"/>
            </w:tcBorders>
          </w:tcPr>
          <w:p>
            <w:pPr>
              <w:ind w:left="481"/>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4" w:type="dxa"/>
            <w:vAlign w:val="top"/>
            <w:tcBorders>
              <w:bottom w:val="single" w:color="000000" w:sz="10" w:space="0"/>
            </w:tcBorders>
          </w:tcPr>
          <w:p>
            <w:pPr>
              <w:ind w:left="405"/>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1063" w:type="dxa"/>
            <w:vAlign w:val="top"/>
            <w:tcBorders>
              <w:bottom w:val="single" w:color="000000" w:sz="10" w:space="0"/>
            </w:tcBorders>
          </w:tcPr>
          <w:p>
            <w:pPr>
              <w:pStyle w:val="TableText"/>
              <w:ind w:left="466"/>
              <w:spacing w:before="222" w:line="231" w:lineRule="auto"/>
              <w:rPr/>
            </w:pPr>
            <w:r>
              <w:rPr/>
              <w:t>中</w:t>
            </w:r>
          </w:p>
        </w:tc>
        <w:tc>
          <w:tcPr>
            <w:tcW w:w="2138" w:type="dxa"/>
            <w:vAlign w:val="top"/>
            <w:gridSpan w:val="2"/>
            <w:tcBorders>
              <w:bottom w:val="single" w:color="000000" w:sz="10" w:space="0"/>
              <w:right w:val="nil"/>
            </w:tcBorders>
          </w:tcPr>
          <w:p>
            <w:pPr>
              <w:pStyle w:val="TableText"/>
              <w:ind w:left="977"/>
              <w:spacing w:before="222" w:line="231" w:lineRule="auto"/>
              <w:rPr/>
            </w:pPr>
            <w:r>
              <w:rPr/>
              <w:t>优</w:t>
            </w:r>
          </w:p>
        </w:tc>
      </w:tr>
    </w:tbl>
    <w:p>
      <w:pPr>
        <w:pStyle w:val="BodyText"/>
        <w:spacing w:line="251" w:lineRule="auto"/>
        <w:rPr/>
      </w:pPr>
      <w:r/>
    </w:p>
    <w:p>
      <w:pPr>
        <w:pStyle w:val="BodyText"/>
        <w:spacing w:line="251"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5.6.5.5  </w:t>
      </w:r>
      <w:r>
        <w:rPr>
          <w:rFonts w:ascii="FangSong" w:hAnsi="FangSong" w:eastAsia="FangSong" w:cs="FangSong"/>
          <w:sz w:val="24"/>
          <w:szCs w:val="24"/>
          <w:b/>
          <w:bCs/>
          <w:spacing w:val="-2"/>
        </w:rPr>
        <w:t>植被覆盖程度调查</w:t>
      </w:r>
    </w:p>
    <w:p>
      <w:pPr>
        <w:ind w:left="124" w:right="107" w:firstLine="479"/>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调查范围内植被覆盖程度为中覆盖程度，具体覆盖情况见附图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5-10</w:t>
      </w:r>
      <w:r>
        <w:rPr>
          <w:rFonts w:ascii="FangSong" w:hAnsi="FangSong" w:eastAsia="FangSong" w:cs="FangSong"/>
          <w:sz w:val="24"/>
          <w:szCs w:val="24"/>
          <w:spacing w:val="-4"/>
        </w:rPr>
        <w:t>，永</w:t>
      </w:r>
      <w:r>
        <w:rPr>
          <w:rFonts w:ascii="FangSong" w:hAnsi="FangSong" w:eastAsia="FangSong" w:cs="FangSong"/>
          <w:sz w:val="24"/>
          <w:szCs w:val="24"/>
          <w:spacing w:val="-5"/>
        </w:rPr>
        <w:t>久占</w:t>
      </w:r>
      <w:r>
        <w:rPr>
          <w:rFonts w:ascii="FangSong" w:hAnsi="FangSong" w:eastAsia="FangSong" w:cs="FangSong"/>
          <w:sz w:val="24"/>
          <w:szCs w:val="24"/>
          <w:spacing w:val="-2"/>
        </w:rPr>
        <w:t>地范围内覆盖程度面积遥感统计见表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5.6-16</w:t>
      </w:r>
      <w:r>
        <w:rPr>
          <w:rFonts w:ascii="FangSong" w:hAnsi="FangSong" w:eastAsia="FangSong" w:cs="FangSong"/>
          <w:sz w:val="24"/>
          <w:szCs w:val="24"/>
          <w:spacing w:val="-2"/>
        </w:rPr>
        <w:t>、矿界范围内覆盖程</w:t>
      </w:r>
      <w:r>
        <w:rPr>
          <w:rFonts w:ascii="FangSong" w:hAnsi="FangSong" w:eastAsia="FangSong" w:cs="FangSong"/>
          <w:sz w:val="24"/>
          <w:szCs w:val="24"/>
          <w:spacing w:val="-3"/>
        </w:rPr>
        <w:t>度面积遥感统计</w:t>
      </w:r>
      <w:r>
        <w:rPr>
          <w:rFonts w:ascii="FangSong" w:hAnsi="FangSong" w:eastAsia="FangSong" w:cs="FangSong"/>
          <w:sz w:val="24"/>
          <w:szCs w:val="24"/>
          <w:spacing w:val="-2"/>
        </w:rPr>
        <w:t>见表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5.6-17</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、调查范围内覆盖程度面积遥感</w:t>
      </w:r>
      <w:r>
        <w:rPr>
          <w:rFonts w:ascii="FangSong" w:hAnsi="FangSong" w:eastAsia="FangSong" w:cs="FangSong"/>
          <w:sz w:val="24"/>
          <w:szCs w:val="24"/>
          <w:spacing w:val="-3"/>
        </w:rPr>
        <w:t>统计见表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5.6-18</w:t>
      </w:r>
      <w:r>
        <w:rPr>
          <w:rFonts w:ascii="FangSong" w:hAnsi="FangSong" w:eastAsia="FangSong" w:cs="FangSong"/>
          <w:sz w:val="24"/>
          <w:szCs w:val="24"/>
          <w:spacing w:val="-3"/>
        </w:rPr>
        <w:t>。</w:t>
      </w:r>
    </w:p>
    <w:p>
      <w:pPr>
        <w:ind w:left="1109"/>
        <w:spacing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spacing w:val="-2"/>
        </w:rPr>
        <w:t>5.6-16  </w:t>
      </w:r>
      <w:r>
        <w:rPr>
          <w:rFonts w:ascii="FangSong" w:hAnsi="FangSong" w:eastAsia="FangSong" w:cs="FangSong"/>
          <w:sz w:val="24"/>
          <w:szCs w:val="24"/>
          <w:b/>
          <w:bCs/>
          <w:spacing w:val="-2"/>
        </w:rPr>
        <w:t>本项目永久占地范围内</w:t>
      </w:r>
      <w:r>
        <w:rPr>
          <w:rFonts w:ascii="FangSong" w:hAnsi="FangSong" w:eastAsia="FangSong" w:cs="FangSong"/>
          <w:sz w:val="24"/>
          <w:szCs w:val="24"/>
          <w:spacing w:val="-2"/>
        </w:rPr>
        <w:t>覆盖程度</w:t>
      </w:r>
      <w:r>
        <w:rPr>
          <w:rFonts w:ascii="FangSong" w:hAnsi="FangSong" w:eastAsia="FangSong" w:cs="FangSong"/>
          <w:sz w:val="24"/>
          <w:szCs w:val="24"/>
          <w:b/>
          <w:bCs/>
          <w:spacing w:val="-2"/>
        </w:rPr>
        <w:t>面积遥感统计见表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16" w:hRule="atLeast"/>
        </w:trPr>
        <w:tc>
          <w:tcPr>
            <w:tcW w:w="1625" w:type="dxa"/>
            <w:vAlign w:val="top"/>
            <w:tcBorders>
              <w:left w:val="nil"/>
              <w:top w:val="single" w:color="000000" w:sz="10" w:space="0"/>
            </w:tcBorders>
          </w:tcPr>
          <w:p>
            <w:pPr>
              <w:pStyle w:val="TableText"/>
              <w:ind w:left="616"/>
              <w:spacing w:before="55" w:line="231" w:lineRule="auto"/>
              <w:rPr/>
            </w:pPr>
            <w:r>
              <w:rPr>
                <w:spacing w:val="2"/>
              </w:rPr>
              <w:t>序号</w:t>
            </w:r>
          </w:p>
        </w:tc>
        <w:tc>
          <w:tcPr>
            <w:tcW w:w="2635" w:type="dxa"/>
            <w:vAlign w:val="top"/>
            <w:tcBorders>
              <w:top w:val="single" w:color="000000" w:sz="10" w:space="0"/>
            </w:tcBorders>
          </w:tcPr>
          <w:p>
            <w:pPr>
              <w:pStyle w:val="TableText"/>
              <w:ind w:left="908"/>
              <w:spacing w:before="55" w:line="231" w:lineRule="auto"/>
              <w:rPr/>
            </w:pPr>
            <w:r>
              <w:rPr>
                <w:spacing w:val="6"/>
              </w:rPr>
              <w:t>植被类型</w:t>
            </w:r>
          </w:p>
        </w:tc>
        <w:tc>
          <w:tcPr>
            <w:tcW w:w="2131" w:type="dxa"/>
            <w:vAlign w:val="top"/>
            <w:tcBorders>
              <w:top w:val="single" w:color="000000" w:sz="10" w:space="0"/>
            </w:tcBorders>
          </w:tcPr>
          <w:p>
            <w:pPr>
              <w:pStyle w:val="TableText"/>
              <w:ind w:left="493"/>
              <w:spacing w:before="55" w:line="231"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1" w:lineRule="auto"/>
              <w:rPr/>
            </w:pPr>
            <w:r>
              <w:rPr/>
              <w:t>比例（</w:t>
            </w:r>
            <w:r>
              <w:rPr>
                <w:rFonts w:ascii="Times New Roman" w:hAnsi="Times New Roman" w:eastAsia="Times New Roman" w:cs="Times New Roman"/>
              </w:rPr>
              <w:t>%</w:t>
            </w:r>
            <w:r>
              <w:rPr/>
              <w:t>）</w:t>
            </w:r>
          </w:p>
        </w:tc>
      </w:tr>
      <w:tr>
        <w:trPr>
          <w:trHeight w:val="312" w:hRule="atLeast"/>
        </w:trPr>
        <w:tc>
          <w:tcPr>
            <w:tcW w:w="1625" w:type="dxa"/>
            <w:vAlign w:val="top"/>
            <w:tcBorders>
              <w:left w:val="nil"/>
            </w:tcBorders>
          </w:tcPr>
          <w:p>
            <w:pPr>
              <w:ind w:left="785"/>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522"/>
              <w:spacing w:before="56" w:line="227" w:lineRule="auto"/>
              <w:rPr>
                <w:rFonts w:ascii="Times New Roman" w:hAnsi="Times New Roman" w:eastAsia="Times New Roman" w:cs="Times New Roman"/>
              </w:rPr>
            </w:pPr>
            <w:r>
              <w:rPr>
                <w:spacing w:val="6"/>
              </w:rPr>
              <w:t>低覆盖度：</w:t>
            </w:r>
            <w:r>
              <w:rPr>
                <w:rFonts w:ascii="Times New Roman" w:hAnsi="Times New Roman" w:eastAsia="Times New Roman" w:cs="Times New Roman"/>
                <w:spacing w:val="6"/>
              </w:rPr>
              <w:t>0-10%</w:t>
            </w:r>
          </w:p>
        </w:tc>
        <w:tc>
          <w:tcPr>
            <w:tcW w:w="2131" w:type="dxa"/>
            <w:vAlign w:val="top"/>
          </w:tcPr>
          <w:p>
            <w:pPr>
              <w:ind w:left="78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0.4760</w:t>
            </w:r>
          </w:p>
        </w:tc>
        <w:tc>
          <w:tcPr>
            <w:tcW w:w="2131" w:type="dxa"/>
            <w:vAlign w:val="top"/>
            <w:tcBorders>
              <w:right w:val="nil"/>
            </w:tcBorders>
          </w:tcPr>
          <w:p>
            <w:pPr>
              <w:ind w:left="88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6.59</w:t>
            </w:r>
          </w:p>
        </w:tc>
      </w:tr>
      <w:tr>
        <w:trPr>
          <w:trHeight w:val="312" w:hRule="atLeast"/>
        </w:trPr>
        <w:tc>
          <w:tcPr>
            <w:tcW w:w="1625" w:type="dxa"/>
            <w:vAlign w:val="top"/>
            <w:tcBorders>
              <w:left w:val="nil"/>
            </w:tcBorders>
          </w:tcPr>
          <w:p>
            <w:pPr>
              <w:ind w:left="76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410"/>
              <w:spacing w:before="63" w:line="220" w:lineRule="auto"/>
              <w:rPr>
                <w:rFonts w:ascii="Times New Roman" w:hAnsi="Times New Roman" w:eastAsia="Times New Roman" w:cs="Times New Roman"/>
              </w:rPr>
            </w:pPr>
            <w:r>
              <w:rPr>
                <w:spacing w:val="4"/>
              </w:rPr>
              <w:t>中覆盖度：</w:t>
            </w:r>
            <w:r>
              <w:rPr>
                <w:rFonts w:ascii="Times New Roman" w:hAnsi="Times New Roman" w:eastAsia="Times New Roman" w:cs="Times New Roman"/>
                <w:spacing w:val="4"/>
              </w:rPr>
              <w:t>10%-30%</w:t>
            </w:r>
          </w:p>
        </w:tc>
        <w:tc>
          <w:tcPr>
            <w:tcW w:w="2131" w:type="dxa"/>
            <w:vAlign w:val="top"/>
          </w:tcPr>
          <w:p>
            <w:pPr>
              <w:ind w:left="78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5.2266</w:t>
            </w:r>
          </w:p>
        </w:tc>
        <w:tc>
          <w:tcPr>
            <w:tcW w:w="2131" w:type="dxa"/>
            <w:vAlign w:val="top"/>
            <w:tcBorders>
              <w:right w:val="nil"/>
            </w:tcBorders>
          </w:tcPr>
          <w:p>
            <w:pPr>
              <w:ind w:left="833"/>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72.39</w:t>
            </w:r>
          </w:p>
        </w:tc>
      </w:tr>
      <w:tr>
        <w:trPr>
          <w:trHeight w:val="312" w:hRule="atLeast"/>
        </w:trPr>
        <w:tc>
          <w:tcPr>
            <w:tcW w:w="1625" w:type="dxa"/>
            <w:vAlign w:val="top"/>
            <w:tcBorders>
              <w:left w:val="nil"/>
            </w:tcBorders>
          </w:tcPr>
          <w:p>
            <w:pPr>
              <w:ind w:left="76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304"/>
              <w:spacing w:before="68" w:line="216" w:lineRule="auto"/>
              <w:rPr>
                <w:rFonts w:ascii="Times New Roman" w:hAnsi="Times New Roman" w:eastAsia="Times New Roman" w:cs="Times New Roman"/>
              </w:rPr>
            </w:pPr>
            <w:r>
              <w:rPr>
                <w:spacing w:val="4"/>
              </w:rPr>
              <w:t>中高覆盖度：</w:t>
            </w:r>
            <w:r>
              <w:rPr>
                <w:rFonts w:ascii="Times New Roman" w:hAnsi="Times New Roman" w:eastAsia="Times New Roman" w:cs="Times New Roman"/>
                <w:spacing w:val="4"/>
              </w:rPr>
              <w:t>30%-50%</w:t>
            </w:r>
          </w:p>
        </w:tc>
        <w:tc>
          <w:tcPr>
            <w:tcW w:w="2131" w:type="dxa"/>
            <w:vAlign w:val="top"/>
          </w:tcPr>
          <w:p>
            <w:pPr>
              <w:ind w:left="797"/>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1.5177</w:t>
            </w:r>
          </w:p>
        </w:tc>
        <w:tc>
          <w:tcPr>
            <w:tcW w:w="2131" w:type="dxa"/>
            <w:vAlign w:val="top"/>
            <w:tcBorders>
              <w:right w:val="nil"/>
            </w:tcBorders>
          </w:tcPr>
          <w:p>
            <w:pPr>
              <w:ind w:left="83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21.02</w:t>
            </w:r>
          </w:p>
        </w:tc>
      </w:tr>
      <w:tr>
        <w:trPr>
          <w:trHeight w:val="336" w:hRule="atLeast"/>
        </w:trPr>
        <w:tc>
          <w:tcPr>
            <w:tcW w:w="4260" w:type="dxa"/>
            <w:vAlign w:val="top"/>
            <w:gridSpan w:val="2"/>
            <w:tcBorders>
              <w:left w:val="nil"/>
              <w:bottom w:val="single" w:color="000000" w:sz="10" w:space="0"/>
            </w:tcBorders>
          </w:tcPr>
          <w:p>
            <w:pPr>
              <w:pStyle w:val="TableText"/>
              <w:ind w:left="1939"/>
              <w:spacing w:before="72" w:line="231" w:lineRule="auto"/>
              <w:rPr/>
            </w:pPr>
            <w:r>
              <w:rPr>
                <w:spacing w:val="-1"/>
              </w:rPr>
              <w:t>合计</w:t>
            </w:r>
          </w:p>
        </w:tc>
        <w:tc>
          <w:tcPr>
            <w:tcW w:w="2131" w:type="dxa"/>
            <w:vAlign w:val="top"/>
            <w:tcBorders>
              <w:bottom w:val="single" w:color="000000" w:sz="10" w:space="0"/>
            </w:tcBorders>
          </w:tcPr>
          <w:p>
            <w:pPr>
              <w:ind w:left="780"/>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7.2203</w:t>
            </w:r>
          </w:p>
        </w:tc>
        <w:tc>
          <w:tcPr>
            <w:tcW w:w="2131" w:type="dxa"/>
            <w:vAlign w:val="top"/>
            <w:tcBorders>
              <w:right w:val="nil"/>
              <w:bottom w:val="single" w:color="000000" w:sz="10" w:space="0"/>
            </w:tcBorders>
          </w:tcPr>
          <w:p>
            <w:pPr>
              <w:ind w:left="797"/>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2" w:lineRule="auto"/>
        <w:rPr/>
      </w:pPr>
      <w:r/>
    </w:p>
    <w:p>
      <w:pPr>
        <w:ind w:left="1349"/>
        <w:spacing w:before="79"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spacing w:val="-2"/>
        </w:rPr>
        <w:t>5.6-17  </w:t>
      </w:r>
      <w:r>
        <w:rPr>
          <w:rFonts w:ascii="FangSong" w:hAnsi="FangSong" w:eastAsia="FangSong" w:cs="FangSong"/>
          <w:sz w:val="24"/>
          <w:szCs w:val="24"/>
          <w:b/>
          <w:bCs/>
          <w:spacing w:val="-2"/>
        </w:rPr>
        <w:t>本项目矿界范围内</w:t>
      </w:r>
      <w:r>
        <w:rPr>
          <w:rFonts w:ascii="FangSong" w:hAnsi="FangSong" w:eastAsia="FangSong" w:cs="FangSong"/>
          <w:sz w:val="24"/>
          <w:szCs w:val="24"/>
          <w:spacing w:val="-2"/>
        </w:rPr>
        <w:t>覆盖程度</w:t>
      </w:r>
      <w:r>
        <w:rPr>
          <w:rFonts w:ascii="FangSong" w:hAnsi="FangSong" w:eastAsia="FangSong" w:cs="FangSong"/>
          <w:sz w:val="24"/>
          <w:szCs w:val="24"/>
          <w:b/>
          <w:bCs/>
          <w:spacing w:val="-2"/>
        </w:rPr>
        <w:t>面积遥感统计见表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20" w:hRule="atLeast"/>
        </w:trPr>
        <w:tc>
          <w:tcPr>
            <w:tcW w:w="1625" w:type="dxa"/>
            <w:vAlign w:val="top"/>
            <w:tcBorders>
              <w:left w:val="nil"/>
              <w:top w:val="single" w:color="000000" w:sz="10" w:space="0"/>
            </w:tcBorders>
          </w:tcPr>
          <w:p>
            <w:pPr>
              <w:pStyle w:val="TableText"/>
              <w:ind w:left="616"/>
              <w:spacing w:before="56" w:line="231" w:lineRule="auto"/>
              <w:rPr/>
            </w:pPr>
            <w:r>
              <w:rPr>
                <w:spacing w:val="2"/>
              </w:rPr>
              <w:t>序号</w:t>
            </w:r>
          </w:p>
        </w:tc>
        <w:tc>
          <w:tcPr>
            <w:tcW w:w="2635" w:type="dxa"/>
            <w:vAlign w:val="top"/>
            <w:tcBorders>
              <w:top w:val="single" w:color="000000" w:sz="10" w:space="0"/>
            </w:tcBorders>
          </w:tcPr>
          <w:p>
            <w:pPr>
              <w:pStyle w:val="TableText"/>
              <w:ind w:left="908"/>
              <w:spacing w:before="56" w:line="231" w:lineRule="auto"/>
              <w:rPr/>
            </w:pPr>
            <w:r>
              <w:rPr>
                <w:spacing w:val="6"/>
              </w:rPr>
              <w:t>植被类型</w:t>
            </w:r>
          </w:p>
        </w:tc>
        <w:tc>
          <w:tcPr>
            <w:tcW w:w="2131"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2" w:lineRule="auto"/>
              <w:rPr/>
            </w:pPr>
            <w:r>
              <w:rPr/>
              <w:t>比例（</w:t>
            </w:r>
            <w:r>
              <w:rPr>
                <w:rFonts w:ascii="Times New Roman" w:hAnsi="Times New Roman" w:eastAsia="Times New Roman" w:cs="Times New Roman"/>
              </w:rPr>
              <w:t>%</w:t>
            </w:r>
            <w:r>
              <w:rPr/>
              <w:t>）</w:t>
            </w:r>
          </w:p>
        </w:tc>
      </w:tr>
      <w:tr>
        <w:trPr>
          <w:trHeight w:val="316" w:hRule="atLeast"/>
        </w:trPr>
        <w:tc>
          <w:tcPr>
            <w:tcW w:w="1625" w:type="dxa"/>
            <w:vAlign w:val="top"/>
            <w:tcBorders>
              <w:left w:val="nil"/>
            </w:tcBorders>
          </w:tcPr>
          <w:p>
            <w:pPr>
              <w:ind w:left="78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522"/>
              <w:spacing w:before="52" w:line="232" w:lineRule="auto"/>
              <w:rPr>
                <w:rFonts w:ascii="Times New Roman" w:hAnsi="Times New Roman" w:eastAsia="Times New Roman" w:cs="Times New Roman"/>
              </w:rPr>
            </w:pPr>
            <w:r>
              <w:rPr>
                <w:spacing w:val="6"/>
              </w:rPr>
              <w:t>低覆盖度：</w:t>
            </w:r>
            <w:r>
              <w:rPr>
                <w:rFonts w:ascii="Times New Roman" w:hAnsi="Times New Roman" w:eastAsia="Times New Roman" w:cs="Times New Roman"/>
                <w:spacing w:val="6"/>
              </w:rPr>
              <w:t>0-10%</w:t>
            </w:r>
          </w:p>
        </w:tc>
        <w:tc>
          <w:tcPr>
            <w:tcW w:w="2131" w:type="dxa"/>
            <w:vAlign w:val="top"/>
          </w:tcPr>
          <w:p>
            <w:pPr>
              <w:ind w:left="777"/>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205.51</w:t>
            </w:r>
          </w:p>
        </w:tc>
        <w:tc>
          <w:tcPr>
            <w:tcW w:w="2131" w:type="dxa"/>
            <w:vAlign w:val="top"/>
            <w:tcBorders>
              <w:right w:val="nil"/>
            </w:tcBorders>
          </w:tcPr>
          <w:p>
            <w:pPr>
              <w:ind w:left="850"/>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18.39</w:t>
            </w:r>
          </w:p>
        </w:tc>
      </w:tr>
      <w:tr>
        <w:trPr>
          <w:trHeight w:val="316" w:hRule="atLeast"/>
        </w:trPr>
        <w:tc>
          <w:tcPr>
            <w:tcW w:w="1625" w:type="dxa"/>
            <w:vAlign w:val="top"/>
            <w:tcBorders>
              <w:left w:val="nil"/>
            </w:tcBorders>
          </w:tcPr>
          <w:p>
            <w:pPr>
              <w:ind w:left="76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410"/>
              <w:spacing w:before="53" w:line="231" w:lineRule="auto"/>
              <w:rPr>
                <w:rFonts w:ascii="Times New Roman" w:hAnsi="Times New Roman" w:eastAsia="Times New Roman" w:cs="Times New Roman"/>
              </w:rPr>
            </w:pPr>
            <w:r>
              <w:rPr>
                <w:spacing w:val="4"/>
              </w:rPr>
              <w:t>中覆盖度：</w:t>
            </w:r>
            <w:r>
              <w:rPr>
                <w:rFonts w:ascii="Times New Roman" w:hAnsi="Times New Roman" w:eastAsia="Times New Roman" w:cs="Times New Roman"/>
                <w:spacing w:val="4"/>
              </w:rPr>
              <w:t>10%-30%</w:t>
            </w:r>
          </w:p>
        </w:tc>
        <w:tc>
          <w:tcPr>
            <w:tcW w:w="2131" w:type="dxa"/>
            <w:vAlign w:val="top"/>
          </w:tcPr>
          <w:p>
            <w:pPr>
              <w:ind w:left="78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764.88</w:t>
            </w:r>
          </w:p>
        </w:tc>
        <w:tc>
          <w:tcPr>
            <w:tcW w:w="2131" w:type="dxa"/>
            <w:vAlign w:val="top"/>
            <w:tcBorders>
              <w:right w:val="nil"/>
            </w:tcBorders>
          </w:tcPr>
          <w:p>
            <w:pPr>
              <w:ind w:left="834"/>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68.43</w:t>
            </w:r>
          </w:p>
        </w:tc>
      </w:tr>
      <w:tr>
        <w:trPr>
          <w:trHeight w:val="316" w:hRule="atLeast"/>
        </w:trPr>
        <w:tc>
          <w:tcPr>
            <w:tcW w:w="1625" w:type="dxa"/>
            <w:vAlign w:val="top"/>
            <w:tcBorders>
              <w:left w:val="nil"/>
            </w:tcBorders>
          </w:tcPr>
          <w:p>
            <w:pPr>
              <w:ind w:left="76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304"/>
              <w:spacing w:before="54" w:line="231" w:lineRule="auto"/>
              <w:rPr>
                <w:rFonts w:ascii="Times New Roman" w:hAnsi="Times New Roman" w:eastAsia="Times New Roman" w:cs="Times New Roman"/>
              </w:rPr>
            </w:pPr>
            <w:r>
              <w:rPr>
                <w:spacing w:val="4"/>
              </w:rPr>
              <w:t>中高覆盖度：</w:t>
            </w:r>
            <w:r>
              <w:rPr>
                <w:rFonts w:ascii="Times New Roman" w:hAnsi="Times New Roman" w:eastAsia="Times New Roman" w:cs="Times New Roman"/>
                <w:spacing w:val="4"/>
              </w:rPr>
              <w:t>30%-50%</w:t>
            </w:r>
          </w:p>
        </w:tc>
        <w:tc>
          <w:tcPr>
            <w:tcW w:w="2131" w:type="dxa"/>
            <w:vAlign w:val="top"/>
          </w:tcPr>
          <w:p>
            <w:pPr>
              <w:ind w:left="797"/>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128.09</w:t>
            </w:r>
          </w:p>
        </w:tc>
        <w:tc>
          <w:tcPr>
            <w:tcW w:w="2131" w:type="dxa"/>
            <w:vAlign w:val="top"/>
            <w:tcBorders>
              <w:right w:val="nil"/>
            </w:tcBorders>
          </w:tcPr>
          <w:p>
            <w:pPr>
              <w:ind w:left="85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11.46</w:t>
            </w:r>
          </w:p>
        </w:tc>
      </w:tr>
      <w:tr>
        <w:trPr>
          <w:trHeight w:val="319" w:hRule="atLeast"/>
        </w:trPr>
        <w:tc>
          <w:tcPr>
            <w:tcW w:w="1625" w:type="dxa"/>
            <w:vAlign w:val="top"/>
            <w:tcBorders>
              <w:left w:val="nil"/>
            </w:tcBorders>
          </w:tcPr>
          <w:p>
            <w:pPr>
              <w:ind w:left="764"/>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35" w:type="dxa"/>
            <w:vAlign w:val="top"/>
          </w:tcPr>
          <w:p>
            <w:pPr>
              <w:pStyle w:val="TableText"/>
              <w:ind w:left="557"/>
              <w:spacing w:before="56" w:line="232" w:lineRule="auto"/>
              <w:rPr>
                <w:rFonts w:ascii="Times New Roman" w:hAnsi="Times New Roman" w:eastAsia="Times New Roman" w:cs="Times New Roman"/>
              </w:rPr>
            </w:pPr>
            <w:r>
              <w:rPr>
                <w:spacing w:val="6"/>
              </w:rPr>
              <w:t>高覆盖度：</w:t>
            </w:r>
            <w:r>
              <w:rPr>
                <w:rFonts w:ascii="Times New Roman" w:hAnsi="Times New Roman" w:eastAsia="Times New Roman" w:cs="Times New Roman"/>
                <w:spacing w:val="6"/>
              </w:rPr>
              <w:t>&gt;50%</w:t>
            </w:r>
          </w:p>
        </w:tc>
        <w:tc>
          <w:tcPr>
            <w:tcW w:w="2131" w:type="dxa"/>
            <w:vAlign w:val="top"/>
          </w:tcPr>
          <w:p>
            <w:pPr>
              <w:ind w:left="84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19.28</w:t>
            </w:r>
          </w:p>
        </w:tc>
        <w:tc>
          <w:tcPr>
            <w:tcW w:w="2131" w:type="dxa"/>
            <w:vAlign w:val="top"/>
            <w:tcBorders>
              <w:right w:val="nil"/>
            </w:tcBorders>
          </w:tcPr>
          <w:p>
            <w:pPr>
              <w:ind w:left="902"/>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1.72</w:t>
            </w:r>
          </w:p>
        </w:tc>
      </w:tr>
    </w:tbl>
    <w:p>
      <w:pPr>
        <w:pStyle w:val="BodyText"/>
        <w:spacing w:line="196" w:lineRule="exact"/>
        <w:rPr>
          <w:sz w:val="17"/>
        </w:rPr>
      </w:pPr>
      <w:r/>
    </w:p>
    <w:p>
      <w:pPr>
        <w:spacing w:line="196" w:lineRule="exact"/>
        <w:sectPr>
          <w:footerReference w:type="default" r:id="rId264"/>
          <w:pgSz w:w="11906" w:h="16839"/>
          <w:pgMar w:top="400" w:right="1691" w:bottom="1358" w:left="1691" w:header="0" w:footer="1195" w:gutter="0"/>
        </w:sectPr>
        <w:rPr>
          <w:sz w:val="17"/>
          <w:szCs w:val="17"/>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60"/>
        <w:gridCol w:w="2131"/>
        <w:gridCol w:w="2131"/>
      </w:tblGrid>
      <w:tr>
        <w:trPr>
          <w:trHeight w:val="320" w:hRule="atLeast"/>
        </w:trPr>
        <w:tc>
          <w:tcPr>
            <w:tcW w:w="4260" w:type="dxa"/>
            <w:vAlign w:val="top"/>
            <w:tcBorders>
              <w:bottom w:val="single" w:color="000000" w:sz="10" w:space="0"/>
              <w:left w:val="nil"/>
            </w:tcBorders>
          </w:tcPr>
          <w:p>
            <w:pPr>
              <w:pStyle w:val="TableText"/>
              <w:ind w:left="1939"/>
              <w:spacing w:before="56" w:line="231" w:lineRule="auto"/>
              <w:rPr/>
            </w:pPr>
            <w:bookmarkStart w:name="bookmark587" w:id="357"/>
            <w:bookmarkEnd w:id="357"/>
            <w:r>
              <w:rPr>
                <w:spacing w:val="-1"/>
              </w:rPr>
              <w:t>合计</w:t>
            </w:r>
          </w:p>
        </w:tc>
        <w:tc>
          <w:tcPr>
            <w:tcW w:w="2131" w:type="dxa"/>
            <w:vAlign w:val="top"/>
            <w:tcBorders>
              <w:bottom w:val="single" w:color="000000" w:sz="10" w:space="0"/>
            </w:tcBorders>
          </w:tcPr>
          <w:p>
            <w:pPr>
              <w:ind w:left="75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1117.76</w:t>
            </w:r>
          </w:p>
        </w:tc>
        <w:tc>
          <w:tcPr>
            <w:tcW w:w="2131" w:type="dxa"/>
            <w:vAlign w:val="top"/>
            <w:tcBorders>
              <w:bottom w:val="single" w:color="000000" w:sz="10" w:space="0"/>
              <w:right w:val="nil"/>
            </w:tcBorders>
          </w:tcPr>
          <w:p>
            <w:pPr>
              <w:ind w:left="79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2" w:lineRule="auto"/>
        <w:rPr/>
      </w:pPr>
      <w:r/>
    </w:p>
    <w:p>
      <w:pPr>
        <w:ind w:left="1349"/>
        <w:spacing w:before="78"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spacing w:val="-2"/>
        </w:rPr>
        <w:t>5.6-18  </w:t>
      </w:r>
      <w:r>
        <w:rPr>
          <w:rFonts w:ascii="FangSong" w:hAnsi="FangSong" w:eastAsia="FangSong" w:cs="FangSong"/>
          <w:sz w:val="24"/>
          <w:szCs w:val="24"/>
          <w:b/>
          <w:bCs/>
          <w:spacing w:val="-2"/>
        </w:rPr>
        <w:t>本项目调查范围内</w:t>
      </w:r>
      <w:r>
        <w:rPr>
          <w:rFonts w:ascii="FangSong" w:hAnsi="FangSong" w:eastAsia="FangSong" w:cs="FangSong"/>
          <w:sz w:val="24"/>
          <w:szCs w:val="24"/>
          <w:spacing w:val="-2"/>
        </w:rPr>
        <w:t>覆盖程度</w:t>
      </w:r>
      <w:r>
        <w:rPr>
          <w:rFonts w:ascii="FangSong" w:hAnsi="FangSong" w:eastAsia="FangSong" w:cs="FangSong"/>
          <w:sz w:val="24"/>
          <w:szCs w:val="24"/>
          <w:b/>
          <w:bCs/>
          <w:spacing w:val="-2"/>
        </w:rPr>
        <w:t>面积遥感统计见表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7"/>
        <w:gridCol w:w="2643"/>
        <w:gridCol w:w="2131"/>
        <w:gridCol w:w="2131"/>
      </w:tblGrid>
      <w:tr>
        <w:trPr>
          <w:trHeight w:val="317" w:hRule="atLeast"/>
        </w:trPr>
        <w:tc>
          <w:tcPr>
            <w:tcW w:w="1617" w:type="dxa"/>
            <w:vAlign w:val="top"/>
            <w:tcBorders>
              <w:left w:val="nil"/>
              <w:top w:val="single" w:color="000000" w:sz="10" w:space="0"/>
            </w:tcBorders>
          </w:tcPr>
          <w:p>
            <w:pPr>
              <w:pStyle w:val="TableText"/>
              <w:ind w:left="611"/>
              <w:spacing w:before="56" w:line="231" w:lineRule="auto"/>
              <w:rPr/>
            </w:pPr>
            <w:r>
              <w:rPr>
                <w:spacing w:val="2"/>
              </w:rPr>
              <w:t>序号</w:t>
            </w:r>
          </w:p>
        </w:tc>
        <w:tc>
          <w:tcPr>
            <w:tcW w:w="2643" w:type="dxa"/>
            <w:vAlign w:val="top"/>
            <w:tcBorders>
              <w:top w:val="single" w:color="000000" w:sz="10" w:space="0"/>
            </w:tcBorders>
          </w:tcPr>
          <w:p>
            <w:pPr>
              <w:pStyle w:val="TableText"/>
              <w:ind w:left="911"/>
              <w:spacing w:before="56" w:line="231" w:lineRule="auto"/>
              <w:rPr/>
            </w:pPr>
            <w:r>
              <w:rPr>
                <w:spacing w:val="6"/>
              </w:rPr>
              <w:t>植被类型</w:t>
            </w:r>
          </w:p>
        </w:tc>
        <w:tc>
          <w:tcPr>
            <w:tcW w:w="2131" w:type="dxa"/>
            <w:vAlign w:val="top"/>
            <w:tcBorders>
              <w:top w:val="single" w:color="000000" w:sz="10" w:space="0"/>
            </w:tcBorders>
          </w:tcPr>
          <w:p>
            <w:pPr>
              <w:pStyle w:val="TableText"/>
              <w:ind w:left="493"/>
              <w:spacing w:before="56" w:line="231"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6" w:line="231" w:lineRule="auto"/>
              <w:rPr/>
            </w:pPr>
            <w:r>
              <w:rPr/>
              <w:t>比例（</w:t>
            </w:r>
            <w:r>
              <w:rPr>
                <w:rFonts w:ascii="Times New Roman" w:hAnsi="Times New Roman" w:eastAsia="Times New Roman" w:cs="Times New Roman"/>
              </w:rPr>
              <w:t>%</w:t>
            </w:r>
            <w:r>
              <w:rPr/>
              <w:t>）</w:t>
            </w:r>
          </w:p>
        </w:tc>
      </w:tr>
      <w:tr>
        <w:trPr>
          <w:trHeight w:val="313" w:hRule="atLeast"/>
        </w:trPr>
        <w:tc>
          <w:tcPr>
            <w:tcW w:w="1617" w:type="dxa"/>
            <w:vAlign w:val="top"/>
            <w:tcBorders>
              <w:left w:val="nil"/>
            </w:tcBorders>
          </w:tcPr>
          <w:p>
            <w:pPr>
              <w:ind w:left="78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43" w:type="dxa"/>
            <w:vAlign w:val="top"/>
          </w:tcPr>
          <w:p>
            <w:pPr>
              <w:pStyle w:val="TableText"/>
              <w:ind w:left="527"/>
              <w:spacing w:before="56" w:line="228" w:lineRule="auto"/>
              <w:rPr>
                <w:rFonts w:ascii="Times New Roman" w:hAnsi="Times New Roman" w:eastAsia="Times New Roman" w:cs="Times New Roman"/>
              </w:rPr>
            </w:pPr>
            <w:r>
              <w:rPr>
                <w:spacing w:val="5"/>
              </w:rPr>
              <w:t>低覆盖度：</w:t>
            </w:r>
            <w:r>
              <w:rPr>
                <w:rFonts w:ascii="Times New Roman" w:hAnsi="Times New Roman" w:eastAsia="Times New Roman" w:cs="Times New Roman"/>
                <w:spacing w:val="5"/>
              </w:rPr>
              <w:t>0-10%</w:t>
            </w:r>
          </w:p>
        </w:tc>
        <w:tc>
          <w:tcPr>
            <w:tcW w:w="2131" w:type="dxa"/>
            <w:vAlign w:val="top"/>
          </w:tcPr>
          <w:p>
            <w:pPr>
              <w:ind w:left="726"/>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2420.43</w:t>
            </w:r>
          </w:p>
        </w:tc>
        <w:tc>
          <w:tcPr>
            <w:tcW w:w="2131" w:type="dxa"/>
            <w:vAlign w:val="top"/>
            <w:tcBorders>
              <w:right w:val="nil"/>
            </w:tcBorders>
          </w:tcPr>
          <w:p>
            <w:pPr>
              <w:ind w:left="834"/>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37.50</w:t>
            </w:r>
          </w:p>
        </w:tc>
      </w:tr>
      <w:tr>
        <w:trPr>
          <w:trHeight w:val="313" w:hRule="atLeast"/>
        </w:trPr>
        <w:tc>
          <w:tcPr>
            <w:tcW w:w="1617" w:type="dxa"/>
            <w:vAlign w:val="top"/>
            <w:tcBorders>
              <w:left w:val="nil"/>
            </w:tcBorders>
          </w:tcPr>
          <w:p>
            <w:pPr>
              <w:ind w:left="760"/>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43" w:type="dxa"/>
            <w:vAlign w:val="top"/>
          </w:tcPr>
          <w:p>
            <w:pPr>
              <w:pStyle w:val="TableText"/>
              <w:ind w:left="413"/>
              <w:spacing w:before="59" w:line="225" w:lineRule="auto"/>
              <w:rPr>
                <w:rFonts w:ascii="Times New Roman" w:hAnsi="Times New Roman" w:eastAsia="Times New Roman" w:cs="Times New Roman"/>
              </w:rPr>
            </w:pPr>
            <w:r>
              <w:rPr>
                <w:spacing w:val="4"/>
              </w:rPr>
              <w:t>中覆盖度：</w:t>
            </w:r>
            <w:r>
              <w:rPr>
                <w:rFonts w:ascii="Times New Roman" w:hAnsi="Times New Roman" w:eastAsia="Times New Roman" w:cs="Times New Roman"/>
                <w:spacing w:val="4"/>
              </w:rPr>
              <w:t>10%-30%</w:t>
            </w:r>
          </w:p>
        </w:tc>
        <w:tc>
          <w:tcPr>
            <w:tcW w:w="2131" w:type="dxa"/>
            <w:vAlign w:val="top"/>
          </w:tcPr>
          <w:p>
            <w:pPr>
              <w:ind w:left="730"/>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3398.70</w:t>
            </w:r>
          </w:p>
        </w:tc>
        <w:tc>
          <w:tcPr>
            <w:tcW w:w="2131" w:type="dxa"/>
            <w:vAlign w:val="top"/>
            <w:tcBorders>
              <w:right w:val="nil"/>
            </w:tcBorders>
          </w:tcPr>
          <w:p>
            <w:pPr>
              <w:ind w:left="835"/>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52.65</w:t>
            </w:r>
          </w:p>
        </w:tc>
      </w:tr>
      <w:tr>
        <w:trPr>
          <w:trHeight w:val="313" w:hRule="atLeast"/>
        </w:trPr>
        <w:tc>
          <w:tcPr>
            <w:tcW w:w="1617" w:type="dxa"/>
            <w:vAlign w:val="top"/>
            <w:tcBorders>
              <w:left w:val="nil"/>
            </w:tcBorders>
          </w:tcPr>
          <w:p>
            <w:pPr>
              <w:ind w:left="76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43" w:type="dxa"/>
            <w:vAlign w:val="top"/>
          </w:tcPr>
          <w:p>
            <w:pPr>
              <w:pStyle w:val="TableText"/>
              <w:ind w:left="310"/>
              <w:spacing w:before="63" w:line="221" w:lineRule="auto"/>
              <w:rPr>
                <w:rFonts w:ascii="Times New Roman" w:hAnsi="Times New Roman" w:eastAsia="Times New Roman" w:cs="Times New Roman"/>
              </w:rPr>
            </w:pPr>
            <w:r>
              <w:rPr>
                <w:spacing w:val="4"/>
              </w:rPr>
              <w:t>中高覆盖度：</w:t>
            </w:r>
            <w:r>
              <w:rPr>
                <w:rFonts w:ascii="Times New Roman" w:hAnsi="Times New Roman" w:eastAsia="Times New Roman" w:cs="Times New Roman"/>
                <w:spacing w:val="4"/>
              </w:rPr>
              <w:t>30%-50%</w:t>
            </w:r>
          </w:p>
        </w:tc>
        <w:tc>
          <w:tcPr>
            <w:tcW w:w="2131" w:type="dxa"/>
            <w:vAlign w:val="top"/>
          </w:tcPr>
          <w:p>
            <w:pPr>
              <w:ind w:left="78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571.87</w:t>
            </w:r>
          </w:p>
        </w:tc>
        <w:tc>
          <w:tcPr>
            <w:tcW w:w="2131" w:type="dxa"/>
            <w:vAlign w:val="top"/>
            <w:tcBorders>
              <w:right w:val="nil"/>
            </w:tcBorders>
          </w:tcPr>
          <w:p>
            <w:pPr>
              <w:ind w:left="891"/>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8.86</w:t>
            </w:r>
          </w:p>
        </w:tc>
      </w:tr>
      <w:tr>
        <w:trPr>
          <w:trHeight w:val="313" w:hRule="atLeast"/>
        </w:trPr>
        <w:tc>
          <w:tcPr>
            <w:tcW w:w="1617" w:type="dxa"/>
            <w:vAlign w:val="top"/>
            <w:tcBorders>
              <w:left w:val="nil"/>
            </w:tcBorders>
          </w:tcPr>
          <w:p>
            <w:pPr>
              <w:ind w:left="75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43" w:type="dxa"/>
            <w:vAlign w:val="top"/>
          </w:tcPr>
          <w:p>
            <w:pPr>
              <w:pStyle w:val="TableText"/>
              <w:ind w:left="563"/>
              <w:spacing w:before="69" w:line="216" w:lineRule="auto"/>
              <w:rPr>
                <w:rFonts w:ascii="Times New Roman" w:hAnsi="Times New Roman" w:eastAsia="Times New Roman" w:cs="Times New Roman"/>
              </w:rPr>
            </w:pPr>
            <w:r>
              <w:rPr>
                <w:spacing w:val="5"/>
              </w:rPr>
              <w:t>高覆盖度：</w:t>
            </w:r>
            <w:r>
              <w:rPr>
                <w:rFonts w:ascii="Times New Roman" w:hAnsi="Times New Roman" w:eastAsia="Times New Roman" w:cs="Times New Roman"/>
                <w:spacing w:val="5"/>
              </w:rPr>
              <w:t>&gt;50%</w:t>
            </w:r>
          </w:p>
        </w:tc>
        <w:tc>
          <w:tcPr>
            <w:tcW w:w="2131" w:type="dxa"/>
            <w:vAlign w:val="top"/>
          </w:tcPr>
          <w:p>
            <w:pPr>
              <w:ind w:left="83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64.13</w:t>
            </w:r>
          </w:p>
        </w:tc>
        <w:tc>
          <w:tcPr>
            <w:tcW w:w="2131" w:type="dxa"/>
            <w:vAlign w:val="top"/>
            <w:tcBorders>
              <w:right w:val="nil"/>
            </w:tcBorders>
          </w:tcPr>
          <w:p>
            <w:pPr>
              <w:ind w:left="88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0.99</w:t>
            </w:r>
          </w:p>
        </w:tc>
      </w:tr>
      <w:tr>
        <w:trPr>
          <w:trHeight w:val="336" w:hRule="atLeast"/>
        </w:trPr>
        <w:tc>
          <w:tcPr>
            <w:tcW w:w="4260" w:type="dxa"/>
            <w:vAlign w:val="top"/>
            <w:gridSpan w:val="2"/>
            <w:tcBorders>
              <w:left w:val="nil"/>
              <w:bottom w:val="single" w:color="000000" w:sz="10" w:space="0"/>
            </w:tcBorders>
          </w:tcPr>
          <w:p>
            <w:pPr>
              <w:pStyle w:val="TableText"/>
              <w:ind w:left="1939"/>
              <w:spacing w:before="72" w:line="231" w:lineRule="auto"/>
              <w:rPr/>
            </w:pPr>
            <w:r>
              <w:rPr>
                <w:spacing w:val="-1"/>
              </w:rPr>
              <w:t>合计</w:t>
            </w:r>
          </w:p>
        </w:tc>
        <w:tc>
          <w:tcPr>
            <w:tcW w:w="2131" w:type="dxa"/>
            <w:vAlign w:val="top"/>
            <w:tcBorders>
              <w:bottom w:val="single" w:color="000000" w:sz="10" w:space="0"/>
            </w:tcBorders>
          </w:tcPr>
          <w:p>
            <w:pPr>
              <w:ind w:left="73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6455.13</w:t>
            </w:r>
          </w:p>
        </w:tc>
        <w:tc>
          <w:tcPr>
            <w:tcW w:w="2131" w:type="dxa"/>
            <w:vAlign w:val="top"/>
            <w:tcBorders>
              <w:right w:val="nil"/>
              <w:bottom w:val="single" w:color="000000" w:sz="10" w:space="0"/>
            </w:tcBorders>
          </w:tcPr>
          <w:p>
            <w:pPr>
              <w:ind w:left="797"/>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2"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5.6.5.6  </w:t>
      </w:r>
      <w:r>
        <w:rPr>
          <w:rFonts w:ascii="FangSong" w:hAnsi="FangSong" w:eastAsia="FangSong" w:cs="FangSong"/>
          <w:sz w:val="24"/>
          <w:szCs w:val="24"/>
          <w:b/>
          <w:bCs/>
          <w:spacing w:val="-2"/>
        </w:rPr>
        <w:t>调查范围植被现状评价</w:t>
      </w:r>
    </w:p>
    <w:p>
      <w:pPr>
        <w:ind w:left="119" w:right="107" w:firstLine="487"/>
        <w:spacing w:before="178" w:line="360" w:lineRule="auto"/>
        <w:jc w:val="both"/>
        <w:rPr>
          <w:rFonts w:ascii="FangSong" w:hAnsi="FangSong" w:eastAsia="FangSong" w:cs="FangSong"/>
          <w:sz w:val="24"/>
          <w:szCs w:val="24"/>
        </w:rPr>
      </w:pPr>
      <w:r>
        <w:rPr>
          <w:rFonts w:ascii="FangSong" w:hAnsi="FangSong" w:eastAsia="FangSong" w:cs="FangSong"/>
          <w:sz w:val="24"/>
          <w:szCs w:val="24"/>
          <w:spacing w:val="-5"/>
        </w:rPr>
        <w:t>综上所述，调查范围内各植被类型生态调查总面积为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5"/>
        </w:rPr>
        <w:t>6455.</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13hm</w:t>
      </w:r>
      <w:r>
        <w:rPr>
          <w:rFonts w:ascii="Times New Roman" w:hAnsi="Times New Roman" w:eastAsia="Times New Roman" w:cs="Times New Roman"/>
          <w:sz w:val="15"/>
          <w:szCs w:val="15"/>
          <w:spacing w:val="-5"/>
          <w:position w:val="8"/>
        </w:rPr>
        <w:t>2</w:t>
      </w:r>
      <w:r>
        <w:rPr>
          <w:rFonts w:ascii="FangSong" w:hAnsi="FangSong" w:eastAsia="FangSong" w:cs="FangSong"/>
          <w:sz w:val="24"/>
          <w:szCs w:val="24"/>
          <w:spacing w:val="-5"/>
        </w:rPr>
        <w:t>，植被类型</w:t>
      </w:r>
      <w:r>
        <w:rPr>
          <w:rFonts w:ascii="FangSong" w:hAnsi="FangSong" w:eastAsia="FangSong" w:cs="FangSong"/>
          <w:sz w:val="24"/>
          <w:szCs w:val="24"/>
          <w:spacing w:val="4"/>
        </w:rPr>
        <w:t>主要为克氏针茅</w:t>
      </w:r>
      <w:r>
        <w:rPr>
          <w:rFonts w:ascii="FangSong" w:hAnsi="FangSong" w:eastAsia="FangSong" w:cs="FangSong"/>
          <w:sz w:val="24"/>
          <w:szCs w:val="24"/>
          <w:spacing w:val="-72"/>
        </w:rPr>
        <w:t xml:space="preserve"> </w:t>
      </w:r>
      <w:r>
        <w:rPr>
          <w:rFonts w:ascii="FangSong" w:hAnsi="FangSong" w:eastAsia="FangSong" w:cs="FangSong"/>
          <w:sz w:val="24"/>
          <w:szCs w:val="24"/>
          <w:spacing w:val="4"/>
        </w:rPr>
        <w:t>、芨芨草草原，分布面积为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4"/>
        </w:rPr>
        <w:t>3590.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18</w:t>
      </w:r>
      <w:r>
        <w:rPr>
          <w:rFonts w:ascii="Times New Roman" w:hAnsi="Times New Roman" w:eastAsia="Times New Roman" w:cs="Times New Roman"/>
          <w:sz w:val="24"/>
          <w:szCs w:val="24"/>
        </w:rPr>
        <w:t>hm</w:t>
      </w:r>
      <w:r>
        <w:rPr>
          <w:rFonts w:ascii="Times New Roman" w:hAnsi="Times New Roman" w:eastAsia="Times New Roman" w:cs="Times New Roman"/>
          <w:sz w:val="15"/>
          <w:szCs w:val="15"/>
          <w:spacing w:val="4"/>
          <w:position w:val="8"/>
        </w:rPr>
        <w:t>2 </w:t>
      </w:r>
      <w:r>
        <w:rPr>
          <w:rFonts w:ascii="FangSong" w:hAnsi="FangSong" w:eastAsia="FangSong" w:cs="FangSong"/>
          <w:sz w:val="24"/>
          <w:szCs w:val="24"/>
          <w:spacing w:val="4"/>
        </w:rPr>
        <w:t>，</w:t>
      </w:r>
      <w:r>
        <w:rPr>
          <w:rFonts w:ascii="FangSong" w:hAnsi="FangSong" w:eastAsia="FangSong" w:cs="FangSong"/>
          <w:sz w:val="24"/>
          <w:szCs w:val="24"/>
          <w:spacing w:val="-51"/>
        </w:rPr>
        <w:t xml:space="preserve"> </w:t>
      </w:r>
      <w:r>
        <w:rPr>
          <w:rFonts w:ascii="FangSong" w:hAnsi="FangSong" w:eastAsia="FangSong" w:cs="FangSong"/>
          <w:sz w:val="24"/>
          <w:szCs w:val="24"/>
          <w:spacing w:val="4"/>
        </w:rPr>
        <w:t>占评价区总面积的</w:t>
      </w:r>
      <w:r>
        <w:rPr>
          <w:rFonts w:ascii="Times New Roman" w:hAnsi="Times New Roman" w:eastAsia="Times New Roman" w:cs="Times New Roman"/>
          <w:sz w:val="24"/>
          <w:szCs w:val="24"/>
          <w:spacing w:val="-2"/>
        </w:rPr>
        <w:t>55.62%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2"/>
        </w:rPr>
        <w:t>，调查范围内植被覆盖度为中度覆盖（</w:t>
      </w:r>
      <w:r>
        <w:rPr>
          <w:rFonts w:ascii="Times New Roman" w:hAnsi="Times New Roman" w:eastAsia="Times New Roman" w:cs="Times New Roman"/>
          <w:sz w:val="24"/>
          <w:szCs w:val="24"/>
          <w:spacing w:val="-2"/>
        </w:rPr>
        <w:t>10%-30%</w:t>
      </w:r>
      <w:r>
        <w:rPr>
          <w:rFonts w:ascii="FangSong" w:hAnsi="FangSong" w:eastAsia="FangSong" w:cs="FangSong"/>
          <w:sz w:val="24"/>
          <w:szCs w:val="24"/>
          <w:spacing w:val="-2"/>
        </w:rPr>
        <w:t>）。</w:t>
      </w:r>
    </w:p>
    <w:p>
      <w:pPr>
        <w:ind w:left="124" w:right="107" w:firstLine="480"/>
        <w:spacing w:line="360" w:lineRule="auto"/>
        <w:rPr>
          <w:rFonts w:ascii="FangSong" w:hAnsi="FangSong" w:eastAsia="FangSong" w:cs="FangSong"/>
          <w:sz w:val="24"/>
          <w:szCs w:val="24"/>
        </w:rPr>
      </w:pPr>
      <w:r>
        <w:rPr>
          <w:rFonts w:ascii="FangSong" w:hAnsi="FangSong" w:eastAsia="FangSong" w:cs="FangSong"/>
          <w:sz w:val="24"/>
          <w:szCs w:val="24"/>
          <w:spacing w:val="-3"/>
        </w:rPr>
        <w:t>项目总占地面积为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7.2203hm</w:t>
      </w:r>
      <w:r>
        <w:rPr>
          <w:rFonts w:ascii="Times New Roman" w:hAnsi="Times New Roman" w:eastAsia="Times New Roman" w:cs="Times New Roman"/>
          <w:sz w:val="15"/>
          <w:szCs w:val="15"/>
          <w:spacing w:val="-3"/>
          <w:position w:val="8"/>
        </w:rPr>
        <w:t>2 </w:t>
      </w:r>
      <w:r>
        <w:rPr>
          <w:rFonts w:ascii="FangSong" w:hAnsi="FangSong" w:eastAsia="FangSong" w:cs="FangSong"/>
          <w:sz w:val="24"/>
          <w:szCs w:val="24"/>
          <w:spacing w:val="-3"/>
        </w:rPr>
        <w:t>，植被类型主要为克氏针茅、芨芨草草</w:t>
      </w:r>
      <w:r>
        <w:rPr>
          <w:rFonts w:ascii="FangSong" w:hAnsi="FangSong" w:eastAsia="FangSong" w:cs="FangSong"/>
          <w:sz w:val="24"/>
          <w:szCs w:val="24"/>
          <w:spacing w:val="-4"/>
        </w:rPr>
        <w:t>原，</w:t>
      </w:r>
      <w:r>
        <w:rPr>
          <w:rFonts w:ascii="FangSong" w:hAnsi="FangSong" w:eastAsia="FangSong" w:cs="FangSong"/>
          <w:sz w:val="24"/>
          <w:szCs w:val="24"/>
          <w:spacing w:val="-63"/>
        </w:rPr>
        <w:t xml:space="preserve"> </w:t>
      </w:r>
      <w:r>
        <w:rPr>
          <w:rFonts w:ascii="FangSong" w:hAnsi="FangSong" w:eastAsia="FangSong" w:cs="FangSong"/>
          <w:sz w:val="24"/>
          <w:szCs w:val="24"/>
          <w:spacing w:val="-4"/>
        </w:rPr>
        <w:t>占</w:t>
      </w:r>
      <w:r>
        <w:rPr>
          <w:rFonts w:ascii="FangSong" w:hAnsi="FangSong" w:eastAsia="FangSong" w:cs="FangSong"/>
          <w:sz w:val="24"/>
          <w:szCs w:val="24"/>
          <w:spacing w:val="-3"/>
        </w:rPr>
        <w:t>评价区总面积的</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78.47%</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w:t>
      </w:r>
      <w:r>
        <w:rPr>
          <w:rFonts w:ascii="FangSong" w:hAnsi="FangSong" w:eastAsia="FangSong" w:cs="FangSong"/>
          <w:sz w:val="24"/>
          <w:szCs w:val="24"/>
          <w:spacing w:val="-63"/>
        </w:rPr>
        <w:t xml:space="preserve"> </w:t>
      </w:r>
      <w:r>
        <w:rPr>
          <w:rFonts w:ascii="FangSong" w:hAnsi="FangSong" w:eastAsia="FangSong" w:cs="FangSong"/>
          <w:sz w:val="24"/>
          <w:szCs w:val="24"/>
          <w:spacing w:val="-3"/>
        </w:rPr>
        <w:t>占地范围内植被覆盖度为中度覆盖（</w:t>
      </w:r>
      <w:r>
        <w:rPr>
          <w:rFonts w:ascii="Times New Roman" w:hAnsi="Times New Roman" w:eastAsia="Times New Roman" w:cs="Times New Roman"/>
          <w:sz w:val="24"/>
          <w:szCs w:val="24"/>
          <w:spacing w:val="-3"/>
        </w:rPr>
        <w:t>10%-30%</w:t>
      </w:r>
      <w:r>
        <w:rPr>
          <w:rFonts w:ascii="FangSong" w:hAnsi="FangSong" w:eastAsia="FangSong" w:cs="FangSong"/>
          <w:sz w:val="24"/>
          <w:szCs w:val="24"/>
          <w:spacing w:val="-4"/>
        </w:rPr>
        <w:t>）。</w:t>
      </w:r>
    </w:p>
    <w:p>
      <w:pPr>
        <w:ind w:left="116"/>
        <w:spacing w:before="1" w:line="220" w:lineRule="auto"/>
        <w:outlineLvl w:val="2"/>
        <w:rPr>
          <w:rFonts w:ascii="FangSong" w:hAnsi="FangSong" w:eastAsia="FangSong" w:cs="FangSong"/>
          <w:sz w:val="24"/>
          <w:szCs w:val="24"/>
        </w:rPr>
      </w:pPr>
      <w:bookmarkStart w:name="bookmark262" w:id="358"/>
      <w:bookmarkEnd w:id="358"/>
      <w:bookmarkStart w:name="bookmark261" w:id="359"/>
      <w:bookmarkEnd w:id="359"/>
      <w:r>
        <w:rPr>
          <w:rFonts w:ascii="Times New Roman" w:hAnsi="Times New Roman" w:eastAsia="Times New Roman" w:cs="Times New Roman"/>
          <w:sz w:val="24"/>
          <w:szCs w:val="24"/>
          <w:b/>
          <w:bCs/>
          <w:spacing w:val="-4"/>
        </w:rPr>
        <w:t>5.6.6</w:t>
      </w:r>
      <w:r>
        <w:rPr>
          <w:rFonts w:ascii="Times New Roman" w:hAnsi="Times New Roman" w:eastAsia="Times New Roman" w:cs="Times New Roman"/>
          <w:sz w:val="24"/>
          <w:szCs w:val="24"/>
          <w:b/>
          <w:bCs/>
          <w:spacing w:val="17"/>
          <w:w w:val="101"/>
        </w:rPr>
        <w:t xml:space="preserve">  </w:t>
      </w:r>
      <w:r>
        <w:rPr>
          <w:rFonts w:ascii="FangSong" w:hAnsi="FangSong" w:eastAsia="FangSong" w:cs="FangSong"/>
          <w:sz w:val="24"/>
          <w:szCs w:val="24"/>
          <w:b/>
          <w:bCs/>
          <w:spacing w:val="-4"/>
        </w:rPr>
        <w:t>陆生动物生态现状调查</w:t>
      </w:r>
    </w:p>
    <w:p>
      <w:pPr>
        <w:ind w:left="116"/>
        <w:spacing w:before="18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5.6.6.1  </w:t>
      </w:r>
      <w:r>
        <w:rPr>
          <w:rFonts w:ascii="FangSong" w:hAnsi="FangSong" w:eastAsia="FangSong" w:cs="FangSong"/>
          <w:sz w:val="24"/>
          <w:szCs w:val="24"/>
          <w:b/>
          <w:bCs/>
          <w:spacing w:val="-2"/>
        </w:rPr>
        <w:t>调查范围动物名录</w:t>
      </w:r>
    </w:p>
    <w:p>
      <w:pPr>
        <w:ind w:left="123" w:right="107"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本项目在中国动物地理区划中属古北界蒙新区</w:t>
      </w:r>
      <w:r>
        <w:rPr>
          <w:rFonts w:ascii="FangSong" w:hAnsi="FangSong" w:eastAsia="FangSong" w:cs="FangSong"/>
          <w:sz w:val="24"/>
          <w:szCs w:val="24"/>
          <w:spacing w:val="-4"/>
        </w:rPr>
        <w:t>的东部草原亚区。野生动物主</w:t>
      </w:r>
      <w:r>
        <w:rPr>
          <w:rFonts w:ascii="FangSong" w:hAnsi="FangSong" w:eastAsia="FangSong" w:cs="FangSong"/>
          <w:sz w:val="24"/>
          <w:szCs w:val="24"/>
          <w:spacing w:val="-3"/>
        </w:rPr>
        <w:t>要为草原动物群，其基本成分为中亚型、北方型及东北型的草原动</w:t>
      </w:r>
      <w:r>
        <w:rPr>
          <w:rFonts w:ascii="FangSong" w:hAnsi="FangSong" w:eastAsia="FangSong" w:cs="FangSong"/>
          <w:sz w:val="24"/>
          <w:szCs w:val="24"/>
          <w:spacing w:val="-4"/>
        </w:rPr>
        <w:t>物。历史上该</w:t>
      </w:r>
      <w:r>
        <w:rPr>
          <w:rFonts w:ascii="FangSong" w:hAnsi="FangSong" w:eastAsia="FangSong" w:cs="FangSong"/>
          <w:sz w:val="24"/>
          <w:szCs w:val="24"/>
          <w:spacing w:val="-3"/>
        </w:rPr>
        <w:t>区域的野生动物种类和数量较多，目前由于人类活动干扰，野生动</w:t>
      </w:r>
      <w:r>
        <w:rPr>
          <w:rFonts w:ascii="FangSong" w:hAnsi="FangSong" w:eastAsia="FangSong" w:cs="FangSong"/>
          <w:sz w:val="24"/>
          <w:szCs w:val="24"/>
          <w:spacing w:val="-4"/>
        </w:rPr>
        <w:t>物数量和种类</w:t>
      </w:r>
      <w:r>
        <w:rPr>
          <w:rFonts w:ascii="FangSong" w:hAnsi="FangSong" w:eastAsia="FangSong" w:cs="FangSong"/>
          <w:sz w:val="24"/>
          <w:szCs w:val="24"/>
          <w:spacing w:val="-3"/>
        </w:rPr>
        <w:t>均有所减少，特别是一些大型保护兽类已很少见到，项目调查范围</w:t>
      </w:r>
      <w:r>
        <w:rPr>
          <w:rFonts w:ascii="FangSong" w:hAnsi="FangSong" w:eastAsia="FangSong" w:cs="FangSong"/>
          <w:sz w:val="24"/>
          <w:szCs w:val="24"/>
          <w:spacing w:val="-4"/>
        </w:rPr>
        <w:t>内野生动物名</w:t>
      </w:r>
      <w:r>
        <w:rPr>
          <w:rFonts w:ascii="FangSong" w:hAnsi="FangSong" w:eastAsia="FangSong" w:cs="FangSong"/>
          <w:sz w:val="24"/>
          <w:szCs w:val="24"/>
          <w:spacing w:val="-3"/>
        </w:rPr>
        <w:t>录见表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5.6-19</w:t>
      </w:r>
      <w:r>
        <w:rPr>
          <w:rFonts w:ascii="FangSong" w:hAnsi="FangSong" w:eastAsia="FangSong" w:cs="FangSong"/>
          <w:sz w:val="24"/>
          <w:szCs w:val="24"/>
          <w:spacing w:val="-3"/>
        </w:rPr>
        <w:t>。</w:t>
      </w:r>
    </w:p>
    <w:p>
      <w:pPr>
        <w:ind w:left="2432"/>
        <w:spacing w:before="1"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5.6-19  </w:t>
      </w:r>
      <w:r>
        <w:rPr>
          <w:rFonts w:ascii="FangSong" w:hAnsi="FangSong" w:eastAsia="FangSong" w:cs="FangSong"/>
          <w:sz w:val="24"/>
          <w:szCs w:val="24"/>
          <w:b/>
          <w:bCs/>
          <w:spacing w:val="-3"/>
        </w:rPr>
        <w:t>调查范围内野生动物名录</w:t>
      </w:r>
    </w:p>
    <w:p>
      <w:pPr>
        <w:spacing w:line="65" w:lineRule="exact"/>
        <w:rPr/>
      </w:pPr>
      <w:r/>
    </w:p>
    <w:tbl>
      <w:tblPr>
        <w:tblStyle w:val="TableNormal"/>
        <w:tblW w:w="8416" w:type="dxa"/>
        <w:tblInd w:w="5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9"/>
        <w:gridCol w:w="1756"/>
        <w:gridCol w:w="2557"/>
        <w:gridCol w:w="3434"/>
      </w:tblGrid>
      <w:tr>
        <w:trPr>
          <w:trHeight w:val="403" w:hRule="atLeast"/>
        </w:trPr>
        <w:tc>
          <w:tcPr>
            <w:tcW w:w="669" w:type="dxa"/>
            <w:vAlign w:val="top"/>
            <w:tcBorders>
              <w:left w:val="nil"/>
              <w:top w:val="single" w:color="000000" w:sz="10" w:space="0"/>
            </w:tcBorders>
          </w:tcPr>
          <w:p>
            <w:pPr>
              <w:pStyle w:val="TableText"/>
              <w:ind w:left="136"/>
              <w:spacing w:before="97" w:line="231" w:lineRule="auto"/>
              <w:rPr/>
            </w:pPr>
            <w:r>
              <w:rPr>
                <w:spacing w:val="2"/>
              </w:rPr>
              <w:t>序号</w:t>
            </w:r>
          </w:p>
        </w:tc>
        <w:tc>
          <w:tcPr>
            <w:tcW w:w="1756" w:type="dxa"/>
            <w:vAlign w:val="top"/>
            <w:tcBorders>
              <w:top w:val="single" w:color="000000" w:sz="10" w:space="0"/>
            </w:tcBorders>
          </w:tcPr>
          <w:p>
            <w:pPr>
              <w:pStyle w:val="TableText"/>
              <w:ind w:left="601"/>
              <w:spacing w:before="97" w:line="231" w:lineRule="auto"/>
              <w:rPr/>
            </w:pPr>
            <w:r>
              <w:rPr>
                <w:spacing w:val="-4"/>
              </w:rPr>
              <w:t>中文名</w:t>
            </w:r>
          </w:p>
        </w:tc>
        <w:tc>
          <w:tcPr>
            <w:tcW w:w="2557" w:type="dxa"/>
            <w:vAlign w:val="top"/>
            <w:tcBorders>
              <w:top w:val="single" w:color="000000" w:sz="10" w:space="0"/>
            </w:tcBorders>
          </w:tcPr>
          <w:p>
            <w:pPr>
              <w:pStyle w:val="TableText"/>
              <w:ind w:left="975"/>
              <w:spacing w:before="97" w:line="232" w:lineRule="auto"/>
              <w:rPr/>
            </w:pPr>
            <w:r>
              <w:rPr>
                <w:spacing w:val="5"/>
              </w:rPr>
              <w:t>拉丁名</w:t>
            </w:r>
          </w:p>
        </w:tc>
        <w:tc>
          <w:tcPr>
            <w:tcW w:w="3434" w:type="dxa"/>
            <w:vAlign w:val="top"/>
            <w:tcBorders>
              <w:right w:val="nil"/>
              <w:top w:val="single" w:color="000000" w:sz="10" w:space="0"/>
            </w:tcBorders>
          </w:tcPr>
          <w:p>
            <w:pPr>
              <w:pStyle w:val="TableText"/>
              <w:ind w:left="1532"/>
              <w:spacing w:before="97" w:line="232" w:lineRule="auto"/>
              <w:rPr/>
            </w:pPr>
            <w:r>
              <w:rPr>
                <w:spacing w:val="-5"/>
              </w:rPr>
              <w:t>生境</w:t>
            </w:r>
          </w:p>
        </w:tc>
      </w:tr>
      <w:tr>
        <w:trPr>
          <w:trHeight w:val="399" w:hRule="atLeast"/>
        </w:trPr>
        <w:tc>
          <w:tcPr>
            <w:tcW w:w="669" w:type="dxa"/>
            <w:vAlign w:val="top"/>
            <w:tcBorders>
              <w:left w:val="nil"/>
            </w:tcBorders>
          </w:tcPr>
          <w:p>
            <w:pPr>
              <w:pStyle w:val="TableText"/>
              <w:ind w:left="245"/>
              <w:spacing w:before="181" w:line="151" w:lineRule="exact"/>
              <w:rPr/>
            </w:pPr>
            <w:r>
              <w:rPr>
                <w:position w:val="-3"/>
              </w:rPr>
              <w:t>一</w:t>
            </w:r>
          </w:p>
        </w:tc>
        <w:tc>
          <w:tcPr>
            <w:tcW w:w="1756" w:type="dxa"/>
            <w:vAlign w:val="top"/>
          </w:tcPr>
          <w:p>
            <w:pPr>
              <w:pStyle w:val="TableText"/>
              <w:ind w:left="688"/>
              <w:spacing w:before="97" w:line="233" w:lineRule="auto"/>
              <w:rPr/>
            </w:pPr>
            <w:r>
              <w:rPr>
                <w:spacing w:val="-3"/>
              </w:rPr>
              <w:t>鸟纲</w:t>
            </w:r>
          </w:p>
        </w:tc>
        <w:tc>
          <w:tcPr>
            <w:tcW w:w="2557" w:type="dxa"/>
            <w:vAlign w:val="top"/>
          </w:tcPr>
          <w:p>
            <w:pPr>
              <w:ind w:left="1079"/>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Vaes</w:t>
            </w:r>
          </w:p>
        </w:tc>
        <w:tc>
          <w:tcPr>
            <w:tcW w:w="3434" w:type="dxa"/>
            <w:vAlign w:val="top"/>
            <w:tcBorders>
              <w:right w:val="nil"/>
            </w:tcBorders>
          </w:tcPr>
          <w:p>
            <w:pPr>
              <w:rPr>
                <w:rFonts w:ascii="Arial"/>
                <w:sz w:val="21"/>
              </w:rPr>
            </w:pPr>
            <w:r/>
          </w:p>
        </w:tc>
      </w:tr>
      <w:tr>
        <w:trPr>
          <w:trHeight w:val="399" w:hRule="atLeast"/>
        </w:trPr>
        <w:tc>
          <w:tcPr>
            <w:tcW w:w="669" w:type="dxa"/>
            <w:vAlign w:val="top"/>
            <w:tcBorders>
              <w:left w:val="nil"/>
            </w:tcBorders>
          </w:tcPr>
          <w:p>
            <w:pPr>
              <w:ind w:left="30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6" w:type="dxa"/>
            <w:vAlign w:val="top"/>
          </w:tcPr>
          <w:p>
            <w:pPr>
              <w:pStyle w:val="TableText"/>
              <w:ind w:left="679"/>
              <w:spacing w:before="99" w:line="232" w:lineRule="auto"/>
              <w:rPr/>
            </w:pPr>
            <w:r>
              <w:rPr>
                <w:spacing w:val="2"/>
              </w:rPr>
              <w:t>鹌鹑</w:t>
            </w:r>
          </w:p>
        </w:tc>
        <w:tc>
          <w:tcPr>
            <w:tcW w:w="2557" w:type="dxa"/>
            <w:vAlign w:val="top"/>
          </w:tcPr>
          <w:p>
            <w:pPr>
              <w:ind w:left="909"/>
              <w:spacing w:before="1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Coturnix</w:t>
            </w:r>
          </w:p>
        </w:tc>
        <w:tc>
          <w:tcPr>
            <w:tcW w:w="3434" w:type="dxa"/>
            <w:vAlign w:val="top"/>
            <w:tcBorders>
              <w:right w:val="nil"/>
            </w:tcBorders>
          </w:tcPr>
          <w:p>
            <w:pPr>
              <w:pStyle w:val="TableText"/>
              <w:ind w:left="1099"/>
              <w:spacing w:before="99" w:line="231" w:lineRule="auto"/>
              <w:rPr/>
            </w:pPr>
            <w:r>
              <w:rPr>
                <w:spacing w:val="7"/>
              </w:rPr>
              <w:t>疏林地、沟谷</w:t>
            </w:r>
          </w:p>
        </w:tc>
      </w:tr>
      <w:tr>
        <w:trPr>
          <w:trHeight w:val="399" w:hRule="atLeast"/>
        </w:trPr>
        <w:tc>
          <w:tcPr>
            <w:tcW w:w="669" w:type="dxa"/>
            <w:vAlign w:val="top"/>
            <w:tcBorders>
              <w:left w:val="nil"/>
            </w:tcBorders>
          </w:tcPr>
          <w:p>
            <w:pPr>
              <w:ind w:left="28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6" w:type="dxa"/>
            <w:vAlign w:val="top"/>
          </w:tcPr>
          <w:p>
            <w:pPr>
              <w:pStyle w:val="TableText"/>
              <w:ind w:left="679"/>
              <w:spacing w:before="103" w:line="230" w:lineRule="auto"/>
              <w:rPr/>
            </w:pPr>
            <w:r>
              <w:rPr>
                <w:spacing w:val="2"/>
              </w:rPr>
              <w:t>倭燕</w:t>
            </w:r>
          </w:p>
        </w:tc>
        <w:tc>
          <w:tcPr>
            <w:tcW w:w="2557" w:type="dxa"/>
            <w:vAlign w:val="top"/>
          </w:tcPr>
          <w:p>
            <w:pPr>
              <w:pStyle w:val="TableText"/>
              <w:ind w:left="486"/>
              <w:spacing w:before="103" w:line="221" w:lineRule="auto"/>
              <w:rPr/>
            </w:pPr>
            <w:r>
              <w:rPr>
                <w:rFonts w:ascii="Times New Roman" w:hAnsi="Times New Roman" w:eastAsia="Times New Roman" w:cs="Times New Roman"/>
              </w:rPr>
              <w:t>Apus</w:t>
            </w:r>
            <w:r>
              <w:rPr>
                <w:rFonts w:ascii="Times New Roman" w:hAnsi="Times New Roman" w:eastAsia="Times New Roman" w:cs="Times New Roman"/>
                <w:spacing w:val="11"/>
              </w:rPr>
              <w:t>.</w:t>
            </w:r>
            <w:r>
              <w:rPr>
                <w:rFonts w:ascii="Times New Roman" w:hAnsi="Times New Roman" w:eastAsia="Times New Roman" w:cs="Times New Roman"/>
                <w:spacing w:val="-5"/>
              </w:rPr>
              <w:t xml:space="preserve"> </w:t>
            </w:r>
            <w:r>
              <w:rPr>
                <w:rFonts w:ascii="Times New Roman" w:hAnsi="Times New Roman" w:eastAsia="Times New Roman" w:cs="Times New Roman"/>
              </w:rPr>
              <w:t>Apus</w:t>
            </w:r>
            <w:r>
              <w:rPr>
                <w:spacing w:val="11"/>
              </w:rPr>
              <w:t>（</w:t>
            </w:r>
            <w:r>
              <w:rPr>
                <w:rFonts w:ascii="Times New Roman" w:hAnsi="Times New Roman" w:eastAsia="Times New Roman" w:cs="Times New Roman"/>
                <w:spacing w:val="11"/>
              </w:rPr>
              <w:t>L.</w:t>
            </w:r>
            <w:r>
              <w:rPr>
                <w:spacing w:val="11"/>
              </w:rPr>
              <w:t>）</w:t>
            </w:r>
          </w:p>
        </w:tc>
        <w:tc>
          <w:tcPr>
            <w:tcW w:w="3434" w:type="dxa"/>
            <w:vAlign w:val="top"/>
            <w:tcBorders>
              <w:right w:val="nil"/>
            </w:tcBorders>
          </w:tcPr>
          <w:p>
            <w:pPr>
              <w:pStyle w:val="TableText"/>
              <w:ind w:left="1099"/>
              <w:spacing w:before="103" w:line="231" w:lineRule="auto"/>
              <w:rPr/>
            </w:pPr>
            <w:r>
              <w:rPr>
                <w:spacing w:val="7"/>
              </w:rPr>
              <w:t>居民点、沟谷</w:t>
            </w:r>
          </w:p>
        </w:tc>
      </w:tr>
      <w:tr>
        <w:trPr>
          <w:trHeight w:val="399" w:hRule="atLeast"/>
        </w:trPr>
        <w:tc>
          <w:tcPr>
            <w:tcW w:w="669" w:type="dxa"/>
            <w:vAlign w:val="top"/>
            <w:tcBorders>
              <w:left w:val="nil"/>
            </w:tcBorders>
          </w:tcPr>
          <w:p>
            <w:pPr>
              <w:pStyle w:val="TableText"/>
              <w:ind w:left="249"/>
              <w:spacing w:before="149" w:line="180" w:lineRule="auto"/>
              <w:rPr/>
            </w:pPr>
            <w:r>
              <w:rPr/>
              <w:t>二</w:t>
            </w:r>
          </w:p>
        </w:tc>
        <w:tc>
          <w:tcPr>
            <w:tcW w:w="1756" w:type="dxa"/>
            <w:vAlign w:val="top"/>
          </w:tcPr>
          <w:p>
            <w:pPr>
              <w:pStyle w:val="TableText"/>
              <w:ind w:left="580"/>
              <w:spacing w:before="107" w:line="231" w:lineRule="auto"/>
              <w:rPr/>
            </w:pPr>
            <w:r>
              <w:rPr>
                <w:spacing w:val="2"/>
              </w:rPr>
              <w:t>哺乳纲</w:t>
            </w:r>
          </w:p>
        </w:tc>
        <w:tc>
          <w:tcPr>
            <w:tcW w:w="2557" w:type="dxa"/>
            <w:vAlign w:val="top"/>
          </w:tcPr>
          <w:p>
            <w:pPr>
              <w:ind w:left="824"/>
              <w:spacing w:before="13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Mammalia</w:t>
            </w:r>
          </w:p>
        </w:tc>
        <w:tc>
          <w:tcPr>
            <w:tcW w:w="3434" w:type="dxa"/>
            <w:vAlign w:val="top"/>
            <w:tcBorders>
              <w:right w:val="nil"/>
            </w:tcBorders>
          </w:tcPr>
          <w:p>
            <w:pPr>
              <w:rPr>
                <w:rFonts w:ascii="Arial"/>
                <w:sz w:val="21"/>
              </w:rPr>
            </w:pPr>
            <w:r/>
          </w:p>
        </w:tc>
      </w:tr>
      <w:tr>
        <w:trPr>
          <w:trHeight w:val="399" w:hRule="atLeast"/>
        </w:trPr>
        <w:tc>
          <w:tcPr>
            <w:tcW w:w="669" w:type="dxa"/>
            <w:vAlign w:val="top"/>
            <w:tcBorders>
              <w:left w:val="nil"/>
            </w:tcBorders>
          </w:tcPr>
          <w:p>
            <w:pPr>
              <w:ind w:left="30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6" w:type="dxa"/>
            <w:vAlign w:val="top"/>
          </w:tcPr>
          <w:p>
            <w:pPr>
              <w:pStyle w:val="TableText"/>
              <w:ind w:left="476"/>
              <w:spacing w:before="109" w:line="232" w:lineRule="auto"/>
              <w:rPr/>
            </w:pPr>
            <w:r>
              <w:rPr>
                <w:spacing w:val="4"/>
              </w:rPr>
              <w:t>黑线仓鼠</w:t>
            </w:r>
          </w:p>
        </w:tc>
        <w:tc>
          <w:tcPr>
            <w:tcW w:w="2557" w:type="dxa"/>
            <w:vAlign w:val="top"/>
          </w:tcPr>
          <w:p>
            <w:pPr>
              <w:ind w:left="364"/>
              <w:spacing w:before="14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Cricetulus Barabensis</w:t>
            </w:r>
          </w:p>
        </w:tc>
        <w:tc>
          <w:tcPr>
            <w:tcW w:w="3434" w:type="dxa"/>
            <w:vAlign w:val="top"/>
            <w:tcBorders>
              <w:right w:val="nil"/>
            </w:tcBorders>
          </w:tcPr>
          <w:p>
            <w:pPr>
              <w:pStyle w:val="TableText"/>
              <w:ind w:left="788"/>
              <w:spacing w:before="108" w:line="231" w:lineRule="auto"/>
              <w:rPr/>
            </w:pPr>
            <w:r>
              <w:rPr>
                <w:spacing w:val="7"/>
              </w:rPr>
              <w:t>草地、农田、居民点</w:t>
            </w:r>
          </w:p>
        </w:tc>
      </w:tr>
      <w:tr>
        <w:trPr>
          <w:trHeight w:val="399" w:hRule="atLeast"/>
        </w:trPr>
        <w:tc>
          <w:tcPr>
            <w:tcW w:w="669" w:type="dxa"/>
            <w:vAlign w:val="top"/>
            <w:tcBorders>
              <w:left w:val="nil"/>
            </w:tcBorders>
          </w:tcPr>
          <w:p>
            <w:pPr>
              <w:ind w:left="285"/>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6" w:type="dxa"/>
            <w:vAlign w:val="top"/>
          </w:tcPr>
          <w:p>
            <w:pPr>
              <w:pStyle w:val="TableText"/>
              <w:ind w:left="575"/>
              <w:spacing w:before="113" w:line="232" w:lineRule="auto"/>
              <w:rPr/>
            </w:pPr>
            <w:r>
              <w:rPr>
                <w:spacing w:val="4"/>
              </w:rPr>
              <w:t>灰仓鼠</w:t>
            </w:r>
          </w:p>
        </w:tc>
        <w:tc>
          <w:tcPr>
            <w:tcW w:w="2557" w:type="dxa"/>
            <w:vAlign w:val="top"/>
          </w:tcPr>
          <w:p>
            <w:pPr>
              <w:ind w:left="340"/>
              <w:spacing w:before="1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Cricetulus migratorius</w:t>
            </w:r>
          </w:p>
        </w:tc>
        <w:tc>
          <w:tcPr>
            <w:tcW w:w="3434" w:type="dxa"/>
            <w:vAlign w:val="top"/>
            <w:tcBorders>
              <w:right w:val="nil"/>
            </w:tcBorders>
          </w:tcPr>
          <w:p>
            <w:pPr>
              <w:pStyle w:val="TableText"/>
              <w:ind w:left="788"/>
              <w:spacing w:before="112" w:line="231" w:lineRule="auto"/>
              <w:rPr/>
            </w:pPr>
            <w:r>
              <w:rPr>
                <w:spacing w:val="7"/>
              </w:rPr>
              <w:t>草地、农田、居民点</w:t>
            </w:r>
          </w:p>
        </w:tc>
      </w:tr>
      <w:tr>
        <w:trPr>
          <w:trHeight w:val="422" w:hRule="atLeast"/>
        </w:trPr>
        <w:tc>
          <w:tcPr>
            <w:tcW w:w="669" w:type="dxa"/>
            <w:vAlign w:val="top"/>
            <w:tcBorders>
              <w:left w:val="nil"/>
              <w:bottom w:val="single" w:color="000000" w:sz="10" w:space="0"/>
            </w:tcBorders>
          </w:tcPr>
          <w:p>
            <w:pPr>
              <w:ind w:left="290"/>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56" w:type="dxa"/>
            <w:vAlign w:val="top"/>
            <w:tcBorders>
              <w:bottom w:val="single" w:color="000000" w:sz="10" w:space="0"/>
            </w:tcBorders>
          </w:tcPr>
          <w:p>
            <w:pPr>
              <w:pStyle w:val="TableText"/>
              <w:ind w:left="580"/>
              <w:spacing w:before="114" w:line="229" w:lineRule="auto"/>
              <w:rPr/>
            </w:pPr>
            <w:r>
              <w:rPr>
                <w:spacing w:val="3"/>
              </w:rPr>
              <w:t>蒙古兔</w:t>
            </w:r>
          </w:p>
        </w:tc>
        <w:tc>
          <w:tcPr>
            <w:tcW w:w="2557" w:type="dxa"/>
            <w:vAlign w:val="top"/>
            <w:tcBorders>
              <w:bottom w:val="single" w:color="000000" w:sz="10" w:space="0"/>
            </w:tcBorders>
          </w:tcPr>
          <w:p>
            <w:pPr>
              <w:ind w:left="534"/>
              <w:spacing w:before="14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Lepus tolai Pallas</w:t>
            </w:r>
          </w:p>
        </w:tc>
        <w:tc>
          <w:tcPr>
            <w:tcW w:w="3434" w:type="dxa"/>
            <w:vAlign w:val="top"/>
            <w:tcBorders>
              <w:right w:val="nil"/>
              <w:bottom w:val="single" w:color="000000" w:sz="10" w:space="0"/>
            </w:tcBorders>
          </w:tcPr>
          <w:p>
            <w:pPr>
              <w:pStyle w:val="TableText"/>
              <w:ind w:left="1523"/>
              <w:spacing w:before="114" w:line="231" w:lineRule="auto"/>
              <w:rPr/>
            </w:pPr>
            <w:r>
              <w:rPr/>
              <w:t>草地</w:t>
            </w:r>
          </w:p>
        </w:tc>
      </w:tr>
    </w:tbl>
    <w:p>
      <w:pPr>
        <w:pStyle w:val="BodyText"/>
        <w:rPr/>
      </w:pPr>
      <w:r/>
    </w:p>
    <w:p>
      <w:pPr>
        <w:sectPr>
          <w:footerReference w:type="default" r:id="rId265"/>
          <w:pgSz w:w="11906" w:h="16839"/>
          <w:pgMar w:top="400" w:right="1691" w:bottom="1358" w:left="1691" w:header="0" w:footer="1195" w:gutter="0"/>
        </w:sectPr>
        <w:rPr/>
      </w:pP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16"/>
        <w:spacing w:before="78" w:line="219" w:lineRule="auto"/>
        <w:outlineLvl w:val="3"/>
        <w:rPr>
          <w:rFonts w:ascii="FangSong" w:hAnsi="FangSong" w:eastAsia="FangSong" w:cs="FangSong"/>
          <w:sz w:val="24"/>
          <w:szCs w:val="24"/>
        </w:rPr>
      </w:pPr>
      <w:bookmarkStart w:name="bookmark588" w:id="360"/>
      <w:bookmarkEnd w:id="360"/>
      <w:r>
        <w:rPr>
          <w:rFonts w:ascii="Times New Roman" w:hAnsi="Times New Roman" w:eastAsia="Times New Roman" w:cs="Times New Roman"/>
          <w:sz w:val="24"/>
          <w:szCs w:val="24"/>
          <w:b/>
          <w:bCs/>
          <w:spacing w:val="-2"/>
        </w:rPr>
        <w:t>5.6.6.2  </w:t>
      </w:r>
      <w:r>
        <w:rPr>
          <w:rFonts w:ascii="FangSong" w:hAnsi="FangSong" w:eastAsia="FangSong" w:cs="FangSong"/>
          <w:sz w:val="24"/>
          <w:szCs w:val="24"/>
          <w:b/>
          <w:bCs/>
          <w:spacing w:val="-2"/>
        </w:rPr>
        <w:t>调查范围及周边样线调查</w:t>
      </w:r>
    </w:p>
    <w:p>
      <w:pPr>
        <w:ind w:left="123" w:right="107" w:firstLine="481"/>
        <w:spacing w:before="182" w:line="360" w:lineRule="auto"/>
        <w:jc w:val="both"/>
        <w:rPr>
          <w:rFonts w:ascii="FangSong" w:hAnsi="FangSong" w:eastAsia="FangSong" w:cs="FangSong"/>
          <w:sz w:val="24"/>
          <w:szCs w:val="24"/>
        </w:rPr>
      </w:pPr>
      <w:r>
        <w:rPr>
          <w:rFonts w:ascii="FangSong" w:hAnsi="FangSong" w:eastAsia="FangSong" w:cs="FangSong"/>
          <w:sz w:val="24"/>
          <w:szCs w:val="24"/>
          <w:spacing w:val="-3"/>
        </w:rPr>
        <w:t>根据拟建项目的建设方案以及调查范围生境分</w:t>
      </w:r>
      <w:r>
        <w:rPr>
          <w:rFonts w:ascii="FangSong" w:hAnsi="FangSong" w:eastAsia="FangSong" w:cs="FangSong"/>
          <w:sz w:val="24"/>
          <w:szCs w:val="24"/>
          <w:spacing w:val="-4"/>
        </w:rPr>
        <w:t>布的具体情况，选择了陆栖脊</w:t>
      </w:r>
      <w:r>
        <w:rPr>
          <w:rFonts w:ascii="FangSong" w:hAnsi="FangSong" w:eastAsia="FangSong" w:cs="FangSong"/>
          <w:sz w:val="24"/>
          <w:szCs w:val="24"/>
          <w:spacing w:val="-3"/>
        </w:rPr>
        <w:t>椎动物（哺乳类、鸟类、两栖类、爬行类）为本次评价中动物部分的</w:t>
      </w:r>
      <w:r>
        <w:rPr>
          <w:rFonts w:ascii="FangSong" w:hAnsi="FangSong" w:eastAsia="FangSong" w:cs="FangSong"/>
          <w:sz w:val="24"/>
          <w:szCs w:val="24"/>
          <w:spacing w:val="-4"/>
        </w:rPr>
        <w:t>主要考察对</w:t>
      </w:r>
      <w:r>
        <w:rPr>
          <w:rFonts w:ascii="FangSong" w:hAnsi="FangSong" w:eastAsia="FangSong" w:cs="FangSong"/>
          <w:sz w:val="24"/>
          <w:szCs w:val="24"/>
          <w:spacing w:val="-3"/>
        </w:rPr>
        <w:t>象。在拟建项目周边区域进行实地调查，主要采用样线法、观察法和</w:t>
      </w:r>
      <w:r>
        <w:rPr>
          <w:rFonts w:ascii="FangSong" w:hAnsi="FangSong" w:eastAsia="FangSong" w:cs="FangSong"/>
          <w:sz w:val="24"/>
          <w:szCs w:val="24"/>
          <w:spacing w:val="-4"/>
        </w:rPr>
        <w:t>访问等方法</w:t>
      </w:r>
      <w:r>
        <w:rPr>
          <w:rFonts w:ascii="FangSong" w:hAnsi="FangSong" w:eastAsia="FangSong" w:cs="FangSong"/>
          <w:sz w:val="24"/>
          <w:szCs w:val="24"/>
          <w:spacing w:val="-4"/>
        </w:rPr>
        <w:t>进行调查。</w:t>
      </w:r>
    </w:p>
    <w:p>
      <w:pPr>
        <w:ind w:left="123" w:right="31" w:firstLine="482"/>
        <w:spacing w:before="13" w:line="359" w:lineRule="auto"/>
        <w:jc w:val="both"/>
        <w:rPr>
          <w:rFonts w:ascii="FangSong" w:hAnsi="FangSong" w:eastAsia="FangSong" w:cs="FangSong"/>
          <w:sz w:val="24"/>
          <w:szCs w:val="24"/>
        </w:rPr>
      </w:pPr>
      <w:r>
        <w:rPr>
          <w:rFonts w:ascii="FangSong" w:hAnsi="FangSong" w:eastAsia="FangSong" w:cs="FangSong"/>
          <w:sz w:val="24"/>
          <w:szCs w:val="24"/>
          <w:spacing w:val="-3"/>
        </w:rPr>
        <w:t>在正式开展调查之前，首先通过检索相关文</w:t>
      </w:r>
      <w:r>
        <w:rPr>
          <w:rFonts w:ascii="FangSong" w:hAnsi="FangSong" w:eastAsia="FangSong" w:cs="FangSong"/>
          <w:sz w:val="24"/>
          <w:szCs w:val="24"/>
          <w:spacing w:val="-4"/>
        </w:rPr>
        <w:t>献资料，确定该地区可能存在的</w:t>
      </w:r>
      <w:r>
        <w:rPr>
          <w:rFonts w:ascii="FangSong" w:hAnsi="FangSong" w:eastAsia="FangSong" w:cs="FangSong"/>
          <w:sz w:val="24"/>
          <w:szCs w:val="24"/>
          <w:spacing w:val="-3"/>
        </w:rPr>
        <w:t>物种类别。然后依照生态环境部（原环境保护部）的生物多样性观测</w:t>
      </w:r>
      <w:r>
        <w:rPr>
          <w:rFonts w:ascii="FangSong" w:hAnsi="FangSong" w:eastAsia="FangSong" w:cs="FangSong"/>
          <w:sz w:val="24"/>
          <w:szCs w:val="24"/>
          <w:spacing w:val="-4"/>
        </w:rPr>
        <w:t>相关技术导</w:t>
      </w:r>
      <w:r>
        <w:rPr>
          <w:rFonts w:ascii="FangSong" w:hAnsi="FangSong" w:eastAsia="FangSong" w:cs="FangSong"/>
          <w:sz w:val="24"/>
          <w:szCs w:val="24"/>
          <w:spacing w:val="3"/>
        </w:rPr>
        <w:t>则，包括爬行动物（</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3"/>
        </w:rPr>
        <w:t>710.5-2014</w:t>
      </w:r>
      <w:r>
        <w:rPr>
          <w:rFonts w:ascii="FangSong" w:hAnsi="FangSong" w:eastAsia="FangSong" w:cs="FangSong"/>
          <w:sz w:val="24"/>
          <w:szCs w:val="24"/>
          <w:spacing w:val="3"/>
        </w:rPr>
        <w:t>）</w:t>
      </w:r>
      <w:r>
        <w:rPr>
          <w:rFonts w:ascii="FangSong" w:hAnsi="FangSong" w:eastAsia="FangSong" w:cs="FangSong"/>
          <w:sz w:val="24"/>
          <w:szCs w:val="24"/>
          <w:spacing w:val="-62"/>
        </w:rPr>
        <w:t xml:space="preserve"> </w:t>
      </w:r>
      <w:r>
        <w:rPr>
          <w:rFonts w:ascii="FangSong" w:hAnsi="FangSong" w:eastAsia="FangSong" w:cs="FangSong"/>
          <w:sz w:val="24"/>
          <w:szCs w:val="24"/>
          <w:spacing w:val="3"/>
        </w:rPr>
        <w:t>、鸟类（</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3"/>
        </w:rPr>
        <w:t>71</w:t>
      </w:r>
      <w:r>
        <w:rPr>
          <w:rFonts w:ascii="Times New Roman" w:hAnsi="Times New Roman" w:eastAsia="Times New Roman" w:cs="Times New Roman"/>
          <w:sz w:val="24"/>
          <w:szCs w:val="24"/>
          <w:spacing w:val="2"/>
        </w:rPr>
        <w:t>0.4-2014</w:t>
      </w:r>
      <w:r>
        <w:rPr>
          <w:rFonts w:ascii="FangSong" w:hAnsi="FangSong" w:eastAsia="FangSong" w:cs="FangSong"/>
          <w:sz w:val="24"/>
          <w:szCs w:val="24"/>
          <w:spacing w:val="2"/>
        </w:rPr>
        <w:t>）</w:t>
      </w:r>
      <w:r>
        <w:rPr>
          <w:rFonts w:ascii="FangSong" w:hAnsi="FangSong" w:eastAsia="FangSong" w:cs="FangSong"/>
          <w:sz w:val="24"/>
          <w:szCs w:val="24"/>
          <w:spacing w:val="-60"/>
        </w:rPr>
        <w:t xml:space="preserve"> </w:t>
      </w:r>
      <w:r>
        <w:rPr>
          <w:rFonts w:ascii="FangSong" w:hAnsi="FangSong" w:eastAsia="FangSong" w:cs="FangSong"/>
          <w:sz w:val="24"/>
          <w:szCs w:val="24"/>
          <w:spacing w:val="2"/>
        </w:rPr>
        <w:t>、</w:t>
      </w:r>
      <w:r>
        <w:rPr>
          <w:rFonts w:ascii="FangSong" w:hAnsi="FangSong" w:eastAsia="FangSong" w:cs="FangSong"/>
          <w:sz w:val="24"/>
          <w:szCs w:val="24"/>
          <w:spacing w:val="-72"/>
        </w:rPr>
        <w:t xml:space="preserve"> </w:t>
      </w:r>
      <w:r>
        <w:rPr>
          <w:rFonts w:ascii="FangSong" w:hAnsi="FangSong" w:eastAsia="FangSong" w:cs="FangSong"/>
          <w:sz w:val="24"/>
          <w:szCs w:val="24"/>
          <w:spacing w:val="2"/>
        </w:rPr>
        <w:t>陆生哺乳动物</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HJ710.3-2014</w:t>
      </w:r>
      <w:r>
        <w:rPr>
          <w:rFonts w:ascii="FangSong" w:hAnsi="FangSong" w:eastAsia="FangSong" w:cs="FangSong"/>
          <w:sz w:val="24"/>
          <w:szCs w:val="24"/>
          <w:spacing w:val="4"/>
        </w:rPr>
        <w:t>），</w:t>
      </w:r>
      <w:r>
        <w:rPr>
          <w:rFonts w:ascii="FangSong" w:hAnsi="FangSong" w:eastAsia="FangSong" w:cs="FangSong"/>
          <w:sz w:val="24"/>
          <w:szCs w:val="24"/>
          <w:spacing w:val="-1"/>
        </w:rPr>
        <w:t>结合动物的生活习性和分布特点，形成可行</w:t>
      </w:r>
      <w:r>
        <w:rPr>
          <w:rFonts w:ascii="FangSong" w:hAnsi="FangSong" w:eastAsia="FangSong" w:cs="FangSong"/>
          <w:sz w:val="24"/>
          <w:szCs w:val="24"/>
          <w:spacing w:val="-2"/>
        </w:rPr>
        <w:t>的调查方案。陆</w:t>
      </w:r>
      <w:r>
        <w:rPr>
          <w:rFonts w:ascii="FangSong" w:hAnsi="FangSong" w:eastAsia="FangSong" w:cs="FangSong"/>
          <w:sz w:val="24"/>
          <w:szCs w:val="24"/>
          <w:spacing w:val="-1"/>
        </w:rPr>
        <w:t>栖脊椎动物调查主要采用样线法、观察法和访问法等方法进行。观察植被类型、</w:t>
      </w:r>
      <w:r>
        <w:rPr>
          <w:rFonts w:ascii="FangSong" w:hAnsi="FangSong" w:eastAsia="FangSong" w:cs="FangSong"/>
          <w:sz w:val="24"/>
          <w:szCs w:val="24"/>
          <w:spacing w:val="-8"/>
        </w:rPr>
        <w:t>生境条件、溪流等陆栖脊椎动物生存的资源条件，同时对于动物的实体及其足迹、</w:t>
      </w:r>
      <w:r>
        <w:rPr>
          <w:rFonts w:ascii="FangSong" w:hAnsi="FangSong" w:eastAsia="FangSong" w:cs="FangSong"/>
          <w:sz w:val="24"/>
          <w:szCs w:val="24"/>
          <w:spacing w:val="-3"/>
        </w:rPr>
        <w:t>叫声、粪便、取食痕迹等予以重点观察。由于工作时间有限，还采取</w:t>
      </w:r>
      <w:r>
        <w:rPr>
          <w:rFonts w:ascii="FangSong" w:hAnsi="FangSong" w:eastAsia="FangSong" w:cs="FangSong"/>
          <w:sz w:val="24"/>
          <w:szCs w:val="24"/>
          <w:spacing w:val="-4"/>
        </w:rPr>
        <w:t>了非诱导访</w:t>
      </w:r>
      <w:r>
        <w:rPr>
          <w:rFonts w:ascii="FangSong" w:hAnsi="FangSong" w:eastAsia="FangSong" w:cs="FangSong"/>
          <w:sz w:val="24"/>
          <w:szCs w:val="24"/>
          <w:spacing w:val="-3"/>
        </w:rPr>
        <w:t>谈法对影响评价区周边村落的群众进行调查，了解他们常年在附近从</w:t>
      </w:r>
      <w:r>
        <w:rPr>
          <w:rFonts w:ascii="FangSong" w:hAnsi="FangSong" w:eastAsia="FangSong" w:cs="FangSong"/>
          <w:sz w:val="24"/>
          <w:szCs w:val="24"/>
          <w:spacing w:val="-4"/>
        </w:rPr>
        <w:t>事放牧、非</w:t>
      </w:r>
      <w:r>
        <w:rPr>
          <w:rFonts w:ascii="FangSong" w:hAnsi="FangSong" w:eastAsia="FangSong" w:cs="FangSong"/>
          <w:sz w:val="24"/>
          <w:szCs w:val="24"/>
          <w:spacing w:val="-3"/>
        </w:rPr>
        <w:t>林农产品采集等活动所观察到的陆栖脊椎动物分布及种群数量的情况</w:t>
      </w:r>
      <w:r>
        <w:rPr>
          <w:rFonts w:ascii="FangSong" w:hAnsi="FangSong" w:eastAsia="FangSong" w:cs="FangSong"/>
          <w:sz w:val="24"/>
          <w:szCs w:val="24"/>
          <w:spacing w:val="-4"/>
        </w:rPr>
        <w:t>。由上述调</w:t>
      </w:r>
      <w:r>
        <w:rPr>
          <w:rFonts w:ascii="FangSong" w:hAnsi="FangSong" w:eastAsia="FangSong" w:cs="FangSong"/>
          <w:sz w:val="24"/>
          <w:szCs w:val="24"/>
          <w:spacing w:val="-3"/>
        </w:rPr>
        <w:t>查所得到的资料，与前人调查结果中的记载相结合验证，得出本次生</w:t>
      </w:r>
      <w:r>
        <w:rPr>
          <w:rFonts w:ascii="FangSong" w:hAnsi="FangSong" w:eastAsia="FangSong" w:cs="FangSong"/>
          <w:sz w:val="24"/>
          <w:szCs w:val="24"/>
          <w:spacing w:val="-4"/>
        </w:rPr>
        <w:t>态评价区动</w:t>
      </w:r>
      <w:r>
        <w:rPr>
          <w:rFonts w:ascii="FangSong" w:hAnsi="FangSong" w:eastAsia="FangSong" w:cs="FangSong"/>
          <w:sz w:val="24"/>
          <w:szCs w:val="24"/>
          <w:spacing w:val="-1"/>
        </w:rPr>
        <w:t>物的分布、资源现状，并在此基础上进行影响的分析评价。</w:t>
      </w:r>
    </w:p>
    <w:p>
      <w:pPr>
        <w:ind w:left="123" w:right="107" w:firstLine="480"/>
        <w:spacing w:before="1" w:line="360" w:lineRule="auto"/>
        <w:jc w:val="both"/>
        <w:rPr>
          <w:rFonts w:ascii="FangSong" w:hAnsi="FangSong" w:eastAsia="FangSong" w:cs="FangSong"/>
          <w:sz w:val="24"/>
          <w:szCs w:val="24"/>
        </w:rPr>
      </w:pPr>
      <w:r>
        <w:rPr>
          <w:rFonts w:ascii="FangSong" w:hAnsi="FangSong" w:eastAsia="FangSong" w:cs="FangSong"/>
          <w:sz w:val="24"/>
          <w:szCs w:val="24"/>
        </w:rPr>
        <w:t>根据《环境影响评价技术导则生态影响》（</w:t>
      </w:r>
      <w:r>
        <w:rPr>
          <w:rFonts w:ascii="Times New Roman" w:hAnsi="Times New Roman" w:eastAsia="Times New Roman" w:cs="Times New Roman"/>
          <w:sz w:val="24"/>
          <w:szCs w:val="24"/>
        </w:rPr>
        <w:t>HJ19-2022</w:t>
      </w:r>
      <w:r>
        <w:rPr>
          <w:rFonts w:ascii="FangSong" w:hAnsi="FangSong" w:eastAsia="FangSong" w:cs="FangSong"/>
          <w:sz w:val="24"/>
          <w:szCs w:val="24"/>
          <w:spacing w:val="14"/>
        </w:rPr>
        <w:t>），</w:t>
      </w:r>
      <w:r>
        <w:rPr>
          <w:rFonts w:ascii="FangSong" w:hAnsi="FangSong" w:eastAsia="FangSong" w:cs="FangSong"/>
          <w:sz w:val="24"/>
          <w:szCs w:val="24"/>
          <w:spacing w:val="-1"/>
        </w:rPr>
        <w:t>二级评价野生动</w:t>
      </w:r>
      <w:r>
        <w:rPr>
          <w:rFonts w:ascii="FangSong" w:hAnsi="FangSong" w:eastAsia="FangSong" w:cs="FangSong"/>
          <w:sz w:val="24"/>
          <w:szCs w:val="24"/>
          <w:spacing w:val="-4"/>
        </w:rPr>
        <w:t>物调查样线数量不少于</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4"/>
        </w:rPr>
        <w:t>条。本次评价的动物样线设置情况见表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5.6-20</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至</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5.6-</w:t>
      </w:r>
      <w:r>
        <w:rPr>
          <w:rFonts w:ascii="Times New Roman" w:hAnsi="Times New Roman" w:eastAsia="Times New Roman" w:cs="Times New Roman"/>
          <w:sz w:val="24"/>
          <w:szCs w:val="24"/>
          <w:spacing w:val="-5"/>
        </w:rPr>
        <w:t>22</w:t>
      </w:r>
      <w:r>
        <w:rPr>
          <w:rFonts w:ascii="FangSong" w:hAnsi="FangSong" w:eastAsia="FangSong" w:cs="FangSong"/>
          <w:sz w:val="24"/>
          <w:szCs w:val="24"/>
          <w:spacing w:val="-5"/>
        </w:rPr>
        <w:t>和附图</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5"/>
        </w:rPr>
        <w:t>5-11</w:t>
      </w:r>
      <w:r>
        <w:rPr>
          <w:rFonts w:ascii="FangSong" w:hAnsi="FangSong" w:eastAsia="FangSong" w:cs="FangSong"/>
          <w:sz w:val="24"/>
          <w:szCs w:val="24"/>
          <w:spacing w:val="-5"/>
        </w:rPr>
        <w:t>。</w:t>
      </w:r>
    </w:p>
    <w:p>
      <w:pPr>
        <w:ind w:left="3012"/>
        <w:spacing w:line="219"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5"/>
        </w:rPr>
        <w:t>5.6-20 Y1</w:t>
      </w:r>
      <w:r>
        <w:rPr>
          <w:rFonts w:ascii="Times New Roman" w:hAnsi="Times New Roman" w:eastAsia="Times New Roman" w:cs="Times New Roman"/>
          <w:sz w:val="24"/>
          <w:szCs w:val="24"/>
          <w:b/>
          <w:bCs/>
          <w:spacing w:val="17"/>
        </w:rPr>
        <w:t xml:space="preserve"> </w:t>
      </w:r>
      <w:r>
        <w:rPr>
          <w:rFonts w:ascii="FangSong" w:hAnsi="FangSong" w:eastAsia="FangSong" w:cs="FangSong"/>
          <w:sz w:val="24"/>
          <w:szCs w:val="24"/>
          <w:b/>
          <w:bCs/>
          <w:spacing w:val="-5"/>
        </w:rPr>
        <w:t>样线调查表</w:t>
      </w:r>
    </w:p>
    <w:p>
      <w:pPr>
        <w:spacing w:line="68"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5"/>
        <w:gridCol w:w="2367"/>
        <w:gridCol w:w="1260"/>
        <w:gridCol w:w="1705"/>
        <w:gridCol w:w="1705"/>
      </w:tblGrid>
      <w:tr>
        <w:trPr>
          <w:trHeight w:val="315" w:hRule="atLeast"/>
        </w:trPr>
        <w:tc>
          <w:tcPr>
            <w:tcW w:w="1485" w:type="dxa"/>
            <w:vAlign w:val="top"/>
            <w:tcBorders>
              <w:top w:val="single" w:color="000000" w:sz="10" w:space="0"/>
              <w:left w:val="nil"/>
            </w:tcBorders>
          </w:tcPr>
          <w:p>
            <w:pPr>
              <w:pStyle w:val="TableText"/>
              <w:ind w:left="441"/>
              <w:spacing w:before="56" w:line="229" w:lineRule="auto"/>
              <w:rPr/>
            </w:pPr>
            <w:r>
              <w:rPr>
                <w:spacing w:val="4"/>
              </w:rPr>
              <w:t>物种名</w:t>
            </w:r>
          </w:p>
        </w:tc>
        <w:tc>
          <w:tcPr>
            <w:tcW w:w="2367" w:type="dxa"/>
            <w:vAlign w:val="top"/>
            <w:tcBorders>
              <w:top w:val="single" w:color="000000" w:sz="10" w:space="0"/>
            </w:tcBorders>
          </w:tcPr>
          <w:p>
            <w:pPr>
              <w:pStyle w:val="TableText"/>
              <w:ind w:left="877"/>
              <w:spacing w:before="55" w:line="230" w:lineRule="auto"/>
              <w:rPr/>
            </w:pPr>
            <w:r>
              <w:rPr>
                <w:spacing w:val="5"/>
              </w:rPr>
              <w:t>拉丁名</w:t>
            </w:r>
          </w:p>
        </w:tc>
        <w:tc>
          <w:tcPr>
            <w:tcW w:w="1260" w:type="dxa"/>
            <w:vAlign w:val="top"/>
            <w:tcBorders>
              <w:top w:val="single" w:color="000000" w:sz="10" w:space="0"/>
            </w:tcBorders>
          </w:tcPr>
          <w:p>
            <w:pPr>
              <w:pStyle w:val="TableText"/>
              <w:ind w:left="224"/>
              <w:spacing w:before="55" w:line="230" w:lineRule="auto"/>
              <w:rPr/>
            </w:pPr>
            <w:r>
              <w:rPr>
                <w:spacing w:val="4"/>
              </w:rPr>
              <w:t>实体数量</w:t>
            </w:r>
          </w:p>
        </w:tc>
        <w:tc>
          <w:tcPr>
            <w:tcW w:w="1705" w:type="dxa"/>
            <w:vAlign w:val="top"/>
            <w:tcBorders>
              <w:top w:val="single" w:color="000000" w:sz="10" w:space="0"/>
            </w:tcBorders>
          </w:tcPr>
          <w:p>
            <w:pPr>
              <w:pStyle w:val="TableText"/>
              <w:ind w:left="128"/>
              <w:spacing w:before="55" w:line="230" w:lineRule="auto"/>
              <w:rPr/>
            </w:pPr>
            <w:r>
              <w:rPr>
                <w:spacing w:val="7"/>
              </w:rPr>
              <w:t>痕迹类型及数量</w:t>
            </w:r>
          </w:p>
        </w:tc>
        <w:tc>
          <w:tcPr>
            <w:tcW w:w="1705" w:type="dxa"/>
            <w:vAlign w:val="top"/>
            <w:tcBorders>
              <w:top w:val="single" w:color="000000" w:sz="10" w:space="0"/>
              <w:right w:val="nil"/>
            </w:tcBorders>
          </w:tcPr>
          <w:p>
            <w:pPr>
              <w:pStyle w:val="TableText"/>
              <w:ind w:left="655"/>
              <w:spacing w:before="55" w:line="230" w:lineRule="auto"/>
              <w:rPr/>
            </w:pPr>
            <w:r>
              <w:rPr>
                <w:spacing w:val="1"/>
              </w:rPr>
              <w:t>备注</w:t>
            </w:r>
          </w:p>
        </w:tc>
      </w:tr>
      <w:tr>
        <w:trPr>
          <w:trHeight w:val="311" w:hRule="atLeast"/>
        </w:trPr>
        <w:tc>
          <w:tcPr>
            <w:tcW w:w="1485" w:type="dxa"/>
            <w:vAlign w:val="top"/>
            <w:tcBorders>
              <w:left w:val="nil"/>
            </w:tcBorders>
          </w:tcPr>
          <w:p>
            <w:pPr>
              <w:pStyle w:val="TableText"/>
              <w:ind w:left="342"/>
              <w:spacing w:before="57" w:line="225" w:lineRule="auto"/>
              <w:rPr/>
            </w:pPr>
            <w:r>
              <w:rPr>
                <w:spacing w:val="4"/>
              </w:rPr>
              <w:t>黑线仓鼠</w:t>
            </w:r>
          </w:p>
        </w:tc>
        <w:tc>
          <w:tcPr>
            <w:tcW w:w="2367" w:type="dxa"/>
            <w:vAlign w:val="top"/>
          </w:tcPr>
          <w:p>
            <w:pPr>
              <w:ind w:left="269"/>
              <w:spacing w:before="8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Cricetulus Barabensis</w:t>
            </w:r>
          </w:p>
        </w:tc>
        <w:tc>
          <w:tcPr>
            <w:tcW w:w="1260" w:type="dxa"/>
            <w:vAlign w:val="top"/>
          </w:tcPr>
          <w:p>
            <w:pPr>
              <w:rPr>
                <w:rFonts w:ascii="Arial"/>
                <w:sz w:val="21"/>
              </w:rPr>
            </w:pPr>
            <w:r/>
          </w:p>
        </w:tc>
        <w:tc>
          <w:tcPr>
            <w:tcW w:w="1705" w:type="dxa"/>
            <w:vAlign w:val="top"/>
          </w:tcPr>
          <w:p>
            <w:pPr>
              <w:pStyle w:val="TableText"/>
              <w:ind w:left="528"/>
              <w:spacing w:before="57" w:line="225" w:lineRule="auto"/>
              <w:rPr>
                <w:rFonts w:ascii="Times New Roman" w:hAnsi="Times New Roman" w:eastAsia="Times New Roman" w:cs="Times New Roman"/>
              </w:rPr>
            </w:pPr>
            <w:r>
              <w:rPr>
                <w:spacing w:val="-5"/>
              </w:rPr>
              <w:t>粪便</w:t>
            </w:r>
            <w:r>
              <w:rPr>
                <w:spacing w:val="-18"/>
              </w:rPr>
              <w:t xml:space="preserve"> </w:t>
            </w:r>
            <w:r>
              <w:rPr>
                <w:rFonts w:ascii="Times New Roman" w:hAnsi="Times New Roman" w:eastAsia="Times New Roman" w:cs="Times New Roman"/>
                <w:spacing w:val="-5"/>
              </w:rPr>
              <w:t>14</w:t>
            </w:r>
          </w:p>
        </w:tc>
        <w:tc>
          <w:tcPr>
            <w:tcW w:w="1705" w:type="dxa"/>
            <w:vAlign w:val="top"/>
            <w:tcBorders>
              <w:right w:val="nil"/>
            </w:tcBorders>
          </w:tcPr>
          <w:p>
            <w:pPr>
              <w:rPr>
                <w:rFonts w:ascii="Arial"/>
                <w:sz w:val="21"/>
              </w:rPr>
            </w:pPr>
            <w:r/>
          </w:p>
        </w:tc>
      </w:tr>
      <w:tr>
        <w:trPr>
          <w:trHeight w:val="311" w:hRule="atLeast"/>
        </w:trPr>
        <w:tc>
          <w:tcPr>
            <w:tcW w:w="1485" w:type="dxa"/>
            <w:vAlign w:val="top"/>
            <w:tcBorders>
              <w:left w:val="nil"/>
            </w:tcBorders>
          </w:tcPr>
          <w:p>
            <w:pPr>
              <w:pStyle w:val="TableText"/>
              <w:ind w:left="653"/>
              <w:spacing w:before="64" w:line="218" w:lineRule="auto"/>
              <w:rPr/>
            </w:pPr>
            <w:r>
              <w:rPr/>
              <w:t>马</w:t>
            </w:r>
          </w:p>
        </w:tc>
        <w:tc>
          <w:tcPr>
            <w:tcW w:w="2367" w:type="dxa"/>
            <w:vAlign w:val="top"/>
          </w:tcPr>
          <w:p>
            <w:pPr>
              <w:ind w:left="840"/>
              <w:spacing w:before="9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Equidae</w:t>
            </w:r>
          </w:p>
        </w:tc>
        <w:tc>
          <w:tcPr>
            <w:tcW w:w="1260" w:type="dxa"/>
            <w:vAlign w:val="top"/>
          </w:tcPr>
          <w:p>
            <w:pPr>
              <w:rPr>
                <w:rFonts w:ascii="Arial"/>
                <w:sz w:val="21"/>
              </w:rPr>
            </w:pPr>
            <w:r/>
          </w:p>
        </w:tc>
        <w:tc>
          <w:tcPr>
            <w:tcW w:w="1705" w:type="dxa"/>
            <w:vAlign w:val="top"/>
          </w:tcPr>
          <w:p>
            <w:pPr>
              <w:pStyle w:val="TableText"/>
              <w:ind w:left="581"/>
              <w:spacing w:before="64" w:line="218" w:lineRule="auto"/>
              <w:rPr>
                <w:rFonts w:ascii="Times New Roman" w:hAnsi="Times New Roman" w:eastAsia="Times New Roman" w:cs="Times New Roman"/>
              </w:rPr>
            </w:pPr>
            <w:r>
              <w:rPr>
                <w:spacing w:val="-1"/>
              </w:rPr>
              <w:t>粪便</w:t>
            </w:r>
            <w:r>
              <w:rPr>
                <w:spacing w:val="-43"/>
              </w:rPr>
              <w:t xml:space="preserve"> </w:t>
            </w:r>
            <w:r>
              <w:rPr>
                <w:rFonts w:ascii="Times New Roman" w:hAnsi="Times New Roman" w:eastAsia="Times New Roman" w:cs="Times New Roman"/>
                <w:spacing w:val="-1"/>
              </w:rPr>
              <w:t>4</w:t>
            </w:r>
          </w:p>
        </w:tc>
        <w:tc>
          <w:tcPr>
            <w:tcW w:w="1705" w:type="dxa"/>
            <w:vAlign w:val="top"/>
            <w:tcBorders>
              <w:right w:val="nil"/>
            </w:tcBorders>
          </w:tcPr>
          <w:p>
            <w:pPr>
              <w:rPr>
                <w:rFonts w:ascii="Arial"/>
                <w:sz w:val="21"/>
              </w:rPr>
            </w:pPr>
            <w:r/>
          </w:p>
        </w:tc>
      </w:tr>
      <w:tr>
        <w:trPr>
          <w:trHeight w:val="334" w:hRule="atLeast"/>
        </w:trPr>
        <w:tc>
          <w:tcPr>
            <w:tcW w:w="1485" w:type="dxa"/>
            <w:vAlign w:val="top"/>
            <w:tcBorders>
              <w:bottom w:val="single" w:color="000000" w:sz="10" w:space="0"/>
              <w:left w:val="nil"/>
            </w:tcBorders>
          </w:tcPr>
          <w:p>
            <w:pPr>
              <w:pStyle w:val="TableText"/>
              <w:ind w:left="545"/>
              <w:spacing w:before="70" w:line="232" w:lineRule="auto"/>
              <w:rPr/>
            </w:pPr>
            <w:r>
              <w:rPr>
                <w:spacing w:val="2"/>
              </w:rPr>
              <w:t>蚯蚓</w:t>
            </w:r>
          </w:p>
        </w:tc>
        <w:tc>
          <w:tcPr>
            <w:tcW w:w="2367" w:type="dxa"/>
            <w:vAlign w:val="top"/>
            <w:tcBorders>
              <w:bottom w:val="single" w:color="000000" w:sz="10" w:space="0"/>
            </w:tcBorders>
          </w:tcPr>
          <w:p>
            <w:pPr>
              <w:ind w:left="760"/>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Pheretima</w:t>
            </w:r>
          </w:p>
        </w:tc>
        <w:tc>
          <w:tcPr>
            <w:tcW w:w="1260" w:type="dxa"/>
            <w:vAlign w:val="top"/>
            <w:tcBorders>
              <w:bottom w:val="single" w:color="000000" w:sz="10" w:space="0"/>
            </w:tcBorders>
          </w:tcPr>
          <w:p>
            <w:pPr>
              <w:rPr>
                <w:rFonts w:ascii="Arial"/>
                <w:sz w:val="21"/>
              </w:rPr>
            </w:pPr>
            <w:r/>
          </w:p>
        </w:tc>
        <w:tc>
          <w:tcPr>
            <w:tcW w:w="1705" w:type="dxa"/>
            <w:vAlign w:val="top"/>
            <w:tcBorders>
              <w:bottom w:val="single" w:color="000000" w:sz="10" w:space="0"/>
            </w:tcBorders>
          </w:tcPr>
          <w:p>
            <w:pPr>
              <w:pStyle w:val="TableText"/>
              <w:ind w:left="573"/>
              <w:spacing w:before="70" w:line="232" w:lineRule="auto"/>
              <w:rPr>
                <w:rFonts w:ascii="Times New Roman" w:hAnsi="Times New Roman" w:eastAsia="Times New Roman" w:cs="Times New Roman"/>
              </w:rPr>
            </w:pPr>
            <w:r>
              <w:rPr>
                <w:spacing w:val="1"/>
              </w:rPr>
              <w:t>洞穴</w:t>
            </w:r>
            <w:r>
              <w:rPr>
                <w:spacing w:val="-22"/>
              </w:rPr>
              <w:t xml:space="preserve"> </w:t>
            </w:r>
            <w:r>
              <w:rPr>
                <w:rFonts w:ascii="Times New Roman" w:hAnsi="Times New Roman" w:eastAsia="Times New Roman" w:cs="Times New Roman"/>
                <w:spacing w:val="1"/>
              </w:rPr>
              <w:t>1</w:t>
            </w:r>
          </w:p>
        </w:tc>
        <w:tc>
          <w:tcPr>
            <w:tcW w:w="1705" w:type="dxa"/>
            <w:vAlign w:val="top"/>
            <w:tcBorders>
              <w:bottom w:val="single" w:color="000000" w:sz="10" w:space="0"/>
              <w:right w:val="nil"/>
            </w:tcBorders>
          </w:tcPr>
          <w:p>
            <w:pPr>
              <w:rPr>
                <w:rFonts w:ascii="Arial"/>
                <w:sz w:val="21"/>
              </w:rPr>
            </w:pPr>
            <w:r/>
          </w:p>
        </w:tc>
      </w:tr>
    </w:tbl>
    <w:p>
      <w:pPr>
        <w:pStyle w:val="BodyText"/>
        <w:spacing w:line="251" w:lineRule="auto"/>
        <w:rPr/>
      </w:pPr>
      <w:r/>
    </w:p>
    <w:p>
      <w:pPr>
        <w:pStyle w:val="BodyText"/>
        <w:spacing w:line="252" w:lineRule="auto"/>
        <w:rPr/>
      </w:pPr>
      <w:r/>
    </w:p>
    <w:p>
      <w:pPr>
        <w:ind w:left="3012"/>
        <w:spacing w:before="79" w:line="219"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5"/>
        </w:rPr>
        <w:t>5.6-21 Y2</w:t>
      </w:r>
      <w:r>
        <w:rPr>
          <w:rFonts w:ascii="Times New Roman" w:hAnsi="Times New Roman" w:eastAsia="Times New Roman" w:cs="Times New Roman"/>
          <w:sz w:val="24"/>
          <w:szCs w:val="24"/>
          <w:b/>
          <w:bCs/>
          <w:spacing w:val="17"/>
        </w:rPr>
        <w:t xml:space="preserve"> </w:t>
      </w:r>
      <w:r>
        <w:rPr>
          <w:rFonts w:ascii="FangSong" w:hAnsi="FangSong" w:eastAsia="FangSong" w:cs="FangSong"/>
          <w:sz w:val="24"/>
          <w:szCs w:val="24"/>
          <w:b/>
          <w:bCs/>
          <w:spacing w:val="-5"/>
        </w:rPr>
        <w:t>样线调查表</w:t>
      </w:r>
    </w:p>
    <w:p>
      <w:pPr>
        <w:spacing w:line="67"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3"/>
        <w:gridCol w:w="2145"/>
        <w:gridCol w:w="1263"/>
        <w:gridCol w:w="1705"/>
        <w:gridCol w:w="1706"/>
      </w:tblGrid>
      <w:tr>
        <w:trPr>
          <w:trHeight w:val="313" w:hRule="atLeast"/>
        </w:trPr>
        <w:tc>
          <w:tcPr>
            <w:tcW w:w="1703" w:type="dxa"/>
            <w:vAlign w:val="top"/>
            <w:tcBorders>
              <w:top w:val="single" w:color="000000" w:sz="10" w:space="0"/>
              <w:left w:val="nil"/>
            </w:tcBorders>
          </w:tcPr>
          <w:p>
            <w:pPr>
              <w:pStyle w:val="TableText"/>
              <w:ind w:left="549"/>
              <w:spacing w:before="57" w:line="227" w:lineRule="auto"/>
              <w:rPr/>
            </w:pPr>
            <w:r>
              <w:rPr>
                <w:spacing w:val="4"/>
              </w:rPr>
              <w:t>物种名</w:t>
            </w:r>
          </w:p>
        </w:tc>
        <w:tc>
          <w:tcPr>
            <w:tcW w:w="2145" w:type="dxa"/>
            <w:vAlign w:val="top"/>
            <w:tcBorders>
              <w:top w:val="single" w:color="000000" w:sz="10" w:space="0"/>
            </w:tcBorders>
          </w:tcPr>
          <w:p>
            <w:pPr>
              <w:pStyle w:val="TableText"/>
              <w:ind w:left="767"/>
              <w:spacing w:before="57" w:line="227" w:lineRule="auto"/>
              <w:rPr/>
            </w:pPr>
            <w:r>
              <w:rPr>
                <w:spacing w:val="5"/>
              </w:rPr>
              <w:t>拉丁名</w:t>
            </w:r>
          </w:p>
        </w:tc>
        <w:tc>
          <w:tcPr>
            <w:tcW w:w="1263" w:type="dxa"/>
            <w:vAlign w:val="top"/>
            <w:tcBorders>
              <w:top w:val="single" w:color="000000" w:sz="10" w:space="0"/>
            </w:tcBorders>
          </w:tcPr>
          <w:p>
            <w:pPr>
              <w:pStyle w:val="TableText"/>
              <w:ind w:left="225"/>
              <w:spacing w:before="57" w:line="227" w:lineRule="auto"/>
              <w:rPr/>
            </w:pPr>
            <w:r>
              <w:rPr>
                <w:spacing w:val="4"/>
              </w:rPr>
              <w:t>实体数量</w:t>
            </w:r>
          </w:p>
        </w:tc>
        <w:tc>
          <w:tcPr>
            <w:tcW w:w="1705" w:type="dxa"/>
            <w:vAlign w:val="top"/>
            <w:tcBorders>
              <w:top w:val="single" w:color="000000" w:sz="10" w:space="0"/>
            </w:tcBorders>
          </w:tcPr>
          <w:p>
            <w:pPr>
              <w:pStyle w:val="TableText"/>
              <w:ind w:left="444"/>
              <w:spacing w:before="57" w:line="227" w:lineRule="auto"/>
              <w:rPr/>
            </w:pPr>
            <w:r>
              <w:rPr>
                <w:spacing w:val="5"/>
              </w:rPr>
              <w:t>痕迹类型</w:t>
            </w:r>
          </w:p>
        </w:tc>
        <w:tc>
          <w:tcPr>
            <w:tcW w:w="1706" w:type="dxa"/>
            <w:vAlign w:val="top"/>
            <w:tcBorders>
              <w:top w:val="single" w:color="000000" w:sz="10" w:space="0"/>
              <w:right w:val="nil"/>
            </w:tcBorders>
          </w:tcPr>
          <w:p>
            <w:pPr>
              <w:pStyle w:val="TableText"/>
              <w:ind w:left="656"/>
              <w:spacing w:before="57" w:line="227" w:lineRule="auto"/>
              <w:rPr/>
            </w:pPr>
            <w:r>
              <w:rPr>
                <w:spacing w:val="1"/>
              </w:rPr>
              <w:t>备注</w:t>
            </w:r>
          </w:p>
        </w:tc>
      </w:tr>
      <w:tr>
        <w:trPr>
          <w:trHeight w:val="309" w:hRule="atLeast"/>
        </w:trPr>
        <w:tc>
          <w:tcPr>
            <w:tcW w:w="1703" w:type="dxa"/>
            <w:vAlign w:val="top"/>
            <w:tcBorders>
              <w:left w:val="nil"/>
            </w:tcBorders>
          </w:tcPr>
          <w:p>
            <w:pPr>
              <w:pStyle w:val="TableText"/>
              <w:ind w:left="653"/>
              <w:spacing w:before="60" w:line="220" w:lineRule="auto"/>
              <w:rPr/>
            </w:pPr>
            <w:r>
              <w:rPr>
                <w:spacing w:val="2"/>
              </w:rPr>
              <w:t>蜥蜴</w:t>
            </w:r>
          </w:p>
        </w:tc>
        <w:tc>
          <w:tcPr>
            <w:tcW w:w="2145" w:type="dxa"/>
            <w:vAlign w:val="top"/>
          </w:tcPr>
          <w:p>
            <w:pPr>
              <w:ind w:left="799"/>
              <w:spacing w:before="9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Lizard</w:t>
            </w:r>
          </w:p>
        </w:tc>
        <w:tc>
          <w:tcPr>
            <w:tcW w:w="1263" w:type="dxa"/>
            <w:vAlign w:val="top"/>
          </w:tcPr>
          <w:p>
            <w:pPr>
              <w:ind w:left="601"/>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5" w:type="dxa"/>
            <w:vAlign w:val="top"/>
          </w:tcPr>
          <w:p>
            <w:pPr>
              <w:rPr>
                <w:rFonts w:ascii="Arial"/>
                <w:sz w:val="21"/>
              </w:rPr>
            </w:pPr>
            <w:r/>
          </w:p>
        </w:tc>
        <w:tc>
          <w:tcPr>
            <w:tcW w:w="1706" w:type="dxa"/>
            <w:vAlign w:val="top"/>
            <w:tcBorders>
              <w:right w:val="nil"/>
            </w:tcBorders>
          </w:tcPr>
          <w:p>
            <w:pPr>
              <w:rPr>
                <w:rFonts w:ascii="Arial"/>
                <w:sz w:val="21"/>
              </w:rPr>
            </w:pPr>
            <w:r/>
          </w:p>
        </w:tc>
      </w:tr>
      <w:tr>
        <w:trPr>
          <w:trHeight w:val="332" w:hRule="atLeast"/>
        </w:trPr>
        <w:tc>
          <w:tcPr>
            <w:tcW w:w="1703" w:type="dxa"/>
            <w:vAlign w:val="top"/>
            <w:tcBorders>
              <w:bottom w:val="single" w:color="000000" w:sz="10" w:space="0"/>
              <w:left w:val="nil"/>
            </w:tcBorders>
          </w:tcPr>
          <w:p>
            <w:pPr>
              <w:pStyle w:val="TableText"/>
              <w:ind w:left="653"/>
              <w:spacing w:before="67" w:line="232" w:lineRule="auto"/>
              <w:rPr/>
            </w:pPr>
            <w:r>
              <w:rPr>
                <w:spacing w:val="2"/>
              </w:rPr>
              <w:t>蚯蚓</w:t>
            </w:r>
          </w:p>
        </w:tc>
        <w:tc>
          <w:tcPr>
            <w:tcW w:w="2145" w:type="dxa"/>
            <w:vAlign w:val="top"/>
            <w:tcBorders>
              <w:bottom w:val="single" w:color="000000" w:sz="10" w:space="0"/>
            </w:tcBorders>
          </w:tcPr>
          <w:p>
            <w:pPr>
              <w:ind w:left="647"/>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Pheretima</w:t>
            </w:r>
          </w:p>
        </w:tc>
        <w:tc>
          <w:tcPr>
            <w:tcW w:w="1263" w:type="dxa"/>
            <w:vAlign w:val="top"/>
            <w:tcBorders>
              <w:bottom w:val="single" w:color="000000" w:sz="10" w:space="0"/>
            </w:tcBorders>
          </w:tcPr>
          <w:p>
            <w:pPr>
              <w:rPr>
                <w:rFonts w:ascii="Arial"/>
                <w:sz w:val="21"/>
              </w:rPr>
            </w:pPr>
            <w:r/>
          </w:p>
        </w:tc>
        <w:tc>
          <w:tcPr>
            <w:tcW w:w="1705" w:type="dxa"/>
            <w:vAlign w:val="top"/>
            <w:tcBorders>
              <w:bottom w:val="single" w:color="000000" w:sz="10" w:space="0"/>
            </w:tcBorders>
          </w:tcPr>
          <w:p>
            <w:pPr>
              <w:pStyle w:val="TableText"/>
              <w:ind w:left="572"/>
              <w:spacing w:before="67" w:line="232" w:lineRule="auto"/>
              <w:rPr>
                <w:rFonts w:ascii="Times New Roman" w:hAnsi="Times New Roman" w:eastAsia="Times New Roman" w:cs="Times New Roman"/>
              </w:rPr>
            </w:pPr>
            <w:r>
              <w:rPr>
                <w:spacing w:val="1"/>
              </w:rPr>
              <w:t>洞穴</w:t>
            </w:r>
            <w:r>
              <w:rPr>
                <w:spacing w:val="-40"/>
              </w:rPr>
              <w:t xml:space="preserve"> </w:t>
            </w:r>
            <w:r>
              <w:rPr>
                <w:rFonts w:ascii="Times New Roman" w:hAnsi="Times New Roman" w:eastAsia="Times New Roman" w:cs="Times New Roman"/>
                <w:spacing w:val="1"/>
              </w:rPr>
              <w:t>2</w:t>
            </w:r>
          </w:p>
        </w:tc>
        <w:tc>
          <w:tcPr>
            <w:tcW w:w="1706" w:type="dxa"/>
            <w:vAlign w:val="top"/>
            <w:tcBorders>
              <w:bottom w:val="single" w:color="000000" w:sz="10" w:space="0"/>
              <w:right w:val="nil"/>
            </w:tcBorders>
          </w:tcPr>
          <w:p>
            <w:pPr>
              <w:rPr>
                <w:rFonts w:ascii="Arial"/>
                <w:sz w:val="21"/>
              </w:rPr>
            </w:pPr>
            <w:r/>
          </w:p>
        </w:tc>
      </w:tr>
    </w:tbl>
    <w:p>
      <w:pPr>
        <w:pStyle w:val="BodyText"/>
        <w:rPr/>
      </w:pPr>
      <w:r/>
    </w:p>
    <w:p>
      <w:pPr>
        <w:sectPr>
          <w:footerReference w:type="default" r:id="rId266"/>
          <w:pgSz w:w="11906" w:h="16839"/>
          <w:pgMar w:top="400" w:right="1691" w:bottom="1358" w:left="1691" w:header="0" w:footer="1195" w:gutter="0"/>
        </w:sectPr>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12"/>
        <w:spacing w:before="79" w:line="219" w:lineRule="auto"/>
        <w:rPr>
          <w:rFonts w:ascii="FangSong" w:hAnsi="FangSong" w:eastAsia="FangSong" w:cs="FangSong"/>
          <w:sz w:val="24"/>
          <w:szCs w:val="24"/>
        </w:rPr>
      </w:pPr>
      <w:bookmarkStart w:name="bookmark589" w:id="361"/>
      <w:bookmarkEnd w:id="361"/>
      <w:r>
        <w:rPr>
          <w:rFonts w:ascii="FangSong" w:hAnsi="FangSong" w:eastAsia="FangSong" w:cs="FangSong"/>
          <w:sz w:val="24"/>
          <w:szCs w:val="24"/>
          <w:b/>
          <w:bCs/>
          <w:spacing w:val="-5"/>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5"/>
        </w:rPr>
        <w:t>5.6-22 Y3</w:t>
      </w:r>
      <w:r>
        <w:rPr>
          <w:rFonts w:ascii="Times New Roman" w:hAnsi="Times New Roman" w:eastAsia="Times New Roman" w:cs="Times New Roman"/>
          <w:sz w:val="24"/>
          <w:szCs w:val="24"/>
          <w:b/>
          <w:bCs/>
          <w:spacing w:val="17"/>
        </w:rPr>
        <w:t xml:space="preserve"> </w:t>
      </w:r>
      <w:r>
        <w:rPr>
          <w:rFonts w:ascii="FangSong" w:hAnsi="FangSong" w:eastAsia="FangSong" w:cs="FangSong"/>
          <w:sz w:val="24"/>
          <w:szCs w:val="24"/>
          <w:b/>
          <w:bCs/>
          <w:spacing w:val="-5"/>
        </w:rPr>
        <w:t>样线调查表</w:t>
      </w:r>
    </w:p>
    <w:p>
      <w:pPr>
        <w:spacing w:line="68"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3"/>
        <w:gridCol w:w="2131"/>
        <w:gridCol w:w="1277"/>
        <w:gridCol w:w="1705"/>
        <w:gridCol w:w="1706"/>
      </w:tblGrid>
      <w:tr>
        <w:trPr>
          <w:trHeight w:val="315" w:hRule="atLeast"/>
        </w:trPr>
        <w:tc>
          <w:tcPr>
            <w:tcW w:w="1703" w:type="dxa"/>
            <w:vAlign w:val="top"/>
            <w:tcBorders>
              <w:top w:val="single" w:color="000000" w:sz="10" w:space="0"/>
              <w:left w:val="nil"/>
            </w:tcBorders>
          </w:tcPr>
          <w:p>
            <w:pPr>
              <w:pStyle w:val="TableText"/>
              <w:ind w:left="549"/>
              <w:spacing w:before="56" w:line="229" w:lineRule="auto"/>
              <w:rPr/>
            </w:pPr>
            <w:r>
              <w:rPr>
                <w:spacing w:val="4"/>
              </w:rPr>
              <w:t>物种名</w:t>
            </w:r>
          </w:p>
        </w:tc>
        <w:tc>
          <w:tcPr>
            <w:tcW w:w="2131" w:type="dxa"/>
            <w:vAlign w:val="top"/>
            <w:tcBorders>
              <w:top w:val="single" w:color="000000" w:sz="10" w:space="0"/>
            </w:tcBorders>
          </w:tcPr>
          <w:p>
            <w:pPr>
              <w:pStyle w:val="TableText"/>
              <w:ind w:left="760"/>
              <w:spacing w:before="55" w:line="230" w:lineRule="auto"/>
              <w:rPr/>
            </w:pPr>
            <w:r>
              <w:rPr>
                <w:spacing w:val="5"/>
              </w:rPr>
              <w:t>拉丁名</w:t>
            </w:r>
          </w:p>
        </w:tc>
        <w:tc>
          <w:tcPr>
            <w:tcW w:w="1277" w:type="dxa"/>
            <w:vAlign w:val="top"/>
            <w:tcBorders>
              <w:top w:val="single" w:color="000000" w:sz="10" w:space="0"/>
            </w:tcBorders>
          </w:tcPr>
          <w:p>
            <w:pPr>
              <w:pStyle w:val="TableText"/>
              <w:ind w:left="232"/>
              <w:spacing w:before="55" w:line="230" w:lineRule="auto"/>
              <w:rPr/>
            </w:pPr>
            <w:r>
              <w:rPr>
                <w:spacing w:val="4"/>
              </w:rPr>
              <w:t>实体数量</w:t>
            </w:r>
          </w:p>
        </w:tc>
        <w:tc>
          <w:tcPr>
            <w:tcW w:w="1705" w:type="dxa"/>
            <w:vAlign w:val="top"/>
            <w:tcBorders>
              <w:top w:val="single" w:color="000000" w:sz="10" w:space="0"/>
            </w:tcBorders>
          </w:tcPr>
          <w:p>
            <w:pPr>
              <w:pStyle w:val="TableText"/>
              <w:ind w:left="444"/>
              <w:spacing w:before="55" w:line="230" w:lineRule="auto"/>
              <w:rPr/>
            </w:pPr>
            <w:r>
              <w:rPr>
                <w:spacing w:val="5"/>
              </w:rPr>
              <w:t>痕迹类型</w:t>
            </w:r>
          </w:p>
        </w:tc>
        <w:tc>
          <w:tcPr>
            <w:tcW w:w="1706" w:type="dxa"/>
            <w:vAlign w:val="top"/>
            <w:tcBorders>
              <w:top w:val="single" w:color="000000" w:sz="10" w:space="0"/>
              <w:right w:val="nil"/>
            </w:tcBorders>
          </w:tcPr>
          <w:p>
            <w:pPr>
              <w:pStyle w:val="TableText"/>
              <w:ind w:left="656"/>
              <w:spacing w:before="55" w:line="230" w:lineRule="auto"/>
              <w:rPr/>
            </w:pPr>
            <w:r>
              <w:rPr>
                <w:spacing w:val="1"/>
              </w:rPr>
              <w:t>备注</w:t>
            </w:r>
          </w:p>
        </w:tc>
      </w:tr>
      <w:tr>
        <w:trPr>
          <w:trHeight w:val="311" w:hRule="atLeast"/>
        </w:trPr>
        <w:tc>
          <w:tcPr>
            <w:tcW w:w="1703" w:type="dxa"/>
            <w:vAlign w:val="top"/>
            <w:tcBorders>
              <w:left w:val="nil"/>
            </w:tcBorders>
          </w:tcPr>
          <w:p>
            <w:pPr>
              <w:pStyle w:val="TableText"/>
              <w:ind w:left="453"/>
              <w:spacing w:before="57" w:line="225" w:lineRule="auto"/>
              <w:rPr/>
            </w:pPr>
            <w:r>
              <w:rPr>
                <w:spacing w:val="4"/>
              </w:rPr>
              <w:t>黑线仓鼠</w:t>
            </w:r>
          </w:p>
        </w:tc>
        <w:tc>
          <w:tcPr>
            <w:tcW w:w="2131" w:type="dxa"/>
            <w:vAlign w:val="top"/>
          </w:tcPr>
          <w:p>
            <w:pPr>
              <w:ind w:left="152"/>
              <w:spacing w:before="8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Cricetulus Barabensis</w:t>
            </w:r>
          </w:p>
        </w:tc>
        <w:tc>
          <w:tcPr>
            <w:tcW w:w="1277" w:type="dxa"/>
            <w:vAlign w:val="top"/>
          </w:tcPr>
          <w:p>
            <w:pPr>
              <w:rPr>
                <w:rFonts w:ascii="Arial"/>
                <w:sz w:val="21"/>
              </w:rPr>
            </w:pPr>
            <w:r/>
          </w:p>
        </w:tc>
        <w:tc>
          <w:tcPr>
            <w:tcW w:w="1705" w:type="dxa"/>
            <w:vAlign w:val="top"/>
          </w:tcPr>
          <w:p>
            <w:pPr>
              <w:pStyle w:val="TableText"/>
              <w:ind w:left="526"/>
              <w:spacing w:before="57" w:line="225" w:lineRule="auto"/>
              <w:rPr>
                <w:rFonts w:ascii="Times New Roman" w:hAnsi="Times New Roman" w:eastAsia="Times New Roman" w:cs="Times New Roman"/>
              </w:rPr>
            </w:pPr>
            <w:r>
              <w:rPr/>
              <w:t>粪便</w:t>
            </w:r>
            <w:r>
              <w:rPr>
                <w:spacing w:val="-38"/>
              </w:rPr>
              <w:t xml:space="preserve"> </w:t>
            </w:r>
            <w:r>
              <w:rPr>
                <w:rFonts w:ascii="Times New Roman" w:hAnsi="Times New Roman" w:eastAsia="Times New Roman" w:cs="Times New Roman"/>
              </w:rPr>
              <w:t>20</w:t>
            </w:r>
          </w:p>
        </w:tc>
        <w:tc>
          <w:tcPr>
            <w:tcW w:w="1706" w:type="dxa"/>
            <w:vAlign w:val="top"/>
            <w:tcBorders>
              <w:right w:val="nil"/>
            </w:tcBorders>
          </w:tcPr>
          <w:p>
            <w:pPr>
              <w:rPr>
                <w:rFonts w:ascii="Arial"/>
                <w:sz w:val="21"/>
              </w:rPr>
            </w:pPr>
            <w:r/>
          </w:p>
        </w:tc>
      </w:tr>
      <w:tr>
        <w:trPr>
          <w:trHeight w:val="311" w:hRule="atLeast"/>
        </w:trPr>
        <w:tc>
          <w:tcPr>
            <w:tcW w:w="1703" w:type="dxa"/>
            <w:vAlign w:val="top"/>
            <w:tcBorders>
              <w:left w:val="nil"/>
            </w:tcBorders>
          </w:tcPr>
          <w:p>
            <w:pPr>
              <w:pStyle w:val="TableText"/>
              <w:ind w:left="549"/>
              <w:spacing w:before="64" w:line="218" w:lineRule="auto"/>
              <w:rPr/>
            </w:pPr>
            <w:r>
              <w:rPr>
                <w:spacing w:val="4"/>
              </w:rPr>
              <w:t>斑翅蝗</w:t>
            </w:r>
          </w:p>
        </w:tc>
        <w:tc>
          <w:tcPr>
            <w:tcW w:w="2131" w:type="dxa"/>
            <w:vAlign w:val="top"/>
          </w:tcPr>
          <w:p>
            <w:pPr>
              <w:ind w:left="660"/>
              <w:spacing w:before="9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Oedipoda</w:t>
            </w:r>
          </w:p>
        </w:tc>
        <w:tc>
          <w:tcPr>
            <w:tcW w:w="1277" w:type="dxa"/>
            <w:vAlign w:val="top"/>
          </w:tcPr>
          <w:p>
            <w:pPr>
              <w:ind w:left="608"/>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5" w:type="dxa"/>
            <w:vAlign w:val="top"/>
          </w:tcPr>
          <w:p>
            <w:pPr>
              <w:rPr>
                <w:rFonts w:ascii="Arial"/>
                <w:sz w:val="21"/>
              </w:rPr>
            </w:pPr>
            <w:r/>
          </w:p>
        </w:tc>
        <w:tc>
          <w:tcPr>
            <w:tcW w:w="1706" w:type="dxa"/>
            <w:vAlign w:val="top"/>
            <w:tcBorders>
              <w:right w:val="nil"/>
            </w:tcBorders>
          </w:tcPr>
          <w:p>
            <w:pPr>
              <w:rPr>
                <w:rFonts w:ascii="Arial"/>
                <w:sz w:val="21"/>
              </w:rPr>
            </w:pPr>
            <w:r/>
          </w:p>
        </w:tc>
      </w:tr>
      <w:tr>
        <w:trPr>
          <w:trHeight w:val="334" w:hRule="atLeast"/>
        </w:trPr>
        <w:tc>
          <w:tcPr>
            <w:tcW w:w="1703" w:type="dxa"/>
            <w:vAlign w:val="top"/>
            <w:tcBorders>
              <w:bottom w:val="single" w:color="000000" w:sz="10" w:space="0"/>
              <w:left w:val="nil"/>
            </w:tcBorders>
          </w:tcPr>
          <w:p>
            <w:pPr>
              <w:pStyle w:val="TableText"/>
              <w:ind w:left="654"/>
              <w:spacing w:before="70" w:line="232" w:lineRule="auto"/>
              <w:rPr/>
            </w:pPr>
            <w:r>
              <w:rPr>
                <w:spacing w:val="2"/>
              </w:rPr>
              <w:t>兔子</w:t>
            </w:r>
          </w:p>
        </w:tc>
        <w:tc>
          <w:tcPr>
            <w:tcW w:w="2131" w:type="dxa"/>
            <w:vAlign w:val="top"/>
            <w:tcBorders>
              <w:bottom w:val="single" w:color="000000" w:sz="10" w:space="0"/>
            </w:tcBorders>
          </w:tcPr>
          <w:p>
            <w:pPr>
              <w:ind w:left="641"/>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Leporidae</w:t>
            </w:r>
          </w:p>
        </w:tc>
        <w:tc>
          <w:tcPr>
            <w:tcW w:w="1277" w:type="dxa"/>
            <w:vAlign w:val="top"/>
            <w:tcBorders>
              <w:bottom w:val="single" w:color="000000" w:sz="10" w:space="0"/>
            </w:tcBorders>
          </w:tcPr>
          <w:p>
            <w:pPr>
              <w:rPr>
                <w:rFonts w:ascii="Arial"/>
                <w:sz w:val="21"/>
              </w:rPr>
            </w:pPr>
            <w:r/>
          </w:p>
        </w:tc>
        <w:tc>
          <w:tcPr>
            <w:tcW w:w="1705" w:type="dxa"/>
            <w:vAlign w:val="top"/>
            <w:tcBorders>
              <w:bottom w:val="single" w:color="000000" w:sz="10" w:space="0"/>
            </w:tcBorders>
          </w:tcPr>
          <w:p>
            <w:pPr>
              <w:pStyle w:val="TableText"/>
              <w:ind w:left="572"/>
              <w:spacing w:before="70" w:line="232" w:lineRule="auto"/>
              <w:rPr>
                <w:rFonts w:ascii="Times New Roman" w:hAnsi="Times New Roman" w:eastAsia="Times New Roman" w:cs="Times New Roman"/>
              </w:rPr>
            </w:pPr>
            <w:r>
              <w:rPr>
                <w:spacing w:val="1"/>
              </w:rPr>
              <w:t>洞穴</w:t>
            </w:r>
            <w:r>
              <w:rPr>
                <w:spacing w:val="-20"/>
              </w:rPr>
              <w:t xml:space="preserve"> </w:t>
            </w:r>
            <w:r>
              <w:rPr>
                <w:rFonts w:ascii="Times New Roman" w:hAnsi="Times New Roman" w:eastAsia="Times New Roman" w:cs="Times New Roman"/>
                <w:spacing w:val="1"/>
              </w:rPr>
              <w:t>1</w:t>
            </w:r>
          </w:p>
        </w:tc>
        <w:tc>
          <w:tcPr>
            <w:tcW w:w="1706" w:type="dxa"/>
            <w:vAlign w:val="top"/>
            <w:tcBorders>
              <w:bottom w:val="single" w:color="000000" w:sz="10" w:space="0"/>
              <w:right w:val="nil"/>
            </w:tcBorders>
          </w:tcPr>
          <w:p>
            <w:pPr>
              <w:rPr>
                <w:rFonts w:ascii="Arial"/>
                <w:sz w:val="21"/>
              </w:rPr>
            </w:pPr>
            <w:r/>
          </w:p>
        </w:tc>
      </w:tr>
    </w:tbl>
    <w:p>
      <w:pPr>
        <w:pStyle w:val="BodyText"/>
        <w:spacing w:line="251" w:lineRule="auto"/>
        <w:rPr/>
      </w:pPr>
      <w:r/>
    </w:p>
    <w:p>
      <w:pPr>
        <w:pStyle w:val="BodyText"/>
        <w:spacing w:line="252" w:lineRule="auto"/>
        <w:rPr/>
      </w:pPr>
      <w:r/>
    </w:p>
    <w:p>
      <w:pPr>
        <w:ind w:left="116"/>
        <w:spacing w:before="78" w:line="222" w:lineRule="auto"/>
        <w:outlineLvl w:val="2"/>
        <w:rPr>
          <w:rFonts w:ascii="FangSong" w:hAnsi="FangSong" w:eastAsia="FangSong" w:cs="FangSong"/>
          <w:sz w:val="24"/>
          <w:szCs w:val="24"/>
        </w:rPr>
      </w:pPr>
      <w:bookmarkStart w:name="bookmark264" w:id="362"/>
      <w:bookmarkEnd w:id="362"/>
      <w:bookmarkStart w:name="bookmark263" w:id="363"/>
      <w:bookmarkEnd w:id="363"/>
      <w:r>
        <w:rPr>
          <w:rFonts w:ascii="Times New Roman" w:hAnsi="Times New Roman" w:eastAsia="Times New Roman" w:cs="Times New Roman"/>
          <w:sz w:val="24"/>
          <w:szCs w:val="24"/>
          <w:b/>
          <w:bCs/>
          <w:spacing w:val="-2"/>
        </w:rPr>
        <w:t>5.6.7  </w:t>
      </w:r>
      <w:r>
        <w:rPr>
          <w:rFonts w:ascii="FangSong" w:hAnsi="FangSong" w:eastAsia="FangSong" w:cs="FangSong"/>
          <w:sz w:val="24"/>
          <w:szCs w:val="24"/>
          <w:b/>
          <w:bCs/>
          <w:spacing w:val="-2"/>
        </w:rPr>
        <w:t>土地利用现状调查</w:t>
      </w:r>
    </w:p>
    <w:p>
      <w:pPr>
        <w:ind w:left="124" w:right="107" w:firstLine="479"/>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调查范围内土地利用类型主要为草地。参照全国</w:t>
      </w:r>
      <w:r>
        <w:rPr>
          <w:rFonts w:ascii="FangSong" w:hAnsi="FangSong" w:eastAsia="FangSong" w:cs="FangSong"/>
          <w:sz w:val="24"/>
          <w:szCs w:val="24"/>
          <w:spacing w:val="-4"/>
        </w:rPr>
        <w:t>土地利用现状分类系统及土</w:t>
      </w:r>
      <w:r>
        <w:rPr>
          <w:rFonts w:ascii="FangSong" w:hAnsi="FangSong" w:eastAsia="FangSong" w:cs="FangSong"/>
          <w:sz w:val="24"/>
          <w:szCs w:val="24"/>
          <w:spacing w:val="-3"/>
        </w:rPr>
        <w:t>地利用资料，根据卫星遥感、结合实地调查分析，将调查范围土</w:t>
      </w:r>
      <w:r>
        <w:rPr>
          <w:rFonts w:ascii="FangSong" w:hAnsi="FangSong" w:eastAsia="FangSong" w:cs="FangSong"/>
          <w:sz w:val="24"/>
          <w:szCs w:val="24"/>
          <w:spacing w:val="-4"/>
        </w:rPr>
        <w:t>地利用情况划分</w:t>
      </w:r>
      <w:r>
        <w:rPr>
          <w:rFonts w:ascii="FangSong" w:hAnsi="FangSong" w:eastAsia="FangSong" w:cs="FangSong"/>
          <w:sz w:val="24"/>
          <w:szCs w:val="24"/>
          <w:spacing w:val="-3"/>
        </w:rPr>
        <w:t>为天然牧草地、沙地、灌木林地以及内陆滩涂等类型，具体土地</w:t>
      </w:r>
      <w:r>
        <w:rPr>
          <w:rFonts w:ascii="FangSong" w:hAnsi="FangSong" w:eastAsia="FangSong" w:cs="FangSong"/>
          <w:sz w:val="24"/>
          <w:szCs w:val="24"/>
          <w:spacing w:val="-4"/>
        </w:rPr>
        <w:t>利用现状分布见</w:t>
      </w:r>
      <w:r>
        <w:rPr>
          <w:rFonts w:ascii="FangSong" w:hAnsi="FangSong" w:eastAsia="FangSong" w:cs="FangSong"/>
          <w:sz w:val="24"/>
          <w:szCs w:val="24"/>
          <w:spacing w:val="-3"/>
        </w:rPr>
        <w:t>附图</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5-12</w:t>
      </w:r>
      <w:r>
        <w:rPr>
          <w:rFonts w:ascii="FangSong" w:hAnsi="FangSong" w:eastAsia="FangSong" w:cs="FangSong"/>
          <w:sz w:val="24"/>
          <w:szCs w:val="24"/>
          <w:spacing w:val="-3"/>
        </w:rPr>
        <w:t>，永久占地范围内土地利用现状面积遥感统计见表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5.6-23</w:t>
      </w:r>
      <w:r>
        <w:rPr>
          <w:rFonts w:ascii="FangSong" w:hAnsi="FangSong" w:eastAsia="FangSong" w:cs="FangSong"/>
          <w:sz w:val="24"/>
          <w:szCs w:val="24"/>
          <w:spacing w:val="-3"/>
        </w:rPr>
        <w:t>、矿界范围内</w:t>
      </w:r>
      <w:r>
        <w:rPr>
          <w:rFonts w:ascii="FangSong" w:hAnsi="FangSong" w:eastAsia="FangSong" w:cs="FangSong"/>
          <w:sz w:val="24"/>
          <w:szCs w:val="24"/>
          <w:spacing w:val="-2"/>
        </w:rPr>
        <w:t>土地利用现状面积遥感统计见表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5.6-24</w:t>
      </w:r>
      <w:r>
        <w:rPr>
          <w:rFonts w:ascii="FangSong" w:hAnsi="FangSong" w:eastAsia="FangSong" w:cs="FangSong"/>
          <w:sz w:val="24"/>
          <w:szCs w:val="24"/>
          <w:spacing w:val="-2"/>
        </w:rPr>
        <w:t>、调查范围内土地利用现</w:t>
      </w:r>
      <w:r>
        <w:rPr>
          <w:rFonts w:ascii="FangSong" w:hAnsi="FangSong" w:eastAsia="FangSong" w:cs="FangSong"/>
          <w:sz w:val="24"/>
          <w:szCs w:val="24"/>
          <w:spacing w:val="-3"/>
        </w:rPr>
        <w:t>状面积遥感统计</w:t>
      </w:r>
      <w:r>
        <w:rPr>
          <w:rFonts w:ascii="FangSong" w:hAnsi="FangSong" w:eastAsia="FangSong" w:cs="FangSong"/>
          <w:sz w:val="24"/>
          <w:szCs w:val="24"/>
          <w:spacing w:val="-4"/>
        </w:rPr>
        <w:t>见表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4"/>
        </w:rPr>
        <w:t>5.6-25</w:t>
      </w:r>
      <w:r>
        <w:rPr>
          <w:rFonts w:ascii="FangSong" w:hAnsi="FangSong" w:eastAsia="FangSong" w:cs="FangSong"/>
          <w:sz w:val="24"/>
          <w:szCs w:val="24"/>
          <w:spacing w:val="-4"/>
        </w:rPr>
        <w:t>。</w:t>
      </w:r>
    </w:p>
    <w:p>
      <w:pPr>
        <w:ind w:left="867"/>
        <w:spacing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5.6-23  </w:t>
      </w:r>
      <w:r>
        <w:rPr>
          <w:rFonts w:ascii="FangSong" w:hAnsi="FangSong" w:eastAsia="FangSong" w:cs="FangSong"/>
          <w:sz w:val="24"/>
          <w:szCs w:val="24"/>
          <w:b/>
          <w:bCs/>
          <w:spacing w:val="-2"/>
        </w:rPr>
        <w:t>本项目永久占地范围内土地利用现状面积遥感</w:t>
      </w:r>
      <w:r>
        <w:rPr>
          <w:rFonts w:ascii="FangSong" w:hAnsi="FangSong" w:eastAsia="FangSong" w:cs="FangSong"/>
          <w:sz w:val="24"/>
          <w:szCs w:val="24"/>
          <w:b/>
          <w:bCs/>
          <w:spacing w:val="-3"/>
        </w:rPr>
        <w:t>统计见表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15" w:hRule="atLeast"/>
        </w:trPr>
        <w:tc>
          <w:tcPr>
            <w:tcW w:w="1625" w:type="dxa"/>
            <w:vAlign w:val="top"/>
            <w:tcBorders>
              <w:left w:val="nil"/>
              <w:top w:val="single" w:color="000000" w:sz="10" w:space="0"/>
            </w:tcBorders>
          </w:tcPr>
          <w:p>
            <w:pPr>
              <w:pStyle w:val="TableText"/>
              <w:ind w:left="616"/>
              <w:spacing w:before="56" w:line="229" w:lineRule="auto"/>
              <w:rPr/>
            </w:pPr>
            <w:r>
              <w:rPr>
                <w:spacing w:val="2"/>
              </w:rPr>
              <w:t>序号</w:t>
            </w:r>
          </w:p>
        </w:tc>
        <w:tc>
          <w:tcPr>
            <w:tcW w:w="2635" w:type="dxa"/>
            <w:vAlign w:val="top"/>
            <w:tcBorders>
              <w:top w:val="single" w:color="000000" w:sz="10" w:space="0"/>
            </w:tcBorders>
          </w:tcPr>
          <w:p>
            <w:pPr>
              <w:pStyle w:val="TableText"/>
              <w:ind w:left="699"/>
              <w:spacing w:before="56" w:line="229" w:lineRule="auto"/>
              <w:rPr/>
            </w:pPr>
            <w:r>
              <w:rPr>
                <w:spacing w:val="6"/>
              </w:rPr>
              <w:t>土地利用类型</w:t>
            </w:r>
          </w:p>
        </w:tc>
        <w:tc>
          <w:tcPr>
            <w:tcW w:w="2131" w:type="dxa"/>
            <w:vAlign w:val="top"/>
            <w:tcBorders>
              <w:top w:val="single" w:color="000000" w:sz="10" w:space="0"/>
            </w:tcBorders>
          </w:tcPr>
          <w:p>
            <w:pPr>
              <w:pStyle w:val="TableText"/>
              <w:ind w:left="493"/>
              <w:spacing w:before="56" w:line="229"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6" w:line="229" w:lineRule="auto"/>
              <w:rPr/>
            </w:pPr>
            <w:r>
              <w:rPr/>
              <w:t>比例（</w:t>
            </w:r>
            <w:r>
              <w:rPr>
                <w:rFonts w:ascii="Times New Roman" w:hAnsi="Times New Roman" w:eastAsia="Times New Roman" w:cs="Times New Roman"/>
              </w:rPr>
              <w:t>%</w:t>
            </w:r>
            <w:r>
              <w:rPr/>
              <w:t>）</w:t>
            </w:r>
          </w:p>
        </w:tc>
      </w:tr>
      <w:tr>
        <w:trPr>
          <w:trHeight w:val="311" w:hRule="atLeast"/>
        </w:trPr>
        <w:tc>
          <w:tcPr>
            <w:tcW w:w="1625" w:type="dxa"/>
            <w:vAlign w:val="top"/>
            <w:tcBorders>
              <w:left w:val="nil"/>
            </w:tcBorders>
          </w:tcPr>
          <w:p>
            <w:pPr>
              <w:ind w:left="78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803"/>
              <w:spacing w:before="58" w:line="224" w:lineRule="auto"/>
              <w:rPr/>
            </w:pPr>
            <w:r>
              <w:rPr>
                <w:spacing w:val="6"/>
              </w:rPr>
              <w:t>天然牧草地</w:t>
            </w:r>
          </w:p>
        </w:tc>
        <w:tc>
          <w:tcPr>
            <w:tcW w:w="2131" w:type="dxa"/>
            <w:vAlign w:val="top"/>
          </w:tcPr>
          <w:p>
            <w:pPr>
              <w:ind w:left="78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7.2093</w:t>
            </w:r>
          </w:p>
        </w:tc>
        <w:tc>
          <w:tcPr>
            <w:tcW w:w="2131" w:type="dxa"/>
            <w:vAlign w:val="top"/>
            <w:tcBorders>
              <w:right w:val="nil"/>
            </w:tcBorders>
          </w:tcPr>
          <w:p>
            <w:pPr>
              <w:ind w:left="83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99.85</w:t>
            </w:r>
          </w:p>
        </w:tc>
      </w:tr>
      <w:tr>
        <w:trPr>
          <w:trHeight w:val="311" w:hRule="atLeast"/>
        </w:trPr>
        <w:tc>
          <w:tcPr>
            <w:tcW w:w="1625" w:type="dxa"/>
            <w:vAlign w:val="top"/>
            <w:tcBorders>
              <w:left w:val="nil"/>
            </w:tcBorders>
          </w:tcPr>
          <w:p>
            <w:pPr>
              <w:ind w:left="76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909"/>
              <w:spacing w:before="63" w:line="219" w:lineRule="auto"/>
              <w:rPr/>
            </w:pPr>
            <w:r>
              <w:rPr>
                <w:spacing w:val="5"/>
              </w:rPr>
              <w:t>道路用地</w:t>
            </w:r>
          </w:p>
        </w:tc>
        <w:tc>
          <w:tcPr>
            <w:tcW w:w="2131" w:type="dxa"/>
            <w:vAlign w:val="top"/>
          </w:tcPr>
          <w:p>
            <w:pPr>
              <w:ind w:left="83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0.011</w:t>
            </w:r>
          </w:p>
        </w:tc>
        <w:tc>
          <w:tcPr>
            <w:tcW w:w="2131" w:type="dxa"/>
            <w:vAlign w:val="top"/>
            <w:tcBorders>
              <w:right w:val="nil"/>
            </w:tcBorders>
          </w:tcPr>
          <w:p>
            <w:pPr>
              <w:ind w:left="886"/>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r>
      <w:tr>
        <w:trPr>
          <w:trHeight w:val="334" w:hRule="atLeast"/>
        </w:trPr>
        <w:tc>
          <w:tcPr>
            <w:tcW w:w="4260" w:type="dxa"/>
            <w:vAlign w:val="top"/>
            <w:gridSpan w:val="2"/>
            <w:tcBorders>
              <w:left w:val="nil"/>
              <w:bottom w:val="single" w:color="000000" w:sz="10" w:space="0"/>
            </w:tcBorders>
          </w:tcPr>
          <w:p>
            <w:pPr>
              <w:pStyle w:val="TableText"/>
              <w:ind w:left="1939"/>
              <w:spacing w:before="69" w:line="231" w:lineRule="auto"/>
              <w:rPr/>
            </w:pPr>
            <w:r>
              <w:rPr>
                <w:spacing w:val="-1"/>
              </w:rPr>
              <w:t>合计</w:t>
            </w:r>
          </w:p>
        </w:tc>
        <w:tc>
          <w:tcPr>
            <w:tcW w:w="2131" w:type="dxa"/>
            <w:vAlign w:val="top"/>
            <w:tcBorders>
              <w:bottom w:val="single" w:color="000000" w:sz="10" w:space="0"/>
            </w:tcBorders>
          </w:tcPr>
          <w:p>
            <w:pPr>
              <w:ind w:left="78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7.2203</w:t>
            </w:r>
          </w:p>
        </w:tc>
        <w:tc>
          <w:tcPr>
            <w:tcW w:w="2131" w:type="dxa"/>
            <w:vAlign w:val="top"/>
            <w:tcBorders>
              <w:right w:val="nil"/>
              <w:bottom w:val="single" w:color="000000" w:sz="10" w:space="0"/>
            </w:tcBorders>
          </w:tcPr>
          <w:p>
            <w:pPr>
              <w:ind w:left="79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1" w:lineRule="auto"/>
        <w:rPr/>
      </w:pPr>
      <w:r/>
    </w:p>
    <w:p>
      <w:pPr>
        <w:ind w:left="1107"/>
        <w:spacing w:before="79"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5.6-24  </w:t>
      </w:r>
      <w:r>
        <w:rPr>
          <w:rFonts w:ascii="FangSong" w:hAnsi="FangSong" w:eastAsia="FangSong" w:cs="FangSong"/>
          <w:sz w:val="24"/>
          <w:szCs w:val="24"/>
          <w:b/>
          <w:bCs/>
          <w:spacing w:val="-2"/>
        </w:rPr>
        <w:t>本项目矿界范围内土地利用现状面积遥感统</w:t>
      </w:r>
      <w:r>
        <w:rPr>
          <w:rFonts w:ascii="FangSong" w:hAnsi="FangSong" w:eastAsia="FangSong" w:cs="FangSong"/>
          <w:sz w:val="24"/>
          <w:szCs w:val="24"/>
          <w:b/>
          <w:bCs/>
          <w:spacing w:val="-3"/>
        </w:rPr>
        <w:t>计见表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5"/>
        <w:gridCol w:w="2635"/>
        <w:gridCol w:w="2131"/>
        <w:gridCol w:w="2131"/>
      </w:tblGrid>
      <w:tr>
        <w:trPr>
          <w:trHeight w:val="319" w:hRule="atLeast"/>
        </w:trPr>
        <w:tc>
          <w:tcPr>
            <w:tcW w:w="1625" w:type="dxa"/>
            <w:vAlign w:val="top"/>
            <w:tcBorders>
              <w:left w:val="nil"/>
              <w:top w:val="single" w:color="000000" w:sz="10" w:space="0"/>
            </w:tcBorders>
          </w:tcPr>
          <w:p>
            <w:pPr>
              <w:pStyle w:val="TableText"/>
              <w:ind w:left="616"/>
              <w:spacing w:before="55" w:line="231" w:lineRule="auto"/>
              <w:rPr/>
            </w:pPr>
            <w:r>
              <w:rPr>
                <w:spacing w:val="2"/>
              </w:rPr>
              <w:t>序号</w:t>
            </w:r>
          </w:p>
        </w:tc>
        <w:tc>
          <w:tcPr>
            <w:tcW w:w="2635" w:type="dxa"/>
            <w:vAlign w:val="top"/>
            <w:tcBorders>
              <w:top w:val="single" w:color="000000" w:sz="10" w:space="0"/>
            </w:tcBorders>
          </w:tcPr>
          <w:p>
            <w:pPr>
              <w:pStyle w:val="TableText"/>
              <w:ind w:left="699"/>
              <w:spacing w:before="55" w:line="231" w:lineRule="auto"/>
              <w:rPr/>
            </w:pPr>
            <w:r>
              <w:rPr>
                <w:spacing w:val="6"/>
              </w:rPr>
              <w:t>土地利用类型</w:t>
            </w:r>
          </w:p>
        </w:tc>
        <w:tc>
          <w:tcPr>
            <w:tcW w:w="2131" w:type="dxa"/>
            <w:vAlign w:val="top"/>
            <w:tcBorders>
              <w:top w:val="single" w:color="000000" w:sz="10" w:space="0"/>
            </w:tcBorders>
          </w:tcPr>
          <w:p>
            <w:pPr>
              <w:pStyle w:val="TableText"/>
              <w:ind w:left="493"/>
              <w:spacing w:before="55"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5" w:line="232" w:lineRule="auto"/>
              <w:rPr/>
            </w:pPr>
            <w:r>
              <w:rPr/>
              <w:t>比例（</w:t>
            </w:r>
            <w:r>
              <w:rPr>
                <w:rFonts w:ascii="Times New Roman" w:hAnsi="Times New Roman" w:eastAsia="Times New Roman" w:cs="Times New Roman"/>
              </w:rPr>
              <w:t>%</w:t>
            </w:r>
            <w:r>
              <w:rPr/>
              <w:t>）</w:t>
            </w:r>
          </w:p>
        </w:tc>
      </w:tr>
      <w:tr>
        <w:trPr>
          <w:trHeight w:val="314" w:hRule="atLeast"/>
        </w:trPr>
        <w:tc>
          <w:tcPr>
            <w:tcW w:w="1625" w:type="dxa"/>
            <w:vAlign w:val="top"/>
            <w:tcBorders>
              <w:left w:val="nil"/>
            </w:tcBorders>
          </w:tcPr>
          <w:p>
            <w:pPr>
              <w:ind w:left="78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5" w:type="dxa"/>
            <w:vAlign w:val="top"/>
          </w:tcPr>
          <w:p>
            <w:pPr>
              <w:pStyle w:val="TableText"/>
              <w:ind w:left="912"/>
              <w:spacing w:before="53" w:line="230" w:lineRule="auto"/>
              <w:rPr/>
            </w:pPr>
            <w:r>
              <w:rPr>
                <w:spacing w:val="5"/>
              </w:rPr>
              <w:t>灌木林地</w:t>
            </w:r>
          </w:p>
        </w:tc>
        <w:tc>
          <w:tcPr>
            <w:tcW w:w="2131" w:type="dxa"/>
            <w:vAlign w:val="top"/>
          </w:tcPr>
          <w:p>
            <w:pPr>
              <w:ind w:left="838"/>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8.033</w:t>
            </w:r>
          </w:p>
        </w:tc>
        <w:tc>
          <w:tcPr>
            <w:tcW w:w="2131" w:type="dxa"/>
            <w:vAlign w:val="top"/>
            <w:tcBorders>
              <w:right w:val="nil"/>
            </w:tcBorders>
          </w:tcPr>
          <w:p>
            <w:pPr>
              <w:ind w:left="886"/>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0.72</w:t>
            </w:r>
          </w:p>
        </w:tc>
      </w:tr>
      <w:tr>
        <w:trPr>
          <w:trHeight w:val="314" w:hRule="atLeast"/>
        </w:trPr>
        <w:tc>
          <w:tcPr>
            <w:tcW w:w="1625" w:type="dxa"/>
            <w:vAlign w:val="top"/>
            <w:tcBorders>
              <w:left w:val="nil"/>
            </w:tcBorders>
          </w:tcPr>
          <w:p>
            <w:pPr>
              <w:ind w:left="76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5" w:type="dxa"/>
            <w:vAlign w:val="top"/>
          </w:tcPr>
          <w:p>
            <w:pPr>
              <w:pStyle w:val="TableText"/>
              <w:ind w:left="803"/>
              <w:spacing w:before="58" w:line="227" w:lineRule="auto"/>
              <w:rPr/>
            </w:pPr>
            <w:r>
              <w:rPr>
                <w:spacing w:val="6"/>
              </w:rPr>
              <w:t>天然牧草地</w:t>
            </w:r>
          </w:p>
        </w:tc>
        <w:tc>
          <w:tcPr>
            <w:tcW w:w="2131" w:type="dxa"/>
            <w:vAlign w:val="top"/>
          </w:tcPr>
          <w:p>
            <w:pPr>
              <w:ind w:left="693"/>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1061.991</w:t>
            </w:r>
          </w:p>
        </w:tc>
        <w:tc>
          <w:tcPr>
            <w:tcW w:w="2131" w:type="dxa"/>
            <w:vAlign w:val="top"/>
            <w:tcBorders>
              <w:right w:val="nil"/>
            </w:tcBorders>
          </w:tcPr>
          <w:p>
            <w:pPr>
              <w:ind w:left="83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95.01</w:t>
            </w:r>
          </w:p>
        </w:tc>
      </w:tr>
      <w:tr>
        <w:trPr>
          <w:trHeight w:val="315" w:hRule="atLeast"/>
        </w:trPr>
        <w:tc>
          <w:tcPr>
            <w:tcW w:w="1625" w:type="dxa"/>
            <w:vAlign w:val="top"/>
            <w:tcBorders>
              <w:left w:val="nil"/>
            </w:tcBorders>
          </w:tcPr>
          <w:p>
            <w:pPr>
              <w:ind w:left="769"/>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5" w:type="dxa"/>
            <w:vAlign w:val="top"/>
          </w:tcPr>
          <w:p>
            <w:pPr>
              <w:pStyle w:val="TableText"/>
              <w:ind w:left="1120"/>
              <w:spacing w:before="61" w:line="225" w:lineRule="auto"/>
              <w:rPr/>
            </w:pPr>
            <w:r>
              <w:rPr/>
              <w:t>沙地</w:t>
            </w:r>
          </w:p>
        </w:tc>
        <w:tc>
          <w:tcPr>
            <w:tcW w:w="2131" w:type="dxa"/>
            <w:vAlign w:val="top"/>
          </w:tcPr>
          <w:p>
            <w:pPr>
              <w:ind w:left="88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6.71</w:t>
            </w:r>
          </w:p>
        </w:tc>
        <w:tc>
          <w:tcPr>
            <w:tcW w:w="2131" w:type="dxa"/>
            <w:vAlign w:val="top"/>
            <w:tcBorders>
              <w:right w:val="nil"/>
            </w:tcBorders>
          </w:tcPr>
          <w:p>
            <w:pPr>
              <w:ind w:left="886"/>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0.60</w:t>
            </w:r>
          </w:p>
        </w:tc>
      </w:tr>
      <w:tr>
        <w:trPr>
          <w:trHeight w:val="314" w:hRule="atLeast"/>
        </w:trPr>
        <w:tc>
          <w:tcPr>
            <w:tcW w:w="1625" w:type="dxa"/>
            <w:vAlign w:val="top"/>
            <w:tcBorders>
              <w:left w:val="nil"/>
            </w:tcBorders>
          </w:tcPr>
          <w:p>
            <w:pPr>
              <w:ind w:left="764"/>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35" w:type="dxa"/>
            <w:vAlign w:val="top"/>
          </w:tcPr>
          <w:p>
            <w:pPr>
              <w:pStyle w:val="TableText"/>
              <w:ind w:left="934"/>
              <w:spacing w:before="62" w:line="223" w:lineRule="auto"/>
              <w:rPr/>
            </w:pPr>
            <w:r>
              <w:rPr>
                <w:spacing w:val="-1"/>
              </w:rPr>
              <w:t>内陆滩涂</w:t>
            </w:r>
          </w:p>
        </w:tc>
        <w:tc>
          <w:tcPr>
            <w:tcW w:w="2131" w:type="dxa"/>
            <w:vAlign w:val="top"/>
          </w:tcPr>
          <w:p>
            <w:pPr>
              <w:ind w:left="777"/>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21.965</w:t>
            </w:r>
          </w:p>
        </w:tc>
        <w:tc>
          <w:tcPr>
            <w:tcW w:w="2131" w:type="dxa"/>
            <w:vAlign w:val="top"/>
            <w:tcBorders>
              <w:right w:val="nil"/>
            </w:tcBorders>
          </w:tcPr>
          <w:p>
            <w:pPr>
              <w:ind w:left="902"/>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1.97</w:t>
            </w:r>
          </w:p>
        </w:tc>
      </w:tr>
      <w:tr>
        <w:trPr>
          <w:trHeight w:val="315" w:hRule="atLeast"/>
        </w:trPr>
        <w:tc>
          <w:tcPr>
            <w:tcW w:w="1625" w:type="dxa"/>
            <w:vAlign w:val="top"/>
            <w:tcBorders>
              <w:left w:val="nil"/>
            </w:tcBorders>
          </w:tcPr>
          <w:p>
            <w:pPr>
              <w:ind w:left="769"/>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35" w:type="dxa"/>
            <w:vAlign w:val="top"/>
          </w:tcPr>
          <w:p>
            <w:pPr>
              <w:pStyle w:val="TableText"/>
              <w:ind w:left="803"/>
              <w:spacing w:before="65" w:line="221" w:lineRule="auto"/>
              <w:rPr/>
            </w:pPr>
            <w:r>
              <w:rPr>
                <w:spacing w:val="6"/>
              </w:rPr>
              <w:t>农村宅基地</w:t>
            </w:r>
          </w:p>
        </w:tc>
        <w:tc>
          <w:tcPr>
            <w:tcW w:w="2131" w:type="dxa"/>
            <w:vAlign w:val="top"/>
          </w:tcPr>
          <w:p>
            <w:pPr>
              <w:ind w:left="88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0.46</w:t>
            </w:r>
          </w:p>
        </w:tc>
        <w:tc>
          <w:tcPr>
            <w:tcW w:w="2131" w:type="dxa"/>
            <w:vAlign w:val="top"/>
            <w:tcBorders>
              <w:right w:val="nil"/>
            </w:tcBorders>
          </w:tcPr>
          <w:p>
            <w:pPr>
              <w:ind w:left="88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r>
      <w:tr>
        <w:trPr>
          <w:trHeight w:val="314" w:hRule="atLeast"/>
        </w:trPr>
        <w:tc>
          <w:tcPr>
            <w:tcW w:w="1625" w:type="dxa"/>
            <w:vAlign w:val="top"/>
            <w:tcBorders>
              <w:left w:val="nil"/>
            </w:tcBorders>
          </w:tcPr>
          <w:p>
            <w:pPr>
              <w:ind w:left="768"/>
              <w:spacing w:before="10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35" w:type="dxa"/>
            <w:vAlign w:val="top"/>
          </w:tcPr>
          <w:p>
            <w:pPr>
              <w:pStyle w:val="TableText"/>
              <w:ind w:left="913"/>
              <w:spacing w:before="66" w:line="219" w:lineRule="auto"/>
              <w:rPr/>
            </w:pPr>
            <w:r>
              <w:rPr>
                <w:spacing w:val="4"/>
              </w:rPr>
              <w:t>工业用地</w:t>
            </w:r>
          </w:p>
        </w:tc>
        <w:tc>
          <w:tcPr>
            <w:tcW w:w="2131" w:type="dxa"/>
            <w:vAlign w:val="top"/>
          </w:tcPr>
          <w:p>
            <w:pPr>
              <w:ind w:left="88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3.79</w:t>
            </w:r>
          </w:p>
        </w:tc>
        <w:tc>
          <w:tcPr>
            <w:tcW w:w="2131" w:type="dxa"/>
            <w:vAlign w:val="top"/>
            <w:tcBorders>
              <w:right w:val="nil"/>
            </w:tcBorders>
          </w:tcPr>
          <w:p>
            <w:pPr>
              <w:ind w:left="88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0.34</w:t>
            </w:r>
          </w:p>
        </w:tc>
      </w:tr>
      <w:tr>
        <w:trPr>
          <w:trHeight w:val="315" w:hRule="atLeast"/>
        </w:trPr>
        <w:tc>
          <w:tcPr>
            <w:tcW w:w="1625" w:type="dxa"/>
            <w:vAlign w:val="top"/>
            <w:tcBorders>
              <w:left w:val="nil"/>
            </w:tcBorders>
          </w:tcPr>
          <w:p>
            <w:pPr>
              <w:ind w:left="77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635" w:type="dxa"/>
            <w:vAlign w:val="top"/>
          </w:tcPr>
          <w:p>
            <w:pPr>
              <w:pStyle w:val="TableText"/>
              <w:ind w:left="909"/>
              <w:spacing w:before="68" w:line="218" w:lineRule="auto"/>
              <w:rPr/>
            </w:pPr>
            <w:r>
              <w:rPr>
                <w:spacing w:val="5"/>
              </w:rPr>
              <w:t>道路用地</w:t>
            </w:r>
          </w:p>
        </w:tc>
        <w:tc>
          <w:tcPr>
            <w:tcW w:w="2131" w:type="dxa"/>
            <w:vAlign w:val="top"/>
          </w:tcPr>
          <w:p>
            <w:pPr>
              <w:ind w:left="90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1.53</w:t>
            </w:r>
          </w:p>
        </w:tc>
        <w:tc>
          <w:tcPr>
            <w:tcW w:w="2131" w:type="dxa"/>
            <w:vAlign w:val="top"/>
            <w:tcBorders>
              <w:right w:val="nil"/>
            </w:tcBorders>
          </w:tcPr>
          <w:p>
            <w:pPr>
              <w:ind w:left="88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r>
      <w:tr>
        <w:trPr>
          <w:trHeight w:val="315" w:hRule="atLeast"/>
        </w:trPr>
        <w:tc>
          <w:tcPr>
            <w:tcW w:w="1625" w:type="dxa"/>
            <w:vAlign w:val="top"/>
            <w:tcBorders>
              <w:left w:val="nil"/>
            </w:tcBorders>
          </w:tcPr>
          <w:p>
            <w:pPr>
              <w:rPr>
                <w:rFonts w:ascii="Arial"/>
                <w:sz w:val="21"/>
              </w:rPr>
            </w:pPr>
            <w:r/>
          </w:p>
        </w:tc>
        <w:tc>
          <w:tcPr>
            <w:tcW w:w="2635" w:type="dxa"/>
            <w:vAlign w:val="top"/>
          </w:tcPr>
          <w:p>
            <w:pPr>
              <w:pStyle w:val="TableText"/>
              <w:ind w:left="913"/>
              <w:spacing w:before="73" w:line="214" w:lineRule="auto"/>
              <w:rPr/>
            </w:pPr>
            <w:r>
              <w:rPr>
                <w:spacing w:val="4"/>
              </w:rPr>
              <w:t>湖泊水域</w:t>
            </w:r>
          </w:p>
        </w:tc>
        <w:tc>
          <w:tcPr>
            <w:tcW w:w="2131" w:type="dxa"/>
            <w:vAlign w:val="top"/>
          </w:tcPr>
          <w:p>
            <w:pPr>
              <w:ind w:left="849"/>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13.28</w:t>
            </w:r>
          </w:p>
        </w:tc>
        <w:tc>
          <w:tcPr>
            <w:tcW w:w="2131" w:type="dxa"/>
            <w:vAlign w:val="top"/>
            <w:tcBorders>
              <w:right w:val="nil"/>
            </w:tcBorders>
          </w:tcPr>
          <w:p>
            <w:pPr>
              <w:ind w:left="902"/>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1.19</w:t>
            </w:r>
          </w:p>
        </w:tc>
      </w:tr>
      <w:tr>
        <w:trPr>
          <w:trHeight w:val="338" w:hRule="atLeast"/>
        </w:trPr>
        <w:tc>
          <w:tcPr>
            <w:tcW w:w="4260" w:type="dxa"/>
            <w:vAlign w:val="top"/>
            <w:gridSpan w:val="2"/>
            <w:tcBorders>
              <w:left w:val="nil"/>
              <w:bottom w:val="single" w:color="000000" w:sz="10" w:space="0"/>
            </w:tcBorders>
          </w:tcPr>
          <w:p>
            <w:pPr>
              <w:pStyle w:val="TableText"/>
              <w:ind w:left="1939"/>
              <w:spacing w:before="74" w:line="231" w:lineRule="auto"/>
              <w:rPr/>
            </w:pPr>
            <w:r>
              <w:rPr>
                <w:spacing w:val="-1"/>
              </w:rPr>
              <w:t>合计</w:t>
            </w:r>
          </w:p>
        </w:tc>
        <w:tc>
          <w:tcPr>
            <w:tcW w:w="2131" w:type="dxa"/>
            <w:vAlign w:val="top"/>
            <w:tcBorders>
              <w:bottom w:val="single" w:color="000000" w:sz="10" w:space="0"/>
            </w:tcBorders>
          </w:tcPr>
          <w:p>
            <w:pPr>
              <w:ind w:left="75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1117.76</w:t>
            </w:r>
          </w:p>
        </w:tc>
        <w:tc>
          <w:tcPr>
            <w:tcW w:w="2131" w:type="dxa"/>
            <w:vAlign w:val="top"/>
            <w:tcBorders>
              <w:right w:val="nil"/>
              <w:bottom w:val="single" w:color="000000" w:sz="10" w:space="0"/>
            </w:tcBorders>
          </w:tcPr>
          <w:p>
            <w:pPr>
              <w:ind w:left="79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2" w:lineRule="auto"/>
        <w:rPr/>
      </w:pPr>
      <w:r/>
    </w:p>
    <w:p>
      <w:pPr>
        <w:ind w:left="1107"/>
        <w:spacing w:before="78"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5.6-25  </w:t>
      </w:r>
      <w:r>
        <w:rPr>
          <w:rFonts w:ascii="FangSong" w:hAnsi="FangSong" w:eastAsia="FangSong" w:cs="FangSong"/>
          <w:sz w:val="24"/>
          <w:szCs w:val="24"/>
          <w:b/>
          <w:bCs/>
          <w:spacing w:val="-2"/>
        </w:rPr>
        <w:t>本项目调查范围内土地利用现状面积遥感统</w:t>
      </w:r>
      <w:r>
        <w:rPr>
          <w:rFonts w:ascii="FangSong" w:hAnsi="FangSong" w:eastAsia="FangSong" w:cs="FangSong"/>
          <w:sz w:val="24"/>
          <w:szCs w:val="24"/>
          <w:b/>
          <w:bCs/>
          <w:spacing w:val="-3"/>
        </w:rPr>
        <w:t>计见表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7"/>
        <w:gridCol w:w="2643"/>
        <w:gridCol w:w="2131"/>
        <w:gridCol w:w="2131"/>
      </w:tblGrid>
      <w:tr>
        <w:trPr>
          <w:trHeight w:val="320" w:hRule="atLeast"/>
        </w:trPr>
        <w:tc>
          <w:tcPr>
            <w:tcW w:w="1617" w:type="dxa"/>
            <w:vAlign w:val="top"/>
            <w:tcBorders>
              <w:left w:val="nil"/>
              <w:top w:val="single" w:color="000000" w:sz="10" w:space="0"/>
            </w:tcBorders>
          </w:tcPr>
          <w:p>
            <w:pPr>
              <w:pStyle w:val="TableText"/>
              <w:ind w:left="611"/>
              <w:spacing w:before="56" w:line="231" w:lineRule="auto"/>
              <w:rPr/>
            </w:pPr>
            <w:r>
              <w:rPr>
                <w:spacing w:val="2"/>
              </w:rPr>
              <w:t>序号</w:t>
            </w:r>
          </w:p>
        </w:tc>
        <w:tc>
          <w:tcPr>
            <w:tcW w:w="2643" w:type="dxa"/>
            <w:vAlign w:val="top"/>
            <w:tcBorders>
              <w:top w:val="single" w:color="000000" w:sz="10" w:space="0"/>
            </w:tcBorders>
          </w:tcPr>
          <w:p>
            <w:pPr>
              <w:pStyle w:val="TableText"/>
              <w:ind w:left="705"/>
              <w:spacing w:before="56" w:line="231" w:lineRule="auto"/>
              <w:rPr/>
            </w:pPr>
            <w:r>
              <w:rPr>
                <w:spacing w:val="6"/>
              </w:rPr>
              <w:t>土地利用类型</w:t>
            </w:r>
          </w:p>
        </w:tc>
        <w:tc>
          <w:tcPr>
            <w:tcW w:w="2131" w:type="dxa"/>
            <w:vAlign w:val="top"/>
            <w:tcBorders>
              <w:top w:val="single" w:color="000000" w:sz="10" w:space="0"/>
            </w:tcBorders>
          </w:tcPr>
          <w:p>
            <w:pPr>
              <w:pStyle w:val="TableText"/>
              <w:ind w:left="493"/>
              <w:spacing w:before="56" w:line="232" w:lineRule="auto"/>
              <w:rPr/>
            </w:pPr>
            <w:r>
              <w:rPr>
                <w:spacing w:val="5"/>
              </w:rPr>
              <w:t>面积（</w:t>
            </w:r>
            <w:r>
              <w:rPr>
                <w:rFonts w:ascii="Times New Roman" w:hAnsi="Times New Roman" w:eastAsia="Times New Roman" w:cs="Times New Roman"/>
              </w:rPr>
              <w:t>hm</w:t>
            </w:r>
            <w:r>
              <w:rPr>
                <w:rFonts w:ascii="Times New Roman" w:hAnsi="Times New Roman" w:eastAsia="Times New Roman" w:cs="Times New Roman"/>
                <w:sz w:val="13"/>
                <w:szCs w:val="13"/>
                <w:spacing w:val="5"/>
                <w:position w:val="6"/>
              </w:rPr>
              <w:t>2</w:t>
            </w:r>
            <w:r>
              <w:rPr>
                <w:spacing w:val="5"/>
              </w:rPr>
              <w:t>）</w:t>
            </w:r>
          </w:p>
        </w:tc>
        <w:tc>
          <w:tcPr>
            <w:tcW w:w="2131" w:type="dxa"/>
            <w:vAlign w:val="top"/>
            <w:tcBorders>
              <w:right w:val="nil"/>
              <w:top w:val="single" w:color="000000" w:sz="10" w:space="0"/>
            </w:tcBorders>
          </w:tcPr>
          <w:p>
            <w:pPr>
              <w:pStyle w:val="TableText"/>
              <w:ind w:left="592"/>
              <w:spacing w:before="56" w:line="232" w:lineRule="auto"/>
              <w:rPr/>
            </w:pPr>
            <w:r>
              <w:rPr/>
              <w:t>比例（</w:t>
            </w:r>
            <w:r>
              <w:rPr>
                <w:rFonts w:ascii="Times New Roman" w:hAnsi="Times New Roman" w:eastAsia="Times New Roman" w:cs="Times New Roman"/>
              </w:rPr>
              <w:t>%</w:t>
            </w:r>
            <w:r>
              <w:rPr/>
              <w:t>）</w:t>
            </w:r>
          </w:p>
        </w:tc>
      </w:tr>
      <w:tr>
        <w:trPr>
          <w:trHeight w:val="316" w:hRule="atLeast"/>
        </w:trPr>
        <w:tc>
          <w:tcPr>
            <w:tcW w:w="1617" w:type="dxa"/>
            <w:vAlign w:val="top"/>
            <w:tcBorders>
              <w:left w:val="nil"/>
            </w:tcBorders>
          </w:tcPr>
          <w:p>
            <w:pPr>
              <w:ind w:left="78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43" w:type="dxa"/>
            <w:vAlign w:val="top"/>
          </w:tcPr>
          <w:p>
            <w:pPr>
              <w:pStyle w:val="TableText"/>
              <w:ind w:left="915"/>
              <w:spacing w:before="53" w:line="230" w:lineRule="auto"/>
              <w:rPr/>
            </w:pPr>
            <w:r>
              <w:rPr>
                <w:spacing w:val="5"/>
              </w:rPr>
              <w:t>灌木林地</w:t>
            </w:r>
          </w:p>
        </w:tc>
        <w:tc>
          <w:tcPr>
            <w:tcW w:w="2131" w:type="dxa"/>
            <w:vAlign w:val="top"/>
          </w:tcPr>
          <w:p>
            <w:pPr>
              <w:ind w:left="781"/>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367.06</w:t>
            </w:r>
          </w:p>
        </w:tc>
        <w:tc>
          <w:tcPr>
            <w:tcW w:w="2131" w:type="dxa"/>
            <w:vAlign w:val="top"/>
            <w:tcBorders>
              <w:right w:val="nil"/>
            </w:tcBorders>
          </w:tcPr>
          <w:p>
            <w:pPr>
              <w:ind w:left="888"/>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w:t>
            </w:r>
          </w:p>
        </w:tc>
      </w:tr>
      <w:tr>
        <w:trPr>
          <w:trHeight w:val="316" w:hRule="atLeast"/>
        </w:trPr>
        <w:tc>
          <w:tcPr>
            <w:tcW w:w="1617" w:type="dxa"/>
            <w:vAlign w:val="top"/>
            <w:tcBorders>
              <w:left w:val="nil"/>
            </w:tcBorders>
          </w:tcPr>
          <w:p>
            <w:pPr>
              <w:ind w:left="760"/>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43" w:type="dxa"/>
            <w:vAlign w:val="top"/>
          </w:tcPr>
          <w:p>
            <w:pPr>
              <w:pStyle w:val="TableText"/>
              <w:ind w:left="807"/>
              <w:spacing w:before="53" w:line="231" w:lineRule="auto"/>
              <w:rPr/>
            </w:pPr>
            <w:r>
              <w:rPr>
                <w:spacing w:val="6"/>
              </w:rPr>
              <w:t>天然牧草地</w:t>
            </w:r>
          </w:p>
        </w:tc>
        <w:tc>
          <w:tcPr>
            <w:tcW w:w="2131" w:type="dxa"/>
            <w:vAlign w:val="top"/>
          </w:tcPr>
          <w:p>
            <w:pPr>
              <w:ind w:left="73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3590.18</w:t>
            </w:r>
          </w:p>
        </w:tc>
        <w:tc>
          <w:tcPr>
            <w:tcW w:w="2131" w:type="dxa"/>
            <w:vAlign w:val="top"/>
            <w:tcBorders>
              <w:right w:val="nil"/>
            </w:tcBorders>
          </w:tcPr>
          <w:p>
            <w:pPr>
              <w:ind w:left="83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55.62</w:t>
            </w:r>
          </w:p>
        </w:tc>
      </w:tr>
      <w:tr>
        <w:trPr>
          <w:trHeight w:val="318" w:hRule="atLeast"/>
        </w:trPr>
        <w:tc>
          <w:tcPr>
            <w:tcW w:w="1617" w:type="dxa"/>
            <w:vAlign w:val="top"/>
            <w:tcBorders>
              <w:left w:val="nil"/>
            </w:tcBorders>
          </w:tcPr>
          <w:p>
            <w:pPr>
              <w:ind w:left="76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43" w:type="dxa"/>
            <w:vAlign w:val="top"/>
          </w:tcPr>
          <w:p>
            <w:pPr>
              <w:pStyle w:val="TableText"/>
              <w:ind w:left="1126"/>
              <w:spacing w:before="54" w:line="232" w:lineRule="auto"/>
              <w:rPr/>
            </w:pPr>
            <w:r>
              <w:rPr/>
              <w:t>沙地</w:t>
            </w:r>
          </w:p>
        </w:tc>
        <w:tc>
          <w:tcPr>
            <w:tcW w:w="2131" w:type="dxa"/>
            <w:vAlign w:val="top"/>
          </w:tcPr>
          <w:p>
            <w:pPr>
              <w:ind w:left="726"/>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2410.86</w:t>
            </w:r>
          </w:p>
        </w:tc>
        <w:tc>
          <w:tcPr>
            <w:tcW w:w="2131" w:type="dxa"/>
            <w:vAlign w:val="top"/>
            <w:tcBorders>
              <w:right w:val="nil"/>
            </w:tcBorders>
          </w:tcPr>
          <w:p>
            <w:pPr>
              <w:ind w:left="83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37.35</w:t>
            </w:r>
          </w:p>
        </w:tc>
      </w:tr>
    </w:tbl>
    <w:p>
      <w:pPr>
        <w:pStyle w:val="BodyText"/>
        <w:spacing w:line="216" w:lineRule="exact"/>
        <w:rPr>
          <w:sz w:val="18"/>
        </w:rPr>
      </w:pPr>
      <w:r/>
    </w:p>
    <w:p>
      <w:pPr>
        <w:spacing w:line="216" w:lineRule="exact"/>
        <w:sectPr>
          <w:footerReference w:type="default" r:id="rId267"/>
          <w:pgSz w:w="11906" w:h="16839"/>
          <w:pgMar w:top="400" w:right="1691" w:bottom="1358" w:left="1691" w:header="0" w:footer="1195" w:gutter="0"/>
        </w:sectPr>
        <w:rPr>
          <w:sz w:val="18"/>
          <w:szCs w:val="18"/>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7"/>
        <w:gridCol w:w="2643"/>
        <w:gridCol w:w="2131"/>
        <w:gridCol w:w="2131"/>
      </w:tblGrid>
      <w:tr>
        <w:trPr>
          <w:trHeight w:val="317" w:hRule="atLeast"/>
        </w:trPr>
        <w:tc>
          <w:tcPr>
            <w:tcW w:w="1617" w:type="dxa"/>
            <w:vAlign w:val="top"/>
            <w:tcBorders>
              <w:left w:val="nil"/>
            </w:tcBorders>
          </w:tcPr>
          <w:p>
            <w:pPr>
              <w:ind w:left="75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643" w:type="dxa"/>
            <w:vAlign w:val="top"/>
          </w:tcPr>
          <w:p>
            <w:pPr>
              <w:pStyle w:val="TableText"/>
              <w:ind w:left="937"/>
              <w:spacing w:before="56" w:line="231" w:lineRule="auto"/>
              <w:rPr/>
            </w:pPr>
            <w:r>
              <w:rPr>
                <w:spacing w:val="-1"/>
              </w:rPr>
              <w:t>内陆滩涂</w:t>
            </w:r>
          </w:p>
        </w:tc>
        <w:tc>
          <w:tcPr>
            <w:tcW w:w="2131" w:type="dxa"/>
            <w:vAlign w:val="top"/>
          </w:tcPr>
          <w:p>
            <w:pPr>
              <w:ind w:left="83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32.75</w:t>
            </w:r>
          </w:p>
        </w:tc>
        <w:tc>
          <w:tcPr>
            <w:tcW w:w="2131" w:type="dxa"/>
            <w:vAlign w:val="top"/>
            <w:tcBorders>
              <w:right w:val="nil"/>
            </w:tcBorders>
          </w:tcPr>
          <w:p>
            <w:pPr>
              <w:ind w:left="886"/>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r>
      <w:tr>
        <w:trPr>
          <w:trHeight w:val="313" w:hRule="atLeast"/>
        </w:trPr>
        <w:tc>
          <w:tcPr>
            <w:tcW w:w="1617" w:type="dxa"/>
            <w:vAlign w:val="top"/>
            <w:tcBorders>
              <w:left w:val="nil"/>
            </w:tcBorders>
          </w:tcPr>
          <w:p>
            <w:pPr>
              <w:ind w:left="766"/>
              <w:spacing w:before="9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43" w:type="dxa"/>
            <w:vAlign w:val="top"/>
          </w:tcPr>
          <w:p>
            <w:pPr>
              <w:pStyle w:val="TableText"/>
              <w:ind w:left="807"/>
              <w:spacing w:before="56" w:line="228" w:lineRule="auto"/>
              <w:rPr/>
            </w:pPr>
            <w:r>
              <w:rPr>
                <w:spacing w:val="6"/>
              </w:rPr>
              <w:t>农村宅基地</w:t>
            </w:r>
          </w:p>
        </w:tc>
        <w:tc>
          <w:tcPr>
            <w:tcW w:w="2131" w:type="dxa"/>
            <w:vAlign w:val="top"/>
          </w:tcPr>
          <w:p>
            <w:pPr>
              <w:ind w:left="84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10.27</w:t>
            </w:r>
          </w:p>
        </w:tc>
        <w:tc>
          <w:tcPr>
            <w:tcW w:w="2131" w:type="dxa"/>
            <w:vAlign w:val="top"/>
            <w:tcBorders>
              <w:right w:val="nil"/>
            </w:tcBorders>
          </w:tcPr>
          <w:p>
            <w:pPr>
              <w:ind w:left="886"/>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0.16</w:t>
            </w:r>
          </w:p>
        </w:tc>
      </w:tr>
      <w:tr>
        <w:trPr>
          <w:trHeight w:val="313" w:hRule="atLeast"/>
        </w:trPr>
        <w:tc>
          <w:tcPr>
            <w:tcW w:w="1617" w:type="dxa"/>
            <w:vAlign w:val="top"/>
            <w:tcBorders>
              <w:left w:val="nil"/>
            </w:tcBorders>
          </w:tcPr>
          <w:p>
            <w:pPr>
              <w:ind w:left="764"/>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43" w:type="dxa"/>
            <w:vAlign w:val="top"/>
          </w:tcPr>
          <w:p>
            <w:pPr>
              <w:pStyle w:val="TableText"/>
              <w:ind w:left="916"/>
              <w:spacing w:before="59" w:line="225" w:lineRule="auto"/>
              <w:rPr/>
            </w:pPr>
            <w:r>
              <w:rPr>
                <w:spacing w:val="4"/>
              </w:rPr>
              <w:t>工业用地</w:t>
            </w:r>
          </w:p>
        </w:tc>
        <w:tc>
          <w:tcPr>
            <w:tcW w:w="2131" w:type="dxa"/>
            <w:vAlign w:val="top"/>
          </w:tcPr>
          <w:p>
            <w:pPr>
              <w:ind w:left="829"/>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20.29</w:t>
            </w:r>
          </w:p>
        </w:tc>
        <w:tc>
          <w:tcPr>
            <w:tcW w:w="2131" w:type="dxa"/>
            <w:vAlign w:val="top"/>
            <w:tcBorders>
              <w:right w:val="nil"/>
            </w:tcBorders>
          </w:tcPr>
          <w:p>
            <w:pPr>
              <w:ind w:left="886"/>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0.31</w:t>
            </w:r>
          </w:p>
        </w:tc>
      </w:tr>
      <w:tr>
        <w:trPr>
          <w:trHeight w:val="313" w:hRule="atLeast"/>
        </w:trPr>
        <w:tc>
          <w:tcPr>
            <w:tcW w:w="1617" w:type="dxa"/>
            <w:vAlign w:val="top"/>
            <w:tcBorders>
              <w:left w:val="nil"/>
            </w:tcBorders>
          </w:tcPr>
          <w:p>
            <w:pPr>
              <w:ind w:left="763"/>
              <w:spacing w:before="10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43" w:type="dxa"/>
            <w:vAlign w:val="top"/>
          </w:tcPr>
          <w:p>
            <w:pPr>
              <w:pStyle w:val="TableText"/>
              <w:ind w:left="912"/>
              <w:spacing w:before="63" w:line="221" w:lineRule="auto"/>
              <w:rPr/>
            </w:pPr>
            <w:r>
              <w:rPr>
                <w:spacing w:val="5"/>
              </w:rPr>
              <w:t>道路用地</w:t>
            </w:r>
          </w:p>
        </w:tc>
        <w:tc>
          <w:tcPr>
            <w:tcW w:w="2131" w:type="dxa"/>
            <w:vAlign w:val="top"/>
          </w:tcPr>
          <w:p>
            <w:pPr>
              <w:ind w:left="84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10.44</w:t>
            </w:r>
          </w:p>
        </w:tc>
        <w:tc>
          <w:tcPr>
            <w:tcW w:w="2131" w:type="dxa"/>
            <w:vAlign w:val="top"/>
            <w:tcBorders>
              <w:right w:val="nil"/>
            </w:tcBorders>
          </w:tcPr>
          <w:p>
            <w:pPr>
              <w:ind w:left="886"/>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0.16</w:t>
            </w:r>
          </w:p>
        </w:tc>
      </w:tr>
      <w:tr>
        <w:trPr>
          <w:trHeight w:val="313" w:hRule="atLeast"/>
        </w:trPr>
        <w:tc>
          <w:tcPr>
            <w:tcW w:w="1617" w:type="dxa"/>
            <w:vAlign w:val="top"/>
            <w:tcBorders>
              <w:left w:val="nil"/>
            </w:tcBorders>
          </w:tcPr>
          <w:p>
            <w:pPr>
              <w:ind w:left="76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643" w:type="dxa"/>
            <w:vAlign w:val="top"/>
          </w:tcPr>
          <w:p>
            <w:pPr>
              <w:pStyle w:val="TableText"/>
              <w:ind w:left="916"/>
              <w:spacing w:before="69" w:line="216" w:lineRule="auto"/>
              <w:rPr/>
            </w:pPr>
            <w:r>
              <w:rPr>
                <w:spacing w:val="4"/>
              </w:rPr>
              <w:t>湖泊水域</w:t>
            </w:r>
          </w:p>
        </w:tc>
        <w:tc>
          <w:tcPr>
            <w:tcW w:w="2131" w:type="dxa"/>
            <w:vAlign w:val="top"/>
          </w:tcPr>
          <w:p>
            <w:pPr>
              <w:ind w:left="8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13.28</w:t>
            </w:r>
          </w:p>
        </w:tc>
        <w:tc>
          <w:tcPr>
            <w:tcW w:w="2131" w:type="dxa"/>
            <w:vAlign w:val="top"/>
            <w:tcBorders>
              <w:right w:val="nil"/>
            </w:tcBorders>
          </w:tcPr>
          <w:p>
            <w:pPr>
              <w:ind w:left="88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0.21</w:t>
            </w:r>
          </w:p>
        </w:tc>
      </w:tr>
      <w:tr>
        <w:trPr>
          <w:trHeight w:val="336" w:hRule="atLeast"/>
        </w:trPr>
        <w:tc>
          <w:tcPr>
            <w:tcW w:w="4260" w:type="dxa"/>
            <w:vAlign w:val="top"/>
            <w:gridSpan w:val="2"/>
            <w:tcBorders>
              <w:left w:val="nil"/>
              <w:bottom w:val="single" w:color="000000" w:sz="10" w:space="0"/>
            </w:tcBorders>
          </w:tcPr>
          <w:p>
            <w:pPr>
              <w:pStyle w:val="TableText"/>
              <w:ind w:left="1939"/>
              <w:spacing w:before="72" w:line="231" w:lineRule="auto"/>
              <w:rPr/>
            </w:pPr>
            <w:r>
              <w:rPr>
                <w:spacing w:val="-1"/>
              </w:rPr>
              <w:t>合计</w:t>
            </w:r>
          </w:p>
        </w:tc>
        <w:tc>
          <w:tcPr>
            <w:tcW w:w="2131" w:type="dxa"/>
            <w:vAlign w:val="top"/>
            <w:tcBorders>
              <w:bottom w:val="single" w:color="000000" w:sz="10" w:space="0"/>
            </w:tcBorders>
          </w:tcPr>
          <w:p>
            <w:pPr>
              <w:ind w:left="73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6455.13</w:t>
            </w:r>
          </w:p>
        </w:tc>
        <w:tc>
          <w:tcPr>
            <w:tcW w:w="2131" w:type="dxa"/>
            <w:vAlign w:val="top"/>
            <w:tcBorders>
              <w:right w:val="nil"/>
              <w:bottom w:val="single" w:color="000000" w:sz="10" w:space="0"/>
            </w:tcBorders>
          </w:tcPr>
          <w:p>
            <w:pPr>
              <w:ind w:left="797"/>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pPr>
        <w:pStyle w:val="BodyText"/>
        <w:spacing w:line="251" w:lineRule="auto"/>
        <w:rPr/>
      </w:pPr>
      <w:r/>
    </w:p>
    <w:p>
      <w:pPr>
        <w:pStyle w:val="BodyText"/>
        <w:spacing w:line="252" w:lineRule="auto"/>
        <w:rPr/>
      </w:pPr>
      <w:r/>
    </w:p>
    <w:p>
      <w:pPr>
        <w:ind w:left="116"/>
        <w:spacing w:before="78" w:line="221" w:lineRule="auto"/>
        <w:outlineLvl w:val="2"/>
        <w:rPr>
          <w:rFonts w:ascii="FangSong" w:hAnsi="FangSong" w:eastAsia="FangSong" w:cs="FangSong"/>
          <w:sz w:val="24"/>
          <w:szCs w:val="24"/>
        </w:rPr>
      </w:pPr>
      <w:bookmarkStart w:name="bookmark266" w:id="364"/>
      <w:bookmarkEnd w:id="364"/>
      <w:bookmarkStart w:name="bookmark265" w:id="365"/>
      <w:bookmarkEnd w:id="365"/>
      <w:r>
        <w:rPr>
          <w:rFonts w:ascii="Times New Roman" w:hAnsi="Times New Roman" w:eastAsia="Times New Roman" w:cs="Times New Roman"/>
          <w:sz w:val="24"/>
          <w:szCs w:val="24"/>
          <w:b/>
          <w:bCs/>
          <w:spacing w:val="-2"/>
        </w:rPr>
        <w:t>5.6.8  </w:t>
      </w:r>
      <w:r>
        <w:rPr>
          <w:rFonts w:ascii="FangSong" w:hAnsi="FangSong" w:eastAsia="FangSong" w:cs="FangSong"/>
          <w:sz w:val="24"/>
          <w:szCs w:val="24"/>
          <w:b/>
          <w:bCs/>
          <w:spacing w:val="-2"/>
        </w:rPr>
        <w:t>濒危物种生态现状调查</w:t>
      </w:r>
    </w:p>
    <w:p>
      <w:pPr>
        <w:ind w:left="116"/>
        <w:spacing w:before="180"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5.6.8.1  </w:t>
      </w:r>
      <w:r>
        <w:rPr>
          <w:rFonts w:ascii="FangSong" w:hAnsi="FangSong" w:eastAsia="FangSong" w:cs="FangSong"/>
          <w:sz w:val="24"/>
          <w:szCs w:val="24"/>
          <w:b/>
          <w:bCs/>
          <w:spacing w:val="-2"/>
        </w:rPr>
        <w:t>重点保护和珍稀濒危植物资源</w:t>
      </w:r>
    </w:p>
    <w:p>
      <w:pPr>
        <w:ind w:left="123" w:right="107" w:firstLine="480"/>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按照最新调整的《国家重点保护野生植物名录（</w:t>
      </w:r>
      <w:r>
        <w:rPr>
          <w:rFonts w:ascii="Times New Roman" w:hAnsi="Times New Roman" w:eastAsia="Times New Roman" w:cs="Times New Roman"/>
          <w:sz w:val="24"/>
          <w:szCs w:val="24"/>
          <w:spacing w:val="-3"/>
        </w:rPr>
        <w:t>2022</w:t>
      </w:r>
      <w:r>
        <w:rPr>
          <w:rFonts w:ascii="FangSong" w:hAnsi="FangSong" w:eastAsia="FangSong" w:cs="FangSong"/>
          <w:sz w:val="24"/>
          <w:szCs w:val="24"/>
          <w:spacing w:val="-3"/>
        </w:rPr>
        <w:t>）》，并</w:t>
      </w:r>
      <w:r>
        <w:rPr>
          <w:rFonts w:ascii="FangSong" w:hAnsi="FangSong" w:eastAsia="FangSong" w:cs="FangSong"/>
          <w:sz w:val="24"/>
          <w:szCs w:val="24"/>
          <w:spacing w:val="-4"/>
        </w:rPr>
        <w:t>经现地调查核</w:t>
      </w:r>
      <w:r>
        <w:rPr>
          <w:rFonts w:ascii="FangSong" w:hAnsi="FangSong" w:eastAsia="FangSong" w:cs="FangSong"/>
          <w:sz w:val="24"/>
          <w:szCs w:val="24"/>
          <w:spacing w:val="-3"/>
        </w:rPr>
        <w:t>实和查阅有关资料，调查范围内不涉及国家级及省级重点保护野生动</w:t>
      </w:r>
      <w:r>
        <w:rPr>
          <w:rFonts w:ascii="FangSong" w:hAnsi="FangSong" w:eastAsia="FangSong" w:cs="FangSong"/>
          <w:sz w:val="24"/>
          <w:szCs w:val="24"/>
          <w:spacing w:val="-4"/>
        </w:rPr>
        <w:t>物资源及其</w:t>
      </w:r>
      <w:r>
        <w:rPr>
          <w:rFonts w:ascii="FangSong" w:hAnsi="FangSong" w:eastAsia="FangSong" w:cs="FangSong"/>
          <w:sz w:val="24"/>
          <w:szCs w:val="24"/>
          <w:spacing w:val="-4"/>
        </w:rPr>
        <w:t>栖息地。</w:t>
      </w:r>
    </w:p>
    <w:p>
      <w:pPr>
        <w:ind w:left="116"/>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5.6.8.2  </w:t>
      </w:r>
      <w:r>
        <w:rPr>
          <w:rFonts w:ascii="FangSong" w:hAnsi="FangSong" w:eastAsia="FangSong" w:cs="FangSong"/>
          <w:sz w:val="24"/>
          <w:szCs w:val="24"/>
          <w:b/>
          <w:bCs/>
          <w:spacing w:val="-2"/>
        </w:rPr>
        <w:t>重点保护和珍稀濒危动物资源</w:t>
      </w:r>
    </w:p>
    <w:p>
      <w:pPr>
        <w:ind w:left="123" w:right="107" w:firstLine="480"/>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按照最新调整的《国家重点保护野生动物名录（</w:t>
      </w:r>
      <w:r>
        <w:rPr>
          <w:rFonts w:ascii="Times New Roman" w:hAnsi="Times New Roman" w:eastAsia="Times New Roman" w:cs="Times New Roman"/>
          <w:sz w:val="24"/>
          <w:szCs w:val="24"/>
          <w:spacing w:val="-3"/>
        </w:rPr>
        <w:t>2022</w:t>
      </w:r>
      <w:r>
        <w:rPr>
          <w:rFonts w:ascii="FangSong" w:hAnsi="FangSong" w:eastAsia="FangSong" w:cs="FangSong"/>
          <w:sz w:val="24"/>
          <w:szCs w:val="24"/>
          <w:spacing w:val="-3"/>
        </w:rPr>
        <w:t>）》，并</w:t>
      </w:r>
      <w:r>
        <w:rPr>
          <w:rFonts w:ascii="FangSong" w:hAnsi="FangSong" w:eastAsia="FangSong" w:cs="FangSong"/>
          <w:sz w:val="24"/>
          <w:szCs w:val="24"/>
          <w:spacing w:val="-4"/>
        </w:rPr>
        <w:t>经现地调查核</w:t>
      </w:r>
      <w:r>
        <w:rPr>
          <w:rFonts w:ascii="FangSong" w:hAnsi="FangSong" w:eastAsia="FangSong" w:cs="FangSong"/>
          <w:sz w:val="24"/>
          <w:szCs w:val="24"/>
          <w:spacing w:val="-3"/>
        </w:rPr>
        <w:t>实和查阅有关资料，调查范围内不涉及国家级及省级重点保护野生动</w:t>
      </w:r>
      <w:r>
        <w:rPr>
          <w:rFonts w:ascii="FangSong" w:hAnsi="FangSong" w:eastAsia="FangSong" w:cs="FangSong"/>
          <w:sz w:val="24"/>
          <w:szCs w:val="24"/>
          <w:spacing w:val="-4"/>
        </w:rPr>
        <w:t>物资源及其</w:t>
      </w:r>
      <w:r>
        <w:rPr>
          <w:rFonts w:ascii="FangSong" w:hAnsi="FangSong" w:eastAsia="FangSong" w:cs="FangSong"/>
          <w:sz w:val="24"/>
          <w:szCs w:val="24"/>
          <w:spacing w:val="-4"/>
        </w:rPr>
        <w:t>栖息地。</w:t>
      </w:r>
    </w:p>
    <w:p>
      <w:pPr>
        <w:ind w:left="116"/>
        <w:spacing w:before="1" w:line="222" w:lineRule="auto"/>
        <w:outlineLvl w:val="2"/>
        <w:rPr>
          <w:rFonts w:ascii="FangSong" w:hAnsi="FangSong" w:eastAsia="FangSong" w:cs="FangSong"/>
          <w:sz w:val="24"/>
          <w:szCs w:val="24"/>
        </w:rPr>
      </w:pPr>
      <w:bookmarkStart w:name="bookmark268" w:id="366"/>
      <w:bookmarkEnd w:id="366"/>
      <w:bookmarkStart w:name="bookmark267" w:id="367"/>
      <w:bookmarkEnd w:id="367"/>
      <w:r>
        <w:rPr>
          <w:rFonts w:ascii="Times New Roman" w:hAnsi="Times New Roman" w:eastAsia="Times New Roman" w:cs="Times New Roman"/>
          <w:sz w:val="24"/>
          <w:szCs w:val="24"/>
          <w:b/>
          <w:bCs/>
          <w:spacing w:val="-2"/>
        </w:rPr>
        <w:t>5.6.9  </w:t>
      </w:r>
      <w:r>
        <w:rPr>
          <w:rFonts w:ascii="FangSong" w:hAnsi="FangSong" w:eastAsia="FangSong" w:cs="FangSong"/>
          <w:sz w:val="24"/>
          <w:szCs w:val="24"/>
          <w:b/>
          <w:bCs/>
          <w:spacing w:val="-2"/>
        </w:rPr>
        <w:t>主要生态环境问题调查</w:t>
      </w:r>
    </w:p>
    <w:p>
      <w:pPr>
        <w:ind w:left="116"/>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5.6.9.1  </w:t>
      </w:r>
      <w:r>
        <w:rPr>
          <w:rFonts w:ascii="FangSong" w:hAnsi="FangSong" w:eastAsia="FangSong" w:cs="FangSong"/>
          <w:sz w:val="24"/>
          <w:szCs w:val="24"/>
          <w:b/>
          <w:bCs/>
          <w:spacing w:val="-2"/>
        </w:rPr>
        <w:t>水土流失现状</w:t>
      </w:r>
    </w:p>
    <w:p>
      <w:pPr>
        <w:ind w:left="123" w:right="1"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该项工程位于内蒙古自治区锡林郭勒盟苏尼特右</w:t>
      </w:r>
      <w:r>
        <w:rPr>
          <w:rFonts w:ascii="FangSong" w:hAnsi="FangSong" w:eastAsia="FangSong" w:cs="FangSong"/>
          <w:sz w:val="24"/>
          <w:szCs w:val="24"/>
          <w:spacing w:val="-4"/>
        </w:rPr>
        <w:t>旗境内，根据《内蒙古自治</w:t>
      </w:r>
      <w:r>
        <w:rPr>
          <w:rFonts w:ascii="FangSong" w:hAnsi="FangSong" w:eastAsia="FangSong" w:cs="FangSong"/>
          <w:sz w:val="24"/>
          <w:szCs w:val="24"/>
          <w:spacing w:val="-1"/>
        </w:rPr>
        <w:t>区水土保持规划（</w:t>
      </w:r>
      <w:r>
        <w:rPr>
          <w:rFonts w:ascii="Times New Roman" w:hAnsi="Times New Roman" w:eastAsia="Times New Roman" w:cs="Times New Roman"/>
          <w:sz w:val="24"/>
          <w:szCs w:val="24"/>
          <w:spacing w:val="-1"/>
        </w:rPr>
        <w:t>2016-2030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年）》，项目所属水土保持区划为北方风沙区（新</w:t>
      </w:r>
      <w:r>
        <w:rPr>
          <w:rFonts w:ascii="FangSong" w:hAnsi="FangSong" w:eastAsia="FangSong" w:cs="FangSong"/>
          <w:sz w:val="24"/>
          <w:szCs w:val="24"/>
          <w:spacing w:val="-2"/>
        </w:rPr>
        <w:t>甘蒙高原盆地区）中的</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II-1-3tx</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阴山北麓山地高原保水蓄水区（见附图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5-13</w:t>
      </w:r>
      <w:r>
        <w:rPr>
          <w:rFonts w:ascii="FangSong" w:hAnsi="FangSong" w:eastAsia="FangSong" w:cs="FangSong"/>
          <w:sz w:val="24"/>
          <w:szCs w:val="24"/>
          <w:spacing w:val="18"/>
        </w:rPr>
        <w:t>），</w:t>
      </w:r>
      <w:r>
        <w:rPr>
          <w:rFonts w:ascii="FangSong" w:hAnsi="FangSong" w:eastAsia="FangSong" w:cs="FangSong"/>
          <w:sz w:val="24"/>
          <w:szCs w:val="24"/>
          <w:spacing w:val="-2"/>
        </w:rPr>
        <w:t>根据《内蒙古自治区水土保持公报（</w:t>
      </w:r>
      <w:r>
        <w:rPr>
          <w:rFonts w:ascii="Times New Roman" w:hAnsi="Times New Roman" w:eastAsia="Times New Roman" w:cs="Times New Roman"/>
          <w:sz w:val="24"/>
          <w:szCs w:val="24"/>
          <w:spacing w:val="-2"/>
        </w:rPr>
        <w:t>2024</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
        </w:rPr>
        <w:t>年度）》和</w:t>
      </w:r>
      <w:r>
        <w:rPr>
          <w:rFonts w:ascii="FangSong" w:hAnsi="FangSong" w:eastAsia="FangSong" w:cs="FangSong"/>
          <w:sz w:val="24"/>
          <w:szCs w:val="24"/>
          <w:spacing w:val="-3"/>
        </w:rPr>
        <w:t>《土壤侵蚀分类分级标准》</w:t>
      </w:r>
      <w:r>
        <w:rPr>
          <w:rFonts w:ascii="FangSong" w:hAnsi="FangSong" w:eastAsia="FangSong" w:cs="FangSong"/>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SL190-2007</w:t>
      </w:r>
      <w:r>
        <w:rPr>
          <w:rFonts w:ascii="FangSong" w:hAnsi="FangSong" w:eastAsia="FangSong" w:cs="FangSong"/>
          <w:sz w:val="24"/>
          <w:szCs w:val="24"/>
          <w:spacing w:val="-10"/>
        </w:rPr>
        <w:t>），</w:t>
      </w:r>
      <w:r>
        <w:rPr>
          <w:rFonts w:ascii="FangSong" w:hAnsi="FangSong" w:eastAsia="FangSong" w:cs="FangSong"/>
          <w:sz w:val="24"/>
          <w:szCs w:val="24"/>
          <w:spacing w:val="-3"/>
        </w:rPr>
        <w:t>项目区域属于“三北</w:t>
      </w:r>
      <w:r>
        <w:rPr>
          <w:rFonts w:ascii="FangSong" w:hAnsi="FangSong" w:eastAsia="FangSong" w:cs="FangSong"/>
          <w:sz w:val="24"/>
          <w:szCs w:val="24"/>
          <w:spacing w:val="-87"/>
        </w:rPr>
        <w:t xml:space="preserve"> </w:t>
      </w:r>
      <w:r>
        <w:rPr>
          <w:rFonts w:ascii="FangSong" w:hAnsi="FangSong" w:eastAsia="FangSong" w:cs="FangSong"/>
          <w:sz w:val="24"/>
          <w:szCs w:val="24"/>
          <w:spacing w:val="-3"/>
        </w:rPr>
        <w:t>”戈壁沙漠及沙地</w:t>
      </w:r>
      <w:r>
        <w:rPr>
          <w:rFonts w:ascii="FangSong" w:hAnsi="FangSong" w:eastAsia="FangSong" w:cs="FangSong"/>
          <w:sz w:val="24"/>
          <w:szCs w:val="24"/>
          <w:spacing w:val="-4"/>
        </w:rPr>
        <w:t>风沙区，锡林郭勒盟水</w:t>
      </w:r>
      <w:r>
        <w:rPr>
          <w:rFonts w:ascii="FangSong" w:hAnsi="FangSong" w:eastAsia="FangSong" w:cs="FangSong"/>
          <w:sz w:val="24"/>
          <w:szCs w:val="24"/>
          <w:spacing w:val="4"/>
        </w:rPr>
        <w:t>土流失现状以风力侵蚀为主，风力侵蚀总面积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125915.</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4"/>
        </w:rPr>
        <w:t>13</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4"/>
        </w:rPr>
        <w:t>，其中轻度侵蚀</w:t>
      </w:r>
      <w:r>
        <w:rPr>
          <w:rFonts w:ascii="Times New Roman" w:hAnsi="Times New Roman" w:eastAsia="Times New Roman" w:cs="Times New Roman"/>
          <w:sz w:val="24"/>
          <w:szCs w:val="24"/>
          <w:spacing w:val="-6"/>
        </w:rPr>
        <w:t>115538.40km2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、中度侵蚀</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6755.96km2</w:t>
      </w:r>
      <w:r>
        <w:rPr>
          <w:rFonts w:ascii="FangSong" w:hAnsi="FangSong" w:eastAsia="FangSong" w:cs="FangSong"/>
          <w:sz w:val="24"/>
          <w:szCs w:val="24"/>
          <w:spacing w:val="-6"/>
        </w:rPr>
        <w:t>、强烈及以上侵蚀</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3620.77km2</w:t>
      </w:r>
      <w:r>
        <w:rPr>
          <w:rFonts w:ascii="FangSong" w:hAnsi="FangSong" w:eastAsia="FangSong" w:cs="FangSong"/>
          <w:sz w:val="24"/>
          <w:szCs w:val="24"/>
          <w:spacing w:val="-6"/>
        </w:rPr>
        <w:t>，风力侵蚀强</w:t>
      </w:r>
      <w:r>
        <w:rPr>
          <w:rFonts w:ascii="FangSong" w:hAnsi="FangSong" w:eastAsia="FangSong" w:cs="FangSong"/>
          <w:sz w:val="24"/>
          <w:szCs w:val="24"/>
          <w:spacing w:val="-2"/>
        </w:rPr>
        <w:t>度以轻度、中度侵蚀为主。</w:t>
      </w:r>
    </w:p>
    <w:p>
      <w:pPr>
        <w:ind w:left="116"/>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5.6.9.2</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生物入侵现状</w:t>
      </w:r>
    </w:p>
    <w:p>
      <w:pPr>
        <w:ind w:left="138" w:right="107" w:firstLine="496"/>
        <w:spacing w:before="181" w:line="360" w:lineRule="auto"/>
        <w:rPr>
          <w:rFonts w:ascii="FangSong" w:hAnsi="FangSong" w:eastAsia="FangSong" w:cs="FangSong"/>
          <w:sz w:val="24"/>
          <w:szCs w:val="24"/>
        </w:rPr>
      </w:pPr>
      <w:r>
        <w:rPr>
          <w:rFonts w:ascii="FangSong" w:hAnsi="FangSong" w:eastAsia="FangSong" w:cs="FangSong"/>
          <w:sz w:val="24"/>
          <w:szCs w:val="24"/>
          <w:spacing w:val="-4"/>
        </w:rPr>
        <w:t>由现场勘查、资料收集及评价范围内动植物调查现状</w:t>
      </w:r>
      <w:r>
        <w:rPr>
          <w:rFonts w:ascii="FangSong" w:hAnsi="FangSong" w:eastAsia="FangSong" w:cs="FangSong"/>
          <w:sz w:val="24"/>
          <w:szCs w:val="24"/>
          <w:spacing w:val="-5"/>
        </w:rPr>
        <w:t>可知，评价区内无外来</w:t>
      </w:r>
      <w:r>
        <w:rPr>
          <w:rFonts w:ascii="FangSong" w:hAnsi="FangSong" w:eastAsia="FangSong" w:cs="FangSong"/>
          <w:sz w:val="24"/>
          <w:szCs w:val="24"/>
          <w:spacing w:val="-6"/>
        </w:rPr>
        <w:t>生物入侵。</w:t>
      </w:r>
    </w:p>
    <w:p>
      <w:pPr>
        <w:ind w:left="1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5.6.9.3</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污染现状</w:t>
      </w:r>
    </w:p>
    <w:p>
      <w:pPr>
        <w:ind w:left="634"/>
        <w:spacing w:before="179" w:line="220" w:lineRule="auto"/>
        <w:rPr>
          <w:rFonts w:ascii="Times New Roman" w:hAnsi="Times New Roman" w:eastAsia="Times New Roman" w:cs="Times New Roman"/>
          <w:sz w:val="24"/>
          <w:szCs w:val="24"/>
        </w:rPr>
      </w:pPr>
      <w:r>
        <w:rPr>
          <w:rFonts w:ascii="FangSong" w:hAnsi="FangSong" w:eastAsia="FangSong" w:cs="FangSong"/>
          <w:sz w:val="24"/>
          <w:szCs w:val="24"/>
          <w:spacing w:val="-8"/>
        </w:rPr>
        <w:t>由现场勘查、资料收集及评价范围内土地利用现状可知，拟建矿区周边</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8"/>
        </w:rPr>
        <w:t>500m</w:t>
      </w:r>
    </w:p>
    <w:p>
      <w:pPr>
        <w:spacing w:line="220" w:lineRule="auto"/>
        <w:sectPr>
          <w:footerReference w:type="default" r:id="rId268"/>
          <w:pgSz w:w="11906" w:h="16839"/>
          <w:pgMar w:top="400" w:right="1691" w:bottom="1358" w:left="1691" w:header="0" w:footer="1195" w:gutter="0"/>
        </w:sectPr>
        <w:rPr>
          <w:rFonts w:ascii="Times New Roman" w:hAnsi="Times New Roman" w:eastAsia="Times New Roman" w:cs="Times New Roman"/>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99" w:firstLine="13"/>
        <w:spacing w:before="78" w:line="360" w:lineRule="auto"/>
        <w:jc w:val="both"/>
        <w:rPr>
          <w:rFonts w:ascii="FangSong" w:hAnsi="FangSong" w:eastAsia="FangSong" w:cs="FangSong"/>
          <w:sz w:val="24"/>
          <w:szCs w:val="24"/>
        </w:rPr>
      </w:pPr>
      <w:r>
        <w:rPr>
          <w:rFonts w:ascii="FangSong" w:hAnsi="FangSong" w:eastAsia="FangSong" w:cs="FangSong"/>
          <w:sz w:val="24"/>
          <w:szCs w:val="24"/>
          <w:spacing w:val="-4"/>
        </w:rPr>
        <w:t>范围内相邻的矿业权主要是</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个采矿权，经查询相邻矿</w:t>
      </w:r>
      <w:r>
        <w:rPr>
          <w:rFonts w:ascii="FangSong" w:hAnsi="FangSong" w:eastAsia="FangSong" w:cs="FangSong"/>
          <w:sz w:val="24"/>
          <w:szCs w:val="24"/>
          <w:spacing w:val="-5"/>
        </w:rPr>
        <w:t>业权与核实区矿业权无重</w:t>
      </w:r>
      <w:r>
        <w:rPr>
          <w:rFonts w:ascii="FangSong" w:hAnsi="FangSong" w:eastAsia="FangSong" w:cs="FangSong"/>
          <w:sz w:val="24"/>
          <w:szCs w:val="24"/>
          <w:spacing w:val="-2"/>
        </w:rPr>
        <w:t>叠，不存在矿权争议。采矿区周边主要为草原，矿区南侧存有</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户牧民，采矿区</w:t>
      </w:r>
      <w:r>
        <w:rPr>
          <w:rFonts w:ascii="FangSong" w:hAnsi="FangSong" w:eastAsia="FangSong" w:cs="FangSong"/>
          <w:sz w:val="24"/>
          <w:szCs w:val="24"/>
          <w:spacing w:val="-3"/>
        </w:rPr>
        <w:t>界限</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3"/>
        </w:rPr>
        <w:t>500m</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范围内无城镇、铁路、村庄、大型基础设施，矿区范围内无文物或历</w:t>
      </w:r>
      <w:r>
        <w:rPr>
          <w:rFonts w:ascii="FangSong" w:hAnsi="FangSong" w:eastAsia="FangSong" w:cs="FangSong"/>
          <w:sz w:val="24"/>
          <w:szCs w:val="24"/>
          <w:spacing w:val="-6"/>
        </w:rPr>
        <w:t>史遗迹、</w:t>
      </w:r>
      <w:r>
        <w:rPr>
          <w:rFonts w:ascii="FangSong" w:hAnsi="FangSong" w:eastAsia="FangSong" w:cs="FangSong"/>
          <w:sz w:val="24"/>
          <w:szCs w:val="24"/>
          <w:spacing w:val="-47"/>
        </w:rPr>
        <w:t xml:space="preserve"> </w:t>
      </w:r>
      <w:r>
        <w:rPr>
          <w:rFonts w:ascii="FangSong" w:hAnsi="FangSong" w:eastAsia="FangSong" w:cs="FangSong"/>
          <w:sz w:val="24"/>
          <w:szCs w:val="24"/>
          <w:spacing w:val="-6"/>
        </w:rPr>
        <w:t>自然保护区等敏感区域。</w:t>
      </w:r>
    </w:p>
    <w:p>
      <w:pPr>
        <w:ind w:left="22"/>
        <w:spacing w:line="222" w:lineRule="auto"/>
        <w:outlineLvl w:val="2"/>
        <w:rPr>
          <w:rFonts w:ascii="FangSong" w:hAnsi="FangSong" w:eastAsia="FangSong" w:cs="FangSong"/>
          <w:sz w:val="24"/>
          <w:szCs w:val="24"/>
        </w:rPr>
      </w:pPr>
      <w:bookmarkStart w:name="bookmark270" w:id="368"/>
      <w:bookmarkEnd w:id="368"/>
      <w:bookmarkStart w:name="bookmark269" w:id="369"/>
      <w:bookmarkEnd w:id="369"/>
      <w:r>
        <w:rPr>
          <w:rFonts w:ascii="Times New Roman" w:hAnsi="Times New Roman" w:eastAsia="Times New Roman" w:cs="Times New Roman"/>
          <w:sz w:val="24"/>
          <w:szCs w:val="24"/>
          <w:b/>
          <w:bCs/>
          <w:spacing w:val="-2"/>
        </w:rPr>
        <w:t>5.6.10  </w:t>
      </w:r>
      <w:r>
        <w:rPr>
          <w:rFonts w:ascii="FangSong" w:hAnsi="FangSong" w:eastAsia="FangSong" w:cs="FangSong"/>
          <w:sz w:val="24"/>
          <w:szCs w:val="24"/>
          <w:b/>
          <w:bCs/>
          <w:spacing w:val="-2"/>
        </w:rPr>
        <w:t>植被净初级生产力评价</w:t>
      </w:r>
    </w:p>
    <w:p>
      <w:pPr>
        <w:ind w:left="29" w:firstLine="525"/>
        <w:spacing w:before="178" w:line="360" w:lineRule="auto"/>
        <w:jc w:val="both"/>
        <w:rPr>
          <w:rFonts w:ascii="FangSong" w:hAnsi="FangSong" w:eastAsia="FangSong" w:cs="FangSong"/>
          <w:sz w:val="24"/>
          <w:szCs w:val="24"/>
        </w:rPr>
      </w:pPr>
      <w:r>
        <w:rPr>
          <w:rFonts w:ascii="FangSong" w:hAnsi="FangSong" w:eastAsia="FangSong" w:cs="FangSong"/>
          <w:sz w:val="24"/>
          <w:szCs w:val="24"/>
          <w:spacing w:val="-2"/>
        </w:rPr>
        <w:t>自然植被的净第一性生产力反映了植物群落在自然环境条件下的生产能力，</w:t>
      </w:r>
      <w:r>
        <w:rPr>
          <w:rFonts w:ascii="FangSong" w:hAnsi="FangSong" w:eastAsia="FangSong" w:cs="FangSong"/>
          <w:sz w:val="24"/>
          <w:szCs w:val="24"/>
          <w:spacing w:val="-9"/>
        </w:rPr>
        <w:t>即自然生态系统在未受到人类任何干扰情况下的生产能力。奥德</w:t>
      </w:r>
      <w:r>
        <w:rPr>
          <w:rFonts w:ascii="FangSong" w:hAnsi="FangSong" w:eastAsia="FangSong" w:cs="FangSong"/>
          <w:sz w:val="24"/>
          <w:szCs w:val="24"/>
          <w:spacing w:val="-10"/>
        </w:rPr>
        <w:t>姆（</w:t>
      </w:r>
      <w:r>
        <w:rPr>
          <w:rFonts w:ascii="Times New Roman" w:hAnsi="Times New Roman" w:eastAsia="Times New Roman" w:cs="Times New Roman"/>
          <w:sz w:val="24"/>
          <w:szCs w:val="24"/>
          <w:spacing w:val="-10"/>
        </w:rPr>
        <w:t>Odum</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1959</w:t>
      </w:r>
      <w:r>
        <w:rPr>
          <w:rFonts w:ascii="FangSong" w:hAnsi="FangSong" w:eastAsia="FangSong" w:cs="FangSong"/>
          <w:sz w:val="24"/>
          <w:szCs w:val="24"/>
          <w:spacing w:val="-10"/>
        </w:rPr>
        <w:t>）</w:t>
      </w:r>
      <w:r>
        <w:rPr>
          <w:rFonts w:ascii="FangSong" w:hAnsi="FangSong" w:eastAsia="FangSong" w:cs="FangSong"/>
          <w:sz w:val="24"/>
          <w:szCs w:val="24"/>
          <w:spacing w:val="-2"/>
        </w:rPr>
        <w:t>将地球上生态系统按评价生产力由高到低，划分为</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个等级，本项目所在地区地</w:t>
      </w:r>
      <w:r>
        <w:rPr>
          <w:rFonts w:ascii="FangSong" w:hAnsi="FangSong" w:eastAsia="FangSong" w:cs="FangSong"/>
          <w:sz w:val="24"/>
          <w:szCs w:val="24"/>
          <w:spacing w:val="-3"/>
        </w:rPr>
        <w:t>处中温带亚干旱大陆性季风气候，该区域自然系统日照充足、气候</w:t>
      </w:r>
      <w:r>
        <w:rPr>
          <w:rFonts w:ascii="FangSong" w:hAnsi="FangSong" w:eastAsia="FangSong" w:cs="FangSong"/>
          <w:sz w:val="24"/>
          <w:szCs w:val="24"/>
          <w:spacing w:val="-4"/>
        </w:rPr>
        <w:t>干燥、多风少</w:t>
      </w:r>
      <w:r>
        <w:rPr>
          <w:rFonts w:ascii="FangSong" w:hAnsi="FangSong" w:eastAsia="FangSong" w:cs="FangSong"/>
          <w:sz w:val="24"/>
          <w:szCs w:val="24"/>
          <w:spacing w:val="-7"/>
        </w:rPr>
        <w:t>雨、湿度不均，其生产力水平处于中等水平，植被净初级生产力水平中等。因此，</w:t>
      </w:r>
      <w:r>
        <w:rPr>
          <w:rFonts w:ascii="FangSong" w:hAnsi="FangSong" w:eastAsia="FangSong" w:cs="FangSong"/>
          <w:sz w:val="24"/>
          <w:szCs w:val="24"/>
          <w:spacing w:val="-2"/>
        </w:rPr>
        <w:t>本底恢复能力一般。</w:t>
      </w:r>
    </w:p>
    <w:p>
      <w:pPr>
        <w:ind w:left="22"/>
        <w:spacing w:line="219" w:lineRule="auto"/>
        <w:outlineLvl w:val="2"/>
        <w:rPr>
          <w:rFonts w:ascii="FangSong" w:hAnsi="FangSong" w:eastAsia="FangSong" w:cs="FangSong"/>
          <w:sz w:val="24"/>
          <w:szCs w:val="24"/>
        </w:rPr>
      </w:pPr>
      <w:bookmarkStart w:name="bookmark272" w:id="370"/>
      <w:bookmarkEnd w:id="370"/>
      <w:bookmarkStart w:name="bookmark271" w:id="371"/>
      <w:bookmarkEnd w:id="371"/>
      <w:r>
        <w:rPr>
          <w:rFonts w:ascii="Times New Roman" w:hAnsi="Times New Roman" w:eastAsia="Times New Roman" w:cs="Times New Roman"/>
          <w:sz w:val="24"/>
          <w:szCs w:val="24"/>
          <w:b/>
          <w:bCs/>
          <w:spacing w:val="-5"/>
        </w:rPr>
        <w:t>5.6.11</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b/>
          <w:bCs/>
          <w:spacing w:val="-5"/>
        </w:rPr>
        <w:t>生物多样性评价</w:t>
      </w:r>
    </w:p>
    <w:p>
      <w:pPr>
        <w:ind w:left="29" w:right="99" w:firstLine="494"/>
        <w:spacing w:before="183" w:line="360" w:lineRule="auto"/>
        <w:rPr>
          <w:rFonts w:ascii="FangSong" w:hAnsi="FangSong" w:eastAsia="FangSong" w:cs="FangSong"/>
          <w:sz w:val="24"/>
          <w:szCs w:val="24"/>
        </w:rPr>
      </w:pPr>
      <w:r>
        <w:rPr>
          <w:rFonts w:ascii="FangSong" w:hAnsi="FangSong" w:eastAsia="FangSong" w:cs="FangSong"/>
          <w:sz w:val="24"/>
          <w:szCs w:val="24"/>
          <w:spacing w:val="-4"/>
        </w:rPr>
        <w:t>生物多样性是生物（动物、植物、微生物）与环境形成的生态复合体以及与</w:t>
      </w:r>
      <w:r>
        <w:rPr>
          <w:rFonts w:ascii="FangSong" w:hAnsi="FangSong" w:eastAsia="FangSong" w:cs="FangSong"/>
          <w:sz w:val="24"/>
          <w:szCs w:val="24"/>
          <w:spacing w:val="-3"/>
        </w:rPr>
        <w:t>此相关的各种生态过程的总和，包括生态系统、物种和基因三个层次</w:t>
      </w:r>
      <w:r>
        <w:rPr>
          <w:rFonts w:ascii="FangSong" w:hAnsi="FangSong" w:eastAsia="FangSong" w:cs="FangSong"/>
          <w:sz w:val="24"/>
          <w:szCs w:val="24"/>
          <w:spacing w:val="-4"/>
        </w:rPr>
        <w:t>。生态系统</w:t>
      </w:r>
      <w:r>
        <w:rPr>
          <w:rFonts w:ascii="FangSong" w:hAnsi="FangSong" w:eastAsia="FangSong" w:cs="FangSong"/>
          <w:sz w:val="24"/>
          <w:szCs w:val="24"/>
          <w:spacing w:val="-3"/>
        </w:rPr>
        <w:t>多样性指生态系统的多样化程度，包括生态系统的类型、结构、组成</w:t>
      </w:r>
      <w:r>
        <w:rPr>
          <w:rFonts w:ascii="FangSong" w:hAnsi="FangSong" w:eastAsia="FangSong" w:cs="FangSong"/>
          <w:sz w:val="24"/>
          <w:szCs w:val="24"/>
          <w:spacing w:val="-4"/>
        </w:rPr>
        <w:t>、功能和生</w:t>
      </w:r>
      <w:r>
        <w:rPr>
          <w:rFonts w:ascii="FangSong" w:hAnsi="FangSong" w:eastAsia="FangSong" w:cs="FangSong"/>
          <w:sz w:val="24"/>
          <w:szCs w:val="24"/>
          <w:spacing w:val="-3"/>
        </w:rPr>
        <w:t>态过程的多样性等。物种多样性指物种水平的多样化程度，包括物种</w:t>
      </w:r>
      <w:r>
        <w:rPr>
          <w:rFonts w:ascii="FangSong" w:hAnsi="FangSong" w:eastAsia="FangSong" w:cs="FangSong"/>
          <w:sz w:val="24"/>
          <w:szCs w:val="24"/>
          <w:spacing w:val="-4"/>
        </w:rPr>
        <w:t>丰富度和物</w:t>
      </w:r>
      <w:r>
        <w:rPr>
          <w:rFonts w:ascii="FangSong" w:hAnsi="FangSong" w:eastAsia="FangSong" w:cs="FangSong"/>
          <w:sz w:val="24"/>
          <w:szCs w:val="24"/>
          <w:spacing w:val="-3"/>
        </w:rPr>
        <w:t>种多度。基因多样性（或遗传多样性）指一个物种的基因组成中遗传</w:t>
      </w:r>
      <w:r>
        <w:rPr>
          <w:rFonts w:ascii="FangSong" w:hAnsi="FangSong" w:eastAsia="FangSong" w:cs="FangSong"/>
          <w:sz w:val="24"/>
          <w:szCs w:val="24"/>
          <w:spacing w:val="-4"/>
        </w:rPr>
        <w:t>特征的多样</w:t>
      </w:r>
      <w:r>
        <w:rPr>
          <w:rFonts w:ascii="FangSong" w:hAnsi="FangSong" w:eastAsia="FangSong" w:cs="FangSong"/>
          <w:sz w:val="24"/>
          <w:szCs w:val="24"/>
          <w:spacing w:val="-3"/>
        </w:rPr>
        <w:t>性，包括种内不同种群之间或同一种群内不同个体的遗传变异性。物</w:t>
      </w:r>
      <w:r>
        <w:rPr>
          <w:rFonts w:ascii="FangSong" w:hAnsi="FangSong" w:eastAsia="FangSong" w:cs="FangSong"/>
          <w:sz w:val="24"/>
          <w:szCs w:val="24"/>
          <w:spacing w:val="-4"/>
        </w:rPr>
        <w:t>种多样性常</w:t>
      </w:r>
      <w:r>
        <w:rPr>
          <w:rFonts w:ascii="FangSong" w:hAnsi="FangSong" w:eastAsia="FangSong" w:cs="FangSong"/>
          <w:sz w:val="24"/>
          <w:szCs w:val="24"/>
          <w:spacing w:val="12"/>
        </w:rPr>
        <w:t>用的评价指标包括物种丰富度</w:t>
      </w:r>
      <w:r>
        <w:rPr>
          <w:rFonts w:ascii="FangSong" w:hAnsi="FangSong" w:eastAsia="FangSong" w:cs="FangSong"/>
          <w:sz w:val="24"/>
          <w:szCs w:val="24"/>
          <w:spacing w:val="-70"/>
        </w:rPr>
        <w:t xml:space="preserve"> </w:t>
      </w:r>
      <w:r>
        <w:rPr>
          <w:rFonts w:ascii="FangSong" w:hAnsi="FangSong" w:eastAsia="FangSong" w:cs="FangSong"/>
          <w:sz w:val="24"/>
          <w:szCs w:val="24"/>
          <w:spacing w:val="12"/>
        </w:rPr>
        <w:t>、香农</w:t>
      </w:r>
      <w:r>
        <w:rPr>
          <w:rFonts w:ascii="Times New Roman" w:hAnsi="Times New Roman" w:eastAsia="Times New Roman" w:cs="Times New Roman"/>
          <w:sz w:val="24"/>
          <w:szCs w:val="24"/>
          <w:spacing w:val="12"/>
        </w:rPr>
        <w:t>-</w:t>
      </w:r>
      <w:r>
        <w:rPr>
          <w:rFonts w:ascii="FangSong" w:hAnsi="FangSong" w:eastAsia="FangSong" w:cs="FangSong"/>
          <w:sz w:val="24"/>
          <w:szCs w:val="24"/>
          <w:spacing w:val="12"/>
        </w:rPr>
        <w:t>威纳多样性指数</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rPr>
        <w:t>Pielou</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12"/>
        </w:rPr>
        <w:t>均匀度指数</w:t>
      </w:r>
      <w:r>
        <w:rPr>
          <w:rFonts w:ascii="FangSong" w:hAnsi="FangSong" w:eastAsia="FangSong" w:cs="FangSong"/>
          <w:sz w:val="24"/>
          <w:szCs w:val="24"/>
          <w:spacing w:val="-70"/>
        </w:rPr>
        <w:t xml:space="preserve"> </w:t>
      </w:r>
      <w:r>
        <w:rPr>
          <w:rFonts w:ascii="FangSong" w:hAnsi="FangSong" w:eastAsia="FangSong" w:cs="FangSong"/>
          <w:sz w:val="24"/>
          <w:szCs w:val="24"/>
          <w:spacing w:val="1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Simpson </w:t>
      </w:r>
      <w:r>
        <w:rPr>
          <w:rFonts w:ascii="FangSong" w:hAnsi="FangSong" w:eastAsia="FangSong" w:cs="FangSong"/>
          <w:sz w:val="24"/>
          <w:szCs w:val="24"/>
          <w:spacing w:val="-3"/>
        </w:rPr>
        <w:t>优势度指数等。本项目主要采用香农</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威纳多样性</w:t>
      </w:r>
      <w:r>
        <w:rPr>
          <w:rFonts w:ascii="FangSong" w:hAnsi="FangSong" w:eastAsia="FangSong" w:cs="FangSong"/>
          <w:sz w:val="24"/>
          <w:szCs w:val="24"/>
          <w:spacing w:val="-4"/>
        </w:rPr>
        <w:t>指数进行物种多样性评</w:t>
      </w:r>
      <w:r>
        <w:rPr>
          <w:rFonts w:ascii="FangSong" w:hAnsi="FangSong" w:eastAsia="FangSong" w:cs="FangSong"/>
          <w:sz w:val="24"/>
          <w:szCs w:val="24"/>
          <w:spacing w:val="-4"/>
        </w:rPr>
        <w:t>价，如公式</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4"/>
        </w:rPr>
        <w:t>5.6-1</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所示：</w:t>
      </w:r>
    </w:p>
    <w:p>
      <w:pPr>
        <w:ind w:left="2418"/>
        <w:spacing w:before="104"/>
        <w:rPr>
          <w:rFonts w:ascii="FangSong" w:hAnsi="FangSong" w:eastAsia="FangSong" w:cs="FangSong"/>
          <w:sz w:val="24"/>
          <w:szCs w:val="24"/>
        </w:rPr>
      </w:pPr>
      <w:r>
        <w:rPr>
          <w:rFonts w:ascii="Times New Roman" w:hAnsi="Times New Roman" w:eastAsia="Times New Roman" w:cs="Times New Roman"/>
          <w:sz w:val="23"/>
          <w:szCs w:val="23"/>
          <w:position w:val="1"/>
        </w:rPr>
        <w:t>H</w:t>
      </w:r>
      <w:r>
        <w:rPr>
          <w:rFonts w:ascii="Times New Roman" w:hAnsi="Times New Roman" w:eastAsia="Times New Roman" w:cs="Times New Roman"/>
          <w:sz w:val="23"/>
          <w:szCs w:val="23"/>
          <w:spacing w:val="1"/>
          <w:position w:val="1"/>
        </w:rPr>
        <w:t xml:space="preserve"> </w:t>
      </w:r>
      <w:r>
        <w:rPr>
          <w:sz w:val="23"/>
          <w:szCs w:val="23"/>
          <w:position w:val="-21"/>
        </w:rPr>
        <w:drawing>
          <wp:inline distT="0" distB="0" distL="0" distR="0">
            <wp:extent cx="485113" cy="341183"/>
            <wp:effectExtent l="0" t="0" r="0" b="0"/>
            <wp:docPr id="62" name="IM 62"/>
            <wp:cNvGraphicFramePr/>
            <a:graphic>
              <a:graphicData uri="http://schemas.openxmlformats.org/drawingml/2006/picture">
                <pic:pic>
                  <pic:nvPicPr>
                    <pic:cNvPr id="62" name="IM 62"/>
                    <pic:cNvPicPr/>
                  </pic:nvPicPr>
                  <pic:blipFill>
                    <a:blip r:embed="rId270"/>
                    <a:stretch>
                      <a:fillRect/>
                    </a:stretch>
                  </pic:blipFill>
                  <pic:spPr>
                    <a:xfrm rot="0">
                      <a:off x="0" y="0"/>
                      <a:ext cx="485113" cy="341183"/>
                    </a:xfrm>
                    <a:prstGeom prst="rect">
                      <a:avLst/>
                    </a:prstGeom>
                  </pic:spPr>
                </pic:pic>
              </a:graphicData>
            </a:graphic>
          </wp:inline>
        </w:drawing>
      </w:r>
      <w:r>
        <w:rPr>
          <w:rFonts w:ascii="Times New Roman" w:hAnsi="Times New Roman" w:eastAsia="Times New Roman" w:cs="Times New Roman"/>
          <w:sz w:val="23"/>
          <w:szCs w:val="23"/>
          <w:position w:val="1"/>
        </w:rPr>
        <w:t>ln</w:t>
      </w:r>
      <w:r>
        <w:rPr>
          <w:sz w:val="23"/>
          <w:szCs w:val="23"/>
          <w:position w:val="-4"/>
        </w:rPr>
        <w:drawing>
          <wp:inline distT="0" distB="0" distL="0" distR="0">
            <wp:extent cx="93342" cy="139629"/>
            <wp:effectExtent l="0" t="0" r="0" b="0"/>
            <wp:docPr id="64" name="IM 64"/>
            <wp:cNvGraphicFramePr/>
            <a:graphic>
              <a:graphicData uri="http://schemas.openxmlformats.org/drawingml/2006/picture">
                <pic:pic>
                  <pic:nvPicPr>
                    <pic:cNvPr id="64" name="IM 64"/>
                    <pic:cNvPicPr/>
                  </pic:nvPicPr>
                  <pic:blipFill>
                    <a:blip r:embed="rId271"/>
                    <a:stretch>
                      <a:fillRect/>
                    </a:stretch>
                  </pic:blipFill>
                  <pic:spPr>
                    <a:xfrm rot="0">
                      <a:off x="0" y="0"/>
                      <a:ext cx="93342" cy="139629"/>
                    </a:xfrm>
                    <a:prstGeom prst="rect">
                      <a:avLst/>
                    </a:prstGeom>
                  </pic:spPr>
                </pic:pic>
              </a:graphicData>
            </a:graphic>
          </wp:inline>
        </w:drawing>
      </w:r>
      <w:r>
        <w:rPr>
          <w:rFonts w:ascii="Times New Roman" w:hAnsi="Times New Roman" w:eastAsia="Times New Roman" w:cs="Times New Roman"/>
          <w:sz w:val="23"/>
          <w:szCs w:val="23"/>
          <w:spacing w:val="4"/>
          <w:position w:val="1"/>
        </w:rPr>
        <w:t xml:space="preserve">           </w:t>
      </w:r>
      <w:r>
        <w:rPr>
          <w:rFonts w:ascii="FangSong" w:hAnsi="FangSong" w:eastAsia="FangSong" w:cs="FangSong"/>
          <w:sz w:val="24"/>
          <w:szCs w:val="24"/>
          <w:spacing w:val="1"/>
          <w:position w:val="1"/>
        </w:rPr>
        <w:t>（公式</w:t>
      </w:r>
      <w:r>
        <w:rPr>
          <w:rFonts w:ascii="FangSong" w:hAnsi="FangSong" w:eastAsia="FangSong" w:cs="FangSong"/>
          <w:sz w:val="24"/>
          <w:szCs w:val="24"/>
          <w:spacing w:val="-43"/>
          <w:position w:val="1"/>
        </w:rPr>
        <w:t xml:space="preserve"> </w:t>
      </w:r>
      <w:r>
        <w:rPr>
          <w:rFonts w:ascii="Times New Roman" w:hAnsi="Times New Roman" w:eastAsia="Times New Roman" w:cs="Times New Roman"/>
          <w:sz w:val="24"/>
          <w:szCs w:val="24"/>
          <w:spacing w:val="1"/>
          <w:position w:val="1"/>
        </w:rPr>
        <w:t>5.6-1</w:t>
      </w:r>
      <w:r>
        <w:rPr>
          <w:rFonts w:ascii="FangSong" w:hAnsi="FangSong" w:eastAsia="FangSong" w:cs="FangSong"/>
          <w:sz w:val="24"/>
          <w:szCs w:val="24"/>
          <w:spacing w:val="1"/>
          <w:position w:val="1"/>
        </w:rPr>
        <w:t>）</w:t>
      </w:r>
    </w:p>
    <w:p>
      <w:pPr>
        <w:ind w:left="515"/>
        <w:spacing w:before="295" w:line="219" w:lineRule="auto"/>
        <w:rPr>
          <w:rFonts w:ascii="FangSong" w:hAnsi="FangSong" w:eastAsia="FangSong" w:cs="FangSong"/>
          <w:sz w:val="24"/>
          <w:szCs w:val="24"/>
        </w:rPr>
      </w:pP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H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香农</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威纳多样性指数；</w:t>
      </w:r>
    </w:p>
    <w:p>
      <w:pPr>
        <w:ind w:left="1229"/>
        <w:spacing w:before="182" w:line="221" w:lineRule="auto"/>
        <w:rPr>
          <w:rFonts w:ascii="FangSong" w:hAnsi="FangSong" w:eastAsia="FangSong" w:cs="FangSong"/>
          <w:sz w:val="24"/>
          <w:szCs w:val="24"/>
        </w:rPr>
      </w:pPr>
      <w:r>
        <w:rPr>
          <w:rFonts w:ascii="Times New Roman" w:hAnsi="Times New Roman" w:eastAsia="Times New Roman" w:cs="Times New Roman"/>
          <w:sz w:val="24"/>
          <w:szCs w:val="24"/>
          <w:spacing w:val="-1"/>
        </w:rPr>
        <w:t>S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调查区域内物种种类总数；</w:t>
      </w:r>
    </w:p>
    <w:p>
      <w:pPr>
        <w:ind w:left="2191" w:right="243" w:hanging="973"/>
        <w:spacing w:before="181" w:line="360" w:lineRule="auto"/>
        <w:rPr>
          <w:rFonts w:ascii="FangSong" w:hAnsi="FangSong" w:eastAsia="FangSong" w:cs="FangSong"/>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sz w:val="15"/>
          <w:szCs w:val="15"/>
          <w:position w:val="-1"/>
        </w:rPr>
        <w:t>i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调查区域内属于第</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rPr>
        <w:t>种的个体比例，如总个体数为</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rPr>
        <w:t>，第</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i</w:t>
      </w:r>
      <w:r>
        <w:rPr>
          <w:rFonts w:ascii="FangSong" w:hAnsi="FangSong" w:eastAsia="FangSong" w:cs="FangSong"/>
          <w:sz w:val="24"/>
          <w:szCs w:val="24"/>
          <w:spacing w:val="-4"/>
        </w:rPr>
        <w:t>种个体数为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ni</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4"/>
        </w:rPr>
        <w:t>，则</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P</w:t>
      </w:r>
      <w:r>
        <w:rPr>
          <w:rFonts w:ascii="Times New Roman" w:hAnsi="Times New Roman" w:eastAsia="Times New Roman" w:cs="Times New Roman"/>
          <w:sz w:val="15"/>
          <w:szCs w:val="15"/>
          <w:spacing w:val="-4"/>
          <w:position w:val="-1"/>
        </w:rPr>
        <w:t>i</w:t>
      </w:r>
      <w:r>
        <w:rPr>
          <w:rFonts w:ascii="Times New Roman" w:hAnsi="Times New Roman" w:eastAsia="Times New Roman" w:cs="Times New Roman"/>
          <w:sz w:val="24"/>
          <w:szCs w:val="24"/>
          <w:spacing w:val="-4"/>
        </w:rPr>
        <w:t>=n</w:t>
      </w:r>
      <w:r>
        <w:rPr>
          <w:rFonts w:ascii="Times New Roman" w:hAnsi="Times New Roman" w:eastAsia="Times New Roman" w:cs="Times New Roman"/>
          <w:sz w:val="15"/>
          <w:szCs w:val="15"/>
          <w:spacing w:val="-4"/>
        </w:rPr>
        <w:t>i</w:t>
      </w:r>
      <w:r>
        <w:rPr>
          <w:rFonts w:ascii="Times New Roman" w:hAnsi="Times New Roman" w:eastAsia="Times New Roman" w:cs="Times New Roman"/>
          <w:sz w:val="24"/>
          <w:szCs w:val="24"/>
          <w:spacing w:val="-4"/>
        </w:rPr>
        <w:t>/N</w:t>
      </w:r>
      <w:r>
        <w:rPr>
          <w:rFonts w:ascii="FangSong" w:hAnsi="FangSong" w:eastAsia="FangSong" w:cs="FangSong"/>
          <w:sz w:val="24"/>
          <w:szCs w:val="24"/>
          <w:spacing w:val="-4"/>
        </w:rPr>
        <w:t>。</w:t>
      </w:r>
    </w:p>
    <w:p>
      <w:pPr>
        <w:ind w:left="510"/>
        <w:spacing w:before="1" w:line="222" w:lineRule="auto"/>
        <w:rPr>
          <w:rFonts w:ascii="FangSong" w:hAnsi="FangSong" w:eastAsia="FangSong" w:cs="FangSong"/>
          <w:sz w:val="24"/>
          <w:szCs w:val="24"/>
        </w:rPr>
      </w:pPr>
      <w:r>
        <w:rPr>
          <w:rFonts w:ascii="FangSong" w:hAnsi="FangSong" w:eastAsia="FangSong" w:cs="FangSong"/>
          <w:sz w:val="24"/>
          <w:szCs w:val="24"/>
          <w:spacing w:val="-3"/>
        </w:rPr>
        <w:t>评价结果见表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3"/>
        </w:rPr>
        <w:t>5.6-26</w:t>
      </w:r>
      <w:r>
        <w:rPr>
          <w:rFonts w:ascii="FangSong" w:hAnsi="FangSong" w:eastAsia="FangSong" w:cs="FangSong"/>
          <w:sz w:val="24"/>
          <w:szCs w:val="24"/>
          <w:spacing w:val="-3"/>
        </w:rPr>
        <w:t>。</w:t>
      </w:r>
    </w:p>
    <w:p>
      <w:pPr>
        <w:spacing w:line="222" w:lineRule="auto"/>
        <w:sectPr>
          <w:footerReference w:type="default" r:id="rId269"/>
          <w:pgSz w:w="11906" w:h="16839"/>
          <w:pgMar w:top="400" w:right="170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14"/>
        <w:spacing w:before="79" w:line="219" w:lineRule="auto"/>
        <w:rPr>
          <w:rFonts w:ascii="FangSong" w:hAnsi="FangSong" w:eastAsia="FangSong" w:cs="FangSong"/>
          <w:sz w:val="24"/>
          <w:szCs w:val="24"/>
        </w:rPr>
      </w:pPr>
      <w:bookmarkStart w:name="bookmark590" w:id="372"/>
      <w:bookmarkEnd w:id="372"/>
      <w:r>
        <w:rPr>
          <w:rFonts w:ascii="FangSong" w:hAnsi="FangSong" w:eastAsia="FangSong" w:cs="FangSong"/>
          <w:sz w:val="24"/>
          <w:szCs w:val="24"/>
          <w:b/>
          <w:bCs/>
          <w:spacing w:val="-6"/>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6"/>
        </w:rPr>
        <w:t>5.6-26</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6"/>
        </w:rPr>
        <w:t>生物多样性指数</w:t>
      </w:r>
    </w:p>
    <w:p>
      <w:pPr>
        <w:spacing w:line="68"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4"/>
        <w:gridCol w:w="905"/>
        <w:gridCol w:w="1278"/>
        <w:gridCol w:w="905"/>
        <w:gridCol w:w="905"/>
        <w:gridCol w:w="905"/>
        <w:gridCol w:w="906"/>
        <w:gridCol w:w="906"/>
        <w:gridCol w:w="908"/>
      </w:tblGrid>
      <w:tr>
        <w:trPr>
          <w:trHeight w:val="633" w:hRule="atLeast"/>
        </w:trPr>
        <w:tc>
          <w:tcPr>
            <w:tcW w:w="904" w:type="dxa"/>
            <w:vAlign w:val="top"/>
            <w:tcBorders>
              <w:left w:val="nil"/>
              <w:top w:val="single" w:color="000000" w:sz="10" w:space="0"/>
            </w:tcBorders>
          </w:tcPr>
          <w:p>
            <w:pPr>
              <w:pStyle w:val="TableText"/>
              <w:ind w:left="361" w:right="135" w:hanging="210"/>
              <w:spacing w:before="55" w:line="262" w:lineRule="auto"/>
              <w:rPr/>
            </w:pPr>
            <w:r>
              <w:rPr>
                <w:spacing w:val="4"/>
              </w:rPr>
              <w:t>样方名</w:t>
            </w:r>
            <w:r>
              <w:rPr/>
              <w:t>称</w:t>
            </w:r>
          </w:p>
        </w:tc>
        <w:tc>
          <w:tcPr>
            <w:tcW w:w="905" w:type="dxa"/>
            <w:vAlign w:val="top"/>
            <w:tcBorders>
              <w:top w:val="single" w:color="000000" w:sz="10" w:space="0"/>
            </w:tcBorders>
          </w:tcPr>
          <w:p>
            <w:pPr>
              <w:pStyle w:val="TableText"/>
              <w:ind w:left="253"/>
              <w:spacing w:before="211" w:line="232" w:lineRule="auto"/>
              <w:rPr/>
            </w:pPr>
            <w:r>
              <w:rPr>
                <w:spacing w:val="1"/>
              </w:rPr>
              <w:t>层次</w:t>
            </w:r>
          </w:p>
        </w:tc>
        <w:tc>
          <w:tcPr>
            <w:tcW w:w="1278" w:type="dxa"/>
            <w:vAlign w:val="top"/>
            <w:tcBorders>
              <w:top w:val="single" w:color="000000" w:sz="10" w:space="0"/>
            </w:tcBorders>
          </w:tcPr>
          <w:p>
            <w:pPr>
              <w:pStyle w:val="TableText"/>
              <w:ind w:left="229"/>
              <w:spacing w:before="212" w:line="229" w:lineRule="auto"/>
              <w:rPr/>
            </w:pPr>
            <w:r>
              <w:rPr>
                <w:spacing w:val="6"/>
              </w:rPr>
              <w:t>植物名称</w:t>
            </w:r>
          </w:p>
        </w:tc>
        <w:tc>
          <w:tcPr>
            <w:tcW w:w="905" w:type="dxa"/>
            <w:vAlign w:val="top"/>
            <w:tcBorders>
              <w:top w:val="single" w:color="000000" w:sz="10" w:space="0"/>
            </w:tcBorders>
          </w:tcPr>
          <w:p>
            <w:pPr>
              <w:pStyle w:val="TableText"/>
              <w:ind w:left="252"/>
              <w:spacing w:before="211" w:line="232" w:lineRule="auto"/>
              <w:rPr/>
            </w:pPr>
            <w:r>
              <w:rPr>
                <w:spacing w:val="2"/>
              </w:rPr>
              <w:t>数量</w:t>
            </w:r>
          </w:p>
        </w:tc>
        <w:tc>
          <w:tcPr>
            <w:tcW w:w="905" w:type="dxa"/>
            <w:vAlign w:val="top"/>
            <w:tcBorders>
              <w:top w:val="single" w:color="000000" w:sz="10" w:space="0"/>
            </w:tcBorders>
          </w:tcPr>
          <w:p>
            <w:pPr>
              <w:pStyle w:val="TableText"/>
              <w:ind w:left="261"/>
              <w:spacing w:before="211" w:line="232" w:lineRule="auto"/>
              <w:rPr/>
            </w:pPr>
            <w:r>
              <w:rPr>
                <w:spacing w:val="-3"/>
              </w:rPr>
              <w:t>总数</w:t>
            </w:r>
          </w:p>
        </w:tc>
        <w:tc>
          <w:tcPr>
            <w:tcW w:w="905" w:type="dxa"/>
            <w:vAlign w:val="top"/>
            <w:tcBorders>
              <w:top w:val="single" w:color="000000" w:sz="10" w:space="0"/>
            </w:tcBorders>
          </w:tcPr>
          <w:p>
            <w:pPr>
              <w:ind w:left="364"/>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Pi</w:t>
            </w:r>
          </w:p>
        </w:tc>
        <w:tc>
          <w:tcPr>
            <w:tcW w:w="906" w:type="dxa"/>
            <w:vAlign w:val="top"/>
            <w:tcBorders>
              <w:top w:val="single" w:color="000000" w:sz="10" w:space="0"/>
            </w:tcBorders>
          </w:tcPr>
          <w:p>
            <w:pPr>
              <w:ind w:left="288"/>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lnPi</w:t>
            </w:r>
          </w:p>
        </w:tc>
        <w:tc>
          <w:tcPr>
            <w:tcW w:w="906" w:type="dxa"/>
            <w:vAlign w:val="top"/>
            <w:tcBorders>
              <w:top w:val="single" w:color="000000" w:sz="10" w:space="0"/>
            </w:tcBorders>
          </w:tcPr>
          <w:p>
            <w:pPr>
              <w:ind w:left="145"/>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Pi</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rPr>
              <w:t>lnPi</w:t>
            </w:r>
          </w:p>
        </w:tc>
        <w:tc>
          <w:tcPr>
            <w:tcW w:w="908" w:type="dxa"/>
            <w:vAlign w:val="top"/>
            <w:tcBorders>
              <w:right w:val="nil"/>
              <w:top w:val="single" w:color="000000" w:sz="10" w:space="0"/>
            </w:tcBorders>
          </w:tcPr>
          <w:p>
            <w:pPr>
              <w:ind w:left="379"/>
              <w:spacing w:before="25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H</w:t>
            </w:r>
          </w:p>
        </w:tc>
      </w:tr>
      <w:tr>
        <w:trPr>
          <w:trHeight w:val="1250" w:hRule="atLeast"/>
        </w:trPr>
        <w:tc>
          <w:tcPr>
            <w:tcW w:w="904" w:type="dxa"/>
            <w:vAlign w:val="top"/>
            <w:tcBorders>
              <w:left w:val="nil"/>
            </w:tcBorders>
          </w:tcPr>
          <w:p>
            <w:pPr>
              <w:spacing w:line="247" w:lineRule="auto"/>
              <w:rPr>
                <w:rFonts w:ascii="Arial"/>
                <w:sz w:val="21"/>
              </w:rPr>
            </w:pPr>
            <w:r/>
          </w:p>
          <w:p>
            <w:pPr>
              <w:spacing w:line="247" w:lineRule="auto"/>
              <w:rPr>
                <w:rFonts w:ascii="Arial"/>
                <w:sz w:val="21"/>
              </w:rPr>
            </w:pPr>
            <w:r/>
          </w:p>
          <w:p>
            <w:pPr>
              <w:ind w:left="37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905" w:type="dxa"/>
            <w:vAlign w:val="top"/>
          </w:tcPr>
          <w:p>
            <w:pPr>
              <w:spacing w:line="451"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391" w:right="218" w:hanging="155"/>
              <w:spacing w:before="51" w:line="308" w:lineRule="auto"/>
              <w:rPr>
                <w:rFonts w:ascii="Times New Roman" w:hAnsi="Times New Roman" w:eastAsia="Times New Roman" w:cs="Times New Roman"/>
              </w:rPr>
            </w:pPr>
            <w:r>
              <w:rPr>
                <w:spacing w:val="4"/>
              </w:rPr>
              <w:t>克氏针茅</w:t>
            </w:r>
            <w:r>
              <w:rPr>
                <w:rFonts w:ascii="Times New Roman" w:hAnsi="Times New Roman" w:eastAsia="Times New Roman" w:cs="Times New Roman"/>
                <w:spacing w:val="3"/>
              </w:rPr>
              <w:t>/Stipa</w:t>
            </w:r>
          </w:p>
          <w:p>
            <w:pPr>
              <w:ind w:left="304"/>
              <w:spacing w:before="2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krylovii</w:t>
            </w:r>
          </w:p>
          <w:p>
            <w:pPr>
              <w:ind w:left="325"/>
              <w:spacing w:before="11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Roshev</w:t>
            </w:r>
          </w:p>
        </w:tc>
        <w:tc>
          <w:tcPr>
            <w:tcW w:w="905" w:type="dxa"/>
            <w:vAlign w:val="top"/>
          </w:tcPr>
          <w:p>
            <w:pPr>
              <w:spacing w:line="247" w:lineRule="auto"/>
              <w:rPr>
                <w:rFonts w:ascii="Arial"/>
                <w:sz w:val="21"/>
              </w:rPr>
            </w:pPr>
            <w:r/>
          </w:p>
          <w:p>
            <w:pPr>
              <w:spacing w:line="247" w:lineRule="auto"/>
              <w:rPr>
                <w:rFonts w:ascii="Arial"/>
                <w:sz w:val="21"/>
              </w:rPr>
            </w:pPr>
            <w:r/>
          </w:p>
          <w:p>
            <w:pPr>
              <w:ind w:left="3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905" w:type="dxa"/>
            <w:vAlign w:val="top"/>
          </w:tcPr>
          <w:p>
            <w:pPr>
              <w:spacing w:line="247" w:lineRule="auto"/>
              <w:rPr>
                <w:rFonts w:ascii="Arial"/>
                <w:sz w:val="21"/>
              </w:rPr>
            </w:pPr>
            <w:r/>
          </w:p>
          <w:p>
            <w:pPr>
              <w:spacing w:line="247" w:lineRule="auto"/>
              <w:rPr>
                <w:rFonts w:ascii="Arial"/>
                <w:sz w:val="21"/>
              </w:rPr>
            </w:pPr>
            <w:r/>
          </w:p>
          <w:p>
            <w:pPr>
              <w:ind w:left="3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905" w:type="dxa"/>
            <w:vAlign w:val="top"/>
          </w:tcPr>
          <w:p>
            <w:pPr>
              <w:spacing w:line="247" w:lineRule="auto"/>
              <w:rPr>
                <w:rFonts w:ascii="Arial"/>
                <w:sz w:val="21"/>
              </w:rPr>
            </w:pPr>
            <w:r/>
          </w:p>
          <w:p>
            <w:pPr>
              <w:spacing w:line="247" w:lineRule="auto"/>
              <w:rPr>
                <w:rFonts w:ascii="Arial"/>
                <w:sz w:val="21"/>
              </w:rPr>
            </w:pPr>
            <w:r/>
          </w:p>
          <w:p>
            <w:pPr>
              <w:ind w:left="42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pPr>
              <w:spacing w:line="247" w:lineRule="auto"/>
              <w:rPr>
                <w:rFonts w:ascii="Arial"/>
                <w:sz w:val="21"/>
              </w:rPr>
            </w:pPr>
            <w:r/>
          </w:p>
          <w:p>
            <w:pPr>
              <w:spacing w:line="247"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spacing w:line="247" w:lineRule="auto"/>
              <w:rPr>
                <w:rFonts w:ascii="Arial"/>
                <w:sz w:val="21"/>
              </w:rPr>
            </w:pPr>
            <w:r/>
          </w:p>
          <w:p>
            <w:pPr>
              <w:spacing w:line="247" w:lineRule="auto"/>
              <w:rPr>
                <w:rFonts w:ascii="Arial"/>
                <w:sz w:val="21"/>
              </w:rPr>
            </w:pPr>
            <w:r/>
          </w:p>
          <w:p>
            <w:pPr>
              <w:ind w:left="40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tcBorders>
          </w:tcPr>
          <w:p>
            <w:pPr>
              <w:spacing w:line="247" w:lineRule="auto"/>
              <w:rPr>
                <w:rFonts w:ascii="Arial"/>
                <w:sz w:val="21"/>
              </w:rPr>
            </w:pPr>
            <w:r/>
          </w:p>
          <w:p>
            <w:pPr>
              <w:spacing w:line="247" w:lineRule="auto"/>
              <w:rPr>
                <w:rFonts w:ascii="Arial"/>
                <w:sz w:val="21"/>
              </w:rPr>
            </w:pPr>
            <w:r/>
          </w:p>
          <w:p>
            <w:pPr>
              <w:ind w:left="4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1250" w:hRule="atLeast"/>
        </w:trPr>
        <w:tc>
          <w:tcPr>
            <w:tcW w:w="904" w:type="dxa"/>
            <w:vAlign w:val="top"/>
            <w:tcBorders>
              <w:left w:val="nil"/>
            </w:tcBorders>
          </w:tcPr>
          <w:p>
            <w:pPr>
              <w:spacing w:line="249" w:lineRule="auto"/>
              <w:rPr>
                <w:rFonts w:ascii="Arial"/>
                <w:sz w:val="21"/>
              </w:rPr>
            </w:pPr>
            <w:r/>
          </w:p>
          <w:p>
            <w:pPr>
              <w:spacing w:line="250" w:lineRule="auto"/>
              <w:rPr>
                <w:rFonts w:ascii="Arial"/>
                <w:sz w:val="21"/>
              </w:rPr>
            </w:pPr>
            <w:r/>
          </w:p>
          <w:p>
            <w:pPr>
              <w:ind w:left="37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905" w:type="dxa"/>
            <w:vAlign w:val="top"/>
          </w:tcPr>
          <w:p>
            <w:pPr>
              <w:spacing w:line="456"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391" w:right="218" w:hanging="155"/>
              <w:spacing w:before="56" w:line="308" w:lineRule="auto"/>
              <w:rPr>
                <w:rFonts w:ascii="Times New Roman" w:hAnsi="Times New Roman" w:eastAsia="Times New Roman" w:cs="Times New Roman"/>
              </w:rPr>
            </w:pPr>
            <w:r>
              <w:rPr>
                <w:spacing w:val="4"/>
              </w:rPr>
              <w:t>克氏针茅</w:t>
            </w:r>
            <w:r>
              <w:rPr>
                <w:rFonts w:ascii="Times New Roman" w:hAnsi="Times New Roman" w:eastAsia="Times New Roman" w:cs="Times New Roman"/>
                <w:spacing w:val="3"/>
              </w:rPr>
              <w:t>/Stipa</w:t>
            </w:r>
          </w:p>
          <w:p>
            <w:pPr>
              <w:ind w:left="304"/>
              <w:spacing w:before="2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krylovii</w:t>
            </w:r>
          </w:p>
          <w:p>
            <w:pPr>
              <w:ind w:left="325"/>
              <w:spacing w:before="11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Roshev</w:t>
            </w:r>
          </w:p>
        </w:tc>
        <w:tc>
          <w:tcPr>
            <w:tcW w:w="905" w:type="dxa"/>
            <w:vAlign w:val="top"/>
          </w:tcPr>
          <w:p>
            <w:pPr>
              <w:spacing w:line="249" w:lineRule="auto"/>
              <w:rPr>
                <w:rFonts w:ascii="Arial"/>
                <w:sz w:val="21"/>
              </w:rPr>
            </w:pPr>
            <w:r/>
          </w:p>
          <w:p>
            <w:pPr>
              <w:spacing w:line="250" w:lineRule="auto"/>
              <w:rPr>
                <w:rFonts w:ascii="Arial"/>
                <w:sz w:val="21"/>
              </w:rPr>
            </w:pPr>
            <w:r/>
          </w:p>
          <w:p>
            <w:pPr>
              <w:ind w:left="3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905" w:type="dxa"/>
            <w:vAlign w:val="top"/>
          </w:tcPr>
          <w:p>
            <w:pPr>
              <w:spacing w:line="249" w:lineRule="auto"/>
              <w:rPr>
                <w:rFonts w:ascii="Arial"/>
                <w:sz w:val="21"/>
              </w:rPr>
            </w:pPr>
            <w:r/>
          </w:p>
          <w:p>
            <w:pPr>
              <w:spacing w:line="250" w:lineRule="auto"/>
              <w:rPr>
                <w:rFonts w:ascii="Arial"/>
                <w:sz w:val="21"/>
              </w:rPr>
            </w:pPr>
            <w:r/>
          </w:p>
          <w:p>
            <w:pPr>
              <w:ind w:left="3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905" w:type="dxa"/>
            <w:vAlign w:val="top"/>
          </w:tcPr>
          <w:p>
            <w:pPr>
              <w:spacing w:line="249" w:lineRule="auto"/>
              <w:rPr>
                <w:rFonts w:ascii="Arial"/>
                <w:sz w:val="21"/>
              </w:rPr>
            </w:pPr>
            <w:r/>
          </w:p>
          <w:p>
            <w:pPr>
              <w:spacing w:line="250" w:lineRule="auto"/>
              <w:rPr>
                <w:rFonts w:ascii="Arial"/>
                <w:sz w:val="21"/>
              </w:rPr>
            </w:pPr>
            <w:r/>
          </w:p>
          <w:p>
            <w:pPr>
              <w:ind w:left="42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pPr>
              <w:spacing w:line="249" w:lineRule="auto"/>
              <w:rPr>
                <w:rFonts w:ascii="Arial"/>
                <w:sz w:val="21"/>
              </w:rPr>
            </w:pPr>
            <w:r/>
          </w:p>
          <w:p>
            <w:pPr>
              <w:spacing w:line="250"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spacing w:line="249" w:lineRule="auto"/>
              <w:rPr>
                <w:rFonts w:ascii="Arial"/>
                <w:sz w:val="21"/>
              </w:rPr>
            </w:pPr>
            <w:r/>
          </w:p>
          <w:p>
            <w:pPr>
              <w:spacing w:line="250" w:lineRule="auto"/>
              <w:rPr>
                <w:rFonts w:ascii="Arial"/>
                <w:sz w:val="21"/>
              </w:rPr>
            </w:pPr>
            <w:r/>
          </w:p>
          <w:p>
            <w:pPr>
              <w:ind w:left="40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tcBorders>
          </w:tcPr>
          <w:p>
            <w:pPr>
              <w:spacing w:line="249" w:lineRule="auto"/>
              <w:rPr>
                <w:rFonts w:ascii="Arial"/>
                <w:sz w:val="21"/>
              </w:rPr>
            </w:pPr>
            <w:r/>
          </w:p>
          <w:p>
            <w:pPr>
              <w:spacing w:line="250" w:lineRule="auto"/>
              <w:rPr>
                <w:rFonts w:ascii="Arial"/>
                <w:sz w:val="21"/>
              </w:rPr>
            </w:pPr>
            <w:r/>
          </w:p>
          <w:p>
            <w:pPr>
              <w:ind w:left="4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628" w:hRule="atLeast"/>
        </w:trPr>
        <w:tc>
          <w:tcPr>
            <w:tcW w:w="904" w:type="dxa"/>
            <w:vAlign w:val="top"/>
            <w:tcBorders>
              <w:left w:val="nil"/>
            </w:tcBorders>
          </w:tcPr>
          <w:p>
            <w:pPr>
              <w:ind w:left="356"/>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05" w:type="dxa"/>
            <w:vAlign w:val="top"/>
          </w:tcPr>
          <w:p>
            <w:pPr>
              <w:pStyle w:val="TableText"/>
              <w:ind w:left="152"/>
              <w:spacing w:before="214" w:line="230" w:lineRule="auto"/>
              <w:rPr/>
            </w:pPr>
            <w:r>
              <w:rPr>
                <w:spacing w:val="3"/>
              </w:rPr>
              <w:t>草木层</w:t>
            </w:r>
          </w:p>
        </w:tc>
        <w:tc>
          <w:tcPr>
            <w:tcW w:w="1278" w:type="dxa"/>
            <w:vAlign w:val="top"/>
          </w:tcPr>
          <w:p>
            <w:pPr>
              <w:pStyle w:val="TableText"/>
              <w:ind w:left="246" w:right="184" w:hanging="49"/>
              <w:spacing w:before="58" w:line="274" w:lineRule="auto"/>
              <w:rPr>
                <w:rFonts w:ascii="Times New Roman" w:hAnsi="Times New Roman" w:eastAsia="Times New Roman" w:cs="Times New Roman"/>
              </w:rPr>
            </w:pPr>
            <w:r>
              <w:rPr>
                <w:spacing w:val="8"/>
              </w:rPr>
              <w:t>沙柳</w:t>
            </w:r>
            <w:r>
              <w:rPr>
                <w:rFonts w:ascii="Times New Roman" w:hAnsi="Times New Roman" w:eastAsia="Times New Roman" w:cs="Times New Roman"/>
                <w:spacing w:val="8"/>
              </w:rPr>
              <w:t>/</w:t>
            </w:r>
            <w:r>
              <w:rPr>
                <w:rFonts w:ascii="Times New Roman" w:hAnsi="Times New Roman" w:eastAsia="Times New Roman" w:cs="Times New Roman"/>
              </w:rPr>
              <w:t>Salix </w:t>
            </w:r>
            <w:r>
              <w:rPr>
                <w:rFonts w:ascii="Times New Roman" w:hAnsi="Times New Roman" w:eastAsia="Times New Roman" w:cs="Times New Roman"/>
                <w:spacing w:val="3"/>
              </w:rPr>
              <w:t>gordejeui</w:t>
            </w:r>
          </w:p>
        </w:tc>
        <w:tc>
          <w:tcPr>
            <w:tcW w:w="905" w:type="dxa"/>
            <w:vAlign w:val="top"/>
          </w:tcPr>
          <w:p>
            <w:pPr>
              <w:ind w:left="349"/>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905" w:type="dxa"/>
            <w:vAlign w:val="top"/>
          </w:tcPr>
          <w:p>
            <w:pPr>
              <w:ind w:left="349"/>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905" w:type="dxa"/>
            <w:vAlign w:val="top"/>
          </w:tcPr>
          <w:p>
            <w:pPr>
              <w:ind w:left="421"/>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pPr>
              <w:ind w:left="404"/>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ind w:left="405"/>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tcBorders>
          </w:tcPr>
          <w:p>
            <w:pPr>
              <w:ind w:left="407"/>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939" w:hRule="atLeast"/>
        </w:trPr>
        <w:tc>
          <w:tcPr>
            <w:tcW w:w="904" w:type="dxa"/>
            <w:vAlign w:val="top"/>
            <w:tcBorders>
              <w:left w:val="nil"/>
            </w:tcBorders>
          </w:tcPr>
          <w:p>
            <w:pPr>
              <w:spacing w:line="347" w:lineRule="auto"/>
              <w:rPr>
                <w:rFonts w:ascii="Arial"/>
                <w:sz w:val="21"/>
              </w:rPr>
            </w:pPr>
            <w:r/>
          </w:p>
          <w:p>
            <w:pPr>
              <w:ind w:left="35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w:t>
            </w:r>
          </w:p>
        </w:tc>
        <w:tc>
          <w:tcPr>
            <w:tcW w:w="905" w:type="dxa"/>
            <w:vAlign w:val="top"/>
          </w:tcPr>
          <w:p>
            <w:pPr>
              <w:spacing w:line="304"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209" w:right="212" w:firstLine="128"/>
              <w:spacing w:before="59" w:line="308" w:lineRule="auto"/>
              <w:rPr>
                <w:rFonts w:ascii="Times New Roman" w:hAnsi="Times New Roman" w:eastAsia="Times New Roman" w:cs="Times New Roman"/>
              </w:rPr>
            </w:pPr>
            <w:r>
              <w:rPr>
                <w:spacing w:val="4"/>
              </w:rPr>
              <w:t>锦鸡儿</w:t>
            </w:r>
            <w:r>
              <w:rPr/>
              <w:t xml:space="preserve"> </w:t>
            </w:r>
            <w:r>
              <w:rPr>
                <w:rFonts w:ascii="Times New Roman" w:hAnsi="Times New Roman" w:eastAsia="Times New Roman" w:cs="Times New Roman"/>
                <w:spacing w:val="4"/>
              </w:rPr>
              <w:t>/Caragana</w:t>
            </w:r>
          </w:p>
          <w:p>
            <w:pPr>
              <w:ind w:left="129"/>
              <w:spacing w:before="2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microphylla</w:t>
            </w:r>
          </w:p>
        </w:tc>
        <w:tc>
          <w:tcPr>
            <w:tcW w:w="905" w:type="dxa"/>
            <w:vAlign w:val="top"/>
          </w:tcPr>
          <w:p>
            <w:pPr>
              <w:spacing w:line="347" w:lineRule="auto"/>
              <w:rPr>
                <w:rFonts w:ascii="Arial"/>
                <w:sz w:val="21"/>
              </w:rPr>
            </w:pPr>
            <w:r/>
          </w:p>
          <w:p>
            <w:pPr>
              <w:ind w:left="42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tcPr>
          <w:p>
            <w:pPr>
              <w:spacing w:line="347" w:lineRule="auto"/>
              <w:rPr>
                <w:rFonts w:ascii="Arial"/>
                <w:sz w:val="21"/>
              </w:rPr>
            </w:pPr>
            <w:r/>
          </w:p>
          <w:p>
            <w:pPr>
              <w:ind w:left="42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tcPr>
          <w:p>
            <w:pPr>
              <w:spacing w:line="347" w:lineRule="auto"/>
              <w:rPr>
                <w:rFonts w:ascii="Arial"/>
                <w:sz w:val="21"/>
              </w:rPr>
            </w:pPr>
            <w:r/>
          </w:p>
          <w:p>
            <w:pPr>
              <w:ind w:left="42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pPr>
              <w:spacing w:line="347"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spacing w:line="347" w:lineRule="auto"/>
              <w:rPr>
                <w:rFonts w:ascii="Arial"/>
                <w:sz w:val="21"/>
              </w:rPr>
            </w:pPr>
            <w:r/>
          </w:p>
          <w:p>
            <w:pPr>
              <w:ind w:left="40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tcBorders>
          </w:tcPr>
          <w:p>
            <w:pPr>
              <w:spacing w:line="347" w:lineRule="auto"/>
              <w:rPr>
                <w:rFonts w:ascii="Arial"/>
                <w:sz w:val="21"/>
              </w:rPr>
            </w:pPr>
            <w:r/>
          </w:p>
          <w:p>
            <w:pPr>
              <w:ind w:left="4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628" w:hRule="atLeast"/>
        </w:trPr>
        <w:tc>
          <w:tcPr>
            <w:tcW w:w="904" w:type="dxa"/>
            <w:vAlign w:val="top"/>
            <w:tcBorders>
              <w:left w:val="nil"/>
            </w:tcBorders>
          </w:tcPr>
          <w:p>
            <w:pPr>
              <w:ind w:left="358"/>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05" w:type="dxa"/>
            <w:vAlign w:val="top"/>
          </w:tcPr>
          <w:p>
            <w:pPr>
              <w:pStyle w:val="TableText"/>
              <w:ind w:left="152"/>
              <w:spacing w:before="217" w:line="230" w:lineRule="auto"/>
              <w:rPr/>
            </w:pPr>
            <w:r>
              <w:rPr>
                <w:spacing w:val="3"/>
              </w:rPr>
              <w:t>草木层</w:t>
            </w:r>
          </w:p>
        </w:tc>
        <w:tc>
          <w:tcPr>
            <w:tcW w:w="1278" w:type="dxa"/>
            <w:vAlign w:val="top"/>
          </w:tcPr>
          <w:p>
            <w:pPr>
              <w:pStyle w:val="TableText"/>
              <w:ind w:left="246" w:right="184" w:hanging="49"/>
              <w:spacing w:before="60" w:line="273" w:lineRule="auto"/>
              <w:rPr>
                <w:rFonts w:ascii="Times New Roman" w:hAnsi="Times New Roman" w:eastAsia="Times New Roman" w:cs="Times New Roman"/>
              </w:rPr>
            </w:pPr>
            <w:r>
              <w:rPr>
                <w:spacing w:val="8"/>
              </w:rPr>
              <w:t>沙柳</w:t>
            </w:r>
            <w:r>
              <w:rPr>
                <w:rFonts w:ascii="Times New Roman" w:hAnsi="Times New Roman" w:eastAsia="Times New Roman" w:cs="Times New Roman"/>
                <w:spacing w:val="8"/>
              </w:rPr>
              <w:t>/</w:t>
            </w:r>
            <w:r>
              <w:rPr>
                <w:rFonts w:ascii="Times New Roman" w:hAnsi="Times New Roman" w:eastAsia="Times New Roman" w:cs="Times New Roman"/>
              </w:rPr>
              <w:t>Salix </w:t>
            </w:r>
            <w:r>
              <w:rPr>
                <w:rFonts w:ascii="Times New Roman" w:hAnsi="Times New Roman" w:eastAsia="Times New Roman" w:cs="Times New Roman"/>
                <w:spacing w:val="3"/>
              </w:rPr>
              <w:t>gordejeui</w:t>
            </w:r>
          </w:p>
        </w:tc>
        <w:tc>
          <w:tcPr>
            <w:tcW w:w="905" w:type="dxa"/>
            <w:vAlign w:val="top"/>
          </w:tcPr>
          <w:p>
            <w:pPr>
              <w:ind w:left="369"/>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905" w:type="dxa"/>
            <w:vAlign w:val="top"/>
          </w:tcPr>
          <w:p>
            <w:pPr>
              <w:ind w:left="369"/>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905" w:type="dxa"/>
            <w:vAlign w:val="top"/>
          </w:tcPr>
          <w:p>
            <w:pPr>
              <w:ind w:left="421"/>
              <w:spacing w:before="2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pPr>
              <w:ind w:left="404"/>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ind w:left="405"/>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tcBorders>
          </w:tcPr>
          <w:p>
            <w:pPr>
              <w:ind w:left="407"/>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1250" w:hRule="atLeast"/>
        </w:trPr>
        <w:tc>
          <w:tcPr>
            <w:tcW w:w="904" w:type="dxa"/>
            <w:vAlign w:val="top"/>
            <w:vMerge w:val="restart"/>
            <w:tcBorders>
              <w:left w:val="nil"/>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5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05" w:type="dxa"/>
            <w:vAlign w:val="top"/>
          </w:tcPr>
          <w:p>
            <w:pPr>
              <w:spacing w:line="461"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339"/>
              <w:spacing w:before="61" w:line="229" w:lineRule="auto"/>
              <w:rPr/>
            </w:pPr>
            <w:r>
              <w:rPr>
                <w:spacing w:val="3"/>
              </w:rPr>
              <w:t>沙葱花</w:t>
            </w:r>
          </w:p>
          <w:p>
            <w:pPr>
              <w:ind w:left="310"/>
              <w:spacing w:before="9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/Allium</w:t>
            </w:r>
          </w:p>
          <w:p>
            <w:pPr>
              <w:ind w:left="107"/>
              <w:spacing w:before="12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mongolicum</w:t>
            </w:r>
          </w:p>
          <w:p>
            <w:pPr>
              <w:ind w:left="395"/>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Regel</w:t>
            </w:r>
          </w:p>
        </w:tc>
        <w:tc>
          <w:tcPr>
            <w:tcW w:w="905" w:type="dxa"/>
            <w:vAlign w:val="top"/>
          </w:tcPr>
          <w:p>
            <w:pPr>
              <w:spacing w:line="252" w:lineRule="auto"/>
              <w:rPr>
                <w:rFonts w:ascii="Arial"/>
                <w:sz w:val="21"/>
              </w:rPr>
            </w:pPr>
            <w:r/>
          </w:p>
          <w:p>
            <w:pPr>
              <w:spacing w:line="252" w:lineRule="auto"/>
              <w:rPr>
                <w:rFonts w:ascii="Arial"/>
                <w:sz w:val="21"/>
              </w:rPr>
            </w:pPr>
            <w:r/>
          </w:p>
          <w:p>
            <w:pPr>
              <w:ind w:left="42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905" w:type="dxa"/>
            <w:vAlign w:val="top"/>
          </w:tcPr>
          <w:p>
            <w:pPr>
              <w:spacing w:line="252" w:lineRule="auto"/>
              <w:rPr>
                <w:rFonts w:ascii="Arial"/>
                <w:sz w:val="21"/>
              </w:rPr>
            </w:pPr>
            <w:r/>
          </w:p>
          <w:p>
            <w:pPr>
              <w:spacing w:line="252" w:lineRule="auto"/>
              <w:rPr>
                <w:rFonts w:ascii="Arial"/>
                <w:sz w:val="21"/>
              </w:rPr>
            </w:pPr>
            <w:r/>
          </w:p>
          <w:p>
            <w:pPr>
              <w:ind w:left="22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0.067</w:t>
            </w:r>
          </w:p>
        </w:tc>
        <w:tc>
          <w:tcPr>
            <w:tcW w:w="906" w:type="dxa"/>
            <w:vAlign w:val="top"/>
          </w:tcPr>
          <w:p>
            <w:pPr>
              <w:spacing w:line="252" w:lineRule="auto"/>
              <w:rPr>
                <w:rFonts w:ascii="Arial"/>
                <w:sz w:val="21"/>
              </w:rPr>
            </w:pPr>
            <w:r/>
          </w:p>
          <w:p>
            <w:pPr>
              <w:spacing w:line="252" w:lineRule="auto"/>
              <w:rPr>
                <w:rFonts w:ascii="Arial"/>
                <w:sz w:val="21"/>
              </w:rPr>
            </w:pPr>
            <w:r/>
          </w:p>
          <w:p>
            <w:pPr>
              <w:ind w:left="24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-2.70</w:t>
            </w:r>
          </w:p>
        </w:tc>
        <w:tc>
          <w:tcPr>
            <w:tcW w:w="906" w:type="dxa"/>
            <w:vAlign w:val="top"/>
          </w:tcPr>
          <w:p>
            <w:pPr>
              <w:spacing w:line="252" w:lineRule="auto"/>
              <w:rPr>
                <w:rFonts w:ascii="Arial"/>
                <w:sz w:val="21"/>
              </w:rPr>
            </w:pPr>
            <w:r/>
          </w:p>
          <w:p>
            <w:pPr>
              <w:spacing w:line="252" w:lineRule="auto"/>
              <w:rPr>
                <w:rFonts w:ascii="Arial"/>
                <w:sz w:val="21"/>
              </w:rPr>
            </w:pPr>
            <w:r/>
          </w:p>
          <w:p>
            <w:pPr>
              <w:ind w:left="13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-0.1809</w:t>
            </w:r>
          </w:p>
        </w:tc>
        <w:tc>
          <w:tcPr>
            <w:tcW w:w="908" w:type="dxa"/>
            <w:vAlign w:val="top"/>
            <w:vMerge w:val="restart"/>
            <w:tcBorders>
              <w:right w:val="nil"/>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0.9499</w:t>
            </w:r>
          </w:p>
        </w:tc>
      </w:tr>
      <w:tr>
        <w:trPr>
          <w:trHeight w:val="939" w:hRule="atLeast"/>
        </w:trPr>
        <w:tc>
          <w:tcPr>
            <w:tcW w:w="904" w:type="dxa"/>
            <w:vAlign w:val="top"/>
            <w:vMerge w:val="continue"/>
            <w:tcBorders>
              <w:left w:val="nil"/>
              <w:top w:val="nil"/>
              <w:bottom w:val="nil"/>
            </w:tcBorders>
          </w:tcPr>
          <w:p>
            <w:pPr>
              <w:rPr>
                <w:rFonts w:ascii="Arial"/>
                <w:sz w:val="21"/>
              </w:rPr>
            </w:pPr>
            <w:r/>
          </w:p>
        </w:tc>
        <w:tc>
          <w:tcPr>
            <w:tcW w:w="905" w:type="dxa"/>
            <w:vAlign w:val="top"/>
          </w:tcPr>
          <w:p>
            <w:pPr>
              <w:spacing w:line="309"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340"/>
              <w:spacing w:before="63" w:line="229" w:lineRule="auto"/>
              <w:rPr/>
            </w:pPr>
            <w:r>
              <w:rPr>
                <w:spacing w:val="3"/>
              </w:rPr>
              <w:t>马兰花</w:t>
            </w:r>
          </w:p>
          <w:p>
            <w:pPr>
              <w:ind w:left="379"/>
              <w:spacing w:before="9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/Aster</w:t>
            </w:r>
          </w:p>
          <w:p>
            <w:pPr>
              <w:ind w:left="222"/>
              <w:spacing w:before="1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indicus L.</w:t>
            </w:r>
          </w:p>
        </w:tc>
        <w:tc>
          <w:tcPr>
            <w:tcW w:w="905" w:type="dxa"/>
            <w:vAlign w:val="top"/>
          </w:tcPr>
          <w:p>
            <w:pPr>
              <w:spacing w:line="352" w:lineRule="auto"/>
              <w:rPr>
                <w:rFonts w:ascii="Arial"/>
                <w:sz w:val="21"/>
              </w:rPr>
            </w:pPr>
            <w:r/>
          </w:p>
          <w:p>
            <w:pPr>
              <w:ind w:left="42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vMerge w:val="continue"/>
            <w:tcBorders>
              <w:top w:val="nil"/>
              <w:bottom w:val="nil"/>
            </w:tcBorders>
          </w:tcPr>
          <w:p>
            <w:pPr>
              <w:rPr>
                <w:rFonts w:ascii="Arial"/>
                <w:sz w:val="21"/>
              </w:rPr>
            </w:pPr>
            <w:r/>
          </w:p>
        </w:tc>
        <w:tc>
          <w:tcPr>
            <w:tcW w:w="905" w:type="dxa"/>
            <w:vAlign w:val="top"/>
          </w:tcPr>
          <w:p>
            <w:pPr>
              <w:spacing w:line="352" w:lineRule="auto"/>
              <w:rPr>
                <w:rFonts w:ascii="Arial"/>
                <w:sz w:val="21"/>
              </w:rPr>
            </w:pPr>
            <w:r/>
          </w:p>
          <w:p>
            <w:pPr>
              <w:ind w:left="22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0.067</w:t>
            </w:r>
          </w:p>
        </w:tc>
        <w:tc>
          <w:tcPr>
            <w:tcW w:w="906" w:type="dxa"/>
            <w:vAlign w:val="top"/>
          </w:tcPr>
          <w:p>
            <w:pPr>
              <w:spacing w:line="352" w:lineRule="auto"/>
              <w:rPr>
                <w:rFonts w:ascii="Arial"/>
                <w:sz w:val="21"/>
              </w:rPr>
            </w:pPr>
            <w:r/>
          </w:p>
          <w:p>
            <w:pPr>
              <w:ind w:left="24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-2.70</w:t>
            </w:r>
          </w:p>
        </w:tc>
        <w:tc>
          <w:tcPr>
            <w:tcW w:w="906" w:type="dxa"/>
            <w:vAlign w:val="top"/>
          </w:tcPr>
          <w:p>
            <w:pPr>
              <w:spacing w:line="352" w:lineRule="auto"/>
              <w:rPr>
                <w:rFonts w:ascii="Arial"/>
                <w:sz w:val="21"/>
              </w:rPr>
            </w:pPr>
            <w:r/>
          </w:p>
          <w:p>
            <w:pPr>
              <w:ind w:left="13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-0.1809</w:t>
            </w:r>
          </w:p>
        </w:tc>
        <w:tc>
          <w:tcPr>
            <w:tcW w:w="908" w:type="dxa"/>
            <w:vAlign w:val="top"/>
            <w:vMerge w:val="continue"/>
            <w:tcBorders>
              <w:right w:val="nil"/>
              <w:top w:val="nil"/>
              <w:bottom w:val="nil"/>
            </w:tcBorders>
          </w:tcPr>
          <w:p>
            <w:pPr>
              <w:rPr>
                <w:rFonts w:ascii="Arial"/>
                <w:sz w:val="21"/>
              </w:rPr>
            </w:pPr>
            <w:r/>
          </w:p>
        </w:tc>
      </w:tr>
      <w:tr>
        <w:trPr>
          <w:trHeight w:val="316" w:hRule="atLeast"/>
        </w:trPr>
        <w:tc>
          <w:tcPr>
            <w:tcW w:w="904" w:type="dxa"/>
            <w:vAlign w:val="top"/>
            <w:vMerge w:val="continue"/>
            <w:tcBorders>
              <w:left w:val="nil"/>
              <w:top w:val="nil"/>
              <w:bottom w:val="nil"/>
            </w:tcBorders>
          </w:tcPr>
          <w:p>
            <w:pPr>
              <w:rPr>
                <w:rFonts w:ascii="Arial"/>
                <w:sz w:val="21"/>
              </w:rPr>
            </w:pPr>
            <w:r/>
          </w:p>
        </w:tc>
        <w:tc>
          <w:tcPr>
            <w:tcW w:w="905" w:type="dxa"/>
            <w:vAlign w:val="top"/>
          </w:tcPr>
          <w:p>
            <w:pPr>
              <w:pStyle w:val="TableText"/>
              <w:ind w:left="152"/>
              <w:spacing w:before="68" w:line="219" w:lineRule="auto"/>
              <w:rPr/>
            </w:pPr>
            <w:r>
              <w:rPr>
                <w:spacing w:val="3"/>
              </w:rPr>
              <w:t>草木层</w:t>
            </w:r>
          </w:p>
        </w:tc>
        <w:tc>
          <w:tcPr>
            <w:tcW w:w="1278" w:type="dxa"/>
            <w:vAlign w:val="top"/>
          </w:tcPr>
          <w:p>
            <w:pPr>
              <w:pStyle w:val="TableText"/>
              <w:ind w:left="335"/>
              <w:spacing w:before="68" w:line="219" w:lineRule="auto"/>
              <w:rPr/>
            </w:pPr>
            <w:r>
              <w:rPr>
                <w:spacing w:val="5"/>
              </w:rPr>
              <w:t>小黄花</w:t>
            </w:r>
          </w:p>
        </w:tc>
        <w:tc>
          <w:tcPr>
            <w:tcW w:w="905" w:type="dxa"/>
            <w:vAlign w:val="top"/>
          </w:tcPr>
          <w:p>
            <w:pPr>
              <w:ind w:left="42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vMerge w:val="continue"/>
            <w:tcBorders>
              <w:top w:val="nil"/>
              <w:bottom w:val="nil"/>
            </w:tcBorders>
          </w:tcPr>
          <w:p>
            <w:pPr>
              <w:rPr>
                <w:rFonts w:ascii="Arial"/>
                <w:sz w:val="21"/>
              </w:rPr>
            </w:pPr>
            <w:r/>
          </w:p>
        </w:tc>
        <w:tc>
          <w:tcPr>
            <w:tcW w:w="905" w:type="dxa"/>
            <w:vAlign w:val="top"/>
          </w:tcPr>
          <w:p>
            <w:pPr>
              <w:ind w:left="22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0.067</w:t>
            </w:r>
          </w:p>
        </w:tc>
        <w:tc>
          <w:tcPr>
            <w:tcW w:w="906" w:type="dxa"/>
            <w:vAlign w:val="top"/>
          </w:tcPr>
          <w:p>
            <w:pPr>
              <w:ind w:left="24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-2.70</w:t>
            </w:r>
          </w:p>
        </w:tc>
        <w:tc>
          <w:tcPr>
            <w:tcW w:w="906" w:type="dxa"/>
            <w:vAlign w:val="top"/>
          </w:tcPr>
          <w:p>
            <w:pPr>
              <w:ind w:left="13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-0.1809</w:t>
            </w:r>
          </w:p>
        </w:tc>
        <w:tc>
          <w:tcPr>
            <w:tcW w:w="908" w:type="dxa"/>
            <w:vAlign w:val="top"/>
            <w:vMerge w:val="continue"/>
            <w:tcBorders>
              <w:right w:val="nil"/>
              <w:top w:val="nil"/>
              <w:bottom w:val="nil"/>
            </w:tcBorders>
          </w:tcPr>
          <w:p>
            <w:pPr>
              <w:rPr>
                <w:rFonts w:ascii="Arial"/>
                <w:sz w:val="21"/>
              </w:rPr>
            </w:pPr>
            <w:r/>
          </w:p>
        </w:tc>
      </w:tr>
      <w:tr>
        <w:trPr>
          <w:trHeight w:val="939" w:hRule="atLeast"/>
        </w:trPr>
        <w:tc>
          <w:tcPr>
            <w:tcW w:w="904" w:type="dxa"/>
            <w:vAlign w:val="top"/>
            <w:vMerge w:val="continue"/>
            <w:tcBorders>
              <w:left w:val="nil"/>
              <w:top w:val="nil"/>
              <w:bottom w:val="nil"/>
            </w:tcBorders>
          </w:tcPr>
          <w:p>
            <w:pPr>
              <w:rPr>
                <w:rFonts w:ascii="Arial"/>
                <w:sz w:val="21"/>
              </w:rPr>
            </w:pPr>
            <w:r/>
          </w:p>
        </w:tc>
        <w:tc>
          <w:tcPr>
            <w:tcW w:w="905" w:type="dxa"/>
            <w:vAlign w:val="top"/>
          </w:tcPr>
          <w:p>
            <w:pPr>
              <w:spacing w:line="314"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335"/>
              <w:spacing w:before="68" w:line="230" w:lineRule="auto"/>
              <w:rPr/>
            </w:pPr>
            <w:r>
              <w:rPr>
                <w:spacing w:val="5"/>
              </w:rPr>
              <w:t>柄扁桃</w:t>
            </w:r>
          </w:p>
          <w:p>
            <w:pPr>
              <w:ind w:left="315"/>
              <w:spacing w:before="9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/Prunus</w:t>
            </w:r>
          </w:p>
          <w:p>
            <w:pPr>
              <w:ind w:left="127"/>
              <w:spacing w:before="12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pedunculata</w:t>
            </w:r>
          </w:p>
        </w:tc>
        <w:tc>
          <w:tcPr>
            <w:tcW w:w="905" w:type="dxa"/>
            <w:vAlign w:val="top"/>
          </w:tcPr>
          <w:p>
            <w:pPr>
              <w:spacing w:line="357" w:lineRule="auto"/>
              <w:rPr>
                <w:rFonts w:ascii="Arial"/>
                <w:sz w:val="21"/>
              </w:rPr>
            </w:pPr>
            <w:r/>
          </w:p>
          <w:p>
            <w:pPr>
              <w:ind w:left="42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5" w:type="dxa"/>
            <w:vAlign w:val="top"/>
            <w:vMerge w:val="continue"/>
            <w:tcBorders>
              <w:top w:val="nil"/>
              <w:bottom w:val="nil"/>
            </w:tcBorders>
          </w:tcPr>
          <w:p>
            <w:pPr>
              <w:rPr>
                <w:rFonts w:ascii="Arial"/>
                <w:sz w:val="21"/>
              </w:rPr>
            </w:pPr>
            <w:r/>
          </w:p>
        </w:tc>
        <w:tc>
          <w:tcPr>
            <w:tcW w:w="905" w:type="dxa"/>
            <w:vAlign w:val="top"/>
          </w:tcPr>
          <w:p>
            <w:pPr>
              <w:spacing w:line="357" w:lineRule="auto"/>
              <w:rPr>
                <w:rFonts w:ascii="Arial"/>
                <w:sz w:val="21"/>
              </w:rPr>
            </w:pPr>
            <w:r/>
          </w:p>
          <w:p>
            <w:pPr>
              <w:ind w:left="22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0.067</w:t>
            </w:r>
          </w:p>
        </w:tc>
        <w:tc>
          <w:tcPr>
            <w:tcW w:w="906" w:type="dxa"/>
            <w:vAlign w:val="top"/>
          </w:tcPr>
          <w:p>
            <w:pPr>
              <w:spacing w:line="357" w:lineRule="auto"/>
              <w:rPr>
                <w:rFonts w:ascii="Arial"/>
                <w:sz w:val="21"/>
              </w:rPr>
            </w:pPr>
            <w:r/>
          </w:p>
          <w:p>
            <w:pPr>
              <w:ind w:left="24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-2.70</w:t>
            </w:r>
          </w:p>
        </w:tc>
        <w:tc>
          <w:tcPr>
            <w:tcW w:w="906" w:type="dxa"/>
            <w:vAlign w:val="top"/>
          </w:tcPr>
          <w:p>
            <w:pPr>
              <w:spacing w:line="357" w:lineRule="auto"/>
              <w:rPr>
                <w:rFonts w:ascii="Arial"/>
                <w:sz w:val="21"/>
              </w:rPr>
            </w:pPr>
            <w:r/>
          </w:p>
          <w:p>
            <w:pPr>
              <w:ind w:left="13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-0.1809</w:t>
            </w:r>
          </w:p>
        </w:tc>
        <w:tc>
          <w:tcPr>
            <w:tcW w:w="908" w:type="dxa"/>
            <w:vAlign w:val="top"/>
            <w:vMerge w:val="continue"/>
            <w:tcBorders>
              <w:right w:val="nil"/>
              <w:top w:val="nil"/>
              <w:bottom w:val="nil"/>
            </w:tcBorders>
          </w:tcPr>
          <w:p>
            <w:pPr>
              <w:rPr>
                <w:rFonts w:ascii="Arial"/>
                <w:sz w:val="21"/>
              </w:rPr>
            </w:pPr>
            <w:r/>
          </w:p>
        </w:tc>
      </w:tr>
      <w:tr>
        <w:trPr>
          <w:trHeight w:val="1250" w:hRule="atLeast"/>
        </w:trPr>
        <w:tc>
          <w:tcPr>
            <w:tcW w:w="904" w:type="dxa"/>
            <w:vAlign w:val="top"/>
            <w:vMerge w:val="continue"/>
            <w:tcBorders>
              <w:left w:val="nil"/>
              <w:top w:val="nil"/>
            </w:tcBorders>
          </w:tcPr>
          <w:p>
            <w:pPr>
              <w:rPr>
                <w:rFonts w:ascii="Arial"/>
                <w:sz w:val="21"/>
              </w:rPr>
            </w:pPr>
            <w:r/>
          </w:p>
        </w:tc>
        <w:tc>
          <w:tcPr>
            <w:tcW w:w="905" w:type="dxa"/>
            <w:vAlign w:val="top"/>
          </w:tcPr>
          <w:p>
            <w:pPr>
              <w:spacing w:line="470"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391" w:right="218" w:hanging="155"/>
              <w:spacing w:before="70" w:line="308" w:lineRule="auto"/>
              <w:rPr>
                <w:rFonts w:ascii="Times New Roman" w:hAnsi="Times New Roman" w:eastAsia="Times New Roman" w:cs="Times New Roman"/>
              </w:rPr>
            </w:pPr>
            <w:r>
              <w:rPr>
                <w:spacing w:val="4"/>
              </w:rPr>
              <w:t>克氏针茅</w:t>
            </w:r>
            <w:r>
              <w:rPr>
                <w:rFonts w:ascii="Times New Roman" w:hAnsi="Times New Roman" w:eastAsia="Times New Roman" w:cs="Times New Roman"/>
                <w:spacing w:val="3"/>
              </w:rPr>
              <w:t>/Stipa</w:t>
            </w:r>
          </w:p>
          <w:p>
            <w:pPr>
              <w:ind w:left="304"/>
              <w:spacing w:before="2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krylovii</w:t>
            </w:r>
          </w:p>
          <w:p>
            <w:pPr>
              <w:ind w:left="325"/>
              <w:spacing w:before="11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Roshev</w:t>
            </w:r>
          </w:p>
        </w:tc>
        <w:tc>
          <w:tcPr>
            <w:tcW w:w="905" w:type="dxa"/>
            <w:vAlign w:val="top"/>
          </w:tcPr>
          <w:p>
            <w:pPr>
              <w:spacing w:line="256" w:lineRule="auto"/>
              <w:rPr>
                <w:rFonts w:ascii="Arial"/>
                <w:sz w:val="21"/>
              </w:rPr>
            </w:pPr>
            <w:r/>
          </w:p>
          <w:p>
            <w:pPr>
              <w:spacing w:line="257" w:lineRule="auto"/>
              <w:rPr>
                <w:rFonts w:ascii="Arial"/>
                <w:sz w:val="21"/>
              </w:rPr>
            </w:pPr>
            <w:r/>
          </w:p>
          <w:p>
            <w:pPr>
              <w:ind w:left="37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905" w:type="dxa"/>
            <w:vAlign w:val="top"/>
            <w:vMerge w:val="continue"/>
            <w:tcBorders>
              <w:top w:val="nil"/>
            </w:tcBorders>
          </w:tcPr>
          <w:p>
            <w:pPr>
              <w:rPr>
                <w:rFonts w:ascii="Arial"/>
                <w:sz w:val="21"/>
              </w:rPr>
            </w:pPr>
            <w:r/>
          </w:p>
        </w:tc>
        <w:tc>
          <w:tcPr>
            <w:tcW w:w="905" w:type="dxa"/>
            <w:vAlign w:val="top"/>
          </w:tcPr>
          <w:p>
            <w:pPr>
              <w:spacing w:line="256" w:lineRule="auto"/>
              <w:rPr>
                <w:rFonts w:ascii="Arial"/>
                <w:sz w:val="21"/>
              </w:rPr>
            </w:pPr>
            <w:r/>
          </w:p>
          <w:p>
            <w:pPr>
              <w:spacing w:line="257" w:lineRule="auto"/>
              <w:rPr>
                <w:rFonts w:ascii="Arial"/>
                <w:sz w:val="21"/>
              </w:rPr>
            </w:pPr>
            <w:r/>
          </w:p>
          <w:p>
            <w:pPr>
              <w:ind w:left="27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0.73</w:t>
            </w:r>
          </w:p>
        </w:tc>
        <w:tc>
          <w:tcPr>
            <w:tcW w:w="906" w:type="dxa"/>
            <w:vAlign w:val="top"/>
          </w:tcPr>
          <w:p>
            <w:pPr>
              <w:spacing w:line="256" w:lineRule="auto"/>
              <w:rPr>
                <w:rFonts w:ascii="Arial"/>
                <w:sz w:val="21"/>
              </w:rPr>
            </w:pPr>
            <w:r/>
          </w:p>
          <w:p>
            <w:pPr>
              <w:spacing w:line="257" w:lineRule="auto"/>
              <w:rPr>
                <w:rFonts w:ascii="Arial"/>
                <w:sz w:val="21"/>
              </w:rPr>
            </w:pPr>
            <w:r/>
          </w:p>
          <w:p>
            <w:pPr>
              <w:ind w:left="24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-0.31</w:t>
            </w:r>
          </w:p>
        </w:tc>
        <w:tc>
          <w:tcPr>
            <w:tcW w:w="906" w:type="dxa"/>
            <w:vAlign w:val="top"/>
          </w:tcPr>
          <w:p>
            <w:pPr>
              <w:spacing w:line="256" w:lineRule="auto"/>
              <w:rPr>
                <w:rFonts w:ascii="Arial"/>
                <w:sz w:val="21"/>
              </w:rPr>
            </w:pPr>
            <w:r/>
          </w:p>
          <w:p>
            <w:pPr>
              <w:spacing w:line="257" w:lineRule="auto"/>
              <w:rPr>
                <w:rFonts w:ascii="Arial"/>
                <w:sz w:val="21"/>
              </w:rPr>
            </w:pPr>
            <w:r/>
          </w:p>
          <w:p>
            <w:pPr>
              <w:ind w:left="13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-0.2263</w:t>
            </w:r>
          </w:p>
        </w:tc>
        <w:tc>
          <w:tcPr>
            <w:tcW w:w="908" w:type="dxa"/>
            <w:vAlign w:val="top"/>
            <w:vMerge w:val="continue"/>
            <w:tcBorders>
              <w:right w:val="nil"/>
              <w:top w:val="nil"/>
            </w:tcBorders>
          </w:tcPr>
          <w:p>
            <w:pPr>
              <w:rPr>
                <w:rFonts w:ascii="Arial"/>
                <w:sz w:val="21"/>
              </w:rPr>
            </w:pPr>
            <w:r/>
          </w:p>
        </w:tc>
      </w:tr>
      <w:tr>
        <w:trPr>
          <w:trHeight w:val="939" w:hRule="atLeast"/>
        </w:trPr>
        <w:tc>
          <w:tcPr>
            <w:tcW w:w="904" w:type="dxa"/>
            <w:vAlign w:val="top"/>
            <w:tcBorders>
              <w:left w:val="nil"/>
            </w:tcBorders>
          </w:tcPr>
          <w:p>
            <w:pPr>
              <w:spacing w:line="361" w:lineRule="auto"/>
              <w:rPr>
                <w:rFonts w:ascii="Arial"/>
                <w:sz w:val="21"/>
              </w:rPr>
            </w:pPr>
            <w:r/>
          </w:p>
          <w:p>
            <w:pPr>
              <w:ind w:left="35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w:t>
            </w:r>
          </w:p>
        </w:tc>
        <w:tc>
          <w:tcPr>
            <w:tcW w:w="905" w:type="dxa"/>
            <w:vAlign w:val="top"/>
          </w:tcPr>
          <w:p>
            <w:pPr>
              <w:spacing w:line="318" w:lineRule="auto"/>
              <w:rPr>
                <w:rFonts w:ascii="Arial"/>
                <w:sz w:val="21"/>
              </w:rPr>
            </w:pPr>
            <w:r/>
          </w:p>
          <w:p>
            <w:pPr>
              <w:pStyle w:val="TableText"/>
              <w:ind w:left="152"/>
              <w:spacing w:before="65" w:line="230" w:lineRule="auto"/>
              <w:rPr/>
            </w:pPr>
            <w:r>
              <w:rPr>
                <w:spacing w:val="3"/>
              </w:rPr>
              <w:t>草木层</w:t>
            </w:r>
          </w:p>
        </w:tc>
        <w:tc>
          <w:tcPr>
            <w:tcW w:w="1278" w:type="dxa"/>
            <w:vAlign w:val="top"/>
          </w:tcPr>
          <w:p>
            <w:pPr>
              <w:pStyle w:val="TableText"/>
              <w:ind w:left="209" w:right="212" w:firstLine="128"/>
              <w:spacing w:before="73" w:line="308" w:lineRule="auto"/>
              <w:rPr>
                <w:rFonts w:ascii="Times New Roman" w:hAnsi="Times New Roman" w:eastAsia="Times New Roman" w:cs="Times New Roman"/>
              </w:rPr>
            </w:pPr>
            <w:r>
              <w:rPr>
                <w:spacing w:val="4"/>
              </w:rPr>
              <w:t>锦鸡儿</w:t>
            </w:r>
            <w:r>
              <w:rPr/>
              <w:t xml:space="preserve"> </w:t>
            </w:r>
            <w:r>
              <w:rPr>
                <w:rFonts w:ascii="Times New Roman" w:hAnsi="Times New Roman" w:eastAsia="Times New Roman" w:cs="Times New Roman"/>
                <w:spacing w:val="4"/>
              </w:rPr>
              <w:t>/Caragana</w:t>
            </w:r>
          </w:p>
          <w:p>
            <w:pPr>
              <w:ind w:left="129"/>
              <w:spacing w:before="2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microphylla</w:t>
            </w:r>
          </w:p>
        </w:tc>
        <w:tc>
          <w:tcPr>
            <w:tcW w:w="905" w:type="dxa"/>
            <w:vAlign w:val="top"/>
          </w:tcPr>
          <w:p>
            <w:pPr>
              <w:spacing w:line="361" w:lineRule="auto"/>
              <w:rPr>
                <w:rFonts w:ascii="Arial"/>
                <w:sz w:val="21"/>
              </w:rPr>
            </w:pPr>
            <w:r/>
          </w:p>
          <w:p>
            <w:pPr>
              <w:ind w:left="40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5" w:type="dxa"/>
            <w:vAlign w:val="top"/>
          </w:tcPr>
          <w:p>
            <w:pPr>
              <w:spacing w:line="361" w:lineRule="auto"/>
              <w:rPr>
                <w:rFonts w:ascii="Arial"/>
                <w:sz w:val="21"/>
              </w:rPr>
            </w:pPr>
            <w:r/>
          </w:p>
          <w:p>
            <w:pPr>
              <w:ind w:left="40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5" w:type="dxa"/>
            <w:vAlign w:val="top"/>
          </w:tcPr>
          <w:p>
            <w:pPr>
              <w:spacing w:line="361"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spacing w:line="361"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pPr>
              <w:spacing w:line="361" w:lineRule="auto"/>
              <w:rPr>
                <w:rFonts w:ascii="Arial"/>
                <w:sz w:val="21"/>
              </w:rPr>
            </w:pPr>
            <w:r/>
          </w:p>
          <w:p>
            <w:pPr>
              <w:ind w:left="40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tcBorders>
          </w:tcPr>
          <w:p>
            <w:pPr>
              <w:spacing w:line="361" w:lineRule="auto"/>
              <w:rPr>
                <w:rFonts w:ascii="Arial"/>
                <w:sz w:val="21"/>
              </w:rPr>
            </w:pPr>
            <w:r/>
          </w:p>
          <w:p>
            <w:pPr>
              <w:ind w:left="40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963" w:hRule="atLeast"/>
        </w:trPr>
        <w:tc>
          <w:tcPr>
            <w:tcW w:w="904" w:type="dxa"/>
            <w:vAlign w:val="top"/>
            <w:tcBorders>
              <w:left w:val="nil"/>
              <w:bottom w:val="single" w:color="000000" w:sz="10" w:space="0"/>
            </w:tcBorders>
          </w:tcPr>
          <w:p>
            <w:pPr>
              <w:spacing w:line="362" w:lineRule="auto"/>
              <w:rPr>
                <w:rFonts w:ascii="Arial"/>
                <w:sz w:val="21"/>
              </w:rPr>
            </w:pPr>
            <w:r/>
          </w:p>
          <w:p>
            <w:pPr>
              <w:ind w:left="36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w:t>
            </w:r>
          </w:p>
        </w:tc>
        <w:tc>
          <w:tcPr>
            <w:tcW w:w="905" w:type="dxa"/>
            <w:vAlign w:val="top"/>
            <w:tcBorders>
              <w:bottom w:val="single" w:color="000000" w:sz="10" w:space="0"/>
            </w:tcBorders>
          </w:tcPr>
          <w:p>
            <w:pPr>
              <w:spacing w:line="319" w:lineRule="auto"/>
              <w:rPr>
                <w:rFonts w:ascii="Arial"/>
                <w:sz w:val="21"/>
              </w:rPr>
            </w:pPr>
            <w:r/>
          </w:p>
          <w:p>
            <w:pPr>
              <w:pStyle w:val="TableText"/>
              <w:ind w:left="152"/>
              <w:spacing w:before="65" w:line="230" w:lineRule="auto"/>
              <w:rPr/>
            </w:pPr>
            <w:r>
              <w:rPr>
                <w:spacing w:val="3"/>
              </w:rPr>
              <w:t>草木层</w:t>
            </w:r>
          </w:p>
        </w:tc>
        <w:tc>
          <w:tcPr>
            <w:tcW w:w="1278" w:type="dxa"/>
            <w:vAlign w:val="top"/>
            <w:tcBorders>
              <w:bottom w:val="single" w:color="000000" w:sz="10" w:space="0"/>
            </w:tcBorders>
          </w:tcPr>
          <w:p>
            <w:pPr>
              <w:pStyle w:val="TableText"/>
              <w:ind w:left="209" w:right="212" w:firstLine="128"/>
              <w:spacing w:before="74" w:line="308" w:lineRule="auto"/>
              <w:rPr>
                <w:rFonts w:ascii="Times New Roman" w:hAnsi="Times New Roman" w:eastAsia="Times New Roman" w:cs="Times New Roman"/>
              </w:rPr>
            </w:pPr>
            <w:r>
              <w:rPr>
                <w:spacing w:val="4"/>
              </w:rPr>
              <w:t>锦鸡儿</w:t>
            </w:r>
            <w:r>
              <w:rPr/>
              <w:t xml:space="preserve"> </w:t>
            </w:r>
            <w:r>
              <w:rPr>
                <w:rFonts w:ascii="Times New Roman" w:hAnsi="Times New Roman" w:eastAsia="Times New Roman" w:cs="Times New Roman"/>
                <w:spacing w:val="4"/>
              </w:rPr>
              <w:t>/Caragana</w:t>
            </w:r>
          </w:p>
          <w:p>
            <w:pPr>
              <w:ind w:left="129"/>
              <w:spacing w:before="2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microphylla</w:t>
            </w:r>
          </w:p>
        </w:tc>
        <w:tc>
          <w:tcPr>
            <w:tcW w:w="905" w:type="dxa"/>
            <w:vAlign w:val="top"/>
            <w:tcBorders>
              <w:bottom w:val="single" w:color="000000" w:sz="10" w:space="0"/>
            </w:tcBorders>
          </w:tcPr>
          <w:p>
            <w:pPr>
              <w:spacing w:line="362" w:lineRule="auto"/>
              <w:rPr>
                <w:rFonts w:ascii="Arial"/>
                <w:sz w:val="21"/>
              </w:rPr>
            </w:pPr>
            <w:r/>
          </w:p>
          <w:p>
            <w:pPr>
              <w:ind w:left="40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5" w:type="dxa"/>
            <w:vAlign w:val="top"/>
            <w:tcBorders>
              <w:bottom w:val="single" w:color="000000" w:sz="10" w:space="0"/>
            </w:tcBorders>
          </w:tcPr>
          <w:p>
            <w:pPr>
              <w:spacing w:line="362" w:lineRule="auto"/>
              <w:rPr>
                <w:rFonts w:ascii="Arial"/>
                <w:sz w:val="21"/>
              </w:rPr>
            </w:pPr>
            <w:r/>
          </w:p>
          <w:p>
            <w:pPr>
              <w:ind w:left="40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5" w:type="dxa"/>
            <w:vAlign w:val="top"/>
            <w:tcBorders>
              <w:bottom w:val="single" w:color="000000" w:sz="10" w:space="0"/>
            </w:tcBorders>
          </w:tcPr>
          <w:p>
            <w:pPr>
              <w:spacing w:line="362"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Borders>
              <w:bottom w:val="single" w:color="000000" w:sz="10" w:space="0"/>
            </w:tcBorders>
          </w:tcPr>
          <w:p>
            <w:pPr>
              <w:spacing w:line="362"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Borders>
              <w:bottom w:val="single" w:color="000000" w:sz="10" w:space="0"/>
            </w:tcBorders>
          </w:tcPr>
          <w:p>
            <w:pPr>
              <w:spacing w:line="362" w:lineRule="auto"/>
              <w:rPr>
                <w:rFonts w:ascii="Arial"/>
                <w:sz w:val="21"/>
              </w:rPr>
            </w:pPr>
            <w:r/>
          </w:p>
          <w:p>
            <w:pPr>
              <w:ind w:left="40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8" w:type="dxa"/>
            <w:vAlign w:val="top"/>
            <w:tcBorders>
              <w:right w:val="nil"/>
              <w:bottom w:val="single" w:color="000000" w:sz="10" w:space="0"/>
            </w:tcBorders>
          </w:tcPr>
          <w:p>
            <w:pPr>
              <w:spacing w:line="362" w:lineRule="auto"/>
              <w:rPr>
                <w:rFonts w:ascii="Arial"/>
                <w:sz w:val="21"/>
              </w:rPr>
            </w:pPr>
            <w:r/>
          </w:p>
          <w:p>
            <w:pPr>
              <w:ind w:left="4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pStyle w:val="BodyText"/>
        <w:spacing w:line="251" w:lineRule="auto"/>
        <w:rPr/>
      </w:pPr>
      <w:r/>
    </w:p>
    <w:p>
      <w:pPr>
        <w:pStyle w:val="BodyText"/>
        <w:spacing w:line="251" w:lineRule="auto"/>
        <w:rPr/>
      </w:pPr>
      <w:r/>
    </w:p>
    <w:p>
      <w:pPr>
        <w:ind w:left="123" w:right="110" w:firstLine="485"/>
        <w:spacing w:before="78" w:line="361" w:lineRule="auto"/>
        <w:rPr>
          <w:rFonts w:ascii="FangSong" w:hAnsi="FangSong" w:eastAsia="FangSong" w:cs="FangSong"/>
          <w:sz w:val="24"/>
          <w:szCs w:val="24"/>
        </w:rPr>
      </w:pPr>
      <w:r>
        <w:rPr>
          <w:rFonts w:ascii="FangSong" w:hAnsi="FangSong" w:eastAsia="FangSong" w:cs="FangSong"/>
          <w:sz w:val="24"/>
          <w:szCs w:val="24"/>
          <w:spacing w:val="-1"/>
        </w:rPr>
        <w:t>通过分析各样方的香农</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威纳指数，本次评价区草木层生物多样性最高为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
        </w:rPr>
        <w:t>6#</w:t>
      </w:r>
      <w:r>
        <w:rPr>
          <w:rFonts w:ascii="FangSong" w:hAnsi="FangSong" w:eastAsia="FangSong" w:cs="FangSong"/>
          <w:sz w:val="24"/>
          <w:szCs w:val="24"/>
          <w:spacing w:val="-2"/>
        </w:rPr>
        <w:t>群落，指数为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0.9499</w:t>
      </w:r>
      <w:r>
        <w:rPr>
          <w:rFonts w:ascii="FangSong" w:hAnsi="FangSong" w:eastAsia="FangSong" w:cs="FangSong"/>
          <w:sz w:val="24"/>
          <w:szCs w:val="24"/>
          <w:spacing w:val="-2"/>
        </w:rPr>
        <w:t>。</w:t>
      </w:r>
    </w:p>
    <w:p>
      <w:pPr>
        <w:spacing w:line="361" w:lineRule="auto"/>
        <w:sectPr>
          <w:footerReference w:type="default" r:id="rId272"/>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13" w:firstLine="485"/>
        <w:spacing w:before="78" w:line="360" w:lineRule="auto"/>
        <w:jc w:val="both"/>
        <w:rPr>
          <w:rFonts w:ascii="FangSong" w:hAnsi="FangSong" w:eastAsia="FangSong" w:cs="FangSong"/>
          <w:sz w:val="24"/>
          <w:szCs w:val="24"/>
        </w:rPr>
      </w:pPr>
      <w:bookmarkStart w:name="bookmark591" w:id="373"/>
      <w:bookmarkEnd w:id="373"/>
      <w:r>
        <w:rPr>
          <w:rFonts w:ascii="FangSong" w:hAnsi="FangSong" w:eastAsia="FangSong" w:cs="FangSong"/>
          <w:sz w:val="24"/>
          <w:szCs w:val="24"/>
          <w:spacing w:val="-4"/>
        </w:rPr>
        <w:t>通过计算分析可知，项目区草原生态系统生物多样性相对较低，物种相对较</w:t>
      </w:r>
      <w:r>
        <w:rPr>
          <w:rFonts w:ascii="FangSong" w:hAnsi="FangSong" w:eastAsia="FangSong" w:cs="FangSong"/>
          <w:sz w:val="24"/>
          <w:szCs w:val="24"/>
          <w:spacing w:val="-3"/>
        </w:rPr>
        <w:t>为单一和重复。周围主要生态保护目标是以保护草地自然生态环境及</w:t>
      </w:r>
      <w:r>
        <w:rPr>
          <w:rFonts w:ascii="FangSong" w:hAnsi="FangSong" w:eastAsia="FangSong" w:cs="FangSong"/>
          <w:sz w:val="24"/>
          <w:szCs w:val="24"/>
          <w:spacing w:val="-4"/>
        </w:rPr>
        <w:t>野生物种资</w:t>
      </w:r>
      <w:r>
        <w:rPr>
          <w:rFonts w:ascii="FangSong" w:hAnsi="FangSong" w:eastAsia="FangSong" w:cs="FangSong"/>
          <w:sz w:val="24"/>
          <w:szCs w:val="24"/>
          <w:spacing w:val="-3"/>
        </w:rPr>
        <w:t>源为重点，因此，全面加强草地及其生物多样性保护，维护草原生态</w:t>
      </w:r>
      <w:r>
        <w:rPr>
          <w:rFonts w:ascii="FangSong" w:hAnsi="FangSong" w:eastAsia="FangSong" w:cs="FangSong"/>
          <w:sz w:val="24"/>
          <w:szCs w:val="24"/>
          <w:spacing w:val="-4"/>
        </w:rPr>
        <w:t>系统的生态</w:t>
      </w:r>
      <w:r>
        <w:rPr>
          <w:rFonts w:ascii="FangSong" w:hAnsi="FangSong" w:eastAsia="FangSong" w:cs="FangSong"/>
          <w:sz w:val="24"/>
          <w:szCs w:val="24"/>
          <w:spacing w:val="-2"/>
        </w:rPr>
        <w:t>特性和基本功能。</w:t>
      </w:r>
    </w:p>
    <w:p>
      <w:pPr>
        <w:spacing w:line="360" w:lineRule="auto"/>
        <w:sectPr>
          <w:footerReference w:type="default" r:id="rId273"/>
          <w:pgSz w:w="11906" w:h="16839"/>
          <w:pgMar w:top="400" w:right="1785" w:bottom="1358" w:left="1785" w:header="0" w:footer="1195" w:gutter="0"/>
        </w:sectPr>
        <w:rPr>
          <w:rFonts w:ascii="FangSong" w:hAnsi="FangSong" w:eastAsia="FangSong" w:cs="FangSong"/>
          <w:sz w:val="24"/>
          <w:szCs w:val="24"/>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25"/>
        <w:spacing w:before="98" w:line="222" w:lineRule="auto"/>
        <w:outlineLvl w:val="0"/>
        <w:rPr>
          <w:rFonts w:ascii="FangSong" w:hAnsi="FangSong" w:eastAsia="FangSong" w:cs="FangSong"/>
          <w:sz w:val="30"/>
          <w:szCs w:val="30"/>
        </w:rPr>
      </w:pPr>
      <w:bookmarkStart w:name="bookmark274" w:id="374"/>
      <w:bookmarkEnd w:id="374"/>
      <w:bookmarkStart w:name="bookmark276" w:id="375"/>
      <w:bookmarkEnd w:id="375"/>
      <w:bookmarkStart w:name="bookmark273" w:id="376"/>
      <w:bookmarkEnd w:id="376"/>
      <w:bookmarkStart w:name="bookmark275" w:id="377"/>
      <w:bookmarkEnd w:id="377"/>
      <w:r>
        <w:rPr>
          <w:rFonts w:ascii="Times New Roman" w:hAnsi="Times New Roman" w:eastAsia="Times New Roman" w:cs="Times New Roman"/>
          <w:sz w:val="30"/>
          <w:szCs w:val="30"/>
          <w:b/>
          <w:bCs/>
          <w:spacing w:val="-3"/>
        </w:rPr>
        <w:t>6  </w:t>
      </w:r>
      <w:r>
        <w:rPr>
          <w:rFonts w:ascii="FangSong" w:hAnsi="FangSong" w:eastAsia="FangSong" w:cs="FangSong"/>
          <w:sz w:val="30"/>
          <w:szCs w:val="30"/>
          <w:b/>
          <w:bCs/>
          <w:spacing w:val="-3"/>
        </w:rPr>
        <w:t>环境影响预测与评价</w:t>
      </w:r>
    </w:p>
    <w:p>
      <w:pPr>
        <w:ind w:left="24"/>
        <w:spacing w:before="271" w:line="223" w:lineRule="auto"/>
        <w:outlineLvl w:val="1"/>
        <w:rPr>
          <w:rFonts w:ascii="FangSong" w:hAnsi="FangSong" w:eastAsia="FangSong" w:cs="FangSong"/>
          <w:sz w:val="28"/>
          <w:szCs w:val="28"/>
        </w:rPr>
      </w:pPr>
      <w:bookmarkStart w:name="bookmark592" w:id="378"/>
      <w:bookmarkEnd w:id="378"/>
      <w:r>
        <w:rPr>
          <w:rFonts w:ascii="Times New Roman" w:hAnsi="Times New Roman" w:eastAsia="Times New Roman" w:cs="Times New Roman"/>
          <w:sz w:val="28"/>
          <w:szCs w:val="28"/>
          <w:b/>
          <w:bCs/>
          <w:spacing w:val="-2"/>
        </w:rPr>
        <w:t>6.1  </w:t>
      </w:r>
      <w:r>
        <w:rPr>
          <w:rFonts w:ascii="FangSong" w:hAnsi="FangSong" w:eastAsia="FangSong" w:cs="FangSong"/>
          <w:sz w:val="28"/>
          <w:szCs w:val="28"/>
          <w:b/>
          <w:bCs/>
          <w:spacing w:val="-2"/>
        </w:rPr>
        <w:t>施工期环境影响预测与评价</w:t>
      </w:r>
    </w:p>
    <w:p>
      <w:pPr>
        <w:ind w:left="29" w:right="65" w:firstLine="481"/>
        <w:spacing w:before="227" w:line="360" w:lineRule="auto"/>
        <w:jc w:val="both"/>
        <w:rPr>
          <w:rFonts w:ascii="FangSong" w:hAnsi="FangSong" w:eastAsia="FangSong" w:cs="FangSong"/>
          <w:sz w:val="24"/>
          <w:szCs w:val="24"/>
        </w:rPr>
      </w:pPr>
      <w:r>
        <w:rPr>
          <w:rFonts w:ascii="FangSong" w:hAnsi="FangSong" w:eastAsia="FangSong" w:cs="FangSong"/>
          <w:sz w:val="24"/>
          <w:szCs w:val="24"/>
          <w:spacing w:val="-3"/>
        </w:rPr>
        <w:t>项目施工期主要建设内容包括新建井巷工程、</w:t>
      </w:r>
      <w:r>
        <w:rPr>
          <w:rFonts w:ascii="FangSong" w:hAnsi="FangSong" w:eastAsia="FangSong" w:cs="FangSong"/>
          <w:sz w:val="24"/>
          <w:szCs w:val="24"/>
          <w:spacing w:val="-4"/>
        </w:rPr>
        <w:t>井下生产系统、工业广场和办</w:t>
      </w:r>
      <w:r>
        <w:rPr>
          <w:rFonts w:ascii="FangSong" w:hAnsi="FangSong" w:eastAsia="FangSong" w:cs="FangSong"/>
          <w:sz w:val="24"/>
          <w:szCs w:val="24"/>
          <w:spacing w:val="-3"/>
        </w:rPr>
        <w:t>公生活区的建设等。项目施工期既有地面工程，又有地下工程，但对</w:t>
      </w:r>
      <w:r>
        <w:rPr>
          <w:rFonts w:ascii="FangSong" w:hAnsi="FangSong" w:eastAsia="FangSong" w:cs="FangSong"/>
          <w:sz w:val="24"/>
          <w:szCs w:val="24"/>
          <w:spacing w:val="-4"/>
        </w:rPr>
        <w:t>环境构成影</w:t>
      </w:r>
      <w:r>
        <w:rPr>
          <w:rFonts w:ascii="FangSong" w:hAnsi="FangSong" w:eastAsia="FangSong" w:cs="FangSong"/>
          <w:sz w:val="24"/>
          <w:szCs w:val="24"/>
          <w:spacing w:val="-3"/>
        </w:rPr>
        <w:t>响的主要是地面工程施工。施工期对环境的影响主要表现为施工作业</w:t>
      </w:r>
      <w:r>
        <w:rPr>
          <w:rFonts w:ascii="FangSong" w:hAnsi="FangSong" w:eastAsia="FangSong" w:cs="FangSong"/>
          <w:sz w:val="24"/>
          <w:szCs w:val="24"/>
          <w:spacing w:val="-4"/>
        </w:rPr>
        <w:t>对地表水环</w:t>
      </w:r>
      <w:r>
        <w:rPr>
          <w:rFonts w:ascii="FangSong" w:hAnsi="FangSong" w:eastAsia="FangSong" w:cs="FangSong"/>
          <w:sz w:val="24"/>
          <w:szCs w:val="24"/>
          <w:spacing w:val="-3"/>
        </w:rPr>
        <w:t>境、大气环境、声环境、生态环境等的影响，如施工机械噪声、施工</w:t>
      </w:r>
      <w:r>
        <w:rPr>
          <w:rFonts w:ascii="FangSong" w:hAnsi="FangSong" w:eastAsia="FangSong" w:cs="FangSong"/>
          <w:sz w:val="24"/>
          <w:szCs w:val="24"/>
          <w:spacing w:val="-4"/>
        </w:rPr>
        <w:t>人员生活污</w:t>
      </w:r>
      <w:r>
        <w:rPr>
          <w:rFonts w:ascii="FangSong" w:hAnsi="FangSong" w:eastAsia="FangSong" w:cs="FangSong"/>
          <w:sz w:val="24"/>
          <w:szCs w:val="24"/>
          <w:spacing w:val="-3"/>
        </w:rPr>
        <w:t>水、生活垃圾以及对建设区的生态破坏等。分析拟建工程施工期的环</w:t>
      </w:r>
      <w:r>
        <w:rPr>
          <w:rFonts w:ascii="FangSong" w:hAnsi="FangSong" w:eastAsia="FangSong" w:cs="FangSong"/>
          <w:sz w:val="24"/>
          <w:szCs w:val="24"/>
          <w:spacing w:val="-4"/>
        </w:rPr>
        <w:t>境影响并提</w:t>
      </w:r>
      <w:r>
        <w:rPr>
          <w:rFonts w:ascii="FangSong" w:hAnsi="FangSong" w:eastAsia="FangSong" w:cs="FangSong"/>
          <w:sz w:val="24"/>
          <w:szCs w:val="24"/>
          <w:spacing w:val="-3"/>
        </w:rPr>
        <w:t>出相应的污染防治措施和管理监控要求，可以使项目建设过程中造成</w:t>
      </w:r>
      <w:r>
        <w:rPr>
          <w:rFonts w:ascii="FangSong" w:hAnsi="FangSong" w:eastAsia="FangSong" w:cs="FangSong"/>
          <w:sz w:val="24"/>
          <w:szCs w:val="24"/>
          <w:spacing w:val="-4"/>
        </w:rPr>
        <w:t>的不利环境</w:t>
      </w:r>
      <w:r>
        <w:rPr>
          <w:rFonts w:ascii="FangSong" w:hAnsi="FangSong" w:eastAsia="FangSong" w:cs="FangSong"/>
          <w:sz w:val="24"/>
          <w:szCs w:val="24"/>
          <w:spacing w:val="-2"/>
        </w:rPr>
        <w:t>影响降到最低限度。</w:t>
      </w:r>
    </w:p>
    <w:p>
      <w:pPr>
        <w:ind w:left="22"/>
        <w:spacing w:line="222" w:lineRule="auto"/>
        <w:outlineLvl w:val="2"/>
        <w:rPr>
          <w:rFonts w:ascii="FangSong" w:hAnsi="FangSong" w:eastAsia="FangSong" w:cs="FangSong"/>
          <w:sz w:val="24"/>
          <w:szCs w:val="24"/>
        </w:rPr>
      </w:pPr>
      <w:bookmarkStart w:name="bookmark278" w:id="379"/>
      <w:bookmarkEnd w:id="379"/>
      <w:bookmarkStart w:name="bookmark277" w:id="380"/>
      <w:bookmarkEnd w:id="380"/>
      <w:r>
        <w:rPr>
          <w:rFonts w:ascii="Times New Roman" w:hAnsi="Times New Roman" w:eastAsia="Times New Roman" w:cs="Times New Roman"/>
          <w:sz w:val="24"/>
          <w:szCs w:val="24"/>
          <w:b/>
          <w:bCs/>
          <w:spacing w:val="-2"/>
        </w:rPr>
        <w:t>6.1.1  </w:t>
      </w:r>
      <w:r>
        <w:rPr>
          <w:rFonts w:ascii="FangSong" w:hAnsi="FangSong" w:eastAsia="FangSong" w:cs="FangSong"/>
          <w:sz w:val="24"/>
          <w:szCs w:val="24"/>
          <w:b/>
          <w:bCs/>
          <w:spacing w:val="-2"/>
        </w:rPr>
        <w:t>施工期主要环境问题</w:t>
      </w:r>
    </w:p>
    <w:p>
      <w:pPr>
        <w:ind w:left="31" w:right="65" w:firstLine="479"/>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根据本项目建设期施工内容和所处区域自然环</w:t>
      </w:r>
      <w:r>
        <w:rPr>
          <w:rFonts w:ascii="FangSong" w:hAnsi="FangSong" w:eastAsia="FangSong" w:cs="FangSong"/>
          <w:sz w:val="24"/>
          <w:szCs w:val="24"/>
          <w:spacing w:val="-4"/>
        </w:rPr>
        <w:t>境特点，结合同类资源开发项</w:t>
      </w:r>
      <w:r>
        <w:rPr>
          <w:rFonts w:ascii="FangSong" w:hAnsi="FangSong" w:eastAsia="FangSong" w:cs="FangSong"/>
          <w:sz w:val="24"/>
          <w:szCs w:val="24"/>
          <w:spacing w:val="-3"/>
        </w:rPr>
        <w:t>目在建设期普遍造成的环境影响特征，总结出本项目建设期存</w:t>
      </w:r>
      <w:r>
        <w:rPr>
          <w:rFonts w:ascii="FangSong" w:hAnsi="FangSong" w:eastAsia="FangSong" w:cs="FangSong"/>
          <w:sz w:val="24"/>
          <w:szCs w:val="24"/>
          <w:spacing w:val="-4"/>
        </w:rPr>
        <w:t>在的主要环境问题</w:t>
      </w:r>
      <w:r>
        <w:rPr>
          <w:rFonts w:ascii="FangSong" w:hAnsi="FangSong" w:eastAsia="FangSong" w:cs="FangSong"/>
          <w:sz w:val="24"/>
          <w:szCs w:val="24"/>
          <w:spacing w:val="-5"/>
        </w:rPr>
        <w:t>表现为：</w:t>
      </w:r>
    </w:p>
    <w:p>
      <w:pPr>
        <w:ind w:left="32" w:firstLine="482"/>
        <w:spacing w:line="325"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）占用土地，破坏地表植被。施工期大面积的场地平整，以及地基开挖，</w:t>
      </w:r>
      <w:r>
        <w:rPr>
          <w:rFonts w:ascii="FangSong" w:hAnsi="FangSong" w:eastAsia="FangSong" w:cs="FangSong"/>
          <w:sz w:val="24"/>
          <w:szCs w:val="24"/>
          <w:spacing w:val="-3"/>
        </w:rPr>
        <w:t>弃土弃渣的临时堆放，将会破坏地表植被，在短期内会使水</w:t>
      </w:r>
      <w:r>
        <w:rPr>
          <w:rFonts w:ascii="FangSong" w:hAnsi="FangSong" w:eastAsia="FangSong" w:cs="FangSong"/>
          <w:sz w:val="24"/>
          <w:szCs w:val="24"/>
          <w:spacing w:val="-4"/>
        </w:rPr>
        <w:t>土流失加剧；此外建</w:t>
      </w:r>
      <w:r>
        <w:rPr>
          <w:rFonts w:ascii="FangSong" w:hAnsi="FangSong" w:eastAsia="FangSong" w:cs="FangSong"/>
          <w:sz w:val="24"/>
          <w:szCs w:val="24"/>
          <w:spacing w:val="-3"/>
        </w:rPr>
        <w:t>筑材料的运输和堆放也会破坏植被，使野生动物的正常活动</w:t>
      </w:r>
      <w:r>
        <w:rPr>
          <w:rFonts w:ascii="FangSong" w:hAnsi="FangSong" w:eastAsia="FangSong" w:cs="FangSong"/>
          <w:sz w:val="24"/>
          <w:szCs w:val="24"/>
          <w:spacing w:val="-4"/>
        </w:rPr>
        <w:t>受到了影响，对当地</w:t>
      </w:r>
      <w:r>
        <w:rPr>
          <w:rFonts w:ascii="FangSong" w:hAnsi="FangSong" w:eastAsia="FangSong" w:cs="FangSong"/>
          <w:sz w:val="24"/>
          <w:szCs w:val="24"/>
          <w:spacing w:val="-2"/>
        </w:rPr>
        <w:t>的生态环境带来了一定的负面影响。</w:t>
      </w:r>
    </w:p>
    <w:p>
      <w:pPr>
        <w:ind w:left="29" w:right="65" w:firstLine="485"/>
        <w:spacing w:before="183" w:line="314"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）新建场地建设的“五通一平</w:t>
      </w:r>
      <w:r>
        <w:rPr>
          <w:rFonts w:ascii="FangSong" w:hAnsi="FangSong" w:eastAsia="FangSong" w:cs="FangSong"/>
          <w:sz w:val="24"/>
          <w:szCs w:val="24"/>
          <w:spacing w:val="-83"/>
        </w:rPr>
        <w:t xml:space="preserve"> </w:t>
      </w:r>
      <w:r>
        <w:rPr>
          <w:rFonts w:ascii="FangSong" w:hAnsi="FangSong" w:eastAsia="FangSong" w:cs="FangSong"/>
          <w:sz w:val="24"/>
          <w:szCs w:val="24"/>
          <w:spacing w:val="-1"/>
        </w:rPr>
        <w:t>”、井筒的开凿和场外运输道路的施工，</w:t>
      </w:r>
      <w:r>
        <w:rPr>
          <w:rFonts w:ascii="FangSong" w:hAnsi="FangSong" w:eastAsia="FangSong" w:cs="FangSong"/>
          <w:sz w:val="24"/>
          <w:szCs w:val="24"/>
          <w:spacing w:val="-3"/>
        </w:rPr>
        <w:t>需要填挖大量的土石方，大量裸露的表土沙石极易造成大风扬尘和</w:t>
      </w:r>
      <w:r>
        <w:rPr>
          <w:rFonts w:ascii="FangSong" w:hAnsi="FangSong" w:eastAsia="FangSong" w:cs="FangSong"/>
          <w:sz w:val="24"/>
          <w:szCs w:val="24"/>
          <w:spacing w:val="-4"/>
        </w:rPr>
        <w:t>水土流失；土</w:t>
      </w:r>
      <w:r>
        <w:rPr>
          <w:rFonts w:ascii="FangSong" w:hAnsi="FangSong" w:eastAsia="FangSong" w:cs="FangSong"/>
          <w:sz w:val="24"/>
          <w:szCs w:val="24"/>
          <w:spacing w:val="-1"/>
        </w:rPr>
        <w:t>石方移动会对道路两侧及施工场地周围的声环境产生不良影响。</w:t>
      </w:r>
    </w:p>
    <w:p>
      <w:pPr>
        <w:ind w:left="34" w:right="65" w:firstLine="480"/>
        <w:spacing w:before="178"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）施工过程中散状物料堆放、平整场地形成的裸露地表、施工过程与交</w:t>
      </w:r>
      <w:r>
        <w:rPr>
          <w:rFonts w:ascii="FangSong" w:hAnsi="FangSong" w:eastAsia="FangSong" w:cs="FangSong"/>
          <w:sz w:val="24"/>
          <w:szCs w:val="24"/>
          <w:spacing w:val="-1"/>
        </w:rPr>
        <w:t>通运输等扬尘将对环境空气质量产生不利影响。</w:t>
      </w:r>
    </w:p>
    <w:p>
      <w:pPr>
        <w:ind w:left="31" w:right="65" w:firstLine="483"/>
        <w:spacing w:before="181"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）施工过程中施工人员日常生产生活产生的垃圾、生活污水、施工中机</w:t>
      </w:r>
      <w:r>
        <w:rPr>
          <w:rFonts w:ascii="FangSong" w:hAnsi="FangSong" w:eastAsia="FangSong" w:cs="FangSong"/>
          <w:sz w:val="24"/>
          <w:szCs w:val="24"/>
          <w:spacing w:val="-1"/>
        </w:rPr>
        <w:t>械设备产生的机械噪声和施工工地扬尘都会对周围环境产生一定影响。</w:t>
      </w:r>
    </w:p>
    <w:p>
      <w:pPr>
        <w:ind w:left="22"/>
        <w:spacing w:before="180" w:line="222" w:lineRule="auto"/>
        <w:outlineLvl w:val="2"/>
        <w:rPr>
          <w:rFonts w:ascii="FangSong" w:hAnsi="FangSong" w:eastAsia="FangSong" w:cs="FangSong"/>
          <w:sz w:val="24"/>
          <w:szCs w:val="24"/>
        </w:rPr>
      </w:pPr>
      <w:bookmarkStart w:name="bookmark280" w:id="381"/>
      <w:bookmarkEnd w:id="381"/>
      <w:bookmarkStart w:name="bookmark279" w:id="382"/>
      <w:bookmarkEnd w:id="382"/>
      <w:r>
        <w:rPr>
          <w:rFonts w:ascii="Times New Roman" w:hAnsi="Times New Roman" w:eastAsia="Times New Roman" w:cs="Times New Roman"/>
          <w:sz w:val="24"/>
          <w:szCs w:val="24"/>
          <w:b/>
          <w:bCs/>
          <w:spacing w:val="-2"/>
        </w:rPr>
        <w:t>6.1.2  </w:t>
      </w:r>
      <w:r>
        <w:rPr>
          <w:rFonts w:ascii="FangSong" w:hAnsi="FangSong" w:eastAsia="FangSong" w:cs="FangSong"/>
          <w:sz w:val="24"/>
          <w:szCs w:val="24"/>
          <w:b/>
          <w:bCs/>
          <w:spacing w:val="-2"/>
        </w:rPr>
        <w:t>施工期水环境影响分析</w:t>
      </w:r>
    </w:p>
    <w:p>
      <w:pPr>
        <w:ind w:left="509"/>
        <w:spacing w:before="180" w:line="223" w:lineRule="auto"/>
        <w:rPr>
          <w:rFonts w:ascii="FangSong" w:hAnsi="FangSong" w:eastAsia="FangSong" w:cs="FangSong"/>
          <w:sz w:val="24"/>
          <w:szCs w:val="24"/>
        </w:rPr>
      </w:pPr>
      <w:r>
        <w:rPr>
          <w:rFonts w:ascii="FangSong" w:hAnsi="FangSong" w:eastAsia="FangSong" w:cs="FangSong"/>
          <w:sz w:val="24"/>
          <w:szCs w:val="24"/>
          <w:spacing w:val="-1"/>
        </w:rPr>
        <w:t>施工期废水主要为施工废水及施工人员生活污水。</w:t>
      </w:r>
    </w:p>
    <w:p>
      <w:pPr>
        <w:ind w:left="22"/>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6.1.2.1  </w:t>
      </w:r>
      <w:r>
        <w:rPr>
          <w:rFonts w:ascii="FangSong" w:hAnsi="FangSong" w:eastAsia="FangSong" w:cs="FangSong"/>
          <w:sz w:val="24"/>
          <w:szCs w:val="24"/>
          <w:b/>
          <w:bCs/>
          <w:spacing w:val="-2"/>
        </w:rPr>
        <w:t>施工人员生活污水</w:t>
      </w:r>
    </w:p>
    <w:p>
      <w:pPr>
        <w:ind w:left="29" w:right="65" w:firstLine="480"/>
        <w:spacing w:before="178" w:line="361" w:lineRule="auto"/>
        <w:rPr>
          <w:rFonts w:ascii="FangSong" w:hAnsi="FangSong" w:eastAsia="FangSong" w:cs="FangSong"/>
          <w:sz w:val="24"/>
          <w:szCs w:val="24"/>
        </w:rPr>
      </w:pPr>
      <w:r>
        <w:rPr>
          <w:rFonts w:ascii="FangSong" w:hAnsi="FangSong" w:eastAsia="FangSong" w:cs="FangSong"/>
          <w:sz w:val="24"/>
          <w:szCs w:val="24"/>
          <w:spacing w:val="-3"/>
        </w:rPr>
        <w:t>项目施工期将产生施工人员的生活污水，根据</w:t>
      </w:r>
      <w:r>
        <w:rPr>
          <w:rFonts w:ascii="FangSong" w:hAnsi="FangSong" w:eastAsia="FangSong" w:cs="FangSong"/>
          <w:sz w:val="24"/>
          <w:szCs w:val="24"/>
          <w:spacing w:val="-4"/>
        </w:rPr>
        <w:t>该项目的性质和规模，项目采</w:t>
      </w:r>
      <w:r>
        <w:rPr>
          <w:rFonts w:ascii="FangSong" w:hAnsi="FangSong" w:eastAsia="FangSong" w:cs="FangSong"/>
          <w:sz w:val="24"/>
          <w:szCs w:val="24"/>
          <w:spacing w:val="-1"/>
        </w:rPr>
        <w:t>矿区、工业广场、办公生活区等配套设施区域施工高峰期施工人员约</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人，施</w:t>
      </w:r>
    </w:p>
    <w:p>
      <w:pPr>
        <w:spacing w:line="361" w:lineRule="auto"/>
        <w:sectPr>
          <w:footerReference w:type="default" r:id="rId274"/>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56" w:firstLine="6"/>
        <w:spacing w:before="78" w:line="360" w:lineRule="auto"/>
        <w:jc w:val="both"/>
        <w:rPr>
          <w:rFonts w:ascii="FangSong" w:hAnsi="FangSong" w:eastAsia="FangSong" w:cs="FangSong"/>
          <w:sz w:val="24"/>
          <w:szCs w:val="24"/>
        </w:rPr>
      </w:pPr>
      <w:r>
        <w:rPr>
          <w:rFonts w:ascii="FangSong" w:hAnsi="FangSong" w:eastAsia="FangSong" w:cs="FangSong"/>
          <w:sz w:val="24"/>
          <w:szCs w:val="24"/>
        </w:rPr>
        <w:t>工期</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rPr>
        <w:t>18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个月，经计算施工人员生活污水产生量约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2.4m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/d</w:t>
      </w:r>
      <w:r>
        <w:rPr>
          <w:rFonts w:ascii="FangSong" w:hAnsi="FangSong" w:eastAsia="FangSong" w:cs="FangSong"/>
          <w:sz w:val="24"/>
          <w:szCs w:val="24"/>
        </w:rPr>
        <w:t>（</w:t>
      </w:r>
      <w:r>
        <w:rPr>
          <w:rFonts w:ascii="Times New Roman" w:hAnsi="Times New Roman" w:eastAsia="Times New Roman" w:cs="Times New Roman"/>
          <w:sz w:val="24"/>
          <w:szCs w:val="24"/>
        </w:rPr>
        <w:t>1296m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w:t>
      </w:r>
      <w:r>
        <w:rPr>
          <w:rFonts w:ascii="FangSong" w:hAnsi="FangSong" w:eastAsia="FangSong" w:cs="FangSong"/>
          <w:sz w:val="24"/>
          <w:szCs w:val="24"/>
          <w:spacing w:val="-1"/>
        </w:rPr>
        <w:t>施工期</w:t>
      </w:r>
      <w:r>
        <w:rPr>
          <w:rFonts w:ascii="FangSong" w:hAnsi="FangSong" w:eastAsia="FangSong" w:cs="FangSong"/>
          <w:sz w:val="24"/>
          <w:szCs w:val="24"/>
          <w:spacing w:val="5"/>
        </w:rPr>
        <w:t>），</w:t>
      </w:r>
      <w:r>
        <w:rPr>
          <w:rFonts w:ascii="FangSong" w:hAnsi="FangSong" w:eastAsia="FangSong" w:cs="FangSong"/>
          <w:sz w:val="24"/>
          <w:szCs w:val="24"/>
          <w:spacing w:val="-3"/>
        </w:rPr>
        <w:t>施工人员生活污水全部排入临时防渗旱厕内，定期清掏外运积肥。因</w:t>
      </w:r>
      <w:r>
        <w:rPr>
          <w:rFonts w:ascii="FangSong" w:hAnsi="FangSong" w:eastAsia="FangSong" w:cs="FangSong"/>
          <w:sz w:val="24"/>
          <w:szCs w:val="24"/>
          <w:spacing w:val="-4"/>
        </w:rPr>
        <w:t>此，本项目</w:t>
      </w:r>
      <w:r>
        <w:rPr>
          <w:rFonts w:ascii="FangSong" w:hAnsi="FangSong" w:eastAsia="FangSong" w:cs="FangSong"/>
          <w:sz w:val="24"/>
          <w:szCs w:val="24"/>
          <w:spacing w:val="-1"/>
        </w:rPr>
        <w:t>施工人员生活污水不会对周围水环境产生影响。</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6.1.2.2</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b/>
          <w:bCs/>
          <w:spacing w:val="-3"/>
        </w:rPr>
        <w:t>施工废水</w:t>
      </w:r>
    </w:p>
    <w:p>
      <w:pPr>
        <w:ind w:left="29" w:right="56" w:firstLine="481"/>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项目施工期施工机械修理维护均依托周边镇区</w:t>
      </w:r>
      <w:r>
        <w:rPr>
          <w:rFonts w:ascii="FangSong" w:hAnsi="FangSong" w:eastAsia="FangSong" w:cs="FangSong"/>
          <w:sz w:val="24"/>
          <w:szCs w:val="24"/>
          <w:spacing w:val="-4"/>
        </w:rPr>
        <w:t>现有场所进行处理，不在施工</w:t>
      </w:r>
      <w:r>
        <w:rPr>
          <w:rFonts w:ascii="FangSong" w:hAnsi="FangSong" w:eastAsia="FangSong" w:cs="FangSong"/>
          <w:sz w:val="24"/>
          <w:szCs w:val="24"/>
          <w:spacing w:val="-3"/>
        </w:rPr>
        <w:t>场地内进行修理维护，无机械修理保养等含油废水产生。故本项目施</w:t>
      </w:r>
      <w:r>
        <w:rPr>
          <w:rFonts w:ascii="FangSong" w:hAnsi="FangSong" w:eastAsia="FangSong" w:cs="FangSong"/>
          <w:sz w:val="24"/>
          <w:szCs w:val="24"/>
          <w:spacing w:val="-4"/>
        </w:rPr>
        <w:t>工期施工废</w:t>
      </w:r>
      <w:r>
        <w:rPr>
          <w:rFonts w:ascii="FangSong" w:hAnsi="FangSong" w:eastAsia="FangSong" w:cs="FangSong"/>
          <w:sz w:val="24"/>
          <w:szCs w:val="24"/>
          <w:spacing w:val="4"/>
        </w:rPr>
        <w:t>水主要来自施工机械车轮冲洗等过程和项目建设主井及巷</w:t>
      </w:r>
      <w:r>
        <w:rPr>
          <w:rFonts w:ascii="FangSong" w:hAnsi="FangSong" w:eastAsia="FangSong" w:cs="FangSong"/>
          <w:sz w:val="24"/>
          <w:szCs w:val="24"/>
          <w:spacing w:val="3"/>
        </w:rPr>
        <w:t>道的开拓产生的矿井</w:t>
      </w:r>
      <w:r>
        <w:rPr>
          <w:rFonts w:ascii="FangSong" w:hAnsi="FangSong" w:eastAsia="FangSong" w:cs="FangSong"/>
          <w:sz w:val="24"/>
          <w:szCs w:val="24"/>
          <w:spacing w:val="-6"/>
        </w:rPr>
        <w:t>涌水。</w:t>
      </w:r>
    </w:p>
    <w:p>
      <w:pPr>
        <w:ind w:left="33" w:right="56" w:firstLine="478"/>
        <w:spacing w:before="3" w:line="359" w:lineRule="auto"/>
        <w:jc w:val="both"/>
        <w:rPr>
          <w:rFonts w:ascii="FangSong" w:hAnsi="FangSong" w:eastAsia="FangSong" w:cs="FangSong"/>
          <w:sz w:val="24"/>
          <w:szCs w:val="24"/>
        </w:rPr>
      </w:pPr>
      <w:r>
        <w:rPr>
          <w:rFonts w:ascii="FangSong" w:hAnsi="FangSong" w:eastAsia="FangSong" w:cs="FangSong"/>
          <w:sz w:val="24"/>
          <w:szCs w:val="24"/>
          <w:spacing w:val="-2"/>
        </w:rPr>
        <w:t>其中施工机械车轮冲洗等过程，主要污染物为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COD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SS</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2"/>
        </w:rPr>
        <w:t>，经计算废水产生</w:t>
      </w:r>
      <w:r>
        <w:rPr>
          <w:rFonts w:ascii="FangSong" w:hAnsi="FangSong" w:eastAsia="FangSong" w:cs="FangSong"/>
          <w:sz w:val="24"/>
          <w:szCs w:val="24"/>
          <w:spacing w:val="-4"/>
        </w:rPr>
        <w:t>量约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3.2m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4"/>
        </w:rPr>
        <w:t>，即</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1728m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施工期（以施工期</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5"/>
        </w:rPr>
        <w:t>40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天计</w:t>
      </w:r>
      <w:r>
        <w:rPr>
          <w:rFonts w:ascii="FangSong" w:hAnsi="FangSong" w:eastAsia="FangSong" w:cs="FangSong"/>
          <w:sz w:val="24"/>
          <w:szCs w:val="24"/>
          <w:spacing w:val="-15"/>
        </w:rPr>
        <w:t>），</w:t>
      </w:r>
      <w:r>
        <w:rPr>
          <w:rFonts w:ascii="FangSong" w:hAnsi="FangSong" w:eastAsia="FangSong" w:cs="FangSong"/>
          <w:sz w:val="24"/>
          <w:szCs w:val="24"/>
          <w:spacing w:val="-5"/>
        </w:rPr>
        <w:t>经沉淀处理后上清液用</w:t>
      </w:r>
      <w:r>
        <w:rPr>
          <w:rFonts w:ascii="FangSong" w:hAnsi="FangSong" w:eastAsia="FangSong" w:cs="FangSong"/>
          <w:sz w:val="24"/>
          <w:szCs w:val="24"/>
          <w:spacing w:val="-1"/>
        </w:rPr>
        <w:t>于施工场地洒水降尘不外排，对地表水环境不会产生明显影响。</w:t>
      </w:r>
    </w:p>
    <w:p>
      <w:pPr>
        <w:ind w:left="35" w:right="59" w:firstLine="475"/>
        <w:spacing w:line="360" w:lineRule="auto"/>
        <w:rPr>
          <w:rFonts w:ascii="FangSong" w:hAnsi="FangSong" w:eastAsia="FangSong" w:cs="FangSong"/>
          <w:sz w:val="24"/>
          <w:szCs w:val="24"/>
        </w:rPr>
      </w:pPr>
      <w:r>
        <w:rPr>
          <w:rFonts w:ascii="FangSong" w:hAnsi="FangSong" w:eastAsia="FangSong" w:cs="FangSong"/>
          <w:sz w:val="24"/>
          <w:szCs w:val="24"/>
        </w:rPr>
        <w:t>项目建设主井及巷道的开拓，产生的矿井涌水，主</w:t>
      </w:r>
      <w:r>
        <w:rPr>
          <w:rFonts w:ascii="FangSong" w:hAnsi="FangSong" w:eastAsia="FangSong" w:cs="FangSong"/>
          <w:sz w:val="24"/>
          <w:szCs w:val="24"/>
          <w:spacing w:val="-1"/>
        </w:rPr>
        <w:t>要污染物为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SS</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。项目施</w:t>
      </w:r>
      <w:r>
        <w:rPr>
          <w:rFonts w:ascii="FangSong" w:hAnsi="FangSong" w:eastAsia="FangSong" w:cs="FangSong"/>
          <w:sz w:val="24"/>
          <w:szCs w:val="24"/>
          <w:spacing w:val="-1"/>
        </w:rPr>
        <w:t>工期集中收集排入地表沉淀池中，经沉淀后全部回用或进行洒水降尘等。</w:t>
      </w:r>
    </w:p>
    <w:p>
      <w:pPr>
        <w:ind w:left="22"/>
        <w:spacing w:line="221" w:lineRule="auto"/>
        <w:outlineLvl w:val="2"/>
        <w:rPr>
          <w:rFonts w:ascii="FangSong" w:hAnsi="FangSong" w:eastAsia="FangSong" w:cs="FangSong"/>
          <w:sz w:val="24"/>
          <w:szCs w:val="24"/>
        </w:rPr>
      </w:pPr>
      <w:bookmarkStart w:name="bookmark282" w:id="383"/>
      <w:bookmarkEnd w:id="383"/>
      <w:bookmarkStart w:name="bookmark281" w:id="384"/>
      <w:bookmarkEnd w:id="384"/>
      <w:r>
        <w:rPr>
          <w:rFonts w:ascii="Times New Roman" w:hAnsi="Times New Roman" w:eastAsia="Times New Roman" w:cs="Times New Roman"/>
          <w:sz w:val="24"/>
          <w:szCs w:val="24"/>
          <w:b/>
          <w:bCs/>
          <w:spacing w:val="-2"/>
        </w:rPr>
        <w:t>6.1.3  </w:t>
      </w:r>
      <w:r>
        <w:rPr>
          <w:rFonts w:ascii="FangSong" w:hAnsi="FangSong" w:eastAsia="FangSong" w:cs="FangSong"/>
          <w:sz w:val="24"/>
          <w:szCs w:val="24"/>
          <w:b/>
          <w:bCs/>
          <w:spacing w:val="-2"/>
        </w:rPr>
        <w:t>施工期环境空气影响分析</w:t>
      </w:r>
    </w:p>
    <w:p>
      <w:pPr>
        <w:ind w:left="31" w:right="56" w:firstLine="479"/>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项目施工期对环境空气产生影响的作业环节有</w:t>
      </w:r>
      <w:r>
        <w:rPr>
          <w:rFonts w:ascii="FangSong" w:hAnsi="FangSong" w:eastAsia="FangSong" w:cs="FangSong"/>
          <w:sz w:val="24"/>
          <w:szCs w:val="24"/>
          <w:spacing w:val="-4"/>
        </w:rPr>
        <w:t>：巷道掘进和爆破扬尘、材料</w:t>
      </w:r>
      <w:r>
        <w:rPr>
          <w:rFonts w:ascii="FangSong" w:hAnsi="FangSong" w:eastAsia="FangSong" w:cs="FangSong"/>
          <w:sz w:val="24"/>
          <w:szCs w:val="24"/>
          <w:spacing w:val="-3"/>
        </w:rPr>
        <w:t>运输和装卸、场地平整，以及施工机械、车辆排放的尾气，排</w:t>
      </w:r>
      <w:r>
        <w:rPr>
          <w:rFonts w:ascii="FangSong" w:hAnsi="FangSong" w:eastAsia="FangSong" w:cs="FangSong"/>
          <w:sz w:val="24"/>
          <w:szCs w:val="24"/>
          <w:spacing w:val="-4"/>
        </w:rPr>
        <w:t>放的主要污染物为</w:t>
      </w:r>
      <w:r>
        <w:rPr>
          <w:rFonts w:ascii="FangSong" w:hAnsi="FangSong" w:eastAsia="FangSong" w:cs="FangSong"/>
          <w:sz w:val="24"/>
          <w:szCs w:val="24"/>
          <w:spacing w:val="-2"/>
        </w:rPr>
        <w:t>总悬浮颗粒物（</w:t>
      </w:r>
      <w:r>
        <w:rPr>
          <w:rFonts w:ascii="Times New Roman" w:hAnsi="Times New Roman" w:eastAsia="Times New Roman" w:cs="Times New Roman"/>
          <w:sz w:val="24"/>
          <w:szCs w:val="24"/>
          <w:spacing w:val="-2"/>
        </w:rPr>
        <w:t>TSP</w:t>
      </w:r>
      <w:r>
        <w:rPr>
          <w:rFonts w:ascii="FangSong" w:hAnsi="FangSong" w:eastAsia="FangSong" w:cs="FangSong"/>
          <w:sz w:val="24"/>
          <w:szCs w:val="24"/>
          <w:spacing w:val="-2"/>
        </w:rPr>
        <w:t>）、氮氧化物（</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x </w:t>
      </w:r>
      <w:r>
        <w:rPr>
          <w:rFonts w:ascii="FangSong" w:hAnsi="FangSong" w:eastAsia="FangSong" w:cs="FangSong"/>
          <w:sz w:val="24"/>
          <w:szCs w:val="24"/>
          <w:spacing w:val="-2"/>
        </w:rPr>
        <w:t>）、一氧化碳（</w:t>
      </w:r>
      <w:r>
        <w:rPr>
          <w:rFonts w:ascii="Times New Roman" w:hAnsi="Times New Roman" w:eastAsia="Times New Roman" w:cs="Times New Roman"/>
          <w:sz w:val="24"/>
          <w:szCs w:val="24"/>
          <w:spacing w:val="-2"/>
        </w:rPr>
        <w:t>CO</w:t>
      </w:r>
      <w:r>
        <w:rPr>
          <w:rFonts w:ascii="FangSong" w:hAnsi="FangSong" w:eastAsia="FangSong" w:cs="FangSong"/>
          <w:sz w:val="24"/>
          <w:szCs w:val="24"/>
          <w:spacing w:val="-2"/>
        </w:rPr>
        <w:t>）等。</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6.1.3.1</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b/>
          <w:bCs/>
          <w:spacing w:val="-3"/>
        </w:rPr>
        <w:t>施工粉尘</w:t>
      </w:r>
    </w:p>
    <w:p>
      <w:pPr>
        <w:ind w:left="510"/>
        <w:spacing w:before="178" w:line="222" w:lineRule="auto"/>
        <w:rPr>
          <w:rFonts w:ascii="FangSong" w:hAnsi="FangSong" w:eastAsia="FangSong" w:cs="FangSong"/>
          <w:sz w:val="24"/>
          <w:szCs w:val="24"/>
        </w:rPr>
      </w:pPr>
      <w:r>
        <w:rPr>
          <w:rFonts w:ascii="FangSong" w:hAnsi="FangSong" w:eastAsia="FangSong" w:cs="FangSong"/>
          <w:sz w:val="24"/>
          <w:szCs w:val="24"/>
          <w:spacing w:val="-1"/>
        </w:rPr>
        <w:t>项目施工期粉尘主要包括以下几个方面：</w:t>
      </w:r>
    </w:p>
    <w:p>
      <w:pPr>
        <w:ind w:left="23" w:firstLine="491"/>
        <w:spacing w:before="184" w:line="34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）工地材料的堆放、装卸，表土、挖土的堆放，随风造成的扬尘污染及</w:t>
      </w:r>
      <w:r>
        <w:rPr>
          <w:rFonts w:ascii="FangSong" w:hAnsi="FangSong" w:eastAsia="FangSong" w:cs="FangSong"/>
          <w:sz w:val="24"/>
          <w:szCs w:val="24"/>
          <w:spacing w:val="-3"/>
        </w:rPr>
        <w:t>运输车辆造成的粉尘。根据分析，道路扬尘产生于施工运输车辆，其产尘点附近</w:t>
      </w:r>
      <w:r>
        <w:rPr>
          <w:rFonts w:ascii="FangSong" w:hAnsi="FangSong" w:eastAsia="FangSong" w:cs="FangSong"/>
          <w:sz w:val="24"/>
          <w:szCs w:val="24"/>
          <w:spacing w:val="-3"/>
        </w:rPr>
        <w:t>扬尘浓度较高。根据类似施工现场汽车运输引起的扬尘现场监测结果，灰土运输</w:t>
      </w:r>
      <w:r>
        <w:rPr>
          <w:rFonts w:ascii="FangSong" w:hAnsi="FangSong" w:eastAsia="FangSong" w:cs="FangSong"/>
          <w:sz w:val="24"/>
          <w:szCs w:val="24"/>
          <w:spacing w:val="-4"/>
        </w:rPr>
        <w:t>车辆下风向</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4"/>
        </w:rPr>
        <w:t>50m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处</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TSP</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4"/>
        </w:rPr>
        <w:t>的浓度为</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4"/>
        </w:rPr>
        <w:t>11.625mg/m</w:t>
      </w:r>
      <w:r>
        <w:rPr>
          <w:rFonts w:ascii="Times New Roman" w:hAnsi="Times New Roman" w:eastAsia="Times New Roman" w:cs="Times New Roman"/>
          <w:sz w:val="15"/>
          <w:szCs w:val="15"/>
          <w:spacing w:val="-4"/>
          <w:position w:val="7"/>
        </w:rPr>
        <w:t>3 </w:t>
      </w:r>
      <w:r>
        <w:rPr>
          <w:rFonts w:ascii="FangSong" w:hAnsi="FangSong" w:eastAsia="FangSong" w:cs="FangSong"/>
          <w:sz w:val="24"/>
          <w:szCs w:val="24"/>
          <w:spacing w:val="-4"/>
        </w:rPr>
        <w:t>；下风向</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4"/>
        </w:rPr>
        <w:t>100m</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处</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TSP</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4"/>
        </w:rPr>
        <w:t>的浓度为</w:t>
      </w:r>
      <w:r>
        <w:rPr>
          <w:rFonts w:ascii="Times New Roman" w:hAnsi="Times New Roman" w:eastAsia="Times New Roman" w:cs="Times New Roman"/>
          <w:sz w:val="24"/>
          <w:szCs w:val="24"/>
          <w:spacing w:val="-4"/>
        </w:rPr>
        <w:t>9.694mg/m</w:t>
      </w:r>
      <w:r>
        <w:rPr>
          <w:rFonts w:ascii="Times New Roman" w:hAnsi="Times New Roman" w:eastAsia="Times New Roman" w:cs="Times New Roman"/>
          <w:sz w:val="15"/>
          <w:szCs w:val="15"/>
          <w:spacing w:val="-4"/>
          <w:position w:val="7"/>
        </w:rPr>
        <w:t>3</w:t>
      </w:r>
      <w:r>
        <w:rPr>
          <w:rFonts w:ascii="FangSong" w:hAnsi="FangSong" w:eastAsia="FangSong" w:cs="FangSong"/>
          <w:sz w:val="24"/>
          <w:szCs w:val="24"/>
          <w:spacing w:val="-4"/>
        </w:rPr>
        <w:t>；下风向</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150m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处</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TSP</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4"/>
        </w:rPr>
        <w:t>的浓度</w:t>
      </w:r>
      <w:r>
        <w:rPr>
          <w:rFonts w:ascii="FangSong" w:hAnsi="FangSong" w:eastAsia="FangSong" w:cs="FangSong"/>
          <w:sz w:val="24"/>
          <w:szCs w:val="24"/>
          <w:spacing w:val="-5"/>
        </w:rPr>
        <w:t>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5.093mg/m</w:t>
      </w:r>
      <w:r>
        <w:rPr>
          <w:rFonts w:ascii="Times New Roman" w:hAnsi="Times New Roman" w:eastAsia="Times New Roman" w:cs="Times New Roman"/>
          <w:sz w:val="15"/>
          <w:szCs w:val="15"/>
          <w:spacing w:val="-5"/>
          <w:position w:val="7"/>
        </w:rPr>
        <w:t>3</w:t>
      </w:r>
      <w:r>
        <w:rPr>
          <w:rFonts w:ascii="FangSong" w:hAnsi="FangSong" w:eastAsia="FangSong" w:cs="FangSong"/>
          <w:sz w:val="24"/>
          <w:szCs w:val="24"/>
          <w:spacing w:val="-5"/>
        </w:rPr>
        <w:t>，超过环境空气质量二级</w:t>
      </w:r>
      <w:r>
        <w:rPr>
          <w:rFonts w:ascii="FangSong" w:hAnsi="FangSong" w:eastAsia="FangSong" w:cs="FangSong"/>
          <w:sz w:val="24"/>
          <w:szCs w:val="24"/>
          <w:spacing w:val="-1"/>
        </w:rPr>
        <w:t>标准。但扬尘浓度随距离的增加而快速下降，下风向</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200m</w:t>
      </w:r>
      <w:r>
        <w:rPr>
          <w:rFonts w:ascii="Times New Roman" w:hAnsi="Times New Roman" w:eastAsia="Times New Roman" w:cs="Times New Roman"/>
          <w:sz w:val="24"/>
          <w:szCs w:val="24"/>
          <w:spacing w:val="38"/>
          <w:w w:val="101"/>
        </w:rPr>
        <w:t xml:space="preserve"> </w:t>
      </w:r>
      <w:r>
        <w:rPr>
          <w:rFonts w:ascii="FangSong" w:hAnsi="FangSong" w:eastAsia="FangSong" w:cs="FangSong"/>
          <w:sz w:val="24"/>
          <w:szCs w:val="24"/>
          <w:spacing w:val="-1"/>
        </w:rPr>
        <w:t>以外影响大大减</w:t>
      </w:r>
      <w:r>
        <w:rPr>
          <w:rFonts w:ascii="FangSong" w:hAnsi="FangSong" w:eastAsia="FangSong" w:cs="FangSong"/>
          <w:sz w:val="24"/>
          <w:szCs w:val="24"/>
          <w:spacing w:val="-2"/>
        </w:rPr>
        <w:t>小。</w:t>
      </w:r>
      <w:r>
        <w:rPr>
          <w:rFonts w:ascii="FangSong" w:hAnsi="FangSong" w:eastAsia="FangSong" w:cs="FangSong"/>
          <w:sz w:val="24"/>
          <w:szCs w:val="24"/>
          <w:spacing w:val="-3"/>
        </w:rPr>
        <w:t>鉴于运输扬尘影响半径虽小但短时浓度较高，应加强施工期运输道路的车辆管理</w:t>
      </w:r>
      <w:r>
        <w:rPr>
          <w:rFonts w:ascii="FangSong" w:hAnsi="FangSong" w:eastAsia="FangSong" w:cs="FangSong"/>
          <w:sz w:val="24"/>
          <w:szCs w:val="24"/>
          <w:spacing w:val="-1"/>
        </w:rPr>
        <w:t>工作，出场时清洗车轮，确保泥土不带出场外，减</w:t>
      </w:r>
      <w:r>
        <w:rPr>
          <w:rFonts w:ascii="FangSong" w:hAnsi="FangSong" w:eastAsia="FangSong" w:cs="FangSong"/>
          <w:sz w:val="24"/>
          <w:szCs w:val="24"/>
          <w:spacing w:val="-2"/>
        </w:rPr>
        <w:t>轻道路扬尘造成的空气污染。</w:t>
      </w:r>
    </w:p>
    <w:p>
      <w:pPr>
        <w:ind w:left="33" w:right="56" w:firstLine="481"/>
        <w:spacing w:before="182"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）建筑材料（砂石等）的无遮盖、超量运输洒漏、粗放式卸料、用料造</w:t>
      </w:r>
      <w:r>
        <w:rPr>
          <w:rFonts w:ascii="FangSong" w:hAnsi="FangSong" w:eastAsia="FangSong" w:cs="FangSong"/>
          <w:sz w:val="24"/>
          <w:szCs w:val="24"/>
          <w:spacing w:val="-3"/>
        </w:rPr>
        <w:t>成的扬尘。在施工期间，决定扬尘污染程度的主要因素有</w:t>
      </w:r>
      <w:r>
        <w:rPr>
          <w:rFonts w:ascii="FangSong" w:hAnsi="FangSong" w:eastAsia="FangSong" w:cs="FangSong"/>
          <w:sz w:val="24"/>
          <w:szCs w:val="24"/>
          <w:spacing w:val="-4"/>
        </w:rPr>
        <w:t>：施工作业方式，原材</w:t>
      </w:r>
    </w:p>
    <w:p>
      <w:pPr>
        <w:spacing w:line="290" w:lineRule="auto"/>
        <w:sectPr>
          <w:footerReference w:type="default" r:id="rId275"/>
          <w:pgSz w:w="11906" w:h="16839"/>
          <w:pgMar w:top="400" w:right="1742" w:bottom="1358" w:left="1785" w:header="0" w:footer="1195" w:gutter="0"/>
        </w:sectPr>
        <w:rPr>
          <w:rFonts w:ascii="FangSong" w:hAnsi="FangSong" w:eastAsia="FangSong" w:cs="FangSong"/>
          <w:sz w:val="24"/>
          <w:szCs w:val="24"/>
        </w:rPr>
      </w:pP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29"/>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料堆放形式和风力大小等，其中受风力因素影响较大。一般情况下，</w:t>
      </w:r>
      <w:r>
        <w:rPr>
          <w:rFonts w:ascii="FangSong" w:hAnsi="FangSong" w:eastAsia="FangSong" w:cs="FangSong"/>
          <w:sz w:val="24"/>
          <w:szCs w:val="24"/>
          <w:spacing w:val="-4"/>
        </w:rPr>
        <w:t>静态起尘主</w:t>
      </w:r>
      <w:r>
        <w:rPr>
          <w:rFonts w:ascii="FangSong" w:hAnsi="FangSong" w:eastAsia="FangSong" w:cs="FangSong"/>
          <w:sz w:val="24"/>
          <w:szCs w:val="24"/>
          <w:spacing w:val="-3"/>
        </w:rPr>
        <w:t>要与堆放材料粒径、表面含水率、地面粗糙度、地面风速等因素有关</w:t>
      </w:r>
      <w:r>
        <w:rPr>
          <w:rFonts w:ascii="FangSong" w:hAnsi="FangSong" w:eastAsia="FangSong" w:cs="FangSong"/>
          <w:sz w:val="24"/>
          <w:szCs w:val="24"/>
          <w:spacing w:val="-4"/>
        </w:rPr>
        <w:t>；动态起尘</w:t>
      </w:r>
      <w:r>
        <w:rPr>
          <w:rFonts w:ascii="FangSong" w:hAnsi="FangSong" w:eastAsia="FangSong" w:cs="FangSong"/>
          <w:sz w:val="24"/>
          <w:szCs w:val="24"/>
          <w:spacing w:val="-3"/>
        </w:rPr>
        <w:t>与材料粒径、地面风速、装卸高度、装卸强度等因素有关。通过建筑</w:t>
      </w:r>
      <w:r>
        <w:rPr>
          <w:rFonts w:ascii="FangSong" w:hAnsi="FangSong" w:eastAsia="FangSong" w:cs="FangSong"/>
          <w:sz w:val="24"/>
          <w:szCs w:val="24"/>
          <w:spacing w:val="-4"/>
        </w:rPr>
        <w:t>施工场地的</w:t>
      </w:r>
      <w:r>
        <w:rPr>
          <w:rFonts w:ascii="FangSong" w:hAnsi="FangSong" w:eastAsia="FangSong" w:cs="FangSong"/>
          <w:sz w:val="24"/>
          <w:szCs w:val="24"/>
          <w:spacing w:val="-5"/>
        </w:rPr>
        <w:t>类比调查表明，若不采取洒水降尘措施，施工场地下风向</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200m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范围内</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5"/>
        </w:rPr>
        <w:t>TSP</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浓度</w:t>
      </w:r>
      <w:r>
        <w:rPr>
          <w:rFonts w:ascii="FangSong" w:hAnsi="FangSong" w:eastAsia="FangSong" w:cs="FangSong"/>
          <w:sz w:val="24"/>
          <w:szCs w:val="24"/>
          <w:spacing w:val="-3"/>
        </w:rPr>
        <w:t>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0.56-11.03mg/m</w:t>
      </w:r>
      <w:r>
        <w:rPr>
          <w:rFonts w:ascii="Times New Roman" w:hAnsi="Times New Roman" w:eastAsia="Times New Roman" w:cs="Times New Roman"/>
          <w:sz w:val="15"/>
          <w:szCs w:val="15"/>
          <w:spacing w:val="-3"/>
          <w:position w:val="7"/>
        </w:rPr>
        <w:t>3 </w:t>
      </w:r>
      <w:r>
        <w:rPr>
          <w:rFonts w:ascii="FangSong" w:hAnsi="FangSong" w:eastAsia="FangSong" w:cs="FangSong"/>
          <w:sz w:val="24"/>
          <w:szCs w:val="24"/>
          <w:spacing w:val="-3"/>
        </w:rPr>
        <w:t>，大大超过二类区环境空气标准限值；采取洒水降尘措施后，</w:t>
      </w:r>
      <w:r>
        <w:rPr>
          <w:rFonts w:ascii="FangSong" w:hAnsi="FangSong" w:eastAsia="FangSong" w:cs="FangSong"/>
          <w:sz w:val="24"/>
          <w:szCs w:val="24"/>
          <w:spacing w:val="-4"/>
        </w:rPr>
        <w:t>施工场地下风向</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200m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范围内</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TSP</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4"/>
        </w:rPr>
        <w:t>浓度可以降至</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0.28-2.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11mg/m</w:t>
      </w:r>
      <w:r>
        <w:rPr>
          <w:rFonts w:ascii="Times New Roman" w:hAnsi="Times New Roman" w:eastAsia="Times New Roman" w:cs="Times New Roman"/>
          <w:sz w:val="15"/>
          <w:szCs w:val="15"/>
          <w:spacing w:val="-4"/>
          <w:position w:val="7"/>
        </w:rPr>
        <w:t>3 </w:t>
      </w:r>
      <w:r>
        <w:rPr>
          <w:rFonts w:ascii="FangSong" w:hAnsi="FangSong" w:eastAsia="FangSong" w:cs="FangSong"/>
          <w:sz w:val="24"/>
          <w:szCs w:val="24"/>
          <w:spacing w:val="-4"/>
        </w:rPr>
        <w:t>。由此可见，施</w:t>
      </w:r>
      <w:r>
        <w:rPr>
          <w:rFonts w:ascii="FangSong" w:hAnsi="FangSong" w:eastAsia="FangSong" w:cs="FangSong"/>
          <w:sz w:val="24"/>
          <w:szCs w:val="24"/>
          <w:spacing w:val="-1"/>
        </w:rPr>
        <w:t>工场地采取洒水措施效果明显，降尘效率在</w:t>
      </w:r>
      <w:r>
        <w:rPr>
          <w:rFonts w:ascii="Times New Roman" w:hAnsi="Times New Roman" w:eastAsia="Times New Roman" w:cs="Times New Roman"/>
          <w:sz w:val="24"/>
          <w:szCs w:val="24"/>
          <w:spacing w:val="-1"/>
        </w:rPr>
        <w:t>31-80%</w:t>
      </w:r>
      <w:r>
        <w:rPr>
          <w:rFonts w:ascii="FangSong" w:hAnsi="FangSong" w:eastAsia="FangSong" w:cs="FangSong"/>
          <w:sz w:val="24"/>
          <w:szCs w:val="24"/>
          <w:spacing w:val="-1"/>
        </w:rPr>
        <w:t>之间，平均可降尘</w:t>
      </w:r>
      <w:r>
        <w:rPr>
          <w:rFonts w:ascii="Times New Roman" w:hAnsi="Times New Roman" w:eastAsia="Times New Roman" w:cs="Times New Roman"/>
          <w:sz w:val="24"/>
          <w:szCs w:val="24"/>
          <w:spacing w:val="-1"/>
        </w:rPr>
        <w:t>50%</w:t>
      </w:r>
      <w:r>
        <w:rPr>
          <w:rFonts w:ascii="FangSong" w:hAnsi="FangSong" w:eastAsia="FangSong" w:cs="FangSong"/>
          <w:sz w:val="24"/>
          <w:szCs w:val="24"/>
          <w:spacing w:val="-1"/>
        </w:rPr>
        <w:t>左右。</w:t>
      </w:r>
      <w:r>
        <w:rPr>
          <w:rFonts w:ascii="FangSong" w:hAnsi="FangSong" w:eastAsia="FangSong" w:cs="FangSong"/>
          <w:sz w:val="24"/>
          <w:szCs w:val="24"/>
          <w:spacing w:val="-1"/>
        </w:rPr>
        <w:t>施工场地下风向</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200m</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外可以满足二类区</w:t>
      </w:r>
      <w:r>
        <w:rPr>
          <w:rFonts w:ascii="FangSong" w:hAnsi="FangSong" w:eastAsia="FangSong" w:cs="FangSong"/>
          <w:sz w:val="24"/>
          <w:szCs w:val="24"/>
          <w:spacing w:val="-2"/>
        </w:rPr>
        <w:t>环境空气标准限值要求。</w:t>
      </w:r>
    </w:p>
    <w:p>
      <w:pPr>
        <w:ind w:left="31" w:right="83" w:firstLine="483"/>
        <w:spacing w:before="3" w:line="360" w:lineRule="auto"/>
        <w:jc w:val="both"/>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）巷道掘进及爆破炮烟：施工期巷道掘进及施工期爆破主要在地下，与</w:t>
      </w:r>
      <w:r>
        <w:rPr>
          <w:rFonts w:ascii="FangSong" w:hAnsi="FangSong" w:eastAsia="FangSong" w:cs="FangSong"/>
          <w:sz w:val="24"/>
          <w:szCs w:val="24"/>
          <w:spacing w:val="-3"/>
        </w:rPr>
        <w:t>运行期相似，施工期炸药使用量较小，作业时间短，产生污染</w:t>
      </w:r>
      <w:r>
        <w:rPr>
          <w:rFonts w:ascii="FangSong" w:hAnsi="FangSong" w:eastAsia="FangSong" w:cs="FangSong"/>
          <w:sz w:val="24"/>
          <w:szCs w:val="24"/>
          <w:spacing w:val="-4"/>
        </w:rPr>
        <w:t>物较小，不会对大</w:t>
      </w:r>
      <w:r>
        <w:rPr>
          <w:rFonts w:ascii="FangSong" w:hAnsi="FangSong" w:eastAsia="FangSong" w:cs="FangSong"/>
          <w:sz w:val="24"/>
          <w:szCs w:val="24"/>
          <w:spacing w:val="-2"/>
        </w:rPr>
        <w:t>气环境造成明显影响。</w:t>
      </w:r>
    </w:p>
    <w:p>
      <w:pPr>
        <w:ind w:left="29" w:right="83" w:firstLine="480"/>
        <w:spacing w:line="360" w:lineRule="auto"/>
        <w:rPr>
          <w:rFonts w:ascii="FangSong" w:hAnsi="FangSong" w:eastAsia="FangSong" w:cs="FangSong"/>
          <w:sz w:val="24"/>
          <w:szCs w:val="24"/>
        </w:rPr>
      </w:pPr>
      <w:r>
        <w:rPr>
          <w:rFonts w:ascii="FangSong" w:hAnsi="FangSong" w:eastAsia="FangSong" w:cs="FangSong"/>
          <w:sz w:val="24"/>
          <w:szCs w:val="24"/>
          <w:spacing w:val="-3"/>
        </w:rPr>
        <w:t>本项目地面施工场地主要为工业场地、堆场等，且矿区周围</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3"/>
        </w:rPr>
        <w:t>500m</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3"/>
        </w:rPr>
        <w:t>范围内无</w:t>
      </w:r>
      <w:r>
        <w:rPr>
          <w:rFonts w:ascii="FangSong" w:hAnsi="FangSong" w:eastAsia="FangSong" w:cs="FangSong"/>
          <w:sz w:val="24"/>
          <w:szCs w:val="24"/>
          <w:spacing w:val="-1"/>
        </w:rPr>
        <w:t>环境敏感点，施工产生的扬尘对周围环境的影响较小。</w:t>
      </w:r>
    </w:p>
    <w:p>
      <w:pPr>
        <w:ind w:left="29" w:right="83"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3"/>
        </w:rPr>
        <w:t>建设单位应督促施工方做好施工现场扬尘防护工</w:t>
      </w:r>
      <w:r>
        <w:rPr>
          <w:rFonts w:ascii="FangSong" w:hAnsi="FangSong" w:eastAsia="FangSong" w:cs="FangSong"/>
          <w:sz w:val="24"/>
          <w:szCs w:val="24"/>
          <w:spacing w:val="-4"/>
        </w:rPr>
        <w:t>作，如对材料堆放场加盖篷</w:t>
      </w:r>
      <w:r>
        <w:rPr>
          <w:rFonts w:ascii="FangSong" w:hAnsi="FangSong" w:eastAsia="FangSong" w:cs="FangSong"/>
          <w:sz w:val="24"/>
          <w:szCs w:val="24"/>
          <w:spacing w:val="-3"/>
        </w:rPr>
        <w:t>布；开挖的土石方及时清运；土石方开挖、井巷掘进和爆破作业时</w:t>
      </w:r>
      <w:r>
        <w:rPr>
          <w:rFonts w:ascii="FangSong" w:hAnsi="FangSong" w:eastAsia="FangSong" w:cs="FangSong"/>
          <w:sz w:val="24"/>
          <w:szCs w:val="24"/>
          <w:spacing w:val="-4"/>
        </w:rPr>
        <w:t>对作业面进行</w:t>
      </w:r>
      <w:r>
        <w:rPr>
          <w:rFonts w:ascii="FangSong" w:hAnsi="FangSong" w:eastAsia="FangSong" w:cs="FangSong"/>
          <w:sz w:val="24"/>
          <w:szCs w:val="24"/>
          <w:spacing w:val="-3"/>
        </w:rPr>
        <w:t>洒水降尘；遇到干燥、易起尘的土方工程作业时，应辅以洒水压尘</w:t>
      </w:r>
      <w:r>
        <w:rPr>
          <w:rFonts w:ascii="FangSong" w:hAnsi="FangSong" w:eastAsia="FangSong" w:cs="FangSong"/>
          <w:sz w:val="24"/>
          <w:szCs w:val="24"/>
          <w:spacing w:val="-4"/>
        </w:rPr>
        <w:t>，尽量缩短起</w:t>
      </w:r>
      <w:r>
        <w:rPr>
          <w:rFonts w:ascii="FangSong" w:hAnsi="FangSong" w:eastAsia="FangSong" w:cs="FangSong"/>
          <w:sz w:val="24"/>
          <w:szCs w:val="24"/>
          <w:spacing w:val="-3"/>
        </w:rPr>
        <w:t>尘操作时间，在产尘点洒水降尘；施工工地做到及时清理工地、维</w:t>
      </w:r>
      <w:r>
        <w:rPr>
          <w:rFonts w:ascii="FangSong" w:hAnsi="FangSong" w:eastAsia="FangSong" w:cs="FangSong"/>
          <w:sz w:val="24"/>
          <w:szCs w:val="24"/>
          <w:spacing w:val="-4"/>
        </w:rPr>
        <w:t>护四周环境卫</w:t>
      </w:r>
      <w:r>
        <w:rPr>
          <w:rFonts w:ascii="FangSong" w:hAnsi="FangSong" w:eastAsia="FangSong" w:cs="FangSong"/>
          <w:sz w:val="24"/>
          <w:szCs w:val="24"/>
          <w:spacing w:val="-1"/>
        </w:rPr>
        <w:t>生；施工便道可尽量利用既有公路。</w:t>
      </w:r>
    </w:p>
    <w:p>
      <w:pPr>
        <w:ind w:left="22"/>
        <w:spacing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6.1.2.2  </w:t>
      </w:r>
      <w:r>
        <w:rPr>
          <w:rFonts w:ascii="FangSong" w:hAnsi="FangSong" w:eastAsia="FangSong" w:cs="FangSong"/>
          <w:sz w:val="24"/>
          <w:szCs w:val="24"/>
          <w:b/>
          <w:bCs/>
          <w:spacing w:val="-2"/>
        </w:rPr>
        <w:t>施工机械及车辆尾气</w:t>
      </w:r>
    </w:p>
    <w:p>
      <w:pPr>
        <w:ind w:left="29" w:firstLine="481"/>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项目施工过程中机械设备和运输车辆一般均采</w:t>
      </w:r>
      <w:r>
        <w:rPr>
          <w:rFonts w:ascii="FangSong" w:hAnsi="FangSong" w:eastAsia="FangSong" w:cs="FangSong"/>
          <w:sz w:val="24"/>
          <w:szCs w:val="24"/>
          <w:spacing w:val="-4"/>
        </w:rPr>
        <w:t>用柴油作为燃料，燃烧废气主</w:t>
      </w:r>
      <w:r>
        <w:rPr>
          <w:rFonts w:ascii="FangSong" w:hAnsi="FangSong" w:eastAsia="FangSong" w:cs="FangSong"/>
          <w:sz w:val="24"/>
          <w:szCs w:val="24"/>
        </w:rPr>
        <w:t>要包括</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z w:val="15"/>
          <w:szCs w:val="15"/>
          <w:position w:val="-1"/>
        </w:rPr>
        <w:t>x </w:t>
      </w:r>
      <w:r>
        <w:rPr>
          <w:rFonts w:ascii="FangSong" w:hAnsi="FangSong" w:eastAsia="FangSong" w:cs="FangSong"/>
          <w:sz w:val="24"/>
          <w:szCs w:val="24"/>
        </w:rPr>
        <w:t>、</w:t>
      </w:r>
      <w:r>
        <w:rPr>
          <w:rFonts w:ascii="Times New Roman" w:hAnsi="Times New Roman" w:eastAsia="Times New Roman" w:cs="Times New Roman"/>
          <w:sz w:val="24"/>
          <w:szCs w:val="24"/>
        </w:rPr>
        <w:t>CO</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、颗粒物等，为移动产生。项目建设期燃油废气产</w:t>
      </w:r>
      <w:r>
        <w:rPr>
          <w:rFonts w:ascii="FangSong" w:hAnsi="FangSong" w:eastAsia="FangSong" w:cs="FangSong"/>
          <w:sz w:val="24"/>
          <w:szCs w:val="24"/>
          <w:spacing w:val="-1"/>
        </w:rPr>
        <w:t>生量较少，</w:t>
      </w:r>
      <w:r>
        <w:rPr>
          <w:rFonts w:ascii="FangSong" w:hAnsi="FangSong" w:eastAsia="FangSong" w:cs="FangSong"/>
          <w:sz w:val="24"/>
          <w:szCs w:val="24"/>
          <w:spacing w:val="-3"/>
        </w:rPr>
        <w:t>加之项目所在区域地势开阔，空气流动性较强，燃油废气可以在短时</w:t>
      </w:r>
      <w:r>
        <w:rPr>
          <w:rFonts w:ascii="FangSong" w:hAnsi="FangSong" w:eastAsia="FangSong" w:cs="FangSong"/>
          <w:sz w:val="24"/>
          <w:szCs w:val="24"/>
          <w:spacing w:val="-4"/>
        </w:rPr>
        <w:t>间内稀释扩</w:t>
      </w:r>
      <w:r>
        <w:rPr>
          <w:rFonts w:ascii="FangSong" w:hAnsi="FangSong" w:eastAsia="FangSong" w:cs="FangSong"/>
          <w:sz w:val="24"/>
          <w:szCs w:val="24"/>
          <w:spacing w:val="-3"/>
        </w:rPr>
        <w:t>散，不会对环境空气产生明显的不利影响。为了减小燃油废气对环境</w:t>
      </w:r>
      <w:r>
        <w:rPr>
          <w:rFonts w:ascii="FangSong" w:hAnsi="FangSong" w:eastAsia="FangSong" w:cs="FangSong"/>
          <w:sz w:val="24"/>
          <w:szCs w:val="24"/>
          <w:spacing w:val="-4"/>
        </w:rPr>
        <w:t>空气质量的</w:t>
      </w:r>
      <w:r>
        <w:rPr>
          <w:rFonts w:ascii="FangSong" w:hAnsi="FangSong" w:eastAsia="FangSong" w:cs="FangSong"/>
          <w:sz w:val="24"/>
          <w:szCs w:val="24"/>
          <w:spacing w:val="-7"/>
        </w:rPr>
        <w:t>影响，本次评价要求施工机械设备采用高标号燃</w:t>
      </w:r>
      <w:r>
        <w:rPr>
          <w:rFonts w:ascii="FangSong" w:hAnsi="FangSong" w:eastAsia="FangSong" w:cs="FangSong"/>
          <w:sz w:val="24"/>
          <w:szCs w:val="24"/>
          <w:spacing w:val="-8"/>
        </w:rPr>
        <w:t>油，降低烟气产生浓度及产生量，</w:t>
      </w:r>
      <w:r>
        <w:rPr>
          <w:rFonts w:ascii="FangSong" w:hAnsi="FangSong" w:eastAsia="FangSong" w:cs="FangSong"/>
          <w:sz w:val="24"/>
          <w:szCs w:val="24"/>
          <w:spacing w:val="-7"/>
        </w:rPr>
        <w:t>加强对机械、车辆的维修保养，禁止施工机械超</w:t>
      </w:r>
      <w:r>
        <w:rPr>
          <w:rFonts w:ascii="FangSong" w:hAnsi="FangSong" w:eastAsia="FangSong" w:cs="FangSong"/>
          <w:sz w:val="24"/>
          <w:szCs w:val="24"/>
          <w:spacing w:val="-8"/>
        </w:rPr>
        <w:t>负荷工作，减少燃油废气的排放。</w:t>
      </w:r>
      <w:r>
        <w:rPr>
          <w:rFonts w:ascii="FangSong" w:hAnsi="FangSong" w:eastAsia="FangSong" w:cs="FangSong"/>
          <w:sz w:val="24"/>
          <w:szCs w:val="24"/>
          <w:spacing w:val="-1"/>
        </w:rPr>
        <w:t>在采取上述防治措施后，可以进一步减少燃油废气对环境空气质量的影响。</w:t>
      </w:r>
    </w:p>
    <w:p>
      <w:pPr>
        <w:ind w:left="22"/>
        <w:spacing w:before="1"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6.1.2.3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小结</w:t>
      </w:r>
    </w:p>
    <w:p>
      <w:pPr>
        <w:ind w:left="36" w:right="83" w:firstLine="474"/>
        <w:spacing w:before="176" w:line="360" w:lineRule="auto"/>
        <w:rPr>
          <w:rFonts w:ascii="FangSong" w:hAnsi="FangSong" w:eastAsia="FangSong" w:cs="FangSong"/>
          <w:sz w:val="24"/>
          <w:szCs w:val="24"/>
        </w:rPr>
      </w:pPr>
      <w:r>
        <w:rPr>
          <w:rFonts w:ascii="FangSong" w:hAnsi="FangSong" w:eastAsia="FangSong" w:cs="FangSong"/>
          <w:sz w:val="24"/>
          <w:szCs w:val="24"/>
          <w:spacing w:val="-3"/>
        </w:rPr>
        <w:t>项目施工期不可避免会对环境空气质量产生一</w:t>
      </w:r>
      <w:r>
        <w:rPr>
          <w:rFonts w:ascii="FangSong" w:hAnsi="FangSong" w:eastAsia="FangSong" w:cs="FangSong"/>
          <w:sz w:val="24"/>
          <w:szCs w:val="24"/>
          <w:spacing w:val="-4"/>
        </w:rPr>
        <w:t>定的不良影响，其大气污染物</w:t>
      </w:r>
      <w:r>
        <w:rPr>
          <w:rFonts w:ascii="FangSong" w:hAnsi="FangSong" w:eastAsia="FangSong" w:cs="FangSong"/>
          <w:sz w:val="24"/>
          <w:szCs w:val="24"/>
          <w:spacing w:val="-3"/>
        </w:rPr>
        <w:t>主要为施工扬尘、巷道掘进及爆破扬尘、车辆尾气</w:t>
      </w:r>
      <w:r>
        <w:rPr>
          <w:rFonts w:ascii="FangSong" w:hAnsi="FangSong" w:eastAsia="FangSong" w:cs="FangSong"/>
          <w:sz w:val="24"/>
          <w:szCs w:val="24"/>
          <w:spacing w:val="-4"/>
        </w:rPr>
        <w:t>和运输扬尘。在认真落实环评</w:t>
      </w:r>
    </w:p>
    <w:p>
      <w:pPr>
        <w:spacing w:line="360" w:lineRule="auto"/>
        <w:sectPr>
          <w:footerReference w:type="default" r:id="rId276"/>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3" w:hanging="24"/>
        <w:spacing w:before="78" w:line="360" w:lineRule="auto"/>
        <w:rPr>
          <w:rFonts w:ascii="FangSong" w:hAnsi="FangSong" w:eastAsia="FangSong" w:cs="FangSong"/>
          <w:sz w:val="24"/>
          <w:szCs w:val="24"/>
        </w:rPr>
      </w:pPr>
      <w:r>
        <w:rPr>
          <w:rFonts w:ascii="FangSong" w:hAnsi="FangSong" w:eastAsia="FangSong" w:cs="FangSong"/>
          <w:sz w:val="24"/>
          <w:szCs w:val="24"/>
          <w:spacing w:val="-2"/>
        </w:rPr>
        <w:t>报告提出的各项防治措施后，可以有效减小施工期对环境空气产生的不利影响。</w:t>
      </w:r>
      <w:r>
        <w:rPr>
          <w:rFonts w:ascii="FangSong" w:hAnsi="FangSong" w:eastAsia="FangSong" w:cs="FangSong"/>
          <w:sz w:val="24"/>
          <w:szCs w:val="24"/>
          <w:spacing w:val="-1"/>
        </w:rPr>
        <w:t>因此，本项目施工期对环境空气质量产生的影</w:t>
      </w:r>
      <w:r>
        <w:rPr>
          <w:rFonts w:ascii="FangSong" w:hAnsi="FangSong" w:eastAsia="FangSong" w:cs="FangSong"/>
          <w:sz w:val="24"/>
          <w:szCs w:val="24"/>
          <w:spacing w:val="-2"/>
        </w:rPr>
        <w:t>响较少，是可以接受的。</w:t>
      </w:r>
    </w:p>
    <w:p>
      <w:pPr>
        <w:ind w:left="22"/>
        <w:spacing w:line="221" w:lineRule="auto"/>
        <w:outlineLvl w:val="2"/>
        <w:rPr>
          <w:rFonts w:ascii="FangSong" w:hAnsi="FangSong" w:eastAsia="FangSong" w:cs="FangSong"/>
          <w:sz w:val="24"/>
          <w:szCs w:val="24"/>
        </w:rPr>
      </w:pPr>
      <w:bookmarkStart w:name="bookmark284" w:id="385"/>
      <w:bookmarkEnd w:id="385"/>
      <w:bookmarkStart w:name="bookmark283" w:id="386"/>
      <w:bookmarkEnd w:id="386"/>
      <w:r>
        <w:rPr>
          <w:rFonts w:ascii="Times New Roman" w:hAnsi="Times New Roman" w:eastAsia="Times New Roman" w:cs="Times New Roman"/>
          <w:sz w:val="24"/>
          <w:szCs w:val="24"/>
          <w:b/>
          <w:bCs/>
          <w:spacing w:val="-2"/>
        </w:rPr>
        <w:t>6.1.4  </w:t>
      </w:r>
      <w:r>
        <w:rPr>
          <w:rFonts w:ascii="FangSong" w:hAnsi="FangSong" w:eastAsia="FangSong" w:cs="FangSong"/>
          <w:sz w:val="24"/>
          <w:szCs w:val="24"/>
          <w:b/>
          <w:bCs/>
          <w:spacing w:val="-2"/>
        </w:rPr>
        <w:t>施工期声环境影响分析</w:t>
      </w:r>
    </w:p>
    <w:p>
      <w:pPr>
        <w:ind w:left="22"/>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6.1.4.1  </w:t>
      </w:r>
      <w:r>
        <w:rPr>
          <w:rFonts w:ascii="FangSong" w:hAnsi="FangSong" w:eastAsia="FangSong" w:cs="FangSong"/>
          <w:sz w:val="24"/>
          <w:szCs w:val="24"/>
          <w:b/>
          <w:bCs/>
          <w:spacing w:val="-2"/>
        </w:rPr>
        <w:t>施工期主要噪声源</w:t>
      </w:r>
    </w:p>
    <w:p>
      <w:pPr>
        <w:ind w:left="27" w:right="56" w:firstLine="481"/>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施工期噪声污染源主要是施工机械、施工作业噪声</w:t>
      </w:r>
      <w:r>
        <w:rPr>
          <w:rFonts w:ascii="FangSong" w:hAnsi="FangSong" w:eastAsia="FangSong" w:cs="FangSong"/>
          <w:sz w:val="24"/>
          <w:szCs w:val="24"/>
          <w:spacing w:val="-4"/>
        </w:rPr>
        <w:t>和运输车辆，对声环境影</w:t>
      </w:r>
      <w:r>
        <w:rPr>
          <w:rFonts w:ascii="FangSong" w:hAnsi="FangSong" w:eastAsia="FangSong" w:cs="FangSong"/>
          <w:sz w:val="24"/>
          <w:szCs w:val="24"/>
          <w:spacing w:val="2"/>
        </w:rPr>
        <w:t>响最大的是机械噪声，单体声级一般均在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80</w:t>
      </w:r>
      <w:r>
        <w:rPr>
          <w:rFonts w:ascii="Times New Roman" w:hAnsi="Times New Roman" w:eastAsia="Times New Roman" w:cs="Times New Roman"/>
          <w:sz w:val="24"/>
          <w:szCs w:val="24"/>
        </w:rPr>
        <w:t>dB</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）以上，其中声级最大的是</w:t>
      </w:r>
      <w:r>
        <w:rPr>
          <w:rFonts w:ascii="FangSong" w:hAnsi="FangSong" w:eastAsia="FangSong" w:cs="FangSong"/>
          <w:sz w:val="24"/>
          <w:szCs w:val="24"/>
          <w:spacing w:val="-2"/>
        </w:rPr>
        <w:t>电钻，声级达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110dB</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A</w:t>
      </w:r>
      <w:r>
        <w:rPr>
          <w:rFonts w:ascii="FangSong" w:hAnsi="FangSong" w:eastAsia="FangSong" w:cs="FangSong"/>
          <w:sz w:val="24"/>
          <w:szCs w:val="24"/>
          <w:spacing w:val="11"/>
        </w:rPr>
        <w:t>）；</w:t>
      </w:r>
      <w:r>
        <w:rPr>
          <w:rFonts w:ascii="FangSong" w:hAnsi="FangSong" w:eastAsia="FangSong" w:cs="FangSong"/>
          <w:sz w:val="24"/>
          <w:szCs w:val="24"/>
          <w:spacing w:val="-2"/>
        </w:rPr>
        <w:t>另外也有一定的施工作业噪声，主要是一些零</w:t>
      </w:r>
      <w:r>
        <w:rPr>
          <w:rFonts w:ascii="FangSong" w:hAnsi="FangSong" w:eastAsia="FangSong" w:cs="FangSong"/>
          <w:sz w:val="24"/>
          <w:szCs w:val="24"/>
          <w:spacing w:val="-3"/>
        </w:rPr>
        <w:t>星的</w:t>
      </w:r>
      <w:r>
        <w:rPr>
          <w:rFonts w:ascii="FangSong" w:hAnsi="FangSong" w:eastAsia="FangSong" w:cs="FangSong"/>
          <w:sz w:val="24"/>
          <w:szCs w:val="24"/>
          <w:spacing w:val="-3"/>
        </w:rPr>
        <w:t>敲打声、装卸车辆的撞击声、吆喝声、拆装模板的撞击声等，多为瞬间噪</w:t>
      </w:r>
      <w:r>
        <w:rPr>
          <w:rFonts w:ascii="FangSong" w:hAnsi="FangSong" w:eastAsia="FangSong" w:cs="FangSong"/>
          <w:sz w:val="24"/>
          <w:szCs w:val="24"/>
          <w:spacing w:val="-4"/>
        </w:rPr>
        <w:t>声，其</w:t>
      </w:r>
      <w:r>
        <w:rPr>
          <w:rFonts w:ascii="FangSong" w:hAnsi="FangSong" w:eastAsia="FangSong" w:cs="FangSong"/>
          <w:sz w:val="24"/>
          <w:szCs w:val="24"/>
          <w:spacing w:val="-1"/>
        </w:rPr>
        <w:t>排放具有间歇、阵发、流动等特性。详见</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
        </w:rPr>
        <w:t>4.13.2.1  </w:t>
      </w:r>
      <w:r>
        <w:rPr>
          <w:rFonts w:ascii="FangSong" w:hAnsi="FangSong" w:eastAsia="FangSong" w:cs="FangSong"/>
          <w:sz w:val="24"/>
          <w:szCs w:val="24"/>
          <w:spacing w:val="-1"/>
        </w:rPr>
        <w:t>章节。</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6.1.4.2  </w:t>
      </w:r>
      <w:r>
        <w:rPr>
          <w:rFonts w:ascii="FangSong" w:hAnsi="FangSong" w:eastAsia="FangSong" w:cs="FangSong"/>
          <w:sz w:val="24"/>
          <w:szCs w:val="24"/>
          <w:b/>
          <w:bCs/>
          <w:spacing w:val="-2"/>
        </w:rPr>
        <w:t>施工期噪声预测</w:t>
      </w:r>
    </w:p>
    <w:p>
      <w:pPr>
        <w:ind w:left="29" w:right="56" w:firstLine="480"/>
        <w:spacing w:before="179" w:line="361" w:lineRule="auto"/>
        <w:jc w:val="both"/>
        <w:rPr>
          <w:rFonts w:ascii="FangSong" w:hAnsi="FangSong" w:eastAsia="FangSong" w:cs="FangSong"/>
          <w:sz w:val="24"/>
          <w:szCs w:val="24"/>
        </w:rPr>
      </w:pPr>
      <w:r>
        <w:rPr>
          <w:rFonts w:ascii="FangSong" w:hAnsi="FangSong" w:eastAsia="FangSong" w:cs="FangSong"/>
          <w:sz w:val="24"/>
          <w:szCs w:val="24"/>
          <w:spacing w:val="-3"/>
        </w:rPr>
        <w:t>本项目施工期的噪声源基本可以视为点声源，</w:t>
      </w:r>
      <w:r>
        <w:rPr>
          <w:rFonts w:ascii="FangSong" w:hAnsi="FangSong" w:eastAsia="FangSong" w:cs="FangSong"/>
          <w:sz w:val="24"/>
          <w:szCs w:val="24"/>
          <w:spacing w:val="-4"/>
        </w:rPr>
        <w:t>而且直接暴露在环境中，拟采</w:t>
      </w:r>
      <w:r>
        <w:rPr>
          <w:rFonts w:ascii="FangSong" w:hAnsi="FangSong" w:eastAsia="FangSong" w:cs="FangSong"/>
          <w:sz w:val="24"/>
          <w:szCs w:val="24"/>
          <w:spacing w:val="-3"/>
        </w:rPr>
        <w:t>用点声源预测模式，除考虑几何发散衰减外，还考虑空气吸收和地</w:t>
      </w:r>
      <w:r>
        <w:rPr>
          <w:rFonts w:ascii="FangSong" w:hAnsi="FangSong" w:eastAsia="FangSong" w:cs="FangSong"/>
          <w:sz w:val="24"/>
          <w:szCs w:val="24"/>
          <w:spacing w:val="-4"/>
        </w:rPr>
        <w:t>面效应引起的</w:t>
      </w:r>
      <w:r>
        <w:rPr>
          <w:rFonts w:ascii="FangSong" w:hAnsi="FangSong" w:eastAsia="FangSong" w:cs="FangSong"/>
          <w:sz w:val="24"/>
          <w:szCs w:val="24"/>
          <w:spacing w:val="-2"/>
        </w:rPr>
        <w:t>衰减，预测模式如公式</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6.1-1</w:t>
      </w:r>
      <w:r>
        <w:rPr>
          <w:rFonts w:ascii="FangSong" w:hAnsi="FangSong" w:eastAsia="FangSong" w:cs="FangSong"/>
          <w:sz w:val="24"/>
          <w:szCs w:val="24"/>
          <w:spacing w:val="-2"/>
        </w:rPr>
        <w:t>：</w:t>
      </w:r>
    </w:p>
    <w:p>
      <w:pPr>
        <w:pStyle w:val="BodyText"/>
        <w:ind w:left="2009"/>
        <w:spacing w:before="7"/>
        <w:rPr>
          <w:rFonts w:ascii="FangSong" w:hAnsi="FangSong" w:eastAsia="FangSong" w:cs="FangSong"/>
          <w:sz w:val="24"/>
          <w:szCs w:val="24"/>
        </w:rPr>
      </w:pPr>
      <w:r>
        <w:rPr>
          <w:rFonts w:ascii="Times New Roman" w:hAnsi="Times New Roman" w:eastAsia="Times New Roman" w:cs="Times New Roman"/>
          <w:sz w:val="23"/>
          <w:szCs w:val="23"/>
          <w:spacing w:val="1"/>
          <w:position w:val="5"/>
        </w:rPr>
        <w:t>L</w:t>
      </w:r>
      <w:r>
        <w:rPr>
          <w:rFonts w:ascii="Times New Roman" w:hAnsi="Times New Roman" w:eastAsia="Times New Roman" w:cs="Times New Roman"/>
          <w:sz w:val="15"/>
          <w:szCs w:val="15"/>
          <w:spacing w:val="1"/>
        </w:rPr>
        <w:t>2  </w:t>
      </w:r>
      <w:r>
        <w:rPr>
          <w:sz w:val="23"/>
          <w:szCs w:val="23"/>
          <w:spacing w:val="1"/>
          <w:position w:val="5"/>
        </w:rPr>
        <w:t>= </w:t>
      </w:r>
      <w:r>
        <w:rPr>
          <w:rFonts w:ascii="Times New Roman" w:hAnsi="Times New Roman" w:eastAsia="Times New Roman" w:cs="Times New Roman"/>
          <w:sz w:val="23"/>
          <w:szCs w:val="23"/>
          <w:spacing w:val="1"/>
          <w:position w:val="5"/>
        </w:rPr>
        <w:t>L</w:t>
      </w:r>
      <w:r>
        <w:rPr>
          <w:rFonts w:ascii="Times New Roman" w:hAnsi="Times New Roman" w:eastAsia="Times New Roman" w:cs="Times New Roman"/>
          <w:sz w:val="15"/>
          <w:szCs w:val="15"/>
          <w:spacing w:val="1"/>
        </w:rPr>
        <w:t>1</w:t>
      </w:r>
      <w:r>
        <w:rPr>
          <w:rFonts w:ascii="Times New Roman" w:hAnsi="Times New Roman" w:eastAsia="Times New Roman" w:cs="Times New Roman"/>
          <w:sz w:val="15"/>
          <w:szCs w:val="15"/>
          <w:spacing w:val="28"/>
          <w:w w:val="101"/>
        </w:rPr>
        <w:t xml:space="preserve"> </w:t>
      </w:r>
      <w:r>
        <w:rPr>
          <w:sz w:val="23"/>
          <w:szCs w:val="23"/>
          <w:spacing w:val="1"/>
          <w:position w:val="5"/>
        </w:rPr>
        <w:t>-</w:t>
      </w:r>
      <w:r>
        <w:rPr>
          <w:sz w:val="23"/>
          <w:szCs w:val="23"/>
          <w:spacing w:val="-17"/>
          <w:position w:val="5"/>
        </w:rPr>
        <w:t xml:space="preserve"> </w:t>
      </w:r>
      <w:r>
        <w:rPr>
          <w:rFonts w:ascii="Times New Roman" w:hAnsi="Times New Roman" w:eastAsia="Times New Roman" w:cs="Times New Roman"/>
          <w:sz w:val="23"/>
          <w:szCs w:val="23"/>
          <w:spacing w:val="1"/>
          <w:position w:val="5"/>
        </w:rPr>
        <w:t>20</w:t>
      </w:r>
      <w:r>
        <w:rPr>
          <w:rFonts w:ascii="Times New Roman" w:hAnsi="Times New Roman" w:eastAsia="Times New Roman" w:cs="Times New Roman"/>
          <w:sz w:val="23"/>
          <w:szCs w:val="23"/>
          <w:position w:val="5"/>
        </w:rPr>
        <w:t>lg</w:t>
      </w:r>
      <w:r>
        <w:rPr>
          <w:sz w:val="23"/>
          <w:szCs w:val="23"/>
          <w:position w:val="-23"/>
        </w:rPr>
        <w:drawing>
          <wp:inline distT="0" distB="0" distL="0" distR="0">
            <wp:extent cx="505667" cy="448913"/>
            <wp:effectExtent l="0" t="0" r="0" b="0"/>
            <wp:docPr id="66" name="IM 66"/>
            <wp:cNvGraphicFramePr/>
            <a:graphic>
              <a:graphicData uri="http://schemas.openxmlformats.org/drawingml/2006/picture">
                <pic:pic>
                  <pic:nvPicPr>
                    <pic:cNvPr id="66" name="IM 66"/>
                    <pic:cNvPicPr/>
                  </pic:nvPicPr>
                  <pic:blipFill>
                    <a:blip r:embed="rId278"/>
                    <a:stretch>
                      <a:fillRect/>
                    </a:stretch>
                  </pic:blipFill>
                  <pic:spPr>
                    <a:xfrm rot="0">
                      <a:off x="0" y="0"/>
                      <a:ext cx="505667" cy="448913"/>
                    </a:xfrm>
                    <a:prstGeom prst="rect">
                      <a:avLst/>
                    </a:prstGeom>
                  </pic:spPr>
                </pic:pic>
              </a:graphicData>
            </a:graphic>
          </wp:inline>
        </w:drawing>
      </w:r>
      <w:r>
        <w:rPr>
          <w:rFonts w:ascii="Times New Roman" w:hAnsi="Times New Roman" w:eastAsia="Times New Roman" w:cs="Times New Roman"/>
          <w:sz w:val="23"/>
          <w:szCs w:val="23"/>
          <w:position w:val="5"/>
        </w:rPr>
        <w:t>R</w:t>
      </w:r>
      <w:r>
        <w:rPr>
          <w:rFonts w:ascii="Times New Roman" w:hAnsi="Times New Roman" w:eastAsia="Times New Roman" w:cs="Times New Roman"/>
          <w:sz w:val="23"/>
          <w:szCs w:val="23"/>
          <w:spacing w:val="1"/>
          <w:position w:val="5"/>
        </w:rPr>
        <w:t xml:space="preserve">         </w:t>
      </w:r>
      <w:r>
        <w:rPr>
          <w:rFonts w:ascii="FangSong" w:hAnsi="FangSong" w:eastAsia="FangSong" w:cs="FangSong"/>
          <w:sz w:val="24"/>
          <w:szCs w:val="24"/>
          <w:spacing w:val="1"/>
          <w:position w:val="-6"/>
        </w:rPr>
        <w:t>（公式</w:t>
      </w:r>
      <w:r>
        <w:rPr>
          <w:rFonts w:ascii="FangSong" w:hAnsi="FangSong" w:eastAsia="FangSong" w:cs="FangSong"/>
          <w:sz w:val="24"/>
          <w:szCs w:val="24"/>
          <w:spacing w:val="-50"/>
          <w:position w:val="-6"/>
        </w:rPr>
        <w:t xml:space="preserve"> </w:t>
      </w:r>
      <w:r>
        <w:rPr>
          <w:rFonts w:ascii="Times New Roman" w:hAnsi="Times New Roman" w:eastAsia="Times New Roman" w:cs="Times New Roman"/>
          <w:sz w:val="24"/>
          <w:szCs w:val="24"/>
          <w:spacing w:val="1"/>
          <w:position w:val="-6"/>
        </w:rPr>
        <w:t>6.1-</w:t>
      </w:r>
      <w:r>
        <w:rPr>
          <w:rFonts w:ascii="Times New Roman" w:hAnsi="Times New Roman" w:eastAsia="Times New Roman" w:cs="Times New Roman"/>
          <w:sz w:val="24"/>
          <w:szCs w:val="24"/>
          <w:spacing w:val="-32"/>
          <w:position w:val="-6"/>
        </w:rPr>
        <w:t xml:space="preserve"> </w:t>
      </w:r>
      <w:r>
        <w:rPr>
          <w:rFonts w:ascii="Times New Roman" w:hAnsi="Times New Roman" w:eastAsia="Times New Roman" w:cs="Times New Roman"/>
          <w:sz w:val="24"/>
          <w:szCs w:val="24"/>
          <w:spacing w:val="1"/>
          <w:position w:val="-6"/>
        </w:rPr>
        <w:t>1</w:t>
      </w:r>
      <w:r>
        <w:rPr>
          <w:rFonts w:ascii="FangSong" w:hAnsi="FangSong" w:eastAsia="FangSong" w:cs="FangSong"/>
          <w:sz w:val="24"/>
          <w:szCs w:val="24"/>
          <w:spacing w:val="1"/>
          <w:position w:val="-6"/>
        </w:rPr>
        <w:t>）</w:t>
      </w:r>
    </w:p>
    <w:p>
      <w:pPr>
        <w:ind w:left="515"/>
        <w:spacing w:before="219" w:line="222" w:lineRule="auto"/>
        <w:rPr>
          <w:rFonts w:ascii="FangSong" w:hAnsi="FangSong" w:eastAsia="FangSong" w:cs="FangSong"/>
          <w:sz w:val="24"/>
          <w:szCs w:val="24"/>
        </w:rPr>
      </w:pPr>
      <w:r>
        <w:rPr>
          <w:rFonts w:ascii="FangSong" w:hAnsi="FangSong" w:eastAsia="FangSong" w:cs="FangSong"/>
          <w:sz w:val="24"/>
          <w:szCs w:val="24"/>
          <w:spacing w:val="-3"/>
        </w:rPr>
        <w:t>式中：</w:t>
      </w:r>
      <w:r>
        <w:rPr>
          <w:rFonts w:ascii="Times New Roman" w:hAnsi="Times New Roman" w:eastAsia="Times New Roman" w:cs="Times New Roman"/>
          <w:sz w:val="24"/>
          <w:szCs w:val="24"/>
          <w:spacing w:val="-3"/>
        </w:rPr>
        <w:t>L</w:t>
      </w:r>
      <w:r>
        <w:rPr>
          <w:rFonts w:ascii="Times New Roman" w:hAnsi="Times New Roman" w:eastAsia="Times New Roman" w:cs="Times New Roman"/>
          <w:sz w:val="15"/>
          <w:szCs w:val="15"/>
          <w:spacing w:val="-3"/>
          <w:position w:val="-1"/>
        </w:rPr>
        <w:t>1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L</w:t>
      </w:r>
      <w:r>
        <w:rPr>
          <w:rFonts w:ascii="Times New Roman" w:hAnsi="Times New Roman" w:eastAsia="Times New Roman" w:cs="Times New Roman"/>
          <w:sz w:val="15"/>
          <w:szCs w:val="15"/>
          <w:spacing w:val="-3"/>
          <w:position w:val="-1"/>
        </w:rPr>
        <w:t>2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距离声源</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3"/>
        </w:rPr>
        <w:t>r</w:t>
      </w:r>
      <w:r>
        <w:rPr>
          <w:rFonts w:ascii="Times New Roman" w:hAnsi="Times New Roman" w:eastAsia="Times New Roman" w:cs="Times New Roman"/>
          <w:sz w:val="15"/>
          <w:szCs w:val="15"/>
          <w:spacing w:val="-3"/>
        </w:rPr>
        <w:t>1</w:t>
      </w:r>
      <w:r>
        <w:rPr>
          <w:rFonts w:ascii="Times New Roman" w:hAnsi="Times New Roman" w:eastAsia="Times New Roman" w:cs="Times New Roman"/>
          <w:sz w:val="15"/>
          <w:szCs w:val="15"/>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r</w:t>
      </w:r>
      <w:r>
        <w:rPr>
          <w:rFonts w:ascii="Times New Roman" w:hAnsi="Times New Roman" w:eastAsia="Times New Roman" w:cs="Times New Roman"/>
          <w:sz w:val="15"/>
          <w:szCs w:val="15"/>
          <w:spacing w:val="-3"/>
        </w:rPr>
        <w:t>2</w:t>
      </w:r>
      <w:r>
        <w:rPr>
          <w:rFonts w:ascii="Times New Roman" w:hAnsi="Times New Roman" w:eastAsia="Times New Roman" w:cs="Times New Roman"/>
          <w:sz w:val="15"/>
          <w:szCs w:val="15"/>
          <w:spacing w:val="21"/>
          <w:w w:val="101"/>
        </w:rPr>
        <w:t xml:space="preserve"> </w:t>
      </w:r>
      <w:r>
        <w:rPr>
          <w:rFonts w:ascii="FangSong" w:hAnsi="FangSong" w:eastAsia="FangSong" w:cs="FangSong"/>
          <w:sz w:val="24"/>
          <w:szCs w:val="24"/>
          <w:spacing w:val="-3"/>
        </w:rPr>
        <w:t>处的噪声值，</w:t>
      </w:r>
      <w:r>
        <w:rPr>
          <w:rFonts w:ascii="Times New Roman" w:hAnsi="Times New Roman" w:eastAsia="Times New Roman" w:cs="Times New Roman"/>
          <w:sz w:val="24"/>
          <w:szCs w:val="24"/>
          <w:spacing w:val="-3"/>
        </w:rPr>
        <w:t>dB</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A</w:t>
      </w:r>
      <w:r>
        <w:rPr>
          <w:rFonts w:ascii="FangSong" w:hAnsi="FangSong" w:eastAsia="FangSong" w:cs="FangSong"/>
          <w:sz w:val="24"/>
          <w:szCs w:val="24"/>
          <w:spacing w:val="2"/>
        </w:rPr>
        <w:t>）；</w:t>
      </w:r>
    </w:p>
    <w:p>
      <w:pPr>
        <w:ind w:left="1215"/>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5"/>
          <w:szCs w:val="15"/>
        </w:rPr>
        <w:t>1</w:t>
      </w:r>
      <w:r>
        <w:rPr>
          <w:rFonts w:ascii="Times New Roman" w:hAnsi="Times New Roman" w:eastAsia="Times New Roman" w:cs="Times New Roman"/>
          <w:sz w:val="15"/>
          <w:szCs w:val="15"/>
          <w:spacing w:val="10"/>
          <w:w w:val="102"/>
        </w:rPr>
        <w:t xml:space="preserve"> </w:t>
      </w:r>
      <w:r>
        <w:rPr>
          <w:rFonts w:ascii="FangSong" w:hAnsi="FangSong" w:eastAsia="FangSong" w:cs="FangSong"/>
          <w:sz w:val="24"/>
          <w:szCs w:val="24"/>
          <w:spacing w:val="-17"/>
        </w:rPr>
        <w:t>、</w:t>
      </w:r>
      <w:r>
        <w:rPr>
          <w:rFonts w:ascii="Times New Roman" w:hAnsi="Times New Roman" w:eastAsia="Times New Roman" w:cs="Times New Roman"/>
          <w:sz w:val="24"/>
          <w:szCs w:val="24"/>
          <w:spacing w:val="-17"/>
        </w:rPr>
        <w:t>r</w:t>
      </w:r>
      <w:r>
        <w:rPr>
          <w:rFonts w:ascii="Times New Roman" w:hAnsi="Times New Roman" w:eastAsia="Times New Roman" w:cs="Times New Roman"/>
          <w:sz w:val="15"/>
          <w:szCs w:val="15"/>
        </w:rPr>
        <w:t>2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预测点距声源距离，</w:t>
      </w:r>
      <w:r>
        <w:rPr>
          <w:rFonts w:ascii="Times New Roman" w:hAnsi="Times New Roman" w:eastAsia="Times New Roman" w:cs="Times New Roman"/>
          <w:sz w:val="24"/>
          <w:szCs w:val="24"/>
        </w:rPr>
        <w:t>r</w:t>
      </w:r>
      <w:r>
        <w:rPr>
          <w:rFonts w:ascii="Times New Roman" w:hAnsi="Times New Roman" w:eastAsia="Times New Roman" w:cs="Times New Roman"/>
          <w:sz w:val="15"/>
          <w:szCs w:val="15"/>
        </w:rPr>
        <w:t>2</w:t>
      </w:r>
      <w:r>
        <w:rPr>
          <w:rFonts w:ascii="Times New Roman" w:hAnsi="Times New Roman" w:eastAsia="Times New Roman" w:cs="Times New Roman"/>
          <w:sz w:val="24"/>
          <w:szCs w:val="24"/>
        </w:rPr>
        <w:t>&gt;r</w:t>
      </w:r>
      <w:r>
        <w:rPr>
          <w:rFonts w:ascii="Times New Roman" w:hAnsi="Times New Roman" w:eastAsia="Times New Roman" w:cs="Times New Roman"/>
          <w:sz w:val="15"/>
          <w:szCs w:val="15"/>
        </w:rPr>
        <w:t>1</w:t>
      </w:r>
      <w:r>
        <w:rPr>
          <w:rFonts w:ascii="FangSong" w:hAnsi="FangSong" w:eastAsia="FangSong" w:cs="FangSong"/>
          <w:sz w:val="24"/>
          <w:szCs w:val="24"/>
        </w:rPr>
        <w:t>；</w:t>
      </w:r>
    </w:p>
    <w:p>
      <w:pPr>
        <w:ind w:left="34" w:right="57" w:firstLine="1184"/>
        <w:spacing w:before="179"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ΔR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各种衰减量，包括空气吸收、地面效应</w:t>
      </w:r>
      <w:r>
        <w:rPr>
          <w:rFonts w:ascii="FangSong" w:hAnsi="FangSong" w:eastAsia="FangSong" w:cs="FangSong"/>
          <w:sz w:val="24"/>
          <w:szCs w:val="24"/>
        </w:rPr>
        <w:t>引起的衰减量，</w:t>
      </w:r>
      <w:r>
        <w:rPr>
          <w:rFonts w:ascii="Times New Roman" w:hAnsi="Times New Roman" w:eastAsia="Times New Roman" w:cs="Times New Roman"/>
          <w:sz w:val="24"/>
          <w:szCs w:val="24"/>
        </w:rPr>
        <w:t>dB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A</w:t>
      </w:r>
      <w:r>
        <w:rPr>
          <w:rFonts w:ascii="FangSong" w:hAnsi="FangSong" w:eastAsia="FangSong" w:cs="FangSong"/>
          <w:sz w:val="24"/>
          <w:szCs w:val="24"/>
          <w:spacing w:val="-6"/>
        </w:rPr>
        <w:t>）。</w:t>
      </w:r>
    </w:p>
    <w:p>
      <w:pPr>
        <w:ind w:left="29" w:right="56"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3"/>
        </w:rPr>
        <w:t>矿区建设期机械设备类型、数量在变化，大都没</w:t>
      </w:r>
      <w:r>
        <w:rPr>
          <w:rFonts w:ascii="FangSong" w:hAnsi="FangSong" w:eastAsia="FangSong" w:cs="FangSong"/>
          <w:sz w:val="24"/>
          <w:szCs w:val="24"/>
          <w:spacing w:val="-4"/>
        </w:rPr>
        <w:t>有固定的施工位置，评价预</w:t>
      </w:r>
      <w:r>
        <w:rPr>
          <w:rFonts w:ascii="FangSong" w:hAnsi="FangSong" w:eastAsia="FangSong" w:cs="FangSong"/>
          <w:sz w:val="24"/>
          <w:szCs w:val="24"/>
        </w:rPr>
        <w:t>测距各个声源在不同距离处的噪声影响值见表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rPr>
        <w:t>6.1-1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。本项目要求仅在白天</w:t>
      </w:r>
      <w:r>
        <w:rPr>
          <w:rFonts w:ascii="FangSong" w:hAnsi="FangSong" w:eastAsia="FangSong" w:cs="FangSong"/>
          <w:sz w:val="24"/>
          <w:szCs w:val="24"/>
          <w:spacing w:val="-1"/>
        </w:rPr>
        <w:t>进行</w:t>
      </w:r>
      <w:r>
        <w:rPr>
          <w:rFonts w:ascii="FangSong" w:hAnsi="FangSong" w:eastAsia="FangSong" w:cs="FangSong"/>
          <w:sz w:val="24"/>
          <w:szCs w:val="24"/>
          <w:spacing w:val="-1"/>
        </w:rPr>
        <w:t>施工，各类施工机械的噪声影响范围见表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2"/>
        </w:rPr>
        <w:t>1-1</w:t>
      </w:r>
      <w:r>
        <w:rPr>
          <w:rFonts w:ascii="FangSong" w:hAnsi="FangSong" w:eastAsia="FangSong" w:cs="FangSong"/>
          <w:sz w:val="24"/>
          <w:szCs w:val="24"/>
          <w:spacing w:val="-2"/>
        </w:rPr>
        <w:t>。</w:t>
      </w:r>
    </w:p>
    <w:p>
      <w:pPr>
        <w:ind w:left="1555"/>
        <w:spacing w:before="1"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b/>
          <w:bCs/>
          <w:spacing w:val="-3"/>
        </w:rPr>
        <w:t>6.1-1  </w:t>
      </w:r>
      <w:r>
        <w:rPr>
          <w:rFonts w:ascii="FangSong" w:hAnsi="FangSong" w:eastAsia="FangSong" w:cs="FangSong"/>
          <w:sz w:val="24"/>
          <w:szCs w:val="24"/>
          <w:b/>
          <w:bCs/>
          <w:spacing w:val="-3"/>
        </w:rPr>
        <w:t>施工机械噪声在不同距离处的噪声预测值</w:t>
      </w:r>
    </w:p>
    <w:p>
      <w:pPr>
        <w:spacing w:line="69" w:lineRule="exact"/>
        <w:rPr/>
      </w:pPr>
      <w:r/>
    </w:p>
    <w:tbl>
      <w:tblPr>
        <w:tblStyle w:val="TableNormal"/>
        <w:tblW w:w="8303" w:type="dxa"/>
        <w:tblInd w:w="14" w:type="dxa"/>
        <w:tblLayout w:type="fixed"/>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
      <w:tblGrid>
        <w:gridCol w:w="1166"/>
        <w:gridCol w:w="874"/>
        <w:gridCol w:w="870"/>
        <w:gridCol w:w="875"/>
        <w:gridCol w:w="1018"/>
        <w:gridCol w:w="872"/>
        <w:gridCol w:w="873"/>
        <w:gridCol w:w="1018"/>
        <w:gridCol w:w="737"/>
      </w:tblGrid>
      <w:tr>
        <w:trPr>
          <w:trHeight w:val="318" w:hRule="atLeast"/>
        </w:trPr>
        <w:tc>
          <w:tcPr>
            <w:tcW w:w="1166" w:type="dxa"/>
            <w:vAlign w:val="top"/>
            <w:vMerge w:val="restart"/>
            <w:tcBorders>
              <w:left w:val="nil"/>
              <w:top w:val="single" w:color="00000A" w:sz="10" w:space="0"/>
              <w:bottom w:val="nil"/>
            </w:tcBorders>
          </w:tcPr>
          <w:p>
            <w:pPr>
              <w:pStyle w:val="TableText"/>
              <w:ind w:left="77"/>
              <w:spacing w:before="216" w:line="229" w:lineRule="auto"/>
              <w:rPr/>
            </w:pPr>
            <w:r>
              <w:rPr>
                <w:spacing w:val="5"/>
              </w:rPr>
              <w:t>噪声源名称</w:t>
            </w:r>
          </w:p>
        </w:tc>
        <w:tc>
          <w:tcPr>
            <w:tcW w:w="7137" w:type="dxa"/>
            <w:vAlign w:val="top"/>
            <w:gridSpan w:val="8"/>
            <w:tcBorders>
              <w:right w:val="nil"/>
              <w:top w:val="single" w:color="00000A" w:sz="10" w:space="0"/>
            </w:tcBorders>
          </w:tcPr>
          <w:p>
            <w:pPr>
              <w:pStyle w:val="TableText"/>
              <w:ind w:left="2605"/>
              <w:spacing w:before="55" w:line="231" w:lineRule="auto"/>
              <w:rPr/>
            </w:pPr>
            <w:r>
              <w:rPr>
                <w:spacing w:val="6"/>
              </w:rPr>
              <w:t>噪声预测值</w:t>
            </w:r>
            <w:r>
              <w:rPr>
                <w:spacing w:val="6"/>
              </w:rPr>
              <w:t xml:space="preserve"> </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tc>
      </w:tr>
      <w:tr>
        <w:trPr>
          <w:trHeight w:val="314" w:hRule="atLeast"/>
        </w:trPr>
        <w:tc>
          <w:tcPr>
            <w:tcW w:w="1166" w:type="dxa"/>
            <w:vAlign w:val="top"/>
            <w:vMerge w:val="continue"/>
            <w:tcBorders>
              <w:left w:val="nil"/>
              <w:top w:val="nil"/>
            </w:tcBorders>
          </w:tcPr>
          <w:p>
            <w:pPr>
              <w:rPr>
                <w:rFonts w:ascii="Arial"/>
                <w:sz w:val="21"/>
              </w:rPr>
            </w:pPr>
            <w:r/>
          </w:p>
        </w:tc>
        <w:tc>
          <w:tcPr>
            <w:tcW w:w="874" w:type="dxa"/>
            <w:vAlign w:val="top"/>
          </w:tcPr>
          <w:p>
            <w:pPr>
              <w:ind w:left="271"/>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10m</w:t>
            </w:r>
          </w:p>
        </w:tc>
        <w:tc>
          <w:tcPr>
            <w:tcW w:w="870" w:type="dxa"/>
            <w:vAlign w:val="top"/>
          </w:tcPr>
          <w:p>
            <w:pPr>
              <w:ind w:left="24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20m</w:t>
            </w:r>
          </w:p>
        </w:tc>
        <w:tc>
          <w:tcPr>
            <w:tcW w:w="875" w:type="dxa"/>
            <w:vAlign w:val="top"/>
          </w:tcPr>
          <w:p>
            <w:pPr>
              <w:ind w:left="251"/>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40m</w:t>
            </w:r>
          </w:p>
        </w:tc>
        <w:tc>
          <w:tcPr>
            <w:tcW w:w="1018" w:type="dxa"/>
            <w:vAlign w:val="top"/>
          </w:tcPr>
          <w:p>
            <w:pPr>
              <w:ind w:left="327"/>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60m</w:t>
            </w:r>
          </w:p>
        </w:tc>
        <w:tc>
          <w:tcPr>
            <w:tcW w:w="872" w:type="dxa"/>
            <w:vAlign w:val="top"/>
          </w:tcPr>
          <w:p>
            <w:pPr>
              <w:ind w:left="25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80m</w:t>
            </w:r>
          </w:p>
        </w:tc>
        <w:tc>
          <w:tcPr>
            <w:tcW w:w="873" w:type="dxa"/>
            <w:vAlign w:val="top"/>
          </w:tcPr>
          <w:p>
            <w:pPr>
              <w:ind w:left="21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100m</w:t>
            </w:r>
          </w:p>
        </w:tc>
        <w:tc>
          <w:tcPr>
            <w:tcW w:w="1018" w:type="dxa"/>
            <w:vAlign w:val="top"/>
          </w:tcPr>
          <w:p>
            <w:pPr>
              <w:ind w:left="292"/>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150m</w:t>
            </w:r>
          </w:p>
        </w:tc>
        <w:tc>
          <w:tcPr>
            <w:tcW w:w="737" w:type="dxa"/>
            <w:vAlign w:val="top"/>
            <w:tcBorders>
              <w:right w:val="nil"/>
            </w:tcBorders>
          </w:tcPr>
          <w:p>
            <w:pPr>
              <w:ind w:left="13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200m</w:t>
            </w:r>
          </w:p>
        </w:tc>
      </w:tr>
      <w:tr>
        <w:trPr>
          <w:trHeight w:val="314" w:hRule="atLeast"/>
        </w:trPr>
        <w:tc>
          <w:tcPr>
            <w:tcW w:w="1166" w:type="dxa"/>
            <w:vAlign w:val="top"/>
            <w:tcBorders>
              <w:left w:val="nil"/>
            </w:tcBorders>
          </w:tcPr>
          <w:p>
            <w:pPr>
              <w:pStyle w:val="TableText"/>
              <w:ind w:left="277"/>
              <w:spacing w:before="59" w:line="226" w:lineRule="auto"/>
              <w:rPr/>
            </w:pPr>
            <w:r>
              <w:rPr>
                <w:spacing w:val="5"/>
              </w:rPr>
              <w:t>挖掘机</w:t>
            </w:r>
          </w:p>
        </w:tc>
        <w:tc>
          <w:tcPr>
            <w:tcW w:w="874" w:type="dxa"/>
            <w:vAlign w:val="top"/>
          </w:tcPr>
          <w:p>
            <w:pPr>
              <w:ind w:left="198"/>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65-80</w:t>
            </w:r>
          </w:p>
        </w:tc>
        <w:tc>
          <w:tcPr>
            <w:tcW w:w="870" w:type="dxa"/>
            <w:vAlign w:val="top"/>
          </w:tcPr>
          <w:p>
            <w:pPr>
              <w:ind w:left="117"/>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59-73.9</w:t>
            </w:r>
          </w:p>
        </w:tc>
        <w:tc>
          <w:tcPr>
            <w:tcW w:w="875" w:type="dxa"/>
            <w:vAlign w:val="top"/>
          </w:tcPr>
          <w:p>
            <w:pPr>
              <w:ind w:left="198"/>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53-68</w:t>
            </w:r>
          </w:p>
        </w:tc>
        <w:tc>
          <w:tcPr>
            <w:tcW w:w="1018" w:type="dxa"/>
            <w:vAlign w:val="top"/>
          </w:tcPr>
          <w:p>
            <w:pPr>
              <w:ind w:left="106"/>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49.4-64.4</w:t>
            </w:r>
          </w:p>
        </w:tc>
        <w:tc>
          <w:tcPr>
            <w:tcW w:w="872" w:type="dxa"/>
            <w:vAlign w:val="top"/>
          </w:tcPr>
          <w:p>
            <w:pPr>
              <w:ind w:left="113"/>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47-61.9</w:t>
            </w:r>
          </w:p>
        </w:tc>
        <w:tc>
          <w:tcPr>
            <w:tcW w:w="873" w:type="dxa"/>
            <w:vAlign w:val="top"/>
          </w:tcPr>
          <w:p>
            <w:pPr>
              <w:ind w:left="193"/>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45-60</w:t>
            </w:r>
          </w:p>
        </w:tc>
        <w:tc>
          <w:tcPr>
            <w:tcW w:w="1018" w:type="dxa"/>
            <w:vAlign w:val="top"/>
          </w:tcPr>
          <w:p>
            <w:pPr>
              <w:ind w:left="108"/>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41.5-56.4</w:t>
            </w:r>
          </w:p>
        </w:tc>
        <w:tc>
          <w:tcPr>
            <w:tcW w:w="737" w:type="dxa"/>
            <w:vAlign w:val="top"/>
            <w:tcBorders>
              <w:right w:val="nil"/>
            </w:tcBorders>
          </w:tcPr>
          <w:p>
            <w:pPr>
              <w:ind w:left="132"/>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39-54</w:t>
            </w:r>
          </w:p>
        </w:tc>
      </w:tr>
      <w:tr>
        <w:trPr>
          <w:trHeight w:val="314" w:hRule="atLeast"/>
        </w:trPr>
        <w:tc>
          <w:tcPr>
            <w:tcW w:w="1166" w:type="dxa"/>
            <w:vAlign w:val="top"/>
            <w:tcBorders>
              <w:left w:val="nil"/>
            </w:tcBorders>
          </w:tcPr>
          <w:p>
            <w:pPr>
              <w:pStyle w:val="TableText"/>
              <w:ind w:left="279"/>
              <w:spacing w:before="61" w:line="224" w:lineRule="auto"/>
              <w:rPr/>
            </w:pPr>
            <w:r>
              <w:rPr>
                <w:spacing w:val="4"/>
              </w:rPr>
              <w:t>推土机</w:t>
            </w:r>
          </w:p>
        </w:tc>
        <w:tc>
          <w:tcPr>
            <w:tcW w:w="874" w:type="dxa"/>
            <w:vAlign w:val="top"/>
          </w:tcPr>
          <w:p>
            <w:pPr>
              <w:ind w:left="198"/>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65-80</w:t>
            </w:r>
          </w:p>
        </w:tc>
        <w:tc>
          <w:tcPr>
            <w:tcW w:w="870" w:type="dxa"/>
            <w:vAlign w:val="top"/>
          </w:tcPr>
          <w:p>
            <w:pPr>
              <w:ind w:left="117"/>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59-73.9</w:t>
            </w:r>
          </w:p>
        </w:tc>
        <w:tc>
          <w:tcPr>
            <w:tcW w:w="875" w:type="dxa"/>
            <w:vAlign w:val="top"/>
          </w:tcPr>
          <w:p>
            <w:pPr>
              <w:ind w:left="198"/>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53-68</w:t>
            </w:r>
          </w:p>
        </w:tc>
        <w:tc>
          <w:tcPr>
            <w:tcW w:w="1018" w:type="dxa"/>
            <w:vAlign w:val="top"/>
          </w:tcPr>
          <w:p>
            <w:pPr>
              <w:ind w:left="106"/>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49.4-64.4</w:t>
            </w:r>
          </w:p>
        </w:tc>
        <w:tc>
          <w:tcPr>
            <w:tcW w:w="872" w:type="dxa"/>
            <w:vAlign w:val="top"/>
          </w:tcPr>
          <w:p>
            <w:pPr>
              <w:ind w:left="11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47-61.9</w:t>
            </w:r>
          </w:p>
        </w:tc>
        <w:tc>
          <w:tcPr>
            <w:tcW w:w="873" w:type="dxa"/>
            <w:vAlign w:val="top"/>
          </w:tcPr>
          <w:p>
            <w:pPr>
              <w:ind w:left="19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45-60</w:t>
            </w:r>
          </w:p>
        </w:tc>
        <w:tc>
          <w:tcPr>
            <w:tcW w:w="1018" w:type="dxa"/>
            <w:vAlign w:val="top"/>
          </w:tcPr>
          <w:p>
            <w:pPr>
              <w:ind w:left="108"/>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41.5-56.4</w:t>
            </w:r>
          </w:p>
        </w:tc>
        <w:tc>
          <w:tcPr>
            <w:tcW w:w="737" w:type="dxa"/>
            <w:vAlign w:val="top"/>
            <w:tcBorders>
              <w:right w:val="nil"/>
            </w:tcBorders>
          </w:tcPr>
          <w:p>
            <w:pPr>
              <w:ind w:left="132"/>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39-54</w:t>
            </w:r>
          </w:p>
        </w:tc>
      </w:tr>
      <w:tr>
        <w:trPr>
          <w:trHeight w:val="314" w:hRule="atLeast"/>
        </w:trPr>
        <w:tc>
          <w:tcPr>
            <w:tcW w:w="1166" w:type="dxa"/>
            <w:vAlign w:val="top"/>
            <w:tcBorders>
              <w:left w:val="nil"/>
            </w:tcBorders>
          </w:tcPr>
          <w:p>
            <w:pPr>
              <w:pStyle w:val="TableText"/>
              <w:ind w:left="176"/>
              <w:spacing w:before="64" w:line="221" w:lineRule="auto"/>
              <w:rPr/>
            </w:pPr>
            <w:r>
              <w:rPr>
                <w:spacing w:val="5"/>
              </w:rPr>
              <w:t>运输车辆</w:t>
            </w:r>
          </w:p>
        </w:tc>
        <w:tc>
          <w:tcPr>
            <w:tcW w:w="874" w:type="dxa"/>
            <w:vAlign w:val="top"/>
          </w:tcPr>
          <w:p>
            <w:pPr>
              <w:ind w:left="198"/>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60-75</w:t>
            </w:r>
          </w:p>
        </w:tc>
        <w:tc>
          <w:tcPr>
            <w:tcW w:w="870" w:type="dxa"/>
            <w:vAlign w:val="top"/>
          </w:tcPr>
          <w:p>
            <w:pPr>
              <w:ind w:left="197"/>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54-69</w:t>
            </w:r>
          </w:p>
        </w:tc>
        <w:tc>
          <w:tcPr>
            <w:tcW w:w="875" w:type="dxa"/>
            <w:vAlign w:val="top"/>
          </w:tcPr>
          <w:p>
            <w:pPr>
              <w:ind w:left="191"/>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48-63</w:t>
            </w:r>
          </w:p>
        </w:tc>
        <w:tc>
          <w:tcPr>
            <w:tcW w:w="1018" w:type="dxa"/>
            <w:vAlign w:val="top"/>
          </w:tcPr>
          <w:p>
            <w:pPr>
              <w:ind w:left="10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44.4-59.4</w:t>
            </w:r>
          </w:p>
        </w:tc>
        <w:tc>
          <w:tcPr>
            <w:tcW w:w="872" w:type="dxa"/>
            <w:vAlign w:val="top"/>
          </w:tcPr>
          <w:p>
            <w:pPr>
              <w:ind w:left="11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41.9-57</w:t>
            </w:r>
          </w:p>
        </w:tc>
        <w:tc>
          <w:tcPr>
            <w:tcW w:w="873" w:type="dxa"/>
            <w:vAlign w:val="top"/>
          </w:tcPr>
          <w:p>
            <w:pPr>
              <w:ind w:left="19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40-55</w:t>
            </w:r>
          </w:p>
        </w:tc>
        <w:tc>
          <w:tcPr>
            <w:tcW w:w="1018" w:type="dxa"/>
            <w:vAlign w:val="top"/>
          </w:tcPr>
          <w:p>
            <w:pPr>
              <w:ind w:left="11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36.5-51.5</w:t>
            </w:r>
          </w:p>
        </w:tc>
        <w:tc>
          <w:tcPr>
            <w:tcW w:w="737" w:type="dxa"/>
            <w:vAlign w:val="top"/>
            <w:tcBorders>
              <w:right w:val="nil"/>
            </w:tcBorders>
          </w:tcPr>
          <w:p>
            <w:pPr>
              <w:ind w:left="132"/>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34-49</w:t>
            </w:r>
          </w:p>
        </w:tc>
      </w:tr>
      <w:tr>
        <w:trPr>
          <w:trHeight w:val="314" w:hRule="atLeast"/>
        </w:trPr>
        <w:tc>
          <w:tcPr>
            <w:tcW w:w="1166" w:type="dxa"/>
            <w:vAlign w:val="top"/>
            <w:tcBorders>
              <w:left w:val="nil"/>
            </w:tcBorders>
          </w:tcPr>
          <w:p>
            <w:pPr>
              <w:pStyle w:val="TableText"/>
              <w:ind w:left="406"/>
              <w:spacing w:before="66" w:line="219" w:lineRule="auto"/>
              <w:rPr/>
            </w:pPr>
            <w:r>
              <w:rPr>
                <w:spacing w:val="-10"/>
              </w:rPr>
              <w:t>电钻</w:t>
            </w:r>
          </w:p>
        </w:tc>
        <w:tc>
          <w:tcPr>
            <w:tcW w:w="874" w:type="dxa"/>
            <w:vAlign w:val="top"/>
          </w:tcPr>
          <w:p>
            <w:pPr>
              <w:ind w:left="197"/>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70-90</w:t>
            </w:r>
          </w:p>
        </w:tc>
        <w:tc>
          <w:tcPr>
            <w:tcW w:w="870" w:type="dxa"/>
            <w:vAlign w:val="top"/>
          </w:tcPr>
          <w:p>
            <w:pPr>
              <w:ind w:left="19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64-84</w:t>
            </w:r>
          </w:p>
        </w:tc>
        <w:tc>
          <w:tcPr>
            <w:tcW w:w="875" w:type="dxa"/>
            <w:vAlign w:val="top"/>
          </w:tcPr>
          <w:p>
            <w:pPr>
              <w:ind w:left="198"/>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58-78</w:t>
            </w:r>
          </w:p>
        </w:tc>
        <w:tc>
          <w:tcPr>
            <w:tcW w:w="1018" w:type="dxa"/>
            <w:vAlign w:val="top"/>
          </w:tcPr>
          <w:p>
            <w:pPr>
              <w:ind w:left="11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54.4-74.4</w:t>
            </w:r>
          </w:p>
        </w:tc>
        <w:tc>
          <w:tcPr>
            <w:tcW w:w="872" w:type="dxa"/>
            <w:vAlign w:val="top"/>
          </w:tcPr>
          <w:p>
            <w:pPr>
              <w:ind w:left="11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51.9-72</w:t>
            </w:r>
          </w:p>
        </w:tc>
        <w:tc>
          <w:tcPr>
            <w:tcW w:w="873" w:type="dxa"/>
            <w:vAlign w:val="top"/>
          </w:tcPr>
          <w:p>
            <w:pPr>
              <w:ind w:left="200"/>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50-70</w:t>
            </w:r>
          </w:p>
        </w:tc>
        <w:tc>
          <w:tcPr>
            <w:tcW w:w="1018" w:type="dxa"/>
            <w:vAlign w:val="top"/>
          </w:tcPr>
          <w:p>
            <w:pPr>
              <w:ind w:left="108"/>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46.5-66.5</w:t>
            </w:r>
          </w:p>
        </w:tc>
        <w:tc>
          <w:tcPr>
            <w:tcW w:w="737" w:type="dxa"/>
            <w:vAlign w:val="top"/>
            <w:tcBorders>
              <w:right w:val="nil"/>
            </w:tcBorders>
          </w:tcPr>
          <w:p>
            <w:pPr>
              <w:ind w:left="12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44-64</w:t>
            </w:r>
          </w:p>
        </w:tc>
      </w:tr>
      <w:tr>
        <w:trPr>
          <w:trHeight w:val="314" w:hRule="atLeast"/>
        </w:trPr>
        <w:tc>
          <w:tcPr>
            <w:tcW w:w="1166" w:type="dxa"/>
            <w:vAlign w:val="top"/>
            <w:tcBorders>
              <w:left w:val="nil"/>
            </w:tcBorders>
          </w:tcPr>
          <w:p>
            <w:pPr>
              <w:pStyle w:val="TableText"/>
              <w:ind w:left="281"/>
              <w:spacing w:before="69" w:line="216" w:lineRule="auto"/>
              <w:rPr/>
            </w:pPr>
            <w:r>
              <w:rPr>
                <w:spacing w:val="3"/>
              </w:rPr>
              <w:t>装载机</w:t>
            </w:r>
          </w:p>
        </w:tc>
        <w:tc>
          <w:tcPr>
            <w:tcW w:w="874" w:type="dxa"/>
            <w:vAlign w:val="top"/>
          </w:tcPr>
          <w:p>
            <w:pPr>
              <w:ind w:left="19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65-80</w:t>
            </w:r>
          </w:p>
        </w:tc>
        <w:tc>
          <w:tcPr>
            <w:tcW w:w="870" w:type="dxa"/>
            <w:vAlign w:val="top"/>
          </w:tcPr>
          <w:p>
            <w:pPr>
              <w:ind w:left="11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59-73.9</w:t>
            </w:r>
          </w:p>
        </w:tc>
        <w:tc>
          <w:tcPr>
            <w:tcW w:w="875" w:type="dxa"/>
            <w:vAlign w:val="top"/>
          </w:tcPr>
          <w:p>
            <w:pPr>
              <w:ind w:left="19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53-68</w:t>
            </w:r>
          </w:p>
        </w:tc>
        <w:tc>
          <w:tcPr>
            <w:tcW w:w="1018" w:type="dxa"/>
            <w:vAlign w:val="top"/>
          </w:tcPr>
          <w:p>
            <w:pPr>
              <w:ind w:left="10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49.4-64.4</w:t>
            </w:r>
          </w:p>
        </w:tc>
        <w:tc>
          <w:tcPr>
            <w:tcW w:w="872" w:type="dxa"/>
            <w:vAlign w:val="top"/>
          </w:tcPr>
          <w:p>
            <w:pPr>
              <w:ind w:left="1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47-61.9</w:t>
            </w:r>
          </w:p>
        </w:tc>
        <w:tc>
          <w:tcPr>
            <w:tcW w:w="873" w:type="dxa"/>
            <w:vAlign w:val="top"/>
          </w:tcPr>
          <w:p>
            <w:pPr>
              <w:ind w:left="1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45-60</w:t>
            </w:r>
          </w:p>
        </w:tc>
        <w:tc>
          <w:tcPr>
            <w:tcW w:w="1018" w:type="dxa"/>
            <w:vAlign w:val="top"/>
          </w:tcPr>
          <w:p>
            <w:pPr>
              <w:ind w:left="10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41.5-56.4</w:t>
            </w:r>
          </w:p>
        </w:tc>
        <w:tc>
          <w:tcPr>
            <w:tcW w:w="737" w:type="dxa"/>
            <w:vAlign w:val="top"/>
            <w:tcBorders>
              <w:right w:val="nil"/>
            </w:tcBorders>
          </w:tcPr>
          <w:p>
            <w:pPr>
              <w:ind w:left="13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39-54</w:t>
            </w:r>
          </w:p>
        </w:tc>
      </w:tr>
      <w:tr>
        <w:trPr>
          <w:trHeight w:val="337" w:hRule="atLeast"/>
        </w:trPr>
        <w:tc>
          <w:tcPr>
            <w:tcW w:w="1166" w:type="dxa"/>
            <w:vAlign w:val="top"/>
            <w:tcBorders>
              <w:left w:val="nil"/>
              <w:bottom w:val="single" w:color="00000A" w:sz="10" w:space="0"/>
            </w:tcBorders>
          </w:tcPr>
          <w:p>
            <w:pPr>
              <w:pStyle w:val="TableText"/>
              <w:ind w:left="277"/>
              <w:spacing w:before="72" w:line="231" w:lineRule="auto"/>
              <w:rPr/>
            </w:pPr>
            <w:r>
              <w:rPr>
                <w:spacing w:val="5"/>
              </w:rPr>
              <w:t>切割机</w:t>
            </w:r>
          </w:p>
        </w:tc>
        <w:tc>
          <w:tcPr>
            <w:tcW w:w="874" w:type="dxa"/>
            <w:vAlign w:val="top"/>
            <w:tcBorders>
              <w:bottom w:val="single" w:color="00000A" w:sz="10" w:space="0"/>
            </w:tcBorders>
          </w:tcPr>
          <w:p>
            <w:pPr>
              <w:ind w:left="19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65-80</w:t>
            </w:r>
          </w:p>
        </w:tc>
        <w:tc>
          <w:tcPr>
            <w:tcW w:w="870" w:type="dxa"/>
            <w:vAlign w:val="top"/>
            <w:tcBorders>
              <w:bottom w:val="single" w:color="00000A" w:sz="10" w:space="0"/>
            </w:tcBorders>
          </w:tcPr>
          <w:p>
            <w:pPr>
              <w:ind w:left="117"/>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59-73.9</w:t>
            </w:r>
          </w:p>
        </w:tc>
        <w:tc>
          <w:tcPr>
            <w:tcW w:w="875" w:type="dxa"/>
            <w:vAlign w:val="top"/>
            <w:tcBorders>
              <w:bottom w:val="single" w:color="00000A" w:sz="10" w:space="0"/>
            </w:tcBorders>
          </w:tcPr>
          <w:p>
            <w:pPr>
              <w:ind w:left="19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53-68</w:t>
            </w:r>
          </w:p>
        </w:tc>
        <w:tc>
          <w:tcPr>
            <w:tcW w:w="1018" w:type="dxa"/>
            <w:vAlign w:val="top"/>
            <w:tcBorders>
              <w:bottom w:val="single" w:color="00000A" w:sz="10" w:space="0"/>
            </w:tcBorders>
          </w:tcPr>
          <w:p>
            <w:pPr>
              <w:ind w:left="106"/>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49.4-64.4</w:t>
            </w:r>
          </w:p>
        </w:tc>
        <w:tc>
          <w:tcPr>
            <w:tcW w:w="872" w:type="dxa"/>
            <w:vAlign w:val="top"/>
            <w:tcBorders>
              <w:bottom w:val="single" w:color="00000A" w:sz="10" w:space="0"/>
            </w:tcBorders>
          </w:tcPr>
          <w:p>
            <w:pPr>
              <w:ind w:left="11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47-61.9</w:t>
            </w:r>
          </w:p>
        </w:tc>
        <w:tc>
          <w:tcPr>
            <w:tcW w:w="873" w:type="dxa"/>
            <w:vAlign w:val="top"/>
            <w:tcBorders>
              <w:bottom w:val="single" w:color="00000A" w:sz="10" w:space="0"/>
            </w:tcBorders>
          </w:tcPr>
          <w:p>
            <w:pPr>
              <w:ind w:left="19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45-60</w:t>
            </w:r>
          </w:p>
        </w:tc>
        <w:tc>
          <w:tcPr>
            <w:tcW w:w="1018" w:type="dxa"/>
            <w:vAlign w:val="top"/>
            <w:tcBorders>
              <w:bottom w:val="single" w:color="00000A" w:sz="10" w:space="0"/>
            </w:tcBorders>
          </w:tcPr>
          <w:p>
            <w:pPr>
              <w:ind w:left="10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41.5-56.4</w:t>
            </w:r>
          </w:p>
        </w:tc>
        <w:tc>
          <w:tcPr>
            <w:tcW w:w="737" w:type="dxa"/>
            <w:vAlign w:val="top"/>
            <w:tcBorders>
              <w:right w:val="nil"/>
              <w:bottom w:val="single" w:color="00000A" w:sz="10" w:space="0"/>
            </w:tcBorders>
          </w:tcPr>
          <w:p>
            <w:pPr>
              <w:ind w:left="132"/>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39-54</w:t>
            </w:r>
          </w:p>
        </w:tc>
      </w:tr>
    </w:tbl>
    <w:p>
      <w:pPr>
        <w:pStyle w:val="BodyText"/>
        <w:rPr/>
      </w:pPr>
      <w:r/>
    </w:p>
    <w:p>
      <w:pPr>
        <w:sectPr>
          <w:footerReference w:type="default" r:id="rId277"/>
          <w:pgSz w:w="11906" w:h="16839"/>
          <w:pgMar w:top="400" w:right="1742" w:bottom="1358" w:left="1785" w:header="0" w:footer="1195" w:gutter="0"/>
        </w:sectPr>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2" w:right="76" w:firstLine="478"/>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根据现场勘察，本项目主要敏感保护目标分布</w:t>
      </w:r>
      <w:r>
        <w:rPr>
          <w:rFonts w:ascii="FangSong" w:hAnsi="FangSong" w:eastAsia="FangSong" w:cs="FangSong"/>
          <w:sz w:val="24"/>
          <w:szCs w:val="24"/>
          <w:spacing w:val="-4"/>
        </w:rPr>
        <w:t>在矿区及工业广场等范围四周</w:t>
      </w:r>
      <w:r>
        <w:rPr>
          <w:rFonts w:ascii="FangSong" w:hAnsi="FangSong" w:eastAsia="FangSong" w:cs="FangSong"/>
          <w:sz w:val="24"/>
          <w:szCs w:val="24"/>
          <w:spacing w:val="-4"/>
        </w:rPr>
        <w:t>大于</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200</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4"/>
        </w:rPr>
        <w:t>米处，施工噪声对其影响较小。因此施工噪声仅对施工人员有一定的影</w:t>
      </w:r>
      <w:r>
        <w:rPr>
          <w:rFonts w:ascii="FangSong" w:hAnsi="FangSong" w:eastAsia="FangSong" w:cs="FangSong"/>
          <w:sz w:val="24"/>
          <w:szCs w:val="24"/>
          <w:spacing w:val="-2"/>
        </w:rPr>
        <w:t>响，随着施工结束，此影响也随之消失。</w:t>
      </w:r>
    </w:p>
    <w:p>
      <w:pPr>
        <w:ind w:left="22"/>
        <w:spacing w:line="221" w:lineRule="auto"/>
        <w:outlineLvl w:val="2"/>
        <w:rPr>
          <w:rFonts w:ascii="FangSong" w:hAnsi="FangSong" w:eastAsia="FangSong" w:cs="FangSong"/>
          <w:sz w:val="24"/>
          <w:szCs w:val="24"/>
        </w:rPr>
      </w:pPr>
      <w:bookmarkStart w:name="bookmark286" w:id="387"/>
      <w:bookmarkEnd w:id="387"/>
      <w:bookmarkStart w:name="bookmark285" w:id="388"/>
      <w:bookmarkEnd w:id="388"/>
      <w:r>
        <w:rPr>
          <w:rFonts w:ascii="Times New Roman" w:hAnsi="Times New Roman" w:eastAsia="Times New Roman" w:cs="Times New Roman"/>
          <w:sz w:val="24"/>
          <w:szCs w:val="24"/>
          <w:b/>
          <w:bCs/>
          <w:spacing w:val="-2"/>
        </w:rPr>
        <w:t>6.1.5  </w:t>
      </w:r>
      <w:r>
        <w:rPr>
          <w:rFonts w:ascii="FangSong" w:hAnsi="FangSong" w:eastAsia="FangSong" w:cs="FangSong"/>
          <w:sz w:val="24"/>
          <w:szCs w:val="24"/>
          <w:b/>
          <w:bCs/>
          <w:spacing w:val="-2"/>
        </w:rPr>
        <w:t>施工期固体废物影响分析</w:t>
      </w:r>
    </w:p>
    <w:p>
      <w:pPr>
        <w:ind w:left="48" w:right="76" w:firstLine="460"/>
        <w:spacing w:before="180" w:line="360" w:lineRule="auto"/>
        <w:rPr>
          <w:rFonts w:ascii="FangSong" w:hAnsi="FangSong" w:eastAsia="FangSong" w:cs="FangSong"/>
          <w:sz w:val="24"/>
          <w:szCs w:val="24"/>
        </w:rPr>
      </w:pPr>
      <w:r>
        <w:rPr>
          <w:rFonts w:ascii="FangSong" w:hAnsi="FangSong" w:eastAsia="FangSong" w:cs="FangSong"/>
          <w:sz w:val="24"/>
          <w:szCs w:val="24"/>
          <w:spacing w:val="-3"/>
        </w:rPr>
        <w:t>施工期产生的固体废物主要为施工废石及剥离表土</w:t>
      </w:r>
      <w:r>
        <w:rPr>
          <w:rFonts w:ascii="FangSong" w:hAnsi="FangSong" w:eastAsia="FangSong" w:cs="FangSong"/>
          <w:sz w:val="24"/>
          <w:szCs w:val="24"/>
          <w:spacing w:val="-4"/>
        </w:rPr>
        <w:t>、施工建筑垃圾及施工人</w:t>
      </w:r>
      <w:r>
        <w:rPr>
          <w:rFonts w:ascii="FangSong" w:hAnsi="FangSong" w:eastAsia="FangSong" w:cs="FangSong"/>
          <w:sz w:val="24"/>
          <w:szCs w:val="24"/>
          <w:spacing w:val="-6"/>
        </w:rPr>
        <w:t>员生活垃圾。</w:t>
      </w:r>
    </w:p>
    <w:p>
      <w:pPr>
        <w:ind w:left="22"/>
        <w:spacing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6.1.5.1  </w:t>
      </w:r>
      <w:r>
        <w:rPr>
          <w:rFonts w:ascii="FangSong" w:hAnsi="FangSong" w:eastAsia="FangSong" w:cs="FangSong"/>
          <w:sz w:val="24"/>
          <w:szCs w:val="24"/>
          <w:b/>
          <w:bCs/>
          <w:spacing w:val="-2"/>
        </w:rPr>
        <w:t>施工废土石</w:t>
      </w:r>
    </w:p>
    <w:p>
      <w:pPr>
        <w:ind w:left="72" w:right="76" w:firstLine="438"/>
        <w:spacing w:before="176" w:line="360" w:lineRule="auto"/>
        <w:rPr>
          <w:rFonts w:ascii="FangSong" w:hAnsi="FangSong" w:eastAsia="FangSong" w:cs="FangSong"/>
          <w:sz w:val="24"/>
          <w:szCs w:val="24"/>
        </w:rPr>
      </w:pPr>
      <w:r>
        <w:rPr>
          <w:rFonts w:ascii="FangSong" w:hAnsi="FangSong" w:eastAsia="FangSong" w:cs="FangSong"/>
          <w:sz w:val="24"/>
          <w:szCs w:val="24"/>
          <w:spacing w:val="-3"/>
        </w:rPr>
        <w:t>本项目废土石主要为基建期井巷工程掘进和开</w:t>
      </w:r>
      <w:r>
        <w:rPr>
          <w:rFonts w:ascii="FangSong" w:hAnsi="FangSong" w:eastAsia="FangSong" w:cs="FangSong"/>
          <w:sz w:val="24"/>
          <w:szCs w:val="24"/>
          <w:spacing w:val="-4"/>
        </w:rPr>
        <w:t>采平台建设产生的废石，本项</w:t>
      </w:r>
      <w:r>
        <w:rPr>
          <w:rFonts w:ascii="FangSong" w:hAnsi="FangSong" w:eastAsia="FangSong" w:cs="FangSong"/>
          <w:sz w:val="24"/>
          <w:szCs w:val="24"/>
          <w:spacing w:val="-3"/>
        </w:rPr>
        <w:t>目基建期废石产生量为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5400m</w:t>
      </w:r>
      <w:r>
        <w:rPr>
          <w:rFonts w:ascii="Times New Roman" w:hAnsi="Times New Roman" w:eastAsia="Times New Roman" w:cs="Times New Roman"/>
          <w:sz w:val="15"/>
          <w:szCs w:val="15"/>
          <w:spacing w:val="-3"/>
          <w:position w:val="7"/>
        </w:rPr>
        <w:t>3 </w:t>
      </w:r>
      <w:r>
        <w:rPr>
          <w:rFonts w:ascii="FangSong" w:hAnsi="FangSong" w:eastAsia="FangSong" w:cs="FangSong"/>
          <w:sz w:val="24"/>
          <w:szCs w:val="24"/>
          <w:spacing w:val="-3"/>
        </w:rPr>
        <w:t>，不出井，用于井下</w:t>
      </w:r>
      <w:r>
        <w:rPr>
          <w:rFonts w:ascii="FangSong" w:hAnsi="FangSong" w:eastAsia="FangSong" w:cs="FangSong"/>
          <w:sz w:val="24"/>
          <w:szCs w:val="24"/>
          <w:spacing w:val="-4"/>
        </w:rPr>
        <w:t>空区回填使用。</w:t>
      </w:r>
    </w:p>
    <w:p>
      <w:pPr>
        <w:ind w:left="29" w:firstLine="480"/>
        <w:spacing w:before="6" w:line="359" w:lineRule="auto"/>
        <w:jc w:val="both"/>
        <w:rPr>
          <w:rFonts w:ascii="FangSong" w:hAnsi="FangSong" w:eastAsia="FangSong" w:cs="FangSong"/>
          <w:sz w:val="24"/>
          <w:szCs w:val="24"/>
        </w:rPr>
      </w:pPr>
      <w:r>
        <w:rPr>
          <w:rFonts w:ascii="FangSong" w:hAnsi="FangSong" w:eastAsia="FangSong" w:cs="FangSong"/>
          <w:sz w:val="24"/>
          <w:szCs w:val="24"/>
          <w:spacing w:val="-3"/>
        </w:rPr>
        <w:t>本项目进行办公生活区建设、工业广场建设、</w:t>
      </w:r>
      <w:r>
        <w:rPr>
          <w:rFonts w:ascii="FangSong" w:hAnsi="FangSong" w:eastAsia="FangSong" w:cs="FangSong"/>
          <w:sz w:val="24"/>
          <w:szCs w:val="24"/>
          <w:spacing w:val="-4"/>
        </w:rPr>
        <w:t>道路建设等施工时会产生剥离</w:t>
      </w:r>
      <w:r>
        <w:rPr>
          <w:rFonts w:ascii="FangSong" w:hAnsi="FangSong" w:eastAsia="FangSong" w:cs="FangSong"/>
          <w:sz w:val="24"/>
          <w:szCs w:val="24"/>
          <w:spacing w:val="-1"/>
        </w:rPr>
        <w:t>的表土和挖土，其中表土剥离产生量为</w:t>
      </w:r>
      <w:r>
        <w:rPr>
          <w:rFonts w:ascii="FangSong" w:hAnsi="FangSong" w:eastAsia="FangSong" w:cs="FangSong"/>
          <w:sz w:val="24"/>
          <w:szCs w:val="24"/>
          <w:spacing w:val="-16"/>
        </w:rPr>
        <w:t xml:space="preserve"> </w:t>
      </w:r>
      <w:r>
        <w:rPr>
          <w:rFonts w:ascii="Times New Roman" w:hAnsi="Times New Roman" w:eastAsia="Times New Roman" w:cs="Times New Roman"/>
          <w:sz w:val="24"/>
          <w:szCs w:val="24"/>
          <w:spacing w:val="-1"/>
        </w:rPr>
        <w:t>12607.20m</w:t>
      </w:r>
      <w:r>
        <w:rPr>
          <w:rFonts w:ascii="Times New Roman" w:hAnsi="Times New Roman" w:eastAsia="Times New Roman" w:cs="Times New Roman"/>
          <w:sz w:val="15"/>
          <w:szCs w:val="15"/>
          <w:spacing w:val="-1"/>
          <w:position w:val="7"/>
        </w:rPr>
        <w:t>3 </w:t>
      </w:r>
      <w:r>
        <w:rPr>
          <w:rFonts w:ascii="FangSong" w:hAnsi="FangSong" w:eastAsia="FangSong" w:cs="FangSong"/>
          <w:sz w:val="24"/>
          <w:szCs w:val="24"/>
          <w:spacing w:val="-1"/>
        </w:rPr>
        <w:t>，土方量为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30614.40m</w:t>
      </w:r>
      <w:r>
        <w:rPr>
          <w:rFonts w:ascii="Times New Roman" w:hAnsi="Times New Roman" w:eastAsia="Times New Roman" w:cs="Times New Roman"/>
          <w:sz w:val="15"/>
          <w:szCs w:val="15"/>
          <w:spacing w:val="-1"/>
          <w:position w:val="7"/>
        </w:rPr>
        <w:t>3 </w:t>
      </w:r>
      <w:r>
        <w:rPr>
          <w:rFonts w:ascii="FangSong" w:hAnsi="FangSong" w:eastAsia="FangSong" w:cs="FangSong"/>
          <w:sz w:val="24"/>
          <w:szCs w:val="24"/>
          <w:spacing w:val="-1"/>
        </w:rPr>
        <w:t>。剥</w:t>
      </w:r>
      <w:r>
        <w:rPr>
          <w:rFonts w:ascii="FangSong" w:hAnsi="FangSong" w:eastAsia="FangSong" w:cs="FangSong"/>
          <w:sz w:val="24"/>
          <w:szCs w:val="24"/>
          <w:spacing w:val="-3"/>
        </w:rPr>
        <w:t>离的表土部分用于场地平整后覆土使用，余下部分堆存于表土堆场</w:t>
      </w:r>
      <w:r>
        <w:rPr>
          <w:rFonts w:ascii="FangSong" w:hAnsi="FangSong" w:eastAsia="FangSong" w:cs="FangSong"/>
          <w:sz w:val="24"/>
          <w:szCs w:val="24"/>
          <w:spacing w:val="-4"/>
        </w:rPr>
        <w:t>中，用于闭矿</w:t>
      </w:r>
      <w:r>
        <w:rPr>
          <w:rFonts w:ascii="FangSong" w:hAnsi="FangSong" w:eastAsia="FangSong" w:cs="FangSong"/>
          <w:sz w:val="24"/>
          <w:szCs w:val="24"/>
          <w:spacing w:val="-8"/>
        </w:rPr>
        <w:t>期后矿山环境恢复治理，产生的挖土、废石在基建期结束后均回填用于场地平整、</w:t>
      </w:r>
      <w:r>
        <w:rPr>
          <w:rFonts w:ascii="FangSong" w:hAnsi="FangSong" w:eastAsia="FangSong" w:cs="FangSong"/>
          <w:sz w:val="24"/>
          <w:szCs w:val="24"/>
          <w:spacing w:val="-3"/>
        </w:rPr>
        <w:t>井下回填空区。</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6.1.5.2</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b/>
          <w:bCs/>
          <w:spacing w:val="-3"/>
        </w:rPr>
        <w:t>建筑垃圾</w:t>
      </w:r>
    </w:p>
    <w:p>
      <w:pPr>
        <w:ind w:left="31" w:right="76" w:firstLine="479"/>
        <w:spacing w:before="177" w:line="360" w:lineRule="auto"/>
        <w:jc w:val="both"/>
        <w:rPr>
          <w:rFonts w:ascii="FangSong" w:hAnsi="FangSong" w:eastAsia="FangSong" w:cs="FangSong"/>
          <w:sz w:val="24"/>
          <w:szCs w:val="24"/>
        </w:rPr>
      </w:pPr>
      <w:r>
        <w:rPr>
          <w:rFonts w:ascii="FangSong" w:hAnsi="FangSong" w:eastAsia="FangSong" w:cs="FangSong"/>
          <w:sz w:val="24"/>
          <w:szCs w:val="24"/>
          <w:spacing w:val="-5"/>
        </w:rPr>
        <w:t>项目施工建筑垃圾属第</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5"/>
        </w:rPr>
        <w:t>类一般工业固体废物，如随意堆放可能破坏生态环</w:t>
      </w:r>
      <w:r>
        <w:rPr>
          <w:rFonts w:ascii="FangSong" w:hAnsi="FangSong" w:eastAsia="FangSong" w:cs="FangSong"/>
          <w:sz w:val="24"/>
          <w:szCs w:val="24"/>
          <w:spacing w:val="-3"/>
        </w:rPr>
        <w:t>境和自然景观、加大水土流失、形成泥石流、造成环境风险。</w:t>
      </w:r>
      <w:r>
        <w:rPr>
          <w:rFonts w:ascii="FangSong" w:hAnsi="FangSong" w:eastAsia="FangSong" w:cs="FangSong"/>
          <w:sz w:val="24"/>
          <w:szCs w:val="24"/>
          <w:spacing w:val="-4"/>
        </w:rPr>
        <w:t>本项目施工建渣的</w:t>
      </w:r>
      <w:r>
        <w:rPr>
          <w:rFonts w:ascii="FangSong" w:hAnsi="FangSong" w:eastAsia="FangSong" w:cs="FangSong"/>
          <w:sz w:val="24"/>
          <w:szCs w:val="24"/>
          <w:spacing w:val="-3"/>
        </w:rPr>
        <w:t>运输车辆应采用封闭式，在运输过程中，杜绝沿途撒落，</w:t>
      </w:r>
      <w:r>
        <w:rPr>
          <w:rFonts w:ascii="FangSong" w:hAnsi="FangSong" w:eastAsia="FangSong" w:cs="FangSong"/>
          <w:sz w:val="24"/>
          <w:szCs w:val="24"/>
          <w:spacing w:val="-4"/>
        </w:rPr>
        <w:t>建筑垃圾由建设单位运</w:t>
      </w:r>
      <w:r>
        <w:rPr>
          <w:rFonts w:ascii="FangSong" w:hAnsi="FangSong" w:eastAsia="FangSong" w:cs="FangSong"/>
          <w:sz w:val="24"/>
          <w:szCs w:val="24"/>
          <w:spacing w:val="-1"/>
        </w:rPr>
        <w:t>至当地人民政府指定建筑垃圾填埋场处理。</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6.1.5.3</w:t>
      </w:r>
      <w:r>
        <w:rPr>
          <w:rFonts w:ascii="Times New Roman" w:hAnsi="Times New Roman" w:eastAsia="Times New Roman" w:cs="Times New Roman"/>
          <w:sz w:val="24"/>
          <w:szCs w:val="24"/>
          <w:b/>
          <w:bCs/>
          <w:spacing w:val="18"/>
          <w:w w:val="101"/>
        </w:rPr>
        <w:t xml:space="preserve">  </w:t>
      </w:r>
      <w:r>
        <w:rPr>
          <w:rFonts w:ascii="FangSong" w:hAnsi="FangSong" w:eastAsia="FangSong" w:cs="FangSong"/>
          <w:sz w:val="24"/>
          <w:szCs w:val="24"/>
          <w:b/>
          <w:bCs/>
          <w:spacing w:val="-5"/>
        </w:rPr>
        <w:t>生活垃圾</w:t>
      </w:r>
    </w:p>
    <w:p>
      <w:pPr>
        <w:ind w:left="30" w:right="71" w:firstLine="478"/>
        <w:spacing w:before="177" w:line="360" w:lineRule="auto"/>
        <w:jc w:val="both"/>
        <w:rPr>
          <w:rFonts w:ascii="FangSong" w:hAnsi="FangSong" w:eastAsia="FangSong" w:cs="FangSong"/>
          <w:sz w:val="24"/>
          <w:szCs w:val="24"/>
        </w:rPr>
      </w:pPr>
      <w:r>
        <w:rPr>
          <w:rFonts w:ascii="FangSong" w:hAnsi="FangSong" w:eastAsia="FangSong" w:cs="FangSong"/>
          <w:sz w:val="24"/>
          <w:szCs w:val="24"/>
          <w:spacing w:val="-1"/>
        </w:rPr>
        <w:t>施工期施工人员产生的生活垃圾经计算产生量为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0.075t/d</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40.5t/</w:t>
      </w:r>
      <w:r>
        <w:rPr>
          <w:rFonts w:ascii="FangSong" w:hAnsi="FangSong" w:eastAsia="FangSong" w:cs="FangSong"/>
          <w:sz w:val="24"/>
          <w:szCs w:val="24"/>
          <w:spacing w:val="-1"/>
        </w:rPr>
        <w:t>施工期</w:t>
      </w:r>
      <w:r>
        <w:rPr>
          <w:rFonts w:ascii="FangSong" w:hAnsi="FangSong" w:eastAsia="FangSong" w:cs="FangSong"/>
          <w:sz w:val="24"/>
          <w:szCs w:val="24"/>
          <w:spacing w:val="-21"/>
        </w:rPr>
        <w:t>），</w:t>
      </w:r>
      <w:r>
        <w:rPr>
          <w:rFonts w:ascii="FangSong" w:hAnsi="FangSong" w:eastAsia="FangSong" w:cs="FangSong"/>
          <w:sz w:val="24"/>
          <w:szCs w:val="24"/>
          <w:spacing w:val="-3"/>
        </w:rPr>
        <w:t>产生的生活垃圾等应分类收集处置，施工人员的生活垃圾若不妥</w:t>
      </w:r>
      <w:r>
        <w:rPr>
          <w:rFonts w:ascii="FangSong" w:hAnsi="FangSong" w:eastAsia="FangSong" w:cs="FangSong"/>
          <w:sz w:val="24"/>
          <w:szCs w:val="24"/>
          <w:spacing w:val="-4"/>
        </w:rPr>
        <w:t>善处理，一方面</w:t>
      </w:r>
      <w:r>
        <w:rPr>
          <w:rFonts w:ascii="FangSong" w:hAnsi="FangSong" w:eastAsia="FangSong" w:cs="FangSong"/>
          <w:sz w:val="24"/>
          <w:szCs w:val="24"/>
          <w:spacing w:val="-3"/>
        </w:rPr>
        <w:t>垃圾中的白色污染等将破坏周围自然景观，另一方面，将导致苍</w:t>
      </w:r>
      <w:r>
        <w:rPr>
          <w:rFonts w:ascii="FangSong" w:hAnsi="FangSong" w:eastAsia="FangSong" w:cs="FangSong"/>
          <w:sz w:val="24"/>
          <w:szCs w:val="24"/>
          <w:spacing w:val="-4"/>
        </w:rPr>
        <w:t>蝇、蚊虫滋生及</w:t>
      </w:r>
      <w:r>
        <w:rPr>
          <w:rFonts w:ascii="FangSong" w:hAnsi="FangSong" w:eastAsia="FangSong" w:cs="FangSong"/>
          <w:sz w:val="24"/>
          <w:szCs w:val="24"/>
          <w:spacing w:val="-3"/>
        </w:rPr>
        <w:t>鼠类增加，影响人群健康。项目施工期产生的生活垃圾分类收集</w:t>
      </w:r>
      <w:r>
        <w:rPr>
          <w:rFonts w:ascii="FangSong" w:hAnsi="FangSong" w:eastAsia="FangSong" w:cs="FangSong"/>
          <w:sz w:val="24"/>
          <w:szCs w:val="24"/>
          <w:spacing w:val="-4"/>
        </w:rPr>
        <w:t>后全部委托环卫</w:t>
      </w:r>
      <w:r>
        <w:rPr>
          <w:rFonts w:ascii="FangSong" w:hAnsi="FangSong" w:eastAsia="FangSong" w:cs="FangSong"/>
          <w:sz w:val="24"/>
          <w:szCs w:val="24"/>
          <w:spacing w:val="-4"/>
        </w:rPr>
        <w:t>部门处理。</w:t>
      </w:r>
    </w:p>
    <w:p>
      <w:pPr>
        <w:ind w:left="29" w:right="37" w:firstLine="483"/>
        <w:spacing w:before="4" w:line="359" w:lineRule="auto"/>
        <w:jc w:val="both"/>
        <w:rPr>
          <w:rFonts w:ascii="FangSong" w:hAnsi="FangSong" w:eastAsia="FangSong" w:cs="FangSong"/>
          <w:sz w:val="24"/>
          <w:szCs w:val="24"/>
        </w:rPr>
      </w:pPr>
      <w:r>
        <w:rPr>
          <w:rFonts w:ascii="FangSong" w:hAnsi="FangSong" w:eastAsia="FangSong" w:cs="FangSong"/>
          <w:sz w:val="24"/>
          <w:szCs w:val="24"/>
          <w:spacing w:val="-2"/>
        </w:rPr>
        <w:t>综上所述，评价认为施工期固体废物对周边敏感点不会</w:t>
      </w:r>
      <w:r>
        <w:rPr>
          <w:rFonts w:ascii="FangSong" w:hAnsi="FangSong" w:eastAsia="FangSong" w:cs="FangSong"/>
          <w:sz w:val="24"/>
          <w:szCs w:val="24"/>
          <w:spacing w:val="-3"/>
        </w:rPr>
        <w:t>造成明显不利影响，</w:t>
      </w:r>
      <w:r>
        <w:rPr>
          <w:rFonts w:ascii="FangSong" w:hAnsi="FangSong" w:eastAsia="FangSong" w:cs="FangSong"/>
          <w:sz w:val="24"/>
          <w:szCs w:val="24"/>
          <w:spacing w:val="-3"/>
        </w:rPr>
        <w:t>施工期固体废物均得到合理处置，并且施工期环境影响是暂时的、阶</w:t>
      </w:r>
      <w:r>
        <w:rPr>
          <w:rFonts w:ascii="FangSong" w:hAnsi="FangSong" w:eastAsia="FangSong" w:cs="FangSong"/>
          <w:sz w:val="24"/>
          <w:szCs w:val="24"/>
          <w:spacing w:val="-4"/>
        </w:rPr>
        <w:t>段性的和局</w:t>
      </w:r>
      <w:r>
        <w:rPr>
          <w:rFonts w:ascii="FangSong" w:hAnsi="FangSong" w:eastAsia="FangSong" w:cs="FangSong"/>
          <w:sz w:val="24"/>
          <w:szCs w:val="24"/>
          <w:spacing w:val="-1"/>
        </w:rPr>
        <w:t>部的，施工结束，影响随之终止，对外环境影响较小。</w:t>
      </w:r>
    </w:p>
    <w:p>
      <w:pPr>
        <w:spacing w:line="359" w:lineRule="auto"/>
        <w:sectPr>
          <w:footerReference w:type="default" r:id="rId279"/>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2" w:lineRule="auto"/>
        <w:outlineLvl w:val="2"/>
        <w:rPr>
          <w:rFonts w:ascii="FangSong" w:hAnsi="FangSong" w:eastAsia="FangSong" w:cs="FangSong"/>
          <w:sz w:val="24"/>
          <w:szCs w:val="24"/>
        </w:rPr>
      </w:pPr>
      <w:bookmarkStart w:name="bookmark288" w:id="389"/>
      <w:bookmarkEnd w:id="389"/>
      <w:bookmarkStart w:name="bookmark287" w:id="390"/>
      <w:bookmarkEnd w:id="390"/>
      <w:r>
        <w:rPr>
          <w:rFonts w:ascii="Times New Roman" w:hAnsi="Times New Roman" w:eastAsia="Times New Roman" w:cs="Times New Roman"/>
          <w:sz w:val="24"/>
          <w:szCs w:val="24"/>
          <w:b/>
          <w:bCs/>
          <w:spacing w:val="-2"/>
        </w:rPr>
        <w:t>6.1.6  </w:t>
      </w:r>
      <w:r>
        <w:rPr>
          <w:rFonts w:ascii="FangSong" w:hAnsi="FangSong" w:eastAsia="FangSong" w:cs="FangSong"/>
          <w:sz w:val="24"/>
          <w:szCs w:val="24"/>
          <w:b/>
          <w:bCs/>
          <w:spacing w:val="-2"/>
        </w:rPr>
        <w:t>施工期生态环境影响</w:t>
      </w:r>
    </w:p>
    <w:p>
      <w:pPr>
        <w:ind w:left="22"/>
        <w:spacing w:before="178"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6.1.6.1  </w:t>
      </w:r>
      <w:r>
        <w:rPr>
          <w:rFonts w:ascii="FangSong" w:hAnsi="FangSong" w:eastAsia="FangSong" w:cs="FangSong"/>
          <w:sz w:val="24"/>
          <w:szCs w:val="24"/>
          <w:b/>
          <w:bCs/>
          <w:spacing w:val="-2"/>
        </w:rPr>
        <w:t>对陆生植物的影响</w:t>
      </w:r>
    </w:p>
    <w:p>
      <w:pPr>
        <w:ind w:left="514"/>
        <w:spacing w:before="181"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）工程占地对植被的影响</w:t>
      </w:r>
    </w:p>
    <w:p>
      <w:pPr>
        <w:ind w:left="29" w:right="62" w:firstLine="481"/>
        <w:spacing w:before="178" w:line="360" w:lineRule="auto"/>
        <w:rPr>
          <w:rFonts w:ascii="FangSong" w:hAnsi="FangSong" w:eastAsia="FangSong" w:cs="FangSong"/>
          <w:sz w:val="24"/>
          <w:szCs w:val="24"/>
        </w:rPr>
      </w:pPr>
      <w:r>
        <w:rPr>
          <w:rFonts w:ascii="FangSong" w:hAnsi="FangSong" w:eastAsia="FangSong" w:cs="FangSong"/>
          <w:sz w:val="24"/>
          <w:szCs w:val="24"/>
          <w:spacing w:val="-3"/>
        </w:rPr>
        <w:t>项目建设区未发现珍稀濒危植被分布，工程建</w:t>
      </w:r>
      <w:r>
        <w:rPr>
          <w:rFonts w:ascii="FangSong" w:hAnsi="FangSong" w:eastAsia="FangSong" w:cs="FangSong"/>
          <w:sz w:val="24"/>
          <w:szCs w:val="24"/>
          <w:spacing w:val="-4"/>
        </w:rPr>
        <w:t>设对植被的影响主要在主井和</w:t>
      </w:r>
      <w:r>
        <w:rPr>
          <w:rFonts w:ascii="FangSong" w:hAnsi="FangSong" w:eastAsia="FangSong" w:cs="FangSong"/>
          <w:sz w:val="24"/>
          <w:szCs w:val="24"/>
          <w:spacing w:val="-3"/>
        </w:rPr>
        <w:t>通风井场地建设以及选矿厂等工业广场及其附属设计建设和办公生活</w:t>
      </w:r>
      <w:r>
        <w:rPr>
          <w:rFonts w:ascii="FangSong" w:hAnsi="FangSong" w:eastAsia="FangSong" w:cs="FangSong"/>
          <w:sz w:val="24"/>
          <w:szCs w:val="24"/>
          <w:spacing w:val="-4"/>
        </w:rPr>
        <w:t>区、道路建</w:t>
      </w:r>
      <w:r>
        <w:rPr>
          <w:rFonts w:ascii="FangSong" w:hAnsi="FangSong" w:eastAsia="FangSong" w:cs="FangSong"/>
          <w:sz w:val="24"/>
          <w:szCs w:val="24"/>
          <w:spacing w:val="-3"/>
        </w:rPr>
        <w:t>设期，工业场地、办公场地等施工活动过程中要进行清除植被、开挖</w:t>
      </w:r>
      <w:r>
        <w:rPr>
          <w:rFonts w:ascii="FangSong" w:hAnsi="FangSong" w:eastAsia="FangSong" w:cs="FangSong"/>
          <w:sz w:val="24"/>
          <w:szCs w:val="24"/>
          <w:spacing w:val="-4"/>
        </w:rPr>
        <w:t>地表和地面</w:t>
      </w:r>
      <w:r>
        <w:rPr>
          <w:rFonts w:ascii="FangSong" w:hAnsi="FangSong" w:eastAsia="FangSong" w:cs="FangSong"/>
          <w:sz w:val="24"/>
          <w:szCs w:val="24"/>
          <w:spacing w:val="-3"/>
        </w:rPr>
        <w:t>建设，造成工程建设施工区域内地表植被的完全破坏，施工直接影响</w:t>
      </w:r>
      <w:r>
        <w:rPr>
          <w:rFonts w:ascii="FangSong" w:hAnsi="FangSong" w:eastAsia="FangSong" w:cs="FangSong"/>
          <w:sz w:val="24"/>
          <w:szCs w:val="24"/>
          <w:spacing w:val="-4"/>
        </w:rPr>
        <w:t>区域一定范</w:t>
      </w:r>
      <w:r>
        <w:rPr>
          <w:rFonts w:ascii="FangSong" w:hAnsi="FangSong" w:eastAsia="FangSong" w:cs="FangSong"/>
          <w:sz w:val="24"/>
          <w:szCs w:val="24"/>
          <w:spacing w:val="-3"/>
        </w:rPr>
        <w:t>围的植被也会遭到不同程度的破坏。施工运输、人员践踏等也会使施</w:t>
      </w:r>
      <w:r>
        <w:rPr>
          <w:rFonts w:ascii="FangSong" w:hAnsi="FangSong" w:eastAsia="FangSong" w:cs="FangSong"/>
          <w:sz w:val="24"/>
          <w:szCs w:val="24"/>
          <w:spacing w:val="-4"/>
        </w:rPr>
        <w:t>工区周围植</w:t>
      </w:r>
      <w:r>
        <w:rPr>
          <w:rFonts w:ascii="FangSong" w:hAnsi="FangSong" w:eastAsia="FangSong" w:cs="FangSong"/>
          <w:sz w:val="24"/>
          <w:szCs w:val="24"/>
          <w:spacing w:val="-2"/>
        </w:rPr>
        <w:t>被受到不同程度的影响。</w:t>
      </w:r>
    </w:p>
    <w:p>
      <w:pPr>
        <w:ind w:left="32" w:right="23" w:firstLine="479"/>
        <w:spacing w:before="5" w:line="359" w:lineRule="auto"/>
        <w:jc w:val="both"/>
        <w:rPr>
          <w:rFonts w:ascii="FangSong" w:hAnsi="FangSong" w:eastAsia="FangSong" w:cs="FangSong"/>
          <w:sz w:val="24"/>
          <w:szCs w:val="24"/>
        </w:rPr>
      </w:pPr>
      <w:r>
        <w:rPr>
          <w:rFonts w:ascii="FangSong" w:hAnsi="FangSong" w:eastAsia="FangSong" w:cs="FangSong"/>
          <w:sz w:val="24"/>
          <w:szCs w:val="24"/>
          <w:spacing w:val="-2"/>
        </w:rPr>
        <w:t>对于项目占用的草地，需要严格按照国家使用草地审核审</w:t>
      </w:r>
      <w:r>
        <w:rPr>
          <w:rFonts w:ascii="FangSong" w:hAnsi="FangSong" w:eastAsia="FangSong" w:cs="FangSong"/>
          <w:sz w:val="24"/>
          <w:szCs w:val="24"/>
          <w:spacing w:val="-3"/>
        </w:rPr>
        <w:t>批管理办法执行，</w:t>
      </w:r>
      <w:r>
        <w:rPr>
          <w:rFonts w:ascii="FangSong" w:hAnsi="FangSong" w:eastAsia="FangSong" w:cs="FangSong"/>
          <w:sz w:val="24"/>
          <w:szCs w:val="24"/>
          <w:spacing w:val="-3"/>
        </w:rPr>
        <w:t>与被征用草地的单位签订草地及草地补偿费和安置补助费协</w:t>
      </w:r>
      <w:r>
        <w:rPr>
          <w:rFonts w:ascii="FangSong" w:hAnsi="FangSong" w:eastAsia="FangSong" w:cs="FangSong"/>
          <w:sz w:val="24"/>
          <w:szCs w:val="24"/>
          <w:spacing w:val="-4"/>
        </w:rPr>
        <w:t>议，上报具有审批权</w:t>
      </w:r>
      <w:r>
        <w:rPr>
          <w:rFonts w:ascii="FangSong" w:hAnsi="FangSong" w:eastAsia="FangSong" w:cs="FangSong"/>
          <w:sz w:val="24"/>
          <w:szCs w:val="24"/>
          <w:spacing w:val="-3"/>
        </w:rPr>
        <w:t>限的林草主管部门审批，并严格按照林草主管部门的要求，</w:t>
      </w:r>
      <w:r>
        <w:rPr>
          <w:rFonts w:ascii="FangSong" w:hAnsi="FangSong" w:eastAsia="FangSong" w:cs="FangSong"/>
          <w:sz w:val="24"/>
          <w:szCs w:val="24"/>
          <w:spacing w:val="-4"/>
        </w:rPr>
        <w:t>根据项目占用草地种</w:t>
      </w:r>
      <w:r>
        <w:rPr>
          <w:rFonts w:ascii="FangSong" w:hAnsi="FangSong" w:eastAsia="FangSong" w:cs="FangSong"/>
          <w:sz w:val="24"/>
          <w:szCs w:val="24"/>
          <w:spacing w:val="-1"/>
        </w:rPr>
        <w:t>类、面积、权属进行恢复森林植被的措施。</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）施工扬尘对植被的影响分析</w:t>
      </w:r>
    </w:p>
    <w:p>
      <w:pPr>
        <w:ind w:left="29"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2"/>
        </w:rPr>
        <w:t>施工期间在以下几个施工阶段产生的扬尘较大，对植被的影响程度也较大：</w:t>
      </w:r>
      <w:r>
        <w:rPr>
          <w:rFonts w:ascii="FangSong" w:hAnsi="FangSong" w:eastAsia="FangSong" w:cs="FangSong"/>
          <w:sz w:val="24"/>
          <w:szCs w:val="24"/>
          <w:spacing w:val="-8"/>
        </w:rPr>
        <w:t>办公区、工业广场和道路土地平整等施工过程，如遇大风天气，将造成扬尘污染；</w:t>
      </w:r>
      <w:r>
        <w:rPr>
          <w:rFonts w:ascii="FangSong" w:hAnsi="FangSong" w:eastAsia="FangSong" w:cs="FangSong"/>
          <w:sz w:val="24"/>
          <w:szCs w:val="24"/>
          <w:spacing w:val="-3"/>
        </w:rPr>
        <w:t>砂石、混凝土等建筑材料的运输、装卸、储存如果方式不当，造成散</w:t>
      </w:r>
      <w:r>
        <w:rPr>
          <w:rFonts w:ascii="FangSong" w:hAnsi="FangSong" w:eastAsia="FangSong" w:cs="FangSong"/>
          <w:sz w:val="24"/>
          <w:szCs w:val="24"/>
          <w:spacing w:val="-4"/>
        </w:rPr>
        <w:t>逸亦会产生</w:t>
      </w:r>
      <w:r>
        <w:rPr>
          <w:rFonts w:ascii="FangSong" w:hAnsi="FangSong" w:eastAsia="FangSong" w:cs="FangSong"/>
          <w:sz w:val="24"/>
          <w:szCs w:val="24"/>
          <w:spacing w:val="-3"/>
        </w:rPr>
        <w:t>扬尘污染；灰土拌合加工过程中也将产生大量的扬尘；原材料运输车</w:t>
      </w:r>
      <w:r>
        <w:rPr>
          <w:rFonts w:ascii="FangSong" w:hAnsi="FangSong" w:eastAsia="FangSong" w:cs="FangSong"/>
          <w:sz w:val="24"/>
          <w:szCs w:val="24"/>
          <w:spacing w:val="-4"/>
        </w:rPr>
        <w:t>辆，在施工</w:t>
      </w:r>
      <w:r>
        <w:rPr>
          <w:rFonts w:ascii="FangSong" w:hAnsi="FangSong" w:eastAsia="FangSong" w:cs="FangSong"/>
          <w:sz w:val="24"/>
          <w:szCs w:val="24"/>
          <w:spacing w:val="-1"/>
        </w:rPr>
        <w:t>便道及施工场地行驶过程中，也将产生大量汽车尾气。</w:t>
      </w:r>
    </w:p>
    <w:p>
      <w:pPr>
        <w:ind w:left="30" w:right="62" w:firstLine="480"/>
        <w:spacing w:before="2" w:line="359" w:lineRule="auto"/>
        <w:jc w:val="both"/>
        <w:rPr>
          <w:rFonts w:ascii="FangSong" w:hAnsi="FangSong" w:eastAsia="FangSong" w:cs="FangSong"/>
          <w:sz w:val="24"/>
          <w:szCs w:val="24"/>
        </w:rPr>
      </w:pPr>
      <w:r>
        <w:rPr>
          <w:rFonts w:ascii="FangSong" w:hAnsi="FangSong" w:eastAsia="FangSong" w:cs="FangSong"/>
          <w:sz w:val="24"/>
          <w:szCs w:val="24"/>
          <w:spacing w:val="-3"/>
        </w:rPr>
        <w:t>如果在施工阶段不能经常采取洒水降尘的措</w:t>
      </w:r>
      <w:r>
        <w:rPr>
          <w:rFonts w:ascii="FangSong" w:hAnsi="FangSong" w:eastAsia="FangSong" w:cs="FangSong"/>
          <w:sz w:val="24"/>
          <w:szCs w:val="24"/>
          <w:spacing w:val="-4"/>
        </w:rPr>
        <w:t>施，施工产生的扬尘将会对施工</w:t>
      </w:r>
      <w:r>
        <w:rPr>
          <w:rFonts w:ascii="FangSong" w:hAnsi="FangSong" w:eastAsia="FangSong" w:cs="FangSong"/>
          <w:sz w:val="24"/>
          <w:szCs w:val="24"/>
          <w:spacing w:val="-3"/>
        </w:rPr>
        <w:t>场地附近植被造成较大的影响。由类比资料可知，在不采取洒水</w:t>
      </w:r>
      <w:r>
        <w:rPr>
          <w:rFonts w:ascii="FangSong" w:hAnsi="FangSong" w:eastAsia="FangSong" w:cs="FangSong"/>
          <w:sz w:val="24"/>
          <w:szCs w:val="24"/>
          <w:spacing w:val="-4"/>
        </w:rPr>
        <w:t>降尘措施的情况</w:t>
      </w:r>
      <w:r>
        <w:rPr>
          <w:rFonts w:ascii="FangSong" w:hAnsi="FangSong" w:eastAsia="FangSong" w:cs="FangSong"/>
          <w:sz w:val="24"/>
          <w:szCs w:val="24"/>
          <w:spacing w:val="-10"/>
        </w:rPr>
        <w:t>下，在下风向</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0"/>
        </w:rPr>
        <w:t>50m</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0"/>
        </w:rPr>
        <w:t>的空气中，</w:t>
      </w:r>
      <w:r>
        <w:rPr>
          <w:rFonts w:ascii="Times New Roman" w:hAnsi="Times New Roman" w:eastAsia="Times New Roman" w:cs="Times New Roman"/>
          <w:sz w:val="24"/>
          <w:szCs w:val="24"/>
          <w:spacing w:val="-10"/>
        </w:rPr>
        <w:t>TSP</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10"/>
        </w:rPr>
        <w:t>浓度可</w:t>
      </w:r>
      <w:r>
        <w:rPr>
          <w:rFonts w:ascii="FangSong" w:hAnsi="FangSong" w:eastAsia="FangSong" w:cs="FangSong"/>
          <w:sz w:val="24"/>
          <w:szCs w:val="24"/>
          <w:spacing w:val="-11"/>
        </w:rPr>
        <w:t>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1"/>
        </w:rPr>
        <w:t>15mg/m</w:t>
      </w:r>
      <w:r>
        <w:rPr>
          <w:rFonts w:ascii="Times New Roman" w:hAnsi="Times New Roman" w:eastAsia="Times New Roman" w:cs="Times New Roman"/>
          <w:sz w:val="15"/>
          <w:szCs w:val="15"/>
          <w:spacing w:val="4"/>
          <w:position w:val="7"/>
        </w:rPr>
        <w:t>3</w:t>
      </w:r>
      <w:r>
        <w:rPr>
          <w:rFonts w:ascii="FangSong" w:hAnsi="FangSong" w:eastAsia="FangSong" w:cs="FangSong"/>
          <w:sz w:val="24"/>
          <w:szCs w:val="24"/>
          <w:spacing w:val="-13"/>
        </w:rPr>
        <w:t>，超二类标准</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3"/>
        </w:rPr>
        <w:t>2.8</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3"/>
        </w:rPr>
        <w:t>倍，</w:t>
      </w:r>
      <w:r>
        <w:rPr>
          <w:rFonts w:ascii="Times New Roman" w:hAnsi="Times New Roman" w:eastAsia="Times New Roman" w:cs="Times New Roman"/>
          <w:sz w:val="24"/>
          <w:szCs w:val="24"/>
          <w:spacing w:val="-13"/>
        </w:rPr>
        <w:t>100m</w:t>
      </w:r>
      <w:r>
        <w:rPr>
          <w:rFonts w:ascii="FangSong" w:hAnsi="FangSong" w:eastAsia="FangSong" w:cs="FangSong"/>
          <w:sz w:val="24"/>
          <w:szCs w:val="24"/>
          <w:spacing w:val="-5"/>
        </w:rPr>
        <w:t>时仍超标近</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倍。</w:t>
      </w:r>
    </w:p>
    <w:p>
      <w:pPr>
        <w:ind w:left="22"/>
        <w:spacing w:before="4"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6.1.6.2  </w:t>
      </w:r>
      <w:r>
        <w:rPr>
          <w:rFonts w:ascii="FangSong" w:hAnsi="FangSong" w:eastAsia="FangSong" w:cs="FangSong"/>
          <w:sz w:val="24"/>
          <w:szCs w:val="24"/>
          <w:b/>
          <w:bCs/>
          <w:spacing w:val="-2"/>
        </w:rPr>
        <w:t>对陆生动物的影响</w:t>
      </w:r>
    </w:p>
    <w:p>
      <w:pPr>
        <w:ind w:left="514"/>
        <w:spacing w:before="18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）对野生动物的影响</w:t>
      </w:r>
    </w:p>
    <w:p>
      <w:pPr>
        <w:ind w:left="29" w:right="62" w:firstLine="480"/>
        <w:spacing w:before="182" w:line="360" w:lineRule="auto"/>
        <w:rPr>
          <w:rFonts w:ascii="FangSong" w:hAnsi="FangSong" w:eastAsia="FangSong" w:cs="FangSong"/>
          <w:sz w:val="24"/>
          <w:szCs w:val="24"/>
        </w:rPr>
      </w:pPr>
      <w:r>
        <w:rPr>
          <w:rFonts w:ascii="FangSong" w:hAnsi="FangSong" w:eastAsia="FangSong" w:cs="FangSong"/>
          <w:sz w:val="24"/>
          <w:szCs w:val="24"/>
          <w:spacing w:val="-3"/>
        </w:rPr>
        <w:t>项目在施工过程中，清除植被，会对现有动物</w:t>
      </w:r>
      <w:r>
        <w:rPr>
          <w:rFonts w:ascii="FangSong" w:hAnsi="FangSong" w:eastAsia="FangSong" w:cs="FangSong"/>
          <w:sz w:val="24"/>
          <w:szCs w:val="24"/>
          <w:spacing w:val="-4"/>
        </w:rPr>
        <w:t>的栖息生境产生一定程度的扰</w:t>
      </w:r>
      <w:r>
        <w:rPr>
          <w:rFonts w:ascii="FangSong" w:hAnsi="FangSong" w:eastAsia="FangSong" w:cs="FangSong"/>
          <w:sz w:val="24"/>
          <w:szCs w:val="24"/>
          <w:spacing w:val="-3"/>
        </w:rPr>
        <w:t>动，如可能限制某些动物进入它们习惯的季节性觅食区，使之不能</w:t>
      </w:r>
      <w:r>
        <w:rPr>
          <w:rFonts w:ascii="FangSong" w:hAnsi="FangSong" w:eastAsia="FangSong" w:cs="FangSong"/>
          <w:sz w:val="24"/>
          <w:szCs w:val="24"/>
          <w:spacing w:val="-4"/>
        </w:rPr>
        <w:t>更大范围的觅</w:t>
      </w:r>
      <w:r>
        <w:rPr>
          <w:rFonts w:ascii="FangSong" w:hAnsi="FangSong" w:eastAsia="FangSong" w:cs="FangSong"/>
          <w:sz w:val="24"/>
          <w:szCs w:val="24"/>
          <w:spacing w:val="-3"/>
        </w:rPr>
        <w:t>食。此外，项目区施工机械、施工人员活动及运输车辆等对现有动</w:t>
      </w:r>
      <w:r>
        <w:rPr>
          <w:rFonts w:ascii="FangSong" w:hAnsi="FangSong" w:eastAsia="FangSong" w:cs="FangSong"/>
          <w:sz w:val="24"/>
          <w:szCs w:val="24"/>
          <w:spacing w:val="-4"/>
        </w:rPr>
        <w:t>物的栖息生境</w:t>
      </w:r>
      <w:r>
        <w:rPr>
          <w:rFonts w:ascii="FangSong" w:hAnsi="FangSong" w:eastAsia="FangSong" w:cs="FangSong"/>
          <w:sz w:val="24"/>
          <w:szCs w:val="24"/>
          <w:spacing w:val="-3"/>
        </w:rPr>
        <w:t>产生扰动，对各类动物产生不同程度的影响。对项目区动物的栖息</w:t>
      </w:r>
      <w:r>
        <w:rPr>
          <w:rFonts w:ascii="FangSong" w:hAnsi="FangSong" w:eastAsia="FangSong" w:cs="FangSong"/>
          <w:sz w:val="24"/>
          <w:szCs w:val="24"/>
          <w:spacing w:val="-4"/>
        </w:rPr>
        <w:t>、繁衍将产生</w:t>
      </w:r>
    </w:p>
    <w:p>
      <w:pPr>
        <w:spacing w:line="360" w:lineRule="auto"/>
        <w:sectPr>
          <w:footerReference w:type="default" r:id="rId280"/>
          <w:pgSz w:w="11906" w:h="16839"/>
          <w:pgMar w:top="400" w:right="1737"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31" w:right="50" w:firstLine="1"/>
        <w:spacing w:before="78" w:line="360" w:lineRule="auto"/>
        <w:rPr>
          <w:rFonts w:ascii="FangSong" w:hAnsi="FangSong" w:eastAsia="FangSong" w:cs="FangSong"/>
          <w:sz w:val="24"/>
          <w:szCs w:val="24"/>
        </w:rPr>
      </w:pPr>
      <w:r>
        <w:rPr>
          <w:rFonts w:ascii="FangSong" w:hAnsi="FangSong" w:eastAsia="FangSong" w:cs="FangSong"/>
          <w:sz w:val="24"/>
          <w:szCs w:val="24"/>
          <w:spacing w:val="-3"/>
        </w:rPr>
        <w:t>局部影响，可能造成动物的脱离或搬迁。使它们移居到周</w:t>
      </w:r>
      <w:r>
        <w:rPr>
          <w:rFonts w:ascii="FangSong" w:hAnsi="FangSong" w:eastAsia="FangSong" w:cs="FangSong"/>
          <w:sz w:val="24"/>
          <w:szCs w:val="24"/>
          <w:spacing w:val="-4"/>
        </w:rPr>
        <w:t>围干扰较小的地区，并</w:t>
      </w:r>
      <w:r>
        <w:rPr>
          <w:rFonts w:ascii="FangSong" w:hAnsi="FangSong" w:eastAsia="FangSong" w:cs="FangSong"/>
          <w:sz w:val="24"/>
          <w:szCs w:val="24"/>
          <w:spacing w:val="-2"/>
        </w:rPr>
        <w:t>在新的环境中适应和生存。</w:t>
      </w:r>
    </w:p>
    <w:p>
      <w:pPr>
        <w:ind w:left="30" w:right="11" w:firstLine="510"/>
        <w:spacing w:before="1" w:line="360" w:lineRule="auto"/>
        <w:jc w:val="both"/>
        <w:rPr>
          <w:rFonts w:ascii="FangSong" w:hAnsi="FangSong" w:eastAsia="FangSong" w:cs="FangSong"/>
          <w:sz w:val="24"/>
          <w:szCs w:val="24"/>
        </w:rPr>
      </w:pPr>
      <w:r>
        <w:rPr>
          <w:rFonts w:ascii="FangSong" w:hAnsi="FangSong" w:eastAsia="FangSong" w:cs="FangSong"/>
          <w:sz w:val="24"/>
          <w:szCs w:val="24"/>
          <w:spacing w:val="-3"/>
        </w:rPr>
        <w:t>由于项目区没有固定或必经的动物迁徒信道，工程建设和各项设施</w:t>
      </w:r>
      <w:r>
        <w:rPr>
          <w:rFonts w:ascii="FangSong" w:hAnsi="FangSong" w:eastAsia="FangSong" w:cs="FangSong"/>
          <w:sz w:val="24"/>
          <w:szCs w:val="24"/>
          <w:spacing w:val="-4"/>
        </w:rPr>
        <w:t>的布局，</w:t>
      </w:r>
      <w:r>
        <w:rPr>
          <w:rFonts w:ascii="FangSong" w:hAnsi="FangSong" w:eastAsia="FangSong" w:cs="FangSong"/>
          <w:sz w:val="24"/>
          <w:szCs w:val="24"/>
          <w:spacing w:val="-3"/>
        </w:rPr>
        <w:t>不存在阻隔这些野生动物的迁徒通道，通过现场调查和咨询，项</w:t>
      </w:r>
      <w:r>
        <w:rPr>
          <w:rFonts w:ascii="FangSong" w:hAnsi="FangSong" w:eastAsia="FangSong" w:cs="FangSong"/>
          <w:sz w:val="24"/>
          <w:szCs w:val="24"/>
          <w:spacing w:val="-4"/>
        </w:rPr>
        <w:t>目占地范围内动</w:t>
      </w:r>
      <w:r>
        <w:rPr>
          <w:rFonts w:ascii="FangSong" w:hAnsi="FangSong" w:eastAsia="FangSong" w:cs="FangSong"/>
          <w:sz w:val="24"/>
          <w:szCs w:val="24"/>
          <w:spacing w:val="-3"/>
        </w:rPr>
        <w:t>物资源受人类活动影响较馈乏，主要是小型野生动物有黑线仓鼠</w:t>
      </w:r>
      <w:r>
        <w:rPr>
          <w:rFonts w:ascii="FangSong" w:hAnsi="FangSong" w:eastAsia="FangSong" w:cs="FangSong"/>
          <w:sz w:val="24"/>
          <w:szCs w:val="24"/>
          <w:spacing w:val="-4"/>
        </w:rPr>
        <w:t>、蒙古兔、蒙古</w:t>
      </w:r>
      <w:r>
        <w:rPr>
          <w:rFonts w:ascii="FangSong" w:hAnsi="FangSong" w:eastAsia="FangSong" w:cs="FangSong"/>
          <w:sz w:val="24"/>
          <w:szCs w:val="24"/>
          <w:spacing w:val="-3"/>
        </w:rPr>
        <w:t>麻蜥等，没有珍稀物种，同时该区域人类活动较早，对动物的影</w:t>
      </w:r>
      <w:r>
        <w:rPr>
          <w:rFonts w:ascii="FangSong" w:hAnsi="FangSong" w:eastAsia="FangSong" w:cs="FangSong"/>
          <w:sz w:val="24"/>
          <w:szCs w:val="24"/>
          <w:spacing w:val="-4"/>
        </w:rPr>
        <w:t>响不大，因此项</w:t>
      </w:r>
      <w:r>
        <w:rPr>
          <w:rFonts w:ascii="FangSong" w:hAnsi="FangSong" w:eastAsia="FangSong" w:cs="FangSong"/>
          <w:sz w:val="24"/>
          <w:szCs w:val="24"/>
          <w:spacing w:val="-1"/>
        </w:rPr>
        <w:t>目施工期对周边野生动物资源的影响不大。</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）对鸟类的影响</w:t>
      </w:r>
    </w:p>
    <w:p>
      <w:pPr>
        <w:ind w:left="30" w:right="50"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根据现状调查，评价区内无国家保护鸟类，在</w:t>
      </w:r>
      <w:r>
        <w:rPr>
          <w:rFonts w:ascii="FangSong" w:hAnsi="FangSong" w:eastAsia="FangSong" w:cs="FangSong"/>
          <w:sz w:val="24"/>
          <w:szCs w:val="24"/>
          <w:spacing w:val="-4"/>
        </w:rPr>
        <w:t>实际的调查、走访过程中，在</w:t>
      </w:r>
      <w:r>
        <w:rPr>
          <w:rFonts w:ascii="FangSong" w:hAnsi="FangSong" w:eastAsia="FangSong" w:cs="FangSong"/>
          <w:sz w:val="24"/>
          <w:szCs w:val="24"/>
          <w:spacing w:val="-3"/>
        </w:rPr>
        <w:t>项目的施工区内并没有发现保护鸟类的存在，主要鸟类有鹌鹑等</w:t>
      </w:r>
      <w:r>
        <w:rPr>
          <w:rFonts w:ascii="FangSong" w:hAnsi="FangSong" w:eastAsia="FangSong" w:cs="FangSong"/>
          <w:sz w:val="24"/>
          <w:szCs w:val="24"/>
          <w:spacing w:val="-4"/>
        </w:rPr>
        <w:t>。此外，因施工</w:t>
      </w:r>
      <w:r>
        <w:rPr>
          <w:rFonts w:ascii="FangSong" w:hAnsi="FangSong" w:eastAsia="FangSong" w:cs="FangSong"/>
          <w:sz w:val="24"/>
          <w:szCs w:val="24"/>
          <w:spacing w:val="-3"/>
        </w:rPr>
        <w:t>区范围较小，这些鸟类不会因工程建设与运行而有灭绝的危险，</w:t>
      </w:r>
      <w:r>
        <w:rPr>
          <w:rFonts w:ascii="FangSong" w:hAnsi="FangSong" w:eastAsia="FangSong" w:cs="FangSong"/>
          <w:sz w:val="24"/>
          <w:szCs w:val="24"/>
          <w:spacing w:val="-4"/>
        </w:rPr>
        <w:t>故本项目对这些</w:t>
      </w:r>
      <w:r>
        <w:rPr>
          <w:rFonts w:ascii="FangSong" w:hAnsi="FangSong" w:eastAsia="FangSong" w:cs="FangSong"/>
          <w:sz w:val="24"/>
          <w:szCs w:val="24"/>
          <w:spacing w:val="-2"/>
        </w:rPr>
        <w:t>保护鸟类的影响是有限、可控的。</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6.1.6.3</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工程占地</w:t>
      </w:r>
    </w:p>
    <w:p>
      <w:pPr>
        <w:ind w:left="29" w:right="50" w:firstLine="481"/>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本项目办公生活区、工业广场及其附属建筑、</w:t>
      </w:r>
      <w:r>
        <w:rPr>
          <w:rFonts w:ascii="FangSong" w:hAnsi="FangSong" w:eastAsia="FangSong" w:cs="FangSong"/>
          <w:sz w:val="24"/>
          <w:szCs w:val="24"/>
          <w:spacing w:val="-4"/>
        </w:rPr>
        <w:t>道路建设等工程施工中，平整</w:t>
      </w:r>
      <w:r>
        <w:rPr>
          <w:rFonts w:ascii="FangSong" w:hAnsi="FangSong" w:eastAsia="FangSong" w:cs="FangSong"/>
          <w:sz w:val="24"/>
          <w:szCs w:val="24"/>
          <w:spacing w:val="-3"/>
        </w:rPr>
        <w:t>场地、开挖地表造成直接施工区域内地表植被的完全破坏和施工区域</w:t>
      </w:r>
      <w:r>
        <w:rPr>
          <w:rFonts w:ascii="FangSong" w:hAnsi="FangSong" w:eastAsia="FangSong" w:cs="FangSong"/>
          <w:sz w:val="24"/>
          <w:szCs w:val="24"/>
          <w:spacing w:val="-4"/>
        </w:rPr>
        <w:t>一定范围内</w:t>
      </w:r>
      <w:r>
        <w:rPr>
          <w:rFonts w:ascii="FangSong" w:hAnsi="FangSong" w:eastAsia="FangSong" w:cs="FangSong"/>
          <w:sz w:val="24"/>
          <w:szCs w:val="24"/>
          <w:spacing w:val="-3"/>
        </w:rPr>
        <w:t>植被不同程度的破坏；施工机械、材料的堆放、施工人员践踏、表土</w:t>
      </w:r>
      <w:r>
        <w:rPr>
          <w:rFonts w:ascii="FangSong" w:hAnsi="FangSong" w:eastAsia="FangSong" w:cs="FangSong"/>
          <w:sz w:val="24"/>
          <w:szCs w:val="24"/>
          <w:spacing w:val="-4"/>
        </w:rPr>
        <w:t>、挖土的堆</w:t>
      </w:r>
      <w:r>
        <w:rPr>
          <w:rFonts w:ascii="FangSong" w:hAnsi="FangSong" w:eastAsia="FangSong" w:cs="FangSong"/>
          <w:sz w:val="24"/>
          <w:szCs w:val="24"/>
          <w:spacing w:val="-1"/>
        </w:rPr>
        <w:t>放等，还造成了一定区域内植被破坏和水土流失。</w:t>
      </w:r>
    </w:p>
    <w:p>
      <w:pPr>
        <w:ind w:left="30" w:firstLine="480"/>
        <w:spacing w:before="6" w:line="359" w:lineRule="auto"/>
        <w:jc w:val="both"/>
        <w:rPr>
          <w:rFonts w:ascii="FangSong" w:hAnsi="FangSong" w:eastAsia="FangSong" w:cs="FangSong"/>
          <w:sz w:val="24"/>
          <w:szCs w:val="24"/>
        </w:rPr>
      </w:pPr>
      <w:r>
        <w:rPr>
          <w:rFonts w:ascii="FangSong" w:hAnsi="FangSong" w:eastAsia="FangSong" w:cs="FangSong"/>
          <w:sz w:val="24"/>
          <w:szCs w:val="24"/>
          <w:spacing w:val="-2"/>
        </w:rPr>
        <w:t>项目为地下开采，对地面破坏主要为办公生活区、工业广场及其附属建筑、</w:t>
      </w:r>
      <w:r>
        <w:rPr>
          <w:rFonts w:ascii="FangSong" w:hAnsi="FangSong" w:eastAsia="FangSong" w:cs="FangSong"/>
          <w:sz w:val="24"/>
          <w:szCs w:val="24"/>
          <w:spacing w:val="-3"/>
        </w:rPr>
        <w:t>道路建设，对地表的影响较小，本项目永久占地面积为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7.2203hm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w:t>
      </w:r>
      <w:r>
        <w:rPr>
          <w:rFonts w:ascii="FangSong" w:hAnsi="FangSong" w:eastAsia="FangSong" w:cs="FangSong"/>
          <w:sz w:val="24"/>
          <w:szCs w:val="24"/>
          <w:spacing w:val="-63"/>
        </w:rPr>
        <w:t xml:space="preserve"> </w:t>
      </w:r>
      <w:r>
        <w:rPr>
          <w:rFonts w:ascii="FangSong" w:hAnsi="FangSong" w:eastAsia="FangSong" w:cs="FangSong"/>
          <w:sz w:val="24"/>
          <w:szCs w:val="24"/>
          <w:spacing w:val="-3"/>
        </w:rPr>
        <w:t>占地类型基</w:t>
      </w:r>
      <w:r>
        <w:rPr>
          <w:rFonts w:ascii="FangSong" w:hAnsi="FangSong" w:eastAsia="FangSong" w:cs="FangSong"/>
          <w:sz w:val="24"/>
          <w:szCs w:val="24"/>
          <w:spacing w:val="-3"/>
        </w:rPr>
        <w:t>本为天然牧草地，这部分破坏的土地在较长时间内不能得到恢复</w:t>
      </w:r>
      <w:r>
        <w:rPr>
          <w:rFonts w:ascii="FangSong" w:hAnsi="FangSong" w:eastAsia="FangSong" w:cs="FangSong"/>
          <w:sz w:val="24"/>
          <w:szCs w:val="24"/>
          <w:spacing w:val="-4"/>
        </w:rPr>
        <w:t>，生态环境将受</w:t>
      </w:r>
      <w:r>
        <w:rPr>
          <w:rFonts w:ascii="FangSong" w:hAnsi="FangSong" w:eastAsia="FangSong" w:cs="FangSong"/>
          <w:sz w:val="24"/>
          <w:szCs w:val="24"/>
          <w:spacing w:val="-3"/>
        </w:rPr>
        <w:t>到一定的影响。但这部分占地在生产结束后进行复垦，生态环境</w:t>
      </w:r>
      <w:r>
        <w:rPr>
          <w:rFonts w:ascii="FangSong" w:hAnsi="FangSong" w:eastAsia="FangSong" w:cs="FangSong"/>
          <w:sz w:val="24"/>
          <w:szCs w:val="24"/>
          <w:spacing w:val="-4"/>
        </w:rPr>
        <w:t>将得到一定的恢</w:t>
      </w:r>
      <w:r>
        <w:rPr>
          <w:rFonts w:ascii="FangSong" w:hAnsi="FangSong" w:eastAsia="FangSong" w:cs="FangSong"/>
          <w:sz w:val="24"/>
          <w:szCs w:val="24"/>
          <w:spacing w:val="-4"/>
        </w:rPr>
        <w:t>复与改善。</w:t>
      </w:r>
    </w:p>
    <w:p>
      <w:pPr>
        <w:ind w:left="30" w:right="50"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2"/>
        </w:rPr>
        <w:t>根据苏尼特右旗各局情况说明文件（详见附件</w:t>
      </w:r>
      <w:r>
        <w:rPr>
          <w:rFonts w:ascii="FangSong" w:hAnsi="FangSong" w:eastAsia="FangSong" w:cs="FangSong"/>
          <w:sz w:val="24"/>
          <w:szCs w:val="24"/>
          <w:spacing w:val="-24"/>
        </w:rPr>
        <w:t>），</w:t>
      </w:r>
      <w:r>
        <w:rPr>
          <w:rFonts w:ascii="FangSong" w:hAnsi="FangSong" w:eastAsia="FangSong" w:cs="FangSong"/>
          <w:sz w:val="24"/>
          <w:szCs w:val="24"/>
          <w:spacing w:val="-2"/>
        </w:rPr>
        <w:t>本项目占地范围不在</w:t>
      </w:r>
      <w:r>
        <w:rPr>
          <w:rFonts w:ascii="FangSong" w:hAnsi="FangSong" w:eastAsia="FangSong" w:cs="FangSong"/>
          <w:sz w:val="24"/>
          <w:szCs w:val="24"/>
          <w:spacing w:val="-3"/>
        </w:rPr>
        <w:t>自然</w:t>
      </w:r>
      <w:r>
        <w:rPr>
          <w:rFonts w:ascii="FangSong" w:hAnsi="FangSong" w:eastAsia="FangSong" w:cs="FangSong"/>
          <w:sz w:val="24"/>
          <w:szCs w:val="24"/>
          <w:spacing w:val="-4"/>
        </w:rPr>
        <w:t>保护地（含风景名胜区等</w:t>
      </w:r>
      <w:r>
        <w:rPr>
          <w:rFonts w:ascii="FangSong" w:hAnsi="FangSong" w:eastAsia="FangSong" w:cs="FangSong"/>
          <w:sz w:val="24"/>
          <w:szCs w:val="24"/>
          <w:spacing w:val="10"/>
        </w:rPr>
        <w:t>），</w:t>
      </w:r>
      <w:r>
        <w:rPr>
          <w:rFonts w:ascii="FangSong" w:hAnsi="FangSong" w:eastAsia="FangSong" w:cs="FangSong"/>
          <w:sz w:val="24"/>
          <w:szCs w:val="24"/>
          <w:spacing w:val="-4"/>
        </w:rPr>
        <w:t>国家级公益林，基本草原，国际重要湿地，国家重</w:t>
      </w:r>
      <w:r>
        <w:rPr>
          <w:rFonts w:ascii="FangSong" w:hAnsi="FangSong" w:eastAsia="FangSong" w:cs="FangSong"/>
          <w:sz w:val="24"/>
          <w:szCs w:val="24"/>
          <w:spacing w:val="-5"/>
        </w:rPr>
        <w:t>要湿地，世界自然（</w:t>
      </w:r>
      <w:r>
        <w:rPr>
          <w:rFonts w:ascii="FangSong" w:hAnsi="FangSong" w:eastAsia="FangSong" w:cs="FangSong"/>
          <w:sz w:val="24"/>
          <w:szCs w:val="24"/>
          <w:spacing w:val="-57"/>
        </w:rPr>
        <w:t xml:space="preserve"> </w:t>
      </w:r>
      <w:r>
        <w:rPr>
          <w:rFonts w:ascii="FangSong" w:hAnsi="FangSong" w:eastAsia="FangSong" w:cs="FangSong"/>
          <w:sz w:val="24"/>
          <w:szCs w:val="24"/>
          <w:spacing w:val="-5"/>
        </w:rPr>
        <w:t>自然与文化）遗产地及文物保护地，饮用水水源保护区，水</w:t>
      </w:r>
      <w:r>
        <w:rPr>
          <w:rFonts w:ascii="FangSong" w:hAnsi="FangSong" w:eastAsia="FangSong" w:cs="FangSong"/>
          <w:sz w:val="24"/>
          <w:szCs w:val="24"/>
          <w:spacing w:val="-3"/>
        </w:rPr>
        <w:t>产种质保护区等其他不宜设置采矿权的区域。建设单位未委托有</w:t>
      </w:r>
      <w:r>
        <w:rPr>
          <w:rFonts w:ascii="FangSong" w:hAnsi="FangSong" w:eastAsia="FangSong" w:cs="FangSong"/>
          <w:sz w:val="24"/>
          <w:szCs w:val="24"/>
          <w:spacing w:val="-4"/>
        </w:rPr>
        <w:t>资质的草地调查</w:t>
      </w:r>
      <w:r>
        <w:rPr>
          <w:rFonts w:ascii="FangSong" w:hAnsi="FangSong" w:eastAsia="FangSong" w:cs="FangSong"/>
          <w:sz w:val="24"/>
          <w:szCs w:val="24"/>
          <w:spacing w:val="-3"/>
        </w:rPr>
        <w:t>单位进行实地勘察，本次环评要求企业需在获得林草部门相关审</w:t>
      </w:r>
      <w:r>
        <w:rPr>
          <w:rFonts w:ascii="FangSong" w:hAnsi="FangSong" w:eastAsia="FangSong" w:cs="FangSong"/>
          <w:sz w:val="24"/>
          <w:szCs w:val="24"/>
          <w:spacing w:val="-4"/>
        </w:rPr>
        <w:t>核及审批件、征</w:t>
      </w:r>
      <w:r>
        <w:rPr>
          <w:rFonts w:ascii="FangSong" w:hAnsi="FangSong" w:eastAsia="FangSong" w:cs="FangSong"/>
          <w:sz w:val="24"/>
          <w:szCs w:val="24"/>
          <w:spacing w:val="-1"/>
        </w:rPr>
        <w:t>得林草部门许可的前提下方可对草地进行施工及补偿。</w:t>
      </w:r>
    </w:p>
    <w:p>
      <w:pPr>
        <w:spacing w:line="360" w:lineRule="auto"/>
        <w:sectPr>
          <w:footerReference w:type="default" r:id="rId281"/>
          <w:pgSz w:w="11906" w:h="16839"/>
          <w:pgMar w:top="400" w:right="1749"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6.1.6.4</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b/>
          <w:bCs/>
          <w:spacing w:val="-3"/>
        </w:rPr>
        <w:t>水土流失</w:t>
      </w:r>
    </w:p>
    <w:p>
      <w:pPr>
        <w:ind w:left="23" w:right="76" w:firstLine="486"/>
        <w:spacing w:before="177" w:line="360" w:lineRule="auto"/>
        <w:jc w:val="both"/>
        <w:rPr>
          <w:rFonts w:ascii="FangSong" w:hAnsi="FangSong" w:eastAsia="FangSong" w:cs="FangSong"/>
          <w:sz w:val="24"/>
          <w:szCs w:val="24"/>
        </w:rPr>
      </w:pPr>
      <w:r>
        <w:rPr>
          <w:rFonts w:ascii="FangSong" w:hAnsi="FangSong" w:eastAsia="FangSong" w:cs="FangSong"/>
          <w:sz w:val="24"/>
          <w:szCs w:val="24"/>
          <w:spacing w:val="-2"/>
        </w:rPr>
        <w:t>根据建设单位提供资料及现场调查可知，本项目工程占地</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7.2203hm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，主要</w:t>
      </w:r>
      <w:r>
        <w:rPr>
          <w:rFonts w:ascii="FangSong" w:hAnsi="FangSong" w:eastAsia="FangSong" w:cs="FangSong"/>
          <w:sz w:val="24"/>
          <w:szCs w:val="24"/>
          <w:spacing w:val="10"/>
        </w:rPr>
        <w:t>为风力侵蚀</w:t>
      </w:r>
      <w:r>
        <w:rPr>
          <w:rFonts w:ascii="FangSong" w:hAnsi="FangSong" w:eastAsia="FangSong" w:cs="FangSong"/>
          <w:sz w:val="24"/>
          <w:szCs w:val="24"/>
          <w:spacing w:val="-58"/>
        </w:rPr>
        <w:t xml:space="preserve"> </w:t>
      </w:r>
      <w:r>
        <w:rPr>
          <w:rFonts w:ascii="FangSong" w:hAnsi="FangSong" w:eastAsia="FangSong" w:cs="FangSong"/>
          <w:sz w:val="24"/>
          <w:szCs w:val="24"/>
          <w:spacing w:val="10"/>
        </w:rPr>
        <w:t>；本项</w:t>
      </w:r>
      <w:r>
        <w:rPr>
          <w:rFonts w:ascii="FangSong" w:hAnsi="FangSong" w:eastAsia="FangSong" w:cs="FangSong"/>
          <w:sz w:val="24"/>
          <w:szCs w:val="24"/>
          <w:spacing w:val="-40"/>
        </w:rPr>
        <w:t xml:space="preserve"> </w:t>
      </w:r>
      <w:r>
        <w:rPr>
          <w:rFonts w:ascii="FangSong" w:hAnsi="FangSong" w:eastAsia="FangSong" w:cs="FangSong"/>
          <w:sz w:val="24"/>
          <w:szCs w:val="24"/>
          <w:spacing w:val="10"/>
        </w:rPr>
        <w:t>目施工共产生土石方挖方量</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10"/>
        </w:rPr>
        <w:t>43221.60m</w:t>
      </w:r>
      <w:r>
        <w:rPr>
          <w:rFonts w:ascii="Times New Roman" w:hAnsi="Times New Roman" w:eastAsia="Times New Roman" w:cs="Times New Roman"/>
          <w:sz w:val="15"/>
          <w:szCs w:val="15"/>
          <w:spacing w:val="10"/>
          <w:position w:val="7"/>
        </w:rPr>
        <w:t>3</w:t>
      </w:r>
      <w:r>
        <w:rPr>
          <w:rFonts w:ascii="Times New Roman" w:hAnsi="Times New Roman" w:eastAsia="Times New Roman" w:cs="Times New Roman"/>
          <w:sz w:val="15"/>
          <w:szCs w:val="15"/>
          <w:spacing w:val="18"/>
          <w:position w:val="7"/>
        </w:rPr>
        <w:t xml:space="preserve"> </w:t>
      </w:r>
      <w:r>
        <w:rPr>
          <w:rFonts w:ascii="FangSong" w:hAnsi="FangSong" w:eastAsia="FangSong" w:cs="FangSong"/>
          <w:sz w:val="24"/>
          <w:szCs w:val="24"/>
          <w:spacing w:val="10"/>
        </w:rPr>
        <w:t>，土石方回填量</w:t>
      </w:r>
      <w:r>
        <w:rPr>
          <w:rFonts w:ascii="Times New Roman" w:hAnsi="Times New Roman" w:eastAsia="Times New Roman" w:cs="Times New Roman"/>
          <w:sz w:val="24"/>
          <w:szCs w:val="24"/>
          <w:spacing w:val="-1"/>
        </w:rPr>
        <w:t>34581.60m</w:t>
      </w:r>
      <w:r>
        <w:rPr>
          <w:rFonts w:ascii="Times New Roman" w:hAnsi="Times New Roman" w:eastAsia="Times New Roman" w:cs="Times New Roman"/>
          <w:sz w:val="15"/>
          <w:szCs w:val="15"/>
          <w:spacing w:val="-1"/>
          <w:position w:val="7"/>
        </w:rPr>
        <w:t>3 </w:t>
      </w:r>
      <w:r>
        <w:rPr>
          <w:rFonts w:ascii="FangSong" w:hAnsi="FangSong" w:eastAsia="FangSong" w:cs="FangSong"/>
          <w:sz w:val="24"/>
          <w:szCs w:val="24"/>
          <w:spacing w:val="-1"/>
        </w:rPr>
        <w:t>，余方</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8640.00m</w:t>
      </w:r>
      <w:r>
        <w:rPr>
          <w:rFonts w:ascii="Times New Roman" w:hAnsi="Times New Roman" w:eastAsia="Times New Roman" w:cs="Times New Roman"/>
          <w:sz w:val="15"/>
          <w:szCs w:val="15"/>
          <w:spacing w:val="-1"/>
          <w:position w:val="7"/>
        </w:rPr>
        <w:t>3 </w:t>
      </w:r>
      <w:r>
        <w:rPr>
          <w:rFonts w:ascii="FangSong" w:hAnsi="FangSong" w:eastAsia="FangSong" w:cs="FangSong"/>
          <w:sz w:val="24"/>
          <w:szCs w:val="24"/>
          <w:spacing w:val="-1"/>
        </w:rPr>
        <w:t>，均为剥离的表土</w:t>
      </w:r>
      <w:r>
        <w:rPr>
          <w:rFonts w:ascii="FangSong" w:hAnsi="FangSong" w:eastAsia="FangSong" w:cs="FangSong"/>
          <w:sz w:val="24"/>
          <w:szCs w:val="24"/>
          <w:spacing w:val="-2"/>
        </w:rPr>
        <w:t>，用于基建期结束后场地平整后</w:t>
      </w:r>
      <w:r>
        <w:rPr>
          <w:rFonts w:ascii="FangSong" w:hAnsi="FangSong" w:eastAsia="FangSong" w:cs="FangSong"/>
          <w:sz w:val="24"/>
          <w:szCs w:val="24"/>
          <w:spacing w:val="-1"/>
        </w:rPr>
        <w:t>覆土及闭矿期矿山环境恢复治理。</w:t>
      </w:r>
    </w:p>
    <w:p>
      <w:pPr>
        <w:ind w:left="29" w:firstLine="479"/>
        <w:spacing w:line="360" w:lineRule="auto"/>
        <w:jc w:val="both"/>
        <w:rPr>
          <w:rFonts w:ascii="FangSong" w:hAnsi="FangSong" w:eastAsia="FangSong" w:cs="FangSong"/>
          <w:sz w:val="24"/>
          <w:szCs w:val="24"/>
        </w:rPr>
      </w:pPr>
      <w:r>
        <w:rPr>
          <w:rFonts w:ascii="FangSong" w:hAnsi="FangSong" w:eastAsia="FangSong" w:cs="FangSong"/>
          <w:sz w:val="24"/>
          <w:szCs w:val="24"/>
          <w:spacing w:val="-8"/>
        </w:rPr>
        <w:t>施工期水土流失主要是由于基础设施的建设，挖方和填方，扰动原地表植</w:t>
      </w:r>
      <w:r>
        <w:rPr>
          <w:rFonts w:ascii="FangSong" w:hAnsi="FangSong" w:eastAsia="FangSong" w:cs="FangSong"/>
          <w:sz w:val="24"/>
          <w:szCs w:val="24"/>
          <w:spacing w:val="-9"/>
        </w:rPr>
        <w:t>被，</w:t>
      </w:r>
      <w:r>
        <w:rPr>
          <w:rFonts w:ascii="FangSong" w:hAnsi="FangSong" w:eastAsia="FangSong" w:cs="FangSong"/>
          <w:sz w:val="24"/>
          <w:szCs w:val="24"/>
          <w:spacing w:val="-1"/>
        </w:rPr>
        <w:t>使大面积土壤暴露在外，裸露的土壤在风力的作用下产生土壤风蚀；施工材料、</w:t>
      </w:r>
      <w:r>
        <w:rPr>
          <w:rFonts w:ascii="FangSong" w:hAnsi="FangSong" w:eastAsia="FangSong" w:cs="FangSong"/>
          <w:sz w:val="24"/>
          <w:szCs w:val="24"/>
          <w:spacing w:val="-3"/>
        </w:rPr>
        <w:t>开挖土料的堆放，占压植被扰动原地表，使地表裸露面进一步扩大</w:t>
      </w:r>
      <w:r>
        <w:rPr>
          <w:rFonts w:ascii="FangSong" w:hAnsi="FangSong" w:eastAsia="FangSong" w:cs="FangSong"/>
          <w:sz w:val="24"/>
          <w:szCs w:val="24"/>
          <w:spacing w:val="-4"/>
        </w:rPr>
        <w:t>，侵蚀面积增</w:t>
      </w:r>
      <w:r>
        <w:rPr>
          <w:rFonts w:ascii="FangSong" w:hAnsi="FangSong" w:eastAsia="FangSong" w:cs="FangSong"/>
          <w:sz w:val="24"/>
          <w:szCs w:val="24"/>
          <w:spacing w:val="-8"/>
        </w:rPr>
        <w:t>大，在无任何防护下，易产生以风蚀为主的风水交错侵蚀；裸露带产生土壤风蚀、</w:t>
      </w:r>
      <w:r>
        <w:rPr>
          <w:rFonts w:ascii="FangSong" w:hAnsi="FangSong" w:eastAsia="FangSong" w:cs="FangSong"/>
          <w:sz w:val="24"/>
          <w:szCs w:val="24"/>
          <w:spacing w:val="-1"/>
        </w:rPr>
        <w:t>进入雨季发生水蚀。产生水土流失的区域，土壤肥力流失，植物生存条件丧失，</w:t>
      </w:r>
      <w:r>
        <w:rPr>
          <w:rFonts w:ascii="FangSong" w:hAnsi="FangSong" w:eastAsia="FangSong" w:cs="FangSong"/>
          <w:sz w:val="24"/>
          <w:szCs w:val="24"/>
          <w:spacing w:val="-3"/>
        </w:rPr>
        <w:t>使地表的植被生物量受到破坏和损失。施工扰动区如果不进行治理</w:t>
      </w:r>
      <w:r>
        <w:rPr>
          <w:rFonts w:ascii="FangSong" w:hAnsi="FangSong" w:eastAsia="FangSong" w:cs="FangSong"/>
          <w:sz w:val="24"/>
          <w:szCs w:val="24"/>
          <w:spacing w:val="-4"/>
        </w:rPr>
        <w:t>，这些区域地</w:t>
      </w:r>
      <w:r>
        <w:rPr>
          <w:rFonts w:ascii="FangSong" w:hAnsi="FangSong" w:eastAsia="FangSong" w:cs="FangSong"/>
          <w:sz w:val="24"/>
          <w:szCs w:val="24"/>
          <w:spacing w:val="-3"/>
        </w:rPr>
        <w:t>表植被的破坏后可引起土地退化和沙化，永久占地使土地失去原有</w:t>
      </w:r>
      <w:r>
        <w:rPr>
          <w:rFonts w:ascii="FangSong" w:hAnsi="FangSong" w:eastAsia="FangSong" w:cs="FangSong"/>
          <w:sz w:val="24"/>
          <w:szCs w:val="24"/>
          <w:spacing w:val="-4"/>
        </w:rPr>
        <w:t>的生物生产功</w:t>
      </w:r>
      <w:r>
        <w:rPr>
          <w:rFonts w:ascii="FangSong" w:hAnsi="FangSong" w:eastAsia="FangSong" w:cs="FangSong"/>
          <w:sz w:val="24"/>
          <w:szCs w:val="24"/>
          <w:spacing w:val="-3"/>
        </w:rPr>
        <w:t>能和生态功能。</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6.1.6.5  </w:t>
      </w:r>
      <w:r>
        <w:rPr>
          <w:rFonts w:ascii="FangSong" w:hAnsi="FangSong" w:eastAsia="FangSong" w:cs="FangSong"/>
          <w:sz w:val="24"/>
          <w:szCs w:val="24"/>
          <w:b/>
          <w:bCs/>
          <w:spacing w:val="-2"/>
        </w:rPr>
        <w:t>对防风治沙的影响</w:t>
      </w:r>
    </w:p>
    <w:p>
      <w:pPr>
        <w:ind w:left="30" w:firstLine="499"/>
        <w:spacing w:before="178" w:line="360" w:lineRule="auto"/>
        <w:jc w:val="both"/>
        <w:rPr>
          <w:rFonts w:ascii="FangSong" w:hAnsi="FangSong" w:eastAsia="FangSong" w:cs="FangSong"/>
          <w:sz w:val="24"/>
          <w:szCs w:val="24"/>
        </w:rPr>
      </w:pPr>
      <w:r>
        <w:rPr>
          <w:rFonts w:ascii="FangSong" w:hAnsi="FangSong" w:eastAsia="FangSong" w:cs="FangSong"/>
          <w:sz w:val="24"/>
          <w:szCs w:val="24"/>
          <w:spacing w:val="-4"/>
        </w:rPr>
        <w:t>区域气候条件较恶劣，风沙灾害较频繁，严重地影响了广大人民群众的生产</w:t>
      </w:r>
      <w:r>
        <w:rPr>
          <w:rFonts w:ascii="FangSong" w:hAnsi="FangSong" w:eastAsia="FangSong" w:cs="FangSong"/>
          <w:sz w:val="24"/>
          <w:szCs w:val="24"/>
          <w:spacing w:val="-8"/>
        </w:rPr>
        <w:t>生活，制约着沙区经济社会可持续发展。土地沙化的主要污染方式为滥采、乱挖、</w:t>
      </w:r>
      <w:r>
        <w:rPr>
          <w:rFonts w:ascii="FangSong" w:hAnsi="FangSong" w:eastAsia="FangSong" w:cs="FangSong"/>
          <w:sz w:val="24"/>
          <w:szCs w:val="24"/>
          <w:spacing w:val="-3"/>
        </w:rPr>
        <w:t>滥垦、乱牧、水资源利用不合理等，局部地区土地沙化仍在扩展</w:t>
      </w:r>
      <w:r>
        <w:rPr>
          <w:rFonts w:ascii="FangSong" w:hAnsi="FangSong" w:eastAsia="FangSong" w:cs="FangSong"/>
          <w:sz w:val="24"/>
          <w:szCs w:val="24"/>
          <w:spacing w:val="-4"/>
        </w:rPr>
        <w:t>，防沙治沙形势</w:t>
      </w:r>
      <w:r>
        <w:rPr>
          <w:rFonts w:ascii="FangSong" w:hAnsi="FangSong" w:eastAsia="FangSong" w:cs="FangSong"/>
          <w:sz w:val="24"/>
          <w:szCs w:val="24"/>
          <w:spacing w:val="-3"/>
        </w:rPr>
        <w:t>依然十分严峻。</w:t>
      </w:r>
    </w:p>
    <w:p>
      <w:pPr>
        <w:ind w:left="29" w:right="76"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3"/>
        </w:rPr>
        <w:t>本项目建设过程中，会对施工场地内的表土形</w:t>
      </w:r>
      <w:r>
        <w:rPr>
          <w:rFonts w:ascii="FangSong" w:hAnsi="FangSong" w:eastAsia="FangSong" w:cs="FangSong"/>
          <w:sz w:val="24"/>
          <w:szCs w:val="24"/>
          <w:spacing w:val="-4"/>
        </w:rPr>
        <w:t>成一定程度的破坏，增加土地</w:t>
      </w:r>
      <w:r>
        <w:rPr>
          <w:rFonts w:ascii="FangSong" w:hAnsi="FangSong" w:eastAsia="FangSong" w:cs="FangSong"/>
          <w:sz w:val="24"/>
          <w:szCs w:val="24"/>
          <w:spacing w:val="-3"/>
        </w:rPr>
        <w:t>沙化的风险，因此项目建设过程中，应采取有效的防风治沙措施，</w:t>
      </w:r>
      <w:r>
        <w:rPr>
          <w:rFonts w:ascii="FangSong" w:hAnsi="FangSong" w:eastAsia="FangSong" w:cs="FangSong"/>
          <w:sz w:val="24"/>
          <w:szCs w:val="24"/>
          <w:spacing w:val="-4"/>
        </w:rPr>
        <w:t>在施工结束后</w:t>
      </w:r>
      <w:r>
        <w:rPr>
          <w:rFonts w:ascii="FangSong" w:hAnsi="FangSong" w:eastAsia="FangSong" w:cs="FangSong"/>
          <w:sz w:val="24"/>
          <w:szCs w:val="24"/>
          <w:spacing w:val="-3"/>
        </w:rPr>
        <w:t>应采取生态恢复来弥补临时占地造成的损失，从而降低本项目对我</w:t>
      </w:r>
      <w:r>
        <w:rPr>
          <w:rFonts w:ascii="FangSong" w:hAnsi="FangSong" w:eastAsia="FangSong" w:cs="FangSong"/>
          <w:sz w:val="24"/>
          <w:szCs w:val="24"/>
          <w:spacing w:val="-4"/>
        </w:rPr>
        <w:t>区防风治沙工</w:t>
      </w:r>
      <w:r>
        <w:rPr>
          <w:rFonts w:ascii="FangSong" w:hAnsi="FangSong" w:eastAsia="FangSong" w:cs="FangSong"/>
          <w:sz w:val="24"/>
          <w:szCs w:val="24"/>
          <w:spacing w:val="-4"/>
        </w:rPr>
        <w:t>作的影响。</w:t>
      </w:r>
    </w:p>
    <w:p>
      <w:pPr>
        <w:ind w:left="29" w:right="76" w:firstLine="483"/>
        <w:spacing w:before="1" w:line="360" w:lineRule="auto"/>
        <w:jc w:val="both"/>
        <w:rPr>
          <w:rFonts w:ascii="FangSong" w:hAnsi="FangSong" w:eastAsia="FangSong" w:cs="FangSong"/>
          <w:sz w:val="24"/>
          <w:szCs w:val="24"/>
        </w:rPr>
      </w:pPr>
      <w:r>
        <w:rPr>
          <w:rFonts w:ascii="FangSong" w:hAnsi="FangSong" w:eastAsia="FangSong" w:cs="FangSong"/>
          <w:sz w:val="24"/>
          <w:szCs w:val="24"/>
          <w:spacing w:val="-4"/>
        </w:rPr>
        <w:t>综上所述，建设期的影响虽然持续时间较长，但在采取了必要的生态保护措</w:t>
      </w:r>
      <w:r>
        <w:rPr>
          <w:rFonts w:ascii="FangSong" w:hAnsi="FangSong" w:eastAsia="FangSong" w:cs="FangSong"/>
          <w:sz w:val="24"/>
          <w:szCs w:val="24"/>
          <w:spacing w:val="-3"/>
        </w:rPr>
        <w:t>施后，对生态系统的影响很有限；矿井生产过程中的排污由于采取相</w:t>
      </w:r>
      <w:r>
        <w:rPr>
          <w:rFonts w:ascii="FangSong" w:hAnsi="FangSong" w:eastAsia="FangSong" w:cs="FangSong"/>
          <w:sz w:val="24"/>
          <w:szCs w:val="24"/>
          <w:spacing w:val="-4"/>
        </w:rPr>
        <w:t>对完善的治</w:t>
      </w:r>
      <w:r>
        <w:rPr>
          <w:rFonts w:ascii="FangSong" w:hAnsi="FangSong" w:eastAsia="FangSong" w:cs="FangSong"/>
          <w:sz w:val="24"/>
          <w:szCs w:val="24"/>
          <w:spacing w:val="-1"/>
        </w:rPr>
        <w:t>理措施，对生态体系的影响较小，而且是局部的。</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6.1.6.6</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对景观影响</w:t>
      </w:r>
    </w:p>
    <w:p>
      <w:pPr>
        <w:ind w:left="29" w:right="76" w:firstLine="510"/>
        <w:spacing w:before="180" w:line="360" w:lineRule="auto"/>
        <w:jc w:val="both"/>
        <w:rPr>
          <w:rFonts w:ascii="FangSong" w:hAnsi="FangSong" w:eastAsia="FangSong" w:cs="FangSong"/>
          <w:sz w:val="24"/>
          <w:szCs w:val="24"/>
        </w:rPr>
      </w:pPr>
      <w:r>
        <w:rPr>
          <w:rFonts w:ascii="FangSong" w:hAnsi="FangSong" w:eastAsia="FangSong" w:cs="FangSong"/>
          <w:sz w:val="24"/>
          <w:szCs w:val="24"/>
          <w:spacing w:val="-4"/>
        </w:rPr>
        <w:t>由于主体工程开挖、场地平整和道路修建等施工活动</w:t>
      </w:r>
      <w:r>
        <w:rPr>
          <w:rFonts w:ascii="FangSong" w:hAnsi="FangSong" w:eastAsia="FangSong" w:cs="FangSong"/>
          <w:sz w:val="24"/>
          <w:szCs w:val="24"/>
          <w:spacing w:val="-5"/>
        </w:rPr>
        <w:t>对周围植被的破坏，造</w:t>
      </w:r>
      <w:r>
        <w:rPr>
          <w:rFonts w:ascii="FangSong" w:hAnsi="FangSong" w:eastAsia="FangSong" w:cs="FangSong"/>
          <w:sz w:val="24"/>
          <w:szCs w:val="24"/>
          <w:spacing w:val="-3"/>
        </w:rPr>
        <w:t>成土壤裸露，有碍观瞻，短时间内会产生对视觉的冲击，影响本项</w:t>
      </w:r>
      <w:r>
        <w:rPr>
          <w:rFonts w:ascii="FangSong" w:hAnsi="FangSong" w:eastAsia="FangSong" w:cs="FangSong"/>
          <w:sz w:val="24"/>
          <w:szCs w:val="24"/>
          <w:spacing w:val="-4"/>
        </w:rPr>
        <w:t>目所在地的景</w:t>
      </w:r>
      <w:r>
        <w:rPr>
          <w:rFonts w:ascii="FangSong" w:hAnsi="FangSong" w:eastAsia="FangSong" w:cs="FangSong"/>
          <w:sz w:val="24"/>
          <w:szCs w:val="24"/>
          <w:spacing w:val="-3"/>
        </w:rPr>
        <w:t>观生态质量，但随着施工完毕，建设单位及时进行了土地平整，对</w:t>
      </w:r>
      <w:r>
        <w:rPr>
          <w:rFonts w:ascii="FangSong" w:hAnsi="FangSong" w:eastAsia="FangSong" w:cs="FangSong"/>
          <w:sz w:val="24"/>
          <w:szCs w:val="24"/>
          <w:spacing w:val="-4"/>
        </w:rPr>
        <w:t>永久占地开展</w:t>
      </w:r>
    </w:p>
    <w:p>
      <w:pPr>
        <w:spacing w:line="360" w:lineRule="auto"/>
        <w:sectPr>
          <w:footerReference w:type="default" r:id="rId282"/>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41" w:right="19" w:firstLine="18"/>
        <w:spacing w:before="78" w:line="360" w:lineRule="auto"/>
        <w:jc w:val="both"/>
        <w:rPr>
          <w:rFonts w:ascii="FangSong" w:hAnsi="FangSong" w:eastAsia="FangSong" w:cs="FangSong"/>
          <w:sz w:val="24"/>
          <w:szCs w:val="24"/>
        </w:rPr>
      </w:pPr>
      <w:r>
        <w:rPr>
          <w:rFonts w:ascii="FangSong" w:hAnsi="FangSong" w:eastAsia="FangSong" w:cs="FangSong"/>
          <w:sz w:val="24"/>
          <w:szCs w:val="24"/>
          <w:spacing w:val="-2"/>
        </w:rPr>
        <w:t>了生态恢复措施，整齐的厂房及干净的厂区也在</w:t>
      </w:r>
      <w:r>
        <w:rPr>
          <w:rFonts w:ascii="FangSong" w:hAnsi="FangSong" w:eastAsia="FangSong" w:cs="FangSong"/>
          <w:sz w:val="24"/>
          <w:szCs w:val="24"/>
          <w:spacing w:val="-3"/>
        </w:rPr>
        <w:t>一定程度增加了新的人工景观。</w:t>
      </w:r>
      <w:r>
        <w:rPr>
          <w:rFonts w:ascii="FangSong" w:hAnsi="FangSong" w:eastAsia="FangSong" w:cs="FangSong"/>
          <w:sz w:val="24"/>
          <w:szCs w:val="24"/>
          <w:spacing w:val="-4"/>
        </w:rPr>
        <w:t>随着工业广场、办公生活区及其他辅助生产区与周边自然环境的不断融合，本项</w:t>
      </w:r>
      <w:r>
        <w:rPr>
          <w:rFonts w:ascii="FangSong" w:hAnsi="FangSong" w:eastAsia="FangSong" w:cs="FangSong"/>
          <w:sz w:val="24"/>
          <w:szCs w:val="24"/>
          <w:spacing w:val="-2"/>
        </w:rPr>
        <w:t>目对景观生态环境的影响也将逐渐减轻。</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6.1.6.7</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小结</w:t>
      </w:r>
    </w:p>
    <w:p>
      <w:pPr>
        <w:ind w:left="32" w:right="76" w:firstLine="487"/>
        <w:spacing w:before="178" w:line="361" w:lineRule="auto"/>
        <w:rPr>
          <w:rFonts w:ascii="FangSong" w:hAnsi="FangSong" w:eastAsia="FangSong" w:cs="FangSong"/>
          <w:sz w:val="24"/>
          <w:szCs w:val="24"/>
        </w:rPr>
      </w:pPr>
      <w:r>
        <w:rPr>
          <w:rFonts w:ascii="FangSong" w:hAnsi="FangSong" w:eastAsia="FangSong" w:cs="FangSong"/>
          <w:sz w:val="24"/>
          <w:szCs w:val="24"/>
          <w:spacing w:val="-4"/>
        </w:rPr>
        <w:t>总体而言，施工期间严格落实必要的生态环境保护措施后，对当地的生态环</w:t>
      </w:r>
      <w:r>
        <w:rPr>
          <w:rFonts w:ascii="FangSong" w:hAnsi="FangSong" w:eastAsia="FangSong" w:cs="FangSong"/>
          <w:sz w:val="24"/>
          <w:szCs w:val="24"/>
          <w:spacing w:val="-3"/>
        </w:rPr>
        <w:t>境造成影响可接受。</w:t>
      </w:r>
    </w:p>
    <w:p>
      <w:pPr>
        <w:ind w:left="24"/>
        <w:spacing w:before="54" w:line="223" w:lineRule="auto"/>
        <w:outlineLvl w:val="1"/>
        <w:rPr>
          <w:rFonts w:ascii="FangSong" w:hAnsi="FangSong" w:eastAsia="FangSong" w:cs="FangSong"/>
          <w:sz w:val="28"/>
          <w:szCs w:val="28"/>
        </w:rPr>
      </w:pPr>
      <w:bookmarkStart w:name="bookmark290" w:id="391"/>
      <w:bookmarkEnd w:id="391"/>
      <w:bookmarkStart w:name="bookmark292" w:id="392"/>
      <w:bookmarkEnd w:id="392"/>
      <w:bookmarkStart w:name="bookmark289" w:id="393"/>
      <w:bookmarkEnd w:id="393"/>
      <w:bookmarkStart w:name="bookmark291" w:id="394"/>
      <w:bookmarkEnd w:id="394"/>
      <w:r>
        <w:rPr>
          <w:rFonts w:ascii="Times New Roman" w:hAnsi="Times New Roman" w:eastAsia="Times New Roman" w:cs="Times New Roman"/>
          <w:sz w:val="28"/>
          <w:szCs w:val="28"/>
          <w:b/>
          <w:bCs/>
          <w:spacing w:val="-2"/>
        </w:rPr>
        <w:t>6.2  </w:t>
      </w:r>
      <w:r>
        <w:rPr>
          <w:rFonts w:ascii="FangSong" w:hAnsi="FangSong" w:eastAsia="FangSong" w:cs="FangSong"/>
          <w:sz w:val="28"/>
          <w:szCs w:val="28"/>
          <w:b/>
          <w:bCs/>
          <w:spacing w:val="-2"/>
        </w:rPr>
        <w:t>运营期环境影响评价</w:t>
      </w:r>
    </w:p>
    <w:p>
      <w:pPr>
        <w:ind w:left="22"/>
        <w:spacing w:before="227" w:line="222" w:lineRule="auto"/>
        <w:outlineLvl w:val="2"/>
        <w:rPr>
          <w:rFonts w:ascii="FangSong" w:hAnsi="FangSong" w:eastAsia="FangSong" w:cs="FangSong"/>
          <w:sz w:val="24"/>
          <w:szCs w:val="24"/>
        </w:rPr>
      </w:pPr>
      <w:bookmarkStart w:name="bookmark593" w:id="395"/>
      <w:bookmarkEnd w:id="395"/>
      <w:r>
        <w:rPr>
          <w:rFonts w:ascii="Times New Roman" w:hAnsi="Times New Roman" w:eastAsia="Times New Roman" w:cs="Times New Roman"/>
          <w:sz w:val="24"/>
          <w:szCs w:val="24"/>
          <w:b/>
          <w:bCs/>
          <w:spacing w:val="-2"/>
        </w:rPr>
        <w:t>6.2.1  </w:t>
      </w:r>
      <w:r>
        <w:rPr>
          <w:rFonts w:ascii="FangSong" w:hAnsi="FangSong" w:eastAsia="FangSong" w:cs="FangSong"/>
          <w:sz w:val="24"/>
          <w:szCs w:val="24"/>
          <w:b/>
          <w:bCs/>
          <w:spacing w:val="-2"/>
        </w:rPr>
        <w:t>地表水环境影响分析与评价</w:t>
      </w:r>
    </w:p>
    <w:p>
      <w:pPr>
        <w:ind w:left="514"/>
        <w:spacing w:before="180"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）生活污水</w:t>
      </w:r>
    </w:p>
    <w:p>
      <w:pPr>
        <w:ind w:left="22" w:firstLine="494"/>
        <w:spacing w:before="182" w:line="359" w:lineRule="auto"/>
        <w:rPr>
          <w:rFonts w:ascii="FangSong" w:hAnsi="FangSong" w:eastAsia="FangSong" w:cs="FangSong"/>
          <w:sz w:val="24"/>
          <w:szCs w:val="24"/>
        </w:rPr>
      </w:pPr>
      <w:r>
        <w:rPr>
          <w:rFonts w:ascii="FangSong" w:hAnsi="FangSong" w:eastAsia="FangSong" w:cs="FangSong"/>
          <w:sz w:val="24"/>
          <w:szCs w:val="24"/>
          <w:spacing w:val="-2"/>
        </w:rPr>
        <w:t>办公生活区废水产生量共</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13.829m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4148.64m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3"/>
        </w:rPr>
        <w:t>/a</w:t>
      </w:r>
      <w:r>
        <w:rPr>
          <w:rFonts w:ascii="FangSong" w:hAnsi="FangSong" w:eastAsia="FangSong" w:cs="FangSong"/>
          <w:sz w:val="24"/>
          <w:szCs w:val="24"/>
          <w:spacing w:val="-18"/>
        </w:rPr>
        <w:t>），</w:t>
      </w:r>
      <w:r>
        <w:rPr>
          <w:rFonts w:ascii="FangSong" w:hAnsi="FangSong" w:eastAsia="FangSong" w:cs="FangSong"/>
          <w:sz w:val="24"/>
          <w:szCs w:val="24"/>
          <w:spacing w:val="-3"/>
        </w:rPr>
        <w:t>废水中各项污染物排</w:t>
      </w:r>
      <w:r>
        <w:rPr>
          <w:rFonts w:ascii="FangSong" w:hAnsi="FangSong" w:eastAsia="FangSong" w:cs="FangSong"/>
          <w:sz w:val="24"/>
          <w:szCs w:val="24"/>
          <w:spacing w:val="-7"/>
        </w:rPr>
        <w:t>放浓度及排放量分别为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7"/>
        </w:rPr>
        <w:t>pH</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6-9</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COD</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292.9mg/L</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1.215t/a</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BOD</w:t>
      </w:r>
      <w:r>
        <w:rPr>
          <w:rFonts w:ascii="Times New Roman" w:hAnsi="Times New Roman" w:eastAsia="Times New Roman" w:cs="Times New Roman"/>
          <w:sz w:val="15"/>
          <w:szCs w:val="15"/>
          <w:spacing w:val="-7"/>
          <w:position w:val="-1"/>
        </w:rPr>
        <w:t>5</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164.3mg/L</w:t>
      </w:r>
      <w:r>
        <w:rPr>
          <w:rFonts w:ascii="FangSong" w:hAnsi="FangSong" w:eastAsia="FangSong" w:cs="FangSong"/>
          <w:sz w:val="24"/>
          <w:szCs w:val="24"/>
          <w:spacing w:val="-7"/>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2"/>
        </w:rPr>
        <w:t>0.682t/a</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SS</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171.4mg/L</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0.711t/a</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w:t>
      </w: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25mg/L</w:t>
      </w: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14"/>
        </w:rPr>
        <w:t>104t/a</w:t>
      </w:r>
      <w:r>
        <w:rPr>
          <w:rFonts w:ascii="FangSong" w:hAnsi="FangSong" w:eastAsia="FangSong" w:cs="FangSong"/>
          <w:sz w:val="24"/>
          <w:szCs w:val="24"/>
          <w:spacing w:val="-14"/>
        </w:rPr>
        <w:t>；动植物油：</w:t>
      </w:r>
      <w:r>
        <w:rPr>
          <w:rFonts w:ascii="Times New Roman" w:hAnsi="Times New Roman" w:eastAsia="Times New Roman" w:cs="Times New Roman"/>
          <w:sz w:val="24"/>
          <w:szCs w:val="24"/>
          <w:spacing w:val="-14"/>
        </w:rPr>
        <w:t>25.7mg/L</w:t>
      </w:r>
      <w:r>
        <w:rPr>
          <w:rFonts w:ascii="FangSong" w:hAnsi="FangSong" w:eastAsia="FangSong" w:cs="FangSong"/>
          <w:sz w:val="24"/>
          <w:szCs w:val="24"/>
          <w:spacing w:val="-1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z w:val="24"/>
          <w:szCs w:val="24"/>
          <w:spacing w:val="-21"/>
        </w:rPr>
        <w:t xml:space="preserve"> </w:t>
      </w:r>
      <w:r>
        <w:rPr>
          <w:rFonts w:ascii="Times New Roman" w:hAnsi="Times New Roman" w:eastAsia="Times New Roman" w:cs="Times New Roman"/>
          <w:sz w:val="24"/>
          <w:szCs w:val="24"/>
        </w:rPr>
        <w:t>107t/a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，经隔油池处理后的食堂废水与生活污水排入防渗储池内，满足《污水</w:t>
      </w:r>
      <w:r>
        <w:rPr>
          <w:rFonts w:ascii="FangSong" w:hAnsi="FangSong" w:eastAsia="FangSong" w:cs="FangSong"/>
          <w:sz w:val="24"/>
          <w:szCs w:val="24"/>
          <w:spacing w:val="-1"/>
        </w:rPr>
        <w:t>综合排放标准》（</w:t>
      </w:r>
      <w:r>
        <w:rPr>
          <w:rFonts w:ascii="Times New Roman" w:hAnsi="Times New Roman" w:eastAsia="Times New Roman" w:cs="Times New Roman"/>
          <w:sz w:val="24"/>
          <w:szCs w:val="24"/>
          <w:spacing w:val="-1"/>
        </w:rPr>
        <w:t>GB8978-1996</w:t>
      </w:r>
      <w:r>
        <w:rPr>
          <w:rFonts w:ascii="FangSong" w:hAnsi="FangSong" w:eastAsia="FangSong" w:cs="FangSong"/>
          <w:sz w:val="24"/>
          <w:szCs w:val="24"/>
          <w:spacing w:val="-1"/>
        </w:rPr>
        <w:t>）中三级排放限值及内蒙古锡林郭勒盟苏尼特右</w:t>
      </w:r>
      <w:r>
        <w:rPr>
          <w:rFonts w:ascii="FangSong" w:hAnsi="FangSong" w:eastAsia="FangSong" w:cs="FangSong"/>
          <w:sz w:val="24"/>
          <w:szCs w:val="24"/>
          <w:spacing w:val="-3"/>
        </w:rPr>
        <w:t>旗赛汉塔拉镇污水处理厂处理进水指标，定期运至内蒙古锡林郭勒盟苏尼特右旗</w:t>
      </w:r>
      <w:r>
        <w:rPr>
          <w:rFonts w:ascii="FangSong" w:hAnsi="FangSong" w:eastAsia="FangSong" w:cs="FangSong"/>
          <w:sz w:val="24"/>
          <w:szCs w:val="24"/>
          <w:spacing w:val="-1"/>
        </w:rPr>
        <w:t>赛汉塔拉镇污水处理厂处理。不会对周围地表水环境造成影响。</w:t>
      </w:r>
    </w:p>
    <w:p>
      <w:pPr>
        <w:ind w:left="514"/>
        <w:spacing w:before="4"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）矿井涌水</w:t>
      </w:r>
    </w:p>
    <w:p>
      <w:pPr>
        <w:ind w:left="29" w:right="76" w:firstLine="481"/>
        <w:spacing w:before="180" w:line="360" w:lineRule="auto"/>
        <w:rPr>
          <w:rFonts w:ascii="FangSong" w:hAnsi="FangSong" w:eastAsia="FangSong" w:cs="FangSong"/>
          <w:sz w:val="24"/>
          <w:szCs w:val="24"/>
        </w:rPr>
      </w:pPr>
      <w:r>
        <w:rPr>
          <w:rFonts w:ascii="FangSong" w:hAnsi="FangSong" w:eastAsia="FangSong" w:cs="FangSong"/>
          <w:sz w:val="24"/>
          <w:szCs w:val="24"/>
          <w:spacing w:val="-2"/>
        </w:rPr>
        <w:t>根据《</w:t>
      </w:r>
      <w:r>
        <w:rPr>
          <w:rFonts w:ascii="Times New Roman" w:hAnsi="Times New Roman" w:eastAsia="Times New Roman" w:cs="Times New Roman"/>
          <w:sz w:val="24"/>
          <w:szCs w:val="24"/>
          <w:spacing w:val="-2"/>
        </w:rPr>
        <w:t>&lt;</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2"/>
        </w:rPr>
        <w:t>内蒙古自治区苏尼特右旗桑宝力嘎额尔登塔拉矿区萤石矿资源储量</w:t>
      </w:r>
      <w:r>
        <w:rPr>
          <w:rFonts w:ascii="FangSong" w:hAnsi="FangSong" w:eastAsia="FangSong" w:cs="FangSong"/>
          <w:sz w:val="24"/>
          <w:szCs w:val="24"/>
          <w:spacing w:val="-2"/>
        </w:rPr>
        <w:t>核实报告</w:t>
      </w:r>
      <w:r>
        <w:rPr>
          <w:rFonts w:ascii="Times New Roman" w:hAnsi="Times New Roman" w:eastAsia="Times New Roman" w:cs="Times New Roman"/>
          <w:sz w:val="24"/>
          <w:szCs w:val="24"/>
          <w:spacing w:val="-2"/>
        </w:rPr>
        <w:t>&gt;</w:t>
      </w:r>
      <w:r>
        <w:rPr>
          <w:rFonts w:ascii="FangSong" w:hAnsi="FangSong" w:eastAsia="FangSong" w:cs="FangSong"/>
          <w:sz w:val="24"/>
          <w:szCs w:val="24"/>
          <w:spacing w:val="-2"/>
        </w:rPr>
        <w:t>矿产资源储量评审意见书》（内自然资储评字﹝</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
        </w:rPr>
        <w:t>025</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97</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号）中相关</w:t>
      </w:r>
      <w:r>
        <w:rPr>
          <w:rFonts w:ascii="FangSong" w:hAnsi="FangSong" w:eastAsia="FangSong" w:cs="FangSong"/>
          <w:sz w:val="24"/>
          <w:szCs w:val="24"/>
          <w:spacing w:val="-4"/>
        </w:rPr>
        <w:t>数据：矿区平均涌水量为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4"/>
        </w:rPr>
        <w:t>Q=1161.79m3/d</w:t>
      </w:r>
      <w:r>
        <w:rPr>
          <w:rFonts w:ascii="FangSong" w:hAnsi="FangSong" w:eastAsia="FangSong" w:cs="FangSong"/>
          <w:sz w:val="24"/>
          <w:szCs w:val="24"/>
          <w:spacing w:val="-4"/>
        </w:rPr>
        <w:t>。</w:t>
      </w:r>
    </w:p>
    <w:p>
      <w:pPr>
        <w:ind w:left="29" w:right="76" w:firstLine="482"/>
        <w:spacing w:line="360" w:lineRule="auto"/>
        <w:jc w:val="both"/>
        <w:rPr>
          <w:rFonts w:ascii="FangSong" w:hAnsi="FangSong" w:eastAsia="FangSong" w:cs="FangSong"/>
          <w:sz w:val="24"/>
          <w:szCs w:val="24"/>
        </w:rPr>
      </w:pPr>
      <w:r>
        <w:rPr>
          <w:rFonts w:ascii="FangSong" w:hAnsi="FangSong" w:eastAsia="FangSong" w:cs="FangSong"/>
          <w:sz w:val="24"/>
          <w:szCs w:val="24"/>
          <w:spacing w:val="-3"/>
        </w:rPr>
        <w:t>采矿区矿井涌水经井下水仓沉淀后由泵房集</w:t>
      </w:r>
      <w:r>
        <w:rPr>
          <w:rFonts w:ascii="FangSong" w:hAnsi="FangSong" w:eastAsia="FangSong" w:cs="FangSong"/>
          <w:sz w:val="24"/>
          <w:szCs w:val="24"/>
          <w:spacing w:val="-4"/>
        </w:rPr>
        <w:t>中排至地表高位水池沉淀后，回</w:t>
      </w:r>
      <w:r>
        <w:rPr>
          <w:rFonts w:ascii="FangSong" w:hAnsi="FangSong" w:eastAsia="FangSong" w:cs="FangSong"/>
          <w:sz w:val="24"/>
          <w:szCs w:val="24"/>
          <w:spacing w:val="-3"/>
        </w:rPr>
        <w:t>用于采矿井下喷淋、工业广场洒水降尘以及选矿用水，不外排。不会</w:t>
      </w:r>
      <w:r>
        <w:rPr>
          <w:rFonts w:ascii="FangSong" w:hAnsi="FangSong" w:eastAsia="FangSong" w:cs="FangSong"/>
          <w:sz w:val="24"/>
          <w:szCs w:val="24"/>
          <w:spacing w:val="-4"/>
        </w:rPr>
        <w:t>对周围地表</w:t>
      </w:r>
      <w:r>
        <w:rPr>
          <w:rFonts w:ascii="FangSong" w:hAnsi="FangSong" w:eastAsia="FangSong" w:cs="FangSong"/>
          <w:sz w:val="24"/>
          <w:szCs w:val="24"/>
          <w:spacing w:val="-2"/>
        </w:rPr>
        <w:t>水环境造成影响。</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）选矿废水</w:t>
      </w:r>
    </w:p>
    <w:p>
      <w:pPr>
        <w:ind w:left="29" w:right="76" w:firstLine="482"/>
        <w:spacing w:before="178" w:line="360" w:lineRule="auto"/>
        <w:rPr>
          <w:rFonts w:ascii="FangSong" w:hAnsi="FangSong" w:eastAsia="FangSong" w:cs="FangSong"/>
          <w:sz w:val="24"/>
          <w:szCs w:val="24"/>
        </w:rPr>
      </w:pPr>
      <w:r>
        <w:rPr>
          <w:rFonts w:ascii="FangSong" w:hAnsi="FangSong" w:eastAsia="FangSong" w:cs="FangSong"/>
          <w:sz w:val="24"/>
          <w:szCs w:val="24"/>
          <w:spacing w:val="-4"/>
        </w:rPr>
        <w:t>选矿废水主要包括选矿工艺废水及地面冲洗废水。根据前文计算，选矿工艺</w:t>
      </w:r>
      <w:r>
        <w:rPr>
          <w:rFonts w:ascii="FangSong" w:hAnsi="FangSong" w:eastAsia="FangSong" w:cs="FangSong"/>
          <w:sz w:val="24"/>
          <w:szCs w:val="24"/>
        </w:rPr>
        <w:t>废水产生量约</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411.263m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/d</w:t>
      </w:r>
      <w:r>
        <w:rPr>
          <w:rFonts w:ascii="FangSong" w:hAnsi="FangSong" w:eastAsia="FangSong" w:cs="FangSong"/>
          <w:sz w:val="24"/>
          <w:szCs w:val="24"/>
        </w:rPr>
        <w:t>（</w:t>
      </w:r>
      <w:r>
        <w:rPr>
          <w:rFonts w:ascii="Times New Roman" w:hAnsi="Times New Roman" w:eastAsia="Times New Roman" w:cs="Times New Roman"/>
          <w:sz w:val="24"/>
          <w:szCs w:val="24"/>
        </w:rPr>
        <w:t>123378.90m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/a</w:t>
      </w:r>
      <w:r>
        <w:rPr>
          <w:rFonts w:ascii="FangSong" w:hAnsi="FangSong" w:eastAsia="FangSong" w:cs="FangSong"/>
          <w:sz w:val="24"/>
          <w:szCs w:val="24"/>
          <w:spacing w:val="12"/>
        </w:rPr>
        <w:t>），</w:t>
      </w:r>
      <w:r>
        <w:rPr>
          <w:rFonts w:ascii="FangSong" w:hAnsi="FangSong" w:eastAsia="FangSong" w:cs="FangSong"/>
          <w:sz w:val="24"/>
          <w:szCs w:val="24"/>
        </w:rPr>
        <w:t>废水进入地表</w:t>
      </w:r>
      <w:r>
        <w:rPr>
          <w:rFonts w:ascii="FangSong" w:hAnsi="FangSong" w:eastAsia="FangSong" w:cs="FangSong"/>
          <w:sz w:val="24"/>
          <w:szCs w:val="24"/>
          <w:spacing w:val="-1"/>
        </w:rPr>
        <w:t>高位水池处理后回</w:t>
      </w:r>
      <w:r>
        <w:rPr>
          <w:rFonts w:ascii="FangSong" w:hAnsi="FangSong" w:eastAsia="FangSong" w:cs="FangSong"/>
          <w:sz w:val="24"/>
          <w:szCs w:val="24"/>
          <w:spacing w:val="-2"/>
        </w:rPr>
        <w:t>用于选矿用水，不外排；</w:t>
      </w:r>
    </w:p>
    <w:p>
      <w:pPr>
        <w:ind w:left="29" w:right="79" w:firstLine="480"/>
        <w:spacing w:before="2" w:line="360" w:lineRule="auto"/>
        <w:rPr>
          <w:rFonts w:ascii="FangSong" w:hAnsi="FangSong" w:eastAsia="FangSong" w:cs="FangSong"/>
          <w:sz w:val="24"/>
          <w:szCs w:val="24"/>
        </w:rPr>
      </w:pPr>
      <w:r>
        <w:rPr>
          <w:rFonts w:ascii="FangSong" w:hAnsi="FangSong" w:eastAsia="FangSong" w:cs="FangSong"/>
          <w:sz w:val="24"/>
          <w:szCs w:val="24"/>
        </w:rPr>
        <w:t>地面冲洗废水产生量为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5.491m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/d</w:t>
      </w:r>
      <w:r>
        <w:rPr>
          <w:rFonts w:ascii="FangSong" w:hAnsi="FangSong" w:eastAsia="FangSong" w:cs="FangSong"/>
          <w:sz w:val="24"/>
          <w:szCs w:val="24"/>
        </w:rPr>
        <w:t>（</w:t>
      </w:r>
      <w:r>
        <w:rPr>
          <w:rFonts w:ascii="Times New Roman" w:hAnsi="Times New Roman" w:eastAsia="Times New Roman" w:cs="Times New Roman"/>
          <w:sz w:val="24"/>
          <w:szCs w:val="24"/>
        </w:rPr>
        <w:t>1647.36m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/a</w:t>
      </w:r>
      <w:r>
        <w:rPr>
          <w:rFonts w:ascii="FangSong" w:hAnsi="FangSong" w:eastAsia="FangSong" w:cs="FangSong"/>
          <w:sz w:val="24"/>
          <w:szCs w:val="24"/>
          <w:spacing w:val="10"/>
        </w:rPr>
        <w:t>），</w:t>
      </w:r>
      <w:r>
        <w:rPr>
          <w:rFonts w:ascii="FangSong" w:hAnsi="FangSong" w:eastAsia="FangSong" w:cs="FangSong"/>
          <w:sz w:val="24"/>
          <w:szCs w:val="24"/>
          <w:spacing w:val="-1"/>
        </w:rPr>
        <w:t>废水经车间内排水沟进</w:t>
      </w:r>
      <w:r>
        <w:rPr>
          <w:rFonts w:ascii="FangSong" w:hAnsi="FangSong" w:eastAsia="FangSong" w:cs="FangSong"/>
          <w:sz w:val="24"/>
          <w:szCs w:val="24"/>
          <w:spacing w:val="-1"/>
        </w:rPr>
        <w:t>入地表高位水池处理后回用于选矿用水，不外排。</w:t>
      </w:r>
    </w:p>
    <w:p>
      <w:pPr>
        <w:spacing w:line="360" w:lineRule="auto"/>
        <w:sectPr>
          <w:footerReference w:type="default" r:id="rId283"/>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3" w:right="106" w:firstLine="480"/>
        <w:spacing w:before="78" w:line="360" w:lineRule="auto"/>
        <w:jc w:val="both"/>
        <w:rPr>
          <w:rFonts w:ascii="FangSong" w:hAnsi="FangSong" w:eastAsia="FangSong" w:cs="FangSong"/>
          <w:sz w:val="24"/>
          <w:szCs w:val="24"/>
        </w:rPr>
      </w:pPr>
      <w:bookmarkStart w:name="bookmark594" w:id="396"/>
      <w:bookmarkEnd w:id="396"/>
      <w:r>
        <w:rPr>
          <w:rFonts w:ascii="FangSong" w:hAnsi="FangSong" w:eastAsia="FangSong" w:cs="FangSong"/>
          <w:sz w:val="24"/>
          <w:szCs w:val="24"/>
          <w:spacing w:val="-3"/>
        </w:rPr>
        <w:t>本项目运营期产生的生活污水定期送至污水处</w:t>
      </w:r>
      <w:r>
        <w:rPr>
          <w:rFonts w:ascii="FangSong" w:hAnsi="FangSong" w:eastAsia="FangSong" w:cs="FangSong"/>
          <w:sz w:val="24"/>
          <w:szCs w:val="24"/>
          <w:spacing w:val="-4"/>
        </w:rPr>
        <w:t>理厂处理，产生的生产废水经</w:t>
      </w:r>
      <w:r>
        <w:rPr>
          <w:rFonts w:ascii="FangSong" w:hAnsi="FangSong" w:eastAsia="FangSong" w:cs="FangSong"/>
          <w:sz w:val="24"/>
          <w:szCs w:val="24"/>
          <w:spacing w:val="-3"/>
        </w:rPr>
        <w:t>沉淀、处理后回用，不外排。因此，本项目产生的污水均不排向地</w:t>
      </w:r>
      <w:r>
        <w:rPr>
          <w:rFonts w:ascii="FangSong" w:hAnsi="FangSong" w:eastAsia="FangSong" w:cs="FangSong"/>
          <w:sz w:val="24"/>
          <w:szCs w:val="24"/>
          <w:spacing w:val="-4"/>
        </w:rPr>
        <w:t>表水体，且不</w:t>
      </w:r>
      <w:r>
        <w:rPr>
          <w:rFonts w:ascii="FangSong" w:hAnsi="FangSong" w:eastAsia="FangSong" w:cs="FangSong"/>
          <w:sz w:val="24"/>
          <w:szCs w:val="24"/>
          <w:spacing w:val="-3"/>
        </w:rPr>
        <w:t>涉及地表水环境风险，项目周边无常年地表水体，无水源地，</w:t>
      </w:r>
      <w:r>
        <w:rPr>
          <w:rFonts w:ascii="FangSong" w:hAnsi="FangSong" w:eastAsia="FangSong" w:cs="FangSong"/>
          <w:sz w:val="24"/>
          <w:szCs w:val="24"/>
          <w:spacing w:val="-4"/>
        </w:rPr>
        <w:t>本评价认为地表水</w:t>
      </w:r>
      <w:r>
        <w:rPr>
          <w:rFonts w:ascii="FangSong" w:hAnsi="FangSong" w:eastAsia="FangSong" w:cs="FangSong"/>
          <w:sz w:val="24"/>
          <w:szCs w:val="24"/>
          <w:spacing w:val="-2"/>
        </w:rPr>
        <w:t>环境影响可接受。</w:t>
      </w:r>
    </w:p>
    <w:p>
      <w:pPr>
        <w:ind w:left="116"/>
        <w:spacing w:line="221" w:lineRule="auto"/>
        <w:outlineLvl w:val="2"/>
        <w:rPr>
          <w:rFonts w:ascii="FangSong" w:hAnsi="FangSong" w:eastAsia="FangSong" w:cs="FangSong"/>
          <w:sz w:val="24"/>
          <w:szCs w:val="24"/>
        </w:rPr>
      </w:pPr>
      <w:bookmarkStart w:name="bookmark294" w:id="397"/>
      <w:bookmarkEnd w:id="397"/>
      <w:bookmarkStart w:name="bookmark293" w:id="398"/>
      <w:bookmarkEnd w:id="398"/>
      <w:r>
        <w:rPr>
          <w:rFonts w:ascii="Times New Roman" w:hAnsi="Times New Roman" w:eastAsia="Times New Roman" w:cs="Times New Roman"/>
          <w:sz w:val="24"/>
          <w:szCs w:val="24"/>
          <w:b/>
          <w:bCs/>
          <w:spacing w:val="-2"/>
        </w:rPr>
        <w:t>6.2.2  </w:t>
      </w:r>
      <w:r>
        <w:rPr>
          <w:rFonts w:ascii="FangSong" w:hAnsi="FangSong" w:eastAsia="FangSong" w:cs="FangSong"/>
          <w:sz w:val="24"/>
          <w:szCs w:val="24"/>
          <w:b/>
          <w:bCs/>
          <w:spacing w:val="-2"/>
        </w:rPr>
        <w:t>环境空气影响分析</w:t>
      </w:r>
    </w:p>
    <w:p>
      <w:pPr>
        <w:ind w:left="116"/>
        <w:spacing w:before="180"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6.2.2.1</w:t>
      </w:r>
      <w:r>
        <w:rPr>
          <w:rFonts w:ascii="Times New Roman" w:hAnsi="Times New Roman" w:eastAsia="Times New Roman" w:cs="Times New Roman"/>
          <w:sz w:val="24"/>
          <w:szCs w:val="24"/>
          <w:b/>
          <w:bCs/>
          <w:spacing w:val="15"/>
          <w:w w:val="101"/>
        </w:rPr>
        <w:t xml:space="preserve">  </w:t>
      </w:r>
      <w:r>
        <w:rPr>
          <w:rFonts w:ascii="FangSong" w:hAnsi="FangSong" w:eastAsia="FangSong" w:cs="FangSong"/>
          <w:sz w:val="24"/>
          <w:szCs w:val="24"/>
          <w:b/>
          <w:bCs/>
          <w:spacing w:val="-4"/>
        </w:rPr>
        <w:t>常规气象资料</w:t>
      </w:r>
    </w:p>
    <w:p>
      <w:pPr>
        <w:ind w:left="608"/>
        <w:spacing w:before="18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）资料来源</w:t>
      </w:r>
    </w:p>
    <w:p>
      <w:pPr>
        <w:ind w:left="128" w:right="106" w:firstLine="476"/>
        <w:spacing w:before="182" w:line="360" w:lineRule="auto"/>
        <w:rPr>
          <w:rFonts w:ascii="FangSong" w:hAnsi="FangSong" w:eastAsia="FangSong" w:cs="FangSong"/>
          <w:sz w:val="24"/>
          <w:szCs w:val="24"/>
        </w:rPr>
      </w:pPr>
      <w:r>
        <w:rPr>
          <w:rFonts w:ascii="FangSong" w:hAnsi="FangSong" w:eastAsia="FangSong" w:cs="FangSong"/>
          <w:sz w:val="24"/>
          <w:szCs w:val="24"/>
          <w:spacing w:val="-5"/>
        </w:rPr>
        <w:t>地面气象历史资料来源于苏尼特右旗气象站近</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5"/>
        </w:rPr>
        <w:t>20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5"/>
        </w:rPr>
        <w:t>年（</w:t>
      </w:r>
      <w:r>
        <w:rPr>
          <w:rFonts w:ascii="Times New Roman" w:hAnsi="Times New Roman" w:eastAsia="Times New Roman" w:cs="Times New Roman"/>
          <w:sz w:val="24"/>
          <w:szCs w:val="24"/>
          <w:spacing w:val="-5"/>
        </w:rPr>
        <w:t>1998-2019</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年）的地面</w:t>
      </w:r>
      <w:r>
        <w:rPr>
          <w:rFonts w:ascii="FangSong" w:hAnsi="FangSong" w:eastAsia="FangSong" w:cs="FangSong"/>
          <w:sz w:val="24"/>
          <w:szCs w:val="24"/>
          <w:spacing w:val="-3"/>
        </w:rPr>
        <w:t>常规气象资料。苏尼特右旗国家一般气象站位于苏尼特</w:t>
      </w:r>
      <w:r>
        <w:rPr>
          <w:rFonts w:ascii="FangSong" w:hAnsi="FangSong" w:eastAsia="FangSong" w:cs="FangSong"/>
          <w:sz w:val="24"/>
          <w:szCs w:val="24"/>
          <w:spacing w:val="-4"/>
        </w:rPr>
        <w:t>右旗赛汉塔拉镇内，地理</w:t>
      </w:r>
      <w:r>
        <w:rPr>
          <w:rFonts w:ascii="FangSong" w:hAnsi="FangSong" w:eastAsia="FangSong" w:cs="FangSong"/>
          <w:sz w:val="24"/>
          <w:szCs w:val="24"/>
          <w:spacing w:val="-3"/>
        </w:rPr>
        <w:t>坐标：东经：</w:t>
      </w:r>
      <w:r>
        <w:rPr>
          <w:rFonts w:ascii="Times New Roman" w:hAnsi="Times New Roman" w:eastAsia="Times New Roman" w:cs="Times New Roman"/>
          <w:sz w:val="24"/>
          <w:szCs w:val="24"/>
          <w:spacing w:val="-3"/>
        </w:rPr>
        <w:t>112°38′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，北纬：</w:t>
      </w:r>
      <w:r>
        <w:rPr>
          <w:rFonts w:ascii="Times New Roman" w:hAnsi="Times New Roman" w:eastAsia="Times New Roman" w:cs="Times New Roman"/>
          <w:sz w:val="24"/>
          <w:szCs w:val="24"/>
          <w:spacing w:val="-3"/>
        </w:rPr>
        <w:t>42°45′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，海拔高度</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3"/>
        </w:rPr>
        <w:t>1104.9m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，气象站距离本项目厂</w:t>
      </w:r>
      <w:r>
        <w:rPr>
          <w:rFonts w:ascii="FangSong" w:hAnsi="FangSong" w:eastAsia="FangSong" w:cs="FangSong"/>
          <w:sz w:val="24"/>
          <w:szCs w:val="24"/>
          <w:spacing w:val="-4"/>
        </w:rPr>
        <w:t>址</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4"/>
        </w:rPr>
        <w:t>38km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4"/>
        </w:rPr>
        <w:t>，气象观测数据可以采用。</w:t>
      </w:r>
    </w:p>
    <w:p>
      <w:pPr>
        <w:ind w:left="608"/>
        <w:spacing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）地面风速统计特征</w:t>
      </w:r>
    </w:p>
    <w:p>
      <w:pPr>
        <w:ind w:left="609"/>
        <w:spacing w:before="179" w:line="222" w:lineRule="auto"/>
        <w:rPr>
          <w:rFonts w:ascii="FangSong" w:hAnsi="FangSong" w:eastAsia="FangSong" w:cs="FangSong"/>
          <w:sz w:val="24"/>
          <w:szCs w:val="24"/>
        </w:rPr>
      </w:pPr>
      <w:r>
        <w:rPr>
          <w:rFonts w:ascii="FangSong" w:hAnsi="FangSong" w:eastAsia="FangSong" w:cs="FangSong"/>
          <w:sz w:val="24"/>
          <w:szCs w:val="24"/>
          <w:spacing w:val="-2"/>
        </w:rPr>
        <w:t>全年地面主导风向为西南风，春秋两季风速最大，年平均风速</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1m/s</w:t>
      </w:r>
      <w:r>
        <w:rPr>
          <w:rFonts w:ascii="FangSong" w:hAnsi="FangSong" w:eastAsia="FangSong" w:cs="FangSong"/>
          <w:sz w:val="24"/>
          <w:szCs w:val="24"/>
          <w:spacing w:val="-2"/>
        </w:rPr>
        <w:t>。</w:t>
      </w:r>
    </w:p>
    <w:p>
      <w:pPr>
        <w:ind w:left="608"/>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）地面风向的统计</w:t>
      </w:r>
    </w:p>
    <w:p>
      <w:pPr>
        <w:ind w:left="124" w:right="41" w:firstLine="479"/>
        <w:spacing w:before="179" w:line="360" w:lineRule="auto"/>
        <w:rPr>
          <w:rFonts w:ascii="FangSong" w:hAnsi="FangSong" w:eastAsia="FangSong" w:cs="FangSong"/>
          <w:sz w:val="24"/>
          <w:szCs w:val="24"/>
        </w:rPr>
      </w:pPr>
      <w:r>
        <w:rPr>
          <w:rFonts w:ascii="FangSong" w:hAnsi="FangSong" w:eastAsia="FangSong" w:cs="FangSong"/>
          <w:sz w:val="24"/>
          <w:szCs w:val="24"/>
          <w:spacing w:val="-5"/>
        </w:rPr>
        <w:t>该地区全年以静风频率为最高（其年值达</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21.9%</w:t>
      </w:r>
      <w:r>
        <w:rPr>
          <w:rFonts w:ascii="FangSong" w:hAnsi="FangSong" w:eastAsia="FangSong" w:cs="FangSong"/>
          <w:sz w:val="24"/>
          <w:szCs w:val="24"/>
          <w:spacing w:val="-3"/>
        </w:rPr>
        <w:t>），</w:t>
      </w:r>
      <w:r>
        <w:rPr>
          <w:rFonts w:ascii="FangSong" w:hAnsi="FangSong" w:eastAsia="FangSong" w:cs="FangSong"/>
          <w:sz w:val="24"/>
          <w:szCs w:val="24"/>
          <w:spacing w:val="-5"/>
        </w:rPr>
        <w:t>年主导风向为</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SSW</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风，</w:t>
      </w:r>
      <w:r>
        <w:rPr>
          <w:rFonts w:ascii="FangSong" w:hAnsi="FangSong" w:eastAsia="FangSong" w:cs="FangSong"/>
          <w:sz w:val="24"/>
          <w:szCs w:val="24"/>
          <w:spacing w:val="-1"/>
        </w:rPr>
        <w:t>出现频率为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3.8%</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。春季主导风向为</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1"/>
        </w:rPr>
        <w:t>SW</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风，出现频率为</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15.0%</w:t>
      </w:r>
      <w:r>
        <w:rPr>
          <w:rFonts w:ascii="FangSong" w:hAnsi="FangSong" w:eastAsia="FangSong" w:cs="FangSong"/>
          <w:sz w:val="24"/>
          <w:szCs w:val="24"/>
          <w:spacing w:val="-1"/>
        </w:rPr>
        <w:t>；夏季主导风向</w:t>
      </w:r>
      <w:r>
        <w:rPr>
          <w:rFonts w:ascii="FangSong" w:hAnsi="FangSong" w:eastAsia="FangSong" w:cs="FangSong"/>
          <w:sz w:val="24"/>
          <w:szCs w:val="24"/>
          <w:spacing w:val="-2"/>
        </w:rPr>
        <w:t>仍为</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SE</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风，出现频率为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20.8%</w:t>
      </w:r>
      <w:r>
        <w:rPr>
          <w:rFonts w:ascii="FangSong" w:hAnsi="FangSong" w:eastAsia="FangSong" w:cs="FangSong"/>
          <w:sz w:val="24"/>
          <w:szCs w:val="24"/>
          <w:spacing w:val="-2"/>
        </w:rPr>
        <w:t>；秋季以静风频率为最高（其值达</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2"/>
        </w:rPr>
        <w:t>19.8%</w:t>
      </w:r>
      <w:r>
        <w:rPr>
          <w:rFonts w:ascii="FangSong" w:hAnsi="FangSong" w:eastAsia="FangSong" w:cs="FangSong"/>
          <w:sz w:val="24"/>
          <w:szCs w:val="24"/>
          <w:spacing w:val="23"/>
        </w:rPr>
        <w:t>），</w:t>
      </w:r>
      <w:r>
        <w:rPr>
          <w:rFonts w:ascii="FangSong" w:hAnsi="FangSong" w:eastAsia="FangSong" w:cs="FangSong"/>
          <w:sz w:val="24"/>
          <w:szCs w:val="24"/>
          <w:spacing w:val="-2"/>
        </w:rPr>
        <w:t>主</w:t>
      </w:r>
      <w:r>
        <w:rPr>
          <w:rFonts w:ascii="FangSong" w:hAnsi="FangSong" w:eastAsia="FangSong" w:cs="FangSong"/>
          <w:sz w:val="24"/>
          <w:szCs w:val="24"/>
          <w:spacing w:val="-1"/>
        </w:rPr>
        <w:t>导风向仍为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1"/>
        </w:rPr>
        <w:t>SE</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风，出现频率为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13.8%</w:t>
      </w:r>
      <w:r>
        <w:rPr>
          <w:rFonts w:ascii="FangSong" w:hAnsi="FangSong" w:eastAsia="FangSong" w:cs="FangSong"/>
          <w:sz w:val="24"/>
          <w:szCs w:val="24"/>
          <w:spacing w:val="-1"/>
        </w:rPr>
        <w:t>；冬季静风出现的频率更高，达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30.2%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主导风向为</w:t>
      </w:r>
      <w:r>
        <w:rPr>
          <w:rFonts w:ascii="Times New Roman" w:hAnsi="Times New Roman" w:eastAsia="Times New Roman" w:cs="Times New Roman"/>
          <w:sz w:val="24"/>
          <w:szCs w:val="24"/>
        </w:rPr>
        <w:t>WNW</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风，出现频率为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7.8%</w:t>
      </w:r>
      <w:r>
        <w:rPr>
          <w:rFonts w:ascii="FangSong" w:hAnsi="FangSong" w:eastAsia="FangSong" w:cs="FangSong"/>
          <w:sz w:val="24"/>
          <w:szCs w:val="24"/>
          <w:spacing w:val="1"/>
        </w:rPr>
        <w:t>。</w:t>
      </w:r>
    </w:p>
    <w:p>
      <w:pPr>
        <w:ind w:left="154" w:right="109" w:firstLine="449"/>
        <w:spacing w:line="360" w:lineRule="auto"/>
        <w:rPr>
          <w:rFonts w:ascii="FangSong" w:hAnsi="FangSong" w:eastAsia="FangSong" w:cs="FangSong"/>
          <w:sz w:val="24"/>
          <w:szCs w:val="24"/>
        </w:rPr>
      </w:pPr>
      <w:r>
        <w:rPr>
          <w:rFonts w:ascii="FangSong" w:hAnsi="FangSong" w:eastAsia="FangSong" w:cs="FangSong"/>
          <w:sz w:val="24"/>
          <w:szCs w:val="24"/>
          <w:spacing w:val="-2"/>
        </w:rPr>
        <w:t>赛汉塔拉镇</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1996</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年</w:t>
      </w:r>
      <w:r>
        <w:rPr>
          <w:rFonts w:ascii="Times New Roman" w:hAnsi="Times New Roman" w:eastAsia="Times New Roman" w:cs="Times New Roman"/>
          <w:sz w:val="24"/>
          <w:szCs w:val="24"/>
          <w:spacing w:val="-2"/>
        </w:rPr>
        <w:t>-2017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年的地面风向资</w:t>
      </w:r>
      <w:r>
        <w:rPr>
          <w:rFonts w:ascii="FangSong" w:hAnsi="FangSong" w:eastAsia="FangSong" w:cs="FangSong"/>
          <w:sz w:val="24"/>
          <w:szCs w:val="24"/>
          <w:spacing w:val="-3"/>
        </w:rPr>
        <w:t>料统计见表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6.2-1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，全年及四季风</w:t>
      </w:r>
      <w:r>
        <w:rPr>
          <w:rFonts w:ascii="FangSong" w:hAnsi="FangSong" w:eastAsia="FangSong" w:cs="FangSong"/>
          <w:sz w:val="24"/>
          <w:szCs w:val="24"/>
          <w:spacing w:val="-5"/>
        </w:rPr>
        <w:t>向玫瑰图见图</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6.2-1</w:t>
      </w:r>
      <w:r>
        <w:rPr>
          <w:rFonts w:ascii="FangSong" w:hAnsi="FangSong" w:eastAsia="FangSong" w:cs="FangSong"/>
          <w:sz w:val="24"/>
          <w:szCs w:val="24"/>
          <w:spacing w:val="-5"/>
        </w:rPr>
        <w:t>。</w:t>
      </w:r>
    </w:p>
    <w:p>
      <w:pPr>
        <w:ind w:left="2854"/>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6.2-1  </w:t>
      </w:r>
      <w:r>
        <w:rPr>
          <w:rFonts w:ascii="FangSong" w:hAnsi="FangSong" w:eastAsia="FangSong" w:cs="FangSong"/>
          <w:sz w:val="24"/>
          <w:szCs w:val="24"/>
          <w:b/>
          <w:bCs/>
          <w:spacing w:val="-3"/>
        </w:rPr>
        <w:t>各风向风速统计表</w:t>
      </w:r>
    </w:p>
    <w:p>
      <w:pPr>
        <w:spacing w:line="65" w:lineRule="exact"/>
        <w:rPr/>
      </w:pPr>
      <w:r/>
    </w:p>
    <w:tbl>
      <w:tblPr>
        <w:tblStyle w:val="TableNormal"/>
        <w:tblW w:w="852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7"/>
        <w:gridCol w:w="404"/>
        <w:gridCol w:w="525"/>
        <w:gridCol w:w="416"/>
        <w:gridCol w:w="508"/>
        <w:gridCol w:w="404"/>
        <w:gridCol w:w="483"/>
        <w:gridCol w:w="404"/>
        <w:gridCol w:w="475"/>
        <w:gridCol w:w="404"/>
        <w:gridCol w:w="524"/>
        <w:gridCol w:w="441"/>
        <w:gridCol w:w="583"/>
        <w:gridCol w:w="404"/>
        <w:gridCol w:w="608"/>
        <w:gridCol w:w="466"/>
        <w:gridCol w:w="575"/>
        <w:gridCol w:w="479"/>
      </w:tblGrid>
      <w:tr>
        <w:trPr>
          <w:trHeight w:val="324" w:hRule="atLeast"/>
        </w:trPr>
        <w:tc>
          <w:tcPr>
            <w:tcW w:w="417" w:type="dxa"/>
            <w:vAlign w:val="top"/>
            <w:vMerge w:val="restart"/>
            <w:textDirection w:val="tbRlV"/>
            <w:tcBorders>
              <w:left w:val="nil"/>
              <w:top w:val="single" w:color="000000" w:sz="10" w:space="0"/>
              <w:bottom w:val="nil"/>
            </w:tcBorders>
          </w:tcPr>
          <w:p>
            <w:pPr>
              <w:pStyle w:val="TableText"/>
              <w:ind w:left="397"/>
              <w:spacing w:before="133" w:line="212" w:lineRule="auto"/>
              <w:rPr>
                <w:sz w:val="14"/>
                <w:szCs w:val="14"/>
              </w:rPr>
            </w:pPr>
            <w:r>
              <w:rPr>
                <w:sz w:val="14"/>
                <w:szCs w:val="14"/>
                <w:spacing w:val="12"/>
              </w:rPr>
              <w:t>月</w:t>
            </w:r>
            <w:r>
              <w:rPr>
                <w:sz w:val="14"/>
                <w:szCs w:val="14"/>
                <w:spacing w:val="9"/>
              </w:rPr>
              <w:t xml:space="preserve">  </w:t>
            </w:r>
            <w:r>
              <w:rPr>
                <w:sz w:val="14"/>
                <w:szCs w:val="14"/>
                <w:spacing w:val="12"/>
              </w:rPr>
              <w:t>份</w:t>
            </w:r>
          </w:p>
        </w:tc>
        <w:tc>
          <w:tcPr>
            <w:tcW w:w="8103" w:type="dxa"/>
            <w:vAlign w:val="top"/>
            <w:gridSpan w:val="17"/>
            <w:tcBorders>
              <w:right w:val="nil"/>
              <w:top w:val="single" w:color="000000" w:sz="10" w:space="0"/>
            </w:tcBorders>
          </w:tcPr>
          <w:p>
            <w:pPr>
              <w:ind w:left="3906"/>
              <w:spacing w:before="87" w:line="232" w:lineRule="auto"/>
              <w:rPr>
                <w:rFonts w:ascii="SimSun" w:hAnsi="SimSun" w:eastAsia="SimSun" w:cs="SimSun"/>
                <w:sz w:val="14"/>
                <w:szCs w:val="14"/>
              </w:rPr>
            </w:pPr>
            <w:r>
              <w:rPr>
                <w:rFonts w:ascii="SimSun" w:hAnsi="SimSun" w:eastAsia="SimSun" w:cs="SimSun"/>
                <w:sz w:val="14"/>
                <w:szCs w:val="14"/>
                <w:spacing w:val="5"/>
              </w:rPr>
              <w:t>风向</w:t>
            </w:r>
          </w:p>
        </w:tc>
      </w:tr>
      <w:tr>
        <w:trPr>
          <w:trHeight w:val="924" w:hRule="atLeast"/>
        </w:trPr>
        <w:tc>
          <w:tcPr>
            <w:tcW w:w="417" w:type="dxa"/>
            <w:vAlign w:val="top"/>
            <w:vMerge w:val="continue"/>
            <w:textDirection w:val="tbRlV"/>
            <w:tcBorders>
              <w:left w:val="nil"/>
              <w:top w:val="nil"/>
            </w:tcBorders>
          </w:tcPr>
          <w:p>
            <w:pPr>
              <w:rPr>
                <w:rFonts w:ascii="Arial"/>
                <w:sz w:val="21"/>
              </w:rPr>
            </w:pPr>
            <w:r/>
          </w:p>
        </w:tc>
        <w:tc>
          <w:tcPr>
            <w:tcW w:w="404" w:type="dxa"/>
            <w:vAlign w:val="top"/>
          </w:tcPr>
          <w:p>
            <w:pPr>
              <w:spacing w:line="373" w:lineRule="auto"/>
              <w:rPr>
                <w:rFonts w:ascii="Arial"/>
                <w:sz w:val="21"/>
              </w:rPr>
            </w:pPr>
            <w:r/>
          </w:p>
          <w:p>
            <w:pPr>
              <w:ind w:left="142"/>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8"/>
              </w:rPr>
              <w:t>N</w:t>
            </w:r>
          </w:p>
        </w:tc>
        <w:tc>
          <w:tcPr>
            <w:tcW w:w="525" w:type="dxa"/>
            <w:vAlign w:val="top"/>
          </w:tcPr>
          <w:p>
            <w:pPr>
              <w:spacing w:line="373" w:lineRule="auto"/>
              <w:rPr>
                <w:rFonts w:ascii="Arial"/>
                <w:sz w:val="21"/>
              </w:rPr>
            </w:pPr>
            <w:r/>
          </w:p>
          <w:p>
            <w:pPr>
              <w:ind w:left="103"/>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6"/>
              </w:rPr>
              <w:t>NNE</w:t>
            </w:r>
          </w:p>
        </w:tc>
        <w:tc>
          <w:tcPr>
            <w:tcW w:w="416" w:type="dxa"/>
            <w:vAlign w:val="top"/>
          </w:tcPr>
          <w:p>
            <w:pPr>
              <w:spacing w:line="373" w:lineRule="auto"/>
              <w:rPr>
                <w:rFonts w:ascii="Arial"/>
                <w:sz w:val="21"/>
              </w:rPr>
            </w:pPr>
            <w:r/>
          </w:p>
          <w:p>
            <w:pPr>
              <w:ind w:left="104"/>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7"/>
              </w:rPr>
              <w:t>NE</w:t>
            </w:r>
          </w:p>
        </w:tc>
        <w:tc>
          <w:tcPr>
            <w:tcW w:w="508" w:type="dxa"/>
            <w:vAlign w:val="top"/>
          </w:tcPr>
          <w:p>
            <w:pPr>
              <w:spacing w:line="373" w:lineRule="auto"/>
              <w:rPr>
                <w:rFonts w:ascii="Arial"/>
                <w:sz w:val="21"/>
              </w:rPr>
            </w:pPr>
            <w:r/>
          </w:p>
          <w:p>
            <w:pPr>
              <w:ind w:left="108"/>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rPr>
              <w:t>ENE</w:t>
            </w:r>
          </w:p>
        </w:tc>
        <w:tc>
          <w:tcPr>
            <w:tcW w:w="404" w:type="dxa"/>
            <w:vAlign w:val="top"/>
          </w:tcPr>
          <w:p>
            <w:pPr>
              <w:spacing w:line="373" w:lineRule="auto"/>
              <w:rPr>
                <w:rFonts w:ascii="Arial"/>
                <w:sz w:val="21"/>
              </w:rPr>
            </w:pPr>
            <w:r/>
          </w:p>
          <w:p>
            <w:pPr>
              <w:ind w:left="157"/>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E</w:t>
            </w:r>
          </w:p>
        </w:tc>
        <w:tc>
          <w:tcPr>
            <w:tcW w:w="483" w:type="dxa"/>
            <w:vAlign w:val="top"/>
          </w:tcPr>
          <w:p>
            <w:pPr>
              <w:spacing w:line="370" w:lineRule="auto"/>
              <w:rPr>
                <w:rFonts w:ascii="Arial"/>
                <w:sz w:val="21"/>
              </w:rPr>
            </w:pPr>
            <w:r/>
          </w:p>
          <w:p>
            <w:pPr>
              <w:ind w:left="10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ESE</w:t>
            </w:r>
          </w:p>
        </w:tc>
        <w:tc>
          <w:tcPr>
            <w:tcW w:w="404" w:type="dxa"/>
            <w:vAlign w:val="top"/>
          </w:tcPr>
          <w:p>
            <w:pPr>
              <w:spacing w:line="370" w:lineRule="auto"/>
              <w:rPr>
                <w:rFonts w:ascii="Arial"/>
                <w:sz w:val="21"/>
              </w:rPr>
            </w:pPr>
            <w:r/>
          </w:p>
          <w:p>
            <w:pPr>
              <w:ind w:left="12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SE</w:t>
            </w:r>
          </w:p>
        </w:tc>
        <w:tc>
          <w:tcPr>
            <w:tcW w:w="475" w:type="dxa"/>
            <w:vAlign w:val="top"/>
          </w:tcPr>
          <w:p>
            <w:pPr>
              <w:spacing w:line="370" w:lineRule="auto"/>
              <w:rPr>
                <w:rFonts w:ascii="Arial"/>
                <w:sz w:val="21"/>
              </w:rPr>
            </w:pPr>
            <w:r/>
          </w:p>
          <w:p>
            <w:pPr>
              <w:ind w:left="115"/>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SSE</w:t>
            </w:r>
          </w:p>
        </w:tc>
        <w:tc>
          <w:tcPr>
            <w:tcW w:w="404" w:type="dxa"/>
            <w:vAlign w:val="top"/>
          </w:tcPr>
          <w:p>
            <w:pPr>
              <w:spacing w:line="370" w:lineRule="auto"/>
              <w:rPr>
                <w:rFonts w:ascii="Arial"/>
                <w:sz w:val="21"/>
              </w:rPr>
            </w:pPr>
            <w:r/>
          </w:p>
          <w:p>
            <w:pPr>
              <w:ind w:left="166"/>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S</w:t>
            </w:r>
          </w:p>
        </w:tc>
        <w:tc>
          <w:tcPr>
            <w:tcW w:w="524" w:type="dxa"/>
            <w:vAlign w:val="top"/>
          </w:tcPr>
          <w:p>
            <w:pPr>
              <w:spacing w:line="370" w:lineRule="auto"/>
              <w:rPr>
                <w:rFonts w:ascii="Arial"/>
                <w:sz w:val="21"/>
              </w:rPr>
            </w:pPr>
            <w:r/>
          </w:p>
          <w:p>
            <w:pPr>
              <w:ind w:left="114"/>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SSW</w:t>
            </w:r>
          </w:p>
        </w:tc>
        <w:tc>
          <w:tcPr>
            <w:tcW w:w="441" w:type="dxa"/>
            <w:vAlign w:val="top"/>
          </w:tcPr>
          <w:p>
            <w:pPr>
              <w:spacing w:line="370" w:lineRule="auto"/>
              <w:rPr>
                <w:rFonts w:ascii="Arial"/>
                <w:sz w:val="21"/>
              </w:rPr>
            </w:pPr>
            <w:r/>
          </w:p>
          <w:p>
            <w:pPr>
              <w:ind w:left="116"/>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SW</w:t>
            </w:r>
          </w:p>
        </w:tc>
        <w:tc>
          <w:tcPr>
            <w:tcW w:w="583" w:type="dxa"/>
            <w:vAlign w:val="top"/>
          </w:tcPr>
          <w:p>
            <w:pPr>
              <w:spacing w:line="370" w:lineRule="auto"/>
              <w:rPr>
                <w:rFonts w:ascii="Arial"/>
                <w:sz w:val="21"/>
              </w:rPr>
            </w:pPr>
            <w:r/>
          </w:p>
          <w:p>
            <w:pPr>
              <w:ind w:left="107"/>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6"/>
              </w:rPr>
              <w:t>WSW</w:t>
            </w:r>
          </w:p>
        </w:tc>
        <w:tc>
          <w:tcPr>
            <w:tcW w:w="404" w:type="dxa"/>
            <w:vAlign w:val="top"/>
          </w:tcPr>
          <w:p>
            <w:pPr>
              <w:spacing w:line="373" w:lineRule="auto"/>
              <w:rPr>
                <w:rFonts w:ascii="Arial"/>
                <w:sz w:val="21"/>
              </w:rPr>
            </w:pPr>
            <w:r/>
          </w:p>
          <w:p>
            <w:pPr>
              <w:ind w:left="131"/>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6"/>
              </w:rPr>
              <w:t>W</w:t>
            </w:r>
          </w:p>
        </w:tc>
        <w:tc>
          <w:tcPr>
            <w:tcW w:w="608" w:type="dxa"/>
            <w:vAlign w:val="top"/>
          </w:tcPr>
          <w:p>
            <w:pPr>
              <w:spacing w:line="373" w:lineRule="auto"/>
              <w:rPr>
                <w:rFonts w:ascii="Arial"/>
                <w:sz w:val="21"/>
              </w:rPr>
            </w:pPr>
            <w:r/>
          </w:p>
          <w:p>
            <w:pPr>
              <w:ind w:left="109"/>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6"/>
              </w:rPr>
              <w:t>WNW</w:t>
            </w:r>
          </w:p>
        </w:tc>
        <w:tc>
          <w:tcPr>
            <w:tcW w:w="466" w:type="dxa"/>
            <w:vAlign w:val="top"/>
          </w:tcPr>
          <w:p>
            <w:pPr>
              <w:spacing w:line="373" w:lineRule="auto"/>
              <w:rPr>
                <w:rFonts w:ascii="Arial"/>
                <w:sz w:val="21"/>
              </w:rPr>
            </w:pPr>
            <w:r/>
          </w:p>
          <w:p>
            <w:pPr>
              <w:ind w:left="104"/>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8"/>
              </w:rPr>
              <w:t>NW</w:t>
            </w:r>
          </w:p>
        </w:tc>
        <w:tc>
          <w:tcPr>
            <w:tcW w:w="575" w:type="dxa"/>
            <w:vAlign w:val="top"/>
          </w:tcPr>
          <w:p>
            <w:pPr>
              <w:spacing w:line="373" w:lineRule="auto"/>
              <w:rPr>
                <w:rFonts w:ascii="Arial"/>
                <w:sz w:val="21"/>
              </w:rPr>
            </w:pPr>
            <w:r/>
          </w:p>
          <w:p>
            <w:pPr>
              <w:ind w:left="104"/>
              <w:spacing w:before="4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7"/>
              </w:rPr>
              <w:t>NNW</w:t>
            </w:r>
          </w:p>
        </w:tc>
        <w:tc>
          <w:tcPr>
            <w:tcW w:w="479" w:type="dxa"/>
            <w:vAlign w:val="top"/>
            <w:tcBorders>
              <w:right w:val="nil"/>
            </w:tcBorders>
          </w:tcPr>
          <w:p>
            <w:pPr>
              <w:spacing w:line="370" w:lineRule="auto"/>
              <w:rPr>
                <w:rFonts w:ascii="Arial"/>
                <w:sz w:val="21"/>
              </w:rPr>
            </w:pPr>
            <w:r/>
          </w:p>
          <w:p>
            <w:pPr>
              <w:ind w:left="193"/>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C</w:t>
            </w:r>
          </w:p>
        </w:tc>
      </w:tr>
      <w:tr>
        <w:trPr>
          <w:trHeight w:val="628" w:hRule="atLeast"/>
        </w:trPr>
        <w:tc>
          <w:tcPr>
            <w:tcW w:w="417" w:type="dxa"/>
            <w:vAlign w:val="top"/>
            <w:textDirection w:val="tbRlV"/>
            <w:tcBorders>
              <w:left w:val="nil"/>
            </w:tcBorders>
          </w:tcPr>
          <w:p>
            <w:pPr>
              <w:pStyle w:val="TableText"/>
              <w:ind w:left="82"/>
              <w:spacing w:before="133" w:line="209" w:lineRule="auto"/>
              <w:rPr>
                <w:sz w:val="14"/>
                <w:szCs w:val="14"/>
              </w:rPr>
            </w:pPr>
            <w:r>
              <w:rPr>
                <w:sz w:val="14"/>
                <w:szCs w:val="14"/>
                <w:spacing w:val="4"/>
              </w:rPr>
              <w:t>十</w:t>
            </w:r>
            <w:r>
              <w:rPr>
                <w:sz w:val="14"/>
                <w:szCs w:val="14"/>
                <w:spacing w:val="4"/>
              </w:rPr>
              <w:t xml:space="preserve">   </w:t>
            </w:r>
            <w:r>
              <w:rPr>
                <w:sz w:val="14"/>
                <w:szCs w:val="14"/>
                <w:spacing w:val="4"/>
              </w:rPr>
              <w:t>一</w:t>
            </w:r>
          </w:p>
        </w:tc>
        <w:tc>
          <w:tcPr>
            <w:tcW w:w="404" w:type="dxa"/>
            <w:vAlign w:val="top"/>
          </w:tcPr>
          <w:p>
            <w:pPr>
              <w:ind w:left="178"/>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525" w:type="dxa"/>
            <w:vAlign w:val="top"/>
          </w:tcPr>
          <w:p>
            <w:pPr>
              <w:ind w:left="237"/>
              <w:spacing w:before="261"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16" w:type="dxa"/>
            <w:vAlign w:val="top"/>
          </w:tcPr>
          <w:p>
            <w:pPr>
              <w:ind w:left="171"/>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08" w:type="dxa"/>
            <w:vAlign w:val="top"/>
          </w:tcPr>
          <w:p>
            <w:pPr>
              <w:ind w:left="230"/>
              <w:spacing w:before="261"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04" w:type="dxa"/>
            <w:vAlign w:val="top"/>
          </w:tcPr>
          <w:p>
            <w:pPr>
              <w:ind w:left="123"/>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p>
        </w:tc>
        <w:tc>
          <w:tcPr>
            <w:tcW w:w="483" w:type="dxa"/>
            <w:vAlign w:val="top"/>
          </w:tcPr>
          <w:p>
            <w:pPr>
              <w:ind w:left="204"/>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07"/>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w:t>
            </w:r>
          </w:p>
        </w:tc>
        <w:tc>
          <w:tcPr>
            <w:tcW w:w="475" w:type="dxa"/>
            <w:vAlign w:val="top"/>
          </w:tcPr>
          <w:p>
            <w:pPr>
              <w:ind w:left="203"/>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04" w:type="dxa"/>
            <w:vAlign w:val="top"/>
          </w:tcPr>
          <w:p>
            <w:pPr>
              <w:ind w:left="178"/>
              <w:spacing w:before="261"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24" w:type="dxa"/>
            <w:vAlign w:val="top"/>
          </w:tcPr>
          <w:p>
            <w:pPr>
              <w:ind w:left="167"/>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w:t>
            </w:r>
          </w:p>
        </w:tc>
        <w:tc>
          <w:tcPr>
            <w:tcW w:w="441" w:type="dxa"/>
            <w:vAlign w:val="top"/>
          </w:tcPr>
          <w:p>
            <w:pPr>
              <w:ind w:left="130"/>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w:t>
            </w:r>
          </w:p>
        </w:tc>
        <w:tc>
          <w:tcPr>
            <w:tcW w:w="583" w:type="dxa"/>
            <w:vAlign w:val="top"/>
          </w:tcPr>
          <w:p>
            <w:pPr>
              <w:ind w:left="198"/>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w:t>
            </w:r>
          </w:p>
        </w:tc>
        <w:tc>
          <w:tcPr>
            <w:tcW w:w="404" w:type="dxa"/>
            <w:vAlign w:val="top"/>
          </w:tcPr>
          <w:p>
            <w:pPr>
              <w:ind w:left="111"/>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608" w:type="dxa"/>
            <w:vAlign w:val="top"/>
          </w:tcPr>
          <w:p>
            <w:pPr>
              <w:ind w:left="214"/>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466" w:type="dxa"/>
            <w:vAlign w:val="top"/>
          </w:tcPr>
          <w:p>
            <w:pPr>
              <w:ind w:left="195"/>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75" w:type="dxa"/>
            <w:vAlign w:val="top"/>
          </w:tcPr>
          <w:p>
            <w:pPr>
              <w:ind w:left="264"/>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479" w:type="dxa"/>
            <w:vAlign w:val="top"/>
            <w:tcBorders>
              <w:right w:val="nil"/>
            </w:tcBorders>
          </w:tcPr>
          <w:p>
            <w:pPr>
              <w:ind w:left="179"/>
              <w:spacing w:before="264"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15</w:t>
            </w:r>
          </w:p>
        </w:tc>
      </w:tr>
      <w:tr>
        <w:trPr>
          <w:trHeight w:val="628" w:hRule="atLeast"/>
        </w:trPr>
        <w:tc>
          <w:tcPr>
            <w:tcW w:w="417" w:type="dxa"/>
            <w:vAlign w:val="top"/>
            <w:textDirection w:val="tbRlV"/>
            <w:tcBorders>
              <w:left w:val="nil"/>
            </w:tcBorders>
          </w:tcPr>
          <w:p>
            <w:pPr>
              <w:pStyle w:val="TableText"/>
              <w:ind w:left="85"/>
              <w:spacing w:before="133" w:line="207" w:lineRule="auto"/>
              <w:rPr>
                <w:sz w:val="14"/>
                <w:szCs w:val="14"/>
              </w:rPr>
            </w:pPr>
            <w:r>
              <w:rPr>
                <w:sz w:val="14"/>
                <w:szCs w:val="14"/>
                <w:spacing w:val="6"/>
              </w:rPr>
              <w:t>十</w:t>
            </w:r>
            <w:r>
              <w:rPr>
                <w:sz w:val="14"/>
                <w:szCs w:val="14"/>
                <w:spacing w:val="24"/>
                <w:w w:val="101"/>
              </w:rPr>
              <w:t xml:space="preserve">  </w:t>
            </w:r>
            <w:r>
              <w:rPr>
                <w:sz w:val="14"/>
                <w:szCs w:val="14"/>
                <w:spacing w:val="6"/>
              </w:rPr>
              <w:t>二</w:t>
            </w:r>
          </w:p>
        </w:tc>
        <w:tc>
          <w:tcPr>
            <w:tcW w:w="404" w:type="dxa"/>
            <w:vAlign w:val="top"/>
          </w:tcPr>
          <w:p>
            <w:pPr>
              <w:ind w:left="109"/>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525" w:type="dxa"/>
            <w:vAlign w:val="top"/>
          </w:tcPr>
          <w:p>
            <w:pPr>
              <w:ind w:left="226"/>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16" w:type="dxa"/>
            <w:vAlign w:val="top"/>
          </w:tcPr>
          <w:p>
            <w:pPr>
              <w:ind w:left="185"/>
              <w:spacing w:before="264"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08" w:type="dxa"/>
            <w:vAlign w:val="top"/>
          </w:tcPr>
          <w:p>
            <w:pPr>
              <w:ind w:left="230"/>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404" w:type="dxa"/>
            <w:vAlign w:val="top"/>
          </w:tcPr>
          <w:p>
            <w:pPr>
              <w:ind w:left="164"/>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83" w:type="dxa"/>
            <w:vAlign w:val="top"/>
          </w:tcPr>
          <w:p>
            <w:pPr>
              <w:ind w:left="146"/>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w:t>
            </w:r>
          </w:p>
        </w:tc>
        <w:tc>
          <w:tcPr>
            <w:tcW w:w="404" w:type="dxa"/>
            <w:vAlign w:val="top"/>
          </w:tcPr>
          <w:p>
            <w:pPr>
              <w:ind w:left="121"/>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1.3</w:t>
            </w:r>
          </w:p>
        </w:tc>
        <w:tc>
          <w:tcPr>
            <w:tcW w:w="475" w:type="dxa"/>
            <w:vAlign w:val="top"/>
          </w:tcPr>
          <w:p>
            <w:pPr>
              <w:ind w:left="142"/>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w:t>
            </w:r>
          </w:p>
        </w:tc>
        <w:tc>
          <w:tcPr>
            <w:tcW w:w="404" w:type="dxa"/>
            <w:vAlign w:val="top"/>
          </w:tcPr>
          <w:p>
            <w:pPr>
              <w:ind w:left="178"/>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524" w:type="dxa"/>
            <w:vAlign w:val="top"/>
          </w:tcPr>
          <w:p>
            <w:pPr>
              <w:ind w:left="225"/>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441" w:type="dxa"/>
            <w:vAlign w:val="top"/>
          </w:tcPr>
          <w:p>
            <w:pPr>
              <w:ind w:left="130"/>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w:t>
            </w:r>
          </w:p>
        </w:tc>
        <w:tc>
          <w:tcPr>
            <w:tcW w:w="583" w:type="dxa"/>
            <w:vAlign w:val="top"/>
          </w:tcPr>
          <w:p>
            <w:pPr>
              <w:ind w:left="202"/>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w:t>
            </w:r>
          </w:p>
        </w:tc>
        <w:tc>
          <w:tcPr>
            <w:tcW w:w="404" w:type="dxa"/>
            <w:vAlign w:val="top"/>
          </w:tcPr>
          <w:p>
            <w:pPr>
              <w:ind w:left="169"/>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608" w:type="dxa"/>
            <w:vAlign w:val="top"/>
          </w:tcPr>
          <w:p>
            <w:pPr>
              <w:ind w:left="210"/>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w:t>
            </w:r>
          </w:p>
        </w:tc>
        <w:tc>
          <w:tcPr>
            <w:tcW w:w="466" w:type="dxa"/>
            <w:vAlign w:val="top"/>
          </w:tcPr>
          <w:p>
            <w:pPr>
              <w:ind w:left="140"/>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575" w:type="dxa"/>
            <w:vAlign w:val="top"/>
          </w:tcPr>
          <w:p>
            <w:pPr>
              <w:ind w:left="264"/>
              <w:spacing w:before="264"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79" w:type="dxa"/>
            <w:vAlign w:val="top"/>
            <w:tcBorders>
              <w:right w:val="nil"/>
            </w:tcBorders>
          </w:tcPr>
          <w:p>
            <w:pPr>
              <w:ind w:left="124"/>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14.5</w:t>
            </w:r>
          </w:p>
        </w:tc>
      </w:tr>
      <w:tr>
        <w:trPr>
          <w:trHeight w:val="628" w:hRule="atLeast"/>
        </w:trPr>
        <w:tc>
          <w:tcPr>
            <w:tcW w:w="417" w:type="dxa"/>
            <w:vAlign w:val="top"/>
            <w:textDirection w:val="tbRlV"/>
            <w:tcBorders>
              <w:left w:val="nil"/>
            </w:tcBorders>
          </w:tcPr>
          <w:p>
            <w:pPr>
              <w:pStyle w:val="TableText"/>
              <w:ind w:left="146"/>
              <w:spacing w:before="133" w:line="210" w:lineRule="auto"/>
              <w:rPr>
                <w:sz w:val="14"/>
                <w:szCs w:val="14"/>
              </w:rPr>
            </w:pPr>
            <w:r>
              <w:rPr>
                <w:sz w:val="14"/>
                <w:szCs w:val="14"/>
                <w:spacing w:val="-77"/>
                <w:w w:val="66"/>
              </w:rPr>
              <w:t>一</w:t>
            </w:r>
            <w:r>
              <w:rPr>
                <w:sz w:val="14"/>
                <w:szCs w:val="14"/>
                <w:spacing w:val="8"/>
              </w:rPr>
              <w:t xml:space="preserve">   </w:t>
            </w:r>
            <w:r>
              <w:rPr>
                <w:sz w:val="14"/>
                <w:szCs w:val="14"/>
                <w:spacing w:val="12"/>
              </w:rPr>
              <w:t>月</w:t>
            </w:r>
          </w:p>
        </w:tc>
        <w:tc>
          <w:tcPr>
            <w:tcW w:w="404" w:type="dxa"/>
            <w:vAlign w:val="top"/>
          </w:tcPr>
          <w:p>
            <w:pPr>
              <w:ind w:left="109"/>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525" w:type="dxa"/>
            <w:vAlign w:val="top"/>
          </w:tcPr>
          <w:p>
            <w:pPr>
              <w:ind w:left="237"/>
              <w:spacing w:before="265"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16" w:type="dxa"/>
            <w:vAlign w:val="top"/>
          </w:tcPr>
          <w:p>
            <w:pPr>
              <w:ind w:left="185"/>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508" w:type="dxa"/>
            <w:vAlign w:val="top"/>
          </w:tcPr>
          <w:p>
            <w:pPr>
              <w:ind w:left="230"/>
              <w:spacing w:before="265"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04" w:type="dxa"/>
            <w:vAlign w:val="top"/>
          </w:tcPr>
          <w:p>
            <w:pPr>
              <w:ind w:left="109"/>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w:t>
            </w:r>
          </w:p>
        </w:tc>
        <w:tc>
          <w:tcPr>
            <w:tcW w:w="483" w:type="dxa"/>
            <w:vAlign w:val="top"/>
          </w:tcPr>
          <w:p>
            <w:pPr>
              <w:ind w:left="160"/>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p>
        </w:tc>
        <w:tc>
          <w:tcPr>
            <w:tcW w:w="404" w:type="dxa"/>
            <w:vAlign w:val="top"/>
          </w:tcPr>
          <w:p>
            <w:pPr>
              <w:ind w:left="107"/>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75" w:type="dxa"/>
            <w:vAlign w:val="top"/>
          </w:tcPr>
          <w:p>
            <w:pPr>
              <w:ind w:left="142"/>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w:t>
            </w:r>
          </w:p>
        </w:tc>
        <w:tc>
          <w:tcPr>
            <w:tcW w:w="404" w:type="dxa"/>
            <w:vAlign w:val="top"/>
          </w:tcPr>
          <w:p>
            <w:pPr>
              <w:ind w:left="167"/>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524" w:type="dxa"/>
            <w:vAlign w:val="top"/>
          </w:tcPr>
          <w:p>
            <w:pPr>
              <w:ind w:left="237"/>
              <w:spacing w:before="265"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41" w:type="dxa"/>
            <w:vAlign w:val="top"/>
          </w:tcPr>
          <w:p>
            <w:pPr>
              <w:ind w:left="130"/>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w:t>
            </w:r>
          </w:p>
        </w:tc>
        <w:tc>
          <w:tcPr>
            <w:tcW w:w="583" w:type="dxa"/>
            <w:vAlign w:val="top"/>
          </w:tcPr>
          <w:p>
            <w:pPr>
              <w:ind w:left="198"/>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c>
          <w:tcPr>
            <w:tcW w:w="404" w:type="dxa"/>
            <w:vAlign w:val="top"/>
          </w:tcPr>
          <w:p>
            <w:pPr>
              <w:ind w:left="108"/>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w:t>
            </w:r>
          </w:p>
        </w:tc>
        <w:tc>
          <w:tcPr>
            <w:tcW w:w="608" w:type="dxa"/>
            <w:vAlign w:val="top"/>
          </w:tcPr>
          <w:p>
            <w:pPr>
              <w:ind w:left="214"/>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w:t>
            </w:r>
          </w:p>
        </w:tc>
        <w:tc>
          <w:tcPr>
            <w:tcW w:w="466" w:type="dxa"/>
            <w:vAlign w:val="top"/>
          </w:tcPr>
          <w:p>
            <w:pPr>
              <w:ind w:left="154"/>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p>
        </w:tc>
        <w:tc>
          <w:tcPr>
            <w:tcW w:w="575" w:type="dxa"/>
            <w:vAlign w:val="top"/>
          </w:tcPr>
          <w:p>
            <w:pPr>
              <w:ind w:left="264"/>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479" w:type="dxa"/>
            <w:vAlign w:val="top"/>
            <w:tcBorders>
              <w:right w:val="nil"/>
            </w:tcBorders>
          </w:tcPr>
          <w:p>
            <w:pPr>
              <w:ind w:left="124"/>
              <w:spacing w:before="26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14.5</w:t>
            </w:r>
          </w:p>
        </w:tc>
      </w:tr>
      <w:tr>
        <w:trPr>
          <w:trHeight w:val="319" w:hRule="atLeast"/>
        </w:trPr>
        <w:tc>
          <w:tcPr>
            <w:tcW w:w="417" w:type="dxa"/>
            <w:vAlign w:val="top"/>
            <w:tcBorders>
              <w:left w:val="nil"/>
            </w:tcBorders>
          </w:tcPr>
          <w:p>
            <w:pPr>
              <w:pStyle w:val="TableText"/>
              <w:ind w:left="146"/>
              <w:spacing w:before="117" w:line="182" w:lineRule="auto"/>
              <w:rPr>
                <w:sz w:val="14"/>
                <w:szCs w:val="14"/>
              </w:rPr>
            </w:pPr>
            <w:r>
              <w:rPr>
                <w:sz w:val="14"/>
                <w:szCs w:val="14"/>
              </w:rPr>
              <w:t>二</w:t>
            </w:r>
          </w:p>
        </w:tc>
        <w:tc>
          <w:tcPr>
            <w:tcW w:w="404" w:type="dxa"/>
            <w:vAlign w:val="top"/>
          </w:tcPr>
          <w:p>
            <w:pPr>
              <w:ind w:left="178"/>
              <w:spacing w:before="109"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25" w:type="dxa"/>
            <w:vAlign w:val="top"/>
          </w:tcPr>
          <w:p>
            <w:pPr>
              <w:ind w:left="237"/>
              <w:spacing w:before="109"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16" w:type="dxa"/>
            <w:vAlign w:val="top"/>
          </w:tcPr>
          <w:p>
            <w:pPr>
              <w:ind w:left="11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08"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04" w:type="dxa"/>
            <w:vAlign w:val="top"/>
          </w:tcPr>
          <w:p>
            <w:pPr>
              <w:ind w:left="1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483" w:type="dxa"/>
            <w:vAlign w:val="top"/>
          </w:tcPr>
          <w:p>
            <w:pPr>
              <w:ind w:left="16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p>
        </w:tc>
        <w:tc>
          <w:tcPr>
            <w:tcW w:w="404"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475" w:type="dxa"/>
            <w:vAlign w:val="top"/>
          </w:tcPr>
          <w:p>
            <w:pPr>
              <w:ind w:left="20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78"/>
              <w:spacing w:before="109"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24" w:type="dxa"/>
            <w:vAlign w:val="top"/>
          </w:tcPr>
          <w:p>
            <w:pPr>
              <w:ind w:left="237"/>
              <w:spacing w:before="109"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41" w:type="dxa"/>
            <w:vAlign w:val="top"/>
          </w:tcPr>
          <w:p>
            <w:pPr>
              <w:ind w:left="1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583" w:type="dxa"/>
            <w:vAlign w:val="top"/>
          </w:tcPr>
          <w:p>
            <w:pPr>
              <w:ind w:left="2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404" w:type="dxa"/>
            <w:vAlign w:val="top"/>
          </w:tcPr>
          <w:p>
            <w:pPr>
              <w:ind w:left="11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w:t>
            </w:r>
          </w:p>
        </w:tc>
        <w:tc>
          <w:tcPr>
            <w:tcW w:w="608" w:type="dxa"/>
            <w:vAlign w:val="top"/>
          </w:tcPr>
          <w:p>
            <w:pPr>
              <w:ind w:left="21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w:t>
            </w:r>
          </w:p>
        </w:tc>
        <w:tc>
          <w:tcPr>
            <w:tcW w:w="466"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75" w:type="dxa"/>
            <w:vAlign w:val="top"/>
          </w:tcPr>
          <w:p>
            <w:pPr>
              <w:ind w:left="25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79" w:type="dxa"/>
            <w:vAlign w:val="top"/>
            <w:tcBorders>
              <w:right w:val="nil"/>
            </w:tcBorders>
          </w:tcPr>
          <w:p>
            <w:pPr>
              <w:ind w:left="1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25</w:t>
            </w:r>
          </w:p>
        </w:tc>
      </w:tr>
    </w:tbl>
    <w:p>
      <w:pPr>
        <w:pStyle w:val="BodyText"/>
        <w:spacing w:line="228" w:lineRule="exact"/>
        <w:rPr>
          <w:sz w:val="19"/>
        </w:rPr>
      </w:pPr>
      <w:r/>
    </w:p>
    <w:p>
      <w:pPr>
        <w:spacing w:line="228" w:lineRule="exact"/>
        <w:sectPr>
          <w:footerReference w:type="default" r:id="rId284"/>
          <w:pgSz w:w="11906" w:h="16839"/>
          <w:pgMar w:top="400" w:right="1692" w:bottom="1358" w:left="1691" w:header="0" w:footer="1195" w:gutter="0"/>
        </w:sectPr>
        <w:rPr>
          <w:sz w:val="19"/>
          <w:szCs w:val="19"/>
        </w:rPr>
      </w:pPr>
    </w:p>
    <w:p>
      <w:pPr>
        <w:spacing w:before="19"/>
        <w:rPr/>
      </w:pPr>
      <w:r/>
    </w:p>
    <w:p>
      <w:pPr>
        <w:spacing w:before="19"/>
        <w:rPr/>
      </w:pPr>
      <w:r/>
    </w:p>
    <w:p>
      <w:pPr>
        <w:spacing w:before="18"/>
        <w:rPr/>
      </w:pPr>
      <w:r/>
    </w:p>
    <w:p>
      <w:pPr>
        <w:spacing w:before="18"/>
        <w:rPr/>
      </w:pPr>
      <w:r/>
    </w:p>
    <w:tbl>
      <w:tblPr>
        <w:tblStyle w:val="TableNormal"/>
        <w:tblW w:w="852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7"/>
        <w:gridCol w:w="404"/>
        <w:gridCol w:w="525"/>
        <w:gridCol w:w="416"/>
        <w:gridCol w:w="508"/>
        <w:gridCol w:w="404"/>
        <w:gridCol w:w="483"/>
        <w:gridCol w:w="404"/>
        <w:gridCol w:w="475"/>
        <w:gridCol w:w="404"/>
        <w:gridCol w:w="524"/>
        <w:gridCol w:w="441"/>
        <w:gridCol w:w="583"/>
        <w:gridCol w:w="404"/>
        <w:gridCol w:w="608"/>
        <w:gridCol w:w="466"/>
        <w:gridCol w:w="575"/>
        <w:gridCol w:w="479"/>
      </w:tblGrid>
      <w:tr>
        <w:trPr>
          <w:trHeight w:val="321" w:hRule="atLeast"/>
        </w:trPr>
        <w:tc>
          <w:tcPr>
            <w:tcW w:w="417" w:type="dxa"/>
            <w:vAlign w:val="top"/>
            <w:tcBorders>
              <w:left w:val="nil"/>
            </w:tcBorders>
          </w:tcPr>
          <w:p>
            <w:pPr>
              <w:pStyle w:val="TableText"/>
              <w:ind w:left="148"/>
              <w:spacing w:before="86" w:line="235" w:lineRule="auto"/>
              <w:rPr>
                <w:sz w:val="14"/>
                <w:szCs w:val="14"/>
              </w:rPr>
            </w:pPr>
            <w:r>
              <w:rPr>
                <w:sz w:val="14"/>
                <w:szCs w:val="14"/>
              </w:rPr>
              <w:t>月</w:t>
            </w:r>
          </w:p>
        </w:tc>
        <w:tc>
          <w:tcPr>
            <w:tcW w:w="404" w:type="dxa"/>
            <w:vAlign w:val="top"/>
          </w:tcPr>
          <w:p>
            <w:pPr>
              <w:rPr>
                <w:rFonts w:ascii="Arial"/>
                <w:sz w:val="21"/>
              </w:rPr>
            </w:pPr>
            <w:r/>
          </w:p>
        </w:tc>
        <w:tc>
          <w:tcPr>
            <w:tcW w:w="525" w:type="dxa"/>
            <w:vAlign w:val="top"/>
          </w:tcPr>
          <w:p>
            <w:pPr>
              <w:rPr>
                <w:rFonts w:ascii="Arial"/>
                <w:sz w:val="21"/>
              </w:rPr>
            </w:pPr>
            <w:r/>
          </w:p>
        </w:tc>
        <w:tc>
          <w:tcPr>
            <w:tcW w:w="416" w:type="dxa"/>
            <w:vAlign w:val="top"/>
          </w:tcPr>
          <w:p>
            <w:pPr>
              <w:rPr>
                <w:rFonts w:ascii="Arial"/>
                <w:sz w:val="21"/>
              </w:rPr>
            </w:pPr>
            <w:r/>
          </w:p>
        </w:tc>
        <w:tc>
          <w:tcPr>
            <w:tcW w:w="508" w:type="dxa"/>
            <w:vAlign w:val="top"/>
          </w:tcPr>
          <w:p>
            <w:pPr>
              <w:rPr>
                <w:rFonts w:ascii="Arial"/>
                <w:sz w:val="21"/>
              </w:rPr>
            </w:pPr>
            <w:r/>
          </w:p>
        </w:tc>
        <w:tc>
          <w:tcPr>
            <w:tcW w:w="404" w:type="dxa"/>
            <w:vAlign w:val="top"/>
          </w:tcPr>
          <w:p>
            <w:pPr>
              <w:rPr>
                <w:rFonts w:ascii="Arial"/>
                <w:sz w:val="21"/>
              </w:rPr>
            </w:pPr>
            <w:r/>
          </w:p>
        </w:tc>
        <w:tc>
          <w:tcPr>
            <w:tcW w:w="483" w:type="dxa"/>
            <w:vAlign w:val="top"/>
          </w:tcPr>
          <w:p>
            <w:pPr>
              <w:rPr>
                <w:rFonts w:ascii="Arial"/>
                <w:sz w:val="21"/>
              </w:rPr>
            </w:pPr>
            <w:r/>
          </w:p>
        </w:tc>
        <w:tc>
          <w:tcPr>
            <w:tcW w:w="404" w:type="dxa"/>
            <w:vAlign w:val="top"/>
          </w:tcPr>
          <w:p>
            <w:pPr>
              <w:rPr>
                <w:rFonts w:ascii="Arial"/>
                <w:sz w:val="21"/>
              </w:rPr>
            </w:pPr>
            <w:r/>
          </w:p>
        </w:tc>
        <w:tc>
          <w:tcPr>
            <w:tcW w:w="475" w:type="dxa"/>
            <w:vAlign w:val="top"/>
          </w:tcPr>
          <w:p>
            <w:pPr>
              <w:rPr>
                <w:rFonts w:ascii="Arial"/>
                <w:sz w:val="21"/>
              </w:rPr>
            </w:pPr>
            <w:r/>
          </w:p>
        </w:tc>
        <w:tc>
          <w:tcPr>
            <w:tcW w:w="404" w:type="dxa"/>
            <w:vAlign w:val="top"/>
          </w:tcPr>
          <w:p>
            <w:pPr>
              <w:rPr>
                <w:rFonts w:ascii="Arial"/>
                <w:sz w:val="21"/>
              </w:rPr>
            </w:pPr>
            <w:r/>
          </w:p>
        </w:tc>
        <w:tc>
          <w:tcPr>
            <w:tcW w:w="524" w:type="dxa"/>
            <w:vAlign w:val="top"/>
          </w:tcPr>
          <w:p>
            <w:pPr>
              <w:rPr>
                <w:rFonts w:ascii="Arial"/>
                <w:sz w:val="21"/>
              </w:rPr>
            </w:pPr>
            <w:r/>
          </w:p>
        </w:tc>
        <w:tc>
          <w:tcPr>
            <w:tcW w:w="441" w:type="dxa"/>
            <w:vAlign w:val="top"/>
          </w:tcPr>
          <w:p>
            <w:pPr>
              <w:rPr>
                <w:rFonts w:ascii="Arial"/>
                <w:sz w:val="21"/>
              </w:rPr>
            </w:pPr>
            <w:r/>
          </w:p>
        </w:tc>
        <w:tc>
          <w:tcPr>
            <w:tcW w:w="583" w:type="dxa"/>
            <w:vAlign w:val="top"/>
          </w:tcPr>
          <w:p>
            <w:pPr>
              <w:rPr>
                <w:rFonts w:ascii="Arial"/>
                <w:sz w:val="21"/>
              </w:rPr>
            </w:pPr>
            <w:r/>
          </w:p>
        </w:tc>
        <w:tc>
          <w:tcPr>
            <w:tcW w:w="404" w:type="dxa"/>
            <w:vAlign w:val="top"/>
          </w:tcPr>
          <w:p>
            <w:pPr>
              <w:rPr>
                <w:rFonts w:ascii="Arial"/>
                <w:sz w:val="21"/>
              </w:rPr>
            </w:pPr>
            <w:r/>
          </w:p>
        </w:tc>
        <w:tc>
          <w:tcPr>
            <w:tcW w:w="608" w:type="dxa"/>
            <w:vAlign w:val="top"/>
          </w:tcPr>
          <w:p>
            <w:pPr>
              <w:rPr>
                <w:rFonts w:ascii="Arial"/>
                <w:sz w:val="21"/>
              </w:rPr>
            </w:pPr>
            <w:r/>
          </w:p>
        </w:tc>
        <w:tc>
          <w:tcPr>
            <w:tcW w:w="466" w:type="dxa"/>
            <w:vAlign w:val="top"/>
          </w:tcPr>
          <w:p>
            <w:pPr>
              <w:rPr>
                <w:rFonts w:ascii="Arial"/>
                <w:sz w:val="21"/>
              </w:rPr>
            </w:pPr>
            <w:r/>
          </w:p>
        </w:tc>
        <w:tc>
          <w:tcPr>
            <w:tcW w:w="575" w:type="dxa"/>
            <w:vAlign w:val="top"/>
          </w:tcPr>
          <w:p>
            <w:pPr>
              <w:rPr>
                <w:rFonts w:ascii="Arial"/>
                <w:sz w:val="21"/>
              </w:rPr>
            </w:pPr>
            <w:r/>
          </w:p>
        </w:tc>
        <w:tc>
          <w:tcPr>
            <w:tcW w:w="479" w:type="dxa"/>
            <w:vAlign w:val="top"/>
            <w:tcBorders>
              <w:right w:val="nil"/>
            </w:tcBorders>
          </w:tcPr>
          <w:p>
            <w:pPr>
              <w:rPr>
                <w:rFonts w:ascii="Arial"/>
                <w:sz w:val="21"/>
              </w:rPr>
            </w:pPr>
            <w:r/>
          </w:p>
        </w:tc>
      </w:tr>
      <w:tr>
        <w:trPr>
          <w:trHeight w:val="626" w:hRule="atLeast"/>
        </w:trPr>
        <w:tc>
          <w:tcPr>
            <w:tcW w:w="417" w:type="dxa"/>
            <w:vAlign w:val="top"/>
            <w:textDirection w:val="tbRlV"/>
            <w:tcBorders>
              <w:left w:val="nil"/>
            </w:tcBorders>
          </w:tcPr>
          <w:p>
            <w:pPr>
              <w:pStyle w:val="TableText"/>
              <w:ind w:left="101"/>
              <w:spacing w:before="133" w:line="208" w:lineRule="auto"/>
              <w:rPr>
                <w:sz w:val="14"/>
                <w:szCs w:val="14"/>
              </w:rPr>
            </w:pPr>
            <w:r>
              <w:rPr>
                <w:sz w:val="14"/>
                <w:szCs w:val="14"/>
                <w:spacing w:val="-10"/>
              </w:rPr>
              <w:t>三</w:t>
            </w:r>
            <w:r>
              <w:rPr>
                <w:sz w:val="14"/>
                <w:szCs w:val="14"/>
                <w:spacing w:val="22"/>
              </w:rPr>
              <w:t xml:space="preserve">  </w:t>
            </w:r>
            <w:r>
              <w:rPr>
                <w:sz w:val="14"/>
                <w:szCs w:val="14"/>
                <w:spacing w:val="-10"/>
              </w:rPr>
              <w:t>月</w:t>
            </w:r>
          </w:p>
        </w:tc>
        <w:tc>
          <w:tcPr>
            <w:tcW w:w="404" w:type="dxa"/>
            <w:vAlign w:val="top"/>
          </w:tcPr>
          <w:p>
            <w:pPr>
              <w:ind w:left="112"/>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525" w:type="dxa"/>
            <w:vAlign w:val="top"/>
          </w:tcPr>
          <w:p>
            <w:pPr>
              <w:ind w:left="225"/>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416" w:type="dxa"/>
            <w:vAlign w:val="top"/>
          </w:tcPr>
          <w:p>
            <w:pPr>
              <w:ind w:left="171"/>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08" w:type="dxa"/>
            <w:vAlign w:val="top"/>
          </w:tcPr>
          <w:p>
            <w:pPr>
              <w:ind w:left="216"/>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09"/>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83" w:type="dxa"/>
            <w:vAlign w:val="top"/>
          </w:tcPr>
          <w:p>
            <w:pPr>
              <w:ind w:left="204"/>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07"/>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w:t>
            </w:r>
          </w:p>
        </w:tc>
        <w:tc>
          <w:tcPr>
            <w:tcW w:w="475" w:type="dxa"/>
            <w:vAlign w:val="top"/>
          </w:tcPr>
          <w:p>
            <w:pPr>
              <w:ind w:left="142"/>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w:t>
            </w:r>
          </w:p>
        </w:tc>
        <w:tc>
          <w:tcPr>
            <w:tcW w:w="404" w:type="dxa"/>
            <w:vAlign w:val="top"/>
          </w:tcPr>
          <w:p>
            <w:pPr>
              <w:ind w:left="178"/>
              <w:spacing w:before="260"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24" w:type="dxa"/>
            <w:vAlign w:val="top"/>
          </w:tcPr>
          <w:p>
            <w:pPr>
              <w:ind w:left="240"/>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441" w:type="dxa"/>
            <w:vAlign w:val="top"/>
          </w:tcPr>
          <w:p>
            <w:pPr>
              <w:ind w:left="130"/>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w:t>
            </w:r>
          </w:p>
        </w:tc>
        <w:tc>
          <w:tcPr>
            <w:tcW w:w="583" w:type="dxa"/>
            <w:vAlign w:val="top"/>
          </w:tcPr>
          <w:p>
            <w:pPr>
              <w:ind w:left="202"/>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404" w:type="dxa"/>
            <w:vAlign w:val="top"/>
          </w:tcPr>
          <w:p>
            <w:pPr>
              <w:ind w:left="107"/>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c>
          <w:tcPr>
            <w:tcW w:w="608" w:type="dxa"/>
            <w:vAlign w:val="top"/>
          </w:tcPr>
          <w:p>
            <w:pPr>
              <w:ind w:left="211"/>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66" w:type="dxa"/>
            <w:vAlign w:val="top"/>
          </w:tcPr>
          <w:p>
            <w:pPr>
              <w:ind w:left="143"/>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w:t>
            </w:r>
          </w:p>
        </w:tc>
        <w:tc>
          <w:tcPr>
            <w:tcW w:w="575" w:type="dxa"/>
            <w:vAlign w:val="top"/>
          </w:tcPr>
          <w:p>
            <w:pPr>
              <w:ind w:left="195"/>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79" w:type="dxa"/>
            <w:vAlign w:val="top"/>
            <w:tcBorders>
              <w:right w:val="nil"/>
            </w:tcBorders>
          </w:tcPr>
          <w:p>
            <w:pPr>
              <w:ind w:left="124"/>
              <w:spacing w:before="26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12.</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w:t>
            </w:r>
          </w:p>
        </w:tc>
      </w:tr>
      <w:tr>
        <w:trPr>
          <w:trHeight w:val="626" w:hRule="atLeast"/>
        </w:trPr>
        <w:tc>
          <w:tcPr>
            <w:tcW w:w="417" w:type="dxa"/>
            <w:vAlign w:val="top"/>
            <w:textDirection w:val="tbRlV"/>
            <w:tcBorders>
              <w:left w:val="nil"/>
            </w:tcBorders>
          </w:tcPr>
          <w:p>
            <w:pPr>
              <w:pStyle w:val="TableText"/>
              <w:ind w:left="87"/>
              <w:spacing w:before="133" w:line="204" w:lineRule="auto"/>
              <w:rPr>
                <w:sz w:val="14"/>
                <w:szCs w:val="14"/>
              </w:rPr>
            </w:pPr>
            <w:r>
              <w:rPr>
                <w:sz w:val="14"/>
                <w:szCs w:val="14"/>
                <w:spacing w:val="12"/>
              </w:rPr>
              <w:t>四</w:t>
            </w:r>
            <w:r>
              <w:rPr>
                <w:sz w:val="14"/>
                <w:szCs w:val="14"/>
                <w:spacing w:val="9"/>
              </w:rPr>
              <w:t xml:space="preserve">  </w:t>
            </w:r>
            <w:r>
              <w:rPr>
                <w:sz w:val="14"/>
                <w:szCs w:val="14"/>
                <w:spacing w:val="12"/>
              </w:rPr>
              <w:t>月</w:t>
            </w:r>
          </w:p>
        </w:tc>
        <w:tc>
          <w:tcPr>
            <w:tcW w:w="404" w:type="dxa"/>
            <w:vAlign w:val="top"/>
          </w:tcPr>
          <w:p>
            <w:pPr>
              <w:ind w:left="112"/>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w:t>
            </w:r>
          </w:p>
        </w:tc>
        <w:tc>
          <w:tcPr>
            <w:tcW w:w="525" w:type="dxa"/>
            <w:vAlign w:val="top"/>
          </w:tcPr>
          <w:p>
            <w:pPr>
              <w:ind w:left="167"/>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w:t>
            </w:r>
          </w:p>
        </w:tc>
        <w:tc>
          <w:tcPr>
            <w:tcW w:w="416" w:type="dxa"/>
            <w:vAlign w:val="top"/>
          </w:tcPr>
          <w:p>
            <w:pPr>
              <w:ind w:left="185"/>
              <w:spacing w:before="265"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08" w:type="dxa"/>
            <w:vAlign w:val="top"/>
          </w:tcPr>
          <w:p>
            <w:pPr>
              <w:ind w:left="230"/>
              <w:spacing w:before="265"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04" w:type="dxa"/>
            <w:vAlign w:val="top"/>
          </w:tcPr>
          <w:p>
            <w:pPr>
              <w:ind w:left="109"/>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83" w:type="dxa"/>
            <w:vAlign w:val="top"/>
          </w:tcPr>
          <w:p>
            <w:pPr>
              <w:ind w:left="204"/>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21"/>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p>
        </w:tc>
        <w:tc>
          <w:tcPr>
            <w:tcW w:w="475" w:type="dxa"/>
            <w:vAlign w:val="top"/>
          </w:tcPr>
          <w:p>
            <w:pPr>
              <w:ind w:left="146"/>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5.3</w:t>
            </w:r>
          </w:p>
        </w:tc>
        <w:tc>
          <w:tcPr>
            <w:tcW w:w="404" w:type="dxa"/>
            <w:vAlign w:val="top"/>
          </w:tcPr>
          <w:p>
            <w:pPr>
              <w:ind w:left="163"/>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524" w:type="dxa"/>
            <w:vAlign w:val="top"/>
          </w:tcPr>
          <w:p>
            <w:pPr>
              <w:ind w:left="167"/>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w:t>
            </w:r>
          </w:p>
        </w:tc>
        <w:tc>
          <w:tcPr>
            <w:tcW w:w="441" w:type="dxa"/>
            <w:vAlign w:val="top"/>
          </w:tcPr>
          <w:p>
            <w:pPr>
              <w:ind w:left="126"/>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w:t>
            </w:r>
          </w:p>
        </w:tc>
        <w:tc>
          <w:tcPr>
            <w:tcW w:w="583" w:type="dxa"/>
            <w:vAlign w:val="top"/>
          </w:tcPr>
          <w:p>
            <w:pPr>
              <w:ind w:left="203"/>
              <w:spacing w:before="271"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5.7</w:t>
            </w:r>
          </w:p>
        </w:tc>
        <w:tc>
          <w:tcPr>
            <w:tcW w:w="404" w:type="dxa"/>
            <w:vAlign w:val="top"/>
          </w:tcPr>
          <w:p>
            <w:pPr>
              <w:ind w:left="112"/>
              <w:spacing w:before="271"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5.5</w:t>
            </w:r>
          </w:p>
        </w:tc>
        <w:tc>
          <w:tcPr>
            <w:tcW w:w="608" w:type="dxa"/>
            <w:vAlign w:val="top"/>
          </w:tcPr>
          <w:p>
            <w:pPr>
              <w:ind w:left="210"/>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c>
          <w:tcPr>
            <w:tcW w:w="466" w:type="dxa"/>
            <w:vAlign w:val="top"/>
          </w:tcPr>
          <w:p>
            <w:pPr>
              <w:ind w:left="143"/>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575" w:type="dxa"/>
            <w:vAlign w:val="top"/>
          </w:tcPr>
          <w:p>
            <w:pPr>
              <w:ind w:left="198"/>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w:t>
            </w:r>
          </w:p>
        </w:tc>
        <w:tc>
          <w:tcPr>
            <w:tcW w:w="479" w:type="dxa"/>
            <w:vAlign w:val="top"/>
            <w:tcBorders>
              <w:right w:val="nil"/>
            </w:tcBorders>
          </w:tcPr>
          <w:p>
            <w:pPr>
              <w:ind w:left="179"/>
              <w:spacing w:before="26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15</w:t>
            </w:r>
          </w:p>
        </w:tc>
      </w:tr>
      <w:tr>
        <w:trPr>
          <w:trHeight w:val="626" w:hRule="atLeast"/>
        </w:trPr>
        <w:tc>
          <w:tcPr>
            <w:tcW w:w="417" w:type="dxa"/>
            <w:vAlign w:val="top"/>
            <w:textDirection w:val="tbRlV"/>
            <w:tcBorders>
              <w:left w:val="nil"/>
            </w:tcBorders>
          </w:tcPr>
          <w:p>
            <w:pPr>
              <w:pStyle w:val="TableText"/>
              <w:ind w:left="104"/>
              <w:spacing w:before="133" w:line="210" w:lineRule="auto"/>
              <w:rPr>
                <w:sz w:val="14"/>
                <w:szCs w:val="14"/>
              </w:rPr>
            </w:pPr>
            <w:r>
              <w:rPr>
                <w:sz w:val="14"/>
                <w:szCs w:val="14"/>
                <w:spacing w:val="-10"/>
              </w:rPr>
              <w:t>五</w:t>
            </w:r>
            <w:r>
              <w:rPr>
                <w:sz w:val="14"/>
                <w:szCs w:val="14"/>
                <w:spacing w:val="24"/>
              </w:rPr>
              <w:t xml:space="preserve">  </w:t>
            </w:r>
            <w:r>
              <w:rPr>
                <w:sz w:val="14"/>
                <w:szCs w:val="14"/>
                <w:spacing w:val="-10"/>
              </w:rPr>
              <w:t>月</w:t>
            </w:r>
          </w:p>
        </w:tc>
        <w:tc>
          <w:tcPr>
            <w:tcW w:w="404" w:type="dxa"/>
            <w:vAlign w:val="top"/>
          </w:tcPr>
          <w:p>
            <w:pPr>
              <w:ind w:left="109"/>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25" w:type="dxa"/>
            <w:vAlign w:val="top"/>
          </w:tcPr>
          <w:p>
            <w:pPr>
              <w:ind w:left="171"/>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w:t>
            </w:r>
          </w:p>
        </w:tc>
        <w:tc>
          <w:tcPr>
            <w:tcW w:w="416" w:type="dxa"/>
            <w:vAlign w:val="top"/>
          </w:tcPr>
          <w:p>
            <w:pPr>
              <w:ind w:left="113"/>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08" w:type="dxa"/>
            <w:vAlign w:val="top"/>
          </w:tcPr>
          <w:p>
            <w:pPr>
              <w:ind w:left="230"/>
              <w:spacing w:before="268"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04" w:type="dxa"/>
            <w:vAlign w:val="top"/>
          </w:tcPr>
          <w:p>
            <w:pPr>
              <w:ind w:left="109"/>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83" w:type="dxa"/>
            <w:vAlign w:val="top"/>
          </w:tcPr>
          <w:p>
            <w:pPr>
              <w:ind w:left="145"/>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w:t>
            </w:r>
          </w:p>
        </w:tc>
        <w:tc>
          <w:tcPr>
            <w:tcW w:w="404" w:type="dxa"/>
            <w:vAlign w:val="top"/>
          </w:tcPr>
          <w:p>
            <w:pPr>
              <w:ind w:left="168"/>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75" w:type="dxa"/>
            <w:vAlign w:val="top"/>
          </w:tcPr>
          <w:p>
            <w:pPr>
              <w:ind w:left="202"/>
              <w:spacing w:before="27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7</w:t>
            </w:r>
          </w:p>
        </w:tc>
        <w:tc>
          <w:tcPr>
            <w:tcW w:w="404" w:type="dxa"/>
            <w:vAlign w:val="top"/>
          </w:tcPr>
          <w:p>
            <w:pPr>
              <w:ind w:left="168"/>
              <w:spacing w:before="27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tc>
        <w:tc>
          <w:tcPr>
            <w:tcW w:w="524" w:type="dxa"/>
            <w:vAlign w:val="top"/>
          </w:tcPr>
          <w:p>
            <w:pPr>
              <w:ind w:left="167"/>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w:t>
            </w:r>
          </w:p>
        </w:tc>
        <w:tc>
          <w:tcPr>
            <w:tcW w:w="441" w:type="dxa"/>
            <w:vAlign w:val="top"/>
          </w:tcPr>
          <w:p>
            <w:pPr>
              <w:ind w:left="126"/>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w:t>
            </w:r>
          </w:p>
        </w:tc>
        <w:tc>
          <w:tcPr>
            <w:tcW w:w="583" w:type="dxa"/>
            <w:vAlign w:val="top"/>
          </w:tcPr>
          <w:p>
            <w:pPr>
              <w:ind w:left="203"/>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5.2</w:t>
            </w:r>
          </w:p>
        </w:tc>
        <w:tc>
          <w:tcPr>
            <w:tcW w:w="404" w:type="dxa"/>
            <w:vAlign w:val="top"/>
          </w:tcPr>
          <w:p>
            <w:pPr>
              <w:ind w:left="107"/>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w:t>
            </w:r>
          </w:p>
        </w:tc>
        <w:tc>
          <w:tcPr>
            <w:tcW w:w="608" w:type="dxa"/>
            <w:vAlign w:val="top"/>
          </w:tcPr>
          <w:p>
            <w:pPr>
              <w:ind w:left="210"/>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w:t>
            </w:r>
          </w:p>
        </w:tc>
        <w:tc>
          <w:tcPr>
            <w:tcW w:w="466" w:type="dxa"/>
            <w:vAlign w:val="top"/>
          </w:tcPr>
          <w:p>
            <w:pPr>
              <w:ind w:left="143"/>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w:t>
            </w:r>
          </w:p>
        </w:tc>
        <w:tc>
          <w:tcPr>
            <w:tcW w:w="575" w:type="dxa"/>
            <w:vAlign w:val="top"/>
          </w:tcPr>
          <w:p>
            <w:pPr>
              <w:ind w:left="195"/>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w:t>
            </w:r>
          </w:p>
        </w:tc>
        <w:tc>
          <w:tcPr>
            <w:tcW w:w="479" w:type="dxa"/>
            <w:vAlign w:val="top"/>
            <w:tcBorders>
              <w:right w:val="nil"/>
            </w:tcBorders>
          </w:tcPr>
          <w:p>
            <w:pPr>
              <w:ind w:left="124"/>
              <w:spacing w:before="27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16.9</w:t>
            </w:r>
          </w:p>
        </w:tc>
      </w:tr>
      <w:tr>
        <w:trPr>
          <w:trHeight w:val="626" w:hRule="atLeast"/>
        </w:trPr>
        <w:tc>
          <w:tcPr>
            <w:tcW w:w="417" w:type="dxa"/>
            <w:vAlign w:val="top"/>
            <w:textDirection w:val="tbRlV"/>
            <w:tcBorders>
              <w:left w:val="nil"/>
            </w:tcBorders>
          </w:tcPr>
          <w:p>
            <w:pPr>
              <w:pStyle w:val="TableText"/>
              <w:ind w:left="92"/>
              <w:spacing w:before="133" w:line="212" w:lineRule="auto"/>
              <w:rPr>
                <w:sz w:val="14"/>
                <w:szCs w:val="14"/>
              </w:rPr>
            </w:pPr>
            <w:r>
              <w:rPr>
                <w:sz w:val="14"/>
                <w:szCs w:val="14"/>
                <w:spacing w:val="12"/>
              </w:rPr>
              <w:t>六</w:t>
            </w:r>
            <w:r>
              <w:rPr>
                <w:sz w:val="14"/>
                <w:szCs w:val="14"/>
                <w:spacing w:val="9"/>
              </w:rPr>
              <w:t xml:space="preserve">  </w:t>
            </w:r>
            <w:r>
              <w:rPr>
                <w:sz w:val="14"/>
                <w:szCs w:val="14"/>
                <w:spacing w:val="12"/>
              </w:rPr>
              <w:t>月</w:t>
            </w:r>
          </w:p>
        </w:tc>
        <w:tc>
          <w:tcPr>
            <w:tcW w:w="404" w:type="dxa"/>
            <w:vAlign w:val="top"/>
          </w:tcPr>
          <w:p>
            <w:pPr>
              <w:ind w:left="123"/>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p>
        </w:tc>
        <w:tc>
          <w:tcPr>
            <w:tcW w:w="525" w:type="dxa"/>
            <w:vAlign w:val="top"/>
          </w:tcPr>
          <w:p>
            <w:pPr>
              <w:ind w:left="168"/>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w:t>
            </w:r>
          </w:p>
        </w:tc>
        <w:tc>
          <w:tcPr>
            <w:tcW w:w="416" w:type="dxa"/>
            <w:vAlign w:val="top"/>
          </w:tcPr>
          <w:p>
            <w:pPr>
              <w:ind w:left="171"/>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08" w:type="dxa"/>
            <w:vAlign w:val="top"/>
          </w:tcPr>
          <w:p>
            <w:pPr>
              <w:ind w:left="175"/>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p>
        </w:tc>
        <w:tc>
          <w:tcPr>
            <w:tcW w:w="404" w:type="dxa"/>
            <w:vAlign w:val="top"/>
          </w:tcPr>
          <w:p>
            <w:pPr>
              <w:ind w:left="109"/>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483" w:type="dxa"/>
            <w:vAlign w:val="top"/>
          </w:tcPr>
          <w:p>
            <w:pPr>
              <w:ind w:left="146"/>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04" w:type="dxa"/>
            <w:vAlign w:val="top"/>
          </w:tcPr>
          <w:p>
            <w:pPr>
              <w:ind w:left="107"/>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75" w:type="dxa"/>
            <w:vAlign w:val="top"/>
          </w:tcPr>
          <w:p>
            <w:pPr>
              <w:ind w:left="145"/>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w:t>
            </w:r>
          </w:p>
        </w:tc>
        <w:tc>
          <w:tcPr>
            <w:tcW w:w="404" w:type="dxa"/>
            <w:vAlign w:val="top"/>
          </w:tcPr>
          <w:p>
            <w:pPr>
              <w:ind w:left="112"/>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w:t>
            </w:r>
          </w:p>
        </w:tc>
        <w:tc>
          <w:tcPr>
            <w:tcW w:w="524" w:type="dxa"/>
            <w:vAlign w:val="top"/>
          </w:tcPr>
          <w:p>
            <w:pPr>
              <w:ind w:left="230"/>
              <w:spacing w:before="276"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tc>
        <w:tc>
          <w:tcPr>
            <w:tcW w:w="441" w:type="dxa"/>
            <w:vAlign w:val="top"/>
          </w:tcPr>
          <w:p>
            <w:pPr>
              <w:ind w:left="127"/>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83" w:type="dxa"/>
            <w:vAlign w:val="top"/>
          </w:tcPr>
          <w:p>
            <w:pPr>
              <w:ind w:left="257"/>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04" w:type="dxa"/>
            <w:vAlign w:val="top"/>
          </w:tcPr>
          <w:p>
            <w:pPr>
              <w:ind w:left="166"/>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608" w:type="dxa"/>
            <w:vAlign w:val="top"/>
          </w:tcPr>
          <w:p>
            <w:pPr>
              <w:ind w:left="268"/>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66" w:type="dxa"/>
            <w:vAlign w:val="top"/>
          </w:tcPr>
          <w:p>
            <w:pPr>
              <w:ind w:left="195"/>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575" w:type="dxa"/>
            <w:vAlign w:val="top"/>
          </w:tcPr>
          <w:p>
            <w:pPr>
              <w:ind w:left="264"/>
              <w:spacing w:before="270"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479" w:type="dxa"/>
            <w:vAlign w:val="top"/>
            <w:tcBorders>
              <w:right w:val="nil"/>
            </w:tcBorders>
          </w:tcPr>
          <w:p>
            <w:pPr>
              <w:ind w:left="113"/>
              <w:spacing w:before="27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w:t>
            </w:r>
          </w:p>
        </w:tc>
      </w:tr>
      <w:tr>
        <w:trPr>
          <w:trHeight w:val="626" w:hRule="atLeast"/>
        </w:trPr>
        <w:tc>
          <w:tcPr>
            <w:tcW w:w="417" w:type="dxa"/>
            <w:vAlign w:val="top"/>
            <w:textDirection w:val="tbRlV"/>
            <w:tcBorders>
              <w:left w:val="nil"/>
            </w:tcBorders>
          </w:tcPr>
          <w:p>
            <w:pPr>
              <w:pStyle w:val="TableText"/>
              <w:ind w:left="94"/>
              <w:spacing w:before="133" w:line="209" w:lineRule="auto"/>
              <w:rPr>
                <w:sz w:val="14"/>
                <w:szCs w:val="14"/>
              </w:rPr>
            </w:pPr>
            <w:r>
              <w:rPr>
                <w:sz w:val="14"/>
                <w:szCs w:val="14"/>
                <w:spacing w:val="12"/>
              </w:rPr>
              <w:t>七</w:t>
            </w:r>
            <w:r>
              <w:rPr>
                <w:sz w:val="14"/>
                <w:szCs w:val="14"/>
                <w:spacing w:val="9"/>
              </w:rPr>
              <w:t xml:space="preserve">  </w:t>
            </w:r>
            <w:r>
              <w:rPr>
                <w:sz w:val="14"/>
                <w:szCs w:val="14"/>
                <w:spacing w:val="12"/>
              </w:rPr>
              <w:t>月</w:t>
            </w:r>
          </w:p>
        </w:tc>
        <w:tc>
          <w:tcPr>
            <w:tcW w:w="404" w:type="dxa"/>
            <w:vAlign w:val="top"/>
          </w:tcPr>
          <w:p>
            <w:pPr>
              <w:ind w:left="123"/>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525" w:type="dxa"/>
            <w:vAlign w:val="top"/>
          </w:tcPr>
          <w:p>
            <w:pPr>
              <w:ind w:left="168"/>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16" w:type="dxa"/>
            <w:vAlign w:val="top"/>
          </w:tcPr>
          <w:p>
            <w:pPr>
              <w:ind w:left="113"/>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08" w:type="dxa"/>
            <w:vAlign w:val="top"/>
          </w:tcPr>
          <w:p>
            <w:pPr>
              <w:ind w:left="161"/>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404" w:type="dxa"/>
            <w:vAlign w:val="top"/>
          </w:tcPr>
          <w:p>
            <w:pPr>
              <w:ind w:left="123"/>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483" w:type="dxa"/>
            <w:vAlign w:val="top"/>
          </w:tcPr>
          <w:p>
            <w:pPr>
              <w:ind w:left="160"/>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p>
        </w:tc>
        <w:tc>
          <w:tcPr>
            <w:tcW w:w="404" w:type="dxa"/>
            <w:vAlign w:val="top"/>
          </w:tcPr>
          <w:p>
            <w:pPr>
              <w:ind w:left="121"/>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1.9</w:t>
            </w:r>
          </w:p>
        </w:tc>
        <w:tc>
          <w:tcPr>
            <w:tcW w:w="475" w:type="dxa"/>
            <w:vAlign w:val="top"/>
          </w:tcPr>
          <w:p>
            <w:pPr>
              <w:ind w:left="199"/>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404" w:type="dxa"/>
            <w:vAlign w:val="top"/>
          </w:tcPr>
          <w:p>
            <w:pPr>
              <w:ind w:left="109"/>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24" w:type="dxa"/>
            <w:vAlign w:val="top"/>
          </w:tcPr>
          <w:p>
            <w:pPr>
              <w:ind w:left="229"/>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41" w:type="dxa"/>
            <w:vAlign w:val="top"/>
          </w:tcPr>
          <w:p>
            <w:pPr>
              <w:ind w:left="130"/>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583" w:type="dxa"/>
            <w:vAlign w:val="top"/>
          </w:tcPr>
          <w:p>
            <w:pPr>
              <w:ind w:left="202"/>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w:t>
            </w:r>
          </w:p>
        </w:tc>
        <w:tc>
          <w:tcPr>
            <w:tcW w:w="404" w:type="dxa"/>
            <w:vAlign w:val="top"/>
          </w:tcPr>
          <w:p>
            <w:pPr>
              <w:ind w:left="107"/>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w:t>
            </w:r>
          </w:p>
        </w:tc>
        <w:tc>
          <w:tcPr>
            <w:tcW w:w="608" w:type="dxa"/>
            <w:vAlign w:val="top"/>
          </w:tcPr>
          <w:p>
            <w:pPr>
              <w:ind w:left="214"/>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w:t>
            </w:r>
          </w:p>
        </w:tc>
        <w:tc>
          <w:tcPr>
            <w:tcW w:w="466" w:type="dxa"/>
            <w:vAlign w:val="top"/>
          </w:tcPr>
          <w:p>
            <w:pPr>
              <w:ind w:left="140"/>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c>
          <w:tcPr>
            <w:tcW w:w="575" w:type="dxa"/>
            <w:vAlign w:val="top"/>
          </w:tcPr>
          <w:p>
            <w:pPr>
              <w:ind w:left="253"/>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79" w:type="dxa"/>
            <w:vAlign w:val="top"/>
            <w:tcBorders>
              <w:right w:val="nil"/>
            </w:tcBorders>
          </w:tcPr>
          <w:p>
            <w:pPr>
              <w:ind w:left="165"/>
              <w:spacing w:before="276"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25</w:t>
            </w:r>
          </w:p>
        </w:tc>
      </w:tr>
      <w:tr>
        <w:trPr>
          <w:trHeight w:val="626" w:hRule="atLeast"/>
        </w:trPr>
        <w:tc>
          <w:tcPr>
            <w:tcW w:w="417" w:type="dxa"/>
            <w:vAlign w:val="top"/>
            <w:textDirection w:val="tbRlV"/>
            <w:tcBorders>
              <w:left w:val="nil"/>
            </w:tcBorders>
          </w:tcPr>
          <w:p>
            <w:pPr>
              <w:pStyle w:val="TableText"/>
              <w:ind w:left="97"/>
              <w:spacing w:before="133" w:line="214" w:lineRule="auto"/>
              <w:rPr>
                <w:sz w:val="14"/>
                <w:szCs w:val="14"/>
              </w:rPr>
            </w:pPr>
            <w:r>
              <w:rPr>
                <w:sz w:val="14"/>
                <w:szCs w:val="14"/>
                <w:spacing w:val="12"/>
              </w:rPr>
              <w:t>八</w:t>
            </w:r>
            <w:r>
              <w:rPr>
                <w:sz w:val="14"/>
                <w:szCs w:val="14"/>
                <w:spacing w:val="9"/>
              </w:rPr>
              <w:t xml:space="preserve">  </w:t>
            </w:r>
            <w:r>
              <w:rPr>
                <w:sz w:val="14"/>
                <w:szCs w:val="14"/>
                <w:spacing w:val="12"/>
              </w:rPr>
              <w:t>月</w:t>
            </w:r>
          </w:p>
        </w:tc>
        <w:tc>
          <w:tcPr>
            <w:tcW w:w="404" w:type="dxa"/>
            <w:vAlign w:val="top"/>
          </w:tcPr>
          <w:p>
            <w:pPr>
              <w:ind w:left="123"/>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525" w:type="dxa"/>
            <w:vAlign w:val="top"/>
          </w:tcPr>
          <w:p>
            <w:pPr>
              <w:ind w:left="229"/>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16" w:type="dxa"/>
            <w:vAlign w:val="top"/>
          </w:tcPr>
          <w:p>
            <w:pPr>
              <w:ind w:left="171"/>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08" w:type="dxa"/>
            <w:vAlign w:val="top"/>
          </w:tcPr>
          <w:p>
            <w:pPr>
              <w:ind w:left="175"/>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1.9</w:t>
            </w:r>
          </w:p>
        </w:tc>
        <w:tc>
          <w:tcPr>
            <w:tcW w:w="404" w:type="dxa"/>
            <w:vAlign w:val="top"/>
          </w:tcPr>
          <w:p>
            <w:pPr>
              <w:ind w:left="123"/>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1.4</w:t>
            </w:r>
          </w:p>
        </w:tc>
        <w:tc>
          <w:tcPr>
            <w:tcW w:w="483" w:type="dxa"/>
            <w:vAlign w:val="top"/>
          </w:tcPr>
          <w:p>
            <w:pPr>
              <w:ind w:left="160"/>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404" w:type="dxa"/>
            <w:vAlign w:val="top"/>
          </w:tcPr>
          <w:p>
            <w:pPr>
              <w:ind w:left="121"/>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475" w:type="dxa"/>
            <w:vAlign w:val="top"/>
          </w:tcPr>
          <w:p>
            <w:pPr>
              <w:ind w:left="142"/>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w:t>
            </w:r>
          </w:p>
        </w:tc>
        <w:tc>
          <w:tcPr>
            <w:tcW w:w="404" w:type="dxa"/>
            <w:vAlign w:val="top"/>
          </w:tcPr>
          <w:p>
            <w:pPr>
              <w:ind w:left="167"/>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524" w:type="dxa"/>
            <w:vAlign w:val="top"/>
          </w:tcPr>
          <w:p>
            <w:pPr>
              <w:ind w:left="171"/>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441" w:type="dxa"/>
            <w:vAlign w:val="top"/>
          </w:tcPr>
          <w:p>
            <w:pPr>
              <w:ind w:left="127"/>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583" w:type="dxa"/>
            <w:vAlign w:val="top"/>
          </w:tcPr>
          <w:p>
            <w:pPr>
              <w:ind w:left="199"/>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404" w:type="dxa"/>
            <w:vAlign w:val="top"/>
          </w:tcPr>
          <w:p>
            <w:pPr>
              <w:ind w:left="122"/>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1.3</w:t>
            </w:r>
          </w:p>
        </w:tc>
        <w:tc>
          <w:tcPr>
            <w:tcW w:w="608" w:type="dxa"/>
            <w:vAlign w:val="top"/>
          </w:tcPr>
          <w:p>
            <w:pPr>
              <w:ind w:left="225"/>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466" w:type="dxa"/>
            <w:vAlign w:val="top"/>
          </w:tcPr>
          <w:p>
            <w:pPr>
              <w:ind w:left="198"/>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575" w:type="dxa"/>
            <w:vAlign w:val="top"/>
          </w:tcPr>
          <w:p>
            <w:pPr>
              <w:ind w:left="253"/>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79" w:type="dxa"/>
            <w:vAlign w:val="top"/>
            <w:tcBorders>
              <w:right w:val="nil"/>
            </w:tcBorders>
          </w:tcPr>
          <w:p>
            <w:pPr>
              <w:ind w:left="110"/>
              <w:spacing w:before="27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29.8</w:t>
            </w:r>
          </w:p>
        </w:tc>
      </w:tr>
      <w:tr>
        <w:trPr>
          <w:trHeight w:val="626" w:hRule="atLeast"/>
        </w:trPr>
        <w:tc>
          <w:tcPr>
            <w:tcW w:w="417" w:type="dxa"/>
            <w:vAlign w:val="top"/>
            <w:textDirection w:val="tbRlV"/>
            <w:tcBorders>
              <w:left w:val="nil"/>
            </w:tcBorders>
          </w:tcPr>
          <w:p>
            <w:pPr>
              <w:pStyle w:val="TableText"/>
              <w:ind w:left="100"/>
              <w:spacing w:before="133" w:line="206" w:lineRule="auto"/>
              <w:rPr>
                <w:sz w:val="14"/>
                <w:szCs w:val="14"/>
              </w:rPr>
            </w:pPr>
            <w:r>
              <w:rPr>
                <w:sz w:val="14"/>
                <w:szCs w:val="14"/>
                <w:spacing w:val="12"/>
              </w:rPr>
              <w:t>九</w:t>
            </w:r>
            <w:r>
              <w:rPr>
                <w:sz w:val="14"/>
                <w:szCs w:val="14"/>
                <w:spacing w:val="9"/>
              </w:rPr>
              <w:t xml:space="preserve">  </w:t>
            </w:r>
            <w:r>
              <w:rPr>
                <w:sz w:val="14"/>
                <w:szCs w:val="14"/>
                <w:spacing w:val="12"/>
              </w:rPr>
              <w:t>月</w:t>
            </w:r>
          </w:p>
        </w:tc>
        <w:tc>
          <w:tcPr>
            <w:tcW w:w="404" w:type="dxa"/>
            <w:vAlign w:val="top"/>
          </w:tcPr>
          <w:p>
            <w:pPr>
              <w:ind w:left="164"/>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25" w:type="dxa"/>
            <w:vAlign w:val="top"/>
          </w:tcPr>
          <w:p>
            <w:pPr>
              <w:ind w:left="168"/>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w:t>
            </w:r>
          </w:p>
        </w:tc>
        <w:tc>
          <w:tcPr>
            <w:tcW w:w="416" w:type="dxa"/>
            <w:vAlign w:val="top"/>
          </w:tcPr>
          <w:p>
            <w:pPr>
              <w:ind w:left="113"/>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w:t>
            </w:r>
          </w:p>
        </w:tc>
        <w:tc>
          <w:tcPr>
            <w:tcW w:w="508" w:type="dxa"/>
            <w:vAlign w:val="top"/>
          </w:tcPr>
          <w:p>
            <w:pPr>
              <w:ind w:left="175"/>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p>
        </w:tc>
        <w:tc>
          <w:tcPr>
            <w:tcW w:w="404" w:type="dxa"/>
            <w:vAlign w:val="top"/>
          </w:tcPr>
          <w:p>
            <w:pPr>
              <w:ind w:left="109"/>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w:t>
            </w:r>
          </w:p>
        </w:tc>
        <w:tc>
          <w:tcPr>
            <w:tcW w:w="483" w:type="dxa"/>
            <w:vAlign w:val="top"/>
          </w:tcPr>
          <w:p>
            <w:pPr>
              <w:ind w:left="204"/>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07"/>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c>
          <w:tcPr>
            <w:tcW w:w="475" w:type="dxa"/>
            <w:vAlign w:val="top"/>
          </w:tcPr>
          <w:p>
            <w:pPr>
              <w:ind w:left="145"/>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w:t>
            </w:r>
          </w:p>
        </w:tc>
        <w:tc>
          <w:tcPr>
            <w:tcW w:w="404" w:type="dxa"/>
            <w:vAlign w:val="top"/>
          </w:tcPr>
          <w:p>
            <w:pPr>
              <w:ind w:left="112"/>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w:t>
            </w:r>
          </w:p>
        </w:tc>
        <w:tc>
          <w:tcPr>
            <w:tcW w:w="524" w:type="dxa"/>
            <w:vAlign w:val="top"/>
          </w:tcPr>
          <w:p>
            <w:pPr>
              <w:ind w:left="171"/>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441" w:type="dxa"/>
            <w:vAlign w:val="top"/>
          </w:tcPr>
          <w:p>
            <w:pPr>
              <w:ind w:left="183"/>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583" w:type="dxa"/>
            <w:vAlign w:val="top"/>
          </w:tcPr>
          <w:p>
            <w:pPr>
              <w:ind w:left="202"/>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w:t>
            </w:r>
          </w:p>
        </w:tc>
        <w:tc>
          <w:tcPr>
            <w:tcW w:w="404" w:type="dxa"/>
            <w:vAlign w:val="top"/>
          </w:tcPr>
          <w:p>
            <w:pPr>
              <w:ind w:left="111"/>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608" w:type="dxa"/>
            <w:vAlign w:val="top"/>
          </w:tcPr>
          <w:p>
            <w:pPr>
              <w:ind w:left="210"/>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w:t>
            </w:r>
          </w:p>
        </w:tc>
        <w:tc>
          <w:tcPr>
            <w:tcW w:w="466" w:type="dxa"/>
            <w:vAlign w:val="top"/>
          </w:tcPr>
          <w:p>
            <w:pPr>
              <w:ind w:left="195"/>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75" w:type="dxa"/>
            <w:vAlign w:val="top"/>
          </w:tcPr>
          <w:p>
            <w:pPr>
              <w:ind w:left="253"/>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479" w:type="dxa"/>
            <w:vAlign w:val="top"/>
            <w:tcBorders>
              <w:right w:val="nil"/>
            </w:tcBorders>
          </w:tcPr>
          <w:p>
            <w:pPr>
              <w:ind w:left="113"/>
              <w:spacing w:before="2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w:t>
            </w:r>
          </w:p>
        </w:tc>
      </w:tr>
      <w:tr>
        <w:trPr>
          <w:trHeight w:val="316" w:hRule="atLeast"/>
        </w:trPr>
        <w:tc>
          <w:tcPr>
            <w:tcW w:w="417" w:type="dxa"/>
            <w:vAlign w:val="top"/>
            <w:tcBorders>
              <w:left w:val="nil"/>
            </w:tcBorders>
          </w:tcPr>
          <w:p>
            <w:pPr>
              <w:pStyle w:val="TableText"/>
              <w:ind w:left="146"/>
              <w:spacing w:before="105" w:line="234" w:lineRule="auto"/>
              <w:rPr>
                <w:sz w:val="14"/>
                <w:szCs w:val="14"/>
              </w:rPr>
            </w:pPr>
            <w:r>
              <w:rPr>
                <w:sz w:val="14"/>
                <w:szCs w:val="14"/>
              </w:rPr>
              <w:t>十</w:t>
            </w:r>
          </w:p>
        </w:tc>
        <w:tc>
          <w:tcPr>
            <w:tcW w:w="404" w:type="dxa"/>
            <w:vAlign w:val="top"/>
          </w:tcPr>
          <w:p>
            <w:pPr>
              <w:ind w:left="109"/>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w:t>
            </w:r>
          </w:p>
        </w:tc>
        <w:tc>
          <w:tcPr>
            <w:tcW w:w="525" w:type="dxa"/>
            <w:vAlign w:val="top"/>
          </w:tcPr>
          <w:p>
            <w:pPr>
              <w:ind w:left="226"/>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16" w:type="dxa"/>
            <w:vAlign w:val="top"/>
          </w:tcPr>
          <w:p>
            <w:pPr>
              <w:ind w:left="185"/>
              <w:spacing w:before="127" w:line="20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w:t>
            </w:r>
          </w:p>
        </w:tc>
        <w:tc>
          <w:tcPr>
            <w:tcW w:w="508" w:type="dxa"/>
            <w:vAlign w:val="top"/>
          </w:tcPr>
          <w:p>
            <w:pPr>
              <w:ind w:left="216"/>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Pr>
          <w:p>
            <w:pPr>
              <w:ind w:left="109"/>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483" w:type="dxa"/>
            <w:vAlign w:val="top"/>
          </w:tcPr>
          <w:p>
            <w:pPr>
              <w:ind w:left="160"/>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1.2</w:t>
            </w:r>
          </w:p>
        </w:tc>
        <w:tc>
          <w:tcPr>
            <w:tcW w:w="404" w:type="dxa"/>
            <w:vAlign w:val="top"/>
          </w:tcPr>
          <w:p>
            <w:pPr>
              <w:ind w:left="121"/>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p>
        </w:tc>
        <w:tc>
          <w:tcPr>
            <w:tcW w:w="475" w:type="dxa"/>
            <w:vAlign w:val="top"/>
          </w:tcPr>
          <w:p>
            <w:pPr>
              <w:ind w:left="142"/>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w:t>
            </w:r>
          </w:p>
        </w:tc>
        <w:tc>
          <w:tcPr>
            <w:tcW w:w="404" w:type="dxa"/>
            <w:vAlign w:val="top"/>
          </w:tcPr>
          <w:p>
            <w:pPr>
              <w:ind w:left="108"/>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w:t>
            </w:r>
          </w:p>
        </w:tc>
        <w:tc>
          <w:tcPr>
            <w:tcW w:w="524" w:type="dxa"/>
            <w:vAlign w:val="top"/>
          </w:tcPr>
          <w:p>
            <w:pPr>
              <w:ind w:left="225"/>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441" w:type="dxa"/>
            <w:vAlign w:val="top"/>
          </w:tcPr>
          <w:p>
            <w:pPr>
              <w:ind w:left="126"/>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w:t>
            </w:r>
          </w:p>
        </w:tc>
        <w:tc>
          <w:tcPr>
            <w:tcW w:w="583" w:type="dxa"/>
            <w:vAlign w:val="top"/>
          </w:tcPr>
          <w:p>
            <w:pPr>
              <w:ind w:left="202"/>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404" w:type="dxa"/>
            <w:vAlign w:val="top"/>
          </w:tcPr>
          <w:p>
            <w:pPr>
              <w:ind w:left="165"/>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608" w:type="dxa"/>
            <w:vAlign w:val="top"/>
          </w:tcPr>
          <w:p>
            <w:pPr>
              <w:ind w:left="214"/>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w:t>
            </w:r>
          </w:p>
        </w:tc>
        <w:tc>
          <w:tcPr>
            <w:tcW w:w="466" w:type="dxa"/>
            <w:vAlign w:val="top"/>
          </w:tcPr>
          <w:p>
            <w:pPr>
              <w:ind w:left="195"/>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575" w:type="dxa"/>
            <w:vAlign w:val="top"/>
          </w:tcPr>
          <w:p>
            <w:pPr>
              <w:ind w:left="250"/>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79" w:type="dxa"/>
            <w:vAlign w:val="top"/>
            <w:tcBorders>
              <w:right w:val="nil"/>
            </w:tcBorders>
          </w:tcPr>
          <w:p>
            <w:pPr>
              <w:ind w:left="113"/>
              <w:spacing w:before="13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r>
      <w:tr>
        <w:trPr>
          <w:trHeight w:val="650" w:hRule="atLeast"/>
        </w:trPr>
        <w:tc>
          <w:tcPr>
            <w:tcW w:w="417" w:type="dxa"/>
            <w:vAlign w:val="top"/>
            <w:textDirection w:val="tbRlV"/>
            <w:tcBorders>
              <w:left w:val="nil"/>
              <w:bottom w:val="single" w:color="000000" w:sz="10" w:space="0"/>
            </w:tcBorders>
          </w:tcPr>
          <w:p>
            <w:pPr>
              <w:pStyle w:val="TableText"/>
              <w:ind w:left="105"/>
              <w:spacing w:before="133" w:line="209" w:lineRule="auto"/>
              <w:rPr>
                <w:sz w:val="14"/>
                <w:szCs w:val="14"/>
              </w:rPr>
            </w:pPr>
            <w:r>
              <w:rPr>
                <w:sz w:val="14"/>
                <w:szCs w:val="14"/>
                <w:spacing w:val="12"/>
              </w:rPr>
              <w:t>全</w:t>
            </w:r>
            <w:r>
              <w:rPr>
                <w:sz w:val="14"/>
                <w:szCs w:val="14"/>
                <w:spacing w:val="9"/>
              </w:rPr>
              <w:t xml:space="preserve">  </w:t>
            </w:r>
            <w:r>
              <w:rPr>
                <w:sz w:val="14"/>
                <w:szCs w:val="14"/>
                <w:spacing w:val="12"/>
              </w:rPr>
              <w:t>年</w:t>
            </w:r>
          </w:p>
        </w:tc>
        <w:tc>
          <w:tcPr>
            <w:tcW w:w="404" w:type="dxa"/>
            <w:vAlign w:val="top"/>
            <w:tcBorders>
              <w:bottom w:val="single" w:color="000000" w:sz="10" w:space="0"/>
            </w:tcBorders>
          </w:tcPr>
          <w:p>
            <w:pPr>
              <w:spacing w:line="245" w:lineRule="auto"/>
              <w:rPr>
                <w:rFonts w:ascii="Arial"/>
                <w:sz w:val="21"/>
              </w:rPr>
            </w:pPr>
            <w:r/>
          </w:p>
          <w:p>
            <w:pPr>
              <w:ind w:left="109"/>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w:t>
            </w:r>
          </w:p>
        </w:tc>
        <w:tc>
          <w:tcPr>
            <w:tcW w:w="525" w:type="dxa"/>
            <w:vAlign w:val="top"/>
            <w:tcBorders>
              <w:bottom w:val="single" w:color="000000" w:sz="10" w:space="0"/>
            </w:tcBorders>
          </w:tcPr>
          <w:p>
            <w:pPr>
              <w:spacing w:line="245" w:lineRule="auto"/>
              <w:rPr>
                <w:rFonts w:ascii="Arial"/>
                <w:sz w:val="21"/>
              </w:rPr>
            </w:pPr>
            <w:r/>
          </w:p>
          <w:p>
            <w:pPr>
              <w:ind w:left="17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w:t>
            </w:r>
          </w:p>
        </w:tc>
        <w:tc>
          <w:tcPr>
            <w:tcW w:w="416" w:type="dxa"/>
            <w:vAlign w:val="top"/>
            <w:tcBorders>
              <w:bottom w:val="single" w:color="000000" w:sz="10" w:space="0"/>
            </w:tcBorders>
          </w:tcPr>
          <w:p>
            <w:pPr>
              <w:spacing w:line="245" w:lineRule="auto"/>
              <w:rPr>
                <w:rFonts w:ascii="Arial"/>
                <w:sz w:val="21"/>
              </w:rPr>
            </w:pPr>
            <w:r/>
          </w:p>
          <w:p>
            <w:pPr>
              <w:ind w:left="113"/>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w:t>
            </w:r>
          </w:p>
        </w:tc>
        <w:tc>
          <w:tcPr>
            <w:tcW w:w="508" w:type="dxa"/>
            <w:vAlign w:val="top"/>
            <w:tcBorders>
              <w:bottom w:val="single" w:color="000000" w:sz="10" w:space="0"/>
            </w:tcBorders>
          </w:tcPr>
          <w:p>
            <w:pPr>
              <w:spacing w:line="245" w:lineRule="auto"/>
              <w:rPr>
                <w:rFonts w:ascii="Arial"/>
                <w:sz w:val="21"/>
              </w:rPr>
            </w:pPr>
            <w:r/>
          </w:p>
          <w:p>
            <w:pPr>
              <w:ind w:left="216"/>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Borders>
              <w:bottom w:val="single" w:color="000000" w:sz="10" w:space="0"/>
            </w:tcBorders>
          </w:tcPr>
          <w:p>
            <w:pPr>
              <w:spacing w:line="245" w:lineRule="auto"/>
              <w:rPr>
                <w:rFonts w:ascii="Arial"/>
                <w:sz w:val="21"/>
              </w:rPr>
            </w:pPr>
            <w:r/>
          </w:p>
          <w:p>
            <w:pPr>
              <w:ind w:left="109"/>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w:t>
            </w:r>
          </w:p>
        </w:tc>
        <w:tc>
          <w:tcPr>
            <w:tcW w:w="483" w:type="dxa"/>
            <w:vAlign w:val="top"/>
            <w:tcBorders>
              <w:bottom w:val="single" w:color="000000" w:sz="10" w:space="0"/>
            </w:tcBorders>
          </w:tcPr>
          <w:p>
            <w:pPr>
              <w:spacing w:line="245" w:lineRule="auto"/>
              <w:rPr>
                <w:rFonts w:ascii="Arial"/>
                <w:sz w:val="21"/>
              </w:rPr>
            </w:pPr>
            <w:r/>
          </w:p>
          <w:p>
            <w:pPr>
              <w:ind w:left="204"/>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404" w:type="dxa"/>
            <w:vAlign w:val="top"/>
            <w:tcBorders>
              <w:bottom w:val="single" w:color="000000" w:sz="10" w:space="0"/>
            </w:tcBorders>
          </w:tcPr>
          <w:p>
            <w:pPr>
              <w:spacing w:line="245" w:lineRule="auto"/>
              <w:rPr>
                <w:rFonts w:ascii="Arial"/>
                <w:sz w:val="21"/>
              </w:rPr>
            </w:pPr>
            <w:r/>
          </w:p>
          <w:p>
            <w:pPr>
              <w:ind w:left="107"/>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w:t>
            </w:r>
          </w:p>
        </w:tc>
        <w:tc>
          <w:tcPr>
            <w:tcW w:w="475" w:type="dxa"/>
            <w:vAlign w:val="top"/>
            <w:tcBorders>
              <w:bottom w:val="single" w:color="000000" w:sz="10" w:space="0"/>
            </w:tcBorders>
          </w:tcPr>
          <w:p>
            <w:pPr>
              <w:spacing w:line="245" w:lineRule="auto"/>
              <w:rPr>
                <w:rFonts w:ascii="Arial"/>
                <w:sz w:val="21"/>
              </w:rPr>
            </w:pPr>
            <w:r/>
          </w:p>
          <w:p>
            <w:pPr>
              <w:ind w:left="145"/>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w:t>
            </w:r>
          </w:p>
        </w:tc>
        <w:tc>
          <w:tcPr>
            <w:tcW w:w="404" w:type="dxa"/>
            <w:vAlign w:val="top"/>
            <w:tcBorders>
              <w:bottom w:val="single" w:color="000000" w:sz="10" w:space="0"/>
            </w:tcBorders>
          </w:tcPr>
          <w:p>
            <w:pPr>
              <w:spacing w:line="245" w:lineRule="auto"/>
              <w:rPr>
                <w:rFonts w:ascii="Arial"/>
                <w:sz w:val="21"/>
              </w:rPr>
            </w:pPr>
            <w:r/>
          </w:p>
          <w:p>
            <w:pPr>
              <w:ind w:left="112"/>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w:t>
            </w:r>
          </w:p>
        </w:tc>
        <w:tc>
          <w:tcPr>
            <w:tcW w:w="524" w:type="dxa"/>
            <w:vAlign w:val="top"/>
            <w:tcBorders>
              <w:bottom w:val="single" w:color="000000" w:sz="10" w:space="0"/>
            </w:tcBorders>
          </w:tcPr>
          <w:p>
            <w:pPr>
              <w:spacing w:line="245" w:lineRule="auto"/>
              <w:rPr>
                <w:rFonts w:ascii="Arial"/>
                <w:sz w:val="21"/>
              </w:rPr>
            </w:pPr>
            <w:r/>
          </w:p>
          <w:p>
            <w:pPr>
              <w:ind w:left="17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w:t>
            </w:r>
          </w:p>
        </w:tc>
        <w:tc>
          <w:tcPr>
            <w:tcW w:w="441" w:type="dxa"/>
            <w:vAlign w:val="top"/>
            <w:tcBorders>
              <w:bottom w:val="single" w:color="000000" w:sz="10" w:space="0"/>
            </w:tcBorders>
          </w:tcPr>
          <w:p>
            <w:pPr>
              <w:spacing w:line="245" w:lineRule="auto"/>
              <w:rPr>
                <w:rFonts w:ascii="Arial"/>
                <w:sz w:val="21"/>
              </w:rPr>
            </w:pPr>
            <w:r/>
          </w:p>
          <w:p>
            <w:pPr>
              <w:ind w:left="130"/>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w:t>
            </w:r>
          </w:p>
        </w:tc>
        <w:tc>
          <w:tcPr>
            <w:tcW w:w="583" w:type="dxa"/>
            <w:vAlign w:val="top"/>
            <w:tcBorders>
              <w:bottom w:val="single" w:color="000000" w:sz="10" w:space="0"/>
            </w:tcBorders>
          </w:tcPr>
          <w:p>
            <w:pPr>
              <w:spacing w:line="245" w:lineRule="auto"/>
              <w:rPr>
                <w:rFonts w:ascii="Arial"/>
                <w:sz w:val="21"/>
              </w:rPr>
            </w:pPr>
            <w:r/>
          </w:p>
          <w:p>
            <w:pPr>
              <w:ind w:left="254"/>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404" w:type="dxa"/>
            <w:vAlign w:val="top"/>
            <w:tcBorders>
              <w:bottom w:val="single" w:color="000000" w:sz="10" w:space="0"/>
            </w:tcBorders>
          </w:tcPr>
          <w:p>
            <w:pPr>
              <w:spacing w:line="245" w:lineRule="auto"/>
              <w:rPr>
                <w:rFonts w:ascii="Arial"/>
                <w:sz w:val="21"/>
              </w:rPr>
            </w:pPr>
            <w:r/>
          </w:p>
          <w:p>
            <w:pPr>
              <w:ind w:left="111"/>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w:t>
            </w:r>
          </w:p>
        </w:tc>
        <w:tc>
          <w:tcPr>
            <w:tcW w:w="608" w:type="dxa"/>
            <w:vAlign w:val="top"/>
            <w:tcBorders>
              <w:bottom w:val="single" w:color="000000" w:sz="10" w:space="0"/>
            </w:tcBorders>
          </w:tcPr>
          <w:p>
            <w:pPr>
              <w:spacing w:line="245" w:lineRule="auto"/>
              <w:rPr>
                <w:rFonts w:ascii="Arial"/>
                <w:sz w:val="21"/>
              </w:rPr>
            </w:pPr>
            <w:r/>
          </w:p>
          <w:p>
            <w:pPr>
              <w:ind w:left="214"/>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w:t>
            </w:r>
          </w:p>
        </w:tc>
        <w:tc>
          <w:tcPr>
            <w:tcW w:w="466" w:type="dxa"/>
            <w:vAlign w:val="top"/>
            <w:tcBorders>
              <w:bottom w:val="single" w:color="000000" w:sz="10" w:space="0"/>
            </w:tcBorders>
          </w:tcPr>
          <w:p>
            <w:pPr>
              <w:spacing w:line="245" w:lineRule="auto"/>
              <w:rPr>
                <w:rFonts w:ascii="Arial"/>
                <w:sz w:val="21"/>
              </w:rPr>
            </w:pPr>
            <w:r/>
          </w:p>
          <w:p>
            <w:pPr>
              <w:ind w:left="198"/>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575" w:type="dxa"/>
            <w:vAlign w:val="top"/>
            <w:tcBorders>
              <w:bottom w:val="single" w:color="000000" w:sz="10" w:space="0"/>
            </w:tcBorders>
          </w:tcPr>
          <w:p>
            <w:pPr>
              <w:spacing w:line="245" w:lineRule="auto"/>
              <w:rPr>
                <w:rFonts w:ascii="Arial"/>
                <w:sz w:val="21"/>
              </w:rPr>
            </w:pPr>
            <w:r/>
          </w:p>
          <w:p>
            <w:pPr>
              <w:ind w:left="195"/>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w:t>
            </w:r>
          </w:p>
        </w:tc>
        <w:tc>
          <w:tcPr>
            <w:tcW w:w="479" w:type="dxa"/>
            <w:vAlign w:val="top"/>
            <w:tcBorders>
              <w:right w:val="nil"/>
              <w:bottom w:val="single" w:color="000000" w:sz="10" w:space="0"/>
            </w:tcBorders>
          </w:tcPr>
          <w:p>
            <w:pPr>
              <w:spacing w:line="245" w:lineRule="auto"/>
              <w:rPr>
                <w:rFonts w:ascii="Arial"/>
                <w:sz w:val="21"/>
              </w:rPr>
            </w:pPr>
            <w:r/>
          </w:p>
          <w:p>
            <w:pPr>
              <w:ind w:left="110"/>
              <w:spacing w:before="4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21.9</w:t>
            </w:r>
          </w:p>
        </w:tc>
      </w:tr>
    </w:tbl>
    <w:p>
      <w:pPr>
        <w:pStyle w:val="BodyText"/>
        <w:spacing w:line="268" w:lineRule="auto"/>
        <w:rPr/>
      </w:pPr>
      <w:r/>
    </w:p>
    <w:p>
      <w:pPr>
        <w:pStyle w:val="BodyText"/>
        <w:spacing w:line="268" w:lineRule="auto"/>
        <w:rPr/>
      </w:pPr>
      <w:r/>
    </w:p>
    <w:p>
      <w:pPr>
        <w:ind w:firstLine="1729"/>
        <w:spacing w:line="1705" w:lineRule="exact"/>
        <w:rPr/>
      </w:pPr>
      <w:r>
        <w:rPr>
          <w:position w:val="-34"/>
        </w:rPr>
        <w:drawing>
          <wp:inline distT="0" distB="0" distL="0" distR="0">
            <wp:extent cx="3209442" cy="1082738"/>
            <wp:effectExtent l="0" t="0" r="0" b="0"/>
            <wp:docPr id="68" name="IM 68"/>
            <wp:cNvGraphicFramePr/>
            <a:graphic>
              <a:graphicData uri="http://schemas.openxmlformats.org/drawingml/2006/picture">
                <pic:pic>
                  <pic:nvPicPr>
                    <pic:cNvPr id="68" name="IM 68"/>
                    <pic:cNvPicPr/>
                  </pic:nvPicPr>
                  <pic:blipFill>
                    <a:blip r:embed="rId286"/>
                    <a:stretch>
                      <a:fillRect/>
                    </a:stretch>
                  </pic:blipFill>
                  <pic:spPr>
                    <a:xfrm rot="0">
                      <a:off x="0" y="0"/>
                      <a:ext cx="3209442" cy="1082738"/>
                    </a:xfrm>
                    <a:prstGeom prst="rect">
                      <a:avLst/>
                    </a:prstGeom>
                  </pic:spPr>
                </pic:pic>
              </a:graphicData>
            </a:graphic>
          </wp:inline>
        </w:drawing>
      </w:r>
    </w:p>
    <w:p>
      <w:pPr>
        <w:ind w:left="2048"/>
        <w:spacing w:before="145" w:line="239" w:lineRule="auto"/>
        <w:rPr>
          <w:rFonts w:ascii="SimSun" w:hAnsi="SimSun" w:eastAsia="SimSun" w:cs="SimSun"/>
          <w:sz w:val="17"/>
          <w:szCs w:val="17"/>
        </w:rPr>
      </w:pPr>
      <w:r>
        <w:rPr>
          <w:rFonts w:ascii="SimSun" w:hAnsi="SimSun" w:eastAsia="SimSun" w:cs="SimSun"/>
          <w:sz w:val="17"/>
          <w:szCs w:val="17"/>
          <w:spacing w:val="5"/>
        </w:rPr>
        <w:t>春季(C=11.4%)</w:t>
      </w:r>
      <w:r>
        <w:rPr>
          <w:rFonts w:ascii="SimSun" w:hAnsi="SimSun" w:eastAsia="SimSun" w:cs="SimSun"/>
          <w:sz w:val="17"/>
          <w:szCs w:val="17"/>
          <w:spacing w:val="4"/>
        </w:rPr>
        <w:t xml:space="preserve">      </w:t>
      </w:r>
      <w:r>
        <w:rPr>
          <w:rFonts w:ascii="SimSun" w:hAnsi="SimSun" w:eastAsia="SimSun" w:cs="SimSun"/>
          <w:sz w:val="17"/>
          <w:szCs w:val="17"/>
          <w:spacing w:val="5"/>
        </w:rPr>
        <w:t>夏季(C=35.7%)</w:t>
      </w:r>
      <w:r>
        <w:rPr>
          <w:rFonts w:ascii="SimSun" w:hAnsi="SimSun" w:eastAsia="SimSun" w:cs="SimSun"/>
          <w:sz w:val="17"/>
          <w:szCs w:val="17"/>
          <w:spacing w:val="2"/>
        </w:rPr>
        <w:t xml:space="preserve">      </w:t>
      </w:r>
      <w:r>
        <w:rPr>
          <w:rFonts w:ascii="SimSun" w:hAnsi="SimSun" w:eastAsia="SimSun" w:cs="SimSun"/>
          <w:sz w:val="17"/>
          <w:szCs w:val="17"/>
          <w:spacing w:val="5"/>
        </w:rPr>
        <w:t>秋季(C=30.3%)</w:t>
      </w:r>
    </w:p>
    <w:p>
      <w:pPr>
        <w:ind w:firstLine="2498"/>
        <w:spacing w:before="171" w:line="1646" w:lineRule="exact"/>
        <w:rPr/>
      </w:pPr>
      <w:r>
        <w:rPr>
          <w:position w:val="-32"/>
        </w:rPr>
        <w:drawing>
          <wp:inline distT="0" distB="0" distL="0" distR="0">
            <wp:extent cx="2226963" cy="1045425"/>
            <wp:effectExtent l="0" t="0" r="0" b="0"/>
            <wp:docPr id="70" name="IM 70"/>
            <wp:cNvGraphicFramePr/>
            <a:graphic>
              <a:graphicData uri="http://schemas.openxmlformats.org/drawingml/2006/picture">
                <pic:pic>
                  <pic:nvPicPr>
                    <pic:cNvPr id="70" name="IM 70"/>
                    <pic:cNvPicPr/>
                  </pic:nvPicPr>
                  <pic:blipFill>
                    <a:blip r:embed="rId287"/>
                    <a:stretch>
                      <a:fillRect/>
                    </a:stretch>
                  </pic:blipFill>
                  <pic:spPr>
                    <a:xfrm rot="0">
                      <a:off x="0" y="0"/>
                      <a:ext cx="2226963" cy="1045425"/>
                    </a:xfrm>
                    <a:prstGeom prst="rect">
                      <a:avLst/>
                    </a:prstGeom>
                  </pic:spPr>
                </pic:pic>
              </a:graphicData>
            </a:graphic>
          </wp:inline>
        </w:drawing>
      </w:r>
    </w:p>
    <w:p>
      <w:pPr>
        <w:ind w:left="2993"/>
        <w:spacing w:before="156" w:line="226" w:lineRule="auto"/>
        <w:rPr>
          <w:rFonts w:ascii="SimSun" w:hAnsi="SimSun" w:eastAsia="SimSun" w:cs="SimSun"/>
          <w:sz w:val="17"/>
          <w:szCs w:val="17"/>
        </w:rPr>
      </w:pPr>
      <w:r>
        <w:rPr>
          <w:rFonts w:ascii="SimSun" w:hAnsi="SimSun" w:eastAsia="SimSun" w:cs="SimSun"/>
          <w:sz w:val="17"/>
          <w:szCs w:val="17"/>
          <w:spacing w:val="3"/>
        </w:rPr>
        <w:t>冬季(C=12.9%)</w:t>
      </w:r>
      <w:r>
        <w:rPr>
          <w:rFonts w:ascii="SimSun" w:hAnsi="SimSun" w:eastAsia="SimSun" w:cs="SimSun"/>
          <w:sz w:val="17"/>
          <w:szCs w:val="17"/>
          <w:spacing w:val="2"/>
        </w:rPr>
        <w:t xml:space="preserve">      </w:t>
      </w:r>
      <w:r>
        <w:rPr>
          <w:rFonts w:ascii="SimSun" w:hAnsi="SimSun" w:eastAsia="SimSun" w:cs="SimSun"/>
          <w:sz w:val="17"/>
          <w:szCs w:val="17"/>
          <w:spacing w:val="3"/>
        </w:rPr>
        <w:t>全年(C=18.3%)</w:t>
      </w:r>
    </w:p>
    <w:p>
      <w:pPr>
        <w:ind w:left="2636"/>
        <w:spacing w:before="158" w:line="222" w:lineRule="auto"/>
        <w:rPr>
          <w:rFonts w:ascii="FangSong" w:hAnsi="FangSong" w:eastAsia="FangSong" w:cs="FangSong"/>
          <w:sz w:val="24"/>
          <w:szCs w:val="24"/>
        </w:rPr>
      </w:pPr>
      <w:r>
        <w:rPr>
          <w:rFonts w:ascii="FangSong" w:hAnsi="FangSong" w:eastAsia="FangSong" w:cs="FangSong"/>
          <w:sz w:val="24"/>
          <w:szCs w:val="24"/>
          <w:b/>
          <w:bCs/>
          <w:spacing w:val="-7"/>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7"/>
        </w:rPr>
        <w:t>6.2-1</w:t>
      </w:r>
      <w:r>
        <w:rPr>
          <w:rFonts w:ascii="Times New Roman" w:hAnsi="Times New Roman" w:eastAsia="Times New Roman" w:cs="Times New Roman"/>
          <w:sz w:val="24"/>
          <w:szCs w:val="24"/>
          <w:b/>
          <w:bCs/>
          <w:spacing w:val="22"/>
        </w:rPr>
        <w:t xml:space="preserve">  </w:t>
      </w:r>
      <w:r>
        <w:rPr>
          <w:rFonts w:ascii="FangSong" w:hAnsi="FangSong" w:eastAsia="FangSong" w:cs="FangSong"/>
          <w:sz w:val="24"/>
          <w:szCs w:val="24"/>
          <w:b/>
          <w:bCs/>
          <w:spacing w:val="-7"/>
        </w:rPr>
        <w:t>四季及全年风频玫瑰图</w:t>
      </w:r>
    </w:p>
    <w:p>
      <w:pPr>
        <w:ind w:left="608"/>
        <w:spacing w:before="179"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）气温、湿度、降水量和蒸发量</w:t>
      </w:r>
    </w:p>
    <w:p>
      <w:pPr>
        <w:ind w:left="125" w:right="23" w:firstLine="479"/>
        <w:spacing w:before="179" w:line="360" w:lineRule="auto"/>
        <w:rPr>
          <w:rFonts w:ascii="FangSong" w:hAnsi="FangSong" w:eastAsia="FangSong" w:cs="FangSong"/>
          <w:sz w:val="24"/>
          <w:szCs w:val="24"/>
        </w:rPr>
      </w:pPr>
      <w:r>
        <w:rPr>
          <w:rFonts w:ascii="FangSong" w:hAnsi="FangSong" w:eastAsia="FangSong" w:cs="FangSong"/>
          <w:sz w:val="24"/>
          <w:szCs w:val="24"/>
          <w:spacing w:val="-1"/>
        </w:rPr>
        <w:t>项目区属中温带半干旱大陆性季风气候。气温变化较大，冬季漫长而寒冷，</w:t>
      </w:r>
      <w:r>
        <w:rPr>
          <w:rFonts w:ascii="FangSong" w:hAnsi="FangSong" w:eastAsia="FangSong" w:cs="FangSong"/>
          <w:sz w:val="24"/>
          <w:szCs w:val="24"/>
          <w:spacing w:val="-6"/>
        </w:rPr>
        <w:t>夏季短暂而炎热。年均气温</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6"/>
        </w:rPr>
        <w:t>4.3℃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6"/>
        </w:rPr>
        <w:t>,</w:t>
      </w:r>
      <w:r>
        <w:rPr>
          <w:rFonts w:ascii="FangSong" w:hAnsi="FangSong" w:eastAsia="FangSong" w:cs="FangSong"/>
          <w:sz w:val="24"/>
          <w:szCs w:val="24"/>
          <w:spacing w:val="75"/>
        </w:rPr>
        <w:t xml:space="preserve"> </w:t>
      </w:r>
      <w:r>
        <w:rPr>
          <w:rFonts w:ascii="FangSong" w:hAnsi="FangSong" w:eastAsia="FangSong" w:cs="FangSong"/>
          <w:sz w:val="24"/>
          <w:szCs w:val="24"/>
          <w:spacing w:val="-6"/>
        </w:rPr>
        <w:t>最低气温</w:t>
      </w:r>
      <w:r>
        <w:rPr>
          <w:rFonts w:ascii="Times New Roman" w:hAnsi="Times New Roman" w:eastAsia="Times New Roman" w:cs="Times New Roman"/>
          <w:sz w:val="24"/>
          <w:szCs w:val="24"/>
          <w:spacing w:val="-6"/>
        </w:rPr>
        <w:t>-38.8℃</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w:t>
      </w:r>
      <w:r>
        <w:rPr>
          <w:rFonts w:ascii="FangSong" w:hAnsi="FangSong" w:eastAsia="FangSong" w:cs="FangSong"/>
          <w:sz w:val="24"/>
          <w:szCs w:val="24"/>
          <w:spacing w:val="74"/>
        </w:rPr>
        <w:t xml:space="preserve"> </w:t>
      </w:r>
      <w:r>
        <w:rPr>
          <w:rFonts w:ascii="FangSong" w:hAnsi="FangSong" w:eastAsia="FangSong" w:cs="FangSong"/>
          <w:sz w:val="24"/>
          <w:szCs w:val="24"/>
          <w:spacing w:val="-6"/>
        </w:rPr>
        <w:t>最高温</w:t>
      </w:r>
      <w:r>
        <w:rPr>
          <w:rFonts w:ascii="FangSong" w:hAnsi="FangSong" w:eastAsia="FangSong" w:cs="FangSong"/>
          <w:sz w:val="24"/>
          <w:szCs w:val="24"/>
          <w:spacing w:val="-7"/>
        </w:rPr>
        <w:t>度</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7"/>
        </w:rPr>
        <w:t>38.7℃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≥10℃</w:t>
      </w:r>
      <w:r>
        <w:rPr>
          <w:rFonts w:ascii="FangSong" w:hAnsi="FangSong" w:eastAsia="FangSong" w:cs="FangSong"/>
          <w:sz w:val="24"/>
          <w:szCs w:val="24"/>
          <w:spacing w:val="-2"/>
        </w:rPr>
        <w:t>积温</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2500℃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。年平均降水量</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2"/>
        </w:rPr>
        <w:t>181.9mm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，多集中在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2"/>
        </w:rPr>
        <w:t>6-9</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2"/>
        </w:rPr>
        <w:t>月份，降雨量占全年降雨</w:t>
      </w:r>
      <w:r>
        <w:rPr>
          <w:rFonts w:ascii="FangSong" w:hAnsi="FangSong" w:eastAsia="FangSong" w:cs="FangSong"/>
          <w:sz w:val="24"/>
          <w:szCs w:val="24"/>
          <w:spacing w:val="-8"/>
        </w:rPr>
        <w:t>量的</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8"/>
        </w:rPr>
        <w:t>70%</w:t>
      </w:r>
      <w:r>
        <w:rPr>
          <w:rFonts w:ascii="FangSong" w:hAnsi="FangSong" w:eastAsia="FangSong" w:cs="FangSong"/>
          <w:sz w:val="24"/>
          <w:szCs w:val="24"/>
          <w:spacing w:val="-8"/>
        </w:rPr>
        <w:t>；年均蒸发量</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2384.3mm</w:t>
      </w:r>
      <w:r>
        <w:rPr>
          <w:rFonts w:ascii="FangSong" w:hAnsi="FangSong" w:eastAsia="FangSong" w:cs="FangSong"/>
          <w:sz w:val="24"/>
          <w:szCs w:val="24"/>
          <w:spacing w:val="-8"/>
        </w:rPr>
        <w:t>，年均</w:t>
      </w:r>
      <w:r>
        <w:rPr>
          <w:rFonts w:ascii="FangSong" w:hAnsi="FangSong" w:eastAsia="FangSong" w:cs="FangSong"/>
          <w:sz w:val="24"/>
          <w:szCs w:val="24"/>
          <w:spacing w:val="-53"/>
        </w:rPr>
        <w:t xml:space="preserve"> </w:t>
      </w:r>
      <w:r>
        <w:rPr>
          <w:rFonts w:ascii="FangSong" w:hAnsi="FangSong" w:eastAsia="FangSong" w:cs="FangSong"/>
          <w:sz w:val="24"/>
          <w:szCs w:val="24"/>
          <w:spacing w:val="-8"/>
        </w:rPr>
        <w:t>日照时数为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3231.8h</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≥10℃</w:t>
      </w:r>
      <w:r>
        <w:rPr>
          <w:rFonts w:ascii="FangSong" w:hAnsi="FangSong" w:eastAsia="FangSong" w:cs="FangSong"/>
          <w:sz w:val="24"/>
          <w:szCs w:val="24"/>
          <w:spacing w:val="-8"/>
        </w:rPr>
        <w:t>积温</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2500℃</w:t>
      </w:r>
      <w:r>
        <w:rPr>
          <w:rFonts w:ascii="FangSong" w:hAnsi="FangSong" w:eastAsia="FangSong" w:cs="FangSong"/>
          <w:sz w:val="24"/>
          <w:szCs w:val="24"/>
          <w:spacing w:val="-8"/>
        </w:rPr>
        <w:t>。</w:t>
      </w:r>
      <w:r>
        <w:rPr>
          <w:rFonts w:ascii="FangSong" w:hAnsi="FangSong" w:eastAsia="FangSong" w:cs="FangSong"/>
          <w:sz w:val="24"/>
          <w:szCs w:val="24"/>
          <w:spacing w:val="-4"/>
        </w:rPr>
        <w:t>全年盛行西风，平均风速</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1m/s</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，最大风速</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5.3m/s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。年均湿度</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4"/>
        </w:rPr>
        <w:t>39</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5"/>
        </w:rPr>
        <w:t>。每年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5"/>
        </w:rPr>
        <w:t>月</w:t>
      </w:r>
    </w:p>
    <w:p>
      <w:pPr>
        <w:spacing w:line="360" w:lineRule="auto"/>
        <w:sectPr>
          <w:footerReference w:type="default" r:id="rId285"/>
          <w:pgSz w:w="11906" w:h="16839"/>
          <w:pgMar w:top="400" w:right="1692"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31"/>
        <w:spacing w:before="78" w:line="222" w:lineRule="auto"/>
        <w:rPr>
          <w:rFonts w:ascii="FangSong" w:hAnsi="FangSong" w:eastAsia="FangSong" w:cs="FangSong"/>
          <w:sz w:val="24"/>
          <w:szCs w:val="24"/>
        </w:rPr>
      </w:pPr>
      <w:r>
        <w:rPr>
          <w:rFonts w:ascii="FangSong" w:hAnsi="FangSong" w:eastAsia="FangSong" w:cs="FangSong"/>
          <w:sz w:val="24"/>
          <w:szCs w:val="24"/>
          <w:spacing w:val="-4"/>
        </w:rPr>
        <w:t>至翌年</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月份为霜冻期，无霜期</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130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天，最大冻土深度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3.0m</w:t>
      </w:r>
      <w:r>
        <w:rPr>
          <w:rFonts w:ascii="FangSong" w:hAnsi="FangSong" w:eastAsia="FangSong" w:cs="FangSong"/>
          <w:sz w:val="24"/>
          <w:szCs w:val="24"/>
          <w:spacing w:val="-4"/>
        </w:rPr>
        <w:t>。</w:t>
      </w:r>
    </w:p>
    <w:p>
      <w:pPr>
        <w:ind w:left="116"/>
        <w:spacing w:before="179" w:line="222" w:lineRule="auto"/>
        <w:outlineLvl w:val="3"/>
        <w:rPr>
          <w:rFonts w:ascii="FangSong" w:hAnsi="FangSong" w:eastAsia="FangSong" w:cs="FangSong"/>
          <w:sz w:val="24"/>
          <w:szCs w:val="24"/>
        </w:rPr>
      </w:pPr>
      <w:bookmarkStart w:name="bookmark595" w:id="399"/>
      <w:bookmarkEnd w:id="399"/>
      <w:r>
        <w:rPr>
          <w:rFonts w:ascii="Times New Roman" w:hAnsi="Times New Roman" w:eastAsia="Times New Roman" w:cs="Times New Roman"/>
          <w:sz w:val="24"/>
          <w:szCs w:val="24"/>
          <w:b/>
          <w:bCs/>
          <w:spacing w:val="-4"/>
        </w:rPr>
        <w:t>6.2.2.2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预测结果</w:t>
      </w:r>
    </w:p>
    <w:p>
      <w:pPr>
        <w:ind w:left="112" w:right="109" w:firstLine="492"/>
        <w:spacing w:before="179" w:line="355" w:lineRule="auto"/>
        <w:jc w:val="both"/>
        <w:rPr>
          <w:rFonts w:ascii="FangSong" w:hAnsi="FangSong" w:eastAsia="FangSong" w:cs="FangSong"/>
          <w:sz w:val="24"/>
          <w:szCs w:val="24"/>
        </w:rPr>
      </w:pPr>
      <w:r>
        <w:rPr>
          <w:rFonts w:ascii="FangSong" w:hAnsi="FangSong" w:eastAsia="FangSong" w:cs="FangSong"/>
          <w:sz w:val="24"/>
          <w:szCs w:val="24"/>
          <w:spacing w:val="2"/>
        </w:rPr>
        <w:t>根据《环境影响评价技术导则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2.2-2018</w:t>
      </w:r>
      <w:r>
        <w:rPr>
          <w:rFonts w:ascii="FangSong" w:hAnsi="FangSong" w:eastAsia="FangSong" w:cs="FangSong"/>
          <w:sz w:val="24"/>
          <w:szCs w:val="24"/>
          <w:spacing w:val="2"/>
        </w:rPr>
        <w:t>）的评价等级判定</w:t>
      </w:r>
      <w:r>
        <w:rPr>
          <w:rFonts w:ascii="FangSong" w:hAnsi="FangSong" w:eastAsia="FangSong" w:cs="FangSong"/>
          <w:sz w:val="24"/>
          <w:szCs w:val="24"/>
          <w:spacing w:val="-3"/>
        </w:rPr>
        <w:t>原则，结合项目的初步工程分析结果，本项目评价等级的确定采用</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AERSCREEN</w:t>
      </w:r>
      <w:r>
        <w:rPr>
          <w:rFonts w:ascii="FangSong" w:hAnsi="FangSong" w:eastAsia="FangSong" w:cs="FangSong"/>
          <w:sz w:val="24"/>
          <w:szCs w:val="24"/>
          <w:spacing w:val="12"/>
        </w:rPr>
        <w:t>估算模式进行预测</w:t>
      </w:r>
      <w:r>
        <w:rPr>
          <w:rFonts w:ascii="FangSong" w:hAnsi="FangSong" w:eastAsia="FangSong" w:cs="FangSong"/>
          <w:sz w:val="24"/>
          <w:szCs w:val="24"/>
          <w:spacing w:val="-67"/>
        </w:rPr>
        <w:t xml:space="preserve"> </w:t>
      </w:r>
      <w:r>
        <w:rPr>
          <w:rFonts w:ascii="FangSong" w:hAnsi="FangSong" w:eastAsia="FangSong" w:cs="FangSong"/>
          <w:sz w:val="24"/>
          <w:szCs w:val="24"/>
          <w:spacing w:val="12"/>
        </w:rPr>
        <w:t>。根据估算模式预测结果</w:t>
      </w:r>
      <w:r>
        <w:rPr>
          <w:rFonts w:ascii="FangSong" w:hAnsi="FangSong" w:eastAsia="FangSong" w:cs="FangSong"/>
          <w:sz w:val="24"/>
          <w:szCs w:val="24"/>
          <w:spacing w:val="-66"/>
        </w:rPr>
        <w:t xml:space="preserve"> </w:t>
      </w:r>
      <w:r>
        <w:rPr>
          <w:rFonts w:ascii="FangSong" w:hAnsi="FangSong" w:eastAsia="FangSong" w:cs="FangSong"/>
          <w:sz w:val="24"/>
          <w:szCs w:val="24"/>
          <w:spacing w:val="12"/>
        </w:rPr>
        <w:t>，在正常排放工况</w:t>
      </w:r>
      <w:r>
        <w:rPr>
          <w:rFonts w:ascii="FangSong" w:hAnsi="FangSong" w:eastAsia="FangSong" w:cs="FangSong"/>
          <w:sz w:val="24"/>
          <w:szCs w:val="24"/>
          <w:spacing w:val="11"/>
        </w:rPr>
        <w:t>下</w:t>
      </w:r>
      <w:r>
        <w:rPr>
          <w:rFonts w:ascii="FangSong" w:hAnsi="FangSong" w:eastAsia="FangSong" w:cs="FangSong"/>
          <w:sz w:val="24"/>
          <w:szCs w:val="24"/>
          <w:spacing w:val="-65"/>
        </w:rPr>
        <w:t xml:space="preserve"> </w:t>
      </w:r>
      <w:r>
        <w:rPr>
          <w:rFonts w:ascii="FangSong" w:hAnsi="FangSong" w:eastAsia="FangSong" w:cs="FangSong"/>
          <w:sz w:val="24"/>
          <w:szCs w:val="24"/>
          <w:spacing w:val="11"/>
        </w:rPr>
        <w:t>，本项</w:t>
      </w:r>
      <w:r>
        <w:rPr>
          <w:rFonts w:ascii="FangSong" w:hAnsi="FangSong" w:eastAsia="FangSong" w:cs="FangSong"/>
          <w:sz w:val="24"/>
          <w:szCs w:val="24"/>
          <w:spacing w:val="-43"/>
        </w:rPr>
        <w:t xml:space="preserve"> </w:t>
      </w:r>
      <w:r>
        <w:rPr>
          <w:rFonts w:ascii="FangSong" w:hAnsi="FangSong" w:eastAsia="FangSong" w:cs="FangSong"/>
          <w:sz w:val="24"/>
          <w:szCs w:val="24"/>
          <w:spacing w:val="11"/>
        </w:rPr>
        <w:t>目</w:t>
      </w:r>
      <w:r>
        <w:rPr>
          <w:rFonts w:ascii="Times New Roman" w:hAnsi="Times New Roman" w:eastAsia="Times New Roman" w:cs="Times New Roman"/>
          <w:sz w:val="24"/>
          <w:szCs w:val="24"/>
          <w:spacing w:val="-1"/>
        </w:rPr>
        <w:t>Pmax=9.88%</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1%≤Pmax</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，根据评价工作等级判定表，本项目大气环境评</w:t>
      </w:r>
      <w:r>
        <w:rPr>
          <w:rFonts w:ascii="FangSong" w:hAnsi="FangSong" w:eastAsia="FangSong" w:cs="FangSong"/>
          <w:sz w:val="24"/>
          <w:szCs w:val="24"/>
          <w:spacing w:val="-1"/>
        </w:rPr>
        <w:t>价工作级别为二级。</w:t>
      </w:r>
    </w:p>
    <w:p>
      <w:pPr>
        <w:ind w:left="608"/>
        <w:spacing w:before="31"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）预测模型参数设置</w:t>
      </w:r>
    </w:p>
    <w:p>
      <w:pPr>
        <w:ind w:left="123" w:right="31" w:firstLine="481"/>
        <w:spacing w:before="178" w:line="360" w:lineRule="auto"/>
        <w:rPr>
          <w:rFonts w:ascii="FangSong" w:hAnsi="FangSong" w:eastAsia="FangSong" w:cs="FangSong"/>
          <w:sz w:val="24"/>
          <w:szCs w:val="24"/>
        </w:rPr>
      </w:pPr>
      <w:r>
        <w:rPr>
          <w:rFonts w:ascii="FangSong" w:hAnsi="FangSong" w:eastAsia="FangSong" w:cs="FangSong"/>
          <w:sz w:val="24"/>
          <w:szCs w:val="24"/>
          <w:spacing w:val="-3"/>
        </w:rPr>
        <w:t>根据拟建项目地区的地貌特征及气象条件，对</w:t>
      </w:r>
      <w:r>
        <w:rPr>
          <w:rFonts w:ascii="FangSong" w:hAnsi="FangSong" w:eastAsia="FangSong" w:cs="FangSong"/>
          <w:sz w:val="24"/>
          <w:szCs w:val="24"/>
          <w:spacing w:val="-4"/>
        </w:rPr>
        <w:t>大气环境影响预测工作进行分</w:t>
      </w:r>
      <w:r>
        <w:rPr>
          <w:rFonts w:ascii="FangSong" w:hAnsi="FangSong" w:eastAsia="FangSong" w:cs="FangSong"/>
          <w:sz w:val="24"/>
          <w:szCs w:val="24"/>
          <w:spacing w:val="-1"/>
        </w:rPr>
        <w:t>析，直接采用估算模式（</w:t>
      </w:r>
      <w:r>
        <w:rPr>
          <w:rFonts w:ascii="Times New Roman" w:hAnsi="Times New Roman" w:eastAsia="Times New Roman" w:cs="Times New Roman"/>
          <w:sz w:val="24"/>
          <w:szCs w:val="24"/>
          <w:spacing w:val="-1"/>
        </w:rPr>
        <w:t>AERSCREEN </w:t>
      </w:r>
      <w:r>
        <w:rPr>
          <w:rFonts w:ascii="FangSong" w:hAnsi="FangSong" w:eastAsia="FangSong" w:cs="FangSong"/>
          <w:sz w:val="24"/>
          <w:szCs w:val="24"/>
          <w:spacing w:val="-1"/>
        </w:rPr>
        <w:t>模型</w:t>
      </w:r>
      <w:r>
        <w:rPr>
          <w:rFonts w:ascii="FangSong" w:hAnsi="FangSong" w:eastAsia="FangSong" w:cs="FangSong"/>
          <w:sz w:val="24"/>
          <w:szCs w:val="24"/>
          <w:spacing w:val="-2"/>
        </w:rPr>
        <w:t>）的计算结果作为预测与分析依据。</w:t>
      </w:r>
    </w:p>
    <w:p>
      <w:pPr>
        <w:ind w:left="607"/>
        <w:spacing w:before="1" w:line="220" w:lineRule="auto"/>
        <w:rPr>
          <w:rFonts w:ascii="FangSong" w:hAnsi="FangSong" w:eastAsia="FangSong" w:cs="FangSong"/>
          <w:sz w:val="24"/>
          <w:szCs w:val="24"/>
        </w:rPr>
      </w:pPr>
      <w:r>
        <w:rPr>
          <w:rFonts w:ascii="FangSong" w:hAnsi="FangSong" w:eastAsia="FangSong" w:cs="FangSong"/>
          <w:sz w:val="24"/>
          <w:szCs w:val="24"/>
          <w:spacing w:val="-3"/>
        </w:rPr>
        <w:t>估算模型参数见表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3"/>
        </w:rPr>
        <w:t>6.2-2</w:t>
      </w:r>
      <w:r>
        <w:rPr>
          <w:rFonts w:ascii="FangSong" w:hAnsi="FangSong" w:eastAsia="FangSong" w:cs="FangSong"/>
          <w:sz w:val="24"/>
          <w:szCs w:val="24"/>
          <w:spacing w:val="-3"/>
        </w:rPr>
        <w:t>。</w:t>
      </w:r>
    </w:p>
    <w:p>
      <w:pPr>
        <w:ind w:left="2252"/>
        <w:spacing w:before="182"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6.2-2  </w:t>
      </w:r>
      <w:r>
        <w:rPr>
          <w:rFonts w:ascii="FangSong" w:hAnsi="FangSong" w:eastAsia="FangSong" w:cs="FangSong"/>
          <w:sz w:val="24"/>
          <w:szCs w:val="24"/>
          <w:b/>
          <w:bCs/>
          <w:spacing w:val="-3"/>
        </w:rPr>
        <w:t>估算模式所需参数选取一览表</w:t>
      </w:r>
    </w:p>
    <w:p>
      <w:pPr>
        <w:spacing w:line="67"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3"/>
        <w:gridCol w:w="2932"/>
        <w:gridCol w:w="4127"/>
      </w:tblGrid>
      <w:tr>
        <w:trPr>
          <w:trHeight w:val="432" w:hRule="atLeast"/>
        </w:trPr>
        <w:tc>
          <w:tcPr>
            <w:tcW w:w="4395" w:type="dxa"/>
            <w:vAlign w:val="top"/>
            <w:gridSpan w:val="2"/>
            <w:tcBorders>
              <w:left w:val="nil"/>
              <w:top w:val="single" w:color="000000" w:sz="10" w:space="0"/>
            </w:tcBorders>
          </w:tcPr>
          <w:p>
            <w:pPr>
              <w:pStyle w:val="TableText"/>
              <w:ind w:left="2004"/>
              <w:spacing w:before="107" w:line="232" w:lineRule="auto"/>
              <w:rPr/>
            </w:pPr>
            <w:r>
              <w:rPr/>
              <w:t>参数</w:t>
            </w:r>
          </w:p>
        </w:tc>
        <w:tc>
          <w:tcPr>
            <w:tcW w:w="4127" w:type="dxa"/>
            <w:vAlign w:val="top"/>
            <w:tcBorders>
              <w:right w:val="nil"/>
              <w:top w:val="single" w:color="000000" w:sz="10" w:space="0"/>
            </w:tcBorders>
          </w:tcPr>
          <w:p>
            <w:pPr>
              <w:pStyle w:val="TableText"/>
              <w:ind w:left="1864"/>
              <w:spacing w:before="108" w:line="231" w:lineRule="auto"/>
              <w:rPr/>
            </w:pPr>
            <w:r>
              <w:rPr>
                <w:spacing w:val="1"/>
              </w:rPr>
              <w:t>取值</w:t>
            </w:r>
          </w:p>
        </w:tc>
      </w:tr>
      <w:tr>
        <w:trPr>
          <w:trHeight w:val="428" w:hRule="atLeast"/>
        </w:trPr>
        <w:tc>
          <w:tcPr>
            <w:tcW w:w="1463" w:type="dxa"/>
            <w:vAlign w:val="top"/>
            <w:vMerge w:val="restart"/>
            <w:tcBorders>
              <w:left w:val="nil"/>
              <w:bottom w:val="nil"/>
            </w:tcBorders>
          </w:tcPr>
          <w:p>
            <w:pPr>
              <w:pStyle w:val="TableText"/>
              <w:ind w:left="640" w:right="176" w:hanging="445"/>
              <w:spacing w:before="204" w:line="227" w:lineRule="auto"/>
              <w:rPr/>
            </w:pPr>
            <w:r>
              <w:rPr>
                <w:spacing w:val="5"/>
              </w:rPr>
              <w:t>城市</w:t>
            </w:r>
            <w:r>
              <w:rPr>
                <w:rFonts w:ascii="Times New Roman" w:hAnsi="Times New Roman" w:eastAsia="Times New Roman" w:cs="Times New Roman"/>
                <w:spacing w:val="5"/>
              </w:rPr>
              <w:t>/</w:t>
            </w:r>
            <w:r>
              <w:rPr>
                <w:spacing w:val="5"/>
              </w:rPr>
              <w:t>农村选</w:t>
            </w:r>
            <w:r>
              <w:rPr/>
              <w:t>项</w:t>
            </w:r>
          </w:p>
        </w:tc>
        <w:tc>
          <w:tcPr>
            <w:tcW w:w="2932" w:type="dxa"/>
            <w:vAlign w:val="top"/>
          </w:tcPr>
          <w:p>
            <w:pPr>
              <w:pStyle w:val="TableText"/>
              <w:ind w:left="1031"/>
              <w:spacing w:before="108" w:line="230" w:lineRule="auto"/>
              <w:rPr/>
            </w:pPr>
            <w:r>
              <w:rPr>
                <w:spacing w:val="4"/>
              </w:rPr>
              <w:t>城市</w:t>
            </w:r>
            <w:r>
              <w:rPr>
                <w:rFonts w:ascii="Times New Roman" w:hAnsi="Times New Roman" w:eastAsia="Times New Roman" w:cs="Times New Roman"/>
                <w:spacing w:val="4"/>
              </w:rPr>
              <w:t>/</w:t>
            </w:r>
            <w:r>
              <w:rPr>
                <w:spacing w:val="4"/>
              </w:rPr>
              <w:t>农村</w:t>
            </w:r>
          </w:p>
        </w:tc>
        <w:tc>
          <w:tcPr>
            <w:tcW w:w="4127" w:type="dxa"/>
            <w:vAlign w:val="top"/>
            <w:tcBorders>
              <w:right w:val="nil"/>
            </w:tcBorders>
          </w:tcPr>
          <w:p>
            <w:pPr>
              <w:pStyle w:val="TableText"/>
              <w:ind w:left="1864"/>
              <w:spacing w:before="108" w:line="230" w:lineRule="auto"/>
              <w:rPr/>
            </w:pPr>
            <w:r>
              <w:rPr>
                <w:spacing w:val="1"/>
              </w:rPr>
              <w:t>农村</w:t>
            </w:r>
          </w:p>
        </w:tc>
      </w:tr>
      <w:tr>
        <w:trPr>
          <w:trHeight w:val="428" w:hRule="atLeast"/>
        </w:trPr>
        <w:tc>
          <w:tcPr>
            <w:tcW w:w="1463" w:type="dxa"/>
            <w:vAlign w:val="top"/>
            <w:vMerge w:val="continue"/>
            <w:tcBorders>
              <w:left w:val="nil"/>
              <w:top w:val="nil"/>
            </w:tcBorders>
          </w:tcPr>
          <w:p>
            <w:pPr>
              <w:rPr>
                <w:rFonts w:ascii="Arial"/>
                <w:sz w:val="21"/>
              </w:rPr>
            </w:pPr>
            <w:r/>
          </w:p>
        </w:tc>
        <w:tc>
          <w:tcPr>
            <w:tcW w:w="2932" w:type="dxa"/>
            <w:vAlign w:val="top"/>
          </w:tcPr>
          <w:p>
            <w:pPr>
              <w:pStyle w:val="TableText"/>
              <w:ind w:left="430"/>
              <w:spacing w:before="109" w:line="231" w:lineRule="auto"/>
              <w:rPr/>
            </w:pPr>
            <w:r>
              <w:rPr>
                <w:spacing w:val="7"/>
              </w:rPr>
              <w:t>人口数（城市选项时）</w:t>
            </w:r>
          </w:p>
        </w:tc>
        <w:tc>
          <w:tcPr>
            <w:tcW w:w="4127" w:type="dxa"/>
            <w:vAlign w:val="top"/>
            <w:tcBorders>
              <w:right w:val="nil"/>
            </w:tcBorders>
          </w:tcPr>
          <w:p>
            <w:pPr>
              <w:ind w:left="2032"/>
              <w:spacing w:before="1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28" w:hRule="atLeast"/>
        </w:trPr>
        <w:tc>
          <w:tcPr>
            <w:tcW w:w="4395" w:type="dxa"/>
            <w:vAlign w:val="top"/>
            <w:gridSpan w:val="2"/>
            <w:tcBorders>
              <w:left w:val="nil"/>
            </w:tcBorders>
          </w:tcPr>
          <w:p>
            <w:pPr>
              <w:pStyle w:val="TableText"/>
              <w:ind w:left="1450"/>
              <w:spacing w:before="110" w:line="231" w:lineRule="auto"/>
              <w:rPr>
                <w:rFonts w:ascii="Times New Roman" w:hAnsi="Times New Roman" w:eastAsia="Times New Roman" w:cs="Times New Roman"/>
              </w:rPr>
            </w:pPr>
            <w:r>
              <w:rPr>
                <w:spacing w:val="6"/>
              </w:rPr>
              <w:t>最高环境温度</w:t>
            </w:r>
            <w:r>
              <w:rPr>
                <w:rFonts w:ascii="Times New Roman" w:hAnsi="Times New Roman" w:eastAsia="Times New Roman" w:cs="Times New Roman"/>
                <w:spacing w:val="6"/>
              </w:rPr>
              <w:t>/℃</w:t>
            </w:r>
          </w:p>
        </w:tc>
        <w:tc>
          <w:tcPr>
            <w:tcW w:w="4127" w:type="dxa"/>
            <w:vAlign w:val="top"/>
            <w:tcBorders>
              <w:right w:val="nil"/>
            </w:tcBorders>
          </w:tcPr>
          <w:p>
            <w:pPr>
              <w:ind w:left="1778"/>
              <w:spacing w:before="15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38.7</w:t>
            </w:r>
            <w:r>
              <w:rPr>
                <w:rFonts w:ascii="Times New Roman" w:hAnsi="Times New Roman" w:eastAsia="Times New Roman" w:cs="Times New Roman"/>
                <w:sz w:val="19"/>
                <w:szCs w:val="19"/>
                <w:spacing w:val="-31"/>
              </w:rPr>
              <w:t xml:space="preserve"> </w:t>
            </w:r>
            <w:r>
              <w:rPr>
                <w:rFonts w:ascii="Times New Roman" w:hAnsi="Times New Roman" w:eastAsia="Times New Roman" w:cs="Times New Roman"/>
                <w:sz w:val="19"/>
                <w:szCs w:val="19"/>
                <w:spacing w:val="3"/>
              </w:rPr>
              <w:t>°C</w:t>
            </w:r>
          </w:p>
        </w:tc>
      </w:tr>
      <w:tr>
        <w:trPr>
          <w:trHeight w:val="428" w:hRule="atLeast"/>
        </w:trPr>
        <w:tc>
          <w:tcPr>
            <w:tcW w:w="4395" w:type="dxa"/>
            <w:vAlign w:val="top"/>
            <w:gridSpan w:val="2"/>
            <w:tcBorders>
              <w:left w:val="nil"/>
            </w:tcBorders>
          </w:tcPr>
          <w:p>
            <w:pPr>
              <w:pStyle w:val="TableText"/>
              <w:ind w:left="1450"/>
              <w:spacing w:before="112" w:line="231" w:lineRule="auto"/>
              <w:rPr>
                <w:rFonts w:ascii="Times New Roman" w:hAnsi="Times New Roman" w:eastAsia="Times New Roman" w:cs="Times New Roman"/>
              </w:rPr>
            </w:pPr>
            <w:r>
              <w:rPr>
                <w:spacing w:val="6"/>
              </w:rPr>
              <w:t>最低环境温度</w:t>
            </w:r>
            <w:r>
              <w:rPr>
                <w:rFonts w:ascii="Times New Roman" w:hAnsi="Times New Roman" w:eastAsia="Times New Roman" w:cs="Times New Roman"/>
                <w:spacing w:val="6"/>
              </w:rPr>
              <w:t>/℃</w:t>
            </w:r>
          </w:p>
        </w:tc>
        <w:tc>
          <w:tcPr>
            <w:tcW w:w="4127" w:type="dxa"/>
            <w:vAlign w:val="top"/>
            <w:tcBorders>
              <w:right w:val="nil"/>
            </w:tcBorders>
          </w:tcPr>
          <w:p>
            <w:pPr>
              <w:ind w:left="1742"/>
              <w:spacing w:before="15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-31.4</w:t>
            </w:r>
            <w:r>
              <w:rPr>
                <w:rFonts w:ascii="Times New Roman" w:hAnsi="Times New Roman" w:eastAsia="Times New Roman" w:cs="Times New Roman"/>
                <w:sz w:val="19"/>
                <w:szCs w:val="19"/>
                <w:spacing w:val="-26"/>
              </w:rPr>
              <w:t xml:space="preserve"> </w:t>
            </w:r>
            <w:r>
              <w:rPr>
                <w:rFonts w:ascii="Times New Roman" w:hAnsi="Times New Roman" w:eastAsia="Times New Roman" w:cs="Times New Roman"/>
                <w:sz w:val="19"/>
                <w:szCs w:val="19"/>
                <w:spacing w:val="3"/>
              </w:rPr>
              <w:t>°C</w:t>
            </w:r>
          </w:p>
        </w:tc>
      </w:tr>
      <w:tr>
        <w:trPr>
          <w:trHeight w:val="428" w:hRule="atLeast"/>
        </w:trPr>
        <w:tc>
          <w:tcPr>
            <w:tcW w:w="4395" w:type="dxa"/>
            <w:vAlign w:val="top"/>
            <w:gridSpan w:val="2"/>
            <w:tcBorders>
              <w:left w:val="nil"/>
            </w:tcBorders>
          </w:tcPr>
          <w:p>
            <w:pPr>
              <w:pStyle w:val="TableText"/>
              <w:ind w:left="1583"/>
              <w:spacing w:before="116" w:line="231" w:lineRule="auto"/>
              <w:rPr/>
            </w:pPr>
            <w:r>
              <w:rPr>
                <w:spacing w:val="6"/>
              </w:rPr>
              <w:t>土地利用类型</w:t>
            </w:r>
          </w:p>
        </w:tc>
        <w:tc>
          <w:tcPr>
            <w:tcW w:w="4127" w:type="dxa"/>
            <w:vAlign w:val="top"/>
            <w:tcBorders>
              <w:right w:val="nil"/>
            </w:tcBorders>
          </w:tcPr>
          <w:p>
            <w:pPr>
              <w:pStyle w:val="TableText"/>
              <w:ind w:left="1866"/>
              <w:spacing w:before="116" w:line="231" w:lineRule="auto"/>
              <w:rPr/>
            </w:pPr>
            <w:r>
              <w:rPr/>
              <w:t>草地</w:t>
            </w:r>
          </w:p>
        </w:tc>
      </w:tr>
      <w:tr>
        <w:trPr>
          <w:trHeight w:val="428" w:hRule="atLeast"/>
        </w:trPr>
        <w:tc>
          <w:tcPr>
            <w:tcW w:w="4395" w:type="dxa"/>
            <w:vAlign w:val="top"/>
            <w:gridSpan w:val="2"/>
            <w:tcBorders>
              <w:left w:val="nil"/>
            </w:tcBorders>
          </w:tcPr>
          <w:p>
            <w:pPr>
              <w:pStyle w:val="TableText"/>
              <w:ind w:left="1598"/>
              <w:spacing w:before="117" w:line="231" w:lineRule="auto"/>
              <w:rPr/>
            </w:pPr>
            <w:r>
              <w:rPr>
                <w:spacing w:val="4"/>
              </w:rPr>
              <w:t>区域湿度条件</w:t>
            </w:r>
          </w:p>
        </w:tc>
        <w:tc>
          <w:tcPr>
            <w:tcW w:w="4127" w:type="dxa"/>
            <w:vAlign w:val="top"/>
            <w:tcBorders>
              <w:right w:val="nil"/>
            </w:tcBorders>
          </w:tcPr>
          <w:p>
            <w:pPr>
              <w:pStyle w:val="TableText"/>
              <w:ind w:left="1870"/>
              <w:spacing w:before="117" w:line="231" w:lineRule="auto"/>
              <w:rPr/>
            </w:pPr>
            <w:r>
              <w:rPr>
                <w:spacing w:val="-2"/>
              </w:rPr>
              <w:t>干旱</w:t>
            </w:r>
          </w:p>
        </w:tc>
      </w:tr>
      <w:tr>
        <w:trPr>
          <w:trHeight w:val="428" w:hRule="atLeast"/>
        </w:trPr>
        <w:tc>
          <w:tcPr>
            <w:tcW w:w="1463" w:type="dxa"/>
            <w:vAlign w:val="top"/>
            <w:vMerge w:val="restart"/>
            <w:tcBorders>
              <w:left w:val="nil"/>
              <w:bottom w:val="nil"/>
            </w:tcBorders>
          </w:tcPr>
          <w:p>
            <w:pPr>
              <w:pStyle w:val="TableText"/>
              <w:ind w:left="640" w:right="205" w:hanging="419"/>
              <w:spacing w:before="216" w:line="227" w:lineRule="auto"/>
              <w:rPr/>
            </w:pPr>
            <w:r>
              <w:rPr>
                <w:spacing w:val="6"/>
              </w:rPr>
              <w:t>是否考虑地</w:t>
            </w:r>
            <w:r>
              <w:rPr/>
              <w:t>形</w:t>
            </w:r>
          </w:p>
        </w:tc>
        <w:tc>
          <w:tcPr>
            <w:tcW w:w="2932" w:type="dxa"/>
            <w:vAlign w:val="top"/>
          </w:tcPr>
          <w:p>
            <w:pPr>
              <w:pStyle w:val="TableText"/>
              <w:ind w:left="1057"/>
              <w:spacing w:before="118" w:line="231" w:lineRule="auto"/>
              <w:rPr/>
            </w:pPr>
            <w:r>
              <w:rPr>
                <w:spacing w:val="5"/>
              </w:rPr>
              <w:t>考虑地形</w:t>
            </w:r>
          </w:p>
        </w:tc>
        <w:tc>
          <w:tcPr>
            <w:tcW w:w="4127" w:type="dxa"/>
            <w:vAlign w:val="top"/>
            <w:tcBorders>
              <w:right w:val="nil"/>
            </w:tcBorders>
          </w:tcPr>
          <w:p>
            <w:pPr>
              <w:pStyle w:val="TableText"/>
              <w:ind w:left="1574"/>
              <w:spacing w:before="119" w:line="233" w:lineRule="auto"/>
              <w:rPr/>
            </w:pPr>
            <w:r>
              <w:rPr>
                <w:rFonts w:ascii="MS UI Gothic" w:hAnsi="MS UI Gothic" w:eastAsia="MS UI Gothic" w:cs="MS UI Gothic"/>
                <w:sz w:val="12"/>
                <w:szCs w:val="12"/>
              </w:rPr>
              <w:t>☑</w:t>
            </w:r>
            <w:r>
              <w:rPr/>
              <w:t>是</w:t>
            </w:r>
            <w:r>
              <w:rPr>
                <w:spacing w:val="11"/>
              </w:rPr>
              <w:t xml:space="preserve">   </w:t>
            </w:r>
            <w:r>
              <w:rPr>
                <w:sz w:val="12"/>
                <w:szCs w:val="12"/>
              </w:rPr>
              <w:t>□</w:t>
            </w:r>
            <w:r>
              <w:rPr>
                <w:sz w:val="12"/>
                <w:szCs w:val="12"/>
                <w:spacing w:val="-41"/>
              </w:rPr>
              <w:t xml:space="preserve"> </w:t>
            </w:r>
            <w:r>
              <w:rPr/>
              <w:t>否</w:t>
            </w:r>
          </w:p>
        </w:tc>
      </w:tr>
      <w:tr>
        <w:trPr>
          <w:trHeight w:val="428" w:hRule="atLeast"/>
        </w:trPr>
        <w:tc>
          <w:tcPr>
            <w:tcW w:w="1463" w:type="dxa"/>
            <w:vAlign w:val="top"/>
            <w:vMerge w:val="continue"/>
            <w:tcBorders>
              <w:left w:val="nil"/>
              <w:top w:val="nil"/>
            </w:tcBorders>
          </w:tcPr>
          <w:p>
            <w:pPr>
              <w:rPr>
                <w:rFonts w:ascii="Arial"/>
                <w:sz w:val="21"/>
              </w:rPr>
            </w:pPr>
            <w:r/>
          </w:p>
        </w:tc>
        <w:tc>
          <w:tcPr>
            <w:tcW w:w="2932" w:type="dxa"/>
            <w:vAlign w:val="top"/>
          </w:tcPr>
          <w:p>
            <w:pPr>
              <w:pStyle w:val="TableText"/>
              <w:ind w:left="632"/>
              <w:spacing w:before="120" w:line="231" w:lineRule="auto"/>
              <w:rPr>
                <w:rFonts w:ascii="Times New Roman" w:hAnsi="Times New Roman" w:eastAsia="Times New Roman" w:cs="Times New Roman"/>
              </w:rPr>
            </w:pPr>
            <w:r>
              <w:rPr>
                <w:spacing w:val="7"/>
              </w:rPr>
              <w:t>地形数据分辨率</w:t>
            </w:r>
            <w:r>
              <w:rPr>
                <w:rFonts w:ascii="Times New Roman" w:hAnsi="Times New Roman" w:eastAsia="Times New Roman" w:cs="Times New Roman"/>
                <w:spacing w:val="7"/>
              </w:rPr>
              <w:t>/m</w:t>
            </w:r>
          </w:p>
        </w:tc>
        <w:tc>
          <w:tcPr>
            <w:tcW w:w="4127" w:type="dxa"/>
            <w:vAlign w:val="top"/>
            <w:tcBorders>
              <w:right w:val="nil"/>
            </w:tcBorders>
          </w:tcPr>
          <w:p>
            <w:pPr>
              <w:ind w:left="2032"/>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28" w:hRule="atLeast"/>
        </w:trPr>
        <w:tc>
          <w:tcPr>
            <w:tcW w:w="1463" w:type="dxa"/>
            <w:vAlign w:val="top"/>
            <w:vMerge w:val="restart"/>
            <w:tcBorders>
              <w:left w:val="nil"/>
              <w:bottom w:val="nil"/>
            </w:tcBorders>
          </w:tcPr>
          <w:p>
            <w:pPr>
              <w:spacing w:line="370" w:lineRule="auto"/>
              <w:rPr>
                <w:rFonts w:ascii="Arial"/>
                <w:sz w:val="21"/>
              </w:rPr>
            </w:pPr>
            <w:r/>
          </w:p>
          <w:p>
            <w:pPr>
              <w:pStyle w:val="TableText"/>
              <w:ind w:left="435" w:right="205" w:hanging="214"/>
              <w:spacing w:before="65" w:line="227" w:lineRule="auto"/>
              <w:rPr/>
            </w:pPr>
            <w:r>
              <w:rPr>
                <w:spacing w:val="6"/>
              </w:rPr>
              <w:t>是否考虑岸</w:t>
            </w:r>
            <w:r>
              <w:rPr>
                <w:spacing w:val="2"/>
              </w:rPr>
              <w:t>线熏烟</w:t>
            </w:r>
          </w:p>
        </w:tc>
        <w:tc>
          <w:tcPr>
            <w:tcW w:w="2932" w:type="dxa"/>
            <w:vAlign w:val="top"/>
          </w:tcPr>
          <w:p>
            <w:pPr>
              <w:pStyle w:val="TableText"/>
              <w:ind w:left="848"/>
              <w:spacing w:before="124" w:line="230" w:lineRule="auto"/>
              <w:rPr/>
            </w:pPr>
            <w:r>
              <w:rPr>
                <w:spacing w:val="7"/>
              </w:rPr>
              <w:t>考虑岸线熏烟</w:t>
            </w:r>
          </w:p>
        </w:tc>
        <w:tc>
          <w:tcPr>
            <w:tcW w:w="4127" w:type="dxa"/>
            <w:vAlign w:val="top"/>
            <w:tcBorders>
              <w:right w:val="nil"/>
            </w:tcBorders>
          </w:tcPr>
          <w:p>
            <w:pPr>
              <w:pStyle w:val="TableText"/>
              <w:ind w:left="1582"/>
              <w:spacing w:before="124" w:line="233" w:lineRule="auto"/>
              <w:rPr/>
            </w:pPr>
            <w:r>
              <w:rPr>
                <w:sz w:val="12"/>
                <w:szCs w:val="12"/>
              </w:rPr>
              <w:t>□</w:t>
            </w:r>
            <w:r>
              <w:rPr/>
              <w:t>是</w:t>
            </w:r>
            <w:r>
              <w:rPr>
                <w:spacing w:val="8"/>
              </w:rPr>
              <w:t xml:space="preserve">   </w:t>
            </w:r>
            <w:r>
              <w:rPr>
                <w:rFonts w:ascii="MS UI Gothic" w:hAnsi="MS UI Gothic" w:eastAsia="MS UI Gothic" w:cs="MS UI Gothic"/>
                <w:sz w:val="12"/>
                <w:szCs w:val="12"/>
              </w:rPr>
              <w:t>☑</w:t>
            </w:r>
            <w:r>
              <w:rPr>
                <w:rFonts w:ascii="MS UI Gothic" w:hAnsi="MS UI Gothic" w:eastAsia="MS UI Gothic" w:cs="MS UI Gothic"/>
                <w:sz w:val="12"/>
                <w:szCs w:val="12"/>
                <w:spacing w:val="-17"/>
              </w:rPr>
              <w:t xml:space="preserve"> </w:t>
            </w:r>
            <w:r>
              <w:rPr/>
              <w:t>否</w:t>
            </w:r>
          </w:p>
        </w:tc>
      </w:tr>
      <w:tr>
        <w:trPr>
          <w:trHeight w:val="428" w:hRule="atLeast"/>
        </w:trPr>
        <w:tc>
          <w:tcPr>
            <w:tcW w:w="1463" w:type="dxa"/>
            <w:vAlign w:val="top"/>
            <w:vMerge w:val="continue"/>
            <w:tcBorders>
              <w:left w:val="nil"/>
              <w:bottom w:val="nil"/>
              <w:top w:val="nil"/>
            </w:tcBorders>
          </w:tcPr>
          <w:p>
            <w:pPr>
              <w:rPr>
                <w:rFonts w:ascii="Arial"/>
                <w:sz w:val="21"/>
              </w:rPr>
            </w:pPr>
            <w:r/>
          </w:p>
        </w:tc>
        <w:tc>
          <w:tcPr>
            <w:tcW w:w="2932" w:type="dxa"/>
            <w:vAlign w:val="top"/>
          </w:tcPr>
          <w:p>
            <w:pPr>
              <w:pStyle w:val="TableText"/>
              <w:ind w:left="893"/>
              <w:spacing w:before="125" w:line="230" w:lineRule="auto"/>
              <w:rPr>
                <w:rFonts w:ascii="Times New Roman" w:hAnsi="Times New Roman" w:eastAsia="Times New Roman" w:cs="Times New Roman"/>
              </w:rPr>
            </w:pPr>
            <w:r>
              <w:rPr>
                <w:spacing w:val="7"/>
              </w:rPr>
              <w:t>岸线距离</w:t>
            </w:r>
            <w:r>
              <w:rPr>
                <w:rFonts w:ascii="Times New Roman" w:hAnsi="Times New Roman" w:eastAsia="Times New Roman" w:cs="Times New Roman"/>
                <w:spacing w:val="7"/>
              </w:rPr>
              <w:t>/</w:t>
            </w:r>
            <w:r>
              <w:rPr>
                <w:rFonts w:ascii="Times New Roman" w:hAnsi="Times New Roman" w:eastAsia="Times New Roman" w:cs="Times New Roman"/>
              </w:rPr>
              <w:t>km</w:t>
            </w:r>
          </w:p>
        </w:tc>
        <w:tc>
          <w:tcPr>
            <w:tcW w:w="4127" w:type="dxa"/>
            <w:vAlign w:val="top"/>
            <w:tcBorders>
              <w:right w:val="nil"/>
            </w:tcBorders>
          </w:tcPr>
          <w:p>
            <w:pPr>
              <w:ind w:left="2032"/>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51" w:hRule="atLeast"/>
        </w:trPr>
        <w:tc>
          <w:tcPr>
            <w:tcW w:w="1463" w:type="dxa"/>
            <w:vAlign w:val="top"/>
            <w:vMerge w:val="continue"/>
            <w:tcBorders>
              <w:left w:val="nil"/>
              <w:bottom w:val="single" w:color="000000" w:sz="10" w:space="0"/>
              <w:top w:val="nil"/>
            </w:tcBorders>
          </w:tcPr>
          <w:p>
            <w:pPr>
              <w:rPr>
                <w:rFonts w:ascii="Arial"/>
                <w:sz w:val="21"/>
              </w:rPr>
            </w:pPr>
            <w:r/>
          </w:p>
        </w:tc>
        <w:tc>
          <w:tcPr>
            <w:tcW w:w="2932" w:type="dxa"/>
            <w:vAlign w:val="top"/>
            <w:tcBorders>
              <w:bottom w:val="single" w:color="000000" w:sz="10" w:space="0"/>
            </w:tcBorders>
          </w:tcPr>
          <w:p>
            <w:pPr>
              <w:pStyle w:val="TableText"/>
              <w:ind w:left="987"/>
              <w:spacing w:before="127" w:line="230" w:lineRule="auto"/>
              <w:rPr>
                <w:rFonts w:ascii="Times New Roman" w:hAnsi="Times New Roman" w:eastAsia="Times New Roman" w:cs="Times New Roman"/>
              </w:rPr>
            </w:pPr>
            <w:r>
              <w:rPr>
                <w:spacing w:val="5"/>
              </w:rPr>
              <w:t>岸线方向</w:t>
            </w:r>
            <w:r>
              <w:rPr>
                <w:rFonts w:ascii="Times New Roman" w:hAnsi="Times New Roman" w:eastAsia="Times New Roman" w:cs="Times New Roman"/>
                <w:spacing w:val="5"/>
              </w:rPr>
              <w:t>/°</w:t>
            </w:r>
          </w:p>
        </w:tc>
        <w:tc>
          <w:tcPr>
            <w:tcW w:w="4127" w:type="dxa"/>
            <w:vAlign w:val="top"/>
            <w:tcBorders>
              <w:right w:val="nil"/>
              <w:bottom w:val="single" w:color="000000" w:sz="10" w:space="0"/>
            </w:tcBorders>
          </w:tcPr>
          <w:p>
            <w:pPr>
              <w:ind w:left="2032"/>
              <w:spacing w:before="1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spacing w:line="251" w:lineRule="auto"/>
        <w:rPr/>
      </w:pPr>
      <w:r/>
    </w:p>
    <w:p>
      <w:pPr>
        <w:pStyle w:val="BodyText"/>
        <w:spacing w:line="251" w:lineRule="auto"/>
        <w:rPr/>
      </w:pPr>
      <w:r/>
    </w:p>
    <w:p>
      <w:pPr>
        <w:ind w:left="608"/>
        <w:spacing w:before="79"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）估算模型计算结果</w:t>
      </w:r>
    </w:p>
    <w:p>
      <w:pPr>
        <w:ind w:left="126" w:right="107" w:firstLine="478"/>
        <w:spacing w:before="183" w:line="360" w:lineRule="auto"/>
        <w:rPr>
          <w:rFonts w:ascii="FangSong" w:hAnsi="FangSong" w:eastAsia="FangSong" w:cs="FangSong"/>
          <w:sz w:val="24"/>
          <w:szCs w:val="24"/>
        </w:rPr>
      </w:pPr>
      <w:r>
        <w:rPr>
          <w:rFonts w:ascii="FangSong" w:hAnsi="FangSong" w:eastAsia="FangSong" w:cs="FangSong"/>
          <w:sz w:val="24"/>
          <w:szCs w:val="24"/>
          <w:spacing w:val="-3"/>
        </w:rPr>
        <w:t>根据评价等级及评价范围章节估算模型计算结</w:t>
      </w:r>
      <w:r>
        <w:rPr>
          <w:rFonts w:ascii="FangSong" w:hAnsi="FangSong" w:eastAsia="FangSong" w:cs="FangSong"/>
          <w:sz w:val="24"/>
          <w:szCs w:val="24"/>
          <w:spacing w:val="-4"/>
        </w:rPr>
        <w:t>果可知，本项目采选产生的各</w:t>
      </w:r>
      <w:r>
        <w:rPr>
          <w:rFonts w:ascii="FangSong" w:hAnsi="FangSong" w:eastAsia="FangSong" w:cs="FangSong"/>
          <w:sz w:val="24"/>
          <w:szCs w:val="24"/>
          <w:spacing w:val="-3"/>
        </w:rPr>
        <w:t>类废气会对其周围局部地区产生影响，通过污染源正常工况</w:t>
      </w:r>
      <w:r>
        <w:rPr>
          <w:rFonts w:ascii="FangSong" w:hAnsi="FangSong" w:eastAsia="FangSong" w:cs="FangSong"/>
          <w:sz w:val="24"/>
          <w:szCs w:val="24"/>
          <w:spacing w:val="-4"/>
        </w:rPr>
        <w:t>排放的污染物的占标</w:t>
      </w:r>
      <w:r>
        <w:rPr>
          <w:rFonts w:ascii="FangSong" w:hAnsi="FangSong" w:eastAsia="FangSong" w:cs="FangSong"/>
          <w:sz w:val="24"/>
          <w:szCs w:val="24"/>
          <w:spacing w:val="-1"/>
        </w:rPr>
        <w:t>率和浓度计算结果进行分析。预测结果如表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6.2-3</w:t>
      </w:r>
      <w:r>
        <w:rPr>
          <w:rFonts w:ascii="FangSong" w:hAnsi="FangSong" w:eastAsia="FangSong" w:cs="FangSong"/>
          <w:sz w:val="24"/>
          <w:szCs w:val="24"/>
          <w:spacing w:val="-2"/>
        </w:rPr>
        <w:t>。</w:t>
      </w:r>
    </w:p>
    <w:p>
      <w:pPr>
        <w:spacing w:line="360" w:lineRule="auto"/>
        <w:sectPr>
          <w:footerReference w:type="default" r:id="rId288"/>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854"/>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3"/>
        </w:rPr>
        <w:t>6.2-3  </w:t>
      </w:r>
      <w:r>
        <w:rPr>
          <w:rFonts w:ascii="FangSong" w:hAnsi="FangSong" w:eastAsia="FangSong" w:cs="FangSong"/>
          <w:sz w:val="24"/>
          <w:szCs w:val="24"/>
          <w:b/>
          <w:bCs/>
          <w:spacing w:val="-3"/>
        </w:rPr>
        <w:t>本项目结果一览表</w:t>
      </w:r>
    </w:p>
    <w:p>
      <w:pPr>
        <w:spacing w:line="64"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8"/>
        <w:gridCol w:w="1312"/>
        <w:gridCol w:w="1312"/>
        <w:gridCol w:w="1438"/>
        <w:gridCol w:w="1036"/>
        <w:gridCol w:w="1680"/>
      </w:tblGrid>
      <w:tr>
        <w:trPr>
          <w:trHeight w:val="631" w:hRule="atLeast"/>
        </w:trPr>
        <w:tc>
          <w:tcPr>
            <w:tcW w:w="1738" w:type="dxa"/>
            <w:vAlign w:val="top"/>
            <w:tcBorders>
              <w:left w:val="nil"/>
              <w:top w:val="single" w:color="000000" w:sz="10" w:space="0"/>
            </w:tcBorders>
          </w:tcPr>
          <w:p>
            <w:pPr>
              <w:pStyle w:val="TableText"/>
              <w:ind w:left="360"/>
              <w:spacing w:before="212" w:line="224" w:lineRule="auto"/>
              <w:rPr/>
            </w:pPr>
            <w:r>
              <w:rPr>
                <w:spacing w:val="6"/>
              </w:rPr>
              <w:t>污染源名称</w:t>
            </w:r>
          </w:p>
        </w:tc>
        <w:tc>
          <w:tcPr>
            <w:tcW w:w="1312" w:type="dxa"/>
            <w:vAlign w:val="top"/>
            <w:tcBorders>
              <w:top w:val="single" w:color="000000" w:sz="10" w:space="0"/>
            </w:tcBorders>
          </w:tcPr>
          <w:p>
            <w:pPr>
              <w:pStyle w:val="TableText"/>
              <w:ind w:left="240"/>
              <w:spacing w:before="212" w:line="225" w:lineRule="auto"/>
              <w:rPr/>
            </w:pPr>
            <w:r>
              <w:rPr>
                <w:spacing w:val="7"/>
              </w:rPr>
              <w:t>评价因子</w:t>
            </w:r>
          </w:p>
        </w:tc>
        <w:tc>
          <w:tcPr>
            <w:tcW w:w="1312" w:type="dxa"/>
            <w:vAlign w:val="top"/>
            <w:tcBorders>
              <w:top w:val="single" w:color="000000" w:sz="10" w:space="0"/>
            </w:tcBorders>
          </w:tcPr>
          <w:p>
            <w:pPr>
              <w:pStyle w:val="TableText"/>
              <w:ind w:left="307" w:right="208" w:hanging="66"/>
              <w:spacing w:before="55" w:line="261" w:lineRule="auto"/>
              <w:rPr>
                <w:rFonts w:ascii="SimSun" w:hAnsi="SimSun" w:eastAsia="SimSun" w:cs="SimSun"/>
              </w:rPr>
            </w:pPr>
            <w:r>
              <w:rPr>
                <w:spacing w:val="7"/>
              </w:rPr>
              <w:t>评价标准</w:t>
            </w:r>
            <w:r>
              <w:rPr>
                <w:rFonts w:ascii="SimSun" w:hAnsi="SimSun" w:eastAsia="SimSun" w:cs="SimSun"/>
              </w:rPr>
              <w:t>(</w:t>
            </w:r>
            <w:r>
              <w:rPr>
                <w:rFonts w:ascii="Times New Roman" w:hAnsi="Times New Roman" w:eastAsia="Times New Roman" w:cs="Times New Roman"/>
              </w:rPr>
              <w:t>μg/m</w:t>
            </w:r>
            <w:r>
              <w:rPr>
                <w:rFonts w:ascii="Times New Roman" w:hAnsi="Times New Roman" w:eastAsia="Times New Roman" w:cs="Times New Roman"/>
                <w:sz w:val="13"/>
                <w:szCs w:val="13"/>
                <w:position w:val="6"/>
              </w:rPr>
              <w:t>3</w:t>
            </w:r>
            <w:r>
              <w:rPr>
                <w:rFonts w:ascii="SimSun" w:hAnsi="SimSun" w:eastAsia="SimSun" w:cs="SimSun"/>
              </w:rPr>
              <w:t>）</w:t>
            </w:r>
          </w:p>
        </w:tc>
        <w:tc>
          <w:tcPr>
            <w:tcW w:w="1438" w:type="dxa"/>
            <w:vAlign w:val="top"/>
            <w:tcBorders>
              <w:top w:val="single" w:color="000000" w:sz="10" w:space="0"/>
            </w:tcBorders>
          </w:tcPr>
          <w:p>
            <w:pPr>
              <w:ind w:left="536"/>
              <w:spacing w:before="94" w:line="20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C</w:t>
            </w:r>
            <w:r>
              <w:rPr>
                <w:rFonts w:ascii="Times New Roman" w:hAnsi="Times New Roman" w:eastAsia="Times New Roman" w:cs="Times New Roman"/>
                <w:sz w:val="13"/>
                <w:szCs w:val="13"/>
                <w:spacing w:val="2"/>
              </w:rPr>
              <w:t>max</w:t>
            </w:r>
          </w:p>
          <w:p>
            <w:pPr>
              <w:pStyle w:val="TableText"/>
              <w:ind w:left="357"/>
              <w:spacing w:before="75" w:line="222" w:lineRule="auto"/>
              <w:rPr/>
            </w:pPr>
            <w:r>
              <w:rPr>
                <w:spacing w:val="4"/>
              </w:rPr>
              <w:t>(</w:t>
            </w:r>
            <w:r>
              <w:rPr>
                <w:rFonts w:ascii="Times New Roman" w:hAnsi="Times New Roman" w:eastAsia="Times New Roman" w:cs="Times New Roman"/>
                <w:spacing w:val="4"/>
              </w:rPr>
              <w:t>μg/m</w:t>
            </w:r>
            <w:r>
              <w:rPr>
                <w:rFonts w:ascii="Times New Roman" w:hAnsi="Times New Roman" w:eastAsia="Times New Roman" w:cs="Times New Roman"/>
                <w:sz w:val="13"/>
                <w:szCs w:val="13"/>
                <w:spacing w:val="4"/>
                <w:position w:val="6"/>
              </w:rPr>
              <w:t>3</w:t>
            </w:r>
            <w:r>
              <w:rPr>
                <w:rFonts w:ascii="Times New Roman" w:hAnsi="Times New Roman" w:eastAsia="Times New Roman" w:cs="Times New Roman"/>
                <w:sz w:val="13"/>
                <w:szCs w:val="13"/>
                <w:spacing w:val="-4"/>
                <w:position w:val="6"/>
              </w:rPr>
              <w:t xml:space="preserve"> </w:t>
            </w:r>
            <w:r>
              <w:rPr>
                <w:spacing w:val="4"/>
              </w:rPr>
              <w:t>）</w:t>
            </w:r>
          </w:p>
        </w:tc>
        <w:tc>
          <w:tcPr>
            <w:tcW w:w="1036" w:type="dxa"/>
            <w:vAlign w:val="top"/>
            <w:tcBorders>
              <w:top w:val="single" w:color="000000" w:sz="10" w:space="0"/>
            </w:tcBorders>
          </w:tcPr>
          <w:p>
            <w:pPr>
              <w:ind w:left="345"/>
              <w:spacing w:before="96" w:line="207"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P</w:t>
            </w:r>
            <w:r>
              <w:rPr>
                <w:rFonts w:ascii="Times New Roman" w:hAnsi="Times New Roman" w:eastAsia="Times New Roman" w:cs="Times New Roman"/>
                <w:sz w:val="13"/>
                <w:szCs w:val="13"/>
                <w:spacing w:val="2"/>
              </w:rPr>
              <w:t>max</w:t>
            </w:r>
          </w:p>
          <w:p>
            <w:pPr>
              <w:ind w:left="237"/>
              <w:spacing w:before="72" w:line="234" w:lineRule="auto"/>
              <w:rPr>
                <w:rFonts w:ascii="SimSun" w:hAnsi="SimSun" w:eastAsia="SimSun" w:cs="SimSun"/>
                <w:sz w:val="20"/>
                <w:szCs w:val="20"/>
              </w:rPr>
            </w:pPr>
            <w:r>
              <w:rPr>
                <w:rFonts w:ascii="SimSun" w:hAnsi="SimSun" w:eastAsia="SimSun" w:cs="SimSun"/>
                <w:sz w:val="20"/>
                <w:szCs w:val="20"/>
                <w:spacing w:val="-1"/>
              </w:rPr>
              <w:t>（</w:t>
            </w:r>
            <w:r>
              <w:rPr>
                <w:rFonts w:ascii="Times New Roman" w:hAnsi="Times New Roman" w:eastAsia="Times New Roman" w:cs="Times New Roman"/>
                <w:sz w:val="20"/>
                <w:szCs w:val="20"/>
                <w:spacing w:val="-1"/>
              </w:rPr>
              <w:t>%</w:t>
            </w:r>
            <w:r>
              <w:rPr>
                <w:rFonts w:ascii="SimSun" w:hAnsi="SimSun" w:eastAsia="SimSun" w:cs="SimSun"/>
                <w:sz w:val="20"/>
                <w:szCs w:val="20"/>
                <w:spacing w:val="-1"/>
              </w:rPr>
              <w:t>）</w:t>
            </w:r>
          </w:p>
        </w:tc>
        <w:tc>
          <w:tcPr>
            <w:tcW w:w="1680" w:type="dxa"/>
            <w:vAlign w:val="top"/>
            <w:tcBorders>
              <w:right w:val="nil"/>
              <w:top w:val="single" w:color="000000" w:sz="10" w:space="0"/>
            </w:tcBorders>
          </w:tcPr>
          <w:p>
            <w:pPr>
              <w:pStyle w:val="TableText"/>
              <w:ind w:left="114" w:right="7" w:firstLine="110"/>
              <w:spacing w:before="55" w:line="261" w:lineRule="auto"/>
              <w:rPr/>
            </w:pPr>
            <w:r>
              <w:rPr>
                <w:spacing w:val="6"/>
              </w:rPr>
              <w:t>下风向最大浓</w:t>
            </w:r>
            <w:r>
              <w:rPr>
                <w:spacing w:val="1"/>
              </w:rPr>
              <w:t xml:space="preserve"> </w:t>
            </w:r>
            <w:r>
              <w:rPr>
                <w:spacing w:val="6"/>
              </w:rPr>
              <w:t>度出现距离（m）</w:t>
            </w:r>
          </w:p>
        </w:tc>
      </w:tr>
      <w:tr>
        <w:trPr>
          <w:trHeight w:val="315" w:hRule="atLeast"/>
        </w:trPr>
        <w:tc>
          <w:tcPr>
            <w:tcW w:w="1738" w:type="dxa"/>
            <w:vAlign w:val="top"/>
            <w:tcBorders>
              <w:left w:val="nil"/>
            </w:tcBorders>
          </w:tcPr>
          <w:p>
            <w:pPr>
              <w:pStyle w:val="TableText"/>
              <w:ind w:left="260"/>
              <w:spacing w:before="54" w:line="225" w:lineRule="auto"/>
              <w:rPr/>
            </w:pPr>
            <w:r>
              <w:rPr>
                <w:spacing w:val="6"/>
              </w:rPr>
              <w:t>井下采矿废气</w:t>
            </w:r>
          </w:p>
        </w:tc>
        <w:tc>
          <w:tcPr>
            <w:tcW w:w="1312" w:type="dxa"/>
            <w:vAlign w:val="top"/>
          </w:tcPr>
          <w:p>
            <w:pPr>
              <w:ind w:left="464"/>
              <w:spacing w:before="91"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1312" w:type="dxa"/>
            <w:vAlign w:val="top"/>
          </w:tcPr>
          <w:p>
            <w:pPr>
              <w:ind w:left="49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1438" w:type="dxa"/>
            <w:vAlign w:val="top"/>
          </w:tcPr>
          <w:p>
            <w:pPr>
              <w:ind w:left="53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036" w:type="dxa"/>
            <w:vAlign w:val="top"/>
          </w:tcPr>
          <w:p>
            <w:pPr>
              <w:ind w:left="33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w:t>
            </w:r>
          </w:p>
        </w:tc>
        <w:tc>
          <w:tcPr>
            <w:tcW w:w="1680" w:type="dxa"/>
            <w:vAlign w:val="top"/>
            <w:tcBorders>
              <w:right w:val="nil"/>
            </w:tcBorders>
          </w:tcPr>
          <w:p>
            <w:pPr>
              <w:ind w:left="73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r>
      <w:tr>
        <w:trPr>
          <w:trHeight w:val="316" w:hRule="atLeast"/>
        </w:trPr>
        <w:tc>
          <w:tcPr>
            <w:tcW w:w="1738" w:type="dxa"/>
            <w:vAlign w:val="top"/>
            <w:vMerge w:val="restart"/>
            <w:tcBorders>
              <w:left w:val="nil"/>
              <w:bottom w:val="nil"/>
            </w:tcBorders>
          </w:tcPr>
          <w:p>
            <w:pPr>
              <w:pStyle w:val="TableText"/>
              <w:ind w:left="350"/>
              <w:spacing w:before="62" w:line="223" w:lineRule="auto"/>
              <w:rPr/>
            </w:pPr>
            <w:r>
              <w:rPr>
                <w:spacing w:val="8"/>
              </w:rPr>
              <w:t>粗破碎车间</w:t>
            </w:r>
          </w:p>
          <w:p>
            <w:pPr>
              <w:pStyle w:val="TableText"/>
              <w:ind w:left="347"/>
              <w:spacing w:before="71" w:line="225" w:lineRule="auto"/>
              <w:rPr/>
            </w:pPr>
            <w:r>
              <w:rPr>
                <w:spacing w:val="12"/>
              </w:rPr>
              <w:t>（有组织）</w:t>
            </w:r>
          </w:p>
        </w:tc>
        <w:tc>
          <w:tcPr>
            <w:tcW w:w="1312" w:type="dxa"/>
            <w:vAlign w:val="top"/>
          </w:tcPr>
          <w:p>
            <w:pPr>
              <w:ind w:left="437"/>
              <w:spacing w:before="96"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312" w:type="dxa"/>
            <w:vAlign w:val="top"/>
          </w:tcPr>
          <w:p>
            <w:pPr>
              <w:ind w:left="498"/>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38" w:type="dxa"/>
            <w:vAlign w:val="top"/>
          </w:tcPr>
          <w:p>
            <w:pPr>
              <w:ind w:left="555"/>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1.25</w:t>
            </w:r>
          </w:p>
        </w:tc>
        <w:tc>
          <w:tcPr>
            <w:tcW w:w="1036" w:type="dxa"/>
            <w:vAlign w:val="top"/>
          </w:tcPr>
          <w:p>
            <w:pPr>
              <w:ind w:left="33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w:t>
            </w:r>
          </w:p>
        </w:tc>
        <w:tc>
          <w:tcPr>
            <w:tcW w:w="1680" w:type="dxa"/>
            <w:vAlign w:val="top"/>
            <w:tcBorders>
              <w:right w:val="nil"/>
            </w:tcBorders>
          </w:tcPr>
          <w:p>
            <w:pPr>
              <w:ind w:left="741"/>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71</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58" w:line="224" w:lineRule="auto"/>
              <w:rPr/>
            </w:pPr>
            <w:r>
              <w:rPr>
                <w:spacing w:val="3"/>
              </w:rPr>
              <w:t>氟化物</w:t>
            </w:r>
          </w:p>
        </w:tc>
        <w:tc>
          <w:tcPr>
            <w:tcW w:w="1312" w:type="dxa"/>
            <w:vAlign w:val="top"/>
          </w:tcPr>
          <w:p>
            <w:pPr>
              <w:ind w:left="551"/>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3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0.85</w:t>
            </w:r>
          </w:p>
        </w:tc>
        <w:tc>
          <w:tcPr>
            <w:tcW w:w="1036" w:type="dxa"/>
            <w:vAlign w:val="top"/>
          </w:tcPr>
          <w:p>
            <w:pPr>
              <w:ind w:left="335"/>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4.26</w:t>
            </w:r>
          </w:p>
        </w:tc>
        <w:tc>
          <w:tcPr>
            <w:tcW w:w="1680" w:type="dxa"/>
            <w:vAlign w:val="top"/>
            <w:tcBorders>
              <w:right w:val="nil"/>
            </w:tcBorders>
          </w:tcPr>
          <w:p>
            <w:pPr>
              <w:ind w:left="741"/>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71</w:t>
            </w:r>
          </w:p>
        </w:tc>
      </w:tr>
      <w:tr>
        <w:trPr>
          <w:trHeight w:val="316" w:hRule="atLeast"/>
        </w:trPr>
        <w:tc>
          <w:tcPr>
            <w:tcW w:w="1738" w:type="dxa"/>
            <w:vAlign w:val="top"/>
            <w:vMerge w:val="restart"/>
            <w:tcBorders>
              <w:left w:val="nil"/>
              <w:bottom w:val="nil"/>
            </w:tcBorders>
          </w:tcPr>
          <w:p>
            <w:pPr>
              <w:pStyle w:val="TableText"/>
              <w:ind w:left="357"/>
              <w:spacing w:before="63" w:line="223" w:lineRule="auto"/>
              <w:rPr/>
            </w:pPr>
            <w:r>
              <w:rPr>
                <w:spacing w:val="6"/>
              </w:rPr>
              <w:t>细破碎车间</w:t>
            </w:r>
          </w:p>
          <w:p>
            <w:pPr>
              <w:pStyle w:val="TableText"/>
              <w:ind w:left="347"/>
              <w:spacing w:before="71" w:line="225" w:lineRule="auto"/>
              <w:rPr/>
            </w:pPr>
            <w:r>
              <w:rPr>
                <w:spacing w:val="12"/>
              </w:rPr>
              <w:t>（有组织）</w:t>
            </w:r>
          </w:p>
        </w:tc>
        <w:tc>
          <w:tcPr>
            <w:tcW w:w="1312" w:type="dxa"/>
            <w:vAlign w:val="top"/>
          </w:tcPr>
          <w:p>
            <w:pPr>
              <w:ind w:left="437"/>
              <w:spacing w:before="97"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312" w:type="dxa"/>
            <w:vAlign w:val="top"/>
          </w:tcPr>
          <w:p>
            <w:pPr>
              <w:ind w:left="498"/>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38" w:type="dxa"/>
            <w:vAlign w:val="top"/>
          </w:tcPr>
          <w:p>
            <w:pPr>
              <w:ind w:left="687"/>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36" w:type="dxa"/>
            <w:vAlign w:val="top"/>
          </w:tcPr>
          <w:p>
            <w:pPr>
              <w:ind w:left="339"/>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0.22</w:t>
            </w:r>
          </w:p>
        </w:tc>
        <w:tc>
          <w:tcPr>
            <w:tcW w:w="1680" w:type="dxa"/>
            <w:vAlign w:val="top"/>
            <w:tcBorders>
              <w:right w:val="nil"/>
            </w:tcBorders>
          </w:tcPr>
          <w:p>
            <w:pPr>
              <w:ind w:left="74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59" w:line="224" w:lineRule="auto"/>
              <w:rPr/>
            </w:pPr>
            <w:r>
              <w:rPr>
                <w:spacing w:val="3"/>
              </w:rPr>
              <w:t>氟化物</w:t>
            </w:r>
          </w:p>
        </w:tc>
        <w:tc>
          <w:tcPr>
            <w:tcW w:w="1312" w:type="dxa"/>
            <w:vAlign w:val="top"/>
          </w:tcPr>
          <w:p>
            <w:pPr>
              <w:ind w:left="551"/>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39"/>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0.68</w:t>
            </w:r>
          </w:p>
        </w:tc>
        <w:tc>
          <w:tcPr>
            <w:tcW w:w="1036" w:type="dxa"/>
            <w:vAlign w:val="top"/>
          </w:tcPr>
          <w:p>
            <w:pPr>
              <w:ind w:left="340"/>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3.42</w:t>
            </w:r>
          </w:p>
        </w:tc>
        <w:tc>
          <w:tcPr>
            <w:tcW w:w="1680" w:type="dxa"/>
            <w:vAlign w:val="top"/>
            <w:tcBorders>
              <w:right w:val="nil"/>
            </w:tcBorders>
          </w:tcPr>
          <w:p>
            <w:pPr>
              <w:ind w:left="741"/>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r>
      <w:tr>
        <w:trPr>
          <w:trHeight w:val="316" w:hRule="atLeast"/>
        </w:trPr>
        <w:tc>
          <w:tcPr>
            <w:tcW w:w="1738" w:type="dxa"/>
            <w:vAlign w:val="top"/>
            <w:vMerge w:val="restart"/>
            <w:tcBorders>
              <w:left w:val="nil"/>
              <w:bottom w:val="nil"/>
            </w:tcBorders>
          </w:tcPr>
          <w:p>
            <w:pPr>
              <w:pStyle w:val="TableText"/>
              <w:ind w:left="347" w:right="347" w:firstLine="116"/>
              <w:spacing w:before="65" w:line="259" w:lineRule="auto"/>
              <w:rPr/>
            </w:pPr>
            <w:r>
              <w:rPr>
                <w:spacing w:val="5"/>
              </w:rPr>
              <w:t>筛分车间</w:t>
            </w:r>
            <w:r>
              <w:rPr>
                <w:spacing w:val="7"/>
              </w:rPr>
              <w:t>（有组织）</w:t>
            </w:r>
          </w:p>
        </w:tc>
        <w:tc>
          <w:tcPr>
            <w:tcW w:w="1312" w:type="dxa"/>
            <w:vAlign w:val="top"/>
          </w:tcPr>
          <w:p>
            <w:pPr>
              <w:ind w:left="437"/>
              <w:spacing w:before="100" w:line="207"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rPr>
              <w:t>10</w:t>
            </w:r>
          </w:p>
        </w:tc>
        <w:tc>
          <w:tcPr>
            <w:tcW w:w="1312" w:type="dxa"/>
            <w:vAlign w:val="top"/>
          </w:tcPr>
          <w:p>
            <w:pPr>
              <w:ind w:left="498"/>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38" w:type="dxa"/>
            <w:vAlign w:val="top"/>
          </w:tcPr>
          <w:p>
            <w:pPr>
              <w:ind w:left="555"/>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1.15</w:t>
            </w:r>
          </w:p>
        </w:tc>
        <w:tc>
          <w:tcPr>
            <w:tcW w:w="1036" w:type="dxa"/>
            <w:vAlign w:val="top"/>
          </w:tcPr>
          <w:p>
            <w:pPr>
              <w:ind w:left="339"/>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0.26</w:t>
            </w:r>
          </w:p>
        </w:tc>
        <w:tc>
          <w:tcPr>
            <w:tcW w:w="1680" w:type="dxa"/>
            <w:vAlign w:val="top"/>
            <w:tcBorders>
              <w:right w:val="nil"/>
            </w:tcBorders>
          </w:tcPr>
          <w:p>
            <w:pPr>
              <w:ind w:left="741"/>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61" w:line="224" w:lineRule="auto"/>
              <w:rPr/>
            </w:pPr>
            <w:r>
              <w:rPr>
                <w:spacing w:val="3"/>
              </w:rPr>
              <w:t>氟化物</w:t>
            </w:r>
          </w:p>
        </w:tc>
        <w:tc>
          <w:tcPr>
            <w:tcW w:w="1312" w:type="dxa"/>
            <w:vAlign w:val="top"/>
          </w:tcPr>
          <w:p>
            <w:pPr>
              <w:ind w:left="551"/>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39"/>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0.79</w:t>
            </w:r>
          </w:p>
        </w:tc>
        <w:tc>
          <w:tcPr>
            <w:tcW w:w="1036" w:type="dxa"/>
            <w:vAlign w:val="top"/>
          </w:tcPr>
          <w:p>
            <w:pPr>
              <w:ind w:left="340"/>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1680" w:type="dxa"/>
            <w:vAlign w:val="top"/>
            <w:tcBorders>
              <w:right w:val="nil"/>
            </w:tcBorders>
          </w:tcPr>
          <w:p>
            <w:pPr>
              <w:ind w:left="741"/>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w:t>
            </w:r>
          </w:p>
        </w:tc>
      </w:tr>
      <w:tr>
        <w:trPr>
          <w:trHeight w:val="316" w:hRule="atLeast"/>
        </w:trPr>
        <w:tc>
          <w:tcPr>
            <w:tcW w:w="1738" w:type="dxa"/>
            <w:vAlign w:val="top"/>
            <w:vMerge w:val="restart"/>
            <w:tcBorders>
              <w:left w:val="nil"/>
              <w:bottom w:val="nil"/>
            </w:tcBorders>
          </w:tcPr>
          <w:p>
            <w:pPr>
              <w:pStyle w:val="TableText"/>
              <w:ind w:left="347" w:right="347" w:firstLine="217"/>
              <w:spacing w:before="67" w:line="258" w:lineRule="auto"/>
              <w:rPr/>
            </w:pPr>
            <w:r>
              <w:rPr>
                <w:spacing w:val="6"/>
              </w:rPr>
              <w:t>粉矿仓</w:t>
            </w:r>
            <w:r>
              <w:rPr>
                <w:spacing w:val="7"/>
              </w:rPr>
              <w:t>（有组织）</w:t>
            </w:r>
          </w:p>
        </w:tc>
        <w:tc>
          <w:tcPr>
            <w:tcW w:w="1312" w:type="dxa"/>
            <w:vAlign w:val="top"/>
          </w:tcPr>
          <w:p>
            <w:pPr>
              <w:ind w:left="437"/>
              <w:spacing w:before="102"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312" w:type="dxa"/>
            <w:vAlign w:val="top"/>
          </w:tcPr>
          <w:p>
            <w:pPr>
              <w:ind w:left="498"/>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w:t>
            </w:r>
          </w:p>
        </w:tc>
        <w:tc>
          <w:tcPr>
            <w:tcW w:w="1438" w:type="dxa"/>
            <w:vAlign w:val="top"/>
          </w:tcPr>
          <w:p>
            <w:pPr>
              <w:ind w:left="591"/>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036" w:type="dxa"/>
            <w:vAlign w:val="top"/>
          </w:tcPr>
          <w:p>
            <w:pPr>
              <w:ind w:left="33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680" w:type="dxa"/>
            <w:vAlign w:val="top"/>
            <w:tcBorders>
              <w:right w:val="nil"/>
            </w:tcBorders>
          </w:tcPr>
          <w:p>
            <w:pPr>
              <w:ind w:left="74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64" w:line="223" w:lineRule="auto"/>
              <w:rPr/>
            </w:pPr>
            <w:r>
              <w:rPr>
                <w:spacing w:val="3"/>
              </w:rPr>
              <w:t>氟化物</w:t>
            </w:r>
          </w:p>
        </w:tc>
        <w:tc>
          <w:tcPr>
            <w:tcW w:w="1312" w:type="dxa"/>
            <w:vAlign w:val="top"/>
          </w:tcPr>
          <w:p>
            <w:pPr>
              <w:ind w:left="551"/>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3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w:t>
            </w:r>
          </w:p>
        </w:tc>
        <w:tc>
          <w:tcPr>
            <w:tcW w:w="1036" w:type="dxa"/>
            <w:vAlign w:val="top"/>
          </w:tcPr>
          <w:p>
            <w:pPr>
              <w:ind w:left="33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0.34</w:t>
            </w:r>
          </w:p>
        </w:tc>
        <w:tc>
          <w:tcPr>
            <w:tcW w:w="1680" w:type="dxa"/>
            <w:vAlign w:val="top"/>
            <w:tcBorders>
              <w:right w:val="nil"/>
            </w:tcBorders>
          </w:tcPr>
          <w:p>
            <w:pPr>
              <w:ind w:left="74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trPr>
          <w:trHeight w:val="316" w:hRule="atLeast"/>
        </w:trPr>
        <w:tc>
          <w:tcPr>
            <w:tcW w:w="1738" w:type="dxa"/>
            <w:vAlign w:val="top"/>
            <w:tcBorders>
              <w:left w:val="nil"/>
            </w:tcBorders>
          </w:tcPr>
          <w:p>
            <w:pPr>
              <w:pStyle w:val="TableText"/>
              <w:ind w:left="462"/>
              <w:spacing w:before="65" w:line="222" w:lineRule="auto"/>
              <w:rPr/>
            </w:pPr>
            <w:r>
              <w:rPr>
                <w:spacing w:val="5"/>
              </w:rPr>
              <w:t>原矿堆场</w:t>
            </w:r>
          </w:p>
        </w:tc>
        <w:tc>
          <w:tcPr>
            <w:tcW w:w="1312" w:type="dxa"/>
            <w:vAlign w:val="top"/>
          </w:tcPr>
          <w:p>
            <w:pPr>
              <w:ind w:left="478"/>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49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86.78</w:t>
            </w:r>
          </w:p>
        </w:tc>
        <w:tc>
          <w:tcPr>
            <w:tcW w:w="1036" w:type="dxa"/>
            <w:vAlign w:val="top"/>
          </w:tcPr>
          <w:p>
            <w:pPr>
              <w:ind w:left="340"/>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9.64</w:t>
            </w:r>
          </w:p>
        </w:tc>
        <w:tc>
          <w:tcPr>
            <w:tcW w:w="1680" w:type="dxa"/>
            <w:vAlign w:val="top"/>
            <w:tcBorders>
              <w:right w:val="nil"/>
            </w:tcBorders>
          </w:tcPr>
          <w:p>
            <w:pPr>
              <w:ind w:left="73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r>
      <w:tr>
        <w:trPr>
          <w:trHeight w:val="316" w:hRule="atLeast"/>
        </w:trPr>
        <w:tc>
          <w:tcPr>
            <w:tcW w:w="1738" w:type="dxa"/>
            <w:vAlign w:val="top"/>
            <w:tcBorders>
              <w:left w:val="nil"/>
            </w:tcBorders>
          </w:tcPr>
          <w:p>
            <w:pPr>
              <w:pStyle w:val="TableText"/>
              <w:ind w:left="455"/>
              <w:spacing w:before="65" w:line="222" w:lineRule="auto"/>
              <w:rPr/>
            </w:pPr>
            <w:r>
              <w:rPr>
                <w:spacing w:val="7"/>
              </w:rPr>
              <w:t>表土堆场</w:t>
            </w:r>
          </w:p>
        </w:tc>
        <w:tc>
          <w:tcPr>
            <w:tcW w:w="1312" w:type="dxa"/>
            <w:vAlign w:val="top"/>
          </w:tcPr>
          <w:p>
            <w:pPr>
              <w:ind w:left="47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60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w:t>
            </w:r>
          </w:p>
        </w:tc>
        <w:tc>
          <w:tcPr>
            <w:tcW w:w="1036" w:type="dxa"/>
            <w:vAlign w:val="top"/>
          </w:tcPr>
          <w:p>
            <w:pPr>
              <w:ind w:left="33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680" w:type="dxa"/>
            <w:vAlign w:val="top"/>
            <w:tcBorders>
              <w:right w:val="nil"/>
            </w:tcBorders>
          </w:tcPr>
          <w:p>
            <w:pPr>
              <w:ind w:left="74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trPr>
          <w:trHeight w:val="316" w:hRule="atLeast"/>
        </w:trPr>
        <w:tc>
          <w:tcPr>
            <w:tcW w:w="1738" w:type="dxa"/>
            <w:vAlign w:val="top"/>
            <w:tcBorders>
              <w:left w:val="nil"/>
            </w:tcBorders>
          </w:tcPr>
          <w:p>
            <w:pPr>
              <w:pStyle w:val="TableText"/>
              <w:ind w:left="253"/>
              <w:spacing w:before="66" w:line="221" w:lineRule="auto"/>
              <w:rPr/>
            </w:pPr>
            <w:r>
              <w:rPr>
                <w:spacing w:val="7"/>
              </w:rPr>
              <w:t>尾矿临时堆场</w:t>
            </w:r>
          </w:p>
        </w:tc>
        <w:tc>
          <w:tcPr>
            <w:tcW w:w="1312" w:type="dxa"/>
            <w:vAlign w:val="top"/>
          </w:tcPr>
          <w:p>
            <w:pPr>
              <w:ind w:left="47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48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46.59</w:t>
            </w:r>
          </w:p>
        </w:tc>
        <w:tc>
          <w:tcPr>
            <w:tcW w:w="1036" w:type="dxa"/>
            <w:vAlign w:val="top"/>
          </w:tcPr>
          <w:p>
            <w:pPr>
              <w:ind w:left="34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5.18</w:t>
            </w:r>
          </w:p>
        </w:tc>
        <w:tc>
          <w:tcPr>
            <w:tcW w:w="1680" w:type="dxa"/>
            <w:vAlign w:val="top"/>
            <w:tcBorders>
              <w:right w:val="nil"/>
            </w:tcBorders>
          </w:tcPr>
          <w:p>
            <w:pPr>
              <w:ind w:left="73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w:t>
            </w:r>
          </w:p>
        </w:tc>
      </w:tr>
      <w:tr>
        <w:trPr>
          <w:trHeight w:val="316" w:hRule="atLeast"/>
        </w:trPr>
        <w:tc>
          <w:tcPr>
            <w:tcW w:w="1738" w:type="dxa"/>
            <w:vAlign w:val="top"/>
            <w:tcBorders>
              <w:left w:val="nil"/>
            </w:tcBorders>
          </w:tcPr>
          <w:p>
            <w:pPr>
              <w:pStyle w:val="TableText"/>
              <w:ind w:left="567"/>
              <w:spacing w:before="66" w:line="221" w:lineRule="auto"/>
              <w:rPr/>
            </w:pPr>
            <w:r>
              <w:rPr>
                <w:spacing w:val="5"/>
              </w:rPr>
              <w:t>成品库</w:t>
            </w:r>
          </w:p>
        </w:tc>
        <w:tc>
          <w:tcPr>
            <w:tcW w:w="1312" w:type="dxa"/>
            <w:vAlign w:val="top"/>
          </w:tcPr>
          <w:p>
            <w:pPr>
              <w:ind w:left="47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48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35.36</w:t>
            </w:r>
          </w:p>
        </w:tc>
        <w:tc>
          <w:tcPr>
            <w:tcW w:w="1036" w:type="dxa"/>
            <w:vAlign w:val="top"/>
          </w:tcPr>
          <w:p>
            <w:pPr>
              <w:ind w:left="34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3.93</w:t>
            </w:r>
          </w:p>
        </w:tc>
        <w:tc>
          <w:tcPr>
            <w:tcW w:w="1680" w:type="dxa"/>
            <w:vAlign w:val="top"/>
            <w:tcBorders>
              <w:right w:val="nil"/>
            </w:tcBorders>
          </w:tcPr>
          <w:p>
            <w:pPr>
              <w:ind w:left="74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r>
      <w:tr>
        <w:trPr>
          <w:trHeight w:val="316" w:hRule="atLeast"/>
        </w:trPr>
        <w:tc>
          <w:tcPr>
            <w:tcW w:w="1738" w:type="dxa"/>
            <w:vAlign w:val="top"/>
            <w:vMerge w:val="restart"/>
            <w:tcBorders>
              <w:left w:val="nil"/>
              <w:bottom w:val="nil"/>
            </w:tcBorders>
          </w:tcPr>
          <w:p>
            <w:pPr>
              <w:pStyle w:val="TableText"/>
              <w:ind w:left="350"/>
              <w:spacing w:before="74" w:line="223" w:lineRule="auto"/>
              <w:rPr/>
            </w:pPr>
            <w:r>
              <w:rPr>
                <w:spacing w:val="8"/>
              </w:rPr>
              <w:t>粗破碎车间</w:t>
            </w:r>
          </w:p>
          <w:p>
            <w:pPr>
              <w:pStyle w:val="TableText"/>
              <w:ind w:left="347"/>
              <w:spacing w:before="70" w:line="222" w:lineRule="auto"/>
              <w:rPr/>
            </w:pPr>
            <w:r>
              <w:rPr>
                <w:spacing w:val="12"/>
              </w:rPr>
              <w:t>（无组织）</w:t>
            </w:r>
          </w:p>
        </w:tc>
        <w:tc>
          <w:tcPr>
            <w:tcW w:w="1312" w:type="dxa"/>
            <w:vAlign w:val="top"/>
          </w:tcPr>
          <w:p>
            <w:pPr>
              <w:ind w:left="47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48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76.87</w:t>
            </w:r>
          </w:p>
        </w:tc>
        <w:tc>
          <w:tcPr>
            <w:tcW w:w="1036" w:type="dxa"/>
            <w:vAlign w:val="top"/>
          </w:tcPr>
          <w:p>
            <w:pPr>
              <w:ind w:left="34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8.54</w:t>
            </w:r>
          </w:p>
        </w:tc>
        <w:tc>
          <w:tcPr>
            <w:tcW w:w="1680" w:type="dxa"/>
            <w:vAlign w:val="top"/>
            <w:tcBorders>
              <w:right w:val="nil"/>
            </w:tcBorders>
          </w:tcPr>
          <w:p>
            <w:pPr>
              <w:ind w:left="73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70" w:line="217" w:lineRule="auto"/>
              <w:rPr/>
            </w:pPr>
            <w:r>
              <w:rPr>
                <w:spacing w:val="3"/>
              </w:rPr>
              <w:t>氟化物</w:t>
            </w:r>
          </w:p>
        </w:tc>
        <w:tc>
          <w:tcPr>
            <w:tcW w:w="1312" w:type="dxa"/>
            <w:vAlign w:val="top"/>
          </w:tcPr>
          <w:p>
            <w:pPr>
              <w:ind w:left="55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5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tcW w:w="1036" w:type="dxa"/>
            <w:vAlign w:val="top"/>
          </w:tcPr>
          <w:p>
            <w:pPr>
              <w:ind w:left="34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680" w:type="dxa"/>
            <w:vAlign w:val="top"/>
            <w:tcBorders>
              <w:right w:val="nil"/>
            </w:tcBorders>
          </w:tcPr>
          <w:p>
            <w:pPr>
              <w:ind w:left="73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r>
      <w:tr>
        <w:trPr>
          <w:trHeight w:val="316" w:hRule="atLeast"/>
        </w:trPr>
        <w:tc>
          <w:tcPr>
            <w:tcW w:w="1738" w:type="dxa"/>
            <w:vAlign w:val="top"/>
            <w:vMerge w:val="restart"/>
            <w:tcBorders>
              <w:left w:val="nil"/>
              <w:bottom w:val="nil"/>
            </w:tcBorders>
          </w:tcPr>
          <w:p>
            <w:pPr>
              <w:pStyle w:val="TableText"/>
              <w:ind w:left="357"/>
              <w:spacing w:before="75" w:line="223" w:lineRule="auto"/>
              <w:rPr/>
            </w:pPr>
            <w:r>
              <w:rPr>
                <w:spacing w:val="6"/>
              </w:rPr>
              <w:t>细破碎车间</w:t>
            </w:r>
          </w:p>
          <w:p>
            <w:pPr>
              <w:pStyle w:val="TableText"/>
              <w:ind w:left="347"/>
              <w:spacing w:before="70" w:line="221" w:lineRule="auto"/>
              <w:rPr/>
            </w:pPr>
            <w:r>
              <w:rPr>
                <w:spacing w:val="12"/>
              </w:rPr>
              <w:t>（无组织）</w:t>
            </w:r>
          </w:p>
        </w:tc>
        <w:tc>
          <w:tcPr>
            <w:tcW w:w="1312" w:type="dxa"/>
            <w:vAlign w:val="top"/>
          </w:tcPr>
          <w:p>
            <w:pPr>
              <w:ind w:left="47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54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82.7</w:t>
            </w:r>
          </w:p>
        </w:tc>
        <w:tc>
          <w:tcPr>
            <w:tcW w:w="1036" w:type="dxa"/>
            <w:vAlign w:val="top"/>
          </w:tcPr>
          <w:p>
            <w:pPr>
              <w:ind w:left="340"/>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9.19</w:t>
            </w:r>
          </w:p>
        </w:tc>
        <w:tc>
          <w:tcPr>
            <w:tcW w:w="1680" w:type="dxa"/>
            <w:vAlign w:val="top"/>
            <w:tcBorders>
              <w:right w:val="nil"/>
            </w:tcBorders>
          </w:tcPr>
          <w:p>
            <w:pPr>
              <w:ind w:left="73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71" w:line="216" w:lineRule="auto"/>
              <w:rPr/>
            </w:pPr>
            <w:r>
              <w:rPr>
                <w:spacing w:val="3"/>
              </w:rPr>
              <w:t>氟化物</w:t>
            </w:r>
          </w:p>
        </w:tc>
        <w:tc>
          <w:tcPr>
            <w:tcW w:w="1312" w:type="dxa"/>
            <w:vAlign w:val="top"/>
          </w:tcPr>
          <w:p>
            <w:pPr>
              <w:ind w:left="551"/>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5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1.97</w:t>
            </w:r>
          </w:p>
        </w:tc>
        <w:tc>
          <w:tcPr>
            <w:tcW w:w="1036" w:type="dxa"/>
            <w:vAlign w:val="top"/>
          </w:tcPr>
          <w:p>
            <w:pPr>
              <w:ind w:left="340"/>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9.84</w:t>
            </w:r>
          </w:p>
        </w:tc>
        <w:tc>
          <w:tcPr>
            <w:tcW w:w="1680" w:type="dxa"/>
            <w:vAlign w:val="top"/>
            <w:tcBorders>
              <w:right w:val="nil"/>
            </w:tcBorders>
          </w:tcPr>
          <w:p>
            <w:pPr>
              <w:ind w:left="73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316" w:hRule="atLeast"/>
        </w:trPr>
        <w:tc>
          <w:tcPr>
            <w:tcW w:w="1738" w:type="dxa"/>
            <w:vAlign w:val="top"/>
            <w:vMerge w:val="restart"/>
            <w:tcBorders>
              <w:left w:val="nil"/>
              <w:bottom w:val="nil"/>
            </w:tcBorders>
          </w:tcPr>
          <w:p>
            <w:pPr>
              <w:pStyle w:val="TableText"/>
              <w:ind w:left="347" w:right="347" w:firstLine="116"/>
              <w:spacing w:before="76" w:line="254" w:lineRule="auto"/>
              <w:rPr/>
            </w:pPr>
            <w:r>
              <w:rPr>
                <w:spacing w:val="5"/>
              </w:rPr>
              <w:t>筛分车间</w:t>
            </w:r>
            <w:r>
              <w:rPr>
                <w:spacing w:val="7"/>
              </w:rPr>
              <w:t>（无组织）</w:t>
            </w:r>
          </w:p>
        </w:tc>
        <w:tc>
          <w:tcPr>
            <w:tcW w:w="1312" w:type="dxa"/>
            <w:vAlign w:val="top"/>
          </w:tcPr>
          <w:p>
            <w:pPr>
              <w:ind w:left="47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48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76.87</w:t>
            </w:r>
          </w:p>
        </w:tc>
        <w:tc>
          <w:tcPr>
            <w:tcW w:w="1036" w:type="dxa"/>
            <w:vAlign w:val="top"/>
          </w:tcPr>
          <w:p>
            <w:pPr>
              <w:ind w:left="35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1.54</w:t>
            </w:r>
          </w:p>
        </w:tc>
        <w:tc>
          <w:tcPr>
            <w:tcW w:w="1680" w:type="dxa"/>
            <w:vAlign w:val="top"/>
            <w:tcBorders>
              <w:right w:val="nil"/>
            </w:tcBorders>
          </w:tcPr>
          <w:p>
            <w:pPr>
              <w:ind w:left="73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316" w:hRule="atLeast"/>
        </w:trPr>
        <w:tc>
          <w:tcPr>
            <w:tcW w:w="1738" w:type="dxa"/>
            <w:vAlign w:val="top"/>
            <w:vMerge w:val="continue"/>
            <w:tcBorders>
              <w:left w:val="nil"/>
              <w:top w:val="nil"/>
            </w:tcBorders>
          </w:tcPr>
          <w:p>
            <w:pPr>
              <w:rPr>
                <w:rFonts w:ascii="Arial"/>
                <w:sz w:val="21"/>
              </w:rPr>
            </w:pPr>
            <w:r/>
          </w:p>
        </w:tc>
        <w:tc>
          <w:tcPr>
            <w:tcW w:w="1312" w:type="dxa"/>
            <w:vAlign w:val="top"/>
          </w:tcPr>
          <w:p>
            <w:pPr>
              <w:pStyle w:val="TableText"/>
              <w:ind w:left="357"/>
              <w:spacing w:before="73" w:line="215" w:lineRule="auto"/>
              <w:rPr/>
            </w:pPr>
            <w:r>
              <w:rPr>
                <w:spacing w:val="3"/>
              </w:rPr>
              <w:t>氟化物</w:t>
            </w:r>
          </w:p>
        </w:tc>
        <w:tc>
          <w:tcPr>
            <w:tcW w:w="1312" w:type="dxa"/>
            <w:vAlign w:val="top"/>
          </w:tcPr>
          <w:p>
            <w:pPr>
              <w:ind w:left="551"/>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Pr>
          <w:p>
            <w:pPr>
              <w:ind w:left="555"/>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tcW w:w="1036" w:type="dxa"/>
            <w:vAlign w:val="top"/>
          </w:tcPr>
          <w:p>
            <w:pPr>
              <w:ind w:left="340"/>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1680" w:type="dxa"/>
            <w:vAlign w:val="top"/>
            <w:tcBorders>
              <w:right w:val="nil"/>
            </w:tcBorders>
          </w:tcPr>
          <w:p>
            <w:pPr>
              <w:ind w:left="73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316" w:hRule="atLeast"/>
        </w:trPr>
        <w:tc>
          <w:tcPr>
            <w:tcW w:w="1738" w:type="dxa"/>
            <w:vAlign w:val="top"/>
            <w:vMerge w:val="restart"/>
            <w:tcBorders>
              <w:left w:val="nil"/>
              <w:bottom w:val="nil"/>
            </w:tcBorders>
          </w:tcPr>
          <w:p>
            <w:pPr>
              <w:pStyle w:val="TableText"/>
              <w:ind w:left="347" w:right="347" w:firstLine="217"/>
              <w:spacing w:before="80" w:line="263" w:lineRule="auto"/>
              <w:rPr/>
            </w:pPr>
            <w:r>
              <w:rPr>
                <w:spacing w:val="6"/>
              </w:rPr>
              <w:t>粉矿仓</w:t>
            </w:r>
            <w:r>
              <w:rPr>
                <w:spacing w:val="7"/>
              </w:rPr>
              <w:t>（无组织）</w:t>
            </w:r>
          </w:p>
        </w:tc>
        <w:tc>
          <w:tcPr>
            <w:tcW w:w="1312" w:type="dxa"/>
            <w:vAlign w:val="top"/>
          </w:tcPr>
          <w:p>
            <w:pPr>
              <w:ind w:left="478"/>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312" w:type="dxa"/>
            <w:vAlign w:val="top"/>
          </w:tcPr>
          <w:p>
            <w:pPr>
              <w:ind w:left="50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438" w:type="dxa"/>
            <w:vAlign w:val="top"/>
          </w:tcPr>
          <w:p>
            <w:pPr>
              <w:ind w:left="505"/>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13.86</w:t>
            </w:r>
          </w:p>
        </w:tc>
        <w:tc>
          <w:tcPr>
            <w:tcW w:w="1036" w:type="dxa"/>
            <w:vAlign w:val="top"/>
          </w:tcPr>
          <w:p>
            <w:pPr>
              <w:ind w:left="340"/>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9.64</w:t>
            </w:r>
          </w:p>
        </w:tc>
        <w:tc>
          <w:tcPr>
            <w:tcW w:w="1680" w:type="dxa"/>
            <w:vAlign w:val="top"/>
            <w:tcBorders>
              <w:right w:val="nil"/>
            </w:tcBorders>
          </w:tcPr>
          <w:p>
            <w:pPr>
              <w:ind w:left="757"/>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r>
      <w:tr>
        <w:trPr>
          <w:trHeight w:val="339" w:hRule="atLeast"/>
        </w:trPr>
        <w:tc>
          <w:tcPr>
            <w:tcW w:w="1738" w:type="dxa"/>
            <w:vAlign w:val="top"/>
            <w:vMerge w:val="continue"/>
            <w:tcBorders>
              <w:left w:val="nil"/>
              <w:bottom w:val="single" w:color="000000" w:sz="10" w:space="0"/>
              <w:top w:val="nil"/>
            </w:tcBorders>
          </w:tcPr>
          <w:p>
            <w:pPr>
              <w:rPr>
                <w:rFonts w:ascii="Arial"/>
                <w:sz w:val="21"/>
              </w:rPr>
            </w:pPr>
            <w:r/>
          </w:p>
        </w:tc>
        <w:tc>
          <w:tcPr>
            <w:tcW w:w="1312" w:type="dxa"/>
            <w:vAlign w:val="top"/>
            <w:tcBorders>
              <w:bottom w:val="single" w:color="000000" w:sz="10" w:space="0"/>
            </w:tcBorders>
          </w:tcPr>
          <w:p>
            <w:pPr>
              <w:pStyle w:val="TableText"/>
              <w:ind w:left="357"/>
              <w:spacing w:before="76" w:line="224" w:lineRule="auto"/>
              <w:rPr/>
            </w:pPr>
            <w:r>
              <w:rPr>
                <w:spacing w:val="3"/>
              </w:rPr>
              <w:t>氟化物</w:t>
            </w:r>
          </w:p>
        </w:tc>
        <w:tc>
          <w:tcPr>
            <w:tcW w:w="1312" w:type="dxa"/>
            <w:vAlign w:val="top"/>
            <w:tcBorders>
              <w:bottom w:val="single" w:color="000000" w:sz="10" w:space="0"/>
            </w:tcBorders>
          </w:tcPr>
          <w:p>
            <w:pPr>
              <w:ind w:left="551"/>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38" w:type="dxa"/>
            <w:vAlign w:val="top"/>
            <w:tcBorders>
              <w:bottom w:val="single" w:color="000000" w:sz="10" w:space="0"/>
            </w:tcBorders>
          </w:tcPr>
          <w:p>
            <w:pPr>
              <w:ind w:left="591"/>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w:t>
            </w:r>
          </w:p>
        </w:tc>
        <w:tc>
          <w:tcPr>
            <w:tcW w:w="1036" w:type="dxa"/>
            <w:vAlign w:val="top"/>
            <w:tcBorders>
              <w:bottom w:val="single" w:color="000000" w:sz="10" w:space="0"/>
            </w:tcBorders>
          </w:tcPr>
          <w:p>
            <w:pPr>
              <w:ind w:left="335"/>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4.51</w:t>
            </w:r>
          </w:p>
        </w:tc>
        <w:tc>
          <w:tcPr>
            <w:tcW w:w="1680" w:type="dxa"/>
            <w:vAlign w:val="top"/>
            <w:tcBorders>
              <w:right w:val="nil"/>
              <w:bottom w:val="single" w:color="000000" w:sz="10" w:space="0"/>
            </w:tcBorders>
          </w:tcPr>
          <w:p>
            <w:pPr>
              <w:ind w:left="757"/>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r>
    </w:tbl>
    <w:p>
      <w:pPr>
        <w:pStyle w:val="BodyText"/>
        <w:spacing w:line="249" w:lineRule="auto"/>
        <w:rPr/>
      </w:pPr>
      <w:r/>
    </w:p>
    <w:p>
      <w:pPr>
        <w:pStyle w:val="BodyText"/>
        <w:spacing w:line="250" w:lineRule="auto"/>
        <w:rPr/>
      </w:pPr>
      <w:r/>
    </w:p>
    <w:p>
      <w:pPr>
        <w:ind w:left="124" w:right="102" w:firstLine="480"/>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本项目无组织粉尘颗粒物下风向最大浓度为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3"/>
        </w:rPr>
        <w:t>86.78μg/m</w:t>
      </w:r>
      <w:r>
        <w:rPr>
          <w:rFonts w:ascii="Times New Roman" w:hAnsi="Times New Roman" w:eastAsia="Times New Roman" w:cs="Times New Roman"/>
          <w:sz w:val="15"/>
          <w:szCs w:val="15"/>
          <w:spacing w:val="-3"/>
          <w:position w:val="8"/>
        </w:rPr>
        <w:t>3</w:t>
      </w:r>
      <w:r>
        <w:rPr>
          <w:rFonts w:ascii="FangSong" w:hAnsi="FangSong" w:eastAsia="FangSong" w:cs="FangSong"/>
          <w:sz w:val="24"/>
          <w:szCs w:val="24"/>
          <w:spacing w:val="-3"/>
        </w:rPr>
        <w:t>，为原矿堆场产生的</w:t>
      </w:r>
      <w:r>
        <w:rPr>
          <w:rFonts w:ascii="FangSong" w:hAnsi="FangSong" w:eastAsia="FangSong" w:cs="FangSong"/>
          <w:sz w:val="24"/>
          <w:szCs w:val="24"/>
          <w:spacing w:val="1"/>
        </w:rPr>
        <w:t>无组织粉尘，其最大落地浓度出现在下风向</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41</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处；最大浓度占标率</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9.59%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w:t>
      </w:r>
      <w:r>
        <w:rPr>
          <w:rFonts w:ascii="FangSong" w:hAnsi="FangSong" w:eastAsia="FangSong" w:cs="FangSong"/>
          <w:sz w:val="24"/>
          <w:szCs w:val="24"/>
          <w:spacing w:val="1"/>
        </w:rPr>
        <w:t>为细破碎车间产生的无组织粉尘，其最大浓度占标率出现在下风向</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25m</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rPr>
        <w:t>处；本</w:t>
      </w:r>
      <w:r>
        <w:rPr>
          <w:rFonts w:ascii="FangSong" w:hAnsi="FangSong" w:eastAsia="FangSong" w:cs="FangSong"/>
          <w:sz w:val="24"/>
          <w:szCs w:val="24"/>
          <w:spacing w:val="-1"/>
        </w:rPr>
        <w:t>项目有组织颗粒物下风向最大浓度为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1.25μg/m</w:t>
      </w:r>
      <w:r>
        <w:rPr>
          <w:rFonts w:ascii="Times New Roman" w:hAnsi="Times New Roman" w:eastAsia="Times New Roman" w:cs="Times New Roman"/>
          <w:sz w:val="15"/>
          <w:szCs w:val="15"/>
          <w:spacing w:val="-1"/>
          <w:position w:val="8"/>
        </w:rPr>
        <w:t>3 </w:t>
      </w:r>
      <w:r>
        <w:rPr>
          <w:rFonts w:ascii="FangSong" w:hAnsi="FangSong" w:eastAsia="FangSong" w:cs="FangSong"/>
          <w:sz w:val="24"/>
          <w:szCs w:val="24"/>
          <w:spacing w:val="-1"/>
        </w:rPr>
        <w:t>，最大浓度占标率</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0.28%</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，有组</w:t>
      </w:r>
      <w:r>
        <w:rPr>
          <w:rFonts w:ascii="FangSong" w:hAnsi="FangSong" w:eastAsia="FangSong" w:cs="FangSong"/>
          <w:sz w:val="24"/>
          <w:szCs w:val="24"/>
        </w:rPr>
        <w:t>织氟化物下风向最大浓度为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0.85μg/</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8"/>
        </w:rPr>
        <w:t>3 </w:t>
      </w:r>
      <w:r>
        <w:rPr>
          <w:rFonts w:ascii="FangSong" w:hAnsi="FangSong" w:eastAsia="FangSong" w:cs="FangSong"/>
          <w:sz w:val="24"/>
          <w:szCs w:val="24"/>
          <w:spacing w:val="-1"/>
        </w:rPr>
        <w:t>，最大浓度占标率</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4.26%</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，均为粗破碎车</w:t>
      </w:r>
      <w:r>
        <w:rPr>
          <w:rFonts w:ascii="FangSong" w:hAnsi="FangSong" w:eastAsia="FangSong" w:cs="FangSong"/>
          <w:sz w:val="24"/>
          <w:szCs w:val="24"/>
          <w:spacing w:val="1"/>
        </w:rPr>
        <w:t>间产生的有组织废气，其最大落地浓度出现在下风向</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71m</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
        </w:rPr>
        <w:t>处。距离</w:t>
      </w:r>
      <w:r>
        <w:rPr>
          <w:rFonts w:ascii="FangSong" w:hAnsi="FangSong" w:eastAsia="FangSong" w:cs="FangSong"/>
          <w:sz w:val="24"/>
          <w:szCs w:val="24"/>
        </w:rPr>
        <w:t>本项目最近</w:t>
      </w:r>
      <w:r>
        <w:rPr>
          <w:rFonts w:ascii="FangSong" w:hAnsi="FangSong" w:eastAsia="FangSong" w:cs="FangSong"/>
          <w:sz w:val="24"/>
          <w:szCs w:val="24"/>
        </w:rPr>
        <w:t>牧民西南侧在</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rPr>
        <w:t>1600m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外，不在本项目大气污染物排放的最大落地浓度处，故本</w:t>
      </w:r>
      <w:r>
        <w:rPr>
          <w:rFonts w:ascii="FangSong" w:hAnsi="FangSong" w:eastAsia="FangSong" w:cs="FangSong"/>
          <w:sz w:val="24"/>
          <w:szCs w:val="24"/>
          <w:spacing w:val="-1"/>
        </w:rPr>
        <w:t>项目产生的粉尘对周围敏感点环境空气污染较小。</w:t>
      </w:r>
    </w:p>
    <w:p>
      <w:pPr>
        <w:ind w:left="116"/>
        <w:spacing w:before="4"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6.2.2.3</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非正常工况</w:t>
      </w:r>
    </w:p>
    <w:p>
      <w:pPr>
        <w:ind w:left="125" w:right="102" w:firstLine="479"/>
        <w:spacing w:before="178" w:line="339" w:lineRule="auto"/>
        <w:jc w:val="both"/>
        <w:rPr>
          <w:rFonts w:ascii="FangSong" w:hAnsi="FangSong" w:eastAsia="FangSong" w:cs="FangSong"/>
          <w:sz w:val="24"/>
          <w:szCs w:val="24"/>
        </w:rPr>
      </w:pPr>
      <w:r>
        <w:rPr>
          <w:rFonts w:ascii="FangSong" w:hAnsi="FangSong" w:eastAsia="FangSong" w:cs="FangSong"/>
          <w:sz w:val="24"/>
          <w:szCs w:val="24"/>
          <w:spacing w:val="-3"/>
        </w:rPr>
        <w:t>本项目非正常排放工况主要为布袋除尘器或油</w:t>
      </w:r>
      <w:r>
        <w:rPr>
          <w:rFonts w:ascii="FangSong" w:hAnsi="FangSong" w:eastAsia="FangSong" w:cs="FangSong"/>
          <w:sz w:val="24"/>
          <w:szCs w:val="24"/>
          <w:spacing w:val="-4"/>
        </w:rPr>
        <w:t>烟净化装置发生故障，从而造</w:t>
      </w:r>
      <w:r>
        <w:rPr>
          <w:rFonts w:ascii="FangSong" w:hAnsi="FangSong" w:eastAsia="FangSong" w:cs="FangSong"/>
          <w:sz w:val="24"/>
          <w:szCs w:val="24"/>
          <w:spacing w:val="-3"/>
        </w:rPr>
        <w:t>成废气的非正常工况排放。具体导致非正常工况情况如下：如</w:t>
      </w:r>
      <w:r>
        <w:rPr>
          <w:rFonts w:ascii="FangSong" w:hAnsi="FangSong" w:eastAsia="FangSong" w:cs="FangSong"/>
          <w:sz w:val="24"/>
          <w:szCs w:val="24"/>
          <w:spacing w:val="-4"/>
        </w:rPr>
        <w:t>布袋除尘器或油烟</w:t>
      </w:r>
      <w:r>
        <w:rPr>
          <w:rFonts w:ascii="FangSong" w:hAnsi="FangSong" w:eastAsia="FangSong" w:cs="FangSong"/>
          <w:sz w:val="24"/>
          <w:szCs w:val="24"/>
          <w:spacing w:val="-4"/>
        </w:rPr>
        <w:t>净化装置发生故障，导致废气治理设施不能正常运行此时去除效率按</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0</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计算。布</w:t>
      </w:r>
    </w:p>
    <w:p>
      <w:pPr>
        <w:spacing w:line="339" w:lineRule="auto"/>
        <w:sectPr>
          <w:footerReference w:type="default" r:id="rId289"/>
          <w:pgSz w:w="11906" w:h="16839"/>
          <w:pgMar w:top="400" w:right="1697" w:bottom="1358" w:left="1691" w:header="0" w:footer="1195" w:gutter="0"/>
        </w:sectPr>
        <w:rPr>
          <w:rFonts w:ascii="FangSong" w:hAnsi="FangSong" w:eastAsia="FangSong" w:cs="FangSong"/>
          <w:sz w:val="24"/>
          <w:szCs w:val="24"/>
        </w:rPr>
      </w:pPr>
    </w:p>
    <w:p>
      <w:pPr>
        <w:pStyle w:val="BodyText"/>
        <w:spacing w:line="332" w:lineRule="auto"/>
        <w:rPr/>
      </w:pPr>
      <w:r/>
    </w:p>
    <w:p>
      <w:pPr>
        <w:ind w:left="123" w:right="107" w:firstLine="6"/>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袋除尘器或油烟净化装置发生故障状况年出现次数较</w:t>
      </w:r>
      <w:r>
        <w:rPr>
          <w:rFonts w:ascii="FangSong" w:hAnsi="FangSong" w:eastAsia="FangSong" w:cs="FangSong"/>
          <w:sz w:val="24"/>
          <w:szCs w:val="24"/>
          <w:spacing w:val="-4"/>
        </w:rPr>
        <w:t>少，本项目以一年出现一次</w:t>
      </w:r>
      <w:r>
        <w:rPr>
          <w:rFonts w:ascii="FangSong" w:hAnsi="FangSong" w:eastAsia="FangSong" w:cs="FangSong"/>
          <w:sz w:val="24"/>
          <w:szCs w:val="24"/>
          <w:spacing w:val="4"/>
        </w:rPr>
        <w:t>核算，每次发生</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4"/>
        </w:rPr>
        <w:t>小时之内进行维修完成，故本项目年非正常状况时间约为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2</w:t>
      </w:r>
      <w:r>
        <w:rPr>
          <w:rFonts w:ascii="FangSong" w:hAnsi="FangSong" w:eastAsia="FangSong" w:cs="FangSong"/>
          <w:sz w:val="24"/>
          <w:szCs w:val="24"/>
          <w:spacing w:val="-1"/>
        </w:rPr>
        <w:t>小时。根据源强核算，非正常工况下排放源强见表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6.2-4</w:t>
      </w:r>
      <w:r>
        <w:rPr>
          <w:rFonts w:ascii="FangSong" w:hAnsi="FangSong" w:eastAsia="FangSong" w:cs="FangSong"/>
          <w:sz w:val="24"/>
          <w:szCs w:val="24"/>
          <w:spacing w:val="-1"/>
        </w:rPr>
        <w:t>。</w:t>
      </w:r>
    </w:p>
    <w:p>
      <w:pPr>
        <w:ind w:left="1889"/>
        <w:spacing w:before="1"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b/>
          <w:bCs/>
          <w:spacing w:val="-3"/>
        </w:rPr>
        <w:t>6.2-4  </w:t>
      </w:r>
      <w:r>
        <w:rPr>
          <w:rFonts w:ascii="FangSong" w:hAnsi="FangSong" w:eastAsia="FangSong" w:cs="FangSong"/>
          <w:sz w:val="24"/>
          <w:szCs w:val="24"/>
          <w:b/>
          <w:bCs/>
          <w:spacing w:val="-3"/>
        </w:rPr>
        <w:t>非正常工况下污染物排放源强一览表</w:t>
      </w:r>
    </w:p>
    <w:p>
      <w:pPr>
        <w:spacing w:line="66"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6"/>
        <w:gridCol w:w="580"/>
        <w:gridCol w:w="1013"/>
        <w:gridCol w:w="571"/>
        <w:gridCol w:w="631"/>
        <w:gridCol w:w="590"/>
        <w:gridCol w:w="935"/>
        <w:gridCol w:w="866"/>
        <w:gridCol w:w="943"/>
        <w:gridCol w:w="1387"/>
      </w:tblGrid>
      <w:tr>
        <w:trPr>
          <w:trHeight w:val="320" w:hRule="atLeast"/>
        </w:trPr>
        <w:tc>
          <w:tcPr>
            <w:tcW w:w="1006" w:type="dxa"/>
            <w:vAlign w:val="top"/>
            <w:vMerge w:val="restart"/>
            <w:tcBorders>
              <w:top w:val="single" w:color="000000" w:sz="10" w:space="0"/>
              <w:left w:val="nil"/>
              <w:bottom w:val="nil"/>
            </w:tcBorders>
          </w:tcPr>
          <w:p>
            <w:pPr>
              <w:spacing w:line="243" w:lineRule="auto"/>
              <w:rPr>
                <w:rFonts w:ascii="Arial"/>
                <w:sz w:val="21"/>
              </w:rPr>
            </w:pPr>
            <w:r/>
          </w:p>
          <w:p>
            <w:pPr>
              <w:spacing w:line="243" w:lineRule="auto"/>
              <w:rPr>
                <w:rFonts w:ascii="Arial"/>
                <w:sz w:val="21"/>
              </w:rPr>
            </w:pPr>
            <w:r/>
          </w:p>
          <w:p>
            <w:pPr>
              <w:pStyle w:val="TableText"/>
              <w:ind w:left="428" w:right="139" w:hanging="271"/>
              <w:spacing w:before="58" w:line="321" w:lineRule="auto"/>
              <w:rPr>
                <w:sz w:val="18"/>
                <w:szCs w:val="18"/>
              </w:rPr>
            </w:pPr>
            <w:r>
              <w:rPr>
                <w:sz w:val="18"/>
                <w:szCs w:val="18"/>
                <w:spacing w:val="-4"/>
              </w:rPr>
              <w:t>产排污环</w:t>
            </w:r>
            <w:r>
              <w:rPr>
                <w:sz w:val="18"/>
                <w:szCs w:val="18"/>
              </w:rPr>
              <w:t>节</w:t>
            </w:r>
          </w:p>
        </w:tc>
        <w:tc>
          <w:tcPr>
            <w:tcW w:w="580" w:type="dxa"/>
            <w:vAlign w:val="top"/>
            <w:vMerge w:val="restart"/>
            <w:tcBorders>
              <w:top w:val="single" w:color="000000" w:sz="10" w:space="0"/>
              <w:bottom w:val="nil"/>
            </w:tcBorders>
          </w:tcPr>
          <w:p>
            <w:pPr>
              <w:spacing w:line="243" w:lineRule="auto"/>
              <w:rPr>
                <w:rFonts w:ascii="Arial"/>
                <w:sz w:val="21"/>
              </w:rPr>
            </w:pPr>
            <w:r/>
          </w:p>
          <w:p>
            <w:pPr>
              <w:spacing w:line="244" w:lineRule="auto"/>
              <w:rPr>
                <w:rFonts w:ascii="Arial"/>
                <w:sz w:val="21"/>
              </w:rPr>
            </w:pPr>
            <w:r/>
          </w:p>
          <w:p>
            <w:pPr>
              <w:pStyle w:val="TableText"/>
              <w:ind w:left="118" w:right="107" w:hanging="1"/>
              <w:spacing w:before="59" w:line="321" w:lineRule="auto"/>
              <w:rPr>
                <w:sz w:val="18"/>
                <w:szCs w:val="18"/>
              </w:rPr>
            </w:pPr>
            <w:r>
              <w:rPr>
                <w:sz w:val="18"/>
                <w:szCs w:val="18"/>
                <w:spacing w:val="-5"/>
              </w:rPr>
              <w:t>排放</w:t>
            </w:r>
            <w:r>
              <w:rPr>
                <w:sz w:val="18"/>
                <w:szCs w:val="18"/>
                <w:spacing w:val="-6"/>
              </w:rPr>
              <w:t>形式</w:t>
            </w:r>
          </w:p>
        </w:tc>
        <w:tc>
          <w:tcPr>
            <w:tcW w:w="1013" w:type="dxa"/>
            <w:vAlign w:val="top"/>
            <w:vMerge w:val="restart"/>
            <w:tcBorders>
              <w:top w:val="single" w:color="000000" w:sz="10" w:space="0"/>
              <w:bottom w:val="nil"/>
            </w:tcBorders>
          </w:tcPr>
          <w:p>
            <w:pPr>
              <w:spacing w:line="243" w:lineRule="auto"/>
              <w:rPr>
                <w:rFonts w:ascii="Arial"/>
                <w:sz w:val="21"/>
              </w:rPr>
            </w:pPr>
            <w:r/>
          </w:p>
          <w:p>
            <w:pPr>
              <w:spacing w:line="244" w:lineRule="auto"/>
              <w:rPr>
                <w:rFonts w:ascii="Arial"/>
                <w:sz w:val="21"/>
              </w:rPr>
            </w:pPr>
            <w:r/>
          </w:p>
          <w:p>
            <w:pPr>
              <w:pStyle w:val="TableText"/>
              <w:ind w:left="426" w:right="143" w:hanging="267"/>
              <w:spacing w:before="58" w:line="322" w:lineRule="auto"/>
              <w:rPr>
                <w:sz w:val="18"/>
                <w:szCs w:val="18"/>
              </w:rPr>
            </w:pPr>
            <w:r>
              <w:rPr>
                <w:sz w:val="18"/>
                <w:szCs w:val="18"/>
                <w:spacing w:val="-4"/>
              </w:rPr>
              <w:t>污染物种</w:t>
            </w:r>
            <w:r>
              <w:rPr>
                <w:sz w:val="18"/>
                <w:szCs w:val="18"/>
              </w:rPr>
              <w:t>类</w:t>
            </w:r>
          </w:p>
        </w:tc>
        <w:tc>
          <w:tcPr>
            <w:tcW w:w="1792" w:type="dxa"/>
            <w:vAlign w:val="top"/>
            <w:gridSpan w:val="3"/>
            <w:tcBorders>
              <w:top w:val="single" w:color="000000" w:sz="10" w:space="0"/>
            </w:tcBorders>
          </w:tcPr>
          <w:p>
            <w:pPr>
              <w:pStyle w:val="TableText"/>
              <w:ind w:left="281"/>
              <w:spacing w:before="71" w:line="222" w:lineRule="auto"/>
              <w:rPr>
                <w:sz w:val="18"/>
                <w:szCs w:val="18"/>
              </w:rPr>
            </w:pPr>
            <w:r>
              <w:rPr>
                <w:sz w:val="18"/>
                <w:szCs w:val="18"/>
                <w:spacing w:val="-3"/>
              </w:rPr>
              <w:t>非正常排放频次</w:t>
            </w:r>
          </w:p>
        </w:tc>
        <w:tc>
          <w:tcPr>
            <w:tcW w:w="2744" w:type="dxa"/>
            <w:vAlign w:val="top"/>
            <w:gridSpan w:val="3"/>
            <w:tcBorders>
              <w:top w:val="single" w:color="000000" w:sz="10" w:space="0"/>
            </w:tcBorders>
          </w:tcPr>
          <w:p>
            <w:pPr>
              <w:pStyle w:val="TableText"/>
              <w:ind w:left="575"/>
              <w:spacing w:before="70" w:line="221" w:lineRule="auto"/>
              <w:rPr>
                <w:sz w:val="18"/>
                <w:szCs w:val="18"/>
              </w:rPr>
            </w:pPr>
            <w:r>
              <w:rPr>
                <w:sz w:val="18"/>
                <w:szCs w:val="18"/>
                <w:spacing w:val="-2"/>
              </w:rPr>
              <w:t>污染物排放量和浓度</w:t>
            </w:r>
          </w:p>
        </w:tc>
        <w:tc>
          <w:tcPr>
            <w:tcW w:w="1387" w:type="dxa"/>
            <w:vAlign w:val="top"/>
            <w:vMerge w:val="restart"/>
            <w:tcBorders>
              <w:top w:val="single" w:color="000000" w:sz="10" w:space="0"/>
              <w:right w:val="nil"/>
              <w:bottom w:val="nil"/>
            </w:tcBorders>
          </w:tcPr>
          <w:p>
            <w:pPr>
              <w:spacing w:line="320" w:lineRule="auto"/>
              <w:rPr>
                <w:rFonts w:ascii="Arial"/>
                <w:sz w:val="21"/>
              </w:rPr>
            </w:pPr>
            <w:r/>
          </w:p>
          <w:p>
            <w:pPr>
              <w:spacing w:line="321" w:lineRule="auto"/>
              <w:rPr>
                <w:rFonts w:ascii="Arial"/>
                <w:sz w:val="21"/>
              </w:rPr>
            </w:pPr>
            <w:r/>
          </w:p>
          <w:p>
            <w:pPr>
              <w:pStyle w:val="TableText"/>
              <w:ind w:left="343"/>
              <w:spacing w:before="59" w:line="222" w:lineRule="auto"/>
              <w:rPr>
                <w:sz w:val="18"/>
                <w:szCs w:val="18"/>
              </w:rPr>
            </w:pPr>
            <w:r>
              <w:rPr>
                <w:sz w:val="18"/>
                <w:szCs w:val="18"/>
                <w:spacing w:val="-4"/>
              </w:rPr>
              <w:t>控制措施</w:t>
            </w:r>
          </w:p>
        </w:tc>
      </w:tr>
      <w:tr>
        <w:trPr>
          <w:trHeight w:val="936" w:hRule="atLeast"/>
        </w:trPr>
        <w:tc>
          <w:tcPr>
            <w:tcW w:w="1006" w:type="dxa"/>
            <w:vAlign w:val="top"/>
            <w:vMerge w:val="continue"/>
            <w:tcBorders>
              <w:top w:val="nil"/>
              <w:left w:val="nil"/>
              <w:bottom w:val="nil"/>
            </w:tcBorders>
          </w:tcPr>
          <w:p>
            <w:pPr>
              <w:rPr>
                <w:rFonts w:ascii="Arial"/>
                <w:sz w:val="21"/>
              </w:rPr>
            </w:pPr>
            <w:r/>
          </w:p>
        </w:tc>
        <w:tc>
          <w:tcPr>
            <w:tcW w:w="580" w:type="dxa"/>
            <w:vAlign w:val="top"/>
            <w:vMerge w:val="continue"/>
            <w:tcBorders>
              <w:top w:val="nil"/>
              <w:bottom w:val="nil"/>
            </w:tcBorders>
          </w:tcPr>
          <w:p>
            <w:pPr>
              <w:rPr>
                <w:rFonts w:ascii="Arial"/>
                <w:sz w:val="21"/>
              </w:rPr>
            </w:pPr>
            <w:r/>
          </w:p>
        </w:tc>
        <w:tc>
          <w:tcPr>
            <w:tcW w:w="1013" w:type="dxa"/>
            <w:vAlign w:val="top"/>
            <w:vMerge w:val="continue"/>
            <w:tcBorders>
              <w:top w:val="nil"/>
              <w:bottom w:val="nil"/>
            </w:tcBorders>
          </w:tcPr>
          <w:p>
            <w:pPr>
              <w:rPr>
                <w:rFonts w:ascii="Arial"/>
                <w:sz w:val="21"/>
              </w:rPr>
            </w:pPr>
            <w:r/>
          </w:p>
        </w:tc>
        <w:tc>
          <w:tcPr>
            <w:tcW w:w="571" w:type="dxa"/>
            <w:vAlign w:val="top"/>
            <w:textDirection w:val="tbRlV"/>
          </w:tcPr>
          <w:p>
            <w:pPr>
              <w:pStyle w:val="TableText"/>
              <w:ind w:left="223"/>
              <w:spacing w:before="193" w:line="203" w:lineRule="auto"/>
              <w:rPr>
                <w:sz w:val="18"/>
                <w:szCs w:val="18"/>
              </w:rPr>
            </w:pPr>
            <w:r>
              <w:rPr>
                <w:sz w:val="18"/>
                <w:szCs w:val="18"/>
                <w:spacing w:val="4"/>
              </w:rPr>
              <w:t>次</w:t>
            </w:r>
            <w:r>
              <w:rPr>
                <w:sz w:val="18"/>
                <w:szCs w:val="18"/>
                <w:spacing w:val="37"/>
              </w:rPr>
              <w:t xml:space="preserve"> </w:t>
            </w:r>
            <w:r>
              <w:rPr>
                <w:sz w:val="18"/>
                <w:szCs w:val="18"/>
                <w:spacing w:val="4"/>
              </w:rPr>
              <w:t>数</w:t>
            </w:r>
          </w:p>
        </w:tc>
        <w:tc>
          <w:tcPr>
            <w:tcW w:w="631" w:type="dxa"/>
            <w:vAlign w:val="top"/>
          </w:tcPr>
          <w:p>
            <w:pPr>
              <w:pStyle w:val="TableText"/>
              <w:ind w:left="147"/>
              <w:spacing w:before="67" w:line="221" w:lineRule="auto"/>
              <w:rPr>
                <w:sz w:val="18"/>
                <w:szCs w:val="18"/>
              </w:rPr>
            </w:pPr>
            <w:r>
              <w:rPr>
                <w:sz w:val="18"/>
                <w:szCs w:val="18"/>
                <w:spacing w:val="-8"/>
              </w:rPr>
              <w:t>单次</w:t>
            </w:r>
          </w:p>
          <w:p>
            <w:pPr>
              <w:pStyle w:val="TableText"/>
              <w:ind w:left="145"/>
              <w:spacing w:before="96" w:line="222" w:lineRule="auto"/>
              <w:rPr>
                <w:sz w:val="18"/>
                <w:szCs w:val="18"/>
              </w:rPr>
            </w:pPr>
            <w:r>
              <w:rPr>
                <w:sz w:val="18"/>
                <w:szCs w:val="18"/>
                <w:spacing w:val="-7"/>
              </w:rPr>
              <w:t>持续</w:t>
            </w:r>
          </w:p>
          <w:p>
            <w:pPr>
              <w:pStyle w:val="TableText"/>
              <w:ind w:left="156"/>
              <w:spacing w:before="95" w:line="223" w:lineRule="auto"/>
              <w:rPr>
                <w:sz w:val="18"/>
                <w:szCs w:val="18"/>
              </w:rPr>
            </w:pPr>
            <w:r>
              <w:rPr>
                <w:sz w:val="18"/>
                <w:szCs w:val="18"/>
                <w:spacing w:val="-13"/>
              </w:rPr>
              <w:t>时间</w:t>
            </w:r>
          </w:p>
        </w:tc>
        <w:tc>
          <w:tcPr>
            <w:tcW w:w="590" w:type="dxa"/>
            <w:vAlign w:val="top"/>
          </w:tcPr>
          <w:p>
            <w:pPr>
              <w:pStyle w:val="TableText"/>
              <w:ind w:left="132"/>
              <w:spacing w:before="67" w:line="222" w:lineRule="auto"/>
              <w:rPr>
                <w:sz w:val="18"/>
                <w:szCs w:val="18"/>
              </w:rPr>
            </w:pPr>
            <w:r>
              <w:rPr>
                <w:sz w:val="18"/>
                <w:szCs w:val="18"/>
                <w:spacing w:val="-10"/>
              </w:rPr>
              <w:t>总排</w:t>
            </w:r>
          </w:p>
          <w:p>
            <w:pPr>
              <w:pStyle w:val="TableText"/>
              <w:ind w:left="229" w:right="111" w:hanging="104"/>
              <w:spacing w:before="95" w:line="280" w:lineRule="auto"/>
              <w:rPr>
                <w:sz w:val="18"/>
                <w:szCs w:val="18"/>
              </w:rPr>
            </w:pPr>
            <w:r>
              <w:rPr>
                <w:sz w:val="18"/>
                <w:szCs w:val="18"/>
                <w:spacing w:val="-7"/>
              </w:rPr>
              <w:t>放时</w:t>
            </w:r>
            <w:r>
              <w:rPr>
                <w:sz w:val="18"/>
                <w:szCs w:val="18"/>
              </w:rPr>
              <w:t>间</w:t>
            </w:r>
          </w:p>
        </w:tc>
        <w:tc>
          <w:tcPr>
            <w:tcW w:w="935" w:type="dxa"/>
            <w:vAlign w:val="top"/>
          </w:tcPr>
          <w:p>
            <w:pPr>
              <w:pStyle w:val="TableText"/>
              <w:ind w:left="386" w:right="194" w:hanging="181"/>
              <w:spacing w:before="224" w:line="321" w:lineRule="auto"/>
              <w:rPr>
                <w:sz w:val="18"/>
                <w:szCs w:val="18"/>
              </w:rPr>
            </w:pPr>
            <w:r>
              <w:rPr>
                <w:sz w:val="18"/>
                <w:szCs w:val="18"/>
                <w:spacing w:val="-4"/>
              </w:rPr>
              <w:t>排放浓</w:t>
            </w:r>
            <w:r>
              <w:rPr>
                <w:sz w:val="18"/>
                <w:szCs w:val="18"/>
              </w:rPr>
              <w:t>度</w:t>
            </w:r>
          </w:p>
        </w:tc>
        <w:tc>
          <w:tcPr>
            <w:tcW w:w="1809" w:type="dxa"/>
            <w:vAlign w:val="top"/>
            <w:gridSpan w:val="2"/>
          </w:tcPr>
          <w:p>
            <w:pPr>
              <w:spacing w:line="319" w:lineRule="auto"/>
              <w:rPr>
                <w:rFonts w:ascii="Arial"/>
                <w:sz w:val="21"/>
              </w:rPr>
            </w:pPr>
            <w:r/>
          </w:p>
          <w:p>
            <w:pPr>
              <w:pStyle w:val="TableText"/>
              <w:ind w:left="640"/>
              <w:spacing w:before="58" w:line="222" w:lineRule="auto"/>
              <w:rPr>
                <w:sz w:val="18"/>
                <w:szCs w:val="18"/>
              </w:rPr>
            </w:pPr>
            <w:r>
              <w:rPr>
                <w:sz w:val="18"/>
                <w:szCs w:val="18"/>
                <w:spacing w:val="-4"/>
              </w:rPr>
              <w:t>排放量</w:t>
            </w:r>
          </w:p>
        </w:tc>
        <w:tc>
          <w:tcPr>
            <w:tcW w:w="1387" w:type="dxa"/>
            <w:vAlign w:val="top"/>
            <w:vMerge w:val="continue"/>
            <w:tcBorders>
              <w:top w:val="nil"/>
              <w:right w:val="nil"/>
              <w:bottom w:val="nil"/>
            </w:tcBorders>
          </w:tcPr>
          <w:p>
            <w:pPr>
              <w:rPr>
                <w:rFonts w:ascii="Arial"/>
                <w:sz w:val="21"/>
              </w:rPr>
            </w:pPr>
            <w:r/>
          </w:p>
        </w:tc>
      </w:tr>
      <w:tr>
        <w:trPr>
          <w:trHeight w:val="315" w:hRule="atLeast"/>
        </w:trPr>
        <w:tc>
          <w:tcPr>
            <w:tcW w:w="1006" w:type="dxa"/>
            <w:vAlign w:val="top"/>
            <w:vMerge w:val="continue"/>
            <w:tcBorders>
              <w:top w:val="nil"/>
              <w:left w:val="nil"/>
            </w:tcBorders>
          </w:tcPr>
          <w:p>
            <w:pPr>
              <w:rPr>
                <w:rFonts w:ascii="Arial"/>
                <w:sz w:val="21"/>
              </w:rPr>
            </w:pPr>
            <w:r/>
          </w:p>
        </w:tc>
        <w:tc>
          <w:tcPr>
            <w:tcW w:w="580" w:type="dxa"/>
            <w:vAlign w:val="top"/>
            <w:vMerge w:val="continue"/>
            <w:tcBorders>
              <w:top w:val="nil"/>
            </w:tcBorders>
          </w:tcPr>
          <w:p>
            <w:pPr>
              <w:rPr>
                <w:rFonts w:ascii="Arial"/>
                <w:sz w:val="21"/>
              </w:rPr>
            </w:pPr>
            <w:r/>
          </w:p>
        </w:tc>
        <w:tc>
          <w:tcPr>
            <w:tcW w:w="1013" w:type="dxa"/>
            <w:vAlign w:val="top"/>
            <w:vMerge w:val="continue"/>
            <w:tcBorders>
              <w:top w:val="nil"/>
            </w:tcBorders>
          </w:tcPr>
          <w:p>
            <w:pPr>
              <w:rPr>
                <w:rFonts w:ascii="Arial"/>
                <w:sz w:val="21"/>
              </w:rPr>
            </w:pPr>
            <w:r/>
          </w:p>
        </w:tc>
        <w:tc>
          <w:tcPr>
            <w:tcW w:w="571" w:type="dxa"/>
            <w:vAlign w:val="top"/>
          </w:tcPr>
          <w:p>
            <w:pPr>
              <w:pStyle w:val="TableText"/>
              <w:ind w:left="139"/>
              <w:spacing w:before="72" w:line="223" w:lineRule="auto"/>
              <w:rPr>
                <w:rFonts w:ascii="Times New Roman" w:hAnsi="Times New Roman" w:eastAsia="Times New Roman" w:cs="Times New Roman"/>
                <w:sz w:val="18"/>
                <w:szCs w:val="18"/>
              </w:rPr>
            </w:pPr>
            <w:r>
              <w:rPr>
                <w:sz w:val="18"/>
                <w:szCs w:val="18"/>
                <w:spacing w:val="-4"/>
              </w:rPr>
              <w:t>次</w:t>
            </w:r>
            <w:r>
              <w:rPr>
                <w:rFonts w:ascii="Times New Roman" w:hAnsi="Times New Roman" w:eastAsia="Times New Roman" w:cs="Times New Roman"/>
                <w:sz w:val="18"/>
                <w:szCs w:val="18"/>
                <w:spacing w:val="-4"/>
              </w:rPr>
              <w:t>/a</w:t>
            </w:r>
          </w:p>
        </w:tc>
        <w:tc>
          <w:tcPr>
            <w:tcW w:w="631" w:type="dxa"/>
            <w:vAlign w:val="top"/>
          </w:tcPr>
          <w:p>
            <w:pPr>
              <w:pStyle w:val="TableText"/>
              <w:ind w:left="144"/>
              <w:spacing w:before="72" w:line="223" w:lineRule="auto"/>
              <w:rPr>
                <w:sz w:val="18"/>
                <w:szCs w:val="18"/>
              </w:rPr>
            </w:pPr>
            <w:r>
              <w:rPr>
                <w:sz w:val="18"/>
                <w:szCs w:val="18"/>
                <w:spacing w:val="-6"/>
              </w:rPr>
              <w:t>小时</w:t>
            </w:r>
          </w:p>
        </w:tc>
        <w:tc>
          <w:tcPr>
            <w:tcW w:w="590" w:type="dxa"/>
            <w:vAlign w:val="top"/>
          </w:tcPr>
          <w:p>
            <w:pPr>
              <w:pStyle w:val="TableText"/>
              <w:ind w:left="125"/>
              <w:spacing w:before="72" w:line="223" w:lineRule="auto"/>
              <w:rPr>
                <w:sz w:val="18"/>
                <w:szCs w:val="18"/>
              </w:rPr>
            </w:pPr>
            <w:r>
              <w:rPr>
                <w:sz w:val="18"/>
                <w:szCs w:val="18"/>
                <w:spacing w:val="-6"/>
              </w:rPr>
              <w:t>小时</w:t>
            </w:r>
          </w:p>
        </w:tc>
        <w:tc>
          <w:tcPr>
            <w:tcW w:w="935" w:type="dxa"/>
            <w:vAlign w:val="top"/>
          </w:tcPr>
          <w:p>
            <w:pPr>
              <w:ind w:left="211"/>
              <w:spacing w:before="10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mg/m3</w:t>
            </w:r>
          </w:p>
        </w:tc>
        <w:tc>
          <w:tcPr>
            <w:tcW w:w="866" w:type="dxa"/>
            <w:vAlign w:val="top"/>
          </w:tcPr>
          <w:p>
            <w:pPr>
              <w:ind w:left="272"/>
              <w:spacing w:before="10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kg/h</w:t>
            </w:r>
          </w:p>
        </w:tc>
        <w:tc>
          <w:tcPr>
            <w:tcW w:w="943" w:type="dxa"/>
            <w:vAlign w:val="top"/>
          </w:tcPr>
          <w:p>
            <w:pPr>
              <w:ind w:left="380"/>
              <w:spacing w:before="10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kg</w:t>
            </w:r>
          </w:p>
        </w:tc>
        <w:tc>
          <w:tcPr>
            <w:tcW w:w="1387" w:type="dxa"/>
            <w:vAlign w:val="top"/>
            <w:vMerge w:val="continue"/>
            <w:tcBorders>
              <w:top w:val="nil"/>
              <w:right w:val="nil"/>
            </w:tcBorders>
          </w:tcPr>
          <w:p>
            <w:pPr>
              <w:rPr>
                <w:rFonts w:ascii="Arial"/>
                <w:sz w:val="21"/>
              </w:rPr>
            </w:pPr>
            <w:r/>
          </w:p>
        </w:tc>
      </w:tr>
      <w:tr>
        <w:trPr>
          <w:trHeight w:val="315" w:hRule="atLeast"/>
        </w:trPr>
        <w:tc>
          <w:tcPr>
            <w:tcW w:w="1006" w:type="dxa"/>
            <w:vAlign w:val="top"/>
            <w:vMerge w:val="restart"/>
            <w:tcBorders>
              <w:left w:val="nil"/>
              <w:bottom w:val="nil"/>
            </w:tcBorders>
          </w:tcPr>
          <w:p>
            <w:pPr>
              <w:pStyle w:val="TableText"/>
              <w:ind w:left="440" w:right="139" w:hanging="285"/>
              <w:spacing w:before="81" w:line="279" w:lineRule="auto"/>
              <w:rPr>
                <w:sz w:val="18"/>
                <w:szCs w:val="18"/>
              </w:rPr>
            </w:pPr>
            <w:r>
              <w:rPr>
                <w:sz w:val="18"/>
                <w:szCs w:val="18"/>
                <w:spacing w:val="-3"/>
              </w:rPr>
              <w:t>粗破碎车</w:t>
            </w:r>
            <w:r>
              <w:rPr>
                <w:sz w:val="18"/>
                <w:szCs w:val="18"/>
              </w:rPr>
              <w:t>间</w:t>
            </w:r>
          </w:p>
        </w:tc>
        <w:tc>
          <w:tcPr>
            <w:tcW w:w="580" w:type="dxa"/>
            <w:vAlign w:val="top"/>
            <w:vMerge w:val="restart"/>
            <w:tcBorders>
              <w:bottom w:val="nil"/>
            </w:tcBorders>
          </w:tcPr>
          <w:p>
            <w:pPr>
              <w:pStyle w:val="TableText"/>
              <w:ind w:left="210" w:right="107" w:hanging="93"/>
              <w:spacing w:before="81" w:line="279" w:lineRule="auto"/>
              <w:rPr>
                <w:sz w:val="18"/>
                <w:szCs w:val="18"/>
              </w:rPr>
            </w:pPr>
            <w:r>
              <w:rPr>
                <w:sz w:val="18"/>
                <w:szCs w:val="18"/>
                <w:spacing w:val="-5"/>
              </w:rPr>
              <w:t>有组</w:t>
            </w:r>
            <w:r>
              <w:rPr>
                <w:sz w:val="18"/>
                <w:szCs w:val="18"/>
              </w:rPr>
              <w:t>织</w:t>
            </w:r>
          </w:p>
        </w:tc>
        <w:tc>
          <w:tcPr>
            <w:tcW w:w="1013" w:type="dxa"/>
            <w:vAlign w:val="top"/>
          </w:tcPr>
          <w:p>
            <w:pPr>
              <w:pStyle w:val="TableText"/>
              <w:ind w:left="245"/>
              <w:spacing w:before="76" w:line="221" w:lineRule="auto"/>
              <w:rPr>
                <w:sz w:val="18"/>
                <w:szCs w:val="18"/>
              </w:rPr>
            </w:pPr>
            <w:r>
              <w:rPr>
                <w:sz w:val="18"/>
                <w:szCs w:val="18"/>
                <w:spacing w:val="-5"/>
              </w:rPr>
              <w:t>颗粒物</w:t>
            </w:r>
          </w:p>
        </w:tc>
        <w:tc>
          <w:tcPr>
            <w:tcW w:w="571" w:type="dxa"/>
            <w:vAlign w:val="top"/>
          </w:tcPr>
          <w:p>
            <w:pPr>
              <w:ind w:left="258"/>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179"/>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547.245</w:t>
            </w:r>
          </w:p>
        </w:tc>
        <w:tc>
          <w:tcPr>
            <w:tcW w:w="866" w:type="dxa"/>
            <w:vAlign w:val="top"/>
          </w:tcPr>
          <w:p>
            <w:pPr>
              <w:ind w:left="234"/>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3.010</w:t>
            </w:r>
          </w:p>
        </w:tc>
        <w:tc>
          <w:tcPr>
            <w:tcW w:w="943" w:type="dxa"/>
            <w:vAlign w:val="top"/>
          </w:tcPr>
          <w:p>
            <w:pPr>
              <w:ind w:left="274"/>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6.020</w:t>
            </w:r>
          </w:p>
        </w:tc>
        <w:tc>
          <w:tcPr>
            <w:tcW w:w="1387" w:type="dxa"/>
            <w:vAlign w:val="top"/>
            <w:vMerge w:val="restart"/>
            <w:tcBorders>
              <w:bottom w:val="nil"/>
              <w:right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right="18"/>
              <w:spacing w:before="58" w:line="220" w:lineRule="auto"/>
              <w:jc w:val="right"/>
              <w:rPr>
                <w:sz w:val="18"/>
                <w:szCs w:val="18"/>
              </w:rPr>
            </w:pPr>
            <w:r>
              <w:rPr>
                <w:sz w:val="18"/>
                <w:szCs w:val="18"/>
                <w:spacing w:val="-3"/>
              </w:rPr>
              <w:t>定期维护检查、</w:t>
            </w:r>
          </w:p>
          <w:p>
            <w:pPr>
              <w:pStyle w:val="TableText"/>
              <w:ind w:left="341" w:right="52" w:hanging="222"/>
              <w:spacing w:before="96" w:line="322" w:lineRule="auto"/>
              <w:rPr>
                <w:sz w:val="18"/>
                <w:szCs w:val="18"/>
              </w:rPr>
            </w:pPr>
            <w:r>
              <w:rPr>
                <w:sz w:val="18"/>
                <w:szCs w:val="18"/>
                <w:spacing w:val="-7"/>
              </w:rPr>
              <w:t>及时保养设备、</w:t>
            </w:r>
            <w:r>
              <w:rPr>
                <w:sz w:val="18"/>
                <w:szCs w:val="18"/>
                <w:spacing w:val="-3"/>
              </w:rPr>
              <w:t>加强管理</w:t>
            </w:r>
          </w:p>
        </w:tc>
      </w:tr>
      <w:tr>
        <w:trPr>
          <w:trHeight w:val="316" w:hRule="atLeast"/>
        </w:trPr>
        <w:tc>
          <w:tcPr>
            <w:tcW w:w="1006" w:type="dxa"/>
            <w:vAlign w:val="top"/>
            <w:vMerge w:val="continue"/>
            <w:tcBorders>
              <w:left w:val="nil"/>
              <w:top w:val="nil"/>
            </w:tcBorders>
          </w:tcPr>
          <w:p>
            <w:pPr>
              <w:rPr>
                <w:rFonts w:ascii="Arial"/>
                <w:sz w:val="21"/>
              </w:rPr>
            </w:pPr>
            <w:r/>
          </w:p>
        </w:tc>
        <w:tc>
          <w:tcPr>
            <w:tcW w:w="580" w:type="dxa"/>
            <w:vAlign w:val="top"/>
            <w:vMerge w:val="continue"/>
            <w:tcBorders>
              <w:top w:val="nil"/>
            </w:tcBorders>
          </w:tcPr>
          <w:p>
            <w:pPr>
              <w:rPr>
                <w:rFonts w:ascii="Arial"/>
                <w:sz w:val="21"/>
              </w:rPr>
            </w:pPr>
            <w:r/>
          </w:p>
        </w:tc>
        <w:tc>
          <w:tcPr>
            <w:tcW w:w="1013" w:type="dxa"/>
            <w:vAlign w:val="top"/>
          </w:tcPr>
          <w:p>
            <w:pPr>
              <w:pStyle w:val="TableText"/>
              <w:ind w:left="250"/>
              <w:spacing w:before="77" w:line="221" w:lineRule="auto"/>
              <w:rPr>
                <w:sz w:val="18"/>
                <w:szCs w:val="18"/>
              </w:rPr>
            </w:pPr>
            <w:r>
              <w:rPr>
                <w:sz w:val="18"/>
                <w:szCs w:val="18"/>
                <w:spacing w:val="-6"/>
              </w:rPr>
              <w:t>氟化物</w:t>
            </w:r>
          </w:p>
        </w:tc>
        <w:tc>
          <w:tcPr>
            <w:tcW w:w="571" w:type="dxa"/>
            <w:vAlign w:val="top"/>
          </w:tcPr>
          <w:p>
            <w:pPr>
              <w:ind w:left="25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17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375.596</w:t>
            </w:r>
          </w:p>
        </w:tc>
        <w:tc>
          <w:tcPr>
            <w:tcW w:w="866" w:type="dxa"/>
            <w:vAlign w:val="top"/>
          </w:tcPr>
          <w:p>
            <w:pPr>
              <w:ind w:left="231"/>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2.066</w:t>
            </w:r>
          </w:p>
        </w:tc>
        <w:tc>
          <w:tcPr>
            <w:tcW w:w="943" w:type="dxa"/>
            <w:vAlign w:val="top"/>
          </w:tcPr>
          <w:p>
            <w:pPr>
              <w:ind w:left="269"/>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4.132</w:t>
            </w:r>
          </w:p>
        </w:tc>
        <w:tc>
          <w:tcPr>
            <w:tcW w:w="1387" w:type="dxa"/>
            <w:vAlign w:val="top"/>
            <w:vMerge w:val="continue"/>
            <w:tcBorders>
              <w:bottom w:val="nil"/>
              <w:right w:val="nil"/>
              <w:top w:val="nil"/>
            </w:tcBorders>
          </w:tcPr>
          <w:p>
            <w:pPr>
              <w:rPr>
                <w:rFonts w:ascii="Arial"/>
                <w:sz w:val="21"/>
              </w:rPr>
            </w:pPr>
            <w:r/>
          </w:p>
        </w:tc>
      </w:tr>
      <w:tr>
        <w:trPr>
          <w:trHeight w:val="315" w:hRule="atLeast"/>
        </w:trPr>
        <w:tc>
          <w:tcPr>
            <w:tcW w:w="1006" w:type="dxa"/>
            <w:vAlign w:val="top"/>
            <w:vMerge w:val="restart"/>
            <w:tcBorders>
              <w:left w:val="nil"/>
              <w:bottom w:val="nil"/>
            </w:tcBorders>
          </w:tcPr>
          <w:p>
            <w:pPr>
              <w:pStyle w:val="TableText"/>
              <w:ind w:left="441" w:right="139" w:hanging="282"/>
              <w:spacing w:before="82" w:line="278" w:lineRule="auto"/>
              <w:rPr>
                <w:sz w:val="18"/>
                <w:szCs w:val="18"/>
              </w:rPr>
            </w:pPr>
            <w:r>
              <w:rPr>
                <w:sz w:val="18"/>
                <w:szCs w:val="18"/>
                <w:spacing w:val="-4"/>
              </w:rPr>
              <w:t>细破碎车</w:t>
            </w:r>
            <w:r>
              <w:rPr>
                <w:sz w:val="18"/>
                <w:szCs w:val="18"/>
              </w:rPr>
              <w:t>间</w:t>
            </w:r>
          </w:p>
        </w:tc>
        <w:tc>
          <w:tcPr>
            <w:tcW w:w="580" w:type="dxa"/>
            <w:vAlign w:val="top"/>
            <w:vMerge w:val="restart"/>
            <w:tcBorders>
              <w:bottom w:val="nil"/>
            </w:tcBorders>
          </w:tcPr>
          <w:p>
            <w:pPr>
              <w:pStyle w:val="TableText"/>
              <w:ind w:left="210" w:right="107" w:hanging="93"/>
              <w:spacing w:before="82" w:line="278" w:lineRule="auto"/>
              <w:rPr>
                <w:sz w:val="18"/>
                <w:szCs w:val="18"/>
              </w:rPr>
            </w:pPr>
            <w:r>
              <w:rPr>
                <w:sz w:val="18"/>
                <w:szCs w:val="18"/>
                <w:spacing w:val="-5"/>
              </w:rPr>
              <w:t>有组</w:t>
            </w:r>
            <w:r>
              <w:rPr>
                <w:sz w:val="18"/>
                <w:szCs w:val="18"/>
              </w:rPr>
              <w:t>织</w:t>
            </w:r>
          </w:p>
        </w:tc>
        <w:tc>
          <w:tcPr>
            <w:tcW w:w="1013" w:type="dxa"/>
            <w:vAlign w:val="top"/>
          </w:tcPr>
          <w:p>
            <w:pPr>
              <w:pStyle w:val="TableText"/>
              <w:ind w:left="245"/>
              <w:spacing w:before="78" w:line="221" w:lineRule="auto"/>
              <w:rPr>
                <w:sz w:val="18"/>
                <w:szCs w:val="18"/>
              </w:rPr>
            </w:pPr>
            <w:r>
              <w:rPr>
                <w:sz w:val="18"/>
                <w:szCs w:val="18"/>
                <w:spacing w:val="-5"/>
              </w:rPr>
              <w:t>颗粒物</w:t>
            </w:r>
          </w:p>
        </w:tc>
        <w:tc>
          <w:tcPr>
            <w:tcW w:w="571" w:type="dxa"/>
            <w:vAlign w:val="top"/>
          </w:tcPr>
          <w:p>
            <w:pPr>
              <w:ind w:left="25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174"/>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429.978</w:t>
            </w:r>
          </w:p>
        </w:tc>
        <w:tc>
          <w:tcPr>
            <w:tcW w:w="866" w:type="dxa"/>
            <w:vAlign w:val="top"/>
          </w:tcPr>
          <w:p>
            <w:pPr>
              <w:ind w:left="234"/>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3.010</w:t>
            </w:r>
          </w:p>
        </w:tc>
        <w:tc>
          <w:tcPr>
            <w:tcW w:w="943" w:type="dxa"/>
            <w:vAlign w:val="top"/>
          </w:tcPr>
          <w:p>
            <w:pPr>
              <w:ind w:left="274"/>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6.020</w:t>
            </w:r>
          </w:p>
        </w:tc>
        <w:tc>
          <w:tcPr>
            <w:tcW w:w="1387" w:type="dxa"/>
            <w:vAlign w:val="top"/>
            <w:vMerge w:val="continue"/>
            <w:tcBorders>
              <w:bottom w:val="nil"/>
              <w:right w:val="nil"/>
              <w:top w:val="nil"/>
            </w:tcBorders>
          </w:tcPr>
          <w:p>
            <w:pPr>
              <w:rPr>
                <w:rFonts w:ascii="Arial"/>
                <w:sz w:val="21"/>
              </w:rPr>
            </w:pPr>
            <w:r/>
          </w:p>
        </w:tc>
      </w:tr>
      <w:tr>
        <w:trPr>
          <w:trHeight w:val="315" w:hRule="atLeast"/>
        </w:trPr>
        <w:tc>
          <w:tcPr>
            <w:tcW w:w="1006" w:type="dxa"/>
            <w:vAlign w:val="top"/>
            <w:vMerge w:val="continue"/>
            <w:tcBorders>
              <w:left w:val="nil"/>
              <w:top w:val="nil"/>
            </w:tcBorders>
          </w:tcPr>
          <w:p>
            <w:pPr>
              <w:rPr>
                <w:rFonts w:ascii="Arial"/>
                <w:sz w:val="21"/>
              </w:rPr>
            </w:pPr>
            <w:r/>
          </w:p>
        </w:tc>
        <w:tc>
          <w:tcPr>
            <w:tcW w:w="580" w:type="dxa"/>
            <w:vAlign w:val="top"/>
            <w:vMerge w:val="continue"/>
            <w:tcBorders>
              <w:top w:val="nil"/>
            </w:tcBorders>
          </w:tcPr>
          <w:p>
            <w:pPr>
              <w:rPr>
                <w:rFonts w:ascii="Arial"/>
                <w:sz w:val="21"/>
              </w:rPr>
            </w:pPr>
            <w:r/>
          </w:p>
        </w:tc>
        <w:tc>
          <w:tcPr>
            <w:tcW w:w="1013" w:type="dxa"/>
            <w:vAlign w:val="top"/>
          </w:tcPr>
          <w:p>
            <w:pPr>
              <w:pStyle w:val="TableText"/>
              <w:ind w:left="250"/>
              <w:spacing w:before="79" w:line="221" w:lineRule="auto"/>
              <w:rPr>
                <w:sz w:val="18"/>
                <w:szCs w:val="18"/>
              </w:rPr>
            </w:pPr>
            <w:r>
              <w:rPr>
                <w:sz w:val="18"/>
                <w:szCs w:val="18"/>
                <w:spacing w:val="-6"/>
              </w:rPr>
              <w:t>氟化物</w:t>
            </w:r>
          </w:p>
        </w:tc>
        <w:tc>
          <w:tcPr>
            <w:tcW w:w="571" w:type="dxa"/>
            <w:vAlign w:val="top"/>
          </w:tcPr>
          <w:p>
            <w:pPr>
              <w:ind w:left="258"/>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182"/>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295.</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5"/>
              </w:rPr>
              <w:t>111</w:t>
            </w:r>
          </w:p>
        </w:tc>
        <w:tc>
          <w:tcPr>
            <w:tcW w:w="866" w:type="dxa"/>
            <w:vAlign w:val="top"/>
          </w:tcPr>
          <w:p>
            <w:pPr>
              <w:ind w:left="231"/>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2.066</w:t>
            </w:r>
          </w:p>
        </w:tc>
        <w:tc>
          <w:tcPr>
            <w:tcW w:w="943" w:type="dxa"/>
            <w:vAlign w:val="top"/>
          </w:tcPr>
          <w:p>
            <w:pPr>
              <w:ind w:left="269"/>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4.132</w:t>
            </w:r>
          </w:p>
        </w:tc>
        <w:tc>
          <w:tcPr>
            <w:tcW w:w="1387" w:type="dxa"/>
            <w:vAlign w:val="top"/>
            <w:vMerge w:val="continue"/>
            <w:tcBorders>
              <w:bottom w:val="nil"/>
              <w:right w:val="nil"/>
              <w:top w:val="nil"/>
            </w:tcBorders>
          </w:tcPr>
          <w:p>
            <w:pPr>
              <w:rPr>
                <w:rFonts w:ascii="Arial"/>
                <w:sz w:val="21"/>
              </w:rPr>
            </w:pPr>
            <w:r/>
          </w:p>
        </w:tc>
      </w:tr>
      <w:tr>
        <w:trPr>
          <w:trHeight w:val="315" w:hRule="atLeast"/>
        </w:trPr>
        <w:tc>
          <w:tcPr>
            <w:tcW w:w="1006" w:type="dxa"/>
            <w:vAlign w:val="top"/>
            <w:vMerge w:val="restart"/>
            <w:tcBorders>
              <w:left w:val="nil"/>
              <w:bottom w:val="nil"/>
            </w:tcBorders>
          </w:tcPr>
          <w:p>
            <w:pPr>
              <w:pStyle w:val="TableText"/>
              <w:ind w:left="158"/>
              <w:spacing w:before="242" w:line="219" w:lineRule="auto"/>
              <w:rPr>
                <w:sz w:val="18"/>
                <w:szCs w:val="18"/>
              </w:rPr>
            </w:pPr>
            <w:r>
              <w:rPr>
                <w:sz w:val="18"/>
                <w:szCs w:val="18"/>
                <w:spacing w:val="-4"/>
              </w:rPr>
              <w:t>筛分车间</w:t>
            </w:r>
          </w:p>
        </w:tc>
        <w:tc>
          <w:tcPr>
            <w:tcW w:w="580" w:type="dxa"/>
            <w:vAlign w:val="top"/>
            <w:vMerge w:val="restart"/>
            <w:tcBorders>
              <w:bottom w:val="nil"/>
            </w:tcBorders>
          </w:tcPr>
          <w:p>
            <w:pPr>
              <w:pStyle w:val="TableText"/>
              <w:ind w:left="210" w:right="107" w:hanging="93"/>
              <w:spacing w:before="85" w:line="277" w:lineRule="auto"/>
              <w:rPr>
                <w:sz w:val="18"/>
                <w:szCs w:val="18"/>
              </w:rPr>
            </w:pPr>
            <w:r>
              <w:rPr>
                <w:sz w:val="18"/>
                <w:szCs w:val="18"/>
                <w:spacing w:val="-5"/>
              </w:rPr>
              <w:t>有组</w:t>
            </w:r>
            <w:r>
              <w:rPr>
                <w:sz w:val="18"/>
                <w:szCs w:val="18"/>
              </w:rPr>
              <w:t>织</w:t>
            </w:r>
          </w:p>
        </w:tc>
        <w:tc>
          <w:tcPr>
            <w:tcW w:w="1013" w:type="dxa"/>
            <w:vAlign w:val="top"/>
          </w:tcPr>
          <w:p>
            <w:pPr>
              <w:pStyle w:val="TableText"/>
              <w:ind w:left="245"/>
              <w:spacing w:before="81" w:line="221" w:lineRule="auto"/>
              <w:rPr>
                <w:sz w:val="18"/>
                <w:szCs w:val="18"/>
              </w:rPr>
            </w:pPr>
            <w:r>
              <w:rPr>
                <w:sz w:val="18"/>
                <w:szCs w:val="18"/>
                <w:spacing w:val="-5"/>
              </w:rPr>
              <w:t>颗粒物</w:t>
            </w:r>
          </w:p>
        </w:tc>
        <w:tc>
          <w:tcPr>
            <w:tcW w:w="571" w:type="dxa"/>
            <w:vAlign w:val="top"/>
          </w:tcPr>
          <w:p>
            <w:pPr>
              <w:ind w:left="258"/>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179"/>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501.641</w:t>
            </w:r>
          </w:p>
        </w:tc>
        <w:tc>
          <w:tcPr>
            <w:tcW w:w="866" w:type="dxa"/>
            <w:vAlign w:val="top"/>
          </w:tcPr>
          <w:p>
            <w:pPr>
              <w:ind w:left="234"/>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3.010</w:t>
            </w:r>
          </w:p>
        </w:tc>
        <w:tc>
          <w:tcPr>
            <w:tcW w:w="943" w:type="dxa"/>
            <w:vAlign w:val="top"/>
          </w:tcPr>
          <w:p>
            <w:pPr>
              <w:ind w:left="274"/>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6.020</w:t>
            </w:r>
          </w:p>
        </w:tc>
        <w:tc>
          <w:tcPr>
            <w:tcW w:w="1387" w:type="dxa"/>
            <w:vAlign w:val="top"/>
            <w:vMerge w:val="continue"/>
            <w:tcBorders>
              <w:bottom w:val="nil"/>
              <w:right w:val="nil"/>
              <w:top w:val="nil"/>
            </w:tcBorders>
          </w:tcPr>
          <w:p>
            <w:pPr>
              <w:rPr>
                <w:rFonts w:ascii="Arial"/>
                <w:sz w:val="21"/>
              </w:rPr>
            </w:pPr>
            <w:r/>
          </w:p>
        </w:tc>
      </w:tr>
      <w:tr>
        <w:trPr>
          <w:trHeight w:val="316" w:hRule="atLeast"/>
        </w:trPr>
        <w:tc>
          <w:tcPr>
            <w:tcW w:w="1006" w:type="dxa"/>
            <w:vAlign w:val="top"/>
            <w:vMerge w:val="continue"/>
            <w:tcBorders>
              <w:left w:val="nil"/>
              <w:top w:val="nil"/>
            </w:tcBorders>
          </w:tcPr>
          <w:p>
            <w:pPr>
              <w:rPr>
                <w:rFonts w:ascii="Arial"/>
                <w:sz w:val="21"/>
              </w:rPr>
            </w:pPr>
            <w:r/>
          </w:p>
        </w:tc>
        <w:tc>
          <w:tcPr>
            <w:tcW w:w="580" w:type="dxa"/>
            <w:vAlign w:val="top"/>
            <w:vMerge w:val="continue"/>
            <w:tcBorders>
              <w:top w:val="nil"/>
            </w:tcBorders>
          </w:tcPr>
          <w:p>
            <w:pPr>
              <w:rPr>
                <w:rFonts w:ascii="Arial"/>
                <w:sz w:val="21"/>
              </w:rPr>
            </w:pPr>
            <w:r/>
          </w:p>
        </w:tc>
        <w:tc>
          <w:tcPr>
            <w:tcW w:w="1013" w:type="dxa"/>
            <w:vAlign w:val="top"/>
          </w:tcPr>
          <w:p>
            <w:pPr>
              <w:pStyle w:val="TableText"/>
              <w:ind w:left="250"/>
              <w:spacing w:before="83" w:line="221" w:lineRule="auto"/>
              <w:rPr>
                <w:sz w:val="18"/>
                <w:szCs w:val="18"/>
              </w:rPr>
            </w:pPr>
            <w:r>
              <w:rPr>
                <w:sz w:val="18"/>
                <w:szCs w:val="18"/>
                <w:spacing w:val="-6"/>
              </w:rPr>
              <w:t>氟化物</w:t>
            </w:r>
          </w:p>
        </w:tc>
        <w:tc>
          <w:tcPr>
            <w:tcW w:w="571" w:type="dxa"/>
            <w:vAlign w:val="top"/>
          </w:tcPr>
          <w:p>
            <w:pPr>
              <w:ind w:left="258"/>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178"/>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344.297</w:t>
            </w:r>
          </w:p>
        </w:tc>
        <w:tc>
          <w:tcPr>
            <w:tcW w:w="866" w:type="dxa"/>
            <w:vAlign w:val="top"/>
          </w:tcPr>
          <w:p>
            <w:pPr>
              <w:ind w:left="231"/>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2.066</w:t>
            </w:r>
          </w:p>
        </w:tc>
        <w:tc>
          <w:tcPr>
            <w:tcW w:w="943" w:type="dxa"/>
            <w:vAlign w:val="top"/>
          </w:tcPr>
          <w:p>
            <w:pPr>
              <w:ind w:left="269"/>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4.132</w:t>
            </w:r>
          </w:p>
        </w:tc>
        <w:tc>
          <w:tcPr>
            <w:tcW w:w="1387" w:type="dxa"/>
            <w:vAlign w:val="top"/>
            <w:vMerge w:val="continue"/>
            <w:tcBorders>
              <w:bottom w:val="nil"/>
              <w:right w:val="nil"/>
              <w:top w:val="nil"/>
            </w:tcBorders>
          </w:tcPr>
          <w:p>
            <w:pPr>
              <w:rPr>
                <w:rFonts w:ascii="Arial"/>
                <w:sz w:val="21"/>
              </w:rPr>
            </w:pPr>
            <w:r/>
          </w:p>
        </w:tc>
      </w:tr>
      <w:tr>
        <w:trPr>
          <w:trHeight w:val="315" w:hRule="atLeast"/>
        </w:trPr>
        <w:tc>
          <w:tcPr>
            <w:tcW w:w="1006" w:type="dxa"/>
            <w:vAlign w:val="top"/>
            <w:vMerge w:val="restart"/>
            <w:tcBorders>
              <w:left w:val="nil"/>
              <w:bottom w:val="nil"/>
            </w:tcBorders>
          </w:tcPr>
          <w:p>
            <w:pPr>
              <w:pStyle w:val="TableText"/>
              <w:ind w:left="245"/>
              <w:spacing w:before="247" w:line="223" w:lineRule="auto"/>
              <w:rPr>
                <w:sz w:val="18"/>
                <w:szCs w:val="18"/>
              </w:rPr>
            </w:pPr>
            <w:r>
              <w:rPr>
                <w:sz w:val="18"/>
                <w:szCs w:val="18"/>
                <w:spacing w:val="-5"/>
              </w:rPr>
              <w:t>粉矿仓</w:t>
            </w:r>
          </w:p>
        </w:tc>
        <w:tc>
          <w:tcPr>
            <w:tcW w:w="580" w:type="dxa"/>
            <w:vAlign w:val="top"/>
            <w:vMerge w:val="restart"/>
            <w:tcBorders>
              <w:bottom w:val="nil"/>
            </w:tcBorders>
          </w:tcPr>
          <w:p>
            <w:pPr>
              <w:pStyle w:val="TableText"/>
              <w:ind w:left="210" w:right="107" w:hanging="93"/>
              <w:spacing w:before="90" w:line="274" w:lineRule="auto"/>
              <w:rPr>
                <w:sz w:val="18"/>
                <w:szCs w:val="18"/>
              </w:rPr>
            </w:pPr>
            <w:r>
              <w:rPr>
                <w:sz w:val="18"/>
                <w:szCs w:val="18"/>
                <w:spacing w:val="-5"/>
              </w:rPr>
              <w:t>有组</w:t>
            </w:r>
            <w:r>
              <w:rPr>
                <w:sz w:val="18"/>
                <w:szCs w:val="18"/>
              </w:rPr>
              <w:t>织</w:t>
            </w:r>
          </w:p>
        </w:tc>
        <w:tc>
          <w:tcPr>
            <w:tcW w:w="1013" w:type="dxa"/>
            <w:vAlign w:val="top"/>
          </w:tcPr>
          <w:p>
            <w:pPr>
              <w:pStyle w:val="TableText"/>
              <w:ind w:left="245"/>
              <w:spacing w:before="86" w:line="221" w:lineRule="auto"/>
              <w:rPr>
                <w:sz w:val="18"/>
                <w:szCs w:val="18"/>
              </w:rPr>
            </w:pPr>
            <w:r>
              <w:rPr>
                <w:sz w:val="18"/>
                <w:szCs w:val="18"/>
                <w:spacing w:val="-5"/>
              </w:rPr>
              <w:t>颗粒物</w:t>
            </w:r>
          </w:p>
        </w:tc>
        <w:tc>
          <w:tcPr>
            <w:tcW w:w="571" w:type="dxa"/>
            <w:vAlign w:val="top"/>
          </w:tcPr>
          <w:p>
            <w:pPr>
              <w:ind w:left="258"/>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219"/>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46.032</w:t>
            </w:r>
          </w:p>
        </w:tc>
        <w:tc>
          <w:tcPr>
            <w:tcW w:w="866" w:type="dxa"/>
            <w:vAlign w:val="top"/>
          </w:tcPr>
          <w:p>
            <w:pPr>
              <w:ind w:left="233"/>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0.230</w:t>
            </w:r>
          </w:p>
        </w:tc>
        <w:tc>
          <w:tcPr>
            <w:tcW w:w="943" w:type="dxa"/>
            <w:vAlign w:val="top"/>
          </w:tcPr>
          <w:p>
            <w:pPr>
              <w:ind w:left="272"/>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0.460</w:t>
            </w:r>
          </w:p>
        </w:tc>
        <w:tc>
          <w:tcPr>
            <w:tcW w:w="1387" w:type="dxa"/>
            <w:vAlign w:val="top"/>
            <w:vMerge w:val="continue"/>
            <w:tcBorders>
              <w:bottom w:val="nil"/>
              <w:right w:val="nil"/>
              <w:top w:val="nil"/>
            </w:tcBorders>
          </w:tcPr>
          <w:p>
            <w:pPr>
              <w:rPr>
                <w:rFonts w:ascii="Arial"/>
                <w:sz w:val="21"/>
              </w:rPr>
            </w:pPr>
            <w:r/>
          </w:p>
        </w:tc>
      </w:tr>
      <w:tr>
        <w:trPr>
          <w:trHeight w:val="315" w:hRule="atLeast"/>
        </w:trPr>
        <w:tc>
          <w:tcPr>
            <w:tcW w:w="1006" w:type="dxa"/>
            <w:vAlign w:val="top"/>
            <w:vMerge w:val="continue"/>
            <w:tcBorders>
              <w:left w:val="nil"/>
              <w:top w:val="nil"/>
            </w:tcBorders>
          </w:tcPr>
          <w:p>
            <w:pPr>
              <w:rPr>
                <w:rFonts w:ascii="Arial"/>
                <w:sz w:val="21"/>
              </w:rPr>
            </w:pPr>
            <w:r/>
          </w:p>
        </w:tc>
        <w:tc>
          <w:tcPr>
            <w:tcW w:w="580" w:type="dxa"/>
            <w:vAlign w:val="top"/>
            <w:vMerge w:val="continue"/>
            <w:tcBorders>
              <w:top w:val="nil"/>
            </w:tcBorders>
          </w:tcPr>
          <w:p>
            <w:pPr>
              <w:rPr>
                <w:rFonts w:ascii="Arial"/>
                <w:sz w:val="21"/>
              </w:rPr>
            </w:pPr>
            <w:r/>
          </w:p>
        </w:tc>
        <w:tc>
          <w:tcPr>
            <w:tcW w:w="1013" w:type="dxa"/>
            <w:vAlign w:val="top"/>
          </w:tcPr>
          <w:p>
            <w:pPr>
              <w:pStyle w:val="TableText"/>
              <w:ind w:left="250"/>
              <w:spacing w:before="87" w:line="221" w:lineRule="auto"/>
              <w:rPr>
                <w:sz w:val="18"/>
                <w:szCs w:val="18"/>
              </w:rPr>
            </w:pPr>
            <w:r>
              <w:rPr>
                <w:sz w:val="18"/>
                <w:szCs w:val="18"/>
                <w:spacing w:val="-6"/>
              </w:rPr>
              <w:t>氟化物</w:t>
            </w:r>
          </w:p>
        </w:tc>
        <w:tc>
          <w:tcPr>
            <w:tcW w:w="571" w:type="dxa"/>
            <w:vAlign w:val="top"/>
          </w:tcPr>
          <w:p>
            <w:pPr>
              <w:ind w:left="258"/>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Pr>
          <w:p>
            <w:pPr>
              <w:ind w:left="270"/>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Pr>
          <w:p>
            <w:pPr>
              <w:ind w:left="251"/>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Pr>
          <w:p>
            <w:pPr>
              <w:ind w:left="224"/>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31.593</w:t>
            </w:r>
          </w:p>
        </w:tc>
        <w:tc>
          <w:tcPr>
            <w:tcW w:w="866" w:type="dxa"/>
            <w:vAlign w:val="top"/>
          </w:tcPr>
          <w:p>
            <w:pPr>
              <w:ind w:left="233"/>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0.158</w:t>
            </w:r>
          </w:p>
        </w:tc>
        <w:tc>
          <w:tcPr>
            <w:tcW w:w="943" w:type="dxa"/>
            <w:vAlign w:val="top"/>
          </w:tcPr>
          <w:p>
            <w:pPr>
              <w:ind w:left="272"/>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0.316</w:t>
            </w:r>
          </w:p>
        </w:tc>
        <w:tc>
          <w:tcPr>
            <w:tcW w:w="1387" w:type="dxa"/>
            <w:vAlign w:val="top"/>
            <w:vMerge w:val="continue"/>
            <w:tcBorders>
              <w:bottom w:val="nil"/>
              <w:right w:val="nil"/>
              <w:top w:val="nil"/>
            </w:tcBorders>
          </w:tcPr>
          <w:p>
            <w:pPr>
              <w:rPr>
                <w:rFonts w:ascii="Arial"/>
                <w:sz w:val="21"/>
              </w:rPr>
            </w:pPr>
            <w:r/>
          </w:p>
        </w:tc>
      </w:tr>
      <w:tr>
        <w:trPr>
          <w:trHeight w:val="650" w:hRule="atLeast"/>
        </w:trPr>
        <w:tc>
          <w:tcPr>
            <w:tcW w:w="1006" w:type="dxa"/>
            <w:vAlign w:val="top"/>
            <w:tcBorders>
              <w:bottom w:val="single" w:color="000000" w:sz="10" w:space="0"/>
              <w:left w:val="nil"/>
            </w:tcBorders>
          </w:tcPr>
          <w:p>
            <w:pPr>
              <w:pStyle w:val="TableText"/>
              <w:ind w:left="335"/>
              <w:spacing w:before="245" w:line="227" w:lineRule="auto"/>
              <w:rPr>
                <w:sz w:val="18"/>
                <w:szCs w:val="18"/>
              </w:rPr>
            </w:pPr>
            <w:r>
              <w:rPr>
                <w:sz w:val="18"/>
                <w:szCs w:val="18"/>
                <w:spacing w:val="-6"/>
              </w:rPr>
              <w:t>食堂</w:t>
            </w:r>
          </w:p>
        </w:tc>
        <w:tc>
          <w:tcPr>
            <w:tcW w:w="580" w:type="dxa"/>
            <w:vAlign w:val="top"/>
            <w:tcBorders>
              <w:bottom w:val="single" w:color="000000" w:sz="10" w:space="0"/>
            </w:tcBorders>
          </w:tcPr>
          <w:p>
            <w:pPr>
              <w:pStyle w:val="TableText"/>
              <w:ind w:left="210" w:right="107" w:hanging="93"/>
              <w:spacing w:before="90" w:line="282" w:lineRule="auto"/>
              <w:rPr>
                <w:sz w:val="18"/>
                <w:szCs w:val="18"/>
              </w:rPr>
            </w:pPr>
            <w:r>
              <w:rPr>
                <w:sz w:val="18"/>
                <w:szCs w:val="18"/>
                <w:spacing w:val="-5"/>
              </w:rPr>
              <w:t>有组</w:t>
            </w:r>
            <w:r>
              <w:rPr>
                <w:sz w:val="18"/>
                <w:szCs w:val="18"/>
              </w:rPr>
              <w:t>织</w:t>
            </w:r>
          </w:p>
        </w:tc>
        <w:tc>
          <w:tcPr>
            <w:tcW w:w="1013" w:type="dxa"/>
            <w:vAlign w:val="top"/>
            <w:tcBorders>
              <w:bottom w:val="single" w:color="000000" w:sz="10" w:space="0"/>
            </w:tcBorders>
          </w:tcPr>
          <w:p>
            <w:pPr>
              <w:pStyle w:val="TableText"/>
              <w:ind w:left="156"/>
              <w:spacing w:before="245" w:line="223" w:lineRule="auto"/>
              <w:rPr>
                <w:sz w:val="18"/>
                <w:szCs w:val="18"/>
              </w:rPr>
            </w:pPr>
            <w:r>
              <w:rPr>
                <w:sz w:val="18"/>
                <w:szCs w:val="18"/>
                <w:spacing w:val="-3"/>
              </w:rPr>
              <w:t>食堂油烟</w:t>
            </w:r>
          </w:p>
        </w:tc>
        <w:tc>
          <w:tcPr>
            <w:tcW w:w="571" w:type="dxa"/>
            <w:vAlign w:val="top"/>
            <w:tcBorders>
              <w:bottom w:val="single" w:color="000000" w:sz="10" w:space="0"/>
            </w:tcBorders>
          </w:tcPr>
          <w:p>
            <w:pPr>
              <w:ind w:left="258"/>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1" w:type="dxa"/>
            <w:vAlign w:val="top"/>
            <w:tcBorders>
              <w:bottom w:val="single" w:color="000000" w:sz="10" w:space="0"/>
            </w:tcBorders>
          </w:tcPr>
          <w:p>
            <w:pPr>
              <w:ind w:left="270"/>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90" w:type="dxa"/>
            <w:vAlign w:val="top"/>
            <w:tcBorders>
              <w:bottom w:val="single" w:color="000000" w:sz="10" w:space="0"/>
            </w:tcBorders>
          </w:tcPr>
          <w:p>
            <w:pPr>
              <w:ind w:left="251"/>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5" w:type="dxa"/>
            <w:vAlign w:val="top"/>
            <w:tcBorders>
              <w:bottom w:val="single" w:color="000000" w:sz="10" w:space="0"/>
            </w:tcBorders>
          </w:tcPr>
          <w:p>
            <w:pPr>
              <w:ind w:left="273"/>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8.933</w:t>
            </w:r>
          </w:p>
        </w:tc>
        <w:tc>
          <w:tcPr>
            <w:tcW w:w="866" w:type="dxa"/>
            <w:vAlign w:val="top"/>
            <w:tcBorders>
              <w:bottom w:val="single" w:color="000000" w:sz="10" w:space="0"/>
            </w:tcBorders>
          </w:tcPr>
          <w:p>
            <w:pPr>
              <w:ind w:left="233"/>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w:t>
            </w:r>
          </w:p>
        </w:tc>
        <w:tc>
          <w:tcPr>
            <w:tcW w:w="943" w:type="dxa"/>
            <w:vAlign w:val="top"/>
            <w:tcBorders>
              <w:bottom w:val="single" w:color="000000" w:sz="10" w:space="0"/>
            </w:tcBorders>
          </w:tcPr>
          <w:p>
            <w:pPr>
              <w:ind w:left="272"/>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0.026</w:t>
            </w:r>
          </w:p>
        </w:tc>
        <w:tc>
          <w:tcPr>
            <w:tcW w:w="1387" w:type="dxa"/>
            <w:vAlign w:val="top"/>
            <w:vMerge w:val="continue"/>
            <w:tcBorders>
              <w:bottom w:val="single" w:color="000000" w:sz="10" w:space="0"/>
              <w:right w:val="nil"/>
              <w:top w:val="nil"/>
            </w:tcBorders>
          </w:tcPr>
          <w:p>
            <w:pPr>
              <w:rPr>
                <w:rFonts w:ascii="Arial"/>
                <w:sz w:val="21"/>
              </w:rPr>
            </w:pPr>
            <w:r/>
          </w:p>
        </w:tc>
      </w:tr>
    </w:tbl>
    <w:p>
      <w:pPr>
        <w:pStyle w:val="BodyText"/>
        <w:spacing w:line="251" w:lineRule="auto"/>
        <w:rPr/>
      </w:pPr>
      <w:r/>
    </w:p>
    <w:p>
      <w:pPr>
        <w:pStyle w:val="BodyText"/>
        <w:spacing w:line="251" w:lineRule="auto"/>
        <w:rPr/>
      </w:pPr>
      <w:r/>
    </w:p>
    <w:p>
      <w:pPr>
        <w:ind w:left="124" w:right="107" w:firstLine="480"/>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企业应加强管理，一旦废气治理系统故障，立</w:t>
      </w:r>
      <w:r>
        <w:rPr>
          <w:rFonts w:ascii="FangSong" w:hAnsi="FangSong" w:eastAsia="FangSong" w:cs="FangSong"/>
          <w:sz w:val="24"/>
          <w:szCs w:val="24"/>
          <w:spacing w:val="-4"/>
        </w:rPr>
        <w:t>即停产检修，防止事故废气排</w:t>
      </w:r>
      <w:r>
        <w:rPr>
          <w:rFonts w:ascii="FangSong" w:hAnsi="FangSong" w:eastAsia="FangSong" w:cs="FangSong"/>
          <w:sz w:val="24"/>
          <w:szCs w:val="24"/>
          <w:spacing w:val="-3"/>
        </w:rPr>
        <w:t>放，同时要定期对废气治理设施进行维护和检查，及时更换布袋</w:t>
      </w:r>
      <w:r>
        <w:rPr>
          <w:rFonts w:ascii="FangSong" w:hAnsi="FangSong" w:eastAsia="FangSong" w:cs="FangSong"/>
          <w:sz w:val="24"/>
          <w:szCs w:val="24"/>
          <w:spacing w:val="-4"/>
        </w:rPr>
        <w:t>或对油烟净化装</w:t>
      </w:r>
      <w:r>
        <w:rPr>
          <w:rFonts w:ascii="FangSong" w:hAnsi="FangSong" w:eastAsia="FangSong" w:cs="FangSong"/>
          <w:sz w:val="24"/>
          <w:szCs w:val="24"/>
          <w:spacing w:val="-1"/>
        </w:rPr>
        <w:t>置进行保养，杜绝非正常状况的发生。</w:t>
      </w:r>
    </w:p>
    <w:p>
      <w:pPr>
        <w:ind w:left="1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6.2.2.4  </w:t>
      </w:r>
      <w:r>
        <w:rPr>
          <w:rFonts w:ascii="FangSong" w:hAnsi="FangSong" w:eastAsia="FangSong" w:cs="FangSong"/>
          <w:sz w:val="24"/>
          <w:szCs w:val="24"/>
          <w:b/>
          <w:bCs/>
          <w:spacing w:val="-2"/>
        </w:rPr>
        <w:t>大气环境影响评价结论</w:t>
      </w:r>
    </w:p>
    <w:p>
      <w:pPr>
        <w:ind w:left="124" w:right="107" w:firstLine="481"/>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综上分析，从影响分析及预测结果可知，本项目运营期各生产环节起尘量均</w:t>
      </w:r>
      <w:r>
        <w:rPr>
          <w:rFonts w:ascii="FangSong" w:hAnsi="FangSong" w:eastAsia="FangSong" w:cs="FangSong"/>
          <w:sz w:val="24"/>
          <w:szCs w:val="24"/>
          <w:spacing w:val="-3"/>
        </w:rPr>
        <w:t>较小，通过类比调查，粉尘、氟化物等废气的影响范围主要在工</w:t>
      </w:r>
      <w:r>
        <w:rPr>
          <w:rFonts w:ascii="FangSong" w:hAnsi="FangSong" w:eastAsia="FangSong" w:cs="FangSong"/>
          <w:sz w:val="24"/>
          <w:szCs w:val="24"/>
          <w:spacing w:val="-4"/>
        </w:rPr>
        <w:t>业广场范围，对</w:t>
      </w:r>
      <w:r>
        <w:rPr>
          <w:rFonts w:ascii="FangSong" w:hAnsi="FangSong" w:eastAsia="FangSong" w:cs="FangSong"/>
          <w:sz w:val="24"/>
          <w:szCs w:val="24"/>
          <w:spacing w:val="-3"/>
        </w:rPr>
        <w:t>周围环境影响不大。因此只要加强管理水平，厂区内经常做到洒</w:t>
      </w:r>
      <w:r>
        <w:rPr>
          <w:rFonts w:ascii="FangSong" w:hAnsi="FangSong" w:eastAsia="FangSong" w:cs="FangSong"/>
          <w:sz w:val="24"/>
          <w:szCs w:val="24"/>
          <w:spacing w:val="-4"/>
        </w:rPr>
        <w:t>水降尘，可有效</w:t>
      </w:r>
      <w:r>
        <w:rPr>
          <w:rFonts w:ascii="FangSong" w:hAnsi="FangSong" w:eastAsia="FangSong" w:cs="FangSong"/>
          <w:sz w:val="24"/>
          <w:szCs w:val="24"/>
          <w:spacing w:val="-1"/>
        </w:rPr>
        <w:t>地抑制粉尘的排放，降低对周边环境的影响。</w:t>
      </w:r>
    </w:p>
    <w:p>
      <w:pPr>
        <w:ind w:left="116"/>
        <w:spacing w:before="1" w:line="221" w:lineRule="auto"/>
        <w:outlineLvl w:val="2"/>
        <w:rPr>
          <w:rFonts w:ascii="FangSong" w:hAnsi="FangSong" w:eastAsia="FangSong" w:cs="FangSong"/>
          <w:sz w:val="24"/>
          <w:szCs w:val="24"/>
        </w:rPr>
      </w:pPr>
      <w:bookmarkStart w:name="bookmark296" w:id="400"/>
      <w:bookmarkEnd w:id="400"/>
      <w:bookmarkStart w:name="bookmark295" w:id="401"/>
      <w:bookmarkEnd w:id="401"/>
      <w:r>
        <w:rPr>
          <w:rFonts w:ascii="Times New Roman" w:hAnsi="Times New Roman" w:eastAsia="Times New Roman" w:cs="Times New Roman"/>
          <w:sz w:val="24"/>
          <w:szCs w:val="24"/>
          <w:b/>
          <w:bCs/>
          <w:spacing w:val="-2"/>
        </w:rPr>
        <w:t>6.2.3  </w:t>
      </w:r>
      <w:r>
        <w:rPr>
          <w:rFonts w:ascii="FangSong" w:hAnsi="FangSong" w:eastAsia="FangSong" w:cs="FangSong"/>
          <w:sz w:val="24"/>
          <w:szCs w:val="24"/>
          <w:b/>
          <w:bCs/>
          <w:spacing w:val="-2"/>
        </w:rPr>
        <w:t>声环境及爆破震动影响分析与评价</w:t>
      </w:r>
    </w:p>
    <w:p>
      <w:pPr>
        <w:ind w:left="116"/>
        <w:spacing w:before="18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6.2.3.1</w:t>
      </w:r>
      <w:r>
        <w:rPr>
          <w:rFonts w:ascii="Times New Roman" w:hAnsi="Times New Roman" w:eastAsia="Times New Roman" w:cs="Times New Roman"/>
          <w:sz w:val="24"/>
          <w:szCs w:val="24"/>
          <w:b/>
          <w:bCs/>
          <w:spacing w:val="18"/>
        </w:rPr>
        <w:t xml:space="preserve">  </w:t>
      </w:r>
      <w:r>
        <w:rPr>
          <w:rFonts w:ascii="FangSong" w:hAnsi="FangSong" w:eastAsia="FangSong" w:cs="FangSong"/>
          <w:sz w:val="24"/>
          <w:szCs w:val="24"/>
          <w:b/>
          <w:bCs/>
          <w:spacing w:val="-4"/>
        </w:rPr>
        <w:t>噪声影响预测评价</w:t>
      </w:r>
    </w:p>
    <w:p>
      <w:pPr>
        <w:ind w:left="608"/>
        <w:spacing w:before="179"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）噪声源强参数</w:t>
      </w:r>
    </w:p>
    <w:p>
      <w:pPr>
        <w:ind w:left="123" w:right="68"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项目采矿时使用机械设备包括凿岩机、提升机</w:t>
      </w:r>
      <w:r>
        <w:rPr>
          <w:rFonts w:ascii="FangSong" w:hAnsi="FangSong" w:eastAsia="FangSong" w:cs="FangSong"/>
          <w:sz w:val="24"/>
          <w:szCs w:val="24"/>
          <w:spacing w:val="-4"/>
        </w:rPr>
        <w:t>等，选矿使用设备包括颚式破</w:t>
      </w:r>
      <w:r>
        <w:rPr>
          <w:rFonts w:ascii="FangSong" w:hAnsi="FangSong" w:eastAsia="FangSong" w:cs="FangSong"/>
          <w:sz w:val="24"/>
          <w:szCs w:val="24"/>
          <w:spacing w:val="-3"/>
        </w:rPr>
        <w:t>碎机、圆锥破碎机等，以上机械设备噪声声压级一般在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65-110dB</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）之间。由</w:t>
      </w:r>
      <w:r>
        <w:rPr>
          <w:rFonts w:ascii="FangSong" w:hAnsi="FangSong" w:eastAsia="FangSong" w:cs="FangSong"/>
          <w:sz w:val="24"/>
          <w:szCs w:val="24"/>
          <w:spacing w:val="-2"/>
        </w:rPr>
        <w:t>于项目采用地下开采的方式，采矿设备均位于地下，故对地上外环境影响较</w:t>
      </w:r>
      <w:r>
        <w:rPr>
          <w:rFonts w:ascii="FangSong" w:hAnsi="FangSong" w:eastAsia="FangSong" w:cs="FangSong"/>
          <w:sz w:val="24"/>
          <w:szCs w:val="24"/>
          <w:spacing w:val="-3"/>
        </w:rPr>
        <w:t>小，</w:t>
      </w:r>
    </w:p>
    <w:p>
      <w:pPr>
        <w:spacing w:line="360" w:lineRule="auto"/>
        <w:sectPr>
          <w:headerReference w:type="default" r:id="rId290"/>
          <w:footerReference w:type="default" r:id="rId291"/>
          <w:pgSz w:w="11906" w:h="16839"/>
          <w:pgMar w:top="1140" w:right="1691" w:bottom="1358" w:left="1691" w:header="113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spacing w:before="78" w:line="221" w:lineRule="auto"/>
        <w:rPr>
          <w:rFonts w:ascii="FangSong" w:hAnsi="FangSong" w:eastAsia="FangSong" w:cs="FangSong"/>
          <w:sz w:val="24"/>
          <w:szCs w:val="24"/>
        </w:rPr>
      </w:pPr>
      <w:r>
        <w:rPr>
          <w:rFonts w:ascii="FangSong" w:hAnsi="FangSong" w:eastAsia="FangSong" w:cs="FangSong"/>
          <w:sz w:val="24"/>
          <w:szCs w:val="24"/>
          <w:spacing w:val="-2"/>
        </w:rPr>
        <w:t>故本次仅对地上选矿设备进行预测。</w:t>
      </w:r>
    </w:p>
    <w:p>
      <w:pPr>
        <w:ind w:left="29" w:right="13" w:firstLine="481"/>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本项目选矿使用的设备采取的隔声降噪措施有</w:t>
      </w:r>
      <w:r>
        <w:rPr>
          <w:rFonts w:ascii="FangSong" w:hAnsi="FangSong" w:eastAsia="FangSong" w:cs="FangSong"/>
          <w:sz w:val="24"/>
          <w:szCs w:val="24"/>
          <w:spacing w:val="-4"/>
        </w:rPr>
        <w:t>：设备安装减震基座、厂房隔</w:t>
      </w:r>
      <w:r>
        <w:rPr>
          <w:rFonts w:ascii="FangSong" w:hAnsi="FangSong" w:eastAsia="FangSong" w:cs="FangSong"/>
          <w:sz w:val="24"/>
          <w:szCs w:val="24"/>
        </w:rPr>
        <w:t>声、泵类安装消声器隔声罩等措施；项目运</w:t>
      </w:r>
      <w:r>
        <w:rPr>
          <w:rFonts w:ascii="FangSong" w:hAnsi="FangSong" w:eastAsia="FangSong" w:cs="FangSong"/>
          <w:sz w:val="24"/>
          <w:szCs w:val="24"/>
          <w:spacing w:val="-1"/>
        </w:rPr>
        <w:t>营期各机械设备噪声源强见</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1"/>
        </w:rPr>
        <w:t>4.13.2.2</w:t>
      </w:r>
      <w:r>
        <w:rPr>
          <w:rFonts w:ascii="FangSong" w:hAnsi="FangSong" w:eastAsia="FangSong" w:cs="FangSong"/>
          <w:sz w:val="24"/>
          <w:szCs w:val="24"/>
          <w:spacing w:val="-6"/>
        </w:rPr>
        <w:t>章节。</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）预测模型</w:t>
      </w:r>
    </w:p>
    <w:p>
      <w:pPr>
        <w:ind w:left="31" w:right="13" w:firstLine="479"/>
        <w:spacing w:before="178" w:line="360" w:lineRule="auto"/>
        <w:rPr>
          <w:rFonts w:ascii="FangSong" w:hAnsi="FangSong" w:eastAsia="FangSong" w:cs="FangSong"/>
          <w:sz w:val="24"/>
          <w:szCs w:val="24"/>
        </w:rPr>
      </w:pPr>
      <w:r>
        <w:rPr>
          <w:rFonts w:ascii="FangSong" w:hAnsi="FangSong" w:eastAsia="FangSong" w:cs="FangSong"/>
          <w:sz w:val="24"/>
          <w:szCs w:val="24"/>
          <w:spacing w:val="1"/>
        </w:rPr>
        <w:t>评价采用《环境影响评价技术导则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声环境》（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2.4-20</w:t>
      </w:r>
      <w:r>
        <w:rPr>
          <w:rFonts w:ascii="Times New Roman" w:hAnsi="Times New Roman" w:eastAsia="Times New Roman" w:cs="Times New Roman"/>
          <w:sz w:val="24"/>
          <w:szCs w:val="24"/>
        </w:rPr>
        <w:t>21</w:t>
      </w:r>
      <w:r>
        <w:rPr>
          <w:rFonts w:ascii="FangSong" w:hAnsi="FangSong" w:eastAsia="FangSong" w:cs="FangSong"/>
          <w:sz w:val="24"/>
          <w:szCs w:val="24"/>
        </w:rPr>
        <w:t>）</w:t>
      </w:r>
      <w:r>
        <w:rPr>
          <w:rFonts w:ascii="FangSong" w:hAnsi="FangSong" w:eastAsia="FangSong" w:cs="FangSong"/>
          <w:sz w:val="24"/>
          <w:szCs w:val="24"/>
          <w:spacing w:val="-66"/>
        </w:rPr>
        <w:t xml:space="preserve"> </w:t>
      </w:r>
      <w:r>
        <w:rPr>
          <w:rFonts w:ascii="FangSong" w:hAnsi="FangSong" w:eastAsia="FangSong" w:cs="FangSong"/>
          <w:sz w:val="24"/>
          <w:szCs w:val="24"/>
        </w:rPr>
        <w:t>中推荐的噪声</w:t>
      </w:r>
      <w:r>
        <w:rPr>
          <w:rFonts w:ascii="FangSong" w:hAnsi="FangSong" w:eastAsia="FangSong" w:cs="FangSong"/>
          <w:sz w:val="24"/>
          <w:szCs w:val="24"/>
          <w:spacing w:val="-1"/>
        </w:rPr>
        <w:t>预测模式。不同类型噪声源强的影响预测模式分述如下：</w:t>
      </w:r>
    </w:p>
    <w:p>
      <w:pPr>
        <w:ind w:left="502"/>
        <w:spacing w:line="219" w:lineRule="auto"/>
        <w:rPr>
          <w:rFonts w:ascii="FangSong" w:hAnsi="FangSong" w:eastAsia="FangSong" w:cs="FangSong"/>
          <w:sz w:val="24"/>
          <w:szCs w:val="24"/>
        </w:rPr>
      </w:pPr>
      <w:r>
        <w:rPr>
          <w:rFonts w:ascii="FangSong" w:hAnsi="FangSong" w:eastAsia="FangSong" w:cs="FangSong"/>
          <w:sz w:val="24"/>
          <w:szCs w:val="24"/>
          <w:spacing w:val="-3"/>
        </w:rPr>
        <w:t>①</w:t>
      </w:r>
      <w:r>
        <w:rPr>
          <w:rFonts w:ascii="FangSong" w:hAnsi="FangSong" w:eastAsia="FangSong" w:cs="FangSong"/>
          <w:sz w:val="24"/>
          <w:szCs w:val="24"/>
          <w:spacing w:val="38"/>
        </w:rPr>
        <w:t xml:space="preserve"> </w:t>
      </w:r>
      <w:r>
        <w:rPr>
          <w:rFonts w:ascii="FangSong" w:hAnsi="FangSong" w:eastAsia="FangSong" w:cs="FangSong"/>
          <w:sz w:val="24"/>
          <w:szCs w:val="24"/>
          <w:spacing w:val="-3"/>
        </w:rPr>
        <w:t>室外声源在预测点产生的声级计算</w:t>
      </w:r>
    </w:p>
    <w:p>
      <w:pPr>
        <w:ind w:left="32" w:right="13" w:firstLine="479"/>
        <w:spacing w:before="181" w:line="360" w:lineRule="auto"/>
        <w:rPr>
          <w:rFonts w:ascii="FangSong" w:hAnsi="FangSong" w:eastAsia="FangSong" w:cs="FangSong"/>
          <w:sz w:val="24"/>
          <w:szCs w:val="24"/>
        </w:rPr>
      </w:pPr>
      <w:r>
        <w:rPr>
          <w:rFonts w:ascii="FangSong" w:hAnsi="FangSong" w:eastAsia="FangSong" w:cs="FangSong"/>
          <w:sz w:val="24"/>
          <w:szCs w:val="24"/>
          <w:spacing w:val="2"/>
        </w:rPr>
        <w:t>采用《环境影响评价技术导则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声环境》（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2.4-2021</w:t>
      </w:r>
      <w:r>
        <w:rPr>
          <w:rFonts w:ascii="FangSong" w:hAnsi="FangSong" w:eastAsia="FangSong" w:cs="FangSong"/>
          <w:sz w:val="24"/>
          <w:szCs w:val="24"/>
          <w:spacing w:val="2"/>
        </w:rPr>
        <w:t>）推荐的噪声衰减模</w:t>
      </w:r>
      <w:r>
        <w:rPr>
          <w:rFonts w:ascii="FangSong" w:hAnsi="FangSong" w:eastAsia="FangSong" w:cs="FangSong"/>
          <w:sz w:val="24"/>
          <w:szCs w:val="24"/>
          <w:spacing w:val="-3"/>
        </w:rPr>
        <w:t>式，先用衰减模式分别计算出各噪声源单独作用在预测点时</w:t>
      </w:r>
      <w:r>
        <w:rPr>
          <w:rFonts w:ascii="FangSong" w:hAnsi="FangSong" w:eastAsia="FangSong" w:cs="FangSong"/>
          <w:sz w:val="24"/>
          <w:szCs w:val="24"/>
          <w:spacing w:val="-4"/>
        </w:rPr>
        <w:t>产生的声压级，然后</w:t>
      </w:r>
      <w:r>
        <w:rPr>
          <w:rFonts w:ascii="FangSong" w:hAnsi="FangSong" w:eastAsia="FangSong" w:cs="FangSong"/>
          <w:sz w:val="24"/>
          <w:szCs w:val="24"/>
          <w:spacing w:val="4"/>
        </w:rPr>
        <w:t>再叠加，即得到该项目声源在预测点产生的等效声</w:t>
      </w:r>
      <w:r>
        <w:rPr>
          <w:rFonts w:ascii="FangSong" w:hAnsi="FangSong" w:eastAsia="FangSong" w:cs="FangSong"/>
          <w:sz w:val="24"/>
          <w:szCs w:val="24"/>
          <w:spacing w:val="3"/>
        </w:rPr>
        <w:t>级贡献值。预测公式如公式</w:t>
      </w:r>
    </w:p>
    <w:p>
      <w:pPr>
        <w:ind w:left="24"/>
        <w:spacing w:before="1" w:line="239" w:lineRule="auto"/>
        <w:rPr>
          <w:rFonts w:ascii="FangSong" w:hAnsi="FangSong" w:eastAsia="FangSong" w:cs="FangSong"/>
          <w:sz w:val="24"/>
          <w:szCs w:val="24"/>
        </w:rPr>
      </w:pPr>
      <w:r>
        <w:rPr>
          <w:rFonts w:ascii="Times New Roman" w:hAnsi="Times New Roman" w:eastAsia="Times New Roman" w:cs="Times New Roman"/>
          <w:sz w:val="24"/>
          <w:szCs w:val="24"/>
          <w:spacing w:val="-2"/>
        </w:rPr>
        <w:t>6.2-1</w:t>
      </w:r>
      <w:r>
        <w:rPr>
          <w:rFonts w:ascii="FangSong" w:hAnsi="FangSong" w:eastAsia="FangSong" w:cs="FangSong"/>
          <w:sz w:val="24"/>
          <w:szCs w:val="24"/>
          <w:spacing w:val="-2"/>
        </w:rPr>
        <w:t>：</w:t>
      </w:r>
    </w:p>
    <w:p>
      <w:pPr>
        <w:ind w:left="496"/>
        <w:spacing w:before="157" w:line="223" w:lineRule="auto"/>
        <w:rPr>
          <w:rFonts w:ascii="FangSong" w:hAnsi="FangSong" w:eastAsia="FangSong" w:cs="FangSong"/>
          <w:sz w:val="24"/>
          <w:szCs w:val="24"/>
        </w:rPr>
      </w:pP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、点源传播衰减模式：</w:t>
      </w:r>
    </w:p>
    <w:p>
      <w:pPr>
        <w:pStyle w:val="BodyText"/>
        <w:ind w:left="1987"/>
        <w:spacing w:before="187"/>
        <w:rPr>
          <w:rFonts w:ascii="FangSong" w:hAnsi="FangSong" w:eastAsia="FangSong" w:cs="FangSong"/>
          <w:sz w:val="24"/>
          <w:szCs w:val="24"/>
        </w:rPr>
      </w:pPr>
      <w:r>
        <w:rPr>
          <w:rFonts w:ascii="Times New Roman" w:hAnsi="Times New Roman" w:eastAsia="Times New Roman" w:cs="Times New Roman"/>
          <w:sz w:val="23"/>
          <w:szCs w:val="23"/>
          <w:position w:val="1"/>
        </w:rPr>
        <w:t>L</w:t>
      </w:r>
      <w:r>
        <w:rPr>
          <w:rFonts w:ascii="Times New Roman" w:hAnsi="Times New Roman" w:eastAsia="Times New Roman" w:cs="Times New Roman"/>
          <w:sz w:val="15"/>
          <w:szCs w:val="15"/>
          <w:position w:val="-4"/>
        </w:rPr>
        <w:t>p</w:t>
      </w:r>
      <w:r>
        <w:rPr>
          <w:rFonts w:ascii="Times New Roman" w:hAnsi="Times New Roman" w:eastAsia="Times New Roman" w:cs="Times New Roman"/>
          <w:sz w:val="15"/>
          <w:szCs w:val="15"/>
          <w:spacing w:val="5"/>
          <w:position w:val="-4"/>
        </w:rPr>
        <w:t xml:space="preserve"> </w:t>
      </w:r>
      <w:r>
        <w:rPr>
          <w:sz w:val="15"/>
          <w:szCs w:val="15"/>
          <w:position w:val="-3"/>
        </w:rPr>
        <w:drawing>
          <wp:inline distT="0" distB="0" distL="0" distR="0">
            <wp:extent cx="154525" cy="244317"/>
            <wp:effectExtent l="0" t="0" r="0" b="0"/>
            <wp:docPr id="72" name="IM 72"/>
            <wp:cNvGraphicFramePr/>
            <a:graphic>
              <a:graphicData uri="http://schemas.openxmlformats.org/drawingml/2006/picture">
                <pic:pic>
                  <pic:nvPicPr>
                    <pic:cNvPr id="72" name="IM 72"/>
                    <pic:cNvPicPr/>
                  </pic:nvPicPr>
                  <pic:blipFill>
                    <a:blip r:embed="rId293"/>
                    <a:stretch>
                      <a:fillRect/>
                    </a:stretch>
                  </pic:blipFill>
                  <pic:spPr>
                    <a:xfrm rot="0">
                      <a:off x="0" y="0"/>
                      <a:ext cx="154525" cy="244317"/>
                    </a:xfrm>
                    <a:prstGeom prst="rect">
                      <a:avLst/>
                    </a:prstGeom>
                  </pic:spPr>
                </pic:pic>
              </a:graphicData>
            </a:graphic>
          </wp:inline>
        </w:drawing>
      </w:r>
      <w:r>
        <w:rPr>
          <w:rFonts w:ascii="Times New Roman" w:hAnsi="Times New Roman" w:eastAsia="Times New Roman" w:cs="Times New Roman"/>
          <w:sz w:val="15"/>
          <w:szCs w:val="15"/>
          <w:spacing w:val="8"/>
          <w:position w:val="-4"/>
        </w:rPr>
        <w:t xml:space="preserve"> </w:t>
      </w:r>
      <w:r>
        <w:rPr>
          <w:sz w:val="23"/>
          <w:szCs w:val="23"/>
          <w:spacing w:val="5"/>
          <w:position w:val="1"/>
        </w:rPr>
        <w:t>= </w:t>
      </w:r>
      <w:r>
        <w:rPr>
          <w:rFonts w:ascii="Times New Roman" w:hAnsi="Times New Roman" w:eastAsia="Times New Roman" w:cs="Times New Roman"/>
          <w:sz w:val="23"/>
          <w:szCs w:val="23"/>
          <w:position w:val="1"/>
        </w:rPr>
        <w:t>L</w:t>
      </w:r>
      <w:r>
        <w:rPr>
          <w:rFonts w:ascii="Times New Roman" w:hAnsi="Times New Roman" w:eastAsia="Times New Roman" w:cs="Times New Roman"/>
          <w:sz w:val="15"/>
          <w:szCs w:val="15"/>
          <w:position w:val="-4"/>
        </w:rPr>
        <w:t>p</w:t>
      </w:r>
      <w:r>
        <w:rPr>
          <w:rFonts w:ascii="Times New Roman" w:hAnsi="Times New Roman" w:eastAsia="Times New Roman" w:cs="Times New Roman"/>
          <w:sz w:val="15"/>
          <w:szCs w:val="15"/>
          <w:spacing w:val="5"/>
          <w:position w:val="-4"/>
        </w:rPr>
        <w:t xml:space="preserve"> </w:t>
      </w:r>
      <w:r>
        <w:rPr>
          <w:sz w:val="15"/>
          <w:szCs w:val="15"/>
          <w:position w:val="-3"/>
        </w:rPr>
        <w:drawing>
          <wp:inline distT="0" distB="0" distL="0" distR="0">
            <wp:extent cx="201873" cy="244317"/>
            <wp:effectExtent l="0" t="0" r="0" b="0"/>
            <wp:docPr id="74" name="IM 74"/>
            <wp:cNvGraphicFramePr/>
            <a:graphic>
              <a:graphicData uri="http://schemas.openxmlformats.org/drawingml/2006/picture">
                <pic:pic>
                  <pic:nvPicPr>
                    <pic:cNvPr id="74" name="IM 74"/>
                    <pic:cNvPicPr/>
                  </pic:nvPicPr>
                  <pic:blipFill>
                    <a:blip r:embed="rId294"/>
                    <a:stretch>
                      <a:fillRect/>
                    </a:stretch>
                  </pic:blipFill>
                  <pic:spPr>
                    <a:xfrm rot="0">
                      <a:off x="0" y="0"/>
                      <a:ext cx="201873" cy="244317"/>
                    </a:xfrm>
                    <a:prstGeom prst="rect">
                      <a:avLst/>
                    </a:prstGeom>
                  </pic:spPr>
                </pic:pic>
              </a:graphicData>
            </a:graphic>
          </wp:inline>
        </w:drawing>
      </w:r>
      <w:r>
        <w:rPr>
          <w:sz w:val="23"/>
          <w:szCs w:val="23"/>
          <w:spacing w:val="5"/>
          <w:position w:val="1"/>
        </w:rPr>
        <w:t>-</w:t>
      </w:r>
      <w:r>
        <w:rPr>
          <w:sz w:val="23"/>
          <w:szCs w:val="23"/>
          <w:spacing w:val="-17"/>
          <w:position w:val="1"/>
        </w:rPr>
        <w:t xml:space="preserve"> </w:t>
      </w:r>
      <w:r>
        <w:rPr>
          <w:rFonts w:ascii="Times New Roman" w:hAnsi="Times New Roman" w:eastAsia="Times New Roman" w:cs="Times New Roman"/>
          <w:sz w:val="23"/>
          <w:szCs w:val="23"/>
          <w:spacing w:val="5"/>
          <w:position w:val="1"/>
        </w:rPr>
        <w:t>20</w:t>
      </w:r>
      <w:r>
        <w:rPr>
          <w:rFonts w:ascii="Times New Roman" w:hAnsi="Times New Roman" w:eastAsia="Times New Roman" w:cs="Times New Roman"/>
          <w:sz w:val="23"/>
          <w:szCs w:val="23"/>
          <w:position w:val="1"/>
        </w:rPr>
        <w:t>lg</w:t>
      </w:r>
      <w:r>
        <w:rPr>
          <w:sz w:val="23"/>
          <w:szCs w:val="23"/>
          <w:position w:val="-27"/>
        </w:rPr>
        <w:drawing>
          <wp:inline distT="0" distB="0" distL="0" distR="0">
            <wp:extent cx="272242" cy="451300"/>
            <wp:effectExtent l="0" t="0" r="0" b="0"/>
            <wp:docPr id="76" name="IM 76"/>
            <wp:cNvGraphicFramePr/>
            <a:graphic>
              <a:graphicData uri="http://schemas.openxmlformats.org/drawingml/2006/picture">
                <pic:pic>
                  <pic:nvPicPr>
                    <pic:cNvPr id="76" name="IM 76"/>
                    <pic:cNvPicPr/>
                  </pic:nvPicPr>
                  <pic:blipFill>
                    <a:blip r:embed="rId295"/>
                    <a:stretch>
                      <a:fillRect/>
                    </a:stretch>
                  </pic:blipFill>
                  <pic:spPr>
                    <a:xfrm rot="0">
                      <a:off x="0" y="0"/>
                      <a:ext cx="272242" cy="451300"/>
                    </a:xfrm>
                    <a:prstGeom prst="rect">
                      <a:avLst/>
                    </a:prstGeom>
                  </pic:spPr>
                </pic:pic>
              </a:graphicData>
            </a:graphic>
          </wp:inline>
        </w:drawing>
      </w:r>
      <w:r>
        <w:rPr>
          <w:rFonts w:ascii="Times New Roman" w:hAnsi="Times New Roman" w:eastAsia="Times New Roman" w:cs="Times New Roman"/>
          <w:sz w:val="23"/>
          <w:szCs w:val="23"/>
          <w:spacing w:val="6"/>
          <w:position w:val="1"/>
        </w:rPr>
        <w:t xml:space="preserve">        </w:t>
      </w:r>
      <w:r>
        <w:rPr>
          <w:rFonts w:ascii="FangSong" w:hAnsi="FangSong" w:eastAsia="FangSong" w:cs="FangSong"/>
          <w:sz w:val="24"/>
          <w:szCs w:val="24"/>
          <w:spacing w:val="5"/>
          <w:position w:val="1"/>
        </w:rPr>
        <w:t>（公式</w:t>
      </w:r>
      <w:r>
        <w:rPr>
          <w:rFonts w:ascii="FangSong" w:hAnsi="FangSong" w:eastAsia="FangSong" w:cs="FangSong"/>
          <w:sz w:val="24"/>
          <w:szCs w:val="24"/>
          <w:spacing w:val="-42"/>
          <w:position w:val="1"/>
        </w:rPr>
        <w:t xml:space="preserve"> </w:t>
      </w:r>
      <w:r>
        <w:rPr>
          <w:rFonts w:ascii="Times New Roman" w:hAnsi="Times New Roman" w:eastAsia="Times New Roman" w:cs="Times New Roman"/>
          <w:sz w:val="24"/>
          <w:szCs w:val="24"/>
          <w:spacing w:val="5"/>
          <w:position w:val="1"/>
        </w:rPr>
        <w:t>6.2-1</w:t>
      </w:r>
      <w:r>
        <w:rPr>
          <w:rFonts w:ascii="FangSong" w:hAnsi="FangSong" w:eastAsia="FangSong" w:cs="FangSong"/>
          <w:sz w:val="24"/>
          <w:szCs w:val="24"/>
          <w:spacing w:val="5"/>
          <w:position w:val="1"/>
        </w:rPr>
        <w:t>）</w:t>
      </w:r>
    </w:p>
    <w:p>
      <w:pPr>
        <w:ind w:left="515"/>
        <w:spacing w:before="217" w:line="218"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position w:val="-1"/>
        </w:rPr>
        <w:t>p</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r</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预测点处声压级，</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w:t>
      </w:r>
    </w:p>
    <w:p>
      <w:pPr>
        <w:ind w:left="1218"/>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spacing w:val="-2"/>
        </w:rPr>
        <w:t>L</w:t>
      </w:r>
      <w:r>
        <w:rPr>
          <w:rFonts w:ascii="Times New Roman" w:hAnsi="Times New Roman" w:eastAsia="Times New Roman" w:cs="Times New Roman"/>
          <w:sz w:val="15"/>
          <w:szCs w:val="15"/>
          <w:spacing w:val="-2"/>
          <w:position w:val="-1"/>
        </w:rPr>
        <w:t>p</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r</w:t>
      </w:r>
      <w:r>
        <w:rPr>
          <w:rFonts w:ascii="Times New Roman" w:hAnsi="Times New Roman" w:eastAsia="Times New Roman" w:cs="Times New Roman"/>
          <w:sz w:val="15"/>
          <w:szCs w:val="15"/>
          <w:spacing w:val="-1"/>
        </w:rPr>
        <w:t>0</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参考位置</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r</w:t>
      </w:r>
      <w:r>
        <w:rPr>
          <w:rFonts w:ascii="Times New Roman" w:hAnsi="Times New Roman" w:eastAsia="Times New Roman" w:cs="Times New Roman"/>
          <w:sz w:val="15"/>
          <w:szCs w:val="15"/>
          <w:spacing w:val="-1"/>
        </w:rPr>
        <w:t>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）处声</w:t>
      </w:r>
      <w:r>
        <w:rPr>
          <w:rFonts w:ascii="FangSong" w:hAnsi="FangSong" w:eastAsia="FangSong" w:cs="FangSong"/>
          <w:sz w:val="24"/>
          <w:szCs w:val="24"/>
          <w:spacing w:val="-2"/>
        </w:rPr>
        <w:t>压级，</w:t>
      </w:r>
      <w:r>
        <w:rPr>
          <w:rFonts w:ascii="Times New Roman" w:hAnsi="Times New Roman" w:eastAsia="Times New Roman" w:cs="Times New Roman"/>
          <w:sz w:val="24"/>
          <w:szCs w:val="24"/>
          <w:spacing w:val="-2"/>
        </w:rPr>
        <w:t>dB</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A</w:t>
      </w:r>
      <w:r>
        <w:rPr>
          <w:rFonts w:ascii="FangSong" w:hAnsi="FangSong" w:eastAsia="FangSong" w:cs="FangSong"/>
          <w:sz w:val="24"/>
          <w:szCs w:val="24"/>
        </w:rPr>
        <w:t>）；</w:t>
      </w:r>
    </w:p>
    <w:p>
      <w:pPr>
        <w:ind w:left="1215"/>
        <w:spacing w:before="184"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r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预测点距声源的距离，</w:t>
      </w:r>
      <w:r>
        <w:rPr>
          <w:rFonts w:ascii="Times New Roman" w:hAnsi="Times New Roman" w:eastAsia="Times New Roman" w:cs="Times New Roman"/>
          <w:sz w:val="24"/>
          <w:szCs w:val="24"/>
          <w:spacing w:val="-1"/>
        </w:rPr>
        <w:t>m</w:t>
      </w:r>
      <w:r>
        <w:rPr>
          <w:rFonts w:ascii="FangSong" w:hAnsi="FangSong" w:eastAsia="FangSong" w:cs="FangSong"/>
          <w:sz w:val="24"/>
          <w:szCs w:val="24"/>
          <w:spacing w:val="-1"/>
        </w:rPr>
        <w:t>；</w:t>
      </w:r>
    </w:p>
    <w:p>
      <w:pPr>
        <w:ind w:left="1215"/>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5"/>
          <w:szCs w:val="15"/>
        </w:rPr>
        <w:t>0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参考位置距声源的距离，</w:t>
      </w:r>
      <w:r>
        <w:rPr>
          <w:rFonts w:ascii="Times New Roman" w:hAnsi="Times New Roman" w:eastAsia="Times New Roman" w:cs="Times New Roman"/>
          <w:sz w:val="24"/>
          <w:szCs w:val="24"/>
        </w:rPr>
        <w:t>m</w:t>
      </w:r>
      <w:r>
        <w:rPr>
          <w:rFonts w:ascii="FangSong" w:hAnsi="FangSong" w:eastAsia="FangSong" w:cs="FangSong"/>
          <w:sz w:val="24"/>
          <w:szCs w:val="24"/>
        </w:rPr>
        <w:t>。</w:t>
      </w:r>
    </w:p>
    <w:p>
      <w:pPr>
        <w:ind w:left="498"/>
        <w:spacing w:before="180" w:line="218"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、建设项目声源在预测点产生的噪声贡献值（</w:t>
      </w:r>
      <w:r>
        <w:rPr>
          <w:rFonts w:ascii="Times New Roman" w:hAnsi="Times New Roman" w:eastAsia="Times New Roman" w:cs="Times New Roman"/>
          <w:sz w:val="24"/>
          <w:szCs w:val="24"/>
          <w:spacing w:val="-2"/>
        </w:rPr>
        <w:t>L</w:t>
      </w:r>
      <w:r>
        <w:rPr>
          <w:rFonts w:ascii="Times New Roman" w:hAnsi="Times New Roman" w:eastAsia="Times New Roman" w:cs="Times New Roman"/>
          <w:sz w:val="15"/>
          <w:szCs w:val="15"/>
          <w:spacing w:val="-2"/>
          <w:position w:val="-1"/>
        </w:rPr>
        <w:t>eqg </w:t>
      </w:r>
      <w:r>
        <w:rPr>
          <w:rFonts w:ascii="FangSong" w:hAnsi="FangSong" w:eastAsia="FangSong" w:cs="FangSong"/>
          <w:sz w:val="24"/>
          <w:szCs w:val="24"/>
          <w:spacing w:val="-3"/>
        </w:rPr>
        <w:t>）如公式</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6.2-2</w:t>
      </w:r>
      <w:r>
        <w:rPr>
          <w:rFonts w:ascii="FangSong" w:hAnsi="FangSong" w:eastAsia="FangSong" w:cs="FangSong"/>
          <w:sz w:val="24"/>
          <w:szCs w:val="24"/>
          <w:spacing w:val="-3"/>
        </w:rPr>
        <w:t>：</w:t>
      </w:r>
    </w:p>
    <w:p>
      <w:pPr>
        <w:pStyle w:val="BodyText"/>
        <w:ind w:left="1889"/>
        <w:spacing w:before="212"/>
        <w:rPr>
          <w:rFonts w:ascii="FangSong" w:hAnsi="FangSong" w:eastAsia="FangSong" w:cs="FangSong"/>
          <w:sz w:val="24"/>
          <w:szCs w:val="24"/>
        </w:rPr>
      </w:pPr>
      <w:r>
        <w:rPr>
          <w:rFonts w:ascii="Times New Roman" w:hAnsi="Times New Roman" w:eastAsia="Times New Roman" w:cs="Times New Roman"/>
          <w:sz w:val="23"/>
          <w:szCs w:val="23"/>
          <w:spacing w:val="-2"/>
          <w:position w:val="1"/>
        </w:rPr>
        <w:t>L</w:t>
      </w:r>
      <w:r>
        <w:rPr>
          <w:rFonts w:ascii="Times New Roman" w:hAnsi="Times New Roman" w:eastAsia="Times New Roman" w:cs="Times New Roman"/>
          <w:sz w:val="15"/>
          <w:szCs w:val="15"/>
          <w:spacing w:val="-2"/>
          <w:position w:val="-4"/>
        </w:rPr>
        <w:t>eqg  </w:t>
      </w:r>
      <w:r>
        <w:rPr>
          <w:sz w:val="23"/>
          <w:szCs w:val="23"/>
          <w:spacing w:val="-2"/>
          <w:position w:val="1"/>
        </w:rPr>
        <w:t>= </w:t>
      </w:r>
      <w:r>
        <w:rPr>
          <w:rFonts w:ascii="Times New Roman" w:hAnsi="Times New Roman" w:eastAsia="Times New Roman" w:cs="Times New Roman"/>
          <w:sz w:val="23"/>
          <w:szCs w:val="23"/>
          <w:spacing w:val="-2"/>
          <w:position w:val="1"/>
        </w:rPr>
        <w:t>10lg</w:t>
      </w:r>
      <w:r>
        <w:rPr>
          <w:sz w:val="23"/>
          <w:szCs w:val="23"/>
          <w:position w:val="-25"/>
        </w:rPr>
        <w:drawing>
          <wp:inline distT="0" distB="0" distL="0" distR="0">
            <wp:extent cx="972848" cy="425545"/>
            <wp:effectExtent l="0" t="0" r="0" b="0"/>
            <wp:docPr id="78" name="IM 78"/>
            <wp:cNvGraphicFramePr/>
            <a:graphic>
              <a:graphicData uri="http://schemas.openxmlformats.org/drawingml/2006/picture">
                <pic:pic>
                  <pic:nvPicPr>
                    <pic:cNvPr id="78" name="IM 78"/>
                    <pic:cNvPicPr/>
                  </pic:nvPicPr>
                  <pic:blipFill>
                    <a:blip r:embed="rId296"/>
                    <a:stretch>
                      <a:fillRect/>
                    </a:stretch>
                  </pic:blipFill>
                  <pic:spPr>
                    <a:xfrm rot="0">
                      <a:off x="0" y="0"/>
                      <a:ext cx="972848" cy="425545"/>
                    </a:xfrm>
                    <a:prstGeom prst="rect">
                      <a:avLst/>
                    </a:prstGeom>
                  </pic:spPr>
                </pic:pic>
              </a:graphicData>
            </a:graphic>
          </wp:inline>
        </w:drawing>
      </w:r>
      <w:r>
        <w:rPr>
          <w:rFonts w:ascii="Times New Roman" w:hAnsi="Times New Roman" w:eastAsia="Times New Roman" w:cs="Times New Roman"/>
          <w:sz w:val="23"/>
          <w:szCs w:val="23"/>
          <w:spacing w:val="2"/>
          <w:position w:val="1"/>
        </w:rPr>
        <w:t xml:space="preserve">         </w:t>
      </w:r>
      <w:r>
        <w:rPr>
          <w:rFonts w:ascii="FangSong" w:hAnsi="FangSong" w:eastAsia="FangSong" w:cs="FangSong"/>
          <w:sz w:val="24"/>
          <w:szCs w:val="24"/>
          <w:spacing w:val="-2"/>
          <w:position w:val="1"/>
        </w:rPr>
        <w:t>（公式</w:t>
      </w:r>
      <w:r>
        <w:rPr>
          <w:rFonts w:ascii="FangSong" w:hAnsi="FangSong" w:eastAsia="FangSong" w:cs="FangSong"/>
          <w:sz w:val="24"/>
          <w:szCs w:val="24"/>
          <w:spacing w:val="-48"/>
          <w:position w:val="1"/>
        </w:rPr>
        <w:t xml:space="preserve"> </w:t>
      </w:r>
      <w:r>
        <w:rPr>
          <w:rFonts w:ascii="Times New Roman" w:hAnsi="Times New Roman" w:eastAsia="Times New Roman" w:cs="Times New Roman"/>
          <w:sz w:val="24"/>
          <w:szCs w:val="24"/>
          <w:spacing w:val="-2"/>
          <w:position w:val="1"/>
        </w:rPr>
        <w:t>6.2-2</w:t>
      </w:r>
      <w:r>
        <w:rPr>
          <w:rFonts w:ascii="FangSong" w:hAnsi="FangSong" w:eastAsia="FangSong" w:cs="FangSong"/>
          <w:sz w:val="24"/>
          <w:szCs w:val="24"/>
          <w:spacing w:val="-2"/>
          <w:position w:val="1"/>
        </w:rPr>
        <w:t>）</w:t>
      </w:r>
    </w:p>
    <w:p>
      <w:pPr>
        <w:ind w:left="515"/>
        <w:spacing w:before="239" w:line="218" w:lineRule="auto"/>
        <w:rPr>
          <w:rFonts w:ascii="FangSong" w:hAnsi="FangSong" w:eastAsia="FangSong" w:cs="FangSong"/>
          <w:sz w:val="24"/>
          <w:szCs w:val="24"/>
        </w:rPr>
      </w:pP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L</w:t>
      </w:r>
      <w:r>
        <w:rPr>
          <w:rFonts w:ascii="Times New Roman" w:hAnsi="Times New Roman" w:eastAsia="Times New Roman" w:cs="Times New Roman"/>
          <w:sz w:val="15"/>
          <w:szCs w:val="15"/>
          <w:spacing w:val="-2"/>
          <w:position w:val="-1"/>
        </w:rPr>
        <w:t>eqg   </w:t>
      </w:r>
      <w:r>
        <w:rPr>
          <w:rFonts w:ascii="FangSong" w:hAnsi="FangSong" w:eastAsia="FangSong" w:cs="FangSong"/>
          <w:sz w:val="24"/>
          <w:szCs w:val="24"/>
          <w:spacing w:val="-2"/>
        </w:rPr>
        <w:t>——</w:t>
      </w:r>
      <w:r>
        <w:rPr>
          <w:rFonts w:ascii="FangSong" w:hAnsi="FangSong" w:eastAsia="FangSong" w:cs="FangSong"/>
          <w:sz w:val="24"/>
          <w:szCs w:val="24"/>
          <w:spacing w:val="33"/>
        </w:rPr>
        <w:t xml:space="preserve"> </w:t>
      </w:r>
      <w:r>
        <w:rPr>
          <w:rFonts w:ascii="FangSong" w:hAnsi="FangSong" w:eastAsia="FangSong" w:cs="FangSong"/>
          <w:sz w:val="24"/>
          <w:szCs w:val="24"/>
          <w:spacing w:val="-2"/>
        </w:rPr>
        <w:t>噪声贡献值，</w:t>
      </w:r>
      <w:r>
        <w:rPr>
          <w:rFonts w:ascii="Times New Roman" w:hAnsi="Times New Roman" w:eastAsia="Times New Roman" w:cs="Times New Roman"/>
          <w:sz w:val="24"/>
          <w:szCs w:val="24"/>
          <w:spacing w:val="-2"/>
        </w:rPr>
        <w:t>dB</w:t>
      </w:r>
      <w:r>
        <w:rPr>
          <w:rFonts w:ascii="FangSong" w:hAnsi="FangSong" w:eastAsia="FangSong" w:cs="FangSong"/>
          <w:sz w:val="24"/>
          <w:szCs w:val="24"/>
          <w:spacing w:val="-2"/>
        </w:rPr>
        <w:t>；</w:t>
      </w:r>
    </w:p>
    <w:p>
      <w:pPr>
        <w:ind w:left="1221"/>
        <w:spacing w:before="183" w:line="22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T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预测计算的时间段，</w:t>
      </w:r>
      <w:r>
        <w:rPr>
          <w:rFonts w:ascii="Times New Roman" w:hAnsi="Times New Roman" w:eastAsia="Times New Roman" w:cs="Times New Roman"/>
          <w:sz w:val="24"/>
          <w:szCs w:val="24"/>
          <w:spacing w:val="-1"/>
        </w:rPr>
        <w:t>s</w:t>
      </w:r>
    </w:p>
    <w:p>
      <w:pPr>
        <w:ind w:left="1216"/>
        <w:spacing w:before="181" w:line="21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ti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i  </w:t>
      </w:r>
      <w:r>
        <w:rPr>
          <w:rFonts w:ascii="FangSong" w:hAnsi="FangSong" w:eastAsia="FangSong" w:cs="FangSong"/>
          <w:sz w:val="24"/>
          <w:szCs w:val="24"/>
          <w:spacing w:val="-2"/>
        </w:rPr>
        <w:t>声源在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2"/>
        </w:rPr>
        <w:t>时间段的运行时间，</w:t>
      </w:r>
      <w:r>
        <w:rPr>
          <w:rFonts w:ascii="Times New Roman" w:hAnsi="Times New Roman" w:eastAsia="Times New Roman" w:cs="Times New Roman"/>
          <w:sz w:val="24"/>
          <w:szCs w:val="24"/>
          <w:spacing w:val="-2"/>
        </w:rPr>
        <w:t>s</w:t>
      </w:r>
    </w:p>
    <w:p>
      <w:pPr>
        <w:ind w:left="1218"/>
        <w:spacing w:before="183" w:line="219"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Ai   </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i  </w:t>
      </w:r>
      <w:r>
        <w:rPr>
          <w:rFonts w:ascii="FangSong" w:hAnsi="FangSong" w:eastAsia="FangSong" w:cs="FangSong"/>
          <w:sz w:val="24"/>
          <w:szCs w:val="24"/>
        </w:rPr>
        <w:t>声源在预测点产生</w:t>
      </w:r>
      <w:r>
        <w:rPr>
          <w:rFonts w:ascii="FangSong" w:hAnsi="FangSong" w:eastAsia="FangSong" w:cs="FangSong"/>
          <w:sz w:val="24"/>
          <w:szCs w:val="24"/>
          <w:spacing w:val="-1"/>
        </w:rPr>
        <w:t>的等效连续</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
        </w:rPr>
        <w:t>声级，</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p>
    <w:p>
      <w:pPr>
        <w:ind w:left="502"/>
        <w:spacing w:before="183" w:line="218" w:lineRule="auto"/>
        <w:rPr>
          <w:rFonts w:ascii="FangSong" w:hAnsi="FangSong" w:eastAsia="FangSong" w:cs="FangSong"/>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、预测点的预测等效声级（</w:t>
      </w:r>
      <w:r>
        <w:rPr>
          <w:rFonts w:ascii="Times New Roman" w:hAnsi="Times New Roman" w:eastAsia="Times New Roman" w:cs="Times New Roman"/>
          <w:sz w:val="24"/>
          <w:szCs w:val="24"/>
          <w:spacing w:val="-3"/>
        </w:rPr>
        <w:t>L</w:t>
      </w:r>
      <w:r>
        <w:rPr>
          <w:rFonts w:ascii="Times New Roman" w:hAnsi="Times New Roman" w:eastAsia="Times New Roman" w:cs="Times New Roman"/>
          <w:sz w:val="15"/>
          <w:szCs w:val="15"/>
          <w:spacing w:val="-3"/>
          <w:position w:val="-1"/>
        </w:rPr>
        <w:t>eq </w:t>
      </w:r>
      <w:r>
        <w:rPr>
          <w:rFonts w:ascii="FangSong" w:hAnsi="FangSong" w:eastAsia="FangSong" w:cs="FangSong"/>
          <w:sz w:val="24"/>
          <w:szCs w:val="24"/>
          <w:spacing w:val="-3"/>
        </w:rPr>
        <w:t>）计算公式如公式</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6.2-3</w:t>
      </w:r>
      <w:r>
        <w:rPr>
          <w:rFonts w:ascii="FangSong" w:hAnsi="FangSong" w:eastAsia="FangSong" w:cs="FangSong"/>
          <w:sz w:val="24"/>
          <w:szCs w:val="24"/>
          <w:spacing w:val="-3"/>
        </w:rPr>
        <w:t>：</w:t>
      </w:r>
    </w:p>
    <w:p>
      <w:pPr>
        <w:pStyle w:val="BodyText"/>
        <w:ind w:left="1848"/>
        <w:spacing w:before="16" w:line="226" w:lineRule="auto"/>
        <w:rPr>
          <w:rFonts w:ascii="FangSong" w:hAnsi="FangSong" w:eastAsia="FangSong" w:cs="FangSong"/>
          <w:sz w:val="24"/>
          <w:szCs w:val="24"/>
        </w:rPr>
      </w:pPr>
      <w:r>
        <w:rPr>
          <w:rFonts w:ascii="Times New Roman" w:hAnsi="Times New Roman" w:eastAsia="Times New Roman" w:cs="Times New Roman"/>
          <w:sz w:val="23"/>
          <w:szCs w:val="23"/>
          <w:spacing w:val="-1"/>
        </w:rPr>
        <w:t>L</w:t>
      </w:r>
      <w:r>
        <w:rPr>
          <w:rFonts w:ascii="Times New Roman" w:hAnsi="Times New Roman" w:eastAsia="Times New Roman" w:cs="Times New Roman"/>
          <w:sz w:val="13"/>
          <w:szCs w:val="13"/>
          <w:spacing w:val="-1"/>
          <w:position w:val="-6"/>
        </w:rPr>
        <w:t>eq</w:t>
      </w:r>
      <w:r>
        <w:rPr>
          <w:rFonts w:ascii="Times New Roman" w:hAnsi="Times New Roman" w:eastAsia="Times New Roman" w:cs="Times New Roman"/>
          <w:sz w:val="13"/>
          <w:szCs w:val="13"/>
          <w:spacing w:val="12"/>
          <w:position w:val="-6"/>
        </w:rPr>
        <w:t xml:space="preserve">  </w:t>
      </w:r>
      <w:r>
        <w:rPr>
          <w:sz w:val="23"/>
          <w:szCs w:val="23"/>
          <w:spacing w:val="-1"/>
        </w:rPr>
        <w:t>= </w:t>
      </w:r>
      <w:r>
        <w:rPr>
          <w:rFonts w:ascii="Times New Roman" w:hAnsi="Times New Roman" w:eastAsia="Times New Roman" w:cs="Times New Roman"/>
          <w:sz w:val="23"/>
          <w:szCs w:val="23"/>
          <w:spacing w:val="-1"/>
        </w:rPr>
        <w:t>10lg</w:t>
      </w:r>
      <w:r>
        <w:rPr>
          <w:sz w:val="23"/>
          <w:szCs w:val="23"/>
          <w:position w:val="-7"/>
        </w:rPr>
        <w:drawing>
          <wp:inline distT="0" distB="0" distL="0" distR="0">
            <wp:extent cx="1092712" cy="337804"/>
            <wp:effectExtent l="0" t="0" r="0" b="0"/>
            <wp:docPr id="80" name="IM 80"/>
            <wp:cNvGraphicFramePr/>
            <a:graphic>
              <a:graphicData uri="http://schemas.openxmlformats.org/drawingml/2006/picture">
                <pic:pic>
                  <pic:nvPicPr>
                    <pic:cNvPr id="80" name="IM 80"/>
                    <pic:cNvPicPr/>
                  </pic:nvPicPr>
                  <pic:blipFill>
                    <a:blip r:embed="rId297"/>
                    <a:stretch>
                      <a:fillRect/>
                    </a:stretch>
                  </pic:blipFill>
                  <pic:spPr>
                    <a:xfrm rot="0">
                      <a:off x="0" y="0"/>
                      <a:ext cx="1092712" cy="337804"/>
                    </a:xfrm>
                    <a:prstGeom prst="rect">
                      <a:avLst/>
                    </a:prstGeom>
                  </pic:spPr>
                </pic:pic>
              </a:graphicData>
            </a:graphic>
          </wp:inline>
        </w:drawing>
      </w:r>
      <w:r>
        <w:rPr>
          <w:rFonts w:ascii="Times New Roman" w:hAnsi="Times New Roman" w:eastAsia="Times New Roman" w:cs="Times New Roman"/>
          <w:sz w:val="23"/>
          <w:szCs w:val="23"/>
          <w:spacing w:val="2"/>
        </w:rPr>
        <w:t xml:space="preserve">        </w:t>
      </w:r>
      <w:r>
        <w:rPr>
          <w:rFonts w:ascii="FangSong" w:hAnsi="FangSong" w:eastAsia="FangSong" w:cs="FangSong"/>
          <w:sz w:val="24"/>
          <w:szCs w:val="24"/>
          <w:spacing w:val="-1"/>
        </w:rPr>
        <w:t>（公式</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1"/>
        </w:rPr>
        <w:t>6.2-3</w:t>
      </w:r>
      <w:r>
        <w:rPr>
          <w:rFonts w:ascii="FangSong" w:hAnsi="FangSong" w:eastAsia="FangSong" w:cs="FangSong"/>
          <w:sz w:val="24"/>
          <w:szCs w:val="24"/>
          <w:spacing w:val="-1"/>
        </w:rPr>
        <w:t>）</w:t>
      </w:r>
    </w:p>
    <w:p>
      <w:pPr>
        <w:ind w:left="515"/>
        <w:spacing w:before="261" w:line="218"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position w:val="-1"/>
        </w:rPr>
        <w:t>eq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预测点的噪声预测值，</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p>
    <w:p>
      <w:pPr>
        <w:spacing w:line="218" w:lineRule="auto"/>
        <w:sectPr>
          <w:headerReference w:type="default" r:id="rId52"/>
          <w:footerReference w:type="default" r:id="rId292"/>
          <w:pgSz w:w="11906" w:h="16839"/>
          <w:pgMar w:top="400" w:right="1785"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18"/>
        <w:spacing w:before="78" w:line="218"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eqg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建设项目声源在预测点产生的噪声贡献值，</w:t>
      </w:r>
      <w:r>
        <w:rPr>
          <w:rFonts w:ascii="Times New Roman" w:hAnsi="Times New Roman" w:eastAsia="Times New Roman" w:cs="Times New Roman"/>
          <w:sz w:val="24"/>
          <w:szCs w:val="24"/>
        </w:rPr>
        <w:t>dB</w:t>
      </w:r>
      <w:r>
        <w:rPr>
          <w:rFonts w:ascii="FangSong" w:hAnsi="FangSong" w:eastAsia="FangSong" w:cs="FangSong"/>
          <w:sz w:val="24"/>
          <w:szCs w:val="24"/>
        </w:rPr>
        <w:t>；</w:t>
      </w:r>
    </w:p>
    <w:p>
      <w:pPr>
        <w:ind w:left="1218"/>
        <w:spacing w:before="184" w:line="218"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eqb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预测点的背景噪声值，</w:t>
      </w:r>
      <w:r>
        <w:rPr>
          <w:rFonts w:ascii="Times New Roman" w:hAnsi="Times New Roman" w:eastAsia="Times New Roman" w:cs="Times New Roman"/>
          <w:sz w:val="24"/>
          <w:szCs w:val="24"/>
        </w:rPr>
        <w:t>dB</w:t>
      </w:r>
      <w:r>
        <w:rPr>
          <w:rFonts w:ascii="FangSong" w:hAnsi="FangSong" w:eastAsia="FangSong" w:cs="FangSong"/>
          <w:sz w:val="24"/>
          <w:szCs w:val="24"/>
        </w:rPr>
        <w:t>。</w:t>
      </w:r>
    </w:p>
    <w:p>
      <w:pPr>
        <w:ind w:left="501"/>
        <w:spacing w:before="183" w:line="222" w:lineRule="auto"/>
        <w:rPr>
          <w:rFonts w:ascii="FangSong" w:hAnsi="FangSong" w:eastAsia="FangSong" w:cs="FangSong"/>
          <w:sz w:val="24"/>
          <w:szCs w:val="24"/>
        </w:rPr>
      </w:pPr>
      <w:r>
        <w:rPr>
          <w:rFonts w:ascii="FangSong" w:hAnsi="FangSong" w:eastAsia="FangSong" w:cs="FangSong"/>
          <w:sz w:val="24"/>
          <w:szCs w:val="24"/>
          <w:spacing w:val="-3"/>
        </w:rPr>
        <w:t>②</w:t>
      </w:r>
      <w:r>
        <w:rPr>
          <w:rFonts w:ascii="FangSong" w:hAnsi="FangSong" w:eastAsia="FangSong" w:cs="FangSong"/>
          <w:sz w:val="24"/>
          <w:szCs w:val="24"/>
          <w:spacing w:val="42"/>
        </w:rPr>
        <w:t xml:space="preserve"> </w:t>
      </w:r>
      <w:r>
        <w:rPr>
          <w:rFonts w:ascii="FangSong" w:hAnsi="FangSong" w:eastAsia="FangSong" w:cs="FangSong"/>
          <w:sz w:val="24"/>
          <w:szCs w:val="24"/>
          <w:spacing w:val="-3"/>
        </w:rPr>
        <w:t>室内声源等效室外声源声功率级计算</w:t>
      </w:r>
    </w:p>
    <w:p>
      <w:pPr>
        <w:ind w:left="35" w:right="65" w:firstLine="460"/>
        <w:spacing w:before="178" w:line="292" w:lineRule="auto"/>
        <w:rPr>
          <w:rFonts w:ascii="FangSong" w:hAnsi="FangSong" w:eastAsia="FangSong" w:cs="FangSong"/>
          <w:sz w:val="24"/>
          <w:szCs w:val="24"/>
        </w:rPr>
      </w:pP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、计算某一室内声源靠近围护结构处产生的倍频带声压级或</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声级，如公</w:t>
      </w:r>
      <w:r>
        <w:rPr>
          <w:rFonts w:ascii="FangSong" w:hAnsi="FangSong" w:eastAsia="FangSong" w:cs="FangSong"/>
          <w:sz w:val="24"/>
          <w:szCs w:val="24"/>
          <w:spacing w:val="-5"/>
        </w:rPr>
        <w:t>式</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6.2-4</w:t>
      </w:r>
      <w:r>
        <w:rPr>
          <w:rFonts w:ascii="FangSong" w:hAnsi="FangSong" w:eastAsia="FangSong" w:cs="FangSong"/>
          <w:sz w:val="24"/>
          <w:szCs w:val="24"/>
          <w:spacing w:val="-5"/>
        </w:rPr>
        <w:t>：</w:t>
      </w:r>
    </w:p>
    <w:p>
      <w:pPr>
        <w:pStyle w:val="BodyText"/>
        <w:ind w:left="1867"/>
        <w:spacing w:before="219"/>
        <w:rPr>
          <w:rFonts w:ascii="FangSong" w:hAnsi="FangSong" w:eastAsia="FangSong" w:cs="FangSong"/>
          <w:sz w:val="24"/>
          <w:szCs w:val="24"/>
        </w:rPr>
      </w:pPr>
      <w:r>
        <w:rPr>
          <w:rFonts w:ascii="Times New Roman" w:hAnsi="Times New Roman" w:eastAsia="Times New Roman" w:cs="Times New Roman"/>
          <w:sz w:val="23"/>
          <w:szCs w:val="23"/>
          <w:position w:val="1"/>
        </w:rPr>
        <w:t>L</w:t>
      </w:r>
      <w:r>
        <w:rPr>
          <w:rFonts w:ascii="Times New Roman" w:hAnsi="Times New Roman" w:eastAsia="Times New Roman" w:cs="Times New Roman"/>
          <w:sz w:val="15"/>
          <w:szCs w:val="15"/>
          <w:position w:val="-4"/>
        </w:rPr>
        <w:t>p</w:t>
      </w:r>
      <w:r>
        <w:rPr>
          <w:rFonts w:ascii="Times New Roman" w:hAnsi="Times New Roman" w:eastAsia="Times New Roman" w:cs="Times New Roman"/>
          <w:sz w:val="15"/>
          <w:szCs w:val="15"/>
          <w:spacing w:val="1"/>
          <w:position w:val="-4"/>
        </w:rPr>
        <w:t>1</w:t>
      </w:r>
      <w:r>
        <w:rPr>
          <w:rFonts w:ascii="Times New Roman" w:hAnsi="Times New Roman" w:eastAsia="Times New Roman" w:cs="Times New Roman"/>
          <w:sz w:val="15"/>
          <w:szCs w:val="15"/>
          <w:spacing w:val="36"/>
          <w:w w:val="101"/>
          <w:position w:val="-4"/>
        </w:rPr>
        <w:t xml:space="preserve"> </w:t>
      </w:r>
      <w:r>
        <w:rPr>
          <w:sz w:val="23"/>
          <w:szCs w:val="23"/>
          <w:spacing w:val="1"/>
          <w:position w:val="1"/>
        </w:rPr>
        <w:t>= </w:t>
      </w:r>
      <w:r>
        <w:rPr>
          <w:rFonts w:ascii="Times New Roman" w:hAnsi="Times New Roman" w:eastAsia="Times New Roman" w:cs="Times New Roman"/>
          <w:sz w:val="23"/>
          <w:szCs w:val="23"/>
          <w:position w:val="1"/>
        </w:rPr>
        <w:t>L</w:t>
      </w:r>
      <w:r>
        <w:rPr>
          <w:rFonts w:ascii="Times New Roman" w:hAnsi="Times New Roman" w:eastAsia="Times New Roman" w:cs="Times New Roman"/>
          <w:sz w:val="15"/>
          <w:szCs w:val="15"/>
          <w:position w:val="-4"/>
        </w:rPr>
        <w:t>w</w:t>
      </w:r>
      <w:r>
        <w:rPr>
          <w:rFonts w:ascii="Times New Roman" w:hAnsi="Times New Roman" w:eastAsia="Times New Roman" w:cs="Times New Roman"/>
          <w:sz w:val="15"/>
          <w:szCs w:val="15"/>
          <w:spacing w:val="1"/>
          <w:position w:val="-4"/>
        </w:rPr>
        <w:t xml:space="preserve">  </w:t>
      </w:r>
      <w:r>
        <w:rPr>
          <w:sz w:val="23"/>
          <w:szCs w:val="23"/>
          <w:spacing w:val="1"/>
          <w:position w:val="1"/>
        </w:rPr>
        <w:t>+</w:t>
      </w:r>
      <w:r>
        <w:rPr>
          <w:rFonts w:ascii="Times New Roman" w:hAnsi="Times New Roman" w:eastAsia="Times New Roman" w:cs="Times New Roman"/>
          <w:sz w:val="23"/>
          <w:szCs w:val="23"/>
          <w:spacing w:val="1"/>
          <w:position w:val="1"/>
        </w:rPr>
        <w:t>10</w:t>
      </w:r>
      <w:r>
        <w:rPr>
          <w:rFonts w:ascii="Times New Roman" w:hAnsi="Times New Roman" w:eastAsia="Times New Roman" w:cs="Times New Roman"/>
          <w:sz w:val="23"/>
          <w:szCs w:val="23"/>
          <w:position w:val="1"/>
        </w:rPr>
        <w:t>lg</w:t>
      </w:r>
      <w:r>
        <w:rPr>
          <w:sz w:val="23"/>
          <w:szCs w:val="23"/>
          <w:position w:val="-23"/>
        </w:rPr>
        <w:drawing>
          <wp:inline distT="0" distB="0" distL="0" distR="0">
            <wp:extent cx="720728" cy="406965"/>
            <wp:effectExtent l="0" t="0" r="0" b="0"/>
            <wp:docPr id="82" name="IM 82"/>
            <wp:cNvGraphicFramePr/>
            <a:graphic>
              <a:graphicData uri="http://schemas.openxmlformats.org/drawingml/2006/picture">
                <pic:pic>
                  <pic:nvPicPr>
                    <pic:cNvPr id="82" name="IM 82"/>
                    <pic:cNvPicPr/>
                  </pic:nvPicPr>
                  <pic:blipFill>
                    <a:blip r:embed="rId299"/>
                    <a:stretch>
                      <a:fillRect/>
                    </a:stretch>
                  </pic:blipFill>
                  <pic:spPr>
                    <a:xfrm rot="0">
                      <a:off x="0" y="0"/>
                      <a:ext cx="720728" cy="406965"/>
                    </a:xfrm>
                    <a:prstGeom prst="rect">
                      <a:avLst/>
                    </a:prstGeom>
                  </pic:spPr>
                </pic:pic>
              </a:graphicData>
            </a:graphic>
          </wp:inline>
        </w:drawing>
      </w:r>
      <w:r>
        <w:rPr>
          <w:rFonts w:ascii="Times New Roman" w:hAnsi="Times New Roman" w:eastAsia="Times New Roman" w:cs="Times New Roman"/>
          <w:sz w:val="23"/>
          <w:szCs w:val="23"/>
          <w:position w:val="1"/>
        </w:rPr>
        <w:t xml:space="preserve">         </w:t>
      </w:r>
      <w:r>
        <w:rPr>
          <w:rFonts w:ascii="FangSong" w:hAnsi="FangSong" w:eastAsia="FangSong" w:cs="FangSong"/>
          <w:sz w:val="24"/>
          <w:szCs w:val="24"/>
          <w:spacing w:val="1"/>
          <w:position w:val="1"/>
        </w:rPr>
        <w:t>（公式</w:t>
      </w:r>
      <w:r>
        <w:rPr>
          <w:rFonts w:ascii="FangSong" w:hAnsi="FangSong" w:eastAsia="FangSong" w:cs="FangSong"/>
          <w:sz w:val="24"/>
          <w:szCs w:val="24"/>
          <w:spacing w:val="-42"/>
          <w:position w:val="1"/>
        </w:rPr>
        <w:t xml:space="preserve"> </w:t>
      </w:r>
      <w:r>
        <w:rPr>
          <w:rFonts w:ascii="Times New Roman" w:hAnsi="Times New Roman" w:eastAsia="Times New Roman" w:cs="Times New Roman"/>
          <w:sz w:val="24"/>
          <w:szCs w:val="24"/>
          <w:spacing w:val="1"/>
          <w:position w:val="1"/>
        </w:rPr>
        <w:t>6.2-4</w:t>
      </w:r>
      <w:r>
        <w:rPr>
          <w:rFonts w:ascii="FangSong" w:hAnsi="FangSong" w:eastAsia="FangSong" w:cs="FangSong"/>
          <w:sz w:val="24"/>
          <w:szCs w:val="24"/>
          <w:spacing w:val="1"/>
          <w:position w:val="1"/>
        </w:rPr>
        <w:t>）</w:t>
      </w:r>
    </w:p>
    <w:p>
      <w:pPr>
        <w:ind w:left="2421" w:right="153" w:hanging="1906"/>
        <w:spacing w:before="255" w:line="353" w:lineRule="auto"/>
        <w:rPr>
          <w:rFonts w:ascii="FangSong" w:hAnsi="FangSong" w:eastAsia="FangSong" w:cs="FangSong"/>
          <w:sz w:val="24"/>
          <w:szCs w:val="24"/>
        </w:rPr>
      </w:pP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L</w:t>
      </w:r>
      <w:r>
        <w:rPr>
          <w:rFonts w:ascii="Times New Roman" w:hAnsi="Times New Roman" w:eastAsia="Times New Roman" w:cs="Times New Roman"/>
          <w:sz w:val="15"/>
          <w:szCs w:val="15"/>
          <w:spacing w:val="-2"/>
          <w:position w:val="-1"/>
        </w:rPr>
        <w:t>p1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靠近开口处（或窗户）室内某倍频</w:t>
      </w:r>
      <w:r>
        <w:rPr>
          <w:rFonts w:ascii="FangSong" w:hAnsi="FangSong" w:eastAsia="FangSong" w:cs="FangSong"/>
          <w:sz w:val="24"/>
          <w:szCs w:val="24"/>
          <w:spacing w:val="-3"/>
        </w:rPr>
        <w:t>带的声压级或</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声级，</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dB</w:t>
      </w:r>
      <w:r>
        <w:rPr>
          <w:rFonts w:ascii="FangSong" w:hAnsi="FangSong" w:eastAsia="FangSong" w:cs="FangSong"/>
          <w:sz w:val="24"/>
          <w:szCs w:val="24"/>
          <w:spacing w:val="-3"/>
        </w:rPr>
        <w:t>；</w:t>
      </w:r>
    </w:p>
    <w:p>
      <w:pPr>
        <w:ind w:left="1218"/>
        <w:spacing w:before="18"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position w:val="-1"/>
        </w:rPr>
        <w:t>w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点声源声功率级（</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
        </w:rPr>
        <w:t>计权或倍频带</w:t>
      </w:r>
      <w:r>
        <w:rPr>
          <w:rFonts w:ascii="FangSong" w:hAnsi="FangSong" w:eastAsia="FangSong" w:cs="FangSong"/>
          <w:sz w:val="24"/>
          <w:szCs w:val="24"/>
          <w:spacing w:val="6"/>
        </w:rPr>
        <w:t>），</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p>
    <w:p>
      <w:pPr>
        <w:ind w:left="2182" w:hanging="960"/>
        <w:spacing w:before="180" w:line="346" w:lineRule="auto"/>
        <w:rPr>
          <w:rFonts w:ascii="FangSong" w:hAnsi="FangSong" w:eastAsia="FangSong" w:cs="FangSong"/>
          <w:sz w:val="24"/>
          <w:szCs w:val="24"/>
        </w:rPr>
      </w:pPr>
      <w:r>
        <w:rPr>
          <w:rFonts w:ascii="Times New Roman" w:hAnsi="Times New Roman" w:eastAsia="Times New Roman" w:cs="Times New Roman"/>
          <w:sz w:val="24"/>
          <w:szCs w:val="24"/>
          <w:spacing w:val="-6"/>
        </w:rPr>
        <w:t>Q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指向性因数；通常对无指向性</w:t>
      </w:r>
      <w:r>
        <w:rPr>
          <w:rFonts w:ascii="FangSong" w:hAnsi="FangSong" w:eastAsia="FangSong" w:cs="FangSong"/>
          <w:sz w:val="24"/>
          <w:szCs w:val="24"/>
          <w:spacing w:val="-7"/>
        </w:rPr>
        <w:t>声源，当声源放在房间中心时，</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Q=1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；当放在一面墙的中心时，</w:t>
      </w:r>
      <w:r>
        <w:rPr>
          <w:rFonts w:ascii="Times New Roman" w:hAnsi="Times New Roman" w:eastAsia="Times New Roman" w:cs="Times New Roman"/>
          <w:sz w:val="24"/>
          <w:szCs w:val="24"/>
          <w:spacing w:val="-3"/>
        </w:rPr>
        <w:t>Q=2</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；当放在两面墙夹角处</w:t>
      </w:r>
      <w:r>
        <w:rPr>
          <w:rFonts w:ascii="FangSong" w:hAnsi="FangSong" w:eastAsia="FangSong" w:cs="FangSong"/>
          <w:sz w:val="24"/>
          <w:szCs w:val="24"/>
          <w:spacing w:val="-1"/>
        </w:rPr>
        <w:t>时，</w:t>
      </w:r>
      <w:r>
        <w:rPr>
          <w:rFonts w:ascii="Times New Roman" w:hAnsi="Times New Roman" w:eastAsia="Times New Roman" w:cs="Times New Roman"/>
          <w:sz w:val="24"/>
          <w:szCs w:val="24"/>
          <w:spacing w:val="-1"/>
        </w:rPr>
        <w:t>Q=4</w:t>
      </w:r>
      <w:r>
        <w:rPr>
          <w:rFonts w:ascii="FangSong" w:hAnsi="FangSong" w:eastAsia="FangSong" w:cs="FangSong"/>
          <w:sz w:val="24"/>
          <w:szCs w:val="24"/>
          <w:spacing w:val="-1"/>
        </w:rPr>
        <w:t>；当放在三面墙夹角处时，</w:t>
      </w:r>
      <w:r>
        <w:rPr>
          <w:rFonts w:ascii="Times New Roman" w:hAnsi="Times New Roman" w:eastAsia="Times New Roman" w:cs="Times New Roman"/>
          <w:sz w:val="24"/>
          <w:szCs w:val="24"/>
          <w:spacing w:val="-1"/>
        </w:rPr>
        <w:t>Q=8</w:t>
      </w:r>
      <w:r>
        <w:rPr>
          <w:rFonts w:ascii="FangSong" w:hAnsi="FangSong" w:eastAsia="FangSong" w:cs="FangSong"/>
          <w:sz w:val="24"/>
          <w:szCs w:val="24"/>
          <w:spacing w:val="-1"/>
        </w:rPr>
        <w:t>；</w:t>
      </w:r>
    </w:p>
    <w:p>
      <w:pPr>
        <w:ind w:left="2189" w:right="65" w:hanging="971"/>
        <w:spacing w:before="13" w:line="356" w:lineRule="auto"/>
        <w:rPr>
          <w:rFonts w:ascii="FangSong" w:hAnsi="FangSong" w:eastAsia="FangSong" w:cs="FangSong"/>
          <w:sz w:val="24"/>
          <w:szCs w:val="24"/>
        </w:rPr>
      </w:pPr>
      <w:r>
        <w:rPr>
          <w:rFonts w:ascii="Times New Roman" w:hAnsi="Times New Roman" w:eastAsia="Times New Roman" w:cs="Times New Roman"/>
          <w:sz w:val="24"/>
          <w:szCs w:val="24"/>
          <w:spacing w:val="-5"/>
        </w:rPr>
        <w:t>R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房间常数；</w:t>
      </w:r>
      <w:r>
        <w:rPr>
          <w:rFonts w:ascii="Times New Roman" w:hAnsi="Times New Roman" w:eastAsia="Times New Roman" w:cs="Times New Roman"/>
          <w:sz w:val="24"/>
          <w:szCs w:val="24"/>
          <w:spacing w:val="-5"/>
        </w:rPr>
        <w:t>R=Sα/</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1-α</w:t>
      </w:r>
      <w:r>
        <w:rPr>
          <w:rFonts w:ascii="FangSong" w:hAnsi="FangSong" w:eastAsia="FangSong" w:cs="FangSong"/>
          <w:sz w:val="24"/>
          <w:szCs w:val="24"/>
          <w:spacing w:val="-6"/>
        </w:rPr>
        <w:t>)</w:t>
      </w:r>
      <w:r>
        <w:rPr>
          <w:rFonts w:ascii="FangSong" w:hAnsi="FangSong" w:eastAsia="FangSong" w:cs="FangSong"/>
          <w:sz w:val="24"/>
          <w:szCs w:val="24"/>
          <w:spacing w:val="30"/>
        </w:rPr>
        <w:t xml:space="preserve"> </w:t>
      </w:r>
      <w:r>
        <w:rPr>
          <w:rFonts w:ascii="FangSong" w:hAnsi="FangSong" w:eastAsia="FangSong" w:cs="FangSong"/>
          <w:sz w:val="24"/>
          <w:szCs w:val="24"/>
          <w:spacing w:val="-6"/>
        </w:rPr>
        <w:t>,</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S</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6"/>
        </w:rPr>
        <w:t>为房间内表面面积，</w:t>
      </w:r>
      <w:r>
        <w:rPr>
          <w:rFonts w:ascii="Times New Roman" w:hAnsi="Times New Roman" w:eastAsia="Times New Roman" w:cs="Times New Roman"/>
          <w:sz w:val="24"/>
          <w:szCs w:val="24"/>
          <w:spacing w:val="-6"/>
        </w:rPr>
        <w:t>m</w:t>
      </w:r>
      <w:r>
        <w:rPr>
          <w:rFonts w:ascii="Times New Roman" w:hAnsi="Times New Roman" w:eastAsia="Times New Roman" w:cs="Times New Roman"/>
          <w:sz w:val="15"/>
          <w:szCs w:val="15"/>
          <w:spacing w:val="-6"/>
          <w:position w:val="7"/>
        </w:rPr>
        <w:t>2</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α</w:t>
      </w:r>
      <w:r>
        <w:rPr>
          <w:rFonts w:ascii="FangSong" w:hAnsi="FangSong" w:eastAsia="FangSong" w:cs="FangSong"/>
          <w:sz w:val="24"/>
          <w:szCs w:val="24"/>
          <w:spacing w:val="-6"/>
        </w:rPr>
        <w:t>为平</w:t>
      </w:r>
      <w:r>
        <w:rPr>
          <w:rFonts w:ascii="FangSong" w:hAnsi="FangSong" w:eastAsia="FangSong" w:cs="FangSong"/>
          <w:sz w:val="24"/>
          <w:szCs w:val="24"/>
          <w:spacing w:val="-3"/>
        </w:rPr>
        <w:t>均吸声系数；</w:t>
      </w:r>
    </w:p>
    <w:p>
      <w:pPr>
        <w:ind w:left="1215"/>
        <w:spacing w:before="53" w:line="222" w:lineRule="auto"/>
        <w:rPr>
          <w:rFonts w:ascii="FangSong" w:hAnsi="FangSong" w:eastAsia="FangSong" w:cs="FangSong"/>
          <w:sz w:val="24"/>
          <w:szCs w:val="24"/>
        </w:rPr>
      </w:pPr>
      <w:r>
        <w:rPr>
          <w:rFonts w:ascii="Times New Roman" w:hAnsi="Times New Roman" w:eastAsia="Times New Roman" w:cs="Times New Roman"/>
          <w:sz w:val="24"/>
          <w:szCs w:val="24"/>
        </w:rPr>
        <w:t>r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声源到靠近围护结构某点处的距</w:t>
      </w:r>
      <w:r>
        <w:rPr>
          <w:rFonts w:ascii="FangSong" w:hAnsi="FangSong" w:eastAsia="FangSong" w:cs="FangSong"/>
          <w:sz w:val="24"/>
          <w:szCs w:val="24"/>
          <w:spacing w:val="-1"/>
        </w:rPr>
        <w:t>离，</w:t>
      </w:r>
      <w:r>
        <w:rPr>
          <w:rFonts w:ascii="Times New Roman" w:hAnsi="Times New Roman" w:eastAsia="Times New Roman" w:cs="Times New Roman"/>
          <w:sz w:val="24"/>
          <w:szCs w:val="24"/>
          <w:spacing w:val="-1"/>
        </w:rPr>
        <w:t>m</w:t>
      </w:r>
      <w:r>
        <w:rPr>
          <w:rFonts w:ascii="FangSong" w:hAnsi="FangSong" w:eastAsia="FangSong" w:cs="FangSong"/>
          <w:sz w:val="24"/>
          <w:szCs w:val="24"/>
          <w:spacing w:val="-1"/>
        </w:rPr>
        <w:t>。</w:t>
      </w:r>
    </w:p>
    <w:p>
      <w:pPr>
        <w:ind w:left="498"/>
        <w:spacing w:before="181" w:line="219" w:lineRule="auto"/>
        <w:rPr>
          <w:rFonts w:ascii="FangSong" w:hAnsi="FangSong" w:eastAsia="FangSong" w:cs="FangSong"/>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、计算出所有室内声源在围护结构处产生的</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rPr>
        <w:t>倍频带叠加声压级，如公式</w:t>
      </w:r>
    </w:p>
    <w:p>
      <w:pPr>
        <w:ind w:left="24"/>
        <w:spacing w:before="182" w:line="239" w:lineRule="auto"/>
        <w:rPr>
          <w:rFonts w:ascii="FangSong" w:hAnsi="FangSong" w:eastAsia="FangSong" w:cs="FangSong"/>
          <w:sz w:val="24"/>
          <w:szCs w:val="24"/>
        </w:rPr>
      </w:pPr>
      <w:r>
        <w:rPr>
          <w:rFonts w:ascii="Times New Roman" w:hAnsi="Times New Roman" w:eastAsia="Times New Roman" w:cs="Times New Roman"/>
          <w:sz w:val="24"/>
          <w:szCs w:val="24"/>
          <w:spacing w:val="-2"/>
        </w:rPr>
        <w:t>6.2-5</w:t>
      </w:r>
      <w:r>
        <w:rPr>
          <w:rFonts w:ascii="FangSong" w:hAnsi="FangSong" w:eastAsia="FangSong" w:cs="FangSong"/>
          <w:sz w:val="24"/>
          <w:szCs w:val="24"/>
          <w:spacing w:val="-2"/>
        </w:rPr>
        <w:t>：</w:t>
      </w:r>
    </w:p>
    <w:p>
      <w:pPr>
        <w:pStyle w:val="BodyText"/>
        <w:ind w:left="1917"/>
        <w:spacing w:before="156"/>
        <w:rPr>
          <w:rFonts w:ascii="FangSong" w:hAnsi="FangSong" w:eastAsia="FangSong" w:cs="FangSong"/>
          <w:sz w:val="24"/>
          <w:szCs w:val="24"/>
        </w:rPr>
      </w:pPr>
      <w:r>
        <w:rPr>
          <w:rFonts w:ascii="Times New Roman" w:hAnsi="Times New Roman" w:eastAsia="Times New Roman" w:cs="Times New Roman"/>
          <w:sz w:val="23"/>
          <w:szCs w:val="23"/>
          <w:spacing w:val="-3"/>
          <w:position w:val="1"/>
        </w:rPr>
        <w:t>L</w:t>
      </w:r>
      <w:r>
        <w:rPr>
          <w:rFonts w:ascii="Times New Roman" w:hAnsi="Times New Roman" w:eastAsia="Times New Roman" w:cs="Times New Roman"/>
          <w:sz w:val="15"/>
          <w:szCs w:val="15"/>
          <w:spacing w:val="-3"/>
          <w:position w:val="-4"/>
        </w:rPr>
        <w:t>p1i </w:t>
      </w:r>
      <w:r>
        <w:rPr>
          <w:sz w:val="15"/>
          <w:szCs w:val="15"/>
          <w:position w:val="-3"/>
        </w:rPr>
        <w:drawing>
          <wp:inline distT="0" distB="0" distL="0" distR="0">
            <wp:extent cx="192389" cy="244317"/>
            <wp:effectExtent l="0" t="0" r="0" b="0"/>
            <wp:docPr id="84" name="IM 84"/>
            <wp:cNvGraphicFramePr/>
            <a:graphic>
              <a:graphicData uri="http://schemas.openxmlformats.org/drawingml/2006/picture">
                <pic:pic>
                  <pic:nvPicPr>
                    <pic:cNvPr id="84" name="IM 84"/>
                    <pic:cNvPicPr/>
                  </pic:nvPicPr>
                  <pic:blipFill>
                    <a:blip r:embed="rId300"/>
                    <a:stretch>
                      <a:fillRect/>
                    </a:stretch>
                  </pic:blipFill>
                  <pic:spPr>
                    <a:xfrm rot="0">
                      <a:off x="0" y="0"/>
                      <a:ext cx="192389" cy="244317"/>
                    </a:xfrm>
                    <a:prstGeom prst="rect">
                      <a:avLst/>
                    </a:prstGeom>
                  </pic:spPr>
                </pic:pic>
              </a:graphicData>
            </a:graphic>
          </wp:inline>
        </w:drawing>
      </w:r>
      <w:r>
        <w:rPr>
          <w:rFonts w:ascii="Times New Roman" w:hAnsi="Times New Roman" w:eastAsia="Times New Roman" w:cs="Times New Roman"/>
          <w:sz w:val="15"/>
          <w:szCs w:val="15"/>
          <w:spacing w:val="21"/>
          <w:w w:val="102"/>
          <w:position w:val="-4"/>
        </w:rPr>
        <w:t xml:space="preserve"> </w:t>
      </w:r>
      <w:r>
        <w:rPr>
          <w:sz w:val="23"/>
          <w:szCs w:val="23"/>
          <w:spacing w:val="-3"/>
          <w:position w:val="1"/>
        </w:rPr>
        <w:t>= </w:t>
      </w:r>
      <w:r>
        <w:rPr>
          <w:rFonts w:ascii="Times New Roman" w:hAnsi="Times New Roman" w:eastAsia="Times New Roman" w:cs="Times New Roman"/>
          <w:sz w:val="23"/>
          <w:szCs w:val="23"/>
          <w:spacing w:val="-3"/>
          <w:position w:val="1"/>
        </w:rPr>
        <w:t>10lg</w:t>
      </w:r>
      <w:r>
        <w:rPr>
          <w:sz w:val="23"/>
          <w:szCs w:val="23"/>
          <w:position w:val="-28"/>
        </w:rPr>
        <w:drawing>
          <wp:inline distT="0" distB="0" distL="0" distR="0">
            <wp:extent cx="770134" cy="464813"/>
            <wp:effectExtent l="0" t="0" r="0" b="0"/>
            <wp:docPr id="86" name="IM 86"/>
            <wp:cNvGraphicFramePr/>
            <a:graphic>
              <a:graphicData uri="http://schemas.openxmlformats.org/drawingml/2006/picture">
                <pic:pic>
                  <pic:nvPicPr>
                    <pic:cNvPr id="86" name="IM 86"/>
                    <pic:cNvPicPr/>
                  </pic:nvPicPr>
                  <pic:blipFill>
                    <a:blip r:embed="rId301"/>
                    <a:stretch>
                      <a:fillRect/>
                    </a:stretch>
                  </pic:blipFill>
                  <pic:spPr>
                    <a:xfrm rot="0">
                      <a:off x="0" y="0"/>
                      <a:ext cx="770134" cy="464813"/>
                    </a:xfrm>
                    <a:prstGeom prst="rect">
                      <a:avLst/>
                    </a:prstGeom>
                  </pic:spPr>
                </pic:pic>
              </a:graphicData>
            </a:graphic>
          </wp:inline>
        </w:drawing>
      </w:r>
      <w:r>
        <w:rPr>
          <w:rFonts w:ascii="Times New Roman" w:hAnsi="Times New Roman" w:eastAsia="Times New Roman" w:cs="Times New Roman"/>
          <w:sz w:val="23"/>
          <w:szCs w:val="23"/>
          <w:spacing w:val="6"/>
          <w:position w:val="1"/>
        </w:rPr>
        <w:t xml:space="preserve">        </w:t>
      </w:r>
      <w:r>
        <w:rPr>
          <w:rFonts w:ascii="FangSong" w:hAnsi="FangSong" w:eastAsia="FangSong" w:cs="FangSong"/>
          <w:sz w:val="24"/>
          <w:szCs w:val="24"/>
          <w:spacing w:val="-3"/>
          <w:position w:val="1"/>
        </w:rPr>
        <w:t>（公式</w:t>
      </w:r>
      <w:r>
        <w:rPr>
          <w:rFonts w:ascii="FangSong" w:hAnsi="FangSong" w:eastAsia="FangSong" w:cs="FangSong"/>
          <w:sz w:val="24"/>
          <w:szCs w:val="24"/>
          <w:spacing w:val="-43"/>
          <w:position w:val="1"/>
        </w:rPr>
        <w:t xml:space="preserve"> </w:t>
      </w:r>
      <w:r>
        <w:rPr>
          <w:rFonts w:ascii="Times New Roman" w:hAnsi="Times New Roman" w:eastAsia="Times New Roman" w:cs="Times New Roman"/>
          <w:sz w:val="24"/>
          <w:szCs w:val="24"/>
          <w:spacing w:val="-3"/>
          <w:position w:val="1"/>
        </w:rPr>
        <w:t>6.2-5</w:t>
      </w:r>
      <w:r>
        <w:rPr>
          <w:rFonts w:ascii="FangSong" w:hAnsi="FangSong" w:eastAsia="FangSong" w:cs="FangSong"/>
          <w:sz w:val="24"/>
          <w:szCs w:val="24"/>
          <w:spacing w:val="-3"/>
          <w:position w:val="1"/>
        </w:rPr>
        <w:t>）</w:t>
      </w:r>
    </w:p>
    <w:p>
      <w:pPr>
        <w:ind w:left="2661" w:hanging="2146"/>
        <w:spacing w:before="206" w:line="353" w:lineRule="auto"/>
        <w:rPr>
          <w:rFonts w:ascii="FangSong" w:hAnsi="FangSong" w:eastAsia="FangSong" w:cs="FangSong"/>
          <w:sz w:val="24"/>
          <w:szCs w:val="24"/>
        </w:rPr>
      </w:pPr>
      <w:r>
        <w:rPr>
          <w:rFonts w:ascii="FangSong" w:hAnsi="FangSong" w:eastAsia="FangSong" w:cs="FangSong"/>
          <w:sz w:val="24"/>
          <w:szCs w:val="24"/>
          <w:spacing w:val="-25"/>
        </w:rPr>
        <w:t>式中：</w:t>
      </w:r>
      <w:r>
        <w:rPr>
          <w:rFonts w:ascii="Times New Roman" w:hAnsi="Times New Roman" w:eastAsia="Times New Roman" w:cs="Times New Roman"/>
          <w:sz w:val="24"/>
          <w:szCs w:val="24"/>
          <w:spacing w:val="-25"/>
        </w:rPr>
        <w:t>L</w:t>
      </w:r>
      <w:r>
        <w:rPr>
          <w:rFonts w:ascii="Times New Roman" w:hAnsi="Times New Roman" w:eastAsia="Times New Roman" w:cs="Times New Roman"/>
          <w:sz w:val="15"/>
          <w:szCs w:val="15"/>
          <w:position w:val="-1"/>
        </w:rPr>
        <w:t>p</w:t>
      </w:r>
      <w:r>
        <w:rPr>
          <w:rFonts w:ascii="Times New Roman" w:hAnsi="Times New Roman" w:eastAsia="Times New Roman" w:cs="Times New Roman"/>
          <w:sz w:val="15"/>
          <w:szCs w:val="15"/>
          <w:spacing w:val="5"/>
          <w:position w:val="-1"/>
        </w:rPr>
        <w:t>1i</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T</w:t>
      </w:r>
      <w:r>
        <w:rPr>
          <w:rFonts w:ascii="FangSong" w:hAnsi="FangSong" w:eastAsia="FangSong" w:cs="FangSong"/>
          <w:sz w:val="24"/>
          <w:szCs w:val="24"/>
          <w:spacing w:val="-4"/>
        </w:rPr>
        <w:t>）</w:t>
      </w:r>
      <w:r>
        <w:rPr>
          <w:rFonts w:ascii="FangSong" w:hAnsi="FangSong" w:eastAsia="FangSong" w:cs="FangSong"/>
          <w:sz w:val="24"/>
          <w:szCs w:val="24"/>
          <w:spacing w:val="-68"/>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靠近围护结构处室内</w:t>
      </w: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个声源</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4"/>
        </w:rPr>
        <w:t>倍频带的叠加声压级，</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dB</w:t>
      </w:r>
      <w:r>
        <w:rPr>
          <w:rFonts w:ascii="FangSong" w:hAnsi="FangSong" w:eastAsia="FangSong" w:cs="FangSong"/>
          <w:sz w:val="24"/>
          <w:szCs w:val="24"/>
          <w:spacing w:val="-3"/>
        </w:rPr>
        <w:t>；</w:t>
      </w:r>
    </w:p>
    <w:p>
      <w:pPr>
        <w:ind w:left="1218"/>
        <w:spacing w:before="18" w:line="212"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p1ij   </w:t>
      </w:r>
      <w:r>
        <w:rPr>
          <w:rFonts w:ascii="FangSong" w:hAnsi="FangSong" w:eastAsia="FangSong" w:cs="FangSong"/>
          <w:sz w:val="24"/>
          <w:szCs w:val="24"/>
        </w:rPr>
        <w:t>——</w:t>
      </w:r>
      <w:r>
        <w:rPr>
          <w:rFonts w:ascii="FangSong" w:hAnsi="FangSong" w:eastAsia="FangSong" w:cs="FangSong"/>
          <w:sz w:val="24"/>
          <w:szCs w:val="24"/>
          <w:spacing w:val="34"/>
        </w:rPr>
        <w:t xml:space="preserve"> </w:t>
      </w:r>
      <w:r>
        <w:rPr>
          <w:rFonts w:ascii="FangSong" w:hAnsi="FangSong" w:eastAsia="FangSong" w:cs="FangSong"/>
          <w:sz w:val="24"/>
          <w:szCs w:val="24"/>
        </w:rPr>
        <w:t>室内</w:t>
      </w:r>
      <w:r>
        <w:rPr>
          <w:rFonts w:ascii="Times New Roman" w:hAnsi="Times New Roman" w:eastAsia="Times New Roman" w:cs="Times New Roman"/>
          <w:sz w:val="24"/>
          <w:szCs w:val="24"/>
        </w:rPr>
        <w:t>j</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rPr>
        <w:t>声源</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rPr>
        <w:t>倍频带的</w:t>
      </w:r>
      <w:r>
        <w:rPr>
          <w:rFonts w:ascii="FangSong" w:hAnsi="FangSong" w:eastAsia="FangSong" w:cs="FangSong"/>
          <w:sz w:val="24"/>
          <w:szCs w:val="24"/>
          <w:spacing w:val="-1"/>
        </w:rPr>
        <w:t>声压级，</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p>
    <w:p>
      <w:pPr>
        <w:ind w:left="1211"/>
        <w:spacing w:before="193" w:line="222" w:lineRule="auto"/>
        <w:rPr>
          <w:rFonts w:ascii="FangSong" w:hAnsi="FangSong" w:eastAsia="FangSong" w:cs="FangSong"/>
          <w:sz w:val="24"/>
          <w:szCs w:val="24"/>
        </w:rPr>
      </w:pPr>
      <w:r>
        <w:rPr>
          <w:rFonts w:ascii="Times New Roman" w:hAnsi="Times New Roman" w:eastAsia="Times New Roman" w:cs="Times New Roman"/>
          <w:sz w:val="24"/>
          <w:szCs w:val="24"/>
          <w:spacing w:val="-3"/>
        </w:rPr>
        <w:t>N  </w:t>
      </w:r>
      <w:r>
        <w:rPr>
          <w:rFonts w:ascii="FangSong" w:hAnsi="FangSong" w:eastAsia="FangSong" w:cs="FangSong"/>
          <w:sz w:val="24"/>
          <w:szCs w:val="24"/>
          <w:spacing w:val="-3"/>
        </w:rPr>
        <w:t>——</w:t>
      </w:r>
      <w:r>
        <w:rPr>
          <w:rFonts w:ascii="FangSong" w:hAnsi="FangSong" w:eastAsia="FangSong" w:cs="FangSong"/>
          <w:sz w:val="24"/>
          <w:szCs w:val="24"/>
          <w:spacing w:val="37"/>
        </w:rPr>
        <w:t xml:space="preserve"> </w:t>
      </w:r>
      <w:r>
        <w:rPr>
          <w:rFonts w:ascii="FangSong" w:hAnsi="FangSong" w:eastAsia="FangSong" w:cs="FangSong"/>
          <w:sz w:val="24"/>
          <w:szCs w:val="24"/>
          <w:spacing w:val="-3"/>
        </w:rPr>
        <w:t>室内声源总数。</w:t>
      </w:r>
    </w:p>
    <w:p>
      <w:pPr>
        <w:ind w:left="502"/>
        <w:spacing w:before="178"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、计算出靠近室外围护结构处的声压级，如公式</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6.2-6</w:t>
      </w:r>
      <w:r>
        <w:rPr>
          <w:rFonts w:ascii="FangSong" w:hAnsi="FangSong" w:eastAsia="FangSong" w:cs="FangSong"/>
          <w:sz w:val="24"/>
          <w:szCs w:val="24"/>
          <w:spacing w:val="-2"/>
        </w:rPr>
        <w:t>：</w:t>
      </w:r>
    </w:p>
    <w:p>
      <w:pPr>
        <w:pStyle w:val="BodyText"/>
        <w:ind w:left="1857"/>
        <w:spacing w:before="112" w:line="406" w:lineRule="exact"/>
        <w:rPr>
          <w:rFonts w:ascii="FangSong" w:hAnsi="FangSong" w:eastAsia="FangSong" w:cs="FangSong"/>
          <w:sz w:val="24"/>
          <w:szCs w:val="24"/>
        </w:rPr>
      </w:pPr>
      <w:r>
        <w:rPr>
          <w:rFonts w:ascii="Times New Roman" w:hAnsi="Times New Roman" w:eastAsia="Times New Roman" w:cs="Times New Roman"/>
          <w:sz w:val="23"/>
          <w:szCs w:val="23"/>
          <w:position w:val="5"/>
        </w:rPr>
        <w:t>L</w:t>
      </w:r>
      <w:r>
        <w:rPr>
          <w:rFonts w:ascii="Times New Roman" w:hAnsi="Times New Roman" w:eastAsia="Times New Roman" w:cs="Times New Roman"/>
          <w:sz w:val="13"/>
          <w:szCs w:val="13"/>
        </w:rPr>
        <w:t>p2i </w:t>
      </w:r>
      <w:r>
        <w:rPr>
          <w:sz w:val="31"/>
          <w:szCs w:val="31"/>
          <w:position w:val="5"/>
        </w:rPr>
        <w:t>(</w:t>
      </w:r>
      <w:r>
        <w:rPr>
          <w:rFonts w:ascii="Times New Roman" w:hAnsi="Times New Roman" w:eastAsia="Times New Roman" w:cs="Times New Roman"/>
          <w:sz w:val="23"/>
          <w:szCs w:val="23"/>
          <w:position w:val="5"/>
        </w:rPr>
        <w:t>T</w:t>
      </w:r>
      <w:r>
        <w:rPr>
          <w:sz w:val="31"/>
          <w:szCs w:val="31"/>
          <w:position w:val="5"/>
        </w:rPr>
        <w:t>)</w:t>
      </w:r>
      <w:r>
        <w:rPr>
          <w:sz w:val="31"/>
          <w:szCs w:val="31"/>
          <w:spacing w:val="-44"/>
          <w:position w:val="5"/>
        </w:rPr>
        <w:t xml:space="preserve"> </w:t>
      </w:r>
      <w:r>
        <w:rPr>
          <w:sz w:val="23"/>
          <w:szCs w:val="23"/>
          <w:position w:val="5"/>
        </w:rPr>
        <w:t>= </w:t>
      </w:r>
      <w:r>
        <w:rPr>
          <w:rFonts w:ascii="Times New Roman" w:hAnsi="Times New Roman" w:eastAsia="Times New Roman" w:cs="Times New Roman"/>
          <w:sz w:val="23"/>
          <w:szCs w:val="23"/>
          <w:position w:val="5"/>
        </w:rPr>
        <w:t>L</w:t>
      </w:r>
      <w:r>
        <w:rPr>
          <w:rFonts w:ascii="Times New Roman" w:hAnsi="Times New Roman" w:eastAsia="Times New Roman" w:cs="Times New Roman"/>
          <w:sz w:val="13"/>
          <w:szCs w:val="13"/>
        </w:rPr>
        <w:t>p1i </w:t>
      </w:r>
      <w:r>
        <w:rPr>
          <w:sz w:val="31"/>
          <w:szCs w:val="31"/>
          <w:position w:val="5"/>
        </w:rPr>
        <w:t>(</w:t>
      </w:r>
      <w:r>
        <w:rPr>
          <w:rFonts w:ascii="Times New Roman" w:hAnsi="Times New Roman" w:eastAsia="Times New Roman" w:cs="Times New Roman"/>
          <w:sz w:val="23"/>
          <w:szCs w:val="23"/>
          <w:position w:val="5"/>
        </w:rPr>
        <w:t>T</w:t>
      </w:r>
      <w:r>
        <w:rPr>
          <w:sz w:val="31"/>
          <w:szCs w:val="31"/>
          <w:position w:val="5"/>
        </w:rPr>
        <w:t>)</w:t>
      </w:r>
      <w:r>
        <w:rPr>
          <w:sz w:val="23"/>
          <w:szCs w:val="23"/>
          <w:position w:val="5"/>
        </w:rPr>
        <w:t>-</w:t>
      </w:r>
      <w:r>
        <w:rPr>
          <w:sz w:val="23"/>
          <w:szCs w:val="23"/>
          <w:spacing w:val="-17"/>
          <w:position w:val="5"/>
        </w:rPr>
        <w:t xml:space="preserve"> </w:t>
      </w:r>
      <w:r>
        <w:rPr>
          <w:sz w:val="31"/>
          <w:szCs w:val="31"/>
          <w:position w:val="5"/>
        </w:rPr>
        <w:t>(</w:t>
      </w:r>
      <w:r>
        <w:rPr>
          <w:rFonts w:ascii="Times New Roman" w:hAnsi="Times New Roman" w:eastAsia="Times New Roman" w:cs="Times New Roman"/>
          <w:sz w:val="23"/>
          <w:szCs w:val="23"/>
          <w:position w:val="5"/>
        </w:rPr>
        <w:t>TL</w:t>
      </w:r>
      <w:r>
        <w:rPr>
          <w:rFonts w:ascii="Times New Roman" w:hAnsi="Times New Roman" w:eastAsia="Times New Roman" w:cs="Times New Roman"/>
          <w:sz w:val="13"/>
          <w:szCs w:val="13"/>
        </w:rPr>
        <w:t>i  </w:t>
      </w:r>
      <w:r>
        <w:rPr>
          <w:sz w:val="23"/>
          <w:szCs w:val="23"/>
          <w:position w:val="5"/>
        </w:rPr>
        <w:t>+</w:t>
      </w:r>
      <w:r>
        <w:rPr>
          <w:sz w:val="23"/>
          <w:szCs w:val="23"/>
          <w:spacing w:val="-12"/>
          <w:position w:val="5"/>
        </w:rPr>
        <w:t xml:space="preserve"> </w:t>
      </w:r>
      <w:r>
        <w:rPr>
          <w:rFonts w:ascii="Times New Roman" w:hAnsi="Times New Roman" w:eastAsia="Times New Roman" w:cs="Times New Roman"/>
          <w:sz w:val="23"/>
          <w:szCs w:val="23"/>
          <w:position w:val="5"/>
        </w:rPr>
        <w:t>6</w:t>
      </w:r>
      <w:r>
        <w:rPr>
          <w:sz w:val="31"/>
          <w:szCs w:val="31"/>
          <w:spacing w:val="-1"/>
          <w:position w:val="5"/>
        </w:rPr>
        <w:t>)      </w:t>
      </w:r>
      <w:r>
        <w:rPr>
          <w:rFonts w:ascii="FangSong" w:hAnsi="FangSong" w:eastAsia="FangSong" w:cs="FangSong"/>
          <w:sz w:val="24"/>
          <w:szCs w:val="24"/>
          <w:spacing w:val="-1"/>
          <w:position w:val="5"/>
        </w:rPr>
        <w:t>（公式</w:t>
      </w:r>
      <w:r>
        <w:rPr>
          <w:rFonts w:ascii="FangSong" w:hAnsi="FangSong" w:eastAsia="FangSong" w:cs="FangSong"/>
          <w:sz w:val="24"/>
          <w:szCs w:val="24"/>
          <w:spacing w:val="-49"/>
          <w:position w:val="5"/>
        </w:rPr>
        <w:t xml:space="preserve"> </w:t>
      </w:r>
      <w:r>
        <w:rPr>
          <w:rFonts w:ascii="Times New Roman" w:hAnsi="Times New Roman" w:eastAsia="Times New Roman" w:cs="Times New Roman"/>
          <w:sz w:val="24"/>
          <w:szCs w:val="24"/>
          <w:spacing w:val="-1"/>
          <w:position w:val="5"/>
        </w:rPr>
        <w:t>6.2-6</w:t>
      </w:r>
      <w:r>
        <w:rPr>
          <w:rFonts w:ascii="FangSong" w:hAnsi="FangSong" w:eastAsia="FangSong" w:cs="FangSong"/>
          <w:sz w:val="24"/>
          <w:szCs w:val="24"/>
          <w:spacing w:val="-1"/>
          <w:position w:val="5"/>
        </w:rPr>
        <w:t>）</w:t>
      </w:r>
    </w:p>
    <w:p>
      <w:pPr>
        <w:ind w:left="2661" w:hanging="2146"/>
        <w:spacing w:before="287" w:line="353" w:lineRule="auto"/>
        <w:rPr>
          <w:rFonts w:ascii="FangSong" w:hAnsi="FangSong" w:eastAsia="FangSong" w:cs="FangSong"/>
          <w:sz w:val="24"/>
          <w:szCs w:val="24"/>
        </w:rPr>
      </w:pPr>
      <w:r>
        <w:rPr>
          <w:rFonts w:ascii="FangSong" w:hAnsi="FangSong" w:eastAsia="FangSong" w:cs="FangSong"/>
          <w:sz w:val="24"/>
          <w:szCs w:val="24"/>
          <w:spacing w:val="-25"/>
        </w:rPr>
        <w:t>式中：</w:t>
      </w:r>
      <w:r>
        <w:rPr>
          <w:rFonts w:ascii="Times New Roman" w:hAnsi="Times New Roman" w:eastAsia="Times New Roman" w:cs="Times New Roman"/>
          <w:sz w:val="24"/>
          <w:szCs w:val="24"/>
          <w:spacing w:val="-25"/>
        </w:rPr>
        <w:t>L</w:t>
      </w:r>
      <w:r>
        <w:rPr>
          <w:rFonts w:ascii="Times New Roman" w:hAnsi="Times New Roman" w:eastAsia="Times New Roman" w:cs="Times New Roman"/>
          <w:sz w:val="15"/>
          <w:szCs w:val="15"/>
          <w:position w:val="-1"/>
        </w:rPr>
        <w:t>p</w:t>
      </w:r>
      <w:r>
        <w:rPr>
          <w:rFonts w:ascii="Times New Roman" w:hAnsi="Times New Roman" w:eastAsia="Times New Roman" w:cs="Times New Roman"/>
          <w:sz w:val="15"/>
          <w:szCs w:val="15"/>
          <w:spacing w:val="5"/>
          <w:position w:val="-1"/>
        </w:rPr>
        <w:t>2i</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T</w:t>
      </w:r>
      <w:r>
        <w:rPr>
          <w:rFonts w:ascii="FangSong" w:hAnsi="FangSong" w:eastAsia="FangSong" w:cs="FangSong"/>
          <w:sz w:val="24"/>
          <w:szCs w:val="24"/>
          <w:spacing w:val="-6"/>
        </w:rPr>
        <w:t>）</w:t>
      </w:r>
      <w:r>
        <w:rPr>
          <w:rFonts w:ascii="FangSong" w:hAnsi="FangSong" w:eastAsia="FangSong" w:cs="FangSong"/>
          <w:sz w:val="24"/>
          <w:szCs w:val="24"/>
          <w:spacing w:val="-65"/>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靠近围护结构处室外</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6"/>
        </w:rPr>
        <w:t>N</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个声源</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6"/>
        </w:rPr>
        <w:t>i</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6"/>
        </w:rPr>
        <w:t>倍频带的叠加声压级，</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dB</w:t>
      </w:r>
      <w:r>
        <w:rPr>
          <w:rFonts w:ascii="FangSong" w:hAnsi="FangSong" w:eastAsia="FangSong" w:cs="FangSong"/>
          <w:sz w:val="24"/>
          <w:szCs w:val="24"/>
          <w:spacing w:val="-3"/>
        </w:rPr>
        <w:t>；</w:t>
      </w:r>
    </w:p>
    <w:p>
      <w:pPr>
        <w:ind w:left="1218"/>
        <w:spacing w:before="18" w:line="218"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p</w:t>
      </w:r>
      <w:r>
        <w:rPr>
          <w:rFonts w:ascii="Times New Roman" w:hAnsi="Times New Roman" w:eastAsia="Times New Roman" w:cs="Times New Roman"/>
          <w:sz w:val="15"/>
          <w:szCs w:val="15"/>
          <w:spacing w:val="1"/>
          <w:position w:val="-1"/>
        </w:rPr>
        <w:t>1i</w:t>
      </w:r>
      <w:r>
        <w:rPr>
          <w:rFonts w:ascii="FangSong" w:hAnsi="FangSong" w:eastAsia="FangSong" w:cs="FangSong"/>
          <w:sz w:val="24"/>
          <w:szCs w:val="24"/>
        </w:rPr>
        <w:t>（</w:t>
      </w:r>
      <w:r>
        <w:rPr>
          <w:rFonts w:ascii="Times New Roman" w:hAnsi="Times New Roman" w:eastAsia="Times New Roman" w:cs="Times New Roman"/>
          <w:sz w:val="24"/>
          <w:szCs w:val="24"/>
        </w:rPr>
        <w:t>T</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靠近围护结构处室内</w:t>
      </w:r>
      <w:r>
        <w:rPr>
          <w:rFonts w:ascii="Times New Roman" w:hAnsi="Times New Roman" w:eastAsia="Times New Roman" w:cs="Times New Roman"/>
          <w:sz w:val="24"/>
          <w:szCs w:val="24"/>
        </w:rPr>
        <w:t>N</w:t>
      </w:r>
      <w:r>
        <w:rPr>
          <w:rFonts w:ascii="Times New Roman" w:hAnsi="Times New Roman" w:eastAsia="Times New Roman" w:cs="Times New Roman"/>
          <w:sz w:val="24"/>
          <w:szCs w:val="24"/>
          <w:spacing w:val="33"/>
          <w:w w:val="101"/>
        </w:rPr>
        <w:t xml:space="preserve"> </w:t>
      </w:r>
      <w:r>
        <w:rPr>
          <w:rFonts w:ascii="FangSong" w:hAnsi="FangSong" w:eastAsia="FangSong" w:cs="FangSong"/>
          <w:sz w:val="24"/>
          <w:szCs w:val="24"/>
        </w:rPr>
        <w:t>个声源</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rPr>
        <w:t>倍频带的叠加声压</w:t>
      </w:r>
    </w:p>
    <w:p>
      <w:pPr>
        <w:spacing w:line="218" w:lineRule="auto"/>
        <w:sectPr>
          <w:footerReference w:type="default" r:id="rId298"/>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12"/>
        <w:spacing w:before="78" w:line="222" w:lineRule="auto"/>
        <w:rPr>
          <w:rFonts w:ascii="FangSong" w:hAnsi="FangSong" w:eastAsia="FangSong" w:cs="FangSong"/>
          <w:sz w:val="24"/>
          <w:szCs w:val="24"/>
        </w:rPr>
      </w:pPr>
      <w:r>
        <w:rPr>
          <w:rFonts w:ascii="FangSong" w:hAnsi="FangSong" w:eastAsia="FangSong" w:cs="FangSong"/>
          <w:sz w:val="24"/>
          <w:szCs w:val="24"/>
          <w:spacing w:val="-4"/>
        </w:rPr>
        <w:t>级，</w:t>
      </w:r>
      <w:r>
        <w:rPr>
          <w:rFonts w:ascii="Times New Roman" w:hAnsi="Times New Roman" w:eastAsia="Times New Roman" w:cs="Times New Roman"/>
          <w:sz w:val="24"/>
          <w:szCs w:val="24"/>
          <w:spacing w:val="-4"/>
        </w:rPr>
        <w:t>dB</w:t>
      </w:r>
      <w:r>
        <w:rPr>
          <w:rFonts w:ascii="FangSong" w:hAnsi="FangSong" w:eastAsia="FangSong" w:cs="FangSong"/>
          <w:sz w:val="24"/>
          <w:szCs w:val="24"/>
          <w:spacing w:val="-4"/>
        </w:rPr>
        <w:t>；</w:t>
      </w:r>
    </w:p>
    <w:p>
      <w:pPr>
        <w:ind w:left="1221"/>
        <w:spacing w:before="179" w:line="220" w:lineRule="auto"/>
        <w:rPr>
          <w:rFonts w:ascii="FangSong" w:hAnsi="FangSong" w:eastAsia="FangSong" w:cs="FangSong"/>
          <w:sz w:val="24"/>
          <w:szCs w:val="24"/>
        </w:rPr>
      </w:pPr>
      <w:r>
        <w:rPr>
          <w:rFonts w:ascii="Times New Roman" w:hAnsi="Times New Roman" w:eastAsia="Times New Roman" w:cs="Times New Roman"/>
          <w:sz w:val="24"/>
          <w:szCs w:val="24"/>
        </w:rPr>
        <w:t>TL</w:t>
      </w:r>
      <w:r>
        <w:rPr>
          <w:rFonts w:ascii="Times New Roman" w:hAnsi="Times New Roman" w:eastAsia="Times New Roman" w:cs="Times New Roman"/>
          <w:sz w:val="15"/>
          <w:szCs w:val="15"/>
          <w:position w:val="-1"/>
        </w:rPr>
        <w:t>i   </w:t>
      </w:r>
      <w:r>
        <w:rPr>
          <w:rFonts w:ascii="FangSong" w:hAnsi="FangSong" w:eastAsia="FangSong" w:cs="FangSong"/>
          <w:sz w:val="24"/>
          <w:szCs w:val="24"/>
        </w:rPr>
        <w:t>——</w:t>
      </w:r>
      <w:r>
        <w:rPr>
          <w:rFonts w:ascii="FangSong" w:hAnsi="FangSong" w:eastAsia="FangSong" w:cs="FangSong"/>
          <w:sz w:val="24"/>
          <w:szCs w:val="24"/>
          <w:spacing w:val="42"/>
        </w:rPr>
        <w:t xml:space="preserve"> </w:t>
      </w:r>
      <w:r>
        <w:rPr>
          <w:rFonts w:ascii="FangSong" w:hAnsi="FangSong" w:eastAsia="FangSong" w:cs="FangSong"/>
          <w:sz w:val="24"/>
          <w:szCs w:val="24"/>
        </w:rPr>
        <w:t>围护结构</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rPr>
        <w:t>倍频带的隔声量，</w:t>
      </w:r>
      <w:r>
        <w:rPr>
          <w:rFonts w:ascii="Times New Roman" w:hAnsi="Times New Roman" w:eastAsia="Times New Roman" w:cs="Times New Roman"/>
          <w:sz w:val="24"/>
          <w:szCs w:val="24"/>
        </w:rPr>
        <w:t>dB</w:t>
      </w:r>
      <w:r>
        <w:rPr>
          <w:rFonts w:ascii="FangSong" w:hAnsi="FangSong" w:eastAsia="FangSong" w:cs="FangSong"/>
          <w:sz w:val="24"/>
          <w:szCs w:val="24"/>
        </w:rPr>
        <w:t>。</w:t>
      </w:r>
    </w:p>
    <w:p>
      <w:pPr>
        <w:ind w:left="30" w:right="219" w:firstLine="467"/>
        <w:spacing w:before="181" w:line="290"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、将室外声源的声压级和透过面积换算成等效的室外声源，计算出中心位</w:t>
      </w:r>
      <w:r>
        <w:rPr>
          <w:rFonts w:ascii="FangSong" w:hAnsi="FangSong" w:eastAsia="FangSong" w:cs="FangSong"/>
          <w:sz w:val="24"/>
          <w:szCs w:val="24"/>
          <w:spacing w:val="-1"/>
        </w:rPr>
        <w:t>置位于透声面积（</w:t>
      </w:r>
      <w:r>
        <w:rPr>
          <w:rFonts w:ascii="Times New Roman" w:hAnsi="Times New Roman" w:eastAsia="Times New Roman" w:cs="Times New Roman"/>
          <w:sz w:val="24"/>
          <w:szCs w:val="24"/>
          <w:spacing w:val="-1"/>
        </w:rPr>
        <w:t>S</w:t>
      </w:r>
      <w:r>
        <w:rPr>
          <w:rFonts w:ascii="FangSong" w:hAnsi="FangSong" w:eastAsia="FangSong" w:cs="FangSong"/>
          <w:sz w:val="24"/>
          <w:szCs w:val="24"/>
          <w:spacing w:val="-1"/>
        </w:rPr>
        <w:t>）处的等效声源的倍频带声功率级，如公式</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6.2-7</w:t>
      </w:r>
      <w:r>
        <w:rPr>
          <w:rFonts w:ascii="FangSong" w:hAnsi="FangSong" w:eastAsia="FangSong" w:cs="FangSong"/>
          <w:sz w:val="24"/>
          <w:szCs w:val="24"/>
          <w:spacing w:val="-1"/>
        </w:rPr>
        <w:t>：</w:t>
      </w:r>
    </w:p>
    <w:p>
      <w:pPr>
        <w:pStyle w:val="BodyText"/>
        <w:ind w:left="2217"/>
        <w:spacing w:before="113" w:line="407" w:lineRule="exact"/>
        <w:rPr>
          <w:rFonts w:ascii="FangSong" w:hAnsi="FangSong" w:eastAsia="FangSong" w:cs="FangSong"/>
          <w:sz w:val="24"/>
          <w:szCs w:val="24"/>
        </w:rPr>
      </w:pPr>
      <w:r>
        <w:rPr>
          <w:rFonts w:ascii="Times New Roman" w:hAnsi="Times New Roman" w:eastAsia="Times New Roman" w:cs="Times New Roman"/>
          <w:sz w:val="23"/>
          <w:szCs w:val="23"/>
          <w:position w:val="5"/>
        </w:rPr>
        <w:t>L</w:t>
      </w:r>
      <w:r>
        <w:rPr>
          <w:rFonts w:ascii="Times New Roman" w:hAnsi="Times New Roman" w:eastAsia="Times New Roman" w:cs="Times New Roman"/>
          <w:sz w:val="13"/>
          <w:szCs w:val="13"/>
        </w:rPr>
        <w:t>w</w:t>
      </w:r>
      <w:r>
        <w:rPr>
          <w:rFonts w:ascii="Times New Roman" w:hAnsi="Times New Roman" w:eastAsia="Times New Roman" w:cs="Times New Roman"/>
          <w:sz w:val="13"/>
          <w:szCs w:val="13"/>
          <w:spacing w:val="21"/>
          <w:w w:val="101"/>
        </w:rPr>
        <w:t xml:space="preserve">  </w:t>
      </w:r>
      <w:r>
        <w:rPr>
          <w:sz w:val="23"/>
          <w:szCs w:val="23"/>
          <w:spacing w:val="3"/>
          <w:position w:val="5"/>
        </w:rPr>
        <w:t>= </w:t>
      </w:r>
      <w:r>
        <w:rPr>
          <w:rFonts w:ascii="Times New Roman" w:hAnsi="Times New Roman" w:eastAsia="Times New Roman" w:cs="Times New Roman"/>
          <w:sz w:val="23"/>
          <w:szCs w:val="23"/>
          <w:position w:val="5"/>
        </w:rPr>
        <w:t>L</w:t>
      </w:r>
      <w:r>
        <w:rPr>
          <w:rFonts w:ascii="Times New Roman" w:hAnsi="Times New Roman" w:eastAsia="Times New Roman" w:cs="Times New Roman"/>
          <w:sz w:val="13"/>
          <w:szCs w:val="13"/>
        </w:rPr>
        <w:t>p</w:t>
      </w:r>
      <w:r>
        <w:rPr>
          <w:rFonts w:ascii="Times New Roman" w:hAnsi="Times New Roman" w:eastAsia="Times New Roman" w:cs="Times New Roman"/>
          <w:sz w:val="13"/>
          <w:szCs w:val="13"/>
          <w:spacing w:val="-17"/>
        </w:rPr>
        <w:t xml:space="preserve"> </w:t>
      </w:r>
      <w:r>
        <w:rPr>
          <w:rFonts w:ascii="Times New Roman" w:hAnsi="Times New Roman" w:eastAsia="Times New Roman" w:cs="Times New Roman"/>
          <w:sz w:val="13"/>
          <w:szCs w:val="13"/>
          <w:spacing w:val="3"/>
        </w:rPr>
        <w:t>2</w:t>
      </w:r>
      <w:r>
        <w:rPr>
          <w:sz w:val="31"/>
          <w:szCs w:val="31"/>
          <w:spacing w:val="3"/>
          <w:position w:val="5"/>
        </w:rPr>
        <w:t>(</w:t>
      </w:r>
      <w:r>
        <w:rPr>
          <w:rFonts w:ascii="Times New Roman" w:hAnsi="Times New Roman" w:eastAsia="Times New Roman" w:cs="Times New Roman"/>
          <w:sz w:val="23"/>
          <w:szCs w:val="23"/>
          <w:spacing w:val="3"/>
          <w:position w:val="5"/>
        </w:rPr>
        <w:t>T</w:t>
      </w:r>
      <w:r>
        <w:rPr>
          <w:sz w:val="31"/>
          <w:szCs w:val="31"/>
          <w:spacing w:val="3"/>
          <w:position w:val="5"/>
        </w:rPr>
        <w:t>)</w:t>
      </w:r>
      <w:r>
        <w:rPr>
          <w:sz w:val="23"/>
          <w:szCs w:val="23"/>
          <w:spacing w:val="3"/>
          <w:position w:val="5"/>
        </w:rPr>
        <w:t>+</w:t>
      </w:r>
      <w:r>
        <w:rPr>
          <w:rFonts w:ascii="Times New Roman" w:hAnsi="Times New Roman" w:eastAsia="Times New Roman" w:cs="Times New Roman"/>
          <w:sz w:val="23"/>
          <w:szCs w:val="23"/>
          <w:spacing w:val="3"/>
          <w:position w:val="5"/>
        </w:rPr>
        <w:t>10</w:t>
      </w:r>
      <w:r>
        <w:rPr>
          <w:rFonts w:ascii="Times New Roman" w:hAnsi="Times New Roman" w:eastAsia="Times New Roman" w:cs="Times New Roman"/>
          <w:sz w:val="23"/>
          <w:szCs w:val="23"/>
          <w:position w:val="5"/>
        </w:rPr>
        <w:t>lgS</w:t>
      </w:r>
      <w:r>
        <w:rPr>
          <w:rFonts w:ascii="Times New Roman" w:hAnsi="Times New Roman" w:eastAsia="Times New Roman" w:cs="Times New Roman"/>
          <w:sz w:val="23"/>
          <w:szCs w:val="23"/>
          <w:spacing w:val="6"/>
          <w:position w:val="5"/>
        </w:rPr>
        <w:t xml:space="preserve">        </w:t>
      </w:r>
      <w:r>
        <w:rPr>
          <w:rFonts w:ascii="FangSong" w:hAnsi="FangSong" w:eastAsia="FangSong" w:cs="FangSong"/>
          <w:sz w:val="24"/>
          <w:szCs w:val="24"/>
          <w:spacing w:val="3"/>
          <w:position w:val="5"/>
        </w:rPr>
        <w:t>（公式</w:t>
      </w:r>
      <w:r>
        <w:rPr>
          <w:rFonts w:ascii="FangSong" w:hAnsi="FangSong" w:eastAsia="FangSong" w:cs="FangSong"/>
          <w:sz w:val="24"/>
          <w:szCs w:val="24"/>
          <w:spacing w:val="-49"/>
          <w:position w:val="5"/>
        </w:rPr>
        <w:t xml:space="preserve"> </w:t>
      </w:r>
      <w:r>
        <w:rPr>
          <w:rFonts w:ascii="Times New Roman" w:hAnsi="Times New Roman" w:eastAsia="Times New Roman" w:cs="Times New Roman"/>
          <w:sz w:val="24"/>
          <w:szCs w:val="24"/>
          <w:spacing w:val="3"/>
          <w:position w:val="5"/>
        </w:rPr>
        <w:t>6.2-7</w:t>
      </w:r>
      <w:r>
        <w:rPr>
          <w:rFonts w:ascii="FangSong" w:hAnsi="FangSong" w:eastAsia="FangSong" w:cs="FangSong"/>
          <w:sz w:val="24"/>
          <w:szCs w:val="24"/>
          <w:spacing w:val="3"/>
          <w:position w:val="5"/>
        </w:rPr>
        <w:t>）</w:t>
      </w:r>
    </w:p>
    <w:p>
      <w:pPr>
        <w:ind w:left="2192" w:right="219" w:hanging="1677"/>
        <w:spacing w:before="285" w:line="360" w:lineRule="auto"/>
        <w:rPr>
          <w:rFonts w:ascii="FangSong" w:hAnsi="FangSong" w:eastAsia="FangSong" w:cs="FangSong"/>
          <w:sz w:val="24"/>
          <w:szCs w:val="24"/>
        </w:rPr>
      </w:pP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L</w:t>
      </w:r>
      <w:r>
        <w:rPr>
          <w:rFonts w:ascii="Times New Roman" w:hAnsi="Times New Roman" w:eastAsia="Times New Roman" w:cs="Times New Roman"/>
          <w:sz w:val="15"/>
          <w:szCs w:val="15"/>
          <w:spacing w:val="-2"/>
          <w:position w:val="-1"/>
        </w:rPr>
        <w:t>w   </w:t>
      </w:r>
      <w:r>
        <w:rPr>
          <w:rFonts w:ascii="FangSong" w:hAnsi="FangSong" w:eastAsia="FangSong" w:cs="FangSong"/>
          <w:sz w:val="24"/>
          <w:szCs w:val="24"/>
          <w:spacing w:val="-2"/>
        </w:rPr>
        <w:t>——</w:t>
      </w:r>
      <w:r>
        <w:rPr>
          <w:rFonts w:ascii="FangSong" w:hAnsi="FangSong" w:eastAsia="FangSong" w:cs="FangSong"/>
          <w:sz w:val="24"/>
          <w:szCs w:val="24"/>
          <w:spacing w:val="54"/>
        </w:rPr>
        <w:t xml:space="preserve"> </w:t>
      </w:r>
      <w:r>
        <w:rPr>
          <w:rFonts w:ascii="FangSong" w:hAnsi="FangSong" w:eastAsia="FangSong" w:cs="FangSong"/>
          <w:sz w:val="24"/>
          <w:szCs w:val="24"/>
          <w:spacing w:val="-2"/>
        </w:rPr>
        <w:t>中心位置位于透声面积（</w:t>
      </w:r>
      <w:r>
        <w:rPr>
          <w:rFonts w:ascii="Times New Roman" w:hAnsi="Times New Roman" w:eastAsia="Times New Roman" w:cs="Times New Roman"/>
          <w:sz w:val="24"/>
          <w:szCs w:val="24"/>
          <w:spacing w:val="-2"/>
        </w:rPr>
        <w:t>S</w:t>
      </w:r>
      <w:r>
        <w:rPr>
          <w:rFonts w:ascii="FangSong" w:hAnsi="FangSong" w:eastAsia="FangSong" w:cs="FangSong"/>
          <w:sz w:val="24"/>
          <w:szCs w:val="24"/>
          <w:spacing w:val="-2"/>
        </w:rPr>
        <w:t>）处的等效声源的倍频带声功率</w:t>
      </w:r>
      <w:r>
        <w:rPr>
          <w:rFonts w:ascii="FangSong" w:hAnsi="FangSong" w:eastAsia="FangSong" w:cs="FangSong"/>
          <w:sz w:val="24"/>
          <w:szCs w:val="24"/>
          <w:spacing w:val="-4"/>
        </w:rPr>
        <w:t>级，</w:t>
      </w:r>
      <w:r>
        <w:rPr>
          <w:rFonts w:ascii="Times New Roman" w:hAnsi="Times New Roman" w:eastAsia="Times New Roman" w:cs="Times New Roman"/>
          <w:sz w:val="24"/>
          <w:szCs w:val="24"/>
          <w:spacing w:val="-4"/>
        </w:rPr>
        <w:t>dB</w:t>
      </w:r>
      <w:r>
        <w:rPr>
          <w:rFonts w:ascii="FangSong" w:hAnsi="FangSong" w:eastAsia="FangSong" w:cs="FangSong"/>
          <w:sz w:val="24"/>
          <w:szCs w:val="24"/>
          <w:spacing w:val="-4"/>
        </w:rPr>
        <w:t>；</w:t>
      </w:r>
    </w:p>
    <w:p>
      <w:pPr>
        <w:ind w:left="1218"/>
        <w:spacing w:before="1" w:line="218" w:lineRule="auto"/>
        <w:rPr>
          <w:rFonts w:ascii="FangSong" w:hAnsi="FangSong" w:eastAsia="FangSong" w:cs="FangSong"/>
          <w:sz w:val="24"/>
          <w:szCs w:val="24"/>
        </w:rPr>
      </w:pP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position w:val="-1"/>
        </w:rPr>
        <w:t>p2</w:t>
      </w:r>
      <w:r>
        <w:rPr>
          <w:rFonts w:ascii="FangSong" w:hAnsi="FangSong" w:eastAsia="FangSong" w:cs="FangSong"/>
          <w:sz w:val="24"/>
          <w:szCs w:val="24"/>
        </w:rPr>
        <w:t>（</w:t>
      </w:r>
      <w:r>
        <w:rPr>
          <w:rFonts w:ascii="Times New Roman" w:hAnsi="Times New Roman" w:eastAsia="Times New Roman" w:cs="Times New Roman"/>
          <w:sz w:val="24"/>
          <w:szCs w:val="24"/>
        </w:rPr>
        <w:t>T</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靠近围护结构处室外声源的声压级，</w:t>
      </w:r>
      <w:r>
        <w:rPr>
          <w:rFonts w:ascii="Times New Roman" w:hAnsi="Times New Roman" w:eastAsia="Times New Roman" w:cs="Times New Roman"/>
          <w:sz w:val="24"/>
          <w:szCs w:val="24"/>
        </w:rPr>
        <w:t>dB</w:t>
      </w:r>
      <w:r>
        <w:rPr>
          <w:rFonts w:ascii="FangSong" w:hAnsi="FangSong" w:eastAsia="FangSong" w:cs="FangSong"/>
          <w:sz w:val="24"/>
          <w:szCs w:val="24"/>
        </w:rPr>
        <w:t>；</w:t>
      </w:r>
    </w:p>
    <w:p>
      <w:pPr>
        <w:ind w:left="1229"/>
        <w:spacing w:before="184" w:line="223" w:lineRule="auto"/>
        <w:rPr>
          <w:rFonts w:ascii="FangSong" w:hAnsi="FangSong" w:eastAsia="FangSong" w:cs="FangSong"/>
          <w:sz w:val="24"/>
          <w:szCs w:val="24"/>
        </w:rPr>
      </w:pPr>
      <w:r>
        <w:rPr>
          <w:rFonts w:ascii="Times New Roman" w:hAnsi="Times New Roman" w:eastAsia="Times New Roman" w:cs="Times New Roman"/>
          <w:sz w:val="24"/>
          <w:szCs w:val="24"/>
          <w:spacing w:val="-3"/>
        </w:rPr>
        <w:t>S  </w:t>
      </w:r>
      <w:r>
        <w:rPr>
          <w:rFonts w:ascii="FangSong" w:hAnsi="FangSong" w:eastAsia="FangSong" w:cs="FangSong"/>
          <w:sz w:val="24"/>
          <w:szCs w:val="24"/>
          <w:spacing w:val="-3"/>
        </w:rPr>
        <w:t>——</w:t>
      </w:r>
      <w:r>
        <w:rPr>
          <w:rFonts w:ascii="FangSong" w:hAnsi="FangSong" w:eastAsia="FangSong" w:cs="FangSong"/>
          <w:sz w:val="24"/>
          <w:szCs w:val="24"/>
          <w:spacing w:val="24"/>
        </w:rPr>
        <w:t xml:space="preserve"> </w:t>
      </w:r>
      <w:r>
        <w:rPr>
          <w:rFonts w:ascii="FangSong" w:hAnsi="FangSong" w:eastAsia="FangSong" w:cs="FangSong"/>
          <w:sz w:val="24"/>
          <w:szCs w:val="24"/>
          <w:spacing w:val="-3"/>
        </w:rPr>
        <w:t>透声面积，</w:t>
      </w:r>
      <w:r>
        <w:rPr>
          <w:rFonts w:ascii="Times New Roman" w:hAnsi="Times New Roman" w:eastAsia="Times New Roman" w:cs="Times New Roman"/>
          <w:sz w:val="24"/>
          <w:szCs w:val="24"/>
          <w:spacing w:val="-3"/>
        </w:rPr>
        <w:t>m</w:t>
      </w:r>
      <w:r>
        <w:rPr>
          <w:rFonts w:ascii="Times New Roman" w:hAnsi="Times New Roman" w:eastAsia="Times New Roman" w:cs="Times New Roman"/>
          <w:sz w:val="15"/>
          <w:szCs w:val="15"/>
          <w:spacing w:val="-3"/>
          <w:position w:val="7"/>
        </w:rPr>
        <w:t>2</w:t>
      </w:r>
      <w:r>
        <w:rPr>
          <w:rFonts w:ascii="FangSong" w:hAnsi="FangSong" w:eastAsia="FangSong" w:cs="FangSong"/>
          <w:sz w:val="24"/>
          <w:szCs w:val="24"/>
          <w:spacing w:val="-3"/>
        </w:rPr>
        <w:t>。</w:t>
      </w:r>
    </w:p>
    <w:p>
      <w:pPr>
        <w:ind w:left="517"/>
        <w:spacing w:before="178" w:line="222" w:lineRule="auto"/>
        <w:rPr>
          <w:rFonts w:ascii="FangSong" w:hAnsi="FangSong" w:eastAsia="FangSong" w:cs="FangSong"/>
          <w:sz w:val="24"/>
          <w:szCs w:val="24"/>
        </w:rPr>
      </w:pPr>
      <w:r>
        <w:rPr>
          <w:rFonts w:ascii="FangSong" w:hAnsi="FangSong" w:eastAsia="FangSong" w:cs="FangSong"/>
          <w:sz w:val="24"/>
          <w:szCs w:val="24"/>
          <w:spacing w:val="-2"/>
        </w:rPr>
        <w:t>然后按室外声源预测方法计算预测点处的</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2"/>
        </w:rPr>
        <w:t>声级。</w:t>
      </w:r>
    </w:p>
    <w:p>
      <w:pPr>
        <w:ind w:left="501"/>
        <w:spacing w:before="179" w:line="222"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预测点的等效声级贡献值</w:t>
      </w:r>
    </w:p>
    <w:p>
      <w:pPr>
        <w:ind w:left="33" w:right="157" w:firstLine="486"/>
        <w:spacing w:before="180" w:line="351" w:lineRule="auto"/>
        <w:rPr>
          <w:rFonts w:ascii="FangSong" w:hAnsi="FangSong" w:eastAsia="FangSong" w:cs="FangSong"/>
          <w:sz w:val="24"/>
          <w:szCs w:val="24"/>
        </w:rPr>
      </w:pPr>
      <w:r>
        <w:rPr>
          <w:rFonts w:ascii="FangSong" w:hAnsi="FangSong" w:eastAsia="FangSong" w:cs="FangSong"/>
          <w:sz w:val="24"/>
          <w:szCs w:val="24"/>
          <w:spacing w:val="-4"/>
        </w:rPr>
        <w:t>第</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4"/>
        </w:rPr>
        <w:t>个室外声源在预测点产生的</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声级为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L</w:t>
      </w:r>
      <w:r>
        <w:rPr>
          <w:rFonts w:ascii="Times New Roman" w:hAnsi="Times New Roman" w:eastAsia="Times New Roman" w:cs="Times New Roman"/>
          <w:sz w:val="15"/>
          <w:szCs w:val="15"/>
          <w:spacing w:val="-4"/>
          <w:position w:val="-1"/>
        </w:rPr>
        <w:t>Ai </w:t>
      </w:r>
      <w:r>
        <w:rPr>
          <w:rFonts w:ascii="FangSong" w:hAnsi="FangSong" w:eastAsia="FangSong" w:cs="FangSong"/>
          <w:sz w:val="24"/>
          <w:szCs w:val="24"/>
          <w:spacing w:val="-4"/>
        </w:rPr>
        <w:t>，在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32"/>
          <w:w w:val="101"/>
        </w:rPr>
        <w:t xml:space="preserve"> </w:t>
      </w:r>
      <w:r>
        <w:rPr>
          <w:rFonts w:ascii="FangSong" w:hAnsi="FangSong" w:eastAsia="FangSong" w:cs="FangSong"/>
          <w:sz w:val="24"/>
          <w:szCs w:val="24"/>
          <w:spacing w:val="-4"/>
        </w:rPr>
        <w:t>时间</w:t>
      </w:r>
      <w:r>
        <w:rPr>
          <w:rFonts w:ascii="FangSong" w:hAnsi="FangSong" w:eastAsia="FangSong" w:cs="FangSong"/>
          <w:sz w:val="24"/>
          <w:szCs w:val="24"/>
          <w:spacing w:val="-5"/>
        </w:rPr>
        <w:t>内该声源工作时间</w:t>
      </w:r>
      <w:r>
        <w:rPr>
          <w:rFonts w:ascii="FangSong" w:hAnsi="FangSong" w:eastAsia="FangSong" w:cs="FangSong"/>
          <w:sz w:val="24"/>
          <w:szCs w:val="24"/>
          <w:spacing w:val="-11"/>
        </w:rPr>
        <w:t>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11"/>
        </w:rPr>
        <w:t>t</w:t>
      </w:r>
      <w:r>
        <w:rPr>
          <w:rFonts w:ascii="Times New Roman" w:hAnsi="Times New Roman" w:eastAsia="Times New Roman" w:cs="Times New Roman"/>
          <w:sz w:val="15"/>
          <w:szCs w:val="15"/>
        </w:rPr>
        <w:t>i</w:t>
      </w:r>
      <w:r>
        <w:rPr>
          <w:rFonts w:ascii="FangSong" w:hAnsi="FangSong" w:eastAsia="FangSong" w:cs="FangSong"/>
          <w:sz w:val="24"/>
          <w:szCs w:val="24"/>
          <w:spacing w:val="2"/>
        </w:rPr>
        <w:t>；第</w:t>
      </w:r>
      <w:r>
        <w:rPr>
          <w:rFonts w:ascii="Times New Roman" w:hAnsi="Times New Roman" w:eastAsia="Times New Roman" w:cs="Times New Roman"/>
          <w:sz w:val="24"/>
          <w:szCs w:val="24"/>
          <w:spacing w:val="2"/>
        </w:rPr>
        <w:t>j</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个等效室外声源在预测点产生的</w:t>
      </w:r>
      <w:r>
        <w:rPr>
          <w:rFonts w:ascii="Times New Roman" w:hAnsi="Times New Roman" w:eastAsia="Times New Roman" w:cs="Times New Roman"/>
          <w:sz w:val="24"/>
          <w:szCs w:val="24"/>
          <w:spacing w:val="2"/>
        </w:rPr>
        <w:t>A </w:t>
      </w:r>
      <w:r>
        <w:rPr>
          <w:rFonts w:ascii="FangSong" w:hAnsi="FangSong" w:eastAsia="FangSong" w:cs="FangSong"/>
          <w:sz w:val="24"/>
          <w:szCs w:val="24"/>
          <w:spacing w:val="2"/>
        </w:rPr>
        <w:t>声级为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Aj</w:t>
      </w:r>
      <w:r>
        <w:rPr>
          <w:rFonts w:ascii="Times New Roman" w:hAnsi="Times New Roman" w:eastAsia="Times New Roman" w:cs="Times New Roman"/>
          <w:sz w:val="15"/>
          <w:szCs w:val="15"/>
          <w:spacing w:val="2"/>
          <w:position w:val="-1"/>
        </w:rPr>
        <w:t xml:space="preserve"> </w:t>
      </w:r>
      <w:r>
        <w:rPr>
          <w:rFonts w:ascii="FangSong" w:hAnsi="FangSong" w:eastAsia="FangSong" w:cs="FangSong"/>
          <w:sz w:val="24"/>
          <w:szCs w:val="24"/>
          <w:spacing w:val="2"/>
        </w:rPr>
        <w:t>，在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2"/>
        </w:rPr>
        <w:t>时间内该声源工</w:t>
      </w:r>
      <w:r>
        <w:rPr>
          <w:rFonts w:ascii="FangSong" w:hAnsi="FangSong" w:eastAsia="FangSong" w:cs="FangSong"/>
          <w:sz w:val="24"/>
          <w:szCs w:val="24"/>
          <w:spacing w:val="-10"/>
        </w:rPr>
        <w:t>作时间为</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0"/>
        </w:rPr>
        <w:t>t</w:t>
      </w:r>
      <w:r>
        <w:rPr>
          <w:rFonts w:ascii="Times New Roman" w:hAnsi="Times New Roman" w:eastAsia="Times New Roman" w:cs="Times New Roman"/>
          <w:sz w:val="15"/>
          <w:szCs w:val="15"/>
          <w:spacing w:val="-10"/>
          <w:position w:val="-1"/>
        </w:rPr>
        <w:t>j</w:t>
      </w:r>
      <w:r>
        <w:rPr>
          <w:rFonts w:ascii="FangSong" w:hAnsi="FangSong" w:eastAsia="FangSong" w:cs="FangSong"/>
          <w:sz w:val="24"/>
          <w:szCs w:val="24"/>
          <w:spacing w:val="-10"/>
          <w:position w:val="-1"/>
        </w:rPr>
        <w:t>，</w:t>
      </w:r>
      <w:r>
        <w:rPr>
          <w:rFonts w:ascii="FangSong" w:hAnsi="FangSong" w:eastAsia="FangSong" w:cs="FangSong"/>
          <w:sz w:val="24"/>
          <w:szCs w:val="24"/>
          <w:spacing w:val="-10"/>
        </w:rPr>
        <w:t>则拟建工程声源对预测点产生的贡献值（</w:t>
      </w:r>
      <w:r>
        <w:rPr>
          <w:rFonts w:ascii="Times New Roman" w:hAnsi="Times New Roman" w:eastAsia="Times New Roman" w:cs="Times New Roman"/>
          <w:sz w:val="24"/>
          <w:szCs w:val="24"/>
          <w:spacing w:val="-10"/>
        </w:rPr>
        <w:t>L</w:t>
      </w:r>
      <w:r>
        <w:rPr>
          <w:rFonts w:ascii="Times New Roman" w:hAnsi="Times New Roman" w:eastAsia="Times New Roman" w:cs="Times New Roman"/>
          <w:sz w:val="15"/>
          <w:szCs w:val="15"/>
          <w:spacing w:val="-10"/>
          <w:position w:val="-1"/>
        </w:rPr>
        <w:t>eqg</w:t>
      </w:r>
      <w:r>
        <w:rPr>
          <w:rFonts w:ascii="FangSong" w:hAnsi="FangSong" w:eastAsia="FangSong" w:cs="FangSong"/>
          <w:sz w:val="24"/>
          <w:szCs w:val="24"/>
          <w:spacing w:val="-10"/>
        </w:rPr>
        <w:t>）计算方法见公</w:t>
      </w:r>
      <w:r>
        <w:rPr>
          <w:rFonts w:ascii="FangSong" w:hAnsi="FangSong" w:eastAsia="FangSong" w:cs="FangSong"/>
          <w:sz w:val="24"/>
          <w:szCs w:val="24"/>
          <w:spacing w:val="-11"/>
        </w:rPr>
        <w:t>式</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1"/>
        </w:rPr>
        <w:t>6.2-8</w:t>
      </w:r>
      <w:r>
        <w:rPr>
          <w:rFonts w:ascii="FangSong" w:hAnsi="FangSong" w:eastAsia="FangSong" w:cs="FangSong"/>
          <w:sz w:val="24"/>
          <w:szCs w:val="24"/>
          <w:spacing w:val="-11"/>
        </w:rPr>
        <w:t>：</w:t>
      </w:r>
    </w:p>
    <w:p>
      <w:pPr>
        <w:pStyle w:val="BodyText"/>
        <w:ind w:left="1137"/>
        <w:rPr>
          <w:rFonts w:ascii="FangSong" w:hAnsi="FangSong" w:eastAsia="FangSong" w:cs="FangSong"/>
          <w:sz w:val="24"/>
          <w:szCs w:val="24"/>
        </w:rPr>
      </w:pPr>
      <w:r>
        <w:rPr>
          <w:rFonts w:ascii="Times New Roman" w:hAnsi="Times New Roman" w:eastAsia="Times New Roman" w:cs="Times New Roman"/>
          <w:sz w:val="23"/>
          <w:szCs w:val="23"/>
          <w:spacing w:val="-2"/>
          <w:position w:val="4"/>
        </w:rPr>
        <w:t>L</w:t>
      </w:r>
      <w:r>
        <w:rPr>
          <w:rFonts w:ascii="Times New Roman" w:hAnsi="Times New Roman" w:eastAsia="Times New Roman" w:cs="Times New Roman"/>
          <w:sz w:val="15"/>
          <w:szCs w:val="15"/>
          <w:spacing w:val="-2"/>
          <w:position w:val="-1"/>
        </w:rPr>
        <w:t>eqg  </w:t>
      </w:r>
      <w:r>
        <w:rPr>
          <w:sz w:val="23"/>
          <w:szCs w:val="23"/>
          <w:spacing w:val="-2"/>
          <w:position w:val="4"/>
        </w:rPr>
        <w:t>= </w:t>
      </w:r>
      <w:r>
        <w:rPr>
          <w:rFonts w:ascii="Times New Roman" w:hAnsi="Times New Roman" w:eastAsia="Times New Roman" w:cs="Times New Roman"/>
          <w:sz w:val="23"/>
          <w:szCs w:val="23"/>
          <w:spacing w:val="-2"/>
          <w:position w:val="4"/>
        </w:rPr>
        <w:t>10lg</w:t>
      </w:r>
      <w:r>
        <w:rPr>
          <w:sz w:val="23"/>
          <w:szCs w:val="23"/>
          <w:position w:val="-27"/>
        </w:rPr>
        <w:drawing>
          <wp:inline distT="0" distB="0" distL="0" distR="0">
            <wp:extent cx="1921779" cy="489464"/>
            <wp:effectExtent l="0" t="0" r="0" b="0"/>
            <wp:docPr id="88" name="IM 88"/>
            <wp:cNvGraphicFramePr/>
            <a:graphic>
              <a:graphicData uri="http://schemas.openxmlformats.org/drawingml/2006/picture">
                <pic:pic>
                  <pic:nvPicPr>
                    <pic:cNvPr id="88" name="IM 88"/>
                    <pic:cNvPicPr/>
                  </pic:nvPicPr>
                  <pic:blipFill>
                    <a:blip r:embed="rId303"/>
                    <a:stretch>
                      <a:fillRect/>
                    </a:stretch>
                  </pic:blipFill>
                  <pic:spPr>
                    <a:xfrm rot="0">
                      <a:off x="0" y="0"/>
                      <a:ext cx="1921779" cy="489464"/>
                    </a:xfrm>
                    <a:prstGeom prst="rect">
                      <a:avLst/>
                    </a:prstGeom>
                  </pic:spPr>
                </pic:pic>
              </a:graphicData>
            </a:graphic>
          </wp:inline>
        </w:drawing>
      </w:r>
      <w:r>
        <w:rPr>
          <w:rFonts w:ascii="Times New Roman" w:hAnsi="Times New Roman" w:eastAsia="Times New Roman" w:cs="Times New Roman"/>
          <w:sz w:val="23"/>
          <w:szCs w:val="23"/>
          <w:spacing w:val="2"/>
          <w:position w:val="4"/>
        </w:rPr>
        <w:t xml:space="preserve">         </w:t>
      </w:r>
      <w:r>
        <w:rPr>
          <w:rFonts w:ascii="FangSong" w:hAnsi="FangSong" w:eastAsia="FangSong" w:cs="FangSong"/>
          <w:sz w:val="24"/>
          <w:szCs w:val="24"/>
          <w:spacing w:val="-2"/>
          <w:position w:val="3"/>
        </w:rPr>
        <w:t>（公式</w:t>
      </w:r>
      <w:r>
        <w:rPr>
          <w:rFonts w:ascii="FangSong" w:hAnsi="FangSong" w:eastAsia="FangSong" w:cs="FangSong"/>
          <w:sz w:val="24"/>
          <w:szCs w:val="24"/>
          <w:spacing w:val="-42"/>
          <w:position w:val="3"/>
        </w:rPr>
        <w:t xml:space="preserve"> </w:t>
      </w:r>
      <w:r>
        <w:rPr>
          <w:rFonts w:ascii="Times New Roman" w:hAnsi="Times New Roman" w:eastAsia="Times New Roman" w:cs="Times New Roman"/>
          <w:sz w:val="24"/>
          <w:szCs w:val="24"/>
          <w:spacing w:val="-2"/>
          <w:position w:val="3"/>
        </w:rPr>
        <w:t>6.2-8</w:t>
      </w:r>
      <w:r>
        <w:rPr>
          <w:rFonts w:ascii="FangSong" w:hAnsi="FangSong" w:eastAsia="FangSong" w:cs="FangSong"/>
          <w:sz w:val="24"/>
          <w:szCs w:val="24"/>
          <w:spacing w:val="-2"/>
          <w:position w:val="3"/>
        </w:rPr>
        <w:t>）</w:t>
      </w:r>
    </w:p>
    <w:p>
      <w:pPr>
        <w:ind w:left="515"/>
        <w:spacing w:before="191" w:line="218" w:lineRule="auto"/>
        <w:rPr>
          <w:rFonts w:ascii="FangSong" w:hAnsi="FangSong" w:eastAsia="FangSong" w:cs="FangSong"/>
          <w:sz w:val="24"/>
          <w:szCs w:val="24"/>
        </w:rPr>
      </w:pPr>
      <w:r>
        <w:rPr>
          <w:rFonts w:ascii="FangSong" w:hAnsi="FangSong" w:eastAsia="FangSong" w:cs="FangSong"/>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eqg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建设项目声源在预测点的等效声级</w:t>
      </w:r>
      <w:r>
        <w:rPr>
          <w:rFonts w:ascii="FangSong" w:hAnsi="FangSong" w:eastAsia="FangSong" w:cs="FangSong"/>
          <w:sz w:val="24"/>
          <w:szCs w:val="24"/>
          <w:spacing w:val="-1"/>
        </w:rPr>
        <w:t>贡献值，</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w:t>
      </w:r>
    </w:p>
    <w:p>
      <w:pPr>
        <w:ind w:left="1221"/>
        <w:spacing w:before="183"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T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用于计算等效声级的时间，</w:t>
      </w:r>
      <w:r>
        <w:rPr>
          <w:rFonts w:ascii="Times New Roman" w:hAnsi="Times New Roman" w:eastAsia="Times New Roman" w:cs="Times New Roman"/>
          <w:sz w:val="24"/>
          <w:szCs w:val="24"/>
          <w:spacing w:val="-1"/>
        </w:rPr>
        <w:t>s</w:t>
      </w:r>
      <w:r>
        <w:rPr>
          <w:rFonts w:ascii="FangSong" w:hAnsi="FangSong" w:eastAsia="FangSong" w:cs="FangSong"/>
          <w:sz w:val="24"/>
          <w:szCs w:val="24"/>
          <w:spacing w:val="-1"/>
        </w:rPr>
        <w:t>；</w:t>
      </w:r>
    </w:p>
    <w:p>
      <w:pPr>
        <w:ind w:left="1211"/>
        <w:spacing w:before="181" w:line="222" w:lineRule="auto"/>
        <w:rPr>
          <w:rFonts w:ascii="FangSong" w:hAnsi="FangSong" w:eastAsia="FangSong" w:cs="FangSong"/>
          <w:sz w:val="24"/>
          <w:szCs w:val="24"/>
        </w:rPr>
      </w:pPr>
      <w:r>
        <w:rPr>
          <w:rFonts w:ascii="Times New Roman" w:hAnsi="Times New Roman" w:eastAsia="Times New Roman" w:cs="Times New Roman"/>
          <w:sz w:val="24"/>
          <w:szCs w:val="24"/>
          <w:spacing w:val="-3"/>
        </w:rPr>
        <w:t>N  </w:t>
      </w:r>
      <w:r>
        <w:rPr>
          <w:rFonts w:ascii="FangSong" w:hAnsi="FangSong" w:eastAsia="FangSong" w:cs="FangSong"/>
          <w:sz w:val="24"/>
          <w:szCs w:val="24"/>
          <w:spacing w:val="-3"/>
        </w:rPr>
        <w:t>——</w:t>
      </w:r>
      <w:r>
        <w:rPr>
          <w:rFonts w:ascii="FangSong" w:hAnsi="FangSong" w:eastAsia="FangSong" w:cs="FangSong"/>
          <w:sz w:val="24"/>
          <w:szCs w:val="24"/>
          <w:spacing w:val="37"/>
        </w:rPr>
        <w:t xml:space="preserve"> </w:t>
      </w:r>
      <w:r>
        <w:rPr>
          <w:rFonts w:ascii="FangSong" w:hAnsi="FangSong" w:eastAsia="FangSong" w:cs="FangSong"/>
          <w:sz w:val="24"/>
          <w:szCs w:val="24"/>
          <w:spacing w:val="-3"/>
        </w:rPr>
        <w:t>室外声源个数；</w:t>
      </w:r>
    </w:p>
    <w:p>
      <w:pPr>
        <w:ind w:left="1216"/>
        <w:spacing w:before="179" w:line="219" w:lineRule="auto"/>
        <w:rPr>
          <w:rFonts w:ascii="FangSong" w:hAnsi="FangSong" w:eastAsia="FangSong" w:cs="FangSong"/>
          <w:sz w:val="24"/>
          <w:szCs w:val="24"/>
        </w:rPr>
      </w:pPr>
      <w:r>
        <w:rPr>
          <w:rFonts w:ascii="Times New Roman" w:hAnsi="Times New Roman" w:eastAsia="Times New Roman" w:cs="Times New Roman"/>
          <w:sz w:val="24"/>
          <w:szCs w:val="24"/>
          <w:spacing w:val="-4"/>
        </w:rPr>
        <w:t>t</w:t>
      </w:r>
      <w:r>
        <w:rPr>
          <w:rFonts w:ascii="Times New Roman" w:hAnsi="Times New Roman" w:eastAsia="Times New Roman" w:cs="Times New Roman"/>
          <w:sz w:val="15"/>
          <w:szCs w:val="15"/>
          <w:spacing w:val="-4"/>
          <w:position w:val="-1"/>
        </w:rPr>
        <w:t>i   </w:t>
      </w:r>
      <w:r>
        <w:rPr>
          <w:rFonts w:ascii="FangSong" w:hAnsi="FangSong" w:eastAsia="FangSong" w:cs="FangSong"/>
          <w:sz w:val="24"/>
          <w:szCs w:val="24"/>
          <w:spacing w:val="-4"/>
        </w:rPr>
        <w:t>——</w:t>
      </w:r>
      <w:r>
        <w:rPr>
          <w:rFonts w:ascii="FangSong" w:hAnsi="FangSong" w:eastAsia="FangSong" w:cs="FangSong"/>
          <w:sz w:val="24"/>
          <w:szCs w:val="24"/>
          <w:spacing w:val="29"/>
        </w:rPr>
        <w:t xml:space="preserve"> </w:t>
      </w:r>
      <w:r>
        <w:rPr>
          <w:rFonts w:ascii="FangSong" w:hAnsi="FangSong" w:eastAsia="FangSong" w:cs="FangSong"/>
          <w:sz w:val="24"/>
          <w:szCs w:val="24"/>
          <w:spacing w:val="-4"/>
        </w:rPr>
        <w:t>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4"/>
        </w:rPr>
        <w:t>时间内</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声源工作时间，</w:t>
      </w:r>
      <w:r>
        <w:rPr>
          <w:rFonts w:ascii="Times New Roman" w:hAnsi="Times New Roman" w:eastAsia="Times New Roman" w:cs="Times New Roman"/>
          <w:sz w:val="24"/>
          <w:szCs w:val="24"/>
          <w:spacing w:val="-4"/>
        </w:rPr>
        <w:t>s</w:t>
      </w:r>
      <w:r>
        <w:rPr>
          <w:rFonts w:ascii="FangSong" w:hAnsi="FangSong" w:eastAsia="FangSong" w:cs="FangSong"/>
          <w:sz w:val="24"/>
          <w:szCs w:val="24"/>
          <w:spacing w:val="-4"/>
        </w:rPr>
        <w:t>；</w:t>
      </w:r>
    </w:p>
    <w:p>
      <w:pPr>
        <w:ind w:left="1218"/>
        <w:spacing w:before="183" w:line="222" w:lineRule="auto"/>
        <w:rPr>
          <w:rFonts w:ascii="FangSong" w:hAnsi="FangSong" w:eastAsia="FangSong" w:cs="FangSong"/>
          <w:sz w:val="24"/>
          <w:szCs w:val="24"/>
        </w:rPr>
      </w:pPr>
      <w:r>
        <w:rPr>
          <w:rFonts w:ascii="Times New Roman" w:hAnsi="Times New Roman" w:eastAsia="Times New Roman" w:cs="Times New Roman"/>
          <w:sz w:val="24"/>
          <w:szCs w:val="24"/>
          <w:spacing w:val="-3"/>
        </w:rPr>
        <w:t>M  </w:t>
      </w:r>
      <w:r>
        <w:rPr>
          <w:rFonts w:ascii="FangSong" w:hAnsi="FangSong" w:eastAsia="FangSong" w:cs="FangSong"/>
          <w:sz w:val="24"/>
          <w:szCs w:val="24"/>
          <w:spacing w:val="-3"/>
        </w:rPr>
        <w:t>——</w:t>
      </w:r>
      <w:r>
        <w:rPr>
          <w:rFonts w:ascii="FangSong" w:hAnsi="FangSong" w:eastAsia="FangSong" w:cs="FangSong"/>
          <w:sz w:val="24"/>
          <w:szCs w:val="24"/>
          <w:spacing w:val="37"/>
        </w:rPr>
        <w:t xml:space="preserve"> </w:t>
      </w:r>
      <w:r>
        <w:rPr>
          <w:rFonts w:ascii="FangSong" w:hAnsi="FangSong" w:eastAsia="FangSong" w:cs="FangSong"/>
          <w:sz w:val="24"/>
          <w:szCs w:val="24"/>
          <w:spacing w:val="-3"/>
        </w:rPr>
        <w:t>等效室外声源个数；</w:t>
      </w:r>
    </w:p>
    <w:p>
      <w:pPr>
        <w:ind w:left="1216"/>
        <w:spacing w:before="179" w:line="212" w:lineRule="auto"/>
        <w:rPr>
          <w:rFonts w:ascii="FangSong" w:hAnsi="FangSong" w:eastAsia="FangSong" w:cs="FangSong"/>
          <w:sz w:val="24"/>
          <w:szCs w:val="24"/>
        </w:rPr>
      </w:pPr>
      <w:r>
        <w:rPr>
          <w:rFonts w:ascii="Times New Roman" w:hAnsi="Times New Roman" w:eastAsia="Times New Roman" w:cs="Times New Roman"/>
          <w:sz w:val="24"/>
          <w:szCs w:val="24"/>
        </w:rPr>
        <w:t>t</w:t>
      </w:r>
      <w:r>
        <w:rPr>
          <w:rFonts w:ascii="Times New Roman" w:hAnsi="Times New Roman" w:eastAsia="Times New Roman" w:cs="Times New Roman"/>
          <w:sz w:val="15"/>
          <w:szCs w:val="15"/>
          <w:position w:val="-1"/>
        </w:rPr>
        <w:t>j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rPr>
        <w:t>时间内</w:t>
      </w:r>
      <w:r>
        <w:rPr>
          <w:rFonts w:ascii="Times New Roman" w:hAnsi="Times New Roman" w:eastAsia="Times New Roman" w:cs="Times New Roman"/>
          <w:sz w:val="24"/>
          <w:szCs w:val="24"/>
        </w:rPr>
        <w:t>j</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rPr>
        <w:t>声源工作时间，</w:t>
      </w:r>
      <w:r>
        <w:rPr>
          <w:rFonts w:ascii="Times New Roman" w:hAnsi="Times New Roman" w:eastAsia="Times New Roman" w:cs="Times New Roman"/>
          <w:sz w:val="24"/>
          <w:szCs w:val="24"/>
        </w:rPr>
        <w:t>s</w:t>
      </w:r>
      <w:r>
        <w:rPr>
          <w:rFonts w:ascii="FangSong" w:hAnsi="FangSong" w:eastAsia="FangSong" w:cs="FangSong"/>
          <w:sz w:val="24"/>
          <w:szCs w:val="24"/>
        </w:rPr>
        <w:t>。</w:t>
      </w:r>
    </w:p>
    <w:p>
      <w:pPr>
        <w:ind w:left="501"/>
        <w:spacing w:before="192" w:line="222" w:lineRule="auto"/>
        <w:rPr>
          <w:rFonts w:ascii="FangSong" w:hAnsi="FangSong" w:eastAsia="FangSong" w:cs="FangSong"/>
          <w:sz w:val="24"/>
          <w:szCs w:val="24"/>
        </w:rPr>
      </w:pPr>
      <w:r>
        <w:rPr>
          <w:rFonts w:ascii="FangSong" w:hAnsi="FangSong" w:eastAsia="FangSong" w:cs="FangSong"/>
          <w:sz w:val="24"/>
          <w:szCs w:val="24"/>
          <w:spacing w:val="-5"/>
        </w:rPr>
        <w:t>④</w:t>
      </w:r>
      <w:r>
        <w:rPr>
          <w:rFonts w:ascii="FangSong" w:hAnsi="FangSong" w:eastAsia="FangSong" w:cs="FangSong"/>
          <w:sz w:val="24"/>
          <w:szCs w:val="24"/>
          <w:spacing w:val="21"/>
        </w:rPr>
        <w:t xml:space="preserve"> </w:t>
      </w:r>
      <w:r>
        <w:rPr>
          <w:rFonts w:ascii="FangSong" w:hAnsi="FangSong" w:eastAsia="FangSong" w:cs="FangSong"/>
          <w:sz w:val="24"/>
          <w:szCs w:val="24"/>
          <w:spacing w:val="-5"/>
        </w:rPr>
        <w:t>预测值计算</w:t>
      </w:r>
    </w:p>
    <w:p>
      <w:pPr>
        <w:ind w:left="29" w:firstLine="481"/>
        <w:spacing w:before="181" w:line="312" w:lineRule="auto"/>
        <w:rPr>
          <w:rFonts w:ascii="FangSong" w:hAnsi="FangSong" w:eastAsia="FangSong" w:cs="FangSong"/>
          <w:sz w:val="24"/>
          <w:szCs w:val="24"/>
        </w:rPr>
      </w:pPr>
      <w:r>
        <w:rPr>
          <w:rFonts w:ascii="FangSong" w:hAnsi="FangSong" w:eastAsia="FangSong" w:cs="FangSong"/>
          <w:sz w:val="24"/>
          <w:szCs w:val="24"/>
          <w:spacing w:val="-5"/>
        </w:rPr>
        <w:t>预测点的贡献值和背景值按能量叠加方法计算得到的声级。噪声预测值（</w:t>
      </w:r>
      <w:r>
        <w:rPr>
          <w:rFonts w:ascii="Times New Roman" w:hAnsi="Times New Roman" w:eastAsia="Times New Roman" w:cs="Times New Roman"/>
          <w:sz w:val="24"/>
          <w:szCs w:val="24"/>
          <w:spacing w:val="-5"/>
        </w:rPr>
        <w:t>L</w:t>
      </w:r>
      <w:r>
        <w:rPr>
          <w:rFonts w:ascii="Times New Roman" w:hAnsi="Times New Roman" w:eastAsia="Times New Roman" w:cs="Times New Roman"/>
          <w:sz w:val="15"/>
          <w:szCs w:val="15"/>
          <w:spacing w:val="-5"/>
          <w:position w:val="-1"/>
        </w:rPr>
        <w:t>e</w:t>
      </w:r>
      <w:r>
        <w:rPr>
          <w:rFonts w:ascii="Times New Roman" w:hAnsi="Times New Roman" w:eastAsia="Times New Roman" w:cs="Times New Roman"/>
          <w:sz w:val="15"/>
          <w:szCs w:val="15"/>
          <w:spacing w:val="-6"/>
          <w:position w:val="-1"/>
        </w:rPr>
        <w:t>q</w:t>
      </w:r>
      <w:r>
        <w:rPr>
          <w:rFonts w:ascii="FangSong" w:hAnsi="FangSong" w:eastAsia="FangSong" w:cs="FangSong"/>
          <w:sz w:val="24"/>
          <w:szCs w:val="24"/>
          <w:spacing w:val="-6"/>
        </w:rPr>
        <w:t>）</w:t>
      </w:r>
      <w:r>
        <w:rPr>
          <w:rFonts w:ascii="FangSong" w:hAnsi="FangSong" w:eastAsia="FangSong" w:cs="FangSong"/>
          <w:sz w:val="24"/>
          <w:szCs w:val="24"/>
          <w:spacing w:val="-3"/>
        </w:rPr>
        <w:t>计算公式见公式</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3"/>
        </w:rPr>
        <w:t>6.2-9</w:t>
      </w:r>
      <w:r>
        <w:rPr>
          <w:rFonts w:ascii="FangSong" w:hAnsi="FangSong" w:eastAsia="FangSong" w:cs="FangSong"/>
          <w:sz w:val="24"/>
          <w:szCs w:val="24"/>
          <w:spacing w:val="-3"/>
        </w:rPr>
        <w:t>：</w:t>
      </w:r>
    </w:p>
    <w:p>
      <w:pPr>
        <w:pStyle w:val="BodyText"/>
        <w:ind w:left="1807"/>
        <w:spacing w:before="1" w:line="223" w:lineRule="auto"/>
        <w:rPr>
          <w:rFonts w:ascii="FangSong" w:hAnsi="FangSong" w:eastAsia="FangSong" w:cs="FangSong"/>
          <w:sz w:val="24"/>
          <w:szCs w:val="24"/>
        </w:rPr>
      </w:pPr>
      <w:r>
        <w:rPr>
          <w:rFonts w:ascii="Times New Roman" w:hAnsi="Times New Roman" w:eastAsia="Times New Roman" w:cs="Times New Roman"/>
          <w:sz w:val="23"/>
          <w:szCs w:val="23"/>
          <w:spacing w:val="-1"/>
        </w:rPr>
        <w:t>L</w:t>
      </w:r>
      <w:r>
        <w:rPr>
          <w:rFonts w:ascii="Times New Roman" w:hAnsi="Times New Roman" w:eastAsia="Times New Roman" w:cs="Times New Roman"/>
          <w:sz w:val="13"/>
          <w:szCs w:val="13"/>
          <w:spacing w:val="-1"/>
          <w:position w:val="-6"/>
        </w:rPr>
        <w:t>eq</w:t>
      </w:r>
      <w:r>
        <w:rPr>
          <w:rFonts w:ascii="Times New Roman" w:hAnsi="Times New Roman" w:eastAsia="Times New Roman" w:cs="Times New Roman"/>
          <w:sz w:val="13"/>
          <w:szCs w:val="13"/>
          <w:spacing w:val="11"/>
          <w:w w:val="102"/>
          <w:position w:val="-6"/>
        </w:rPr>
        <w:t xml:space="preserve">  </w:t>
      </w:r>
      <w:r>
        <w:rPr>
          <w:sz w:val="23"/>
          <w:szCs w:val="23"/>
          <w:spacing w:val="-1"/>
        </w:rPr>
        <w:t>= </w:t>
      </w:r>
      <w:r>
        <w:rPr>
          <w:rFonts w:ascii="Times New Roman" w:hAnsi="Times New Roman" w:eastAsia="Times New Roman" w:cs="Times New Roman"/>
          <w:sz w:val="23"/>
          <w:szCs w:val="23"/>
          <w:spacing w:val="-1"/>
        </w:rPr>
        <w:t>10lg</w:t>
      </w:r>
      <w:r>
        <w:rPr>
          <w:sz w:val="23"/>
          <w:szCs w:val="23"/>
          <w:position w:val="-6"/>
        </w:rPr>
        <w:drawing>
          <wp:inline distT="0" distB="0" distL="0" distR="0">
            <wp:extent cx="1135356" cy="296361"/>
            <wp:effectExtent l="0" t="0" r="0" b="0"/>
            <wp:docPr id="90" name="IM 90"/>
            <wp:cNvGraphicFramePr/>
            <a:graphic>
              <a:graphicData uri="http://schemas.openxmlformats.org/drawingml/2006/picture">
                <pic:pic>
                  <pic:nvPicPr>
                    <pic:cNvPr id="90" name="IM 90"/>
                    <pic:cNvPicPr/>
                  </pic:nvPicPr>
                  <pic:blipFill>
                    <a:blip r:embed="rId304"/>
                    <a:stretch>
                      <a:fillRect/>
                    </a:stretch>
                  </pic:blipFill>
                  <pic:spPr>
                    <a:xfrm rot="0">
                      <a:off x="0" y="0"/>
                      <a:ext cx="1135356" cy="296361"/>
                    </a:xfrm>
                    <a:prstGeom prst="rect">
                      <a:avLst/>
                    </a:prstGeom>
                  </pic:spPr>
                </pic:pic>
              </a:graphicData>
            </a:graphic>
          </wp:inline>
        </w:drawing>
      </w:r>
      <w:r>
        <w:rPr>
          <w:rFonts w:ascii="Times New Roman" w:hAnsi="Times New Roman" w:eastAsia="Times New Roman" w:cs="Times New Roman"/>
          <w:sz w:val="23"/>
          <w:szCs w:val="23"/>
          <w:spacing w:val="4"/>
        </w:rPr>
        <w:t xml:space="preserve">        </w:t>
      </w:r>
      <w:r>
        <w:rPr>
          <w:rFonts w:ascii="FangSong" w:hAnsi="FangSong" w:eastAsia="FangSong" w:cs="FangSong"/>
          <w:sz w:val="24"/>
          <w:szCs w:val="24"/>
          <w:spacing w:val="-1"/>
        </w:rPr>
        <w:t>（公式</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
        </w:rPr>
        <w:t>6.2-9</w:t>
      </w:r>
      <w:r>
        <w:rPr>
          <w:rFonts w:ascii="FangSong" w:hAnsi="FangSong" w:eastAsia="FangSong" w:cs="FangSong"/>
          <w:sz w:val="24"/>
          <w:szCs w:val="24"/>
          <w:spacing w:val="-1"/>
        </w:rPr>
        <w:t>）</w:t>
      </w:r>
    </w:p>
    <w:p>
      <w:pPr>
        <w:ind w:left="515"/>
        <w:spacing w:before="275" w:line="218" w:lineRule="auto"/>
        <w:rPr>
          <w:rFonts w:ascii="FangSong" w:hAnsi="FangSong" w:eastAsia="FangSong" w:cs="FangSong"/>
          <w:sz w:val="24"/>
          <w:szCs w:val="24"/>
        </w:rPr>
      </w:pPr>
      <w:r>
        <w:rPr>
          <w:rFonts w:ascii="FangSong" w:hAnsi="FangSong" w:eastAsia="FangSong" w:cs="FangSong"/>
          <w:sz w:val="24"/>
          <w:szCs w:val="24"/>
          <w:spacing w:val="-1"/>
        </w:rPr>
        <w:t>式中：</w:t>
      </w: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position w:val="-1"/>
        </w:rPr>
        <w:t>eq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预测点的噪声预测值，</w:t>
      </w:r>
      <w:r>
        <w:rPr>
          <w:rFonts w:ascii="Times New Roman" w:hAnsi="Times New Roman" w:eastAsia="Times New Roman" w:cs="Times New Roman"/>
          <w:sz w:val="24"/>
          <w:szCs w:val="24"/>
          <w:spacing w:val="-1"/>
        </w:rPr>
        <w:t>dB</w:t>
      </w:r>
      <w:r>
        <w:rPr>
          <w:rFonts w:ascii="FangSong" w:hAnsi="FangSong" w:eastAsia="FangSong" w:cs="FangSong"/>
          <w:sz w:val="24"/>
          <w:szCs w:val="24"/>
          <w:spacing w:val="-1"/>
        </w:rPr>
        <w:t>；</w:t>
      </w:r>
    </w:p>
    <w:p>
      <w:pPr>
        <w:ind w:left="1218"/>
        <w:spacing w:before="184" w:line="218"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eqg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建设项目声源在预测点产生的噪声贡献值，</w:t>
      </w:r>
      <w:r>
        <w:rPr>
          <w:rFonts w:ascii="Times New Roman" w:hAnsi="Times New Roman" w:eastAsia="Times New Roman" w:cs="Times New Roman"/>
          <w:sz w:val="24"/>
          <w:szCs w:val="24"/>
        </w:rPr>
        <w:t>dB</w:t>
      </w:r>
      <w:r>
        <w:rPr>
          <w:rFonts w:ascii="FangSong" w:hAnsi="FangSong" w:eastAsia="FangSong" w:cs="FangSong"/>
          <w:sz w:val="24"/>
          <w:szCs w:val="24"/>
        </w:rPr>
        <w:t>；</w:t>
      </w:r>
    </w:p>
    <w:p>
      <w:pPr>
        <w:ind w:left="1218"/>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position w:val="-1"/>
        </w:rPr>
        <w:t>eqb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预测点的背景噪声值，</w:t>
      </w:r>
      <w:r>
        <w:rPr>
          <w:rFonts w:ascii="Times New Roman" w:hAnsi="Times New Roman" w:eastAsia="Times New Roman" w:cs="Times New Roman"/>
          <w:sz w:val="24"/>
          <w:szCs w:val="24"/>
        </w:rPr>
        <w:t>dB</w:t>
      </w:r>
      <w:r>
        <w:rPr>
          <w:rFonts w:ascii="FangSong" w:hAnsi="FangSong" w:eastAsia="FangSong" w:cs="FangSong"/>
          <w:sz w:val="24"/>
          <w:szCs w:val="24"/>
        </w:rPr>
        <w:t>。</w:t>
      </w:r>
    </w:p>
    <w:p>
      <w:pPr>
        <w:spacing w:line="218" w:lineRule="auto"/>
        <w:sectPr>
          <w:footerReference w:type="default" r:id="rId302"/>
          <w:pgSz w:w="11906" w:h="16839"/>
          <w:pgMar w:top="400" w:right="158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608"/>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）预测结果及评价</w:t>
      </w:r>
    </w:p>
    <w:p>
      <w:pPr>
        <w:ind w:left="604"/>
        <w:spacing w:before="179" w:line="220" w:lineRule="auto"/>
        <w:rPr>
          <w:rFonts w:ascii="FangSong" w:hAnsi="FangSong" w:eastAsia="FangSong" w:cs="FangSong"/>
          <w:sz w:val="24"/>
          <w:szCs w:val="24"/>
        </w:rPr>
      </w:pPr>
      <w:r>
        <w:rPr>
          <w:rFonts w:ascii="FangSong" w:hAnsi="FangSong" w:eastAsia="FangSong" w:cs="FangSong"/>
          <w:sz w:val="24"/>
          <w:szCs w:val="24"/>
          <w:spacing w:val="-2"/>
        </w:rPr>
        <w:t>根据噪声源分布情况，噪声贡献值及预测值详见表</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2"/>
        </w:rPr>
        <w:t>6.2-5</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和图</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6.2-2</w:t>
      </w:r>
      <w:r>
        <w:rPr>
          <w:rFonts w:ascii="FangSong" w:hAnsi="FangSong" w:eastAsia="FangSong" w:cs="FangSong"/>
          <w:sz w:val="24"/>
          <w:szCs w:val="24"/>
          <w:spacing w:val="-2"/>
        </w:rPr>
        <w:t>。</w:t>
      </w:r>
    </w:p>
    <w:p>
      <w:pPr>
        <w:ind w:left="2734"/>
        <w:spacing w:before="182" w:line="222" w:lineRule="auto"/>
        <w:rPr>
          <w:rFonts w:ascii="FangSong" w:hAnsi="FangSong" w:eastAsia="FangSong" w:cs="FangSong"/>
          <w:sz w:val="24"/>
          <w:szCs w:val="24"/>
        </w:rPr>
      </w:pPr>
      <w:bookmarkStart w:name="bookmark596" w:id="402"/>
      <w:bookmarkEnd w:id="402"/>
      <w:r>
        <w:rPr>
          <w:rFonts w:ascii="FangSong" w:hAnsi="FangSong" w:eastAsia="FangSong" w:cs="FangSong"/>
          <w:sz w:val="24"/>
          <w:szCs w:val="24"/>
          <w:b/>
          <w:bCs/>
          <w:spacing w:val="-5"/>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spacing w:val="-5"/>
        </w:rPr>
        <w:t>6.2-5</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5"/>
        </w:rPr>
        <w:t>噪声预测结果一览表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2"/>
        <w:gridCol w:w="2095"/>
        <w:gridCol w:w="1420"/>
        <w:gridCol w:w="1420"/>
        <w:gridCol w:w="1420"/>
        <w:gridCol w:w="1425"/>
      </w:tblGrid>
      <w:tr>
        <w:trPr>
          <w:trHeight w:val="317" w:hRule="atLeast"/>
        </w:trPr>
        <w:tc>
          <w:tcPr>
            <w:tcW w:w="742" w:type="dxa"/>
            <w:vAlign w:val="top"/>
            <w:vMerge w:val="restart"/>
            <w:tcBorders>
              <w:top w:val="single" w:color="000000" w:sz="10" w:space="0"/>
              <w:left w:val="nil"/>
              <w:bottom w:val="nil"/>
            </w:tcBorders>
          </w:tcPr>
          <w:p>
            <w:pPr>
              <w:pStyle w:val="TableText"/>
              <w:ind w:left="174"/>
              <w:spacing w:before="216" w:line="231" w:lineRule="auto"/>
              <w:rPr/>
            </w:pPr>
            <w:r>
              <w:rPr>
                <w:spacing w:val="2"/>
              </w:rPr>
              <w:t>序号</w:t>
            </w:r>
          </w:p>
        </w:tc>
        <w:tc>
          <w:tcPr>
            <w:tcW w:w="2095" w:type="dxa"/>
            <w:vAlign w:val="top"/>
            <w:vMerge w:val="restart"/>
            <w:tcBorders>
              <w:top w:val="single" w:color="000000" w:sz="10" w:space="0"/>
              <w:bottom w:val="nil"/>
            </w:tcBorders>
          </w:tcPr>
          <w:p>
            <w:pPr>
              <w:pStyle w:val="TableText"/>
              <w:ind w:left="638"/>
              <w:spacing w:before="216" w:line="230" w:lineRule="auto"/>
              <w:rPr/>
            </w:pPr>
            <w:r>
              <w:rPr>
                <w:spacing w:val="5"/>
              </w:rPr>
              <w:t>预测点位</w:t>
            </w:r>
          </w:p>
        </w:tc>
        <w:tc>
          <w:tcPr>
            <w:tcW w:w="2840" w:type="dxa"/>
            <w:vAlign w:val="top"/>
            <w:gridSpan w:val="2"/>
            <w:tcBorders>
              <w:top w:val="single" w:color="000000" w:sz="10" w:space="0"/>
            </w:tcBorders>
          </w:tcPr>
          <w:p>
            <w:pPr>
              <w:pStyle w:val="TableText"/>
              <w:ind w:left="786"/>
              <w:spacing w:before="55" w:line="232" w:lineRule="auto"/>
              <w:rPr/>
            </w:pPr>
            <w:r>
              <w:rPr>
                <w:spacing w:val="4"/>
              </w:rPr>
              <w:t>昼间</w:t>
            </w:r>
            <w:r>
              <w:rPr>
                <w:spacing w:val="-36"/>
              </w:rPr>
              <w:t xml:space="preserve"> </w:t>
            </w:r>
            <w:r>
              <w:rPr>
                <w:rFonts w:ascii="Times New Roman" w:hAnsi="Times New Roman" w:eastAsia="Times New Roman" w:cs="Times New Roman"/>
              </w:rPr>
              <w:t>dB</w:t>
            </w:r>
            <w:r>
              <w:rPr>
                <w:spacing w:val="4"/>
              </w:rPr>
              <w:t>（</w:t>
            </w:r>
            <w:r>
              <w:rPr>
                <w:rFonts w:ascii="Times New Roman" w:hAnsi="Times New Roman" w:eastAsia="Times New Roman" w:cs="Times New Roman"/>
                <w:spacing w:val="4"/>
              </w:rPr>
              <w:t>A</w:t>
            </w:r>
            <w:r>
              <w:rPr>
                <w:spacing w:val="4"/>
              </w:rPr>
              <w:t>）</w:t>
            </w:r>
          </w:p>
        </w:tc>
        <w:tc>
          <w:tcPr>
            <w:tcW w:w="2845" w:type="dxa"/>
            <w:vAlign w:val="top"/>
            <w:gridSpan w:val="2"/>
            <w:tcBorders>
              <w:top w:val="single" w:color="000000" w:sz="10" w:space="0"/>
              <w:right w:val="nil"/>
            </w:tcBorders>
          </w:tcPr>
          <w:p>
            <w:pPr>
              <w:pStyle w:val="TableText"/>
              <w:ind w:left="790"/>
              <w:spacing w:before="55" w:line="231" w:lineRule="auto"/>
              <w:rPr/>
            </w:pPr>
            <w:r>
              <w:rPr>
                <w:spacing w:val="5"/>
              </w:rPr>
              <w:t>夜间</w:t>
            </w:r>
            <w:r>
              <w:rPr>
                <w:spacing w:val="-41"/>
              </w:rPr>
              <w:t xml:space="preserve"> </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r>
      <w:tr>
        <w:trPr>
          <w:trHeight w:val="313" w:hRule="atLeast"/>
        </w:trPr>
        <w:tc>
          <w:tcPr>
            <w:tcW w:w="742" w:type="dxa"/>
            <w:vAlign w:val="top"/>
            <w:vMerge w:val="continue"/>
            <w:tcBorders>
              <w:top w:val="nil"/>
              <w:left w:val="nil"/>
            </w:tcBorders>
          </w:tcPr>
          <w:p>
            <w:pPr>
              <w:rPr>
                <w:rFonts w:ascii="Arial"/>
                <w:sz w:val="21"/>
              </w:rPr>
            </w:pPr>
            <w:r/>
          </w:p>
        </w:tc>
        <w:tc>
          <w:tcPr>
            <w:tcW w:w="2095" w:type="dxa"/>
            <w:vAlign w:val="top"/>
            <w:vMerge w:val="continue"/>
            <w:tcBorders>
              <w:top w:val="nil"/>
            </w:tcBorders>
          </w:tcPr>
          <w:p>
            <w:pPr>
              <w:rPr>
                <w:rFonts w:ascii="Arial"/>
                <w:sz w:val="21"/>
              </w:rPr>
            </w:pPr>
            <w:r/>
          </w:p>
        </w:tc>
        <w:tc>
          <w:tcPr>
            <w:tcW w:w="1420" w:type="dxa"/>
            <w:vAlign w:val="top"/>
          </w:tcPr>
          <w:p>
            <w:pPr>
              <w:pStyle w:val="TableText"/>
              <w:ind w:left="412"/>
              <w:spacing w:before="54" w:line="229" w:lineRule="auto"/>
              <w:rPr/>
            </w:pPr>
            <w:r>
              <w:rPr>
                <w:spacing w:val="3"/>
              </w:rPr>
              <w:t>贡献值</w:t>
            </w:r>
          </w:p>
        </w:tc>
        <w:tc>
          <w:tcPr>
            <w:tcW w:w="1420" w:type="dxa"/>
            <w:vAlign w:val="top"/>
          </w:tcPr>
          <w:p>
            <w:pPr>
              <w:pStyle w:val="TableText"/>
              <w:ind w:left="404"/>
              <w:spacing w:before="54" w:line="229" w:lineRule="auto"/>
              <w:rPr/>
            </w:pPr>
            <w:r>
              <w:rPr>
                <w:spacing w:val="5"/>
              </w:rPr>
              <w:t>标准值</w:t>
            </w:r>
          </w:p>
        </w:tc>
        <w:tc>
          <w:tcPr>
            <w:tcW w:w="1420" w:type="dxa"/>
            <w:vAlign w:val="top"/>
          </w:tcPr>
          <w:p>
            <w:pPr>
              <w:pStyle w:val="TableText"/>
              <w:ind w:left="411"/>
              <w:spacing w:before="54" w:line="229" w:lineRule="auto"/>
              <w:rPr/>
            </w:pPr>
            <w:r>
              <w:rPr>
                <w:spacing w:val="3"/>
              </w:rPr>
              <w:t>贡献值</w:t>
            </w:r>
          </w:p>
        </w:tc>
        <w:tc>
          <w:tcPr>
            <w:tcW w:w="1425" w:type="dxa"/>
            <w:vAlign w:val="top"/>
            <w:tcBorders>
              <w:right w:val="nil"/>
            </w:tcBorders>
          </w:tcPr>
          <w:p>
            <w:pPr>
              <w:pStyle w:val="TableText"/>
              <w:ind w:left="406"/>
              <w:spacing w:before="54" w:line="229" w:lineRule="auto"/>
              <w:rPr/>
            </w:pPr>
            <w:r>
              <w:rPr>
                <w:spacing w:val="5"/>
              </w:rPr>
              <w:t>标准值</w:t>
            </w:r>
          </w:p>
        </w:tc>
      </w:tr>
      <w:tr>
        <w:trPr>
          <w:trHeight w:val="313" w:hRule="atLeast"/>
        </w:trPr>
        <w:tc>
          <w:tcPr>
            <w:tcW w:w="742" w:type="dxa"/>
            <w:vAlign w:val="top"/>
            <w:tcBorders>
              <w:left w:val="nil"/>
            </w:tcBorders>
          </w:tcPr>
          <w:p>
            <w:pPr>
              <w:ind w:left="341"/>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95" w:type="dxa"/>
            <w:vAlign w:val="top"/>
          </w:tcPr>
          <w:p>
            <w:pPr>
              <w:pStyle w:val="TableText"/>
              <w:ind w:left="143"/>
              <w:spacing w:before="61" w:line="223" w:lineRule="auto"/>
              <w:rPr/>
            </w:pPr>
            <w:r>
              <w:rPr>
                <w:spacing w:val="2"/>
              </w:rPr>
              <w:t>工业广场东侧</w:t>
            </w:r>
            <w:r>
              <w:rPr>
                <w:spacing w:val="-16"/>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9"/>
              </w:rPr>
              <w:t xml:space="preserve"> </w:t>
            </w:r>
            <w:r>
              <w:rPr>
                <w:spacing w:val="2"/>
              </w:rPr>
              <w:t>处</w:t>
            </w:r>
          </w:p>
        </w:tc>
        <w:tc>
          <w:tcPr>
            <w:tcW w:w="1420" w:type="dxa"/>
            <w:vAlign w:val="top"/>
          </w:tcPr>
          <w:p>
            <w:pPr>
              <w:ind w:left="473"/>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42.43</w:t>
            </w:r>
          </w:p>
        </w:tc>
        <w:tc>
          <w:tcPr>
            <w:tcW w:w="142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ind w:left="61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420" w:type="dxa"/>
            <w:vAlign w:val="top"/>
          </w:tcPr>
          <w:p>
            <w:pPr>
              <w:ind w:left="472"/>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42.43</w:t>
            </w:r>
          </w:p>
        </w:tc>
        <w:tc>
          <w:tcPr>
            <w:tcW w:w="1425" w:type="dxa"/>
            <w:vAlign w:val="top"/>
            <w:vMerge w:val="restart"/>
            <w:tcBorders>
              <w:bottom w:val="nil"/>
              <w:right w:val="nil"/>
            </w:tcBorders>
          </w:tcPr>
          <w:p>
            <w:pPr>
              <w:spacing w:line="260" w:lineRule="auto"/>
              <w:rPr>
                <w:rFonts w:ascii="Arial"/>
                <w:sz w:val="21"/>
              </w:rPr>
            </w:pPr>
            <w:r/>
          </w:p>
          <w:p>
            <w:pPr>
              <w:spacing w:line="261" w:lineRule="auto"/>
              <w:rPr>
                <w:rFonts w:ascii="Arial"/>
                <w:sz w:val="21"/>
              </w:rPr>
            </w:pPr>
            <w:r/>
          </w:p>
          <w:p>
            <w:pPr>
              <w:ind w:left="614"/>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rPr>
          <w:trHeight w:val="313" w:hRule="atLeast"/>
        </w:trPr>
        <w:tc>
          <w:tcPr>
            <w:tcW w:w="742" w:type="dxa"/>
            <w:vAlign w:val="top"/>
            <w:tcBorders>
              <w:left w:val="nil"/>
            </w:tcBorders>
          </w:tcPr>
          <w:p>
            <w:pPr>
              <w:ind w:left="321"/>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95" w:type="dxa"/>
            <w:vAlign w:val="top"/>
          </w:tcPr>
          <w:p>
            <w:pPr>
              <w:pStyle w:val="TableText"/>
              <w:ind w:left="143"/>
              <w:spacing w:before="64" w:line="220" w:lineRule="auto"/>
              <w:rPr/>
            </w:pPr>
            <w:r>
              <w:rPr>
                <w:spacing w:val="2"/>
              </w:rPr>
              <w:t>工业广场南侧</w:t>
            </w:r>
            <w:r>
              <w:rPr>
                <w:spacing w:val="-16"/>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9"/>
              </w:rPr>
              <w:t xml:space="preserve"> </w:t>
            </w:r>
            <w:r>
              <w:rPr>
                <w:spacing w:val="2"/>
              </w:rPr>
              <w:t>处</w:t>
            </w:r>
          </w:p>
        </w:tc>
        <w:tc>
          <w:tcPr>
            <w:tcW w:w="1420" w:type="dxa"/>
            <w:vAlign w:val="top"/>
          </w:tcPr>
          <w:p>
            <w:pPr>
              <w:ind w:left="47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41.39</w:t>
            </w:r>
          </w:p>
        </w:tc>
        <w:tc>
          <w:tcPr>
            <w:tcW w:w="1420" w:type="dxa"/>
            <w:vAlign w:val="top"/>
            <w:vMerge w:val="continue"/>
            <w:tcBorders>
              <w:bottom w:val="nil"/>
              <w:top w:val="nil"/>
            </w:tcBorders>
          </w:tcPr>
          <w:p>
            <w:pPr>
              <w:rPr>
                <w:rFonts w:ascii="Arial"/>
                <w:sz w:val="21"/>
              </w:rPr>
            </w:pPr>
            <w:r/>
          </w:p>
        </w:tc>
        <w:tc>
          <w:tcPr>
            <w:tcW w:w="1420" w:type="dxa"/>
            <w:vAlign w:val="top"/>
          </w:tcPr>
          <w:p>
            <w:pPr>
              <w:ind w:left="472"/>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41.39</w:t>
            </w:r>
          </w:p>
        </w:tc>
        <w:tc>
          <w:tcPr>
            <w:tcW w:w="1425" w:type="dxa"/>
            <w:vAlign w:val="top"/>
            <w:vMerge w:val="continue"/>
            <w:tcBorders>
              <w:bottom w:val="nil"/>
              <w:right w:val="nil"/>
              <w:top w:val="nil"/>
            </w:tcBorders>
          </w:tcPr>
          <w:p>
            <w:pPr>
              <w:rPr>
                <w:rFonts w:ascii="Arial"/>
                <w:sz w:val="21"/>
              </w:rPr>
            </w:pPr>
            <w:r/>
          </w:p>
        </w:tc>
      </w:tr>
      <w:tr>
        <w:trPr>
          <w:trHeight w:val="313" w:hRule="atLeast"/>
        </w:trPr>
        <w:tc>
          <w:tcPr>
            <w:tcW w:w="742" w:type="dxa"/>
            <w:vAlign w:val="top"/>
            <w:tcBorders>
              <w:left w:val="nil"/>
            </w:tcBorders>
          </w:tcPr>
          <w:p>
            <w:pPr>
              <w:ind w:left="32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95" w:type="dxa"/>
            <w:vAlign w:val="top"/>
          </w:tcPr>
          <w:p>
            <w:pPr>
              <w:pStyle w:val="TableText"/>
              <w:ind w:left="143"/>
              <w:spacing w:before="69" w:line="216" w:lineRule="auto"/>
              <w:rPr/>
            </w:pPr>
            <w:r>
              <w:rPr>
                <w:spacing w:val="2"/>
              </w:rPr>
              <w:t>工业广场西侧</w:t>
            </w:r>
            <w:r>
              <w:rPr>
                <w:spacing w:val="-16"/>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9"/>
              </w:rPr>
              <w:t xml:space="preserve"> </w:t>
            </w:r>
            <w:r>
              <w:rPr>
                <w:spacing w:val="2"/>
              </w:rPr>
              <w:t>处</w:t>
            </w:r>
          </w:p>
        </w:tc>
        <w:tc>
          <w:tcPr>
            <w:tcW w:w="1420" w:type="dxa"/>
            <w:vAlign w:val="top"/>
          </w:tcPr>
          <w:p>
            <w:pPr>
              <w:ind w:left="47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49.89</w:t>
            </w:r>
          </w:p>
        </w:tc>
        <w:tc>
          <w:tcPr>
            <w:tcW w:w="1420" w:type="dxa"/>
            <w:vAlign w:val="top"/>
            <w:vMerge w:val="continue"/>
            <w:tcBorders>
              <w:bottom w:val="nil"/>
              <w:top w:val="nil"/>
            </w:tcBorders>
          </w:tcPr>
          <w:p>
            <w:pPr>
              <w:rPr>
                <w:rFonts w:ascii="Arial"/>
                <w:sz w:val="21"/>
              </w:rPr>
            </w:pPr>
            <w:r/>
          </w:p>
        </w:tc>
        <w:tc>
          <w:tcPr>
            <w:tcW w:w="1420" w:type="dxa"/>
            <w:vAlign w:val="top"/>
          </w:tcPr>
          <w:p>
            <w:pPr>
              <w:ind w:left="47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49.89</w:t>
            </w:r>
          </w:p>
        </w:tc>
        <w:tc>
          <w:tcPr>
            <w:tcW w:w="1425" w:type="dxa"/>
            <w:vAlign w:val="top"/>
            <w:vMerge w:val="continue"/>
            <w:tcBorders>
              <w:bottom w:val="nil"/>
              <w:right w:val="nil"/>
              <w:top w:val="nil"/>
            </w:tcBorders>
          </w:tcPr>
          <w:p>
            <w:pPr>
              <w:rPr>
                <w:rFonts w:ascii="Arial"/>
                <w:sz w:val="21"/>
              </w:rPr>
            </w:pPr>
            <w:r/>
          </w:p>
        </w:tc>
      </w:tr>
      <w:tr>
        <w:trPr>
          <w:trHeight w:val="336" w:hRule="atLeast"/>
        </w:trPr>
        <w:tc>
          <w:tcPr>
            <w:tcW w:w="742" w:type="dxa"/>
            <w:vAlign w:val="top"/>
            <w:tcBorders>
              <w:bottom w:val="single" w:color="000000" w:sz="10" w:space="0"/>
              <w:left w:val="nil"/>
            </w:tcBorders>
          </w:tcPr>
          <w:p>
            <w:pPr>
              <w:ind w:left="320"/>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095" w:type="dxa"/>
            <w:vAlign w:val="top"/>
            <w:tcBorders>
              <w:bottom w:val="single" w:color="000000" w:sz="10" w:space="0"/>
            </w:tcBorders>
          </w:tcPr>
          <w:p>
            <w:pPr>
              <w:pStyle w:val="TableText"/>
              <w:ind w:left="143"/>
              <w:spacing w:before="71" w:line="231" w:lineRule="auto"/>
              <w:rPr/>
            </w:pPr>
            <w:r>
              <w:rPr>
                <w:spacing w:val="2"/>
              </w:rPr>
              <w:t>工业广场北侧</w:t>
            </w:r>
            <w:r>
              <w:rPr>
                <w:spacing w:val="-16"/>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9"/>
              </w:rPr>
              <w:t xml:space="preserve"> </w:t>
            </w:r>
            <w:r>
              <w:rPr>
                <w:spacing w:val="2"/>
              </w:rPr>
              <w:t>处</w:t>
            </w:r>
          </w:p>
        </w:tc>
        <w:tc>
          <w:tcPr>
            <w:tcW w:w="1420" w:type="dxa"/>
            <w:vAlign w:val="top"/>
            <w:tcBorders>
              <w:bottom w:val="single" w:color="000000" w:sz="10" w:space="0"/>
            </w:tcBorders>
          </w:tcPr>
          <w:p>
            <w:pPr>
              <w:ind w:left="47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49.75</w:t>
            </w:r>
          </w:p>
        </w:tc>
        <w:tc>
          <w:tcPr>
            <w:tcW w:w="1420" w:type="dxa"/>
            <w:vAlign w:val="top"/>
            <w:vMerge w:val="continue"/>
            <w:tcBorders>
              <w:bottom w:val="single" w:color="000000" w:sz="10" w:space="0"/>
              <w:top w:val="nil"/>
            </w:tcBorders>
          </w:tcPr>
          <w:p>
            <w:pPr>
              <w:rPr>
                <w:rFonts w:ascii="Arial"/>
                <w:sz w:val="21"/>
              </w:rPr>
            </w:pPr>
            <w:r/>
          </w:p>
        </w:tc>
        <w:tc>
          <w:tcPr>
            <w:tcW w:w="1420" w:type="dxa"/>
            <w:vAlign w:val="top"/>
            <w:tcBorders>
              <w:bottom w:val="single" w:color="000000" w:sz="10" w:space="0"/>
            </w:tcBorders>
          </w:tcPr>
          <w:p>
            <w:pPr>
              <w:ind w:left="47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49.75</w:t>
            </w:r>
          </w:p>
        </w:tc>
        <w:tc>
          <w:tcPr>
            <w:tcW w:w="1425" w:type="dxa"/>
            <w:vAlign w:val="top"/>
            <w:vMerge w:val="continue"/>
            <w:tcBorders>
              <w:bottom w:val="single" w:color="000000" w:sz="10" w:space="0"/>
              <w:right w:val="nil"/>
              <w:top w:val="nil"/>
            </w:tcBorders>
          </w:tcPr>
          <w:p>
            <w:pPr>
              <w:rPr>
                <w:rFonts w:ascii="Arial"/>
                <w:sz w:val="21"/>
              </w:rPr>
            </w:pPr>
            <w:r/>
          </w:p>
        </w:tc>
      </w:tr>
    </w:tbl>
    <w:p>
      <w:pPr>
        <w:pStyle w:val="BodyText"/>
        <w:spacing w:line="253" w:lineRule="auto"/>
        <w:rPr/>
      </w:pPr>
      <w:r/>
    </w:p>
    <w:p>
      <w:pPr>
        <w:pStyle w:val="BodyText"/>
        <w:spacing w:line="254" w:lineRule="auto"/>
        <w:rPr/>
      </w:pPr>
      <w:r/>
    </w:p>
    <w:p>
      <w:pPr>
        <w:ind w:firstLine="571"/>
        <w:spacing w:line="3643" w:lineRule="exact"/>
        <w:rPr/>
      </w:pPr>
      <w:r>
        <w:rPr>
          <w:position w:val="-72"/>
        </w:rPr>
        <w:drawing>
          <wp:inline distT="0" distB="0" distL="0" distR="0">
            <wp:extent cx="4674108" cy="2313431"/>
            <wp:effectExtent l="0" t="0" r="0" b="0"/>
            <wp:docPr id="92" name="IM 92"/>
            <wp:cNvGraphicFramePr/>
            <a:graphic>
              <a:graphicData uri="http://schemas.openxmlformats.org/drawingml/2006/picture">
                <pic:pic>
                  <pic:nvPicPr>
                    <pic:cNvPr id="92" name="IM 92"/>
                    <pic:cNvPicPr/>
                  </pic:nvPicPr>
                  <pic:blipFill>
                    <a:blip r:embed="rId306"/>
                    <a:stretch>
                      <a:fillRect/>
                    </a:stretch>
                  </pic:blipFill>
                  <pic:spPr>
                    <a:xfrm rot="0">
                      <a:off x="0" y="0"/>
                      <a:ext cx="4674108" cy="2313431"/>
                    </a:xfrm>
                    <a:prstGeom prst="rect">
                      <a:avLst/>
                    </a:prstGeom>
                  </pic:spPr>
                </pic:pic>
              </a:graphicData>
            </a:graphic>
          </wp:inline>
        </w:drawing>
      </w:r>
    </w:p>
    <w:p>
      <w:pPr>
        <w:ind w:left="2996"/>
        <w:spacing w:before="175" w:line="222" w:lineRule="auto"/>
        <w:rPr>
          <w:rFonts w:ascii="FangSong" w:hAnsi="FangSong" w:eastAsia="FangSong" w:cs="FangSong"/>
          <w:sz w:val="24"/>
          <w:szCs w:val="24"/>
        </w:rPr>
      </w:pPr>
      <w:r>
        <w:rPr>
          <w:rFonts w:ascii="FangSong" w:hAnsi="FangSong" w:eastAsia="FangSong" w:cs="FangSong"/>
          <w:sz w:val="24"/>
          <w:szCs w:val="24"/>
          <w:b/>
          <w:bCs/>
          <w:spacing w:val="-7"/>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7"/>
        </w:rPr>
        <w:t>6.2-2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7"/>
        </w:rPr>
        <w:t>噪声预测结果图</w:t>
      </w:r>
    </w:p>
    <w:p>
      <w:pPr>
        <w:ind w:left="123" w:right="107" w:firstLine="511"/>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由上表和上图可知，经过采取减振措施后，建设项目</w:t>
      </w:r>
      <w:r>
        <w:rPr>
          <w:rFonts w:ascii="FangSong" w:hAnsi="FangSong" w:eastAsia="FangSong" w:cs="FangSong"/>
          <w:sz w:val="24"/>
          <w:szCs w:val="24"/>
          <w:spacing w:val="-5"/>
        </w:rPr>
        <w:t>场界噪声贡献值均满足</w:t>
      </w:r>
      <w:r>
        <w:rPr>
          <w:rFonts w:ascii="FangSong" w:hAnsi="FangSong" w:eastAsia="FangSong" w:cs="FangSong"/>
          <w:sz w:val="24"/>
          <w:szCs w:val="24"/>
        </w:rPr>
        <w:t>《工业企业厂界环境噪声排放标准》（</w:t>
      </w:r>
      <w:r>
        <w:rPr>
          <w:rFonts w:ascii="Times New Roman" w:hAnsi="Times New Roman" w:eastAsia="Times New Roman" w:cs="Times New Roman"/>
          <w:sz w:val="24"/>
          <w:szCs w:val="24"/>
        </w:rPr>
        <w:t>GB12348-2</w:t>
      </w:r>
      <w:r>
        <w:rPr>
          <w:rFonts w:ascii="Times New Roman" w:hAnsi="Times New Roman" w:eastAsia="Times New Roman" w:cs="Times New Roman"/>
          <w:sz w:val="24"/>
          <w:szCs w:val="24"/>
          <w:spacing w:val="-1"/>
        </w:rPr>
        <w:t>008</w:t>
      </w:r>
      <w:r>
        <w:rPr>
          <w:rFonts w:ascii="FangSong" w:hAnsi="FangSong" w:eastAsia="FangSong" w:cs="FangSong"/>
          <w:sz w:val="24"/>
          <w:szCs w:val="24"/>
          <w:spacing w:val="-1"/>
        </w:rPr>
        <w:t>）</w:t>
      </w:r>
      <w:r>
        <w:rPr>
          <w:rFonts w:ascii="FangSong" w:hAnsi="FangSong" w:eastAsia="FangSong" w:cs="FangSong"/>
          <w:sz w:val="24"/>
          <w:szCs w:val="24"/>
          <w:spacing w:val="-66"/>
        </w:rPr>
        <w:t xml:space="preserve"> </w:t>
      </w:r>
      <w:r>
        <w:rPr>
          <w:rFonts w:ascii="FangSong" w:hAnsi="FangSong" w:eastAsia="FangSong" w:cs="FangSong"/>
          <w:sz w:val="24"/>
          <w:szCs w:val="24"/>
          <w:spacing w:val="-1"/>
        </w:rPr>
        <w:t>中</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1"/>
        </w:rPr>
        <w:t>类标准限值要求，</w:t>
      </w:r>
      <w:r>
        <w:rPr>
          <w:rFonts w:ascii="FangSong" w:hAnsi="FangSong" w:eastAsia="FangSong" w:cs="FangSong"/>
          <w:sz w:val="24"/>
          <w:szCs w:val="24"/>
          <w:spacing w:val="-1"/>
        </w:rPr>
        <w:t>故项目各类设备噪声对周围环境影响较小。</w:t>
      </w:r>
    </w:p>
    <w:p>
      <w:pPr>
        <w:ind w:left="124" w:right="68"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2"/>
        </w:rPr>
        <w:t>本次评价建议建设单位选用低噪声设备，对设备采取相应的</w:t>
      </w:r>
      <w:r>
        <w:rPr>
          <w:rFonts w:ascii="FangSong" w:hAnsi="FangSong" w:eastAsia="FangSong" w:cs="FangSong"/>
          <w:sz w:val="24"/>
          <w:szCs w:val="24"/>
          <w:spacing w:val="-3"/>
        </w:rPr>
        <w:t>减振降噪措施，</w:t>
      </w:r>
      <w:r>
        <w:rPr>
          <w:rFonts w:ascii="FangSong" w:hAnsi="FangSong" w:eastAsia="FangSong" w:cs="FangSong"/>
          <w:sz w:val="24"/>
          <w:szCs w:val="24"/>
          <w:spacing w:val="-3"/>
        </w:rPr>
        <w:t>合理安排爆破时间，再经距离衰减后，则生产时产生的设备噪声</w:t>
      </w:r>
      <w:r>
        <w:rPr>
          <w:rFonts w:ascii="FangSong" w:hAnsi="FangSong" w:eastAsia="FangSong" w:cs="FangSong"/>
          <w:sz w:val="24"/>
          <w:szCs w:val="24"/>
          <w:spacing w:val="-4"/>
        </w:rPr>
        <w:t>对周围环境影响</w:t>
      </w:r>
      <w:r>
        <w:rPr>
          <w:rFonts w:ascii="FangSong" w:hAnsi="FangSong" w:eastAsia="FangSong" w:cs="FangSong"/>
          <w:sz w:val="24"/>
          <w:szCs w:val="24"/>
          <w:spacing w:val="-3"/>
        </w:rPr>
        <w:t>较小，基本不会改变本区域声环境现状。本项目工业广场边界远</w:t>
      </w:r>
      <w:r>
        <w:rPr>
          <w:rFonts w:ascii="FangSong" w:hAnsi="FangSong" w:eastAsia="FangSong" w:cs="FangSong"/>
          <w:sz w:val="24"/>
          <w:szCs w:val="24"/>
          <w:spacing w:val="-4"/>
        </w:rPr>
        <w:t>离城镇、居民点</w:t>
      </w:r>
      <w:r>
        <w:rPr>
          <w:rFonts w:ascii="FangSong" w:hAnsi="FangSong" w:eastAsia="FangSong" w:cs="FangSong"/>
          <w:sz w:val="24"/>
          <w:szCs w:val="24"/>
          <w:spacing w:val="-1"/>
        </w:rPr>
        <w:t>等环境敏感点，因此噪声主要影响采场作业人员，而对周围声环境影响较小。</w:t>
      </w:r>
    </w:p>
    <w:p>
      <w:pPr>
        <w:ind w:left="1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6.2.3.2  </w:t>
      </w:r>
      <w:r>
        <w:rPr>
          <w:rFonts w:ascii="FangSong" w:hAnsi="FangSong" w:eastAsia="FangSong" w:cs="FangSong"/>
          <w:sz w:val="24"/>
          <w:szCs w:val="24"/>
          <w:b/>
          <w:bCs/>
          <w:spacing w:val="-2"/>
        </w:rPr>
        <w:t>爆破振动影响预测与评价</w:t>
      </w:r>
    </w:p>
    <w:p>
      <w:pPr>
        <w:ind w:left="608"/>
        <w:spacing w:before="180"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）爆破振动安全标准</w:t>
      </w:r>
    </w:p>
    <w:p>
      <w:pPr>
        <w:ind w:left="124" w:right="34" w:firstLine="476"/>
        <w:spacing w:before="178" w:line="360" w:lineRule="auto"/>
        <w:rPr>
          <w:rFonts w:ascii="FangSong" w:hAnsi="FangSong" w:eastAsia="FangSong" w:cs="FangSong"/>
          <w:sz w:val="24"/>
          <w:szCs w:val="24"/>
        </w:rPr>
      </w:pPr>
      <w:r>
        <w:rPr>
          <w:rFonts w:ascii="FangSong" w:hAnsi="FangSong" w:eastAsia="FangSong" w:cs="FangSong"/>
          <w:sz w:val="24"/>
          <w:szCs w:val="24"/>
          <w:spacing w:val="-3"/>
        </w:rPr>
        <w:t>衡量爆破地震强度的参数包括位移、速度和加速度，井</w:t>
      </w:r>
      <w:r>
        <w:rPr>
          <w:rFonts w:ascii="FangSong" w:hAnsi="FangSong" w:eastAsia="FangSong" w:cs="FangSong"/>
          <w:sz w:val="24"/>
          <w:szCs w:val="24"/>
          <w:spacing w:val="-4"/>
        </w:rPr>
        <w:t>下爆破对地面建筑物</w:t>
      </w:r>
      <w:r>
        <w:rPr>
          <w:rFonts w:ascii="FangSong" w:hAnsi="FangSong" w:eastAsia="FangSong" w:cs="FangSong"/>
          <w:sz w:val="24"/>
          <w:szCs w:val="24"/>
          <w:spacing w:val="-3"/>
        </w:rPr>
        <w:t>的破坏程度主要取决于质点峰值震动速度。《爆破安全规程》中</w:t>
      </w:r>
      <w:r>
        <w:rPr>
          <w:rFonts w:ascii="FangSong" w:hAnsi="FangSong" w:eastAsia="FangSong" w:cs="FangSong"/>
          <w:sz w:val="24"/>
          <w:szCs w:val="24"/>
          <w:spacing w:val="-4"/>
        </w:rPr>
        <w:t>规定，一般建筑</w:t>
      </w:r>
      <w:r>
        <w:rPr>
          <w:rFonts w:ascii="FangSong" w:hAnsi="FangSong" w:eastAsia="FangSong" w:cs="FangSong"/>
          <w:sz w:val="24"/>
          <w:szCs w:val="24"/>
          <w:spacing w:val="-1"/>
        </w:rPr>
        <w:t>物和构筑物的爆破地震安全性应满足安全震动速度的要求，主要类型的</w:t>
      </w:r>
      <w:r>
        <w:rPr>
          <w:rFonts w:ascii="FangSong" w:hAnsi="FangSong" w:eastAsia="FangSong" w:cs="FangSong"/>
          <w:sz w:val="24"/>
          <w:szCs w:val="24"/>
          <w:spacing w:val="-2"/>
        </w:rPr>
        <w:t>建（构）</w:t>
      </w:r>
    </w:p>
    <w:p>
      <w:pPr>
        <w:spacing w:line="360" w:lineRule="auto"/>
        <w:sectPr>
          <w:footerReference w:type="default" r:id="rId305"/>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6"/>
        <w:spacing w:before="78" w:line="221" w:lineRule="auto"/>
        <w:rPr>
          <w:rFonts w:ascii="FangSong" w:hAnsi="FangSong" w:eastAsia="FangSong" w:cs="FangSong"/>
          <w:sz w:val="24"/>
          <w:szCs w:val="24"/>
        </w:rPr>
      </w:pPr>
      <w:r>
        <w:rPr>
          <w:rFonts w:ascii="FangSong" w:hAnsi="FangSong" w:eastAsia="FangSong" w:cs="FangSong"/>
          <w:sz w:val="24"/>
          <w:szCs w:val="24"/>
          <w:spacing w:val="-2"/>
        </w:rPr>
        <w:t>筑物地面质点的安全震动速度规定如下：</w:t>
      </w:r>
    </w:p>
    <w:p>
      <w:pPr>
        <w:ind w:left="596"/>
        <w:spacing w:before="181"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．土窑洞、土坯房、毛石房屋</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1.0cm/s</w:t>
      </w:r>
      <w:r>
        <w:rPr>
          <w:rFonts w:ascii="FangSong" w:hAnsi="FangSong" w:eastAsia="FangSong" w:cs="FangSong"/>
          <w:sz w:val="24"/>
          <w:szCs w:val="24"/>
          <w:spacing w:val="-4"/>
        </w:rPr>
        <w:t>；</w:t>
      </w:r>
    </w:p>
    <w:p>
      <w:pPr>
        <w:ind w:left="587"/>
        <w:spacing w:before="178" w:line="221"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．一般砖房、非抗震的大型砌块建筑物</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2-3cm/s</w:t>
      </w:r>
      <w:r>
        <w:rPr>
          <w:rFonts w:ascii="FangSong" w:hAnsi="FangSong" w:eastAsia="FangSong" w:cs="FangSong"/>
          <w:sz w:val="24"/>
          <w:szCs w:val="24"/>
          <w:spacing w:val="-2"/>
        </w:rPr>
        <w:t>；</w:t>
      </w:r>
    </w:p>
    <w:p>
      <w:pPr>
        <w:ind w:left="596"/>
        <w:spacing w:before="180" w:line="221" w:lineRule="auto"/>
        <w:rPr>
          <w:rFonts w:ascii="FangSong" w:hAnsi="FangSong" w:eastAsia="FangSong" w:cs="FangSong"/>
          <w:sz w:val="24"/>
          <w:szCs w:val="24"/>
        </w:rPr>
      </w:pPr>
      <w:r>
        <w:rPr>
          <w:rFonts w:ascii="Times New Roman" w:hAnsi="Times New Roman" w:eastAsia="Times New Roman" w:cs="Times New Roman"/>
          <w:sz w:val="24"/>
          <w:szCs w:val="24"/>
          <w:spacing w:val="-4"/>
        </w:rPr>
        <w:t>c</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．钢筋混凝土框架房屋</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5cm/s</w:t>
      </w:r>
      <w:r>
        <w:rPr>
          <w:rFonts w:ascii="FangSong" w:hAnsi="FangSong" w:eastAsia="FangSong" w:cs="FangSong"/>
          <w:sz w:val="24"/>
          <w:szCs w:val="24"/>
          <w:spacing w:val="-4"/>
        </w:rPr>
        <w:t>；</w:t>
      </w:r>
    </w:p>
    <w:p>
      <w:pPr>
        <w:ind w:left="595"/>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6"/>
        </w:rPr>
        <w:t>d</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6"/>
        </w:rPr>
        <w:t>．水工隧洞</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10cm/s</w:t>
      </w:r>
      <w:r>
        <w:rPr>
          <w:rFonts w:ascii="FangSong" w:hAnsi="FangSong" w:eastAsia="FangSong" w:cs="FangSong"/>
          <w:sz w:val="24"/>
          <w:szCs w:val="24"/>
          <w:spacing w:val="-6"/>
        </w:rPr>
        <w:t>；</w:t>
      </w:r>
    </w:p>
    <w:p>
      <w:pPr>
        <w:ind w:left="596"/>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spacing w:val="-6"/>
        </w:rPr>
        <w:t>e</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6"/>
        </w:rPr>
        <w:t>．交通隧洞</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15cm/s</w:t>
      </w:r>
      <w:r>
        <w:rPr>
          <w:rFonts w:ascii="FangSong" w:hAnsi="FangSong" w:eastAsia="FangSong" w:cs="FangSong"/>
          <w:sz w:val="24"/>
          <w:szCs w:val="24"/>
          <w:spacing w:val="-6"/>
        </w:rPr>
        <w:t>；</w:t>
      </w:r>
    </w:p>
    <w:p>
      <w:pPr>
        <w:ind w:left="113" w:right="107" w:firstLine="484"/>
        <w:spacing w:before="180" w:line="290" w:lineRule="auto"/>
        <w:rPr>
          <w:rFonts w:ascii="FangSong" w:hAnsi="FangSong" w:eastAsia="FangSong" w:cs="FangSong"/>
          <w:sz w:val="24"/>
          <w:szCs w:val="24"/>
        </w:rPr>
      </w:pPr>
      <w:r>
        <w:rPr>
          <w:rFonts w:ascii="Times New Roman" w:hAnsi="Times New Roman" w:eastAsia="Times New Roman" w:cs="Times New Roman"/>
          <w:sz w:val="24"/>
          <w:szCs w:val="24"/>
          <w:spacing w:val="2"/>
        </w:rPr>
        <w:t>f</w:t>
      </w:r>
      <w:r>
        <w:rPr>
          <w:rFonts w:ascii="FangSong" w:hAnsi="FangSong" w:eastAsia="FangSong" w:cs="FangSong"/>
          <w:sz w:val="24"/>
          <w:szCs w:val="24"/>
          <w:spacing w:val="2"/>
        </w:rPr>
        <w:t>．矿山巷道：</w:t>
      </w:r>
      <w:r>
        <w:rPr>
          <w:rFonts w:ascii="FangSong" w:hAnsi="FangSong" w:eastAsia="FangSong" w:cs="FangSong"/>
          <w:sz w:val="24"/>
          <w:szCs w:val="24"/>
          <w:spacing w:val="-53"/>
        </w:rPr>
        <w:t xml:space="preserve"> </w:t>
      </w:r>
      <w:r>
        <w:rPr>
          <w:rFonts w:ascii="FangSong" w:hAnsi="FangSong" w:eastAsia="FangSong" w:cs="FangSong"/>
          <w:sz w:val="24"/>
          <w:szCs w:val="24"/>
          <w:spacing w:val="2"/>
        </w:rPr>
        <w:t>围岩不稳定有良好支护</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2"/>
        </w:rPr>
        <w:t>/s</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w:t>
      </w:r>
      <w:r>
        <w:rPr>
          <w:rFonts w:ascii="FangSong" w:hAnsi="FangSong" w:eastAsia="FangSong" w:cs="FangSong"/>
          <w:sz w:val="24"/>
          <w:szCs w:val="24"/>
          <w:spacing w:val="-70"/>
        </w:rPr>
        <w:t xml:space="preserve"> </w:t>
      </w:r>
      <w:r>
        <w:rPr>
          <w:rFonts w:ascii="FangSong" w:hAnsi="FangSong" w:eastAsia="FangSong" w:cs="FangSong"/>
          <w:sz w:val="24"/>
          <w:szCs w:val="24"/>
          <w:spacing w:val="2"/>
        </w:rPr>
        <w:t>围岩中等稳定有良好支护</w:t>
      </w:r>
      <w:r>
        <w:rPr>
          <w:rFonts w:ascii="Times New Roman" w:hAnsi="Times New Roman" w:eastAsia="Times New Roman" w:cs="Times New Roman"/>
          <w:sz w:val="24"/>
          <w:szCs w:val="24"/>
          <w:spacing w:val="-3"/>
        </w:rPr>
        <w:t>20cm/s</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3"/>
        </w:rPr>
        <w:t>、围岩稳定无支护</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30cm/s</w:t>
      </w:r>
      <w:r>
        <w:rPr>
          <w:rFonts w:ascii="FangSong" w:hAnsi="FangSong" w:eastAsia="FangSong" w:cs="FangSong"/>
          <w:sz w:val="24"/>
          <w:szCs w:val="24"/>
          <w:spacing w:val="-3"/>
        </w:rPr>
        <w:t>。</w:t>
      </w:r>
    </w:p>
    <w:p>
      <w:pPr>
        <w:ind w:left="608"/>
        <w:spacing w:before="183"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）爆破安全距离与爆破振动速度预测</w:t>
      </w:r>
    </w:p>
    <w:p>
      <w:pPr>
        <w:ind w:left="604"/>
        <w:spacing w:before="178" w:line="221" w:lineRule="auto"/>
        <w:rPr>
          <w:rFonts w:ascii="FangSong" w:hAnsi="FangSong" w:eastAsia="FangSong" w:cs="FangSong"/>
          <w:sz w:val="24"/>
          <w:szCs w:val="24"/>
        </w:rPr>
      </w:pPr>
      <w:r>
        <w:rPr>
          <w:rFonts w:ascii="FangSong" w:hAnsi="FangSong" w:eastAsia="FangSong" w:cs="FangSong"/>
          <w:sz w:val="24"/>
          <w:szCs w:val="24"/>
          <w:spacing w:val="-1"/>
        </w:rPr>
        <w:t>根据《爆破安全规程》，爆破地震安全距离</w:t>
      </w:r>
      <w:r>
        <w:rPr>
          <w:rFonts w:ascii="FangSong" w:hAnsi="FangSong" w:eastAsia="FangSong" w:cs="FangSong"/>
          <w:sz w:val="24"/>
          <w:szCs w:val="24"/>
          <w:spacing w:val="-2"/>
        </w:rPr>
        <w:t>可按公式</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6.2-10</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计算。</w:t>
      </w:r>
    </w:p>
    <w:p>
      <w:pPr>
        <w:ind w:left="2541"/>
        <w:spacing w:before="187"/>
        <w:rPr>
          <w:rFonts w:ascii="FangSong" w:hAnsi="FangSong" w:eastAsia="FangSong" w:cs="FangSong"/>
          <w:sz w:val="24"/>
          <w:szCs w:val="24"/>
        </w:rPr>
      </w:pPr>
      <w:r>
        <w:rPr>
          <w:rFonts w:ascii="Times New Roman" w:hAnsi="Times New Roman" w:eastAsia="Times New Roman" w:cs="Times New Roman"/>
          <w:sz w:val="23"/>
          <w:szCs w:val="23"/>
          <w:position w:val="1"/>
        </w:rPr>
        <w:t>R</w:t>
      </w:r>
      <w:r>
        <w:rPr>
          <w:rFonts w:ascii="Times New Roman" w:hAnsi="Times New Roman" w:eastAsia="Times New Roman" w:cs="Times New Roman"/>
          <w:sz w:val="23"/>
          <w:szCs w:val="23"/>
          <w:spacing w:val="2"/>
          <w:position w:val="1"/>
        </w:rPr>
        <w:t xml:space="preserve"> </w:t>
      </w:r>
      <w:r>
        <w:rPr>
          <w:sz w:val="23"/>
          <w:szCs w:val="23"/>
          <w:position w:val="-24"/>
        </w:rPr>
        <w:drawing>
          <wp:inline distT="0" distB="0" distL="0" distR="0">
            <wp:extent cx="477948" cy="474606"/>
            <wp:effectExtent l="0" t="0" r="0" b="0"/>
            <wp:docPr id="94" name="IM 94"/>
            <wp:cNvGraphicFramePr/>
            <a:graphic>
              <a:graphicData uri="http://schemas.openxmlformats.org/drawingml/2006/picture">
                <pic:pic>
                  <pic:nvPicPr>
                    <pic:cNvPr id="94" name="IM 94"/>
                    <pic:cNvPicPr/>
                  </pic:nvPicPr>
                  <pic:blipFill>
                    <a:blip r:embed="rId308"/>
                    <a:stretch>
                      <a:fillRect/>
                    </a:stretch>
                  </pic:blipFill>
                  <pic:spPr>
                    <a:xfrm rot="0">
                      <a:off x="0" y="0"/>
                      <a:ext cx="477948" cy="474606"/>
                    </a:xfrm>
                    <a:prstGeom prst="rect">
                      <a:avLst/>
                    </a:prstGeom>
                  </pic:spPr>
                </pic:pic>
              </a:graphicData>
            </a:graphic>
          </wp:inline>
        </w:drawing>
      </w:r>
      <w:r>
        <w:rPr>
          <w:rFonts w:ascii="Times New Roman" w:hAnsi="Times New Roman" w:eastAsia="Times New Roman" w:cs="Times New Roman"/>
          <w:sz w:val="23"/>
          <w:szCs w:val="23"/>
          <w:position w:val="1"/>
        </w:rPr>
        <w:t>Q</w:t>
      </w:r>
      <w:r>
        <w:rPr>
          <w:rFonts w:ascii="Times New Roman" w:hAnsi="Times New Roman" w:eastAsia="Times New Roman" w:cs="Times New Roman"/>
          <w:sz w:val="15"/>
          <w:szCs w:val="15"/>
          <w:position w:val="12"/>
        </w:rPr>
        <w:t>m</w:t>
      </w:r>
      <w:r>
        <w:rPr>
          <w:rFonts w:ascii="Times New Roman" w:hAnsi="Times New Roman" w:eastAsia="Times New Roman" w:cs="Times New Roman"/>
          <w:sz w:val="15"/>
          <w:szCs w:val="15"/>
          <w:spacing w:val="2"/>
          <w:position w:val="12"/>
        </w:rPr>
        <w:t xml:space="preserve">              </w:t>
      </w:r>
      <w:r>
        <w:rPr>
          <w:rFonts w:ascii="FangSong" w:hAnsi="FangSong" w:eastAsia="FangSong" w:cs="FangSong"/>
          <w:sz w:val="24"/>
          <w:szCs w:val="24"/>
          <w:spacing w:val="2"/>
          <w:position w:val="1"/>
        </w:rPr>
        <w:t>（公式</w:t>
      </w:r>
      <w:r>
        <w:rPr>
          <w:rFonts w:ascii="FangSong" w:hAnsi="FangSong" w:eastAsia="FangSong" w:cs="FangSong"/>
          <w:sz w:val="24"/>
          <w:szCs w:val="24"/>
          <w:spacing w:val="-45"/>
          <w:position w:val="1"/>
        </w:rPr>
        <w:t xml:space="preserve"> </w:t>
      </w:r>
      <w:r>
        <w:rPr>
          <w:rFonts w:ascii="Times New Roman" w:hAnsi="Times New Roman" w:eastAsia="Times New Roman" w:cs="Times New Roman"/>
          <w:sz w:val="24"/>
          <w:szCs w:val="24"/>
          <w:spacing w:val="2"/>
          <w:position w:val="1"/>
        </w:rPr>
        <w:t>6.2-10</w:t>
      </w:r>
      <w:r>
        <w:rPr>
          <w:rFonts w:ascii="FangSong" w:hAnsi="FangSong" w:eastAsia="FangSong" w:cs="FangSong"/>
          <w:sz w:val="24"/>
          <w:szCs w:val="24"/>
          <w:spacing w:val="2"/>
          <w:position w:val="1"/>
        </w:rPr>
        <w:t>）</w:t>
      </w:r>
    </w:p>
    <w:p>
      <w:pPr>
        <w:ind w:left="609"/>
        <w:spacing w:before="183" w:line="222" w:lineRule="auto"/>
        <w:rPr>
          <w:rFonts w:ascii="FangSong" w:hAnsi="FangSong" w:eastAsia="FangSong" w:cs="FangSong"/>
          <w:sz w:val="24"/>
          <w:szCs w:val="24"/>
        </w:rPr>
      </w:pP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R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爆破地震安全距离，</w:t>
      </w:r>
      <w:r>
        <w:rPr>
          <w:rFonts w:ascii="Times New Roman" w:hAnsi="Times New Roman" w:eastAsia="Times New Roman" w:cs="Times New Roman"/>
          <w:sz w:val="24"/>
          <w:szCs w:val="24"/>
          <w:spacing w:val="-2"/>
        </w:rPr>
        <w:t>m</w:t>
      </w:r>
      <w:r>
        <w:rPr>
          <w:rFonts w:ascii="FangSong" w:hAnsi="FangSong" w:eastAsia="FangSong" w:cs="FangSong"/>
          <w:sz w:val="24"/>
          <w:szCs w:val="24"/>
          <w:spacing w:val="-2"/>
        </w:rPr>
        <w:t>；</w:t>
      </w:r>
    </w:p>
    <w:p>
      <w:pPr>
        <w:ind w:left="1316" w:right="45"/>
        <w:spacing w:before="180" w:line="350" w:lineRule="auto"/>
        <w:jc w:val="right"/>
        <w:rPr>
          <w:rFonts w:ascii="FangSong" w:hAnsi="FangSong" w:eastAsia="FangSong" w:cs="FangSong"/>
          <w:sz w:val="24"/>
          <w:szCs w:val="24"/>
        </w:rPr>
      </w:pPr>
      <w:r>
        <w:rPr>
          <w:rFonts w:ascii="Times New Roman" w:hAnsi="Times New Roman" w:eastAsia="Times New Roman" w:cs="Times New Roman"/>
          <w:sz w:val="24"/>
          <w:szCs w:val="24"/>
          <w:spacing w:val="-1"/>
        </w:rPr>
        <w:t>Q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炸药量，</w:t>
      </w:r>
      <w:r>
        <w:rPr>
          <w:rFonts w:ascii="Times New Roman" w:hAnsi="Times New Roman" w:eastAsia="Times New Roman" w:cs="Times New Roman"/>
          <w:sz w:val="24"/>
          <w:szCs w:val="24"/>
          <w:spacing w:val="-1"/>
        </w:rPr>
        <w:t>kg</w:t>
      </w:r>
      <w:r>
        <w:rPr>
          <w:rFonts w:ascii="FangSong" w:hAnsi="FangSong" w:eastAsia="FangSong" w:cs="FangSong"/>
          <w:sz w:val="24"/>
          <w:szCs w:val="24"/>
          <w:spacing w:val="-1"/>
        </w:rPr>
        <w:t>；齐发爆破取总炸药量；微差爆破</w:t>
      </w:r>
      <w:r>
        <w:rPr>
          <w:rFonts w:ascii="FangSong" w:hAnsi="FangSong" w:eastAsia="FangSong" w:cs="FangSong"/>
          <w:sz w:val="24"/>
          <w:szCs w:val="24"/>
          <w:spacing w:val="-2"/>
        </w:rPr>
        <w:t>或秒差爆破取</w:t>
      </w:r>
      <w:r>
        <w:rPr>
          <w:rFonts w:ascii="FangSong" w:hAnsi="FangSong" w:eastAsia="FangSong" w:cs="FangSong"/>
          <w:sz w:val="24"/>
          <w:szCs w:val="24"/>
          <w:spacing w:val="-5"/>
        </w:rPr>
        <w:t>最大一段药量；工程采矿一次使用炸药量为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30kg</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Q</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6"/>
        </w:rPr>
        <w:t>取</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6"/>
        </w:rPr>
        <w:t>30</w:t>
      </w:r>
      <w:r>
        <w:rPr>
          <w:rFonts w:ascii="FangSong" w:hAnsi="FangSong" w:eastAsia="FangSong" w:cs="FangSong"/>
          <w:sz w:val="24"/>
          <w:szCs w:val="24"/>
          <w:spacing w:val="-6"/>
        </w:rPr>
        <w:t>；</w:t>
      </w:r>
    </w:p>
    <w:p>
      <w:pPr>
        <w:ind w:left="124" w:right="107" w:firstLine="1185"/>
        <w:spacing w:before="25"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V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地震安全速度，本工程地表构筑物主要为居民的房屋，为一</w:t>
      </w:r>
      <w:r>
        <w:rPr>
          <w:rFonts w:ascii="FangSong" w:hAnsi="FangSong" w:eastAsia="FangSong" w:cs="FangSong"/>
          <w:sz w:val="24"/>
          <w:szCs w:val="24"/>
          <w:spacing w:val="-3"/>
        </w:rPr>
        <w:t>般砖房，</w:t>
      </w:r>
      <w:r>
        <w:rPr>
          <w:rFonts w:ascii="Times New Roman" w:hAnsi="Times New Roman" w:eastAsia="Times New Roman" w:cs="Times New Roman"/>
          <w:sz w:val="24"/>
          <w:szCs w:val="24"/>
          <w:spacing w:val="-3"/>
        </w:rPr>
        <w:t>V</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3"/>
        </w:rPr>
        <w:t>取</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2.5cm/s</w:t>
      </w:r>
      <w:r>
        <w:rPr>
          <w:rFonts w:ascii="FangSong" w:hAnsi="FangSong" w:eastAsia="FangSong" w:cs="FangSong"/>
          <w:sz w:val="24"/>
          <w:szCs w:val="24"/>
          <w:spacing w:val="-3"/>
        </w:rPr>
        <w:t>；</w:t>
      </w:r>
    </w:p>
    <w:p>
      <w:pPr>
        <w:spacing w:before="1" w:line="222" w:lineRule="auto"/>
        <w:jc w:val="right"/>
        <w:rPr>
          <w:rFonts w:ascii="FangSong" w:hAnsi="FangSong" w:eastAsia="FangSong" w:cs="FangSong"/>
          <w:sz w:val="24"/>
          <w:szCs w:val="24"/>
        </w:rPr>
      </w:pPr>
      <w:r>
        <w:rPr>
          <w:rFonts w:ascii="Times New Roman" w:hAnsi="Times New Roman" w:eastAsia="Times New Roman" w:cs="Times New Roman"/>
          <w:sz w:val="24"/>
          <w:szCs w:val="24"/>
          <w:spacing w:val="-7"/>
        </w:rPr>
        <w:t>m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药包形状系数，欧美等国家的值通常取</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8"/>
        </w:rPr>
        <w:t>0.5</w:t>
      </w:r>
      <w:r>
        <w:rPr>
          <w:rFonts w:ascii="FangSong" w:hAnsi="FangSong" w:eastAsia="FangSong" w:cs="FangSong"/>
          <w:sz w:val="24"/>
          <w:szCs w:val="24"/>
          <w:spacing w:val="-8"/>
        </w:rPr>
        <w:t>，我国一般取</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1/3</w:t>
      </w:r>
      <w:r>
        <w:rPr>
          <w:rFonts w:ascii="FangSong" w:hAnsi="FangSong" w:eastAsia="FangSong" w:cs="FangSong"/>
          <w:sz w:val="24"/>
          <w:szCs w:val="24"/>
          <w:spacing w:val="-8"/>
        </w:rPr>
        <w:t>；</w:t>
      </w:r>
    </w:p>
    <w:p>
      <w:pPr>
        <w:ind w:left="2285" w:right="194" w:hanging="973"/>
        <w:spacing w:before="179"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K</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α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与爆破点地形、地质等条件有关的系数和衰减</w:t>
      </w:r>
      <w:r>
        <w:rPr>
          <w:rFonts w:ascii="FangSong" w:hAnsi="FangSong" w:eastAsia="FangSong" w:cs="FangSong"/>
          <w:sz w:val="24"/>
          <w:szCs w:val="24"/>
          <w:spacing w:val="-2"/>
        </w:rPr>
        <w:t>指数，见</w:t>
      </w:r>
      <w:r>
        <w:rPr>
          <w:rFonts w:ascii="FangSong" w:hAnsi="FangSong" w:eastAsia="FangSong" w:cs="FangSong"/>
          <w:sz w:val="24"/>
          <w:szCs w:val="24"/>
          <w:spacing w:val="-5"/>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6.2-6</w:t>
      </w:r>
      <w:r>
        <w:rPr>
          <w:rFonts w:ascii="FangSong" w:hAnsi="FangSong" w:eastAsia="FangSong" w:cs="FangSong"/>
          <w:sz w:val="24"/>
          <w:szCs w:val="24"/>
          <w:spacing w:val="-5"/>
        </w:rPr>
        <w:t>。</w:t>
      </w:r>
    </w:p>
    <w:p>
      <w:pPr>
        <w:ind w:left="2542"/>
        <w:spacing w:line="220"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b/>
          <w:bCs/>
          <w:spacing w:val="-5"/>
        </w:rPr>
        <w:t>6.2-6  </w:t>
      </w:r>
      <w:r>
        <w:rPr>
          <w:rFonts w:ascii="FangSong" w:hAnsi="FangSong" w:eastAsia="FangSong" w:cs="FangSong"/>
          <w:sz w:val="24"/>
          <w:szCs w:val="24"/>
          <w:b/>
          <w:bCs/>
          <w:spacing w:val="-5"/>
        </w:rPr>
        <w:t>爆区不同岩性的</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b/>
          <w:bCs/>
          <w:spacing w:val="-5"/>
        </w:rPr>
        <w:t>K</w:t>
      </w:r>
      <w:r>
        <w:rPr>
          <w:rFonts w:ascii="Times New Roman" w:hAnsi="Times New Roman" w:eastAsia="Times New Roman" w:cs="Times New Roman"/>
          <w:sz w:val="24"/>
          <w:szCs w:val="24"/>
          <w:b/>
          <w:bCs/>
          <w:spacing w:val="-28"/>
        </w:rPr>
        <w:t xml:space="preserve"> </w:t>
      </w:r>
      <w:r>
        <w:rPr>
          <w:rFonts w:ascii="FangSong" w:hAnsi="FangSong" w:eastAsia="FangSong" w:cs="FangSong"/>
          <w:sz w:val="24"/>
          <w:szCs w:val="24"/>
          <w:b/>
          <w:bCs/>
          <w:spacing w:val="-5"/>
        </w:rPr>
        <w:t>、</w:t>
      </w:r>
      <w:r>
        <w:rPr>
          <w:rFonts w:ascii="Times New Roman" w:hAnsi="Times New Roman" w:eastAsia="Times New Roman" w:cs="Times New Roman"/>
          <w:sz w:val="24"/>
          <w:szCs w:val="24"/>
          <w:b/>
          <w:bCs/>
          <w:spacing w:val="-5"/>
        </w:rPr>
        <w:t>α</w:t>
      </w:r>
      <w:r>
        <w:rPr>
          <w:rFonts w:ascii="FangSong" w:hAnsi="FangSong" w:eastAsia="FangSong" w:cs="FangSong"/>
          <w:sz w:val="24"/>
          <w:szCs w:val="24"/>
          <w:b/>
          <w:bCs/>
          <w:spacing w:val="-5"/>
        </w:rPr>
        <w:t>值</w:t>
      </w:r>
    </w:p>
    <w:p>
      <w:pPr>
        <w:spacing w:line="68"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0"/>
        <w:gridCol w:w="2841"/>
        <w:gridCol w:w="2841"/>
      </w:tblGrid>
      <w:tr>
        <w:trPr>
          <w:trHeight w:val="315" w:hRule="atLeast"/>
        </w:trPr>
        <w:tc>
          <w:tcPr>
            <w:tcW w:w="2840" w:type="dxa"/>
            <w:vAlign w:val="top"/>
            <w:tcBorders>
              <w:left w:val="nil"/>
              <w:top w:val="single" w:color="000000" w:sz="10" w:space="0"/>
            </w:tcBorders>
          </w:tcPr>
          <w:p>
            <w:pPr>
              <w:pStyle w:val="TableText"/>
              <w:ind w:left="1221"/>
              <w:spacing w:before="55" w:line="229" w:lineRule="auto"/>
              <w:rPr/>
            </w:pPr>
            <w:r>
              <w:rPr>
                <w:spacing w:val="3"/>
              </w:rPr>
              <w:t>岩性</w:t>
            </w:r>
          </w:p>
        </w:tc>
        <w:tc>
          <w:tcPr>
            <w:tcW w:w="2841" w:type="dxa"/>
            <w:vAlign w:val="top"/>
            <w:tcBorders>
              <w:top w:val="single" w:color="000000" w:sz="10" w:space="0"/>
            </w:tcBorders>
          </w:tcPr>
          <w:p>
            <w:pPr>
              <w:ind w:left="1344"/>
              <w:spacing w:before="9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K</w:t>
            </w:r>
          </w:p>
        </w:tc>
        <w:tc>
          <w:tcPr>
            <w:tcW w:w="2841" w:type="dxa"/>
            <w:vAlign w:val="top"/>
            <w:tcBorders>
              <w:right w:val="nil"/>
              <w:top w:val="single" w:color="000000" w:sz="10" w:space="0"/>
            </w:tcBorders>
          </w:tcPr>
          <w:p>
            <w:pPr>
              <w:ind w:left="1360"/>
              <w:spacing w:before="132" w:line="166"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b/>
                <w:bCs/>
              </w:rPr>
              <w:t>α</w:t>
            </w:r>
          </w:p>
        </w:tc>
      </w:tr>
      <w:tr>
        <w:trPr>
          <w:trHeight w:val="311" w:hRule="atLeast"/>
        </w:trPr>
        <w:tc>
          <w:tcPr>
            <w:tcW w:w="2840" w:type="dxa"/>
            <w:vAlign w:val="top"/>
            <w:tcBorders>
              <w:left w:val="nil"/>
            </w:tcBorders>
          </w:tcPr>
          <w:p>
            <w:pPr>
              <w:pStyle w:val="TableText"/>
              <w:ind w:left="1018"/>
              <w:spacing w:before="57" w:line="225" w:lineRule="auto"/>
              <w:rPr/>
            </w:pPr>
            <w:r>
              <w:rPr>
                <w:spacing w:val="4"/>
              </w:rPr>
              <w:t>坚硬岩石</w:t>
            </w:r>
          </w:p>
        </w:tc>
        <w:tc>
          <w:tcPr>
            <w:tcW w:w="2841" w:type="dxa"/>
            <w:vAlign w:val="top"/>
          </w:tcPr>
          <w:p>
            <w:pPr>
              <w:ind w:left="112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50-150</w:t>
            </w:r>
          </w:p>
        </w:tc>
        <w:tc>
          <w:tcPr>
            <w:tcW w:w="2841" w:type="dxa"/>
            <w:vAlign w:val="top"/>
            <w:tcBorders>
              <w:right w:val="nil"/>
            </w:tcBorders>
          </w:tcPr>
          <w:p>
            <w:pPr>
              <w:ind w:left="1144"/>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1.3-1.5</w:t>
            </w:r>
          </w:p>
        </w:tc>
      </w:tr>
      <w:tr>
        <w:trPr>
          <w:trHeight w:val="311" w:hRule="atLeast"/>
        </w:trPr>
        <w:tc>
          <w:tcPr>
            <w:tcW w:w="2840" w:type="dxa"/>
            <w:vAlign w:val="top"/>
            <w:tcBorders>
              <w:left w:val="nil"/>
            </w:tcBorders>
          </w:tcPr>
          <w:p>
            <w:pPr>
              <w:pStyle w:val="TableText"/>
              <w:ind w:left="1041"/>
              <w:spacing w:before="64" w:line="218" w:lineRule="auto"/>
              <w:rPr/>
            </w:pPr>
            <w:r>
              <w:rPr>
                <w:spacing w:val="-1"/>
              </w:rPr>
              <w:t>中硬岩石</w:t>
            </w:r>
          </w:p>
        </w:tc>
        <w:tc>
          <w:tcPr>
            <w:tcW w:w="2841" w:type="dxa"/>
            <w:vAlign w:val="top"/>
          </w:tcPr>
          <w:p>
            <w:pPr>
              <w:ind w:left="1091"/>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150-250</w:t>
            </w:r>
          </w:p>
        </w:tc>
        <w:tc>
          <w:tcPr>
            <w:tcW w:w="2841" w:type="dxa"/>
            <w:vAlign w:val="top"/>
            <w:tcBorders>
              <w:right w:val="nil"/>
            </w:tcBorders>
          </w:tcPr>
          <w:p>
            <w:pPr>
              <w:ind w:left="114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1.5-1.8</w:t>
            </w:r>
          </w:p>
        </w:tc>
      </w:tr>
      <w:tr>
        <w:trPr>
          <w:trHeight w:val="334" w:hRule="atLeast"/>
        </w:trPr>
        <w:tc>
          <w:tcPr>
            <w:tcW w:w="2840" w:type="dxa"/>
            <w:vAlign w:val="top"/>
            <w:tcBorders>
              <w:left w:val="nil"/>
              <w:bottom w:val="single" w:color="000000" w:sz="10" w:space="0"/>
            </w:tcBorders>
          </w:tcPr>
          <w:p>
            <w:pPr>
              <w:pStyle w:val="TableText"/>
              <w:ind w:left="1118"/>
              <w:spacing w:before="71" w:line="232" w:lineRule="auto"/>
              <w:rPr/>
            </w:pPr>
            <w:r>
              <w:rPr>
                <w:spacing w:val="4"/>
              </w:rPr>
              <w:t>软岩石</w:t>
            </w:r>
          </w:p>
        </w:tc>
        <w:tc>
          <w:tcPr>
            <w:tcW w:w="2841" w:type="dxa"/>
            <w:vAlign w:val="top"/>
            <w:tcBorders>
              <w:bottom w:val="single" w:color="000000" w:sz="10" w:space="0"/>
            </w:tcBorders>
          </w:tcPr>
          <w:p>
            <w:pPr>
              <w:ind w:left="107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250-350</w:t>
            </w:r>
          </w:p>
        </w:tc>
        <w:tc>
          <w:tcPr>
            <w:tcW w:w="2841" w:type="dxa"/>
            <w:vAlign w:val="top"/>
            <w:tcBorders>
              <w:right w:val="nil"/>
              <w:bottom w:val="single" w:color="000000" w:sz="10" w:space="0"/>
            </w:tcBorders>
          </w:tcPr>
          <w:p>
            <w:pPr>
              <w:ind w:left="114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1.8-2.0</w:t>
            </w:r>
          </w:p>
        </w:tc>
      </w:tr>
    </w:tbl>
    <w:p>
      <w:pPr>
        <w:pStyle w:val="BodyText"/>
        <w:spacing w:line="251" w:lineRule="auto"/>
        <w:rPr/>
      </w:pPr>
      <w:r/>
    </w:p>
    <w:p>
      <w:pPr>
        <w:pStyle w:val="BodyText"/>
        <w:spacing w:line="252" w:lineRule="auto"/>
        <w:rPr/>
      </w:pPr>
      <w:r/>
    </w:p>
    <w:p>
      <w:pPr>
        <w:ind w:left="113" w:right="108" w:firstLine="490"/>
        <w:spacing w:before="78" w:line="359" w:lineRule="auto"/>
        <w:jc w:val="both"/>
        <w:rPr>
          <w:rFonts w:ascii="FangSong" w:hAnsi="FangSong" w:eastAsia="FangSong" w:cs="FangSong"/>
          <w:sz w:val="24"/>
          <w:szCs w:val="24"/>
        </w:rPr>
      </w:pPr>
      <w:r>
        <w:rPr>
          <w:rFonts w:ascii="FangSong" w:hAnsi="FangSong" w:eastAsia="FangSong" w:cs="FangSong"/>
          <w:sz w:val="24"/>
          <w:szCs w:val="24"/>
          <w:spacing w:val="-1"/>
        </w:rPr>
        <w:t>矿山属软岩石地质条件，取</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
        </w:rPr>
        <w:t>K</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250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α</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1.8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；对于软岩石地质条件，在一</w:t>
      </w:r>
      <w:r>
        <w:rPr>
          <w:rFonts w:ascii="FangSong" w:hAnsi="FangSong" w:eastAsia="FangSong" w:cs="FangSong"/>
          <w:sz w:val="24"/>
          <w:szCs w:val="24"/>
          <w:spacing w:val="-7"/>
        </w:rPr>
        <w:t>次炸药使用量为</w:t>
      </w:r>
      <w:r>
        <w:rPr>
          <w:rFonts w:ascii="FangSong" w:hAnsi="FangSong" w:eastAsia="FangSong" w:cs="FangSong"/>
          <w:sz w:val="24"/>
          <w:szCs w:val="24"/>
          <w:spacing w:val="-65"/>
        </w:rPr>
        <w:t xml:space="preserve"> </w:t>
      </w:r>
      <w:r>
        <w:rPr>
          <w:rFonts w:ascii="Times New Roman" w:hAnsi="Times New Roman" w:eastAsia="Times New Roman" w:cs="Times New Roman"/>
          <w:sz w:val="24"/>
          <w:szCs w:val="24"/>
          <w:spacing w:val="-7"/>
        </w:rPr>
        <w:t>30kg</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7"/>
        </w:rPr>
        <w:t>时，计算得爆破地震安全距离</w:t>
      </w:r>
      <w:r>
        <w:rPr>
          <w:rFonts w:ascii="FangSong" w:hAnsi="FangSong" w:eastAsia="FangSong" w:cs="FangSong"/>
          <w:sz w:val="24"/>
          <w:szCs w:val="24"/>
          <w:spacing w:val="-68"/>
        </w:rPr>
        <w:t xml:space="preserve"> </w:t>
      </w:r>
      <w:r>
        <w:rPr>
          <w:rFonts w:ascii="Times New Roman" w:hAnsi="Times New Roman" w:eastAsia="Times New Roman" w:cs="Times New Roman"/>
          <w:sz w:val="24"/>
          <w:szCs w:val="24"/>
          <w:spacing w:val="-7"/>
        </w:rPr>
        <w:t>R </w:t>
      </w:r>
      <w:r>
        <w:rPr>
          <w:rFonts w:ascii="FangSong" w:hAnsi="FangSong" w:eastAsia="FangSong" w:cs="FangSong"/>
          <w:sz w:val="24"/>
          <w:szCs w:val="24"/>
          <w:spacing w:val="-7"/>
        </w:rPr>
        <w:t>为</w:t>
      </w:r>
      <w:r>
        <w:rPr>
          <w:rFonts w:ascii="FangSong" w:hAnsi="FangSong" w:eastAsia="FangSong" w:cs="FangSong"/>
          <w:sz w:val="24"/>
          <w:szCs w:val="24"/>
          <w:spacing w:val="-71"/>
        </w:rPr>
        <w:t xml:space="preserve"> </w:t>
      </w:r>
      <w:r>
        <w:rPr>
          <w:rFonts w:ascii="Times New Roman" w:hAnsi="Times New Roman" w:eastAsia="Times New Roman" w:cs="Times New Roman"/>
          <w:sz w:val="24"/>
          <w:szCs w:val="24"/>
          <w:spacing w:val="-7"/>
        </w:rPr>
        <w:t>45m</w:t>
      </w:r>
      <w:r>
        <w:rPr>
          <w:rFonts w:ascii="FangSong" w:hAnsi="FangSong" w:eastAsia="FangSong" w:cs="FangSong"/>
          <w:sz w:val="24"/>
          <w:szCs w:val="24"/>
          <w:spacing w:val="-7"/>
        </w:rPr>
        <w:t>。即距离爆点</w:t>
      </w:r>
      <w:r>
        <w:rPr>
          <w:rFonts w:ascii="Times New Roman" w:hAnsi="Times New Roman" w:eastAsia="Times New Roman" w:cs="Times New Roman"/>
          <w:sz w:val="24"/>
          <w:szCs w:val="24"/>
          <w:spacing w:val="-7"/>
        </w:rPr>
        <w:t>40.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13m</w:t>
      </w:r>
      <w:r>
        <w:rPr>
          <w:rFonts w:ascii="FangSong" w:hAnsi="FangSong" w:eastAsia="FangSong" w:cs="FangSong"/>
          <w:sz w:val="24"/>
          <w:szCs w:val="24"/>
          <w:spacing w:val="4"/>
        </w:rPr>
        <w:t>范围内的建筑物将不同程度地受到爆破振动影响，其振动水平将高于标准限额</w:t>
      </w:r>
      <w:r>
        <w:rPr>
          <w:rFonts w:ascii="Times New Roman" w:hAnsi="Times New Roman" w:eastAsia="Times New Roman" w:cs="Times New Roman"/>
          <w:sz w:val="24"/>
          <w:szCs w:val="24"/>
          <w:spacing w:val="-1"/>
        </w:rPr>
        <w:t>2.5cm/s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。根据上式可预测对于该矿不同距离处的爆破振动</w:t>
      </w:r>
      <w:r>
        <w:rPr>
          <w:rFonts w:ascii="FangSong" w:hAnsi="FangSong" w:eastAsia="FangSong" w:cs="FangSong"/>
          <w:sz w:val="24"/>
          <w:szCs w:val="24"/>
          <w:spacing w:val="-2"/>
        </w:rPr>
        <w:t>水平，见表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6.2-7</w:t>
      </w:r>
      <w:r>
        <w:rPr>
          <w:rFonts w:ascii="FangSong" w:hAnsi="FangSong" w:eastAsia="FangSong" w:cs="FangSong"/>
          <w:sz w:val="24"/>
          <w:szCs w:val="24"/>
          <w:spacing w:val="-2"/>
        </w:rPr>
        <w:t>。</w:t>
      </w:r>
    </w:p>
    <w:p>
      <w:pPr>
        <w:spacing w:line="359" w:lineRule="auto"/>
        <w:sectPr>
          <w:footerReference w:type="default" r:id="rId307"/>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889"/>
        <w:spacing w:before="78"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b/>
          <w:bCs/>
          <w:spacing w:val="-3"/>
        </w:rPr>
        <w:t>6.2-7  </w:t>
      </w:r>
      <w:r>
        <w:rPr>
          <w:rFonts w:ascii="FangSong" w:hAnsi="FangSong" w:eastAsia="FangSong" w:cs="FangSong"/>
          <w:sz w:val="24"/>
          <w:szCs w:val="24"/>
          <w:b/>
          <w:bCs/>
          <w:spacing w:val="-3"/>
        </w:rPr>
        <w:t>不同距离处构筑物爆破振动速度预测</w:t>
      </w:r>
    </w:p>
    <w:p>
      <w:pPr>
        <w:spacing w:line="66"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
        <w:gridCol w:w="709"/>
        <w:gridCol w:w="709"/>
        <w:gridCol w:w="710"/>
        <w:gridCol w:w="709"/>
        <w:gridCol w:w="710"/>
        <w:gridCol w:w="710"/>
        <w:gridCol w:w="710"/>
        <w:gridCol w:w="710"/>
        <w:gridCol w:w="710"/>
        <w:gridCol w:w="710"/>
        <w:gridCol w:w="710"/>
      </w:tblGrid>
      <w:tr>
        <w:trPr>
          <w:trHeight w:val="933" w:hRule="atLeast"/>
        </w:trPr>
        <w:tc>
          <w:tcPr>
            <w:tcW w:w="709" w:type="dxa"/>
            <w:vAlign w:val="top"/>
            <w:tcBorders>
              <w:top w:val="single" w:color="000000" w:sz="10" w:space="0"/>
              <w:left w:val="nil"/>
            </w:tcBorders>
          </w:tcPr>
          <w:p>
            <w:pPr>
              <w:pStyle w:val="TableText"/>
              <w:ind w:left="159"/>
              <w:spacing w:before="55" w:line="232" w:lineRule="auto"/>
              <w:rPr/>
            </w:pPr>
            <w:r>
              <w:rPr>
                <w:spacing w:val="1"/>
              </w:rPr>
              <w:t>预测</w:t>
            </w:r>
          </w:p>
          <w:p>
            <w:pPr>
              <w:pStyle w:val="TableText"/>
              <w:ind w:left="169"/>
              <w:spacing w:before="61" w:line="232" w:lineRule="auto"/>
              <w:rPr/>
            </w:pPr>
            <w:r>
              <w:rPr>
                <w:spacing w:val="-4"/>
              </w:rPr>
              <w:t>点距</w:t>
            </w:r>
          </w:p>
          <w:p>
            <w:pPr>
              <w:pStyle w:val="TableText"/>
              <w:ind w:left="160"/>
              <w:spacing w:before="59" w:line="225" w:lineRule="auto"/>
              <w:rPr>
                <w:rFonts w:ascii="Times New Roman" w:hAnsi="Times New Roman" w:eastAsia="Times New Roman" w:cs="Times New Roman"/>
              </w:rPr>
            </w:pPr>
            <w:r>
              <w:rPr>
                <w:spacing w:val="-3"/>
              </w:rPr>
              <w:t>离</w:t>
            </w:r>
            <w:r>
              <w:rPr>
                <w:spacing w:val="-46"/>
              </w:rPr>
              <w:t xml:space="preserve"> </w:t>
            </w:r>
            <w:r>
              <w:rPr>
                <w:rFonts w:ascii="Times New Roman" w:hAnsi="Times New Roman" w:eastAsia="Times New Roman" w:cs="Times New Roman"/>
                <w:spacing w:val="-3"/>
              </w:rPr>
              <w:t>m</w:t>
            </w:r>
          </w:p>
        </w:tc>
        <w:tc>
          <w:tcPr>
            <w:tcW w:w="709" w:type="dxa"/>
            <w:vAlign w:val="top"/>
            <w:tcBorders>
              <w:top w:val="single" w:color="000000" w:sz="10" w:space="0"/>
            </w:tcBorders>
          </w:tcPr>
          <w:p>
            <w:pPr>
              <w:spacing w:line="343" w:lineRule="auto"/>
              <w:rPr>
                <w:rFonts w:ascii="Arial"/>
                <w:sz w:val="21"/>
              </w:rPr>
            </w:pPr>
            <w:r/>
          </w:p>
          <w:p>
            <w:pPr>
              <w:ind w:left="27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709" w:type="dxa"/>
            <w:vAlign w:val="top"/>
            <w:tcBorders>
              <w:top w:val="single" w:color="000000" w:sz="10" w:space="0"/>
            </w:tcBorders>
          </w:tcPr>
          <w:p>
            <w:pPr>
              <w:spacing w:line="343" w:lineRule="auto"/>
              <w:rPr>
                <w:rFonts w:ascii="Arial"/>
                <w:sz w:val="21"/>
              </w:rPr>
            </w:pPr>
            <w:r/>
          </w:p>
          <w:p>
            <w:pPr>
              <w:ind w:left="25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710" w:type="dxa"/>
            <w:vAlign w:val="top"/>
            <w:tcBorders>
              <w:top w:val="single" w:color="000000" w:sz="10" w:space="0"/>
            </w:tcBorders>
          </w:tcPr>
          <w:p>
            <w:pPr>
              <w:spacing w:line="343" w:lineRule="auto"/>
              <w:rPr>
                <w:rFonts w:ascii="Arial"/>
                <w:sz w:val="21"/>
              </w:rPr>
            </w:pPr>
            <w:r/>
          </w:p>
          <w:p>
            <w:pPr>
              <w:ind w:left="25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09" w:type="dxa"/>
            <w:vAlign w:val="top"/>
            <w:tcBorders>
              <w:top w:val="single" w:color="000000" w:sz="10" w:space="0"/>
            </w:tcBorders>
          </w:tcPr>
          <w:p>
            <w:pPr>
              <w:spacing w:line="343" w:lineRule="auto"/>
              <w:rPr>
                <w:rFonts w:ascii="Arial"/>
                <w:sz w:val="21"/>
              </w:rPr>
            </w:pPr>
            <w:r/>
          </w:p>
          <w:p>
            <w:pPr>
              <w:ind w:left="2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710" w:type="dxa"/>
            <w:vAlign w:val="top"/>
            <w:tcBorders>
              <w:top w:val="single" w:color="000000" w:sz="10" w:space="0"/>
            </w:tcBorders>
          </w:tcPr>
          <w:p>
            <w:pPr>
              <w:spacing w:line="343" w:lineRule="auto"/>
              <w:rPr>
                <w:rFonts w:ascii="Arial"/>
                <w:sz w:val="21"/>
              </w:rPr>
            </w:pPr>
            <w:r/>
          </w:p>
          <w:p>
            <w:pPr>
              <w:ind w:left="1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40.13</w:t>
            </w:r>
          </w:p>
        </w:tc>
        <w:tc>
          <w:tcPr>
            <w:tcW w:w="710" w:type="dxa"/>
            <w:vAlign w:val="top"/>
            <w:tcBorders>
              <w:top w:val="single" w:color="000000" w:sz="10" w:space="0"/>
            </w:tcBorders>
          </w:tcPr>
          <w:p>
            <w:pPr>
              <w:spacing w:line="343" w:lineRule="auto"/>
              <w:rPr>
                <w:rFonts w:ascii="Arial"/>
                <w:sz w:val="21"/>
              </w:rPr>
            </w:pPr>
            <w:r/>
          </w:p>
          <w:p>
            <w:pPr>
              <w:ind w:left="17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40.2</w:t>
            </w:r>
          </w:p>
        </w:tc>
        <w:tc>
          <w:tcPr>
            <w:tcW w:w="710" w:type="dxa"/>
            <w:vAlign w:val="top"/>
            <w:tcBorders>
              <w:top w:val="single" w:color="000000" w:sz="10" w:space="0"/>
            </w:tcBorders>
          </w:tcPr>
          <w:p>
            <w:pPr>
              <w:spacing w:line="343" w:lineRule="auto"/>
              <w:rPr>
                <w:rFonts w:ascii="Arial"/>
                <w:sz w:val="21"/>
              </w:rPr>
            </w:pPr>
            <w:r/>
          </w:p>
          <w:p>
            <w:pPr>
              <w:ind w:left="25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10" w:type="dxa"/>
            <w:vAlign w:val="top"/>
            <w:tcBorders>
              <w:top w:val="single" w:color="000000" w:sz="10" w:space="0"/>
            </w:tcBorders>
          </w:tcPr>
          <w:p>
            <w:pPr>
              <w:spacing w:line="343" w:lineRule="auto"/>
              <w:rPr>
                <w:rFonts w:ascii="Arial"/>
                <w:sz w:val="21"/>
              </w:rPr>
            </w:pPr>
            <w:r/>
          </w:p>
          <w:p>
            <w:pPr>
              <w:ind w:left="21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710" w:type="dxa"/>
            <w:vAlign w:val="top"/>
            <w:tcBorders>
              <w:top w:val="single" w:color="000000" w:sz="10" w:space="0"/>
            </w:tcBorders>
          </w:tcPr>
          <w:p>
            <w:pPr>
              <w:spacing w:line="343" w:lineRule="auto"/>
              <w:rPr>
                <w:rFonts w:ascii="Arial"/>
                <w:sz w:val="21"/>
              </w:rPr>
            </w:pPr>
            <w:r/>
          </w:p>
          <w:p>
            <w:pPr>
              <w:ind w:left="2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710" w:type="dxa"/>
            <w:vAlign w:val="top"/>
            <w:tcBorders>
              <w:top w:val="single" w:color="000000" w:sz="10" w:space="0"/>
            </w:tcBorders>
          </w:tcPr>
          <w:p>
            <w:pPr>
              <w:spacing w:line="343" w:lineRule="auto"/>
              <w:rPr>
                <w:rFonts w:ascii="Arial"/>
                <w:sz w:val="21"/>
              </w:rPr>
            </w:pPr>
            <w:r/>
          </w:p>
          <w:p>
            <w:pPr>
              <w:ind w:left="19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710" w:type="dxa"/>
            <w:vAlign w:val="top"/>
            <w:tcBorders>
              <w:top w:val="single" w:color="000000" w:sz="10" w:space="0"/>
              <w:right w:val="nil"/>
            </w:tcBorders>
          </w:tcPr>
          <w:p>
            <w:pPr>
              <w:spacing w:line="343" w:lineRule="auto"/>
              <w:rPr>
                <w:rFonts w:ascii="Arial"/>
                <w:sz w:val="21"/>
              </w:rPr>
            </w:pPr>
            <w:r/>
          </w:p>
          <w:p>
            <w:pPr>
              <w:ind w:left="2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r>
      <w:tr>
        <w:trPr>
          <w:trHeight w:val="952" w:hRule="atLeast"/>
        </w:trPr>
        <w:tc>
          <w:tcPr>
            <w:tcW w:w="709" w:type="dxa"/>
            <w:vAlign w:val="top"/>
            <w:tcBorders>
              <w:bottom w:val="single" w:color="000000" w:sz="10" w:space="0"/>
              <w:left w:val="nil"/>
            </w:tcBorders>
          </w:tcPr>
          <w:p>
            <w:pPr>
              <w:pStyle w:val="TableText"/>
              <w:ind w:left="157"/>
              <w:spacing w:before="62" w:line="232" w:lineRule="auto"/>
              <w:rPr/>
            </w:pPr>
            <w:r>
              <w:rPr>
                <w:spacing w:val="2"/>
              </w:rPr>
              <w:t>振动</w:t>
            </w:r>
          </w:p>
          <w:p>
            <w:pPr>
              <w:pStyle w:val="TableText"/>
              <w:ind w:left="157"/>
              <w:spacing w:before="60" w:line="232" w:lineRule="auto"/>
              <w:rPr/>
            </w:pPr>
            <w:r>
              <w:rPr>
                <w:spacing w:val="2"/>
              </w:rPr>
              <w:t>速度</w:t>
            </w:r>
          </w:p>
          <w:p>
            <w:pPr>
              <w:ind w:left="163"/>
              <w:spacing w:before="9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5"/>
              </w:rPr>
              <w:t>/s</w:t>
            </w:r>
          </w:p>
        </w:tc>
        <w:tc>
          <w:tcPr>
            <w:tcW w:w="709" w:type="dxa"/>
            <w:vAlign w:val="top"/>
            <w:tcBorders>
              <w:bottom w:val="single" w:color="000000" w:sz="10" w:space="0"/>
            </w:tcBorders>
          </w:tcPr>
          <w:p>
            <w:pPr>
              <w:spacing w:line="351" w:lineRule="auto"/>
              <w:rPr>
                <w:rFonts w:ascii="Arial"/>
                <w:sz w:val="21"/>
              </w:rPr>
            </w:pPr>
            <w:r/>
          </w:p>
          <w:p>
            <w:pPr>
              <w:ind w:left="1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30.49</w:t>
            </w:r>
          </w:p>
        </w:tc>
        <w:tc>
          <w:tcPr>
            <w:tcW w:w="709" w:type="dxa"/>
            <w:vAlign w:val="top"/>
            <w:tcBorders>
              <w:bottom w:val="single" w:color="000000" w:sz="10" w:space="0"/>
            </w:tcBorders>
          </w:tcPr>
          <w:p>
            <w:pPr>
              <w:spacing w:line="351" w:lineRule="auto"/>
              <w:rPr>
                <w:rFonts w:ascii="Arial"/>
                <w:sz w:val="21"/>
              </w:rPr>
            </w:pPr>
            <w:r/>
          </w:p>
          <w:p>
            <w:pPr>
              <w:ind w:left="18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8.76</w:t>
            </w:r>
          </w:p>
        </w:tc>
        <w:tc>
          <w:tcPr>
            <w:tcW w:w="710" w:type="dxa"/>
            <w:vAlign w:val="top"/>
            <w:tcBorders>
              <w:bottom w:val="single" w:color="000000" w:sz="10" w:space="0"/>
            </w:tcBorders>
          </w:tcPr>
          <w:p>
            <w:pPr>
              <w:spacing w:line="351" w:lineRule="auto"/>
              <w:rPr>
                <w:rFonts w:ascii="Arial"/>
                <w:sz w:val="21"/>
              </w:rPr>
            </w:pPr>
            <w:r/>
          </w:p>
          <w:p>
            <w:pPr>
              <w:ind w:left="17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4.22</w:t>
            </w:r>
          </w:p>
        </w:tc>
        <w:tc>
          <w:tcPr>
            <w:tcW w:w="709" w:type="dxa"/>
            <w:vAlign w:val="top"/>
            <w:tcBorders>
              <w:bottom w:val="single" w:color="000000" w:sz="10" w:space="0"/>
            </w:tcBorders>
          </w:tcPr>
          <w:p>
            <w:pPr>
              <w:spacing w:line="351" w:lineRule="auto"/>
              <w:rPr>
                <w:rFonts w:ascii="Arial"/>
                <w:sz w:val="21"/>
              </w:rPr>
            </w:pPr>
            <w:r/>
          </w:p>
          <w:p>
            <w:pPr>
              <w:ind w:left="17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2.51</w:t>
            </w:r>
          </w:p>
        </w:tc>
        <w:tc>
          <w:tcPr>
            <w:tcW w:w="710" w:type="dxa"/>
            <w:vAlign w:val="top"/>
            <w:tcBorders>
              <w:bottom w:val="single" w:color="000000" w:sz="10" w:space="0"/>
            </w:tcBorders>
          </w:tcPr>
          <w:p>
            <w:pPr>
              <w:spacing w:line="351" w:lineRule="auto"/>
              <w:rPr>
                <w:rFonts w:ascii="Arial"/>
                <w:sz w:val="21"/>
              </w:rPr>
            </w:pPr>
            <w:r/>
          </w:p>
          <w:p>
            <w:pPr>
              <w:ind w:left="17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710" w:type="dxa"/>
            <w:vAlign w:val="top"/>
            <w:tcBorders>
              <w:bottom w:val="single" w:color="000000" w:sz="10" w:space="0"/>
            </w:tcBorders>
          </w:tcPr>
          <w:p>
            <w:pPr>
              <w:spacing w:line="351" w:lineRule="auto"/>
              <w:rPr>
                <w:rFonts w:ascii="Arial"/>
                <w:sz w:val="21"/>
              </w:rPr>
            </w:pPr>
            <w:r/>
          </w:p>
          <w:p>
            <w:pPr>
              <w:ind w:left="17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2.49</w:t>
            </w:r>
          </w:p>
        </w:tc>
        <w:tc>
          <w:tcPr>
            <w:tcW w:w="710" w:type="dxa"/>
            <w:vAlign w:val="top"/>
            <w:tcBorders>
              <w:bottom w:val="single" w:color="000000" w:sz="10" w:space="0"/>
            </w:tcBorders>
          </w:tcPr>
          <w:p>
            <w:pPr>
              <w:spacing w:line="351" w:lineRule="auto"/>
              <w:rPr>
                <w:rFonts w:ascii="Arial"/>
                <w:sz w:val="21"/>
              </w:rPr>
            </w:pPr>
            <w:r/>
          </w:p>
          <w:p>
            <w:pPr>
              <w:ind w:left="19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1.68</w:t>
            </w:r>
          </w:p>
        </w:tc>
        <w:tc>
          <w:tcPr>
            <w:tcW w:w="710" w:type="dxa"/>
            <w:vAlign w:val="top"/>
            <w:tcBorders>
              <w:bottom w:val="single" w:color="000000" w:sz="10" w:space="0"/>
            </w:tcBorders>
          </w:tcPr>
          <w:p>
            <w:pPr>
              <w:spacing w:line="351" w:lineRule="auto"/>
              <w:rPr>
                <w:rFonts w:ascii="Arial"/>
                <w:sz w:val="21"/>
              </w:rPr>
            </w:pPr>
            <w:r/>
          </w:p>
          <w:p>
            <w:pPr>
              <w:ind w:left="17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0.48</w:t>
            </w:r>
          </w:p>
        </w:tc>
        <w:tc>
          <w:tcPr>
            <w:tcW w:w="710" w:type="dxa"/>
            <w:vAlign w:val="top"/>
            <w:tcBorders>
              <w:bottom w:val="single" w:color="000000" w:sz="10" w:space="0"/>
            </w:tcBorders>
          </w:tcPr>
          <w:p>
            <w:pPr>
              <w:spacing w:line="351" w:lineRule="auto"/>
              <w:rPr>
                <w:rFonts w:ascii="Arial"/>
                <w:sz w:val="21"/>
              </w:rPr>
            </w:pPr>
            <w:r/>
          </w:p>
          <w:p>
            <w:pPr>
              <w:ind w:left="17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0.23</w:t>
            </w:r>
          </w:p>
        </w:tc>
        <w:tc>
          <w:tcPr>
            <w:tcW w:w="710" w:type="dxa"/>
            <w:vAlign w:val="top"/>
            <w:tcBorders>
              <w:bottom w:val="single" w:color="000000" w:sz="10" w:space="0"/>
            </w:tcBorders>
          </w:tcPr>
          <w:p>
            <w:pPr>
              <w:spacing w:line="351" w:lineRule="auto"/>
              <w:rPr>
                <w:rFonts w:ascii="Arial"/>
                <w:sz w:val="21"/>
              </w:rPr>
            </w:pPr>
            <w:r/>
          </w:p>
          <w:p>
            <w:pPr>
              <w:ind w:left="17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710" w:type="dxa"/>
            <w:vAlign w:val="top"/>
            <w:tcBorders>
              <w:bottom w:val="single" w:color="000000" w:sz="10" w:space="0"/>
              <w:right w:val="nil"/>
            </w:tcBorders>
          </w:tcPr>
          <w:p>
            <w:pPr>
              <w:spacing w:line="351" w:lineRule="auto"/>
              <w:rPr>
                <w:rFonts w:ascii="Arial"/>
                <w:sz w:val="21"/>
              </w:rPr>
            </w:pPr>
            <w:r/>
          </w:p>
          <w:p>
            <w:pPr>
              <w:ind w:left="17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w:t>
            </w:r>
          </w:p>
        </w:tc>
      </w:tr>
    </w:tbl>
    <w:p>
      <w:pPr>
        <w:pStyle w:val="BodyText"/>
        <w:spacing w:line="251" w:lineRule="auto"/>
        <w:rPr/>
      </w:pPr>
      <w:r/>
    </w:p>
    <w:p>
      <w:pPr>
        <w:pStyle w:val="BodyText"/>
        <w:spacing w:line="251" w:lineRule="auto"/>
        <w:rPr/>
      </w:pPr>
      <w:r/>
    </w:p>
    <w:p>
      <w:pPr>
        <w:ind w:left="608"/>
        <w:spacing w:before="78"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）爆破振动影响评价</w:t>
      </w:r>
    </w:p>
    <w:p>
      <w:pPr>
        <w:ind w:left="111" w:right="107" w:firstLine="522"/>
        <w:spacing w:before="179" w:line="359" w:lineRule="auto"/>
        <w:rPr>
          <w:rFonts w:ascii="FangSong" w:hAnsi="FangSong" w:eastAsia="FangSong" w:cs="FangSong"/>
          <w:sz w:val="24"/>
          <w:szCs w:val="24"/>
        </w:rPr>
      </w:pPr>
      <w:r>
        <w:rPr>
          <w:rFonts w:ascii="FangSong" w:hAnsi="FangSong" w:eastAsia="FangSong" w:cs="FangSong"/>
          <w:sz w:val="24"/>
          <w:szCs w:val="24"/>
          <w:spacing w:val="9"/>
        </w:rPr>
        <w:t>由上述计算结果可知，在未来的生产爆破情况下，</w:t>
      </w:r>
      <w:r>
        <w:rPr>
          <w:rFonts w:ascii="FangSong" w:hAnsi="FangSong" w:eastAsia="FangSong" w:cs="FangSong"/>
          <w:sz w:val="24"/>
          <w:szCs w:val="24"/>
          <w:spacing w:val="-63"/>
        </w:rPr>
        <w:t xml:space="preserve"> </w:t>
      </w:r>
      <w:r>
        <w:rPr>
          <w:rFonts w:ascii="FangSong" w:hAnsi="FangSong" w:eastAsia="FangSong" w:cs="FangSong"/>
          <w:sz w:val="24"/>
          <w:szCs w:val="24"/>
          <w:spacing w:val="9"/>
        </w:rPr>
        <w:t>当建筑物距离爆破点</w:t>
      </w:r>
      <w:r>
        <w:rPr>
          <w:rFonts w:ascii="Times New Roman" w:hAnsi="Times New Roman" w:eastAsia="Times New Roman" w:cs="Times New Roman"/>
          <w:sz w:val="24"/>
          <w:szCs w:val="24"/>
          <w:spacing w:val="-5"/>
        </w:rPr>
        <w:t>40.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13m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外，其建筑结构可免于爆破振动的影响，且矿区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500m</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5"/>
        </w:rPr>
        <w:t>范围内无</w:t>
      </w:r>
      <w:r>
        <w:rPr>
          <w:rFonts w:ascii="FangSong" w:hAnsi="FangSong" w:eastAsia="FangSong" w:cs="FangSong"/>
          <w:sz w:val="24"/>
          <w:szCs w:val="24"/>
          <w:spacing w:val="-6"/>
        </w:rPr>
        <w:t>居民建筑</w:t>
      </w:r>
      <w:r>
        <w:rPr>
          <w:rFonts w:ascii="FangSong" w:hAnsi="FangSong" w:eastAsia="FangSong" w:cs="FangSong"/>
          <w:sz w:val="24"/>
          <w:szCs w:val="24"/>
        </w:rPr>
        <w:t>物等环境敏感点，能够满足爆破安全允许距离</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rPr>
        <w:t>40.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rPr>
        <w:t>13m</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。此外，工程每次爆破使</w:t>
      </w:r>
      <w:r>
        <w:rPr>
          <w:rFonts w:ascii="FangSong" w:hAnsi="FangSong" w:eastAsia="FangSong" w:cs="FangSong"/>
          <w:sz w:val="24"/>
          <w:szCs w:val="24"/>
          <w:spacing w:val="1"/>
        </w:rPr>
        <w:t>用炸药量很小，一般不超过</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，且爆破为每天在较短的时间内进行，</w:t>
      </w:r>
      <w:r>
        <w:rPr>
          <w:rFonts w:ascii="FangSong" w:hAnsi="FangSong" w:eastAsia="FangSong" w:cs="FangSong"/>
          <w:sz w:val="24"/>
          <w:szCs w:val="24"/>
        </w:rPr>
        <w:t>产生的</w:t>
      </w:r>
      <w:r>
        <w:rPr>
          <w:rFonts w:ascii="FangSong" w:hAnsi="FangSong" w:eastAsia="FangSong" w:cs="FangSong"/>
          <w:sz w:val="24"/>
          <w:szCs w:val="24"/>
        </w:rPr>
        <w:t>振动属于偶发振动，经距离衰减后不会对地表房屋产生破</w:t>
      </w:r>
      <w:r>
        <w:rPr>
          <w:rFonts w:ascii="FangSong" w:hAnsi="FangSong" w:eastAsia="FangSong" w:cs="FangSong"/>
          <w:sz w:val="24"/>
          <w:szCs w:val="24"/>
          <w:spacing w:val="-1"/>
        </w:rPr>
        <w:t>坏性影响。</w:t>
      </w:r>
    </w:p>
    <w:p>
      <w:pPr>
        <w:ind w:left="116"/>
        <w:spacing w:before="5" w:line="221" w:lineRule="auto"/>
        <w:outlineLvl w:val="2"/>
        <w:rPr>
          <w:rFonts w:ascii="FangSong" w:hAnsi="FangSong" w:eastAsia="FangSong" w:cs="FangSong"/>
          <w:sz w:val="24"/>
          <w:szCs w:val="24"/>
        </w:rPr>
      </w:pPr>
      <w:bookmarkStart w:name="bookmark298" w:id="403"/>
      <w:bookmarkEnd w:id="403"/>
      <w:bookmarkStart w:name="bookmark297" w:id="404"/>
      <w:bookmarkEnd w:id="404"/>
      <w:r>
        <w:rPr>
          <w:rFonts w:ascii="Times New Roman" w:hAnsi="Times New Roman" w:eastAsia="Times New Roman" w:cs="Times New Roman"/>
          <w:sz w:val="24"/>
          <w:szCs w:val="24"/>
          <w:b/>
          <w:bCs/>
          <w:spacing w:val="-4"/>
        </w:rPr>
        <w:t>6.2.4</w:t>
      </w:r>
      <w:r>
        <w:rPr>
          <w:rFonts w:ascii="Times New Roman" w:hAnsi="Times New Roman" w:eastAsia="Times New Roman" w:cs="Times New Roman"/>
          <w:sz w:val="24"/>
          <w:szCs w:val="24"/>
          <w:b/>
          <w:bCs/>
          <w:spacing w:val="20"/>
          <w:w w:val="101"/>
        </w:rPr>
        <w:t xml:space="preserve">  </w:t>
      </w:r>
      <w:r>
        <w:rPr>
          <w:rFonts w:ascii="FangSong" w:hAnsi="FangSong" w:eastAsia="FangSong" w:cs="FangSong"/>
          <w:sz w:val="24"/>
          <w:szCs w:val="24"/>
          <w:b/>
          <w:bCs/>
          <w:spacing w:val="-4"/>
        </w:rPr>
        <w:t>固体废物环境影响分析与评价</w:t>
      </w:r>
    </w:p>
    <w:p>
      <w:pPr>
        <w:ind w:left="116"/>
        <w:spacing w:before="18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6.2.4.1</w:t>
      </w:r>
      <w:r>
        <w:rPr>
          <w:rFonts w:ascii="Times New Roman" w:hAnsi="Times New Roman" w:eastAsia="Times New Roman" w:cs="Times New Roman"/>
          <w:sz w:val="24"/>
          <w:szCs w:val="24"/>
          <w:b/>
          <w:bCs/>
          <w:spacing w:val="21"/>
        </w:rPr>
        <w:t xml:space="preserve">  </w:t>
      </w:r>
      <w:r>
        <w:rPr>
          <w:rFonts w:ascii="FangSong" w:hAnsi="FangSong" w:eastAsia="FangSong" w:cs="FangSong"/>
          <w:sz w:val="24"/>
          <w:szCs w:val="24"/>
          <w:b/>
          <w:bCs/>
          <w:spacing w:val="-4"/>
        </w:rPr>
        <w:t>固体废物环境影响分析</w:t>
      </w:r>
    </w:p>
    <w:p>
      <w:pPr>
        <w:ind w:left="608"/>
        <w:spacing w:before="18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）产生及处置情况</w:t>
      </w:r>
    </w:p>
    <w:p>
      <w:pPr>
        <w:ind w:left="123" w:right="107" w:firstLine="481"/>
        <w:spacing w:before="179" w:line="360" w:lineRule="auto"/>
        <w:rPr>
          <w:rFonts w:ascii="FangSong" w:hAnsi="FangSong" w:eastAsia="FangSong" w:cs="FangSong"/>
          <w:sz w:val="24"/>
          <w:szCs w:val="24"/>
        </w:rPr>
      </w:pPr>
      <w:r>
        <w:rPr>
          <w:rFonts w:ascii="FangSong" w:hAnsi="FangSong" w:eastAsia="FangSong" w:cs="FangSong"/>
          <w:sz w:val="24"/>
          <w:szCs w:val="24"/>
          <w:spacing w:val="-3"/>
        </w:rPr>
        <w:t>项目产生的固体废物分为生活垃圾、一般工业</w:t>
      </w:r>
      <w:r>
        <w:rPr>
          <w:rFonts w:ascii="FangSong" w:hAnsi="FangSong" w:eastAsia="FangSong" w:cs="FangSong"/>
          <w:sz w:val="24"/>
          <w:szCs w:val="24"/>
          <w:spacing w:val="-4"/>
        </w:rPr>
        <w:t>固体废物和危险废物。一般工</w:t>
      </w:r>
      <w:r>
        <w:rPr>
          <w:rFonts w:ascii="FangSong" w:hAnsi="FangSong" w:eastAsia="FangSong" w:cs="FangSong"/>
          <w:sz w:val="24"/>
          <w:szCs w:val="24"/>
          <w:spacing w:val="-3"/>
        </w:rPr>
        <w:t>业固废废物主要包括废石、尾砂、除尘灰、污泥、废布袋等；危险废</w:t>
      </w:r>
      <w:r>
        <w:rPr>
          <w:rFonts w:ascii="FangSong" w:hAnsi="FangSong" w:eastAsia="FangSong" w:cs="FangSong"/>
          <w:sz w:val="24"/>
          <w:szCs w:val="24"/>
          <w:spacing w:val="-4"/>
        </w:rPr>
        <w:t>物主要为机</w:t>
      </w:r>
      <w:r>
        <w:rPr>
          <w:rFonts w:ascii="FangSong" w:hAnsi="FangSong" w:eastAsia="FangSong" w:cs="FangSong"/>
          <w:sz w:val="24"/>
          <w:szCs w:val="24"/>
          <w:spacing w:val="-3"/>
        </w:rPr>
        <w:t>修过程产生的废机油、废油桶以及含油抹布及劳保用品，固体废物产</w:t>
      </w:r>
      <w:r>
        <w:rPr>
          <w:rFonts w:ascii="FangSong" w:hAnsi="FangSong" w:eastAsia="FangSong" w:cs="FangSong"/>
          <w:sz w:val="24"/>
          <w:szCs w:val="24"/>
          <w:spacing w:val="-4"/>
        </w:rPr>
        <w:t>生情况及处</w:t>
      </w:r>
      <w:r>
        <w:rPr>
          <w:rFonts w:ascii="FangSong" w:hAnsi="FangSong" w:eastAsia="FangSong" w:cs="FangSong"/>
          <w:sz w:val="24"/>
          <w:szCs w:val="24"/>
          <w:spacing w:val="-3"/>
        </w:rPr>
        <w:t>置情况见表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6.2-8</w:t>
      </w:r>
      <w:r>
        <w:rPr>
          <w:rFonts w:ascii="FangSong" w:hAnsi="FangSong" w:eastAsia="FangSong" w:cs="FangSong"/>
          <w:sz w:val="24"/>
          <w:szCs w:val="24"/>
          <w:spacing w:val="-3"/>
        </w:rPr>
        <w:t>。</w:t>
      </w:r>
    </w:p>
    <w:p>
      <w:pPr>
        <w:ind w:left="1889"/>
        <w:spacing w:before="1"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b/>
          <w:bCs/>
          <w:spacing w:val="-3"/>
        </w:rPr>
        <w:t>6.2-8  </w:t>
      </w:r>
      <w:r>
        <w:rPr>
          <w:rFonts w:ascii="FangSong" w:hAnsi="FangSong" w:eastAsia="FangSong" w:cs="FangSong"/>
          <w:sz w:val="24"/>
          <w:szCs w:val="24"/>
          <w:b/>
          <w:bCs/>
          <w:spacing w:val="-3"/>
        </w:rPr>
        <w:t>项目运营期固体废物产生情况一览表</w:t>
      </w:r>
    </w:p>
    <w:p>
      <w:pPr>
        <w:spacing w:line="67"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9"/>
        <w:gridCol w:w="1076"/>
        <w:gridCol w:w="1184"/>
        <w:gridCol w:w="841"/>
        <w:gridCol w:w="1313"/>
        <w:gridCol w:w="841"/>
        <w:gridCol w:w="983"/>
        <w:gridCol w:w="841"/>
        <w:gridCol w:w="844"/>
      </w:tblGrid>
      <w:tr>
        <w:trPr>
          <w:trHeight w:val="630" w:hRule="atLeast"/>
        </w:trPr>
        <w:tc>
          <w:tcPr>
            <w:tcW w:w="599" w:type="dxa"/>
            <w:vAlign w:val="top"/>
            <w:textDirection w:val="tbRlV"/>
            <w:tcBorders>
              <w:top w:val="single" w:color="000000" w:sz="10" w:space="0"/>
              <w:left w:val="nil"/>
            </w:tcBorders>
          </w:tcPr>
          <w:p>
            <w:pPr>
              <w:pStyle w:val="TableText"/>
              <w:ind w:left="55"/>
              <w:spacing w:before="193" w:line="209" w:lineRule="auto"/>
              <w:rPr/>
            </w:pPr>
            <w:r>
              <w:rPr>
                <w:spacing w:val="13"/>
              </w:rPr>
              <w:t>序</w:t>
            </w:r>
            <w:r>
              <w:rPr>
                <w:spacing w:val="-2"/>
              </w:rPr>
              <w:t xml:space="preserve"> </w:t>
            </w:r>
            <w:r>
              <w:rPr>
                <w:spacing w:val="13"/>
              </w:rPr>
              <w:t>号</w:t>
            </w:r>
          </w:p>
        </w:tc>
        <w:tc>
          <w:tcPr>
            <w:tcW w:w="1076" w:type="dxa"/>
            <w:vAlign w:val="top"/>
            <w:tcBorders>
              <w:top w:val="single" w:color="000000" w:sz="10" w:space="0"/>
            </w:tcBorders>
          </w:tcPr>
          <w:p>
            <w:pPr>
              <w:pStyle w:val="TableText"/>
              <w:ind w:left="152"/>
              <w:spacing w:before="211" w:line="229" w:lineRule="auto"/>
              <w:rPr/>
            </w:pPr>
            <w:r>
              <w:rPr/>
              <w:t>固废名称</w:t>
            </w:r>
          </w:p>
        </w:tc>
        <w:tc>
          <w:tcPr>
            <w:tcW w:w="1184" w:type="dxa"/>
            <w:vAlign w:val="top"/>
            <w:tcBorders>
              <w:top w:val="single" w:color="000000" w:sz="10" w:space="0"/>
            </w:tcBorders>
          </w:tcPr>
          <w:p>
            <w:pPr>
              <w:pStyle w:val="TableText"/>
              <w:ind w:left="159"/>
              <w:spacing w:before="211" w:line="232" w:lineRule="auto"/>
              <w:rPr>
                <w:rFonts w:ascii="Times New Roman" w:hAnsi="Times New Roman" w:eastAsia="Times New Roman" w:cs="Times New Roman"/>
              </w:rPr>
            </w:pPr>
            <w:r>
              <w:rPr>
                <w:spacing w:val="3"/>
              </w:rPr>
              <w:t>产生量</w:t>
            </w:r>
            <w:r>
              <w:rPr>
                <w:spacing w:val="-46"/>
              </w:rPr>
              <w:t xml:space="preserve"> </w:t>
            </w:r>
            <w:r>
              <w:rPr>
                <w:rFonts w:ascii="Times New Roman" w:hAnsi="Times New Roman" w:eastAsia="Times New Roman" w:cs="Times New Roman"/>
                <w:spacing w:val="3"/>
              </w:rPr>
              <w:t>t/a</w:t>
            </w:r>
          </w:p>
        </w:tc>
        <w:tc>
          <w:tcPr>
            <w:tcW w:w="841" w:type="dxa"/>
            <w:vAlign w:val="top"/>
            <w:tcBorders>
              <w:top w:val="single" w:color="000000" w:sz="10" w:space="0"/>
            </w:tcBorders>
          </w:tcPr>
          <w:p>
            <w:pPr>
              <w:pStyle w:val="TableText"/>
              <w:ind w:left="244"/>
              <w:spacing w:before="55" w:line="233" w:lineRule="auto"/>
              <w:rPr/>
            </w:pPr>
            <w:r>
              <w:rPr>
                <w:spacing w:val="-10"/>
              </w:rPr>
              <w:t>固废</w:t>
            </w:r>
          </w:p>
          <w:p>
            <w:pPr>
              <w:pStyle w:val="TableText"/>
              <w:ind w:left="221"/>
              <w:spacing w:before="59" w:line="229" w:lineRule="auto"/>
              <w:rPr/>
            </w:pPr>
            <w:r>
              <w:rPr>
                <w:spacing w:val="2"/>
              </w:rPr>
              <w:t>属性</w:t>
            </w:r>
          </w:p>
        </w:tc>
        <w:tc>
          <w:tcPr>
            <w:tcW w:w="1313" w:type="dxa"/>
            <w:vAlign w:val="top"/>
            <w:tcBorders>
              <w:top w:val="single" w:color="000000" w:sz="10" w:space="0"/>
            </w:tcBorders>
          </w:tcPr>
          <w:p>
            <w:pPr>
              <w:pStyle w:val="TableText"/>
              <w:ind w:left="269"/>
              <w:spacing w:before="210" w:line="232" w:lineRule="auto"/>
              <w:rPr/>
            </w:pPr>
            <w:r>
              <w:rPr/>
              <w:t>固废代码</w:t>
            </w:r>
          </w:p>
        </w:tc>
        <w:tc>
          <w:tcPr>
            <w:tcW w:w="841" w:type="dxa"/>
            <w:vAlign w:val="top"/>
            <w:tcBorders>
              <w:top w:val="single" w:color="000000" w:sz="10" w:space="0"/>
            </w:tcBorders>
          </w:tcPr>
          <w:p>
            <w:pPr>
              <w:pStyle w:val="TableText"/>
              <w:ind w:left="221"/>
              <w:spacing w:before="55" w:line="229" w:lineRule="auto"/>
              <w:rPr/>
            </w:pPr>
            <w:r>
              <w:rPr>
                <w:spacing w:val="1"/>
              </w:rPr>
              <w:t>物理</w:t>
            </w:r>
          </w:p>
          <w:p>
            <w:pPr>
              <w:pStyle w:val="TableText"/>
              <w:ind w:left="224"/>
              <w:spacing w:before="63" w:line="229" w:lineRule="auto"/>
              <w:rPr/>
            </w:pPr>
            <w:r>
              <w:rPr/>
              <w:t>性状</w:t>
            </w:r>
          </w:p>
        </w:tc>
        <w:tc>
          <w:tcPr>
            <w:tcW w:w="983" w:type="dxa"/>
            <w:vAlign w:val="top"/>
            <w:tcBorders>
              <w:top w:val="single" w:color="000000" w:sz="10" w:space="0"/>
            </w:tcBorders>
          </w:tcPr>
          <w:p>
            <w:pPr>
              <w:pStyle w:val="TableText"/>
              <w:ind w:left="400" w:right="176" w:hanging="209"/>
              <w:spacing w:before="54" w:line="261" w:lineRule="auto"/>
              <w:rPr/>
            </w:pPr>
            <w:r>
              <w:rPr>
                <w:spacing w:val="3"/>
              </w:rPr>
              <w:t>危险特</w:t>
            </w:r>
            <w:r>
              <w:rPr/>
              <w:t>性</w:t>
            </w:r>
          </w:p>
        </w:tc>
        <w:tc>
          <w:tcPr>
            <w:tcW w:w="841" w:type="dxa"/>
            <w:vAlign w:val="top"/>
            <w:tcBorders>
              <w:top w:val="single" w:color="000000" w:sz="10" w:space="0"/>
            </w:tcBorders>
          </w:tcPr>
          <w:p>
            <w:pPr>
              <w:pStyle w:val="TableText"/>
              <w:ind w:left="221"/>
              <w:spacing w:before="55" w:line="228" w:lineRule="auto"/>
              <w:rPr/>
            </w:pPr>
            <w:r>
              <w:rPr>
                <w:spacing w:val="1"/>
              </w:rPr>
              <w:t>贮存</w:t>
            </w:r>
          </w:p>
          <w:p>
            <w:pPr>
              <w:pStyle w:val="TableText"/>
              <w:ind w:left="225"/>
              <w:spacing w:before="64" w:line="232" w:lineRule="auto"/>
              <w:rPr/>
            </w:pPr>
            <w:r>
              <w:rPr>
                <w:spacing w:val="-1"/>
              </w:rPr>
              <w:t>方式</w:t>
            </w:r>
          </w:p>
        </w:tc>
        <w:tc>
          <w:tcPr>
            <w:tcW w:w="844" w:type="dxa"/>
            <w:vAlign w:val="top"/>
            <w:tcBorders>
              <w:top w:val="single" w:color="000000" w:sz="10" w:space="0"/>
              <w:right w:val="nil"/>
            </w:tcBorders>
          </w:tcPr>
          <w:p>
            <w:pPr>
              <w:pStyle w:val="TableText"/>
              <w:ind w:left="228"/>
              <w:spacing w:before="211" w:line="234" w:lineRule="auto"/>
              <w:rPr/>
            </w:pPr>
            <w:r>
              <w:rPr>
                <w:spacing w:val="-2"/>
              </w:rPr>
              <w:t>去向</w:t>
            </w:r>
          </w:p>
        </w:tc>
      </w:tr>
      <w:tr>
        <w:trPr>
          <w:trHeight w:val="1246" w:hRule="atLeast"/>
        </w:trPr>
        <w:tc>
          <w:tcPr>
            <w:tcW w:w="599" w:type="dxa"/>
            <w:vAlign w:val="top"/>
            <w:tcBorders>
              <w:left w:val="nil"/>
            </w:tcBorders>
          </w:tcPr>
          <w:p>
            <w:pPr>
              <w:spacing w:line="249" w:lineRule="auto"/>
              <w:rPr>
                <w:rFonts w:ascii="Arial"/>
                <w:sz w:val="21"/>
              </w:rPr>
            </w:pPr>
            <w:r/>
          </w:p>
          <w:p>
            <w:pPr>
              <w:spacing w:line="250" w:lineRule="auto"/>
              <w:rPr>
                <w:rFonts w:ascii="Arial"/>
                <w:sz w:val="21"/>
              </w:rPr>
            </w:pPr>
            <w:r/>
          </w:p>
          <w:p>
            <w:pPr>
              <w:ind w:left="27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6" w:type="dxa"/>
            <w:vAlign w:val="top"/>
          </w:tcPr>
          <w:p>
            <w:pPr>
              <w:spacing w:line="456" w:lineRule="auto"/>
              <w:rPr>
                <w:rFonts w:ascii="Arial"/>
                <w:sz w:val="21"/>
              </w:rPr>
            </w:pPr>
            <w:r/>
          </w:p>
          <w:p>
            <w:pPr>
              <w:pStyle w:val="TableText"/>
              <w:ind w:left="142"/>
              <w:spacing w:before="65" w:line="232" w:lineRule="auto"/>
              <w:rPr/>
            </w:pPr>
            <w:r>
              <w:rPr>
                <w:spacing w:val="2"/>
              </w:rPr>
              <w:t>生活垃圾</w:t>
            </w:r>
          </w:p>
        </w:tc>
        <w:tc>
          <w:tcPr>
            <w:tcW w:w="1184" w:type="dxa"/>
            <w:vAlign w:val="top"/>
          </w:tcPr>
          <w:p>
            <w:pPr>
              <w:spacing w:line="249" w:lineRule="auto"/>
              <w:rPr>
                <w:rFonts w:ascii="Arial"/>
                <w:sz w:val="21"/>
              </w:rPr>
            </w:pPr>
            <w:r/>
          </w:p>
          <w:p>
            <w:pPr>
              <w:spacing w:line="250" w:lineRule="auto"/>
              <w:rPr>
                <w:rFonts w:ascii="Arial"/>
                <w:sz w:val="21"/>
              </w:rPr>
            </w:pPr>
            <w:r/>
          </w:p>
          <w:p>
            <w:pPr>
              <w:ind w:left="37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17.55</w:t>
            </w:r>
          </w:p>
        </w:tc>
        <w:tc>
          <w:tcPr>
            <w:tcW w:w="841" w:type="dxa"/>
            <w:vAlign w:val="top"/>
          </w:tcPr>
          <w:p>
            <w:pPr>
              <w:spacing w:line="251" w:lineRule="auto"/>
              <w:rPr>
                <w:rFonts w:ascii="Arial"/>
                <w:sz w:val="21"/>
              </w:rPr>
            </w:pPr>
            <w:r/>
          </w:p>
          <w:p>
            <w:pPr>
              <w:spacing w:line="251" w:lineRule="auto"/>
              <w:rPr>
                <w:rFonts w:ascii="Arial"/>
                <w:sz w:val="21"/>
              </w:rPr>
            </w:pPr>
            <w:r/>
          </w:p>
          <w:p>
            <w:pPr>
              <w:ind w:left="35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313" w:type="dxa"/>
            <w:vAlign w:val="top"/>
          </w:tcPr>
          <w:p>
            <w:pPr>
              <w:pStyle w:val="TableText"/>
              <w:ind w:left="457" w:right="159" w:hanging="290"/>
              <w:spacing w:before="212" w:line="289" w:lineRule="auto"/>
              <w:rPr/>
            </w:pPr>
            <w:r>
              <w:rPr>
                <w:rFonts w:ascii="Times New Roman" w:hAnsi="Times New Roman" w:eastAsia="Times New Roman" w:cs="Times New Roman"/>
              </w:rPr>
              <w:t>SW</w:t>
            </w:r>
            <w:r>
              <w:rPr>
                <w:rFonts w:ascii="Times New Roman" w:hAnsi="Times New Roman" w:eastAsia="Times New Roman" w:cs="Times New Roman"/>
                <w:spacing w:val="2"/>
              </w:rPr>
              <w:t>64</w:t>
            </w:r>
            <w:r>
              <w:rPr>
                <w:rFonts w:ascii="Times New Roman" w:hAnsi="Times New Roman" w:eastAsia="Times New Roman" w:cs="Times New Roman"/>
                <w:spacing w:val="21"/>
                <w:w w:val="101"/>
              </w:rPr>
              <w:t xml:space="preserve"> </w:t>
            </w:r>
            <w:r>
              <w:rPr>
                <w:spacing w:val="2"/>
              </w:rPr>
              <w:t>其他</w:t>
            </w:r>
            <w:r>
              <w:rPr>
                <w:spacing w:val="2"/>
              </w:rPr>
              <w:t>垃圾</w:t>
            </w:r>
          </w:p>
          <w:p>
            <w:pPr>
              <w:ind w:left="114"/>
              <w:spacing w:before="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900-099-S64</w:t>
            </w:r>
          </w:p>
        </w:tc>
        <w:tc>
          <w:tcPr>
            <w:tcW w:w="841" w:type="dxa"/>
            <w:vAlign w:val="top"/>
          </w:tcPr>
          <w:p>
            <w:pPr>
              <w:spacing w:line="456" w:lineRule="auto"/>
              <w:rPr>
                <w:rFonts w:ascii="Arial"/>
                <w:sz w:val="21"/>
              </w:rPr>
            </w:pPr>
            <w:r/>
          </w:p>
          <w:p>
            <w:pPr>
              <w:pStyle w:val="TableText"/>
              <w:ind w:left="242"/>
              <w:spacing w:before="65" w:line="234" w:lineRule="auto"/>
              <w:rPr/>
            </w:pPr>
            <w:r>
              <w:rPr>
                <w:spacing w:val="-10"/>
              </w:rPr>
              <w:t>固态</w:t>
            </w:r>
          </w:p>
        </w:tc>
        <w:tc>
          <w:tcPr>
            <w:tcW w:w="983" w:type="dxa"/>
            <w:vAlign w:val="top"/>
          </w:tcPr>
          <w:p>
            <w:pPr>
              <w:spacing w:line="251" w:lineRule="auto"/>
              <w:rPr>
                <w:rFonts w:ascii="Arial"/>
                <w:sz w:val="21"/>
              </w:rPr>
            </w:pPr>
            <w:r/>
          </w:p>
          <w:p>
            <w:pPr>
              <w:spacing w:line="251" w:lineRule="auto"/>
              <w:rPr>
                <w:rFonts w:ascii="Arial"/>
                <w:sz w:val="21"/>
              </w:rPr>
            </w:pPr>
            <w:r/>
          </w:p>
          <w:p>
            <w:pPr>
              <w:ind w:left="42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841" w:type="dxa"/>
            <w:vAlign w:val="top"/>
          </w:tcPr>
          <w:p>
            <w:pPr>
              <w:pStyle w:val="TableText"/>
              <w:ind w:left="220"/>
              <w:spacing w:before="212" w:line="231" w:lineRule="auto"/>
              <w:rPr/>
            </w:pPr>
            <w:r>
              <w:rPr>
                <w:spacing w:val="2"/>
              </w:rPr>
              <w:t>桶密</w:t>
            </w:r>
          </w:p>
          <w:p>
            <w:pPr>
              <w:pStyle w:val="TableText"/>
              <w:ind w:left="241"/>
              <w:spacing w:before="62" w:line="230" w:lineRule="auto"/>
              <w:rPr/>
            </w:pPr>
            <w:r>
              <w:rPr>
                <w:spacing w:val="-9"/>
              </w:rPr>
              <w:t>闭收</w:t>
            </w:r>
          </w:p>
          <w:p>
            <w:pPr>
              <w:pStyle w:val="TableText"/>
              <w:ind w:left="327"/>
              <w:spacing w:before="62" w:line="230" w:lineRule="auto"/>
              <w:rPr/>
            </w:pPr>
            <w:r>
              <w:rPr/>
              <w:t>集</w:t>
            </w:r>
          </w:p>
        </w:tc>
        <w:tc>
          <w:tcPr>
            <w:tcW w:w="844" w:type="dxa"/>
            <w:vAlign w:val="top"/>
            <w:tcBorders>
              <w:right w:val="nil"/>
            </w:tcBorders>
          </w:tcPr>
          <w:p>
            <w:pPr>
              <w:pStyle w:val="TableText"/>
              <w:ind w:left="249"/>
              <w:spacing w:before="56" w:line="231" w:lineRule="auto"/>
              <w:rPr/>
            </w:pPr>
            <w:r>
              <w:rPr>
                <w:spacing w:val="-12"/>
              </w:rPr>
              <w:t>由环</w:t>
            </w:r>
          </w:p>
          <w:p>
            <w:pPr>
              <w:pStyle w:val="TableText"/>
              <w:ind w:left="225"/>
              <w:spacing w:before="61" w:line="231" w:lineRule="auto"/>
              <w:rPr/>
            </w:pPr>
            <w:r>
              <w:rPr/>
              <w:t>卫部</w:t>
            </w:r>
          </w:p>
          <w:p>
            <w:pPr>
              <w:pStyle w:val="TableText"/>
              <w:ind w:left="328" w:right="215" w:hanging="86"/>
              <w:spacing w:before="63" w:line="256" w:lineRule="auto"/>
              <w:rPr/>
            </w:pPr>
            <w:r>
              <w:rPr>
                <w:spacing w:val="-9"/>
              </w:rPr>
              <w:t>门处</w:t>
            </w:r>
            <w:r>
              <w:rPr/>
              <w:t>理</w:t>
            </w:r>
          </w:p>
        </w:tc>
      </w:tr>
      <w:tr>
        <w:trPr>
          <w:trHeight w:val="1556" w:hRule="atLeast"/>
        </w:trPr>
        <w:tc>
          <w:tcPr>
            <w:tcW w:w="599" w:type="dxa"/>
            <w:vAlign w:val="top"/>
            <w:tcBorders>
              <w:left w:val="nil"/>
            </w:tcBorders>
          </w:tcPr>
          <w:p>
            <w:pPr>
              <w:spacing w:line="330" w:lineRule="auto"/>
              <w:rPr>
                <w:rFonts w:ascii="Arial"/>
                <w:sz w:val="21"/>
              </w:rPr>
            </w:pPr>
            <w:r/>
          </w:p>
          <w:p>
            <w:pPr>
              <w:spacing w:line="331" w:lineRule="auto"/>
              <w:rPr>
                <w:rFonts w:ascii="Arial"/>
                <w:sz w:val="21"/>
              </w:rPr>
            </w:pPr>
            <w:r/>
          </w:p>
          <w:p>
            <w:pPr>
              <w:ind w:left="25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6" w:type="dxa"/>
            <w:vAlign w:val="top"/>
          </w:tcPr>
          <w:p>
            <w:pPr>
              <w:spacing w:line="308" w:lineRule="auto"/>
              <w:rPr>
                <w:rFonts w:ascii="Arial"/>
                <w:sz w:val="21"/>
              </w:rPr>
            </w:pPr>
            <w:r/>
          </w:p>
          <w:p>
            <w:pPr>
              <w:pStyle w:val="TableText"/>
              <w:ind w:left="183"/>
              <w:spacing w:before="65" w:line="232" w:lineRule="auto"/>
              <w:rPr/>
            </w:pPr>
            <w:r>
              <w:rPr/>
              <w:t>餐厨</w:t>
            </w:r>
            <w:r>
              <w:rPr>
                <w:spacing w:val="23"/>
              </w:rPr>
              <w:t xml:space="preserve"> </w:t>
            </w:r>
            <w:r>
              <w:rPr/>
              <w:t>垃</w:t>
            </w:r>
          </w:p>
          <w:p>
            <w:pPr>
              <w:pStyle w:val="TableText"/>
              <w:ind w:left="128"/>
              <w:spacing w:before="60" w:line="232" w:lineRule="auto"/>
              <w:rPr/>
            </w:pPr>
            <w:r>
              <w:rPr>
                <w:spacing w:val="6"/>
              </w:rPr>
              <w:t>圾（含废</w:t>
            </w:r>
          </w:p>
          <w:p>
            <w:pPr>
              <w:pStyle w:val="TableText"/>
              <w:ind w:left="238"/>
              <w:spacing w:before="59" w:line="232" w:lineRule="auto"/>
              <w:rPr/>
            </w:pPr>
            <w:r>
              <w:rPr>
                <w:spacing w:val="-1"/>
              </w:rPr>
              <w:t>油脂）</w:t>
            </w:r>
          </w:p>
        </w:tc>
        <w:tc>
          <w:tcPr>
            <w:tcW w:w="1184" w:type="dxa"/>
            <w:vAlign w:val="top"/>
          </w:tcPr>
          <w:p>
            <w:pPr>
              <w:spacing w:line="330" w:lineRule="auto"/>
              <w:rPr>
                <w:rFonts w:ascii="Arial"/>
                <w:sz w:val="21"/>
              </w:rPr>
            </w:pPr>
            <w:r/>
          </w:p>
          <w:p>
            <w:pPr>
              <w:spacing w:line="331" w:lineRule="auto"/>
              <w:rPr>
                <w:rFonts w:ascii="Arial"/>
                <w:sz w:val="21"/>
              </w:rPr>
            </w:pPr>
            <w:r/>
          </w:p>
          <w:p>
            <w:pPr>
              <w:ind w:left="37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10.53</w:t>
            </w:r>
          </w:p>
        </w:tc>
        <w:tc>
          <w:tcPr>
            <w:tcW w:w="841" w:type="dxa"/>
            <w:vAlign w:val="top"/>
          </w:tcPr>
          <w:p>
            <w:pPr>
              <w:spacing w:line="332" w:lineRule="auto"/>
              <w:rPr>
                <w:rFonts w:ascii="Arial"/>
                <w:sz w:val="21"/>
              </w:rPr>
            </w:pPr>
            <w:r/>
          </w:p>
          <w:p>
            <w:pPr>
              <w:spacing w:line="332" w:lineRule="auto"/>
              <w:rPr>
                <w:rFonts w:ascii="Arial"/>
                <w:sz w:val="21"/>
              </w:rPr>
            </w:pPr>
            <w:r/>
          </w:p>
          <w:p>
            <w:pPr>
              <w:ind w:left="35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313" w:type="dxa"/>
            <w:vAlign w:val="top"/>
          </w:tcPr>
          <w:p>
            <w:pPr>
              <w:spacing w:line="308" w:lineRule="auto"/>
              <w:rPr>
                <w:rFonts w:ascii="Arial"/>
                <w:sz w:val="21"/>
              </w:rPr>
            </w:pPr>
            <w:r/>
          </w:p>
          <w:p>
            <w:pPr>
              <w:pStyle w:val="TableText"/>
              <w:ind w:left="457" w:right="159" w:hanging="290"/>
              <w:spacing w:before="65" w:line="289" w:lineRule="auto"/>
              <w:rPr/>
            </w:pPr>
            <w:r>
              <w:rPr>
                <w:rFonts w:ascii="Times New Roman" w:hAnsi="Times New Roman" w:eastAsia="Times New Roman" w:cs="Times New Roman"/>
              </w:rPr>
              <w:t>SW</w:t>
            </w:r>
            <w:r>
              <w:rPr>
                <w:rFonts w:ascii="Times New Roman" w:hAnsi="Times New Roman" w:eastAsia="Times New Roman" w:cs="Times New Roman"/>
                <w:spacing w:val="2"/>
              </w:rPr>
              <w:t>61</w:t>
            </w:r>
            <w:r>
              <w:rPr>
                <w:rFonts w:ascii="Times New Roman" w:hAnsi="Times New Roman" w:eastAsia="Times New Roman" w:cs="Times New Roman"/>
                <w:spacing w:val="21"/>
                <w:w w:val="101"/>
              </w:rPr>
              <w:t xml:space="preserve"> </w:t>
            </w:r>
            <w:r>
              <w:rPr>
                <w:spacing w:val="2"/>
              </w:rPr>
              <w:t>餐厨</w:t>
            </w:r>
            <w:r>
              <w:rPr>
                <w:spacing w:val="2"/>
              </w:rPr>
              <w:t>垃圾</w:t>
            </w:r>
          </w:p>
          <w:p>
            <w:pPr>
              <w:ind w:left="114"/>
              <w:spacing w:before="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900-002-S61</w:t>
            </w:r>
          </w:p>
        </w:tc>
        <w:tc>
          <w:tcPr>
            <w:tcW w:w="841" w:type="dxa"/>
            <w:vAlign w:val="top"/>
          </w:tcPr>
          <w:p>
            <w:pPr>
              <w:spacing w:line="309" w:lineRule="auto"/>
              <w:rPr>
                <w:rFonts w:ascii="Arial"/>
                <w:sz w:val="21"/>
              </w:rPr>
            </w:pPr>
            <w:r/>
          </w:p>
          <w:p>
            <w:pPr>
              <w:spacing w:line="309" w:lineRule="auto"/>
              <w:rPr>
                <w:rFonts w:ascii="Arial"/>
                <w:sz w:val="21"/>
              </w:rPr>
            </w:pPr>
            <w:r/>
          </w:p>
          <w:p>
            <w:pPr>
              <w:pStyle w:val="TableText"/>
              <w:ind w:left="242"/>
              <w:spacing w:before="65" w:line="234" w:lineRule="auto"/>
              <w:rPr/>
            </w:pPr>
            <w:r>
              <w:rPr>
                <w:spacing w:val="-10"/>
              </w:rPr>
              <w:t>固态</w:t>
            </w:r>
          </w:p>
        </w:tc>
        <w:tc>
          <w:tcPr>
            <w:tcW w:w="983" w:type="dxa"/>
            <w:vAlign w:val="top"/>
          </w:tcPr>
          <w:p>
            <w:pPr>
              <w:spacing w:line="332" w:lineRule="auto"/>
              <w:rPr>
                <w:rFonts w:ascii="Arial"/>
                <w:sz w:val="21"/>
              </w:rPr>
            </w:pPr>
            <w:r/>
          </w:p>
          <w:p>
            <w:pPr>
              <w:spacing w:line="332" w:lineRule="auto"/>
              <w:rPr>
                <w:rFonts w:ascii="Arial"/>
                <w:sz w:val="21"/>
              </w:rPr>
            </w:pPr>
            <w:r/>
          </w:p>
          <w:p>
            <w:pPr>
              <w:ind w:left="42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841" w:type="dxa"/>
            <w:vAlign w:val="top"/>
          </w:tcPr>
          <w:p>
            <w:pPr>
              <w:spacing w:line="307" w:lineRule="auto"/>
              <w:rPr>
                <w:rFonts w:ascii="Arial"/>
                <w:sz w:val="21"/>
              </w:rPr>
            </w:pPr>
            <w:r/>
          </w:p>
          <w:p>
            <w:pPr>
              <w:pStyle w:val="TableText"/>
              <w:ind w:left="220"/>
              <w:spacing w:before="65" w:line="231" w:lineRule="auto"/>
              <w:rPr/>
            </w:pPr>
            <w:r>
              <w:rPr>
                <w:spacing w:val="2"/>
              </w:rPr>
              <w:t>桶密</w:t>
            </w:r>
          </w:p>
          <w:p>
            <w:pPr>
              <w:pStyle w:val="TableText"/>
              <w:ind w:left="241"/>
              <w:spacing w:before="62" w:line="230" w:lineRule="auto"/>
              <w:rPr/>
            </w:pPr>
            <w:r>
              <w:rPr>
                <w:spacing w:val="-9"/>
              </w:rPr>
              <w:t>闭收</w:t>
            </w:r>
          </w:p>
          <w:p>
            <w:pPr>
              <w:pStyle w:val="TableText"/>
              <w:ind w:left="327"/>
              <w:spacing w:before="62" w:line="230" w:lineRule="auto"/>
              <w:rPr/>
            </w:pPr>
            <w:r>
              <w:rPr/>
              <w:t>集</w:t>
            </w:r>
          </w:p>
        </w:tc>
        <w:tc>
          <w:tcPr>
            <w:tcW w:w="844" w:type="dxa"/>
            <w:vAlign w:val="top"/>
            <w:tcBorders>
              <w:right w:val="nil"/>
            </w:tcBorders>
          </w:tcPr>
          <w:p>
            <w:pPr>
              <w:pStyle w:val="TableText"/>
              <w:ind w:left="249"/>
              <w:spacing w:before="62" w:line="231" w:lineRule="auto"/>
              <w:rPr/>
            </w:pPr>
            <w:r>
              <w:rPr>
                <w:spacing w:val="-12"/>
              </w:rPr>
              <w:t>由有</w:t>
            </w:r>
          </w:p>
          <w:p>
            <w:pPr>
              <w:pStyle w:val="TableText"/>
              <w:ind w:left="232"/>
              <w:spacing w:before="62" w:line="232" w:lineRule="auto"/>
              <w:rPr/>
            </w:pPr>
            <w:r>
              <w:rPr>
                <w:spacing w:val="-4"/>
              </w:rPr>
              <w:t>资质</w:t>
            </w:r>
          </w:p>
          <w:p>
            <w:pPr>
              <w:pStyle w:val="TableText"/>
              <w:ind w:left="234"/>
              <w:spacing w:before="60" w:line="229" w:lineRule="auto"/>
              <w:rPr/>
            </w:pPr>
            <w:r>
              <w:rPr>
                <w:spacing w:val="-5"/>
              </w:rPr>
              <w:t>的单</w:t>
            </w:r>
          </w:p>
          <w:p>
            <w:pPr>
              <w:pStyle w:val="TableText"/>
              <w:ind w:left="328" w:right="215" w:hanging="106"/>
              <w:spacing w:before="62" w:line="253" w:lineRule="auto"/>
              <w:rPr/>
            </w:pPr>
            <w:r>
              <w:rPr>
                <w:spacing w:val="1"/>
              </w:rPr>
              <w:t>位处</w:t>
            </w:r>
            <w:r>
              <w:rPr/>
              <w:t>理</w:t>
            </w:r>
          </w:p>
        </w:tc>
      </w:tr>
      <w:tr>
        <w:trPr>
          <w:trHeight w:val="957" w:hRule="atLeast"/>
        </w:trPr>
        <w:tc>
          <w:tcPr>
            <w:tcW w:w="599" w:type="dxa"/>
            <w:vAlign w:val="top"/>
            <w:tcBorders>
              <w:bottom w:val="single" w:color="000000" w:sz="10" w:space="0"/>
              <w:left w:val="nil"/>
            </w:tcBorders>
          </w:tcPr>
          <w:p>
            <w:pPr>
              <w:spacing w:line="359" w:lineRule="auto"/>
              <w:rPr>
                <w:rFonts w:ascii="Arial"/>
                <w:sz w:val="21"/>
              </w:rPr>
            </w:pPr>
            <w:r/>
          </w:p>
          <w:p>
            <w:pPr>
              <w:ind w:left="25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6" w:type="dxa"/>
            <w:vAlign w:val="top"/>
            <w:tcBorders>
              <w:bottom w:val="single" w:color="000000" w:sz="10" w:space="0"/>
            </w:tcBorders>
          </w:tcPr>
          <w:p>
            <w:pPr>
              <w:spacing w:line="316" w:lineRule="auto"/>
              <w:rPr>
                <w:rFonts w:ascii="Arial"/>
                <w:sz w:val="21"/>
              </w:rPr>
            </w:pPr>
            <w:r/>
          </w:p>
          <w:p>
            <w:pPr>
              <w:pStyle w:val="TableText"/>
              <w:ind w:left="131"/>
              <w:spacing w:before="65" w:line="231" w:lineRule="auto"/>
              <w:rPr/>
            </w:pPr>
            <w:r>
              <w:rPr>
                <w:spacing w:val="5"/>
              </w:rPr>
              <w:t>采矿废石</w:t>
            </w:r>
          </w:p>
        </w:tc>
        <w:tc>
          <w:tcPr>
            <w:tcW w:w="1184" w:type="dxa"/>
            <w:vAlign w:val="top"/>
            <w:tcBorders>
              <w:bottom w:val="single" w:color="000000" w:sz="10" w:space="0"/>
            </w:tcBorders>
          </w:tcPr>
          <w:p>
            <w:pPr>
              <w:spacing w:line="316" w:lineRule="auto"/>
              <w:rPr>
                <w:rFonts w:ascii="Arial"/>
                <w:sz w:val="21"/>
              </w:rPr>
            </w:pPr>
            <w:r/>
          </w:p>
          <w:p>
            <w:pPr>
              <w:pStyle w:val="TableText"/>
              <w:ind w:left="298"/>
              <w:spacing w:before="65" w:line="234" w:lineRule="auto"/>
              <w:rPr/>
            </w:pPr>
            <w:r>
              <w:rPr>
                <w:rFonts w:ascii="Times New Roman" w:hAnsi="Times New Roman" w:eastAsia="Times New Roman" w:cs="Times New Roman"/>
                <w:spacing w:val="-2"/>
              </w:rPr>
              <w:t>1.08</w:t>
            </w:r>
            <w:r>
              <w:rPr>
                <w:rFonts w:ascii="Times New Roman" w:hAnsi="Times New Roman" w:eastAsia="Times New Roman" w:cs="Times New Roman"/>
                <w:spacing w:val="20"/>
              </w:rPr>
              <w:t xml:space="preserve"> </w:t>
            </w:r>
            <w:r>
              <w:rPr>
                <w:spacing w:val="-2"/>
              </w:rPr>
              <w:t>万</w:t>
            </w:r>
          </w:p>
        </w:tc>
        <w:tc>
          <w:tcPr>
            <w:tcW w:w="841" w:type="dxa"/>
            <w:vAlign w:val="top"/>
            <w:tcBorders>
              <w:bottom w:val="single" w:color="000000" w:sz="10" w:space="0"/>
            </w:tcBorders>
          </w:tcPr>
          <w:p>
            <w:pPr>
              <w:pStyle w:val="TableText"/>
              <w:ind w:left="225"/>
              <w:spacing w:before="71" w:line="233" w:lineRule="auto"/>
              <w:rPr/>
            </w:pPr>
            <w:r>
              <w:rPr/>
              <w:t>一般</w:t>
            </w:r>
          </w:p>
          <w:p>
            <w:pPr>
              <w:pStyle w:val="TableText"/>
              <w:ind w:left="226"/>
              <w:spacing w:before="59" w:line="242" w:lineRule="auto"/>
              <w:rPr/>
            </w:pPr>
            <w:r>
              <w:rPr>
                <w:spacing w:val="-1"/>
              </w:rPr>
              <w:t>工业</w:t>
            </w:r>
          </w:p>
          <w:p>
            <w:pPr>
              <w:pStyle w:val="TableText"/>
              <w:ind w:left="244"/>
              <w:spacing w:before="50" w:line="232" w:lineRule="auto"/>
              <w:rPr/>
            </w:pPr>
            <w:r>
              <w:rPr>
                <w:spacing w:val="-10"/>
              </w:rPr>
              <w:t>固废</w:t>
            </w:r>
          </w:p>
        </w:tc>
        <w:tc>
          <w:tcPr>
            <w:tcW w:w="1313" w:type="dxa"/>
            <w:vAlign w:val="top"/>
            <w:tcBorders>
              <w:bottom w:val="single" w:color="000000" w:sz="10" w:space="0"/>
            </w:tcBorders>
          </w:tcPr>
          <w:p>
            <w:pPr>
              <w:pStyle w:val="TableText"/>
              <w:ind w:left="167"/>
              <w:spacing w:before="71" w:line="230" w:lineRule="auto"/>
              <w:rPr/>
            </w:pPr>
            <w:r>
              <w:rPr>
                <w:rFonts w:ascii="Times New Roman" w:hAnsi="Times New Roman" w:eastAsia="Times New Roman" w:cs="Times New Roman"/>
              </w:rPr>
              <w:t>SW</w:t>
            </w:r>
            <w:r>
              <w:rPr>
                <w:rFonts w:ascii="Times New Roman" w:hAnsi="Times New Roman" w:eastAsia="Times New Roman" w:cs="Times New Roman"/>
                <w:spacing w:val="2"/>
              </w:rPr>
              <w:t>59</w:t>
            </w:r>
            <w:r>
              <w:rPr>
                <w:rFonts w:ascii="Times New Roman" w:hAnsi="Times New Roman" w:eastAsia="Times New Roman" w:cs="Times New Roman"/>
                <w:spacing w:val="21"/>
                <w:w w:val="101"/>
              </w:rPr>
              <w:t xml:space="preserve"> </w:t>
            </w:r>
            <w:r>
              <w:rPr>
                <w:spacing w:val="2"/>
              </w:rPr>
              <w:t>其他</w:t>
            </w:r>
          </w:p>
          <w:p>
            <w:pPr>
              <w:pStyle w:val="TableText"/>
              <w:ind w:left="146"/>
              <w:spacing w:before="62" w:line="231" w:lineRule="auto"/>
              <w:rPr/>
            </w:pPr>
            <w:r>
              <w:rPr>
                <w:spacing w:val="6"/>
              </w:rPr>
              <w:t>工业固体废</w:t>
            </w:r>
          </w:p>
          <w:p>
            <w:pPr>
              <w:pStyle w:val="TableText"/>
              <w:ind w:left="588"/>
              <w:spacing w:before="62" w:line="229" w:lineRule="auto"/>
              <w:rPr/>
            </w:pPr>
            <w:r>
              <w:rPr/>
              <w:t>物</w:t>
            </w:r>
          </w:p>
        </w:tc>
        <w:tc>
          <w:tcPr>
            <w:tcW w:w="841" w:type="dxa"/>
            <w:vAlign w:val="top"/>
            <w:tcBorders>
              <w:bottom w:val="single" w:color="000000" w:sz="10" w:space="0"/>
            </w:tcBorders>
          </w:tcPr>
          <w:p>
            <w:pPr>
              <w:spacing w:line="316" w:lineRule="auto"/>
              <w:rPr>
                <w:rFonts w:ascii="Arial"/>
                <w:sz w:val="21"/>
              </w:rPr>
            </w:pPr>
            <w:r/>
          </w:p>
          <w:p>
            <w:pPr>
              <w:pStyle w:val="TableText"/>
              <w:ind w:left="242"/>
              <w:spacing w:before="65" w:line="234" w:lineRule="auto"/>
              <w:rPr/>
            </w:pPr>
            <w:r>
              <w:rPr>
                <w:spacing w:val="-10"/>
              </w:rPr>
              <w:t>固态</w:t>
            </w:r>
          </w:p>
        </w:tc>
        <w:tc>
          <w:tcPr>
            <w:tcW w:w="983" w:type="dxa"/>
            <w:vAlign w:val="top"/>
            <w:tcBorders>
              <w:bottom w:val="single" w:color="000000" w:sz="10" w:space="0"/>
            </w:tcBorders>
          </w:tcPr>
          <w:p>
            <w:pPr>
              <w:spacing w:line="362" w:lineRule="auto"/>
              <w:rPr>
                <w:rFonts w:ascii="Arial"/>
                <w:sz w:val="21"/>
              </w:rPr>
            </w:pPr>
            <w:r/>
          </w:p>
          <w:p>
            <w:pPr>
              <w:ind w:left="428"/>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685" w:type="dxa"/>
            <w:vAlign w:val="top"/>
            <w:gridSpan w:val="2"/>
            <w:tcBorders>
              <w:bottom w:val="single" w:color="000000" w:sz="10" w:space="0"/>
              <w:right w:val="nil"/>
            </w:tcBorders>
          </w:tcPr>
          <w:p>
            <w:pPr>
              <w:pStyle w:val="TableText"/>
              <w:ind w:left="121" w:right="109" w:firstLine="101"/>
              <w:spacing w:before="72" w:line="269" w:lineRule="auto"/>
              <w:jc w:val="both"/>
              <w:rPr/>
            </w:pPr>
            <w:r>
              <w:rPr>
                <w:spacing w:val="7"/>
              </w:rPr>
              <w:t>初期废石暂存</w:t>
            </w:r>
            <w:r>
              <w:rPr>
                <w:spacing w:val="7"/>
              </w:rPr>
              <w:t>于废石堆场内，</w:t>
            </w:r>
            <w:r>
              <w:rPr>
                <w:spacing w:val="7"/>
              </w:rPr>
              <w:t>后期不出坑，直</w:t>
            </w:r>
          </w:p>
        </w:tc>
      </w:tr>
    </w:tbl>
    <w:p>
      <w:pPr>
        <w:pStyle w:val="BodyText"/>
        <w:spacing w:line="146" w:lineRule="exact"/>
        <w:rPr>
          <w:sz w:val="12"/>
        </w:rPr>
      </w:pPr>
      <w:r/>
    </w:p>
    <w:p>
      <w:pPr>
        <w:spacing w:line="146" w:lineRule="exact"/>
        <w:sectPr>
          <w:footerReference w:type="default" r:id="rId309"/>
          <w:pgSz w:w="11906" w:h="16839"/>
          <w:pgMar w:top="400" w:right="1691" w:bottom="1358" w:left="1691" w:header="0" w:footer="1195" w:gutter="0"/>
        </w:sectPr>
        <w:rPr>
          <w:sz w:val="12"/>
          <w:szCs w:val="12"/>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9"/>
        <w:gridCol w:w="1076"/>
        <w:gridCol w:w="1184"/>
        <w:gridCol w:w="841"/>
        <w:gridCol w:w="1313"/>
        <w:gridCol w:w="841"/>
        <w:gridCol w:w="983"/>
        <w:gridCol w:w="841"/>
        <w:gridCol w:w="844"/>
      </w:tblGrid>
      <w:tr>
        <w:trPr>
          <w:trHeight w:val="612" w:hRule="atLeast"/>
        </w:trPr>
        <w:tc>
          <w:tcPr>
            <w:tcW w:w="599" w:type="dxa"/>
            <w:vAlign w:val="top"/>
            <w:tcBorders>
              <w:top w:val="single" w:color="000000" w:sz="10" w:space="0"/>
              <w:left w:val="nil"/>
            </w:tcBorders>
          </w:tcPr>
          <w:p>
            <w:pPr>
              <w:rPr>
                <w:rFonts w:ascii="Arial"/>
                <w:sz w:val="21"/>
              </w:rPr>
            </w:pPr>
            <w:r/>
          </w:p>
        </w:tc>
        <w:tc>
          <w:tcPr>
            <w:tcW w:w="1076" w:type="dxa"/>
            <w:vAlign w:val="top"/>
            <w:tcBorders>
              <w:top w:val="single" w:color="000000" w:sz="10" w:space="0"/>
            </w:tcBorders>
          </w:tcPr>
          <w:p>
            <w:pPr>
              <w:rPr>
                <w:rFonts w:ascii="Arial"/>
                <w:sz w:val="21"/>
              </w:rPr>
            </w:pPr>
            <w:r/>
          </w:p>
        </w:tc>
        <w:tc>
          <w:tcPr>
            <w:tcW w:w="1184" w:type="dxa"/>
            <w:vAlign w:val="top"/>
            <w:tcBorders>
              <w:top w:val="single" w:color="000000" w:sz="10" w:space="0"/>
            </w:tcBorders>
          </w:tcPr>
          <w:p>
            <w:pPr>
              <w:rPr>
                <w:rFonts w:ascii="Arial"/>
                <w:sz w:val="21"/>
              </w:rPr>
            </w:pPr>
            <w:r/>
          </w:p>
        </w:tc>
        <w:tc>
          <w:tcPr>
            <w:tcW w:w="841" w:type="dxa"/>
            <w:vAlign w:val="top"/>
            <w:vMerge w:val="restart"/>
            <w:tcBorders>
              <w:top w:val="single" w:color="000000" w:sz="10" w:space="0"/>
              <w:bottom w:val="nil"/>
            </w:tcBorders>
          </w:tcPr>
          <w:p>
            <w:pPr>
              <w:rPr>
                <w:rFonts w:ascii="Arial"/>
                <w:sz w:val="21"/>
              </w:rPr>
            </w:pPr>
            <w:r/>
          </w:p>
        </w:tc>
        <w:tc>
          <w:tcPr>
            <w:tcW w:w="1313" w:type="dxa"/>
            <w:vAlign w:val="top"/>
            <w:tcBorders>
              <w:top w:val="single" w:color="000000" w:sz="10" w:space="0"/>
            </w:tcBorders>
          </w:tcPr>
          <w:p>
            <w:pPr>
              <w:ind w:left="114"/>
              <w:spacing w:before="72" w:line="195" w:lineRule="auto"/>
              <w:rPr>
                <w:rFonts w:ascii="Times New Roman" w:hAnsi="Times New Roman" w:eastAsia="Times New Roman" w:cs="Times New Roman"/>
                <w:sz w:val="20"/>
                <w:szCs w:val="20"/>
              </w:rPr>
            </w:pPr>
            <w:bookmarkStart w:name="bookmark597" w:id="405"/>
            <w:bookmarkEnd w:id="405"/>
            <w:r>
              <w:rPr>
                <w:rFonts w:ascii="Times New Roman" w:hAnsi="Times New Roman" w:eastAsia="Times New Roman" w:cs="Times New Roman"/>
                <w:sz w:val="20"/>
                <w:szCs w:val="20"/>
                <w:spacing w:val="3"/>
              </w:rPr>
              <w:t>900-099-S59</w:t>
            </w:r>
          </w:p>
        </w:tc>
        <w:tc>
          <w:tcPr>
            <w:tcW w:w="841" w:type="dxa"/>
            <w:vAlign w:val="top"/>
            <w:tcBorders>
              <w:top w:val="single" w:color="000000" w:sz="10" w:space="0"/>
            </w:tcBorders>
          </w:tcPr>
          <w:p>
            <w:pPr>
              <w:rPr>
                <w:rFonts w:ascii="Arial"/>
                <w:sz w:val="21"/>
              </w:rPr>
            </w:pPr>
            <w:r/>
          </w:p>
        </w:tc>
        <w:tc>
          <w:tcPr>
            <w:tcW w:w="983" w:type="dxa"/>
            <w:vAlign w:val="top"/>
            <w:tcBorders>
              <w:top w:val="single" w:color="000000" w:sz="10" w:space="0"/>
            </w:tcBorders>
          </w:tcPr>
          <w:p>
            <w:pPr>
              <w:rPr>
                <w:rFonts w:ascii="Arial"/>
                <w:sz w:val="21"/>
              </w:rPr>
            </w:pPr>
            <w:r/>
          </w:p>
        </w:tc>
        <w:tc>
          <w:tcPr>
            <w:tcW w:w="1685" w:type="dxa"/>
            <w:vAlign w:val="top"/>
            <w:gridSpan w:val="2"/>
            <w:tcBorders>
              <w:top w:val="single" w:color="000000" w:sz="10" w:space="0"/>
              <w:right w:val="nil"/>
            </w:tcBorders>
          </w:tcPr>
          <w:p>
            <w:pPr>
              <w:pStyle w:val="TableText"/>
              <w:ind w:left="653" w:right="215" w:hanging="430"/>
              <w:spacing w:before="36" w:line="261" w:lineRule="auto"/>
              <w:rPr/>
            </w:pPr>
            <w:r>
              <w:rPr>
                <w:spacing w:val="7"/>
              </w:rPr>
              <w:t>接充填至井下</w:t>
            </w:r>
            <w:r>
              <w:rPr>
                <w:spacing w:val="-4"/>
              </w:rPr>
              <w:t>空区</w:t>
            </w:r>
          </w:p>
        </w:tc>
      </w:tr>
      <w:tr>
        <w:trPr>
          <w:trHeight w:val="627" w:hRule="atLeast"/>
        </w:trPr>
        <w:tc>
          <w:tcPr>
            <w:tcW w:w="599" w:type="dxa"/>
            <w:vAlign w:val="top"/>
            <w:tcBorders>
              <w:left w:val="nil"/>
            </w:tcBorders>
          </w:tcPr>
          <w:p>
            <w:pPr>
              <w:ind w:left="250"/>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76" w:type="dxa"/>
            <w:vAlign w:val="top"/>
          </w:tcPr>
          <w:p>
            <w:pPr>
              <w:pStyle w:val="TableText"/>
              <w:ind w:left="342"/>
              <w:spacing w:before="208" w:line="234" w:lineRule="auto"/>
              <w:rPr/>
            </w:pPr>
            <w:r>
              <w:rPr>
                <w:spacing w:val="-1"/>
              </w:rPr>
              <w:t>污泥</w:t>
            </w:r>
          </w:p>
        </w:tc>
        <w:tc>
          <w:tcPr>
            <w:tcW w:w="1184" w:type="dxa"/>
            <w:vAlign w:val="top"/>
          </w:tcPr>
          <w:p>
            <w:pPr>
              <w:ind w:left="361"/>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63.09</w:t>
            </w:r>
          </w:p>
        </w:tc>
        <w:tc>
          <w:tcPr>
            <w:tcW w:w="841" w:type="dxa"/>
            <w:vAlign w:val="top"/>
            <w:vMerge w:val="continue"/>
            <w:tcBorders>
              <w:top w:val="nil"/>
              <w:bottom w:val="nil"/>
            </w:tcBorders>
          </w:tcPr>
          <w:p>
            <w:pPr>
              <w:rPr>
                <w:rFonts w:ascii="Arial"/>
                <w:sz w:val="21"/>
              </w:rPr>
            </w:pPr>
            <w:r/>
          </w:p>
        </w:tc>
        <w:tc>
          <w:tcPr>
            <w:tcW w:w="1313" w:type="dxa"/>
            <w:vAlign w:val="top"/>
          </w:tcPr>
          <w:p>
            <w:pPr>
              <w:pStyle w:val="TableText"/>
              <w:ind w:left="167"/>
              <w:spacing w:before="52" w:line="234" w:lineRule="auto"/>
              <w:rPr/>
            </w:pPr>
            <w:r>
              <w:rPr>
                <w:rFonts w:ascii="Times New Roman" w:hAnsi="Times New Roman" w:eastAsia="Times New Roman" w:cs="Times New Roman"/>
              </w:rPr>
              <w:t>SW</w:t>
            </w:r>
            <w:r>
              <w:rPr>
                <w:rFonts w:ascii="Times New Roman" w:hAnsi="Times New Roman" w:eastAsia="Times New Roman" w:cs="Times New Roman"/>
                <w:spacing w:val="2"/>
              </w:rPr>
              <w:t>07</w:t>
            </w:r>
            <w:r>
              <w:rPr>
                <w:rFonts w:ascii="Times New Roman" w:hAnsi="Times New Roman" w:eastAsia="Times New Roman" w:cs="Times New Roman"/>
                <w:spacing w:val="24"/>
              </w:rPr>
              <w:t xml:space="preserve"> </w:t>
            </w:r>
            <w:r>
              <w:rPr>
                <w:spacing w:val="2"/>
              </w:rPr>
              <w:t>污泥</w:t>
            </w:r>
          </w:p>
          <w:p>
            <w:pPr>
              <w:ind w:left="11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900-099-S07</w:t>
            </w:r>
          </w:p>
        </w:tc>
        <w:tc>
          <w:tcPr>
            <w:tcW w:w="841" w:type="dxa"/>
            <w:vAlign w:val="top"/>
          </w:tcPr>
          <w:p>
            <w:pPr>
              <w:pStyle w:val="TableText"/>
              <w:ind w:left="242"/>
              <w:spacing w:before="209" w:line="234" w:lineRule="auto"/>
              <w:rPr/>
            </w:pPr>
            <w:r>
              <w:rPr>
                <w:spacing w:val="-10"/>
              </w:rPr>
              <w:t>固态</w:t>
            </w:r>
          </w:p>
        </w:tc>
        <w:tc>
          <w:tcPr>
            <w:tcW w:w="983" w:type="dxa"/>
            <w:vAlign w:val="top"/>
          </w:tcPr>
          <w:p>
            <w:pPr>
              <w:ind w:left="444"/>
              <w:spacing w:before="2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85" w:type="dxa"/>
            <w:vAlign w:val="top"/>
            <w:gridSpan w:val="2"/>
            <w:tcBorders>
              <w:right w:val="nil"/>
            </w:tcBorders>
          </w:tcPr>
          <w:p>
            <w:pPr>
              <w:pStyle w:val="TableText"/>
              <w:ind w:left="333" w:right="215" w:hanging="110"/>
              <w:spacing w:before="53" w:line="260" w:lineRule="auto"/>
              <w:rPr/>
            </w:pPr>
            <w:r>
              <w:rPr>
                <w:spacing w:val="7"/>
              </w:rPr>
              <w:t>直接返回选矿</w:t>
            </w:r>
            <w:r>
              <w:rPr>
                <w:spacing w:val="6"/>
              </w:rPr>
              <w:t>工序作原料</w:t>
            </w:r>
          </w:p>
        </w:tc>
      </w:tr>
      <w:tr>
        <w:trPr>
          <w:trHeight w:val="1872" w:hRule="atLeast"/>
        </w:trPr>
        <w:tc>
          <w:tcPr>
            <w:tcW w:w="599" w:type="dxa"/>
            <w:vAlign w:val="top"/>
            <w:tcBorders>
              <w:left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257"/>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76"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40"/>
              <w:spacing w:before="65" w:line="232" w:lineRule="auto"/>
              <w:rPr/>
            </w:pPr>
            <w:r>
              <w:rPr>
                <w:spacing w:val="1"/>
              </w:rPr>
              <w:t>尾矿</w:t>
            </w:r>
          </w:p>
        </w:tc>
        <w:tc>
          <w:tcPr>
            <w:tcW w:w="118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29"/>
              <w:spacing w:before="65" w:line="234" w:lineRule="auto"/>
              <w:rPr/>
            </w:pPr>
            <w:r>
              <w:rPr>
                <w:rFonts w:ascii="Times New Roman" w:hAnsi="Times New Roman" w:eastAsia="Times New Roman" w:cs="Times New Roman"/>
                <w:spacing w:val="2"/>
              </w:rPr>
              <w:t>6.249</w:t>
            </w:r>
            <w:r>
              <w:rPr>
                <w:rFonts w:ascii="Times New Roman" w:hAnsi="Times New Roman" w:eastAsia="Times New Roman" w:cs="Times New Roman"/>
                <w:spacing w:val="19"/>
              </w:rPr>
              <w:t xml:space="preserve"> </w:t>
            </w:r>
            <w:r>
              <w:rPr>
                <w:spacing w:val="2"/>
              </w:rPr>
              <w:t>万</w:t>
            </w:r>
          </w:p>
        </w:tc>
        <w:tc>
          <w:tcPr>
            <w:tcW w:w="841" w:type="dxa"/>
            <w:vAlign w:val="top"/>
            <w:vMerge w:val="continue"/>
            <w:tcBorders>
              <w:top w:val="nil"/>
              <w:bottom w:val="nil"/>
            </w:tcBorders>
          </w:tcPr>
          <w:p>
            <w:pPr>
              <w:rPr>
                <w:rFonts w:ascii="Arial"/>
                <w:sz w:val="21"/>
              </w:rPr>
            </w:pPr>
            <w:r/>
          </w:p>
        </w:tc>
        <w:tc>
          <w:tcPr>
            <w:tcW w:w="1313" w:type="dxa"/>
            <w:vAlign w:val="top"/>
          </w:tcPr>
          <w:p>
            <w:pPr>
              <w:spacing w:line="305" w:lineRule="auto"/>
              <w:rPr>
                <w:rFonts w:ascii="Arial"/>
                <w:sz w:val="21"/>
              </w:rPr>
            </w:pPr>
            <w:r/>
          </w:p>
          <w:p>
            <w:pPr>
              <w:spacing w:line="305" w:lineRule="auto"/>
              <w:rPr>
                <w:rFonts w:ascii="Arial"/>
                <w:sz w:val="21"/>
              </w:rPr>
            </w:pPr>
            <w:r/>
          </w:p>
          <w:p>
            <w:pPr>
              <w:pStyle w:val="TableText"/>
              <w:ind w:left="167"/>
              <w:spacing w:before="65" w:line="232" w:lineRule="auto"/>
              <w:rPr/>
            </w:pPr>
            <w:r>
              <w:rPr>
                <w:rFonts w:ascii="Times New Roman" w:hAnsi="Times New Roman" w:eastAsia="Times New Roman" w:cs="Times New Roman"/>
              </w:rPr>
              <w:t>SW</w:t>
            </w:r>
            <w:r>
              <w:rPr>
                <w:rFonts w:ascii="Times New Roman" w:hAnsi="Times New Roman" w:eastAsia="Times New Roman" w:cs="Times New Roman"/>
                <w:spacing w:val="3"/>
              </w:rPr>
              <w:t>05</w:t>
            </w:r>
            <w:r>
              <w:rPr>
                <w:rFonts w:ascii="Times New Roman" w:hAnsi="Times New Roman" w:eastAsia="Times New Roman" w:cs="Times New Roman"/>
                <w:spacing w:val="20"/>
              </w:rPr>
              <w:t xml:space="preserve"> </w:t>
            </w:r>
            <w:r>
              <w:rPr>
                <w:spacing w:val="3"/>
              </w:rPr>
              <w:t>尾矿</w:t>
            </w:r>
          </w:p>
          <w:p>
            <w:pPr>
              <w:ind w:left="11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081-001-S05</w:t>
            </w:r>
          </w:p>
        </w:tc>
        <w:tc>
          <w:tcPr>
            <w:tcW w:w="841"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42"/>
              <w:spacing w:before="65" w:line="234" w:lineRule="auto"/>
              <w:rPr/>
            </w:pPr>
            <w:r>
              <w:rPr>
                <w:spacing w:val="-10"/>
              </w:rPr>
              <w:t>固态</w:t>
            </w:r>
          </w:p>
        </w:tc>
        <w:tc>
          <w:tcPr>
            <w:tcW w:w="983"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428"/>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685" w:type="dxa"/>
            <w:vAlign w:val="top"/>
            <w:gridSpan w:val="2"/>
            <w:tcBorders>
              <w:right w:val="nil"/>
            </w:tcBorders>
          </w:tcPr>
          <w:p>
            <w:pPr>
              <w:pStyle w:val="TableText"/>
              <w:ind w:left="228"/>
              <w:spacing w:before="54" w:line="228" w:lineRule="auto"/>
              <w:rPr/>
            </w:pPr>
            <w:r>
              <w:rPr>
                <w:spacing w:val="6"/>
              </w:rPr>
              <w:t>暂存于尾矿临</w:t>
            </w:r>
          </w:p>
          <w:p>
            <w:pPr>
              <w:pStyle w:val="TableText"/>
              <w:ind w:left="134"/>
              <w:spacing w:before="65" w:line="229" w:lineRule="auto"/>
              <w:rPr/>
            </w:pPr>
            <w:r>
              <w:rPr>
                <w:spacing w:val="5"/>
              </w:rPr>
              <w:t>时堆场，优先回</w:t>
            </w:r>
          </w:p>
          <w:p>
            <w:pPr>
              <w:pStyle w:val="TableText"/>
              <w:ind w:left="121"/>
              <w:spacing w:before="63" w:line="231" w:lineRule="auto"/>
              <w:rPr/>
            </w:pPr>
            <w:r>
              <w:rPr>
                <w:spacing w:val="6"/>
              </w:rPr>
              <w:t>填井下采空区，</w:t>
            </w:r>
          </w:p>
          <w:p>
            <w:pPr>
              <w:pStyle w:val="TableText"/>
              <w:ind w:left="223"/>
              <w:spacing w:before="61" w:line="231" w:lineRule="auto"/>
              <w:rPr/>
            </w:pPr>
            <w:r>
              <w:rPr>
                <w:spacing w:val="7"/>
              </w:rPr>
              <w:t>剩余外剩余外</w:t>
            </w:r>
          </w:p>
          <w:p>
            <w:pPr>
              <w:pStyle w:val="TableText"/>
              <w:ind w:left="234"/>
              <w:spacing w:before="62" w:line="229" w:lineRule="auto"/>
              <w:rPr/>
            </w:pPr>
            <w:r>
              <w:rPr>
                <w:spacing w:val="5"/>
              </w:rPr>
              <w:t>售建材生产企</w:t>
            </w:r>
          </w:p>
          <w:p>
            <w:pPr>
              <w:pStyle w:val="TableText"/>
              <w:ind w:left="328"/>
              <w:spacing w:before="64" w:line="228" w:lineRule="auto"/>
              <w:rPr/>
            </w:pPr>
            <w:r>
              <w:rPr>
                <w:spacing w:val="7"/>
              </w:rPr>
              <w:t>业生产建材</w:t>
            </w:r>
          </w:p>
        </w:tc>
      </w:tr>
      <w:tr>
        <w:trPr>
          <w:trHeight w:val="1250" w:hRule="atLeast"/>
        </w:trPr>
        <w:tc>
          <w:tcPr>
            <w:tcW w:w="599" w:type="dxa"/>
            <w:vAlign w:val="top"/>
            <w:tcBorders>
              <w:left w:val="nil"/>
            </w:tcBorders>
          </w:tcPr>
          <w:p>
            <w:pPr>
              <w:spacing w:line="251" w:lineRule="auto"/>
              <w:rPr>
                <w:rFonts w:ascii="Arial"/>
                <w:sz w:val="21"/>
              </w:rPr>
            </w:pPr>
            <w:r/>
          </w:p>
          <w:p>
            <w:pPr>
              <w:spacing w:line="251" w:lineRule="auto"/>
              <w:rPr>
                <w:rFonts w:ascii="Arial"/>
                <w:sz w:val="21"/>
              </w:rPr>
            </w:pPr>
            <w:r/>
          </w:p>
          <w:p>
            <w:pPr>
              <w:ind w:left="25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6" w:type="dxa"/>
            <w:vAlign w:val="top"/>
          </w:tcPr>
          <w:p>
            <w:pPr>
              <w:spacing w:line="305" w:lineRule="auto"/>
              <w:rPr>
                <w:rFonts w:ascii="Arial"/>
                <w:sz w:val="21"/>
              </w:rPr>
            </w:pPr>
            <w:r/>
          </w:p>
          <w:p>
            <w:pPr>
              <w:pStyle w:val="TableText"/>
              <w:ind w:left="445" w:right="117" w:hanging="314"/>
              <w:spacing w:before="65" w:line="289" w:lineRule="auto"/>
              <w:rPr/>
            </w:pPr>
            <w:r>
              <w:rPr>
                <w:spacing w:val="5"/>
              </w:rPr>
              <w:t>布袋除尘</w:t>
            </w:r>
            <w:r>
              <w:rPr/>
              <w:t>灰</w:t>
            </w:r>
          </w:p>
        </w:tc>
        <w:tc>
          <w:tcPr>
            <w:tcW w:w="1184" w:type="dxa"/>
            <w:vAlign w:val="top"/>
          </w:tcPr>
          <w:p>
            <w:pPr>
              <w:spacing w:line="251" w:lineRule="auto"/>
              <w:rPr>
                <w:rFonts w:ascii="Arial"/>
                <w:sz w:val="21"/>
              </w:rPr>
            </w:pPr>
            <w:r/>
          </w:p>
          <w:p>
            <w:pPr>
              <w:spacing w:line="251" w:lineRule="auto"/>
              <w:rPr>
                <w:rFonts w:ascii="Arial"/>
                <w:sz w:val="21"/>
              </w:rPr>
            </w:pPr>
            <w:r/>
          </w:p>
          <w:p>
            <w:pPr>
              <w:ind w:left="3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73.454</w:t>
            </w:r>
          </w:p>
        </w:tc>
        <w:tc>
          <w:tcPr>
            <w:tcW w:w="841" w:type="dxa"/>
            <w:vAlign w:val="top"/>
            <w:vMerge w:val="continue"/>
            <w:tcBorders>
              <w:top w:val="nil"/>
              <w:bottom w:val="nil"/>
            </w:tcBorders>
          </w:tcPr>
          <w:p>
            <w:pPr>
              <w:rPr>
                <w:rFonts w:ascii="Arial"/>
                <w:sz w:val="21"/>
              </w:rPr>
            </w:pPr>
            <w:r/>
          </w:p>
        </w:tc>
        <w:tc>
          <w:tcPr>
            <w:tcW w:w="1313" w:type="dxa"/>
            <w:vAlign w:val="top"/>
          </w:tcPr>
          <w:p>
            <w:pPr>
              <w:pStyle w:val="TableText"/>
              <w:ind w:left="167"/>
              <w:spacing w:before="59" w:line="230" w:lineRule="auto"/>
              <w:rPr/>
            </w:pPr>
            <w:r>
              <w:rPr>
                <w:rFonts w:ascii="Times New Roman" w:hAnsi="Times New Roman" w:eastAsia="Times New Roman" w:cs="Times New Roman"/>
              </w:rPr>
              <w:t>SW</w:t>
            </w:r>
            <w:r>
              <w:rPr>
                <w:rFonts w:ascii="Times New Roman" w:hAnsi="Times New Roman" w:eastAsia="Times New Roman" w:cs="Times New Roman"/>
                <w:spacing w:val="2"/>
              </w:rPr>
              <w:t>59</w:t>
            </w:r>
            <w:r>
              <w:rPr>
                <w:rFonts w:ascii="Times New Roman" w:hAnsi="Times New Roman" w:eastAsia="Times New Roman" w:cs="Times New Roman"/>
                <w:spacing w:val="21"/>
                <w:w w:val="101"/>
              </w:rPr>
              <w:t xml:space="preserve"> </w:t>
            </w:r>
            <w:r>
              <w:rPr>
                <w:spacing w:val="2"/>
              </w:rPr>
              <w:t>其他</w:t>
            </w:r>
          </w:p>
          <w:p>
            <w:pPr>
              <w:pStyle w:val="TableText"/>
              <w:ind w:left="146"/>
              <w:spacing w:before="62" w:line="231" w:lineRule="auto"/>
              <w:rPr/>
            </w:pPr>
            <w:r>
              <w:rPr>
                <w:spacing w:val="6"/>
              </w:rPr>
              <w:t>工业固体废</w:t>
            </w:r>
          </w:p>
          <w:p>
            <w:pPr>
              <w:pStyle w:val="TableText"/>
              <w:ind w:left="588"/>
              <w:spacing w:before="62" w:line="229" w:lineRule="auto"/>
              <w:rPr/>
            </w:pPr>
            <w:r>
              <w:rPr/>
              <w:t>物</w:t>
            </w:r>
          </w:p>
          <w:p>
            <w:pPr>
              <w:ind w:left="11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900-099-S59</w:t>
            </w:r>
          </w:p>
        </w:tc>
        <w:tc>
          <w:tcPr>
            <w:tcW w:w="841" w:type="dxa"/>
            <w:vAlign w:val="top"/>
          </w:tcPr>
          <w:p>
            <w:pPr>
              <w:spacing w:line="459" w:lineRule="auto"/>
              <w:rPr>
                <w:rFonts w:ascii="Arial"/>
                <w:sz w:val="21"/>
              </w:rPr>
            </w:pPr>
            <w:r/>
          </w:p>
          <w:p>
            <w:pPr>
              <w:pStyle w:val="TableText"/>
              <w:ind w:left="242"/>
              <w:spacing w:before="65" w:line="234" w:lineRule="auto"/>
              <w:rPr/>
            </w:pPr>
            <w:r>
              <w:rPr>
                <w:spacing w:val="-10"/>
              </w:rPr>
              <w:t>固态</w:t>
            </w:r>
          </w:p>
        </w:tc>
        <w:tc>
          <w:tcPr>
            <w:tcW w:w="983" w:type="dxa"/>
            <w:vAlign w:val="top"/>
          </w:tcPr>
          <w:p>
            <w:pPr>
              <w:spacing w:line="252" w:lineRule="auto"/>
              <w:rPr>
                <w:rFonts w:ascii="Arial"/>
                <w:sz w:val="21"/>
              </w:rPr>
            </w:pPr>
            <w:r/>
          </w:p>
          <w:p>
            <w:pPr>
              <w:spacing w:line="253" w:lineRule="auto"/>
              <w:rPr>
                <w:rFonts w:ascii="Arial"/>
                <w:sz w:val="21"/>
              </w:rPr>
            </w:pPr>
            <w:r/>
          </w:p>
          <w:p>
            <w:pPr>
              <w:ind w:left="42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685" w:type="dxa"/>
            <w:vAlign w:val="top"/>
            <w:gridSpan w:val="2"/>
            <w:tcBorders>
              <w:right w:val="nil"/>
            </w:tcBorders>
          </w:tcPr>
          <w:p>
            <w:pPr>
              <w:spacing w:line="304" w:lineRule="auto"/>
              <w:rPr>
                <w:rFonts w:ascii="Arial"/>
                <w:sz w:val="21"/>
              </w:rPr>
            </w:pPr>
            <w:r/>
          </w:p>
          <w:p>
            <w:pPr>
              <w:pStyle w:val="TableText"/>
              <w:ind w:left="333" w:right="215" w:hanging="105"/>
              <w:spacing w:before="65" w:line="287" w:lineRule="auto"/>
              <w:rPr/>
            </w:pPr>
            <w:r>
              <w:rPr>
                <w:spacing w:val="6"/>
              </w:rPr>
              <w:t>全部返回磨浮</w:t>
            </w:r>
            <w:r>
              <w:rPr>
                <w:spacing w:val="6"/>
              </w:rPr>
              <w:t>工序作原料</w:t>
            </w:r>
          </w:p>
        </w:tc>
      </w:tr>
      <w:tr>
        <w:trPr>
          <w:trHeight w:val="1250" w:hRule="atLeast"/>
        </w:trPr>
        <w:tc>
          <w:tcPr>
            <w:tcW w:w="599" w:type="dxa"/>
            <w:vAlign w:val="top"/>
            <w:tcBorders>
              <w:left w:val="nil"/>
            </w:tcBorders>
          </w:tcPr>
          <w:p>
            <w:pPr>
              <w:spacing w:line="255" w:lineRule="auto"/>
              <w:rPr>
                <w:rFonts w:ascii="Arial"/>
                <w:sz w:val="21"/>
              </w:rPr>
            </w:pPr>
            <w:r/>
          </w:p>
          <w:p>
            <w:pPr>
              <w:spacing w:line="255" w:lineRule="auto"/>
              <w:rPr>
                <w:rFonts w:ascii="Arial"/>
                <w:sz w:val="21"/>
              </w:rPr>
            </w:pPr>
            <w:r/>
          </w:p>
          <w:p>
            <w:pPr>
              <w:ind w:left="254"/>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76" w:type="dxa"/>
            <w:vAlign w:val="top"/>
          </w:tcPr>
          <w:p>
            <w:pPr>
              <w:spacing w:line="464" w:lineRule="auto"/>
              <w:rPr>
                <w:rFonts w:ascii="Arial"/>
                <w:sz w:val="21"/>
              </w:rPr>
            </w:pPr>
            <w:r/>
          </w:p>
          <w:p>
            <w:pPr>
              <w:pStyle w:val="TableText"/>
              <w:ind w:left="235"/>
              <w:spacing w:before="65" w:line="229" w:lineRule="auto"/>
              <w:rPr/>
            </w:pPr>
            <w:r>
              <w:rPr>
                <w:spacing w:val="4"/>
              </w:rPr>
              <w:t>废布袋</w:t>
            </w:r>
          </w:p>
        </w:tc>
        <w:tc>
          <w:tcPr>
            <w:tcW w:w="1184" w:type="dxa"/>
            <w:vAlign w:val="top"/>
          </w:tcPr>
          <w:p>
            <w:pPr>
              <w:spacing w:line="253" w:lineRule="auto"/>
              <w:rPr>
                <w:rFonts w:ascii="Arial"/>
                <w:sz w:val="21"/>
              </w:rPr>
            </w:pPr>
            <w:r/>
          </w:p>
          <w:p>
            <w:pPr>
              <w:spacing w:line="254" w:lineRule="auto"/>
              <w:rPr>
                <w:rFonts w:ascii="Arial"/>
                <w:sz w:val="21"/>
              </w:rPr>
            </w:pPr>
            <w:r/>
          </w:p>
          <w:p>
            <w:pPr>
              <w:ind w:left="41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6.54</w:t>
            </w:r>
          </w:p>
        </w:tc>
        <w:tc>
          <w:tcPr>
            <w:tcW w:w="841" w:type="dxa"/>
            <w:vAlign w:val="top"/>
            <w:vMerge w:val="continue"/>
            <w:tcBorders>
              <w:top w:val="nil"/>
            </w:tcBorders>
          </w:tcPr>
          <w:p>
            <w:pPr>
              <w:rPr>
                <w:rFonts w:ascii="Arial"/>
                <w:sz w:val="21"/>
              </w:rPr>
            </w:pPr>
            <w:r/>
          </w:p>
        </w:tc>
        <w:tc>
          <w:tcPr>
            <w:tcW w:w="1313" w:type="dxa"/>
            <w:vAlign w:val="top"/>
          </w:tcPr>
          <w:p>
            <w:pPr>
              <w:pStyle w:val="TableText"/>
              <w:ind w:left="167"/>
              <w:spacing w:before="64" w:line="230" w:lineRule="auto"/>
              <w:rPr/>
            </w:pPr>
            <w:r>
              <w:rPr>
                <w:rFonts w:ascii="Times New Roman" w:hAnsi="Times New Roman" w:eastAsia="Times New Roman" w:cs="Times New Roman"/>
              </w:rPr>
              <w:t>SW</w:t>
            </w:r>
            <w:r>
              <w:rPr>
                <w:rFonts w:ascii="Times New Roman" w:hAnsi="Times New Roman" w:eastAsia="Times New Roman" w:cs="Times New Roman"/>
                <w:spacing w:val="2"/>
              </w:rPr>
              <w:t>59</w:t>
            </w:r>
            <w:r>
              <w:rPr>
                <w:rFonts w:ascii="Times New Roman" w:hAnsi="Times New Roman" w:eastAsia="Times New Roman" w:cs="Times New Roman"/>
                <w:spacing w:val="21"/>
                <w:w w:val="101"/>
              </w:rPr>
              <w:t xml:space="preserve"> </w:t>
            </w:r>
            <w:r>
              <w:rPr>
                <w:spacing w:val="2"/>
              </w:rPr>
              <w:t>其他</w:t>
            </w:r>
          </w:p>
          <w:p>
            <w:pPr>
              <w:pStyle w:val="TableText"/>
              <w:ind w:left="146"/>
              <w:spacing w:before="62" w:line="231" w:lineRule="auto"/>
              <w:rPr/>
            </w:pPr>
            <w:r>
              <w:rPr>
                <w:spacing w:val="6"/>
              </w:rPr>
              <w:t>工业固体废</w:t>
            </w:r>
          </w:p>
          <w:p>
            <w:pPr>
              <w:pStyle w:val="TableText"/>
              <w:ind w:left="588"/>
              <w:spacing w:before="62" w:line="229" w:lineRule="auto"/>
              <w:rPr/>
            </w:pPr>
            <w:r>
              <w:rPr/>
              <w:t>物</w:t>
            </w:r>
          </w:p>
          <w:p>
            <w:pPr>
              <w:ind w:left="11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900-009-S59</w:t>
            </w:r>
          </w:p>
        </w:tc>
        <w:tc>
          <w:tcPr>
            <w:tcW w:w="841" w:type="dxa"/>
            <w:vAlign w:val="top"/>
          </w:tcPr>
          <w:p>
            <w:pPr>
              <w:spacing w:line="464" w:lineRule="auto"/>
              <w:rPr>
                <w:rFonts w:ascii="Arial"/>
                <w:sz w:val="21"/>
              </w:rPr>
            </w:pPr>
            <w:r/>
          </w:p>
          <w:p>
            <w:pPr>
              <w:pStyle w:val="TableText"/>
              <w:ind w:left="242"/>
              <w:spacing w:before="65" w:line="234" w:lineRule="auto"/>
              <w:rPr/>
            </w:pPr>
            <w:r>
              <w:rPr>
                <w:spacing w:val="-10"/>
              </w:rPr>
              <w:t>固态</w:t>
            </w:r>
          </w:p>
        </w:tc>
        <w:tc>
          <w:tcPr>
            <w:tcW w:w="983" w:type="dxa"/>
            <w:vAlign w:val="top"/>
          </w:tcPr>
          <w:p>
            <w:pPr>
              <w:spacing w:line="255" w:lineRule="auto"/>
              <w:rPr>
                <w:rFonts w:ascii="Arial"/>
                <w:sz w:val="21"/>
              </w:rPr>
            </w:pPr>
            <w:r/>
          </w:p>
          <w:p>
            <w:pPr>
              <w:spacing w:line="255" w:lineRule="auto"/>
              <w:rPr>
                <w:rFonts w:ascii="Arial"/>
                <w:sz w:val="21"/>
              </w:rPr>
            </w:pPr>
            <w:r/>
          </w:p>
          <w:p>
            <w:pPr>
              <w:ind w:left="42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685" w:type="dxa"/>
            <w:vAlign w:val="top"/>
            <w:gridSpan w:val="2"/>
            <w:tcBorders>
              <w:right w:val="nil"/>
            </w:tcBorders>
          </w:tcPr>
          <w:p>
            <w:pPr>
              <w:spacing w:line="308" w:lineRule="auto"/>
              <w:rPr>
                <w:rFonts w:ascii="Arial"/>
                <w:sz w:val="21"/>
              </w:rPr>
            </w:pPr>
            <w:r/>
          </w:p>
          <w:p>
            <w:pPr>
              <w:pStyle w:val="TableText"/>
              <w:ind w:left="643" w:right="215" w:hanging="415"/>
              <w:spacing w:before="65" w:line="292" w:lineRule="auto"/>
              <w:rPr/>
            </w:pPr>
            <w:r>
              <w:rPr>
                <w:spacing w:val="6"/>
              </w:rPr>
              <w:t>交由厂家回收</w:t>
            </w:r>
            <w:r>
              <w:rPr>
                <w:spacing w:val="1"/>
              </w:rPr>
              <w:t>处理</w:t>
            </w:r>
          </w:p>
        </w:tc>
      </w:tr>
      <w:tr>
        <w:trPr>
          <w:trHeight w:val="938" w:hRule="atLeast"/>
        </w:trPr>
        <w:tc>
          <w:tcPr>
            <w:tcW w:w="599" w:type="dxa"/>
            <w:vAlign w:val="top"/>
            <w:tcBorders>
              <w:left w:val="nil"/>
            </w:tcBorders>
          </w:tcPr>
          <w:p>
            <w:pPr>
              <w:spacing w:line="355" w:lineRule="auto"/>
              <w:rPr>
                <w:rFonts w:ascii="Arial"/>
                <w:sz w:val="21"/>
              </w:rPr>
            </w:pPr>
            <w:r/>
          </w:p>
          <w:p>
            <w:pPr>
              <w:ind w:left="25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6" w:type="dxa"/>
            <w:vAlign w:val="top"/>
          </w:tcPr>
          <w:p>
            <w:pPr>
              <w:spacing w:line="311" w:lineRule="auto"/>
              <w:rPr>
                <w:rFonts w:ascii="Arial"/>
                <w:sz w:val="21"/>
              </w:rPr>
            </w:pPr>
            <w:r/>
          </w:p>
          <w:p>
            <w:pPr>
              <w:pStyle w:val="TableText"/>
              <w:ind w:left="235"/>
              <w:spacing w:before="65" w:line="231" w:lineRule="auto"/>
              <w:rPr/>
            </w:pPr>
            <w:r>
              <w:rPr>
                <w:spacing w:val="4"/>
              </w:rPr>
              <w:t>废机油</w:t>
            </w:r>
          </w:p>
        </w:tc>
        <w:tc>
          <w:tcPr>
            <w:tcW w:w="1184" w:type="dxa"/>
            <w:vAlign w:val="top"/>
          </w:tcPr>
          <w:p>
            <w:pPr>
              <w:spacing w:line="355" w:lineRule="auto"/>
              <w:rPr>
                <w:rFonts w:ascii="Arial"/>
                <w:sz w:val="21"/>
              </w:rPr>
            </w:pPr>
            <w:r/>
          </w:p>
          <w:p>
            <w:pPr>
              <w:ind w:left="46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841"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24" w:right="210" w:firstLine="2"/>
              <w:spacing w:before="65" w:line="288" w:lineRule="auto"/>
              <w:rPr/>
            </w:pPr>
            <w:r>
              <w:rPr>
                <w:spacing w:val="-1"/>
              </w:rPr>
              <w:t>危险</w:t>
            </w:r>
            <w:r>
              <w:rPr/>
              <w:t>废物</w:t>
            </w:r>
          </w:p>
        </w:tc>
        <w:tc>
          <w:tcPr>
            <w:tcW w:w="1313" w:type="dxa"/>
            <w:vAlign w:val="top"/>
            <w:vMerge w:val="restart"/>
            <w:tcBorders>
              <w:bottom w:val="nil"/>
            </w:tcBorders>
          </w:tcPr>
          <w:p>
            <w:pPr>
              <w:pStyle w:val="TableText"/>
              <w:ind w:left="141"/>
              <w:spacing w:before="151" w:line="232" w:lineRule="auto"/>
              <w:rPr/>
            </w:pPr>
            <w:r>
              <w:rPr>
                <w:rFonts w:ascii="Times New Roman" w:hAnsi="Times New Roman" w:eastAsia="Times New Roman" w:cs="Times New Roman"/>
              </w:rPr>
              <w:t>HW</w:t>
            </w:r>
            <w:r>
              <w:rPr>
                <w:rFonts w:ascii="Times New Roman" w:hAnsi="Times New Roman" w:eastAsia="Times New Roman" w:cs="Times New Roman"/>
                <w:spacing w:val="5"/>
              </w:rPr>
              <w:t>08</w:t>
            </w:r>
            <w:r>
              <w:rPr>
                <w:rFonts w:ascii="Times New Roman" w:hAnsi="Times New Roman" w:eastAsia="Times New Roman" w:cs="Times New Roman"/>
                <w:spacing w:val="22"/>
              </w:rPr>
              <w:t xml:space="preserve"> </w:t>
            </w:r>
            <w:r>
              <w:rPr>
                <w:spacing w:val="5"/>
              </w:rPr>
              <w:t>废矿</w:t>
            </w:r>
          </w:p>
          <w:p>
            <w:pPr>
              <w:pStyle w:val="TableText"/>
              <w:ind w:left="142"/>
              <w:spacing w:before="60" w:line="229" w:lineRule="auto"/>
              <w:rPr/>
            </w:pPr>
            <w:r>
              <w:rPr>
                <w:spacing w:val="6"/>
              </w:rPr>
              <w:t>物油与含矿</w:t>
            </w:r>
          </w:p>
          <w:p>
            <w:pPr>
              <w:pStyle w:val="TableText"/>
              <w:ind w:left="248"/>
              <w:spacing w:before="63" w:line="229" w:lineRule="auto"/>
              <w:rPr/>
            </w:pPr>
            <w:r>
              <w:rPr>
                <w:spacing w:val="5"/>
              </w:rPr>
              <w:t>物油废物</w:t>
            </w:r>
          </w:p>
          <w:p>
            <w:pPr>
              <w:ind w:left="17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900-249-08</w:t>
            </w:r>
          </w:p>
        </w:tc>
        <w:tc>
          <w:tcPr>
            <w:tcW w:w="841" w:type="dxa"/>
            <w:vAlign w:val="top"/>
          </w:tcPr>
          <w:p>
            <w:pPr>
              <w:spacing w:line="311" w:lineRule="auto"/>
              <w:rPr>
                <w:rFonts w:ascii="Arial"/>
                <w:sz w:val="21"/>
              </w:rPr>
            </w:pPr>
            <w:r/>
          </w:p>
          <w:p>
            <w:pPr>
              <w:pStyle w:val="TableText"/>
              <w:ind w:left="221"/>
              <w:spacing w:before="65" w:line="232" w:lineRule="auto"/>
              <w:rPr/>
            </w:pPr>
            <w:r>
              <w:rPr>
                <w:spacing w:val="1"/>
              </w:rPr>
              <w:t>液态</w:t>
            </w:r>
          </w:p>
        </w:tc>
        <w:tc>
          <w:tcPr>
            <w:tcW w:w="983" w:type="dxa"/>
            <w:vAlign w:val="top"/>
          </w:tcPr>
          <w:p>
            <w:pPr>
              <w:spacing w:line="358" w:lineRule="auto"/>
              <w:rPr>
                <w:rFonts w:ascii="Arial"/>
                <w:sz w:val="21"/>
              </w:rPr>
            </w:pPr>
            <w:r/>
          </w:p>
          <w:p>
            <w:pPr>
              <w:ind w:left="377"/>
              <w:spacing w:before="5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T,I</w:t>
            </w:r>
          </w:p>
        </w:tc>
        <w:tc>
          <w:tcPr>
            <w:tcW w:w="841" w:type="dxa"/>
            <w:vAlign w:val="top"/>
          </w:tcPr>
          <w:p>
            <w:pPr>
              <w:pStyle w:val="TableText"/>
              <w:ind w:left="231"/>
              <w:spacing w:before="66" w:line="230" w:lineRule="auto"/>
              <w:rPr/>
            </w:pPr>
            <w:r>
              <w:rPr>
                <w:spacing w:val="-4"/>
              </w:rPr>
              <w:t>密闭</w:t>
            </w:r>
          </w:p>
          <w:p>
            <w:pPr>
              <w:pStyle w:val="TableText"/>
              <w:ind w:left="223"/>
              <w:spacing w:before="62" w:line="232" w:lineRule="auto"/>
              <w:rPr/>
            </w:pPr>
            <w:r>
              <w:rPr/>
              <w:t>容器</w:t>
            </w:r>
          </w:p>
          <w:p>
            <w:pPr>
              <w:pStyle w:val="TableText"/>
              <w:ind w:left="232"/>
              <w:spacing w:before="60" w:line="219" w:lineRule="auto"/>
              <w:rPr/>
            </w:pPr>
            <w:r>
              <w:rPr>
                <w:spacing w:val="-4"/>
              </w:rPr>
              <w:t>收集</w:t>
            </w:r>
          </w:p>
        </w:tc>
        <w:tc>
          <w:tcPr>
            <w:tcW w:w="844" w:type="dxa"/>
            <w:vAlign w:val="top"/>
            <w:vMerge w:val="restart"/>
            <w:tcBorders>
              <w:bottom w:val="nil"/>
              <w:right w:val="nil"/>
            </w:tcBorders>
          </w:tcPr>
          <w:p>
            <w:pPr>
              <w:pStyle w:val="TableText"/>
              <w:ind w:left="222"/>
              <w:spacing w:before="66" w:line="230" w:lineRule="auto"/>
              <w:rPr/>
            </w:pPr>
            <w:r>
              <w:rPr>
                <w:spacing w:val="1"/>
              </w:rPr>
              <w:t>集中</w:t>
            </w:r>
          </w:p>
          <w:p>
            <w:pPr>
              <w:pStyle w:val="TableText"/>
              <w:ind w:left="233"/>
              <w:spacing w:before="62" w:line="230" w:lineRule="auto"/>
              <w:rPr/>
            </w:pPr>
            <w:r>
              <w:rPr>
                <w:spacing w:val="-4"/>
              </w:rPr>
              <w:t>收集</w:t>
            </w:r>
          </w:p>
          <w:p>
            <w:pPr>
              <w:pStyle w:val="TableText"/>
              <w:ind w:left="223"/>
              <w:spacing w:before="62" w:line="231" w:lineRule="auto"/>
              <w:rPr/>
            </w:pPr>
            <w:r>
              <w:rPr>
                <w:spacing w:val="1"/>
              </w:rPr>
              <w:t>后暂</w:t>
            </w:r>
          </w:p>
          <w:p>
            <w:pPr>
              <w:pStyle w:val="TableText"/>
              <w:ind w:left="225"/>
              <w:spacing w:before="62" w:line="228" w:lineRule="auto"/>
              <w:rPr/>
            </w:pPr>
            <w:r>
              <w:rPr/>
              <w:t>存于</w:t>
            </w:r>
          </w:p>
          <w:p>
            <w:pPr>
              <w:pStyle w:val="TableText"/>
              <w:ind w:left="227"/>
              <w:spacing w:before="65" w:line="232" w:lineRule="auto"/>
              <w:rPr/>
            </w:pPr>
            <w:r>
              <w:rPr>
                <w:spacing w:val="-1"/>
              </w:rPr>
              <w:t>危险</w:t>
            </w:r>
          </w:p>
          <w:p>
            <w:pPr>
              <w:pStyle w:val="TableText"/>
              <w:ind w:left="224"/>
              <w:spacing w:before="61" w:line="229" w:lineRule="auto"/>
              <w:rPr/>
            </w:pPr>
            <w:r>
              <w:rPr/>
              <w:t>废物</w:t>
            </w:r>
          </w:p>
          <w:p>
            <w:pPr>
              <w:pStyle w:val="TableText"/>
              <w:ind w:left="130" w:right="155" w:firstLine="92"/>
              <w:spacing w:before="63" w:line="288" w:lineRule="auto"/>
              <w:jc w:val="both"/>
              <w:rPr/>
            </w:pPr>
            <w:r>
              <w:rPr>
                <w:spacing w:val="1"/>
              </w:rPr>
              <w:t>贮存</w:t>
            </w:r>
            <w:r>
              <w:rPr>
                <w:spacing w:val="-15"/>
              </w:rPr>
              <w:t>点内，</w:t>
            </w:r>
            <w:r>
              <w:rPr>
                <w:spacing w:val="47"/>
              </w:rPr>
              <w:t>定期</w:t>
            </w:r>
          </w:p>
          <w:p>
            <w:pPr>
              <w:pStyle w:val="TableText"/>
              <w:ind w:left="227"/>
              <w:spacing w:before="1" w:line="230" w:lineRule="auto"/>
              <w:rPr/>
            </w:pPr>
            <w:r>
              <w:rPr>
                <w:spacing w:val="-1"/>
              </w:rPr>
              <w:t>交有</w:t>
            </w:r>
          </w:p>
          <w:p>
            <w:pPr>
              <w:pStyle w:val="TableText"/>
              <w:ind w:left="232"/>
              <w:spacing w:before="62" w:line="232" w:lineRule="auto"/>
              <w:rPr/>
            </w:pPr>
            <w:r>
              <w:rPr>
                <w:spacing w:val="-4"/>
              </w:rPr>
              <w:t>资质</w:t>
            </w:r>
          </w:p>
          <w:p>
            <w:pPr>
              <w:pStyle w:val="TableText"/>
              <w:ind w:left="226"/>
              <w:spacing w:before="61" w:line="229" w:lineRule="auto"/>
              <w:rPr/>
            </w:pPr>
            <w:r>
              <w:rPr>
                <w:spacing w:val="-1"/>
              </w:rPr>
              <w:t>单位</w:t>
            </w:r>
          </w:p>
          <w:p>
            <w:pPr>
              <w:pStyle w:val="TableText"/>
              <w:ind w:left="222"/>
              <w:spacing w:before="63" w:line="234" w:lineRule="auto"/>
              <w:rPr/>
            </w:pPr>
            <w:r>
              <w:rPr>
                <w:spacing w:val="1"/>
              </w:rPr>
              <w:t>处理</w:t>
            </w:r>
          </w:p>
        </w:tc>
      </w:tr>
      <w:tr>
        <w:trPr>
          <w:trHeight w:val="474" w:hRule="atLeast"/>
        </w:trPr>
        <w:tc>
          <w:tcPr>
            <w:tcW w:w="599" w:type="dxa"/>
            <w:vAlign w:val="top"/>
            <w:tcBorders>
              <w:left w:val="nil"/>
            </w:tcBorders>
          </w:tcPr>
          <w:p>
            <w:pPr>
              <w:ind w:left="255"/>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76" w:type="dxa"/>
            <w:vAlign w:val="top"/>
          </w:tcPr>
          <w:p>
            <w:pPr>
              <w:pStyle w:val="TableText"/>
              <w:ind w:left="235"/>
              <w:spacing w:before="148" w:line="231" w:lineRule="auto"/>
              <w:rPr/>
            </w:pPr>
            <w:r>
              <w:rPr>
                <w:spacing w:val="4"/>
              </w:rPr>
              <w:t>废油桶</w:t>
            </w:r>
          </w:p>
        </w:tc>
        <w:tc>
          <w:tcPr>
            <w:tcW w:w="1184" w:type="dxa"/>
            <w:vAlign w:val="top"/>
          </w:tcPr>
          <w:p>
            <w:pPr>
              <w:ind w:left="466"/>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0.3</w:t>
            </w:r>
          </w:p>
        </w:tc>
        <w:tc>
          <w:tcPr>
            <w:tcW w:w="841" w:type="dxa"/>
            <w:vAlign w:val="top"/>
            <w:vMerge w:val="continue"/>
            <w:tcBorders>
              <w:bottom w:val="nil"/>
              <w:top w:val="nil"/>
            </w:tcBorders>
          </w:tcPr>
          <w:p>
            <w:pPr>
              <w:rPr>
                <w:rFonts w:ascii="Arial"/>
                <w:sz w:val="21"/>
              </w:rPr>
            </w:pPr>
            <w:r/>
          </w:p>
        </w:tc>
        <w:tc>
          <w:tcPr>
            <w:tcW w:w="1313" w:type="dxa"/>
            <w:vAlign w:val="top"/>
            <w:vMerge w:val="continue"/>
            <w:tcBorders>
              <w:top w:val="nil"/>
            </w:tcBorders>
          </w:tcPr>
          <w:p>
            <w:pPr>
              <w:rPr>
                <w:rFonts w:ascii="Arial"/>
                <w:sz w:val="21"/>
              </w:rPr>
            </w:pPr>
            <w:r/>
          </w:p>
        </w:tc>
        <w:tc>
          <w:tcPr>
            <w:tcW w:w="841" w:type="dxa"/>
            <w:vAlign w:val="top"/>
          </w:tcPr>
          <w:p>
            <w:pPr>
              <w:pStyle w:val="TableText"/>
              <w:ind w:left="242"/>
              <w:spacing w:before="149" w:line="234" w:lineRule="auto"/>
              <w:rPr/>
            </w:pPr>
            <w:r>
              <w:rPr>
                <w:spacing w:val="-10"/>
              </w:rPr>
              <w:t>固态</w:t>
            </w:r>
          </w:p>
        </w:tc>
        <w:tc>
          <w:tcPr>
            <w:tcW w:w="983" w:type="dxa"/>
            <w:vAlign w:val="top"/>
          </w:tcPr>
          <w:p>
            <w:pPr>
              <w:ind w:left="377"/>
              <w:spacing w:before="18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T,I</w:t>
            </w:r>
          </w:p>
        </w:tc>
        <w:tc>
          <w:tcPr>
            <w:tcW w:w="841"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25" w:right="211" w:firstLine="5"/>
              <w:spacing w:before="65" w:line="288" w:lineRule="auto"/>
              <w:jc w:val="both"/>
              <w:rPr/>
            </w:pPr>
            <w:r>
              <w:rPr>
                <w:spacing w:val="-4"/>
              </w:rPr>
              <w:t>密闭</w:t>
            </w:r>
            <w:r>
              <w:rPr>
                <w:spacing w:val="-1"/>
              </w:rPr>
              <w:t>袋装</w:t>
            </w:r>
            <w:r>
              <w:rPr>
                <w:spacing w:val="-1"/>
              </w:rPr>
              <w:t>收集</w:t>
            </w:r>
          </w:p>
        </w:tc>
        <w:tc>
          <w:tcPr>
            <w:tcW w:w="844" w:type="dxa"/>
            <w:vAlign w:val="top"/>
            <w:vMerge w:val="continue"/>
            <w:tcBorders>
              <w:bottom w:val="nil"/>
              <w:right w:val="nil"/>
              <w:top w:val="nil"/>
            </w:tcBorders>
          </w:tcPr>
          <w:p>
            <w:pPr>
              <w:rPr>
                <w:rFonts w:ascii="Arial"/>
                <w:sz w:val="21"/>
              </w:rPr>
            </w:pPr>
            <w:r/>
          </w:p>
        </w:tc>
      </w:tr>
      <w:tr>
        <w:trPr>
          <w:trHeight w:val="2652" w:hRule="atLeast"/>
        </w:trPr>
        <w:tc>
          <w:tcPr>
            <w:tcW w:w="599" w:type="dxa"/>
            <w:vAlign w:val="top"/>
            <w:tcBorders>
              <w:bottom w:val="single" w:color="000000" w:sz="10" w:space="0"/>
              <w:left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21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76" w:type="dxa"/>
            <w:vAlign w:val="top"/>
            <w:tcBorders>
              <w:bottom w:val="single" w:color="000000" w:sz="10" w:space="0"/>
            </w:tcBorders>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131"/>
              <w:spacing w:before="65" w:line="229" w:lineRule="auto"/>
              <w:rPr/>
            </w:pPr>
            <w:r>
              <w:rPr>
                <w:spacing w:val="5"/>
              </w:rPr>
              <w:t>含油抹布</w:t>
            </w:r>
          </w:p>
          <w:p>
            <w:pPr>
              <w:pStyle w:val="TableText"/>
              <w:ind w:left="132"/>
              <w:spacing w:before="64" w:line="229" w:lineRule="auto"/>
              <w:rPr/>
            </w:pPr>
            <w:r>
              <w:rPr>
                <w:spacing w:val="5"/>
              </w:rPr>
              <w:t>及劳保用</w:t>
            </w:r>
          </w:p>
          <w:p>
            <w:pPr>
              <w:pStyle w:val="TableText"/>
              <w:ind w:left="467"/>
              <w:spacing w:before="63" w:line="264" w:lineRule="exact"/>
              <w:rPr/>
            </w:pPr>
            <w:r>
              <w:rPr>
                <w:position w:val="1"/>
              </w:rPr>
              <w:t>品</w:t>
            </w:r>
          </w:p>
        </w:tc>
        <w:tc>
          <w:tcPr>
            <w:tcW w:w="1184" w:type="dxa"/>
            <w:vAlign w:val="top"/>
            <w:tcBorders>
              <w:bottom w:val="single" w:color="000000" w:sz="10"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left="46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841" w:type="dxa"/>
            <w:vAlign w:val="top"/>
            <w:vMerge w:val="continue"/>
            <w:tcBorders>
              <w:bottom w:val="single" w:color="000000" w:sz="10" w:space="0"/>
              <w:top w:val="nil"/>
            </w:tcBorders>
          </w:tcPr>
          <w:p>
            <w:pPr>
              <w:rPr>
                <w:rFonts w:ascii="Arial"/>
                <w:sz w:val="21"/>
              </w:rPr>
            </w:pPr>
            <w:r/>
          </w:p>
        </w:tc>
        <w:tc>
          <w:tcPr>
            <w:tcW w:w="1313" w:type="dxa"/>
            <w:vAlign w:val="top"/>
            <w:tcBorders>
              <w:bottom w:val="single" w:color="000000" w:sz="10" w:space="0"/>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458" w:right="140" w:hanging="317"/>
              <w:spacing w:before="65" w:line="288" w:lineRule="auto"/>
              <w:rPr/>
            </w:pPr>
            <w:r>
              <w:rPr>
                <w:rFonts w:ascii="Times New Roman" w:hAnsi="Times New Roman" w:eastAsia="Times New Roman" w:cs="Times New Roman"/>
              </w:rPr>
              <w:t>HW</w:t>
            </w:r>
            <w:r>
              <w:rPr>
                <w:rFonts w:ascii="Times New Roman" w:hAnsi="Times New Roman" w:eastAsia="Times New Roman" w:cs="Times New Roman"/>
                <w:spacing w:val="5"/>
              </w:rPr>
              <w:t>49</w:t>
            </w:r>
            <w:r>
              <w:rPr>
                <w:rFonts w:ascii="Times New Roman" w:hAnsi="Times New Roman" w:eastAsia="Times New Roman" w:cs="Times New Roman"/>
                <w:spacing w:val="22"/>
              </w:rPr>
              <w:t xml:space="preserve"> </w:t>
            </w:r>
            <w:r>
              <w:rPr>
                <w:spacing w:val="5"/>
              </w:rPr>
              <w:t>其他</w:t>
            </w:r>
            <w:r>
              <w:rPr>
                <w:spacing w:val="1"/>
              </w:rPr>
              <w:t>废物</w:t>
            </w:r>
          </w:p>
          <w:p>
            <w:pPr>
              <w:ind w:left="172"/>
              <w:spacing w:before="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900-041-49</w:t>
            </w:r>
          </w:p>
        </w:tc>
        <w:tc>
          <w:tcPr>
            <w:tcW w:w="841" w:type="dxa"/>
            <w:vAlign w:val="top"/>
            <w:tcBorders>
              <w:bottom w:val="single" w:color="000000" w:sz="10" w:space="0"/>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pStyle w:val="TableText"/>
              <w:ind w:left="242"/>
              <w:spacing w:before="65" w:line="234" w:lineRule="auto"/>
              <w:rPr/>
            </w:pPr>
            <w:r>
              <w:rPr>
                <w:spacing w:val="-10"/>
              </w:rPr>
              <w:t>固态</w:t>
            </w:r>
          </w:p>
        </w:tc>
        <w:tc>
          <w:tcPr>
            <w:tcW w:w="983" w:type="dxa"/>
            <w:vAlign w:val="top"/>
            <w:tcBorders>
              <w:bottom w:val="single" w:color="000000" w:sz="10" w:space="0"/>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312"/>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rPr>
              <w:t>In</w:t>
            </w:r>
          </w:p>
        </w:tc>
        <w:tc>
          <w:tcPr>
            <w:tcW w:w="841" w:type="dxa"/>
            <w:vAlign w:val="top"/>
            <w:vMerge w:val="continue"/>
            <w:tcBorders>
              <w:bottom w:val="single" w:color="000000" w:sz="10" w:space="0"/>
              <w:top w:val="nil"/>
            </w:tcBorders>
          </w:tcPr>
          <w:p>
            <w:pPr>
              <w:rPr>
                <w:rFonts w:ascii="Arial"/>
                <w:sz w:val="21"/>
              </w:rPr>
            </w:pPr>
            <w:r/>
          </w:p>
        </w:tc>
        <w:tc>
          <w:tcPr>
            <w:tcW w:w="844" w:type="dxa"/>
            <w:vAlign w:val="top"/>
            <w:vMerge w:val="continue"/>
            <w:tcBorders>
              <w:bottom w:val="single" w:color="000000" w:sz="10" w:space="0"/>
              <w:right w:val="nil"/>
              <w:top w:val="nil"/>
            </w:tcBorders>
          </w:tcPr>
          <w:p>
            <w:pPr>
              <w:rPr>
                <w:rFonts w:ascii="Arial"/>
                <w:sz w:val="21"/>
              </w:rPr>
            </w:pPr>
            <w:r/>
          </w:p>
        </w:tc>
      </w:tr>
    </w:tbl>
    <w:p>
      <w:pPr>
        <w:pStyle w:val="BodyText"/>
        <w:spacing w:line="251" w:lineRule="auto"/>
        <w:rPr/>
      </w:pPr>
      <w:r/>
    </w:p>
    <w:p>
      <w:pPr>
        <w:pStyle w:val="BodyText"/>
        <w:spacing w:line="251" w:lineRule="auto"/>
        <w:rPr/>
      </w:pPr>
      <w:r/>
    </w:p>
    <w:p>
      <w:pPr>
        <w:ind w:left="608"/>
        <w:spacing w:before="78"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）一般固废环境影响分析</w:t>
      </w:r>
    </w:p>
    <w:p>
      <w:pPr>
        <w:ind w:left="124" w:right="107" w:firstLine="480"/>
        <w:spacing w:before="179" w:line="360" w:lineRule="auto"/>
        <w:rPr>
          <w:rFonts w:ascii="FangSong" w:hAnsi="FangSong" w:eastAsia="FangSong" w:cs="FangSong"/>
          <w:sz w:val="24"/>
          <w:szCs w:val="24"/>
        </w:rPr>
      </w:pPr>
      <w:r>
        <w:rPr>
          <w:rFonts w:ascii="FangSong" w:hAnsi="FangSong" w:eastAsia="FangSong" w:cs="FangSong"/>
          <w:sz w:val="24"/>
          <w:szCs w:val="24"/>
          <w:spacing w:val="-3"/>
        </w:rPr>
        <w:t>项目产生的生活垃圾及餐厨垃圾（含废油脂）</w:t>
      </w:r>
      <w:r>
        <w:rPr>
          <w:rFonts w:ascii="FangSong" w:hAnsi="FangSong" w:eastAsia="FangSong" w:cs="FangSong"/>
          <w:sz w:val="24"/>
          <w:szCs w:val="24"/>
          <w:spacing w:val="-4"/>
        </w:rPr>
        <w:t>均交由相关部门处理处置；产</w:t>
      </w:r>
      <w:r>
        <w:rPr>
          <w:rFonts w:ascii="FangSong" w:hAnsi="FangSong" w:eastAsia="FangSong" w:cs="FangSong"/>
          <w:sz w:val="24"/>
          <w:szCs w:val="24"/>
          <w:spacing w:val="-3"/>
        </w:rPr>
        <w:t>生的废石、尾矿均进行井下空区充填；地表高位水池产生的污泥</w:t>
      </w:r>
      <w:r>
        <w:rPr>
          <w:rFonts w:ascii="FangSong" w:hAnsi="FangSong" w:eastAsia="FangSong" w:cs="FangSong"/>
          <w:sz w:val="24"/>
          <w:szCs w:val="24"/>
          <w:spacing w:val="-4"/>
        </w:rPr>
        <w:t>、布袋除尘灰直</w:t>
      </w:r>
      <w:r>
        <w:rPr>
          <w:rFonts w:ascii="FangSong" w:hAnsi="FangSong" w:eastAsia="FangSong" w:cs="FangSong"/>
          <w:sz w:val="24"/>
          <w:szCs w:val="24"/>
          <w:spacing w:val="-3"/>
        </w:rPr>
        <w:t>接返回选矿工序作原料；废布袋交由厂家回收处置。本项目产生</w:t>
      </w:r>
      <w:r>
        <w:rPr>
          <w:rFonts w:ascii="FangSong" w:hAnsi="FangSong" w:eastAsia="FangSong" w:cs="FangSong"/>
          <w:sz w:val="24"/>
          <w:szCs w:val="24"/>
          <w:spacing w:val="-4"/>
        </w:rPr>
        <w:t>的一般固体废物</w:t>
      </w:r>
      <w:r>
        <w:rPr>
          <w:rFonts w:ascii="FangSong" w:hAnsi="FangSong" w:eastAsia="FangSong" w:cs="FangSong"/>
          <w:sz w:val="24"/>
          <w:szCs w:val="24"/>
          <w:spacing w:val="-2"/>
        </w:rPr>
        <w:t>去向合理，不会产生二次污染。</w:t>
      </w:r>
    </w:p>
    <w:p>
      <w:pPr>
        <w:ind w:left="125" w:right="24" w:firstLine="479"/>
        <w:spacing w:before="3" w:line="344" w:lineRule="auto"/>
        <w:jc w:val="both"/>
        <w:rPr>
          <w:rFonts w:ascii="FangSong" w:hAnsi="FangSong" w:eastAsia="FangSong" w:cs="FangSong"/>
          <w:sz w:val="24"/>
          <w:szCs w:val="24"/>
        </w:rPr>
      </w:pPr>
      <w:r>
        <w:rPr>
          <w:rFonts w:ascii="FangSong" w:hAnsi="FangSong" w:eastAsia="FangSong" w:cs="FangSong"/>
          <w:sz w:val="24"/>
          <w:szCs w:val="24"/>
          <w:spacing w:val="-3"/>
        </w:rPr>
        <w:t>但要注意尾矿堆放对空气环境的影响主要为扬</w:t>
      </w:r>
      <w:r>
        <w:rPr>
          <w:rFonts w:ascii="FangSong" w:hAnsi="FangSong" w:eastAsia="FangSong" w:cs="FangSong"/>
          <w:sz w:val="24"/>
          <w:szCs w:val="24"/>
          <w:spacing w:val="-4"/>
        </w:rPr>
        <w:t>尘，产生的扬尘主要为物料转</w:t>
      </w:r>
      <w:r>
        <w:rPr>
          <w:rFonts w:ascii="FangSong" w:hAnsi="FangSong" w:eastAsia="FangSong" w:cs="FangSong"/>
          <w:sz w:val="24"/>
          <w:szCs w:val="24"/>
          <w:spacing w:val="-8"/>
        </w:rPr>
        <w:t>运过程产生的，起尘条件主要取决于粒度、表面含湿量、风速和装卸高度的大小。</w:t>
      </w:r>
      <w:r>
        <w:rPr>
          <w:rFonts w:ascii="FangSong" w:hAnsi="FangSong" w:eastAsia="FangSong" w:cs="FangSong"/>
          <w:sz w:val="24"/>
          <w:szCs w:val="24"/>
          <w:spacing w:val="-3"/>
        </w:rPr>
        <w:t>要求定时对各类堆场进行洒水降尘，采取此类措施后，堆存扬</w:t>
      </w:r>
      <w:r>
        <w:rPr>
          <w:rFonts w:ascii="FangSong" w:hAnsi="FangSong" w:eastAsia="FangSong" w:cs="FangSong"/>
          <w:sz w:val="24"/>
          <w:szCs w:val="24"/>
          <w:spacing w:val="-4"/>
        </w:rPr>
        <w:t>尘污染可得到有效</w:t>
      </w:r>
    </w:p>
    <w:p>
      <w:pPr>
        <w:spacing w:line="344" w:lineRule="auto"/>
        <w:sectPr>
          <w:footerReference w:type="default" r:id="rId310"/>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76" w:firstLine="1"/>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控制。尾矿进入尾矿临时堆场处置，在未采取水保措施时，受水</w:t>
      </w:r>
      <w:r>
        <w:rPr>
          <w:rFonts w:ascii="FangSong" w:hAnsi="FangSong" w:eastAsia="FangSong" w:cs="FangSong"/>
          <w:sz w:val="24"/>
          <w:szCs w:val="24"/>
          <w:spacing w:val="-4"/>
        </w:rPr>
        <w:t>力等应力的作用</w:t>
      </w:r>
      <w:r>
        <w:rPr>
          <w:rFonts w:ascii="FangSong" w:hAnsi="FangSong" w:eastAsia="FangSong" w:cs="FangSong"/>
          <w:sz w:val="24"/>
          <w:szCs w:val="24"/>
          <w:spacing w:val="-3"/>
        </w:rPr>
        <w:t>下极易发生水土流失，尾矿临时堆存四周建设挡土墙和截排水设施后</w:t>
      </w:r>
      <w:r>
        <w:rPr>
          <w:rFonts w:ascii="FangSong" w:hAnsi="FangSong" w:eastAsia="FangSong" w:cs="FangSong"/>
          <w:sz w:val="24"/>
          <w:szCs w:val="24"/>
          <w:spacing w:val="-4"/>
        </w:rPr>
        <w:t>，可有效减</w:t>
      </w:r>
      <w:r>
        <w:rPr>
          <w:rFonts w:ascii="FangSong" w:hAnsi="FangSong" w:eastAsia="FangSong" w:cs="FangSong"/>
          <w:sz w:val="24"/>
          <w:szCs w:val="24"/>
          <w:spacing w:val="-3"/>
        </w:rPr>
        <w:t>轻水土流失。</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）危险废物环境影响分析</w:t>
      </w:r>
    </w:p>
    <w:p>
      <w:pPr>
        <w:ind w:left="41" w:right="76" w:firstLine="469"/>
        <w:spacing w:before="180" w:line="360" w:lineRule="auto"/>
        <w:rPr>
          <w:rFonts w:ascii="FangSong" w:hAnsi="FangSong" w:eastAsia="FangSong" w:cs="FangSong"/>
          <w:sz w:val="24"/>
          <w:szCs w:val="24"/>
        </w:rPr>
      </w:pPr>
      <w:r>
        <w:rPr>
          <w:rFonts w:ascii="FangSong" w:hAnsi="FangSong" w:eastAsia="FangSong" w:cs="FangSong"/>
          <w:sz w:val="24"/>
          <w:szCs w:val="24"/>
          <w:spacing w:val="-3"/>
        </w:rPr>
        <w:t>项目机修产生的废机油、含油抹布及废油桶产</w:t>
      </w:r>
      <w:r>
        <w:rPr>
          <w:rFonts w:ascii="FangSong" w:hAnsi="FangSong" w:eastAsia="FangSong" w:cs="FangSong"/>
          <w:sz w:val="24"/>
          <w:szCs w:val="24"/>
          <w:spacing w:val="-4"/>
        </w:rPr>
        <w:t>生量较小，均按要求放置在危</w:t>
      </w:r>
      <w:r>
        <w:rPr>
          <w:rFonts w:ascii="FangSong" w:hAnsi="FangSong" w:eastAsia="FangSong" w:cs="FangSong"/>
          <w:sz w:val="24"/>
          <w:szCs w:val="24"/>
          <w:spacing w:val="-4"/>
        </w:rPr>
        <w:t>险废物贮存点内暂存，并与具有危险废物处置资质的单位签订协议，定期交由有</w:t>
      </w:r>
      <w:r>
        <w:rPr>
          <w:rFonts w:ascii="FangSong" w:hAnsi="FangSong" w:eastAsia="FangSong" w:cs="FangSong"/>
          <w:sz w:val="24"/>
          <w:szCs w:val="24"/>
          <w:spacing w:val="-2"/>
        </w:rPr>
        <w:t>资质单位处置后，对周边环境影响小。</w:t>
      </w:r>
    </w:p>
    <w:p>
      <w:pPr>
        <w:ind w:left="22"/>
        <w:spacing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6.2.4.2  </w:t>
      </w:r>
      <w:r>
        <w:rPr>
          <w:rFonts w:ascii="FangSong" w:hAnsi="FangSong" w:eastAsia="FangSong" w:cs="FangSong"/>
          <w:sz w:val="24"/>
          <w:szCs w:val="24"/>
          <w:b/>
          <w:bCs/>
          <w:spacing w:val="-2"/>
        </w:rPr>
        <w:t>危险废物贮存场所（设施）环境影响分析</w:t>
      </w:r>
    </w:p>
    <w:p>
      <w:pPr>
        <w:ind w:left="514"/>
        <w:spacing w:before="183"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）危险废物贮存场选址的可行性</w:t>
      </w:r>
    </w:p>
    <w:p>
      <w:pPr>
        <w:ind w:left="35" w:right="76" w:firstLine="475"/>
        <w:spacing w:before="183" w:line="360" w:lineRule="auto"/>
        <w:rPr>
          <w:rFonts w:ascii="FangSong" w:hAnsi="FangSong" w:eastAsia="FangSong" w:cs="FangSong"/>
          <w:sz w:val="24"/>
          <w:szCs w:val="24"/>
        </w:rPr>
      </w:pPr>
      <w:r>
        <w:rPr>
          <w:rFonts w:ascii="FangSong" w:hAnsi="FangSong" w:eastAsia="FangSong" w:cs="FangSong"/>
          <w:sz w:val="24"/>
          <w:szCs w:val="24"/>
          <w:spacing w:val="-3"/>
        </w:rPr>
        <w:t>本项目危险废物暂存间拟设置在工业广场北侧</w:t>
      </w:r>
      <w:r>
        <w:rPr>
          <w:rFonts w:ascii="FangSong" w:hAnsi="FangSong" w:eastAsia="FangSong" w:cs="FangSong"/>
          <w:sz w:val="24"/>
          <w:szCs w:val="24"/>
          <w:spacing w:val="-4"/>
        </w:rPr>
        <w:t>机修车间旁边位置，该选址地</w:t>
      </w:r>
      <w:r>
        <w:rPr>
          <w:rFonts w:ascii="FangSong" w:hAnsi="FangSong" w:eastAsia="FangSong" w:cs="FangSong"/>
          <w:sz w:val="24"/>
          <w:szCs w:val="24"/>
          <w:spacing w:val="-3"/>
        </w:rPr>
        <w:t>势平坦，地质条件良好，土建工程量小，周边无其他</w:t>
      </w:r>
      <w:r>
        <w:rPr>
          <w:rFonts w:ascii="FangSong" w:hAnsi="FangSong" w:eastAsia="FangSong" w:cs="FangSong"/>
          <w:sz w:val="24"/>
          <w:szCs w:val="24"/>
          <w:spacing w:val="-4"/>
        </w:rPr>
        <w:t>敏感点及污染源分布，运输</w:t>
      </w:r>
      <w:r>
        <w:rPr>
          <w:rFonts w:ascii="FangSong" w:hAnsi="FangSong" w:eastAsia="FangSong" w:cs="FangSong"/>
          <w:sz w:val="24"/>
          <w:szCs w:val="24"/>
          <w:spacing w:val="-1"/>
        </w:rPr>
        <w:t>方便，符合《危险废物贮存污染控制标准》</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GB18597-200</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）及其修改单中要</w:t>
      </w:r>
      <w:r>
        <w:rPr>
          <w:rFonts w:ascii="FangSong" w:hAnsi="FangSong" w:eastAsia="FangSong" w:cs="FangSong"/>
          <w:sz w:val="24"/>
          <w:szCs w:val="24"/>
          <w:spacing w:val="-1"/>
        </w:rPr>
        <w:t>求，因此本项目拟设置的危险固废堆放点选址可行。</w:t>
      </w:r>
    </w:p>
    <w:p>
      <w:pPr>
        <w:ind w:left="514"/>
        <w:spacing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）危险废物贮存场所（设施）能力相符性</w:t>
      </w:r>
    </w:p>
    <w:p>
      <w:pPr>
        <w:ind w:left="30" w:right="76" w:firstLine="480"/>
        <w:spacing w:before="183" w:line="360" w:lineRule="auto"/>
        <w:rPr>
          <w:rFonts w:ascii="FangSong" w:hAnsi="FangSong" w:eastAsia="FangSong" w:cs="FangSong"/>
          <w:sz w:val="24"/>
          <w:szCs w:val="24"/>
        </w:rPr>
      </w:pPr>
      <w:r>
        <w:rPr>
          <w:rFonts w:ascii="FangSong" w:hAnsi="FangSong" w:eastAsia="FangSong" w:cs="FangSong"/>
          <w:sz w:val="24"/>
          <w:szCs w:val="24"/>
          <w:spacing w:val="-1"/>
        </w:rPr>
        <w:t>本项目危险废物总产生量为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0.9t/a</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，危废暂存间暂存周期设计为一年，而本</w:t>
      </w:r>
      <w:r>
        <w:rPr>
          <w:rFonts w:ascii="FangSong" w:hAnsi="FangSong" w:eastAsia="FangSong" w:cs="FangSong"/>
          <w:sz w:val="24"/>
          <w:szCs w:val="24"/>
          <w:spacing w:val="-4"/>
        </w:rPr>
        <w:t>项目废物暂存间面积为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10m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，设计储存能力为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1t</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。因此，项目危废暂存</w:t>
      </w:r>
      <w:r>
        <w:rPr>
          <w:rFonts w:ascii="FangSong" w:hAnsi="FangSong" w:eastAsia="FangSong" w:cs="FangSong"/>
          <w:sz w:val="24"/>
          <w:szCs w:val="24"/>
          <w:spacing w:val="-5"/>
        </w:rPr>
        <w:t>间仓储</w:t>
      </w:r>
      <w:r>
        <w:rPr>
          <w:rFonts w:ascii="FangSong" w:hAnsi="FangSong" w:eastAsia="FangSong" w:cs="FangSong"/>
          <w:sz w:val="24"/>
          <w:szCs w:val="24"/>
          <w:spacing w:val="-3"/>
        </w:rPr>
        <w:t>能力能满足要求。</w:t>
      </w:r>
    </w:p>
    <w:p>
      <w:pPr>
        <w:ind w:left="514"/>
        <w:spacing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）贮存过程对环境影响分析</w:t>
      </w:r>
    </w:p>
    <w:p>
      <w:pPr>
        <w:ind w:left="31" w:firstLine="479"/>
        <w:spacing w:before="182" w:line="360" w:lineRule="auto"/>
        <w:rPr>
          <w:rFonts w:ascii="FangSong" w:hAnsi="FangSong" w:eastAsia="FangSong" w:cs="FangSong"/>
          <w:sz w:val="24"/>
          <w:szCs w:val="24"/>
        </w:rPr>
      </w:pPr>
      <w:r>
        <w:rPr>
          <w:rFonts w:ascii="FangSong" w:hAnsi="FangSong" w:eastAsia="FangSong" w:cs="FangSong"/>
          <w:sz w:val="24"/>
          <w:szCs w:val="24"/>
          <w:spacing w:val="4"/>
        </w:rPr>
        <w:t>本次评价要求建设单位对产生的危废在暂存过程必须分别采用密封容器进</w:t>
      </w:r>
      <w:r>
        <w:rPr>
          <w:rFonts w:ascii="FangSong" w:hAnsi="FangSong" w:eastAsia="FangSong" w:cs="FangSong"/>
          <w:sz w:val="24"/>
          <w:szCs w:val="24"/>
          <w:spacing w:val="-3"/>
        </w:rPr>
        <w:t>行封存，分类堆放，地面做好防渗硬化处理，并设置危废标识</w:t>
      </w:r>
      <w:r>
        <w:rPr>
          <w:rFonts w:ascii="FangSong" w:hAnsi="FangSong" w:eastAsia="FangSong" w:cs="FangSong"/>
          <w:sz w:val="24"/>
          <w:szCs w:val="24"/>
          <w:spacing w:val="-4"/>
        </w:rPr>
        <w:t>。由于各类危废均</w:t>
      </w:r>
      <w:r>
        <w:rPr>
          <w:rFonts w:ascii="FangSong" w:hAnsi="FangSong" w:eastAsia="FangSong" w:cs="FangSong"/>
          <w:sz w:val="24"/>
          <w:szCs w:val="24"/>
          <w:spacing w:val="-8"/>
        </w:rPr>
        <w:t>实现密封保存，暂存间设置防风、防雨设施，故危废暂存过程基本无废气、废水、</w:t>
      </w:r>
      <w:r>
        <w:rPr>
          <w:rFonts w:ascii="FangSong" w:hAnsi="FangSong" w:eastAsia="FangSong" w:cs="FangSong"/>
          <w:sz w:val="24"/>
          <w:szCs w:val="24"/>
          <w:spacing w:val="-1"/>
        </w:rPr>
        <w:t>废液外排。因此，危废贮存过程对周边环境产生的不利影响较小。</w:t>
      </w:r>
    </w:p>
    <w:p>
      <w:pPr>
        <w:ind w:left="22"/>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6.2.4.3  </w:t>
      </w:r>
      <w:r>
        <w:rPr>
          <w:rFonts w:ascii="FangSong" w:hAnsi="FangSong" w:eastAsia="FangSong" w:cs="FangSong"/>
          <w:sz w:val="24"/>
          <w:szCs w:val="24"/>
          <w:b/>
          <w:bCs/>
          <w:spacing w:val="-2"/>
        </w:rPr>
        <w:t>运输过程的环境影响分析</w:t>
      </w:r>
    </w:p>
    <w:p>
      <w:pPr>
        <w:ind w:left="29" w:right="37"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本次评价要求建设单位在危废产生点利用密封</w:t>
      </w:r>
      <w:r>
        <w:rPr>
          <w:rFonts w:ascii="FangSong" w:hAnsi="FangSong" w:eastAsia="FangSong" w:cs="FangSong"/>
          <w:sz w:val="24"/>
          <w:szCs w:val="24"/>
          <w:spacing w:val="-4"/>
        </w:rPr>
        <w:t>容器进行收集，之后再把密封</w:t>
      </w:r>
      <w:r>
        <w:rPr>
          <w:rFonts w:ascii="FangSong" w:hAnsi="FangSong" w:eastAsia="FangSong" w:cs="FangSong"/>
          <w:sz w:val="24"/>
          <w:szCs w:val="24"/>
          <w:spacing w:val="-2"/>
        </w:rPr>
        <w:t>容器运输到危废暂存间。鉴于产生点至暂存间距离较短，且是密封之后再运</w:t>
      </w:r>
      <w:r>
        <w:rPr>
          <w:rFonts w:ascii="FangSong" w:hAnsi="FangSong" w:eastAsia="FangSong" w:cs="FangSong"/>
          <w:sz w:val="24"/>
          <w:szCs w:val="24"/>
          <w:spacing w:val="-3"/>
        </w:rPr>
        <w:t>输，</w:t>
      </w:r>
      <w:r>
        <w:rPr>
          <w:rFonts w:ascii="FangSong" w:hAnsi="FangSong" w:eastAsia="FangSong" w:cs="FangSong"/>
          <w:sz w:val="24"/>
          <w:szCs w:val="24"/>
          <w:spacing w:val="-1"/>
        </w:rPr>
        <w:t>沿线无敏感点分布，因此运输过程对环境产生的不利影响较小。</w:t>
      </w:r>
    </w:p>
    <w:p>
      <w:pPr>
        <w:ind w:left="22"/>
        <w:spacing w:before="1" w:line="221" w:lineRule="auto"/>
        <w:outlineLvl w:val="2"/>
        <w:rPr>
          <w:rFonts w:ascii="FangSong" w:hAnsi="FangSong" w:eastAsia="FangSong" w:cs="FangSong"/>
          <w:sz w:val="24"/>
          <w:szCs w:val="24"/>
        </w:rPr>
      </w:pPr>
      <w:bookmarkStart w:name="bookmark300" w:id="406"/>
      <w:bookmarkEnd w:id="406"/>
      <w:bookmarkStart w:name="bookmark299" w:id="407"/>
      <w:bookmarkEnd w:id="407"/>
      <w:r>
        <w:rPr>
          <w:rFonts w:ascii="Times New Roman" w:hAnsi="Times New Roman" w:eastAsia="Times New Roman" w:cs="Times New Roman"/>
          <w:sz w:val="24"/>
          <w:szCs w:val="24"/>
          <w:b/>
          <w:bCs/>
          <w:spacing w:val="-2"/>
        </w:rPr>
        <w:t>6.2.5  </w:t>
      </w:r>
      <w:r>
        <w:rPr>
          <w:rFonts w:ascii="FangSong" w:hAnsi="FangSong" w:eastAsia="FangSong" w:cs="FangSong"/>
          <w:sz w:val="24"/>
          <w:szCs w:val="24"/>
          <w:b/>
          <w:bCs/>
          <w:spacing w:val="-2"/>
        </w:rPr>
        <w:t>地下水环境影响分析与评价</w:t>
      </w:r>
    </w:p>
    <w:p>
      <w:pPr>
        <w:ind w:left="29" w:right="76" w:firstLine="480"/>
        <w:spacing w:before="180" w:line="360" w:lineRule="auto"/>
        <w:rPr>
          <w:rFonts w:ascii="FangSong" w:hAnsi="FangSong" w:eastAsia="FangSong" w:cs="FangSong"/>
          <w:sz w:val="24"/>
          <w:szCs w:val="24"/>
        </w:rPr>
      </w:pPr>
      <w:r>
        <w:rPr>
          <w:rFonts w:ascii="FangSong" w:hAnsi="FangSong" w:eastAsia="FangSong" w:cs="FangSong"/>
          <w:sz w:val="24"/>
          <w:szCs w:val="24"/>
          <w:spacing w:val="1"/>
        </w:rPr>
        <w:t>按《环境影响评价技术导则</w:t>
      </w:r>
      <w:r>
        <w:rPr>
          <w:rFonts w:ascii="FangSong" w:hAnsi="FangSong" w:eastAsia="FangSong" w:cs="FangSong"/>
          <w:sz w:val="24"/>
          <w:szCs w:val="24"/>
          <w:spacing w:val="1"/>
        </w:rPr>
        <w:t xml:space="preserve"> </w:t>
      </w:r>
      <w:r>
        <w:rPr>
          <w:rFonts w:ascii="FangSong" w:hAnsi="FangSong" w:eastAsia="FangSong" w:cs="FangSong"/>
          <w:sz w:val="24"/>
          <w:szCs w:val="24"/>
          <w:spacing w:val="1"/>
        </w:rPr>
        <w:t>地下水环境》（</w:t>
      </w:r>
      <w:r>
        <w:rPr>
          <w:rFonts w:ascii="Times New Roman" w:hAnsi="Times New Roman" w:eastAsia="Times New Roman" w:cs="Times New Roman"/>
          <w:sz w:val="24"/>
          <w:szCs w:val="24"/>
        </w:rPr>
        <w:t>HJ610-2016</w:t>
      </w:r>
      <w:r>
        <w:rPr>
          <w:rFonts w:ascii="FangSong" w:hAnsi="FangSong" w:eastAsia="FangSong" w:cs="FangSong"/>
          <w:sz w:val="24"/>
          <w:szCs w:val="24"/>
        </w:rPr>
        <w:t>）相关要求，根据</w:t>
      </w:r>
      <w:r>
        <w:rPr>
          <w:rFonts w:ascii="FangSong" w:hAnsi="FangSong" w:eastAsia="FangSong" w:cs="FangSong"/>
          <w:sz w:val="24"/>
          <w:szCs w:val="24"/>
          <w:spacing w:val="-3"/>
        </w:rPr>
        <w:t>建设项目自身性质及其对地下水环境影响的特点，为预测和评价建</w:t>
      </w:r>
      <w:r>
        <w:rPr>
          <w:rFonts w:ascii="FangSong" w:hAnsi="FangSong" w:eastAsia="FangSong" w:cs="FangSong"/>
          <w:sz w:val="24"/>
          <w:szCs w:val="24"/>
          <w:spacing w:val="-4"/>
        </w:rPr>
        <w:t>设项目运营后</w:t>
      </w:r>
    </w:p>
    <w:p>
      <w:pPr>
        <w:spacing w:line="360" w:lineRule="auto"/>
        <w:sectPr>
          <w:footerReference w:type="default" r:id="rId311"/>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3" w:right="65" w:hanging="2"/>
        <w:spacing w:before="78" w:line="360" w:lineRule="auto"/>
        <w:rPr>
          <w:rFonts w:ascii="FangSong" w:hAnsi="FangSong" w:eastAsia="FangSong" w:cs="FangSong"/>
          <w:sz w:val="24"/>
          <w:szCs w:val="24"/>
        </w:rPr>
      </w:pPr>
      <w:r>
        <w:rPr>
          <w:rFonts w:ascii="FangSong" w:hAnsi="FangSong" w:eastAsia="FangSong" w:cs="FangSong"/>
          <w:sz w:val="24"/>
          <w:szCs w:val="24"/>
          <w:spacing w:val="-3"/>
        </w:rPr>
        <w:t>对地下水环境可能造成的影响和危害，并针对这种影响和危害</w:t>
      </w:r>
      <w:r>
        <w:rPr>
          <w:rFonts w:ascii="FangSong" w:hAnsi="FangSong" w:eastAsia="FangSong" w:cs="FangSong"/>
          <w:sz w:val="24"/>
          <w:szCs w:val="24"/>
          <w:spacing w:val="-4"/>
        </w:rPr>
        <w:t>提出防治对策，从</w:t>
      </w:r>
      <w:r>
        <w:rPr>
          <w:rFonts w:ascii="FangSong" w:hAnsi="FangSong" w:eastAsia="FangSong" w:cs="FangSong"/>
          <w:sz w:val="24"/>
          <w:szCs w:val="24"/>
          <w:spacing w:val="-1"/>
        </w:rPr>
        <w:t>而达到保护地下水环境的目的，本次工作将采用解析法进行预测与评价。</w:t>
      </w:r>
    </w:p>
    <w:p>
      <w:pPr>
        <w:ind w:left="22"/>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6.2.5.1  </w:t>
      </w:r>
      <w:r>
        <w:rPr>
          <w:rFonts w:ascii="FangSong" w:hAnsi="FangSong" w:eastAsia="FangSong" w:cs="FangSong"/>
          <w:sz w:val="24"/>
          <w:szCs w:val="24"/>
          <w:b/>
          <w:bCs/>
          <w:spacing w:val="-2"/>
        </w:rPr>
        <w:t>预测情景设定</w:t>
      </w:r>
    </w:p>
    <w:p>
      <w:pPr>
        <w:ind w:left="34" w:right="65" w:firstLine="476"/>
        <w:spacing w:before="178" w:line="360" w:lineRule="auto"/>
        <w:rPr>
          <w:rFonts w:ascii="FangSong" w:hAnsi="FangSong" w:eastAsia="FangSong" w:cs="FangSong"/>
          <w:sz w:val="24"/>
          <w:szCs w:val="24"/>
        </w:rPr>
      </w:pPr>
      <w:r>
        <w:rPr>
          <w:rFonts w:ascii="FangSong" w:hAnsi="FangSong" w:eastAsia="FangSong" w:cs="FangSong"/>
          <w:sz w:val="24"/>
          <w:szCs w:val="24"/>
          <w:spacing w:val="-3"/>
        </w:rPr>
        <w:t>项目污染情景分成两种：正常状况下地下水污</w:t>
      </w:r>
      <w:r>
        <w:rPr>
          <w:rFonts w:ascii="FangSong" w:hAnsi="FangSong" w:eastAsia="FangSong" w:cs="FangSong"/>
          <w:sz w:val="24"/>
          <w:szCs w:val="24"/>
          <w:spacing w:val="-4"/>
        </w:rPr>
        <w:t>染预测、非正常状况下地下水</w:t>
      </w:r>
      <w:r>
        <w:rPr>
          <w:rFonts w:ascii="FangSong" w:hAnsi="FangSong" w:eastAsia="FangSong" w:cs="FangSong"/>
          <w:sz w:val="24"/>
          <w:szCs w:val="24"/>
          <w:spacing w:val="-5"/>
        </w:rPr>
        <w:t>污染预测。</w:t>
      </w:r>
    </w:p>
    <w:p>
      <w:pPr>
        <w:ind w:left="514"/>
        <w:spacing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）正常状况下地下水环境影响预测</w:t>
      </w:r>
    </w:p>
    <w:p>
      <w:pPr>
        <w:ind w:left="31" w:firstLine="480"/>
        <w:spacing w:before="179" w:line="360" w:lineRule="auto"/>
        <w:rPr>
          <w:rFonts w:ascii="FangSong" w:hAnsi="FangSong" w:eastAsia="FangSong" w:cs="FangSong"/>
          <w:sz w:val="24"/>
          <w:szCs w:val="24"/>
        </w:rPr>
      </w:pPr>
      <w:r>
        <w:rPr>
          <w:rFonts w:ascii="FangSong" w:hAnsi="FangSong" w:eastAsia="FangSong" w:cs="FangSong"/>
          <w:sz w:val="24"/>
          <w:szCs w:val="24"/>
          <w:spacing w:val="-3"/>
        </w:rPr>
        <w:t>在正常状况下，本项目的回水池等为钢筋砼</w:t>
      </w:r>
      <w:r>
        <w:rPr>
          <w:rFonts w:ascii="FangSong" w:hAnsi="FangSong" w:eastAsia="FangSong" w:cs="FangSong"/>
          <w:sz w:val="24"/>
          <w:szCs w:val="24"/>
          <w:spacing w:val="-4"/>
        </w:rPr>
        <w:t>条基基础，尾矿临时堆场采用防</w:t>
      </w:r>
      <w:r>
        <w:rPr>
          <w:rFonts w:ascii="FangSong" w:hAnsi="FangSong" w:eastAsia="FangSong" w:cs="FangSong"/>
          <w:sz w:val="24"/>
          <w:szCs w:val="24"/>
          <w:spacing w:val="-2"/>
        </w:rPr>
        <w:t>渗性能与厚度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Mb&gt;1.5m</w:t>
      </w:r>
      <w:r>
        <w:rPr>
          <w:rFonts w:ascii="FangSong" w:hAnsi="FangSong" w:eastAsia="FangSong" w:cs="FangSong"/>
          <w:sz w:val="24"/>
          <w:szCs w:val="24"/>
          <w:spacing w:val="-2"/>
        </w:rPr>
        <w:t>，渗透系数</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K&lt;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w:t>
      </w:r>
      <w:r>
        <w:rPr>
          <w:rFonts w:ascii="Times New Roman" w:hAnsi="Times New Roman" w:eastAsia="Times New Roman" w:cs="Times New Roman"/>
          <w:sz w:val="15"/>
          <w:szCs w:val="15"/>
          <w:spacing w:val="-3"/>
          <w:position w:val="7"/>
        </w:rPr>
        <w:t>-7</w:t>
      </w:r>
      <w:r>
        <w:rPr>
          <w:rFonts w:ascii="Times New Roman" w:hAnsi="Times New Roman" w:eastAsia="Times New Roman" w:cs="Times New Roman"/>
          <w:sz w:val="24"/>
          <w:szCs w:val="24"/>
          <w:spacing w:val="-3"/>
        </w:rPr>
        <w:t>cm/s</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粘土防渗层等效的防渗措施，</w:t>
      </w:r>
      <w:r>
        <w:rPr>
          <w:rFonts w:ascii="FangSong" w:hAnsi="FangSong" w:eastAsia="FangSong" w:cs="FangSong"/>
          <w:sz w:val="24"/>
          <w:szCs w:val="24"/>
          <w:spacing w:val="-1"/>
        </w:rPr>
        <w:t>废水不具备渗漏的途径和通道，在正常工况下污水</w:t>
      </w:r>
      <w:r>
        <w:rPr>
          <w:rFonts w:ascii="FangSong" w:hAnsi="FangSong" w:eastAsia="FangSong" w:cs="FangSong"/>
          <w:sz w:val="24"/>
          <w:szCs w:val="24"/>
          <w:spacing w:val="-2"/>
        </w:rPr>
        <w:t>不会渗漏进入地下造成污染，</w:t>
      </w:r>
      <w:r>
        <w:rPr>
          <w:rFonts w:ascii="FangSong" w:hAnsi="FangSong" w:eastAsia="FangSong" w:cs="FangSong"/>
          <w:sz w:val="24"/>
          <w:szCs w:val="24"/>
          <w:spacing w:val="-1"/>
        </w:rPr>
        <w:t>因此本次评价不进行正常状况下的地下水预测。</w:t>
      </w:r>
    </w:p>
    <w:p>
      <w:pPr>
        <w:ind w:left="514"/>
        <w:spacing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）非正常状况下地下水环境影响预测</w:t>
      </w:r>
    </w:p>
    <w:p>
      <w:pPr>
        <w:ind w:left="31" w:right="8" w:firstLine="485"/>
        <w:spacing w:before="179" w:line="360" w:lineRule="auto"/>
        <w:rPr>
          <w:rFonts w:ascii="FangSong" w:hAnsi="FangSong" w:eastAsia="FangSong" w:cs="FangSong"/>
          <w:sz w:val="24"/>
          <w:szCs w:val="24"/>
        </w:rPr>
      </w:pPr>
      <w:r>
        <w:rPr>
          <w:rFonts w:ascii="FangSong" w:hAnsi="FangSong" w:eastAsia="FangSong" w:cs="FangSong"/>
          <w:sz w:val="24"/>
          <w:szCs w:val="24"/>
          <w:spacing w:val="-4"/>
        </w:rPr>
        <w:t>非正常状况是指地下水环境保护措施因系统老化、腐蚀等原因不能正常运行</w:t>
      </w:r>
      <w:r>
        <w:rPr>
          <w:rFonts w:ascii="FangSong" w:hAnsi="FangSong" w:eastAsia="FangSong" w:cs="FangSong"/>
          <w:sz w:val="24"/>
          <w:szCs w:val="24"/>
          <w:spacing w:val="-3"/>
        </w:rPr>
        <w:t>或保护效果达不到设计要求时的运行状况，防渗层功能降低，</w:t>
      </w:r>
      <w:r>
        <w:rPr>
          <w:rFonts w:ascii="FangSong" w:hAnsi="FangSong" w:eastAsia="FangSong" w:cs="FangSong"/>
          <w:sz w:val="24"/>
          <w:szCs w:val="24"/>
          <w:spacing w:val="-4"/>
        </w:rPr>
        <w:t>污染物进入含水层</w:t>
      </w:r>
      <w:r>
        <w:rPr>
          <w:rFonts w:ascii="FangSong" w:hAnsi="FangSong" w:eastAsia="FangSong" w:cs="FangSong"/>
          <w:sz w:val="24"/>
          <w:szCs w:val="24"/>
          <w:spacing w:val="-3"/>
        </w:rPr>
        <w:t>中，由于逐渐积累从而污染潜水含水层的情况。现实过程中，</w:t>
      </w:r>
      <w:r>
        <w:rPr>
          <w:rFonts w:ascii="FangSong" w:hAnsi="FangSong" w:eastAsia="FangSong" w:cs="FangSong"/>
          <w:sz w:val="24"/>
          <w:szCs w:val="24"/>
          <w:spacing w:val="-4"/>
        </w:rPr>
        <w:t>由于项目建设或地</w:t>
      </w:r>
      <w:r>
        <w:rPr>
          <w:rFonts w:ascii="FangSong" w:hAnsi="FangSong" w:eastAsia="FangSong" w:cs="FangSong"/>
          <w:sz w:val="24"/>
          <w:szCs w:val="24"/>
          <w:spacing w:val="-3"/>
        </w:rPr>
        <w:t>质环境问题，在池体老化腐蚀、防渗性能降低的情况下，污染</w:t>
      </w:r>
      <w:r>
        <w:rPr>
          <w:rFonts w:ascii="FangSong" w:hAnsi="FangSong" w:eastAsia="FangSong" w:cs="FangSong"/>
          <w:sz w:val="24"/>
          <w:szCs w:val="24"/>
          <w:spacing w:val="-4"/>
        </w:rPr>
        <w:t>物渗入地下并直接</w:t>
      </w:r>
      <w:r>
        <w:rPr>
          <w:rFonts w:ascii="FangSong" w:hAnsi="FangSong" w:eastAsia="FangSong" w:cs="FangSong"/>
          <w:sz w:val="24"/>
          <w:szCs w:val="24"/>
          <w:spacing w:val="-2"/>
        </w:rPr>
        <w:t>进入含水层中，从而对地下水环境造成影响的情况。这种渗漏往往不容易发现。</w:t>
      </w:r>
      <w:r>
        <w:rPr>
          <w:rFonts w:ascii="FangSong" w:hAnsi="FangSong" w:eastAsia="FangSong" w:cs="FangSong"/>
          <w:sz w:val="24"/>
          <w:szCs w:val="24"/>
          <w:spacing w:val="-3"/>
        </w:rPr>
        <w:t>而本项目尾矿临时堆场采用素混凝土地面、全封闭彩钢结构，</w:t>
      </w:r>
      <w:r>
        <w:rPr>
          <w:rFonts w:ascii="FangSong" w:hAnsi="FangSong" w:eastAsia="FangSong" w:cs="FangSong"/>
          <w:sz w:val="24"/>
          <w:szCs w:val="24"/>
          <w:spacing w:val="-4"/>
        </w:rPr>
        <w:t>且由于矿区常年干</w:t>
      </w:r>
      <w:r>
        <w:rPr>
          <w:rFonts w:ascii="FangSong" w:hAnsi="FangSong" w:eastAsia="FangSong" w:cs="FangSong"/>
          <w:sz w:val="24"/>
          <w:szCs w:val="24"/>
          <w:spacing w:val="-1"/>
        </w:rPr>
        <w:t>旱，蒸发量远大于降水量，尾矿临时堆场不会形成浸溶液。</w:t>
      </w:r>
    </w:p>
    <w:p>
      <w:pPr>
        <w:ind w:left="29" w:right="65" w:firstLine="505"/>
        <w:spacing w:before="12" w:line="359" w:lineRule="auto"/>
        <w:jc w:val="both"/>
        <w:rPr>
          <w:rFonts w:ascii="FangSong" w:hAnsi="FangSong" w:eastAsia="FangSong" w:cs="FangSong"/>
          <w:sz w:val="24"/>
          <w:szCs w:val="24"/>
        </w:rPr>
      </w:pPr>
      <w:r>
        <w:rPr>
          <w:rFonts w:ascii="FangSong" w:hAnsi="FangSong" w:eastAsia="FangSong" w:cs="FangSong"/>
          <w:sz w:val="24"/>
          <w:szCs w:val="24"/>
          <w:spacing w:val="-4"/>
        </w:rPr>
        <w:t>因此本次预测在非正常状况下，回水池体发生破损污染物以一定的浓</w:t>
      </w:r>
      <w:r>
        <w:rPr>
          <w:rFonts w:ascii="FangSong" w:hAnsi="FangSong" w:eastAsia="FangSong" w:cs="FangSong"/>
          <w:sz w:val="24"/>
          <w:szCs w:val="24"/>
          <w:spacing w:val="-5"/>
        </w:rPr>
        <w:t>度泄露</w:t>
      </w:r>
      <w:r>
        <w:rPr>
          <w:rFonts w:ascii="FangSong" w:hAnsi="FangSong" w:eastAsia="FangSong" w:cs="FangSong"/>
          <w:sz w:val="24"/>
          <w:szCs w:val="24"/>
          <w:spacing w:val="-3"/>
        </w:rPr>
        <w:t>进入地下水潜水含水层的情形。若出现回水池等发生开裂、渗漏等现</w:t>
      </w:r>
      <w:r>
        <w:rPr>
          <w:rFonts w:ascii="FangSong" w:hAnsi="FangSong" w:eastAsia="FangSong" w:cs="FangSong"/>
          <w:sz w:val="24"/>
          <w:szCs w:val="24"/>
          <w:spacing w:val="-4"/>
        </w:rPr>
        <w:t>象，池中废</w:t>
      </w:r>
      <w:r>
        <w:rPr>
          <w:rFonts w:ascii="FangSong" w:hAnsi="FangSong" w:eastAsia="FangSong" w:cs="FangSong"/>
          <w:sz w:val="24"/>
          <w:szCs w:val="24"/>
          <w:spacing w:val="-3"/>
        </w:rPr>
        <w:t>水持续泄漏污染物可能下渗至潜水层，在潜水层中进行运移从而污染</w:t>
      </w:r>
      <w:r>
        <w:rPr>
          <w:rFonts w:ascii="FangSong" w:hAnsi="FangSong" w:eastAsia="FangSong" w:cs="FangSong"/>
          <w:sz w:val="24"/>
          <w:szCs w:val="24"/>
          <w:spacing w:val="-4"/>
        </w:rPr>
        <w:t>地下水。回</w:t>
      </w:r>
      <w:r>
        <w:rPr>
          <w:rFonts w:ascii="FangSong" w:hAnsi="FangSong" w:eastAsia="FangSong" w:cs="FangSong"/>
          <w:sz w:val="24"/>
          <w:szCs w:val="24"/>
          <w:spacing w:val="-3"/>
        </w:rPr>
        <w:t>水池内的废水未处理前主要特征污染物为氟化物。正常工况下，回水</w:t>
      </w:r>
      <w:r>
        <w:rPr>
          <w:rFonts w:ascii="FangSong" w:hAnsi="FangSong" w:eastAsia="FangSong" w:cs="FangSong"/>
          <w:sz w:val="24"/>
          <w:szCs w:val="24"/>
          <w:spacing w:val="-4"/>
        </w:rPr>
        <w:t>池采用钢筋</w:t>
      </w:r>
      <w:r>
        <w:rPr>
          <w:rFonts w:ascii="FangSong" w:hAnsi="FangSong" w:eastAsia="FangSong" w:cs="FangSong"/>
          <w:sz w:val="24"/>
          <w:szCs w:val="24"/>
          <w:spacing w:val="2"/>
        </w:rPr>
        <w:t>砼条基基础，防渗措施到位</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应对地下水无渗漏，基本无污染影响。一旦</w:t>
      </w:r>
      <w:r>
        <w:rPr>
          <w:rFonts w:ascii="FangSong" w:hAnsi="FangSong" w:eastAsia="FangSong" w:cs="FangSong"/>
          <w:sz w:val="24"/>
          <w:szCs w:val="24"/>
          <w:spacing w:val="1"/>
        </w:rPr>
        <w:t>回水池</w:t>
      </w:r>
      <w:r>
        <w:rPr>
          <w:rFonts w:ascii="FangSong" w:hAnsi="FangSong" w:eastAsia="FangSong" w:cs="FangSong"/>
          <w:sz w:val="24"/>
          <w:szCs w:val="24"/>
          <w:spacing w:val="-3"/>
        </w:rPr>
        <w:t>出现泄漏时，生产废水将下渗入地下水中。氟化物将成为主要污染物</w:t>
      </w:r>
      <w:r>
        <w:rPr>
          <w:rFonts w:ascii="FangSong" w:hAnsi="FangSong" w:eastAsia="FangSong" w:cs="FangSong"/>
          <w:sz w:val="24"/>
          <w:szCs w:val="24"/>
          <w:spacing w:val="-4"/>
        </w:rPr>
        <w:t>，氟化物由</w:t>
      </w:r>
      <w:r>
        <w:rPr>
          <w:rFonts w:ascii="FangSong" w:hAnsi="FangSong" w:eastAsia="FangSong" w:cs="FangSong"/>
          <w:sz w:val="24"/>
          <w:szCs w:val="24"/>
          <w:spacing w:val="-3"/>
        </w:rPr>
        <w:t>地面经包气带渗透到潜水中，对地下水造成污染，污染物经包气带净</w:t>
      </w:r>
      <w:r>
        <w:rPr>
          <w:rFonts w:ascii="FangSong" w:hAnsi="FangSong" w:eastAsia="FangSong" w:cs="FangSong"/>
          <w:sz w:val="24"/>
          <w:szCs w:val="24"/>
          <w:spacing w:val="-4"/>
        </w:rPr>
        <w:t>化后浓度已</w:t>
      </w:r>
      <w:r>
        <w:rPr>
          <w:rFonts w:ascii="FangSong" w:hAnsi="FangSong" w:eastAsia="FangSong" w:cs="FangSong"/>
          <w:sz w:val="24"/>
          <w:szCs w:val="24"/>
          <w:spacing w:val="-3"/>
        </w:rPr>
        <w:t>大大降低，随着时间推移，渗透量逐渐减少，所以进入地下水中污染</w:t>
      </w:r>
      <w:r>
        <w:rPr>
          <w:rFonts w:ascii="FangSong" w:hAnsi="FangSong" w:eastAsia="FangSong" w:cs="FangSong"/>
          <w:sz w:val="24"/>
          <w:szCs w:val="24"/>
          <w:spacing w:val="-4"/>
        </w:rPr>
        <w:t>物量是有限</w:t>
      </w:r>
      <w:r>
        <w:rPr>
          <w:rFonts w:ascii="FangSong" w:hAnsi="FangSong" w:eastAsia="FangSong" w:cs="FangSong"/>
          <w:sz w:val="24"/>
          <w:szCs w:val="24"/>
          <w:spacing w:val="-3"/>
        </w:rPr>
        <w:t>的和短暂的。</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6.2.5.2</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预测因子</w:t>
      </w:r>
    </w:p>
    <w:p>
      <w:pPr>
        <w:ind w:left="510"/>
        <w:spacing w:before="178" w:line="220" w:lineRule="auto"/>
        <w:rPr>
          <w:rFonts w:ascii="FangSong" w:hAnsi="FangSong" w:eastAsia="FangSong" w:cs="FangSong"/>
          <w:sz w:val="24"/>
          <w:szCs w:val="24"/>
        </w:rPr>
      </w:pPr>
      <w:r>
        <w:rPr>
          <w:rFonts w:ascii="FangSong" w:hAnsi="FangSong" w:eastAsia="FangSong" w:cs="FangSong"/>
          <w:sz w:val="24"/>
          <w:szCs w:val="24"/>
          <w:spacing w:val="-3"/>
        </w:rPr>
        <w:t>本次模拟计算根据评价区内地下水的水质现状</w:t>
      </w:r>
      <w:r>
        <w:rPr>
          <w:rFonts w:ascii="FangSong" w:hAnsi="FangSong" w:eastAsia="FangSong" w:cs="FangSong"/>
          <w:sz w:val="24"/>
          <w:szCs w:val="24"/>
          <w:spacing w:val="-4"/>
        </w:rPr>
        <w:t>、以及项目污染源的分布及类</w:t>
      </w:r>
    </w:p>
    <w:p>
      <w:pPr>
        <w:spacing w:line="220" w:lineRule="auto"/>
        <w:sectPr>
          <w:footerReference w:type="default" r:id="rId312"/>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65" w:firstLine="12"/>
        <w:spacing w:before="78" w:line="360" w:lineRule="auto"/>
        <w:jc w:val="both"/>
        <w:rPr>
          <w:rFonts w:ascii="FangSong" w:hAnsi="FangSong" w:eastAsia="FangSong" w:cs="FangSong"/>
          <w:sz w:val="24"/>
          <w:szCs w:val="24"/>
        </w:rPr>
      </w:pPr>
      <w:r>
        <w:rPr>
          <w:rFonts w:ascii="FangSong" w:hAnsi="FangSong" w:eastAsia="FangSong" w:cs="FangSong"/>
          <w:sz w:val="24"/>
          <w:szCs w:val="24"/>
          <w:spacing w:val="-4"/>
        </w:rPr>
        <w:t>型，选取本项目主要污染物作为预测因子。根据项目地下水污染途径分析，项目</w:t>
      </w:r>
      <w:r>
        <w:rPr>
          <w:rFonts w:ascii="FangSong" w:hAnsi="FangSong" w:eastAsia="FangSong" w:cs="FangSong"/>
          <w:sz w:val="24"/>
          <w:szCs w:val="24"/>
          <w:spacing w:val="-3"/>
        </w:rPr>
        <w:t>地下水环境预测分析为回水池以及管线防渗措施老化、破裂，导致废</w:t>
      </w:r>
      <w:r>
        <w:rPr>
          <w:rFonts w:ascii="FangSong" w:hAnsi="FangSong" w:eastAsia="FangSong" w:cs="FangSong"/>
          <w:sz w:val="24"/>
          <w:szCs w:val="24"/>
          <w:spacing w:val="-4"/>
        </w:rPr>
        <w:t>水泄漏影响</w:t>
      </w:r>
      <w:r>
        <w:rPr>
          <w:rFonts w:ascii="FangSong" w:hAnsi="FangSong" w:eastAsia="FangSong" w:cs="FangSong"/>
          <w:sz w:val="24"/>
          <w:szCs w:val="24"/>
          <w:spacing w:val="-3"/>
        </w:rPr>
        <w:t>地下水；本项目主要预测项目特征污染物选取回水池中的的氟化物，</w:t>
      </w:r>
      <w:r>
        <w:rPr>
          <w:rFonts w:ascii="FangSong" w:hAnsi="FangSong" w:eastAsia="FangSong" w:cs="FangSong"/>
          <w:sz w:val="24"/>
          <w:szCs w:val="24"/>
          <w:spacing w:val="-4"/>
        </w:rPr>
        <w:t>进行地下水</w:t>
      </w:r>
      <w:r>
        <w:rPr>
          <w:rFonts w:ascii="FangSong" w:hAnsi="FangSong" w:eastAsia="FangSong" w:cs="FangSong"/>
          <w:sz w:val="24"/>
          <w:szCs w:val="24"/>
          <w:spacing w:val="-3"/>
        </w:rPr>
        <w:t>溶质模拟预测。</w:t>
      </w:r>
    </w:p>
    <w:p>
      <w:pPr>
        <w:ind w:left="22"/>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6.2.5.3</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预测模型</w:t>
      </w:r>
    </w:p>
    <w:p>
      <w:pPr>
        <w:ind w:left="514"/>
        <w:spacing w:before="178"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）模型选择</w:t>
      </w:r>
    </w:p>
    <w:p>
      <w:pPr>
        <w:ind w:left="29" w:right="65" w:firstLine="481"/>
        <w:spacing w:before="179" w:line="348" w:lineRule="auto"/>
        <w:rPr>
          <w:rFonts w:ascii="FangSong" w:hAnsi="FangSong" w:eastAsia="FangSong" w:cs="FangSong"/>
          <w:sz w:val="24"/>
          <w:szCs w:val="24"/>
        </w:rPr>
      </w:pPr>
      <w:r>
        <w:rPr>
          <w:rFonts w:ascii="FangSong" w:hAnsi="FangSong" w:eastAsia="FangSong" w:cs="FangSong"/>
          <w:sz w:val="24"/>
          <w:szCs w:val="24"/>
          <w:spacing w:val="-3"/>
        </w:rPr>
        <w:t>根据项目区水文地质条件及拟定污染源的排放</w:t>
      </w:r>
      <w:r>
        <w:rPr>
          <w:rFonts w:ascii="FangSong" w:hAnsi="FangSong" w:eastAsia="FangSong" w:cs="FangSong"/>
          <w:sz w:val="24"/>
          <w:szCs w:val="24"/>
          <w:spacing w:val="-4"/>
        </w:rPr>
        <w:t>方式，结合现阶段掌握的地质</w:t>
      </w:r>
      <w:r>
        <w:rPr>
          <w:rFonts w:ascii="FangSong" w:hAnsi="FangSong" w:eastAsia="FangSong" w:cs="FangSong"/>
          <w:sz w:val="24"/>
          <w:szCs w:val="24"/>
          <w:spacing w:val="2"/>
        </w:rPr>
        <w:t>勘查资料，按照《环境影响评价技术导则</w:t>
      </w:r>
      <w:r>
        <w:rPr>
          <w:rFonts w:ascii="FangSong" w:hAnsi="FangSong" w:eastAsia="FangSong" w:cs="FangSong"/>
          <w:sz w:val="24"/>
          <w:szCs w:val="24"/>
          <w:spacing w:val="2"/>
        </w:rPr>
        <w:t xml:space="preserve">  </w:t>
      </w:r>
      <w:r>
        <w:rPr>
          <w:rFonts w:ascii="FangSong" w:hAnsi="FangSong" w:eastAsia="FangSong" w:cs="FangSong"/>
          <w:sz w:val="24"/>
          <w:szCs w:val="24"/>
          <w:spacing w:val="2"/>
        </w:rPr>
        <w:t>地下水环境》（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 xml:space="preserve"> 610-2016</w:t>
      </w:r>
      <w:r>
        <w:rPr>
          <w:rFonts w:ascii="FangSong" w:hAnsi="FangSong" w:eastAsia="FangSong" w:cs="FangSong"/>
          <w:sz w:val="24"/>
          <w:szCs w:val="24"/>
          <w:spacing w:val="2"/>
        </w:rPr>
        <w:t>）对地</w:t>
      </w:r>
      <w:r>
        <w:rPr>
          <w:rFonts w:ascii="FangSong" w:hAnsi="FangSong" w:eastAsia="FangSong" w:cs="FangSong"/>
          <w:sz w:val="24"/>
          <w:szCs w:val="24"/>
          <w:spacing w:val="-3"/>
        </w:rPr>
        <w:t>下水影响预测模型的要求，由于项目所在区域地下水类型属于孔隙裂</w:t>
      </w:r>
      <w:r>
        <w:rPr>
          <w:rFonts w:ascii="FangSong" w:hAnsi="FangSong" w:eastAsia="FangSong" w:cs="FangSong"/>
          <w:sz w:val="24"/>
          <w:szCs w:val="24"/>
          <w:spacing w:val="-4"/>
        </w:rPr>
        <w:t>隙水，而孔</w:t>
      </w:r>
      <w:r>
        <w:rPr>
          <w:rFonts w:ascii="FangSong" w:hAnsi="FangSong" w:eastAsia="FangSong" w:cs="FangSong"/>
          <w:sz w:val="24"/>
          <w:szCs w:val="24"/>
          <w:spacing w:val="-3"/>
        </w:rPr>
        <w:t>隙裂隙水一般以潜水为主，根据地下水预测模型，项目区域地下水以</w:t>
      </w:r>
      <w:r>
        <w:rPr>
          <w:rFonts w:ascii="FangSong" w:hAnsi="FangSong" w:eastAsia="FangSong" w:cs="FangSong"/>
          <w:sz w:val="24"/>
          <w:szCs w:val="24"/>
          <w:spacing w:val="-4"/>
        </w:rPr>
        <w:t>潜水为主的</w:t>
      </w:r>
      <w:r>
        <w:rPr>
          <w:rFonts w:ascii="FangSong" w:hAnsi="FangSong" w:eastAsia="FangSong" w:cs="FangSong"/>
          <w:sz w:val="24"/>
          <w:szCs w:val="24"/>
          <w:spacing w:val="-3"/>
        </w:rPr>
        <w:t>区域，地下水预测模型宜采用解析模型预测污染物在含水层中的扩散</w:t>
      </w:r>
      <w:r>
        <w:rPr>
          <w:rFonts w:ascii="FangSong" w:hAnsi="FangSong" w:eastAsia="FangSong" w:cs="FangSong"/>
          <w:sz w:val="24"/>
          <w:szCs w:val="24"/>
          <w:spacing w:val="-4"/>
        </w:rPr>
        <w:t>，一维半无</w:t>
      </w:r>
      <w:r>
        <w:rPr>
          <w:rFonts w:ascii="FangSong" w:hAnsi="FangSong" w:eastAsia="FangSong" w:cs="FangSong"/>
          <w:sz w:val="24"/>
          <w:szCs w:val="24"/>
          <w:spacing w:val="-1"/>
        </w:rPr>
        <w:t>限长多孔介质柱体，一端为定浓度边界（附录</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）。不考虑</w:t>
      </w:r>
      <w:r>
        <w:rPr>
          <w:rFonts w:ascii="FangSong" w:hAnsi="FangSong" w:eastAsia="FangSong" w:cs="FangSong"/>
          <w:sz w:val="24"/>
          <w:szCs w:val="24"/>
          <w:spacing w:val="-2"/>
        </w:rPr>
        <w:t>吸附解析作用和化学</w:t>
      </w:r>
      <w:r>
        <w:rPr>
          <w:rFonts w:ascii="FangSong" w:hAnsi="FangSong" w:eastAsia="FangSong" w:cs="FangSong"/>
          <w:sz w:val="24"/>
          <w:szCs w:val="24"/>
          <w:spacing w:val="-3"/>
        </w:rPr>
        <w:t>反应作用，见公式</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3"/>
        </w:rPr>
        <w:t>6.2-11</w:t>
      </w:r>
      <w:r>
        <w:rPr>
          <w:rFonts w:ascii="FangSong" w:hAnsi="FangSong" w:eastAsia="FangSong" w:cs="FangSong"/>
          <w:sz w:val="24"/>
          <w:szCs w:val="24"/>
          <w:spacing w:val="-3"/>
        </w:rPr>
        <w:t>：</w:t>
      </w:r>
    </w:p>
    <w:p>
      <w:pPr>
        <w:ind w:left="515" w:right="1084" w:firstLine="494"/>
        <w:spacing w:before="2" w:line="330" w:lineRule="auto"/>
        <w:rPr>
          <w:rFonts w:ascii="FangSong" w:hAnsi="FangSong" w:eastAsia="FangSong" w:cs="FangSong"/>
          <w:sz w:val="24"/>
          <w:szCs w:val="24"/>
        </w:rPr>
      </w:pPr>
      <w:r>
        <w:rPr>
          <w:rFonts w:ascii="FangSong" w:hAnsi="FangSong" w:eastAsia="FangSong" w:cs="FangSong"/>
          <w:sz w:val="24"/>
          <w:szCs w:val="24"/>
        </w:rPr>
        <w:drawing>
          <wp:inline distT="0" distB="0" distL="0" distR="0">
            <wp:extent cx="2665475" cy="544067"/>
            <wp:effectExtent l="0" t="0" r="0" b="0"/>
            <wp:docPr id="96" name="IM 96"/>
            <wp:cNvGraphicFramePr/>
            <a:graphic>
              <a:graphicData uri="http://schemas.openxmlformats.org/drawingml/2006/picture">
                <pic:pic>
                  <pic:nvPicPr>
                    <pic:cNvPr id="96" name="IM 96"/>
                    <pic:cNvPicPr/>
                  </pic:nvPicPr>
                  <pic:blipFill>
                    <a:blip r:embed="rId314"/>
                    <a:stretch>
                      <a:fillRect/>
                    </a:stretch>
                  </pic:blipFill>
                  <pic:spPr>
                    <a:xfrm rot="0">
                      <a:off x="0" y="0"/>
                      <a:ext cx="2665475" cy="544067"/>
                    </a:xfrm>
                    <a:prstGeom prst="rect">
                      <a:avLst/>
                    </a:prstGeom>
                  </pic:spPr>
                </pic:pic>
              </a:graphicData>
            </a:graphic>
          </wp:inline>
        </w:drawing>
      </w:r>
      <w:r>
        <w:rPr>
          <w:rFonts w:ascii="FangSong" w:hAnsi="FangSong" w:eastAsia="FangSong" w:cs="FangSong"/>
          <w:sz w:val="24"/>
          <w:szCs w:val="24"/>
          <w:spacing w:val="1"/>
        </w:rPr>
        <w:t xml:space="preserve">    </w:t>
      </w:r>
      <w:r>
        <w:rPr>
          <w:rFonts w:ascii="FangSong" w:hAnsi="FangSong" w:eastAsia="FangSong" w:cs="FangSong"/>
          <w:sz w:val="24"/>
          <w:szCs w:val="24"/>
          <w:spacing w:val="-7"/>
        </w:rPr>
        <w:t>（公式</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6.2-</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7"/>
        </w:rPr>
        <w:t>11</w:t>
      </w:r>
      <w:r>
        <w:rPr>
          <w:rFonts w:ascii="FangSong" w:hAnsi="FangSong" w:eastAsia="FangSong" w:cs="FangSong"/>
          <w:sz w:val="24"/>
          <w:szCs w:val="24"/>
          <w:spacing w:val="-7"/>
        </w:rPr>
        <w:t>）</w:t>
      </w:r>
      <w:r>
        <w:rPr>
          <w:rFonts w:ascii="FangSong" w:hAnsi="FangSong" w:eastAsia="FangSong" w:cs="FangSong"/>
          <w:sz w:val="24"/>
          <w:szCs w:val="24"/>
          <w:spacing w:val="-2"/>
        </w:rPr>
        <w:t>式中：</w:t>
      </w:r>
      <w:r>
        <w:rPr>
          <w:rFonts w:ascii="Times New Roman" w:hAnsi="Times New Roman" w:eastAsia="Times New Roman" w:cs="Times New Roman"/>
          <w:sz w:val="24"/>
          <w:szCs w:val="24"/>
          <w:spacing w:val="-2"/>
        </w:rPr>
        <w:t>x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距注入点的距离，</w:t>
      </w:r>
      <w:r>
        <w:rPr>
          <w:rFonts w:ascii="Times New Roman" w:hAnsi="Times New Roman" w:eastAsia="Times New Roman" w:cs="Times New Roman"/>
          <w:sz w:val="24"/>
          <w:szCs w:val="24"/>
          <w:spacing w:val="-2"/>
        </w:rPr>
        <w:t>m</w:t>
      </w:r>
      <w:r>
        <w:rPr>
          <w:rFonts w:ascii="FangSong" w:hAnsi="FangSong" w:eastAsia="FangSong" w:cs="FangSong"/>
          <w:sz w:val="24"/>
          <w:szCs w:val="24"/>
          <w:spacing w:val="-2"/>
        </w:rPr>
        <w:t>；</w:t>
      </w:r>
    </w:p>
    <w:p>
      <w:pPr>
        <w:ind w:left="1216"/>
        <w:spacing w:before="41" w:line="222" w:lineRule="auto"/>
        <w:rPr>
          <w:rFonts w:ascii="FangSong" w:hAnsi="FangSong" w:eastAsia="FangSong" w:cs="FangSong"/>
          <w:sz w:val="24"/>
          <w:szCs w:val="24"/>
        </w:rPr>
      </w:pPr>
      <w:r>
        <w:rPr>
          <w:rFonts w:ascii="Times New Roman" w:hAnsi="Times New Roman" w:eastAsia="Times New Roman" w:cs="Times New Roman"/>
          <w:sz w:val="24"/>
          <w:szCs w:val="24"/>
          <w:spacing w:val="-4"/>
        </w:rPr>
        <w:t>t  </w:t>
      </w:r>
      <w:r>
        <w:rPr>
          <w:rFonts w:ascii="FangSong" w:hAnsi="FangSong" w:eastAsia="FangSong" w:cs="FangSong"/>
          <w:sz w:val="24"/>
          <w:szCs w:val="24"/>
          <w:spacing w:val="-4"/>
        </w:rPr>
        <w:t>——</w:t>
      </w:r>
      <w:r>
        <w:rPr>
          <w:rFonts w:ascii="FangSong" w:hAnsi="FangSong" w:eastAsia="FangSong" w:cs="FangSong"/>
          <w:sz w:val="24"/>
          <w:szCs w:val="24"/>
          <w:spacing w:val="35"/>
        </w:rPr>
        <w:t xml:space="preserve"> </w:t>
      </w:r>
      <w:r>
        <w:rPr>
          <w:rFonts w:ascii="FangSong" w:hAnsi="FangSong" w:eastAsia="FangSong" w:cs="FangSong"/>
          <w:sz w:val="24"/>
          <w:szCs w:val="24"/>
          <w:spacing w:val="-4"/>
        </w:rPr>
        <w:t>时间，</w:t>
      </w:r>
      <w:r>
        <w:rPr>
          <w:rFonts w:ascii="Times New Roman" w:hAnsi="Times New Roman" w:eastAsia="Times New Roman" w:cs="Times New Roman"/>
          <w:sz w:val="24"/>
          <w:szCs w:val="24"/>
          <w:spacing w:val="-4"/>
        </w:rPr>
        <w:t>d</w:t>
      </w:r>
      <w:r>
        <w:rPr>
          <w:rFonts w:ascii="FangSong" w:hAnsi="FangSong" w:eastAsia="FangSong" w:cs="FangSong"/>
          <w:sz w:val="24"/>
          <w:szCs w:val="24"/>
          <w:spacing w:val="-4"/>
        </w:rPr>
        <w:t>；</w:t>
      </w:r>
    </w:p>
    <w:p>
      <w:pPr>
        <w:ind w:left="1222"/>
        <w:spacing w:before="179"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C(x,t)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33"/>
          <w:w w:val="101"/>
        </w:rPr>
        <w:t xml:space="preserve"> </w:t>
      </w:r>
      <w:r>
        <w:rPr>
          <w:rFonts w:ascii="FangSong" w:hAnsi="FangSong" w:eastAsia="FangSong" w:cs="FangSong"/>
          <w:sz w:val="24"/>
          <w:szCs w:val="24"/>
          <w:spacing w:val="-2"/>
        </w:rPr>
        <w:t>时刻点</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2"/>
        </w:rPr>
        <w:t>处的示</w:t>
      </w:r>
      <w:r>
        <w:rPr>
          <w:rFonts w:ascii="FangSong" w:hAnsi="FangSong" w:eastAsia="FangSong" w:cs="FangSong"/>
          <w:sz w:val="24"/>
          <w:szCs w:val="24"/>
          <w:spacing w:val="-3"/>
        </w:rPr>
        <w:t>踪剂浓度，</w:t>
      </w:r>
      <w:r>
        <w:rPr>
          <w:rFonts w:ascii="Times New Roman" w:hAnsi="Times New Roman" w:eastAsia="Times New Roman" w:cs="Times New Roman"/>
          <w:sz w:val="24"/>
          <w:szCs w:val="24"/>
          <w:spacing w:val="-3"/>
        </w:rPr>
        <w:t>g/L</w:t>
      </w:r>
      <w:r>
        <w:rPr>
          <w:rFonts w:ascii="FangSong" w:hAnsi="FangSong" w:eastAsia="FangSong" w:cs="FangSong"/>
          <w:sz w:val="24"/>
          <w:szCs w:val="24"/>
          <w:spacing w:val="-3"/>
        </w:rPr>
        <w:t>；</w:t>
      </w:r>
    </w:p>
    <w:p>
      <w:pPr>
        <w:ind w:left="1222"/>
        <w:spacing w:before="192"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15"/>
          <w:szCs w:val="15"/>
          <w:spacing w:val="-2"/>
          <w:position w:val="-1"/>
        </w:rPr>
        <w:t>0   </w:t>
      </w:r>
      <w:r>
        <w:rPr>
          <w:rFonts w:ascii="FangSong" w:hAnsi="FangSong" w:eastAsia="FangSong" w:cs="FangSong"/>
          <w:sz w:val="24"/>
          <w:szCs w:val="24"/>
          <w:spacing w:val="-2"/>
        </w:rPr>
        <w:t>——</w:t>
      </w:r>
      <w:r>
        <w:rPr>
          <w:rFonts w:ascii="FangSong" w:hAnsi="FangSong" w:eastAsia="FangSong" w:cs="FangSong"/>
          <w:sz w:val="24"/>
          <w:szCs w:val="24"/>
          <w:spacing w:val="36"/>
        </w:rPr>
        <w:t xml:space="preserve"> </w:t>
      </w:r>
      <w:r>
        <w:rPr>
          <w:rFonts w:ascii="FangSong" w:hAnsi="FangSong" w:eastAsia="FangSong" w:cs="FangSong"/>
          <w:sz w:val="24"/>
          <w:szCs w:val="24"/>
          <w:spacing w:val="-2"/>
        </w:rPr>
        <w:t>注入示踪剂浓度，</w:t>
      </w:r>
      <w:r>
        <w:rPr>
          <w:rFonts w:ascii="Times New Roman" w:hAnsi="Times New Roman" w:eastAsia="Times New Roman" w:cs="Times New Roman"/>
          <w:sz w:val="24"/>
          <w:szCs w:val="24"/>
          <w:spacing w:val="-2"/>
        </w:rPr>
        <w:t>g/L</w:t>
      </w:r>
      <w:r>
        <w:rPr>
          <w:rFonts w:ascii="FangSong" w:hAnsi="FangSong" w:eastAsia="FangSong" w:cs="FangSong"/>
          <w:sz w:val="24"/>
          <w:szCs w:val="24"/>
          <w:spacing w:val="-2"/>
        </w:rPr>
        <w:t>；</w:t>
      </w:r>
    </w:p>
    <w:p>
      <w:pPr>
        <w:ind w:left="1214"/>
        <w:spacing w:before="192"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u  </w:t>
      </w:r>
      <w:r>
        <w:rPr>
          <w:rFonts w:ascii="FangSong" w:hAnsi="FangSong" w:eastAsia="FangSong" w:cs="FangSong"/>
          <w:sz w:val="24"/>
          <w:szCs w:val="24"/>
          <w:spacing w:val="-1"/>
        </w:rPr>
        <w:t>——</w:t>
      </w:r>
      <w:r>
        <w:rPr>
          <w:rFonts w:ascii="FangSong" w:hAnsi="FangSong" w:eastAsia="FangSong" w:cs="FangSong"/>
          <w:sz w:val="24"/>
          <w:szCs w:val="24"/>
          <w:spacing w:val="15"/>
        </w:rPr>
        <w:t xml:space="preserve"> </w:t>
      </w:r>
      <w:r>
        <w:rPr>
          <w:rFonts w:ascii="FangSong" w:hAnsi="FangSong" w:eastAsia="FangSong" w:cs="FangSong"/>
          <w:sz w:val="24"/>
          <w:szCs w:val="24"/>
          <w:spacing w:val="-1"/>
        </w:rPr>
        <w:t>水流速度，</w:t>
      </w:r>
      <w:r>
        <w:rPr>
          <w:rFonts w:ascii="Times New Roman" w:hAnsi="Times New Roman" w:eastAsia="Times New Roman" w:cs="Times New Roman"/>
          <w:sz w:val="24"/>
          <w:szCs w:val="24"/>
          <w:spacing w:val="-1"/>
        </w:rPr>
        <w:t>m/d</w:t>
      </w:r>
      <w:r>
        <w:rPr>
          <w:rFonts w:ascii="FangSong" w:hAnsi="FangSong" w:eastAsia="FangSong" w:cs="FangSong"/>
          <w:sz w:val="24"/>
          <w:szCs w:val="24"/>
          <w:spacing w:val="-1"/>
        </w:rPr>
        <w:t>；</w:t>
      </w:r>
    </w:p>
    <w:p>
      <w:pPr>
        <w:ind w:left="1218"/>
        <w:spacing w:before="180" w:line="222" w:lineRule="auto"/>
        <w:rPr>
          <w:rFonts w:ascii="FangSong" w:hAnsi="FangSong" w:eastAsia="FangSong" w:cs="FangSong"/>
          <w:sz w:val="24"/>
          <w:szCs w:val="24"/>
        </w:rPr>
      </w:pPr>
      <w:r>
        <w:rPr>
          <w:rFonts w:ascii="Times New Roman" w:hAnsi="Times New Roman" w:eastAsia="Times New Roman" w:cs="Times New Roman"/>
          <w:sz w:val="24"/>
          <w:szCs w:val="24"/>
          <w:spacing w:val="-1"/>
        </w:rPr>
        <w:t>D</w:t>
      </w:r>
      <w:r>
        <w:rPr>
          <w:rFonts w:ascii="Times New Roman" w:hAnsi="Times New Roman" w:eastAsia="Times New Roman" w:cs="Times New Roman"/>
          <w:sz w:val="15"/>
          <w:szCs w:val="15"/>
          <w:spacing w:val="-1"/>
          <w:position w:val="-1"/>
        </w:rPr>
        <w:t>L   </w:t>
      </w:r>
      <w:r>
        <w:rPr>
          <w:rFonts w:ascii="FangSong" w:hAnsi="FangSong" w:eastAsia="FangSong" w:cs="FangSong"/>
          <w:sz w:val="24"/>
          <w:szCs w:val="24"/>
          <w:spacing w:val="-1"/>
        </w:rPr>
        <w:t>——</w:t>
      </w:r>
      <w:r>
        <w:rPr>
          <w:rFonts w:ascii="FangSong" w:hAnsi="FangSong" w:eastAsia="FangSong" w:cs="FangSong"/>
          <w:sz w:val="24"/>
          <w:szCs w:val="24"/>
          <w:spacing w:val="28"/>
        </w:rPr>
        <w:t xml:space="preserve"> </w:t>
      </w:r>
      <w:r>
        <w:rPr>
          <w:rFonts w:ascii="FangSong" w:hAnsi="FangSong" w:eastAsia="FangSong" w:cs="FangSong"/>
          <w:sz w:val="24"/>
          <w:szCs w:val="24"/>
          <w:spacing w:val="-1"/>
        </w:rPr>
        <w:t>纵向弥散系数，</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p>
    <w:p>
      <w:pPr>
        <w:ind w:left="1222"/>
        <w:spacing w:before="179"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erfc</w:t>
      </w:r>
      <w:r>
        <w:rPr>
          <w:rFonts w:ascii="FangSong" w:hAnsi="FangSong" w:eastAsia="FangSong" w:cs="FangSong"/>
          <w:sz w:val="24"/>
          <w:szCs w:val="24"/>
          <w:spacing w:val="-14"/>
        </w:rPr>
        <w:t>（）</w:t>
      </w:r>
      <w:r>
        <w:rPr>
          <w:rFonts w:ascii="FangSong" w:hAnsi="FangSong" w:eastAsia="FangSong" w:cs="FangSong"/>
          <w:sz w:val="24"/>
          <w:szCs w:val="24"/>
          <w:spacing w:val="43"/>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余误差函数；</w:t>
      </w:r>
    </w:p>
    <w:p>
      <w:pPr>
        <w:ind w:left="30" w:firstLine="485"/>
        <w:spacing w:before="179" w:line="360" w:lineRule="auto"/>
        <w:jc w:val="both"/>
        <w:rPr>
          <w:rFonts w:ascii="FangSong" w:hAnsi="FangSong" w:eastAsia="FangSong" w:cs="FangSong"/>
          <w:sz w:val="24"/>
          <w:szCs w:val="24"/>
        </w:rPr>
      </w:pPr>
      <w:r>
        <w:rPr>
          <w:rFonts w:ascii="FangSong" w:hAnsi="FangSong" w:eastAsia="FangSong" w:cs="FangSong"/>
          <w:sz w:val="24"/>
          <w:szCs w:val="24"/>
          <w:spacing w:val="-10"/>
        </w:rPr>
        <w:t>另外，根据“地下水溶质运移常用解析解计算系统</w:t>
      </w:r>
      <w:r>
        <w:rPr>
          <w:rFonts w:ascii="FangSong" w:hAnsi="FangSong" w:eastAsia="FangSong" w:cs="FangSong"/>
          <w:sz w:val="24"/>
          <w:szCs w:val="24"/>
          <w:spacing w:val="-72"/>
        </w:rPr>
        <w:t xml:space="preserve"> </w:t>
      </w:r>
      <w:r>
        <w:rPr>
          <w:rFonts w:ascii="FangSong" w:hAnsi="FangSong" w:eastAsia="FangSong" w:cs="FangSong"/>
          <w:sz w:val="24"/>
          <w:szCs w:val="24"/>
          <w:spacing w:val="-10"/>
        </w:rPr>
        <w:t>”进行地下水的污染预测，</w:t>
      </w:r>
      <w:r>
        <w:rPr>
          <w:rFonts w:ascii="FangSong" w:hAnsi="FangSong" w:eastAsia="FangSong" w:cs="FangSong"/>
          <w:sz w:val="24"/>
          <w:szCs w:val="24"/>
          <w:spacing w:val="-3"/>
        </w:rPr>
        <w:t>根据项目区域地下水环境（潜水为主）和项目污染物的泄漏情况</w:t>
      </w:r>
      <w:r>
        <w:rPr>
          <w:rFonts w:ascii="FangSong" w:hAnsi="FangSong" w:eastAsia="FangSong" w:cs="FangSong"/>
          <w:sz w:val="24"/>
          <w:szCs w:val="24"/>
          <w:spacing w:val="-4"/>
        </w:rPr>
        <w:t>（短时泄漏）确</w:t>
      </w:r>
      <w:r>
        <w:rPr>
          <w:rFonts w:ascii="FangSong" w:hAnsi="FangSong" w:eastAsia="FangSong" w:cs="FangSong"/>
          <w:sz w:val="24"/>
          <w:szCs w:val="24"/>
          <w:spacing w:val="-2"/>
        </w:rPr>
        <w:t>定，项目地下水污染预测模型选取“一维定浓度注入解析解计算</w:t>
      </w:r>
      <w:r>
        <w:rPr>
          <w:rFonts w:ascii="FangSong" w:hAnsi="FangSong" w:eastAsia="FangSong" w:cs="FangSong"/>
          <w:sz w:val="24"/>
          <w:szCs w:val="24"/>
          <w:spacing w:val="-74"/>
        </w:rPr>
        <w:t xml:space="preserve"> </w:t>
      </w:r>
      <w:r>
        <w:rPr>
          <w:rFonts w:ascii="FangSong" w:hAnsi="FangSong" w:eastAsia="FangSong" w:cs="FangSong"/>
          <w:sz w:val="24"/>
          <w:szCs w:val="24"/>
          <w:spacing w:val="-2"/>
        </w:rPr>
        <w:t>”模型。</w:t>
      </w:r>
    </w:p>
    <w:p>
      <w:pPr>
        <w:ind w:left="30" w:right="26" w:firstLine="480"/>
        <w:spacing w:before="3" w:line="359" w:lineRule="auto"/>
        <w:jc w:val="both"/>
        <w:rPr>
          <w:rFonts w:ascii="FangSong" w:hAnsi="FangSong" w:eastAsia="FangSong" w:cs="FangSong"/>
          <w:sz w:val="24"/>
          <w:szCs w:val="24"/>
        </w:rPr>
      </w:pPr>
      <w:r>
        <w:rPr>
          <w:rFonts w:ascii="FangSong" w:hAnsi="FangSong" w:eastAsia="FangSong" w:cs="FangSong"/>
          <w:sz w:val="24"/>
          <w:szCs w:val="24"/>
          <w:spacing w:val="-2"/>
        </w:rPr>
        <w:t>本次地下水污染预测是在经过校正拟合的评价区地下水渗流</w:t>
      </w:r>
      <w:r>
        <w:rPr>
          <w:rFonts w:ascii="FangSong" w:hAnsi="FangSong" w:eastAsia="FangSong" w:cs="FangSong"/>
          <w:sz w:val="24"/>
          <w:szCs w:val="24"/>
          <w:spacing w:val="-3"/>
        </w:rPr>
        <w:t>模型的基础上，</w:t>
      </w:r>
      <w:r>
        <w:rPr>
          <w:rFonts w:ascii="FangSong" w:hAnsi="FangSong" w:eastAsia="FangSong" w:cs="FangSong"/>
          <w:sz w:val="24"/>
          <w:szCs w:val="24"/>
          <w:spacing w:val="-3"/>
        </w:rPr>
        <w:t>进行溶质运移模拟、污染预测的，所建立模型能够基本真实反映</w:t>
      </w:r>
      <w:r>
        <w:rPr>
          <w:rFonts w:ascii="FangSong" w:hAnsi="FangSong" w:eastAsia="FangSong" w:cs="FangSong"/>
          <w:sz w:val="24"/>
          <w:szCs w:val="24"/>
          <w:spacing w:val="-4"/>
        </w:rPr>
        <w:t>评价区内的水文</w:t>
      </w:r>
      <w:r>
        <w:rPr>
          <w:rFonts w:ascii="FangSong" w:hAnsi="FangSong" w:eastAsia="FangSong" w:cs="FangSong"/>
          <w:sz w:val="24"/>
          <w:szCs w:val="24"/>
          <w:spacing w:val="-1"/>
        </w:rPr>
        <w:t>地质条件，预测结果可以反映污染物在评价区内的运移扩散规律。</w:t>
      </w:r>
    </w:p>
    <w:p>
      <w:pPr>
        <w:ind w:left="514"/>
        <w:spacing w:before="1"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）模型影响限值设定</w:t>
      </w:r>
    </w:p>
    <w:p>
      <w:pPr>
        <w:spacing w:line="222" w:lineRule="auto"/>
        <w:sectPr>
          <w:footerReference w:type="default" r:id="rId313"/>
          <w:pgSz w:w="11906" w:h="16839"/>
          <w:pgMar w:top="400" w:right="1734" w:bottom="1358" w:left="1785" w:header="0" w:footer="1195" w:gutter="0"/>
        </w:sectPr>
        <w:rPr>
          <w:rFonts w:ascii="FangSong" w:hAnsi="FangSong" w:eastAsia="FangSong" w:cs="FangSong"/>
          <w:sz w:val="24"/>
          <w:szCs w:val="24"/>
        </w:rPr>
      </w:pP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22" w:right="105" w:firstLine="480"/>
        <w:spacing w:before="78" w:line="358" w:lineRule="auto"/>
        <w:jc w:val="both"/>
        <w:rPr>
          <w:rFonts w:ascii="FangSong" w:hAnsi="FangSong" w:eastAsia="FangSong" w:cs="FangSong"/>
          <w:sz w:val="24"/>
          <w:szCs w:val="24"/>
        </w:rPr>
      </w:pPr>
      <w:bookmarkStart w:name="bookmark598" w:id="408"/>
      <w:bookmarkEnd w:id="408"/>
      <w:r>
        <w:rPr>
          <w:rFonts w:ascii="FangSong" w:hAnsi="FangSong" w:eastAsia="FangSong" w:cs="FangSong"/>
          <w:sz w:val="24"/>
          <w:szCs w:val="24"/>
          <w:spacing w:val="-3"/>
        </w:rPr>
        <w:t>针对项目特点设计了不同类型的模拟情景，重点分</w:t>
      </w:r>
      <w:r>
        <w:rPr>
          <w:rFonts w:ascii="FangSong" w:hAnsi="FangSong" w:eastAsia="FangSong" w:cs="FangSong"/>
          <w:sz w:val="24"/>
          <w:szCs w:val="24"/>
          <w:spacing w:val="-4"/>
        </w:rPr>
        <w:t>析在非正常工况下，污染</w:t>
      </w:r>
      <w:r>
        <w:rPr>
          <w:rFonts w:ascii="FangSong" w:hAnsi="FangSong" w:eastAsia="FangSong" w:cs="FangSong"/>
          <w:sz w:val="24"/>
          <w:szCs w:val="24"/>
          <w:spacing w:val="-3"/>
        </w:rPr>
        <w:t>物对地下水的影响评价，根据该地区地下水质量及现状，确定以预测</w:t>
      </w:r>
      <w:r>
        <w:rPr>
          <w:rFonts w:ascii="FangSong" w:hAnsi="FangSong" w:eastAsia="FangSong" w:cs="FangSong"/>
          <w:sz w:val="24"/>
          <w:szCs w:val="24"/>
          <w:spacing w:val="-4"/>
        </w:rPr>
        <w:t>因子氟化物</w:t>
      </w:r>
      <w:r>
        <w:rPr>
          <w:rFonts w:ascii="FangSong" w:hAnsi="FangSong" w:eastAsia="FangSong" w:cs="FangSong"/>
          <w:sz w:val="24"/>
          <w:szCs w:val="24"/>
          <w:spacing w:val="-1"/>
        </w:rPr>
        <w:t>执行《地下水质量标准》（</w:t>
      </w:r>
      <w:r>
        <w:rPr>
          <w:rFonts w:ascii="Times New Roman" w:hAnsi="Times New Roman" w:eastAsia="Times New Roman" w:cs="Times New Roman"/>
          <w:sz w:val="24"/>
          <w:szCs w:val="24"/>
          <w:spacing w:val="-1"/>
        </w:rPr>
        <w:t>GB/T</w:t>
      </w:r>
      <w:r>
        <w:rPr>
          <w:rFonts w:ascii="Times New Roman" w:hAnsi="Times New Roman" w:eastAsia="Times New Roman" w:cs="Times New Roman"/>
          <w:sz w:val="24"/>
          <w:szCs w:val="24"/>
          <w:spacing w:val="40"/>
        </w:rPr>
        <w:t xml:space="preserve"> </w:t>
      </w:r>
      <w:r>
        <w:rPr>
          <w:rFonts w:ascii="Times New Roman" w:hAnsi="Times New Roman" w:eastAsia="Times New Roman" w:cs="Times New Roman"/>
          <w:sz w:val="24"/>
          <w:szCs w:val="24"/>
          <w:spacing w:val="-1"/>
        </w:rPr>
        <w:t>14848-2017</w:t>
      </w:r>
      <w:r>
        <w:rPr>
          <w:rFonts w:ascii="FangSong" w:hAnsi="FangSong" w:eastAsia="FangSong" w:cs="FangSong"/>
          <w:sz w:val="24"/>
          <w:szCs w:val="24"/>
          <w:spacing w:val="-1"/>
        </w:rPr>
        <w:t>）</w:t>
      </w:r>
      <w:r>
        <w:rPr>
          <w:rFonts w:ascii="FangSong" w:hAnsi="FangSong" w:eastAsia="FangSong" w:cs="FangSong"/>
          <w:sz w:val="24"/>
          <w:szCs w:val="24"/>
          <w:spacing w:val="-68"/>
        </w:rPr>
        <w:t xml:space="preserve"> </w:t>
      </w:r>
      <w:r>
        <w:rPr>
          <w:rFonts w:ascii="FangSong" w:hAnsi="FangSong" w:eastAsia="FangSong" w:cs="FangSong"/>
          <w:sz w:val="24"/>
          <w:szCs w:val="24"/>
          <w:spacing w:val="-1"/>
        </w:rPr>
        <w:t>中的</w:t>
      </w:r>
      <w:r>
        <w:rPr>
          <w:rFonts w:ascii="Times New Roman" w:hAnsi="Times New Roman" w:eastAsia="Times New Roman" w:cs="Times New Roman"/>
          <w:sz w:val="24"/>
          <w:szCs w:val="24"/>
          <w:spacing w:val="-1"/>
        </w:rPr>
        <w:t>Ⅲ</w:t>
      </w:r>
      <w:r>
        <w:rPr>
          <w:rFonts w:ascii="FangSong" w:hAnsi="FangSong" w:eastAsia="FangSong" w:cs="FangSong"/>
          <w:sz w:val="24"/>
          <w:szCs w:val="24"/>
          <w:spacing w:val="-1"/>
        </w:rPr>
        <w:t>类标准，标准限值分别为</w:t>
      </w:r>
      <w:r>
        <w:rPr>
          <w:rFonts w:ascii="Times New Roman" w:hAnsi="Times New Roman" w:eastAsia="Times New Roman" w:cs="Times New Roman"/>
          <w:sz w:val="24"/>
          <w:szCs w:val="24"/>
          <w:spacing w:val="-3"/>
        </w:rPr>
        <w:t>1.0mg/L</w:t>
      </w:r>
      <w:r>
        <w:rPr>
          <w:rFonts w:ascii="FangSong" w:hAnsi="FangSong" w:eastAsia="FangSong" w:cs="FangSong"/>
          <w:sz w:val="24"/>
          <w:szCs w:val="24"/>
          <w:spacing w:val="-3"/>
        </w:rPr>
        <w:t>。</w:t>
      </w:r>
    </w:p>
    <w:p>
      <w:pPr>
        <w:ind w:left="607"/>
        <w:spacing w:before="13"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）预测参数选取</w:t>
      </w:r>
    </w:p>
    <w:p>
      <w:pPr>
        <w:ind w:left="120" w:right="105" w:firstLine="483"/>
        <w:spacing w:before="178" w:line="360" w:lineRule="auto"/>
        <w:rPr>
          <w:rFonts w:ascii="FangSong" w:hAnsi="FangSong" w:eastAsia="FangSong" w:cs="FangSong"/>
          <w:sz w:val="24"/>
          <w:szCs w:val="24"/>
        </w:rPr>
      </w:pPr>
      <w:r>
        <w:rPr>
          <w:rFonts w:ascii="FangSong" w:hAnsi="FangSong" w:eastAsia="FangSong" w:cs="FangSong"/>
          <w:sz w:val="24"/>
          <w:szCs w:val="24"/>
          <w:spacing w:val="3"/>
        </w:rPr>
        <w:t>根据选取的模型分析，预测分析所需要参数包括：</w:t>
      </w:r>
      <w:r>
        <w:rPr>
          <w:rFonts w:ascii="FangSong" w:hAnsi="FangSong" w:eastAsia="FangSong" w:cs="FangSong"/>
          <w:sz w:val="24"/>
          <w:szCs w:val="24"/>
          <w:spacing w:val="2"/>
        </w:rPr>
        <w:t>含水层厚度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M</w:t>
      </w:r>
      <w:r>
        <w:rPr>
          <w:rFonts w:ascii="FangSong" w:hAnsi="FangSong" w:eastAsia="FangSong" w:cs="FangSong"/>
          <w:sz w:val="24"/>
          <w:szCs w:val="24"/>
          <w:spacing w:val="2"/>
        </w:rPr>
        <w:t>；岩层的</w:t>
      </w:r>
      <w:r>
        <w:rPr>
          <w:rFonts w:ascii="FangSong" w:hAnsi="FangSong" w:eastAsia="FangSong" w:cs="FangSong"/>
          <w:sz w:val="24"/>
          <w:szCs w:val="24"/>
        </w:rPr>
        <w:t>有效孔隙度</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rPr>
        <w:t>ne</w:t>
      </w:r>
      <w:r>
        <w:rPr>
          <w:rFonts w:ascii="FangSong" w:hAnsi="FangSong" w:eastAsia="FangSong" w:cs="FangSong"/>
          <w:sz w:val="24"/>
          <w:szCs w:val="24"/>
        </w:rPr>
        <w:t>；水流速度</w:t>
      </w:r>
      <w:r>
        <w:rPr>
          <w:rFonts w:ascii="FangSong" w:hAnsi="FangSong" w:eastAsia="FangSong" w:cs="FangSong"/>
          <w:sz w:val="24"/>
          <w:szCs w:val="24"/>
          <w:spacing w:val="-60"/>
        </w:rPr>
        <w:t xml:space="preserve"> </w:t>
      </w:r>
      <w:r>
        <w:rPr>
          <w:rFonts w:ascii="Times New Roman" w:hAnsi="Times New Roman" w:eastAsia="Times New Roman" w:cs="Times New Roman"/>
          <w:sz w:val="24"/>
          <w:szCs w:val="24"/>
        </w:rPr>
        <w:t>u</w:t>
      </w:r>
      <w:r>
        <w:rPr>
          <w:rFonts w:ascii="FangSong" w:hAnsi="FangSong" w:eastAsia="FangSong" w:cs="FangSong"/>
          <w:sz w:val="24"/>
          <w:szCs w:val="24"/>
        </w:rPr>
        <w:t>；纵向弥散系数</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z w:val="15"/>
          <w:szCs w:val="15"/>
          <w:position w:val="-1"/>
        </w:rPr>
        <w:t>L </w:t>
      </w:r>
      <w:r>
        <w:rPr>
          <w:rFonts w:ascii="FangSong" w:hAnsi="FangSong" w:eastAsia="FangSong" w:cs="FangSong"/>
          <w:sz w:val="24"/>
          <w:szCs w:val="24"/>
        </w:rPr>
        <w:t>。这些水文参数类比参考区域地</w:t>
      </w:r>
      <w:r>
        <w:rPr>
          <w:rFonts w:ascii="FangSong" w:hAnsi="FangSong" w:eastAsia="FangSong" w:cs="FangSong"/>
          <w:sz w:val="24"/>
          <w:szCs w:val="24"/>
          <w:spacing w:val="-1"/>
        </w:rPr>
        <w:t>质水文参数，类比数据具有可行性。</w:t>
      </w:r>
    </w:p>
    <w:p>
      <w:pPr>
        <w:ind w:left="604"/>
        <w:spacing w:line="221" w:lineRule="auto"/>
        <w:rPr>
          <w:rFonts w:ascii="FangSong" w:hAnsi="FangSong" w:eastAsia="FangSong" w:cs="FangSong"/>
          <w:sz w:val="24"/>
          <w:szCs w:val="24"/>
        </w:rPr>
      </w:pPr>
      <w:r>
        <w:rPr>
          <w:rFonts w:ascii="FangSong" w:hAnsi="FangSong" w:eastAsia="FangSong" w:cs="FangSong"/>
          <w:sz w:val="24"/>
          <w:szCs w:val="24"/>
          <w:spacing w:val="-1"/>
        </w:rPr>
        <w:t>含水层厚度：根据区域地下水水质地质条件，区域含水</w:t>
      </w:r>
      <w:r>
        <w:rPr>
          <w:rFonts w:ascii="FangSong" w:hAnsi="FangSong" w:eastAsia="FangSong" w:cs="FangSong"/>
          <w:sz w:val="24"/>
          <w:szCs w:val="24"/>
          <w:spacing w:val="-2"/>
        </w:rPr>
        <w:t>层厚度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1.0-5.0m</w:t>
      </w:r>
      <w:r>
        <w:rPr>
          <w:rFonts w:ascii="FangSong" w:hAnsi="FangSong" w:eastAsia="FangSong" w:cs="FangSong"/>
          <w:sz w:val="24"/>
          <w:szCs w:val="24"/>
          <w:spacing w:val="-2"/>
        </w:rPr>
        <w:t>。</w:t>
      </w:r>
    </w:p>
    <w:p>
      <w:pPr>
        <w:ind w:left="127" w:right="162" w:firstLine="472"/>
        <w:spacing w:before="181" w:line="343" w:lineRule="auto"/>
        <w:rPr>
          <w:rFonts w:ascii="FangSong" w:hAnsi="FangSong" w:eastAsia="FangSong" w:cs="FangSong"/>
          <w:sz w:val="24"/>
          <w:szCs w:val="24"/>
        </w:rPr>
      </w:pPr>
      <w:r>
        <w:rPr>
          <w:rFonts w:ascii="FangSong" w:hAnsi="FangSong" w:eastAsia="FangSong" w:cs="FangSong"/>
          <w:sz w:val="24"/>
          <w:szCs w:val="24"/>
          <w:spacing w:val="1"/>
        </w:rPr>
        <w:t>有效孔隙度</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rPr>
        <w:t>ne</w:t>
      </w:r>
      <w:r>
        <w:rPr>
          <w:rFonts w:ascii="FangSong" w:hAnsi="FangSong" w:eastAsia="FangSong" w:cs="FangSong"/>
          <w:sz w:val="24"/>
          <w:szCs w:val="24"/>
          <w:spacing w:val="1"/>
        </w:rPr>
        <w:t>：预测含水层上部为黄褐色粉质粘土夹淤泥</w:t>
      </w:r>
      <w:r>
        <w:rPr>
          <w:rFonts w:ascii="FangSong" w:hAnsi="FangSong" w:eastAsia="FangSong" w:cs="FangSong"/>
          <w:sz w:val="24"/>
          <w:szCs w:val="24"/>
        </w:rPr>
        <w:t>及泥炭透镜体，</w:t>
      </w:r>
      <w:r>
        <w:rPr>
          <w:rFonts w:ascii="FangSong" w:hAnsi="FangSong" w:eastAsia="FangSong" w:cs="FangSong"/>
          <w:sz w:val="24"/>
          <w:szCs w:val="24"/>
          <w:spacing w:val="-2"/>
        </w:rPr>
        <w:t>下部为细砂。有效孔隙度取</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0.2</w:t>
      </w:r>
      <w:r>
        <w:rPr>
          <w:rFonts w:ascii="FangSong" w:hAnsi="FangSong" w:eastAsia="FangSong" w:cs="FangSong"/>
          <w:sz w:val="24"/>
          <w:szCs w:val="24"/>
          <w:spacing w:val="-2"/>
        </w:rPr>
        <w:t>；</w:t>
      </w:r>
    </w:p>
    <w:p>
      <w:pPr>
        <w:ind w:left="125" w:right="105" w:firstLine="476"/>
        <w:spacing w:before="2" w:line="355" w:lineRule="auto"/>
        <w:rPr>
          <w:rFonts w:ascii="FangSong" w:hAnsi="FangSong" w:eastAsia="FangSong" w:cs="FangSong"/>
          <w:sz w:val="24"/>
          <w:szCs w:val="24"/>
        </w:rPr>
      </w:pPr>
      <w:r>
        <w:rPr>
          <w:rFonts w:ascii="FangSong" w:hAnsi="FangSong" w:eastAsia="FangSong" w:cs="FangSong"/>
          <w:sz w:val="24"/>
          <w:szCs w:val="24"/>
          <w:spacing w:val="-3"/>
        </w:rPr>
        <w:t>水流速度：渗透系数</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K=0.07m/d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，地</w:t>
      </w:r>
      <w:r>
        <w:rPr>
          <w:rFonts w:ascii="FangSong" w:hAnsi="FangSong" w:eastAsia="FangSong" w:cs="FangSong"/>
          <w:sz w:val="24"/>
          <w:szCs w:val="24"/>
          <w:spacing w:val="-4"/>
        </w:rPr>
        <w:t>下水水力坡度</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4"/>
        </w:rPr>
        <w:t>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0.0055</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，因此根据达</w:t>
      </w:r>
      <w:r>
        <w:rPr>
          <w:rFonts w:ascii="FangSong" w:hAnsi="FangSong" w:eastAsia="FangSong" w:cs="FangSong"/>
          <w:sz w:val="24"/>
          <w:szCs w:val="24"/>
          <w:spacing w:val="-2"/>
        </w:rPr>
        <w:t>西定律实际平均流速为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0.04125m/d</w:t>
      </w:r>
      <w:r>
        <w:rPr>
          <w:rFonts w:ascii="FangSong" w:hAnsi="FangSong" w:eastAsia="FangSong" w:cs="FangSong"/>
          <w:sz w:val="24"/>
          <w:szCs w:val="24"/>
          <w:spacing w:val="-2"/>
        </w:rPr>
        <w:t>。</w:t>
      </w:r>
    </w:p>
    <w:p>
      <w:pPr>
        <w:ind w:left="112" w:right="105" w:firstLine="491"/>
        <w:spacing w:before="52" w:line="355" w:lineRule="auto"/>
        <w:jc w:val="both"/>
        <w:rPr>
          <w:rFonts w:ascii="FangSong" w:hAnsi="FangSong" w:eastAsia="FangSong" w:cs="FangSong"/>
          <w:sz w:val="24"/>
          <w:szCs w:val="24"/>
        </w:rPr>
      </w:pPr>
      <w:r>
        <w:rPr>
          <w:rFonts w:ascii="FangSong" w:hAnsi="FangSong" w:eastAsia="FangSong" w:cs="FangSong"/>
          <w:sz w:val="24"/>
          <w:szCs w:val="24"/>
          <w:spacing w:val="-3"/>
        </w:rPr>
        <w:t>纵向弥散系数：弥散系数一般是通过野外弥散</w:t>
      </w:r>
      <w:r>
        <w:rPr>
          <w:rFonts w:ascii="FangSong" w:hAnsi="FangSong" w:eastAsia="FangSong" w:cs="FangSong"/>
          <w:sz w:val="24"/>
          <w:szCs w:val="24"/>
          <w:spacing w:val="-4"/>
        </w:rPr>
        <w:t>或室内土柱实验确定，但是由</w:t>
      </w:r>
      <w:r>
        <w:rPr>
          <w:rFonts w:ascii="FangSong" w:hAnsi="FangSong" w:eastAsia="FangSong" w:cs="FangSong"/>
          <w:sz w:val="24"/>
          <w:szCs w:val="24"/>
          <w:spacing w:val="-3"/>
        </w:rPr>
        <w:t>于弥散系数的尺度效应，野外试验和土柱实验均不能较直观的反应污染场地的弥</w:t>
      </w:r>
      <w:r>
        <w:rPr>
          <w:rFonts w:ascii="FangSong" w:hAnsi="FangSong" w:eastAsia="FangSong" w:cs="FangSong"/>
          <w:sz w:val="24"/>
          <w:szCs w:val="24"/>
          <w:spacing w:val="-3"/>
        </w:rPr>
        <w:t>散系数。根据《水文地质学》对于弥散系数的经验值，在本次工作中结合地层岩</w:t>
      </w:r>
      <w:r>
        <w:rPr>
          <w:rFonts w:ascii="FangSong" w:hAnsi="FangSong" w:eastAsia="FangSong" w:cs="FangSong"/>
          <w:sz w:val="24"/>
          <w:szCs w:val="24"/>
          <w:spacing w:val="11"/>
        </w:rPr>
        <w:t>性特征和尺度特征以及地层结构、含水层岩性，确定论证区纵向弥散系数为</w:t>
      </w:r>
      <w:r>
        <w:rPr>
          <w:rFonts w:ascii="Times New Roman" w:hAnsi="Times New Roman" w:eastAsia="Times New Roman" w:cs="Times New Roman"/>
          <w:sz w:val="24"/>
          <w:szCs w:val="24"/>
          <w:spacing w:val="-1"/>
        </w:rPr>
        <w:t>2.0m</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w:t>
      </w:r>
    </w:p>
    <w:p>
      <w:pPr>
        <w:ind w:left="122" w:right="63" w:firstLine="484"/>
        <w:spacing w:before="30" w:line="360" w:lineRule="auto"/>
        <w:jc w:val="both"/>
        <w:rPr>
          <w:rFonts w:ascii="FangSong" w:hAnsi="FangSong" w:eastAsia="FangSong" w:cs="FangSong"/>
          <w:sz w:val="24"/>
          <w:szCs w:val="24"/>
        </w:rPr>
      </w:pPr>
      <w:r>
        <w:rPr>
          <w:rFonts w:ascii="FangSong" w:hAnsi="FangSong" w:eastAsia="FangSong" w:cs="FangSong"/>
          <w:sz w:val="24"/>
          <w:szCs w:val="24"/>
          <w:spacing w:val="-4"/>
        </w:rPr>
        <w:t>污水站废水泄漏量：当回水池发生破裂，出现污染事故时，会泄漏渗滤液造</w:t>
      </w:r>
      <w:r>
        <w:rPr>
          <w:rFonts w:ascii="FangSong" w:hAnsi="FangSong" w:eastAsia="FangSong" w:cs="FangSong"/>
          <w:sz w:val="24"/>
          <w:szCs w:val="24"/>
          <w:spacing w:val="-2"/>
        </w:rPr>
        <w:t>成污染。按照《给水排水构筑物工程施工及验收规范》（</w:t>
      </w:r>
      <w:r>
        <w:rPr>
          <w:rFonts w:ascii="Times New Roman" w:hAnsi="Times New Roman" w:eastAsia="Times New Roman" w:cs="Times New Roman"/>
          <w:sz w:val="24"/>
          <w:szCs w:val="24"/>
          <w:spacing w:val="-2"/>
        </w:rPr>
        <w:t>GB5</w:t>
      </w:r>
      <w:r>
        <w:rPr>
          <w:rFonts w:ascii="Times New Roman" w:hAnsi="Times New Roman" w:eastAsia="Times New Roman" w:cs="Times New Roman"/>
          <w:sz w:val="24"/>
          <w:szCs w:val="24"/>
          <w:spacing w:val="-3"/>
        </w:rPr>
        <w:t>0141</w:t>
      </w:r>
      <w:r>
        <w:rPr>
          <w:rFonts w:ascii="FangSong" w:hAnsi="FangSong" w:eastAsia="FangSong" w:cs="FangSong"/>
          <w:sz w:val="24"/>
          <w:szCs w:val="24"/>
          <w:spacing w:val="-2"/>
        </w:rPr>
        <w:t>），</w:t>
      </w:r>
      <w:r>
        <w:rPr>
          <w:rFonts w:ascii="FangSong" w:hAnsi="FangSong" w:eastAsia="FangSong" w:cs="FangSong"/>
          <w:sz w:val="24"/>
          <w:szCs w:val="24"/>
          <w:spacing w:val="-3"/>
        </w:rPr>
        <w:t>钢筋砼条</w:t>
      </w:r>
      <w:r>
        <w:rPr>
          <w:rFonts w:ascii="FangSong" w:hAnsi="FangSong" w:eastAsia="FangSong" w:cs="FangSong"/>
          <w:sz w:val="24"/>
          <w:szCs w:val="24"/>
          <w:spacing w:val="-1"/>
        </w:rPr>
        <w:t>基基础水池正常状况下的渗水量不得超过</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2L/</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24"/>
          <w:szCs w:val="24"/>
          <w:spacing w:val="-1"/>
        </w:rPr>
        <w:t>·d</w:t>
      </w:r>
      <w:r>
        <w:rPr>
          <w:rFonts w:ascii="FangSong" w:hAnsi="FangSong" w:eastAsia="FangSong" w:cs="FangSong"/>
          <w:sz w:val="24"/>
          <w:szCs w:val="24"/>
          <w:spacing w:val="12"/>
        </w:rPr>
        <w:t>），</w:t>
      </w:r>
      <w:r>
        <w:rPr>
          <w:rFonts w:ascii="FangSong" w:hAnsi="FangSong" w:eastAsia="FangSong" w:cs="FangSong"/>
          <w:sz w:val="24"/>
          <w:szCs w:val="24"/>
          <w:spacing w:val="-1"/>
        </w:rPr>
        <w:t>非正常状况下的污水泄</w:t>
      </w:r>
      <w:r>
        <w:rPr>
          <w:rFonts w:ascii="FangSong" w:hAnsi="FangSong" w:eastAsia="FangSong" w:cs="FangSong"/>
          <w:sz w:val="24"/>
          <w:szCs w:val="24"/>
          <w:spacing w:val="1"/>
        </w:rPr>
        <w:t>漏量按照正常状况下的污水渗漏量的</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1"/>
        </w:rPr>
        <w:t>倍计算，由此计算得非正常状况下回水</w:t>
      </w:r>
      <w:r>
        <w:rPr>
          <w:rFonts w:ascii="FangSong" w:hAnsi="FangSong" w:eastAsia="FangSong" w:cs="FangSong"/>
          <w:sz w:val="24"/>
          <w:szCs w:val="24"/>
          <w:spacing w:val="-1"/>
        </w:rPr>
        <w:t>池中生产废水最大泄漏量为</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1"/>
        </w:rPr>
        <w:t>192000.0L/d</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，氟化物的泄露浓度参考《苏尼特右旗</w:t>
      </w:r>
      <w:r>
        <w:rPr>
          <w:rFonts w:ascii="FangSong" w:hAnsi="FangSong" w:eastAsia="FangSong" w:cs="FangSong"/>
          <w:sz w:val="24"/>
          <w:szCs w:val="24"/>
          <w:spacing w:val="-3"/>
        </w:rPr>
        <w:t>珑辉矿业有限责任公司萤石选厂技术改造项目（变更）环境影响报</w:t>
      </w:r>
      <w:r>
        <w:rPr>
          <w:rFonts w:ascii="FangSong" w:hAnsi="FangSong" w:eastAsia="FangSong" w:cs="FangSong"/>
          <w:sz w:val="24"/>
          <w:szCs w:val="24"/>
          <w:spacing w:val="-4"/>
        </w:rPr>
        <w:t>告书》（该项</w:t>
      </w:r>
      <w:r>
        <w:rPr>
          <w:rFonts w:ascii="FangSong" w:hAnsi="FangSong" w:eastAsia="FangSong" w:cs="FangSong"/>
          <w:sz w:val="24"/>
          <w:szCs w:val="24"/>
          <w:spacing w:val="-4"/>
        </w:rPr>
        <w:t>目位于本项目采区北侧紧邻）泄漏浓度为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4"/>
        </w:rPr>
        <w:t>6.67mg/L</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，故泄露量为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1280.64g/d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w:t>
      </w:r>
    </w:p>
    <w:p>
      <w:pPr>
        <w:ind w:left="604"/>
        <w:spacing w:before="5" w:line="222" w:lineRule="auto"/>
        <w:rPr>
          <w:rFonts w:ascii="FangSong" w:hAnsi="FangSong" w:eastAsia="FangSong" w:cs="FangSong"/>
          <w:sz w:val="24"/>
          <w:szCs w:val="24"/>
        </w:rPr>
      </w:pPr>
      <w:r>
        <w:rPr>
          <w:rFonts w:ascii="FangSong" w:hAnsi="FangSong" w:eastAsia="FangSong" w:cs="FangSong"/>
          <w:sz w:val="24"/>
          <w:szCs w:val="24"/>
          <w:spacing w:val="-3"/>
        </w:rPr>
        <w:t>预测参数选取见表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3"/>
        </w:rPr>
        <w:t>6.2-9</w:t>
      </w:r>
      <w:r>
        <w:rPr>
          <w:rFonts w:ascii="FangSong" w:hAnsi="FangSong" w:eastAsia="FangSong" w:cs="FangSong"/>
          <w:sz w:val="24"/>
          <w:szCs w:val="24"/>
          <w:spacing w:val="-3"/>
        </w:rPr>
        <w:t>。</w:t>
      </w:r>
    </w:p>
    <w:p>
      <w:pPr>
        <w:ind w:left="1768"/>
        <w:spacing w:before="179"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b/>
          <w:bCs/>
          <w:spacing w:val="-3"/>
        </w:rPr>
        <w:t>6.2-9  </w:t>
      </w:r>
      <w:r>
        <w:rPr>
          <w:rFonts w:ascii="FangSong" w:hAnsi="FangSong" w:eastAsia="FangSong" w:cs="FangSong"/>
          <w:sz w:val="24"/>
          <w:szCs w:val="24"/>
          <w:b/>
          <w:bCs/>
          <w:spacing w:val="-3"/>
        </w:rPr>
        <w:t>非正常状况地下水预测参数选取一览表</w:t>
      </w:r>
    </w:p>
    <w:p>
      <w:pPr>
        <w:spacing w:line="65"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2"/>
        <w:gridCol w:w="1075"/>
        <w:gridCol w:w="786"/>
        <w:gridCol w:w="1048"/>
        <w:gridCol w:w="4158"/>
      </w:tblGrid>
      <w:tr>
        <w:trPr>
          <w:trHeight w:val="315" w:hRule="atLeast"/>
        </w:trPr>
        <w:tc>
          <w:tcPr>
            <w:tcW w:w="1452" w:type="dxa"/>
            <w:vAlign w:val="top"/>
            <w:tcBorders>
              <w:top w:val="single" w:color="000000" w:sz="10" w:space="0"/>
              <w:left w:val="nil"/>
            </w:tcBorders>
          </w:tcPr>
          <w:p>
            <w:pPr>
              <w:pStyle w:val="TableText"/>
              <w:ind w:left="529"/>
              <w:spacing w:before="55" w:line="230" w:lineRule="auto"/>
              <w:rPr/>
            </w:pPr>
            <w:r>
              <w:rPr>
                <w:spacing w:val="1"/>
              </w:rPr>
              <w:t>项目</w:t>
            </w:r>
          </w:p>
        </w:tc>
        <w:tc>
          <w:tcPr>
            <w:tcW w:w="1075" w:type="dxa"/>
            <w:vAlign w:val="top"/>
            <w:tcBorders>
              <w:top w:val="single" w:color="000000" w:sz="10" w:space="0"/>
            </w:tcBorders>
          </w:tcPr>
          <w:p>
            <w:pPr>
              <w:pStyle w:val="TableText"/>
              <w:ind w:left="129"/>
              <w:spacing w:before="55" w:line="230" w:lineRule="auto"/>
              <w:rPr/>
            </w:pPr>
            <w:r>
              <w:rPr>
                <w:spacing w:val="5"/>
              </w:rPr>
              <w:t>预测因子</w:t>
            </w:r>
          </w:p>
        </w:tc>
        <w:tc>
          <w:tcPr>
            <w:tcW w:w="786" w:type="dxa"/>
            <w:vAlign w:val="top"/>
            <w:tcBorders>
              <w:top w:val="single" w:color="000000" w:sz="10" w:space="0"/>
            </w:tcBorders>
          </w:tcPr>
          <w:p>
            <w:pPr>
              <w:pStyle w:val="TableText"/>
              <w:ind w:left="199"/>
              <w:spacing w:before="56" w:line="229" w:lineRule="auto"/>
              <w:rPr/>
            </w:pPr>
            <w:r>
              <w:rPr>
                <w:spacing w:val="-1"/>
              </w:rPr>
              <w:t>单位</w:t>
            </w:r>
          </w:p>
        </w:tc>
        <w:tc>
          <w:tcPr>
            <w:tcW w:w="1048" w:type="dxa"/>
            <w:vAlign w:val="top"/>
            <w:tcBorders>
              <w:top w:val="single" w:color="000000" w:sz="10" w:space="0"/>
            </w:tcBorders>
          </w:tcPr>
          <w:p>
            <w:pPr>
              <w:pStyle w:val="TableText"/>
              <w:ind w:left="326"/>
              <w:spacing w:before="55" w:line="230" w:lineRule="auto"/>
              <w:rPr/>
            </w:pPr>
            <w:r>
              <w:rPr>
                <w:spacing w:val="1"/>
              </w:rPr>
              <w:t>取值</w:t>
            </w:r>
          </w:p>
        </w:tc>
        <w:tc>
          <w:tcPr>
            <w:tcW w:w="4158" w:type="dxa"/>
            <w:vAlign w:val="top"/>
            <w:tcBorders>
              <w:top w:val="single" w:color="000000" w:sz="10" w:space="0"/>
              <w:right w:val="nil"/>
            </w:tcBorders>
          </w:tcPr>
          <w:p>
            <w:pPr>
              <w:pStyle w:val="TableText"/>
              <w:ind w:left="1673"/>
              <w:spacing w:before="55" w:line="230" w:lineRule="auto"/>
              <w:rPr/>
            </w:pPr>
            <w:r>
              <w:rPr>
                <w:spacing w:val="5"/>
              </w:rPr>
              <w:t>选取依据</w:t>
            </w:r>
          </w:p>
        </w:tc>
      </w:tr>
      <w:tr>
        <w:trPr>
          <w:trHeight w:val="944" w:hRule="atLeast"/>
        </w:trPr>
        <w:tc>
          <w:tcPr>
            <w:tcW w:w="1452" w:type="dxa"/>
            <w:vAlign w:val="top"/>
            <w:tcBorders>
              <w:bottom w:val="single" w:color="000000" w:sz="10" w:space="0"/>
              <w:left w:val="nil"/>
            </w:tcBorders>
          </w:tcPr>
          <w:p>
            <w:pPr>
              <w:spacing w:line="301" w:lineRule="auto"/>
              <w:rPr>
                <w:rFonts w:ascii="Arial"/>
                <w:sz w:val="21"/>
              </w:rPr>
            </w:pPr>
            <w:r/>
          </w:p>
          <w:p>
            <w:pPr>
              <w:pStyle w:val="TableText"/>
              <w:ind w:left="239"/>
              <w:spacing w:before="65" w:line="232" w:lineRule="auto"/>
              <w:rPr/>
            </w:pPr>
            <w:r>
              <w:rPr>
                <w:spacing w:val="1"/>
              </w:rPr>
              <w:t>回水池泄露</w:t>
            </w:r>
          </w:p>
        </w:tc>
        <w:tc>
          <w:tcPr>
            <w:tcW w:w="1075" w:type="dxa"/>
            <w:vAlign w:val="top"/>
            <w:tcBorders>
              <w:bottom w:val="single" w:color="000000" w:sz="10" w:space="0"/>
            </w:tcBorders>
          </w:tcPr>
          <w:p>
            <w:pPr>
              <w:spacing w:line="302" w:lineRule="auto"/>
              <w:rPr>
                <w:rFonts w:ascii="Arial"/>
                <w:sz w:val="21"/>
              </w:rPr>
            </w:pPr>
            <w:r/>
          </w:p>
          <w:p>
            <w:pPr>
              <w:pStyle w:val="TableText"/>
              <w:ind w:left="239"/>
              <w:spacing w:before="65" w:line="229" w:lineRule="auto"/>
              <w:rPr/>
            </w:pPr>
            <w:r>
              <w:rPr>
                <w:spacing w:val="3"/>
              </w:rPr>
              <w:t>氟化物</w:t>
            </w:r>
          </w:p>
        </w:tc>
        <w:tc>
          <w:tcPr>
            <w:tcW w:w="786" w:type="dxa"/>
            <w:vAlign w:val="top"/>
            <w:tcBorders>
              <w:bottom w:val="single" w:color="000000" w:sz="10" w:space="0"/>
            </w:tcBorders>
          </w:tcPr>
          <w:p>
            <w:pPr>
              <w:spacing w:line="341" w:lineRule="auto"/>
              <w:rPr>
                <w:rFonts w:ascii="Arial"/>
                <w:sz w:val="21"/>
              </w:rPr>
            </w:pPr>
            <w:r/>
          </w:p>
          <w:p>
            <w:pPr>
              <w:ind w:left="163"/>
              <w:spacing w:before="5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1048" w:type="dxa"/>
            <w:vAlign w:val="top"/>
            <w:tcBorders>
              <w:bottom w:val="single" w:color="000000" w:sz="10" w:space="0"/>
            </w:tcBorders>
          </w:tcPr>
          <w:p>
            <w:pPr>
              <w:spacing w:line="345" w:lineRule="auto"/>
              <w:rPr>
                <w:rFonts w:ascii="Arial"/>
                <w:sz w:val="21"/>
              </w:rPr>
            </w:pPr>
            <w:r/>
          </w:p>
          <w:p>
            <w:pPr>
              <w:ind w:left="34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6.67</w:t>
            </w:r>
          </w:p>
        </w:tc>
        <w:tc>
          <w:tcPr>
            <w:tcW w:w="4158" w:type="dxa"/>
            <w:vAlign w:val="top"/>
            <w:tcBorders>
              <w:bottom w:val="single" w:color="000000" w:sz="10" w:space="0"/>
              <w:right w:val="nil"/>
            </w:tcBorders>
          </w:tcPr>
          <w:p>
            <w:pPr>
              <w:pStyle w:val="TableText"/>
              <w:ind w:left="118" w:right="110" w:firstLine="3"/>
              <w:spacing w:before="56" w:line="270" w:lineRule="auto"/>
              <w:jc w:val="both"/>
              <w:rPr/>
            </w:pPr>
            <w:r>
              <w:rPr>
                <w:spacing w:val="6"/>
              </w:rPr>
              <w:t>参考《苏尼特右旗珑辉矿业有限责任公司萤</w:t>
            </w:r>
            <w:r>
              <w:rPr>
                <w:spacing w:val="6"/>
              </w:rPr>
              <w:t>石选厂技术改造项目（变更）环境影响报告</w:t>
            </w:r>
            <w:r>
              <w:rPr>
                <w:spacing w:val="13"/>
              </w:rPr>
              <w:t>书》（该项目位于本项目采区北侧紧邻）</w:t>
            </w:r>
          </w:p>
        </w:tc>
      </w:tr>
    </w:tbl>
    <w:p>
      <w:pPr>
        <w:pStyle w:val="BodyText"/>
        <w:spacing w:line="79" w:lineRule="exact"/>
        <w:rPr>
          <w:sz w:val="6"/>
        </w:rPr>
      </w:pPr>
      <w:r/>
    </w:p>
    <w:p>
      <w:pPr>
        <w:spacing w:line="79" w:lineRule="exact"/>
        <w:sectPr>
          <w:footerReference w:type="default" r:id="rId315"/>
          <w:pgSz w:w="11906" w:h="16839"/>
          <w:pgMar w:top="400" w:right="1693" w:bottom="1358" w:left="1693" w:header="0" w:footer="1195" w:gutter="0"/>
        </w:sectPr>
        <w:rPr>
          <w:sz w:val="6"/>
          <w:szCs w:val="6"/>
        </w:rPr>
      </w:pPr>
    </w:p>
    <w:p>
      <w:pPr>
        <w:spacing w:before="19"/>
        <w:rPr/>
      </w:pPr>
      <w:r/>
    </w:p>
    <w:p>
      <w:pPr>
        <w:spacing w:before="19"/>
        <w:rPr/>
      </w:pPr>
      <w:r/>
    </w:p>
    <w:p>
      <w:pPr>
        <w:spacing w:before="18"/>
        <w:rPr/>
      </w:pPr>
      <w:r/>
    </w:p>
    <w:p>
      <w:pPr>
        <w:spacing w:before="18"/>
        <w:rPr/>
      </w:pPr>
      <w:r/>
    </w:p>
    <w:tbl>
      <w:tblPr>
        <w:tblStyle w:val="TableNormal"/>
        <w:tblW w:w="8519" w:type="dxa"/>
        <w:tblInd w:w="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27"/>
        <w:gridCol w:w="786"/>
        <w:gridCol w:w="1048"/>
        <w:gridCol w:w="4158"/>
      </w:tblGrid>
      <w:tr>
        <w:trPr>
          <w:trHeight w:val="936" w:hRule="atLeast"/>
        </w:trPr>
        <w:tc>
          <w:tcPr>
            <w:tcW w:w="2527" w:type="dxa"/>
            <w:vAlign w:val="top"/>
            <w:tcBorders>
              <w:left w:val="nil"/>
              <w:top w:val="single" w:color="000000" w:sz="10" w:space="0"/>
            </w:tcBorders>
          </w:tcPr>
          <w:p>
            <w:pPr>
              <w:spacing w:line="300" w:lineRule="auto"/>
              <w:rPr>
                <w:rFonts w:ascii="Arial"/>
                <w:sz w:val="21"/>
              </w:rPr>
            </w:pPr>
            <w:r/>
          </w:p>
          <w:p>
            <w:pPr>
              <w:pStyle w:val="TableText"/>
              <w:ind w:left="856"/>
              <w:spacing w:before="65" w:line="232" w:lineRule="auto"/>
              <w:rPr/>
            </w:pPr>
            <w:r>
              <w:rPr>
                <w:spacing w:val="6"/>
              </w:rPr>
              <w:t>水流速度</w:t>
            </w:r>
          </w:p>
        </w:tc>
        <w:tc>
          <w:tcPr>
            <w:tcW w:w="786" w:type="dxa"/>
            <w:vAlign w:val="top"/>
            <w:tcBorders>
              <w:top w:val="single" w:color="000000" w:sz="10" w:space="0"/>
            </w:tcBorders>
          </w:tcPr>
          <w:p>
            <w:pPr>
              <w:spacing w:line="340" w:lineRule="auto"/>
              <w:rPr>
                <w:rFonts w:ascii="Arial"/>
                <w:sz w:val="21"/>
              </w:rPr>
            </w:pPr>
            <w:r/>
          </w:p>
          <w:p>
            <w:pPr>
              <w:ind w:left="228"/>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m/d</w:t>
            </w:r>
          </w:p>
        </w:tc>
        <w:tc>
          <w:tcPr>
            <w:tcW w:w="1048" w:type="dxa"/>
            <w:vAlign w:val="top"/>
            <w:tcBorders>
              <w:top w:val="single" w:color="000000" w:sz="10" w:space="0"/>
            </w:tcBorders>
          </w:tcPr>
          <w:p>
            <w:pPr>
              <w:spacing w:line="343" w:lineRule="auto"/>
              <w:rPr>
                <w:rFonts w:ascii="Arial"/>
                <w:sz w:val="21"/>
              </w:rPr>
            </w:pPr>
            <w:r/>
          </w:p>
          <w:p>
            <w:pPr>
              <w:ind w:left="18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0.04123</w:t>
            </w:r>
          </w:p>
        </w:tc>
        <w:tc>
          <w:tcPr>
            <w:tcW w:w="4158" w:type="dxa"/>
            <w:vAlign w:val="top"/>
            <w:tcBorders>
              <w:right w:val="nil"/>
              <w:top w:val="single" w:color="000000" w:sz="10" w:space="0"/>
            </w:tcBorders>
          </w:tcPr>
          <w:p>
            <w:pPr>
              <w:pStyle w:val="TableText"/>
              <w:ind w:left="119"/>
              <w:spacing w:before="18" w:line="281" w:lineRule="exact"/>
              <w:rPr/>
            </w:pPr>
            <w:r>
              <w:rPr>
                <w:spacing w:val="4"/>
                <w:position w:val="1"/>
              </w:rPr>
              <w:t>渗透系数</w:t>
            </w:r>
            <w:r>
              <w:rPr>
                <w:spacing w:val="-24"/>
                <w:position w:val="1"/>
              </w:rPr>
              <w:t xml:space="preserve"> </w:t>
            </w:r>
            <w:r>
              <w:rPr>
                <w:rFonts w:ascii="Times New Roman" w:hAnsi="Times New Roman" w:eastAsia="Times New Roman" w:cs="Times New Roman"/>
                <w:spacing w:val="4"/>
                <w:position w:val="1"/>
              </w:rPr>
              <w:t>K=0.07m/d</w:t>
            </w:r>
            <w:r>
              <w:rPr>
                <w:rFonts w:ascii="Times New Roman" w:hAnsi="Times New Roman" w:eastAsia="Times New Roman" w:cs="Times New Roman"/>
                <w:spacing w:val="-20"/>
                <w:position w:val="1"/>
              </w:rPr>
              <w:t xml:space="preserve"> </w:t>
            </w:r>
            <w:r>
              <w:rPr>
                <w:spacing w:val="4"/>
                <w:position w:val="1"/>
              </w:rPr>
              <w:t>，地下水水力坡度</w:t>
            </w:r>
            <w:r>
              <w:rPr>
                <w:spacing w:val="-40"/>
                <w:position w:val="1"/>
              </w:rPr>
              <w:t xml:space="preserve"> </w:t>
            </w:r>
            <w:r>
              <w:rPr>
                <w:rFonts w:ascii="Times New Roman" w:hAnsi="Times New Roman" w:eastAsia="Times New Roman" w:cs="Times New Roman"/>
                <w:spacing w:val="4"/>
                <w:position w:val="1"/>
              </w:rPr>
              <w:t>I</w:t>
            </w:r>
            <w:r>
              <w:rPr>
                <w:rFonts w:ascii="Times New Roman" w:hAnsi="Times New Roman" w:eastAsia="Times New Roman" w:cs="Times New Roman"/>
                <w:spacing w:val="24"/>
                <w:w w:val="101"/>
                <w:position w:val="1"/>
              </w:rPr>
              <w:t xml:space="preserve"> </w:t>
            </w:r>
            <w:r>
              <w:rPr>
                <w:spacing w:val="4"/>
                <w:position w:val="1"/>
              </w:rPr>
              <w:t>为</w:t>
            </w:r>
          </w:p>
          <w:p>
            <w:pPr>
              <w:pStyle w:val="TableText"/>
              <w:ind w:left="111"/>
              <w:spacing w:before="68" w:line="229" w:lineRule="auto"/>
              <w:rPr/>
            </w:pPr>
            <w:r>
              <w:rPr>
                <w:rFonts w:ascii="Times New Roman" w:hAnsi="Times New Roman" w:eastAsia="Times New Roman" w:cs="Times New Roman"/>
                <w:spacing w:val="4"/>
              </w:rPr>
              <w:t>0.0055</w:t>
            </w:r>
            <w:r>
              <w:rPr>
                <w:spacing w:val="4"/>
              </w:rPr>
              <w:t>，有效孔隙度</w:t>
            </w:r>
            <w:r>
              <w:rPr>
                <w:spacing w:val="-43"/>
              </w:rPr>
              <w:t xml:space="preserve"> </w:t>
            </w:r>
            <w:r>
              <w:rPr>
                <w:rFonts w:ascii="Times New Roman" w:hAnsi="Times New Roman" w:eastAsia="Times New Roman" w:cs="Times New Roman"/>
              </w:rPr>
              <w:t>ne</w:t>
            </w:r>
            <w:r>
              <w:rPr>
                <w:rFonts w:ascii="Times New Roman" w:hAnsi="Times New Roman" w:eastAsia="Times New Roman" w:cs="Times New Roman"/>
                <w:spacing w:val="23"/>
              </w:rPr>
              <w:t xml:space="preserve"> </w:t>
            </w:r>
            <w:r>
              <w:rPr>
                <w:spacing w:val="4"/>
              </w:rPr>
              <w:t>为</w:t>
            </w:r>
            <w:r>
              <w:rPr>
                <w:spacing w:val="-38"/>
              </w:rPr>
              <w:t xml:space="preserve"> </w:t>
            </w:r>
            <w:r>
              <w:rPr>
                <w:rFonts w:ascii="Times New Roman" w:hAnsi="Times New Roman" w:eastAsia="Times New Roman" w:cs="Times New Roman"/>
                <w:spacing w:val="4"/>
              </w:rPr>
              <w:t>0.2</w:t>
            </w:r>
            <w:r>
              <w:rPr>
                <w:rFonts w:ascii="Times New Roman" w:hAnsi="Times New Roman" w:eastAsia="Times New Roman" w:cs="Times New Roman"/>
                <w:spacing w:val="16"/>
                <w:w w:val="101"/>
              </w:rPr>
              <w:t xml:space="preserve"> </w:t>
            </w:r>
            <w:r>
              <w:rPr>
                <w:spacing w:val="4"/>
              </w:rPr>
              <w:t>根据达</w:t>
            </w:r>
            <w:r>
              <w:rPr>
                <w:spacing w:val="3"/>
              </w:rPr>
              <w:t>西公式</w:t>
            </w:r>
          </w:p>
          <w:p>
            <w:pPr>
              <w:pStyle w:val="TableText"/>
              <w:ind w:left="1672"/>
              <w:spacing w:before="63" w:line="227" w:lineRule="auto"/>
              <w:rPr/>
            </w:pPr>
            <w:r>
              <w:rPr>
                <w:spacing w:val="5"/>
              </w:rPr>
              <w:t>进行计算</w:t>
            </w:r>
          </w:p>
        </w:tc>
      </w:tr>
      <w:tr>
        <w:trPr>
          <w:trHeight w:val="929" w:hRule="atLeast"/>
        </w:trPr>
        <w:tc>
          <w:tcPr>
            <w:tcW w:w="2527" w:type="dxa"/>
            <w:vAlign w:val="top"/>
            <w:tcBorders>
              <w:left w:val="nil"/>
            </w:tcBorders>
          </w:tcPr>
          <w:p>
            <w:pPr>
              <w:spacing w:line="304" w:lineRule="auto"/>
              <w:rPr>
                <w:rFonts w:ascii="Arial"/>
                <w:sz w:val="21"/>
              </w:rPr>
            </w:pPr>
            <w:r/>
          </w:p>
          <w:p>
            <w:pPr>
              <w:pStyle w:val="TableText"/>
              <w:ind w:left="753"/>
              <w:spacing w:before="65" w:line="232" w:lineRule="auto"/>
              <w:rPr/>
            </w:pPr>
            <w:r>
              <w:rPr>
                <w:spacing w:val="6"/>
              </w:rPr>
              <w:t>含水层厚度</w:t>
            </w:r>
          </w:p>
        </w:tc>
        <w:tc>
          <w:tcPr>
            <w:tcW w:w="786" w:type="dxa"/>
            <w:vAlign w:val="top"/>
          </w:tcPr>
          <w:p>
            <w:pPr>
              <w:spacing w:line="394" w:lineRule="auto"/>
              <w:rPr>
                <w:rFonts w:ascii="Arial"/>
                <w:sz w:val="21"/>
              </w:rPr>
            </w:pPr>
            <w:r/>
          </w:p>
          <w:p>
            <w:pPr>
              <w:ind w:left="310"/>
              <w:spacing w:before="57"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w:t>
            </w:r>
          </w:p>
        </w:tc>
        <w:tc>
          <w:tcPr>
            <w:tcW w:w="1048" w:type="dxa"/>
            <w:vAlign w:val="top"/>
          </w:tcPr>
          <w:p>
            <w:pPr>
              <w:spacing w:line="348" w:lineRule="auto"/>
              <w:rPr>
                <w:rFonts w:ascii="Arial"/>
                <w:sz w:val="21"/>
              </w:rPr>
            </w:pPr>
            <w:r/>
          </w:p>
          <w:p>
            <w:pPr>
              <w:ind w:left="47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58" w:type="dxa"/>
            <w:vAlign w:val="top"/>
            <w:tcBorders>
              <w:right w:val="nil"/>
            </w:tcBorders>
          </w:tcPr>
          <w:p>
            <w:pPr>
              <w:pStyle w:val="TableText"/>
              <w:ind w:left="120" w:right="110" w:hanging="2"/>
              <w:spacing w:before="59" w:line="288" w:lineRule="auto"/>
              <w:rPr/>
            </w:pPr>
            <w:r>
              <w:rPr>
                <w:spacing w:val="6"/>
              </w:rPr>
              <w:t>根据区域地下水水质地质条件，区域含水层</w:t>
            </w:r>
            <w:r>
              <w:rPr>
                <w:spacing w:val="4"/>
              </w:rPr>
              <w:t>厚度</w:t>
            </w:r>
            <w:r>
              <w:rPr>
                <w:spacing w:val="-21"/>
              </w:rPr>
              <w:t xml:space="preserve"> </w:t>
            </w:r>
            <w:r>
              <w:rPr>
                <w:rFonts w:ascii="Times New Roman" w:hAnsi="Times New Roman" w:eastAsia="Times New Roman" w:cs="Times New Roman"/>
                <w:spacing w:val="4"/>
              </w:rPr>
              <w:t>1.0-5.0m</w:t>
            </w:r>
            <w:r>
              <w:rPr>
                <w:rFonts w:ascii="Times New Roman" w:hAnsi="Times New Roman" w:eastAsia="Times New Roman" w:cs="Times New Roman"/>
                <w:spacing w:val="-21"/>
              </w:rPr>
              <w:t xml:space="preserve"> </w:t>
            </w:r>
            <w:r>
              <w:rPr>
                <w:spacing w:val="4"/>
              </w:rPr>
              <w:t>，根据项目所处区域，含水层</w:t>
            </w:r>
          </w:p>
          <w:p>
            <w:pPr>
              <w:pStyle w:val="TableText"/>
              <w:ind w:left="1616"/>
              <w:spacing w:line="217" w:lineRule="auto"/>
              <w:rPr>
                <w:rFonts w:ascii="Times New Roman" w:hAnsi="Times New Roman" w:eastAsia="Times New Roman" w:cs="Times New Roman"/>
              </w:rPr>
            </w:pPr>
            <w:r>
              <w:rPr>
                <w:spacing w:val="3"/>
              </w:rPr>
              <w:t>厚度取</w:t>
            </w:r>
            <w:r>
              <w:rPr>
                <w:spacing w:val="-37"/>
              </w:rPr>
              <w:t xml:space="preserve"> </w:t>
            </w:r>
            <w:r>
              <w:rPr>
                <w:rFonts w:ascii="Times New Roman" w:hAnsi="Times New Roman" w:eastAsia="Times New Roman" w:cs="Times New Roman"/>
                <w:spacing w:val="3"/>
              </w:rPr>
              <w:t>2m</w:t>
            </w:r>
          </w:p>
        </w:tc>
      </w:tr>
      <w:tr>
        <w:trPr>
          <w:trHeight w:val="309" w:hRule="atLeast"/>
        </w:trPr>
        <w:tc>
          <w:tcPr>
            <w:tcW w:w="2527" w:type="dxa"/>
            <w:vAlign w:val="top"/>
            <w:tcBorders>
              <w:left w:val="nil"/>
            </w:tcBorders>
          </w:tcPr>
          <w:p>
            <w:pPr>
              <w:pStyle w:val="TableText"/>
              <w:ind w:left="647"/>
              <w:spacing w:before="69" w:line="212" w:lineRule="auto"/>
              <w:rPr/>
            </w:pPr>
            <w:r>
              <w:rPr>
                <w:spacing w:val="7"/>
              </w:rPr>
              <w:t>纵向弥散系数</w:t>
            </w:r>
          </w:p>
        </w:tc>
        <w:tc>
          <w:tcPr>
            <w:tcW w:w="786" w:type="dxa"/>
            <w:vAlign w:val="top"/>
          </w:tcPr>
          <w:p>
            <w:pPr>
              <w:ind w:left="195"/>
              <w:spacing w:before="85" w:line="21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5"/>
              </w:rPr>
              <w:t>2</w:t>
            </w:r>
            <w:r>
              <w:rPr>
                <w:rFonts w:ascii="Times New Roman" w:hAnsi="Times New Roman" w:eastAsia="Times New Roman" w:cs="Times New Roman"/>
                <w:sz w:val="20"/>
                <w:szCs w:val="20"/>
                <w:spacing w:val="3"/>
              </w:rPr>
              <w:t>/d</w:t>
            </w:r>
          </w:p>
        </w:tc>
        <w:tc>
          <w:tcPr>
            <w:tcW w:w="1048" w:type="dxa"/>
            <w:vAlign w:val="top"/>
          </w:tcPr>
          <w:p>
            <w:pPr>
              <w:ind w:left="3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8" w:type="dxa"/>
            <w:vAlign w:val="top"/>
            <w:tcBorders>
              <w:right w:val="nil"/>
            </w:tcBorders>
          </w:tcPr>
          <w:p>
            <w:pPr>
              <w:pStyle w:val="TableText"/>
              <w:ind w:left="1674"/>
              <w:spacing w:before="69" w:line="212" w:lineRule="auto"/>
              <w:rPr/>
            </w:pPr>
            <w:r>
              <w:rPr>
                <w:spacing w:val="5"/>
              </w:rPr>
              <w:t>参考数值</w:t>
            </w:r>
          </w:p>
        </w:tc>
      </w:tr>
      <w:tr>
        <w:trPr>
          <w:trHeight w:val="335" w:hRule="atLeast"/>
        </w:trPr>
        <w:tc>
          <w:tcPr>
            <w:tcW w:w="2527" w:type="dxa"/>
            <w:vAlign w:val="top"/>
            <w:tcBorders>
              <w:left w:val="nil"/>
              <w:bottom w:val="single" w:color="000000" w:sz="10" w:space="0"/>
            </w:tcBorders>
          </w:tcPr>
          <w:p>
            <w:pPr>
              <w:pStyle w:val="TableText"/>
              <w:ind w:left="864"/>
              <w:spacing w:before="71" w:line="232" w:lineRule="auto"/>
              <w:rPr/>
            </w:pPr>
            <w:r>
              <w:rPr>
                <w:spacing w:val="4"/>
              </w:rPr>
              <w:t>泄漏时间</w:t>
            </w:r>
          </w:p>
        </w:tc>
        <w:tc>
          <w:tcPr>
            <w:tcW w:w="786" w:type="dxa"/>
            <w:vAlign w:val="top"/>
            <w:tcBorders>
              <w:bottom w:val="single" w:color="000000" w:sz="10" w:space="0"/>
            </w:tcBorders>
          </w:tcPr>
          <w:p>
            <w:pPr>
              <w:ind w:left="344"/>
              <w:spacing w:before="10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t>
            </w:r>
          </w:p>
        </w:tc>
        <w:tc>
          <w:tcPr>
            <w:tcW w:w="1048" w:type="dxa"/>
            <w:vAlign w:val="top"/>
            <w:tcBorders>
              <w:bottom w:val="single" w:color="000000" w:sz="10" w:space="0"/>
            </w:tcBorders>
          </w:tcPr>
          <w:p>
            <w:pPr>
              <w:ind w:left="424"/>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158" w:type="dxa"/>
            <w:vAlign w:val="top"/>
            <w:tcBorders>
              <w:right w:val="nil"/>
              <w:bottom w:val="single" w:color="000000" w:sz="10" w:space="0"/>
            </w:tcBorders>
          </w:tcPr>
          <w:p>
            <w:pPr>
              <w:pStyle w:val="TableText"/>
              <w:ind w:left="230"/>
              <w:spacing w:before="71" w:line="229" w:lineRule="auto"/>
              <w:rPr>
                <w:rFonts w:ascii="Times New Roman" w:hAnsi="Times New Roman" w:eastAsia="Times New Roman" w:cs="Times New Roman"/>
              </w:rPr>
            </w:pPr>
            <w:r>
              <w:rPr>
                <w:spacing w:val="7"/>
              </w:rPr>
              <w:t>污水站定期巡视。假设泄漏时间约为</w:t>
            </w:r>
            <w:r>
              <w:rPr>
                <w:spacing w:val="-24"/>
              </w:rPr>
              <w:t xml:space="preserve"> </w:t>
            </w:r>
            <w:r>
              <w:rPr>
                <w:rFonts w:ascii="Times New Roman" w:hAnsi="Times New Roman" w:eastAsia="Times New Roman" w:cs="Times New Roman"/>
                <w:spacing w:val="7"/>
              </w:rPr>
              <w:t>30d</w:t>
            </w:r>
          </w:p>
        </w:tc>
      </w:tr>
    </w:tbl>
    <w:p>
      <w:pPr>
        <w:pStyle w:val="BodyText"/>
        <w:spacing w:line="251" w:lineRule="auto"/>
        <w:rPr/>
      </w:pPr>
      <w:r/>
    </w:p>
    <w:p>
      <w:pPr>
        <w:pStyle w:val="BodyText"/>
        <w:spacing w:line="252" w:lineRule="auto"/>
        <w:rPr/>
      </w:pPr>
      <w:r/>
    </w:p>
    <w:p>
      <w:pPr>
        <w:ind w:left="608"/>
        <w:spacing w:before="78"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）预测范围和时间</w:t>
      </w:r>
    </w:p>
    <w:p>
      <w:pPr>
        <w:ind w:left="123" w:right="105" w:firstLine="481"/>
        <w:spacing w:before="176" w:line="360" w:lineRule="auto"/>
        <w:rPr>
          <w:rFonts w:ascii="FangSong" w:hAnsi="FangSong" w:eastAsia="FangSong" w:cs="FangSong"/>
          <w:sz w:val="24"/>
          <w:szCs w:val="24"/>
        </w:rPr>
      </w:pPr>
      <w:r>
        <w:rPr>
          <w:rFonts w:ascii="FangSong" w:hAnsi="FangSong" w:eastAsia="FangSong" w:cs="FangSong"/>
          <w:sz w:val="24"/>
          <w:szCs w:val="24"/>
          <w:spacing w:val="-2"/>
        </w:rPr>
        <w:t>考虑到项目需要预测的潜水含水层（水质预</w:t>
      </w:r>
      <w:r>
        <w:rPr>
          <w:rFonts w:ascii="FangSong" w:hAnsi="FangSong" w:eastAsia="FangSong" w:cs="FangSong"/>
          <w:sz w:val="24"/>
          <w:szCs w:val="24"/>
          <w:spacing w:val="-3"/>
        </w:rPr>
        <w:t>测</w:t>
      </w:r>
      <w:r>
        <w:rPr>
          <w:rFonts w:ascii="FangSong" w:hAnsi="FangSong" w:eastAsia="FangSong" w:cs="FangSong"/>
          <w:sz w:val="24"/>
          <w:szCs w:val="24"/>
          <w:spacing w:val="-20"/>
        </w:rPr>
        <w:t>），</w:t>
      </w:r>
      <w:r>
        <w:rPr>
          <w:rFonts w:ascii="FangSong" w:hAnsi="FangSong" w:eastAsia="FangSong" w:cs="FangSong"/>
          <w:sz w:val="24"/>
          <w:szCs w:val="24"/>
          <w:spacing w:val="-3"/>
        </w:rPr>
        <w:t>为了说明建设项目对地下</w:t>
      </w:r>
      <w:r>
        <w:rPr>
          <w:rFonts w:ascii="FangSong" w:hAnsi="FangSong" w:eastAsia="FangSong" w:cs="FangSong"/>
          <w:sz w:val="24"/>
          <w:szCs w:val="24"/>
          <w:spacing w:val="-3"/>
        </w:rPr>
        <w:t>水环境的影响，预测范围为本项目调查评价区，通过不同情境对可能</w:t>
      </w:r>
      <w:r>
        <w:rPr>
          <w:rFonts w:ascii="FangSong" w:hAnsi="FangSong" w:eastAsia="FangSong" w:cs="FangSong"/>
          <w:sz w:val="24"/>
          <w:szCs w:val="24"/>
          <w:spacing w:val="-4"/>
        </w:rPr>
        <w:t>产生的地下</w:t>
      </w:r>
      <w:r>
        <w:rPr>
          <w:rFonts w:ascii="FangSong" w:hAnsi="FangSong" w:eastAsia="FangSong" w:cs="FangSong"/>
          <w:sz w:val="24"/>
          <w:szCs w:val="24"/>
          <w:spacing w:val="-3"/>
        </w:rPr>
        <w:t>水污染进行预测分析评价。本次评价从建设项目污染源源强的设定、</w:t>
      </w:r>
      <w:r>
        <w:rPr>
          <w:rFonts w:ascii="FangSong" w:hAnsi="FangSong" w:eastAsia="FangSong" w:cs="FangSong"/>
          <w:sz w:val="24"/>
          <w:szCs w:val="24"/>
          <w:spacing w:val="-4"/>
        </w:rPr>
        <w:t>泄漏点的选</w:t>
      </w:r>
      <w:r>
        <w:rPr>
          <w:rFonts w:ascii="FangSong" w:hAnsi="FangSong" w:eastAsia="FangSong" w:cs="FangSong"/>
          <w:sz w:val="24"/>
          <w:szCs w:val="24"/>
          <w:spacing w:val="-1"/>
        </w:rPr>
        <w:t>择均是在考虑到区域环境水文地质条件上进行的。</w:t>
      </w:r>
    </w:p>
    <w:p>
      <w:pPr>
        <w:ind w:left="126" w:right="105" w:firstLine="478"/>
        <w:spacing w:before="1" w:line="360" w:lineRule="auto"/>
        <w:jc w:val="both"/>
        <w:rPr>
          <w:rFonts w:ascii="FangSong" w:hAnsi="FangSong" w:eastAsia="FangSong" w:cs="FangSong"/>
          <w:sz w:val="24"/>
          <w:szCs w:val="24"/>
        </w:rPr>
      </w:pPr>
      <w:r>
        <w:rPr>
          <w:rFonts w:ascii="FangSong" w:hAnsi="FangSong" w:eastAsia="FangSong" w:cs="FangSong"/>
          <w:sz w:val="24"/>
          <w:szCs w:val="24"/>
          <w:spacing w:val="-3"/>
        </w:rPr>
        <w:t>本次预测是在假设人工防护层失效的情况下进</w:t>
      </w:r>
      <w:r>
        <w:rPr>
          <w:rFonts w:ascii="FangSong" w:hAnsi="FangSong" w:eastAsia="FangSong" w:cs="FangSong"/>
          <w:sz w:val="24"/>
          <w:szCs w:val="24"/>
          <w:spacing w:val="-4"/>
        </w:rPr>
        <w:t>行的，采用“地下水溶质运移</w:t>
      </w:r>
      <w:r>
        <w:rPr>
          <w:rFonts w:ascii="FangSong" w:hAnsi="FangSong" w:eastAsia="FangSong" w:cs="FangSong"/>
          <w:sz w:val="24"/>
          <w:szCs w:val="24"/>
          <w:spacing w:val="-4"/>
        </w:rPr>
        <w:t>常用解析解计算系统</w:t>
      </w:r>
      <w:r>
        <w:rPr>
          <w:rFonts w:ascii="FangSong" w:hAnsi="FangSong" w:eastAsia="FangSong" w:cs="FangSong"/>
          <w:sz w:val="24"/>
          <w:szCs w:val="24"/>
          <w:spacing w:val="-88"/>
        </w:rPr>
        <w:t xml:space="preserve"> </w:t>
      </w:r>
      <w:r>
        <w:rPr>
          <w:rFonts w:ascii="FangSong" w:hAnsi="FangSong" w:eastAsia="FangSong" w:cs="FangSong"/>
          <w:sz w:val="24"/>
          <w:szCs w:val="24"/>
          <w:spacing w:val="-4"/>
        </w:rPr>
        <w:t>”进行地下水的污染预测，模拟时间为导则规</w:t>
      </w:r>
      <w:r>
        <w:rPr>
          <w:rFonts w:ascii="FangSong" w:hAnsi="FangSong" w:eastAsia="FangSong" w:cs="FangSong"/>
          <w:sz w:val="24"/>
          <w:szCs w:val="24"/>
          <w:spacing w:val="-5"/>
        </w:rPr>
        <w:t>定地下水环境</w:t>
      </w:r>
      <w:r>
        <w:rPr>
          <w:rFonts w:ascii="FangSong" w:hAnsi="FangSong" w:eastAsia="FangSong" w:cs="FangSong"/>
          <w:sz w:val="24"/>
          <w:szCs w:val="24"/>
          <w:spacing w:val="11"/>
        </w:rPr>
        <w:t>影响预测时段应选取可能产生地下水污染的关键时段，至少包括污染发生后</w:t>
      </w:r>
      <w:r>
        <w:rPr>
          <w:rFonts w:ascii="Times New Roman" w:hAnsi="Times New Roman" w:eastAsia="Times New Roman" w:cs="Times New Roman"/>
          <w:sz w:val="24"/>
          <w:szCs w:val="24"/>
          <w:spacing w:val="-5"/>
        </w:rPr>
        <w:t>100d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1a</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1000d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年，则本次预测时间</w:t>
      </w:r>
      <w:r>
        <w:rPr>
          <w:rFonts w:ascii="FangSong" w:hAnsi="FangSong" w:eastAsia="FangSong" w:cs="FangSong"/>
          <w:sz w:val="24"/>
          <w:szCs w:val="24"/>
          <w:spacing w:val="-6"/>
        </w:rPr>
        <w:t>段为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100d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500d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1000d</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2000d</w:t>
      </w:r>
      <w:r>
        <w:rPr>
          <w:rFonts w:ascii="FangSong" w:hAnsi="FangSong" w:eastAsia="FangSong" w:cs="FangSong"/>
          <w:sz w:val="24"/>
          <w:szCs w:val="24"/>
          <w:spacing w:val="-6"/>
        </w:rPr>
        <w:t>。</w:t>
      </w:r>
    </w:p>
    <w:p>
      <w:pPr>
        <w:ind w:left="1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6.2.5.4</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预测结果</w:t>
      </w:r>
    </w:p>
    <w:p>
      <w:pPr>
        <w:ind w:left="126" w:right="105" w:firstLine="477"/>
        <w:spacing w:before="179" w:line="360" w:lineRule="auto"/>
        <w:rPr>
          <w:rFonts w:ascii="FangSong" w:hAnsi="FangSong" w:eastAsia="FangSong" w:cs="FangSong"/>
          <w:sz w:val="24"/>
          <w:szCs w:val="24"/>
        </w:rPr>
      </w:pPr>
      <w:r>
        <w:rPr>
          <w:rFonts w:ascii="FangSong" w:hAnsi="FangSong" w:eastAsia="FangSong" w:cs="FangSong"/>
          <w:sz w:val="24"/>
          <w:szCs w:val="24"/>
          <w:spacing w:val="-3"/>
        </w:rPr>
        <w:t>事故工况回水池四壁或底部出现破损发生泄漏后</w:t>
      </w:r>
      <w:r>
        <w:rPr>
          <w:rFonts w:ascii="FangSong" w:hAnsi="FangSong" w:eastAsia="FangSong" w:cs="FangSong"/>
          <w:sz w:val="24"/>
          <w:szCs w:val="24"/>
          <w:spacing w:val="-4"/>
        </w:rPr>
        <w:t>，未能及时发现渗漏，则污</w:t>
      </w:r>
      <w:r>
        <w:rPr>
          <w:rFonts w:ascii="FangSong" w:hAnsi="FangSong" w:eastAsia="FangSong" w:cs="FangSong"/>
          <w:sz w:val="24"/>
          <w:szCs w:val="24"/>
          <w:spacing w:val="-2"/>
        </w:rPr>
        <w:t>染物连续污染地下水。</w:t>
      </w:r>
    </w:p>
    <w:p>
      <w:pPr>
        <w:ind w:left="608"/>
        <w:spacing w:line="219" w:lineRule="auto"/>
        <w:rPr>
          <w:rFonts w:ascii="FangSong" w:hAnsi="FangSong" w:eastAsia="FangSong" w:cs="FangSong"/>
          <w:sz w:val="24"/>
          <w:szCs w:val="24"/>
        </w:rPr>
      </w:pPr>
      <w:r>
        <w:rPr>
          <w:rFonts w:ascii="FangSong" w:hAnsi="FangSong" w:eastAsia="FangSong" w:cs="FangSong"/>
          <w:sz w:val="24"/>
          <w:szCs w:val="24"/>
          <w:spacing w:val="-1"/>
        </w:rPr>
        <w:t>污染物在水动力条件作用下，主要由北向南运移。</w:t>
      </w:r>
    </w:p>
    <w:p>
      <w:pPr>
        <w:ind w:left="138" w:right="22" w:firstLine="466"/>
        <w:spacing w:before="183" w:line="360" w:lineRule="auto"/>
        <w:rPr>
          <w:rFonts w:ascii="FangSong" w:hAnsi="FangSong" w:eastAsia="FangSong" w:cs="FangSong"/>
          <w:sz w:val="24"/>
          <w:szCs w:val="24"/>
        </w:rPr>
      </w:pPr>
      <w:r>
        <w:rPr>
          <w:rFonts w:ascii="FangSong" w:hAnsi="FangSong" w:eastAsia="FangSong" w:cs="FangSong"/>
          <w:sz w:val="24"/>
          <w:szCs w:val="24"/>
          <w:spacing w:val="-3"/>
        </w:rPr>
        <w:t>根据公式计算，得出氟化物在</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100d</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4"/>
        </w:rPr>
        <w:t>00d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1000d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2000d</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在含水层中运移</w:t>
      </w:r>
      <w:r>
        <w:rPr>
          <w:rFonts w:ascii="FangSong" w:hAnsi="FangSong" w:eastAsia="FangSong" w:cs="FangSong"/>
          <w:sz w:val="24"/>
          <w:szCs w:val="24"/>
          <w:spacing w:val="-7"/>
        </w:rPr>
        <w:t>的距离。含水层不同时刻、不同距离下氟化物浓度预测结果见表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7"/>
        </w:rPr>
        <w:t>6.</w:t>
      </w:r>
      <w:r>
        <w:rPr>
          <w:rFonts w:ascii="Times New Roman" w:hAnsi="Times New Roman" w:eastAsia="Times New Roman" w:cs="Times New Roman"/>
          <w:sz w:val="24"/>
          <w:szCs w:val="24"/>
          <w:spacing w:val="-8"/>
        </w:rPr>
        <w:t>2-10</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8"/>
        </w:rPr>
        <w:t>至</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8"/>
        </w:rPr>
        <w:t>6.2-13</w:t>
      </w:r>
      <w:r>
        <w:rPr>
          <w:rFonts w:ascii="FangSong" w:hAnsi="FangSong" w:eastAsia="FangSong" w:cs="FangSong"/>
          <w:sz w:val="24"/>
          <w:szCs w:val="24"/>
          <w:spacing w:val="-8"/>
        </w:rPr>
        <w:t>。</w:t>
      </w:r>
    </w:p>
    <w:p>
      <w:pPr>
        <w:ind w:left="1884"/>
        <w:spacing w:before="1" w:line="222" w:lineRule="auto"/>
        <w:rPr>
          <w:rFonts w:ascii="FangSong" w:hAnsi="FangSong" w:eastAsia="FangSong" w:cs="FangSong"/>
          <w:sz w:val="24"/>
          <w:szCs w:val="24"/>
        </w:rPr>
      </w:pPr>
      <w:r>
        <w:rPr>
          <w:rFonts w:ascii="FangSong" w:hAnsi="FangSong" w:eastAsia="FangSong" w:cs="FangSong"/>
          <w:sz w:val="24"/>
          <w:szCs w:val="24"/>
          <w:b/>
          <w:bCs/>
          <w:spacing w:val="-6"/>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6"/>
        </w:rPr>
        <w:t>6.2-10</w:t>
      </w:r>
      <w:r>
        <w:rPr>
          <w:rFonts w:ascii="Times New Roman" w:hAnsi="Times New Roman" w:eastAsia="Times New Roman" w:cs="Times New Roman"/>
          <w:sz w:val="24"/>
          <w:szCs w:val="24"/>
          <w:b/>
          <w:bCs/>
          <w:spacing w:val="20"/>
          <w:w w:val="101"/>
        </w:rPr>
        <w:t xml:space="preserve">  </w:t>
      </w:r>
      <w:r>
        <w:rPr>
          <w:rFonts w:ascii="FangSong" w:hAnsi="FangSong" w:eastAsia="FangSong" w:cs="FangSong"/>
          <w:sz w:val="24"/>
          <w:szCs w:val="24"/>
          <w:b/>
          <w:bCs/>
          <w:spacing w:val="-6"/>
        </w:rPr>
        <w:t>固定时间</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b/>
          <w:bCs/>
          <w:spacing w:val="-6"/>
        </w:rPr>
        <w:t>100d</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6"/>
        </w:rPr>
        <w:t>不同距离浓度预测表</w:t>
      </w:r>
    </w:p>
    <w:p>
      <w:pPr>
        <w:spacing w:line="63"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0"/>
        <w:gridCol w:w="3083"/>
        <w:gridCol w:w="4206"/>
      </w:tblGrid>
      <w:tr>
        <w:trPr>
          <w:trHeight w:val="629" w:hRule="atLeast"/>
        </w:trPr>
        <w:tc>
          <w:tcPr>
            <w:tcW w:w="1230" w:type="dxa"/>
            <w:vAlign w:val="top"/>
            <w:tcBorders>
              <w:left w:val="nil"/>
              <w:top w:val="single" w:color="000000" w:sz="10" w:space="0"/>
            </w:tcBorders>
          </w:tcPr>
          <w:p>
            <w:pPr>
              <w:pStyle w:val="TableText"/>
              <w:ind w:left="342" w:right="195" w:hanging="126"/>
              <w:spacing w:before="57" w:line="259" w:lineRule="auto"/>
              <w:rPr>
                <w:rFonts w:ascii="Times New Roman" w:hAnsi="Times New Roman" w:eastAsia="Times New Roman" w:cs="Times New Roman"/>
              </w:rPr>
            </w:pPr>
            <w:r>
              <w:rPr>
                <w:spacing w:val="3"/>
              </w:rPr>
              <w:t>与源强距</w:t>
            </w:r>
            <w:r>
              <w:rPr>
                <w:spacing w:val="2"/>
              </w:rPr>
              <w:t>离，</w:t>
            </w:r>
            <w:r>
              <w:rPr>
                <w:rFonts w:ascii="Times New Roman" w:hAnsi="Times New Roman" w:eastAsia="Times New Roman" w:cs="Times New Roman"/>
                <w:spacing w:val="2"/>
              </w:rPr>
              <w:t>m</w:t>
            </w:r>
          </w:p>
        </w:tc>
        <w:tc>
          <w:tcPr>
            <w:tcW w:w="3083" w:type="dxa"/>
            <w:vAlign w:val="top"/>
            <w:tcBorders>
              <w:top w:val="single" w:color="000000" w:sz="10" w:space="0"/>
            </w:tcBorders>
          </w:tcPr>
          <w:p>
            <w:pPr>
              <w:pStyle w:val="TableText"/>
              <w:ind w:left="209"/>
              <w:spacing w:before="57" w:line="231" w:lineRule="auto"/>
              <w:rPr/>
            </w:pPr>
            <w:r>
              <w:rPr>
                <w:spacing w:val="6"/>
              </w:rPr>
              <w:t>固定时间，不同距离浓度值，</w:t>
            </w:r>
          </w:p>
          <w:p>
            <w:pPr>
              <w:ind w:left="1313"/>
              <w:spacing w:before="9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4206" w:type="dxa"/>
            <w:vAlign w:val="top"/>
            <w:tcBorders>
              <w:right w:val="nil"/>
              <w:top w:val="single" w:color="000000" w:sz="10" w:space="0"/>
            </w:tcBorders>
          </w:tcPr>
          <w:p>
            <w:pPr>
              <w:pStyle w:val="TableText"/>
              <w:ind w:left="1591"/>
              <w:spacing w:before="213" w:line="231" w:lineRule="auto"/>
              <w:rPr/>
            </w:pPr>
            <w:r>
              <w:rPr>
                <w:spacing w:val="6"/>
              </w:rPr>
              <w:t>预测结果图</w:t>
            </w:r>
          </w:p>
        </w:tc>
      </w:tr>
      <w:tr>
        <w:trPr>
          <w:trHeight w:val="314" w:hRule="atLeast"/>
        </w:trPr>
        <w:tc>
          <w:tcPr>
            <w:tcW w:w="1230" w:type="dxa"/>
            <w:vAlign w:val="top"/>
            <w:tcBorders>
              <w:left w:val="nil"/>
            </w:tcBorders>
          </w:tcPr>
          <w:p>
            <w:pPr>
              <w:ind w:left="56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83" w:type="dxa"/>
            <w:vAlign w:val="top"/>
          </w:tcPr>
          <w:p>
            <w:pPr>
              <w:ind w:left="136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6.67</w:t>
            </w:r>
          </w:p>
        </w:tc>
        <w:tc>
          <w:tcPr>
            <w:tcW w:w="4206" w:type="dxa"/>
            <w:vAlign w:val="top"/>
            <w:vMerge w:val="restart"/>
            <w:tcBorders>
              <w:right w:val="nil"/>
              <w:bottom w:val="nil"/>
            </w:tcBorders>
          </w:tcPr>
          <w:p>
            <w:pPr>
              <w:ind w:firstLine="105"/>
              <w:spacing w:before="144" w:line="2203" w:lineRule="exact"/>
              <w:rPr/>
            </w:pPr>
            <w:r>
              <w:rPr>
                <w:position w:val="-44"/>
              </w:rPr>
              <w:drawing>
                <wp:inline distT="0" distB="0" distL="0" distR="0">
                  <wp:extent cx="2523744" cy="1399032"/>
                  <wp:effectExtent l="0" t="0" r="0" b="0"/>
                  <wp:docPr id="98" name="IM 98"/>
                  <wp:cNvGraphicFramePr/>
                  <a:graphic>
                    <a:graphicData uri="http://schemas.openxmlformats.org/drawingml/2006/picture">
                      <pic:pic>
                        <pic:nvPicPr>
                          <pic:cNvPr id="98" name="IM 98"/>
                          <pic:cNvPicPr/>
                        </pic:nvPicPr>
                        <pic:blipFill>
                          <a:blip r:embed="rId317"/>
                          <a:stretch>
                            <a:fillRect/>
                          </a:stretch>
                        </pic:blipFill>
                        <pic:spPr>
                          <a:xfrm rot="0">
                            <a:off x="0" y="0"/>
                            <a:ext cx="2523744" cy="1399032"/>
                          </a:xfrm>
                          <a:prstGeom prst="rect">
                            <a:avLst/>
                          </a:prstGeom>
                        </pic:spPr>
                      </pic:pic>
                    </a:graphicData>
                  </a:graphic>
                </wp:inline>
              </w:drawing>
            </w:r>
          </w:p>
        </w:tc>
      </w:tr>
      <w:tr>
        <w:trPr>
          <w:trHeight w:val="315" w:hRule="atLeast"/>
        </w:trPr>
        <w:tc>
          <w:tcPr>
            <w:tcW w:w="1230" w:type="dxa"/>
            <w:vAlign w:val="top"/>
            <w:tcBorders>
              <w:left w:val="nil"/>
            </w:tcBorders>
          </w:tcPr>
          <w:p>
            <w:pPr>
              <w:ind w:left="533"/>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083" w:type="dxa"/>
            <w:vAlign w:val="top"/>
          </w:tcPr>
          <w:p>
            <w:pPr>
              <w:ind w:left="1358"/>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4.53</w:t>
            </w:r>
          </w:p>
        </w:tc>
        <w:tc>
          <w:tcPr>
            <w:tcW w:w="4206" w:type="dxa"/>
            <w:vAlign w:val="top"/>
            <w:vMerge w:val="continue"/>
            <w:tcBorders>
              <w:right w:val="nil"/>
              <w:bottom w:val="nil"/>
              <w:top w:val="nil"/>
            </w:tcBorders>
          </w:tcPr>
          <w:p>
            <w:pPr>
              <w:rPr>
                <w:rFonts w:ascii="Arial"/>
                <w:sz w:val="21"/>
              </w:rPr>
            </w:pPr>
            <w:r/>
          </w:p>
        </w:tc>
      </w:tr>
      <w:tr>
        <w:trPr>
          <w:trHeight w:val="314" w:hRule="atLeast"/>
        </w:trPr>
        <w:tc>
          <w:tcPr>
            <w:tcW w:w="1230" w:type="dxa"/>
            <w:vAlign w:val="top"/>
            <w:tcBorders>
              <w:left w:val="nil"/>
            </w:tcBorders>
          </w:tcPr>
          <w:p>
            <w:pPr>
              <w:ind w:left="51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3083" w:type="dxa"/>
            <w:vAlign w:val="top"/>
          </w:tcPr>
          <w:p>
            <w:pPr>
              <w:ind w:left="1359"/>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2.57</w:t>
            </w:r>
          </w:p>
        </w:tc>
        <w:tc>
          <w:tcPr>
            <w:tcW w:w="4206" w:type="dxa"/>
            <w:vAlign w:val="top"/>
            <w:vMerge w:val="continue"/>
            <w:tcBorders>
              <w:right w:val="nil"/>
              <w:bottom w:val="nil"/>
              <w:top w:val="nil"/>
            </w:tcBorders>
          </w:tcPr>
          <w:p>
            <w:pPr>
              <w:rPr>
                <w:rFonts w:ascii="Arial"/>
                <w:sz w:val="21"/>
              </w:rPr>
            </w:pPr>
            <w:r/>
          </w:p>
        </w:tc>
      </w:tr>
      <w:tr>
        <w:trPr>
          <w:trHeight w:val="315" w:hRule="atLeast"/>
        </w:trPr>
        <w:tc>
          <w:tcPr>
            <w:tcW w:w="1230" w:type="dxa"/>
            <w:vAlign w:val="top"/>
            <w:tcBorders>
              <w:left w:val="nil"/>
            </w:tcBorders>
          </w:tcPr>
          <w:p>
            <w:pPr>
              <w:ind w:left="51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083" w:type="dxa"/>
            <w:vAlign w:val="top"/>
          </w:tcPr>
          <w:p>
            <w:pPr>
              <w:ind w:left="1379"/>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1.19</w:t>
            </w:r>
          </w:p>
        </w:tc>
        <w:tc>
          <w:tcPr>
            <w:tcW w:w="4206" w:type="dxa"/>
            <w:vAlign w:val="top"/>
            <w:vMerge w:val="continue"/>
            <w:tcBorders>
              <w:right w:val="nil"/>
              <w:bottom w:val="nil"/>
              <w:top w:val="nil"/>
            </w:tcBorders>
          </w:tcPr>
          <w:p>
            <w:pPr>
              <w:rPr>
                <w:rFonts w:ascii="Arial"/>
                <w:sz w:val="21"/>
              </w:rPr>
            </w:pPr>
            <w:r/>
          </w:p>
        </w:tc>
      </w:tr>
      <w:tr>
        <w:trPr>
          <w:trHeight w:val="314" w:hRule="atLeast"/>
        </w:trPr>
        <w:tc>
          <w:tcPr>
            <w:tcW w:w="1230" w:type="dxa"/>
            <w:vAlign w:val="top"/>
            <w:tcBorders>
              <w:left w:val="nil"/>
            </w:tcBorders>
          </w:tcPr>
          <w:p>
            <w:pPr>
              <w:ind w:left="512"/>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3083" w:type="dxa"/>
            <w:vAlign w:val="top"/>
          </w:tcPr>
          <w:p>
            <w:pPr>
              <w:ind w:left="1362"/>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4206" w:type="dxa"/>
            <w:vAlign w:val="top"/>
            <w:vMerge w:val="continue"/>
            <w:tcBorders>
              <w:right w:val="nil"/>
              <w:bottom w:val="nil"/>
              <w:top w:val="nil"/>
            </w:tcBorders>
          </w:tcPr>
          <w:p>
            <w:pPr>
              <w:rPr>
                <w:rFonts w:ascii="Arial"/>
                <w:sz w:val="21"/>
              </w:rPr>
            </w:pPr>
            <w:r/>
          </w:p>
        </w:tc>
      </w:tr>
      <w:tr>
        <w:trPr>
          <w:trHeight w:val="314" w:hRule="atLeast"/>
        </w:trPr>
        <w:tc>
          <w:tcPr>
            <w:tcW w:w="1230" w:type="dxa"/>
            <w:vAlign w:val="top"/>
            <w:tcBorders>
              <w:left w:val="nil"/>
            </w:tcBorders>
          </w:tcPr>
          <w:p>
            <w:pPr>
              <w:ind w:left="51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083" w:type="dxa"/>
            <w:vAlign w:val="top"/>
          </w:tcPr>
          <w:p>
            <w:pPr>
              <w:ind w:left="136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w:t>
            </w:r>
          </w:p>
        </w:tc>
        <w:tc>
          <w:tcPr>
            <w:tcW w:w="4206" w:type="dxa"/>
            <w:vAlign w:val="top"/>
            <w:vMerge w:val="continue"/>
            <w:tcBorders>
              <w:right w:val="nil"/>
              <w:bottom w:val="nil"/>
              <w:top w:val="nil"/>
            </w:tcBorders>
          </w:tcPr>
          <w:p>
            <w:pPr>
              <w:rPr>
                <w:rFonts w:ascii="Arial"/>
                <w:sz w:val="21"/>
              </w:rPr>
            </w:pPr>
            <w:r/>
          </w:p>
        </w:tc>
      </w:tr>
      <w:tr>
        <w:trPr>
          <w:trHeight w:val="588" w:hRule="atLeast"/>
        </w:trPr>
        <w:tc>
          <w:tcPr>
            <w:tcW w:w="1230" w:type="dxa"/>
            <w:vAlign w:val="top"/>
            <w:tcBorders>
              <w:left w:val="nil"/>
              <w:bottom w:val="single" w:color="000000" w:sz="10" w:space="0"/>
            </w:tcBorders>
          </w:tcPr>
          <w:p>
            <w:pPr>
              <w:ind w:left="517"/>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3083" w:type="dxa"/>
            <w:vAlign w:val="top"/>
            <w:tcBorders>
              <w:bottom w:val="single" w:color="000000" w:sz="10" w:space="0"/>
            </w:tcBorders>
          </w:tcPr>
          <w:p>
            <w:pPr>
              <w:ind w:left="1309"/>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0.032</w:t>
            </w:r>
          </w:p>
        </w:tc>
        <w:tc>
          <w:tcPr>
            <w:tcW w:w="4206"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footerReference w:type="default" r:id="rId316"/>
          <w:pgSz w:w="11906" w:h="16839"/>
          <w:pgMar w:top="400" w:right="1693" w:bottom="1358" w:left="1691" w:header="0" w:footer="1195" w:gutter="0"/>
        </w:sectPr>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892"/>
        <w:spacing w:before="78" w:line="222" w:lineRule="auto"/>
        <w:rPr>
          <w:rFonts w:ascii="FangSong" w:hAnsi="FangSong" w:eastAsia="FangSong" w:cs="FangSong"/>
          <w:sz w:val="24"/>
          <w:szCs w:val="24"/>
        </w:rPr>
      </w:pPr>
      <w:bookmarkStart w:name="bookmark599" w:id="409"/>
      <w:bookmarkEnd w:id="409"/>
      <w:r>
        <w:rPr>
          <w:rFonts w:ascii="FangSong" w:hAnsi="FangSong" w:eastAsia="FangSong" w:cs="FangSong"/>
          <w:sz w:val="24"/>
          <w:szCs w:val="24"/>
          <w:b/>
          <w:bCs/>
          <w:spacing w:val="-6"/>
        </w:rPr>
        <w:t>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b/>
          <w:bCs/>
          <w:spacing w:val="-6"/>
        </w:rPr>
        <w:t>6.2-11</w:t>
      </w:r>
      <w:r>
        <w:rPr>
          <w:rFonts w:ascii="Times New Roman" w:hAnsi="Times New Roman" w:eastAsia="Times New Roman" w:cs="Times New Roman"/>
          <w:sz w:val="24"/>
          <w:szCs w:val="24"/>
          <w:b/>
          <w:bCs/>
          <w:spacing w:val="19"/>
        </w:rPr>
        <w:t xml:space="preserve">  </w:t>
      </w:r>
      <w:r>
        <w:rPr>
          <w:rFonts w:ascii="FangSong" w:hAnsi="FangSong" w:eastAsia="FangSong" w:cs="FangSong"/>
          <w:sz w:val="24"/>
          <w:szCs w:val="24"/>
          <w:b/>
          <w:bCs/>
          <w:spacing w:val="-6"/>
        </w:rPr>
        <w:t>固定时间</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6"/>
        </w:rPr>
        <w:t>500d</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6"/>
        </w:rPr>
        <w:t>不同距离浓度预测表</w:t>
      </w:r>
    </w:p>
    <w:p>
      <w:pPr>
        <w:spacing w:line="64"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6"/>
        <w:gridCol w:w="2856"/>
        <w:gridCol w:w="4446"/>
      </w:tblGrid>
      <w:tr>
        <w:trPr>
          <w:trHeight w:val="629" w:hRule="atLeast"/>
        </w:trPr>
        <w:tc>
          <w:tcPr>
            <w:tcW w:w="1216" w:type="dxa"/>
            <w:vAlign w:val="top"/>
            <w:tcBorders>
              <w:left w:val="nil"/>
              <w:top w:val="single" w:color="000000" w:sz="10" w:space="0"/>
            </w:tcBorders>
          </w:tcPr>
          <w:p>
            <w:pPr>
              <w:pStyle w:val="TableText"/>
              <w:ind w:left="335" w:right="188" w:hanging="126"/>
              <w:spacing w:before="55" w:line="260" w:lineRule="auto"/>
              <w:rPr>
                <w:rFonts w:ascii="Times New Roman" w:hAnsi="Times New Roman" w:eastAsia="Times New Roman" w:cs="Times New Roman"/>
              </w:rPr>
            </w:pPr>
            <w:r>
              <w:rPr>
                <w:spacing w:val="3"/>
              </w:rPr>
              <w:t>与源强距</w:t>
            </w:r>
            <w:r>
              <w:rPr>
                <w:spacing w:val="2"/>
              </w:rPr>
              <w:t>离，</w:t>
            </w:r>
            <w:r>
              <w:rPr>
                <w:rFonts w:ascii="Times New Roman" w:hAnsi="Times New Roman" w:eastAsia="Times New Roman" w:cs="Times New Roman"/>
                <w:spacing w:val="2"/>
              </w:rPr>
              <w:t>m</w:t>
            </w:r>
          </w:p>
        </w:tc>
        <w:tc>
          <w:tcPr>
            <w:tcW w:w="2856" w:type="dxa"/>
            <w:vAlign w:val="top"/>
            <w:tcBorders>
              <w:top w:val="single" w:color="000000" w:sz="10" w:space="0"/>
            </w:tcBorders>
          </w:tcPr>
          <w:p>
            <w:pPr>
              <w:pStyle w:val="TableText"/>
              <w:ind w:left="142"/>
              <w:spacing w:before="55" w:line="231" w:lineRule="auto"/>
              <w:rPr/>
            </w:pPr>
            <w:r>
              <w:rPr>
                <w:spacing w:val="6"/>
              </w:rPr>
              <w:t>固定时间，不同距离浓度值，</w:t>
            </w:r>
          </w:p>
          <w:p>
            <w:pPr>
              <w:ind w:left="1199"/>
              <w:spacing w:before="9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p>
        </w:tc>
        <w:tc>
          <w:tcPr>
            <w:tcW w:w="4446" w:type="dxa"/>
            <w:vAlign w:val="top"/>
            <w:tcBorders>
              <w:right w:val="nil"/>
              <w:top w:val="single" w:color="000000" w:sz="10" w:space="0"/>
            </w:tcBorders>
          </w:tcPr>
          <w:p>
            <w:pPr>
              <w:pStyle w:val="TableText"/>
              <w:ind w:left="1710"/>
              <w:spacing w:before="211" w:line="231" w:lineRule="auto"/>
              <w:rPr/>
            </w:pPr>
            <w:r>
              <w:rPr>
                <w:spacing w:val="6"/>
              </w:rPr>
              <w:t>预测结果图</w:t>
            </w:r>
          </w:p>
        </w:tc>
      </w:tr>
      <w:tr>
        <w:trPr>
          <w:trHeight w:val="314" w:hRule="atLeast"/>
        </w:trPr>
        <w:tc>
          <w:tcPr>
            <w:tcW w:w="1216" w:type="dxa"/>
            <w:vAlign w:val="top"/>
            <w:tcBorders>
              <w:left w:val="nil"/>
            </w:tcBorders>
          </w:tcPr>
          <w:p>
            <w:pPr>
              <w:ind w:left="56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856" w:type="dxa"/>
            <w:vAlign w:val="top"/>
          </w:tcPr>
          <w:p>
            <w:pPr>
              <w:ind w:left="125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6.67</w:t>
            </w:r>
          </w:p>
        </w:tc>
        <w:tc>
          <w:tcPr>
            <w:tcW w:w="4446" w:type="dxa"/>
            <w:vAlign w:val="top"/>
            <w:vMerge w:val="restart"/>
            <w:tcBorders>
              <w:right w:val="nil"/>
              <w:bottom w:val="nil"/>
            </w:tcBorders>
          </w:tcPr>
          <w:p>
            <w:pPr>
              <w:ind w:firstLine="106"/>
              <w:spacing w:before="159" w:line="2563" w:lineRule="exact"/>
              <w:rPr/>
            </w:pPr>
            <w:r>
              <w:rPr>
                <w:position w:val="-51"/>
              </w:rPr>
              <w:drawing>
                <wp:inline distT="0" distB="0" distL="0" distR="0">
                  <wp:extent cx="2674620" cy="1627632"/>
                  <wp:effectExtent l="0" t="0" r="0" b="0"/>
                  <wp:docPr id="100" name="IM 100"/>
                  <wp:cNvGraphicFramePr/>
                  <a:graphic>
                    <a:graphicData uri="http://schemas.openxmlformats.org/drawingml/2006/picture">
                      <pic:pic>
                        <pic:nvPicPr>
                          <pic:cNvPr id="100" name="IM 100"/>
                          <pic:cNvPicPr/>
                        </pic:nvPicPr>
                        <pic:blipFill>
                          <a:blip r:embed="rId319"/>
                          <a:stretch>
                            <a:fillRect/>
                          </a:stretch>
                        </pic:blipFill>
                        <pic:spPr>
                          <a:xfrm rot="0">
                            <a:off x="0" y="0"/>
                            <a:ext cx="2674620" cy="1627632"/>
                          </a:xfrm>
                          <a:prstGeom prst="rect">
                            <a:avLst/>
                          </a:prstGeom>
                        </pic:spPr>
                      </pic:pic>
                    </a:graphicData>
                  </a:graphic>
                </wp:inline>
              </w:drawing>
            </w:r>
          </w:p>
        </w:tc>
      </w:tr>
      <w:tr>
        <w:trPr>
          <w:trHeight w:val="315" w:hRule="atLeast"/>
        </w:trPr>
        <w:tc>
          <w:tcPr>
            <w:tcW w:w="1216" w:type="dxa"/>
            <w:vAlign w:val="top"/>
            <w:tcBorders>
              <w:left w:val="nil"/>
            </w:tcBorders>
          </w:tcPr>
          <w:p>
            <w:pPr>
              <w:ind w:left="508"/>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856" w:type="dxa"/>
            <w:vAlign w:val="top"/>
          </w:tcPr>
          <w:p>
            <w:pPr>
              <w:ind w:left="1251"/>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5.20</w:t>
            </w:r>
          </w:p>
        </w:tc>
        <w:tc>
          <w:tcPr>
            <w:tcW w:w="4446" w:type="dxa"/>
            <w:vAlign w:val="top"/>
            <w:vMerge w:val="continue"/>
            <w:tcBorders>
              <w:right w:val="nil"/>
              <w:bottom w:val="nil"/>
              <w:top w:val="nil"/>
            </w:tcBorders>
          </w:tcPr>
          <w:p>
            <w:pPr>
              <w:rPr>
                <w:rFonts w:ascii="Arial"/>
                <w:sz w:val="21"/>
              </w:rPr>
            </w:pPr>
            <w:r/>
          </w:p>
        </w:tc>
      </w:tr>
      <w:tr>
        <w:trPr>
          <w:trHeight w:val="314" w:hRule="atLeast"/>
        </w:trPr>
        <w:tc>
          <w:tcPr>
            <w:tcW w:w="1216" w:type="dxa"/>
            <w:vAlign w:val="top"/>
            <w:tcBorders>
              <w:left w:val="nil"/>
            </w:tcBorders>
          </w:tcPr>
          <w:p>
            <w:pPr>
              <w:ind w:left="507"/>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2856" w:type="dxa"/>
            <w:vAlign w:val="top"/>
          </w:tcPr>
          <w:p>
            <w:pPr>
              <w:ind w:left="1250"/>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3.55</w:t>
            </w:r>
          </w:p>
        </w:tc>
        <w:tc>
          <w:tcPr>
            <w:tcW w:w="4446" w:type="dxa"/>
            <w:vAlign w:val="top"/>
            <w:vMerge w:val="continue"/>
            <w:tcBorders>
              <w:right w:val="nil"/>
              <w:bottom w:val="nil"/>
              <w:top w:val="nil"/>
            </w:tcBorders>
          </w:tcPr>
          <w:p>
            <w:pPr>
              <w:rPr>
                <w:rFonts w:ascii="Arial"/>
                <w:sz w:val="21"/>
              </w:rPr>
            </w:pPr>
            <w:r/>
          </w:p>
        </w:tc>
      </w:tr>
      <w:tr>
        <w:trPr>
          <w:trHeight w:val="315" w:hRule="atLeast"/>
        </w:trPr>
        <w:tc>
          <w:tcPr>
            <w:tcW w:w="1216" w:type="dxa"/>
            <w:vAlign w:val="top"/>
            <w:tcBorders>
              <w:left w:val="nil"/>
            </w:tcBorders>
          </w:tcPr>
          <w:p>
            <w:pPr>
              <w:ind w:left="512"/>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56" w:type="dxa"/>
            <w:vAlign w:val="top"/>
          </w:tcPr>
          <w:p>
            <w:pPr>
              <w:ind w:left="124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2.08</w:t>
            </w:r>
          </w:p>
        </w:tc>
        <w:tc>
          <w:tcPr>
            <w:tcW w:w="4446" w:type="dxa"/>
            <w:vAlign w:val="top"/>
            <w:vMerge w:val="continue"/>
            <w:tcBorders>
              <w:right w:val="nil"/>
              <w:bottom w:val="nil"/>
              <w:top w:val="nil"/>
            </w:tcBorders>
          </w:tcPr>
          <w:p>
            <w:pPr>
              <w:rPr>
                <w:rFonts w:ascii="Arial"/>
                <w:sz w:val="21"/>
              </w:rPr>
            </w:pPr>
            <w:r/>
          </w:p>
        </w:tc>
      </w:tr>
      <w:tr>
        <w:trPr>
          <w:trHeight w:val="315" w:hRule="atLeast"/>
        </w:trPr>
        <w:tc>
          <w:tcPr>
            <w:tcW w:w="1216" w:type="dxa"/>
            <w:vAlign w:val="top"/>
            <w:tcBorders>
              <w:left w:val="nil"/>
            </w:tcBorders>
          </w:tcPr>
          <w:p>
            <w:pPr>
              <w:ind w:left="516"/>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2856" w:type="dxa"/>
            <w:vAlign w:val="top"/>
          </w:tcPr>
          <w:p>
            <w:pPr>
              <w:ind w:left="1265"/>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1.03</w:t>
            </w:r>
          </w:p>
        </w:tc>
        <w:tc>
          <w:tcPr>
            <w:tcW w:w="4446" w:type="dxa"/>
            <w:vAlign w:val="top"/>
            <w:vMerge w:val="continue"/>
            <w:tcBorders>
              <w:right w:val="nil"/>
              <w:bottom w:val="nil"/>
              <w:top w:val="nil"/>
            </w:tcBorders>
          </w:tcPr>
          <w:p>
            <w:pPr>
              <w:rPr>
                <w:rFonts w:ascii="Arial"/>
                <w:sz w:val="21"/>
              </w:rPr>
            </w:pPr>
            <w:r/>
          </w:p>
        </w:tc>
      </w:tr>
      <w:tr>
        <w:trPr>
          <w:trHeight w:val="315" w:hRule="atLeast"/>
        </w:trPr>
        <w:tc>
          <w:tcPr>
            <w:tcW w:w="1216" w:type="dxa"/>
            <w:vAlign w:val="top"/>
            <w:tcBorders>
              <w:left w:val="nil"/>
            </w:tcBorders>
          </w:tcPr>
          <w:p>
            <w:pPr>
              <w:ind w:left="47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2856" w:type="dxa"/>
            <w:vAlign w:val="top"/>
          </w:tcPr>
          <w:p>
            <w:pPr>
              <w:ind w:left="124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c>
          <w:tcPr>
            <w:tcW w:w="4446" w:type="dxa"/>
            <w:vAlign w:val="top"/>
            <w:vMerge w:val="continue"/>
            <w:tcBorders>
              <w:right w:val="nil"/>
              <w:bottom w:val="nil"/>
              <w:top w:val="nil"/>
            </w:tcBorders>
          </w:tcPr>
          <w:p>
            <w:pPr>
              <w:rPr>
                <w:rFonts w:ascii="Arial"/>
                <w:sz w:val="21"/>
              </w:rPr>
            </w:pPr>
            <w:r/>
          </w:p>
        </w:tc>
      </w:tr>
      <w:tr>
        <w:trPr>
          <w:trHeight w:val="315" w:hRule="atLeast"/>
        </w:trPr>
        <w:tc>
          <w:tcPr>
            <w:tcW w:w="1216" w:type="dxa"/>
            <w:vAlign w:val="top"/>
            <w:tcBorders>
              <w:left w:val="nil"/>
            </w:tcBorders>
          </w:tcPr>
          <w:p>
            <w:pPr>
              <w:ind w:left="47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2856" w:type="dxa"/>
            <w:vAlign w:val="top"/>
          </w:tcPr>
          <w:p>
            <w:pPr>
              <w:ind w:left="124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4446" w:type="dxa"/>
            <w:vAlign w:val="top"/>
            <w:vMerge w:val="continue"/>
            <w:tcBorders>
              <w:right w:val="nil"/>
              <w:bottom w:val="nil"/>
              <w:top w:val="nil"/>
            </w:tcBorders>
          </w:tcPr>
          <w:p>
            <w:pPr>
              <w:rPr>
                <w:rFonts w:ascii="Arial"/>
                <w:sz w:val="21"/>
              </w:rPr>
            </w:pPr>
            <w:r/>
          </w:p>
        </w:tc>
      </w:tr>
      <w:tr>
        <w:trPr>
          <w:trHeight w:val="315" w:hRule="atLeast"/>
        </w:trPr>
        <w:tc>
          <w:tcPr>
            <w:tcW w:w="1216" w:type="dxa"/>
            <w:vAlign w:val="top"/>
            <w:tcBorders>
              <w:left w:val="nil"/>
            </w:tcBorders>
          </w:tcPr>
          <w:p>
            <w:pPr>
              <w:ind w:left="473"/>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2856" w:type="dxa"/>
            <w:vAlign w:val="top"/>
          </w:tcPr>
          <w:p>
            <w:pPr>
              <w:ind w:left="119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0.044</w:t>
            </w:r>
          </w:p>
        </w:tc>
        <w:tc>
          <w:tcPr>
            <w:tcW w:w="4446" w:type="dxa"/>
            <w:vAlign w:val="top"/>
            <w:vMerge w:val="continue"/>
            <w:tcBorders>
              <w:right w:val="nil"/>
              <w:bottom w:val="nil"/>
              <w:top w:val="nil"/>
            </w:tcBorders>
          </w:tcPr>
          <w:p>
            <w:pPr>
              <w:rPr>
                <w:rFonts w:ascii="Arial"/>
                <w:sz w:val="21"/>
              </w:rPr>
            </w:pPr>
            <w:r/>
          </w:p>
        </w:tc>
      </w:tr>
      <w:tr>
        <w:trPr>
          <w:trHeight w:val="338" w:hRule="atLeast"/>
        </w:trPr>
        <w:tc>
          <w:tcPr>
            <w:tcW w:w="1216" w:type="dxa"/>
            <w:vAlign w:val="top"/>
            <w:tcBorders>
              <w:left w:val="nil"/>
              <w:bottom w:val="single" w:color="000000" w:sz="10" w:space="0"/>
            </w:tcBorders>
          </w:tcPr>
          <w:p>
            <w:pPr>
              <w:ind w:left="47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2856" w:type="dxa"/>
            <w:vAlign w:val="top"/>
            <w:tcBorders>
              <w:bottom w:val="single" w:color="000000" w:sz="10" w:space="0"/>
            </w:tcBorders>
          </w:tcPr>
          <w:p>
            <w:pPr>
              <w:ind w:left="1196"/>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0.010</w:t>
            </w:r>
          </w:p>
        </w:tc>
        <w:tc>
          <w:tcPr>
            <w:tcW w:w="4446" w:type="dxa"/>
            <w:vAlign w:val="top"/>
            <w:vMerge w:val="continue"/>
            <w:tcBorders>
              <w:right w:val="nil"/>
              <w:bottom w:val="single" w:color="000000" w:sz="10" w:space="0"/>
              <w:top w:val="nil"/>
            </w:tcBorders>
          </w:tcPr>
          <w:p>
            <w:pPr>
              <w:rPr>
                <w:rFonts w:ascii="Arial"/>
                <w:sz w:val="21"/>
              </w:rPr>
            </w:pPr>
            <w:r/>
          </w:p>
        </w:tc>
      </w:tr>
    </w:tbl>
    <w:p>
      <w:pPr>
        <w:pStyle w:val="BodyText"/>
        <w:spacing w:line="251" w:lineRule="auto"/>
        <w:rPr/>
      </w:pPr>
      <w:r/>
    </w:p>
    <w:p>
      <w:pPr>
        <w:pStyle w:val="BodyText"/>
        <w:spacing w:line="252" w:lineRule="auto"/>
        <w:rPr/>
      </w:pPr>
      <w:r/>
    </w:p>
    <w:p>
      <w:pPr>
        <w:ind w:left="1824"/>
        <w:spacing w:before="78" w:line="222" w:lineRule="auto"/>
        <w:rPr>
          <w:rFonts w:ascii="FangSong" w:hAnsi="FangSong" w:eastAsia="FangSong" w:cs="FangSong"/>
          <w:sz w:val="24"/>
          <w:szCs w:val="24"/>
        </w:rPr>
      </w:pPr>
      <w:r>
        <w:rPr>
          <w:rFonts w:ascii="FangSong" w:hAnsi="FangSong" w:eastAsia="FangSong" w:cs="FangSong"/>
          <w:sz w:val="24"/>
          <w:szCs w:val="24"/>
          <w:b/>
          <w:bCs/>
          <w:spacing w:val="-6"/>
        </w:rPr>
        <w:t>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b/>
          <w:bCs/>
          <w:spacing w:val="-6"/>
        </w:rPr>
        <w:t>6.2-12</w:t>
      </w:r>
      <w:r>
        <w:rPr>
          <w:rFonts w:ascii="Times New Roman" w:hAnsi="Times New Roman" w:eastAsia="Times New Roman" w:cs="Times New Roman"/>
          <w:sz w:val="24"/>
          <w:szCs w:val="24"/>
          <w:b/>
          <w:bCs/>
          <w:spacing w:val="20"/>
          <w:w w:val="101"/>
        </w:rPr>
        <w:t xml:space="preserve">  </w:t>
      </w:r>
      <w:r>
        <w:rPr>
          <w:rFonts w:ascii="FangSong" w:hAnsi="FangSong" w:eastAsia="FangSong" w:cs="FangSong"/>
          <w:sz w:val="24"/>
          <w:szCs w:val="24"/>
          <w:b/>
          <w:bCs/>
          <w:spacing w:val="-6"/>
        </w:rPr>
        <w:t>固定时间</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b/>
          <w:bCs/>
          <w:spacing w:val="-6"/>
        </w:rPr>
        <w:t>1000d</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6"/>
        </w:rPr>
        <w:t>不同距离浓度预测表</w:t>
      </w:r>
    </w:p>
    <w:p>
      <w:pPr>
        <w:spacing w:line="64"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5"/>
        <w:gridCol w:w="3077"/>
        <w:gridCol w:w="4206"/>
      </w:tblGrid>
      <w:tr>
        <w:trPr>
          <w:trHeight w:val="629" w:hRule="atLeast"/>
        </w:trPr>
        <w:tc>
          <w:tcPr>
            <w:tcW w:w="1235" w:type="dxa"/>
            <w:vAlign w:val="top"/>
            <w:tcBorders>
              <w:left w:val="nil"/>
              <w:top w:val="single" w:color="000000" w:sz="10" w:space="0"/>
            </w:tcBorders>
          </w:tcPr>
          <w:p>
            <w:pPr>
              <w:pStyle w:val="TableText"/>
              <w:ind w:left="344" w:right="197" w:hanging="126"/>
              <w:spacing w:before="57" w:line="259" w:lineRule="auto"/>
              <w:rPr>
                <w:rFonts w:ascii="Times New Roman" w:hAnsi="Times New Roman" w:eastAsia="Times New Roman" w:cs="Times New Roman"/>
              </w:rPr>
            </w:pPr>
            <w:r>
              <w:rPr>
                <w:spacing w:val="3"/>
              </w:rPr>
              <w:t>与源强距</w:t>
            </w:r>
            <w:r>
              <w:rPr>
                <w:spacing w:val="2"/>
              </w:rPr>
              <w:t>离，</w:t>
            </w:r>
            <w:r>
              <w:rPr>
                <w:rFonts w:ascii="Times New Roman" w:hAnsi="Times New Roman" w:eastAsia="Times New Roman" w:cs="Times New Roman"/>
                <w:spacing w:val="2"/>
              </w:rPr>
              <w:t>m</w:t>
            </w:r>
          </w:p>
        </w:tc>
        <w:tc>
          <w:tcPr>
            <w:tcW w:w="3077" w:type="dxa"/>
            <w:vAlign w:val="top"/>
            <w:tcBorders>
              <w:top w:val="single" w:color="000000" w:sz="10" w:space="0"/>
            </w:tcBorders>
          </w:tcPr>
          <w:p>
            <w:pPr>
              <w:pStyle w:val="TableText"/>
              <w:ind w:left="207"/>
              <w:spacing w:before="56" w:line="231" w:lineRule="auto"/>
              <w:rPr/>
            </w:pPr>
            <w:r>
              <w:rPr>
                <w:spacing w:val="6"/>
              </w:rPr>
              <w:t>固定时间，不同距离浓度值，</w:t>
            </w:r>
          </w:p>
          <w:p>
            <w:pPr>
              <w:ind w:left="1310"/>
              <w:spacing w:before="9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p>
        </w:tc>
        <w:tc>
          <w:tcPr>
            <w:tcW w:w="4206" w:type="dxa"/>
            <w:vAlign w:val="top"/>
            <w:tcBorders>
              <w:right w:val="nil"/>
              <w:top w:val="single" w:color="000000" w:sz="10" w:space="0"/>
            </w:tcBorders>
          </w:tcPr>
          <w:p>
            <w:pPr>
              <w:pStyle w:val="TableText"/>
              <w:ind w:left="1590"/>
              <w:spacing w:before="212" w:line="231" w:lineRule="auto"/>
              <w:rPr/>
            </w:pPr>
            <w:r>
              <w:rPr>
                <w:spacing w:val="6"/>
              </w:rPr>
              <w:t>预测结果图</w:t>
            </w:r>
          </w:p>
        </w:tc>
      </w:tr>
      <w:tr>
        <w:trPr>
          <w:trHeight w:val="314" w:hRule="atLeast"/>
        </w:trPr>
        <w:tc>
          <w:tcPr>
            <w:tcW w:w="1235" w:type="dxa"/>
            <w:vAlign w:val="top"/>
            <w:tcBorders>
              <w:left w:val="nil"/>
            </w:tcBorders>
          </w:tcPr>
          <w:p>
            <w:pPr>
              <w:ind w:left="571"/>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77" w:type="dxa"/>
            <w:vAlign w:val="top"/>
          </w:tcPr>
          <w:p>
            <w:pPr>
              <w:ind w:left="1361"/>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6.67</w:t>
            </w:r>
          </w:p>
        </w:tc>
        <w:tc>
          <w:tcPr>
            <w:tcW w:w="4206" w:type="dxa"/>
            <w:vAlign w:val="top"/>
            <w:vMerge w:val="restart"/>
            <w:tcBorders>
              <w:right w:val="nil"/>
              <w:bottom w:val="nil"/>
            </w:tcBorders>
          </w:tcPr>
          <w:p>
            <w:pPr>
              <w:ind w:firstLine="106"/>
              <w:spacing w:before="88" w:line="2383" w:lineRule="exact"/>
              <w:rPr/>
            </w:pPr>
            <w:r>
              <w:rPr>
                <w:position w:val="-47"/>
              </w:rPr>
              <w:drawing>
                <wp:inline distT="0" distB="0" distL="0" distR="0">
                  <wp:extent cx="2531364" cy="1513332"/>
                  <wp:effectExtent l="0" t="0" r="0" b="0"/>
                  <wp:docPr id="102" name="IM 102"/>
                  <wp:cNvGraphicFramePr/>
                  <a:graphic>
                    <a:graphicData uri="http://schemas.openxmlformats.org/drawingml/2006/picture">
                      <pic:pic>
                        <pic:nvPicPr>
                          <pic:cNvPr id="102" name="IM 102"/>
                          <pic:cNvPicPr/>
                        </pic:nvPicPr>
                        <pic:blipFill>
                          <a:blip r:embed="rId320"/>
                          <a:stretch>
                            <a:fillRect/>
                          </a:stretch>
                        </pic:blipFill>
                        <pic:spPr>
                          <a:xfrm rot="0">
                            <a:off x="0" y="0"/>
                            <a:ext cx="2531364" cy="1513332"/>
                          </a:xfrm>
                          <a:prstGeom prst="rect">
                            <a:avLst/>
                          </a:prstGeom>
                        </pic:spPr>
                      </pic:pic>
                    </a:graphicData>
                  </a:graphic>
                </wp:inline>
              </w:drawing>
            </w:r>
          </w:p>
        </w:tc>
      </w:tr>
      <w:tr>
        <w:trPr>
          <w:trHeight w:val="314" w:hRule="atLeast"/>
        </w:trPr>
        <w:tc>
          <w:tcPr>
            <w:tcW w:w="1235" w:type="dxa"/>
            <w:vAlign w:val="top"/>
            <w:tcBorders>
              <w:left w:val="nil"/>
            </w:tcBorders>
          </w:tcPr>
          <w:p>
            <w:pPr>
              <w:ind w:left="519"/>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077" w:type="dxa"/>
            <w:vAlign w:val="top"/>
          </w:tcPr>
          <w:p>
            <w:pPr>
              <w:ind w:left="1362"/>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5.41</w:t>
            </w:r>
          </w:p>
        </w:tc>
        <w:tc>
          <w:tcPr>
            <w:tcW w:w="4206" w:type="dxa"/>
            <w:vAlign w:val="top"/>
            <w:vMerge w:val="continue"/>
            <w:tcBorders>
              <w:right w:val="nil"/>
              <w:bottom w:val="nil"/>
              <w:top w:val="nil"/>
            </w:tcBorders>
          </w:tcPr>
          <w:p>
            <w:pPr>
              <w:rPr>
                <w:rFonts w:ascii="Arial"/>
                <w:sz w:val="21"/>
              </w:rPr>
            </w:pPr>
            <w:r/>
          </w:p>
        </w:tc>
      </w:tr>
      <w:tr>
        <w:trPr>
          <w:trHeight w:val="314" w:hRule="atLeast"/>
        </w:trPr>
        <w:tc>
          <w:tcPr>
            <w:tcW w:w="1235" w:type="dxa"/>
            <w:vAlign w:val="top"/>
            <w:tcBorders>
              <w:left w:val="nil"/>
            </w:tcBorders>
          </w:tcPr>
          <w:p>
            <w:pPr>
              <w:ind w:left="520"/>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3077" w:type="dxa"/>
            <w:vAlign w:val="top"/>
          </w:tcPr>
          <w:p>
            <w:pPr>
              <w:ind w:left="1360"/>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3.81</w:t>
            </w:r>
          </w:p>
        </w:tc>
        <w:tc>
          <w:tcPr>
            <w:tcW w:w="4206" w:type="dxa"/>
            <w:vAlign w:val="top"/>
            <w:vMerge w:val="continue"/>
            <w:tcBorders>
              <w:right w:val="nil"/>
              <w:bottom w:val="nil"/>
              <w:top w:val="nil"/>
            </w:tcBorders>
          </w:tcPr>
          <w:p>
            <w:pPr>
              <w:rPr>
                <w:rFonts w:ascii="Arial"/>
                <w:sz w:val="21"/>
              </w:rPr>
            </w:pPr>
            <w:r/>
          </w:p>
        </w:tc>
      </w:tr>
      <w:tr>
        <w:trPr>
          <w:trHeight w:val="315" w:hRule="atLeast"/>
        </w:trPr>
        <w:tc>
          <w:tcPr>
            <w:tcW w:w="1235" w:type="dxa"/>
            <w:vAlign w:val="top"/>
            <w:tcBorders>
              <w:left w:val="nil"/>
            </w:tcBorders>
          </w:tcPr>
          <w:p>
            <w:pPr>
              <w:ind w:left="519"/>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3077" w:type="dxa"/>
            <w:vAlign w:val="top"/>
          </w:tcPr>
          <w:p>
            <w:pPr>
              <w:ind w:left="135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2.27</w:t>
            </w:r>
          </w:p>
        </w:tc>
        <w:tc>
          <w:tcPr>
            <w:tcW w:w="4206" w:type="dxa"/>
            <w:vAlign w:val="top"/>
            <w:vMerge w:val="continue"/>
            <w:tcBorders>
              <w:right w:val="nil"/>
              <w:bottom w:val="nil"/>
              <w:top w:val="nil"/>
            </w:tcBorders>
          </w:tcPr>
          <w:p>
            <w:pPr>
              <w:rPr>
                <w:rFonts w:ascii="Arial"/>
                <w:sz w:val="21"/>
              </w:rPr>
            </w:pPr>
            <w:r/>
          </w:p>
        </w:tc>
      </w:tr>
      <w:tr>
        <w:trPr>
          <w:trHeight w:val="315" w:hRule="atLeast"/>
        </w:trPr>
        <w:tc>
          <w:tcPr>
            <w:tcW w:w="1235" w:type="dxa"/>
            <w:vAlign w:val="top"/>
            <w:tcBorders>
              <w:left w:val="nil"/>
            </w:tcBorders>
          </w:tcPr>
          <w:p>
            <w:pPr>
              <w:ind w:left="48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3077" w:type="dxa"/>
            <w:vAlign w:val="top"/>
          </w:tcPr>
          <w:p>
            <w:pPr>
              <w:ind w:left="1376"/>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w:t>
            </w:r>
          </w:p>
        </w:tc>
        <w:tc>
          <w:tcPr>
            <w:tcW w:w="4206" w:type="dxa"/>
            <w:vAlign w:val="top"/>
            <w:vMerge w:val="continue"/>
            <w:tcBorders>
              <w:right w:val="nil"/>
              <w:bottom w:val="nil"/>
              <w:top w:val="nil"/>
            </w:tcBorders>
          </w:tcPr>
          <w:p>
            <w:pPr>
              <w:rPr>
                <w:rFonts w:ascii="Arial"/>
                <w:sz w:val="21"/>
              </w:rPr>
            </w:pPr>
            <w:r/>
          </w:p>
        </w:tc>
      </w:tr>
      <w:tr>
        <w:trPr>
          <w:trHeight w:val="314" w:hRule="atLeast"/>
        </w:trPr>
        <w:tc>
          <w:tcPr>
            <w:tcW w:w="1235" w:type="dxa"/>
            <w:vAlign w:val="top"/>
            <w:tcBorders>
              <w:left w:val="nil"/>
            </w:tcBorders>
          </w:tcPr>
          <w:p>
            <w:pPr>
              <w:ind w:left="48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3077" w:type="dxa"/>
            <w:vAlign w:val="top"/>
          </w:tcPr>
          <w:p>
            <w:pPr>
              <w:ind w:left="135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0.46</w:t>
            </w:r>
          </w:p>
        </w:tc>
        <w:tc>
          <w:tcPr>
            <w:tcW w:w="4206" w:type="dxa"/>
            <w:vAlign w:val="top"/>
            <w:vMerge w:val="continue"/>
            <w:tcBorders>
              <w:right w:val="nil"/>
              <w:bottom w:val="nil"/>
              <w:top w:val="nil"/>
            </w:tcBorders>
          </w:tcPr>
          <w:p>
            <w:pPr>
              <w:rPr>
                <w:rFonts w:ascii="Arial"/>
                <w:sz w:val="21"/>
              </w:rPr>
            </w:pPr>
            <w:r/>
          </w:p>
        </w:tc>
      </w:tr>
      <w:tr>
        <w:trPr>
          <w:trHeight w:val="315" w:hRule="atLeast"/>
        </w:trPr>
        <w:tc>
          <w:tcPr>
            <w:tcW w:w="1235" w:type="dxa"/>
            <w:vAlign w:val="top"/>
            <w:tcBorders>
              <w:left w:val="nil"/>
            </w:tcBorders>
          </w:tcPr>
          <w:p>
            <w:pPr>
              <w:ind w:left="485"/>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c>
          <w:tcPr>
            <w:tcW w:w="3077" w:type="dxa"/>
            <w:vAlign w:val="top"/>
          </w:tcPr>
          <w:p>
            <w:pPr>
              <w:ind w:left="1359"/>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4206" w:type="dxa"/>
            <w:vAlign w:val="top"/>
            <w:vMerge w:val="continue"/>
            <w:tcBorders>
              <w:right w:val="nil"/>
              <w:bottom w:val="nil"/>
              <w:top w:val="nil"/>
            </w:tcBorders>
          </w:tcPr>
          <w:p>
            <w:pPr>
              <w:rPr>
                <w:rFonts w:ascii="Arial"/>
                <w:sz w:val="21"/>
              </w:rPr>
            </w:pPr>
            <w:r/>
          </w:p>
        </w:tc>
      </w:tr>
      <w:tr>
        <w:trPr>
          <w:trHeight w:val="338" w:hRule="atLeast"/>
        </w:trPr>
        <w:tc>
          <w:tcPr>
            <w:tcW w:w="1235" w:type="dxa"/>
            <w:vAlign w:val="top"/>
            <w:tcBorders>
              <w:left w:val="nil"/>
              <w:bottom w:val="single" w:color="000000" w:sz="10" w:space="0"/>
            </w:tcBorders>
          </w:tcPr>
          <w:p>
            <w:pPr>
              <w:ind w:left="46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210</w:t>
            </w:r>
          </w:p>
        </w:tc>
        <w:tc>
          <w:tcPr>
            <w:tcW w:w="3077" w:type="dxa"/>
            <w:vAlign w:val="top"/>
            <w:tcBorders>
              <w:bottom w:val="single" w:color="000000" w:sz="10" w:space="0"/>
            </w:tcBorders>
          </w:tcPr>
          <w:p>
            <w:pPr>
              <w:ind w:left="1306"/>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0.043</w:t>
            </w:r>
          </w:p>
        </w:tc>
        <w:tc>
          <w:tcPr>
            <w:tcW w:w="4206" w:type="dxa"/>
            <w:vAlign w:val="top"/>
            <w:vMerge w:val="continue"/>
            <w:tcBorders>
              <w:right w:val="nil"/>
              <w:bottom w:val="single" w:color="000000" w:sz="10" w:space="0"/>
              <w:top w:val="nil"/>
            </w:tcBorders>
          </w:tcPr>
          <w:p>
            <w:pPr>
              <w:rPr>
                <w:rFonts w:ascii="Arial"/>
                <w:sz w:val="21"/>
              </w:rPr>
            </w:pPr>
            <w:r/>
          </w:p>
        </w:tc>
      </w:tr>
    </w:tbl>
    <w:p>
      <w:pPr>
        <w:pStyle w:val="BodyText"/>
        <w:spacing w:line="251" w:lineRule="auto"/>
        <w:rPr/>
      </w:pPr>
      <w:r/>
    </w:p>
    <w:p>
      <w:pPr>
        <w:pStyle w:val="BodyText"/>
        <w:spacing w:line="251" w:lineRule="auto"/>
        <w:rPr/>
      </w:pPr>
      <w:r/>
    </w:p>
    <w:p>
      <w:pPr>
        <w:ind w:left="1824"/>
        <w:spacing w:before="79" w:line="222" w:lineRule="auto"/>
        <w:rPr>
          <w:rFonts w:ascii="FangSong" w:hAnsi="FangSong" w:eastAsia="FangSong" w:cs="FangSong"/>
          <w:sz w:val="24"/>
          <w:szCs w:val="24"/>
        </w:rPr>
      </w:pPr>
      <w:r>
        <w:rPr>
          <w:rFonts w:ascii="FangSong" w:hAnsi="FangSong" w:eastAsia="FangSong" w:cs="FangSong"/>
          <w:sz w:val="24"/>
          <w:szCs w:val="24"/>
          <w:b/>
          <w:bCs/>
          <w:spacing w:val="-5"/>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spacing w:val="-5"/>
        </w:rPr>
        <w:t>6.2-13</w:t>
      </w:r>
      <w:r>
        <w:rPr>
          <w:rFonts w:ascii="Times New Roman" w:hAnsi="Times New Roman" w:eastAsia="Times New Roman" w:cs="Times New Roman"/>
          <w:sz w:val="24"/>
          <w:szCs w:val="24"/>
          <w:b/>
          <w:bCs/>
          <w:spacing w:val="20"/>
          <w:w w:val="101"/>
        </w:rPr>
        <w:t xml:space="preserve">  </w:t>
      </w:r>
      <w:r>
        <w:rPr>
          <w:rFonts w:ascii="FangSong" w:hAnsi="FangSong" w:eastAsia="FangSong" w:cs="FangSong"/>
          <w:sz w:val="24"/>
          <w:szCs w:val="24"/>
          <w:b/>
          <w:bCs/>
          <w:spacing w:val="-5"/>
        </w:rPr>
        <w:t>固定时间</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5"/>
        </w:rPr>
        <w:t>2000d</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5"/>
        </w:rPr>
        <w:t>不同距离浓度预测表</w:t>
      </w:r>
    </w:p>
    <w:p>
      <w:pPr>
        <w:spacing w:line="64"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0"/>
        <w:gridCol w:w="3062"/>
        <w:gridCol w:w="4236"/>
      </w:tblGrid>
      <w:tr>
        <w:trPr>
          <w:trHeight w:val="630" w:hRule="atLeast"/>
        </w:trPr>
        <w:tc>
          <w:tcPr>
            <w:tcW w:w="1220" w:type="dxa"/>
            <w:vAlign w:val="top"/>
            <w:tcBorders>
              <w:left w:val="nil"/>
              <w:top w:val="single" w:color="000000" w:sz="10" w:space="0"/>
            </w:tcBorders>
          </w:tcPr>
          <w:p>
            <w:pPr>
              <w:pStyle w:val="TableText"/>
              <w:ind w:left="335" w:right="190" w:hanging="124"/>
              <w:spacing w:before="56" w:line="260" w:lineRule="auto"/>
              <w:rPr>
                <w:rFonts w:ascii="Times New Roman" w:hAnsi="Times New Roman" w:eastAsia="Times New Roman" w:cs="Times New Roman"/>
              </w:rPr>
            </w:pPr>
            <w:r>
              <w:rPr>
                <w:spacing w:val="3"/>
              </w:rPr>
              <w:t>与源强距</w:t>
            </w:r>
            <w:r>
              <w:rPr>
                <w:spacing w:val="2"/>
              </w:rPr>
              <w:t>离，</w:t>
            </w:r>
            <w:r>
              <w:rPr>
                <w:rFonts w:ascii="Times New Roman" w:hAnsi="Times New Roman" w:eastAsia="Times New Roman" w:cs="Times New Roman"/>
                <w:spacing w:val="2"/>
              </w:rPr>
              <w:t>m</w:t>
            </w:r>
          </w:p>
        </w:tc>
        <w:tc>
          <w:tcPr>
            <w:tcW w:w="3062" w:type="dxa"/>
            <w:vAlign w:val="top"/>
            <w:tcBorders>
              <w:top w:val="single" w:color="000000" w:sz="10" w:space="0"/>
            </w:tcBorders>
          </w:tcPr>
          <w:p>
            <w:pPr>
              <w:pStyle w:val="TableText"/>
              <w:ind w:left="198"/>
              <w:spacing w:before="55" w:line="231" w:lineRule="auto"/>
              <w:rPr/>
            </w:pPr>
            <w:r>
              <w:rPr>
                <w:spacing w:val="6"/>
              </w:rPr>
              <w:t>固定时间，不同距离浓度值，</w:t>
            </w:r>
          </w:p>
          <w:p>
            <w:pPr>
              <w:ind w:left="1301"/>
              <w:spacing w:before="9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c>
          <w:tcPr>
            <w:tcW w:w="4236" w:type="dxa"/>
            <w:vAlign w:val="top"/>
            <w:tcBorders>
              <w:right w:val="nil"/>
              <w:top w:val="single" w:color="000000" w:sz="10" w:space="0"/>
            </w:tcBorders>
          </w:tcPr>
          <w:p>
            <w:pPr>
              <w:pStyle w:val="TableText"/>
              <w:ind w:left="1606"/>
              <w:spacing w:before="211" w:line="231" w:lineRule="auto"/>
              <w:rPr/>
            </w:pPr>
            <w:r>
              <w:rPr>
                <w:spacing w:val="6"/>
              </w:rPr>
              <w:t>预测结果图</w:t>
            </w:r>
          </w:p>
        </w:tc>
      </w:tr>
      <w:tr>
        <w:trPr>
          <w:trHeight w:val="315" w:hRule="atLeast"/>
        </w:trPr>
        <w:tc>
          <w:tcPr>
            <w:tcW w:w="1220" w:type="dxa"/>
            <w:vAlign w:val="top"/>
            <w:tcBorders>
              <w:left w:val="nil"/>
            </w:tcBorders>
          </w:tcPr>
          <w:p>
            <w:pPr>
              <w:ind w:left="56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62" w:type="dxa"/>
            <w:vAlign w:val="top"/>
          </w:tcPr>
          <w:p>
            <w:pPr>
              <w:ind w:left="135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6.67</w:t>
            </w:r>
          </w:p>
        </w:tc>
        <w:tc>
          <w:tcPr>
            <w:tcW w:w="4236" w:type="dxa"/>
            <w:vAlign w:val="top"/>
            <w:vMerge w:val="restart"/>
            <w:tcBorders>
              <w:right w:val="nil"/>
              <w:bottom w:val="nil"/>
            </w:tcBorders>
          </w:tcPr>
          <w:p>
            <w:pPr>
              <w:spacing w:line="342" w:lineRule="auto"/>
              <w:rPr>
                <w:rFonts w:ascii="Arial"/>
                <w:sz w:val="21"/>
              </w:rPr>
            </w:pPr>
            <w:r/>
          </w:p>
          <w:p>
            <w:pPr>
              <w:spacing w:line="342" w:lineRule="auto"/>
              <w:rPr>
                <w:rFonts w:ascii="Arial"/>
                <w:sz w:val="21"/>
              </w:rPr>
            </w:pPr>
            <w:r/>
          </w:p>
          <w:p>
            <w:pPr>
              <w:ind w:firstLine="105"/>
              <w:spacing w:line="2156" w:lineRule="exact"/>
              <w:rPr/>
            </w:pPr>
            <w:r>
              <w:rPr>
                <w:position w:val="-43"/>
              </w:rPr>
              <w:drawing>
                <wp:inline distT="0" distB="0" distL="0" distR="0">
                  <wp:extent cx="2534411" cy="1368551"/>
                  <wp:effectExtent l="0" t="0" r="0" b="0"/>
                  <wp:docPr id="104" name="IM 104"/>
                  <wp:cNvGraphicFramePr/>
                  <a:graphic>
                    <a:graphicData uri="http://schemas.openxmlformats.org/drawingml/2006/picture">
                      <pic:pic>
                        <pic:nvPicPr>
                          <pic:cNvPr id="104" name="IM 104"/>
                          <pic:cNvPicPr/>
                        </pic:nvPicPr>
                        <pic:blipFill>
                          <a:blip r:embed="rId321"/>
                          <a:stretch>
                            <a:fillRect/>
                          </a:stretch>
                        </pic:blipFill>
                        <pic:spPr>
                          <a:xfrm rot="0">
                            <a:off x="0" y="0"/>
                            <a:ext cx="2534411" cy="1368551"/>
                          </a:xfrm>
                          <a:prstGeom prst="rect">
                            <a:avLst/>
                          </a:prstGeom>
                        </pic:spPr>
                      </pic:pic>
                    </a:graphicData>
                  </a:graphic>
                </wp:inline>
              </w:drawing>
            </w:r>
          </w:p>
        </w:tc>
      </w:tr>
      <w:tr>
        <w:trPr>
          <w:trHeight w:val="315" w:hRule="atLeast"/>
        </w:trPr>
        <w:tc>
          <w:tcPr>
            <w:tcW w:w="1220" w:type="dxa"/>
            <w:vAlign w:val="top"/>
            <w:tcBorders>
              <w:left w:val="nil"/>
            </w:tcBorders>
          </w:tcPr>
          <w:p>
            <w:pPr>
              <w:ind w:left="51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062" w:type="dxa"/>
            <w:vAlign w:val="top"/>
          </w:tcPr>
          <w:p>
            <w:pPr>
              <w:ind w:left="135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6.10</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512"/>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3062" w:type="dxa"/>
            <w:vAlign w:val="top"/>
          </w:tcPr>
          <w:p>
            <w:pPr>
              <w:ind w:left="1355"/>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5.27</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512"/>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3062" w:type="dxa"/>
            <w:vAlign w:val="top"/>
          </w:tcPr>
          <w:p>
            <w:pPr>
              <w:ind w:left="1348"/>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47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3062" w:type="dxa"/>
            <w:vAlign w:val="top"/>
          </w:tcPr>
          <w:p>
            <w:pPr>
              <w:ind w:left="135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3.18</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475"/>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3062" w:type="dxa"/>
            <w:vAlign w:val="top"/>
          </w:tcPr>
          <w:p>
            <w:pPr>
              <w:ind w:left="1349"/>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2.18</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475"/>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c>
          <w:tcPr>
            <w:tcW w:w="3062" w:type="dxa"/>
            <w:vAlign w:val="top"/>
          </w:tcPr>
          <w:p>
            <w:pPr>
              <w:ind w:left="136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1.37</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45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210</w:t>
            </w:r>
          </w:p>
        </w:tc>
        <w:tc>
          <w:tcPr>
            <w:tcW w:w="3062" w:type="dxa"/>
            <w:vAlign w:val="top"/>
          </w:tcPr>
          <w:p>
            <w:pPr>
              <w:ind w:left="135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0.78</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455"/>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240</w:t>
            </w:r>
          </w:p>
        </w:tc>
        <w:tc>
          <w:tcPr>
            <w:tcW w:w="3062" w:type="dxa"/>
            <w:vAlign w:val="top"/>
          </w:tcPr>
          <w:p>
            <w:pPr>
              <w:ind w:left="1353"/>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0.40</w:t>
            </w:r>
          </w:p>
        </w:tc>
        <w:tc>
          <w:tcPr>
            <w:tcW w:w="4236" w:type="dxa"/>
            <w:vAlign w:val="top"/>
            <w:vMerge w:val="continue"/>
            <w:tcBorders>
              <w:right w:val="nil"/>
              <w:bottom w:val="nil"/>
              <w:top w:val="nil"/>
            </w:tcBorders>
          </w:tcPr>
          <w:p>
            <w:pPr>
              <w:rPr>
                <w:rFonts w:ascii="Arial"/>
                <w:sz w:val="21"/>
              </w:rPr>
            </w:pPr>
            <w:r/>
          </w:p>
        </w:tc>
      </w:tr>
      <w:tr>
        <w:trPr>
          <w:trHeight w:val="315" w:hRule="atLeast"/>
        </w:trPr>
        <w:tc>
          <w:tcPr>
            <w:tcW w:w="1220" w:type="dxa"/>
            <w:vAlign w:val="top"/>
            <w:tcBorders>
              <w:left w:val="nil"/>
            </w:tcBorders>
          </w:tcPr>
          <w:p>
            <w:pPr>
              <w:ind w:left="455"/>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w:t>
            </w:r>
          </w:p>
        </w:tc>
        <w:tc>
          <w:tcPr>
            <w:tcW w:w="3062" w:type="dxa"/>
            <w:vAlign w:val="top"/>
          </w:tcPr>
          <w:p>
            <w:pPr>
              <w:ind w:left="1353"/>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0.19</w:t>
            </w:r>
          </w:p>
        </w:tc>
        <w:tc>
          <w:tcPr>
            <w:tcW w:w="4236" w:type="dxa"/>
            <w:vAlign w:val="top"/>
            <w:vMerge w:val="continue"/>
            <w:tcBorders>
              <w:right w:val="nil"/>
              <w:bottom w:val="nil"/>
              <w:top w:val="nil"/>
            </w:tcBorders>
          </w:tcPr>
          <w:p>
            <w:pPr>
              <w:rPr>
                <w:rFonts w:ascii="Arial"/>
                <w:sz w:val="21"/>
              </w:rPr>
            </w:pPr>
            <w:r/>
          </w:p>
        </w:tc>
      </w:tr>
      <w:tr>
        <w:trPr>
          <w:trHeight w:val="339" w:hRule="atLeast"/>
        </w:trPr>
        <w:tc>
          <w:tcPr>
            <w:tcW w:w="1220" w:type="dxa"/>
            <w:vAlign w:val="top"/>
            <w:tcBorders>
              <w:left w:val="nil"/>
              <w:bottom w:val="single" w:color="000000" w:sz="10" w:space="0"/>
            </w:tcBorders>
          </w:tcPr>
          <w:p>
            <w:pPr>
              <w:ind w:left="459"/>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3062" w:type="dxa"/>
            <w:vAlign w:val="top"/>
            <w:tcBorders>
              <w:bottom w:val="single" w:color="000000" w:sz="10" w:space="0"/>
            </w:tcBorders>
          </w:tcPr>
          <w:p>
            <w:pPr>
              <w:ind w:left="135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4236"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footerReference w:type="default" r:id="rId318"/>
          <w:pgSz w:w="11906" w:h="16839"/>
          <w:pgMar w:top="400" w:right="1695" w:bottom="1358" w:left="1691" w:header="0" w:footer="1195" w:gutter="0"/>
        </w:sectPr>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6.2.5.5  </w:t>
      </w:r>
      <w:r>
        <w:rPr>
          <w:rFonts w:ascii="FangSong" w:hAnsi="FangSong" w:eastAsia="FangSong" w:cs="FangSong"/>
          <w:sz w:val="24"/>
          <w:szCs w:val="24"/>
          <w:b/>
          <w:bCs/>
          <w:spacing w:val="-2"/>
        </w:rPr>
        <w:t>地下水环境影响评价</w:t>
      </w:r>
    </w:p>
    <w:p>
      <w:pPr>
        <w:ind w:left="29" w:right="105" w:firstLine="481"/>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本次评价考虑最不利情况，污染发生后污染物</w:t>
      </w:r>
      <w:r>
        <w:rPr>
          <w:rFonts w:ascii="FangSong" w:hAnsi="FangSong" w:eastAsia="FangSong" w:cs="FangSong"/>
          <w:sz w:val="24"/>
          <w:szCs w:val="24"/>
          <w:spacing w:val="-4"/>
        </w:rPr>
        <w:t>的迁移距离随持续泄漏时间的</w:t>
      </w:r>
      <w:r>
        <w:rPr>
          <w:rFonts w:ascii="FangSong" w:hAnsi="FangSong" w:eastAsia="FangSong" w:cs="FangSong"/>
          <w:sz w:val="24"/>
          <w:szCs w:val="24"/>
          <w:spacing w:val="-3"/>
        </w:rPr>
        <w:t>延长而变远，污染源泄漏后若没有及时发现并采取控制措施，会造成</w:t>
      </w:r>
      <w:r>
        <w:rPr>
          <w:rFonts w:ascii="FangSong" w:hAnsi="FangSong" w:eastAsia="FangSong" w:cs="FangSong"/>
          <w:sz w:val="24"/>
          <w:szCs w:val="24"/>
          <w:spacing w:val="-4"/>
        </w:rPr>
        <w:t>场区下游远</w:t>
      </w:r>
      <w:r>
        <w:rPr>
          <w:rFonts w:ascii="FangSong" w:hAnsi="FangSong" w:eastAsia="FangSong" w:cs="FangSong"/>
          <w:sz w:val="24"/>
          <w:szCs w:val="24"/>
          <w:spacing w:val="-3"/>
        </w:rPr>
        <w:t>距离地下水环境受到污染。因此，早期发现污染情况并采取有效控制</w:t>
      </w:r>
      <w:r>
        <w:rPr>
          <w:rFonts w:ascii="FangSong" w:hAnsi="FangSong" w:eastAsia="FangSong" w:cs="FangSong"/>
          <w:sz w:val="24"/>
          <w:szCs w:val="24"/>
          <w:spacing w:val="-4"/>
        </w:rPr>
        <w:t>措施是防止</w:t>
      </w:r>
      <w:r>
        <w:rPr>
          <w:rFonts w:ascii="FangSong" w:hAnsi="FangSong" w:eastAsia="FangSong" w:cs="FangSong"/>
          <w:sz w:val="24"/>
          <w:szCs w:val="24"/>
          <w:spacing w:val="-2"/>
        </w:rPr>
        <w:t>地下水污染扩散的重要手段。</w:t>
      </w:r>
    </w:p>
    <w:p>
      <w:pPr>
        <w:ind w:left="29" w:firstLine="481"/>
        <w:spacing w:before="15" w:line="359" w:lineRule="auto"/>
        <w:jc w:val="both"/>
        <w:rPr>
          <w:rFonts w:ascii="FangSong" w:hAnsi="FangSong" w:eastAsia="FangSong" w:cs="FangSong"/>
          <w:sz w:val="24"/>
          <w:szCs w:val="24"/>
        </w:rPr>
      </w:pPr>
      <w:r>
        <w:rPr>
          <w:rFonts w:ascii="FangSong" w:hAnsi="FangSong" w:eastAsia="FangSong" w:cs="FangSong"/>
          <w:sz w:val="24"/>
          <w:szCs w:val="24"/>
          <w:spacing w:val="-3"/>
        </w:rPr>
        <w:t>根据预测，非正常工况下，污染源下游方向上</w:t>
      </w:r>
      <w:r>
        <w:rPr>
          <w:rFonts w:ascii="FangSong" w:hAnsi="FangSong" w:eastAsia="FangSong" w:cs="FangSong"/>
          <w:sz w:val="24"/>
          <w:szCs w:val="24"/>
          <w:spacing w:val="-4"/>
        </w:rPr>
        <w:t>各污染物在不同时间不同距离</w:t>
      </w:r>
      <w:r>
        <w:rPr>
          <w:rFonts w:ascii="FangSong" w:hAnsi="FangSong" w:eastAsia="FangSong" w:cs="FangSong"/>
          <w:sz w:val="24"/>
          <w:szCs w:val="24"/>
          <w:spacing w:val="-6"/>
        </w:rPr>
        <w:t>位置预测结果，见表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6.2-10</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6"/>
        </w:rPr>
        <w:t>至</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6.2-13</w:t>
      </w:r>
      <w:r>
        <w:rPr>
          <w:rFonts w:ascii="FangSong" w:hAnsi="FangSong" w:eastAsia="FangSong" w:cs="FangSong"/>
          <w:sz w:val="24"/>
          <w:szCs w:val="24"/>
          <w:spacing w:val="-6"/>
        </w:rPr>
        <w:t>。本项</w:t>
      </w:r>
      <w:r>
        <w:rPr>
          <w:rFonts w:ascii="FangSong" w:hAnsi="FangSong" w:eastAsia="FangSong" w:cs="FangSong"/>
          <w:sz w:val="24"/>
          <w:szCs w:val="24"/>
          <w:spacing w:val="-7"/>
        </w:rPr>
        <w:t>目氟化物执行《地下水环境质量标准》</w:t>
      </w:r>
      <w:r>
        <w:rPr>
          <w:rFonts w:ascii="FangSong" w:hAnsi="FangSong" w:eastAsia="FangSong" w:cs="FangSong"/>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GB/T14848-2017</w:t>
      </w:r>
      <w:r>
        <w:rPr>
          <w:rFonts w:ascii="FangSong" w:hAnsi="FangSong" w:eastAsia="FangSong" w:cs="FangSong"/>
          <w:sz w:val="24"/>
          <w:szCs w:val="24"/>
          <w:spacing w:val="-3"/>
        </w:rPr>
        <w:t>）中三类水体标准（标准值为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1mg</w:t>
      </w:r>
      <w:r>
        <w:rPr>
          <w:rFonts w:ascii="Times New Roman" w:hAnsi="Times New Roman" w:eastAsia="Times New Roman" w:cs="Times New Roman"/>
          <w:sz w:val="24"/>
          <w:szCs w:val="24"/>
          <w:spacing w:val="-4"/>
        </w:rPr>
        <w:t>/L</w:t>
      </w:r>
      <w:r>
        <w:rPr>
          <w:rFonts w:ascii="FangSong" w:hAnsi="FangSong" w:eastAsia="FangSong" w:cs="FangSong"/>
          <w:sz w:val="24"/>
          <w:szCs w:val="24"/>
          <w:spacing w:val="-4"/>
        </w:rPr>
        <w:t>）。根据预测结果，地下</w:t>
      </w:r>
      <w:r>
        <w:rPr>
          <w:rFonts w:ascii="FangSong" w:hAnsi="FangSong" w:eastAsia="FangSong" w:cs="FangSong"/>
          <w:sz w:val="24"/>
          <w:szCs w:val="24"/>
        </w:rPr>
        <w:t>水中各污染物羽逐步向外围扩散，当项目运行</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spacing w:val="-1"/>
        </w:rPr>
        <w:t>000</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天后，氟化物污染羽分别扩</w:t>
      </w:r>
      <w:r>
        <w:rPr>
          <w:rFonts w:ascii="FangSong" w:hAnsi="FangSong" w:eastAsia="FangSong" w:cs="FangSong"/>
          <w:sz w:val="24"/>
          <w:szCs w:val="24"/>
          <w:spacing w:val="-2"/>
        </w:rPr>
        <w:t>散到下游约</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210m</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处可以达标。同时地下水污染是一个漫长的过程，</w:t>
      </w:r>
      <w:r>
        <w:rPr>
          <w:rFonts w:ascii="FangSong" w:hAnsi="FangSong" w:eastAsia="FangSong" w:cs="FangSong"/>
          <w:sz w:val="24"/>
          <w:szCs w:val="24"/>
          <w:spacing w:val="-3"/>
        </w:rPr>
        <w:t>并且在污染</w:t>
      </w:r>
      <w:r>
        <w:rPr>
          <w:rFonts w:ascii="FangSong" w:hAnsi="FangSong" w:eastAsia="FangSong" w:cs="FangSong"/>
          <w:sz w:val="24"/>
          <w:szCs w:val="24"/>
          <w:spacing w:val="-3"/>
        </w:rPr>
        <w:t>过程中土壤会截留大部分，并且有部分会在土壤中降解、稀释，而最</w:t>
      </w:r>
      <w:r>
        <w:rPr>
          <w:rFonts w:ascii="FangSong" w:hAnsi="FangSong" w:eastAsia="FangSong" w:cs="FangSong"/>
          <w:sz w:val="24"/>
          <w:szCs w:val="24"/>
          <w:spacing w:val="-4"/>
        </w:rPr>
        <w:t>终进入到地</w:t>
      </w:r>
      <w:r>
        <w:rPr>
          <w:rFonts w:ascii="FangSong" w:hAnsi="FangSong" w:eastAsia="FangSong" w:cs="FangSong"/>
          <w:sz w:val="24"/>
          <w:szCs w:val="24"/>
          <w:spacing w:val="-3"/>
        </w:rPr>
        <w:t>下水含水层中的量较少。项目所在地地下水流向为自北向南，污染物</w:t>
      </w:r>
      <w:r>
        <w:rPr>
          <w:rFonts w:ascii="FangSong" w:hAnsi="FangSong" w:eastAsia="FangSong" w:cs="FangSong"/>
          <w:sz w:val="24"/>
          <w:szCs w:val="24"/>
          <w:spacing w:val="-4"/>
        </w:rPr>
        <w:t>质迁移后扩</w:t>
      </w:r>
      <w:r>
        <w:rPr>
          <w:rFonts w:ascii="FangSong" w:hAnsi="FangSong" w:eastAsia="FangSong" w:cs="FangSong"/>
          <w:sz w:val="24"/>
          <w:szCs w:val="24"/>
          <w:spacing w:val="-3"/>
        </w:rPr>
        <w:t>散范围之内没有保护目标。在设定的检漏周期内，及时采取应急措施</w:t>
      </w:r>
      <w:r>
        <w:rPr>
          <w:rFonts w:ascii="FangSong" w:hAnsi="FangSong" w:eastAsia="FangSong" w:cs="FangSong"/>
          <w:sz w:val="24"/>
          <w:szCs w:val="24"/>
          <w:spacing w:val="-4"/>
        </w:rPr>
        <w:t>，对污染源</w:t>
      </w:r>
      <w:r>
        <w:rPr>
          <w:rFonts w:ascii="FangSong" w:hAnsi="FangSong" w:eastAsia="FangSong" w:cs="FangSong"/>
          <w:sz w:val="24"/>
          <w:szCs w:val="24"/>
          <w:spacing w:val="-3"/>
        </w:rPr>
        <w:t>防渗进行修复截断污染源，并设置有效的地下水监控措施，能使此状</w:t>
      </w:r>
      <w:r>
        <w:rPr>
          <w:rFonts w:ascii="FangSong" w:hAnsi="FangSong" w:eastAsia="FangSong" w:cs="FangSong"/>
          <w:sz w:val="24"/>
          <w:szCs w:val="24"/>
          <w:spacing w:val="-4"/>
        </w:rPr>
        <w:t>况下项目对</w:t>
      </w:r>
      <w:r>
        <w:rPr>
          <w:rFonts w:ascii="FangSong" w:hAnsi="FangSong" w:eastAsia="FangSong" w:cs="FangSong"/>
          <w:sz w:val="24"/>
          <w:szCs w:val="24"/>
          <w:spacing w:val="-3"/>
        </w:rPr>
        <w:t>周边地下水的影响降至最小，项目对周边浅层地下水的影响可接受。</w:t>
      </w:r>
      <w:r>
        <w:rPr>
          <w:rFonts w:ascii="FangSong" w:hAnsi="FangSong" w:eastAsia="FangSong" w:cs="FangSong"/>
          <w:sz w:val="24"/>
          <w:szCs w:val="24"/>
          <w:spacing w:val="-4"/>
        </w:rPr>
        <w:t>但建设单位</w:t>
      </w:r>
      <w:r>
        <w:rPr>
          <w:rFonts w:ascii="FangSong" w:hAnsi="FangSong" w:eastAsia="FangSong" w:cs="FangSong"/>
          <w:sz w:val="24"/>
          <w:szCs w:val="24"/>
          <w:spacing w:val="-3"/>
        </w:rPr>
        <w:t>必须加强对回水池防渗设施的监管，确保防渗措施安全正常运行，并</w:t>
      </w:r>
      <w:r>
        <w:rPr>
          <w:rFonts w:ascii="FangSong" w:hAnsi="FangSong" w:eastAsia="FangSong" w:cs="FangSong"/>
          <w:sz w:val="24"/>
          <w:szCs w:val="24"/>
          <w:spacing w:val="-4"/>
        </w:rPr>
        <w:t>每年例行检</w:t>
      </w:r>
      <w:r>
        <w:rPr>
          <w:rFonts w:ascii="FangSong" w:hAnsi="FangSong" w:eastAsia="FangSong" w:cs="FangSong"/>
          <w:sz w:val="24"/>
          <w:szCs w:val="24"/>
          <w:spacing w:val="-2"/>
        </w:rPr>
        <w:t>查，从源头上杜绝渗漏。</w:t>
      </w:r>
    </w:p>
    <w:p>
      <w:pPr>
        <w:ind w:left="29" w:right="105" w:firstLine="483"/>
        <w:spacing w:line="360" w:lineRule="auto"/>
        <w:jc w:val="both"/>
        <w:rPr>
          <w:rFonts w:ascii="FangSong" w:hAnsi="FangSong" w:eastAsia="FangSong" w:cs="FangSong"/>
          <w:sz w:val="24"/>
          <w:szCs w:val="24"/>
        </w:rPr>
      </w:pPr>
      <w:r>
        <w:rPr>
          <w:rFonts w:ascii="FangSong" w:hAnsi="FangSong" w:eastAsia="FangSong" w:cs="FangSong"/>
          <w:sz w:val="24"/>
          <w:szCs w:val="24"/>
          <w:spacing w:val="-4"/>
        </w:rPr>
        <w:t>综上，在项目建设和运行过程中，若对废水采取有效的处理措施，回水池等</w:t>
      </w:r>
      <w:r>
        <w:rPr>
          <w:rFonts w:ascii="FangSong" w:hAnsi="FangSong" w:eastAsia="FangSong" w:cs="FangSong"/>
          <w:sz w:val="24"/>
          <w:szCs w:val="24"/>
          <w:spacing w:val="-3"/>
        </w:rPr>
        <w:t>设施采取有效的防渗措施，生产运行采取有效的管理和监控措施，可</w:t>
      </w:r>
      <w:r>
        <w:rPr>
          <w:rFonts w:ascii="FangSong" w:hAnsi="FangSong" w:eastAsia="FangSong" w:cs="FangSong"/>
          <w:sz w:val="24"/>
          <w:szCs w:val="24"/>
          <w:spacing w:val="-4"/>
        </w:rPr>
        <w:t>以最大程度</w:t>
      </w:r>
      <w:r>
        <w:rPr>
          <w:rFonts w:ascii="FangSong" w:hAnsi="FangSong" w:eastAsia="FangSong" w:cs="FangSong"/>
          <w:sz w:val="24"/>
          <w:szCs w:val="24"/>
          <w:spacing w:val="-3"/>
        </w:rPr>
        <w:t>的避免对地下水的影响。因此本项目的实施对地下水环境影响较小，</w:t>
      </w:r>
      <w:r>
        <w:rPr>
          <w:rFonts w:ascii="FangSong" w:hAnsi="FangSong" w:eastAsia="FangSong" w:cs="FangSong"/>
          <w:sz w:val="24"/>
          <w:szCs w:val="24"/>
          <w:spacing w:val="-4"/>
        </w:rPr>
        <w:t>本项目实施</w:t>
      </w:r>
      <w:r>
        <w:rPr>
          <w:rFonts w:ascii="FangSong" w:hAnsi="FangSong" w:eastAsia="FangSong" w:cs="FangSong"/>
          <w:sz w:val="24"/>
          <w:szCs w:val="24"/>
          <w:spacing w:val="-6"/>
        </w:rPr>
        <w:t>可行。</w:t>
      </w:r>
    </w:p>
    <w:p>
      <w:pPr>
        <w:ind w:left="22"/>
        <w:spacing w:before="1" w:line="221" w:lineRule="auto"/>
        <w:outlineLvl w:val="2"/>
        <w:rPr>
          <w:rFonts w:ascii="FangSong" w:hAnsi="FangSong" w:eastAsia="FangSong" w:cs="FangSong"/>
          <w:sz w:val="24"/>
          <w:szCs w:val="24"/>
        </w:rPr>
      </w:pPr>
      <w:bookmarkStart w:name="bookmark302" w:id="410"/>
      <w:bookmarkEnd w:id="410"/>
      <w:bookmarkStart w:name="bookmark301" w:id="411"/>
      <w:bookmarkEnd w:id="411"/>
      <w:r>
        <w:rPr>
          <w:rFonts w:ascii="Times New Roman" w:hAnsi="Times New Roman" w:eastAsia="Times New Roman" w:cs="Times New Roman"/>
          <w:sz w:val="24"/>
          <w:szCs w:val="24"/>
          <w:b/>
          <w:bCs/>
          <w:spacing w:val="-2"/>
        </w:rPr>
        <w:t>6.2.5  </w:t>
      </w:r>
      <w:r>
        <w:rPr>
          <w:rFonts w:ascii="FangSong" w:hAnsi="FangSong" w:eastAsia="FangSong" w:cs="FangSong"/>
          <w:sz w:val="24"/>
          <w:szCs w:val="24"/>
          <w:b/>
          <w:bCs/>
          <w:spacing w:val="-2"/>
        </w:rPr>
        <w:t>土壤环境影响分析与评价</w:t>
      </w:r>
    </w:p>
    <w:p>
      <w:pPr>
        <w:ind w:left="31" w:right="105" w:firstLine="479"/>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本项目为萤石矿采选项目，属于污染影响型项目，根据《环境影响评价技术</w:t>
      </w:r>
      <w:r>
        <w:rPr>
          <w:rFonts w:ascii="FangSong" w:hAnsi="FangSong" w:eastAsia="FangSong" w:cs="FangSong"/>
          <w:sz w:val="24"/>
          <w:szCs w:val="24"/>
          <w:spacing w:val="-3"/>
        </w:rPr>
        <w:t>导则土壤影响（试行）》（</w:t>
      </w:r>
      <w:r>
        <w:rPr>
          <w:rFonts w:ascii="Times New Roman" w:hAnsi="Times New Roman" w:eastAsia="Times New Roman" w:cs="Times New Roman"/>
          <w:sz w:val="24"/>
          <w:szCs w:val="24"/>
          <w:spacing w:val="-3"/>
        </w:rPr>
        <w:t>HJ964-2018</w:t>
      </w:r>
      <w:r>
        <w:rPr>
          <w:rFonts w:ascii="FangSong" w:hAnsi="FangSong" w:eastAsia="FangSong" w:cs="FangSong"/>
          <w:sz w:val="24"/>
          <w:szCs w:val="24"/>
          <w:spacing w:val="12"/>
        </w:rPr>
        <w:t>），</w:t>
      </w:r>
      <w:r>
        <w:rPr>
          <w:rFonts w:ascii="FangSong" w:hAnsi="FangSong" w:eastAsia="FangSong" w:cs="FangSong"/>
          <w:sz w:val="24"/>
          <w:szCs w:val="24"/>
          <w:spacing w:val="-3"/>
        </w:rPr>
        <w:t>属于附录</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3"/>
        </w:rPr>
        <w:t>的</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III</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类项目。根据第二</w:t>
      </w:r>
      <w:r>
        <w:rPr>
          <w:rFonts w:ascii="FangSong" w:hAnsi="FangSong" w:eastAsia="FangSong" w:cs="FangSong"/>
          <w:sz w:val="24"/>
          <w:szCs w:val="24"/>
          <w:spacing w:val="-3"/>
        </w:rPr>
        <w:t>章分析，本项目土壤评价等级为三级。三级评价可采用定性描</w:t>
      </w:r>
      <w:r>
        <w:rPr>
          <w:rFonts w:ascii="FangSong" w:hAnsi="FangSong" w:eastAsia="FangSong" w:cs="FangSong"/>
          <w:sz w:val="24"/>
          <w:szCs w:val="24"/>
          <w:spacing w:val="-4"/>
        </w:rPr>
        <w:t>述或类比分析法进</w:t>
      </w:r>
      <w:r>
        <w:rPr>
          <w:rFonts w:ascii="FangSong" w:hAnsi="FangSong" w:eastAsia="FangSong" w:cs="FangSong"/>
          <w:sz w:val="24"/>
          <w:szCs w:val="24"/>
          <w:spacing w:val="-3"/>
        </w:rPr>
        <w:t>行预测。本项目为污染影响型项目，特征因子为氟化物、石油</w:t>
      </w:r>
      <w:r>
        <w:rPr>
          <w:rFonts w:ascii="FangSong" w:hAnsi="FangSong" w:eastAsia="FangSong" w:cs="FangSong"/>
          <w:sz w:val="24"/>
          <w:szCs w:val="24"/>
          <w:spacing w:val="-4"/>
        </w:rPr>
        <w:t>烃，本次评价采用</w:t>
      </w:r>
      <w:r>
        <w:rPr>
          <w:rFonts w:ascii="FangSong" w:hAnsi="FangSong" w:eastAsia="FangSong" w:cs="FangSong"/>
          <w:sz w:val="24"/>
          <w:szCs w:val="24"/>
          <w:spacing w:val="-2"/>
        </w:rPr>
        <w:t>定性描述进行分析。</w:t>
      </w:r>
    </w:p>
    <w:p>
      <w:pPr>
        <w:ind w:left="22"/>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6.2.5.1  </w:t>
      </w:r>
      <w:r>
        <w:rPr>
          <w:rFonts w:ascii="FangSong" w:hAnsi="FangSong" w:eastAsia="FangSong" w:cs="FangSong"/>
          <w:sz w:val="24"/>
          <w:szCs w:val="24"/>
          <w:b/>
          <w:bCs/>
          <w:spacing w:val="-2"/>
        </w:rPr>
        <w:t>土壤环境影响识别</w:t>
      </w:r>
    </w:p>
    <w:p>
      <w:pPr>
        <w:ind w:right="12"/>
        <w:spacing w:before="179" w:line="221" w:lineRule="auto"/>
        <w:jc w:val="right"/>
        <w:rPr>
          <w:rFonts w:ascii="FangSong" w:hAnsi="FangSong" w:eastAsia="FangSong" w:cs="FangSong"/>
          <w:sz w:val="24"/>
          <w:szCs w:val="24"/>
        </w:rPr>
      </w:pPr>
      <w:r>
        <w:rPr>
          <w:rFonts w:ascii="FangSong" w:hAnsi="FangSong" w:eastAsia="FangSong" w:cs="FangSong"/>
          <w:sz w:val="24"/>
          <w:szCs w:val="24"/>
          <w:spacing w:val="-1"/>
        </w:rPr>
        <w:t>本项目为萤石矿选矿类项目，项目的建设与运行，通过一定时间的积累后，</w:t>
      </w:r>
    </w:p>
    <w:p>
      <w:pPr>
        <w:spacing w:line="221" w:lineRule="auto"/>
        <w:sectPr>
          <w:footerReference w:type="default" r:id="rId322"/>
          <w:pgSz w:w="11906" w:h="16839"/>
          <w:pgMar w:top="400" w:right="169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18" w:right="107" w:firstLine="10"/>
        <w:spacing w:before="78" w:line="360" w:lineRule="auto"/>
        <w:jc w:val="both"/>
        <w:rPr>
          <w:rFonts w:ascii="FangSong" w:hAnsi="FangSong" w:eastAsia="FangSong" w:cs="FangSong"/>
          <w:sz w:val="24"/>
          <w:szCs w:val="24"/>
        </w:rPr>
      </w:pPr>
      <w:bookmarkStart w:name="bookmark600" w:id="412"/>
      <w:bookmarkEnd w:id="412"/>
      <w:r>
        <w:rPr>
          <w:rFonts w:ascii="FangSong" w:hAnsi="FangSong" w:eastAsia="FangSong" w:cs="FangSong"/>
          <w:sz w:val="24"/>
          <w:szCs w:val="24"/>
          <w:spacing w:val="-3"/>
        </w:rPr>
        <w:t>原料在破碎筛分以及萤石精粉、尾矿砂在堆存过程中产</w:t>
      </w:r>
      <w:r>
        <w:rPr>
          <w:rFonts w:ascii="FangSong" w:hAnsi="FangSong" w:eastAsia="FangSong" w:cs="FangSong"/>
          <w:sz w:val="24"/>
          <w:szCs w:val="24"/>
          <w:spacing w:val="-4"/>
        </w:rPr>
        <w:t>生的粉尘颗粒物，在风力</w:t>
      </w:r>
      <w:r>
        <w:rPr>
          <w:rFonts w:ascii="FangSong" w:hAnsi="FangSong" w:eastAsia="FangSong" w:cs="FangSong"/>
          <w:sz w:val="24"/>
          <w:szCs w:val="24"/>
          <w:spacing w:val="-3"/>
        </w:rPr>
        <w:t>作用下，通过大气沉降作用，进入下风向的土壤中；选矿水循环水池中污染物也</w:t>
      </w:r>
      <w:r>
        <w:rPr>
          <w:rFonts w:ascii="FangSong" w:hAnsi="FangSong" w:eastAsia="FangSong" w:cs="FangSong"/>
          <w:sz w:val="24"/>
          <w:szCs w:val="24"/>
          <w:spacing w:val="-3"/>
        </w:rPr>
        <w:t>可能通过垂直入渗途径渗透进入土壤环境中，从而造成土壤环境在一定范围、一</w:t>
      </w:r>
      <w:r>
        <w:rPr>
          <w:rFonts w:ascii="FangSong" w:hAnsi="FangSong" w:eastAsia="FangSong" w:cs="FangSong"/>
          <w:sz w:val="24"/>
          <w:szCs w:val="24"/>
          <w:spacing w:val="-3"/>
        </w:rPr>
        <w:t>定程度上的理化性质等方面特性发生小范围的改变，导致项目选址及附近区域土</w:t>
      </w:r>
      <w:r>
        <w:rPr>
          <w:rFonts w:ascii="FangSong" w:hAnsi="FangSong" w:eastAsia="FangSong" w:cs="FangSong"/>
          <w:sz w:val="24"/>
          <w:szCs w:val="24"/>
          <w:spacing w:val="-3"/>
        </w:rPr>
        <w:t>壤环境质量在一定程度上发生恶化，建设项目土壤环境影响类型与影响途径见表</w:t>
      </w:r>
      <w:r>
        <w:rPr>
          <w:rFonts w:ascii="Times New Roman" w:hAnsi="Times New Roman" w:eastAsia="Times New Roman" w:cs="Times New Roman"/>
          <w:sz w:val="24"/>
          <w:szCs w:val="24"/>
          <w:spacing w:val="-2"/>
        </w:rPr>
        <w:t>6.2-14</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，土壤环境影响源及影响因子识别情况见表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6.2-15</w:t>
      </w:r>
      <w:r>
        <w:rPr>
          <w:rFonts w:ascii="FangSong" w:hAnsi="FangSong" w:eastAsia="FangSong" w:cs="FangSong"/>
          <w:sz w:val="24"/>
          <w:szCs w:val="24"/>
          <w:spacing w:val="-2"/>
        </w:rPr>
        <w:t>。</w:t>
      </w:r>
    </w:p>
    <w:p>
      <w:pPr>
        <w:ind w:left="1498"/>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3"/>
        </w:rPr>
        <w:t>6.2-14</w:t>
      </w:r>
      <w:r>
        <w:rPr>
          <w:rFonts w:ascii="Times New Roman" w:hAnsi="Times New Roman" w:eastAsia="Times New Roman" w:cs="Times New Roman"/>
          <w:sz w:val="24"/>
          <w:szCs w:val="24"/>
          <w:b/>
          <w:bCs/>
          <w:spacing w:val="16"/>
          <w:w w:val="101"/>
        </w:rPr>
        <w:t xml:space="preserve"> </w:t>
      </w:r>
      <w:r>
        <w:rPr>
          <w:rFonts w:ascii="FangSong" w:hAnsi="FangSong" w:eastAsia="FangSong" w:cs="FangSong"/>
          <w:sz w:val="24"/>
          <w:szCs w:val="24"/>
          <w:b/>
          <w:bCs/>
          <w:spacing w:val="-3"/>
        </w:rPr>
        <w:t>本项目土壤环境影响类型与影响途径一览表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3"/>
        <w:gridCol w:w="1703"/>
        <w:gridCol w:w="1703"/>
        <w:gridCol w:w="1705"/>
        <w:gridCol w:w="1708"/>
      </w:tblGrid>
      <w:tr>
        <w:trPr>
          <w:trHeight w:val="341" w:hRule="atLeast"/>
        </w:trPr>
        <w:tc>
          <w:tcPr>
            <w:tcW w:w="1703" w:type="dxa"/>
            <w:vAlign w:val="top"/>
            <w:vMerge w:val="restart"/>
            <w:tcBorders>
              <w:top w:val="single" w:color="000000" w:sz="10" w:space="0"/>
              <w:left w:val="nil"/>
              <w:bottom w:val="nil"/>
            </w:tcBorders>
          </w:tcPr>
          <w:p>
            <w:pPr>
              <w:pStyle w:val="TableText"/>
              <w:ind w:left="450"/>
              <w:spacing w:before="244" w:line="232" w:lineRule="auto"/>
              <w:rPr/>
            </w:pPr>
            <w:r>
              <w:rPr>
                <w:spacing w:val="4"/>
              </w:rPr>
              <w:t>不同时段</w:t>
            </w:r>
          </w:p>
        </w:tc>
        <w:tc>
          <w:tcPr>
            <w:tcW w:w="6819" w:type="dxa"/>
            <w:vAlign w:val="top"/>
            <w:gridSpan w:val="4"/>
            <w:tcBorders>
              <w:top w:val="single" w:color="000000" w:sz="10" w:space="0"/>
              <w:right w:val="nil"/>
            </w:tcBorders>
          </w:tcPr>
          <w:p>
            <w:pPr>
              <w:pStyle w:val="TableText"/>
              <w:ind w:left="2898"/>
              <w:spacing w:before="69" w:line="231" w:lineRule="auto"/>
              <w:rPr/>
            </w:pPr>
            <w:r>
              <w:rPr>
                <w:spacing w:val="6"/>
              </w:rPr>
              <w:t>污染影响型</w:t>
            </w:r>
          </w:p>
        </w:tc>
      </w:tr>
      <w:tr>
        <w:trPr>
          <w:trHeight w:val="337" w:hRule="atLeast"/>
        </w:trPr>
        <w:tc>
          <w:tcPr>
            <w:tcW w:w="1703" w:type="dxa"/>
            <w:vAlign w:val="top"/>
            <w:vMerge w:val="continue"/>
            <w:tcBorders>
              <w:top w:val="nil"/>
              <w:left w:val="nil"/>
            </w:tcBorders>
          </w:tcPr>
          <w:p>
            <w:pPr>
              <w:rPr>
                <w:rFonts w:ascii="Arial"/>
                <w:sz w:val="21"/>
              </w:rPr>
            </w:pPr>
            <w:r/>
          </w:p>
        </w:tc>
        <w:tc>
          <w:tcPr>
            <w:tcW w:w="1703" w:type="dxa"/>
            <w:vAlign w:val="top"/>
          </w:tcPr>
          <w:p>
            <w:pPr>
              <w:pStyle w:val="TableText"/>
              <w:ind w:left="444"/>
              <w:spacing w:before="73" w:line="232" w:lineRule="auto"/>
              <w:rPr/>
            </w:pPr>
            <w:r>
              <w:rPr>
                <w:spacing w:val="5"/>
              </w:rPr>
              <w:t>大气沉降</w:t>
            </w:r>
          </w:p>
        </w:tc>
        <w:tc>
          <w:tcPr>
            <w:tcW w:w="1703" w:type="dxa"/>
            <w:vAlign w:val="top"/>
          </w:tcPr>
          <w:p>
            <w:pPr>
              <w:pStyle w:val="TableText"/>
              <w:ind w:left="443"/>
              <w:spacing w:before="73" w:line="232" w:lineRule="auto"/>
              <w:rPr/>
            </w:pPr>
            <w:r>
              <w:rPr>
                <w:spacing w:val="5"/>
              </w:rPr>
              <w:t>地面漫流</w:t>
            </w:r>
          </w:p>
        </w:tc>
        <w:tc>
          <w:tcPr>
            <w:tcW w:w="1705" w:type="dxa"/>
            <w:vAlign w:val="top"/>
          </w:tcPr>
          <w:p>
            <w:pPr>
              <w:pStyle w:val="TableText"/>
              <w:ind w:left="449"/>
              <w:spacing w:before="74" w:line="233" w:lineRule="auto"/>
              <w:rPr/>
            </w:pPr>
            <w:r>
              <w:rPr>
                <w:spacing w:val="4"/>
              </w:rPr>
              <w:t>垂直入渗</w:t>
            </w:r>
          </w:p>
        </w:tc>
        <w:tc>
          <w:tcPr>
            <w:tcW w:w="1708" w:type="dxa"/>
            <w:vAlign w:val="top"/>
            <w:tcBorders>
              <w:right w:val="nil"/>
            </w:tcBorders>
          </w:tcPr>
          <w:p>
            <w:pPr>
              <w:pStyle w:val="TableText"/>
              <w:ind w:left="655"/>
              <w:spacing w:before="74" w:line="230" w:lineRule="auto"/>
              <w:rPr/>
            </w:pPr>
            <w:r>
              <w:rPr>
                <w:spacing w:val="1"/>
              </w:rPr>
              <w:t>其他</w:t>
            </w:r>
          </w:p>
        </w:tc>
      </w:tr>
      <w:tr>
        <w:trPr>
          <w:trHeight w:val="360" w:hRule="atLeast"/>
        </w:trPr>
        <w:tc>
          <w:tcPr>
            <w:tcW w:w="1703" w:type="dxa"/>
            <w:vAlign w:val="top"/>
            <w:tcBorders>
              <w:bottom w:val="single" w:color="000000" w:sz="10" w:space="0"/>
              <w:left w:val="nil"/>
            </w:tcBorders>
          </w:tcPr>
          <w:p>
            <w:pPr>
              <w:pStyle w:val="TableText"/>
              <w:ind w:left="550"/>
              <w:spacing w:before="82" w:line="232" w:lineRule="auto"/>
              <w:rPr/>
            </w:pPr>
            <w:r>
              <w:rPr>
                <w:spacing w:val="4"/>
              </w:rPr>
              <w:t>运营期</w:t>
            </w:r>
          </w:p>
        </w:tc>
        <w:tc>
          <w:tcPr>
            <w:tcW w:w="1703" w:type="dxa"/>
            <w:vAlign w:val="top"/>
            <w:tcBorders>
              <w:bottom w:val="single" w:color="000000" w:sz="10" w:space="0"/>
            </w:tcBorders>
          </w:tcPr>
          <w:p>
            <w:pPr>
              <w:pStyle w:val="TableText"/>
              <w:ind w:left="802"/>
              <w:spacing w:before="82" w:line="267" w:lineRule="exact"/>
              <w:rPr/>
            </w:pPr>
            <w:r>
              <w:rPr>
                <w:position w:val="1"/>
              </w:rPr>
              <w:t>√</w:t>
            </w:r>
          </w:p>
        </w:tc>
        <w:tc>
          <w:tcPr>
            <w:tcW w:w="1703" w:type="dxa"/>
            <w:vAlign w:val="top"/>
            <w:tcBorders>
              <w:bottom w:val="single" w:color="000000" w:sz="10" w:space="0"/>
            </w:tcBorders>
          </w:tcPr>
          <w:p>
            <w:pPr>
              <w:rPr>
                <w:rFonts w:ascii="Arial"/>
                <w:sz w:val="21"/>
              </w:rPr>
            </w:pPr>
            <w:r/>
          </w:p>
        </w:tc>
        <w:tc>
          <w:tcPr>
            <w:tcW w:w="1705" w:type="dxa"/>
            <w:vAlign w:val="top"/>
            <w:tcBorders>
              <w:bottom w:val="single" w:color="000000" w:sz="10" w:space="0"/>
            </w:tcBorders>
          </w:tcPr>
          <w:p>
            <w:pPr>
              <w:pStyle w:val="TableText"/>
              <w:ind w:left="804"/>
              <w:spacing w:before="82" w:line="267" w:lineRule="exact"/>
              <w:rPr/>
            </w:pPr>
            <w:r>
              <w:rPr>
                <w:position w:val="1"/>
              </w:rPr>
              <w:t>√</w:t>
            </w:r>
          </w:p>
        </w:tc>
        <w:tc>
          <w:tcPr>
            <w:tcW w:w="1708" w:type="dxa"/>
            <w:vAlign w:val="top"/>
            <w:tcBorders>
              <w:bottom w:val="single" w:color="000000" w:sz="10" w:space="0"/>
              <w:right w:val="nil"/>
            </w:tcBorders>
          </w:tcPr>
          <w:p>
            <w:pPr>
              <w:rPr>
                <w:rFonts w:ascii="Arial"/>
                <w:sz w:val="21"/>
              </w:rPr>
            </w:pPr>
            <w:r/>
          </w:p>
        </w:tc>
      </w:tr>
    </w:tbl>
    <w:p>
      <w:pPr>
        <w:pStyle w:val="BodyText"/>
        <w:spacing w:line="252" w:lineRule="auto"/>
        <w:rPr/>
      </w:pPr>
      <w:r/>
    </w:p>
    <w:p>
      <w:pPr>
        <w:pStyle w:val="BodyText"/>
        <w:spacing w:line="252" w:lineRule="auto"/>
        <w:rPr/>
      </w:pPr>
      <w:r/>
    </w:p>
    <w:p>
      <w:pPr>
        <w:ind w:left="1378"/>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3"/>
        </w:rPr>
        <w:t>6.2-15</w:t>
      </w:r>
      <w:r>
        <w:rPr>
          <w:rFonts w:ascii="Times New Roman" w:hAnsi="Times New Roman" w:eastAsia="Times New Roman" w:cs="Times New Roman"/>
          <w:sz w:val="24"/>
          <w:szCs w:val="24"/>
          <w:b/>
          <w:bCs/>
          <w:spacing w:val="17"/>
        </w:rPr>
        <w:t xml:space="preserve"> </w:t>
      </w:r>
      <w:r>
        <w:rPr>
          <w:rFonts w:ascii="FangSong" w:hAnsi="FangSong" w:eastAsia="FangSong" w:cs="FangSong"/>
          <w:sz w:val="24"/>
          <w:szCs w:val="24"/>
          <w:b/>
          <w:bCs/>
          <w:spacing w:val="-3"/>
        </w:rPr>
        <w:t>本项目土壤环境影响源及影响因子识别一览表</w:t>
      </w:r>
    </w:p>
    <w:p>
      <w:pPr>
        <w:spacing w:line="63"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97"/>
        <w:gridCol w:w="1837"/>
        <w:gridCol w:w="1459"/>
        <w:gridCol w:w="1426"/>
      </w:tblGrid>
      <w:tr>
        <w:trPr>
          <w:trHeight w:val="344" w:hRule="atLeast"/>
        </w:trPr>
        <w:tc>
          <w:tcPr>
            <w:tcW w:w="3797" w:type="dxa"/>
            <w:vAlign w:val="top"/>
            <w:tcBorders>
              <w:left w:val="nil"/>
              <w:top w:val="single" w:color="000000" w:sz="10" w:space="0"/>
            </w:tcBorders>
          </w:tcPr>
          <w:p>
            <w:pPr>
              <w:pStyle w:val="TableText"/>
              <w:ind w:left="1601"/>
              <w:spacing w:before="69" w:line="231" w:lineRule="auto"/>
              <w:rPr/>
            </w:pPr>
            <w:r>
              <w:rPr>
                <w:spacing w:val="3"/>
              </w:rPr>
              <w:t>污染源</w:t>
            </w:r>
          </w:p>
        </w:tc>
        <w:tc>
          <w:tcPr>
            <w:tcW w:w="1837" w:type="dxa"/>
            <w:vAlign w:val="top"/>
            <w:tcBorders>
              <w:top w:val="single" w:color="000000" w:sz="10" w:space="0"/>
            </w:tcBorders>
          </w:tcPr>
          <w:p>
            <w:pPr>
              <w:pStyle w:val="TableText"/>
              <w:ind w:left="275"/>
              <w:spacing w:before="69" w:line="230" w:lineRule="auto"/>
              <w:rPr/>
            </w:pPr>
            <w:r>
              <w:rPr>
                <w:spacing w:val="5"/>
              </w:rPr>
              <w:t>工艺流程</w:t>
            </w:r>
            <w:r>
              <w:rPr>
                <w:rFonts w:ascii="Times New Roman" w:hAnsi="Times New Roman" w:eastAsia="Times New Roman" w:cs="Times New Roman"/>
                <w:spacing w:val="5"/>
              </w:rPr>
              <w:t>/</w:t>
            </w:r>
            <w:r>
              <w:rPr>
                <w:spacing w:val="5"/>
              </w:rPr>
              <w:t>节点</w:t>
            </w:r>
          </w:p>
        </w:tc>
        <w:tc>
          <w:tcPr>
            <w:tcW w:w="1459" w:type="dxa"/>
            <w:vAlign w:val="top"/>
            <w:tcBorders>
              <w:top w:val="single" w:color="000000" w:sz="10" w:space="0"/>
            </w:tcBorders>
          </w:tcPr>
          <w:p>
            <w:pPr>
              <w:pStyle w:val="TableText"/>
              <w:ind w:left="323"/>
              <w:spacing w:before="69" w:line="231" w:lineRule="auto"/>
              <w:rPr/>
            </w:pPr>
            <w:r>
              <w:rPr>
                <w:spacing w:val="4"/>
              </w:rPr>
              <w:t>污染途径</w:t>
            </w:r>
          </w:p>
        </w:tc>
        <w:tc>
          <w:tcPr>
            <w:tcW w:w="1426" w:type="dxa"/>
            <w:vAlign w:val="top"/>
            <w:tcBorders>
              <w:right w:val="nil"/>
              <w:top w:val="single" w:color="000000" w:sz="10" w:space="0"/>
            </w:tcBorders>
          </w:tcPr>
          <w:p>
            <w:pPr>
              <w:pStyle w:val="TableText"/>
              <w:ind w:left="302"/>
              <w:spacing w:before="68" w:line="232" w:lineRule="auto"/>
              <w:rPr/>
            </w:pPr>
            <w:r>
              <w:rPr>
                <w:spacing w:val="6"/>
              </w:rPr>
              <w:t>特征因子</w:t>
            </w:r>
          </w:p>
        </w:tc>
      </w:tr>
      <w:tr>
        <w:trPr>
          <w:trHeight w:val="340" w:hRule="atLeast"/>
        </w:trPr>
        <w:tc>
          <w:tcPr>
            <w:tcW w:w="3797" w:type="dxa"/>
            <w:vAlign w:val="top"/>
            <w:tcBorders>
              <w:left w:val="nil"/>
            </w:tcBorders>
          </w:tcPr>
          <w:p>
            <w:pPr>
              <w:pStyle w:val="TableText"/>
              <w:ind w:left="1177"/>
              <w:spacing w:before="70" w:line="228" w:lineRule="auto"/>
              <w:rPr/>
            </w:pPr>
            <w:r>
              <w:rPr>
                <w:spacing w:val="7"/>
              </w:rPr>
              <w:t>破碎、筛分车间</w:t>
            </w:r>
          </w:p>
        </w:tc>
        <w:tc>
          <w:tcPr>
            <w:tcW w:w="1837" w:type="dxa"/>
            <w:vAlign w:val="top"/>
          </w:tcPr>
          <w:p>
            <w:pPr>
              <w:pStyle w:val="TableText"/>
              <w:ind w:left="404"/>
              <w:spacing w:before="71" w:line="229" w:lineRule="auto"/>
              <w:rPr/>
            </w:pPr>
            <w:r>
              <w:rPr>
                <w:spacing w:val="7"/>
              </w:rPr>
              <w:t>破碎及筛分</w:t>
            </w:r>
          </w:p>
        </w:tc>
        <w:tc>
          <w:tcPr>
            <w:tcW w:w="1459" w:type="dxa"/>
            <w:vAlign w:val="top"/>
          </w:tcPr>
          <w:p>
            <w:pPr>
              <w:pStyle w:val="TableText"/>
              <w:ind w:left="322"/>
              <w:spacing w:before="70" w:line="232" w:lineRule="auto"/>
              <w:rPr/>
            </w:pPr>
            <w:r>
              <w:rPr>
                <w:spacing w:val="5"/>
              </w:rPr>
              <w:t>大气沉降</w:t>
            </w:r>
          </w:p>
        </w:tc>
        <w:tc>
          <w:tcPr>
            <w:tcW w:w="1426" w:type="dxa"/>
            <w:vAlign w:val="top"/>
            <w:tcBorders>
              <w:right w:val="nil"/>
            </w:tcBorders>
          </w:tcPr>
          <w:p>
            <w:pPr>
              <w:pStyle w:val="TableText"/>
              <w:ind w:left="414"/>
              <w:spacing w:before="71" w:line="229" w:lineRule="auto"/>
              <w:rPr/>
            </w:pPr>
            <w:r>
              <w:rPr>
                <w:spacing w:val="3"/>
              </w:rPr>
              <w:t>氟化物</w:t>
            </w:r>
          </w:p>
        </w:tc>
      </w:tr>
      <w:tr>
        <w:trPr>
          <w:trHeight w:val="340" w:hRule="atLeast"/>
        </w:trPr>
        <w:tc>
          <w:tcPr>
            <w:tcW w:w="3797" w:type="dxa"/>
            <w:vAlign w:val="top"/>
            <w:tcBorders>
              <w:left w:val="nil"/>
            </w:tcBorders>
          </w:tcPr>
          <w:p>
            <w:pPr>
              <w:pStyle w:val="TableText"/>
              <w:ind w:left="341"/>
              <w:spacing w:before="75" w:line="229" w:lineRule="auto"/>
              <w:rPr/>
            </w:pPr>
            <w:r>
              <w:rPr>
                <w:spacing w:val="8"/>
              </w:rPr>
              <w:t>原料堆场、成品库、尾矿临时堆场</w:t>
            </w:r>
          </w:p>
        </w:tc>
        <w:tc>
          <w:tcPr>
            <w:tcW w:w="1837" w:type="dxa"/>
            <w:vAlign w:val="top"/>
          </w:tcPr>
          <w:p>
            <w:pPr>
              <w:pStyle w:val="TableText"/>
              <w:ind w:left="511"/>
              <w:spacing w:before="76" w:line="228" w:lineRule="auto"/>
              <w:rPr/>
            </w:pPr>
            <w:r>
              <w:rPr>
                <w:spacing w:val="5"/>
              </w:rPr>
              <w:t>物料储存</w:t>
            </w:r>
          </w:p>
        </w:tc>
        <w:tc>
          <w:tcPr>
            <w:tcW w:w="1459" w:type="dxa"/>
            <w:vAlign w:val="top"/>
          </w:tcPr>
          <w:p>
            <w:pPr>
              <w:pStyle w:val="TableText"/>
              <w:ind w:left="322"/>
              <w:spacing w:before="75" w:line="232" w:lineRule="auto"/>
              <w:rPr/>
            </w:pPr>
            <w:r>
              <w:rPr>
                <w:spacing w:val="5"/>
              </w:rPr>
              <w:t>大气沉降</w:t>
            </w:r>
          </w:p>
        </w:tc>
        <w:tc>
          <w:tcPr>
            <w:tcW w:w="1426" w:type="dxa"/>
            <w:vAlign w:val="top"/>
            <w:tcBorders>
              <w:right w:val="nil"/>
            </w:tcBorders>
          </w:tcPr>
          <w:p>
            <w:pPr>
              <w:pStyle w:val="TableText"/>
              <w:ind w:left="414"/>
              <w:spacing w:before="76" w:line="229" w:lineRule="auto"/>
              <w:rPr/>
            </w:pPr>
            <w:r>
              <w:rPr>
                <w:spacing w:val="3"/>
              </w:rPr>
              <w:t>氟化物</w:t>
            </w:r>
          </w:p>
        </w:tc>
      </w:tr>
      <w:tr>
        <w:trPr>
          <w:trHeight w:val="340" w:hRule="atLeast"/>
        </w:trPr>
        <w:tc>
          <w:tcPr>
            <w:tcW w:w="3797" w:type="dxa"/>
            <w:vAlign w:val="top"/>
            <w:tcBorders>
              <w:left w:val="nil"/>
            </w:tcBorders>
          </w:tcPr>
          <w:p>
            <w:pPr>
              <w:pStyle w:val="TableText"/>
              <w:ind w:left="1281"/>
              <w:spacing w:before="81" w:line="229" w:lineRule="auto"/>
              <w:rPr/>
            </w:pPr>
            <w:r>
              <w:rPr>
                <w:spacing w:val="7"/>
              </w:rPr>
              <w:t>地表高位水池</w:t>
            </w:r>
          </w:p>
        </w:tc>
        <w:tc>
          <w:tcPr>
            <w:tcW w:w="1837" w:type="dxa"/>
            <w:vAlign w:val="top"/>
          </w:tcPr>
          <w:p>
            <w:pPr>
              <w:pStyle w:val="TableText"/>
              <w:ind w:left="721"/>
              <w:spacing w:before="81" w:line="229" w:lineRule="auto"/>
              <w:rPr/>
            </w:pPr>
            <w:r>
              <w:rPr/>
              <w:t>选矿</w:t>
            </w:r>
          </w:p>
        </w:tc>
        <w:tc>
          <w:tcPr>
            <w:tcW w:w="1459" w:type="dxa"/>
            <w:vAlign w:val="top"/>
          </w:tcPr>
          <w:p>
            <w:pPr>
              <w:pStyle w:val="TableText"/>
              <w:ind w:left="325"/>
              <w:spacing w:before="81" w:line="229" w:lineRule="auto"/>
              <w:rPr/>
            </w:pPr>
            <w:r>
              <w:rPr>
                <w:spacing w:val="4"/>
              </w:rPr>
              <w:t>垂直入渗</w:t>
            </w:r>
          </w:p>
        </w:tc>
        <w:tc>
          <w:tcPr>
            <w:tcW w:w="1426" w:type="dxa"/>
            <w:vAlign w:val="top"/>
            <w:tcBorders>
              <w:right w:val="nil"/>
            </w:tcBorders>
          </w:tcPr>
          <w:p>
            <w:pPr>
              <w:pStyle w:val="TableText"/>
              <w:ind w:left="414"/>
              <w:spacing w:before="81" w:line="229" w:lineRule="auto"/>
              <w:rPr/>
            </w:pPr>
            <w:r>
              <w:rPr>
                <w:spacing w:val="3"/>
              </w:rPr>
              <w:t>氟化物</w:t>
            </w:r>
          </w:p>
        </w:tc>
      </w:tr>
      <w:tr>
        <w:trPr>
          <w:trHeight w:val="364" w:hRule="atLeast"/>
        </w:trPr>
        <w:tc>
          <w:tcPr>
            <w:tcW w:w="3797" w:type="dxa"/>
            <w:vAlign w:val="top"/>
            <w:tcBorders>
              <w:left w:val="nil"/>
              <w:bottom w:val="single" w:color="000000" w:sz="10" w:space="0"/>
            </w:tcBorders>
          </w:tcPr>
          <w:p>
            <w:pPr>
              <w:pStyle w:val="TableText"/>
              <w:ind w:left="1391"/>
              <w:spacing w:before="86" w:line="228" w:lineRule="auto"/>
              <w:rPr/>
            </w:pPr>
            <w:r>
              <w:rPr>
                <w:spacing w:val="6"/>
              </w:rPr>
              <w:t>危废暂存间</w:t>
            </w:r>
          </w:p>
        </w:tc>
        <w:tc>
          <w:tcPr>
            <w:tcW w:w="1837" w:type="dxa"/>
            <w:vAlign w:val="top"/>
            <w:tcBorders>
              <w:bottom w:val="single" w:color="000000" w:sz="10" w:space="0"/>
            </w:tcBorders>
          </w:tcPr>
          <w:p>
            <w:pPr>
              <w:pStyle w:val="TableText"/>
              <w:ind w:left="304"/>
              <w:spacing w:before="86" w:line="228" w:lineRule="auto"/>
              <w:rPr/>
            </w:pPr>
            <w:r>
              <w:rPr>
                <w:spacing w:val="6"/>
              </w:rPr>
              <w:t>危险废物贮存</w:t>
            </w:r>
          </w:p>
        </w:tc>
        <w:tc>
          <w:tcPr>
            <w:tcW w:w="1459" w:type="dxa"/>
            <w:vAlign w:val="top"/>
            <w:tcBorders>
              <w:bottom w:val="single" w:color="000000" w:sz="10" w:space="0"/>
            </w:tcBorders>
          </w:tcPr>
          <w:p>
            <w:pPr>
              <w:pStyle w:val="TableText"/>
              <w:ind w:left="325"/>
              <w:spacing w:before="86" w:line="234" w:lineRule="auto"/>
              <w:rPr/>
            </w:pPr>
            <w:r>
              <w:rPr>
                <w:spacing w:val="4"/>
              </w:rPr>
              <w:t>垂直入渗</w:t>
            </w:r>
          </w:p>
        </w:tc>
        <w:tc>
          <w:tcPr>
            <w:tcW w:w="1426" w:type="dxa"/>
            <w:vAlign w:val="top"/>
            <w:tcBorders>
              <w:right w:val="nil"/>
              <w:bottom w:val="single" w:color="000000" w:sz="10" w:space="0"/>
            </w:tcBorders>
          </w:tcPr>
          <w:p>
            <w:pPr>
              <w:pStyle w:val="TableText"/>
              <w:ind w:left="408"/>
              <w:spacing w:before="86" w:line="233" w:lineRule="auto"/>
              <w:rPr/>
            </w:pPr>
            <w:r>
              <w:rPr>
                <w:spacing w:val="5"/>
              </w:rPr>
              <w:t>石油烃</w:t>
            </w:r>
          </w:p>
        </w:tc>
      </w:tr>
    </w:tbl>
    <w:p>
      <w:pPr>
        <w:pStyle w:val="BodyText"/>
        <w:spacing w:line="251" w:lineRule="auto"/>
        <w:rPr/>
      </w:pPr>
      <w:r/>
    </w:p>
    <w:p>
      <w:pPr>
        <w:pStyle w:val="BodyText"/>
        <w:spacing w:line="252"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6.2.5.2  </w:t>
      </w:r>
      <w:r>
        <w:rPr>
          <w:rFonts w:ascii="FangSong" w:hAnsi="FangSong" w:eastAsia="FangSong" w:cs="FangSong"/>
          <w:sz w:val="24"/>
          <w:szCs w:val="24"/>
          <w:b/>
          <w:bCs/>
          <w:spacing w:val="-2"/>
        </w:rPr>
        <w:t>土壤环境影响分析</w:t>
      </w:r>
    </w:p>
    <w:p>
      <w:pPr>
        <w:ind w:left="123" w:right="107" w:firstLine="482"/>
        <w:spacing w:before="180" w:line="360" w:lineRule="auto"/>
        <w:jc w:val="both"/>
        <w:rPr>
          <w:rFonts w:ascii="FangSong" w:hAnsi="FangSong" w:eastAsia="FangSong" w:cs="FangSong"/>
          <w:sz w:val="24"/>
          <w:szCs w:val="24"/>
        </w:rPr>
      </w:pPr>
      <w:r>
        <w:rPr>
          <w:rFonts w:ascii="FangSong" w:hAnsi="FangSong" w:eastAsia="FangSong" w:cs="FangSong"/>
          <w:sz w:val="24"/>
          <w:szCs w:val="24"/>
          <w:spacing w:val="-4"/>
        </w:rPr>
        <w:t>土壤是复杂的三相共存体系，其污染物质主要通过被污染大气的沉降、工业</w:t>
      </w:r>
      <w:r>
        <w:rPr>
          <w:rFonts w:ascii="FangSong" w:hAnsi="FangSong" w:eastAsia="FangSong" w:cs="FangSong"/>
          <w:sz w:val="24"/>
          <w:szCs w:val="24"/>
          <w:spacing w:val="-3"/>
        </w:rPr>
        <w:t>废水的漫流和入渗以及固体废物通过大气迁移、扩散、沉降或降水</w:t>
      </w:r>
      <w:r>
        <w:rPr>
          <w:rFonts w:ascii="FangSong" w:hAnsi="FangSong" w:eastAsia="FangSong" w:cs="FangSong"/>
          <w:sz w:val="24"/>
          <w:szCs w:val="24"/>
          <w:spacing w:val="-4"/>
        </w:rPr>
        <w:t>淋溶、地表径</w:t>
      </w:r>
      <w:r>
        <w:rPr>
          <w:rFonts w:ascii="FangSong" w:hAnsi="FangSong" w:eastAsia="FangSong" w:cs="FangSong"/>
          <w:sz w:val="24"/>
          <w:szCs w:val="24"/>
          <w:spacing w:val="-2"/>
        </w:rPr>
        <w:t>流等而进入土壤环境。</w:t>
      </w:r>
    </w:p>
    <w:p>
      <w:pPr>
        <w:ind w:left="608"/>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）污染源分析</w:t>
      </w:r>
    </w:p>
    <w:p>
      <w:pPr>
        <w:ind w:left="123" w:right="107" w:firstLine="481"/>
        <w:spacing w:before="178" w:line="360" w:lineRule="auto"/>
        <w:rPr>
          <w:rFonts w:ascii="FangSong" w:hAnsi="FangSong" w:eastAsia="FangSong" w:cs="FangSong"/>
          <w:sz w:val="24"/>
          <w:szCs w:val="24"/>
        </w:rPr>
      </w:pPr>
      <w:r>
        <w:rPr>
          <w:rFonts w:ascii="FangSong" w:hAnsi="FangSong" w:eastAsia="FangSong" w:cs="FangSong"/>
          <w:sz w:val="24"/>
          <w:szCs w:val="24"/>
          <w:spacing w:val="-3"/>
        </w:rPr>
        <w:t>本项目运行阶段主要污染源来自于破碎筛分、</w:t>
      </w:r>
      <w:r>
        <w:rPr>
          <w:rFonts w:ascii="FangSong" w:hAnsi="FangSong" w:eastAsia="FangSong" w:cs="FangSong"/>
          <w:sz w:val="24"/>
          <w:szCs w:val="24"/>
          <w:spacing w:val="-4"/>
        </w:rPr>
        <w:t>原料及成品的装卸、运输、尾</w:t>
      </w:r>
      <w:r>
        <w:rPr>
          <w:rFonts w:ascii="FangSong" w:hAnsi="FangSong" w:eastAsia="FangSong" w:cs="FangSong"/>
          <w:sz w:val="24"/>
          <w:szCs w:val="24"/>
          <w:spacing w:val="-1"/>
        </w:rPr>
        <w:t>砂堆存、选矿过程和危险废物暂存过程。</w:t>
      </w:r>
    </w:p>
    <w:p>
      <w:pPr>
        <w:ind w:left="608"/>
        <w:spacing w:before="1"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）厂区土壤现状分析</w:t>
      </w:r>
    </w:p>
    <w:p>
      <w:pPr>
        <w:ind w:left="123" w:right="42" w:firstLine="480"/>
        <w:spacing w:before="182" w:line="360" w:lineRule="auto"/>
        <w:rPr>
          <w:rFonts w:ascii="FangSong" w:hAnsi="FangSong" w:eastAsia="FangSong" w:cs="FangSong"/>
          <w:sz w:val="24"/>
          <w:szCs w:val="24"/>
        </w:rPr>
      </w:pPr>
      <w:r>
        <w:rPr>
          <w:rFonts w:ascii="FangSong" w:hAnsi="FangSong" w:eastAsia="FangSong" w:cs="FangSong"/>
          <w:sz w:val="24"/>
          <w:szCs w:val="24"/>
          <w:spacing w:val="-8"/>
        </w:rPr>
        <w:t>针对厂区现状，本次评价根据导则要求，布设了</w:t>
      </w:r>
      <w:r>
        <w:rPr>
          <w:rFonts w:ascii="FangSong" w:hAnsi="FangSong" w:eastAsia="FangSong" w:cs="FangSong"/>
          <w:sz w:val="24"/>
          <w:szCs w:val="24"/>
          <w:spacing w:val="-9"/>
        </w:rPr>
        <w:t>土壤环境质量现状监测点位，</w:t>
      </w:r>
      <w:r>
        <w:rPr>
          <w:rFonts w:ascii="FangSong" w:hAnsi="FangSong" w:eastAsia="FangSong" w:cs="FangSong"/>
          <w:sz w:val="24"/>
          <w:szCs w:val="24"/>
          <w:spacing w:val="-3"/>
        </w:rPr>
        <w:t>以调查了解区域土壤环境质量现状。根据对土壤环境质量现状监测统</w:t>
      </w:r>
      <w:r>
        <w:rPr>
          <w:rFonts w:ascii="FangSong" w:hAnsi="FangSong" w:eastAsia="FangSong" w:cs="FangSong"/>
          <w:sz w:val="24"/>
          <w:szCs w:val="24"/>
          <w:spacing w:val="-4"/>
        </w:rPr>
        <w:t>计结果的分</w:t>
      </w:r>
      <w:r>
        <w:rPr>
          <w:rFonts w:ascii="FangSong" w:hAnsi="FangSong" w:eastAsia="FangSong" w:cs="FangSong"/>
          <w:sz w:val="24"/>
          <w:szCs w:val="24"/>
        </w:rPr>
        <w:t>析可知，各土壤监测项监测因子均满足《土壤环境质量</w:t>
      </w:r>
      <w:r>
        <w:rPr>
          <w:rFonts w:ascii="FangSong" w:hAnsi="FangSong" w:eastAsia="FangSong" w:cs="FangSong"/>
          <w:sz w:val="24"/>
          <w:szCs w:val="24"/>
        </w:rPr>
        <w:t xml:space="preserve"> </w:t>
      </w:r>
      <w:r>
        <w:rPr>
          <w:rFonts w:ascii="FangSong" w:hAnsi="FangSong" w:eastAsia="FangSong" w:cs="FangSong"/>
          <w:sz w:val="24"/>
          <w:szCs w:val="24"/>
        </w:rPr>
        <w:t>农用地土壤污染风险管</w:t>
      </w:r>
      <w:r>
        <w:rPr>
          <w:rFonts w:ascii="FangSong" w:hAnsi="FangSong" w:eastAsia="FangSong" w:cs="FangSong"/>
          <w:sz w:val="24"/>
          <w:szCs w:val="24"/>
          <w:spacing w:val="2"/>
        </w:rPr>
        <w:t>控标准（试行）》（</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15618-2018</w:t>
      </w:r>
      <w:r>
        <w:rPr>
          <w:rFonts w:ascii="FangSong" w:hAnsi="FangSong" w:eastAsia="FangSong" w:cs="FangSong"/>
          <w:sz w:val="24"/>
          <w:szCs w:val="24"/>
          <w:spacing w:val="2"/>
        </w:rPr>
        <w:t>）相应标准限值要求，区域建设用地污染风</w:t>
      </w:r>
      <w:r>
        <w:rPr>
          <w:rFonts w:ascii="FangSong" w:hAnsi="FangSong" w:eastAsia="FangSong" w:cs="FangSong"/>
          <w:sz w:val="24"/>
          <w:szCs w:val="24"/>
          <w:spacing w:val="-4"/>
        </w:rPr>
        <w:t>险值较低。</w:t>
      </w:r>
    </w:p>
    <w:p>
      <w:pPr>
        <w:spacing w:line="360" w:lineRule="auto"/>
        <w:sectPr>
          <w:footerReference w:type="default" r:id="rId323"/>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514"/>
        <w:spacing w:before="78" w:line="222" w:lineRule="auto"/>
        <w:rPr>
          <w:rFonts w:ascii="FangSong" w:hAnsi="FangSong" w:eastAsia="FangSong" w:cs="FangSong"/>
          <w:sz w:val="24"/>
          <w:szCs w:val="24"/>
        </w:rPr>
      </w:pPr>
      <w:bookmarkStart w:name="bookmark601" w:id="413"/>
      <w:bookmarkEnd w:id="413"/>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）大气沉降污染途径土壤环境影响分析</w:t>
      </w:r>
    </w:p>
    <w:p>
      <w:pPr>
        <w:ind w:left="29" w:right="219" w:firstLine="481"/>
        <w:spacing w:before="179" w:line="360" w:lineRule="auto"/>
        <w:rPr>
          <w:rFonts w:ascii="FangSong" w:hAnsi="FangSong" w:eastAsia="FangSong" w:cs="FangSong"/>
          <w:sz w:val="24"/>
          <w:szCs w:val="24"/>
        </w:rPr>
      </w:pPr>
      <w:r>
        <w:rPr>
          <w:rFonts w:ascii="FangSong" w:hAnsi="FangSong" w:eastAsia="FangSong" w:cs="FangSong"/>
          <w:sz w:val="24"/>
          <w:szCs w:val="24"/>
          <w:spacing w:val="4"/>
        </w:rPr>
        <w:t>本项目通过大气沉降污染可能对土壤造成影响的是项目排放的粉尘颗粒物</w:t>
      </w:r>
      <w:r>
        <w:rPr>
          <w:rFonts w:ascii="FangSong" w:hAnsi="FangSong" w:eastAsia="FangSong" w:cs="FangSong"/>
          <w:sz w:val="24"/>
          <w:szCs w:val="24"/>
          <w:spacing w:val="-3"/>
        </w:rPr>
        <w:t>造成土壤中氟化物增加，随着项目有组织和无组织排放的颗粒物自然</w:t>
      </w:r>
      <w:r>
        <w:rPr>
          <w:rFonts w:ascii="FangSong" w:hAnsi="FangSong" w:eastAsia="FangSong" w:cs="FangSong"/>
          <w:sz w:val="24"/>
          <w:szCs w:val="24"/>
          <w:spacing w:val="-4"/>
        </w:rPr>
        <w:t>沉降，进入</w:t>
      </w:r>
      <w:r>
        <w:rPr>
          <w:rFonts w:ascii="FangSong" w:hAnsi="FangSong" w:eastAsia="FangSong" w:cs="FangSong"/>
          <w:sz w:val="24"/>
          <w:szCs w:val="24"/>
          <w:spacing w:val="-1"/>
        </w:rPr>
        <w:t>土壤从而影响土壤环境，导致土壤酸化、植物生长受限、土壤微生物受损等。</w:t>
      </w:r>
    </w:p>
    <w:p>
      <w:pPr>
        <w:ind w:left="29" w:right="219" w:firstLine="481"/>
        <w:spacing w:before="6" w:line="359" w:lineRule="auto"/>
        <w:jc w:val="both"/>
        <w:rPr>
          <w:rFonts w:ascii="FangSong" w:hAnsi="FangSong" w:eastAsia="FangSong" w:cs="FangSong"/>
          <w:sz w:val="24"/>
          <w:szCs w:val="24"/>
        </w:rPr>
      </w:pPr>
      <w:r>
        <w:rPr>
          <w:rFonts w:ascii="FangSong" w:hAnsi="FangSong" w:eastAsia="FangSong" w:cs="FangSong"/>
          <w:sz w:val="24"/>
          <w:szCs w:val="24"/>
          <w:spacing w:val="-3"/>
        </w:rPr>
        <w:t>本项目产生的原料矿、废石、尾矿、成品矿堆</w:t>
      </w:r>
      <w:r>
        <w:rPr>
          <w:rFonts w:ascii="FangSong" w:hAnsi="FangSong" w:eastAsia="FangSong" w:cs="FangSong"/>
          <w:sz w:val="24"/>
          <w:szCs w:val="24"/>
          <w:spacing w:val="-4"/>
        </w:rPr>
        <w:t>存均采用全封闭库房贮存，采</w:t>
      </w:r>
      <w:r>
        <w:rPr>
          <w:rFonts w:ascii="FangSong" w:hAnsi="FangSong" w:eastAsia="FangSong" w:cs="FangSong"/>
          <w:sz w:val="24"/>
          <w:szCs w:val="24"/>
          <w:spacing w:val="-3"/>
        </w:rPr>
        <w:t>取防风抑尘措施；地面采用防渗混凝土进行硬化，采取防渗措施，不</w:t>
      </w:r>
      <w:r>
        <w:rPr>
          <w:rFonts w:ascii="FangSong" w:hAnsi="FangSong" w:eastAsia="FangSong" w:cs="FangSong"/>
          <w:sz w:val="24"/>
          <w:szCs w:val="24"/>
          <w:spacing w:val="-4"/>
        </w:rPr>
        <w:t>与区域原状</w:t>
      </w:r>
      <w:r>
        <w:rPr>
          <w:rFonts w:ascii="FangSong" w:hAnsi="FangSong" w:eastAsia="FangSong" w:cs="FangSong"/>
          <w:sz w:val="24"/>
          <w:szCs w:val="24"/>
          <w:spacing w:val="-3"/>
        </w:rPr>
        <w:t>土壤直接接触；项目破碎、筛分产生的颗粒物不涉及重金属的排放，</w:t>
      </w:r>
      <w:r>
        <w:rPr>
          <w:rFonts w:ascii="FangSong" w:hAnsi="FangSong" w:eastAsia="FangSong" w:cs="FangSong"/>
          <w:sz w:val="24"/>
          <w:szCs w:val="24"/>
          <w:spacing w:val="-4"/>
        </w:rPr>
        <w:t>且采用布袋</w:t>
      </w:r>
      <w:r>
        <w:rPr>
          <w:rFonts w:ascii="FangSong" w:hAnsi="FangSong" w:eastAsia="FangSong" w:cs="FangSong"/>
          <w:sz w:val="24"/>
          <w:szCs w:val="24"/>
          <w:spacing w:val="-3"/>
        </w:rPr>
        <w:t>除尘器净化处理后颗粒物排放量较小；原料矿、废石、尾矿、成品矿</w:t>
      </w:r>
      <w:r>
        <w:rPr>
          <w:rFonts w:ascii="FangSong" w:hAnsi="FangSong" w:eastAsia="FangSong" w:cs="FangSong"/>
          <w:sz w:val="24"/>
          <w:szCs w:val="24"/>
          <w:spacing w:val="-4"/>
        </w:rPr>
        <w:t>拉运过程中</w:t>
      </w:r>
      <w:r>
        <w:rPr>
          <w:rFonts w:ascii="FangSong" w:hAnsi="FangSong" w:eastAsia="FangSong" w:cs="FangSong"/>
          <w:sz w:val="24"/>
          <w:szCs w:val="24"/>
          <w:spacing w:val="-1"/>
        </w:rPr>
        <w:t>加盖遮盖物，避免粉料逸散污染道路两侧土壤等措施。</w:t>
      </w:r>
    </w:p>
    <w:p>
      <w:pPr>
        <w:ind w:left="31" w:right="219" w:firstLine="509"/>
        <w:spacing w:line="360" w:lineRule="auto"/>
        <w:rPr>
          <w:rFonts w:ascii="FangSong" w:hAnsi="FangSong" w:eastAsia="FangSong" w:cs="FangSong"/>
          <w:sz w:val="24"/>
          <w:szCs w:val="24"/>
        </w:rPr>
      </w:pPr>
      <w:r>
        <w:rPr>
          <w:rFonts w:ascii="FangSong" w:hAnsi="FangSong" w:eastAsia="FangSong" w:cs="FangSong"/>
          <w:sz w:val="24"/>
          <w:szCs w:val="24"/>
          <w:spacing w:val="-4"/>
        </w:rPr>
        <w:t>由此可见，本项目排放颗粒物经大气沉降至土壤表面</w:t>
      </w:r>
      <w:r>
        <w:rPr>
          <w:rFonts w:ascii="FangSong" w:hAnsi="FangSong" w:eastAsia="FangSong" w:cs="FangSong"/>
          <w:sz w:val="24"/>
          <w:szCs w:val="24"/>
          <w:spacing w:val="-5"/>
        </w:rPr>
        <w:t>后，经累积作用，虽对</w:t>
      </w:r>
      <w:r>
        <w:rPr>
          <w:rFonts w:ascii="FangSong" w:hAnsi="FangSong" w:eastAsia="FangSong" w:cs="FangSong"/>
          <w:sz w:val="24"/>
          <w:szCs w:val="24"/>
          <w:spacing w:val="-1"/>
        </w:rPr>
        <w:t>周围土壤产生一定的影响，但其影响较小。</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）垂直下渗污染途径土壤环境影响分析</w:t>
      </w:r>
    </w:p>
    <w:p>
      <w:pPr>
        <w:ind w:left="29" w:right="219" w:firstLine="481"/>
        <w:spacing w:before="180" w:line="360" w:lineRule="auto"/>
        <w:rPr>
          <w:rFonts w:ascii="FangSong" w:hAnsi="FangSong" w:eastAsia="FangSong" w:cs="FangSong"/>
          <w:sz w:val="24"/>
          <w:szCs w:val="24"/>
        </w:rPr>
      </w:pPr>
      <w:r>
        <w:rPr>
          <w:rFonts w:ascii="FangSong" w:hAnsi="FangSong" w:eastAsia="FangSong" w:cs="FangSong"/>
          <w:sz w:val="24"/>
          <w:szCs w:val="24"/>
          <w:spacing w:val="-3"/>
        </w:rPr>
        <w:t>本项目通过垂直下渗污染可能对土壤造成影响</w:t>
      </w:r>
      <w:r>
        <w:rPr>
          <w:rFonts w:ascii="FangSong" w:hAnsi="FangSong" w:eastAsia="FangSong" w:cs="FangSong"/>
          <w:sz w:val="24"/>
          <w:szCs w:val="24"/>
          <w:spacing w:val="-4"/>
        </w:rPr>
        <w:t>的是选矿厂浓缩机故障，循环</w:t>
      </w:r>
      <w:r>
        <w:rPr>
          <w:rFonts w:ascii="FangSong" w:hAnsi="FangSong" w:eastAsia="FangSong" w:cs="FangSong"/>
          <w:sz w:val="24"/>
          <w:szCs w:val="24"/>
          <w:spacing w:val="-3"/>
        </w:rPr>
        <w:t>水池、危险废物暂存间物质渗漏，导致垂直下渗进入土壤环境，可能</w:t>
      </w:r>
      <w:r>
        <w:rPr>
          <w:rFonts w:ascii="FangSong" w:hAnsi="FangSong" w:eastAsia="FangSong" w:cs="FangSong"/>
          <w:sz w:val="24"/>
          <w:szCs w:val="24"/>
          <w:spacing w:val="-4"/>
        </w:rPr>
        <w:t>造成厂区土</w:t>
      </w:r>
      <w:r>
        <w:rPr>
          <w:rFonts w:ascii="FangSong" w:hAnsi="FangSong" w:eastAsia="FangSong" w:cs="FangSong"/>
          <w:sz w:val="24"/>
          <w:szCs w:val="24"/>
          <w:spacing w:val="-2"/>
        </w:rPr>
        <w:t>壤氟含量和石油烃增高。</w:t>
      </w:r>
    </w:p>
    <w:p>
      <w:pPr>
        <w:ind w:left="29" w:right="180" w:firstLine="481"/>
        <w:spacing w:before="7" w:line="359" w:lineRule="auto"/>
        <w:rPr>
          <w:rFonts w:ascii="FangSong" w:hAnsi="FangSong" w:eastAsia="FangSong" w:cs="FangSong"/>
          <w:sz w:val="24"/>
          <w:szCs w:val="24"/>
        </w:rPr>
      </w:pPr>
      <w:r>
        <w:rPr>
          <w:rFonts w:ascii="FangSong" w:hAnsi="FangSong" w:eastAsia="FangSong" w:cs="FangSong"/>
          <w:sz w:val="24"/>
          <w:szCs w:val="24"/>
          <w:spacing w:val="-2"/>
        </w:rPr>
        <w:t>本项目正常工况生产废水经地表高位水池沉淀澄清处理后，</w:t>
      </w:r>
      <w:r>
        <w:rPr>
          <w:rFonts w:ascii="FangSong" w:hAnsi="FangSong" w:eastAsia="FangSong" w:cs="FangSong"/>
          <w:sz w:val="24"/>
          <w:szCs w:val="24"/>
          <w:spacing w:val="-3"/>
        </w:rPr>
        <w:t>全部循环利用，</w:t>
      </w:r>
      <w:r>
        <w:rPr>
          <w:rFonts w:ascii="FangSong" w:hAnsi="FangSong" w:eastAsia="FangSong" w:cs="FangSong"/>
          <w:sz w:val="24"/>
          <w:szCs w:val="24"/>
          <w:spacing w:val="-3"/>
        </w:rPr>
        <w:t>不外排。本项目生产车间、原矿堆场、尾矿临时堆场、成品库及排水</w:t>
      </w:r>
      <w:r>
        <w:rPr>
          <w:rFonts w:ascii="FangSong" w:hAnsi="FangSong" w:eastAsia="FangSong" w:cs="FangSong"/>
          <w:sz w:val="24"/>
          <w:szCs w:val="24"/>
          <w:spacing w:val="-4"/>
        </w:rPr>
        <w:t>设施等采取</w:t>
      </w:r>
      <w:r>
        <w:rPr>
          <w:rFonts w:ascii="FangSong" w:hAnsi="FangSong" w:eastAsia="FangSong" w:cs="FangSong"/>
          <w:sz w:val="24"/>
          <w:szCs w:val="24"/>
          <w:spacing w:val="-3"/>
        </w:rPr>
        <w:t>采用素混凝土地面基础，地表高位水池池底和池壁采用</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3"/>
        </w:rPr>
        <w:t>1mm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厚</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HDPE</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膜进行基</w:t>
      </w:r>
      <w:r>
        <w:rPr>
          <w:rFonts w:ascii="FangSong" w:hAnsi="FangSong" w:eastAsia="FangSong" w:cs="FangSong"/>
          <w:sz w:val="24"/>
          <w:szCs w:val="24"/>
        </w:rPr>
        <w:t>础防渗，防渗系数均小于</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rPr>
        <w:t>1×10</w:t>
      </w:r>
      <w:r>
        <w:rPr>
          <w:rFonts w:ascii="Times New Roman" w:hAnsi="Times New Roman" w:eastAsia="Times New Roman" w:cs="Times New Roman"/>
          <w:sz w:val="15"/>
          <w:szCs w:val="15"/>
          <w:position w:val="7"/>
        </w:rPr>
        <w:t>-7</w:t>
      </w:r>
      <w:r>
        <w:rPr>
          <w:rFonts w:ascii="Times New Roman" w:hAnsi="Times New Roman" w:eastAsia="Times New Roman" w:cs="Times New Roman"/>
          <w:sz w:val="24"/>
          <w:szCs w:val="24"/>
        </w:rPr>
        <w:t>cm/s</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，满足《环境影响评价技术导则</w:t>
      </w:r>
      <w:r>
        <w:rPr>
          <w:rFonts w:ascii="FangSong" w:hAnsi="FangSong" w:eastAsia="FangSong" w:cs="FangSong"/>
          <w:sz w:val="24"/>
          <w:szCs w:val="24"/>
        </w:rPr>
        <w:t xml:space="preserve"> </w:t>
      </w:r>
      <w:r>
        <w:rPr>
          <w:rFonts w:ascii="FangSong" w:hAnsi="FangSong" w:eastAsia="FangSong" w:cs="FangSong"/>
          <w:sz w:val="24"/>
          <w:szCs w:val="24"/>
        </w:rPr>
        <w:t>地下水环</w:t>
      </w:r>
      <w:r>
        <w:rPr>
          <w:rFonts w:ascii="FangSong" w:hAnsi="FangSong" w:eastAsia="FangSong" w:cs="FangSong"/>
          <w:sz w:val="24"/>
          <w:szCs w:val="24"/>
          <w:spacing w:val="-3"/>
        </w:rPr>
        <w:t>境》（</w:t>
      </w:r>
      <w:r>
        <w:rPr>
          <w:rFonts w:ascii="Times New Roman" w:hAnsi="Times New Roman" w:eastAsia="Times New Roman" w:cs="Times New Roman"/>
          <w:sz w:val="24"/>
          <w:szCs w:val="24"/>
          <w:spacing w:val="-3"/>
        </w:rPr>
        <w:t>HJ610-2016</w:t>
      </w:r>
      <w:r>
        <w:rPr>
          <w:rFonts w:ascii="FangSong" w:hAnsi="FangSong" w:eastAsia="FangSong" w:cs="FangSong"/>
          <w:sz w:val="24"/>
          <w:szCs w:val="24"/>
          <w:spacing w:val="-3"/>
        </w:rPr>
        <w:t>）中规定的“一般防渗区</w:t>
      </w:r>
      <w:r>
        <w:rPr>
          <w:rFonts w:ascii="FangSong" w:hAnsi="FangSong" w:eastAsia="FangSong" w:cs="FangSong"/>
          <w:sz w:val="24"/>
          <w:szCs w:val="24"/>
          <w:spacing w:val="-88"/>
        </w:rPr>
        <w:t xml:space="preserve"> </w:t>
      </w:r>
      <w:r>
        <w:rPr>
          <w:rFonts w:ascii="FangSong" w:hAnsi="FangSong" w:eastAsia="FangSong" w:cs="FangSong"/>
          <w:sz w:val="24"/>
          <w:szCs w:val="24"/>
          <w:spacing w:val="-3"/>
        </w:rPr>
        <w:t>”防渗要求。本</w:t>
      </w:r>
      <w:r>
        <w:rPr>
          <w:rFonts w:ascii="FangSong" w:hAnsi="FangSong" w:eastAsia="FangSong" w:cs="FangSong"/>
          <w:sz w:val="24"/>
          <w:szCs w:val="24"/>
          <w:spacing w:val="-4"/>
        </w:rPr>
        <w:t>项目产生危险废物废</w:t>
      </w:r>
      <w:r>
        <w:rPr>
          <w:rFonts w:ascii="FangSong" w:hAnsi="FangSong" w:eastAsia="FangSong" w:cs="FangSong"/>
          <w:sz w:val="24"/>
          <w:szCs w:val="24"/>
          <w:spacing w:val="-3"/>
        </w:rPr>
        <w:t>机油采用全密闭桶装包装方式，并将废机油及废油桶置放在金属托盘</w:t>
      </w:r>
      <w:r>
        <w:rPr>
          <w:rFonts w:ascii="FangSong" w:hAnsi="FangSong" w:eastAsia="FangSong" w:cs="FangSong"/>
          <w:sz w:val="24"/>
          <w:szCs w:val="24"/>
          <w:spacing w:val="-4"/>
        </w:rPr>
        <w:t>上，危险废</w:t>
      </w:r>
      <w:r>
        <w:rPr>
          <w:rFonts w:ascii="FangSong" w:hAnsi="FangSong" w:eastAsia="FangSong" w:cs="FangSong"/>
          <w:sz w:val="24"/>
          <w:szCs w:val="24"/>
          <w:spacing w:val="-2"/>
        </w:rPr>
        <w:t>物暂存间地面要求采用防渗层至少</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1m</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厚黏土层（渗透系数不大于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15"/>
          <w:szCs w:val="15"/>
          <w:spacing w:val="-2"/>
          <w:position w:val="7"/>
        </w:rPr>
        <w:t>-7</w:t>
      </w:r>
      <w:r>
        <w:rPr>
          <w:rFonts w:ascii="Times New Roman" w:hAnsi="Times New Roman" w:eastAsia="Times New Roman" w:cs="Times New Roman"/>
          <w:sz w:val="24"/>
          <w:szCs w:val="24"/>
          <w:spacing w:val="-2"/>
        </w:rPr>
        <w:t>cm/s</w:t>
      </w:r>
      <w:r>
        <w:rPr>
          <w:rFonts w:ascii="FangSong" w:hAnsi="FangSong" w:eastAsia="FangSong" w:cs="FangSong"/>
          <w:sz w:val="24"/>
          <w:szCs w:val="24"/>
          <w:spacing w:val="8"/>
        </w:rPr>
        <w:t>），</w:t>
      </w:r>
    </w:p>
    <w:p>
      <w:pPr>
        <w:ind w:left="33"/>
        <w:spacing w:before="2" w:line="220" w:lineRule="auto"/>
        <w:rPr>
          <w:rFonts w:ascii="FangSong" w:hAnsi="FangSong" w:eastAsia="FangSong" w:cs="FangSong"/>
          <w:sz w:val="24"/>
          <w:szCs w:val="24"/>
        </w:rPr>
      </w:pPr>
      <w:r>
        <w:rPr>
          <w:rFonts w:ascii="FangSong" w:hAnsi="FangSong" w:eastAsia="FangSong" w:cs="FangSong"/>
          <w:sz w:val="24"/>
          <w:szCs w:val="24"/>
          <w:spacing w:val="-1"/>
        </w:rPr>
        <w:t>或至少</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2mm</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厚高密度聚乙烯膜等人工防渗材料</w:t>
      </w:r>
      <w:r>
        <w:rPr>
          <w:rFonts w:ascii="FangSong" w:hAnsi="FangSong" w:eastAsia="FangSong" w:cs="FangSong"/>
          <w:sz w:val="24"/>
          <w:szCs w:val="24"/>
          <w:spacing w:val="-2"/>
        </w:rPr>
        <w:t>（渗透系数不大于</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15"/>
          <w:szCs w:val="15"/>
          <w:spacing w:val="-2"/>
          <w:position w:val="7"/>
        </w:rPr>
        <w:t>-10</w:t>
      </w:r>
      <w:r>
        <w:rPr>
          <w:rFonts w:ascii="Times New Roman" w:hAnsi="Times New Roman" w:eastAsia="Times New Roman" w:cs="Times New Roman"/>
          <w:sz w:val="24"/>
          <w:szCs w:val="24"/>
          <w:spacing w:val="-2"/>
        </w:rPr>
        <w:t>cm/s</w:t>
      </w:r>
      <w:r>
        <w:rPr>
          <w:rFonts w:ascii="FangSong" w:hAnsi="FangSong" w:eastAsia="FangSong" w:cs="FangSong"/>
          <w:sz w:val="24"/>
          <w:szCs w:val="24"/>
          <w:spacing w:val="-1"/>
        </w:rPr>
        <w:t>），</w:t>
      </w:r>
    </w:p>
    <w:p>
      <w:pPr>
        <w:ind w:left="29" w:firstLine="4"/>
        <w:spacing w:before="182" w:line="360" w:lineRule="auto"/>
        <w:rPr>
          <w:rFonts w:ascii="FangSong" w:hAnsi="FangSong" w:eastAsia="FangSong" w:cs="FangSong"/>
          <w:sz w:val="24"/>
          <w:szCs w:val="24"/>
        </w:rPr>
      </w:pPr>
      <w:r>
        <w:rPr>
          <w:rFonts w:ascii="FangSong" w:hAnsi="FangSong" w:eastAsia="FangSong" w:cs="FangSong"/>
          <w:sz w:val="24"/>
          <w:szCs w:val="24"/>
          <w:spacing w:val="-10"/>
        </w:rPr>
        <w:t>或其他防渗性能等效的材料，满足《危险废物贮存污染控制标准》（</w:t>
      </w:r>
      <w:r>
        <w:rPr>
          <w:rFonts w:ascii="Times New Roman" w:hAnsi="Times New Roman" w:eastAsia="Times New Roman" w:cs="Times New Roman"/>
          <w:sz w:val="24"/>
          <w:szCs w:val="24"/>
          <w:spacing w:val="-10"/>
        </w:rPr>
        <w:t>GB18597-2023</w:t>
      </w:r>
      <w:r>
        <w:rPr>
          <w:rFonts w:ascii="FangSong" w:hAnsi="FangSong" w:eastAsia="FangSong" w:cs="FangSong"/>
          <w:sz w:val="24"/>
          <w:szCs w:val="24"/>
          <w:spacing w:val="-10"/>
        </w:rPr>
        <w:t>）</w:t>
      </w:r>
      <w:r>
        <w:rPr>
          <w:rFonts w:ascii="FangSong" w:hAnsi="FangSong" w:eastAsia="FangSong" w:cs="FangSong"/>
          <w:sz w:val="24"/>
          <w:szCs w:val="24"/>
          <w:spacing w:val="-2"/>
        </w:rPr>
        <w:t>规定的防渗要求。</w:t>
      </w:r>
    </w:p>
    <w:p>
      <w:pPr>
        <w:ind w:left="32" w:right="219" w:firstLine="478"/>
        <w:spacing w:line="360" w:lineRule="auto"/>
        <w:jc w:val="both"/>
        <w:rPr>
          <w:rFonts w:ascii="FangSong" w:hAnsi="FangSong" w:eastAsia="FangSong" w:cs="FangSong"/>
          <w:sz w:val="24"/>
          <w:szCs w:val="24"/>
        </w:rPr>
      </w:pPr>
      <w:r>
        <w:rPr>
          <w:rFonts w:ascii="FangSong" w:hAnsi="FangSong" w:eastAsia="FangSong" w:cs="FangSong"/>
          <w:sz w:val="24"/>
          <w:szCs w:val="24"/>
          <w:spacing w:val="-3"/>
        </w:rPr>
        <w:t>本项目正常状况下，厂区进行分区防渗处理，</w:t>
      </w:r>
      <w:r>
        <w:rPr>
          <w:rFonts w:ascii="FangSong" w:hAnsi="FangSong" w:eastAsia="FangSong" w:cs="FangSong"/>
          <w:sz w:val="24"/>
          <w:szCs w:val="24"/>
          <w:spacing w:val="-4"/>
        </w:rPr>
        <w:t>各污染防治区分别满足不同等</w:t>
      </w:r>
      <w:r>
        <w:rPr>
          <w:rFonts w:ascii="FangSong" w:hAnsi="FangSong" w:eastAsia="FangSong" w:cs="FangSong"/>
          <w:sz w:val="24"/>
          <w:szCs w:val="24"/>
          <w:spacing w:val="-3"/>
        </w:rPr>
        <w:t>级的防渗技术要求，可有效阻止污染物下渗。因此，土壤污</w:t>
      </w:r>
      <w:r>
        <w:rPr>
          <w:rFonts w:ascii="FangSong" w:hAnsi="FangSong" w:eastAsia="FangSong" w:cs="FangSong"/>
          <w:sz w:val="24"/>
          <w:szCs w:val="24"/>
          <w:spacing w:val="-4"/>
        </w:rPr>
        <w:t>染主要发生在非正常</w:t>
      </w:r>
      <w:r>
        <w:rPr>
          <w:rFonts w:ascii="FangSong" w:hAnsi="FangSong" w:eastAsia="FangSong" w:cs="FangSong"/>
          <w:sz w:val="24"/>
          <w:szCs w:val="24"/>
          <w:spacing w:val="-5"/>
        </w:rPr>
        <w:t>工况下。</w:t>
      </w:r>
    </w:p>
    <w:p>
      <w:pPr>
        <w:ind w:left="510"/>
        <w:spacing w:line="219" w:lineRule="auto"/>
        <w:rPr>
          <w:rFonts w:ascii="FangSong" w:hAnsi="FangSong" w:eastAsia="FangSong" w:cs="FangSong"/>
          <w:sz w:val="24"/>
          <w:szCs w:val="24"/>
        </w:rPr>
      </w:pPr>
      <w:r>
        <w:rPr>
          <w:rFonts w:ascii="FangSong" w:hAnsi="FangSong" w:eastAsia="FangSong" w:cs="FangSong"/>
          <w:sz w:val="24"/>
          <w:szCs w:val="24"/>
          <w:spacing w:val="-3"/>
        </w:rPr>
        <w:t>本项目非正常工况，根据同类型企业的实际情</w:t>
      </w:r>
      <w:r>
        <w:rPr>
          <w:rFonts w:ascii="FangSong" w:hAnsi="FangSong" w:eastAsia="FangSong" w:cs="FangSong"/>
          <w:sz w:val="24"/>
          <w:szCs w:val="24"/>
          <w:spacing w:val="-4"/>
        </w:rPr>
        <w:t>况分析，如果危废暂存间等可</w:t>
      </w:r>
    </w:p>
    <w:p>
      <w:pPr>
        <w:spacing w:line="219" w:lineRule="auto"/>
        <w:sectPr>
          <w:footerReference w:type="default" r:id="rId324"/>
          <w:pgSz w:w="11906" w:h="16839"/>
          <w:pgMar w:top="400" w:right="158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8" w:right="185"/>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视场所发生防腐、防渗层破损，建设单位必将及时采取修复措施，不可</w:t>
      </w:r>
      <w:r>
        <w:rPr>
          <w:rFonts w:ascii="FangSong" w:hAnsi="FangSong" w:eastAsia="FangSong" w:cs="FangSong"/>
          <w:sz w:val="24"/>
          <w:szCs w:val="24"/>
          <w:spacing w:val="-4"/>
        </w:rPr>
        <w:t>能任由物</w:t>
      </w:r>
      <w:r>
        <w:rPr>
          <w:rFonts w:ascii="FangSong" w:hAnsi="FangSong" w:eastAsia="FangSong" w:cs="FangSong"/>
          <w:sz w:val="24"/>
          <w:szCs w:val="24"/>
          <w:spacing w:val="-3"/>
        </w:rPr>
        <w:t>料或污水漫流渗入土壤。因此，只有当地下非可视部位发生破损，可</w:t>
      </w:r>
      <w:r>
        <w:rPr>
          <w:rFonts w:ascii="FangSong" w:hAnsi="FangSong" w:eastAsia="FangSong" w:cs="FangSong"/>
          <w:sz w:val="24"/>
          <w:szCs w:val="24"/>
          <w:spacing w:val="-4"/>
        </w:rPr>
        <w:t>能造成污染</w:t>
      </w:r>
      <w:r>
        <w:rPr>
          <w:rFonts w:ascii="FangSong" w:hAnsi="FangSong" w:eastAsia="FangSong" w:cs="FangSong"/>
          <w:sz w:val="24"/>
          <w:szCs w:val="24"/>
          <w:spacing w:val="-1"/>
        </w:rPr>
        <w:t>物持续渗入土壤并对土壤环境造成一定污染。</w:t>
      </w:r>
    </w:p>
    <w:p>
      <w:pPr>
        <w:ind w:left="22"/>
        <w:spacing w:before="1" w:line="221" w:lineRule="auto"/>
        <w:outlineLvl w:val="2"/>
        <w:rPr>
          <w:rFonts w:ascii="FangSong" w:hAnsi="FangSong" w:eastAsia="FangSong" w:cs="FangSong"/>
          <w:sz w:val="24"/>
          <w:szCs w:val="24"/>
        </w:rPr>
      </w:pPr>
      <w:bookmarkStart w:name="bookmark304" w:id="414"/>
      <w:bookmarkEnd w:id="414"/>
      <w:bookmarkStart w:name="bookmark303" w:id="415"/>
      <w:bookmarkEnd w:id="415"/>
      <w:r>
        <w:rPr>
          <w:rFonts w:ascii="Times New Roman" w:hAnsi="Times New Roman" w:eastAsia="Times New Roman" w:cs="Times New Roman"/>
          <w:sz w:val="24"/>
          <w:szCs w:val="24"/>
          <w:b/>
          <w:bCs/>
          <w:spacing w:val="-4"/>
        </w:rPr>
        <w:t>6.2.6</w:t>
      </w:r>
      <w:r>
        <w:rPr>
          <w:rFonts w:ascii="Times New Roman" w:hAnsi="Times New Roman" w:eastAsia="Times New Roman" w:cs="Times New Roman"/>
          <w:sz w:val="24"/>
          <w:szCs w:val="24"/>
          <w:b/>
          <w:bCs/>
          <w:spacing w:val="17"/>
          <w:w w:val="101"/>
        </w:rPr>
        <w:t xml:space="preserve">  </w:t>
      </w:r>
      <w:r>
        <w:rPr>
          <w:rFonts w:ascii="FangSong" w:hAnsi="FangSong" w:eastAsia="FangSong" w:cs="FangSong"/>
          <w:sz w:val="24"/>
          <w:szCs w:val="24"/>
          <w:b/>
          <w:bCs/>
          <w:spacing w:val="-4"/>
        </w:rPr>
        <w:t>生态环境影响分析与评价</w:t>
      </w:r>
    </w:p>
    <w:p>
      <w:pPr>
        <w:ind w:left="29" w:right="108" w:firstLine="481"/>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本项目为萤石矿采选项目，采用地下开采方式</w:t>
      </w:r>
      <w:r>
        <w:rPr>
          <w:rFonts w:ascii="FangSong" w:hAnsi="FangSong" w:eastAsia="FangSong" w:cs="FangSong"/>
          <w:sz w:val="24"/>
          <w:szCs w:val="24"/>
          <w:spacing w:val="-4"/>
        </w:rPr>
        <w:t>，开采的萤石原矿经新建选矿</w:t>
      </w:r>
      <w:r>
        <w:rPr>
          <w:rFonts w:ascii="FangSong" w:hAnsi="FangSong" w:eastAsia="FangSong" w:cs="FangSong"/>
          <w:sz w:val="24"/>
          <w:szCs w:val="24"/>
          <w:spacing w:val="-8"/>
        </w:rPr>
        <w:t>厂浮选后得到萤石精矿。项目在运行过程中，对开采区域的环境地质、陆生生态、</w:t>
      </w:r>
      <w:r>
        <w:rPr>
          <w:rFonts w:ascii="FangSong" w:hAnsi="FangSong" w:eastAsia="FangSong" w:cs="FangSong"/>
          <w:sz w:val="24"/>
          <w:szCs w:val="24"/>
          <w:spacing w:val="-1"/>
        </w:rPr>
        <w:t>景观等方面有所影响，具体分析如下。</w:t>
      </w:r>
    </w:p>
    <w:p>
      <w:pPr>
        <w:ind w:left="22"/>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6.2.6.1  </w:t>
      </w:r>
      <w:r>
        <w:rPr>
          <w:rFonts w:ascii="FangSong" w:hAnsi="FangSong" w:eastAsia="FangSong" w:cs="FangSong"/>
          <w:sz w:val="24"/>
          <w:szCs w:val="24"/>
          <w:b/>
          <w:bCs/>
          <w:spacing w:val="-2"/>
        </w:rPr>
        <w:t>对陆生植物的影响分析</w:t>
      </w:r>
    </w:p>
    <w:p>
      <w:pPr>
        <w:ind w:left="31" w:right="185" w:firstLine="479"/>
        <w:spacing w:before="180" w:line="360" w:lineRule="auto"/>
        <w:rPr>
          <w:rFonts w:ascii="FangSong" w:hAnsi="FangSong" w:eastAsia="FangSong" w:cs="FangSong"/>
          <w:sz w:val="24"/>
          <w:szCs w:val="24"/>
        </w:rPr>
      </w:pPr>
      <w:r>
        <w:rPr>
          <w:rFonts w:ascii="FangSong" w:hAnsi="FangSong" w:eastAsia="FangSong" w:cs="FangSong"/>
          <w:sz w:val="24"/>
          <w:szCs w:val="24"/>
          <w:spacing w:val="-3"/>
        </w:rPr>
        <w:t>本项目采用井下坑采方式进行开采，不会直接</w:t>
      </w:r>
      <w:r>
        <w:rPr>
          <w:rFonts w:ascii="FangSong" w:hAnsi="FangSong" w:eastAsia="FangSong" w:cs="FangSong"/>
          <w:sz w:val="24"/>
          <w:szCs w:val="24"/>
          <w:spacing w:val="-4"/>
        </w:rPr>
        <w:t>毁坏地表土层和植被。运营期</w:t>
      </w:r>
      <w:r>
        <w:rPr>
          <w:rFonts w:ascii="FangSong" w:hAnsi="FangSong" w:eastAsia="FangSong" w:cs="FangSong"/>
          <w:sz w:val="24"/>
          <w:szCs w:val="24"/>
          <w:spacing w:val="-1"/>
        </w:rPr>
        <w:t>对评价区植被影响主要表现为废气排放（扬尘）对植被的影响；</w:t>
      </w:r>
    </w:p>
    <w:p>
      <w:pPr>
        <w:ind w:left="32" w:right="120" w:firstLine="478"/>
        <w:spacing w:before="6" w:line="359" w:lineRule="auto"/>
        <w:jc w:val="both"/>
        <w:rPr>
          <w:rFonts w:ascii="FangSong" w:hAnsi="FangSong" w:eastAsia="FangSong" w:cs="FangSong"/>
          <w:sz w:val="24"/>
          <w:szCs w:val="24"/>
        </w:rPr>
      </w:pPr>
      <w:r>
        <w:rPr>
          <w:rFonts w:ascii="FangSong" w:hAnsi="FangSong" w:eastAsia="FangSong" w:cs="FangSong"/>
          <w:sz w:val="24"/>
          <w:szCs w:val="24"/>
          <w:spacing w:val="-3"/>
        </w:rPr>
        <w:t>本项目矿石破碎、筛选和运输过程中产生的粉</w:t>
      </w:r>
      <w:r>
        <w:rPr>
          <w:rFonts w:ascii="FangSong" w:hAnsi="FangSong" w:eastAsia="FangSong" w:cs="FangSong"/>
          <w:sz w:val="24"/>
          <w:szCs w:val="24"/>
          <w:spacing w:val="-4"/>
        </w:rPr>
        <w:t>尘会对附近的动植物产生一定</w:t>
      </w:r>
      <w:r>
        <w:rPr>
          <w:rFonts w:ascii="FangSong" w:hAnsi="FangSong" w:eastAsia="FangSong" w:cs="FangSong"/>
          <w:sz w:val="24"/>
          <w:szCs w:val="24"/>
          <w:spacing w:val="-3"/>
        </w:rPr>
        <w:t>影响。粉尘降落在植物叶面上，吸收水分成为深灰色的一层</w:t>
      </w:r>
      <w:r>
        <w:rPr>
          <w:rFonts w:ascii="FangSong" w:hAnsi="FangSong" w:eastAsia="FangSong" w:cs="FangSong"/>
          <w:sz w:val="24"/>
          <w:szCs w:val="24"/>
          <w:spacing w:val="-4"/>
        </w:rPr>
        <w:t>薄壳，降低叶面的光</w:t>
      </w:r>
      <w:r>
        <w:rPr>
          <w:rFonts w:ascii="FangSong" w:hAnsi="FangSong" w:eastAsia="FangSong" w:cs="FangSong"/>
          <w:sz w:val="24"/>
          <w:szCs w:val="24"/>
          <w:spacing w:val="-3"/>
        </w:rPr>
        <w:t>合作用；堵塞叶面气孔，阻碍叶面气孔的呼吸作用及水分蒸</w:t>
      </w:r>
      <w:r>
        <w:rPr>
          <w:rFonts w:ascii="FangSong" w:hAnsi="FangSong" w:eastAsia="FangSong" w:cs="FangSong"/>
          <w:sz w:val="24"/>
          <w:szCs w:val="24"/>
          <w:spacing w:val="-4"/>
        </w:rPr>
        <w:t>发，减弱调湿和机体</w:t>
      </w:r>
      <w:r>
        <w:rPr>
          <w:rFonts w:ascii="FangSong" w:hAnsi="FangSong" w:eastAsia="FangSong" w:cs="FangSong"/>
          <w:sz w:val="24"/>
          <w:szCs w:val="24"/>
          <w:spacing w:val="-3"/>
        </w:rPr>
        <w:t>代谢功能，造成叶尖失水、干枯、落叶和减产。粉尘的碱性</w:t>
      </w:r>
      <w:r>
        <w:rPr>
          <w:rFonts w:ascii="FangSong" w:hAnsi="FangSong" w:eastAsia="FangSong" w:cs="FangSong"/>
          <w:sz w:val="24"/>
          <w:szCs w:val="24"/>
          <w:spacing w:val="-4"/>
        </w:rPr>
        <w:t>物质能破坏叶面表层</w:t>
      </w:r>
      <w:r>
        <w:rPr>
          <w:rFonts w:ascii="FangSong" w:hAnsi="FangSong" w:eastAsia="FangSong" w:cs="FangSong"/>
          <w:sz w:val="24"/>
          <w:szCs w:val="24"/>
          <w:spacing w:val="-8"/>
        </w:rPr>
        <w:t>的蜡质和表皮茸毛，使植物生长减退。本项目采选过程中采取了相应的降尘措施，</w:t>
      </w:r>
      <w:r>
        <w:rPr>
          <w:rFonts w:ascii="FangSong" w:hAnsi="FangSong" w:eastAsia="FangSong" w:cs="FangSong"/>
          <w:sz w:val="24"/>
          <w:szCs w:val="24"/>
          <w:spacing w:val="-1"/>
        </w:rPr>
        <w:t>因此在正常的生产情况下，本项目对周围植物产生明显不利影响较小。</w:t>
      </w:r>
    </w:p>
    <w:p>
      <w:pPr>
        <w:ind w:left="29" w:right="185" w:firstLine="504"/>
        <w:spacing w:before="1" w:line="360" w:lineRule="auto"/>
        <w:jc w:val="both"/>
        <w:rPr>
          <w:rFonts w:ascii="FangSong" w:hAnsi="FangSong" w:eastAsia="FangSong" w:cs="FangSong"/>
          <w:sz w:val="24"/>
          <w:szCs w:val="24"/>
        </w:rPr>
      </w:pPr>
      <w:r>
        <w:rPr>
          <w:rFonts w:ascii="FangSong" w:hAnsi="FangSong" w:eastAsia="FangSong" w:cs="FangSong"/>
          <w:sz w:val="24"/>
          <w:szCs w:val="24"/>
          <w:spacing w:val="-4"/>
        </w:rPr>
        <w:t>因此，只要加强职工环境保护意识的教育，定期对废气净化设施进行</w:t>
      </w:r>
      <w:r>
        <w:rPr>
          <w:rFonts w:ascii="FangSong" w:hAnsi="FangSong" w:eastAsia="FangSong" w:cs="FangSong"/>
          <w:sz w:val="24"/>
          <w:szCs w:val="24"/>
          <w:spacing w:val="-5"/>
        </w:rPr>
        <w:t>维护保</w:t>
      </w:r>
      <w:r>
        <w:rPr>
          <w:rFonts w:ascii="FangSong" w:hAnsi="FangSong" w:eastAsia="FangSong" w:cs="FangSong"/>
          <w:sz w:val="24"/>
          <w:szCs w:val="24"/>
          <w:spacing w:val="-3"/>
        </w:rPr>
        <w:t>养，本项目在运营期不会对野生植物产生明显影响。若在日后工作</w:t>
      </w:r>
      <w:r>
        <w:rPr>
          <w:rFonts w:ascii="FangSong" w:hAnsi="FangSong" w:eastAsia="FangSong" w:cs="FangSong"/>
          <w:sz w:val="24"/>
          <w:szCs w:val="24"/>
          <w:spacing w:val="-4"/>
        </w:rPr>
        <w:t>过程中发现国</w:t>
      </w:r>
      <w:r>
        <w:rPr>
          <w:rFonts w:ascii="FangSong" w:hAnsi="FangSong" w:eastAsia="FangSong" w:cs="FangSong"/>
          <w:sz w:val="24"/>
          <w:szCs w:val="24"/>
          <w:spacing w:val="-1"/>
        </w:rPr>
        <w:t>家重点保护植物的分布，应按国家相关规定采取相应的保护措施。</w:t>
      </w:r>
    </w:p>
    <w:p>
      <w:pPr>
        <w:ind w:left="22"/>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6.2.6.2  </w:t>
      </w:r>
      <w:r>
        <w:rPr>
          <w:rFonts w:ascii="FangSong" w:hAnsi="FangSong" w:eastAsia="FangSong" w:cs="FangSong"/>
          <w:sz w:val="24"/>
          <w:szCs w:val="24"/>
          <w:b/>
          <w:bCs/>
          <w:spacing w:val="-2"/>
        </w:rPr>
        <w:t>对陆生动物的影响分析</w:t>
      </w:r>
    </w:p>
    <w:p>
      <w:pPr>
        <w:ind w:left="29" w:firstLine="480"/>
        <w:spacing w:before="182" w:line="360" w:lineRule="auto"/>
        <w:rPr>
          <w:rFonts w:ascii="FangSong" w:hAnsi="FangSong" w:eastAsia="FangSong" w:cs="FangSong"/>
          <w:sz w:val="24"/>
          <w:szCs w:val="24"/>
        </w:rPr>
      </w:pPr>
      <w:r>
        <w:rPr>
          <w:rFonts w:ascii="FangSong" w:hAnsi="FangSong" w:eastAsia="FangSong" w:cs="FangSong"/>
          <w:sz w:val="24"/>
          <w:szCs w:val="24"/>
          <w:spacing w:val="-3"/>
        </w:rPr>
        <w:t>根据现状调查，调查区域内不存在受保护的野</w:t>
      </w:r>
      <w:r>
        <w:rPr>
          <w:rFonts w:ascii="FangSong" w:hAnsi="FangSong" w:eastAsia="FangSong" w:cs="FangSong"/>
          <w:sz w:val="24"/>
          <w:szCs w:val="24"/>
          <w:spacing w:val="-4"/>
        </w:rPr>
        <w:t>生动物，野生种类较少，以常</w:t>
      </w:r>
      <w:r>
        <w:rPr>
          <w:rFonts w:ascii="FangSong" w:hAnsi="FangSong" w:eastAsia="FangSong" w:cs="FangSong"/>
          <w:sz w:val="24"/>
          <w:szCs w:val="24"/>
          <w:spacing w:val="-3"/>
        </w:rPr>
        <w:t>见的土著种为主。项目的运营不可避免地破坏栖息和生活在附近的</w:t>
      </w:r>
      <w:r>
        <w:rPr>
          <w:rFonts w:ascii="FangSong" w:hAnsi="FangSong" w:eastAsia="FangSong" w:cs="FangSong"/>
          <w:sz w:val="24"/>
          <w:szCs w:val="24"/>
          <w:spacing w:val="-4"/>
        </w:rPr>
        <w:t>动物生境，运</w:t>
      </w:r>
      <w:r>
        <w:rPr>
          <w:rFonts w:ascii="FangSong" w:hAnsi="FangSong" w:eastAsia="FangSong" w:cs="FangSong"/>
          <w:sz w:val="24"/>
          <w:szCs w:val="24"/>
          <w:spacing w:val="-5"/>
        </w:rPr>
        <w:t>营期的设备产生的噪声将影响动物的栖息，使野生动物赖以生存的生态领域减小，</w:t>
      </w:r>
      <w:r>
        <w:rPr>
          <w:rFonts w:ascii="FangSong" w:hAnsi="FangSong" w:eastAsia="FangSong" w:cs="FangSong"/>
          <w:sz w:val="24"/>
          <w:szCs w:val="24"/>
          <w:spacing w:val="-6"/>
        </w:rPr>
        <w:t>车辆的增加使动物的安全性下降，致使本地区野生动物包括鸟类迁移离开，因此，</w:t>
      </w:r>
      <w:r>
        <w:rPr>
          <w:rFonts w:ascii="FangSong" w:hAnsi="FangSong" w:eastAsia="FangSong" w:cs="FangSong"/>
          <w:sz w:val="24"/>
          <w:szCs w:val="24"/>
          <w:spacing w:val="-3"/>
        </w:rPr>
        <w:t>环评建议企业在项目建设过程中严格控制矿区用地，运营生产过程</w:t>
      </w:r>
      <w:r>
        <w:rPr>
          <w:rFonts w:ascii="FangSong" w:hAnsi="FangSong" w:eastAsia="FangSong" w:cs="FangSong"/>
          <w:sz w:val="24"/>
          <w:szCs w:val="24"/>
          <w:spacing w:val="-4"/>
        </w:rPr>
        <w:t>中，尽量将高</w:t>
      </w:r>
      <w:r>
        <w:rPr>
          <w:rFonts w:ascii="FangSong" w:hAnsi="FangSong" w:eastAsia="FangSong" w:cs="FangSong"/>
          <w:sz w:val="24"/>
          <w:szCs w:val="24"/>
          <w:spacing w:val="-1"/>
        </w:rPr>
        <w:t>噪声设备放置在单独的隔声间内，避免和减少机械设备噪声对野生动物的影响；</w:t>
      </w:r>
      <w:r>
        <w:rPr>
          <w:rFonts w:ascii="FangSong" w:hAnsi="FangSong" w:eastAsia="FangSong" w:cs="FangSong"/>
          <w:sz w:val="24"/>
          <w:szCs w:val="24"/>
          <w:spacing w:val="-3"/>
        </w:rPr>
        <w:t>另外，由于采矿、选矿等生产将有矿石、废石、尾矿、成品矿石堆</w:t>
      </w:r>
      <w:r>
        <w:rPr>
          <w:rFonts w:ascii="FangSong" w:hAnsi="FangSong" w:eastAsia="FangSong" w:cs="FangSong"/>
          <w:sz w:val="24"/>
          <w:szCs w:val="24"/>
          <w:spacing w:val="-4"/>
        </w:rPr>
        <w:t>存，并且需采</w:t>
      </w:r>
      <w:r>
        <w:rPr>
          <w:rFonts w:ascii="FangSong" w:hAnsi="FangSong" w:eastAsia="FangSong" w:cs="FangSong"/>
          <w:sz w:val="24"/>
          <w:szCs w:val="24"/>
          <w:spacing w:val="-3"/>
        </w:rPr>
        <w:t>用运输车辆运输，其产生的扬尘将对野生动物的生境产生影响，即</w:t>
      </w:r>
      <w:r>
        <w:rPr>
          <w:rFonts w:ascii="FangSong" w:hAnsi="FangSong" w:eastAsia="FangSong" w:cs="FangSong"/>
          <w:sz w:val="24"/>
          <w:szCs w:val="24"/>
          <w:spacing w:val="-4"/>
        </w:rPr>
        <w:t>破坏绿色植物</w:t>
      </w:r>
      <w:r>
        <w:rPr>
          <w:rFonts w:ascii="FangSong" w:hAnsi="FangSong" w:eastAsia="FangSong" w:cs="FangSong"/>
          <w:sz w:val="24"/>
          <w:szCs w:val="24"/>
          <w:spacing w:val="-3"/>
        </w:rPr>
        <w:t>的生长，影响野生动物觅食，因此，环评建议企业对堆场和矿区道</w:t>
      </w:r>
      <w:r>
        <w:rPr>
          <w:rFonts w:ascii="FangSong" w:hAnsi="FangSong" w:eastAsia="FangSong" w:cs="FangSong"/>
          <w:sz w:val="24"/>
          <w:szCs w:val="24"/>
          <w:spacing w:val="-4"/>
        </w:rPr>
        <w:t>路进行定期洒</w:t>
      </w:r>
    </w:p>
    <w:p>
      <w:pPr>
        <w:spacing w:line="360" w:lineRule="auto"/>
        <w:sectPr>
          <w:footerReference w:type="default" r:id="rId325"/>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spacing w:before="78" w:line="221" w:lineRule="auto"/>
        <w:jc w:val="right"/>
        <w:rPr>
          <w:rFonts w:ascii="FangSong" w:hAnsi="FangSong" w:eastAsia="FangSong" w:cs="FangSong"/>
          <w:sz w:val="24"/>
          <w:szCs w:val="24"/>
        </w:rPr>
      </w:pPr>
      <w:r>
        <w:rPr>
          <w:rFonts w:ascii="FangSong" w:hAnsi="FangSong" w:eastAsia="FangSong" w:cs="FangSong"/>
          <w:sz w:val="24"/>
          <w:szCs w:val="24"/>
          <w:spacing w:val="-2"/>
        </w:rPr>
        <w:t>水降尘，降低扬尘产生量，减少本项目运营过程中对野生动物及其生境的影响。</w:t>
      </w:r>
    </w:p>
    <w:p>
      <w:pPr>
        <w:ind w:left="22"/>
        <w:spacing w:before="180"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6.2.6.3  </w:t>
      </w:r>
      <w:r>
        <w:rPr>
          <w:rFonts w:ascii="FangSong" w:hAnsi="FangSong" w:eastAsia="FangSong" w:cs="FangSong"/>
          <w:sz w:val="24"/>
          <w:szCs w:val="24"/>
          <w:b/>
          <w:bCs/>
          <w:spacing w:val="-2"/>
        </w:rPr>
        <w:t>对自然景观的影响分析</w:t>
      </w:r>
    </w:p>
    <w:p>
      <w:pPr>
        <w:ind w:left="29" w:right="26" w:firstLine="481"/>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根据实地调查，矿区及周边没有县级以上文物</w:t>
      </w:r>
      <w:r>
        <w:rPr>
          <w:rFonts w:ascii="FangSong" w:hAnsi="FangSong" w:eastAsia="FangSong" w:cs="FangSong"/>
          <w:sz w:val="24"/>
          <w:szCs w:val="24"/>
          <w:spacing w:val="-4"/>
        </w:rPr>
        <w:t>保护单位。矿山所在区域主要</w:t>
      </w:r>
      <w:r>
        <w:rPr>
          <w:rFonts w:ascii="FangSong" w:hAnsi="FangSong" w:eastAsia="FangSong" w:cs="FangSong"/>
          <w:sz w:val="24"/>
          <w:szCs w:val="24"/>
          <w:spacing w:val="-3"/>
        </w:rPr>
        <w:t>生态景观类型为典型草原景观。工程建设对评价区内现有的景观生态</w:t>
      </w:r>
      <w:r>
        <w:rPr>
          <w:rFonts w:ascii="FangSong" w:hAnsi="FangSong" w:eastAsia="FangSong" w:cs="FangSong"/>
          <w:sz w:val="24"/>
          <w:szCs w:val="24"/>
          <w:spacing w:val="-4"/>
        </w:rPr>
        <w:t>类型进行切</w:t>
      </w:r>
      <w:r>
        <w:rPr>
          <w:rFonts w:ascii="FangSong" w:hAnsi="FangSong" w:eastAsia="FangSong" w:cs="FangSong"/>
          <w:sz w:val="24"/>
          <w:szCs w:val="24"/>
          <w:spacing w:val="-3"/>
        </w:rPr>
        <w:t>割，使区域内景观破碎度增大，工业广场将改变局部区域的景观结构</w:t>
      </w:r>
      <w:r>
        <w:rPr>
          <w:rFonts w:ascii="FangSong" w:hAnsi="FangSong" w:eastAsia="FangSong" w:cs="FangSong"/>
          <w:sz w:val="24"/>
          <w:szCs w:val="24"/>
          <w:spacing w:val="-4"/>
        </w:rPr>
        <w:t>，对该区域</w:t>
      </w:r>
      <w:r>
        <w:rPr>
          <w:rFonts w:ascii="FangSong" w:hAnsi="FangSong" w:eastAsia="FangSong" w:cs="FangSong"/>
          <w:sz w:val="24"/>
          <w:szCs w:val="24"/>
          <w:spacing w:val="-3"/>
        </w:rPr>
        <w:t>现有长期以草原为主的景观格局产生影响，工矿景观的优势在区域内</w:t>
      </w:r>
      <w:r>
        <w:rPr>
          <w:rFonts w:ascii="FangSong" w:hAnsi="FangSong" w:eastAsia="FangSong" w:cs="FangSong"/>
          <w:sz w:val="24"/>
          <w:szCs w:val="24"/>
          <w:spacing w:val="-4"/>
        </w:rPr>
        <w:t>凸显。但从</w:t>
      </w:r>
      <w:r>
        <w:rPr>
          <w:rFonts w:ascii="FangSong" w:hAnsi="FangSong" w:eastAsia="FangSong" w:cs="FangSong"/>
          <w:sz w:val="24"/>
          <w:szCs w:val="24"/>
          <w:spacing w:val="-2"/>
        </w:rPr>
        <w:t>宏观上看，工业广场等工矿景观的加入对整个评价区域现有景观格局影响较小，</w:t>
      </w:r>
      <w:r>
        <w:rPr>
          <w:rFonts w:ascii="FangSong" w:hAnsi="FangSong" w:eastAsia="FangSong" w:cs="FangSong"/>
          <w:sz w:val="24"/>
          <w:szCs w:val="24"/>
          <w:spacing w:val="-3"/>
        </w:rPr>
        <w:t>对于整个评价区，局部斑块的改变不会引起整体景观格局和功能的改</w:t>
      </w:r>
      <w:r>
        <w:rPr>
          <w:rFonts w:ascii="FangSong" w:hAnsi="FangSong" w:eastAsia="FangSong" w:cs="FangSong"/>
          <w:sz w:val="24"/>
          <w:szCs w:val="24"/>
          <w:spacing w:val="-4"/>
        </w:rPr>
        <w:t>变，系统的</w:t>
      </w:r>
      <w:r>
        <w:rPr>
          <w:rFonts w:ascii="FangSong" w:hAnsi="FangSong" w:eastAsia="FangSong" w:cs="FangSong"/>
          <w:sz w:val="24"/>
          <w:szCs w:val="24"/>
          <w:spacing w:val="-3"/>
        </w:rPr>
        <w:t>稳定性和协调性受此处变动的影响比较轻微。从局部景观构造上看，</w:t>
      </w:r>
      <w:r>
        <w:rPr>
          <w:rFonts w:ascii="FangSong" w:hAnsi="FangSong" w:eastAsia="FangSong" w:cs="FangSong"/>
          <w:sz w:val="24"/>
          <w:szCs w:val="24"/>
          <w:spacing w:val="-4"/>
        </w:rPr>
        <w:t>工程的建设</w:t>
      </w:r>
      <w:r>
        <w:rPr>
          <w:rFonts w:ascii="FangSong" w:hAnsi="FangSong" w:eastAsia="FangSong" w:cs="FangSong"/>
          <w:sz w:val="24"/>
          <w:szCs w:val="24"/>
          <w:spacing w:val="-3"/>
        </w:rPr>
        <w:t>主要把现有草原等改变为工矿用地，使草原景观转变为人工建筑景观</w:t>
      </w:r>
      <w:r>
        <w:rPr>
          <w:rFonts w:ascii="FangSong" w:hAnsi="FangSong" w:eastAsia="FangSong" w:cs="FangSong"/>
          <w:sz w:val="24"/>
          <w:szCs w:val="24"/>
          <w:spacing w:val="-4"/>
        </w:rPr>
        <w:t>，工矿景观</w:t>
      </w:r>
      <w:r>
        <w:rPr>
          <w:rFonts w:ascii="FangSong" w:hAnsi="FangSong" w:eastAsia="FangSong" w:cs="FangSong"/>
          <w:sz w:val="24"/>
          <w:szCs w:val="24"/>
          <w:spacing w:val="-3"/>
        </w:rPr>
        <w:t>的加入对整个评价区现有景观影响较小，各景观内部景观要素的组成</w:t>
      </w:r>
      <w:r>
        <w:rPr>
          <w:rFonts w:ascii="FangSong" w:hAnsi="FangSong" w:eastAsia="FangSong" w:cs="FangSong"/>
          <w:sz w:val="24"/>
          <w:szCs w:val="24"/>
          <w:spacing w:val="-4"/>
        </w:rPr>
        <w:t>稳定，故项</w:t>
      </w:r>
      <w:r>
        <w:rPr>
          <w:rFonts w:ascii="FangSong" w:hAnsi="FangSong" w:eastAsia="FangSong" w:cs="FangSong"/>
          <w:sz w:val="24"/>
          <w:szCs w:val="24"/>
          <w:spacing w:val="-2"/>
        </w:rPr>
        <w:t>目建设及运营不会对项目评价区整体区域的景观生态格局与功能产生较大影响。</w:t>
      </w:r>
    </w:p>
    <w:p>
      <w:pPr>
        <w:ind w:left="29"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8"/>
        </w:rPr>
        <w:t>在矿山闭矿后，及时做好矿区复垦工作，草原景观将得到快速的修复与补偿。</w:t>
      </w:r>
      <w:r>
        <w:rPr>
          <w:rFonts w:ascii="FangSong" w:hAnsi="FangSong" w:eastAsia="FangSong" w:cs="FangSong"/>
          <w:sz w:val="24"/>
          <w:szCs w:val="24"/>
          <w:spacing w:val="-3"/>
        </w:rPr>
        <w:t>因此，本项目在短时间内将会对景观和生态有一定程度的影响，但</w:t>
      </w:r>
      <w:r>
        <w:rPr>
          <w:rFonts w:ascii="FangSong" w:hAnsi="FangSong" w:eastAsia="FangSong" w:cs="FangSong"/>
          <w:sz w:val="24"/>
          <w:szCs w:val="24"/>
          <w:spacing w:val="-4"/>
        </w:rPr>
        <w:t>复垦后可以最</w:t>
      </w:r>
      <w:r>
        <w:rPr>
          <w:rFonts w:ascii="FangSong" w:hAnsi="FangSong" w:eastAsia="FangSong" w:cs="FangSong"/>
          <w:sz w:val="24"/>
          <w:szCs w:val="24"/>
          <w:spacing w:val="-3"/>
        </w:rPr>
        <w:t>大限度恢复原有景观形态，将逐步重建矿区土地利用结构和矿区生</w:t>
      </w:r>
      <w:r>
        <w:rPr>
          <w:rFonts w:ascii="FangSong" w:hAnsi="FangSong" w:eastAsia="FangSong" w:cs="FangSong"/>
          <w:sz w:val="24"/>
          <w:szCs w:val="24"/>
          <w:spacing w:val="-4"/>
        </w:rPr>
        <w:t>态系统，改善</w:t>
      </w:r>
      <w:r>
        <w:rPr>
          <w:rFonts w:ascii="FangSong" w:hAnsi="FangSong" w:eastAsia="FangSong" w:cs="FangSong"/>
          <w:sz w:val="24"/>
          <w:szCs w:val="24"/>
          <w:spacing w:val="-3"/>
        </w:rPr>
        <w:t>景观美学质量。</w:t>
      </w:r>
    </w:p>
    <w:p>
      <w:pPr>
        <w:ind w:left="22"/>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6.2.6.4</w:t>
      </w:r>
      <w:r>
        <w:rPr>
          <w:rFonts w:ascii="Times New Roman" w:hAnsi="Times New Roman" w:eastAsia="Times New Roman" w:cs="Times New Roman"/>
          <w:sz w:val="24"/>
          <w:szCs w:val="24"/>
          <w:b/>
          <w:bCs/>
          <w:spacing w:val="18"/>
        </w:rPr>
        <w:t xml:space="preserve">  </w:t>
      </w:r>
      <w:r>
        <w:rPr>
          <w:rFonts w:ascii="FangSong" w:hAnsi="FangSong" w:eastAsia="FangSong" w:cs="FangSong"/>
          <w:sz w:val="24"/>
          <w:szCs w:val="24"/>
          <w:b/>
          <w:bCs/>
          <w:spacing w:val="-4"/>
        </w:rPr>
        <w:t>生物损失量影响分析</w:t>
      </w:r>
    </w:p>
    <w:p>
      <w:pPr>
        <w:ind w:left="22" w:right="44" w:firstLine="517"/>
        <w:spacing w:before="177" w:line="360" w:lineRule="auto"/>
        <w:jc w:val="both"/>
        <w:rPr>
          <w:rFonts w:ascii="FangSong" w:hAnsi="FangSong" w:eastAsia="FangSong" w:cs="FangSong"/>
          <w:sz w:val="24"/>
          <w:szCs w:val="24"/>
        </w:rPr>
      </w:pPr>
      <w:r>
        <w:rPr>
          <w:rFonts w:ascii="FangSong" w:hAnsi="FangSong" w:eastAsia="FangSong" w:cs="FangSong"/>
          <w:sz w:val="24"/>
          <w:szCs w:val="24"/>
          <w:spacing w:val="-4"/>
        </w:rPr>
        <w:t>由于矿山开采、车辆运输等人为活动，会使地表自然</w:t>
      </w:r>
      <w:r>
        <w:rPr>
          <w:rFonts w:ascii="FangSong" w:hAnsi="FangSong" w:eastAsia="FangSong" w:cs="FangSong"/>
          <w:sz w:val="24"/>
          <w:szCs w:val="24"/>
          <w:spacing w:val="-5"/>
        </w:rPr>
        <w:t>植被遭到破坏，将在一</w:t>
      </w:r>
      <w:r>
        <w:rPr>
          <w:rFonts w:ascii="FangSong" w:hAnsi="FangSong" w:eastAsia="FangSong" w:cs="FangSong"/>
          <w:sz w:val="24"/>
          <w:szCs w:val="24"/>
          <w:spacing w:val="-3"/>
        </w:rPr>
        <w:t>定程度上对原有生态系统的生物量产生影响。从区域生态现状来看，矿山周围山</w:t>
      </w:r>
      <w:r>
        <w:rPr>
          <w:rFonts w:ascii="FangSong" w:hAnsi="FangSong" w:eastAsia="FangSong" w:cs="FangSong"/>
          <w:sz w:val="24"/>
          <w:szCs w:val="24"/>
          <w:spacing w:val="-2"/>
        </w:rPr>
        <w:t>地均有类似的生态环境，开采对当地生态系统中生物物种的丰度不会产生影响，</w:t>
      </w:r>
      <w:r>
        <w:rPr>
          <w:rFonts w:ascii="FangSong" w:hAnsi="FangSong" w:eastAsia="FangSong" w:cs="FangSong"/>
          <w:sz w:val="24"/>
          <w:szCs w:val="24"/>
          <w:spacing w:val="4"/>
        </w:rPr>
        <w:t>只是由于某一物种的数量减少导致各种物种间的相对密度变化而轻微地改变群</w:t>
      </w:r>
      <w:r>
        <w:rPr>
          <w:rFonts w:ascii="FangSong" w:hAnsi="FangSong" w:eastAsia="FangSong" w:cs="FangSong"/>
          <w:sz w:val="24"/>
          <w:szCs w:val="24"/>
          <w:spacing w:val="-3"/>
        </w:rPr>
        <w:t>落的异质性。草地第一年生物损失量按</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3"/>
        </w:rPr>
        <w:t>1.08t/m</w:t>
      </w:r>
      <w:r>
        <w:rPr>
          <w:rFonts w:ascii="Times New Roman" w:hAnsi="Times New Roman" w:eastAsia="Times New Roman" w:cs="Times New Roman"/>
          <w:sz w:val="15"/>
          <w:szCs w:val="15"/>
          <w:spacing w:val="-3"/>
          <w:position w:val="7"/>
        </w:rPr>
        <w:t>2</w:t>
      </w:r>
      <w:r>
        <w:rPr>
          <w:rFonts w:ascii="Times New Roman" w:hAnsi="Times New Roman" w:eastAsia="Times New Roman" w:cs="Times New Roman"/>
          <w:sz w:val="15"/>
          <w:szCs w:val="15"/>
          <w:spacing w:val="17"/>
          <w:w w:val="102"/>
          <w:position w:val="7"/>
        </w:rPr>
        <w:t xml:space="preserve"> </w:t>
      </w:r>
      <w:r>
        <w:rPr>
          <w:rFonts w:ascii="FangSong" w:hAnsi="FangSong" w:eastAsia="FangSong" w:cs="FangSong"/>
          <w:sz w:val="24"/>
          <w:szCs w:val="24"/>
          <w:spacing w:val="-3"/>
        </w:rPr>
        <w:t>计算（参照《我国森林植被的生</w:t>
      </w:r>
      <w:r>
        <w:rPr>
          <w:rFonts w:ascii="FangSong" w:hAnsi="FangSong" w:eastAsia="FangSong" w:cs="FangSong"/>
          <w:sz w:val="24"/>
          <w:szCs w:val="24"/>
          <w:spacing w:val="-1"/>
        </w:rPr>
        <w:t>物量和净生产量》，方精云等</w:t>
      </w:r>
      <w:r>
        <w:rPr>
          <w:rFonts w:ascii="FangSong" w:hAnsi="FangSong" w:eastAsia="FangSong" w:cs="FangSong"/>
          <w:sz w:val="24"/>
          <w:szCs w:val="24"/>
          <w:spacing w:val="10"/>
        </w:rPr>
        <w:t>），</w:t>
      </w:r>
      <w:r>
        <w:rPr>
          <w:rFonts w:ascii="FangSong" w:hAnsi="FangSong" w:eastAsia="FangSong" w:cs="FangSong"/>
          <w:sz w:val="24"/>
          <w:szCs w:val="24"/>
          <w:spacing w:val="-1"/>
        </w:rPr>
        <w:t>之后生物损失量按每平米每年损失</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720g</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进行</w:t>
      </w:r>
      <w:r>
        <w:rPr>
          <w:rFonts w:ascii="FangSong" w:hAnsi="FangSong" w:eastAsia="FangSong" w:cs="FangSong"/>
          <w:sz w:val="24"/>
          <w:szCs w:val="24"/>
          <w:spacing w:val="3"/>
        </w:rPr>
        <w:t>计算，项目涉及破坏草地面积约</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3"/>
        </w:rPr>
        <w:t>72203m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，则项目建成后造成的生物损失量约</w:t>
      </w:r>
      <w:r>
        <w:rPr>
          <w:rFonts w:ascii="Times New Roman" w:hAnsi="Times New Roman" w:eastAsia="Times New Roman" w:cs="Times New Roman"/>
          <w:sz w:val="24"/>
          <w:szCs w:val="24"/>
          <w:spacing w:val="-2"/>
        </w:rPr>
        <w:t>77979.24t/a</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2"/>
        </w:rPr>
        <w:t>，但随着后续矿山复垦工程的实施，可以在一定程度上补偿地表植被</w:t>
      </w:r>
      <w:r>
        <w:rPr>
          <w:rFonts w:ascii="FangSong" w:hAnsi="FangSong" w:eastAsia="FangSong" w:cs="FangSong"/>
          <w:sz w:val="24"/>
          <w:szCs w:val="24"/>
          <w:spacing w:val="-3"/>
        </w:rPr>
        <w:t>的损失，其所在区域的生态环境可以基本得到恢复，而且由于地方优势植被的共</w:t>
      </w:r>
      <w:r>
        <w:rPr>
          <w:rFonts w:ascii="FangSong" w:hAnsi="FangSong" w:eastAsia="FangSong" w:cs="FangSong"/>
          <w:sz w:val="24"/>
          <w:szCs w:val="24"/>
        </w:rPr>
        <w:t>同生长，会发育形成良好的共栖共生环境而增加该</w:t>
      </w:r>
      <w:r>
        <w:rPr>
          <w:rFonts w:ascii="FangSong" w:hAnsi="FangSong" w:eastAsia="FangSong" w:cs="FangSong"/>
          <w:sz w:val="24"/>
          <w:szCs w:val="24"/>
          <w:spacing w:val="-1"/>
        </w:rPr>
        <w:t>地区的物种多样性。。</w:t>
      </w:r>
    </w:p>
    <w:p>
      <w:pPr>
        <w:ind w:left="22"/>
        <w:spacing w:before="3"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6.2.6.5  </w:t>
      </w:r>
      <w:r>
        <w:rPr>
          <w:rFonts w:ascii="FangSong" w:hAnsi="FangSong" w:eastAsia="FangSong" w:cs="FangSong"/>
          <w:sz w:val="24"/>
          <w:szCs w:val="24"/>
          <w:b/>
          <w:bCs/>
          <w:spacing w:val="-2"/>
        </w:rPr>
        <w:t>对生态系统结构的影响分析</w:t>
      </w:r>
    </w:p>
    <w:p>
      <w:pPr>
        <w:ind w:left="524"/>
        <w:spacing w:before="179" w:line="221" w:lineRule="auto"/>
        <w:rPr>
          <w:rFonts w:ascii="FangSong" w:hAnsi="FangSong" w:eastAsia="FangSong" w:cs="FangSong"/>
          <w:sz w:val="24"/>
          <w:szCs w:val="24"/>
        </w:rPr>
      </w:pPr>
      <w:r>
        <w:rPr>
          <w:rFonts w:ascii="FangSong" w:hAnsi="FangSong" w:eastAsia="FangSong" w:cs="FangSong"/>
          <w:sz w:val="24"/>
          <w:szCs w:val="24"/>
          <w:spacing w:val="-1"/>
        </w:rPr>
        <w:t>生态系统结构主要包括组分结构、时空结构和营养结构三个</w:t>
      </w:r>
      <w:r>
        <w:rPr>
          <w:rFonts w:ascii="FangSong" w:hAnsi="FangSong" w:eastAsia="FangSong" w:cs="FangSong"/>
          <w:sz w:val="24"/>
          <w:szCs w:val="24"/>
          <w:spacing w:val="-2"/>
        </w:rPr>
        <w:t>方面。</w:t>
      </w:r>
    </w:p>
    <w:p>
      <w:pPr>
        <w:spacing w:line="221" w:lineRule="auto"/>
        <w:sectPr>
          <w:footerReference w:type="default" r:id="rId326"/>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14"/>
        <w:spacing w:before="78" w:line="223" w:lineRule="auto"/>
        <w:rPr>
          <w:rFonts w:ascii="FangSong" w:hAnsi="FangSong" w:eastAsia="FangSong" w:cs="FangSong"/>
          <w:sz w:val="24"/>
          <w:szCs w:val="24"/>
        </w:rPr>
      </w:pPr>
      <w:bookmarkStart w:name="bookmark602" w:id="416"/>
      <w:bookmarkEnd w:id="416"/>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）组分结构</w:t>
      </w:r>
    </w:p>
    <w:p>
      <w:pPr>
        <w:ind w:left="30" w:right="50"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组分结构主要讨论的是生物群落的种类组成及</w:t>
      </w:r>
      <w:r>
        <w:rPr>
          <w:rFonts w:ascii="FangSong" w:hAnsi="FangSong" w:eastAsia="FangSong" w:cs="FangSong"/>
          <w:sz w:val="24"/>
          <w:szCs w:val="24"/>
          <w:spacing w:val="-4"/>
        </w:rPr>
        <w:t>其关系。通过对比项目建设前</w:t>
      </w:r>
      <w:r>
        <w:rPr>
          <w:rFonts w:ascii="FangSong" w:hAnsi="FangSong" w:eastAsia="FangSong" w:cs="FangSong"/>
          <w:sz w:val="24"/>
          <w:szCs w:val="24"/>
          <w:spacing w:val="-3"/>
        </w:rPr>
        <w:t>后土地利用类型变化可知，评价区内林地生态系统在工程建设前</w:t>
      </w:r>
      <w:r>
        <w:rPr>
          <w:rFonts w:ascii="FangSong" w:hAnsi="FangSong" w:eastAsia="FangSong" w:cs="FangSong"/>
          <w:sz w:val="24"/>
          <w:szCs w:val="24"/>
          <w:spacing w:val="-4"/>
        </w:rPr>
        <w:t>后均占优势，林</w:t>
      </w:r>
      <w:r>
        <w:rPr>
          <w:rFonts w:ascii="FangSong" w:hAnsi="FangSong" w:eastAsia="FangSong" w:cs="FangSong"/>
          <w:sz w:val="24"/>
          <w:szCs w:val="24"/>
          <w:spacing w:val="-3"/>
        </w:rPr>
        <w:t>地、草地等均有所减少，但减少面积较小，变化幅度较小。随着</w:t>
      </w:r>
      <w:r>
        <w:rPr>
          <w:rFonts w:ascii="FangSong" w:hAnsi="FangSong" w:eastAsia="FangSong" w:cs="FangSong"/>
          <w:sz w:val="24"/>
          <w:szCs w:val="24"/>
          <w:spacing w:val="-4"/>
        </w:rPr>
        <w:t>面积的变化，生</w:t>
      </w:r>
      <w:r>
        <w:rPr>
          <w:rFonts w:ascii="FangSong" w:hAnsi="FangSong" w:eastAsia="FangSong" w:cs="FangSong"/>
          <w:sz w:val="24"/>
          <w:szCs w:val="24"/>
          <w:spacing w:val="-3"/>
        </w:rPr>
        <w:t>态系统中各类动物、植物种类和组成并不会由于面积的变化而变</w:t>
      </w:r>
      <w:r>
        <w:rPr>
          <w:rFonts w:ascii="FangSong" w:hAnsi="FangSong" w:eastAsia="FangSong" w:cs="FangSong"/>
          <w:sz w:val="24"/>
          <w:szCs w:val="24"/>
          <w:spacing w:val="-4"/>
        </w:rPr>
        <w:t>化，评价区分布</w:t>
      </w:r>
      <w:r>
        <w:rPr>
          <w:rFonts w:ascii="FangSong" w:hAnsi="FangSong" w:eastAsia="FangSong" w:cs="FangSong"/>
          <w:sz w:val="24"/>
          <w:szCs w:val="24"/>
          <w:spacing w:val="-3"/>
        </w:rPr>
        <w:t>的植物种类属于广布种，在评价区周围均有分布；动物种类也会</w:t>
      </w:r>
      <w:r>
        <w:rPr>
          <w:rFonts w:ascii="FangSong" w:hAnsi="FangSong" w:eastAsia="FangSong" w:cs="FangSong"/>
          <w:sz w:val="24"/>
          <w:szCs w:val="24"/>
          <w:spacing w:val="-4"/>
        </w:rPr>
        <w:t>随着工程的建设</w:t>
      </w:r>
      <w:r>
        <w:rPr>
          <w:rFonts w:ascii="FangSong" w:hAnsi="FangSong" w:eastAsia="FangSong" w:cs="FangSong"/>
          <w:sz w:val="24"/>
          <w:szCs w:val="24"/>
          <w:spacing w:val="-3"/>
        </w:rPr>
        <w:t>自行迁移到周边合适地点进行活动，因而对生态系统动植物的种</w:t>
      </w:r>
      <w:r>
        <w:rPr>
          <w:rFonts w:ascii="FangSong" w:hAnsi="FangSong" w:eastAsia="FangSong" w:cs="FangSong"/>
          <w:sz w:val="24"/>
          <w:szCs w:val="24"/>
          <w:spacing w:val="-4"/>
        </w:rPr>
        <w:t>类和组成关系不</w:t>
      </w:r>
      <w:r>
        <w:rPr>
          <w:rFonts w:ascii="FangSong" w:hAnsi="FangSong" w:eastAsia="FangSong" w:cs="FangSong"/>
          <w:sz w:val="24"/>
          <w:szCs w:val="24"/>
          <w:spacing w:val="-3"/>
        </w:rPr>
        <w:t>会有较大影响。</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）时空结构</w:t>
      </w:r>
    </w:p>
    <w:p>
      <w:pPr>
        <w:ind w:left="36" w:firstLine="490"/>
        <w:spacing w:before="178" w:line="360" w:lineRule="auto"/>
        <w:rPr>
          <w:rFonts w:ascii="FangSong" w:hAnsi="FangSong" w:eastAsia="FangSong" w:cs="FangSong"/>
          <w:sz w:val="24"/>
          <w:szCs w:val="24"/>
        </w:rPr>
      </w:pPr>
      <w:r>
        <w:rPr>
          <w:rFonts w:ascii="FangSong" w:hAnsi="FangSong" w:eastAsia="FangSong" w:cs="FangSong"/>
          <w:sz w:val="24"/>
          <w:szCs w:val="24"/>
          <w:spacing w:val="-2"/>
        </w:rPr>
        <w:t>时空结构包括水平分布上的镶嵌性和时间上的发</w:t>
      </w:r>
      <w:r>
        <w:rPr>
          <w:rFonts w:ascii="FangSong" w:hAnsi="FangSong" w:eastAsia="FangSong" w:cs="FangSong"/>
          <w:sz w:val="24"/>
          <w:szCs w:val="24"/>
          <w:spacing w:val="-3"/>
        </w:rPr>
        <w:t>展演替特征，即水平结构、</w:t>
      </w:r>
      <w:r>
        <w:rPr>
          <w:rFonts w:ascii="FangSong" w:hAnsi="FangSong" w:eastAsia="FangSong" w:cs="FangSong"/>
          <w:sz w:val="24"/>
          <w:szCs w:val="24"/>
          <w:spacing w:val="-3"/>
        </w:rPr>
        <w:t>垂直结构和群落演替。</w:t>
      </w:r>
    </w:p>
    <w:p>
      <w:pPr>
        <w:ind w:left="29" w:right="11"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3"/>
        </w:rPr>
        <w:t>水平结构：生态系统的水平结构是指在一定生态区</w:t>
      </w:r>
      <w:r>
        <w:rPr>
          <w:rFonts w:ascii="FangSong" w:hAnsi="FangSong" w:eastAsia="FangSong" w:cs="FangSong"/>
          <w:sz w:val="24"/>
          <w:szCs w:val="24"/>
          <w:spacing w:val="-4"/>
        </w:rPr>
        <w:t>域内生物类群在水平空间</w:t>
      </w:r>
      <w:r>
        <w:rPr>
          <w:rFonts w:ascii="FangSong" w:hAnsi="FangSong" w:eastAsia="FangSong" w:cs="FangSong"/>
          <w:sz w:val="24"/>
          <w:szCs w:val="24"/>
          <w:spacing w:val="-3"/>
        </w:rPr>
        <w:t>上的组合与分布，主要受地形、水文、土壤、气候等环境因子的影响</w:t>
      </w:r>
      <w:r>
        <w:rPr>
          <w:rFonts w:ascii="FangSong" w:hAnsi="FangSong" w:eastAsia="FangSong" w:cs="FangSong"/>
          <w:sz w:val="24"/>
          <w:szCs w:val="24"/>
          <w:spacing w:val="-4"/>
        </w:rPr>
        <w:t>。评价区内</w:t>
      </w:r>
      <w:r>
        <w:rPr>
          <w:rFonts w:ascii="FangSong" w:hAnsi="FangSong" w:eastAsia="FangSong" w:cs="FangSong"/>
          <w:sz w:val="24"/>
          <w:szCs w:val="24"/>
          <w:spacing w:val="-3"/>
        </w:rPr>
        <w:t>植被水平分布的镶嵌性来源于气候差异的影响。本工程位于所在区域</w:t>
      </w:r>
      <w:r>
        <w:rPr>
          <w:rFonts w:ascii="FangSong" w:hAnsi="FangSong" w:eastAsia="FangSong" w:cs="FangSong"/>
          <w:sz w:val="24"/>
          <w:szCs w:val="24"/>
          <w:spacing w:val="-4"/>
        </w:rPr>
        <w:t>自然植被群</w:t>
      </w:r>
      <w:r>
        <w:rPr>
          <w:rFonts w:ascii="FangSong" w:hAnsi="FangSong" w:eastAsia="FangSong" w:cs="FangSong"/>
          <w:sz w:val="24"/>
          <w:szCs w:val="24"/>
          <w:spacing w:val="-2"/>
        </w:rPr>
        <w:t>落相对简单，以天然牧草地为主，草本层有克氏针茅、芨芨草等。工程建设后，</w:t>
      </w:r>
      <w:r>
        <w:rPr>
          <w:rFonts w:ascii="FangSong" w:hAnsi="FangSong" w:eastAsia="FangSong" w:cs="FangSong"/>
          <w:sz w:val="24"/>
          <w:szCs w:val="24"/>
          <w:spacing w:val="-3"/>
        </w:rPr>
        <w:t>工程区分布的草地的斑块面积有少量减少，使评价区生态系统各个植</w:t>
      </w:r>
      <w:r>
        <w:rPr>
          <w:rFonts w:ascii="FangSong" w:hAnsi="FangSong" w:eastAsia="FangSong" w:cs="FangSong"/>
          <w:sz w:val="24"/>
          <w:szCs w:val="24"/>
          <w:spacing w:val="-4"/>
        </w:rPr>
        <w:t>被类型的镶</w:t>
      </w:r>
      <w:r>
        <w:rPr>
          <w:rFonts w:ascii="FangSong" w:hAnsi="FangSong" w:eastAsia="FangSong" w:cs="FangSong"/>
          <w:sz w:val="24"/>
          <w:szCs w:val="24"/>
          <w:spacing w:val="-2"/>
        </w:rPr>
        <w:t>嵌结构发生较小改变。</w:t>
      </w:r>
    </w:p>
    <w:p>
      <w:pPr>
        <w:ind w:left="43" w:right="50" w:firstLine="466"/>
        <w:spacing w:before="2" w:line="359" w:lineRule="auto"/>
        <w:jc w:val="both"/>
        <w:rPr>
          <w:rFonts w:ascii="FangSong" w:hAnsi="FangSong" w:eastAsia="FangSong" w:cs="FangSong"/>
          <w:sz w:val="24"/>
          <w:szCs w:val="24"/>
        </w:rPr>
      </w:pPr>
      <w:r>
        <w:rPr>
          <w:rFonts w:ascii="FangSong" w:hAnsi="FangSong" w:eastAsia="FangSong" w:cs="FangSong"/>
          <w:sz w:val="24"/>
          <w:szCs w:val="24"/>
          <w:spacing w:val="-3"/>
        </w:rPr>
        <w:t>群落演替：生态系统的时间分布格局表现为生态系</w:t>
      </w:r>
      <w:r>
        <w:rPr>
          <w:rFonts w:ascii="FangSong" w:hAnsi="FangSong" w:eastAsia="FangSong" w:cs="FangSong"/>
          <w:sz w:val="24"/>
          <w:szCs w:val="24"/>
          <w:spacing w:val="-4"/>
        </w:rPr>
        <w:t>统的演替。工程建设影响</w:t>
      </w:r>
      <w:r>
        <w:rPr>
          <w:rFonts w:ascii="FangSong" w:hAnsi="FangSong" w:eastAsia="FangSong" w:cs="FangSong"/>
          <w:sz w:val="24"/>
          <w:szCs w:val="24"/>
          <w:spacing w:val="-4"/>
        </w:rPr>
        <w:t>的范围相对评价区整个面积较小，影响到的植被类型在评价区内及周边区域较为</w:t>
      </w:r>
      <w:r>
        <w:rPr>
          <w:rFonts w:ascii="FangSong" w:hAnsi="FangSong" w:eastAsia="FangSong" w:cs="FangSong"/>
          <w:sz w:val="24"/>
          <w:szCs w:val="24"/>
          <w:spacing w:val="-1"/>
        </w:rPr>
        <w:t>常见，对评价区生态系统在时间尺度的演替产生的影</w:t>
      </w:r>
      <w:r>
        <w:rPr>
          <w:rFonts w:ascii="FangSong" w:hAnsi="FangSong" w:eastAsia="FangSong" w:cs="FangSong"/>
          <w:sz w:val="24"/>
          <w:szCs w:val="24"/>
          <w:spacing w:val="-2"/>
        </w:rPr>
        <w:t>响较小。</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）营养结构</w:t>
      </w:r>
    </w:p>
    <w:p>
      <w:pPr>
        <w:ind w:left="27" w:right="11" w:firstLine="489"/>
        <w:spacing w:before="181" w:line="360" w:lineRule="auto"/>
        <w:rPr>
          <w:rFonts w:ascii="FangSong" w:hAnsi="FangSong" w:eastAsia="FangSong" w:cs="FangSong"/>
          <w:sz w:val="24"/>
          <w:szCs w:val="24"/>
        </w:rPr>
      </w:pPr>
      <w:r>
        <w:rPr>
          <w:rFonts w:ascii="FangSong" w:hAnsi="FangSong" w:eastAsia="FangSong" w:cs="FangSong"/>
          <w:sz w:val="24"/>
          <w:szCs w:val="24"/>
          <w:spacing w:val="-4"/>
        </w:rPr>
        <w:t>营养结构是指生态系统中生物与生物之间，生产者、消费者和分解者之间以</w:t>
      </w:r>
      <w:r>
        <w:rPr>
          <w:rFonts w:ascii="FangSong" w:hAnsi="FangSong" w:eastAsia="FangSong" w:cs="FangSong"/>
          <w:sz w:val="24"/>
          <w:szCs w:val="24"/>
          <w:spacing w:val="-2"/>
        </w:rPr>
        <w:t>食物营养为纽带所形成的食物链和食物网。生产者是生态系统营养结构的基础，</w:t>
      </w:r>
      <w:r>
        <w:rPr>
          <w:rFonts w:ascii="FangSong" w:hAnsi="FangSong" w:eastAsia="FangSong" w:cs="FangSong"/>
          <w:sz w:val="24"/>
          <w:szCs w:val="24"/>
          <w:spacing w:val="-3"/>
        </w:rPr>
        <w:t>也是本工程建设的直接影响对象。评价区内的生产者包括草本植物等能进</w:t>
      </w:r>
      <w:r>
        <w:rPr>
          <w:rFonts w:ascii="FangSong" w:hAnsi="FangSong" w:eastAsia="FangSong" w:cs="FangSong"/>
          <w:sz w:val="24"/>
          <w:szCs w:val="24"/>
          <w:spacing w:val="-4"/>
        </w:rPr>
        <w:t>行光合</w:t>
      </w:r>
      <w:r>
        <w:rPr>
          <w:rFonts w:ascii="FangSong" w:hAnsi="FangSong" w:eastAsia="FangSong" w:cs="FangSong"/>
          <w:sz w:val="24"/>
          <w:szCs w:val="24"/>
          <w:spacing w:val="-3"/>
        </w:rPr>
        <w:t>作用的生物类群，消费者为栖息于植物群落中的人类和动物等，工程建设</w:t>
      </w:r>
      <w:r>
        <w:rPr>
          <w:rFonts w:ascii="FangSong" w:hAnsi="FangSong" w:eastAsia="FangSong" w:cs="FangSong"/>
          <w:sz w:val="24"/>
          <w:szCs w:val="24"/>
          <w:spacing w:val="-4"/>
        </w:rPr>
        <w:t>占用了</w:t>
      </w:r>
      <w:r>
        <w:rPr>
          <w:rFonts w:ascii="FangSong" w:hAnsi="FangSong" w:eastAsia="FangSong" w:cs="FangSong"/>
          <w:sz w:val="24"/>
          <w:szCs w:val="24"/>
          <w:spacing w:val="-3"/>
        </w:rPr>
        <w:t>部分陆生植物和动物的生境，但随着运营期采取相应的生态环境保护措施</w:t>
      </w:r>
      <w:r>
        <w:rPr>
          <w:rFonts w:ascii="FangSong" w:hAnsi="FangSong" w:eastAsia="FangSong" w:cs="FangSong"/>
          <w:sz w:val="24"/>
          <w:szCs w:val="24"/>
          <w:spacing w:val="-4"/>
        </w:rPr>
        <w:t>，能够</w:t>
      </w:r>
      <w:r>
        <w:rPr>
          <w:rFonts w:ascii="FangSong" w:hAnsi="FangSong" w:eastAsia="FangSong" w:cs="FangSong"/>
          <w:sz w:val="24"/>
          <w:szCs w:val="24"/>
          <w:spacing w:val="-3"/>
        </w:rPr>
        <w:t>有效缓解对其生态系统的影响，且本项目经过采取相应的环境保护措施使</w:t>
      </w:r>
      <w:r>
        <w:rPr>
          <w:rFonts w:ascii="FangSong" w:hAnsi="FangSong" w:eastAsia="FangSong" w:cs="FangSong"/>
          <w:sz w:val="24"/>
          <w:szCs w:val="24"/>
          <w:spacing w:val="-4"/>
        </w:rPr>
        <w:t>得污染</w:t>
      </w:r>
      <w:r>
        <w:rPr>
          <w:rFonts w:ascii="FangSong" w:hAnsi="FangSong" w:eastAsia="FangSong" w:cs="FangSong"/>
          <w:sz w:val="24"/>
          <w:szCs w:val="24"/>
          <w:spacing w:val="-1"/>
        </w:rPr>
        <w:t>物均能达标排放，不会对评价区内生态系统的营养结构造成较大影响。</w:t>
      </w:r>
    </w:p>
    <w:p>
      <w:pPr>
        <w:spacing w:line="360" w:lineRule="auto"/>
        <w:sectPr>
          <w:footerReference w:type="default" r:id="rId327"/>
          <w:pgSz w:w="11906" w:h="16839"/>
          <w:pgMar w:top="400" w:right="1749"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16"/>
        <w:spacing w:before="79"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6.2.6.6  </w:t>
      </w:r>
      <w:r>
        <w:rPr>
          <w:rFonts w:ascii="FangSong" w:hAnsi="FangSong" w:eastAsia="FangSong" w:cs="FangSong"/>
          <w:sz w:val="24"/>
          <w:szCs w:val="24"/>
          <w:b/>
          <w:bCs/>
          <w:spacing w:val="-2"/>
        </w:rPr>
        <w:t>对生物多样性的影响分析</w:t>
      </w:r>
    </w:p>
    <w:p>
      <w:pPr>
        <w:ind w:left="124" w:right="120" w:firstLine="493"/>
        <w:spacing w:before="181" w:line="360" w:lineRule="auto"/>
        <w:jc w:val="both"/>
        <w:rPr>
          <w:rFonts w:ascii="FangSong" w:hAnsi="FangSong" w:eastAsia="FangSong" w:cs="FangSong"/>
          <w:sz w:val="24"/>
          <w:szCs w:val="24"/>
        </w:rPr>
      </w:pPr>
      <w:r>
        <w:rPr>
          <w:rFonts w:ascii="FangSong" w:hAnsi="FangSong" w:eastAsia="FangSong" w:cs="FangSong"/>
          <w:sz w:val="24"/>
          <w:szCs w:val="24"/>
          <w:spacing w:val="-4"/>
        </w:rPr>
        <w:t>生物多样性，是指所有有来源的活的生物体中的变异性。生物物种构成了生</w:t>
      </w:r>
      <w:r>
        <w:rPr>
          <w:rFonts w:ascii="FangSong" w:hAnsi="FangSong" w:eastAsia="FangSong" w:cs="FangSong"/>
          <w:sz w:val="24"/>
          <w:szCs w:val="24"/>
          <w:spacing w:val="-3"/>
        </w:rPr>
        <w:t>物多样性的基本单元，是生物多样性物种水平上的表现形式，是</w:t>
      </w:r>
      <w:r>
        <w:rPr>
          <w:rFonts w:ascii="FangSong" w:hAnsi="FangSong" w:eastAsia="FangSong" w:cs="FangSong"/>
          <w:sz w:val="24"/>
          <w:szCs w:val="24"/>
          <w:spacing w:val="-4"/>
        </w:rPr>
        <w:t>指一定区域内物</w:t>
      </w:r>
      <w:r>
        <w:rPr>
          <w:rFonts w:ascii="FangSong" w:hAnsi="FangSong" w:eastAsia="FangSong" w:cs="FangSong"/>
          <w:sz w:val="24"/>
          <w:szCs w:val="24"/>
          <w:spacing w:val="-3"/>
        </w:rPr>
        <w:t>种的总和，即群落多样性。由于物种的形成和灭绝都是自然选择</w:t>
      </w:r>
      <w:r>
        <w:rPr>
          <w:rFonts w:ascii="FangSong" w:hAnsi="FangSong" w:eastAsia="FangSong" w:cs="FangSong"/>
          <w:sz w:val="24"/>
          <w:szCs w:val="24"/>
          <w:spacing w:val="-4"/>
        </w:rPr>
        <w:t>的过程，它体现</w:t>
      </w:r>
      <w:r>
        <w:rPr>
          <w:rFonts w:ascii="FangSong" w:hAnsi="FangSong" w:eastAsia="FangSong" w:cs="FangSong"/>
          <w:sz w:val="24"/>
          <w:szCs w:val="24"/>
          <w:spacing w:val="-3"/>
        </w:rPr>
        <w:t>了种群遗传成分与环境不断相适应的过程。当环境与之不相适应</w:t>
      </w:r>
      <w:r>
        <w:rPr>
          <w:rFonts w:ascii="FangSong" w:hAnsi="FangSong" w:eastAsia="FangSong" w:cs="FangSong"/>
          <w:sz w:val="24"/>
          <w:szCs w:val="24"/>
          <w:spacing w:val="-4"/>
        </w:rPr>
        <w:t>时，一个种群就</w:t>
      </w:r>
      <w:r>
        <w:rPr>
          <w:rFonts w:ascii="FangSong" w:hAnsi="FangSong" w:eastAsia="FangSong" w:cs="FangSong"/>
          <w:sz w:val="24"/>
          <w:szCs w:val="24"/>
          <w:spacing w:val="-8"/>
        </w:rPr>
        <w:t>要不断发展的与之相适应或者迁移到更有利的环境中，否则必将逐渐灭绝，因此，</w:t>
      </w:r>
      <w:r>
        <w:rPr>
          <w:rFonts w:ascii="FangSong" w:hAnsi="FangSong" w:eastAsia="FangSong" w:cs="FangSong"/>
          <w:sz w:val="24"/>
          <w:szCs w:val="24"/>
          <w:spacing w:val="-3"/>
        </w:rPr>
        <w:t>突发的环境变化是引起物种灭绝的主要原因之一。由于征占用草</w:t>
      </w:r>
      <w:r>
        <w:rPr>
          <w:rFonts w:ascii="FangSong" w:hAnsi="FangSong" w:eastAsia="FangSong" w:cs="FangSong"/>
          <w:sz w:val="24"/>
          <w:szCs w:val="24"/>
          <w:spacing w:val="-4"/>
        </w:rPr>
        <w:t>地导致了物种生</w:t>
      </w:r>
      <w:r>
        <w:rPr>
          <w:rFonts w:ascii="FangSong" w:hAnsi="FangSong" w:eastAsia="FangSong" w:cs="FangSong"/>
          <w:sz w:val="24"/>
          <w:szCs w:val="24"/>
          <w:spacing w:val="-3"/>
        </w:rPr>
        <w:t>存环境的突然变化，造成了生物主要栖息地的丧失和破坏，因此</w:t>
      </w:r>
      <w:r>
        <w:rPr>
          <w:rFonts w:ascii="FangSong" w:hAnsi="FangSong" w:eastAsia="FangSong" w:cs="FangSong"/>
          <w:sz w:val="24"/>
          <w:szCs w:val="24"/>
          <w:spacing w:val="-4"/>
        </w:rPr>
        <w:t>说，征占用草地</w:t>
      </w:r>
      <w:r>
        <w:rPr>
          <w:rFonts w:ascii="FangSong" w:hAnsi="FangSong" w:eastAsia="FangSong" w:cs="FangSong"/>
          <w:sz w:val="24"/>
          <w:szCs w:val="24"/>
          <w:spacing w:val="-1"/>
        </w:rPr>
        <w:t>必将给生物多样性带来一定的负面影响。</w:t>
      </w:r>
    </w:p>
    <w:p>
      <w:pPr>
        <w:ind w:left="123"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3"/>
        </w:rPr>
        <w:t>该工程征占用草地虽可引起小尺度的局部生境的</w:t>
      </w:r>
      <w:r>
        <w:rPr>
          <w:rFonts w:ascii="FangSong" w:hAnsi="FangSong" w:eastAsia="FangSong" w:cs="FangSong"/>
          <w:sz w:val="24"/>
          <w:szCs w:val="24"/>
          <w:spacing w:val="-4"/>
        </w:rPr>
        <w:t>差异，但这种小尺度的生境</w:t>
      </w:r>
      <w:r>
        <w:rPr>
          <w:rFonts w:ascii="FangSong" w:hAnsi="FangSong" w:eastAsia="FangSong" w:cs="FangSong"/>
          <w:sz w:val="24"/>
          <w:szCs w:val="24"/>
          <w:spacing w:val="-5"/>
        </w:rPr>
        <w:t>差异在自然界中也较为普遍存在，加之物种分布的不均性和生存空间的点间差异，</w:t>
      </w:r>
      <w:r>
        <w:rPr>
          <w:rFonts w:ascii="FangSong" w:hAnsi="FangSong" w:eastAsia="FangSong" w:cs="FangSong"/>
          <w:sz w:val="24"/>
          <w:szCs w:val="24"/>
          <w:spacing w:val="-3"/>
        </w:rPr>
        <w:t>不会对该区生物多样性造成威胁或较大幅度减少。但在矿山开采过程</w:t>
      </w:r>
      <w:r>
        <w:rPr>
          <w:rFonts w:ascii="FangSong" w:hAnsi="FangSong" w:eastAsia="FangSong" w:cs="FangSong"/>
          <w:sz w:val="24"/>
          <w:szCs w:val="24"/>
          <w:spacing w:val="-4"/>
        </w:rPr>
        <w:t>中，因噪音</w:t>
      </w:r>
      <w:r>
        <w:rPr>
          <w:rFonts w:ascii="FangSong" w:hAnsi="FangSong" w:eastAsia="FangSong" w:cs="FangSong"/>
          <w:sz w:val="24"/>
          <w:szCs w:val="24"/>
          <w:spacing w:val="-3"/>
        </w:rPr>
        <w:t>及人为活动的影响等均会对物种生境带来间接的影响，可能迫使导致</w:t>
      </w:r>
      <w:r>
        <w:rPr>
          <w:rFonts w:ascii="FangSong" w:hAnsi="FangSong" w:eastAsia="FangSong" w:cs="FangSong"/>
          <w:sz w:val="24"/>
          <w:szCs w:val="24"/>
          <w:spacing w:val="-4"/>
        </w:rPr>
        <w:t>部分动物的</w:t>
      </w:r>
      <w:r>
        <w:rPr>
          <w:rFonts w:ascii="FangSong" w:hAnsi="FangSong" w:eastAsia="FangSong" w:cs="FangSong"/>
          <w:sz w:val="24"/>
          <w:szCs w:val="24"/>
          <w:spacing w:val="-3"/>
        </w:rPr>
        <w:t>栖息环境发生改变，影响开采区内的生物多样性，在矿区近距离内动</w:t>
      </w:r>
      <w:r>
        <w:rPr>
          <w:rFonts w:ascii="FangSong" w:hAnsi="FangSong" w:eastAsia="FangSong" w:cs="FangSong"/>
          <w:sz w:val="24"/>
          <w:szCs w:val="24"/>
          <w:spacing w:val="-4"/>
        </w:rPr>
        <w:t>物资源将明</w:t>
      </w:r>
      <w:r>
        <w:rPr>
          <w:rFonts w:ascii="FangSong" w:hAnsi="FangSong" w:eastAsia="FangSong" w:cs="FangSong"/>
          <w:sz w:val="24"/>
          <w:szCs w:val="24"/>
          <w:spacing w:val="-1"/>
        </w:rPr>
        <w:t>显减少，但在大区域环境上，不会发生明显改变。</w:t>
      </w:r>
    </w:p>
    <w:p>
      <w:pPr>
        <w:ind w:left="116"/>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6.2.6.9  </w:t>
      </w:r>
      <w:r>
        <w:rPr>
          <w:rFonts w:ascii="FangSong" w:hAnsi="FangSong" w:eastAsia="FangSong" w:cs="FangSong"/>
          <w:sz w:val="24"/>
          <w:szCs w:val="24"/>
          <w:b/>
          <w:bCs/>
          <w:spacing w:val="-2"/>
        </w:rPr>
        <w:t>土地利用结构影响分析</w:t>
      </w:r>
    </w:p>
    <w:p>
      <w:pPr>
        <w:ind w:left="124" w:right="185" w:firstLine="484"/>
        <w:spacing w:before="179" w:line="360" w:lineRule="auto"/>
        <w:rPr>
          <w:rFonts w:ascii="FangSong" w:hAnsi="FangSong" w:eastAsia="FangSong" w:cs="FangSong"/>
          <w:sz w:val="24"/>
          <w:szCs w:val="24"/>
        </w:rPr>
      </w:pPr>
      <w:r>
        <w:rPr>
          <w:rFonts w:ascii="FangSong" w:hAnsi="FangSong" w:eastAsia="FangSong" w:cs="FangSong"/>
          <w:sz w:val="24"/>
          <w:szCs w:val="24"/>
          <w:spacing w:val="-4"/>
        </w:rPr>
        <w:t>工程建设后，评价区内土地利用格局发生变化，评价区内林草地等地类面积</w:t>
      </w:r>
      <w:r>
        <w:rPr>
          <w:rFonts w:ascii="FangSong" w:hAnsi="FangSong" w:eastAsia="FangSong" w:cs="FangSong"/>
          <w:sz w:val="24"/>
          <w:szCs w:val="24"/>
          <w:spacing w:val="-1"/>
        </w:rPr>
        <w:t>将减少，工程建设前后土地利用类型变化详见表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6.2-16</w:t>
      </w:r>
      <w:r>
        <w:rPr>
          <w:rFonts w:ascii="FangSong" w:hAnsi="FangSong" w:eastAsia="FangSong" w:cs="FangSong"/>
          <w:sz w:val="24"/>
          <w:szCs w:val="24"/>
          <w:spacing w:val="-1"/>
        </w:rPr>
        <w:t>。</w:t>
      </w:r>
    </w:p>
    <w:p>
      <w:pPr>
        <w:ind w:left="1107"/>
        <w:spacing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spacing w:val="-2"/>
        </w:rPr>
        <w:t>6.2-16  </w:t>
      </w:r>
      <w:r>
        <w:rPr>
          <w:rFonts w:ascii="FangSong" w:hAnsi="FangSong" w:eastAsia="FangSong" w:cs="FangSong"/>
          <w:sz w:val="24"/>
          <w:szCs w:val="24"/>
          <w:b/>
          <w:bCs/>
          <w:spacing w:val="-2"/>
        </w:rPr>
        <w:t>本项目建设后调查范围内土地利用类</w:t>
      </w:r>
      <w:r>
        <w:rPr>
          <w:rFonts w:ascii="FangSong" w:hAnsi="FangSong" w:eastAsia="FangSong" w:cs="FangSong"/>
          <w:sz w:val="24"/>
          <w:szCs w:val="24"/>
          <w:b/>
          <w:bCs/>
          <w:spacing w:val="-3"/>
        </w:rPr>
        <w:t>型变化预测表</w:t>
      </w:r>
    </w:p>
    <w:p>
      <w:pPr>
        <w:spacing w:line="65"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6"/>
        <w:gridCol w:w="1288"/>
        <w:gridCol w:w="1024"/>
        <w:gridCol w:w="983"/>
        <w:gridCol w:w="1066"/>
        <w:gridCol w:w="965"/>
        <w:gridCol w:w="944"/>
        <w:gridCol w:w="981"/>
        <w:gridCol w:w="851"/>
      </w:tblGrid>
      <w:tr>
        <w:trPr>
          <w:trHeight w:val="319" w:hRule="atLeast"/>
        </w:trPr>
        <w:tc>
          <w:tcPr>
            <w:tcW w:w="416" w:type="dxa"/>
            <w:vAlign w:val="top"/>
            <w:vMerge w:val="restart"/>
            <w:textDirection w:val="tbRlV"/>
            <w:tcBorders>
              <w:left w:val="nil"/>
              <w:top w:val="single" w:color="000000" w:sz="10" w:space="0"/>
              <w:bottom w:val="nil"/>
            </w:tcBorders>
          </w:tcPr>
          <w:p>
            <w:pPr>
              <w:pStyle w:val="TableText"/>
              <w:ind w:left="222"/>
              <w:spacing w:before="105" w:line="210" w:lineRule="auto"/>
              <w:rPr>
                <w:sz w:val="19"/>
                <w:szCs w:val="19"/>
              </w:rPr>
            </w:pPr>
            <w:r>
              <w:rPr>
                <w:sz w:val="19"/>
                <w:szCs w:val="19"/>
                <w:spacing w:val="13"/>
              </w:rPr>
              <w:t>序</w:t>
            </w:r>
            <w:r>
              <w:rPr>
                <w:sz w:val="19"/>
                <w:szCs w:val="19"/>
                <w:spacing w:val="13"/>
              </w:rPr>
              <w:t xml:space="preserve"> </w:t>
            </w:r>
            <w:r>
              <w:rPr>
                <w:sz w:val="19"/>
                <w:szCs w:val="19"/>
                <w:spacing w:val="13"/>
              </w:rPr>
              <w:t>号</w:t>
            </w:r>
          </w:p>
        </w:tc>
        <w:tc>
          <w:tcPr>
            <w:tcW w:w="1288" w:type="dxa"/>
            <w:vAlign w:val="top"/>
            <w:vMerge w:val="restart"/>
            <w:tcBorders>
              <w:top w:val="single" w:color="000000" w:sz="10" w:space="0"/>
              <w:bottom w:val="nil"/>
            </w:tcBorders>
          </w:tcPr>
          <w:p>
            <w:pPr>
              <w:pStyle w:val="TableText"/>
              <w:ind w:left="456" w:right="242" w:hanging="199"/>
              <w:spacing w:before="223" w:line="304" w:lineRule="auto"/>
              <w:rPr>
                <w:sz w:val="19"/>
                <w:szCs w:val="19"/>
              </w:rPr>
            </w:pPr>
            <w:r>
              <w:rPr>
                <w:sz w:val="19"/>
                <w:szCs w:val="19"/>
                <w:spacing w:val="5"/>
              </w:rPr>
              <w:t>土地利用</w:t>
            </w:r>
            <w:r>
              <w:rPr>
                <w:sz w:val="19"/>
                <w:szCs w:val="19"/>
                <w:spacing w:val="1"/>
              </w:rPr>
              <w:t>类型</w:t>
            </w:r>
          </w:p>
        </w:tc>
        <w:tc>
          <w:tcPr>
            <w:tcW w:w="2007" w:type="dxa"/>
            <w:vAlign w:val="top"/>
            <w:gridSpan w:val="2"/>
            <w:tcBorders>
              <w:top w:val="single" w:color="000000" w:sz="10" w:space="0"/>
            </w:tcBorders>
          </w:tcPr>
          <w:p>
            <w:pPr>
              <w:pStyle w:val="TableText"/>
              <w:ind w:left="814"/>
              <w:spacing w:before="62" w:line="233" w:lineRule="auto"/>
              <w:rPr>
                <w:sz w:val="19"/>
                <w:szCs w:val="19"/>
              </w:rPr>
            </w:pPr>
            <w:r>
              <w:rPr>
                <w:sz w:val="19"/>
                <w:szCs w:val="19"/>
                <w:spacing w:val="2"/>
              </w:rPr>
              <w:t>现状</w:t>
            </w:r>
          </w:p>
        </w:tc>
        <w:tc>
          <w:tcPr>
            <w:tcW w:w="2031" w:type="dxa"/>
            <w:vAlign w:val="top"/>
            <w:gridSpan w:val="2"/>
            <w:tcBorders>
              <w:top w:val="single" w:color="000000" w:sz="10" w:space="0"/>
            </w:tcBorders>
          </w:tcPr>
          <w:p>
            <w:pPr>
              <w:pStyle w:val="TableText"/>
              <w:ind w:left="725"/>
              <w:spacing w:before="61" w:line="232" w:lineRule="auto"/>
              <w:rPr>
                <w:sz w:val="19"/>
                <w:szCs w:val="19"/>
              </w:rPr>
            </w:pPr>
            <w:r>
              <w:rPr>
                <w:sz w:val="19"/>
                <w:szCs w:val="19"/>
                <w:spacing w:val="5"/>
              </w:rPr>
              <w:t>建设后</w:t>
            </w:r>
          </w:p>
        </w:tc>
        <w:tc>
          <w:tcPr>
            <w:tcW w:w="944" w:type="dxa"/>
            <w:vAlign w:val="top"/>
            <w:vMerge w:val="restart"/>
            <w:tcBorders>
              <w:top w:val="single" w:color="000000" w:sz="10" w:space="0"/>
              <w:bottom w:val="nil"/>
            </w:tcBorders>
          </w:tcPr>
          <w:p>
            <w:pPr>
              <w:pStyle w:val="TableText"/>
              <w:ind w:left="382" w:right="170" w:hanging="194"/>
              <w:spacing w:before="222" w:line="304" w:lineRule="auto"/>
              <w:rPr>
                <w:sz w:val="19"/>
                <w:szCs w:val="19"/>
              </w:rPr>
            </w:pPr>
            <w:r>
              <w:rPr>
                <w:sz w:val="19"/>
                <w:szCs w:val="19"/>
                <w:spacing w:val="3"/>
              </w:rPr>
              <w:t>变化面</w:t>
            </w:r>
            <w:r>
              <w:rPr>
                <w:sz w:val="19"/>
                <w:szCs w:val="19"/>
              </w:rPr>
              <w:t>积</w:t>
            </w:r>
          </w:p>
        </w:tc>
        <w:tc>
          <w:tcPr>
            <w:tcW w:w="1832" w:type="dxa"/>
            <w:vAlign w:val="top"/>
            <w:gridSpan w:val="2"/>
            <w:tcBorders>
              <w:right w:val="nil"/>
              <w:top w:val="single" w:color="000000" w:sz="10" w:space="0"/>
            </w:tcBorders>
          </w:tcPr>
          <w:p>
            <w:pPr>
              <w:pStyle w:val="TableText"/>
              <w:ind w:left="331"/>
              <w:spacing w:before="62" w:line="231" w:lineRule="auto"/>
              <w:rPr>
                <w:sz w:val="19"/>
                <w:szCs w:val="19"/>
              </w:rPr>
            </w:pPr>
            <w:r>
              <w:rPr>
                <w:sz w:val="19"/>
                <w:szCs w:val="19"/>
                <w:spacing w:val="7"/>
              </w:rPr>
              <w:t>面积比例顺序</w:t>
            </w:r>
          </w:p>
        </w:tc>
      </w:tr>
      <w:tr>
        <w:trPr>
          <w:trHeight w:val="625" w:hRule="atLeast"/>
        </w:trPr>
        <w:tc>
          <w:tcPr>
            <w:tcW w:w="416" w:type="dxa"/>
            <w:vAlign w:val="top"/>
            <w:vMerge w:val="continue"/>
            <w:textDirection w:val="tbRlV"/>
            <w:tcBorders>
              <w:left w:val="nil"/>
              <w:top w:val="nil"/>
            </w:tcBorders>
          </w:tcPr>
          <w:p>
            <w:pPr>
              <w:rPr>
                <w:rFonts w:ascii="Arial"/>
                <w:sz w:val="21"/>
              </w:rPr>
            </w:pPr>
            <w:r/>
          </w:p>
        </w:tc>
        <w:tc>
          <w:tcPr>
            <w:tcW w:w="1288" w:type="dxa"/>
            <w:vAlign w:val="top"/>
            <w:vMerge w:val="continue"/>
            <w:tcBorders>
              <w:top w:val="nil"/>
            </w:tcBorders>
          </w:tcPr>
          <w:p>
            <w:pPr>
              <w:rPr>
                <w:rFonts w:ascii="Arial"/>
                <w:sz w:val="21"/>
              </w:rPr>
            </w:pPr>
            <w:r/>
          </w:p>
        </w:tc>
        <w:tc>
          <w:tcPr>
            <w:tcW w:w="1024" w:type="dxa"/>
            <w:vAlign w:val="top"/>
          </w:tcPr>
          <w:p>
            <w:pPr>
              <w:pStyle w:val="TableText"/>
              <w:ind w:left="166" w:right="168" w:firstLine="160"/>
              <w:spacing w:before="59" w:line="270" w:lineRule="auto"/>
              <w:rPr>
                <w:sz w:val="19"/>
                <w:szCs w:val="19"/>
              </w:rPr>
            </w:pPr>
            <w:r>
              <w:rPr>
                <w:sz w:val="19"/>
                <w:szCs w:val="19"/>
              </w:rPr>
              <w:t>面积</w:t>
            </w:r>
            <w:r>
              <w:rPr>
                <w:sz w:val="19"/>
                <w:szCs w:val="19"/>
              </w:rPr>
              <w:t>（</w:t>
            </w:r>
            <w:r>
              <w:rPr>
                <w:rFonts w:ascii="Times New Roman" w:hAnsi="Times New Roman" w:eastAsia="Times New Roman" w:cs="Times New Roman"/>
                <w:sz w:val="19"/>
                <w:szCs w:val="19"/>
              </w:rPr>
              <w:t>hm</w:t>
            </w:r>
            <w:r>
              <w:rPr>
                <w:rFonts w:ascii="Times New Roman" w:hAnsi="Times New Roman" w:eastAsia="Times New Roman" w:cs="Times New Roman"/>
                <w:sz w:val="12"/>
                <w:szCs w:val="12"/>
                <w:position w:val="6"/>
              </w:rPr>
              <w:t>2</w:t>
            </w:r>
            <w:r>
              <w:rPr>
                <w:sz w:val="19"/>
                <w:szCs w:val="19"/>
              </w:rPr>
              <w:t>）</w:t>
            </w:r>
          </w:p>
        </w:tc>
        <w:tc>
          <w:tcPr>
            <w:tcW w:w="983" w:type="dxa"/>
            <w:vAlign w:val="top"/>
          </w:tcPr>
          <w:p>
            <w:pPr>
              <w:pStyle w:val="TableText"/>
              <w:ind w:right="16"/>
              <w:spacing w:before="215" w:line="232" w:lineRule="auto"/>
              <w:jc w:val="right"/>
              <w:rPr>
                <w:sz w:val="19"/>
                <w:szCs w:val="19"/>
              </w:rPr>
            </w:pPr>
            <w:r>
              <w:rPr>
                <w:sz w:val="19"/>
                <w:szCs w:val="19"/>
                <w:spacing w:val="-20"/>
              </w:rPr>
              <w:t>比例（</w:t>
            </w:r>
            <w:r>
              <w:rPr>
                <w:rFonts w:ascii="Times New Roman" w:hAnsi="Times New Roman" w:eastAsia="Times New Roman" w:cs="Times New Roman"/>
                <w:sz w:val="19"/>
                <w:szCs w:val="19"/>
                <w:spacing w:val="-20"/>
              </w:rPr>
              <w:t>%</w:t>
            </w:r>
            <w:r>
              <w:rPr>
                <w:sz w:val="19"/>
                <w:szCs w:val="19"/>
                <w:spacing w:val="-20"/>
              </w:rPr>
              <w:t>）</w:t>
            </w:r>
          </w:p>
        </w:tc>
        <w:tc>
          <w:tcPr>
            <w:tcW w:w="1066" w:type="dxa"/>
            <w:vAlign w:val="top"/>
          </w:tcPr>
          <w:p>
            <w:pPr>
              <w:pStyle w:val="TableText"/>
              <w:ind w:left="187" w:right="189" w:firstLine="160"/>
              <w:spacing w:before="59" w:line="270" w:lineRule="auto"/>
              <w:rPr>
                <w:sz w:val="19"/>
                <w:szCs w:val="19"/>
              </w:rPr>
            </w:pPr>
            <w:r>
              <w:rPr>
                <w:sz w:val="19"/>
                <w:szCs w:val="19"/>
              </w:rPr>
              <w:t>面积</w:t>
            </w:r>
            <w:r>
              <w:rPr>
                <w:sz w:val="19"/>
                <w:szCs w:val="19"/>
              </w:rPr>
              <w:t>（</w:t>
            </w:r>
            <w:r>
              <w:rPr>
                <w:rFonts w:ascii="Times New Roman" w:hAnsi="Times New Roman" w:eastAsia="Times New Roman" w:cs="Times New Roman"/>
                <w:sz w:val="19"/>
                <w:szCs w:val="19"/>
              </w:rPr>
              <w:t>hm</w:t>
            </w:r>
            <w:r>
              <w:rPr>
                <w:rFonts w:ascii="Times New Roman" w:hAnsi="Times New Roman" w:eastAsia="Times New Roman" w:cs="Times New Roman"/>
                <w:sz w:val="12"/>
                <w:szCs w:val="12"/>
                <w:position w:val="6"/>
              </w:rPr>
              <w:t>2</w:t>
            </w:r>
            <w:r>
              <w:rPr>
                <w:sz w:val="19"/>
                <w:szCs w:val="19"/>
              </w:rPr>
              <w:t>）</w:t>
            </w:r>
          </w:p>
        </w:tc>
        <w:tc>
          <w:tcPr>
            <w:tcW w:w="965" w:type="dxa"/>
            <w:vAlign w:val="top"/>
          </w:tcPr>
          <w:p>
            <w:pPr>
              <w:pStyle w:val="TableText"/>
              <w:ind w:left="213" w:right="215" w:firstLine="102"/>
              <w:spacing w:before="59" w:line="270" w:lineRule="auto"/>
              <w:rPr>
                <w:sz w:val="19"/>
                <w:szCs w:val="19"/>
              </w:rPr>
            </w:pPr>
            <w:r>
              <w:rPr>
                <w:sz w:val="19"/>
                <w:szCs w:val="19"/>
                <w:spacing w:val="-9"/>
              </w:rPr>
              <w:t>比例</w:t>
            </w:r>
            <w:r>
              <w:rPr>
                <w:sz w:val="19"/>
                <w:szCs w:val="19"/>
                <w:spacing w:val="-3"/>
              </w:rPr>
              <w:t>（</w:t>
            </w:r>
            <w:r>
              <w:rPr>
                <w:rFonts w:ascii="Times New Roman" w:hAnsi="Times New Roman" w:eastAsia="Times New Roman" w:cs="Times New Roman"/>
                <w:sz w:val="19"/>
                <w:szCs w:val="19"/>
                <w:spacing w:val="-3"/>
              </w:rPr>
              <w:t>%</w:t>
            </w:r>
            <w:r>
              <w:rPr>
                <w:sz w:val="19"/>
                <w:szCs w:val="19"/>
                <w:spacing w:val="-3"/>
              </w:rPr>
              <w:t>）</w:t>
            </w:r>
          </w:p>
        </w:tc>
        <w:tc>
          <w:tcPr>
            <w:tcW w:w="944" w:type="dxa"/>
            <w:vAlign w:val="top"/>
            <w:vMerge w:val="continue"/>
            <w:tcBorders>
              <w:top w:val="nil"/>
            </w:tcBorders>
          </w:tcPr>
          <w:p>
            <w:pPr>
              <w:rPr>
                <w:rFonts w:ascii="Arial"/>
                <w:sz w:val="21"/>
              </w:rPr>
            </w:pPr>
            <w:r/>
          </w:p>
        </w:tc>
        <w:tc>
          <w:tcPr>
            <w:tcW w:w="981" w:type="dxa"/>
            <w:vAlign w:val="top"/>
          </w:tcPr>
          <w:p>
            <w:pPr>
              <w:pStyle w:val="TableText"/>
              <w:ind w:left="300"/>
              <w:spacing w:before="215" w:line="233" w:lineRule="auto"/>
              <w:rPr>
                <w:sz w:val="19"/>
                <w:szCs w:val="19"/>
              </w:rPr>
            </w:pPr>
            <w:r>
              <w:rPr>
                <w:sz w:val="19"/>
                <w:szCs w:val="19"/>
                <w:spacing w:val="2"/>
              </w:rPr>
              <w:t>现状</w:t>
            </w:r>
          </w:p>
        </w:tc>
        <w:tc>
          <w:tcPr>
            <w:tcW w:w="851" w:type="dxa"/>
            <w:vAlign w:val="top"/>
            <w:tcBorders>
              <w:right w:val="nil"/>
            </w:tcBorders>
          </w:tcPr>
          <w:p>
            <w:pPr>
              <w:pStyle w:val="TableText"/>
              <w:ind w:left="136"/>
              <w:spacing w:before="215" w:line="232" w:lineRule="auto"/>
              <w:rPr>
                <w:sz w:val="19"/>
                <w:szCs w:val="19"/>
              </w:rPr>
            </w:pPr>
            <w:r>
              <w:rPr>
                <w:sz w:val="19"/>
                <w:szCs w:val="19"/>
                <w:spacing w:val="5"/>
              </w:rPr>
              <w:t>建设后</w:t>
            </w:r>
          </w:p>
        </w:tc>
      </w:tr>
      <w:tr>
        <w:trPr>
          <w:trHeight w:val="315" w:hRule="atLeast"/>
        </w:trPr>
        <w:tc>
          <w:tcPr>
            <w:tcW w:w="416" w:type="dxa"/>
            <w:vAlign w:val="top"/>
            <w:tcBorders>
              <w:left w:val="nil"/>
            </w:tcBorders>
          </w:tcPr>
          <w:p>
            <w:pPr>
              <w:ind w:left="181"/>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288" w:type="dxa"/>
            <w:vAlign w:val="top"/>
          </w:tcPr>
          <w:p>
            <w:pPr>
              <w:pStyle w:val="TableText"/>
              <w:ind w:left="257"/>
              <w:spacing w:before="62" w:line="231" w:lineRule="auto"/>
              <w:rPr>
                <w:sz w:val="19"/>
                <w:szCs w:val="19"/>
              </w:rPr>
            </w:pPr>
            <w:r>
              <w:rPr>
                <w:sz w:val="19"/>
                <w:szCs w:val="19"/>
                <w:spacing w:val="5"/>
              </w:rPr>
              <w:t>灌木林地</w:t>
            </w:r>
          </w:p>
        </w:tc>
        <w:tc>
          <w:tcPr>
            <w:tcW w:w="1024" w:type="dxa"/>
            <w:vAlign w:val="top"/>
          </w:tcPr>
          <w:p>
            <w:pPr>
              <w:ind w:left="243"/>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367.06</w:t>
            </w:r>
          </w:p>
        </w:tc>
        <w:tc>
          <w:tcPr>
            <w:tcW w:w="983" w:type="dxa"/>
            <w:vAlign w:val="top"/>
          </w:tcPr>
          <w:p>
            <w:pPr>
              <w:ind w:left="322"/>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5.69</w:t>
            </w:r>
          </w:p>
        </w:tc>
        <w:tc>
          <w:tcPr>
            <w:tcW w:w="1066" w:type="dxa"/>
            <w:vAlign w:val="top"/>
          </w:tcPr>
          <w:p>
            <w:pPr>
              <w:ind w:left="264"/>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367.06</w:t>
            </w:r>
          </w:p>
        </w:tc>
        <w:tc>
          <w:tcPr>
            <w:tcW w:w="965" w:type="dxa"/>
            <w:vAlign w:val="top"/>
          </w:tcPr>
          <w:p>
            <w:pPr>
              <w:ind w:left="313"/>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5.69</w:t>
            </w:r>
          </w:p>
        </w:tc>
        <w:tc>
          <w:tcPr>
            <w:tcW w:w="944" w:type="dxa"/>
            <w:vAlign w:val="top"/>
          </w:tcPr>
          <w:p>
            <w:pPr>
              <w:ind w:left="425"/>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Pr>
          <w:p>
            <w:pPr>
              <w:ind w:left="447"/>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851" w:type="dxa"/>
            <w:vAlign w:val="top"/>
            <w:tcBorders>
              <w:right w:val="nil"/>
            </w:tcBorders>
          </w:tcPr>
          <w:p>
            <w:pPr>
              <w:ind w:left="381"/>
              <w:spacing w:before="9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r>
      <w:tr>
        <w:trPr>
          <w:trHeight w:val="315" w:hRule="atLeast"/>
        </w:trPr>
        <w:tc>
          <w:tcPr>
            <w:tcW w:w="416" w:type="dxa"/>
            <w:vAlign w:val="top"/>
            <w:tcBorders>
              <w:left w:val="nil"/>
            </w:tcBorders>
          </w:tcPr>
          <w:p>
            <w:pPr>
              <w:ind w:left="162"/>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288" w:type="dxa"/>
            <w:vAlign w:val="top"/>
          </w:tcPr>
          <w:p>
            <w:pPr>
              <w:pStyle w:val="TableText"/>
              <w:ind w:left="154"/>
              <w:spacing w:before="67" w:line="231" w:lineRule="auto"/>
              <w:rPr>
                <w:sz w:val="19"/>
                <w:szCs w:val="19"/>
              </w:rPr>
            </w:pPr>
            <w:r>
              <w:rPr>
                <w:sz w:val="19"/>
                <w:szCs w:val="19"/>
                <w:spacing w:val="6"/>
              </w:rPr>
              <w:t>天然牧草地</w:t>
            </w:r>
          </w:p>
        </w:tc>
        <w:tc>
          <w:tcPr>
            <w:tcW w:w="1024" w:type="dxa"/>
            <w:vAlign w:val="top"/>
          </w:tcPr>
          <w:p>
            <w:pPr>
              <w:ind w:left="192"/>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3590.18</w:t>
            </w:r>
          </w:p>
        </w:tc>
        <w:tc>
          <w:tcPr>
            <w:tcW w:w="983" w:type="dxa"/>
            <w:vAlign w:val="top"/>
          </w:tcPr>
          <w:p>
            <w:pPr>
              <w:ind w:left="271"/>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55.62</w:t>
            </w:r>
          </w:p>
        </w:tc>
        <w:tc>
          <w:tcPr>
            <w:tcW w:w="1066" w:type="dxa"/>
            <w:vAlign w:val="top"/>
          </w:tcPr>
          <w:p>
            <w:pPr>
              <w:ind w:left="113"/>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3582.9707</w:t>
            </w:r>
          </w:p>
        </w:tc>
        <w:tc>
          <w:tcPr>
            <w:tcW w:w="965" w:type="dxa"/>
            <w:vAlign w:val="top"/>
          </w:tcPr>
          <w:p>
            <w:pPr>
              <w:ind w:left="262"/>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55.51</w:t>
            </w:r>
          </w:p>
        </w:tc>
        <w:tc>
          <w:tcPr>
            <w:tcW w:w="944" w:type="dxa"/>
            <w:vAlign w:val="top"/>
          </w:tcPr>
          <w:p>
            <w:pPr>
              <w:ind w:left="170"/>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-7.2093</w:t>
            </w:r>
          </w:p>
        </w:tc>
        <w:tc>
          <w:tcPr>
            <w:tcW w:w="981" w:type="dxa"/>
            <w:vAlign w:val="top"/>
          </w:tcPr>
          <w:p>
            <w:pPr>
              <w:ind w:left="462"/>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851" w:type="dxa"/>
            <w:vAlign w:val="top"/>
            <w:tcBorders>
              <w:right w:val="nil"/>
            </w:tcBorders>
          </w:tcPr>
          <w:p>
            <w:pPr>
              <w:ind w:left="396"/>
              <w:spacing w:before="10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r>
      <w:tr>
        <w:trPr>
          <w:trHeight w:val="315" w:hRule="atLeast"/>
        </w:trPr>
        <w:tc>
          <w:tcPr>
            <w:tcW w:w="416" w:type="dxa"/>
            <w:vAlign w:val="top"/>
            <w:tcBorders>
              <w:left w:val="nil"/>
            </w:tcBorders>
          </w:tcPr>
          <w:p>
            <w:pPr>
              <w:ind w:left="166"/>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288" w:type="dxa"/>
            <w:vAlign w:val="top"/>
          </w:tcPr>
          <w:p>
            <w:pPr>
              <w:pStyle w:val="TableText"/>
              <w:ind w:left="456"/>
              <w:spacing w:before="68" w:line="230" w:lineRule="auto"/>
              <w:rPr>
                <w:sz w:val="19"/>
                <w:szCs w:val="19"/>
              </w:rPr>
            </w:pPr>
            <w:r>
              <w:rPr>
                <w:sz w:val="19"/>
                <w:szCs w:val="19"/>
              </w:rPr>
              <w:t>沙地</w:t>
            </w:r>
          </w:p>
        </w:tc>
        <w:tc>
          <w:tcPr>
            <w:tcW w:w="1024" w:type="dxa"/>
            <w:vAlign w:val="top"/>
          </w:tcPr>
          <w:p>
            <w:pPr>
              <w:ind w:left="188"/>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2410.86</w:t>
            </w:r>
          </w:p>
        </w:tc>
        <w:tc>
          <w:tcPr>
            <w:tcW w:w="983" w:type="dxa"/>
            <w:vAlign w:val="top"/>
          </w:tcPr>
          <w:p>
            <w:pPr>
              <w:ind w:left="270"/>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37.35</w:t>
            </w:r>
          </w:p>
        </w:tc>
        <w:tc>
          <w:tcPr>
            <w:tcW w:w="1066" w:type="dxa"/>
            <w:vAlign w:val="top"/>
          </w:tcPr>
          <w:p>
            <w:pPr>
              <w:ind w:left="209"/>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2410.86</w:t>
            </w:r>
          </w:p>
        </w:tc>
        <w:tc>
          <w:tcPr>
            <w:tcW w:w="965" w:type="dxa"/>
            <w:vAlign w:val="top"/>
          </w:tcPr>
          <w:p>
            <w:pPr>
              <w:ind w:left="261"/>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37.35</w:t>
            </w:r>
          </w:p>
        </w:tc>
        <w:tc>
          <w:tcPr>
            <w:tcW w:w="944" w:type="dxa"/>
            <w:vAlign w:val="top"/>
          </w:tcPr>
          <w:p>
            <w:pPr>
              <w:ind w:left="425"/>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Pr>
          <w:p>
            <w:pPr>
              <w:ind w:left="443"/>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851" w:type="dxa"/>
            <w:vAlign w:val="top"/>
            <w:tcBorders>
              <w:right w:val="nil"/>
            </w:tcBorders>
          </w:tcPr>
          <w:p>
            <w:pPr>
              <w:ind w:left="377"/>
              <w:spacing w:before="10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r>
      <w:tr>
        <w:trPr>
          <w:trHeight w:val="315" w:hRule="atLeast"/>
        </w:trPr>
        <w:tc>
          <w:tcPr>
            <w:tcW w:w="416" w:type="dxa"/>
            <w:vAlign w:val="top"/>
            <w:tcBorders>
              <w:left w:val="nil"/>
            </w:tcBorders>
          </w:tcPr>
          <w:p>
            <w:pPr>
              <w:ind w:left="161"/>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4</w:t>
            </w:r>
          </w:p>
        </w:tc>
        <w:tc>
          <w:tcPr>
            <w:tcW w:w="1288" w:type="dxa"/>
            <w:vAlign w:val="top"/>
          </w:tcPr>
          <w:p>
            <w:pPr>
              <w:pStyle w:val="TableText"/>
              <w:ind w:left="278"/>
              <w:spacing w:before="70" w:line="228" w:lineRule="auto"/>
              <w:rPr>
                <w:sz w:val="19"/>
                <w:szCs w:val="19"/>
              </w:rPr>
            </w:pPr>
            <w:r>
              <w:rPr>
                <w:sz w:val="19"/>
                <w:szCs w:val="19"/>
              </w:rPr>
              <w:t>内陆滩涂</w:t>
            </w:r>
          </w:p>
        </w:tc>
        <w:tc>
          <w:tcPr>
            <w:tcW w:w="1024" w:type="dxa"/>
            <w:vAlign w:val="top"/>
          </w:tcPr>
          <w:p>
            <w:pPr>
              <w:ind w:left="293"/>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32.75</w:t>
            </w:r>
          </w:p>
        </w:tc>
        <w:tc>
          <w:tcPr>
            <w:tcW w:w="983" w:type="dxa"/>
            <w:vAlign w:val="top"/>
          </w:tcPr>
          <w:p>
            <w:pPr>
              <w:ind w:left="319"/>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0.51</w:t>
            </w:r>
          </w:p>
        </w:tc>
        <w:tc>
          <w:tcPr>
            <w:tcW w:w="1066" w:type="dxa"/>
            <w:vAlign w:val="top"/>
          </w:tcPr>
          <w:p>
            <w:pPr>
              <w:ind w:left="314"/>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32.75</w:t>
            </w:r>
          </w:p>
        </w:tc>
        <w:tc>
          <w:tcPr>
            <w:tcW w:w="965" w:type="dxa"/>
            <w:vAlign w:val="top"/>
          </w:tcPr>
          <w:p>
            <w:pPr>
              <w:ind w:left="310"/>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0.51</w:t>
            </w:r>
          </w:p>
        </w:tc>
        <w:tc>
          <w:tcPr>
            <w:tcW w:w="944" w:type="dxa"/>
            <w:vAlign w:val="top"/>
          </w:tcPr>
          <w:p>
            <w:pPr>
              <w:ind w:left="425"/>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Pr>
          <w:p>
            <w:pPr>
              <w:ind w:left="442"/>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4</w:t>
            </w:r>
          </w:p>
        </w:tc>
        <w:tc>
          <w:tcPr>
            <w:tcW w:w="851" w:type="dxa"/>
            <w:vAlign w:val="top"/>
            <w:tcBorders>
              <w:right w:val="nil"/>
            </w:tcBorders>
          </w:tcPr>
          <w:p>
            <w:pPr>
              <w:ind w:left="376"/>
              <w:spacing w:before="10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4</w:t>
            </w:r>
          </w:p>
        </w:tc>
      </w:tr>
      <w:tr>
        <w:trPr>
          <w:trHeight w:val="315" w:hRule="atLeast"/>
        </w:trPr>
        <w:tc>
          <w:tcPr>
            <w:tcW w:w="416" w:type="dxa"/>
            <w:vAlign w:val="top"/>
            <w:tcBorders>
              <w:left w:val="nil"/>
            </w:tcBorders>
          </w:tcPr>
          <w:p>
            <w:pPr>
              <w:ind w:left="167"/>
              <w:spacing w:before="109"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288" w:type="dxa"/>
            <w:vAlign w:val="top"/>
          </w:tcPr>
          <w:p>
            <w:pPr>
              <w:pStyle w:val="TableText"/>
              <w:ind w:left="154"/>
              <w:spacing w:before="71" w:line="227" w:lineRule="auto"/>
              <w:rPr>
                <w:sz w:val="19"/>
                <w:szCs w:val="19"/>
              </w:rPr>
            </w:pPr>
            <w:r>
              <w:rPr>
                <w:sz w:val="19"/>
                <w:szCs w:val="19"/>
                <w:spacing w:val="6"/>
              </w:rPr>
              <w:t>农村宅基地</w:t>
            </w:r>
          </w:p>
        </w:tc>
        <w:tc>
          <w:tcPr>
            <w:tcW w:w="1024" w:type="dxa"/>
            <w:vAlign w:val="top"/>
          </w:tcPr>
          <w:p>
            <w:pPr>
              <w:ind w:left="308"/>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10.27</w:t>
            </w:r>
          </w:p>
        </w:tc>
        <w:tc>
          <w:tcPr>
            <w:tcW w:w="983" w:type="dxa"/>
            <w:vAlign w:val="top"/>
          </w:tcPr>
          <w:p>
            <w:pPr>
              <w:ind w:left="319"/>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0.16</w:t>
            </w:r>
          </w:p>
        </w:tc>
        <w:tc>
          <w:tcPr>
            <w:tcW w:w="1066" w:type="dxa"/>
            <w:vAlign w:val="top"/>
          </w:tcPr>
          <w:p>
            <w:pPr>
              <w:ind w:left="329"/>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10.27</w:t>
            </w:r>
          </w:p>
        </w:tc>
        <w:tc>
          <w:tcPr>
            <w:tcW w:w="965" w:type="dxa"/>
            <w:vAlign w:val="top"/>
          </w:tcPr>
          <w:p>
            <w:pPr>
              <w:ind w:left="310"/>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0.16</w:t>
            </w:r>
          </w:p>
        </w:tc>
        <w:tc>
          <w:tcPr>
            <w:tcW w:w="944" w:type="dxa"/>
            <w:vAlign w:val="top"/>
          </w:tcPr>
          <w:p>
            <w:pPr>
              <w:ind w:left="425"/>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Pr>
          <w:p>
            <w:pPr>
              <w:ind w:left="451"/>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851" w:type="dxa"/>
            <w:vAlign w:val="top"/>
            <w:tcBorders>
              <w:right w:val="nil"/>
            </w:tcBorders>
          </w:tcPr>
          <w:p>
            <w:pPr>
              <w:ind w:left="385"/>
              <w:spacing w:before="1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r>
      <w:tr>
        <w:trPr>
          <w:trHeight w:val="315" w:hRule="atLeast"/>
        </w:trPr>
        <w:tc>
          <w:tcPr>
            <w:tcW w:w="416" w:type="dxa"/>
            <w:vAlign w:val="top"/>
            <w:tcBorders>
              <w:left w:val="nil"/>
            </w:tcBorders>
          </w:tcPr>
          <w:p>
            <w:pPr>
              <w:ind w:left="166"/>
              <w:spacing w:before="10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1288" w:type="dxa"/>
            <w:vAlign w:val="top"/>
          </w:tcPr>
          <w:p>
            <w:pPr>
              <w:pStyle w:val="TableText"/>
              <w:ind w:left="259"/>
              <w:spacing w:before="73" w:line="225" w:lineRule="auto"/>
              <w:rPr>
                <w:sz w:val="19"/>
                <w:szCs w:val="19"/>
              </w:rPr>
            </w:pPr>
            <w:r>
              <w:rPr>
                <w:sz w:val="19"/>
                <w:szCs w:val="19"/>
                <w:spacing w:val="5"/>
              </w:rPr>
              <w:t>工业用地</w:t>
            </w:r>
          </w:p>
        </w:tc>
        <w:tc>
          <w:tcPr>
            <w:tcW w:w="1024" w:type="dxa"/>
            <w:vAlign w:val="top"/>
          </w:tcPr>
          <w:p>
            <w:pPr>
              <w:ind w:left="289"/>
              <w:spacing w:before="10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20.29</w:t>
            </w:r>
          </w:p>
        </w:tc>
        <w:tc>
          <w:tcPr>
            <w:tcW w:w="983" w:type="dxa"/>
            <w:vAlign w:val="top"/>
          </w:tcPr>
          <w:p>
            <w:pPr>
              <w:ind w:left="319"/>
              <w:spacing w:before="10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0.31</w:t>
            </w:r>
          </w:p>
        </w:tc>
        <w:tc>
          <w:tcPr>
            <w:tcW w:w="1066" w:type="dxa"/>
            <w:vAlign w:val="top"/>
          </w:tcPr>
          <w:p>
            <w:pPr>
              <w:ind w:left="209"/>
              <w:spacing w:before="10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27.4993</w:t>
            </w:r>
          </w:p>
        </w:tc>
        <w:tc>
          <w:tcPr>
            <w:tcW w:w="965" w:type="dxa"/>
            <w:vAlign w:val="top"/>
          </w:tcPr>
          <w:p>
            <w:pPr>
              <w:ind w:left="310"/>
              <w:spacing w:before="10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0.43</w:t>
            </w:r>
          </w:p>
        </w:tc>
        <w:tc>
          <w:tcPr>
            <w:tcW w:w="944" w:type="dxa"/>
            <w:vAlign w:val="top"/>
          </w:tcPr>
          <w:p>
            <w:pPr>
              <w:ind w:left="141"/>
              <w:spacing w:before="10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+7.2093</w:t>
            </w:r>
          </w:p>
        </w:tc>
        <w:tc>
          <w:tcPr>
            <w:tcW w:w="981" w:type="dxa"/>
            <w:vAlign w:val="top"/>
          </w:tcPr>
          <w:p>
            <w:pPr>
              <w:ind w:left="449"/>
              <w:spacing w:before="110"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851" w:type="dxa"/>
            <w:vAlign w:val="top"/>
            <w:tcBorders>
              <w:right w:val="nil"/>
            </w:tcBorders>
          </w:tcPr>
          <w:p>
            <w:pPr>
              <w:ind w:left="382"/>
              <w:spacing w:before="110"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r>
      <w:tr>
        <w:trPr>
          <w:trHeight w:val="315" w:hRule="atLeast"/>
        </w:trPr>
        <w:tc>
          <w:tcPr>
            <w:tcW w:w="416" w:type="dxa"/>
            <w:vAlign w:val="top"/>
            <w:tcBorders>
              <w:left w:val="nil"/>
            </w:tcBorders>
          </w:tcPr>
          <w:p>
            <w:pPr>
              <w:ind w:left="165"/>
              <w:spacing w:before="112"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288" w:type="dxa"/>
            <w:vAlign w:val="top"/>
          </w:tcPr>
          <w:p>
            <w:pPr>
              <w:pStyle w:val="TableText"/>
              <w:ind w:left="255"/>
              <w:spacing w:before="75" w:line="223" w:lineRule="auto"/>
              <w:rPr>
                <w:sz w:val="19"/>
                <w:szCs w:val="19"/>
              </w:rPr>
            </w:pPr>
            <w:r>
              <w:rPr>
                <w:sz w:val="19"/>
                <w:szCs w:val="19"/>
                <w:spacing w:val="6"/>
              </w:rPr>
              <w:t>道路用地</w:t>
            </w:r>
          </w:p>
        </w:tc>
        <w:tc>
          <w:tcPr>
            <w:tcW w:w="1024" w:type="dxa"/>
            <w:vAlign w:val="top"/>
          </w:tcPr>
          <w:p>
            <w:pPr>
              <w:ind w:left="308"/>
              <w:spacing w:before="10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10.44</w:t>
            </w:r>
          </w:p>
        </w:tc>
        <w:tc>
          <w:tcPr>
            <w:tcW w:w="983" w:type="dxa"/>
            <w:vAlign w:val="top"/>
          </w:tcPr>
          <w:p>
            <w:pPr>
              <w:ind w:left="319"/>
              <w:spacing w:before="10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0.16</w:t>
            </w:r>
          </w:p>
        </w:tc>
        <w:tc>
          <w:tcPr>
            <w:tcW w:w="1066" w:type="dxa"/>
            <w:vAlign w:val="top"/>
          </w:tcPr>
          <w:p>
            <w:pPr>
              <w:ind w:left="329"/>
              <w:spacing w:before="10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10.44</w:t>
            </w:r>
          </w:p>
        </w:tc>
        <w:tc>
          <w:tcPr>
            <w:tcW w:w="965" w:type="dxa"/>
            <w:vAlign w:val="top"/>
          </w:tcPr>
          <w:p>
            <w:pPr>
              <w:ind w:left="310"/>
              <w:spacing w:before="10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0.16</w:t>
            </w:r>
          </w:p>
        </w:tc>
        <w:tc>
          <w:tcPr>
            <w:tcW w:w="944" w:type="dxa"/>
            <w:vAlign w:val="top"/>
          </w:tcPr>
          <w:p>
            <w:pPr>
              <w:ind w:left="425"/>
              <w:spacing w:before="10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Pr>
          <w:p>
            <w:pPr>
              <w:ind w:left="446"/>
              <w:spacing w:before="112"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851" w:type="dxa"/>
            <w:vAlign w:val="top"/>
            <w:tcBorders>
              <w:right w:val="nil"/>
            </w:tcBorders>
          </w:tcPr>
          <w:p>
            <w:pPr>
              <w:ind w:left="380"/>
              <w:spacing w:before="112"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r>
      <w:tr>
        <w:trPr>
          <w:trHeight w:val="315" w:hRule="atLeast"/>
        </w:trPr>
        <w:tc>
          <w:tcPr>
            <w:tcW w:w="416" w:type="dxa"/>
            <w:vAlign w:val="top"/>
            <w:tcBorders>
              <w:left w:val="nil"/>
            </w:tcBorders>
          </w:tcPr>
          <w:p>
            <w:pPr>
              <w:ind w:left="170"/>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1288" w:type="dxa"/>
            <w:vAlign w:val="top"/>
          </w:tcPr>
          <w:p>
            <w:pPr>
              <w:pStyle w:val="TableText"/>
              <w:ind w:left="259"/>
              <w:spacing w:before="78" w:line="220" w:lineRule="auto"/>
              <w:rPr>
                <w:sz w:val="19"/>
                <w:szCs w:val="19"/>
              </w:rPr>
            </w:pPr>
            <w:r>
              <w:rPr>
                <w:sz w:val="19"/>
                <w:szCs w:val="19"/>
                <w:spacing w:val="5"/>
              </w:rPr>
              <w:t>湖泊水域</w:t>
            </w:r>
          </w:p>
        </w:tc>
        <w:tc>
          <w:tcPr>
            <w:tcW w:w="1024" w:type="dxa"/>
            <w:vAlign w:val="top"/>
          </w:tcPr>
          <w:p>
            <w:pPr>
              <w:ind w:left="308"/>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13.28</w:t>
            </w:r>
          </w:p>
        </w:tc>
        <w:tc>
          <w:tcPr>
            <w:tcW w:w="983" w:type="dxa"/>
            <w:vAlign w:val="top"/>
          </w:tcPr>
          <w:p>
            <w:pPr>
              <w:ind w:left="319"/>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0.21</w:t>
            </w:r>
          </w:p>
        </w:tc>
        <w:tc>
          <w:tcPr>
            <w:tcW w:w="1066" w:type="dxa"/>
            <w:vAlign w:val="top"/>
          </w:tcPr>
          <w:p>
            <w:pPr>
              <w:ind w:left="329"/>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13.28</w:t>
            </w:r>
          </w:p>
        </w:tc>
        <w:tc>
          <w:tcPr>
            <w:tcW w:w="965" w:type="dxa"/>
            <w:vAlign w:val="top"/>
          </w:tcPr>
          <w:p>
            <w:pPr>
              <w:ind w:left="310"/>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0.21</w:t>
            </w:r>
          </w:p>
        </w:tc>
        <w:tc>
          <w:tcPr>
            <w:tcW w:w="944" w:type="dxa"/>
            <w:vAlign w:val="top"/>
          </w:tcPr>
          <w:p>
            <w:pPr>
              <w:ind w:left="425"/>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Pr>
          <w:p>
            <w:pPr>
              <w:ind w:left="448"/>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851" w:type="dxa"/>
            <w:vAlign w:val="top"/>
            <w:tcBorders>
              <w:right w:val="nil"/>
            </w:tcBorders>
          </w:tcPr>
          <w:p>
            <w:pPr>
              <w:ind w:left="381"/>
              <w:spacing w:before="11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r>
      <w:tr>
        <w:trPr>
          <w:trHeight w:val="338" w:hRule="atLeast"/>
        </w:trPr>
        <w:tc>
          <w:tcPr>
            <w:tcW w:w="1704" w:type="dxa"/>
            <w:vAlign w:val="top"/>
            <w:gridSpan w:val="2"/>
            <w:tcBorders>
              <w:left w:val="nil"/>
              <w:bottom w:val="single" w:color="000000" w:sz="10" w:space="0"/>
            </w:tcBorders>
          </w:tcPr>
          <w:p>
            <w:pPr>
              <w:pStyle w:val="TableText"/>
              <w:ind w:left="671"/>
              <w:spacing w:before="80" w:line="231" w:lineRule="auto"/>
              <w:rPr>
                <w:sz w:val="19"/>
                <w:szCs w:val="19"/>
              </w:rPr>
            </w:pPr>
            <w:r>
              <w:rPr>
                <w:sz w:val="19"/>
                <w:szCs w:val="19"/>
                <w:spacing w:val="-1"/>
              </w:rPr>
              <w:t>合计</w:t>
            </w:r>
          </w:p>
        </w:tc>
        <w:tc>
          <w:tcPr>
            <w:tcW w:w="1024" w:type="dxa"/>
            <w:vAlign w:val="top"/>
            <w:tcBorders>
              <w:bottom w:val="single" w:color="000000" w:sz="10" w:space="0"/>
            </w:tcBorders>
          </w:tcPr>
          <w:p>
            <w:pPr>
              <w:ind w:left="193"/>
              <w:spacing w:before="11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6455.13</w:t>
            </w:r>
          </w:p>
        </w:tc>
        <w:tc>
          <w:tcPr>
            <w:tcW w:w="983" w:type="dxa"/>
            <w:vAlign w:val="top"/>
            <w:tcBorders>
              <w:bottom w:val="single" w:color="000000" w:sz="10" w:space="0"/>
            </w:tcBorders>
          </w:tcPr>
          <w:p>
            <w:pPr>
              <w:ind w:left="237"/>
              <w:spacing w:before="11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100.00</w:t>
            </w:r>
          </w:p>
        </w:tc>
        <w:tc>
          <w:tcPr>
            <w:tcW w:w="1066" w:type="dxa"/>
            <w:vAlign w:val="top"/>
            <w:tcBorders>
              <w:bottom w:val="single" w:color="000000" w:sz="10" w:space="0"/>
            </w:tcBorders>
          </w:tcPr>
          <w:p>
            <w:pPr>
              <w:ind w:left="214"/>
              <w:spacing w:before="11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6455.13</w:t>
            </w:r>
          </w:p>
        </w:tc>
        <w:tc>
          <w:tcPr>
            <w:tcW w:w="965" w:type="dxa"/>
            <w:vAlign w:val="top"/>
            <w:tcBorders>
              <w:bottom w:val="single" w:color="000000" w:sz="10" w:space="0"/>
            </w:tcBorders>
          </w:tcPr>
          <w:p>
            <w:pPr>
              <w:ind w:left="228"/>
              <w:spacing w:before="11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100.00</w:t>
            </w:r>
          </w:p>
        </w:tc>
        <w:tc>
          <w:tcPr>
            <w:tcW w:w="944" w:type="dxa"/>
            <w:vAlign w:val="top"/>
            <w:tcBorders>
              <w:bottom w:val="single" w:color="000000" w:sz="10" w:space="0"/>
            </w:tcBorders>
          </w:tcPr>
          <w:p>
            <w:pPr>
              <w:ind w:left="425"/>
              <w:spacing w:before="11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981" w:type="dxa"/>
            <w:vAlign w:val="top"/>
            <w:tcBorders>
              <w:bottom w:val="single" w:color="000000" w:sz="10" w:space="0"/>
            </w:tcBorders>
          </w:tcPr>
          <w:p>
            <w:pPr>
              <w:ind w:left="461"/>
              <w:spacing w:before="111"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851" w:type="dxa"/>
            <w:vAlign w:val="top"/>
            <w:tcBorders>
              <w:right w:val="nil"/>
              <w:bottom w:val="single" w:color="000000" w:sz="10" w:space="0"/>
            </w:tcBorders>
          </w:tcPr>
          <w:p>
            <w:pPr>
              <w:ind w:left="394"/>
              <w:spacing w:before="111"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r>
    </w:tbl>
    <w:p>
      <w:pPr>
        <w:pStyle w:val="BodyText"/>
        <w:spacing w:line="251" w:lineRule="auto"/>
        <w:rPr/>
      </w:pPr>
      <w:r/>
    </w:p>
    <w:p>
      <w:pPr>
        <w:pStyle w:val="BodyText"/>
        <w:spacing w:line="251" w:lineRule="auto"/>
        <w:rPr/>
      </w:pPr>
      <w:r/>
    </w:p>
    <w:p>
      <w:pPr>
        <w:ind w:left="604"/>
        <w:spacing w:before="79" w:line="221" w:lineRule="auto"/>
        <w:rPr>
          <w:rFonts w:ascii="FangSong" w:hAnsi="FangSong" w:eastAsia="FangSong" w:cs="FangSong"/>
          <w:sz w:val="24"/>
          <w:szCs w:val="24"/>
        </w:rPr>
      </w:pPr>
      <w:r>
        <w:rPr>
          <w:rFonts w:ascii="FangSong" w:hAnsi="FangSong" w:eastAsia="FangSong" w:cs="FangSong"/>
          <w:sz w:val="24"/>
          <w:szCs w:val="24"/>
          <w:spacing w:val="-3"/>
        </w:rPr>
        <w:t>根据上表，各种土地利用类型变化面积占评价</w:t>
      </w:r>
      <w:r>
        <w:rPr>
          <w:rFonts w:ascii="FangSong" w:hAnsi="FangSong" w:eastAsia="FangSong" w:cs="FangSong"/>
          <w:sz w:val="24"/>
          <w:szCs w:val="24"/>
          <w:spacing w:val="-4"/>
        </w:rPr>
        <w:t>区面积的比例较小，工程建设</w:t>
      </w:r>
    </w:p>
    <w:p>
      <w:pPr>
        <w:spacing w:line="221" w:lineRule="auto"/>
        <w:sectPr>
          <w:footerReference w:type="default" r:id="rId328"/>
          <w:pgSz w:w="11906" w:h="16839"/>
          <w:pgMar w:top="400" w:right="1614"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right="16"/>
        <w:spacing w:before="78" w:line="360" w:lineRule="auto"/>
        <w:rPr>
          <w:rFonts w:ascii="FangSong" w:hAnsi="FangSong" w:eastAsia="FangSong" w:cs="FangSong"/>
          <w:sz w:val="24"/>
          <w:szCs w:val="24"/>
        </w:rPr>
      </w:pPr>
      <w:r>
        <w:rPr>
          <w:rFonts w:ascii="FangSong" w:hAnsi="FangSong" w:eastAsia="FangSong" w:cs="FangSong"/>
          <w:sz w:val="24"/>
          <w:szCs w:val="24"/>
          <w:spacing w:val="-2"/>
        </w:rPr>
        <w:t>后评价区内土地利用类型仍以天然牧草地为主导，</w:t>
      </w:r>
      <w:r>
        <w:rPr>
          <w:rFonts w:ascii="FangSong" w:hAnsi="FangSong" w:eastAsia="FangSong" w:cs="FangSong"/>
          <w:sz w:val="24"/>
          <w:szCs w:val="24"/>
          <w:spacing w:val="-50"/>
        </w:rPr>
        <w:t xml:space="preserve"> </w:t>
      </w:r>
      <w:r>
        <w:rPr>
          <w:rFonts w:ascii="FangSong" w:hAnsi="FangSong" w:eastAsia="FangSong" w:cs="FangSong"/>
          <w:sz w:val="24"/>
          <w:szCs w:val="24"/>
          <w:spacing w:val="-2"/>
        </w:rPr>
        <w:t>占比达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55.51%</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，项目建设对</w:t>
      </w:r>
      <w:r>
        <w:rPr>
          <w:rFonts w:ascii="FangSong" w:hAnsi="FangSong" w:eastAsia="FangSong" w:cs="FangSong"/>
          <w:sz w:val="24"/>
          <w:szCs w:val="24"/>
          <w:spacing w:val="-2"/>
        </w:rPr>
        <w:t>评价区内土地利用结构影响较轻。</w:t>
      </w:r>
    </w:p>
    <w:p>
      <w:pPr>
        <w:ind w:left="22"/>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6.2.6.11  </w:t>
      </w:r>
      <w:r>
        <w:rPr>
          <w:rFonts w:ascii="FangSong" w:hAnsi="FangSong" w:eastAsia="FangSong" w:cs="FangSong"/>
          <w:sz w:val="24"/>
          <w:szCs w:val="24"/>
          <w:b/>
          <w:bCs/>
          <w:spacing w:val="-3"/>
        </w:rPr>
        <w:t>水土流失影响分析</w:t>
      </w:r>
    </w:p>
    <w:p>
      <w:pPr>
        <w:ind w:left="32" w:right="13" w:firstLine="482"/>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工程建设造成的水土流失主要发生在施工期，本项目所在区域以风力侵蚀为</w:t>
      </w:r>
      <w:r>
        <w:rPr>
          <w:rFonts w:ascii="FangSong" w:hAnsi="FangSong" w:eastAsia="FangSong" w:cs="FangSong"/>
          <w:sz w:val="24"/>
          <w:szCs w:val="24"/>
          <w:spacing w:val="-3"/>
        </w:rPr>
        <w:t>主，且本项目所建设的工业广场地面采用硬化建设，同时各</w:t>
      </w:r>
      <w:r>
        <w:rPr>
          <w:rFonts w:ascii="FangSong" w:hAnsi="FangSong" w:eastAsia="FangSong" w:cs="FangSong"/>
          <w:sz w:val="24"/>
          <w:szCs w:val="24"/>
          <w:spacing w:val="-4"/>
        </w:rPr>
        <w:t>堆场也均设计采用素</w:t>
      </w:r>
      <w:r>
        <w:rPr>
          <w:rFonts w:ascii="FangSong" w:hAnsi="FangSong" w:eastAsia="FangSong" w:cs="FangSong"/>
          <w:sz w:val="24"/>
          <w:szCs w:val="24"/>
          <w:spacing w:val="-3"/>
        </w:rPr>
        <w:t>混凝土地面、全封闭彩钢结构建设。同时要求建设单位采取</w:t>
      </w:r>
      <w:r>
        <w:rPr>
          <w:rFonts w:ascii="FangSong" w:hAnsi="FangSong" w:eastAsia="FangSong" w:cs="FangSong"/>
          <w:sz w:val="24"/>
          <w:szCs w:val="24"/>
          <w:spacing w:val="-4"/>
        </w:rPr>
        <w:t>对厂区进行绿化等水</w:t>
      </w:r>
      <w:r>
        <w:rPr>
          <w:rFonts w:ascii="FangSong" w:hAnsi="FangSong" w:eastAsia="FangSong" w:cs="FangSong"/>
          <w:sz w:val="24"/>
          <w:szCs w:val="24"/>
          <w:spacing w:val="-1"/>
        </w:rPr>
        <w:t>土保护措施后，本项目运营期不易产生水土流失。</w:t>
      </w:r>
    </w:p>
    <w:p>
      <w:pPr>
        <w:ind w:left="22"/>
        <w:spacing w:line="221" w:lineRule="auto"/>
        <w:outlineLvl w:val="2"/>
        <w:rPr>
          <w:rFonts w:ascii="FangSong" w:hAnsi="FangSong" w:eastAsia="FangSong" w:cs="FangSong"/>
          <w:sz w:val="24"/>
          <w:szCs w:val="24"/>
        </w:rPr>
      </w:pPr>
      <w:bookmarkStart w:name="bookmark306" w:id="417"/>
      <w:bookmarkEnd w:id="417"/>
      <w:bookmarkStart w:name="bookmark305" w:id="418"/>
      <w:bookmarkEnd w:id="418"/>
      <w:r>
        <w:rPr>
          <w:rFonts w:ascii="Times New Roman" w:hAnsi="Times New Roman" w:eastAsia="Times New Roman" w:cs="Times New Roman"/>
          <w:sz w:val="24"/>
          <w:szCs w:val="24"/>
          <w:b/>
          <w:bCs/>
          <w:spacing w:val="-5"/>
        </w:rPr>
        <w:t>6.2.7</w:t>
      </w:r>
      <w:r>
        <w:rPr>
          <w:rFonts w:ascii="Times New Roman" w:hAnsi="Times New Roman" w:eastAsia="Times New Roman" w:cs="Times New Roman"/>
          <w:sz w:val="24"/>
          <w:szCs w:val="24"/>
          <w:b/>
          <w:bCs/>
          <w:spacing w:val="22"/>
        </w:rPr>
        <w:t xml:space="preserve">  </w:t>
      </w:r>
      <w:r>
        <w:rPr>
          <w:rFonts w:ascii="FangSong" w:hAnsi="FangSong" w:eastAsia="FangSong" w:cs="FangSong"/>
          <w:sz w:val="24"/>
          <w:szCs w:val="24"/>
          <w:b/>
          <w:bCs/>
          <w:spacing w:val="-5"/>
        </w:rPr>
        <w:t>闭矿期环境影响分析</w:t>
      </w:r>
    </w:p>
    <w:p>
      <w:pPr>
        <w:ind w:left="31" w:right="13" w:firstLine="479"/>
        <w:spacing w:before="179" w:line="360" w:lineRule="auto"/>
        <w:rPr>
          <w:rFonts w:ascii="FangSong" w:hAnsi="FangSong" w:eastAsia="FangSong" w:cs="FangSong"/>
          <w:sz w:val="24"/>
          <w:szCs w:val="24"/>
        </w:rPr>
      </w:pPr>
      <w:r>
        <w:rPr>
          <w:rFonts w:ascii="FangSong" w:hAnsi="FangSong" w:eastAsia="FangSong" w:cs="FangSong"/>
          <w:sz w:val="24"/>
          <w:szCs w:val="24"/>
          <w:spacing w:val="-3"/>
        </w:rPr>
        <w:t>本项目矿山闭矿后，矿山开采、运输等生产活</w:t>
      </w:r>
      <w:r>
        <w:rPr>
          <w:rFonts w:ascii="FangSong" w:hAnsi="FangSong" w:eastAsia="FangSong" w:cs="FangSong"/>
          <w:sz w:val="24"/>
          <w:szCs w:val="24"/>
          <w:spacing w:val="-4"/>
        </w:rPr>
        <w:t>动随即停止，矿区闭矿期与开</w:t>
      </w:r>
      <w:r>
        <w:rPr>
          <w:rFonts w:ascii="FangSong" w:hAnsi="FangSong" w:eastAsia="FangSong" w:cs="FangSong"/>
          <w:sz w:val="24"/>
          <w:szCs w:val="24"/>
          <w:spacing w:val="-1"/>
        </w:rPr>
        <w:t>采期相比对自然环境诸要素的影响将趋于减缓，主要体现在：</w:t>
      </w:r>
    </w:p>
    <w:p>
      <w:pPr>
        <w:ind w:left="34" w:right="16" w:firstLine="480"/>
        <w:spacing w:before="3" w:line="29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）矿区地表变化的环境问题将随着开采活动的减少而停止或逐渐趋于稳</w:t>
      </w:r>
      <w:r>
        <w:rPr>
          <w:rFonts w:ascii="FangSong" w:hAnsi="FangSong" w:eastAsia="FangSong" w:cs="FangSong"/>
          <w:sz w:val="24"/>
          <w:szCs w:val="24"/>
          <w:spacing w:val="-11"/>
        </w:rPr>
        <w:t>定。</w:t>
      </w:r>
    </w:p>
    <w:p>
      <w:pPr>
        <w:ind w:left="514"/>
        <w:spacing w:before="168"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）本项目在闭矿后采取井下堵水措施，尽量减少地下涌水量。</w:t>
      </w:r>
    </w:p>
    <w:p>
      <w:pPr>
        <w:ind w:left="35" w:right="16" w:firstLine="479"/>
        <w:spacing w:before="184" w:line="289"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）随着开采范围内矿石的枯竭、生产的停止，与其相关的采矿各生产环</w:t>
      </w:r>
      <w:r>
        <w:rPr>
          <w:rFonts w:ascii="FangSong" w:hAnsi="FangSong" w:eastAsia="FangSong" w:cs="FangSong"/>
          <w:sz w:val="24"/>
          <w:szCs w:val="24"/>
          <w:spacing w:val="-1"/>
        </w:rPr>
        <w:t>节消失如设备噪声、大气污染物等，区域环境质量将有所好转。</w:t>
      </w:r>
    </w:p>
    <w:p>
      <w:pPr>
        <w:ind w:left="30" w:right="16" w:firstLine="484"/>
        <w:spacing w:before="184"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）本项目在闭矿后对采空区进行土地复垦、生态恢复，生产期因破坏山</w:t>
      </w:r>
      <w:r>
        <w:rPr>
          <w:rFonts w:ascii="FangSong" w:hAnsi="FangSong" w:eastAsia="FangSong" w:cs="FangSong"/>
          <w:sz w:val="24"/>
          <w:szCs w:val="24"/>
          <w:spacing w:val="-1"/>
        </w:rPr>
        <w:t>体而造成对植被、动物、景观等生态环境要素的不利影响逐渐消失。</w:t>
      </w:r>
    </w:p>
    <w:p>
      <w:pPr>
        <w:ind w:left="29" w:right="13" w:firstLine="485"/>
        <w:spacing w:before="183"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5</w:t>
      </w:r>
      <w:r>
        <w:rPr>
          <w:rFonts w:ascii="FangSong" w:hAnsi="FangSong" w:eastAsia="FangSong" w:cs="FangSong"/>
          <w:sz w:val="24"/>
          <w:szCs w:val="24"/>
        </w:rPr>
        <w:t>）本项目在闭矿后将对矿区工业场地、开采区等全部进行复垦或绿化，</w:t>
      </w:r>
      <w:r>
        <w:rPr>
          <w:rFonts w:ascii="FangSong" w:hAnsi="FangSong" w:eastAsia="FangSong" w:cs="FangSong"/>
          <w:sz w:val="24"/>
          <w:szCs w:val="24"/>
          <w:spacing w:val="-3"/>
        </w:rPr>
        <w:t>对环境的不利影响将逐步消失，矿区开采区表面造地、复垦绿化的</w:t>
      </w:r>
      <w:r>
        <w:rPr>
          <w:rFonts w:ascii="FangSong" w:hAnsi="FangSong" w:eastAsia="FangSong" w:cs="FangSong"/>
          <w:sz w:val="24"/>
          <w:szCs w:val="24"/>
          <w:spacing w:val="-4"/>
        </w:rPr>
        <w:t>完成可使生态</w:t>
      </w:r>
      <w:r>
        <w:rPr>
          <w:rFonts w:ascii="FangSong" w:hAnsi="FangSong" w:eastAsia="FangSong" w:cs="FangSong"/>
          <w:sz w:val="24"/>
          <w:szCs w:val="24"/>
          <w:spacing w:val="-2"/>
        </w:rPr>
        <w:t>环境逐渐得到恢复。</w:t>
      </w:r>
    </w:p>
    <w:p>
      <w:pPr>
        <w:ind w:left="31" w:right="16" w:firstLine="483"/>
        <w:spacing w:before="183"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）对地面设施拆除及迹地清理过程中会产生少量的粉尘和固体废物，在</w:t>
      </w:r>
      <w:r>
        <w:rPr>
          <w:rFonts w:ascii="FangSong" w:hAnsi="FangSong" w:eastAsia="FangSong" w:cs="FangSong"/>
          <w:sz w:val="24"/>
          <w:szCs w:val="24"/>
          <w:spacing w:val="-1"/>
        </w:rPr>
        <w:t>采取洒水降尘和分类处置固体废物措施后，对环境影响小。</w:t>
      </w:r>
    </w:p>
    <w:p>
      <w:pPr>
        <w:ind w:left="31" w:right="13" w:firstLine="483"/>
        <w:spacing w:before="182" w:line="32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7</w:t>
      </w:r>
      <w:r>
        <w:rPr>
          <w:rFonts w:ascii="FangSong" w:hAnsi="FangSong" w:eastAsia="FangSong" w:cs="FangSong"/>
          <w:sz w:val="24"/>
          <w:szCs w:val="24"/>
        </w:rPr>
        <w:t>）拆除采矿区各场地的设备设施及建构筑物，仍需要对工程区域覆土恢</w:t>
      </w:r>
      <w:r>
        <w:rPr>
          <w:rFonts w:ascii="FangSong" w:hAnsi="FangSong" w:eastAsia="FangSong" w:cs="FangSong"/>
          <w:sz w:val="24"/>
          <w:szCs w:val="24"/>
          <w:spacing w:val="-3"/>
        </w:rPr>
        <w:t>复植被，恢复植被时需要土壤，取土会带来新的生态问题，可</w:t>
      </w:r>
      <w:r>
        <w:rPr>
          <w:rFonts w:ascii="FangSong" w:hAnsi="FangSong" w:eastAsia="FangSong" w:cs="FangSong"/>
          <w:sz w:val="24"/>
          <w:szCs w:val="24"/>
          <w:spacing w:val="-4"/>
        </w:rPr>
        <w:t>能引发新的水土流</w:t>
      </w:r>
      <w:r>
        <w:rPr>
          <w:rFonts w:ascii="FangSong" w:hAnsi="FangSong" w:eastAsia="FangSong" w:cs="FangSong"/>
          <w:sz w:val="24"/>
          <w:szCs w:val="24"/>
          <w:spacing w:val="-3"/>
        </w:rPr>
        <w:t>失，形成新的扬尘污染源。在恢复植被时，必须严格按照有关</w:t>
      </w:r>
      <w:r>
        <w:rPr>
          <w:rFonts w:ascii="FangSong" w:hAnsi="FangSong" w:eastAsia="FangSong" w:cs="FangSong"/>
          <w:sz w:val="24"/>
          <w:szCs w:val="24"/>
          <w:spacing w:val="-4"/>
        </w:rPr>
        <w:t>部门的设计要求进</w:t>
      </w:r>
      <w:r>
        <w:rPr>
          <w:rFonts w:ascii="FangSong" w:hAnsi="FangSong" w:eastAsia="FangSong" w:cs="FangSong"/>
          <w:sz w:val="24"/>
          <w:szCs w:val="24"/>
          <w:spacing w:val="-2"/>
        </w:rPr>
        <w:t>行取土，减少生态破坏。</w:t>
      </w:r>
    </w:p>
    <w:p>
      <w:pPr>
        <w:ind w:left="31" w:right="13" w:firstLine="483"/>
        <w:spacing w:before="182"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8</w:t>
      </w:r>
      <w:r>
        <w:rPr>
          <w:rFonts w:ascii="FangSong" w:hAnsi="FangSong" w:eastAsia="FangSong" w:cs="FangSong"/>
          <w:sz w:val="24"/>
          <w:szCs w:val="24"/>
        </w:rPr>
        <w:t>）在服务期满后，将对整个矿区进行土地整治，对形成的采空区进行回</w:t>
      </w:r>
      <w:r>
        <w:rPr>
          <w:rFonts w:ascii="FangSong" w:hAnsi="FangSong" w:eastAsia="FangSong" w:cs="FangSong"/>
          <w:sz w:val="24"/>
          <w:szCs w:val="24"/>
          <w:spacing w:val="-3"/>
        </w:rPr>
        <w:t>填、表层覆土和植被恢复措施，并拆除遗留的建构筑物，对开</w:t>
      </w:r>
      <w:r>
        <w:rPr>
          <w:rFonts w:ascii="FangSong" w:hAnsi="FangSong" w:eastAsia="FangSong" w:cs="FangSong"/>
          <w:sz w:val="24"/>
          <w:szCs w:val="24"/>
          <w:spacing w:val="-4"/>
        </w:rPr>
        <w:t>采形成的裸露坡面</w:t>
      </w:r>
      <w:r>
        <w:rPr>
          <w:rFonts w:ascii="FangSong" w:hAnsi="FangSong" w:eastAsia="FangSong" w:cs="FangSong"/>
          <w:sz w:val="24"/>
          <w:szCs w:val="24"/>
          <w:spacing w:val="-3"/>
        </w:rPr>
        <w:t>及选矿厂等设施进行植被恢复，矿山生态植被将逐渐恢复，矿</w:t>
      </w:r>
      <w:r>
        <w:rPr>
          <w:rFonts w:ascii="FangSong" w:hAnsi="FangSong" w:eastAsia="FangSong" w:cs="FangSong"/>
          <w:sz w:val="24"/>
          <w:szCs w:val="24"/>
          <w:spacing w:val="-4"/>
        </w:rPr>
        <w:t>区与周边自然景观</w:t>
      </w:r>
    </w:p>
    <w:p>
      <w:pPr>
        <w:spacing w:line="313" w:lineRule="auto"/>
        <w:sectPr>
          <w:footerReference w:type="default" r:id="rId329"/>
          <w:pgSz w:w="11906" w:h="16839"/>
          <w:pgMar w:top="400" w:right="1785"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3"/>
        <w:spacing w:before="78" w:line="222" w:lineRule="auto"/>
        <w:rPr>
          <w:rFonts w:ascii="FangSong" w:hAnsi="FangSong" w:eastAsia="FangSong" w:cs="FangSong"/>
          <w:sz w:val="24"/>
          <w:szCs w:val="24"/>
        </w:rPr>
      </w:pPr>
      <w:r>
        <w:rPr>
          <w:rFonts w:ascii="FangSong" w:hAnsi="FangSong" w:eastAsia="FangSong" w:cs="FangSong"/>
          <w:sz w:val="24"/>
          <w:szCs w:val="24"/>
          <w:spacing w:val="-3"/>
        </w:rPr>
        <w:t>逐渐协调一致。</w:t>
      </w:r>
    </w:p>
    <w:p>
      <w:pPr>
        <w:ind w:left="29" w:right="13" w:firstLine="481"/>
        <w:spacing w:before="180" w:line="360" w:lineRule="auto"/>
        <w:jc w:val="both"/>
        <w:rPr>
          <w:rFonts w:ascii="FangSong" w:hAnsi="FangSong" w:eastAsia="FangSong" w:cs="FangSong"/>
          <w:sz w:val="24"/>
          <w:szCs w:val="24"/>
        </w:rPr>
      </w:pPr>
      <w:r>
        <w:rPr>
          <w:rFonts w:ascii="FangSong" w:hAnsi="FangSong" w:eastAsia="FangSong" w:cs="FangSong"/>
          <w:sz w:val="24"/>
          <w:szCs w:val="24"/>
          <w:spacing w:val="-4"/>
        </w:rPr>
        <w:t>本工程生态恢复工作应坚持及时、多样、因地制宜、长短期相结合以及总体</w:t>
      </w:r>
      <w:r>
        <w:rPr>
          <w:rFonts w:ascii="FangSong" w:hAnsi="FangSong" w:eastAsia="FangSong" w:cs="FangSong"/>
          <w:sz w:val="24"/>
          <w:szCs w:val="24"/>
          <w:spacing w:val="-3"/>
        </w:rPr>
        <w:t>和局部结合的原则，做到矿山开采与生态恢复工作同时进行，即：边</w:t>
      </w:r>
      <w:r>
        <w:rPr>
          <w:rFonts w:ascii="FangSong" w:hAnsi="FangSong" w:eastAsia="FangSong" w:cs="FangSong"/>
          <w:sz w:val="24"/>
          <w:szCs w:val="24"/>
          <w:spacing w:val="-4"/>
        </w:rPr>
        <w:t>破坏，边治</w:t>
      </w:r>
      <w:r>
        <w:rPr>
          <w:rFonts w:ascii="FangSong" w:hAnsi="FangSong" w:eastAsia="FangSong" w:cs="FangSong"/>
          <w:sz w:val="24"/>
          <w:szCs w:val="24"/>
          <w:spacing w:val="-3"/>
        </w:rPr>
        <w:t>理，边开采，边复垦。结合本区域的具体情况，以采坑、废石堆场、</w:t>
      </w:r>
      <w:r>
        <w:rPr>
          <w:rFonts w:ascii="FangSong" w:hAnsi="FangSong" w:eastAsia="FangSong" w:cs="FangSong"/>
          <w:sz w:val="24"/>
          <w:szCs w:val="24"/>
          <w:spacing w:val="-4"/>
        </w:rPr>
        <w:t>原矿堆场等</w:t>
      </w:r>
      <w:r>
        <w:rPr>
          <w:rFonts w:ascii="FangSong" w:hAnsi="FangSong" w:eastAsia="FangSong" w:cs="FangSong"/>
          <w:sz w:val="24"/>
          <w:szCs w:val="24"/>
          <w:spacing w:val="-3"/>
        </w:rPr>
        <w:t>植被破坏区的绿化及水土保持为修复重点。随着复垦植被的生长，矿</w:t>
      </w:r>
      <w:r>
        <w:rPr>
          <w:rFonts w:ascii="FangSong" w:hAnsi="FangSong" w:eastAsia="FangSong" w:cs="FangSong"/>
          <w:sz w:val="24"/>
          <w:szCs w:val="24"/>
          <w:spacing w:val="-4"/>
        </w:rPr>
        <w:t>区生态环境</w:t>
      </w:r>
      <w:r>
        <w:rPr>
          <w:rFonts w:ascii="FangSong" w:hAnsi="FangSong" w:eastAsia="FangSong" w:cs="FangSong"/>
          <w:sz w:val="24"/>
          <w:szCs w:val="24"/>
          <w:spacing w:val="-1"/>
        </w:rPr>
        <w:t>将逐步改善，促进区域生态环境向好的方向发展。</w:t>
      </w:r>
    </w:p>
    <w:p>
      <w:pPr>
        <w:spacing w:line="360" w:lineRule="auto"/>
        <w:sectPr>
          <w:footerReference w:type="default" r:id="rId330"/>
          <w:pgSz w:w="11906" w:h="16839"/>
          <w:pgMar w:top="400" w:right="1785" w:bottom="1358" w:left="1785" w:header="0" w:footer="1195" w:gutter="0"/>
        </w:sectPr>
        <w:rPr>
          <w:rFonts w:ascii="FangSong" w:hAnsi="FangSong" w:eastAsia="FangSong" w:cs="FangSong"/>
          <w:sz w:val="24"/>
          <w:szCs w:val="24"/>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24"/>
        <w:spacing w:before="97" w:line="220" w:lineRule="auto"/>
        <w:outlineLvl w:val="0"/>
        <w:rPr>
          <w:rFonts w:ascii="FangSong" w:hAnsi="FangSong" w:eastAsia="FangSong" w:cs="FangSong"/>
          <w:sz w:val="30"/>
          <w:szCs w:val="30"/>
        </w:rPr>
      </w:pPr>
      <w:bookmarkStart w:name="bookmark308" w:id="419"/>
      <w:bookmarkEnd w:id="419"/>
      <w:bookmarkStart w:name="bookmark310" w:id="420"/>
      <w:bookmarkEnd w:id="420"/>
      <w:bookmarkStart w:name="bookmark307" w:id="421"/>
      <w:bookmarkEnd w:id="421"/>
      <w:bookmarkStart w:name="bookmark309" w:id="422"/>
      <w:bookmarkEnd w:id="422"/>
      <w:r>
        <w:rPr>
          <w:rFonts w:ascii="Times New Roman" w:hAnsi="Times New Roman" w:eastAsia="Times New Roman" w:cs="Times New Roman"/>
          <w:sz w:val="30"/>
          <w:szCs w:val="30"/>
          <w:b/>
          <w:bCs/>
          <w:spacing w:val="-3"/>
        </w:rPr>
        <w:t>7  </w:t>
      </w:r>
      <w:r>
        <w:rPr>
          <w:rFonts w:ascii="FangSong" w:hAnsi="FangSong" w:eastAsia="FangSong" w:cs="FangSong"/>
          <w:sz w:val="30"/>
          <w:szCs w:val="30"/>
          <w:b/>
          <w:bCs/>
          <w:spacing w:val="-3"/>
        </w:rPr>
        <w:t>环境保护措施及可行性分析</w:t>
      </w:r>
    </w:p>
    <w:p>
      <w:pPr>
        <w:ind w:left="23"/>
        <w:spacing w:before="274" w:line="222" w:lineRule="auto"/>
        <w:outlineLvl w:val="1"/>
        <w:rPr>
          <w:rFonts w:ascii="FangSong" w:hAnsi="FangSong" w:eastAsia="FangSong" w:cs="FangSong"/>
          <w:sz w:val="28"/>
          <w:szCs w:val="28"/>
        </w:rPr>
      </w:pPr>
      <w:bookmarkStart w:name="bookmark603" w:id="423"/>
      <w:bookmarkEnd w:id="423"/>
      <w:r>
        <w:rPr>
          <w:rFonts w:ascii="Times New Roman" w:hAnsi="Times New Roman" w:eastAsia="Times New Roman" w:cs="Times New Roman"/>
          <w:sz w:val="28"/>
          <w:szCs w:val="28"/>
          <w:b/>
          <w:bCs/>
          <w:spacing w:val="-2"/>
        </w:rPr>
        <w:t>7.1  </w:t>
      </w:r>
      <w:r>
        <w:rPr>
          <w:rFonts w:ascii="FangSong" w:hAnsi="FangSong" w:eastAsia="FangSong" w:cs="FangSong"/>
          <w:sz w:val="28"/>
          <w:szCs w:val="28"/>
          <w:b/>
          <w:bCs/>
          <w:spacing w:val="-2"/>
        </w:rPr>
        <w:t>施工期环境保护措施</w:t>
      </w:r>
    </w:p>
    <w:p>
      <w:pPr>
        <w:ind w:left="29" w:right="185" w:firstLine="480"/>
        <w:spacing w:before="229" w:line="360" w:lineRule="auto"/>
        <w:jc w:val="both"/>
        <w:rPr>
          <w:rFonts w:ascii="FangSong" w:hAnsi="FangSong" w:eastAsia="FangSong" w:cs="FangSong"/>
          <w:sz w:val="24"/>
          <w:szCs w:val="24"/>
        </w:rPr>
      </w:pPr>
      <w:r>
        <w:rPr>
          <w:rFonts w:ascii="FangSong" w:hAnsi="FangSong" w:eastAsia="FangSong" w:cs="FangSong"/>
          <w:sz w:val="24"/>
          <w:szCs w:val="24"/>
          <w:spacing w:val="-3"/>
        </w:rPr>
        <w:t>本项目施工期对环境影响的作用因素主要有基</w:t>
      </w:r>
      <w:r>
        <w:rPr>
          <w:rFonts w:ascii="FangSong" w:hAnsi="FangSong" w:eastAsia="FangSong" w:cs="FangSong"/>
          <w:sz w:val="24"/>
          <w:szCs w:val="24"/>
          <w:spacing w:val="-4"/>
        </w:rPr>
        <w:t>建施工作业、对外交通、施工</w:t>
      </w:r>
      <w:r>
        <w:rPr>
          <w:rFonts w:ascii="FangSong" w:hAnsi="FangSong" w:eastAsia="FangSong" w:cs="FangSong"/>
          <w:sz w:val="24"/>
          <w:szCs w:val="24"/>
          <w:spacing w:val="-3"/>
        </w:rPr>
        <w:t>机械、施工占地、施工人员活动等。工程施工对水环境、大气环境</w:t>
      </w:r>
      <w:r>
        <w:rPr>
          <w:rFonts w:ascii="FangSong" w:hAnsi="FangSong" w:eastAsia="FangSong" w:cs="FangSong"/>
          <w:sz w:val="24"/>
          <w:szCs w:val="24"/>
          <w:spacing w:val="-4"/>
        </w:rPr>
        <w:t>、声环境、水</w:t>
      </w:r>
      <w:r>
        <w:rPr>
          <w:rFonts w:ascii="FangSong" w:hAnsi="FangSong" w:eastAsia="FangSong" w:cs="FangSong"/>
          <w:sz w:val="24"/>
          <w:szCs w:val="24"/>
          <w:spacing w:val="-1"/>
        </w:rPr>
        <w:t>土流失、人群健康、生态等产生影响，具体如下。</w:t>
      </w:r>
    </w:p>
    <w:p>
      <w:pPr>
        <w:ind w:left="22"/>
        <w:spacing w:before="1" w:line="220" w:lineRule="auto"/>
        <w:outlineLvl w:val="2"/>
        <w:rPr>
          <w:rFonts w:ascii="FangSong" w:hAnsi="FangSong" w:eastAsia="FangSong" w:cs="FangSong"/>
          <w:sz w:val="24"/>
          <w:szCs w:val="24"/>
        </w:rPr>
      </w:pPr>
      <w:bookmarkStart w:name="bookmark312" w:id="424"/>
      <w:bookmarkEnd w:id="424"/>
      <w:bookmarkStart w:name="bookmark311" w:id="425"/>
      <w:bookmarkEnd w:id="425"/>
      <w:r>
        <w:rPr>
          <w:rFonts w:ascii="Times New Roman" w:hAnsi="Times New Roman" w:eastAsia="Times New Roman" w:cs="Times New Roman"/>
          <w:sz w:val="24"/>
          <w:szCs w:val="24"/>
          <w:b/>
          <w:bCs/>
          <w:spacing w:val="-2"/>
        </w:rPr>
        <w:t>7.1.2  </w:t>
      </w:r>
      <w:r>
        <w:rPr>
          <w:rFonts w:ascii="FangSong" w:hAnsi="FangSong" w:eastAsia="FangSong" w:cs="FangSong"/>
          <w:sz w:val="24"/>
          <w:szCs w:val="24"/>
          <w:b/>
          <w:bCs/>
          <w:spacing w:val="-2"/>
        </w:rPr>
        <w:t>水环境保护措施</w:t>
      </w:r>
    </w:p>
    <w:p>
      <w:pPr>
        <w:ind w:left="514"/>
        <w:spacing w:before="18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）废水污染特征</w:t>
      </w:r>
    </w:p>
    <w:p>
      <w:pPr>
        <w:ind w:left="35" w:right="185" w:firstLine="475"/>
        <w:spacing w:before="179" w:line="360" w:lineRule="auto"/>
        <w:rPr>
          <w:rFonts w:ascii="FangSong" w:hAnsi="FangSong" w:eastAsia="FangSong" w:cs="FangSong"/>
          <w:sz w:val="24"/>
          <w:szCs w:val="24"/>
        </w:rPr>
      </w:pPr>
      <w:r>
        <w:rPr>
          <w:rFonts w:ascii="FangSong" w:hAnsi="FangSong" w:eastAsia="FangSong" w:cs="FangSong"/>
          <w:sz w:val="24"/>
          <w:szCs w:val="24"/>
          <w:spacing w:val="-3"/>
        </w:rPr>
        <w:t>本项目施工期产生的废水主要为施工人员产生</w:t>
      </w:r>
      <w:r>
        <w:rPr>
          <w:rFonts w:ascii="FangSong" w:hAnsi="FangSong" w:eastAsia="FangSong" w:cs="FangSong"/>
          <w:sz w:val="24"/>
          <w:szCs w:val="24"/>
          <w:spacing w:val="-4"/>
        </w:rPr>
        <w:t>的生活污水、施工废水。在施</w:t>
      </w:r>
      <w:r>
        <w:rPr>
          <w:rFonts w:ascii="FangSong" w:hAnsi="FangSong" w:eastAsia="FangSong" w:cs="FangSong"/>
          <w:sz w:val="24"/>
          <w:szCs w:val="24"/>
          <w:spacing w:val="-1"/>
        </w:rPr>
        <w:t>工过程产生的各类污水主要污染物为有机物和泥沙悬浮颗粒。</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）影响分析和防治措施</w:t>
      </w:r>
    </w:p>
    <w:p>
      <w:pPr>
        <w:ind w:left="29" w:right="185" w:firstLine="485"/>
        <w:spacing w:before="180" w:line="360" w:lineRule="auto"/>
        <w:rPr>
          <w:rFonts w:ascii="FangSong" w:hAnsi="FangSong" w:eastAsia="FangSong" w:cs="FangSong"/>
          <w:sz w:val="24"/>
          <w:szCs w:val="24"/>
        </w:rPr>
      </w:pPr>
      <w:r>
        <w:rPr>
          <w:rFonts w:ascii="FangSong" w:hAnsi="FangSong" w:eastAsia="FangSong" w:cs="FangSong"/>
          <w:sz w:val="24"/>
          <w:szCs w:val="24"/>
          <w:spacing w:val="-4"/>
        </w:rPr>
        <w:t>通过分析本项目施工期间废水主要为施工人员生活污水，施工过程中施工机</w:t>
      </w:r>
      <w:r>
        <w:rPr>
          <w:rFonts w:ascii="FangSong" w:hAnsi="FangSong" w:eastAsia="FangSong" w:cs="FangSong"/>
          <w:sz w:val="24"/>
          <w:szCs w:val="24"/>
          <w:spacing w:val="-3"/>
        </w:rPr>
        <w:t>械车轮冲洗废水及矿井的涌水，环评要求施工期采取以下控制措施及</w:t>
      </w:r>
      <w:r>
        <w:rPr>
          <w:rFonts w:ascii="FangSong" w:hAnsi="FangSong" w:eastAsia="FangSong" w:cs="FangSong"/>
          <w:sz w:val="24"/>
          <w:szCs w:val="24"/>
          <w:spacing w:val="-4"/>
        </w:rPr>
        <w:t>保护措施减</w:t>
      </w:r>
      <w:r>
        <w:rPr>
          <w:rFonts w:ascii="FangSong" w:hAnsi="FangSong" w:eastAsia="FangSong" w:cs="FangSong"/>
          <w:sz w:val="24"/>
          <w:szCs w:val="24"/>
          <w:spacing w:val="-4"/>
        </w:rPr>
        <w:t>轻其影响：</w:t>
      </w:r>
    </w:p>
    <w:p>
      <w:pPr>
        <w:ind w:left="35" w:right="120" w:firstLine="466"/>
        <w:spacing w:line="291"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施工人员产生的生活污水全部排入临时防渗旱厕内，定期清掏外运积肥，</w:t>
      </w:r>
      <w:r>
        <w:rPr>
          <w:rFonts w:ascii="FangSong" w:hAnsi="FangSong" w:eastAsia="FangSong" w:cs="FangSong"/>
          <w:sz w:val="24"/>
          <w:szCs w:val="24"/>
          <w:spacing w:val="-6"/>
        </w:rPr>
        <w:t>不外排。</w:t>
      </w:r>
    </w:p>
    <w:p>
      <w:pPr>
        <w:ind w:left="35" w:right="187" w:firstLine="465"/>
        <w:spacing w:before="179" w:line="291"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对施工产生的废水及矿井涌水要进行收集和处理，经地表沉淀池沉淀后</w:t>
      </w:r>
      <w:r>
        <w:rPr>
          <w:rFonts w:ascii="FangSong" w:hAnsi="FangSong" w:eastAsia="FangSong" w:cs="FangSong"/>
          <w:sz w:val="24"/>
          <w:szCs w:val="24"/>
          <w:spacing w:val="-3"/>
        </w:rPr>
        <w:t>全部回用或洒水降尘。</w:t>
      </w:r>
    </w:p>
    <w:p>
      <w:pPr>
        <w:ind w:left="31" w:firstLine="480"/>
        <w:spacing w:before="179" w:line="360" w:lineRule="auto"/>
        <w:rPr>
          <w:rFonts w:ascii="FangSong" w:hAnsi="FangSong" w:eastAsia="FangSong" w:cs="FangSong"/>
          <w:sz w:val="24"/>
          <w:szCs w:val="24"/>
        </w:rPr>
      </w:pPr>
      <w:r>
        <w:rPr>
          <w:rFonts w:ascii="FangSong" w:hAnsi="FangSong" w:eastAsia="FangSong" w:cs="FangSong"/>
          <w:sz w:val="24"/>
          <w:szCs w:val="24"/>
          <w:spacing w:val="-5"/>
        </w:rPr>
        <w:t>综上所述，本项目施工期产生的废水在落实以上措施后全部综合利用不外排，</w:t>
      </w:r>
      <w:r>
        <w:rPr>
          <w:rFonts w:ascii="FangSong" w:hAnsi="FangSong" w:eastAsia="FangSong" w:cs="FangSong"/>
          <w:sz w:val="24"/>
          <w:szCs w:val="24"/>
          <w:spacing w:val="-2"/>
        </w:rPr>
        <w:t>对当地环境影响不大。</w:t>
      </w:r>
    </w:p>
    <w:p>
      <w:pPr>
        <w:ind w:left="22"/>
        <w:spacing w:before="2" w:line="220" w:lineRule="auto"/>
        <w:outlineLvl w:val="2"/>
        <w:rPr>
          <w:rFonts w:ascii="FangSong" w:hAnsi="FangSong" w:eastAsia="FangSong" w:cs="FangSong"/>
          <w:sz w:val="24"/>
          <w:szCs w:val="24"/>
        </w:rPr>
      </w:pPr>
      <w:bookmarkStart w:name="bookmark314" w:id="426"/>
      <w:bookmarkEnd w:id="426"/>
      <w:bookmarkStart w:name="bookmark313" w:id="427"/>
      <w:bookmarkEnd w:id="427"/>
      <w:r>
        <w:rPr>
          <w:rFonts w:ascii="Times New Roman" w:hAnsi="Times New Roman" w:eastAsia="Times New Roman" w:cs="Times New Roman"/>
          <w:sz w:val="24"/>
          <w:szCs w:val="24"/>
          <w:b/>
          <w:bCs/>
          <w:spacing w:val="-2"/>
        </w:rPr>
        <w:t>7.1.3  </w:t>
      </w:r>
      <w:r>
        <w:rPr>
          <w:rFonts w:ascii="FangSong" w:hAnsi="FangSong" w:eastAsia="FangSong" w:cs="FangSong"/>
          <w:sz w:val="24"/>
          <w:szCs w:val="24"/>
          <w:b/>
          <w:bCs/>
          <w:spacing w:val="-2"/>
        </w:rPr>
        <w:t>大气环境保护措施</w:t>
      </w:r>
    </w:p>
    <w:p>
      <w:pPr>
        <w:ind w:left="31" w:right="185" w:firstLine="477"/>
        <w:spacing w:before="179" w:line="360" w:lineRule="auto"/>
        <w:rPr>
          <w:rFonts w:ascii="FangSong" w:hAnsi="FangSong" w:eastAsia="FangSong" w:cs="FangSong"/>
          <w:sz w:val="24"/>
          <w:szCs w:val="24"/>
        </w:rPr>
      </w:pPr>
      <w:r>
        <w:rPr>
          <w:rFonts w:ascii="FangSong" w:hAnsi="FangSong" w:eastAsia="FangSong" w:cs="FangSong"/>
          <w:sz w:val="24"/>
          <w:szCs w:val="24"/>
          <w:spacing w:val="-3"/>
        </w:rPr>
        <w:t>施工期废气主要是巷道掘进及爆破扬尘、施工物料</w:t>
      </w:r>
      <w:r>
        <w:rPr>
          <w:rFonts w:ascii="FangSong" w:hAnsi="FangSong" w:eastAsia="FangSong" w:cs="FangSong"/>
          <w:sz w:val="24"/>
          <w:szCs w:val="24"/>
          <w:spacing w:val="-4"/>
        </w:rPr>
        <w:t>堆场产生的扬尘、运输扬</w:t>
      </w:r>
      <w:r>
        <w:rPr>
          <w:rFonts w:ascii="FangSong" w:hAnsi="FangSong" w:eastAsia="FangSong" w:cs="FangSong"/>
          <w:sz w:val="24"/>
          <w:szCs w:val="24"/>
          <w:spacing w:val="-1"/>
        </w:rPr>
        <w:t>尘及施工车辆汽车尾气，本次评价提出如下施工废气污染防治措施。</w:t>
      </w:r>
    </w:p>
    <w:p>
      <w:pPr>
        <w:ind w:left="22"/>
        <w:spacing w:before="2"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7.1.3.1  </w:t>
      </w:r>
      <w:r>
        <w:rPr>
          <w:rFonts w:ascii="FangSong" w:hAnsi="FangSong" w:eastAsia="FangSong" w:cs="FangSong"/>
          <w:sz w:val="24"/>
          <w:szCs w:val="24"/>
          <w:b/>
          <w:bCs/>
          <w:spacing w:val="-2"/>
        </w:rPr>
        <w:t>施工扬尘防治措施</w:t>
      </w:r>
    </w:p>
    <w:p>
      <w:pPr>
        <w:ind w:left="514"/>
        <w:spacing w:before="179"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）建筑材料的防尘管理措施：</w:t>
      </w:r>
    </w:p>
    <w:p>
      <w:pPr>
        <w:ind w:left="36" w:right="185" w:firstLine="472"/>
        <w:spacing w:before="182" w:line="360" w:lineRule="auto"/>
        <w:rPr>
          <w:rFonts w:ascii="FangSong" w:hAnsi="FangSong" w:eastAsia="FangSong" w:cs="FangSong"/>
          <w:sz w:val="24"/>
          <w:szCs w:val="24"/>
        </w:rPr>
      </w:pPr>
      <w:r>
        <w:rPr>
          <w:rFonts w:ascii="FangSong" w:hAnsi="FangSong" w:eastAsia="FangSong" w:cs="FangSong"/>
          <w:sz w:val="24"/>
          <w:szCs w:val="24"/>
          <w:spacing w:val="-3"/>
        </w:rPr>
        <w:t>施工过程中使用水泥、砂石、铺装材料等易产生扬</w:t>
      </w:r>
      <w:r>
        <w:rPr>
          <w:rFonts w:ascii="FangSong" w:hAnsi="FangSong" w:eastAsia="FangSong" w:cs="FangSong"/>
          <w:sz w:val="24"/>
          <w:szCs w:val="24"/>
          <w:spacing w:val="-4"/>
        </w:rPr>
        <w:t>尘的建筑材料，应采取下</w:t>
      </w:r>
      <w:r>
        <w:rPr>
          <w:rFonts w:ascii="FangSong" w:hAnsi="FangSong" w:eastAsia="FangSong" w:cs="FangSong"/>
          <w:sz w:val="24"/>
          <w:szCs w:val="24"/>
          <w:spacing w:val="-6"/>
        </w:rPr>
        <w:t>列措施：</w:t>
      </w:r>
    </w:p>
    <w:p>
      <w:pPr>
        <w:ind w:left="502"/>
        <w:spacing w:line="219"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32"/>
        </w:rPr>
        <w:t xml:space="preserve"> </w:t>
      </w:r>
      <w:r>
        <w:rPr>
          <w:rFonts w:ascii="FangSong" w:hAnsi="FangSong" w:eastAsia="FangSong" w:cs="FangSong"/>
          <w:sz w:val="24"/>
          <w:szCs w:val="24"/>
          <w:spacing w:val="-7"/>
        </w:rPr>
        <w:t>密闭存储；</w:t>
      </w:r>
    </w:p>
    <w:p>
      <w:pPr>
        <w:ind w:left="501"/>
        <w:spacing w:before="183"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设置围挡或堆砌围墙；</w:t>
      </w:r>
    </w:p>
    <w:p>
      <w:pPr>
        <w:ind w:left="501"/>
        <w:spacing w:before="181" w:line="220"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采用防尘布苫盖。</w:t>
      </w:r>
    </w:p>
    <w:p>
      <w:pPr>
        <w:spacing w:line="220" w:lineRule="auto"/>
        <w:sectPr>
          <w:footerReference w:type="default" r:id="rId331"/>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14"/>
        <w:spacing w:before="78"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）建筑垃圾的防尘管理措施：</w:t>
      </w:r>
    </w:p>
    <w:p>
      <w:pPr>
        <w:ind w:left="32" w:firstLine="476"/>
        <w:spacing w:before="178" w:line="360" w:lineRule="auto"/>
        <w:rPr>
          <w:rFonts w:ascii="FangSong" w:hAnsi="FangSong" w:eastAsia="FangSong" w:cs="FangSong"/>
          <w:sz w:val="24"/>
          <w:szCs w:val="24"/>
        </w:rPr>
      </w:pPr>
      <w:r>
        <w:rPr>
          <w:rFonts w:ascii="FangSong" w:hAnsi="FangSong" w:eastAsia="FangSong" w:cs="FangSong"/>
          <w:sz w:val="24"/>
          <w:szCs w:val="24"/>
          <w:spacing w:val="-8"/>
        </w:rPr>
        <w:t>施工工程中产生的其他建筑垃圾，应及时清运。</w:t>
      </w:r>
      <w:r>
        <w:rPr>
          <w:rFonts w:ascii="FangSong" w:hAnsi="FangSong" w:eastAsia="FangSong" w:cs="FangSong"/>
          <w:sz w:val="24"/>
          <w:szCs w:val="24"/>
          <w:spacing w:val="-9"/>
        </w:rPr>
        <w:t>若在工地内堆置超过一周的，</w:t>
      </w:r>
      <w:r>
        <w:rPr>
          <w:rFonts w:ascii="FangSong" w:hAnsi="FangSong" w:eastAsia="FangSong" w:cs="FangSong"/>
          <w:sz w:val="24"/>
          <w:szCs w:val="24"/>
          <w:spacing w:val="-1"/>
        </w:rPr>
        <w:t>则应采取下列措施，防止风蚀起尘及水蚀迁移：</w:t>
      </w:r>
    </w:p>
    <w:p>
      <w:pPr>
        <w:ind w:left="502"/>
        <w:spacing w:line="22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覆盖防尘布、防尘网；</w:t>
      </w:r>
    </w:p>
    <w:p>
      <w:pPr>
        <w:ind w:left="501"/>
        <w:spacing w:before="181" w:line="222"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23"/>
        </w:rPr>
        <w:t xml:space="preserve"> </w:t>
      </w:r>
      <w:r>
        <w:rPr>
          <w:rFonts w:ascii="FangSong" w:hAnsi="FangSong" w:eastAsia="FangSong" w:cs="FangSong"/>
          <w:sz w:val="24"/>
          <w:szCs w:val="24"/>
          <w:spacing w:val="-4"/>
        </w:rPr>
        <w:t>定期喷水压尘。</w:t>
      </w:r>
    </w:p>
    <w:p>
      <w:pPr>
        <w:ind w:left="514"/>
        <w:spacing w:before="179"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）混凝土防尘措施：</w:t>
      </w:r>
    </w:p>
    <w:p>
      <w:pPr>
        <w:ind w:left="33" w:right="65" w:firstLine="475"/>
        <w:spacing w:before="178" w:line="360" w:lineRule="auto"/>
        <w:rPr>
          <w:rFonts w:ascii="FangSong" w:hAnsi="FangSong" w:eastAsia="FangSong" w:cs="FangSong"/>
          <w:sz w:val="24"/>
          <w:szCs w:val="24"/>
        </w:rPr>
      </w:pPr>
      <w:r>
        <w:rPr>
          <w:rFonts w:ascii="FangSong" w:hAnsi="FangSong" w:eastAsia="FangSong" w:cs="FangSong"/>
          <w:sz w:val="24"/>
          <w:szCs w:val="24"/>
          <w:spacing w:val="-3"/>
        </w:rPr>
        <w:t>施工期间需使用混凝土时，可使用外购预拌商品混</w:t>
      </w:r>
      <w:r>
        <w:rPr>
          <w:rFonts w:ascii="FangSong" w:hAnsi="FangSong" w:eastAsia="FangSong" w:cs="FangSong"/>
          <w:sz w:val="24"/>
          <w:szCs w:val="24"/>
          <w:spacing w:val="-4"/>
        </w:rPr>
        <w:t>凝土，不得现场露天搅拌</w:t>
      </w:r>
      <w:r>
        <w:rPr>
          <w:rFonts w:ascii="FangSong" w:hAnsi="FangSong" w:eastAsia="FangSong" w:cs="FangSong"/>
          <w:sz w:val="24"/>
          <w:szCs w:val="24"/>
          <w:spacing w:val="-3"/>
        </w:rPr>
        <w:t>混凝土、消化石灰及拌石灰土等。应尽量采用石材、木制</w:t>
      </w:r>
      <w:r>
        <w:rPr>
          <w:rFonts w:ascii="FangSong" w:hAnsi="FangSong" w:eastAsia="FangSong" w:cs="FangSong"/>
          <w:sz w:val="24"/>
          <w:szCs w:val="24"/>
          <w:spacing w:val="-4"/>
        </w:rPr>
        <w:t>等成品或半成品，实施</w:t>
      </w:r>
      <w:r>
        <w:rPr>
          <w:rFonts w:ascii="FangSong" w:hAnsi="FangSong" w:eastAsia="FangSong" w:cs="FangSong"/>
          <w:sz w:val="24"/>
          <w:szCs w:val="24"/>
          <w:spacing w:val="-1"/>
        </w:rPr>
        <w:t>装配式施工，减少因石材、木制品切割所造成的扬尘污染。</w:t>
      </w:r>
    </w:p>
    <w:p>
      <w:pPr>
        <w:ind w:left="29" w:right="26" w:firstLine="480"/>
        <w:spacing w:before="3" w:line="359" w:lineRule="auto"/>
        <w:jc w:val="both"/>
        <w:rPr>
          <w:rFonts w:ascii="FangSong" w:hAnsi="FangSong" w:eastAsia="FangSong" w:cs="FangSong"/>
          <w:sz w:val="24"/>
          <w:szCs w:val="24"/>
        </w:rPr>
      </w:pPr>
      <w:r>
        <w:rPr>
          <w:rFonts w:ascii="FangSong" w:hAnsi="FangSong" w:eastAsia="FangSong" w:cs="FangSong"/>
          <w:sz w:val="24"/>
          <w:szCs w:val="24"/>
          <w:spacing w:val="-2"/>
        </w:rPr>
        <w:t>施工期井巷掘进及施工爆破会产生少量废气，主要在地下，与运</w:t>
      </w:r>
      <w:r>
        <w:rPr>
          <w:rFonts w:ascii="FangSong" w:hAnsi="FangSong" w:eastAsia="FangSong" w:cs="FangSong"/>
          <w:sz w:val="24"/>
          <w:szCs w:val="24"/>
          <w:spacing w:val="-3"/>
        </w:rPr>
        <w:t>行期相似，</w:t>
      </w:r>
      <w:r>
        <w:rPr>
          <w:rFonts w:ascii="FangSong" w:hAnsi="FangSong" w:eastAsia="FangSong" w:cs="FangSong"/>
          <w:sz w:val="24"/>
          <w:szCs w:val="24"/>
          <w:spacing w:val="-3"/>
        </w:rPr>
        <w:t>施工期炸药使用量较小，作业时间短，产生污染物较小，同时</w:t>
      </w:r>
      <w:r>
        <w:rPr>
          <w:rFonts w:ascii="FangSong" w:hAnsi="FangSong" w:eastAsia="FangSong" w:cs="FangSong"/>
          <w:sz w:val="24"/>
          <w:szCs w:val="24"/>
          <w:spacing w:val="-4"/>
        </w:rPr>
        <w:t>井巷掘进和爆破作</w:t>
      </w:r>
      <w:r>
        <w:rPr>
          <w:rFonts w:ascii="FangSong" w:hAnsi="FangSong" w:eastAsia="FangSong" w:cs="FangSong"/>
          <w:sz w:val="24"/>
          <w:szCs w:val="24"/>
          <w:spacing w:val="-1"/>
        </w:rPr>
        <w:t>业时对作业面进行洒水降尘，不会对大气环境造成明显影响。</w:t>
      </w:r>
    </w:p>
    <w:p>
      <w:pPr>
        <w:ind w:left="22"/>
        <w:spacing w:before="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7.1.3.2  </w:t>
      </w:r>
      <w:r>
        <w:rPr>
          <w:rFonts w:ascii="FangSong" w:hAnsi="FangSong" w:eastAsia="FangSong" w:cs="FangSong"/>
          <w:sz w:val="24"/>
          <w:szCs w:val="24"/>
          <w:b/>
          <w:bCs/>
          <w:spacing w:val="-2"/>
        </w:rPr>
        <w:t>运输扬尘防治措施</w:t>
      </w:r>
    </w:p>
    <w:p>
      <w:pPr>
        <w:ind w:left="30" w:right="65" w:firstLine="480"/>
        <w:spacing w:before="179" w:line="360" w:lineRule="auto"/>
        <w:rPr>
          <w:rFonts w:ascii="FangSong" w:hAnsi="FangSong" w:eastAsia="FangSong" w:cs="FangSong"/>
          <w:sz w:val="24"/>
          <w:szCs w:val="24"/>
        </w:rPr>
      </w:pPr>
      <w:r>
        <w:rPr>
          <w:rFonts w:ascii="FangSong" w:hAnsi="FangSong" w:eastAsia="FangSong" w:cs="FangSong"/>
          <w:sz w:val="24"/>
          <w:szCs w:val="24"/>
          <w:spacing w:val="-3"/>
        </w:rPr>
        <w:t>进出工地的物料、垃圾运输车辆等，应尽可</w:t>
      </w:r>
      <w:r>
        <w:rPr>
          <w:rFonts w:ascii="FangSong" w:hAnsi="FangSong" w:eastAsia="FangSong" w:cs="FangSong"/>
          <w:sz w:val="24"/>
          <w:szCs w:val="24"/>
          <w:spacing w:val="-4"/>
        </w:rPr>
        <w:t>能采用密闭车斗，并保证物料不</w:t>
      </w:r>
      <w:r>
        <w:rPr>
          <w:rFonts w:ascii="FangSong" w:hAnsi="FangSong" w:eastAsia="FangSong" w:cs="FangSong"/>
          <w:sz w:val="24"/>
          <w:szCs w:val="24"/>
          <w:spacing w:val="-4"/>
        </w:rPr>
        <w:t>遗撒外漏。</w:t>
      </w:r>
    </w:p>
    <w:p>
      <w:pPr>
        <w:ind w:left="29" w:right="65" w:firstLine="480"/>
        <w:spacing w:before="3" w:line="359" w:lineRule="auto"/>
        <w:jc w:val="both"/>
        <w:rPr>
          <w:rFonts w:ascii="FangSong" w:hAnsi="FangSong" w:eastAsia="FangSong" w:cs="FangSong"/>
          <w:sz w:val="24"/>
          <w:szCs w:val="24"/>
        </w:rPr>
      </w:pPr>
      <w:r>
        <w:rPr>
          <w:rFonts w:ascii="FangSong" w:hAnsi="FangSong" w:eastAsia="FangSong" w:cs="FangSong"/>
          <w:sz w:val="24"/>
          <w:szCs w:val="24"/>
          <w:spacing w:val="-3"/>
        </w:rPr>
        <w:t>若无密闭车斗，物料、垃圾等的装载高度不得超</w:t>
      </w:r>
      <w:r>
        <w:rPr>
          <w:rFonts w:ascii="FangSong" w:hAnsi="FangSong" w:eastAsia="FangSong" w:cs="FangSong"/>
          <w:sz w:val="24"/>
          <w:szCs w:val="24"/>
          <w:spacing w:val="-4"/>
        </w:rPr>
        <w:t>过车辆槽帮上沿，车斗应用</w:t>
      </w:r>
      <w:r>
        <w:rPr>
          <w:rFonts w:ascii="FangSong" w:hAnsi="FangSong" w:eastAsia="FangSong" w:cs="FangSong"/>
          <w:sz w:val="24"/>
          <w:szCs w:val="24"/>
          <w:spacing w:val="-1"/>
        </w:rPr>
        <w:t>苫布遮盖严实苫布边缘至少要遮住槽帮上沿以下</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
        </w:rPr>
        <w:t>15c</w:t>
      </w:r>
      <w:r>
        <w:rPr>
          <w:rFonts w:ascii="Times New Roman" w:hAnsi="Times New Roman" w:eastAsia="Times New Roman" w:cs="Times New Roman"/>
          <w:sz w:val="24"/>
          <w:szCs w:val="24"/>
          <w:spacing w:val="-2"/>
        </w:rPr>
        <w:t>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，保证物料、垃圾等不露</w:t>
      </w:r>
      <w:r>
        <w:rPr>
          <w:rFonts w:ascii="FangSong" w:hAnsi="FangSong" w:eastAsia="FangSong" w:cs="FangSong"/>
          <w:sz w:val="24"/>
          <w:szCs w:val="24"/>
          <w:spacing w:val="-1"/>
        </w:rPr>
        <w:t>出。车辆应按照批准的路线和时间进行物料、垃圾等的运输。</w:t>
      </w:r>
    </w:p>
    <w:p>
      <w:pPr>
        <w:ind w:left="29" w:right="65" w:firstLine="480"/>
        <w:spacing w:before="1" w:line="360" w:lineRule="auto"/>
        <w:jc w:val="both"/>
        <w:rPr>
          <w:rFonts w:ascii="FangSong" w:hAnsi="FangSong" w:eastAsia="FangSong" w:cs="FangSong"/>
          <w:sz w:val="24"/>
          <w:szCs w:val="24"/>
        </w:rPr>
      </w:pPr>
      <w:r>
        <w:rPr>
          <w:rFonts w:ascii="FangSong" w:hAnsi="FangSong" w:eastAsia="FangSong" w:cs="FangSong"/>
          <w:sz w:val="24"/>
          <w:szCs w:val="24"/>
          <w:spacing w:val="-3"/>
        </w:rPr>
        <w:t>施工期间，施工工地内及工地出口至道路间的车行</w:t>
      </w:r>
      <w:r>
        <w:rPr>
          <w:rFonts w:ascii="FangSong" w:hAnsi="FangSong" w:eastAsia="FangSong" w:cs="FangSong"/>
          <w:sz w:val="24"/>
          <w:szCs w:val="24"/>
          <w:spacing w:val="-4"/>
        </w:rPr>
        <w:t>道路，应采取下列措施之</w:t>
      </w:r>
      <w:r>
        <w:rPr>
          <w:rFonts w:ascii="FangSong" w:hAnsi="FangSong" w:eastAsia="FangSong" w:cs="FangSong"/>
          <w:sz w:val="24"/>
          <w:szCs w:val="24"/>
          <w:spacing w:val="-3"/>
        </w:rPr>
        <w:t>一，并保持路面清洁，防止机动车扬尘，并辅以喷水降尘等措施。可</w:t>
      </w:r>
      <w:r>
        <w:rPr>
          <w:rFonts w:ascii="FangSong" w:hAnsi="FangSong" w:eastAsia="FangSong" w:cs="FangSong"/>
          <w:sz w:val="24"/>
          <w:szCs w:val="24"/>
          <w:spacing w:val="-4"/>
        </w:rPr>
        <w:t>采用吸尘或</w:t>
      </w:r>
      <w:r>
        <w:rPr>
          <w:rFonts w:ascii="FangSong" w:hAnsi="FangSong" w:eastAsia="FangSong" w:cs="FangSong"/>
          <w:sz w:val="24"/>
          <w:szCs w:val="24"/>
          <w:spacing w:val="-3"/>
        </w:rPr>
        <w:t>水冲洗的方法清洁施工工地道路积尘，不得在未实施洒水等抑尘措施</w:t>
      </w:r>
      <w:r>
        <w:rPr>
          <w:rFonts w:ascii="FangSong" w:hAnsi="FangSong" w:eastAsia="FangSong" w:cs="FangSong"/>
          <w:sz w:val="24"/>
          <w:szCs w:val="24"/>
          <w:spacing w:val="-4"/>
        </w:rPr>
        <w:t>情况下进行</w:t>
      </w:r>
      <w:r>
        <w:rPr>
          <w:rFonts w:ascii="FangSong" w:hAnsi="FangSong" w:eastAsia="FangSong" w:cs="FangSong"/>
          <w:sz w:val="24"/>
          <w:szCs w:val="24"/>
          <w:spacing w:val="-4"/>
        </w:rPr>
        <w:t>直接清扫。</w:t>
      </w:r>
    </w:p>
    <w:p>
      <w:pPr>
        <w:ind w:left="22"/>
        <w:spacing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7.1.3.3  </w:t>
      </w:r>
      <w:r>
        <w:rPr>
          <w:rFonts w:ascii="FangSong" w:hAnsi="FangSong" w:eastAsia="FangSong" w:cs="FangSong"/>
          <w:sz w:val="24"/>
          <w:szCs w:val="24"/>
          <w:b/>
          <w:bCs/>
          <w:spacing w:val="-2"/>
        </w:rPr>
        <w:t>车辆尾气防治措施</w:t>
      </w:r>
    </w:p>
    <w:p>
      <w:pPr>
        <w:ind w:left="30" w:right="26" w:firstLine="478"/>
        <w:spacing w:before="183" w:line="360" w:lineRule="auto"/>
        <w:jc w:val="both"/>
        <w:rPr>
          <w:rFonts w:ascii="FangSong" w:hAnsi="FangSong" w:eastAsia="FangSong" w:cs="FangSong"/>
          <w:sz w:val="24"/>
          <w:szCs w:val="24"/>
        </w:rPr>
      </w:pPr>
      <w:r>
        <w:rPr>
          <w:rFonts w:ascii="FangSong" w:hAnsi="FangSong" w:eastAsia="FangSong" w:cs="FangSong"/>
          <w:sz w:val="24"/>
          <w:szCs w:val="24"/>
          <w:spacing w:val="-3"/>
        </w:rPr>
        <w:t>针对施工机械及运输车辆尾气排放，环评建议企业</w:t>
      </w:r>
      <w:r>
        <w:rPr>
          <w:rFonts w:ascii="FangSong" w:hAnsi="FangSong" w:eastAsia="FangSong" w:cs="FangSong"/>
          <w:sz w:val="24"/>
          <w:szCs w:val="24"/>
          <w:spacing w:val="-4"/>
        </w:rPr>
        <w:t>在施工期加强施工机械及</w:t>
      </w:r>
      <w:r>
        <w:rPr>
          <w:rFonts w:ascii="FangSong" w:hAnsi="FangSong" w:eastAsia="FangSong" w:cs="FangSong"/>
          <w:sz w:val="24"/>
          <w:szCs w:val="24"/>
          <w:spacing w:val="-2"/>
        </w:rPr>
        <w:t>车辆的管理，进行定期保养和维护，选用符合国家规定的尾气达标的施工</w:t>
      </w:r>
      <w:r>
        <w:rPr>
          <w:rFonts w:ascii="FangSong" w:hAnsi="FangSong" w:eastAsia="FangSong" w:cs="FangSong"/>
          <w:sz w:val="24"/>
          <w:szCs w:val="24"/>
          <w:spacing w:val="-3"/>
        </w:rPr>
        <w:t>机械，</w:t>
      </w:r>
      <w:r>
        <w:rPr>
          <w:rFonts w:ascii="FangSong" w:hAnsi="FangSong" w:eastAsia="FangSong" w:cs="FangSong"/>
          <w:sz w:val="24"/>
          <w:szCs w:val="24"/>
          <w:spacing w:val="-1"/>
        </w:rPr>
        <w:t>确保施工机械尾气排放不对周围环境空气产生明显不利影响。</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7.1.3.4</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小结</w:t>
      </w:r>
    </w:p>
    <w:p>
      <w:pPr>
        <w:ind w:left="31" w:right="65" w:firstLine="509"/>
        <w:spacing w:before="176" w:line="361" w:lineRule="auto"/>
        <w:rPr>
          <w:rFonts w:ascii="FangSong" w:hAnsi="FangSong" w:eastAsia="FangSong" w:cs="FangSong"/>
          <w:sz w:val="24"/>
          <w:szCs w:val="24"/>
        </w:rPr>
      </w:pPr>
      <w:r>
        <w:rPr>
          <w:rFonts w:ascii="FangSong" w:hAnsi="FangSong" w:eastAsia="FangSong" w:cs="FangSong"/>
          <w:sz w:val="24"/>
          <w:szCs w:val="24"/>
          <w:spacing w:val="-4"/>
        </w:rPr>
        <w:t>由于施工期扬尘具有尘粒较大、沉降快，影响范围较</w:t>
      </w:r>
      <w:r>
        <w:rPr>
          <w:rFonts w:ascii="FangSong" w:hAnsi="FangSong" w:eastAsia="FangSong" w:cs="FangSong"/>
          <w:sz w:val="24"/>
          <w:szCs w:val="24"/>
          <w:spacing w:val="-5"/>
        </w:rPr>
        <w:t>小的特点，按评价要求</w:t>
      </w:r>
      <w:r>
        <w:rPr>
          <w:rFonts w:ascii="FangSong" w:hAnsi="FangSong" w:eastAsia="FangSong" w:cs="FangSong"/>
          <w:sz w:val="24"/>
          <w:szCs w:val="24"/>
          <w:spacing w:val="-3"/>
        </w:rPr>
        <w:t>采取以上措施后，施工期间扬尘对周围环境影响可得到控制，</w:t>
      </w:r>
      <w:r>
        <w:rPr>
          <w:rFonts w:ascii="FangSong" w:hAnsi="FangSong" w:eastAsia="FangSong" w:cs="FangSong"/>
          <w:sz w:val="24"/>
          <w:szCs w:val="24"/>
          <w:spacing w:val="-4"/>
        </w:rPr>
        <w:t>且施工期扬尘污染</w:t>
      </w:r>
    </w:p>
    <w:p>
      <w:pPr>
        <w:spacing w:line="361" w:lineRule="auto"/>
        <w:sectPr>
          <w:footerReference w:type="default" r:id="rId332"/>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2"/>
        <w:spacing w:before="78" w:line="220" w:lineRule="auto"/>
        <w:rPr>
          <w:rFonts w:ascii="FangSong" w:hAnsi="FangSong" w:eastAsia="FangSong" w:cs="FangSong"/>
          <w:sz w:val="24"/>
          <w:szCs w:val="24"/>
        </w:rPr>
      </w:pPr>
      <w:r>
        <w:rPr>
          <w:rFonts w:ascii="FangSong" w:hAnsi="FangSong" w:eastAsia="FangSong" w:cs="FangSong"/>
          <w:sz w:val="24"/>
          <w:szCs w:val="24"/>
          <w:spacing w:val="-1"/>
        </w:rPr>
        <w:t>影响是局部的、短期的，施工期结束后这种影响就会消失，措施可行。</w:t>
      </w:r>
    </w:p>
    <w:p>
      <w:pPr>
        <w:ind w:left="22"/>
        <w:spacing w:before="181" w:line="221" w:lineRule="auto"/>
        <w:outlineLvl w:val="2"/>
        <w:rPr>
          <w:rFonts w:ascii="FangSong" w:hAnsi="FangSong" w:eastAsia="FangSong" w:cs="FangSong"/>
          <w:sz w:val="24"/>
          <w:szCs w:val="24"/>
        </w:rPr>
      </w:pPr>
      <w:bookmarkStart w:name="bookmark316" w:id="428"/>
      <w:bookmarkEnd w:id="428"/>
      <w:bookmarkStart w:name="bookmark315" w:id="429"/>
      <w:bookmarkEnd w:id="429"/>
      <w:r>
        <w:rPr>
          <w:rFonts w:ascii="Times New Roman" w:hAnsi="Times New Roman" w:eastAsia="Times New Roman" w:cs="Times New Roman"/>
          <w:sz w:val="24"/>
          <w:szCs w:val="24"/>
          <w:b/>
          <w:bCs/>
          <w:spacing w:val="-2"/>
        </w:rPr>
        <w:t>7.1.4  </w:t>
      </w:r>
      <w:r>
        <w:rPr>
          <w:rFonts w:ascii="FangSong" w:hAnsi="FangSong" w:eastAsia="FangSong" w:cs="FangSong"/>
          <w:sz w:val="24"/>
          <w:szCs w:val="24"/>
          <w:b/>
          <w:bCs/>
          <w:spacing w:val="-2"/>
        </w:rPr>
        <w:t>声环境保护措施</w:t>
      </w:r>
    </w:p>
    <w:p>
      <w:pPr>
        <w:ind w:left="29" w:right="65" w:firstLine="480"/>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施工场地噪声对环境的影响较大，因此在工程建设</w:t>
      </w:r>
      <w:r>
        <w:rPr>
          <w:rFonts w:ascii="FangSong" w:hAnsi="FangSong" w:eastAsia="FangSong" w:cs="FangSong"/>
          <w:sz w:val="24"/>
          <w:szCs w:val="24"/>
          <w:spacing w:val="-4"/>
        </w:rPr>
        <w:t>阶段，施工单位应采取噪</w:t>
      </w:r>
      <w:r>
        <w:rPr>
          <w:rFonts w:ascii="FangSong" w:hAnsi="FangSong" w:eastAsia="FangSong" w:cs="FangSong"/>
          <w:sz w:val="24"/>
          <w:szCs w:val="24"/>
          <w:spacing w:val="-3"/>
        </w:rPr>
        <w:t>声防治措施，对施工噪声进行控制，最大限度地减少噪声对环境的影</w:t>
      </w:r>
      <w:r>
        <w:rPr>
          <w:rFonts w:ascii="FangSong" w:hAnsi="FangSong" w:eastAsia="FangSong" w:cs="FangSong"/>
          <w:sz w:val="24"/>
          <w:szCs w:val="24"/>
          <w:spacing w:val="-4"/>
        </w:rPr>
        <w:t>响。环评建</w:t>
      </w:r>
      <w:r>
        <w:rPr>
          <w:rFonts w:ascii="FangSong" w:hAnsi="FangSong" w:eastAsia="FangSong" w:cs="FangSong"/>
          <w:sz w:val="24"/>
          <w:szCs w:val="24"/>
          <w:spacing w:val="-2"/>
        </w:rPr>
        <w:t>议采取以下措施：</w:t>
      </w:r>
    </w:p>
    <w:p>
      <w:pPr>
        <w:ind w:left="514"/>
        <w:spacing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）合理安排施工时间</w:t>
      </w:r>
    </w:p>
    <w:p>
      <w:pPr>
        <w:ind w:left="29" w:right="8"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施工单位事先必须制定合理的施工计划，应尽可能</w:t>
      </w:r>
      <w:r>
        <w:rPr>
          <w:rFonts w:ascii="FangSong" w:hAnsi="FangSong" w:eastAsia="FangSong" w:cs="FangSong"/>
          <w:sz w:val="24"/>
          <w:szCs w:val="24"/>
          <w:spacing w:val="-4"/>
        </w:rPr>
        <w:t>避免大量高噪声设备同时</w:t>
      </w:r>
      <w:r>
        <w:rPr>
          <w:rFonts w:ascii="FangSong" w:hAnsi="FangSong" w:eastAsia="FangSong" w:cs="FangSong"/>
          <w:sz w:val="24"/>
          <w:szCs w:val="24"/>
          <w:spacing w:val="-3"/>
        </w:rPr>
        <w:t>施工，避免在同一地点安装大量动力机械设备，避免局部声级过高，</w:t>
      </w:r>
      <w:r>
        <w:rPr>
          <w:rFonts w:ascii="FangSong" w:hAnsi="FangSong" w:eastAsia="FangSong" w:cs="FangSong"/>
          <w:sz w:val="24"/>
          <w:szCs w:val="24"/>
          <w:spacing w:val="-4"/>
        </w:rPr>
        <w:t>高噪声施工</w:t>
      </w:r>
      <w:r>
        <w:rPr>
          <w:rFonts w:ascii="FangSong" w:hAnsi="FangSong" w:eastAsia="FangSong" w:cs="FangSong"/>
          <w:sz w:val="24"/>
          <w:szCs w:val="24"/>
          <w:spacing w:val="-2"/>
        </w:rPr>
        <w:t>工程应尽量安排在白天，对建筑施工噪声控制重点是严格管理，禁止夜间施工。</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）合理布局施工场地</w:t>
      </w:r>
    </w:p>
    <w:p>
      <w:pPr>
        <w:ind w:left="29" w:right="26" w:firstLine="480"/>
        <w:spacing w:before="182" w:line="360" w:lineRule="auto"/>
        <w:rPr>
          <w:rFonts w:ascii="FangSong" w:hAnsi="FangSong" w:eastAsia="FangSong" w:cs="FangSong"/>
          <w:sz w:val="24"/>
          <w:szCs w:val="24"/>
        </w:rPr>
      </w:pPr>
      <w:r>
        <w:rPr>
          <w:rFonts w:ascii="FangSong" w:hAnsi="FangSong" w:eastAsia="FangSong" w:cs="FangSong"/>
          <w:sz w:val="24"/>
          <w:szCs w:val="24"/>
          <w:spacing w:val="-3"/>
        </w:rPr>
        <w:t>根据当地风向、风速变化规律，合理布置施工</w:t>
      </w:r>
      <w:r>
        <w:rPr>
          <w:rFonts w:ascii="FangSong" w:hAnsi="FangSong" w:eastAsia="FangSong" w:cs="FangSong"/>
          <w:sz w:val="24"/>
          <w:szCs w:val="24"/>
          <w:spacing w:val="-4"/>
        </w:rPr>
        <w:t>场地，对高噪声污染设备应设</w:t>
      </w:r>
      <w:r>
        <w:rPr>
          <w:rFonts w:ascii="FangSong" w:hAnsi="FangSong" w:eastAsia="FangSong" w:cs="FangSong"/>
          <w:sz w:val="24"/>
          <w:szCs w:val="24"/>
          <w:spacing w:val="-2"/>
        </w:rPr>
        <w:t>置隔声间操作，减少施工噪声对周围环境的影响。对位置相对固定的机械设</w:t>
      </w:r>
      <w:r>
        <w:rPr>
          <w:rFonts w:ascii="FangSong" w:hAnsi="FangSong" w:eastAsia="FangSong" w:cs="FangSong"/>
          <w:sz w:val="24"/>
          <w:szCs w:val="24"/>
          <w:spacing w:val="-3"/>
        </w:rPr>
        <w:t>备，</w:t>
      </w:r>
      <w:r>
        <w:rPr>
          <w:rFonts w:ascii="FangSong" w:hAnsi="FangSong" w:eastAsia="FangSong" w:cs="FangSong"/>
          <w:sz w:val="24"/>
          <w:szCs w:val="24"/>
          <w:spacing w:val="-1"/>
        </w:rPr>
        <w:t>尽可能于棚内进行操作，不能入棚的，可适当建立单面声障。</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）降低设备声级</w:t>
      </w:r>
    </w:p>
    <w:p>
      <w:pPr>
        <w:ind w:left="29" w:right="65"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应尽量采用低噪声施工设备，如以液压机械代替</w:t>
      </w:r>
      <w:r>
        <w:rPr>
          <w:rFonts w:ascii="FangSong" w:hAnsi="FangSong" w:eastAsia="FangSong" w:cs="FangSong"/>
          <w:sz w:val="24"/>
          <w:szCs w:val="24"/>
          <w:spacing w:val="-4"/>
        </w:rPr>
        <w:t>燃油机械，振捣器采用高频</w:t>
      </w:r>
      <w:r>
        <w:rPr>
          <w:rFonts w:ascii="FangSong" w:hAnsi="FangSong" w:eastAsia="FangSong" w:cs="FangSong"/>
          <w:sz w:val="24"/>
          <w:szCs w:val="24"/>
          <w:spacing w:val="-3"/>
        </w:rPr>
        <w:t>振捣器等；固定机械设备与挖土、运土机械，如挖土机、推土机等，</w:t>
      </w:r>
      <w:r>
        <w:rPr>
          <w:rFonts w:ascii="FangSong" w:hAnsi="FangSong" w:eastAsia="FangSong" w:cs="FangSong"/>
          <w:sz w:val="24"/>
          <w:szCs w:val="24"/>
          <w:spacing w:val="-4"/>
        </w:rPr>
        <w:t>可通过排气</w:t>
      </w:r>
      <w:r>
        <w:rPr>
          <w:rFonts w:ascii="FangSong" w:hAnsi="FangSong" w:eastAsia="FangSong" w:cs="FangSong"/>
          <w:sz w:val="24"/>
          <w:szCs w:val="24"/>
          <w:spacing w:val="-3"/>
        </w:rPr>
        <w:t>管消音器和隔离发动机振动部件的方法降低噪声；对动力机械设备和</w:t>
      </w:r>
      <w:r>
        <w:rPr>
          <w:rFonts w:ascii="FangSong" w:hAnsi="FangSong" w:eastAsia="FangSong" w:cs="FangSong"/>
          <w:sz w:val="24"/>
          <w:szCs w:val="24"/>
          <w:spacing w:val="-4"/>
        </w:rPr>
        <w:t>运输车辆进</w:t>
      </w:r>
      <w:r>
        <w:rPr>
          <w:rFonts w:ascii="FangSong" w:hAnsi="FangSong" w:eastAsia="FangSong" w:cs="FangSong"/>
          <w:sz w:val="24"/>
          <w:szCs w:val="24"/>
          <w:spacing w:val="-2"/>
        </w:rPr>
        <w:t>行定期的维修和养护。</w:t>
      </w:r>
    </w:p>
    <w:p>
      <w:pPr>
        <w:ind w:left="22"/>
        <w:spacing w:before="1" w:line="220" w:lineRule="auto"/>
        <w:outlineLvl w:val="2"/>
        <w:rPr>
          <w:rFonts w:ascii="FangSong" w:hAnsi="FangSong" w:eastAsia="FangSong" w:cs="FangSong"/>
          <w:sz w:val="24"/>
          <w:szCs w:val="24"/>
        </w:rPr>
      </w:pPr>
      <w:bookmarkStart w:name="bookmark318" w:id="430"/>
      <w:bookmarkEnd w:id="430"/>
      <w:bookmarkStart w:name="bookmark317" w:id="431"/>
      <w:bookmarkEnd w:id="431"/>
      <w:r>
        <w:rPr>
          <w:rFonts w:ascii="Times New Roman" w:hAnsi="Times New Roman" w:eastAsia="Times New Roman" w:cs="Times New Roman"/>
          <w:sz w:val="24"/>
          <w:szCs w:val="24"/>
          <w:b/>
          <w:bCs/>
          <w:spacing w:val="-5"/>
        </w:rPr>
        <w:t>7.1.5</w:t>
      </w:r>
      <w:r>
        <w:rPr>
          <w:rFonts w:ascii="Times New Roman" w:hAnsi="Times New Roman" w:eastAsia="Times New Roman" w:cs="Times New Roman"/>
          <w:sz w:val="24"/>
          <w:szCs w:val="24"/>
          <w:b/>
          <w:bCs/>
          <w:spacing w:val="25"/>
        </w:rPr>
        <w:t xml:space="preserve">  </w:t>
      </w:r>
      <w:r>
        <w:rPr>
          <w:rFonts w:ascii="FangSong" w:hAnsi="FangSong" w:eastAsia="FangSong" w:cs="FangSong"/>
          <w:sz w:val="24"/>
          <w:szCs w:val="24"/>
          <w:b/>
          <w:bCs/>
          <w:spacing w:val="-5"/>
        </w:rPr>
        <w:t>固体废物污染防治措施</w:t>
      </w:r>
    </w:p>
    <w:p>
      <w:pPr>
        <w:ind w:left="31" w:right="65" w:firstLine="479"/>
        <w:spacing w:before="181" w:line="360" w:lineRule="auto"/>
        <w:rPr>
          <w:rFonts w:ascii="FangSong" w:hAnsi="FangSong" w:eastAsia="FangSong" w:cs="FangSong"/>
          <w:sz w:val="24"/>
          <w:szCs w:val="24"/>
        </w:rPr>
      </w:pPr>
      <w:r>
        <w:rPr>
          <w:rFonts w:ascii="FangSong" w:hAnsi="FangSong" w:eastAsia="FangSong" w:cs="FangSong"/>
          <w:sz w:val="24"/>
          <w:szCs w:val="24"/>
          <w:spacing w:val="-3"/>
        </w:rPr>
        <w:t>项目施工期固废主要为施工废石及剥离表土、</w:t>
      </w:r>
      <w:r>
        <w:rPr>
          <w:rFonts w:ascii="FangSong" w:hAnsi="FangSong" w:eastAsia="FangSong" w:cs="FangSong"/>
          <w:sz w:val="24"/>
          <w:szCs w:val="24"/>
          <w:spacing w:val="-4"/>
        </w:rPr>
        <w:t>施工建筑垃圾及施工人员生活</w:t>
      </w:r>
      <w:r>
        <w:rPr>
          <w:rFonts w:ascii="FangSong" w:hAnsi="FangSong" w:eastAsia="FangSong" w:cs="FangSong"/>
          <w:sz w:val="24"/>
          <w:szCs w:val="24"/>
          <w:spacing w:val="-6"/>
        </w:rPr>
        <w:t>垃圾。</w:t>
      </w:r>
    </w:p>
    <w:p>
      <w:pPr>
        <w:ind w:left="29" w:firstLine="481"/>
        <w:spacing w:before="6" w:line="359" w:lineRule="auto"/>
        <w:jc w:val="both"/>
        <w:rPr>
          <w:rFonts w:ascii="FangSong" w:hAnsi="FangSong" w:eastAsia="FangSong" w:cs="FangSong"/>
          <w:sz w:val="24"/>
          <w:szCs w:val="24"/>
        </w:rPr>
      </w:pPr>
      <w:r>
        <w:rPr>
          <w:rFonts w:ascii="FangSong" w:hAnsi="FangSong" w:eastAsia="FangSong" w:cs="FangSong"/>
          <w:sz w:val="24"/>
          <w:szCs w:val="24"/>
          <w:spacing w:val="-3"/>
        </w:rPr>
        <w:t>项目施工期废石主要为巷道、井下掘进开拓产</w:t>
      </w:r>
      <w:r>
        <w:rPr>
          <w:rFonts w:ascii="FangSong" w:hAnsi="FangSong" w:eastAsia="FangSong" w:cs="FangSong"/>
          <w:sz w:val="24"/>
          <w:szCs w:val="24"/>
          <w:spacing w:val="-4"/>
        </w:rPr>
        <w:t>生的，施工废石不出井，回填</w:t>
      </w:r>
      <w:r>
        <w:rPr>
          <w:rFonts w:ascii="FangSong" w:hAnsi="FangSong" w:eastAsia="FangSong" w:cs="FangSong"/>
          <w:sz w:val="24"/>
          <w:szCs w:val="24"/>
          <w:spacing w:val="-3"/>
        </w:rPr>
        <w:t>地下空区使用，项目在进行办公生活区、工业广场、道路建设时需剥</w:t>
      </w:r>
      <w:r>
        <w:rPr>
          <w:rFonts w:ascii="FangSong" w:hAnsi="FangSong" w:eastAsia="FangSong" w:cs="FangSong"/>
          <w:sz w:val="24"/>
          <w:szCs w:val="24"/>
          <w:spacing w:val="-4"/>
        </w:rPr>
        <w:t>离表土及产</w:t>
      </w:r>
      <w:r>
        <w:rPr>
          <w:rFonts w:ascii="FangSong" w:hAnsi="FangSong" w:eastAsia="FangSong" w:cs="FangSong"/>
          <w:sz w:val="24"/>
          <w:szCs w:val="24"/>
          <w:spacing w:val="-3"/>
        </w:rPr>
        <w:t>生挖方，拟将剥离的表土部分用于基建期结束场地平整后覆土，余下</w:t>
      </w:r>
      <w:r>
        <w:rPr>
          <w:rFonts w:ascii="FangSong" w:hAnsi="FangSong" w:eastAsia="FangSong" w:cs="FangSong"/>
          <w:sz w:val="24"/>
          <w:szCs w:val="24"/>
          <w:spacing w:val="-4"/>
        </w:rPr>
        <w:t>部分堆存于</w:t>
      </w:r>
      <w:r>
        <w:rPr>
          <w:rFonts w:ascii="FangSong" w:hAnsi="FangSong" w:eastAsia="FangSong" w:cs="FangSong"/>
          <w:sz w:val="24"/>
          <w:szCs w:val="24"/>
          <w:spacing w:val="-8"/>
        </w:rPr>
        <w:t>表土堆场中，用于结束期后的矿山环境恢复治理，产生的挖方暂时堆放于堆场中，</w:t>
      </w:r>
      <w:r>
        <w:rPr>
          <w:rFonts w:ascii="FangSong" w:hAnsi="FangSong" w:eastAsia="FangSong" w:cs="FangSong"/>
          <w:sz w:val="24"/>
          <w:szCs w:val="24"/>
          <w:spacing w:val="-1"/>
        </w:rPr>
        <w:t>施工结束后全部回填用于场地平整。</w:t>
      </w:r>
    </w:p>
    <w:p>
      <w:pPr>
        <w:ind w:left="31" w:right="65" w:firstLine="477"/>
        <w:spacing w:before="1" w:line="360" w:lineRule="auto"/>
        <w:rPr>
          <w:rFonts w:ascii="FangSong" w:hAnsi="FangSong" w:eastAsia="FangSong" w:cs="FangSong"/>
          <w:sz w:val="24"/>
          <w:szCs w:val="24"/>
        </w:rPr>
      </w:pPr>
      <w:r>
        <w:rPr>
          <w:rFonts w:ascii="FangSong" w:hAnsi="FangSong" w:eastAsia="FangSong" w:cs="FangSong"/>
          <w:sz w:val="24"/>
          <w:szCs w:val="24"/>
          <w:spacing w:val="-3"/>
        </w:rPr>
        <w:t>施工人员的生活垃圾，集中存放于施工场地的垃圾</w:t>
      </w:r>
      <w:r>
        <w:rPr>
          <w:rFonts w:ascii="FangSong" w:hAnsi="FangSong" w:eastAsia="FangSong" w:cs="FangSong"/>
          <w:sz w:val="24"/>
          <w:szCs w:val="24"/>
          <w:spacing w:val="-4"/>
        </w:rPr>
        <w:t>箱内，定期交环卫部门处</w:t>
      </w:r>
      <w:r>
        <w:rPr>
          <w:rFonts w:ascii="FangSong" w:hAnsi="FangSong" w:eastAsia="FangSong" w:cs="FangSong"/>
          <w:sz w:val="24"/>
          <w:szCs w:val="24"/>
          <w:spacing w:val="-9"/>
        </w:rPr>
        <w:t>理。</w:t>
      </w:r>
    </w:p>
    <w:p>
      <w:pPr>
        <w:ind w:left="511"/>
        <w:spacing w:line="219" w:lineRule="auto"/>
        <w:rPr>
          <w:rFonts w:ascii="FangSong" w:hAnsi="FangSong" w:eastAsia="FangSong" w:cs="FangSong"/>
          <w:sz w:val="24"/>
          <w:szCs w:val="24"/>
        </w:rPr>
      </w:pPr>
      <w:r>
        <w:rPr>
          <w:rFonts w:ascii="FangSong" w:hAnsi="FangSong" w:eastAsia="FangSong" w:cs="FangSong"/>
          <w:sz w:val="24"/>
          <w:szCs w:val="24"/>
          <w:spacing w:val="-3"/>
        </w:rPr>
        <w:t>在项目竣工以后，施工单位应立即拆除各种</w:t>
      </w:r>
      <w:r>
        <w:rPr>
          <w:rFonts w:ascii="FangSong" w:hAnsi="FangSong" w:eastAsia="FangSong" w:cs="FangSong"/>
          <w:sz w:val="24"/>
          <w:szCs w:val="24"/>
          <w:spacing w:val="-4"/>
        </w:rPr>
        <w:t>临时施工设施，能回收利用的尽</w:t>
      </w:r>
    </w:p>
    <w:p>
      <w:pPr>
        <w:spacing w:line="219" w:lineRule="auto"/>
        <w:sectPr>
          <w:footerReference w:type="default" r:id="rId333"/>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8" w:right="203" w:firstLine="5"/>
        <w:spacing w:before="78" w:line="360" w:lineRule="auto"/>
        <w:rPr>
          <w:rFonts w:ascii="FangSong" w:hAnsi="FangSong" w:eastAsia="FangSong" w:cs="FangSong"/>
          <w:sz w:val="24"/>
          <w:szCs w:val="24"/>
        </w:rPr>
      </w:pPr>
      <w:bookmarkStart w:name="bookmark604" w:id="432"/>
      <w:bookmarkEnd w:id="432"/>
      <w:r>
        <w:rPr>
          <w:rFonts w:ascii="FangSong" w:hAnsi="FangSong" w:eastAsia="FangSong" w:cs="FangSong"/>
          <w:sz w:val="24"/>
          <w:szCs w:val="24"/>
          <w:spacing w:val="-3"/>
        </w:rPr>
        <w:t>量回收利用，不能回收利用的少量建筑垃圾统一拉运至当</w:t>
      </w:r>
      <w:r>
        <w:rPr>
          <w:rFonts w:ascii="FangSong" w:hAnsi="FangSong" w:eastAsia="FangSong" w:cs="FangSong"/>
          <w:sz w:val="24"/>
          <w:szCs w:val="24"/>
          <w:spacing w:val="-4"/>
        </w:rPr>
        <w:t>地人民政府指定建筑垃</w:t>
      </w:r>
      <w:r>
        <w:rPr>
          <w:rFonts w:ascii="FangSong" w:hAnsi="FangSong" w:eastAsia="FangSong" w:cs="FangSong"/>
          <w:sz w:val="24"/>
          <w:szCs w:val="24"/>
          <w:spacing w:val="-1"/>
        </w:rPr>
        <w:t>圾填埋场处理，严禁将建筑垃圾随意丢弃在项目区内或回填采坑。</w:t>
      </w:r>
    </w:p>
    <w:p>
      <w:pPr>
        <w:ind w:left="31" w:right="203" w:firstLine="478"/>
        <w:spacing w:before="1" w:line="360" w:lineRule="auto"/>
        <w:rPr>
          <w:rFonts w:ascii="FangSong" w:hAnsi="FangSong" w:eastAsia="FangSong" w:cs="FangSong"/>
          <w:sz w:val="24"/>
          <w:szCs w:val="24"/>
        </w:rPr>
      </w:pPr>
      <w:r>
        <w:rPr>
          <w:rFonts w:ascii="FangSong" w:hAnsi="FangSong" w:eastAsia="FangSong" w:cs="FangSong"/>
          <w:sz w:val="24"/>
          <w:szCs w:val="24"/>
          <w:spacing w:val="-3"/>
        </w:rPr>
        <w:t>经以上各项措施处理后，本项目施工产生的固体</w:t>
      </w:r>
      <w:r>
        <w:rPr>
          <w:rFonts w:ascii="FangSong" w:hAnsi="FangSong" w:eastAsia="FangSong" w:cs="FangSong"/>
          <w:sz w:val="24"/>
          <w:szCs w:val="24"/>
          <w:spacing w:val="-4"/>
        </w:rPr>
        <w:t>废物可得到妥善的处置，对</w:t>
      </w:r>
      <w:r>
        <w:rPr>
          <w:rFonts w:ascii="FangSong" w:hAnsi="FangSong" w:eastAsia="FangSong" w:cs="FangSong"/>
          <w:sz w:val="24"/>
          <w:szCs w:val="24"/>
          <w:spacing w:val="-2"/>
        </w:rPr>
        <w:t>周围环境影响是可以接受的。</w:t>
      </w:r>
    </w:p>
    <w:p>
      <w:pPr>
        <w:ind w:left="22"/>
        <w:spacing w:before="1" w:line="220" w:lineRule="auto"/>
        <w:outlineLvl w:val="2"/>
        <w:rPr>
          <w:rFonts w:ascii="FangSong" w:hAnsi="FangSong" w:eastAsia="FangSong" w:cs="FangSong"/>
          <w:sz w:val="24"/>
          <w:szCs w:val="24"/>
        </w:rPr>
      </w:pPr>
      <w:bookmarkStart w:name="bookmark320" w:id="433"/>
      <w:bookmarkEnd w:id="433"/>
      <w:bookmarkStart w:name="bookmark319" w:id="434"/>
      <w:bookmarkEnd w:id="434"/>
      <w:r>
        <w:rPr>
          <w:rFonts w:ascii="Times New Roman" w:hAnsi="Times New Roman" w:eastAsia="Times New Roman" w:cs="Times New Roman"/>
          <w:sz w:val="24"/>
          <w:szCs w:val="24"/>
          <w:b/>
          <w:bCs/>
          <w:spacing w:val="-4"/>
        </w:rPr>
        <w:t>7.1.1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生态环境保护措施</w:t>
      </w:r>
    </w:p>
    <w:p>
      <w:pPr>
        <w:ind w:left="22"/>
        <w:spacing w:before="181"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7.1.1.1  </w:t>
      </w:r>
      <w:r>
        <w:rPr>
          <w:rFonts w:ascii="FangSong" w:hAnsi="FangSong" w:eastAsia="FangSong" w:cs="FangSong"/>
          <w:sz w:val="24"/>
          <w:szCs w:val="24"/>
          <w:b/>
          <w:bCs/>
          <w:spacing w:val="-2"/>
        </w:rPr>
        <w:t>环境管理要求</w:t>
      </w:r>
    </w:p>
    <w:p>
      <w:pPr>
        <w:ind w:left="30" w:right="203"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严格控制项目永久用地和临时用地面积。项</w:t>
      </w:r>
      <w:r>
        <w:rPr>
          <w:rFonts w:ascii="FangSong" w:hAnsi="FangSong" w:eastAsia="FangSong" w:cs="FangSong"/>
          <w:sz w:val="24"/>
          <w:szCs w:val="24"/>
          <w:spacing w:val="-4"/>
        </w:rPr>
        <w:t>目施工期临时占地均位于永久占</w:t>
      </w:r>
      <w:r>
        <w:rPr>
          <w:rFonts w:ascii="FangSong" w:hAnsi="FangSong" w:eastAsia="FangSong" w:cs="FangSong"/>
          <w:sz w:val="24"/>
          <w:szCs w:val="24"/>
          <w:spacing w:val="-3"/>
        </w:rPr>
        <w:t>地范围内，项目永久占地主要为办公生活区、工业广场、矿区道</w:t>
      </w:r>
      <w:r>
        <w:rPr>
          <w:rFonts w:ascii="FangSong" w:hAnsi="FangSong" w:eastAsia="FangSong" w:cs="FangSong"/>
          <w:sz w:val="24"/>
          <w:szCs w:val="24"/>
          <w:spacing w:val="-4"/>
        </w:rPr>
        <w:t>路等单项工程占</w:t>
      </w:r>
      <w:r>
        <w:rPr>
          <w:rFonts w:ascii="FangSong" w:hAnsi="FangSong" w:eastAsia="FangSong" w:cs="FangSong"/>
          <w:sz w:val="24"/>
          <w:szCs w:val="24"/>
          <w:spacing w:val="4"/>
        </w:rPr>
        <w:t>地引起的这些单项工程的占地面积应严格控制在经批准</w:t>
      </w:r>
      <w:r>
        <w:rPr>
          <w:rFonts w:ascii="FangSong" w:hAnsi="FangSong" w:eastAsia="FangSong" w:cs="FangSong"/>
          <w:sz w:val="24"/>
          <w:szCs w:val="24"/>
          <w:spacing w:val="3"/>
        </w:rPr>
        <w:t>的设计文件限定的范围</w:t>
      </w:r>
      <w:r>
        <w:rPr>
          <w:rFonts w:ascii="FangSong" w:hAnsi="FangSong" w:eastAsia="FangSong" w:cs="FangSong"/>
          <w:sz w:val="24"/>
          <w:szCs w:val="24"/>
          <w:spacing w:val="-3"/>
        </w:rPr>
        <w:t>内，若要扩大，必须报批后才能实施。尾矿堆放于尾矿临时堆场</w:t>
      </w:r>
      <w:r>
        <w:rPr>
          <w:rFonts w:ascii="FangSong" w:hAnsi="FangSong" w:eastAsia="FangSong" w:cs="FangSong"/>
          <w:sz w:val="24"/>
          <w:szCs w:val="24"/>
          <w:spacing w:val="-4"/>
        </w:rPr>
        <w:t>，严禁超范围的</w:t>
      </w:r>
      <w:r>
        <w:rPr>
          <w:rFonts w:ascii="FangSong" w:hAnsi="FangSong" w:eastAsia="FangSong" w:cs="FangSong"/>
          <w:sz w:val="24"/>
          <w:szCs w:val="24"/>
          <w:spacing w:val="-3"/>
        </w:rPr>
        <w:t>胡乱堆放，且必须沿矿区道路将尾矿运到尾矿临时堆场堆放，严</w:t>
      </w:r>
      <w:r>
        <w:rPr>
          <w:rFonts w:ascii="FangSong" w:hAnsi="FangSong" w:eastAsia="FangSong" w:cs="FangSong"/>
          <w:sz w:val="24"/>
          <w:szCs w:val="24"/>
          <w:spacing w:val="-4"/>
        </w:rPr>
        <w:t>禁随意碾压矿区</w:t>
      </w:r>
      <w:r>
        <w:rPr>
          <w:rFonts w:ascii="FangSong" w:hAnsi="FangSong" w:eastAsia="FangSong" w:cs="FangSong"/>
          <w:sz w:val="24"/>
          <w:szCs w:val="24"/>
          <w:spacing w:val="-3"/>
        </w:rPr>
        <w:t>道路以外的区域。</w:t>
      </w:r>
    </w:p>
    <w:p>
      <w:pPr>
        <w:ind w:left="29" w:firstLine="480"/>
        <w:spacing w:before="6" w:line="359" w:lineRule="auto"/>
        <w:jc w:val="both"/>
        <w:rPr>
          <w:rFonts w:ascii="FangSong" w:hAnsi="FangSong" w:eastAsia="FangSong" w:cs="FangSong"/>
          <w:sz w:val="24"/>
          <w:szCs w:val="24"/>
        </w:rPr>
      </w:pPr>
      <w:r>
        <w:rPr>
          <w:rFonts w:ascii="FangSong" w:hAnsi="FangSong" w:eastAsia="FangSong" w:cs="FangSong"/>
          <w:sz w:val="24"/>
          <w:szCs w:val="24"/>
          <w:spacing w:val="-4"/>
        </w:rPr>
        <w:t>制定严格的施工规章制度，作到违规必惩，惩则必严。成立专门的施工管理</w:t>
      </w:r>
      <w:r>
        <w:rPr>
          <w:rFonts w:ascii="FangSong" w:hAnsi="FangSong" w:eastAsia="FangSong" w:cs="FangSong"/>
          <w:sz w:val="24"/>
          <w:szCs w:val="24"/>
          <w:spacing w:val="-3"/>
        </w:rPr>
        <w:t>小组，加强对施工活动的各项管理。限定施工人员活动范围，禁止</w:t>
      </w:r>
      <w:r>
        <w:rPr>
          <w:rFonts w:ascii="FangSong" w:hAnsi="FangSong" w:eastAsia="FangSong" w:cs="FangSong"/>
          <w:sz w:val="24"/>
          <w:szCs w:val="24"/>
          <w:spacing w:val="-4"/>
        </w:rPr>
        <w:t>车辆在非工作</w:t>
      </w:r>
      <w:r>
        <w:rPr>
          <w:rFonts w:ascii="FangSong" w:hAnsi="FangSong" w:eastAsia="FangSong" w:cs="FangSong"/>
          <w:sz w:val="24"/>
          <w:szCs w:val="24"/>
          <w:spacing w:val="-3"/>
        </w:rPr>
        <w:t>道路上到处乱跑和随意碾压，尽可能保护原始地貌状态。施工作业</w:t>
      </w:r>
      <w:r>
        <w:rPr>
          <w:rFonts w:ascii="FangSong" w:hAnsi="FangSong" w:eastAsia="FangSong" w:cs="FangSong"/>
          <w:sz w:val="24"/>
          <w:szCs w:val="24"/>
          <w:spacing w:val="-4"/>
        </w:rPr>
        <w:t>区、生活区固</w:t>
      </w:r>
      <w:r>
        <w:rPr>
          <w:rFonts w:ascii="FangSong" w:hAnsi="FangSong" w:eastAsia="FangSong" w:cs="FangSong"/>
          <w:sz w:val="24"/>
          <w:szCs w:val="24"/>
          <w:spacing w:val="-4"/>
        </w:rPr>
        <w:t>定点设置活动式生活垃圾收集箱，并在人员相对集中的施工点设置移动式</w:t>
      </w:r>
      <w:r>
        <w:rPr>
          <w:rFonts w:ascii="FangSong" w:hAnsi="FangSong" w:eastAsia="FangSong" w:cs="FangSong"/>
          <w:sz w:val="24"/>
          <w:szCs w:val="24"/>
          <w:spacing w:val="-5"/>
        </w:rPr>
        <w:t>垃圾桶。</w:t>
      </w:r>
      <w:r>
        <w:rPr>
          <w:rFonts w:ascii="FangSong" w:hAnsi="FangSong" w:eastAsia="FangSong" w:cs="FangSong"/>
          <w:sz w:val="24"/>
          <w:szCs w:val="24"/>
          <w:spacing w:val="-1"/>
        </w:rPr>
        <w:t>生活垃圾做到箱满即清，并及时运走。</w:t>
      </w:r>
    </w:p>
    <w:p>
      <w:pPr>
        <w:ind w:left="29" w:right="120" w:firstLine="481"/>
        <w:spacing w:before="4" w:line="359" w:lineRule="auto"/>
        <w:jc w:val="both"/>
        <w:rPr>
          <w:rFonts w:ascii="FangSong" w:hAnsi="FangSong" w:eastAsia="FangSong" w:cs="FangSong"/>
          <w:sz w:val="24"/>
          <w:szCs w:val="24"/>
        </w:rPr>
      </w:pPr>
      <w:r>
        <w:rPr>
          <w:rFonts w:ascii="FangSong" w:hAnsi="FangSong" w:eastAsia="FangSong" w:cs="FangSong"/>
          <w:sz w:val="24"/>
          <w:szCs w:val="24"/>
          <w:spacing w:val="-8"/>
        </w:rPr>
        <w:t>科学合理地进行施工组织设计，尽量减少挖填方，最大限度地保持原有地貌。</w:t>
      </w:r>
      <w:r>
        <w:rPr>
          <w:rFonts w:ascii="FangSong" w:hAnsi="FangSong" w:eastAsia="FangSong" w:cs="FangSong"/>
          <w:sz w:val="24"/>
          <w:szCs w:val="24"/>
          <w:spacing w:val="-3"/>
        </w:rPr>
        <w:t>施工期尽量减少对区域内植被的破坏，对在植被盖度相对较高区域进</w:t>
      </w:r>
      <w:r>
        <w:rPr>
          <w:rFonts w:ascii="FangSong" w:hAnsi="FangSong" w:eastAsia="FangSong" w:cs="FangSong"/>
          <w:sz w:val="24"/>
          <w:szCs w:val="24"/>
          <w:spacing w:val="-4"/>
        </w:rPr>
        <w:t>行的相关作</w:t>
      </w:r>
      <w:r>
        <w:rPr>
          <w:rFonts w:ascii="FangSong" w:hAnsi="FangSong" w:eastAsia="FangSong" w:cs="FangSong"/>
          <w:sz w:val="24"/>
          <w:szCs w:val="24"/>
          <w:spacing w:val="-3"/>
        </w:rPr>
        <w:t>业，应预先剥离表层植毡层将其集中移植到条件较好的地方，以备矿</w:t>
      </w:r>
      <w:r>
        <w:rPr>
          <w:rFonts w:ascii="FangSong" w:hAnsi="FangSong" w:eastAsia="FangSong" w:cs="FangSong"/>
          <w:sz w:val="24"/>
          <w:szCs w:val="24"/>
          <w:spacing w:val="-4"/>
        </w:rPr>
        <w:t>区进行场地</w:t>
      </w:r>
      <w:r>
        <w:rPr>
          <w:rFonts w:ascii="FangSong" w:hAnsi="FangSong" w:eastAsia="FangSong" w:cs="FangSong"/>
          <w:sz w:val="24"/>
          <w:szCs w:val="24"/>
          <w:spacing w:val="-1"/>
        </w:rPr>
        <w:t>恢复时重新覆盖和移植在表面，尽快恢复其生态原貌。</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5"/>
        </w:rPr>
        <w:t>7.1.1.2</w:t>
      </w:r>
      <w:r>
        <w:rPr>
          <w:rFonts w:ascii="Times New Roman" w:hAnsi="Times New Roman" w:eastAsia="Times New Roman" w:cs="Times New Roman"/>
          <w:sz w:val="24"/>
          <w:szCs w:val="24"/>
          <w:b/>
          <w:bCs/>
          <w:spacing w:val="19"/>
        </w:rPr>
        <w:t xml:space="preserve">  </w:t>
      </w:r>
      <w:r>
        <w:rPr>
          <w:rFonts w:ascii="FangSong" w:hAnsi="FangSong" w:eastAsia="FangSong" w:cs="FangSong"/>
          <w:sz w:val="24"/>
          <w:szCs w:val="24"/>
          <w:b/>
          <w:bCs/>
          <w:spacing w:val="-5"/>
        </w:rPr>
        <w:t>管理措施</w:t>
      </w:r>
    </w:p>
    <w:p>
      <w:pPr>
        <w:ind w:left="29" w:right="203" w:firstLine="485"/>
        <w:spacing w:before="178"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）建设单位在招标文件的编制过程中应将环境影响缓解措施写入招标文</w:t>
      </w:r>
      <w:r>
        <w:rPr>
          <w:rFonts w:ascii="FangSong" w:hAnsi="FangSong" w:eastAsia="FangSong" w:cs="FangSong"/>
          <w:sz w:val="24"/>
          <w:szCs w:val="24"/>
          <w:spacing w:val="-1"/>
        </w:rPr>
        <w:t>件，并纳入工程承包合同中；施工过程中设专人负责施工期环境监理工作；</w:t>
      </w:r>
    </w:p>
    <w:p>
      <w:pPr>
        <w:ind w:left="32" w:right="203" w:firstLine="482"/>
        <w:spacing w:before="183"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）加强施工期环境保护管理，做到边施工边进行环境保护，不仅要求环</w:t>
      </w:r>
      <w:r>
        <w:rPr>
          <w:rFonts w:ascii="FangSong" w:hAnsi="FangSong" w:eastAsia="FangSong" w:cs="FangSong"/>
          <w:sz w:val="24"/>
          <w:szCs w:val="24"/>
          <w:spacing w:val="-1"/>
        </w:rPr>
        <w:t>境保护资金管理到位，而且要做到环境保护措施的及时实施。</w:t>
      </w:r>
    </w:p>
    <w:p>
      <w:pPr>
        <w:ind w:left="31" w:right="146" w:firstLine="483"/>
        <w:spacing w:before="181" w:line="29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）加强森林防火和外业物种防控，</w:t>
      </w:r>
      <w:r>
        <w:rPr>
          <w:rFonts w:ascii="FangSong" w:hAnsi="FangSong" w:eastAsia="FangSong" w:cs="FangSong"/>
          <w:sz w:val="24"/>
          <w:szCs w:val="24"/>
          <w:spacing w:val="-71"/>
        </w:rPr>
        <w:t xml:space="preserve"> </w:t>
      </w:r>
      <w:r>
        <w:rPr>
          <w:rFonts w:ascii="FangSong" w:hAnsi="FangSong" w:eastAsia="FangSong" w:cs="FangSong"/>
          <w:sz w:val="24"/>
          <w:szCs w:val="24"/>
          <w:spacing w:val="-1"/>
        </w:rPr>
        <w:t>由其运输</w:t>
      </w:r>
      <w:r>
        <w:rPr>
          <w:rFonts w:ascii="FangSong" w:hAnsi="FangSong" w:eastAsia="FangSong" w:cs="FangSong"/>
          <w:sz w:val="24"/>
          <w:szCs w:val="24"/>
          <w:spacing w:val="-2"/>
        </w:rPr>
        <w:t>车辆和设备的包装物要严格</w:t>
      </w:r>
      <w:r>
        <w:rPr>
          <w:rFonts w:ascii="FangSong" w:hAnsi="FangSong" w:eastAsia="FangSong" w:cs="FangSong"/>
          <w:sz w:val="24"/>
          <w:szCs w:val="24"/>
          <w:spacing w:val="-2"/>
        </w:rPr>
        <w:t>检查处理，严禁携带外来物种；加强重要物种保护，严禁猎杀砍伐珍稀动植物。</w:t>
      </w:r>
    </w:p>
    <w:p>
      <w:pPr>
        <w:ind w:left="514"/>
        <w:spacing w:before="182"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）加强对施工及工作人员的环保意识教育，做到自觉保</w:t>
      </w:r>
      <w:r>
        <w:rPr>
          <w:rFonts w:ascii="FangSong" w:hAnsi="FangSong" w:eastAsia="FangSong" w:cs="FangSong"/>
          <w:sz w:val="24"/>
          <w:szCs w:val="24"/>
        </w:rPr>
        <w:t>护自然资源，不</w:t>
      </w:r>
    </w:p>
    <w:p>
      <w:pPr>
        <w:spacing w:line="220" w:lineRule="auto"/>
        <w:sectPr>
          <w:footerReference w:type="default" r:id="rId334"/>
          <w:pgSz w:w="11906" w:h="16839"/>
          <w:pgMar w:top="400" w:right="159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1" w:hanging="1"/>
        <w:spacing w:before="78" w:line="360" w:lineRule="auto"/>
        <w:jc w:val="both"/>
        <w:rPr>
          <w:rFonts w:ascii="FangSong" w:hAnsi="FangSong" w:eastAsia="FangSong" w:cs="FangSong"/>
          <w:sz w:val="24"/>
          <w:szCs w:val="24"/>
        </w:rPr>
      </w:pPr>
      <w:r>
        <w:rPr>
          <w:rFonts w:ascii="FangSong" w:hAnsi="FangSong" w:eastAsia="FangSong" w:cs="FangSong"/>
          <w:sz w:val="24"/>
          <w:szCs w:val="24"/>
          <w:spacing w:val="-2"/>
        </w:rPr>
        <w:t>伤害野生动物，禁止捕食国家重点保护野生动物。施工期主要以管理措施</w:t>
      </w:r>
      <w:r>
        <w:rPr>
          <w:rFonts w:ascii="FangSong" w:hAnsi="FangSong" w:eastAsia="FangSong" w:cs="FangSong"/>
          <w:sz w:val="24"/>
          <w:szCs w:val="24"/>
          <w:spacing w:val="-3"/>
        </w:rPr>
        <w:t>为主，</w:t>
      </w:r>
      <w:r>
        <w:rPr>
          <w:rFonts w:ascii="FangSong" w:hAnsi="FangSong" w:eastAsia="FangSong" w:cs="FangSong"/>
          <w:sz w:val="24"/>
          <w:szCs w:val="24"/>
          <w:spacing w:val="-3"/>
        </w:rPr>
        <w:t>划定施工区红线，严禁红线以外的施工行为。施工车辆应走</w:t>
      </w:r>
      <w:r>
        <w:rPr>
          <w:rFonts w:ascii="FangSong" w:hAnsi="FangSong" w:eastAsia="FangSong" w:cs="FangSong"/>
          <w:sz w:val="24"/>
          <w:szCs w:val="24"/>
          <w:spacing w:val="-4"/>
        </w:rPr>
        <w:t>施工便道，以免损坏</w:t>
      </w:r>
      <w:r>
        <w:rPr>
          <w:rFonts w:ascii="FangSong" w:hAnsi="FangSong" w:eastAsia="FangSong" w:cs="FangSong"/>
          <w:sz w:val="24"/>
          <w:szCs w:val="24"/>
          <w:spacing w:val="-2"/>
        </w:rPr>
        <w:t>占地范围外草地及其他植被。</w:t>
      </w:r>
    </w:p>
    <w:p>
      <w:pPr>
        <w:ind w:left="22"/>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7.1.1.3  </w:t>
      </w:r>
      <w:r>
        <w:rPr>
          <w:rFonts w:ascii="FangSong" w:hAnsi="FangSong" w:eastAsia="FangSong" w:cs="FangSong"/>
          <w:sz w:val="24"/>
          <w:szCs w:val="24"/>
          <w:b/>
          <w:bCs/>
          <w:spacing w:val="-2"/>
        </w:rPr>
        <w:t>植物保护措施</w:t>
      </w:r>
    </w:p>
    <w:p>
      <w:pPr>
        <w:ind w:left="30" w:right="38" w:firstLine="480"/>
        <w:spacing w:before="180" w:line="360" w:lineRule="auto"/>
        <w:jc w:val="both"/>
        <w:rPr>
          <w:rFonts w:ascii="FangSong" w:hAnsi="FangSong" w:eastAsia="FangSong" w:cs="FangSong"/>
          <w:sz w:val="24"/>
          <w:szCs w:val="24"/>
        </w:rPr>
      </w:pPr>
      <w:r>
        <w:rPr>
          <w:rFonts w:ascii="FangSong" w:hAnsi="FangSong" w:eastAsia="FangSong" w:cs="FangSong"/>
          <w:sz w:val="24"/>
          <w:szCs w:val="24"/>
          <w:spacing w:val="-2"/>
        </w:rPr>
        <w:t>根据开发利用方案及前文所述，项目矿区面积为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1776km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，开采方式为</w:t>
      </w:r>
      <w:r>
        <w:rPr>
          <w:rFonts w:ascii="FangSong" w:hAnsi="FangSong" w:eastAsia="FangSong" w:cs="FangSong"/>
          <w:sz w:val="24"/>
          <w:szCs w:val="24"/>
          <w:spacing w:val="-2"/>
        </w:rPr>
        <w:t>地下开采，本项目永久占地面积为</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2"/>
        </w:rPr>
        <w:t>0.0722km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，永久占地类型大部分为天然牧草</w:t>
      </w:r>
      <w:r>
        <w:rPr>
          <w:rFonts w:ascii="FangSong" w:hAnsi="FangSong" w:eastAsia="FangSong" w:cs="FangSong"/>
          <w:sz w:val="24"/>
          <w:szCs w:val="24"/>
          <w:spacing w:val="-3"/>
        </w:rPr>
        <w:t>地。本项目对当地草原生态系统的影响主要表现在对草原的占用</w:t>
      </w:r>
      <w:r>
        <w:rPr>
          <w:rFonts w:ascii="FangSong" w:hAnsi="FangSong" w:eastAsia="FangSong" w:cs="FangSong"/>
          <w:sz w:val="24"/>
          <w:szCs w:val="24"/>
          <w:spacing w:val="-4"/>
        </w:rPr>
        <w:t>破坏造成的对草</w:t>
      </w:r>
      <w:r>
        <w:rPr>
          <w:rFonts w:ascii="FangSong" w:hAnsi="FangSong" w:eastAsia="FangSong" w:cs="FangSong"/>
          <w:sz w:val="24"/>
          <w:szCs w:val="24"/>
          <w:spacing w:val="-3"/>
        </w:rPr>
        <w:t>原生态系统结构的破坏，从而可能对草原生态系统的功能产生一</w:t>
      </w:r>
      <w:r>
        <w:rPr>
          <w:rFonts w:ascii="FangSong" w:hAnsi="FangSong" w:eastAsia="FangSong" w:cs="FangSong"/>
          <w:sz w:val="24"/>
          <w:szCs w:val="24"/>
          <w:spacing w:val="-4"/>
        </w:rPr>
        <w:t>定不利影响，待</w:t>
      </w:r>
      <w:r>
        <w:rPr>
          <w:rFonts w:ascii="FangSong" w:hAnsi="FangSong" w:eastAsia="FangSong" w:cs="FangSong"/>
          <w:sz w:val="24"/>
          <w:szCs w:val="24"/>
          <w:spacing w:val="-3"/>
        </w:rPr>
        <w:t>闭矿后建设单位将恢复相同面积的草原植被。因此，项目对林地</w:t>
      </w:r>
      <w:r>
        <w:rPr>
          <w:rFonts w:ascii="FangSong" w:hAnsi="FangSong" w:eastAsia="FangSong" w:cs="FangSong"/>
          <w:sz w:val="24"/>
          <w:szCs w:val="24"/>
          <w:spacing w:val="-4"/>
        </w:rPr>
        <w:t>的占用不会对该</w:t>
      </w:r>
      <w:r>
        <w:rPr>
          <w:rFonts w:ascii="FangSong" w:hAnsi="FangSong" w:eastAsia="FangSong" w:cs="FangSong"/>
          <w:sz w:val="24"/>
          <w:szCs w:val="24"/>
          <w:spacing w:val="-3"/>
        </w:rPr>
        <w:t>区及周边区域草原生态防护效能产生明显影响。随着生态补偿措</w:t>
      </w:r>
      <w:r>
        <w:rPr>
          <w:rFonts w:ascii="FangSong" w:hAnsi="FangSong" w:eastAsia="FangSong" w:cs="FangSong"/>
          <w:sz w:val="24"/>
          <w:szCs w:val="24"/>
          <w:spacing w:val="-4"/>
        </w:rPr>
        <w:t>施的实施，将对</w:t>
      </w:r>
      <w:r>
        <w:rPr>
          <w:rFonts w:ascii="FangSong" w:hAnsi="FangSong" w:eastAsia="FangSong" w:cs="FangSong"/>
          <w:sz w:val="24"/>
          <w:szCs w:val="24"/>
          <w:spacing w:val="-1"/>
        </w:rPr>
        <w:t>生态效能损失进行有效的补偿，并逐渐得到恢复。</w:t>
      </w:r>
    </w:p>
    <w:p>
      <w:pPr>
        <w:ind w:left="22"/>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7.1.1.4  </w:t>
      </w:r>
      <w:r>
        <w:rPr>
          <w:rFonts w:ascii="FangSong" w:hAnsi="FangSong" w:eastAsia="FangSong" w:cs="FangSong"/>
          <w:sz w:val="24"/>
          <w:szCs w:val="24"/>
          <w:b/>
          <w:bCs/>
          <w:spacing w:val="-2"/>
        </w:rPr>
        <w:t>野生动物保护措施</w:t>
      </w:r>
    </w:p>
    <w:p>
      <w:pPr>
        <w:ind w:left="30" w:right="38" w:firstLine="480"/>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提高施工及工作人员的保护意识，在场地设</w:t>
      </w:r>
      <w:r>
        <w:rPr>
          <w:rFonts w:ascii="FangSong" w:hAnsi="FangSong" w:eastAsia="FangSong" w:cs="FangSong"/>
          <w:sz w:val="24"/>
          <w:szCs w:val="24"/>
          <w:spacing w:val="-4"/>
        </w:rPr>
        <w:t>置警示牌，以提醒施工人员和运</w:t>
      </w:r>
      <w:r>
        <w:rPr>
          <w:rFonts w:ascii="FangSong" w:hAnsi="FangSong" w:eastAsia="FangSong" w:cs="FangSong"/>
          <w:sz w:val="24"/>
          <w:szCs w:val="24"/>
          <w:spacing w:val="-3"/>
        </w:rPr>
        <w:t>行期管理及养护人员加强野生动物保护意识，不人为伤害野生动</w:t>
      </w:r>
      <w:r>
        <w:rPr>
          <w:rFonts w:ascii="FangSong" w:hAnsi="FangSong" w:eastAsia="FangSong" w:cs="FangSong"/>
          <w:sz w:val="24"/>
          <w:szCs w:val="24"/>
          <w:spacing w:val="-4"/>
        </w:rPr>
        <w:t>物。施工人员必</w:t>
      </w:r>
      <w:r>
        <w:rPr>
          <w:rFonts w:ascii="FangSong" w:hAnsi="FangSong" w:eastAsia="FangSong" w:cs="FangSong"/>
          <w:sz w:val="24"/>
          <w:szCs w:val="24"/>
          <w:spacing w:val="-3"/>
        </w:rPr>
        <w:t>须遵守《中华人民共和国野生动物保护法》，严禁在施工区及其</w:t>
      </w:r>
      <w:r>
        <w:rPr>
          <w:rFonts w:ascii="FangSong" w:hAnsi="FangSong" w:eastAsia="FangSong" w:cs="FangSong"/>
          <w:sz w:val="24"/>
          <w:szCs w:val="24"/>
          <w:spacing w:val="-4"/>
        </w:rPr>
        <w:t>周围捕猎野生动</w:t>
      </w:r>
      <w:r>
        <w:rPr>
          <w:rFonts w:ascii="FangSong" w:hAnsi="FangSong" w:eastAsia="FangSong" w:cs="FangSong"/>
          <w:sz w:val="24"/>
          <w:szCs w:val="24"/>
          <w:spacing w:val="-9"/>
        </w:rPr>
        <w:t>物。</w:t>
      </w:r>
    </w:p>
    <w:p>
      <w:pPr>
        <w:ind w:left="22"/>
        <w:spacing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7.1.1.5</w:t>
      </w:r>
      <w:r>
        <w:rPr>
          <w:rFonts w:ascii="Times New Roman" w:hAnsi="Times New Roman" w:eastAsia="Times New Roman" w:cs="Times New Roman"/>
          <w:sz w:val="24"/>
          <w:szCs w:val="24"/>
          <w:b/>
          <w:bCs/>
          <w:spacing w:val="19"/>
          <w:w w:val="101"/>
        </w:rPr>
        <w:t xml:space="preserve">  </w:t>
      </w:r>
      <w:r>
        <w:rPr>
          <w:rFonts w:ascii="FangSong" w:hAnsi="FangSong" w:eastAsia="FangSong" w:cs="FangSong"/>
          <w:sz w:val="24"/>
          <w:szCs w:val="24"/>
          <w:b/>
          <w:bCs/>
          <w:spacing w:val="-4"/>
        </w:rPr>
        <w:t>生物多样性保护措施</w:t>
      </w:r>
    </w:p>
    <w:p>
      <w:pPr>
        <w:ind w:left="29" w:right="38" w:firstLine="481"/>
        <w:spacing w:before="183" w:line="360" w:lineRule="auto"/>
        <w:jc w:val="both"/>
        <w:rPr>
          <w:rFonts w:ascii="FangSong" w:hAnsi="FangSong" w:eastAsia="FangSong" w:cs="FangSong"/>
          <w:sz w:val="24"/>
          <w:szCs w:val="24"/>
        </w:rPr>
      </w:pPr>
      <w:r>
        <w:rPr>
          <w:rFonts w:ascii="FangSong" w:hAnsi="FangSong" w:eastAsia="FangSong" w:cs="FangSong"/>
          <w:sz w:val="24"/>
          <w:szCs w:val="24"/>
          <w:spacing w:val="4"/>
        </w:rPr>
        <w:t>项目施工期间由于车辆机具的运行及施工人员的活动会对本地的野生动物</w:t>
      </w:r>
      <w:r>
        <w:rPr>
          <w:rFonts w:ascii="FangSong" w:hAnsi="FangSong" w:eastAsia="FangSong" w:cs="FangSong"/>
          <w:sz w:val="24"/>
          <w:szCs w:val="24"/>
          <w:spacing w:val="-3"/>
        </w:rPr>
        <w:t>产生惊扰而使其躲避或暂时迁移，施工地段的先行阻隔也会使一些动</w:t>
      </w:r>
      <w:r>
        <w:rPr>
          <w:rFonts w:ascii="FangSong" w:hAnsi="FangSong" w:eastAsia="FangSong" w:cs="FangSong"/>
          <w:sz w:val="24"/>
          <w:szCs w:val="24"/>
          <w:spacing w:val="-4"/>
        </w:rPr>
        <w:t>物暂时失去</w:t>
      </w:r>
      <w:r>
        <w:rPr>
          <w:rFonts w:ascii="FangSong" w:hAnsi="FangSong" w:eastAsia="FangSong" w:cs="FangSong"/>
          <w:sz w:val="24"/>
          <w:szCs w:val="24"/>
          <w:spacing w:val="-3"/>
        </w:rPr>
        <w:t>迁移行走的通道。施工完毕即可恢复正常不会影响其存活和种群数量</w:t>
      </w:r>
      <w:r>
        <w:rPr>
          <w:rFonts w:ascii="FangSong" w:hAnsi="FangSong" w:eastAsia="FangSong" w:cs="FangSong"/>
          <w:sz w:val="24"/>
          <w:szCs w:val="24"/>
          <w:spacing w:val="-4"/>
        </w:rPr>
        <w:t>；施工期施</w:t>
      </w:r>
      <w:r>
        <w:rPr>
          <w:rFonts w:ascii="FangSong" w:hAnsi="FangSong" w:eastAsia="FangSong" w:cs="FangSong"/>
          <w:sz w:val="24"/>
          <w:szCs w:val="24"/>
          <w:spacing w:val="-3"/>
        </w:rPr>
        <w:t>工区域内自然植被的破坏会使一些野生动物失去部分觅食地、栖息场</w:t>
      </w:r>
      <w:r>
        <w:rPr>
          <w:rFonts w:ascii="FangSong" w:hAnsi="FangSong" w:eastAsia="FangSong" w:cs="FangSong"/>
          <w:sz w:val="24"/>
          <w:szCs w:val="24"/>
          <w:spacing w:val="-4"/>
        </w:rPr>
        <w:t>所和活动区</w:t>
      </w:r>
      <w:r>
        <w:rPr>
          <w:rFonts w:ascii="FangSong" w:hAnsi="FangSong" w:eastAsia="FangSong" w:cs="FangSong"/>
          <w:sz w:val="24"/>
          <w:szCs w:val="24"/>
          <w:spacing w:val="-3"/>
        </w:rPr>
        <w:t>域，不过由于被破坏的植被在呈带状分布，对野生动物的生存环境只</w:t>
      </w:r>
      <w:r>
        <w:rPr>
          <w:rFonts w:ascii="FangSong" w:hAnsi="FangSong" w:eastAsia="FangSong" w:cs="FangSong"/>
          <w:sz w:val="24"/>
          <w:szCs w:val="24"/>
          <w:spacing w:val="-4"/>
        </w:rPr>
        <w:t>会产生轻微</w:t>
      </w:r>
      <w:r>
        <w:rPr>
          <w:rFonts w:ascii="FangSong" w:hAnsi="FangSong" w:eastAsia="FangSong" w:cs="FangSong"/>
          <w:sz w:val="24"/>
          <w:szCs w:val="24"/>
          <w:spacing w:val="-3"/>
        </w:rPr>
        <w:t>的不利影响。</w:t>
      </w:r>
    </w:p>
    <w:p>
      <w:pPr>
        <w:ind w:left="29" w:right="38"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3"/>
        </w:rPr>
        <w:t>从调查结果的统计分析来看，使用草原上所分布的</w:t>
      </w:r>
      <w:r>
        <w:rPr>
          <w:rFonts w:ascii="FangSong" w:hAnsi="FangSong" w:eastAsia="FangSong" w:cs="FangSong"/>
          <w:sz w:val="24"/>
          <w:szCs w:val="24"/>
          <w:spacing w:val="-4"/>
        </w:rPr>
        <w:t>草本植物种类在项目所在</w:t>
      </w:r>
      <w:r>
        <w:rPr>
          <w:rFonts w:ascii="FangSong" w:hAnsi="FangSong" w:eastAsia="FangSong" w:cs="FangSong"/>
          <w:sz w:val="24"/>
          <w:szCs w:val="24"/>
          <w:spacing w:val="-3"/>
        </w:rPr>
        <w:t>地区分布较为广泛，为主导物种，使用草地不会改变动植物物种的多</w:t>
      </w:r>
      <w:r>
        <w:rPr>
          <w:rFonts w:ascii="FangSong" w:hAnsi="FangSong" w:eastAsia="FangSong" w:cs="FangSong"/>
          <w:sz w:val="24"/>
          <w:szCs w:val="24"/>
          <w:spacing w:val="-4"/>
        </w:rPr>
        <w:t>样性，不会</w:t>
      </w:r>
      <w:r>
        <w:rPr>
          <w:rFonts w:ascii="FangSong" w:hAnsi="FangSong" w:eastAsia="FangSong" w:cs="FangSong"/>
          <w:sz w:val="24"/>
          <w:szCs w:val="24"/>
          <w:spacing w:val="-3"/>
        </w:rPr>
        <w:t>减少该区域内动植物物种的种类和数量，对建设区域内的生物多样性</w:t>
      </w:r>
      <w:r>
        <w:rPr>
          <w:rFonts w:ascii="FangSong" w:hAnsi="FangSong" w:eastAsia="FangSong" w:cs="FangSong"/>
          <w:sz w:val="24"/>
          <w:szCs w:val="24"/>
          <w:spacing w:val="-4"/>
        </w:rPr>
        <w:t>不会产生明</w:t>
      </w:r>
      <w:r>
        <w:rPr>
          <w:rFonts w:ascii="FangSong" w:hAnsi="FangSong" w:eastAsia="FangSong" w:cs="FangSong"/>
          <w:sz w:val="24"/>
          <w:szCs w:val="24"/>
          <w:spacing w:val="-3"/>
        </w:rPr>
        <w:t>显影响。在异地恢复植被时，应选取当地乡土植被，禁止引入外来物</w:t>
      </w:r>
      <w:r>
        <w:rPr>
          <w:rFonts w:ascii="FangSong" w:hAnsi="FangSong" w:eastAsia="FangSong" w:cs="FangSong"/>
          <w:sz w:val="24"/>
          <w:szCs w:val="24"/>
          <w:spacing w:val="-4"/>
        </w:rPr>
        <w:t>种，尽量营</w:t>
      </w:r>
      <w:r>
        <w:rPr>
          <w:rFonts w:ascii="FangSong" w:hAnsi="FangSong" w:eastAsia="FangSong" w:cs="FangSong"/>
          <w:sz w:val="24"/>
          <w:szCs w:val="24"/>
          <w:spacing w:val="-1"/>
        </w:rPr>
        <w:t>造多草本植物类型草原，以维护本区域的生物多样性。</w:t>
      </w:r>
    </w:p>
    <w:p>
      <w:pPr>
        <w:spacing w:line="359" w:lineRule="auto"/>
        <w:sectPr>
          <w:footerReference w:type="default" r:id="rId335"/>
          <w:pgSz w:w="11906" w:h="16839"/>
          <w:pgMar w:top="400" w:right="176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16"/>
        <w:spacing w:before="78" w:line="221" w:lineRule="auto"/>
        <w:outlineLvl w:val="3"/>
        <w:rPr>
          <w:rFonts w:ascii="FangSong" w:hAnsi="FangSong" w:eastAsia="FangSong" w:cs="FangSong"/>
          <w:sz w:val="24"/>
          <w:szCs w:val="24"/>
        </w:rPr>
      </w:pPr>
      <w:bookmarkStart w:name="bookmark605" w:id="435"/>
      <w:bookmarkEnd w:id="435"/>
      <w:r>
        <w:rPr>
          <w:rFonts w:ascii="Times New Roman" w:hAnsi="Times New Roman" w:eastAsia="Times New Roman" w:cs="Times New Roman"/>
          <w:sz w:val="24"/>
          <w:szCs w:val="24"/>
          <w:b/>
          <w:bCs/>
          <w:spacing w:val="-2"/>
        </w:rPr>
        <w:t>7.1.1.6  </w:t>
      </w:r>
      <w:r>
        <w:rPr>
          <w:rFonts w:ascii="FangSong" w:hAnsi="FangSong" w:eastAsia="FangSong" w:cs="FangSong"/>
          <w:sz w:val="24"/>
          <w:szCs w:val="24"/>
          <w:b/>
          <w:bCs/>
          <w:spacing w:val="-2"/>
        </w:rPr>
        <w:t>水土保持措施</w:t>
      </w:r>
    </w:p>
    <w:p>
      <w:pPr>
        <w:ind w:left="123" w:right="110" w:firstLine="485"/>
        <w:spacing w:before="180" w:line="29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）划定施工范围，严禁在施工范围外作业，避免施工车辆碾压非施工区</w:t>
      </w:r>
      <w:r>
        <w:rPr>
          <w:rFonts w:ascii="FangSong" w:hAnsi="FangSong" w:eastAsia="FangSong" w:cs="FangSong"/>
          <w:sz w:val="24"/>
          <w:szCs w:val="24"/>
          <w:spacing w:val="-8"/>
        </w:rPr>
        <w:t>域。</w:t>
      </w:r>
    </w:p>
    <w:p>
      <w:pPr>
        <w:ind w:left="125" w:right="110" w:firstLine="483"/>
        <w:spacing w:before="177"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）在地面施工过程中，应尽量避免在春季大风季节以及夏季暴雨时节进</w:t>
      </w:r>
      <w:r>
        <w:rPr>
          <w:rFonts w:ascii="FangSong" w:hAnsi="FangSong" w:eastAsia="FangSong" w:cs="FangSong"/>
          <w:sz w:val="24"/>
          <w:szCs w:val="24"/>
          <w:spacing w:val="-5"/>
        </w:rPr>
        <w:t>行作业。</w:t>
      </w:r>
    </w:p>
    <w:p>
      <w:pPr>
        <w:ind w:left="125" w:right="107" w:firstLine="483"/>
        <w:spacing w:before="179" w:line="326"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）主体工程在下一阶段设计中应按照编制的水土保持方案，开展水土保</w:t>
      </w:r>
      <w:r>
        <w:rPr>
          <w:rFonts w:ascii="FangSong" w:hAnsi="FangSong" w:eastAsia="FangSong" w:cs="FangSong"/>
          <w:sz w:val="24"/>
          <w:szCs w:val="24"/>
          <w:spacing w:val="-3"/>
        </w:rPr>
        <w:t>持措施单项设计，在施工过程中加强临时防护措施，同时在项</w:t>
      </w:r>
      <w:r>
        <w:rPr>
          <w:rFonts w:ascii="FangSong" w:hAnsi="FangSong" w:eastAsia="FangSong" w:cs="FangSong"/>
          <w:sz w:val="24"/>
          <w:szCs w:val="24"/>
          <w:spacing w:val="-4"/>
        </w:rPr>
        <w:t>目建设过程中应同</w:t>
      </w:r>
      <w:r>
        <w:rPr>
          <w:rFonts w:ascii="FangSong" w:hAnsi="FangSong" w:eastAsia="FangSong" w:cs="FangSong"/>
          <w:sz w:val="24"/>
          <w:szCs w:val="24"/>
          <w:spacing w:val="-3"/>
        </w:rPr>
        <w:t>步开展水土保持监测和监理等工作，切实把本方案提出的各项</w:t>
      </w:r>
      <w:r>
        <w:rPr>
          <w:rFonts w:ascii="FangSong" w:hAnsi="FangSong" w:eastAsia="FangSong" w:cs="FangSong"/>
          <w:sz w:val="24"/>
          <w:szCs w:val="24"/>
          <w:spacing w:val="-4"/>
        </w:rPr>
        <w:t>水土保持措施落到</w:t>
      </w:r>
      <w:r>
        <w:rPr>
          <w:rFonts w:ascii="FangSong" w:hAnsi="FangSong" w:eastAsia="FangSong" w:cs="FangSong"/>
          <w:sz w:val="24"/>
          <w:szCs w:val="24"/>
          <w:spacing w:val="-6"/>
        </w:rPr>
        <w:t>实处。</w:t>
      </w:r>
    </w:p>
    <w:p>
      <w:pPr>
        <w:ind w:left="148" w:right="164" w:firstLine="460"/>
        <w:spacing w:before="179" w:line="29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）项目施工建设过程中，施工作业范围应尽量控制在征占土地范围内，</w:t>
      </w:r>
      <w:r>
        <w:rPr>
          <w:rFonts w:ascii="FangSong" w:hAnsi="FangSong" w:eastAsia="FangSong" w:cs="FangSong"/>
          <w:sz w:val="24"/>
          <w:szCs w:val="24"/>
          <w:spacing w:val="-2"/>
        </w:rPr>
        <w:t>以减少对项目周边区域土壤和地表植被的破坏。</w:t>
      </w:r>
    </w:p>
    <w:p>
      <w:pPr>
        <w:ind w:left="124" w:right="107" w:firstLine="484"/>
        <w:spacing w:before="177"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5</w:t>
      </w:r>
      <w:r>
        <w:rPr>
          <w:rFonts w:ascii="FangSong" w:hAnsi="FangSong" w:eastAsia="FangSong" w:cs="FangSong"/>
          <w:sz w:val="24"/>
          <w:szCs w:val="24"/>
        </w:rPr>
        <w:t>）工业广场应设置排水沟，地面硬化，对工业广场内部空闲区域进行绿</w:t>
      </w:r>
      <w:r>
        <w:rPr>
          <w:rFonts w:ascii="FangSong" w:hAnsi="FangSong" w:eastAsia="FangSong" w:cs="FangSong"/>
          <w:sz w:val="24"/>
          <w:szCs w:val="24"/>
          <w:spacing w:val="-3"/>
        </w:rPr>
        <w:t>化。在矿区道路单侧或双侧开挖路基截排水沟，局部路堑和边坡</w:t>
      </w:r>
      <w:r>
        <w:rPr>
          <w:rFonts w:ascii="FangSong" w:hAnsi="FangSong" w:eastAsia="FangSong" w:cs="FangSong"/>
          <w:sz w:val="24"/>
          <w:szCs w:val="24"/>
          <w:spacing w:val="-4"/>
        </w:rPr>
        <w:t>采用撒播草籽进</w:t>
      </w:r>
      <w:r>
        <w:rPr>
          <w:rFonts w:ascii="FangSong" w:hAnsi="FangSong" w:eastAsia="FangSong" w:cs="FangSong"/>
          <w:sz w:val="24"/>
          <w:szCs w:val="24"/>
          <w:spacing w:val="-5"/>
        </w:rPr>
        <w:t>行防护。</w:t>
      </w:r>
    </w:p>
    <w:p>
      <w:pPr>
        <w:ind w:left="126" w:right="110" w:firstLine="482"/>
        <w:spacing w:before="181" w:line="29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）加强对工程施工工艺和施工程序的监控，以有效控制建设过程中的水</w:t>
      </w:r>
      <w:r>
        <w:rPr>
          <w:rFonts w:ascii="FangSong" w:hAnsi="FangSong" w:eastAsia="FangSong" w:cs="FangSong"/>
          <w:sz w:val="24"/>
          <w:szCs w:val="24"/>
          <w:spacing w:val="-5"/>
        </w:rPr>
        <w:t>土流失。</w:t>
      </w:r>
    </w:p>
    <w:p>
      <w:pPr>
        <w:ind w:left="123" w:right="110" w:firstLine="485"/>
        <w:spacing w:before="177"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7</w:t>
      </w:r>
      <w:r>
        <w:rPr>
          <w:rFonts w:ascii="FangSong" w:hAnsi="FangSong" w:eastAsia="FangSong" w:cs="FangSong"/>
          <w:sz w:val="24"/>
          <w:szCs w:val="24"/>
        </w:rPr>
        <w:t>）加强生态环境保护的宣传工作，提高各级管理人员和施工人员的生态</w:t>
      </w:r>
      <w:r>
        <w:rPr>
          <w:rFonts w:ascii="FangSong" w:hAnsi="FangSong" w:eastAsia="FangSong" w:cs="FangSong"/>
          <w:sz w:val="24"/>
          <w:szCs w:val="24"/>
          <w:spacing w:val="-1"/>
        </w:rPr>
        <w:t>环境意识，使其自觉地做好生态保护工作。</w:t>
      </w:r>
    </w:p>
    <w:p>
      <w:pPr>
        <w:ind w:left="603"/>
        <w:spacing w:before="182" w:line="221" w:lineRule="auto"/>
        <w:rPr>
          <w:rFonts w:ascii="FangSong" w:hAnsi="FangSong" w:eastAsia="FangSong" w:cs="FangSong"/>
          <w:sz w:val="24"/>
          <w:szCs w:val="24"/>
        </w:rPr>
      </w:pPr>
      <w:r>
        <w:rPr>
          <w:rFonts w:ascii="FangSong" w:hAnsi="FangSong" w:eastAsia="FangSong" w:cs="FangSong"/>
          <w:sz w:val="24"/>
          <w:szCs w:val="24"/>
          <w:spacing w:val="-1"/>
        </w:rPr>
        <w:t>水土流失各防治分区详细水土保持措施见表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7.1-1</w:t>
      </w:r>
      <w:r>
        <w:rPr>
          <w:rFonts w:ascii="FangSong" w:hAnsi="FangSong" w:eastAsia="FangSong" w:cs="FangSong"/>
          <w:sz w:val="24"/>
          <w:szCs w:val="24"/>
          <w:spacing w:val="-1"/>
        </w:rPr>
        <w:t>。</w:t>
      </w:r>
    </w:p>
    <w:p>
      <w:pPr>
        <w:ind w:left="2734"/>
        <w:spacing w:before="180"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7.1-1  </w:t>
      </w:r>
      <w:r>
        <w:rPr>
          <w:rFonts w:ascii="FangSong" w:hAnsi="FangSong" w:eastAsia="FangSong" w:cs="FangSong"/>
          <w:sz w:val="24"/>
          <w:szCs w:val="24"/>
          <w:b/>
          <w:bCs/>
          <w:spacing w:val="-3"/>
        </w:rPr>
        <w:t>水土保持措施一览表</w:t>
      </w:r>
    </w:p>
    <w:p>
      <w:pPr>
        <w:spacing w:line="67"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3"/>
        <w:gridCol w:w="3134"/>
        <w:gridCol w:w="2188"/>
        <w:gridCol w:w="2107"/>
      </w:tblGrid>
      <w:tr>
        <w:trPr>
          <w:trHeight w:val="630" w:hRule="atLeast"/>
        </w:trPr>
        <w:tc>
          <w:tcPr>
            <w:tcW w:w="1093" w:type="dxa"/>
            <w:vAlign w:val="top"/>
            <w:tcBorders>
              <w:left w:val="nil"/>
              <w:top w:val="single" w:color="000000" w:sz="10" w:space="0"/>
            </w:tcBorders>
          </w:tcPr>
          <w:p>
            <w:pPr>
              <w:pStyle w:val="TableText"/>
              <w:ind w:left="137"/>
              <w:spacing w:before="55" w:line="232" w:lineRule="auto"/>
              <w:rPr/>
            </w:pPr>
            <w:r>
              <w:rPr>
                <w:spacing w:val="6"/>
              </w:rPr>
              <w:t>水土流失</w:t>
            </w:r>
          </w:p>
          <w:p>
            <w:pPr>
              <w:pStyle w:val="TableText"/>
              <w:ind w:left="152"/>
              <w:spacing w:before="60" w:line="231" w:lineRule="auto"/>
              <w:rPr/>
            </w:pPr>
            <w:r>
              <w:rPr>
                <w:spacing w:val="2"/>
              </w:rPr>
              <w:t>防治分区</w:t>
            </w:r>
          </w:p>
        </w:tc>
        <w:tc>
          <w:tcPr>
            <w:tcW w:w="3134" w:type="dxa"/>
            <w:vAlign w:val="top"/>
            <w:tcBorders>
              <w:top w:val="single" w:color="000000" w:sz="10" w:space="0"/>
            </w:tcBorders>
          </w:tcPr>
          <w:p>
            <w:pPr>
              <w:pStyle w:val="TableText"/>
              <w:ind w:left="1162"/>
              <w:spacing w:before="211" w:line="232" w:lineRule="auto"/>
              <w:rPr/>
            </w:pPr>
            <w:r>
              <w:rPr>
                <w:spacing w:val="4"/>
              </w:rPr>
              <w:t>工程措施</w:t>
            </w:r>
          </w:p>
        </w:tc>
        <w:tc>
          <w:tcPr>
            <w:tcW w:w="2188" w:type="dxa"/>
            <w:vAlign w:val="top"/>
            <w:tcBorders>
              <w:top w:val="single" w:color="000000" w:sz="10" w:space="0"/>
            </w:tcBorders>
          </w:tcPr>
          <w:p>
            <w:pPr>
              <w:pStyle w:val="TableText"/>
              <w:ind w:left="684"/>
              <w:spacing w:before="212" w:line="229" w:lineRule="auto"/>
              <w:rPr/>
            </w:pPr>
            <w:r>
              <w:rPr>
                <w:spacing w:val="6"/>
              </w:rPr>
              <w:t>植物措施</w:t>
            </w:r>
          </w:p>
        </w:tc>
        <w:tc>
          <w:tcPr>
            <w:tcW w:w="2107" w:type="dxa"/>
            <w:vAlign w:val="top"/>
            <w:tcBorders>
              <w:right w:val="nil"/>
              <w:top w:val="single" w:color="000000" w:sz="10" w:space="0"/>
            </w:tcBorders>
          </w:tcPr>
          <w:p>
            <w:pPr>
              <w:pStyle w:val="TableText"/>
              <w:ind w:left="657"/>
              <w:spacing w:before="211" w:line="232" w:lineRule="auto"/>
              <w:rPr/>
            </w:pPr>
            <w:r>
              <w:rPr>
                <w:spacing w:val="2"/>
              </w:rPr>
              <w:t>临时措施</w:t>
            </w:r>
          </w:p>
        </w:tc>
      </w:tr>
      <w:tr>
        <w:trPr>
          <w:trHeight w:val="1246" w:hRule="atLeast"/>
        </w:trPr>
        <w:tc>
          <w:tcPr>
            <w:tcW w:w="1093" w:type="dxa"/>
            <w:vAlign w:val="top"/>
            <w:tcBorders>
              <w:left w:val="nil"/>
            </w:tcBorders>
          </w:tcPr>
          <w:p>
            <w:pPr>
              <w:spacing w:line="299" w:lineRule="auto"/>
              <w:rPr>
                <w:rFonts w:ascii="Arial"/>
                <w:sz w:val="21"/>
              </w:rPr>
            </w:pPr>
            <w:r/>
          </w:p>
          <w:p>
            <w:pPr>
              <w:pStyle w:val="TableText"/>
              <w:ind w:left="351" w:right="127" w:hanging="207"/>
              <w:spacing w:before="65" w:line="289" w:lineRule="auto"/>
              <w:rPr/>
            </w:pPr>
            <w:r>
              <w:rPr>
                <w:spacing w:val="4"/>
              </w:rPr>
              <w:t>主井、通</w:t>
            </w:r>
            <w:r>
              <w:rPr>
                <w:spacing w:val="1"/>
              </w:rPr>
              <w:t>风井</w:t>
            </w:r>
          </w:p>
        </w:tc>
        <w:tc>
          <w:tcPr>
            <w:tcW w:w="3134" w:type="dxa"/>
            <w:vAlign w:val="top"/>
          </w:tcPr>
          <w:p>
            <w:pPr>
              <w:pStyle w:val="TableText"/>
              <w:ind w:left="117"/>
              <w:spacing w:before="53" w:line="229" w:lineRule="auto"/>
              <w:rPr/>
            </w:pPr>
            <w:r>
              <w:rPr>
                <w:spacing w:val="7"/>
              </w:rPr>
              <w:t>施工前进行表土剥离，施工结束</w:t>
            </w:r>
          </w:p>
          <w:p>
            <w:pPr>
              <w:pStyle w:val="TableText"/>
              <w:ind w:left="119"/>
              <w:spacing w:before="64" w:line="229" w:lineRule="auto"/>
              <w:rPr/>
            </w:pPr>
            <w:r>
              <w:rPr>
                <w:spacing w:val="6"/>
              </w:rPr>
              <w:t>后场地进行土地平整，各平井</w:t>
            </w:r>
            <w:r>
              <w:rPr>
                <w:spacing w:val="-42"/>
              </w:rPr>
              <w:t xml:space="preserve"> </w:t>
            </w:r>
            <w:r>
              <w:rPr>
                <w:spacing w:val="6"/>
              </w:rPr>
              <w:t>口</w:t>
            </w:r>
          </w:p>
          <w:p>
            <w:pPr>
              <w:pStyle w:val="TableText"/>
              <w:ind w:left="119"/>
              <w:spacing w:before="63" w:line="228" w:lineRule="auto"/>
              <w:rPr/>
            </w:pPr>
            <w:r>
              <w:rPr>
                <w:spacing w:val="7"/>
              </w:rPr>
              <w:t>采用钢筋混凝土浇筑，并在门脸</w:t>
            </w:r>
          </w:p>
          <w:p>
            <w:pPr>
              <w:pStyle w:val="TableText"/>
              <w:ind w:left="530"/>
              <w:spacing w:before="64" w:line="227" w:lineRule="auto"/>
              <w:rPr/>
            </w:pPr>
            <w:r>
              <w:rPr>
                <w:spacing w:val="8"/>
              </w:rPr>
              <w:t>后侧设置水泥截排水沟</w:t>
            </w:r>
          </w:p>
        </w:tc>
        <w:tc>
          <w:tcPr>
            <w:tcW w:w="2188" w:type="dxa"/>
            <w:vAlign w:val="top"/>
          </w:tcPr>
          <w:p>
            <w:pPr>
              <w:pStyle w:val="TableText"/>
              <w:ind w:left="161"/>
              <w:spacing w:before="210" w:line="229" w:lineRule="auto"/>
              <w:rPr/>
            </w:pPr>
            <w:r>
              <w:rPr>
                <w:spacing w:val="8"/>
              </w:rPr>
              <w:t>对建筑物占压外的裸</w:t>
            </w:r>
          </w:p>
          <w:p>
            <w:pPr>
              <w:pStyle w:val="TableText"/>
              <w:ind w:left="165"/>
              <w:spacing w:before="63" w:line="232" w:lineRule="auto"/>
              <w:rPr/>
            </w:pPr>
            <w:r>
              <w:rPr>
                <w:spacing w:val="7"/>
              </w:rPr>
              <w:t>露地面土地平整后撒</w:t>
            </w:r>
          </w:p>
          <w:p>
            <w:pPr>
              <w:pStyle w:val="TableText"/>
              <w:ind w:left="370"/>
              <w:spacing w:before="61" w:line="229" w:lineRule="auto"/>
              <w:rPr/>
            </w:pPr>
            <w:r>
              <w:rPr>
                <w:spacing w:val="7"/>
              </w:rPr>
              <w:t>播草籽植物护坡</w:t>
            </w:r>
          </w:p>
        </w:tc>
        <w:tc>
          <w:tcPr>
            <w:tcW w:w="2107" w:type="dxa"/>
            <w:vAlign w:val="top"/>
            <w:tcBorders>
              <w:right w:val="nil"/>
            </w:tcBorders>
          </w:tcPr>
          <w:p>
            <w:pPr>
              <w:pStyle w:val="TableText"/>
              <w:ind w:left="118"/>
              <w:spacing w:before="210" w:line="229" w:lineRule="auto"/>
              <w:rPr/>
            </w:pPr>
            <w:r>
              <w:rPr>
                <w:spacing w:val="8"/>
              </w:rPr>
              <w:t>施工期间对区域裸露</w:t>
            </w:r>
          </w:p>
          <w:p>
            <w:pPr>
              <w:pStyle w:val="TableText"/>
              <w:ind w:left="123"/>
              <w:spacing w:before="63" w:line="229" w:lineRule="auto"/>
              <w:rPr/>
            </w:pPr>
            <w:r>
              <w:rPr>
                <w:spacing w:val="7"/>
              </w:rPr>
              <w:t>面等设置苫布苫盖防</w:t>
            </w:r>
          </w:p>
          <w:p>
            <w:pPr>
              <w:pStyle w:val="TableText"/>
              <w:ind w:left="747"/>
              <w:spacing w:before="64" w:line="231" w:lineRule="auto"/>
              <w:rPr/>
            </w:pPr>
            <w:r>
              <w:rPr>
                <w:spacing w:val="5"/>
              </w:rPr>
              <w:t>护措施</w:t>
            </w:r>
          </w:p>
        </w:tc>
      </w:tr>
      <w:tr>
        <w:trPr>
          <w:trHeight w:val="1246" w:hRule="atLeast"/>
        </w:trPr>
        <w:tc>
          <w:tcPr>
            <w:tcW w:w="1093" w:type="dxa"/>
            <w:vAlign w:val="top"/>
            <w:tcBorders>
              <w:left w:val="nil"/>
            </w:tcBorders>
          </w:tcPr>
          <w:p>
            <w:pPr>
              <w:spacing w:line="462" w:lineRule="auto"/>
              <w:rPr>
                <w:rFonts w:ascii="Arial"/>
                <w:sz w:val="21"/>
              </w:rPr>
            </w:pPr>
            <w:r/>
          </w:p>
          <w:p>
            <w:pPr>
              <w:pStyle w:val="TableText"/>
              <w:ind w:left="143"/>
              <w:spacing w:before="65" w:line="232" w:lineRule="auto"/>
              <w:rPr/>
            </w:pPr>
            <w:r>
              <w:rPr>
                <w:spacing w:val="4"/>
              </w:rPr>
              <w:t>工业广场</w:t>
            </w:r>
          </w:p>
        </w:tc>
        <w:tc>
          <w:tcPr>
            <w:tcW w:w="3134" w:type="dxa"/>
            <w:vAlign w:val="top"/>
          </w:tcPr>
          <w:p>
            <w:pPr>
              <w:pStyle w:val="TableText"/>
              <w:ind w:left="117"/>
              <w:spacing w:before="62" w:line="229" w:lineRule="auto"/>
              <w:rPr/>
            </w:pPr>
            <w:r>
              <w:rPr>
                <w:spacing w:val="8"/>
              </w:rPr>
              <w:t>施工结束后场地进行土地平整，</w:t>
            </w:r>
          </w:p>
          <w:p>
            <w:pPr>
              <w:pStyle w:val="TableText"/>
              <w:ind w:left="232"/>
              <w:spacing w:before="64" w:line="231" w:lineRule="auto"/>
              <w:rPr/>
            </w:pPr>
            <w:r>
              <w:rPr>
                <w:spacing w:val="7"/>
              </w:rPr>
              <w:t>区域内排水采用修建混凝土排</w:t>
            </w:r>
          </w:p>
          <w:p>
            <w:pPr>
              <w:pStyle w:val="TableText"/>
              <w:ind w:left="117"/>
              <w:spacing w:before="62" w:line="229" w:lineRule="auto"/>
              <w:rPr/>
            </w:pPr>
            <w:r>
              <w:rPr>
                <w:spacing w:val="7"/>
              </w:rPr>
              <w:t>水沟解决，选矿厂地面进行硬化</w:t>
            </w:r>
          </w:p>
          <w:p>
            <w:pPr>
              <w:pStyle w:val="TableText"/>
              <w:ind w:left="1369"/>
              <w:spacing w:before="62" w:line="219" w:lineRule="auto"/>
              <w:rPr/>
            </w:pPr>
            <w:r>
              <w:rPr>
                <w:spacing w:val="1"/>
              </w:rPr>
              <w:t>处理</w:t>
            </w:r>
          </w:p>
        </w:tc>
        <w:tc>
          <w:tcPr>
            <w:tcW w:w="2188" w:type="dxa"/>
            <w:vAlign w:val="top"/>
          </w:tcPr>
          <w:p>
            <w:pPr>
              <w:pStyle w:val="TableText"/>
              <w:ind w:left="161"/>
              <w:spacing w:before="219" w:line="229" w:lineRule="auto"/>
              <w:rPr/>
            </w:pPr>
            <w:r>
              <w:rPr>
                <w:spacing w:val="8"/>
              </w:rPr>
              <w:t>对建筑物占压外的裸</w:t>
            </w:r>
          </w:p>
          <w:p>
            <w:pPr>
              <w:pStyle w:val="TableText"/>
              <w:ind w:left="165"/>
              <w:spacing w:before="63" w:line="232" w:lineRule="auto"/>
              <w:rPr/>
            </w:pPr>
            <w:r>
              <w:rPr>
                <w:spacing w:val="7"/>
              </w:rPr>
              <w:t>露地面土地平整后撒</w:t>
            </w:r>
          </w:p>
          <w:p>
            <w:pPr>
              <w:pStyle w:val="TableText"/>
              <w:ind w:left="370"/>
              <w:spacing w:before="61" w:line="229" w:lineRule="auto"/>
              <w:rPr/>
            </w:pPr>
            <w:r>
              <w:rPr>
                <w:spacing w:val="7"/>
              </w:rPr>
              <w:t>播草籽植物护坡</w:t>
            </w:r>
          </w:p>
        </w:tc>
        <w:tc>
          <w:tcPr>
            <w:tcW w:w="2107" w:type="dxa"/>
            <w:vAlign w:val="top"/>
            <w:tcBorders>
              <w:right w:val="nil"/>
            </w:tcBorders>
          </w:tcPr>
          <w:p>
            <w:pPr>
              <w:pStyle w:val="TableText"/>
              <w:ind w:left="118"/>
              <w:spacing w:before="219" w:line="229" w:lineRule="auto"/>
              <w:rPr/>
            </w:pPr>
            <w:r>
              <w:rPr>
                <w:spacing w:val="8"/>
              </w:rPr>
              <w:t>施工期间对区域裸露</w:t>
            </w:r>
          </w:p>
          <w:p>
            <w:pPr>
              <w:pStyle w:val="TableText"/>
              <w:ind w:left="123"/>
              <w:spacing w:before="63" w:line="229" w:lineRule="auto"/>
              <w:rPr/>
            </w:pPr>
            <w:r>
              <w:rPr>
                <w:spacing w:val="7"/>
              </w:rPr>
              <w:t>面等设置苫布苫盖防</w:t>
            </w:r>
          </w:p>
          <w:p>
            <w:pPr>
              <w:pStyle w:val="TableText"/>
              <w:ind w:left="747"/>
              <w:spacing w:before="64" w:line="231" w:lineRule="auto"/>
              <w:rPr/>
            </w:pPr>
            <w:r>
              <w:rPr>
                <w:spacing w:val="5"/>
              </w:rPr>
              <w:t>护措施</w:t>
            </w:r>
          </w:p>
        </w:tc>
      </w:tr>
      <w:tr>
        <w:trPr>
          <w:trHeight w:val="1257" w:hRule="atLeast"/>
        </w:trPr>
        <w:tc>
          <w:tcPr>
            <w:tcW w:w="1093" w:type="dxa"/>
            <w:vAlign w:val="top"/>
            <w:tcBorders>
              <w:left w:val="nil"/>
              <w:bottom w:val="single" w:color="000000" w:sz="10" w:space="0"/>
            </w:tcBorders>
          </w:tcPr>
          <w:p>
            <w:pPr>
              <w:spacing w:line="464" w:lineRule="auto"/>
              <w:rPr>
                <w:rFonts w:ascii="Arial"/>
                <w:sz w:val="21"/>
              </w:rPr>
            </w:pPr>
            <w:r/>
          </w:p>
          <w:p>
            <w:pPr>
              <w:pStyle w:val="TableText"/>
              <w:ind w:left="138"/>
              <w:spacing w:before="65" w:line="232" w:lineRule="auto"/>
              <w:rPr/>
            </w:pPr>
            <w:r>
              <w:rPr>
                <w:spacing w:val="5"/>
              </w:rPr>
              <w:t>矿区道路</w:t>
            </w:r>
          </w:p>
        </w:tc>
        <w:tc>
          <w:tcPr>
            <w:tcW w:w="3134" w:type="dxa"/>
            <w:vAlign w:val="top"/>
            <w:tcBorders>
              <w:bottom w:val="single" w:color="000000" w:sz="10" w:space="0"/>
            </w:tcBorders>
          </w:tcPr>
          <w:p>
            <w:pPr>
              <w:pStyle w:val="TableText"/>
              <w:ind w:left="117"/>
              <w:spacing w:before="220" w:line="229" w:lineRule="auto"/>
              <w:rPr/>
            </w:pPr>
            <w:r>
              <w:rPr>
                <w:spacing w:val="8"/>
              </w:rPr>
              <w:t>施工结束后场地进行土地平整，</w:t>
            </w:r>
          </w:p>
          <w:p>
            <w:pPr>
              <w:pStyle w:val="TableText"/>
              <w:ind w:left="119"/>
              <w:spacing w:before="64" w:line="229" w:lineRule="auto"/>
              <w:rPr/>
            </w:pPr>
            <w:r>
              <w:rPr>
                <w:spacing w:val="7"/>
              </w:rPr>
              <w:t>道路旁侧建设排水沟，路面碎石</w:t>
            </w:r>
          </w:p>
          <w:p>
            <w:pPr>
              <w:pStyle w:val="TableText"/>
              <w:ind w:left="1371"/>
              <w:spacing w:before="63" w:line="232" w:lineRule="auto"/>
              <w:rPr/>
            </w:pPr>
            <w:r>
              <w:rPr/>
              <w:t>覆盖</w:t>
            </w:r>
          </w:p>
        </w:tc>
        <w:tc>
          <w:tcPr>
            <w:tcW w:w="2188" w:type="dxa"/>
            <w:vAlign w:val="top"/>
            <w:tcBorders>
              <w:bottom w:val="single" w:color="000000" w:sz="10" w:space="0"/>
            </w:tcBorders>
          </w:tcPr>
          <w:p>
            <w:pPr>
              <w:pStyle w:val="TableText"/>
              <w:ind w:left="160" w:right="148" w:firstLine="106"/>
              <w:spacing w:before="220" w:line="288" w:lineRule="auto"/>
              <w:jc w:val="both"/>
              <w:rPr/>
            </w:pPr>
            <w:r>
              <w:rPr>
                <w:spacing w:val="7"/>
              </w:rPr>
              <w:t>对道路两边进行绿</w:t>
            </w:r>
            <w:r>
              <w:rPr>
                <w:spacing w:val="8"/>
              </w:rPr>
              <w:t>化：局部路堑和边坡</w:t>
            </w:r>
            <w:r>
              <w:rPr>
                <w:spacing w:val="21"/>
              </w:rPr>
              <w:t>撒播草籽植物护坡</w:t>
            </w:r>
          </w:p>
        </w:tc>
        <w:tc>
          <w:tcPr>
            <w:tcW w:w="2107" w:type="dxa"/>
            <w:vAlign w:val="top"/>
            <w:tcBorders>
              <w:right w:val="nil"/>
              <w:bottom w:val="single" w:color="000000" w:sz="10" w:space="0"/>
            </w:tcBorders>
          </w:tcPr>
          <w:p>
            <w:pPr>
              <w:pStyle w:val="TableText"/>
              <w:ind w:left="118"/>
              <w:spacing w:before="221" w:line="229" w:lineRule="auto"/>
              <w:rPr/>
            </w:pPr>
            <w:r>
              <w:rPr>
                <w:spacing w:val="8"/>
              </w:rPr>
              <w:t>施工期间对区域裸露</w:t>
            </w:r>
          </w:p>
          <w:p>
            <w:pPr>
              <w:pStyle w:val="TableText"/>
              <w:ind w:left="123"/>
              <w:spacing w:before="63" w:line="229" w:lineRule="auto"/>
              <w:rPr/>
            </w:pPr>
            <w:r>
              <w:rPr>
                <w:spacing w:val="7"/>
              </w:rPr>
              <w:t>面等设置苫布苫盖防</w:t>
            </w:r>
          </w:p>
          <w:p>
            <w:pPr>
              <w:pStyle w:val="TableText"/>
              <w:ind w:left="747"/>
              <w:spacing w:before="64" w:line="231" w:lineRule="auto"/>
              <w:rPr/>
            </w:pPr>
            <w:r>
              <w:rPr>
                <w:spacing w:val="5"/>
              </w:rPr>
              <w:t>护措施</w:t>
            </w:r>
          </w:p>
        </w:tc>
      </w:tr>
    </w:tbl>
    <w:p>
      <w:pPr>
        <w:pStyle w:val="BodyText"/>
        <w:spacing w:line="225" w:lineRule="exact"/>
        <w:rPr>
          <w:sz w:val="19"/>
        </w:rPr>
      </w:pPr>
      <w:r/>
    </w:p>
    <w:p>
      <w:pPr>
        <w:spacing w:line="225" w:lineRule="exact"/>
        <w:sectPr>
          <w:footerReference w:type="default" r:id="rId336"/>
          <w:pgSz w:w="11906" w:h="16839"/>
          <w:pgMar w:top="400" w:right="1691" w:bottom="1358" w:left="1691" w:header="0" w:footer="1195" w:gutter="0"/>
        </w:sectPr>
        <w:rPr>
          <w:sz w:val="19"/>
          <w:szCs w:val="19"/>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093"/>
        <w:gridCol w:w="3134"/>
        <w:gridCol w:w="2188"/>
        <w:gridCol w:w="2107"/>
      </w:tblGrid>
      <w:tr>
        <w:trPr>
          <w:trHeight w:val="1568" w:hRule="atLeast"/>
        </w:trPr>
        <w:tc>
          <w:tcPr>
            <w:tcW w:w="1093" w:type="dxa"/>
            <w:vAlign w:val="top"/>
            <w:tcBorders>
              <w:right w:val="single" w:color="000000" w:sz="2" w:space="0"/>
              <w:left w:val="nil"/>
            </w:tcBorders>
          </w:tcPr>
          <w:p>
            <w:pPr>
              <w:spacing w:line="305" w:lineRule="auto"/>
              <w:rPr>
                <w:rFonts w:ascii="Arial"/>
                <w:sz w:val="21"/>
              </w:rPr>
            </w:pPr>
            <w:r/>
          </w:p>
          <w:p>
            <w:pPr>
              <w:spacing w:line="306" w:lineRule="auto"/>
              <w:rPr>
                <w:rFonts w:ascii="Arial"/>
                <w:sz w:val="21"/>
              </w:rPr>
            </w:pPr>
            <w:r/>
          </w:p>
          <w:p>
            <w:pPr>
              <w:pStyle w:val="TableText"/>
              <w:ind w:left="139"/>
              <w:spacing w:before="65" w:line="229" w:lineRule="auto"/>
              <w:rPr/>
            </w:pPr>
            <w:r>
              <w:rPr>
                <w:spacing w:val="5"/>
              </w:rPr>
              <w:t>各类堆场</w:t>
            </w:r>
          </w:p>
        </w:tc>
        <w:tc>
          <w:tcPr>
            <w:tcW w:w="3134" w:type="dxa"/>
            <w:vAlign w:val="top"/>
            <w:tcBorders>
              <w:left w:val="single" w:color="000000" w:sz="2" w:space="0"/>
              <w:right w:val="single" w:color="000000" w:sz="2" w:space="0"/>
            </w:tcBorders>
          </w:tcPr>
          <w:p>
            <w:pPr>
              <w:pStyle w:val="TableText"/>
              <w:ind w:left="213"/>
              <w:spacing w:before="211" w:line="229" w:lineRule="auto"/>
              <w:rPr/>
            </w:pPr>
            <w:r>
              <w:rPr>
                <w:spacing w:val="8"/>
              </w:rPr>
              <w:t>施工结束后场地进行土地平整</w:t>
            </w:r>
          </w:p>
          <w:p>
            <w:pPr>
              <w:pStyle w:val="TableText"/>
              <w:ind w:left="119"/>
              <w:spacing w:before="64" w:line="229" w:lineRule="auto"/>
              <w:rPr/>
            </w:pPr>
            <w:r>
              <w:rPr>
                <w:spacing w:val="7"/>
              </w:rPr>
              <w:t>浆砌石挡碴墙，堆场采用封闭式</w:t>
            </w:r>
          </w:p>
          <w:p>
            <w:pPr>
              <w:pStyle w:val="TableText"/>
              <w:ind w:left="118"/>
              <w:spacing w:before="63" w:line="229" w:lineRule="auto"/>
              <w:rPr/>
            </w:pPr>
            <w:r>
              <w:rPr>
                <w:spacing w:val="7"/>
              </w:rPr>
              <w:t>建设，堆场下游设置挡碴墙进行</w:t>
            </w:r>
          </w:p>
          <w:p>
            <w:pPr>
              <w:pStyle w:val="TableText"/>
              <w:ind w:left="1368"/>
              <w:spacing w:before="63" w:line="232" w:lineRule="auto"/>
              <w:rPr/>
            </w:pPr>
            <w:r>
              <w:rPr>
                <w:spacing w:val="2"/>
              </w:rPr>
              <w:t>拦挡</w:t>
            </w:r>
          </w:p>
        </w:tc>
        <w:tc>
          <w:tcPr>
            <w:tcW w:w="2188" w:type="dxa"/>
            <w:vAlign w:val="top"/>
            <w:tcBorders>
              <w:left w:val="single" w:color="000000" w:sz="2" w:space="0"/>
              <w:right w:val="single" w:color="000000" w:sz="2" w:space="0"/>
            </w:tcBorders>
          </w:tcPr>
          <w:p>
            <w:pPr>
              <w:spacing w:line="456" w:lineRule="auto"/>
              <w:rPr>
                <w:rFonts w:ascii="Arial"/>
                <w:sz w:val="21"/>
              </w:rPr>
            </w:pPr>
            <w:r/>
          </w:p>
          <w:p>
            <w:pPr>
              <w:pStyle w:val="TableText"/>
              <w:ind w:left="265" w:right="251" w:hanging="1"/>
              <w:spacing w:before="65" w:line="287" w:lineRule="auto"/>
              <w:rPr/>
            </w:pPr>
            <w:r>
              <w:rPr>
                <w:spacing w:val="8"/>
              </w:rPr>
              <w:t>服务期满后覆土绿</w:t>
            </w:r>
            <w:r>
              <w:rPr>
                <w:spacing w:val="8"/>
              </w:rPr>
              <w:t>化，恢复为牧草地</w:t>
            </w:r>
          </w:p>
        </w:tc>
        <w:tc>
          <w:tcPr>
            <w:tcW w:w="2107" w:type="dxa"/>
            <w:vAlign w:val="top"/>
            <w:tcBorders>
              <w:left w:val="single" w:color="000000" w:sz="2" w:space="0"/>
              <w:right w:val="nil"/>
            </w:tcBorders>
          </w:tcPr>
          <w:p>
            <w:pPr>
              <w:spacing w:line="301" w:lineRule="auto"/>
              <w:rPr>
                <w:rFonts w:ascii="Arial"/>
                <w:sz w:val="21"/>
              </w:rPr>
            </w:pPr>
            <w:r/>
          </w:p>
          <w:p>
            <w:pPr>
              <w:pStyle w:val="TableText"/>
              <w:ind w:left="118"/>
              <w:spacing w:before="65" w:line="229" w:lineRule="auto"/>
              <w:rPr/>
            </w:pPr>
            <w:r>
              <w:rPr>
                <w:spacing w:val="8"/>
              </w:rPr>
              <w:t>施工期间对区域裸露</w:t>
            </w:r>
          </w:p>
          <w:p>
            <w:pPr>
              <w:pStyle w:val="TableText"/>
              <w:ind w:left="123"/>
              <w:spacing w:before="63" w:line="229" w:lineRule="auto"/>
              <w:rPr/>
            </w:pPr>
            <w:r>
              <w:rPr>
                <w:spacing w:val="7"/>
              </w:rPr>
              <w:t>面等设置苫布苫盖防</w:t>
            </w:r>
          </w:p>
          <w:p>
            <w:pPr>
              <w:pStyle w:val="TableText"/>
              <w:ind w:left="747"/>
              <w:spacing w:before="64" w:line="231" w:lineRule="auto"/>
              <w:rPr/>
            </w:pPr>
            <w:r>
              <w:rPr>
                <w:spacing w:val="5"/>
              </w:rPr>
              <w:t>护措施</w:t>
            </w:r>
          </w:p>
        </w:tc>
      </w:tr>
    </w:tbl>
    <w:p>
      <w:pPr>
        <w:pStyle w:val="BodyText"/>
        <w:spacing w:line="273" w:lineRule="auto"/>
        <w:rPr/>
      </w:pPr>
      <w:r/>
    </w:p>
    <w:p>
      <w:pPr>
        <w:pStyle w:val="BodyText"/>
        <w:spacing w:line="273" w:lineRule="auto"/>
        <w:rPr/>
      </w:pPr>
      <w:r/>
    </w:p>
    <w:p>
      <w:pPr>
        <w:ind w:left="117"/>
        <w:spacing w:before="91" w:line="222" w:lineRule="auto"/>
        <w:outlineLvl w:val="1"/>
        <w:rPr>
          <w:rFonts w:ascii="FangSong" w:hAnsi="FangSong" w:eastAsia="FangSong" w:cs="FangSong"/>
          <w:sz w:val="28"/>
          <w:szCs w:val="28"/>
        </w:rPr>
      </w:pPr>
      <w:bookmarkStart w:name="bookmark322" w:id="436"/>
      <w:bookmarkEnd w:id="436"/>
      <w:bookmarkStart w:name="bookmark324" w:id="437"/>
      <w:bookmarkEnd w:id="437"/>
      <w:bookmarkStart w:name="bookmark321" w:id="438"/>
      <w:bookmarkEnd w:id="438"/>
      <w:bookmarkStart w:name="bookmark323" w:id="439"/>
      <w:bookmarkEnd w:id="439"/>
      <w:r>
        <w:rPr>
          <w:rFonts w:ascii="Times New Roman" w:hAnsi="Times New Roman" w:eastAsia="Times New Roman" w:cs="Times New Roman"/>
          <w:sz w:val="28"/>
          <w:szCs w:val="28"/>
          <w:b/>
          <w:bCs/>
          <w:spacing w:val="-2"/>
        </w:rPr>
        <w:t>7.2  </w:t>
      </w:r>
      <w:r>
        <w:rPr>
          <w:rFonts w:ascii="FangSong" w:hAnsi="FangSong" w:eastAsia="FangSong" w:cs="FangSong"/>
          <w:sz w:val="28"/>
          <w:szCs w:val="28"/>
          <w:b/>
          <w:bCs/>
          <w:spacing w:val="-2"/>
        </w:rPr>
        <w:t>运营期环境保护措施调查及落实情况</w:t>
      </w:r>
    </w:p>
    <w:p>
      <w:pPr>
        <w:ind w:left="116"/>
        <w:spacing w:before="229" w:line="220" w:lineRule="auto"/>
        <w:outlineLvl w:val="2"/>
        <w:rPr>
          <w:rFonts w:ascii="FangSong" w:hAnsi="FangSong" w:eastAsia="FangSong" w:cs="FangSong"/>
          <w:sz w:val="24"/>
          <w:szCs w:val="24"/>
        </w:rPr>
      </w:pPr>
      <w:bookmarkStart w:name="bookmark606" w:id="440"/>
      <w:bookmarkEnd w:id="440"/>
      <w:r>
        <w:rPr>
          <w:rFonts w:ascii="Times New Roman" w:hAnsi="Times New Roman" w:eastAsia="Times New Roman" w:cs="Times New Roman"/>
          <w:sz w:val="24"/>
          <w:szCs w:val="24"/>
          <w:b/>
          <w:bCs/>
          <w:spacing w:val="-2"/>
        </w:rPr>
        <w:t>7.2.1  </w:t>
      </w:r>
      <w:r>
        <w:rPr>
          <w:rFonts w:ascii="FangSong" w:hAnsi="FangSong" w:eastAsia="FangSong" w:cs="FangSong"/>
          <w:sz w:val="24"/>
          <w:szCs w:val="24"/>
          <w:b/>
          <w:bCs/>
          <w:spacing w:val="-2"/>
        </w:rPr>
        <w:t>废水环境保护措施及有效性分析</w:t>
      </w:r>
    </w:p>
    <w:p>
      <w:pPr>
        <w:ind w:left="123" w:right="196" w:firstLine="481"/>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根据前文分析，本项目运营期产生的废水主要</w:t>
      </w:r>
      <w:r>
        <w:rPr>
          <w:rFonts w:ascii="FangSong" w:hAnsi="FangSong" w:eastAsia="FangSong" w:cs="FangSong"/>
          <w:sz w:val="24"/>
          <w:szCs w:val="24"/>
          <w:spacing w:val="-4"/>
        </w:rPr>
        <w:t>为生活污水、食堂废水、矿井</w:t>
      </w:r>
      <w:r>
        <w:rPr>
          <w:rFonts w:ascii="FangSong" w:hAnsi="FangSong" w:eastAsia="FangSong" w:cs="FangSong"/>
          <w:sz w:val="24"/>
          <w:szCs w:val="24"/>
          <w:spacing w:val="-3"/>
        </w:rPr>
        <w:t>涌水及选矿废水（选矿工艺废水、地面冲洗废水</w:t>
      </w:r>
      <w:r>
        <w:rPr>
          <w:rFonts w:ascii="FangSong" w:hAnsi="FangSong" w:eastAsia="FangSong" w:cs="FangSong"/>
          <w:sz w:val="24"/>
          <w:szCs w:val="24"/>
          <w:spacing w:val="-6"/>
        </w:rPr>
        <w:t>），</w:t>
      </w:r>
      <w:r>
        <w:rPr>
          <w:rFonts w:ascii="FangSong" w:hAnsi="FangSong" w:eastAsia="FangSong" w:cs="FangSong"/>
          <w:sz w:val="24"/>
          <w:szCs w:val="24"/>
          <w:spacing w:val="-3"/>
        </w:rPr>
        <w:t>采取的保护措施及有效性分</w:t>
      </w:r>
      <w:r>
        <w:rPr>
          <w:rFonts w:ascii="FangSong" w:hAnsi="FangSong" w:eastAsia="FangSong" w:cs="FangSong"/>
          <w:sz w:val="24"/>
          <w:szCs w:val="24"/>
          <w:spacing w:val="-4"/>
        </w:rPr>
        <w:t>析如下：</w:t>
      </w:r>
    </w:p>
    <w:p>
      <w:pPr>
        <w:ind w:left="116"/>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7.2.1.1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保护措施</w:t>
      </w:r>
    </w:p>
    <w:p>
      <w:pPr>
        <w:ind w:left="123" w:firstLine="494"/>
        <w:spacing w:before="181" w:line="360" w:lineRule="auto"/>
        <w:jc w:val="both"/>
        <w:rPr>
          <w:rFonts w:ascii="FangSong" w:hAnsi="FangSong" w:eastAsia="FangSong" w:cs="FangSong"/>
          <w:sz w:val="24"/>
          <w:szCs w:val="24"/>
        </w:rPr>
      </w:pPr>
      <w:r>
        <w:rPr>
          <w:rFonts w:ascii="FangSong" w:hAnsi="FangSong" w:eastAsia="FangSong" w:cs="FangSong"/>
          <w:sz w:val="24"/>
          <w:szCs w:val="24"/>
          <w:spacing w:val="-4"/>
        </w:rPr>
        <w:t>生活污水与经隔油池处理后的食堂废水排入厂区防渗储池内，定期运至内蒙</w:t>
      </w:r>
      <w:r>
        <w:rPr>
          <w:rFonts w:ascii="FangSong" w:hAnsi="FangSong" w:eastAsia="FangSong" w:cs="FangSong"/>
          <w:sz w:val="24"/>
          <w:szCs w:val="24"/>
          <w:spacing w:val="-3"/>
        </w:rPr>
        <w:t>古锡林郭勒盟苏尼特右旗赛汉塔拉镇污水处理厂处理；采矿矿井涌</w:t>
      </w:r>
      <w:r>
        <w:rPr>
          <w:rFonts w:ascii="FangSong" w:hAnsi="FangSong" w:eastAsia="FangSong" w:cs="FangSong"/>
          <w:sz w:val="24"/>
          <w:szCs w:val="24"/>
          <w:spacing w:val="-4"/>
        </w:rPr>
        <w:t>水经井下水仓</w:t>
      </w:r>
      <w:r>
        <w:rPr>
          <w:rFonts w:ascii="FangSong" w:hAnsi="FangSong" w:eastAsia="FangSong" w:cs="FangSong"/>
          <w:sz w:val="24"/>
          <w:szCs w:val="24"/>
          <w:spacing w:val="-4"/>
        </w:rPr>
        <w:t>沉淀后由泵房集中排至地表高位水池后经沉淀后部分回用于</w:t>
      </w:r>
      <w:r>
        <w:rPr>
          <w:rFonts w:ascii="FangSong" w:hAnsi="FangSong" w:eastAsia="FangSong" w:cs="FangSong"/>
          <w:sz w:val="24"/>
          <w:szCs w:val="24"/>
          <w:spacing w:val="-5"/>
        </w:rPr>
        <w:t>井下凿岩、爆破降尘、</w:t>
      </w:r>
      <w:r>
        <w:rPr>
          <w:rFonts w:ascii="FangSong" w:hAnsi="FangSong" w:eastAsia="FangSong" w:cs="FangSong"/>
          <w:sz w:val="24"/>
          <w:szCs w:val="24"/>
          <w:spacing w:val="-3"/>
        </w:rPr>
        <w:t>各堆场、道路降尘，部分排入回水池中与选矿废水经混凝沉淀后进</w:t>
      </w:r>
      <w:r>
        <w:rPr>
          <w:rFonts w:ascii="FangSong" w:hAnsi="FangSong" w:eastAsia="FangSong" w:cs="FangSong"/>
          <w:sz w:val="24"/>
          <w:szCs w:val="24"/>
          <w:spacing w:val="-4"/>
        </w:rPr>
        <w:t>入蓄水池内回</w:t>
      </w:r>
      <w:r>
        <w:rPr>
          <w:rFonts w:ascii="FangSong" w:hAnsi="FangSong" w:eastAsia="FangSong" w:cs="FangSong"/>
          <w:sz w:val="24"/>
          <w:szCs w:val="24"/>
          <w:spacing w:val="-2"/>
        </w:rPr>
        <w:t>用于选矿用水，不外排。</w:t>
      </w:r>
    </w:p>
    <w:p>
      <w:pPr>
        <w:ind w:left="116"/>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7.2.1.2  </w:t>
      </w:r>
      <w:r>
        <w:rPr>
          <w:rFonts w:ascii="FangSong" w:hAnsi="FangSong" w:eastAsia="FangSong" w:cs="FangSong"/>
          <w:sz w:val="24"/>
          <w:szCs w:val="24"/>
          <w:b/>
          <w:bCs/>
          <w:spacing w:val="-2"/>
        </w:rPr>
        <w:t>有效性分析</w:t>
      </w:r>
    </w:p>
    <w:p>
      <w:pPr>
        <w:ind w:left="608"/>
        <w:spacing w:before="182"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）生活污水污染防治措施</w:t>
      </w:r>
    </w:p>
    <w:p>
      <w:pPr>
        <w:ind w:left="123" w:right="11" w:firstLine="494"/>
        <w:spacing w:before="179" w:line="360" w:lineRule="auto"/>
        <w:rPr>
          <w:rFonts w:ascii="FangSong" w:hAnsi="FangSong" w:eastAsia="FangSong" w:cs="FangSong"/>
          <w:sz w:val="24"/>
          <w:szCs w:val="24"/>
        </w:rPr>
      </w:pPr>
      <w:r>
        <w:rPr>
          <w:rFonts w:ascii="FangSong" w:hAnsi="FangSong" w:eastAsia="FangSong" w:cs="FangSong"/>
          <w:sz w:val="24"/>
          <w:szCs w:val="24"/>
          <w:spacing w:val="-4"/>
        </w:rPr>
        <w:t>生活污水水质较简单，主要为有机污染物。项目在办公生活区设置一个防渗</w:t>
      </w:r>
      <w:r>
        <w:rPr>
          <w:rFonts w:ascii="FangSong" w:hAnsi="FangSong" w:eastAsia="FangSong" w:cs="FangSong"/>
          <w:sz w:val="24"/>
          <w:szCs w:val="24"/>
          <w:spacing w:val="-5"/>
        </w:rPr>
        <w:t>储池及一个隔油池，经隔油池处理后的食堂废水和生活污水排入厂区防渗储池内，</w:t>
      </w:r>
      <w:r>
        <w:rPr>
          <w:rFonts w:ascii="FangSong" w:hAnsi="FangSong" w:eastAsia="FangSong" w:cs="FangSong"/>
          <w:sz w:val="24"/>
          <w:szCs w:val="24"/>
          <w:spacing w:val="-1"/>
        </w:rPr>
        <w:t>满足《污水综合排放标准》（</w:t>
      </w:r>
      <w:r>
        <w:rPr>
          <w:rFonts w:ascii="Times New Roman" w:hAnsi="Times New Roman" w:eastAsia="Times New Roman" w:cs="Times New Roman"/>
          <w:sz w:val="24"/>
          <w:szCs w:val="24"/>
          <w:spacing w:val="-1"/>
        </w:rPr>
        <w:t>GB8978-1996</w:t>
      </w:r>
      <w:r>
        <w:rPr>
          <w:rFonts w:ascii="FangSong" w:hAnsi="FangSong" w:eastAsia="FangSong" w:cs="FangSong"/>
          <w:sz w:val="24"/>
          <w:szCs w:val="24"/>
          <w:spacing w:val="-1"/>
        </w:rPr>
        <w:t>）中三级排放限值及内蒙古</w:t>
      </w:r>
      <w:r>
        <w:rPr>
          <w:rFonts w:ascii="FangSong" w:hAnsi="FangSong" w:eastAsia="FangSong" w:cs="FangSong"/>
          <w:sz w:val="24"/>
          <w:szCs w:val="24"/>
          <w:spacing w:val="-2"/>
        </w:rPr>
        <w:t>锡林郭勒</w:t>
      </w:r>
      <w:r>
        <w:rPr>
          <w:rFonts w:ascii="FangSong" w:hAnsi="FangSong" w:eastAsia="FangSong" w:cs="FangSong"/>
          <w:sz w:val="24"/>
          <w:szCs w:val="24"/>
          <w:spacing w:val="-3"/>
        </w:rPr>
        <w:t>盟苏尼特右旗赛汉塔拉镇污水处理厂进水指标后，定期运至内蒙古</w:t>
      </w:r>
      <w:r>
        <w:rPr>
          <w:rFonts w:ascii="FangSong" w:hAnsi="FangSong" w:eastAsia="FangSong" w:cs="FangSong"/>
          <w:sz w:val="24"/>
          <w:szCs w:val="24"/>
          <w:spacing w:val="-4"/>
        </w:rPr>
        <w:t>锡林郭勒盟苏</w:t>
      </w:r>
      <w:r>
        <w:rPr>
          <w:rFonts w:ascii="FangSong" w:hAnsi="FangSong" w:eastAsia="FangSong" w:cs="FangSong"/>
          <w:sz w:val="24"/>
          <w:szCs w:val="24"/>
          <w:spacing w:val="-1"/>
        </w:rPr>
        <w:t>尼特右旗赛汉塔拉镇污水处理厂处理。</w:t>
      </w:r>
    </w:p>
    <w:p>
      <w:pPr>
        <w:ind w:left="124" w:right="196" w:firstLine="479"/>
        <w:spacing w:before="3" w:line="359" w:lineRule="auto"/>
        <w:jc w:val="both"/>
        <w:rPr>
          <w:rFonts w:ascii="FangSong" w:hAnsi="FangSong" w:eastAsia="FangSong" w:cs="FangSong"/>
          <w:sz w:val="24"/>
          <w:szCs w:val="24"/>
        </w:rPr>
      </w:pPr>
      <w:r>
        <w:rPr>
          <w:rFonts w:ascii="FangSong" w:hAnsi="FangSong" w:eastAsia="FangSong" w:cs="FangSong"/>
          <w:sz w:val="24"/>
          <w:szCs w:val="24"/>
          <w:spacing w:val="-3"/>
        </w:rPr>
        <w:t>拟建一座防渗储池有效容积约</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3"/>
        </w:rPr>
        <w:t>100m</w:t>
      </w:r>
      <w:r>
        <w:rPr>
          <w:rFonts w:ascii="Times New Roman" w:hAnsi="Times New Roman" w:eastAsia="Times New Roman" w:cs="Times New Roman"/>
          <w:sz w:val="15"/>
          <w:szCs w:val="15"/>
          <w:spacing w:val="-3"/>
          <w:position w:val="7"/>
        </w:rPr>
        <w:t>3</w:t>
      </w:r>
      <w:r>
        <w:rPr>
          <w:rFonts w:ascii="FangSong" w:hAnsi="FangSong" w:eastAsia="FangSong" w:cs="FangSong"/>
          <w:sz w:val="24"/>
          <w:szCs w:val="24"/>
          <w:spacing w:val="-3"/>
        </w:rPr>
        <w:t>，其有效容积可达到生活污水七天的储</w:t>
      </w:r>
      <w:r>
        <w:rPr>
          <w:rFonts w:ascii="FangSong" w:hAnsi="FangSong" w:eastAsia="FangSong" w:cs="FangSong"/>
          <w:sz w:val="24"/>
          <w:szCs w:val="24"/>
          <w:spacing w:val="-3"/>
        </w:rPr>
        <w:t>存能力，废水每七天清运一次，采用固定罐车（容积约三十立方</w:t>
      </w:r>
      <w:r>
        <w:rPr>
          <w:rFonts w:ascii="FangSong" w:hAnsi="FangSong" w:eastAsia="FangSong" w:cs="FangSong"/>
          <w:sz w:val="24"/>
          <w:szCs w:val="24"/>
          <w:spacing w:val="-4"/>
        </w:rPr>
        <w:t>米）进入厂区抽</w:t>
      </w:r>
      <w:r>
        <w:rPr>
          <w:rFonts w:ascii="FangSong" w:hAnsi="FangSong" w:eastAsia="FangSong" w:cs="FangSong"/>
          <w:sz w:val="24"/>
          <w:szCs w:val="24"/>
          <w:spacing w:val="-1"/>
        </w:rPr>
        <w:t>取废水每次清运约三辆罐车同时运输，尽量采取容积较大的罐车清运。</w:t>
      </w:r>
    </w:p>
    <w:p>
      <w:pPr>
        <w:ind w:left="124" w:right="196" w:firstLine="487"/>
        <w:spacing w:before="1" w:line="360" w:lineRule="auto"/>
        <w:jc w:val="both"/>
        <w:rPr>
          <w:rFonts w:ascii="FangSong" w:hAnsi="FangSong" w:eastAsia="FangSong" w:cs="FangSong"/>
          <w:sz w:val="24"/>
          <w:szCs w:val="24"/>
        </w:rPr>
      </w:pPr>
      <w:r>
        <w:rPr>
          <w:rFonts w:ascii="FangSong" w:hAnsi="FangSong" w:eastAsia="FangSong" w:cs="FangSong"/>
          <w:sz w:val="24"/>
          <w:szCs w:val="24"/>
          <w:spacing w:val="-4"/>
        </w:rPr>
        <w:t>为避免生活污水运输过程中发生翻车等交通事故，交通线路基本沿乡道、省</w:t>
      </w:r>
      <w:r>
        <w:rPr>
          <w:rFonts w:ascii="FangSong" w:hAnsi="FangSong" w:eastAsia="FangSong" w:cs="FangSong"/>
          <w:sz w:val="24"/>
          <w:szCs w:val="24"/>
          <w:spacing w:val="-3"/>
        </w:rPr>
        <w:t>道及国道行驶，交通运输条件方便，行驶路线较为安全，生活污</w:t>
      </w:r>
      <w:r>
        <w:rPr>
          <w:rFonts w:ascii="FangSong" w:hAnsi="FangSong" w:eastAsia="FangSong" w:cs="FangSong"/>
          <w:sz w:val="24"/>
          <w:szCs w:val="24"/>
          <w:spacing w:val="-4"/>
        </w:rPr>
        <w:t>水采用密闭罐车</w:t>
      </w:r>
      <w:r>
        <w:rPr>
          <w:rFonts w:ascii="FangSong" w:hAnsi="FangSong" w:eastAsia="FangSong" w:cs="FangSong"/>
          <w:sz w:val="24"/>
          <w:szCs w:val="24"/>
          <w:spacing w:val="-1"/>
        </w:rPr>
        <w:t>运输，故本项目生活污水外运处置可行。</w:t>
      </w:r>
    </w:p>
    <w:p>
      <w:pPr>
        <w:ind w:left="596"/>
        <w:spacing w:before="1" w:line="220" w:lineRule="auto"/>
        <w:rPr>
          <w:rFonts w:ascii="FangSong" w:hAnsi="FangSong" w:eastAsia="FangSong" w:cs="FangSong"/>
          <w:sz w:val="24"/>
          <w:szCs w:val="24"/>
        </w:rPr>
      </w:pPr>
      <w:r>
        <w:rPr>
          <w:rFonts w:ascii="FangSong" w:hAnsi="FangSong" w:eastAsia="FangSong" w:cs="FangSong"/>
          <w:sz w:val="24"/>
          <w:szCs w:val="24"/>
          <w:spacing w:val="-2"/>
        </w:rPr>
        <w:t>①</w:t>
      </w:r>
      <w:r>
        <w:rPr>
          <w:rFonts w:ascii="FangSong" w:hAnsi="FangSong" w:eastAsia="FangSong" w:cs="FangSong"/>
          <w:sz w:val="24"/>
          <w:szCs w:val="24"/>
          <w:spacing w:val="45"/>
        </w:rPr>
        <w:t xml:space="preserve"> </w:t>
      </w:r>
      <w:r>
        <w:rPr>
          <w:rFonts w:ascii="FangSong" w:hAnsi="FangSong" w:eastAsia="FangSong" w:cs="FangSong"/>
          <w:sz w:val="24"/>
          <w:szCs w:val="24"/>
          <w:spacing w:val="-2"/>
        </w:rPr>
        <w:t>内蒙古锡林郭勒盟苏尼特右旗赛汉塔拉镇污水处理</w:t>
      </w:r>
      <w:r>
        <w:rPr>
          <w:rFonts w:ascii="FangSong" w:hAnsi="FangSong" w:eastAsia="FangSong" w:cs="FangSong"/>
          <w:sz w:val="24"/>
          <w:szCs w:val="24"/>
          <w:spacing w:val="-3"/>
        </w:rPr>
        <w:t>厂概况</w:t>
      </w:r>
    </w:p>
    <w:p>
      <w:pPr>
        <w:spacing w:line="220" w:lineRule="auto"/>
        <w:sectPr>
          <w:footerReference w:type="default" r:id="rId337"/>
          <w:pgSz w:w="11906" w:h="16839"/>
          <w:pgMar w:top="400" w:right="1603"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8" w:right="65" w:firstLine="520"/>
        <w:spacing w:before="78" w:line="360" w:lineRule="auto"/>
        <w:jc w:val="both"/>
        <w:rPr>
          <w:rFonts w:ascii="FangSong" w:hAnsi="FangSong" w:eastAsia="FangSong" w:cs="FangSong"/>
          <w:sz w:val="24"/>
          <w:szCs w:val="24"/>
        </w:rPr>
      </w:pPr>
      <w:r>
        <w:rPr>
          <w:rFonts w:ascii="FangSong" w:hAnsi="FangSong" w:eastAsia="FangSong" w:cs="FangSong"/>
          <w:sz w:val="24"/>
          <w:szCs w:val="24"/>
          <w:spacing w:val="-1"/>
        </w:rPr>
        <w:t>内蒙古锡林郭勒盟苏尼特右旗赛汉塔拉镇污水</w:t>
      </w:r>
      <w:r>
        <w:rPr>
          <w:rFonts w:ascii="FangSong" w:hAnsi="FangSong" w:eastAsia="FangSong" w:cs="FangSong"/>
          <w:sz w:val="24"/>
          <w:szCs w:val="24"/>
          <w:spacing w:val="-2"/>
        </w:rPr>
        <w:t>处理厂始建于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2009</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年，主要</w:t>
      </w:r>
      <w:r>
        <w:rPr>
          <w:rFonts w:ascii="FangSong" w:hAnsi="FangSong" w:eastAsia="FangSong" w:cs="FangSong"/>
          <w:sz w:val="24"/>
          <w:szCs w:val="24"/>
        </w:rPr>
        <w:t>处理苏尼特右旗赛汉塔拉镇内的生活污水。最初设计规模为</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rPr>
        <w:t>万</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5"/>
          <w:szCs w:val="15"/>
          <w:position w:val="7"/>
        </w:rPr>
        <w:t>3</w:t>
      </w:r>
      <w:r>
        <w:rPr>
          <w:rFonts w:ascii="Times New Roman" w:hAnsi="Times New Roman" w:eastAsia="Times New Roman" w:cs="Times New Roman"/>
          <w:sz w:val="24"/>
          <w:szCs w:val="24"/>
        </w:rPr>
        <w:t>/d</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，污水处</w:t>
      </w:r>
      <w:r>
        <w:rPr>
          <w:rFonts w:ascii="FangSong" w:hAnsi="FangSong" w:eastAsia="FangSong" w:cs="FangSong"/>
          <w:sz w:val="24"/>
          <w:szCs w:val="24"/>
          <w:spacing w:val="1"/>
        </w:rPr>
        <w:t>理采用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rPr>
        <w:t>CWSBR</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工艺。</w:t>
      </w:r>
      <w:r>
        <w:rPr>
          <w:rFonts w:ascii="Times New Roman" w:hAnsi="Times New Roman" w:eastAsia="Times New Roman" w:cs="Times New Roman"/>
          <w:sz w:val="24"/>
          <w:szCs w:val="24"/>
          <w:spacing w:val="1"/>
        </w:rPr>
        <w:t>2019</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1"/>
        </w:rPr>
        <w:t>年内蒙古锡林郭勒盟</w:t>
      </w:r>
      <w:r>
        <w:rPr>
          <w:rFonts w:ascii="FangSong" w:hAnsi="FangSong" w:eastAsia="FangSong" w:cs="FangSong"/>
          <w:sz w:val="24"/>
          <w:szCs w:val="24"/>
        </w:rPr>
        <w:t>苏尼特右旗赛汉塔拉镇污水处</w:t>
      </w:r>
      <w:r>
        <w:rPr>
          <w:rFonts w:ascii="FangSong" w:hAnsi="FangSong" w:eastAsia="FangSong" w:cs="FangSong"/>
          <w:sz w:val="24"/>
          <w:szCs w:val="24"/>
          <w:spacing w:val="-3"/>
        </w:rPr>
        <w:t>理厂进行提标改造，采用在二级生物处理前新建细格栅及旋流沉砂池，“厌氧池</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缺氧池</w:t>
      </w:r>
      <w:r>
        <w:rPr>
          <w:rFonts w:ascii="FangSong" w:hAnsi="FangSong" w:eastAsia="FangSong" w:cs="FangSong"/>
          <w:sz w:val="24"/>
          <w:szCs w:val="24"/>
          <w:spacing w:val="-84"/>
        </w:rPr>
        <w:t xml:space="preserve"> </w:t>
      </w:r>
      <w:r>
        <w:rPr>
          <w:rFonts w:ascii="FangSong" w:hAnsi="FangSong" w:eastAsia="FangSong" w:cs="FangSong"/>
          <w:sz w:val="24"/>
          <w:szCs w:val="24"/>
          <w:spacing w:val="1"/>
        </w:rPr>
        <w:t>”工艺，在二级生物处理后增设“磁混凝沉淀池</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反硝化深床滤池</w:t>
      </w:r>
      <w:r>
        <w:rPr>
          <w:rFonts w:ascii="FangSong" w:hAnsi="FangSong" w:eastAsia="FangSong" w:cs="FangSong"/>
          <w:sz w:val="24"/>
          <w:szCs w:val="24"/>
          <w:spacing w:val="-84"/>
        </w:rPr>
        <w:t xml:space="preserve"> </w:t>
      </w:r>
      <w:r>
        <w:rPr>
          <w:rFonts w:ascii="FangSong" w:hAnsi="FangSong" w:eastAsia="FangSong" w:cs="FangSong"/>
          <w:sz w:val="24"/>
          <w:szCs w:val="24"/>
          <w:spacing w:val="1"/>
        </w:rPr>
        <w:t>”工</w:t>
      </w:r>
      <w:r>
        <w:rPr>
          <w:rFonts w:ascii="FangSong" w:hAnsi="FangSong" w:eastAsia="FangSong" w:cs="FangSong"/>
          <w:sz w:val="24"/>
          <w:szCs w:val="24"/>
          <w:spacing w:val="-4"/>
        </w:rPr>
        <w:t>艺。出水水质达到《城镇污水处理厂污染物排放标准》（</w:t>
      </w:r>
      <w:r>
        <w:rPr>
          <w:rFonts w:ascii="Times New Roman" w:hAnsi="Times New Roman" w:eastAsia="Times New Roman" w:cs="Times New Roman"/>
          <w:sz w:val="24"/>
          <w:szCs w:val="24"/>
          <w:spacing w:val="-4"/>
        </w:rPr>
        <w:t>GB18918-2002</w:t>
      </w:r>
      <w:r>
        <w:rPr>
          <w:rFonts w:ascii="FangSong" w:hAnsi="FangSong" w:eastAsia="FangSong" w:cs="FangSong"/>
          <w:sz w:val="24"/>
          <w:szCs w:val="24"/>
          <w:spacing w:val="-4"/>
        </w:rPr>
        <w:t>）一级</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4"/>
        </w:rPr>
        <w:t>A</w:t>
      </w:r>
      <w:r>
        <w:rPr>
          <w:rFonts w:ascii="FangSong" w:hAnsi="FangSong" w:eastAsia="FangSong" w:cs="FangSong"/>
          <w:sz w:val="24"/>
          <w:szCs w:val="24"/>
        </w:rPr>
        <w:t>标准。于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rPr>
        <w:t>2021</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rPr>
        <w:t>年进行扩建，在现有污水处理厂预留空地上新</w:t>
      </w:r>
      <w:r>
        <w:rPr>
          <w:rFonts w:ascii="FangSong" w:hAnsi="FangSong" w:eastAsia="FangSong" w:cs="FangSong"/>
          <w:sz w:val="24"/>
          <w:szCs w:val="24"/>
          <w:spacing w:val="-1"/>
        </w:rPr>
        <w:t>建一条处理线，处</w:t>
      </w:r>
      <w:r>
        <w:rPr>
          <w:rFonts w:ascii="FangSong" w:hAnsi="FangSong" w:eastAsia="FangSong" w:cs="FangSong"/>
          <w:sz w:val="24"/>
          <w:szCs w:val="24"/>
          <w:spacing w:val="-3"/>
        </w:rPr>
        <w:t>理规模</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/d</w:t>
      </w:r>
      <w:r>
        <w:rPr>
          <w:rFonts w:ascii="FangSong" w:hAnsi="FangSong" w:eastAsia="FangSong" w:cs="FangSong"/>
          <w:sz w:val="24"/>
          <w:szCs w:val="24"/>
          <w:spacing w:val="-3"/>
        </w:rPr>
        <w:t>，采用五段</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Bardenpho+MBBR</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工艺</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二沉池</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高效沉淀池</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反硝</w:t>
      </w:r>
      <w:r>
        <w:rPr>
          <w:rFonts w:ascii="FangSong" w:hAnsi="FangSong" w:eastAsia="FangSong" w:cs="FangSong"/>
          <w:sz w:val="24"/>
          <w:szCs w:val="24"/>
        </w:rPr>
        <w:t>化滤池</w:t>
      </w:r>
      <w:r>
        <w:rPr>
          <w:rFonts w:ascii="Times New Roman" w:hAnsi="Times New Roman" w:eastAsia="Times New Roman" w:cs="Times New Roman"/>
          <w:sz w:val="24"/>
          <w:szCs w:val="24"/>
        </w:rPr>
        <w:t>+</w:t>
      </w:r>
      <w:r>
        <w:rPr>
          <w:rFonts w:ascii="FangSong" w:hAnsi="FangSong" w:eastAsia="FangSong" w:cs="FangSong"/>
          <w:sz w:val="24"/>
          <w:szCs w:val="24"/>
        </w:rPr>
        <w:t>纤维转盘滤池工艺，出水水质执行《城镇污水处理厂污染物排</w:t>
      </w:r>
      <w:r>
        <w:rPr>
          <w:rFonts w:ascii="FangSong" w:hAnsi="FangSong" w:eastAsia="FangSong" w:cs="FangSong"/>
          <w:sz w:val="24"/>
          <w:szCs w:val="24"/>
          <w:spacing w:val="-1"/>
        </w:rPr>
        <w:t>放标准》</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GB18918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一</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2002</w:t>
      </w:r>
      <w:r>
        <w:rPr>
          <w:rFonts w:ascii="FangSong" w:hAnsi="FangSong" w:eastAsia="FangSong" w:cs="FangSong"/>
          <w:sz w:val="24"/>
          <w:szCs w:val="24"/>
          <w:spacing w:val="-1"/>
        </w:rPr>
        <w:t>）中的一级</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A </w:t>
      </w:r>
      <w:r>
        <w:rPr>
          <w:rFonts w:ascii="FangSong" w:hAnsi="FangSong" w:eastAsia="FangSong" w:cs="FangSong"/>
          <w:sz w:val="24"/>
          <w:szCs w:val="24"/>
          <w:spacing w:val="-1"/>
        </w:rPr>
        <w:t>标准。扩建后内蒙古锡林郭勒盟苏尼特右旗赛</w:t>
      </w:r>
      <w:r>
        <w:rPr>
          <w:rFonts w:ascii="FangSong" w:hAnsi="FangSong" w:eastAsia="FangSong" w:cs="FangSong"/>
          <w:sz w:val="24"/>
          <w:szCs w:val="24"/>
          <w:spacing w:val="-1"/>
        </w:rPr>
        <w:t>汉塔拉镇污水处理厂总处理规模为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p>
    <w:p>
      <w:pPr>
        <w:ind w:left="29" w:right="65"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4"/>
        </w:rPr>
        <w:t>本次生活污水和经过隔油池处理后的食堂废水运至内蒙古锡林郭勒盟苏尼</w:t>
      </w:r>
      <w:r>
        <w:rPr>
          <w:rFonts w:ascii="FangSong" w:hAnsi="FangSong" w:eastAsia="FangSong" w:cs="FangSong"/>
          <w:sz w:val="24"/>
          <w:szCs w:val="24"/>
          <w:spacing w:val="-3"/>
        </w:rPr>
        <w:t>特右旗赛汉塔拉镇污水处理厂进行处理，处理达到《城镇污水处理厂</w:t>
      </w:r>
      <w:r>
        <w:rPr>
          <w:rFonts w:ascii="FangSong" w:hAnsi="FangSong" w:eastAsia="FangSong" w:cs="FangSong"/>
          <w:sz w:val="24"/>
          <w:szCs w:val="24"/>
          <w:spacing w:val="-4"/>
        </w:rPr>
        <w:t>污染物排放</w:t>
      </w:r>
      <w:r>
        <w:rPr>
          <w:rFonts w:ascii="FangSong" w:hAnsi="FangSong" w:eastAsia="FangSong" w:cs="FangSong"/>
          <w:sz w:val="24"/>
          <w:szCs w:val="24"/>
          <w:spacing w:val="-1"/>
        </w:rPr>
        <w:t>标准》（</w:t>
      </w:r>
      <w:r>
        <w:rPr>
          <w:rFonts w:ascii="Times New Roman" w:hAnsi="Times New Roman" w:eastAsia="Times New Roman" w:cs="Times New Roman"/>
          <w:sz w:val="24"/>
          <w:szCs w:val="24"/>
          <w:spacing w:val="-1"/>
        </w:rPr>
        <w:t>GB18918-2002</w:t>
      </w:r>
      <w:r>
        <w:rPr>
          <w:rFonts w:ascii="FangSong" w:hAnsi="FangSong" w:eastAsia="FangSong" w:cs="FangSong"/>
          <w:sz w:val="24"/>
          <w:szCs w:val="24"/>
          <w:spacing w:val="-1"/>
        </w:rPr>
        <w:t>）</w:t>
      </w:r>
      <w:r>
        <w:rPr>
          <w:rFonts w:ascii="FangSong" w:hAnsi="FangSong" w:eastAsia="FangSong" w:cs="FangSong"/>
          <w:sz w:val="24"/>
          <w:szCs w:val="24"/>
          <w:spacing w:val="-68"/>
        </w:rPr>
        <w:t xml:space="preserve"> </w:t>
      </w:r>
      <w:r>
        <w:rPr>
          <w:rFonts w:ascii="FangSong" w:hAnsi="FangSong" w:eastAsia="FangSong" w:cs="FangSong"/>
          <w:sz w:val="24"/>
          <w:szCs w:val="24"/>
          <w:spacing w:val="-1"/>
        </w:rPr>
        <w:t>中一级</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1"/>
        </w:rPr>
        <w:t>排放标准后，排入污水厂</w:t>
      </w:r>
      <w:r>
        <w:rPr>
          <w:rFonts w:ascii="FangSong" w:hAnsi="FangSong" w:eastAsia="FangSong" w:cs="FangSong"/>
          <w:sz w:val="24"/>
          <w:szCs w:val="24"/>
          <w:spacing w:val="-2"/>
        </w:rPr>
        <w:t>北侧人工湖和苏尼</w:t>
      </w:r>
      <w:r>
        <w:rPr>
          <w:rFonts w:ascii="FangSong" w:hAnsi="FangSong" w:eastAsia="FangSong" w:cs="FangSong"/>
          <w:sz w:val="24"/>
          <w:szCs w:val="24"/>
          <w:spacing w:val="-2"/>
        </w:rPr>
        <w:t>特右旗蒙中西侧两个人工湖内。</w:t>
      </w:r>
    </w:p>
    <w:p>
      <w:pPr>
        <w:ind w:left="501"/>
        <w:spacing w:line="220"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依托可行性分析</w:t>
      </w:r>
    </w:p>
    <w:p>
      <w:pPr>
        <w:ind w:left="30" w:firstLine="508"/>
        <w:spacing w:before="181" w:line="360" w:lineRule="auto"/>
        <w:rPr>
          <w:rFonts w:ascii="FangSong" w:hAnsi="FangSong" w:eastAsia="FangSong" w:cs="FangSong"/>
          <w:sz w:val="24"/>
          <w:szCs w:val="24"/>
        </w:rPr>
      </w:pPr>
      <w:r>
        <w:rPr>
          <w:rFonts w:ascii="FangSong" w:hAnsi="FangSong" w:eastAsia="FangSong" w:cs="FangSong"/>
          <w:sz w:val="24"/>
          <w:szCs w:val="24"/>
          <w:spacing w:val="3"/>
        </w:rPr>
        <w:t>内蒙古锡林郭勒盟苏尼特右旗赛汉塔拉镇污水处理厂位于苏尼特右旗赛汉</w:t>
      </w:r>
      <w:r>
        <w:rPr>
          <w:rFonts w:ascii="FangSong" w:hAnsi="FangSong" w:eastAsia="FangSong" w:cs="FangSong"/>
          <w:sz w:val="24"/>
          <w:szCs w:val="24"/>
          <w:spacing w:val="-7"/>
        </w:rPr>
        <w:t>塔拉镇东南侧，污水处理厂设计处理能力为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7"/>
        </w:rPr>
        <w:t>2.0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7"/>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5"/>
          <w:szCs w:val="15"/>
          <w:spacing w:val="-7"/>
          <w:position w:val="7"/>
        </w:rPr>
        <w:t>3</w:t>
      </w:r>
      <w:r>
        <w:rPr>
          <w:rFonts w:ascii="Times New Roman" w:hAnsi="Times New Roman" w:eastAsia="Times New Roman" w:cs="Times New Roman"/>
          <w:sz w:val="24"/>
          <w:szCs w:val="24"/>
          <w:spacing w:val="-7"/>
        </w:rPr>
        <w:t>/d</w:t>
      </w:r>
      <w:r>
        <w:rPr>
          <w:rFonts w:ascii="FangSong" w:hAnsi="FangSong" w:eastAsia="FangSong" w:cs="FangSong"/>
          <w:sz w:val="24"/>
          <w:szCs w:val="24"/>
          <w:spacing w:val="-7"/>
        </w:rPr>
        <w:t>，现处理量约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7"/>
        </w:rPr>
        <w:t>0.8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7"/>
        </w:rPr>
        <w:t>万</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5"/>
          <w:szCs w:val="15"/>
          <w:spacing w:val="-7"/>
          <w:position w:val="7"/>
        </w:rPr>
        <w:t>3</w:t>
      </w:r>
      <w:r>
        <w:rPr>
          <w:rFonts w:ascii="Times New Roman" w:hAnsi="Times New Roman" w:eastAsia="Times New Roman" w:cs="Times New Roman"/>
          <w:sz w:val="24"/>
          <w:szCs w:val="24"/>
          <w:spacing w:val="-7"/>
        </w:rPr>
        <w:t>/d</w:t>
      </w:r>
      <w:r>
        <w:rPr>
          <w:rFonts w:ascii="FangSong" w:hAnsi="FangSong" w:eastAsia="FangSong" w:cs="FangSong"/>
          <w:sz w:val="24"/>
          <w:szCs w:val="24"/>
          <w:spacing w:val="-7"/>
        </w:rPr>
        <w:t>，</w:t>
      </w:r>
      <w:r>
        <w:rPr>
          <w:rFonts w:ascii="FangSong" w:hAnsi="FangSong" w:eastAsia="FangSong" w:cs="FangSong"/>
          <w:sz w:val="24"/>
          <w:szCs w:val="24"/>
          <w:spacing w:val="-4"/>
        </w:rPr>
        <w:t>剩余处理能力</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4"/>
        </w:rPr>
        <w:t>，污水处理厂采用“采用五段</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Bardenpho+MBBR</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4"/>
        </w:rPr>
        <w:t>工艺</w:t>
      </w:r>
      <w:r>
        <w:rPr>
          <w:rFonts w:ascii="Times New Roman" w:hAnsi="Times New Roman" w:eastAsia="Times New Roman" w:cs="Times New Roman"/>
          <w:sz w:val="24"/>
          <w:szCs w:val="24"/>
          <w:spacing w:val="-4"/>
        </w:rPr>
        <w:t>+</w:t>
      </w:r>
      <w:r>
        <w:rPr>
          <w:rFonts w:ascii="FangSong" w:hAnsi="FangSong" w:eastAsia="FangSong" w:cs="FangSong"/>
          <w:sz w:val="24"/>
          <w:szCs w:val="24"/>
          <w:spacing w:val="-2"/>
        </w:rPr>
        <w:t>二沉池</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2"/>
        </w:rPr>
        <w:t>高效沉淀池</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反硝化滤池</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纤维转</w:t>
      </w:r>
      <w:r>
        <w:rPr>
          <w:rFonts w:ascii="FangSong" w:hAnsi="FangSong" w:eastAsia="FangSong" w:cs="FangSong"/>
          <w:sz w:val="24"/>
          <w:szCs w:val="24"/>
          <w:spacing w:val="-3"/>
        </w:rPr>
        <w:t>盘滤池工艺</w:t>
      </w:r>
      <w:r>
        <w:rPr>
          <w:rFonts w:ascii="FangSong" w:hAnsi="FangSong" w:eastAsia="FangSong" w:cs="FangSong"/>
          <w:sz w:val="24"/>
          <w:szCs w:val="24"/>
          <w:spacing w:val="-86"/>
        </w:rPr>
        <w:t xml:space="preserve"> </w:t>
      </w:r>
      <w:r>
        <w:rPr>
          <w:rFonts w:ascii="FangSong" w:hAnsi="FangSong" w:eastAsia="FangSong" w:cs="FangSong"/>
          <w:sz w:val="24"/>
          <w:szCs w:val="24"/>
          <w:spacing w:val="-3"/>
        </w:rPr>
        <w:t>”和“</w:t>
      </w:r>
      <w:r>
        <w:rPr>
          <w:rFonts w:ascii="Times New Roman" w:hAnsi="Times New Roman" w:eastAsia="Times New Roman" w:cs="Times New Roman"/>
          <w:sz w:val="24"/>
          <w:szCs w:val="24"/>
          <w:spacing w:val="-3"/>
        </w:rPr>
        <w:t>CWSBR</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工艺</w:t>
      </w:r>
      <w:r>
        <w:rPr>
          <w:rFonts w:ascii="FangSong" w:hAnsi="FangSong" w:eastAsia="FangSong" w:cs="FangSong"/>
          <w:sz w:val="24"/>
          <w:szCs w:val="24"/>
          <w:spacing w:val="-88"/>
        </w:rPr>
        <w:t xml:space="preserve"> </w:t>
      </w:r>
      <w:r>
        <w:rPr>
          <w:rFonts w:ascii="FangSong" w:hAnsi="FangSong" w:eastAsia="FangSong" w:cs="FangSong"/>
          <w:sz w:val="24"/>
          <w:szCs w:val="24"/>
          <w:spacing w:val="-3"/>
        </w:rPr>
        <w:t>”，排</w:t>
      </w:r>
      <w:r>
        <w:rPr>
          <w:rFonts w:ascii="FangSong" w:hAnsi="FangSong" w:eastAsia="FangSong" w:cs="FangSong"/>
          <w:sz w:val="24"/>
          <w:szCs w:val="24"/>
        </w:rPr>
        <w:t>放执行《城镇污水处理厂污染物排放标准》（</w:t>
      </w:r>
      <w:r>
        <w:rPr>
          <w:rFonts w:ascii="Times New Roman" w:hAnsi="Times New Roman" w:eastAsia="Times New Roman" w:cs="Times New Roman"/>
          <w:sz w:val="24"/>
          <w:szCs w:val="24"/>
        </w:rPr>
        <w:t>GB18918-2002</w:t>
      </w:r>
      <w:r>
        <w:rPr>
          <w:rFonts w:ascii="FangSong" w:hAnsi="FangSong" w:eastAsia="FangSong" w:cs="FangSong"/>
          <w:sz w:val="24"/>
          <w:szCs w:val="24"/>
        </w:rPr>
        <w:t>）</w:t>
      </w:r>
      <w:r>
        <w:rPr>
          <w:rFonts w:ascii="FangSong" w:hAnsi="FangSong" w:eastAsia="FangSong" w:cs="FangSong"/>
          <w:sz w:val="24"/>
          <w:szCs w:val="24"/>
          <w:spacing w:val="-68"/>
        </w:rPr>
        <w:t xml:space="preserve"> </w:t>
      </w:r>
      <w:r>
        <w:rPr>
          <w:rFonts w:ascii="FangSong" w:hAnsi="FangSong" w:eastAsia="FangSong" w:cs="FangSong"/>
          <w:sz w:val="24"/>
          <w:szCs w:val="24"/>
        </w:rPr>
        <w:t>中一级</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标准，</w:t>
      </w:r>
      <w:r>
        <w:rPr>
          <w:rFonts w:ascii="FangSong" w:hAnsi="FangSong" w:eastAsia="FangSong" w:cs="FangSong"/>
          <w:sz w:val="24"/>
          <w:szCs w:val="24"/>
          <w:spacing w:val="-3"/>
        </w:rPr>
        <w:t>根据锡林郭勒盟废水重点污染源执法检测结果公开数据显示，内</w:t>
      </w:r>
      <w:r>
        <w:rPr>
          <w:rFonts w:ascii="FangSong" w:hAnsi="FangSong" w:eastAsia="FangSong" w:cs="FangSong"/>
          <w:sz w:val="24"/>
          <w:szCs w:val="24"/>
          <w:spacing w:val="-4"/>
        </w:rPr>
        <w:t>蒙古锡林郭勒盟</w:t>
      </w:r>
      <w:r>
        <w:rPr>
          <w:rFonts w:ascii="FangSong" w:hAnsi="FangSong" w:eastAsia="FangSong" w:cs="FangSong"/>
          <w:sz w:val="24"/>
          <w:szCs w:val="24"/>
          <w:spacing w:val="11"/>
        </w:rPr>
        <w:t>苏尼特右旗赛汉塔拉镇污水处理厂满足《城镇污水处理厂污</w:t>
      </w:r>
      <w:r>
        <w:rPr>
          <w:rFonts w:ascii="FangSong" w:hAnsi="FangSong" w:eastAsia="FangSong" w:cs="FangSong"/>
          <w:sz w:val="24"/>
          <w:szCs w:val="24"/>
          <w:spacing w:val="10"/>
        </w:rPr>
        <w:t>染物排放标准》</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GB18918-2002</w:t>
      </w:r>
      <w:r>
        <w:rPr>
          <w:rFonts w:ascii="FangSong" w:hAnsi="FangSong" w:eastAsia="FangSong" w:cs="FangSong"/>
          <w:sz w:val="24"/>
          <w:szCs w:val="24"/>
          <w:spacing w:val="-1"/>
        </w:rPr>
        <w:t>）中一级</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A </w:t>
      </w:r>
      <w:r>
        <w:rPr>
          <w:rFonts w:ascii="FangSong" w:hAnsi="FangSong" w:eastAsia="FangSong" w:cs="FangSong"/>
          <w:sz w:val="24"/>
          <w:szCs w:val="24"/>
          <w:spacing w:val="-1"/>
        </w:rPr>
        <w:t>标准要求。</w:t>
      </w:r>
    </w:p>
    <w:p>
      <w:pPr>
        <w:ind w:left="26" w:right="65" w:firstLine="484"/>
        <w:spacing w:line="360" w:lineRule="auto"/>
        <w:jc w:val="both"/>
        <w:rPr>
          <w:rFonts w:ascii="FangSong" w:hAnsi="FangSong" w:eastAsia="FangSong" w:cs="FangSong"/>
          <w:sz w:val="24"/>
          <w:szCs w:val="24"/>
        </w:rPr>
      </w:pPr>
      <w:r>
        <w:rPr>
          <w:rFonts w:ascii="FangSong" w:hAnsi="FangSong" w:eastAsia="FangSong" w:cs="FangSong"/>
          <w:sz w:val="24"/>
          <w:szCs w:val="24"/>
          <w:spacing w:val="-5"/>
        </w:rPr>
        <w:t>本项目建成后生活污水及食堂废水产生量约</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5"/>
        </w:rPr>
        <w:t>13.829m3/d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，占内蒙古锡林郭勒</w:t>
      </w:r>
      <w:r>
        <w:rPr>
          <w:rFonts w:ascii="FangSong" w:hAnsi="FangSong" w:eastAsia="FangSong" w:cs="FangSong"/>
          <w:sz w:val="24"/>
          <w:szCs w:val="24"/>
          <w:spacing w:val="-3"/>
        </w:rPr>
        <w:t>盟苏尼特右旗赛汉塔拉镇污水处理厂剩余处理能力的</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12%</w:t>
      </w:r>
      <w:r>
        <w:rPr>
          <w:rFonts w:ascii="FangSong" w:hAnsi="FangSong" w:eastAsia="FangSong" w:cs="FangSong"/>
          <w:sz w:val="24"/>
          <w:szCs w:val="24"/>
          <w:spacing w:val="-3"/>
        </w:rPr>
        <w:t>，根据上文源强分析</w:t>
      </w:r>
      <w:r>
        <w:rPr>
          <w:rFonts w:ascii="FangSong" w:hAnsi="FangSong" w:eastAsia="FangSong" w:cs="FangSong"/>
          <w:sz w:val="24"/>
          <w:szCs w:val="24"/>
          <w:spacing w:val="-3"/>
        </w:rPr>
        <w:t>本项目生活污水能够满足污水处理厂进水指标要求，可由罐车定期清运至污</w:t>
      </w:r>
      <w:r>
        <w:rPr>
          <w:rFonts w:ascii="FangSong" w:hAnsi="FangSong" w:eastAsia="FangSong" w:cs="FangSong"/>
          <w:sz w:val="24"/>
          <w:szCs w:val="24"/>
          <w:spacing w:val="-4"/>
        </w:rPr>
        <w:t>水处</w:t>
      </w:r>
      <w:r>
        <w:rPr>
          <w:rFonts w:ascii="FangSong" w:hAnsi="FangSong" w:eastAsia="FangSong" w:cs="FangSong"/>
          <w:sz w:val="24"/>
          <w:szCs w:val="24"/>
          <w:spacing w:val="-3"/>
        </w:rPr>
        <w:t>理厂进行处理，因此本项目产生的生活污水可以依托内蒙古锡林郭勒盟苏尼</w:t>
      </w:r>
      <w:r>
        <w:rPr>
          <w:rFonts w:ascii="FangSong" w:hAnsi="FangSong" w:eastAsia="FangSong" w:cs="FangSong"/>
          <w:sz w:val="24"/>
          <w:szCs w:val="24"/>
          <w:spacing w:val="-4"/>
        </w:rPr>
        <w:t>特右</w:t>
      </w:r>
      <w:r>
        <w:rPr>
          <w:rFonts w:ascii="FangSong" w:hAnsi="FangSong" w:eastAsia="FangSong" w:cs="FangSong"/>
          <w:sz w:val="24"/>
          <w:szCs w:val="24"/>
          <w:spacing w:val="-1"/>
        </w:rPr>
        <w:t>旗赛汉塔拉镇污水处理厂进行处理，实际运营操作可行。</w:t>
      </w:r>
    </w:p>
    <w:p>
      <w:pPr>
        <w:spacing w:line="360" w:lineRule="auto"/>
        <w:sectPr>
          <w:footerReference w:type="default" r:id="rId338"/>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514"/>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）矿井涌水</w:t>
      </w:r>
    </w:p>
    <w:p>
      <w:pPr>
        <w:ind w:left="29" w:right="185" w:firstLine="481"/>
        <w:spacing w:before="179" w:line="360" w:lineRule="auto"/>
        <w:rPr>
          <w:rFonts w:ascii="FangSong" w:hAnsi="FangSong" w:eastAsia="FangSong" w:cs="FangSong"/>
          <w:sz w:val="24"/>
          <w:szCs w:val="24"/>
        </w:rPr>
      </w:pPr>
      <w:r>
        <w:rPr>
          <w:rFonts w:ascii="FangSong" w:hAnsi="FangSong" w:eastAsia="FangSong" w:cs="FangSong"/>
          <w:sz w:val="24"/>
          <w:szCs w:val="24"/>
          <w:spacing w:val="-2"/>
        </w:rPr>
        <w:t>根据《</w:t>
      </w:r>
      <w:r>
        <w:rPr>
          <w:rFonts w:ascii="Times New Roman" w:hAnsi="Times New Roman" w:eastAsia="Times New Roman" w:cs="Times New Roman"/>
          <w:sz w:val="24"/>
          <w:szCs w:val="24"/>
          <w:spacing w:val="-2"/>
        </w:rPr>
        <w:t>&lt;</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2"/>
        </w:rPr>
        <w:t>内蒙古自治区苏尼特右旗桑宝力嘎额尔登塔拉矿区萤石矿资源储量</w:t>
      </w:r>
      <w:r>
        <w:rPr>
          <w:rFonts w:ascii="FangSong" w:hAnsi="FangSong" w:eastAsia="FangSong" w:cs="FangSong"/>
          <w:sz w:val="24"/>
          <w:szCs w:val="24"/>
          <w:spacing w:val="-2"/>
        </w:rPr>
        <w:t>核实报告</w:t>
      </w:r>
      <w:r>
        <w:rPr>
          <w:rFonts w:ascii="Times New Roman" w:hAnsi="Times New Roman" w:eastAsia="Times New Roman" w:cs="Times New Roman"/>
          <w:sz w:val="24"/>
          <w:szCs w:val="24"/>
          <w:spacing w:val="-2"/>
        </w:rPr>
        <w:t>&gt;</w:t>
      </w:r>
      <w:r>
        <w:rPr>
          <w:rFonts w:ascii="FangSong" w:hAnsi="FangSong" w:eastAsia="FangSong" w:cs="FangSong"/>
          <w:sz w:val="24"/>
          <w:szCs w:val="24"/>
          <w:spacing w:val="-2"/>
        </w:rPr>
        <w:t>矿产资源储量评审意见书》（内自然资储评字﹝</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
        </w:rPr>
        <w:t>025</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97</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号）中相关</w:t>
      </w:r>
      <w:r>
        <w:rPr>
          <w:rFonts w:ascii="FangSong" w:hAnsi="FangSong" w:eastAsia="FangSong" w:cs="FangSong"/>
          <w:sz w:val="24"/>
          <w:szCs w:val="24"/>
          <w:spacing w:val="-1"/>
        </w:rPr>
        <w:t>数据：矿区平均涌水量为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Q=1161.79</w:t>
      </w:r>
      <w:r>
        <w:rPr>
          <w:rFonts w:ascii="Times New Roman" w:hAnsi="Times New Roman" w:eastAsia="Times New Roman" w:cs="Times New Roman"/>
          <w:sz w:val="24"/>
          <w:szCs w:val="24"/>
          <w:spacing w:val="-2"/>
        </w:rPr>
        <w:t>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/d</w:t>
      </w:r>
      <w:r>
        <w:rPr>
          <w:rFonts w:ascii="FangSong" w:hAnsi="FangSong" w:eastAsia="FangSong" w:cs="FangSong"/>
          <w:sz w:val="24"/>
          <w:szCs w:val="24"/>
          <w:spacing w:val="-2"/>
        </w:rPr>
        <w:t>。</w:t>
      </w:r>
    </w:p>
    <w:p>
      <w:pPr>
        <w:ind w:left="30" w:right="119"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5"/>
        </w:rPr>
        <w:t>本工程在井下</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5"/>
        </w:rPr>
        <w:t>850m</w:t>
      </w:r>
      <w:r>
        <w:rPr>
          <w:rFonts w:ascii="FangSong" w:hAnsi="FangSong" w:eastAsia="FangSong" w:cs="FangSong"/>
          <w:sz w:val="24"/>
          <w:szCs w:val="24"/>
          <w:spacing w:val="-5"/>
        </w:rPr>
        <w:t>水平处设有井下水仓，井下涌水汇集到井下水仓沉淀后，</w:t>
      </w:r>
      <w:r>
        <w:rPr>
          <w:rFonts w:ascii="FangSong" w:hAnsi="FangSong" w:eastAsia="FangSong" w:cs="FangSong"/>
          <w:sz w:val="24"/>
          <w:szCs w:val="24"/>
          <w:spacing w:val="-3"/>
        </w:rPr>
        <w:t>部分回用于井下凿岩、爆破降尘、各堆场、道路降尘，部分排入</w:t>
      </w:r>
      <w:r>
        <w:rPr>
          <w:rFonts w:ascii="FangSong" w:hAnsi="FangSong" w:eastAsia="FangSong" w:cs="FangSong"/>
          <w:sz w:val="24"/>
          <w:szCs w:val="24"/>
          <w:spacing w:val="-4"/>
        </w:rPr>
        <w:t>回水池中与选矿</w:t>
      </w:r>
      <w:r>
        <w:rPr>
          <w:rFonts w:ascii="FangSong" w:hAnsi="FangSong" w:eastAsia="FangSong" w:cs="FangSong"/>
          <w:sz w:val="24"/>
          <w:szCs w:val="24"/>
          <w:spacing w:val="-3"/>
        </w:rPr>
        <w:t>废水经混凝沉淀后进入蓄水池内回用于选矿用水，不外排对区域</w:t>
      </w:r>
      <w:r>
        <w:rPr>
          <w:rFonts w:ascii="FangSong" w:hAnsi="FangSong" w:eastAsia="FangSong" w:cs="FangSong"/>
          <w:sz w:val="24"/>
          <w:szCs w:val="24"/>
          <w:spacing w:val="-4"/>
        </w:rPr>
        <w:t>地表水环境不会</w:t>
      </w:r>
      <w:r>
        <w:rPr>
          <w:rFonts w:ascii="FangSong" w:hAnsi="FangSong" w:eastAsia="FangSong" w:cs="FangSong"/>
          <w:sz w:val="24"/>
          <w:szCs w:val="24"/>
          <w:spacing w:val="-2"/>
        </w:rPr>
        <w:t>产生影响，因此防治措施可行。</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）选矿废水</w:t>
      </w:r>
    </w:p>
    <w:p>
      <w:pPr>
        <w:ind w:left="27" w:right="135" w:firstLine="483"/>
        <w:spacing w:before="178" w:line="360" w:lineRule="auto"/>
        <w:rPr>
          <w:rFonts w:ascii="FangSong" w:hAnsi="FangSong" w:eastAsia="FangSong" w:cs="FangSong"/>
          <w:sz w:val="24"/>
          <w:szCs w:val="24"/>
        </w:rPr>
      </w:pPr>
      <w:r>
        <w:rPr>
          <w:rFonts w:ascii="FangSong" w:hAnsi="FangSong" w:eastAsia="FangSong" w:cs="FangSong"/>
          <w:sz w:val="24"/>
          <w:szCs w:val="24"/>
          <w:spacing w:val="-3"/>
        </w:rPr>
        <w:t>本项目选矿废水来源于车间地面冲洗、浮选工</w:t>
      </w:r>
      <w:r>
        <w:rPr>
          <w:rFonts w:ascii="FangSong" w:hAnsi="FangSong" w:eastAsia="FangSong" w:cs="FangSong"/>
          <w:sz w:val="24"/>
          <w:szCs w:val="24"/>
          <w:spacing w:val="-4"/>
        </w:rPr>
        <w:t>序、精矿过滤浓缩工序、尾矿</w:t>
      </w:r>
      <w:r>
        <w:rPr>
          <w:rFonts w:ascii="FangSong" w:hAnsi="FangSong" w:eastAsia="FangSong" w:cs="FangSong"/>
          <w:sz w:val="24"/>
          <w:szCs w:val="24"/>
          <w:spacing w:val="-2"/>
        </w:rPr>
        <w:t>过滤浓缩工序，由工程分析可知，选矿废水主要包括车间地面冲洗废水和精矿、</w:t>
      </w:r>
      <w:r>
        <w:rPr>
          <w:rFonts w:ascii="FangSong" w:hAnsi="FangSong" w:eastAsia="FangSong" w:cs="FangSong"/>
          <w:sz w:val="24"/>
          <w:szCs w:val="24"/>
        </w:rPr>
        <w:t>尾矿浓缩过滤脱水产生的废水，主要污染物为氟离子和</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z w:val="24"/>
          <w:szCs w:val="24"/>
          <w:spacing w:val="-1"/>
        </w:rPr>
        <w:t>S</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。本项目设有具备混</w:t>
      </w:r>
      <w:r>
        <w:rPr>
          <w:rFonts w:ascii="FangSong" w:hAnsi="FangSong" w:eastAsia="FangSong" w:cs="FangSong"/>
          <w:sz w:val="24"/>
          <w:szCs w:val="24"/>
          <w:spacing w:val="-3"/>
        </w:rPr>
        <w:t>凝沉淀功能的回水池，经过简单的混凝沉淀后进入回水池内用于选矿用水</w:t>
      </w:r>
      <w:r>
        <w:rPr>
          <w:rFonts w:ascii="FangSong" w:hAnsi="FangSong" w:eastAsia="FangSong" w:cs="FangSong"/>
          <w:sz w:val="24"/>
          <w:szCs w:val="24"/>
          <w:spacing w:val="-4"/>
        </w:rPr>
        <w:t>，回水</w:t>
      </w:r>
      <w:r>
        <w:rPr>
          <w:rFonts w:ascii="FangSong" w:hAnsi="FangSong" w:eastAsia="FangSong" w:cs="FangSong"/>
          <w:sz w:val="24"/>
          <w:szCs w:val="24"/>
          <w:spacing w:val="-4"/>
        </w:rPr>
        <w:t>有效容积为</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4"/>
        </w:rPr>
        <w:t>1600m</w:t>
      </w:r>
      <w:r>
        <w:rPr>
          <w:rFonts w:ascii="Times New Roman" w:hAnsi="Times New Roman" w:eastAsia="Times New Roman" w:cs="Times New Roman"/>
          <w:sz w:val="15"/>
          <w:szCs w:val="15"/>
          <w:spacing w:val="-4"/>
          <w:position w:val="7"/>
        </w:rPr>
        <w:t>3</w:t>
      </w:r>
      <w:r>
        <w:rPr>
          <w:rFonts w:ascii="FangSong" w:hAnsi="FangSong" w:eastAsia="FangSong" w:cs="FangSong"/>
          <w:sz w:val="24"/>
          <w:szCs w:val="24"/>
          <w:spacing w:val="-4"/>
        </w:rPr>
        <w:t>。</w:t>
      </w:r>
    </w:p>
    <w:p>
      <w:pPr>
        <w:ind w:left="31" w:firstLine="478"/>
        <w:spacing w:before="7" w:line="359" w:lineRule="auto"/>
        <w:jc w:val="both"/>
        <w:rPr>
          <w:rFonts w:ascii="FangSong" w:hAnsi="FangSong" w:eastAsia="FangSong" w:cs="FangSong"/>
          <w:sz w:val="24"/>
          <w:szCs w:val="24"/>
        </w:rPr>
      </w:pPr>
      <w:r>
        <w:rPr>
          <w:rFonts w:ascii="FangSong" w:hAnsi="FangSong" w:eastAsia="FangSong" w:cs="FangSong"/>
          <w:sz w:val="24"/>
          <w:szCs w:val="24"/>
          <w:spacing w:val="-3"/>
        </w:rPr>
        <w:t>磨浮车间产生矿浆直接进入浓缩车间进行浓缩，</w:t>
      </w:r>
      <w:r>
        <w:rPr>
          <w:rFonts w:ascii="FangSong" w:hAnsi="FangSong" w:eastAsia="FangSong" w:cs="FangSong"/>
          <w:sz w:val="24"/>
          <w:szCs w:val="24"/>
          <w:spacing w:val="-4"/>
        </w:rPr>
        <w:t>底部与分级机相连，通过分</w:t>
      </w:r>
      <w:r>
        <w:rPr>
          <w:rFonts w:ascii="FangSong" w:hAnsi="FangSong" w:eastAsia="FangSong" w:cs="FangSong"/>
          <w:sz w:val="24"/>
          <w:szCs w:val="24"/>
          <w:spacing w:val="-5"/>
        </w:rPr>
        <w:t>级机将浓缩、沉淀下来的大颗粒根据形态分别进入尾矿过滤车间和精矿过滤车间，</w:t>
      </w:r>
      <w:r>
        <w:rPr>
          <w:rFonts w:ascii="FangSong" w:hAnsi="FangSong" w:eastAsia="FangSong" w:cs="FangSong"/>
          <w:sz w:val="24"/>
          <w:szCs w:val="24"/>
          <w:spacing w:val="-6"/>
        </w:rPr>
        <w:t>上部未沉淀的矿浆与其他工序、环节产生的废水一起进入回水池内，加入混凝剂、</w:t>
      </w:r>
      <w:r>
        <w:rPr>
          <w:rFonts w:ascii="FangSong" w:hAnsi="FangSong" w:eastAsia="FangSong" w:cs="FangSong"/>
          <w:sz w:val="24"/>
          <w:szCs w:val="24"/>
          <w:spacing w:val="-3"/>
        </w:rPr>
        <w:t>氯化钙进行混凝沉淀，池底部沉淀下来的污泥直接进入真空过</w:t>
      </w:r>
      <w:r>
        <w:rPr>
          <w:rFonts w:ascii="FangSong" w:hAnsi="FangSong" w:eastAsia="FangSong" w:cs="FangSong"/>
          <w:sz w:val="24"/>
          <w:szCs w:val="24"/>
          <w:spacing w:val="-4"/>
        </w:rPr>
        <w:t>滤机过滤脱水，真</w:t>
      </w:r>
      <w:r>
        <w:rPr>
          <w:rFonts w:ascii="FangSong" w:hAnsi="FangSong" w:eastAsia="FangSong" w:cs="FangSong"/>
          <w:sz w:val="24"/>
          <w:szCs w:val="24"/>
          <w:spacing w:val="-3"/>
        </w:rPr>
        <w:t>空过滤机滤出液与回水池上清液进入蓄水池，回用于生产过程</w:t>
      </w:r>
      <w:r>
        <w:rPr>
          <w:rFonts w:ascii="FangSong" w:hAnsi="FangSong" w:eastAsia="FangSong" w:cs="FangSong"/>
          <w:sz w:val="24"/>
          <w:szCs w:val="24"/>
          <w:spacing w:val="-4"/>
        </w:rPr>
        <w:t>，从真空过滤机卸</w:t>
      </w:r>
      <w:r>
        <w:rPr>
          <w:rFonts w:ascii="FangSong" w:hAnsi="FangSong" w:eastAsia="FangSong" w:cs="FangSong"/>
          <w:sz w:val="24"/>
          <w:szCs w:val="24"/>
          <w:spacing w:val="-2"/>
        </w:rPr>
        <w:t>下的污泥则用于选矿工序作原料。</w:t>
      </w:r>
    </w:p>
    <w:p>
      <w:pPr>
        <w:ind w:left="29" w:right="146" w:firstLine="494"/>
        <w:spacing w:line="360" w:lineRule="auto"/>
        <w:jc w:val="both"/>
        <w:rPr>
          <w:rFonts w:ascii="FangSong" w:hAnsi="FangSong" w:eastAsia="FangSong" w:cs="FangSong"/>
          <w:sz w:val="24"/>
          <w:szCs w:val="24"/>
        </w:rPr>
      </w:pPr>
      <w:r>
        <w:rPr>
          <w:rFonts w:ascii="FangSong" w:hAnsi="FangSong" w:eastAsia="FangSong" w:cs="FangSong"/>
          <w:sz w:val="24"/>
          <w:szCs w:val="24"/>
          <w:spacing w:val="-1"/>
        </w:rPr>
        <w:t>生产废水中主要污染物为氟离子和</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1"/>
        </w:rPr>
        <w:t>SS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，另外还有少量浮选药剂（主要以离</w:t>
      </w:r>
      <w:r>
        <w:rPr>
          <w:rFonts w:ascii="FangSong" w:hAnsi="FangSong" w:eastAsia="FangSong" w:cs="FangSong"/>
          <w:sz w:val="24"/>
          <w:szCs w:val="24"/>
          <w:spacing w:val="-3"/>
        </w:rPr>
        <w:t>子形式存在</w:t>
      </w:r>
      <w:r>
        <w:rPr>
          <w:rFonts w:ascii="FangSong" w:hAnsi="FangSong" w:eastAsia="FangSong" w:cs="FangSong"/>
          <w:sz w:val="24"/>
          <w:szCs w:val="24"/>
          <w:spacing w:val="13"/>
        </w:rPr>
        <w:t>），</w:t>
      </w:r>
      <w:r>
        <w:rPr>
          <w:rFonts w:ascii="FangSong" w:hAnsi="FangSong" w:eastAsia="FangSong" w:cs="FangSong"/>
          <w:sz w:val="24"/>
          <w:szCs w:val="24"/>
          <w:spacing w:val="-3"/>
        </w:rPr>
        <w:t>浮选药剂本身在浮选工段需要添加，因此，想要达到回用要求，</w:t>
      </w:r>
      <w:r>
        <w:rPr>
          <w:rFonts w:ascii="FangSong" w:hAnsi="FangSong" w:eastAsia="FangSong" w:cs="FangSong"/>
          <w:sz w:val="24"/>
          <w:szCs w:val="24"/>
        </w:rPr>
        <w:t>无需去除浮选药剂中的离子，只需要去除废水中的</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w:t>
      </w:r>
      <w:r>
        <w:rPr>
          <w:rFonts w:ascii="FangSong" w:hAnsi="FangSong" w:eastAsia="FangSong" w:cs="FangSong"/>
          <w:sz w:val="24"/>
          <w:szCs w:val="24"/>
          <w:spacing w:val="-1"/>
        </w:rPr>
        <w:t>氟离子即可。项目选矿</w:t>
      </w:r>
      <w:r>
        <w:rPr>
          <w:rFonts w:ascii="FangSong" w:hAnsi="FangSong" w:eastAsia="FangSong" w:cs="FangSong"/>
          <w:sz w:val="24"/>
          <w:szCs w:val="24"/>
          <w:spacing w:val="-3"/>
        </w:rPr>
        <w:t>废水先排入回水池后投加混凝剂和氯化钙后，通过自然重力沉降和</w:t>
      </w:r>
      <w:r>
        <w:rPr>
          <w:rFonts w:ascii="FangSong" w:hAnsi="FangSong" w:eastAsia="FangSong" w:cs="FangSong"/>
          <w:sz w:val="24"/>
          <w:szCs w:val="24"/>
          <w:spacing w:val="-4"/>
        </w:rPr>
        <w:t>混凝沉淀去除</w:t>
      </w:r>
      <w:r>
        <w:rPr>
          <w:rFonts w:ascii="FangSong" w:hAnsi="FangSong" w:eastAsia="FangSong" w:cs="FangSong"/>
          <w:sz w:val="24"/>
          <w:szCs w:val="24"/>
          <w:spacing w:val="-3"/>
        </w:rPr>
        <w:t>悬浮物。沉淀池出水能够回用要求，经过处理后的废水在回水池中</w:t>
      </w:r>
      <w:r>
        <w:rPr>
          <w:rFonts w:ascii="FangSong" w:hAnsi="FangSong" w:eastAsia="FangSong" w:cs="FangSong"/>
          <w:sz w:val="24"/>
          <w:szCs w:val="24"/>
          <w:spacing w:val="-4"/>
        </w:rPr>
        <w:t>储存，抽送到</w:t>
      </w:r>
      <w:r>
        <w:rPr>
          <w:rFonts w:ascii="FangSong" w:hAnsi="FangSong" w:eastAsia="FangSong" w:cs="FangSong"/>
          <w:sz w:val="24"/>
          <w:szCs w:val="24"/>
          <w:spacing w:val="-1"/>
        </w:rPr>
        <w:t>磨矿、浮选工艺、粗选工艺、扫选工艺，全部回用。</w:t>
      </w:r>
    </w:p>
    <w:p>
      <w:pPr>
        <w:ind w:left="29" w:right="185" w:firstLine="480"/>
        <w:spacing w:before="1" w:line="360" w:lineRule="auto"/>
        <w:jc w:val="both"/>
        <w:rPr>
          <w:rFonts w:ascii="FangSong" w:hAnsi="FangSong" w:eastAsia="FangSong" w:cs="FangSong"/>
          <w:sz w:val="24"/>
          <w:szCs w:val="24"/>
        </w:rPr>
      </w:pPr>
      <w:r>
        <w:rPr>
          <w:rFonts w:ascii="FangSong" w:hAnsi="FangSong" w:eastAsia="FangSong" w:cs="FangSong"/>
          <w:sz w:val="24"/>
          <w:szCs w:val="24"/>
        </w:rPr>
        <w:t>本项目选矿废水中主要污染物为氟化物和</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，废水</w:t>
      </w:r>
      <w:r>
        <w:rPr>
          <w:rFonts w:ascii="FangSong" w:hAnsi="FangSong" w:eastAsia="FangSong" w:cs="FangSong"/>
          <w:sz w:val="24"/>
          <w:szCs w:val="24"/>
          <w:spacing w:val="-1"/>
        </w:rPr>
        <w:t>采用混凝沉淀法，在选</w:t>
      </w:r>
      <w:r>
        <w:rPr>
          <w:rFonts w:ascii="FangSong" w:hAnsi="FangSong" w:eastAsia="FangSong" w:cs="FangSong"/>
          <w:sz w:val="24"/>
          <w:szCs w:val="24"/>
          <w:spacing w:val="-3"/>
        </w:rPr>
        <w:t>矿废水中加入混凝药剂（氯化钙、聚丙烯酰胺）进行混凝沉淀处理</w:t>
      </w:r>
      <w:r>
        <w:rPr>
          <w:rFonts w:ascii="FangSong" w:hAnsi="FangSong" w:eastAsia="FangSong" w:cs="FangSong"/>
          <w:sz w:val="24"/>
          <w:szCs w:val="24"/>
          <w:spacing w:val="-4"/>
        </w:rPr>
        <w:t>后，可以有效</w:t>
      </w:r>
      <w:r>
        <w:rPr>
          <w:rFonts w:ascii="FangSong" w:hAnsi="FangSong" w:eastAsia="FangSong" w:cs="FangSong"/>
          <w:sz w:val="24"/>
          <w:szCs w:val="24"/>
          <w:spacing w:val="-3"/>
        </w:rPr>
        <w:t>去除水中悬浮物、氟化物等。参照文献《萤石矿高氟废水处理</w:t>
      </w:r>
      <w:r>
        <w:rPr>
          <w:rFonts w:ascii="FangSong" w:hAnsi="FangSong" w:eastAsia="FangSong" w:cs="FangSong"/>
          <w:sz w:val="24"/>
          <w:szCs w:val="24"/>
          <w:spacing w:val="-4"/>
        </w:rPr>
        <w:t>》（环境化学，第</w:t>
      </w:r>
    </w:p>
    <w:p>
      <w:pPr>
        <w:spacing w:line="360" w:lineRule="auto"/>
        <w:sectPr>
          <w:footerReference w:type="default" r:id="rId339"/>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1" w:right="105" w:hanging="8"/>
        <w:spacing w:before="78" w:line="360" w:lineRule="auto"/>
        <w:jc w:val="both"/>
        <w:rPr>
          <w:rFonts w:ascii="FangSong" w:hAnsi="FangSong" w:eastAsia="FangSong" w:cs="FangSong"/>
          <w:sz w:val="24"/>
          <w:szCs w:val="24"/>
        </w:rPr>
      </w:pP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3"/>
        </w:rPr>
        <w:t>卷第</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3"/>
        </w:rPr>
        <w:t>期</w:t>
      </w:r>
      <w:r>
        <w:rPr>
          <w:rFonts w:ascii="FangSong" w:hAnsi="FangSong" w:eastAsia="FangSong" w:cs="FangSong"/>
          <w:sz w:val="24"/>
          <w:szCs w:val="24"/>
          <w:spacing w:val="6"/>
        </w:rPr>
        <w:t>），</w:t>
      </w:r>
      <w:r>
        <w:rPr>
          <w:rFonts w:ascii="FangSong" w:hAnsi="FangSong" w:eastAsia="FangSong" w:cs="FangSong"/>
          <w:sz w:val="24"/>
          <w:szCs w:val="24"/>
          <w:spacing w:val="-3"/>
        </w:rPr>
        <w:t>选矿废水经该工艺处理后出水中主要污染物均能满足《城市污水</w:t>
      </w:r>
      <w:r>
        <w:rPr>
          <w:rFonts w:ascii="FangSong" w:hAnsi="FangSong" w:eastAsia="FangSong" w:cs="FangSong"/>
          <w:sz w:val="24"/>
          <w:szCs w:val="24"/>
        </w:rPr>
        <w:t>再生利用</w:t>
      </w:r>
      <w:r>
        <w:rPr>
          <w:rFonts w:ascii="FangSong" w:hAnsi="FangSong" w:eastAsia="FangSong" w:cs="FangSong"/>
          <w:sz w:val="24"/>
          <w:szCs w:val="24"/>
        </w:rPr>
        <w:t xml:space="preserve"> </w:t>
      </w:r>
      <w:r>
        <w:rPr>
          <w:rFonts w:ascii="FangSong" w:hAnsi="FangSong" w:eastAsia="FangSong" w:cs="FangSong"/>
          <w:sz w:val="24"/>
          <w:szCs w:val="24"/>
        </w:rPr>
        <w:t>工业用水水质》（</w:t>
      </w:r>
      <w:r>
        <w:rPr>
          <w:rFonts w:ascii="Times New Roman" w:hAnsi="Times New Roman" w:eastAsia="Times New Roman" w:cs="Times New Roman"/>
          <w:sz w:val="24"/>
          <w:szCs w:val="24"/>
        </w:rPr>
        <w:t>GB/T19923-</w:t>
      </w:r>
      <w:r>
        <w:rPr>
          <w:rFonts w:ascii="Times New Roman" w:hAnsi="Times New Roman" w:eastAsia="Times New Roman" w:cs="Times New Roman"/>
          <w:sz w:val="24"/>
          <w:szCs w:val="24"/>
          <w:spacing w:val="-1"/>
        </w:rPr>
        <w:t>2024</w:t>
      </w:r>
      <w:r>
        <w:rPr>
          <w:rFonts w:ascii="FangSong" w:hAnsi="FangSong" w:eastAsia="FangSong" w:cs="FangSong"/>
          <w:sz w:val="24"/>
          <w:szCs w:val="24"/>
          <w:spacing w:val="-1"/>
        </w:rPr>
        <w:t>）中工艺用水标准要求和工艺要求</w:t>
      </w:r>
      <w:r>
        <w:rPr>
          <w:rFonts w:ascii="FangSong" w:hAnsi="FangSong" w:eastAsia="FangSong" w:cs="FangSong"/>
          <w:sz w:val="24"/>
          <w:szCs w:val="24"/>
          <w:spacing w:val="-1"/>
        </w:rPr>
        <w:t>后，处理后的废水直接回用到磨矿工序、浮选工序。说明利用此方法可行。</w:t>
      </w:r>
    </w:p>
    <w:p>
      <w:pPr>
        <w:ind w:left="502"/>
        <w:spacing w:line="221"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26"/>
        </w:rPr>
        <w:t xml:space="preserve"> </w:t>
      </w:r>
      <w:r>
        <w:rPr>
          <w:rFonts w:ascii="FangSong" w:hAnsi="FangSong" w:eastAsia="FangSong" w:cs="FangSong"/>
          <w:sz w:val="24"/>
          <w:szCs w:val="24"/>
          <w:spacing w:val="-4"/>
        </w:rPr>
        <w:t>去除氟原理如下：</w:t>
      </w:r>
    </w:p>
    <w:p>
      <w:pPr>
        <w:ind w:left="36" w:right="105" w:firstLine="475"/>
        <w:spacing w:before="179" w:line="360" w:lineRule="auto"/>
        <w:rPr>
          <w:rFonts w:ascii="FangSong" w:hAnsi="FangSong" w:eastAsia="FangSong" w:cs="FangSong"/>
          <w:sz w:val="24"/>
          <w:szCs w:val="24"/>
        </w:rPr>
      </w:pPr>
      <w:r>
        <w:rPr>
          <w:rFonts w:ascii="FangSong" w:hAnsi="FangSong" w:eastAsia="FangSong" w:cs="FangSong"/>
          <w:sz w:val="24"/>
          <w:szCs w:val="24"/>
          <w:spacing w:val="-3"/>
        </w:rPr>
        <w:t>在混凝沉淀池中先添加氯化钙作为沉淀剂，</w:t>
      </w:r>
      <w:r>
        <w:rPr>
          <w:rFonts w:ascii="FangSong" w:hAnsi="FangSong" w:eastAsia="FangSong" w:cs="FangSong"/>
          <w:sz w:val="24"/>
          <w:szCs w:val="24"/>
          <w:spacing w:val="-4"/>
        </w:rPr>
        <w:t>形成氟化钙沉淀，去除大部分的</w:t>
      </w:r>
      <w:r>
        <w:rPr>
          <w:rFonts w:ascii="FangSong" w:hAnsi="FangSong" w:eastAsia="FangSong" w:cs="FangSong"/>
          <w:sz w:val="24"/>
          <w:szCs w:val="24"/>
          <w:spacing w:val="-6"/>
        </w:rPr>
        <w:t>氟离子。</w:t>
      </w:r>
    </w:p>
    <w:p>
      <w:pPr>
        <w:ind w:left="501"/>
        <w:spacing w:line="221" w:lineRule="auto"/>
        <w:rPr>
          <w:rFonts w:ascii="FangSong" w:hAnsi="FangSong" w:eastAsia="FangSong" w:cs="FangSong"/>
          <w:sz w:val="24"/>
          <w:szCs w:val="24"/>
        </w:rPr>
      </w:pPr>
      <w:r>
        <w:rPr>
          <w:rFonts w:ascii="FangSong" w:hAnsi="FangSong" w:eastAsia="FangSong" w:cs="FangSong"/>
          <w:sz w:val="24"/>
          <w:szCs w:val="24"/>
          <w:spacing w:val="-7"/>
        </w:rPr>
        <w:t>②</w:t>
      </w:r>
      <w:r>
        <w:rPr>
          <w:rFonts w:ascii="FangSong" w:hAnsi="FangSong" w:eastAsia="FangSong" w:cs="FangSong"/>
          <w:sz w:val="24"/>
          <w:szCs w:val="24"/>
          <w:spacing w:val="26"/>
        </w:rPr>
        <w:t xml:space="preserve"> </w:t>
      </w:r>
      <w:r>
        <w:rPr>
          <w:rFonts w:ascii="FangSong" w:hAnsi="FangSong" w:eastAsia="FangSong" w:cs="FangSong"/>
          <w:sz w:val="24"/>
          <w:szCs w:val="24"/>
          <w:spacing w:val="-7"/>
        </w:rPr>
        <w:t>去除</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7"/>
        </w:rPr>
        <w:t>SS</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7"/>
        </w:rPr>
        <w:t>原理如下：</w:t>
      </w:r>
    </w:p>
    <w:p>
      <w:pPr>
        <w:ind w:left="29" w:right="105" w:firstLine="482"/>
        <w:spacing w:before="180" w:line="360" w:lineRule="auto"/>
        <w:rPr>
          <w:rFonts w:ascii="FangSong" w:hAnsi="FangSong" w:eastAsia="FangSong" w:cs="FangSong"/>
          <w:sz w:val="24"/>
          <w:szCs w:val="24"/>
        </w:rPr>
      </w:pPr>
      <w:r>
        <w:rPr>
          <w:rFonts w:ascii="FangSong" w:hAnsi="FangSong" w:eastAsia="FangSong" w:cs="FangSong"/>
          <w:sz w:val="24"/>
          <w:szCs w:val="24"/>
          <w:spacing w:val="-4"/>
        </w:rPr>
        <w:t>废水中胶体颗粒和悬浮物与高分子化合物（聚丙烯酰胺）的极性基团经过带</w:t>
      </w:r>
      <w:r>
        <w:rPr>
          <w:rFonts w:ascii="FangSong" w:hAnsi="FangSong" w:eastAsia="FangSong" w:cs="FangSong"/>
          <w:sz w:val="24"/>
          <w:szCs w:val="24"/>
          <w:spacing w:val="-3"/>
        </w:rPr>
        <w:t>电荷基团作用，微颗粒与分析化合物结合，形成体积庞大的絮状沉</w:t>
      </w:r>
      <w:r>
        <w:rPr>
          <w:rFonts w:ascii="FangSong" w:hAnsi="FangSong" w:eastAsia="FangSong" w:cs="FangSong"/>
          <w:sz w:val="24"/>
          <w:szCs w:val="24"/>
          <w:spacing w:val="-4"/>
        </w:rPr>
        <w:t>淀物而是颗粒</w:t>
      </w:r>
      <w:r>
        <w:rPr>
          <w:rFonts w:ascii="FangSong" w:hAnsi="FangSong" w:eastAsia="FangSong" w:cs="FangSong"/>
          <w:sz w:val="24"/>
          <w:szCs w:val="24"/>
          <w:spacing w:val="-3"/>
        </w:rPr>
        <w:t>和悬浮物沉淀，由于高分子化合物的极性或带电荷的基团很多，能</w:t>
      </w:r>
      <w:r>
        <w:rPr>
          <w:rFonts w:ascii="FangSong" w:hAnsi="FangSong" w:eastAsia="FangSong" w:cs="FangSong"/>
          <w:sz w:val="24"/>
          <w:szCs w:val="24"/>
          <w:spacing w:val="-4"/>
        </w:rPr>
        <w:t>短时间内同多</w:t>
      </w:r>
      <w:r>
        <w:rPr>
          <w:rFonts w:ascii="FangSong" w:hAnsi="FangSong" w:eastAsia="FangSong" w:cs="FangSong"/>
          <w:sz w:val="24"/>
          <w:szCs w:val="24"/>
          <w:spacing w:val="-3"/>
        </w:rPr>
        <w:t>个微颗粒结合，使体积增大，速度加快，混凝作用明显，从而使颗</w:t>
      </w:r>
      <w:r>
        <w:rPr>
          <w:rFonts w:ascii="FangSong" w:hAnsi="FangSong" w:eastAsia="FangSong" w:cs="FangSong"/>
          <w:sz w:val="24"/>
          <w:szCs w:val="24"/>
          <w:spacing w:val="-4"/>
        </w:rPr>
        <w:t>粒物从液体中</w:t>
      </w:r>
      <w:r>
        <w:rPr>
          <w:rFonts w:ascii="FangSong" w:hAnsi="FangSong" w:eastAsia="FangSong" w:cs="FangSong"/>
          <w:sz w:val="24"/>
          <w:szCs w:val="24"/>
          <w:spacing w:val="-2"/>
        </w:rPr>
        <w:t>很快沉淀和分离。</w:t>
      </w:r>
    </w:p>
    <w:p>
      <w:pPr>
        <w:ind w:left="29" w:right="105" w:firstLine="480"/>
        <w:spacing w:before="4" w:line="359" w:lineRule="auto"/>
        <w:jc w:val="both"/>
        <w:rPr>
          <w:rFonts w:ascii="FangSong" w:hAnsi="FangSong" w:eastAsia="FangSong" w:cs="FangSong"/>
          <w:sz w:val="24"/>
          <w:szCs w:val="24"/>
        </w:rPr>
      </w:pPr>
      <w:r>
        <w:rPr>
          <w:rFonts w:ascii="FangSong" w:hAnsi="FangSong" w:eastAsia="FangSong" w:cs="FangSong"/>
          <w:sz w:val="24"/>
          <w:szCs w:val="24"/>
          <w:spacing w:val="-3"/>
        </w:rPr>
        <w:t>该废水处理工艺经济可靠，具有耗能小、造价低</w:t>
      </w:r>
      <w:r>
        <w:rPr>
          <w:rFonts w:ascii="FangSong" w:hAnsi="FangSong" w:eastAsia="FangSong" w:cs="FangSong"/>
          <w:sz w:val="24"/>
          <w:szCs w:val="24"/>
          <w:spacing w:val="-4"/>
        </w:rPr>
        <w:t>、管理方便等特点；从技术</w:t>
      </w:r>
      <w:r>
        <w:rPr>
          <w:rFonts w:ascii="FangSong" w:hAnsi="FangSong" w:eastAsia="FangSong" w:cs="FangSong"/>
          <w:sz w:val="24"/>
          <w:szCs w:val="24"/>
          <w:spacing w:val="-3"/>
        </w:rPr>
        <w:t>角度看，所采用的处理工艺成熟、技术可靠，可使废水稳定达标排</w:t>
      </w:r>
      <w:r>
        <w:rPr>
          <w:rFonts w:ascii="FangSong" w:hAnsi="FangSong" w:eastAsia="FangSong" w:cs="FangSong"/>
          <w:sz w:val="24"/>
          <w:szCs w:val="24"/>
          <w:spacing w:val="-4"/>
        </w:rPr>
        <w:t>放。从经济角</w:t>
      </w:r>
      <w:r>
        <w:rPr>
          <w:rFonts w:ascii="FangSong" w:hAnsi="FangSong" w:eastAsia="FangSong" w:cs="FangSong"/>
          <w:sz w:val="24"/>
          <w:szCs w:val="24"/>
          <w:spacing w:val="-3"/>
        </w:rPr>
        <w:t>度看，废水处理费用和运行费用均较低。综上，本项目选矿废水处</w:t>
      </w:r>
      <w:r>
        <w:rPr>
          <w:rFonts w:ascii="FangSong" w:hAnsi="FangSong" w:eastAsia="FangSong" w:cs="FangSong"/>
          <w:sz w:val="24"/>
          <w:szCs w:val="24"/>
          <w:spacing w:val="-4"/>
        </w:rPr>
        <w:t>理工艺及其技</w:t>
      </w:r>
      <w:r>
        <w:rPr>
          <w:rFonts w:ascii="FangSong" w:hAnsi="FangSong" w:eastAsia="FangSong" w:cs="FangSong"/>
          <w:sz w:val="24"/>
          <w:szCs w:val="24"/>
          <w:spacing w:val="-1"/>
        </w:rPr>
        <w:t>术可行性和经济性在实践中是可行的。</w:t>
      </w:r>
    </w:p>
    <w:p>
      <w:pPr>
        <w:ind w:left="514"/>
        <w:spacing w:before="2"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）选矿废水全部回用的可行性分析</w:t>
      </w:r>
    </w:p>
    <w:p>
      <w:pPr>
        <w:ind w:left="32" w:firstLine="478"/>
        <w:spacing w:before="182" w:line="360" w:lineRule="auto"/>
        <w:rPr>
          <w:rFonts w:ascii="FangSong" w:hAnsi="FangSong" w:eastAsia="FangSong" w:cs="FangSong"/>
          <w:sz w:val="24"/>
          <w:szCs w:val="24"/>
        </w:rPr>
      </w:pPr>
      <w:r>
        <w:rPr>
          <w:rFonts w:ascii="FangSong" w:hAnsi="FangSong" w:eastAsia="FangSong" w:cs="FangSong"/>
          <w:sz w:val="24"/>
          <w:szCs w:val="24"/>
          <w:spacing w:val="-7"/>
        </w:rPr>
        <w:t>根据《萤石选矿含氟废水处理试验研究》、《萤石选矿废水</w:t>
      </w:r>
      <w:r>
        <w:rPr>
          <w:rFonts w:ascii="FangSong" w:hAnsi="FangSong" w:eastAsia="FangSong" w:cs="FangSong"/>
          <w:sz w:val="24"/>
          <w:szCs w:val="24"/>
          <w:spacing w:val="-8"/>
        </w:rPr>
        <w:t>处理的工艺研究》</w:t>
      </w:r>
      <w:r>
        <w:rPr>
          <w:rFonts w:ascii="FangSong" w:hAnsi="FangSong" w:eastAsia="FangSong" w:cs="FangSong"/>
          <w:sz w:val="24"/>
          <w:szCs w:val="24"/>
          <w:spacing w:val="-3"/>
        </w:rPr>
        <w:t>等中采用氯化钙作为沉淀剂处理后，再采用聚丙烯酰胺作为</w:t>
      </w:r>
      <w:r>
        <w:rPr>
          <w:rFonts w:ascii="FangSong" w:hAnsi="FangSong" w:eastAsia="FangSong" w:cs="FangSong"/>
          <w:sz w:val="24"/>
          <w:szCs w:val="24"/>
          <w:spacing w:val="-4"/>
        </w:rPr>
        <w:t>混凝剂处理萤石选矿</w:t>
      </w:r>
      <w:r>
        <w:rPr>
          <w:rFonts w:ascii="FangSong" w:hAnsi="FangSong" w:eastAsia="FangSong" w:cs="FangSong"/>
          <w:sz w:val="24"/>
          <w:szCs w:val="24"/>
          <w:spacing w:val="-12"/>
        </w:rPr>
        <w:t>废</w:t>
      </w:r>
      <w:r>
        <w:rPr>
          <w:rFonts w:ascii="FangSong" w:hAnsi="FangSong" w:eastAsia="FangSong" w:cs="FangSong"/>
          <w:sz w:val="24"/>
          <w:szCs w:val="24"/>
          <w:spacing w:val="-72"/>
        </w:rPr>
        <w:t xml:space="preserve"> </w:t>
      </w:r>
      <w:r>
        <w:rPr>
          <w:rFonts w:ascii="FangSong" w:hAnsi="FangSong" w:eastAsia="FangSong" w:cs="FangSong"/>
          <w:sz w:val="24"/>
          <w:szCs w:val="24"/>
          <w:spacing w:val="-12"/>
        </w:rPr>
        <w:t>水</w:t>
      </w:r>
      <w:r>
        <w:rPr>
          <w:rFonts w:ascii="FangSong" w:hAnsi="FangSong" w:eastAsia="FangSong" w:cs="FangSong"/>
          <w:sz w:val="24"/>
          <w:szCs w:val="24"/>
          <w:spacing w:val="-56"/>
        </w:rPr>
        <w:t xml:space="preserve"> </w:t>
      </w:r>
      <w:r>
        <w:rPr>
          <w:rFonts w:ascii="FangSong" w:hAnsi="FangSong" w:eastAsia="FangSong" w:cs="FangSong"/>
          <w:sz w:val="24"/>
          <w:szCs w:val="24"/>
          <w:spacing w:val="-12"/>
        </w:rPr>
        <w:t>，</w:t>
      </w:r>
      <w:r>
        <w:rPr>
          <w:rFonts w:ascii="FangSong" w:hAnsi="FangSong" w:eastAsia="FangSong" w:cs="FangSong"/>
          <w:sz w:val="24"/>
          <w:szCs w:val="24"/>
          <w:spacing w:val="-70"/>
        </w:rPr>
        <w:t xml:space="preserve"> </w:t>
      </w:r>
      <w:r>
        <w:rPr>
          <w:rFonts w:ascii="FangSong" w:hAnsi="FangSong" w:eastAsia="FangSong" w:cs="FangSong"/>
          <w:sz w:val="24"/>
          <w:szCs w:val="24"/>
          <w:spacing w:val="-12"/>
        </w:rPr>
        <w:t>经</w:t>
      </w:r>
      <w:r>
        <w:rPr>
          <w:rFonts w:ascii="FangSong" w:hAnsi="FangSong" w:eastAsia="FangSong" w:cs="FangSong"/>
          <w:sz w:val="24"/>
          <w:szCs w:val="24"/>
          <w:spacing w:val="-68"/>
        </w:rPr>
        <w:t xml:space="preserve"> </w:t>
      </w:r>
      <w:r>
        <w:rPr>
          <w:rFonts w:ascii="FangSong" w:hAnsi="FangSong" w:eastAsia="FangSong" w:cs="FangSong"/>
          <w:sz w:val="24"/>
          <w:szCs w:val="24"/>
          <w:spacing w:val="-12"/>
        </w:rPr>
        <w:t>过处</w:t>
      </w:r>
      <w:r>
        <w:rPr>
          <w:rFonts w:ascii="FangSong" w:hAnsi="FangSong" w:eastAsia="FangSong" w:cs="FangSong"/>
          <w:sz w:val="24"/>
          <w:szCs w:val="24"/>
          <w:spacing w:val="-69"/>
        </w:rPr>
        <w:t xml:space="preserve"> </w:t>
      </w:r>
      <w:r>
        <w:rPr>
          <w:rFonts w:ascii="FangSong" w:hAnsi="FangSong" w:eastAsia="FangSong" w:cs="FangSong"/>
          <w:sz w:val="24"/>
          <w:szCs w:val="24"/>
          <w:spacing w:val="-12"/>
        </w:rPr>
        <w:t>理</w:t>
      </w:r>
      <w:r>
        <w:rPr>
          <w:rFonts w:ascii="FangSong" w:hAnsi="FangSong" w:eastAsia="FangSong" w:cs="FangSong"/>
          <w:sz w:val="24"/>
          <w:szCs w:val="24"/>
          <w:spacing w:val="-68"/>
        </w:rPr>
        <w:t xml:space="preserve"> </w:t>
      </w:r>
      <w:r>
        <w:rPr>
          <w:rFonts w:ascii="FangSong" w:hAnsi="FangSong" w:eastAsia="FangSong" w:cs="FangSong"/>
          <w:sz w:val="24"/>
          <w:szCs w:val="24"/>
          <w:spacing w:val="-12"/>
        </w:rPr>
        <w:t>后</w:t>
      </w:r>
      <w:r>
        <w:rPr>
          <w:rFonts w:ascii="FangSong" w:hAnsi="FangSong" w:eastAsia="FangSong" w:cs="FangSong"/>
          <w:sz w:val="24"/>
          <w:szCs w:val="24"/>
          <w:spacing w:val="-57"/>
        </w:rPr>
        <w:t xml:space="preserve"> </w:t>
      </w:r>
      <w:r>
        <w:rPr>
          <w:rFonts w:ascii="FangSong" w:hAnsi="FangSong" w:eastAsia="FangSong" w:cs="FangSong"/>
          <w:sz w:val="24"/>
          <w:szCs w:val="24"/>
          <w:spacing w:val="-12"/>
        </w:rPr>
        <w:t>的</w:t>
      </w:r>
      <w:r>
        <w:rPr>
          <w:rFonts w:ascii="FangSong" w:hAnsi="FangSong" w:eastAsia="FangSong" w:cs="FangSong"/>
          <w:sz w:val="24"/>
          <w:szCs w:val="24"/>
          <w:spacing w:val="-70"/>
        </w:rPr>
        <w:t xml:space="preserve"> </w:t>
      </w:r>
      <w:r>
        <w:rPr>
          <w:rFonts w:ascii="FangSong" w:hAnsi="FangSong" w:eastAsia="FangSong" w:cs="FangSong"/>
          <w:sz w:val="24"/>
          <w:szCs w:val="24"/>
          <w:spacing w:val="-12"/>
        </w:rPr>
        <w:t>废</w:t>
      </w:r>
      <w:r>
        <w:rPr>
          <w:rFonts w:ascii="FangSong" w:hAnsi="FangSong" w:eastAsia="FangSong" w:cs="FangSong"/>
          <w:sz w:val="24"/>
          <w:szCs w:val="24"/>
          <w:spacing w:val="-71"/>
        </w:rPr>
        <w:t xml:space="preserve"> </w:t>
      </w:r>
      <w:r>
        <w:rPr>
          <w:rFonts w:ascii="FangSong" w:hAnsi="FangSong" w:eastAsia="FangSong" w:cs="FangSong"/>
          <w:sz w:val="24"/>
          <w:szCs w:val="24"/>
          <w:spacing w:val="-12"/>
        </w:rPr>
        <w:t>水</w:t>
      </w:r>
      <w:r>
        <w:rPr>
          <w:rFonts w:ascii="FangSong" w:hAnsi="FangSong" w:eastAsia="FangSong" w:cs="FangSong"/>
          <w:sz w:val="24"/>
          <w:szCs w:val="24"/>
          <w:spacing w:val="-67"/>
        </w:rPr>
        <w:t xml:space="preserve"> </w:t>
      </w:r>
      <w:r>
        <w:rPr>
          <w:rFonts w:ascii="FangSong" w:hAnsi="FangSong" w:eastAsia="FangSong" w:cs="FangSong"/>
          <w:sz w:val="24"/>
          <w:szCs w:val="24"/>
          <w:spacing w:val="-12"/>
        </w:rPr>
        <w:t>可</w:t>
      </w:r>
      <w:r>
        <w:rPr>
          <w:rFonts w:ascii="FangSong" w:hAnsi="FangSong" w:eastAsia="FangSong" w:cs="FangSong"/>
          <w:sz w:val="24"/>
          <w:szCs w:val="24"/>
          <w:spacing w:val="-70"/>
        </w:rPr>
        <w:t xml:space="preserve"> </w:t>
      </w:r>
      <w:r>
        <w:rPr>
          <w:rFonts w:ascii="FangSong" w:hAnsi="FangSong" w:eastAsia="FangSong" w:cs="FangSong"/>
          <w:sz w:val="24"/>
          <w:szCs w:val="24"/>
          <w:spacing w:val="-12"/>
        </w:rPr>
        <w:t>达</w:t>
      </w:r>
      <w:r>
        <w:rPr>
          <w:rFonts w:ascii="FangSong" w:hAnsi="FangSong" w:eastAsia="FangSong" w:cs="FangSong"/>
          <w:sz w:val="24"/>
          <w:szCs w:val="24"/>
          <w:spacing w:val="-63"/>
        </w:rPr>
        <w:t xml:space="preserve"> </w:t>
      </w:r>
      <w:r>
        <w:rPr>
          <w:rFonts w:ascii="FangSong" w:hAnsi="FangSong" w:eastAsia="FangSong" w:cs="FangSong"/>
          <w:sz w:val="24"/>
          <w:szCs w:val="24"/>
          <w:spacing w:val="-12"/>
        </w:rPr>
        <w:t>到《</w:t>
      </w:r>
      <w:r>
        <w:rPr>
          <w:rFonts w:ascii="FangSong" w:hAnsi="FangSong" w:eastAsia="FangSong" w:cs="FangSong"/>
          <w:sz w:val="24"/>
          <w:szCs w:val="24"/>
          <w:spacing w:val="-42"/>
        </w:rPr>
        <w:t xml:space="preserve"> </w:t>
      </w:r>
      <w:r>
        <w:rPr>
          <w:rFonts w:ascii="FangSong" w:hAnsi="FangSong" w:eastAsia="FangSong" w:cs="FangSong"/>
          <w:sz w:val="24"/>
          <w:szCs w:val="24"/>
          <w:spacing w:val="-12"/>
        </w:rPr>
        <w:t>城</w:t>
      </w:r>
      <w:r>
        <w:rPr>
          <w:rFonts w:ascii="FangSong" w:hAnsi="FangSong" w:eastAsia="FangSong" w:cs="FangSong"/>
          <w:sz w:val="24"/>
          <w:szCs w:val="24"/>
          <w:spacing w:val="-66"/>
        </w:rPr>
        <w:t xml:space="preserve"> </w:t>
      </w:r>
      <w:r>
        <w:rPr>
          <w:rFonts w:ascii="FangSong" w:hAnsi="FangSong" w:eastAsia="FangSong" w:cs="FangSong"/>
          <w:sz w:val="24"/>
          <w:szCs w:val="24"/>
          <w:spacing w:val="-12"/>
        </w:rPr>
        <w:t>市</w:t>
      </w:r>
      <w:r>
        <w:rPr>
          <w:rFonts w:ascii="FangSong" w:hAnsi="FangSong" w:eastAsia="FangSong" w:cs="FangSong"/>
          <w:sz w:val="24"/>
          <w:szCs w:val="24"/>
          <w:spacing w:val="-66"/>
        </w:rPr>
        <w:t xml:space="preserve"> </w:t>
      </w:r>
      <w:r>
        <w:rPr>
          <w:rFonts w:ascii="FangSong" w:hAnsi="FangSong" w:eastAsia="FangSong" w:cs="FangSong"/>
          <w:sz w:val="24"/>
          <w:szCs w:val="24"/>
          <w:spacing w:val="-12"/>
        </w:rPr>
        <w:t>污</w:t>
      </w:r>
      <w:r>
        <w:rPr>
          <w:rFonts w:ascii="FangSong" w:hAnsi="FangSong" w:eastAsia="FangSong" w:cs="FangSong"/>
          <w:sz w:val="24"/>
          <w:szCs w:val="24"/>
          <w:spacing w:val="-71"/>
        </w:rPr>
        <w:t xml:space="preserve"> </w:t>
      </w:r>
      <w:r>
        <w:rPr>
          <w:rFonts w:ascii="FangSong" w:hAnsi="FangSong" w:eastAsia="FangSong" w:cs="FangSong"/>
          <w:sz w:val="24"/>
          <w:szCs w:val="24"/>
          <w:spacing w:val="-12"/>
        </w:rPr>
        <w:t>水</w:t>
      </w:r>
      <w:r>
        <w:rPr>
          <w:rFonts w:ascii="FangSong" w:hAnsi="FangSong" w:eastAsia="FangSong" w:cs="FangSong"/>
          <w:sz w:val="24"/>
          <w:szCs w:val="24"/>
          <w:spacing w:val="-70"/>
        </w:rPr>
        <w:t xml:space="preserve"> </w:t>
      </w:r>
      <w:r>
        <w:rPr>
          <w:rFonts w:ascii="FangSong" w:hAnsi="FangSong" w:eastAsia="FangSong" w:cs="FangSong"/>
          <w:sz w:val="24"/>
          <w:szCs w:val="24"/>
          <w:spacing w:val="-12"/>
        </w:rPr>
        <w:t>再</w:t>
      </w:r>
      <w:r>
        <w:rPr>
          <w:rFonts w:ascii="FangSong" w:hAnsi="FangSong" w:eastAsia="FangSong" w:cs="FangSong"/>
          <w:sz w:val="24"/>
          <w:szCs w:val="24"/>
          <w:spacing w:val="-57"/>
        </w:rPr>
        <w:t xml:space="preserve"> </w:t>
      </w:r>
      <w:r>
        <w:rPr>
          <w:rFonts w:ascii="FangSong" w:hAnsi="FangSong" w:eastAsia="FangSong" w:cs="FangSong"/>
          <w:sz w:val="24"/>
          <w:szCs w:val="24"/>
          <w:spacing w:val="-12"/>
        </w:rPr>
        <w:t>生</w:t>
      </w:r>
      <w:r>
        <w:rPr>
          <w:rFonts w:ascii="FangSong" w:hAnsi="FangSong" w:eastAsia="FangSong" w:cs="FangSong"/>
          <w:sz w:val="24"/>
          <w:szCs w:val="24"/>
          <w:spacing w:val="-71"/>
        </w:rPr>
        <w:t xml:space="preserve"> </w:t>
      </w:r>
      <w:r>
        <w:rPr>
          <w:rFonts w:ascii="FangSong" w:hAnsi="FangSong" w:eastAsia="FangSong" w:cs="FangSong"/>
          <w:sz w:val="24"/>
          <w:szCs w:val="24"/>
          <w:spacing w:val="-12"/>
        </w:rPr>
        <w:t>利</w:t>
      </w:r>
      <w:r>
        <w:rPr>
          <w:rFonts w:ascii="FangSong" w:hAnsi="FangSong" w:eastAsia="FangSong" w:cs="FangSong"/>
          <w:sz w:val="24"/>
          <w:szCs w:val="24"/>
          <w:spacing w:val="-71"/>
        </w:rPr>
        <w:t xml:space="preserve"> </w:t>
      </w:r>
      <w:r>
        <w:rPr>
          <w:rFonts w:ascii="FangSong" w:hAnsi="FangSong" w:eastAsia="FangSong" w:cs="FangSong"/>
          <w:sz w:val="24"/>
          <w:szCs w:val="24"/>
          <w:spacing w:val="-12"/>
        </w:rPr>
        <w:t>用</w:t>
      </w:r>
      <w:r>
        <w:rPr>
          <w:rFonts w:ascii="FangSong" w:hAnsi="FangSong" w:eastAsia="FangSong" w:cs="FangSong"/>
          <w:sz w:val="24"/>
          <w:szCs w:val="24"/>
          <w:spacing w:val="84"/>
        </w:rPr>
        <w:t xml:space="preserve"> </w:t>
      </w:r>
      <w:r>
        <w:rPr>
          <w:rFonts w:ascii="FangSong" w:hAnsi="FangSong" w:eastAsia="FangSong" w:cs="FangSong"/>
          <w:sz w:val="24"/>
          <w:szCs w:val="24"/>
          <w:spacing w:val="-12"/>
        </w:rPr>
        <w:t>工</w:t>
      </w:r>
      <w:r>
        <w:rPr>
          <w:rFonts w:ascii="FangSong" w:hAnsi="FangSong" w:eastAsia="FangSong" w:cs="FangSong"/>
          <w:sz w:val="24"/>
          <w:szCs w:val="24"/>
          <w:spacing w:val="-70"/>
        </w:rPr>
        <w:t xml:space="preserve"> </w:t>
      </w:r>
      <w:r>
        <w:rPr>
          <w:rFonts w:ascii="FangSong" w:hAnsi="FangSong" w:eastAsia="FangSong" w:cs="FangSong"/>
          <w:sz w:val="24"/>
          <w:szCs w:val="24"/>
          <w:spacing w:val="-13"/>
        </w:rPr>
        <w:t>业用水</w:t>
      </w:r>
      <w:r>
        <w:rPr>
          <w:rFonts w:ascii="FangSong" w:hAnsi="FangSong" w:eastAsia="FangSong" w:cs="FangSong"/>
          <w:sz w:val="24"/>
          <w:szCs w:val="24"/>
          <w:spacing w:val="-71"/>
        </w:rPr>
        <w:t xml:space="preserve"> </w:t>
      </w:r>
      <w:r>
        <w:rPr>
          <w:rFonts w:ascii="FangSong" w:hAnsi="FangSong" w:eastAsia="FangSong" w:cs="FangSong"/>
          <w:sz w:val="24"/>
          <w:szCs w:val="24"/>
          <w:spacing w:val="-13"/>
        </w:rPr>
        <w:t>水</w:t>
      </w:r>
      <w:r>
        <w:rPr>
          <w:rFonts w:ascii="FangSong" w:hAnsi="FangSong" w:eastAsia="FangSong" w:cs="FangSong"/>
          <w:sz w:val="24"/>
          <w:szCs w:val="24"/>
          <w:spacing w:val="-68"/>
        </w:rPr>
        <w:t xml:space="preserve"> </w:t>
      </w:r>
      <w:r>
        <w:rPr>
          <w:rFonts w:ascii="FangSong" w:hAnsi="FangSong" w:eastAsia="FangSong" w:cs="FangSong"/>
          <w:sz w:val="24"/>
          <w:szCs w:val="24"/>
          <w:spacing w:val="-13"/>
        </w:rPr>
        <w:t>质》</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/T19923-2024</w:t>
      </w:r>
      <w:r>
        <w:rPr>
          <w:rFonts w:ascii="FangSong" w:hAnsi="FangSong" w:eastAsia="FangSong" w:cs="FangSong"/>
          <w:sz w:val="24"/>
          <w:szCs w:val="24"/>
          <w:spacing w:val="1"/>
        </w:rPr>
        <w:t>）</w:t>
      </w:r>
      <w:r>
        <w:rPr>
          <w:rFonts w:ascii="FangSong" w:hAnsi="FangSong" w:eastAsia="FangSong" w:cs="FangSong"/>
          <w:sz w:val="24"/>
          <w:szCs w:val="24"/>
          <w:spacing w:val="-62"/>
        </w:rPr>
        <w:t xml:space="preserve"> </w:t>
      </w:r>
      <w:r>
        <w:rPr>
          <w:rFonts w:ascii="FangSong" w:hAnsi="FangSong" w:eastAsia="FangSong" w:cs="FangSong"/>
          <w:sz w:val="24"/>
          <w:szCs w:val="24"/>
          <w:spacing w:val="1"/>
        </w:rPr>
        <w:t>中工艺用水标准，通过对生产过程的分析和实验室实验研</w:t>
      </w:r>
      <w:r>
        <w:rPr>
          <w:rFonts w:ascii="FangSong" w:hAnsi="FangSong" w:eastAsia="FangSong" w:cs="FangSong"/>
          <w:sz w:val="24"/>
          <w:szCs w:val="24"/>
          <w:spacing w:val="-1"/>
        </w:rPr>
        <w:t>究，经过混凝沉淀处理后的废水直接回用到磨矿工序、浮选工序。</w:t>
      </w:r>
    </w:p>
    <w:p>
      <w:pPr>
        <w:ind w:left="32" w:right="22" w:firstLine="478"/>
        <w:spacing w:line="360" w:lineRule="auto"/>
        <w:jc w:val="both"/>
        <w:rPr>
          <w:rFonts w:ascii="FangSong" w:hAnsi="FangSong" w:eastAsia="FangSong" w:cs="FangSong"/>
          <w:sz w:val="24"/>
          <w:szCs w:val="24"/>
        </w:rPr>
      </w:pPr>
      <w:r>
        <w:rPr>
          <w:rFonts w:ascii="FangSong" w:hAnsi="FangSong" w:eastAsia="FangSong" w:cs="FangSong"/>
          <w:sz w:val="24"/>
          <w:szCs w:val="24"/>
        </w:rPr>
        <w:t>本项目使用氯化钙作为沉淀剂、聚合氯化铝</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PAC</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rPr>
        <w:t>作为</w:t>
      </w:r>
      <w:r>
        <w:rPr>
          <w:rFonts w:ascii="FangSong" w:hAnsi="FangSong" w:eastAsia="FangSong" w:cs="FangSong"/>
          <w:sz w:val="24"/>
          <w:szCs w:val="24"/>
          <w:spacing w:val="-1"/>
        </w:rPr>
        <w:t>除氟剂、混凝剂，可</w:t>
      </w:r>
      <w:r>
        <w:rPr>
          <w:rFonts w:ascii="FangSong" w:hAnsi="FangSong" w:eastAsia="FangSong" w:cs="FangSong"/>
          <w:sz w:val="24"/>
          <w:szCs w:val="24"/>
          <w:spacing w:val="-4"/>
        </w:rPr>
        <w:t>达到《城市污水再生利用</w:t>
      </w:r>
      <w:r>
        <w:rPr>
          <w:rFonts w:ascii="FangSong" w:hAnsi="FangSong" w:eastAsia="FangSong" w:cs="FangSong"/>
          <w:sz w:val="24"/>
          <w:szCs w:val="24"/>
          <w:spacing w:val="-4"/>
        </w:rPr>
        <w:t xml:space="preserve"> </w:t>
      </w:r>
      <w:r>
        <w:rPr>
          <w:rFonts w:ascii="FangSong" w:hAnsi="FangSong" w:eastAsia="FangSong" w:cs="FangSong"/>
          <w:sz w:val="24"/>
          <w:szCs w:val="24"/>
          <w:spacing w:val="-4"/>
        </w:rPr>
        <w:t>工业用水水质》（</w:t>
      </w:r>
      <w:r>
        <w:rPr>
          <w:rFonts w:ascii="Times New Roman" w:hAnsi="Times New Roman" w:eastAsia="Times New Roman" w:cs="Times New Roman"/>
          <w:sz w:val="24"/>
          <w:szCs w:val="24"/>
          <w:spacing w:val="-4"/>
        </w:rPr>
        <w:t>GB/T19923-2024</w:t>
      </w:r>
      <w:r>
        <w:rPr>
          <w:rFonts w:ascii="FangSong" w:hAnsi="FangSong" w:eastAsia="FangSong" w:cs="FangSong"/>
          <w:sz w:val="24"/>
          <w:szCs w:val="24"/>
          <w:spacing w:val="-4"/>
        </w:rPr>
        <w:t>）中工艺</w:t>
      </w:r>
      <w:r>
        <w:rPr>
          <w:rFonts w:ascii="FangSong" w:hAnsi="FangSong" w:eastAsia="FangSong" w:cs="FangSong"/>
          <w:sz w:val="24"/>
          <w:szCs w:val="24"/>
          <w:spacing w:val="-5"/>
        </w:rPr>
        <w:t>用水标准。</w:t>
      </w:r>
      <w:r>
        <w:rPr>
          <w:rFonts w:ascii="FangSong" w:hAnsi="FangSong" w:eastAsia="FangSong" w:cs="FangSong"/>
          <w:sz w:val="24"/>
          <w:szCs w:val="24"/>
          <w:spacing w:val="-2"/>
        </w:rPr>
        <w:t>因此，选矿废水经过处理后可全部回用。</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7.2.1.3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小结</w:t>
      </w:r>
    </w:p>
    <w:p>
      <w:pPr>
        <w:ind w:left="30" w:right="105" w:firstLine="481"/>
        <w:spacing w:before="177" w:line="361" w:lineRule="auto"/>
        <w:rPr>
          <w:rFonts w:ascii="FangSong" w:hAnsi="FangSong" w:eastAsia="FangSong" w:cs="FangSong"/>
          <w:sz w:val="24"/>
          <w:szCs w:val="24"/>
        </w:rPr>
      </w:pPr>
      <w:r>
        <w:rPr>
          <w:rFonts w:ascii="FangSong" w:hAnsi="FangSong" w:eastAsia="FangSong" w:cs="FangSong"/>
          <w:sz w:val="24"/>
          <w:szCs w:val="24"/>
          <w:spacing w:val="-4"/>
        </w:rPr>
        <w:t>正常工况下，生产废水和生活污水不外排，不会对地表水造成影响；事故工</w:t>
      </w:r>
      <w:r>
        <w:rPr>
          <w:rFonts w:ascii="FangSong" w:hAnsi="FangSong" w:eastAsia="FangSong" w:cs="FangSong"/>
          <w:sz w:val="24"/>
          <w:szCs w:val="24"/>
          <w:spacing w:val="-1"/>
        </w:rPr>
        <w:t>况下，事故废水全部排入事故水池中，不外排，不会对地表水造成影响。</w:t>
      </w:r>
    </w:p>
    <w:p>
      <w:pPr>
        <w:spacing w:line="361" w:lineRule="auto"/>
        <w:sectPr>
          <w:footerReference w:type="default" r:id="rId340"/>
          <w:pgSz w:w="11906" w:h="16839"/>
          <w:pgMar w:top="400" w:right="169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0" w:lineRule="auto"/>
        <w:outlineLvl w:val="2"/>
        <w:rPr>
          <w:rFonts w:ascii="FangSong" w:hAnsi="FangSong" w:eastAsia="FangSong" w:cs="FangSong"/>
          <w:sz w:val="24"/>
          <w:szCs w:val="24"/>
        </w:rPr>
      </w:pPr>
      <w:bookmarkStart w:name="bookmark326" w:id="441"/>
      <w:bookmarkEnd w:id="441"/>
      <w:bookmarkStart w:name="bookmark325" w:id="442"/>
      <w:bookmarkEnd w:id="442"/>
      <w:r>
        <w:rPr>
          <w:rFonts w:ascii="Times New Roman" w:hAnsi="Times New Roman" w:eastAsia="Times New Roman" w:cs="Times New Roman"/>
          <w:sz w:val="24"/>
          <w:szCs w:val="24"/>
          <w:b/>
          <w:bCs/>
          <w:spacing w:val="-2"/>
        </w:rPr>
        <w:t>7.2.2  </w:t>
      </w:r>
      <w:r>
        <w:rPr>
          <w:rFonts w:ascii="FangSong" w:hAnsi="FangSong" w:eastAsia="FangSong" w:cs="FangSong"/>
          <w:sz w:val="24"/>
          <w:szCs w:val="24"/>
          <w:b/>
          <w:bCs/>
          <w:spacing w:val="-2"/>
        </w:rPr>
        <w:t>环境空气保护措施及有效性分析</w:t>
      </w:r>
    </w:p>
    <w:p>
      <w:pPr>
        <w:ind w:left="30" w:right="32"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2"/>
        </w:rPr>
        <w:t>根据前文分析，本项目运营期产生的废气主要为井下开采产生的炮烟粉尘、</w:t>
      </w:r>
      <w:r>
        <w:rPr>
          <w:rFonts w:ascii="FangSong" w:hAnsi="FangSong" w:eastAsia="FangSong" w:cs="FangSong"/>
          <w:sz w:val="24"/>
          <w:szCs w:val="24"/>
          <w:spacing w:val="-3"/>
        </w:rPr>
        <w:t>道路运输扬尘、各堆场装卸扬尘、破碎筛分工序产生的粉尘以及</w:t>
      </w:r>
      <w:r>
        <w:rPr>
          <w:rFonts w:ascii="FangSong" w:hAnsi="FangSong" w:eastAsia="FangSong" w:cs="FangSong"/>
          <w:sz w:val="24"/>
          <w:szCs w:val="24"/>
          <w:spacing w:val="-4"/>
        </w:rPr>
        <w:t>食堂油烟，采取</w:t>
      </w:r>
      <w:r>
        <w:rPr>
          <w:rFonts w:ascii="FangSong" w:hAnsi="FangSong" w:eastAsia="FangSong" w:cs="FangSong"/>
          <w:sz w:val="24"/>
          <w:szCs w:val="24"/>
          <w:spacing w:val="-2"/>
        </w:rPr>
        <w:t>的保护措施及有效性分析如下：</w:t>
      </w:r>
    </w:p>
    <w:p>
      <w:pPr>
        <w:ind w:left="22"/>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7.2.2.1  </w:t>
      </w:r>
      <w:r>
        <w:rPr>
          <w:rFonts w:ascii="FangSong" w:hAnsi="FangSong" w:eastAsia="FangSong" w:cs="FangSong"/>
          <w:sz w:val="24"/>
          <w:szCs w:val="24"/>
          <w:b/>
          <w:bCs/>
          <w:spacing w:val="-2"/>
        </w:rPr>
        <w:t>保护措施及有效性分析</w:t>
      </w:r>
    </w:p>
    <w:p>
      <w:pPr>
        <w:ind w:left="514"/>
        <w:spacing w:before="182"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）井下采矿废气</w:t>
      </w:r>
    </w:p>
    <w:p>
      <w:pPr>
        <w:ind w:left="27" w:right="44" w:firstLine="483"/>
        <w:spacing w:before="178" w:line="360" w:lineRule="auto"/>
        <w:rPr>
          <w:rFonts w:ascii="FangSong" w:hAnsi="FangSong" w:eastAsia="FangSong" w:cs="FangSong"/>
          <w:sz w:val="24"/>
          <w:szCs w:val="24"/>
        </w:rPr>
      </w:pPr>
      <w:r>
        <w:rPr>
          <w:rFonts w:ascii="FangSong" w:hAnsi="FangSong" w:eastAsia="FangSong" w:cs="FangSong"/>
          <w:sz w:val="24"/>
          <w:szCs w:val="24"/>
          <w:spacing w:val="-2"/>
        </w:rPr>
        <w:t>项目运营期掘进、回采采用爆破的方式进行并辅以湿式凿岩</w:t>
      </w:r>
      <w:r>
        <w:rPr>
          <w:rFonts w:ascii="FangSong" w:hAnsi="FangSong" w:eastAsia="FangSong" w:cs="FangSong"/>
          <w:sz w:val="24"/>
          <w:szCs w:val="24"/>
          <w:spacing w:val="-3"/>
        </w:rPr>
        <w:t>方式进行开采，</w:t>
      </w:r>
      <w:r>
        <w:rPr>
          <w:rFonts w:ascii="FangSong" w:hAnsi="FangSong" w:eastAsia="FangSong" w:cs="FangSong"/>
          <w:sz w:val="24"/>
          <w:szCs w:val="24"/>
          <w:spacing w:val="-3"/>
        </w:rPr>
        <w:t>爆破前合理布置炮孔，正确选爆破参数，加强装药和填塞作业的管理，以</w:t>
      </w:r>
      <w:r>
        <w:rPr>
          <w:rFonts w:ascii="FangSong" w:hAnsi="FangSong" w:eastAsia="FangSong" w:cs="FangSong"/>
          <w:sz w:val="24"/>
          <w:szCs w:val="24"/>
          <w:spacing w:val="-4"/>
        </w:rPr>
        <w:t>降低爆</w:t>
      </w:r>
      <w:r>
        <w:rPr>
          <w:rFonts w:ascii="FangSong" w:hAnsi="FangSong" w:eastAsia="FangSong" w:cs="FangSong"/>
          <w:sz w:val="24"/>
          <w:szCs w:val="24"/>
          <w:spacing w:val="-3"/>
        </w:rPr>
        <w:t>破中的产尘量，同时在通风井安装主扇风机，并下掘进安装局部风机，在</w:t>
      </w:r>
      <w:r>
        <w:rPr>
          <w:rFonts w:ascii="FangSong" w:hAnsi="FangSong" w:eastAsia="FangSong" w:cs="FangSong"/>
          <w:sz w:val="24"/>
          <w:szCs w:val="24"/>
          <w:spacing w:val="-4"/>
        </w:rPr>
        <w:t>爆破凿</w:t>
      </w:r>
      <w:r>
        <w:rPr>
          <w:rFonts w:ascii="FangSong" w:hAnsi="FangSong" w:eastAsia="FangSong" w:cs="FangSong"/>
          <w:sz w:val="24"/>
          <w:szCs w:val="24"/>
          <w:spacing w:val="-3"/>
        </w:rPr>
        <w:t>岩后采取加强通风，并在产尘点及通道加强酒水、喷雾降尘等措施，提高</w:t>
      </w:r>
      <w:r>
        <w:rPr>
          <w:rFonts w:ascii="FangSong" w:hAnsi="FangSong" w:eastAsia="FangSong" w:cs="FangSong"/>
          <w:sz w:val="24"/>
          <w:szCs w:val="24"/>
          <w:spacing w:val="-4"/>
        </w:rPr>
        <w:t>坑内空</w:t>
      </w:r>
      <w:r>
        <w:rPr>
          <w:rFonts w:ascii="FangSong" w:hAnsi="FangSong" w:eastAsia="FangSong" w:cs="FangSong"/>
          <w:sz w:val="24"/>
          <w:szCs w:val="24"/>
          <w:spacing w:val="-3"/>
        </w:rPr>
        <w:t>气的含水率，可有效降低坑内粉尘；矿石提升、机车运输及地面汽车运输</w:t>
      </w:r>
      <w:r>
        <w:rPr>
          <w:rFonts w:ascii="FangSong" w:hAnsi="FangSong" w:eastAsia="FangSong" w:cs="FangSong"/>
          <w:sz w:val="24"/>
          <w:szCs w:val="24"/>
          <w:spacing w:val="-4"/>
        </w:rPr>
        <w:t>等输送</w:t>
      </w:r>
      <w:r>
        <w:rPr>
          <w:rFonts w:ascii="FangSong" w:hAnsi="FangSong" w:eastAsia="FangSong" w:cs="FangSong"/>
          <w:sz w:val="24"/>
          <w:szCs w:val="24"/>
          <w:spacing w:val="-3"/>
        </w:rPr>
        <w:t>工序，常用水清洗或喷洒巷道壁和路面来达到降尘的目的。采取上述措施</w:t>
      </w:r>
      <w:r>
        <w:rPr>
          <w:rFonts w:ascii="FangSong" w:hAnsi="FangSong" w:eastAsia="FangSong" w:cs="FangSong"/>
          <w:sz w:val="24"/>
          <w:szCs w:val="24"/>
          <w:spacing w:val="-4"/>
        </w:rPr>
        <w:t>后，经</w:t>
      </w:r>
      <w:r>
        <w:rPr>
          <w:rFonts w:ascii="FangSong" w:hAnsi="FangSong" w:eastAsia="FangSong" w:cs="FangSong"/>
          <w:sz w:val="24"/>
          <w:szCs w:val="24"/>
        </w:rPr>
        <w:t>前文分析</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z w:val="15"/>
          <w:szCs w:val="15"/>
          <w:position w:val="-1"/>
        </w:rPr>
        <w:t>x</w:t>
      </w:r>
      <w:r>
        <w:rPr>
          <w:rFonts w:ascii="Times New Roman" w:hAnsi="Times New Roman" w:eastAsia="Times New Roman" w:cs="Times New Roman"/>
          <w:sz w:val="15"/>
          <w:szCs w:val="15"/>
          <w:spacing w:val="25"/>
          <w:position w:val="-1"/>
        </w:rPr>
        <w:t xml:space="preserve"> </w:t>
      </w:r>
      <w:r>
        <w:rPr>
          <w:rFonts w:ascii="FangSong" w:hAnsi="FangSong" w:eastAsia="FangSong" w:cs="FangSong"/>
          <w:sz w:val="24"/>
          <w:szCs w:val="24"/>
        </w:rPr>
        <w:t>浓度均能够满足《大气污染物综合排放标准》（</w:t>
      </w:r>
      <w:r>
        <w:rPr>
          <w:rFonts w:ascii="Times New Roman" w:hAnsi="Times New Roman" w:eastAsia="Times New Roman" w:cs="Times New Roman"/>
          <w:sz w:val="24"/>
          <w:szCs w:val="24"/>
        </w:rPr>
        <w:t>GB16297-1996</w:t>
      </w:r>
      <w:r>
        <w:rPr>
          <w:rFonts w:ascii="FangSong" w:hAnsi="FangSong" w:eastAsia="FangSong" w:cs="FangSong"/>
          <w:sz w:val="24"/>
          <w:szCs w:val="24"/>
        </w:rPr>
        <w:t>）</w:t>
      </w:r>
      <w:r>
        <w:rPr>
          <w:rFonts w:ascii="FangSong" w:hAnsi="FangSong" w:eastAsia="FangSong" w:cs="FangSong"/>
          <w:sz w:val="24"/>
          <w:szCs w:val="24"/>
          <w:spacing w:val="-2"/>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2"/>
        </w:rPr>
        <w:t>新污染源大气污染物排放限值中二级标准。</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）道路运输扬尘</w:t>
      </w:r>
    </w:p>
    <w:p>
      <w:pPr>
        <w:ind w:left="29" w:right="83" w:firstLine="482"/>
        <w:spacing w:before="178" w:line="360" w:lineRule="auto"/>
        <w:rPr>
          <w:rFonts w:ascii="FangSong" w:hAnsi="FangSong" w:eastAsia="FangSong" w:cs="FangSong"/>
          <w:sz w:val="24"/>
          <w:szCs w:val="24"/>
        </w:rPr>
      </w:pPr>
      <w:r>
        <w:rPr>
          <w:rFonts w:ascii="FangSong" w:hAnsi="FangSong" w:eastAsia="FangSong" w:cs="FangSong"/>
          <w:sz w:val="24"/>
          <w:szCs w:val="24"/>
          <w:spacing w:val="-3"/>
        </w:rPr>
        <w:t>运输车辆装载高度不高于车厢、加盖苦布以</w:t>
      </w:r>
      <w:r>
        <w:rPr>
          <w:rFonts w:ascii="FangSong" w:hAnsi="FangSong" w:eastAsia="FangSong" w:cs="FangSong"/>
          <w:sz w:val="24"/>
          <w:szCs w:val="24"/>
          <w:spacing w:val="-4"/>
        </w:rPr>
        <w:t>控制矿石运输风力扬尘和物料抛</w:t>
      </w:r>
      <w:r>
        <w:rPr>
          <w:rFonts w:ascii="FangSong" w:hAnsi="FangSong" w:eastAsia="FangSong" w:cs="FangSong"/>
          <w:sz w:val="24"/>
          <w:szCs w:val="24"/>
          <w:spacing w:val="-3"/>
        </w:rPr>
        <w:t>酒路面产生二次污染；应减速慢行，减少车辆颠簸，矿石抛酒，配置</w:t>
      </w:r>
      <w:r>
        <w:rPr>
          <w:rFonts w:ascii="FangSong" w:hAnsi="FangSong" w:eastAsia="FangSong" w:cs="FangSong"/>
          <w:sz w:val="24"/>
          <w:szCs w:val="24"/>
          <w:spacing w:val="-4"/>
        </w:rPr>
        <w:t>专人及时清</w:t>
      </w:r>
      <w:r>
        <w:rPr>
          <w:rFonts w:ascii="FangSong" w:hAnsi="FangSong" w:eastAsia="FangSong" w:cs="FangSong"/>
          <w:sz w:val="24"/>
          <w:szCs w:val="24"/>
          <w:spacing w:val="-3"/>
        </w:rPr>
        <w:t>扫路面，并配置洒水车定时洒水防尘。采取上述管理措施后，可有效</w:t>
      </w:r>
      <w:r>
        <w:rPr>
          <w:rFonts w:ascii="FangSong" w:hAnsi="FangSong" w:eastAsia="FangSong" w:cs="FangSong"/>
          <w:sz w:val="24"/>
          <w:szCs w:val="24"/>
          <w:spacing w:val="-4"/>
        </w:rPr>
        <w:t>降低车辆装</w:t>
      </w:r>
      <w:r>
        <w:rPr>
          <w:rFonts w:ascii="FangSong" w:hAnsi="FangSong" w:eastAsia="FangSong" w:cs="FangSong"/>
          <w:sz w:val="24"/>
          <w:szCs w:val="24"/>
          <w:spacing w:val="-2"/>
        </w:rPr>
        <w:t>卸扬尘和道路运输扬尘。</w:t>
      </w:r>
    </w:p>
    <w:p>
      <w:pPr>
        <w:ind w:left="514"/>
        <w:spacing w:before="2"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）堆场扬尘</w:t>
      </w:r>
    </w:p>
    <w:p>
      <w:pPr>
        <w:ind w:left="27" w:firstLine="483"/>
        <w:spacing w:before="180" w:line="360" w:lineRule="auto"/>
        <w:rPr>
          <w:rFonts w:ascii="FangSong" w:hAnsi="FangSong" w:eastAsia="FangSong" w:cs="FangSong"/>
          <w:sz w:val="24"/>
          <w:szCs w:val="24"/>
        </w:rPr>
      </w:pPr>
      <w:r>
        <w:rPr>
          <w:rFonts w:ascii="FangSong" w:hAnsi="FangSong" w:eastAsia="FangSong" w:cs="FangSong"/>
          <w:sz w:val="24"/>
          <w:szCs w:val="24"/>
          <w:spacing w:val="-3"/>
        </w:rPr>
        <w:t>项目在工业广场内设置一座原矿堆场、一座尾</w:t>
      </w:r>
      <w:r>
        <w:rPr>
          <w:rFonts w:ascii="FangSong" w:hAnsi="FangSong" w:eastAsia="FangSong" w:cs="FangSong"/>
          <w:sz w:val="24"/>
          <w:szCs w:val="24"/>
          <w:spacing w:val="-4"/>
        </w:rPr>
        <w:t>矿临时堆场、一座成品库以及</w:t>
      </w:r>
      <w:r>
        <w:rPr>
          <w:rFonts w:ascii="FangSong" w:hAnsi="FangSong" w:eastAsia="FangSong" w:cs="FangSong"/>
          <w:sz w:val="24"/>
          <w:szCs w:val="24"/>
          <w:spacing w:val="-7"/>
        </w:rPr>
        <w:t>一座表土堆场，项目建设的堆场均采用素混凝土地面</w:t>
      </w:r>
      <w:r>
        <w:rPr>
          <w:rFonts w:ascii="FangSong" w:hAnsi="FangSong" w:eastAsia="FangSong" w:cs="FangSong"/>
          <w:sz w:val="24"/>
          <w:szCs w:val="24"/>
          <w:spacing w:val="-8"/>
        </w:rPr>
        <w:t>基础、全封闭彩钢结构建设。</w:t>
      </w:r>
      <w:r>
        <w:rPr>
          <w:rFonts w:ascii="FangSong" w:hAnsi="FangSong" w:eastAsia="FangSong" w:cs="FangSong"/>
          <w:sz w:val="24"/>
          <w:szCs w:val="24"/>
          <w:spacing w:val="-3"/>
        </w:rPr>
        <w:t>同时对本项目项目各堆场内的物料采用苫布覆盖，并在堆场及周围设置洒</w:t>
      </w:r>
      <w:r>
        <w:rPr>
          <w:rFonts w:ascii="FangSong" w:hAnsi="FangSong" w:eastAsia="FangSong" w:cs="FangSong"/>
          <w:sz w:val="24"/>
          <w:szCs w:val="24"/>
          <w:spacing w:val="-4"/>
        </w:rPr>
        <w:t>水抑尘</w:t>
      </w:r>
      <w:r>
        <w:rPr>
          <w:rFonts w:ascii="FangSong" w:hAnsi="FangSong" w:eastAsia="FangSong" w:cs="FangSong"/>
          <w:sz w:val="24"/>
          <w:szCs w:val="24"/>
          <w:spacing w:val="-3"/>
        </w:rPr>
        <w:t>装置有风、干燥情况下，定时洒水，洒水次数根据天气情况而定，干燥大</w:t>
      </w:r>
      <w:r>
        <w:rPr>
          <w:rFonts w:ascii="FangSong" w:hAnsi="FangSong" w:eastAsia="FangSong" w:cs="FangSong"/>
          <w:sz w:val="24"/>
          <w:szCs w:val="24"/>
          <w:spacing w:val="-4"/>
        </w:rPr>
        <w:t>风天气</w:t>
      </w:r>
      <w:r>
        <w:rPr>
          <w:rFonts w:ascii="FangSong" w:hAnsi="FangSong" w:eastAsia="FangSong" w:cs="FangSong"/>
          <w:sz w:val="24"/>
          <w:szCs w:val="24"/>
          <w:spacing w:val="-1"/>
        </w:rPr>
        <w:t>多洒水，多雨时可适当减少酒水次数，使堆场表面保持一定水分，以控制扬尘，</w:t>
      </w:r>
      <w:r>
        <w:rPr>
          <w:rFonts w:ascii="FangSong" w:hAnsi="FangSong" w:eastAsia="FangSong" w:cs="FangSong"/>
          <w:sz w:val="24"/>
          <w:szCs w:val="24"/>
          <w:spacing w:val="1"/>
        </w:rPr>
        <w:t>产生的无组织废气颗粒物经上文预测分析，最大排放浓度为</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1"/>
        </w:rPr>
        <w:t>0.086</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 </w:t>
      </w:r>
      <w:r>
        <w:rPr>
          <w:rFonts w:ascii="FangSong" w:hAnsi="FangSong" w:eastAsia="FangSong" w:cs="FangSong"/>
          <w:sz w:val="24"/>
          <w:szCs w:val="24"/>
          <w:spacing w:val="1"/>
        </w:rPr>
        <w:t>，下风</w:t>
      </w:r>
      <w:r>
        <w:rPr>
          <w:rFonts w:ascii="FangSong" w:hAnsi="FangSong" w:eastAsia="FangSong" w:cs="FangSong"/>
          <w:sz w:val="24"/>
          <w:szCs w:val="24"/>
          <w:spacing w:val="-3"/>
        </w:rPr>
        <w:t>向最大浓度出现距离为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41m</w:t>
      </w:r>
      <w:r>
        <w:rPr>
          <w:rFonts w:ascii="FangSong" w:hAnsi="FangSong" w:eastAsia="FangSong" w:cs="FangSong"/>
          <w:sz w:val="24"/>
          <w:szCs w:val="24"/>
          <w:spacing w:val="-3"/>
        </w:rPr>
        <w:t>，位于厂区内，故项目厂界</w:t>
      </w:r>
      <w:r>
        <w:rPr>
          <w:rFonts w:ascii="FangSong" w:hAnsi="FangSong" w:eastAsia="FangSong" w:cs="FangSong"/>
          <w:sz w:val="24"/>
          <w:szCs w:val="24"/>
          <w:spacing w:val="-4"/>
        </w:rPr>
        <w:t>处无组织废气颗粒物能够</w:t>
      </w:r>
      <w:r>
        <w:rPr>
          <w:rFonts w:ascii="FangSong" w:hAnsi="FangSong" w:eastAsia="FangSong" w:cs="FangSong"/>
          <w:sz w:val="24"/>
          <w:szCs w:val="24"/>
          <w:spacing w:val="1"/>
        </w:rPr>
        <w:t>满足《大气污染物综合排放标准》（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16297-1996</w:t>
      </w:r>
      <w:r>
        <w:rPr>
          <w:rFonts w:ascii="FangSong" w:hAnsi="FangSong" w:eastAsia="FangSong" w:cs="FangSong"/>
          <w:sz w:val="24"/>
          <w:szCs w:val="24"/>
          <w:spacing w:val="1"/>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新污染源大气污染物</w:t>
      </w:r>
      <w:r>
        <w:rPr>
          <w:rFonts w:ascii="FangSong" w:hAnsi="FangSong" w:eastAsia="FangSong" w:cs="FangSong"/>
          <w:sz w:val="24"/>
          <w:szCs w:val="24"/>
          <w:spacing w:val="-2"/>
        </w:rPr>
        <w:t>排放限值中无组织排放标准。</w:t>
      </w:r>
    </w:p>
    <w:p>
      <w:pPr>
        <w:spacing w:line="360" w:lineRule="auto"/>
        <w:sectPr>
          <w:footerReference w:type="default" r:id="rId341"/>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firstLine="480"/>
        <w:spacing w:before="78" w:line="360" w:lineRule="auto"/>
        <w:jc w:val="both"/>
        <w:rPr>
          <w:rFonts w:ascii="FangSong" w:hAnsi="FangSong" w:eastAsia="FangSong" w:cs="FangSong"/>
          <w:sz w:val="24"/>
          <w:szCs w:val="24"/>
        </w:rPr>
      </w:pPr>
      <w:r>
        <w:rPr>
          <w:rFonts w:ascii="FangSong" w:hAnsi="FangSong" w:eastAsia="FangSong" w:cs="FangSong"/>
          <w:sz w:val="24"/>
          <w:szCs w:val="24"/>
          <w:spacing w:val="-5"/>
        </w:rPr>
        <w:t>项目采用定期洒水降尘、苦布遮盖以及封闭建设等措施均为常见的抑尘措施，</w:t>
      </w:r>
      <w:r>
        <w:rPr>
          <w:rFonts w:ascii="FangSong" w:hAnsi="FangSong" w:eastAsia="FangSong" w:cs="FangSong"/>
          <w:sz w:val="24"/>
          <w:szCs w:val="24"/>
          <w:spacing w:val="-3"/>
        </w:rPr>
        <w:t>均为《大气可吸入颗粒物一次源排放清单编制技术指南（试行）》</w:t>
      </w:r>
      <w:r>
        <w:rPr>
          <w:rFonts w:ascii="FangSong" w:hAnsi="FangSong" w:eastAsia="FangSong" w:cs="FangSong"/>
          <w:sz w:val="24"/>
          <w:szCs w:val="24"/>
          <w:spacing w:val="-4"/>
        </w:rPr>
        <w:t>和《扬尘源颗</w:t>
      </w:r>
      <w:r>
        <w:rPr>
          <w:rFonts w:ascii="FangSong" w:hAnsi="FangSong" w:eastAsia="FangSong" w:cs="FangSong"/>
          <w:sz w:val="24"/>
          <w:szCs w:val="24"/>
          <w:spacing w:val="-1"/>
        </w:rPr>
        <w:t>粒物排放清单编制技术指南》中推荐措施。</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）选矿工艺废气</w:t>
      </w:r>
    </w:p>
    <w:p>
      <w:pPr>
        <w:ind w:left="502"/>
        <w:spacing w:before="176" w:line="222"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14"/>
        </w:rPr>
        <w:t xml:space="preserve"> </w:t>
      </w:r>
      <w:r>
        <w:rPr>
          <w:rFonts w:ascii="FangSong" w:hAnsi="FangSong" w:eastAsia="FangSong" w:cs="FangSong"/>
          <w:sz w:val="24"/>
          <w:szCs w:val="24"/>
          <w:spacing w:val="-4"/>
        </w:rPr>
        <w:t>有组织废气</w:t>
      </w:r>
    </w:p>
    <w:p>
      <w:pPr>
        <w:ind w:left="30" w:right="185" w:firstLine="480"/>
        <w:spacing w:before="176" w:line="360" w:lineRule="auto"/>
        <w:rPr>
          <w:rFonts w:ascii="FangSong" w:hAnsi="FangSong" w:eastAsia="FangSong" w:cs="FangSong"/>
          <w:sz w:val="24"/>
          <w:szCs w:val="24"/>
        </w:rPr>
      </w:pPr>
      <w:r>
        <w:rPr>
          <w:rFonts w:ascii="FangSong" w:hAnsi="FangSong" w:eastAsia="FangSong" w:cs="FangSong"/>
          <w:sz w:val="24"/>
          <w:szCs w:val="24"/>
          <w:spacing w:val="-3"/>
        </w:rPr>
        <w:t>本项目对选矿破碎（粗碎、细碎）、筛分及粉</w:t>
      </w:r>
      <w:r>
        <w:rPr>
          <w:rFonts w:ascii="FangSong" w:hAnsi="FangSong" w:eastAsia="FangSong" w:cs="FangSong"/>
          <w:sz w:val="24"/>
          <w:szCs w:val="24"/>
          <w:spacing w:val="-4"/>
        </w:rPr>
        <w:t>矿仓转运产生的废气均设置了</w:t>
      </w:r>
      <w:r>
        <w:rPr>
          <w:rFonts w:ascii="FangSong" w:hAnsi="FangSong" w:eastAsia="FangSong" w:cs="FangSong"/>
          <w:sz w:val="24"/>
          <w:szCs w:val="24"/>
          <w:spacing w:val="15"/>
        </w:rPr>
        <w:t>集气罩</w:t>
      </w:r>
      <w:r>
        <w:rPr>
          <w:rFonts w:ascii="FangSong" w:hAnsi="FangSong" w:eastAsia="FangSong" w:cs="FangSong"/>
          <w:sz w:val="24"/>
          <w:szCs w:val="24"/>
          <w:spacing w:val="-68"/>
        </w:rPr>
        <w:t xml:space="preserve"> </w:t>
      </w:r>
      <w:r>
        <w:rPr>
          <w:rFonts w:ascii="FangSong" w:hAnsi="FangSong" w:eastAsia="FangSong" w:cs="FangSong"/>
          <w:sz w:val="24"/>
          <w:szCs w:val="24"/>
          <w:spacing w:val="15"/>
        </w:rPr>
        <w:t>，集气罩收集的废气通过管道分别引入各</w:t>
      </w:r>
      <w:r>
        <w:rPr>
          <w:rFonts w:ascii="FangSong" w:hAnsi="FangSong" w:eastAsia="FangSong" w:cs="FangSong"/>
          <w:sz w:val="24"/>
          <w:szCs w:val="24"/>
          <w:spacing w:val="-37"/>
        </w:rPr>
        <w:t xml:space="preserve"> </w:t>
      </w:r>
      <w:r>
        <w:rPr>
          <w:rFonts w:ascii="FangSong" w:hAnsi="FangSong" w:eastAsia="FangSong" w:cs="FangSong"/>
          <w:sz w:val="24"/>
          <w:szCs w:val="24"/>
          <w:spacing w:val="15"/>
        </w:rPr>
        <w:t>自车间的</w:t>
      </w:r>
      <w:r>
        <w:rPr>
          <w:rFonts w:ascii="FangSong" w:hAnsi="FangSong" w:eastAsia="FangSong" w:cs="FangSong"/>
          <w:sz w:val="24"/>
          <w:szCs w:val="24"/>
          <w:spacing w:val="14"/>
        </w:rPr>
        <w:t>布袋除尘器处理</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TA001</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TA002</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TA003</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TA00</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6"/>
        </w:rPr>
        <w:t>，处理效率均为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6"/>
        </w:rPr>
        <w:t>98%</w:t>
      </w:r>
      <w:r>
        <w:rPr>
          <w:rFonts w:ascii="FangSong" w:hAnsi="FangSong" w:eastAsia="FangSong" w:cs="FangSong"/>
          <w:sz w:val="24"/>
          <w:szCs w:val="24"/>
          <w:spacing w:val="-6"/>
        </w:rPr>
        <w:t>）后，经</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6"/>
        </w:rPr>
        <w:t>15m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6"/>
        </w:rPr>
        <w:t>高排气筒</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DA002</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DA004</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DA005</w:t>
      </w:r>
      <w:r>
        <w:rPr>
          <w:rFonts w:ascii="FangSong" w:hAnsi="FangSong" w:eastAsia="FangSong" w:cs="FangSong"/>
          <w:sz w:val="24"/>
          <w:szCs w:val="24"/>
          <w:spacing w:val="-4"/>
        </w:rPr>
        <w:t>）达标排放，经计算，破碎、筛分、粉矿仓</w:t>
      </w:r>
      <w:r>
        <w:rPr>
          <w:rFonts w:ascii="FangSong" w:hAnsi="FangSong" w:eastAsia="FangSong" w:cs="FangSong"/>
          <w:sz w:val="24"/>
          <w:szCs w:val="24"/>
          <w:spacing w:val="19"/>
        </w:rPr>
        <w:t>转运过程有组织颗粒物和氟化物排放浓度最大为粗破碎车间产生的分</w:t>
      </w:r>
      <w:r>
        <w:rPr>
          <w:rFonts w:ascii="FangSong" w:hAnsi="FangSong" w:eastAsia="FangSong" w:cs="FangSong"/>
          <w:sz w:val="24"/>
          <w:szCs w:val="24"/>
          <w:spacing w:val="18"/>
        </w:rPr>
        <w:t>别为</w:t>
      </w:r>
      <w:r>
        <w:rPr>
          <w:rFonts w:ascii="Times New Roman" w:hAnsi="Times New Roman" w:eastAsia="Times New Roman" w:cs="Times New Roman"/>
          <w:sz w:val="24"/>
          <w:szCs w:val="24"/>
          <w:spacing w:val="-7"/>
        </w:rPr>
        <w:t>10.945mg/m</w:t>
      </w:r>
      <w:r>
        <w:rPr>
          <w:rFonts w:ascii="Times New Roman" w:hAnsi="Times New Roman" w:eastAsia="Times New Roman" w:cs="Times New Roman"/>
          <w:sz w:val="15"/>
          <w:szCs w:val="15"/>
          <w:spacing w:val="-7"/>
          <w:position w:val="7"/>
        </w:rPr>
        <w:t>3   </w:t>
      </w:r>
      <w:r>
        <w:rPr>
          <w:rFonts w:ascii="FangSong" w:hAnsi="FangSong" w:eastAsia="FangSong" w:cs="FangSong"/>
          <w:sz w:val="24"/>
          <w:szCs w:val="24"/>
          <w:spacing w:val="-7"/>
        </w:rPr>
        <w:t>和</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7.512mg/m</w:t>
      </w:r>
      <w:r>
        <w:rPr>
          <w:rFonts w:ascii="Times New Roman" w:hAnsi="Times New Roman" w:eastAsia="Times New Roman" w:cs="Times New Roman"/>
          <w:sz w:val="15"/>
          <w:szCs w:val="15"/>
          <w:spacing w:val="-7"/>
          <w:position w:val="7"/>
        </w:rPr>
        <w:t>3   </w:t>
      </w:r>
      <w:r>
        <w:rPr>
          <w:rFonts w:ascii="FangSong" w:hAnsi="FangSong" w:eastAsia="FangSong" w:cs="FangSong"/>
          <w:sz w:val="24"/>
          <w:szCs w:val="24"/>
          <w:spacing w:val="-7"/>
        </w:rPr>
        <w:t>，</w:t>
      </w:r>
      <w:r>
        <w:rPr>
          <w:rFonts w:ascii="FangSong" w:hAnsi="FangSong" w:eastAsia="FangSong" w:cs="FangSong"/>
          <w:sz w:val="24"/>
          <w:szCs w:val="24"/>
          <w:spacing w:val="-45"/>
        </w:rPr>
        <w:t xml:space="preserve"> </w:t>
      </w:r>
      <w:r>
        <w:rPr>
          <w:rFonts w:ascii="FangSong" w:hAnsi="FangSong" w:eastAsia="FangSong" w:cs="FangSong"/>
          <w:sz w:val="24"/>
          <w:szCs w:val="24"/>
          <w:spacing w:val="-8"/>
        </w:rPr>
        <w:t>均</w:t>
      </w:r>
      <w:r>
        <w:rPr>
          <w:rFonts w:ascii="FangSong" w:hAnsi="FangSong" w:eastAsia="FangSong" w:cs="FangSong"/>
          <w:sz w:val="24"/>
          <w:szCs w:val="24"/>
          <w:spacing w:val="-30"/>
        </w:rPr>
        <w:t xml:space="preserve"> </w:t>
      </w:r>
      <w:r>
        <w:rPr>
          <w:rFonts w:ascii="FangSong" w:hAnsi="FangSong" w:eastAsia="FangSong" w:cs="FangSong"/>
          <w:sz w:val="24"/>
          <w:szCs w:val="24"/>
          <w:spacing w:val="-8"/>
        </w:rPr>
        <w:t>能</w:t>
      </w:r>
      <w:r>
        <w:rPr>
          <w:rFonts w:ascii="FangSong" w:hAnsi="FangSong" w:eastAsia="FangSong" w:cs="FangSong"/>
          <w:sz w:val="24"/>
          <w:szCs w:val="24"/>
          <w:spacing w:val="-45"/>
        </w:rPr>
        <w:t xml:space="preserve"> </w:t>
      </w:r>
      <w:r>
        <w:rPr>
          <w:rFonts w:ascii="FangSong" w:hAnsi="FangSong" w:eastAsia="FangSong" w:cs="FangSong"/>
          <w:sz w:val="24"/>
          <w:szCs w:val="24"/>
          <w:spacing w:val="-8"/>
        </w:rPr>
        <w:t>满</w:t>
      </w:r>
      <w:r>
        <w:rPr>
          <w:rFonts w:ascii="FangSong" w:hAnsi="FangSong" w:eastAsia="FangSong" w:cs="FangSong"/>
          <w:sz w:val="24"/>
          <w:szCs w:val="24"/>
          <w:spacing w:val="-45"/>
        </w:rPr>
        <w:t xml:space="preserve"> </w:t>
      </w:r>
      <w:r>
        <w:rPr>
          <w:rFonts w:ascii="FangSong" w:hAnsi="FangSong" w:eastAsia="FangSong" w:cs="FangSong"/>
          <w:sz w:val="24"/>
          <w:szCs w:val="24"/>
          <w:spacing w:val="-8"/>
        </w:rPr>
        <w:t>足</w:t>
      </w:r>
      <w:r>
        <w:rPr>
          <w:rFonts w:ascii="FangSong" w:hAnsi="FangSong" w:eastAsia="FangSong" w:cs="FangSong"/>
          <w:sz w:val="24"/>
          <w:szCs w:val="24"/>
          <w:spacing w:val="-63"/>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大</w:t>
      </w:r>
      <w:r>
        <w:rPr>
          <w:rFonts w:ascii="FangSong" w:hAnsi="FangSong" w:eastAsia="FangSong" w:cs="FangSong"/>
          <w:sz w:val="24"/>
          <w:szCs w:val="24"/>
          <w:spacing w:val="-34"/>
        </w:rPr>
        <w:t xml:space="preserve"> </w:t>
      </w:r>
      <w:r>
        <w:rPr>
          <w:rFonts w:ascii="FangSong" w:hAnsi="FangSong" w:eastAsia="FangSong" w:cs="FangSong"/>
          <w:sz w:val="24"/>
          <w:szCs w:val="24"/>
          <w:spacing w:val="-8"/>
        </w:rPr>
        <w:t>气</w:t>
      </w:r>
      <w:r>
        <w:rPr>
          <w:rFonts w:ascii="FangSong" w:hAnsi="FangSong" w:eastAsia="FangSong" w:cs="FangSong"/>
          <w:sz w:val="24"/>
          <w:szCs w:val="24"/>
          <w:spacing w:val="-42"/>
        </w:rPr>
        <w:t xml:space="preserve"> </w:t>
      </w:r>
      <w:r>
        <w:rPr>
          <w:rFonts w:ascii="FangSong" w:hAnsi="FangSong" w:eastAsia="FangSong" w:cs="FangSong"/>
          <w:sz w:val="24"/>
          <w:szCs w:val="24"/>
          <w:spacing w:val="-8"/>
        </w:rPr>
        <w:t>污</w:t>
      </w:r>
      <w:r>
        <w:rPr>
          <w:rFonts w:ascii="FangSong" w:hAnsi="FangSong" w:eastAsia="FangSong" w:cs="FangSong"/>
          <w:sz w:val="24"/>
          <w:szCs w:val="24"/>
          <w:spacing w:val="-41"/>
        </w:rPr>
        <w:t xml:space="preserve"> </w:t>
      </w:r>
      <w:r>
        <w:rPr>
          <w:rFonts w:ascii="FangSong" w:hAnsi="FangSong" w:eastAsia="FangSong" w:cs="FangSong"/>
          <w:sz w:val="24"/>
          <w:szCs w:val="24"/>
          <w:spacing w:val="-8"/>
        </w:rPr>
        <w:t>染</w:t>
      </w:r>
      <w:r>
        <w:rPr>
          <w:rFonts w:ascii="FangSong" w:hAnsi="FangSong" w:eastAsia="FangSong" w:cs="FangSong"/>
          <w:sz w:val="24"/>
          <w:szCs w:val="24"/>
          <w:spacing w:val="-46"/>
        </w:rPr>
        <w:t xml:space="preserve"> </w:t>
      </w:r>
      <w:r>
        <w:rPr>
          <w:rFonts w:ascii="FangSong" w:hAnsi="FangSong" w:eastAsia="FangSong" w:cs="FangSong"/>
          <w:sz w:val="24"/>
          <w:szCs w:val="24"/>
          <w:spacing w:val="-18"/>
        </w:rPr>
        <w:t>物</w:t>
      </w:r>
      <w:r>
        <w:rPr>
          <w:rFonts w:ascii="FangSong" w:hAnsi="FangSong" w:eastAsia="FangSong" w:cs="FangSong"/>
          <w:sz w:val="24"/>
          <w:szCs w:val="24"/>
          <w:spacing w:val="-41"/>
        </w:rPr>
        <w:t xml:space="preserve"> </w:t>
      </w:r>
      <w:r>
        <w:rPr>
          <w:rFonts w:ascii="FangSong" w:hAnsi="FangSong" w:eastAsia="FangSong" w:cs="FangSong"/>
          <w:sz w:val="24"/>
          <w:szCs w:val="24"/>
          <w:spacing w:val="-18"/>
        </w:rPr>
        <w:t>综</w:t>
      </w:r>
      <w:r>
        <w:rPr>
          <w:rFonts w:ascii="FangSong" w:hAnsi="FangSong" w:eastAsia="FangSong" w:cs="FangSong"/>
          <w:sz w:val="24"/>
          <w:szCs w:val="24"/>
          <w:spacing w:val="-40"/>
        </w:rPr>
        <w:t xml:space="preserve"> </w:t>
      </w:r>
      <w:r>
        <w:rPr>
          <w:rFonts w:ascii="FangSong" w:hAnsi="FangSong" w:eastAsia="FangSong" w:cs="FangSong"/>
          <w:sz w:val="24"/>
          <w:szCs w:val="24"/>
          <w:spacing w:val="-18"/>
        </w:rPr>
        <w:t>合</w:t>
      </w:r>
      <w:r>
        <w:rPr>
          <w:rFonts w:ascii="FangSong" w:hAnsi="FangSong" w:eastAsia="FangSong" w:cs="FangSong"/>
          <w:sz w:val="24"/>
          <w:szCs w:val="24"/>
          <w:spacing w:val="-49"/>
        </w:rPr>
        <w:t xml:space="preserve"> </w:t>
      </w:r>
      <w:r>
        <w:rPr>
          <w:rFonts w:ascii="FangSong" w:hAnsi="FangSong" w:eastAsia="FangSong" w:cs="FangSong"/>
          <w:sz w:val="24"/>
          <w:szCs w:val="24"/>
          <w:spacing w:val="-18"/>
        </w:rPr>
        <w:t>排</w:t>
      </w:r>
      <w:r>
        <w:rPr>
          <w:rFonts w:ascii="FangSong" w:hAnsi="FangSong" w:eastAsia="FangSong" w:cs="FangSong"/>
          <w:sz w:val="24"/>
          <w:szCs w:val="24"/>
          <w:spacing w:val="-44"/>
        </w:rPr>
        <w:t xml:space="preserve"> </w:t>
      </w:r>
      <w:r>
        <w:rPr>
          <w:rFonts w:ascii="FangSong" w:hAnsi="FangSong" w:eastAsia="FangSong" w:cs="FangSong"/>
          <w:sz w:val="24"/>
          <w:szCs w:val="24"/>
          <w:spacing w:val="-18"/>
        </w:rPr>
        <w:t>放</w:t>
      </w:r>
      <w:r>
        <w:rPr>
          <w:rFonts w:ascii="FangSong" w:hAnsi="FangSong" w:eastAsia="FangSong" w:cs="FangSong"/>
          <w:sz w:val="24"/>
          <w:szCs w:val="24"/>
          <w:spacing w:val="-47"/>
        </w:rPr>
        <w:t xml:space="preserve"> </w:t>
      </w:r>
      <w:r>
        <w:rPr>
          <w:rFonts w:ascii="FangSong" w:hAnsi="FangSong" w:eastAsia="FangSong" w:cs="FangSong"/>
          <w:sz w:val="24"/>
          <w:szCs w:val="24"/>
          <w:spacing w:val="-18"/>
        </w:rPr>
        <w:t>标</w:t>
      </w:r>
      <w:r>
        <w:rPr>
          <w:rFonts w:ascii="FangSong" w:hAnsi="FangSong" w:eastAsia="FangSong" w:cs="FangSong"/>
          <w:sz w:val="24"/>
          <w:szCs w:val="24"/>
          <w:spacing w:val="-41"/>
        </w:rPr>
        <w:t xml:space="preserve"> </w:t>
      </w:r>
      <w:r>
        <w:rPr>
          <w:rFonts w:ascii="FangSong" w:hAnsi="FangSong" w:eastAsia="FangSong" w:cs="FangSong"/>
          <w:sz w:val="24"/>
          <w:szCs w:val="24"/>
          <w:spacing w:val="-18"/>
        </w:rPr>
        <w:t>准</w:t>
      </w:r>
      <w:r>
        <w:rPr>
          <w:rFonts w:ascii="FangSong" w:hAnsi="FangSong" w:eastAsia="FangSong" w:cs="FangSong"/>
          <w:sz w:val="24"/>
          <w:szCs w:val="24"/>
          <w:spacing w:val="-40"/>
        </w:rPr>
        <w:t xml:space="preserve"> </w:t>
      </w:r>
      <w:r>
        <w:rPr>
          <w:rFonts w:ascii="FangSong" w:hAnsi="FangSong" w:eastAsia="FangSong" w:cs="FangSong"/>
          <w:sz w:val="24"/>
          <w:szCs w:val="24"/>
          <w:spacing w:val="-18"/>
        </w:rPr>
        <w:t>》</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GB16297-1996</w:t>
      </w:r>
      <w:r>
        <w:rPr>
          <w:rFonts w:ascii="FangSong" w:hAnsi="FangSong" w:eastAsia="FangSong" w:cs="FangSong"/>
          <w:sz w:val="24"/>
          <w:szCs w:val="24"/>
          <w:spacing w:val="-1"/>
        </w:rPr>
        <w:t>）表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1"/>
        </w:rPr>
        <w:t>新污染源大气污染物排放限值中二</w:t>
      </w:r>
      <w:r>
        <w:rPr>
          <w:rFonts w:ascii="FangSong" w:hAnsi="FangSong" w:eastAsia="FangSong" w:cs="FangSong"/>
          <w:sz w:val="24"/>
          <w:szCs w:val="24"/>
          <w:spacing w:val="-2"/>
        </w:rPr>
        <w:t>级标准。</w:t>
      </w:r>
    </w:p>
    <w:p>
      <w:pPr>
        <w:ind w:left="27" w:right="120" w:firstLine="483"/>
        <w:spacing w:before="3" w:line="360" w:lineRule="auto"/>
        <w:jc w:val="both"/>
        <w:rPr>
          <w:rFonts w:ascii="FangSong" w:hAnsi="FangSong" w:eastAsia="FangSong" w:cs="FangSong"/>
          <w:sz w:val="24"/>
          <w:szCs w:val="24"/>
        </w:rPr>
      </w:pPr>
      <w:r>
        <w:rPr>
          <w:rFonts w:ascii="FangSong" w:hAnsi="FangSong" w:eastAsia="FangSong" w:cs="FangSong"/>
          <w:sz w:val="24"/>
          <w:szCs w:val="24"/>
          <w:spacing w:val="-4"/>
        </w:rPr>
        <w:t>项目采用的“袋式除尘技术</w:t>
      </w:r>
      <w:r>
        <w:rPr>
          <w:rFonts w:ascii="FangSong" w:hAnsi="FangSong" w:eastAsia="FangSong" w:cs="FangSong"/>
          <w:sz w:val="24"/>
          <w:szCs w:val="24"/>
          <w:spacing w:val="-88"/>
        </w:rPr>
        <w:t xml:space="preserve"> </w:t>
      </w:r>
      <w:r>
        <w:rPr>
          <w:rFonts w:ascii="FangSong" w:hAnsi="FangSong" w:eastAsia="FangSong" w:cs="FangSong"/>
          <w:sz w:val="24"/>
          <w:szCs w:val="24"/>
          <w:spacing w:val="-4"/>
        </w:rPr>
        <w:t>”为行业采选矿工艺</w:t>
      </w:r>
      <w:r>
        <w:rPr>
          <w:rFonts w:ascii="FangSong" w:hAnsi="FangSong" w:eastAsia="FangSong" w:cs="FangSong"/>
          <w:sz w:val="24"/>
          <w:szCs w:val="24"/>
          <w:spacing w:val="-5"/>
        </w:rPr>
        <w:t>大气污染物防治最佳可行技</w:t>
      </w:r>
      <w:r>
        <w:rPr>
          <w:rFonts w:ascii="FangSong" w:hAnsi="FangSong" w:eastAsia="FangSong" w:cs="FangSong"/>
          <w:sz w:val="24"/>
          <w:szCs w:val="24"/>
          <w:spacing w:val="3"/>
        </w:rPr>
        <w:t>术。布袋除尘系统装置工作原理：袋式除尘器的技术特点是除尘</w:t>
      </w:r>
      <w:r>
        <w:rPr>
          <w:rFonts w:ascii="FangSong" w:hAnsi="FangSong" w:eastAsia="FangSong" w:cs="FangSong"/>
          <w:sz w:val="24"/>
          <w:szCs w:val="24"/>
          <w:spacing w:val="2"/>
        </w:rPr>
        <w:t>效率高达</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98%</w:t>
      </w:r>
      <w:r>
        <w:rPr>
          <w:rFonts w:ascii="FangSong" w:hAnsi="FangSong" w:eastAsia="FangSong" w:cs="FangSong"/>
          <w:sz w:val="24"/>
          <w:szCs w:val="24"/>
          <w:spacing w:val="-3"/>
        </w:rPr>
        <w:t>以上，对于亚微米级的细粉尘，它具有很高的分辨率。它的适用范围很广</w:t>
      </w:r>
      <w:r>
        <w:rPr>
          <w:rFonts w:ascii="FangSong" w:hAnsi="FangSong" w:eastAsia="FangSong" w:cs="FangSong"/>
          <w:sz w:val="24"/>
          <w:szCs w:val="24"/>
          <w:spacing w:val="-4"/>
        </w:rPr>
        <w:t>。当含</w:t>
      </w:r>
      <w:r>
        <w:rPr>
          <w:rFonts w:ascii="FangSong" w:hAnsi="FangSong" w:eastAsia="FangSong" w:cs="FangSong"/>
          <w:sz w:val="24"/>
          <w:szCs w:val="24"/>
          <w:spacing w:val="-3"/>
        </w:rPr>
        <w:t>尘气体通过滤材料时灰尘被阻塞在表面上，并且清洁空气通过过滤材料的</w:t>
      </w:r>
      <w:r>
        <w:rPr>
          <w:rFonts w:ascii="FangSong" w:hAnsi="FangSong" w:eastAsia="FangSong" w:cs="FangSong"/>
          <w:sz w:val="24"/>
          <w:szCs w:val="24"/>
          <w:spacing w:val="-4"/>
        </w:rPr>
        <w:t>间隙排</w:t>
      </w:r>
      <w:r>
        <w:rPr>
          <w:rFonts w:ascii="FangSong" w:hAnsi="FangSong" w:eastAsia="FangSong" w:cs="FangSong"/>
          <w:sz w:val="24"/>
          <w:szCs w:val="24"/>
          <w:spacing w:val="-3"/>
        </w:rPr>
        <w:t>出。空气过滤技术是布袋除尘器的基本原理。当前用于空气过滤的主要包</w:t>
      </w:r>
      <w:r>
        <w:rPr>
          <w:rFonts w:ascii="FangSong" w:hAnsi="FangSong" w:eastAsia="FangSong" w:cs="FangSong"/>
          <w:sz w:val="24"/>
          <w:szCs w:val="24"/>
          <w:spacing w:val="-4"/>
        </w:rPr>
        <w:t>括纤维</w:t>
      </w:r>
      <w:r>
        <w:rPr>
          <w:rFonts w:ascii="FangSong" w:hAnsi="FangSong" w:eastAsia="FangSong" w:cs="FangSong"/>
          <w:sz w:val="24"/>
          <w:szCs w:val="24"/>
          <w:spacing w:val="-8"/>
        </w:rPr>
        <w:t>过滤，膜过滤和灰尘层过滤。这三种方法可以达到分离气溶胶中固体颗粒的目的，</w:t>
      </w:r>
      <w:r>
        <w:rPr>
          <w:rFonts w:ascii="FangSong" w:hAnsi="FangSong" w:eastAsia="FangSong" w:cs="FangSong"/>
          <w:sz w:val="24"/>
          <w:szCs w:val="24"/>
          <w:spacing w:val="-8"/>
        </w:rPr>
        <w:t>但是它们的分离机理不同。袋式除尘器的结构主要由上、中、下三部和除灰系统，</w:t>
      </w:r>
      <w:r>
        <w:rPr>
          <w:rFonts w:ascii="FangSong" w:hAnsi="FangSong" w:eastAsia="FangSong" w:cs="FangSong"/>
          <w:sz w:val="24"/>
          <w:szCs w:val="24"/>
          <w:spacing w:val="-3"/>
        </w:rPr>
        <w:t>排灰机构组成。袋过滤器是纤维过滤或膜过滤和粉尘层过滤的组合。其除</w:t>
      </w:r>
      <w:r>
        <w:rPr>
          <w:rFonts w:ascii="FangSong" w:hAnsi="FangSong" w:eastAsia="FangSong" w:cs="FangSong"/>
          <w:sz w:val="24"/>
          <w:szCs w:val="24"/>
          <w:spacing w:val="-4"/>
        </w:rPr>
        <w:t>尘机理</w:t>
      </w:r>
      <w:r>
        <w:rPr>
          <w:rFonts w:ascii="FangSong" w:hAnsi="FangSong" w:eastAsia="FangSong" w:cs="FangSong"/>
          <w:sz w:val="24"/>
          <w:szCs w:val="24"/>
          <w:spacing w:val="-1"/>
        </w:rPr>
        <w:t>是屏蔽、惯性碰撞、钩、扩散、重力沉降和静电的综合作用的结果。</w:t>
      </w:r>
    </w:p>
    <w:p>
      <w:pPr>
        <w:ind w:left="31" w:right="120" w:firstLine="464"/>
        <w:spacing w:before="5" w:line="324"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、筛选效果：当灰尘的粒径大于过滤材料纤维之间的间隙或过滤材料上灰</w:t>
      </w:r>
      <w:r>
        <w:rPr>
          <w:rFonts w:ascii="FangSong" w:hAnsi="FangSong" w:eastAsia="FangSong" w:cs="FangSong"/>
          <w:sz w:val="24"/>
          <w:szCs w:val="24"/>
          <w:spacing w:val="-8"/>
        </w:rPr>
        <w:t>尘之间的孔隙时。灰尘被阻塞并留下，这称为筛选效果。对于常用的织物过滤器，</w:t>
      </w:r>
      <w:r>
        <w:rPr>
          <w:rFonts w:ascii="FangSong" w:hAnsi="FangSong" w:eastAsia="FangSong" w:cs="FangSong"/>
          <w:sz w:val="24"/>
          <w:szCs w:val="24"/>
          <w:spacing w:val="-3"/>
        </w:rPr>
        <w:t>此效果非常小，因为纤维之间的空隙通常大于灰尘颗粒的直径</w:t>
      </w:r>
      <w:r>
        <w:rPr>
          <w:rFonts w:ascii="FangSong" w:hAnsi="FangSong" w:eastAsia="FangSong" w:cs="FangSong"/>
          <w:sz w:val="24"/>
          <w:szCs w:val="24"/>
          <w:spacing w:val="-4"/>
        </w:rPr>
        <w:t>。仅当大量灰尘沉</w:t>
      </w:r>
      <w:r>
        <w:rPr>
          <w:rFonts w:ascii="FangSong" w:hAnsi="FangSong" w:eastAsia="FangSong" w:cs="FangSong"/>
          <w:sz w:val="24"/>
          <w:szCs w:val="24"/>
          <w:spacing w:val="-2"/>
        </w:rPr>
        <w:t>积在织物上时，分效果才能充分发挥。</w:t>
      </w:r>
    </w:p>
    <w:p>
      <w:pPr>
        <w:ind w:left="30" w:right="185" w:firstLine="467"/>
        <w:spacing w:before="184" w:line="314" w:lineRule="auto"/>
        <w:rPr>
          <w:rFonts w:ascii="FangSong" w:hAnsi="FangSong" w:eastAsia="FangSong" w:cs="FangSong"/>
          <w:sz w:val="24"/>
          <w:szCs w:val="24"/>
        </w:rPr>
      </w:pPr>
      <w:r>
        <w:rPr>
          <w:rFonts w:ascii="Times New Roman" w:hAnsi="Times New Roman" w:eastAsia="Times New Roman" w:cs="Times New Roman"/>
          <w:sz w:val="24"/>
          <w:szCs w:val="24"/>
          <w:spacing w:val="-5"/>
        </w:rPr>
        <w:t>B</w:t>
      </w:r>
      <w:r>
        <w:rPr>
          <w:rFonts w:ascii="FangSong" w:hAnsi="FangSong" w:eastAsia="FangSong" w:cs="FangSong"/>
          <w:sz w:val="24"/>
          <w:szCs w:val="24"/>
          <w:spacing w:val="-5"/>
        </w:rPr>
        <w:t>、碰撞作用：当含尘气流靠近过滤纤维时，气流绕过纤维。但</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5"/>
        </w:rPr>
        <w:t>1μm</w:t>
      </w:r>
      <w:r>
        <w:rPr>
          <w:rFonts w:ascii="Times New Roman" w:hAnsi="Times New Roman" w:eastAsia="Times New Roman" w:cs="Times New Roman"/>
          <w:sz w:val="24"/>
          <w:szCs w:val="24"/>
          <w:spacing w:val="41"/>
          <w:w w:val="101"/>
        </w:rPr>
        <w:t xml:space="preserve"> </w:t>
      </w:r>
      <w:r>
        <w:rPr>
          <w:rFonts w:ascii="FangSong" w:hAnsi="FangSong" w:eastAsia="FangSong" w:cs="FangSong"/>
          <w:sz w:val="24"/>
          <w:szCs w:val="24"/>
          <w:spacing w:val="-5"/>
        </w:rPr>
        <w:t>以上的</w:t>
      </w:r>
      <w:r>
        <w:rPr>
          <w:rFonts w:ascii="FangSong" w:hAnsi="FangSong" w:eastAsia="FangSong" w:cs="FangSong"/>
          <w:sz w:val="24"/>
          <w:szCs w:val="24"/>
          <w:spacing w:val="-3"/>
        </w:rPr>
        <w:t>较大颗粒由于惯性而偏离气流流线，并仍保持原始方向。对纤维</w:t>
      </w:r>
      <w:r>
        <w:rPr>
          <w:rFonts w:ascii="FangSong" w:hAnsi="FangSong" w:eastAsia="FangSong" w:cs="FangSong"/>
          <w:sz w:val="24"/>
          <w:szCs w:val="24"/>
          <w:spacing w:val="-4"/>
        </w:rPr>
        <w:t>和灰尘被捕获称</w:t>
      </w:r>
      <w:r>
        <w:rPr>
          <w:rFonts w:ascii="FangSong" w:hAnsi="FangSong" w:eastAsia="FangSong" w:cs="FangSong"/>
          <w:sz w:val="24"/>
          <w:szCs w:val="24"/>
          <w:spacing w:val="-3"/>
        </w:rPr>
        <w:t>为碰撞效应。</w:t>
      </w:r>
    </w:p>
    <w:p>
      <w:pPr>
        <w:ind w:left="502"/>
        <w:spacing w:before="179"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、挂接效果：当含尘气流靠近过滤材料纤维时，</w:t>
      </w:r>
      <w:r>
        <w:rPr>
          <w:rFonts w:ascii="FangSong" w:hAnsi="FangSong" w:eastAsia="FangSong" w:cs="FangSong"/>
          <w:sz w:val="24"/>
          <w:szCs w:val="24"/>
          <w:spacing w:val="-2"/>
        </w:rPr>
        <w:t>细粉尘仍残留在流线中，</w:t>
      </w:r>
    </w:p>
    <w:p>
      <w:pPr>
        <w:spacing w:line="219" w:lineRule="auto"/>
        <w:sectPr>
          <w:footerReference w:type="default" r:id="rId342"/>
          <w:pgSz w:w="11906" w:h="16839"/>
          <w:pgMar w:top="400" w:right="16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203"/>
        <w:spacing w:before="78" w:line="360" w:lineRule="auto"/>
        <w:rPr>
          <w:rFonts w:ascii="FangSong" w:hAnsi="FangSong" w:eastAsia="FangSong" w:cs="FangSong"/>
          <w:sz w:val="24"/>
          <w:szCs w:val="24"/>
        </w:rPr>
      </w:pPr>
      <w:r>
        <w:rPr>
          <w:rFonts w:ascii="FangSong" w:hAnsi="FangSong" w:eastAsia="FangSong" w:cs="FangSong"/>
          <w:sz w:val="24"/>
          <w:szCs w:val="24"/>
          <w:spacing w:val="-3"/>
        </w:rPr>
        <w:t>流线相对紧。如果灰尘颗粒的半径大于从灰尘中心到纤维边缘的距</w:t>
      </w:r>
      <w:r>
        <w:rPr>
          <w:rFonts w:ascii="FangSong" w:hAnsi="FangSong" w:eastAsia="FangSong" w:cs="FangSong"/>
          <w:sz w:val="24"/>
          <w:szCs w:val="24"/>
          <w:spacing w:val="-4"/>
        </w:rPr>
        <w:t>离。则灰尘被</w:t>
      </w:r>
      <w:r>
        <w:rPr>
          <w:rFonts w:ascii="FangSong" w:hAnsi="FangSong" w:eastAsia="FangSong" w:cs="FangSong"/>
          <w:sz w:val="24"/>
          <w:szCs w:val="24"/>
          <w:spacing w:val="-2"/>
        </w:rPr>
        <w:t>捕获，这称为钩挂效应。</w:t>
      </w:r>
    </w:p>
    <w:p>
      <w:pPr>
        <w:ind w:left="28" w:firstLine="469"/>
        <w:spacing w:line="332" w:lineRule="auto"/>
        <w:rPr>
          <w:rFonts w:ascii="FangSong" w:hAnsi="FangSong" w:eastAsia="FangSong" w:cs="FangSong"/>
          <w:sz w:val="24"/>
          <w:szCs w:val="24"/>
        </w:rPr>
      </w:pP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、扩散作用：当尘埃颗粒极小（小于</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0.2μm</w:t>
      </w:r>
      <w:r>
        <w:rPr>
          <w:rFonts w:ascii="FangSong" w:hAnsi="FangSong" w:eastAsia="FangSong" w:cs="FangSong"/>
          <w:sz w:val="24"/>
          <w:szCs w:val="24"/>
          <w:spacing w:val="-1"/>
        </w:rPr>
        <w:t>）时，它们偏离流线并在气体</w:t>
      </w:r>
      <w:r>
        <w:rPr>
          <w:rFonts w:ascii="FangSong" w:hAnsi="FangSong" w:eastAsia="FangSong" w:cs="FangSong"/>
          <w:sz w:val="24"/>
          <w:szCs w:val="24"/>
          <w:spacing w:val="-2"/>
        </w:rPr>
        <w:t>分子的碰撞下不规则移动（也称为热运动或布朗运动</w:t>
      </w:r>
      <w:r>
        <w:rPr>
          <w:rFonts w:ascii="FangSong" w:hAnsi="FangSong" w:eastAsia="FangSong" w:cs="FangSong"/>
          <w:sz w:val="24"/>
          <w:szCs w:val="24"/>
          <w:spacing w:val="-22"/>
        </w:rPr>
        <w:t>），</w:t>
      </w:r>
      <w:r>
        <w:rPr>
          <w:rFonts w:ascii="FangSong" w:hAnsi="FangSong" w:eastAsia="FangSong" w:cs="FangSong"/>
          <w:sz w:val="24"/>
          <w:szCs w:val="24"/>
          <w:spacing w:val="-2"/>
        </w:rPr>
        <w:t>这会增加灰尘和纤</w:t>
      </w:r>
      <w:r>
        <w:rPr>
          <w:rFonts w:ascii="FangSong" w:hAnsi="FangSong" w:eastAsia="FangSong" w:cs="FangSong"/>
          <w:sz w:val="24"/>
          <w:szCs w:val="24"/>
          <w:spacing w:val="-3"/>
        </w:rPr>
        <w:t>维接</w:t>
      </w:r>
      <w:r>
        <w:rPr>
          <w:rFonts w:ascii="FangSong" w:hAnsi="FangSong" w:eastAsia="FangSong" w:cs="FangSong"/>
          <w:sz w:val="24"/>
          <w:szCs w:val="24"/>
          <w:spacing w:val="-5"/>
        </w:rPr>
        <w:t>触灰尘机会。灰尘颗粒越小，运动越剧烈，并</w:t>
      </w:r>
      <w:r>
        <w:rPr>
          <w:rFonts w:ascii="FangSong" w:hAnsi="FangSong" w:eastAsia="FangSong" w:cs="FangSong"/>
          <w:sz w:val="24"/>
          <w:szCs w:val="24"/>
          <w:spacing w:val="-6"/>
        </w:rPr>
        <w:t>且与纤维接触的机会就越多。碰撞，</w:t>
      </w:r>
      <w:r>
        <w:rPr>
          <w:rFonts w:ascii="FangSong" w:hAnsi="FangSong" w:eastAsia="FangSong" w:cs="FangSong"/>
          <w:sz w:val="24"/>
          <w:szCs w:val="24"/>
          <w:spacing w:val="-4"/>
        </w:rPr>
        <w:t>钩挂和扩散效应均随纤维直径的减小而增加，而随过滤材料孔隙率的增加而减</w:t>
      </w:r>
      <w:r>
        <w:rPr>
          <w:rFonts w:ascii="FangSong" w:hAnsi="FangSong" w:eastAsia="FangSong" w:cs="FangSong"/>
          <w:sz w:val="24"/>
          <w:szCs w:val="24"/>
          <w:spacing w:val="-5"/>
        </w:rPr>
        <w:t>小。</w:t>
      </w:r>
      <w:r>
        <w:rPr>
          <w:rFonts w:ascii="FangSong" w:hAnsi="FangSong" w:eastAsia="FangSong" w:cs="FangSong"/>
          <w:sz w:val="24"/>
          <w:szCs w:val="24"/>
        </w:rPr>
        <w:t>因此，使用的过滤器材料纤维越细，纤维越</w:t>
      </w:r>
      <w:r>
        <w:rPr>
          <w:rFonts w:ascii="FangSong" w:hAnsi="FangSong" w:eastAsia="FangSong" w:cs="FangSong"/>
          <w:sz w:val="24"/>
          <w:szCs w:val="24"/>
          <w:spacing w:val="-1"/>
        </w:rPr>
        <w:t>致密，过滤器材料的除尘效率越高。</w:t>
      </w:r>
    </w:p>
    <w:p>
      <w:pPr>
        <w:ind w:left="42" w:right="203" w:firstLine="456"/>
        <w:spacing w:before="181" w:line="291" w:lineRule="auto"/>
        <w:rPr>
          <w:rFonts w:ascii="FangSong" w:hAnsi="FangSong" w:eastAsia="FangSong" w:cs="FangSong"/>
          <w:sz w:val="24"/>
          <w:szCs w:val="24"/>
        </w:rPr>
      </w:pPr>
      <w:r>
        <w:rPr>
          <w:rFonts w:ascii="Times New Roman" w:hAnsi="Times New Roman" w:eastAsia="Times New Roman" w:cs="Times New Roman"/>
          <w:sz w:val="24"/>
          <w:szCs w:val="24"/>
          <w:spacing w:val="-1"/>
        </w:rPr>
        <w:t>E</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、重力沉降：大颗粒，相对密度高的粉尘在重力作用下</w:t>
      </w:r>
      <w:r>
        <w:rPr>
          <w:rFonts w:ascii="FangSong" w:hAnsi="FangSong" w:eastAsia="FangSong" w:cs="FangSong"/>
          <w:sz w:val="24"/>
          <w:szCs w:val="24"/>
          <w:spacing w:val="-2"/>
        </w:rPr>
        <w:t>沉降，与粉尘在沉</w:t>
      </w:r>
      <w:r>
        <w:rPr>
          <w:rFonts w:ascii="FangSong" w:hAnsi="FangSong" w:eastAsia="FangSong" w:cs="FangSong"/>
          <w:sz w:val="24"/>
          <w:szCs w:val="24"/>
          <w:spacing w:val="-3"/>
        </w:rPr>
        <w:t>降室内的运动机理相同。</w:t>
      </w:r>
    </w:p>
    <w:p>
      <w:pPr>
        <w:ind w:left="29" w:right="120" w:firstLine="468"/>
        <w:spacing w:before="180" w:line="313" w:lineRule="auto"/>
        <w:rPr>
          <w:rFonts w:ascii="FangSong" w:hAnsi="FangSong" w:eastAsia="FangSong" w:cs="FangSong"/>
          <w:sz w:val="24"/>
          <w:szCs w:val="24"/>
        </w:rPr>
      </w:pPr>
      <w:r>
        <w:rPr>
          <w:rFonts w:ascii="Times New Roman" w:hAnsi="Times New Roman" w:eastAsia="Times New Roman" w:cs="Times New Roman"/>
          <w:sz w:val="24"/>
          <w:szCs w:val="24"/>
          <w:spacing w:val="-1"/>
        </w:rPr>
        <w:t>F</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
        </w:rPr>
        <w:t>、静电作用：如果灰尘和过滤材料的电荷相反，则灰尘容易吸附在过滤材</w:t>
      </w:r>
      <w:r>
        <w:rPr>
          <w:rFonts w:ascii="FangSong" w:hAnsi="FangSong" w:eastAsia="FangSong" w:cs="FangSong"/>
          <w:sz w:val="24"/>
          <w:szCs w:val="24"/>
          <w:spacing w:val="-3"/>
        </w:rPr>
        <w:t>料上，从而提高了除尘效率，但是吸附的灰尘难以剥离。相反，如果</w:t>
      </w:r>
      <w:r>
        <w:rPr>
          <w:rFonts w:ascii="FangSong" w:hAnsi="FangSong" w:eastAsia="FangSong" w:cs="FangSong"/>
          <w:sz w:val="24"/>
          <w:szCs w:val="24"/>
          <w:spacing w:val="-4"/>
        </w:rPr>
        <w:t>两个电荷相</w:t>
      </w:r>
      <w:r>
        <w:rPr>
          <w:rFonts w:ascii="FangSong" w:hAnsi="FangSong" w:eastAsia="FangSong" w:cs="FangSong"/>
          <w:sz w:val="24"/>
          <w:szCs w:val="24"/>
          <w:spacing w:val="-7"/>
        </w:rPr>
        <w:t>同，则灰尘将被过滤材料排斥并降低效率，但是</w:t>
      </w:r>
      <w:r>
        <w:rPr>
          <w:rFonts w:ascii="FangSong" w:hAnsi="FangSong" w:eastAsia="FangSong" w:cs="FangSong"/>
          <w:sz w:val="24"/>
          <w:szCs w:val="24"/>
          <w:spacing w:val="-8"/>
        </w:rPr>
        <w:t>灰尘将容易从过滤袋的表面剥离。</w:t>
      </w:r>
    </w:p>
    <w:p>
      <w:pPr>
        <w:ind w:left="511"/>
        <w:spacing w:before="182" w:line="220" w:lineRule="auto"/>
        <w:rPr>
          <w:rFonts w:ascii="FangSong" w:hAnsi="FangSong" w:eastAsia="FangSong" w:cs="FangSong"/>
          <w:sz w:val="24"/>
          <w:szCs w:val="24"/>
        </w:rPr>
      </w:pPr>
      <w:r>
        <w:rPr>
          <w:rFonts w:ascii="FangSong" w:hAnsi="FangSong" w:eastAsia="FangSong" w:cs="FangSong"/>
          <w:sz w:val="24"/>
          <w:szCs w:val="24"/>
          <w:spacing w:val="-2"/>
        </w:rPr>
        <w:t>布袋除尘器的结构图见图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7.3-1</w:t>
      </w:r>
      <w:r>
        <w:rPr>
          <w:rFonts w:ascii="FangSong" w:hAnsi="FangSong" w:eastAsia="FangSong" w:cs="FangSong"/>
          <w:sz w:val="24"/>
          <w:szCs w:val="24"/>
          <w:spacing w:val="-2"/>
        </w:rPr>
        <w:t>。</w:t>
      </w:r>
    </w:p>
    <w:p>
      <w:pPr>
        <w:ind w:firstLine="1358"/>
        <w:spacing w:before="173" w:line="4771" w:lineRule="exact"/>
        <w:rPr/>
      </w:pPr>
      <w:r>
        <w:rPr>
          <w:position w:val="-95"/>
        </w:rPr>
        <w:drawing>
          <wp:inline distT="0" distB="0" distL="0" distR="0">
            <wp:extent cx="3564635" cy="3029711"/>
            <wp:effectExtent l="0" t="0" r="0" b="0"/>
            <wp:docPr id="106" name="IM 106"/>
            <wp:cNvGraphicFramePr/>
            <a:graphic>
              <a:graphicData uri="http://schemas.openxmlformats.org/drawingml/2006/picture">
                <pic:pic>
                  <pic:nvPicPr>
                    <pic:cNvPr id="106" name="IM 106"/>
                    <pic:cNvPicPr/>
                  </pic:nvPicPr>
                  <pic:blipFill>
                    <a:blip r:embed="rId344"/>
                    <a:stretch>
                      <a:fillRect/>
                    </a:stretch>
                  </pic:blipFill>
                  <pic:spPr>
                    <a:xfrm rot="0">
                      <a:off x="0" y="0"/>
                      <a:ext cx="3564635" cy="3029711"/>
                    </a:xfrm>
                    <a:prstGeom prst="rect">
                      <a:avLst/>
                    </a:prstGeom>
                  </pic:spPr>
                </pic:pic>
              </a:graphicData>
            </a:graphic>
          </wp:inline>
        </w:drawing>
      </w:r>
    </w:p>
    <w:p>
      <w:pPr>
        <w:ind w:left="2782"/>
        <w:spacing w:before="230" w:line="220" w:lineRule="auto"/>
        <w:rPr>
          <w:rFonts w:ascii="FangSong" w:hAnsi="FangSong" w:eastAsia="FangSong" w:cs="FangSong"/>
          <w:sz w:val="24"/>
          <w:szCs w:val="24"/>
        </w:rPr>
      </w:pPr>
      <w:r>
        <w:rPr>
          <w:rFonts w:ascii="FangSong" w:hAnsi="FangSong" w:eastAsia="FangSong" w:cs="FangSong"/>
          <w:sz w:val="24"/>
          <w:szCs w:val="24"/>
          <w:b/>
          <w:bCs/>
          <w:spacing w:val="-4"/>
        </w:rPr>
        <w:t>图</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4"/>
        </w:rPr>
        <w:t>7.3-1  </w:t>
      </w:r>
      <w:r>
        <w:rPr>
          <w:rFonts w:ascii="FangSong" w:hAnsi="FangSong" w:eastAsia="FangSong" w:cs="FangSong"/>
          <w:sz w:val="24"/>
          <w:szCs w:val="24"/>
          <w:b/>
          <w:bCs/>
          <w:spacing w:val="-4"/>
        </w:rPr>
        <w:t>布袋除尘器结构图</w:t>
      </w:r>
    </w:p>
    <w:p>
      <w:pPr>
        <w:ind w:left="501"/>
        <w:spacing w:before="181" w:line="222" w:lineRule="auto"/>
        <w:rPr>
          <w:rFonts w:ascii="FangSong" w:hAnsi="FangSong" w:eastAsia="FangSong" w:cs="FangSong"/>
          <w:sz w:val="24"/>
          <w:szCs w:val="24"/>
        </w:rPr>
      </w:pPr>
      <w:r>
        <w:rPr>
          <w:rFonts w:ascii="SimSun" w:hAnsi="SimSun" w:eastAsia="SimSun" w:cs="SimSun"/>
          <w:sz w:val="24"/>
          <w:szCs w:val="24"/>
          <w:spacing w:val="-5"/>
        </w:rPr>
        <w:t>②</w:t>
      </w:r>
      <w:r>
        <w:rPr>
          <w:rFonts w:ascii="SimSun" w:hAnsi="SimSun" w:eastAsia="SimSun" w:cs="SimSun"/>
          <w:sz w:val="24"/>
          <w:szCs w:val="24"/>
          <w:spacing w:val="21"/>
        </w:rPr>
        <w:t xml:space="preserve"> </w:t>
      </w:r>
      <w:r>
        <w:rPr>
          <w:rFonts w:ascii="FangSong" w:hAnsi="FangSong" w:eastAsia="FangSong" w:cs="FangSong"/>
          <w:sz w:val="24"/>
          <w:szCs w:val="24"/>
          <w:spacing w:val="-5"/>
        </w:rPr>
        <w:t>无组织废气</w:t>
      </w:r>
    </w:p>
    <w:p>
      <w:pPr>
        <w:ind w:left="29" w:right="203" w:firstLine="482"/>
        <w:spacing w:before="183" w:line="360" w:lineRule="auto"/>
        <w:rPr>
          <w:rFonts w:ascii="FangSong" w:hAnsi="FangSong" w:eastAsia="FangSong" w:cs="FangSong"/>
          <w:sz w:val="24"/>
          <w:szCs w:val="24"/>
        </w:rPr>
      </w:pPr>
      <w:r>
        <w:rPr>
          <w:rFonts w:ascii="FangSong" w:hAnsi="FangSong" w:eastAsia="FangSong" w:cs="FangSong"/>
          <w:sz w:val="24"/>
          <w:szCs w:val="24"/>
          <w:spacing w:val="-4"/>
        </w:rPr>
        <w:t>选矿厂内矿石上料、各物料转卸载点均会有少量无组织粉尘产生，转卸过程</w:t>
      </w:r>
      <w:r>
        <w:rPr>
          <w:rFonts w:ascii="FangSong" w:hAnsi="FangSong" w:eastAsia="FangSong" w:cs="FangSong"/>
          <w:sz w:val="24"/>
          <w:szCs w:val="24"/>
          <w:spacing w:val="-3"/>
        </w:rPr>
        <w:t>均位于封闭车间内进行，车间之间采用封闭廊道输送，料仓均为封</w:t>
      </w:r>
      <w:r>
        <w:rPr>
          <w:rFonts w:ascii="FangSong" w:hAnsi="FangSong" w:eastAsia="FangSong" w:cs="FangSong"/>
          <w:sz w:val="24"/>
          <w:szCs w:val="24"/>
          <w:spacing w:val="-4"/>
        </w:rPr>
        <w:t>闭结构，产出</w:t>
      </w:r>
      <w:r>
        <w:rPr>
          <w:rFonts w:ascii="FangSong" w:hAnsi="FangSong" w:eastAsia="FangSong" w:cs="FangSong"/>
          <w:sz w:val="24"/>
          <w:szCs w:val="24"/>
          <w:spacing w:val="-3"/>
        </w:rPr>
        <w:t>的萤石精矿存放于封闭成品库内；项目选矿过程采用在车间及皮带</w:t>
      </w:r>
      <w:r>
        <w:rPr>
          <w:rFonts w:ascii="FangSong" w:hAnsi="FangSong" w:eastAsia="FangSong" w:cs="FangSong"/>
          <w:sz w:val="24"/>
          <w:szCs w:val="24"/>
          <w:spacing w:val="-4"/>
        </w:rPr>
        <w:t>运输机的卸料</w:t>
      </w:r>
      <w:r>
        <w:rPr>
          <w:rFonts w:ascii="FangSong" w:hAnsi="FangSong" w:eastAsia="FangSong" w:cs="FangSong"/>
          <w:sz w:val="24"/>
          <w:szCs w:val="24"/>
          <w:spacing w:val="-3"/>
        </w:rPr>
        <w:t>点设置喷雾降尘设施，可降低无组织粉尘排放量，经预测，无</w:t>
      </w:r>
      <w:r>
        <w:rPr>
          <w:rFonts w:ascii="FangSong" w:hAnsi="FangSong" w:eastAsia="FangSong" w:cs="FangSong"/>
          <w:sz w:val="24"/>
          <w:szCs w:val="24"/>
          <w:spacing w:val="-4"/>
        </w:rPr>
        <w:t>组织排放源对厂界</w:t>
      </w:r>
    </w:p>
    <w:p>
      <w:pPr>
        <w:spacing w:line="360" w:lineRule="auto"/>
        <w:sectPr>
          <w:footerReference w:type="default" r:id="rId343"/>
          <w:pgSz w:w="11906" w:h="16839"/>
          <w:pgMar w:top="400" w:right="159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right="76"/>
        <w:spacing w:before="78" w:line="360" w:lineRule="auto"/>
        <w:jc w:val="both"/>
        <w:rPr>
          <w:rFonts w:ascii="FangSong" w:hAnsi="FangSong" w:eastAsia="FangSong" w:cs="FangSong"/>
          <w:sz w:val="24"/>
          <w:szCs w:val="24"/>
        </w:rPr>
      </w:pPr>
      <w:r>
        <w:rPr>
          <w:rFonts w:ascii="FangSong" w:hAnsi="FangSong" w:eastAsia="FangSong" w:cs="FangSong"/>
          <w:sz w:val="24"/>
          <w:szCs w:val="24"/>
          <w:spacing w:val="2"/>
        </w:rPr>
        <w:t>颗粒物、氟化物贡献浓度满足《大气污染物综合排放标准》（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16297</w:t>
      </w:r>
      <w:r>
        <w:rPr>
          <w:rFonts w:ascii="Times New Roman" w:hAnsi="Times New Roman" w:eastAsia="Times New Roman" w:cs="Times New Roman"/>
          <w:sz w:val="24"/>
          <w:szCs w:val="24"/>
          <w:spacing w:val="1"/>
        </w:rPr>
        <w:t>-1996</w:t>
      </w:r>
      <w:r>
        <w:rPr>
          <w:rFonts w:ascii="FangSong" w:hAnsi="FangSong" w:eastAsia="FangSong" w:cs="FangSong"/>
          <w:sz w:val="24"/>
          <w:szCs w:val="24"/>
          <w:spacing w:val="1"/>
        </w:rPr>
        <w:t>）</w:t>
      </w:r>
      <w:r>
        <w:rPr>
          <w:rFonts w:ascii="FangSong" w:hAnsi="FangSong" w:eastAsia="FangSong" w:cs="FangSong"/>
          <w:sz w:val="24"/>
          <w:szCs w:val="24"/>
          <w:spacing w:val="-4"/>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4"/>
        </w:rPr>
        <w:t>无组织排放浓度限值要求。同时建设单位加强个体防护，在产尘多的作业点</w:t>
      </w:r>
      <w:r>
        <w:rPr>
          <w:rFonts w:ascii="FangSong" w:hAnsi="FangSong" w:eastAsia="FangSong" w:cs="FangSong"/>
          <w:sz w:val="24"/>
          <w:szCs w:val="24"/>
          <w:spacing w:val="-3"/>
        </w:rPr>
        <w:t>须配给作业人员个体防护装置（如防尘口罩、防尘头盔等</w:t>
      </w:r>
      <w:r>
        <w:rPr>
          <w:rFonts w:ascii="FangSong" w:hAnsi="FangSong" w:eastAsia="FangSong" w:cs="FangSong"/>
          <w:sz w:val="24"/>
          <w:szCs w:val="24"/>
          <w:spacing w:val="-7"/>
        </w:rPr>
        <w:t>），</w:t>
      </w:r>
      <w:r>
        <w:rPr>
          <w:rFonts w:ascii="FangSong" w:hAnsi="FangSong" w:eastAsia="FangSong" w:cs="FangSong"/>
          <w:sz w:val="24"/>
          <w:szCs w:val="24"/>
          <w:spacing w:val="-3"/>
        </w:rPr>
        <w:t>加强运输设备操作</w:t>
      </w:r>
      <w:r>
        <w:rPr>
          <w:rFonts w:ascii="FangSong" w:hAnsi="FangSong" w:eastAsia="FangSong" w:cs="FangSong"/>
          <w:sz w:val="24"/>
          <w:szCs w:val="24"/>
          <w:spacing w:val="-3"/>
        </w:rPr>
        <w:t>室等的密封。</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）食堂油烟</w:t>
      </w:r>
    </w:p>
    <w:p>
      <w:pPr>
        <w:ind w:left="30" w:right="76" w:firstLine="480"/>
        <w:spacing w:before="176" w:line="359" w:lineRule="auto"/>
        <w:rPr>
          <w:rFonts w:ascii="FangSong" w:hAnsi="FangSong" w:eastAsia="FangSong" w:cs="FangSong"/>
          <w:sz w:val="24"/>
          <w:szCs w:val="24"/>
        </w:rPr>
      </w:pPr>
      <w:r>
        <w:rPr>
          <w:rFonts w:ascii="FangSong" w:hAnsi="FangSong" w:eastAsia="FangSong" w:cs="FangSong"/>
          <w:sz w:val="24"/>
          <w:szCs w:val="24"/>
          <w:spacing w:val="-3"/>
        </w:rPr>
        <w:t>项目运营期食堂炊事过程中将挥发出油脂、有</w:t>
      </w:r>
      <w:r>
        <w:rPr>
          <w:rFonts w:ascii="FangSong" w:hAnsi="FangSong" w:eastAsia="FangSong" w:cs="FangSong"/>
          <w:sz w:val="24"/>
          <w:szCs w:val="24"/>
          <w:spacing w:val="-4"/>
        </w:rPr>
        <w:t>机质及热分解或裂解产物，从</w:t>
      </w:r>
      <w:r>
        <w:rPr>
          <w:rFonts w:ascii="FangSong" w:hAnsi="FangSong" w:eastAsia="FangSong" w:cs="FangSong"/>
          <w:sz w:val="24"/>
          <w:szCs w:val="24"/>
          <w:spacing w:val="-4"/>
        </w:rPr>
        <w:t>而产生食堂油烟，食堂拟安装油烟净化设施，油烟净化效率</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80%</w:t>
      </w:r>
      <w:r>
        <w:rPr>
          <w:rFonts w:ascii="FangSong" w:hAnsi="FangSong" w:eastAsia="FangSong" w:cs="FangSong"/>
          <w:sz w:val="24"/>
          <w:szCs w:val="24"/>
          <w:spacing w:val="-4"/>
        </w:rPr>
        <w:t>，处理后油</w:t>
      </w:r>
      <w:r>
        <w:rPr>
          <w:rFonts w:ascii="FangSong" w:hAnsi="FangSong" w:eastAsia="FangSong" w:cs="FangSong"/>
          <w:sz w:val="24"/>
          <w:szCs w:val="24"/>
          <w:spacing w:val="-5"/>
        </w:rPr>
        <w:t>烟排</w:t>
      </w:r>
      <w:r>
        <w:rPr>
          <w:rFonts w:ascii="FangSong" w:hAnsi="FangSong" w:eastAsia="FangSong" w:cs="FangSong"/>
          <w:sz w:val="24"/>
          <w:szCs w:val="24"/>
          <w:spacing w:val="1"/>
        </w:rPr>
        <w:t>放浓度约</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1.787</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 </w:t>
      </w:r>
      <w:r>
        <w:rPr>
          <w:rFonts w:ascii="FangSong" w:hAnsi="FangSong" w:eastAsia="FangSong" w:cs="FangSong"/>
          <w:sz w:val="24"/>
          <w:szCs w:val="24"/>
          <w:spacing w:val="1"/>
        </w:rPr>
        <w:t>，油烟通过专用烟道引</w:t>
      </w:r>
      <w:r>
        <w:rPr>
          <w:rFonts w:ascii="FangSong" w:hAnsi="FangSong" w:eastAsia="FangSong" w:cs="FangSong"/>
          <w:sz w:val="24"/>
          <w:szCs w:val="24"/>
        </w:rPr>
        <w:t>至屋顶排放，满足《饮食业油烟排</w:t>
      </w:r>
      <w:r>
        <w:rPr>
          <w:rFonts w:ascii="FangSong" w:hAnsi="FangSong" w:eastAsia="FangSong" w:cs="FangSong"/>
          <w:sz w:val="24"/>
          <w:szCs w:val="24"/>
          <w:spacing w:val="-1"/>
        </w:rPr>
        <w:t>放标准（试行）》（</w:t>
      </w:r>
      <w:r>
        <w:rPr>
          <w:rFonts w:ascii="Times New Roman" w:hAnsi="Times New Roman" w:eastAsia="Times New Roman" w:cs="Times New Roman"/>
          <w:sz w:val="24"/>
          <w:szCs w:val="24"/>
          <w:spacing w:val="-1"/>
        </w:rPr>
        <w:t>GB18483-2001</w:t>
      </w:r>
      <w:r>
        <w:rPr>
          <w:rFonts w:ascii="FangSong" w:hAnsi="FangSong" w:eastAsia="FangSong" w:cs="FangSong"/>
          <w:sz w:val="24"/>
          <w:szCs w:val="24"/>
          <w:spacing w:val="-1"/>
        </w:rPr>
        <w:t>）排放标准要求。</w:t>
      </w:r>
    </w:p>
    <w:p>
      <w:pPr>
        <w:ind w:left="22"/>
        <w:spacing w:before="6"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7.2.2.2</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小结</w:t>
      </w:r>
    </w:p>
    <w:p>
      <w:pPr>
        <w:ind w:left="29" w:right="76" w:firstLine="480"/>
        <w:spacing w:before="177" w:line="360" w:lineRule="auto"/>
        <w:jc w:val="both"/>
        <w:rPr>
          <w:rFonts w:ascii="FangSong" w:hAnsi="FangSong" w:eastAsia="FangSong" w:cs="FangSong"/>
          <w:sz w:val="24"/>
          <w:szCs w:val="24"/>
        </w:rPr>
      </w:pPr>
      <w:r>
        <w:rPr>
          <w:rFonts w:ascii="FangSong" w:hAnsi="FangSong" w:eastAsia="FangSong" w:cs="FangSong"/>
          <w:sz w:val="24"/>
          <w:szCs w:val="24"/>
          <w:spacing w:val="-3"/>
        </w:rPr>
        <w:t>经过采取以上相应措施后项目运营期不会对周围</w:t>
      </w:r>
      <w:r>
        <w:rPr>
          <w:rFonts w:ascii="FangSong" w:hAnsi="FangSong" w:eastAsia="FangSong" w:cs="FangSong"/>
          <w:sz w:val="24"/>
          <w:szCs w:val="24"/>
          <w:spacing w:val="-4"/>
        </w:rPr>
        <w:t>大气环境造成较大影响，措</w:t>
      </w:r>
      <w:r>
        <w:rPr>
          <w:rFonts w:ascii="FangSong" w:hAnsi="FangSong" w:eastAsia="FangSong" w:cs="FangSong"/>
          <w:sz w:val="24"/>
          <w:szCs w:val="24"/>
          <w:spacing w:val="-3"/>
        </w:rPr>
        <w:t>施可行，但要求建设单位定期对废气污染防治措施设备进行维护、保</w:t>
      </w:r>
      <w:r>
        <w:rPr>
          <w:rFonts w:ascii="FangSong" w:hAnsi="FangSong" w:eastAsia="FangSong" w:cs="FangSong"/>
          <w:sz w:val="24"/>
          <w:szCs w:val="24"/>
          <w:spacing w:val="-4"/>
        </w:rPr>
        <w:t>养，避免出</w:t>
      </w:r>
      <w:r>
        <w:rPr>
          <w:rFonts w:ascii="FangSong" w:hAnsi="FangSong" w:eastAsia="FangSong" w:cs="FangSong"/>
          <w:sz w:val="24"/>
          <w:szCs w:val="24"/>
          <w:spacing w:val="-1"/>
        </w:rPr>
        <w:t>现因设备事故情况下发生非正常工况废气排放。</w:t>
      </w:r>
    </w:p>
    <w:p>
      <w:pPr>
        <w:ind w:left="22"/>
        <w:spacing w:line="220" w:lineRule="auto"/>
        <w:outlineLvl w:val="2"/>
        <w:rPr>
          <w:rFonts w:ascii="FangSong" w:hAnsi="FangSong" w:eastAsia="FangSong" w:cs="FangSong"/>
          <w:sz w:val="24"/>
          <w:szCs w:val="24"/>
        </w:rPr>
      </w:pPr>
      <w:bookmarkStart w:name="bookmark328" w:id="443"/>
      <w:bookmarkEnd w:id="443"/>
      <w:bookmarkStart w:name="bookmark327" w:id="444"/>
      <w:bookmarkEnd w:id="444"/>
      <w:r>
        <w:rPr>
          <w:rFonts w:ascii="Times New Roman" w:hAnsi="Times New Roman" w:eastAsia="Times New Roman" w:cs="Times New Roman"/>
          <w:sz w:val="24"/>
          <w:szCs w:val="24"/>
          <w:b/>
          <w:bCs/>
          <w:spacing w:val="-2"/>
        </w:rPr>
        <w:t>7.2.3  </w:t>
      </w:r>
      <w:r>
        <w:rPr>
          <w:rFonts w:ascii="FangSong" w:hAnsi="FangSong" w:eastAsia="FangSong" w:cs="FangSong"/>
          <w:sz w:val="24"/>
          <w:szCs w:val="24"/>
          <w:b/>
          <w:bCs/>
          <w:spacing w:val="-2"/>
        </w:rPr>
        <w:t>声环境保护措施及有效性分析</w:t>
      </w:r>
    </w:p>
    <w:p>
      <w:pPr>
        <w:ind w:left="22"/>
        <w:spacing w:before="18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7.2.3.1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保护措施</w:t>
      </w:r>
    </w:p>
    <w:p>
      <w:pPr>
        <w:ind w:left="514"/>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）噪声控制措施</w:t>
      </w:r>
    </w:p>
    <w:p>
      <w:pPr>
        <w:ind w:left="31" w:firstLine="470"/>
        <w:spacing w:before="179" w:line="325"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本项目在选购设备时，应选购低噪声设备，并做防震及消音处理：对于</w:t>
      </w:r>
      <w:r>
        <w:rPr>
          <w:rFonts w:ascii="FangSong" w:hAnsi="FangSong" w:eastAsia="FangSong" w:cs="FangSong"/>
          <w:sz w:val="24"/>
          <w:szCs w:val="24"/>
          <w:spacing w:val="-3"/>
        </w:rPr>
        <w:t>噪声相对较大的车间要选用隔声及消音性能较好的建筑材料；</w:t>
      </w:r>
      <w:r>
        <w:rPr>
          <w:rFonts w:ascii="FangSong" w:hAnsi="FangSong" w:eastAsia="FangSong" w:cs="FangSong"/>
          <w:sz w:val="24"/>
          <w:szCs w:val="24"/>
          <w:spacing w:val="-4"/>
        </w:rPr>
        <w:t>对一些设备采取封</w:t>
      </w:r>
      <w:r>
        <w:rPr>
          <w:rFonts w:ascii="FangSong" w:hAnsi="FangSong" w:eastAsia="FangSong" w:cs="FangSong"/>
          <w:sz w:val="24"/>
          <w:szCs w:val="24"/>
          <w:spacing w:val="-8"/>
        </w:rPr>
        <w:t>闭措施，并加强设备的维护和保养：运输车辆应注意选型，选择车况好、噪音低、</w:t>
      </w:r>
      <w:r>
        <w:rPr>
          <w:rFonts w:ascii="FangSong" w:hAnsi="FangSong" w:eastAsia="FangSong" w:cs="FangSong"/>
          <w:sz w:val="24"/>
          <w:szCs w:val="24"/>
          <w:spacing w:val="-1"/>
        </w:rPr>
        <w:t>尾气达标排放的车型，使用中还应经常检修和维护。</w:t>
      </w:r>
    </w:p>
    <w:p>
      <w:pPr>
        <w:ind w:left="29" w:right="79" w:firstLine="471"/>
        <w:spacing w:before="184" w:line="291"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在设计中合理布局，充分利用厂内建筑物的隔声作用，将设备放在远离</w:t>
      </w:r>
      <w:r>
        <w:rPr>
          <w:rFonts w:ascii="FangSong" w:hAnsi="FangSong" w:eastAsia="FangSong" w:cs="FangSong"/>
          <w:sz w:val="24"/>
          <w:szCs w:val="24"/>
          <w:spacing w:val="-1"/>
        </w:rPr>
        <w:t>居民的一侧，以减轻各类声源对周围声环境的影响。</w:t>
      </w:r>
    </w:p>
    <w:p>
      <w:pPr>
        <w:ind w:left="31" w:right="76" w:firstLine="469"/>
        <w:spacing w:before="176" w:line="326"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建筑物阻隔，高噪设备经前述方法隆噪后，往往仍不能达到标准要求，</w:t>
      </w:r>
      <w:r>
        <w:rPr>
          <w:rFonts w:ascii="FangSong" w:hAnsi="FangSong" w:eastAsia="FangSong" w:cs="FangSong"/>
          <w:sz w:val="24"/>
          <w:szCs w:val="24"/>
          <w:spacing w:val="-3"/>
        </w:rPr>
        <w:t>为进一步消除噪声，在工作车间安装一些吸收材料，各种泵、</w:t>
      </w:r>
      <w:r>
        <w:rPr>
          <w:rFonts w:ascii="FangSong" w:hAnsi="FangSong" w:eastAsia="FangSong" w:cs="FangSong"/>
          <w:sz w:val="24"/>
          <w:szCs w:val="24"/>
          <w:spacing w:val="-4"/>
        </w:rPr>
        <w:t>鼓风机以及风机房</w:t>
      </w:r>
      <w:r>
        <w:rPr>
          <w:rFonts w:ascii="FangSong" w:hAnsi="FangSong" w:eastAsia="FangSong" w:cs="FangSong"/>
          <w:sz w:val="24"/>
          <w:szCs w:val="24"/>
          <w:spacing w:val="2"/>
        </w:rPr>
        <w:t>等采用隔声室进行密闭、减振材料支撑，可降低声压级</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25</w:t>
      </w:r>
      <w:r>
        <w:rPr>
          <w:rFonts w:ascii="Times New Roman" w:hAnsi="Times New Roman" w:eastAsia="Times New Roman" w:cs="Times New Roman"/>
          <w:sz w:val="24"/>
          <w:szCs w:val="24"/>
        </w:rPr>
        <w:t>dB</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A</w:t>
      </w:r>
      <w:r>
        <w:rPr>
          <w:rFonts w:ascii="FangSong" w:hAnsi="FangSong" w:eastAsia="FangSong" w:cs="FangSong"/>
          <w:sz w:val="24"/>
          <w:szCs w:val="24"/>
          <w:spacing w:val="14"/>
        </w:rPr>
        <w:t>），</w:t>
      </w:r>
      <w:r>
        <w:rPr>
          <w:rFonts w:ascii="FangSong" w:hAnsi="FangSong" w:eastAsia="FangSong" w:cs="FangSong"/>
          <w:sz w:val="24"/>
          <w:szCs w:val="24"/>
          <w:spacing w:val="1"/>
        </w:rPr>
        <w:t>具体措施</w:t>
      </w:r>
      <w:r>
        <w:rPr>
          <w:rFonts w:ascii="FangSong" w:hAnsi="FangSong" w:eastAsia="FangSong" w:cs="FangSong"/>
          <w:sz w:val="24"/>
          <w:szCs w:val="24"/>
          <w:spacing w:val="-6"/>
        </w:rPr>
        <w:t>如下：</w:t>
      </w:r>
    </w:p>
    <w:p>
      <w:pPr>
        <w:ind w:left="29" w:right="76" w:firstLine="466"/>
        <w:spacing w:before="181" w:line="313"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、破碎机等设置减振基础；破碎等车间内墙可铺设吸声结构材料，窗户采</w:t>
      </w:r>
      <w:r>
        <w:rPr>
          <w:rFonts w:ascii="FangSong" w:hAnsi="FangSong" w:eastAsia="FangSong" w:cs="FangSong"/>
          <w:sz w:val="24"/>
          <w:szCs w:val="24"/>
          <w:spacing w:val="-3"/>
        </w:rPr>
        <w:t>用密封性能和隔声效果较好的塑钢窗，企业在实际运营生产中应保</w:t>
      </w:r>
      <w:r>
        <w:rPr>
          <w:rFonts w:ascii="FangSong" w:hAnsi="FangSong" w:eastAsia="FangSong" w:cs="FangSong"/>
          <w:sz w:val="24"/>
          <w:szCs w:val="24"/>
          <w:spacing w:val="-4"/>
        </w:rPr>
        <w:t>证车间的密闭</w:t>
      </w:r>
      <w:r>
        <w:rPr>
          <w:rFonts w:ascii="FangSong" w:hAnsi="FangSong" w:eastAsia="FangSong" w:cs="FangSong"/>
          <w:sz w:val="24"/>
          <w:szCs w:val="24"/>
          <w:spacing w:val="-1"/>
        </w:rPr>
        <w:t>性，以使其能很好的发挥防尘、降噪的作用；</w:t>
      </w:r>
    </w:p>
    <w:p>
      <w:pPr>
        <w:spacing w:line="313" w:lineRule="auto"/>
        <w:sectPr>
          <w:footerReference w:type="default" r:id="rId345"/>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9" w:right="83" w:firstLine="468"/>
        <w:spacing w:before="78" w:line="314"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2"/>
        </w:rPr>
        <w:t>、水泵均安装在室内，安装时设置减振基础，设封闭式隔声罩，隔声量上</w:t>
      </w:r>
      <w:r>
        <w:rPr>
          <w:rFonts w:ascii="FangSong" w:hAnsi="FangSong" w:eastAsia="FangSong" w:cs="FangSong"/>
          <w:sz w:val="24"/>
          <w:szCs w:val="24"/>
          <w:spacing w:val="-3"/>
        </w:rPr>
        <w:t>设消声通风口满足散热通风的需要：水泵连接采用柔性连接，穿越墙</w:t>
      </w:r>
      <w:r>
        <w:rPr>
          <w:rFonts w:ascii="FangSong" w:hAnsi="FangSong" w:eastAsia="FangSong" w:cs="FangSong"/>
          <w:sz w:val="24"/>
          <w:szCs w:val="24"/>
          <w:spacing w:val="-4"/>
        </w:rPr>
        <w:t>壁处的管道</w:t>
      </w:r>
      <w:r>
        <w:rPr>
          <w:rFonts w:ascii="FangSong" w:hAnsi="FangSong" w:eastAsia="FangSong" w:cs="FangSong"/>
          <w:sz w:val="24"/>
          <w:szCs w:val="24"/>
          <w:spacing w:val="-2"/>
        </w:rPr>
        <w:t>包裹减振垫：泵站设置隔声门窗；</w:t>
      </w:r>
    </w:p>
    <w:p>
      <w:pPr>
        <w:ind w:left="30" w:right="83" w:firstLine="471"/>
        <w:spacing w:before="181" w:line="314"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、除尘系统配置的风机及配套电机均布置在室内：风机和电动机安装时设</w:t>
      </w:r>
      <w:r>
        <w:rPr>
          <w:rFonts w:ascii="FangSong" w:hAnsi="FangSong" w:eastAsia="FangSong" w:cs="FangSong"/>
          <w:sz w:val="24"/>
          <w:szCs w:val="24"/>
          <w:spacing w:val="-3"/>
        </w:rPr>
        <w:t>置减振基础；风机的进风口和出风口处各安装消声器，风机连接</w:t>
      </w:r>
      <w:r>
        <w:rPr>
          <w:rFonts w:ascii="FangSong" w:hAnsi="FangSong" w:eastAsia="FangSong" w:cs="FangSong"/>
          <w:sz w:val="24"/>
          <w:szCs w:val="24"/>
          <w:spacing w:val="-4"/>
        </w:rPr>
        <w:t>管道采用柔性连</w:t>
      </w:r>
      <w:r>
        <w:rPr>
          <w:rFonts w:ascii="FangSong" w:hAnsi="FangSong" w:eastAsia="FangSong" w:cs="FangSong"/>
          <w:sz w:val="24"/>
          <w:szCs w:val="24"/>
          <w:spacing w:val="-5"/>
        </w:rPr>
        <w:t>接方式：</w:t>
      </w:r>
    </w:p>
    <w:p>
      <w:pPr>
        <w:ind w:left="29" w:right="83" w:firstLine="468"/>
        <w:spacing w:before="176" w:line="315"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、运行中加强设备的维护和保养，以降低噪声源噪声：对球机等设备加装</w:t>
      </w:r>
      <w:r>
        <w:rPr>
          <w:rFonts w:ascii="FangSong" w:hAnsi="FangSong" w:eastAsia="FangSong" w:cs="FangSong"/>
          <w:sz w:val="24"/>
          <w:szCs w:val="24"/>
          <w:spacing w:val="-3"/>
        </w:rPr>
        <w:t>阻尼材料，安装减振器；并为岗位工人配备护耳用品，以保证工人</w:t>
      </w:r>
      <w:r>
        <w:rPr>
          <w:rFonts w:ascii="FangSong" w:hAnsi="FangSong" w:eastAsia="FangSong" w:cs="FangSong"/>
          <w:sz w:val="24"/>
          <w:szCs w:val="24"/>
          <w:spacing w:val="-4"/>
        </w:rPr>
        <w:t>身体健康和作</w:t>
      </w:r>
      <w:r>
        <w:rPr>
          <w:rFonts w:ascii="FangSong" w:hAnsi="FangSong" w:eastAsia="FangSong" w:cs="FangSong"/>
          <w:sz w:val="24"/>
          <w:szCs w:val="24"/>
          <w:spacing w:val="-4"/>
        </w:rPr>
        <w:t>业安全。</w:t>
      </w:r>
    </w:p>
    <w:p>
      <w:pPr>
        <w:ind w:left="514"/>
        <w:spacing w:before="177"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）运输噪声防治措施</w:t>
      </w:r>
    </w:p>
    <w:p>
      <w:pPr>
        <w:ind w:left="27" w:right="44" w:firstLine="484"/>
        <w:spacing w:before="177" w:line="360" w:lineRule="auto"/>
        <w:rPr>
          <w:rFonts w:ascii="FangSong" w:hAnsi="FangSong" w:eastAsia="FangSong" w:cs="FangSong"/>
          <w:sz w:val="24"/>
          <w:szCs w:val="24"/>
        </w:rPr>
      </w:pPr>
      <w:r>
        <w:rPr>
          <w:rFonts w:ascii="FangSong" w:hAnsi="FangSong" w:eastAsia="FangSong" w:cs="FangSong"/>
          <w:sz w:val="24"/>
          <w:szCs w:val="24"/>
          <w:spacing w:val="-3"/>
        </w:rPr>
        <w:t>对车辆保养维修，运输时要使用大型专业车</w:t>
      </w:r>
      <w:r>
        <w:rPr>
          <w:rFonts w:ascii="FangSong" w:hAnsi="FangSong" w:eastAsia="FangSong" w:cs="FangSong"/>
          <w:sz w:val="24"/>
          <w:szCs w:val="24"/>
          <w:spacing w:val="-4"/>
        </w:rPr>
        <w:t>辆，不得使用噪声级较大的农用</w:t>
      </w:r>
      <w:r>
        <w:rPr>
          <w:rFonts w:ascii="FangSong" w:hAnsi="FangSong" w:eastAsia="FangSong" w:cs="FangSong"/>
          <w:sz w:val="24"/>
          <w:szCs w:val="24"/>
          <w:spacing w:val="-3"/>
        </w:rPr>
        <w:t>车；对驾驶员严格管理，严禁超载，保证路面完好，限制车速，运输车辆</w:t>
      </w:r>
      <w:r>
        <w:rPr>
          <w:rFonts w:ascii="FangSong" w:hAnsi="FangSong" w:eastAsia="FangSong" w:cs="FangSong"/>
          <w:sz w:val="24"/>
          <w:szCs w:val="24"/>
          <w:spacing w:val="-4"/>
        </w:rPr>
        <w:t>行驶到</w:t>
      </w:r>
      <w:r>
        <w:rPr>
          <w:rFonts w:ascii="FangSong" w:hAnsi="FangSong" w:eastAsia="FangSong" w:cs="FangSong"/>
          <w:sz w:val="24"/>
          <w:szCs w:val="24"/>
          <w:spacing w:val="-2"/>
        </w:rPr>
        <w:t>有村庄路段时应减速慢行；应将汽车运输安排在白天进行，避开村民休息时间，</w:t>
      </w:r>
      <w:r>
        <w:rPr>
          <w:rFonts w:ascii="FangSong" w:hAnsi="FangSong" w:eastAsia="FangSong" w:cs="FangSong"/>
          <w:sz w:val="24"/>
          <w:szCs w:val="24"/>
          <w:spacing w:val="-3"/>
        </w:rPr>
        <w:t>避免夜间行车对居民睡眠产生不利影响，非特殊情况，车辆尽量减少鸣笛</w:t>
      </w:r>
      <w:r>
        <w:rPr>
          <w:rFonts w:ascii="FangSong" w:hAnsi="FangSong" w:eastAsia="FangSong" w:cs="FangSong"/>
          <w:sz w:val="24"/>
          <w:szCs w:val="24"/>
          <w:spacing w:val="-4"/>
        </w:rPr>
        <w:t>，避让</w:t>
      </w:r>
      <w:r>
        <w:rPr>
          <w:rFonts w:ascii="FangSong" w:hAnsi="FangSong" w:eastAsia="FangSong" w:cs="FangSong"/>
          <w:sz w:val="24"/>
          <w:szCs w:val="24"/>
          <w:spacing w:val="-1"/>
        </w:rPr>
        <w:t>行人，以减轻车辆噪声对居住区的影响</w:t>
      </w:r>
    </w:p>
    <w:p>
      <w:pPr>
        <w:ind w:left="514"/>
        <w:spacing w:before="2"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）爆破噪声防治措施</w:t>
      </w:r>
    </w:p>
    <w:p>
      <w:pPr>
        <w:ind w:left="502"/>
        <w:spacing w:before="179" w:line="222"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采矿爆破冲击波影响防范措施</w:t>
      </w:r>
    </w:p>
    <w:p>
      <w:pPr>
        <w:ind w:left="29" w:right="83" w:firstLine="480"/>
        <w:spacing w:before="179" w:line="360" w:lineRule="auto"/>
        <w:rPr>
          <w:rFonts w:ascii="FangSong" w:hAnsi="FangSong" w:eastAsia="FangSong" w:cs="FangSong"/>
          <w:sz w:val="24"/>
          <w:szCs w:val="24"/>
        </w:rPr>
      </w:pPr>
      <w:r>
        <w:rPr>
          <w:rFonts w:ascii="FangSong" w:hAnsi="FangSong" w:eastAsia="FangSong" w:cs="FangSong"/>
          <w:sz w:val="24"/>
          <w:szCs w:val="24"/>
          <w:spacing w:val="-3"/>
        </w:rPr>
        <w:t>爆破作业固定在每天的昼间固定时段，以避免对附</w:t>
      </w:r>
      <w:r>
        <w:rPr>
          <w:rFonts w:ascii="FangSong" w:hAnsi="FangSong" w:eastAsia="FangSong" w:cs="FangSong"/>
          <w:sz w:val="24"/>
          <w:szCs w:val="24"/>
          <w:spacing w:val="-4"/>
        </w:rPr>
        <w:t>近居民生活的影响。控制</w:t>
      </w:r>
      <w:r>
        <w:rPr>
          <w:rFonts w:ascii="FangSong" w:hAnsi="FangSong" w:eastAsia="FangSong" w:cs="FangSong"/>
          <w:sz w:val="24"/>
          <w:szCs w:val="24"/>
          <w:spacing w:val="-3"/>
        </w:rPr>
        <w:t>每次爆破的炸药使用量，选择不产生有损害作用的超压的爆破炸药量</w:t>
      </w:r>
      <w:r>
        <w:rPr>
          <w:rFonts w:ascii="FangSong" w:hAnsi="FangSong" w:eastAsia="FangSong" w:cs="FangSong"/>
          <w:sz w:val="24"/>
          <w:szCs w:val="24"/>
          <w:spacing w:val="-4"/>
        </w:rPr>
        <w:t>。优化爆破</w:t>
      </w:r>
      <w:r>
        <w:rPr>
          <w:rFonts w:ascii="FangSong" w:hAnsi="FangSong" w:eastAsia="FangSong" w:cs="FangSong"/>
          <w:sz w:val="24"/>
          <w:szCs w:val="24"/>
          <w:spacing w:val="-3"/>
        </w:rPr>
        <w:t>设计，选择合适的爆破参数，包括最小抵抗线长度、炮孔间距、起爆</w:t>
      </w:r>
      <w:r>
        <w:rPr>
          <w:rFonts w:ascii="FangSong" w:hAnsi="FangSong" w:eastAsia="FangSong" w:cs="FangSong"/>
          <w:sz w:val="24"/>
          <w:szCs w:val="24"/>
          <w:spacing w:val="-4"/>
        </w:rPr>
        <w:t>方法、起爆</w:t>
      </w:r>
      <w:r>
        <w:rPr>
          <w:rFonts w:ascii="FangSong" w:hAnsi="FangSong" w:eastAsia="FangSong" w:cs="FangSong"/>
          <w:sz w:val="24"/>
          <w:szCs w:val="24"/>
          <w:spacing w:val="-3"/>
        </w:rPr>
        <w:t>顺序等，充分利用炸药爆炸能量破碎岩石，消除夹制爆破条件。保证</w:t>
      </w:r>
      <w:r>
        <w:rPr>
          <w:rFonts w:ascii="FangSong" w:hAnsi="FangSong" w:eastAsia="FangSong" w:cs="FangSong"/>
          <w:sz w:val="24"/>
          <w:szCs w:val="24"/>
          <w:spacing w:val="-4"/>
        </w:rPr>
        <w:t>炮孔充填长</w:t>
      </w:r>
      <w:r>
        <w:rPr>
          <w:rFonts w:ascii="FangSong" w:hAnsi="FangSong" w:eastAsia="FangSong" w:cs="FangSong"/>
          <w:sz w:val="24"/>
          <w:szCs w:val="24"/>
          <w:spacing w:val="-3"/>
        </w:rPr>
        <w:t>度，提高充填质量，防止大量爆炸气体从顶部集中送出，减少形成空</w:t>
      </w:r>
      <w:r>
        <w:rPr>
          <w:rFonts w:ascii="FangSong" w:hAnsi="FangSong" w:eastAsia="FangSong" w:cs="FangSong"/>
          <w:sz w:val="24"/>
          <w:szCs w:val="24"/>
          <w:spacing w:val="-4"/>
        </w:rPr>
        <w:t>气冲击波的</w:t>
      </w:r>
      <w:r>
        <w:rPr>
          <w:rFonts w:ascii="FangSong" w:hAnsi="FangSong" w:eastAsia="FangSong" w:cs="FangSong"/>
          <w:sz w:val="24"/>
          <w:szCs w:val="24"/>
          <w:spacing w:val="-1"/>
        </w:rPr>
        <w:t>条件。严禁采用裸露药包破碎大块岩石。</w:t>
      </w:r>
    </w:p>
    <w:p>
      <w:pPr>
        <w:ind w:left="501"/>
        <w:spacing w:before="1" w:line="221"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31"/>
        </w:rPr>
        <w:t xml:space="preserve"> </w:t>
      </w:r>
      <w:r>
        <w:rPr>
          <w:rFonts w:ascii="FangSong" w:hAnsi="FangSong" w:eastAsia="FangSong" w:cs="FangSong"/>
          <w:sz w:val="24"/>
          <w:szCs w:val="24"/>
          <w:spacing w:val="-4"/>
        </w:rPr>
        <w:t>降低爆破振动的措施</w:t>
      </w:r>
    </w:p>
    <w:p>
      <w:pPr>
        <w:ind w:left="31" w:firstLine="484"/>
        <w:spacing w:before="180" w:line="360" w:lineRule="auto"/>
        <w:rPr>
          <w:rFonts w:ascii="FangSong" w:hAnsi="FangSong" w:eastAsia="FangSong" w:cs="FangSong"/>
          <w:sz w:val="24"/>
          <w:szCs w:val="24"/>
        </w:rPr>
      </w:pPr>
      <w:r>
        <w:rPr>
          <w:rFonts w:ascii="FangSong" w:hAnsi="FangSong" w:eastAsia="FangSong" w:cs="FangSong"/>
          <w:sz w:val="24"/>
          <w:szCs w:val="24"/>
          <w:spacing w:val="-9"/>
        </w:rPr>
        <w:t>合理利用天然减震带，研究表明，断层、破碎带可使爆破振动减低</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9"/>
        </w:rPr>
        <w:t>20%</w:t>
      </w:r>
      <w:r>
        <w:rPr>
          <w:rFonts w:ascii="FangSong" w:hAnsi="FangSong" w:eastAsia="FangSong" w:cs="FangSong"/>
          <w:sz w:val="24"/>
          <w:szCs w:val="24"/>
          <w:spacing w:val="-9"/>
        </w:rPr>
        <w:t>以上。</w:t>
      </w:r>
      <w:r>
        <w:rPr>
          <w:rFonts w:ascii="FangSong" w:hAnsi="FangSong" w:eastAsia="FangSong" w:cs="FangSong"/>
          <w:sz w:val="24"/>
          <w:szCs w:val="24"/>
          <w:spacing w:val="-8"/>
        </w:rPr>
        <w:t>因此，可以利用断层的隔震作用来降低爆破振动效应。选取适当的爆破作用指数、</w:t>
      </w:r>
      <w:r>
        <w:rPr>
          <w:rFonts w:ascii="FangSong" w:hAnsi="FangSong" w:eastAsia="FangSong" w:cs="FangSong"/>
          <w:sz w:val="24"/>
          <w:szCs w:val="24"/>
          <w:spacing w:val="-3"/>
        </w:rPr>
        <w:t>合理的孔网参数、合适的单位炸药消耗量、控制一次爆破炸药</w:t>
      </w:r>
      <w:r>
        <w:rPr>
          <w:rFonts w:ascii="FangSong" w:hAnsi="FangSong" w:eastAsia="FangSong" w:cs="FangSong"/>
          <w:sz w:val="24"/>
          <w:szCs w:val="24"/>
          <w:spacing w:val="-4"/>
        </w:rPr>
        <w:t>量和单响药量。改</w:t>
      </w:r>
      <w:r>
        <w:rPr>
          <w:rFonts w:ascii="FangSong" w:hAnsi="FangSong" w:eastAsia="FangSong" w:cs="FangSong"/>
          <w:sz w:val="24"/>
          <w:szCs w:val="24"/>
          <w:spacing w:val="-8"/>
        </w:rPr>
        <w:t>善爆破条件（如选用低爆速、低威力的炸药，调整爆破传爆方向、采用预裂爆破、</w:t>
      </w:r>
      <w:r>
        <w:rPr>
          <w:rFonts w:ascii="FangSong" w:hAnsi="FangSong" w:eastAsia="FangSong" w:cs="FangSong"/>
          <w:sz w:val="24"/>
          <w:szCs w:val="24"/>
          <w:spacing w:val="-1"/>
        </w:rPr>
        <w:t>减小爆破夹制力、合理选择最小抵抗线方向等）降低爆破振动。</w:t>
      </w:r>
    </w:p>
    <w:p>
      <w:pPr>
        <w:spacing w:line="360" w:lineRule="auto"/>
        <w:sectPr>
          <w:footerReference w:type="default" r:id="rId346"/>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2"/>
        <w:spacing w:before="78"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7.2.3.2  </w:t>
      </w:r>
      <w:r>
        <w:rPr>
          <w:rFonts w:ascii="FangSong" w:hAnsi="FangSong" w:eastAsia="FangSong" w:cs="FangSong"/>
          <w:sz w:val="24"/>
          <w:szCs w:val="24"/>
          <w:b/>
          <w:bCs/>
          <w:spacing w:val="-2"/>
        </w:rPr>
        <w:t>有效性分析</w:t>
      </w:r>
    </w:p>
    <w:p>
      <w:pPr>
        <w:ind w:left="29" w:right="203" w:firstLine="485"/>
        <w:spacing w:before="181" w:line="360" w:lineRule="auto"/>
        <w:jc w:val="both"/>
        <w:rPr>
          <w:rFonts w:ascii="FangSong" w:hAnsi="FangSong" w:eastAsia="FangSong" w:cs="FangSong"/>
          <w:sz w:val="24"/>
          <w:szCs w:val="24"/>
        </w:rPr>
      </w:pPr>
      <w:r>
        <w:rPr>
          <w:rFonts w:ascii="FangSong" w:hAnsi="FangSong" w:eastAsia="FangSong" w:cs="FangSong"/>
          <w:sz w:val="24"/>
          <w:szCs w:val="24"/>
          <w:spacing w:val="-4"/>
        </w:rPr>
        <w:t>通过采取以上降噪、隔声等措施可使设备噪声得到有效控制，对周围环境噪</w:t>
      </w:r>
      <w:r>
        <w:rPr>
          <w:rFonts w:ascii="FangSong" w:hAnsi="FangSong" w:eastAsia="FangSong" w:cs="FangSong"/>
          <w:sz w:val="24"/>
          <w:szCs w:val="24"/>
          <w:spacing w:val="-3"/>
        </w:rPr>
        <w:t>声影响可降到最低程度，根据上文预测结果可知，本项目运营期厂界</w:t>
      </w:r>
      <w:r>
        <w:rPr>
          <w:rFonts w:ascii="FangSong" w:hAnsi="FangSong" w:eastAsia="FangSong" w:cs="FangSong"/>
          <w:sz w:val="24"/>
          <w:szCs w:val="24"/>
          <w:spacing w:val="-4"/>
        </w:rPr>
        <w:t>处噪声贡献</w:t>
      </w:r>
      <w:r>
        <w:rPr>
          <w:rFonts w:ascii="FangSong" w:hAnsi="FangSong" w:eastAsia="FangSong" w:cs="FangSong"/>
          <w:sz w:val="24"/>
          <w:szCs w:val="24"/>
        </w:rPr>
        <w:t>值均符合《工业企业厂界环境噪声排放标准》（</w:t>
      </w:r>
      <w:r>
        <w:rPr>
          <w:rFonts w:ascii="Times New Roman" w:hAnsi="Times New Roman" w:eastAsia="Times New Roman" w:cs="Times New Roman"/>
          <w:sz w:val="24"/>
          <w:szCs w:val="24"/>
        </w:rPr>
        <w:t>GB1</w:t>
      </w:r>
      <w:r>
        <w:rPr>
          <w:rFonts w:ascii="Times New Roman" w:hAnsi="Times New Roman" w:eastAsia="Times New Roman" w:cs="Times New Roman"/>
          <w:sz w:val="24"/>
          <w:szCs w:val="24"/>
          <w:spacing w:val="-1"/>
        </w:rPr>
        <w:t>2348-2008</w:t>
      </w:r>
      <w:r>
        <w:rPr>
          <w:rFonts w:ascii="FangSong" w:hAnsi="FangSong" w:eastAsia="FangSong" w:cs="FangSong"/>
          <w:sz w:val="24"/>
          <w:szCs w:val="24"/>
          <w:spacing w:val="-1"/>
        </w:rPr>
        <w:t>）</w:t>
      </w:r>
      <w:r>
        <w:rPr>
          <w:rFonts w:ascii="FangSong" w:hAnsi="FangSong" w:eastAsia="FangSong" w:cs="FangSong"/>
          <w:sz w:val="24"/>
          <w:szCs w:val="24"/>
          <w:spacing w:val="-66"/>
        </w:rPr>
        <w:t xml:space="preserve"> </w:t>
      </w:r>
      <w:r>
        <w:rPr>
          <w:rFonts w:ascii="FangSong" w:hAnsi="FangSong" w:eastAsia="FangSong" w:cs="FangSong"/>
          <w:sz w:val="24"/>
          <w:szCs w:val="24"/>
          <w:spacing w:val="-1"/>
        </w:rPr>
        <w:t>中</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1"/>
        </w:rPr>
        <w:t>类标准限</w:t>
      </w:r>
      <w:r>
        <w:rPr>
          <w:rFonts w:ascii="FangSong" w:hAnsi="FangSong" w:eastAsia="FangSong" w:cs="FangSong"/>
          <w:sz w:val="24"/>
          <w:szCs w:val="24"/>
          <w:spacing w:val="-1"/>
        </w:rPr>
        <w:t>值。因此，本项目采取的噪声防治措施是可行的。</w:t>
      </w:r>
    </w:p>
    <w:p>
      <w:pPr>
        <w:ind w:left="22"/>
        <w:spacing w:line="224"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7.2.3.3</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b/>
          <w:bCs/>
          <w:spacing w:val="-4"/>
        </w:rPr>
        <w:t>建议</w:t>
      </w:r>
    </w:p>
    <w:p>
      <w:pPr>
        <w:ind w:left="509"/>
        <w:spacing w:before="176" w:line="222" w:lineRule="auto"/>
        <w:rPr>
          <w:rFonts w:ascii="FangSong" w:hAnsi="FangSong" w:eastAsia="FangSong" w:cs="FangSong"/>
          <w:sz w:val="24"/>
          <w:szCs w:val="24"/>
        </w:rPr>
      </w:pPr>
      <w:r>
        <w:rPr>
          <w:rFonts w:ascii="FangSong" w:hAnsi="FangSong" w:eastAsia="FangSong" w:cs="FangSong"/>
          <w:sz w:val="24"/>
          <w:szCs w:val="24"/>
          <w:spacing w:val="-1"/>
        </w:rPr>
        <w:t>建议企业加强日常生产管理，包括：</w:t>
      </w:r>
    </w:p>
    <w:p>
      <w:pPr>
        <w:ind w:left="31" w:right="203" w:firstLine="483"/>
        <w:spacing w:before="180" w:line="289"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）加强设备的维护，确保设备处于良好的运转状态，杜绝因设备不正常</w:t>
      </w:r>
      <w:r>
        <w:rPr>
          <w:rFonts w:ascii="FangSong" w:hAnsi="FangSong" w:eastAsia="FangSong" w:cs="FangSong"/>
          <w:sz w:val="24"/>
          <w:szCs w:val="24"/>
          <w:spacing w:val="-2"/>
        </w:rPr>
        <w:t>运转时产生的高噪声现象；</w:t>
      </w:r>
    </w:p>
    <w:p>
      <w:pPr>
        <w:ind w:left="514"/>
        <w:spacing w:before="184"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）加强职工环保意识教育，提倡文明生产，防止人为噪声；</w:t>
      </w:r>
    </w:p>
    <w:p>
      <w:pPr>
        <w:ind w:left="35" w:right="203" w:firstLine="479"/>
        <w:spacing w:before="179" w:line="29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）高噪声工位工人佩戴防护用品，如耳塞、耳罩、头盔等，减少噪声对</w:t>
      </w:r>
      <w:r>
        <w:rPr>
          <w:rFonts w:ascii="FangSong" w:hAnsi="FangSong" w:eastAsia="FangSong" w:cs="FangSong"/>
          <w:sz w:val="24"/>
          <w:szCs w:val="24"/>
          <w:spacing w:val="-4"/>
        </w:rPr>
        <w:t>工人的伤害。</w:t>
      </w:r>
    </w:p>
    <w:p>
      <w:pPr>
        <w:spacing w:before="179" w:line="222" w:lineRule="auto"/>
        <w:jc w:val="right"/>
        <w:rPr>
          <w:rFonts w:ascii="FangSong" w:hAnsi="FangSong" w:eastAsia="FangSong" w:cs="FangSong"/>
          <w:sz w:val="24"/>
          <w:szCs w:val="24"/>
        </w:rPr>
      </w:pPr>
      <w:r>
        <w:rPr>
          <w:rFonts w:ascii="FangSong" w:hAnsi="FangSong" w:eastAsia="FangSong" w:cs="FangSong"/>
          <w:sz w:val="24"/>
          <w:szCs w:val="24"/>
          <w:spacing w:val="-5"/>
        </w:rPr>
        <w:t>通过以上管理措施的落实，本项目对周围声环境的影响程度可降至最低程度。</w:t>
      </w:r>
    </w:p>
    <w:p>
      <w:pPr>
        <w:ind w:left="22"/>
        <w:spacing w:before="179" w:line="220" w:lineRule="auto"/>
        <w:outlineLvl w:val="2"/>
        <w:rPr>
          <w:rFonts w:ascii="FangSong" w:hAnsi="FangSong" w:eastAsia="FangSong" w:cs="FangSong"/>
          <w:sz w:val="24"/>
          <w:szCs w:val="24"/>
        </w:rPr>
      </w:pPr>
      <w:bookmarkStart w:name="bookmark330" w:id="445"/>
      <w:bookmarkEnd w:id="445"/>
      <w:bookmarkStart w:name="bookmark329" w:id="446"/>
      <w:bookmarkEnd w:id="446"/>
      <w:r>
        <w:rPr>
          <w:rFonts w:ascii="Times New Roman" w:hAnsi="Times New Roman" w:eastAsia="Times New Roman" w:cs="Times New Roman"/>
          <w:sz w:val="24"/>
          <w:szCs w:val="24"/>
          <w:b/>
          <w:bCs/>
          <w:spacing w:val="-4"/>
        </w:rPr>
        <w:t>7.2.4</w:t>
      </w:r>
      <w:r>
        <w:rPr>
          <w:rFonts w:ascii="Times New Roman" w:hAnsi="Times New Roman" w:eastAsia="Times New Roman" w:cs="Times New Roman"/>
          <w:sz w:val="24"/>
          <w:szCs w:val="24"/>
          <w:b/>
          <w:bCs/>
          <w:spacing w:val="21"/>
          <w:w w:val="101"/>
        </w:rPr>
        <w:t xml:space="preserve">  </w:t>
      </w:r>
      <w:r>
        <w:rPr>
          <w:rFonts w:ascii="FangSong" w:hAnsi="FangSong" w:eastAsia="FangSong" w:cs="FangSong"/>
          <w:sz w:val="24"/>
          <w:szCs w:val="24"/>
          <w:b/>
          <w:bCs/>
          <w:spacing w:val="-4"/>
        </w:rPr>
        <w:t>固体废物处置措施及有效性分析</w:t>
      </w:r>
    </w:p>
    <w:p>
      <w:pPr>
        <w:ind w:left="29" w:right="126"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项目产生的固体废物主要包括一般工业固体废</w:t>
      </w:r>
      <w:r>
        <w:rPr>
          <w:rFonts w:ascii="FangSong" w:hAnsi="FangSong" w:eastAsia="FangSong" w:cs="FangSong"/>
          <w:sz w:val="24"/>
          <w:szCs w:val="24"/>
          <w:spacing w:val="-4"/>
        </w:rPr>
        <w:t>物、危险废物和生活垃圾及餐</w:t>
      </w:r>
      <w:r>
        <w:rPr>
          <w:rFonts w:ascii="FangSong" w:hAnsi="FangSong" w:eastAsia="FangSong" w:cs="FangSong"/>
          <w:sz w:val="24"/>
          <w:szCs w:val="24"/>
          <w:spacing w:val="-7"/>
        </w:rPr>
        <w:t>厨垃圾（含废油脂</w:t>
      </w:r>
      <w:r>
        <w:rPr>
          <w:rFonts w:ascii="FangSong" w:hAnsi="FangSong" w:eastAsia="FangSong" w:cs="FangSong"/>
          <w:sz w:val="24"/>
          <w:szCs w:val="24"/>
          <w:spacing w:val="-18"/>
        </w:rPr>
        <w:t>），</w:t>
      </w:r>
      <w:r>
        <w:rPr>
          <w:rFonts w:ascii="FangSong" w:hAnsi="FangSong" w:eastAsia="FangSong" w:cs="FangSong"/>
          <w:sz w:val="24"/>
          <w:szCs w:val="24"/>
          <w:spacing w:val="-7"/>
        </w:rPr>
        <w:t>一般工业固体废物为采矿废石、污泥、尾砂、布袋除尘灰、</w:t>
      </w:r>
      <w:r>
        <w:rPr>
          <w:rFonts w:ascii="FangSong" w:hAnsi="FangSong" w:eastAsia="FangSong" w:cs="FangSong"/>
          <w:sz w:val="24"/>
          <w:szCs w:val="24"/>
          <w:spacing w:val="-1"/>
        </w:rPr>
        <w:t>废布袋；危险废物主要为含油抹布及劳保用品、废机油及废油桶。</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7.2.4.1  </w:t>
      </w:r>
      <w:r>
        <w:rPr>
          <w:rFonts w:ascii="FangSong" w:hAnsi="FangSong" w:eastAsia="FangSong" w:cs="FangSong"/>
          <w:sz w:val="24"/>
          <w:szCs w:val="24"/>
          <w:b/>
          <w:bCs/>
          <w:spacing w:val="-2"/>
        </w:rPr>
        <w:t>生活垃圾、餐厨垃圾（含废油脂）</w:t>
      </w:r>
    </w:p>
    <w:p>
      <w:pPr>
        <w:ind w:left="33" w:right="203" w:firstLine="478"/>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对办公生活区产生的生活垃圾采用垃圾桶收</w:t>
      </w:r>
      <w:r>
        <w:rPr>
          <w:rFonts w:ascii="FangSong" w:hAnsi="FangSong" w:eastAsia="FangSong" w:cs="FangSong"/>
          <w:sz w:val="24"/>
          <w:szCs w:val="24"/>
          <w:spacing w:val="-4"/>
        </w:rPr>
        <w:t>集，集中收集后定期交由当地环</w:t>
      </w:r>
      <w:r>
        <w:rPr>
          <w:rFonts w:ascii="FangSong" w:hAnsi="FangSong" w:eastAsia="FangSong" w:cs="FangSong"/>
          <w:sz w:val="24"/>
          <w:szCs w:val="24"/>
          <w:spacing w:val="-3"/>
        </w:rPr>
        <w:t>卫部门统一处理；餐厨垃圾（含废油脂）集中密闭桶装收</w:t>
      </w:r>
      <w:r>
        <w:rPr>
          <w:rFonts w:ascii="FangSong" w:hAnsi="FangSong" w:eastAsia="FangSong" w:cs="FangSong"/>
          <w:sz w:val="24"/>
          <w:szCs w:val="24"/>
          <w:spacing w:val="-4"/>
        </w:rPr>
        <w:t>集，定期交由有资质的</w:t>
      </w:r>
      <w:r>
        <w:rPr>
          <w:rFonts w:ascii="FangSong" w:hAnsi="FangSong" w:eastAsia="FangSong" w:cs="FangSong"/>
          <w:sz w:val="24"/>
          <w:szCs w:val="24"/>
          <w:spacing w:val="-4"/>
        </w:rPr>
        <w:t>单位处理。</w:t>
      </w:r>
    </w:p>
    <w:p>
      <w:pPr>
        <w:ind w:left="22"/>
        <w:spacing w:before="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7.2.4.2  </w:t>
      </w:r>
      <w:r>
        <w:rPr>
          <w:rFonts w:ascii="FangSong" w:hAnsi="FangSong" w:eastAsia="FangSong" w:cs="FangSong"/>
          <w:sz w:val="24"/>
          <w:szCs w:val="24"/>
          <w:b/>
          <w:bCs/>
          <w:spacing w:val="-2"/>
        </w:rPr>
        <w:t>一般工业固体废物</w:t>
      </w:r>
    </w:p>
    <w:p>
      <w:pPr>
        <w:ind w:left="514"/>
        <w:spacing w:before="18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）处置措施</w:t>
      </w:r>
    </w:p>
    <w:p>
      <w:pPr>
        <w:ind w:left="41" w:right="203" w:firstLine="470"/>
        <w:spacing w:before="178" w:line="360" w:lineRule="auto"/>
        <w:rPr>
          <w:rFonts w:ascii="FangSong" w:hAnsi="FangSong" w:eastAsia="FangSong" w:cs="FangSong"/>
          <w:sz w:val="24"/>
          <w:szCs w:val="24"/>
        </w:rPr>
      </w:pPr>
      <w:r>
        <w:rPr>
          <w:rFonts w:ascii="FangSong" w:hAnsi="FangSong" w:eastAsia="FangSong" w:cs="FangSong"/>
          <w:sz w:val="24"/>
          <w:szCs w:val="24"/>
          <w:spacing w:val="-3"/>
        </w:rPr>
        <w:t>采矿废石，不出坑，充填至井下空区；各水</w:t>
      </w:r>
      <w:r>
        <w:rPr>
          <w:rFonts w:ascii="FangSong" w:hAnsi="FangSong" w:eastAsia="FangSong" w:cs="FangSong"/>
          <w:sz w:val="24"/>
          <w:szCs w:val="24"/>
          <w:spacing w:val="-4"/>
        </w:rPr>
        <w:t>池产生的污泥和除尘装置产生的</w:t>
      </w:r>
      <w:r>
        <w:rPr>
          <w:rFonts w:ascii="FangSong" w:hAnsi="FangSong" w:eastAsia="FangSong" w:cs="FangSong"/>
          <w:sz w:val="24"/>
          <w:szCs w:val="24"/>
          <w:spacing w:val="-4"/>
        </w:rPr>
        <w:t>除尘灰直接返回选矿工序作原料；产生的尾矿经浓缩过滤脱水后临时堆存在尾矿</w:t>
      </w:r>
      <w:r>
        <w:rPr>
          <w:rFonts w:ascii="FangSong" w:hAnsi="FangSong" w:eastAsia="FangSong" w:cs="FangSong"/>
          <w:sz w:val="24"/>
          <w:szCs w:val="24"/>
          <w:spacing w:val="-4"/>
        </w:rPr>
        <w:t>临时堆场，优先用于回填井下采空区，剩余外卖至建材生产企业生产建材；布袋</w:t>
      </w:r>
      <w:r>
        <w:rPr>
          <w:rFonts w:ascii="FangSong" w:hAnsi="FangSong" w:eastAsia="FangSong" w:cs="FangSong"/>
          <w:sz w:val="24"/>
          <w:szCs w:val="24"/>
          <w:spacing w:val="-1"/>
        </w:rPr>
        <w:t>除尘灰全部返回磨浮工序作原料，废布袋收集后交由厂家回收处理。</w:t>
      </w:r>
    </w:p>
    <w:p>
      <w:pPr>
        <w:ind w:left="514"/>
        <w:spacing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）废石、尾矿处置可行性分析</w:t>
      </w:r>
    </w:p>
    <w:p>
      <w:pPr>
        <w:ind w:left="502"/>
        <w:spacing w:before="182" w:line="22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尾矿临时堆场容量可满足性分析</w:t>
      </w:r>
    </w:p>
    <w:p>
      <w:pPr>
        <w:spacing w:line="220" w:lineRule="auto"/>
        <w:sectPr>
          <w:footerReference w:type="default" r:id="rId347"/>
          <w:pgSz w:w="11906" w:h="16839"/>
          <w:pgMar w:top="400" w:right="159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153" w:firstLine="480"/>
        <w:spacing w:before="78" w:line="360" w:lineRule="auto"/>
        <w:jc w:val="both"/>
        <w:rPr>
          <w:rFonts w:ascii="FangSong" w:hAnsi="FangSong" w:eastAsia="FangSong" w:cs="FangSong"/>
          <w:sz w:val="24"/>
          <w:szCs w:val="24"/>
        </w:rPr>
      </w:pPr>
      <w:bookmarkStart w:name="bookmark607" w:id="447"/>
      <w:bookmarkEnd w:id="447"/>
      <w:r>
        <w:rPr>
          <w:rFonts w:ascii="FangSong" w:hAnsi="FangSong" w:eastAsia="FangSong" w:cs="FangSong"/>
          <w:sz w:val="24"/>
          <w:szCs w:val="24"/>
          <w:spacing w:val="-3"/>
        </w:rPr>
        <w:t>根据工程分析，项目选矿产生的尾矿等临时运</w:t>
      </w:r>
      <w:r>
        <w:rPr>
          <w:rFonts w:ascii="FangSong" w:hAnsi="FangSong" w:eastAsia="FangSong" w:cs="FangSong"/>
          <w:sz w:val="24"/>
          <w:szCs w:val="24"/>
          <w:spacing w:val="-4"/>
        </w:rPr>
        <w:t>至尾矿临时堆场暂存，且尾矿</w:t>
      </w:r>
      <w:r>
        <w:rPr>
          <w:rFonts w:ascii="FangSong" w:hAnsi="FangSong" w:eastAsia="FangSong" w:cs="FangSong"/>
          <w:sz w:val="24"/>
          <w:szCs w:val="24"/>
          <w:spacing w:val="-9"/>
        </w:rPr>
        <w:t>均不长时间堆存；根据矿山开发利用方案设计，项目区共设置</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9"/>
        </w:rPr>
        <w:t>处</w:t>
      </w:r>
      <w:r>
        <w:rPr>
          <w:rFonts w:ascii="FangSong" w:hAnsi="FangSong" w:eastAsia="FangSong" w:cs="FangSong"/>
          <w:sz w:val="24"/>
          <w:szCs w:val="24"/>
          <w:spacing w:val="-10"/>
        </w:rPr>
        <w:t>尾矿临时堆场，</w:t>
      </w:r>
      <w:r>
        <w:rPr>
          <w:rFonts w:ascii="FangSong" w:hAnsi="FangSong" w:eastAsia="FangSong" w:cs="FangSong"/>
          <w:sz w:val="24"/>
          <w:szCs w:val="24"/>
          <w:spacing w:val="-4"/>
        </w:rPr>
        <w:t>面积为</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4"/>
        </w:rPr>
        <w:t>2100m</w:t>
      </w:r>
      <w:r>
        <w:rPr>
          <w:rFonts w:ascii="Times New Roman" w:hAnsi="Times New Roman" w:eastAsia="Times New Roman" w:cs="Times New Roman"/>
          <w:sz w:val="15"/>
          <w:szCs w:val="15"/>
          <w:spacing w:val="-4"/>
          <w:position w:val="7"/>
        </w:rPr>
        <w:t>2 </w:t>
      </w:r>
      <w:r>
        <w:rPr>
          <w:rFonts w:ascii="FangSong" w:hAnsi="FangSong" w:eastAsia="FangSong" w:cs="FangSong"/>
          <w:sz w:val="24"/>
          <w:szCs w:val="24"/>
          <w:spacing w:val="-4"/>
        </w:rPr>
        <w:t>，总容积约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3.47</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，周转周期为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天，可满足尾矿等临时堆存</w:t>
      </w:r>
      <w:r>
        <w:rPr>
          <w:rFonts w:ascii="FangSong" w:hAnsi="FangSong" w:eastAsia="FangSong" w:cs="FangSong"/>
          <w:sz w:val="24"/>
          <w:szCs w:val="24"/>
          <w:spacing w:val="-6"/>
        </w:rPr>
        <w:t>需要。</w:t>
      </w:r>
    </w:p>
    <w:p>
      <w:pPr>
        <w:ind w:left="501"/>
        <w:spacing w:line="220"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废石、尾砂处置方式可行性分析</w:t>
      </w:r>
    </w:p>
    <w:p>
      <w:pPr>
        <w:ind w:left="29"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项目产生的废石不出井用于井下采空区充填，</w:t>
      </w:r>
      <w:r>
        <w:rPr>
          <w:rFonts w:ascii="FangSong" w:hAnsi="FangSong" w:eastAsia="FangSong" w:cs="FangSong"/>
          <w:sz w:val="24"/>
          <w:szCs w:val="24"/>
          <w:spacing w:val="-4"/>
        </w:rPr>
        <w:t>产生的尾矿经浓缩过滤脱水后</w:t>
      </w:r>
      <w:r>
        <w:rPr>
          <w:rFonts w:ascii="FangSong" w:hAnsi="FangSong" w:eastAsia="FangSong" w:cs="FangSong"/>
          <w:sz w:val="24"/>
          <w:szCs w:val="24"/>
          <w:spacing w:val="-3"/>
        </w:rPr>
        <w:t>临时堆存在尾矿临时堆场内。产生的废石、尾矿用于回填井下采空</w:t>
      </w:r>
      <w:r>
        <w:rPr>
          <w:rFonts w:ascii="FangSong" w:hAnsi="FangSong" w:eastAsia="FangSong" w:cs="FangSong"/>
          <w:sz w:val="24"/>
          <w:szCs w:val="24"/>
          <w:spacing w:val="-4"/>
        </w:rPr>
        <w:t>区，剩余尾矿</w:t>
      </w:r>
      <w:r>
        <w:rPr>
          <w:rFonts w:ascii="FangSong" w:hAnsi="FangSong" w:eastAsia="FangSong" w:cs="FangSong"/>
          <w:sz w:val="24"/>
          <w:szCs w:val="24"/>
          <w:spacing w:val="-15"/>
        </w:rPr>
        <w:t>外送做建筑用砂材料。根据《矿山生态环境保护与污染防治技术</w:t>
      </w:r>
      <w:r>
        <w:rPr>
          <w:rFonts w:ascii="FangSong" w:hAnsi="FangSong" w:eastAsia="FangSong" w:cs="FangSong"/>
          <w:sz w:val="24"/>
          <w:szCs w:val="24"/>
          <w:spacing w:val="-16"/>
        </w:rPr>
        <w:t>政策》（环发（</w:t>
      </w:r>
      <w:r>
        <w:rPr>
          <w:rFonts w:ascii="Times New Roman" w:hAnsi="Times New Roman" w:eastAsia="Times New Roman" w:cs="Times New Roman"/>
          <w:sz w:val="24"/>
          <w:szCs w:val="24"/>
          <w:spacing w:val="-16"/>
        </w:rPr>
        <w:t>2005</w:t>
      </w:r>
      <w:r>
        <w:rPr>
          <w:rFonts w:ascii="FangSong" w:hAnsi="FangSong" w:eastAsia="FangSong" w:cs="FangSong"/>
          <w:sz w:val="24"/>
          <w:szCs w:val="24"/>
          <w:spacing w:val="-16"/>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109</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3"/>
        </w:rPr>
        <w:t>号</w:t>
      </w:r>
      <w:r>
        <w:rPr>
          <w:rFonts w:ascii="FangSong" w:hAnsi="FangSong" w:eastAsia="FangSong" w:cs="FangSong"/>
          <w:sz w:val="24"/>
          <w:szCs w:val="24"/>
          <w:spacing w:val="-1"/>
        </w:rPr>
        <w:t>），</w:t>
      </w:r>
      <w:r>
        <w:rPr>
          <w:rFonts w:ascii="FangSong" w:hAnsi="FangSong" w:eastAsia="FangSong" w:cs="FangSong"/>
          <w:sz w:val="24"/>
          <w:szCs w:val="24"/>
          <w:spacing w:val="-3"/>
        </w:rPr>
        <w:t>“利用尾砂、废石充填采空区</w:t>
      </w:r>
      <w:r>
        <w:rPr>
          <w:rFonts w:ascii="FangSong" w:hAnsi="FangSong" w:eastAsia="FangSong" w:cs="FangSong"/>
          <w:sz w:val="24"/>
          <w:szCs w:val="24"/>
          <w:spacing w:val="-89"/>
        </w:rPr>
        <w:t xml:space="preserve"> </w:t>
      </w:r>
      <w:r>
        <w:rPr>
          <w:rFonts w:ascii="FangSong" w:hAnsi="FangSong" w:eastAsia="FangSong" w:cs="FangSong"/>
          <w:sz w:val="24"/>
          <w:szCs w:val="24"/>
          <w:spacing w:val="-3"/>
        </w:rPr>
        <w:t>”为鼓励采用的采矿技术，可提高尾矿</w:t>
      </w:r>
      <w:r>
        <w:rPr>
          <w:rFonts w:ascii="FangSong" w:hAnsi="FangSong" w:eastAsia="FangSong" w:cs="FangSong"/>
          <w:sz w:val="24"/>
          <w:szCs w:val="24"/>
          <w:spacing w:val="-3"/>
        </w:rPr>
        <w:t>资源利用率，减少尾矿、废石排放，消除和减少尾矿、废石环境污</w:t>
      </w:r>
      <w:r>
        <w:rPr>
          <w:rFonts w:ascii="FangSong" w:hAnsi="FangSong" w:eastAsia="FangSong" w:cs="FangSong"/>
          <w:sz w:val="24"/>
          <w:szCs w:val="24"/>
          <w:spacing w:val="-4"/>
        </w:rPr>
        <w:t>染。故项目废</w:t>
      </w:r>
      <w:r>
        <w:rPr>
          <w:rFonts w:ascii="FangSong" w:hAnsi="FangSong" w:eastAsia="FangSong" w:cs="FangSong"/>
          <w:sz w:val="24"/>
          <w:szCs w:val="24"/>
          <w:spacing w:val="-2"/>
        </w:rPr>
        <w:t>石、尾矿处置措施可行。</w:t>
      </w:r>
    </w:p>
    <w:p>
      <w:pPr>
        <w:ind w:left="501"/>
        <w:spacing w:line="220"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尾矿临时堆场选址可行性分析</w:t>
      </w:r>
    </w:p>
    <w:p>
      <w:pPr>
        <w:ind w:left="32" w:right="219" w:firstLine="478"/>
        <w:spacing w:before="181" w:line="360" w:lineRule="auto"/>
        <w:rPr>
          <w:rFonts w:ascii="FangSong" w:hAnsi="FangSong" w:eastAsia="FangSong" w:cs="FangSong"/>
          <w:sz w:val="24"/>
          <w:szCs w:val="24"/>
        </w:rPr>
      </w:pPr>
      <w:r>
        <w:rPr>
          <w:rFonts w:ascii="FangSong" w:hAnsi="FangSong" w:eastAsia="FangSong" w:cs="FangSong"/>
          <w:sz w:val="24"/>
          <w:szCs w:val="24"/>
          <w:spacing w:val="-3"/>
        </w:rPr>
        <w:t>根据本项目开发方案和可行性研究报告，结合</w:t>
      </w:r>
      <w:r>
        <w:rPr>
          <w:rFonts w:ascii="FangSong" w:hAnsi="FangSong" w:eastAsia="FangSong" w:cs="FangSong"/>
          <w:sz w:val="24"/>
          <w:szCs w:val="24"/>
          <w:spacing w:val="-4"/>
        </w:rPr>
        <w:t>参考《苏尼特右旗珑辉矿业有</w:t>
      </w:r>
      <w:r>
        <w:rPr>
          <w:rFonts w:ascii="FangSong" w:hAnsi="FangSong" w:eastAsia="FangSong" w:cs="FangSong"/>
          <w:sz w:val="24"/>
          <w:szCs w:val="24"/>
          <w:spacing w:val="-3"/>
        </w:rPr>
        <w:t>限责任公司萤石选厂技术改造项目（变更）环境影响报告书</w:t>
      </w:r>
      <w:r>
        <w:rPr>
          <w:rFonts w:ascii="FangSong" w:hAnsi="FangSong" w:eastAsia="FangSong" w:cs="FangSong"/>
          <w:sz w:val="24"/>
          <w:szCs w:val="24"/>
          <w:spacing w:val="-4"/>
        </w:rPr>
        <w:t>》（该项目位于本项</w:t>
      </w:r>
      <w:r>
        <w:rPr>
          <w:rFonts w:ascii="FangSong" w:hAnsi="FangSong" w:eastAsia="FangSong" w:cs="FangSong"/>
          <w:sz w:val="24"/>
          <w:szCs w:val="24"/>
          <w:spacing w:val="4"/>
        </w:rPr>
        <w:t>目采区北侧紧邻）浸出毒性检测结果可知，本项目开采产生的尾矿均属于第</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17"/>
        </w:rPr>
        <w:t>类般工业固体废物</w:t>
      </w:r>
      <w:r>
        <w:rPr>
          <w:rFonts w:ascii="FangSong" w:hAnsi="FangSong" w:eastAsia="FangSong" w:cs="FangSong"/>
          <w:sz w:val="24"/>
          <w:szCs w:val="24"/>
          <w:spacing w:val="-67"/>
        </w:rPr>
        <w:t xml:space="preserve"> </w:t>
      </w:r>
      <w:r>
        <w:rPr>
          <w:rFonts w:ascii="FangSong" w:hAnsi="FangSong" w:eastAsia="FangSong" w:cs="FangSong"/>
          <w:sz w:val="24"/>
          <w:szCs w:val="24"/>
          <w:spacing w:val="17"/>
        </w:rPr>
        <w:t>，根据《一般工业固体废物贮存和填埋污染控制标准》</w:t>
      </w:r>
      <w:r>
        <w:rPr>
          <w:rFonts w:ascii="FangSong" w:hAnsi="FangSong" w:eastAsia="FangSong" w:cs="FangSong"/>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GB18599-2020</w:t>
      </w:r>
      <w:r>
        <w:rPr>
          <w:rFonts w:ascii="FangSong" w:hAnsi="FangSong" w:eastAsia="FangSong" w:cs="FangSong"/>
          <w:sz w:val="24"/>
          <w:szCs w:val="24"/>
          <w:spacing w:val="-3"/>
        </w:rPr>
        <w:t>）</w:t>
      </w:r>
      <w:r>
        <w:rPr>
          <w:rFonts w:ascii="FangSong" w:hAnsi="FangSong" w:eastAsia="FangSong" w:cs="FangSong"/>
          <w:sz w:val="24"/>
          <w:szCs w:val="24"/>
          <w:spacing w:val="-69"/>
        </w:rPr>
        <w:t xml:space="preserve"> </w:t>
      </w:r>
      <w:r>
        <w:rPr>
          <w:rFonts w:ascii="FangSong" w:hAnsi="FangSong" w:eastAsia="FangSong" w:cs="FangSong"/>
          <w:sz w:val="24"/>
          <w:szCs w:val="24"/>
          <w:spacing w:val="-3"/>
        </w:rPr>
        <w:t>中对第</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类一般工业固体废物处置场的规定，由</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1.4.2</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章节</w:t>
      </w:r>
      <w:r>
        <w:rPr>
          <w:rFonts w:ascii="FangSong" w:hAnsi="FangSong" w:eastAsia="FangSong" w:cs="FangSong"/>
          <w:sz w:val="24"/>
          <w:szCs w:val="24"/>
          <w:spacing w:val="-1"/>
        </w:rPr>
        <w:t>可知，本项目所建设尾矿临时堆场可满足要求。</w:t>
      </w:r>
    </w:p>
    <w:p>
      <w:pPr>
        <w:ind w:left="512"/>
        <w:spacing w:before="1" w:line="220" w:lineRule="auto"/>
        <w:rPr>
          <w:rFonts w:ascii="FangSong" w:hAnsi="FangSong" w:eastAsia="FangSong" w:cs="FangSong"/>
          <w:sz w:val="24"/>
          <w:szCs w:val="24"/>
        </w:rPr>
      </w:pPr>
      <w:r>
        <w:rPr>
          <w:rFonts w:ascii="FangSong" w:hAnsi="FangSong" w:eastAsia="FangSong" w:cs="FangSong"/>
          <w:sz w:val="24"/>
          <w:szCs w:val="24"/>
          <w:spacing w:val="-2"/>
        </w:rPr>
        <w:t>综上，项目废石、尾矿处置措施可行。</w:t>
      </w:r>
    </w:p>
    <w:p>
      <w:pPr>
        <w:ind w:left="22"/>
        <w:spacing w:before="181"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7.2.4.3</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4"/>
        </w:rPr>
        <w:t>危险废物</w:t>
      </w:r>
    </w:p>
    <w:p>
      <w:pPr>
        <w:ind w:left="514"/>
        <w:spacing w:before="18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）处置措施</w:t>
      </w:r>
    </w:p>
    <w:p>
      <w:pPr>
        <w:ind w:left="27" w:right="219" w:firstLine="483"/>
        <w:spacing w:before="178" w:line="360" w:lineRule="auto"/>
        <w:rPr>
          <w:rFonts w:ascii="FangSong" w:hAnsi="FangSong" w:eastAsia="FangSong" w:cs="FangSong"/>
          <w:sz w:val="24"/>
          <w:szCs w:val="24"/>
        </w:rPr>
      </w:pPr>
      <w:r>
        <w:rPr>
          <w:rFonts w:ascii="FangSong" w:hAnsi="FangSong" w:eastAsia="FangSong" w:cs="FangSong"/>
          <w:sz w:val="24"/>
          <w:szCs w:val="24"/>
          <w:spacing w:val="-3"/>
        </w:rPr>
        <w:t>项目机修过程中有含油抹布及劳保用品、废机</w:t>
      </w:r>
      <w:r>
        <w:rPr>
          <w:rFonts w:ascii="FangSong" w:hAnsi="FangSong" w:eastAsia="FangSong" w:cs="FangSong"/>
          <w:sz w:val="24"/>
          <w:szCs w:val="24"/>
          <w:spacing w:val="-4"/>
        </w:rPr>
        <w:t>油及废油桶产生，废机油密封</w:t>
      </w:r>
      <w:r>
        <w:rPr>
          <w:rFonts w:ascii="FangSong" w:hAnsi="FangSong" w:eastAsia="FangSong" w:cs="FangSong"/>
          <w:sz w:val="24"/>
          <w:szCs w:val="24"/>
          <w:spacing w:val="-3"/>
        </w:rPr>
        <w:t>桶装、含油抹布及劳保用品密封袋装后，集中暂存于危险废物贮存点内，</w:t>
      </w:r>
      <w:r>
        <w:rPr>
          <w:rFonts w:ascii="FangSong" w:hAnsi="FangSong" w:eastAsia="FangSong" w:cs="FangSong"/>
          <w:sz w:val="24"/>
          <w:szCs w:val="24"/>
          <w:spacing w:val="-4"/>
        </w:rPr>
        <w:t>定期送</w:t>
      </w:r>
      <w:r>
        <w:rPr>
          <w:rFonts w:ascii="FangSong" w:hAnsi="FangSong" w:eastAsia="FangSong" w:cs="FangSong"/>
          <w:sz w:val="24"/>
          <w:szCs w:val="24"/>
          <w:spacing w:val="-1"/>
        </w:rPr>
        <w:t>有危险废物处理资质的单位进行处理</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处置。</w:t>
      </w:r>
    </w:p>
    <w:p>
      <w:pPr>
        <w:ind w:left="514"/>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）委托处置环节污染防控技术要求</w:t>
      </w:r>
    </w:p>
    <w:p>
      <w:pPr>
        <w:ind w:left="27" w:right="180" w:firstLine="491"/>
        <w:spacing w:before="177" w:line="360" w:lineRule="auto"/>
        <w:rPr>
          <w:rFonts w:ascii="FangSong" w:hAnsi="FangSong" w:eastAsia="FangSong" w:cs="FangSong"/>
          <w:sz w:val="24"/>
          <w:szCs w:val="24"/>
        </w:rPr>
      </w:pPr>
      <w:r>
        <w:rPr>
          <w:rFonts w:ascii="FangSong" w:hAnsi="FangSong" w:eastAsia="FangSong" w:cs="FangSong"/>
          <w:sz w:val="24"/>
          <w:szCs w:val="24"/>
          <w:spacing w:val="-4"/>
        </w:rPr>
        <w:t>委托他人运输、利用、处置危险废物的，应落实《中华人民共和国固体废物</w:t>
      </w:r>
      <w:r>
        <w:rPr>
          <w:rFonts w:ascii="FangSong" w:hAnsi="FangSong" w:eastAsia="FangSong" w:cs="FangSong"/>
          <w:sz w:val="24"/>
          <w:szCs w:val="24"/>
          <w:spacing w:val="-2"/>
        </w:rPr>
        <w:t>污染环境防治法》等法律法规要求，对受托方的主体资格和技术能力进行核实，</w:t>
      </w:r>
      <w:r>
        <w:rPr>
          <w:rFonts w:ascii="FangSong" w:hAnsi="FangSong" w:eastAsia="FangSong" w:cs="FangSong"/>
          <w:sz w:val="24"/>
          <w:szCs w:val="24"/>
          <w:spacing w:val="-3"/>
        </w:rPr>
        <w:t>依法签订书面合同在合同中约定污染防治要求：转移危险废物的，应当按</w:t>
      </w:r>
      <w:r>
        <w:rPr>
          <w:rFonts w:ascii="FangSong" w:hAnsi="FangSong" w:eastAsia="FangSong" w:cs="FangSong"/>
          <w:sz w:val="24"/>
          <w:szCs w:val="24"/>
          <w:spacing w:val="-4"/>
        </w:rPr>
        <w:t>照国家</w:t>
      </w:r>
      <w:r>
        <w:rPr>
          <w:rFonts w:ascii="FangSong" w:hAnsi="FangSong" w:eastAsia="FangSong" w:cs="FangSong"/>
          <w:sz w:val="24"/>
          <w:szCs w:val="24"/>
          <w:spacing w:val="-1"/>
        </w:rPr>
        <w:t>有关规定填写、运行危险废物转移联单等。</w:t>
      </w:r>
    </w:p>
    <w:p>
      <w:pPr>
        <w:spacing w:line="360" w:lineRule="auto"/>
        <w:sectPr>
          <w:footerReference w:type="default" r:id="rId348"/>
          <w:pgSz w:w="11906" w:h="16839"/>
          <w:pgMar w:top="400" w:right="158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608"/>
        <w:spacing w:before="79" w:line="219"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FangSong" w:hAnsi="FangSong" w:eastAsia="FangSong" w:cs="FangSong"/>
          <w:sz w:val="24"/>
          <w:szCs w:val="24"/>
          <w:spacing w:val="-5"/>
        </w:rPr>
        <w:t>）</w:t>
      </w:r>
      <w:r>
        <w:rPr>
          <w:rFonts w:ascii="FangSong" w:hAnsi="FangSong" w:eastAsia="FangSong" w:cs="FangSong"/>
          <w:sz w:val="24"/>
          <w:szCs w:val="24"/>
          <w:spacing w:val="-57"/>
        </w:rPr>
        <w:t xml:space="preserve"> </w:t>
      </w:r>
      <w:r>
        <w:rPr>
          <w:rFonts w:ascii="FangSong" w:hAnsi="FangSong" w:eastAsia="FangSong" w:cs="FangSong"/>
          <w:sz w:val="24"/>
          <w:szCs w:val="24"/>
          <w:spacing w:val="-5"/>
        </w:rPr>
        <w:t>自行贮存设施污染防控技术要求</w:t>
      </w:r>
    </w:p>
    <w:p>
      <w:pPr>
        <w:ind w:left="125" w:right="63" w:firstLine="479"/>
        <w:spacing w:before="182" w:line="360" w:lineRule="auto"/>
        <w:rPr>
          <w:rFonts w:ascii="FangSong" w:hAnsi="FangSong" w:eastAsia="FangSong" w:cs="FangSong"/>
          <w:sz w:val="24"/>
          <w:szCs w:val="24"/>
        </w:rPr>
      </w:pPr>
      <w:r>
        <w:rPr>
          <w:rFonts w:ascii="FangSong" w:hAnsi="FangSong" w:eastAsia="FangSong" w:cs="FangSong"/>
          <w:sz w:val="24"/>
          <w:szCs w:val="24"/>
          <w:spacing w:val="-6"/>
        </w:rPr>
        <w:t>项目新建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个危险废物贮存点，位于项目区工业广场内，</w:t>
      </w:r>
      <w:r>
        <w:rPr>
          <w:rFonts w:ascii="FangSong" w:hAnsi="FangSong" w:eastAsia="FangSong" w:cs="FangSong"/>
          <w:sz w:val="24"/>
          <w:szCs w:val="24"/>
          <w:spacing w:val="-63"/>
        </w:rPr>
        <w:t xml:space="preserve"> </w:t>
      </w:r>
      <w:r>
        <w:rPr>
          <w:rFonts w:ascii="FangSong" w:hAnsi="FangSong" w:eastAsia="FangSong" w:cs="FangSong"/>
          <w:sz w:val="24"/>
          <w:szCs w:val="24"/>
          <w:spacing w:val="-6"/>
        </w:rPr>
        <w:t>占地面积约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10m</w:t>
      </w:r>
      <w:r>
        <w:rPr>
          <w:rFonts w:ascii="FangSong" w:hAnsi="FangSong" w:eastAsia="FangSong" w:cs="FangSong"/>
          <w:sz w:val="24"/>
          <w:szCs w:val="24"/>
          <w:spacing w:val="-6"/>
        </w:rPr>
        <w:t>，</w:t>
      </w:r>
      <w:r>
        <w:rPr>
          <w:rFonts w:ascii="FangSong" w:hAnsi="FangSong" w:eastAsia="FangSong" w:cs="FangSong"/>
          <w:sz w:val="24"/>
          <w:szCs w:val="24"/>
          <w:spacing w:val="-3"/>
        </w:rPr>
        <w:t>其位置地质结构稳定，不属于溶洞区或易遭受洪水、滑坡、泥</w:t>
      </w:r>
      <w:r>
        <w:rPr>
          <w:rFonts w:ascii="FangSong" w:hAnsi="FangSong" w:eastAsia="FangSong" w:cs="FangSong"/>
          <w:sz w:val="24"/>
          <w:szCs w:val="24"/>
          <w:spacing w:val="-4"/>
        </w:rPr>
        <w:t>石流、潮汐等严重</w:t>
      </w:r>
      <w:r>
        <w:rPr>
          <w:rFonts w:ascii="FangSong" w:hAnsi="FangSong" w:eastAsia="FangSong" w:cs="FangSong"/>
          <w:sz w:val="24"/>
          <w:szCs w:val="24"/>
          <w:spacing w:val="-3"/>
        </w:rPr>
        <w:t>自然灾害影响的区域；不位于江河、湖泊、运河、渠道、水库</w:t>
      </w:r>
      <w:r>
        <w:rPr>
          <w:rFonts w:ascii="FangSong" w:hAnsi="FangSong" w:eastAsia="FangSong" w:cs="FangSong"/>
          <w:sz w:val="24"/>
          <w:szCs w:val="24"/>
          <w:spacing w:val="-4"/>
        </w:rPr>
        <w:t>及其最高水位线以</w:t>
      </w:r>
      <w:r>
        <w:rPr>
          <w:rFonts w:ascii="FangSong" w:hAnsi="FangSong" w:eastAsia="FangSong" w:cs="FangSong"/>
          <w:sz w:val="24"/>
          <w:szCs w:val="24"/>
          <w:spacing w:val="-3"/>
        </w:rPr>
        <w:t>下的滩地和岸坡；周围无易燃、易爆的危险品仓库、高压输电</w:t>
      </w:r>
      <w:r>
        <w:rPr>
          <w:rFonts w:ascii="FangSong" w:hAnsi="FangSong" w:eastAsia="FangSong" w:cs="FangSong"/>
          <w:sz w:val="24"/>
          <w:szCs w:val="24"/>
          <w:spacing w:val="-4"/>
        </w:rPr>
        <w:t>线路防护区域，其</w:t>
      </w:r>
      <w:r>
        <w:rPr>
          <w:rFonts w:ascii="FangSong" w:hAnsi="FangSong" w:eastAsia="FangSong" w:cs="FangSong"/>
          <w:sz w:val="24"/>
          <w:szCs w:val="24"/>
          <w:spacing w:val="1"/>
        </w:rPr>
        <w:t>选址符合《危险废物贮存污染控制标准》（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rPr>
        <w:t>8597-2023</w:t>
      </w:r>
      <w:r>
        <w:rPr>
          <w:rFonts w:ascii="FangSong" w:hAnsi="FangSong" w:eastAsia="FangSong" w:cs="FangSong"/>
          <w:sz w:val="24"/>
          <w:szCs w:val="24"/>
        </w:rPr>
        <w:t>）</w:t>
      </w:r>
      <w:r>
        <w:rPr>
          <w:rFonts w:ascii="FangSong" w:hAnsi="FangSong" w:eastAsia="FangSong" w:cs="FangSong"/>
          <w:sz w:val="24"/>
          <w:szCs w:val="24"/>
          <w:spacing w:val="-66"/>
        </w:rPr>
        <w:t xml:space="preserve"> </w:t>
      </w:r>
      <w:r>
        <w:rPr>
          <w:rFonts w:ascii="FangSong" w:hAnsi="FangSong" w:eastAsia="FangSong" w:cs="FangSong"/>
          <w:sz w:val="24"/>
          <w:szCs w:val="24"/>
        </w:rPr>
        <w:t>中相关要求。基本</w:t>
      </w:r>
      <w:r>
        <w:rPr>
          <w:rFonts w:ascii="FangSong" w:hAnsi="FangSong" w:eastAsia="FangSong" w:cs="FangSong"/>
          <w:sz w:val="24"/>
          <w:szCs w:val="24"/>
          <w:spacing w:val="-3"/>
        </w:rPr>
        <w:t>情况见表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7.2-1</w:t>
      </w:r>
      <w:r>
        <w:rPr>
          <w:rFonts w:ascii="FangSong" w:hAnsi="FangSong" w:eastAsia="FangSong" w:cs="FangSong"/>
          <w:sz w:val="24"/>
          <w:szCs w:val="24"/>
          <w:spacing w:val="-3"/>
        </w:rPr>
        <w:t>。</w:t>
      </w:r>
    </w:p>
    <w:p>
      <w:pPr>
        <w:ind w:left="1287"/>
        <w:spacing w:line="219"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2"/>
        </w:rPr>
        <w:t>7.2-1  </w:t>
      </w:r>
      <w:r>
        <w:rPr>
          <w:rFonts w:ascii="FangSong" w:hAnsi="FangSong" w:eastAsia="FangSong" w:cs="FangSong"/>
          <w:sz w:val="24"/>
          <w:szCs w:val="24"/>
          <w:b/>
          <w:bCs/>
          <w:spacing w:val="-2"/>
        </w:rPr>
        <w:t>建设项目危险废物贮存场所（设施</w:t>
      </w:r>
      <w:r>
        <w:rPr>
          <w:rFonts w:ascii="FangSong" w:hAnsi="FangSong" w:eastAsia="FangSong" w:cs="FangSong"/>
          <w:sz w:val="24"/>
          <w:szCs w:val="24"/>
          <w:b/>
          <w:bCs/>
          <w:spacing w:val="-3"/>
        </w:rPr>
        <w:t>）基本情况表</w:t>
      </w:r>
    </w:p>
    <w:p>
      <w:pPr>
        <w:spacing w:line="68"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3"/>
        <w:gridCol w:w="638"/>
        <w:gridCol w:w="638"/>
        <w:gridCol w:w="789"/>
        <w:gridCol w:w="1168"/>
        <w:gridCol w:w="640"/>
        <w:gridCol w:w="790"/>
        <w:gridCol w:w="640"/>
        <w:gridCol w:w="640"/>
        <w:gridCol w:w="640"/>
        <w:gridCol w:w="1375"/>
      </w:tblGrid>
      <w:tr>
        <w:trPr>
          <w:trHeight w:val="941" w:hRule="atLeast"/>
        </w:trPr>
        <w:tc>
          <w:tcPr>
            <w:tcW w:w="563" w:type="dxa"/>
            <w:vAlign w:val="top"/>
            <w:textDirection w:val="tbRlV"/>
            <w:tcBorders>
              <w:top w:val="single" w:color="000000" w:sz="10" w:space="0"/>
              <w:left w:val="nil"/>
            </w:tcBorders>
          </w:tcPr>
          <w:p>
            <w:pPr>
              <w:pStyle w:val="TableText"/>
              <w:ind w:left="217"/>
              <w:spacing w:before="180" w:line="210" w:lineRule="auto"/>
              <w:rPr>
                <w:sz w:val="19"/>
                <w:szCs w:val="19"/>
              </w:rPr>
            </w:pPr>
            <w:r>
              <w:rPr>
                <w:sz w:val="19"/>
                <w:szCs w:val="19"/>
                <w:spacing w:val="13"/>
              </w:rPr>
              <w:t>序</w:t>
            </w:r>
            <w:r>
              <w:rPr>
                <w:sz w:val="19"/>
                <w:szCs w:val="19"/>
                <w:spacing w:val="13"/>
              </w:rPr>
              <w:t xml:space="preserve"> </w:t>
            </w:r>
            <w:r>
              <w:rPr>
                <w:sz w:val="19"/>
                <w:szCs w:val="19"/>
                <w:spacing w:val="13"/>
              </w:rPr>
              <w:t>号</w:t>
            </w:r>
          </w:p>
        </w:tc>
        <w:tc>
          <w:tcPr>
            <w:tcW w:w="638" w:type="dxa"/>
            <w:vAlign w:val="top"/>
            <w:tcBorders>
              <w:top w:val="single" w:color="000000" w:sz="10" w:space="0"/>
            </w:tcBorders>
          </w:tcPr>
          <w:p>
            <w:pPr>
              <w:pStyle w:val="TableText"/>
              <w:ind w:left="130"/>
              <w:spacing w:before="62" w:line="228" w:lineRule="auto"/>
              <w:rPr>
                <w:sz w:val="19"/>
                <w:szCs w:val="19"/>
              </w:rPr>
            </w:pPr>
            <w:r>
              <w:rPr>
                <w:sz w:val="19"/>
                <w:szCs w:val="19"/>
                <w:spacing w:val="2"/>
              </w:rPr>
              <w:t>贮存</w:t>
            </w:r>
          </w:p>
          <w:p>
            <w:pPr>
              <w:pStyle w:val="TableText"/>
              <w:ind w:left="130"/>
              <w:spacing w:before="77" w:line="231" w:lineRule="auto"/>
              <w:rPr>
                <w:sz w:val="19"/>
                <w:szCs w:val="19"/>
              </w:rPr>
            </w:pPr>
            <w:r>
              <w:rPr>
                <w:sz w:val="19"/>
                <w:szCs w:val="19"/>
                <w:spacing w:val="2"/>
              </w:rPr>
              <w:t>场所</w:t>
            </w:r>
          </w:p>
          <w:p>
            <w:pPr>
              <w:pStyle w:val="TableText"/>
              <w:ind w:left="130"/>
              <w:spacing w:before="73" w:line="230" w:lineRule="auto"/>
              <w:rPr>
                <w:sz w:val="19"/>
                <w:szCs w:val="19"/>
              </w:rPr>
            </w:pPr>
            <w:r>
              <w:rPr>
                <w:sz w:val="19"/>
                <w:szCs w:val="19"/>
                <w:spacing w:val="2"/>
              </w:rPr>
              <w:t>名称</w:t>
            </w:r>
          </w:p>
        </w:tc>
        <w:tc>
          <w:tcPr>
            <w:tcW w:w="638" w:type="dxa"/>
            <w:vAlign w:val="top"/>
            <w:tcBorders>
              <w:top w:val="single" w:color="000000" w:sz="10" w:space="0"/>
            </w:tcBorders>
          </w:tcPr>
          <w:p>
            <w:pPr>
              <w:pStyle w:val="TableText"/>
              <w:ind w:left="134"/>
              <w:spacing w:before="61" w:line="233" w:lineRule="auto"/>
              <w:rPr>
                <w:sz w:val="19"/>
                <w:szCs w:val="19"/>
              </w:rPr>
            </w:pPr>
            <w:r>
              <w:rPr>
                <w:sz w:val="19"/>
                <w:szCs w:val="19"/>
              </w:rPr>
              <w:t>危险</w:t>
            </w:r>
          </w:p>
          <w:p>
            <w:pPr>
              <w:pStyle w:val="TableText"/>
              <w:ind w:left="132"/>
              <w:spacing w:before="72" w:line="230" w:lineRule="auto"/>
              <w:rPr>
                <w:sz w:val="19"/>
                <w:szCs w:val="19"/>
              </w:rPr>
            </w:pPr>
            <w:r>
              <w:rPr>
                <w:sz w:val="19"/>
                <w:szCs w:val="19"/>
                <w:spacing w:val="1"/>
              </w:rPr>
              <w:t>废物</w:t>
            </w:r>
          </w:p>
          <w:p>
            <w:pPr>
              <w:pStyle w:val="TableText"/>
              <w:ind w:left="130"/>
              <w:spacing w:before="75" w:line="230" w:lineRule="auto"/>
              <w:rPr>
                <w:sz w:val="19"/>
                <w:szCs w:val="19"/>
              </w:rPr>
            </w:pPr>
            <w:r>
              <w:rPr>
                <w:sz w:val="19"/>
                <w:szCs w:val="19"/>
                <w:spacing w:val="2"/>
              </w:rPr>
              <w:t>名称</w:t>
            </w:r>
          </w:p>
        </w:tc>
        <w:tc>
          <w:tcPr>
            <w:tcW w:w="789" w:type="dxa"/>
            <w:vAlign w:val="top"/>
            <w:tcBorders>
              <w:top w:val="single" w:color="000000" w:sz="10" w:space="0"/>
            </w:tcBorders>
          </w:tcPr>
          <w:p>
            <w:pPr>
              <w:pStyle w:val="TableText"/>
              <w:ind w:left="206" w:right="194"/>
              <w:spacing w:before="217" w:line="304" w:lineRule="auto"/>
              <w:rPr>
                <w:sz w:val="19"/>
                <w:szCs w:val="19"/>
              </w:rPr>
            </w:pPr>
            <w:r>
              <w:rPr>
                <w:sz w:val="19"/>
                <w:szCs w:val="19"/>
                <w:spacing w:val="1"/>
              </w:rPr>
              <w:t>废物</w:t>
            </w:r>
            <w:r>
              <w:rPr>
                <w:sz w:val="19"/>
                <w:szCs w:val="19"/>
                <w:spacing w:val="1"/>
              </w:rPr>
              <w:t>类别</w:t>
            </w:r>
          </w:p>
        </w:tc>
        <w:tc>
          <w:tcPr>
            <w:tcW w:w="1168" w:type="dxa"/>
            <w:vAlign w:val="top"/>
            <w:tcBorders>
              <w:top w:val="single" w:color="000000" w:sz="10" w:space="0"/>
            </w:tcBorders>
          </w:tcPr>
          <w:p>
            <w:pPr>
              <w:spacing w:line="310" w:lineRule="auto"/>
              <w:rPr>
                <w:rFonts w:ascii="Arial"/>
                <w:sz w:val="21"/>
              </w:rPr>
            </w:pPr>
            <w:r/>
          </w:p>
          <w:p>
            <w:pPr>
              <w:pStyle w:val="TableText"/>
              <w:ind w:left="197"/>
              <w:spacing w:before="61" w:line="230" w:lineRule="auto"/>
              <w:rPr>
                <w:sz w:val="19"/>
                <w:szCs w:val="19"/>
              </w:rPr>
            </w:pPr>
            <w:r>
              <w:rPr>
                <w:sz w:val="19"/>
                <w:szCs w:val="19"/>
                <w:spacing w:val="5"/>
              </w:rPr>
              <w:t>废物代码</w:t>
            </w:r>
          </w:p>
        </w:tc>
        <w:tc>
          <w:tcPr>
            <w:tcW w:w="640" w:type="dxa"/>
            <w:vAlign w:val="top"/>
            <w:tcBorders>
              <w:top w:val="single" w:color="000000" w:sz="10" w:space="0"/>
            </w:tcBorders>
          </w:tcPr>
          <w:p>
            <w:pPr>
              <w:spacing w:line="309" w:lineRule="auto"/>
              <w:rPr>
                <w:rFonts w:ascii="Arial"/>
                <w:sz w:val="21"/>
              </w:rPr>
            </w:pPr>
            <w:r/>
          </w:p>
          <w:p>
            <w:pPr>
              <w:pStyle w:val="TableText"/>
              <w:ind w:left="132"/>
              <w:spacing w:before="62" w:line="231" w:lineRule="auto"/>
              <w:rPr>
                <w:sz w:val="19"/>
                <w:szCs w:val="19"/>
              </w:rPr>
            </w:pPr>
            <w:r>
              <w:rPr>
                <w:sz w:val="19"/>
                <w:szCs w:val="19"/>
                <w:spacing w:val="2"/>
              </w:rPr>
              <w:t>位置</w:t>
            </w:r>
          </w:p>
        </w:tc>
        <w:tc>
          <w:tcPr>
            <w:tcW w:w="790" w:type="dxa"/>
            <w:vAlign w:val="top"/>
            <w:tcBorders>
              <w:top w:val="single" w:color="000000" w:sz="10" w:space="0"/>
            </w:tcBorders>
          </w:tcPr>
          <w:p>
            <w:pPr>
              <w:pStyle w:val="TableText"/>
              <w:ind w:left="240"/>
              <w:spacing w:before="61" w:line="237" w:lineRule="auto"/>
              <w:rPr>
                <w:sz w:val="19"/>
                <w:szCs w:val="19"/>
              </w:rPr>
            </w:pPr>
            <w:r>
              <w:rPr>
                <w:sz w:val="19"/>
                <w:szCs w:val="19"/>
                <w:spacing w:val="-15"/>
              </w:rPr>
              <w:t>占地</w:t>
            </w:r>
          </w:p>
          <w:p>
            <w:pPr>
              <w:pStyle w:val="TableText"/>
              <w:ind w:left="210"/>
              <w:spacing w:before="68" w:line="232" w:lineRule="auto"/>
              <w:rPr>
                <w:sz w:val="19"/>
                <w:szCs w:val="19"/>
              </w:rPr>
            </w:pPr>
            <w:r>
              <w:rPr>
                <w:sz w:val="19"/>
                <w:szCs w:val="19"/>
              </w:rPr>
              <w:t>面积</w:t>
            </w:r>
          </w:p>
          <w:p>
            <w:pPr>
              <w:ind w:left="283" w:right="281" w:firstLine="157"/>
              <w:spacing w:before="87" w:line="133" w:lineRule="auto"/>
              <w:rPr>
                <w:rFonts w:ascii="Times New Roman" w:hAnsi="Times New Roman" w:eastAsia="Times New Roman" w:cs="Times New Roman"/>
                <w:sz w:val="19"/>
                <w:szCs w:val="19"/>
              </w:rPr>
            </w:pPr>
            <w:r>
              <w:rPr>
                <w:rFonts w:ascii="Times New Roman" w:hAnsi="Times New Roman" w:eastAsia="Times New Roman" w:cs="Times New Roman"/>
                <w:sz w:val="12"/>
                <w:szCs w:val="12"/>
                <w:spacing w:val="2"/>
              </w:rPr>
              <w:t>2</w:t>
            </w:r>
            <w:r>
              <w:rPr>
                <w:rFonts w:ascii="Times New Roman" w:hAnsi="Times New Roman" w:eastAsia="Times New Roman" w:cs="Times New Roman"/>
                <w:sz w:val="12"/>
                <w:szCs w:val="12"/>
              </w:rPr>
              <w:t xml:space="preserve"> </w:t>
            </w:r>
            <w:r>
              <w:rPr>
                <w:rFonts w:ascii="Times New Roman" w:hAnsi="Times New Roman" w:eastAsia="Times New Roman" w:cs="Times New Roman"/>
                <w:sz w:val="19"/>
                <w:szCs w:val="19"/>
                <w:spacing w:val="5"/>
              </w:rPr>
              <w:t>m</w:t>
            </w:r>
          </w:p>
        </w:tc>
        <w:tc>
          <w:tcPr>
            <w:tcW w:w="640" w:type="dxa"/>
            <w:vAlign w:val="top"/>
            <w:tcBorders>
              <w:top w:val="single" w:color="000000" w:sz="10" w:space="0"/>
            </w:tcBorders>
          </w:tcPr>
          <w:p>
            <w:pPr>
              <w:pStyle w:val="TableText"/>
              <w:ind w:left="135" w:right="118" w:hanging="3"/>
              <w:spacing w:before="217" w:line="304" w:lineRule="auto"/>
              <w:rPr>
                <w:sz w:val="19"/>
                <w:szCs w:val="19"/>
              </w:rPr>
            </w:pPr>
            <w:r>
              <w:rPr>
                <w:sz w:val="19"/>
                <w:szCs w:val="19"/>
                <w:spacing w:val="2"/>
              </w:rPr>
              <w:t>贮存</w:t>
            </w:r>
            <w:r>
              <w:rPr>
                <w:sz w:val="19"/>
                <w:szCs w:val="19"/>
              </w:rPr>
              <w:t>方式</w:t>
            </w:r>
          </w:p>
        </w:tc>
        <w:tc>
          <w:tcPr>
            <w:tcW w:w="640" w:type="dxa"/>
            <w:vAlign w:val="top"/>
            <w:tcBorders>
              <w:top w:val="single" w:color="000000" w:sz="10" w:space="0"/>
            </w:tcBorders>
          </w:tcPr>
          <w:p>
            <w:pPr>
              <w:pStyle w:val="TableText"/>
              <w:ind w:left="143" w:right="117" w:hanging="10"/>
              <w:spacing w:before="217" w:line="303" w:lineRule="auto"/>
              <w:rPr>
                <w:sz w:val="19"/>
                <w:szCs w:val="19"/>
              </w:rPr>
            </w:pPr>
            <w:r>
              <w:rPr>
                <w:sz w:val="19"/>
                <w:szCs w:val="19"/>
                <w:spacing w:val="2"/>
              </w:rPr>
              <w:t>贮存</w:t>
            </w:r>
            <w:r>
              <w:rPr>
                <w:sz w:val="19"/>
                <w:szCs w:val="19"/>
                <w:spacing w:val="-4"/>
              </w:rPr>
              <w:t>能力</w:t>
            </w:r>
          </w:p>
        </w:tc>
        <w:tc>
          <w:tcPr>
            <w:tcW w:w="640" w:type="dxa"/>
            <w:vAlign w:val="top"/>
            <w:tcBorders>
              <w:top w:val="single" w:color="000000" w:sz="10" w:space="0"/>
            </w:tcBorders>
          </w:tcPr>
          <w:p>
            <w:pPr>
              <w:pStyle w:val="TableText"/>
              <w:ind w:left="131" w:right="118"/>
              <w:spacing w:before="217" w:line="304" w:lineRule="auto"/>
              <w:rPr>
                <w:sz w:val="19"/>
                <w:szCs w:val="19"/>
              </w:rPr>
            </w:pPr>
            <w:r>
              <w:rPr>
                <w:sz w:val="19"/>
                <w:szCs w:val="19"/>
                <w:spacing w:val="2"/>
              </w:rPr>
              <w:t>贮存</w:t>
            </w:r>
            <w:r>
              <w:rPr>
                <w:sz w:val="19"/>
                <w:szCs w:val="19"/>
                <w:spacing w:val="1"/>
              </w:rPr>
              <w:t>周期</w:t>
            </w:r>
          </w:p>
        </w:tc>
        <w:tc>
          <w:tcPr>
            <w:tcW w:w="1375" w:type="dxa"/>
            <w:vAlign w:val="top"/>
            <w:tcBorders>
              <w:top w:val="single" w:color="000000" w:sz="10" w:space="0"/>
              <w:right w:val="nil"/>
            </w:tcBorders>
          </w:tcPr>
          <w:p>
            <w:pPr>
              <w:spacing w:line="310" w:lineRule="auto"/>
              <w:rPr>
                <w:rFonts w:ascii="Arial"/>
                <w:sz w:val="21"/>
              </w:rPr>
            </w:pPr>
            <w:r/>
          </w:p>
          <w:p>
            <w:pPr>
              <w:pStyle w:val="TableText"/>
              <w:ind w:left="310"/>
              <w:spacing w:before="62" w:line="231" w:lineRule="auto"/>
              <w:rPr>
                <w:sz w:val="19"/>
                <w:szCs w:val="19"/>
              </w:rPr>
            </w:pPr>
            <w:r>
              <w:rPr>
                <w:sz w:val="19"/>
                <w:szCs w:val="19"/>
                <w:spacing w:val="3"/>
              </w:rPr>
              <w:t>防渗要求</w:t>
            </w:r>
          </w:p>
        </w:tc>
      </w:tr>
      <w:tr>
        <w:trPr>
          <w:trHeight w:val="625" w:hRule="atLeast"/>
        </w:trPr>
        <w:tc>
          <w:tcPr>
            <w:tcW w:w="563" w:type="dxa"/>
            <w:vAlign w:val="top"/>
            <w:tcBorders>
              <w:left w:val="nil"/>
            </w:tcBorders>
          </w:tcPr>
          <w:p>
            <w:pPr>
              <w:ind w:left="253"/>
              <w:spacing w:before="25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638"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34"/>
              <w:spacing w:before="62" w:line="233" w:lineRule="auto"/>
              <w:rPr>
                <w:sz w:val="19"/>
                <w:szCs w:val="19"/>
              </w:rPr>
            </w:pPr>
            <w:r>
              <w:rPr>
                <w:sz w:val="19"/>
                <w:szCs w:val="19"/>
              </w:rPr>
              <w:t>危险</w:t>
            </w:r>
          </w:p>
          <w:p>
            <w:pPr>
              <w:pStyle w:val="TableText"/>
              <w:ind w:left="131"/>
              <w:spacing w:before="72" w:line="230" w:lineRule="auto"/>
              <w:rPr>
                <w:sz w:val="19"/>
                <w:szCs w:val="19"/>
              </w:rPr>
            </w:pPr>
            <w:r>
              <w:rPr>
                <w:sz w:val="19"/>
                <w:szCs w:val="19"/>
                <w:spacing w:val="1"/>
              </w:rPr>
              <w:t>废物</w:t>
            </w:r>
          </w:p>
          <w:p>
            <w:pPr>
              <w:pStyle w:val="TableText"/>
              <w:ind w:left="130"/>
              <w:spacing w:before="75" w:line="228" w:lineRule="auto"/>
              <w:rPr>
                <w:sz w:val="19"/>
                <w:szCs w:val="19"/>
              </w:rPr>
            </w:pPr>
            <w:r>
              <w:rPr>
                <w:sz w:val="19"/>
                <w:szCs w:val="19"/>
                <w:spacing w:val="2"/>
              </w:rPr>
              <w:t>贮存</w:t>
            </w:r>
          </w:p>
          <w:p>
            <w:pPr>
              <w:pStyle w:val="TableText"/>
              <w:ind w:left="240"/>
              <w:spacing w:before="76" w:line="233" w:lineRule="auto"/>
              <w:rPr>
                <w:sz w:val="19"/>
                <w:szCs w:val="19"/>
              </w:rPr>
            </w:pPr>
            <w:r>
              <w:rPr>
                <w:sz w:val="19"/>
                <w:szCs w:val="19"/>
              </w:rPr>
              <w:t>点</w:t>
            </w:r>
          </w:p>
        </w:tc>
        <w:tc>
          <w:tcPr>
            <w:tcW w:w="638" w:type="dxa"/>
            <w:vAlign w:val="top"/>
          </w:tcPr>
          <w:p>
            <w:pPr>
              <w:pStyle w:val="TableText"/>
              <w:ind w:left="235" w:right="118" w:hanging="103"/>
              <w:spacing w:before="61" w:line="269" w:lineRule="auto"/>
              <w:rPr>
                <w:sz w:val="19"/>
                <w:szCs w:val="19"/>
              </w:rPr>
            </w:pPr>
            <w:r>
              <w:rPr>
                <w:sz w:val="19"/>
                <w:szCs w:val="19"/>
                <w:spacing w:val="1"/>
              </w:rPr>
              <w:t>废机</w:t>
            </w:r>
            <w:r>
              <w:rPr>
                <w:sz w:val="19"/>
                <w:szCs w:val="19"/>
              </w:rPr>
              <w:t>油</w:t>
            </w:r>
          </w:p>
        </w:tc>
        <w:tc>
          <w:tcPr>
            <w:tcW w:w="789" w:type="dxa"/>
            <w:vAlign w:val="top"/>
            <w:vMerge w:val="restart"/>
            <w:tcBorders>
              <w:bottom w:val="nil"/>
            </w:tcBorders>
          </w:tcPr>
          <w:p>
            <w:pPr>
              <w:ind w:left="108"/>
              <w:spacing w:before="9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HW</w:t>
            </w:r>
            <w:r>
              <w:rPr>
                <w:rFonts w:ascii="Times New Roman" w:hAnsi="Times New Roman" w:eastAsia="Times New Roman" w:cs="Times New Roman"/>
                <w:sz w:val="19"/>
                <w:szCs w:val="19"/>
                <w:spacing w:val="11"/>
              </w:rPr>
              <w:t>08</w:t>
            </w:r>
          </w:p>
          <w:p>
            <w:pPr>
              <w:pStyle w:val="TableText"/>
              <w:ind w:left="206"/>
              <w:spacing w:before="99" w:line="233" w:lineRule="auto"/>
              <w:rPr>
                <w:sz w:val="19"/>
                <w:szCs w:val="19"/>
              </w:rPr>
            </w:pPr>
            <w:r>
              <w:rPr>
                <w:sz w:val="19"/>
                <w:szCs w:val="19"/>
                <w:spacing w:val="1"/>
              </w:rPr>
              <w:t>废矿</w:t>
            </w:r>
          </w:p>
          <w:p>
            <w:pPr>
              <w:pStyle w:val="TableText"/>
              <w:ind w:left="205"/>
              <w:spacing w:before="72" w:line="230" w:lineRule="auto"/>
              <w:rPr>
                <w:sz w:val="19"/>
                <w:szCs w:val="19"/>
              </w:rPr>
            </w:pPr>
            <w:r>
              <w:rPr>
                <w:sz w:val="19"/>
                <w:szCs w:val="19"/>
                <w:spacing w:val="2"/>
              </w:rPr>
              <w:t>物油</w:t>
            </w:r>
          </w:p>
          <w:p>
            <w:pPr>
              <w:pStyle w:val="TableText"/>
              <w:ind w:left="212"/>
              <w:spacing w:before="75" w:line="233" w:lineRule="auto"/>
              <w:rPr>
                <w:sz w:val="19"/>
                <w:szCs w:val="19"/>
              </w:rPr>
            </w:pPr>
            <w:r>
              <w:rPr>
                <w:sz w:val="19"/>
                <w:szCs w:val="19"/>
                <w:spacing w:val="-2"/>
              </w:rPr>
              <w:t>与含</w:t>
            </w:r>
          </w:p>
          <w:p>
            <w:pPr>
              <w:pStyle w:val="TableText"/>
              <w:ind w:left="204"/>
              <w:spacing w:before="72" w:line="230" w:lineRule="auto"/>
              <w:rPr>
                <w:sz w:val="19"/>
                <w:szCs w:val="19"/>
              </w:rPr>
            </w:pPr>
            <w:r>
              <w:rPr>
                <w:sz w:val="19"/>
                <w:szCs w:val="19"/>
                <w:spacing w:val="2"/>
              </w:rPr>
              <w:t>矿物</w:t>
            </w:r>
          </w:p>
          <w:p>
            <w:pPr>
              <w:pStyle w:val="TableText"/>
              <w:ind w:left="305" w:right="194" w:hanging="96"/>
              <w:spacing w:before="76" w:line="265" w:lineRule="auto"/>
              <w:rPr>
                <w:sz w:val="19"/>
                <w:szCs w:val="19"/>
              </w:rPr>
            </w:pPr>
            <w:r>
              <w:rPr>
                <w:sz w:val="19"/>
                <w:szCs w:val="19"/>
              </w:rPr>
              <w:t>油废</w:t>
            </w:r>
            <w:r>
              <w:rPr>
                <w:sz w:val="19"/>
                <w:szCs w:val="19"/>
              </w:rPr>
              <w:t>物</w:t>
            </w:r>
          </w:p>
        </w:tc>
        <w:tc>
          <w:tcPr>
            <w:tcW w:w="1168"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3"/>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900-249-08</w:t>
            </w:r>
          </w:p>
        </w:tc>
        <w:tc>
          <w:tcPr>
            <w:tcW w:w="640" w:type="dxa"/>
            <w:vAlign w:val="top"/>
            <w:vMerge w:val="restart"/>
            <w:tcBorders>
              <w:bottom w:val="nil"/>
            </w:tcBorders>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36"/>
              <w:spacing w:before="62" w:line="242" w:lineRule="auto"/>
              <w:rPr>
                <w:sz w:val="19"/>
                <w:szCs w:val="19"/>
              </w:rPr>
            </w:pPr>
            <w:r>
              <w:rPr>
                <w:sz w:val="19"/>
                <w:szCs w:val="19"/>
              </w:rPr>
              <w:t>工业</w:t>
            </w:r>
          </w:p>
          <w:p>
            <w:pPr>
              <w:pStyle w:val="TableText"/>
              <w:ind w:left="130"/>
              <w:spacing w:before="62" w:line="232" w:lineRule="auto"/>
              <w:rPr>
                <w:sz w:val="19"/>
                <w:szCs w:val="19"/>
              </w:rPr>
            </w:pPr>
            <w:r>
              <w:rPr>
                <w:sz w:val="19"/>
                <w:szCs w:val="19"/>
                <w:spacing w:val="2"/>
              </w:rPr>
              <w:t>广场</w:t>
            </w:r>
          </w:p>
          <w:p>
            <w:pPr>
              <w:pStyle w:val="TableText"/>
              <w:ind w:left="256"/>
              <w:spacing w:before="73" w:line="231" w:lineRule="auto"/>
              <w:rPr>
                <w:sz w:val="19"/>
                <w:szCs w:val="19"/>
              </w:rPr>
            </w:pPr>
            <w:r>
              <w:rPr>
                <w:sz w:val="19"/>
                <w:szCs w:val="19"/>
              </w:rPr>
              <w:t>内</w:t>
            </w:r>
          </w:p>
        </w:tc>
        <w:tc>
          <w:tcPr>
            <w:tcW w:w="79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09"/>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10m2</w:t>
            </w:r>
          </w:p>
        </w:tc>
        <w:tc>
          <w:tcPr>
            <w:tcW w:w="640" w:type="dxa"/>
            <w:vAlign w:val="top"/>
          </w:tcPr>
          <w:p>
            <w:pPr>
              <w:pStyle w:val="TableText"/>
              <w:ind w:left="131"/>
              <w:spacing w:before="217" w:line="231" w:lineRule="auto"/>
              <w:rPr>
                <w:sz w:val="19"/>
                <w:szCs w:val="19"/>
              </w:rPr>
            </w:pPr>
            <w:r>
              <w:rPr>
                <w:sz w:val="19"/>
                <w:szCs w:val="19"/>
                <w:spacing w:val="2"/>
              </w:rPr>
              <w:t>桶装</w:t>
            </w:r>
          </w:p>
        </w:tc>
        <w:tc>
          <w:tcPr>
            <w:tcW w:w="64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43"/>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2t</w:t>
            </w:r>
          </w:p>
        </w:tc>
        <w:tc>
          <w:tcPr>
            <w:tcW w:w="640" w:type="dxa"/>
            <w:vAlign w:val="top"/>
          </w:tcPr>
          <w:p>
            <w:pPr>
              <w:pStyle w:val="TableText"/>
              <w:ind w:left="131"/>
              <w:spacing w:before="217" w:line="230" w:lineRule="auto"/>
              <w:rPr>
                <w:sz w:val="19"/>
                <w:szCs w:val="19"/>
              </w:rPr>
            </w:pPr>
            <w:r>
              <w:rPr>
                <w:sz w:val="19"/>
                <w:szCs w:val="19"/>
                <w:spacing w:val="2"/>
              </w:rPr>
              <w:t>半年</w:t>
            </w:r>
          </w:p>
        </w:tc>
        <w:tc>
          <w:tcPr>
            <w:tcW w:w="1375" w:type="dxa"/>
            <w:vAlign w:val="top"/>
            <w:vMerge w:val="restart"/>
            <w:tcBorders>
              <w:bottom w:val="nil"/>
              <w:right w:val="nil"/>
            </w:tcBorders>
          </w:tcPr>
          <w:p>
            <w:pPr>
              <w:spacing w:line="314" w:lineRule="auto"/>
              <w:rPr>
                <w:rFonts w:ascii="Arial"/>
                <w:sz w:val="21"/>
              </w:rPr>
            </w:pPr>
            <w:r/>
          </w:p>
          <w:p>
            <w:pPr>
              <w:pStyle w:val="TableText"/>
              <w:ind w:left="184"/>
              <w:spacing w:before="62" w:line="233" w:lineRule="auto"/>
              <w:rPr>
                <w:rFonts w:ascii="Times New Roman" w:hAnsi="Times New Roman" w:eastAsia="Times New Roman" w:cs="Times New Roman"/>
                <w:sz w:val="19"/>
                <w:szCs w:val="19"/>
              </w:rPr>
            </w:pPr>
            <w:r>
              <w:rPr>
                <w:sz w:val="19"/>
                <w:szCs w:val="19"/>
                <w:spacing w:val="4"/>
              </w:rPr>
              <w:t>按</w:t>
            </w:r>
            <w:r>
              <w:rPr>
                <w:sz w:val="19"/>
                <w:szCs w:val="19"/>
                <w:spacing w:val="-37"/>
              </w:rPr>
              <w:t xml:space="preserve"> </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4"/>
              </w:rPr>
              <w:t>18597</w:t>
            </w:r>
          </w:p>
          <w:p>
            <w:pPr>
              <w:pStyle w:val="TableText"/>
              <w:ind w:left="119"/>
              <w:spacing w:before="72" w:line="232" w:lineRule="auto"/>
              <w:rPr>
                <w:sz w:val="19"/>
                <w:szCs w:val="19"/>
              </w:rPr>
            </w:pPr>
            <w:r>
              <w:rPr>
                <w:sz w:val="19"/>
                <w:szCs w:val="19"/>
              </w:rPr>
              <w:t>建设，其又属</w:t>
            </w:r>
          </w:p>
          <w:p>
            <w:pPr>
              <w:pStyle w:val="TableText"/>
              <w:ind w:left="203"/>
              <w:spacing w:before="72" w:line="233" w:lineRule="auto"/>
              <w:rPr>
                <w:sz w:val="19"/>
                <w:szCs w:val="19"/>
              </w:rPr>
            </w:pPr>
            <w:r>
              <w:rPr>
                <w:sz w:val="19"/>
                <w:szCs w:val="19"/>
                <w:spacing w:val="6"/>
              </w:rPr>
              <w:t>于重点防渗</w:t>
            </w:r>
          </w:p>
          <w:p>
            <w:pPr>
              <w:pStyle w:val="TableText"/>
              <w:ind w:left="136"/>
              <w:spacing w:before="72" w:line="232" w:lineRule="auto"/>
              <w:rPr>
                <w:sz w:val="19"/>
                <w:szCs w:val="19"/>
              </w:rPr>
            </w:pPr>
            <w:r>
              <w:rPr>
                <w:sz w:val="19"/>
                <w:szCs w:val="19"/>
                <w:spacing w:val="-3"/>
              </w:rPr>
              <w:t>区，其等效黏</w:t>
            </w:r>
          </w:p>
          <w:p>
            <w:pPr>
              <w:pStyle w:val="TableText"/>
              <w:ind w:left="299"/>
              <w:spacing w:before="73" w:line="233" w:lineRule="auto"/>
              <w:rPr>
                <w:sz w:val="19"/>
                <w:szCs w:val="19"/>
              </w:rPr>
            </w:pPr>
            <w:r>
              <w:rPr>
                <w:sz w:val="19"/>
                <w:szCs w:val="19"/>
                <w:spacing w:val="5"/>
              </w:rPr>
              <w:t>土防渗层</w:t>
            </w:r>
          </w:p>
          <w:p>
            <w:pPr>
              <w:pStyle w:val="TableText"/>
              <w:ind w:left="110"/>
              <w:spacing w:before="72" w:line="233" w:lineRule="auto"/>
              <w:rPr>
                <w:sz w:val="19"/>
                <w:szCs w:val="19"/>
              </w:rPr>
            </w:pPr>
            <w:r>
              <w:rPr>
                <w:rFonts w:ascii="Times New Roman" w:hAnsi="Times New Roman" w:eastAsia="Times New Roman" w:cs="Times New Roman"/>
                <w:sz w:val="19"/>
                <w:szCs w:val="19"/>
              </w:rPr>
              <w:t>Mb</w:t>
            </w:r>
            <w:r>
              <w:rPr>
                <w:rFonts w:ascii="Times New Roman" w:hAnsi="Times New Roman" w:eastAsia="Times New Roman" w:cs="Times New Roman"/>
                <w:sz w:val="19"/>
                <w:szCs w:val="19"/>
                <w:spacing w:val="1"/>
              </w:rPr>
              <w:t>≥6.0m</w:t>
            </w:r>
            <w:r>
              <w:rPr>
                <w:rFonts w:ascii="Times New Roman" w:hAnsi="Times New Roman" w:eastAsia="Times New Roman" w:cs="Times New Roman"/>
                <w:sz w:val="19"/>
                <w:szCs w:val="19"/>
                <w:spacing w:val="-19"/>
              </w:rPr>
              <w:t xml:space="preserve"> </w:t>
            </w:r>
            <w:r>
              <w:rPr>
                <w:sz w:val="19"/>
                <w:szCs w:val="19"/>
                <w:spacing w:val="1"/>
              </w:rPr>
              <w:t>，防</w:t>
            </w:r>
          </w:p>
          <w:p>
            <w:pPr>
              <w:pStyle w:val="TableText"/>
              <w:ind w:left="200"/>
              <w:spacing w:before="72" w:line="231" w:lineRule="auto"/>
              <w:rPr>
                <w:sz w:val="19"/>
                <w:szCs w:val="19"/>
              </w:rPr>
            </w:pPr>
            <w:r>
              <w:rPr>
                <w:sz w:val="19"/>
                <w:szCs w:val="19"/>
                <w:spacing w:val="6"/>
              </w:rPr>
              <w:t>渗系数满足</w:t>
            </w:r>
          </w:p>
          <w:p>
            <w:pPr>
              <w:pStyle w:val="TableText"/>
              <w:ind w:left="299"/>
              <w:spacing w:before="74" w:line="232" w:lineRule="auto"/>
              <w:rPr>
                <w:sz w:val="19"/>
                <w:szCs w:val="19"/>
              </w:rPr>
            </w:pPr>
            <w:r>
              <w:rPr>
                <w:sz w:val="19"/>
                <w:szCs w:val="19"/>
                <w:spacing w:val="6"/>
              </w:rPr>
              <w:t>渗透系数</w:t>
            </w:r>
          </w:p>
          <w:p>
            <w:pPr>
              <w:ind w:left="109"/>
              <w:spacing w:before="90" w:line="21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≤1.0×10</w:t>
            </w:r>
            <w:r>
              <w:rPr>
                <w:rFonts w:ascii="Times New Roman" w:hAnsi="Times New Roman" w:eastAsia="Times New Roman" w:cs="Times New Roman"/>
                <w:sz w:val="12"/>
                <w:szCs w:val="12"/>
                <w:spacing w:val="4"/>
                <w:position w:val="6"/>
              </w:rPr>
              <w:t>-7</w:t>
            </w:r>
            <w:r>
              <w:rPr>
                <w:rFonts w:ascii="Times New Roman" w:hAnsi="Times New Roman" w:eastAsia="Times New Roman" w:cs="Times New Roman"/>
                <w:sz w:val="19"/>
                <w:szCs w:val="19"/>
              </w:rPr>
              <w:t>cm</w:t>
            </w:r>
            <w:r>
              <w:rPr>
                <w:rFonts w:ascii="Times New Roman" w:hAnsi="Times New Roman" w:eastAsia="Times New Roman" w:cs="Times New Roman"/>
                <w:sz w:val="19"/>
                <w:szCs w:val="19"/>
                <w:spacing w:val="4"/>
              </w:rPr>
              <w:t>/s</w:t>
            </w:r>
          </w:p>
          <w:p>
            <w:pPr>
              <w:pStyle w:val="TableText"/>
              <w:ind w:left="402"/>
              <w:spacing w:before="99" w:line="231" w:lineRule="auto"/>
              <w:rPr>
                <w:sz w:val="19"/>
                <w:szCs w:val="19"/>
              </w:rPr>
            </w:pPr>
            <w:r>
              <w:rPr>
                <w:sz w:val="19"/>
                <w:szCs w:val="19"/>
              </w:rPr>
              <w:t>要求。</w:t>
            </w:r>
          </w:p>
        </w:tc>
      </w:tr>
      <w:tr>
        <w:trPr>
          <w:trHeight w:val="1547" w:hRule="atLeast"/>
        </w:trPr>
        <w:tc>
          <w:tcPr>
            <w:tcW w:w="563" w:type="dxa"/>
            <w:vAlign w:val="top"/>
            <w:tcBorders>
              <w:left w:val="nil"/>
            </w:tcBorders>
          </w:tcPr>
          <w:p>
            <w:pPr>
              <w:spacing w:line="330" w:lineRule="auto"/>
              <w:rPr>
                <w:rFonts w:ascii="Arial"/>
                <w:sz w:val="21"/>
              </w:rPr>
            </w:pPr>
            <w:r/>
          </w:p>
          <w:p>
            <w:pPr>
              <w:spacing w:line="330" w:lineRule="auto"/>
              <w:rPr>
                <w:rFonts w:ascii="Arial"/>
                <w:sz w:val="21"/>
              </w:rPr>
            </w:pPr>
            <w:r/>
          </w:p>
          <w:p>
            <w:pPr>
              <w:ind w:left="234"/>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638" w:type="dxa"/>
            <w:vAlign w:val="top"/>
            <w:vMerge w:val="continue"/>
            <w:tcBorders>
              <w:bottom w:val="nil"/>
              <w:top w:val="nil"/>
            </w:tcBorders>
          </w:tcPr>
          <w:p>
            <w:pPr>
              <w:rPr>
                <w:rFonts w:ascii="Arial"/>
                <w:sz w:val="21"/>
              </w:rPr>
            </w:pPr>
            <w:r/>
          </w:p>
        </w:tc>
        <w:tc>
          <w:tcPr>
            <w:tcW w:w="638" w:type="dxa"/>
            <w:vAlign w:val="top"/>
          </w:tcPr>
          <w:p>
            <w:pPr>
              <w:spacing w:line="464" w:lineRule="auto"/>
              <w:rPr>
                <w:rFonts w:ascii="Arial"/>
                <w:sz w:val="21"/>
              </w:rPr>
            </w:pPr>
            <w:r/>
          </w:p>
          <w:p>
            <w:pPr>
              <w:pStyle w:val="TableText"/>
              <w:ind w:left="229" w:right="118" w:hanging="97"/>
              <w:spacing w:before="62" w:line="303" w:lineRule="auto"/>
              <w:rPr>
                <w:sz w:val="19"/>
                <w:szCs w:val="19"/>
              </w:rPr>
            </w:pPr>
            <w:r>
              <w:rPr>
                <w:sz w:val="19"/>
                <w:szCs w:val="19"/>
                <w:spacing w:val="1"/>
              </w:rPr>
              <w:t>废油</w:t>
            </w:r>
            <w:r>
              <w:rPr>
                <w:sz w:val="19"/>
                <w:szCs w:val="19"/>
              </w:rPr>
              <w:t>桶</w:t>
            </w:r>
          </w:p>
        </w:tc>
        <w:tc>
          <w:tcPr>
            <w:tcW w:w="789"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640" w:type="dxa"/>
            <w:vAlign w:val="top"/>
            <w:vMerge w:val="continue"/>
            <w:tcBorders>
              <w:bottom w:val="nil"/>
              <w:top w:val="nil"/>
            </w:tcBorders>
          </w:tcPr>
          <w:p>
            <w:pPr>
              <w:rPr>
                <w:rFonts w:ascii="Arial"/>
                <w:sz w:val="21"/>
              </w:rPr>
            </w:pPr>
            <w:r/>
          </w:p>
        </w:tc>
        <w:tc>
          <w:tcPr>
            <w:tcW w:w="790" w:type="dxa"/>
            <w:vAlign w:val="top"/>
            <w:vMerge w:val="continue"/>
            <w:tcBorders>
              <w:bottom w:val="nil"/>
              <w:top w:val="nil"/>
            </w:tcBorders>
          </w:tcPr>
          <w:p>
            <w:pPr>
              <w:rPr>
                <w:rFonts w:ascii="Arial"/>
                <w:sz w:val="21"/>
              </w:rPr>
            </w:pPr>
            <w:r/>
          </w:p>
        </w:tc>
        <w:tc>
          <w:tcPr>
            <w:tcW w:w="640" w:type="dxa"/>
            <w:vAlign w:val="top"/>
          </w:tcPr>
          <w:p>
            <w:pPr>
              <w:spacing w:line="309" w:lineRule="auto"/>
              <w:rPr>
                <w:rFonts w:ascii="Arial"/>
                <w:sz w:val="21"/>
              </w:rPr>
            </w:pPr>
            <w:r/>
          </w:p>
          <w:p>
            <w:pPr>
              <w:spacing w:line="309" w:lineRule="auto"/>
              <w:rPr>
                <w:rFonts w:ascii="Arial"/>
                <w:sz w:val="21"/>
              </w:rPr>
            </w:pPr>
            <w:r/>
          </w:p>
          <w:p>
            <w:pPr>
              <w:pStyle w:val="TableText"/>
              <w:ind w:left="136"/>
              <w:spacing w:before="62" w:line="233" w:lineRule="auto"/>
              <w:rPr>
                <w:sz w:val="19"/>
                <w:szCs w:val="19"/>
              </w:rPr>
            </w:pPr>
            <w:r>
              <w:rPr>
                <w:sz w:val="19"/>
                <w:szCs w:val="19"/>
              </w:rPr>
              <w:t>袋装</w:t>
            </w:r>
          </w:p>
        </w:tc>
        <w:tc>
          <w:tcPr>
            <w:tcW w:w="640" w:type="dxa"/>
            <w:vAlign w:val="top"/>
            <w:vMerge w:val="continue"/>
            <w:tcBorders>
              <w:bottom w:val="nil"/>
              <w:top w:val="nil"/>
            </w:tcBorders>
          </w:tcPr>
          <w:p>
            <w:pPr>
              <w:rPr>
                <w:rFonts w:ascii="Arial"/>
                <w:sz w:val="21"/>
              </w:rPr>
            </w:pPr>
            <w:r/>
          </w:p>
        </w:tc>
        <w:tc>
          <w:tcPr>
            <w:tcW w:w="640" w:type="dxa"/>
            <w:vAlign w:val="top"/>
          </w:tcPr>
          <w:p>
            <w:pPr>
              <w:spacing w:line="309" w:lineRule="auto"/>
              <w:rPr>
                <w:rFonts w:ascii="Arial"/>
                <w:sz w:val="21"/>
              </w:rPr>
            </w:pPr>
            <w:r/>
          </w:p>
          <w:p>
            <w:pPr>
              <w:spacing w:line="309" w:lineRule="auto"/>
              <w:rPr>
                <w:rFonts w:ascii="Arial"/>
                <w:sz w:val="21"/>
              </w:rPr>
            </w:pPr>
            <w:r/>
          </w:p>
          <w:p>
            <w:pPr>
              <w:pStyle w:val="TableText"/>
              <w:ind w:left="131"/>
              <w:spacing w:before="62" w:line="230" w:lineRule="auto"/>
              <w:rPr>
                <w:sz w:val="19"/>
                <w:szCs w:val="19"/>
              </w:rPr>
            </w:pPr>
            <w:r>
              <w:rPr>
                <w:sz w:val="19"/>
                <w:szCs w:val="19"/>
                <w:spacing w:val="2"/>
              </w:rPr>
              <w:t>半年</w:t>
            </w:r>
          </w:p>
        </w:tc>
        <w:tc>
          <w:tcPr>
            <w:tcW w:w="1375" w:type="dxa"/>
            <w:vAlign w:val="top"/>
            <w:vMerge w:val="continue"/>
            <w:tcBorders>
              <w:bottom w:val="nil"/>
              <w:right w:val="nil"/>
              <w:top w:val="nil"/>
            </w:tcBorders>
          </w:tcPr>
          <w:p>
            <w:pPr>
              <w:rPr>
                <w:rFonts w:ascii="Arial"/>
                <w:sz w:val="21"/>
              </w:rPr>
            </w:pPr>
            <w:r/>
          </w:p>
        </w:tc>
      </w:tr>
      <w:tr>
        <w:trPr>
          <w:trHeight w:val="1580" w:hRule="atLeast"/>
        </w:trPr>
        <w:tc>
          <w:tcPr>
            <w:tcW w:w="563" w:type="dxa"/>
            <w:vAlign w:val="top"/>
            <w:tcBorders>
              <w:bottom w:val="single" w:color="000000" w:sz="10" w:space="0"/>
              <w:left w:val="nil"/>
            </w:tcBorders>
          </w:tcPr>
          <w:p>
            <w:pPr>
              <w:spacing w:line="336" w:lineRule="auto"/>
              <w:rPr>
                <w:rFonts w:ascii="Arial"/>
                <w:sz w:val="21"/>
              </w:rPr>
            </w:pPr>
            <w:r/>
          </w:p>
          <w:p>
            <w:pPr>
              <w:spacing w:line="336" w:lineRule="auto"/>
              <w:rPr>
                <w:rFonts w:ascii="Arial"/>
                <w:sz w:val="21"/>
              </w:rPr>
            </w:pPr>
            <w:r/>
          </w:p>
          <w:p>
            <w:pPr>
              <w:ind w:left="238"/>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638" w:type="dxa"/>
            <w:vAlign w:val="top"/>
            <w:vMerge w:val="continue"/>
            <w:tcBorders>
              <w:bottom w:val="single" w:color="000000" w:sz="10" w:space="0"/>
              <w:top w:val="nil"/>
            </w:tcBorders>
          </w:tcPr>
          <w:p>
            <w:pPr>
              <w:rPr>
                <w:rFonts w:ascii="Arial"/>
                <w:sz w:val="21"/>
              </w:rPr>
            </w:pPr>
            <w:r/>
          </w:p>
        </w:tc>
        <w:tc>
          <w:tcPr>
            <w:tcW w:w="638" w:type="dxa"/>
            <w:vAlign w:val="top"/>
            <w:tcBorders>
              <w:bottom w:val="single" w:color="000000" w:sz="10" w:space="0"/>
            </w:tcBorders>
          </w:tcPr>
          <w:p>
            <w:pPr>
              <w:pStyle w:val="TableText"/>
              <w:ind w:left="131"/>
              <w:spacing w:before="72" w:line="233" w:lineRule="auto"/>
              <w:rPr>
                <w:sz w:val="19"/>
                <w:szCs w:val="19"/>
              </w:rPr>
            </w:pPr>
            <w:r>
              <w:rPr>
                <w:sz w:val="19"/>
                <w:szCs w:val="19"/>
                <w:spacing w:val="1"/>
              </w:rPr>
              <w:t>含油</w:t>
            </w:r>
          </w:p>
          <w:p>
            <w:pPr>
              <w:pStyle w:val="TableText"/>
              <w:ind w:left="130"/>
              <w:spacing w:before="72" w:line="229" w:lineRule="auto"/>
              <w:rPr>
                <w:sz w:val="19"/>
                <w:szCs w:val="19"/>
              </w:rPr>
            </w:pPr>
            <w:r>
              <w:rPr>
                <w:sz w:val="19"/>
                <w:szCs w:val="19"/>
                <w:spacing w:val="2"/>
              </w:rPr>
              <w:t>抹布</w:t>
            </w:r>
          </w:p>
          <w:p>
            <w:pPr>
              <w:pStyle w:val="TableText"/>
              <w:ind w:left="132"/>
              <w:spacing w:before="75" w:line="233" w:lineRule="auto"/>
              <w:rPr>
                <w:sz w:val="19"/>
                <w:szCs w:val="19"/>
              </w:rPr>
            </w:pPr>
            <w:r>
              <w:rPr>
                <w:sz w:val="19"/>
                <w:szCs w:val="19"/>
                <w:spacing w:val="1"/>
              </w:rPr>
              <w:t>及劳</w:t>
            </w:r>
          </w:p>
          <w:p>
            <w:pPr>
              <w:pStyle w:val="TableText"/>
              <w:ind w:left="251" w:right="118" w:hanging="121"/>
              <w:spacing w:before="71" w:line="273" w:lineRule="auto"/>
              <w:rPr>
                <w:sz w:val="19"/>
                <w:szCs w:val="19"/>
              </w:rPr>
            </w:pPr>
            <w:r>
              <w:rPr>
                <w:sz w:val="19"/>
                <w:szCs w:val="19"/>
                <w:spacing w:val="2"/>
              </w:rPr>
              <w:t>保用</w:t>
            </w:r>
            <w:r>
              <w:rPr>
                <w:sz w:val="19"/>
                <w:szCs w:val="19"/>
              </w:rPr>
              <w:t>品</w:t>
            </w:r>
          </w:p>
        </w:tc>
        <w:tc>
          <w:tcPr>
            <w:tcW w:w="789" w:type="dxa"/>
            <w:vAlign w:val="top"/>
            <w:tcBorders>
              <w:bottom w:val="single" w:color="000000" w:sz="10" w:space="0"/>
            </w:tcBorders>
          </w:tcPr>
          <w:p>
            <w:pPr>
              <w:spacing w:line="362" w:lineRule="auto"/>
              <w:rPr>
                <w:rFonts w:ascii="Arial"/>
                <w:sz w:val="21"/>
              </w:rPr>
            </w:pPr>
            <w:r/>
          </w:p>
          <w:p>
            <w:pPr>
              <w:pStyle w:val="TableText"/>
              <w:ind w:left="205" w:right="145" w:hanging="97"/>
              <w:spacing w:before="54" w:line="313" w:lineRule="auto"/>
              <w:rPr>
                <w:sz w:val="19"/>
                <w:szCs w:val="19"/>
              </w:rPr>
            </w:pPr>
            <w:r>
              <w:rPr>
                <w:rFonts w:ascii="Times New Roman" w:hAnsi="Times New Roman" w:eastAsia="Times New Roman" w:cs="Times New Roman"/>
                <w:sz w:val="19"/>
                <w:szCs w:val="19"/>
              </w:rPr>
              <w:t>HW</w:t>
            </w:r>
            <w:r>
              <w:rPr>
                <w:rFonts w:ascii="Times New Roman" w:hAnsi="Times New Roman" w:eastAsia="Times New Roman" w:cs="Times New Roman"/>
                <w:sz w:val="19"/>
                <w:szCs w:val="19"/>
                <w:spacing w:val="11"/>
              </w:rPr>
              <w:t>49</w:t>
            </w:r>
            <w:r>
              <w:rPr>
                <w:sz w:val="19"/>
                <w:szCs w:val="19"/>
                <w:spacing w:val="1"/>
              </w:rPr>
              <w:t>其他</w:t>
            </w:r>
            <w:r>
              <w:rPr>
                <w:sz w:val="19"/>
                <w:szCs w:val="19"/>
                <w:spacing w:val="1"/>
              </w:rPr>
              <w:t>废物</w:t>
            </w:r>
          </w:p>
        </w:tc>
        <w:tc>
          <w:tcPr>
            <w:tcW w:w="1168" w:type="dxa"/>
            <w:vAlign w:val="top"/>
            <w:tcBorders>
              <w:bottom w:val="single" w:color="000000" w:sz="10" w:space="0"/>
            </w:tcBorders>
          </w:tcPr>
          <w:p>
            <w:pPr>
              <w:spacing w:line="336" w:lineRule="auto"/>
              <w:rPr>
                <w:rFonts w:ascii="Arial"/>
                <w:sz w:val="21"/>
              </w:rPr>
            </w:pPr>
            <w:r/>
          </w:p>
          <w:p>
            <w:pPr>
              <w:spacing w:line="336" w:lineRule="auto"/>
              <w:rPr>
                <w:rFonts w:ascii="Arial"/>
                <w:sz w:val="21"/>
              </w:rPr>
            </w:pPr>
            <w:r/>
          </w:p>
          <w:p>
            <w:pPr>
              <w:ind w:left="123"/>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900-041-49</w:t>
            </w:r>
          </w:p>
        </w:tc>
        <w:tc>
          <w:tcPr>
            <w:tcW w:w="640" w:type="dxa"/>
            <w:vAlign w:val="top"/>
            <w:vMerge w:val="continue"/>
            <w:tcBorders>
              <w:bottom w:val="single" w:color="000000" w:sz="10" w:space="0"/>
              <w:top w:val="nil"/>
            </w:tcBorders>
          </w:tcPr>
          <w:p>
            <w:pPr>
              <w:rPr>
                <w:rFonts w:ascii="Arial"/>
                <w:sz w:val="21"/>
              </w:rPr>
            </w:pPr>
            <w:r/>
          </w:p>
        </w:tc>
        <w:tc>
          <w:tcPr>
            <w:tcW w:w="790" w:type="dxa"/>
            <w:vAlign w:val="top"/>
            <w:vMerge w:val="continue"/>
            <w:tcBorders>
              <w:bottom w:val="single" w:color="000000" w:sz="10" w:space="0"/>
              <w:top w:val="nil"/>
            </w:tcBorders>
          </w:tcPr>
          <w:p>
            <w:pPr>
              <w:rPr>
                <w:rFonts w:ascii="Arial"/>
                <w:sz w:val="21"/>
              </w:rPr>
            </w:pPr>
            <w:r/>
          </w:p>
        </w:tc>
        <w:tc>
          <w:tcPr>
            <w:tcW w:w="640" w:type="dxa"/>
            <w:vAlign w:val="top"/>
            <w:tcBorders>
              <w:bottom w:val="single" w:color="000000" w:sz="10" w:space="0"/>
            </w:tcBorders>
          </w:tcPr>
          <w:p>
            <w:pPr>
              <w:spacing w:line="315" w:lineRule="auto"/>
              <w:rPr>
                <w:rFonts w:ascii="Arial"/>
                <w:sz w:val="21"/>
              </w:rPr>
            </w:pPr>
            <w:r/>
          </w:p>
          <w:p>
            <w:pPr>
              <w:spacing w:line="316" w:lineRule="auto"/>
              <w:rPr>
                <w:rFonts w:ascii="Arial"/>
                <w:sz w:val="21"/>
              </w:rPr>
            </w:pPr>
            <w:r/>
          </w:p>
          <w:p>
            <w:pPr>
              <w:pStyle w:val="TableText"/>
              <w:ind w:left="136"/>
              <w:spacing w:before="61" w:line="233" w:lineRule="auto"/>
              <w:rPr>
                <w:sz w:val="19"/>
                <w:szCs w:val="19"/>
              </w:rPr>
            </w:pPr>
            <w:r>
              <w:rPr>
                <w:sz w:val="19"/>
                <w:szCs w:val="19"/>
              </w:rPr>
              <w:t>袋装</w:t>
            </w:r>
          </w:p>
        </w:tc>
        <w:tc>
          <w:tcPr>
            <w:tcW w:w="640" w:type="dxa"/>
            <w:vAlign w:val="top"/>
            <w:vMerge w:val="continue"/>
            <w:tcBorders>
              <w:bottom w:val="single" w:color="000000" w:sz="10" w:space="0"/>
              <w:top w:val="nil"/>
            </w:tcBorders>
          </w:tcPr>
          <w:p>
            <w:pPr>
              <w:rPr>
                <w:rFonts w:ascii="Arial"/>
                <w:sz w:val="21"/>
              </w:rPr>
            </w:pPr>
            <w:r/>
          </w:p>
        </w:tc>
        <w:tc>
          <w:tcPr>
            <w:tcW w:w="640" w:type="dxa"/>
            <w:vAlign w:val="top"/>
            <w:tcBorders>
              <w:bottom w:val="single" w:color="000000" w:sz="10" w:space="0"/>
            </w:tcBorders>
          </w:tcPr>
          <w:p>
            <w:pPr>
              <w:spacing w:line="315" w:lineRule="auto"/>
              <w:rPr>
                <w:rFonts w:ascii="Arial"/>
                <w:sz w:val="21"/>
              </w:rPr>
            </w:pPr>
            <w:r/>
          </w:p>
          <w:p>
            <w:pPr>
              <w:spacing w:line="316" w:lineRule="auto"/>
              <w:rPr>
                <w:rFonts w:ascii="Arial"/>
                <w:sz w:val="21"/>
              </w:rPr>
            </w:pPr>
            <w:r/>
          </w:p>
          <w:p>
            <w:pPr>
              <w:pStyle w:val="TableText"/>
              <w:ind w:left="131"/>
              <w:spacing w:before="61" w:line="230" w:lineRule="auto"/>
              <w:rPr>
                <w:sz w:val="19"/>
                <w:szCs w:val="19"/>
              </w:rPr>
            </w:pPr>
            <w:r>
              <w:rPr>
                <w:sz w:val="19"/>
                <w:szCs w:val="19"/>
                <w:spacing w:val="2"/>
              </w:rPr>
              <w:t>半年</w:t>
            </w:r>
          </w:p>
        </w:tc>
        <w:tc>
          <w:tcPr>
            <w:tcW w:w="1375" w:type="dxa"/>
            <w:vAlign w:val="top"/>
            <w:vMerge w:val="continue"/>
            <w:tcBorders>
              <w:bottom w:val="single" w:color="000000" w:sz="10" w:space="0"/>
              <w:right w:val="nil"/>
              <w:top w:val="nil"/>
            </w:tcBorders>
          </w:tcPr>
          <w:p>
            <w:pPr>
              <w:rPr>
                <w:rFonts w:ascii="Arial"/>
                <w:sz w:val="21"/>
              </w:rPr>
            </w:pPr>
            <w:r/>
          </w:p>
        </w:tc>
      </w:tr>
    </w:tbl>
    <w:p>
      <w:pPr>
        <w:pStyle w:val="BodyText"/>
        <w:spacing w:line="251" w:lineRule="auto"/>
        <w:rPr/>
      </w:pPr>
      <w:r/>
    </w:p>
    <w:p>
      <w:pPr>
        <w:pStyle w:val="BodyText"/>
        <w:spacing w:line="252" w:lineRule="auto"/>
        <w:rPr/>
      </w:pPr>
      <w:r/>
    </w:p>
    <w:p>
      <w:pPr>
        <w:ind w:left="596"/>
        <w:spacing w:before="78" w:line="222"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26"/>
        </w:rPr>
        <w:t xml:space="preserve"> </w:t>
      </w:r>
      <w:r>
        <w:rPr>
          <w:rFonts w:ascii="FangSong" w:hAnsi="FangSong" w:eastAsia="FangSong" w:cs="FangSong"/>
          <w:sz w:val="24"/>
          <w:szCs w:val="24"/>
          <w:spacing w:val="-7"/>
        </w:rPr>
        <w:t>总体要求</w:t>
      </w:r>
    </w:p>
    <w:p>
      <w:pPr>
        <w:ind w:left="123" w:right="107" w:firstLine="481"/>
        <w:spacing w:before="180" w:line="360" w:lineRule="auto"/>
        <w:rPr>
          <w:rFonts w:ascii="FangSong" w:hAnsi="FangSong" w:eastAsia="FangSong" w:cs="FangSong"/>
          <w:sz w:val="24"/>
          <w:szCs w:val="24"/>
        </w:rPr>
      </w:pPr>
      <w:r>
        <w:rPr>
          <w:rFonts w:ascii="FangSong" w:hAnsi="FangSong" w:eastAsia="FangSong" w:cs="FangSong"/>
          <w:sz w:val="24"/>
          <w:szCs w:val="24"/>
          <w:spacing w:val="-3"/>
        </w:rPr>
        <w:t>贮存危险废物应根据危险废物的类别、形态、</w:t>
      </w:r>
      <w:r>
        <w:rPr>
          <w:rFonts w:ascii="FangSong" w:hAnsi="FangSong" w:eastAsia="FangSong" w:cs="FangSong"/>
          <w:sz w:val="24"/>
          <w:szCs w:val="24"/>
          <w:spacing w:val="-4"/>
        </w:rPr>
        <w:t>物理化学性质和污染防治要求</w:t>
      </w:r>
      <w:r>
        <w:rPr>
          <w:rFonts w:ascii="FangSong" w:hAnsi="FangSong" w:eastAsia="FangSong" w:cs="FangSong"/>
          <w:sz w:val="24"/>
          <w:szCs w:val="24"/>
          <w:spacing w:val="-3"/>
        </w:rPr>
        <w:t>进行分类贮存，且应避免危险废物与不相容的物质或材料接触；危险</w:t>
      </w:r>
      <w:r>
        <w:rPr>
          <w:rFonts w:ascii="FangSong" w:hAnsi="FangSong" w:eastAsia="FangSong" w:cs="FangSong"/>
          <w:sz w:val="24"/>
          <w:szCs w:val="24"/>
          <w:spacing w:val="-4"/>
        </w:rPr>
        <w:t>废物贮存过</w:t>
      </w:r>
      <w:r>
        <w:rPr>
          <w:rFonts w:ascii="FangSong" w:hAnsi="FangSong" w:eastAsia="FangSong" w:cs="FangSong"/>
          <w:sz w:val="24"/>
          <w:szCs w:val="24"/>
          <w:spacing w:val="-3"/>
        </w:rPr>
        <w:t>程产生的液态废物和固态废物应分类收集，按其环境管理要求妥善处</w:t>
      </w:r>
      <w:r>
        <w:rPr>
          <w:rFonts w:ascii="FangSong" w:hAnsi="FangSong" w:eastAsia="FangSong" w:cs="FangSong"/>
          <w:sz w:val="24"/>
          <w:szCs w:val="24"/>
          <w:spacing w:val="-4"/>
        </w:rPr>
        <w:t>理；贮存设</w:t>
      </w:r>
      <w:r>
        <w:rPr>
          <w:rFonts w:ascii="FangSong" w:hAnsi="FangSong" w:eastAsia="FangSong" w:cs="FangSong"/>
          <w:sz w:val="24"/>
          <w:szCs w:val="24"/>
          <w:spacing w:val="-1"/>
        </w:rPr>
        <w:t>施或场所、容器和包装物应按</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HJ1276</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要求设置危险废物贮存设施或场所标</w:t>
      </w:r>
      <w:r>
        <w:rPr>
          <w:rFonts w:ascii="FangSong" w:hAnsi="FangSong" w:eastAsia="FangSong" w:cs="FangSong"/>
          <w:sz w:val="24"/>
          <w:szCs w:val="24"/>
          <w:spacing w:val="-2"/>
        </w:rPr>
        <w:t>志、</w:t>
      </w:r>
      <w:r>
        <w:rPr>
          <w:rFonts w:ascii="FangSong" w:hAnsi="FangSong" w:eastAsia="FangSong" w:cs="FangSong"/>
          <w:sz w:val="24"/>
          <w:szCs w:val="24"/>
          <w:spacing w:val="-3"/>
        </w:rPr>
        <w:t>危险废物贮存分区标志和危险废物标签等危险废物识别标志；危险废</w:t>
      </w:r>
      <w:r>
        <w:rPr>
          <w:rFonts w:ascii="FangSong" w:hAnsi="FangSong" w:eastAsia="FangSong" w:cs="FangSong"/>
          <w:sz w:val="24"/>
          <w:szCs w:val="24"/>
          <w:spacing w:val="-4"/>
        </w:rPr>
        <w:t>物贮存除应</w:t>
      </w:r>
      <w:r>
        <w:rPr>
          <w:rFonts w:ascii="FangSong" w:hAnsi="FangSong" w:eastAsia="FangSong" w:cs="FangSong"/>
          <w:sz w:val="24"/>
          <w:szCs w:val="24"/>
          <w:spacing w:val="-3"/>
        </w:rPr>
        <w:t>满足环境保护相关要求外，还应执行国家安全生产、职业健康、交通</w:t>
      </w:r>
      <w:r>
        <w:rPr>
          <w:rFonts w:ascii="FangSong" w:hAnsi="FangSong" w:eastAsia="FangSong" w:cs="FangSong"/>
          <w:sz w:val="24"/>
          <w:szCs w:val="24"/>
          <w:spacing w:val="-4"/>
        </w:rPr>
        <w:t>运输、消防</w:t>
      </w:r>
      <w:r>
        <w:rPr>
          <w:rFonts w:ascii="FangSong" w:hAnsi="FangSong" w:eastAsia="FangSong" w:cs="FangSong"/>
          <w:sz w:val="24"/>
          <w:szCs w:val="24"/>
          <w:spacing w:val="-2"/>
        </w:rPr>
        <w:t>等法律法规和标准的相关要求。</w:t>
      </w:r>
    </w:p>
    <w:p>
      <w:pPr>
        <w:ind w:left="595"/>
        <w:spacing w:line="219"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贮存设施污染控制要求</w:t>
      </w:r>
    </w:p>
    <w:p>
      <w:pPr>
        <w:ind w:left="604"/>
        <w:spacing w:before="184" w:line="219" w:lineRule="auto"/>
        <w:rPr>
          <w:rFonts w:ascii="FangSong" w:hAnsi="FangSong" w:eastAsia="FangSong" w:cs="FangSong"/>
          <w:sz w:val="24"/>
          <w:szCs w:val="24"/>
        </w:rPr>
      </w:pPr>
      <w:r>
        <w:rPr>
          <w:rFonts w:ascii="FangSong" w:hAnsi="FangSong" w:eastAsia="FangSong" w:cs="FangSong"/>
          <w:sz w:val="24"/>
          <w:szCs w:val="24"/>
          <w:spacing w:val="-3"/>
        </w:rPr>
        <w:t>贮存设施应根据危险废物的形态、物理化学性</w:t>
      </w:r>
      <w:r>
        <w:rPr>
          <w:rFonts w:ascii="FangSong" w:hAnsi="FangSong" w:eastAsia="FangSong" w:cs="FangSong"/>
          <w:sz w:val="24"/>
          <w:szCs w:val="24"/>
          <w:spacing w:val="-4"/>
        </w:rPr>
        <w:t>质、包装形式和污染物迁移途</w:t>
      </w:r>
    </w:p>
    <w:p>
      <w:pPr>
        <w:spacing w:line="219" w:lineRule="auto"/>
        <w:sectPr>
          <w:footerReference w:type="default" r:id="rId349"/>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firstLine="2"/>
        <w:spacing w:before="78" w:line="360" w:lineRule="auto"/>
        <w:jc w:val="both"/>
        <w:rPr>
          <w:rFonts w:ascii="FangSong" w:hAnsi="FangSong" w:eastAsia="FangSong" w:cs="FangSong"/>
          <w:sz w:val="24"/>
          <w:szCs w:val="24"/>
        </w:rPr>
      </w:pPr>
      <w:bookmarkStart w:name="bookmark608" w:id="448"/>
      <w:bookmarkEnd w:id="448"/>
      <w:r>
        <w:rPr>
          <w:rFonts w:ascii="FangSong" w:hAnsi="FangSong" w:eastAsia="FangSong" w:cs="FangSong"/>
          <w:sz w:val="24"/>
          <w:szCs w:val="24"/>
          <w:spacing w:val="-3"/>
        </w:rPr>
        <w:t>径，采取必要的防风、防晒、防雨、防漏、防渗、防腐以及其</w:t>
      </w:r>
      <w:r>
        <w:rPr>
          <w:rFonts w:ascii="FangSong" w:hAnsi="FangSong" w:eastAsia="FangSong" w:cs="FangSong"/>
          <w:sz w:val="24"/>
          <w:szCs w:val="24"/>
          <w:spacing w:val="-4"/>
        </w:rPr>
        <w:t>他环境污染防治措</w:t>
      </w:r>
      <w:r>
        <w:rPr>
          <w:rFonts w:ascii="FangSong" w:hAnsi="FangSong" w:eastAsia="FangSong" w:cs="FangSong"/>
          <w:sz w:val="24"/>
          <w:szCs w:val="24"/>
          <w:spacing w:val="-3"/>
        </w:rPr>
        <w:t>施，不应露天堆放危险废物；贮存设施应根据危险废物的类别、数量</w:t>
      </w:r>
      <w:r>
        <w:rPr>
          <w:rFonts w:ascii="FangSong" w:hAnsi="FangSong" w:eastAsia="FangSong" w:cs="FangSong"/>
          <w:sz w:val="24"/>
          <w:szCs w:val="24"/>
          <w:spacing w:val="-4"/>
        </w:rPr>
        <w:t>、形态、物</w:t>
      </w:r>
      <w:r>
        <w:rPr>
          <w:rFonts w:ascii="FangSong" w:hAnsi="FangSong" w:eastAsia="FangSong" w:cs="FangSong"/>
          <w:sz w:val="24"/>
          <w:szCs w:val="24"/>
          <w:spacing w:val="-4"/>
        </w:rPr>
        <w:t>理化学性质和污染防治等要求设置必要的贮存分区，避免不</w:t>
      </w:r>
      <w:r>
        <w:rPr>
          <w:rFonts w:ascii="FangSong" w:hAnsi="FangSong" w:eastAsia="FangSong" w:cs="FangSong"/>
          <w:sz w:val="24"/>
          <w:szCs w:val="24"/>
          <w:spacing w:val="-5"/>
        </w:rPr>
        <w:t>相容的危险废物接触、</w:t>
      </w:r>
      <w:r>
        <w:rPr>
          <w:rFonts w:ascii="FangSong" w:hAnsi="FangSong" w:eastAsia="FangSong" w:cs="FangSong"/>
          <w:sz w:val="24"/>
          <w:szCs w:val="24"/>
          <w:spacing w:val="-3"/>
        </w:rPr>
        <w:t>混合；贮存设施或贮存分区内地面墙面裙脚、堵截泄漏的围堰、接触</w:t>
      </w:r>
      <w:r>
        <w:rPr>
          <w:rFonts w:ascii="FangSong" w:hAnsi="FangSong" w:eastAsia="FangSong" w:cs="FangSong"/>
          <w:sz w:val="24"/>
          <w:szCs w:val="24"/>
          <w:spacing w:val="-4"/>
        </w:rPr>
        <w:t>危险废物的</w:t>
      </w:r>
      <w:r>
        <w:rPr>
          <w:rFonts w:ascii="FangSong" w:hAnsi="FangSong" w:eastAsia="FangSong" w:cs="FangSong"/>
          <w:sz w:val="24"/>
          <w:szCs w:val="24"/>
          <w:spacing w:val="-1"/>
        </w:rPr>
        <w:t>隔板和墙体等应采用坚固的材料建造，表面无裂缝；</w:t>
      </w:r>
    </w:p>
    <w:p>
      <w:pPr>
        <w:ind w:left="29" w:right="134"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3"/>
        </w:rPr>
        <w:t>贮存设施地面与裙脚应采取表面防渗措施；表</w:t>
      </w:r>
      <w:r>
        <w:rPr>
          <w:rFonts w:ascii="FangSong" w:hAnsi="FangSong" w:eastAsia="FangSong" w:cs="FangSong"/>
          <w:sz w:val="24"/>
          <w:szCs w:val="24"/>
          <w:spacing w:val="-4"/>
        </w:rPr>
        <w:t>面防渗材料应与所接触的物料</w:t>
      </w:r>
      <w:r>
        <w:rPr>
          <w:rFonts w:ascii="FangSong" w:hAnsi="FangSong" w:eastAsia="FangSong" w:cs="FangSong"/>
          <w:sz w:val="24"/>
          <w:szCs w:val="24"/>
          <w:spacing w:val="-3"/>
        </w:rPr>
        <w:t>或污染物相容，可采用抗渗混凝土、高密度聚乙烯膜、钠基膨润土防</w:t>
      </w:r>
      <w:r>
        <w:rPr>
          <w:rFonts w:ascii="FangSong" w:hAnsi="FangSong" w:eastAsia="FangSong" w:cs="FangSong"/>
          <w:sz w:val="24"/>
          <w:szCs w:val="24"/>
          <w:spacing w:val="-4"/>
        </w:rPr>
        <w:t>水毯或其他</w:t>
      </w:r>
      <w:r>
        <w:rPr>
          <w:rFonts w:ascii="FangSong" w:hAnsi="FangSong" w:eastAsia="FangSong" w:cs="FangSong"/>
          <w:sz w:val="24"/>
          <w:szCs w:val="24"/>
          <w:spacing w:val="-3"/>
        </w:rPr>
        <w:t>防渗性能等效的材料。贮存的危险废物直接接触地面的，还应进行基</w:t>
      </w:r>
      <w:r>
        <w:rPr>
          <w:rFonts w:ascii="FangSong" w:hAnsi="FangSong" w:eastAsia="FangSong" w:cs="FangSong"/>
          <w:sz w:val="24"/>
          <w:szCs w:val="24"/>
          <w:spacing w:val="-4"/>
        </w:rPr>
        <w:t>础防渗，防</w:t>
      </w:r>
      <w:r>
        <w:rPr>
          <w:rFonts w:ascii="FangSong" w:hAnsi="FangSong" w:eastAsia="FangSong" w:cs="FangSong"/>
          <w:sz w:val="24"/>
          <w:szCs w:val="24"/>
          <w:spacing w:val="-3"/>
        </w:rPr>
        <w:t>渗层为至少</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厚黏土层（渗透系数不大于</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15"/>
          <w:szCs w:val="15"/>
          <w:spacing w:val="-3"/>
          <w:position w:val="7"/>
        </w:rPr>
        <w:t>-7</w:t>
      </w:r>
      <w:r>
        <w:rPr>
          <w:rFonts w:ascii="Times New Roman" w:hAnsi="Times New Roman" w:eastAsia="Times New Roman" w:cs="Times New Roman"/>
          <w:sz w:val="24"/>
          <w:szCs w:val="24"/>
          <w:spacing w:val="-3"/>
        </w:rPr>
        <w:t>cm/s</w:t>
      </w:r>
      <w:r>
        <w:rPr>
          <w:rFonts w:ascii="FangSong" w:hAnsi="FangSong" w:eastAsia="FangSong" w:cs="FangSong"/>
          <w:sz w:val="24"/>
          <w:szCs w:val="24"/>
          <w:spacing w:val="15"/>
        </w:rPr>
        <w:t>），</w:t>
      </w:r>
      <w:r>
        <w:rPr>
          <w:rFonts w:ascii="FangSong" w:hAnsi="FangSong" w:eastAsia="FangSong" w:cs="FangSong"/>
          <w:sz w:val="24"/>
          <w:szCs w:val="24"/>
          <w:spacing w:val="-3"/>
        </w:rPr>
        <w:t>或至少</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厚高密度聚乙</w:t>
      </w:r>
      <w:r>
        <w:rPr>
          <w:rFonts w:ascii="FangSong" w:hAnsi="FangSong" w:eastAsia="FangSong" w:cs="FangSong"/>
          <w:sz w:val="24"/>
          <w:szCs w:val="24"/>
          <w:spacing w:val="-5"/>
        </w:rPr>
        <w:t>烯膜等人工防渗材料（渗透系数不大于</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15"/>
          <w:szCs w:val="15"/>
          <w:spacing w:val="-5"/>
          <w:position w:val="7"/>
        </w:rPr>
        <w:t>-10</w:t>
      </w:r>
      <w:r>
        <w:rPr>
          <w:rFonts w:ascii="Times New Roman" w:hAnsi="Times New Roman" w:eastAsia="Times New Roman" w:cs="Times New Roman"/>
          <w:sz w:val="24"/>
          <w:szCs w:val="24"/>
          <w:spacing w:val="-5"/>
        </w:rPr>
        <w:t>cm/s</w:t>
      </w:r>
      <w:r>
        <w:rPr>
          <w:rFonts w:ascii="FangSong" w:hAnsi="FangSong" w:eastAsia="FangSong" w:cs="FangSong"/>
          <w:sz w:val="24"/>
          <w:szCs w:val="24"/>
          <w:spacing w:val="-57"/>
        </w:rPr>
        <w:t>），</w:t>
      </w:r>
      <w:r>
        <w:rPr>
          <w:rFonts w:ascii="FangSong" w:hAnsi="FangSong" w:eastAsia="FangSong" w:cs="FangSong"/>
          <w:sz w:val="24"/>
          <w:szCs w:val="24"/>
          <w:spacing w:val="-5"/>
        </w:rPr>
        <w:t>或其他防渗性能等效的材料；</w:t>
      </w:r>
      <w:r>
        <w:rPr>
          <w:rFonts w:ascii="FangSong" w:hAnsi="FangSong" w:eastAsia="FangSong" w:cs="FangSong"/>
          <w:sz w:val="24"/>
          <w:szCs w:val="24"/>
          <w:spacing w:val="-3"/>
        </w:rPr>
        <w:t>同一贮存设施宜采用相同的防渗、防腐工艺（包括防渗、防</w:t>
      </w:r>
      <w:r>
        <w:rPr>
          <w:rFonts w:ascii="FangSong" w:hAnsi="FangSong" w:eastAsia="FangSong" w:cs="FangSong"/>
          <w:sz w:val="24"/>
          <w:szCs w:val="24"/>
          <w:spacing w:val="-4"/>
        </w:rPr>
        <w:t>腐结构或材料</w:t>
      </w:r>
      <w:r>
        <w:rPr>
          <w:rFonts w:ascii="FangSong" w:hAnsi="FangSong" w:eastAsia="FangSong" w:cs="FangSong"/>
          <w:sz w:val="24"/>
          <w:szCs w:val="24"/>
          <w:spacing w:val="-2"/>
        </w:rPr>
        <w:t>），</w:t>
      </w:r>
      <w:r>
        <w:rPr>
          <w:rFonts w:ascii="FangSong" w:hAnsi="FangSong" w:eastAsia="FangSong" w:cs="FangSong"/>
          <w:sz w:val="24"/>
          <w:szCs w:val="24"/>
          <w:spacing w:val="-4"/>
        </w:rPr>
        <w:t>防</w:t>
      </w:r>
      <w:r>
        <w:rPr>
          <w:rFonts w:ascii="FangSong" w:hAnsi="FangSong" w:eastAsia="FangSong" w:cs="FangSong"/>
          <w:sz w:val="24"/>
          <w:szCs w:val="24"/>
          <w:spacing w:val="-1"/>
        </w:rPr>
        <w:t>渗、防腐材料应覆盖所有可能与废物及其渗滤液、</w:t>
      </w:r>
      <w:r>
        <w:rPr>
          <w:rFonts w:ascii="FangSong" w:hAnsi="FangSong" w:eastAsia="FangSong" w:cs="FangSong"/>
          <w:sz w:val="24"/>
          <w:szCs w:val="24"/>
          <w:spacing w:val="-2"/>
        </w:rPr>
        <w:t>渗漏液等接触的构筑物表面；</w:t>
      </w:r>
      <w:r>
        <w:rPr>
          <w:rFonts w:ascii="FangSong" w:hAnsi="FangSong" w:eastAsia="FangSong" w:cs="FangSong"/>
          <w:sz w:val="24"/>
          <w:szCs w:val="24"/>
          <w:spacing w:val="-3"/>
        </w:rPr>
        <w:t>采用不同防渗、防腐工艺应分别建设贮存分区；贮存设施应采取技术</w:t>
      </w:r>
      <w:r>
        <w:rPr>
          <w:rFonts w:ascii="FangSong" w:hAnsi="FangSong" w:eastAsia="FangSong" w:cs="FangSong"/>
          <w:sz w:val="24"/>
          <w:szCs w:val="24"/>
          <w:spacing w:val="-4"/>
        </w:rPr>
        <w:t>和管理措施</w:t>
      </w:r>
      <w:r>
        <w:rPr>
          <w:rFonts w:ascii="FangSong" w:hAnsi="FangSong" w:eastAsia="FangSong" w:cs="FangSong"/>
          <w:sz w:val="24"/>
          <w:szCs w:val="24"/>
          <w:spacing w:val="-2"/>
        </w:rPr>
        <w:t>防止无关人员进入。</w:t>
      </w:r>
    </w:p>
    <w:p>
      <w:pPr>
        <w:ind w:left="501"/>
        <w:spacing w:before="1" w:line="220"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容器和包装物污染控制要求</w:t>
      </w:r>
    </w:p>
    <w:p>
      <w:pPr>
        <w:ind w:left="29" w:right="146" w:firstLine="482"/>
        <w:spacing w:before="180" w:line="360" w:lineRule="auto"/>
        <w:rPr>
          <w:rFonts w:ascii="FangSong" w:hAnsi="FangSong" w:eastAsia="FangSong" w:cs="FangSong"/>
          <w:sz w:val="24"/>
          <w:szCs w:val="24"/>
        </w:rPr>
      </w:pPr>
      <w:r>
        <w:rPr>
          <w:rFonts w:ascii="FangSong" w:hAnsi="FangSong" w:eastAsia="FangSong" w:cs="FangSong"/>
          <w:sz w:val="24"/>
          <w:szCs w:val="24"/>
          <w:spacing w:val="-2"/>
        </w:rPr>
        <w:t>容器和包装物材质、内衬应与盛装的危险废物相容；针对不同类别、形态、</w:t>
      </w:r>
      <w:r>
        <w:rPr>
          <w:rFonts w:ascii="FangSong" w:hAnsi="FangSong" w:eastAsia="FangSong" w:cs="FangSong"/>
          <w:sz w:val="24"/>
          <w:szCs w:val="24"/>
          <w:spacing w:val="-3"/>
        </w:rPr>
        <w:t>物理化学性质的危险废物，其容器和包装物应满足相应的防渗、防</w:t>
      </w:r>
      <w:r>
        <w:rPr>
          <w:rFonts w:ascii="FangSong" w:hAnsi="FangSong" w:eastAsia="FangSong" w:cs="FangSong"/>
          <w:sz w:val="24"/>
          <w:szCs w:val="24"/>
          <w:spacing w:val="-4"/>
        </w:rPr>
        <w:t>漏、防腐和强</w:t>
      </w:r>
      <w:r>
        <w:rPr>
          <w:rFonts w:ascii="FangSong" w:hAnsi="FangSong" w:eastAsia="FangSong" w:cs="FangSong"/>
          <w:sz w:val="24"/>
          <w:szCs w:val="24"/>
          <w:spacing w:val="-3"/>
        </w:rPr>
        <w:t>度等要求；硬质容器和包装物及其支护结构堆叠码放时不应有明显</w:t>
      </w:r>
      <w:r>
        <w:rPr>
          <w:rFonts w:ascii="FangSong" w:hAnsi="FangSong" w:eastAsia="FangSong" w:cs="FangSong"/>
          <w:sz w:val="24"/>
          <w:szCs w:val="24"/>
          <w:spacing w:val="-4"/>
        </w:rPr>
        <w:t>变形，无破损</w:t>
      </w:r>
      <w:r>
        <w:rPr>
          <w:rFonts w:ascii="FangSong" w:hAnsi="FangSong" w:eastAsia="FangSong" w:cs="FangSong"/>
          <w:sz w:val="24"/>
          <w:szCs w:val="24"/>
          <w:spacing w:val="-3"/>
        </w:rPr>
        <w:t>泄漏；柔性容器和包装物堆叠码放时应封口严密，无破损泄漏；使</w:t>
      </w:r>
      <w:r>
        <w:rPr>
          <w:rFonts w:ascii="FangSong" w:hAnsi="FangSong" w:eastAsia="FangSong" w:cs="FangSong"/>
          <w:sz w:val="24"/>
          <w:szCs w:val="24"/>
          <w:spacing w:val="-4"/>
        </w:rPr>
        <w:t>用容器盛装液</w:t>
      </w:r>
      <w:r>
        <w:rPr>
          <w:rFonts w:ascii="FangSong" w:hAnsi="FangSong" w:eastAsia="FangSong" w:cs="FangSong"/>
          <w:sz w:val="24"/>
          <w:szCs w:val="24"/>
          <w:spacing w:val="-3"/>
        </w:rPr>
        <w:t>态、半固态危险废物时，容器内部应留有适当的空间，以适应因温</w:t>
      </w:r>
      <w:r>
        <w:rPr>
          <w:rFonts w:ascii="FangSong" w:hAnsi="FangSong" w:eastAsia="FangSong" w:cs="FangSong"/>
          <w:sz w:val="24"/>
          <w:szCs w:val="24"/>
          <w:spacing w:val="-4"/>
        </w:rPr>
        <w:t>度变化等可能</w:t>
      </w:r>
      <w:r>
        <w:rPr>
          <w:rFonts w:ascii="FangSong" w:hAnsi="FangSong" w:eastAsia="FangSong" w:cs="FangSong"/>
          <w:sz w:val="24"/>
          <w:szCs w:val="24"/>
          <w:spacing w:val="-3"/>
        </w:rPr>
        <w:t>引发的收缩和膨胀，防止其导致容器渗漏或永久变形；容器和包装</w:t>
      </w:r>
      <w:r>
        <w:rPr>
          <w:rFonts w:ascii="FangSong" w:hAnsi="FangSong" w:eastAsia="FangSong" w:cs="FangSong"/>
          <w:sz w:val="24"/>
          <w:szCs w:val="24"/>
          <w:spacing w:val="-4"/>
        </w:rPr>
        <w:t>物外表面应保</w:t>
      </w:r>
      <w:r>
        <w:rPr>
          <w:rFonts w:ascii="FangSong" w:hAnsi="FangSong" w:eastAsia="FangSong" w:cs="FangSong"/>
          <w:sz w:val="24"/>
          <w:szCs w:val="24"/>
          <w:spacing w:val="-4"/>
        </w:rPr>
        <w:t>持清洁。</w:t>
      </w:r>
    </w:p>
    <w:p>
      <w:pPr>
        <w:ind w:left="501"/>
        <w:spacing w:line="219"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贮存过程污染控制要求</w:t>
      </w:r>
    </w:p>
    <w:p>
      <w:pPr>
        <w:ind w:left="30" w:right="196" w:firstLine="482"/>
        <w:spacing w:before="181" w:line="360" w:lineRule="auto"/>
        <w:rPr>
          <w:rFonts w:ascii="FangSong" w:hAnsi="FangSong" w:eastAsia="FangSong" w:cs="FangSong"/>
          <w:sz w:val="24"/>
          <w:szCs w:val="24"/>
        </w:rPr>
      </w:pPr>
      <w:r>
        <w:rPr>
          <w:rFonts w:ascii="FangSong" w:hAnsi="FangSong" w:eastAsia="FangSong" w:cs="FangSong"/>
          <w:sz w:val="24"/>
          <w:szCs w:val="24"/>
          <w:spacing w:val="-4"/>
        </w:rPr>
        <w:t>一般规定：在常温常压下不易水解、不易挥发的固态危险废物可分类堆放贮</w:t>
      </w:r>
      <w:r>
        <w:rPr>
          <w:rFonts w:ascii="FangSong" w:hAnsi="FangSong" w:eastAsia="FangSong" w:cs="FangSong"/>
          <w:sz w:val="24"/>
          <w:szCs w:val="24"/>
          <w:spacing w:val="-3"/>
        </w:rPr>
        <w:t>存，其他固态危险废物应装入容器或包装物内贮存；液态危险废</w:t>
      </w:r>
      <w:r>
        <w:rPr>
          <w:rFonts w:ascii="FangSong" w:hAnsi="FangSong" w:eastAsia="FangSong" w:cs="FangSong"/>
          <w:sz w:val="24"/>
          <w:szCs w:val="24"/>
          <w:spacing w:val="-4"/>
        </w:rPr>
        <w:t>物应装入容器内</w:t>
      </w:r>
      <w:r>
        <w:rPr>
          <w:rFonts w:ascii="FangSong" w:hAnsi="FangSong" w:eastAsia="FangSong" w:cs="FangSong"/>
          <w:sz w:val="24"/>
          <w:szCs w:val="24"/>
          <w:spacing w:val="-6"/>
        </w:rPr>
        <w:t>贮存。</w:t>
      </w:r>
    </w:p>
    <w:p>
      <w:pPr>
        <w:ind w:left="29" w:right="196"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3"/>
        </w:rPr>
        <w:t>贮存点环境管理要求：贮存点应具有固定的区</w:t>
      </w:r>
      <w:r>
        <w:rPr>
          <w:rFonts w:ascii="FangSong" w:hAnsi="FangSong" w:eastAsia="FangSong" w:cs="FangSong"/>
          <w:sz w:val="24"/>
          <w:szCs w:val="24"/>
          <w:spacing w:val="-4"/>
        </w:rPr>
        <w:t>域边界，并应采取与其他区域</w:t>
      </w:r>
      <w:r>
        <w:rPr>
          <w:rFonts w:ascii="FangSong" w:hAnsi="FangSong" w:eastAsia="FangSong" w:cs="FangSong"/>
          <w:sz w:val="24"/>
          <w:szCs w:val="24"/>
          <w:spacing w:val="-3"/>
        </w:rPr>
        <w:t>进行隔离的措施；贮存点应采取防风、防雨、防晒和防止危险废物</w:t>
      </w:r>
      <w:r>
        <w:rPr>
          <w:rFonts w:ascii="FangSong" w:hAnsi="FangSong" w:eastAsia="FangSong" w:cs="FangSong"/>
          <w:sz w:val="24"/>
          <w:szCs w:val="24"/>
          <w:spacing w:val="-4"/>
        </w:rPr>
        <w:t>流失、扬散等</w:t>
      </w:r>
      <w:r>
        <w:rPr>
          <w:rFonts w:ascii="FangSong" w:hAnsi="FangSong" w:eastAsia="FangSong" w:cs="FangSong"/>
          <w:sz w:val="24"/>
          <w:szCs w:val="24"/>
          <w:spacing w:val="-3"/>
        </w:rPr>
        <w:t>措施；贮存点贮存的危险废物应置于容器或包装物中，不应直接散</w:t>
      </w:r>
      <w:r>
        <w:rPr>
          <w:rFonts w:ascii="FangSong" w:hAnsi="FangSong" w:eastAsia="FangSong" w:cs="FangSong"/>
          <w:sz w:val="24"/>
          <w:szCs w:val="24"/>
          <w:spacing w:val="-4"/>
        </w:rPr>
        <w:t>堆；贮存点应</w:t>
      </w:r>
    </w:p>
    <w:p>
      <w:pPr>
        <w:spacing w:line="360" w:lineRule="auto"/>
        <w:sectPr>
          <w:footerReference w:type="default" r:id="rId350"/>
          <w:pgSz w:w="11906" w:h="16839"/>
          <w:pgMar w:top="400" w:right="160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76"/>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根据危险废物的形态、物理化学性质、包装形式等，采取防渗、</w:t>
      </w:r>
      <w:r>
        <w:rPr>
          <w:rFonts w:ascii="FangSong" w:hAnsi="FangSong" w:eastAsia="FangSong" w:cs="FangSong"/>
          <w:sz w:val="24"/>
          <w:szCs w:val="24"/>
          <w:spacing w:val="-4"/>
        </w:rPr>
        <w:t>防漏等污染防治</w:t>
      </w:r>
      <w:r>
        <w:rPr>
          <w:rFonts w:ascii="FangSong" w:hAnsi="FangSong" w:eastAsia="FangSong" w:cs="FangSong"/>
          <w:sz w:val="24"/>
          <w:szCs w:val="24"/>
          <w:spacing w:val="-3"/>
        </w:rPr>
        <w:t>措施或采用具有相应功能的装置；贮存点应及时清运贮存的危险废</w:t>
      </w:r>
      <w:r>
        <w:rPr>
          <w:rFonts w:ascii="FangSong" w:hAnsi="FangSong" w:eastAsia="FangSong" w:cs="FangSong"/>
          <w:sz w:val="24"/>
          <w:szCs w:val="24"/>
          <w:spacing w:val="-4"/>
        </w:rPr>
        <w:t>物，实时贮存</w:t>
      </w:r>
      <w:r>
        <w:rPr>
          <w:rFonts w:ascii="FangSong" w:hAnsi="FangSong" w:eastAsia="FangSong" w:cs="FangSong"/>
          <w:sz w:val="24"/>
          <w:szCs w:val="24"/>
          <w:spacing w:val="-7"/>
        </w:rPr>
        <w:t>量不应超过</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7"/>
        </w:rPr>
        <w:t>吨。</w:t>
      </w:r>
    </w:p>
    <w:p>
      <w:pPr>
        <w:ind w:left="501"/>
        <w:spacing w:line="219" w:lineRule="auto"/>
        <w:rPr>
          <w:rFonts w:ascii="FangSong" w:hAnsi="FangSong" w:eastAsia="FangSong" w:cs="FangSong"/>
          <w:sz w:val="24"/>
          <w:szCs w:val="24"/>
        </w:rPr>
      </w:pPr>
      <w:r>
        <w:rPr>
          <w:rFonts w:ascii="FangSong" w:hAnsi="FangSong" w:eastAsia="FangSong" w:cs="FangSong"/>
          <w:sz w:val="24"/>
          <w:szCs w:val="24"/>
          <w:spacing w:val="-1"/>
        </w:rPr>
        <w:t>⑤</w:t>
      </w:r>
      <w:r>
        <w:rPr>
          <w:rFonts w:ascii="FangSong" w:hAnsi="FangSong" w:eastAsia="FangSong" w:cs="FangSong"/>
          <w:sz w:val="24"/>
          <w:szCs w:val="24"/>
          <w:spacing w:val="-1"/>
        </w:rPr>
        <w:t xml:space="preserve"> </w:t>
      </w:r>
      <w:r>
        <w:rPr>
          <w:rFonts w:ascii="FangSong" w:hAnsi="FangSong" w:eastAsia="FangSong" w:cs="FangSong"/>
          <w:sz w:val="24"/>
          <w:szCs w:val="24"/>
          <w:spacing w:val="-1"/>
        </w:rPr>
        <w:t>贮存设施运行环境管理要求</w:t>
      </w:r>
    </w:p>
    <w:p>
      <w:pPr>
        <w:ind w:left="32" w:right="76" w:firstLine="482"/>
        <w:spacing w:before="181" w:line="360" w:lineRule="auto"/>
        <w:rPr>
          <w:rFonts w:ascii="FangSong" w:hAnsi="FangSong" w:eastAsia="FangSong" w:cs="FangSong"/>
          <w:sz w:val="24"/>
          <w:szCs w:val="24"/>
        </w:rPr>
      </w:pPr>
      <w:r>
        <w:rPr>
          <w:rFonts w:ascii="FangSong" w:hAnsi="FangSong" w:eastAsia="FangSong" w:cs="FangSong"/>
          <w:sz w:val="24"/>
          <w:szCs w:val="24"/>
          <w:spacing w:val="4"/>
        </w:rPr>
        <w:t>危险废物存入贮存设施前应对危险废物类别和特性与危险废物</w:t>
      </w:r>
      <w:r>
        <w:rPr>
          <w:rFonts w:ascii="FangSong" w:hAnsi="FangSong" w:eastAsia="FangSong" w:cs="FangSong"/>
          <w:sz w:val="24"/>
          <w:szCs w:val="24"/>
          <w:spacing w:val="3"/>
        </w:rPr>
        <w:t>标签等危险</w:t>
      </w:r>
      <w:r>
        <w:rPr>
          <w:rFonts w:ascii="FangSong" w:hAnsi="FangSong" w:eastAsia="FangSong" w:cs="FangSong"/>
          <w:sz w:val="24"/>
          <w:szCs w:val="24"/>
          <w:spacing w:val="-1"/>
        </w:rPr>
        <w:t>废物识别标志的一致性进行核验，不一致的或类别、特性不明的不应存入。</w:t>
      </w:r>
    </w:p>
    <w:p>
      <w:pPr>
        <w:ind w:left="35" w:right="76" w:firstLine="474"/>
        <w:spacing w:before="1" w:line="360" w:lineRule="auto"/>
        <w:jc w:val="both"/>
        <w:rPr>
          <w:rFonts w:ascii="FangSong" w:hAnsi="FangSong" w:eastAsia="FangSong" w:cs="FangSong"/>
          <w:sz w:val="24"/>
          <w:szCs w:val="24"/>
        </w:rPr>
      </w:pPr>
      <w:r>
        <w:rPr>
          <w:rFonts w:ascii="FangSong" w:hAnsi="FangSong" w:eastAsia="FangSong" w:cs="FangSong"/>
          <w:sz w:val="24"/>
          <w:szCs w:val="24"/>
          <w:spacing w:val="-3"/>
        </w:rPr>
        <w:t>应定期检查危险废物的贮存状况，及时清理贮存</w:t>
      </w:r>
      <w:r>
        <w:rPr>
          <w:rFonts w:ascii="FangSong" w:hAnsi="FangSong" w:eastAsia="FangSong" w:cs="FangSong"/>
          <w:sz w:val="24"/>
          <w:szCs w:val="24"/>
          <w:spacing w:val="-4"/>
        </w:rPr>
        <w:t>设施地面，更换破损泄漏的</w:t>
      </w:r>
      <w:r>
        <w:rPr>
          <w:rFonts w:ascii="FangSong" w:hAnsi="FangSong" w:eastAsia="FangSong" w:cs="FangSong"/>
          <w:sz w:val="24"/>
          <w:szCs w:val="24"/>
          <w:spacing w:val="-3"/>
        </w:rPr>
        <w:t>危险废物贮存容器和包装物，保证堆存危险废物的防</w:t>
      </w:r>
      <w:r>
        <w:rPr>
          <w:rFonts w:ascii="FangSong" w:hAnsi="FangSong" w:eastAsia="FangSong" w:cs="FangSong"/>
          <w:sz w:val="24"/>
          <w:szCs w:val="24"/>
          <w:spacing w:val="-4"/>
        </w:rPr>
        <w:t>雨、防风、防扬尘等设施功</w:t>
      </w:r>
      <w:r>
        <w:rPr>
          <w:rFonts w:ascii="FangSong" w:hAnsi="FangSong" w:eastAsia="FangSong" w:cs="FangSong"/>
          <w:sz w:val="24"/>
          <w:szCs w:val="24"/>
          <w:spacing w:val="-6"/>
        </w:rPr>
        <w:t>能完好。</w:t>
      </w:r>
    </w:p>
    <w:p>
      <w:pPr>
        <w:ind w:left="29" w:right="76" w:firstLine="483"/>
        <w:spacing w:before="6" w:line="359" w:lineRule="auto"/>
        <w:jc w:val="both"/>
        <w:rPr>
          <w:rFonts w:ascii="FangSong" w:hAnsi="FangSong" w:eastAsia="FangSong" w:cs="FangSong"/>
          <w:sz w:val="24"/>
          <w:szCs w:val="24"/>
        </w:rPr>
      </w:pPr>
      <w:r>
        <w:rPr>
          <w:rFonts w:ascii="FangSong" w:hAnsi="FangSong" w:eastAsia="FangSong" w:cs="FangSong"/>
          <w:sz w:val="24"/>
          <w:szCs w:val="24"/>
          <w:spacing w:val="-4"/>
        </w:rPr>
        <w:t>作业设备及车辆等结束作业离开贮存设施时，应对其残留的危险废物进行清</w:t>
      </w:r>
      <w:r>
        <w:rPr>
          <w:rFonts w:ascii="FangSong" w:hAnsi="FangSong" w:eastAsia="FangSong" w:cs="FangSong"/>
          <w:sz w:val="24"/>
          <w:szCs w:val="24"/>
          <w:spacing w:val="-3"/>
        </w:rPr>
        <w:t>理，清理的废物或清洗废水应收集处理。贮存设施运行期间，应按</w:t>
      </w:r>
      <w:r>
        <w:rPr>
          <w:rFonts w:ascii="FangSong" w:hAnsi="FangSong" w:eastAsia="FangSong" w:cs="FangSong"/>
          <w:sz w:val="24"/>
          <w:szCs w:val="24"/>
          <w:spacing w:val="-4"/>
        </w:rPr>
        <w:t>国家有关标准</w:t>
      </w:r>
      <w:r>
        <w:rPr>
          <w:rFonts w:ascii="FangSong" w:hAnsi="FangSong" w:eastAsia="FangSong" w:cs="FangSong"/>
          <w:sz w:val="24"/>
          <w:szCs w:val="24"/>
          <w:spacing w:val="-3"/>
        </w:rPr>
        <w:t>和规定建立危险废物管理台账并保存。贮存设施所有者或运营者应</w:t>
      </w:r>
      <w:r>
        <w:rPr>
          <w:rFonts w:ascii="FangSong" w:hAnsi="FangSong" w:eastAsia="FangSong" w:cs="FangSong"/>
          <w:sz w:val="24"/>
          <w:szCs w:val="24"/>
          <w:spacing w:val="-4"/>
        </w:rPr>
        <w:t>建立贮存设施</w:t>
      </w:r>
      <w:r>
        <w:rPr>
          <w:rFonts w:ascii="FangSong" w:hAnsi="FangSong" w:eastAsia="FangSong" w:cs="FangSong"/>
          <w:sz w:val="24"/>
          <w:szCs w:val="24"/>
          <w:spacing w:val="-3"/>
        </w:rPr>
        <w:t>环境管理制度、管理人员岗位职责制度、设施运行操作制度、人员</w:t>
      </w:r>
      <w:r>
        <w:rPr>
          <w:rFonts w:ascii="FangSong" w:hAnsi="FangSong" w:eastAsia="FangSong" w:cs="FangSong"/>
          <w:sz w:val="24"/>
          <w:szCs w:val="24"/>
          <w:spacing w:val="-4"/>
        </w:rPr>
        <w:t>岗位培训制度</w:t>
      </w:r>
      <w:r>
        <w:rPr>
          <w:rFonts w:ascii="FangSong" w:hAnsi="FangSong" w:eastAsia="FangSong" w:cs="FangSong"/>
          <w:sz w:val="24"/>
          <w:szCs w:val="24"/>
          <w:spacing w:val="-8"/>
        </w:rPr>
        <w:t>等。</w:t>
      </w:r>
    </w:p>
    <w:p>
      <w:pPr>
        <w:ind w:left="29" w:right="76" w:firstLine="481"/>
        <w:spacing w:before="3" w:line="359" w:lineRule="auto"/>
        <w:jc w:val="both"/>
        <w:rPr>
          <w:rFonts w:ascii="FangSong" w:hAnsi="FangSong" w:eastAsia="FangSong" w:cs="FangSong"/>
          <w:sz w:val="24"/>
          <w:szCs w:val="24"/>
        </w:rPr>
      </w:pPr>
      <w:r>
        <w:rPr>
          <w:rFonts w:ascii="FangSong" w:hAnsi="FangSong" w:eastAsia="FangSong" w:cs="FangSong"/>
          <w:sz w:val="24"/>
          <w:szCs w:val="24"/>
          <w:spacing w:val="-3"/>
        </w:rPr>
        <w:t>贮存设施所有者或运营者应依据国家土壤和地</w:t>
      </w:r>
      <w:r>
        <w:rPr>
          <w:rFonts w:ascii="FangSong" w:hAnsi="FangSong" w:eastAsia="FangSong" w:cs="FangSong"/>
          <w:sz w:val="24"/>
          <w:szCs w:val="24"/>
          <w:spacing w:val="-4"/>
        </w:rPr>
        <w:t>下水污染防治的有关规定，结</w:t>
      </w:r>
      <w:r>
        <w:rPr>
          <w:rFonts w:ascii="FangSong" w:hAnsi="FangSong" w:eastAsia="FangSong" w:cs="FangSong"/>
          <w:sz w:val="24"/>
          <w:szCs w:val="24"/>
          <w:spacing w:val="-3"/>
        </w:rPr>
        <w:t>合贮存设施特点建立土壤和地下水污染隐患排查制度，并定期开展隐</w:t>
      </w:r>
      <w:r>
        <w:rPr>
          <w:rFonts w:ascii="FangSong" w:hAnsi="FangSong" w:eastAsia="FangSong" w:cs="FangSong"/>
          <w:sz w:val="24"/>
          <w:szCs w:val="24"/>
          <w:spacing w:val="-4"/>
        </w:rPr>
        <w:t>患排查；发</w:t>
      </w:r>
      <w:r>
        <w:rPr>
          <w:rFonts w:ascii="FangSong" w:hAnsi="FangSong" w:eastAsia="FangSong" w:cs="FangSong"/>
          <w:sz w:val="24"/>
          <w:szCs w:val="24"/>
          <w:spacing w:val="-1"/>
        </w:rPr>
        <w:t>现隐患应及时采取措施消除隐患，并建立档案。</w:t>
      </w:r>
    </w:p>
    <w:p>
      <w:pPr>
        <w:ind w:left="31" w:firstLine="479"/>
        <w:spacing w:before="1" w:line="360" w:lineRule="auto"/>
        <w:rPr>
          <w:rFonts w:ascii="FangSong" w:hAnsi="FangSong" w:eastAsia="FangSong" w:cs="FangSong"/>
          <w:sz w:val="24"/>
          <w:szCs w:val="24"/>
        </w:rPr>
      </w:pPr>
      <w:r>
        <w:rPr>
          <w:rFonts w:ascii="FangSong" w:hAnsi="FangSong" w:eastAsia="FangSong" w:cs="FangSong"/>
          <w:sz w:val="24"/>
          <w:szCs w:val="24"/>
          <w:spacing w:val="-8"/>
        </w:rPr>
        <w:t>贮存设施所有者或运营者应建立贮存设施全部档案，包括设计、施工、</w:t>
      </w:r>
      <w:r>
        <w:rPr>
          <w:rFonts w:ascii="FangSong" w:hAnsi="FangSong" w:eastAsia="FangSong" w:cs="FangSong"/>
          <w:sz w:val="24"/>
          <w:szCs w:val="24"/>
          <w:spacing w:val="-9"/>
        </w:rPr>
        <w:t>验收、</w:t>
      </w:r>
      <w:r>
        <w:rPr>
          <w:rFonts w:ascii="FangSong" w:hAnsi="FangSong" w:eastAsia="FangSong" w:cs="FangSong"/>
          <w:sz w:val="24"/>
          <w:szCs w:val="24"/>
          <w:spacing w:val="-1"/>
        </w:rPr>
        <w:t>运行、监测和环境应急等，应按国家有关档</w:t>
      </w:r>
      <w:r>
        <w:rPr>
          <w:rFonts w:ascii="FangSong" w:hAnsi="FangSong" w:eastAsia="FangSong" w:cs="FangSong"/>
          <w:sz w:val="24"/>
          <w:szCs w:val="24"/>
          <w:spacing w:val="-2"/>
        </w:rPr>
        <w:t>案管理的法律法规进行整理和归档。</w:t>
      </w:r>
    </w:p>
    <w:p>
      <w:pPr>
        <w:ind w:left="22" w:right="76" w:firstLine="488"/>
        <w:spacing w:before="1" w:line="360" w:lineRule="auto"/>
        <w:rPr>
          <w:rFonts w:ascii="FangSong" w:hAnsi="FangSong" w:eastAsia="FangSong" w:cs="FangSong"/>
          <w:sz w:val="24"/>
          <w:szCs w:val="24"/>
        </w:rPr>
      </w:pPr>
      <w:r>
        <w:rPr>
          <w:rFonts w:ascii="FangSong" w:hAnsi="FangSong" w:eastAsia="FangSong" w:cs="FangSong"/>
          <w:sz w:val="24"/>
          <w:szCs w:val="24"/>
          <w:spacing w:val="-3"/>
        </w:rPr>
        <w:t>项目危险废物贮存点还应满足《排污许可证申</w:t>
      </w:r>
      <w:r>
        <w:rPr>
          <w:rFonts w:ascii="FangSong" w:hAnsi="FangSong" w:eastAsia="FangSong" w:cs="FangSong"/>
          <w:sz w:val="24"/>
          <w:szCs w:val="24"/>
          <w:spacing w:val="-4"/>
        </w:rPr>
        <w:t>请与核发技术规范工业固体废</w:t>
      </w:r>
      <w:r>
        <w:rPr>
          <w:rFonts w:ascii="FangSong" w:hAnsi="FangSong" w:eastAsia="FangSong" w:cs="FangSong"/>
          <w:sz w:val="24"/>
          <w:szCs w:val="24"/>
          <w:spacing w:val="-3"/>
        </w:rPr>
        <w:t>物（试行）》（</w:t>
      </w:r>
      <w:r>
        <w:rPr>
          <w:rFonts w:ascii="Times New Roman" w:hAnsi="Times New Roman" w:eastAsia="Times New Roman" w:cs="Times New Roman"/>
          <w:sz w:val="24"/>
          <w:szCs w:val="24"/>
          <w:spacing w:val="-3"/>
        </w:rPr>
        <w:t>HJ1200-2021</w:t>
      </w:r>
      <w:r>
        <w:rPr>
          <w:rFonts w:ascii="FangSong" w:hAnsi="FangSong" w:eastAsia="FangSong" w:cs="FangSong"/>
          <w:sz w:val="24"/>
          <w:szCs w:val="24"/>
          <w:spacing w:val="-3"/>
        </w:rPr>
        <w:t>）</w:t>
      </w:r>
      <w:r>
        <w:rPr>
          <w:rFonts w:ascii="FangSong" w:hAnsi="FangSong" w:eastAsia="FangSong" w:cs="FangSong"/>
          <w:sz w:val="24"/>
          <w:szCs w:val="24"/>
          <w:spacing w:val="-68"/>
        </w:rPr>
        <w:t xml:space="preserve"> </w:t>
      </w:r>
      <w:r>
        <w:rPr>
          <w:rFonts w:ascii="FangSong" w:hAnsi="FangSong" w:eastAsia="FangSong" w:cs="FangSong"/>
          <w:sz w:val="24"/>
          <w:szCs w:val="24"/>
          <w:spacing w:val="-3"/>
        </w:rPr>
        <w:t>中“</w:t>
      </w:r>
      <w:r>
        <w:rPr>
          <w:rFonts w:ascii="FangSong" w:hAnsi="FangSong" w:eastAsia="FangSong" w:cs="FangSong"/>
          <w:sz w:val="24"/>
          <w:szCs w:val="24"/>
          <w:spacing w:val="-59"/>
        </w:rPr>
        <w:t xml:space="preserve"> </w:t>
      </w:r>
      <w:r>
        <w:rPr>
          <w:rFonts w:ascii="FangSong" w:hAnsi="FangSong" w:eastAsia="FangSong" w:cs="FangSong"/>
          <w:sz w:val="24"/>
          <w:szCs w:val="24"/>
          <w:spacing w:val="-3"/>
        </w:rPr>
        <w:t>自行贮存设施污染防控技术要求</w:t>
      </w:r>
      <w:r>
        <w:rPr>
          <w:rFonts w:ascii="FangSong" w:hAnsi="FangSong" w:eastAsia="FangSong" w:cs="FangSong"/>
          <w:sz w:val="24"/>
          <w:szCs w:val="24"/>
          <w:spacing w:val="-86"/>
        </w:rPr>
        <w:t xml:space="preserve"> </w:t>
      </w:r>
      <w:r>
        <w:rPr>
          <w:rFonts w:ascii="FangSong" w:hAnsi="FangSong" w:eastAsia="FangSong" w:cs="FangSong"/>
          <w:sz w:val="24"/>
          <w:szCs w:val="24"/>
          <w:spacing w:val="-3"/>
        </w:rPr>
        <w:t>”：包装容</w:t>
      </w:r>
      <w:r>
        <w:rPr>
          <w:rFonts w:ascii="FangSong" w:hAnsi="FangSong" w:eastAsia="FangSong" w:cs="FangSong"/>
          <w:sz w:val="24"/>
          <w:szCs w:val="24"/>
          <w:spacing w:val="-3"/>
        </w:rPr>
        <w:t>器应达到相应的强度要求并完好无损，禁止混合贮存性质不相容而未经安全性处</w:t>
      </w:r>
      <w:r>
        <w:rPr>
          <w:rFonts w:ascii="FangSong" w:hAnsi="FangSong" w:eastAsia="FangSong" w:cs="FangSong"/>
          <w:sz w:val="24"/>
          <w:szCs w:val="24"/>
          <w:spacing w:val="-3"/>
        </w:rPr>
        <w:t>置的危险废物；危险废物容器和包装物以及危险废物贮存设施、场所应按照《危</w:t>
      </w:r>
      <w:r>
        <w:rPr>
          <w:rFonts w:ascii="FangSong" w:hAnsi="FangSong" w:eastAsia="FangSong" w:cs="FangSong"/>
          <w:sz w:val="24"/>
          <w:szCs w:val="24"/>
          <w:spacing w:val="1"/>
        </w:rPr>
        <w:t>险废物识别标志设置技术规范》（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1276-2022</w:t>
      </w:r>
      <w:r>
        <w:rPr>
          <w:rFonts w:ascii="FangSong" w:hAnsi="FangSong" w:eastAsia="FangSong" w:cs="FangSong"/>
          <w:sz w:val="24"/>
          <w:szCs w:val="24"/>
          <w:spacing w:val="1"/>
        </w:rPr>
        <w:t>）相关规定要</w:t>
      </w:r>
      <w:r>
        <w:rPr>
          <w:rFonts w:ascii="FangSong" w:hAnsi="FangSong" w:eastAsia="FangSong" w:cs="FangSong"/>
          <w:sz w:val="24"/>
          <w:szCs w:val="24"/>
        </w:rPr>
        <w:t>求，对危险废物贮</w:t>
      </w:r>
      <w:r>
        <w:rPr>
          <w:rFonts w:ascii="FangSong" w:hAnsi="FangSong" w:eastAsia="FangSong" w:cs="FangSong"/>
          <w:sz w:val="24"/>
          <w:szCs w:val="24"/>
          <w:spacing w:val="-3"/>
        </w:rPr>
        <w:t>存点及危险废物储存容器上设置张贴危险废物识别标志；仓库式贮存设施应分开</w:t>
      </w:r>
      <w:r>
        <w:rPr>
          <w:rFonts w:ascii="FangSong" w:hAnsi="FangSong" w:eastAsia="FangSong" w:cs="FangSong"/>
          <w:sz w:val="24"/>
          <w:szCs w:val="24"/>
          <w:spacing w:val="-3"/>
        </w:rPr>
        <w:t>存放不相容危险废物，按危险废物的种类和特性进行分区贮存，采用防腐、防渗</w:t>
      </w:r>
      <w:r>
        <w:rPr>
          <w:rFonts w:ascii="FangSong" w:hAnsi="FangSong" w:eastAsia="FangSong" w:cs="FangSong"/>
          <w:sz w:val="24"/>
          <w:szCs w:val="24"/>
          <w:spacing w:val="-3"/>
        </w:rPr>
        <w:t>地面和裙脚，设置防止泄露物质扩散至外环境的拦截、导流、收集设施。生产运</w:t>
      </w:r>
      <w:r>
        <w:rPr>
          <w:rFonts w:ascii="FangSong" w:hAnsi="FangSong" w:eastAsia="FangSong" w:cs="FangSong"/>
          <w:sz w:val="24"/>
          <w:szCs w:val="24"/>
          <w:spacing w:val="21"/>
        </w:rPr>
        <w:t>营期间</w:t>
      </w:r>
      <w:r>
        <w:rPr>
          <w:rFonts w:ascii="FangSong" w:hAnsi="FangSong" w:eastAsia="FangSong" w:cs="FangSong"/>
          <w:sz w:val="24"/>
          <w:szCs w:val="24"/>
          <w:spacing w:val="-56"/>
        </w:rPr>
        <w:t xml:space="preserve"> </w:t>
      </w:r>
      <w:r>
        <w:rPr>
          <w:rFonts w:ascii="FangSong" w:hAnsi="FangSong" w:eastAsia="FangSong" w:cs="FangSong"/>
          <w:sz w:val="24"/>
          <w:szCs w:val="24"/>
          <w:spacing w:val="21"/>
        </w:rPr>
        <w:t>危险废物</w:t>
      </w:r>
      <w:r>
        <w:rPr>
          <w:rFonts w:ascii="FangSong" w:hAnsi="FangSong" w:eastAsia="FangSong" w:cs="FangSong"/>
          <w:sz w:val="24"/>
          <w:szCs w:val="24"/>
          <w:spacing w:val="-30"/>
        </w:rPr>
        <w:t xml:space="preserve"> </w:t>
      </w:r>
      <w:r>
        <w:rPr>
          <w:rFonts w:ascii="FangSong" w:hAnsi="FangSong" w:eastAsia="FangSong" w:cs="FangSong"/>
          <w:sz w:val="24"/>
          <w:szCs w:val="24"/>
          <w:spacing w:val="21"/>
        </w:rPr>
        <w:t>自行贮存设施的环境管理和</w:t>
      </w:r>
      <w:r>
        <w:rPr>
          <w:rFonts w:ascii="FangSong" w:hAnsi="FangSong" w:eastAsia="FangSong" w:cs="FangSong"/>
          <w:sz w:val="24"/>
          <w:szCs w:val="24"/>
          <w:spacing w:val="-71"/>
        </w:rPr>
        <w:t xml:space="preserve"> </w:t>
      </w:r>
      <w:r>
        <w:rPr>
          <w:rFonts w:ascii="FangSong" w:hAnsi="FangSong" w:eastAsia="FangSong" w:cs="FangSong"/>
          <w:sz w:val="24"/>
          <w:szCs w:val="24"/>
          <w:spacing w:val="21"/>
        </w:rPr>
        <w:t>相关设施运行维护还应符合</w:t>
      </w:r>
      <w:r>
        <w:rPr>
          <w:rFonts w:ascii="Times New Roman" w:hAnsi="Times New Roman" w:eastAsia="Times New Roman" w:cs="Times New Roman"/>
          <w:sz w:val="24"/>
          <w:szCs w:val="24"/>
          <w:spacing w:val="-3"/>
        </w:rPr>
        <w:t>GB15562.2</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GB18597</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HJ2025</w:t>
      </w:r>
      <w:r>
        <w:rPr>
          <w:rFonts w:ascii="Times New Roman" w:hAnsi="Times New Roman" w:eastAsia="Times New Roman" w:cs="Times New Roman"/>
          <w:sz w:val="24"/>
          <w:szCs w:val="24"/>
          <w:spacing w:val="24"/>
          <w:w w:val="101"/>
        </w:rPr>
        <w:t xml:space="preserve"> </w:t>
      </w:r>
      <w:r>
        <w:rPr>
          <w:rFonts w:ascii="FangSong" w:hAnsi="FangSong" w:eastAsia="FangSong" w:cs="FangSong"/>
          <w:sz w:val="24"/>
          <w:szCs w:val="24"/>
          <w:spacing w:val="-3"/>
        </w:rPr>
        <w:t>等相关标准规范要</w:t>
      </w:r>
      <w:r>
        <w:rPr>
          <w:rFonts w:ascii="FangSong" w:hAnsi="FangSong" w:eastAsia="FangSong" w:cs="FangSong"/>
          <w:sz w:val="24"/>
          <w:szCs w:val="24"/>
          <w:spacing w:val="-4"/>
        </w:rPr>
        <w:t>求。</w:t>
      </w:r>
    </w:p>
    <w:p>
      <w:pPr>
        <w:spacing w:line="360" w:lineRule="auto"/>
        <w:sectPr>
          <w:footerReference w:type="default" r:id="rId351"/>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14"/>
        <w:spacing w:before="78"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）环境管理台账编制要求</w:t>
      </w:r>
    </w:p>
    <w:p>
      <w:pPr>
        <w:ind w:left="30" w:right="76" w:firstLine="479"/>
        <w:spacing w:before="180" w:line="360" w:lineRule="auto"/>
        <w:rPr>
          <w:rFonts w:ascii="FangSong" w:hAnsi="FangSong" w:eastAsia="FangSong" w:cs="FangSong"/>
          <w:sz w:val="24"/>
          <w:szCs w:val="24"/>
        </w:rPr>
      </w:pPr>
      <w:r>
        <w:rPr>
          <w:rFonts w:ascii="FangSong" w:hAnsi="FangSong" w:eastAsia="FangSong" w:cs="FangSong"/>
          <w:sz w:val="24"/>
          <w:szCs w:val="24"/>
          <w:spacing w:val="-3"/>
        </w:rPr>
        <w:t>建设单位应建立环境管理台账，危险废物环境管</w:t>
      </w:r>
      <w:r>
        <w:rPr>
          <w:rFonts w:ascii="FangSong" w:hAnsi="FangSong" w:eastAsia="FangSong" w:cs="FangSong"/>
          <w:sz w:val="24"/>
          <w:szCs w:val="24"/>
          <w:spacing w:val="-4"/>
        </w:rPr>
        <w:t>理台账记录应符合《危险废</w:t>
      </w:r>
      <w:r>
        <w:rPr>
          <w:rFonts w:ascii="FangSong" w:hAnsi="FangSong" w:eastAsia="FangSong" w:cs="FangSong"/>
          <w:sz w:val="24"/>
          <w:szCs w:val="24"/>
          <w:spacing w:val="-3"/>
        </w:rPr>
        <w:t>物产生单位管理计划制定指南》等标准及管理文件的相关要求。</w:t>
      </w:r>
      <w:r>
        <w:rPr>
          <w:rFonts w:ascii="FangSong" w:hAnsi="FangSong" w:eastAsia="FangSong" w:cs="FangSong"/>
          <w:sz w:val="24"/>
          <w:szCs w:val="24"/>
          <w:spacing w:val="-4"/>
        </w:rPr>
        <w:t>待危险废物环境</w:t>
      </w:r>
      <w:r>
        <w:rPr>
          <w:rFonts w:ascii="FangSong" w:hAnsi="FangSong" w:eastAsia="FangSong" w:cs="FangSong"/>
          <w:sz w:val="24"/>
          <w:szCs w:val="24"/>
          <w:spacing w:val="-1"/>
        </w:rPr>
        <w:t>管理台账相关标准或管理文件发布实施后，从其规定。</w:t>
      </w:r>
    </w:p>
    <w:p>
      <w:pPr>
        <w:ind w:left="29" w:right="76" w:firstLine="482"/>
        <w:spacing w:line="360" w:lineRule="auto"/>
        <w:rPr>
          <w:rFonts w:ascii="FangSong" w:hAnsi="FangSong" w:eastAsia="FangSong" w:cs="FangSong"/>
          <w:sz w:val="24"/>
          <w:szCs w:val="24"/>
        </w:rPr>
      </w:pPr>
      <w:r>
        <w:rPr>
          <w:rFonts w:ascii="FangSong" w:hAnsi="FangSong" w:eastAsia="FangSong" w:cs="FangSong"/>
          <w:sz w:val="24"/>
          <w:szCs w:val="24"/>
          <w:spacing w:val="-4"/>
        </w:rPr>
        <w:t>综上，本项目固体废弃物全部得到综合利用或合理处置，拟采取的固废处置</w:t>
      </w:r>
      <w:r>
        <w:rPr>
          <w:rFonts w:ascii="FangSong" w:hAnsi="FangSong" w:eastAsia="FangSong" w:cs="FangSong"/>
          <w:sz w:val="24"/>
          <w:szCs w:val="24"/>
          <w:spacing w:val="-1"/>
        </w:rPr>
        <w:t>措施可行，经济合理，不会对周围环境产生明显影响。</w:t>
      </w:r>
    </w:p>
    <w:p>
      <w:pPr>
        <w:ind w:left="22"/>
        <w:spacing w:line="220" w:lineRule="auto"/>
        <w:outlineLvl w:val="2"/>
        <w:rPr>
          <w:rFonts w:ascii="FangSong" w:hAnsi="FangSong" w:eastAsia="FangSong" w:cs="FangSong"/>
          <w:sz w:val="24"/>
          <w:szCs w:val="24"/>
        </w:rPr>
      </w:pPr>
      <w:bookmarkStart w:name="bookmark332" w:id="449"/>
      <w:bookmarkEnd w:id="449"/>
      <w:bookmarkStart w:name="bookmark331" w:id="450"/>
      <w:bookmarkEnd w:id="450"/>
      <w:r>
        <w:rPr>
          <w:rFonts w:ascii="Times New Roman" w:hAnsi="Times New Roman" w:eastAsia="Times New Roman" w:cs="Times New Roman"/>
          <w:sz w:val="24"/>
          <w:szCs w:val="24"/>
          <w:b/>
          <w:bCs/>
          <w:spacing w:val="-2"/>
        </w:rPr>
        <w:t>7.2.5  </w:t>
      </w:r>
      <w:r>
        <w:rPr>
          <w:rFonts w:ascii="FangSong" w:hAnsi="FangSong" w:eastAsia="FangSong" w:cs="FangSong"/>
          <w:sz w:val="24"/>
          <w:szCs w:val="24"/>
          <w:b/>
          <w:bCs/>
          <w:spacing w:val="-2"/>
        </w:rPr>
        <w:t>地下水环境保护措施及有效性分析</w:t>
      </w:r>
    </w:p>
    <w:p>
      <w:pPr>
        <w:ind w:left="31" w:right="76" w:firstLine="479"/>
        <w:spacing w:before="181" w:line="360" w:lineRule="auto"/>
        <w:jc w:val="both"/>
        <w:rPr>
          <w:rFonts w:ascii="FangSong" w:hAnsi="FangSong" w:eastAsia="FangSong" w:cs="FangSong"/>
          <w:sz w:val="24"/>
          <w:szCs w:val="24"/>
        </w:rPr>
      </w:pPr>
      <w:r>
        <w:rPr>
          <w:rFonts w:ascii="FangSong" w:hAnsi="FangSong" w:eastAsia="FangSong" w:cs="FangSong"/>
          <w:sz w:val="24"/>
          <w:szCs w:val="24"/>
          <w:spacing w:val="-4"/>
        </w:rPr>
        <w:t>地下水污染防治措施坚持“源头控制、分区防治</w:t>
      </w:r>
      <w:r>
        <w:rPr>
          <w:rFonts w:ascii="FangSong" w:hAnsi="FangSong" w:eastAsia="FangSong" w:cs="FangSong"/>
          <w:sz w:val="24"/>
          <w:szCs w:val="24"/>
          <w:spacing w:val="-5"/>
        </w:rPr>
        <w:t>、污染监控、应急响应</w:t>
      </w:r>
      <w:r>
        <w:rPr>
          <w:rFonts w:ascii="FangSong" w:hAnsi="FangSong" w:eastAsia="FangSong" w:cs="FangSong"/>
          <w:sz w:val="24"/>
          <w:szCs w:val="24"/>
          <w:spacing w:val="-88"/>
        </w:rPr>
        <w:t xml:space="preserve"> </w:t>
      </w:r>
      <w:r>
        <w:rPr>
          <w:rFonts w:ascii="FangSong" w:hAnsi="FangSong" w:eastAsia="FangSong" w:cs="FangSong"/>
          <w:sz w:val="24"/>
          <w:szCs w:val="24"/>
          <w:spacing w:val="-5"/>
        </w:rPr>
        <w:t>”的</w:t>
      </w:r>
      <w:r>
        <w:rPr>
          <w:rFonts w:ascii="FangSong" w:hAnsi="FangSong" w:eastAsia="FangSong" w:cs="FangSong"/>
          <w:sz w:val="24"/>
          <w:szCs w:val="24"/>
          <w:spacing w:val="-3"/>
        </w:rPr>
        <w:t>原则。矿山建设单位在开发和生产过程中，是制定和实施地下</w:t>
      </w:r>
      <w:r>
        <w:rPr>
          <w:rFonts w:ascii="FangSong" w:hAnsi="FangSong" w:eastAsia="FangSong" w:cs="FangSong"/>
          <w:sz w:val="24"/>
          <w:szCs w:val="24"/>
          <w:spacing w:val="-4"/>
        </w:rPr>
        <w:t>水环境保护措施与</w:t>
      </w:r>
      <w:r>
        <w:rPr>
          <w:rFonts w:ascii="FangSong" w:hAnsi="FangSong" w:eastAsia="FangSong" w:cs="FangSong"/>
          <w:sz w:val="24"/>
          <w:szCs w:val="24"/>
          <w:spacing w:val="-3"/>
        </w:rPr>
        <w:t>对策的行为主体。</w:t>
      </w:r>
    </w:p>
    <w:p>
      <w:pPr>
        <w:ind w:left="22"/>
        <w:spacing w:line="221"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7.2.5.1</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源头控制措施</w:t>
      </w:r>
    </w:p>
    <w:p>
      <w:pPr>
        <w:ind w:left="514"/>
        <w:spacing w:before="180"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）采矿地下保护与矿井水突水防治</w:t>
      </w:r>
    </w:p>
    <w:p>
      <w:pPr>
        <w:ind w:left="30" w:right="76"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采矿疏干地下水，主要从安全生产角度，须</w:t>
      </w:r>
      <w:r>
        <w:rPr>
          <w:rFonts w:ascii="FangSong" w:hAnsi="FangSong" w:eastAsia="FangSong" w:cs="FangSong"/>
          <w:sz w:val="24"/>
          <w:szCs w:val="24"/>
          <w:spacing w:val="-4"/>
        </w:rPr>
        <w:t>将地下水疏排出去，以便能安全</w:t>
      </w:r>
      <w:r>
        <w:rPr>
          <w:rFonts w:ascii="FangSong" w:hAnsi="FangSong" w:eastAsia="FangSong" w:cs="FangSong"/>
          <w:sz w:val="24"/>
          <w:szCs w:val="24"/>
          <w:spacing w:val="-3"/>
        </w:rPr>
        <w:t>顺利地生产。</w:t>
      </w:r>
    </w:p>
    <w:p>
      <w:pPr>
        <w:ind w:left="29" w:right="76" w:firstLine="472"/>
        <w:spacing w:line="325"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开采之前要采用钻探和物探等多种手段，研究水文地质条件，掌握充水</w:t>
      </w:r>
      <w:r>
        <w:rPr>
          <w:rFonts w:ascii="FangSong" w:hAnsi="FangSong" w:eastAsia="FangSong" w:cs="FangSong"/>
          <w:sz w:val="24"/>
          <w:szCs w:val="24"/>
          <w:spacing w:val="-3"/>
        </w:rPr>
        <w:t>风险性，特别是通过断层的突水风险制定合理的工程开拓计划，以</w:t>
      </w:r>
      <w:r>
        <w:rPr>
          <w:rFonts w:ascii="FangSong" w:hAnsi="FangSong" w:eastAsia="FangSong" w:cs="FangSong"/>
          <w:sz w:val="24"/>
          <w:szCs w:val="24"/>
          <w:spacing w:val="-4"/>
        </w:rPr>
        <w:t>避开这些贮水</w:t>
      </w:r>
      <w:r>
        <w:rPr>
          <w:rFonts w:ascii="FangSong" w:hAnsi="FangSong" w:eastAsia="FangSong" w:cs="FangSong"/>
          <w:sz w:val="24"/>
          <w:szCs w:val="24"/>
          <w:spacing w:val="-3"/>
        </w:rPr>
        <w:t>和导水构造减轻开拓工程对地下水的影响，减少底板破坏，必要时</w:t>
      </w:r>
      <w:r>
        <w:rPr>
          <w:rFonts w:ascii="FangSong" w:hAnsi="FangSong" w:eastAsia="FangSong" w:cs="FangSong"/>
          <w:sz w:val="24"/>
          <w:szCs w:val="24"/>
          <w:spacing w:val="-4"/>
        </w:rPr>
        <w:t>采取注浆加固</w:t>
      </w:r>
      <w:r>
        <w:rPr>
          <w:rFonts w:ascii="FangSong" w:hAnsi="FangSong" w:eastAsia="FangSong" w:cs="FangSong"/>
          <w:sz w:val="24"/>
          <w:szCs w:val="24"/>
          <w:spacing w:val="-1"/>
        </w:rPr>
        <w:t>底板或断层裂隙带等措施，配合适当疏水降压，预防和规避突水风险。</w:t>
      </w:r>
    </w:p>
    <w:p>
      <w:pPr>
        <w:ind w:left="29" w:firstLine="472"/>
        <w:spacing w:before="183" w:line="325"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地下工程预留足够数量的保安矿柱，对巷道、工作面渗水裂隙进行灌浆</w:t>
      </w:r>
      <w:r>
        <w:rPr>
          <w:rFonts w:ascii="FangSong" w:hAnsi="FangSong" w:eastAsia="FangSong" w:cs="FangSong"/>
          <w:sz w:val="24"/>
          <w:szCs w:val="24"/>
          <w:spacing w:val="-8"/>
        </w:rPr>
        <w:t>堵水，以减少地下水的涌出量；穿过各含水层的井筒、钻孔或巷道，应采取冻结、</w:t>
      </w:r>
      <w:r>
        <w:rPr>
          <w:rFonts w:ascii="FangSong" w:hAnsi="FangSong" w:eastAsia="FangSong" w:cs="FangSong"/>
          <w:sz w:val="24"/>
          <w:szCs w:val="24"/>
          <w:spacing w:val="-3"/>
        </w:rPr>
        <w:t>注浆等一系列的防渗漏措施，严禁疏排施工，完工后井巷如发现长期</w:t>
      </w:r>
      <w:r>
        <w:rPr>
          <w:rFonts w:ascii="FangSong" w:hAnsi="FangSong" w:eastAsia="FangSong" w:cs="FangSong"/>
          <w:sz w:val="24"/>
          <w:szCs w:val="24"/>
          <w:spacing w:val="-4"/>
        </w:rPr>
        <w:t>涌水要及时</w:t>
      </w:r>
      <w:r>
        <w:rPr>
          <w:rFonts w:ascii="FangSong" w:hAnsi="FangSong" w:eastAsia="FangSong" w:cs="FangSong"/>
          <w:sz w:val="24"/>
          <w:szCs w:val="24"/>
          <w:spacing w:val="-4"/>
        </w:rPr>
        <w:t>进行封堵。</w:t>
      </w:r>
    </w:p>
    <w:p>
      <w:pPr>
        <w:ind w:left="29" w:right="76" w:firstLine="472"/>
        <w:spacing w:before="181" w:line="290"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设计合理的止水措施，施工中所揭穿的突水的储水构造（带）应及时封</w:t>
      </w:r>
      <w:r>
        <w:rPr>
          <w:rFonts w:ascii="FangSong" w:hAnsi="FangSong" w:eastAsia="FangSong" w:cs="FangSong"/>
          <w:sz w:val="24"/>
          <w:szCs w:val="24"/>
          <w:spacing w:val="-1"/>
        </w:rPr>
        <w:t>堵，封堵时使用隔水性能良好且毒性小的材料。</w:t>
      </w:r>
    </w:p>
    <w:p>
      <w:pPr>
        <w:ind w:left="32" w:right="79" w:firstLine="468"/>
        <w:spacing w:before="183" w:line="290" w:lineRule="auto"/>
        <w:rPr>
          <w:rFonts w:ascii="FangSong" w:hAnsi="FangSong" w:eastAsia="FangSong" w:cs="FangSong"/>
          <w:sz w:val="24"/>
          <w:szCs w:val="24"/>
        </w:rPr>
      </w:pPr>
      <w:r>
        <w:rPr>
          <w:rFonts w:ascii="FangSong" w:hAnsi="FangSong" w:eastAsia="FangSong" w:cs="FangSong"/>
          <w:sz w:val="24"/>
          <w:szCs w:val="24"/>
        </w:rPr>
        <w:t>④</w:t>
      </w:r>
      <w:r>
        <w:rPr>
          <w:rFonts w:ascii="FangSong" w:hAnsi="FangSong" w:eastAsia="FangSong" w:cs="FangSong"/>
          <w:sz w:val="24"/>
          <w:szCs w:val="24"/>
        </w:rPr>
        <w:t xml:space="preserve"> </w:t>
      </w:r>
      <w:r>
        <w:rPr>
          <w:rFonts w:ascii="FangSong" w:hAnsi="FangSong" w:eastAsia="FangSong" w:cs="FangSong"/>
          <w:sz w:val="24"/>
          <w:szCs w:val="24"/>
        </w:rPr>
        <w:t>观测和统计抽水量，抽水量有增大趋势时应进行密切关注。若涌水量过</w:t>
      </w:r>
      <w:r>
        <w:rPr>
          <w:rFonts w:ascii="FangSong" w:hAnsi="FangSong" w:eastAsia="FangSong" w:cs="FangSong"/>
          <w:sz w:val="24"/>
          <w:szCs w:val="24"/>
          <w:spacing w:val="-1"/>
        </w:rPr>
        <w:t>大应采取留设保护矿柱或其他封堵措施，防止形成通道，致使水大量涌入。</w:t>
      </w:r>
    </w:p>
    <w:p>
      <w:pPr>
        <w:ind w:left="34" w:right="79" w:firstLine="466"/>
        <w:spacing w:before="181" w:line="291" w:lineRule="auto"/>
        <w:rPr>
          <w:rFonts w:ascii="FangSong" w:hAnsi="FangSong" w:eastAsia="FangSong" w:cs="FangSong"/>
          <w:sz w:val="24"/>
          <w:szCs w:val="24"/>
        </w:rPr>
      </w:pPr>
      <w:r>
        <w:rPr>
          <w:rFonts w:ascii="FangSong" w:hAnsi="FangSong" w:eastAsia="FangSong" w:cs="FangSong"/>
          <w:sz w:val="24"/>
          <w:szCs w:val="24"/>
        </w:rPr>
        <w:t>⑤</w:t>
      </w:r>
      <w:r>
        <w:rPr>
          <w:rFonts w:ascii="FangSong" w:hAnsi="FangSong" w:eastAsia="FangSong" w:cs="FangSong"/>
          <w:sz w:val="24"/>
          <w:szCs w:val="24"/>
        </w:rPr>
        <w:t xml:space="preserve"> </w:t>
      </w:r>
      <w:r>
        <w:rPr>
          <w:rFonts w:ascii="FangSong" w:hAnsi="FangSong" w:eastAsia="FangSong" w:cs="FangSong"/>
          <w:sz w:val="24"/>
          <w:szCs w:val="24"/>
        </w:rPr>
        <w:t>遇不良封孔的钻孔时，采取卸压封孔的措施，将不良钻孔封闭，隔断地</w:t>
      </w:r>
      <w:r>
        <w:rPr>
          <w:rFonts w:ascii="FangSong" w:hAnsi="FangSong" w:eastAsia="FangSong" w:cs="FangSong"/>
          <w:sz w:val="24"/>
          <w:szCs w:val="24"/>
          <w:spacing w:val="-2"/>
        </w:rPr>
        <w:t>下水的导流途径，防止地下水被大量疏解，</w:t>
      </w:r>
    </w:p>
    <w:p>
      <w:pPr>
        <w:spacing w:before="180" w:line="220" w:lineRule="auto"/>
        <w:jc w:val="right"/>
        <w:rPr>
          <w:rFonts w:ascii="FangSong" w:hAnsi="FangSong" w:eastAsia="FangSong" w:cs="FangSong"/>
          <w:sz w:val="24"/>
          <w:szCs w:val="24"/>
        </w:rPr>
      </w:pPr>
      <w:r>
        <w:rPr>
          <w:rFonts w:ascii="FangSong" w:hAnsi="FangSong" w:eastAsia="FangSong" w:cs="FangSong"/>
          <w:sz w:val="24"/>
          <w:szCs w:val="24"/>
          <w:spacing w:val="-5"/>
        </w:rPr>
        <w:t>⑥</w:t>
      </w:r>
      <w:r>
        <w:rPr>
          <w:rFonts w:ascii="FangSong" w:hAnsi="FangSong" w:eastAsia="FangSong" w:cs="FangSong"/>
          <w:sz w:val="24"/>
          <w:szCs w:val="24"/>
          <w:spacing w:val="-5"/>
        </w:rPr>
        <w:t xml:space="preserve"> </w:t>
      </w:r>
      <w:r>
        <w:rPr>
          <w:rFonts w:ascii="FangSong" w:hAnsi="FangSong" w:eastAsia="FangSong" w:cs="FangSong"/>
          <w:sz w:val="24"/>
          <w:szCs w:val="24"/>
          <w:spacing w:val="-5"/>
        </w:rPr>
        <w:t>建立矿井涌水观测制度，对各工作面及运输大巷的涌水点做好观测记录，</w:t>
      </w:r>
    </w:p>
    <w:p>
      <w:pPr>
        <w:spacing w:line="220" w:lineRule="auto"/>
        <w:sectPr>
          <w:footerReference w:type="default" r:id="rId352"/>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29" w:firstLine="6"/>
        <w:spacing w:before="78" w:line="360" w:lineRule="auto"/>
        <w:jc w:val="both"/>
        <w:rPr>
          <w:rFonts w:ascii="FangSong" w:hAnsi="FangSong" w:eastAsia="FangSong" w:cs="FangSong"/>
          <w:sz w:val="24"/>
          <w:szCs w:val="24"/>
        </w:rPr>
      </w:pPr>
      <w:bookmarkStart w:name="bookmark609" w:id="451"/>
      <w:bookmarkEnd w:id="451"/>
      <w:r>
        <w:rPr>
          <w:rFonts w:ascii="FangSong" w:hAnsi="FangSong" w:eastAsia="FangSong" w:cs="FangSong"/>
          <w:sz w:val="24"/>
          <w:szCs w:val="24"/>
          <w:spacing w:val="-3"/>
        </w:rPr>
        <w:t>发现异常及时采取措施；严格执行探放水制度，做到“有疑</w:t>
      </w:r>
      <w:r>
        <w:rPr>
          <w:rFonts w:ascii="FangSong" w:hAnsi="FangSong" w:eastAsia="FangSong" w:cs="FangSong"/>
          <w:sz w:val="24"/>
          <w:szCs w:val="24"/>
          <w:spacing w:val="-4"/>
        </w:rPr>
        <w:t>必探、先探后掘</w:t>
      </w:r>
      <w:r>
        <w:rPr>
          <w:rFonts w:ascii="FangSong" w:hAnsi="FangSong" w:eastAsia="FangSong" w:cs="FangSong"/>
          <w:sz w:val="24"/>
          <w:szCs w:val="24"/>
          <w:spacing w:val="-88"/>
        </w:rPr>
        <w:t xml:space="preserve"> </w:t>
      </w:r>
      <w:r>
        <w:rPr>
          <w:rFonts w:ascii="FangSong" w:hAnsi="FangSong" w:eastAsia="FangSong" w:cs="FangSong"/>
          <w:sz w:val="24"/>
          <w:szCs w:val="24"/>
          <w:spacing w:val="-4"/>
        </w:rPr>
        <w:t>”；</w:t>
      </w:r>
      <w:r>
        <w:rPr>
          <w:rFonts w:ascii="FangSong" w:hAnsi="FangSong" w:eastAsia="FangSong" w:cs="FangSong"/>
          <w:sz w:val="24"/>
          <w:szCs w:val="24"/>
          <w:spacing w:val="-3"/>
        </w:rPr>
        <w:t>查明矿区内的导水断层；完善井下排水系统，除保证正常排水工作</w:t>
      </w:r>
      <w:r>
        <w:rPr>
          <w:rFonts w:ascii="FangSong" w:hAnsi="FangSong" w:eastAsia="FangSong" w:cs="FangSong"/>
          <w:sz w:val="24"/>
          <w:szCs w:val="24"/>
          <w:spacing w:val="-4"/>
        </w:rPr>
        <w:t>外，还要有足</w:t>
      </w:r>
      <w:r>
        <w:rPr>
          <w:rFonts w:ascii="FangSong" w:hAnsi="FangSong" w:eastAsia="FangSong" w:cs="FangSong"/>
          <w:sz w:val="24"/>
          <w:szCs w:val="24"/>
          <w:spacing w:val="-2"/>
        </w:rPr>
        <w:t>够的设备能力预防突水；</w:t>
      </w:r>
    </w:p>
    <w:p>
      <w:pPr>
        <w:ind w:left="29" w:right="67" w:firstLine="471"/>
        <w:spacing w:before="1" w:line="290" w:lineRule="auto"/>
        <w:rPr>
          <w:rFonts w:ascii="FangSong" w:hAnsi="FangSong" w:eastAsia="FangSong" w:cs="FangSong"/>
          <w:sz w:val="24"/>
          <w:szCs w:val="24"/>
        </w:rPr>
      </w:pPr>
      <w:r>
        <w:rPr>
          <w:rFonts w:ascii="FangSong" w:hAnsi="FangSong" w:eastAsia="FangSong" w:cs="FangSong"/>
          <w:sz w:val="24"/>
          <w:szCs w:val="24"/>
        </w:rPr>
        <w:t>⑦</w:t>
      </w:r>
      <w:r>
        <w:rPr>
          <w:rFonts w:ascii="FangSong" w:hAnsi="FangSong" w:eastAsia="FangSong" w:cs="FangSong"/>
          <w:sz w:val="24"/>
          <w:szCs w:val="24"/>
        </w:rPr>
        <w:t xml:space="preserve"> </w:t>
      </w:r>
      <w:r>
        <w:rPr>
          <w:rFonts w:ascii="FangSong" w:hAnsi="FangSong" w:eastAsia="FangSong" w:cs="FangSong"/>
          <w:sz w:val="24"/>
          <w:szCs w:val="24"/>
        </w:rPr>
        <w:t>开采过程中如遇到断层、陷落柱等地质构造，应先探明其导水性、延展</w:t>
      </w:r>
      <w:r>
        <w:rPr>
          <w:rFonts w:ascii="FangSong" w:hAnsi="FangSong" w:eastAsia="FangSong" w:cs="FangSong"/>
          <w:sz w:val="24"/>
          <w:szCs w:val="24"/>
          <w:spacing w:val="-1"/>
        </w:rPr>
        <w:t>长度和方向，若为导水构造应留设足够的保护矿柱。</w:t>
      </w:r>
    </w:p>
    <w:p>
      <w:pPr>
        <w:ind w:left="32" w:right="67" w:firstLine="468"/>
        <w:spacing w:before="181" w:line="291" w:lineRule="auto"/>
        <w:rPr>
          <w:rFonts w:ascii="FangSong" w:hAnsi="FangSong" w:eastAsia="FangSong" w:cs="FangSong"/>
          <w:sz w:val="24"/>
          <w:szCs w:val="24"/>
        </w:rPr>
      </w:pPr>
      <w:r>
        <w:rPr>
          <w:rFonts w:ascii="FangSong" w:hAnsi="FangSong" w:eastAsia="FangSong" w:cs="FangSong"/>
          <w:sz w:val="24"/>
          <w:szCs w:val="24"/>
        </w:rPr>
        <w:t>⑧</w:t>
      </w:r>
      <w:r>
        <w:rPr>
          <w:rFonts w:ascii="FangSong" w:hAnsi="FangSong" w:eastAsia="FangSong" w:cs="FangSong"/>
          <w:sz w:val="24"/>
          <w:szCs w:val="24"/>
        </w:rPr>
        <w:t xml:space="preserve"> </w:t>
      </w:r>
      <w:r>
        <w:rPr>
          <w:rFonts w:ascii="FangSong" w:hAnsi="FangSong" w:eastAsia="FangSong" w:cs="FangSong"/>
          <w:sz w:val="24"/>
          <w:szCs w:val="24"/>
        </w:rPr>
        <w:t>提供矿井涌水的资源利用率，使用矿井涌水作为生产水源，杜绝矿坑水</w:t>
      </w:r>
      <w:r>
        <w:rPr>
          <w:rFonts w:ascii="FangSong" w:hAnsi="FangSong" w:eastAsia="FangSong" w:cs="FangSong"/>
          <w:sz w:val="24"/>
          <w:szCs w:val="24"/>
          <w:spacing w:val="-7"/>
        </w:rPr>
        <w:t>外排。</w:t>
      </w:r>
    </w:p>
    <w:p>
      <w:pPr>
        <w:ind w:left="514"/>
        <w:spacing w:before="178"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）尾矿临时堆场地下水污染防治措施</w:t>
      </w:r>
    </w:p>
    <w:p>
      <w:pPr>
        <w:ind w:left="34" w:right="79" w:firstLine="476"/>
        <w:spacing w:before="180" w:line="360" w:lineRule="auto"/>
        <w:rPr>
          <w:rFonts w:ascii="FangSong" w:hAnsi="FangSong" w:eastAsia="FangSong" w:cs="FangSong"/>
          <w:sz w:val="24"/>
          <w:szCs w:val="24"/>
        </w:rPr>
      </w:pPr>
      <w:r>
        <w:rPr>
          <w:rFonts w:ascii="FangSong" w:hAnsi="FangSong" w:eastAsia="FangSong" w:cs="FangSong"/>
          <w:sz w:val="24"/>
          <w:szCs w:val="24"/>
          <w:spacing w:val="20"/>
        </w:rPr>
        <w:t>尾矿临时堆场应按照《一般工业固体废物贮存和填埋</w:t>
      </w:r>
      <w:r>
        <w:rPr>
          <w:rFonts w:ascii="FangSong" w:hAnsi="FangSong" w:eastAsia="FangSong" w:cs="FangSong"/>
          <w:sz w:val="24"/>
          <w:szCs w:val="24"/>
          <w:spacing w:val="19"/>
        </w:rPr>
        <w:t>污染控制标准》</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GB18599-2020</w:t>
      </w:r>
      <w:r>
        <w:rPr>
          <w:rFonts w:ascii="FangSong" w:hAnsi="FangSong" w:eastAsia="FangSong" w:cs="FangSong"/>
          <w:sz w:val="24"/>
          <w:szCs w:val="24"/>
          <w:spacing w:val="-1"/>
        </w:rPr>
        <w:t>）中的有关规定建设，规定处理</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处置具体如下：</w:t>
      </w:r>
    </w:p>
    <w:p>
      <w:pPr>
        <w:ind w:left="29" w:right="67" w:firstLine="473"/>
        <w:spacing w:line="291"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不得选在生态保护红线区域、永久基本农田集中区域和其他需要特别保</w:t>
      </w:r>
      <w:r>
        <w:rPr>
          <w:rFonts w:ascii="FangSong" w:hAnsi="FangSong" w:eastAsia="FangSong" w:cs="FangSong"/>
          <w:sz w:val="24"/>
          <w:szCs w:val="24"/>
          <w:spacing w:val="-3"/>
        </w:rPr>
        <w:t>护的区域内。</w:t>
      </w:r>
    </w:p>
    <w:p>
      <w:pPr>
        <w:ind w:left="501"/>
        <w:spacing w:before="179" w:line="221"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应避开活动断层、溶洞区、天然滑坡或泥石流影响</w:t>
      </w:r>
      <w:r>
        <w:rPr>
          <w:rFonts w:ascii="FangSong" w:hAnsi="FangSong" w:eastAsia="FangSong" w:cs="FangSong"/>
          <w:sz w:val="24"/>
          <w:szCs w:val="24"/>
          <w:spacing w:val="-1"/>
        </w:rPr>
        <w:t>区以及湿地等区域。</w:t>
      </w:r>
    </w:p>
    <w:p>
      <w:pPr>
        <w:ind w:left="54" w:firstLine="447"/>
        <w:spacing w:before="182" w:line="290" w:lineRule="auto"/>
        <w:rPr>
          <w:rFonts w:ascii="FangSong" w:hAnsi="FangSong" w:eastAsia="FangSong" w:cs="FangSong"/>
          <w:sz w:val="24"/>
          <w:szCs w:val="24"/>
        </w:rPr>
      </w:pPr>
      <w:r>
        <w:rPr>
          <w:rFonts w:ascii="FangSong" w:hAnsi="FangSong" w:eastAsia="FangSong" w:cs="FangSong"/>
          <w:sz w:val="24"/>
          <w:szCs w:val="24"/>
          <w:spacing w:val="-5"/>
        </w:rPr>
        <w:t>③</w:t>
      </w:r>
      <w:r>
        <w:rPr>
          <w:rFonts w:ascii="FangSong" w:hAnsi="FangSong" w:eastAsia="FangSong" w:cs="FangSong"/>
          <w:sz w:val="24"/>
          <w:szCs w:val="24"/>
          <w:spacing w:val="-5"/>
        </w:rPr>
        <w:t xml:space="preserve"> </w:t>
      </w:r>
      <w:r>
        <w:rPr>
          <w:rFonts w:ascii="FangSong" w:hAnsi="FangSong" w:eastAsia="FangSong" w:cs="FangSong"/>
          <w:sz w:val="24"/>
          <w:szCs w:val="24"/>
          <w:spacing w:val="-5"/>
        </w:rPr>
        <w:t>不得选在江河、湖泊、运河、渠道、水库最高水位线以下的滩地和岸坡，</w:t>
      </w:r>
      <w:r>
        <w:rPr>
          <w:rFonts w:ascii="FangSong" w:hAnsi="FangSong" w:eastAsia="FangSong" w:cs="FangSong"/>
          <w:sz w:val="24"/>
          <w:szCs w:val="24"/>
          <w:spacing w:val="-1"/>
        </w:rPr>
        <w:t>以及国家和地方长远规划中的水库等人工蓄水设施的淹</w:t>
      </w:r>
      <w:r>
        <w:rPr>
          <w:rFonts w:ascii="FangSong" w:hAnsi="FangSong" w:eastAsia="FangSong" w:cs="FangSong"/>
          <w:sz w:val="24"/>
          <w:szCs w:val="24"/>
          <w:spacing w:val="-2"/>
        </w:rPr>
        <w:t>没区和保护区之内。</w:t>
      </w:r>
    </w:p>
    <w:p>
      <w:pPr>
        <w:ind w:left="46" w:right="66" w:firstLine="454"/>
        <w:spacing w:before="181" w:line="290"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52"/>
        </w:rPr>
        <w:t xml:space="preserve"> </w:t>
      </w:r>
      <w:r>
        <w:rPr>
          <w:rFonts w:ascii="FangSong" w:hAnsi="FangSong" w:eastAsia="FangSong" w:cs="FangSong"/>
          <w:sz w:val="24"/>
          <w:szCs w:val="24"/>
          <w:spacing w:val="-1"/>
        </w:rPr>
        <w:t>当天然基础层饱和渗透系数不大于</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Times New Roman" w:hAnsi="Times New Roman" w:eastAsia="Times New Roman" w:cs="Times New Roman"/>
          <w:sz w:val="15"/>
          <w:szCs w:val="15"/>
          <w:spacing w:val="-1"/>
          <w:position w:val="7"/>
        </w:rPr>
        <w:t>-7</w:t>
      </w:r>
      <w:r>
        <w:rPr>
          <w:rFonts w:ascii="Times New Roman" w:hAnsi="Times New Roman" w:eastAsia="Times New Roman" w:cs="Times New Roman"/>
          <w:sz w:val="24"/>
          <w:szCs w:val="24"/>
          <w:spacing w:val="-1"/>
        </w:rPr>
        <w:t>cm/s</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，且厚度不小于</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
        </w:rPr>
        <w:t>0.75m</w:t>
      </w:r>
      <w:r>
        <w:rPr>
          <w:rFonts w:ascii="FangSong" w:hAnsi="FangSong" w:eastAsia="FangSong" w:cs="FangSong"/>
          <w:sz w:val="24"/>
          <w:szCs w:val="24"/>
          <w:spacing w:val="-2"/>
        </w:rPr>
        <w:t>时，可以采用天然基础层作为防渗衬层。</w:t>
      </w:r>
    </w:p>
    <w:p>
      <w:pPr>
        <w:ind w:left="29" w:right="65" w:firstLine="472"/>
        <w:spacing w:before="183" w:line="314" w:lineRule="auto"/>
        <w:rPr>
          <w:rFonts w:ascii="FangSong" w:hAnsi="FangSong" w:eastAsia="FangSong" w:cs="FangSong"/>
          <w:sz w:val="24"/>
          <w:szCs w:val="24"/>
        </w:rPr>
      </w:pPr>
      <w:r>
        <w:rPr>
          <w:rFonts w:ascii="FangSong" w:hAnsi="FangSong" w:eastAsia="FangSong" w:cs="FangSong"/>
          <w:sz w:val="24"/>
          <w:szCs w:val="24"/>
          <w:spacing w:val="-4"/>
        </w:rPr>
        <w:t>⑤</w:t>
      </w:r>
      <w:r>
        <w:rPr>
          <w:rFonts w:ascii="FangSong" w:hAnsi="FangSong" w:eastAsia="FangSong" w:cs="FangSong"/>
          <w:sz w:val="24"/>
          <w:szCs w:val="24"/>
          <w:spacing w:val="41"/>
        </w:rPr>
        <w:t xml:space="preserve"> </w:t>
      </w:r>
      <w:r>
        <w:rPr>
          <w:rFonts w:ascii="FangSong" w:hAnsi="FangSong" w:eastAsia="FangSong" w:cs="FangSong"/>
          <w:sz w:val="24"/>
          <w:szCs w:val="24"/>
          <w:spacing w:val="-4"/>
        </w:rPr>
        <w:t>当天然基础层不能满足（</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）条防渗要求</w:t>
      </w:r>
      <w:r>
        <w:rPr>
          <w:rFonts w:ascii="FangSong" w:hAnsi="FangSong" w:eastAsia="FangSong" w:cs="FangSong"/>
          <w:sz w:val="24"/>
          <w:szCs w:val="24"/>
          <w:spacing w:val="-5"/>
        </w:rPr>
        <w:t>时，可采用改性压实粘土类衬层</w:t>
      </w:r>
      <w:r>
        <w:rPr>
          <w:rFonts w:ascii="FangSong" w:hAnsi="FangSong" w:eastAsia="FangSong" w:cs="FangSong"/>
          <w:sz w:val="24"/>
          <w:szCs w:val="24"/>
          <w:spacing w:val="-3"/>
        </w:rPr>
        <w:t>或具有同等以上隔水效力的其他材料防渗衬层，其防渗性能应至少相</w:t>
      </w:r>
      <w:r>
        <w:rPr>
          <w:rFonts w:ascii="FangSong" w:hAnsi="FangSong" w:eastAsia="FangSong" w:cs="FangSong"/>
          <w:sz w:val="24"/>
          <w:szCs w:val="24"/>
          <w:spacing w:val="-4"/>
        </w:rPr>
        <w:t>当于渗透系</w:t>
      </w:r>
      <w:r>
        <w:rPr>
          <w:rFonts w:ascii="FangSong" w:hAnsi="FangSong" w:eastAsia="FangSong" w:cs="FangSong"/>
          <w:sz w:val="24"/>
          <w:szCs w:val="24"/>
          <w:spacing w:val="-3"/>
        </w:rPr>
        <w:t>数为</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1.0</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10</w:t>
      </w:r>
      <w:r>
        <w:rPr>
          <w:rFonts w:ascii="Times New Roman" w:hAnsi="Times New Roman" w:eastAsia="Times New Roman" w:cs="Times New Roman"/>
          <w:sz w:val="15"/>
          <w:szCs w:val="15"/>
          <w:spacing w:val="-3"/>
          <w:position w:val="7"/>
        </w:rPr>
        <w:t>-7</w:t>
      </w:r>
      <w:r>
        <w:rPr>
          <w:rFonts w:ascii="Times New Roman" w:hAnsi="Times New Roman" w:eastAsia="Times New Roman" w:cs="Times New Roman"/>
          <w:sz w:val="24"/>
          <w:szCs w:val="24"/>
          <w:spacing w:val="-3"/>
        </w:rPr>
        <w:t>cm/s</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3"/>
        </w:rPr>
        <w:t>且厚度为</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3"/>
        </w:rPr>
        <w:t>0.75</w:t>
      </w:r>
      <w:r>
        <w:rPr>
          <w:rFonts w:ascii="Times New Roman" w:hAnsi="Times New Roman" w:eastAsia="Times New Roman" w:cs="Times New Roman"/>
          <w:sz w:val="24"/>
          <w:szCs w:val="24"/>
          <w:spacing w:val="-4"/>
        </w:rPr>
        <w:t>m</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4"/>
        </w:rPr>
        <w:t>的天然基础层。</w:t>
      </w:r>
    </w:p>
    <w:p>
      <w:pPr>
        <w:ind w:left="30" w:right="65"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贮存场投入运行之前，企业应制定突发环境事</w:t>
      </w:r>
      <w:r>
        <w:rPr>
          <w:rFonts w:ascii="FangSong" w:hAnsi="FangSong" w:eastAsia="FangSong" w:cs="FangSong"/>
          <w:sz w:val="24"/>
          <w:szCs w:val="24"/>
          <w:spacing w:val="-4"/>
        </w:rPr>
        <w:t>件应急预案或在突发事件应急</w:t>
      </w:r>
      <w:r>
        <w:rPr>
          <w:rFonts w:ascii="FangSong" w:hAnsi="FangSong" w:eastAsia="FangSong" w:cs="FangSong"/>
          <w:sz w:val="24"/>
          <w:szCs w:val="24"/>
          <w:spacing w:val="-3"/>
        </w:rPr>
        <w:t>预案中制定环境应急预案专章，说明各种可能发生的突发环境事</w:t>
      </w:r>
      <w:r>
        <w:rPr>
          <w:rFonts w:ascii="FangSong" w:hAnsi="FangSong" w:eastAsia="FangSong" w:cs="FangSong"/>
          <w:sz w:val="24"/>
          <w:szCs w:val="24"/>
          <w:spacing w:val="-4"/>
        </w:rPr>
        <w:t>件情景及应急处</w:t>
      </w:r>
      <w:r>
        <w:rPr>
          <w:rFonts w:ascii="FangSong" w:hAnsi="FangSong" w:eastAsia="FangSong" w:cs="FangSong"/>
          <w:sz w:val="24"/>
          <w:szCs w:val="24"/>
          <w:spacing w:val="-5"/>
        </w:rPr>
        <w:t>置措施。</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）管理措施</w:t>
      </w:r>
    </w:p>
    <w:p>
      <w:pPr>
        <w:ind w:left="31" w:right="65" w:firstLine="470"/>
        <w:spacing w:before="178" w:line="314"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施工过程中，加强监督管理，对防渗质量以及施工质量进行严格检查，</w:t>
      </w:r>
      <w:r>
        <w:rPr>
          <w:rFonts w:ascii="FangSong" w:hAnsi="FangSong" w:eastAsia="FangSong" w:cs="FangSong"/>
          <w:sz w:val="24"/>
          <w:szCs w:val="24"/>
          <w:spacing w:val="-3"/>
        </w:rPr>
        <w:t>防渗工程施工完成后应对其进行验收，确保防渗工程达到预期</w:t>
      </w:r>
      <w:r>
        <w:rPr>
          <w:rFonts w:ascii="FangSong" w:hAnsi="FangSong" w:eastAsia="FangSong" w:cs="FangSong"/>
          <w:sz w:val="24"/>
          <w:szCs w:val="24"/>
          <w:spacing w:val="-4"/>
        </w:rPr>
        <w:t>效果，确保生产过</w:t>
      </w:r>
      <w:r>
        <w:rPr>
          <w:rFonts w:ascii="FangSong" w:hAnsi="FangSong" w:eastAsia="FangSong" w:cs="FangSong"/>
          <w:sz w:val="24"/>
          <w:szCs w:val="24"/>
          <w:spacing w:val="-3"/>
        </w:rPr>
        <w:t>程中废水无渗漏。</w:t>
      </w:r>
    </w:p>
    <w:p>
      <w:pPr>
        <w:ind w:left="37" w:right="65" w:firstLine="463"/>
        <w:spacing w:before="180" w:line="290"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严格按照国家相关规范要求，对项目区内矿井涌水处理设施、沉淀池、</w:t>
      </w:r>
      <w:r>
        <w:rPr>
          <w:rFonts w:ascii="FangSong" w:hAnsi="FangSong" w:eastAsia="FangSong" w:cs="FangSong"/>
          <w:sz w:val="24"/>
          <w:szCs w:val="24"/>
          <w:spacing w:val="-3"/>
        </w:rPr>
        <w:t>高位水池等采取相应措施，以防止和降低污染物</w:t>
      </w:r>
      <w:r>
        <w:rPr>
          <w:rFonts w:ascii="FangSong" w:hAnsi="FangSong" w:eastAsia="FangSong" w:cs="FangSong"/>
          <w:sz w:val="24"/>
          <w:szCs w:val="24"/>
          <w:spacing w:val="-4"/>
        </w:rPr>
        <w:t>的跑、冒、滴、漏，将污染物泄</w:t>
      </w:r>
    </w:p>
    <w:p>
      <w:pPr>
        <w:spacing w:line="290" w:lineRule="auto"/>
        <w:sectPr>
          <w:footerReference w:type="default" r:id="rId353"/>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31" w:right="107" w:hanging="4"/>
        <w:spacing w:before="78" w:line="360" w:lineRule="auto"/>
        <w:rPr>
          <w:rFonts w:ascii="FangSong" w:hAnsi="FangSong" w:eastAsia="FangSong" w:cs="FangSong"/>
          <w:sz w:val="24"/>
          <w:szCs w:val="24"/>
        </w:rPr>
      </w:pPr>
      <w:bookmarkStart w:name="bookmark610" w:id="452"/>
      <w:bookmarkEnd w:id="452"/>
      <w:r>
        <w:rPr>
          <w:rFonts w:ascii="FangSong" w:hAnsi="FangSong" w:eastAsia="FangSong" w:cs="FangSong"/>
          <w:sz w:val="24"/>
          <w:szCs w:val="24"/>
          <w:spacing w:val="-3"/>
        </w:rPr>
        <w:t>漏的环境风险事故降到最低程度。制定严格的检查制度，</w:t>
      </w:r>
      <w:r>
        <w:rPr>
          <w:rFonts w:ascii="FangSong" w:hAnsi="FangSong" w:eastAsia="FangSong" w:cs="FangSong"/>
          <w:sz w:val="24"/>
          <w:szCs w:val="24"/>
          <w:spacing w:val="-4"/>
        </w:rPr>
        <w:t>定期对相关构筑物围堰</w:t>
      </w:r>
      <w:r>
        <w:rPr>
          <w:rFonts w:ascii="FangSong" w:hAnsi="FangSong" w:eastAsia="FangSong" w:cs="FangSong"/>
          <w:sz w:val="24"/>
          <w:szCs w:val="24"/>
          <w:spacing w:val="-4"/>
        </w:rPr>
        <w:t>等设施进行检查。</w:t>
      </w:r>
    </w:p>
    <w:p>
      <w:pPr>
        <w:ind w:left="139" w:right="110" w:firstLine="455"/>
        <w:spacing w:line="360"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堆放各种原辅材料、固体废物的堆放场地按照国家相关规范要求，采取</w:t>
      </w:r>
      <w:r>
        <w:rPr>
          <w:rFonts w:ascii="FangSong" w:hAnsi="FangSong" w:eastAsia="FangSong" w:cs="FangSong"/>
          <w:sz w:val="24"/>
          <w:szCs w:val="24"/>
          <w:spacing w:val="-2"/>
        </w:rPr>
        <w:t>防泄漏措施设置例行监控井，地下水定期进行监测。</w:t>
      </w:r>
    </w:p>
    <w:p>
      <w:pPr>
        <w:ind w:left="124" w:right="107" w:firstLine="503"/>
        <w:spacing w:line="360" w:lineRule="auto"/>
        <w:jc w:val="both"/>
        <w:rPr>
          <w:rFonts w:ascii="FangSong" w:hAnsi="FangSong" w:eastAsia="FangSong" w:cs="FangSong"/>
          <w:sz w:val="24"/>
          <w:szCs w:val="24"/>
        </w:rPr>
      </w:pPr>
      <w:r>
        <w:rPr>
          <w:rFonts w:ascii="FangSong" w:hAnsi="FangSong" w:eastAsia="FangSong" w:cs="FangSong"/>
          <w:sz w:val="24"/>
          <w:szCs w:val="24"/>
          <w:spacing w:val="-4"/>
        </w:rPr>
        <w:t>以上措施在工程中应用广泛，技术成熟，采取上述措施后，项目对地</w:t>
      </w:r>
      <w:r>
        <w:rPr>
          <w:rFonts w:ascii="FangSong" w:hAnsi="FangSong" w:eastAsia="FangSong" w:cs="FangSong"/>
          <w:sz w:val="24"/>
          <w:szCs w:val="24"/>
          <w:spacing w:val="-5"/>
        </w:rPr>
        <w:t>下水基</w:t>
      </w:r>
      <w:r>
        <w:rPr>
          <w:rFonts w:ascii="FangSong" w:hAnsi="FangSong" w:eastAsia="FangSong" w:cs="FangSong"/>
          <w:sz w:val="24"/>
          <w:szCs w:val="24"/>
          <w:spacing w:val="-3"/>
        </w:rPr>
        <w:t>本不会造成明显影响，不会改变区域地下水环境质量现状。因此</w:t>
      </w:r>
      <w:r>
        <w:rPr>
          <w:rFonts w:ascii="FangSong" w:hAnsi="FangSong" w:eastAsia="FangSong" w:cs="FangSong"/>
          <w:sz w:val="24"/>
          <w:szCs w:val="24"/>
          <w:spacing w:val="-4"/>
        </w:rPr>
        <w:t>地下水防护措施</w:t>
      </w:r>
      <w:r>
        <w:rPr>
          <w:rFonts w:ascii="FangSong" w:hAnsi="FangSong" w:eastAsia="FangSong" w:cs="FangSong"/>
          <w:sz w:val="24"/>
          <w:szCs w:val="24"/>
          <w:spacing w:val="-6"/>
        </w:rPr>
        <w:t>可行。</w:t>
      </w:r>
    </w:p>
    <w:p>
      <w:pPr>
        <w:ind w:left="116"/>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7.2.5.2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分区防控措施</w:t>
      </w:r>
    </w:p>
    <w:p>
      <w:pPr>
        <w:ind w:left="126" w:right="107" w:firstLine="481"/>
        <w:spacing w:before="178" w:line="360" w:lineRule="auto"/>
        <w:jc w:val="both"/>
        <w:rPr>
          <w:rFonts w:ascii="FangSong" w:hAnsi="FangSong" w:eastAsia="FangSong" w:cs="FangSong"/>
          <w:sz w:val="24"/>
          <w:szCs w:val="24"/>
        </w:rPr>
      </w:pPr>
      <w:r>
        <w:rPr>
          <w:rFonts w:ascii="FangSong" w:hAnsi="FangSong" w:eastAsia="FangSong" w:cs="FangSong"/>
          <w:sz w:val="24"/>
          <w:szCs w:val="24"/>
          <w:spacing w:val="-4"/>
        </w:rPr>
        <w:t>结合地下水环境影响评价结果，根据建设项目场地天然包气带防污性能、污</w:t>
      </w:r>
      <w:r>
        <w:rPr>
          <w:rFonts w:ascii="FangSong" w:hAnsi="FangSong" w:eastAsia="FangSong" w:cs="FangSong"/>
          <w:sz w:val="24"/>
          <w:szCs w:val="24"/>
          <w:spacing w:val="-2"/>
        </w:rPr>
        <w:t>染控制难易程度和污染物特性，按照</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HJ610-2</w:t>
      </w:r>
      <w:r>
        <w:rPr>
          <w:rFonts w:ascii="Times New Roman" w:hAnsi="Times New Roman" w:eastAsia="Times New Roman" w:cs="Times New Roman"/>
          <w:sz w:val="24"/>
          <w:szCs w:val="24"/>
          <w:spacing w:val="-3"/>
        </w:rPr>
        <w:t>016</w:t>
      </w:r>
      <w:r>
        <w:rPr>
          <w:rFonts w:ascii="Times New Roman" w:hAnsi="Times New Roman" w:eastAsia="Times New Roman" w:cs="Times New Roman"/>
          <w:sz w:val="24"/>
          <w:szCs w:val="24"/>
          <w:spacing w:val="49"/>
          <w:w w:val="101"/>
        </w:rPr>
        <w:t xml:space="preserve"> </w:t>
      </w:r>
      <w:r>
        <w:rPr>
          <w:rFonts w:ascii="FangSong" w:hAnsi="FangSong" w:eastAsia="FangSong" w:cs="FangSong"/>
          <w:sz w:val="24"/>
          <w:szCs w:val="24"/>
          <w:spacing w:val="-3"/>
        </w:rPr>
        <w:t>中参照表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49"/>
        </w:rPr>
        <w:t xml:space="preserve"> </w:t>
      </w:r>
      <w:r>
        <w:rPr>
          <w:rFonts w:ascii="FangSong" w:hAnsi="FangSong" w:eastAsia="FangSong" w:cs="FangSong"/>
          <w:sz w:val="24"/>
          <w:szCs w:val="24"/>
          <w:spacing w:val="-3"/>
        </w:rPr>
        <w:t>中提出防渗技术要</w:t>
      </w:r>
      <w:r>
        <w:rPr>
          <w:rFonts w:ascii="FangSong" w:hAnsi="FangSong" w:eastAsia="FangSong" w:cs="FangSong"/>
          <w:sz w:val="24"/>
          <w:szCs w:val="24"/>
          <w:spacing w:val="-3"/>
        </w:rPr>
        <w:t>求进行划分及确定</w:t>
      </w:r>
    </w:p>
    <w:p>
      <w:pPr>
        <w:ind w:left="608"/>
        <w:spacing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）污染控制难易程度分级</w:t>
      </w:r>
    </w:p>
    <w:p>
      <w:pPr>
        <w:ind w:left="133" w:right="110" w:firstLine="470"/>
        <w:spacing w:before="179" w:line="360" w:lineRule="auto"/>
        <w:rPr>
          <w:rFonts w:ascii="FangSong" w:hAnsi="FangSong" w:eastAsia="FangSong" w:cs="FangSong"/>
          <w:sz w:val="24"/>
          <w:szCs w:val="24"/>
        </w:rPr>
      </w:pPr>
      <w:r>
        <w:rPr>
          <w:rFonts w:ascii="FangSong" w:hAnsi="FangSong" w:eastAsia="FangSong" w:cs="FangSong"/>
          <w:sz w:val="24"/>
          <w:szCs w:val="24"/>
        </w:rPr>
        <w:t>按照</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rPr>
        <w:t>HJ610-2016</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要求，其项目厂区各设施及建构筑物污染</w:t>
      </w:r>
      <w:r>
        <w:rPr>
          <w:rFonts w:ascii="FangSong" w:hAnsi="FangSong" w:eastAsia="FangSong" w:cs="FangSong"/>
          <w:sz w:val="24"/>
          <w:szCs w:val="24"/>
          <w:spacing w:val="-1"/>
        </w:rPr>
        <w:t>物难易控制程度</w:t>
      </w:r>
      <w:r>
        <w:rPr>
          <w:rFonts w:ascii="FangSong" w:hAnsi="FangSong" w:eastAsia="FangSong" w:cs="FangSong"/>
          <w:sz w:val="24"/>
          <w:szCs w:val="24"/>
          <w:spacing w:val="-2"/>
        </w:rPr>
        <w:t>需要进行分根据项目实际情况，其分级情况如表</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2"/>
        </w:rPr>
        <w:t>7.2-2</w:t>
      </w:r>
      <w:r>
        <w:rPr>
          <w:rFonts w:ascii="FangSong" w:hAnsi="FangSong" w:eastAsia="FangSong" w:cs="FangSong"/>
          <w:sz w:val="24"/>
          <w:szCs w:val="24"/>
          <w:spacing w:val="-2"/>
        </w:rPr>
        <w:t>。</w:t>
      </w:r>
    </w:p>
    <w:p>
      <w:pPr>
        <w:ind w:left="2252"/>
        <w:spacing w:before="1"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7.2-2  </w:t>
      </w:r>
      <w:r>
        <w:rPr>
          <w:rFonts w:ascii="FangSong" w:hAnsi="FangSong" w:eastAsia="FangSong" w:cs="FangSong"/>
          <w:sz w:val="24"/>
          <w:szCs w:val="24"/>
          <w:b/>
          <w:bCs/>
          <w:spacing w:val="-3"/>
        </w:rPr>
        <w:t>污染控制难易程度分级参照表</w:t>
      </w:r>
    </w:p>
    <w:p>
      <w:pPr>
        <w:spacing w:line="65"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57"/>
        <w:gridCol w:w="3541"/>
        <w:gridCol w:w="3324"/>
      </w:tblGrid>
      <w:tr>
        <w:trPr>
          <w:trHeight w:val="626" w:hRule="atLeast"/>
        </w:trPr>
        <w:tc>
          <w:tcPr>
            <w:tcW w:w="1657" w:type="dxa"/>
            <w:vAlign w:val="top"/>
            <w:tcBorders>
              <w:left w:val="nil"/>
              <w:top w:val="single" w:color="000000" w:sz="10" w:space="0"/>
            </w:tcBorders>
          </w:tcPr>
          <w:p>
            <w:pPr>
              <w:pStyle w:val="TableText"/>
              <w:ind w:left="631" w:right="199" w:hanging="417"/>
              <w:spacing w:before="54" w:line="259" w:lineRule="auto"/>
              <w:rPr/>
            </w:pPr>
            <w:r>
              <w:rPr>
                <w:spacing w:val="6"/>
              </w:rPr>
              <w:t>污染控制难易</w:t>
            </w:r>
            <w:r>
              <w:rPr>
                <w:spacing w:val="1"/>
              </w:rPr>
              <w:t>程度</w:t>
            </w:r>
          </w:p>
        </w:tc>
        <w:tc>
          <w:tcPr>
            <w:tcW w:w="3541" w:type="dxa"/>
            <w:vAlign w:val="top"/>
            <w:tcBorders>
              <w:top w:val="single" w:color="000000" w:sz="10" w:space="0"/>
            </w:tcBorders>
          </w:tcPr>
          <w:p>
            <w:pPr>
              <w:pStyle w:val="TableText"/>
              <w:ind w:left="1367"/>
              <w:spacing w:before="211" w:line="232" w:lineRule="auto"/>
              <w:rPr/>
            </w:pPr>
            <w:r>
              <w:rPr>
                <w:spacing w:val="4"/>
              </w:rPr>
              <w:t>主要特征</w:t>
            </w:r>
          </w:p>
        </w:tc>
        <w:tc>
          <w:tcPr>
            <w:tcW w:w="3324" w:type="dxa"/>
            <w:vAlign w:val="top"/>
            <w:tcBorders>
              <w:right w:val="nil"/>
              <w:top w:val="single" w:color="000000" w:sz="10" w:space="0"/>
            </w:tcBorders>
          </w:tcPr>
          <w:p>
            <w:pPr>
              <w:pStyle w:val="TableText"/>
              <w:ind w:left="833"/>
              <w:spacing w:before="212" w:line="229" w:lineRule="auto"/>
              <w:rPr/>
            </w:pPr>
            <w:r>
              <w:rPr>
                <w:spacing w:val="7"/>
              </w:rPr>
              <w:t>项目构建筑物分类</w:t>
            </w:r>
          </w:p>
        </w:tc>
      </w:tr>
      <w:tr>
        <w:trPr>
          <w:trHeight w:val="622" w:hRule="atLeast"/>
        </w:trPr>
        <w:tc>
          <w:tcPr>
            <w:tcW w:w="1657" w:type="dxa"/>
            <w:vAlign w:val="top"/>
            <w:tcBorders>
              <w:left w:val="nil"/>
            </w:tcBorders>
          </w:tcPr>
          <w:p>
            <w:pPr>
              <w:pStyle w:val="TableText"/>
              <w:ind w:left="737"/>
              <w:spacing w:before="214" w:line="231" w:lineRule="auto"/>
              <w:rPr/>
            </w:pPr>
            <w:r>
              <w:rPr/>
              <w:t>难</w:t>
            </w:r>
          </w:p>
        </w:tc>
        <w:tc>
          <w:tcPr>
            <w:tcW w:w="3541" w:type="dxa"/>
            <w:vAlign w:val="top"/>
          </w:tcPr>
          <w:p>
            <w:pPr>
              <w:pStyle w:val="TableText"/>
              <w:ind w:left="207" w:right="193"/>
              <w:spacing w:before="57" w:line="256" w:lineRule="auto"/>
              <w:rPr/>
            </w:pPr>
            <w:r>
              <w:rPr>
                <w:spacing w:val="8"/>
              </w:rPr>
              <w:t>对地下水环境有污染的物料或污染</w:t>
            </w:r>
            <w:r>
              <w:rPr>
                <w:spacing w:val="8"/>
              </w:rPr>
              <w:t>物渗漏后，不能及时发现和处理。</w:t>
            </w:r>
          </w:p>
        </w:tc>
        <w:tc>
          <w:tcPr>
            <w:tcW w:w="3324" w:type="dxa"/>
            <w:vAlign w:val="top"/>
            <w:tcBorders>
              <w:right w:val="nil"/>
            </w:tcBorders>
          </w:tcPr>
          <w:p>
            <w:pPr>
              <w:pStyle w:val="TableText"/>
              <w:ind w:left="412" w:right="109" w:hanging="286"/>
              <w:spacing w:before="57" w:line="256" w:lineRule="auto"/>
              <w:rPr/>
            </w:pPr>
            <w:r>
              <w:rPr>
                <w:spacing w:val="5"/>
              </w:rPr>
              <w:t>高位水池、淋溶水沉淀池、选厂高</w:t>
            </w:r>
            <w:r>
              <w:rPr>
                <w:spacing w:val="8"/>
              </w:rPr>
              <w:t>位水池、防渗储池、隔油池</w:t>
            </w:r>
          </w:p>
        </w:tc>
      </w:tr>
      <w:tr>
        <w:trPr>
          <w:trHeight w:val="954" w:hRule="atLeast"/>
        </w:trPr>
        <w:tc>
          <w:tcPr>
            <w:tcW w:w="1657" w:type="dxa"/>
            <w:vAlign w:val="top"/>
            <w:tcBorders>
              <w:left w:val="nil"/>
              <w:bottom w:val="single" w:color="000000" w:sz="10" w:space="0"/>
            </w:tcBorders>
          </w:tcPr>
          <w:p>
            <w:pPr>
              <w:spacing w:line="311" w:lineRule="auto"/>
              <w:rPr>
                <w:rFonts w:ascii="Arial"/>
                <w:sz w:val="21"/>
              </w:rPr>
            </w:pPr>
            <w:r/>
          </w:p>
          <w:p>
            <w:pPr>
              <w:pStyle w:val="TableText"/>
              <w:ind w:left="742"/>
              <w:spacing w:before="65" w:line="232" w:lineRule="auto"/>
              <w:rPr/>
            </w:pPr>
            <w:r>
              <w:rPr/>
              <w:t>易</w:t>
            </w:r>
          </w:p>
        </w:tc>
        <w:tc>
          <w:tcPr>
            <w:tcW w:w="3541" w:type="dxa"/>
            <w:vAlign w:val="top"/>
            <w:tcBorders>
              <w:bottom w:val="single" w:color="000000" w:sz="10" w:space="0"/>
            </w:tcBorders>
          </w:tcPr>
          <w:p>
            <w:pPr>
              <w:pStyle w:val="TableText"/>
              <w:ind w:left="310" w:right="193" w:hanging="102"/>
              <w:spacing w:before="222" w:line="288" w:lineRule="auto"/>
              <w:rPr/>
            </w:pPr>
            <w:r>
              <w:rPr>
                <w:spacing w:val="8"/>
              </w:rPr>
              <w:t>对地下水环境有污染的物料或污染</w:t>
            </w:r>
            <w:r>
              <w:rPr>
                <w:spacing w:val="8"/>
              </w:rPr>
              <w:t>物渗漏后，可及时发现和处理。</w:t>
            </w:r>
          </w:p>
        </w:tc>
        <w:tc>
          <w:tcPr>
            <w:tcW w:w="3324" w:type="dxa"/>
            <w:vAlign w:val="top"/>
            <w:tcBorders>
              <w:right w:val="nil"/>
              <w:bottom w:val="single" w:color="000000" w:sz="10" w:space="0"/>
            </w:tcBorders>
          </w:tcPr>
          <w:p>
            <w:pPr>
              <w:pStyle w:val="TableText"/>
              <w:ind w:left="119"/>
              <w:spacing w:before="67" w:line="228" w:lineRule="auto"/>
              <w:rPr/>
            </w:pPr>
            <w:r>
              <w:rPr>
                <w:spacing w:val="6"/>
              </w:rPr>
              <w:t>机修间、危险废物贮存点、选矿车</w:t>
            </w:r>
          </w:p>
          <w:p>
            <w:pPr>
              <w:pStyle w:val="TableText"/>
              <w:ind w:left="139"/>
              <w:spacing w:before="65" w:line="229" w:lineRule="auto"/>
              <w:rPr/>
            </w:pPr>
            <w:r>
              <w:rPr>
                <w:spacing w:val="5"/>
              </w:rPr>
              <w:t>间、尾矿临时堆场、原矿堆场、成</w:t>
            </w:r>
          </w:p>
          <w:p>
            <w:pPr>
              <w:pStyle w:val="TableText"/>
              <w:ind w:left="855"/>
              <w:spacing w:before="63" w:line="231" w:lineRule="auto"/>
              <w:rPr/>
            </w:pPr>
            <w:r>
              <w:rPr>
                <w:spacing w:val="5"/>
              </w:rPr>
              <w:t>品库、事故应急池</w:t>
            </w:r>
          </w:p>
        </w:tc>
      </w:tr>
    </w:tbl>
    <w:p>
      <w:pPr>
        <w:pStyle w:val="BodyText"/>
        <w:spacing w:line="251" w:lineRule="auto"/>
        <w:rPr/>
      </w:pPr>
      <w:r/>
    </w:p>
    <w:p>
      <w:pPr>
        <w:pStyle w:val="BodyText"/>
        <w:spacing w:line="252" w:lineRule="auto"/>
        <w:rPr/>
      </w:pPr>
      <w:r/>
    </w:p>
    <w:p>
      <w:pPr>
        <w:ind w:left="608"/>
        <w:spacing w:before="79"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）天然包气带防污性能分级</w:t>
      </w:r>
    </w:p>
    <w:p>
      <w:pPr>
        <w:ind w:left="604"/>
        <w:spacing w:before="183" w:line="219" w:lineRule="auto"/>
        <w:rPr>
          <w:rFonts w:ascii="FangSong" w:hAnsi="FangSong" w:eastAsia="FangSong" w:cs="FangSong"/>
          <w:sz w:val="24"/>
          <w:szCs w:val="24"/>
        </w:rPr>
      </w:pPr>
      <w:r>
        <w:rPr>
          <w:rFonts w:ascii="FangSong" w:hAnsi="FangSong" w:eastAsia="FangSong" w:cs="FangSong"/>
          <w:sz w:val="24"/>
          <w:szCs w:val="24"/>
          <w:spacing w:val="-3"/>
        </w:rPr>
        <w:t>根据项目所在区域的相关资料，对照导则中的</w:t>
      </w:r>
      <w:r>
        <w:rPr>
          <w:rFonts w:ascii="FangSong" w:hAnsi="FangSong" w:eastAsia="FangSong" w:cs="FangSong"/>
          <w:sz w:val="24"/>
          <w:szCs w:val="24"/>
          <w:spacing w:val="-4"/>
        </w:rPr>
        <w:t>天然包气带防污性能分级参照</w:t>
      </w:r>
    </w:p>
    <w:p>
      <w:pPr>
        <w:ind w:left="125"/>
        <w:spacing w:before="183" w:line="220" w:lineRule="auto"/>
        <w:rPr>
          <w:rFonts w:ascii="FangSong" w:hAnsi="FangSong" w:eastAsia="FangSong" w:cs="FangSong"/>
          <w:sz w:val="24"/>
          <w:szCs w:val="24"/>
        </w:rPr>
      </w:pPr>
      <w:r>
        <w:rPr>
          <w:rFonts w:ascii="FangSong" w:hAnsi="FangSong" w:eastAsia="FangSong" w:cs="FangSong"/>
          <w:sz w:val="24"/>
          <w:szCs w:val="24"/>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7.2-3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，项目厂区的包气带防污性能分级为较弱</w:t>
      </w:r>
    </w:p>
    <w:p>
      <w:pPr>
        <w:ind w:left="2132"/>
        <w:spacing w:before="182"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7.2-3  </w:t>
      </w:r>
      <w:r>
        <w:rPr>
          <w:rFonts w:ascii="FangSong" w:hAnsi="FangSong" w:eastAsia="FangSong" w:cs="FangSong"/>
          <w:sz w:val="24"/>
          <w:szCs w:val="24"/>
          <w:b/>
          <w:bCs/>
          <w:spacing w:val="-3"/>
        </w:rPr>
        <w:t>天然包气带防污性能分级参照表</w:t>
      </w:r>
    </w:p>
    <w:p>
      <w:pPr>
        <w:spacing w:line="66"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4"/>
        <w:gridCol w:w="7637"/>
      </w:tblGrid>
      <w:tr>
        <w:trPr>
          <w:trHeight w:val="316" w:hRule="atLeast"/>
        </w:trPr>
        <w:tc>
          <w:tcPr>
            <w:tcW w:w="884" w:type="dxa"/>
            <w:vAlign w:val="top"/>
            <w:tcBorders>
              <w:left w:val="nil"/>
              <w:top w:val="single" w:color="000000" w:sz="10" w:space="0"/>
            </w:tcBorders>
          </w:tcPr>
          <w:p>
            <w:pPr>
              <w:pStyle w:val="TableText"/>
              <w:ind w:left="249"/>
              <w:spacing w:before="56" w:line="230" w:lineRule="auto"/>
              <w:rPr/>
            </w:pPr>
            <w:r>
              <w:rPr/>
              <w:t>分级</w:t>
            </w:r>
          </w:p>
        </w:tc>
        <w:tc>
          <w:tcPr>
            <w:tcW w:w="7637" w:type="dxa"/>
            <w:vAlign w:val="top"/>
            <w:tcBorders>
              <w:right w:val="nil"/>
              <w:top w:val="single" w:color="000000" w:sz="10" w:space="0"/>
            </w:tcBorders>
          </w:tcPr>
          <w:p>
            <w:pPr>
              <w:pStyle w:val="TableText"/>
              <w:ind w:left="3417"/>
              <w:spacing w:before="56" w:line="230" w:lineRule="auto"/>
              <w:rPr/>
            </w:pPr>
            <w:r>
              <w:rPr>
                <w:spacing w:val="4"/>
              </w:rPr>
              <w:t>主要特征</w:t>
            </w:r>
          </w:p>
        </w:tc>
      </w:tr>
      <w:tr>
        <w:trPr>
          <w:trHeight w:val="330" w:hRule="atLeast"/>
        </w:trPr>
        <w:tc>
          <w:tcPr>
            <w:tcW w:w="884" w:type="dxa"/>
            <w:vAlign w:val="top"/>
            <w:tcBorders>
              <w:left w:val="nil"/>
            </w:tcBorders>
          </w:tcPr>
          <w:p>
            <w:pPr>
              <w:pStyle w:val="TableText"/>
              <w:ind w:left="356"/>
              <w:spacing w:before="67" w:line="233" w:lineRule="auto"/>
              <w:rPr/>
            </w:pPr>
            <w:r>
              <w:rPr/>
              <w:t>强</w:t>
            </w:r>
          </w:p>
        </w:tc>
        <w:tc>
          <w:tcPr>
            <w:tcW w:w="7637" w:type="dxa"/>
            <w:vAlign w:val="top"/>
            <w:tcBorders>
              <w:right w:val="nil"/>
            </w:tcBorders>
          </w:tcPr>
          <w:p>
            <w:pPr>
              <w:pStyle w:val="TableText"/>
              <w:ind w:left="339"/>
              <w:spacing w:before="67" w:line="228" w:lineRule="auto"/>
              <w:rPr/>
            </w:pPr>
            <w:r>
              <w:rPr>
                <w:spacing w:val="6"/>
              </w:rPr>
              <w:t>岩（土）层单层厚度</w:t>
            </w:r>
            <w:r>
              <w:rPr>
                <w:spacing w:val="-38"/>
              </w:rPr>
              <w:t xml:space="preserve"> </w:t>
            </w:r>
            <w:r>
              <w:rPr>
                <w:rFonts w:ascii="Times New Roman" w:hAnsi="Times New Roman" w:eastAsia="Times New Roman" w:cs="Times New Roman"/>
              </w:rPr>
              <w:t>Mb</w:t>
            </w:r>
            <w:r>
              <w:rPr>
                <w:rFonts w:ascii="Times New Roman" w:hAnsi="Times New Roman" w:eastAsia="Times New Roman" w:cs="Times New Roman"/>
                <w:spacing w:val="6"/>
              </w:rPr>
              <w:t>≥1.0m</w:t>
            </w:r>
            <w:r>
              <w:rPr>
                <w:rFonts w:ascii="Times New Roman" w:hAnsi="Times New Roman" w:eastAsia="Times New Roman" w:cs="Times New Roman"/>
                <w:spacing w:val="-21"/>
              </w:rPr>
              <w:t xml:space="preserve"> </w:t>
            </w:r>
            <w:r>
              <w:rPr>
                <w:spacing w:val="6"/>
              </w:rPr>
              <w:t>，渗透系数</w:t>
            </w:r>
            <w:r>
              <w:rPr>
                <w:spacing w:val="-44"/>
              </w:rPr>
              <w:t xml:space="preserve"> </w:t>
            </w:r>
            <w:r>
              <w:rPr>
                <w:rFonts w:ascii="Times New Roman" w:hAnsi="Times New Roman" w:eastAsia="Times New Roman" w:cs="Times New Roman"/>
                <w:spacing w:val="6"/>
              </w:rPr>
              <w:t>K≤1×10</w:t>
            </w:r>
            <w:r>
              <w:rPr>
                <w:rFonts w:ascii="Times New Roman" w:hAnsi="Times New Roman" w:eastAsia="Times New Roman" w:cs="Times New Roman"/>
                <w:sz w:val="13"/>
                <w:szCs w:val="13"/>
                <w:spacing w:val="6"/>
                <w:position w:val="6"/>
              </w:rPr>
              <w:t>-6</w:t>
            </w:r>
            <w:r>
              <w:rPr>
                <w:rFonts w:ascii="Times New Roman" w:hAnsi="Times New Roman" w:eastAsia="Times New Roman" w:cs="Times New Roman"/>
              </w:rPr>
              <w:t>cm</w:t>
            </w:r>
            <w:r>
              <w:rPr>
                <w:rFonts w:ascii="Times New Roman" w:hAnsi="Times New Roman" w:eastAsia="Times New Roman" w:cs="Times New Roman"/>
                <w:spacing w:val="6"/>
              </w:rPr>
              <w:t>/s</w:t>
            </w:r>
            <w:r>
              <w:rPr>
                <w:rFonts w:ascii="Times New Roman" w:hAnsi="Times New Roman" w:eastAsia="Times New Roman" w:cs="Times New Roman"/>
                <w:spacing w:val="-18"/>
              </w:rPr>
              <w:t xml:space="preserve"> </w:t>
            </w:r>
            <w:r>
              <w:rPr>
                <w:spacing w:val="6"/>
              </w:rPr>
              <w:t>，且分布连续稳定。</w:t>
            </w:r>
          </w:p>
        </w:tc>
      </w:tr>
      <w:tr>
        <w:trPr>
          <w:trHeight w:val="655" w:hRule="atLeast"/>
        </w:trPr>
        <w:tc>
          <w:tcPr>
            <w:tcW w:w="884" w:type="dxa"/>
            <w:vAlign w:val="top"/>
            <w:tcBorders>
              <w:left w:val="nil"/>
            </w:tcBorders>
          </w:tcPr>
          <w:p>
            <w:pPr>
              <w:pStyle w:val="TableText"/>
              <w:ind w:left="376"/>
              <w:spacing w:before="236" w:line="231" w:lineRule="auto"/>
              <w:rPr/>
            </w:pPr>
            <w:r>
              <w:rPr/>
              <w:t>中</w:t>
            </w:r>
          </w:p>
        </w:tc>
        <w:tc>
          <w:tcPr>
            <w:tcW w:w="7637" w:type="dxa"/>
            <w:vAlign w:val="top"/>
            <w:tcBorders>
              <w:right w:val="nil"/>
            </w:tcBorders>
          </w:tcPr>
          <w:p>
            <w:pPr>
              <w:pStyle w:val="TableText"/>
              <w:ind w:left="232" w:right="108" w:hanging="116"/>
              <w:spacing w:before="79" w:line="261" w:lineRule="auto"/>
              <w:rPr/>
            </w:pPr>
            <w:r>
              <w:rPr>
                <w:spacing w:val="5"/>
              </w:rPr>
              <w:t>岩土层单层厚度</w:t>
            </w:r>
            <w:r>
              <w:rPr>
                <w:spacing w:val="-30"/>
              </w:rPr>
              <w:t xml:space="preserve"> </w:t>
            </w:r>
            <w:r>
              <w:rPr>
                <w:rFonts w:ascii="Times New Roman" w:hAnsi="Times New Roman" w:eastAsia="Times New Roman" w:cs="Times New Roman"/>
                <w:spacing w:val="5"/>
              </w:rPr>
              <w:t>0.5m≤</w:t>
            </w:r>
            <w:r>
              <w:rPr>
                <w:rFonts w:ascii="Times New Roman" w:hAnsi="Times New Roman" w:eastAsia="Times New Roman" w:cs="Times New Roman"/>
              </w:rPr>
              <w:t>Mb</w:t>
            </w:r>
            <w:r>
              <w:rPr>
                <w:rFonts w:ascii="Times New Roman" w:hAnsi="Times New Roman" w:eastAsia="Times New Roman" w:cs="Times New Roman"/>
                <w:spacing w:val="5"/>
              </w:rPr>
              <w:t>&lt;1.0m</w:t>
            </w:r>
            <w:r>
              <w:rPr>
                <w:spacing w:val="5"/>
              </w:rPr>
              <w:t>，渗透系数</w:t>
            </w:r>
            <w:r>
              <w:rPr>
                <w:spacing w:val="-42"/>
              </w:rPr>
              <w:t xml:space="preserve"> </w:t>
            </w:r>
            <w:r>
              <w:rPr>
                <w:rFonts w:ascii="Times New Roman" w:hAnsi="Times New Roman" w:eastAsia="Times New Roman" w:cs="Times New Roman"/>
                <w:spacing w:val="5"/>
              </w:rPr>
              <w:t>K≤1×10</w:t>
            </w:r>
            <w:r>
              <w:rPr>
                <w:rFonts w:ascii="Times New Roman" w:hAnsi="Times New Roman" w:eastAsia="Times New Roman" w:cs="Times New Roman"/>
                <w:sz w:val="13"/>
                <w:szCs w:val="13"/>
                <w:spacing w:val="5"/>
                <w:position w:val="6"/>
              </w:rPr>
              <w:t>-6</w:t>
            </w:r>
            <w:r>
              <w:rPr>
                <w:rFonts w:ascii="Times New Roman" w:hAnsi="Times New Roman" w:eastAsia="Times New Roman" w:cs="Times New Roman"/>
              </w:rPr>
              <w:t>cm</w:t>
            </w:r>
            <w:r>
              <w:rPr>
                <w:rFonts w:ascii="Times New Roman" w:hAnsi="Times New Roman" w:eastAsia="Times New Roman" w:cs="Times New Roman"/>
                <w:spacing w:val="5"/>
              </w:rPr>
              <w:t>/s</w:t>
            </w:r>
            <w:r>
              <w:rPr>
                <w:spacing w:val="5"/>
              </w:rPr>
              <w:t>，且分布连续稳定。岩土</w:t>
            </w:r>
            <w:r>
              <w:rPr>
                <w:spacing w:val="5"/>
              </w:rPr>
              <w:t>层单层厚度</w:t>
            </w:r>
            <w:r>
              <w:rPr>
                <w:spacing w:val="-44"/>
              </w:rPr>
              <w:t xml:space="preserve"> </w:t>
            </w:r>
            <w:r>
              <w:rPr>
                <w:rFonts w:ascii="Times New Roman" w:hAnsi="Times New Roman" w:eastAsia="Times New Roman" w:cs="Times New Roman"/>
              </w:rPr>
              <w:t>Mb</w:t>
            </w:r>
            <w:r>
              <w:rPr>
                <w:rFonts w:ascii="Times New Roman" w:hAnsi="Times New Roman" w:eastAsia="Times New Roman" w:cs="Times New Roman"/>
                <w:spacing w:val="5"/>
              </w:rPr>
              <w:t>≥1.0m</w:t>
            </w:r>
            <w:r>
              <w:rPr>
                <w:rFonts w:ascii="Times New Roman" w:hAnsi="Times New Roman" w:eastAsia="Times New Roman" w:cs="Times New Roman"/>
                <w:spacing w:val="-20"/>
              </w:rPr>
              <w:t xml:space="preserve"> </w:t>
            </w:r>
            <w:r>
              <w:rPr>
                <w:spacing w:val="5"/>
              </w:rPr>
              <w:t>，渗透系数</w:t>
            </w:r>
            <w:r>
              <w:rPr>
                <w:spacing w:val="-21"/>
              </w:rPr>
              <w:t xml:space="preserve"> </w:t>
            </w:r>
            <w:r>
              <w:rPr>
                <w:rFonts w:ascii="Times New Roman" w:hAnsi="Times New Roman" w:eastAsia="Times New Roman" w:cs="Times New Roman"/>
                <w:spacing w:val="5"/>
              </w:rPr>
              <w:t>1×10</w:t>
            </w:r>
            <w:r>
              <w:rPr>
                <w:rFonts w:ascii="Times New Roman" w:hAnsi="Times New Roman" w:eastAsia="Times New Roman" w:cs="Times New Roman"/>
                <w:sz w:val="13"/>
                <w:szCs w:val="13"/>
                <w:spacing w:val="5"/>
                <w:position w:val="6"/>
              </w:rPr>
              <w:t>-6</w:t>
            </w:r>
            <w:r>
              <w:rPr>
                <w:rFonts w:ascii="Times New Roman" w:hAnsi="Times New Roman" w:eastAsia="Times New Roman" w:cs="Times New Roman"/>
              </w:rPr>
              <w:t>cm</w:t>
            </w:r>
            <w:r>
              <w:rPr>
                <w:rFonts w:ascii="Times New Roman" w:hAnsi="Times New Roman" w:eastAsia="Times New Roman" w:cs="Times New Roman"/>
                <w:spacing w:val="5"/>
              </w:rPr>
              <w:t>/s&lt;K≤1×10</w:t>
            </w:r>
            <w:r>
              <w:rPr>
                <w:rFonts w:ascii="Times New Roman" w:hAnsi="Times New Roman" w:eastAsia="Times New Roman" w:cs="Times New Roman"/>
                <w:sz w:val="13"/>
                <w:szCs w:val="13"/>
                <w:spacing w:val="5"/>
                <w:position w:val="6"/>
              </w:rPr>
              <w:t>-4</w:t>
            </w:r>
            <w:r>
              <w:rPr>
                <w:rFonts w:ascii="Times New Roman" w:hAnsi="Times New Roman" w:eastAsia="Times New Roman" w:cs="Times New Roman"/>
              </w:rPr>
              <w:t>cm</w:t>
            </w:r>
            <w:r>
              <w:rPr>
                <w:rFonts w:ascii="Times New Roman" w:hAnsi="Times New Roman" w:eastAsia="Times New Roman" w:cs="Times New Roman"/>
                <w:spacing w:val="5"/>
              </w:rPr>
              <w:t>/s</w:t>
            </w:r>
            <w:r>
              <w:rPr>
                <w:rFonts w:ascii="Times New Roman" w:hAnsi="Times New Roman" w:eastAsia="Times New Roman" w:cs="Times New Roman"/>
                <w:spacing w:val="-18"/>
              </w:rPr>
              <w:t xml:space="preserve"> </w:t>
            </w:r>
            <w:r>
              <w:rPr>
                <w:spacing w:val="5"/>
              </w:rPr>
              <w:t>，且分布连续稳定。</w:t>
            </w:r>
          </w:p>
        </w:tc>
      </w:tr>
      <w:tr>
        <w:trPr>
          <w:trHeight w:val="336" w:hRule="atLeast"/>
        </w:trPr>
        <w:tc>
          <w:tcPr>
            <w:tcW w:w="884" w:type="dxa"/>
            <w:vAlign w:val="top"/>
            <w:tcBorders>
              <w:left w:val="nil"/>
              <w:bottom w:val="single" w:color="000000" w:sz="10" w:space="0"/>
            </w:tcBorders>
          </w:tcPr>
          <w:p>
            <w:pPr>
              <w:pStyle w:val="TableText"/>
              <w:ind w:left="354"/>
              <w:spacing w:before="72" w:line="232" w:lineRule="auto"/>
              <w:rPr/>
            </w:pPr>
            <w:r>
              <w:rPr/>
              <w:t>弱</w:t>
            </w:r>
          </w:p>
        </w:tc>
        <w:tc>
          <w:tcPr>
            <w:tcW w:w="7637" w:type="dxa"/>
            <w:vAlign w:val="top"/>
            <w:tcBorders>
              <w:right w:val="nil"/>
              <w:bottom w:val="single" w:color="000000" w:sz="10" w:space="0"/>
            </w:tcBorders>
          </w:tcPr>
          <w:p>
            <w:pPr>
              <w:pStyle w:val="TableText"/>
              <w:ind w:left="1832"/>
              <w:spacing w:before="73" w:line="231" w:lineRule="auto"/>
              <w:rPr/>
            </w:pPr>
            <w:r>
              <w:rPr>
                <w:spacing w:val="4"/>
              </w:rPr>
              <w:t>岩（土）层不满足上述“强</w:t>
            </w:r>
            <w:r>
              <w:rPr>
                <w:spacing w:val="-71"/>
              </w:rPr>
              <w:t xml:space="preserve"> </w:t>
            </w:r>
            <w:r>
              <w:rPr>
                <w:spacing w:val="4"/>
              </w:rPr>
              <w:t>”和“</w:t>
            </w:r>
            <w:r>
              <w:rPr>
                <w:spacing w:val="-57"/>
              </w:rPr>
              <w:t xml:space="preserve"> </w:t>
            </w:r>
            <w:r>
              <w:rPr>
                <w:spacing w:val="4"/>
              </w:rPr>
              <w:t>中</w:t>
            </w:r>
            <w:r>
              <w:rPr>
                <w:spacing w:val="-72"/>
              </w:rPr>
              <w:t xml:space="preserve"> </w:t>
            </w:r>
            <w:r>
              <w:rPr>
                <w:spacing w:val="4"/>
              </w:rPr>
              <w:t>”条件</w:t>
            </w:r>
          </w:p>
        </w:tc>
      </w:tr>
    </w:tbl>
    <w:p>
      <w:pPr>
        <w:ind w:left="608"/>
        <w:spacing w:before="117"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）地下水污染防渗分区划分</w:t>
      </w:r>
    </w:p>
    <w:p>
      <w:pPr>
        <w:spacing w:line="222" w:lineRule="auto"/>
        <w:sectPr>
          <w:footerReference w:type="default" r:id="rId354"/>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4" w:right="107" w:firstLine="480"/>
        <w:spacing w:before="78" w:line="360" w:lineRule="auto"/>
        <w:rPr>
          <w:rFonts w:ascii="FangSong" w:hAnsi="FangSong" w:eastAsia="FangSong" w:cs="FangSong"/>
          <w:sz w:val="24"/>
          <w:szCs w:val="24"/>
        </w:rPr>
      </w:pPr>
      <w:r>
        <w:rPr>
          <w:rFonts w:ascii="FangSong" w:hAnsi="FangSong" w:eastAsia="FangSong" w:cs="FangSong"/>
          <w:sz w:val="24"/>
          <w:szCs w:val="24"/>
          <w:spacing w:val="-1"/>
        </w:rPr>
        <w:t>据</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HJ610-2016</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要求，防渗分区</w:t>
      </w:r>
      <w:r>
        <w:rPr>
          <w:rFonts w:ascii="FangSong" w:hAnsi="FangSong" w:eastAsia="FangSong" w:cs="FangSong"/>
          <w:sz w:val="24"/>
          <w:szCs w:val="24"/>
          <w:spacing w:val="-2"/>
        </w:rPr>
        <w:t>应根据建设项目场地天然包气带防污性能、</w:t>
      </w:r>
      <w:r>
        <w:rPr>
          <w:rFonts w:ascii="FangSong" w:hAnsi="FangSong" w:eastAsia="FangSong" w:cs="FangSong"/>
          <w:sz w:val="24"/>
          <w:szCs w:val="24"/>
          <w:spacing w:val="-1"/>
        </w:rPr>
        <w:t>污染控制难易程度和污染物特性，参照表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7.2-4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提出防渗技术要求。其</w:t>
      </w:r>
      <w:r>
        <w:rPr>
          <w:rFonts w:ascii="FangSong" w:hAnsi="FangSong" w:eastAsia="FangSong" w:cs="FangSong"/>
          <w:sz w:val="24"/>
          <w:szCs w:val="24"/>
          <w:spacing w:val="-2"/>
        </w:rPr>
        <w:t>中污染控</w:t>
      </w:r>
      <w:r>
        <w:rPr>
          <w:rFonts w:ascii="FangSong" w:hAnsi="FangSong" w:eastAsia="FangSong" w:cs="FangSong"/>
          <w:sz w:val="24"/>
          <w:szCs w:val="24"/>
          <w:spacing w:val="-1"/>
        </w:rPr>
        <w:t>制难易程度分级和天然包气带防污性能分级分别参照表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7.2-4</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进行相关等级</w:t>
      </w:r>
      <w:r>
        <w:rPr>
          <w:rFonts w:ascii="FangSong" w:hAnsi="FangSong" w:eastAsia="FangSong" w:cs="FangSong"/>
          <w:sz w:val="24"/>
          <w:szCs w:val="24"/>
          <w:spacing w:val="-2"/>
        </w:rPr>
        <w:t>的确</w:t>
      </w:r>
      <w:r>
        <w:rPr>
          <w:rFonts w:ascii="FangSong" w:hAnsi="FangSong" w:eastAsia="FangSong" w:cs="FangSong"/>
          <w:sz w:val="24"/>
          <w:szCs w:val="24"/>
          <w:spacing w:val="-9"/>
        </w:rPr>
        <w:t>定。</w:t>
      </w:r>
    </w:p>
    <w:p>
      <w:pPr>
        <w:ind w:left="2372"/>
        <w:spacing w:line="222" w:lineRule="auto"/>
        <w:rPr>
          <w:rFonts w:ascii="FangSong" w:hAnsi="FangSong" w:eastAsia="FangSong" w:cs="FangSong"/>
          <w:sz w:val="24"/>
          <w:szCs w:val="24"/>
        </w:rPr>
      </w:pPr>
      <w:bookmarkStart w:name="bookmark611" w:id="453"/>
      <w:bookmarkEnd w:id="453"/>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7.2-4  </w:t>
      </w:r>
      <w:r>
        <w:rPr>
          <w:rFonts w:ascii="FangSong" w:hAnsi="FangSong" w:eastAsia="FangSong" w:cs="FangSong"/>
          <w:sz w:val="24"/>
          <w:szCs w:val="24"/>
          <w:b/>
          <w:bCs/>
          <w:spacing w:val="-3"/>
        </w:rPr>
        <w:t>地下水污染防渗分区参照表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8"/>
        <w:gridCol w:w="1466"/>
        <w:gridCol w:w="1195"/>
        <w:gridCol w:w="1940"/>
        <w:gridCol w:w="2813"/>
      </w:tblGrid>
      <w:tr>
        <w:trPr>
          <w:trHeight w:val="629" w:hRule="atLeast"/>
        </w:trPr>
        <w:tc>
          <w:tcPr>
            <w:tcW w:w="1108" w:type="dxa"/>
            <w:vAlign w:val="top"/>
            <w:tcBorders>
              <w:top w:val="single" w:color="000000" w:sz="10" w:space="0"/>
              <w:left w:val="nil"/>
            </w:tcBorders>
          </w:tcPr>
          <w:p>
            <w:pPr>
              <w:pStyle w:val="TableText"/>
              <w:ind w:left="162"/>
              <w:spacing w:before="211" w:line="232" w:lineRule="auto"/>
              <w:rPr/>
            </w:pPr>
            <w:r>
              <w:rPr>
                <w:spacing w:val="2"/>
              </w:rPr>
              <w:t>防渗区域</w:t>
            </w:r>
          </w:p>
        </w:tc>
        <w:tc>
          <w:tcPr>
            <w:tcW w:w="1466" w:type="dxa"/>
            <w:vAlign w:val="top"/>
            <w:tcBorders>
              <w:top w:val="single" w:color="000000" w:sz="10" w:space="0"/>
            </w:tcBorders>
          </w:tcPr>
          <w:p>
            <w:pPr>
              <w:pStyle w:val="TableText"/>
              <w:ind w:left="337" w:right="207" w:hanging="118"/>
              <w:spacing w:before="55" w:line="260" w:lineRule="auto"/>
              <w:rPr/>
            </w:pPr>
            <w:r>
              <w:rPr>
                <w:spacing w:val="6"/>
              </w:rPr>
              <w:t>天然包气带</w:t>
            </w:r>
            <w:r>
              <w:rPr>
                <w:spacing w:val="2"/>
              </w:rPr>
              <w:t>防污性能</w:t>
            </w:r>
          </w:p>
        </w:tc>
        <w:tc>
          <w:tcPr>
            <w:tcW w:w="1195" w:type="dxa"/>
            <w:vAlign w:val="top"/>
            <w:tcBorders>
              <w:top w:val="single" w:color="000000" w:sz="10" w:space="0"/>
            </w:tcBorders>
          </w:tcPr>
          <w:p>
            <w:pPr>
              <w:pStyle w:val="TableText"/>
              <w:ind w:left="191"/>
              <w:spacing w:before="55" w:line="230" w:lineRule="auto"/>
              <w:rPr/>
            </w:pPr>
            <w:r>
              <w:rPr>
                <w:spacing w:val="4"/>
              </w:rPr>
              <w:t>污染控制</w:t>
            </w:r>
          </w:p>
          <w:p>
            <w:pPr>
              <w:pStyle w:val="TableText"/>
              <w:ind w:left="188"/>
              <w:spacing w:before="62" w:line="231" w:lineRule="auto"/>
              <w:rPr/>
            </w:pPr>
            <w:r>
              <w:rPr>
                <w:spacing w:val="5"/>
              </w:rPr>
              <w:t>难易程度</w:t>
            </w:r>
          </w:p>
        </w:tc>
        <w:tc>
          <w:tcPr>
            <w:tcW w:w="1940" w:type="dxa"/>
            <w:vAlign w:val="top"/>
            <w:tcBorders>
              <w:top w:val="single" w:color="000000" w:sz="10" w:space="0"/>
            </w:tcBorders>
          </w:tcPr>
          <w:p>
            <w:pPr>
              <w:pStyle w:val="TableText"/>
              <w:ind w:left="460"/>
              <w:spacing w:before="212" w:line="229" w:lineRule="auto"/>
              <w:rPr/>
            </w:pPr>
            <w:r>
              <w:rPr>
                <w:spacing w:val="6"/>
              </w:rPr>
              <w:t>污染物类型</w:t>
            </w:r>
          </w:p>
        </w:tc>
        <w:tc>
          <w:tcPr>
            <w:tcW w:w="2813" w:type="dxa"/>
            <w:vAlign w:val="top"/>
            <w:tcBorders>
              <w:top w:val="single" w:color="000000" w:sz="10" w:space="0"/>
              <w:right w:val="nil"/>
            </w:tcBorders>
          </w:tcPr>
          <w:p>
            <w:pPr>
              <w:pStyle w:val="TableText"/>
              <w:ind w:left="582"/>
              <w:spacing w:before="211" w:line="231" w:lineRule="auto"/>
              <w:rPr/>
            </w:pPr>
            <w:r>
              <w:rPr>
                <w:spacing w:val="7"/>
              </w:rPr>
              <w:t>污染防渗技术要求</w:t>
            </w:r>
          </w:p>
        </w:tc>
      </w:tr>
      <w:tr>
        <w:trPr>
          <w:trHeight w:val="315" w:hRule="atLeast"/>
        </w:trPr>
        <w:tc>
          <w:tcPr>
            <w:tcW w:w="1108" w:type="dxa"/>
            <w:vAlign w:val="top"/>
            <w:vMerge w:val="restart"/>
            <w:tcBorders>
              <w:left w:val="nil"/>
              <w:bottom w:val="nil"/>
            </w:tcBorders>
          </w:tcPr>
          <w:p>
            <w:pPr>
              <w:pStyle w:val="TableText"/>
              <w:ind w:left="479" w:right="133" w:hanging="325"/>
              <w:spacing w:before="222" w:line="294" w:lineRule="auto"/>
              <w:rPr/>
            </w:pPr>
            <w:r>
              <w:rPr>
                <w:spacing w:val="4"/>
              </w:rPr>
              <w:t>重点防渗</w:t>
            </w:r>
            <w:r>
              <w:rPr/>
              <w:t>区</w:t>
            </w:r>
          </w:p>
        </w:tc>
        <w:tc>
          <w:tcPr>
            <w:tcW w:w="1466" w:type="dxa"/>
            <w:vAlign w:val="top"/>
          </w:tcPr>
          <w:p>
            <w:pPr>
              <w:pStyle w:val="TableText"/>
              <w:ind w:left="643"/>
              <w:spacing w:before="54" w:line="231" w:lineRule="auto"/>
              <w:rPr/>
            </w:pPr>
            <w:r>
              <w:rPr/>
              <w:t>弱</w:t>
            </w:r>
          </w:p>
        </w:tc>
        <w:tc>
          <w:tcPr>
            <w:tcW w:w="1195" w:type="dxa"/>
            <w:vAlign w:val="top"/>
          </w:tcPr>
          <w:p>
            <w:pPr>
              <w:pStyle w:val="TableText"/>
              <w:ind w:left="502"/>
              <w:spacing w:before="54" w:line="231" w:lineRule="auto"/>
              <w:rPr/>
            </w:pPr>
            <w:r>
              <w:rPr/>
              <w:t>难</w:t>
            </w:r>
          </w:p>
        </w:tc>
        <w:tc>
          <w:tcPr>
            <w:tcW w:w="1940" w:type="dxa"/>
            <w:vAlign w:val="top"/>
            <w:vMerge w:val="restart"/>
            <w:tcBorders>
              <w:bottom w:val="nil"/>
            </w:tcBorders>
          </w:tcPr>
          <w:p>
            <w:pPr>
              <w:spacing w:line="312" w:lineRule="auto"/>
              <w:rPr>
                <w:rFonts w:ascii="Arial"/>
                <w:sz w:val="21"/>
              </w:rPr>
            </w:pPr>
            <w:r/>
          </w:p>
          <w:p>
            <w:pPr>
              <w:pStyle w:val="TableText"/>
              <w:ind w:left="563"/>
              <w:spacing w:before="65" w:line="230" w:lineRule="auto"/>
              <w:rPr/>
            </w:pPr>
            <w:r>
              <w:rPr>
                <w:spacing w:val="5"/>
              </w:rPr>
              <w:t>其他类型</w:t>
            </w:r>
          </w:p>
        </w:tc>
        <w:tc>
          <w:tcPr>
            <w:tcW w:w="2813" w:type="dxa"/>
            <w:vAlign w:val="top"/>
            <w:vMerge w:val="restart"/>
            <w:tcBorders>
              <w:right w:val="nil"/>
              <w:bottom w:val="nil"/>
            </w:tcBorders>
          </w:tcPr>
          <w:p>
            <w:pPr>
              <w:pStyle w:val="TableText"/>
              <w:ind w:left="141"/>
              <w:spacing w:before="67" w:line="230" w:lineRule="auto"/>
              <w:rPr/>
            </w:pPr>
            <w:r>
              <w:rPr>
                <w:spacing w:val="6"/>
              </w:rPr>
              <w:t>等效粘土防渗层</w:t>
            </w:r>
            <w:r>
              <w:rPr>
                <w:spacing w:val="-38"/>
              </w:rPr>
              <w:t xml:space="preserve"> </w:t>
            </w:r>
            <w:r>
              <w:rPr>
                <w:rFonts w:ascii="Times New Roman" w:hAnsi="Times New Roman" w:eastAsia="Times New Roman" w:cs="Times New Roman"/>
              </w:rPr>
              <w:t>Mb</w:t>
            </w:r>
            <w:r>
              <w:rPr>
                <w:rFonts w:ascii="Times New Roman" w:hAnsi="Times New Roman" w:eastAsia="Times New Roman" w:cs="Times New Roman"/>
                <w:spacing w:val="6"/>
              </w:rPr>
              <w:t>≥6.0m</w:t>
            </w:r>
            <w:r>
              <w:rPr>
                <w:spacing w:val="6"/>
              </w:rPr>
              <w:t>，</w:t>
            </w:r>
          </w:p>
          <w:p>
            <w:pPr>
              <w:pStyle w:val="TableText"/>
              <w:ind w:left="380"/>
              <w:spacing w:before="62" w:line="231" w:lineRule="auto"/>
              <w:rPr/>
            </w:pPr>
            <w:r>
              <w:rPr>
                <w:rFonts w:ascii="Times New Roman" w:hAnsi="Times New Roman" w:eastAsia="Times New Roman" w:cs="Times New Roman"/>
                <w:spacing w:val="4"/>
              </w:rPr>
              <w:t>K≤1×10</w:t>
            </w:r>
            <w:r>
              <w:rPr>
                <w:rFonts w:ascii="Times New Roman" w:hAnsi="Times New Roman" w:eastAsia="Times New Roman" w:cs="Times New Roman"/>
                <w:sz w:val="13"/>
                <w:szCs w:val="13"/>
                <w:spacing w:val="4"/>
                <w:position w:val="6"/>
              </w:rPr>
              <w:t>-7</w:t>
            </w:r>
            <w:r>
              <w:rPr>
                <w:rFonts w:ascii="Times New Roman" w:hAnsi="Times New Roman" w:eastAsia="Times New Roman" w:cs="Times New Roman"/>
              </w:rPr>
              <w:t>cm</w:t>
            </w:r>
            <w:r>
              <w:rPr>
                <w:rFonts w:ascii="Times New Roman" w:hAnsi="Times New Roman" w:eastAsia="Times New Roman" w:cs="Times New Roman"/>
                <w:spacing w:val="4"/>
              </w:rPr>
              <w:t>/s</w:t>
            </w:r>
            <w:r>
              <w:rPr>
                <w:rFonts w:ascii="Times New Roman" w:hAnsi="Times New Roman" w:eastAsia="Times New Roman" w:cs="Times New Roman"/>
                <w:spacing w:val="-14"/>
              </w:rPr>
              <w:t xml:space="preserve"> </w:t>
            </w:r>
            <w:r>
              <w:rPr>
                <w:spacing w:val="4"/>
              </w:rPr>
              <w:t>，或参考</w:t>
            </w:r>
          </w:p>
          <w:p>
            <w:pPr>
              <w:pStyle w:val="TableText"/>
              <w:ind w:left="766"/>
              <w:spacing w:before="62" w:line="229" w:lineRule="auto"/>
              <w:rPr/>
            </w:pPr>
            <w:r>
              <w:rPr>
                <w:rFonts w:ascii="Times New Roman" w:hAnsi="Times New Roman" w:eastAsia="Times New Roman" w:cs="Times New Roman"/>
              </w:rPr>
              <w:t>GB</w:t>
            </w:r>
            <w:r>
              <w:rPr>
                <w:rFonts w:ascii="Times New Roman" w:hAnsi="Times New Roman" w:eastAsia="Times New Roman" w:cs="Times New Roman"/>
                <w:spacing w:val="5"/>
              </w:rPr>
              <w:t>18598</w:t>
            </w:r>
            <w:r>
              <w:rPr>
                <w:rFonts w:ascii="Times New Roman" w:hAnsi="Times New Roman" w:eastAsia="Times New Roman" w:cs="Times New Roman"/>
                <w:spacing w:val="15"/>
              </w:rPr>
              <w:t xml:space="preserve"> </w:t>
            </w:r>
            <w:r>
              <w:rPr>
                <w:spacing w:val="5"/>
              </w:rPr>
              <w:t>执行</w:t>
            </w:r>
          </w:p>
        </w:tc>
      </w:tr>
      <w:tr>
        <w:trPr>
          <w:trHeight w:val="314" w:hRule="atLeast"/>
        </w:trPr>
        <w:tc>
          <w:tcPr>
            <w:tcW w:w="1108" w:type="dxa"/>
            <w:vAlign w:val="top"/>
            <w:vMerge w:val="continue"/>
            <w:tcBorders>
              <w:left w:val="nil"/>
              <w:top w:val="nil"/>
              <w:bottom w:val="nil"/>
            </w:tcBorders>
          </w:tcPr>
          <w:p>
            <w:pPr>
              <w:rPr>
                <w:rFonts w:ascii="Arial"/>
                <w:sz w:val="21"/>
              </w:rPr>
            </w:pPr>
            <w:r/>
          </w:p>
        </w:tc>
        <w:tc>
          <w:tcPr>
            <w:tcW w:w="1466" w:type="dxa"/>
            <w:vAlign w:val="top"/>
          </w:tcPr>
          <w:p>
            <w:pPr>
              <w:pStyle w:val="TableText"/>
              <w:ind w:left="456"/>
              <w:spacing w:before="59" w:line="226" w:lineRule="auto"/>
              <w:rPr/>
            </w:pPr>
            <w:r>
              <w:rPr>
                <w:spacing w:val="-4"/>
              </w:rPr>
              <w:t>中一强</w:t>
            </w:r>
          </w:p>
        </w:tc>
        <w:tc>
          <w:tcPr>
            <w:tcW w:w="1195" w:type="dxa"/>
            <w:vAlign w:val="top"/>
          </w:tcPr>
          <w:p>
            <w:pPr>
              <w:pStyle w:val="TableText"/>
              <w:ind w:left="502"/>
              <w:spacing w:before="59" w:line="226" w:lineRule="auto"/>
              <w:rPr/>
            </w:pPr>
            <w:r>
              <w:rPr/>
              <w:t>难</w:t>
            </w:r>
          </w:p>
        </w:tc>
        <w:tc>
          <w:tcPr>
            <w:tcW w:w="1940" w:type="dxa"/>
            <w:vAlign w:val="top"/>
            <w:vMerge w:val="continue"/>
            <w:tcBorders>
              <w:top w:val="nil"/>
              <w:bottom w:val="nil"/>
            </w:tcBorders>
          </w:tcPr>
          <w:p>
            <w:pPr>
              <w:rPr>
                <w:rFonts w:ascii="Arial"/>
                <w:sz w:val="21"/>
              </w:rPr>
            </w:pPr>
            <w:r/>
          </w:p>
        </w:tc>
        <w:tc>
          <w:tcPr>
            <w:tcW w:w="2813" w:type="dxa"/>
            <w:vAlign w:val="top"/>
            <w:vMerge w:val="continue"/>
            <w:tcBorders>
              <w:right w:val="nil"/>
              <w:top w:val="nil"/>
              <w:bottom w:val="nil"/>
            </w:tcBorders>
          </w:tcPr>
          <w:p>
            <w:pPr>
              <w:rPr>
                <w:rFonts w:ascii="Arial"/>
                <w:sz w:val="21"/>
              </w:rPr>
            </w:pPr>
            <w:r/>
          </w:p>
        </w:tc>
      </w:tr>
      <w:tr>
        <w:trPr>
          <w:trHeight w:val="314" w:hRule="atLeast"/>
        </w:trPr>
        <w:tc>
          <w:tcPr>
            <w:tcW w:w="1108" w:type="dxa"/>
            <w:vAlign w:val="top"/>
            <w:vMerge w:val="continue"/>
            <w:tcBorders>
              <w:left w:val="nil"/>
              <w:top w:val="nil"/>
            </w:tcBorders>
          </w:tcPr>
          <w:p>
            <w:pPr>
              <w:rPr>
                <w:rFonts w:ascii="Arial"/>
                <w:sz w:val="21"/>
              </w:rPr>
            </w:pPr>
            <w:r/>
          </w:p>
        </w:tc>
        <w:tc>
          <w:tcPr>
            <w:tcW w:w="1466" w:type="dxa"/>
            <w:vAlign w:val="top"/>
          </w:tcPr>
          <w:p>
            <w:pPr>
              <w:pStyle w:val="TableText"/>
              <w:ind w:left="643"/>
              <w:spacing w:before="61" w:line="224" w:lineRule="auto"/>
              <w:rPr/>
            </w:pPr>
            <w:r>
              <w:rPr/>
              <w:t>弱</w:t>
            </w:r>
          </w:p>
        </w:tc>
        <w:tc>
          <w:tcPr>
            <w:tcW w:w="1195" w:type="dxa"/>
            <w:vAlign w:val="top"/>
          </w:tcPr>
          <w:p>
            <w:pPr>
              <w:pStyle w:val="TableText"/>
              <w:ind w:left="508"/>
              <w:spacing w:before="61" w:line="224" w:lineRule="auto"/>
              <w:rPr/>
            </w:pPr>
            <w:r>
              <w:rPr/>
              <w:t>易</w:t>
            </w:r>
          </w:p>
        </w:tc>
        <w:tc>
          <w:tcPr>
            <w:tcW w:w="1940" w:type="dxa"/>
            <w:vAlign w:val="top"/>
            <w:vMerge w:val="continue"/>
            <w:tcBorders>
              <w:top w:val="nil"/>
            </w:tcBorders>
          </w:tcPr>
          <w:p>
            <w:pPr>
              <w:rPr>
                <w:rFonts w:ascii="Arial"/>
                <w:sz w:val="21"/>
              </w:rPr>
            </w:pPr>
            <w:r/>
          </w:p>
        </w:tc>
        <w:tc>
          <w:tcPr>
            <w:tcW w:w="2813" w:type="dxa"/>
            <w:vAlign w:val="top"/>
            <w:vMerge w:val="continue"/>
            <w:tcBorders>
              <w:right w:val="nil"/>
              <w:top w:val="nil"/>
            </w:tcBorders>
          </w:tcPr>
          <w:p>
            <w:pPr>
              <w:rPr>
                <w:rFonts w:ascii="Arial"/>
                <w:sz w:val="21"/>
              </w:rPr>
            </w:pPr>
            <w:r/>
          </w:p>
        </w:tc>
      </w:tr>
      <w:tr>
        <w:trPr>
          <w:trHeight w:val="315" w:hRule="atLeast"/>
        </w:trPr>
        <w:tc>
          <w:tcPr>
            <w:tcW w:w="1108" w:type="dxa"/>
            <w:vAlign w:val="top"/>
            <w:vMerge w:val="restart"/>
            <w:tcBorders>
              <w:left w:val="nil"/>
              <w:bottom w:val="nil"/>
            </w:tcBorders>
          </w:tcPr>
          <w:p>
            <w:pPr>
              <w:spacing w:line="323" w:lineRule="auto"/>
              <w:rPr>
                <w:rFonts w:ascii="Arial"/>
                <w:sz w:val="21"/>
              </w:rPr>
            </w:pPr>
            <w:r/>
          </w:p>
          <w:p>
            <w:pPr>
              <w:pStyle w:val="TableText"/>
              <w:ind w:left="480" w:right="133" w:hanging="329"/>
              <w:spacing w:before="65" w:line="294" w:lineRule="auto"/>
              <w:rPr/>
            </w:pPr>
            <w:r>
              <w:rPr>
                <w:spacing w:val="5"/>
              </w:rPr>
              <w:t>一般防渗</w:t>
            </w:r>
            <w:r>
              <w:rPr/>
              <w:t>区</w:t>
            </w:r>
          </w:p>
        </w:tc>
        <w:tc>
          <w:tcPr>
            <w:tcW w:w="1466" w:type="dxa"/>
            <w:vAlign w:val="top"/>
          </w:tcPr>
          <w:p>
            <w:pPr>
              <w:pStyle w:val="TableText"/>
              <w:ind w:left="643"/>
              <w:spacing w:before="64" w:line="222" w:lineRule="auto"/>
              <w:rPr/>
            </w:pPr>
            <w:r>
              <w:rPr/>
              <w:t>弱</w:t>
            </w:r>
          </w:p>
        </w:tc>
        <w:tc>
          <w:tcPr>
            <w:tcW w:w="1195" w:type="dxa"/>
            <w:vAlign w:val="top"/>
          </w:tcPr>
          <w:p>
            <w:pPr>
              <w:pStyle w:val="TableText"/>
              <w:ind w:left="299"/>
              <w:spacing w:before="64" w:line="222" w:lineRule="auto"/>
              <w:rPr/>
            </w:pPr>
            <w:r>
              <w:rPr>
                <w:spacing w:val="2"/>
              </w:rPr>
              <w:t>易一难</w:t>
            </w:r>
          </w:p>
        </w:tc>
        <w:tc>
          <w:tcPr>
            <w:tcW w:w="1940" w:type="dxa"/>
            <w:vAlign w:val="top"/>
            <w:vMerge w:val="restart"/>
            <w:tcBorders>
              <w:bottom w:val="nil"/>
            </w:tcBorders>
          </w:tcPr>
          <w:p>
            <w:pPr>
              <w:spacing w:line="479" w:lineRule="auto"/>
              <w:rPr>
                <w:rFonts w:ascii="Arial"/>
                <w:sz w:val="21"/>
              </w:rPr>
            </w:pPr>
            <w:r/>
          </w:p>
          <w:p>
            <w:pPr>
              <w:pStyle w:val="TableText"/>
              <w:ind w:left="563"/>
              <w:spacing w:before="65" w:line="230" w:lineRule="auto"/>
              <w:rPr/>
            </w:pPr>
            <w:r>
              <w:rPr>
                <w:spacing w:val="5"/>
              </w:rPr>
              <w:t>其他类型</w:t>
            </w:r>
          </w:p>
        </w:tc>
        <w:tc>
          <w:tcPr>
            <w:tcW w:w="2813" w:type="dxa"/>
            <w:vAlign w:val="top"/>
            <w:vMerge w:val="restart"/>
            <w:tcBorders>
              <w:right w:val="nil"/>
              <w:bottom w:val="nil"/>
            </w:tcBorders>
          </w:tcPr>
          <w:p>
            <w:pPr>
              <w:pStyle w:val="TableText"/>
              <w:ind w:left="141"/>
              <w:spacing w:before="234" w:line="230" w:lineRule="auto"/>
              <w:rPr/>
            </w:pPr>
            <w:r>
              <w:rPr>
                <w:spacing w:val="6"/>
              </w:rPr>
              <w:t>等效粘土防渗层</w:t>
            </w:r>
            <w:r>
              <w:rPr>
                <w:spacing w:val="-38"/>
              </w:rPr>
              <w:t xml:space="preserve"> </w:t>
            </w:r>
            <w:r>
              <w:rPr>
                <w:rFonts w:ascii="Times New Roman" w:hAnsi="Times New Roman" w:eastAsia="Times New Roman" w:cs="Times New Roman"/>
              </w:rPr>
              <w:t>Mb</w:t>
            </w:r>
            <w:r>
              <w:rPr>
                <w:rFonts w:ascii="Times New Roman" w:hAnsi="Times New Roman" w:eastAsia="Times New Roman" w:cs="Times New Roman"/>
                <w:spacing w:val="6"/>
              </w:rPr>
              <w:t>≥1.5m</w:t>
            </w:r>
            <w:r>
              <w:rPr>
                <w:spacing w:val="6"/>
              </w:rPr>
              <w:t>，</w:t>
            </w:r>
          </w:p>
          <w:p>
            <w:pPr>
              <w:pStyle w:val="TableText"/>
              <w:ind w:left="380"/>
              <w:spacing w:before="62" w:line="231" w:lineRule="auto"/>
              <w:rPr/>
            </w:pPr>
            <w:r>
              <w:rPr>
                <w:rFonts w:ascii="Times New Roman" w:hAnsi="Times New Roman" w:eastAsia="Times New Roman" w:cs="Times New Roman"/>
                <w:spacing w:val="4"/>
              </w:rPr>
              <w:t>K≤1×10</w:t>
            </w:r>
            <w:r>
              <w:rPr>
                <w:rFonts w:ascii="Times New Roman" w:hAnsi="Times New Roman" w:eastAsia="Times New Roman" w:cs="Times New Roman"/>
                <w:sz w:val="13"/>
                <w:szCs w:val="13"/>
                <w:spacing w:val="4"/>
                <w:position w:val="6"/>
              </w:rPr>
              <w:t>-7</w:t>
            </w:r>
            <w:r>
              <w:rPr>
                <w:rFonts w:ascii="Times New Roman" w:hAnsi="Times New Roman" w:eastAsia="Times New Roman" w:cs="Times New Roman"/>
              </w:rPr>
              <w:t>cm</w:t>
            </w:r>
            <w:r>
              <w:rPr>
                <w:rFonts w:ascii="Times New Roman" w:hAnsi="Times New Roman" w:eastAsia="Times New Roman" w:cs="Times New Roman"/>
                <w:spacing w:val="4"/>
              </w:rPr>
              <w:t>/s</w:t>
            </w:r>
            <w:r>
              <w:rPr>
                <w:rFonts w:ascii="Times New Roman" w:hAnsi="Times New Roman" w:eastAsia="Times New Roman" w:cs="Times New Roman"/>
                <w:spacing w:val="-14"/>
              </w:rPr>
              <w:t xml:space="preserve"> </w:t>
            </w:r>
            <w:r>
              <w:rPr>
                <w:spacing w:val="4"/>
              </w:rPr>
              <w:t>，或参考</w:t>
            </w:r>
          </w:p>
          <w:p>
            <w:pPr>
              <w:pStyle w:val="TableText"/>
              <w:ind w:left="766"/>
              <w:spacing w:before="62" w:line="229" w:lineRule="auto"/>
              <w:rPr/>
            </w:pPr>
            <w:r>
              <w:rPr>
                <w:rFonts w:ascii="Times New Roman" w:hAnsi="Times New Roman" w:eastAsia="Times New Roman" w:cs="Times New Roman"/>
              </w:rPr>
              <w:t>GB</w:t>
            </w:r>
            <w:r>
              <w:rPr>
                <w:rFonts w:ascii="Times New Roman" w:hAnsi="Times New Roman" w:eastAsia="Times New Roman" w:cs="Times New Roman"/>
                <w:spacing w:val="5"/>
              </w:rPr>
              <w:t>16689</w:t>
            </w:r>
            <w:r>
              <w:rPr>
                <w:rFonts w:ascii="Times New Roman" w:hAnsi="Times New Roman" w:eastAsia="Times New Roman" w:cs="Times New Roman"/>
                <w:spacing w:val="15"/>
              </w:rPr>
              <w:t xml:space="preserve"> </w:t>
            </w:r>
            <w:r>
              <w:rPr>
                <w:spacing w:val="5"/>
              </w:rPr>
              <w:t>执行</w:t>
            </w:r>
          </w:p>
        </w:tc>
      </w:tr>
      <w:tr>
        <w:trPr>
          <w:trHeight w:val="315" w:hRule="atLeast"/>
        </w:trPr>
        <w:tc>
          <w:tcPr>
            <w:tcW w:w="1108" w:type="dxa"/>
            <w:vAlign w:val="top"/>
            <w:vMerge w:val="continue"/>
            <w:tcBorders>
              <w:left w:val="nil"/>
              <w:top w:val="nil"/>
              <w:bottom w:val="nil"/>
            </w:tcBorders>
          </w:tcPr>
          <w:p>
            <w:pPr>
              <w:rPr>
                <w:rFonts w:ascii="Arial"/>
                <w:sz w:val="21"/>
              </w:rPr>
            </w:pPr>
            <w:r/>
          </w:p>
        </w:tc>
        <w:tc>
          <w:tcPr>
            <w:tcW w:w="1466" w:type="dxa"/>
            <w:vAlign w:val="top"/>
          </w:tcPr>
          <w:p>
            <w:pPr>
              <w:pStyle w:val="TableText"/>
              <w:ind w:left="456"/>
              <w:spacing w:before="65" w:line="221" w:lineRule="auto"/>
              <w:rPr/>
            </w:pPr>
            <w:r>
              <w:rPr>
                <w:spacing w:val="-4"/>
              </w:rPr>
              <w:t>中一强</w:t>
            </w:r>
          </w:p>
        </w:tc>
        <w:tc>
          <w:tcPr>
            <w:tcW w:w="1195" w:type="dxa"/>
            <w:vAlign w:val="top"/>
          </w:tcPr>
          <w:p>
            <w:pPr>
              <w:pStyle w:val="TableText"/>
              <w:ind w:left="502"/>
              <w:spacing w:before="65" w:line="221" w:lineRule="auto"/>
              <w:rPr/>
            </w:pPr>
            <w:r>
              <w:rPr/>
              <w:t>难</w:t>
            </w:r>
          </w:p>
        </w:tc>
        <w:tc>
          <w:tcPr>
            <w:tcW w:w="1940" w:type="dxa"/>
            <w:vAlign w:val="top"/>
            <w:vMerge w:val="continue"/>
            <w:tcBorders>
              <w:top w:val="nil"/>
              <w:bottom w:val="nil"/>
            </w:tcBorders>
          </w:tcPr>
          <w:p>
            <w:pPr>
              <w:rPr>
                <w:rFonts w:ascii="Arial"/>
                <w:sz w:val="21"/>
              </w:rPr>
            </w:pPr>
            <w:r/>
          </w:p>
        </w:tc>
        <w:tc>
          <w:tcPr>
            <w:tcW w:w="2813" w:type="dxa"/>
            <w:vAlign w:val="top"/>
            <w:vMerge w:val="continue"/>
            <w:tcBorders>
              <w:right w:val="nil"/>
              <w:top w:val="nil"/>
              <w:bottom w:val="nil"/>
            </w:tcBorders>
          </w:tcPr>
          <w:p>
            <w:pPr>
              <w:rPr>
                <w:rFonts w:ascii="Arial"/>
                <w:sz w:val="21"/>
              </w:rPr>
            </w:pPr>
            <w:r/>
          </w:p>
        </w:tc>
      </w:tr>
      <w:tr>
        <w:trPr>
          <w:trHeight w:val="315" w:hRule="atLeast"/>
        </w:trPr>
        <w:tc>
          <w:tcPr>
            <w:tcW w:w="1108" w:type="dxa"/>
            <w:vAlign w:val="top"/>
            <w:vMerge w:val="continue"/>
            <w:tcBorders>
              <w:left w:val="nil"/>
              <w:top w:val="nil"/>
              <w:bottom w:val="nil"/>
            </w:tcBorders>
          </w:tcPr>
          <w:p>
            <w:pPr>
              <w:rPr>
                <w:rFonts w:ascii="Arial"/>
                <w:sz w:val="21"/>
              </w:rPr>
            </w:pPr>
            <w:r/>
          </w:p>
        </w:tc>
        <w:tc>
          <w:tcPr>
            <w:tcW w:w="1466" w:type="dxa"/>
            <w:vAlign w:val="top"/>
          </w:tcPr>
          <w:p>
            <w:pPr>
              <w:pStyle w:val="TableText"/>
              <w:ind w:left="665"/>
              <w:spacing w:before="67" w:line="219" w:lineRule="auto"/>
              <w:rPr/>
            </w:pPr>
            <w:r>
              <w:rPr/>
              <w:t>中</w:t>
            </w:r>
          </w:p>
        </w:tc>
        <w:tc>
          <w:tcPr>
            <w:tcW w:w="1195" w:type="dxa"/>
            <w:vAlign w:val="top"/>
          </w:tcPr>
          <w:p>
            <w:pPr>
              <w:pStyle w:val="TableText"/>
              <w:ind w:left="508"/>
              <w:spacing w:before="67" w:line="219" w:lineRule="auto"/>
              <w:rPr/>
            </w:pPr>
            <w:r>
              <w:rPr/>
              <w:t>易</w:t>
            </w:r>
          </w:p>
        </w:tc>
        <w:tc>
          <w:tcPr>
            <w:tcW w:w="1940" w:type="dxa"/>
            <w:vAlign w:val="top"/>
            <w:vMerge w:val="continue"/>
            <w:tcBorders>
              <w:top w:val="nil"/>
              <w:bottom w:val="nil"/>
            </w:tcBorders>
          </w:tcPr>
          <w:p>
            <w:pPr>
              <w:rPr>
                <w:rFonts w:ascii="Arial"/>
                <w:sz w:val="21"/>
              </w:rPr>
            </w:pPr>
            <w:r/>
          </w:p>
        </w:tc>
        <w:tc>
          <w:tcPr>
            <w:tcW w:w="2813" w:type="dxa"/>
            <w:vAlign w:val="top"/>
            <w:vMerge w:val="continue"/>
            <w:tcBorders>
              <w:right w:val="nil"/>
              <w:top w:val="nil"/>
              <w:bottom w:val="nil"/>
            </w:tcBorders>
          </w:tcPr>
          <w:p>
            <w:pPr>
              <w:rPr>
                <w:rFonts w:ascii="Arial"/>
                <w:sz w:val="21"/>
              </w:rPr>
            </w:pPr>
            <w:r/>
          </w:p>
        </w:tc>
      </w:tr>
      <w:tr>
        <w:trPr>
          <w:trHeight w:val="315" w:hRule="atLeast"/>
        </w:trPr>
        <w:tc>
          <w:tcPr>
            <w:tcW w:w="1108" w:type="dxa"/>
            <w:vAlign w:val="top"/>
            <w:vMerge w:val="continue"/>
            <w:tcBorders>
              <w:left w:val="nil"/>
              <w:top w:val="nil"/>
            </w:tcBorders>
          </w:tcPr>
          <w:p>
            <w:pPr>
              <w:rPr>
                <w:rFonts w:ascii="Arial"/>
                <w:sz w:val="21"/>
              </w:rPr>
            </w:pPr>
            <w:r/>
          </w:p>
        </w:tc>
        <w:tc>
          <w:tcPr>
            <w:tcW w:w="1466" w:type="dxa"/>
            <w:vAlign w:val="top"/>
          </w:tcPr>
          <w:p>
            <w:pPr>
              <w:pStyle w:val="TableText"/>
              <w:ind w:left="645"/>
              <w:spacing w:before="68" w:line="218" w:lineRule="auto"/>
              <w:rPr/>
            </w:pPr>
            <w:r>
              <w:rPr/>
              <w:t>强</w:t>
            </w:r>
          </w:p>
        </w:tc>
        <w:tc>
          <w:tcPr>
            <w:tcW w:w="1195" w:type="dxa"/>
            <w:vAlign w:val="top"/>
          </w:tcPr>
          <w:p>
            <w:pPr>
              <w:pStyle w:val="TableText"/>
              <w:ind w:left="508"/>
              <w:spacing w:before="68" w:line="218" w:lineRule="auto"/>
              <w:rPr/>
            </w:pPr>
            <w:r>
              <w:rPr/>
              <w:t>易</w:t>
            </w:r>
          </w:p>
        </w:tc>
        <w:tc>
          <w:tcPr>
            <w:tcW w:w="1940" w:type="dxa"/>
            <w:vAlign w:val="top"/>
            <w:vMerge w:val="continue"/>
            <w:tcBorders>
              <w:top w:val="nil"/>
            </w:tcBorders>
          </w:tcPr>
          <w:p>
            <w:pPr>
              <w:rPr>
                <w:rFonts w:ascii="Arial"/>
                <w:sz w:val="21"/>
              </w:rPr>
            </w:pPr>
            <w:r/>
          </w:p>
        </w:tc>
        <w:tc>
          <w:tcPr>
            <w:tcW w:w="2813" w:type="dxa"/>
            <w:vAlign w:val="top"/>
            <w:vMerge w:val="continue"/>
            <w:tcBorders>
              <w:right w:val="nil"/>
              <w:top w:val="nil"/>
            </w:tcBorders>
          </w:tcPr>
          <w:p>
            <w:pPr>
              <w:rPr>
                <w:rFonts w:ascii="Arial"/>
                <w:sz w:val="21"/>
              </w:rPr>
            </w:pPr>
            <w:r/>
          </w:p>
        </w:tc>
      </w:tr>
      <w:tr>
        <w:trPr>
          <w:trHeight w:val="648" w:hRule="atLeast"/>
        </w:trPr>
        <w:tc>
          <w:tcPr>
            <w:tcW w:w="1108" w:type="dxa"/>
            <w:vAlign w:val="top"/>
            <w:tcBorders>
              <w:bottom w:val="single" w:color="000000" w:sz="10" w:space="0"/>
              <w:left w:val="nil"/>
            </w:tcBorders>
          </w:tcPr>
          <w:p>
            <w:pPr>
              <w:pStyle w:val="TableText"/>
              <w:ind w:left="479" w:right="133" w:hanging="320"/>
              <w:spacing w:before="72" w:line="261" w:lineRule="auto"/>
              <w:rPr/>
            </w:pPr>
            <w:r>
              <w:rPr>
                <w:spacing w:val="3"/>
              </w:rPr>
              <w:t>简单防渗</w:t>
            </w:r>
            <w:r>
              <w:rPr/>
              <w:t>区</w:t>
            </w:r>
          </w:p>
        </w:tc>
        <w:tc>
          <w:tcPr>
            <w:tcW w:w="1466" w:type="dxa"/>
            <w:vAlign w:val="top"/>
            <w:tcBorders>
              <w:bottom w:val="single" w:color="000000" w:sz="10" w:space="0"/>
            </w:tcBorders>
          </w:tcPr>
          <w:p>
            <w:pPr>
              <w:pStyle w:val="TableText"/>
              <w:ind w:left="456"/>
              <w:spacing w:before="229" w:line="231" w:lineRule="auto"/>
              <w:rPr/>
            </w:pPr>
            <w:r>
              <w:rPr>
                <w:spacing w:val="-4"/>
              </w:rPr>
              <w:t>中一强</w:t>
            </w:r>
          </w:p>
        </w:tc>
        <w:tc>
          <w:tcPr>
            <w:tcW w:w="1195" w:type="dxa"/>
            <w:vAlign w:val="top"/>
            <w:tcBorders>
              <w:bottom w:val="single" w:color="000000" w:sz="10" w:space="0"/>
            </w:tcBorders>
          </w:tcPr>
          <w:p>
            <w:pPr>
              <w:pStyle w:val="TableText"/>
              <w:ind w:left="508"/>
              <w:spacing w:before="228" w:line="232" w:lineRule="auto"/>
              <w:rPr/>
            </w:pPr>
            <w:r>
              <w:rPr/>
              <w:t>易</w:t>
            </w:r>
          </w:p>
        </w:tc>
        <w:tc>
          <w:tcPr>
            <w:tcW w:w="1940" w:type="dxa"/>
            <w:vAlign w:val="top"/>
            <w:tcBorders>
              <w:bottom w:val="single" w:color="000000" w:sz="10" w:space="0"/>
            </w:tcBorders>
          </w:tcPr>
          <w:p>
            <w:pPr>
              <w:pStyle w:val="TableText"/>
              <w:ind w:left="563"/>
              <w:spacing w:before="229" w:line="230" w:lineRule="auto"/>
              <w:rPr/>
            </w:pPr>
            <w:r>
              <w:rPr>
                <w:spacing w:val="5"/>
              </w:rPr>
              <w:t>其他类型</w:t>
            </w:r>
          </w:p>
        </w:tc>
        <w:tc>
          <w:tcPr>
            <w:tcW w:w="2813" w:type="dxa"/>
            <w:vAlign w:val="top"/>
            <w:tcBorders>
              <w:bottom w:val="single" w:color="000000" w:sz="10" w:space="0"/>
              <w:right w:val="nil"/>
            </w:tcBorders>
          </w:tcPr>
          <w:p>
            <w:pPr>
              <w:pStyle w:val="TableText"/>
              <w:ind w:left="790"/>
              <w:spacing w:before="229" w:line="231" w:lineRule="auto"/>
              <w:rPr/>
            </w:pPr>
            <w:r>
              <w:rPr>
                <w:spacing w:val="6"/>
              </w:rPr>
              <w:t>一般地面硬化</w:t>
            </w:r>
          </w:p>
        </w:tc>
      </w:tr>
    </w:tbl>
    <w:p>
      <w:pPr>
        <w:pStyle w:val="BodyText"/>
        <w:spacing w:line="251" w:lineRule="auto"/>
        <w:rPr/>
      </w:pPr>
      <w:r/>
    </w:p>
    <w:p>
      <w:pPr>
        <w:pStyle w:val="BodyText"/>
        <w:spacing w:line="252" w:lineRule="auto"/>
        <w:rPr/>
      </w:pPr>
      <w:r/>
    </w:p>
    <w:p>
      <w:pPr>
        <w:ind w:left="124" w:right="24" w:firstLine="480"/>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根据项目区可能泄漏至地面区域污染物的性质</w:t>
      </w:r>
      <w:r>
        <w:rPr>
          <w:rFonts w:ascii="FangSong" w:hAnsi="FangSong" w:eastAsia="FangSong" w:cs="FangSong"/>
          <w:sz w:val="24"/>
          <w:szCs w:val="24"/>
          <w:spacing w:val="-4"/>
        </w:rPr>
        <w:t>和生产单元的构筑方式，以及</w:t>
      </w:r>
      <w:r>
        <w:rPr>
          <w:rFonts w:ascii="FangSong" w:hAnsi="FangSong" w:eastAsia="FangSong" w:cs="FangSong"/>
          <w:sz w:val="24"/>
          <w:szCs w:val="24"/>
          <w:spacing w:val="-3"/>
        </w:rPr>
        <w:t>潜在的地下水污染源分类分析，将项目区划分为重点防渗区、简</w:t>
      </w:r>
      <w:r>
        <w:rPr>
          <w:rFonts w:ascii="FangSong" w:hAnsi="FangSong" w:eastAsia="FangSong" w:cs="FangSong"/>
          <w:sz w:val="24"/>
          <w:szCs w:val="24"/>
          <w:spacing w:val="-4"/>
        </w:rPr>
        <w:t>单防渗区和一般</w:t>
      </w:r>
      <w:r>
        <w:rPr>
          <w:rFonts w:ascii="FangSong" w:hAnsi="FangSong" w:eastAsia="FangSong" w:cs="FangSong"/>
          <w:sz w:val="24"/>
          <w:szCs w:val="24"/>
          <w:spacing w:val="1"/>
        </w:rPr>
        <w:t>防渗区。按照《危险废物贮存污染控制标准》（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18597-2023</w:t>
      </w:r>
      <w:r>
        <w:rPr>
          <w:rFonts w:ascii="FangSong" w:hAnsi="FangSong" w:eastAsia="FangSong" w:cs="FangSong"/>
          <w:sz w:val="24"/>
          <w:szCs w:val="24"/>
          <w:spacing w:val="1"/>
        </w:rPr>
        <w:t>）</w:t>
      </w:r>
      <w:r>
        <w:rPr>
          <w:rFonts w:ascii="FangSong" w:hAnsi="FangSong" w:eastAsia="FangSong" w:cs="FangSong"/>
          <w:sz w:val="24"/>
          <w:szCs w:val="24"/>
          <w:spacing w:val="-50"/>
        </w:rPr>
        <w:t xml:space="preserve"> </w:t>
      </w:r>
      <w:r>
        <w:rPr>
          <w:rFonts w:ascii="FangSong" w:hAnsi="FangSong" w:eastAsia="FangSong" w:cs="FangSong"/>
          <w:sz w:val="24"/>
          <w:szCs w:val="24"/>
          <w:spacing w:val="1"/>
        </w:rPr>
        <w:t>中相关要求，</w:t>
      </w:r>
      <w:r>
        <w:rPr>
          <w:rFonts w:ascii="FangSong" w:hAnsi="FangSong" w:eastAsia="FangSong" w:cs="FangSong"/>
          <w:sz w:val="24"/>
          <w:szCs w:val="24"/>
          <w:spacing w:val="-3"/>
        </w:rPr>
        <w:t>对危险废物暂存点内地面及裙角等处进行防渗处理；按照《一般</w:t>
      </w:r>
      <w:r>
        <w:rPr>
          <w:rFonts w:ascii="FangSong" w:hAnsi="FangSong" w:eastAsia="FangSong" w:cs="FangSong"/>
          <w:sz w:val="24"/>
          <w:szCs w:val="24"/>
          <w:spacing w:val="-4"/>
        </w:rPr>
        <w:t>工业固体废物贮</w:t>
      </w:r>
      <w:r>
        <w:rPr>
          <w:rFonts w:ascii="FangSong" w:hAnsi="FangSong" w:eastAsia="FangSong" w:cs="FangSong"/>
          <w:sz w:val="24"/>
          <w:szCs w:val="24"/>
          <w:spacing w:val="1"/>
        </w:rPr>
        <w:t>存和填埋污染控制标准》（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18599-202</w:t>
      </w:r>
      <w:r>
        <w:rPr>
          <w:rFonts w:ascii="Times New Roman" w:hAnsi="Times New Roman" w:eastAsia="Times New Roman" w:cs="Times New Roman"/>
          <w:sz w:val="24"/>
          <w:szCs w:val="24"/>
        </w:rPr>
        <w:t>0</w:t>
      </w:r>
      <w:r>
        <w:rPr>
          <w:rFonts w:ascii="FangSong" w:hAnsi="FangSong" w:eastAsia="FangSong" w:cs="FangSong"/>
          <w:sz w:val="24"/>
          <w:szCs w:val="24"/>
        </w:rPr>
        <w:t>）</w:t>
      </w:r>
      <w:r>
        <w:rPr>
          <w:rFonts w:ascii="FangSong" w:hAnsi="FangSong" w:eastAsia="FangSong" w:cs="FangSong"/>
          <w:sz w:val="24"/>
          <w:szCs w:val="24"/>
          <w:spacing w:val="-66"/>
        </w:rPr>
        <w:t xml:space="preserve"> </w:t>
      </w:r>
      <w:r>
        <w:rPr>
          <w:rFonts w:ascii="FangSong" w:hAnsi="FangSong" w:eastAsia="FangSong" w:cs="FangSong"/>
          <w:sz w:val="24"/>
          <w:szCs w:val="24"/>
        </w:rPr>
        <w:t>中相关要求，对原矿堆场、尾矿临</w:t>
      </w:r>
      <w:r>
        <w:rPr>
          <w:rFonts w:ascii="FangSong" w:hAnsi="FangSong" w:eastAsia="FangSong" w:cs="FangSong"/>
          <w:sz w:val="24"/>
          <w:szCs w:val="24"/>
          <w:spacing w:val="-7"/>
        </w:rPr>
        <w:t>时堆场、成品库、蓄水池、回水池进行防渗</w:t>
      </w:r>
      <w:r>
        <w:rPr>
          <w:rFonts w:ascii="FangSong" w:hAnsi="FangSong" w:eastAsia="FangSong" w:cs="FangSong"/>
          <w:sz w:val="24"/>
          <w:szCs w:val="24"/>
          <w:spacing w:val="-8"/>
        </w:rPr>
        <w:t>处理。防渗工程需做专项设计和施工。</w:t>
      </w:r>
      <w:r>
        <w:rPr>
          <w:rFonts w:ascii="FangSong" w:hAnsi="FangSong" w:eastAsia="FangSong" w:cs="FangSong"/>
          <w:sz w:val="24"/>
          <w:szCs w:val="24"/>
          <w:spacing w:val="-1"/>
        </w:rPr>
        <w:t>根据以上分区情况对防渗分区情况进行统计，见表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7.2-5</w:t>
      </w:r>
      <w:r>
        <w:rPr>
          <w:rFonts w:ascii="FangSong" w:hAnsi="FangSong" w:eastAsia="FangSong" w:cs="FangSong"/>
          <w:sz w:val="24"/>
          <w:szCs w:val="24"/>
          <w:spacing w:val="-1"/>
        </w:rPr>
        <w:t>。</w:t>
      </w:r>
    </w:p>
    <w:p>
      <w:pPr>
        <w:ind w:left="2009"/>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7.2-5  </w:t>
      </w:r>
      <w:r>
        <w:rPr>
          <w:rFonts w:ascii="FangSong" w:hAnsi="FangSong" w:eastAsia="FangSong" w:cs="FangSong"/>
          <w:sz w:val="24"/>
          <w:szCs w:val="24"/>
          <w:b/>
          <w:bCs/>
          <w:spacing w:val="-3"/>
        </w:rPr>
        <w:t>项目区地下水污染防治分区一览表</w:t>
      </w:r>
    </w:p>
    <w:p>
      <w:pPr>
        <w:spacing w:line="64"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3"/>
        <w:gridCol w:w="1802"/>
        <w:gridCol w:w="1333"/>
        <w:gridCol w:w="1239"/>
        <w:gridCol w:w="1166"/>
        <w:gridCol w:w="1062"/>
        <w:gridCol w:w="1254"/>
      </w:tblGrid>
      <w:tr>
        <w:trPr>
          <w:trHeight w:val="629" w:hRule="atLeast"/>
        </w:trPr>
        <w:tc>
          <w:tcPr>
            <w:tcW w:w="663" w:type="dxa"/>
            <w:vAlign w:val="top"/>
            <w:tcBorders>
              <w:top w:val="single" w:color="000000" w:sz="10" w:space="0"/>
              <w:left w:val="nil"/>
            </w:tcBorders>
          </w:tcPr>
          <w:p>
            <w:pPr>
              <w:pStyle w:val="TableText"/>
              <w:ind w:left="146"/>
              <w:spacing w:before="216" w:line="233" w:lineRule="auto"/>
              <w:rPr>
                <w:sz w:val="19"/>
                <w:szCs w:val="19"/>
              </w:rPr>
            </w:pPr>
            <w:r>
              <w:rPr>
                <w:sz w:val="19"/>
                <w:szCs w:val="19"/>
                <w:spacing w:val="1"/>
              </w:rPr>
              <w:t>编号</w:t>
            </w:r>
          </w:p>
        </w:tc>
        <w:tc>
          <w:tcPr>
            <w:tcW w:w="1802" w:type="dxa"/>
            <w:vAlign w:val="top"/>
            <w:tcBorders>
              <w:top w:val="single" w:color="000000" w:sz="10" w:space="0"/>
            </w:tcBorders>
          </w:tcPr>
          <w:p>
            <w:pPr>
              <w:pStyle w:val="TableText"/>
              <w:ind w:left="515"/>
              <w:spacing w:before="216" w:line="230" w:lineRule="auto"/>
              <w:rPr>
                <w:sz w:val="19"/>
                <w:szCs w:val="19"/>
              </w:rPr>
            </w:pPr>
            <w:r>
              <w:rPr>
                <w:sz w:val="19"/>
                <w:szCs w:val="19"/>
                <w:spacing w:val="5"/>
              </w:rPr>
              <w:t>单元名称</w:t>
            </w:r>
          </w:p>
        </w:tc>
        <w:tc>
          <w:tcPr>
            <w:tcW w:w="1333" w:type="dxa"/>
            <w:vAlign w:val="top"/>
            <w:tcBorders>
              <w:top w:val="single" w:color="000000" w:sz="10" w:space="0"/>
            </w:tcBorders>
          </w:tcPr>
          <w:p>
            <w:pPr>
              <w:pStyle w:val="TableText"/>
              <w:ind w:left="289" w:right="166" w:hanging="113"/>
              <w:spacing w:before="61" w:line="271" w:lineRule="auto"/>
              <w:rPr>
                <w:sz w:val="19"/>
                <w:szCs w:val="19"/>
              </w:rPr>
            </w:pPr>
            <w:r>
              <w:rPr>
                <w:sz w:val="19"/>
                <w:szCs w:val="19"/>
                <w:spacing w:val="6"/>
              </w:rPr>
              <w:t>天然包气带</w:t>
            </w:r>
            <w:r>
              <w:rPr>
                <w:sz w:val="19"/>
                <w:szCs w:val="19"/>
                <w:spacing w:val="3"/>
              </w:rPr>
              <w:t>防污性能</w:t>
            </w:r>
          </w:p>
        </w:tc>
        <w:tc>
          <w:tcPr>
            <w:tcW w:w="1239" w:type="dxa"/>
            <w:vAlign w:val="top"/>
            <w:tcBorders>
              <w:top w:val="single" w:color="000000" w:sz="10" w:space="0"/>
            </w:tcBorders>
          </w:tcPr>
          <w:p>
            <w:pPr>
              <w:pStyle w:val="TableText"/>
              <w:ind w:left="334" w:right="119" w:hanging="201"/>
              <w:spacing w:before="61" w:line="271" w:lineRule="auto"/>
              <w:rPr>
                <w:sz w:val="19"/>
                <w:szCs w:val="19"/>
              </w:rPr>
            </w:pPr>
            <w:r>
              <w:rPr>
                <w:sz w:val="19"/>
                <w:szCs w:val="19"/>
                <w:spacing w:val="6"/>
              </w:rPr>
              <w:t>污染控制难</w:t>
            </w:r>
            <w:r>
              <w:rPr>
                <w:sz w:val="19"/>
                <w:szCs w:val="19"/>
                <w:spacing w:val="3"/>
              </w:rPr>
              <w:t>易程度</w:t>
            </w:r>
          </w:p>
        </w:tc>
        <w:tc>
          <w:tcPr>
            <w:tcW w:w="1166" w:type="dxa"/>
            <w:vAlign w:val="top"/>
            <w:tcBorders>
              <w:top w:val="single" w:color="000000" w:sz="10" w:space="0"/>
            </w:tcBorders>
          </w:tcPr>
          <w:p>
            <w:pPr>
              <w:pStyle w:val="TableText"/>
              <w:ind w:left="502" w:right="181" w:hanging="305"/>
              <w:spacing w:before="61" w:line="271" w:lineRule="auto"/>
              <w:rPr>
                <w:sz w:val="19"/>
                <w:szCs w:val="19"/>
              </w:rPr>
            </w:pPr>
            <w:r>
              <w:rPr>
                <w:sz w:val="19"/>
                <w:szCs w:val="19"/>
                <w:spacing w:val="5"/>
              </w:rPr>
              <w:t>污染物类</w:t>
            </w:r>
            <w:r>
              <w:rPr>
                <w:sz w:val="19"/>
                <w:szCs w:val="19"/>
              </w:rPr>
              <w:t>型</w:t>
            </w:r>
          </w:p>
        </w:tc>
        <w:tc>
          <w:tcPr>
            <w:tcW w:w="1062" w:type="dxa"/>
            <w:vAlign w:val="top"/>
            <w:tcBorders>
              <w:top w:val="single" w:color="000000" w:sz="10" w:space="0"/>
            </w:tcBorders>
          </w:tcPr>
          <w:p>
            <w:pPr>
              <w:pStyle w:val="TableText"/>
              <w:ind w:left="342" w:right="129" w:hanging="197"/>
              <w:spacing w:before="61" w:line="271" w:lineRule="auto"/>
              <w:rPr>
                <w:sz w:val="19"/>
                <w:szCs w:val="19"/>
              </w:rPr>
            </w:pPr>
            <w:r>
              <w:rPr>
                <w:sz w:val="19"/>
                <w:szCs w:val="19"/>
                <w:spacing w:val="5"/>
              </w:rPr>
              <w:t>污染防治</w:t>
            </w:r>
            <w:r>
              <w:rPr>
                <w:sz w:val="19"/>
                <w:szCs w:val="19"/>
                <w:spacing w:val="1"/>
              </w:rPr>
              <w:t>类别</w:t>
            </w:r>
          </w:p>
        </w:tc>
        <w:tc>
          <w:tcPr>
            <w:tcW w:w="1254" w:type="dxa"/>
            <w:vAlign w:val="top"/>
            <w:tcBorders>
              <w:top w:val="single" w:color="000000" w:sz="10" w:space="0"/>
              <w:right w:val="nil"/>
            </w:tcBorders>
          </w:tcPr>
          <w:p>
            <w:pPr>
              <w:pStyle w:val="TableText"/>
              <w:ind w:left="237" w:right="128" w:hanging="96"/>
              <w:spacing w:before="61" w:line="271" w:lineRule="auto"/>
              <w:rPr>
                <w:sz w:val="19"/>
                <w:szCs w:val="19"/>
              </w:rPr>
            </w:pPr>
            <w:r>
              <w:rPr>
                <w:sz w:val="19"/>
                <w:szCs w:val="19"/>
                <w:spacing w:val="6"/>
              </w:rPr>
              <w:t>污染防治区</w:t>
            </w:r>
            <w:r>
              <w:rPr>
                <w:sz w:val="19"/>
                <w:szCs w:val="19"/>
                <w:spacing w:val="6"/>
              </w:rPr>
              <w:t>域及部位</w:t>
            </w:r>
          </w:p>
        </w:tc>
      </w:tr>
      <w:tr>
        <w:trPr>
          <w:trHeight w:val="924" w:hRule="atLeast"/>
        </w:trPr>
        <w:tc>
          <w:tcPr>
            <w:tcW w:w="663" w:type="dxa"/>
            <w:vAlign w:val="top"/>
            <w:tcBorders>
              <w:left w:val="nil"/>
            </w:tcBorders>
          </w:tcPr>
          <w:p>
            <w:pPr>
              <w:spacing w:line="345" w:lineRule="auto"/>
              <w:rPr>
                <w:rFonts w:ascii="Arial"/>
                <w:sz w:val="21"/>
              </w:rPr>
            </w:pPr>
            <w:r/>
          </w:p>
          <w:p>
            <w:pPr>
              <w:ind w:left="304"/>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802" w:type="dxa"/>
            <w:vAlign w:val="top"/>
          </w:tcPr>
          <w:p>
            <w:pPr>
              <w:pStyle w:val="TableText"/>
              <w:ind w:left="225" w:right="105" w:hanging="103"/>
              <w:spacing w:before="211" w:line="303" w:lineRule="auto"/>
              <w:rPr>
                <w:sz w:val="19"/>
                <w:szCs w:val="19"/>
              </w:rPr>
            </w:pPr>
            <w:r>
              <w:rPr>
                <w:sz w:val="19"/>
                <w:szCs w:val="19"/>
                <w:spacing w:val="6"/>
              </w:rPr>
              <w:t>原矿堆场、尾矿临</w:t>
            </w:r>
            <w:r>
              <w:rPr>
                <w:sz w:val="19"/>
                <w:szCs w:val="19"/>
                <w:spacing w:val="5"/>
              </w:rPr>
              <w:t>时堆场、成品库</w:t>
            </w:r>
          </w:p>
        </w:tc>
        <w:tc>
          <w:tcPr>
            <w:tcW w:w="1333" w:type="dxa"/>
            <w:vAlign w:val="top"/>
          </w:tcPr>
          <w:p>
            <w:pPr>
              <w:spacing w:line="304" w:lineRule="auto"/>
              <w:rPr>
                <w:rFonts w:ascii="Arial"/>
                <w:sz w:val="21"/>
              </w:rPr>
            </w:pPr>
            <w:r/>
          </w:p>
          <w:p>
            <w:pPr>
              <w:pStyle w:val="TableText"/>
              <w:ind w:left="581"/>
              <w:spacing w:before="61" w:line="232" w:lineRule="auto"/>
              <w:rPr>
                <w:sz w:val="19"/>
                <w:szCs w:val="19"/>
              </w:rPr>
            </w:pPr>
            <w:r>
              <w:rPr>
                <w:sz w:val="19"/>
                <w:szCs w:val="19"/>
              </w:rPr>
              <w:t>弱</w:t>
            </w:r>
          </w:p>
        </w:tc>
        <w:tc>
          <w:tcPr>
            <w:tcW w:w="1239" w:type="dxa"/>
            <w:vAlign w:val="top"/>
          </w:tcPr>
          <w:p>
            <w:pPr>
              <w:spacing w:line="304" w:lineRule="auto"/>
              <w:rPr>
                <w:rFonts w:ascii="Arial"/>
                <w:sz w:val="21"/>
              </w:rPr>
            </w:pPr>
            <w:r/>
          </w:p>
          <w:p>
            <w:pPr>
              <w:pStyle w:val="TableText"/>
              <w:ind w:left="536"/>
              <w:spacing w:before="61" w:line="232" w:lineRule="auto"/>
              <w:rPr>
                <w:sz w:val="19"/>
                <w:szCs w:val="19"/>
              </w:rPr>
            </w:pPr>
            <w:r>
              <w:rPr>
                <w:sz w:val="19"/>
                <w:szCs w:val="19"/>
              </w:rPr>
              <w:t>易</w:t>
            </w:r>
          </w:p>
        </w:tc>
        <w:tc>
          <w:tcPr>
            <w:tcW w:w="1166" w:type="dxa"/>
            <w:vAlign w:val="top"/>
          </w:tcPr>
          <w:p>
            <w:pPr>
              <w:spacing w:line="303" w:lineRule="auto"/>
              <w:rPr>
                <w:rFonts w:ascii="Arial"/>
                <w:sz w:val="21"/>
              </w:rPr>
            </w:pPr>
            <w:r/>
          </w:p>
          <w:p>
            <w:pPr>
              <w:pStyle w:val="TableText"/>
              <w:ind w:left="195"/>
              <w:spacing w:before="62" w:line="231" w:lineRule="auto"/>
              <w:rPr>
                <w:sz w:val="19"/>
                <w:szCs w:val="19"/>
              </w:rPr>
            </w:pPr>
            <w:r>
              <w:rPr>
                <w:sz w:val="19"/>
                <w:szCs w:val="19"/>
                <w:spacing w:val="6"/>
              </w:rPr>
              <w:t>其他类型</w:t>
            </w:r>
          </w:p>
        </w:tc>
        <w:tc>
          <w:tcPr>
            <w:tcW w:w="1062" w:type="dxa"/>
            <w:vAlign w:val="top"/>
          </w:tcPr>
          <w:p>
            <w:pPr>
              <w:spacing w:line="304" w:lineRule="auto"/>
              <w:rPr>
                <w:rFonts w:ascii="Arial"/>
                <w:sz w:val="21"/>
              </w:rPr>
            </w:pPr>
            <w:r/>
          </w:p>
          <w:p>
            <w:pPr>
              <w:pStyle w:val="TableText"/>
              <w:ind w:left="144"/>
              <w:spacing w:before="62" w:line="233" w:lineRule="auto"/>
              <w:rPr>
                <w:sz w:val="19"/>
                <w:szCs w:val="19"/>
              </w:rPr>
            </w:pPr>
            <w:r>
              <w:rPr>
                <w:sz w:val="19"/>
                <w:szCs w:val="19"/>
                <w:spacing w:val="5"/>
              </w:rPr>
              <w:t>一般防渗</w:t>
            </w:r>
          </w:p>
        </w:tc>
        <w:tc>
          <w:tcPr>
            <w:tcW w:w="1254" w:type="dxa"/>
            <w:vAlign w:val="top"/>
            <w:tcBorders>
              <w:right w:val="nil"/>
            </w:tcBorders>
          </w:tcPr>
          <w:p>
            <w:pPr>
              <w:spacing w:line="304" w:lineRule="auto"/>
              <w:rPr>
                <w:rFonts w:ascii="Arial"/>
                <w:sz w:val="21"/>
              </w:rPr>
            </w:pPr>
            <w:r/>
          </w:p>
          <w:p>
            <w:pPr>
              <w:pStyle w:val="TableText"/>
              <w:ind w:left="440"/>
              <w:spacing w:before="62" w:line="231" w:lineRule="auto"/>
              <w:rPr>
                <w:sz w:val="19"/>
                <w:szCs w:val="19"/>
              </w:rPr>
            </w:pPr>
            <w:r>
              <w:rPr>
                <w:sz w:val="19"/>
                <w:szCs w:val="19"/>
                <w:spacing w:val="1"/>
              </w:rPr>
              <w:t>底部</w:t>
            </w:r>
          </w:p>
        </w:tc>
      </w:tr>
      <w:tr>
        <w:trPr>
          <w:trHeight w:val="934" w:hRule="atLeast"/>
        </w:trPr>
        <w:tc>
          <w:tcPr>
            <w:tcW w:w="663" w:type="dxa"/>
            <w:vAlign w:val="top"/>
            <w:tcBorders>
              <w:left w:val="nil"/>
            </w:tcBorders>
          </w:tcPr>
          <w:p>
            <w:pPr>
              <w:spacing w:line="359" w:lineRule="auto"/>
              <w:rPr>
                <w:rFonts w:ascii="Arial"/>
                <w:sz w:val="21"/>
              </w:rPr>
            </w:pPr>
            <w:r/>
          </w:p>
          <w:p>
            <w:pPr>
              <w:ind w:left="284"/>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802" w:type="dxa"/>
            <w:vAlign w:val="top"/>
          </w:tcPr>
          <w:p>
            <w:pPr>
              <w:pStyle w:val="TableText"/>
              <w:ind w:left="218"/>
              <w:spacing w:before="69" w:line="231" w:lineRule="auto"/>
              <w:rPr>
                <w:sz w:val="19"/>
                <w:szCs w:val="19"/>
              </w:rPr>
            </w:pPr>
            <w:r>
              <w:rPr>
                <w:sz w:val="19"/>
                <w:szCs w:val="19"/>
                <w:spacing w:val="7"/>
              </w:rPr>
              <w:t>高位水池、蓄水</w:t>
            </w:r>
          </w:p>
          <w:p>
            <w:pPr>
              <w:pStyle w:val="TableText"/>
              <w:ind w:left="122"/>
              <w:spacing w:before="74" w:line="232" w:lineRule="auto"/>
              <w:rPr>
                <w:sz w:val="19"/>
                <w:szCs w:val="19"/>
              </w:rPr>
            </w:pPr>
            <w:r>
              <w:rPr>
                <w:sz w:val="19"/>
                <w:szCs w:val="19"/>
                <w:spacing w:val="5"/>
              </w:rPr>
              <w:t>池、回水池、防渗</w:t>
            </w:r>
          </w:p>
          <w:p>
            <w:pPr>
              <w:pStyle w:val="TableText"/>
              <w:ind w:left="313"/>
              <w:spacing w:before="73" w:line="223" w:lineRule="auto"/>
              <w:rPr>
                <w:sz w:val="19"/>
                <w:szCs w:val="19"/>
              </w:rPr>
            </w:pPr>
            <w:r>
              <w:rPr>
                <w:sz w:val="19"/>
                <w:szCs w:val="19"/>
                <w:spacing w:val="7"/>
              </w:rPr>
              <w:t>储池、隔油池</w:t>
            </w:r>
          </w:p>
        </w:tc>
        <w:tc>
          <w:tcPr>
            <w:tcW w:w="1333" w:type="dxa"/>
            <w:vAlign w:val="top"/>
          </w:tcPr>
          <w:p>
            <w:pPr>
              <w:spacing w:line="318" w:lineRule="auto"/>
              <w:rPr>
                <w:rFonts w:ascii="Arial"/>
                <w:sz w:val="21"/>
              </w:rPr>
            </w:pPr>
            <w:r/>
          </w:p>
          <w:p>
            <w:pPr>
              <w:pStyle w:val="TableText"/>
              <w:ind w:left="581"/>
              <w:spacing w:before="62" w:line="232" w:lineRule="auto"/>
              <w:rPr>
                <w:sz w:val="19"/>
                <w:szCs w:val="19"/>
              </w:rPr>
            </w:pPr>
            <w:r>
              <w:rPr>
                <w:sz w:val="19"/>
                <w:szCs w:val="19"/>
              </w:rPr>
              <w:t>弱</w:t>
            </w:r>
          </w:p>
        </w:tc>
        <w:tc>
          <w:tcPr>
            <w:tcW w:w="1239" w:type="dxa"/>
            <w:vAlign w:val="top"/>
          </w:tcPr>
          <w:p>
            <w:pPr>
              <w:spacing w:line="318" w:lineRule="auto"/>
              <w:rPr>
                <w:rFonts w:ascii="Arial"/>
                <w:sz w:val="21"/>
              </w:rPr>
            </w:pPr>
            <w:r/>
          </w:p>
          <w:p>
            <w:pPr>
              <w:pStyle w:val="TableText"/>
              <w:ind w:left="531"/>
              <w:spacing w:before="62" w:line="231" w:lineRule="auto"/>
              <w:rPr>
                <w:sz w:val="19"/>
                <w:szCs w:val="19"/>
              </w:rPr>
            </w:pPr>
            <w:r>
              <w:rPr>
                <w:sz w:val="19"/>
                <w:szCs w:val="19"/>
              </w:rPr>
              <w:t>难</w:t>
            </w:r>
          </w:p>
        </w:tc>
        <w:tc>
          <w:tcPr>
            <w:tcW w:w="1166" w:type="dxa"/>
            <w:vAlign w:val="top"/>
          </w:tcPr>
          <w:p>
            <w:pPr>
              <w:spacing w:line="317" w:lineRule="auto"/>
              <w:rPr>
                <w:rFonts w:ascii="Arial"/>
                <w:sz w:val="21"/>
              </w:rPr>
            </w:pPr>
            <w:r/>
          </w:p>
          <w:p>
            <w:pPr>
              <w:pStyle w:val="TableText"/>
              <w:ind w:left="195"/>
              <w:spacing w:before="62" w:line="231" w:lineRule="auto"/>
              <w:rPr>
                <w:sz w:val="19"/>
                <w:szCs w:val="19"/>
              </w:rPr>
            </w:pPr>
            <w:r>
              <w:rPr>
                <w:sz w:val="19"/>
                <w:szCs w:val="19"/>
                <w:spacing w:val="6"/>
              </w:rPr>
              <w:t>其他类型</w:t>
            </w:r>
          </w:p>
        </w:tc>
        <w:tc>
          <w:tcPr>
            <w:tcW w:w="1062" w:type="dxa"/>
            <w:vAlign w:val="top"/>
          </w:tcPr>
          <w:p>
            <w:pPr>
              <w:spacing w:line="318" w:lineRule="auto"/>
              <w:rPr>
                <w:rFonts w:ascii="Arial"/>
                <w:sz w:val="21"/>
              </w:rPr>
            </w:pPr>
            <w:r/>
          </w:p>
          <w:p>
            <w:pPr>
              <w:pStyle w:val="TableText"/>
              <w:ind w:left="147"/>
              <w:spacing w:before="61" w:line="233" w:lineRule="auto"/>
              <w:rPr>
                <w:sz w:val="19"/>
                <w:szCs w:val="19"/>
              </w:rPr>
            </w:pPr>
            <w:r>
              <w:rPr>
                <w:sz w:val="19"/>
                <w:szCs w:val="19"/>
                <w:spacing w:val="4"/>
              </w:rPr>
              <w:t>重点防渗</w:t>
            </w:r>
          </w:p>
        </w:tc>
        <w:tc>
          <w:tcPr>
            <w:tcW w:w="1254" w:type="dxa"/>
            <w:vAlign w:val="top"/>
            <w:tcBorders>
              <w:right w:val="nil"/>
            </w:tcBorders>
          </w:tcPr>
          <w:p>
            <w:pPr>
              <w:spacing w:line="318" w:lineRule="auto"/>
              <w:rPr>
                <w:rFonts w:ascii="Arial"/>
                <w:sz w:val="21"/>
              </w:rPr>
            </w:pPr>
            <w:r/>
          </w:p>
          <w:p>
            <w:pPr>
              <w:pStyle w:val="TableText"/>
              <w:ind w:left="141"/>
              <w:spacing w:before="62" w:line="234" w:lineRule="auto"/>
              <w:rPr>
                <w:sz w:val="19"/>
                <w:szCs w:val="19"/>
              </w:rPr>
            </w:pPr>
            <w:r>
              <w:rPr>
                <w:sz w:val="19"/>
                <w:szCs w:val="19"/>
                <w:spacing w:val="6"/>
              </w:rPr>
              <w:t>池底及四壁</w:t>
            </w:r>
          </w:p>
        </w:tc>
      </w:tr>
      <w:tr>
        <w:trPr>
          <w:trHeight w:val="315" w:hRule="atLeast"/>
        </w:trPr>
        <w:tc>
          <w:tcPr>
            <w:tcW w:w="663" w:type="dxa"/>
            <w:vAlign w:val="top"/>
            <w:tcBorders>
              <w:left w:val="nil"/>
            </w:tcBorders>
          </w:tcPr>
          <w:p>
            <w:pPr>
              <w:ind w:left="288"/>
              <w:spacing w:before="111"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802" w:type="dxa"/>
            <w:vAlign w:val="top"/>
          </w:tcPr>
          <w:p>
            <w:pPr>
              <w:pStyle w:val="TableText"/>
              <w:ind w:left="612"/>
              <w:spacing w:before="76" w:line="222" w:lineRule="auto"/>
              <w:rPr>
                <w:sz w:val="19"/>
                <w:szCs w:val="19"/>
              </w:rPr>
            </w:pPr>
            <w:r>
              <w:rPr>
                <w:sz w:val="19"/>
                <w:szCs w:val="19"/>
                <w:spacing w:val="5"/>
              </w:rPr>
              <w:t>机修间</w:t>
            </w:r>
          </w:p>
        </w:tc>
        <w:tc>
          <w:tcPr>
            <w:tcW w:w="1333" w:type="dxa"/>
            <w:vAlign w:val="top"/>
          </w:tcPr>
          <w:p>
            <w:pPr>
              <w:pStyle w:val="TableText"/>
              <w:ind w:left="581"/>
              <w:spacing w:before="76" w:line="222" w:lineRule="auto"/>
              <w:rPr>
                <w:sz w:val="19"/>
                <w:szCs w:val="19"/>
              </w:rPr>
            </w:pPr>
            <w:r>
              <w:rPr>
                <w:sz w:val="19"/>
                <w:szCs w:val="19"/>
              </w:rPr>
              <w:t>弱</w:t>
            </w:r>
          </w:p>
        </w:tc>
        <w:tc>
          <w:tcPr>
            <w:tcW w:w="1239" w:type="dxa"/>
            <w:vAlign w:val="top"/>
          </w:tcPr>
          <w:p>
            <w:pPr>
              <w:pStyle w:val="TableText"/>
              <w:ind w:left="536"/>
              <w:spacing w:before="76" w:line="222" w:lineRule="auto"/>
              <w:rPr>
                <w:sz w:val="19"/>
                <w:szCs w:val="19"/>
              </w:rPr>
            </w:pPr>
            <w:r>
              <w:rPr>
                <w:sz w:val="19"/>
                <w:szCs w:val="19"/>
              </w:rPr>
              <w:t>易</w:t>
            </w:r>
          </w:p>
        </w:tc>
        <w:tc>
          <w:tcPr>
            <w:tcW w:w="1166" w:type="dxa"/>
            <w:vAlign w:val="top"/>
          </w:tcPr>
          <w:p>
            <w:pPr>
              <w:pStyle w:val="TableText"/>
              <w:ind w:left="195"/>
              <w:spacing w:before="76" w:line="222" w:lineRule="auto"/>
              <w:rPr>
                <w:sz w:val="19"/>
                <w:szCs w:val="19"/>
              </w:rPr>
            </w:pPr>
            <w:r>
              <w:rPr>
                <w:sz w:val="19"/>
                <w:szCs w:val="19"/>
                <w:spacing w:val="6"/>
              </w:rPr>
              <w:t>其他类型</w:t>
            </w:r>
          </w:p>
        </w:tc>
        <w:tc>
          <w:tcPr>
            <w:tcW w:w="1062" w:type="dxa"/>
            <w:vAlign w:val="top"/>
          </w:tcPr>
          <w:p>
            <w:pPr>
              <w:pStyle w:val="TableText"/>
              <w:ind w:left="147"/>
              <w:spacing w:before="76" w:line="222" w:lineRule="auto"/>
              <w:rPr>
                <w:sz w:val="19"/>
                <w:szCs w:val="19"/>
              </w:rPr>
            </w:pPr>
            <w:r>
              <w:rPr>
                <w:sz w:val="19"/>
                <w:szCs w:val="19"/>
                <w:spacing w:val="4"/>
              </w:rPr>
              <w:t>重点防渗</w:t>
            </w:r>
          </w:p>
        </w:tc>
        <w:tc>
          <w:tcPr>
            <w:tcW w:w="1254" w:type="dxa"/>
            <w:vAlign w:val="top"/>
            <w:tcBorders>
              <w:right w:val="nil"/>
            </w:tcBorders>
          </w:tcPr>
          <w:p>
            <w:pPr>
              <w:pStyle w:val="TableText"/>
              <w:ind w:left="138"/>
              <w:spacing w:before="76" w:line="222" w:lineRule="auto"/>
              <w:rPr>
                <w:sz w:val="19"/>
                <w:szCs w:val="19"/>
              </w:rPr>
            </w:pPr>
            <w:r>
              <w:rPr>
                <w:sz w:val="19"/>
                <w:szCs w:val="19"/>
                <w:spacing w:val="6"/>
              </w:rPr>
              <w:t>集中维修区</w:t>
            </w:r>
          </w:p>
        </w:tc>
      </w:tr>
      <w:tr>
        <w:trPr>
          <w:trHeight w:val="315" w:hRule="atLeast"/>
        </w:trPr>
        <w:tc>
          <w:tcPr>
            <w:tcW w:w="663" w:type="dxa"/>
            <w:vAlign w:val="top"/>
            <w:tcBorders>
              <w:left w:val="nil"/>
            </w:tcBorders>
          </w:tcPr>
          <w:p>
            <w:pPr>
              <w:ind w:left="283"/>
              <w:spacing w:before="112"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4</w:t>
            </w:r>
          </w:p>
        </w:tc>
        <w:tc>
          <w:tcPr>
            <w:tcW w:w="1802" w:type="dxa"/>
            <w:vAlign w:val="top"/>
          </w:tcPr>
          <w:p>
            <w:pPr>
              <w:pStyle w:val="TableText"/>
              <w:ind w:left="216"/>
              <w:spacing w:before="78" w:line="220" w:lineRule="auto"/>
              <w:rPr>
                <w:sz w:val="19"/>
                <w:szCs w:val="19"/>
              </w:rPr>
            </w:pPr>
            <w:r>
              <w:rPr>
                <w:sz w:val="19"/>
                <w:szCs w:val="19"/>
                <w:spacing w:val="7"/>
              </w:rPr>
              <w:t>危险废物贮存点</w:t>
            </w:r>
          </w:p>
        </w:tc>
        <w:tc>
          <w:tcPr>
            <w:tcW w:w="1333" w:type="dxa"/>
            <w:vAlign w:val="top"/>
          </w:tcPr>
          <w:p>
            <w:pPr>
              <w:pStyle w:val="TableText"/>
              <w:ind w:left="581"/>
              <w:spacing w:before="78" w:line="220" w:lineRule="auto"/>
              <w:rPr>
                <w:sz w:val="19"/>
                <w:szCs w:val="19"/>
              </w:rPr>
            </w:pPr>
            <w:r>
              <w:rPr>
                <w:sz w:val="19"/>
                <w:szCs w:val="19"/>
              </w:rPr>
              <w:t>弱</w:t>
            </w:r>
          </w:p>
        </w:tc>
        <w:tc>
          <w:tcPr>
            <w:tcW w:w="1239" w:type="dxa"/>
            <w:vAlign w:val="top"/>
          </w:tcPr>
          <w:p>
            <w:pPr>
              <w:pStyle w:val="TableText"/>
              <w:ind w:left="536"/>
              <w:spacing w:before="78" w:line="220" w:lineRule="auto"/>
              <w:rPr>
                <w:sz w:val="19"/>
                <w:szCs w:val="19"/>
              </w:rPr>
            </w:pPr>
            <w:r>
              <w:rPr>
                <w:sz w:val="19"/>
                <w:szCs w:val="19"/>
              </w:rPr>
              <w:t>易</w:t>
            </w:r>
          </w:p>
        </w:tc>
        <w:tc>
          <w:tcPr>
            <w:tcW w:w="1166" w:type="dxa"/>
            <w:vAlign w:val="top"/>
          </w:tcPr>
          <w:p>
            <w:pPr>
              <w:pStyle w:val="TableText"/>
              <w:ind w:left="195"/>
              <w:spacing w:before="78" w:line="220" w:lineRule="auto"/>
              <w:rPr>
                <w:sz w:val="19"/>
                <w:szCs w:val="19"/>
              </w:rPr>
            </w:pPr>
            <w:r>
              <w:rPr>
                <w:sz w:val="19"/>
                <w:szCs w:val="19"/>
                <w:spacing w:val="6"/>
              </w:rPr>
              <w:t>其他类型</w:t>
            </w:r>
          </w:p>
        </w:tc>
        <w:tc>
          <w:tcPr>
            <w:tcW w:w="1062" w:type="dxa"/>
            <w:vAlign w:val="top"/>
          </w:tcPr>
          <w:p>
            <w:pPr>
              <w:pStyle w:val="TableText"/>
              <w:ind w:left="147"/>
              <w:spacing w:before="78" w:line="220" w:lineRule="auto"/>
              <w:rPr>
                <w:sz w:val="19"/>
                <w:szCs w:val="19"/>
              </w:rPr>
            </w:pPr>
            <w:r>
              <w:rPr>
                <w:sz w:val="19"/>
                <w:szCs w:val="19"/>
                <w:spacing w:val="4"/>
              </w:rPr>
              <w:t>重点防渗</w:t>
            </w:r>
          </w:p>
        </w:tc>
        <w:tc>
          <w:tcPr>
            <w:tcW w:w="1254" w:type="dxa"/>
            <w:vAlign w:val="top"/>
            <w:tcBorders>
              <w:right w:val="nil"/>
            </w:tcBorders>
          </w:tcPr>
          <w:p>
            <w:pPr>
              <w:pStyle w:val="TableText"/>
              <w:ind w:left="438"/>
              <w:spacing w:before="78" w:line="220" w:lineRule="auto"/>
              <w:rPr>
                <w:sz w:val="19"/>
                <w:szCs w:val="19"/>
              </w:rPr>
            </w:pPr>
            <w:r>
              <w:rPr>
                <w:sz w:val="19"/>
                <w:szCs w:val="19"/>
                <w:spacing w:val="2"/>
              </w:rPr>
              <w:t>地面</w:t>
            </w:r>
          </w:p>
        </w:tc>
      </w:tr>
      <w:tr>
        <w:trPr>
          <w:trHeight w:val="336" w:hRule="atLeast"/>
        </w:trPr>
        <w:tc>
          <w:tcPr>
            <w:tcW w:w="663" w:type="dxa"/>
            <w:vAlign w:val="top"/>
            <w:tcBorders>
              <w:bottom w:val="single" w:color="000000" w:sz="10" w:space="0"/>
              <w:left w:val="nil"/>
            </w:tcBorders>
          </w:tcPr>
          <w:p>
            <w:pPr>
              <w:ind w:left="290"/>
              <w:spacing w:before="117"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802" w:type="dxa"/>
            <w:vAlign w:val="top"/>
            <w:tcBorders>
              <w:bottom w:val="single" w:color="000000" w:sz="10" w:space="0"/>
            </w:tcBorders>
          </w:tcPr>
          <w:p>
            <w:pPr>
              <w:pStyle w:val="TableText"/>
              <w:ind w:left="120"/>
              <w:spacing w:before="80" w:line="228" w:lineRule="auto"/>
              <w:rPr>
                <w:sz w:val="19"/>
                <w:szCs w:val="19"/>
              </w:rPr>
            </w:pPr>
            <w:r>
              <w:rPr>
                <w:sz w:val="19"/>
                <w:szCs w:val="19"/>
                <w:spacing w:val="6"/>
              </w:rPr>
              <w:t>选矿车间、事故应</w:t>
            </w:r>
          </w:p>
        </w:tc>
        <w:tc>
          <w:tcPr>
            <w:tcW w:w="1333" w:type="dxa"/>
            <w:vAlign w:val="top"/>
            <w:tcBorders>
              <w:bottom w:val="single" w:color="000000" w:sz="10" w:space="0"/>
            </w:tcBorders>
          </w:tcPr>
          <w:p>
            <w:pPr>
              <w:pStyle w:val="TableText"/>
              <w:ind w:left="581"/>
              <w:spacing w:before="79" w:line="232" w:lineRule="auto"/>
              <w:rPr>
                <w:sz w:val="19"/>
                <w:szCs w:val="19"/>
              </w:rPr>
            </w:pPr>
            <w:r>
              <w:rPr>
                <w:sz w:val="19"/>
                <w:szCs w:val="19"/>
              </w:rPr>
              <w:t>弱</w:t>
            </w:r>
          </w:p>
        </w:tc>
        <w:tc>
          <w:tcPr>
            <w:tcW w:w="1239" w:type="dxa"/>
            <w:vAlign w:val="top"/>
            <w:tcBorders>
              <w:bottom w:val="single" w:color="000000" w:sz="10" w:space="0"/>
            </w:tcBorders>
          </w:tcPr>
          <w:p>
            <w:pPr>
              <w:pStyle w:val="TableText"/>
              <w:ind w:left="536"/>
              <w:spacing w:before="79" w:line="232" w:lineRule="auto"/>
              <w:rPr>
                <w:sz w:val="19"/>
                <w:szCs w:val="19"/>
              </w:rPr>
            </w:pPr>
            <w:r>
              <w:rPr>
                <w:sz w:val="19"/>
                <w:szCs w:val="19"/>
              </w:rPr>
              <w:t>易</w:t>
            </w:r>
          </w:p>
        </w:tc>
        <w:tc>
          <w:tcPr>
            <w:tcW w:w="1166" w:type="dxa"/>
            <w:vAlign w:val="top"/>
            <w:tcBorders>
              <w:bottom w:val="single" w:color="000000" w:sz="10" w:space="0"/>
            </w:tcBorders>
          </w:tcPr>
          <w:p>
            <w:pPr>
              <w:pStyle w:val="TableText"/>
              <w:ind w:left="195"/>
              <w:spacing w:before="79" w:line="231" w:lineRule="auto"/>
              <w:rPr>
                <w:sz w:val="19"/>
                <w:szCs w:val="19"/>
              </w:rPr>
            </w:pPr>
            <w:r>
              <w:rPr>
                <w:sz w:val="19"/>
                <w:szCs w:val="19"/>
                <w:spacing w:val="6"/>
              </w:rPr>
              <w:t>其他类型</w:t>
            </w:r>
          </w:p>
        </w:tc>
        <w:tc>
          <w:tcPr>
            <w:tcW w:w="1062" w:type="dxa"/>
            <w:vAlign w:val="top"/>
            <w:tcBorders>
              <w:bottom w:val="single" w:color="000000" w:sz="10" w:space="0"/>
            </w:tcBorders>
          </w:tcPr>
          <w:p>
            <w:pPr>
              <w:pStyle w:val="TableText"/>
              <w:ind w:left="144"/>
              <w:spacing w:before="80" w:line="233" w:lineRule="auto"/>
              <w:rPr>
                <w:sz w:val="19"/>
                <w:szCs w:val="19"/>
              </w:rPr>
            </w:pPr>
            <w:r>
              <w:rPr>
                <w:sz w:val="19"/>
                <w:szCs w:val="19"/>
                <w:spacing w:val="5"/>
              </w:rPr>
              <w:t>一般防渗</w:t>
            </w:r>
          </w:p>
        </w:tc>
        <w:tc>
          <w:tcPr>
            <w:tcW w:w="1254" w:type="dxa"/>
            <w:vAlign w:val="top"/>
            <w:tcBorders>
              <w:bottom w:val="single" w:color="000000" w:sz="10" w:space="0"/>
              <w:right w:val="nil"/>
            </w:tcBorders>
          </w:tcPr>
          <w:p>
            <w:pPr>
              <w:pStyle w:val="TableText"/>
              <w:ind w:left="438"/>
              <w:spacing w:before="79" w:line="236" w:lineRule="auto"/>
              <w:rPr>
                <w:sz w:val="19"/>
                <w:szCs w:val="19"/>
              </w:rPr>
            </w:pPr>
            <w:r>
              <w:rPr>
                <w:sz w:val="19"/>
                <w:szCs w:val="19"/>
                <w:spacing w:val="2"/>
              </w:rPr>
              <w:t>地面</w:t>
            </w:r>
          </w:p>
        </w:tc>
      </w:tr>
    </w:tbl>
    <w:p>
      <w:pPr>
        <w:pStyle w:val="BodyText"/>
        <w:rPr/>
      </w:pPr>
      <w:r/>
    </w:p>
    <w:p>
      <w:pPr>
        <w:sectPr>
          <w:footerReference w:type="default" r:id="rId355"/>
          <w:pgSz w:w="11906" w:h="16839"/>
          <w:pgMar w:top="400" w:right="1691" w:bottom="1358" w:left="1691" w:header="0" w:footer="1195" w:gutter="0"/>
        </w:sectPr>
        <w:rPr/>
      </w:pPr>
    </w:p>
    <w:p>
      <w:pPr>
        <w:spacing w:before="19"/>
        <w:rPr/>
      </w:pPr>
      <w:r/>
    </w:p>
    <w:p>
      <w:pPr>
        <w:spacing w:before="19"/>
        <w:rPr/>
      </w:pPr>
      <w:r/>
    </w:p>
    <w:p>
      <w:pPr>
        <w:spacing w:before="18"/>
        <w:rPr/>
      </w:pPr>
      <w:r/>
    </w:p>
    <w:p>
      <w:pPr>
        <w:spacing w:before="18"/>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3"/>
        <w:gridCol w:w="1802"/>
        <w:gridCol w:w="1333"/>
        <w:gridCol w:w="1239"/>
        <w:gridCol w:w="1166"/>
        <w:gridCol w:w="1061"/>
        <w:gridCol w:w="1254"/>
      </w:tblGrid>
      <w:tr>
        <w:trPr>
          <w:trHeight w:val="295" w:hRule="atLeast"/>
        </w:trPr>
        <w:tc>
          <w:tcPr>
            <w:tcW w:w="663" w:type="dxa"/>
            <w:vAlign w:val="top"/>
            <w:tcBorders>
              <w:top w:val="single" w:color="000000" w:sz="10" w:space="0"/>
              <w:left w:val="nil"/>
            </w:tcBorders>
          </w:tcPr>
          <w:p>
            <w:pPr>
              <w:rPr>
                <w:rFonts w:ascii="Arial"/>
                <w:sz w:val="21"/>
              </w:rPr>
            </w:pPr>
            <w:r/>
          </w:p>
        </w:tc>
        <w:tc>
          <w:tcPr>
            <w:tcW w:w="1802" w:type="dxa"/>
            <w:vAlign w:val="top"/>
            <w:tcBorders>
              <w:top w:val="single" w:color="000000" w:sz="10" w:space="0"/>
            </w:tcBorders>
          </w:tcPr>
          <w:p>
            <w:pPr>
              <w:pStyle w:val="TableText"/>
              <w:ind w:left="721"/>
              <w:spacing w:before="42" w:line="235" w:lineRule="auto"/>
              <w:rPr>
                <w:sz w:val="19"/>
                <w:szCs w:val="19"/>
              </w:rPr>
            </w:pPr>
            <w:r>
              <w:rPr>
                <w:sz w:val="19"/>
                <w:szCs w:val="19"/>
                <w:spacing w:val="-3"/>
              </w:rPr>
              <w:t>急池</w:t>
            </w:r>
          </w:p>
        </w:tc>
        <w:tc>
          <w:tcPr>
            <w:tcW w:w="1333" w:type="dxa"/>
            <w:vAlign w:val="top"/>
            <w:tcBorders>
              <w:top w:val="single" w:color="000000" w:sz="10" w:space="0"/>
            </w:tcBorders>
          </w:tcPr>
          <w:p>
            <w:pPr>
              <w:rPr>
                <w:rFonts w:ascii="Arial"/>
                <w:sz w:val="21"/>
              </w:rPr>
            </w:pPr>
            <w:r/>
          </w:p>
        </w:tc>
        <w:tc>
          <w:tcPr>
            <w:tcW w:w="1239" w:type="dxa"/>
            <w:vAlign w:val="top"/>
            <w:tcBorders>
              <w:top w:val="single" w:color="000000" w:sz="10" w:space="0"/>
            </w:tcBorders>
          </w:tcPr>
          <w:p>
            <w:pPr>
              <w:rPr>
                <w:rFonts w:ascii="Arial"/>
                <w:sz w:val="21"/>
              </w:rPr>
            </w:pPr>
            <w:r/>
          </w:p>
        </w:tc>
        <w:tc>
          <w:tcPr>
            <w:tcW w:w="1166" w:type="dxa"/>
            <w:vAlign w:val="top"/>
            <w:tcBorders>
              <w:top w:val="single" w:color="000000" w:sz="10" w:space="0"/>
            </w:tcBorders>
          </w:tcPr>
          <w:p>
            <w:pPr>
              <w:rPr>
                <w:rFonts w:ascii="Arial"/>
                <w:sz w:val="21"/>
              </w:rPr>
            </w:pPr>
            <w:r/>
          </w:p>
        </w:tc>
        <w:tc>
          <w:tcPr>
            <w:tcW w:w="1061" w:type="dxa"/>
            <w:vAlign w:val="top"/>
            <w:tcBorders>
              <w:top w:val="single" w:color="000000" w:sz="10" w:space="0"/>
            </w:tcBorders>
          </w:tcPr>
          <w:p>
            <w:pPr>
              <w:rPr>
                <w:rFonts w:ascii="Arial"/>
                <w:sz w:val="21"/>
              </w:rPr>
            </w:pPr>
            <w:r/>
          </w:p>
        </w:tc>
        <w:tc>
          <w:tcPr>
            <w:tcW w:w="1254" w:type="dxa"/>
            <w:vAlign w:val="top"/>
            <w:tcBorders>
              <w:top w:val="single" w:color="000000" w:sz="10" w:space="0"/>
              <w:right w:val="nil"/>
            </w:tcBorders>
          </w:tcPr>
          <w:p>
            <w:pPr>
              <w:rPr>
                <w:rFonts w:ascii="Arial"/>
                <w:sz w:val="21"/>
              </w:rPr>
            </w:pPr>
            <w:r/>
          </w:p>
        </w:tc>
      </w:tr>
      <w:tr>
        <w:trPr>
          <w:trHeight w:val="946" w:hRule="atLeast"/>
        </w:trPr>
        <w:tc>
          <w:tcPr>
            <w:tcW w:w="663" w:type="dxa"/>
            <w:vAlign w:val="top"/>
            <w:tcBorders>
              <w:bottom w:val="single" w:color="000000" w:sz="10" w:space="0"/>
              <w:left w:val="nil"/>
            </w:tcBorders>
          </w:tcPr>
          <w:p>
            <w:pPr>
              <w:spacing w:line="353" w:lineRule="auto"/>
              <w:rPr>
                <w:rFonts w:ascii="Arial"/>
                <w:sz w:val="21"/>
              </w:rPr>
            </w:pPr>
            <w:r/>
          </w:p>
          <w:p>
            <w:pPr>
              <w:ind w:left="289"/>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1802" w:type="dxa"/>
            <w:vAlign w:val="top"/>
            <w:tcBorders>
              <w:bottom w:val="single" w:color="000000" w:sz="10" w:space="0"/>
            </w:tcBorders>
          </w:tcPr>
          <w:p>
            <w:pPr>
              <w:pStyle w:val="TableText"/>
              <w:ind w:left="122"/>
              <w:spacing w:before="64" w:line="232" w:lineRule="auto"/>
              <w:rPr>
                <w:sz w:val="19"/>
                <w:szCs w:val="19"/>
              </w:rPr>
            </w:pPr>
            <w:r>
              <w:rPr>
                <w:sz w:val="19"/>
                <w:szCs w:val="19"/>
                <w:spacing w:val="6"/>
              </w:rPr>
              <w:t>工业广场区域（除</w:t>
            </w:r>
          </w:p>
          <w:p>
            <w:pPr>
              <w:pStyle w:val="TableText"/>
              <w:ind w:left="124"/>
              <w:spacing w:before="72" w:line="233" w:lineRule="auto"/>
              <w:rPr>
                <w:sz w:val="19"/>
                <w:szCs w:val="19"/>
              </w:rPr>
            </w:pPr>
            <w:r>
              <w:rPr>
                <w:sz w:val="19"/>
                <w:szCs w:val="19"/>
                <w:spacing w:val="5"/>
              </w:rPr>
              <w:t>重点、一般防渗区</w:t>
            </w:r>
          </w:p>
          <w:p>
            <w:pPr>
              <w:pStyle w:val="TableText"/>
              <w:ind w:left="611"/>
              <w:spacing w:before="72" w:line="232" w:lineRule="auto"/>
              <w:rPr>
                <w:sz w:val="19"/>
                <w:szCs w:val="19"/>
              </w:rPr>
            </w:pPr>
            <w:r>
              <w:rPr>
                <w:sz w:val="19"/>
                <w:szCs w:val="19"/>
                <w:spacing w:val="1"/>
              </w:rPr>
              <w:t>域外）</w:t>
            </w:r>
          </w:p>
        </w:tc>
        <w:tc>
          <w:tcPr>
            <w:tcW w:w="1333" w:type="dxa"/>
            <w:vAlign w:val="top"/>
            <w:tcBorders>
              <w:bottom w:val="single" w:color="000000" w:sz="10" w:space="0"/>
            </w:tcBorders>
          </w:tcPr>
          <w:p>
            <w:pPr>
              <w:spacing w:line="312" w:lineRule="auto"/>
              <w:rPr>
                <w:rFonts w:ascii="Arial"/>
                <w:sz w:val="21"/>
              </w:rPr>
            </w:pPr>
            <w:r/>
          </w:p>
          <w:p>
            <w:pPr>
              <w:pStyle w:val="TableText"/>
              <w:ind w:left="581"/>
              <w:spacing w:before="62" w:line="232" w:lineRule="auto"/>
              <w:rPr>
                <w:sz w:val="19"/>
                <w:szCs w:val="19"/>
              </w:rPr>
            </w:pPr>
            <w:r>
              <w:rPr>
                <w:sz w:val="19"/>
                <w:szCs w:val="19"/>
              </w:rPr>
              <w:t>弱</w:t>
            </w:r>
          </w:p>
        </w:tc>
        <w:tc>
          <w:tcPr>
            <w:tcW w:w="1239" w:type="dxa"/>
            <w:vAlign w:val="top"/>
            <w:tcBorders>
              <w:bottom w:val="single" w:color="000000" w:sz="10" w:space="0"/>
            </w:tcBorders>
          </w:tcPr>
          <w:p>
            <w:pPr>
              <w:spacing w:line="312" w:lineRule="auto"/>
              <w:rPr>
                <w:rFonts w:ascii="Arial"/>
                <w:sz w:val="21"/>
              </w:rPr>
            </w:pPr>
            <w:r/>
          </w:p>
          <w:p>
            <w:pPr>
              <w:pStyle w:val="TableText"/>
              <w:ind w:left="536"/>
              <w:spacing w:before="62" w:line="232" w:lineRule="auto"/>
              <w:rPr>
                <w:sz w:val="19"/>
                <w:szCs w:val="19"/>
              </w:rPr>
            </w:pPr>
            <w:r>
              <w:rPr>
                <w:sz w:val="19"/>
                <w:szCs w:val="19"/>
              </w:rPr>
              <w:t>易</w:t>
            </w:r>
          </w:p>
        </w:tc>
        <w:tc>
          <w:tcPr>
            <w:tcW w:w="1166" w:type="dxa"/>
            <w:vAlign w:val="top"/>
            <w:tcBorders>
              <w:bottom w:val="single" w:color="000000" w:sz="10" w:space="0"/>
            </w:tcBorders>
          </w:tcPr>
          <w:p>
            <w:pPr>
              <w:spacing w:line="312" w:lineRule="auto"/>
              <w:rPr>
                <w:rFonts w:ascii="Arial"/>
                <w:sz w:val="21"/>
              </w:rPr>
            </w:pPr>
            <w:r/>
          </w:p>
          <w:p>
            <w:pPr>
              <w:pStyle w:val="TableText"/>
              <w:ind w:left="195"/>
              <w:spacing w:before="61" w:line="231" w:lineRule="auto"/>
              <w:rPr>
                <w:sz w:val="19"/>
                <w:szCs w:val="19"/>
              </w:rPr>
            </w:pPr>
            <w:r>
              <w:rPr>
                <w:sz w:val="19"/>
                <w:szCs w:val="19"/>
                <w:spacing w:val="6"/>
              </w:rPr>
              <w:t>其他类型</w:t>
            </w:r>
          </w:p>
        </w:tc>
        <w:tc>
          <w:tcPr>
            <w:tcW w:w="1061" w:type="dxa"/>
            <w:vAlign w:val="top"/>
            <w:tcBorders>
              <w:bottom w:val="single" w:color="000000" w:sz="10" w:space="0"/>
            </w:tcBorders>
          </w:tcPr>
          <w:p>
            <w:pPr>
              <w:spacing w:line="312" w:lineRule="auto"/>
              <w:rPr>
                <w:rFonts w:ascii="Arial"/>
                <w:sz w:val="21"/>
              </w:rPr>
            </w:pPr>
            <w:r/>
          </w:p>
          <w:p>
            <w:pPr>
              <w:pStyle w:val="TableText"/>
              <w:ind w:left="152"/>
              <w:spacing w:before="62" w:line="230" w:lineRule="auto"/>
              <w:rPr>
                <w:sz w:val="19"/>
                <w:szCs w:val="19"/>
              </w:rPr>
            </w:pPr>
            <w:r>
              <w:rPr>
                <w:sz w:val="19"/>
                <w:szCs w:val="19"/>
                <w:spacing w:val="3"/>
              </w:rPr>
              <w:t>简单防渗</w:t>
            </w:r>
          </w:p>
        </w:tc>
        <w:tc>
          <w:tcPr>
            <w:tcW w:w="1254" w:type="dxa"/>
            <w:vAlign w:val="top"/>
            <w:tcBorders>
              <w:bottom w:val="single" w:color="000000" w:sz="10" w:space="0"/>
              <w:right w:val="nil"/>
            </w:tcBorders>
          </w:tcPr>
          <w:p>
            <w:pPr>
              <w:spacing w:line="312" w:lineRule="auto"/>
              <w:rPr>
                <w:rFonts w:ascii="Arial"/>
                <w:sz w:val="21"/>
              </w:rPr>
            </w:pPr>
            <w:r/>
          </w:p>
          <w:p>
            <w:pPr>
              <w:pStyle w:val="TableText"/>
              <w:ind w:left="439"/>
              <w:spacing w:before="61" w:line="236" w:lineRule="auto"/>
              <w:rPr>
                <w:sz w:val="19"/>
                <w:szCs w:val="19"/>
              </w:rPr>
            </w:pPr>
            <w:r>
              <w:rPr>
                <w:sz w:val="19"/>
                <w:szCs w:val="19"/>
                <w:spacing w:val="2"/>
              </w:rPr>
              <w:t>地面</w:t>
            </w:r>
          </w:p>
        </w:tc>
      </w:tr>
    </w:tbl>
    <w:p>
      <w:pPr>
        <w:pStyle w:val="BodyText"/>
        <w:spacing w:line="251" w:lineRule="auto"/>
        <w:rPr/>
      </w:pPr>
      <w:r/>
    </w:p>
    <w:p>
      <w:pPr>
        <w:pStyle w:val="BodyText"/>
        <w:spacing w:line="251" w:lineRule="auto"/>
        <w:rPr/>
      </w:pPr>
      <w:r/>
    </w:p>
    <w:p>
      <w:pPr>
        <w:ind w:left="116"/>
        <w:spacing w:before="78"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7.2.5.3  </w:t>
      </w:r>
      <w:r>
        <w:rPr>
          <w:rFonts w:ascii="FangSong" w:hAnsi="FangSong" w:eastAsia="FangSong" w:cs="FangSong"/>
          <w:sz w:val="24"/>
          <w:szCs w:val="24"/>
          <w:b/>
          <w:bCs/>
          <w:spacing w:val="-2"/>
        </w:rPr>
        <w:t>地下水环境监测与管理</w:t>
      </w:r>
    </w:p>
    <w:p>
      <w:pPr>
        <w:ind w:left="608"/>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）地下水跟踪监测计划</w:t>
      </w:r>
    </w:p>
    <w:p>
      <w:pPr>
        <w:ind w:left="596"/>
        <w:spacing w:before="178" w:line="222"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跟踪监测井的设置</w:t>
      </w:r>
    </w:p>
    <w:p>
      <w:pPr>
        <w:ind w:left="126" w:right="107" w:firstLine="478"/>
        <w:spacing w:before="179" w:line="360" w:lineRule="auto"/>
        <w:rPr>
          <w:rFonts w:ascii="FangSong" w:hAnsi="FangSong" w:eastAsia="FangSong" w:cs="FangSong"/>
          <w:sz w:val="24"/>
          <w:szCs w:val="24"/>
        </w:rPr>
      </w:pPr>
      <w:r>
        <w:rPr>
          <w:rFonts w:ascii="FangSong" w:hAnsi="FangSong" w:eastAsia="FangSong" w:cs="FangSong"/>
          <w:sz w:val="24"/>
          <w:szCs w:val="24"/>
          <w:spacing w:val="-3"/>
        </w:rPr>
        <w:t>本项目地下水现状监测点位分布在项目区周边</w:t>
      </w:r>
      <w:r>
        <w:rPr>
          <w:rFonts w:ascii="FangSong" w:hAnsi="FangSong" w:eastAsia="FangSong" w:cs="FangSong"/>
          <w:sz w:val="24"/>
          <w:szCs w:val="24"/>
          <w:spacing w:val="-4"/>
        </w:rPr>
        <w:t>，为了更好地判断地下水的受</w:t>
      </w:r>
      <w:r>
        <w:rPr>
          <w:rFonts w:ascii="FangSong" w:hAnsi="FangSong" w:eastAsia="FangSong" w:cs="FangSong"/>
          <w:sz w:val="24"/>
          <w:szCs w:val="24"/>
          <w:spacing w:val="-5"/>
        </w:rPr>
        <w:t>影响状况建议本项目布置</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3  </w:t>
      </w:r>
      <w:r>
        <w:rPr>
          <w:rFonts w:ascii="FangSong" w:hAnsi="FangSong" w:eastAsia="FangSong" w:cs="FangSong"/>
          <w:sz w:val="24"/>
          <w:szCs w:val="24"/>
          <w:spacing w:val="-5"/>
        </w:rPr>
        <w:t>口监测井作为项目的长期监测井，监测井的监测层位</w:t>
      </w:r>
      <w:r>
        <w:rPr>
          <w:rFonts w:ascii="FangSong" w:hAnsi="FangSong" w:eastAsia="FangSong" w:cs="FangSong"/>
          <w:sz w:val="24"/>
          <w:szCs w:val="24"/>
          <w:spacing w:val="-2"/>
        </w:rPr>
        <w:t>为潜水含水层，具体监测计划如表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7.2-6</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所示。</w:t>
      </w:r>
    </w:p>
    <w:p>
      <w:pPr>
        <w:ind w:left="2009"/>
        <w:spacing w:before="1" w:line="221"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7.2-6  </w:t>
      </w:r>
      <w:r>
        <w:rPr>
          <w:rFonts w:ascii="FangSong" w:hAnsi="FangSong" w:eastAsia="FangSong" w:cs="FangSong"/>
          <w:sz w:val="24"/>
          <w:szCs w:val="24"/>
          <w:b/>
          <w:bCs/>
          <w:spacing w:val="-3"/>
        </w:rPr>
        <w:t>地下水跟踪监测井基本信息一览表</w:t>
      </w:r>
    </w:p>
    <w:p>
      <w:pPr>
        <w:spacing w:line="66"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5"/>
        <w:gridCol w:w="3104"/>
        <w:gridCol w:w="3093"/>
      </w:tblGrid>
      <w:tr>
        <w:trPr>
          <w:trHeight w:val="315" w:hRule="atLeast"/>
        </w:trPr>
        <w:tc>
          <w:tcPr>
            <w:tcW w:w="2325" w:type="dxa"/>
            <w:vAlign w:val="top"/>
            <w:tcBorders>
              <w:left w:val="nil"/>
              <w:top w:val="single" w:color="000000" w:sz="10" w:space="0"/>
            </w:tcBorders>
          </w:tcPr>
          <w:p>
            <w:pPr>
              <w:pStyle w:val="TableText"/>
              <w:ind w:left="655"/>
              <w:spacing w:before="55" w:line="230" w:lineRule="auto"/>
              <w:rPr/>
            </w:pPr>
            <w:r>
              <w:rPr>
                <w:spacing w:val="5"/>
              </w:rPr>
              <w:t>监测井编号</w:t>
            </w:r>
          </w:p>
        </w:tc>
        <w:tc>
          <w:tcPr>
            <w:tcW w:w="3104" w:type="dxa"/>
            <w:vAlign w:val="top"/>
            <w:tcBorders>
              <w:top w:val="single" w:color="000000" w:sz="10" w:space="0"/>
            </w:tcBorders>
          </w:tcPr>
          <w:p>
            <w:pPr>
              <w:pStyle w:val="TableText"/>
              <w:ind w:left="1142"/>
              <w:spacing w:before="55" w:line="230" w:lineRule="auto"/>
              <w:rPr/>
            </w:pPr>
            <w:r>
              <w:rPr>
                <w:spacing w:val="5"/>
              </w:rPr>
              <w:t>基本功能</w:t>
            </w:r>
          </w:p>
        </w:tc>
        <w:tc>
          <w:tcPr>
            <w:tcW w:w="3093" w:type="dxa"/>
            <w:vAlign w:val="top"/>
            <w:tcBorders>
              <w:right w:val="nil"/>
              <w:top w:val="single" w:color="000000" w:sz="10" w:space="0"/>
            </w:tcBorders>
          </w:tcPr>
          <w:p>
            <w:pPr>
              <w:pStyle w:val="TableText"/>
              <w:ind w:left="1348"/>
              <w:spacing w:before="55" w:line="230" w:lineRule="auto"/>
              <w:rPr/>
            </w:pPr>
            <w:r>
              <w:rPr>
                <w:spacing w:val="1"/>
              </w:rPr>
              <w:t>位置</w:t>
            </w:r>
          </w:p>
        </w:tc>
      </w:tr>
      <w:tr>
        <w:trPr>
          <w:trHeight w:val="311" w:hRule="atLeast"/>
        </w:trPr>
        <w:tc>
          <w:tcPr>
            <w:tcW w:w="2325" w:type="dxa"/>
            <w:vAlign w:val="top"/>
            <w:tcBorders>
              <w:left w:val="nil"/>
            </w:tcBorders>
          </w:tcPr>
          <w:p>
            <w:pPr>
              <w:ind w:left="108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3104" w:type="dxa"/>
            <w:vAlign w:val="top"/>
          </w:tcPr>
          <w:p>
            <w:pPr>
              <w:pStyle w:val="TableText"/>
              <w:ind w:left="942"/>
              <w:spacing w:before="57" w:line="225" w:lineRule="auto"/>
              <w:rPr/>
            </w:pPr>
            <w:r>
              <w:rPr>
                <w:spacing w:val="5"/>
              </w:rPr>
              <w:t>背景值监测点</w:t>
            </w:r>
          </w:p>
        </w:tc>
        <w:tc>
          <w:tcPr>
            <w:tcW w:w="3093" w:type="dxa"/>
            <w:vAlign w:val="top"/>
            <w:tcBorders>
              <w:right w:val="nil"/>
            </w:tcBorders>
          </w:tcPr>
          <w:p>
            <w:pPr>
              <w:pStyle w:val="TableText"/>
              <w:ind w:left="508"/>
              <w:spacing w:before="57" w:line="225" w:lineRule="auto"/>
              <w:rPr/>
            </w:pPr>
            <w:r>
              <w:rPr>
                <w:spacing w:val="8"/>
              </w:rPr>
              <w:t>项目工业场地上游位置</w:t>
            </w:r>
          </w:p>
        </w:tc>
      </w:tr>
      <w:tr>
        <w:trPr>
          <w:trHeight w:val="311" w:hRule="atLeast"/>
        </w:trPr>
        <w:tc>
          <w:tcPr>
            <w:tcW w:w="2325" w:type="dxa"/>
            <w:vAlign w:val="top"/>
            <w:tcBorders>
              <w:left w:val="nil"/>
            </w:tcBorders>
          </w:tcPr>
          <w:p>
            <w:pPr>
              <w:ind w:left="1060"/>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p>
        </w:tc>
        <w:tc>
          <w:tcPr>
            <w:tcW w:w="3104" w:type="dxa"/>
            <w:vAlign w:val="top"/>
          </w:tcPr>
          <w:p>
            <w:pPr>
              <w:pStyle w:val="TableText"/>
              <w:ind w:left="303"/>
              <w:spacing w:before="63" w:line="219" w:lineRule="auto"/>
              <w:rPr/>
            </w:pPr>
            <w:r>
              <w:rPr>
                <w:spacing w:val="8"/>
              </w:rPr>
              <w:t>地下水环境影响跟踪监测点</w:t>
            </w:r>
          </w:p>
        </w:tc>
        <w:tc>
          <w:tcPr>
            <w:tcW w:w="3093" w:type="dxa"/>
            <w:vAlign w:val="top"/>
            <w:tcBorders>
              <w:right w:val="nil"/>
            </w:tcBorders>
          </w:tcPr>
          <w:p>
            <w:pPr>
              <w:pStyle w:val="TableText"/>
              <w:ind w:left="717"/>
              <w:spacing w:before="63" w:line="219" w:lineRule="auto"/>
              <w:rPr/>
            </w:pPr>
            <w:r>
              <w:rPr>
                <w:spacing w:val="7"/>
              </w:rPr>
              <w:t>项目工业场地位置</w:t>
            </w:r>
          </w:p>
        </w:tc>
      </w:tr>
      <w:tr>
        <w:trPr>
          <w:trHeight w:val="334" w:hRule="atLeast"/>
        </w:trPr>
        <w:tc>
          <w:tcPr>
            <w:tcW w:w="2325" w:type="dxa"/>
            <w:vAlign w:val="top"/>
            <w:tcBorders>
              <w:left w:val="nil"/>
              <w:bottom w:val="single" w:color="000000" w:sz="10" w:space="0"/>
            </w:tcBorders>
          </w:tcPr>
          <w:p>
            <w:pPr>
              <w:ind w:left="106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104" w:type="dxa"/>
            <w:vAlign w:val="top"/>
            <w:tcBorders>
              <w:bottom w:val="single" w:color="000000" w:sz="10" w:space="0"/>
            </w:tcBorders>
          </w:tcPr>
          <w:p>
            <w:pPr>
              <w:pStyle w:val="TableText"/>
              <w:ind w:left="832"/>
              <w:spacing w:before="71" w:line="231" w:lineRule="auto"/>
              <w:rPr/>
            </w:pPr>
            <w:r>
              <w:rPr>
                <w:spacing w:val="7"/>
              </w:rPr>
              <w:t>污染扩散监测点</w:t>
            </w:r>
          </w:p>
        </w:tc>
        <w:tc>
          <w:tcPr>
            <w:tcW w:w="3093" w:type="dxa"/>
            <w:vAlign w:val="top"/>
            <w:tcBorders>
              <w:right w:val="nil"/>
              <w:bottom w:val="single" w:color="000000" w:sz="10" w:space="0"/>
            </w:tcBorders>
          </w:tcPr>
          <w:p>
            <w:pPr>
              <w:pStyle w:val="TableText"/>
              <w:ind w:left="508"/>
              <w:spacing w:before="71" w:line="230" w:lineRule="auto"/>
              <w:rPr/>
            </w:pPr>
            <w:r>
              <w:rPr>
                <w:spacing w:val="8"/>
              </w:rPr>
              <w:t>项目工业场地下游位置</w:t>
            </w:r>
          </w:p>
        </w:tc>
      </w:tr>
    </w:tbl>
    <w:p>
      <w:pPr>
        <w:pStyle w:val="BodyText"/>
        <w:spacing w:line="251" w:lineRule="auto"/>
        <w:rPr/>
      </w:pPr>
      <w:r/>
    </w:p>
    <w:p>
      <w:pPr>
        <w:pStyle w:val="BodyText"/>
        <w:spacing w:line="252" w:lineRule="auto"/>
        <w:rPr/>
      </w:pPr>
      <w:r/>
    </w:p>
    <w:p>
      <w:pPr>
        <w:ind w:left="124" w:right="107" w:firstLine="480"/>
        <w:spacing w:before="78" w:line="360" w:lineRule="auto"/>
        <w:jc w:val="both"/>
        <w:rPr>
          <w:rFonts w:ascii="FangSong" w:hAnsi="FangSong" w:eastAsia="FangSong" w:cs="FangSong"/>
          <w:sz w:val="24"/>
          <w:szCs w:val="24"/>
        </w:rPr>
      </w:pPr>
      <w:r>
        <w:rPr>
          <w:rFonts w:ascii="FangSong" w:hAnsi="FangSong" w:eastAsia="FangSong" w:cs="FangSong"/>
          <w:sz w:val="24"/>
          <w:szCs w:val="24"/>
          <w:spacing w:val="-5"/>
        </w:rPr>
        <w:t>本项目可将该</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3  </w:t>
      </w:r>
      <w:r>
        <w:rPr>
          <w:rFonts w:ascii="FangSong" w:hAnsi="FangSong" w:eastAsia="FangSong" w:cs="FangSong"/>
          <w:sz w:val="24"/>
          <w:szCs w:val="24"/>
          <w:spacing w:val="-5"/>
        </w:rPr>
        <w:t>口井作为地下水永久监测井使用，建设单位</w:t>
      </w:r>
      <w:r>
        <w:rPr>
          <w:rFonts w:ascii="FangSong" w:hAnsi="FangSong" w:eastAsia="FangSong" w:cs="FangSong"/>
          <w:sz w:val="24"/>
          <w:szCs w:val="24"/>
          <w:spacing w:val="-6"/>
        </w:rPr>
        <w:t>在日常运营过程</w:t>
      </w:r>
      <w:r>
        <w:rPr>
          <w:rFonts w:ascii="FangSong" w:hAnsi="FangSong" w:eastAsia="FangSong" w:cs="FangSong"/>
          <w:sz w:val="24"/>
          <w:szCs w:val="24"/>
          <w:spacing w:val="-3"/>
        </w:rPr>
        <w:t>中应做好监测井的运行维护，以防因井口外漏、管壁破裂或者其</w:t>
      </w:r>
      <w:r>
        <w:rPr>
          <w:rFonts w:ascii="FangSong" w:hAnsi="FangSong" w:eastAsia="FangSong" w:cs="FangSong"/>
          <w:sz w:val="24"/>
          <w:szCs w:val="24"/>
          <w:spacing w:val="-4"/>
        </w:rPr>
        <w:t>他原因造成废水</w:t>
      </w:r>
      <w:r>
        <w:rPr>
          <w:rFonts w:ascii="FangSong" w:hAnsi="FangSong" w:eastAsia="FangSong" w:cs="FangSong"/>
          <w:sz w:val="24"/>
          <w:szCs w:val="24"/>
          <w:spacing w:val="-2"/>
        </w:rPr>
        <w:t>倒灌或渗入井内而造成地下水污染。</w:t>
      </w:r>
    </w:p>
    <w:p>
      <w:pPr>
        <w:ind w:left="595"/>
        <w:spacing w:before="1" w:line="221"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31"/>
        </w:rPr>
        <w:t xml:space="preserve"> </w:t>
      </w:r>
      <w:r>
        <w:rPr>
          <w:rFonts w:ascii="FangSong" w:hAnsi="FangSong" w:eastAsia="FangSong" w:cs="FangSong"/>
          <w:sz w:val="24"/>
          <w:szCs w:val="24"/>
          <w:spacing w:val="-4"/>
        </w:rPr>
        <w:t>监测因子和监测频率</w:t>
      </w:r>
    </w:p>
    <w:p>
      <w:pPr>
        <w:ind w:left="123" w:right="107" w:firstLine="480"/>
        <w:spacing w:before="180" w:line="360" w:lineRule="auto"/>
        <w:rPr>
          <w:rFonts w:ascii="FangSong" w:hAnsi="FangSong" w:eastAsia="FangSong" w:cs="FangSong"/>
          <w:sz w:val="24"/>
          <w:szCs w:val="24"/>
        </w:rPr>
      </w:pPr>
      <w:r>
        <w:rPr>
          <w:rFonts w:ascii="FangSong" w:hAnsi="FangSong" w:eastAsia="FangSong" w:cs="FangSong"/>
          <w:sz w:val="24"/>
          <w:szCs w:val="24"/>
          <w:spacing w:val="-3"/>
        </w:rPr>
        <w:t>依据场地的水文地质条件，结合厂区内地下水</w:t>
      </w:r>
      <w:r>
        <w:rPr>
          <w:rFonts w:ascii="FangSong" w:hAnsi="FangSong" w:eastAsia="FangSong" w:cs="FangSong"/>
          <w:sz w:val="24"/>
          <w:szCs w:val="24"/>
          <w:spacing w:val="-4"/>
        </w:rPr>
        <w:t>污染源的位置，确定地下水监</w:t>
      </w:r>
      <w:r>
        <w:rPr>
          <w:rFonts w:ascii="FangSong" w:hAnsi="FangSong" w:eastAsia="FangSong" w:cs="FangSong"/>
          <w:sz w:val="24"/>
          <w:szCs w:val="24"/>
          <w:spacing w:val="-3"/>
        </w:rPr>
        <w:t>测并使用功能，力求以最低的采样频次，取得最有时间代表性的样</w:t>
      </w:r>
      <w:r>
        <w:rPr>
          <w:rFonts w:ascii="FangSong" w:hAnsi="FangSong" w:eastAsia="FangSong" w:cs="FangSong"/>
          <w:sz w:val="24"/>
          <w:szCs w:val="24"/>
          <w:spacing w:val="-4"/>
        </w:rPr>
        <w:t>品，达到全面</w:t>
      </w:r>
      <w:r>
        <w:rPr>
          <w:rFonts w:ascii="FangSong" w:hAnsi="FangSong" w:eastAsia="FangSong" w:cs="FangSong"/>
          <w:sz w:val="24"/>
          <w:szCs w:val="24"/>
          <w:spacing w:val="-3"/>
        </w:rPr>
        <w:t>反映厂区内地下水质状况、污染原因和规律的目的。地下水监测因</w:t>
      </w:r>
      <w:r>
        <w:rPr>
          <w:rFonts w:ascii="FangSong" w:hAnsi="FangSong" w:eastAsia="FangSong" w:cs="FangSong"/>
          <w:sz w:val="24"/>
          <w:szCs w:val="24"/>
          <w:spacing w:val="-4"/>
        </w:rPr>
        <w:t>子及监测频率</w:t>
      </w:r>
      <w:r>
        <w:rPr>
          <w:rFonts w:ascii="FangSong" w:hAnsi="FangSong" w:eastAsia="FangSong" w:cs="FangSong"/>
          <w:sz w:val="24"/>
          <w:szCs w:val="24"/>
          <w:spacing w:val="-2"/>
        </w:rPr>
        <w:t>见表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2"/>
        </w:rPr>
        <w:t>7.2-7</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，可根据当地环境保护部门的要求调整监测频率和监测因子。</w:t>
      </w:r>
    </w:p>
    <w:p>
      <w:pPr>
        <w:ind w:left="2614"/>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7.2-7  </w:t>
      </w:r>
      <w:r>
        <w:rPr>
          <w:rFonts w:ascii="FangSong" w:hAnsi="FangSong" w:eastAsia="FangSong" w:cs="FangSong"/>
          <w:sz w:val="24"/>
          <w:szCs w:val="24"/>
          <w:b/>
          <w:bCs/>
          <w:spacing w:val="-3"/>
        </w:rPr>
        <w:t>地下水监测计划一览表</w:t>
      </w:r>
    </w:p>
    <w:p>
      <w:pPr>
        <w:spacing w:line="64"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5"/>
        <w:gridCol w:w="1265"/>
        <w:gridCol w:w="2500"/>
        <w:gridCol w:w="3942"/>
      </w:tblGrid>
      <w:tr>
        <w:trPr>
          <w:trHeight w:val="933" w:hRule="atLeast"/>
        </w:trPr>
        <w:tc>
          <w:tcPr>
            <w:tcW w:w="815" w:type="dxa"/>
            <w:vAlign w:val="top"/>
            <w:tcBorders>
              <w:top w:val="single" w:color="000000" w:sz="10" w:space="0"/>
              <w:left w:val="nil"/>
            </w:tcBorders>
          </w:tcPr>
          <w:p>
            <w:pPr>
              <w:pStyle w:val="TableText"/>
              <w:ind w:left="216"/>
              <w:spacing w:before="56" w:line="232" w:lineRule="auto"/>
              <w:rPr/>
            </w:pPr>
            <w:r>
              <w:rPr>
                <w:spacing w:val="-1"/>
              </w:rPr>
              <w:t>监测</w:t>
            </w:r>
          </w:p>
          <w:p>
            <w:pPr>
              <w:pStyle w:val="TableText"/>
              <w:ind w:left="321" w:right="197" w:hanging="108"/>
              <w:spacing w:before="60" w:line="256" w:lineRule="auto"/>
              <w:rPr/>
            </w:pPr>
            <w:r>
              <w:rPr/>
              <w:t>井编</w:t>
            </w:r>
            <w:r>
              <w:rPr/>
              <w:t>号</w:t>
            </w:r>
          </w:p>
        </w:tc>
        <w:tc>
          <w:tcPr>
            <w:tcW w:w="1265" w:type="dxa"/>
            <w:vAlign w:val="top"/>
            <w:tcBorders>
              <w:top w:val="single" w:color="000000" w:sz="10" w:space="0"/>
            </w:tcBorders>
          </w:tcPr>
          <w:p>
            <w:pPr>
              <w:spacing w:line="302" w:lineRule="auto"/>
              <w:rPr>
                <w:rFonts w:ascii="Arial"/>
                <w:sz w:val="21"/>
              </w:rPr>
            </w:pPr>
            <w:r/>
          </w:p>
          <w:p>
            <w:pPr>
              <w:pStyle w:val="TableText"/>
              <w:ind w:left="223"/>
              <w:spacing w:before="65" w:line="230" w:lineRule="auto"/>
              <w:rPr/>
            </w:pPr>
            <w:r>
              <w:rPr>
                <w:spacing w:val="5"/>
              </w:rPr>
              <w:t>基本功能</w:t>
            </w:r>
          </w:p>
        </w:tc>
        <w:tc>
          <w:tcPr>
            <w:tcW w:w="2500" w:type="dxa"/>
            <w:vAlign w:val="top"/>
            <w:tcBorders>
              <w:top w:val="single" w:color="000000" w:sz="10" w:space="0"/>
            </w:tcBorders>
          </w:tcPr>
          <w:p>
            <w:pPr>
              <w:spacing w:line="301" w:lineRule="auto"/>
              <w:rPr>
                <w:rFonts w:ascii="Arial"/>
                <w:sz w:val="21"/>
              </w:rPr>
            </w:pPr>
            <w:r/>
          </w:p>
          <w:p>
            <w:pPr>
              <w:pStyle w:val="TableText"/>
              <w:ind w:left="845"/>
              <w:spacing w:before="65" w:line="232" w:lineRule="auto"/>
              <w:rPr/>
            </w:pPr>
            <w:r>
              <w:rPr>
                <w:spacing w:val="4"/>
              </w:rPr>
              <w:t>监测频率</w:t>
            </w:r>
          </w:p>
        </w:tc>
        <w:tc>
          <w:tcPr>
            <w:tcW w:w="3942" w:type="dxa"/>
            <w:vAlign w:val="top"/>
            <w:tcBorders>
              <w:top w:val="single" w:color="000000" w:sz="10" w:space="0"/>
              <w:right w:val="nil"/>
            </w:tcBorders>
          </w:tcPr>
          <w:p>
            <w:pPr>
              <w:spacing w:line="301" w:lineRule="auto"/>
              <w:rPr>
                <w:rFonts w:ascii="Arial"/>
                <w:sz w:val="21"/>
              </w:rPr>
            </w:pPr>
            <w:r/>
          </w:p>
          <w:p>
            <w:pPr>
              <w:pStyle w:val="TableText"/>
              <w:ind w:left="1569"/>
              <w:spacing w:before="65" w:line="232" w:lineRule="auto"/>
              <w:rPr/>
            </w:pPr>
            <w:r>
              <w:rPr>
                <w:spacing w:val="4"/>
              </w:rPr>
              <w:t>监测因子</w:t>
            </w:r>
          </w:p>
        </w:tc>
      </w:tr>
      <w:tr>
        <w:trPr>
          <w:trHeight w:val="974" w:hRule="atLeast"/>
        </w:trPr>
        <w:tc>
          <w:tcPr>
            <w:tcW w:w="815" w:type="dxa"/>
            <w:vAlign w:val="top"/>
            <w:tcBorders>
              <w:bottom w:val="single" w:color="000000" w:sz="10" w:space="0"/>
              <w:left w:val="nil"/>
            </w:tcBorders>
          </w:tcPr>
          <w:p>
            <w:pPr>
              <w:spacing w:line="365" w:lineRule="auto"/>
              <w:rPr>
                <w:rFonts w:ascii="Arial"/>
                <w:sz w:val="21"/>
              </w:rPr>
            </w:pPr>
            <w:r/>
          </w:p>
          <w:p>
            <w:pPr>
              <w:ind w:left="32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1265" w:type="dxa"/>
            <w:vAlign w:val="top"/>
            <w:tcBorders>
              <w:bottom w:val="single" w:color="000000" w:sz="10" w:space="0"/>
            </w:tcBorders>
          </w:tcPr>
          <w:p>
            <w:pPr>
              <w:pStyle w:val="TableText"/>
              <w:ind w:left="431" w:right="212" w:hanging="199"/>
              <w:spacing w:before="232" w:line="289" w:lineRule="auto"/>
              <w:rPr/>
            </w:pPr>
            <w:r>
              <w:rPr>
                <w:spacing w:val="3"/>
              </w:rPr>
              <w:t>背景值监</w:t>
            </w:r>
            <w:r>
              <w:rPr>
                <w:spacing w:val="2"/>
              </w:rPr>
              <w:t>测点</w:t>
            </w:r>
          </w:p>
        </w:tc>
        <w:tc>
          <w:tcPr>
            <w:tcW w:w="2500" w:type="dxa"/>
            <w:vAlign w:val="top"/>
            <w:tcBorders>
              <w:bottom w:val="single" w:color="000000" w:sz="10" w:space="0"/>
            </w:tcBorders>
          </w:tcPr>
          <w:p>
            <w:pPr>
              <w:pStyle w:val="TableText"/>
              <w:ind w:left="127"/>
              <w:spacing w:before="232" w:line="229" w:lineRule="auto"/>
              <w:rPr/>
            </w:pPr>
            <w:r>
              <w:rPr>
                <w:spacing w:val="5"/>
              </w:rPr>
              <w:t>每年枯水期、丰水期检测</w:t>
            </w:r>
          </w:p>
          <w:p>
            <w:pPr>
              <w:pStyle w:val="TableText"/>
              <w:ind w:left="1054"/>
              <w:spacing w:before="63" w:line="232" w:lineRule="auto"/>
              <w:rPr/>
            </w:pPr>
            <w:r>
              <w:rPr/>
              <w:t>一次</w:t>
            </w:r>
          </w:p>
        </w:tc>
        <w:tc>
          <w:tcPr>
            <w:tcW w:w="3942" w:type="dxa"/>
            <w:vAlign w:val="top"/>
            <w:tcBorders>
              <w:bottom w:val="single" w:color="000000" w:sz="10" w:space="0"/>
              <w:right w:val="nil"/>
            </w:tcBorders>
          </w:tcPr>
          <w:p>
            <w:pPr>
              <w:pStyle w:val="TableText"/>
              <w:ind w:left="118" w:right="109" w:firstLine="25"/>
              <w:spacing w:before="92" w:line="268" w:lineRule="auto"/>
              <w:rPr/>
            </w:pPr>
            <w:r>
              <w:rPr>
                <w:rFonts w:ascii="Times New Roman" w:hAnsi="Times New Roman" w:eastAsia="Times New Roman" w:cs="Times New Roman"/>
                <w:position w:val="-1"/>
              </w:rPr>
              <w:t>K</w:t>
            </w:r>
            <w:r>
              <w:rPr>
                <w:rFonts w:ascii="Times New Roman" w:hAnsi="Times New Roman" w:eastAsia="Times New Roman" w:cs="Times New Roman"/>
                <w:sz w:val="13"/>
                <w:szCs w:val="13"/>
                <w:position w:val="5"/>
              </w:rPr>
              <w:t>+ </w:t>
            </w:r>
            <w:r>
              <w:rPr>
                <w:position w:val="-1"/>
              </w:rPr>
              <w:t>、</w:t>
            </w:r>
            <w:r>
              <w:rPr>
                <w:rFonts w:ascii="Times New Roman" w:hAnsi="Times New Roman" w:eastAsia="Times New Roman" w:cs="Times New Roman"/>
                <w:position w:val="-1"/>
              </w:rPr>
              <w:t>Na</w:t>
            </w:r>
            <w:r>
              <w:rPr>
                <w:rFonts w:ascii="Times New Roman" w:hAnsi="Times New Roman" w:eastAsia="Times New Roman" w:cs="Times New Roman"/>
                <w:sz w:val="13"/>
                <w:szCs w:val="13"/>
                <w:position w:val="5"/>
              </w:rPr>
              <w:t>+ </w:t>
            </w:r>
            <w:r>
              <w:rPr>
                <w:position w:val="-1"/>
              </w:rPr>
              <w:t>、</w:t>
            </w:r>
            <w:r>
              <w:rPr>
                <w:rFonts w:ascii="Times New Roman" w:hAnsi="Times New Roman" w:eastAsia="Times New Roman" w:cs="Times New Roman"/>
                <w:position w:val="-1"/>
              </w:rPr>
              <w:t>Ca</w:t>
            </w:r>
            <w:r>
              <w:rPr>
                <w:rFonts w:ascii="Times New Roman" w:hAnsi="Times New Roman" w:eastAsia="Times New Roman" w:cs="Times New Roman"/>
                <w:sz w:val="13"/>
                <w:szCs w:val="13"/>
                <w:position w:val="5"/>
              </w:rPr>
              <w:t>2+ </w:t>
            </w:r>
            <w:r>
              <w:rPr>
                <w:position w:val="-1"/>
              </w:rPr>
              <w:t>、</w:t>
            </w:r>
            <w:r>
              <w:rPr>
                <w:rFonts w:ascii="Times New Roman" w:hAnsi="Times New Roman" w:eastAsia="Times New Roman" w:cs="Times New Roman"/>
                <w:position w:val="-1"/>
              </w:rPr>
              <w:t>Mg</w:t>
            </w:r>
            <w:r>
              <w:rPr>
                <w:rFonts w:ascii="Times New Roman" w:hAnsi="Times New Roman" w:eastAsia="Times New Roman" w:cs="Times New Roman"/>
                <w:sz w:val="13"/>
                <w:szCs w:val="13"/>
                <w:position w:val="5"/>
              </w:rPr>
              <w:t>2+</w:t>
            </w:r>
            <w:r>
              <w:rPr>
                <w:rFonts w:ascii="Times New Roman" w:hAnsi="Times New Roman" w:eastAsia="Times New Roman" w:cs="Times New Roman"/>
                <w:sz w:val="13"/>
                <w:szCs w:val="13"/>
                <w:spacing w:val="-6"/>
                <w:position w:val="5"/>
              </w:rPr>
              <w:t xml:space="preserve"> </w:t>
            </w:r>
            <w:r>
              <w:rPr>
                <w:position w:val="-1"/>
              </w:rPr>
              <w:t>、</w:t>
            </w:r>
            <w:r>
              <w:rPr>
                <w:rFonts w:ascii="Times New Roman" w:hAnsi="Times New Roman" w:eastAsia="Times New Roman" w:cs="Times New Roman"/>
                <w:position w:val="-1"/>
              </w:rPr>
              <w:t>CO</w:t>
            </w:r>
            <w:r>
              <w:rPr>
                <w:rFonts w:ascii="Times New Roman" w:hAnsi="Times New Roman" w:eastAsia="Times New Roman" w:cs="Times New Roman"/>
                <w:sz w:val="13"/>
                <w:szCs w:val="13"/>
                <w:position w:val="-2"/>
              </w:rPr>
              <w:t>3</w:t>
            </w:r>
            <w:r>
              <w:rPr>
                <w:rFonts w:ascii="Times New Roman" w:hAnsi="Times New Roman" w:eastAsia="Times New Roman" w:cs="Times New Roman"/>
                <w:sz w:val="13"/>
                <w:szCs w:val="13"/>
                <w:position w:val="5"/>
              </w:rPr>
              <w:t>2- </w:t>
            </w:r>
            <w:r>
              <w:rPr>
                <w:position w:val="-1"/>
              </w:rPr>
              <w:t>、</w:t>
            </w:r>
            <w:r>
              <w:rPr>
                <w:rFonts w:ascii="Times New Roman" w:hAnsi="Times New Roman" w:eastAsia="Times New Roman" w:cs="Times New Roman"/>
                <w:position w:val="-1"/>
              </w:rPr>
              <w:t>HCO</w:t>
            </w:r>
            <w:r>
              <w:rPr>
                <w:rFonts w:ascii="Times New Roman" w:hAnsi="Times New Roman" w:eastAsia="Times New Roman" w:cs="Times New Roman"/>
                <w:sz w:val="13"/>
                <w:szCs w:val="13"/>
                <w:position w:val="-2"/>
              </w:rPr>
              <w:t>3</w:t>
            </w:r>
            <w:r>
              <w:rPr>
                <w:rFonts w:ascii="Times New Roman" w:hAnsi="Times New Roman" w:eastAsia="Times New Roman" w:cs="Times New Roman"/>
                <w:sz w:val="13"/>
                <w:szCs w:val="13"/>
                <w:spacing w:val="-1"/>
                <w:position w:val="5"/>
              </w:rPr>
              <w:t>- </w:t>
            </w:r>
            <w:r>
              <w:rPr>
                <w:spacing w:val="-1"/>
                <w:position w:val="-1"/>
              </w:rPr>
              <w:t>、</w:t>
            </w:r>
            <w:r>
              <w:rPr>
                <w:position w:val="-1"/>
              </w:rPr>
              <w:t xml:space="preserve"> </w:t>
            </w:r>
            <w:r>
              <w:rPr>
                <w:rFonts w:ascii="Times New Roman" w:hAnsi="Times New Roman" w:eastAsia="Times New Roman" w:cs="Times New Roman"/>
              </w:rPr>
              <w:t>Cl</w:t>
            </w:r>
            <w:r>
              <w:rPr>
                <w:rFonts w:ascii="Times New Roman" w:hAnsi="Times New Roman" w:eastAsia="Times New Roman" w:cs="Times New Roman"/>
                <w:sz w:val="13"/>
                <w:szCs w:val="13"/>
                <w:spacing w:val="3"/>
                <w:position w:val="6"/>
              </w:rPr>
              <w:t>- </w:t>
            </w:r>
            <w:r>
              <w:rPr>
                <w:spacing w:val="3"/>
              </w:rPr>
              <w:t>、</w:t>
            </w:r>
            <w:r>
              <w:rPr>
                <w:rFonts w:ascii="Times New Roman" w:hAnsi="Times New Roman" w:eastAsia="Times New Roman" w:cs="Times New Roman"/>
              </w:rPr>
              <w:t>SO</w:t>
            </w:r>
            <w:r>
              <w:rPr>
                <w:rFonts w:ascii="Times New Roman" w:hAnsi="Times New Roman" w:eastAsia="Times New Roman" w:cs="Times New Roman"/>
                <w:sz w:val="13"/>
                <w:szCs w:val="13"/>
                <w:spacing w:val="3"/>
                <w:position w:val="-1"/>
              </w:rPr>
              <w:t>4</w:t>
            </w:r>
            <w:r>
              <w:rPr>
                <w:rFonts w:ascii="Times New Roman" w:hAnsi="Times New Roman" w:eastAsia="Times New Roman" w:cs="Times New Roman"/>
                <w:sz w:val="13"/>
                <w:szCs w:val="13"/>
                <w:spacing w:val="3"/>
                <w:position w:val="6"/>
              </w:rPr>
              <w:t>2- </w:t>
            </w:r>
            <w:r>
              <w:rPr>
                <w:spacing w:val="3"/>
              </w:rPr>
              <w:t>、</w:t>
            </w:r>
            <w:r>
              <w:rPr>
                <w:rFonts w:ascii="Times New Roman" w:hAnsi="Times New Roman" w:eastAsia="Times New Roman" w:cs="Times New Roman"/>
              </w:rPr>
              <w:t>pH</w:t>
            </w:r>
            <w:r>
              <w:rPr>
                <w:rFonts w:ascii="Times New Roman" w:hAnsi="Times New Roman" w:eastAsia="Times New Roman" w:cs="Times New Roman"/>
                <w:spacing w:val="-6"/>
              </w:rPr>
              <w:t xml:space="preserve"> </w:t>
            </w:r>
            <w:r>
              <w:rPr>
                <w:spacing w:val="3"/>
              </w:rPr>
              <w:t>、</w:t>
            </w:r>
            <w:r>
              <w:rPr>
                <w:rFonts w:ascii="Times New Roman" w:hAnsi="Times New Roman" w:eastAsia="Times New Roman" w:cs="Times New Roman"/>
              </w:rPr>
              <w:t>NH</w:t>
            </w:r>
            <w:r>
              <w:rPr>
                <w:rFonts w:ascii="Times New Roman" w:hAnsi="Times New Roman" w:eastAsia="Times New Roman" w:cs="Times New Roman"/>
                <w:sz w:val="13"/>
                <w:szCs w:val="13"/>
                <w:spacing w:val="3"/>
              </w:rPr>
              <w:t>3</w:t>
            </w:r>
            <w:r>
              <w:rPr>
                <w:rFonts w:ascii="Times New Roman" w:hAnsi="Times New Roman" w:eastAsia="Times New Roman" w:cs="Times New Roman"/>
                <w:spacing w:val="3"/>
              </w:rPr>
              <w:t>-N</w:t>
            </w:r>
            <w:r>
              <w:rPr>
                <w:rFonts w:ascii="Times New Roman" w:hAnsi="Times New Roman" w:eastAsia="Times New Roman" w:cs="Times New Roman"/>
                <w:spacing w:val="-20"/>
              </w:rPr>
              <w:t xml:space="preserve"> </w:t>
            </w:r>
            <w:r>
              <w:rPr>
                <w:spacing w:val="3"/>
              </w:rPr>
              <w:t>、硝酸盐、亚硝</w:t>
            </w:r>
            <w:r>
              <w:rPr>
                <w:spacing w:val="6"/>
              </w:rPr>
              <w:t>酸盐、挥发性酚类、氰化物、砷、汞、六</w:t>
            </w:r>
          </w:p>
        </w:tc>
      </w:tr>
    </w:tbl>
    <w:p>
      <w:pPr>
        <w:pStyle w:val="BodyText"/>
        <w:rPr/>
      </w:pPr>
      <w:r/>
    </w:p>
    <w:p>
      <w:pPr>
        <w:sectPr>
          <w:footerReference w:type="default" r:id="rId356"/>
          <w:pgSz w:w="11906" w:h="16839"/>
          <w:pgMar w:top="400" w:right="1691" w:bottom="1358" w:left="1691" w:header="0" w:footer="1195" w:gutter="0"/>
        </w:sectPr>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5"/>
        <w:gridCol w:w="1265"/>
        <w:gridCol w:w="2500"/>
        <w:gridCol w:w="3942"/>
      </w:tblGrid>
      <w:tr>
        <w:trPr>
          <w:trHeight w:val="1653" w:hRule="atLeast"/>
        </w:trPr>
        <w:tc>
          <w:tcPr>
            <w:tcW w:w="815" w:type="dxa"/>
            <w:vAlign w:val="top"/>
            <w:tcBorders>
              <w:top w:val="single" w:color="000000" w:sz="10" w:space="0"/>
              <w:left w:val="nil"/>
            </w:tcBorders>
          </w:tcPr>
          <w:p>
            <w:pPr>
              <w:spacing w:line="346" w:lineRule="auto"/>
              <w:rPr>
                <w:rFonts w:ascii="Arial"/>
                <w:sz w:val="21"/>
              </w:rPr>
            </w:pPr>
            <w:r/>
          </w:p>
          <w:p>
            <w:pPr>
              <w:spacing w:line="346" w:lineRule="auto"/>
              <w:rPr>
                <w:rFonts w:ascii="Arial"/>
                <w:sz w:val="21"/>
              </w:rPr>
            </w:pPr>
            <w:r/>
          </w:p>
          <w:p>
            <w:pPr>
              <w:ind w:left="30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p>
        </w:tc>
        <w:tc>
          <w:tcPr>
            <w:tcW w:w="1265" w:type="dxa"/>
            <w:vAlign w:val="top"/>
            <w:tcBorders>
              <w:top w:val="single" w:color="000000" w:sz="10" w:space="0"/>
            </w:tcBorders>
          </w:tcPr>
          <w:p>
            <w:pPr>
              <w:spacing w:line="338" w:lineRule="auto"/>
              <w:rPr>
                <w:rFonts w:ascii="Arial"/>
                <w:sz w:val="21"/>
              </w:rPr>
            </w:pPr>
            <w:r/>
          </w:p>
          <w:p>
            <w:pPr>
              <w:pStyle w:val="TableText"/>
              <w:ind w:left="225" w:right="212" w:hanging="1"/>
              <w:spacing w:before="65" w:line="288" w:lineRule="auto"/>
              <w:rPr/>
            </w:pPr>
            <w:r>
              <w:rPr>
                <w:spacing w:val="5"/>
              </w:rPr>
              <w:t>地下水环</w:t>
            </w:r>
            <w:r>
              <w:rPr>
                <w:spacing w:val="5"/>
              </w:rPr>
              <w:t>境影响跟</w:t>
            </w:r>
          </w:p>
          <w:p>
            <w:pPr>
              <w:pStyle w:val="TableText"/>
              <w:ind w:left="225"/>
              <w:spacing w:line="231" w:lineRule="auto"/>
              <w:rPr/>
            </w:pPr>
            <w:r>
              <w:rPr>
                <w:spacing w:val="5"/>
              </w:rPr>
              <w:t>踪监测点</w:t>
            </w:r>
          </w:p>
        </w:tc>
        <w:tc>
          <w:tcPr>
            <w:tcW w:w="2500" w:type="dxa"/>
            <w:vAlign w:val="top"/>
            <w:vMerge w:val="restart"/>
            <w:tcBorders>
              <w:bottom w:val="nil"/>
              <w:top w:val="single" w:color="000000" w:sz="10" w:space="0"/>
            </w:tcBorders>
          </w:tcPr>
          <w:p>
            <w:pPr>
              <w:pStyle w:val="TableText"/>
              <w:ind w:left="127"/>
              <w:spacing w:before="36" w:line="228" w:lineRule="auto"/>
              <w:rPr/>
            </w:pPr>
            <w:r>
              <w:rPr>
                <w:spacing w:val="5"/>
              </w:rPr>
              <w:t>每单月采样一次，一年六</w:t>
            </w:r>
          </w:p>
          <w:p>
            <w:pPr>
              <w:pStyle w:val="TableText"/>
              <w:ind w:left="120"/>
              <w:spacing w:before="65" w:line="228" w:lineRule="auto"/>
              <w:rPr/>
            </w:pPr>
            <w:r>
              <w:rPr>
                <w:spacing w:val="6"/>
              </w:rPr>
              <w:t>次。在监测井水质没有上</w:t>
            </w:r>
          </w:p>
          <w:p>
            <w:pPr>
              <w:pStyle w:val="TableText"/>
              <w:ind w:left="123"/>
              <w:spacing w:before="64" w:line="231" w:lineRule="auto"/>
              <w:rPr/>
            </w:pPr>
            <w:r>
              <w:rPr>
                <w:spacing w:val="6"/>
              </w:rPr>
              <w:t>升趋势，且变化不大，而</w:t>
            </w:r>
          </w:p>
          <w:p>
            <w:pPr>
              <w:pStyle w:val="TableText"/>
              <w:ind w:left="210"/>
              <w:spacing w:before="61" w:line="231" w:lineRule="auto"/>
              <w:rPr/>
            </w:pPr>
            <w:r>
              <w:rPr>
                <w:spacing w:val="8"/>
              </w:rPr>
              <w:t>现有污染源排污量未增</w:t>
            </w:r>
          </w:p>
          <w:p>
            <w:pPr>
              <w:pStyle w:val="TableText"/>
              <w:ind w:left="132"/>
              <w:spacing w:before="61" w:line="228" w:lineRule="auto"/>
              <w:rPr/>
            </w:pPr>
            <w:r>
              <w:rPr>
                <w:spacing w:val="4"/>
              </w:rPr>
              <w:t>的情况下，可每年在丰水</w:t>
            </w:r>
          </w:p>
          <w:p>
            <w:pPr>
              <w:pStyle w:val="TableText"/>
              <w:ind w:left="120"/>
              <w:spacing w:before="65" w:line="231" w:lineRule="auto"/>
              <w:rPr/>
            </w:pPr>
            <w:r>
              <w:rPr>
                <w:spacing w:val="6"/>
              </w:rPr>
              <w:t>期、枯水期监测一次，一</w:t>
            </w:r>
          </w:p>
          <w:p>
            <w:pPr>
              <w:pStyle w:val="TableText"/>
              <w:ind w:left="216"/>
              <w:spacing w:before="62" w:line="228" w:lineRule="auto"/>
              <w:rPr/>
            </w:pPr>
            <w:r>
              <w:rPr>
                <w:spacing w:val="7"/>
              </w:rPr>
              <w:t>旦监测结果存在明显的</w:t>
            </w:r>
          </w:p>
          <w:p>
            <w:pPr>
              <w:pStyle w:val="TableText"/>
              <w:ind w:left="121"/>
              <w:spacing w:before="65" w:line="228" w:lineRule="auto"/>
              <w:rPr/>
            </w:pPr>
            <w:r>
              <w:rPr>
                <w:spacing w:val="5"/>
              </w:rPr>
              <w:t>上升趋势，或在监测井附</w:t>
            </w:r>
          </w:p>
          <w:p>
            <w:pPr>
              <w:pStyle w:val="TableText"/>
              <w:ind w:left="211"/>
              <w:spacing w:before="65" w:line="231" w:lineRule="auto"/>
              <w:rPr/>
            </w:pPr>
            <w:r>
              <w:rPr>
                <w:spacing w:val="8"/>
              </w:rPr>
              <w:t>近有新的污染源或现有</w:t>
            </w:r>
          </w:p>
          <w:p>
            <w:pPr>
              <w:pStyle w:val="TableText"/>
              <w:ind w:left="124"/>
              <w:spacing w:before="62" w:line="231" w:lineRule="auto"/>
              <w:rPr/>
            </w:pPr>
            <w:r>
              <w:rPr>
                <w:spacing w:val="7"/>
              </w:rPr>
              <w:t>污染源新增排污量时，即</w:t>
            </w:r>
          </w:p>
          <w:p>
            <w:pPr>
              <w:pStyle w:val="TableText"/>
              <w:ind w:left="318"/>
              <w:spacing w:before="61" w:line="229" w:lineRule="auto"/>
              <w:rPr/>
            </w:pPr>
            <w:r>
              <w:rPr>
                <w:spacing w:val="6"/>
              </w:rPr>
              <w:t>恢复正常监测频次。</w:t>
            </w:r>
          </w:p>
        </w:tc>
        <w:tc>
          <w:tcPr>
            <w:tcW w:w="3942" w:type="dxa"/>
            <w:vAlign w:val="top"/>
            <w:vMerge w:val="restart"/>
            <w:tcBorders>
              <w:bottom w:val="nil"/>
              <w:top w:val="single" w:color="000000" w:sz="10" w:space="0"/>
              <w:right w:val="nil"/>
            </w:tcBorders>
          </w:tcPr>
          <w:p>
            <w:pPr>
              <w:pStyle w:val="TableText"/>
              <w:ind w:right="12"/>
              <w:spacing w:before="36" w:line="229" w:lineRule="auto"/>
              <w:jc w:val="right"/>
              <w:rPr/>
            </w:pPr>
            <w:r>
              <w:rPr/>
              <w:t>价铬、总硬度、铅、氟化物、镉、铁、锰、</w:t>
            </w:r>
          </w:p>
          <w:p>
            <w:pPr>
              <w:pStyle w:val="TableText"/>
              <w:ind w:left="120"/>
              <w:spacing w:before="63" w:line="229" w:lineRule="auto"/>
              <w:rPr/>
            </w:pPr>
            <w:r>
              <w:rPr>
                <w:spacing w:val="6"/>
              </w:rPr>
              <w:t>铜、锌、铝、硫化物、溶解性总固体、耗</w:t>
            </w:r>
          </w:p>
          <w:p>
            <w:pPr>
              <w:pStyle w:val="TableText"/>
              <w:ind w:left="122"/>
              <w:spacing w:before="64" w:line="229" w:lineRule="auto"/>
              <w:rPr/>
            </w:pPr>
            <w:r>
              <w:rPr>
                <w:spacing w:val="5"/>
              </w:rPr>
              <w:t>氧量（</w:t>
            </w:r>
            <w:r>
              <w:rPr>
                <w:rFonts w:ascii="Times New Roman" w:hAnsi="Times New Roman" w:eastAsia="Times New Roman" w:cs="Times New Roman"/>
              </w:rPr>
              <w:t>COD</w:t>
            </w:r>
            <w:r>
              <w:rPr>
                <w:spacing w:val="5"/>
              </w:rPr>
              <w:t>）、硫酸盐、氯化物、总大肠</w:t>
            </w:r>
          </w:p>
          <w:p>
            <w:pPr>
              <w:pStyle w:val="TableText"/>
              <w:ind w:left="777"/>
              <w:spacing w:before="63" w:line="232" w:lineRule="auto"/>
              <w:rPr/>
            </w:pPr>
            <w:r>
              <w:rPr>
                <w:spacing w:val="4"/>
              </w:rPr>
              <w:t>菌数、细菌总数等</w:t>
            </w:r>
            <w:r>
              <w:rPr>
                <w:spacing w:val="-30"/>
              </w:rPr>
              <w:t xml:space="preserve"> </w:t>
            </w:r>
            <w:r>
              <w:rPr>
                <w:rFonts w:ascii="Times New Roman" w:hAnsi="Times New Roman" w:eastAsia="Times New Roman" w:cs="Times New Roman"/>
                <w:spacing w:val="4"/>
              </w:rPr>
              <w:t>33</w:t>
            </w:r>
            <w:r>
              <w:rPr>
                <w:rFonts w:ascii="Times New Roman" w:hAnsi="Times New Roman" w:eastAsia="Times New Roman" w:cs="Times New Roman"/>
                <w:spacing w:val="16"/>
              </w:rPr>
              <w:t xml:space="preserve"> </w:t>
            </w:r>
            <w:r>
              <w:rPr>
                <w:spacing w:val="4"/>
              </w:rPr>
              <w:t>项。</w:t>
            </w:r>
          </w:p>
        </w:tc>
      </w:tr>
      <w:tr>
        <w:trPr>
          <w:trHeight w:val="1762" w:hRule="atLeast"/>
        </w:trPr>
        <w:tc>
          <w:tcPr>
            <w:tcW w:w="815" w:type="dxa"/>
            <w:vAlign w:val="top"/>
            <w:tcBorders>
              <w:bottom w:val="single" w:color="000000" w:sz="10" w:space="0"/>
              <w:left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31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65" w:type="dxa"/>
            <w:vAlign w:val="top"/>
            <w:tcBorders>
              <w:bottom w:val="single" w:color="000000" w:sz="10" w:space="0"/>
            </w:tcBorders>
          </w:tcPr>
          <w:p>
            <w:pPr>
              <w:spacing w:line="277" w:lineRule="auto"/>
              <w:rPr>
                <w:rFonts w:ascii="Arial"/>
                <w:sz w:val="21"/>
              </w:rPr>
            </w:pPr>
            <w:r/>
          </w:p>
          <w:p>
            <w:pPr>
              <w:spacing w:line="278" w:lineRule="auto"/>
              <w:rPr>
                <w:rFonts w:ascii="Arial"/>
                <w:sz w:val="21"/>
              </w:rPr>
            </w:pPr>
            <w:r/>
          </w:p>
          <w:p>
            <w:pPr>
              <w:pStyle w:val="TableText"/>
              <w:ind w:left="334" w:right="212" w:hanging="107"/>
              <w:spacing w:before="65" w:line="289" w:lineRule="auto"/>
              <w:rPr/>
            </w:pPr>
            <w:r>
              <w:rPr>
                <w:spacing w:val="4"/>
              </w:rPr>
              <w:t>污染扩散</w:t>
            </w:r>
            <w:r>
              <w:rPr>
                <w:spacing w:val="3"/>
              </w:rPr>
              <w:t>监测点</w:t>
            </w:r>
          </w:p>
        </w:tc>
        <w:tc>
          <w:tcPr>
            <w:tcW w:w="2500" w:type="dxa"/>
            <w:vAlign w:val="top"/>
            <w:vMerge w:val="continue"/>
            <w:tcBorders>
              <w:bottom w:val="single" w:color="000000" w:sz="10" w:space="0"/>
              <w:top w:val="nil"/>
            </w:tcBorders>
          </w:tcPr>
          <w:p>
            <w:pPr>
              <w:rPr>
                <w:rFonts w:ascii="Arial"/>
                <w:sz w:val="21"/>
              </w:rPr>
            </w:pPr>
            <w:r/>
          </w:p>
        </w:tc>
        <w:tc>
          <w:tcPr>
            <w:tcW w:w="3942" w:type="dxa"/>
            <w:vAlign w:val="top"/>
            <w:vMerge w:val="continue"/>
            <w:tcBorders>
              <w:bottom w:val="single" w:color="000000" w:sz="10" w:space="0"/>
              <w:top w:val="nil"/>
              <w:right w:val="nil"/>
            </w:tcBorders>
          </w:tcPr>
          <w:p>
            <w:pPr>
              <w:rPr>
                <w:rFonts w:ascii="Arial"/>
                <w:sz w:val="21"/>
              </w:rPr>
            </w:pPr>
            <w:r/>
          </w:p>
        </w:tc>
      </w:tr>
    </w:tbl>
    <w:p>
      <w:pPr>
        <w:pStyle w:val="BodyText"/>
        <w:spacing w:line="251" w:lineRule="auto"/>
        <w:rPr/>
      </w:pPr>
      <w:r/>
    </w:p>
    <w:p>
      <w:pPr>
        <w:pStyle w:val="BodyText"/>
        <w:spacing w:line="252" w:lineRule="auto"/>
        <w:rPr/>
      </w:pPr>
      <w:r/>
    </w:p>
    <w:p>
      <w:pPr>
        <w:ind w:left="608"/>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）监测机构和人员</w:t>
      </w:r>
    </w:p>
    <w:p>
      <w:pPr>
        <w:ind w:left="123" w:right="68" w:firstLine="481"/>
        <w:spacing w:before="178" w:line="360" w:lineRule="auto"/>
        <w:rPr>
          <w:rFonts w:ascii="FangSong" w:hAnsi="FangSong" w:eastAsia="FangSong" w:cs="FangSong"/>
          <w:sz w:val="24"/>
          <w:szCs w:val="24"/>
        </w:rPr>
      </w:pPr>
      <w:r>
        <w:rPr>
          <w:rFonts w:ascii="FangSong" w:hAnsi="FangSong" w:eastAsia="FangSong" w:cs="FangSong"/>
          <w:sz w:val="24"/>
          <w:szCs w:val="24"/>
          <w:spacing w:val="-3"/>
        </w:rPr>
        <w:t>地下水跟踪监测应聘请专业的采样人员进行采</w:t>
      </w:r>
      <w:r>
        <w:rPr>
          <w:rFonts w:ascii="FangSong" w:hAnsi="FangSong" w:eastAsia="FangSong" w:cs="FangSong"/>
          <w:sz w:val="24"/>
          <w:szCs w:val="24"/>
          <w:spacing w:val="-4"/>
        </w:rPr>
        <w:t>样，地下水水质监测通常采集</w:t>
      </w:r>
      <w:r>
        <w:rPr>
          <w:rFonts w:ascii="FangSong" w:hAnsi="FangSong" w:eastAsia="FangSong" w:cs="FangSong"/>
          <w:sz w:val="24"/>
          <w:szCs w:val="24"/>
          <w:spacing w:val="-2"/>
        </w:rPr>
        <w:t>瞬时水样在采样前应先测地下水位。从井中采集水样，必须在充分抽汲后进行，</w:t>
      </w:r>
      <w:r>
        <w:rPr>
          <w:rFonts w:ascii="FangSong" w:hAnsi="FangSong" w:eastAsia="FangSong" w:cs="FangSong"/>
          <w:sz w:val="24"/>
          <w:szCs w:val="24"/>
          <w:spacing w:val="-4"/>
        </w:rPr>
        <w:t>抽汲水量不得少于井内水体积的</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倍，采样深度应在地下水</w:t>
      </w:r>
      <w:r>
        <w:rPr>
          <w:rFonts w:ascii="FangSong" w:hAnsi="FangSong" w:eastAsia="FangSong" w:cs="FangSong"/>
          <w:sz w:val="24"/>
          <w:szCs w:val="24"/>
          <w:spacing w:val="-5"/>
        </w:rPr>
        <w:t>水面</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1m</w:t>
      </w:r>
      <w:r>
        <w:rPr>
          <w:rFonts w:ascii="Times New Roman" w:hAnsi="Times New Roman" w:eastAsia="Times New Roman" w:cs="Times New Roman"/>
          <w:sz w:val="24"/>
          <w:szCs w:val="24"/>
          <w:spacing w:val="41"/>
        </w:rPr>
        <w:t xml:space="preserve"> </w:t>
      </w:r>
      <w:r>
        <w:rPr>
          <w:rFonts w:ascii="FangSong" w:hAnsi="FangSong" w:eastAsia="FangSong" w:cs="FangSong"/>
          <w:sz w:val="24"/>
          <w:szCs w:val="24"/>
          <w:spacing w:val="-5"/>
        </w:rPr>
        <w:t>以下，以保</w:t>
      </w:r>
      <w:r>
        <w:rPr>
          <w:rFonts w:ascii="FangSong" w:hAnsi="FangSong" w:eastAsia="FangSong" w:cs="FangSong"/>
          <w:sz w:val="24"/>
          <w:szCs w:val="24"/>
          <w:spacing w:val="4"/>
        </w:rPr>
        <w:t>证水样能代表地下水水质采集的地下水样品应妥善保存运送至具</w:t>
      </w:r>
      <w:r>
        <w:rPr>
          <w:rFonts w:ascii="FangSong" w:hAnsi="FangSong" w:eastAsia="FangSong" w:cs="FangSong"/>
          <w:sz w:val="24"/>
          <w:szCs w:val="24"/>
          <w:spacing w:val="3"/>
        </w:rPr>
        <w:t>有地下水监测</w:t>
      </w:r>
      <w:r>
        <w:rPr>
          <w:rFonts w:ascii="FangSong" w:hAnsi="FangSong" w:eastAsia="FangSong" w:cs="FangSong"/>
          <w:sz w:val="24"/>
          <w:szCs w:val="24"/>
          <w:spacing w:val="-3"/>
        </w:rPr>
        <w:t>因子</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CMA</w:t>
      </w:r>
      <w:r>
        <w:rPr>
          <w:rFonts w:ascii="Times New Roman" w:hAnsi="Times New Roman" w:eastAsia="Times New Roman" w:cs="Times New Roman"/>
          <w:sz w:val="24"/>
          <w:szCs w:val="24"/>
          <w:spacing w:val="25"/>
          <w:w w:val="101"/>
        </w:rPr>
        <w:t xml:space="preserve"> </w:t>
      </w:r>
      <w:r>
        <w:rPr>
          <w:rFonts w:ascii="FangSong" w:hAnsi="FangSong" w:eastAsia="FangSong" w:cs="FangSong"/>
          <w:sz w:val="24"/>
          <w:szCs w:val="24"/>
          <w:spacing w:val="-3"/>
        </w:rPr>
        <w:t>资质的专业实验室进行检测。</w:t>
      </w:r>
    </w:p>
    <w:p>
      <w:pPr>
        <w:ind w:left="608"/>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）地下水跟踪监测与信息公开计划</w:t>
      </w:r>
    </w:p>
    <w:p>
      <w:pPr>
        <w:ind w:left="128" w:right="107" w:firstLine="474"/>
        <w:spacing w:before="179" w:line="360" w:lineRule="auto"/>
        <w:rPr>
          <w:rFonts w:ascii="FangSong" w:hAnsi="FangSong" w:eastAsia="FangSong" w:cs="FangSong"/>
          <w:sz w:val="24"/>
          <w:szCs w:val="24"/>
        </w:rPr>
      </w:pPr>
      <w:r>
        <w:rPr>
          <w:rFonts w:ascii="FangSong" w:hAnsi="FangSong" w:eastAsia="FangSong" w:cs="FangSong"/>
          <w:sz w:val="24"/>
          <w:szCs w:val="24"/>
          <w:spacing w:val="-3"/>
        </w:rPr>
        <w:t>厂方的安全环保部门应设立地下水动态监测小组，</w:t>
      </w:r>
      <w:r>
        <w:rPr>
          <w:rFonts w:ascii="FangSong" w:hAnsi="FangSong" w:eastAsia="FangSong" w:cs="FangSong"/>
          <w:sz w:val="24"/>
          <w:szCs w:val="24"/>
          <w:spacing w:val="-4"/>
        </w:rPr>
        <w:t>专人负责监测，并编写地</w:t>
      </w:r>
      <w:r>
        <w:rPr>
          <w:rFonts w:ascii="FangSong" w:hAnsi="FangSong" w:eastAsia="FangSong" w:cs="FangSong"/>
          <w:sz w:val="24"/>
          <w:szCs w:val="24"/>
          <w:spacing w:val="-1"/>
        </w:rPr>
        <w:t>下水跟踪监测报告。监测报告的内容一般包括：</w:t>
      </w:r>
    </w:p>
    <w:p>
      <w:pPr>
        <w:ind w:left="127" w:right="110" w:firstLine="468"/>
        <w:spacing w:before="1" w:line="291"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建设项目所在场地的地下水环境跟踪监测数据，排放污染物的种类、数</w:t>
      </w:r>
      <w:r>
        <w:rPr>
          <w:rFonts w:ascii="FangSong" w:hAnsi="FangSong" w:eastAsia="FangSong" w:cs="FangSong"/>
          <w:sz w:val="24"/>
          <w:szCs w:val="24"/>
          <w:spacing w:val="-4"/>
        </w:rPr>
        <w:t>量、浓度。</w:t>
      </w:r>
    </w:p>
    <w:p>
      <w:pPr>
        <w:ind w:left="124" w:right="110" w:firstLine="470"/>
        <w:spacing w:before="179" w:line="290"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生产设备、管廊或管线、贮存与运输装置、污染物贮存与处理装置、事</w:t>
      </w:r>
      <w:r>
        <w:rPr>
          <w:rFonts w:ascii="FangSong" w:hAnsi="FangSong" w:eastAsia="FangSong" w:cs="FangSong"/>
          <w:sz w:val="24"/>
          <w:szCs w:val="24"/>
          <w:spacing w:val="-1"/>
        </w:rPr>
        <w:t>故应急装置等设施的运行状况、跑冒滴漏记录、维护记录。</w:t>
      </w:r>
    </w:p>
    <w:p>
      <w:pPr>
        <w:ind w:left="112" w:right="107" w:firstLine="498"/>
        <w:spacing w:before="181" w:line="360" w:lineRule="auto"/>
        <w:jc w:val="both"/>
        <w:rPr>
          <w:rFonts w:ascii="FangSong" w:hAnsi="FangSong" w:eastAsia="FangSong" w:cs="FangSong"/>
          <w:sz w:val="24"/>
          <w:szCs w:val="24"/>
        </w:rPr>
      </w:pPr>
      <w:r>
        <w:rPr>
          <w:rFonts w:ascii="FangSong" w:hAnsi="FangSong" w:eastAsia="FangSong" w:cs="FangSong"/>
          <w:sz w:val="24"/>
          <w:szCs w:val="24"/>
          <w:spacing w:val="-4"/>
        </w:rPr>
        <w:t>监测报告应按项目有关规定及时建立档案，并定期向安全环保部门汇报，同</w:t>
      </w:r>
      <w:r>
        <w:rPr>
          <w:rFonts w:ascii="FangSong" w:hAnsi="FangSong" w:eastAsia="FangSong" w:cs="FangSong"/>
          <w:sz w:val="24"/>
          <w:szCs w:val="24"/>
          <w:spacing w:val="4"/>
        </w:rPr>
        <w:t>时还应定期向主管环境保护部门汇报，对于常规监测数据应该进行公开，根据</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610-2016</w:t>
      </w:r>
      <w:r>
        <w:rPr>
          <w:rFonts w:ascii="Times New Roman" w:hAnsi="Times New Roman" w:eastAsia="Times New Roman" w:cs="Times New Roman"/>
          <w:sz w:val="24"/>
          <w:szCs w:val="24"/>
          <w:spacing w:val="32"/>
        </w:rPr>
        <w:t xml:space="preserve"> </w:t>
      </w:r>
      <w:r>
        <w:rPr>
          <w:rFonts w:ascii="FangSong" w:hAnsi="FangSong" w:eastAsia="FangSong" w:cs="FangSong"/>
          <w:sz w:val="24"/>
          <w:szCs w:val="24"/>
          <w:spacing w:val="2"/>
        </w:rPr>
        <w:t>的要求，厂方应定期公开建设项目特征</w:t>
      </w:r>
      <w:r>
        <w:rPr>
          <w:rFonts w:ascii="FangSong" w:hAnsi="FangSong" w:eastAsia="FangSong" w:cs="FangSong"/>
          <w:sz w:val="24"/>
          <w:szCs w:val="24"/>
          <w:spacing w:val="1"/>
        </w:rPr>
        <w:t>因子的地下水监测值。满足</w:t>
      </w:r>
      <w:r>
        <w:rPr>
          <w:rFonts w:ascii="FangSong" w:hAnsi="FangSong" w:eastAsia="FangSong" w:cs="FangSong"/>
          <w:sz w:val="24"/>
          <w:szCs w:val="24"/>
          <w:spacing w:val="-3"/>
        </w:rPr>
        <w:t>法律中关于知情权的要求。如发现异常或发生事故，加密监测频次，改为每天监</w:t>
      </w:r>
      <w:r>
        <w:rPr>
          <w:rFonts w:ascii="FangSong" w:hAnsi="FangSong" w:eastAsia="FangSong" w:cs="FangSong"/>
          <w:sz w:val="24"/>
          <w:szCs w:val="24"/>
        </w:rPr>
        <w:t>测一次，并分析污染原因，确定泄漏污染源，及时采取对</w:t>
      </w:r>
      <w:r>
        <w:rPr>
          <w:rFonts w:ascii="FangSong" w:hAnsi="FangSong" w:eastAsia="FangSong" w:cs="FangSong"/>
          <w:sz w:val="24"/>
          <w:szCs w:val="24"/>
          <w:spacing w:val="-1"/>
        </w:rPr>
        <w:t>应应急措施。</w:t>
      </w:r>
    </w:p>
    <w:p>
      <w:pPr>
        <w:ind w:left="116"/>
        <w:spacing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7.2.5.4</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应急响应</w:t>
      </w:r>
    </w:p>
    <w:p>
      <w:pPr>
        <w:ind w:left="608"/>
        <w:spacing w:before="178"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）应急措施</w:t>
      </w:r>
    </w:p>
    <w:p>
      <w:pPr>
        <w:ind w:left="607"/>
        <w:spacing w:before="179" w:line="222" w:lineRule="auto"/>
        <w:rPr>
          <w:rFonts w:ascii="FangSong" w:hAnsi="FangSong" w:eastAsia="FangSong" w:cs="FangSong"/>
          <w:sz w:val="24"/>
          <w:szCs w:val="24"/>
        </w:rPr>
      </w:pPr>
      <w:r>
        <w:rPr>
          <w:rFonts w:ascii="FangSong" w:hAnsi="FangSong" w:eastAsia="FangSong" w:cs="FangSong"/>
          <w:sz w:val="24"/>
          <w:szCs w:val="24"/>
          <w:spacing w:val="-4"/>
        </w:rPr>
        <w:t>一旦发现地下水污染事故，立即启动应急预案，采取如下应急措施防止厂区</w:t>
      </w:r>
    </w:p>
    <w:p>
      <w:pPr>
        <w:spacing w:line="222" w:lineRule="auto"/>
        <w:sectPr>
          <w:footerReference w:type="default" r:id="rId357"/>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2"/>
        <w:spacing w:before="78" w:line="220" w:lineRule="auto"/>
        <w:rPr>
          <w:rFonts w:ascii="FangSong" w:hAnsi="FangSong" w:eastAsia="FangSong" w:cs="FangSong"/>
          <w:sz w:val="24"/>
          <w:szCs w:val="24"/>
        </w:rPr>
      </w:pPr>
      <w:bookmarkStart w:name="bookmark612" w:id="454"/>
      <w:bookmarkEnd w:id="454"/>
      <w:r>
        <w:rPr>
          <w:rFonts w:ascii="FangSong" w:hAnsi="FangSong" w:eastAsia="FangSong" w:cs="FangSong"/>
          <w:sz w:val="24"/>
          <w:szCs w:val="24"/>
          <w:spacing w:val="-1"/>
        </w:rPr>
        <w:t>废水下渗对草原等造成污染，并使污染得到治理。</w:t>
      </w:r>
    </w:p>
    <w:p>
      <w:pPr>
        <w:ind w:left="502"/>
        <w:spacing w:before="181" w:line="22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查明并切断污染源；</w:t>
      </w:r>
    </w:p>
    <w:p>
      <w:pPr>
        <w:ind w:left="501"/>
        <w:spacing w:before="181" w:line="222"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探明地下水污染深度、范围和程度：</w:t>
      </w:r>
    </w:p>
    <w:p>
      <w:pPr>
        <w:ind w:left="45" w:right="20" w:firstLine="456"/>
        <w:spacing w:before="180" w:line="290"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依据探明的地下水污染情况和场岩性特征，合理布置抽井深度及依据探</w:t>
      </w:r>
      <w:r>
        <w:rPr>
          <w:rFonts w:ascii="FangSong" w:hAnsi="FangSong" w:eastAsia="FangSong" w:cs="FangSong"/>
          <w:sz w:val="24"/>
          <w:szCs w:val="24"/>
          <w:spacing w:val="-8"/>
        </w:rPr>
        <w:t>明的地下水污染情况和场岩性特征，合理布置</w:t>
      </w:r>
      <w:r>
        <w:rPr>
          <w:rFonts w:ascii="FangSong" w:hAnsi="FangSong" w:eastAsia="FangSong" w:cs="FangSong"/>
          <w:sz w:val="24"/>
          <w:szCs w:val="24"/>
          <w:spacing w:val="-9"/>
        </w:rPr>
        <w:t>抽井深度及间距，并进行试抽工作；</w:t>
      </w:r>
    </w:p>
    <w:p>
      <w:pPr>
        <w:ind w:left="29" w:right="85" w:firstLine="472"/>
        <w:spacing w:before="182" w:line="290" w:lineRule="auto"/>
        <w:rPr>
          <w:rFonts w:ascii="FangSong" w:hAnsi="FangSong" w:eastAsia="FangSong" w:cs="FangSong"/>
          <w:sz w:val="24"/>
          <w:szCs w:val="24"/>
        </w:rPr>
      </w:pPr>
      <w:r>
        <w:rPr>
          <w:rFonts w:ascii="FangSong" w:hAnsi="FangSong" w:eastAsia="FangSong" w:cs="FangSong"/>
          <w:sz w:val="24"/>
          <w:szCs w:val="24"/>
        </w:rPr>
        <w:t>④</w:t>
      </w:r>
      <w:r>
        <w:rPr>
          <w:rFonts w:ascii="FangSong" w:hAnsi="FangSong" w:eastAsia="FangSong" w:cs="FangSong"/>
          <w:sz w:val="24"/>
          <w:szCs w:val="24"/>
        </w:rPr>
        <w:t xml:space="preserve"> </w:t>
      </w:r>
      <w:r>
        <w:rPr>
          <w:rFonts w:ascii="FangSong" w:hAnsi="FangSong" w:eastAsia="FangSong" w:cs="FangSong"/>
          <w:sz w:val="24"/>
          <w:szCs w:val="24"/>
        </w:rPr>
        <w:t>依据抽水设计方案进行施工，取被污染的地下体并各并孔出情况依据抽</w:t>
      </w:r>
      <w:r>
        <w:rPr>
          <w:rFonts w:ascii="FangSong" w:hAnsi="FangSong" w:eastAsia="FangSong" w:cs="FangSong"/>
          <w:sz w:val="24"/>
          <w:szCs w:val="24"/>
          <w:spacing w:val="-1"/>
        </w:rPr>
        <w:t>水设计方案进行施工，取被污染的地下体并各井孔出情况进行调整；</w:t>
      </w:r>
    </w:p>
    <w:p>
      <w:pPr>
        <w:ind w:left="501"/>
        <w:spacing w:before="181" w:line="221" w:lineRule="auto"/>
        <w:rPr>
          <w:rFonts w:ascii="FangSong" w:hAnsi="FangSong" w:eastAsia="FangSong" w:cs="FangSong"/>
          <w:sz w:val="24"/>
          <w:szCs w:val="24"/>
        </w:rPr>
      </w:pPr>
      <w:r>
        <w:rPr>
          <w:rFonts w:ascii="FangSong" w:hAnsi="FangSong" w:eastAsia="FangSong" w:cs="FangSong"/>
          <w:sz w:val="24"/>
          <w:szCs w:val="24"/>
        </w:rPr>
        <w:t>⑤</w:t>
      </w:r>
      <w:r>
        <w:rPr>
          <w:rFonts w:ascii="FangSong" w:hAnsi="FangSong" w:eastAsia="FangSong" w:cs="FangSong"/>
          <w:sz w:val="24"/>
          <w:szCs w:val="24"/>
        </w:rPr>
        <w:t xml:space="preserve"> </w:t>
      </w:r>
      <w:r>
        <w:rPr>
          <w:rFonts w:ascii="FangSong" w:hAnsi="FangSong" w:eastAsia="FangSong" w:cs="FangSong"/>
          <w:sz w:val="24"/>
          <w:szCs w:val="24"/>
        </w:rPr>
        <w:t>将抽取的地下水进行集中收处理，外送委托</w:t>
      </w:r>
      <w:r>
        <w:rPr>
          <w:rFonts w:ascii="FangSong" w:hAnsi="FangSong" w:eastAsia="FangSong" w:cs="FangSong"/>
          <w:sz w:val="24"/>
          <w:szCs w:val="24"/>
          <w:spacing w:val="-1"/>
        </w:rPr>
        <w:t>第三方实验室分析。</w:t>
      </w:r>
    </w:p>
    <w:p>
      <w:pPr>
        <w:ind w:left="31" w:right="85" w:firstLine="469"/>
        <w:spacing w:before="181" w:line="290" w:lineRule="auto"/>
        <w:rPr>
          <w:rFonts w:ascii="FangSong" w:hAnsi="FangSong" w:eastAsia="FangSong" w:cs="FangSong"/>
          <w:sz w:val="24"/>
          <w:szCs w:val="24"/>
        </w:rPr>
      </w:pPr>
      <w:r>
        <w:rPr>
          <w:rFonts w:ascii="FangSong" w:hAnsi="FangSong" w:eastAsia="FangSong" w:cs="FangSong"/>
          <w:sz w:val="24"/>
          <w:szCs w:val="24"/>
          <w:spacing w:val="-1"/>
        </w:rPr>
        <w:t>⑥</w:t>
      </w:r>
      <w:r>
        <w:rPr>
          <w:rFonts w:ascii="FangSong" w:hAnsi="FangSong" w:eastAsia="FangSong" w:cs="FangSong"/>
          <w:sz w:val="24"/>
          <w:szCs w:val="24"/>
          <w:spacing w:val="47"/>
        </w:rPr>
        <w:t xml:space="preserve"> </w:t>
      </w:r>
      <w:r>
        <w:rPr>
          <w:rFonts w:ascii="FangSong" w:hAnsi="FangSong" w:eastAsia="FangSong" w:cs="FangSong"/>
          <w:sz w:val="24"/>
          <w:szCs w:val="24"/>
          <w:spacing w:val="-1"/>
        </w:rPr>
        <w:t>当地下水中的特征污染物浓度满足相关标准后，逐步停止井点抽水，并</w:t>
      </w:r>
      <w:r>
        <w:rPr>
          <w:rFonts w:ascii="FangSong" w:hAnsi="FangSong" w:eastAsia="FangSong" w:cs="FangSong"/>
          <w:sz w:val="24"/>
          <w:szCs w:val="24"/>
          <w:spacing w:val="-2"/>
        </w:rPr>
        <w:t>进行土壤修复治理工作。</w:t>
      </w:r>
    </w:p>
    <w:p>
      <w:pPr>
        <w:ind w:left="514"/>
        <w:spacing w:before="182"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）应注意的问题</w:t>
      </w:r>
    </w:p>
    <w:p>
      <w:pPr>
        <w:ind w:left="34" w:right="83" w:firstLine="476"/>
        <w:spacing w:before="179" w:line="360" w:lineRule="auto"/>
        <w:rPr>
          <w:rFonts w:ascii="FangSong" w:hAnsi="FangSong" w:eastAsia="FangSong" w:cs="FangSong"/>
          <w:sz w:val="24"/>
          <w:szCs w:val="24"/>
        </w:rPr>
      </w:pPr>
      <w:r>
        <w:rPr>
          <w:rFonts w:ascii="FangSong" w:hAnsi="FangSong" w:eastAsia="FangSong" w:cs="FangSong"/>
          <w:sz w:val="24"/>
          <w:szCs w:val="24"/>
          <w:spacing w:val="-3"/>
        </w:rPr>
        <w:t>地下水污染的治理相对于地表水来说更加复杂</w:t>
      </w:r>
      <w:r>
        <w:rPr>
          <w:rFonts w:ascii="FangSong" w:hAnsi="FangSong" w:eastAsia="FangSong" w:cs="FangSong"/>
          <w:sz w:val="24"/>
          <w:szCs w:val="24"/>
          <w:spacing w:val="-4"/>
        </w:rPr>
        <w:t>，在进行具体的治理时，还需</w:t>
      </w:r>
      <w:r>
        <w:rPr>
          <w:rFonts w:ascii="FangSong" w:hAnsi="FangSong" w:eastAsia="FangSong" w:cs="FangSong"/>
          <w:sz w:val="24"/>
          <w:szCs w:val="24"/>
          <w:spacing w:val="-3"/>
        </w:rPr>
        <w:t>要考虑以下因素：</w:t>
      </w:r>
    </w:p>
    <w:p>
      <w:pPr>
        <w:ind w:left="29" w:right="17" w:firstLine="472"/>
        <w:spacing w:before="3" w:line="313"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5"/>
        </w:rPr>
        <w:t xml:space="preserve"> </w:t>
      </w:r>
      <w:r>
        <w:rPr>
          <w:rFonts w:ascii="FangSong" w:hAnsi="FangSong" w:eastAsia="FangSong" w:cs="FangSong"/>
          <w:sz w:val="24"/>
          <w:szCs w:val="24"/>
          <w:spacing w:val="-5"/>
        </w:rPr>
        <w:t>具体的地下水污染治理中，往往要多种技术结合使用。一般在治理初期，</w:t>
      </w:r>
      <w:r>
        <w:rPr>
          <w:rFonts w:ascii="FangSong" w:hAnsi="FangSong" w:eastAsia="FangSong" w:cs="FangSong"/>
          <w:sz w:val="24"/>
          <w:szCs w:val="24"/>
          <w:spacing w:val="-3"/>
        </w:rPr>
        <w:t>先使用物理法或水动力控制法将污染区封闭，然后尽量收集纯污染</w:t>
      </w:r>
      <w:r>
        <w:rPr>
          <w:rFonts w:ascii="FangSong" w:hAnsi="FangSong" w:eastAsia="FangSong" w:cs="FangSong"/>
          <w:sz w:val="24"/>
          <w:szCs w:val="24"/>
          <w:spacing w:val="-4"/>
        </w:rPr>
        <w:t>物，最后再使</w:t>
      </w:r>
      <w:r>
        <w:rPr>
          <w:rFonts w:ascii="FangSong" w:hAnsi="FangSong" w:eastAsia="FangSong" w:cs="FangSong"/>
          <w:sz w:val="24"/>
          <w:szCs w:val="24"/>
          <w:spacing w:val="-2"/>
        </w:rPr>
        <w:t>用抽出处理法或原位法进行治理。</w:t>
      </w:r>
    </w:p>
    <w:p>
      <w:pPr>
        <w:ind w:left="33" w:right="85" w:firstLine="467"/>
        <w:spacing w:before="181" w:line="290"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47"/>
        </w:rPr>
        <w:t xml:space="preserve"> </w:t>
      </w:r>
      <w:r>
        <w:rPr>
          <w:rFonts w:ascii="FangSong" w:hAnsi="FangSong" w:eastAsia="FangSong" w:cs="FangSong"/>
          <w:sz w:val="24"/>
          <w:szCs w:val="24"/>
          <w:spacing w:val="-1"/>
        </w:rPr>
        <w:t>因为污染区域的水文地质条件和地球化学特性都会影响到地下水污染的</w:t>
      </w:r>
      <w:r>
        <w:rPr>
          <w:rFonts w:ascii="FangSong" w:hAnsi="FangSong" w:eastAsia="FangSong" w:cs="FangSong"/>
          <w:sz w:val="24"/>
          <w:szCs w:val="24"/>
          <w:spacing w:val="-1"/>
        </w:rPr>
        <w:t>治理，因此地下水污染的治理通常要以水文地质工作为前提。</w:t>
      </w:r>
    </w:p>
    <w:p>
      <w:pPr>
        <w:ind w:left="29" w:firstLine="471"/>
        <w:spacing w:before="180" w:line="314"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受污染地下水的修复往往还要包括土壤的修复。地下水和土壤是相互作</w:t>
      </w:r>
      <w:r>
        <w:rPr>
          <w:rFonts w:ascii="FangSong" w:hAnsi="FangSong" w:eastAsia="FangSong" w:cs="FangSong"/>
          <w:sz w:val="24"/>
          <w:szCs w:val="24"/>
          <w:spacing w:val="-3"/>
        </w:rPr>
        <w:t>用的，如果只治理了受污染的地下水而不治理土壤，由于雨水的淋</w:t>
      </w:r>
      <w:r>
        <w:rPr>
          <w:rFonts w:ascii="FangSong" w:hAnsi="FangSong" w:eastAsia="FangSong" w:cs="FangSong"/>
          <w:sz w:val="24"/>
          <w:szCs w:val="24"/>
          <w:spacing w:val="-4"/>
        </w:rPr>
        <w:t>滤或地下水位</w:t>
      </w:r>
      <w:r>
        <w:rPr>
          <w:rFonts w:ascii="FangSong" w:hAnsi="FangSong" w:eastAsia="FangSong" w:cs="FangSong"/>
          <w:sz w:val="24"/>
          <w:szCs w:val="24"/>
          <w:spacing w:val="-7"/>
        </w:rPr>
        <w:t>的波动，污染物会再次进入地下水体，形成交</w:t>
      </w:r>
      <w:r>
        <w:rPr>
          <w:rFonts w:ascii="FangSong" w:hAnsi="FangSong" w:eastAsia="FangSong" w:cs="FangSong"/>
          <w:sz w:val="24"/>
          <w:szCs w:val="24"/>
          <w:spacing w:val="-8"/>
        </w:rPr>
        <w:t>叉污染，使地下水的治理前功尽弃。</w:t>
      </w:r>
    </w:p>
    <w:p>
      <w:pPr>
        <w:ind w:left="46" w:right="85" w:firstLine="455"/>
        <w:spacing w:before="181" w:line="290" w:lineRule="auto"/>
        <w:rPr>
          <w:rFonts w:ascii="FangSong" w:hAnsi="FangSong" w:eastAsia="FangSong" w:cs="FangSong"/>
          <w:sz w:val="24"/>
          <w:szCs w:val="24"/>
        </w:rPr>
      </w:pPr>
      <w:r>
        <w:rPr>
          <w:rFonts w:ascii="FangSong" w:hAnsi="FangSong" w:eastAsia="FangSong" w:cs="FangSong"/>
          <w:sz w:val="24"/>
          <w:szCs w:val="24"/>
        </w:rPr>
        <w:t>④</w:t>
      </w:r>
      <w:r>
        <w:rPr>
          <w:rFonts w:ascii="FangSong" w:hAnsi="FangSong" w:eastAsia="FangSong" w:cs="FangSong"/>
          <w:sz w:val="24"/>
          <w:szCs w:val="24"/>
        </w:rPr>
        <w:t xml:space="preserve"> </w:t>
      </w:r>
      <w:r>
        <w:rPr>
          <w:rFonts w:ascii="FangSong" w:hAnsi="FangSong" w:eastAsia="FangSong" w:cs="FangSong"/>
          <w:sz w:val="24"/>
          <w:szCs w:val="24"/>
        </w:rPr>
        <w:t>在地下水污染治理过程中，地表水的截流也是一个需要考虑的问题，要</w:t>
      </w:r>
      <w:r>
        <w:rPr>
          <w:rFonts w:ascii="FangSong" w:hAnsi="FangSong" w:eastAsia="FangSong" w:cs="FangSong"/>
          <w:sz w:val="24"/>
          <w:szCs w:val="24"/>
          <w:spacing w:val="-2"/>
        </w:rPr>
        <w:t>防止地表水补给地下水，以免加大治理工作量。</w:t>
      </w:r>
    </w:p>
    <w:p>
      <w:pPr>
        <w:ind w:left="30" w:right="83" w:firstLine="470"/>
        <w:spacing w:before="183" w:line="314" w:lineRule="auto"/>
        <w:rPr>
          <w:rFonts w:ascii="FangSong" w:hAnsi="FangSong" w:eastAsia="FangSong" w:cs="FangSong"/>
          <w:sz w:val="24"/>
          <w:szCs w:val="24"/>
        </w:rPr>
      </w:pPr>
      <w:r>
        <w:rPr>
          <w:rFonts w:ascii="FangSong" w:hAnsi="FangSong" w:eastAsia="FangSong" w:cs="FangSong"/>
          <w:sz w:val="24"/>
          <w:szCs w:val="24"/>
        </w:rPr>
        <w:t>⑤</w:t>
      </w:r>
      <w:r>
        <w:rPr>
          <w:rFonts w:ascii="FangSong" w:hAnsi="FangSong" w:eastAsia="FangSong" w:cs="FangSong"/>
          <w:sz w:val="24"/>
          <w:szCs w:val="24"/>
        </w:rPr>
        <w:t xml:space="preserve"> </w:t>
      </w:r>
      <w:r>
        <w:rPr>
          <w:rFonts w:ascii="FangSong" w:hAnsi="FangSong" w:eastAsia="FangSong" w:cs="FangSong"/>
          <w:sz w:val="24"/>
          <w:szCs w:val="24"/>
        </w:rPr>
        <w:t>地下水污染调查及污染修复是一项专业性较强的工作，一旦发生污染事</w:t>
      </w:r>
      <w:r>
        <w:rPr>
          <w:rFonts w:ascii="FangSong" w:hAnsi="FangSong" w:eastAsia="FangSong" w:cs="FangSong"/>
          <w:sz w:val="24"/>
          <w:szCs w:val="24"/>
          <w:spacing w:val="-3"/>
        </w:rPr>
        <w:t>故，应委托具有水文地质勘查资质及污染事故处理经验的单位查</w:t>
      </w:r>
      <w:r>
        <w:rPr>
          <w:rFonts w:ascii="FangSong" w:hAnsi="FangSong" w:eastAsia="FangSong" w:cs="FangSong"/>
          <w:sz w:val="24"/>
          <w:szCs w:val="24"/>
          <w:spacing w:val="-4"/>
        </w:rPr>
        <w:t>明并修复污染地</w:t>
      </w:r>
      <w:r>
        <w:rPr>
          <w:rFonts w:ascii="FangSong" w:hAnsi="FangSong" w:eastAsia="FangSong" w:cs="FangSong"/>
          <w:sz w:val="24"/>
          <w:szCs w:val="24"/>
          <w:spacing w:val="-3"/>
        </w:rPr>
        <w:t>区地下水及土壤。</w:t>
      </w:r>
    </w:p>
    <w:p>
      <w:pPr>
        <w:ind w:left="22"/>
        <w:spacing w:before="179" w:line="220" w:lineRule="auto"/>
        <w:outlineLvl w:val="2"/>
        <w:rPr>
          <w:rFonts w:ascii="FangSong" w:hAnsi="FangSong" w:eastAsia="FangSong" w:cs="FangSong"/>
          <w:sz w:val="24"/>
          <w:szCs w:val="24"/>
        </w:rPr>
      </w:pPr>
      <w:bookmarkStart w:name="bookmark334" w:id="455"/>
      <w:bookmarkEnd w:id="455"/>
      <w:bookmarkStart w:name="bookmark333" w:id="456"/>
      <w:bookmarkEnd w:id="456"/>
      <w:r>
        <w:rPr>
          <w:rFonts w:ascii="Times New Roman" w:hAnsi="Times New Roman" w:eastAsia="Times New Roman" w:cs="Times New Roman"/>
          <w:sz w:val="24"/>
          <w:szCs w:val="24"/>
          <w:b/>
          <w:bCs/>
          <w:spacing w:val="-2"/>
        </w:rPr>
        <w:t>7.2.6  </w:t>
      </w:r>
      <w:r>
        <w:rPr>
          <w:rFonts w:ascii="FangSong" w:hAnsi="FangSong" w:eastAsia="FangSong" w:cs="FangSong"/>
          <w:sz w:val="24"/>
          <w:szCs w:val="24"/>
          <w:b/>
          <w:bCs/>
          <w:spacing w:val="-2"/>
        </w:rPr>
        <w:t>土壤环境保护措施及有效性分析</w:t>
      </w:r>
    </w:p>
    <w:p>
      <w:pPr>
        <w:ind w:left="43" w:right="44" w:firstLine="469"/>
        <w:spacing w:before="182" w:line="360" w:lineRule="auto"/>
        <w:rPr>
          <w:rFonts w:ascii="FangSong" w:hAnsi="FangSong" w:eastAsia="FangSong" w:cs="FangSong"/>
          <w:sz w:val="24"/>
          <w:szCs w:val="24"/>
        </w:rPr>
      </w:pPr>
      <w:r>
        <w:rPr>
          <w:rFonts w:ascii="FangSong" w:hAnsi="FangSong" w:eastAsia="FangSong" w:cs="FangSong"/>
          <w:sz w:val="24"/>
          <w:szCs w:val="24"/>
          <w:spacing w:val="-3"/>
        </w:rPr>
        <w:t>土壤污染防治措施按照“源头控制、过程防控、跟踪监测</w:t>
      </w:r>
      <w:r>
        <w:rPr>
          <w:rFonts w:ascii="FangSong" w:hAnsi="FangSong" w:eastAsia="FangSong" w:cs="FangSong"/>
          <w:sz w:val="24"/>
          <w:szCs w:val="24"/>
          <w:spacing w:val="-88"/>
        </w:rPr>
        <w:t xml:space="preserve"> </w:t>
      </w:r>
      <w:r>
        <w:rPr>
          <w:rFonts w:ascii="FangSong" w:hAnsi="FangSong" w:eastAsia="FangSong" w:cs="FangSong"/>
          <w:sz w:val="24"/>
          <w:szCs w:val="24"/>
          <w:spacing w:val="-4"/>
        </w:rPr>
        <w:t>”相结合的原则，</w:t>
      </w:r>
      <w:r>
        <w:rPr>
          <w:rFonts w:ascii="FangSong" w:hAnsi="FangSong" w:eastAsia="FangSong" w:cs="FangSong"/>
          <w:sz w:val="24"/>
          <w:szCs w:val="24"/>
          <w:spacing w:val="-4"/>
        </w:rPr>
        <w:t>即采取主动控制和被动控制相结合的措施，从污染物产生、入渗、扩散、应急响</w:t>
      </w:r>
    </w:p>
    <w:p>
      <w:pPr>
        <w:spacing w:line="360" w:lineRule="auto"/>
        <w:sectPr>
          <w:footerReference w:type="default" r:id="rId358"/>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spacing w:before="78" w:line="221" w:lineRule="auto"/>
        <w:rPr>
          <w:rFonts w:ascii="FangSong" w:hAnsi="FangSong" w:eastAsia="FangSong" w:cs="FangSong"/>
          <w:sz w:val="24"/>
          <w:szCs w:val="24"/>
        </w:rPr>
      </w:pPr>
      <w:r>
        <w:rPr>
          <w:rFonts w:ascii="FangSong" w:hAnsi="FangSong" w:eastAsia="FangSong" w:cs="FangSong"/>
          <w:sz w:val="24"/>
          <w:szCs w:val="24"/>
          <w:spacing w:val="-2"/>
        </w:rPr>
        <w:t>应全方位进行防控。</w:t>
      </w:r>
    </w:p>
    <w:p>
      <w:pPr>
        <w:ind w:left="22"/>
        <w:spacing w:before="180" w:line="222" w:lineRule="auto"/>
        <w:outlineLvl w:val="3"/>
        <w:rPr>
          <w:rFonts w:ascii="FangSong" w:hAnsi="FangSong" w:eastAsia="FangSong" w:cs="FangSong"/>
          <w:sz w:val="24"/>
          <w:szCs w:val="24"/>
        </w:rPr>
      </w:pPr>
      <w:bookmarkStart w:name="bookmark613" w:id="457"/>
      <w:bookmarkEnd w:id="457"/>
      <w:r>
        <w:rPr>
          <w:rFonts w:ascii="Times New Roman" w:hAnsi="Times New Roman" w:eastAsia="Times New Roman" w:cs="Times New Roman"/>
          <w:sz w:val="24"/>
          <w:szCs w:val="24"/>
          <w:b/>
          <w:bCs/>
          <w:spacing w:val="-4"/>
        </w:rPr>
        <w:t>7.2.6.1</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源头控制措施</w:t>
      </w:r>
    </w:p>
    <w:p>
      <w:pPr>
        <w:ind w:left="36" w:right="13" w:firstLine="478"/>
        <w:spacing w:before="180"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）建设项目产生的采选废石、尾矿优先用于井下采坑回填，剩余尾矿外</w:t>
      </w:r>
      <w:r>
        <w:rPr>
          <w:rFonts w:ascii="FangSong" w:hAnsi="FangSong" w:eastAsia="FangSong" w:cs="FangSong"/>
          <w:sz w:val="24"/>
          <w:szCs w:val="24"/>
          <w:spacing w:val="-3"/>
        </w:rPr>
        <w:t>送做建筑用砂材料，产生的固体废物均得到妥善处</w:t>
      </w:r>
      <w:r>
        <w:rPr>
          <w:rFonts w:ascii="FangSong" w:hAnsi="FangSong" w:eastAsia="FangSong" w:cs="FangSong"/>
          <w:sz w:val="24"/>
          <w:szCs w:val="24"/>
          <w:spacing w:val="-4"/>
        </w:rPr>
        <w:t>置，不随意堆放，确保不产生</w:t>
      </w:r>
      <w:r>
        <w:rPr>
          <w:rFonts w:ascii="FangSong" w:hAnsi="FangSong" w:eastAsia="FangSong" w:cs="FangSong"/>
          <w:sz w:val="24"/>
          <w:szCs w:val="24"/>
          <w:spacing w:val="-5"/>
        </w:rPr>
        <w:t>二次污染；</w:t>
      </w:r>
    </w:p>
    <w:p>
      <w:pPr>
        <w:ind w:left="29" w:right="13" w:firstLine="485"/>
        <w:spacing w:before="176" w:line="326" w:lineRule="auto"/>
        <w:rPr>
          <w:rFonts w:ascii="FangSong" w:hAnsi="FangSong" w:eastAsia="FangSong" w:cs="FangSong"/>
          <w:sz w:val="24"/>
          <w:szCs w:val="24"/>
        </w:rPr>
      </w:pP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2</w:t>
      </w:r>
      <w:r>
        <w:rPr>
          <w:rFonts w:ascii="FangSong" w:hAnsi="FangSong" w:eastAsia="FangSong" w:cs="FangSong"/>
          <w:sz w:val="24"/>
          <w:szCs w:val="24"/>
          <w:spacing w:val="7"/>
        </w:rPr>
        <w:t>）尾矿临时堆场按照《一般工业固体废物贮存和填埋污染控制标准》</w:t>
      </w:r>
      <w:r>
        <w:rPr>
          <w:rFonts w:ascii="FangSong" w:hAnsi="FangSong" w:eastAsia="FangSong" w:cs="FangSong"/>
          <w:sz w:val="24"/>
          <w:szCs w:val="24"/>
          <w:spacing w:val="1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GB185992020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类场要求建设，在堆场周边修建截排水沟，并采区封闭</w:t>
      </w:r>
      <w:r>
        <w:rPr>
          <w:rFonts w:ascii="FangSong" w:hAnsi="FangSong" w:eastAsia="FangSong" w:cs="FangSong"/>
          <w:sz w:val="24"/>
          <w:szCs w:val="24"/>
          <w:spacing w:val="-2"/>
        </w:rPr>
        <w:t>式建</w:t>
      </w:r>
      <w:r>
        <w:rPr>
          <w:rFonts w:ascii="FangSong" w:hAnsi="FangSong" w:eastAsia="FangSong" w:cs="FangSong"/>
          <w:sz w:val="24"/>
          <w:szCs w:val="24"/>
          <w:spacing w:val="-3"/>
        </w:rPr>
        <w:t>设，降低堆存物料被雨淋的可能，从而避免淋溶水产生，堆场服务期</w:t>
      </w:r>
      <w:r>
        <w:rPr>
          <w:rFonts w:ascii="FangSong" w:hAnsi="FangSong" w:eastAsia="FangSong" w:cs="FangSong"/>
          <w:sz w:val="24"/>
          <w:szCs w:val="24"/>
          <w:spacing w:val="-4"/>
        </w:rPr>
        <w:t>满后及时复</w:t>
      </w:r>
      <w:r>
        <w:rPr>
          <w:rFonts w:ascii="FangSong" w:hAnsi="FangSong" w:eastAsia="FangSong" w:cs="FangSong"/>
          <w:sz w:val="24"/>
          <w:szCs w:val="24"/>
          <w:spacing w:val="-4"/>
        </w:rPr>
        <w:t>垦绿化；</w:t>
      </w:r>
    </w:p>
    <w:p>
      <w:pPr>
        <w:ind w:left="29" w:right="13" w:firstLine="485"/>
        <w:spacing w:before="180"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）项目生产废水全部回用，不外排，减少了污染物的排放，从源头上减</w:t>
      </w:r>
      <w:r>
        <w:rPr>
          <w:rFonts w:ascii="FangSong" w:hAnsi="FangSong" w:eastAsia="FangSong" w:cs="FangSong"/>
          <w:sz w:val="24"/>
          <w:szCs w:val="24"/>
          <w:spacing w:val="-2"/>
        </w:rPr>
        <w:t>少污染物的产生和排放；</w:t>
      </w:r>
    </w:p>
    <w:p>
      <w:pPr>
        <w:ind w:left="29" w:right="13" w:firstLine="485"/>
        <w:spacing w:before="181"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）危险废物暂存场所按照国家相关规范要求，采取严格的防泄漏、防溢</w:t>
      </w:r>
      <w:r>
        <w:rPr>
          <w:rFonts w:ascii="FangSong" w:hAnsi="FangSong" w:eastAsia="FangSong" w:cs="FangSong"/>
          <w:sz w:val="24"/>
          <w:szCs w:val="24"/>
          <w:spacing w:val="-1"/>
        </w:rPr>
        <w:t>流、防腐蚀防雨淋等措施，严防污染物下渗到土壤中污染土壤等。</w:t>
      </w:r>
    </w:p>
    <w:p>
      <w:pPr>
        <w:ind w:left="22"/>
        <w:spacing w:before="18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7.2.6.2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3"/>
        </w:rPr>
        <w:t>过程防控措施</w:t>
      </w:r>
    </w:p>
    <w:p>
      <w:pPr>
        <w:ind w:left="44" w:right="13" w:firstLine="465"/>
        <w:spacing w:before="178" w:line="360" w:lineRule="auto"/>
        <w:rPr>
          <w:rFonts w:ascii="FangSong" w:hAnsi="FangSong" w:eastAsia="FangSong" w:cs="FangSong"/>
          <w:sz w:val="24"/>
          <w:szCs w:val="24"/>
        </w:rPr>
      </w:pPr>
      <w:r>
        <w:rPr>
          <w:rFonts w:ascii="FangSong" w:hAnsi="FangSong" w:eastAsia="FangSong" w:cs="FangSong"/>
          <w:sz w:val="24"/>
          <w:szCs w:val="24"/>
          <w:spacing w:val="-3"/>
        </w:rPr>
        <w:t>针对主要土壤污染的途径大气沉降、地表漫流及垂</w:t>
      </w:r>
      <w:r>
        <w:rPr>
          <w:rFonts w:ascii="FangSong" w:hAnsi="FangSong" w:eastAsia="FangSong" w:cs="FangSong"/>
          <w:sz w:val="24"/>
          <w:szCs w:val="24"/>
          <w:spacing w:val="-4"/>
        </w:rPr>
        <w:t>直入渗，提出相应针对性</w:t>
      </w:r>
      <w:r>
        <w:rPr>
          <w:rFonts w:ascii="FangSong" w:hAnsi="FangSong" w:eastAsia="FangSong" w:cs="FangSong"/>
          <w:sz w:val="24"/>
          <w:szCs w:val="24"/>
          <w:spacing w:val="-3"/>
        </w:rPr>
        <w:t>的土壤污染防治措施如下：</w:t>
      </w:r>
    </w:p>
    <w:p>
      <w:pPr>
        <w:ind w:left="514"/>
        <w:spacing w:before="1"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）工程运营期产生的选矿废水全部回用至选矿工艺；</w:t>
      </w:r>
    </w:p>
    <w:p>
      <w:pPr>
        <w:ind w:left="30" w:right="13" w:firstLine="484"/>
        <w:spacing w:before="180"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）在破碎、筛分等产生粉尘点采取布袋除尘器等措施，减少了粉尘颗粒</w:t>
      </w:r>
      <w:r>
        <w:rPr>
          <w:rFonts w:ascii="FangSong" w:hAnsi="FangSong" w:eastAsia="FangSong" w:cs="FangSong"/>
          <w:sz w:val="24"/>
          <w:szCs w:val="24"/>
          <w:spacing w:val="-2"/>
        </w:rPr>
        <w:t>物和氟化物的排放量；</w:t>
      </w:r>
    </w:p>
    <w:p>
      <w:pPr>
        <w:ind w:left="514"/>
        <w:spacing w:before="181"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）工业广场内应采取绿化措施，种植具有较强吸附能力的植物为主；</w:t>
      </w:r>
    </w:p>
    <w:p>
      <w:pPr>
        <w:ind w:left="514"/>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）废水处理措施做好相应的防渗措施，减少发生泄漏的风险；</w:t>
      </w:r>
    </w:p>
    <w:p>
      <w:pPr>
        <w:ind w:left="29" w:right="13" w:firstLine="485"/>
        <w:spacing w:before="179"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5</w:t>
      </w:r>
      <w:r>
        <w:rPr>
          <w:rFonts w:ascii="FangSong" w:hAnsi="FangSong" w:eastAsia="FangSong" w:cs="FangSong"/>
          <w:sz w:val="24"/>
          <w:szCs w:val="24"/>
        </w:rPr>
        <w:t>）矿石运输采用汽车运输，汽车运输时要求加盖篷布，并对运输道路洒</w:t>
      </w:r>
      <w:r>
        <w:rPr>
          <w:rFonts w:ascii="FangSong" w:hAnsi="FangSong" w:eastAsia="FangSong" w:cs="FangSong"/>
          <w:sz w:val="24"/>
          <w:szCs w:val="24"/>
          <w:spacing w:val="-1"/>
        </w:rPr>
        <w:t>水降尘，减少汽车运输时物料的酒落；</w:t>
      </w:r>
    </w:p>
    <w:p>
      <w:pPr>
        <w:ind w:left="29" w:right="13" w:firstLine="485"/>
        <w:spacing w:before="183"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）按要求对厂区进行分区防渗，同时布设监控井，定期对地下水进行监</w:t>
      </w:r>
      <w:r>
        <w:rPr>
          <w:rFonts w:ascii="FangSong" w:hAnsi="FangSong" w:eastAsia="FangSong" w:cs="FangSong"/>
          <w:sz w:val="24"/>
          <w:szCs w:val="24"/>
          <w:spacing w:val="-1"/>
        </w:rPr>
        <w:t>测，降低了防渗工程损坏事故排放的风险，减小事故排放对土壤的影响。</w:t>
      </w:r>
    </w:p>
    <w:p>
      <w:pPr>
        <w:ind w:left="22"/>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3"/>
        </w:rPr>
        <w:t>7.2.6.3</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3"/>
        </w:rPr>
        <w:t>跟踪监测</w:t>
      </w:r>
    </w:p>
    <w:p>
      <w:pPr>
        <w:ind w:left="514"/>
        <w:spacing w:before="1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）跟踪监测点位</w:t>
      </w:r>
    </w:p>
    <w:p>
      <w:pPr>
        <w:ind w:left="30" w:right="13" w:firstLine="487"/>
        <w:spacing w:before="179" w:line="361" w:lineRule="auto"/>
        <w:rPr>
          <w:rFonts w:ascii="FangSong" w:hAnsi="FangSong" w:eastAsia="FangSong" w:cs="FangSong"/>
          <w:sz w:val="24"/>
          <w:szCs w:val="24"/>
        </w:rPr>
      </w:pPr>
      <w:r>
        <w:rPr>
          <w:rFonts w:ascii="FangSong" w:hAnsi="FangSong" w:eastAsia="FangSong" w:cs="FangSong"/>
          <w:sz w:val="24"/>
          <w:szCs w:val="24"/>
          <w:spacing w:val="-4"/>
        </w:rPr>
        <w:t>为了更好地判断土壤的受影响状况，项目设置</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4"/>
        </w:rPr>
        <w:t>个监测</w:t>
      </w:r>
      <w:r>
        <w:rPr>
          <w:rFonts w:ascii="FangSong" w:hAnsi="FangSong" w:eastAsia="FangSong" w:cs="FangSong"/>
          <w:sz w:val="24"/>
          <w:szCs w:val="24"/>
          <w:spacing w:val="-5"/>
        </w:rPr>
        <w:t>点位作为项目的土壤</w:t>
      </w:r>
      <w:r>
        <w:rPr>
          <w:rFonts w:ascii="FangSong" w:hAnsi="FangSong" w:eastAsia="FangSong" w:cs="FangSong"/>
          <w:sz w:val="24"/>
          <w:szCs w:val="24"/>
          <w:spacing w:val="-2"/>
        </w:rPr>
        <w:t>跟踪监测点位，具体监测计划如表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7.2-8</w:t>
      </w:r>
      <w:r>
        <w:rPr>
          <w:rFonts w:ascii="FangSong" w:hAnsi="FangSong" w:eastAsia="FangSong" w:cs="FangSong"/>
          <w:sz w:val="24"/>
          <w:szCs w:val="24"/>
          <w:spacing w:val="-2"/>
        </w:rPr>
        <w:t>。</w:t>
      </w:r>
    </w:p>
    <w:p>
      <w:pPr>
        <w:spacing w:line="361" w:lineRule="auto"/>
        <w:sectPr>
          <w:footerReference w:type="default" r:id="rId359"/>
          <w:pgSz w:w="11906" w:h="16839"/>
          <w:pgMar w:top="400" w:right="1785"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132"/>
        <w:spacing w:before="78" w:line="222" w:lineRule="auto"/>
        <w:rPr>
          <w:rFonts w:ascii="FangSong" w:hAnsi="FangSong" w:eastAsia="FangSong" w:cs="FangSong"/>
          <w:sz w:val="24"/>
          <w:szCs w:val="24"/>
        </w:rPr>
      </w:pPr>
      <w:bookmarkStart w:name="bookmark614" w:id="458"/>
      <w:bookmarkEnd w:id="458"/>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7.2-8  </w:t>
      </w:r>
      <w:r>
        <w:rPr>
          <w:rFonts w:ascii="FangSong" w:hAnsi="FangSong" w:eastAsia="FangSong" w:cs="FangSong"/>
          <w:sz w:val="24"/>
          <w:szCs w:val="24"/>
          <w:b/>
          <w:bCs/>
          <w:spacing w:val="-3"/>
        </w:rPr>
        <w:t>土壤跟踪监测点基本信息一览表</w:t>
      </w:r>
    </w:p>
    <w:p>
      <w:pPr>
        <w:spacing w:line="65"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54"/>
        <w:gridCol w:w="3680"/>
        <w:gridCol w:w="3087"/>
      </w:tblGrid>
      <w:tr>
        <w:trPr>
          <w:trHeight w:val="313" w:hRule="atLeast"/>
        </w:trPr>
        <w:tc>
          <w:tcPr>
            <w:tcW w:w="1754" w:type="dxa"/>
            <w:vAlign w:val="top"/>
            <w:tcBorders>
              <w:left w:val="nil"/>
              <w:top w:val="single" w:color="000000" w:sz="10" w:space="0"/>
            </w:tcBorders>
          </w:tcPr>
          <w:p>
            <w:pPr>
              <w:pStyle w:val="TableText"/>
              <w:ind w:left="266"/>
              <w:spacing w:before="56" w:line="228" w:lineRule="auto"/>
              <w:rPr/>
            </w:pPr>
            <w:r>
              <w:rPr>
                <w:spacing w:val="6"/>
              </w:rPr>
              <w:t>监测点位编号</w:t>
            </w:r>
          </w:p>
        </w:tc>
        <w:tc>
          <w:tcPr>
            <w:tcW w:w="3680" w:type="dxa"/>
            <w:vAlign w:val="top"/>
            <w:tcBorders>
              <w:top w:val="single" w:color="000000" w:sz="10" w:space="0"/>
            </w:tcBorders>
          </w:tcPr>
          <w:p>
            <w:pPr>
              <w:pStyle w:val="TableText"/>
              <w:ind w:left="1641"/>
              <w:spacing w:before="56" w:line="228" w:lineRule="auto"/>
              <w:rPr/>
            </w:pPr>
            <w:r>
              <w:rPr>
                <w:spacing w:val="2"/>
              </w:rPr>
              <w:t>用途</w:t>
            </w:r>
          </w:p>
        </w:tc>
        <w:tc>
          <w:tcPr>
            <w:tcW w:w="3087" w:type="dxa"/>
            <w:vAlign w:val="top"/>
            <w:tcBorders>
              <w:right w:val="nil"/>
              <w:top w:val="single" w:color="000000" w:sz="10" w:space="0"/>
            </w:tcBorders>
          </w:tcPr>
          <w:p>
            <w:pPr>
              <w:pStyle w:val="TableText"/>
              <w:ind w:left="1346"/>
              <w:spacing w:before="56" w:line="228" w:lineRule="auto"/>
              <w:rPr/>
            </w:pPr>
            <w:r>
              <w:rPr>
                <w:spacing w:val="1"/>
              </w:rPr>
              <w:t>位置</w:t>
            </w:r>
          </w:p>
        </w:tc>
      </w:tr>
      <w:tr>
        <w:trPr>
          <w:trHeight w:val="309" w:hRule="atLeast"/>
        </w:trPr>
        <w:tc>
          <w:tcPr>
            <w:tcW w:w="1754" w:type="dxa"/>
            <w:vAlign w:val="top"/>
            <w:tcBorders>
              <w:left w:val="nil"/>
            </w:tcBorders>
          </w:tcPr>
          <w:p>
            <w:pPr>
              <w:ind w:left="797"/>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3680" w:type="dxa"/>
            <w:vAlign w:val="top"/>
          </w:tcPr>
          <w:p>
            <w:pPr>
              <w:pStyle w:val="TableText"/>
              <w:ind w:left="704"/>
              <w:spacing w:before="59" w:line="221" w:lineRule="auto"/>
              <w:rPr/>
            </w:pPr>
            <w:r>
              <w:rPr>
                <w:spacing w:val="7"/>
              </w:rPr>
              <w:t>背景监测（重点影响区）</w:t>
            </w:r>
          </w:p>
        </w:tc>
        <w:tc>
          <w:tcPr>
            <w:tcW w:w="3087" w:type="dxa"/>
            <w:vAlign w:val="top"/>
            <w:tcBorders>
              <w:right w:val="nil"/>
            </w:tcBorders>
          </w:tcPr>
          <w:p>
            <w:pPr>
              <w:pStyle w:val="TableText"/>
              <w:ind w:left="505"/>
              <w:spacing w:before="59" w:line="221" w:lineRule="auto"/>
              <w:rPr/>
            </w:pPr>
            <w:r>
              <w:rPr>
                <w:spacing w:val="8"/>
              </w:rPr>
              <w:t>矿区内尾矿临时堆场侧</w:t>
            </w:r>
          </w:p>
        </w:tc>
      </w:tr>
      <w:tr>
        <w:trPr>
          <w:trHeight w:val="332" w:hRule="atLeast"/>
        </w:trPr>
        <w:tc>
          <w:tcPr>
            <w:tcW w:w="1754" w:type="dxa"/>
            <w:vAlign w:val="top"/>
            <w:tcBorders>
              <w:left w:val="nil"/>
              <w:bottom w:val="single" w:color="000000" w:sz="10" w:space="0"/>
            </w:tcBorders>
          </w:tcPr>
          <w:p>
            <w:pPr>
              <w:ind w:left="77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p>
        </w:tc>
        <w:tc>
          <w:tcPr>
            <w:tcW w:w="3680" w:type="dxa"/>
            <w:vAlign w:val="top"/>
            <w:tcBorders>
              <w:bottom w:val="single" w:color="000000" w:sz="10" w:space="0"/>
            </w:tcBorders>
          </w:tcPr>
          <w:p>
            <w:pPr>
              <w:pStyle w:val="TableText"/>
              <w:ind w:left="174"/>
              <w:spacing w:before="69" w:line="231" w:lineRule="auto"/>
              <w:rPr/>
            </w:pPr>
            <w:r>
              <w:rPr>
                <w:spacing w:val="8"/>
              </w:rPr>
              <w:t>污染扩散监测（土壤环境敏感目标）</w:t>
            </w:r>
          </w:p>
        </w:tc>
        <w:tc>
          <w:tcPr>
            <w:tcW w:w="3087" w:type="dxa"/>
            <w:vAlign w:val="top"/>
            <w:tcBorders>
              <w:right w:val="nil"/>
              <w:bottom w:val="single" w:color="000000" w:sz="10" w:space="0"/>
            </w:tcBorders>
          </w:tcPr>
          <w:p>
            <w:pPr>
              <w:pStyle w:val="TableText"/>
              <w:ind w:left="925"/>
              <w:spacing w:before="69" w:line="231" w:lineRule="auto"/>
              <w:rPr/>
            </w:pPr>
            <w:r>
              <w:rPr>
                <w:spacing w:val="7"/>
              </w:rPr>
              <w:t>矿区周边草地</w:t>
            </w:r>
          </w:p>
        </w:tc>
      </w:tr>
    </w:tbl>
    <w:p>
      <w:pPr>
        <w:pStyle w:val="BodyText"/>
        <w:spacing w:line="251" w:lineRule="auto"/>
        <w:rPr/>
      </w:pPr>
      <w:r/>
    </w:p>
    <w:p>
      <w:pPr>
        <w:pStyle w:val="BodyText"/>
        <w:spacing w:line="252" w:lineRule="auto"/>
        <w:rPr/>
      </w:pPr>
      <w:r/>
    </w:p>
    <w:p>
      <w:pPr>
        <w:ind w:left="608"/>
        <w:spacing w:before="78"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）监测因子和监测频率</w:t>
      </w:r>
    </w:p>
    <w:p>
      <w:pPr>
        <w:ind w:left="125" w:right="110" w:firstLine="484"/>
        <w:spacing w:before="178" w:line="360" w:lineRule="auto"/>
        <w:rPr>
          <w:rFonts w:ascii="FangSong" w:hAnsi="FangSong" w:eastAsia="FangSong" w:cs="FangSong"/>
          <w:sz w:val="24"/>
          <w:szCs w:val="24"/>
        </w:rPr>
      </w:pPr>
      <w:r>
        <w:rPr>
          <w:rFonts w:ascii="FangSong" w:hAnsi="FangSong" w:eastAsia="FangSong" w:cs="FangSong"/>
          <w:sz w:val="24"/>
          <w:szCs w:val="24"/>
        </w:rPr>
        <w:t>监测因子及监测频率见表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7.2-9</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，可根据当地环境保护部门</w:t>
      </w:r>
      <w:r>
        <w:rPr>
          <w:rFonts w:ascii="FangSong" w:hAnsi="FangSong" w:eastAsia="FangSong" w:cs="FangSong"/>
          <w:sz w:val="24"/>
          <w:szCs w:val="24"/>
          <w:spacing w:val="-1"/>
        </w:rPr>
        <w:t>的要求调整监测</w:t>
      </w:r>
      <w:r>
        <w:rPr>
          <w:rFonts w:ascii="FangSong" w:hAnsi="FangSong" w:eastAsia="FangSong" w:cs="FangSong"/>
          <w:sz w:val="24"/>
          <w:szCs w:val="24"/>
          <w:spacing w:val="-3"/>
        </w:rPr>
        <w:t>频率和监测因子。</w:t>
      </w:r>
    </w:p>
    <w:p>
      <w:pPr>
        <w:ind w:left="2734"/>
        <w:spacing w:before="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7.2-9  </w:t>
      </w:r>
      <w:r>
        <w:rPr>
          <w:rFonts w:ascii="FangSong" w:hAnsi="FangSong" w:eastAsia="FangSong" w:cs="FangSong"/>
          <w:sz w:val="24"/>
          <w:szCs w:val="24"/>
          <w:b/>
          <w:bCs/>
          <w:spacing w:val="-3"/>
        </w:rPr>
        <w:t>土壤监测计划一览表</w:t>
      </w:r>
    </w:p>
    <w:p>
      <w:pPr>
        <w:spacing w:line="63"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1847"/>
        <w:gridCol w:w="849"/>
        <w:gridCol w:w="1881"/>
        <w:gridCol w:w="3096"/>
      </w:tblGrid>
      <w:tr>
        <w:trPr>
          <w:trHeight w:val="627" w:hRule="atLeast"/>
        </w:trPr>
        <w:tc>
          <w:tcPr>
            <w:tcW w:w="849" w:type="dxa"/>
            <w:vAlign w:val="top"/>
            <w:tcBorders>
              <w:top w:val="single" w:color="000000" w:sz="10" w:space="0"/>
              <w:left w:val="nil"/>
            </w:tcBorders>
          </w:tcPr>
          <w:p>
            <w:pPr>
              <w:pStyle w:val="TableText"/>
              <w:ind w:left="333" w:right="109" w:hanging="206"/>
              <w:spacing w:before="57" w:line="258" w:lineRule="auto"/>
              <w:rPr/>
            </w:pPr>
            <w:r>
              <w:rPr>
                <w:spacing w:val="3"/>
              </w:rPr>
              <w:t>监测点</w:t>
            </w:r>
            <w:r>
              <w:rPr/>
              <w:t>位</w:t>
            </w:r>
          </w:p>
        </w:tc>
        <w:tc>
          <w:tcPr>
            <w:tcW w:w="1847" w:type="dxa"/>
            <w:vAlign w:val="top"/>
            <w:tcBorders>
              <w:top w:val="single" w:color="000000" w:sz="10" w:space="0"/>
            </w:tcBorders>
          </w:tcPr>
          <w:p>
            <w:pPr>
              <w:pStyle w:val="TableText"/>
              <w:ind w:left="724"/>
              <w:spacing w:before="213" w:line="232" w:lineRule="auto"/>
              <w:rPr/>
            </w:pPr>
            <w:r>
              <w:rPr>
                <w:spacing w:val="2"/>
              </w:rPr>
              <w:t>用途</w:t>
            </w:r>
          </w:p>
        </w:tc>
        <w:tc>
          <w:tcPr>
            <w:tcW w:w="849" w:type="dxa"/>
            <w:vAlign w:val="top"/>
            <w:tcBorders>
              <w:top w:val="single" w:color="000000" w:sz="10" w:space="0"/>
            </w:tcBorders>
          </w:tcPr>
          <w:p>
            <w:pPr>
              <w:pStyle w:val="TableText"/>
              <w:ind w:left="335" w:right="107" w:hanging="209"/>
              <w:spacing w:before="57" w:line="258" w:lineRule="auto"/>
              <w:rPr/>
            </w:pPr>
            <w:r>
              <w:rPr>
                <w:spacing w:val="3"/>
              </w:rPr>
              <w:t>监测频</w:t>
            </w:r>
            <w:r>
              <w:rPr/>
              <w:t>率</w:t>
            </w:r>
          </w:p>
        </w:tc>
        <w:tc>
          <w:tcPr>
            <w:tcW w:w="1881" w:type="dxa"/>
            <w:vAlign w:val="top"/>
            <w:tcBorders>
              <w:top w:val="single" w:color="000000" w:sz="10" w:space="0"/>
            </w:tcBorders>
          </w:tcPr>
          <w:p>
            <w:pPr>
              <w:pStyle w:val="TableText"/>
              <w:ind w:left="537"/>
              <w:spacing w:before="212" w:line="232" w:lineRule="auto"/>
              <w:rPr/>
            </w:pPr>
            <w:r>
              <w:rPr>
                <w:spacing w:val="4"/>
              </w:rPr>
              <w:t>监测因子</w:t>
            </w:r>
          </w:p>
        </w:tc>
        <w:tc>
          <w:tcPr>
            <w:tcW w:w="3096" w:type="dxa"/>
            <w:vAlign w:val="top"/>
            <w:tcBorders>
              <w:top w:val="single" w:color="000000" w:sz="10" w:space="0"/>
              <w:right w:val="nil"/>
            </w:tcBorders>
          </w:tcPr>
          <w:p>
            <w:pPr>
              <w:pStyle w:val="TableText"/>
              <w:ind w:left="1139"/>
              <w:spacing w:before="213" w:line="229" w:lineRule="auto"/>
              <w:rPr/>
            </w:pPr>
            <w:r>
              <w:rPr>
                <w:spacing w:val="6"/>
              </w:rPr>
              <w:t>执行标准</w:t>
            </w:r>
          </w:p>
        </w:tc>
      </w:tr>
      <w:tr>
        <w:trPr>
          <w:trHeight w:val="932" w:hRule="atLeast"/>
        </w:trPr>
        <w:tc>
          <w:tcPr>
            <w:tcW w:w="849" w:type="dxa"/>
            <w:vAlign w:val="top"/>
            <w:tcBorders>
              <w:left w:val="nil"/>
            </w:tcBorders>
          </w:tcPr>
          <w:p>
            <w:pPr>
              <w:spacing w:line="347" w:lineRule="auto"/>
              <w:rPr>
                <w:rFonts w:ascii="Arial"/>
                <w:sz w:val="21"/>
              </w:rPr>
            </w:pPr>
            <w:r/>
          </w:p>
          <w:p>
            <w:pPr>
              <w:ind w:left="34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1847" w:type="dxa"/>
            <w:vAlign w:val="top"/>
          </w:tcPr>
          <w:p>
            <w:pPr>
              <w:pStyle w:val="TableText"/>
              <w:ind w:left="128"/>
              <w:spacing w:before="214" w:line="231" w:lineRule="auto"/>
              <w:rPr/>
            </w:pPr>
            <w:r>
              <w:rPr/>
              <w:t>背景监测（重点影</w:t>
            </w:r>
          </w:p>
          <w:p>
            <w:pPr>
              <w:pStyle w:val="TableText"/>
              <w:ind w:left="625"/>
              <w:spacing w:before="61" w:line="232" w:lineRule="auto"/>
              <w:rPr/>
            </w:pPr>
            <w:r>
              <w:rPr>
                <w:spacing w:val="-1"/>
              </w:rPr>
              <w:t>响区）</w:t>
            </w:r>
          </w:p>
        </w:tc>
        <w:tc>
          <w:tcPr>
            <w:tcW w:w="849" w:type="dxa"/>
            <w:vAlign w:val="top"/>
            <w:vMerge w:val="restart"/>
            <w:tcBorders>
              <w:bottom w:val="nil"/>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29"/>
              <w:spacing w:before="65" w:line="231" w:lineRule="auto"/>
              <w:rPr/>
            </w:pPr>
            <w:r>
              <w:rPr>
                <w:rFonts w:ascii="Times New Roman" w:hAnsi="Times New Roman" w:eastAsia="Times New Roman" w:cs="Times New Roman"/>
                <w:spacing w:val="-3"/>
              </w:rPr>
              <w:t>1</w:t>
            </w:r>
            <w:r>
              <w:rPr>
                <w:rFonts w:ascii="Times New Roman" w:hAnsi="Times New Roman" w:eastAsia="Times New Roman" w:cs="Times New Roman"/>
                <w:spacing w:val="14"/>
                <w:w w:val="101"/>
              </w:rPr>
              <w:t xml:space="preserve"> </w:t>
            </w:r>
            <w:r>
              <w:rPr>
                <w:spacing w:val="-3"/>
              </w:rPr>
              <w:t>次</w:t>
            </w:r>
            <w:r>
              <w:rPr>
                <w:rFonts w:ascii="Times New Roman" w:hAnsi="Times New Roman" w:eastAsia="Times New Roman" w:cs="Times New Roman"/>
                <w:spacing w:val="-3"/>
              </w:rPr>
              <w:t>/</w:t>
            </w:r>
            <w:r>
              <w:rPr>
                <w:spacing w:val="-3"/>
              </w:rPr>
              <w:t>年</w:t>
            </w:r>
          </w:p>
        </w:tc>
        <w:tc>
          <w:tcPr>
            <w:tcW w:w="1881" w:type="dxa"/>
            <w:vAlign w:val="top"/>
            <w:vMerge w:val="restart"/>
            <w:tcBorders>
              <w:bottom w:val="nil"/>
            </w:tcBorders>
          </w:tcPr>
          <w:p>
            <w:pPr>
              <w:spacing w:line="308" w:lineRule="auto"/>
              <w:rPr>
                <w:rFonts w:ascii="Arial"/>
                <w:sz w:val="21"/>
              </w:rPr>
            </w:pPr>
            <w:r/>
          </w:p>
          <w:p>
            <w:pPr>
              <w:pStyle w:val="TableText"/>
              <w:ind w:left="104"/>
              <w:spacing w:before="65" w:line="221" w:lineRule="auto"/>
              <w:rPr/>
            </w:pPr>
            <w:r>
              <w:rPr>
                <w:rFonts w:ascii="Times New Roman" w:hAnsi="Times New Roman" w:eastAsia="Times New Roman" w:cs="Times New Roman"/>
                <w:spacing w:val="-19"/>
              </w:rPr>
              <w:t>pH</w:t>
            </w:r>
            <w:r>
              <w:rPr>
                <w:spacing w:val="-19"/>
              </w:rPr>
              <w:t>、砷、镉、铬（六</w:t>
            </w:r>
          </w:p>
          <w:p>
            <w:pPr>
              <w:pStyle w:val="TableText"/>
              <w:ind w:left="119"/>
              <w:spacing w:before="72" w:line="230" w:lineRule="auto"/>
              <w:rPr/>
            </w:pPr>
            <w:r>
              <w:rPr>
                <w:spacing w:val="1"/>
              </w:rPr>
              <w:t>价铬）</w:t>
            </w:r>
            <w:r>
              <w:rPr>
                <w:spacing w:val="-55"/>
              </w:rPr>
              <w:t xml:space="preserve"> </w:t>
            </w:r>
            <w:r>
              <w:rPr>
                <w:spacing w:val="1"/>
              </w:rPr>
              <w:t>、铜、镍、</w:t>
            </w:r>
          </w:p>
          <w:p>
            <w:pPr>
              <w:pStyle w:val="TableText"/>
              <w:ind w:left="118"/>
              <w:spacing w:before="62" w:line="230" w:lineRule="auto"/>
              <w:rPr/>
            </w:pPr>
            <w:r>
              <w:rPr>
                <w:spacing w:val="6"/>
              </w:rPr>
              <w:t>铅、汞、铬、锌、</w:t>
            </w:r>
          </w:p>
          <w:p>
            <w:pPr>
              <w:pStyle w:val="TableText"/>
              <w:ind w:left="640"/>
              <w:spacing w:before="63" w:line="229" w:lineRule="auto"/>
              <w:rPr/>
            </w:pPr>
            <w:r>
              <w:rPr>
                <w:spacing w:val="3"/>
              </w:rPr>
              <w:t>氟化物</w:t>
            </w:r>
          </w:p>
        </w:tc>
        <w:tc>
          <w:tcPr>
            <w:tcW w:w="3096" w:type="dxa"/>
            <w:vAlign w:val="top"/>
            <w:tcBorders>
              <w:right w:val="nil"/>
            </w:tcBorders>
          </w:tcPr>
          <w:p>
            <w:pPr>
              <w:pStyle w:val="TableText"/>
              <w:ind w:left="193"/>
              <w:spacing w:before="58" w:line="231" w:lineRule="auto"/>
              <w:rPr/>
            </w:pPr>
            <w:r>
              <w:rPr>
                <w:spacing w:val="8"/>
              </w:rPr>
              <w:t>《土壤环境质量建设用地土壤</w:t>
            </w:r>
          </w:p>
          <w:p>
            <w:pPr>
              <w:pStyle w:val="TableText"/>
              <w:ind w:left="198"/>
              <w:spacing w:before="62" w:line="229" w:lineRule="auto"/>
              <w:rPr/>
            </w:pPr>
            <w:r>
              <w:rPr>
                <w:spacing w:val="9"/>
              </w:rPr>
              <w:t>污染风险管控标准（试行）》</w:t>
            </w:r>
          </w:p>
          <w:p>
            <w:pPr>
              <w:pStyle w:val="TableText"/>
              <w:ind w:left="700"/>
              <w:spacing w:before="63" w:line="221" w:lineRule="auto"/>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36600-2018</w:t>
            </w:r>
            <w:r>
              <w:rPr>
                <w:spacing w:val="4"/>
              </w:rPr>
              <w:t>）</w:t>
            </w:r>
          </w:p>
        </w:tc>
      </w:tr>
      <w:tr>
        <w:trPr>
          <w:trHeight w:val="955" w:hRule="atLeast"/>
        </w:trPr>
        <w:tc>
          <w:tcPr>
            <w:tcW w:w="849" w:type="dxa"/>
            <w:vAlign w:val="top"/>
            <w:tcBorders>
              <w:bottom w:val="single" w:color="000000" w:sz="10" w:space="0"/>
              <w:left w:val="nil"/>
            </w:tcBorders>
          </w:tcPr>
          <w:p>
            <w:pPr>
              <w:spacing w:line="355" w:lineRule="auto"/>
              <w:rPr>
                <w:rFonts w:ascii="Arial"/>
                <w:sz w:val="21"/>
              </w:rPr>
            </w:pPr>
            <w:r/>
          </w:p>
          <w:p>
            <w:pPr>
              <w:ind w:left="3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p>
        </w:tc>
        <w:tc>
          <w:tcPr>
            <w:tcW w:w="1847" w:type="dxa"/>
            <w:vAlign w:val="top"/>
            <w:tcBorders>
              <w:bottom w:val="single" w:color="000000" w:sz="10" w:space="0"/>
            </w:tcBorders>
          </w:tcPr>
          <w:p>
            <w:pPr>
              <w:pStyle w:val="TableText"/>
              <w:ind w:left="119" w:right="76" w:firstLine="4"/>
              <w:spacing w:before="224" w:line="288" w:lineRule="auto"/>
              <w:rPr/>
            </w:pPr>
            <w:r>
              <w:rPr>
                <w:spacing w:val="1"/>
              </w:rPr>
              <w:t>污染扩散监测（土</w:t>
            </w:r>
            <w:r>
              <w:rPr>
                <w:spacing w:val="5"/>
              </w:rPr>
              <w:t>壤环境敏感目标）</w:t>
            </w:r>
          </w:p>
        </w:tc>
        <w:tc>
          <w:tcPr>
            <w:tcW w:w="849" w:type="dxa"/>
            <w:vAlign w:val="top"/>
            <w:vMerge w:val="continue"/>
            <w:tcBorders>
              <w:bottom w:val="single" w:color="000000" w:sz="10" w:space="0"/>
              <w:top w:val="nil"/>
            </w:tcBorders>
          </w:tcPr>
          <w:p>
            <w:pPr>
              <w:rPr>
                <w:rFonts w:ascii="Arial"/>
                <w:sz w:val="21"/>
              </w:rPr>
            </w:pPr>
            <w:r/>
          </w:p>
        </w:tc>
        <w:tc>
          <w:tcPr>
            <w:tcW w:w="1881" w:type="dxa"/>
            <w:vAlign w:val="top"/>
            <w:vMerge w:val="continue"/>
            <w:tcBorders>
              <w:bottom w:val="single" w:color="000000" w:sz="10" w:space="0"/>
              <w:top w:val="nil"/>
            </w:tcBorders>
          </w:tcPr>
          <w:p>
            <w:pPr>
              <w:rPr>
                <w:rFonts w:ascii="Arial"/>
                <w:sz w:val="21"/>
              </w:rPr>
            </w:pPr>
            <w:r/>
          </w:p>
        </w:tc>
        <w:tc>
          <w:tcPr>
            <w:tcW w:w="3096" w:type="dxa"/>
            <w:vAlign w:val="top"/>
            <w:tcBorders>
              <w:bottom w:val="single" w:color="000000" w:sz="10" w:space="0"/>
              <w:right w:val="nil"/>
            </w:tcBorders>
          </w:tcPr>
          <w:p>
            <w:pPr>
              <w:pStyle w:val="TableText"/>
              <w:ind w:left="193"/>
              <w:spacing w:before="67" w:line="231" w:lineRule="auto"/>
              <w:rPr/>
            </w:pPr>
            <w:r>
              <w:rPr>
                <w:spacing w:val="8"/>
              </w:rPr>
              <w:t>《土壤环境质量农用地土壤污</w:t>
            </w:r>
          </w:p>
          <w:p>
            <w:pPr>
              <w:pStyle w:val="TableText"/>
              <w:ind w:left="302"/>
              <w:spacing w:before="62" w:line="229" w:lineRule="auto"/>
              <w:rPr/>
            </w:pPr>
            <w:r>
              <w:rPr>
                <w:spacing w:val="9"/>
              </w:rPr>
              <w:t>染风险管控标准（试行）》</w:t>
            </w:r>
          </w:p>
          <w:p>
            <w:pPr>
              <w:pStyle w:val="TableText"/>
              <w:ind w:left="700"/>
              <w:spacing w:before="63" w:line="234" w:lineRule="auto"/>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15618-2018</w:t>
            </w:r>
            <w:r>
              <w:rPr>
                <w:spacing w:val="4"/>
              </w:rPr>
              <w:t>）</w:t>
            </w:r>
          </w:p>
        </w:tc>
      </w:tr>
    </w:tbl>
    <w:p>
      <w:pPr>
        <w:pStyle w:val="BodyText"/>
        <w:spacing w:line="251" w:lineRule="auto"/>
        <w:rPr/>
      </w:pPr>
      <w:r/>
    </w:p>
    <w:p>
      <w:pPr>
        <w:pStyle w:val="BodyText"/>
        <w:spacing w:line="252" w:lineRule="auto"/>
        <w:rPr/>
      </w:pPr>
      <w:r/>
    </w:p>
    <w:p>
      <w:pPr>
        <w:ind w:left="608"/>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）监测机构和人员</w:t>
      </w:r>
    </w:p>
    <w:p>
      <w:pPr>
        <w:ind w:left="125" w:right="107" w:firstLine="480"/>
        <w:spacing w:before="179" w:line="360" w:lineRule="auto"/>
        <w:rPr>
          <w:rFonts w:ascii="FangSong" w:hAnsi="FangSong" w:eastAsia="FangSong" w:cs="FangSong"/>
          <w:sz w:val="24"/>
          <w:szCs w:val="24"/>
        </w:rPr>
      </w:pPr>
      <w:r>
        <w:rPr>
          <w:rFonts w:ascii="FangSong" w:hAnsi="FangSong" w:eastAsia="FangSong" w:cs="FangSong"/>
          <w:sz w:val="24"/>
          <w:szCs w:val="24"/>
          <w:spacing w:val="-4"/>
        </w:rPr>
        <w:t>土壤跟踪监测应聘请专业的采样人员进行采样，采集的土壤样品应妥善保存</w:t>
      </w:r>
      <w:r>
        <w:rPr>
          <w:rFonts w:ascii="FangSong" w:hAnsi="FangSong" w:eastAsia="FangSong" w:cs="FangSong"/>
          <w:sz w:val="24"/>
          <w:szCs w:val="24"/>
          <w:spacing w:val="-2"/>
        </w:rPr>
        <w:t>运送至具有土壤监测因子</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CMA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资质的专业实验室进行检测。</w:t>
      </w:r>
    </w:p>
    <w:p>
      <w:pPr>
        <w:ind w:left="608"/>
        <w:spacing w:before="1"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）土壤跟踪监测与信息公开计划</w:t>
      </w:r>
    </w:p>
    <w:p>
      <w:pPr>
        <w:ind w:left="123" w:right="68" w:firstLine="479"/>
        <w:spacing w:before="180" w:line="360" w:lineRule="auto"/>
        <w:rPr>
          <w:rFonts w:ascii="FangSong" w:hAnsi="FangSong" w:eastAsia="FangSong" w:cs="FangSong"/>
          <w:sz w:val="24"/>
          <w:szCs w:val="24"/>
        </w:rPr>
      </w:pPr>
      <w:r>
        <w:rPr>
          <w:rFonts w:ascii="FangSong" w:hAnsi="FangSong" w:eastAsia="FangSong" w:cs="FangSong"/>
          <w:sz w:val="24"/>
          <w:szCs w:val="24"/>
          <w:spacing w:val="-3"/>
        </w:rPr>
        <w:t>厂方的安全环保部门应设立土壤动态监测小组，专</w:t>
      </w:r>
      <w:r>
        <w:rPr>
          <w:rFonts w:ascii="FangSong" w:hAnsi="FangSong" w:eastAsia="FangSong" w:cs="FangSong"/>
          <w:sz w:val="24"/>
          <w:szCs w:val="24"/>
          <w:spacing w:val="-4"/>
        </w:rPr>
        <w:t>人负责监测，并编写土壤</w:t>
      </w:r>
      <w:r>
        <w:rPr>
          <w:rFonts w:ascii="FangSong" w:hAnsi="FangSong" w:eastAsia="FangSong" w:cs="FangSong"/>
          <w:sz w:val="24"/>
          <w:szCs w:val="24"/>
          <w:spacing w:val="-3"/>
        </w:rPr>
        <w:t>跟踪监测报告。监测报告应按项目有关规定及时建立档案，并定期</w:t>
      </w:r>
      <w:r>
        <w:rPr>
          <w:rFonts w:ascii="FangSong" w:hAnsi="FangSong" w:eastAsia="FangSong" w:cs="FangSong"/>
          <w:sz w:val="24"/>
          <w:szCs w:val="24"/>
          <w:spacing w:val="-4"/>
        </w:rPr>
        <w:t>向安全环保部</w:t>
      </w:r>
      <w:r>
        <w:rPr>
          <w:rFonts w:ascii="FangSong" w:hAnsi="FangSong" w:eastAsia="FangSong" w:cs="FangSong"/>
          <w:sz w:val="24"/>
          <w:szCs w:val="24"/>
          <w:spacing w:val="-3"/>
        </w:rPr>
        <w:t>门汇报，同时还应定期向主管环境保护部门汇报，对于常规监测数</w:t>
      </w:r>
      <w:r>
        <w:rPr>
          <w:rFonts w:ascii="FangSong" w:hAnsi="FangSong" w:eastAsia="FangSong" w:cs="FangSong"/>
          <w:sz w:val="24"/>
          <w:szCs w:val="24"/>
          <w:spacing w:val="-4"/>
        </w:rPr>
        <w:t>据应该进行公</w:t>
      </w:r>
      <w:r>
        <w:rPr>
          <w:rFonts w:ascii="FangSong" w:hAnsi="FangSong" w:eastAsia="FangSong" w:cs="FangSong"/>
          <w:sz w:val="24"/>
          <w:szCs w:val="24"/>
          <w:spacing w:val="-3"/>
        </w:rPr>
        <w:t>开，根据导则要求，厂方应定期公开建设项目特征因子的监测值。</w:t>
      </w:r>
      <w:r>
        <w:rPr>
          <w:rFonts w:ascii="FangSong" w:hAnsi="FangSong" w:eastAsia="FangSong" w:cs="FangSong"/>
          <w:sz w:val="24"/>
          <w:szCs w:val="24"/>
          <w:spacing w:val="-4"/>
        </w:rPr>
        <w:t>满足法律中关</w:t>
      </w:r>
      <w:r>
        <w:rPr>
          <w:rFonts w:ascii="FangSong" w:hAnsi="FangSong" w:eastAsia="FangSong" w:cs="FangSong"/>
          <w:sz w:val="24"/>
          <w:szCs w:val="24"/>
          <w:spacing w:val="-2"/>
        </w:rPr>
        <w:t>于知情权的要求。如发现异常或发生事故，加密监测频次，改为每天监测一</w:t>
      </w:r>
      <w:r>
        <w:rPr>
          <w:rFonts w:ascii="FangSong" w:hAnsi="FangSong" w:eastAsia="FangSong" w:cs="FangSong"/>
          <w:sz w:val="24"/>
          <w:szCs w:val="24"/>
          <w:spacing w:val="-3"/>
        </w:rPr>
        <w:t>次，</w:t>
      </w:r>
      <w:r>
        <w:rPr>
          <w:rFonts w:ascii="FangSong" w:hAnsi="FangSong" w:eastAsia="FangSong" w:cs="FangSong"/>
          <w:sz w:val="24"/>
          <w:szCs w:val="24"/>
          <w:spacing w:val="-1"/>
        </w:rPr>
        <w:t>并分析污染原因，确定泄漏污染源，及时采取对应应急措施。</w:t>
      </w:r>
    </w:p>
    <w:p>
      <w:pPr>
        <w:ind w:left="116"/>
        <w:spacing w:line="221" w:lineRule="auto"/>
        <w:outlineLvl w:val="2"/>
        <w:rPr>
          <w:rFonts w:ascii="FangSong" w:hAnsi="FangSong" w:eastAsia="FangSong" w:cs="FangSong"/>
          <w:sz w:val="24"/>
          <w:szCs w:val="24"/>
        </w:rPr>
      </w:pPr>
      <w:bookmarkStart w:name="bookmark336" w:id="459"/>
      <w:bookmarkEnd w:id="459"/>
      <w:bookmarkStart w:name="bookmark335" w:id="460"/>
      <w:bookmarkEnd w:id="460"/>
      <w:r>
        <w:rPr>
          <w:rFonts w:ascii="Times New Roman" w:hAnsi="Times New Roman" w:eastAsia="Times New Roman" w:cs="Times New Roman"/>
          <w:sz w:val="24"/>
          <w:szCs w:val="24"/>
          <w:b/>
          <w:bCs/>
          <w:spacing w:val="-4"/>
        </w:rPr>
        <w:t>7.2.7</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生态环境保护措施</w:t>
      </w:r>
    </w:p>
    <w:p>
      <w:pPr>
        <w:ind w:left="116"/>
        <w:spacing w:before="18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7.2.7.1  </w:t>
      </w:r>
      <w:r>
        <w:rPr>
          <w:rFonts w:ascii="FangSong" w:hAnsi="FangSong" w:eastAsia="FangSong" w:cs="FangSong"/>
          <w:sz w:val="24"/>
          <w:szCs w:val="24"/>
          <w:b/>
          <w:bCs/>
          <w:spacing w:val="-2"/>
        </w:rPr>
        <w:t>运营期生态减缓措施</w:t>
      </w:r>
    </w:p>
    <w:p>
      <w:pPr>
        <w:ind w:left="123" w:right="107" w:firstLine="481"/>
        <w:spacing w:before="178" w:line="360" w:lineRule="auto"/>
        <w:rPr>
          <w:rFonts w:ascii="FangSong" w:hAnsi="FangSong" w:eastAsia="FangSong" w:cs="FangSong"/>
          <w:sz w:val="24"/>
          <w:szCs w:val="24"/>
        </w:rPr>
      </w:pPr>
      <w:r>
        <w:rPr>
          <w:rFonts w:ascii="FangSong" w:hAnsi="FangSong" w:eastAsia="FangSong" w:cs="FangSong"/>
          <w:sz w:val="24"/>
          <w:szCs w:val="24"/>
          <w:spacing w:val="-3"/>
        </w:rPr>
        <w:t>项目生态主要是项目占地对森林等生态环境的</w:t>
      </w:r>
      <w:r>
        <w:rPr>
          <w:rFonts w:ascii="FangSong" w:hAnsi="FangSong" w:eastAsia="FangSong" w:cs="FangSong"/>
          <w:sz w:val="24"/>
          <w:szCs w:val="24"/>
          <w:spacing w:val="-4"/>
        </w:rPr>
        <w:t>破坏，因此，除加强减缓生态</w:t>
      </w:r>
      <w:r>
        <w:rPr>
          <w:rFonts w:ascii="FangSong" w:hAnsi="FangSong" w:eastAsia="FangSong" w:cs="FangSong"/>
          <w:sz w:val="24"/>
          <w:szCs w:val="24"/>
          <w:spacing w:val="-1"/>
        </w:rPr>
        <w:t>破坏措施外，必须进行生态补偿和恢复，具体方案如下：</w:t>
      </w:r>
    </w:p>
    <w:p>
      <w:pPr>
        <w:ind w:left="603"/>
        <w:spacing w:line="220" w:lineRule="auto"/>
        <w:rPr>
          <w:rFonts w:ascii="FangSong" w:hAnsi="FangSong" w:eastAsia="FangSong" w:cs="FangSong"/>
          <w:sz w:val="24"/>
          <w:szCs w:val="24"/>
        </w:rPr>
      </w:pPr>
      <w:r>
        <w:rPr>
          <w:rFonts w:ascii="FangSong" w:hAnsi="FangSong" w:eastAsia="FangSong" w:cs="FangSong"/>
          <w:sz w:val="24"/>
          <w:szCs w:val="24"/>
          <w:spacing w:val="-6"/>
        </w:rPr>
        <w:t>按照“</w:t>
      </w:r>
      <w:r>
        <w:rPr>
          <w:rFonts w:ascii="FangSong" w:hAnsi="FangSong" w:eastAsia="FangSong" w:cs="FangSong"/>
          <w:sz w:val="24"/>
          <w:szCs w:val="24"/>
          <w:spacing w:val="-63"/>
        </w:rPr>
        <w:t xml:space="preserve"> </w:t>
      </w:r>
      <w:r>
        <w:rPr>
          <w:rFonts w:ascii="FangSong" w:hAnsi="FangSong" w:eastAsia="FangSong" w:cs="FangSong"/>
          <w:sz w:val="24"/>
          <w:szCs w:val="24"/>
          <w:spacing w:val="-6"/>
        </w:rPr>
        <w:t>占一补一</w:t>
      </w:r>
      <w:r>
        <w:rPr>
          <w:rFonts w:ascii="FangSong" w:hAnsi="FangSong" w:eastAsia="FangSong" w:cs="FangSong"/>
          <w:sz w:val="24"/>
          <w:szCs w:val="24"/>
          <w:spacing w:val="-88"/>
        </w:rPr>
        <w:t xml:space="preserve"> </w:t>
      </w:r>
      <w:r>
        <w:rPr>
          <w:rFonts w:ascii="FangSong" w:hAnsi="FangSong" w:eastAsia="FangSong" w:cs="FangSong"/>
          <w:sz w:val="24"/>
          <w:szCs w:val="24"/>
          <w:spacing w:val="-6"/>
        </w:rPr>
        <w:t>”的原则，建设单位需对占用草地进行植被恢复，因此</w:t>
      </w:r>
      <w:r>
        <w:rPr>
          <w:rFonts w:ascii="FangSong" w:hAnsi="FangSong" w:eastAsia="FangSong" w:cs="FangSong"/>
          <w:sz w:val="24"/>
          <w:szCs w:val="24"/>
          <w:spacing w:val="-7"/>
        </w:rPr>
        <w:t>建设</w:t>
      </w:r>
    </w:p>
    <w:p>
      <w:pPr>
        <w:spacing w:line="220" w:lineRule="auto"/>
        <w:sectPr>
          <w:footerReference w:type="default" r:id="rId360"/>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219" w:firstLine="4"/>
        <w:spacing w:before="78" w:line="360" w:lineRule="auto"/>
        <w:jc w:val="both"/>
        <w:rPr>
          <w:rFonts w:ascii="FangSong" w:hAnsi="FangSong" w:eastAsia="FangSong" w:cs="FangSong"/>
          <w:sz w:val="24"/>
          <w:szCs w:val="24"/>
        </w:rPr>
      </w:pPr>
      <w:bookmarkStart w:name="bookmark615" w:id="461"/>
      <w:bookmarkEnd w:id="461"/>
      <w:r>
        <w:rPr>
          <w:rFonts w:ascii="FangSong" w:hAnsi="FangSong" w:eastAsia="FangSong" w:cs="FangSong"/>
          <w:sz w:val="24"/>
          <w:szCs w:val="24"/>
          <w:spacing w:val="-3"/>
        </w:rPr>
        <w:t>单位应向当地林草部门缴纳植被恢复补偿费，由当地林</w:t>
      </w:r>
      <w:r>
        <w:rPr>
          <w:rFonts w:ascii="FangSong" w:hAnsi="FangSong" w:eastAsia="FangSong" w:cs="FangSong"/>
          <w:sz w:val="24"/>
          <w:szCs w:val="24"/>
          <w:spacing w:val="-4"/>
        </w:rPr>
        <w:t>草部门负责植被恢复。另</w:t>
      </w:r>
      <w:r>
        <w:rPr>
          <w:rFonts w:ascii="FangSong" w:hAnsi="FangSong" w:eastAsia="FangSong" w:cs="FangSong"/>
          <w:sz w:val="24"/>
          <w:szCs w:val="24"/>
          <w:spacing w:val="-3"/>
        </w:rPr>
        <w:t>外，因本项目环评阶段的草地破坏情况统计为环评初步勘察估算，</w:t>
      </w:r>
      <w:r>
        <w:rPr>
          <w:rFonts w:ascii="FangSong" w:hAnsi="FangSong" w:eastAsia="FangSong" w:cs="FangSong"/>
          <w:sz w:val="24"/>
          <w:szCs w:val="24"/>
          <w:spacing w:val="-4"/>
        </w:rPr>
        <w:t>而项目实际破</w:t>
      </w:r>
      <w:r>
        <w:rPr>
          <w:rFonts w:ascii="FangSong" w:hAnsi="FangSong" w:eastAsia="FangSong" w:cs="FangSong"/>
          <w:sz w:val="24"/>
          <w:szCs w:val="24"/>
          <w:spacing w:val="-3"/>
        </w:rPr>
        <w:t>坏草地情况待林草部门详查确定，因此项目在施工前征求当地林草</w:t>
      </w:r>
      <w:r>
        <w:rPr>
          <w:rFonts w:ascii="FangSong" w:hAnsi="FangSong" w:eastAsia="FangSong" w:cs="FangSong"/>
          <w:sz w:val="24"/>
          <w:szCs w:val="24"/>
          <w:spacing w:val="-4"/>
        </w:rPr>
        <w:t>部门意见，由</w:t>
      </w:r>
      <w:r>
        <w:rPr>
          <w:rFonts w:ascii="FangSong" w:hAnsi="FangSong" w:eastAsia="FangSong" w:cs="FangSong"/>
          <w:sz w:val="24"/>
          <w:szCs w:val="24"/>
          <w:spacing w:val="-3"/>
        </w:rPr>
        <w:t>建设单位对破坏的草地进行经济补偿，由当地林草部门选择适宜植</w:t>
      </w:r>
      <w:r>
        <w:rPr>
          <w:rFonts w:ascii="FangSong" w:hAnsi="FangSong" w:eastAsia="FangSong" w:cs="FangSong"/>
          <w:sz w:val="24"/>
          <w:szCs w:val="24"/>
          <w:spacing w:val="-4"/>
        </w:rPr>
        <w:t>物生长的地区</w:t>
      </w:r>
      <w:r>
        <w:rPr>
          <w:rFonts w:ascii="FangSong" w:hAnsi="FangSong" w:eastAsia="FangSong" w:cs="FangSong"/>
          <w:sz w:val="24"/>
          <w:szCs w:val="24"/>
          <w:spacing w:val="-3"/>
        </w:rPr>
        <w:t>进行补栽，确保补种相同数量和质量的草本植物，并确保其正常存</w:t>
      </w:r>
      <w:r>
        <w:rPr>
          <w:rFonts w:ascii="FangSong" w:hAnsi="FangSong" w:eastAsia="FangSong" w:cs="FangSong"/>
          <w:sz w:val="24"/>
          <w:szCs w:val="24"/>
          <w:spacing w:val="-4"/>
        </w:rPr>
        <w:t>好，减少本项</w:t>
      </w:r>
      <w:r>
        <w:rPr>
          <w:rFonts w:ascii="FangSong" w:hAnsi="FangSong" w:eastAsia="FangSong" w:cs="FangSong"/>
          <w:sz w:val="24"/>
          <w:szCs w:val="24"/>
          <w:spacing w:val="-2"/>
        </w:rPr>
        <w:t>目建设对草原生态的影响。</w:t>
      </w:r>
    </w:p>
    <w:p>
      <w:pPr>
        <w:ind w:left="22"/>
        <w:spacing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7.2.7.2</w:t>
      </w:r>
      <w:r>
        <w:rPr>
          <w:rFonts w:ascii="Times New Roman" w:hAnsi="Times New Roman" w:eastAsia="Times New Roman" w:cs="Times New Roman"/>
          <w:sz w:val="24"/>
          <w:szCs w:val="24"/>
          <w:b/>
          <w:bCs/>
          <w:spacing w:val="22"/>
        </w:rPr>
        <w:t xml:space="preserve">  </w:t>
      </w:r>
      <w:r>
        <w:rPr>
          <w:rFonts w:ascii="FangSong" w:hAnsi="FangSong" w:eastAsia="FangSong" w:cs="FangSong"/>
          <w:sz w:val="24"/>
          <w:szCs w:val="24"/>
          <w:b/>
          <w:bCs/>
          <w:spacing w:val="-4"/>
        </w:rPr>
        <w:t>生态环境保护及恢复措施</w:t>
      </w:r>
    </w:p>
    <w:p>
      <w:pPr>
        <w:ind w:left="29" w:firstLine="481"/>
        <w:spacing w:before="181" w:line="360" w:lineRule="auto"/>
        <w:jc w:val="both"/>
        <w:rPr>
          <w:rFonts w:ascii="FangSong" w:hAnsi="FangSong" w:eastAsia="FangSong" w:cs="FangSong"/>
          <w:sz w:val="24"/>
          <w:szCs w:val="24"/>
        </w:rPr>
      </w:pPr>
      <w:r>
        <w:rPr>
          <w:rFonts w:ascii="FangSong" w:hAnsi="FangSong" w:eastAsia="FangSong" w:cs="FangSong"/>
          <w:sz w:val="24"/>
          <w:szCs w:val="24"/>
          <w:spacing w:val="-15"/>
        </w:rPr>
        <w:t>本次评价根据《矿山生态环境保护与恢复治理技术规范（试行）》（</w:t>
      </w:r>
      <w:r>
        <w:rPr>
          <w:rFonts w:ascii="Times New Roman" w:hAnsi="Times New Roman" w:eastAsia="Times New Roman" w:cs="Times New Roman"/>
          <w:sz w:val="24"/>
          <w:szCs w:val="24"/>
          <w:spacing w:val="-15"/>
        </w:rPr>
        <w:t>HJ651-2013</w:t>
      </w:r>
      <w:r>
        <w:rPr>
          <w:rFonts w:ascii="FangSong" w:hAnsi="FangSong" w:eastAsia="FangSong" w:cs="FangSong"/>
          <w:sz w:val="24"/>
          <w:szCs w:val="24"/>
          <w:spacing w:val="-15"/>
        </w:rPr>
        <w:t>）</w:t>
      </w:r>
      <w:r>
        <w:rPr>
          <w:rFonts w:ascii="FangSong" w:hAnsi="FangSong" w:eastAsia="FangSong" w:cs="FangSong"/>
          <w:sz w:val="24"/>
          <w:szCs w:val="24"/>
          <w:spacing w:val="-4"/>
        </w:rPr>
        <w:t>中生态恢复的指导意见，坚持“预防为主、防治结合、过程控制</w:t>
      </w:r>
      <w:r>
        <w:rPr>
          <w:rFonts w:ascii="FangSong" w:hAnsi="FangSong" w:eastAsia="FangSong" w:cs="FangSong"/>
          <w:sz w:val="24"/>
          <w:szCs w:val="24"/>
          <w:spacing w:val="-88"/>
        </w:rPr>
        <w:t xml:space="preserve"> </w:t>
      </w:r>
      <w:r>
        <w:rPr>
          <w:rFonts w:ascii="FangSong" w:hAnsi="FangSong" w:eastAsia="FangSong" w:cs="FangSong"/>
          <w:sz w:val="24"/>
          <w:szCs w:val="24"/>
          <w:spacing w:val="-4"/>
        </w:rPr>
        <w:t>”的原则，</w:t>
      </w:r>
      <w:r>
        <w:rPr>
          <w:rFonts w:ascii="FangSong" w:hAnsi="FangSong" w:eastAsia="FangSong" w:cs="FangSong"/>
          <w:sz w:val="24"/>
          <w:szCs w:val="24"/>
          <w:spacing w:val="-5"/>
        </w:rPr>
        <w:t>结合</w:t>
      </w:r>
      <w:r>
        <w:rPr>
          <w:rFonts w:ascii="FangSong" w:hAnsi="FangSong" w:eastAsia="FangSong" w:cs="FangSong"/>
          <w:sz w:val="24"/>
          <w:szCs w:val="24"/>
          <w:spacing w:val="-3"/>
        </w:rPr>
        <w:t>本工程实际情况，对本项目运营期及闭矿期提出项目生态环境保护与</w:t>
      </w:r>
      <w:r>
        <w:rPr>
          <w:rFonts w:ascii="FangSong" w:hAnsi="FangSong" w:eastAsia="FangSong" w:cs="FangSong"/>
          <w:sz w:val="24"/>
          <w:szCs w:val="24"/>
          <w:spacing w:val="-4"/>
        </w:rPr>
        <w:t>恢复治理措</w:t>
      </w:r>
      <w:r>
        <w:rPr>
          <w:rFonts w:ascii="FangSong" w:hAnsi="FangSong" w:eastAsia="FangSong" w:cs="FangSong"/>
          <w:sz w:val="24"/>
          <w:szCs w:val="24"/>
          <w:spacing w:val="-3"/>
        </w:rPr>
        <w:t>施相关要求。</w:t>
      </w:r>
    </w:p>
    <w:p>
      <w:pPr>
        <w:ind w:left="514"/>
        <w:spacing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）生态环境保护及恢复治理原则</w:t>
      </w:r>
    </w:p>
    <w:p>
      <w:pPr>
        <w:ind w:left="509"/>
        <w:spacing w:before="182" w:line="220" w:lineRule="auto"/>
        <w:rPr>
          <w:rFonts w:ascii="FangSong" w:hAnsi="FangSong" w:eastAsia="FangSong" w:cs="FangSong"/>
          <w:sz w:val="24"/>
          <w:szCs w:val="24"/>
        </w:rPr>
      </w:pPr>
      <w:r>
        <w:rPr>
          <w:rFonts w:ascii="FangSong" w:hAnsi="FangSong" w:eastAsia="FangSong" w:cs="FangSong"/>
          <w:sz w:val="24"/>
          <w:szCs w:val="24"/>
          <w:spacing w:val="-1"/>
        </w:rPr>
        <w:t>矿山生态环境保护与恢复治理应遵循以下原则：</w:t>
      </w:r>
    </w:p>
    <w:p>
      <w:pPr>
        <w:ind w:left="38" w:right="221" w:firstLine="463"/>
        <w:spacing w:before="182" w:line="291"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严格控制矿产资源开发对矿山环境的扰动和破坏，最大限度的减少或避</w:t>
      </w:r>
      <w:r>
        <w:rPr>
          <w:rFonts w:ascii="FangSong" w:hAnsi="FangSong" w:eastAsia="FangSong" w:cs="FangSong"/>
          <w:sz w:val="24"/>
          <w:szCs w:val="24"/>
          <w:spacing w:val="-2"/>
        </w:rPr>
        <w:t>免矿山开发引发的矿山环境问题；</w:t>
      </w:r>
    </w:p>
    <w:p>
      <w:pPr>
        <w:ind w:left="32" w:right="221" w:firstLine="468"/>
        <w:spacing w:before="180" w:line="290"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遵循“谁开发谁保护，谁破坏谁治理，谁出资谁受益</w:t>
      </w:r>
      <w:r>
        <w:rPr>
          <w:rFonts w:ascii="FangSong" w:hAnsi="FangSong" w:eastAsia="FangSong" w:cs="FangSong"/>
          <w:sz w:val="24"/>
          <w:szCs w:val="24"/>
          <w:spacing w:val="-72"/>
        </w:rPr>
        <w:t xml:space="preserve"> </w:t>
      </w:r>
      <w:r>
        <w:rPr>
          <w:rFonts w:ascii="FangSong" w:hAnsi="FangSong" w:eastAsia="FangSong" w:cs="FangSong"/>
          <w:sz w:val="24"/>
          <w:szCs w:val="24"/>
          <w:spacing w:val="-1"/>
        </w:rPr>
        <w:t>”及“依靠科技进</w:t>
      </w:r>
      <w:r>
        <w:rPr>
          <w:rFonts w:ascii="FangSong" w:hAnsi="FangSong" w:eastAsia="FangSong" w:cs="FangSong"/>
          <w:sz w:val="24"/>
          <w:szCs w:val="24"/>
          <w:spacing w:val="-3"/>
        </w:rPr>
        <w:t>步、发展循环经济、建设绿色矿业</w:t>
      </w:r>
      <w:r>
        <w:rPr>
          <w:rFonts w:ascii="FangSong" w:hAnsi="FangSong" w:eastAsia="FangSong" w:cs="FangSong"/>
          <w:sz w:val="24"/>
          <w:szCs w:val="24"/>
          <w:spacing w:val="-80"/>
        </w:rPr>
        <w:t xml:space="preserve"> </w:t>
      </w:r>
      <w:r>
        <w:rPr>
          <w:rFonts w:ascii="FangSong" w:hAnsi="FangSong" w:eastAsia="FangSong" w:cs="FangSong"/>
          <w:sz w:val="24"/>
          <w:szCs w:val="24"/>
          <w:spacing w:val="-3"/>
        </w:rPr>
        <w:t>”的原则；</w:t>
      </w:r>
    </w:p>
    <w:p>
      <w:pPr>
        <w:ind w:left="501"/>
        <w:spacing w:before="181" w:line="220"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结合矿山实际、实事求是、注重可操作性的原则；</w:t>
      </w:r>
    </w:p>
    <w:p>
      <w:pPr>
        <w:ind w:left="501"/>
        <w:spacing w:before="182" w:line="220"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开采和环境保护与恢复治理同步的原则；</w:t>
      </w:r>
    </w:p>
    <w:p>
      <w:pPr>
        <w:ind w:left="54" w:right="153" w:firstLine="447"/>
        <w:spacing w:before="182" w:line="290" w:lineRule="auto"/>
        <w:rPr>
          <w:rFonts w:ascii="FangSong" w:hAnsi="FangSong" w:eastAsia="FangSong" w:cs="FangSong"/>
          <w:sz w:val="24"/>
          <w:szCs w:val="24"/>
        </w:rPr>
      </w:pPr>
      <w:r>
        <w:rPr>
          <w:rFonts w:ascii="FangSong" w:hAnsi="FangSong" w:eastAsia="FangSong" w:cs="FangSong"/>
          <w:sz w:val="24"/>
          <w:szCs w:val="24"/>
          <w:spacing w:val="-6"/>
        </w:rPr>
        <w:t>⑤</w:t>
      </w:r>
      <w:r>
        <w:rPr>
          <w:rFonts w:ascii="FangSong" w:hAnsi="FangSong" w:eastAsia="FangSong" w:cs="FangSong"/>
          <w:sz w:val="24"/>
          <w:szCs w:val="24"/>
          <w:spacing w:val="41"/>
        </w:rPr>
        <w:t xml:space="preserve"> </w:t>
      </w:r>
      <w:r>
        <w:rPr>
          <w:rFonts w:ascii="FangSong" w:hAnsi="FangSong" w:eastAsia="FangSong" w:cs="FangSong"/>
          <w:sz w:val="24"/>
          <w:szCs w:val="24"/>
          <w:spacing w:val="-6"/>
        </w:rPr>
        <w:t>防治措施应根据环境问题的危险性和危害程度，结合矿山生产实际情况，</w:t>
      </w:r>
      <w:r>
        <w:rPr>
          <w:rFonts w:ascii="FangSong" w:hAnsi="FangSong" w:eastAsia="FangSong" w:cs="FangSong"/>
          <w:sz w:val="24"/>
          <w:szCs w:val="24"/>
          <w:spacing w:val="-2"/>
        </w:rPr>
        <w:t>因地制宜，统筹规划，分期实施，以最小投入获取最大经济、环境效益</w:t>
      </w:r>
      <w:r>
        <w:rPr>
          <w:rFonts w:ascii="FangSong" w:hAnsi="FangSong" w:eastAsia="FangSong" w:cs="FangSong"/>
          <w:sz w:val="24"/>
          <w:szCs w:val="24"/>
          <w:spacing w:val="-3"/>
        </w:rPr>
        <w:t>的原则。</w:t>
      </w:r>
    </w:p>
    <w:p>
      <w:pPr>
        <w:ind w:left="514"/>
        <w:spacing w:before="18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）生态保护措施</w:t>
      </w:r>
    </w:p>
    <w:p>
      <w:pPr>
        <w:ind w:left="44" w:right="221" w:firstLine="458"/>
        <w:spacing w:before="181" w:line="291"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矿山开采和其他活动必须在规定的范围内进行，采矿活动应尽量减少对</w:t>
      </w:r>
      <w:r>
        <w:rPr>
          <w:rFonts w:ascii="FangSong" w:hAnsi="FangSong" w:eastAsia="FangSong" w:cs="FangSong"/>
          <w:sz w:val="24"/>
          <w:szCs w:val="24"/>
          <w:spacing w:val="-3"/>
        </w:rPr>
        <w:t>生态环境影响的范围和程度。</w:t>
      </w:r>
    </w:p>
    <w:p>
      <w:pPr>
        <w:ind w:left="31" w:right="219" w:firstLine="469"/>
        <w:spacing w:before="180" w:line="325"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各类堆场设置警示牌，采取防洪、排水、边坡防护、工程拦挡等水土保</w:t>
      </w:r>
      <w:r>
        <w:rPr>
          <w:rFonts w:ascii="FangSong" w:hAnsi="FangSong" w:eastAsia="FangSong" w:cs="FangSong"/>
          <w:sz w:val="24"/>
          <w:szCs w:val="24"/>
          <w:spacing w:val="-4"/>
        </w:rPr>
        <w:t>持措施；经常进行稳定性监测，避免事故的发生；采取“先拦后弃</w:t>
      </w:r>
      <w:r>
        <w:rPr>
          <w:rFonts w:ascii="FangSong" w:hAnsi="FangSong" w:eastAsia="FangSong" w:cs="FangSong"/>
          <w:sz w:val="24"/>
          <w:szCs w:val="24"/>
          <w:spacing w:val="-88"/>
        </w:rPr>
        <w:t xml:space="preserve"> </w:t>
      </w:r>
      <w:r>
        <w:rPr>
          <w:rFonts w:ascii="FangSong" w:hAnsi="FangSong" w:eastAsia="FangSong" w:cs="FangSong"/>
          <w:sz w:val="24"/>
          <w:szCs w:val="24"/>
          <w:spacing w:val="-4"/>
        </w:rPr>
        <w:t>”</w:t>
      </w:r>
      <w:r>
        <w:rPr>
          <w:rFonts w:ascii="FangSong" w:hAnsi="FangSong" w:eastAsia="FangSong" w:cs="FangSong"/>
          <w:sz w:val="24"/>
          <w:szCs w:val="24"/>
          <w:spacing w:val="-5"/>
        </w:rPr>
        <w:t>，按规范修</w:t>
      </w:r>
      <w:r>
        <w:rPr>
          <w:rFonts w:ascii="FangSong" w:hAnsi="FangSong" w:eastAsia="FangSong" w:cs="FangSong"/>
          <w:sz w:val="24"/>
          <w:szCs w:val="24"/>
          <w:spacing w:val="-3"/>
        </w:rPr>
        <w:t>筑挡墙和截排水沟，做好边坡防护和废石稳定工作，定期对尾</w:t>
      </w:r>
      <w:r>
        <w:rPr>
          <w:rFonts w:ascii="FangSong" w:hAnsi="FangSong" w:eastAsia="FangSong" w:cs="FangSong"/>
          <w:sz w:val="24"/>
          <w:szCs w:val="24"/>
          <w:spacing w:val="-4"/>
        </w:rPr>
        <w:t>矿临时堆场挡墙进</w:t>
      </w:r>
      <w:r>
        <w:rPr>
          <w:rFonts w:ascii="FangSong" w:hAnsi="FangSong" w:eastAsia="FangSong" w:cs="FangSong"/>
          <w:sz w:val="24"/>
          <w:szCs w:val="24"/>
          <w:spacing w:val="-1"/>
        </w:rPr>
        <w:t>行巡检，及时发现隐患并安全处置；加强监督管理，竖警示牌。</w:t>
      </w:r>
    </w:p>
    <w:p>
      <w:pPr>
        <w:ind w:left="501"/>
        <w:spacing w:before="182" w:line="219" w:lineRule="auto"/>
        <w:rPr>
          <w:rFonts w:ascii="FangSong" w:hAnsi="FangSong" w:eastAsia="FangSong" w:cs="FangSong"/>
          <w:sz w:val="24"/>
          <w:szCs w:val="24"/>
        </w:rPr>
      </w:pPr>
      <w:r>
        <w:rPr>
          <w:rFonts w:ascii="FangSong" w:hAnsi="FangSong" w:eastAsia="FangSong" w:cs="FangSong"/>
          <w:sz w:val="24"/>
          <w:szCs w:val="24"/>
        </w:rPr>
        <w:t>③</w:t>
      </w:r>
      <w:r>
        <w:rPr>
          <w:rFonts w:ascii="FangSong" w:hAnsi="FangSong" w:eastAsia="FangSong" w:cs="FangSong"/>
          <w:sz w:val="24"/>
          <w:szCs w:val="24"/>
        </w:rPr>
        <w:t xml:space="preserve"> </w:t>
      </w:r>
      <w:r>
        <w:rPr>
          <w:rFonts w:ascii="FangSong" w:hAnsi="FangSong" w:eastAsia="FangSong" w:cs="FangSong"/>
          <w:sz w:val="24"/>
          <w:szCs w:val="24"/>
        </w:rPr>
        <w:t>禁止随意排弃废石、尾矿，按照要求进行采矿空区回填，避免在矿区内</w:t>
      </w:r>
    </w:p>
    <w:p>
      <w:pPr>
        <w:spacing w:line="219" w:lineRule="auto"/>
        <w:sectPr>
          <w:footerReference w:type="default" r:id="rId361"/>
          <w:pgSz w:w="11906" w:h="16839"/>
          <w:pgMar w:top="400" w:right="158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spacing w:before="78" w:line="222" w:lineRule="auto"/>
        <w:rPr>
          <w:rFonts w:ascii="FangSong" w:hAnsi="FangSong" w:eastAsia="FangSong" w:cs="FangSong"/>
          <w:sz w:val="24"/>
          <w:szCs w:val="24"/>
        </w:rPr>
      </w:pPr>
      <w:bookmarkStart w:name="bookmark616" w:id="462"/>
      <w:bookmarkEnd w:id="462"/>
      <w:r>
        <w:rPr>
          <w:rFonts w:ascii="FangSong" w:hAnsi="FangSong" w:eastAsia="FangSong" w:cs="FangSong"/>
          <w:sz w:val="24"/>
          <w:szCs w:val="24"/>
          <w:spacing w:val="-1"/>
        </w:rPr>
        <w:t>增加新的地表扰动和因雨水冲刷造成水土流失，破坏草地等。</w:t>
      </w:r>
    </w:p>
    <w:p>
      <w:pPr>
        <w:ind w:left="31" w:right="79" w:firstLine="469"/>
        <w:spacing w:before="180" w:line="290" w:lineRule="auto"/>
        <w:rPr>
          <w:rFonts w:ascii="FangSong" w:hAnsi="FangSong" w:eastAsia="FangSong" w:cs="FangSong"/>
          <w:sz w:val="24"/>
          <w:szCs w:val="24"/>
        </w:rPr>
      </w:pPr>
      <w:r>
        <w:rPr>
          <w:rFonts w:ascii="FangSong" w:hAnsi="FangSong" w:eastAsia="FangSong" w:cs="FangSong"/>
          <w:sz w:val="24"/>
          <w:szCs w:val="24"/>
        </w:rPr>
        <w:t>④</w:t>
      </w:r>
      <w:r>
        <w:rPr>
          <w:rFonts w:ascii="FangSong" w:hAnsi="FangSong" w:eastAsia="FangSong" w:cs="FangSong"/>
          <w:sz w:val="24"/>
          <w:szCs w:val="24"/>
        </w:rPr>
        <w:t xml:space="preserve"> </w:t>
      </w:r>
      <w:r>
        <w:rPr>
          <w:rFonts w:ascii="FangSong" w:hAnsi="FangSong" w:eastAsia="FangSong" w:cs="FangSong"/>
          <w:sz w:val="24"/>
          <w:szCs w:val="24"/>
        </w:rPr>
        <w:t>运矿道路维护必须在原有线路上进行，严格控制道路宽度，加强对道路</w:t>
      </w:r>
      <w:r>
        <w:rPr>
          <w:rFonts w:ascii="FangSong" w:hAnsi="FangSong" w:eastAsia="FangSong" w:cs="FangSong"/>
          <w:sz w:val="24"/>
          <w:szCs w:val="24"/>
          <w:spacing w:val="-2"/>
        </w:rPr>
        <w:t>进行边坡防护，减少水土流失。</w:t>
      </w:r>
    </w:p>
    <w:p>
      <w:pPr>
        <w:ind w:left="29" w:right="76" w:firstLine="471"/>
        <w:spacing w:before="179" w:line="337" w:lineRule="auto"/>
        <w:rPr>
          <w:rFonts w:ascii="FangSong" w:hAnsi="FangSong" w:eastAsia="FangSong" w:cs="FangSong"/>
          <w:sz w:val="24"/>
          <w:szCs w:val="24"/>
        </w:rPr>
      </w:pPr>
      <w:r>
        <w:rPr>
          <w:rFonts w:ascii="FangSong" w:hAnsi="FangSong" w:eastAsia="FangSong" w:cs="FangSong"/>
          <w:sz w:val="24"/>
          <w:szCs w:val="24"/>
          <w:spacing w:val="-1"/>
        </w:rPr>
        <w:t>⑤</w:t>
      </w:r>
      <w:r>
        <w:rPr>
          <w:rFonts w:ascii="FangSong" w:hAnsi="FangSong" w:eastAsia="FangSong" w:cs="FangSong"/>
          <w:sz w:val="24"/>
          <w:szCs w:val="24"/>
          <w:spacing w:val="-1"/>
        </w:rPr>
        <w:t xml:space="preserve"> </w:t>
      </w:r>
      <w:r>
        <w:rPr>
          <w:rFonts w:ascii="FangSong" w:hAnsi="FangSong" w:eastAsia="FangSong" w:cs="FangSong"/>
          <w:sz w:val="24"/>
          <w:szCs w:val="24"/>
          <w:spacing w:val="-1"/>
        </w:rPr>
        <w:t>运输车辆严禁超载，车辆必须覆盖，防止运送物料</w:t>
      </w:r>
      <w:r>
        <w:rPr>
          <w:rFonts w:ascii="FangSong" w:hAnsi="FangSong" w:eastAsia="FangSong" w:cs="FangSong"/>
          <w:sz w:val="24"/>
          <w:szCs w:val="24"/>
          <w:spacing w:val="-2"/>
        </w:rPr>
        <w:t>沿途酒落，</w:t>
      </w:r>
      <w:r>
        <w:rPr>
          <w:rFonts w:ascii="FangSong" w:hAnsi="FangSong" w:eastAsia="FangSong" w:cs="FangSong"/>
          <w:sz w:val="24"/>
          <w:szCs w:val="24"/>
          <w:spacing w:val="-63"/>
        </w:rPr>
        <w:t xml:space="preserve"> </w:t>
      </w:r>
      <w:r>
        <w:rPr>
          <w:rFonts w:ascii="FangSong" w:hAnsi="FangSong" w:eastAsia="FangSong" w:cs="FangSong"/>
          <w:sz w:val="24"/>
          <w:szCs w:val="24"/>
          <w:spacing w:val="-2"/>
        </w:rPr>
        <w:t>占压道路</w:t>
      </w:r>
      <w:r>
        <w:rPr>
          <w:rFonts w:ascii="FangSong" w:hAnsi="FangSong" w:eastAsia="FangSong" w:cs="FangSong"/>
          <w:sz w:val="24"/>
          <w:szCs w:val="24"/>
          <w:spacing w:val="-3"/>
        </w:rPr>
        <w:t>沿线植被。并加强对运输人员的宣传教育，提高运输人员爱护动物</w:t>
      </w:r>
      <w:r>
        <w:rPr>
          <w:rFonts w:ascii="FangSong" w:hAnsi="FangSong" w:eastAsia="FangSong" w:cs="FangSong"/>
          <w:sz w:val="24"/>
          <w:szCs w:val="24"/>
          <w:spacing w:val="-4"/>
        </w:rPr>
        <w:t>、保护环境的</w:t>
      </w:r>
      <w:r>
        <w:rPr>
          <w:rFonts w:ascii="FangSong" w:hAnsi="FangSong" w:eastAsia="FangSong" w:cs="FangSong"/>
          <w:sz w:val="24"/>
          <w:szCs w:val="24"/>
          <w:spacing w:val="-3"/>
        </w:rPr>
        <w:t>意识，严格按照规定线路行驶，禁止下路乱行驶，避免因碾压路边</w:t>
      </w:r>
      <w:r>
        <w:rPr>
          <w:rFonts w:ascii="FangSong" w:hAnsi="FangSong" w:eastAsia="FangSong" w:cs="FangSong"/>
          <w:sz w:val="24"/>
          <w:szCs w:val="24"/>
          <w:spacing w:val="-4"/>
        </w:rPr>
        <w:t>植被和失稳路</w:t>
      </w:r>
      <w:r>
        <w:rPr>
          <w:rFonts w:ascii="FangSong" w:hAnsi="FangSong" w:eastAsia="FangSong" w:cs="FangSong"/>
          <w:sz w:val="24"/>
          <w:szCs w:val="24"/>
          <w:spacing w:val="-3"/>
        </w:rPr>
        <w:t>缘，造成植被破坏和水土流失，加强生产管理和职工的生态环保宣</w:t>
      </w:r>
      <w:r>
        <w:rPr>
          <w:rFonts w:ascii="FangSong" w:hAnsi="FangSong" w:eastAsia="FangSong" w:cs="FangSong"/>
          <w:sz w:val="24"/>
          <w:szCs w:val="24"/>
          <w:spacing w:val="-4"/>
        </w:rPr>
        <w:t>传教育，严禁</w:t>
      </w:r>
      <w:r>
        <w:rPr>
          <w:rFonts w:ascii="FangSong" w:hAnsi="FangSong" w:eastAsia="FangSong" w:cs="FangSong"/>
          <w:sz w:val="24"/>
          <w:szCs w:val="24"/>
          <w:spacing w:val="-3"/>
        </w:rPr>
        <w:t>随意开辟便道，禁止所有人员随意进入非工程用地区域活动，踩踏</w:t>
      </w:r>
      <w:r>
        <w:rPr>
          <w:rFonts w:ascii="FangSong" w:hAnsi="FangSong" w:eastAsia="FangSong" w:cs="FangSong"/>
          <w:sz w:val="24"/>
          <w:szCs w:val="24"/>
          <w:spacing w:val="-4"/>
        </w:rPr>
        <w:t>破坏植被，破</w:t>
      </w:r>
      <w:r>
        <w:rPr>
          <w:rFonts w:ascii="FangSong" w:hAnsi="FangSong" w:eastAsia="FangSong" w:cs="FangSong"/>
          <w:sz w:val="24"/>
          <w:szCs w:val="24"/>
          <w:spacing w:val="-2"/>
        </w:rPr>
        <w:t>坏地表生态，严禁捕杀野生动物。</w:t>
      </w:r>
    </w:p>
    <w:p>
      <w:pPr>
        <w:ind w:left="22"/>
        <w:spacing w:before="181" w:line="220"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7.2.7.3</w:t>
      </w:r>
      <w:r>
        <w:rPr>
          <w:rFonts w:ascii="Times New Roman" w:hAnsi="Times New Roman" w:eastAsia="Times New Roman" w:cs="Times New Roman"/>
          <w:sz w:val="24"/>
          <w:szCs w:val="24"/>
          <w:b/>
          <w:bCs/>
          <w:spacing w:val="19"/>
          <w:w w:val="101"/>
        </w:rPr>
        <w:t xml:space="preserve">  </w:t>
      </w:r>
      <w:r>
        <w:rPr>
          <w:rFonts w:ascii="FangSong" w:hAnsi="FangSong" w:eastAsia="FangSong" w:cs="FangSong"/>
          <w:sz w:val="24"/>
          <w:szCs w:val="24"/>
          <w:b/>
          <w:bCs/>
          <w:spacing w:val="-4"/>
        </w:rPr>
        <w:t>闭矿期生态恢复措施</w:t>
      </w:r>
    </w:p>
    <w:p>
      <w:pPr>
        <w:ind w:left="33" w:right="76" w:firstLine="480"/>
        <w:spacing w:before="181" w:line="360" w:lineRule="auto"/>
        <w:rPr>
          <w:rFonts w:ascii="FangSong" w:hAnsi="FangSong" w:eastAsia="FangSong" w:cs="FangSong"/>
          <w:sz w:val="24"/>
          <w:szCs w:val="24"/>
        </w:rPr>
      </w:pPr>
      <w:r>
        <w:rPr>
          <w:rFonts w:ascii="FangSong" w:hAnsi="FangSong" w:eastAsia="FangSong" w:cs="FangSong"/>
          <w:sz w:val="24"/>
          <w:szCs w:val="24"/>
          <w:spacing w:val="4"/>
        </w:rPr>
        <w:t>要求矿山进行对本项目所开采矿山及占地进行编制矿山地质灾害</w:t>
      </w:r>
      <w:r>
        <w:rPr>
          <w:rFonts w:ascii="FangSong" w:hAnsi="FangSong" w:eastAsia="FangSong" w:cs="FangSong"/>
          <w:sz w:val="24"/>
          <w:szCs w:val="24"/>
          <w:spacing w:val="3"/>
        </w:rPr>
        <w:t>危险性评</w:t>
      </w:r>
      <w:r>
        <w:rPr>
          <w:rFonts w:ascii="FangSong" w:hAnsi="FangSong" w:eastAsia="FangSong" w:cs="FangSong"/>
          <w:sz w:val="24"/>
          <w:szCs w:val="24"/>
          <w:spacing w:val="-1"/>
        </w:rPr>
        <w:t>估报告，同时编制矿山地质环境保护于土地复垦方案。</w:t>
      </w:r>
    </w:p>
    <w:p>
      <w:pPr>
        <w:ind w:left="30" w:right="19" w:firstLine="479"/>
        <w:spacing w:before="4" w:line="359" w:lineRule="auto"/>
        <w:jc w:val="both"/>
        <w:rPr>
          <w:rFonts w:ascii="FangSong" w:hAnsi="FangSong" w:eastAsia="FangSong" w:cs="FangSong"/>
          <w:sz w:val="24"/>
          <w:szCs w:val="24"/>
        </w:rPr>
      </w:pPr>
      <w:r>
        <w:rPr>
          <w:rFonts w:ascii="FangSong" w:hAnsi="FangSong" w:eastAsia="FangSong" w:cs="FangSong"/>
          <w:sz w:val="24"/>
          <w:szCs w:val="24"/>
          <w:spacing w:val="-3"/>
        </w:rPr>
        <w:t>矿山在开发前，首先应根据采矿地质条件、发展</w:t>
      </w:r>
      <w:r>
        <w:rPr>
          <w:rFonts w:ascii="FangSong" w:hAnsi="FangSong" w:eastAsia="FangSong" w:cs="FangSong"/>
          <w:sz w:val="24"/>
          <w:szCs w:val="24"/>
          <w:spacing w:val="-4"/>
        </w:rPr>
        <w:t>远景及当地具体情况，制定</w:t>
      </w:r>
      <w:r>
        <w:rPr>
          <w:rFonts w:ascii="FangSong" w:hAnsi="FangSong" w:eastAsia="FangSong" w:cs="FangSong"/>
          <w:sz w:val="24"/>
          <w:szCs w:val="24"/>
          <w:spacing w:val="-3"/>
        </w:rPr>
        <w:t>处矿山土地复垦规划。矿山土地复垦规划要纳入矿山设计中开采</w:t>
      </w:r>
      <w:r>
        <w:rPr>
          <w:rFonts w:ascii="FangSong" w:hAnsi="FangSong" w:eastAsia="FangSong" w:cs="FangSong"/>
          <w:sz w:val="24"/>
          <w:szCs w:val="24"/>
          <w:spacing w:val="-4"/>
        </w:rPr>
        <w:t>、排弃计划，其</w:t>
      </w:r>
      <w:r>
        <w:rPr>
          <w:rFonts w:ascii="FangSong" w:hAnsi="FangSong" w:eastAsia="FangSong" w:cs="FangSong"/>
          <w:sz w:val="24"/>
          <w:szCs w:val="24"/>
          <w:spacing w:val="-3"/>
        </w:rPr>
        <w:t>内容包括利用土地方式、采矿复垦方法、回填岩石顺序等内容。</w:t>
      </w:r>
      <w:r>
        <w:rPr>
          <w:rFonts w:ascii="FangSong" w:hAnsi="FangSong" w:eastAsia="FangSong" w:cs="FangSong"/>
          <w:sz w:val="24"/>
          <w:szCs w:val="24"/>
          <w:spacing w:val="-4"/>
        </w:rPr>
        <w:t>其次要保持良好</w:t>
      </w:r>
      <w:r>
        <w:rPr>
          <w:rFonts w:ascii="FangSong" w:hAnsi="FangSong" w:eastAsia="FangSong" w:cs="FangSong"/>
          <w:sz w:val="24"/>
          <w:szCs w:val="24"/>
          <w:spacing w:val="-2"/>
        </w:rPr>
        <w:t>的土壤质量，要把原有的表上层预先剥离、储存，保证植物生长的土壤酸碱度。</w:t>
      </w:r>
    </w:p>
    <w:p>
      <w:pPr>
        <w:ind w:left="28" w:firstLine="484"/>
        <w:spacing w:before="2" w:line="360" w:lineRule="auto"/>
        <w:jc w:val="both"/>
        <w:rPr>
          <w:rFonts w:ascii="FangSong" w:hAnsi="FangSong" w:eastAsia="FangSong" w:cs="FangSong"/>
          <w:sz w:val="24"/>
          <w:szCs w:val="24"/>
        </w:rPr>
      </w:pPr>
      <w:r>
        <w:rPr>
          <w:rFonts w:ascii="FangSong" w:hAnsi="FangSong" w:eastAsia="FangSong" w:cs="FangSong"/>
          <w:sz w:val="24"/>
          <w:szCs w:val="24"/>
          <w:spacing w:val="4"/>
        </w:rPr>
        <w:t>影响矿山土地复垦与植物种植方式选择的主要因素有废石材料的结构</w:t>
      </w:r>
      <w:r>
        <w:rPr>
          <w:rFonts w:ascii="FangSong" w:hAnsi="FangSong" w:eastAsia="FangSong" w:cs="FangSong"/>
          <w:sz w:val="24"/>
          <w:szCs w:val="24"/>
          <w:spacing w:val="3"/>
        </w:rPr>
        <w:t>和酸</w:t>
      </w:r>
      <w:r>
        <w:rPr>
          <w:rFonts w:ascii="FangSong" w:hAnsi="FangSong" w:eastAsia="FangSong" w:cs="FangSong"/>
          <w:sz w:val="24"/>
          <w:szCs w:val="24"/>
          <w:spacing w:val="-3"/>
        </w:rPr>
        <w:t>碱程度：废石堆的的结构及其稳定性；废石的岩性；废石中的有毒元素</w:t>
      </w:r>
      <w:r>
        <w:rPr>
          <w:rFonts w:ascii="FangSong" w:hAnsi="FangSong" w:eastAsia="FangSong" w:cs="FangSong"/>
          <w:sz w:val="24"/>
          <w:szCs w:val="24"/>
          <w:spacing w:val="-4"/>
        </w:rPr>
        <w:t>；粉尘对</w:t>
      </w:r>
      <w:r>
        <w:rPr>
          <w:rFonts w:ascii="FangSong" w:hAnsi="FangSong" w:eastAsia="FangSong" w:cs="FangSong"/>
          <w:sz w:val="24"/>
          <w:szCs w:val="24"/>
          <w:spacing w:val="-3"/>
        </w:rPr>
        <w:t>植物的危害；废石的湿度；气候条件；地形条件对植物种植的适应程度</w:t>
      </w:r>
      <w:r>
        <w:rPr>
          <w:rFonts w:ascii="FangSong" w:hAnsi="FangSong" w:eastAsia="FangSong" w:cs="FangSong"/>
          <w:sz w:val="24"/>
          <w:szCs w:val="24"/>
          <w:spacing w:val="-4"/>
        </w:rPr>
        <w:t>等。矿山</w:t>
      </w:r>
      <w:r>
        <w:rPr>
          <w:rFonts w:ascii="FangSong" w:hAnsi="FangSong" w:eastAsia="FangSong" w:cs="FangSong"/>
          <w:sz w:val="24"/>
          <w:szCs w:val="24"/>
          <w:spacing w:val="-3"/>
        </w:rPr>
        <w:t>的土地复垦必须结合当地的具体情况，充分考虑社会经济效益，选择未</w:t>
      </w:r>
      <w:r>
        <w:rPr>
          <w:rFonts w:ascii="FangSong" w:hAnsi="FangSong" w:eastAsia="FangSong" w:cs="FangSong"/>
          <w:sz w:val="24"/>
          <w:szCs w:val="24"/>
          <w:spacing w:val="-4"/>
        </w:rPr>
        <w:t>来土地的</w:t>
      </w:r>
      <w:r>
        <w:rPr>
          <w:rFonts w:ascii="FangSong" w:hAnsi="FangSong" w:eastAsia="FangSong" w:cs="FangSong"/>
          <w:sz w:val="24"/>
          <w:szCs w:val="24"/>
          <w:spacing w:val="-2"/>
        </w:rPr>
        <w:t>复垦及使用方式。土地复垦植物的种植必须坚持“适地、适苗、适时</w:t>
      </w:r>
      <w:r>
        <w:rPr>
          <w:rFonts w:ascii="FangSong" w:hAnsi="FangSong" w:eastAsia="FangSong" w:cs="FangSong"/>
          <w:sz w:val="24"/>
          <w:szCs w:val="24"/>
          <w:spacing w:val="-83"/>
        </w:rPr>
        <w:t xml:space="preserve"> </w:t>
      </w:r>
      <w:r>
        <w:rPr>
          <w:rFonts w:ascii="FangSong" w:hAnsi="FangSong" w:eastAsia="FangSong" w:cs="FangSong"/>
          <w:sz w:val="24"/>
          <w:szCs w:val="24"/>
          <w:spacing w:val="-2"/>
        </w:rPr>
        <w:t>”的原则，</w:t>
      </w:r>
      <w:r>
        <w:rPr>
          <w:rFonts w:ascii="FangSong" w:hAnsi="FangSong" w:eastAsia="FangSong" w:cs="FangSong"/>
          <w:sz w:val="24"/>
          <w:szCs w:val="24"/>
          <w:spacing w:val="-8"/>
        </w:rPr>
        <w:t>选择植物要适应复垦土地的地质和当地的气候条件。栽培植物要种植适时，灌溉、</w:t>
      </w:r>
      <w:r>
        <w:rPr>
          <w:rFonts w:ascii="FangSong" w:hAnsi="FangSong" w:eastAsia="FangSong" w:cs="FangSong"/>
          <w:sz w:val="24"/>
          <w:szCs w:val="24"/>
          <w:spacing w:val="-3"/>
        </w:rPr>
        <w:t>施肥、灭虫等管理工作也要实时。特别要注意选择按贫瘠土壤的现状，</w:t>
      </w:r>
      <w:r>
        <w:rPr>
          <w:rFonts w:ascii="FangSong" w:hAnsi="FangSong" w:eastAsia="FangSong" w:cs="FangSong"/>
          <w:sz w:val="24"/>
          <w:szCs w:val="24"/>
          <w:spacing w:val="-4"/>
        </w:rPr>
        <w:t>选择对各</w:t>
      </w:r>
      <w:r>
        <w:rPr>
          <w:rFonts w:ascii="FangSong" w:hAnsi="FangSong" w:eastAsia="FangSong" w:cs="FangSong"/>
          <w:sz w:val="24"/>
          <w:szCs w:val="24"/>
          <w:spacing w:val="-2"/>
        </w:rPr>
        <w:t>抑制因素有耐力的植物。</w:t>
      </w:r>
    </w:p>
    <w:p>
      <w:pPr>
        <w:spacing w:line="360" w:lineRule="auto"/>
        <w:sectPr>
          <w:footerReference w:type="default" r:id="rId362"/>
          <w:pgSz w:w="11906" w:h="16839"/>
          <w:pgMar w:top="400" w:right="1723" w:bottom="1358" w:left="1785" w:header="0" w:footer="1195" w:gutter="0"/>
        </w:sectPr>
        <w:rPr>
          <w:rFonts w:ascii="FangSong" w:hAnsi="FangSong" w:eastAsia="FangSong" w:cs="FangSong"/>
          <w:sz w:val="24"/>
          <w:szCs w:val="24"/>
        </w:rPr>
      </w:pPr>
    </w:p>
    <w:p>
      <w:pPr>
        <w:pStyle w:val="BodyText"/>
        <w:spacing w:line="274" w:lineRule="auto"/>
        <w:rPr/>
      </w:pPr>
      <w:r/>
    </w:p>
    <w:p>
      <w:pPr>
        <w:pStyle w:val="BodyText"/>
        <w:spacing w:line="274" w:lineRule="auto"/>
        <w:rPr/>
      </w:pPr>
      <w:r/>
    </w:p>
    <w:p>
      <w:pPr>
        <w:pStyle w:val="BodyText"/>
        <w:spacing w:line="275" w:lineRule="auto"/>
        <w:rPr/>
      </w:pPr>
      <w:r/>
    </w:p>
    <w:p>
      <w:pPr>
        <w:pStyle w:val="BodyText"/>
        <w:spacing w:line="275" w:lineRule="auto"/>
        <w:rPr/>
      </w:pPr>
      <w:r/>
    </w:p>
    <w:p>
      <w:pPr>
        <w:ind w:left="24"/>
        <w:spacing w:before="97" w:line="222" w:lineRule="auto"/>
        <w:outlineLvl w:val="0"/>
        <w:rPr>
          <w:rFonts w:ascii="FangSong" w:hAnsi="FangSong" w:eastAsia="FangSong" w:cs="FangSong"/>
          <w:sz w:val="30"/>
          <w:szCs w:val="30"/>
        </w:rPr>
      </w:pPr>
      <w:bookmarkStart w:name="bookmark338" w:id="463"/>
      <w:bookmarkEnd w:id="463"/>
      <w:bookmarkStart w:name="bookmark340" w:id="464"/>
      <w:bookmarkEnd w:id="464"/>
      <w:bookmarkStart w:name="bookmark337" w:id="465"/>
      <w:bookmarkEnd w:id="465"/>
      <w:bookmarkStart w:name="bookmark339" w:id="466"/>
      <w:bookmarkEnd w:id="466"/>
      <w:r>
        <w:rPr>
          <w:rFonts w:ascii="Times New Roman" w:hAnsi="Times New Roman" w:eastAsia="Times New Roman" w:cs="Times New Roman"/>
          <w:sz w:val="30"/>
          <w:szCs w:val="30"/>
          <w:b/>
          <w:bCs/>
          <w:spacing w:val="-7"/>
        </w:rPr>
        <w:t>8</w:t>
      </w:r>
      <w:r>
        <w:rPr>
          <w:rFonts w:ascii="Times New Roman" w:hAnsi="Times New Roman" w:eastAsia="Times New Roman" w:cs="Times New Roman"/>
          <w:sz w:val="30"/>
          <w:szCs w:val="30"/>
          <w:b/>
          <w:bCs/>
          <w:spacing w:val="11"/>
        </w:rPr>
        <w:t xml:space="preserve">  </w:t>
      </w:r>
      <w:r>
        <w:rPr>
          <w:rFonts w:ascii="FangSong" w:hAnsi="FangSong" w:eastAsia="FangSong" w:cs="FangSong"/>
          <w:sz w:val="30"/>
          <w:szCs w:val="30"/>
          <w:b/>
          <w:bCs/>
          <w:spacing w:val="-7"/>
        </w:rPr>
        <w:t>环境风险分析</w:t>
      </w:r>
    </w:p>
    <w:p>
      <w:pPr>
        <w:ind w:left="23"/>
        <w:spacing w:before="273" w:line="223" w:lineRule="auto"/>
        <w:outlineLvl w:val="1"/>
        <w:rPr>
          <w:rFonts w:ascii="FangSong" w:hAnsi="FangSong" w:eastAsia="FangSong" w:cs="FangSong"/>
          <w:sz w:val="28"/>
          <w:szCs w:val="28"/>
        </w:rPr>
      </w:pPr>
      <w:bookmarkStart w:name="bookmark617" w:id="467"/>
      <w:bookmarkEnd w:id="467"/>
      <w:r>
        <w:rPr>
          <w:rFonts w:ascii="Times New Roman" w:hAnsi="Times New Roman" w:eastAsia="Times New Roman" w:cs="Times New Roman"/>
          <w:sz w:val="28"/>
          <w:szCs w:val="28"/>
          <w:b/>
          <w:bCs/>
          <w:spacing w:val="-2"/>
        </w:rPr>
        <w:t>8.1  </w:t>
      </w:r>
      <w:r>
        <w:rPr>
          <w:rFonts w:ascii="FangSong" w:hAnsi="FangSong" w:eastAsia="FangSong" w:cs="FangSong"/>
          <w:sz w:val="28"/>
          <w:szCs w:val="28"/>
          <w:b/>
          <w:bCs/>
          <w:spacing w:val="-2"/>
        </w:rPr>
        <w:t>环境风险评价目的</w:t>
      </w:r>
    </w:p>
    <w:p>
      <w:pPr>
        <w:ind w:left="29" w:right="76" w:firstLine="480"/>
        <w:spacing w:before="227" w:line="360" w:lineRule="auto"/>
        <w:jc w:val="both"/>
        <w:rPr>
          <w:rFonts w:ascii="FangSong" w:hAnsi="FangSong" w:eastAsia="FangSong" w:cs="FangSong"/>
          <w:sz w:val="24"/>
          <w:szCs w:val="24"/>
        </w:rPr>
      </w:pPr>
      <w:r>
        <w:rPr>
          <w:rFonts w:ascii="FangSong" w:hAnsi="FangSong" w:eastAsia="FangSong" w:cs="FangSong"/>
          <w:sz w:val="24"/>
          <w:szCs w:val="24"/>
          <w:spacing w:val="-3"/>
        </w:rPr>
        <w:t>环境风险评价的目的是分析和预测建设项目存在</w:t>
      </w:r>
      <w:r>
        <w:rPr>
          <w:rFonts w:ascii="FangSong" w:hAnsi="FangSong" w:eastAsia="FangSong" w:cs="FangSong"/>
          <w:sz w:val="24"/>
          <w:szCs w:val="24"/>
          <w:spacing w:val="-4"/>
        </w:rPr>
        <w:t>的潜在危险、有害因素，建</w:t>
      </w:r>
      <w:r>
        <w:rPr>
          <w:rFonts w:ascii="FangSong" w:hAnsi="FangSong" w:eastAsia="FangSong" w:cs="FangSong"/>
          <w:sz w:val="24"/>
          <w:szCs w:val="24"/>
          <w:spacing w:val="-3"/>
        </w:rPr>
        <w:t>设项目建设和运营期间可能发生的突发性事件或事故（一般不包括人</w:t>
      </w:r>
      <w:r>
        <w:rPr>
          <w:rFonts w:ascii="FangSong" w:hAnsi="FangSong" w:eastAsia="FangSong" w:cs="FangSong"/>
          <w:sz w:val="24"/>
          <w:szCs w:val="24"/>
          <w:spacing w:val="-4"/>
        </w:rPr>
        <w:t>为破坏及自</w:t>
      </w:r>
      <w:r>
        <w:rPr>
          <w:rFonts w:ascii="FangSong" w:hAnsi="FangSong" w:eastAsia="FangSong" w:cs="FangSong"/>
          <w:sz w:val="24"/>
          <w:szCs w:val="24"/>
          <w:spacing w:val="-2"/>
        </w:rPr>
        <w:t>然灾害</w:t>
      </w:r>
      <w:r>
        <w:rPr>
          <w:rFonts w:ascii="FangSong" w:hAnsi="FangSong" w:eastAsia="FangSong" w:cs="FangSong"/>
          <w:sz w:val="24"/>
          <w:szCs w:val="24"/>
          <w:spacing w:val="-19"/>
        </w:rPr>
        <w:t>），</w:t>
      </w:r>
      <w:r>
        <w:rPr>
          <w:rFonts w:ascii="FangSong" w:hAnsi="FangSong" w:eastAsia="FangSong" w:cs="FangSong"/>
          <w:sz w:val="24"/>
          <w:szCs w:val="24"/>
          <w:spacing w:val="-2"/>
        </w:rPr>
        <w:t>引起有毒有害和易燃易爆等物质泄漏，所造成的人身安</w:t>
      </w:r>
      <w:r>
        <w:rPr>
          <w:rFonts w:ascii="FangSong" w:hAnsi="FangSong" w:eastAsia="FangSong" w:cs="FangSong"/>
          <w:sz w:val="24"/>
          <w:szCs w:val="24"/>
          <w:spacing w:val="-3"/>
        </w:rPr>
        <w:t>全与环境影响</w:t>
      </w:r>
      <w:r>
        <w:rPr>
          <w:rFonts w:ascii="FangSong" w:hAnsi="FangSong" w:eastAsia="FangSong" w:cs="FangSong"/>
          <w:sz w:val="24"/>
          <w:szCs w:val="24"/>
          <w:spacing w:val="-3"/>
        </w:rPr>
        <w:t>和损害程度，提出合理可行的防范、应急与减缓措施，以使建设项目</w:t>
      </w:r>
      <w:r>
        <w:rPr>
          <w:rFonts w:ascii="FangSong" w:hAnsi="FangSong" w:eastAsia="FangSong" w:cs="FangSong"/>
          <w:sz w:val="24"/>
          <w:szCs w:val="24"/>
          <w:spacing w:val="-4"/>
        </w:rPr>
        <w:t>事故率、损</w:t>
      </w:r>
      <w:r>
        <w:rPr>
          <w:rFonts w:ascii="FangSong" w:hAnsi="FangSong" w:eastAsia="FangSong" w:cs="FangSong"/>
          <w:sz w:val="24"/>
          <w:szCs w:val="24"/>
          <w:spacing w:val="3"/>
        </w:rPr>
        <w:t>失和环境影响达到可接受水平。主要根据《建设项目环境风险评价技术导则》</w:t>
      </w:r>
      <w:r>
        <w:rPr>
          <w:rFonts w:ascii="FangSong" w:hAnsi="FangSong" w:eastAsia="FangSong" w:cs="FangSong"/>
          <w:sz w:val="24"/>
          <w:szCs w:val="24"/>
          <w:spacing w:val="18"/>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HJ169-2018</w:t>
      </w:r>
      <w:r>
        <w:rPr>
          <w:rFonts w:ascii="FangSong" w:hAnsi="FangSong" w:eastAsia="FangSong" w:cs="FangSong"/>
          <w:sz w:val="24"/>
          <w:szCs w:val="24"/>
          <w:spacing w:val="-2"/>
        </w:rPr>
        <w:t>）中有关标准，对项目运营</w:t>
      </w:r>
      <w:r>
        <w:rPr>
          <w:rFonts w:ascii="FangSong" w:hAnsi="FangSong" w:eastAsia="FangSong" w:cs="FangSong"/>
          <w:sz w:val="24"/>
          <w:szCs w:val="24"/>
          <w:spacing w:val="-3"/>
        </w:rPr>
        <w:t>期间发生的可预测突发事件或事故进行</w:t>
      </w:r>
      <w:r>
        <w:rPr>
          <w:rFonts w:ascii="FangSong" w:hAnsi="FangSong" w:eastAsia="FangSong" w:cs="FangSong"/>
          <w:sz w:val="24"/>
          <w:szCs w:val="24"/>
          <w:spacing w:val="-1"/>
        </w:rPr>
        <w:t>评估，提出防范、应急与减缓措施。</w:t>
      </w:r>
    </w:p>
    <w:p>
      <w:pPr>
        <w:ind w:left="23"/>
        <w:spacing w:before="58" w:line="223" w:lineRule="auto"/>
        <w:outlineLvl w:val="1"/>
        <w:rPr>
          <w:rFonts w:ascii="FangSong" w:hAnsi="FangSong" w:eastAsia="FangSong" w:cs="FangSong"/>
          <w:sz w:val="28"/>
          <w:szCs w:val="28"/>
        </w:rPr>
      </w:pPr>
      <w:bookmarkStart w:name="bookmark342" w:id="468"/>
      <w:bookmarkEnd w:id="468"/>
      <w:bookmarkStart w:name="bookmark344" w:id="469"/>
      <w:bookmarkEnd w:id="469"/>
      <w:bookmarkStart w:name="bookmark341" w:id="470"/>
      <w:bookmarkEnd w:id="470"/>
      <w:bookmarkStart w:name="bookmark343" w:id="471"/>
      <w:bookmarkEnd w:id="471"/>
      <w:r>
        <w:rPr>
          <w:rFonts w:ascii="Times New Roman" w:hAnsi="Times New Roman" w:eastAsia="Times New Roman" w:cs="Times New Roman"/>
          <w:sz w:val="28"/>
          <w:szCs w:val="28"/>
          <w:b/>
          <w:bCs/>
          <w:spacing w:val="-2"/>
        </w:rPr>
        <w:t>8.2  </w:t>
      </w:r>
      <w:r>
        <w:rPr>
          <w:rFonts w:ascii="FangSong" w:hAnsi="FangSong" w:eastAsia="FangSong" w:cs="FangSong"/>
          <w:sz w:val="28"/>
          <w:szCs w:val="28"/>
          <w:b/>
          <w:bCs/>
          <w:spacing w:val="-2"/>
        </w:rPr>
        <w:t>环境风险评价依据</w:t>
      </w:r>
    </w:p>
    <w:p>
      <w:pPr>
        <w:ind w:left="22"/>
        <w:spacing w:before="227" w:line="224" w:lineRule="auto"/>
        <w:outlineLvl w:val="2"/>
        <w:rPr>
          <w:rFonts w:ascii="FangSong" w:hAnsi="FangSong" w:eastAsia="FangSong" w:cs="FangSong"/>
          <w:sz w:val="24"/>
          <w:szCs w:val="24"/>
        </w:rPr>
      </w:pPr>
      <w:bookmarkStart w:name="bookmark618" w:id="472"/>
      <w:bookmarkEnd w:id="472"/>
      <w:r>
        <w:rPr>
          <w:rFonts w:ascii="Times New Roman" w:hAnsi="Times New Roman" w:eastAsia="Times New Roman" w:cs="Times New Roman"/>
          <w:sz w:val="24"/>
          <w:szCs w:val="24"/>
          <w:b/>
          <w:bCs/>
          <w:spacing w:val="-4"/>
        </w:rPr>
        <w:t>8.2.1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风险调查</w:t>
      </w:r>
    </w:p>
    <w:p>
      <w:pPr>
        <w:ind w:left="31" w:right="11" w:firstLine="479"/>
        <w:spacing w:before="177" w:line="360" w:lineRule="auto"/>
        <w:jc w:val="both"/>
        <w:rPr>
          <w:rFonts w:ascii="FangSong" w:hAnsi="FangSong" w:eastAsia="FangSong" w:cs="FangSong"/>
          <w:sz w:val="24"/>
          <w:szCs w:val="24"/>
        </w:rPr>
      </w:pPr>
      <w:r>
        <w:rPr>
          <w:rFonts w:ascii="FangSong" w:hAnsi="FangSong" w:eastAsia="FangSong" w:cs="FangSong"/>
          <w:sz w:val="24"/>
          <w:szCs w:val="24"/>
          <w:spacing w:val="-2"/>
        </w:rPr>
        <w:t>根据《建设项目环境风险评价技术导则》（</w:t>
      </w:r>
      <w:r>
        <w:rPr>
          <w:rFonts w:ascii="Times New Roman" w:hAnsi="Times New Roman" w:eastAsia="Times New Roman" w:cs="Times New Roman"/>
          <w:sz w:val="24"/>
          <w:szCs w:val="24"/>
          <w:spacing w:val="-2"/>
        </w:rPr>
        <w:t>HJ169-2018</w:t>
      </w:r>
      <w:r>
        <w:rPr>
          <w:rFonts w:ascii="FangSong" w:hAnsi="FangSong" w:eastAsia="FangSong" w:cs="FangSong"/>
          <w:sz w:val="24"/>
          <w:szCs w:val="24"/>
          <w:spacing w:val="-2"/>
        </w:rPr>
        <w:t>）中</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3"/>
        </w:rPr>
        <w:t>.1  </w:t>
      </w:r>
      <w:r>
        <w:rPr>
          <w:rFonts w:ascii="FangSong" w:hAnsi="FangSong" w:eastAsia="FangSong" w:cs="FangSong"/>
          <w:sz w:val="24"/>
          <w:szCs w:val="24"/>
          <w:spacing w:val="-3"/>
        </w:rPr>
        <w:t>条的规定，</w:t>
      </w:r>
      <w:r>
        <w:rPr>
          <w:rFonts w:ascii="FangSong" w:hAnsi="FangSong" w:eastAsia="FangSong" w:cs="FangSong"/>
          <w:sz w:val="24"/>
          <w:szCs w:val="24"/>
          <w:spacing w:val="-3"/>
        </w:rPr>
        <w:t>风险调查重点关注的内容包括物质风险、生产系统风险和危险</w:t>
      </w:r>
      <w:r>
        <w:rPr>
          <w:rFonts w:ascii="FangSong" w:hAnsi="FangSong" w:eastAsia="FangSong" w:cs="FangSong"/>
          <w:sz w:val="24"/>
          <w:szCs w:val="24"/>
          <w:spacing w:val="-4"/>
        </w:rPr>
        <w:t>物质向环境转移的</w:t>
      </w:r>
      <w:r>
        <w:rPr>
          <w:rFonts w:ascii="FangSong" w:hAnsi="FangSong" w:eastAsia="FangSong" w:cs="FangSong"/>
          <w:sz w:val="24"/>
          <w:szCs w:val="24"/>
          <w:spacing w:val="-6"/>
        </w:rPr>
        <w:t>途径。</w:t>
      </w:r>
    </w:p>
    <w:p>
      <w:pPr>
        <w:ind w:left="29" w:right="26" w:firstLine="480"/>
        <w:spacing w:before="6" w:line="359" w:lineRule="auto"/>
        <w:jc w:val="both"/>
        <w:rPr>
          <w:rFonts w:ascii="FangSong" w:hAnsi="FangSong" w:eastAsia="FangSong" w:cs="FangSong"/>
          <w:sz w:val="24"/>
          <w:szCs w:val="24"/>
        </w:rPr>
      </w:pPr>
      <w:r>
        <w:rPr>
          <w:rFonts w:ascii="FangSong" w:hAnsi="FangSong" w:eastAsia="FangSong" w:cs="FangSong"/>
          <w:sz w:val="24"/>
          <w:szCs w:val="24"/>
          <w:spacing w:val="-2"/>
        </w:rPr>
        <w:t>物质风险：主要原辅材料、燃料、中间产品、副产品、最终产品、污染物、</w:t>
      </w:r>
      <w:r>
        <w:rPr>
          <w:rFonts w:ascii="FangSong" w:hAnsi="FangSong" w:eastAsia="FangSong" w:cs="FangSong"/>
          <w:sz w:val="24"/>
          <w:szCs w:val="24"/>
          <w:spacing w:val="2"/>
        </w:rPr>
        <w:t>火灾和爆炸伴生</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次生物等；生产系统风险：包括主要生</w:t>
      </w:r>
      <w:r>
        <w:rPr>
          <w:rFonts w:ascii="FangSong" w:hAnsi="FangSong" w:eastAsia="FangSong" w:cs="FangSong"/>
          <w:sz w:val="24"/>
          <w:szCs w:val="24"/>
          <w:spacing w:val="1"/>
        </w:rPr>
        <w:t>产装置、储运设施、公</w:t>
      </w:r>
      <w:r>
        <w:rPr>
          <w:rFonts w:ascii="FangSong" w:hAnsi="FangSong" w:eastAsia="FangSong" w:cs="FangSong"/>
          <w:sz w:val="24"/>
          <w:szCs w:val="24"/>
          <w:spacing w:val="-3"/>
        </w:rPr>
        <w:t>用工程和辅助生产设施以及环保设施等；危险物质向环境转移的途</w:t>
      </w:r>
      <w:r>
        <w:rPr>
          <w:rFonts w:ascii="FangSong" w:hAnsi="FangSong" w:eastAsia="FangSong" w:cs="FangSong"/>
          <w:sz w:val="24"/>
          <w:szCs w:val="24"/>
          <w:spacing w:val="-4"/>
        </w:rPr>
        <w:t>径风险：包括</w:t>
      </w:r>
      <w:r>
        <w:rPr>
          <w:rFonts w:ascii="FangSong" w:hAnsi="FangSong" w:eastAsia="FangSong" w:cs="FangSong"/>
          <w:sz w:val="24"/>
          <w:szCs w:val="24"/>
          <w:spacing w:val="-3"/>
        </w:rPr>
        <w:t>分析危险物质特性及可能的环境风险类型，识别危险物质影响环境</w:t>
      </w:r>
      <w:r>
        <w:rPr>
          <w:rFonts w:ascii="FangSong" w:hAnsi="FangSong" w:eastAsia="FangSong" w:cs="FangSong"/>
          <w:sz w:val="24"/>
          <w:szCs w:val="24"/>
          <w:spacing w:val="-4"/>
        </w:rPr>
        <w:t>的途径，分析</w:t>
      </w:r>
      <w:r>
        <w:rPr>
          <w:rFonts w:ascii="FangSong" w:hAnsi="FangSong" w:eastAsia="FangSong" w:cs="FangSong"/>
          <w:sz w:val="24"/>
          <w:szCs w:val="24"/>
          <w:spacing w:val="-2"/>
        </w:rPr>
        <w:t>可能影响的环境敏感目标。</w:t>
      </w:r>
    </w:p>
    <w:p>
      <w:pPr>
        <w:ind w:left="30" w:firstLine="480"/>
        <w:spacing w:before="1" w:line="359" w:lineRule="auto"/>
        <w:rPr>
          <w:rFonts w:ascii="FangSong" w:hAnsi="FangSong" w:eastAsia="FangSong" w:cs="FangSong"/>
          <w:sz w:val="24"/>
          <w:szCs w:val="24"/>
        </w:rPr>
      </w:pPr>
      <w:r>
        <w:rPr>
          <w:rFonts w:ascii="FangSong" w:hAnsi="FangSong" w:eastAsia="FangSong" w:cs="FangSong"/>
          <w:sz w:val="24"/>
          <w:szCs w:val="24"/>
          <w:spacing w:val="-8"/>
        </w:rPr>
        <w:t>根据调查，项目设置炸药库，爆破工作由专业爆破队负责；项目生产、</w:t>
      </w:r>
      <w:r>
        <w:rPr>
          <w:rFonts w:ascii="FangSong" w:hAnsi="FangSong" w:eastAsia="FangSong" w:cs="FangSong"/>
          <w:sz w:val="24"/>
          <w:szCs w:val="24"/>
          <w:spacing w:val="-9"/>
        </w:rPr>
        <w:t>使用、</w:t>
      </w:r>
      <w:r>
        <w:rPr>
          <w:rFonts w:ascii="FangSong" w:hAnsi="FangSong" w:eastAsia="FangSong" w:cs="FangSong"/>
          <w:sz w:val="24"/>
          <w:szCs w:val="24"/>
          <w:spacing w:val="-1"/>
        </w:rPr>
        <w:t>储存过程中涉及的环境风险物质主要为炸药、雷管、柴油、润滑油、废机油。</w:t>
      </w:r>
    </w:p>
    <w:p>
      <w:pPr>
        <w:ind w:left="22"/>
        <w:spacing w:before="2" w:line="223" w:lineRule="auto"/>
        <w:outlineLvl w:val="2"/>
        <w:rPr>
          <w:rFonts w:ascii="FangSong" w:hAnsi="FangSong" w:eastAsia="FangSong" w:cs="FangSong"/>
          <w:sz w:val="24"/>
          <w:szCs w:val="24"/>
        </w:rPr>
      </w:pPr>
      <w:bookmarkStart w:name="bookmark346" w:id="473"/>
      <w:bookmarkEnd w:id="473"/>
      <w:bookmarkStart w:name="bookmark345" w:id="474"/>
      <w:bookmarkEnd w:id="474"/>
      <w:r>
        <w:rPr>
          <w:rFonts w:ascii="Times New Roman" w:hAnsi="Times New Roman" w:eastAsia="Times New Roman" w:cs="Times New Roman"/>
          <w:sz w:val="24"/>
          <w:szCs w:val="24"/>
          <w:b/>
          <w:bCs/>
          <w:spacing w:val="-4"/>
        </w:rPr>
        <w:t>8.2.2</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风险潜势初判</w:t>
      </w:r>
    </w:p>
    <w:p>
      <w:pPr>
        <w:ind w:left="32" w:right="76" w:firstLine="477"/>
        <w:spacing w:before="176" w:line="340" w:lineRule="auto"/>
        <w:jc w:val="both"/>
        <w:rPr>
          <w:rFonts w:ascii="FangSong" w:hAnsi="FangSong" w:eastAsia="FangSong" w:cs="FangSong"/>
          <w:sz w:val="24"/>
          <w:szCs w:val="24"/>
        </w:rPr>
      </w:pPr>
      <w:r>
        <w:rPr>
          <w:rFonts w:ascii="FangSong" w:hAnsi="FangSong" w:eastAsia="FangSong" w:cs="FangSong"/>
          <w:sz w:val="24"/>
          <w:szCs w:val="24"/>
          <w:spacing w:val="-3"/>
        </w:rPr>
        <w:t>计算项目涉及的每种危险物质在厂界内的最大存</w:t>
      </w:r>
      <w:r>
        <w:rPr>
          <w:rFonts w:ascii="FangSong" w:hAnsi="FangSong" w:eastAsia="FangSong" w:cs="FangSong"/>
          <w:sz w:val="24"/>
          <w:szCs w:val="24"/>
          <w:spacing w:val="-4"/>
        </w:rPr>
        <w:t>在总量与其在《建设项目环</w:t>
      </w:r>
      <w:r>
        <w:rPr>
          <w:rFonts w:ascii="FangSong" w:hAnsi="FangSong" w:eastAsia="FangSong" w:cs="FangSong"/>
          <w:sz w:val="24"/>
          <w:szCs w:val="24"/>
          <w:spacing w:val="-5"/>
        </w:rPr>
        <w:t>境风险评价技术导则》（</w:t>
      </w:r>
      <w:r>
        <w:rPr>
          <w:rFonts w:ascii="Times New Roman" w:hAnsi="Times New Roman" w:eastAsia="Times New Roman" w:cs="Times New Roman"/>
          <w:sz w:val="24"/>
          <w:szCs w:val="24"/>
          <w:spacing w:val="-5"/>
        </w:rPr>
        <w:t>HJ169-2018</w:t>
      </w:r>
      <w:r>
        <w:rPr>
          <w:rFonts w:ascii="FangSong" w:hAnsi="FangSong" w:eastAsia="FangSong" w:cs="FangSong"/>
          <w:sz w:val="24"/>
          <w:szCs w:val="24"/>
          <w:spacing w:val="-5"/>
        </w:rPr>
        <w:t>）附录</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B</w:t>
      </w:r>
      <w:r>
        <w:rPr>
          <w:rFonts w:ascii="Times New Roman" w:hAnsi="Times New Roman" w:eastAsia="Times New Roman" w:cs="Times New Roman"/>
          <w:sz w:val="24"/>
          <w:szCs w:val="24"/>
          <w:spacing w:val="46"/>
        </w:rPr>
        <w:t xml:space="preserve"> </w:t>
      </w:r>
      <w:r>
        <w:rPr>
          <w:rFonts w:ascii="FangSong" w:hAnsi="FangSong" w:eastAsia="FangSong" w:cs="FangSong"/>
          <w:sz w:val="24"/>
          <w:szCs w:val="24"/>
          <w:spacing w:val="-5"/>
        </w:rPr>
        <w:t>中对应临界量的比值</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5"/>
        </w:rPr>
        <w:t>Q</w:t>
      </w:r>
      <w:r>
        <w:rPr>
          <w:rFonts w:ascii="FangSong" w:hAnsi="FangSong" w:eastAsia="FangSong" w:cs="FangSong"/>
          <w:sz w:val="24"/>
          <w:szCs w:val="24"/>
          <w:spacing w:val="-5"/>
        </w:rPr>
        <w:t>。在不同厂</w:t>
      </w:r>
      <w:r>
        <w:rPr>
          <w:rFonts w:ascii="FangSong" w:hAnsi="FangSong" w:eastAsia="FangSong" w:cs="FangSong"/>
          <w:sz w:val="24"/>
          <w:szCs w:val="24"/>
          <w:spacing w:val="-1"/>
        </w:rPr>
        <w:t>区的同一种物质，按其在厂界内的最大存在总量计算。</w:t>
      </w:r>
    </w:p>
    <w:p>
      <w:pPr>
        <w:ind w:left="535"/>
        <w:spacing w:before="1" w:line="212" w:lineRule="auto"/>
        <w:rPr>
          <w:rFonts w:ascii="FangSong" w:hAnsi="FangSong" w:eastAsia="FangSong" w:cs="FangSong"/>
          <w:sz w:val="24"/>
          <w:szCs w:val="24"/>
        </w:rPr>
      </w:pPr>
      <w:r>
        <w:rPr>
          <w:rFonts w:ascii="FangSong" w:hAnsi="FangSong" w:eastAsia="FangSong" w:cs="FangSong"/>
          <w:sz w:val="24"/>
          <w:szCs w:val="24"/>
          <w:spacing w:val="-2"/>
        </w:rPr>
        <w:t>当只涉及一种危险物质时，计算该物质的总量与其临界量比值，即为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Q</w:t>
      </w:r>
      <w:r>
        <w:rPr>
          <w:rFonts w:ascii="FangSong" w:hAnsi="FangSong" w:eastAsia="FangSong" w:cs="FangSong"/>
          <w:sz w:val="24"/>
          <w:szCs w:val="24"/>
          <w:spacing w:val="-2"/>
        </w:rPr>
        <w:t>；</w:t>
      </w:r>
    </w:p>
    <w:p>
      <w:pPr>
        <w:ind w:left="29" w:right="76" w:firstLine="506"/>
        <w:spacing w:before="192" w:line="355" w:lineRule="auto"/>
        <w:rPr>
          <w:rFonts w:ascii="FangSong" w:hAnsi="FangSong" w:eastAsia="FangSong" w:cs="FangSong"/>
          <w:sz w:val="24"/>
          <w:szCs w:val="24"/>
        </w:rPr>
      </w:pPr>
      <w:r>
        <w:rPr>
          <w:rFonts w:ascii="FangSong" w:hAnsi="FangSong" w:eastAsia="FangSong" w:cs="FangSong"/>
          <w:sz w:val="24"/>
          <w:szCs w:val="24"/>
        </w:rPr>
        <w:t>当存在多种危险物质时，则按式（公式</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rPr>
        <w:t>8.2-1</w:t>
      </w:r>
      <w:r>
        <w:rPr>
          <w:rFonts w:ascii="FangSong" w:hAnsi="FangSong" w:eastAsia="FangSong" w:cs="FangSong"/>
          <w:sz w:val="24"/>
          <w:szCs w:val="24"/>
        </w:rPr>
        <w:t>）计算物质总量与其临界量比</w:t>
      </w:r>
      <w:r>
        <w:rPr>
          <w:rFonts w:ascii="FangSong" w:hAnsi="FangSong" w:eastAsia="FangSong" w:cs="FangSong"/>
          <w:sz w:val="24"/>
          <w:szCs w:val="24"/>
          <w:spacing w:val="-8"/>
        </w:rPr>
        <w:t>值</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8"/>
        </w:rPr>
        <w:t>Q</w:t>
      </w:r>
      <w:r>
        <w:rPr>
          <w:rFonts w:ascii="FangSong" w:hAnsi="FangSong" w:eastAsia="FangSong" w:cs="FangSong"/>
          <w:sz w:val="24"/>
          <w:szCs w:val="24"/>
          <w:spacing w:val="-8"/>
        </w:rPr>
        <w:t>：</w:t>
      </w:r>
    </w:p>
    <w:p>
      <w:pPr>
        <w:spacing w:line="355" w:lineRule="auto"/>
        <w:sectPr>
          <w:footerReference w:type="default" r:id="rId363"/>
          <w:pgSz w:w="11906" w:h="16839"/>
          <w:pgMar w:top="400" w:right="1723" w:bottom="1358" w:left="1785" w:header="0" w:footer="1195" w:gutter="0"/>
        </w:sectPr>
        <w:rPr>
          <w:rFonts w:ascii="FangSong" w:hAnsi="FangSong" w:eastAsia="FangSong" w:cs="FangSong"/>
          <w:sz w:val="24"/>
          <w:szCs w:val="24"/>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ind w:left="560" w:right="1581" w:firstLine="1346"/>
        <w:spacing w:before="78" w:line="348" w:lineRule="auto"/>
        <w:rPr>
          <w:rFonts w:ascii="FangSong" w:hAnsi="FangSong" w:eastAsia="FangSong" w:cs="FangSong"/>
          <w:sz w:val="24"/>
          <w:szCs w:val="24"/>
        </w:rPr>
      </w:pPr>
      <w:bookmarkStart w:name="bookmark619" w:id="475"/>
      <w:bookmarkEnd w:id="475"/>
      <w:r>
        <w:rPr>
          <w:rFonts w:ascii="Times New Roman" w:hAnsi="Times New Roman" w:eastAsia="Times New Roman" w:cs="Times New Roman"/>
          <w:sz w:val="24"/>
          <w:szCs w:val="24"/>
          <w:spacing w:val="-5"/>
          <w:position w:val="16"/>
        </w:rPr>
        <w:t>Q</w:t>
      </w:r>
      <w:r>
        <w:rPr>
          <w:rFonts w:ascii="Times New Roman" w:hAnsi="Times New Roman" w:eastAsia="Times New Roman" w:cs="Times New Roman"/>
          <w:sz w:val="24"/>
          <w:szCs w:val="24"/>
          <w:spacing w:val="34"/>
          <w:w w:val="101"/>
          <w:position w:val="16"/>
        </w:rPr>
        <w:t xml:space="preserve"> </w:t>
      </w:r>
      <w:r>
        <w:rPr>
          <w:sz w:val="24"/>
          <w:szCs w:val="24"/>
          <w:position w:val="-7"/>
        </w:rPr>
        <w:drawing>
          <wp:inline distT="0" distB="0" distL="0" distR="0">
            <wp:extent cx="1408789" cy="330181"/>
            <wp:effectExtent l="0" t="0" r="0" b="0"/>
            <wp:docPr id="108" name="IM 108"/>
            <wp:cNvGraphicFramePr/>
            <a:graphic>
              <a:graphicData uri="http://schemas.openxmlformats.org/drawingml/2006/picture">
                <pic:pic>
                  <pic:nvPicPr>
                    <pic:cNvPr id="108" name="IM 108"/>
                    <pic:cNvPicPr/>
                  </pic:nvPicPr>
                  <pic:blipFill>
                    <a:blip r:embed="rId365"/>
                    <a:stretch>
                      <a:fillRect/>
                    </a:stretch>
                  </pic:blipFill>
                  <pic:spPr>
                    <a:xfrm rot="0">
                      <a:off x="0" y="0"/>
                      <a:ext cx="1408789" cy="330181"/>
                    </a:xfrm>
                    <a:prstGeom prst="rect">
                      <a:avLst/>
                    </a:prstGeom>
                  </pic:spPr>
                </pic:pic>
              </a:graphicData>
            </a:graphic>
          </wp:inline>
        </w:drawing>
      </w:r>
      <w:r>
        <w:rPr>
          <w:rFonts w:ascii="Times New Roman" w:hAnsi="Times New Roman" w:eastAsia="Times New Roman" w:cs="Times New Roman"/>
          <w:sz w:val="24"/>
          <w:szCs w:val="24"/>
          <w:spacing w:val="5"/>
          <w:position w:val="16"/>
        </w:rPr>
        <w:t xml:space="preserve">          </w:t>
      </w:r>
      <w:r>
        <w:rPr>
          <w:rFonts w:ascii="FangSong" w:hAnsi="FangSong" w:eastAsia="FangSong" w:cs="FangSong"/>
          <w:sz w:val="24"/>
          <w:szCs w:val="24"/>
          <w:spacing w:val="-5"/>
          <w:position w:val="-13"/>
        </w:rPr>
        <w:t>（公式</w:t>
      </w:r>
      <w:r>
        <w:rPr>
          <w:rFonts w:ascii="FangSong" w:hAnsi="FangSong" w:eastAsia="FangSong" w:cs="FangSong"/>
          <w:sz w:val="24"/>
          <w:szCs w:val="24"/>
          <w:spacing w:val="-42"/>
          <w:position w:val="-13"/>
        </w:rPr>
        <w:t xml:space="preserve"> </w:t>
      </w:r>
      <w:r>
        <w:rPr>
          <w:rFonts w:ascii="Times New Roman" w:hAnsi="Times New Roman" w:eastAsia="Times New Roman" w:cs="Times New Roman"/>
          <w:sz w:val="24"/>
          <w:szCs w:val="24"/>
          <w:spacing w:val="-5"/>
          <w:position w:val="-13"/>
        </w:rPr>
        <w:t>8.2-</w:t>
      </w:r>
      <w:r>
        <w:rPr>
          <w:rFonts w:ascii="Times New Roman" w:hAnsi="Times New Roman" w:eastAsia="Times New Roman" w:cs="Times New Roman"/>
          <w:sz w:val="24"/>
          <w:szCs w:val="24"/>
          <w:spacing w:val="-33"/>
          <w:position w:val="-13"/>
        </w:rPr>
        <w:t xml:space="preserve"> </w:t>
      </w:r>
      <w:r>
        <w:rPr>
          <w:rFonts w:ascii="Times New Roman" w:hAnsi="Times New Roman" w:eastAsia="Times New Roman" w:cs="Times New Roman"/>
          <w:sz w:val="24"/>
          <w:szCs w:val="24"/>
          <w:spacing w:val="-5"/>
          <w:position w:val="-13"/>
        </w:rPr>
        <w:t>1</w:t>
      </w:r>
      <w:r>
        <w:rPr>
          <w:rFonts w:ascii="FangSong" w:hAnsi="FangSong" w:eastAsia="FangSong" w:cs="FangSong"/>
          <w:sz w:val="24"/>
          <w:szCs w:val="24"/>
          <w:spacing w:val="-5"/>
          <w:position w:val="-13"/>
        </w:rPr>
        <w:t>）</w:t>
      </w:r>
      <w:r>
        <w:rPr>
          <w:rFonts w:ascii="FangSong" w:hAnsi="FangSong" w:eastAsia="FangSong" w:cs="FangSong"/>
          <w:sz w:val="24"/>
          <w:szCs w:val="24"/>
          <w:position w:val="-13"/>
        </w:rPr>
        <w:t xml:space="preserve"> </w:t>
      </w:r>
      <w:r>
        <w:rPr>
          <w:rFonts w:ascii="FangSong" w:hAnsi="FangSong" w:eastAsia="FangSong" w:cs="FangSong"/>
          <w:sz w:val="24"/>
          <w:szCs w:val="24"/>
          <w:spacing w:val="-7"/>
        </w:rPr>
        <w:t>式中：</w:t>
      </w:r>
      <w:r>
        <w:rPr>
          <w:rFonts w:ascii="Times New Roman" w:hAnsi="Times New Roman" w:eastAsia="Times New Roman" w:cs="Times New Roman"/>
          <w:sz w:val="24"/>
          <w:szCs w:val="24"/>
          <w:spacing w:val="-7"/>
        </w:rPr>
        <w:t>q</w:t>
      </w:r>
      <w:r>
        <w:rPr>
          <w:rFonts w:ascii="Times New Roman" w:hAnsi="Times New Roman" w:eastAsia="Times New Roman" w:cs="Times New Roman"/>
          <w:sz w:val="15"/>
          <w:szCs w:val="15"/>
          <w:spacing w:val="-7"/>
          <w:position w:val="-1"/>
        </w:rPr>
        <w:t>1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q</w:t>
      </w:r>
      <w:r>
        <w:rPr>
          <w:rFonts w:ascii="Times New Roman" w:hAnsi="Times New Roman" w:eastAsia="Times New Roman" w:cs="Times New Roman"/>
          <w:sz w:val="15"/>
          <w:szCs w:val="15"/>
          <w:spacing w:val="-7"/>
          <w:position w:val="-1"/>
        </w:rPr>
        <w:t>2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q</w:t>
      </w:r>
      <w:r>
        <w:rPr>
          <w:rFonts w:ascii="Times New Roman" w:hAnsi="Times New Roman" w:eastAsia="Times New Roman" w:cs="Times New Roman"/>
          <w:sz w:val="15"/>
          <w:szCs w:val="15"/>
          <w:spacing w:val="-3"/>
        </w:rPr>
        <w:t>n</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每种危险物质的最大存在总量，</w:t>
      </w:r>
      <w:r>
        <w:rPr>
          <w:rFonts w:ascii="Times New Roman" w:hAnsi="Times New Roman" w:eastAsia="Times New Roman" w:cs="Times New Roman"/>
          <w:sz w:val="24"/>
          <w:szCs w:val="24"/>
          <w:spacing w:val="-3"/>
        </w:rPr>
        <w:t>t</w:t>
      </w:r>
      <w:r>
        <w:rPr>
          <w:rFonts w:ascii="FangSong" w:hAnsi="FangSong" w:eastAsia="FangSong" w:cs="FangSong"/>
          <w:sz w:val="24"/>
          <w:szCs w:val="24"/>
          <w:spacing w:val="-3"/>
        </w:rPr>
        <w:t>；</w:t>
      </w:r>
    </w:p>
    <w:p>
      <w:pPr>
        <w:ind w:left="1267"/>
        <w:spacing w:before="58" w:line="210" w:lineRule="auto"/>
        <w:rPr>
          <w:rFonts w:ascii="FangSong" w:hAnsi="FangSong" w:eastAsia="FangSong" w:cs="FangSong"/>
          <w:sz w:val="24"/>
          <w:szCs w:val="24"/>
        </w:rPr>
      </w:pPr>
      <w:r>
        <w:rPr>
          <w:rFonts w:ascii="Times New Roman" w:hAnsi="Times New Roman" w:eastAsia="Times New Roman" w:cs="Times New Roman"/>
          <w:sz w:val="24"/>
          <w:szCs w:val="24"/>
          <w:spacing w:val="-3"/>
        </w:rPr>
        <w:t>Q</w:t>
      </w:r>
      <w:r>
        <w:rPr>
          <w:rFonts w:ascii="Times New Roman" w:hAnsi="Times New Roman" w:eastAsia="Times New Roman" w:cs="Times New Roman"/>
          <w:sz w:val="15"/>
          <w:szCs w:val="15"/>
          <w:spacing w:val="-3"/>
          <w:position w:val="-1"/>
        </w:rPr>
        <w:t>1 </w:t>
      </w:r>
      <w:r>
        <w:rPr>
          <w:rFonts w:ascii="FangSong" w:hAnsi="FangSong" w:eastAsia="FangSong" w:cs="FangSong"/>
          <w:sz w:val="24"/>
          <w:szCs w:val="24"/>
          <w:spacing w:val="-17"/>
        </w:rPr>
        <w:t>，</w:t>
      </w:r>
      <w:r>
        <w:rPr>
          <w:rFonts w:ascii="Times New Roman" w:hAnsi="Times New Roman" w:eastAsia="Times New Roman" w:cs="Times New Roman"/>
          <w:sz w:val="24"/>
          <w:szCs w:val="24"/>
          <w:spacing w:val="-17"/>
        </w:rPr>
        <w:t>Q</w:t>
      </w:r>
      <w:r>
        <w:rPr>
          <w:rFonts w:ascii="Times New Roman" w:hAnsi="Times New Roman" w:eastAsia="Times New Roman" w:cs="Times New Roman"/>
          <w:sz w:val="15"/>
          <w:szCs w:val="15"/>
          <w:spacing w:val="-6"/>
          <w:position w:val="-1"/>
        </w:rPr>
        <w:t>2 </w:t>
      </w:r>
      <w:r>
        <w:rPr>
          <w:rFonts w:ascii="FangSong" w:hAnsi="FangSong" w:eastAsia="FangSong" w:cs="FangSong"/>
          <w:sz w:val="24"/>
          <w:szCs w:val="24"/>
          <w:spacing w:val="-6"/>
        </w:rPr>
        <w:t>，</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Q</w:t>
      </w:r>
      <w:r>
        <w:rPr>
          <w:rFonts w:ascii="Times New Roman" w:hAnsi="Times New Roman" w:eastAsia="Times New Roman" w:cs="Times New Roman"/>
          <w:sz w:val="15"/>
          <w:szCs w:val="15"/>
        </w:rPr>
        <w:t>n</w:t>
      </w:r>
      <w:r>
        <w:rPr>
          <w:rFonts w:ascii="Times New Roman" w:hAnsi="Times New Roman" w:eastAsia="Times New Roman" w:cs="Times New Roman"/>
          <w:sz w:val="24"/>
          <w:szCs w:val="24"/>
        </w:rPr>
        <w:t>——</w:t>
      </w:r>
      <w:r>
        <w:rPr>
          <w:rFonts w:ascii="FangSong" w:hAnsi="FangSong" w:eastAsia="FangSong" w:cs="FangSong"/>
          <w:sz w:val="24"/>
          <w:szCs w:val="24"/>
        </w:rPr>
        <w:t>每种危险物质的临界量，</w:t>
      </w:r>
      <w:r>
        <w:rPr>
          <w:rFonts w:ascii="Times New Roman" w:hAnsi="Times New Roman" w:eastAsia="Times New Roman" w:cs="Times New Roman"/>
          <w:sz w:val="24"/>
          <w:szCs w:val="24"/>
        </w:rPr>
        <w:t>t</w:t>
      </w:r>
      <w:r>
        <w:rPr>
          <w:rFonts w:ascii="FangSong" w:hAnsi="FangSong" w:eastAsia="FangSong" w:cs="FangSong"/>
          <w:sz w:val="24"/>
          <w:szCs w:val="24"/>
        </w:rPr>
        <w:t>。</w:t>
      </w:r>
    </w:p>
    <w:p>
      <w:pPr>
        <w:ind w:left="580"/>
        <w:spacing w:before="271" w:line="212" w:lineRule="auto"/>
        <w:rPr>
          <w:rFonts w:ascii="FangSong" w:hAnsi="FangSong" w:eastAsia="FangSong" w:cs="FangSong"/>
          <w:sz w:val="24"/>
          <w:szCs w:val="24"/>
        </w:rPr>
      </w:pPr>
      <w:r>
        <w:rPr>
          <w:rFonts w:ascii="FangSong" w:hAnsi="FangSong" w:eastAsia="FangSong" w:cs="FangSong"/>
          <w:sz w:val="24"/>
          <w:szCs w:val="24"/>
          <w:spacing w:val="-10"/>
        </w:rPr>
        <w:t>当</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0"/>
        </w:rPr>
        <w:t>Q</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10"/>
        </w:rPr>
        <w:t>时，该项目环境风险潜势为</w:t>
      </w:r>
      <w:r>
        <w:rPr>
          <w:rFonts w:ascii="FangSong" w:hAnsi="FangSong" w:eastAsia="FangSong" w:cs="FangSong"/>
          <w:sz w:val="24"/>
          <w:szCs w:val="24"/>
          <w:spacing w:val="-33"/>
        </w:rPr>
        <w:t xml:space="preserve"> </w:t>
      </w:r>
      <w:r>
        <w:rPr>
          <w:rFonts w:ascii="FangSong" w:hAnsi="FangSong" w:eastAsia="FangSong" w:cs="FangSong"/>
          <w:sz w:val="24"/>
          <w:szCs w:val="24"/>
          <w:spacing w:val="-10"/>
        </w:rPr>
        <w:t>Ⅰ。</w:t>
      </w:r>
    </w:p>
    <w:p>
      <w:pPr>
        <w:ind w:left="91" w:right="59" w:firstLine="488"/>
        <w:spacing w:before="192" w:line="360" w:lineRule="auto"/>
        <w:rPr>
          <w:rFonts w:ascii="Times New Roman" w:hAnsi="Times New Roman" w:eastAsia="Times New Roman" w:cs="Times New Roman"/>
          <w:sz w:val="24"/>
          <w:szCs w:val="24"/>
        </w:rPr>
      </w:pPr>
      <w:r>
        <w:rPr>
          <w:rFonts w:ascii="FangSong" w:hAnsi="FangSong" w:eastAsia="FangSong" w:cs="FangSong"/>
          <w:sz w:val="24"/>
          <w:szCs w:val="24"/>
        </w:rPr>
        <w:t>当</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rPr>
        <w:t>Q</w:t>
      </w:r>
      <w:r>
        <w:rPr>
          <w:rFonts w:ascii="FangSong" w:hAnsi="FangSong" w:eastAsia="FangSong" w:cs="FangSong"/>
          <w:sz w:val="24"/>
          <w:szCs w:val="24"/>
        </w:rPr>
        <w:t>≥</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rPr>
        <w:t>时，将</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Q </w:t>
      </w:r>
      <w:r>
        <w:rPr>
          <w:rFonts w:ascii="FangSong" w:hAnsi="FangSong" w:eastAsia="FangSong" w:cs="FangSong"/>
          <w:sz w:val="24"/>
          <w:szCs w:val="24"/>
        </w:rPr>
        <w:t>值划分为</w:t>
      </w:r>
      <w:r>
        <w:rPr>
          <w:rFonts w:ascii="FangSong" w:hAnsi="FangSong" w:eastAsia="FangSong" w:cs="FangSong"/>
          <w:sz w:val="24"/>
          <w:szCs w:val="24"/>
          <w:spacing w:val="-16"/>
        </w:rPr>
        <w:t>：（</w:t>
      </w:r>
      <w:r>
        <w:rPr>
          <w:rFonts w:ascii="Times New Roman" w:hAnsi="Times New Roman" w:eastAsia="Times New Roman" w:cs="Times New Roman"/>
          <w:sz w:val="24"/>
          <w:szCs w:val="24"/>
        </w:rPr>
        <w:t>1</w:t>
      </w: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w:t>
      </w:r>
      <w:r>
        <w:rPr>
          <w:rFonts w:ascii="Times New Roman" w:hAnsi="Times New Roman" w:eastAsia="Times New Roman" w:cs="Times New Roman"/>
          <w:sz w:val="24"/>
          <w:szCs w:val="24"/>
        </w:rPr>
        <w:t>Q</w:t>
      </w:r>
      <w:r>
        <w:rPr>
          <w:rFonts w:ascii="FangSong" w:hAnsi="FangSong" w:eastAsia="FangSong" w:cs="FangSong"/>
          <w:sz w:val="24"/>
          <w:szCs w:val="24"/>
        </w:rPr>
        <w:t>＜</w:t>
      </w:r>
      <w:r>
        <w:rPr>
          <w:rFonts w:ascii="Times New Roman" w:hAnsi="Times New Roman" w:eastAsia="Times New Roman" w:cs="Times New Roman"/>
          <w:sz w:val="24"/>
          <w:szCs w:val="24"/>
        </w:rPr>
        <w:t>10</w:t>
      </w:r>
      <w:r>
        <w:rPr>
          <w:rFonts w:ascii="FangSong" w:hAnsi="FangSong" w:eastAsia="FangSong" w:cs="FangSong"/>
          <w:sz w:val="24"/>
          <w:szCs w:val="24"/>
          <w:spacing w:val="-16"/>
        </w:rPr>
        <w:t>；（</w:t>
      </w:r>
      <w:r>
        <w:rPr>
          <w:rFonts w:ascii="Times New Roman" w:hAnsi="Times New Roman" w:eastAsia="Times New Roman" w:cs="Times New Roman"/>
          <w:sz w:val="24"/>
          <w:szCs w:val="24"/>
        </w:rPr>
        <w:t>2</w:t>
      </w:r>
      <w:r>
        <w:rPr>
          <w:rFonts w:ascii="FangSong" w:hAnsi="FangSong" w:eastAsia="FangSong" w:cs="FangSong"/>
          <w:sz w:val="24"/>
          <w:szCs w:val="24"/>
        </w:rPr>
        <w:t>）</w:t>
      </w:r>
      <w:r>
        <w:rPr>
          <w:rFonts w:ascii="Times New Roman" w:hAnsi="Times New Roman" w:eastAsia="Times New Roman" w:cs="Times New Roman"/>
          <w:sz w:val="24"/>
          <w:szCs w:val="24"/>
        </w:rPr>
        <w:t>10</w:t>
      </w:r>
      <w:r>
        <w:rPr>
          <w:rFonts w:ascii="FangSong" w:hAnsi="FangSong" w:eastAsia="FangSong" w:cs="FangSong"/>
          <w:sz w:val="24"/>
          <w:szCs w:val="24"/>
        </w:rPr>
        <w:t>≤</w:t>
      </w:r>
      <w:r>
        <w:rPr>
          <w:rFonts w:ascii="Times New Roman" w:hAnsi="Times New Roman" w:eastAsia="Times New Roman" w:cs="Times New Roman"/>
          <w:sz w:val="24"/>
          <w:szCs w:val="24"/>
        </w:rPr>
        <w:t>Q</w:t>
      </w:r>
      <w:r>
        <w:rPr>
          <w:rFonts w:ascii="FangSong" w:hAnsi="FangSong" w:eastAsia="FangSong" w:cs="FangSong"/>
          <w:sz w:val="24"/>
          <w:szCs w:val="24"/>
        </w:rPr>
        <w:t>＜</w:t>
      </w:r>
      <w:r>
        <w:rPr>
          <w:rFonts w:ascii="Times New Roman" w:hAnsi="Times New Roman" w:eastAsia="Times New Roman" w:cs="Times New Roman"/>
          <w:sz w:val="24"/>
          <w:szCs w:val="24"/>
        </w:rPr>
        <w:t>100</w:t>
      </w:r>
      <w:r>
        <w:rPr>
          <w:rFonts w:ascii="FangSong" w:hAnsi="FangSong" w:eastAsia="FangSong" w:cs="FangSong"/>
          <w:sz w:val="24"/>
          <w:szCs w:val="24"/>
          <w:spacing w:val="-16"/>
        </w:rPr>
        <w:t>；（</w:t>
      </w:r>
      <w:r>
        <w:rPr>
          <w:rFonts w:ascii="Times New Roman" w:hAnsi="Times New Roman" w:eastAsia="Times New Roman" w:cs="Times New Roman"/>
          <w:sz w:val="24"/>
          <w:szCs w:val="24"/>
        </w:rPr>
        <w:t>3</w:t>
      </w:r>
      <w:r>
        <w:rPr>
          <w:rFonts w:ascii="FangSong" w:hAnsi="FangSong" w:eastAsia="FangSong" w:cs="FangSong"/>
          <w:sz w:val="24"/>
          <w:szCs w:val="24"/>
        </w:rPr>
        <w:t>）</w:t>
      </w:r>
      <w:r>
        <w:rPr>
          <w:rFonts w:ascii="Times New Roman" w:hAnsi="Times New Roman" w:eastAsia="Times New Roman" w:cs="Times New Roman"/>
          <w:sz w:val="24"/>
          <w:szCs w:val="24"/>
        </w:rPr>
        <w:t>Q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100</w:t>
      </w:r>
    </w:p>
    <w:p>
      <w:pPr>
        <w:ind w:left="555"/>
        <w:spacing w:line="212" w:lineRule="auto"/>
        <w:rPr>
          <w:rFonts w:ascii="FangSong" w:hAnsi="FangSong" w:eastAsia="FangSong" w:cs="FangSong"/>
          <w:sz w:val="24"/>
          <w:szCs w:val="24"/>
        </w:rPr>
      </w:pPr>
      <w:r>
        <w:rPr>
          <w:rFonts w:ascii="FangSong" w:hAnsi="FangSong" w:eastAsia="FangSong" w:cs="FangSong"/>
          <w:sz w:val="24"/>
          <w:szCs w:val="24"/>
          <w:spacing w:val="-4"/>
        </w:rPr>
        <w:t>本项目</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4"/>
        </w:rPr>
        <w:t>Q</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4"/>
        </w:rPr>
        <w:t>值判断结果见表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8.2-1</w:t>
      </w:r>
      <w:r>
        <w:rPr>
          <w:rFonts w:ascii="FangSong" w:hAnsi="FangSong" w:eastAsia="FangSong" w:cs="FangSong"/>
          <w:sz w:val="24"/>
          <w:szCs w:val="24"/>
          <w:spacing w:val="-4"/>
        </w:rPr>
        <w:t>。</w:t>
      </w:r>
    </w:p>
    <w:p>
      <w:pPr>
        <w:ind w:left="1840"/>
        <w:spacing w:before="193"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b/>
          <w:bCs/>
          <w:spacing w:val="-3"/>
        </w:rPr>
        <w:t>8.2-1  </w:t>
      </w:r>
      <w:r>
        <w:rPr>
          <w:rFonts w:ascii="FangSong" w:hAnsi="FangSong" w:eastAsia="FangSong" w:cs="FangSong"/>
          <w:sz w:val="24"/>
          <w:szCs w:val="24"/>
          <w:b/>
          <w:bCs/>
          <w:spacing w:val="-3"/>
        </w:rPr>
        <w:t>本项目环境风险物质存储情况一览表</w:t>
      </w:r>
    </w:p>
    <w:p>
      <w:pPr>
        <w:spacing w:line="69" w:lineRule="exact"/>
        <w:rPr/>
      </w:pPr>
      <w:r/>
    </w:p>
    <w:tbl>
      <w:tblPr>
        <w:tblStyle w:val="TableNormal"/>
        <w:tblW w:w="842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7"/>
        <w:gridCol w:w="1194"/>
        <w:gridCol w:w="1404"/>
        <w:gridCol w:w="1630"/>
        <w:gridCol w:w="1040"/>
        <w:gridCol w:w="1233"/>
        <w:gridCol w:w="1165"/>
      </w:tblGrid>
      <w:tr>
        <w:trPr>
          <w:trHeight w:val="319" w:hRule="atLeast"/>
        </w:trPr>
        <w:tc>
          <w:tcPr>
            <w:tcW w:w="757" w:type="dxa"/>
            <w:vAlign w:val="top"/>
            <w:tcBorders>
              <w:top w:val="single" w:color="000000" w:sz="10" w:space="0"/>
              <w:left w:val="nil"/>
            </w:tcBorders>
          </w:tcPr>
          <w:p>
            <w:pPr>
              <w:pStyle w:val="TableText"/>
              <w:ind w:left="180"/>
              <w:spacing w:before="54" w:line="231" w:lineRule="auto"/>
              <w:rPr/>
            </w:pPr>
            <w:r>
              <w:rPr>
                <w:spacing w:val="2"/>
              </w:rPr>
              <w:t>序号</w:t>
            </w:r>
          </w:p>
        </w:tc>
        <w:tc>
          <w:tcPr>
            <w:tcW w:w="1194" w:type="dxa"/>
            <w:vAlign w:val="top"/>
            <w:tcBorders>
              <w:top w:val="single" w:color="000000" w:sz="10" w:space="0"/>
            </w:tcBorders>
          </w:tcPr>
          <w:p>
            <w:pPr>
              <w:pStyle w:val="TableText"/>
              <w:ind w:left="190"/>
              <w:spacing w:before="55" w:line="229" w:lineRule="auto"/>
              <w:rPr/>
            </w:pPr>
            <w:r>
              <w:rPr>
                <w:spacing w:val="5"/>
              </w:rPr>
              <w:t>风险物质</w:t>
            </w:r>
          </w:p>
        </w:tc>
        <w:tc>
          <w:tcPr>
            <w:tcW w:w="1404" w:type="dxa"/>
            <w:vAlign w:val="top"/>
            <w:tcBorders>
              <w:top w:val="single" w:color="000000" w:sz="10" w:space="0"/>
            </w:tcBorders>
          </w:tcPr>
          <w:p>
            <w:pPr>
              <w:pStyle w:val="TableText"/>
              <w:ind w:left="295"/>
              <w:spacing w:before="55" w:line="232" w:lineRule="auto"/>
              <w:rPr/>
            </w:pPr>
            <w:r>
              <w:rPr>
                <w:spacing w:val="5"/>
              </w:rPr>
              <w:t>风险成分</w:t>
            </w:r>
          </w:p>
        </w:tc>
        <w:tc>
          <w:tcPr>
            <w:tcW w:w="1630" w:type="dxa"/>
            <w:vAlign w:val="top"/>
            <w:tcBorders>
              <w:top w:val="single" w:color="000000" w:sz="10" w:space="0"/>
            </w:tcBorders>
          </w:tcPr>
          <w:p>
            <w:pPr>
              <w:pStyle w:val="TableText"/>
              <w:ind w:left="306"/>
              <w:spacing w:before="55" w:line="228" w:lineRule="auto"/>
              <w:rPr/>
            </w:pPr>
            <w:r>
              <w:rPr>
                <w:spacing w:val="5"/>
              </w:rPr>
              <w:t>最大存储量</w:t>
            </w:r>
          </w:p>
        </w:tc>
        <w:tc>
          <w:tcPr>
            <w:tcW w:w="1040" w:type="dxa"/>
            <w:vAlign w:val="top"/>
            <w:tcBorders>
              <w:top w:val="single" w:color="000000" w:sz="10" w:space="0"/>
            </w:tcBorders>
          </w:tcPr>
          <w:p>
            <w:pPr>
              <w:pStyle w:val="TableText"/>
              <w:ind w:left="168"/>
              <w:spacing w:before="54" w:line="232" w:lineRule="auto"/>
              <w:rPr>
                <w:rFonts w:ascii="Times New Roman" w:hAnsi="Times New Roman" w:eastAsia="Times New Roman" w:cs="Times New Roman"/>
              </w:rPr>
            </w:pPr>
            <w:r>
              <w:rPr>
                <w:spacing w:val="1"/>
              </w:rPr>
              <w:t>临界量</w:t>
            </w:r>
            <w:r>
              <w:rPr>
                <w:rFonts w:ascii="Times New Roman" w:hAnsi="Times New Roman" w:eastAsia="Times New Roman" w:cs="Times New Roman"/>
                <w:spacing w:val="1"/>
              </w:rPr>
              <w:t>/t</w:t>
            </w:r>
          </w:p>
        </w:tc>
        <w:tc>
          <w:tcPr>
            <w:tcW w:w="1233" w:type="dxa"/>
            <w:vAlign w:val="top"/>
            <w:tcBorders>
              <w:top w:val="single" w:color="000000" w:sz="10" w:space="0"/>
            </w:tcBorders>
          </w:tcPr>
          <w:p>
            <w:pPr>
              <w:pStyle w:val="TableText"/>
              <w:ind w:left="209"/>
              <w:spacing w:before="55" w:line="228" w:lineRule="auto"/>
              <w:rPr/>
            </w:pPr>
            <w:r>
              <w:rPr>
                <w:spacing w:val="5"/>
              </w:rPr>
              <w:t>存储位置</w:t>
            </w:r>
          </w:p>
        </w:tc>
        <w:tc>
          <w:tcPr>
            <w:tcW w:w="1165" w:type="dxa"/>
            <w:vAlign w:val="top"/>
            <w:tcBorders>
              <w:top w:val="single" w:color="000000" w:sz="10" w:space="0"/>
              <w:right w:val="nil"/>
            </w:tcBorders>
          </w:tcPr>
          <w:p>
            <w:pPr>
              <w:pStyle w:val="TableText"/>
              <w:ind w:left="380"/>
              <w:spacing w:before="54" w:line="221" w:lineRule="auto"/>
              <w:rPr/>
            </w:pPr>
            <w:r>
              <w:rPr>
                <w:rFonts w:ascii="Times New Roman" w:hAnsi="Times New Roman" w:eastAsia="Times New Roman" w:cs="Times New Roman"/>
                <w:spacing w:val="-1"/>
              </w:rPr>
              <w:t>Q</w:t>
            </w:r>
            <w:r>
              <w:rPr>
                <w:rFonts w:ascii="Times New Roman" w:hAnsi="Times New Roman" w:eastAsia="Times New Roman" w:cs="Times New Roman"/>
                <w:spacing w:val="16"/>
              </w:rPr>
              <w:t xml:space="preserve"> </w:t>
            </w:r>
            <w:r>
              <w:rPr>
                <w:spacing w:val="-1"/>
              </w:rPr>
              <w:t>值</w:t>
            </w:r>
          </w:p>
        </w:tc>
      </w:tr>
      <w:tr>
        <w:trPr>
          <w:trHeight w:val="624" w:hRule="atLeast"/>
        </w:trPr>
        <w:tc>
          <w:tcPr>
            <w:tcW w:w="757" w:type="dxa"/>
            <w:vAlign w:val="top"/>
            <w:tcBorders>
              <w:left w:val="nil"/>
            </w:tcBorders>
          </w:tcPr>
          <w:p>
            <w:pPr>
              <w:ind w:left="349"/>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94" w:type="dxa"/>
            <w:vAlign w:val="top"/>
          </w:tcPr>
          <w:p>
            <w:pPr>
              <w:pStyle w:val="TableText"/>
              <w:ind w:left="292" w:right="175" w:hanging="113"/>
              <w:spacing w:before="52" w:line="259" w:lineRule="auto"/>
              <w:rPr/>
            </w:pPr>
            <w:r>
              <w:rPr>
                <w:rFonts w:ascii="Times New Roman" w:hAnsi="Times New Roman" w:eastAsia="Times New Roman" w:cs="Times New Roman"/>
                <w:spacing w:val="6"/>
              </w:rPr>
              <w:t>2#</w:t>
            </w:r>
            <w:r>
              <w:rPr>
                <w:spacing w:val="6"/>
              </w:rPr>
              <w:t>岩石乳</w:t>
            </w:r>
            <w:r>
              <w:rPr>
                <w:spacing w:val="4"/>
              </w:rPr>
              <w:t>化炸药</w:t>
            </w:r>
          </w:p>
        </w:tc>
        <w:tc>
          <w:tcPr>
            <w:tcW w:w="1404" w:type="dxa"/>
            <w:vAlign w:val="top"/>
          </w:tcPr>
          <w:p>
            <w:pPr>
              <w:ind w:left="330"/>
              <w:spacing w:before="244"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20"/>
                <w:szCs w:val="20"/>
                <w:spacing w:val="15"/>
              </w:rPr>
              <w:t>₄</w:t>
            </w:r>
            <w:r>
              <w:rPr>
                <w:rFonts w:ascii="Times New Roman" w:hAnsi="Times New Roman" w:eastAsia="Times New Roman" w:cs="Times New Roman"/>
                <w:sz w:val="20"/>
                <w:szCs w:val="20"/>
              </w:rPr>
              <w:t>NO</w:t>
            </w:r>
            <w:r>
              <w:rPr>
                <w:rFonts w:ascii="Times New Roman" w:hAnsi="Times New Roman" w:eastAsia="Times New Roman" w:cs="Times New Roman"/>
                <w:sz w:val="20"/>
                <w:szCs w:val="20"/>
                <w:spacing w:val="15"/>
              </w:rPr>
              <w:t>3</w:t>
            </w:r>
          </w:p>
        </w:tc>
        <w:tc>
          <w:tcPr>
            <w:tcW w:w="1630" w:type="dxa"/>
            <w:vAlign w:val="top"/>
          </w:tcPr>
          <w:p>
            <w:pPr>
              <w:ind w:left="767"/>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40" w:type="dxa"/>
            <w:vAlign w:val="top"/>
          </w:tcPr>
          <w:p>
            <w:pPr>
              <w:ind w:left="421"/>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33" w:type="dxa"/>
            <w:vAlign w:val="top"/>
            <w:vMerge w:val="restart"/>
            <w:tcBorders>
              <w:bottom w:val="nil"/>
            </w:tcBorders>
          </w:tcPr>
          <w:p>
            <w:pPr>
              <w:pStyle w:val="TableText"/>
              <w:ind w:left="123" w:right="106" w:firstLine="104"/>
              <w:spacing w:before="52" w:line="288" w:lineRule="auto"/>
              <w:rPr/>
            </w:pPr>
            <w:r>
              <w:rPr/>
              <w:t>当地民爆</w:t>
            </w:r>
            <w:r>
              <w:rPr>
                <w:spacing w:val="-1"/>
              </w:rPr>
              <w:t>公司，专人</w:t>
            </w:r>
          </w:p>
          <w:p>
            <w:pPr>
              <w:pStyle w:val="TableText"/>
              <w:ind w:left="122"/>
              <w:spacing w:before="1" w:line="227" w:lineRule="auto"/>
              <w:rPr/>
            </w:pPr>
            <w:r>
              <w:rPr>
                <w:spacing w:val="4"/>
              </w:rPr>
              <w:t>专车运送，</w:t>
            </w:r>
          </w:p>
          <w:p>
            <w:pPr>
              <w:pStyle w:val="TableText"/>
              <w:ind w:left="129"/>
              <w:spacing w:before="64" w:line="231" w:lineRule="auto"/>
              <w:rPr/>
            </w:pPr>
            <w:r>
              <w:rPr>
                <w:spacing w:val="2"/>
              </w:rPr>
              <w:t>随用随取，</w:t>
            </w:r>
          </w:p>
          <w:p>
            <w:pPr>
              <w:pStyle w:val="TableText"/>
              <w:ind w:left="206"/>
              <w:spacing w:before="61" w:line="232" w:lineRule="auto"/>
              <w:rPr/>
            </w:pPr>
            <w:r>
              <w:rPr>
                <w:spacing w:val="5"/>
              </w:rPr>
              <w:t>矿区不储</w:t>
            </w:r>
          </w:p>
          <w:p>
            <w:pPr>
              <w:pStyle w:val="TableText"/>
              <w:ind w:left="526"/>
              <w:spacing w:before="61" w:line="221" w:lineRule="auto"/>
              <w:rPr/>
            </w:pPr>
            <w:r>
              <w:rPr/>
              <w:t>存</w:t>
            </w:r>
          </w:p>
        </w:tc>
        <w:tc>
          <w:tcPr>
            <w:tcW w:w="1165" w:type="dxa"/>
            <w:vAlign w:val="top"/>
            <w:tcBorders>
              <w:right w:val="nil"/>
            </w:tcBorders>
          </w:tcPr>
          <w:p>
            <w:pPr>
              <w:ind w:left="534"/>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1233" w:hRule="atLeast"/>
        </w:trPr>
        <w:tc>
          <w:tcPr>
            <w:tcW w:w="757" w:type="dxa"/>
            <w:vAlign w:val="top"/>
            <w:tcBorders>
              <w:left w:val="nil"/>
            </w:tcBorders>
          </w:tcPr>
          <w:p>
            <w:pPr>
              <w:spacing w:line="247" w:lineRule="auto"/>
              <w:rPr>
                <w:rFonts w:ascii="Arial"/>
                <w:sz w:val="21"/>
              </w:rPr>
            </w:pPr>
            <w:r/>
          </w:p>
          <w:p>
            <w:pPr>
              <w:spacing w:line="248" w:lineRule="auto"/>
              <w:rPr>
                <w:rFonts w:ascii="Arial"/>
                <w:sz w:val="21"/>
              </w:rPr>
            </w:pPr>
            <w:r/>
          </w:p>
          <w:p>
            <w:pPr>
              <w:ind w:left="32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94" w:type="dxa"/>
            <w:vAlign w:val="top"/>
          </w:tcPr>
          <w:p>
            <w:pPr>
              <w:spacing w:line="296" w:lineRule="auto"/>
              <w:rPr>
                <w:rFonts w:ascii="Arial"/>
                <w:sz w:val="21"/>
              </w:rPr>
            </w:pPr>
            <w:r/>
          </w:p>
          <w:p>
            <w:pPr>
              <w:pStyle w:val="TableText"/>
              <w:ind w:left="409" w:right="175" w:hanging="197"/>
              <w:spacing w:before="65" w:line="289" w:lineRule="auto"/>
              <w:rPr/>
            </w:pPr>
            <w:r>
              <w:rPr/>
              <w:t>电子数码</w:t>
            </w:r>
            <w:r>
              <w:rPr>
                <w:spacing w:val="-4"/>
              </w:rPr>
              <w:t>雷管</w:t>
            </w:r>
          </w:p>
        </w:tc>
        <w:tc>
          <w:tcPr>
            <w:tcW w:w="1404" w:type="dxa"/>
            <w:vAlign w:val="top"/>
          </w:tcPr>
          <w:p>
            <w:pPr>
              <w:spacing w:line="246" w:lineRule="auto"/>
              <w:rPr>
                <w:rFonts w:ascii="Arial"/>
                <w:sz w:val="21"/>
              </w:rPr>
            </w:pPr>
            <w:r/>
          </w:p>
          <w:p>
            <w:pPr>
              <w:spacing w:line="246" w:lineRule="auto"/>
              <w:rPr>
                <w:rFonts w:ascii="Arial"/>
                <w:sz w:val="21"/>
              </w:rPr>
            </w:pPr>
            <w:r/>
          </w:p>
          <w:p>
            <w:pPr>
              <w:ind w:left="671"/>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30" w:type="dxa"/>
            <w:vAlign w:val="top"/>
          </w:tcPr>
          <w:p>
            <w:pPr>
              <w:spacing w:line="247" w:lineRule="auto"/>
              <w:rPr>
                <w:rFonts w:ascii="Arial"/>
                <w:sz w:val="21"/>
              </w:rPr>
            </w:pPr>
            <w:r/>
          </w:p>
          <w:p>
            <w:pPr>
              <w:spacing w:line="248" w:lineRule="auto"/>
              <w:rPr>
                <w:rFonts w:ascii="Arial"/>
                <w:sz w:val="21"/>
              </w:rPr>
            </w:pPr>
            <w:r/>
          </w:p>
          <w:p>
            <w:pPr>
              <w:ind w:left="7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40" w:type="dxa"/>
            <w:vAlign w:val="top"/>
          </w:tcPr>
          <w:p>
            <w:pPr>
              <w:spacing w:line="247" w:lineRule="auto"/>
              <w:rPr>
                <w:rFonts w:ascii="Arial"/>
                <w:sz w:val="21"/>
              </w:rPr>
            </w:pPr>
            <w:r/>
          </w:p>
          <w:p>
            <w:pPr>
              <w:spacing w:line="248" w:lineRule="auto"/>
              <w:rPr>
                <w:rFonts w:ascii="Arial"/>
                <w:sz w:val="21"/>
              </w:rPr>
            </w:pPr>
            <w:r/>
          </w:p>
          <w:p>
            <w:pPr>
              <w:ind w:left="48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3" w:type="dxa"/>
            <w:vAlign w:val="top"/>
            <w:vMerge w:val="continue"/>
            <w:tcBorders>
              <w:top w:val="nil"/>
            </w:tcBorders>
          </w:tcPr>
          <w:p>
            <w:pPr>
              <w:rPr>
                <w:rFonts w:ascii="Arial"/>
                <w:sz w:val="21"/>
              </w:rPr>
            </w:pPr>
            <w:r/>
          </w:p>
        </w:tc>
        <w:tc>
          <w:tcPr>
            <w:tcW w:w="1165" w:type="dxa"/>
            <w:vAlign w:val="top"/>
            <w:tcBorders>
              <w:right w:val="nil"/>
            </w:tcBorders>
          </w:tcPr>
          <w:p>
            <w:pPr>
              <w:spacing w:line="247" w:lineRule="auto"/>
              <w:rPr>
                <w:rFonts w:ascii="Arial"/>
                <w:sz w:val="21"/>
              </w:rPr>
            </w:pPr>
            <w:r/>
          </w:p>
          <w:p>
            <w:pPr>
              <w:spacing w:line="248" w:lineRule="auto"/>
              <w:rPr>
                <w:rFonts w:ascii="Arial"/>
                <w:sz w:val="21"/>
              </w:rPr>
            </w:pPr>
            <w:r/>
          </w:p>
          <w:p>
            <w:pPr>
              <w:ind w:left="53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314" w:hRule="atLeast"/>
        </w:trPr>
        <w:tc>
          <w:tcPr>
            <w:tcW w:w="757" w:type="dxa"/>
            <w:vAlign w:val="top"/>
            <w:tcBorders>
              <w:left w:val="nil"/>
            </w:tcBorders>
          </w:tcPr>
          <w:p>
            <w:pPr>
              <w:ind w:left="33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94" w:type="dxa"/>
            <w:vAlign w:val="top"/>
          </w:tcPr>
          <w:p>
            <w:pPr>
              <w:pStyle w:val="TableText"/>
              <w:ind w:left="398"/>
              <w:spacing w:before="66" w:line="219" w:lineRule="auto"/>
              <w:rPr/>
            </w:pPr>
            <w:r>
              <w:rPr>
                <w:spacing w:val="1"/>
              </w:rPr>
              <w:t>柴油</w:t>
            </w:r>
          </w:p>
        </w:tc>
        <w:tc>
          <w:tcPr>
            <w:tcW w:w="1404" w:type="dxa"/>
            <w:vAlign w:val="top"/>
          </w:tcPr>
          <w:p>
            <w:pPr>
              <w:pStyle w:val="TableText"/>
              <w:ind w:left="399"/>
              <w:spacing w:before="66" w:line="219" w:lineRule="auto"/>
              <w:rPr/>
            </w:pPr>
            <w:r>
              <w:rPr>
                <w:spacing w:val="5"/>
              </w:rPr>
              <w:t>矿物油</w:t>
            </w:r>
          </w:p>
        </w:tc>
        <w:tc>
          <w:tcPr>
            <w:tcW w:w="1630" w:type="dxa"/>
            <w:vAlign w:val="top"/>
          </w:tcPr>
          <w:p>
            <w:pPr>
              <w:ind w:left="65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w:t>
            </w:r>
          </w:p>
        </w:tc>
        <w:tc>
          <w:tcPr>
            <w:tcW w:w="1040" w:type="dxa"/>
            <w:vAlign w:val="top"/>
          </w:tcPr>
          <w:p>
            <w:pPr>
              <w:ind w:left="31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1233" w:type="dxa"/>
            <w:vAlign w:val="top"/>
          </w:tcPr>
          <w:p>
            <w:pPr>
              <w:pStyle w:val="TableText"/>
              <w:ind w:left="421"/>
              <w:spacing w:before="66" w:line="219" w:lineRule="auto"/>
              <w:rPr/>
            </w:pPr>
            <w:r>
              <w:rPr>
                <w:spacing w:val="-1"/>
              </w:rPr>
              <w:t>仓库</w:t>
            </w:r>
          </w:p>
        </w:tc>
        <w:tc>
          <w:tcPr>
            <w:tcW w:w="1165" w:type="dxa"/>
            <w:vAlign w:val="top"/>
            <w:tcBorders>
              <w:right w:val="nil"/>
            </w:tcBorders>
          </w:tcPr>
          <w:p>
            <w:pPr>
              <w:ind w:left="35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0.088</w:t>
            </w:r>
          </w:p>
        </w:tc>
      </w:tr>
      <w:tr>
        <w:trPr>
          <w:trHeight w:val="315" w:hRule="atLeast"/>
        </w:trPr>
        <w:tc>
          <w:tcPr>
            <w:tcW w:w="757" w:type="dxa"/>
            <w:vAlign w:val="top"/>
            <w:tcBorders>
              <w:left w:val="nil"/>
            </w:tcBorders>
          </w:tcPr>
          <w:p>
            <w:pPr>
              <w:ind w:left="32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94" w:type="dxa"/>
            <w:vAlign w:val="top"/>
          </w:tcPr>
          <w:p>
            <w:pPr>
              <w:pStyle w:val="TableText"/>
              <w:ind w:left="291"/>
              <w:spacing w:before="72" w:line="215" w:lineRule="auto"/>
              <w:rPr/>
            </w:pPr>
            <w:r>
              <w:rPr>
                <w:spacing w:val="5"/>
              </w:rPr>
              <w:t>润滑油</w:t>
            </w:r>
          </w:p>
        </w:tc>
        <w:tc>
          <w:tcPr>
            <w:tcW w:w="1404" w:type="dxa"/>
            <w:vAlign w:val="top"/>
          </w:tcPr>
          <w:p>
            <w:pPr>
              <w:pStyle w:val="TableText"/>
              <w:ind w:left="399"/>
              <w:spacing w:before="72" w:line="215" w:lineRule="auto"/>
              <w:rPr/>
            </w:pPr>
            <w:r>
              <w:rPr>
                <w:spacing w:val="5"/>
              </w:rPr>
              <w:t>矿物油</w:t>
            </w:r>
          </w:p>
        </w:tc>
        <w:tc>
          <w:tcPr>
            <w:tcW w:w="1630" w:type="dxa"/>
            <w:vAlign w:val="top"/>
          </w:tcPr>
          <w:p>
            <w:pPr>
              <w:ind w:left="678"/>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040" w:type="dxa"/>
            <w:vAlign w:val="top"/>
          </w:tcPr>
          <w:p>
            <w:pPr>
              <w:ind w:left="312"/>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1233" w:type="dxa"/>
            <w:vAlign w:val="top"/>
          </w:tcPr>
          <w:p>
            <w:pPr>
              <w:pStyle w:val="TableText"/>
              <w:ind w:left="311"/>
              <w:spacing w:before="72" w:line="215" w:lineRule="auto"/>
              <w:rPr/>
            </w:pPr>
            <w:r>
              <w:rPr>
                <w:spacing w:val="5"/>
              </w:rPr>
              <w:t>机修室</w:t>
            </w:r>
          </w:p>
        </w:tc>
        <w:tc>
          <w:tcPr>
            <w:tcW w:w="1165" w:type="dxa"/>
            <w:vAlign w:val="top"/>
            <w:tcBorders>
              <w:right w:val="nil"/>
            </w:tcBorders>
          </w:tcPr>
          <w:p>
            <w:pPr>
              <w:ind w:left="351"/>
              <w:spacing w:before="1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0.048</w:t>
            </w:r>
          </w:p>
        </w:tc>
      </w:tr>
      <w:tr>
        <w:trPr>
          <w:trHeight w:val="338" w:hRule="atLeast"/>
        </w:trPr>
        <w:tc>
          <w:tcPr>
            <w:tcW w:w="757" w:type="dxa"/>
            <w:vAlign w:val="top"/>
            <w:tcBorders>
              <w:bottom w:val="single" w:color="000000" w:sz="10" w:space="0"/>
              <w:left w:val="nil"/>
            </w:tcBorders>
          </w:tcPr>
          <w:p>
            <w:pPr>
              <w:ind w:left="335"/>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94" w:type="dxa"/>
            <w:vAlign w:val="top"/>
            <w:tcBorders>
              <w:bottom w:val="single" w:color="000000" w:sz="10" w:space="0"/>
            </w:tcBorders>
          </w:tcPr>
          <w:p>
            <w:pPr>
              <w:pStyle w:val="TableText"/>
              <w:ind w:left="294"/>
              <w:spacing w:before="73" w:line="231" w:lineRule="auto"/>
              <w:rPr/>
            </w:pPr>
            <w:r>
              <w:rPr>
                <w:spacing w:val="4"/>
              </w:rPr>
              <w:t>废机油</w:t>
            </w:r>
          </w:p>
        </w:tc>
        <w:tc>
          <w:tcPr>
            <w:tcW w:w="1404" w:type="dxa"/>
            <w:vAlign w:val="top"/>
            <w:tcBorders>
              <w:bottom w:val="single" w:color="000000" w:sz="10" w:space="0"/>
            </w:tcBorders>
          </w:tcPr>
          <w:p>
            <w:pPr>
              <w:pStyle w:val="TableText"/>
              <w:ind w:left="296"/>
              <w:spacing w:before="74" w:line="229" w:lineRule="auto"/>
              <w:rPr/>
            </w:pPr>
            <w:r>
              <w:rPr>
                <w:spacing w:val="5"/>
              </w:rPr>
              <w:t>废矿物油</w:t>
            </w:r>
          </w:p>
        </w:tc>
        <w:tc>
          <w:tcPr>
            <w:tcW w:w="1630" w:type="dxa"/>
            <w:vAlign w:val="top"/>
            <w:tcBorders>
              <w:bottom w:val="single" w:color="000000" w:sz="10" w:space="0"/>
            </w:tcBorders>
          </w:tcPr>
          <w:p>
            <w:pPr>
              <w:ind w:left="68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040" w:type="dxa"/>
            <w:vAlign w:val="top"/>
            <w:tcBorders>
              <w:bottom w:val="single" w:color="000000" w:sz="10" w:space="0"/>
            </w:tcBorders>
          </w:tcPr>
          <w:p>
            <w:pPr>
              <w:ind w:left="312"/>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2500</w:t>
            </w:r>
          </w:p>
        </w:tc>
        <w:tc>
          <w:tcPr>
            <w:tcW w:w="1233" w:type="dxa"/>
            <w:vAlign w:val="top"/>
            <w:tcBorders>
              <w:bottom w:val="single" w:color="000000" w:sz="10" w:space="0"/>
            </w:tcBorders>
          </w:tcPr>
          <w:p>
            <w:pPr>
              <w:pStyle w:val="TableText"/>
              <w:ind w:left="316"/>
              <w:spacing w:before="73" w:line="232" w:lineRule="auto"/>
              <w:rPr/>
            </w:pPr>
            <w:r>
              <w:rPr>
                <w:spacing w:val="3"/>
              </w:rPr>
              <w:t>危废间</w:t>
            </w:r>
          </w:p>
        </w:tc>
        <w:tc>
          <w:tcPr>
            <w:tcW w:w="1165" w:type="dxa"/>
            <w:vAlign w:val="top"/>
            <w:tcBorders>
              <w:bottom w:val="single" w:color="000000" w:sz="10" w:space="0"/>
              <w:right w:val="nil"/>
            </w:tcBorders>
          </w:tcPr>
          <w:p>
            <w:pPr>
              <w:ind w:left="298"/>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0.0002</w:t>
            </w:r>
          </w:p>
        </w:tc>
      </w:tr>
    </w:tbl>
    <w:p>
      <w:pPr>
        <w:pStyle w:val="BodyText"/>
        <w:spacing w:line="458" w:lineRule="auto"/>
        <w:rPr/>
      </w:pPr>
      <w:r/>
    </w:p>
    <w:p>
      <w:pPr>
        <w:ind w:left="63" w:right="60" w:firstLine="522"/>
        <w:spacing w:before="79" w:line="357" w:lineRule="auto"/>
        <w:rPr>
          <w:rFonts w:ascii="FangSong" w:hAnsi="FangSong" w:eastAsia="FangSong" w:cs="FangSong"/>
          <w:sz w:val="24"/>
          <w:szCs w:val="24"/>
        </w:rPr>
      </w:pPr>
      <w:r>
        <w:rPr>
          <w:rFonts w:ascii="FangSong" w:hAnsi="FangSong" w:eastAsia="FangSong" w:cs="FangSong"/>
          <w:sz w:val="24"/>
          <w:szCs w:val="24"/>
          <w:spacing w:val="1"/>
        </w:rPr>
        <w:t>由上表可知，项目区环境风险物质数量与临界量的比值</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rPr>
        <w:t>Q=0.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rPr>
        <w:t>1362</w:t>
      </w:r>
      <w:r>
        <w:rPr>
          <w:rFonts w:ascii="FangSong" w:hAnsi="FangSong" w:eastAsia="FangSong" w:cs="FangSong"/>
          <w:sz w:val="24"/>
          <w:szCs w:val="24"/>
        </w:rPr>
        <w:t>＜</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rPr>
        <w:t>根据</w:t>
      </w:r>
      <w:r>
        <w:rPr>
          <w:rFonts w:ascii="Times New Roman" w:hAnsi="Times New Roman" w:eastAsia="Times New Roman" w:cs="Times New Roman"/>
          <w:sz w:val="24"/>
          <w:szCs w:val="24"/>
          <w:spacing w:val="-2"/>
        </w:rPr>
        <w:t>HJ169-2018</w:t>
      </w:r>
      <w:r>
        <w:rPr>
          <w:rFonts w:ascii="Times New Roman" w:hAnsi="Times New Roman" w:eastAsia="Times New Roman" w:cs="Times New Roman"/>
          <w:sz w:val="24"/>
          <w:szCs w:val="24"/>
          <w:spacing w:val="35"/>
          <w:w w:val="101"/>
        </w:rPr>
        <w:t xml:space="preserve"> </w:t>
      </w:r>
      <w:r>
        <w:rPr>
          <w:rFonts w:ascii="FangSong" w:hAnsi="FangSong" w:eastAsia="FangSong" w:cs="FangSong"/>
          <w:sz w:val="24"/>
          <w:szCs w:val="24"/>
          <w:spacing w:val="-2"/>
        </w:rPr>
        <w:t>判定本项目环境风险潜势为</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I</w:t>
      </w:r>
      <w:r>
        <w:rPr>
          <w:rFonts w:ascii="FangSong" w:hAnsi="FangSong" w:eastAsia="FangSong" w:cs="FangSong"/>
          <w:sz w:val="24"/>
          <w:szCs w:val="24"/>
          <w:spacing w:val="-2"/>
        </w:rPr>
        <w:t>。</w:t>
      </w:r>
    </w:p>
    <w:p>
      <w:pPr>
        <w:ind w:left="67"/>
        <w:spacing w:before="52" w:line="222" w:lineRule="auto"/>
        <w:outlineLvl w:val="2"/>
        <w:rPr>
          <w:rFonts w:ascii="FangSong" w:hAnsi="FangSong" w:eastAsia="FangSong" w:cs="FangSong"/>
          <w:sz w:val="24"/>
          <w:szCs w:val="24"/>
        </w:rPr>
      </w:pPr>
      <w:bookmarkStart w:name="bookmark349" w:id="476"/>
      <w:bookmarkEnd w:id="476"/>
      <w:bookmarkStart w:name="bookmark348" w:id="477"/>
      <w:bookmarkEnd w:id="477"/>
      <w:r>
        <w:rPr>
          <w:rFonts w:ascii="Times New Roman" w:hAnsi="Times New Roman" w:eastAsia="Times New Roman" w:cs="Times New Roman"/>
          <w:sz w:val="24"/>
          <w:szCs w:val="24"/>
          <w:b/>
          <w:bCs/>
          <w:spacing w:val="-4"/>
        </w:rPr>
        <w:t>8.2.3</w:t>
      </w:r>
      <w:r>
        <w:rPr>
          <w:rFonts w:ascii="Times New Roman" w:hAnsi="Times New Roman" w:eastAsia="Times New Roman" w:cs="Times New Roman"/>
          <w:sz w:val="24"/>
          <w:szCs w:val="24"/>
          <w:b/>
          <w:bCs/>
          <w:spacing w:val="29"/>
          <w:w w:val="101"/>
        </w:rPr>
        <w:t xml:space="preserve"> </w:t>
      </w:r>
      <w:r>
        <w:rPr>
          <w:rFonts w:ascii="FangSong" w:hAnsi="FangSong" w:eastAsia="FangSong" w:cs="FangSong"/>
          <w:sz w:val="24"/>
          <w:szCs w:val="24"/>
          <w:b/>
          <w:bCs/>
          <w:spacing w:val="-4"/>
        </w:rPr>
        <w:t>风险评价等级判定</w:t>
      </w:r>
    </w:p>
    <w:p>
      <w:pPr>
        <w:ind w:left="555"/>
        <w:spacing w:before="179" w:line="220" w:lineRule="auto"/>
        <w:rPr>
          <w:rFonts w:ascii="FangSong" w:hAnsi="FangSong" w:eastAsia="FangSong" w:cs="FangSong"/>
          <w:sz w:val="24"/>
          <w:szCs w:val="24"/>
        </w:rPr>
      </w:pPr>
      <w:r>
        <w:rPr>
          <w:rFonts w:ascii="FangSong" w:hAnsi="FangSong" w:eastAsia="FangSong" w:cs="FangSong"/>
          <w:sz w:val="24"/>
          <w:szCs w:val="24"/>
          <w:spacing w:val="-2"/>
        </w:rPr>
        <w:t>根据章节</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2"/>
        </w:rPr>
        <w:t>2.5.7.1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，本项目的环境风险评价工作等级为简单分析。</w:t>
      </w:r>
    </w:p>
    <w:p>
      <w:pPr>
        <w:ind w:left="68"/>
        <w:spacing w:before="238" w:line="223" w:lineRule="auto"/>
        <w:outlineLvl w:val="1"/>
        <w:rPr>
          <w:rFonts w:ascii="FangSong" w:hAnsi="FangSong" w:eastAsia="FangSong" w:cs="FangSong"/>
          <w:sz w:val="28"/>
          <w:szCs w:val="28"/>
        </w:rPr>
      </w:pPr>
      <w:bookmarkStart w:name="bookmark351" w:id="478"/>
      <w:bookmarkEnd w:id="478"/>
      <w:bookmarkStart w:name="bookmark350" w:id="479"/>
      <w:bookmarkEnd w:id="479"/>
      <w:r>
        <w:rPr>
          <w:rFonts w:ascii="Times New Roman" w:hAnsi="Times New Roman" w:eastAsia="Times New Roman" w:cs="Times New Roman"/>
          <w:sz w:val="28"/>
          <w:szCs w:val="28"/>
          <w:b/>
          <w:bCs/>
          <w:spacing w:val="-5"/>
        </w:rPr>
        <w:t>8.3</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5"/>
        </w:rPr>
        <w:t>环境敏感目标</w:t>
      </w:r>
    </w:p>
    <w:p>
      <w:pPr>
        <w:ind w:left="75" w:right="18" w:firstLine="480"/>
        <w:spacing w:before="230" w:line="360" w:lineRule="auto"/>
        <w:jc w:val="both"/>
        <w:rPr>
          <w:rFonts w:ascii="FangSong" w:hAnsi="FangSong" w:eastAsia="FangSong" w:cs="FangSong"/>
          <w:sz w:val="24"/>
          <w:szCs w:val="24"/>
        </w:rPr>
      </w:pPr>
      <w:r>
        <w:rPr>
          <w:rFonts w:ascii="FangSong" w:hAnsi="FangSong" w:eastAsia="FangSong" w:cs="FangSong"/>
          <w:sz w:val="24"/>
          <w:szCs w:val="24"/>
          <w:spacing w:val="-2"/>
        </w:rPr>
        <w:t>根据《建设项目环境风险评价技术导则》（</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3"/>
        </w:rPr>
        <w:t>169-2018</w:t>
      </w:r>
      <w:r>
        <w:rPr>
          <w:rFonts w:ascii="FangSong" w:hAnsi="FangSong" w:eastAsia="FangSong" w:cs="FangSong"/>
          <w:sz w:val="24"/>
          <w:szCs w:val="24"/>
          <w:spacing w:val="-7"/>
        </w:rPr>
        <w:t>），</w:t>
      </w:r>
      <w:r>
        <w:rPr>
          <w:rFonts w:ascii="FangSong" w:hAnsi="FangSong" w:eastAsia="FangSong" w:cs="FangSong"/>
          <w:sz w:val="24"/>
          <w:szCs w:val="24"/>
          <w:spacing w:val="-3"/>
        </w:rPr>
        <w:t>“环境风险评价</w:t>
      </w:r>
      <w:r>
        <w:rPr>
          <w:rFonts w:ascii="FangSong" w:hAnsi="FangSong" w:eastAsia="FangSong" w:cs="FangSong"/>
          <w:sz w:val="24"/>
          <w:szCs w:val="24"/>
          <w:spacing w:val="-3"/>
        </w:rPr>
        <w:t>范围应根据环境敏感目标的分布情况，事故后果预测结果对环境</w:t>
      </w:r>
      <w:r>
        <w:rPr>
          <w:rFonts w:ascii="FangSong" w:hAnsi="FangSong" w:eastAsia="FangSong" w:cs="FangSong"/>
          <w:sz w:val="24"/>
          <w:szCs w:val="24"/>
          <w:spacing w:val="-4"/>
        </w:rPr>
        <w:t>产生危害的范围</w:t>
      </w:r>
      <w:r>
        <w:rPr>
          <w:rFonts w:ascii="FangSong" w:hAnsi="FangSong" w:eastAsia="FangSong" w:cs="FangSong"/>
          <w:sz w:val="24"/>
          <w:szCs w:val="24"/>
          <w:spacing w:val="-2"/>
        </w:rPr>
        <w:t>综合确定。项目周边所在区域，评价范围外存在需要特别关注的环境敏感</w:t>
      </w:r>
      <w:r>
        <w:rPr>
          <w:rFonts w:ascii="FangSong" w:hAnsi="FangSong" w:eastAsia="FangSong" w:cs="FangSong"/>
          <w:sz w:val="24"/>
          <w:szCs w:val="24"/>
          <w:spacing w:val="-3"/>
        </w:rPr>
        <w:t>目标，</w:t>
      </w:r>
      <w:r>
        <w:rPr>
          <w:rFonts w:ascii="FangSong" w:hAnsi="FangSong" w:eastAsia="FangSong" w:cs="FangSong"/>
          <w:sz w:val="24"/>
          <w:szCs w:val="24"/>
          <w:spacing w:val="-3"/>
        </w:rPr>
        <w:t>评价范围需延伸至所关心的目标。</w:t>
      </w:r>
      <w:r>
        <w:rPr>
          <w:rFonts w:ascii="FangSong" w:hAnsi="FangSong" w:eastAsia="FangSong" w:cs="FangSong"/>
          <w:sz w:val="24"/>
          <w:szCs w:val="24"/>
          <w:spacing w:val="-88"/>
        </w:rPr>
        <w:t xml:space="preserve"> </w:t>
      </w:r>
      <w:r>
        <w:rPr>
          <w:rFonts w:ascii="FangSong" w:hAnsi="FangSong" w:eastAsia="FangSong" w:cs="FangSong"/>
          <w:sz w:val="24"/>
          <w:szCs w:val="24"/>
          <w:spacing w:val="-3"/>
        </w:rPr>
        <w:t>”本项目环境风险评价工作等级为简单分析，</w:t>
      </w:r>
      <w:r>
        <w:rPr>
          <w:rFonts w:ascii="FangSong" w:hAnsi="FangSong" w:eastAsia="FangSong" w:cs="FangSong"/>
          <w:sz w:val="24"/>
          <w:szCs w:val="24"/>
          <w:spacing w:val="-3"/>
        </w:rPr>
        <w:t>本项目区域内无国家、省、市级自然保护区、文物古迹名胜等重</w:t>
      </w:r>
      <w:r>
        <w:rPr>
          <w:rFonts w:ascii="FangSong" w:hAnsi="FangSong" w:eastAsia="FangSong" w:cs="FangSong"/>
          <w:sz w:val="24"/>
          <w:szCs w:val="24"/>
          <w:spacing w:val="-4"/>
        </w:rPr>
        <w:t>要保护目标，周</w:t>
      </w:r>
      <w:r>
        <w:rPr>
          <w:rFonts w:ascii="FangSong" w:hAnsi="FangSong" w:eastAsia="FangSong" w:cs="FangSong"/>
          <w:sz w:val="24"/>
          <w:szCs w:val="24"/>
          <w:spacing w:val="-2"/>
        </w:rPr>
        <w:t>边敏感目标分布详见章节</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2.7</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主要环境保护目标。</w:t>
      </w:r>
    </w:p>
    <w:p>
      <w:pPr>
        <w:spacing w:line="360" w:lineRule="auto"/>
        <w:sectPr>
          <w:footerReference w:type="default" r:id="rId364"/>
          <w:pgSz w:w="11906" w:h="16839"/>
          <w:pgMar w:top="400" w:right="1741" w:bottom="1358" w:left="1741" w:header="0" w:footer="1195" w:gutter="0"/>
        </w:sectPr>
        <w:rPr>
          <w:rFonts w:ascii="FangSong" w:hAnsi="FangSong" w:eastAsia="FangSong" w:cs="FangSong"/>
          <w:sz w:val="24"/>
          <w:szCs w:val="24"/>
        </w:rPr>
      </w:pP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117"/>
        <w:spacing w:before="91" w:line="223" w:lineRule="auto"/>
        <w:outlineLvl w:val="1"/>
        <w:rPr>
          <w:rFonts w:ascii="FangSong" w:hAnsi="FangSong" w:eastAsia="FangSong" w:cs="FangSong"/>
          <w:sz w:val="28"/>
          <w:szCs w:val="28"/>
        </w:rPr>
      </w:pPr>
      <w:bookmarkStart w:name="bookmark353" w:id="480"/>
      <w:bookmarkEnd w:id="480"/>
      <w:bookmarkStart w:name="bookmark352" w:id="481"/>
      <w:bookmarkEnd w:id="481"/>
      <w:r>
        <w:rPr>
          <w:rFonts w:ascii="Times New Roman" w:hAnsi="Times New Roman" w:eastAsia="Times New Roman" w:cs="Times New Roman"/>
          <w:sz w:val="28"/>
          <w:szCs w:val="28"/>
          <w:b/>
          <w:bCs/>
          <w:spacing w:val="-5"/>
        </w:rPr>
        <w:t>8.4</w:t>
      </w:r>
      <w:r>
        <w:rPr>
          <w:rFonts w:ascii="Times New Roman" w:hAnsi="Times New Roman" w:eastAsia="Times New Roman" w:cs="Times New Roman"/>
          <w:sz w:val="28"/>
          <w:szCs w:val="28"/>
          <w:b/>
          <w:bCs/>
          <w:spacing w:val="10"/>
        </w:rPr>
        <w:t xml:space="preserve">  </w:t>
      </w:r>
      <w:r>
        <w:rPr>
          <w:rFonts w:ascii="FangSong" w:hAnsi="FangSong" w:eastAsia="FangSong" w:cs="FangSong"/>
          <w:sz w:val="28"/>
          <w:szCs w:val="28"/>
          <w:b/>
          <w:bCs/>
          <w:spacing w:val="-5"/>
        </w:rPr>
        <w:t>环境风险识别</w:t>
      </w:r>
    </w:p>
    <w:p>
      <w:pPr>
        <w:ind w:left="125" w:right="31" w:firstLine="478"/>
        <w:spacing w:before="227" w:line="360" w:lineRule="auto"/>
        <w:jc w:val="both"/>
        <w:rPr>
          <w:rFonts w:ascii="FangSong" w:hAnsi="FangSong" w:eastAsia="FangSong" w:cs="FangSong"/>
          <w:sz w:val="24"/>
          <w:szCs w:val="24"/>
        </w:rPr>
      </w:pPr>
      <w:r>
        <w:rPr>
          <w:rFonts w:ascii="FangSong" w:hAnsi="FangSong" w:eastAsia="FangSong" w:cs="FangSong"/>
          <w:sz w:val="24"/>
          <w:szCs w:val="24"/>
          <w:spacing w:val="-3"/>
        </w:rPr>
        <w:t>建设项目分析识别范围包括：生产设施的风险识</w:t>
      </w:r>
      <w:r>
        <w:rPr>
          <w:rFonts w:ascii="FangSong" w:hAnsi="FangSong" w:eastAsia="FangSong" w:cs="FangSong"/>
          <w:sz w:val="24"/>
          <w:szCs w:val="24"/>
          <w:spacing w:val="-4"/>
        </w:rPr>
        <w:t>别和生产过程所涉及的物质</w:t>
      </w:r>
      <w:r>
        <w:rPr>
          <w:rFonts w:ascii="FangSong" w:hAnsi="FangSong" w:eastAsia="FangSong" w:cs="FangSong"/>
          <w:sz w:val="24"/>
          <w:szCs w:val="24"/>
          <w:spacing w:val="-3"/>
        </w:rPr>
        <w:t>风险识别，其中生产设施风险识别包括生产装置和储运系统、</w:t>
      </w:r>
      <w:r>
        <w:rPr>
          <w:rFonts w:ascii="FangSong" w:hAnsi="FangSong" w:eastAsia="FangSong" w:cs="FangSong"/>
          <w:sz w:val="24"/>
          <w:szCs w:val="24"/>
          <w:spacing w:val="-4"/>
        </w:rPr>
        <w:t>公用工程系统、工</w:t>
      </w:r>
      <w:r>
        <w:rPr>
          <w:rFonts w:ascii="FangSong" w:hAnsi="FangSong" w:eastAsia="FangSong" w:cs="FangSong"/>
          <w:sz w:val="24"/>
          <w:szCs w:val="24"/>
          <w:spacing w:val="-8"/>
        </w:rPr>
        <w:t>程环保设施及辅助生产设施等。物质风险识别包括主要原材料及辅助材料、燃料、</w:t>
      </w:r>
      <w:r>
        <w:rPr>
          <w:rFonts w:ascii="FangSong" w:hAnsi="FangSong" w:eastAsia="FangSong" w:cs="FangSong"/>
          <w:sz w:val="24"/>
          <w:szCs w:val="24"/>
          <w:spacing w:val="-3"/>
        </w:rPr>
        <w:t>中间产品以及生产过程排放的“三废</w:t>
      </w:r>
      <w:r>
        <w:rPr>
          <w:rFonts w:ascii="FangSong" w:hAnsi="FangSong" w:eastAsia="FangSong" w:cs="FangSong"/>
          <w:sz w:val="24"/>
          <w:szCs w:val="24"/>
          <w:spacing w:val="-73"/>
        </w:rPr>
        <w:t xml:space="preserve"> </w:t>
      </w:r>
      <w:r>
        <w:rPr>
          <w:rFonts w:ascii="FangSong" w:hAnsi="FangSong" w:eastAsia="FangSong" w:cs="FangSong"/>
          <w:sz w:val="24"/>
          <w:szCs w:val="24"/>
          <w:spacing w:val="-3"/>
        </w:rPr>
        <w:t>”污染物等。</w:t>
      </w:r>
    </w:p>
    <w:p>
      <w:pPr>
        <w:ind w:left="116"/>
        <w:spacing w:line="220" w:lineRule="auto"/>
        <w:outlineLvl w:val="2"/>
        <w:rPr>
          <w:rFonts w:ascii="FangSong" w:hAnsi="FangSong" w:eastAsia="FangSong" w:cs="FangSong"/>
          <w:sz w:val="24"/>
          <w:szCs w:val="24"/>
        </w:rPr>
      </w:pPr>
      <w:bookmarkStart w:name="bookmark355" w:id="482"/>
      <w:bookmarkEnd w:id="482"/>
      <w:bookmarkStart w:name="bookmark354" w:id="483"/>
      <w:bookmarkEnd w:id="483"/>
      <w:r>
        <w:rPr>
          <w:rFonts w:ascii="Times New Roman" w:hAnsi="Times New Roman" w:eastAsia="Times New Roman" w:cs="Times New Roman"/>
          <w:sz w:val="24"/>
          <w:szCs w:val="24"/>
          <w:b/>
          <w:bCs/>
          <w:spacing w:val="-2"/>
        </w:rPr>
        <w:t>8.4.1  </w:t>
      </w:r>
      <w:r>
        <w:rPr>
          <w:rFonts w:ascii="FangSong" w:hAnsi="FangSong" w:eastAsia="FangSong" w:cs="FangSong"/>
          <w:sz w:val="24"/>
          <w:szCs w:val="24"/>
          <w:b/>
          <w:bCs/>
          <w:spacing w:val="-2"/>
        </w:rPr>
        <w:t>物质危险性识别</w:t>
      </w:r>
    </w:p>
    <w:p>
      <w:pPr>
        <w:ind w:left="123" w:right="107"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本项目原辅材料中，涉及的有毒物质和易燃易</w:t>
      </w:r>
      <w:r>
        <w:rPr>
          <w:rFonts w:ascii="FangSong" w:hAnsi="FangSong" w:eastAsia="FangSong" w:cs="FangSong"/>
          <w:sz w:val="24"/>
          <w:szCs w:val="24"/>
          <w:spacing w:val="-4"/>
        </w:rPr>
        <w:t>爆物质有柴油、润滑油及矿石</w:t>
      </w:r>
      <w:r>
        <w:rPr>
          <w:rFonts w:ascii="FangSong" w:hAnsi="FangSong" w:eastAsia="FangSong" w:cs="FangSong"/>
          <w:sz w:val="24"/>
          <w:szCs w:val="24"/>
          <w:spacing w:val="-3"/>
        </w:rPr>
        <w:t>开采使用的炸药雷管，开采使用的炸药主要成分为硝酸铵。运营期</w:t>
      </w:r>
      <w:r>
        <w:rPr>
          <w:rFonts w:ascii="FangSong" w:hAnsi="FangSong" w:eastAsia="FangSong" w:cs="FangSong"/>
          <w:sz w:val="24"/>
          <w:szCs w:val="24"/>
          <w:spacing w:val="-4"/>
        </w:rPr>
        <w:t>所涉及的风险</w:t>
      </w:r>
      <w:r>
        <w:rPr>
          <w:rFonts w:ascii="FangSong" w:hAnsi="FangSong" w:eastAsia="FangSong" w:cs="FangSong"/>
          <w:sz w:val="24"/>
          <w:szCs w:val="24"/>
          <w:spacing w:val="-4"/>
        </w:rPr>
        <w:t>物质理化性质见表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8.4-1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4"/>
        </w:rPr>
        <w:t>8.4-2</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和表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8.4-3</w:t>
      </w:r>
      <w:r>
        <w:rPr>
          <w:rFonts w:ascii="FangSong" w:hAnsi="FangSong" w:eastAsia="FangSong" w:cs="FangSong"/>
          <w:sz w:val="24"/>
          <w:szCs w:val="24"/>
          <w:spacing w:val="-4"/>
        </w:rPr>
        <w:t>。</w:t>
      </w:r>
    </w:p>
    <w:p>
      <w:pPr>
        <w:ind w:left="2372"/>
        <w:spacing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8.4-1  </w:t>
      </w:r>
      <w:r>
        <w:rPr>
          <w:rFonts w:ascii="FangSong" w:hAnsi="FangSong" w:eastAsia="FangSong" w:cs="FangSong"/>
          <w:sz w:val="24"/>
          <w:szCs w:val="24"/>
          <w:b/>
          <w:bCs/>
          <w:spacing w:val="-3"/>
        </w:rPr>
        <w:t>润滑油理化性质和危险特性</w:t>
      </w:r>
    </w:p>
    <w:p>
      <w:pPr>
        <w:spacing w:line="67"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5"/>
        <w:gridCol w:w="1062"/>
        <w:gridCol w:w="568"/>
        <w:gridCol w:w="332"/>
        <w:gridCol w:w="907"/>
        <w:gridCol w:w="1267"/>
        <w:gridCol w:w="869"/>
        <w:gridCol w:w="293"/>
        <w:gridCol w:w="527"/>
        <w:gridCol w:w="434"/>
        <w:gridCol w:w="344"/>
        <w:gridCol w:w="334"/>
        <w:gridCol w:w="859"/>
      </w:tblGrid>
      <w:tr>
        <w:trPr>
          <w:trHeight w:val="632" w:hRule="atLeast"/>
        </w:trPr>
        <w:tc>
          <w:tcPr>
            <w:tcW w:w="725" w:type="dxa"/>
            <w:vAlign w:val="top"/>
            <w:vMerge w:val="restart"/>
            <w:tcBorders>
              <w:left w:val="nil"/>
              <w:top w:val="single" w:color="000000" w:sz="10" w:space="0"/>
              <w:bottom w:val="nil"/>
            </w:tcBorders>
          </w:tcPr>
          <w:p>
            <w:pPr>
              <w:spacing w:line="465" w:lineRule="auto"/>
              <w:rPr>
                <w:rFonts w:ascii="Arial"/>
                <w:sz w:val="21"/>
              </w:rPr>
            </w:pPr>
            <w:r/>
          </w:p>
          <w:p>
            <w:pPr>
              <w:pStyle w:val="TableText"/>
              <w:ind w:left="164"/>
              <w:spacing w:before="65" w:line="231" w:lineRule="auto"/>
              <w:rPr/>
            </w:pPr>
            <w:r>
              <w:rPr>
                <w:spacing w:val="2"/>
              </w:rPr>
              <w:t>标识</w:t>
            </w:r>
          </w:p>
        </w:tc>
        <w:tc>
          <w:tcPr>
            <w:tcW w:w="1062" w:type="dxa"/>
            <w:vAlign w:val="top"/>
            <w:tcBorders>
              <w:top w:val="single" w:color="000000" w:sz="10" w:space="0"/>
            </w:tcBorders>
          </w:tcPr>
          <w:p>
            <w:pPr>
              <w:pStyle w:val="TableText"/>
              <w:ind w:left="254"/>
              <w:spacing w:before="211" w:line="231" w:lineRule="auto"/>
              <w:rPr/>
            </w:pPr>
            <w:r>
              <w:rPr>
                <w:spacing w:val="-4"/>
              </w:rPr>
              <w:t>中文名</w:t>
            </w:r>
          </w:p>
        </w:tc>
        <w:tc>
          <w:tcPr>
            <w:tcW w:w="900" w:type="dxa"/>
            <w:vAlign w:val="top"/>
            <w:gridSpan w:val="2"/>
            <w:tcBorders>
              <w:top w:val="single" w:color="000000" w:sz="10" w:space="0"/>
            </w:tcBorders>
          </w:tcPr>
          <w:p>
            <w:pPr>
              <w:pStyle w:val="TableText"/>
              <w:ind w:left="145"/>
              <w:spacing w:before="211" w:line="231" w:lineRule="auto"/>
              <w:rPr/>
            </w:pPr>
            <w:r>
              <w:rPr>
                <w:spacing w:val="5"/>
              </w:rPr>
              <w:t>润滑油</w:t>
            </w:r>
          </w:p>
        </w:tc>
        <w:tc>
          <w:tcPr>
            <w:tcW w:w="907" w:type="dxa"/>
            <w:vAlign w:val="top"/>
            <w:tcBorders>
              <w:top w:val="single" w:color="000000" w:sz="10" w:space="0"/>
            </w:tcBorders>
          </w:tcPr>
          <w:p>
            <w:pPr>
              <w:pStyle w:val="TableText"/>
              <w:ind w:left="149"/>
              <w:spacing w:before="211" w:line="232" w:lineRule="auto"/>
              <w:rPr/>
            </w:pPr>
            <w:r>
              <w:rPr>
                <w:spacing w:val="5"/>
              </w:rPr>
              <w:t>英文名</w:t>
            </w:r>
          </w:p>
        </w:tc>
        <w:tc>
          <w:tcPr>
            <w:tcW w:w="2429" w:type="dxa"/>
            <w:vAlign w:val="top"/>
            <w:gridSpan w:val="3"/>
            <w:tcBorders>
              <w:top w:val="single" w:color="000000" w:sz="10" w:space="0"/>
            </w:tcBorders>
          </w:tcPr>
          <w:p>
            <w:pPr>
              <w:ind w:left="626"/>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lubricating oil</w:t>
            </w:r>
          </w:p>
        </w:tc>
        <w:tc>
          <w:tcPr>
            <w:tcW w:w="1305" w:type="dxa"/>
            <w:vAlign w:val="top"/>
            <w:gridSpan w:val="3"/>
            <w:tcBorders>
              <w:top w:val="single" w:color="000000" w:sz="10" w:space="0"/>
            </w:tcBorders>
          </w:tcPr>
          <w:p>
            <w:pPr>
              <w:pStyle w:val="TableText"/>
              <w:ind w:left="564" w:right="125" w:hanging="420"/>
              <w:spacing w:before="56" w:line="261" w:lineRule="auto"/>
              <w:rPr/>
            </w:pPr>
            <w:r>
              <w:rPr>
                <w:spacing w:val="6"/>
              </w:rPr>
              <w:t>危险废物编</w:t>
            </w:r>
            <w:r>
              <w:rPr/>
              <w:t>号</w:t>
            </w:r>
          </w:p>
        </w:tc>
        <w:tc>
          <w:tcPr>
            <w:tcW w:w="1193" w:type="dxa"/>
            <w:vAlign w:val="top"/>
            <w:gridSpan w:val="2"/>
            <w:tcBorders>
              <w:right w:val="nil"/>
              <w:top w:val="single" w:color="000000" w:sz="10" w:space="0"/>
            </w:tcBorders>
          </w:tcPr>
          <w:p>
            <w:pPr>
              <w:ind w:left="549"/>
              <w:spacing w:before="25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062" w:type="dxa"/>
            <w:vAlign w:val="top"/>
          </w:tcPr>
          <w:p>
            <w:pPr>
              <w:pStyle w:val="TableText"/>
              <w:ind w:left="229"/>
              <w:spacing w:before="51" w:line="232" w:lineRule="auto"/>
              <w:rPr/>
            </w:pPr>
            <w:r>
              <w:rPr>
                <w:spacing w:val="4"/>
              </w:rPr>
              <w:t>分子式</w:t>
            </w:r>
          </w:p>
        </w:tc>
        <w:tc>
          <w:tcPr>
            <w:tcW w:w="900" w:type="dxa"/>
            <w:vAlign w:val="top"/>
            <w:gridSpan w:val="2"/>
          </w:tcPr>
          <w:p>
            <w:pPr>
              <w:ind w:left="402"/>
              <w:spacing w:before="9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07" w:type="dxa"/>
            <w:vAlign w:val="top"/>
          </w:tcPr>
          <w:p>
            <w:pPr>
              <w:pStyle w:val="TableText"/>
              <w:ind w:left="151"/>
              <w:spacing w:before="51" w:line="232" w:lineRule="auto"/>
              <w:rPr/>
            </w:pPr>
            <w:r>
              <w:rPr>
                <w:spacing w:val="4"/>
              </w:rPr>
              <w:t>分子量</w:t>
            </w:r>
          </w:p>
        </w:tc>
        <w:tc>
          <w:tcPr>
            <w:tcW w:w="1267" w:type="dxa"/>
            <w:vAlign w:val="top"/>
          </w:tcPr>
          <w:p>
            <w:pPr>
              <w:ind w:left="283"/>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230-500</w:t>
            </w:r>
          </w:p>
        </w:tc>
        <w:tc>
          <w:tcPr>
            <w:tcW w:w="1162" w:type="dxa"/>
            <w:vAlign w:val="top"/>
            <w:gridSpan w:val="2"/>
          </w:tcPr>
          <w:p>
            <w:pPr>
              <w:pStyle w:val="TableText"/>
              <w:ind w:left="191"/>
              <w:spacing w:before="52" w:line="232" w:lineRule="auto"/>
              <w:rPr/>
            </w:pPr>
            <w:r>
              <w:rPr>
                <w:rFonts w:ascii="Times New Roman" w:hAnsi="Times New Roman" w:eastAsia="Times New Roman" w:cs="Times New Roman"/>
              </w:rPr>
              <w:t>UN</w:t>
            </w:r>
            <w:r>
              <w:rPr>
                <w:rFonts w:ascii="Times New Roman" w:hAnsi="Times New Roman" w:eastAsia="Times New Roman" w:cs="Times New Roman"/>
                <w:spacing w:val="18"/>
                <w:w w:val="101"/>
              </w:rPr>
              <w:t xml:space="preserve"> </w:t>
            </w:r>
            <w:r>
              <w:rPr>
                <w:spacing w:val="7"/>
              </w:rPr>
              <w:t>编号</w:t>
            </w:r>
          </w:p>
        </w:tc>
        <w:tc>
          <w:tcPr>
            <w:tcW w:w="527" w:type="dxa"/>
            <w:vAlign w:val="top"/>
          </w:tcPr>
          <w:p>
            <w:pPr>
              <w:rPr>
                <w:rFonts w:ascii="Arial"/>
                <w:sz w:val="21"/>
              </w:rPr>
            </w:pPr>
            <w:r/>
          </w:p>
        </w:tc>
        <w:tc>
          <w:tcPr>
            <w:tcW w:w="1112" w:type="dxa"/>
            <w:vAlign w:val="top"/>
            <w:gridSpan w:val="3"/>
          </w:tcPr>
          <w:p>
            <w:pPr>
              <w:pStyle w:val="TableText"/>
              <w:ind w:left="119"/>
              <w:spacing w:before="52" w:line="232" w:lineRule="auto"/>
              <w:rPr/>
            </w:pPr>
            <w:r>
              <w:rPr>
                <w:rFonts w:ascii="Times New Roman" w:hAnsi="Times New Roman" w:eastAsia="Times New Roman" w:cs="Times New Roman"/>
              </w:rPr>
              <w:t>CAS</w:t>
            </w:r>
            <w:r>
              <w:rPr>
                <w:rFonts w:ascii="Times New Roman" w:hAnsi="Times New Roman" w:eastAsia="Times New Roman" w:cs="Times New Roman"/>
                <w:spacing w:val="22"/>
              </w:rPr>
              <w:t xml:space="preserve"> </w:t>
            </w:r>
            <w:r>
              <w:rPr>
                <w:spacing w:val="6"/>
              </w:rPr>
              <w:t>编号</w:t>
            </w:r>
          </w:p>
        </w:tc>
        <w:tc>
          <w:tcPr>
            <w:tcW w:w="859" w:type="dxa"/>
            <w:vAlign w:val="top"/>
            <w:tcBorders>
              <w:right w:val="nil"/>
            </w:tcBorders>
          </w:tcPr>
          <w:p>
            <w:pPr>
              <w:ind w:left="367"/>
              <w:spacing w:before="9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r>
      <w:tr>
        <w:trPr>
          <w:trHeight w:val="316" w:hRule="atLeast"/>
        </w:trPr>
        <w:tc>
          <w:tcPr>
            <w:tcW w:w="725" w:type="dxa"/>
            <w:vAlign w:val="top"/>
            <w:vMerge w:val="continue"/>
            <w:tcBorders>
              <w:left w:val="nil"/>
              <w:top w:val="nil"/>
            </w:tcBorders>
          </w:tcPr>
          <w:p>
            <w:pPr>
              <w:rPr>
                <w:rFonts w:ascii="Arial"/>
                <w:sz w:val="21"/>
              </w:rPr>
            </w:pPr>
            <w:r/>
          </w:p>
        </w:tc>
        <w:tc>
          <w:tcPr>
            <w:tcW w:w="1062" w:type="dxa"/>
            <w:vAlign w:val="top"/>
          </w:tcPr>
          <w:p>
            <w:pPr>
              <w:pStyle w:val="TableText"/>
              <w:ind w:left="126"/>
              <w:spacing w:before="55" w:line="231" w:lineRule="auto"/>
              <w:rPr/>
            </w:pPr>
            <w:r>
              <w:rPr>
                <w:spacing w:val="4"/>
              </w:rPr>
              <w:t>危险类别</w:t>
            </w:r>
          </w:p>
        </w:tc>
        <w:tc>
          <w:tcPr>
            <w:tcW w:w="6734" w:type="dxa"/>
            <w:vAlign w:val="top"/>
            <w:gridSpan w:val="11"/>
            <w:tcBorders>
              <w:right w:val="nil"/>
            </w:tcBorders>
          </w:tcPr>
          <w:p>
            <w:pPr>
              <w:pStyle w:val="TableText"/>
              <w:ind w:left="1178"/>
              <w:spacing w:before="54" w:line="229" w:lineRule="auto"/>
              <w:rPr/>
            </w:pPr>
            <w:r>
              <w:rPr>
                <w:spacing w:val="8"/>
              </w:rPr>
              <w:t>油状液体，淡黄色至褐色，无气味或略带异味。</w:t>
            </w:r>
          </w:p>
        </w:tc>
      </w:tr>
      <w:tr>
        <w:trPr>
          <w:trHeight w:val="316" w:hRule="atLeast"/>
        </w:trPr>
        <w:tc>
          <w:tcPr>
            <w:tcW w:w="725" w:type="dxa"/>
            <w:vAlign w:val="top"/>
            <w:vMerge w:val="restart"/>
            <w:tcBorders>
              <w:left w:val="nil"/>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167" w:right="153" w:hanging="1"/>
              <w:spacing w:before="65" w:line="287" w:lineRule="auto"/>
              <w:rPr/>
            </w:pPr>
            <w:r>
              <w:rPr>
                <w:spacing w:val="1"/>
              </w:rPr>
              <w:t>理化</w:t>
            </w:r>
            <w:r>
              <w:rPr/>
              <w:t>性质</w:t>
            </w:r>
          </w:p>
        </w:tc>
        <w:tc>
          <w:tcPr>
            <w:tcW w:w="1062" w:type="dxa"/>
            <w:vAlign w:val="top"/>
          </w:tcPr>
          <w:p>
            <w:pPr>
              <w:pStyle w:val="TableText"/>
              <w:ind w:left="336"/>
              <w:spacing w:before="55" w:line="229" w:lineRule="auto"/>
              <w:rPr/>
            </w:pPr>
            <w:r>
              <w:rPr/>
              <w:t>性状</w:t>
            </w:r>
          </w:p>
        </w:tc>
        <w:tc>
          <w:tcPr>
            <w:tcW w:w="6734" w:type="dxa"/>
            <w:vAlign w:val="top"/>
            <w:gridSpan w:val="11"/>
            <w:tcBorders>
              <w:right w:val="nil"/>
            </w:tcBorders>
          </w:tcPr>
          <w:p>
            <w:pPr>
              <w:rPr>
                <w:rFonts w:ascii="Arial"/>
                <w:sz w:val="21"/>
              </w:rPr>
            </w:pPr>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615"/>
              <w:spacing w:before="56" w:line="230" w:lineRule="auto"/>
              <w:rPr/>
            </w:pPr>
            <w:r>
              <w:rPr>
                <w:spacing w:val="2"/>
              </w:rPr>
              <w:t>熔点</w:t>
            </w:r>
          </w:p>
        </w:tc>
        <w:tc>
          <w:tcPr>
            <w:tcW w:w="2506" w:type="dxa"/>
            <w:vAlign w:val="top"/>
            <w:gridSpan w:val="3"/>
          </w:tcPr>
          <w:p>
            <w:pPr>
              <w:ind w:left="1204"/>
              <w:spacing w:before="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3" w:type="dxa"/>
            <w:vAlign w:val="top"/>
            <w:gridSpan w:val="4"/>
          </w:tcPr>
          <w:p>
            <w:pPr>
              <w:pStyle w:val="TableText"/>
              <w:ind w:left="262"/>
              <w:spacing w:before="56" w:line="221" w:lineRule="auto"/>
              <w:rPr/>
            </w:pPr>
            <w:r>
              <w:rPr>
                <w:spacing w:val="6"/>
              </w:rPr>
              <w:t>临界压力（</w:t>
            </w:r>
            <w:r>
              <w:rPr>
                <w:rFonts w:ascii="Times New Roman" w:hAnsi="Times New Roman" w:eastAsia="Times New Roman" w:cs="Times New Roman"/>
              </w:rPr>
              <w:t>Mpa</w:t>
            </w:r>
            <w:r>
              <w:rPr>
                <w:spacing w:val="6"/>
              </w:rPr>
              <w:t>）</w:t>
            </w:r>
          </w:p>
        </w:tc>
        <w:tc>
          <w:tcPr>
            <w:tcW w:w="1537" w:type="dxa"/>
            <w:vAlign w:val="top"/>
            <w:gridSpan w:val="3"/>
            <w:tcBorders>
              <w:right w:val="nil"/>
            </w:tcBorders>
          </w:tcPr>
          <w:p>
            <w:pPr>
              <w:ind w:left="707"/>
              <w:spacing w:before="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620"/>
              <w:spacing w:before="56" w:line="230" w:lineRule="auto"/>
              <w:rPr/>
            </w:pPr>
            <w:r>
              <w:rPr>
                <w:spacing w:val="-1"/>
              </w:rPr>
              <w:t>沸点</w:t>
            </w:r>
          </w:p>
        </w:tc>
        <w:tc>
          <w:tcPr>
            <w:tcW w:w="2506" w:type="dxa"/>
            <w:vAlign w:val="top"/>
            <w:gridSpan w:val="3"/>
          </w:tcPr>
          <w:p>
            <w:pPr>
              <w:ind w:left="1191"/>
              <w:spacing w:before="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2123" w:type="dxa"/>
            <w:vAlign w:val="top"/>
            <w:gridSpan w:val="4"/>
          </w:tcPr>
          <w:p>
            <w:pPr>
              <w:pStyle w:val="TableText"/>
              <w:ind w:left="227"/>
              <w:spacing w:before="19" w:line="281" w:lineRule="exact"/>
              <w:rPr/>
            </w:pPr>
            <w:r>
              <w:rPr>
                <w:spacing w:val="5"/>
                <w:position w:val="1"/>
              </w:rPr>
              <w:t>相对密度（水</w:t>
            </w:r>
            <w:r>
              <w:rPr>
                <w:rFonts w:ascii="Times New Roman" w:hAnsi="Times New Roman" w:eastAsia="Times New Roman" w:cs="Times New Roman"/>
                <w:spacing w:val="5"/>
                <w:position w:val="1"/>
              </w:rPr>
              <w:t>=1</w:t>
            </w:r>
            <w:r>
              <w:rPr>
                <w:spacing w:val="5"/>
                <w:position w:val="1"/>
              </w:rPr>
              <w:t>）</w:t>
            </w:r>
          </w:p>
        </w:tc>
        <w:tc>
          <w:tcPr>
            <w:tcW w:w="1537" w:type="dxa"/>
            <w:vAlign w:val="top"/>
            <w:gridSpan w:val="3"/>
            <w:tcBorders>
              <w:right w:val="nil"/>
            </w:tcBorders>
          </w:tcPr>
          <w:p>
            <w:pPr>
              <w:ind w:left="66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p>
        </w:tc>
      </w:tr>
      <w:tr>
        <w:trPr>
          <w:trHeight w:val="627"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303"/>
              <w:spacing w:before="57" w:line="232" w:lineRule="auto"/>
              <w:rPr/>
            </w:pPr>
            <w:r>
              <w:rPr>
                <w:spacing w:val="6"/>
              </w:rPr>
              <w:t>饱和蒸气压</w:t>
            </w:r>
          </w:p>
          <w:p>
            <w:pPr>
              <w:pStyle w:val="TableText"/>
              <w:ind w:left="469"/>
              <w:spacing w:before="61" w:line="221" w:lineRule="auto"/>
              <w:rPr/>
            </w:pPr>
            <w:r>
              <w:rPr>
                <w:spacing w:val="1"/>
              </w:rPr>
              <w:t>（</w:t>
            </w:r>
            <w:r>
              <w:rPr>
                <w:rFonts w:ascii="Times New Roman" w:hAnsi="Times New Roman" w:eastAsia="Times New Roman" w:cs="Times New Roman"/>
              </w:rPr>
              <w:t>kpa</w:t>
            </w:r>
            <w:r>
              <w:rPr>
                <w:spacing w:val="1"/>
              </w:rPr>
              <w:t>）</w:t>
            </w:r>
          </w:p>
        </w:tc>
        <w:tc>
          <w:tcPr>
            <w:tcW w:w="2506" w:type="dxa"/>
            <w:vAlign w:val="top"/>
            <w:gridSpan w:val="3"/>
          </w:tcPr>
          <w:p>
            <w:pPr>
              <w:ind w:left="1204"/>
              <w:spacing w:before="2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3" w:type="dxa"/>
            <w:vAlign w:val="top"/>
            <w:gridSpan w:val="4"/>
          </w:tcPr>
          <w:p>
            <w:pPr>
              <w:pStyle w:val="TableText"/>
              <w:ind w:left="122"/>
              <w:spacing w:before="176" w:line="281" w:lineRule="exact"/>
              <w:rPr/>
            </w:pPr>
            <w:r>
              <w:rPr>
                <w:spacing w:val="6"/>
                <w:position w:val="1"/>
              </w:rPr>
              <w:t>相对密度（空气</w:t>
            </w:r>
            <w:r>
              <w:rPr>
                <w:rFonts w:ascii="Times New Roman" w:hAnsi="Times New Roman" w:eastAsia="Times New Roman" w:cs="Times New Roman"/>
                <w:spacing w:val="6"/>
                <w:position w:val="1"/>
              </w:rPr>
              <w:t>=1</w:t>
            </w:r>
            <w:r>
              <w:rPr>
                <w:spacing w:val="6"/>
                <w:position w:val="1"/>
              </w:rPr>
              <w:t>）</w:t>
            </w:r>
          </w:p>
        </w:tc>
        <w:tc>
          <w:tcPr>
            <w:tcW w:w="1537" w:type="dxa"/>
            <w:vAlign w:val="top"/>
            <w:gridSpan w:val="3"/>
            <w:tcBorders>
              <w:right w:val="nil"/>
            </w:tcBorders>
          </w:tcPr>
          <w:p>
            <w:pPr>
              <w:ind w:left="707"/>
              <w:spacing w:before="2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131"/>
              <w:spacing w:before="58" w:line="228" w:lineRule="auto"/>
              <w:rPr/>
            </w:pPr>
            <w:r>
              <w:rPr>
                <w:spacing w:val="1"/>
              </w:rPr>
              <w:t>临界温度</w:t>
            </w:r>
            <w:r>
              <w:rPr>
                <w:spacing w:val="26"/>
              </w:rPr>
              <w:t xml:space="preserve"> </w:t>
            </w:r>
            <w:r>
              <w:rPr>
                <w:spacing w:val="1"/>
              </w:rPr>
              <w:t>(</w:t>
            </w:r>
            <w:r>
              <w:rPr>
                <w:rFonts w:ascii="Times New Roman" w:hAnsi="Times New Roman" w:eastAsia="Times New Roman" w:cs="Times New Roman"/>
                <w:spacing w:val="1"/>
              </w:rPr>
              <w:t>℃</w:t>
            </w:r>
            <w:r>
              <w:rPr>
                <w:spacing w:val="1"/>
              </w:rPr>
              <w:t>)</w:t>
            </w:r>
          </w:p>
        </w:tc>
        <w:tc>
          <w:tcPr>
            <w:tcW w:w="2506" w:type="dxa"/>
            <w:vAlign w:val="top"/>
            <w:gridSpan w:val="3"/>
          </w:tcPr>
          <w:p>
            <w:pPr>
              <w:ind w:left="1204"/>
              <w:spacing w:before="9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3" w:type="dxa"/>
            <w:vAlign w:val="top"/>
            <w:gridSpan w:val="4"/>
          </w:tcPr>
          <w:p>
            <w:pPr>
              <w:pStyle w:val="TableText"/>
              <w:ind w:left="239"/>
              <w:spacing w:before="58" w:line="228" w:lineRule="auto"/>
              <w:rPr/>
            </w:pPr>
            <w:r>
              <w:rPr>
                <w:spacing w:val="8"/>
              </w:rPr>
              <w:t>燃烧热（</w:t>
            </w:r>
            <w:r>
              <w:rPr>
                <w:rFonts w:ascii="Times New Roman" w:hAnsi="Times New Roman" w:eastAsia="Times New Roman" w:cs="Times New Roman"/>
              </w:rPr>
              <w:t>KJ</w:t>
            </w:r>
            <w:r>
              <w:rPr>
                <w:rFonts w:ascii="Times New Roman" w:hAnsi="Times New Roman" w:eastAsia="Times New Roman" w:cs="Times New Roman"/>
                <w:spacing w:val="8"/>
              </w:rPr>
              <w:t>/</w:t>
            </w:r>
            <w:r>
              <w:rPr>
                <w:rFonts w:ascii="Times New Roman" w:hAnsi="Times New Roman" w:eastAsia="Times New Roman" w:cs="Times New Roman"/>
              </w:rPr>
              <w:t>mol</w:t>
            </w:r>
            <w:r>
              <w:rPr>
                <w:spacing w:val="8"/>
              </w:rPr>
              <w:t>）</w:t>
            </w:r>
          </w:p>
        </w:tc>
        <w:tc>
          <w:tcPr>
            <w:tcW w:w="1537" w:type="dxa"/>
            <w:vAlign w:val="top"/>
            <w:gridSpan w:val="3"/>
            <w:tcBorders>
              <w:right w:val="nil"/>
            </w:tcBorders>
          </w:tcPr>
          <w:p>
            <w:pPr>
              <w:ind w:left="722"/>
              <w:spacing w:before="9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rPr>
          <w:trHeight w:val="316" w:hRule="atLeast"/>
        </w:trPr>
        <w:tc>
          <w:tcPr>
            <w:tcW w:w="725" w:type="dxa"/>
            <w:vAlign w:val="top"/>
            <w:vMerge w:val="continue"/>
            <w:tcBorders>
              <w:left w:val="nil"/>
              <w:top w:val="nil"/>
            </w:tcBorders>
          </w:tcPr>
          <w:p>
            <w:pPr>
              <w:rPr>
                <w:rFonts w:ascii="Arial"/>
                <w:sz w:val="21"/>
              </w:rPr>
            </w:pPr>
            <w:r/>
          </w:p>
        </w:tc>
        <w:tc>
          <w:tcPr>
            <w:tcW w:w="1630" w:type="dxa"/>
            <w:vAlign w:val="top"/>
            <w:gridSpan w:val="2"/>
          </w:tcPr>
          <w:p>
            <w:pPr>
              <w:pStyle w:val="TableText"/>
              <w:ind w:left="509"/>
              <w:spacing w:before="62" w:line="225" w:lineRule="auto"/>
              <w:rPr/>
            </w:pPr>
            <w:r>
              <w:rPr>
                <w:spacing w:val="5"/>
              </w:rPr>
              <w:t>溶解性</w:t>
            </w:r>
          </w:p>
        </w:tc>
        <w:tc>
          <w:tcPr>
            <w:tcW w:w="6166" w:type="dxa"/>
            <w:vAlign w:val="top"/>
            <w:gridSpan w:val="10"/>
            <w:tcBorders>
              <w:right w:val="nil"/>
            </w:tcBorders>
          </w:tcPr>
          <w:p>
            <w:pPr>
              <w:pStyle w:val="TableText"/>
              <w:ind w:left="2679"/>
              <w:spacing w:before="62" w:line="225" w:lineRule="auto"/>
              <w:rPr/>
            </w:pPr>
            <w:r>
              <w:rPr>
                <w:spacing w:val="4"/>
              </w:rPr>
              <w:t>不溶于水</w:t>
            </w:r>
          </w:p>
        </w:tc>
      </w:tr>
      <w:tr>
        <w:trPr>
          <w:trHeight w:val="316" w:hRule="atLeast"/>
        </w:trPr>
        <w:tc>
          <w:tcPr>
            <w:tcW w:w="725" w:type="dxa"/>
            <w:vAlign w:val="top"/>
            <w:vMerge w:val="restart"/>
            <w:tcBorders>
              <w:left w:val="nil"/>
              <w:bottom w:val="nil"/>
            </w:tcBorders>
          </w:tcPr>
          <w:p>
            <w:pPr>
              <w:spacing w:line="322" w:lineRule="auto"/>
              <w:rPr>
                <w:rFonts w:ascii="Arial"/>
                <w:sz w:val="21"/>
              </w:rPr>
            </w:pPr>
            <w:r/>
          </w:p>
          <w:p>
            <w:pPr>
              <w:pStyle w:val="TableText"/>
              <w:ind w:left="164" w:right="153" w:firstLine="1"/>
              <w:spacing w:before="65" w:line="288" w:lineRule="auto"/>
              <w:rPr/>
            </w:pPr>
            <w:r>
              <w:rPr>
                <w:spacing w:val="1"/>
              </w:rPr>
              <w:t>燃烧</w:t>
            </w:r>
            <w:r>
              <w:rPr>
                <w:spacing w:val="2"/>
              </w:rPr>
              <w:t>爆炸</w:t>
            </w:r>
          </w:p>
        </w:tc>
        <w:tc>
          <w:tcPr>
            <w:tcW w:w="1630" w:type="dxa"/>
            <w:vAlign w:val="top"/>
            <w:gridSpan w:val="2"/>
          </w:tcPr>
          <w:p>
            <w:pPr>
              <w:pStyle w:val="TableText"/>
              <w:ind w:left="511"/>
              <w:spacing w:before="63" w:line="224" w:lineRule="auto"/>
              <w:rPr/>
            </w:pPr>
            <w:r>
              <w:rPr>
                <w:spacing w:val="4"/>
              </w:rPr>
              <w:t>燃烧性</w:t>
            </w:r>
          </w:p>
        </w:tc>
        <w:tc>
          <w:tcPr>
            <w:tcW w:w="2506" w:type="dxa"/>
            <w:vAlign w:val="top"/>
            <w:gridSpan w:val="3"/>
          </w:tcPr>
          <w:p>
            <w:pPr>
              <w:pStyle w:val="TableText"/>
              <w:ind w:left="1058"/>
              <w:spacing w:before="63" w:line="224" w:lineRule="auto"/>
              <w:rPr/>
            </w:pPr>
            <w:r>
              <w:rPr/>
              <w:t>可燃</w:t>
            </w:r>
          </w:p>
        </w:tc>
        <w:tc>
          <w:tcPr>
            <w:tcW w:w="2123" w:type="dxa"/>
            <w:vAlign w:val="top"/>
            <w:gridSpan w:val="4"/>
          </w:tcPr>
          <w:p>
            <w:pPr>
              <w:pStyle w:val="TableText"/>
              <w:ind w:left="565"/>
              <w:spacing w:before="63" w:line="224" w:lineRule="auto"/>
              <w:rPr/>
            </w:pPr>
            <w:r>
              <w:rPr>
                <w:spacing w:val="-4"/>
              </w:rPr>
              <w:t>闪点</w:t>
            </w:r>
            <w:r>
              <w:rPr>
                <w:spacing w:val="23"/>
              </w:rPr>
              <w:t xml:space="preserve"> </w:t>
            </w:r>
            <w:r>
              <w:rPr>
                <w:spacing w:val="-4"/>
              </w:rPr>
              <w:t>(</w:t>
            </w:r>
            <w:r>
              <w:rPr>
                <w:rFonts w:ascii="Times New Roman" w:hAnsi="Times New Roman" w:eastAsia="Times New Roman" w:cs="Times New Roman"/>
                <w:spacing w:val="-4"/>
              </w:rPr>
              <w:t>℃</w:t>
            </w:r>
            <w:r>
              <w:rPr>
                <w:spacing w:val="-4"/>
              </w:rPr>
              <w:t>)</w:t>
            </w:r>
          </w:p>
        </w:tc>
        <w:tc>
          <w:tcPr>
            <w:tcW w:w="1537" w:type="dxa"/>
            <w:vAlign w:val="top"/>
            <w:gridSpan w:val="3"/>
            <w:tcBorders>
              <w:right w:val="nil"/>
            </w:tcBorders>
          </w:tcPr>
          <w:p>
            <w:pPr>
              <w:ind w:left="478"/>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76-300</w:t>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118"/>
              <w:spacing w:before="63" w:line="224" w:lineRule="auto"/>
              <w:rPr/>
            </w:pPr>
            <w:r>
              <w:rPr>
                <w:spacing w:val="6"/>
              </w:rPr>
              <w:t>爆炸极限（</w:t>
            </w:r>
            <w:r>
              <w:rPr>
                <w:rFonts w:ascii="Times New Roman" w:hAnsi="Times New Roman" w:eastAsia="Times New Roman" w:cs="Times New Roman"/>
                <w:spacing w:val="6"/>
              </w:rPr>
              <w:t>%</w:t>
            </w:r>
            <w:r>
              <w:rPr>
                <w:spacing w:val="6"/>
              </w:rPr>
              <w:t>）</w:t>
            </w:r>
          </w:p>
        </w:tc>
        <w:tc>
          <w:tcPr>
            <w:tcW w:w="2506" w:type="dxa"/>
            <w:vAlign w:val="top"/>
            <w:gridSpan w:val="3"/>
          </w:tcPr>
          <w:p>
            <w:pPr>
              <w:pStyle w:val="TableText"/>
              <w:ind w:left="951"/>
              <w:spacing w:before="63" w:line="224" w:lineRule="auto"/>
              <w:rPr/>
            </w:pPr>
            <w:r>
              <w:rPr>
                <w:spacing w:val="4"/>
              </w:rPr>
              <w:t>无资料</w:t>
            </w:r>
          </w:p>
        </w:tc>
        <w:tc>
          <w:tcPr>
            <w:tcW w:w="2123" w:type="dxa"/>
            <w:vAlign w:val="top"/>
            <w:gridSpan w:val="4"/>
          </w:tcPr>
          <w:p>
            <w:pPr>
              <w:pStyle w:val="TableText"/>
              <w:ind w:left="210"/>
              <w:spacing w:before="63" w:line="224" w:lineRule="auto"/>
              <w:rPr/>
            </w:pPr>
            <w:r>
              <w:rPr>
                <w:spacing w:val="7"/>
              </w:rPr>
              <w:t>最小点火能（</w:t>
            </w:r>
            <w:r>
              <w:rPr>
                <w:rFonts w:ascii="Times New Roman" w:hAnsi="Times New Roman" w:eastAsia="Times New Roman" w:cs="Times New Roman"/>
              </w:rPr>
              <w:t>MJ</w:t>
            </w:r>
            <w:r>
              <w:rPr>
                <w:spacing w:val="7"/>
              </w:rPr>
              <w:t>）</w:t>
            </w:r>
          </w:p>
        </w:tc>
        <w:tc>
          <w:tcPr>
            <w:tcW w:w="1537" w:type="dxa"/>
            <w:vAlign w:val="top"/>
            <w:gridSpan w:val="3"/>
            <w:tcBorders>
              <w:right w:val="nil"/>
            </w:tcBorders>
          </w:tcPr>
          <w:p>
            <w:pPr>
              <w:ind w:left="707"/>
              <w:spacing w:before="10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126"/>
              <w:spacing w:before="64" w:line="223" w:lineRule="auto"/>
              <w:rPr/>
            </w:pPr>
            <w:r>
              <w:rPr>
                <w:spacing w:val="2"/>
              </w:rPr>
              <w:t>引燃温度</w:t>
            </w:r>
            <w:r>
              <w:rPr>
                <w:spacing w:val="23"/>
              </w:rPr>
              <w:t xml:space="preserve"> </w:t>
            </w:r>
            <w:r>
              <w:rPr>
                <w:spacing w:val="2"/>
              </w:rPr>
              <w:t>(</w:t>
            </w:r>
            <w:r>
              <w:rPr>
                <w:rFonts w:ascii="Times New Roman" w:hAnsi="Times New Roman" w:eastAsia="Times New Roman" w:cs="Times New Roman"/>
                <w:spacing w:val="2"/>
              </w:rPr>
              <w:t>℃</w:t>
            </w:r>
            <w:r>
              <w:rPr>
                <w:spacing w:val="2"/>
              </w:rPr>
              <w:t>)</w:t>
            </w:r>
          </w:p>
        </w:tc>
        <w:tc>
          <w:tcPr>
            <w:tcW w:w="2506" w:type="dxa"/>
            <w:vAlign w:val="top"/>
            <w:gridSpan w:val="3"/>
          </w:tcPr>
          <w:p>
            <w:pPr>
              <w:ind w:left="903"/>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248-350</w:t>
            </w:r>
          </w:p>
        </w:tc>
        <w:tc>
          <w:tcPr>
            <w:tcW w:w="2123" w:type="dxa"/>
            <w:vAlign w:val="top"/>
            <w:gridSpan w:val="4"/>
          </w:tcPr>
          <w:p>
            <w:pPr>
              <w:pStyle w:val="TableText"/>
              <w:ind w:right="12"/>
              <w:spacing w:before="64" w:line="221" w:lineRule="auto"/>
              <w:jc w:val="right"/>
              <w:rPr/>
            </w:pPr>
            <w:r>
              <w:rPr>
                <w:spacing w:val="1"/>
              </w:rPr>
              <w:t>最大爆炸压力（</w:t>
            </w:r>
            <w:r>
              <w:rPr>
                <w:rFonts w:ascii="Times New Roman" w:hAnsi="Times New Roman" w:eastAsia="Times New Roman" w:cs="Times New Roman"/>
              </w:rPr>
              <w:t>Mpa</w:t>
            </w:r>
            <w:r>
              <w:rPr>
                <w:spacing w:val="1"/>
              </w:rPr>
              <w:t>）</w:t>
            </w:r>
          </w:p>
        </w:tc>
        <w:tc>
          <w:tcPr>
            <w:tcW w:w="1537" w:type="dxa"/>
            <w:vAlign w:val="top"/>
            <w:gridSpan w:val="3"/>
            <w:tcBorders>
              <w:right w:val="nil"/>
            </w:tcBorders>
          </w:tcPr>
          <w:p>
            <w:pPr>
              <w:ind w:left="707"/>
              <w:spacing w:before="10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r>
      <w:tr>
        <w:trPr>
          <w:trHeight w:val="316" w:hRule="atLeast"/>
        </w:trPr>
        <w:tc>
          <w:tcPr>
            <w:tcW w:w="725" w:type="dxa"/>
            <w:vAlign w:val="top"/>
            <w:vMerge w:val="continue"/>
            <w:tcBorders>
              <w:left w:val="nil"/>
              <w:top w:val="nil"/>
            </w:tcBorders>
          </w:tcPr>
          <w:p>
            <w:pPr>
              <w:rPr>
                <w:rFonts w:ascii="Arial"/>
                <w:sz w:val="21"/>
              </w:rPr>
            </w:pPr>
            <w:r/>
          </w:p>
        </w:tc>
        <w:tc>
          <w:tcPr>
            <w:tcW w:w="1630" w:type="dxa"/>
            <w:vAlign w:val="top"/>
            <w:gridSpan w:val="2"/>
          </w:tcPr>
          <w:p>
            <w:pPr>
              <w:pStyle w:val="TableText"/>
              <w:ind w:left="412"/>
              <w:spacing w:before="64" w:line="223" w:lineRule="auto"/>
              <w:rPr/>
            </w:pPr>
            <w:r>
              <w:rPr>
                <w:spacing w:val="4"/>
              </w:rPr>
              <w:t>危险特性</w:t>
            </w:r>
          </w:p>
        </w:tc>
        <w:tc>
          <w:tcPr>
            <w:tcW w:w="6166" w:type="dxa"/>
            <w:vAlign w:val="top"/>
            <w:gridSpan w:val="10"/>
            <w:tcBorders>
              <w:right w:val="nil"/>
            </w:tcBorders>
          </w:tcPr>
          <w:p>
            <w:pPr>
              <w:pStyle w:val="TableText"/>
              <w:ind w:left="2151"/>
              <w:spacing w:before="64" w:line="223" w:lineRule="auto"/>
              <w:rPr/>
            </w:pPr>
            <w:r>
              <w:rPr>
                <w:spacing w:val="6"/>
              </w:rPr>
              <w:t>遇明火、高热可燃。</w:t>
            </w:r>
          </w:p>
        </w:tc>
      </w:tr>
      <w:tr>
        <w:trPr>
          <w:trHeight w:val="627" w:hRule="atLeast"/>
        </w:trPr>
        <w:tc>
          <w:tcPr>
            <w:tcW w:w="725" w:type="dxa"/>
            <w:vAlign w:val="top"/>
            <w:vMerge w:val="restart"/>
            <w:tcBorders>
              <w:left w:val="nil"/>
              <w:bottom w:val="nil"/>
            </w:tcBorders>
          </w:tcPr>
          <w:p>
            <w:pPr>
              <w:spacing w:line="317" w:lineRule="auto"/>
              <w:rPr>
                <w:rFonts w:ascii="Arial"/>
                <w:sz w:val="21"/>
              </w:rPr>
            </w:pPr>
            <w:r/>
          </w:p>
          <w:p>
            <w:pPr>
              <w:spacing w:line="317" w:lineRule="auto"/>
              <w:rPr>
                <w:rFonts w:ascii="Arial"/>
                <w:sz w:val="21"/>
              </w:rPr>
            </w:pPr>
            <w:r/>
          </w:p>
          <w:p>
            <w:pPr>
              <w:spacing w:line="318" w:lineRule="auto"/>
              <w:rPr>
                <w:rFonts w:ascii="Arial"/>
                <w:sz w:val="21"/>
              </w:rPr>
            </w:pPr>
            <w:r/>
          </w:p>
          <w:p>
            <w:pPr>
              <w:pStyle w:val="TableText"/>
              <w:ind w:left="272" w:right="153" w:hanging="103"/>
              <w:spacing w:before="65" w:line="287" w:lineRule="auto"/>
              <w:rPr/>
            </w:pPr>
            <w:r>
              <w:rPr>
                <w:spacing w:val="-1"/>
              </w:rPr>
              <w:t>危险</w:t>
            </w:r>
            <w:r>
              <w:rPr/>
              <w:t>性</w:t>
            </w:r>
          </w:p>
        </w:tc>
        <w:tc>
          <w:tcPr>
            <w:tcW w:w="1630" w:type="dxa"/>
            <w:vAlign w:val="top"/>
            <w:gridSpan w:val="2"/>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407"/>
              <w:spacing w:before="65" w:line="232" w:lineRule="auto"/>
              <w:rPr/>
            </w:pPr>
            <w:r>
              <w:rPr>
                <w:spacing w:val="5"/>
              </w:rPr>
              <w:t>灭火方法</w:t>
            </w:r>
          </w:p>
        </w:tc>
        <w:tc>
          <w:tcPr>
            <w:tcW w:w="6166" w:type="dxa"/>
            <w:vAlign w:val="top"/>
            <w:gridSpan w:val="10"/>
            <w:tcBorders>
              <w:right w:val="nil"/>
            </w:tcBorders>
          </w:tcPr>
          <w:p>
            <w:pPr>
              <w:pStyle w:val="TableText"/>
              <w:ind w:left="118" w:right="35" w:firstLine="425"/>
              <w:spacing w:before="64" w:line="255" w:lineRule="auto"/>
              <w:rPr/>
            </w:pPr>
            <w:r>
              <w:rPr>
                <w:spacing w:val="7"/>
              </w:rPr>
              <w:t>消防人员须佩戴防毒面具、穿全身油消防服，在</w:t>
            </w:r>
            <w:r>
              <w:rPr>
                <w:spacing w:val="6"/>
              </w:rPr>
              <w:t>上风向灭火。</w:t>
            </w:r>
            <w:r>
              <w:rPr>
                <w:spacing w:val="8"/>
              </w:rPr>
              <w:t>尽可能将容器从火场</w:t>
            </w:r>
          </w:p>
        </w:tc>
      </w:tr>
      <w:tr>
        <w:trPr>
          <w:trHeight w:val="628"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vMerge w:val="continue"/>
            <w:tcBorders>
              <w:top w:val="nil"/>
              <w:bottom w:val="nil"/>
            </w:tcBorders>
          </w:tcPr>
          <w:p>
            <w:pPr>
              <w:rPr>
                <w:rFonts w:ascii="Arial"/>
                <w:sz w:val="21"/>
              </w:rPr>
            </w:pPr>
            <w:r/>
          </w:p>
        </w:tc>
        <w:tc>
          <w:tcPr>
            <w:tcW w:w="6166" w:type="dxa"/>
            <w:vAlign w:val="top"/>
            <w:gridSpan w:val="10"/>
            <w:tcBorders>
              <w:right w:val="nil"/>
            </w:tcBorders>
          </w:tcPr>
          <w:p>
            <w:pPr>
              <w:pStyle w:val="TableText"/>
              <w:ind w:left="125" w:right="108" w:firstLine="413"/>
              <w:spacing w:before="69" w:line="253" w:lineRule="auto"/>
              <w:rPr/>
            </w:pPr>
            <w:r>
              <w:rPr>
                <w:spacing w:val="12"/>
              </w:rPr>
              <w:t>移至空旷处。喷水保持火场容器冷却，直至灭火结束。处在</w:t>
            </w:r>
            <w:r>
              <w:rPr>
                <w:spacing w:val="7"/>
              </w:rPr>
              <w:t>火场中的容器若已变色</w:t>
            </w:r>
          </w:p>
        </w:tc>
      </w:tr>
      <w:tr>
        <w:trPr>
          <w:trHeight w:val="627"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vMerge w:val="continue"/>
            <w:tcBorders>
              <w:top w:val="nil"/>
            </w:tcBorders>
          </w:tcPr>
          <w:p>
            <w:pPr>
              <w:rPr>
                <w:rFonts w:ascii="Arial"/>
                <w:sz w:val="21"/>
              </w:rPr>
            </w:pPr>
            <w:r/>
          </w:p>
        </w:tc>
        <w:tc>
          <w:tcPr>
            <w:tcW w:w="6166" w:type="dxa"/>
            <w:vAlign w:val="top"/>
            <w:gridSpan w:val="10"/>
            <w:tcBorders>
              <w:right w:val="nil"/>
            </w:tcBorders>
          </w:tcPr>
          <w:p>
            <w:pPr>
              <w:pStyle w:val="TableText"/>
              <w:ind w:left="118" w:right="108" w:firstLine="423"/>
              <w:spacing w:before="68" w:line="253" w:lineRule="auto"/>
              <w:rPr/>
            </w:pPr>
            <w:r>
              <w:rPr>
                <w:spacing w:val="12"/>
              </w:rPr>
              <w:t>或从安全泄压装置中产生声音，必须马上撤离。灭火剂：雾</w:t>
            </w:r>
            <w:r>
              <w:rPr>
                <w:spacing w:val="8"/>
              </w:rPr>
              <w:t>状水、泡沫、干粉、二氧化碳、砂土。</w:t>
            </w:r>
          </w:p>
        </w:tc>
      </w:tr>
      <w:tr>
        <w:trPr>
          <w:trHeight w:val="316" w:hRule="atLeast"/>
        </w:trPr>
        <w:tc>
          <w:tcPr>
            <w:tcW w:w="725" w:type="dxa"/>
            <w:vAlign w:val="top"/>
            <w:vMerge w:val="continue"/>
            <w:tcBorders>
              <w:left w:val="nil"/>
              <w:top w:val="nil"/>
              <w:bottom w:val="nil"/>
            </w:tcBorders>
          </w:tcPr>
          <w:p>
            <w:pPr>
              <w:rPr>
                <w:rFonts w:ascii="Arial"/>
                <w:sz w:val="21"/>
              </w:rPr>
            </w:pPr>
            <w:r/>
          </w:p>
        </w:tc>
        <w:tc>
          <w:tcPr>
            <w:tcW w:w="1630" w:type="dxa"/>
            <w:vAlign w:val="top"/>
            <w:gridSpan w:val="2"/>
          </w:tcPr>
          <w:p>
            <w:pPr>
              <w:pStyle w:val="TableText"/>
              <w:ind w:left="516"/>
              <w:spacing w:before="72" w:line="216" w:lineRule="auto"/>
              <w:rPr/>
            </w:pPr>
            <w:r>
              <w:rPr>
                <w:spacing w:val="3"/>
              </w:rPr>
              <w:t>禁忌物</w:t>
            </w:r>
          </w:p>
        </w:tc>
        <w:tc>
          <w:tcPr>
            <w:tcW w:w="3375" w:type="dxa"/>
            <w:vAlign w:val="top"/>
            <w:gridSpan w:val="4"/>
          </w:tcPr>
          <w:p>
            <w:pPr>
              <w:ind w:left="163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98" w:type="dxa"/>
            <w:vAlign w:val="top"/>
            <w:gridSpan w:val="4"/>
          </w:tcPr>
          <w:p>
            <w:pPr>
              <w:pStyle w:val="TableText"/>
              <w:ind w:left="494"/>
              <w:spacing w:before="72" w:line="216" w:lineRule="auto"/>
              <w:rPr/>
            </w:pPr>
            <w:r>
              <w:rPr>
                <w:spacing w:val="5"/>
              </w:rPr>
              <w:t>稳定性</w:t>
            </w:r>
          </w:p>
        </w:tc>
        <w:tc>
          <w:tcPr>
            <w:tcW w:w="1193" w:type="dxa"/>
            <w:vAlign w:val="top"/>
            <w:gridSpan w:val="2"/>
            <w:tcBorders>
              <w:right w:val="nil"/>
            </w:tcBorders>
          </w:tcPr>
          <w:p>
            <w:pPr>
              <w:pStyle w:val="TableText"/>
              <w:ind w:left="399"/>
              <w:spacing w:before="72" w:line="216" w:lineRule="auto"/>
              <w:rPr/>
            </w:pPr>
            <w:r>
              <w:rPr>
                <w:spacing w:val="2"/>
              </w:rPr>
              <w:t>稳定</w:t>
            </w:r>
          </w:p>
        </w:tc>
      </w:tr>
      <w:tr>
        <w:trPr>
          <w:trHeight w:val="316" w:hRule="atLeast"/>
        </w:trPr>
        <w:tc>
          <w:tcPr>
            <w:tcW w:w="725" w:type="dxa"/>
            <w:vAlign w:val="top"/>
            <w:vMerge w:val="continue"/>
            <w:tcBorders>
              <w:left w:val="nil"/>
              <w:top w:val="nil"/>
            </w:tcBorders>
          </w:tcPr>
          <w:p>
            <w:pPr>
              <w:rPr>
                <w:rFonts w:ascii="Arial"/>
                <w:sz w:val="21"/>
              </w:rPr>
            </w:pPr>
            <w:r/>
          </w:p>
        </w:tc>
        <w:tc>
          <w:tcPr>
            <w:tcW w:w="1630" w:type="dxa"/>
            <w:vAlign w:val="top"/>
            <w:gridSpan w:val="2"/>
          </w:tcPr>
          <w:p>
            <w:pPr>
              <w:pStyle w:val="TableText"/>
              <w:ind w:left="407"/>
              <w:spacing w:before="72" w:line="216" w:lineRule="auto"/>
              <w:rPr/>
            </w:pPr>
            <w:r>
              <w:rPr>
                <w:spacing w:val="5"/>
              </w:rPr>
              <w:t>燃烧产物</w:t>
            </w:r>
          </w:p>
        </w:tc>
        <w:tc>
          <w:tcPr>
            <w:tcW w:w="3375" w:type="dxa"/>
            <w:vAlign w:val="top"/>
            <w:gridSpan w:val="4"/>
          </w:tcPr>
          <w:p>
            <w:pPr>
              <w:pStyle w:val="TableText"/>
              <w:ind w:left="755"/>
              <w:spacing w:before="72" w:line="216" w:lineRule="auto"/>
              <w:rPr/>
            </w:pPr>
            <w:r>
              <w:rPr>
                <w:spacing w:val="7"/>
              </w:rPr>
              <w:t>一氧化碳、二氧化碳</w:t>
            </w:r>
          </w:p>
        </w:tc>
        <w:tc>
          <w:tcPr>
            <w:tcW w:w="1598" w:type="dxa"/>
            <w:vAlign w:val="top"/>
            <w:gridSpan w:val="4"/>
          </w:tcPr>
          <w:p>
            <w:pPr>
              <w:pStyle w:val="TableText"/>
              <w:ind w:left="393"/>
              <w:spacing w:before="72" w:line="216" w:lineRule="auto"/>
              <w:rPr/>
            </w:pPr>
            <w:r>
              <w:rPr>
                <w:spacing w:val="4"/>
              </w:rPr>
              <w:t>聚合危害</w:t>
            </w:r>
          </w:p>
        </w:tc>
        <w:tc>
          <w:tcPr>
            <w:tcW w:w="1193" w:type="dxa"/>
            <w:vAlign w:val="top"/>
            <w:gridSpan w:val="2"/>
            <w:tcBorders>
              <w:right w:val="nil"/>
            </w:tcBorders>
          </w:tcPr>
          <w:p>
            <w:pPr>
              <w:pStyle w:val="TableText"/>
              <w:ind w:left="298"/>
              <w:spacing w:before="72" w:line="216" w:lineRule="auto"/>
              <w:rPr/>
            </w:pPr>
            <w:r>
              <w:rPr>
                <w:spacing w:val="3"/>
              </w:rPr>
              <w:t>不聚合</w:t>
            </w:r>
          </w:p>
        </w:tc>
      </w:tr>
      <w:tr>
        <w:trPr>
          <w:trHeight w:val="316" w:hRule="atLeast"/>
        </w:trPr>
        <w:tc>
          <w:tcPr>
            <w:tcW w:w="725" w:type="dxa"/>
            <w:vAlign w:val="top"/>
            <w:vMerge w:val="restart"/>
            <w:tcBorders>
              <w:left w:val="nil"/>
              <w:bottom w:val="nil"/>
            </w:tcBorders>
          </w:tcPr>
          <w:p>
            <w:pPr>
              <w:pStyle w:val="TableText"/>
              <w:ind w:left="167"/>
              <w:spacing w:before="233" w:line="229" w:lineRule="auto"/>
              <w:rPr/>
            </w:pPr>
            <w:r>
              <w:rPr/>
              <w:t>毒性</w:t>
            </w:r>
          </w:p>
          <w:p>
            <w:pPr>
              <w:pStyle w:val="TableText"/>
              <w:ind w:left="167"/>
              <w:spacing w:before="63" w:line="232" w:lineRule="auto"/>
              <w:rPr/>
            </w:pPr>
            <w:r>
              <w:rPr/>
              <w:t>及健</w:t>
            </w:r>
          </w:p>
          <w:p>
            <w:pPr>
              <w:pStyle w:val="TableText"/>
              <w:ind w:left="269" w:right="153" w:hanging="105"/>
              <w:spacing w:before="60" w:line="289" w:lineRule="auto"/>
              <w:rPr/>
            </w:pPr>
            <w:r>
              <w:rPr>
                <w:spacing w:val="2"/>
              </w:rPr>
              <w:t>康危</w:t>
            </w:r>
            <w:r>
              <w:rPr/>
              <w:t>害</w:t>
            </w:r>
          </w:p>
        </w:tc>
        <w:tc>
          <w:tcPr>
            <w:tcW w:w="1630" w:type="dxa"/>
            <w:vAlign w:val="top"/>
            <w:gridSpan w:val="2"/>
          </w:tcPr>
          <w:p>
            <w:pPr>
              <w:pStyle w:val="TableText"/>
              <w:ind w:left="418"/>
              <w:spacing w:before="73" w:line="215" w:lineRule="auto"/>
              <w:rPr/>
            </w:pPr>
            <w:r>
              <w:rPr>
                <w:spacing w:val="3"/>
              </w:rPr>
              <w:t>急性毒性</w:t>
            </w:r>
          </w:p>
        </w:tc>
        <w:tc>
          <w:tcPr>
            <w:tcW w:w="2506" w:type="dxa"/>
            <w:vAlign w:val="top"/>
            <w:gridSpan w:val="3"/>
          </w:tcPr>
          <w:p>
            <w:pPr>
              <w:pStyle w:val="TableText"/>
              <w:ind w:right="11"/>
              <w:spacing w:before="73" w:line="215" w:lineRule="auto"/>
              <w:jc w:val="right"/>
              <w:rPr/>
            </w:pPr>
            <w:r>
              <w:rPr>
                <w:rFonts w:ascii="Times New Roman" w:hAnsi="Times New Roman" w:eastAsia="Times New Roman" w:cs="Times New Roman"/>
                <w:spacing w:val="-2"/>
              </w:rPr>
              <w:t>LDso</w:t>
            </w:r>
            <w:r>
              <w:rPr>
                <w:spacing w:val="-2"/>
              </w:rPr>
              <w:t>（</w:t>
            </w:r>
            <w:r>
              <w:rPr>
                <w:rFonts w:ascii="Times New Roman" w:hAnsi="Times New Roman" w:eastAsia="Times New Roman" w:cs="Times New Roman"/>
                <w:spacing w:val="-2"/>
              </w:rPr>
              <w:t>mg/kg</w:t>
            </w:r>
            <w:r>
              <w:rPr>
                <w:spacing w:val="-2"/>
              </w:rPr>
              <w:t>，大鼠经</w:t>
            </w:r>
            <w:r>
              <w:rPr>
                <w:spacing w:val="-45"/>
              </w:rPr>
              <w:t xml:space="preserve"> </w:t>
            </w:r>
            <w:r>
              <w:rPr>
                <w:spacing w:val="-2"/>
              </w:rPr>
              <w:t>口）</w:t>
            </w:r>
          </w:p>
        </w:tc>
        <w:tc>
          <w:tcPr>
            <w:tcW w:w="869" w:type="dxa"/>
            <w:vAlign w:val="top"/>
          </w:tcPr>
          <w:p>
            <w:pPr>
              <w:pStyle w:val="TableText"/>
              <w:ind w:left="132"/>
              <w:spacing w:before="73" w:line="215" w:lineRule="auto"/>
              <w:rPr/>
            </w:pPr>
            <w:r>
              <w:rPr>
                <w:spacing w:val="4"/>
              </w:rPr>
              <w:t>无资料</w:t>
            </w:r>
          </w:p>
        </w:tc>
        <w:tc>
          <w:tcPr>
            <w:tcW w:w="1598" w:type="dxa"/>
            <w:vAlign w:val="top"/>
            <w:gridSpan w:val="4"/>
          </w:tcPr>
          <w:p>
            <w:pPr>
              <w:pStyle w:val="TableText"/>
              <w:ind w:left="108"/>
              <w:spacing w:before="73" w:line="215" w:lineRule="auto"/>
              <w:rPr/>
            </w:pPr>
            <w:r>
              <w:rPr>
                <w:rFonts w:ascii="Times New Roman" w:hAnsi="Times New Roman" w:eastAsia="Times New Roman" w:cs="Times New Roman"/>
              </w:rPr>
              <w:t>LCso</w:t>
            </w:r>
            <w:r>
              <w:rPr>
                <w:spacing w:val="17"/>
              </w:rPr>
              <w:t>（</w:t>
            </w:r>
            <w:r>
              <w:rPr>
                <w:rFonts w:ascii="Times New Roman" w:hAnsi="Times New Roman" w:eastAsia="Times New Roman" w:cs="Times New Roman"/>
              </w:rPr>
              <w:t>mg</w:t>
            </w:r>
            <w:r>
              <w:rPr>
                <w:rFonts w:ascii="Times New Roman" w:hAnsi="Times New Roman" w:eastAsia="Times New Roman" w:cs="Times New Roman"/>
                <w:spacing w:val="17"/>
              </w:rPr>
              <w:t>/</w:t>
            </w:r>
            <w:r>
              <w:rPr>
                <w:rFonts w:ascii="Times New Roman" w:hAnsi="Times New Roman" w:eastAsia="Times New Roman" w:cs="Times New Roman"/>
              </w:rPr>
              <w:t>kg</w:t>
            </w:r>
            <w:r>
              <w:rPr>
                <w:spacing w:val="17"/>
              </w:rPr>
              <w:t>）</w:t>
            </w:r>
          </w:p>
        </w:tc>
        <w:tc>
          <w:tcPr>
            <w:tcW w:w="1193" w:type="dxa"/>
            <w:vAlign w:val="top"/>
            <w:gridSpan w:val="2"/>
            <w:tcBorders>
              <w:right w:val="nil"/>
            </w:tcBorders>
          </w:tcPr>
          <w:p>
            <w:pPr>
              <w:pStyle w:val="TableText"/>
              <w:ind w:left="296"/>
              <w:spacing w:before="73" w:line="215" w:lineRule="auto"/>
              <w:rPr/>
            </w:pPr>
            <w:r>
              <w:rPr>
                <w:spacing w:val="4"/>
              </w:rPr>
              <w:t>无资料</w:t>
            </w:r>
          </w:p>
        </w:tc>
      </w:tr>
      <w:tr>
        <w:trPr>
          <w:trHeight w:val="1272" w:hRule="atLeast"/>
        </w:trPr>
        <w:tc>
          <w:tcPr>
            <w:tcW w:w="725" w:type="dxa"/>
            <w:vAlign w:val="top"/>
            <w:vMerge w:val="continue"/>
            <w:tcBorders>
              <w:left w:val="nil"/>
              <w:bottom w:val="single" w:color="000000" w:sz="10" w:space="0"/>
              <w:top w:val="nil"/>
            </w:tcBorders>
          </w:tcPr>
          <w:p>
            <w:pPr>
              <w:rPr>
                <w:rFonts w:ascii="Arial"/>
                <w:sz w:val="21"/>
              </w:rPr>
            </w:pPr>
            <w:r/>
          </w:p>
        </w:tc>
        <w:tc>
          <w:tcPr>
            <w:tcW w:w="1630" w:type="dxa"/>
            <w:vAlign w:val="top"/>
            <w:gridSpan w:val="2"/>
            <w:tcBorders>
              <w:bottom w:val="single" w:color="000000" w:sz="10" w:space="0"/>
            </w:tcBorders>
          </w:tcPr>
          <w:p>
            <w:pPr>
              <w:spacing w:line="473" w:lineRule="auto"/>
              <w:rPr>
                <w:rFonts w:ascii="Arial"/>
                <w:sz w:val="21"/>
              </w:rPr>
            </w:pPr>
            <w:r/>
          </w:p>
          <w:p>
            <w:pPr>
              <w:pStyle w:val="TableText"/>
              <w:ind w:left="406"/>
              <w:spacing w:before="65" w:line="231" w:lineRule="auto"/>
              <w:rPr/>
            </w:pPr>
            <w:r>
              <w:rPr>
                <w:spacing w:val="6"/>
              </w:rPr>
              <w:t>健康危害</w:t>
            </w:r>
          </w:p>
        </w:tc>
        <w:tc>
          <w:tcPr>
            <w:tcW w:w="6166" w:type="dxa"/>
            <w:vAlign w:val="top"/>
            <w:gridSpan w:val="10"/>
            <w:tcBorders>
              <w:right w:val="nil"/>
              <w:bottom w:val="single" w:color="000000" w:sz="10" w:space="0"/>
            </w:tcBorders>
          </w:tcPr>
          <w:p>
            <w:pPr>
              <w:pStyle w:val="TableText"/>
              <w:ind w:left="118" w:right="108" w:firstLine="421"/>
              <w:spacing w:before="74" w:line="274" w:lineRule="auto"/>
              <w:jc w:val="both"/>
              <w:rPr/>
            </w:pPr>
            <w:r>
              <w:rPr>
                <w:spacing w:val="12"/>
              </w:rPr>
              <w:t>侵入途径：吸如、食入；急性吸入，可出现乏力、头晕、头</w:t>
            </w:r>
            <w:r>
              <w:rPr>
                <w:spacing w:val="12"/>
              </w:rPr>
              <w:t>痛、恶心，严重者可引起油脂性肺炎。慢接触者，暴露部位可发</w:t>
            </w:r>
            <w:r>
              <w:rPr>
                <w:spacing w:val="12"/>
              </w:rPr>
              <w:t>生油性痤疮和接触性皮炎。可引起神经衰弱综合征，呼吸道和眼</w:t>
            </w:r>
            <w:r>
              <w:rPr>
                <w:spacing w:val="12"/>
              </w:rPr>
              <w:t>刺漱症状及慢性油脂性肺炎。有资料报道，接触石油润滑油类的</w:t>
            </w:r>
          </w:p>
        </w:tc>
      </w:tr>
    </w:tbl>
    <w:p>
      <w:pPr>
        <w:pStyle w:val="BodyText"/>
        <w:spacing w:line="212" w:lineRule="exact"/>
        <w:rPr>
          <w:sz w:val="18"/>
        </w:rPr>
      </w:pPr>
      <w:r/>
    </w:p>
    <w:p>
      <w:pPr>
        <w:spacing w:line="212" w:lineRule="exact"/>
        <w:sectPr>
          <w:footerReference w:type="default" r:id="rId366"/>
          <w:pgSz w:w="11906" w:h="16839"/>
          <w:pgMar w:top="400" w:right="1691" w:bottom="1358" w:left="1691" w:header="0" w:footer="1195" w:gutter="0"/>
        </w:sectPr>
        <w:rPr>
          <w:sz w:val="18"/>
          <w:szCs w:val="18"/>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5"/>
        <w:gridCol w:w="1630"/>
        <w:gridCol w:w="6167"/>
      </w:tblGrid>
      <w:tr>
        <w:trPr>
          <w:trHeight w:val="847" w:hRule="atLeast"/>
        </w:trPr>
        <w:tc>
          <w:tcPr>
            <w:tcW w:w="725" w:type="dxa"/>
            <w:vAlign w:val="top"/>
            <w:tcBorders>
              <w:left w:val="nil"/>
              <w:top w:val="single" w:color="000000" w:sz="10" w:space="0"/>
            </w:tcBorders>
          </w:tcPr>
          <w:p>
            <w:pPr>
              <w:rPr>
                <w:rFonts w:ascii="Arial"/>
                <w:sz w:val="21"/>
              </w:rPr>
            </w:pPr>
            <w:r/>
          </w:p>
        </w:tc>
        <w:tc>
          <w:tcPr>
            <w:tcW w:w="1630" w:type="dxa"/>
            <w:vAlign w:val="top"/>
            <w:tcBorders>
              <w:top w:val="single" w:color="000000" w:sz="10" w:space="0"/>
            </w:tcBorders>
          </w:tcPr>
          <w:p>
            <w:pPr>
              <w:rPr>
                <w:rFonts w:ascii="Arial"/>
                <w:sz w:val="21"/>
              </w:rPr>
            </w:pPr>
            <w:r/>
          </w:p>
        </w:tc>
        <w:tc>
          <w:tcPr>
            <w:tcW w:w="6167" w:type="dxa"/>
            <w:vAlign w:val="top"/>
            <w:tcBorders>
              <w:right w:val="nil"/>
              <w:top w:val="single" w:color="000000" w:sz="10" w:space="0"/>
            </w:tcBorders>
          </w:tcPr>
          <w:p>
            <w:pPr>
              <w:pStyle w:val="TableText"/>
              <w:ind w:left="123"/>
              <w:spacing w:before="36" w:line="231" w:lineRule="auto"/>
              <w:rPr/>
            </w:pPr>
            <w:bookmarkStart w:name="bookmark620" w:id="484"/>
            <w:bookmarkEnd w:id="484"/>
            <w:r>
              <w:rPr>
                <w:spacing w:val="7"/>
              </w:rPr>
              <w:t>工人，有致癌的病例报告。</w:t>
            </w:r>
          </w:p>
        </w:tc>
      </w:tr>
      <w:tr>
        <w:trPr>
          <w:trHeight w:val="1248" w:hRule="atLeast"/>
        </w:trPr>
        <w:tc>
          <w:tcPr>
            <w:tcW w:w="725" w:type="dxa"/>
            <w:vAlign w:val="top"/>
            <w:tcBorders>
              <w:left w:val="nil"/>
            </w:tcBorders>
          </w:tcPr>
          <w:p>
            <w:pPr>
              <w:spacing w:line="453" w:lineRule="auto"/>
              <w:rPr>
                <w:rFonts w:ascii="Arial"/>
                <w:sz w:val="21"/>
              </w:rPr>
            </w:pPr>
            <w:r/>
          </w:p>
          <w:p>
            <w:pPr>
              <w:pStyle w:val="TableText"/>
              <w:ind w:left="176"/>
              <w:spacing w:before="65" w:line="232" w:lineRule="auto"/>
              <w:rPr/>
            </w:pPr>
            <w:r>
              <w:rPr>
                <w:spacing w:val="-4"/>
              </w:rPr>
              <w:t>急救</w:t>
            </w:r>
          </w:p>
        </w:tc>
        <w:tc>
          <w:tcPr>
            <w:tcW w:w="7797" w:type="dxa"/>
            <w:vAlign w:val="top"/>
            <w:gridSpan w:val="2"/>
            <w:tcBorders>
              <w:right w:val="nil"/>
            </w:tcBorders>
          </w:tcPr>
          <w:p>
            <w:pPr>
              <w:pStyle w:val="TableText"/>
              <w:ind w:left="119" w:right="110" w:firstLine="429"/>
              <w:spacing w:before="55" w:line="273" w:lineRule="auto"/>
              <w:rPr/>
            </w:pPr>
            <w:r>
              <w:rPr>
                <w:spacing w:val="10"/>
              </w:rPr>
              <w:t>皮肤接触：立即脱去被污染的衣着，用大量清水冲洗；眼睛接触</w:t>
            </w:r>
            <w:r>
              <w:rPr>
                <w:spacing w:val="9"/>
              </w:rPr>
              <w:t>：立即提起眼</w:t>
            </w:r>
            <w:r>
              <w:rPr>
                <w:spacing w:val="10"/>
              </w:rPr>
              <w:t>睑，用大量流动清水或生理盐水冲洗，就医；吸入：迅速脱离现场至空气新鲜处，</w:t>
            </w:r>
            <w:r>
              <w:rPr>
                <w:spacing w:val="10"/>
              </w:rPr>
              <w:t>保持呼吸道通畅，如呼吸困难，给输氧；如呼吸停止，立即进行人</w:t>
            </w:r>
            <w:r>
              <w:rPr>
                <w:spacing w:val="9"/>
              </w:rPr>
              <w:t>工呼吸，就医：</w:t>
            </w:r>
            <w:r>
              <w:rPr>
                <w:spacing w:val="8"/>
              </w:rPr>
              <w:t>食入：饮足量温水，催吐，就医。</w:t>
            </w:r>
          </w:p>
        </w:tc>
      </w:tr>
      <w:tr>
        <w:trPr>
          <w:trHeight w:val="937" w:hRule="atLeast"/>
        </w:trPr>
        <w:tc>
          <w:tcPr>
            <w:tcW w:w="725" w:type="dxa"/>
            <w:vAlign w:val="top"/>
            <w:vMerge w:val="restart"/>
            <w:tcBorders>
              <w:left w:val="nil"/>
              <w:bottom w:val="nil"/>
            </w:tcBorders>
          </w:tcPr>
          <w:p>
            <w:pPr>
              <w:spacing w:line="310" w:lineRule="auto"/>
              <w:rPr>
                <w:rFonts w:ascii="Arial"/>
                <w:sz w:val="21"/>
              </w:rPr>
            </w:pPr>
            <w:r/>
          </w:p>
          <w:p>
            <w:pPr>
              <w:spacing w:line="310" w:lineRule="auto"/>
              <w:rPr>
                <w:rFonts w:ascii="Arial"/>
                <w:sz w:val="21"/>
              </w:rPr>
            </w:pPr>
            <w:r/>
          </w:p>
          <w:p>
            <w:pPr>
              <w:pStyle w:val="TableText"/>
              <w:ind w:left="178"/>
              <w:spacing w:before="65" w:line="231" w:lineRule="auto"/>
              <w:rPr/>
            </w:pPr>
            <w:r>
              <w:rPr>
                <w:spacing w:val="-5"/>
              </w:rPr>
              <w:t>防护</w:t>
            </w:r>
          </w:p>
        </w:tc>
        <w:tc>
          <w:tcPr>
            <w:tcW w:w="7797" w:type="dxa"/>
            <w:vAlign w:val="top"/>
            <w:gridSpan w:val="2"/>
            <w:tcBorders>
              <w:right w:val="nil"/>
            </w:tcBorders>
          </w:tcPr>
          <w:p>
            <w:pPr>
              <w:pStyle w:val="TableText"/>
              <w:ind w:left="119" w:right="36" w:firstLine="425"/>
              <w:spacing w:before="59" w:line="267" w:lineRule="auto"/>
              <w:jc w:val="both"/>
              <w:rPr/>
            </w:pPr>
            <w:r>
              <w:rPr>
                <w:spacing w:val="10"/>
              </w:rPr>
              <w:t>工程控制：密闭操作，注意通风：呼吸系统防护：空气中浓度超标时，建议佩</w:t>
            </w:r>
            <w:r>
              <w:rPr>
                <w:spacing w:val="6"/>
              </w:rPr>
              <w:t>戴自吸过滤式防毒面具（半面罩）。紧急事态抢救或撤离时，应该佩戴空气呼吸器。</w:t>
            </w:r>
            <w:r>
              <w:rPr>
                <w:spacing w:val="9"/>
              </w:rPr>
              <w:t>眼睛防护：戴化学安全防护眼镜。身体防护：穿防毒</w:t>
            </w:r>
          </w:p>
        </w:tc>
      </w:tr>
      <w:tr>
        <w:trPr>
          <w:trHeight w:val="627" w:hRule="atLeast"/>
        </w:trPr>
        <w:tc>
          <w:tcPr>
            <w:tcW w:w="725" w:type="dxa"/>
            <w:vAlign w:val="top"/>
            <w:vMerge w:val="continue"/>
            <w:tcBorders>
              <w:left w:val="nil"/>
              <w:top w:val="nil"/>
            </w:tcBorders>
          </w:tcPr>
          <w:p>
            <w:pPr>
              <w:rPr>
                <w:rFonts w:ascii="Arial"/>
                <w:sz w:val="21"/>
              </w:rPr>
            </w:pPr>
            <w:r/>
          </w:p>
        </w:tc>
        <w:tc>
          <w:tcPr>
            <w:tcW w:w="7797" w:type="dxa"/>
            <w:vAlign w:val="top"/>
            <w:gridSpan w:val="2"/>
            <w:tcBorders>
              <w:right w:val="nil"/>
            </w:tcBorders>
          </w:tcPr>
          <w:p>
            <w:pPr>
              <w:pStyle w:val="TableText"/>
              <w:ind w:left="119" w:right="110" w:firstLine="420"/>
              <w:spacing w:before="64" w:line="255" w:lineRule="auto"/>
              <w:rPr/>
            </w:pPr>
            <w:r>
              <w:rPr>
                <w:spacing w:val="10"/>
              </w:rPr>
              <w:t>物渗透工作服：手防护：戴橡胶耐油手套：其他：工作现场严禁吸烟。避免长</w:t>
            </w:r>
            <w:r>
              <w:rPr>
                <w:spacing w:val="5"/>
              </w:rPr>
              <w:t>期反复接触。</w:t>
            </w:r>
          </w:p>
        </w:tc>
      </w:tr>
      <w:tr>
        <w:trPr>
          <w:trHeight w:val="938" w:hRule="atLeast"/>
        </w:trPr>
        <w:tc>
          <w:tcPr>
            <w:tcW w:w="725" w:type="dxa"/>
            <w:vAlign w:val="top"/>
            <w:vMerge w:val="restart"/>
            <w:tcBorders>
              <w:left w:val="nil"/>
              <w:bottom w:val="nil"/>
            </w:tcBorders>
          </w:tcPr>
          <w:p>
            <w:pPr>
              <w:spacing w:line="469" w:lineRule="auto"/>
              <w:rPr>
                <w:rFonts w:ascii="Arial"/>
                <w:sz w:val="21"/>
              </w:rPr>
            </w:pPr>
            <w:r/>
          </w:p>
          <w:p>
            <w:pPr>
              <w:pStyle w:val="TableText"/>
              <w:ind w:left="165" w:right="153" w:firstLine="5"/>
              <w:spacing w:before="65" w:line="292" w:lineRule="auto"/>
              <w:rPr/>
            </w:pPr>
            <w:r>
              <w:rPr>
                <w:spacing w:val="-2"/>
              </w:rPr>
              <w:t>泄漏</w:t>
            </w:r>
            <w:r>
              <w:rPr>
                <w:spacing w:val="1"/>
              </w:rPr>
              <w:t>处理</w:t>
            </w:r>
          </w:p>
        </w:tc>
        <w:tc>
          <w:tcPr>
            <w:tcW w:w="7797" w:type="dxa"/>
            <w:vAlign w:val="top"/>
            <w:gridSpan w:val="2"/>
            <w:tcBorders>
              <w:right w:val="nil"/>
            </w:tcBorders>
          </w:tcPr>
          <w:p>
            <w:pPr>
              <w:pStyle w:val="TableText"/>
              <w:ind w:left="119" w:right="110" w:firstLine="420"/>
              <w:spacing w:before="66" w:line="265" w:lineRule="auto"/>
              <w:rPr/>
            </w:pPr>
            <w:r>
              <w:rPr>
                <w:spacing w:val="10"/>
              </w:rPr>
              <w:t>迅速撤离泄淆污染区人员至安全区，并进行隔离，严格限制出入。切断火源。</w:t>
            </w:r>
            <w:r>
              <w:rPr>
                <w:spacing w:val="10"/>
              </w:rPr>
              <w:t>建议应急处理人员戴自给正压式呼吸器，穿防毒服。尽可能切断泄漏源。防止流入</w:t>
            </w:r>
            <w:r>
              <w:rPr>
                <w:spacing w:val="9"/>
              </w:rPr>
              <w:t>下水道、排洪沟等限制性空间。小量泄漏：用砂土或其</w:t>
            </w:r>
          </w:p>
        </w:tc>
      </w:tr>
      <w:tr>
        <w:trPr>
          <w:trHeight w:val="627" w:hRule="atLeast"/>
        </w:trPr>
        <w:tc>
          <w:tcPr>
            <w:tcW w:w="725" w:type="dxa"/>
            <w:vAlign w:val="top"/>
            <w:vMerge w:val="continue"/>
            <w:tcBorders>
              <w:left w:val="nil"/>
              <w:top w:val="nil"/>
            </w:tcBorders>
          </w:tcPr>
          <w:p>
            <w:pPr>
              <w:rPr>
                <w:rFonts w:ascii="Arial"/>
                <w:sz w:val="21"/>
              </w:rPr>
            </w:pPr>
            <w:r/>
          </w:p>
        </w:tc>
        <w:tc>
          <w:tcPr>
            <w:tcW w:w="7797" w:type="dxa"/>
            <w:vAlign w:val="top"/>
            <w:gridSpan w:val="2"/>
            <w:tcBorders>
              <w:right w:val="nil"/>
            </w:tcBorders>
          </w:tcPr>
          <w:p>
            <w:pPr>
              <w:pStyle w:val="TableText"/>
              <w:ind w:left="121" w:right="110" w:firstLine="433"/>
              <w:spacing w:before="68" w:line="253" w:lineRule="auto"/>
              <w:rPr/>
            </w:pPr>
            <w:r>
              <w:rPr>
                <w:spacing w:val="10"/>
              </w:rPr>
              <w:t>它不燃材料吸附或吸收。大量泄漏：构筑围堤或挖</w:t>
            </w:r>
            <w:r>
              <w:rPr>
                <w:spacing w:val="9"/>
              </w:rPr>
              <w:t>坑收容。用泵转移至槽车或</w:t>
            </w:r>
            <w:r>
              <w:rPr>
                <w:spacing w:val="6"/>
              </w:rPr>
              <w:t>专用收集器内，</w:t>
            </w:r>
            <w:r>
              <w:rPr>
                <w:spacing w:val="-46"/>
              </w:rPr>
              <w:t xml:space="preserve"> </w:t>
            </w:r>
            <w:r>
              <w:rPr>
                <w:spacing w:val="6"/>
              </w:rPr>
              <w:t>回收或运至废物处理场所处置。</w:t>
            </w:r>
          </w:p>
        </w:tc>
      </w:tr>
      <w:tr>
        <w:trPr>
          <w:trHeight w:val="1248" w:hRule="atLeast"/>
        </w:trPr>
        <w:tc>
          <w:tcPr>
            <w:tcW w:w="725" w:type="dxa"/>
            <w:vAlign w:val="top"/>
            <w:vMerge w:val="restart"/>
            <w:tcBorders>
              <w:left w:val="nil"/>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65"/>
              <w:spacing w:before="65" w:line="232" w:lineRule="auto"/>
              <w:rPr/>
            </w:pPr>
            <w:r>
              <w:rPr>
                <w:spacing w:val="1"/>
              </w:rPr>
              <w:t>储运</w:t>
            </w:r>
          </w:p>
        </w:tc>
        <w:tc>
          <w:tcPr>
            <w:tcW w:w="7797" w:type="dxa"/>
            <w:vAlign w:val="top"/>
            <w:gridSpan w:val="2"/>
            <w:tcBorders>
              <w:right w:val="nil"/>
            </w:tcBorders>
          </w:tcPr>
          <w:p>
            <w:pPr>
              <w:pStyle w:val="TableText"/>
              <w:ind w:left="118" w:right="36" w:firstLine="421"/>
              <w:spacing w:before="67" w:line="270" w:lineRule="auto"/>
              <w:rPr/>
            </w:pPr>
            <w:r>
              <w:rPr>
                <w:spacing w:val="6"/>
              </w:rPr>
              <w:t>储存于阴凉、通风的库房。远离火种、热源。应与氧化剂分开存放，切忌混储。</w:t>
            </w:r>
            <w:r>
              <w:rPr>
                <w:spacing w:val="10"/>
              </w:rPr>
              <w:t>配备相应品油种和数量的消防器材。储区油应备有泄漏应急处理设备和合适的收容</w:t>
            </w:r>
            <w:r>
              <w:rPr>
                <w:spacing w:val="11"/>
              </w:rPr>
              <w:t>材料。运输前应先检查包装容器是否完整、密封，运输过</w:t>
            </w:r>
            <w:r>
              <w:rPr>
                <w:spacing w:val="10"/>
              </w:rPr>
              <w:t>程中要确保容器不泄漏、</w:t>
            </w:r>
            <w:r>
              <w:rPr>
                <w:spacing w:val="9"/>
              </w:rPr>
              <w:t>不倒塌、不坠落、不损坏。严禁与氧化剂、食用化学品等混装混运。运输车船</w:t>
            </w:r>
          </w:p>
        </w:tc>
      </w:tr>
      <w:tr>
        <w:trPr>
          <w:trHeight w:val="651" w:hRule="atLeast"/>
        </w:trPr>
        <w:tc>
          <w:tcPr>
            <w:tcW w:w="725" w:type="dxa"/>
            <w:vAlign w:val="top"/>
            <w:vMerge w:val="continue"/>
            <w:tcBorders>
              <w:left w:val="nil"/>
              <w:bottom w:val="single" w:color="000000" w:sz="10" w:space="0"/>
              <w:top w:val="nil"/>
            </w:tcBorders>
          </w:tcPr>
          <w:p>
            <w:pPr>
              <w:rPr>
                <w:rFonts w:ascii="Arial"/>
                <w:sz w:val="21"/>
              </w:rPr>
            </w:pPr>
            <w:r/>
          </w:p>
        </w:tc>
        <w:tc>
          <w:tcPr>
            <w:tcW w:w="7797" w:type="dxa"/>
            <w:vAlign w:val="top"/>
            <w:gridSpan w:val="2"/>
            <w:tcBorders>
              <w:right w:val="nil"/>
              <w:bottom w:val="single" w:color="000000" w:sz="10" w:space="0"/>
            </w:tcBorders>
          </w:tcPr>
          <w:p>
            <w:pPr>
              <w:pStyle w:val="TableText"/>
              <w:ind w:left="119" w:right="42" w:firstLine="423"/>
              <w:spacing w:before="73" w:line="262" w:lineRule="auto"/>
              <w:rPr/>
            </w:pPr>
            <w:r>
              <w:rPr>
                <w:spacing w:val="6"/>
              </w:rPr>
              <w:t>必须彻底清洗、消毒，否则不得装运其它物品。船运时，配装位置应远离卧</w:t>
            </w:r>
            <w:r>
              <w:rPr>
                <w:spacing w:val="5"/>
              </w:rPr>
              <w:t>室、</w:t>
            </w:r>
            <w:r>
              <w:rPr>
                <w:spacing w:val="8"/>
              </w:rPr>
              <w:t>厨房，并与机舱、</w:t>
            </w:r>
            <w:r>
              <w:rPr>
                <w:spacing w:val="-55"/>
              </w:rPr>
              <w:t xml:space="preserve"> </w:t>
            </w:r>
            <w:r>
              <w:rPr>
                <w:spacing w:val="8"/>
              </w:rPr>
              <w:t>电源、火源等部位隔离。公路运输时要按</w:t>
            </w:r>
            <w:r>
              <w:rPr>
                <w:spacing w:val="7"/>
              </w:rPr>
              <w:t>规定路线行驶。</w:t>
            </w:r>
          </w:p>
        </w:tc>
      </w:tr>
    </w:tbl>
    <w:p>
      <w:pPr>
        <w:pStyle w:val="BodyText"/>
        <w:spacing w:line="250" w:lineRule="auto"/>
        <w:rPr/>
      </w:pPr>
      <w:r/>
    </w:p>
    <w:p>
      <w:pPr>
        <w:pStyle w:val="BodyText"/>
        <w:spacing w:line="251" w:lineRule="auto"/>
        <w:rPr/>
      </w:pPr>
      <w:r/>
    </w:p>
    <w:p>
      <w:pPr>
        <w:ind w:left="2492"/>
        <w:spacing w:before="78"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8.4-2  </w:t>
      </w:r>
      <w:r>
        <w:rPr>
          <w:rFonts w:ascii="FangSong" w:hAnsi="FangSong" w:eastAsia="FangSong" w:cs="FangSong"/>
          <w:sz w:val="24"/>
          <w:szCs w:val="24"/>
          <w:b/>
          <w:bCs/>
          <w:spacing w:val="-3"/>
        </w:rPr>
        <w:t>柴油理化性质和危险特性</w:t>
      </w:r>
    </w:p>
    <w:p>
      <w:pPr>
        <w:spacing w:line="68" w:lineRule="exact"/>
        <w:rPr/>
      </w:pPr>
      <w:r/>
    </w:p>
    <w:tbl>
      <w:tblPr>
        <w:tblStyle w:val="TableNormal"/>
        <w:tblW w:w="85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7"/>
        <w:gridCol w:w="2221"/>
        <w:gridCol w:w="542"/>
        <w:gridCol w:w="1835"/>
        <w:gridCol w:w="726"/>
        <w:gridCol w:w="2300"/>
      </w:tblGrid>
      <w:tr>
        <w:trPr>
          <w:trHeight w:val="320" w:hRule="atLeast"/>
        </w:trPr>
        <w:tc>
          <w:tcPr>
            <w:tcW w:w="897" w:type="dxa"/>
            <w:vAlign w:val="top"/>
            <w:vMerge w:val="restart"/>
            <w:tcBorders>
              <w:left w:val="nil"/>
              <w:top w:val="single" w:color="000000" w:sz="10" w:space="0"/>
              <w:bottom w:val="nil"/>
            </w:tcBorders>
          </w:tcPr>
          <w:p>
            <w:pPr>
              <w:spacing w:line="312" w:lineRule="auto"/>
              <w:rPr>
                <w:rFonts w:ascii="Arial"/>
                <w:sz w:val="21"/>
              </w:rPr>
            </w:pPr>
            <w:r/>
          </w:p>
          <w:p>
            <w:pPr>
              <w:pStyle w:val="TableText"/>
              <w:ind w:left="250"/>
              <w:spacing w:before="65" w:line="231" w:lineRule="auto"/>
              <w:rPr/>
            </w:pPr>
            <w:r>
              <w:rPr>
                <w:spacing w:val="2"/>
              </w:rPr>
              <w:t>标识</w:t>
            </w:r>
          </w:p>
        </w:tc>
        <w:tc>
          <w:tcPr>
            <w:tcW w:w="2763" w:type="dxa"/>
            <w:vAlign w:val="top"/>
            <w:gridSpan w:val="2"/>
            <w:tcBorders>
              <w:top w:val="single" w:color="000000" w:sz="10" w:space="0"/>
            </w:tcBorders>
          </w:tcPr>
          <w:p>
            <w:pPr>
              <w:pStyle w:val="TableText"/>
              <w:ind w:left="790"/>
              <w:spacing w:before="54" w:line="229" w:lineRule="auto"/>
              <w:rPr/>
            </w:pPr>
            <w:r>
              <w:rPr>
                <w:spacing w:val="2"/>
              </w:rPr>
              <w:t>中文名：柴油</w:t>
            </w:r>
          </w:p>
        </w:tc>
        <w:tc>
          <w:tcPr>
            <w:tcW w:w="4861" w:type="dxa"/>
            <w:vAlign w:val="top"/>
            <w:gridSpan w:val="3"/>
            <w:tcBorders>
              <w:right w:val="nil"/>
              <w:top w:val="single" w:color="000000" w:sz="10" w:space="0"/>
            </w:tcBorders>
          </w:tcPr>
          <w:p>
            <w:pPr>
              <w:pStyle w:val="TableText"/>
              <w:ind w:left="1055"/>
              <w:spacing w:before="55" w:line="231" w:lineRule="auto"/>
              <w:rPr>
                <w:rFonts w:ascii="Times New Roman" w:hAnsi="Times New Roman" w:eastAsia="Times New Roman" w:cs="Times New Roman"/>
              </w:rPr>
            </w:pPr>
            <w:r>
              <w:rPr>
                <w:spacing w:val="16"/>
              </w:rPr>
              <w:t>英文名：</w:t>
            </w:r>
            <w:r>
              <w:rPr>
                <w:rFonts w:ascii="Times New Roman" w:hAnsi="Times New Roman" w:eastAsia="Times New Roman" w:cs="Times New Roman"/>
              </w:rPr>
              <w:t>Diesel</w:t>
            </w:r>
            <w:r>
              <w:rPr>
                <w:rFonts w:ascii="Times New Roman" w:hAnsi="Times New Roman" w:eastAsia="Times New Roman" w:cs="Times New Roman"/>
                <w:spacing w:val="16"/>
              </w:rPr>
              <w:t xml:space="preserve"> </w:t>
            </w:r>
            <w:r>
              <w:rPr>
                <w:rFonts w:ascii="Times New Roman" w:hAnsi="Times New Roman" w:eastAsia="Times New Roman" w:cs="Times New Roman"/>
              </w:rPr>
              <w:t>oil</w:t>
            </w:r>
            <w:r>
              <w:rPr>
                <w:spacing w:val="16"/>
              </w:rPr>
              <w:t>；</w:t>
            </w:r>
            <w:r>
              <w:rPr>
                <w:rFonts w:ascii="Times New Roman" w:hAnsi="Times New Roman" w:eastAsia="Times New Roman" w:cs="Times New Roman"/>
              </w:rPr>
              <w:t>Diesel</w:t>
            </w:r>
            <w:r>
              <w:rPr>
                <w:rFonts w:ascii="Times New Roman" w:hAnsi="Times New Roman" w:eastAsia="Times New Roman" w:cs="Times New Roman"/>
                <w:spacing w:val="16"/>
              </w:rPr>
              <w:t xml:space="preserve"> </w:t>
            </w:r>
            <w:r>
              <w:rPr>
                <w:rFonts w:ascii="Times New Roman" w:hAnsi="Times New Roman" w:eastAsia="Times New Roman" w:cs="Times New Roman"/>
              </w:rPr>
              <w:t>fuel</w:t>
            </w:r>
          </w:p>
        </w:tc>
      </w:tr>
      <w:tr>
        <w:trPr>
          <w:trHeight w:val="315" w:hRule="atLeast"/>
        </w:trPr>
        <w:tc>
          <w:tcPr>
            <w:tcW w:w="897" w:type="dxa"/>
            <w:vAlign w:val="top"/>
            <w:vMerge w:val="continue"/>
            <w:tcBorders>
              <w:left w:val="nil"/>
              <w:top w:val="nil"/>
              <w:bottom w:val="nil"/>
            </w:tcBorders>
          </w:tcPr>
          <w:p>
            <w:pPr>
              <w:rPr>
                <w:rFonts w:ascii="Arial"/>
                <w:sz w:val="21"/>
              </w:rPr>
            </w:pPr>
            <w:r/>
          </w:p>
        </w:tc>
        <w:tc>
          <w:tcPr>
            <w:tcW w:w="2763" w:type="dxa"/>
            <w:vAlign w:val="top"/>
            <w:gridSpan w:val="2"/>
          </w:tcPr>
          <w:p>
            <w:pPr>
              <w:pStyle w:val="TableText"/>
              <w:ind w:left="974"/>
              <w:spacing w:before="54" w:line="231" w:lineRule="auto"/>
              <w:rPr/>
            </w:pPr>
            <w:r>
              <w:rPr>
                <w:spacing w:val="3"/>
              </w:rPr>
              <w:t>分子式：</w:t>
            </w:r>
          </w:p>
        </w:tc>
        <w:tc>
          <w:tcPr>
            <w:tcW w:w="2561" w:type="dxa"/>
            <w:vAlign w:val="top"/>
            <w:gridSpan w:val="2"/>
          </w:tcPr>
          <w:p>
            <w:pPr>
              <w:pStyle w:val="TableText"/>
              <w:ind w:left="875"/>
              <w:spacing w:before="54" w:line="231" w:lineRule="auto"/>
              <w:rPr/>
            </w:pPr>
            <w:r>
              <w:rPr>
                <w:spacing w:val="3"/>
              </w:rPr>
              <w:t>分子量：</w:t>
            </w:r>
          </w:p>
        </w:tc>
        <w:tc>
          <w:tcPr>
            <w:tcW w:w="2300" w:type="dxa"/>
            <w:vAlign w:val="top"/>
            <w:tcBorders>
              <w:right w:val="nil"/>
            </w:tcBorders>
          </w:tcPr>
          <w:p>
            <w:pPr>
              <w:pStyle w:val="TableText"/>
              <w:ind w:left="715"/>
              <w:spacing w:before="54" w:line="231" w:lineRule="auto"/>
              <w:rPr/>
            </w:pPr>
            <w:r>
              <w:rPr>
                <w:rFonts w:ascii="Times New Roman" w:hAnsi="Times New Roman" w:eastAsia="Times New Roman" w:cs="Times New Roman"/>
              </w:rPr>
              <w:t>CAS</w:t>
            </w:r>
            <w:r>
              <w:rPr>
                <w:rFonts w:ascii="Times New Roman" w:hAnsi="Times New Roman" w:eastAsia="Times New Roman" w:cs="Times New Roman"/>
                <w:spacing w:val="23"/>
              </w:rPr>
              <w:t xml:space="preserve"> </w:t>
            </w:r>
            <w:r>
              <w:rPr/>
              <w:t>号：</w:t>
            </w:r>
          </w:p>
        </w:tc>
      </w:tr>
      <w:tr>
        <w:trPr>
          <w:trHeight w:val="315" w:hRule="atLeast"/>
        </w:trPr>
        <w:tc>
          <w:tcPr>
            <w:tcW w:w="897" w:type="dxa"/>
            <w:vAlign w:val="top"/>
            <w:vMerge w:val="continue"/>
            <w:tcBorders>
              <w:left w:val="nil"/>
              <w:top w:val="nil"/>
            </w:tcBorders>
          </w:tcPr>
          <w:p>
            <w:pPr>
              <w:rPr>
                <w:rFonts w:ascii="Arial"/>
                <w:sz w:val="21"/>
              </w:rPr>
            </w:pPr>
            <w:r/>
          </w:p>
        </w:tc>
        <w:tc>
          <w:tcPr>
            <w:tcW w:w="7624" w:type="dxa"/>
            <w:vAlign w:val="top"/>
            <w:gridSpan w:val="5"/>
            <w:tcBorders>
              <w:right w:val="nil"/>
            </w:tcBorders>
          </w:tcPr>
          <w:p>
            <w:pPr>
              <w:pStyle w:val="TableText"/>
              <w:ind w:left="3408"/>
              <w:spacing w:before="55" w:line="230" w:lineRule="auto"/>
              <w:rPr/>
            </w:pPr>
            <w:r>
              <w:rPr>
                <w:spacing w:val="2"/>
              </w:rPr>
              <w:t>危规号：</w:t>
            </w:r>
          </w:p>
        </w:tc>
      </w:tr>
      <w:tr>
        <w:trPr>
          <w:trHeight w:val="316" w:hRule="atLeast"/>
        </w:trPr>
        <w:tc>
          <w:tcPr>
            <w:tcW w:w="897" w:type="dxa"/>
            <w:vAlign w:val="top"/>
            <w:vMerge w:val="restart"/>
            <w:tcBorders>
              <w:left w:val="nil"/>
              <w:bottom w:val="nil"/>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61" w:right="133" w:hanging="214"/>
              <w:spacing w:before="65" w:line="290" w:lineRule="auto"/>
              <w:rPr/>
            </w:pPr>
            <w:r>
              <w:rPr>
                <w:spacing w:val="4"/>
              </w:rPr>
              <w:t>理化性</w:t>
            </w:r>
            <w:r>
              <w:rPr/>
              <w:t>质</w:t>
            </w:r>
          </w:p>
        </w:tc>
        <w:tc>
          <w:tcPr>
            <w:tcW w:w="7624" w:type="dxa"/>
            <w:vAlign w:val="top"/>
            <w:gridSpan w:val="5"/>
            <w:tcBorders>
              <w:right w:val="nil"/>
            </w:tcBorders>
          </w:tcPr>
          <w:p>
            <w:pPr>
              <w:pStyle w:val="TableText"/>
              <w:ind w:left="2460"/>
              <w:spacing w:before="57" w:line="229" w:lineRule="auto"/>
              <w:rPr/>
            </w:pPr>
            <w:r>
              <w:rPr>
                <w:spacing w:val="7"/>
              </w:rPr>
              <w:t>性状：稍有粘性的棕色液体。</w:t>
            </w:r>
          </w:p>
        </w:tc>
      </w:tr>
      <w:tr>
        <w:trPr>
          <w:trHeight w:val="315" w:hRule="atLeast"/>
        </w:trPr>
        <w:tc>
          <w:tcPr>
            <w:tcW w:w="897" w:type="dxa"/>
            <w:vAlign w:val="top"/>
            <w:vMerge w:val="continue"/>
            <w:tcBorders>
              <w:left w:val="nil"/>
              <w:top w:val="nil"/>
              <w:bottom w:val="nil"/>
            </w:tcBorders>
          </w:tcPr>
          <w:p>
            <w:pPr>
              <w:rPr>
                <w:rFonts w:ascii="Arial"/>
                <w:sz w:val="21"/>
              </w:rPr>
            </w:pPr>
            <w:r/>
          </w:p>
        </w:tc>
        <w:tc>
          <w:tcPr>
            <w:tcW w:w="2221" w:type="dxa"/>
            <w:vAlign w:val="top"/>
          </w:tcPr>
          <w:p>
            <w:pPr>
              <w:pStyle w:val="TableText"/>
              <w:ind w:left="270"/>
              <w:spacing w:before="58" w:line="228" w:lineRule="auto"/>
              <w:rPr>
                <w:rFonts w:ascii="Times New Roman" w:hAnsi="Times New Roman" w:eastAsia="Times New Roman" w:cs="Times New Roman"/>
              </w:rPr>
            </w:pPr>
            <w:r>
              <w:rPr>
                <w:spacing w:val="-6"/>
              </w:rPr>
              <w:t>熔点</w:t>
            </w:r>
            <w:r>
              <w:rPr>
                <w:spacing w:val="23"/>
              </w:rPr>
              <w:t xml:space="preserve"> </w:t>
            </w:r>
            <w:r>
              <w:rPr>
                <w:spacing w:val="-6"/>
              </w:rPr>
              <w:t>(</w:t>
            </w:r>
            <w:r>
              <w:rPr>
                <w:rFonts w:ascii="Times New Roman" w:hAnsi="Times New Roman" w:eastAsia="Times New Roman" w:cs="Times New Roman"/>
                <w:spacing w:val="-6"/>
              </w:rPr>
              <w:t>℃</w:t>
            </w:r>
            <w:r>
              <w:rPr>
                <w:spacing w:val="-6"/>
              </w:rPr>
              <w:t>)</w:t>
            </w:r>
            <w:r>
              <w:rPr>
                <w:spacing w:val="48"/>
              </w:rPr>
              <w:t xml:space="preserve"> </w:t>
            </w:r>
            <w:r>
              <w:rPr>
                <w:spacing w:val="-6"/>
              </w:rPr>
              <w:t>：</w:t>
            </w:r>
            <w:r>
              <w:rPr>
                <w:spacing w:val="20"/>
              </w:rPr>
              <w:t xml:space="preserve"> </w:t>
            </w:r>
            <w:r>
              <w:rPr>
                <w:rFonts w:ascii="Times New Roman" w:hAnsi="Times New Roman" w:eastAsia="Times New Roman" w:cs="Times New Roman"/>
                <w:spacing w:val="-6"/>
              </w:rPr>
              <w:t>-</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6"/>
              </w:rPr>
              <w:t>18</w:t>
            </w:r>
          </w:p>
        </w:tc>
        <w:tc>
          <w:tcPr>
            <w:tcW w:w="2377" w:type="dxa"/>
            <w:vAlign w:val="top"/>
            <w:gridSpan w:val="2"/>
          </w:tcPr>
          <w:p>
            <w:pPr>
              <w:pStyle w:val="TableText"/>
              <w:ind w:left="222"/>
              <w:spacing w:before="58" w:line="228" w:lineRule="auto"/>
              <w:rPr>
                <w:rFonts w:ascii="Times New Roman" w:hAnsi="Times New Roman" w:eastAsia="Times New Roman" w:cs="Times New Roman"/>
              </w:rPr>
            </w:pPr>
            <w:r>
              <w:rPr/>
              <w:t>沸点</w:t>
            </w:r>
            <w:r>
              <w:rPr>
                <w:spacing w:val="25"/>
              </w:rPr>
              <w:t xml:space="preserve"> </w:t>
            </w:r>
            <w:r>
              <w:rPr/>
              <w:t>(</w:t>
            </w:r>
            <w:r>
              <w:rPr>
                <w:rFonts w:ascii="Times New Roman" w:hAnsi="Times New Roman" w:eastAsia="Times New Roman" w:cs="Times New Roman"/>
              </w:rPr>
              <w:t>℃</w:t>
            </w:r>
            <w:r>
              <w:rPr/>
              <w:t>)</w:t>
            </w:r>
            <w:r>
              <w:rPr>
                <w:spacing w:val="48"/>
              </w:rPr>
              <w:t xml:space="preserve"> </w:t>
            </w:r>
            <w:r>
              <w:rPr/>
              <w:t>：</w:t>
            </w:r>
            <w:r>
              <w:rPr>
                <w:rFonts w:ascii="Times New Roman" w:hAnsi="Times New Roman" w:eastAsia="Times New Roman" w:cs="Times New Roman"/>
              </w:rPr>
              <w:t>282-338</w:t>
            </w:r>
          </w:p>
        </w:tc>
        <w:tc>
          <w:tcPr>
            <w:tcW w:w="3026" w:type="dxa"/>
            <w:vAlign w:val="top"/>
            <w:gridSpan w:val="2"/>
            <w:tcBorders>
              <w:right w:val="nil"/>
            </w:tcBorders>
          </w:tcPr>
          <w:p>
            <w:pPr>
              <w:pStyle w:val="TableText"/>
              <w:ind w:left="225"/>
              <w:spacing w:before="20" w:line="281" w:lineRule="exact"/>
              <w:rPr>
                <w:rFonts w:ascii="Times New Roman" w:hAnsi="Times New Roman" w:eastAsia="Times New Roman" w:cs="Times New Roman"/>
              </w:rPr>
            </w:pPr>
            <w:r>
              <w:rPr>
                <w:spacing w:val="4"/>
                <w:position w:val="1"/>
              </w:rPr>
              <w:t>相对密度（水</w:t>
            </w:r>
            <w:r>
              <w:rPr>
                <w:rFonts w:ascii="Times New Roman" w:hAnsi="Times New Roman" w:eastAsia="Times New Roman" w:cs="Times New Roman"/>
                <w:spacing w:val="4"/>
                <w:position w:val="1"/>
              </w:rPr>
              <w:t>=1</w:t>
            </w:r>
            <w:r>
              <w:rPr>
                <w:spacing w:val="21"/>
                <w:position w:val="1"/>
              </w:rPr>
              <w:t>）：</w:t>
            </w:r>
            <w:r>
              <w:rPr>
                <w:rFonts w:ascii="Times New Roman" w:hAnsi="Times New Roman" w:eastAsia="Times New Roman" w:cs="Times New Roman"/>
                <w:spacing w:val="4"/>
                <w:position w:val="1"/>
              </w:rPr>
              <w:t>0.87-0.9</w:t>
            </w:r>
          </w:p>
        </w:tc>
      </w:tr>
      <w:tr>
        <w:trPr>
          <w:trHeight w:val="315" w:hRule="atLeast"/>
        </w:trPr>
        <w:tc>
          <w:tcPr>
            <w:tcW w:w="897" w:type="dxa"/>
            <w:vAlign w:val="top"/>
            <w:vMerge w:val="continue"/>
            <w:tcBorders>
              <w:left w:val="nil"/>
              <w:top w:val="nil"/>
              <w:bottom w:val="nil"/>
            </w:tcBorders>
          </w:tcPr>
          <w:p>
            <w:pPr>
              <w:rPr>
                <w:rFonts w:ascii="Arial"/>
                <w:sz w:val="21"/>
              </w:rPr>
            </w:pPr>
            <w:r/>
          </w:p>
        </w:tc>
        <w:tc>
          <w:tcPr>
            <w:tcW w:w="2221" w:type="dxa"/>
            <w:vAlign w:val="top"/>
          </w:tcPr>
          <w:p>
            <w:pPr>
              <w:pStyle w:val="TableText"/>
              <w:ind w:left="290"/>
              <w:spacing w:before="60" w:line="226" w:lineRule="auto"/>
              <w:rPr/>
            </w:pPr>
            <w:r>
              <w:rPr/>
              <w:t>临界温度</w:t>
            </w:r>
            <w:r>
              <w:rPr>
                <w:spacing w:val="23"/>
              </w:rPr>
              <w:t xml:space="preserve"> </w:t>
            </w:r>
            <w:r>
              <w:rPr/>
              <w:t>(</w:t>
            </w:r>
            <w:r>
              <w:rPr>
                <w:rFonts w:ascii="Times New Roman" w:hAnsi="Times New Roman" w:eastAsia="Times New Roman" w:cs="Times New Roman"/>
              </w:rPr>
              <w:t>℃</w:t>
            </w:r>
            <w:r>
              <w:rPr/>
              <w:t>)</w:t>
            </w:r>
            <w:r>
              <w:rPr>
                <w:spacing w:val="48"/>
              </w:rPr>
              <w:t xml:space="preserve"> </w:t>
            </w:r>
            <w:r>
              <w:rPr/>
              <w:t>:</w:t>
            </w:r>
          </w:p>
        </w:tc>
        <w:tc>
          <w:tcPr>
            <w:tcW w:w="2377" w:type="dxa"/>
            <w:vAlign w:val="top"/>
            <w:gridSpan w:val="2"/>
          </w:tcPr>
          <w:p>
            <w:pPr>
              <w:pStyle w:val="TableText"/>
              <w:ind w:left="277"/>
              <w:spacing w:before="60" w:line="226" w:lineRule="auto"/>
              <w:rPr/>
            </w:pPr>
            <w:r>
              <w:rPr>
                <w:spacing w:val="8"/>
              </w:rPr>
              <w:t>临界压力（</w:t>
            </w:r>
            <w:r>
              <w:rPr>
                <w:rFonts w:ascii="Times New Roman" w:hAnsi="Times New Roman" w:eastAsia="Times New Roman" w:cs="Times New Roman"/>
              </w:rPr>
              <w:t>MPa</w:t>
            </w:r>
            <w:r>
              <w:rPr/>
              <w:t>）：</w:t>
            </w:r>
          </w:p>
        </w:tc>
        <w:tc>
          <w:tcPr>
            <w:tcW w:w="3026" w:type="dxa"/>
            <w:vAlign w:val="top"/>
            <w:gridSpan w:val="2"/>
            <w:tcBorders>
              <w:right w:val="nil"/>
            </w:tcBorders>
          </w:tcPr>
          <w:p>
            <w:pPr>
              <w:pStyle w:val="TableText"/>
              <w:ind w:left="285"/>
              <w:spacing w:before="22" w:line="281" w:lineRule="exact"/>
              <w:rPr>
                <w:rFonts w:ascii="Times New Roman" w:hAnsi="Times New Roman" w:eastAsia="Times New Roman" w:cs="Times New Roman"/>
              </w:rPr>
            </w:pPr>
            <w:r>
              <w:rPr>
                <w:spacing w:val="5"/>
                <w:position w:val="1"/>
              </w:rPr>
              <w:t>相对密度（空气</w:t>
            </w:r>
            <w:r>
              <w:rPr>
                <w:rFonts w:ascii="Times New Roman" w:hAnsi="Times New Roman" w:eastAsia="Times New Roman" w:cs="Times New Roman"/>
                <w:spacing w:val="5"/>
                <w:position w:val="1"/>
              </w:rPr>
              <w:t>=1</w:t>
            </w:r>
            <w:r>
              <w:rPr>
                <w:spacing w:val="19"/>
                <w:position w:val="1"/>
              </w:rPr>
              <w:t>）：</w:t>
            </w:r>
            <w:r>
              <w:rPr>
                <w:rFonts w:ascii="Times New Roman" w:hAnsi="Times New Roman" w:eastAsia="Times New Roman" w:cs="Times New Roman"/>
                <w:spacing w:val="5"/>
                <w:position w:val="1"/>
              </w:rPr>
              <w:t>3.38</w:t>
            </w:r>
          </w:p>
        </w:tc>
      </w:tr>
      <w:tr>
        <w:trPr>
          <w:trHeight w:val="917" w:hRule="atLeast"/>
        </w:trPr>
        <w:tc>
          <w:tcPr>
            <w:tcW w:w="897" w:type="dxa"/>
            <w:vAlign w:val="top"/>
            <w:vMerge w:val="continue"/>
            <w:tcBorders>
              <w:left w:val="nil"/>
              <w:top w:val="nil"/>
              <w:bottom w:val="nil"/>
            </w:tcBorders>
          </w:tcPr>
          <w:p>
            <w:pPr>
              <w:rPr>
                <w:rFonts w:ascii="Arial"/>
                <w:sz w:val="21"/>
              </w:rPr>
            </w:pPr>
            <w:r/>
          </w:p>
        </w:tc>
        <w:tc>
          <w:tcPr>
            <w:tcW w:w="2221" w:type="dxa"/>
            <w:vAlign w:val="top"/>
          </w:tcPr>
          <w:p>
            <w:pPr>
              <w:spacing w:line="296" w:lineRule="auto"/>
              <w:rPr>
                <w:rFonts w:ascii="Arial"/>
                <w:sz w:val="21"/>
              </w:rPr>
            </w:pPr>
            <w:r/>
          </w:p>
          <w:p>
            <w:pPr>
              <w:pStyle w:val="TableText"/>
              <w:ind w:left="183"/>
              <w:spacing w:before="65" w:line="232" w:lineRule="auto"/>
              <w:rPr/>
            </w:pPr>
            <w:r>
              <w:rPr>
                <w:spacing w:val="10"/>
              </w:rPr>
              <w:t>燃烧热（</w:t>
            </w:r>
            <w:r>
              <w:rPr>
                <w:rFonts w:ascii="Times New Roman" w:hAnsi="Times New Roman" w:eastAsia="Times New Roman" w:cs="Times New Roman"/>
              </w:rPr>
              <w:t>KJ</w:t>
            </w:r>
            <w:r>
              <w:rPr>
                <w:rFonts w:ascii="Times New Roman" w:hAnsi="Times New Roman" w:eastAsia="Times New Roman" w:cs="Times New Roman"/>
                <w:spacing w:val="10"/>
              </w:rPr>
              <w:t>/</w:t>
            </w:r>
            <w:r>
              <w:rPr>
                <w:rFonts w:ascii="Times New Roman" w:hAnsi="Times New Roman" w:eastAsia="Times New Roman" w:cs="Times New Roman"/>
              </w:rPr>
              <w:t>mol</w:t>
            </w:r>
            <w:r>
              <w:rPr>
                <w:spacing w:val="1"/>
              </w:rPr>
              <w:t>）：</w:t>
            </w:r>
          </w:p>
        </w:tc>
        <w:tc>
          <w:tcPr>
            <w:tcW w:w="2377" w:type="dxa"/>
            <w:vAlign w:val="top"/>
            <w:gridSpan w:val="2"/>
          </w:tcPr>
          <w:p>
            <w:pPr>
              <w:spacing w:line="296" w:lineRule="auto"/>
              <w:rPr>
                <w:rFonts w:ascii="Arial"/>
                <w:sz w:val="21"/>
              </w:rPr>
            </w:pPr>
            <w:r/>
          </w:p>
          <w:p>
            <w:pPr>
              <w:pStyle w:val="TableText"/>
              <w:ind w:left="242"/>
              <w:spacing w:before="65" w:line="230" w:lineRule="auto"/>
              <w:rPr/>
            </w:pPr>
            <w:r>
              <w:rPr>
                <w:spacing w:val="8"/>
              </w:rPr>
              <w:t>最小点火能（</w:t>
            </w:r>
            <w:r>
              <w:rPr>
                <w:rFonts w:ascii="Times New Roman" w:hAnsi="Times New Roman" w:eastAsia="Times New Roman" w:cs="Times New Roman"/>
              </w:rPr>
              <w:t>mJ</w:t>
            </w:r>
            <w:r>
              <w:rPr>
                <w:spacing w:val="1"/>
              </w:rPr>
              <w:t>）：</w:t>
            </w:r>
          </w:p>
        </w:tc>
        <w:tc>
          <w:tcPr>
            <w:tcW w:w="3026" w:type="dxa"/>
            <w:vAlign w:val="top"/>
            <w:gridSpan w:val="2"/>
            <w:tcBorders>
              <w:right w:val="nil"/>
            </w:tcBorders>
          </w:tcPr>
          <w:p>
            <w:pPr>
              <w:pStyle w:val="TableText"/>
              <w:ind w:left="121"/>
              <w:spacing w:before="207" w:line="232" w:lineRule="auto"/>
              <w:rPr/>
            </w:pPr>
            <w:r>
              <w:rPr>
                <w:spacing w:val="-3"/>
              </w:rPr>
              <w:t>饱和蒸气压（</w:t>
            </w:r>
            <w:r>
              <w:rPr>
                <w:rFonts w:ascii="Times New Roman" w:hAnsi="Times New Roman" w:eastAsia="Times New Roman" w:cs="Times New Roman"/>
                <w:spacing w:val="-3"/>
              </w:rPr>
              <w:t>kPa</w:t>
            </w:r>
            <w:r>
              <w:rPr>
                <w:spacing w:val="-57"/>
                <w:w w:val="99"/>
              </w:rPr>
              <w:t>）：</w:t>
            </w:r>
            <w:r>
              <w:rPr>
                <w:rFonts w:ascii="Times New Roman" w:hAnsi="Times New Roman" w:eastAsia="Times New Roman" w:cs="Times New Roman"/>
                <w:spacing w:val="-3"/>
              </w:rPr>
              <w:t>0.67</w:t>
            </w:r>
            <w:r>
              <w:rPr>
                <w:spacing w:val="-3"/>
              </w:rPr>
              <w:t>（</w:t>
            </w:r>
            <w:r>
              <w:rPr>
                <w:rFonts w:ascii="Times New Roman" w:hAnsi="Times New Roman" w:eastAsia="Times New Roman" w:cs="Times New Roman"/>
                <w:spacing w:val="-3"/>
              </w:rPr>
              <w:t>25℃</w:t>
            </w:r>
            <w:r>
              <w:rPr>
                <w:rFonts w:ascii="Times New Roman" w:hAnsi="Times New Roman" w:eastAsia="Times New Roman" w:cs="Times New Roman"/>
                <w:spacing w:val="-16"/>
              </w:rPr>
              <w:t xml:space="preserve"> </w:t>
            </w:r>
            <w:r>
              <w:rPr>
                <w:spacing w:val="-3"/>
              </w:rPr>
              <w:t>,</w:t>
            </w:r>
          </w:p>
          <w:p>
            <w:pPr>
              <w:pStyle w:val="TableText"/>
              <w:ind w:left="1213"/>
              <w:spacing w:before="61" w:line="237" w:lineRule="auto"/>
              <w:rPr/>
            </w:pPr>
            <w:r>
              <w:rPr/>
              <w:t>纯品）</w:t>
            </w:r>
          </w:p>
        </w:tc>
      </w:tr>
      <w:tr>
        <w:trPr>
          <w:trHeight w:val="316" w:hRule="atLeast"/>
        </w:trPr>
        <w:tc>
          <w:tcPr>
            <w:tcW w:w="897" w:type="dxa"/>
            <w:vAlign w:val="top"/>
            <w:vMerge w:val="continue"/>
            <w:tcBorders>
              <w:left w:val="nil"/>
              <w:top w:val="nil"/>
            </w:tcBorders>
          </w:tcPr>
          <w:p>
            <w:pPr>
              <w:rPr>
                <w:rFonts w:ascii="Arial"/>
                <w:sz w:val="21"/>
              </w:rPr>
            </w:pPr>
            <w:r/>
          </w:p>
        </w:tc>
        <w:tc>
          <w:tcPr>
            <w:tcW w:w="7624" w:type="dxa"/>
            <w:vAlign w:val="top"/>
            <w:gridSpan w:val="5"/>
            <w:tcBorders>
              <w:right w:val="nil"/>
            </w:tcBorders>
          </w:tcPr>
          <w:p>
            <w:pPr>
              <w:pStyle w:val="TableText"/>
              <w:ind w:left="2142"/>
              <w:spacing w:before="65" w:line="222" w:lineRule="auto"/>
              <w:rPr/>
            </w:pPr>
            <w:r>
              <w:rPr>
                <w:spacing w:val="8"/>
              </w:rPr>
              <w:t>溶解性：与水混溶，可混溶于乙醇。</w:t>
            </w:r>
          </w:p>
        </w:tc>
      </w:tr>
      <w:tr>
        <w:trPr>
          <w:trHeight w:val="316" w:hRule="atLeast"/>
        </w:trPr>
        <w:tc>
          <w:tcPr>
            <w:tcW w:w="897" w:type="dxa"/>
            <w:vAlign w:val="top"/>
            <w:vMerge w:val="restart"/>
            <w:tcBorders>
              <w:left w:val="nil"/>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46"/>
              <w:spacing w:before="66" w:line="232" w:lineRule="auto"/>
              <w:rPr/>
            </w:pPr>
            <w:r>
              <w:rPr>
                <w:spacing w:val="4"/>
              </w:rPr>
              <w:t>燃烧爆</w:t>
            </w:r>
          </w:p>
          <w:p>
            <w:pPr>
              <w:pStyle w:val="TableText"/>
              <w:ind w:left="145"/>
              <w:spacing w:before="60" w:line="231" w:lineRule="auto"/>
              <w:rPr/>
            </w:pPr>
            <w:r>
              <w:rPr>
                <w:spacing w:val="5"/>
              </w:rPr>
              <w:t>炸危险</w:t>
            </w:r>
          </w:p>
          <w:p>
            <w:pPr>
              <w:pStyle w:val="TableText"/>
              <w:ind w:left="360"/>
              <w:spacing w:before="61" w:line="229" w:lineRule="auto"/>
              <w:rPr/>
            </w:pPr>
            <w:r>
              <w:rPr/>
              <w:t>性</w:t>
            </w:r>
          </w:p>
        </w:tc>
        <w:tc>
          <w:tcPr>
            <w:tcW w:w="2221" w:type="dxa"/>
            <w:vAlign w:val="top"/>
          </w:tcPr>
          <w:p>
            <w:pPr>
              <w:pStyle w:val="TableText"/>
              <w:ind w:left="492"/>
              <w:spacing w:before="66" w:line="221" w:lineRule="auto"/>
              <w:rPr/>
            </w:pPr>
            <w:r>
              <w:rPr>
                <w:spacing w:val="7"/>
              </w:rPr>
              <w:t>燃烧性：不燃</w:t>
            </w:r>
          </w:p>
        </w:tc>
        <w:tc>
          <w:tcPr>
            <w:tcW w:w="5403" w:type="dxa"/>
            <w:vAlign w:val="top"/>
            <w:gridSpan w:val="4"/>
            <w:tcBorders>
              <w:right w:val="nil"/>
            </w:tcBorders>
          </w:tcPr>
          <w:p>
            <w:pPr>
              <w:pStyle w:val="TableText"/>
              <w:ind w:left="928"/>
              <w:spacing w:before="66" w:line="221" w:lineRule="auto"/>
              <w:rPr/>
            </w:pPr>
            <w:r>
              <w:rPr>
                <w:spacing w:val="8"/>
              </w:rPr>
              <w:t>燃烧分解产物：一氧化碳、二氧化碳。</w:t>
            </w:r>
          </w:p>
        </w:tc>
      </w:tr>
      <w:tr>
        <w:trPr>
          <w:trHeight w:val="316" w:hRule="atLeast"/>
        </w:trPr>
        <w:tc>
          <w:tcPr>
            <w:tcW w:w="897" w:type="dxa"/>
            <w:vAlign w:val="top"/>
            <w:vMerge w:val="continue"/>
            <w:tcBorders>
              <w:left w:val="nil"/>
              <w:bottom w:val="nil"/>
              <w:top w:val="nil"/>
            </w:tcBorders>
          </w:tcPr>
          <w:p>
            <w:pPr>
              <w:rPr>
                <w:rFonts w:ascii="Arial"/>
                <w:sz w:val="21"/>
              </w:rPr>
            </w:pPr>
            <w:r/>
          </w:p>
        </w:tc>
        <w:tc>
          <w:tcPr>
            <w:tcW w:w="2221" w:type="dxa"/>
            <w:vAlign w:val="top"/>
          </w:tcPr>
          <w:p>
            <w:pPr>
              <w:pStyle w:val="TableText"/>
              <w:ind w:left="403"/>
              <w:spacing w:before="68" w:line="219" w:lineRule="auto"/>
              <w:rPr>
                <w:rFonts w:ascii="Times New Roman" w:hAnsi="Times New Roman" w:eastAsia="Times New Roman" w:cs="Times New Roman"/>
              </w:rPr>
            </w:pPr>
            <w:r>
              <w:rPr>
                <w:spacing w:val="-4"/>
              </w:rPr>
              <w:t>闪点</w:t>
            </w:r>
            <w:r>
              <w:rPr>
                <w:spacing w:val="20"/>
              </w:rPr>
              <w:t xml:space="preserve"> </w:t>
            </w:r>
            <w:r>
              <w:rPr>
                <w:spacing w:val="-4"/>
              </w:rPr>
              <w:t>(</w:t>
            </w:r>
            <w:r>
              <w:rPr>
                <w:rFonts w:ascii="Times New Roman" w:hAnsi="Times New Roman" w:eastAsia="Times New Roman" w:cs="Times New Roman"/>
                <w:spacing w:val="-4"/>
              </w:rPr>
              <w:t>℃</w:t>
            </w:r>
            <w:r>
              <w:rPr>
                <w:spacing w:val="-4"/>
              </w:rPr>
              <w:t>)</w:t>
            </w:r>
            <w:r>
              <w:rPr>
                <w:spacing w:val="47"/>
              </w:rPr>
              <w:t xml:space="preserve"> </w:t>
            </w:r>
            <w:r>
              <w:rPr>
                <w:spacing w:val="-4"/>
              </w:rPr>
              <w:t>：</w:t>
            </w:r>
            <w:r>
              <w:rPr>
                <w:rFonts w:ascii="Times New Roman" w:hAnsi="Times New Roman" w:eastAsia="Times New Roman" w:cs="Times New Roman"/>
                <w:spacing w:val="-4"/>
              </w:rPr>
              <w:t>55</w:t>
            </w:r>
          </w:p>
        </w:tc>
        <w:tc>
          <w:tcPr>
            <w:tcW w:w="5403" w:type="dxa"/>
            <w:vAlign w:val="top"/>
            <w:gridSpan w:val="4"/>
            <w:tcBorders>
              <w:right w:val="nil"/>
            </w:tcBorders>
          </w:tcPr>
          <w:p>
            <w:pPr>
              <w:pStyle w:val="TableText"/>
              <w:ind w:left="1877"/>
              <w:spacing w:before="68" w:line="219" w:lineRule="auto"/>
              <w:rPr/>
            </w:pPr>
            <w:r>
              <w:rPr>
                <w:spacing w:val="7"/>
              </w:rPr>
              <w:t>聚合危害：不聚合</w:t>
            </w:r>
          </w:p>
        </w:tc>
      </w:tr>
      <w:tr>
        <w:trPr>
          <w:trHeight w:val="316" w:hRule="atLeast"/>
        </w:trPr>
        <w:tc>
          <w:tcPr>
            <w:tcW w:w="897" w:type="dxa"/>
            <w:vAlign w:val="top"/>
            <w:vMerge w:val="continue"/>
            <w:tcBorders>
              <w:left w:val="nil"/>
              <w:bottom w:val="nil"/>
              <w:top w:val="nil"/>
            </w:tcBorders>
          </w:tcPr>
          <w:p>
            <w:pPr>
              <w:rPr>
                <w:rFonts w:ascii="Arial"/>
                <w:sz w:val="21"/>
              </w:rPr>
            </w:pPr>
            <w:r/>
          </w:p>
        </w:tc>
        <w:tc>
          <w:tcPr>
            <w:tcW w:w="2221" w:type="dxa"/>
            <w:vAlign w:val="top"/>
          </w:tcPr>
          <w:p>
            <w:pPr>
              <w:pStyle w:val="TableText"/>
              <w:ind w:left="299"/>
              <w:spacing w:before="69" w:line="218" w:lineRule="auto"/>
              <w:rPr/>
            </w:pPr>
            <w:r>
              <w:rPr>
                <w:spacing w:val="7"/>
              </w:rPr>
              <w:t>爆炸下限（</w:t>
            </w:r>
            <w:r>
              <w:rPr>
                <w:rFonts w:ascii="Times New Roman" w:hAnsi="Times New Roman" w:eastAsia="Times New Roman" w:cs="Times New Roman"/>
                <w:spacing w:val="7"/>
              </w:rPr>
              <w:t>%</w:t>
            </w:r>
            <w:r>
              <w:rPr/>
              <w:t>）：</w:t>
            </w:r>
          </w:p>
        </w:tc>
        <w:tc>
          <w:tcPr>
            <w:tcW w:w="5403" w:type="dxa"/>
            <w:vAlign w:val="top"/>
            <w:gridSpan w:val="4"/>
            <w:tcBorders>
              <w:right w:val="nil"/>
            </w:tcBorders>
          </w:tcPr>
          <w:p>
            <w:pPr>
              <w:pStyle w:val="TableText"/>
              <w:ind w:left="2082"/>
              <w:spacing w:before="69" w:line="218" w:lineRule="auto"/>
              <w:rPr/>
            </w:pPr>
            <w:r>
              <w:rPr>
                <w:spacing w:val="7"/>
              </w:rPr>
              <w:t>稳定性：稳定</w:t>
            </w:r>
          </w:p>
        </w:tc>
      </w:tr>
      <w:tr>
        <w:trPr>
          <w:trHeight w:val="316" w:hRule="atLeast"/>
        </w:trPr>
        <w:tc>
          <w:tcPr>
            <w:tcW w:w="897" w:type="dxa"/>
            <w:vAlign w:val="top"/>
            <w:vMerge w:val="continue"/>
            <w:tcBorders>
              <w:left w:val="nil"/>
              <w:bottom w:val="nil"/>
              <w:top w:val="nil"/>
            </w:tcBorders>
          </w:tcPr>
          <w:p>
            <w:pPr>
              <w:rPr>
                <w:rFonts w:ascii="Arial"/>
                <w:sz w:val="21"/>
              </w:rPr>
            </w:pPr>
            <w:r/>
          </w:p>
        </w:tc>
        <w:tc>
          <w:tcPr>
            <w:tcW w:w="2221" w:type="dxa"/>
            <w:vAlign w:val="top"/>
          </w:tcPr>
          <w:p>
            <w:pPr>
              <w:pStyle w:val="TableText"/>
              <w:ind w:left="299"/>
              <w:spacing w:before="70" w:line="217" w:lineRule="auto"/>
              <w:rPr/>
            </w:pPr>
            <w:r>
              <w:rPr>
                <w:spacing w:val="7"/>
              </w:rPr>
              <w:t>爆炸上限（</w:t>
            </w:r>
            <w:r>
              <w:rPr>
                <w:rFonts w:ascii="Times New Roman" w:hAnsi="Times New Roman" w:eastAsia="Times New Roman" w:cs="Times New Roman"/>
                <w:spacing w:val="7"/>
              </w:rPr>
              <w:t>%</w:t>
            </w:r>
            <w:r>
              <w:rPr/>
              <w:t>）：</w:t>
            </w:r>
          </w:p>
        </w:tc>
        <w:tc>
          <w:tcPr>
            <w:tcW w:w="5403" w:type="dxa"/>
            <w:vAlign w:val="top"/>
            <w:gridSpan w:val="4"/>
            <w:tcBorders>
              <w:right w:val="nil"/>
            </w:tcBorders>
          </w:tcPr>
          <w:p>
            <w:pPr>
              <w:pStyle w:val="TableText"/>
              <w:ind w:left="1574"/>
              <w:spacing w:before="70" w:line="217" w:lineRule="auto"/>
              <w:rPr/>
            </w:pPr>
            <w:r>
              <w:rPr>
                <w:spacing w:val="9"/>
              </w:rPr>
              <w:t>最大爆炸压力（</w:t>
            </w:r>
            <w:r>
              <w:rPr>
                <w:rFonts w:ascii="Times New Roman" w:hAnsi="Times New Roman" w:eastAsia="Times New Roman" w:cs="Times New Roman"/>
              </w:rPr>
              <w:t>MPa</w:t>
            </w:r>
            <w:r>
              <w:rPr>
                <w:spacing w:val="2"/>
              </w:rPr>
              <w:t>）：</w:t>
            </w:r>
          </w:p>
        </w:tc>
      </w:tr>
      <w:tr>
        <w:trPr>
          <w:trHeight w:val="316" w:hRule="atLeast"/>
        </w:trPr>
        <w:tc>
          <w:tcPr>
            <w:tcW w:w="897" w:type="dxa"/>
            <w:vAlign w:val="top"/>
            <w:vMerge w:val="continue"/>
            <w:tcBorders>
              <w:left w:val="nil"/>
              <w:bottom w:val="nil"/>
              <w:top w:val="nil"/>
            </w:tcBorders>
          </w:tcPr>
          <w:p>
            <w:pPr>
              <w:rPr>
                <w:rFonts w:ascii="Arial"/>
                <w:sz w:val="21"/>
              </w:rPr>
            </w:pPr>
            <w:r/>
          </w:p>
        </w:tc>
        <w:tc>
          <w:tcPr>
            <w:tcW w:w="2221" w:type="dxa"/>
            <w:vAlign w:val="top"/>
          </w:tcPr>
          <w:p>
            <w:pPr>
              <w:pStyle w:val="TableText"/>
              <w:ind w:left="129"/>
              <w:spacing w:before="70" w:line="217" w:lineRule="auto"/>
              <w:rPr>
                <w:rFonts w:ascii="Times New Roman" w:hAnsi="Times New Roman" w:eastAsia="Times New Roman" w:cs="Times New Roman"/>
              </w:rPr>
            </w:pPr>
            <w:r>
              <w:rPr/>
              <w:t>引燃温度</w:t>
            </w:r>
            <w:r>
              <w:rPr>
                <w:spacing w:val="25"/>
              </w:rPr>
              <w:t xml:space="preserve"> </w:t>
            </w:r>
            <w:r>
              <w:rPr/>
              <w:t>(</w:t>
            </w:r>
            <w:r>
              <w:rPr>
                <w:rFonts w:ascii="Times New Roman" w:hAnsi="Times New Roman" w:eastAsia="Times New Roman" w:cs="Times New Roman"/>
              </w:rPr>
              <w:t>℃</w:t>
            </w:r>
            <w:r>
              <w:rPr/>
              <w:t>)</w:t>
            </w:r>
            <w:r>
              <w:rPr>
                <w:spacing w:val="48"/>
              </w:rPr>
              <w:t xml:space="preserve"> </w:t>
            </w:r>
            <w:r>
              <w:rPr/>
              <w:t>：</w:t>
            </w:r>
            <w:r>
              <w:rPr>
                <w:rFonts w:ascii="Times New Roman" w:hAnsi="Times New Roman" w:eastAsia="Times New Roman" w:cs="Times New Roman"/>
              </w:rPr>
              <w:t>257</w:t>
            </w:r>
          </w:p>
        </w:tc>
        <w:tc>
          <w:tcPr>
            <w:tcW w:w="5403" w:type="dxa"/>
            <w:vAlign w:val="top"/>
            <w:gridSpan w:val="4"/>
            <w:tcBorders>
              <w:right w:val="nil"/>
            </w:tcBorders>
          </w:tcPr>
          <w:p>
            <w:pPr>
              <w:pStyle w:val="TableText"/>
              <w:ind w:left="1459"/>
              <w:spacing w:before="70" w:line="217" w:lineRule="auto"/>
              <w:rPr/>
            </w:pPr>
            <w:r>
              <w:rPr>
                <w:spacing w:val="3"/>
              </w:rPr>
              <w:t>禁忌物：强氧化剂、</w:t>
            </w:r>
            <w:r>
              <w:rPr>
                <w:spacing w:val="-48"/>
              </w:rPr>
              <w:t xml:space="preserve"> </w:t>
            </w:r>
            <w:r>
              <w:rPr>
                <w:spacing w:val="3"/>
              </w:rPr>
              <w:t>卤素。</w:t>
            </w:r>
          </w:p>
        </w:tc>
      </w:tr>
      <w:tr>
        <w:trPr>
          <w:trHeight w:val="626" w:hRule="atLeast"/>
        </w:trPr>
        <w:tc>
          <w:tcPr>
            <w:tcW w:w="897" w:type="dxa"/>
            <w:vAlign w:val="top"/>
            <w:vMerge w:val="continue"/>
            <w:tcBorders>
              <w:left w:val="nil"/>
              <w:bottom w:val="nil"/>
              <w:top w:val="nil"/>
            </w:tcBorders>
          </w:tcPr>
          <w:p>
            <w:pPr>
              <w:rPr>
                <w:rFonts w:ascii="Arial"/>
                <w:sz w:val="21"/>
              </w:rPr>
            </w:pPr>
            <w:r/>
          </w:p>
        </w:tc>
        <w:tc>
          <w:tcPr>
            <w:tcW w:w="7624" w:type="dxa"/>
            <w:vAlign w:val="top"/>
            <w:gridSpan w:val="5"/>
            <w:tcBorders>
              <w:right w:val="nil"/>
            </w:tcBorders>
          </w:tcPr>
          <w:p>
            <w:pPr>
              <w:pStyle w:val="TableText"/>
              <w:ind w:left="122" w:right="106" w:firstLine="422"/>
              <w:spacing w:before="72" w:line="251" w:lineRule="auto"/>
              <w:rPr/>
            </w:pPr>
            <w:r>
              <w:rPr>
                <w:spacing w:val="11"/>
              </w:rPr>
              <w:t>危险特性：遇明火、高热或与氧化剂接触，有引起燃烧爆炸的危险。若遇高</w:t>
            </w:r>
            <w:r>
              <w:rPr>
                <w:spacing w:val="8"/>
              </w:rPr>
              <w:t>热，容器内压增大，有开裂和爆炸的危险。</w:t>
            </w:r>
          </w:p>
        </w:tc>
      </w:tr>
      <w:tr>
        <w:trPr>
          <w:trHeight w:val="337" w:hRule="atLeast"/>
        </w:trPr>
        <w:tc>
          <w:tcPr>
            <w:tcW w:w="897" w:type="dxa"/>
            <w:vAlign w:val="top"/>
            <w:vMerge w:val="continue"/>
            <w:tcBorders>
              <w:left w:val="nil"/>
              <w:bottom w:val="single" w:color="000000" w:sz="10" w:space="0"/>
              <w:top w:val="nil"/>
            </w:tcBorders>
          </w:tcPr>
          <w:p>
            <w:pPr>
              <w:rPr>
                <w:rFonts w:ascii="Arial"/>
                <w:sz w:val="21"/>
              </w:rPr>
            </w:pPr>
            <w:r/>
          </w:p>
        </w:tc>
        <w:tc>
          <w:tcPr>
            <w:tcW w:w="7624" w:type="dxa"/>
            <w:vAlign w:val="top"/>
            <w:gridSpan w:val="5"/>
            <w:tcBorders>
              <w:right w:val="nil"/>
              <w:bottom w:val="single" w:color="000000" w:sz="10" w:space="0"/>
            </w:tcBorders>
          </w:tcPr>
          <w:p>
            <w:pPr>
              <w:pStyle w:val="TableText"/>
              <w:ind w:left="540"/>
              <w:spacing w:before="74" w:line="228" w:lineRule="auto"/>
              <w:rPr/>
            </w:pPr>
            <w:r>
              <w:rPr>
                <w:spacing w:val="11"/>
              </w:rPr>
              <w:t>灭火方法：消防人员必须佩戴防毒面具、穿全身消防服，在上风向灭火。尽</w:t>
            </w:r>
          </w:p>
        </w:tc>
      </w:tr>
    </w:tbl>
    <w:p>
      <w:pPr>
        <w:pStyle w:val="BodyText"/>
        <w:spacing w:line="91" w:lineRule="exact"/>
        <w:rPr>
          <w:sz w:val="7"/>
        </w:rPr>
      </w:pPr>
      <w:r/>
    </w:p>
    <w:p>
      <w:pPr>
        <w:spacing w:line="91" w:lineRule="exact"/>
        <w:sectPr>
          <w:footerReference w:type="default" r:id="rId367"/>
          <w:pgSz w:w="11906" w:h="16839"/>
          <w:pgMar w:top="400" w:right="1691" w:bottom="1358" w:left="1691" w:header="0" w:footer="1195" w:gutter="0"/>
        </w:sectPr>
        <w:rPr>
          <w:sz w:val="7"/>
          <w:szCs w:val="7"/>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7"/>
        <w:gridCol w:w="7625"/>
      </w:tblGrid>
      <w:tr>
        <w:trPr>
          <w:trHeight w:val="923" w:hRule="atLeast"/>
        </w:trPr>
        <w:tc>
          <w:tcPr>
            <w:tcW w:w="897" w:type="dxa"/>
            <w:vAlign w:val="top"/>
            <w:tcBorders>
              <w:left w:val="nil"/>
              <w:top w:val="single" w:color="000000" w:sz="10" w:space="0"/>
            </w:tcBorders>
          </w:tcPr>
          <w:p>
            <w:pPr>
              <w:rPr>
                <w:rFonts w:ascii="Arial"/>
                <w:sz w:val="21"/>
              </w:rPr>
            </w:pPr>
            <w:r/>
          </w:p>
        </w:tc>
        <w:tc>
          <w:tcPr>
            <w:tcW w:w="7625" w:type="dxa"/>
            <w:vAlign w:val="top"/>
            <w:tcBorders>
              <w:right w:val="nil"/>
              <w:top w:val="single" w:color="000000" w:sz="10" w:space="0"/>
            </w:tcBorders>
          </w:tcPr>
          <w:p>
            <w:pPr>
              <w:pStyle w:val="TableText"/>
              <w:ind w:left="119" w:right="107" w:firstLine="3"/>
              <w:spacing w:before="35" w:line="270" w:lineRule="auto"/>
              <w:jc w:val="both"/>
              <w:rPr/>
            </w:pPr>
            <w:bookmarkStart w:name="bookmark621" w:id="485"/>
            <w:bookmarkEnd w:id="485"/>
            <w:r>
              <w:rPr>
                <w:spacing w:val="9"/>
              </w:rPr>
              <w:t>可能将容器从火场移至空旷处。喷水保持火场容器冷却，直至灭火结束。</w:t>
            </w:r>
            <w:r>
              <w:rPr>
                <w:spacing w:val="-25"/>
              </w:rPr>
              <w:t xml:space="preserve"> </w:t>
            </w:r>
            <w:r>
              <w:rPr>
                <w:spacing w:val="9"/>
              </w:rPr>
              <w:t>自在火</w:t>
            </w:r>
            <w:r>
              <w:rPr>
                <w:spacing w:val="11"/>
              </w:rPr>
              <w:t>场中的容器若已变色或从安全泄压装置中产生声音，必须马上撤离。灭火剂：雾</w:t>
            </w:r>
            <w:r>
              <w:rPr>
                <w:spacing w:val="8"/>
              </w:rPr>
              <w:t>状水、泡沫、干粉、二氧化碳、砂土。</w:t>
            </w:r>
          </w:p>
        </w:tc>
      </w:tr>
      <w:tr>
        <w:trPr>
          <w:trHeight w:val="939" w:hRule="atLeast"/>
        </w:trPr>
        <w:tc>
          <w:tcPr>
            <w:tcW w:w="897" w:type="dxa"/>
            <w:vAlign w:val="top"/>
            <w:vMerge w:val="restart"/>
            <w:tcBorders>
              <w:left w:val="nil"/>
              <w:bottom w:val="nil"/>
            </w:tcBorders>
          </w:tcPr>
          <w:p>
            <w:pPr>
              <w:spacing w:line="303" w:lineRule="auto"/>
              <w:rPr>
                <w:rFonts w:ascii="Arial"/>
                <w:sz w:val="21"/>
              </w:rPr>
            </w:pPr>
            <w:r/>
          </w:p>
          <w:p>
            <w:pPr>
              <w:pStyle w:val="TableText"/>
              <w:ind w:left="255" w:right="133" w:hanging="108"/>
              <w:spacing w:before="65" w:line="289" w:lineRule="auto"/>
              <w:rPr/>
            </w:pPr>
            <w:r>
              <w:rPr>
                <w:spacing w:val="4"/>
              </w:rPr>
              <w:t>对人体</w:t>
            </w:r>
            <w:r>
              <w:rPr>
                <w:spacing w:val="-1"/>
              </w:rPr>
              <w:t>危害</w:t>
            </w:r>
          </w:p>
        </w:tc>
        <w:tc>
          <w:tcPr>
            <w:tcW w:w="7625" w:type="dxa"/>
            <w:vAlign w:val="top"/>
            <w:tcBorders>
              <w:right w:val="nil"/>
            </w:tcBorders>
          </w:tcPr>
          <w:p>
            <w:pPr>
              <w:pStyle w:val="TableText"/>
              <w:ind w:left="123" w:right="107" w:firstLine="417"/>
              <w:spacing w:before="54" w:line="269" w:lineRule="auto"/>
              <w:jc w:val="both"/>
              <w:rPr/>
            </w:pPr>
            <w:r>
              <w:rPr>
                <w:spacing w:val="11"/>
              </w:rPr>
              <w:t>侵入途径：吸入、食入、经皮肤吸收。皮肤接触可为主要吸收途径，可致急</w:t>
            </w:r>
            <w:r>
              <w:rPr>
                <w:spacing w:val="11"/>
              </w:rPr>
              <w:t>性肾脏损害。柴油可引起接触性皮炎、油性痤疮。吸入其雾滴或液体呛入可引起</w:t>
            </w:r>
            <w:r>
              <w:rPr>
                <w:spacing w:val="9"/>
              </w:rPr>
              <w:t>吸入性肺炎。能经胎盘进入胎儿血中。柴油废气可</w:t>
            </w:r>
            <w:r>
              <w:rPr>
                <w:spacing w:val="8"/>
              </w:rPr>
              <w:t>引起眼、</w:t>
            </w:r>
          </w:p>
        </w:tc>
      </w:tr>
      <w:tr>
        <w:trPr>
          <w:trHeight w:val="316" w:hRule="atLeast"/>
        </w:trPr>
        <w:tc>
          <w:tcPr>
            <w:tcW w:w="897" w:type="dxa"/>
            <w:vAlign w:val="top"/>
            <w:vMerge w:val="continue"/>
            <w:tcBorders>
              <w:left w:val="nil"/>
              <w:top w:val="nil"/>
            </w:tcBorders>
          </w:tcPr>
          <w:p>
            <w:pPr>
              <w:rPr>
                <w:rFonts w:ascii="Arial"/>
                <w:sz w:val="21"/>
              </w:rPr>
            </w:pPr>
            <w:r/>
          </w:p>
        </w:tc>
        <w:tc>
          <w:tcPr>
            <w:tcW w:w="7625" w:type="dxa"/>
            <w:vAlign w:val="top"/>
            <w:tcBorders>
              <w:right w:val="nil"/>
            </w:tcBorders>
          </w:tcPr>
          <w:p>
            <w:pPr>
              <w:pStyle w:val="TableText"/>
              <w:ind w:left="541"/>
              <w:spacing w:before="56" w:line="229" w:lineRule="auto"/>
              <w:rPr/>
            </w:pPr>
            <w:r>
              <w:rPr>
                <w:spacing w:val="7"/>
              </w:rPr>
              <w:t>鼻刺激症状，头晕及头痛。</w:t>
            </w:r>
          </w:p>
        </w:tc>
      </w:tr>
      <w:tr>
        <w:trPr>
          <w:trHeight w:val="1250" w:hRule="atLeast"/>
        </w:trPr>
        <w:tc>
          <w:tcPr>
            <w:tcW w:w="897" w:type="dxa"/>
            <w:vAlign w:val="top"/>
            <w:tcBorders>
              <w:left w:val="nil"/>
            </w:tcBorders>
          </w:tcPr>
          <w:p>
            <w:pPr>
              <w:spacing w:line="302" w:lineRule="auto"/>
              <w:rPr>
                <w:rFonts w:ascii="Arial"/>
                <w:sz w:val="21"/>
              </w:rPr>
            </w:pPr>
            <w:r/>
          </w:p>
          <w:p>
            <w:pPr>
              <w:pStyle w:val="TableText"/>
              <w:ind w:left="363" w:right="133" w:hanging="206"/>
              <w:spacing w:before="65" w:line="290" w:lineRule="auto"/>
              <w:rPr/>
            </w:pPr>
            <w:r>
              <w:rPr>
                <w:spacing w:val="1"/>
              </w:rPr>
              <w:t>急救方</w:t>
            </w:r>
            <w:r>
              <w:rPr/>
              <w:t>法</w:t>
            </w:r>
          </w:p>
        </w:tc>
        <w:tc>
          <w:tcPr>
            <w:tcW w:w="7625" w:type="dxa"/>
            <w:vAlign w:val="top"/>
            <w:tcBorders>
              <w:right w:val="nil"/>
            </w:tcBorders>
          </w:tcPr>
          <w:p>
            <w:pPr>
              <w:pStyle w:val="TableText"/>
              <w:ind w:left="119" w:right="51" w:firstLine="430"/>
              <w:spacing w:before="56" w:line="273" w:lineRule="auto"/>
              <w:jc w:val="both"/>
              <w:rPr/>
            </w:pPr>
            <w:r>
              <w:rPr>
                <w:spacing w:val="11"/>
              </w:rPr>
              <w:t>皮肤接触：立即脱去污染的衣着，用肥皂水和清水彻底冲洗皮肤。就医。眼</w:t>
            </w:r>
            <w:r>
              <w:rPr>
                <w:spacing w:val="11"/>
              </w:rPr>
              <w:t>睛接触：立即提起眼睑，用大量流动清水或生理盐水彻底冲洗。就医。吸入：迅</w:t>
            </w:r>
            <w:r>
              <w:rPr>
                <w:spacing w:val="7"/>
              </w:rPr>
              <w:t>速脱离现场至空气新鲜处，保持呼吸道通畅。如呼吸困难，给输氧。如呼吸停</w:t>
            </w:r>
            <w:r>
              <w:rPr>
                <w:spacing w:val="6"/>
              </w:rPr>
              <w:t>止，</w:t>
            </w:r>
            <w:r>
              <w:rPr>
                <w:spacing w:val="9"/>
              </w:rPr>
              <w:t>立即进行人工呼吸。就医。食入：尽快彻底洗胃。就</w:t>
            </w:r>
            <w:r>
              <w:rPr>
                <w:spacing w:val="8"/>
              </w:rPr>
              <w:t>医。</w:t>
            </w:r>
          </w:p>
        </w:tc>
      </w:tr>
      <w:tr>
        <w:trPr>
          <w:trHeight w:val="1250" w:hRule="atLeast"/>
        </w:trPr>
        <w:tc>
          <w:tcPr>
            <w:tcW w:w="897" w:type="dxa"/>
            <w:vAlign w:val="top"/>
            <w:tcBorders>
              <w:left w:val="nil"/>
            </w:tcBorders>
          </w:tcPr>
          <w:p>
            <w:pPr>
              <w:spacing w:line="461" w:lineRule="auto"/>
              <w:rPr>
                <w:rFonts w:ascii="Arial"/>
                <w:sz w:val="21"/>
              </w:rPr>
            </w:pPr>
            <w:r/>
          </w:p>
          <w:p>
            <w:pPr>
              <w:pStyle w:val="TableText"/>
              <w:ind w:left="265"/>
              <w:spacing w:before="65" w:line="231" w:lineRule="auto"/>
              <w:rPr/>
            </w:pPr>
            <w:r>
              <w:rPr>
                <w:spacing w:val="-5"/>
              </w:rPr>
              <w:t>防护</w:t>
            </w:r>
          </w:p>
        </w:tc>
        <w:tc>
          <w:tcPr>
            <w:tcW w:w="7625" w:type="dxa"/>
            <w:vAlign w:val="top"/>
            <w:tcBorders>
              <w:right w:val="nil"/>
            </w:tcBorders>
          </w:tcPr>
          <w:p>
            <w:pPr>
              <w:pStyle w:val="TableText"/>
              <w:ind w:left="159" w:right="36" w:firstLine="385"/>
              <w:spacing w:before="60" w:line="288" w:lineRule="auto"/>
              <w:rPr/>
            </w:pPr>
            <w:r>
              <w:rPr>
                <w:spacing w:val="11"/>
              </w:rPr>
              <w:t>工程防护：密闭操作，注意通风。个人防护：空气中浓度超标时，建议佩戴</w:t>
            </w:r>
            <w:r>
              <w:rPr>
                <w:spacing w:val="6"/>
              </w:rPr>
              <w:t>自吸过滤式防毒面具（半面罩）。经济事态抢救或撤离时，必须佩戴空气呼吸器。</w:t>
            </w:r>
          </w:p>
          <w:p>
            <w:pPr>
              <w:pStyle w:val="TableText"/>
              <w:ind w:left="119" w:right="36"/>
              <w:spacing w:before="1" w:line="256" w:lineRule="auto"/>
              <w:rPr/>
            </w:pPr>
            <w:r>
              <w:rPr>
                <w:spacing w:val="7"/>
              </w:rPr>
              <w:t>戴化学安全防护眼镜。穿一般作业防护服。戴橡胶耐油手套。工作现场禁止吸烟。</w:t>
            </w:r>
            <w:r>
              <w:rPr>
                <w:spacing w:val="7"/>
              </w:rPr>
              <w:t>避免长期反复接触。</w:t>
            </w:r>
          </w:p>
        </w:tc>
      </w:tr>
      <w:tr>
        <w:trPr>
          <w:trHeight w:val="1561" w:hRule="atLeast"/>
        </w:trPr>
        <w:tc>
          <w:tcPr>
            <w:tcW w:w="897" w:type="dxa"/>
            <w:vAlign w:val="top"/>
            <w:tcBorders>
              <w:left w:val="nil"/>
            </w:tcBorders>
          </w:tcPr>
          <w:p>
            <w:pPr>
              <w:spacing w:line="463" w:lineRule="auto"/>
              <w:rPr>
                <w:rFonts w:ascii="Arial"/>
                <w:sz w:val="21"/>
              </w:rPr>
            </w:pPr>
            <w:r/>
          </w:p>
          <w:p>
            <w:pPr>
              <w:pStyle w:val="TableText"/>
              <w:ind w:left="358" w:right="133" w:hanging="206"/>
              <w:spacing w:before="65" w:line="294" w:lineRule="auto"/>
              <w:rPr/>
            </w:pPr>
            <w:r>
              <w:rPr>
                <w:spacing w:val="2"/>
              </w:rPr>
              <w:t>泄漏处</w:t>
            </w:r>
            <w:r>
              <w:rPr/>
              <w:t>理</w:t>
            </w:r>
          </w:p>
        </w:tc>
        <w:tc>
          <w:tcPr>
            <w:tcW w:w="7625" w:type="dxa"/>
            <w:vAlign w:val="top"/>
            <w:tcBorders>
              <w:right w:val="nil"/>
            </w:tcBorders>
          </w:tcPr>
          <w:p>
            <w:pPr>
              <w:pStyle w:val="TableText"/>
              <w:ind w:left="119" w:right="36" w:firstLine="420"/>
              <w:spacing w:before="61" w:line="275" w:lineRule="auto"/>
              <w:jc w:val="both"/>
              <w:rPr/>
            </w:pPr>
            <w:r>
              <w:rPr>
                <w:spacing w:val="7"/>
              </w:rPr>
              <w:t>迅速撤离泄漏污染区人员至安全区，并进行隔离，严格限制出入。切断火源。</w:t>
            </w:r>
            <w:r>
              <w:rPr>
                <w:spacing w:val="7"/>
              </w:rPr>
              <w:t>建议应急处理人员戴自给正压式呼吸器，穿一般作业工作服。尽可能切断泄漏源。</w:t>
            </w:r>
            <w:r>
              <w:rPr>
                <w:spacing w:val="11"/>
              </w:rPr>
              <w:t>防止流入下水道、排洪沟等限制性空间。小量泄漏：用可活性炭或其它惰性材料</w:t>
            </w:r>
            <w:r>
              <w:rPr>
                <w:spacing w:val="10"/>
              </w:rPr>
              <w:t>吸收。大量泄漏：构筑围堤或挖坑收容。用泵移至槽车或专用收集器内</w:t>
            </w:r>
            <w:r>
              <w:rPr>
                <w:spacing w:val="9"/>
              </w:rPr>
              <w:t>，</w:t>
            </w:r>
            <w:r>
              <w:rPr>
                <w:spacing w:val="-53"/>
              </w:rPr>
              <w:t xml:space="preserve"> </w:t>
            </w:r>
            <w:r>
              <w:rPr>
                <w:spacing w:val="9"/>
              </w:rPr>
              <w:t>回收或</w:t>
            </w:r>
            <w:r>
              <w:rPr>
                <w:spacing w:val="7"/>
              </w:rPr>
              <w:t>运至废物处理场所处置。</w:t>
            </w:r>
          </w:p>
        </w:tc>
      </w:tr>
      <w:tr>
        <w:trPr>
          <w:trHeight w:val="316" w:hRule="atLeast"/>
        </w:trPr>
        <w:tc>
          <w:tcPr>
            <w:tcW w:w="897" w:type="dxa"/>
            <w:vAlign w:val="top"/>
            <w:vMerge w:val="restart"/>
            <w:tcBorders>
              <w:left w:val="nil"/>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52"/>
              <w:spacing w:before="65" w:line="232" w:lineRule="auto"/>
              <w:rPr/>
            </w:pPr>
            <w:r>
              <w:rPr>
                <w:spacing w:val="1"/>
              </w:rPr>
              <w:t>贮运</w:t>
            </w:r>
          </w:p>
        </w:tc>
        <w:tc>
          <w:tcPr>
            <w:tcW w:w="7625" w:type="dxa"/>
            <w:vAlign w:val="top"/>
            <w:tcBorders>
              <w:right w:val="nil"/>
            </w:tcBorders>
          </w:tcPr>
          <w:p>
            <w:pPr>
              <w:pStyle w:val="TableText"/>
              <w:ind w:left="548"/>
              <w:spacing w:before="67" w:line="220" w:lineRule="auto"/>
              <w:rPr/>
            </w:pPr>
            <w:r>
              <w:rPr>
                <w:spacing w:val="7"/>
              </w:rPr>
              <w:t>包装标志：</w:t>
            </w:r>
            <w:r>
              <w:rPr>
                <w:rFonts w:ascii="Times New Roman" w:hAnsi="Times New Roman" w:eastAsia="Times New Roman" w:cs="Times New Roman"/>
              </w:rPr>
              <w:t>UN</w:t>
            </w:r>
            <w:r>
              <w:rPr>
                <w:rFonts w:ascii="Times New Roman" w:hAnsi="Times New Roman" w:eastAsia="Times New Roman" w:cs="Times New Roman"/>
                <w:spacing w:val="20"/>
              </w:rPr>
              <w:t xml:space="preserve"> </w:t>
            </w:r>
            <w:r>
              <w:rPr>
                <w:spacing w:val="7"/>
              </w:rPr>
              <w:t>编号：包装分类：</w:t>
            </w:r>
          </w:p>
        </w:tc>
      </w:tr>
      <w:tr>
        <w:trPr>
          <w:trHeight w:val="939" w:hRule="atLeast"/>
        </w:trPr>
        <w:tc>
          <w:tcPr>
            <w:tcW w:w="897" w:type="dxa"/>
            <w:vAlign w:val="top"/>
            <w:vMerge w:val="continue"/>
            <w:tcBorders>
              <w:left w:val="nil"/>
              <w:bottom w:val="nil"/>
              <w:top w:val="nil"/>
            </w:tcBorders>
          </w:tcPr>
          <w:p>
            <w:pPr>
              <w:rPr>
                <w:rFonts w:ascii="Arial"/>
                <w:sz w:val="21"/>
              </w:rPr>
            </w:pPr>
            <w:r/>
          </w:p>
        </w:tc>
        <w:tc>
          <w:tcPr>
            <w:tcW w:w="7625" w:type="dxa"/>
            <w:vAlign w:val="top"/>
            <w:tcBorders>
              <w:right w:val="nil"/>
            </w:tcBorders>
          </w:tcPr>
          <w:p>
            <w:pPr>
              <w:pStyle w:val="TableText"/>
              <w:ind w:left="121" w:right="112" w:firstLine="419"/>
              <w:spacing w:before="67" w:line="265" w:lineRule="auto"/>
              <w:jc w:val="both"/>
              <w:rPr/>
            </w:pPr>
            <w:r>
              <w:rPr>
                <w:spacing w:val="10"/>
              </w:rPr>
              <w:t>储运条件：储存于阴凉、通风的库房内。远</w:t>
            </w:r>
            <w:r>
              <w:rPr>
                <w:spacing w:val="9"/>
              </w:rPr>
              <w:t>离火种、热源。应与氧化剂、</w:t>
            </w:r>
            <w:r>
              <w:rPr>
                <w:spacing w:val="-48"/>
              </w:rPr>
              <w:t xml:space="preserve"> </w:t>
            </w:r>
            <w:r>
              <w:rPr>
                <w:spacing w:val="9"/>
              </w:rPr>
              <w:t>卤</w:t>
            </w:r>
            <w:r>
              <w:rPr>
                <w:spacing w:val="11"/>
              </w:rPr>
              <w:t>素分开存放，切忌混储。采用防爆型照明、通风设施。禁止使用易产生火花的机</w:t>
            </w:r>
            <w:r>
              <w:rPr>
                <w:spacing w:val="9"/>
              </w:rPr>
              <w:t>械设备和工具。储区应备有泄漏应急处理设备工具和合适的</w:t>
            </w:r>
          </w:p>
        </w:tc>
      </w:tr>
      <w:tr>
        <w:trPr>
          <w:trHeight w:val="2830" w:hRule="atLeast"/>
        </w:trPr>
        <w:tc>
          <w:tcPr>
            <w:tcW w:w="897" w:type="dxa"/>
            <w:vAlign w:val="top"/>
            <w:vMerge w:val="continue"/>
            <w:tcBorders>
              <w:left w:val="nil"/>
              <w:bottom w:val="single" w:color="000000" w:sz="10" w:space="0"/>
              <w:top w:val="nil"/>
            </w:tcBorders>
          </w:tcPr>
          <w:p>
            <w:pPr>
              <w:rPr>
                <w:rFonts w:ascii="Arial"/>
                <w:sz w:val="21"/>
              </w:rPr>
            </w:pPr>
            <w:r/>
          </w:p>
        </w:tc>
        <w:tc>
          <w:tcPr>
            <w:tcW w:w="7625" w:type="dxa"/>
            <w:vAlign w:val="top"/>
            <w:tcBorders>
              <w:right w:val="nil"/>
              <w:bottom w:val="single" w:color="000000" w:sz="10" w:space="0"/>
            </w:tcBorders>
          </w:tcPr>
          <w:p>
            <w:pPr>
              <w:pStyle w:val="TableText"/>
              <w:ind w:left="119" w:right="112" w:firstLine="432"/>
              <w:spacing w:before="70" w:line="282" w:lineRule="auto"/>
              <w:jc w:val="both"/>
              <w:rPr/>
            </w:pPr>
            <w:r>
              <w:rPr>
                <w:spacing w:val="11"/>
              </w:rPr>
              <w:t>收容材料。运输前应先检查包装容器是否完整、密封，运输过</w:t>
            </w:r>
            <w:r>
              <w:rPr>
                <w:spacing w:val="10"/>
              </w:rPr>
              <w:t>程中要确保容</w:t>
            </w:r>
            <w:r>
              <w:rPr>
                <w:spacing w:val="11"/>
              </w:rPr>
              <w:t>器不泄漏、不倒塌、不坠落、不损坏。运输时运输车辆配备相应的品种和数量的</w:t>
            </w:r>
            <w:r>
              <w:rPr>
                <w:spacing w:val="11"/>
              </w:rPr>
              <w:t>消防器材及泄漏应急处理设备。夏季最好早晚运输。运输时所用的槽车应有接地</w:t>
            </w:r>
            <w:r>
              <w:rPr>
                <w:spacing w:val="10"/>
              </w:rPr>
              <w:t>链，槽内可设隔板以减少震荡产生静电。严禁与氧化</w:t>
            </w:r>
            <w:r>
              <w:rPr>
                <w:spacing w:val="9"/>
              </w:rPr>
              <w:t>剂、</w:t>
            </w:r>
            <w:r>
              <w:rPr>
                <w:spacing w:val="-49"/>
              </w:rPr>
              <w:t xml:space="preserve"> </w:t>
            </w:r>
            <w:r>
              <w:rPr>
                <w:spacing w:val="9"/>
              </w:rPr>
              <w:t>卤素、食用化学品等混</w:t>
            </w:r>
            <w:r>
              <w:rPr>
                <w:spacing w:val="10"/>
              </w:rPr>
              <w:t>装混运。运输途中应防暴晒、雨淋，防高温。</w:t>
            </w:r>
            <w:r>
              <w:rPr>
                <w:spacing w:val="-51"/>
              </w:rPr>
              <w:t xml:space="preserve"> </w:t>
            </w:r>
            <w:r>
              <w:rPr>
                <w:spacing w:val="10"/>
              </w:rPr>
              <w:t>中途停留时</w:t>
            </w:r>
            <w:r>
              <w:rPr>
                <w:spacing w:val="9"/>
              </w:rPr>
              <w:t>应远离火种、热源、高</w:t>
            </w:r>
            <w:r>
              <w:rPr>
                <w:spacing w:val="11"/>
              </w:rPr>
              <w:t>温区。装运该物品的车辆排气管必须配备阻火装置，禁止使用易产生火花的机械</w:t>
            </w:r>
            <w:r>
              <w:rPr>
                <w:spacing w:val="11"/>
              </w:rPr>
              <w:t>设备和工具装卸。运输车船必须彻底清洗、消毒，否则不得装运其它物品。船运</w:t>
            </w:r>
            <w:r>
              <w:rPr>
                <w:spacing w:val="10"/>
              </w:rPr>
              <w:t>时，配装位置应远离卧室、厨房，并与机舱、</w:t>
            </w:r>
            <w:r>
              <w:rPr>
                <w:spacing w:val="-55"/>
              </w:rPr>
              <w:t xml:space="preserve"> </w:t>
            </w:r>
            <w:r>
              <w:rPr>
                <w:spacing w:val="10"/>
              </w:rPr>
              <w:t>电源、火源等部位隔</w:t>
            </w:r>
            <w:r>
              <w:rPr>
                <w:spacing w:val="9"/>
              </w:rPr>
              <w:t>离。公路运输</w:t>
            </w:r>
            <w:r>
              <w:rPr>
                <w:spacing w:val="7"/>
              </w:rPr>
              <w:t>时要按规定路线行驶。</w:t>
            </w:r>
          </w:p>
        </w:tc>
      </w:tr>
    </w:tbl>
    <w:p>
      <w:pPr>
        <w:pStyle w:val="BodyText"/>
        <w:spacing w:line="251" w:lineRule="auto"/>
        <w:rPr/>
      </w:pPr>
      <w:r/>
    </w:p>
    <w:p>
      <w:pPr>
        <w:pStyle w:val="BodyText"/>
        <w:spacing w:line="251" w:lineRule="auto"/>
        <w:rPr/>
      </w:pPr>
      <w:r/>
    </w:p>
    <w:p>
      <w:pPr>
        <w:ind w:left="2372"/>
        <w:spacing w:before="78" w:line="219"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8.4-3  </w:t>
      </w:r>
      <w:r>
        <w:rPr>
          <w:rFonts w:ascii="FangSong" w:hAnsi="FangSong" w:eastAsia="FangSong" w:cs="FangSong"/>
          <w:sz w:val="24"/>
          <w:szCs w:val="24"/>
          <w:b/>
          <w:bCs/>
          <w:spacing w:val="-3"/>
        </w:rPr>
        <w:t>硝酸铵理化性质和危险特性</w:t>
      </w:r>
    </w:p>
    <w:p>
      <w:pPr>
        <w:spacing w:line="68"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8"/>
        <w:gridCol w:w="2712"/>
        <w:gridCol w:w="4808"/>
      </w:tblGrid>
      <w:tr>
        <w:trPr>
          <w:trHeight w:val="318" w:hRule="atLeast"/>
        </w:trPr>
        <w:tc>
          <w:tcPr>
            <w:tcW w:w="998" w:type="dxa"/>
            <w:vAlign w:val="top"/>
            <w:vMerge w:val="restart"/>
            <w:tcBorders>
              <w:left w:val="nil"/>
              <w:top w:val="single" w:color="000000" w:sz="10" w:space="0"/>
              <w:bottom w:val="nil"/>
            </w:tcBorders>
          </w:tcPr>
          <w:p>
            <w:pPr>
              <w:spacing w:line="310" w:lineRule="auto"/>
              <w:rPr>
                <w:rFonts w:ascii="Arial"/>
                <w:sz w:val="21"/>
              </w:rPr>
            </w:pPr>
            <w:r/>
          </w:p>
          <w:p>
            <w:pPr>
              <w:pStyle w:val="TableText"/>
              <w:ind w:left="301"/>
              <w:spacing w:before="65" w:line="231" w:lineRule="auto"/>
              <w:rPr/>
            </w:pPr>
            <w:r>
              <w:rPr>
                <w:spacing w:val="2"/>
              </w:rPr>
              <w:t>标识</w:t>
            </w:r>
          </w:p>
        </w:tc>
        <w:tc>
          <w:tcPr>
            <w:tcW w:w="2712" w:type="dxa"/>
            <w:vAlign w:val="top"/>
            <w:tcBorders>
              <w:top w:val="single" w:color="000000" w:sz="10" w:space="0"/>
            </w:tcBorders>
          </w:tcPr>
          <w:p>
            <w:pPr>
              <w:pStyle w:val="TableText"/>
              <w:ind w:left="660"/>
              <w:spacing w:before="55" w:line="228" w:lineRule="auto"/>
              <w:rPr/>
            </w:pPr>
            <w:r>
              <w:rPr>
                <w:spacing w:val="4"/>
              </w:rPr>
              <w:t>中文名：硝酸铵</w:t>
            </w:r>
          </w:p>
        </w:tc>
        <w:tc>
          <w:tcPr>
            <w:tcW w:w="4808" w:type="dxa"/>
            <w:vAlign w:val="top"/>
            <w:tcBorders>
              <w:right w:val="nil"/>
              <w:top w:val="single" w:color="000000" w:sz="10" w:space="0"/>
            </w:tcBorders>
          </w:tcPr>
          <w:p>
            <w:pPr>
              <w:pStyle w:val="TableText"/>
              <w:ind w:left="1223"/>
              <w:spacing w:before="55" w:line="232" w:lineRule="auto"/>
              <w:rPr>
                <w:rFonts w:ascii="Times New Roman" w:hAnsi="Times New Roman" w:eastAsia="Times New Roman" w:cs="Times New Roman"/>
              </w:rPr>
            </w:pPr>
            <w:r>
              <w:rPr>
                <w:spacing w:val="19"/>
              </w:rPr>
              <w:t>英文名：</w:t>
            </w:r>
            <w:r>
              <w:rPr>
                <w:rFonts w:ascii="Times New Roman" w:hAnsi="Times New Roman" w:eastAsia="Times New Roman" w:cs="Times New Roman"/>
              </w:rPr>
              <w:t>ammonium</w:t>
            </w:r>
            <w:r>
              <w:rPr>
                <w:rFonts w:ascii="Times New Roman" w:hAnsi="Times New Roman" w:eastAsia="Times New Roman" w:cs="Times New Roman"/>
                <w:spacing w:val="19"/>
              </w:rPr>
              <w:t xml:space="preserve"> </w:t>
            </w:r>
            <w:r>
              <w:rPr>
                <w:rFonts w:ascii="Times New Roman" w:hAnsi="Times New Roman" w:eastAsia="Times New Roman" w:cs="Times New Roman"/>
              </w:rPr>
              <w:t>nitrate</w:t>
            </w:r>
          </w:p>
        </w:tc>
      </w:tr>
      <w:tr>
        <w:trPr>
          <w:trHeight w:val="313" w:hRule="atLeast"/>
        </w:trPr>
        <w:tc>
          <w:tcPr>
            <w:tcW w:w="998" w:type="dxa"/>
            <w:vAlign w:val="top"/>
            <w:vMerge w:val="continue"/>
            <w:tcBorders>
              <w:left w:val="nil"/>
              <w:top w:val="nil"/>
              <w:bottom w:val="nil"/>
            </w:tcBorders>
          </w:tcPr>
          <w:p>
            <w:pPr>
              <w:rPr>
                <w:rFonts w:ascii="Arial"/>
                <w:sz w:val="21"/>
              </w:rPr>
            </w:pPr>
            <w:r/>
          </w:p>
        </w:tc>
        <w:tc>
          <w:tcPr>
            <w:tcW w:w="2712" w:type="dxa"/>
            <w:vAlign w:val="top"/>
          </w:tcPr>
          <w:p>
            <w:pPr>
              <w:pStyle w:val="TableText"/>
              <w:ind w:left="525"/>
              <w:spacing w:before="53" w:line="230" w:lineRule="auto"/>
              <w:rPr>
                <w:rFonts w:ascii="Times New Roman" w:hAnsi="Times New Roman" w:eastAsia="Times New Roman" w:cs="Times New Roman"/>
                <w:sz w:val="13"/>
                <w:szCs w:val="13"/>
              </w:rPr>
            </w:pPr>
            <w:r>
              <w:rPr>
                <w:spacing w:val="9"/>
              </w:rPr>
              <w:t>分子式：</w:t>
            </w:r>
            <w:r>
              <w:rPr>
                <w:spacing w:val="9"/>
              </w:rPr>
              <w:t xml:space="preserve"> </w:t>
            </w:r>
            <w:r>
              <w:rPr>
                <w:rFonts w:ascii="Times New Roman" w:hAnsi="Times New Roman" w:eastAsia="Times New Roman" w:cs="Times New Roman"/>
              </w:rPr>
              <w:t>NH</w:t>
            </w:r>
            <w:r>
              <w:rPr>
                <w:rFonts w:ascii="Times New Roman" w:hAnsi="Times New Roman" w:eastAsia="Times New Roman" w:cs="Times New Roman"/>
                <w:sz w:val="13"/>
                <w:szCs w:val="13"/>
                <w:spacing w:val="9"/>
                <w:position w:val="-1"/>
              </w:rPr>
              <w:t>4</w:t>
            </w:r>
            <w:r>
              <w:rPr>
                <w:rFonts w:ascii="Times New Roman" w:hAnsi="Times New Roman" w:eastAsia="Times New Roman" w:cs="Times New Roman"/>
              </w:rPr>
              <w:t>NO</w:t>
            </w:r>
            <w:r>
              <w:rPr>
                <w:rFonts w:ascii="Times New Roman" w:hAnsi="Times New Roman" w:eastAsia="Times New Roman" w:cs="Times New Roman"/>
                <w:sz w:val="13"/>
                <w:szCs w:val="13"/>
                <w:spacing w:val="9"/>
                <w:position w:val="-1"/>
              </w:rPr>
              <w:t>3</w:t>
            </w:r>
          </w:p>
        </w:tc>
        <w:tc>
          <w:tcPr>
            <w:tcW w:w="4808" w:type="dxa"/>
            <w:vAlign w:val="top"/>
            <w:tcBorders>
              <w:right w:val="nil"/>
            </w:tcBorders>
          </w:tcPr>
          <w:p>
            <w:pPr>
              <w:pStyle w:val="TableText"/>
              <w:ind w:left="1326"/>
              <w:spacing w:before="53" w:line="230" w:lineRule="auto"/>
              <w:rPr>
                <w:rFonts w:ascii="Times New Roman" w:hAnsi="Times New Roman" w:eastAsia="Times New Roman" w:cs="Times New Roman"/>
              </w:rPr>
            </w:pPr>
            <w:r>
              <w:rPr>
                <w:rFonts w:ascii="Times New Roman" w:hAnsi="Times New Roman" w:eastAsia="Times New Roman" w:cs="Times New Roman"/>
              </w:rPr>
              <w:t>UN</w:t>
            </w:r>
            <w:r>
              <w:rPr>
                <w:rFonts w:ascii="Times New Roman" w:hAnsi="Times New Roman" w:eastAsia="Times New Roman" w:cs="Times New Roman"/>
                <w:spacing w:val="20"/>
              </w:rPr>
              <w:t xml:space="preserve"> </w:t>
            </w:r>
            <w:r>
              <w:rPr>
                <w:spacing w:val="4"/>
              </w:rPr>
              <w:t>编号：</w:t>
            </w:r>
            <w:r>
              <w:rPr>
                <w:rFonts w:ascii="Times New Roman" w:hAnsi="Times New Roman" w:eastAsia="Times New Roman" w:cs="Times New Roman"/>
                <w:spacing w:val="4"/>
              </w:rPr>
              <w:t>1942.5.</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rPr>
              <w:t>PG</w:t>
            </w:r>
            <w:r>
              <w:rPr>
                <w:rFonts w:ascii="Times New Roman" w:hAnsi="Times New Roman" w:eastAsia="Times New Roman" w:cs="Times New Roman"/>
                <w:spacing w:val="4"/>
              </w:rPr>
              <w:t>3</w:t>
            </w:r>
          </w:p>
        </w:tc>
      </w:tr>
      <w:tr>
        <w:trPr>
          <w:trHeight w:val="313" w:hRule="atLeast"/>
        </w:trPr>
        <w:tc>
          <w:tcPr>
            <w:tcW w:w="998" w:type="dxa"/>
            <w:vAlign w:val="top"/>
            <w:vMerge w:val="continue"/>
            <w:tcBorders>
              <w:left w:val="nil"/>
              <w:top w:val="nil"/>
            </w:tcBorders>
          </w:tcPr>
          <w:p>
            <w:pPr>
              <w:rPr>
                <w:rFonts w:ascii="Arial"/>
                <w:sz w:val="21"/>
              </w:rPr>
            </w:pPr>
            <w:r/>
          </w:p>
        </w:tc>
        <w:tc>
          <w:tcPr>
            <w:tcW w:w="2712" w:type="dxa"/>
            <w:vAlign w:val="top"/>
          </w:tcPr>
          <w:p>
            <w:pPr>
              <w:pStyle w:val="TableText"/>
              <w:ind w:left="712"/>
              <w:spacing w:before="60" w:line="224" w:lineRule="auto"/>
              <w:rPr>
                <w:rFonts w:ascii="Times New Roman" w:hAnsi="Times New Roman" w:eastAsia="Times New Roman" w:cs="Times New Roman"/>
              </w:rPr>
            </w:pPr>
            <w:r>
              <w:rPr>
                <w:spacing w:val="5"/>
              </w:rPr>
              <w:t>分子量：</w:t>
            </w:r>
            <w:r>
              <w:rPr>
                <w:rFonts w:ascii="Times New Roman" w:hAnsi="Times New Roman" w:eastAsia="Times New Roman" w:cs="Times New Roman"/>
                <w:spacing w:val="5"/>
              </w:rPr>
              <w:t>80.04</w:t>
            </w:r>
          </w:p>
        </w:tc>
        <w:tc>
          <w:tcPr>
            <w:tcW w:w="4808" w:type="dxa"/>
            <w:vAlign w:val="top"/>
            <w:tcBorders>
              <w:right w:val="nil"/>
            </w:tcBorders>
          </w:tcPr>
          <w:p>
            <w:pPr>
              <w:pStyle w:val="TableText"/>
              <w:ind w:left="1531"/>
              <w:spacing w:before="60" w:line="224" w:lineRule="auto"/>
              <w:rPr>
                <w:rFonts w:ascii="Times New Roman" w:hAnsi="Times New Roman" w:eastAsia="Times New Roman" w:cs="Times New Roman"/>
              </w:rPr>
            </w:pPr>
            <w:r>
              <w:rPr>
                <w:rFonts w:ascii="Times New Roman" w:hAnsi="Times New Roman" w:eastAsia="Times New Roman" w:cs="Times New Roman"/>
              </w:rPr>
              <w:t>CAS</w:t>
            </w:r>
            <w:r>
              <w:rPr>
                <w:rFonts w:ascii="Times New Roman" w:hAnsi="Times New Roman" w:eastAsia="Times New Roman" w:cs="Times New Roman"/>
                <w:spacing w:val="28"/>
              </w:rPr>
              <w:t xml:space="preserve"> </w:t>
            </w:r>
            <w:r>
              <w:rPr>
                <w:spacing w:val="4"/>
              </w:rPr>
              <w:t>号：</w:t>
            </w:r>
            <w:r>
              <w:rPr>
                <w:rFonts w:ascii="Times New Roman" w:hAnsi="Times New Roman" w:eastAsia="Times New Roman" w:cs="Times New Roman"/>
                <w:spacing w:val="4"/>
              </w:rPr>
              <w:t>6484-52-2</w:t>
            </w:r>
          </w:p>
        </w:tc>
      </w:tr>
      <w:tr>
        <w:trPr>
          <w:trHeight w:val="314" w:hRule="atLeast"/>
        </w:trPr>
        <w:tc>
          <w:tcPr>
            <w:tcW w:w="998" w:type="dxa"/>
            <w:vAlign w:val="top"/>
            <w:vMerge w:val="restart"/>
            <w:tcBorders>
              <w:left w:val="nil"/>
              <w:bottom w:val="nil"/>
            </w:tcBorders>
          </w:tcPr>
          <w:p>
            <w:pPr>
              <w:spacing w:line="322" w:lineRule="auto"/>
              <w:rPr>
                <w:rFonts w:ascii="Arial"/>
                <w:sz w:val="21"/>
              </w:rPr>
            </w:pPr>
            <w:r/>
          </w:p>
          <w:p>
            <w:pPr>
              <w:pStyle w:val="TableText"/>
              <w:ind w:left="412" w:right="181" w:hanging="212"/>
              <w:spacing w:before="65" w:line="290" w:lineRule="auto"/>
              <w:rPr/>
            </w:pPr>
            <w:r>
              <w:rPr>
                <w:spacing w:val="4"/>
              </w:rPr>
              <w:t>理化性</w:t>
            </w:r>
            <w:r>
              <w:rPr/>
              <w:t>质</w:t>
            </w:r>
          </w:p>
        </w:tc>
        <w:tc>
          <w:tcPr>
            <w:tcW w:w="7520" w:type="dxa"/>
            <w:vAlign w:val="top"/>
            <w:gridSpan w:val="2"/>
            <w:tcBorders>
              <w:right w:val="nil"/>
            </w:tcBorders>
          </w:tcPr>
          <w:p>
            <w:pPr>
              <w:pStyle w:val="TableText"/>
              <w:ind w:left="1150"/>
              <w:spacing w:before="63" w:line="222" w:lineRule="auto"/>
              <w:rPr/>
            </w:pPr>
            <w:r>
              <w:rPr>
                <w:spacing w:val="9"/>
              </w:rPr>
              <w:t>性状：无色无臭的透明结晶或呈白色的小颗粒，有潮解性</w:t>
            </w:r>
          </w:p>
        </w:tc>
      </w:tr>
      <w:tr>
        <w:trPr>
          <w:trHeight w:val="313" w:hRule="atLeast"/>
        </w:trPr>
        <w:tc>
          <w:tcPr>
            <w:tcW w:w="998" w:type="dxa"/>
            <w:vAlign w:val="top"/>
            <w:vMerge w:val="continue"/>
            <w:tcBorders>
              <w:left w:val="nil"/>
              <w:bottom w:val="nil"/>
              <w:top w:val="nil"/>
            </w:tcBorders>
          </w:tcPr>
          <w:p>
            <w:pPr>
              <w:rPr>
                <w:rFonts w:ascii="Arial"/>
                <w:sz w:val="21"/>
              </w:rPr>
            </w:pPr>
            <w:r/>
          </w:p>
        </w:tc>
        <w:tc>
          <w:tcPr>
            <w:tcW w:w="2712" w:type="dxa"/>
            <w:vAlign w:val="top"/>
          </w:tcPr>
          <w:p>
            <w:pPr>
              <w:pStyle w:val="TableText"/>
              <w:ind w:left="498"/>
              <w:spacing w:before="66" w:line="218" w:lineRule="auto"/>
              <w:rPr>
                <w:rFonts w:ascii="Times New Roman" w:hAnsi="Times New Roman" w:eastAsia="Times New Roman" w:cs="Times New Roman"/>
              </w:rPr>
            </w:pPr>
            <w:r>
              <w:rPr/>
              <w:t>熔点</w:t>
            </w:r>
            <w:r>
              <w:rPr>
                <w:spacing w:val="20"/>
              </w:rPr>
              <w:t xml:space="preserve"> </w:t>
            </w:r>
            <w:r>
              <w:rPr/>
              <w:t>(</w:t>
            </w:r>
            <w:r>
              <w:rPr>
                <w:rFonts w:ascii="Times New Roman" w:hAnsi="Times New Roman" w:eastAsia="Times New Roman" w:cs="Times New Roman"/>
              </w:rPr>
              <w:t>℃</w:t>
            </w:r>
            <w:r>
              <w:rPr/>
              <w:t>)</w:t>
            </w:r>
            <w:r>
              <w:rPr>
                <w:spacing w:val="47"/>
              </w:rPr>
              <w:t xml:space="preserve"> </w:t>
            </w:r>
            <w:r>
              <w:rPr/>
              <w:t>：</w:t>
            </w:r>
            <w:r>
              <w:rPr>
                <w:rFonts w:ascii="Times New Roman" w:hAnsi="Times New Roman" w:eastAsia="Times New Roman" w:cs="Times New Roman"/>
              </w:rPr>
              <w:t>169.6</w:t>
            </w:r>
          </w:p>
        </w:tc>
        <w:tc>
          <w:tcPr>
            <w:tcW w:w="4808" w:type="dxa"/>
            <w:vAlign w:val="top"/>
            <w:tcBorders>
              <w:right w:val="nil"/>
            </w:tcBorders>
          </w:tcPr>
          <w:p>
            <w:pPr>
              <w:pStyle w:val="TableText"/>
              <w:ind w:left="1282"/>
              <w:spacing w:before="28" w:line="275" w:lineRule="exact"/>
              <w:rPr>
                <w:rFonts w:ascii="Times New Roman" w:hAnsi="Times New Roman" w:eastAsia="Times New Roman" w:cs="Times New Roman"/>
              </w:rPr>
            </w:pPr>
            <w:r>
              <w:rPr>
                <w:spacing w:val="3"/>
                <w:position w:val="1"/>
              </w:rPr>
              <w:t>相对密度（水</w:t>
            </w:r>
            <w:r>
              <w:rPr>
                <w:rFonts w:ascii="Times New Roman" w:hAnsi="Times New Roman" w:eastAsia="Times New Roman" w:cs="Times New Roman"/>
                <w:spacing w:val="3"/>
                <w:position w:val="1"/>
              </w:rPr>
              <w:t>=1</w:t>
            </w:r>
            <w:r>
              <w:rPr>
                <w:spacing w:val="27"/>
                <w:position w:val="1"/>
              </w:rPr>
              <w:t>）：</w:t>
            </w:r>
            <w:r>
              <w:rPr>
                <w:rFonts w:ascii="Times New Roman" w:hAnsi="Times New Roman" w:eastAsia="Times New Roman" w:cs="Times New Roman"/>
                <w:spacing w:val="3"/>
                <w:position w:val="1"/>
              </w:rPr>
              <w:t>1.72</w:t>
            </w:r>
          </w:p>
        </w:tc>
      </w:tr>
      <w:tr>
        <w:trPr>
          <w:trHeight w:val="314" w:hRule="atLeast"/>
        </w:trPr>
        <w:tc>
          <w:tcPr>
            <w:tcW w:w="998" w:type="dxa"/>
            <w:vAlign w:val="top"/>
            <w:vMerge w:val="continue"/>
            <w:tcBorders>
              <w:left w:val="nil"/>
              <w:bottom w:val="nil"/>
              <w:top w:val="nil"/>
            </w:tcBorders>
          </w:tcPr>
          <w:p>
            <w:pPr>
              <w:rPr>
                <w:rFonts w:ascii="Arial"/>
                <w:sz w:val="21"/>
              </w:rPr>
            </w:pPr>
            <w:r/>
          </w:p>
        </w:tc>
        <w:tc>
          <w:tcPr>
            <w:tcW w:w="2712" w:type="dxa"/>
            <w:vAlign w:val="top"/>
          </w:tcPr>
          <w:p>
            <w:pPr>
              <w:pStyle w:val="TableText"/>
              <w:ind w:left="583"/>
              <w:spacing w:before="69" w:line="216" w:lineRule="auto"/>
              <w:rPr>
                <w:rFonts w:ascii="Times New Roman" w:hAnsi="Times New Roman" w:eastAsia="Times New Roman" w:cs="Times New Roman"/>
              </w:rPr>
            </w:pPr>
            <w:r>
              <w:rPr>
                <w:spacing w:val="-2"/>
              </w:rPr>
              <w:t>沸点</w:t>
            </w:r>
            <w:r>
              <w:rPr>
                <w:spacing w:val="26"/>
              </w:rPr>
              <w:t xml:space="preserve"> </w:t>
            </w:r>
            <w:r>
              <w:rPr>
                <w:spacing w:val="-2"/>
              </w:rPr>
              <w:t>(</w:t>
            </w:r>
            <w:r>
              <w:rPr>
                <w:rFonts w:ascii="Times New Roman" w:hAnsi="Times New Roman" w:eastAsia="Times New Roman" w:cs="Times New Roman"/>
                <w:spacing w:val="-2"/>
              </w:rPr>
              <w:t>℃</w:t>
            </w:r>
            <w:r>
              <w:rPr>
                <w:spacing w:val="-2"/>
              </w:rPr>
              <w:t>)</w:t>
            </w:r>
            <w:r>
              <w:rPr>
                <w:spacing w:val="47"/>
              </w:rPr>
              <w:t xml:space="preserve"> </w:t>
            </w:r>
            <w:r>
              <w:rPr>
                <w:spacing w:val="-2"/>
              </w:rPr>
              <w:t>：</w:t>
            </w:r>
            <w:r>
              <w:rPr>
                <w:rFonts w:ascii="Times New Roman" w:hAnsi="Times New Roman" w:eastAsia="Times New Roman" w:cs="Times New Roman"/>
                <w:spacing w:val="-2"/>
              </w:rPr>
              <w:t>210</w:t>
            </w:r>
          </w:p>
        </w:tc>
        <w:tc>
          <w:tcPr>
            <w:tcW w:w="4808" w:type="dxa"/>
            <w:vAlign w:val="top"/>
            <w:tcBorders>
              <w:right w:val="nil"/>
            </w:tcBorders>
          </w:tcPr>
          <w:p>
            <w:pPr>
              <w:pStyle w:val="TableText"/>
              <w:ind w:left="1419"/>
              <w:spacing w:before="69" w:line="216" w:lineRule="auto"/>
              <w:rPr/>
            </w:pPr>
            <w:r>
              <w:rPr>
                <w:spacing w:val="9"/>
              </w:rPr>
              <w:t>饱和蒸气压（</w:t>
            </w:r>
            <w:r>
              <w:rPr>
                <w:rFonts w:ascii="Times New Roman" w:hAnsi="Times New Roman" w:eastAsia="Times New Roman" w:cs="Times New Roman"/>
              </w:rPr>
              <w:t>kPa</w:t>
            </w:r>
            <w:r>
              <w:rPr>
                <w:spacing w:val="1"/>
              </w:rPr>
              <w:t>）：</w:t>
            </w:r>
          </w:p>
        </w:tc>
      </w:tr>
      <w:tr>
        <w:trPr>
          <w:trHeight w:val="335" w:hRule="atLeast"/>
        </w:trPr>
        <w:tc>
          <w:tcPr>
            <w:tcW w:w="998" w:type="dxa"/>
            <w:vAlign w:val="top"/>
            <w:vMerge w:val="continue"/>
            <w:tcBorders>
              <w:left w:val="nil"/>
              <w:bottom w:val="single" w:color="000000" w:sz="10" w:space="0"/>
              <w:top w:val="nil"/>
            </w:tcBorders>
          </w:tcPr>
          <w:p>
            <w:pPr>
              <w:rPr>
                <w:rFonts w:ascii="Arial"/>
                <w:sz w:val="21"/>
              </w:rPr>
            </w:pPr>
            <w:r/>
          </w:p>
        </w:tc>
        <w:tc>
          <w:tcPr>
            <w:tcW w:w="7520" w:type="dxa"/>
            <w:vAlign w:val="top"/>
            <w:gridSpan w:val="2"/>
            <w:tcBorders>
              <w:right w:val="nil"/>
              <w:bottom w:val="single" w:color="000000" w:sz="10" w:space="0"/>
            </w:tcBorders>
          </w:tcPr>
          <w:p>
            <w:pPr>
              <w:pStyle w:val="TableText"/>
              <w:ind w:left="1355"/>
              <w:spacing w:before="72" w:line="229" w:lineRule="auto"/>
              <w:rPr/>
            </w:pPr>
            <w:r>
              <w:rPr>
                <w:spacing w:val="9"/>
              </w:rPr>
              <w:t>溶解性：易溶于水、乙醇、丙酮、氨水、不溶于乙醚</w:t>
            </w:r>
          </w:p>
        </w:tc>
      </w:tr>
    </w:tbl>
    <w:p>
      <w:pPr>
        <w:pStyle w:val="BodyText"/>
        <w:rPr/>
      </w:pPr>
      <w:r/>
    </w:p>
    <w:p>
      <w:pPr>
        <w:sectPr>
          <w:footerReference w:type="default" r:id="rId368"/>
          <w:pgSz w:w="11906" w:h="16839"/>
          <w:pgMar w:top="400" w:right="1691" w:bottom="1358" w:left="1691" w:header="0" w:footer="1195" w:gutter="0"/>
        </w:sectPr>
        <w:rPr/>
      </w:pPr>
    </w:p>
    <w:p>
      <w:pPr>
        <w:spacing w:before="19"/>
        <w:rPr/>
      </w:pPr>
      <w:r/>
    </w:p>
    <w:p>
      <w:pPr>
        <w:spacing w:before="19"/>
        <w:rPr/>
      </w:pPr>
      <w:r/>
    </w:p>
    <w:p>
      <w:pPr>
        <w:spacing w:before="18"/>
        <w:rPr/>
      </w:pPr>
      <w:r/>
    </w:p>
    <w:p>
      <w:pPr>
        <w:spacing w:before="18"/>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8"/>
        <w:gridCol w:w="1654"/>
        <w:gridCol w:w="5866"/>
      </w:tblGrid>
      <w:tr>
        <w:trPr>
          <w:trHeight w:val="321" w:hRule="atLeast"/>
        </w:trPr>
        <w:tc>
          <w:tcPr>
            <w:tcW w:w="998" w:type="dxa"/>
            <w:vAlign w:val="top"/>
            <w:vMerge w:val="restart"/>
            <w:tcBorders>
              <w:left w:val="nil"/>
              <w:top w:val="single" w:color="000000" w:sz="10" w:space="0"/>
              <w:bottom w:val="nil"/>
            </w:tcBorders>
          </w:tcPr>
          <w:p>
            <w:pPr>
              <w:spacing w:line="460" w:lineRule="auto"/>
              <w:rPr>
                <w:rFonts w:ascii="Arial"/>
                <w:sz w:val="21"/>
              </w:rPr>
            </w:pPr>
            <w:r/>
          </w:p>
          <w:p>
            <w:pPr>
              <w:pStyle w:val="TableText"/>
              <w:ind w:left="201"/>
              <w:spacing w:before="65" w:line="229" w:lineRule="auto"/>
              <w:rPr/>
            </w:pPr>
            <w:bookmarkStart w:name="bookmark622" w:id="486"/>
            <w:bookmarkEnd w:id="486"/>
            <w:r>
              <w:rPr>
                <w:spacing w:val="4"/>
              </w:rPr>
              <w:t>毒性及</w:t>
            </w:r>
          </w:p>
          <w:p>
            <w:pPr>
              <w:pStyle w:val="TableText"/>
              <w:ind w:left="197"/>
              <w:spacing w:before="64" w:line="231" w:lineRule="auto"/>
              <w:rPr/>
            </w:pPr>
            <w:r>
              <w:rPr>
                <w:spacing w:val="5"/>
              </w:rPr>
              <w:t>健康危</w:t>
            </w:r>
          </w:p>
          <w:p>
            <w:pPr>
              <w:pStyle w:val="TableText"/>
              <w:ind w:left="407"/>
              <w:spacing w:before="61" w:line="232" w:lineRule="auto"/>
              <w:rPr/>
            </w:pPr>
            <w:r>
              <w:rPr/>
              <w:t>害</w:t>
            </w:r>
          </w:p>
        </w:tc>
        <w:tc>
          <w:tcPr>
            <w:tcW w:w="1654" w:type="dxa"/>
            <w:vAlign w:val="top"/>
            <w:tcBorders>
              <w:top w:val="single" w:color="000000" w:sz="10" w:space="0"/>
            </w:tcBorders>
          </w:tcPr>
          <w:p>
            <w:pPr>
              <w:pStyle w:val="TableText"/>
              <w:ind w:left="630"/>
              <w:spacing w:before="55" w:line="229" w:lineRule="auto"/>
              <w:rPr/>
            </w:pPr>
            <w:r>
              <w:rPr/>
              <w:t>毒性</w:t>
            </w:r>
          </w:p>
        </w:tc>
        <w:tc>
          <w:tcPr>
            <w:tcW w:w="5866" w:type="dxa"/>
            <w:vAlign w:val="top"/>
            <w:tcBorders>
              <w:right w:val="nil"/>
              <w:top w:val="single" w:color="000000" w:sz="10" w:space="0"/>
            </w:tcBorders>
          </w:tcPr>
          <w:p>
            <w:pPr>
              <w:pStyle w:val="TableText"/>
              <w:ind w:left="630"/>
              <w:spacing w:before="55" w:line="221" w:lineRule="auto"/>
              <w:rPr/>
            </w:pPr>
            <w:r>
              <w:rPr>
                <w:rFonts w:ascii="Times New Roman" w:hAnsi="Times New Roman" w:eastAsia="Times New Roman" w:cs="Times New Roman"/>
              </w:rPr>
              <w:t>LDsn</w:t>
            </w:r>
            <w:r>
              <w:rPr>
                <w:spacing w:val="9"/>
              </w:rPr>
              <w:t>：</w:t>
            </w:r>
            <w:r>
              <w:rPr>
                <w:rFonts w:ascii="Times New Roman" w:hAnsi="Times New Roman" w:eastAsia="Times New Roman" w:cs="Times New Roman"/>
                <w:spacing w:val="9"/>
              </w:rPr>
              <w:t>4820</w:t>
            </w:r>
            <w:r>
              <w:rPr>
                <w:rFonts w:ascii="Times New Roman" w:hAnsi="Times New Roman" w:eastAsia="Times New Roman" w:cs="Times New Roman"/>
              </w:rPr>
              <w:t>mg</w:t>
            </w:r>
            <w:r>
              <w:rPr>
                <w:rFonts w:ascii="Times New Roman" w:hAnsi="Times New Roman" w:eastAsia="Times New Roman" w:cs="Times New Roman"/>
                <w:spacing w:val="9"/>
              </w:rPr>
              <w:t>/</w:t>
            </w:r>
            <w:r>
              <w:rPr>
                <w:rFonts w:ascii="Times New Roman" w:hAnsi="Times New Roman" w:eastAsia="Times New Roman" w:cs="Times New Roman"/>
              </w:rPr>
              <w:t>kg</w:t>
            </w:r>
            <w:r>
              <w:rPr>
                <w:spacing w:val="9"/>
              </w:rPr>
              <w:t>（小鼠经</w:t>
            </w:r>
            <w:r>
              <w:rPr>
                <w:spacing w:val="-48"/>
              </w:rPr>
              <w:t xml:space="preserve"> </w:t>
            </w:r>
            <w:r>
              <w:rPr>
                <w:spacing w:val="9"/>
              </w:rPr>
              <w:t>口</w:t>
            </w:r>
            <w:r>
              <w:rPr>
                <w:spacing w:val="3"/>
              </w:rPr>
              <w:t>）；</w:t>
            </w:r>
            <w:r>
              <w:rPr>
                <w:rFonts w:ascii="Times New Roman" w:hAnsi="Times New Roman" w:eastAsia="Times New Roman" w:cs="Times New Roman"/>
              </w:rPr>
              <w:t>LCsn</w:t>
            </w:r>
            <w:r>
              <w:rPr>
                <w:spacing w:val="9"/>
              </w:rPr>
              <w:t>：无资料。</w:t>
            </w:r>
          </w:p>
        </w:tc>
      </w:tr>
      <w:tr>
        <w:trPr>
          <w:trHeight w:val="1561" w:hRule="atLeast"/>
        </w:trPr>
        <w:tc>
          <w:tcPr>
            <w:tcW w:w="998" w:type="dxa"/>
            <w:vAlign w:val="top"/>
            <w:vMerge w:val="continue"/>
            <w:tcBorders>
              <w:left w:val="nil"/>
              <w:top w:val="nil"/>
            </w:tcBorders>
          </w:tcPr>
          <w:p>
            <w:pPr>
              <w:rPr>
                <w:rFonts w:ascii="Arial"/>
                <w:sz w:val="21"/>
              </w:rPr>
            </w:pPr>
            <w:r/>
          </w:p>
        </w:tc>
        <w:tc>
          <w:tcPr>
            <w:tcW w:w="1654" w:type="dxa"/>
            <w:vAlign w:val="top"/>
          </w:tcPr>
          <w:p>
            <w:pPr>
              <w:spacing w:line="303" w:lineRule="auto"/>
              <w:rPr>
                <w:rFonts w:ascii="Arial"/>
                <w:sz w:val="21"/>
              </w:rPr>
            </w:pPr>
            <w:r/>
          </w:p>
          <w:p>
            <w:pPr>
              <w:spacing w:line="303" w:lineRule="auto"/>
              <w:rPr>
                <w:rFonts w:ascii="Arial"/>
                <w:sz w:val="21"/>
              </w:rPr>
            </w:pPr>
            <w:r/>
          </w:p>
          <w:p>
            <w:pPr>
              <w:pStyle w:val="TableText"/>
              <w:ind w:left="416"/>
              <w:spacing w:before="65" w:line="231" w:lineRule="auto"/>
              <w:rPr/>
            </w:pPr>
            <w:r>
              <w:rPr>
                <w:spacing w:val="6"/>
              </w:rPr>
              <w:t>健康危害</w:t>
            </w:r>
          </w:p>
        </w:tc>
        <w:tc>
          <w:tcPr>
            <w:tcW w:w="5866" w:type="dxa"/>
            <w:vAlign w:val="top"/>
            <w:tcBorders>
              <w:right w:val="nil"/>
            </w:tcBorders>
          </w:tcPr>
          <w:p>
            <w:pPr>
              <w:pStyle w:val="TableText"/>
              <w:ind w:left="121" w:right="40" w:firstLine="419"/>
              <w:spacing w:before="50" w:line="277" w:lineRule="auto"/>
              <w:jc w:val="both"/>
              <w:rPr/>
            </w:pPr>
            <w:r>
              <w:rPr>
                <w:spacing w:val="3"/>
              </w:rPr>
              <w:t>对呼吸道、眼及皮肤有刺激性。接触后克引起恶心、呕吐、</w:t>
            </w:r>
            <w:r>
              <w:rPr>
                <w:spacing w:val="8"/>
              </w:rPr>
              <w:t>头痛、虚弱、无力和虚脱等。大量接触可引起高铁血红蛋白血</w:t>
            </w:r>
            <w:r>
              <w:rPr>
                <w:spacing w:val="8"/>
              </w:rPr>
              <w:t>症，影响血液的携氧能力，出现紫绀、头痛、头晕、虚脱，甚</w:t>
            </w:r>
            <w:r>
              <w:rPr>
                <w:spacing w:val="8"/>
              </w:rPr>
              <w:t>至死亡。</w:t>
            </w:r>
            <w:r>
              <w:rPr>
                <w:spacing w:val="-40"/>
              </w:rPr>
              <w:t xml:space="preserve"> </w:t>
            </w:r>
            <w:r>
              <w:rPr>
                <w:spacing w:val="8"/>
              </w:rPr>
              <w:t>口胀引起剧烈腹痛、呕吐、血便、休克、</w:t>
            </w:r>
            <w:r>
              <w:rPr>
                <w:spacing w:val="7"/>
              </w:rPr>
              <w:t>全身抽搐，</w:t>
            </w:r>
            <w:r>
              <w:rPr>
                <w:spacing w:val="6"/>
              </w:rPr>
              <w:t>昏迷，甚至死亡。</w:t>
            </w:r>
          </w:p>
        </w:tc>
      </w:tr>
      <w:tr>
        <w:trPr>
          <w:trHeight w:val="1250" w:hRule="atLeast"/>
        </w:trPr>
        <w:tc>
          <w:tcPr>
            <w:tcW w:w="998" w:type="dxa"/>
            <w:vAlign w:val="top"/>
            <w:tcBorders>
              <w:left w:val="nil"/>
            </w:tcBorders>
          </w:tcPr>
          <w:p>
            <w:pPr>
              <w:spacing w:line="303" w:lineRule="auto"/>
              <w:rPr>
                <w:rFonts w:ascii="Arial"/>
                <w:sz w:val="21"/>
              </w:rPr>
            </w:pPr>
            <w:r/>
          </w:p>
          <w:p>
            <w:pPr>
              <w:pStyle w:val="TableText"/>
              <w:ind w:left="413" w:right="181" w:hanging="203"/>
              <w:spacing w:before="65" w:line="290" w:lineRule="auto"/>
              <w:rPr/>
            </w:pPr>
            <w:r>
              <w:rPr>
                <w:spacing w:val="1"/>
              </w:rPr>
              <w:t>急救方</w:t>
            </w:r>
            <w:r>
              <w:rPr/>
              <w:t>法</w:t>
            </w:r>
          </w:p>
        </w:tc>
        <w:tc>
          <w:tcPr>
            <w:tcW w:w="7520" w:type="dxa"/>
            <w:vAlign w:val="top"/>
            <w:gridSpan w:val="2"/>
            <w:tcBorders>
              <w:right w:val="nil"/>
            </w:tcBorders>
          </w:tcPr>
          <w:p>
            <w:pPr>
              <w:pStyle w:val="TableText"/>
              <w:ind w:left="119" w:right="50" w:firstLine="429"/>
              <w:spacing w:before="56" w:line="273" w:lineRule="auto"/>
              <w:jc w:val="both"/>
              <w:rPr/>
            </w:pPr>
            <w:r>
              <w:rPr>
                <w:spacing w:val="3"/>
              </w:rPr>
              <w:t>皮肤接触：脱去被污染的衣着，用大量流动清水冲洗。眼睛接触：提起眼睑，</w:t>
            </w:r>
            <w:r>
              <w:rPr>
                <w:spacing w:val="8"/>
              </w:rPr>
              <w:t>用流动清水或生理盐水冲洗，就医。吸入：迅速脱离现场至空气新鲜处。保持呼</w:t>
            </w:r>
            <w:r>
              <w:rPr>
                <w:spacing w:val="4"/>
              </w:rPr>
              <w:t>吸道通畅。如呼吸困难，给输氧。如停止呼吸，立即进行人工呼吸。就医。食入：</w:t>
            </w:r>
            <w:r>
              <w:rPr>
                <w:spacing w:val="4"/>
              </w:rPr>
              <w:t>用水漱</w:t>
            </w:r>
            <w:r>
              <w:rPr>
                <w:spacing w:val="-38"/>
              </w:rPr>
              <w:t xml:space="preserve"> </w:t>
            </w:r>
            <w:r>
              <w:rPr>
                <w:spacing w:val="4"/>
              </w:rPr>
              <w:t>口，给牛奶或蛋清，就医。</w:t>
            </w:r>
          </w:p>
        </w:tc>
      </w:tr>
      <w:tr>
        <w:trPr>
          <w:trHeight w:val="316" w:hRule="atLeast"/>
        </w:trPr>
        <w:tc>
          <w:tcPr>
            <w:tcW w:w="998" w:type="dxa"/>
            <w:vAlign w:val="top"/>
            <w:vMerge w:val="restart"/>
            <w:tcBorders>
              <w:left w:val="nil"/>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99"/>
              <w:spacing w:before="65" w:line="232" w:lineRule="auto"/>
              <w:rPr/>
            </w:pPr>
            <w:r>
              <w:rPr>
                <w:spacing w:val="4"/>
              </w:rPr>
              <w:t>燃烧爆</w:t>
            </w:r>
          </w:p>
          <w:p>
            <w:pPr>
              <w:pStyle w:val="TableText"/>
              <w:ind w:left="197"/>
              <w:spacing w:before="60" w:line="231" w:lineRule="auto"/>
              <w:rPr/>
            </w:pPr>
            <w:r>
              <w:rPr>
                <w:spacing w:val="5"/>
              </w:rPr>
              <w:t>炸危险</w:t>
            </w:r>
          </w:p>
          <w:p>
            <w:pPr>
              <w:pStyle w:val="TableText"/>
              <w:ind w:left="410"/>
              <w:spacing w:before="61" w:line="229" w:lineRule="auto"/>
              <w:rPr/>
            </w:pPr>
            <w:r>
              <w:rPr/>
              <w:t>性</w:t>
            </w:r>
          </w:p>
        </w:tc>
        <w:tc>
          <w:tcPr>
            <w:tcW w:w="1654" w:type="dxa"/>
            <w:vAlign w:val="top"/>
          </w:tcPr>
          <w:p>
            <w:pPr>
              <w:pStyle w:val="TableText"/>
              <w:ind w:left="209"/>
              <w:spacing w:before="60" w:line="227" w:lineRule="auto"/>
              <w:rPr/>
            </w:pPr>
            <w:r>
              <w:rPr>
                <w:spacing w:val="7"/>
              </w:rPr>
              <w:t>燃烧性：助燃</w:t>
            </w:r>
          </w:p>
        </w:tc>
        <w:tc>
          <w:tcPr>
            <w:tcW w:w="5866" w:type="dxa"/>
            <w:vAlign w:val="top"/>
            <w:tcBorders>
              <w:right w:val="nil"/>
            </w:tcBorders>
          </w:tcPr>
          <w:p>
            <w:pPr>
              <w:pStyle w:val="TableText"/>
              <w:ind w:left="540"/>
              <w:spacing w:before="60" w:line="227" w:lineRule="auto"/>
              <w:rPr/>
            </w:pPr>
            <w:r>
              <w:rPr>
                <w:spacing w:val="8"/>
              </w:rPr>
              <w:t>燃烧分解产物：氮氧化物</w:t>
            </w:r>
          </w:p>
        </w:tc>
      </w:tr>
      <w:tr>
        <w:trPr>
          <w:trHeight w:val="316" w:hRule="atLeast"/>
        </w:trPr>
        <w:tc>
          <w:tcPr>
            <w:tcW w:w="998" w:type="dxa"/>
            <w:vAlign w:val="top"/>
            <w:vMerge w:val="continue"/>
            <w:tcBorders>
              <w:left w:val="nil"/>
              <w:bottom w:val="nil"/>
              <w:top w:val="nil"/>
            </w:tcBorders>
          </w:tcPr>
          <w:p>
            <w:pPr>
              <w:rPr>
                <w:rFonts w:ascii="Arial"/>
                <w:sz w:val="21"/>
              </w:rPr>
            </w:pPr>
            <w:r/>
          </w:p>
        </w:tc>
        <w:tc>
          <w:tcPr>
            <w:tcW w:w="1654" w:type="dxa"/>
            <w:vAlign w:val="top"/>
          </w:tcPr>
          <w:p>
            <w:pPr>
              <w:pStyle w:val="TableText"/>
              <w:ind w:left="528"/>
              <w:spacing w:before="60" w:line="227" w:lineRule="auto"/>
              <w:rPr/>
            </w:pPr>
            <w:r>
              <w:rPr>
                <w:spacing w:val="3"/>
              </w:rPr>
              <w:t>禁忌物</w:t>
            </w:r>
          </w:p>
        </w:tc>
        <w:tc>
          <w:tcPr>
            <w:tcW w:w="5866" w:type="dxa"/>
            <w:vAlign w:val="top"/>
            <w:tcBorders>
              <w:right w:val="nil"/>
            </w:tcBorders>
          </w:tcPr>
          <w:p>
            <w:pPr>
              <w:pStyle w:val="TableText"/>
              <w:ind w:left="545"/>
              <w:spacing w:before="60" w:line="227" w:lineRule="auto"/>
              <w:rPr/>
            </w:pPr>
            <w:r>
              <w:rPr>
                <w:spacing w:val="9"/>
              </w:rPr>
              <w:t>强还原剂、强酸、易燃或可燃物、活性金属</w:t>
            </w:r>
            <w:r>
              <w:rPr>
                <w:spacing w:val="8"/>
              </w:rPr>
              <w:t>粉末</w:t>
            </w:r>
          </w:p>
        </w:tc>
      </w:tr>
      <w:tr>
        <w:trPr>
          <w:trHeight w:val="316" w:hRule="atLeast"/>
        </w:trPr>
        <w:tc>
          <w:tcPr>
            <w:tcW w:w="998" w:type="dxa"/>
            <w:vAlign w:val="top"/>
            <w:vMerge w:val="continue"/>
            <w:tcBorders>
              <w:left w:val="nil"/>
              <w:bottom w:val="nil"/>
              <w:top w:val="nil"/>
            </w:tcBorders>
          </w:tcPr>
          <w:p>
            <w:pPr>
              <w:rPr>
                <w:rFonts w:ascii="Arial"/>
                <w:sz w:val="21"/>
              </w:rPr>
            </w:pPr>
            <w:r/>
          </w:p>
        </w:tc>
        <w:tc>
          <w:tcPr>
            <w:tcW w:w="1654" w:type="dxa"/>
            <w:vAlign w:val="top"/>
          </w:tcPr>
          <w:p>
            <w:pPr>
              <w:pStyle w:val="TableText"/>
              <w:ind w:right="12"/>
              <w:spacing w:before="61" w:line="226" w:lineRule="auto"/>
              <w:jc w:val="right"/>
              <w:rPr/>
            </w:pPr>
            <w:r>
              <w:rPr/>
              <w:t>爆炸极限（</w:t>
            </w:r>
            <w:r>
              <w:rPr>
                <w:rFonts w:ascii="Times New Roman" w:hAnsi="Times New Roman" w:eastAsia="Times New Roman" w:cs="Times New Roman"/>
              </w:rPr>
              <w:t>V%</w:t>
            </w:r>
            <w:r>
              <w:rPr/>
              <w:t>）</w:t>
            </w:r>
          </w:p>
        </w:tc>
        <w:tc>
          <w:tcPr>
            <w:tcW w:w="5866" w:type="dxa"/>
            <w:vAlign w:val="top"/>
            <w:tcBorders>
              <w:right w:val="nil"/>
            </w:tcBorders>
          </w:tcPr>
          <w:p>
            <w:pPr>
              <w:pStyle w:val="TableText"/>
              <w:ind w:left="539"/>
              <w:spacing w:before="61" w:line="226" w:lineRule="auto"/>
              <w:rPr/>
            </w:pPr>
            <w:r>
              <w:rPr>
                <w:spacing w:val="7"/>
              </w:rPr>
              <w:t>稳定性：稳定</w:t>
            </w:r>
          </w:p>
        </w:tc>
      </w:tr>
      <w:tr>
        <w:trPr>
          <w:trHeight w:val="1249" w:hRule="atLeast"/>
        </w:trPr>
        <w:tc>
          <w:tcPr>
            <w:tcW w:w="998" w:type="dxa"/>
            <w:vAlign w:val="top"/>
            <w:vMerge w:val="continue"/>
            <w:tcBorders>
              <w:left w:val="nil"/>
              <w:bottom w:val="nil"/>
              <w:top w:val="nil"/>
            </w:tcBorders>
          </w:tcPr>
          <w:p>
            <w:pPr>
              <w:rPr>
                <w:rFonts w:ascii="Arial"/>
                <w:sz w:val="21"/>
              </w:rPr>
            </w:pPr>
            <w:r/>
          </w:p>
        </w:tc>
        <w:tc>
          <w:tcPr>
            <w:tcW w:w="1654" w:type="dxa"/>
            <w:vAlign w:val="top"/>
          </w:tcPr>
          <w:p>
            <w:pPr>
              <w:spacing w:line="461" w:lineRule="auto"/>
              <w:rPr>
                <w:rFonts w:ascii="Arial"/>
                <w:sz w:val="21"/>
              </w:rPr>
            </w:pPr>
            <w:r/>
          </w:p>
          <w:p>
            <w:pPr>
              <w:pStyle w:val="TableText"/>
              <w:ind w:left="422"/>
              <w:spacing w:before="65" w:line="229" w:lineRule="auto"/>
              <w:rPr/>
            </w:pPr>
            <w:r>
              <w:rPr>
                <w:spacing w:val="4"/>
              </w:rPr>
              <w:t>危险特性</w:t>
            </w:r>
          </w:p>
        </w:tc>
        <w:tc>
          <w:tcPr>
            <w:tcW w:w="5866" w:type="dxa"/>
            <w:vAlign w:val="top"/>
            <w:tcBorders>
              <w:right w:val="nil"/>
            </w:tcBorders>
          </w:tcPr>
          <w:p>
            <w:pPr>
              <w:pStyle w:val="TableText"/>
              <w:ind w:left="120" w:right="108" w:firstLine="425"/>
              <w:spacing w:before="60" w:line="272" w:lineRule="auto"/>
              <w:jc w:val="both"/>
              <w:rPr/>
            </w:pPr>
            <w:r>
              <w:rPr>
                <w:spacing w:val="8"/>
              </w:rPr>
              <w:t>强氧化剂。遇可燃物着火时，能助长火势。与可燃物粉末</w:t>
            </w:r>
            <w:r>
              <w:rPr>
                <w:spacing w:val="8"/>
              </w:rPr>
              <w:t>混合能发生激烈反应而爆炸。受强烈震动也会起爆。急剧加热</w:t>
            </w:r>
            <w:r>
              <w:rPr>
                <w:spacing w:val="12"/>
              </w:rPr>
              <w:t>时可发生爆炸。与</w:t>
            </w:r>
            <w:r>
              <w:rPr>
                <w:spacing w:val="12"/>
              </w:rPr>
              <w:t xml:space="preserve"> </w:t>
            </w:r>
            <w:r>
              <w:rPr>
                <w:spacing w:val="12"/>
              </w:rPr>
              <w:t>还原剂、有机物、易燃物如硫、磷或金属</w:t>
            </w:r>
            <w:r>
              <w:rPr>
                <w:spacing w:val="8"/>
              </w:rPr>
              <w:t>粉末等混合可形成爆炸性混合物。</w:t>
            </w:r>
          </w:p>
        </w:tc>
      </w:tr>
      <w:tr>
        <w:trPr>
          <w:trHeight w:val="938" w:hRule="atLeast"/>
        </w:trPr>
        <w:tc>
          <w:tcPr>
            <w:tcW w:w="998" w:type="dxa"/>
            <w:vAlign w:val="top"/>
            <w:vMerge w:val="continue"/>
            <w:tcBorders>
              <w:left w:val="nil"/>
              <w:bottom w:val="nil"/>
              <w:top w:val="nil"/>
            </w:tcBorders>
          </w:tcPr>
          <w:p>
            <w:pPr>
              <w:rPr>
                <w:rFonts w:ascii="Arial"/>
                <w:sz w:val="21"/>
              </w:rPr>
            </w:pPr>
            <w:r/>
          </w:p>
        </w:tc>
        <w:tc>
          <w:tcPr>
            <w:tcW w:w="1654" w:type="dxa"/>
            <w:vAlign w:val="top"/>
          </w:tcPr>
          <w:p>
            <w:pPr>
              <w:spacing w:line="310" w:lineRule="auto"/>
              <w:rPr>
                <w:rFonts w:ascii="Arial"/>
                <w:sz w:val="21"/>
              </w:rPr>
            </w:pPr>
            <w:r/>
          </w:p>
          <w:p>
            <w:pPr>
              <w:pStyle w:val="TableText"/>
              <w:ind w:left="418"/>
              <w:spacing w:before="65" w:line="231" w:lineRule="auto"/>
              <w:rPr/>
            </w:pPr>
            <w:r>
              <w:rPr>
                <w:spacing w:val="5"/>
              </w:rPr>
              <w:t>储运条件</w:t>
            </w:r>
          </w:p>
        </w:tc>
        <w:tc>
          <w:tcPr>
            <w:tcW w:w="5866" w:type="dxa"/>
            <w:vAlign w:val="top"/>
            <w:tcBorders>
              <w:right w:val="nil"/>
            </w:tcBorders>
          </w:tcPr>
          <w:p>
            <w:pPr>
              <w:pStyle w:val="TableText"/>
              <w:ind w:left="120" w:right="20" w:firstLine="420"/>
              <w:spacing w:before="66" w:line="265" w:lineRule="auto"/>
              <w:jc w:val="both"/>
              <w:rPr/>
            </w:pPr>
            <w:r>
              <w:rPr>
                <w:spacing w:val="4"/>
              </w:rPr>
              <w:t>储存于阴凉、通风的岸房。远离火种、热源。应与易</w:t>
            </w:r>
            <w:r>
              <w:rPr>
                <w:spacing w:val="3"/>
              </w:rPr>
              <w:t>（可）</w:t>
            </w:r>
            <w:r>
              <w:rPr>
                <w:spacing w:val="8"/>
              </w:rPr>
              <w:t>燃物、还原剂、酸类、活性金属粉末分开存放，切忌混储。储</w:t>
            </w:r>
            <w:r>
              <w:rPr>
                <w:spacing w:val="9"/>
              </w:rPr>
              <w:t>区应备有合适的材料收容泄滑物。禁止震动、撞击和摩擦。</w:t>
            </w:r>
          </w:p>
        </w:tc>
      </w:tr>
      <w:tr>
        <w:trPr>
          <w:trHeight w:val="1561" w:hRule="atLeast"/>
        </w:trPr>
        <w:tc>
          <w:tcPr>
            <w:tcW w:w="998" w:type="dxa"/>
            <w:vAlign w:val="top"/>
            <w:vMerge w:val="continue"/>
            <w:tcBorders>
              <w:left w:val="nil"/>
              <w:bottom w:val="nil"/>
              <w:top w:val="nil"/>
            </w:tcBorders>
          </w:tcPr>
          <w:p>
            <w:pPr>
              <w:rPr>
                <w:rFonts w:ascii="Arial"/>
                <w:sz w:val="21"/>
              </w:rPr>
            </w:pPr>
            <w:r/>
          </w:p>
        </w:tc>
        <w:tc>
          <w:tcPr>
            <w:tcW w:w="1654" w:type="dxa"/>
            <w:vAlign w:val="top"/>
          </w:tcPr>
          <w:p>
            <w:pPr>
              <w:spacing w:line="312" w:lineRule="auto"/>
              <w:rPr>
                <w:rFonts w:ascii="Arial"/>
                <w:sz w:val="21"/>
              </w:rPr>
            </w:pPr>
            <w:r/>
          </w:p>
          <w:p>
            <w:pPr>
              <w:spacing w:line="312" w:lineRule="auto"/>
              <w:rPr>
                <w:rFonts w:ascii="Arial"/>
                <w:sz w:val="21"/>
              </w:rPr>
            </w:pPr>
            <w:r/>
          </w:p>
          <w:p>
            <w:pPr>
              <w:pStyle w:val="TableText"/>
              <w:ind w:left="423"/>
              <w:spacing w:before="65" w:line="232" w:lineRule="auto"/>
              <w:rPr/>
            </w:pPr>
            <w:r>
              <w:rPr>
                <w:spacing w:val="4"/>
              </w:rPr>
              <w:t>泄漏处理</w:t>
            </w:r>
          </w:p>
        </w:tc>
        <w:tc>
          <w:tcPr>
            <w:tcW w:w="5866" w:type="dxa"/>
            <w:vAlign w:val="top"/>
            <w:tcBorders>
              <w:right w:val="nil"/>
            </w:tcBorders>
          </w:tcPr>
          <w:p>
            <w:pPr>
              <w:pStyle w:val="TableText"/>
              <w:ind w:left="116" w:right="108" w:firstLine="433"/>
              <w:spacing w:before="72" w:line="273" w:lineRule="auto"/>
              <w:rPr/>
            </w:pPr>
            <w:r>
              <w:rPr>
                <w:spacing w:val="8"/>
              </w:rPr>
              <w:t>隔离泄淆污染区，限制出入。建议应急处理人员戴防尘面</w:t>
            </w:r>
            <w:r>
              <w:rPr>
                <w:spacing w:val="9"/>
              </w:rPr>
              <w:t>具，穿防毒服。不要直接接触泄滑物。勿使泄滑</w:t>
            </w:r>
            <w:r>
              <w:rPr>
                <w:spacing w:val="8"/>
              </w:rPr>
              <w:t>物与还原剂、</w:t>
            </w:r>
            <w:r>
              <w:rPr>
                <w:spacing w:val="9"/>
              </w:rPr>
              <w:t>有机物、易燃物或金属粉末接触。小量泄漏：小</w:t>
            </w:r>
            <w:r>
              <w:rPr>
                <w:spacing w:val="8"/>
              </w:rPr>
              <w:t>心扫起，收集</w:t>
            </w:r>
            <w:r>
              <w:rPr>
                <w:spacing w:val="9"/>
              </w:rPr>
              <w:t>于干燥、结晶、有盖的容器中。大量泄淆：收集</w:t>
            </w:r>
            <w:r>
              <w:rPr>
                <w:spacing w:val="8"/>
              </w:rPr>
              <w:t>回收或运至废</w:t>
            </w:r>
            <w:r>
              <w:rPr>
                <w:spacing w:val="7"/>
              </w:rPr>
              <w:t>物处理场所处置。</w:t>
            </w:r>
          </w:p>
        </w:tc>
      </w:tr>
      <w:tr>
        <w:trPr>
          <w:trHeight w:val="1273" w:hRule="atLeast"/>
        </w:trPr>
        <w:tc>
          <w:tcPr>
            <w:tcW w:w="998" w:type="dxa"/>
            <w:vAlign w:val="top"/>
            <w:vMerge w:val="continue"/>
            <w:tcBorders>
              <w:left w:val="nil"/>
              <w:bottom w:val="single" w:color="000000" w:sz="10" w:space="0"/>
              <w:top w:val="nil"/>
            </w:tcBorders>
          </w:tcPr>
          <w:p>
            <w:pPr>
              <w:rPr>
                <w:rFonts w:ascii="Arial"/>
                <w:sz w:val="21"/>
              </w:rPr>
            </w:pPr>
            <w:r/>
          </w:p>
        </w:tc>
        <w:tc>
          <w:tcPr>
            <w:tcW w:w="1654" w:type="dxa"/>
            <w:vAlign w:val="top"/>
            <w:tcBorders>
              <w:bottom w:val="single" w:color="000000" w:sz="10" w:space="0"/>
            </w:tcBorders>
          </w:tcPr>
          <w:p>
            <w:pPr>
              <w:spacing w:line="473" w:lineRule="auto"/>
              <w:rPr>
                <w:rFonts w:ascii="Arial"/>
                <w:sz w:val="21"/>
              </w:rPr>
            </w:pPr>
            <w:r/>
          </w:p>
          <w:p>
            <w:pPr>
              <w:pStyle w:val="TableText"/>
              <w:ind w:left="418"/>
              <w:spacing w:before="65" w:line="232" w:lineRule="auto"/>
              <w:rPr/>
            </w:pPr>
            <w:r>
              <w:rPr>
                <w:spacing w:val="5"/>
              </w:rPr>
              <w:t>灭火方法</w:t>
            </w:r>
          </w:p>
        </w:tc>
        <w:tc>
          <w:tcPr>
            <w:tcW w:w="5866" w:type="dxa"/>
            <w:vAlign w:val="top"/>
            <w:tcBorders>
              <w:right w:val="nil"/>
              <w:bottom w:val="single" w:color="000000" w:sz="10" w:space="0"/>
            </w:tcBorders>
          </w:tcPr>
          <w:p>
            <w:pPr>
              <w:pStyle w:val="TableText"/>
              <w:ind w:left="118" w:right="34" w:firstLine="425"/>
              <w:spacing w:before="75" w:line="274" w:lineRule="auto"/>
              <w:jc w:val="both"/>
              <w:rPr/>
            </w:pPr>
            <w:r>
              <w:rPr>
                <w:spacing w:val="3"/>
              </w:rPr>
              <w:t>消防人员寄佩戴防毒面具、穿全身消防服，在上风向灭火。</w:t>
            </w:r>
            <w:r>
              <w:rPr>
                <w:spacing w:val="9"/>
              </w:rPr>
              <w:t>切勿将水流直接射击熔融物，以免引起严重</w:t>
            </w:r>
            <w:r>
              <w:rPr>
                <w:spacing w:val="8"/>
              </w:rPr>
              <w:t>的流淌火灾或引起</w:t>
            </w:r>
            <w:r>
              <w:rPr>
                <w:spacing w:val="9"/>
              </w:rPr>
              <w:t>剧烈的沸溅。遇大火，消防人员须在有防护</w:t>
            </w:r>
            <w:r>
              <w:rPr>
                <w:spacing w:val="8"/>
              </w:rPr>
              <w:t>掩蔽处操作。灭火</w:t>
            </w:r>
            <w:r>
              <w:rPr>
                <w:spacing w:val="6"/>
              </w:rPr>
              <w:t>剂：水、雾状水。</w:t>
            </w:r>
          </w:p>
        </w:tc>
      </w:tr>
    </w:tbl>
    <w:p>
      <w:pPr>
        <w:pStyle w:val="BodyText"/>
        <w:spacing w:line="251" w:lineRule="auto"/>
        <w:rPr/>
      </w:pPr>
      <w:r/>
    </w:p>
    <w:p>
      <w:pPr>
        <w:pStyle w:val="BodyText"/>
        <w:spacing w:line="252" w:lineRule="auto"/>
        <w:rPr/>
      </w:pPr>
      <w:r/>
    </w:p>
    <w:p>
      <w:pPr>
        <w:ind w:left="116"/>
        <w:spacing w:before="78" w:line="220" w:lineRule="auto"/>
        <w:outlineLvl w:val="2"/>
        <w:rPr>
          <w:rFonts w:ascii="FangSong" w:hAnsi="FangSong" w:eastAsia="FangSong" w:cs="FangSong"/>
          <w:sz w:val="24"/>
          <w:szCs w:val="24"/>
        </w:rPr>
      </w:pPr>
      <w:bookmarkStart w:name="bookmark357" w:id="487"/>
      <w:bookmarkEnd w:id="487"/>
      <w:bookmarkStart w:name="bookmark356" w:id="488"/>
      <w:bookmarkEnd w:id="488"/>
      <w:r>
        <w:rPr>
          <w:rFonts w:ascii="Times New Roman" w:hAnsi="Times New Roman" w:eastAsia="Times New Roman" w:cs="Times New Roman"/>
          <w:sz w:val="24"/>
          <w:szCs w:val="24"/>
          <w:b/>
          <w:bCs/>
          <w:spacing w:val="-4"/>
        </w:rPr>
        <w:t>8.4.2</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b/>
          <w:bCs/>
          <w:spacing w:val="-4"/>
        </w:rPr>
        <w:t>生产系统危险性识别</w:t>
      </w:r>
    </w:p>
    <w:p>
      <w:pPr>
        <w:ind w:left="604"/>
        <w:spacing w:before="181" w:line="221" w:lineRule="auto"/>
        <w:rPr>
          <w:rFonts w:ascii="FangSong" w:hAnsi="FangSong" w:eastAsia="FangSong" w:cs="FangSong"/>
          <w:sz w:val="24"/>
          <w:szCs w:val="24"/>
        </w:rPr>
      </w:pPr>
      <w:r>
        <w:rPr>
          <w:rFonts w:ascii="FangSong" w:hAnsi="FangSong" w:eastAsia="FangSong" w:cs="FangSong"/>
          <w:sz w:val="24"/>
          <w:szCs w:val="24"/>
          <w:spacing w:val="-1"/>
        </w:rPr>
        <w:t>本项目生产过程中的环境风险主要有以下几种：</w:t>
      </w:r>
    </w:p>
    <w:p>
      <w:pPr>
        <w:ind w:left="608"/>
        <w:spacing w:before="18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）炸药爆炸</w:t>
      </w:r>
    </w:p>
    <w:p>
      <w:pPr>
        <w:ind w:left="123" w:right="104"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矿山建设和生产过程中，所使用的雷管、炸药均</w:t>
      </w:r>
      <w:r>
        <w:rPr>
          <w:rFonts w:ascii="FangSong" w:hAnsi="FangSong" w:eastAsia="FangSong" w:cs="FangSong"/>
          <w:sz w:val="24"/>
          <w:szCs w:val="24"/>
          <w:spacing w:val="-4"/>
        </w:rPr>
        <w:t>为高风险物料，所进行的爆</w:t>
      </w:r>
      <w:r>
        <w:rPr>
          <w:rFonts w:ascii="FangSong" w:hAnsi="FangSong" w:eastAsia="FangSong" w:cs="FangSong"/>
          <w:sz w:val="24"/>
          <w:szCs w:val="24"/>
          <w:spacing w:val="-3"/>
        </w:rPr>
        <w:t>破工作为高风险作业。炸药和雷管在运输、加工和使用过程中，都有</w:t>
      </w:r>
      <w:r>
        <w:rPr>
          <w:rFonts w:ascii="FangSong" w:hAnsi="FangSong" w:eastAsia="FangSong" w:cs="FangSong"/>
          <w:sz w:val="24"/>
          <w:szCs w:val="24"/>
          <w:spacing w:val="-4"/>
        </w:rPr>
        <w:t>可能因遇非</w:t>
      </w:r>
      <w:r>
        <w:rPr>
          <w:rFonts w:ascii="FangSong" w:hAnsi="FangSong" w:eastAsia="FangSong" w:cs="FangSong"/>
          <w:sz w:val="24"/>
          <w:szCs w:val="24"/>
          <w:spacing w:val="-3"/>
        </w:rPr>
        <w:t>正常起爆能（如各种热能、机械能等）而引起爆炸或正常爆破方法不</w:t>
      </w:r>
      <w:r>
        <w:rPr>
          <w:rFonts w:ascii="FangSong" w:hAnsi="FangSong" w:eastAsia="FangSong" w:cs="FangSong"/>
          <w:sz w:val="24"/>
          <w:szCs w:val="24"/>
          <w:spacing w:val="-4"/>
        </w:rPr>
        <w:t>当或爆破器</w:t>
      </w:r>
      <w:r>
        <w:rPr>
          <w:rFonts w:ascii="FangSong" w:hAnsi="FangSong" w:eastAsia="FangSong" w:cs="FangSong"/>
          <w:sz w:val="24"/>
          <w:szCs w:val="24"/>
          <w:spacing w:val="-1"/>
        </w:rPr>
        <w:t>材质量差造成爆破事故，伤及生命和造成财产损失。</w:t>
      </w:r>
    </w:p>
    <w:p>
      <w:pPr>
        <w:ind w:left="608"/>
        <w:spacing w:before="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）油类物质泄漏</w:t>
      </w:r>
    </w:p>
    <w:p>
      <w:pPr>
        <w:ind w:left="604"/>
        <w:spacing w:before="182" w:line="219" w:lineRule="auto"/>
        <w:rPr>
          <w:rFonts w:ascii="FangSong" w:hAnsi="FangSong" w:eastAsia="FangSong" w:cs="FangSong"/>
          <w:sz w:val="24"/>
          <w:szCs w:val="24"/>
        </w:rPr>
      </w:pPr>
      <w:r>
        <w:rPr>
          <w:rFonts w:ascii="FangSong" w:hAnsi="FangSong" w:eastAsia="FangSong" w:cs="FangSong"/>
          <w:sz w:val="24"/>
          <w:szCs w:val="24"/>
          <w:spacing w:val="-3"/>
        </w:rPr>
        <w:t>本项目涉及的机油、柴油及废油属于可燃液体</w:t>
      </w:r>
      <w:r>
        <w:rPr>
          <w:rFonts w:ascii="FangSong" w:hAnsi="FangSong" w:eastAsia="FangSong" w:cs="FangSong"/>
          <w:sz w:val="24"/>
          <w:szCs w:val="24"/>
          <w:spacing w:val="-4"/>
        </w:rPr>
        <w:t>，存放废油的危险废物贮存点</w:t>
      </w:r>
    </w:p>
    <w:p>
      <w:pPr>
        <w:spacing w:line="219" w:lineRule="auto"/>
        <w:sectPr>
          <w:footerReference w:type="default" r:id="rId369"/>
          <w:pgSz w:w="11906" w:h="16839"/>
          <w:pgMar w:top="400" w:right="1695"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26" w:right="68" w:hanging="1"/>
        <w:spacing w:before="78" w:line="360" w:lineRule="auto"/>
        <w:rPr>
          <w:rFonts w:ascii="FangSong" w:hAnsi="FangSong" w:eastAsia="FangSong" w:cs="FangSong"/>
          <w:sz w:val="24"/>
          <w:szCs w:val="24"/>
        </w:rPr>
      </w:pPr>
      <w:r>
        <w:rPr>
          <w:rFonts w:ascii="FangSong" w:hAnsi="FangSong" w:eastAsia="FangSong" w:cs="FangSong"/>
          <w:sz w:val="24"/>
          <w:szCs w:val="24"/>
          <w:spacing w:val="-2"/>
        </w:rPr>
        <w:t>如果不按要求进行防渗设计，防护措施不健全，管理不善可能会</w:t>
      </w:r>
      <w:r>
        <w:rPr>
          <w:rFonts w:ascii="FangSong" w:hAnsi="FangSong" w:eastAsia="FangSong" w:cs="FangSong"/>
          <w:sz w:val="24"/>
          <w:szCs w:val="24"/>
          <w:spacing w:val="-3"/>
        </w:rPr>
        <w:t>导致废油泄漏；</w:t>
      </w:r>
      <w:r>
        <w:rPr>
          <w:rFonts w:ascii="FangSong" w:hAnsi="FangSong" w:eastAsia="FangSong" w:cs="FangSong"/>
          <w:sz w:val="24"/>
          <w:szCs w:val="24"/>
          <w:spacing w:val="-1"/>
        </w:rPr>
        <w:t>存放机油及柴油的油桶如遭到破坏可发生泄漏，污染周边土壤和水体。</w:t>
      </w:r>
    </w:p>
    <w:p>
      <w:pPr>
        <w:ind w:left="608"/>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）废水事故排放</w:t>
      </w:r>
    </w:p>
    <w:p>
      <w:pPr>
        <w:ind w:left="131" w:right="104" w:firstLine="475"/>
        <w:spacing w:before="178" w:line="360" w:lineRule="auto"/>
        <w:rPr>
          <w:rFonts w:ascii="FangSong" w:hAnsi="FangSong" w:eastAsia="FangSong" w:cs="FangSong"/>
          <w:sz w:val="24"/>
          <w:szCs w:val="24"/>
        </w:rPr>
      </w:pPr>
      <w:r>
        <w:rPr>
          <w:rFonts w:ascii="FangSong" w:hAnsi="FangSong" w:eastAsia="FangSong" w:cs="FangSong"/>
          <w:sz w:val="24"/>
          <w:szCs w:val="24"/>
          <w:spacing w:val="-4"/>
        </w:rPr>
        <w:t>废水事故排放主要是由于隔油池、防渗储池、蓄水池、回水池、高位水池等</w:t>
      </w:r>
      <w:r>
        <w:rPr>
          <w:rFonts w:ascii="FangSong" w:hAnsi="FangSong" w:eastAsia="FangSong" w:cs="FangSong"/>
          <w:sz w:val="24"/>
          <w:szCs w:val="24"/>
          <w:spacing w:val="-3"/>
        </w:rPr>
        <w:t>防渗层破损可能导致生产废水泄漏进入土壤层，</w:t>
      </w:r>
      <w:r>
        <w:rPr>
          <w:rFonts w:ascii="FangSong" w:hAnsi="FangSong" w:eastAsia="FangSong" w:cs="FangSong"/>
          <w:sz w:val="24"/>
          <w:szCs w:val="24"/>
          <w:spacing w:val="-4"/>
        </w:rPr>
        <w:t>污染土壤和地下水；矿井涌水排</w:t>
      </w:r>
      <w:r>
        <w:rPr>
          <w:rFonts w:ascii="FangSong" w:hAnsi="FangSong" w:eastAsia="FangSong" w:cs="FangSong"/>
          <w:sz w:val="24"/>
          <w:szCs w:val="24"/>
          <w:spacing w:val="-3"/>
        </w:rPr>
        <w:t>泄不畅可能导致矿井淹没，地层塌陷，冲刷井口</w:t>
      </w:r>
      <w:r>
        <w:rPr>
          <w:rFonts w:ascii="FangSong" w:hAnsi="FangSong" w:eastAsia="FangSong" w:cs="FangSong"/>
          <w:sz w:val="24"/>
          <w:szCs w:val="24"/>
          <w:spacing w:val="-4"/>
        </w:rPr>
        <w:t>废渣形成泥石流并毁坏项目区生</w:t>
      </w:r>
      <w:r>
        <w:rPr>
          <w:rFonts w:ascii="FangSong" w:hAnsi="FangSong" w:eastAsia="FangSong" w:cs="FangSong"/>
          <w:sz w:val="24"/>
          <w:szCs w:val="24"/>
          <w:spacing w:val="-6"/>
        </w:rPr>
        <w:t>态环境。</w:t>
      </w:r>
    </w:p>
    <w:p>
      <w:pPr>
        <w:ind w:left="608"/>
        <w:spacing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）采空区地面塌陷</w:t>
      </w:r>
    </w:p>
    <w:p>
      <w:pPr>
        <w:ind w:left="125" w:right="104" w:firstLine="479"/>
        <w:spacing w:before="180" w:line="360" w:lineRule="auto"/>
        <w:rPr>
          <w:rFonts w:ascii="FangSong" w:hAnsi="FangSong" w:eastAsia="FangSong" w:cs="FangSong"/>
          <w:sz w:val="24"/>
          <w:szCs w:val="24"/>
        </w:rPr>
      </w:pPr>
      <w:r>
        <w:rPr>
          <w:rFonts w:ascii="FangSong" w:hAnsi="FangSong" w:eastAsia="FangSong" w:cs="FangSong"/>
          <w:sz w:val="24"/>
          <w:szCs w:val="24"/>
          <w:spacing w:val="-3"/>
        </w:rPr>
        <w:t>地表塌陷会破坏土地资源，塌陷区土地被破坏</w:t>
      </w:r>
      <w:r>
        <w:rPr>
          <w:rFonts w:ascii="FangSong" w:hAnsi="FangSong" w:eastAsia="FangSong" w:cs="FangSong"/>
          <w:sz w:val="24"/>
          <w:szCs w:val="24"/>
          <w:spacing w:val="-4"/>
        </w:rPr>
        <w:t>，改变土地利用格局，山体地</w:t>
      </w:r>
      <w:r>
        <w:rPr>
          <w:rFonts w:ascii="FangSong" w:hAnsi="FangSong" w:eastAsia="FangSong" w:cs="FangSong"/>
          <w:sz w:val="24"/>
          <w:szCs w:val="24"/>
          <w:spacing w:val="-1"/>
        </w:rPr>
        <w:t>表塌陷区及周围的土地资源都被破坏，失去原有土地功能等。</w:t>
      </w:r>
    </w:p>
    <w:p>
      <w:pPr>
        <w:ind w:left="608"/>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）运输风险事故</w:t>
      </w:r>
    </w:p>
    <w:p>
      <w:pPr>
        <w:ind w:left="124" w:right="104"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项目产生的生活污水和经隔油池处理后的食堂</w:t>
      </w:r>
      <w:r>
        <w:rPr>
          <w:rFonts w:ascii="FangSong" w:hAnsi="FangSong" w:eastAsia="FangSong" w:cs="FangSong"/>
          <w:sz w:val="24"/>
          <w:szCs w:val="24"/>
          <w:spacing w:val="-4"/>
        </w:rPr>
        <w:t>废水采用汽车外运处理，在运</w:t>
      </w:r>
      <w:r>
        <w:rPr>
          <w:rFonts w:ascii="FangSong" w:hAnsi="FangSong" w:eastAsia="FangSong" w:cs="FangSong"/>
          <w:sz w:val="24"/>
          <w:szCs w:val="24"/>
          <w:spacing w:val="-3"/>
        </w:rPr>
        <w:t>输过程中若因运输人员操作不当或车辆发生事故等原因，使生活</w:t>
      </w:r>
      <w:r>
        <w:rPr>
          <w:rFonts w:ascii="FangSong" w:hAnsi="FangSong" w:eastAsia="FangSong" w:cs="FangSong"/>
          <w:sz w:val="24"/>
          <w:szCs w:val="24"/>
          <w:spacing w:val="-4"/>
        </w:rPr>
        <w:t>污水发生泄露事</w:t>
      </w:r>
      <w:r>
        <w:rPr>
          <w:rFonts w:ascii="FangSong" w:hAnsi="FangSong" w:eastAsia="FangSong" w:cs="FangSong"/>
          <w:sz w:val="24"/>
          <w:szCs w:val="24"/>
          <w:spacing w:val="-2"/>
        </w:rPr>
        <w:t>故，对周边环境造成影响。</w:t>
      </w:r>
    </w:p>
    <w:p>
      <w:pPr>
        <w:ind w:left="116"/>
        <w:spacing w:before="1" w:line="222" w:lineRule="auto"/>
        <w:outlineLvl w:val="2"/>
        <w:rPr>
          <w:rFonts w:ascii="FangSong" w:hAnsi="FangSong" w:eastAsia="FangSong" w:cs="FangSong"/>
          <w:sz w:val="24"/>
          <w:szCs w:val="24"/>
        </w:rPr>
      </w:pPr>
      <w:bookmarkStart w:name="bookmark359" w:id="489"/>
      <w:bookmarkEnd w:id="489"/>
      <w:bookmarkStart w:name="bookmark358" w:id="490"/>
      <w:bookmarkEnd w:id="490"/>
      <w:r>
        <w:rPr>
          <w:rFonts w:ascii="Times New Roman" w:hAnsi="Times New Roman" w:eastAsia="Times New Roman" w:cs="Times New Roman"/>
          <w:sz w:val="24"/>
          <w:szCs w:val="24"/>
          <w:b/>
          <w:bCs/>
          <w:spacing w:val="-4"/>
        </w:rPr>
        <w:t>8.4.3</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风险识别结果</w:t>
      </w:r>
    </w:p>
    <w:p>
      <w:pPr>
        <w:ind w:left="126" w:right="104" w:firstLine="478"/>
        <w:spacing w:before="179" w:line="360" w:lineRule="auto"/>
        <w:rPr>
          <w:rFonts w:ascii="FangSong" w:hAnsi="FangSong" w:eastAsia="FangSong" w:cs="FangSong"/>
          <w:sz w:val="24"/>
          <w:szCs w:val="24"/>
        </w:rPr>
      </w:pPr>
      <w:r>
        <w:rPr>
          <w:rFonts w:ascii="FangSong" w:hAnsi="FangSong" w:eastAsia="FangSong" w:cs="FangSong"/>
          <w:sz w:val="24"/>
          <w:szCs w:val="24"/>
          <w:spacing w:val="-3"/>
        </w:rPr>
        <w:t>根据上述风险调查结果、风险潜势初判和评价</w:t>
      </w:r>
      <w:r>
        <w:rPr>
          <w:rFonts w:ascii="FangSong" w:hAnsi="FangSong" w:eastAsia="FangSong" w:cs="FangSong"/>
          <w:sz w:val="24"/>
          <w:szCs w:val="24"/>
          <w:spacing w:val="-4"/>
        </w:rPr>
        <w:t>工作等级判定，本项目风险识</w:t>
      </w:r>
      <w:r>
        <w:rPr>
          <w:rFonts w:ascii="FangSong" w:hAnsi="FangSong" w:eastAsia="FangSong" w:cs="FangSong"/>
          <w:sz w:val="24"/>
          <w:szCs w:val="24"/>
          <w:spacing w:val="-4"/>
        </w:rPr>
        <w:t>别结果如下：</w:t>
      </w:r>
    </w:p>
    <w:p>
      <w:pPr>
        <w:ind w:left="127" w:right="104" w:firstLine="481"/>
        <w:spacing w:before="1" w:line="289"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）风险物质及分布：项目设置炸药库，存放炸药雷管；润滑油及柴油储</w:t>
      </w:r>
      <w:r>
        <w:rPr>
          <w:rFonts w:ascii="FangSong" w:hAnsi="FangSong" w:eastAsia="FangSong" w:cs="FangSong"/>
          <w:sz w:val="24"/>
          <w:szCs w:val="24"/>
          <w:spacing w:val="-1"/>
        </w:rPr>
        <w:t>存于工业广场机修间；废机油存放于危险废物贮存点。</w:t>
      </w:r>
    </w:p>
    <w:p>
      <w:pPr>
        <w:ind w:left="123" w:right="104" w:firstLine="485"/>
        <w:spacing w:before="183"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）主要风险物质类型为：废机油泄漏事故、炸药引起的火灾和爆炸、废</w:t>
      </w:r>
      <w:r>
        <w:rPr>
          <w:rFonts w:ascii="FangSong" w:hAnsi="FangSong" w:eastAsia="FangSong" w:cs="FangSong"/>
          <w:sz w:val="24"/>
          <w:szCs w:val="24"/>
          <w:spacing w:val="-1"/>
        </w:rPr>
        <w:t>水事故排放、采空区地面塌陷破坏土地资源及植被等生态问题。</w:t>
      </w:r>
    </w:p>
    <w:p>
      <w:pPr>
        <w:ind w:left="126" w:right="104" w:firstLine="482"/>
        <w:spacing w:before="180"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）环境影响途径为：炸药爆炸、油类物质泄漏、废水事故排放等引起环</w:t>
      </w:r>
      <w:r>
        <w:rPr>
          <w:rFonts w:ascii="FangSong" w:hAnsi="FangSong" w:eastAsia="FangSong" w:cs="FangSong"/>
          <w:sz w:val="24"/>
          <w:szCs w:val="24"/>
          <w:spacing w:val="-3"/>
        </w:rPr>
        <w:t>境空气、地表水、地下水、土壤污染及采空区塌陷造成生态</w:t>
      </w:r>
      <w:r>
        <w:rPr>
          <w:rFonts w:ascii="FangSong" w:hAnsi="FangSong" w:eastAsia="FangSong" w:cs="FangSong"/>
          <w:sz w:val="24"/>
          <w:szCs w:val="24"/>
          <w:spacing w:val="-4"/>
        </w:rPr>
        <w:t>问题等。项目风险识</w:t>
      </w:r>
      <w:r>
        <w:rPr>
          <w:rFonts w:ascii="FangSong" w:hAnsi="FangSong" w:eastAsia="FangSong" w:cs="FangSong"/>
          <w:sz w:val="24"/>
          <w:szCs w:val="24"/>
          <w:spacing w:val="-4"/>
        </w:rPr>
        <w:t>别结果见表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4"/>
        </w:rPr>
        <w:t>8.4-4</w:t>
      </w:r>
      <w:r>
        <w:rPr>
          <w:rFonts w:ascii="FangSong" w:hAnsi="FangSong" w:eastAsia="FangSong" w:cs="FangSong"/>
          <w:sz w:val="24"/>
          <w:szCs w:val="24"/>
          <w:spacing w:val="-4"/>
        </w:rPr>
        <w:t>。</w:t>
      </w:r>
    </w:p>
    <w:p>
      <w:pPr>
        <w:ind w:left="2734"/>
        <w:spacing w:before="179"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8.4-4  </w:t>
      </w:r>
      <w:r>
        <w:rPr>
          <w:rFonts w:ascii="FangSong" w:hAnsi="FangSong" w:eastAsia="FangSong" w:cs="FangSong"/>
          <w:sz w:val="24"/>
          <w:szCs w:val="24"/>
          <w:b/>
          <w:bCs/>
          <w:spacing w:val="-3"/>
        </w:rPr>
        <w:t>风险识别结果汇总表</w:t>
      </w:r>
    </w:p>
    <w:p>
      <w:pPr>
        <w:spacing w:line="65" w:lineRule="exact"/>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5"/>
        <w:gridCol w:w="2060"/>
        <w:gridCol w:w="3513"/>
        <w:gridCol w:w="1740"/>
      </w:tblGrid>
      <w:tr>
        <w:trPr>
          <w:trHeight w:val="317" w:hRule="atLeast"/>
        </w:trPr>
        <w:tc>
          <w:tcPr>
            <w:tcW w:w="1205" w:type="dxa"/>
            <w:vAlign w:val="top"/>
            <w:tcBorders>
              <w:top w:val="single" w:color="000000" w:sz="10" w:space="0"/>
              <w:left w:val="nil"/>
            </w:tcBorders>
          </w:tcPr>
          <w:p>
            <w:pPr>
              <w:pStyle w:val="TableText"/>
              <w:ind w:left="196"/>
              <w:spacing w:before="55" w:line="232" w:lineRule="auto"/>
              <w:rPr/>
            </w:pPr>
            <w:r>
              <w:rPr>
                <w:spacing w:val="5"/>
              </w:rPr>
              <w:t>识别范围</w:t>
            </w:r>
          </w:p>
        </w:tc>
        <w:tc>
          <w:tcPr>
            <w:tcW w:w="2060" w:type="dxa"/>
            <w:vAlign w:val="top"/>
            <w:tcBorders>
              <w:top w:val="single" w:color="000000" w:sz="10" w:space="0"/>
            </w:tcBorders>
          </w:tcPr>
          <w:p>
            <w:pPr>
              <w:pStyle w:val="TableText"/>
              <w:ind w:left="836"/>
              <w:spacing w:before="55" w:line="231" w:lineRule="auto"/>
              <w:rPr/>
            </w:pPr>
            <w:r>
              <w:rPr>
                <w:spacing w:val="-1"/>
              </w:rPr>
              <w:t>工序</w:t>
            </w:r>
          </w:p>
        </w:tc>
        <w:tc>
          <w:tcPr>
            <w:tcW w:w="3513" w:type="dxa"/>
            <w:vAlign w:val="top"/>
            <w:tcBorders>
              <w:top w:val="single" w:color="000000" w:sz="10" w:space="0"/>
            </w:tcBorders>
          </w:tcPr>
          <w:p>
            <w:pPr>
              <w:pStyle w:val="TableText"/>
              <w:ind w:left="1347"/>
              <w:spacing w:before="55" w:line="231" w:lineRule="auto"/>
              <w:rPr/>
            </w:pPr>
            <w:r>
              <w:rPr>
                <w:spacing w:val="5"/>
              </w:rPr>
              <w:t>识别结果</w:t>
            </w:r>
          </w:p>
        </w:tc>
        <w:tc>
          <w:tcPr>
            <w:tcW w:w="1740" w:type="dxa"/>
            <w:vAlign w:val="top"/>
            <w:tcBorders>
              <w:top w:val="single" w:color="000000" w:sz="10" w:space="0"/>
              <w:right w:val="nil"/>
            </w:tcBorders>
          </w:tcPr>
          <w:p>
            <w:pPr>
              <w:pStyle w:val="TableText"/>
              <w:ind w:left="572"/>
              <w:spacing w:before="55" w:line="232" w:lineRule="auto"/>
              <w:rPr/>
            </w:pPr>
            <w:r>
              <w:rPr>
                <w:spacing w:val="3"/>
              </w:rPr>
              <w:t>危险源</w:t>
            </w:r>
          </w:p>
        </w:tc>
      </w:tr>
      <w:tr>
        <w:trPr>
          <w:trHeight w:val="313" w:hRule="atLeast"/>
        </w:trPr>
        <w:tc>
          <w:tcPr>
            <w:tcW w:w="1205" w:type="dxa"/>
            <w:vAlign w:val="top"/>
            <w:vMerge w:val="restart"/>
            <w:tcBorders>
              <w:left w:val="nil"/>
              <w:bottom w:val="nil"/>
            </w:tcBorders>
          </w:tcPr>
          <w:p>
            <w:pPr>
              <w:spacing w:line="306" w:lineRule="auto"/>
              <w:rPr>
                <w:rFonts w:ascii="Arial"/>
                <w:sz w:val="21"/>
              </w:rPr>
            </w:pPr>
            <w:r/>
          </w:p>
          <w:p>
            <w:pPr>
              <w:pStyle w:val="TableText"/>
              <w:ind w:left="404" w:right="182" w:hanging="207"/>
              <w:spacing w:before="65" w:line="289" w:lineRule="auto"/>
              <w:rPr/>
            </w:pPr>
            <w:r>
              <w:rPr>
                <w:spacing w:val="5"/>
              </w:rPr>
              <w:t>物质风险</w:t>
            </w:r>
            <w:r>
              <w:rPr>
                <w:spacing w:val="2"/>
              </w:rPr>
              <w:t>识别</w:t>
            </w:r>
          </w:p>
        </w:tc>
        <w:tc>
          <w:tcPr>
            <w:tcW w:w="2060" w:type="dxa"/>
            <w:vAlign w:val="top"/>
          </w:tcPr>
          <w:p>
            <w:pPr>
              <w:pStyle w:val="TableText"/>
              <w:ind w:left="118"/>
              <w:spacing w:before="54" w:line="229" w:lineRule="auto"/>
              <w:rPr/>
            </w:pPr>
            <w:r>
              <w:rPr>
                <w:spacing w:val="3"/>
              </w:rPr>
              <w:t>炸药雷管运输、使用</w:t>
            </w:r>
          </w:p>
        </w:tc>
        <w:tc>
          <w:tcPr>
            <w:tcW w:w="3513" w:type="dxa"/>
            <w:vAlign w:val="top"/>
          </w:tcPr>
          <w:p>
            <w:pPr>
              <w:pStyle w:val="TableText"/>
              <w:ind w:left="506"/>
              <w:spacing w:before="54" w:line="229" w:lineRule="auto"/>
              <w:rPr/>
            </w:pPr>
            <w:r>
              <w:rPr>
                <w:spacing w:val="8"/>
              </w:rPr>
              <w:t>炸药爆炸产生有毒有害烟气</w:t>
            </w:r>
          </w:p>
        </w:tc>
        <w:tc>
          <w:tcPr>
            <w:tcW w:w="1740" w:type="dxa"/>
            <w:vAlign w:val="top"/>
            <w:tcBorders>
              <w:right w:val="nil"/>
            </w:tcBorders>
          </w:tcPr>
          <w:p>
            <w:pPr>
              <w:pStyle w:val="TableText"/>
              <w:ind w:left="461"/>
              <w:spacing w:before="54" w:line="229" w:lineRule="auto"/>
              <w:rPr/>
            </w:pPr>
            <w:r>
              <w:rPr>
                <w:spacing w:val="6"/>
              </w:rPr>
              <w:t>炸药雷管</w:t>
            </w:r>
          </w:p>
        </w:tc>
      </w:tr>
      <w:tr>
        <w:trPr>
          <w:trHeight w:val="929" w:hRule="atLeast"/>
        </w:trPr>
        <w:tc>
          <w:tcPr>
            <w:tcW w:w="1205" w:type="dxa"/>
            <w:vAlign w:val="top"/>
            <w:vMerge w:val="continue"/>
            <w:tcBorders>
              <w:left w:val="nil"/>
              <w:top w:val="nil"/>
            </w:tcBorders>
          </w:tcPr>
          <w:p>
            <w:pPr>
              <w:rPr>
                <w:rFonts w:ascii="Arial"/>
                <w:sz w:val="21"/>
              </w:rPr>
            </w:pPr>
            <w:r/>
          </w:p>
        </w:tc>
        <w:tc>
          <w:tcPr>
            <w:tcW w:w="2060" w:type="dxa"/>
            <w:vAlign w:val="top"/>
          </w:tcPr>
          <w:p>
            <w:pPr>
              <w:spacing w:line="306" w:lineRule="auto"/>
              <w:rPr>
                <w:rFonts w:ascii="Arial"/>
                <w:sz w:val="21"/>
              </w:rPr>
            </w:pPr>
            <w:r/>
          </w:p>
          <w:p>
            <w:pPr>
              <w:pStyle w:val="TableText"/>
              <w:ind w:left="416"/>
              <w:spacing w:before="65" w:line="228" w:lineRule="auto"/>
              <w:rPr/>
            </w:pPr>
            <w:r>
              <w:rPr>
                <w:spacing w:val="6"/>
              </w:rPr>
              <w:t>油类物质暂存</w:t>
            </w:r>
          </w:p>
        </w:tc>
        <w:tc>
          <w:tcPr>
            <w:tcW w:w="3513" w:type="dxa"/>
            <w:vAlign w:val="top"/>
          </w:tcPr>
          <w:p>
            <w:pPr>
              <w:pStyle w:val="TableText"/>
              <w:ind w:left="125"/>
              <w:spacing w:before="61" w:line="229" w:lineRule="auto"/>
              <w:rPr/>
            </w:pPr>
            <w:r>
              <w:rPr>
                <w:spacing w:val="8"/>
              </w:rPr>
              <w:t>油类物质泄漏污染大气、水、土壤，</w:t>
            </w:r>
          </w:p>
          <w:p>
            <w:pPr>
              <w:pStyle w:val="TableText"/>
              <w:ind w:left="118"/>
              <w:spacing w:before="63" w:line="231" w:lineRule="auto"/>
              <w:rPr/>
            </w:pPr>
            <w:r>
              <w:rPr>
                <w:spacing w:val="5"/>
              </w:rPr>
              <w:t>有害气体挥发，遇明火燃烧产生有害</w:t>
            </w:r>
          </w:p>
          <w:p>
            <w:pPr>
              <w:pStyle w:val="TableText"/>
              <w:ind w:left="1346"/>
              <w:spacing w:before="61" w:line="216" w:lineRule="auto"/>
              <w:rPr/>
            </w:pPr>
            <w:r>
              <w:rPr>
                <w:spacing w:val="3"/>
              </w:rPr>
              <w:t>烟气等。</w:t>
            </w:r>
          </w:p>
        </w:tc>
        <w:tc>
          <w:tcPr>
            <w:tcW w:w="1740" w:type="dxa"/>
            <w:vAlign w:val="top"/>
            <w:tcBorders>
              <w:right w:val="nil"/>
            </w:tcBorders>
          </w:tcPr>
          <w:p>
            <w:pPr>
              <w:spacing w:line="306" w:lineRule="auto"/>
              <w:rPr>
                <w:rFonts w:ascii="Arial"/>
                <w:sz w:val="21"/>
              </w:rPr>
            </w:pPr>
            <w:r/>
          </w:p>
          <w:p>
            <w:pPr>
              <w:pStyle w:val="TableText"/>
              <w:ind w:left="467"/>
              <w:spacing w:before="65" w:line="229" w:lineRule="auto"/>
              <w:rPr/>
            </w:pPr>
            <w:r>
              <w:rPr>
                <w:spacing w:val="4"/>
              </w:rPr>
              <w:t>油类物质</w:t>
            </w:r>
          </w:p>
        </w:tc>
      </w:tr>
      <w:tr>
        <w:trPr>
          <w:trHeight w:val="334" w:hRule="atLeast"/>
        </w:trPr>
        <w:tc>
          <w:tcPr>
            <w:tcW w:w="1205" w:type="dxa"/>
            <w:vAlign w:val="top"/>
            <w:tcBorders>
              <w:bottom w:val="single" w:color="000000" w:sz="10" w:space="0"/>
              <w:left w:val="nil"/>
            </w:tcBorders>
          </w:tcPr>
          <w:p>
            <w:pPr>
              <w:pStyle w:val="TableText"/>
              <w:ind w:left="208"/>
              <w:spacing w:before="72" w:line="232" w:lineRule="auto"/>
              <w:rPr/>
            </w:pPr>
            <w:r>
              <w:rPr>
                <w:spacing w:val="2"/>
              </w:rPr>
              <w:t>生产设施</w:t>
            </w:r>
          </w:p>
        </w:tc>
        <w:tc>
          <w:tcPr>
            <w:tcW w:w="2060" w:type="dxa"/>
            <w:vAlign w:val="top"/>
            <w:tcBorders>
              <w:bottom w:val="single" w:color="000000" w:sz="10" w:space="0"/>
            </w:tcBorders>
          </w:tcPr>
          <w:p>
            <w:pPr>
              <w:pStyle w:val="TableText"/>
              <w:ind w:left="621"/>
              <w:spacing w:before="72" w:line="232" w:lineRule="auto"/>
              <w:rPr/>
            </w:pPr>
            <w:r>
              <w:rPr>
                <w:spacing w:val="5"/>
              </w:rPr>
              <w:t>地面设施</w:t>
            </w:r>
          </w:p>
        </w:tc>
        <w:tc>
          <w:tcPr>
            <w:tcW w:w="3513" w:type="dxa"/>
            <w:vAlign w:val="top"/>
            <w:tcBorders>
              <w:bottom w:val="single" w:color="000000" w:sz="10" w:space="0"/>
            </w:tcBorders>
          </w:tcPr>
          <w:p>
            <w:pPr>
              <w:pStyle w:val="TableText"/>
              <w:ind w:left="122"/>
              <w:spacing w:before="72" w:line="228" w:lineRule="auto"/>
              <w:rPr/>
            </w:pPr>
            <w:r>
              <w:rPr>
                <w:spacing w:val="4"/>
              </w:rPr>
              <w:t>采矿区地面塌陷；潜在的崩塌、滑坡</w:t>
            </w:r>
          </w:p>
        </w:tc>
        <w:tc>
          <w:tcPr>
            <w:tcW w:w="1740" w:type="dxa"/>
            <w:vAlign w:val="top"/>
            <w:tcBorders>
              <w:bottom w:val="single" w:color="000000" w:sz="10" w:space="0"/>
              <w:right w:val="nil"/>
            </w:tcBorders>
          </w:tcPr>
          <w:p>
            <w:pPr>
              <w:pStyle w:val="TableText"/>
              <w:ind w:left="151"/>
              <w:spacing w:before="72" w:line="232" w:lineRule="auto"/>
              <w:rPr/>
            </w:pPr>
            <w:r>
              <w:rPr>
                <w:spacing w:val="8"/>
              </w:rPr>
              <w:t>原矿、尾矿、成</w:t>
            </w:r>
          </w:p>
        </w:tc>
      </w:tr>
    </w:tbl>
    <w:p>
      <w:pPr>
        <w:pStyle w:val="BodyText"/>
        <w:rPr/>
      </w:pPr>
      <w:r/>
    </w:p>
    <w:p>
      <w:pPr>
        <w:sectPr>
          <w:footerReference w:type="default" r:id="rId370"/>
          <w:pgSz w:w="11906" w:h="16839"/>
          <w:pgMar w:top="400" w:right="1695" w:bottom="1358" w:left="1691" w:header="0" w:footer="1195" w:gutter="0"/>
        </w:sectPr>
        <w:rPr/>
      </w:pPr>
    </w:p>
    <w:p>
      <w:pPr>
        <w:spacing w:before="19"/>
        <w:rPr/>
      </w:pPr>
      <w:r/>
    </w:p>
    <w:p>
      <w:pPr>
        <w:spacing w:before="19"/>
        <w:rPr/>
      </w:pPr>
      <w:r/>
    </w:p>
    <w:p>
      <w:pPr>
        <w:spacing w:before="18"/>
        <w:rPr/>
      </w:pPr>
      <w:r/>
    </w:p>
    <w:p>
      <w:pPr>
        <w:spacing w:before="18"/>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5"/>
        <w:gridCol w:w="2061"/>
        <w:gridCol w:w="3512"/>
        <w:gridCol w:w="1740"/>
      </w:tblGrid>
      <w:tr>
        <w:trPr>
          <w:trHeight w:val="297" w:hRule="atLeast"/>
        </w:trPr>
        <w:tc>
          <w:tcPr>
            <w:tcW w:w="1205" w:type="dxa"/>
            <w:vAlign w:val="top"/>
            <w:vMerge w:val="restart"/>
            <w:tcBorders>
              <w:bottom w:val="nil"/>
              <w:top w:val="single" w:color="000000" w:sz="10" w:space="0"/>
              <w:left w:val="nil"/>
            </w:tcBorders>
          </w:tcPr>
          <w:p>
            <w:pPr>
              <w:pStyle w:val="TableText"/>
              <w:ind w:left="197"/>
              <w:spacing w:before="35" w:line="232" w:lineRule="auto"/>
              <w:rPr/>
            </w:pPr>
            <w:bookmarkStart w:name="bookmark623" w:id="491"/>
            <w:bookmarkEnd w:id="491"/>
            <w:r>
              <w:rPr>
                <w:spacing w:val="5"/>
              </w:rPr>
              <w:t>风险识别</w:t>
            </w:r>
          </w:p>
        </w:tc>
        <w:tc>
          <w:tcPr>
            <w:tcW w:w="2061" w:type="dxa"/>
            <w:vAlign w:val="top"/>
            <w:tcBorders>
              <w:top w:val="single" w:color="000000" w:sz="10" w:space="0"/>
            </w:tcBorders>
          </w:tcPr>
          <w:p>
            <w:pPr>
              <w:rPr>
                <w:rFonts w:ascii="Arial"/>
                <w:sz w:val="21"/>
              </w:rPr>
            </w:pPr>
            <w:r/>
          </w:p>
        </w:tc>
        <w:tc>
          <w:tcPr>
            <w:tcW w:w="3512" w:type="dxa"/>
            <w:vAlign w:val="top"/>
            <w:tcBorders>
              <w:top w:val="single" w:color="000000" w:sz="10" w:space="0"/>
            </w:tcBorders>
          </w:tcPr>
          <w:p>
            <w:pPr>
              <w:pStyle w:val="TableText"/>
              <w:ind w:left="620"/>
              <w:spacing w:before="36" w:line="229" w:lineRule="auto"/>
              <w:rPr/>
            </w:pPr>
            <w:r>
              <w:rPr>
                <w:spacing w:val="6"/>
              </w:rPr>
              <w:t>隐患点主要为各类堆场。</w:t>
            </w:r>
          </w:p>
        </w:tc>
        <w:tc>
          <w:tcPr>
            <w:tcW w:w="1740" w:type="dxa"/>
            <w:vAlign w:val="top"/>
            <w:tcBorders>
              <w:top w:val="single" w:color="000000" w:sz="10" w:space="0"/>
              <w:right w:val="nil"/>
            </w:tcBorders>
          </w:tcPr>
          <w:p>
            <w:pPr>
              <w:pStyle w:val="TableText"/>
              <w:ind w:left="485"/>
              <w:spacing w:before="36" w:line="229" w:lineRule="auto"/>
              <w:rPr/>
            </w:pPr>
            <w:r>
              <w:rPr/>
              <w:t>品矿堆场</w:t>
            </w:r>
          </w:p>
        </w:tc>
      </w:tr>
      <w:tr>
        <w:trPr>
          <w:trHeight w:val="621" w:hRule="atLeast"/>
        </w:trPr>
        <w:tc>
          <w:tcPr>
            <w:tcW w:w="1205" w:type="dxa"/>
            <w:vAlign w:val="top"/>
            <w:vMerge w:val="continue"/>
            <w:tcBorders>
              <w:bottom w:val="nil"/>
              <w:top w:val="nil"/>
              <w:left w:val="nil"/>
            </w:tcBorders>
          </w:tcPr>
          <w:p>
            <w:pPr>
              <w:rPr>
                <w:rFonts w:ascii="Arial"/>
                <w:sz w:val="21"/>
              </w:rPr>
            </w:pPr>
            <w:r/>
          </w:p>
        </w:tc>
        <w:tc>
          <w:tcPr>
            <w:tcW w:w="2061" w:type="dxa"/>
            <w:vAlign w:val="top"/>
          </w:tcPr>
          <w:p>
            <w:pPr>
              <w:pStyle w:val="TableText"/>
              <w:ind w:left="527"/>
              <w:spacing w:before="212" w:line="232" w:lineRule="auto"/>
              <w:rPr/>
            </w:pPr>
            <w:r>
              <w:rPr>
                <w:spacing w:val="4"/>
              </w:rPr>
              <w:t>生产、生活</w:t>
            </w:r>
          </w:p>
        </w:tc>
        <w:tc>
          <w:tcPr>
            <w:tcW w:w="3512" w:type="dxa"/>
            <w:vAlign w:val="top"/>
          </w:tcPr>
          <w:p>
            <w:pPr>
              <w:pStyle w:val="TableText"/>
              <w:ind w:left="194"/>
              <w:spacing w:before="56" w:line="229" w:lineRule="auto"/>
              <w:rPr/>
            </w:pPr>
            <w:r>
              <w:rPr>
                <w:spacing w:val="8"/>
              </w:rPr>
              <w:t>废水事故排放悬浮物等对地表水体</w:t>
            </w:r>
          </w:p>
          <w:p>
            <w:pPr>
              <w:pStyle w:val="TableText"/>
              <w:ind w:left="1454"/>
              <w:spacing w:before="63" w:line="224" w:lineRule="auto"/>
              <w:rPr/>
            </w:pPr>
            <w:r>
              <w:rPr/>
              <w:t>影响。</w:t>
            </w:r>
          </w:p>
        </w:tc>
        <w:tc>
          <w:tcPr>
            <w:tcW w:w="1740" w:type="dxa"/>
            <w:vAlign w:val="top"/>
            <w:tcBorders>
              <w:right w:val="nil"/>
            </w:tcBorders>
          </w:tcPr>
          <w:p>
            <w:pPr>
              <w:pStyle w:val="TableText"/>
              <w:ind w:left="160"/>
              <w:spacing w:before="211" w:line="232" w:lineRule="auto"/>
              <w:rPr/>
            </w:pPr>
            <w:r>
              <w:rPr>
                <w:spacing w:val="6"/>
              </w:rPr>
              <w:t>生产、生活废水</w:t>
            </w:r>
          </w:p>
        </w:tc>
      </w:tr>
      <w:tr>
        <w:trPr>
          <w:trHeight w:val="952" w:hRule="atLeast"/>
        </w:trPr>
        <w:tc>
          <w:tcPr>
            <w:tcW w:w="1205" w:type="dxa"/>
            <w:vAlign w:val="top"/>
            <w:vMerge w:val="continue"/>
            <w:tcBorders>
              <w:bottom w:val="single" w:color="000000" w:sz="10" w:space="0"/>
              <w:top w:val="nil"/>
              <w:left w:val="nil"/>
            </w:tcBorders>
          </w:tcPr>
          <w:p>
            <w:pPr>
              <w:rPr>
                <w:rFonts w:ascii="Arial"/>
                <w:sz w:val="21"/>
              </w:rPr>
            </w:pPr>
            <w:r/>
          </w:p>
        </w:tc>
        <w:tc>
          <w:tcPr>
            <w:tcW w:w="2061" w:type="dxa"/>
            <w:vAlign w:val="top"/>
            <w:tcBorders>
              <w:bottom w:val="single" w:color="000000" w:sz="10" w:space="0"/>
            </w:tcBorders>
          </w:tcPr>
          <w:p>
            <w:pPr>
              <w:pStyle w:val="TableText"/>
              <w:ind w:left="833" w:right="107" w:hanging="702"/>
              <w:spacing w:before="219" w:line="289" w:lineRule="auto"/>
              <w:rPr/>
            </w:pPr>
            <w:r>
              <w:rPr>
                <w:spacing w:val="1"/>
              </w:rPr>
              <w:t>生活污水、食堂废水</w:t>
            </w:r>
            <w:r>
              <w:rPr>
                <w:spacing w:val="1"/>
              </w:rPr>
              <w:t>运输</w:t>
            </w:r>
          </w:p>
        </w:tc>
        <w:tc>
          <w:tcPr>
            <w:tcW w:w="3512" w:type="dxa"/>
            <w:vAlign w:val="top"/>
            <w:tcBorders>
              <w:bottom w:val="single" w:color="000000" w:sz="10" w:space="0"/>
            </w:tcBorders>
          </w:tcPr>
          <w:p>
            <w:pPr>
              <w:pStyle w:val="TableText"/>
              <w:ind w:left="204"/>
              <w:spacing w:before="63" w:line="232" w:lineRule="auto"/>
              <w:rPr/>
            </w:pPr>
            <w:r>
              <w:rPr>
                <w:spacing w:val="8"/>
              </w:rPr>
              <w:t>生活污水和经过隔油池处理后的食</w:t>
            </w:r>
          </w:p>
          <w:p>
            <w:pPr>
              <w:pStyle w:val="TableText"/>
              <w:ind w:left="131"/>
              <w:spacing w:before="60" w:line="231" w:lineRule="auto"/>
              <w:rPr/>
            </w:pPr>
            <w:r>
              <w:rPr>
                <w:spacing w:val="4"/>
              </w:rPr>
              <w:t>堂废水运输过程中发生泄露事故，对</w:t>
            </w:r>
          </w:p>
          <w:p>
            <w:pPr>
              <w:pStyle w:val="TableText"/>
              <w:ind w:left="824"/>
              <w:spacing w:before="61" w:line="231" w:lineRule="auto"/>
              <w:rPr/>
            </w:pPr>
            <w:r>
              <w:rPr>
                <w:spacing w:val="6"/>
              </w:rPr>
              <w:t>周边环境造成影响。</w:t>
            </w:r>
          </w:p>
        </w:tc>
        <w:tc>
          <w:tcPr>
            <w:tcW w:w="1740" w:type="dxa"/>
            <w:vAlign w:val="top"/>
            <w:tcBorders>
              <w:bottom w:val="single" w:color="000000" w:sz="10" w:space="0"/>
              <w:right w:val="nil"/>
            </w:tcBorders>
          </w:tcPr>
          <w:p>
            <w:pPr>
              <w:pStyle w:val="TableText"/>
              <w:ind w:left="675" w:right="134" w:hanging="515"/>
              <w:spacing w:before="218" w:line="289" w:lineRule="auto"/>
              <w:rPr/>
            </w:pPr>
            <w:r>
              <w:rPr>
                <w:spacing w:val="6"/>
              </w:rPr>
              <w:t>生活污水、食堂</w:t>
            </w:r>
            <w:r>
              <w:rPr/>
              <w:t>废水</w:t>
            </w:r>
          </w:p>
        </w:tc>
      </w:tr>
    </w:tbl>
    <w:p>
      <w:pPr>
        <w:pStyle w:val="BodyText"/>
        <w:spacing w:line="273" w:lineRule="auto"/>
        <w:rPr/>
      </w:pPr>
      <w:r/>
    </w:p>
    <w:p>
      <w:pPr>
        <w:pStyle w:val="BodyText"/>
        <w:spacing w:line="274" w:lineRule="auto"/>
        <w:rPr/>
      </w:pPr>
      <w:r/>
    </w:p>
    <w:p>
      <w:pPr>
        <w:ind w:left="117"/>
        <w:spacing w:before="91" w:line="222" w:lineRule="auto"/>
        <w:outlineLvl w:val="1"/>
        <w:rPr>
          <w:rFonts w:ascii="FangSong" w:hAnsi="FangSong" w:eastAsia="FangSong" w:cs="FangSong"/>
          <w:sz w:val="28"/>
          <w:szCs w:val="28"/>
        </w:rPr>
      </w:pPr>
      <w:bookmarkStart w:name="bookmark361" w:id="492"/>
      <w:bookmarkEnd w:id="492"/>
      <w:bookmarkStart w:name="bookmark363" w:id="493"/>
      <w:bookmarkEnd w:id="493"/>
      <w:bookmarkStart w:name="bookmark360" w:id="494"/>
      <w:bookmarkEnd w:id="494"/>
      <w:bookmarkStart w:name="bookmark362" w:id="495"/>
      <w:bookmarkEnd w:id="495"/>
      <w:r>
        <w:rPr>
          <w:rFonts w:ascii="Times New Roman" w:hAnsi="Times New Roman" w:eastAsia="Times New Roman" w:cs="Times New Roman"/>
          <w:sz w:val="28"/>
          <w:szCs w:val="28"/>
          <w:b/>
          <w:bCs/>
          <w:spacing w:val="-2"/>
        </w:rPr>
        <w:t>8.5  </w:t>
      </w:r>
      <w:r>
        <w:rPr>
          <w:rFonts w:ascii="FangSong" w:hAnsi="FangSong" w:eastAsia="FangSong" w:cs="FangSong"/>
          <w:sz w:val="28"/>
          <w:szCs w:val="28"/>
          <w:b/>
          <w:bCs/>
          <w:spacing w:val="-2"/>
        </w:rPr>
        <w:t>环境风险分析</w:t>
      </w:r>
    </w:p>
    <w:p>
      <w:pPr>
        <w:ind w:left="116"/>
        <w:spacing w:before="227" w:line="222" w:lineRule="auto"/>
        <w:outlineLvl w:val="2"/>
        <w:rPr>
          <w:rFonts w:ascii="FangSong" w:hAnsi="FangSong" w:eastAsia="FangSong" w:cs="FangSong"/>
          <w:sz w:val="24"/>
          <w:szCs w:val="24"/>
        </w:rPr>
      </w:pPr>
      <w:bookmarkStart w:name="bookmark624" w:id="496"/>
      <w:bookmarkEnd w:id="496"/>
      <w:r>
        <w:rPr>
          <w:rFonts w:ascii="Times New Roman" w:hAnsi="Times New Roman" w:eastAsia="Times New Roman" w:cs="Times New Roman"/>
          <w:sz w:val="24"/>
          <w:szCs w:val="24"/>
          <w:b/>
          <w:bCs/>
          <w:spacing w:val="-2"/>
        </w:rPr>
        <w:t>8.5.1  </w:t>
      </w:r>
      <w:r>
        <w:rPr>
          <w:rFonts w:ascii="FangSong" w:hAnsi="FangSong" w:eastAsia="FangSong" w:cs="FangSong"/>
          <w:sz w:val="24"/>
          <w:szCs w:val="24"/>
          <w:b/>
          <w:bCs/>
          <w:spacing w:val="-2"/>
        </w:rPr>
        <w:t>炸药雷管爆炸影响分析</w:t>
      </w:r>
    </w:p>
    <w:p>
      <w:pPr>
        <w:ind w:left="126" w:right="65" w:firstLine="476"/>
        <w:spacing w:before="179" w:line="360" w:lineRule="auto"/>
        <w:jc w:val="both"/>
        <w:rPr>
          <w:rFonts w:ascii="FangSong" w:hAnsi="FangSong" w:eastAsia="FangSong" w:cs="FangSong"/>
          <w:sz w:val="24"/>
          <w:szCs w:val="24"/>
        </w:rPr>
      </w:pPr>
      <w:r>
        <w:rPr>
          <w:rFonts w:ascii="FangSong" w:hAnsi="FangSong" w:eastAsia="FangSong" w:cs="FangSong"/>
          <w:sz w:val="24"/>
          <w:szCs w:val="24"/>
          <w:spacing w:val="-2"/>
        </w:rPr>
        <w:t>爆炸物品是蕴藏巨大能量的危险品。爆炸物品爆炸不仅产生强大</w:t>
      </w:r>
      <w:r>
        <w:rPr>
          <w:rFonts w:ascii="FangSong" w:hAnsi="FangSong" w:eastAsia="FangSong" w:cs="FangSong"/>
          <w:sz w:val="24"/>
          <w:szCs w:val="24"/>
          <w:spacing w:val="-3"/>
        </w:rPr>
        <w:t>的冲击波，</w:t>
      </w:r>
      <w:r>
        <w:rPr>
          <w:rFonts w:ascii="FangSong" w:hAnsi="FangSong" w:eastAsia="FangSong" w:cs="FangSong"/>
          <w:sz w:val="24"/>
          <w:szCs w:val="24"/>
          <w:spacing w:val="-3"/>
        </w:rPr>
        <w:t>还伴随火灾及产生有毒有害气体。若发生爆炸，将造成严重</w:t>
      </w:r>
      <w:r>
        <w:rPr>
          <w:rFonts w:ascii="FangSong" w:hAnsi="FangSong" w:eastAsia="FangSong" w:cs="FangSong"/>
          <w:sz w:val="24"/>
          <w:szCs w:val="24"/>
          <w:spacing w:val="-4"/>
        </w:rPr>
        <w:t>的人身伤害和财产损</w:t>
      </w:r>
      <w:r>
        <w:rPr>
          <w:rFonts w:ascii="FangSong" w:hAnsi="FangSong" w:eastAsia="FangSong" w:cs="FangSong"/>
          <w:sz w:val="24"/>
          <w:szCs w:val="24"/>
          <w:spacing w:val="-10"/>
        </w:rPr>
        <w:t>失。</w:t>
      </w:r>
    </w:p>
    <w:p>
      <w:pPr>
        <w:ind w:left="123" w:right="104" w:firstLine="481"/>
        <w:spacing w:line="360" w:lineRule="auto"/>
        <w:jc w:val="both"/>
        <w:rPr>
          <w:rFonts w:ascii="FangSong" w:hAnsi="FangSong" w:eastAsia="FangSong" w:cs="FangSong"/>
          <w:sz w:val="24"/>
          <w:szCs w:val="24"/>
        </w:rPr>
      </w:pPr>
      <w:r>
        <w:rPr>
          <w:rFonts w:ascii="FangSong" w:hAnsi="FangSong" w:eastAsia="FangSong" w:cs="FangSong"/>
          <w:sz w:val="24"/>
          <w:szCs w:val="24"/>
          <w:spacing w:val="-3"/>
        </w:rPr>
        <w:t>项目为地下开采，项目设置一座炸药库，爆破</w:t>
      </w:r>
      <w:r>
        <w:rPr>
          <w:rFonts w:ascii="FangSong" w:hAnsi="FangSong" w:eastAsia="FangSong" w:cs="FangSong"/>
          <w:sz w:val="24"/>
          <w:szCs w:val="24"/>
          <w:spacing w:val="-4"/>
        </w:rPr>
        <w:t>工作由专业爆破队负责。炸药</w:t>
      </w:r>
      <w:r>
        <w:rPr>
          <w:rFonts w:ascii="FangSong" w:hAnsi="FangSong" w:eastAsia="FangSong" w:cs="FangSong"/>
          <w:sz w:val="24"/>
          <w:szCs w:val="24"/>
          <w:spacing w:val="-3"/>
        </w:rPr>
        <w:t>库或爆破面存在炸药因装卸不慎或遇明火而发生爆炸的可能，若是周</w:t>
      </w:r>
      <w:r>
        <w:rPr>
          <w:rFonts w:ascii="FangSong" w:hAnsi="FangSong" w:eastAsia="FangSong" w:cs="FangSong"/>
          <w:sz w:val="24"/>
          <w:szCs w:val="24"/>
          <w:spacing w:val="-4"/>
        </w:rPr>
        <w:t>围生产矿工</w:t>
      </w:r>
      <w:r>
        <w:rPr>
          <w:rFonts w:ascii="FangSong" w:hAnsi="FangSong" w:eastAsia="FangSong" w:cs="FangSong"/>
          <w:sz w:val="24"/>
          <w:szCs w:val="24"/>
          <w:spacing w:val="-3"/>
        </w:rPr>
        <w:t>撤离不及时，对周边矿工的安全构成威胁。工程爆破需由经过专门培</w:t>
      </w:r>
      <w:r>
        <w:rPr>
          <w:rFonts w:ascii="FangSong" w:hAnsi="FangSong" w:eastAsia="FangSong" w:cs="FangSong"/>
          <w:sz w:val="24"/>
          <w:szCs w:val="24"/>
          <w:spacing w:val="-4"/>
        </w:rPr>
        <w:t>训有爆破许</w:t>
      </w:r>
      <w:r>
        <w:rPr>
          <w:rFonts w:ascii="FangSong" w:hAnsi="FangSong" w:eastAsia="FangSong" w:cs="FangSong"/>
          <w:sz w:val="24"/>
          <w:szCs w:val="24"/>
          <w:spacing w:val="-3"/>
        </w:rPr>
        <w:t>可证的工人负责，并提前做好通知预警，禁止随意进入矿区，避免造</w:t>
      </w:r>
      <w:r>
        <w:rPr>
          <w:rFonts w:ascii="FangSong" w:hAnsi="FangSong" w:eastAsia="FangSong" w:cs="FangSong"/>
          <w:sz w:val="24"/>
          <w:szCs w:val="24"/>
          <w:spacing w:val="-4"/>
        </w:rPr>
        <w:t>成人员伤亡</w:t>
      </w:r>
      <w:r>
        <w:rPr>
          <w:rFonts w:ascii="FangSong" w:hAnsi="FangSong" w:eastAsia="FangSong" w:cs="FangSong"/>
          <w:sz w:val="24"/>
          <w:szCs w:val="24"/>
          <w:spacing w:val="-3"/>
        </w:rPr>
        <w:t>与财产损失。</w:t>
      </w:r>
    </w:p>
    <w:p>
      <w:pPr>
        <w:ind w:left="123" w:right="104" w:firstLine="481"/>
        <w:spacing w:before="4" w:line="359" w:lineRule="auto"/>
        <w:jc w:val="both"/>
        <w:rPr>
          <w:rFonts w:ascii="FangSong" w:hAnsi="FangSong" w:eastAsia="FangSong" w:cs="FangSong"/>
          <w:sz w:val="24"/>
          <w:szCs w:val="24"/>
        </w:rPr>
      </w:pPr>
      <w:r>
        <w:rPr>
          <w:rFonts w:ascii="FangSong" w:hAnsi="FangSong" w:eastAsia="FangSong" w:cs="FangSong"/>
          <w:sz w:val="24"/>
          <w:szCs w:val="24"/>
          <w:spacing w:val="-3"/>
        </w:rPr>
        <w:t>项目在爆炸品的运输过程中同样存在爆炸意外</w:t>
      </w:r>
      <w:r>
        <w:rPr>
          <w:rFonts w:ascii="FangSong" w:hAnsi="FangSong" w:eastAsia="FangSong" w:cs="FangSong"/>
          <w:sz w:val="24"/>
          <w:szCs w:val="24"/>
          <w:spacing w:val="-4"/>
        </w:rPr>
        <w:t>风险，运输人员必须要有足够</w:t>
      </w:r>
      <w:r>
        <w:rPr>
          <w:rFonts w:ascii="FangSong" w:hAnsi="FangSong" w:eastAsia="FangSong" w:cs="FangSong"/>
          <w:sz w:val="24"/>
          <w:szCs w:val="24"/>
          <w:spacing w:val="-3"/>
        </w:rPr>
        <w:t>的爆破技术和安全常识，井下严格按照相关规程进行运输，运输路线</w:t>
      </w:r>
      <w:r>
        <w:rPr>
          <w:rFonts w:ascii="FangSong" w:hAnsi="FangSong" w:eastAsia="FangSong" w:cs="FangSong"/>
          <w:sz w:val="24"/>
          <w:szCs w:val="24"/>
          <w:spacing w:val="-4"/>
        </w:rPr>
        <w:t>避免经过城</w:t>
      </w:r>
      <w:r>
        <w:rPr>
          <w:rFonts w:ascii="FangSong" w:hAnsi="FangSong" w:eastAsia="FangSong" w:cs="FangSong"/>
          <w:sz w:val="24"/>
          <w:szCs w:val="24"/>
          <w:spacing w:val="-2"/>
        </w:rPr>
        <w:t>镇等人口密集区。</w:t>
      </w:r>
    </w:p>
    <w:p>
      <w:pPr>
        <w:ind w:left="116"/>
        <w:spacing w:before="1" w:line="220" w:lineRule="auto"/>
        <w:outlineLvl w:val="2"/>
        <w:rPr>
          <w:rFonts w:ascii="FangSong" w:hAnsi="FangSong" w:eastAsia="FangSong" w:cs="FangSong"/>
          <w:sz w:val="24"/>
          <w:szCs w:val="24"/>
        </w:rPr>
      </w:pPr>
      <w:bookmarkStart w:name="bookmark365" w:id="497"/>
      <w:bookmarkEnd w:id="497"/>
      <w:bookmarkStart w:name="bookmark364" w:id="498"/>
      <w:bookmarkEnd w:id="498"/>
      <w:r>
        <w:rPr>
          <w:rFonts w:ascii="Times New Roman" w:hAnsi="Times New Roman" w:eastAsia="Times New Roman" w:cs="Times New Roman"/>
          <w:sz w:val="24"/>
          <w:szCs w:val="24"/>
          <w:b/>
          <w:bCs/>
          <w:spacing w:val="-2"/>
        </w:rPr>
        <w:t>8.5.2  </w:t>
      </w:r>
      <w:r>
        <w:rPr>
          <w:rFonts w:ascii="FangSong" w:hAnsi="FangSong" w:eastAsia="FangSong" w:cs="FangSong"/>
          <w:sz w:val="24"/>
          <w:szCs w:val="24"/>
          <w:b/>
          <w:bCs/>
          <w:spacing w:val="-2"/>
        </w:rPr>
        <w:t>油类物质泄漏环境影响分析</w:t>
      </w:r>
    </w:p>
    <w:p>
      <w:pPr>
        <w:ind w:left="123" w:right="104" w:firstLine="482"/>
        <w:spacing w:before="181" w:line="360" w:lineRule="auto"/>
        <w:jc w:val="both"/>
        <w:rPr>
          <w:rFonts w:ascii="FangSong" w:hAnsi="FangSong" w:eastAsia="FangSong" w:cs="FangSong"/>
          <w:sz w:val="24"/>
          <w:szCs w:val="24"/>
        </w:rPr>
      </w:pPr>
      <w:r>
        <w:rPr>
          <w:rFonts w:ascii="FangSong" w:hAnsi="FangSong" w:eastAsia="FangSong" w:cs="FangSong"/>
          <w:sz w:val="24"/>
          <w:szCs w:val="24"/>
          <w:spacing w:val="-4"/>
        </w:rPr>
        <w:t>废油泄漏后，首先污染土壤，然后通过包气带污染地下水。油类泄漏后，随</w:t>
      </w:r>
      <w:r>
        <w:rPr>
          <w:rFonts w:ascii="FangSong" w:hAnsi="FangSong" w:eastAsia="FangSong" w:cs="FangSong"/>
          <w:sz w:val="24"/>
          <w:szCs w:val="24"/>
          <w:spacing w:val="-1"/>
        </w:rPr>
        <w:t>着降雨补给对地下水，使水体</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COD</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1"/>
        </w:rPr>
        <w:t>及石油类指标升高，</w:t>
      </w:r>
      <w:r>
        <w:rPr>
          <w:rFonts w:ascii="FangSong" w:hAnsi="FangSong" w:eastAsia="FangSong" w:cs="FangSong"/>
          <w:sz w:val="24"/>
          <w:szCs w:val="24"/>
          <w:spacing w:val="-2"/>
        </w:rPr>
        <w:t>造成水质影响，污染水</w:t>
      </w:r>
      <w:r>
        <w:rPr>
          <w:rFonts w:ascii="FangSong" w:hAnsi="FangSong" w:eastAsia="FangSong" w:cs="FangSong"/>
          <w:sz w:val="24"/>
          <w:szCs w:val="24"/>
          <w:spacing w:val="-8"/>
        </w:rPr>
        <w:t>体。</w:t>
      </w:r>
    </w:p>
    <w:p>
      <w:pPr>
        <w:ind w:left="123" w:right="104" w:firstLine="481"/>
        <w:spacing w:before="2" w:line="360" w:lineRule="auto"/>
        <w:jc w:val="both"/>
        <w:rPr>
          <w:rFonts w:ascii="FangSong" w:hAnsi="FangSong" w:eastAsia="FangSong" w:cs="FangSong"/>
          <w:sz w:val="24"/>
          <w:szCs w:val="24"/>
        </w:rPr>
      </w:pPr>
      <w:r>
        <w:rPr>
          <w:rFonts w:ascii="FangSong" w:hAnsi="FangSong" w:eastAsia="FangSong" w:cs="FangSong"/>
          <w:sz w:val="24"/>
          <w:szCs w:val="24"/>
          <w:spacing w:val="-3"/>
        </w:rPr>
        <w:t>项目废油贮存在危险废物贮存点，贮存点为封</w:t>
      </w:r>
      <w:r>
        <w:rPr>
          <w:rFonts w:ascii="FangSong" w:hAnsi="FangSong" w:eastAsia="FangSong" w:cs="FangSong"/>
          <w:sz w:val="24"/>
          <w:szCs w:val="24"/>
          <w:spacing w:val="-4"/>
        </w:rPr>
        <w:t>闭间，地坪采用高强度混凝土</w:t>
      </w:r>
      <w:r>
        <w:rPr>
          <w:rFonts w:ascii="FangSong" w:hAnsi="FangSong" w:eastAsia="FangSong" w:cs="FangSong"/>
          <w:sz w:val="24"/>
          <w:szCs w:val="24"/>
          <w:spacing w:val="-3"/>
        </w:rPr>
        <w:t>浇注作为防渗措施，按危废处置规范要求悬挂、张贴了危险废物标识</w:t>
      </w:r>
      <w:r>
        <w:rPr>
          <w:rFonts w:ascii="FangSong" w:hAnsi="FangSong" w:eastAsia="FangSong" w:cs="FangSong"/>
          <w:sz w:val="24"/>
          <w:szCs w:val="24"/>
          <w:spacing w:val="-4"/>
        </w:rPr>
        <w:t>牌；废油均</w:t>
      </w:r>
      <w:r>
        <w:rPr>
          <w:rFonts w:ascii="FangSong" w:hAnsi="FangSong" w:eastAsia="FangSong" w:cs="FangSong"/>
          <w:sz w:val="24"/>
          <w:szCs w:val="24"/>
          <w:spacing w:val="-3"/>
        </w:rPr>
        <w:t>装入油桶，再储存于危险废物贮存点，贮存、处置满足《危险废物贮</w:t>
      </w:r>
      <w:r>
        <w:rPr>
          <w:rFonts w:ascii="FangSong" w:hAnsi="FangSong" w:eastAsia="FangSong" w:cs="FangSong"/>
          <w:sz w:val="24"/>
          <w:szCs w:val="24"/>
          <w:spacing w:val="-4"/>
        </w:rPr>
        <w:t>存污染控制</w:t>
      </w:r>
      <w:r>
        <w:rPr>
          <w:rFonts w:ascii="FangSong" w:hAnsi="FangSong" w:eastAsia="FangSong" w:cs="FangSong"/>
          <w:sz w:val="24"/>
          <w:szCs w:val="24"/>
        </w:rPr>
        <w:t>标准》（</w:t>
      </w:r>
      <w:r>
        <w:rPr>
          <w:rFonts w:ascii="Times New Roman" w:hAnsi="Times New Roman" w:eastAsia="Times New Roman" w:cs="Times New Roman"/>
          <w:sz w:val="24"/>
          <w:szCs w:val="24"/>
        </w:rPr>
        <w:t>GB18597-2023</w:t>
      </w:r>
      <w:r>
        <w:rPr>
          <w:rFonts w:ascii="FangSong" w:hAnsi="FangSong" w:eastAsia="FangSong" w:cs="FangSong"/>
          <w:sz w:val="24"/>
          <w:szCs w:val="24"/>
          <w:spacing w:val="16"/>
        </w:rPr>
        <w:t>），</w:t>
      </w:r>
      <w:r>
        <w:rPr>
          <w:rFonts w:ascii="FangSong" w:hAnsi="FangSong" w:eastAsia="FangSong" w:cs="FangSong"/>
          <w:sz w:val="24"/>
          <w:szCs w:val="24"/>
        </w:rPr>
        <w:t>定期交有资质单位处置，</w:t>
      </w:r>
      <w:r>
        <w:rPr>
          <w:rFonts w:ascii="FangSong" w:hAnsi="FangSong" w:eastAsia="FangSong" w:cs="FangSong"/>
          <w:sz w:val="24"/>
          <w:szCs w:val="24"/>
          <w:spacing w:val="-70"/>
        </w:rPr>
        <w:t xml:space="preserve"> </w:t>
      </w:r>
      <w:r>
        <w:rPr>
          <w:rFonts w:ascii="FangSong" w:hAnsi="FangSong" w:eastAsia="FangSong" w:cs="FangSong"/>
          <w:sz w:val="24"/>
          <w:szCs w:val="24"/>
        </w:rPr>
        <w:t>由于废油储</w:t>
      </w:r>
      <w:r>
        <w:rPr>
          <w:rFonts w:ascii="FangSong" w:hAnsi="FangSong" w:eastAsia="FangSong" w:cs="FangSong"/>
          <w:sz w:val="24"/>
          <w:szCs w:val="24"/>
          <w:spacing w:val="-1"/>
        </w:rPr>
        <w:t>存在危险废物</w:t>
      </w:r>
      <w:r>
        <w:rPr>
          <w:rFonts w:ascii="FangSong" w:hAnsi="FangSong" w:eastAsia="FangSong" w:cs="FangSong"/>
          <w:sz w:val="24"/>
          <w:szCs w:val="24"/>
          <w:spacing w:val="-3"/>
        </w:rPr>
        <w:t>贮存点，且按要求进行防渗处理，其发生泄漏至地下水的可能性很小</w:t>
      </w:r>
      <w:r>
        <w:rPr>
          <w:rFonts w:ascii="FangSong" w:hAnsi="FangSong" w:eastAsia="FangSong" w:cs="FangSong"/>
          <w:sz w:val="24"/>
          <w:szCs w:val="24"/>
          <w:spacing w:val="-4"/>
        </w:rPr>
        <w:t>，造成地下</w:t>
      </w:r>
      <w:r>
        <w:rPr>
          <w:rFonts w:ascii="FangSong" w:hAnsi="FangSong" w:eastAsia="FangSong" w:cs="FangSong"/>
          <w:sz w:val="24"/>
          <w:szCs w:val="24"/>
          <w:spacing w:val="-2"/>
        </w:rPr>
        <w:t>水环境风险事故较小。</w:t>
      </w:r>
    </w:p>
    <w:p>
      <w:pPr>
        <w:spacing w:line="360" w:lineRule="auto"/>
        <w:sectPr>
          <w:footerReference w:type="default" r:id="rId371"/>
          <w:pgSz w:w="11906" w:h="16839"/>
          <w:pgMar w:top="400" w:right="1695"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2"/>
        <w:spacing w:before="78" w:line="222" w:lineRule="auto"/>
        <w:outlineLvl w:val="2"/>
        <w:rPr>
          <w:rFonts w:ascii="FangSong" w:hAnsi="FangSong" w:eastAsia="FangSong" w:cs="FangSong"/>
          <w:sz w:val="24"/>
          <w:szCs w:val="24"/>
        </w:rPr>
      </w:pPr>
      <w:bookmarkStart w:name="bookmark367" w:id="499"/>
      <w:bookmarkEnd w:id="499"/>
      <w:bookmarkStart w:name="bookmark366" w:id="500"/>
      <w:bookmarkEnd w:id="500"/>
      <w:r>
        <w:rPr>
          <w:rFonts w:ascii="Times New Roman" w:hAnsi="Times New Roman" w:eastAsia="Times New Roman" w:cs="Times New Roman"/>
          <w:sz w:val="24"/>
          <w:szCs w:val="24"/>
          <w:b/>
          <w:bCs/>
          <w:spacing w:val="-2"/>
        </w:rPr>
        <w:t>8.5.3  </w:t>
      </w:r>
      <w:r>
        <w:rPr>
          <w:rFonts w:ascii="FangSong" w:hAnsi="FangSong" w:eastAsia="FangSong" w:cs="FangSong"/>
          <w:sz w:val="24"/>
          <w:szCs w:val="24"/>
          <w:b/>
          <w:bCs/>
          <w:spacing w:val="-2"/>
        </w:rPr>
        <w:t>废水事故排放风险分析</w:t>
      </w:r>
    </w:p>
    <w:p>
      <w:pPr>
        <w:ind w:left="29" w:right="44" w:firstLine="481"/>
        <w:spacing w:before="179" w:line="360" w:lineRule="auto"/>
        <w:jc w:val="both"/>
        <w:rPr>
          <w:rFonts w:ascii="FangSong" w:hAnsi="FangSong" w:eastAsia="FangSong" w:cs="FangSong"/>
          <w:sz w:val="24"/>
          <w:szCs w:val="24"/>
        </w:rPr>
      </w:pPr>
      <w:r>
        <w:rPr>
          <w:rFonts w:ascii="FangSong" w:hAnsi="FangSong" w:eastAsia="FangSong" w:cs="FangSong"/>
          <w:sz w:val="24"/>
          <w:szCs w:val="24"/>
          <w:spacing w:val="-2"/>
        </w:rPr>
        <w:t>本项目产生的矿井涌水、选矿生产废水等均经回水池混凝沉</w:t>
      </w:r>
      <w:r>
        <w:rPr>
          <w:rFonts w:ascii="FangSong" w:hAnsi="FangSong" w:eastAsia="FangSong" w:cs="FangSong"/>
          <w:sz w:val="24"/>
          <w:szCs w:val="24"/>
          <w:spacing w:val="-3"/>
        </w:rPr>
        <w:t>淀后全部回用，</w:t>
      </w:r>
      <w:r>
        <w:rPr>
          <w:rFonts w:ascii="FangSong" w:hAnsi="FangSong" w:eastAsia="FangSong" w:cs="FangSong"/>
          <w:sz w:val="24"/>
          <w:szCs w:val="24"/>
          <w:spacing w:val="-3"/>
        </w:rPr>
        <w:t>不外排。生活污水与经隔油池处理后的食堂废水排入厂区防渗储池内</w:t>
      </w:r>
      <w:r>
        <w:rPr>
          <w:rFonts w:ascii="FangSong" w:hAnsi="FangSong" w:eastAsia="FangSong" w:cs="FangSong"/>
          <w:sz w:val="24"/>
          <w:szCs w:val="24"/>
          <w:spacing w:val="-4"/>
        </w:rPr>
        <w:t>，定期运至</w:t>
      </w:r>
      <w:r>
        <w:rPr>
          <w:rFonts w:ascii="FangSong" w:hAnsi="FangSong" w:eastAsia="FangSong" w:cs="FangSong"/>
          <w:sz w:val="24"/>
          <w:szCs w:val="24"/>
          <w:spacing w:val="4"/>
        </w:rPr>
        <w:t>内蒙古锡林郭勒盟苏尼特右旗赛汉塔拉镇污水处理厂处理</w:t>
      </w:r>
      <w:r>
        <w:rPr>
          <w:rFonts w:ascii="FangSong" w:hAnsi="FangSong" w:eastAsia="FangSong" w:cs="FangSong"/>
          <w:sz w:val="24"/>
          <w:szCs w:val="24"/>
          <w:spacing w:val="3"/>
        </w:rPr>
        <w:t>本项目产生的所有废</w:t>
      </w:r>
      <w:r>
        <w:rPr>
          <w:rFonts w:ascii="FangSong" w:hAnsi="FangSong" w:eastAsia="FangSong" w:cs="FangSong"/>
          <w:sz w:val="24"/>
          <w:szCs w:val="24"/>
          <w:spacing w:val="-2"/>
        </w:rPr>
        <w:t>水均不外排至所在区域地表水体，不会对所在区域地表水产生污染影响。因此，</w:t>
      </w:r>
      <w:r>
        <w:rPr>
          <w:rFonts w:ascii="FangSong" w:hAnsi="FangSong" w:eastAsia="FangSong" w:cs="FangSong"/>
          <w:sz w:val="24"/>
          <w:szCs w:val="24"/>
          <w:spacing w:val="-2"/>
        </w:rPr>
        <w:t>本项目地表水环境风险可防可控。</w:t>
      </w:r>
    </w:p>
    <w:p>
      <w:pPr>
        <w:ind w:left="22"/>
        <w:spacing w:line="221" w:lineRule="auto"/>
        <w:outlineLvl w:val="2"/>
        <w:rPr>
          <w:rFonts w:ascii="FangSong" w:hAnsi="FangSong" w:eastAsia="FangSong" w:cs="FangSong"/>
          <w:sz w:val="24"/>
          <w:szCs w:val="24"/>
        </w:rPr>
      </w:pPr>
      <w:bookmarkStart w:name="bookmark369" w:id="501"/>
      <w:bookmarkEnd w:id="501"/>
      <w:bookmarkStart w:name="bookmark368" w:id="502"/>
      <w:bookmarkEnd w:id="502"/>
      <w:r>
        <w:rPr>
          <w:rFonts w:ascii="Times New Roman" w:hAnsi="Times New Roman" w:eastAsia="Times New Roman" w:cs="Times New Roman"/>
          <w:sz w:val="24"/>
          <w:szCs w:val="24"/>
          <w:b/>
          <w:bCs/>
          <w:spacing w:val="-2"/>
        </w:rPr>
        <w:t>8.5.4  </w:t>
      </w:r>
      <w:r>
        <w:rPr>
          <w:rFonts w:ascii="FangSong" w:hAnsi="FangSong" w:eastAsia="FangSong" w:cs="FangSong"/>
          <w:sz w:val="24"/>
          <w:szCs w:val="24"/>
          <w:b/>
          <w:bCs/>
          <w:spacing w:val="-2"/>
        </w:rPr>
        <w:t>地表塌陷风险分析</w:t>
      </w:r>
    </w:p>
    <w:p>
      <w:pPr>
        <w:ind w:left="510"/>
        <w:spacing w:before="180" w:line="222" w:lineRule="auto"/>
        <w:rPr>
          <w:rFonts w:ascii="FangSong" w:hAnsi="FangSong" w:eastAsia="FangSong" w:cs="FangSong"/>
          <w:sz w:val="24"/>
          <w:szCs w:val="24"/>
        </w:rPr>
      </w:pPr>
      <w:r>
        <w:rPr>
          <w:rFonts w:ascii="FangSong" w:hAnsi="FangSong" w:eastAsia="FangSong" w:cs="FangSong"/>
          <w:sz w:val="24"/>
          <w:szCs w:val="24"/>
          <w:spacing w:val="-1"/>
        </w:rPr>
        <w:t>地表塌陷对生态环境造成的危害主要有：</w:t>
      </w:r>
    </w:p>
    <w:p>
      <w:pPr>
        <w:ind w:left="32" w:right="85" w:firstLine="482"/>
        <w:spacing w:before="179"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）破坏土地资源，塌陷区土地被破坏，改变土地利用格局，地表塌陷区</w:t>
      </w:r>
      <w:r>
        <w:rPr>
          <w:rFonts w:ascii="FangSong" w:hAnsi="FangSong" w:eastAsia="FangSong" w:cs="FangSong"/>
          <w:sz w:val="24"/>
          <w:szCs w:val="24"/>
          <w:spacing w:val="-1"/>
        </w:rPr>
        <w:t>及周围的土地资源都被破坏，失去原有土地功能。</w:t>
      </w:r>
    </w:p>
    <w:p>
      <w:pPr>
        <w:ind w:left="46" w:right="83" w:firstLine="467"/>
        <w:spacing w:before="179"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）塌陷区地表植被破坏，生态环境遭到破坏。如果采矿工业活动形成塌</w:t>
      </w:r>
      <w:r>
        <w:rPr>
          <w:rFonts w:ascii="FangSong" w:hAnsi="FangSong" w:eastAsia="FangSong" w:cs="FangSong"/>
          <w:sz w:val="24"/>
          <w:szCs w:val="24"/>
          <w:spacing w:val="-4"/>
        </w:rPr>
        <w:t>陷区，塌陷区内的地表植被将全部被破坏，局部生态环境遭到破坏。而且随着塌</w:t>
      </w:r>
      <w:r>
        <w:rPr>
          <w:rFonts w:ascii="FangSong" w:hAnsi="FangSong" w:eastAsia="FangSong" w:cs="FangSong"/>
          <w:sz w:val="24"/>
          <w:szCs w:val="24"/>
          <w:spacing w:val="-1"/>
        </w:rPr>
        <w:t>陷的加剧，塌陷面积的扩大，地表植被的损失将更大，生态破坏更严</w:t>
      </w:r>
      <w:r>
        <w:rPr>
          <w:rFonts w:ascii="FangSong" w:hAnsi="FangSong" w:eastAsia="FangSong" w:cs="FangSong"/>
          <w:sz w:val="24"/>
          <w:szCs w:val="24"/>
          <w:spacing w:val="-2"/>
        </w:rPr>
        <w:t>重。</w:t>
      </w:r>
    </w:p>
    <w:p>
      <w:pPr>
        <w:ind w:left="29" w:right="85" w:firstLine="485"/>
        <w:spacing w:before="182"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）塌陷区对区域生态景观的影响。矿山地表塌陷形成的塌陷坑，将破坏</w:t>
      </w:r>
      <w:r>
        <w:rPr>
          <w:rFonts w:ascii="FangSong" w:hAnsi="FangSong" w:eastAsia="FangSong" w:cs="FangSong"/>
          <w:sz w:val="24"/>
          <w:szCs w:val="24"/>
          <w:spacing w:val="-3"/>
        </w:rPr>
        <w:t>矿区地表植被覆盖的完整性和连续性，使原本和谐、完整、连</w:t>
      </w:r>
      <w:r>
        <w:rPr>
          <w:rFonts w:ascii="FangSong" w:hAnsi="FangSong" w:eastAsia="FangSong" w:cs="FangSong"/>
          <w:sz w:val="24"/>
          <w:szCs w:val="24"/>
          <w:spacing w:val="-4"/>
        </w:rPr>
        <w:t>续的天然植被生态</w:t>
      </w:r>
      <w:r>
        <w:rPr>
          <w:rFonts w:ascii="FangSong" w:hAnsi="FangSong" w:eastAsia="FangSong" w:cs="FangSong"/>
          <w:sz w:val="24"/>
          <w:szCs w:val="24"/>
          <w:spacing w:val="-1"/>
        </w:rPr>
        <w:t>景观被分割，呈现出岩土裸露的破碎性景生态观。</w:t>
      </w:r>
    </w:p>
    <w:p>
      <w:pPr>
        <w:ind w:left="31" w:right="85" w:firstLine="483"/>
        <w:spacing w:before="182"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）塌陷区还有可能造成大气降雨形成的地表泾流进入地下采坑，导致地</w:t>
      </w:r>
      <w:r>
        <w:rPr>
          <w:rFonts w:ascii="FangSong" w:hAnsi="FangSong" w:eastAsia="FangSong" w:cs="FangSong"/>
          <w:sz w:val="24"/>
          <w:szCs w:val="24"/>
          <w:spacing w:val="-2"/>
        </w:rPr>
        <w:t>表渗入地下，污染地下水的危害性。</w:t>
      </w:r>
    </w:p>
    <w:p>
      <w:pPr>
        <w:ind w:left="22"/>
        <w:spacing w:before="181" w:line="221" w:lineRule="auto"/>
        <w:outlineLvl w:val="2"/>
        <w:rPr>
          <w:rFonts w:ascii="FangSong" w:hAnsi="FangSong" w:eastAsia="FangSong" w:cs="FangSong"/>
          <w:sz w:val="24"/>
          <w:szCs w:val="24"/>
        </w:rPr>
      </w:pPr>
      <w:bookmarkStart w:name="bookmark371" w:id="503"/>
      <w:bookmarkEnd w:id="503"/>
      <w:bookmarkStart w:name="bookmark370" w:id="504"/>
      <w:bookmarkEnd w:id="504"/>
      <w:r>
        <w:rPr>
          <w:rFonts w:ascii="Times New Roman" w:hAnsi="Times New Roman" w:eastAsia="Times New Roman" w:cs="Times New Roman"/>
          <w:sz w:val="24"/>
          <w:szCs w:val="24"/>
          <w:b/>
          <w:bCs/>
          <w:spacing w:val="-2"/>
        </w:rPr>
        <w:t>8.5.5  </w:t>
      </w:r>
      <w:r>
        <w:rPr>
          <w:rFonts w:ascii="FangSong" w:hAnsi="FangSong" w:eastAsia="FangSong" w:cs="FangSong"/>
          <w:sz w:val="24"/>
          <w:szCs w:val="24"/>
          <w:b/>
          <w:bCs/>
          <w:spacing w:val="-2"/>
        </w:rPr>
        <w:t>堆场事故风险分析</w:t>
      </w:r>
    </w:p>
    <w:p>
      <w:pPr>
        <w:ind w:left="30" w:right="20" w:firstLine="480"/>
        <w:spacing w:before="181" w:line="360" w:lineRule="auto"/>
        <w:rPr>
          <w:rFonts w:ascii="FangSong" w:hAnsi="FangSong" w:eastAsia="FangSong" w:cs="FangSong"/>
          <w:sz w:val="24"/>
          <w:szCs w:val="24"/>
        </w:rPr>
      </w:pPr>
      <w:r>
        <w:rPr>
          <w:rFonts w:ascii="FangSong" w:hAnsi="FangSong" w:eastAsia="FangSong" w:cs="FangSong"/>
          <w:sz w:val="24"/>
          <w:szCs w:val="24"/>
          <w:spacing w:val="-4"/>
        </w:rPr>
        <w:t>项目设置原矿堆场、尾矿临时堆场、成品库和表土堆场，且矿山基建期在堆</w:t>
      </w:r>
      <w:r>
        <w:rPr>
          <w:rFonts w:ascii="FangSong" w:hAnsi="FangSong" w:eastAsia="FangSong" w:cs="FangSong"/>
          <w:sz w:val="24"/>
          <w:szCs w:val="24"/>
          <w:spacing w:val="-8"/>
        </w:rPr>
        <w:t>场周边修建截水沟，拦截导出雨水；工业广场设有导流渠，能满足上游排水需求；</w:t>
      </w:r>
    </w:p>
    <w:p>
      <w:pPr>
        <w:ind w:left="30" w:firstLine="480"/>
        <w:spacing w:before="5" w:line="359" w:lineRule="auto"/>
        <w:jc w:val="both"/>
        <w:rPr>
          <w:rFonts w:ascii="FangSong" w:hAnsi="FangSong" w:eastAsia="FangSong" w:cs="FangSong"/>
          <w:sz w:val="24"/>
          <w:szCs w:val="24"/>
        </w:rPr>
      </w:pPr>
      <w:r>
        <w:rPr>
          <w:rFonts w:ascii="FangSong" w:hAnsi="FangSong" w:eastAsia="FangSong" w:cs="FangSong"/>
          <w:sz w:val="24"/>
          <w:szCs w:val="24"/>
          <w:spacing w:val="-8"/>
        </w:rPr>
        <w:t>堆场的边坡为自然堆积形成，且其下游修筑挡墙，增加了堆场的边坡稳定性。</w:t>
      </w:r>
      <w:r>
        <w:rPr>
          <w:rFonts w:ascii="FangSong" w:hAnsi="FangSong" w:eastAsia="FangSong" w:cs="FangSong"/>
          <w:sz w:val="24"/>
          <w:szCs w:val="24"/>
          <w:spacing w:val="-3"/>
        </w:rPr>
        <w:t>使得堆场上游汇水可及时排放，同时本项目各堆场均采用素混凝</w:t>
      </w:r>
      <w:r>
        <w:rPr>
          <w:rFonts w:ascii="FangSong" w:hAnsi="FangSong" w:eastAsia="FangSong" w:cs="FangSong"/>
          <w:sz w:val="24"/>
          <w:szCs w:val="24"/>
          <w:spacing w:val="-4"/>
        </w:rPr>
        <w:t>土地面基础、全</w:t>
      </w:r>
      <w:r>
        <w:rPr>
          <w:rFonts w:ascii="FangSong" w:hAnsi="FangSong" w:eastAsia="FangSong" w:cs="FangSong"/>
          <w:sz w:val="24"/>
          <w:szCs w:val="24"/>
          <w:spacing w:val="-3"/>
        </w:rPr>
        <w:t>封闭彩钢结构建设，水动力条件不足，进一步防止了雨季对堆场</w:t>
      </w:r>
      <w:r>
        <w:rPr>
          <w:rFonts w:ascii="FangSong" w:hAnsi="FangSong" w:eastAsia="FangSong" w:cs="FangSong"/>
          <w:sz w:val="24"/>
          <w:szCs w:val="24"/>
          <w:spacing w:val="-4"/>
        </w:rPr>
        <w:t>的冲刷。降低了</w:t>
      </w:r>
      <w:r>
        <w:rPr>
          <w:rFonts w:ascii="FangSong" w:hAnsi="FangSong" w:eastAsia="FangSong" w:cs="FangSong"/>
          <w:sz w:val="24"/>
          <w:szCs w:val="24"/>
          <w:spacing w:val="-1"/>
        </w:rPr>
        <w:t>因雨水而产生的坍塌可能性，使其对周围环境的破坏及影响。</w:t>
      </w:r>
    </w:p>
    <w:p>
      <w:pPr>
        <w:ind w:left="22"/>
        <w:spacing w:before="1" w:line="221" w:lineRule="auto"/>
        <w:outlineLvl w:val="2"/>
        <w:rPr>
          <w:rFonts w:ascii="FangSong" w:hAnsi="FangSong" w:eastAsia="FangSong" w:cs="FangSong"/>
          <w:sz w:val="24"/>
          <w:szCs w:val="24"/>
        </w:rPr>
      </w:pPr>
      <w:bookmarkStart w:name="bookmark373" w:id="505"/>
      <w:bookmarkEnd w:id="505"/>
      <w:bookmarkStart w:name="bookmark372" w:id="506"/>
      <w:bookmarkEnd w:id="506"/>
      <w:r>
        <w:rPr>
          <w:rFonts w:ascii="Times New Roman" w:hAnsi="Times New Roman" w:eastAsia="Times New Roman" w:cs="Times New Roman"/>
          <w:sz w:val="24"/>
          <w:szCs w:val="24"/>
          <w:b/>
          <w:bCs/>
          <w:spacing w:val="-2"/>
        </w:rPr>
        <w:t>8.5.6  </w:t>
      </w:r>
      <w:r>
        <w:rPr>
          <w:rFonts w:ascii="FangSong" w:hAnsi="FangSong" w:eastAsia="FangSong" w:cs="FangSong"/>
          <w:sz w:val="24"/>
          <w:szCs w:val="24"/>
          <w:b/>
          <w:bCs/>
          <w:spacing w:val="-2"/>
        </w:rPr>
        <w:t>运输事故风险分析</w:t>
      </w:r>
    </w:p>
    <w:p>
      <w:pPr>
        <w:ind w:left="29" w:right="83" w:firstLine="481"/>
        <w:spacing w:before="179" w:line="361" w:lineRule="auto"/>
        <w:jc w:val="both"/>
        <w:rPr>
          <w:rFonts w:ascii="FangSong" w:hAnsi="FangSong" w:eastAsia="FangSong" w:cs="FangSong"/>
          <w:sz w:val="24"/>
          <w:szCs w:val="24"/>
        </w:rPr>
      </w:pPr>
      <w:r>
        <w:rPr>
          <w:rFonts w:ascii="FangSong" w:hAnsi="FangSong" w:eastAsia="FangSong" w:cs="FangSong"/>
          <w:sz w:val="24"/>
          <w:szCs w:val="24"/>
          <w:spacing w:val="-3"/>
        </w:rPr>
        <w:t>项目产生的生活污水和经隔油池处理后的食堂</w:t>
      </w:r>
      <w:r>
        <w:rPr>
          <w:rFonts w:ascii="FangSong" w:hAnsi="FangSong" w:eastAsia="FangSong" w:cs="FangSong"/>
          <w:sz w:val="24"/>
          <w:szCs w:val="24"/>
          <w:spacing w:val="-4"/>
        </w:rPr>
        <w:t>废水均采用汽车外运处理，在</w:t>
      </w:r>
      <w:r>
        <w:rPr>
          <w:rFonts w:ascii="FangSong" w:hAnsi="FangSong" w:eastAsia="FangSong" w:cs="FangSong"/>
          <w:sz w:val="24"/>
          <w:szCs w:val="24"/>
          <w:spacing w:val="-3"/>
        </w:rPr>
        <w:t>运输过程中若因运输人员操作不当或车辆发生事故等原因，使生活污</w:t>
      </w:r>
      <w:r>
        <w:rPr>
          <w:rFonts w:ascii="FangSong" w:hAnsi="FangSong" w:eastAsia="FangSong" w:cs="FangSong"/>
          <w:sz w:val="24"/>
          <w:szCs w:val="24"/>
          <w:spacing w:val="-4"/>
        </w:rPr>
        <w:t>水、食堂废</w:t>
      </w:r>
      <w:r>
        <w:rPr>
          <w:rFonts w:ascii="FangSong" w:hAnsi="FangSong" w:eastAsia="FangSong" w:cs="FangSong"/>
          <w:sz w:val="24"/>
          <w:szCs w:val="24"/>
          <w:spacing w:val="-1"/>
        </w:rPr>
        <w:t>水发生泄露事故，对周边环境造成影响。</w:t>
      </w:r>
    </w:p>
    <w:p>
      <w:pPr>
        <w:spacing w:line="361" w:lineRule="auto"/>
        <w:sectPr>
          <w:footerReference w:type="default" r:id="rId372"/>
          <w:pgSz w:w="11906" w:h="16839"/>
          <w:pgMar w:top="400" w:right="1716" w:bottom="1358" w:left="1785" w:header="0" w:footer="1195" w:gutter="0"/>
        </w:sectPr>
        <w:rPr>
          <w:rFonts w:ascii="FangSong" w:hAnsi="FangSong" w:eastAsia="FangSong" w:cs="FangSong"/>
          <w:sz w:val="24"/>
          <w:szCs w:val="24"/>
        </w:rPr>
      </w:pP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23"/>
        <w:spacing w:before="91" w:line="223" w:lineRule="auto"/>
        <w:outlineLvl w:val="1"/>
        <w:rPr>
          <w:rFonts w:ascii="FangSong" w:hAnsi="FangSong" w:eastAsia="FangSong" w:cs="FangSong"/>
          <w:sz w:val="28"/>
          <w:szCs w:val="28"/>
        </w:rPr>
      </w:pPr>
      <w:bookmarkStart w:name="bookmark375" w:id="507"/>
      <w:bookmarkEnd w:id="507"/>
      <w:bookmarkStart w:name="bookmark377" w:id="508"/>
      <w:bookmarkEnd w:id="508"/>
      <w:bookmarkStart w:name="bookmark374" w:id="509"/>
      <w:bookmarkEnd w:id="509"/>
      <w:bookmarkStart w:name="bookmark376" w:id="510"/>
      <w:bookmarkEnd w:id="510"/>
      <w:r>
        <w:rPr>
          <w:rFonts w:ascii="Times New Roman" w:hAnsi="Times New Roman" w:eastAsia="Times New Roman" w:cs="Times New Roman"/>
          <w:sz w:val="28"/>
          <w:szCs w:val="28"/>
          <w:b/>
          <w:bCs/>
          <w:spacing w:val="-2"/>
        </w:rPr>
        <w:t>8.6  </w:t>
      </w:r>
      <w:r>
        <w:rPr>
          <w:rFonts w:ascii="FangSong" w:hAnsi="FangSong" w:eastAsia="FangSong" w:cs="FangSong"/>
          <w:sz w:val="28"/>
          <w:szCs w:val="28"/>
          <w:b/>
          <w:bCs/>
          <w:spacing w:val="-2"/>
        </w:rPr>
        <w:t>环境风险防范措施</w:t>
      </w:r>
    </w:p>
    <w:p>
      <w:pPr>
        <w:ind w:left="22"/>
        <w:spacing w:before="227" w:line="222" w:lineRule="auto"/>
        <w:outlineLvl w:val="2"/>
        <w:rPr>
          <w:rFonts w:ascii="FangSong" w:hAnsi="FangSong" w:eastAsia="FangSong" w:cs="FangSong"/>
          <w:sz w:val="24"/>
          <w:szCs w:val="24"/>
        </w:rPr>
      </w:pPr>
      <w:bookmarkStart w:name="bookmark625" w:id="511"/>
      <w:bookmarkEnd w:id="511"/>
      <w:r>
        <w:rPr>
          <w:rFonts w:ascii="Times New Roman" w:hAnsi="Times New Roman" w:eastAsia="Times New Roman" w:cs="Times New Roman"/>
          <w:sz w:val="24"/>
          <w:szCs w:val="24"/>
          <w:b/>
          <w:bCs/>
          <w:spacing w:val="-2"/>
        </w:rPr>
        <w:t>8.6.1  </w:t>
      </w:r>
      <w:r>
        <w:rPr>
          <w:rFonts w:ascii="FangSong" w:hAnsi="FangSong" w:eastAsia="FangSong" w:cs="FangSong"/>
          <w:sz w:val="24"/>
          <w:szCs w:val="24"/>
          <w:b/>
          <w:bCs/>
          <w:spacing w:val="-2"/>
        </w:rPr>
        <w:t>炸药库爆炸事故防范措施</w:t>
      </w:r>
    </w:p>
    <w:p>
      <w:pPr>
        <w:ind w:left="22"/>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8.6.1.1</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b/>
          <w:bCs/>
          <w:spacing w:val="-4"/>
        </w:rPr>
        <w:t>防火防爆措施</w:t>
      </w:r>
    </w:p>
    <w:p>
      <w:pPr>
        <w:ind w:left="31" w:right="44" w:firstLine="483"/>
        <w:spacing w:before="177" w:line="360" w:lineRule="auto"/>
        <w:jc w:val="both"/>
        <w:rPr>
          <w:rFonts w:ascii="FangSong" w:hAnsi="FangSong" w:eastAsia="FangSong" w:cs="FangSong"/>
          <w:sz w:val="24"/>
          <w:szCs w:val="24"/>
        </w:rPr>
      </w:pPr>
      <w:r>
        <w:rPr>
          <w:rFonts w:ascii="FangSong" w:hAnsi="FangSong" w:eastAsia="FangSong" w:cs="FangSong"/>
          <w:sz w:val="24"/>
          <w:szCs w:val="24"/>
          <w:spacing w:val="-4"/>
        </w:rPr>
        <w:t>工程所需炸药及爆破器材由当地公安部门统一管理，炸药临时存放于公安部</w:t>
      </w:r>
      <w:r>
        <w:rPr>
          <w:rFonts w:ascii="FangSong" w:hAnsi="FangSong" w:eastAsia="FangSong" w:cs="FangSong"/>
          <w:sz w:val="24"/>
          <w:szCs w:val="24"/>
          <w:spacing w:val="-2"/>
        </w:rPr>
        <w:t>门指定的炸药库，位于距离工业场地距离</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340</w:t>
      </w:r>
      <w:r>
        <w:rPr>
          <w:rFonts w:ascii="Times New Roman" w:hAnsi="Times New Roman" w:eastAsia="Times New Roman" w:cs="Times New Roman"/>
          <w:sz w:val="24"/>
          <w:szCs w:val="24"/>
          <w:spacing w:val="-3"/>
        </w:rPr>
        <w:t>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3"/>
        </w:rPr>
        <w:t>处。爆破器材库的设计和施工应</w:t>
      </w:r>
      <w:r>
        <w:rPr>
          <w:rFonts w:ascii="FangSong" w:hAnsi="FangSong" w:eastAsia="FangSong" w:cs="FangSong"/>
          <w:sz w:val="24"/>
          <w:szCs w:val="24"/>
          <w:spacing w:val="-8"/>
        </w:rPr>
        <w:t>严格按照《爆破安全规程》的有关规定，并由当地公安部门批准。具体要求</w:t>
      </w:r>
      <w:r>
        <w:rPr>
          <w:rFonts w:ascii="FangSong" w:hAnsi="FangSong" w:eastAsia="FangSong" w:cs="FangSong"/>
          <w:sz w:val="24"/>
          <w:szCs w:val="24"/>
          <w:spacing w:val="-9"/>
        </w:rPr>
        <w:t>如下：</w:t>
      </w:r>
    </w:p>
    <w:p>
      <w:pPr>
        <w:ind w:left="514"/>
        <w:spacing w:before="1"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）严禁无关人员进入炸药库，严禁在炸药库附近吸烟和用火。</w:t>
      </w:r>
    </w:p>
    <w:p>
      <w:pPr>
        <w:ind w:left="514"/>
        <w:spacing w:before="182"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）严禁把其它易引起燃烧、爆炸的物品混入炸药库。</w:t>
      </w:r>
    </w:p>
    <w:p>
      <w:pPr>
        <w:ind w:left="514"/>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）发现爆破器材丢失、被盗，必须及时报告所在地公安机关。</w:t>
      </w:r>
    </w:p>
    <w:p>
      <w:pPr>
        <w:ind w:left="22"/>
        <w:spacing w:before="183"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8.6.1.2  </w:t>
      </w:r>
      <w:r>
        <w:rPr>
          <w:rFonts w:ascii="FangSong" w:hAnsi="FangSong" w:eastAsia="FangSong" w:cs="FangSong"/>
          <w:sz w:val="24"/>
          <w:szCs w:val="24"/>
          <w:b/>
          <w:bCs/>
          <w:spacing w:val="-2"/>
        </w:rPr>
        <w:t>炸药及爆破器材的运输风险与防范措施</w:t>
      </w:r>
    </w:p>
    <w:p>
      <w:pPr>
        <w:ind w:left="29" w:right="105"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炸药及爆破器材的运输过程是本工程运行期存在的</w:t>
      </w:r>
      <w:r>
        <w:rPr>
          <w:rFonts w:ascii="FangSong" w:hAnsi="FangSong" w:eastAsia="FangSong" w:cs="FangSong"/>
          <w:sz w:val="24"/>
          <w:szCs w:val="24"/>
          <w:spacing w:val="-4"/>
        </w:rPr>
        <w:t>另一重大危险因素。运输</w:t>
      </w:r>
      <w:r>
        <w:rPr>
          <w:rFonts w:ascii="FangSong" w:hAnsi="FangSong" w:eastAsia="FangSong" w:cs="FangSong"/>
          <w:sz w:val="24"/>
          <w:szCs w:val="24"/>
          <w:spacing w:val="-3"/>
        </w:rPr>
        <w:t>炸药及爆破器材的车辆是一流动风险源，若因管理防范不善而发生事</w:t>
      </w:r>
      <w:r>
        <w:rPr>
          <w:rFonts w:ascii="FangSong" w:hAnsi="FangSong" w:eastAsia="FangSong" w:cs="FangSong"/>
          <w:sz w:val="24"/>
          <w:szCs w:val="24"/>
          <w:spacing w:val="-4"/>
        </w:rPr>
        <w:t>故，如运输</w:t>
      </w:r>
      <w:r>
        <w:rPr>
          <w:rFonts w:ascii="FangSong" w:hAnsi="FangSong" w:eastAsia="FangSong" w:cs="FangSong"/>
          <w:sz w:val="24"/>
          <w:szCs w:val="24"/>
          <w:spacing w:val="-3"/>
        </w:rPr>
        <w:t>时可能发生的撞车碰撞及坠落等，会造成的燃烧或爆炸。将对周边人</w:t>
      </w:r>
      <w:r>
        <w:rPr>
          <w:rFonts w:ascii="FangSong" w:hAnsi="FangSong" w:eastAsia="FangSong" w:cs="FangSong"/>
          <w:sz w:val="24"/>
          <w:szCs w:val="24"/>
          <w:spacing w:val="-4"/>
        </w:rPr>
        <w:t>群生命安全</w:t>
      </w:r>
      <w:r>
        <w:rPr>
          <w:rFonts w:ascii="FangSong" w:hAnsi="FangSong" w:eastAsia="FangSong" w:cs="FangSong"/>
          <w:sz w:val="24"/>
          <w:szCs w:val="24"/>
          <w:spacing w:val="-2"/>
        </w:rPr>
        <w:t>和财产安全带来极大危害。</w:t>
      </w:r>
    </w:p>
    <w:p>
      <w:pPr>
        <w:ind w:left="32" w:right="105" w:firstLine="501"/>
        <w:spacing w:line="360" w:lineRule="auto"/>
        <w:jc w:val="both"/>
        <w:rPr>
          <w:rFonts w:ascii="FangSong" w:hAnsi="FangSong" w:eastAsia="FangSong" w:cs="FangSong"/>
          <w:sz w:val="24"/>
          <w:szCs w:val="24"/>
        </w:rPr>
      </w:pPr>
      <w:r>
        <w:rPr>
          <w:rFonts w:ascii="FangSong" w:hAnsi="FangSong" w:eastAsia="FangSong" w:cs="FangSong"/>
          <w:sz w:val="24"/>
          <w:szCs w:val="24"/>
          <w:spacing w:val="-4"/>
        </w:rPr>
        <w:t>因此，企业必须高度重视对运输炸药及爆破器材的车辆的管理，制定</w:t>
      </w:r>
      <w:r>
        <w:rPr>
          <w:rFonts w:ascii="FangSong" w:hAnsi="FangSong" w:eastAsia="FangSong" w:cs="FangSong"/>
          <w:sz w:val="24"/>
          <w:szCs w:val="24"/>
          <w:spacing w:val="-5"/>
        </w:rPr>
        <w:t>严格的</w:t>
      </w:r>
      <w:r>
        <w:rPr>
          <w:rFonts w:ascii="FangSong" w:hAnsi="FangSong" w:eastAsia="FangSong" w:cs="FangSong"/>
          <w:sz w:val="24"/>
          <w:szCs w:val="24"/>
          <w:spacing w:val="-3"/>
        </w:rPr>
        <w:t>安全运输制度加强对运输司机及相关人员的培训和考核，配</w:t>
      </w:r>
      <w:r>
        <w:rPr>
          <w:rFonts w:ascii="FangSong" w:hAnsi="FangSong" w:eastAsia="FangSong" w:cs="FangSong"/>
          <w:sz w:val="24"/>
          <w:szCs w:val="24"/>
          <w:spacing w:val="-4"/>
        </w:rPr>
        <w:t>备相关应急救护设备</w:t>
      </w:r>
      <w:r>
        <w:rPr>
          <w:rFonts w:ascii="FangSong" w:hAnsi="FangSong" w:eastAsia="FangSong" w:cs="FangSong"/>
          <w:sz w:val="24"/>
          <w:szCs w:val="24"/>
          <w:spacing w:val="-1"/>
        </w:rPr>
        <w:t>并制定应急预案，以降低风险事故发生的机率，减轻可能的不利影响程度。</w:t>
      </w:r>
    </w:p>
    <w:p>
      <w:pPr>
        <w:ind w:left="29" w:right="40" w:firstLine="481"/>
        <w:spacing w:before="1" w:line="360" w:lineRule="auto"/>
        <w:jc w:val="both"/>
        <w:rPr>
          <w:rFonts w:ascii="FangSong" w:hAnsi="FangSong" w:eastAsia="FangSong" w:cs="FangSong"/>
          <w:sz w:val="24"/>
          <w:szCs w:val="24"/>
        </w:rPr>
      </w:pPr>
      <w:r>
        <w:rPr>
          <w:rFonts w:ascii="FangSong" w:hAnsi="FangSong" w:eastAsia="FangSong" w:cs="FangSong"/>
          <w:sz w:val="24"/>
          <w:szCs w:val="24"/>
          <w:spacing w:val="-7"/>
        </w:rPr>
        <w:t>根据国防科工委制定的《民用爆破器材企业安全管理规程》（</w:t>
      </w:r>
      <w:r>
        <w:rPr>
          <w:rFonts w:ascii="Times New Roman" w:hAnsi="Times New Roman" w:eastAsia="Times New Roman" w:cs="Times New Roman"/>
          <w:sz w:val="24"/>
          <w:szCs w:val="24"/>
          <w:spacing w:val="-7"/>
        </w:rPr>
        <w:t>WJ904</w:t>
      </w:r>
      <w:r>
        <w:rPr>
          <w:rFonts w:ascii="Times New Roman" w:hAnsi="Times New Roman" w:eastAsia="Times New Roman" w:cs="Times New Roman"/>
          <w:sz w:val="24"/>
          <w:szCs w:val="24"/>
          <w:spacing w:val="-8"/>
        </w:rPr>
        <w:t>9-2005</w:t>
      </w:r>
      <w:r>
        <w:rPr>
          <w:rFonts w:ascii="FangSong" w:hAnsi="FangSong" w:eastAsia="FangSong" w:cs="FangSong"/>
          <w:sz w:val="24"/>
          <w:szCs w:val="24"/>
          <w:spacing w:val="-58"/>
          <w:w w:val="87"/>
        </w:rPr>
        <w:t>），</w:t>
      </w:r>
      <w:r>
        <w:rPr>
          <w:rFonts w:ascii="FangSong" w:hAnsi="FangSong" w:eastAsia="FangSong" w:cs="FangSong"/>
          <w:sz w:val="24"/>
          <w:szCs w:val="24"/>
          <w:spacing w:val="-3"/>
        </w:rPr>
        <w:t>企业应采取以下措施加强对运输炸药及爆破器材车辆的管理，以降低</w:t>
      </w:r>
      <w:r>
        <w:rPr>
          <w:rFonts w:ascii="FangSong" w:hAnsi="FangSong" w:eastAsia="FangSong" w:cs="FangSong"/>
          <w:sz w:val="24"/>
          <w:szCs w:val="24"/>
          <w:spacing w:val="-4"/>
        </w:rPr>
        <w:t>炸药及爆破</w:t>
      </w:r>
      <w:r>
        <w:rPr>
          <w:rFonts w:ascii="FangSong" w:hAnsi="FangSong" w:eastAsia="FangSong" w:cs="FangSong"/>
          <w:sz w:val="24"/>
          <w:szCs w:val="24"/>
          <w:spacing w:val="-2"/>
        </w:rPr>
        <w:t>器材的运输风险：</w:t>
      </w:r>
    </w:p>
    <w:p>
      <w:pPr>
        <w:ind w:left="34" w:right="105" w:firstLine="480"/>
        <w:spacing w:before="3" w:line="33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）运输民用爆破器材时，应严格按照</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50089</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4387</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JT</w:t>
      </w:r>
      <w:r>
        <w:rPr>
          <w:rFonts w:ascii="Times New Roman" w:hAnsi="Times New Roman" w:eastAsia="Times New Roman" w:cs="Times New Roman"/>
          <w:sz w:val="24"/>
          <w:szCs w:val="24"/>
          <w:spacing w:val="1"/>
        </w:rPr>
        <w:t>617-2004</w:t>
      </w:r>
      <w:r>
        <w:rPr>
          <w:rFonts w:ascii="FangSong" w:hAnsi="FangSong" w:eastAsia="FangSong" w:cs="FangSong"/>
          <w:sz w:val="24"/>
          <w:szCs w:val="24"/>
          <w:spacing w:val="-3"/>
        </w:rPr>
        <w:t>的要求及有关交通安全规则执行。生产区至总仓库区运</w:t>
      </w:r>
      <w:r>
        <w:rPr>
          <w:rFonts w:ascii="FangSong" w:hAnsi="FangSong" w:eastAsia="FangSong" w:cs="FangSong"/>
          <w:sz w:val="24"/>
          <w:szCs w:val="24"/>
          <w:spacing w:val="-4"/>
        </w:rPr>
        <w:t>输民用爆破器材的行车路</w:t>
      </w:r>
      <w:r>
        <w:rPr>
          <w:rFonts w:ascii="FangSong" w:hAnsi="FangSong" w:eastAsia="FangSong" w:cs="FangSong"/>
          <w:sz w:val="24"/>
          <w:szCs w:val="24"/>
          <w:spacing w:val="-3"/>
        </w:rPr>
        <w:t>线，应由企业安全保卫和当地交通安全管理部门确定，</w:t>
      </w:r>
      <w:r>
        <w:rPr>
          <w:rFonts w:ascii="FangSong" w:hAnsi="FangSong" w:eastAsia="FangSong" w:cs="FangSong"/>
          <w:sz w:val="24"/>
          <w:szCs w:val="24"/>
          <w:spacing w:val="-4"/>
        </w:rPr>
        <w:t>不应随意更改。生产区至</w:t>
      </w:r>
      <w:r>
        <w:rPr>
          <w:rFonts w:ascii="FangSong" w:hAnsi="FangSong" w:eastAsia="FangSong" w:cs="FangSong"/>
          <w:sz w:val="24"/>
          <w:szCs w:val="24"/>
        </w:rPr>
        <w:t>总仓库区运输道路应坚实牢固路面平整、边坡稳定，坡</w:t>
      </w:r>
      <w:r>
        <w:rPr>
          <w:rFonts w:ascii="FangSong" w:hAnsi="FangSong" w:eastAsia="FangSong" w:cs="FangSong"/>
          <w:sz w:val="24"/>
          <w:szCs w:val="24"/>
          <w:spacing w:val="-1"/>
        </w:rPr>
        <w:t>度应符合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GB50089</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1"/>
        </w:rPr>
        <w:t>的规</w:t>
      </w:r>
      <w:r>
        <w:rPr>
          <w:rFonts w:ascii="FangSong" w:hAnsi="FangSong" w:eastAsia="FangSong" w:cs="FangSong"/>
          <w:sz w:val="24"/>
          <w:szCs w:val="24"/>
          <w:spacing w:val="-1"/>
        </w:rPr>
        <w:t>定；应按照国家交通规则设置必要的交通标志。</w:t>
      </w:r>
    </w:p>
    <w:p>
      <w:pPr>
        <w:ind w:left="29" w:firstLine="485"/>
        <w:spacing w:before="179" w:line="323"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）采用汽车运输危险品时，应使用符合《爆破器材运输车安全技术条件》</w:t>
      </w:r>
      <w:r>
        <w:rPr>
          <w:rFonts w:ascii="FangSong" w:hAnsi="FangSong" w:eastAsia="FangSong" w:cs="FangSong"/>
          <w:sz w:val="24"/>
          <w:szCs w:val="24"/>
          <w:spacing w:val="-3"/>
        </w:rPr>
        <w:t>规定的专用运输车（不包括在生产厂厂区内和到总仓库之间的运输）</w:t>
      </w:r>
      <w:r>
        <w:rPr>
          <w:rFonts w:ascii="FangSong" w:hAnsi="FangSong" w:eastAsia="FangSong" w:cs="FangSong"/>
          <w:sz w:val="24"/>
          <w:szCs w:val="24"/>
          <w:spacing w:val="-4"/>
        </w:rPr>
        <w:t>。不宜采用</w:t>
      </w:r>
      <w:r>
        <w:rPr>
          <w:rFonts w:ascii="FangSong" w:hAnsi="FangSong" w:eastAsia="FangSong" w:cs="FangSong"/>
          <w:sz w:val="24"/>
          <w:szCs w:val="24"/>
          <w:spacing w:val="-3"/>
        </w:rPr>
        <w:t>三轮汽车和畜力车运输，严禁采用翻斗车和各种挂车运输。人力手推</w:t>
      </w:r>
      <w:r>
        <w:rPr>
          <w:rFonts w:ascii="FangSong" w:hAnsi="FangSong" w:eastAsia="FangSong" w:cs="FangSong"/>
          <w:sz w:val="24"/>
          <w:szCs w:val="24"/>
          <w:spacing w:val="-4"/>
        </w:rPr>
        <w:t>车运输民用</w:t>
      </w:r>
      <w:r>
        <w:rPr>
          <w:rFonts w:ascii="FangSong" w:hAnsi="FangSong" w:eastAsia="FangSong" w:cs="FangSong"/>
          <w:sz w:val="24"/>
          <w:szCs w:val="24"/>
          <w:spacing w:val="-3"/>
        </w:rPr>
        <w:t>爆破器材时，装载质量不宜超过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300kg</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，运输过程中应采取防滑、防摩擦和防止</w:t>
      </w:r>
    </w:p>
    <w:p>
      <w:pPr>
        <w:spacing w:line="323" w:lineRule="auto"/>
        <w:sectPr>
          <w:footerReference w:type="default" r:id="rId373"/>
          <w:pgSz w:w="11906" w:h="16839"/>
          <w:pgMar w:top="400" w:right="169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32" w:right="20" w:hanging="1"/>
        <w:spacing w:before="78" w:line="360" w:lineRule="auto"/>
        <w:rPr>
          <w:rFonts w:ascii="FangSong" w:hAnsi="FangSong" w:eastAsia="FangSong" w:cs="FangSong"/>
          <w:sz w:val="24"/>
          <w:szCs w:val="24"/>
        </w:rPr>
      </w:pPr>
      <w:r>
        <w:rPr>
          <w:rFonts w:ascii="FangSong" w:hAnsi="FangSong" w:eastAsia="FangSong" w:cs="FangSong"/>
          <w:sz w:val="24"/>
          <w:szCs w:val="24"/>
          <w:spacing w:val="-8"/>
        </w:rPr>
        <w:t>产生火花等安全措施；手推车运输炸药粉时，应保持清洁、干净，及时清扫药</w:t>
      </w:r>
      <w:r>
        <w:rPr>
          <w:rFonts w:ascii="FangSong" w:hAnsi="FangSong" w:eastAsia="FangSong" w:cs="FangSong"/>
          <w:sz w:val="24"/>
          <w:szCs w:val="24"/>
          <w:spacing w:val="-9"/>
        </w:rPr>
        <w:t>渣；</w:t>
      </w:r>
      <w:r>
        <w:rPr>
          <w:rFonts w:ascii="FangSong" w:hAnsi="FangSong" w:eastAsia="FangSong" w:cs="FangSong"/>
          <w:sz w:val="24"/>
          <w:szCs w:val="24"/>
          <w:spacing w:val="-1"/>
        </w:rPr>
        <w:t>装药高度不应超过车厢高度，药粉不应撒落地面。</w:t>
      </w:r>
    </w:p>
    <w:p>
      <w:pPr>
        <w:ind w:left="45" w:right="85" w:firstLine="469"/>
        <w:spacing w:before="2"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）人工传送起爆药时，应有专用道路，传送使用的工具和作业人员应有</w:t>
      </w:r>
      <w:r>
        <w:rPr>
          <w:rFonts w:ascii="FangSong" w:hAnsi="FangSong" w:eastAsia="FangSong" w:cs="FangSong"/>
          <w:sz w:val="24"/>
          <w:szCs w:val="24"/>
          <w:spacing w:val="-2"/>
        </w:rPr>
        <w:t>明显标志；行走时应保持足够的安全距离。</w:t>
      </w:r>
    </w:p>
    <w:p>
      <w:pPr>
        <w:ind w:left="29" w:firstLine="485"/>
        <w:spacing w:before="181" w:line="337"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）运输民用爆破器材的机动车在民用爆破器材生产区和民用爆破器材总</w:t>
      </w:r>
      <w:r>
        <w:rPr>
          <w:rFonts w:ascii="FangSong" w:hAnsi="FangSong" w:eastAsia="FangSong" w:cs="FangSong"/>
          <w:sz w:val="24"/>
          <w:szCs w:val="24"/>
          <w:spacing w:val="-2"/>
        </w:rPr>
        <w:t>仓库区内的行车速度不应超过</w:t>
      </w:r>
      <w:r>
        <w:rPr>
          <w:rFonts w:ascii="FangSong" w:hAnsi="FangSong" w:eastAsia="FangSong" w:cs="FangSong"/>
          <w:sz w:val="24"/>
          <w:szCs w:val="24"/>
          <w:spacing w:val="-18"/>
        </w:rPr>
        <w:t xml:space="preserve"> </w:t>
      </w:r>
      <w:r>
        <w:rPr>
          <w:rFonts w:ascii="Times New Roman" w:hAnsi="Times New Roman" w:eastAsia="Times New Roman" w:cs="Times New Roman"/>
          <w:sz w:val="24"/>
          <w:szCs w:val="24"/>
          <w:spacing w:val="-2"/>
        </w:rPr>
        <w:t>15km/h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，前后两车之间的距离不应小于</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50m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，不</w:t>
      </w:r>
      <w:r>
        <w:rPr>
          <w:rFonts w:ascii="FangSong" w:hAnsi="FangSong" w:eastAsia="FangSong" w:cs="FangSong"/>
          <w:sz w:val="24"/>
          <w:szCs w:val="24"/>
          <w:spacing w:val="-7"/>
        </w:rPr>
        <w:t>应超车、追车；在道路不平、视线不好、人员</w:t>
      </w:r>
      <w:r>
        <w:rPr>
          <w:rFonts w:ascii="FangSong" w:hAnsi="FangSong" w:eastAsia="FangSong" w:cs="FangSong"/>
          <w:sz w:val="24"/>
          <w:szCs w:val="24"/>
          <w:spacing w:val="-8"/>
        </w:rPr>
        <w:t>聚集的地方，应有相应的安全措施。</w:t>
      </w:r>
      <w:r>
        <w:rPr>
          <w:rFonts w:ascii="FangSong" w:hAnsi="FangSong" w:eastAsia="FangSong" w:cs="FangSong"/>
          <w:sz w:val="24"/>
          <w:szCs w:val="24"/>
          <w:spacing w:val="4"/>
        </w:rPr>
        <w:t>运输民用爆破器材的汽车司机除取得公安部门批准的与驾驶车</w:t>
      </w:r>
      <w:r>
        <w:rPr>
          <w:rFonts w:ascii="FangSong" w:hAnsi="FangSong" w:eastAsia="FangSong" w:cs="FangSong"/>
          <w:sz w:val="24"/>
          <w:szCs w:val="24"/>
          <w:spacing w:val="3"/>
        </w:rPr>
        <w:t>辆相对应的正式</w:t>
      </w:r>
      <w:r>
        <w:rPr>
          <w:rFonts w:ascii="FangSong" w:hAnsi="FangSong" w:eastAsia="FangSong" w:cs="FangSong"/>
          <w:sz w:val="24"/>
          <w:szCs w:val="24"/>
        </w:rPr>
        <w:t>驾照外，还应具有</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5×10</w:t>
      </w:r>
      <w:r>
        <w:rPr>
          <w:rFonts w:ascii="Times New Roman" w:hAnsi="Times New Roman" w:eastAsia="Times New Roman" w:cs="Times New Roman"/>
          <w:sz w:val="15"/>
          <w:szCs w:val="15"/>
          <w:position w:val="7"/>
        </w:rPr>
        <w:t>4</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rPr>
        <w:t>和</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年以上安全驾驶经历，并由企业安全部门考核</w:t>
      </w:r>
      <w:r>
        <w:rPr>
          <w:rFonts w:ascii="FangSong" w:hAnsi="FangSong" w:eastAsia="FangSong" w:cs="FangSong"/>
          <w:sz w:val="24"/>
          <w:szCs w:val="24"/>
          <w:spacing w:val="-2"/>
        </w:rPr>
        <w:t>批准后方可上岗。</w:t>
      </w:r>
    </w:p>
    <w:p>
      <w:pPr>
        <w:ind w:left="28" w:right="83" w:firstLine="486"/>
        <w:spacing w:before="173" w:line="34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5</w:t>
      </w:r>
      <w:r>
        <w:rPr>
          <w:rFonts w:ascii="FangSong" w:hAnsi="FangSong" w:eastAsia="FangSong" w:cs="FangSong"/>
          <w:sz w:val="24"/>
          <w:szCs w:val="24"/>
        </w:rPr>
        <w:t>）从事运输、装卸民用爆破器材的作业人员，对所运的民用爆破器材应</w:t>
      </w:r>
      <w:r>
        <w:rPr>
          <w:rFonts w:ascii="FangSong" w:hAnsi="FangSong" w:eastAsia="FangSong" w:cs="FangSong"/>
          <w:sz w:val="24"/>
          <w:szCs w:val="24"/>
          <w:spacing w:val="-3"/>
        </w:rPr>
        <w:t>掌握其危险性质及应急措施。进入装卸作业区严禁随身携带火种，不应</w:t>
      </w:r>
      <w:r>
        <w:rPr>
          <w:rFonts w:ascii="FangSong" w:hAnsi="FangSong" w:eastAsia="FangSong" w:cs="FangSong"/>
          <w:sz w:val="24"/>
          <w:szCs w:val="24"/>
          <w:spacing w:val="-4"/>
        </w:rPr>
        <w:t>穿带有铁</w:t>
      </w:r>
      <w:r>
        <w:rPr>
          <w:rFonts w:ascii="FangSong" w:hAnsi="FangSong" w:eastAsia="FangSong" w:cs="FangSong"/>
          <w:sz w:val="24"/>
          <w:szCs w:val="24"/>
          <w:spacing w:val="-3"/>
        </w:rPr>
        <w:t>钉的工作鞋和易产生静电的工作服。运输民用爆破器材应配备押运人员</w:t>
      </w:r>
      <w:r>
        <w:rPr>
          <w:rFonts w:ascii="FangSong" w:hAnsi="FangSong" w:eastAsia="FangSong" w:cs="FangSong"/>
          <w:sz w:val="24"/>
          <w:szCs w:val="24"/>
          <w:spacing w:val="-4"/>
        </w:rPr>
        <w:t>。押运员</w:t>
      </w:r>
      <w:r>
        <w:rPr>
          <w:rFonts w:ascii="FangSong" w:hAnsi="FangSong" w:eastAsia="FangSong" w:cs="FangSong"/>
          <w:sz w:val="24"/>
          <w:szCs w:val="24"/>
          <w:spacing w:val="-3"/>
        </w:rPr>
        <w:t>随车携带符合行政许可审批要求的有关证件，应掌握押运产品的数量、</w:t>
      </w:r>
      <w:r>
        <w:rPr>
          <w:rFonts w:ascii="FangSong" w:hAnsi="FangSong" w:eastAsia="FangSong" w:cs="FangSong"/>
          <w:sz w:val="24"/>
          <w:szCs w:val="24"/>
          <w:spacing w:val="-4"/>
        </w:rPr>
        <w:t>质量、规</w:t>
      </w:r>
      <w:r>
        <w:rPr>
          <w:rFonts w:ascii="FangSong" w:hAnsi="FangSong" w:eastAsia="FangSong" w:cs="FangSong"/>
          <w:sz w:val="24"/>
          <w:szCs w:val="24"/>
          <w:spacing w:val="-3"/>
        </w:rPr>
        <w:t>格、批次和装载等情况，了解所载物品的主要危险特性和安全防护知识</w:t>
      </w:r>
      <w:r>
        <w:rPr>
          <w:rFonts w:ascii="FangSong" w:hAnsi="FangSong" w:eastAsia="FangSong" w:cs="FangSong"/>
          <w:sz w:val="24"/>
          <w:szCs w:val="24"/>
          <w:spacing w:val="-4"/>
        </w:rPr>
        <w:t>。押运员</w:t>
      </w:r>
      <w:r>
        <w:rPr>
          <w:rFonts w:ascii="FangSong" w:hAnsi="FangSong" w:eastAsia="FangSong" w:cs="FangSong"/>
          <w:sz w:val="24"/>
          <w:szCs w:val="24"/>
          <w:spacing w:val="-3"/>
        </w:rPr>
        <w:t>在接收民用爆破器材时应与库房管理人员当面点清数量，运至接收地时</w:t>
      </w:r>
      <w:r>
        <w:rPr>
          <w:rFonts w:ascii="FangSong" w:hAnsi="FangSong" w:eastAsia="FangSong" w:cs="FangSong"/>
          <w:sz w:val="24"/>
          <w:szCs w:val="24"/>
          <w:spacing w:val="-4"/>
        </w:rPr>
        <w:t>应与接受</w:t>
      </w:r>
      <w:r>
        <w:rPr>
          <w:rFonts w:ascii="FangSong" w:hAnsi="FangSong" w:eastAsia="FangSong" w:cs="FangSong"/>
          <w:sz w:val="24"/>
          <w:szCs w:val="24"/>
          <w:spacing w:val="-3"/>
        </w:rPr>
        <w:t>人员办理好有关交接手续。从事民用爆破器材运输的人员应经培训考试</w:t>
      </w:r>
      <w:r>
        <w:rPr>
          <w:rFonts w:ascii="FangSong" w:hAnsi="FangSong" w:eastAsia="FangSong" w:cs="FangSong"/>
          <w:sz w:val="24"/>
          <w:szCs w:val="24"/>
          <w:spacing w:val="-4"/>
        </w:rPr>
        <w:t>合格持证</w:t>
      </w:r>
      <w:r>
        <w:rPr>
          <w:rFonts w:ascii="FangSong" w:hAnsi="FangSong" w:eastAsia="FangSong" w:cs="FangSong"/>
          <w:sz w:val="24"/>
          <w:szCs w:val="24"/>
          <w:spacing w:val="-3"/>
        </w:rPr>
        <w:t>上岗。企业应对从业人员定期进行安全教育和应急预案训练。应经常对</w:t>
      </w:r>
      <w:r>
        <w:rPr>
          <w:rFonts w:ascii="FangSong" w:hAnsi="FangSong" w:eastAsia="FangSong" w:cs="FangSong"/>
          <w:sz w:val="24"/>
          <w:szCs w:val="24"/>
          <w:spacing w:val="-4"/>
        </w:rPr>
        <w:t>从业人员</w:t>
      </w:r>
      <w:r>
        <w:rPr>
          <w:rFonts w:ascii="FangSong" w:hAnsi="FangSong" w:eastAsia="FangSong" w:cs="FangSong"/>
          <w:sz w:val="24"/>
          <w:szCs w:val="24"/>
          <w:spacing w:val="-1"/>
        </w:rPr>
        <w:t>的素质进行安全审核，不符合要求的应及时调整。</w:t>
      </w:r>
    </w:p>
    <w:p>
      <w:pPr>
        <w:ind w:left="36" w:right="83" w:firstLine="478"/>
        <w:spacing w:before="181"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）运输民用爆破器材的车辆，不应在人口密集的地方、宿舍区、交叉路</w:t>
      </w:r>
      <w:r>
        <w:rPr>
          <w:rFonts w:ascii="FangSong" w:hAnsi="FangSong" w:eastAsia="FangSong" w:cs="FangSong"/>
          <w:sz w:val="24"/>
          <w:szCs w:val="24"/>
          <w:spacing w:val="-3"/>
        </w:rPr>
        <w:t>口或火源附近停车。各种车辆的装载量不应超过额</w:t>
      </w:r>
      <w:r>
        <w:rPr>
          <w:rFonts w:ascii="FangSong" w:hAnsi="FangSong" w:eastAsia="FangSong" w:cs="FangSong"/>
          <w:sz w:val="24"/>
          <w:szCs w:val="24"/>
          <w:spacing w:val="-4"/>
        </w:rPr>
        <w:t>定负荷。车辆起停时，应避免</w:t>
      </w:r>
      <w:r>
        <w:rPr>
          <w:rFonts w:ascii="FangSong" w:hAnsi="FangSong" w:eastAsia="FangSong" w:cs="FangSong"/>
          <w:sz w:val="24"/>
          <w:szCs w:val="24"/>
          <w:spacing w:val="-3"/>
        </w:rPr>
        <w:t>突然起动和急刹车。</w:t>
      </w:r>
    </w:p>
    <w:p>
      <w:pPr>
        <w:ind w:left="34" w:right="83" w:firstLine="484"/>
        <w:spacing w:before="182" w:line="360" w:lineRule="auto"/>
        <w:rPr>
          <w:rFonts w:ascii="FangSong" w:hAnsi="FangSong" w:eastAsia="FangSong" w:cs="FangSong"/>
          <w:sz w:val="24"/>
          <w:szCs w:val="24"/>
        </w:rPr>
      </w:pPr>
      <w:r>
        <w:rPr>
          <w:rFonts w:ascii="FangSong" w:hAnsi="FangSong" w:eastAsia="FangSong" w:cs="FangSong"/>
          <w:sz w:val="24"/>
          <w:szCs w:val="24"/>
          <w:spacing w:val="-4"/>
        </w:rPr>
        <w:t>驾驶员离车时，应拉紧手闸、切断电路、锁好车门，车辆不应停放在纵坡大</w:t>
      </w:r>
      <w:r>
        <w:rPr>
          <w:rFonts w:ascii="FangSong" w:hAnsi="FangSong" w:eastAsia="FangSong" w:cs="FangSong"/>
          <w:sz w:val="24"/>
          <w:szCs w:val="24"/>
          <w:spacing w:val="-5"/>
        </w:rPr>
        <w:t>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5%</w:t>
      </w:r>
      <w:r>
        <w:rPr>
          <w:rFonts w:ascii="FangSong" w:hAnsi="FangSong" w:eastAsia="FangSong" w:cs="FangSong"/>
          <w:sz w:val="24"/>
          <w:szCs w:val="24"/>
          <w:spacing w:val="-5"/>
        </w:rPr>
        <w:t>的路段。</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）民用爆破器材装卸应遵守下列规定：</w:t>
      </w:r>
    </w:p>
    <w:p>
      <w:pPr>
        <w:ind w:left="31" w:right="83" w:firstLine="470"/>
        <w:spacing w:before="181" w:line="290" w:lineRule="auto"/>
        <w:rPr>
          <w:rFonts w:ascii="FangSong" w:hAnsi="FangSong" w:eastAsia="FangSong" w:cs="FangSong"/>
          <w:sz w:val="24"/>
          <w:szCs w:val="24"/>
        </w:rPr>
      </w:pPr>
      <w:r>
        <w:rPr>
          <w:rFonts w:ascii="SimSun" w:hAnsi="SimSun" w:eastAsia="SimSun" w:cs="SimSun"/>
          <w:sz w:val="24"/>
          <w:szCs w:val="24"/>
          <w:spacing w:val="-4"/>
        </w:rPr>
        <w:t>① </w:t>
      </w:r>
      <w:r>
        <w:rPr>
          <w:rFonts w:ascii="FangSong" w:hAnsi="FangSong" w:eastAsia="FangSong" w:cs="FangSong"/>
          <w:sz w:val="24"/>
          <w:szCs w:val="24"/>
          <w:spacing w:val="-4"/>
        </w:rPr>
        <w:t>机动车辆不应直接进入危险建筑物内时，宜在距建筑物不小于</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2.5m</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处进</w:t>
      </w:r>
      <w:r>
        <w:rPr>
          <w:rFonts w:ascii="FangSong" w:hAnsi="FangSong" w:eastAsia="FangSong" w:cs="FangSong"/>
          <w:sz w:val="24"/>
          <w:szCs w:val="24"/>
          <w:spacing w:val="-3"/>
        </w:rPr>
        <w:t>行装卸作业；</w:t>
      </w:r>
    </w:p>
    <w:p>
      <w:pPr>
        <w:ind w:left="53" w:right="85" w:firstLine="448"/>
        <w:spacing w:before="183" w:line="290" w:lineRule="auto"/>
        <w:rPr>
          <w:rFonts w:ascii="FangSong" w:hAnsi="FangSong" w:eastAsia="FangSong" w:cs="FangSong"/>
          <w:sz w:val="24"/>
          <w:szCs w:val="24"/>
        </w:rPr>
      </w:pPr>
      <w:r>
        <w:rPr>
          <w:rFonts w:ascii="SimSun" w:hAnsi="SimSun" w:eastAsia="SimSun" w:cs="SimSun"/>
          <w:sz w:val="24"/>
          <w:szCs w:val="24"/>
          <w:spacing w:val="-1"/>
        </w:rPr>
        <w:t>②</w:t>
      </w:r>
      <w:r>
        <w:rPr>
          <w:rFonts w:ascii="SimSun" w:hAnsi="SimSun" w:eastAsia="SimSun" w:cs="SimSun"/>
          <w:sz w:val="24"/>
          <w:szCs w:val="24"/>
          <w:spacing w:val="47"/>
        </w:rPr>
        <w:t xml:space="preserve"> </w:t>
      </w:r>
      <w:r>
        <w:rPr>
          <w:rFonts w:ascii="FangSong" w:hAnsi="FangSong" w:eastAsia="FangSong" w:cs="FangSong"/>
          <w:sz w:val="24"/>
          <w:szCs w:val="24"/>
          <w:spacing w:val="-1"/>
        </w:rPr>
        <w:t>当建筑物内火炸药粉尘或易燃易爆溶剂挥发气体时，机动车应在建筑物</w:t>
      </w:r>
      <w:r>
        <w:rPr>
          <w:rFonts w:ascii="FangSong" w:hAnsi="FangSong" w:eastAsia="FangSong" w:cs="FangSong"/>
          <w:sz w:val="24"/>
          <w:szCs w:val="24"/>
          <w:spacing w:val="-6"/>
        </w:rPr>
        <w:t>门前不小于</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6"/>
        </w:rPr>
        <w:t>5m</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6"/>
        </w:rPr>
        <w:t>处进行装卸；</w:t>
      </w:r>
    </w:p>
    <w:p>
      <w:pPr>
        <w:spacing w:line="290" w:lineRule="auto"/>
        <w:sectPr>
          <w:footerReference w:type="default" r:id="rId374"/>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right="41" w:firstLine="470"/>
        <w:spacing w:before="78" w:line="291" w:lineRule="auto"/>
        <w:rPr>
          <w:rFonts w:ascii="FangSong" w:hAnsi="FangSong" w:eastAsia="FangSong" w:cs="FangSong"/>
          <w:sz w:val="24"/>
          <w:szCs w:val="24"/>
        </w:rPr>
      </w:pPr>
      <w:bookmarkStart w:name="bookmark626" w:id="512"/>
      <w:bookmarkEnd w:id="512"/>
      <w:r>
        <w:rPr>
          <w:rFonts w:ascii="SimSun" w:hAnsi="SimSun" w:eastAsia="SimSun" w:cs="SimSun"/>
          <w:sz w:val="24"/>
          <w:szCs w:val="24"/>
        </w:rPr>
        <w:t>③ </w:t>
      </w:r>
      <w:r>
        <w:rPr>
          <w:rFonts w:ascii="FangSong" w:hAnsi="FangSong" w:eastAsia="FangSong" w:cs="FangSong"/>
          <w:sz w:val="24"/>
          <w:szCs w:val="24"/>
        </w:rPr>
        <w:t>装卸民用爆破器材的高位站台，应设置防止车辆顶撞站台的缓冲件或采</w:t>
      </w:r>
      <w:r>
        <w:rPr>
          <w:rFonts w:ascii="FangSong" w:hAnsi="FangSong" w:eastAsia="FangSong" w:cs="FangSong"/>
          <w:sz w:val="24"/>
          <w:szCs w:val="24"/>
          <w:spacing w:val="-3"/>
        </w:rPr>
        <w:t>取其它有效措施；</w:t>
      </w:r>
    </w:p>
    <w:p>
      <w:pPr>
        <w:ind w:left="30" w:right="41" w:firstLine="470"/>
        <w:spacing w:before="179" w:line="291" w:lineRule="auto"/>
        <w:rPr>
          <w:rFonts w:ascii="FangSong" w:hAnsi="FangSong" w:eastAsia="FangSong" w:cs="FangSong"/>
          <w:sz w:val="24"/>
          <w:szCs w:val="24"/>
        </w:rPr>
      </w:pPr>
      <w:r>
        <w:rPr>
          <w:rFonts w:ascii="SimSun" w:hAnsi="SimSun" w:eastAsia="SimSun" w:cs="SimSun"/>
          <w:sz w:val="24"/>
          <w:szCs w:val="24"/>
        </w:rPr>
        <w:t>④ </w:t>
      </w:r>
      <w:r>
        <w:rPr>
          <w:rFonts w:ascii="FangSong" w:hAnsi="FangSong" w:eastAsia="FangSong" w:cs="FangSong"/>
          <w:sz w:val="24"/>
          <w:szCs w:val="24"/>
        </w:rPr>
        <w:t>装卸、搬运均应轻拿轻放，严禁翻滚拖拉，或用橇棍、榔头等铁器敲打</w:t>
      </w:r>
      <w:r>
        <w:rPr>
          <w:rFonts w:ascii="FangSong" w:hAnsi="FangSong" w:eastAsia="FangSong" w:cs="FangSong"/>
          <w:sz w:val="24"/>
          <w:szCs w:val="24"/>
          <w:spacing w:val="-6"/>
        </w:rPr>
        <w:t>部件；</w:t>
      </w:r>
    </w:p>
    <w:p>
      <w:pPr>
        <w:ind w:left="29" w:right="38" w:firstLine="471"/>
        <w:spacing w:before="179" w:line="314" w:lineRule="auto"/>
        <w:rPr>
          <w:rFonts w:ascii="FangSong" w:hAnsi="FangSong" w:eastAsia="FangSong" w:cs="FangSong"/>
          <w:sz w:val="24"/>
          <w:szCs w:val="24"/>
        </w:rPr>
      </w:pPr>
      <w:r>
        <w:rPr>
          <w:rFonts w:ascii="SimSun" w:hAnsi="SimSun" w:eastAsia="SimSun" w:cs="SimSun"/>
          <w:sz w:val="24"/>
          <w:szCs w:val="24"/>
        </w:rPr>
        <w:t>⑤ </w:t>
      </w:r>
      <w:r>
        <w:rPr>
          <w:rFonts w:ascii="FangSong" w:hAnsi="FangSong" w:eastAsia="FangSong" w:cs="FangSong"/>
          <w:sz w:val="24"/>
          <w:szCs w:val="24"/>
        </w:rPr>
        <w:t>不应超过额定负荷，且产品包装箱超出车厢高度不应超过包装箱高度的</w:t>
      </w:r>
      <w:r>
        <w:rPr>
          <w:rFonts w:ascii="FangSong" w:hAnsi="FangSong" w:eastAsia="FangSong" w:cs="FangSong"/>
          <w:sz w:val="24"/>
          <w:szCs w:val="24"/>
          <w:spacing w:val="-3"/>
        </w:rPr>
        <w:t>三分之一。车厢应盖好蓬布，捆绑牢固，在确保包装件固定可靠后</w:t>
      </w:r>
      <w:r>
        <w:rPr>
          <w:rFonts w:ascii="FangSong" w:hAnsi="FangSong" w:eastAsia="FangSong" w:cs="FangSong"/>
          <w:sz w:val="24"/>
          <w:szCs w:val="24"/>
          <w:spacing w:val="-4"/>
        </w:rPr>
        <w:t>，方可关严车</w:t>
      </w:r>
      <w:r>
        <w:rPr>
          <w:rFonts w:ascii="FangSong" w:hAnsi="FangSong" w:eastAsia="FangSong" w:cs="FangSong"/>
          <w:sz w:val="24"/>
          <w:szCs w:val="24"/>
          <w:spacing w:val="-4"/>
        </w:rPr>
        <w:t>厢栏板；</w:t>
      </w:r>
    </w:p>
    <w:p>
      <w:pPr>
        <w:ind w:left="31" w:right="41" w:firstLine="469"/>
        <w:spacing w:before="177" w:line="314" w:lineRule="auto"/>
        <w:rPr>
          <w:rFonts w:ascii="FangSong" w:hAnsi="FangSong" w:eastAsia="FangSong" w:cs="FangSong"/>
          <w:sz w:val="24"/>
          <w:szCs w:val="24"/>
        </w:rPr>
      </w:pPr>
      <w:r>
        <w:rPr>
          <w:rFonts w:ascii="SimSun" w:hAnsi="SimSun" w:eastAsia="SimSun" w:cs="SimSun"/>
          <w:sz w:val="24"/>
          <w:szCs w:val="24"/>
        </w:rPr>
        <w:t>⑥ </w:t>
      </w:r>
      <w:r>
        <w:rPr>
          <w:rFonts w:ascii="FangSong" w:hAnsi="FangSong" w:eastAsia="FangSong" w:cs="FangSong"/>
          <w:sz w:val="24"/>
          <w:szCs w:val="24"/>
        </w:rPr>
        <w:t>专用运输车装车时，控制装载质量不应超过额定负荷，包装件应码放整</w:t>
      </w:r>
      <w:r>
        <w:rPr>
          <w:rFonts w:ascii="FangSong" w:hAnsi="FangSong" w:eastAsia="FangSong" w:cs="FangSong"/>
          <w:sz w:val="24"/>
          <w:szCs w:val="24"/>
          <w:spacing w:val="-2"/>
        </w:rPr>
        <w:t>齐，码放高度不得超过</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2"/>
        </w:rPr>
        <w:t>1.5m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2"/>
        </w:rPr>
        <w:t>，正确使用车内专用捆绷带和挂钩。</w:t>
      </w:r>
      <w:r>
        <w:rPr>
          <w:rFonts w:ascii="FangSong" w:hAnsi="FangSong" w:eastAsia="FangSong" w:cs="FangSong"/>
          <w:sz w:val="24"/>
          <w:szCs w:val="24"/>
          <w:spacing w:val="-71"/>
        </w:rPr>
        <w:t xml:space="preserve"> </w:t>
      </w:r>
      <w:r>
        <w:rPr>
          <w:rFonts w:ascii="FangSong" w:hAnsi="FangSong" w:eastAsia="FangSong" w:cs="FangSong"/>
          <w:sz w:val="24"/>
          <w:szCs w:val="24"/>
          <w:spacing w:val="-2"/>
        </w:rPr>
        <w:t>中途卸车后，</w:t>
      </w:r>
      <w:r>
        <w:rPr>
          <w:rFonts w:ascii="FangSong" w:hAnsi="FangSong" w:eastAsia="FangSong" w:cs="FangSong"/>
          <w:sz w:val="24"/>
          <w:szCs w:val="24"/>
          <w:spacing w:val="-1"/>
        </w:rPr>
        <w:t>及时调整包装件的堆放高度，防止高位坠落和撞击；</w:t>
      </w:r>
    </w:p>
    <w:p>
      <w:pPr>
        <w:ind w:left="29" w:right="38" w:firstLine="471"/>
        <w:spacing w:before="176" w:line="341" w:lineRule="auto"/>
        <w:rPr>
          <w:rFonts w:ascii="FangSong" w:hAnsi="FangSong" w:eastAsia="FangSong" w:cs="FangSong"/>
          <w:sz w:val="24"/>
          <w:szCs w:val="24"/>
        </w:rPr>
      </w:pPr>
      <w:r>
        <w:rPr>
          <w:rFonts w:ascii="SimSun" w:hAnsi="SimSun" w:eastAsia="SimSun" w:cs="SimSun"/>
          <w:sz w:val="24"/>
          <w:szCs w:val="24"/>
        </w:rPr>
        <w:t>⑦ </w:t>
      </w:r>
      <w:r>
        <w:rPr>
          <w:rFonts w:ascii="FangSong" w:hAnsi="FangSong" w:eastAsia="FangSong" w:cs="FangSong"/>
          <w:sz w:val="24"/>
          <w:szCs w:val="24"/>
        </w:rPr>
        <w:t>装运民用爆破器材时，驾乘人员应对爆破器材的包装进行检查，发现不</w:t>
      </w:r>
      <w:r>
        <w:rPr>
          <w:rFonts w:ascii="FangSong" w:hAnsi="FangSong" w:eastAsia="FangSong" w:cs="FangSong"/>
          <w:sz w:val="24"/>
          <w:szCs w:val="24"/>
          <w:spacing w:val="-3"/>
        </w:rPr>
        <w:t>符合包装要求和破损的，要及时报告和处理。建议工程运行后，按</w:t>
      </w:r>
      <w:r>
        <w:rPr>
          <w:rFonts w:ascii="FangSong" w:hAnsi="FangSong" w:eastAsia="FangSong" w:cs="FangSong"/>
          <w:sz w:val="24"/>
          <w:szCs w:val="24"/>
          <w:spacing w:val="-4"/>
        </w:rPr>
        <w:t>照国家有关规</w:t>
      </w:r>
      <w:r>
        <w:rPr>
          <w:rFonts w:ascii="FangSong" w:hAnsi="FangSong" w:eastAsia="FangSong" w:cs="FangSong"/>
          <w:sz w:val="24"/>
          <w:szCs w:val="24"/>
          <w:spacing w:val="-3"/>
        </w:rPr>
        <w:t>定，制定本企业详细的《爆破器材管理规定》，对炸药及爆破器材</w:t>
      </w:r>
      <w:r>
        <w:rPr>
          <w:rFonts w:ascii="FangSong" w:hAnsi="FangSong" w:eastAsia="FangSong" w:cs="FangSong"/>
          <w:sz w:val="24"/>
          <w:szCs w:val="24"/>
          <w:spacing w:val="-4"/>
        </w:rPr>
        <w:t>的安全运输制</w:t>
      </w:r>
      <w:r>
        <w:rPr>
          <w:rFonts w:ascii="FangSong" w:hAnsi="FangSong" w:eastAsia="FangSong" w:cs="FangSong"/>
          <w:sz w:val="24"/>
          <w:szCs w:val="24"/>
          <w:spacing w:val="-3"/>
        </w:rPr>
        <w:t>度、储存保管制度、发放清退制度、销毁处理制度以及相关管理奖</w:t>
      </w:r>
      <w:r>
        <w:rPr>
          <w:rFonts w:ascii="FangSong" w:hAnsi="FangSong" w:eastAsia="FangSong" w:cs="FangSong"/>
          <w:sz w:val="24"/>
          <w:szCs w:val="24"/>
          <w:spacing w:val="-4"/>
        </w:rPr>
        <w:t>惩制度等进行</w:t>
      </w:r>
      <w:r>
        <w:rPr>
          <w:rFonts w:ascii="FangSong" w:hAnsi="FangSong" w:eastAsia="FangSong" w:cs="FangSong"/>
          <w:sz w:val="24"/>
          <w:szCs w:val="24"/>
          <w:spacing w:val="-3"/>
        </w:rPr>
        <w:t>明确规定。同时，应组织对相关人员进行定期培训和考核，提高员</w:t>
      </w:r>
      <w:r>
        <w:rPr>
          <w:rFonts w:ascii="FangSong" w:hAnsi="FangSong" w:eastAsia="FangSong" w:cs="FangSong"/>
          <w:sz w:val="24"/>
          <w:szCs w:val="24"/>
          <w:spacing w:val="-4"/>
        </w:rPr>
        <w:t>工的风险防范</w:t>
      </w:r>
      <w:r>
        <w:rPr>
          <w:rFonts w:ascii="FangSong" w:hAnsi="FangSong" w:eastAsia="FangSong" w:cs="FangSong"/>
          <w:sz w:val="24"/>
          <w:szCs w:val="24"/>
          <w:spacing w:val="-3"/>
        </w:rPr>
        <w:t>意识、责任心，加强对风险防范知识和技能的学习，增强防范处理</w:t>
      </w:r>
      <w:r>
        <w:rPr>
          <w:rFonts w:ascii="FangSong" w:hAnsi="FangSong" w:eastAsia="FangSong" w:cs="FangSong"/>
          <w:sz w:val="24"/>
          <w:szCs w:val="24"/>
          <w:spacing w:val="-4"/>
        </w:rPr>
        <w:t>风险事故的能</w:t>
      </w:r>
      <w:r>
        <w:rPr>
          <w:rFonts w:ascii="FangSong" w:hAnsi="FangSong" w:eastAsia="FangSong" w:cs="FangSong"/>
          <w:sz w:val="24"/>
          <w:szCs w:val="24"/>
          <w:spacing w:val="-8"/>
        </w:rPr>
        <w:t>力。</w:t>
      </w:r>
    </w:p>
    <w:p>
      <w:pPr>
        <w:ind w:left="514"/>
        <w:spacing w:before="178"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8</w:t>
      </w:r>
      <w:r>
        <w:rPr>
          <w:rFonts w:ascii="FangSong" w:hAnsi="FangSong" w:eastAsia="FangSong" w:cs="FangSong"/>
          <w:sz w:val="24"/>
          <w:szCs w:val="24"/>
          <w:spacing w:val="-2"/>
        </w:rPr>
        <w:t>）对放炮和火药爆炸的防范措施与建议</w:t>
      </w:r>
    </w:p>
    <w:p>
      <w:pPr>
        <w:ind w:left="48" w:right="41" w:firstLine="453"/>
        <w:spacing w:before="178" w:line="290" w:lineRule="auto"/>
        <w:rPr>
          <w:rFonts w:ascii="FangSong" w:hAnsi="FangSong" w:eastAsia="FangSong" w:cs="FangSong"/>
          <w:sz w:val="24"/>
          <w:szCs w:val="24"/>
        </w:rPr>
      </w:pPr>
      <w:r>
        <w:rPr>
          <w:rFonts w:ascii="SimSun" w:hAnsi="SimSun" w:eastAsia="SimSun" w:cs="SimSun"/>
          <w:sz w:val="24"/>
          <w:szCs w:val="24"/>
        </w:rPr>
        <w:t>① </w:t>
      </w:r>
      <w:r>
        <w:rPr>
          <w:rFonts w:ascii="FangSong" w:hAnsi="FangSong" w:eastAsia="FangSong" w:cs="FangSong"/>
          <w:sz w:val="24"/>
          <w:szCs w:val="24"/>
        </w:rPr>
        <w:t>炸药或雷管要严格分开存放和运输；爆破材料运输应避开上、下班或人</w:t>
      </w:r>
      <w:r>
        <w:rPr>
          <w:rFonts w:ascii="FangSong" w:hAnsi="FangSong" w:eastAsia="FangSong" w:cs="FangSong"/>
          <w:sz w:val="24"/>
          <w:szCs w:val="24"/>
          <w:spacing w:val="-2"/>
        </w:rPr>
        <w:t>员集中的时间、地点，同时不应在井口房或车场停留；</w:t>
      </w:r>
    </w:p>
    <w:p>
      <w:pPr>
        <w:ind w:left="35" w:right="41" w:firstLine="465"/>
        <w:spacing w:before="183" w:line="291" w:lineRule="auto"/>
        <w:rPr>
          <w:rFonts w:ascii="FangSong" w:hAnsi="FangSong" w:eastAsia="FangSong" w:cs="FangSong"/>
          <w:sz w:val="24"/>
          <w:szCs w:val="24"/>
        </w:rPr>
      </w:pPr>
      <w:r>
        <w:rPr>
          <w:rFonts w:ascii="SimSun" w:hAnsi="SimSun" w:eastAsia="SimSun" w:cs="SimSun"/>
          <w:sz w:val="24"/>
          <w:szCs w:val="24"/>
        </w:rPr>
        <w:t>② </w:t>
      </w:r>
      <w:r>
        <w:rPr>
          <w:rFonts w:ascii="FangSong" w:hAnsi="FangSong" w:eastAsia="FangSong" w:cs="FangSong"/>
          <w:sz w:val="24"/>
          <w:szCs w:val="24"/>
        </w:rPr>
        <w:t>爆破开始前，应确定危险区的边界，并设置明显标志，爆破前须发出信</w:t>
      </w:r>
      <w:r>
        <w:rPr>
          <w:rFonts w:ascii="FangSong" w:hAnsi="FangSong" w:eastAsia="FangSong" w:cs="FangSong"/>
          <w:sz w:val="24"/>
          <w:szCs w:val="24"/>
          <w:spacing w:val="-2"/>
        </w:rPr>
        <w:t>号，爆破后认真填写爆破记录；</w:t>
      </w:r>
    </w:p>
    <w:p>
      <w:pPr>
        <w:ind w:left="30" w:right="41" w:firstLine="470"/>
        <w:spacing w:before="179" w:line="290" w:lineRule="auto"/>
        <w:rPr>
          <w:rFonts w:ascii="FangSong" w:hAnsi="FangSong" w:eastAsia="FangSong" w:cs="FangSong"/>
          <w:sz w:val="24"/>
          <w:szCs w:val="24"/>
        </w:rPr>
      </w:pPr>
      <w:r>
        <w:rPr>
          <w:rFonts w:ascii="SimSun" w:hAnsi="SimSun" w:eastAsia="SimSun" w:cs="SimSun"/>
          <w:sz w:val="24"/>
          <w:szCs w:val="24"/>
        </w:rPr>
        <w:t>③ </w:t>
      </w:r>
      <w:r>
        <w:rPr>
          <w:rFonts w:ascii="FangSong" w:hAnsi="FangSong" w:eastAsia="FangSong" w:cs="FangSong"/>
          <w:sz w:val="24"/>
          <w:szCs w:val="24"/>
        </w:rPr>
        <w:t>爆破作业人员必须经过培训持证上岗；严禁非爆破人员进行爆破工作和</w:t>
      </w:r>
      <w:r>
        <w:rPr>
          <w:rFonts w:ascii="FangSong" w:hAnsi="FangSong" w:eastAsia="FangSong" w:cs="FangSong"/>
          <w:sz w:val="24"/>
          <w:szCs w:val="24"/>
          <w:spacing w:val="-1"/>
        </w:rPr>
        <w:t>接触爆破材料。应严格爆破材料的发放、使用和退回等各项登记工作；</w:t>
      </w:r>
    </w:p>
    <w:p>
      <w:pPr>
        <w:ind w:left="34" w:right="41" w:firstLine="466"/>
        <w:spacing w:before="183" w:line="290" w:lineRule="auto"/>
        <w:rPr>
          <w:rFonts w:ascii="FangSong" w:hAnsi="FangSong" w:eastAsia="FangSong" w:cs="FangSong"/>
          <w:sz w:val="24"/>
          <w:szCs w:val="24"/>
        </w:rPr>
      </w:pPr>
      <w:r>
        <w:rPr>
          <w:rFonts w:ascii="SimSun" w:hAnsi="SimSun" w:eastAsia="SimSun" w:cs="SimSun"/>
          <w:sz w:val="24"/>
          <w:szCs w:val="24"/>
        </w:rPr>
        <w:t>④ </w:t>
      </w:r>
      <w:r>
        <w:rPr>
          <w:rFonts w:ascii="FangSong" w:hAnsi="FangSong" w:eastAsia="FangSong" w:cs="FangSong"/>
          <w:sz w:val="24"/>
          <w:szCs w:val="24"/>
        </w:rPr>
        <w:t>爆破后应对爆破作业进行严格检查，确认安全后再进行下一步作业；对</w:t>
      </w:r>
      <w:r>
        <w:rPr>
          <w:rFonts w:ascii="FangSong" w:hAnsi="FangSong" w:eastAsia="FangSong" w:cs="FangSong"/>
          <w:sz w:val="24"/>
          <w:szCs w:val="24"/>
          <w:spacing w:val="-1"/>
        </w:rPr>
        <w:t>于盲炮，应严格按规定由专人进行处理，严禁打残眼。</w:t>
      </w:r>
    </w:p>
    <w:p>
      <w:pPr>
        <w:ind w:left="22"/>
        <w:spacing w:before="181" w:line="221" w:lineRule="auto"/>
        <w:outlineLvl w:val="2"/>
        <w:rPr>
          <w:rFonts w:ascii="FangSong" w:hAnsi="FangSong" w:eastAsia="FangSong" w:cs="FangSong"/>
          <w:sz w:val="24"/>
          <w:szCs w:val="24"/>
        </w:rPr>
      </w:pPr>
      <w:bookmarkStart w:name="bookmark379" w:id="513"/>
      <w:bookmarkEnd w:id="513"/>
      <w:bookmarkStart w:name="bookmark378" w:id="514"/>
      <w:bookmarkEnd w:id="514"/>
      <w:r>
        <w:rPr>
          <w:rFonts w:ascii="Times New Roman" w:hAnsi="Times New Roman" w:eastAsia="Times New Roman" w:cs="Times New Roman"/>
          <w:sz w:val="24"/>
          <w:szCs w:val="24"/>
          <w:b/>
          <w:bCs/>
          <w:spacing w:val="-2"/>
        </w:rPr>
        <w:t>8.6.2  </w:t>
      </w:r>
      <w:r>
        <w:rPr>
          <w:rFonts w:ascii="FangSong" w:hAnsi="FangSong" w:eastAsia="FangSong" w:cs="FangSong"/>
          <w:sz w:val="24"/>
          <w:szCs w:val="24"/>
          <w:b/>
          <w:bCs/>
          <w:spacing w:val="-2"/>
        </w:rPr>
        <w:t>油类物质泄漏防范措施</w:t>
      </w:r>
    </w:p>
    <w:p>
      <w:pPr>
        <w:ind w:left="32" w:firstLine="482"/>
        <w:spacing w:before="182" w:line="360" w:lineRule="auto"/>
        <w:rPr>
          <w:rFonts w:ascii="FangSong" w:hAnsi="FangSong" w:eastAsia="FangSong" w:cs="FangSong"/>
          <w:sz w:val="24"/>
          <w:szCs w:val="24"/>
        </w:rPr>
      </w:pPr>
      <w:r>
        <w:rPr>
          <w:rFonts w:ascii="FangSong" w:hAnsi="FangSong" w:eastAsia="FangSong" w:cs="FangSong"/>
          <w:sz w:val="24"/>
          <w:szCs w:val="24"/>
          <w:spacing w:val="-4"/>
        </w:rPr>
        <w:t>油类物质泄漏可造成土壤及地下水污染，项目将对项目可能泄漏污染物的污</w:t>
      </w:r>
      <w:r>
        <w:rPr>
          <w:rFonts w:ascii="FangSong" w:hAnsi="FangSong" w:eastAsia="FangSong" w:cs="FangSong"/>
          <w:sz w:val="24"/>
          <w:szCs w:val="24"/>
          <w:spacing w:val="-2"/>
        </w:rPr>
        <w:t>染区地面进行防渗处理，事故发生时及时地将泄漏的污染物收集起来</w:t>
      </w:r>
      <w:r>
        <w:rPr>
          <w:rFonts w:ascii="FangSong" w:hAnsi="FangSong" w:eastAsia="FangSong" w:cs="FangSong"/>
          <w:sz w:val="24"/>
          <w:szCs w:val="24"/>
          <w:spacing w:val="-3"/>
        </w:rPr>
        <w:t>进行处理，</w:t>
      </w:r>
    </w:p>
    <w:p>
      <w:pPr>
        <w:spacing w:line="360" w:lineRule="auto"/>
        <w:sectPr>
          <w:footerReference w:type="default" r:id="rId375"/>
          <w:pgSz w:w="11906" w:h="16839"/>
          <w:pgMar w:top="400" w:right="176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33" w:right="8"/>
        <w:spacing w:before="78" w:line="360" w:lineRule="auto"/>
        <w:rPr>
          <w:rFonts w:ascii="FangSong" w:hAnsi="FangSong" w:eastAsia="FangSong" w:cs="FangSong"/>
          <w:sz w:val="24"/>
          <w:szCs w:val="24"/>
        </w:rPr>
      </w:pPr>
      <w:bookmarkStart w:name="bookmark627" w:id="515"/>
      <w:bookmarkEnd w:id="515"/>
      <w:r>
        <w:rPr>
          <w:rFonts w:ascii="FangSong" w:hAnsi="FangSong" w:eastAsia="FangSong" w:cs="FangSong"/>
          <w:sz w:val="24"/>
          <w:szCs w:val="24"/>
          <w:spacing w:val="-3"/>
        </w:rPr>
        <w:t>可有效防止洒落地面的污染物渗入地下。根据本工程的特</w:t>
      </w:r>
      <w:r>
        <w:rPr>
          <w:rFonts w:ascii="FangSong" w:hAnsi="FangSong" w:eastAsia="FangSong" w:cs="FangSong"/>
          <w:sz w:val="24"/>
          <w:szCs w:val="24"/>
          <w:spacing w:val="-4"/>
        </w:rPr>
        <w:t>点，本项目危险废物贮</w:t>
      </w:r>
      <w:r>
        <w:rPr>
          <w:rFonts w:ascii="FangSong" w:hAnsi="FangSong" w:eastAsia="FangSong" w:cs="FangSong"/>
          <w:sz w:val="24"/>
          <w:szCs w:val="24"/>
          <w:spacing w:val="-2"/>
        </w:rPr>
        <w:t>存点及机修间按重点防渗区进行防渗，项目采取分区防渗措施防治地下水污染。</w:t>
      </w:r>
    </w:p>
    <w:p>
      <w:pPr>
        <w:ind w:left="29" w:right="65" w:firstLine="485"/>
        <w:spacing w:line="32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）油类物质均储存在密封桶内；对危险废物贮存点及机修间地面及裙角</w:t>
      </w:r>
      <w:r>
        <w:rPr>
          <w:rFonts w:ascii="FangSong" w:hAnsi="FangSong" w:eastAsia="FangSong" w:cs="FangSong"/>
          <w:sz w:val="24"/>
          <w:szCs w:val="24"/>
          <w:spacing w:val="1"/>
        </w:rPr>
        <w:t>进行硬化并按重点防渗区进行防渗处理，其等效黏土防渗层</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rPr>
        <w:t>Mb</w:t>
      </w:r>
      <w:r>
        <w:rPr>
          <w:rFonts w:ascii="Times New Roman" w:hAnsi="Times New Roman" w:eastAsia="Times New Roman" w:cs="Times New Roman"/>
          <w:sz w:val="24"/>
          <w:szCs w:val="24"/>
          <w:spacing w:val="1"/>
        </w:rPr>
        <w:t>≥6.0m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，防</w:t>
      </w:r>
      <w:r>
        <w:rPr>
          <w:rFonts w:ascii="FangSong" w:hAnsi="FangSong" w:eastAsia="FangSong" w:cs="FangSong"/>
          <w:sz w:val="24"/>
          <w:szCs w:val="24"/>
        </w:rPr>
        <w:t>渗系</w:t>
      </w:r>
      <w:r>
        <w:rPr>
          <w:rFonts w:ascii="FangSong" w:hAnsi="FangSong" w:eastAsia="FangSong" w:cs="FangSong"/>
          <w:sz w:val="24"/>
          <w:szCs w:val="24"/>
        </w:rPr>
        <w:t>数满足渗透系数</w:t>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41"/>
        </w:rPr>
        <w:t xml:space="preserve"> </w:t>
      </w:r>
      <w:r>
        <w:rPr>
          <w:rFonts w:ascii="Times New Roman" w:hAnsi="Times New Roman" w:eastAsia="Times New Roman" w:cs="Times New Roman"/>
          <w:sz w:val="24"/>
          <w:szCs w:val="24"/>
        </w:rPr>
        <w:t>1.0×10</w:t>
      </w:r>
      <w:r>
        <w:rPr>
          <w:rFonts w:ascii="Times New Roman" w:hAnsi="Times New Roman" w:eastAsia="Times New Roman" w:cs="Times New Roman"/>
          <w:sz w:val="15"/>
          <w:szCs w:val="15"/>
          <w:position w:val="7"/>
        </w:rPr>
        <w:t>-7</w:t>
      </w:r>
      <w:r>
        <w:rPr>
          <w:rFonts w:ascii="Times New Roman" w:hAnsi="Times New Roman" w:eastAsia="Times New Roman" w:cs="Times New Roman"/>
          <w:sz w:val="24"/>
          <w:szCs w:val="24"/>
        </w:rPr>
        <w:t>cm/s</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rPr>
        <w:t>要求；且四周设置收集沟，设置有防晒、防雨淋</w:t>
      </w:r>
      <w:r>
        <w:rPr>
          <w:rFonts w:ascii="FangSong" w:hAnsi="FangSong" w:eastAsia="FangSong" w:cs="FangSong"/>
          <w:sz w:val="24"/>
          <w:szCs w:val="24"/>
          <w:spacing w:val="-1"/>
        </w:rPr>
        <w:t>等装置，即使在事故状态下，油类物质不会被雨水冲刷，从而进入地表径流；</w:t>
      </w:r>
    </w:p>
    <w:p>
      <w:pPr>
        <w:ind w:left="31" w:right="67" w:firstLine="483"/>
        <w:spacing w:before="182"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）安排专人负责，每天定期巡查，对防渗地面开裂、储油桶开裂等情况</w:t>
      </w:r>
      <w:r>
        <w:rPr>
          <w:rFonts w:ascii="FangSong" w:hAnsi="FangSong" w:eastAsia="FangSong" w:cs="FangSong"/>
          <w:sz w:val="24"/>
          <w:szCs w:val="24"/>
          <w:spacing w:val="-2"/>
        </w:rPr>
        <w:t>进行巡查记录，并及时上报处理；</w:t>
      </w:r>
    </w:p>
    <w:p>
      <w:pPr>
        <w:ind w:left="514"/>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）危险废物贮存点及机修间周围要建立禁区，并有严禁烟火等标志。</w:t>
      </w:r>
    </w:p>
    <w:p>
      <w:pPr>
        <w:ind w:left="29" w:firstLine="485"/>
        <w:spacing w:before="183" w:line="290"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4</w:t>
      </w:r>
      <w:r>
        <w:rPr>
          <w:rFonts w:ascii="FangSong" w:hAnsi="FangSong" w:eastAsia="FangSong" w:cs="FangSong"/>
          <w:sz w:val="24"/>
          <w:szCs w:val="24"/>
          <w:spacing w:val="-6"/>
        </w:rPr>
        <w:t>）坚持“安全第一、预防为主</w:t>
      </w:r>
      <w:r>
        <w:rPr>
          <w:rFonts w:ascii="FangSong" w:hAnsi="FangSong" w:eastAsia="FangSong" w:cs="FangSong"/>
          <w:sz w:val="24"/>
          <w:szCs w:val="24"/>
          <w:spacing w:val="-87"/>
        </w:rPr>
        <w:t xml:space="preserve"> </w:t>
      </w:r>
      <w:r>
        <w:rPr>
          <w:rFonts w:ascii="FangSong" w:hAnsi="FangSong" w:eastAsia="FangSong" w:cs="FangSong"/>
          <w:sz w:val="24"/>
          <w:szCs w:val="24"/>
          <w:spacing w:val="-6"/>
        </w:rPr>
        <w:t>”的方针，把安全生产工作真正落到实处，</w:t>
      </w:r>
      <w:r>
        <w:rPr>
          <w:rFonts w:ascii="FangSong" w:hAnsi="FangSong" w:eastAsia="FangSong" w:cs="FangSong"/>
          <w:sz w:val="24"/>
          <w:szCs w:val="24"/>
          <w:spacing w:val="-1"/>
        </w:rPr>
        <w:t>切实保障人民群众的生命财产安全。</w:t>
      </w:r>
    </w:p>
    <w:p>
      <w:pPr>
        <w:ind w:left="22"/>
        <w:spacing w:before="182" w:line="222" w:lineRule="auto"/>
        <w:outlineLvl w:val="2"/>
        <w:rPr>
          <w:rFonts w:ascii="FangSong" w:hAnsi="FangSong" w:eastAsia="FangSong" w:cs="FangSong"/>
          <w:sz w:val="24"/>
          <w:szCs w:val="24"/>
        </w:rPr>
      </w:pPr>
      <w:bookmarkStart w:name="bookmark381" w:id="516"/>
      <w:bookmarkEnd w:id="516"/>
      <w:bookmarkStart w:name="bookmark380" w:id="517"/>
      <w:bookmarkEnd w:id="517"/>
      <w:r>
        <w:rPr>
          <w:rFonts w:ascii="Times New Roman" w:hAnsi="Times New Roman" w:eastAsia="Times New Roman" w:cs="Times New Roman"/>
          <w:sz w:val="24"/>
          <w:szCs w:val="24"/>
          <w:b/>
          <w:bCs/>
          <w:spacing w:val="-2"/>
        </w:rPr>
        <w:t>8.6.3  </w:t>
      </w:r>
      <w:r>
        <w:rPr>
          <w:rFonts w:ascii="FangSong" w:hAnsi="FangSong" w:eastAsia="FangSong" w:cs="FangSong"/>
          <w:sz w:val="24"/>
          <w:szCs w:val="24"/>
          <w:b/>
          <w:bCs/>
          <w:spacing w:val="-2"/>
        </w:rPr>
        <w:t>废水事故排放风险防范措施</w:t>
      </w:r>
    </w:p>
    <w:p>
      <w:pPr>
        <w:ind w:left="22"/>
        <w:spacing w:before="179"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2"/>
        </w:rPr>
        <w:t>8.6.3.1  </w:t>
      </w:r>
      <w:r>
        <w:rPr>
          <w:rFonts w:ascii="FangSong" w:hAnsi="FangSong" w:eastAsia="FangSong" w:cs="FangSong"/>
          <w:sz w:val="24"/>
          <w:szCs w:val="24"/>
          <w:b/>
          <w:bCs/>
          <w:spacing w:val="-2"/>
        </w:rPr>
        <w:t>井下防治水措施</w:t>
      </w:r>
    </w:p>
    <w:p>
      <w:pPr>
        <w:ind w:left="511"/>
        <w:spacing w:before="179" w:line="220" w:lineRule="auto"/>
        <w:rPr>
          <w:rFonts w:ascii="FangSong" w:hAnsi="FangSong" w:eastAsia="FangSong" w:cs="FangSong"/>
          <w:sz w:val="24"/>
          <w:szCs w:val="24"/>
        </w:rPr>
      </w:pPr>
      <w:r>
        <w:rPr>
          <w:rFonts w:ascii="FangSong" w:hAnsi="FangSong" w:eastAsia="FangSong" w:cs="FangSong"/>
          <w:sz w:val="24"/>
          <w:szCs w:val="24"/>
          <w:spacing w:val="-1"/>
        </w:rPr>
        <w:t>对地下开采的涌水应有足够的认识，严加防范，并采取如下措施：</w:t>
      </w:r>
    </w:p>
    <w:p>
      <w:pPr>
        <w:ind w:left="502"/>
        <w:spacing w:before="182" w:line="222" w:lineRule="auto"/>
        <w:rPr>
          <w:rFonts w:ascii="FangSong" w:hAnsi="FangSong" w:eastAsia="FangSong" w:cs="FangSong"/>
          <w:sz w:val="24"/>
          <w:szCs w:val="24"/>
        </w:rPr>
      </w:pPr>
      <w:r>
        <w:rPr>
          <w:rFonts w:ascii="SimSun" w:hAnsi="SimSun" w:eastAsia="SimSun" w:cs="SimSun"/>
          <w:sz w:val="24"/>
          <w:szCs w:val="24"/>
        </w:rPr>
        <w:t>① </w:t>
      </w:r>
      <w:r>
        <w:rPr>
          <w:rFonts w:ascii="FangSong" w:hAnsi="FangSong" w:eastAsia="FangSong" w:cs="FangSong"/>
          <w:sz w:val="24"/>
          <w:szCs w:val="24"/>
        </w:rPr>
        <w:t>按照开发利用方案设计，排水设备能够满足</w:t>
      </w:r>
      <w:r>
        <w:rPr>
          <w:rFonts w:ascii="FangSong" w:hAnsi="FangSong" w:eastAsia="FangSong" w:cs="FangSong"/>
          <w:sz w:val="24"/>
          <w:szCs w:val="24"/>
          <w:spacing w:val="-1"/>
        </w:rPr>
        <w:t>最大水量的排水要求；</w:t>
      </w:r>
    </w:p>
    <w:p>
      <w:pPr>
        <w:ind w:left="29" w:right="67" w:firstLine="472"/>
        <w:spacing w:before="180" w:line="291" w:lineRule="auto"/>
        <w:rPr>
          <w:rFonts w:ascii="FangSong" w:hAnsi="FangSong" w:eastAsia="FangSong" w:cs="FangSong"/>
          <w:sz w:val="24"/>
          <w:szCs w:val="24"/>
        </w:rPr>
      </w:pPr>
      <w:r>
        <w:rPr>
          <w:rFonts w:ascii="SimSun" w:hAnsi="SimSun" w:eastAsia="SimSun" w:cs="SimSun"/>
          <w:sz w:val="24"/>
          <w:szCs w:val="24"/>
          <w:spacing w:val="-1"/>
        </w:rPr>
        <w:t>② </w:t>
      </w:r>
      <w:r>
        <w:rPr>
          <w:rFonts w:ascii="FangSong" w:hAnsi="FangSong" w:eastAsia="FangSong" w:cs="FangSong"/>
          <w:sz w:val="24"/>
          <w:szCs w:val="24"/>
          <w:spacing w:val="-1"/>
        </w:rPr>
        <w:t>井口标高应高于当地最高洪水位</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1"/>
        </w:rPr>
        <w:t>1m  </w:t>
      </w:r>
      <w:r>
        <w:rPr>
          <w:rFonts w:ascii="FangSong" w:hAnsi="FangSong" w:eastAsia="FangSong" w:cs="FangSong"/>
          <w:sz w:val="24"/>
          <w:szCs w:val="24"/>
          <w:spacing w:val="-1"/>
        </w:rPr>
        <w:t>以上，并设置防水高台，场内设排</w:t>
      </w:r>
      <w:r>
        <w:rPr>
          <w:rFonts w:ascii="FangSong" w:hAnsi="FangSong" w:eastAsia="FangSong" w:cs="FangSong"/>
          <w:sz w:val="24"/>
          <w:szCs w:val="24"/>
          <w:spacing w:val="-4"/>
        </w:rPr>
        <w:t>水沟等；</w:t>
      </w:r>
    </w:p>
    <w:p>
      <w:pPr>
        <w:ind w:left="35" w:right="67" w:firstLine="465"/>
        <w:spacing w:before="179" w:line="291" w:lineRule="auto"/>
        <w:rPr>
          <w:rFonts w:ascii="FangSong" w:hAnsi="FangSong" w:eastAsia="FangSong" w:cs="FangSong"/>
          <w:sz w:val="24"/>
          <w:szCs w:val="24"/>
        </w:rPr>
      </w:pPr>
      <w:r>
        <w:rPr>
          <w:rFonts w:ascii="SimSun" w:hAnsi="SimSun" w:eastAsia="SimSun" w:cs="SimSun"/>
          <w:sz w:val="24"/>
          <w:szCs w:val="24"/>
        </w:rPr>
        <w:t>③ </w:t>
      </w:r>
      <w:r>
        <w:rPr>
          <w:rFonts w:ascii="FangSong" w:hAnsi="FangSong" w:eastAsia="FangSong" w:cs="FangSong"/>
          <w:sz w:val="24"/>
          <w:szCs w:val="24"/>
        </w:rPr>
        <w:t>生产过程中，注意水文地质情况的观测，发现出水疑点及时封堵，并建</w:t>
      </w:r>
      <w:r>
        <w:rPr>
          <w:rFonts w:ascii="FangSong" w:hAnsi="FangSong" w:eastAsia="FangSong" w:cs="FangSong"/>
          <w:sz w:val="24"/>
          <w:szCs w:val="24"/>
          <w:spacing w:val="-3"/>
        </w:rPr>
        <w:t>立观测预警措施；</w:t>
      </w:r>
    </w:p>
    <w:p>
      <w:pPr>
        <w:ind w:left="33" w:right="67" w:firstLine="467"/>
        <w:spacing w:before="179" w:line="290" w:lineRule="auto"/>
        <w:rPr>
          <w:rFonts w:ascii="FangSong" w:hAnsi="FangSong" w:eastAsia="FangSong" w:cs="FangSong"/>
          <w:sz w:val="24"/>
          <w:szCs w:val="24"/>
        </w:rPr>
      </w:pPr>
      <w:r>
        <w:rPr>
          <w:rFonts w:ascii="SimSun" w:hAnsi="SimSun" w:eastAsia="SimSun" w:cs="SimSun"/>
          <w:sz w:val="24"/>
          <w:szCs w:val="24"/>
        </w:rPr>
        <w:t>④ </w:t>
      </w:r>
      <w:r>
        <w:rPr>
          <w:rFonts w:ascii="FangSong" w:hAnsi="FangSong" w:eastAsia="FangSong" w:cs="FangSong"/>
          <w:sz w:val="24"/>
          <w:szCs w:val="24"/>
        </w:rPr>
        <w:t>设专职水文地质人员，对坑内水文地质变化情况进行监控，并对井下工</w:t>
      </w:r>
      <w:r>
        <w:rPr>
          <w:rFonts w:ascii="FangSong" w:hAnsi="FangSong" w:eastAsia="FangSong" w:cs="FangSong"/>
          <w:sz w:val="24"/>
          <w:szCs w:val="24"/>
          <w:spacing w:val="-2"/>
        </w:rPr>
        <w:t>作人员进行防治水安全教育；</w:t>
      </w:r>
    </w:p>
    <w:p>
      <w:pPr>
        <w:ind w:left="29" w:right="67" w:firstLine="471"/>
        <w:spacing w:before="183" w:line="291" w:lineRule="auto"/>
        <w:rPr>
          <w:rFonts w:ascii="FangSong" w:hAnsi="FangSong" w:eastAsia="FangSong" w:cs="FangSong"/>
          <w:sz w:val="24"/>
          <w:szCs w:val="24"/>
        </w:rPr>
      </w:pPr>
      <w:r>
        <w:rPr>
          <w:rFonts w:ascii="SimSun" w:hAnsi="SimSun" w:eastAsia="SimSun" w:cs="SimSun"/>
          <w:sz w:val="24"/>
          <w:szCs w:val="24"/>
        </w:rPr>
        <w:t>⑤ </w:t>
      </w:r>
      <w:r>
        <w:rPr>
          <w:rFonts w:ascii="FangSong" w:hAnsi="FangSong" w:eastAsia="FangSong" w:cs="FangSong"/>
          <w:sz w:val="24"/>
          <w:szCs w:val="24"/>
        </w:rPr>
        <w:t>掘进工作面或其它地点发现透水预兆，应立即停止作业，并通报，采取</w:t>
      </w:r>
      <w:r>
        <w:rPr>
          <w:rFonts w:ascii="FangSong" w:hAnsi="FangSong" w:eastAsia="FangSong" w:cs="FangSong"/>
          <w:sz w:val="24"/>
          <w:szCs w:val="24"/>
          <w:spacing w:val="-1"/>
        </w:rPr>
        <w:t>措施。如遇情况紧急，应立即发出警告，撤出人员；</w:t>
      </w:r>
    </w:p>
    <w:p>
      <w:pPr>
        <w:ind w:left="501"/>
        <w:spacing w:before="179" w:line="220" w:lineRule="auto"/>
        <w:rPr>
          <w:rFonts w:ascii="FangSong" w:hAnsi="FangSong" w:eastAsia="FangSong" w:cs="FangSong"/>
          <w:sz w:val="24"/>
          <w:szCs w:val="24"/>
        </w:rPr>
      </w:pPr>
      <w:r>
        <w:rPr>
          <w:rFonts w:ascii="SimSun" w:hAnsi="SimSun" w:eastAsia="SimSun" w:cs="SimSun"/>
          <w:sz w:val="24"/>
          <w:szCs w:val="24"/>
          <w:spacing w:val="-1"/>
        </w:rPr>
        <w:t>⑥ </w:t>
      </w:r>
      <w:r>
        <w:rPr>
          <w:rFonts w:ascii="FangSong" w:hAnsi="FangSong" w:eastAsia="FangSong" w:cs="FangSong"/>
          <w:sz w:val="24"/>
          <w:szCs w:val="24"/>
          <w:spacing w:val="-1"/>
        </w:rPr>
        <w:t>建立防治水应急预案，并进行演练；</w:t>
      </w:r>
    </w:p>
    <w:p>
      <w:pPr>
        <w:ind w:left="501"/>
        <w:spacing w:before="182" w:line="220" w:lineRule="auto"/>
        <w:rPr>
          <w:rFonts w:ascii="FangSong" w:hAnsi="FangSong" w:eastAsia="FangSong" w:cs="FangSong"/>
          <w:sz w:val="24"/>
          <w:szCs w:val="24"/>
        </w:rPr>
      </w:pPr>
      <w:r>
        <w:rPr>
          <w:rFonts w:ascii="SimSun" w:hAnsi="SimSun" w:eastAsia="SimSun" w:cs="SimSun"/>
          <w:sz w:val="24"/>
          <w:szCs w:val="24"/>
          <w:spacing w:val="-1"/>
        </w:rPr>
        <w:t>⑦ </w:t>
      </w:r>
      <w:r>
        <w:rPr>
          <w:rFonts w:ascii="FangSong" w:hAnsi="FangSong" w:eastAsia="FangSong" w:cs="FangSong"/>
          <w:sz w:val="24"/>
          <w:szCs w:val="24"/>
          <w:spacing w:val="-1"/>
        </w:rPr>
        <w:t>遇灾害性天气，停产撤人。</w:t>
      </w:r>
    </w:p>
    <w:p>
      <w:pPr>
        <w:ind w:left="22"/>
        <w:spacing w:before="182"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8.6.3.2</w:t>
      </w:r>
      <w:r>
        <w:rPr>
          <w:rFonts w:ascii="Times New Roman" w:hAnsi="Times New Roman" w:eastAsia="Times New Roman" w:cs="Times New Roman"/>
          <w:sz w:val="24"/>
          <w:szCs w:val="24"/>
          <w:b/>
          <w:bCs/>
          <w:spacing w:val="21"/>
        </w:rPr>
        <w:t xml:space="preserve">  </w:t>
      </w:r>
      <w:r>
        <w:rPr>
          <w:rFonts w:ascii="FangSong" w:hAnsi="FangSong" w:eastAsia="FangSong" w:cs="FangSong"/>
          <w:sz w:val="24"/>
          <w:szCs w:val="24"/>
          <w:b/>
          <w:bCs/>
          <w:spacing w:val="-4"/>
        </w:rPr>
        <w:t>生产废水泄露防治措施</w:t>
      </w:r>
    </w:p>
    <w:p>
      <w:pPr>
        <w:ind w:left="34" w:right="67" w:firstLine="480"/>
        <w:spacing w:before="178"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）施工应选用有施工资质的合格单位，最好是选用具有丰富施工经验的</w:t>
      </w:r>
      <w:r>
        <w:rPr>
          <w:rFonts w:ascii="FangSong" w:hAnsi="FangSong" w:eastAsia="FangSong" w:cs="FangSong"/>
          <w:sz w:val="24"/>
          <w:szCs w:val="24"/>
          <w:spacing w:val="-1"/>
        </w:rPr>
        <w:t>单位，并在施工过程中加强监理制度，确保施工质量。</w:t>
      </w:r>
    </w:p>
    <w:p>
      <w:pPr>
        <w:ind w:left="514"/>
        <w:spacing w:before="183"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）隔油池、防渗储池、蓄水池、回水池、高位水池等铺</w:t>
      </w:r>
      <w:r>
        <w:rPr>
          <w:rFonts w:ascii="FangSong" w:hAnsi="FangSong" w:eastAsia="FangSong" w:cs="FangSong"/>
          <w:sz w:val="24"/>
          <w:szCs w:val="24"/>
        </w:rPr>
        <w:t>设防渗水泥，等</w:t>
      </w:r>
    </w:p>
    <w:p>
      <w:pPr>
        <w:spacing w:line="222" w:lineRule="auto"/>
        <w:sectPr>
          <w:footerReference w:type="default" r:id="rId376"/>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3"/>
        <w:spacing w:before="78" w:line="220" w:lineRule="auto"/>
        <w:rPr>
          <w:rFonts w:ascii="FangSong" w:hAnsi="FangSong" w:eastAsia="FangSong" w:cs="FangSong"/>
          <w:sz w:val="24"/>
          <w:szCs w:val="24"/>
        </w:rPr>
      </w:pPr>
      <w:bookmarkStart w:name="bookmark628" w:id="518"/>
      <w:bookmarkEnd w:id="518"/>
      <w:r>
        <w:rPr>
          <w:rFonts w:ascii="FangSong" w:hAnsi="FangSong" w:eastAsia="FangSong" w:cs="FangSong"/>
          <w:sz w:val="24"/>
          <w:szCs w:val="24"/>
          <w:spacing w:val="-3"/>
        </w:rPr>
        <w:t>效粘土防渗层防渗性能</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3"/>
        </w:rPr>
        <w:t>Mb≥6.0m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3"/>
        </w:rPr>
        <w:t>，渗透系数不大于</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1.0×10</w:t>
      </w:r>
      <w:r>
        <w:rPr>
          <w:rFonts w:ascii="Times New Roman" w:hAnsi="Times New Roman" w:eastAsia="Times New Roman" w:cs="Times New Roman"/>
          <w:sz w:val="15"/>
          <w:szCs w:val="15"/>
          <w:spacing w:val="-3"/>
          <w:position w:val="7"/>
        </w:rPr>
        <w:t>-7</w:t>
      </w:r>
      <w:r>
        <w:rPr>
          <w:rFonts w:ascii="Times New Roman" w:hAnsi="Times New Roman" w:eastAsia="Times New Roman" w:cs="Times New Roman"/>
          <w:sz w:val="24"/>
          <w:szCs w:val="24"/>
          <w:spacing w:val="-3"/>
        </w:rPr>
        <w:t>cm/s</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3"/>
        </w:rPr>
        <w:t>的黏土层。</w:t>
      </w:r>
    </w:p>
    <w:p>
      <w:pPr>
        <w:ind w:left="31" w:right="65" w:firstLine="483"/>
        <w:spacing w:before="182"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）对隔油池、防渗储池、蓄水池、回水池、高位水池等进行定期观测和</w:t>
      </w:r>
      <w:r>
        <w:rPr>
          <w:rFonts w:ascii="FangSong" w:hAnsi="FangSong" w:eastAsia="FangSong" w:cs="FangSong"/>
          <w:sz w:val="24"/>
          <w:szCs w:val="24"/>
          <w:spacing w:val="-3"/>
        </w:rPr>
        <w:t>检查，包括池壁和池底的破损和清水浸润线观测，以保证能够</w:t>
      </w:r>
      <w:r>
        <w:rPr>
          <w:rFonts w:ascii="FangSong" w:hAnsi="FangSong" w:eastAsia="FangSong" w:cs="FangSong"/>
          <w:sz w:val="24"/>
          <w:szCs w:val="24"/>
          <w:spacing w:val="-4"/>
        </w:rPr>
        <w:t>及时发现问题，及</w:t>
      </w:r>
      <w:r>
        <w:rPr>
          <w:rFonts w:ascii="FangSong" w:hAnsi="FangSong" w:eastAsia="FangSong" w:cs="FangSong"/>
          <w:sz w:val="24"/>
          <w:szCs w:val="24"/>
          <w:spacing w:val="-2"/>
        </w:rPr>
        <w:t>时解决，防患于未然。</w:t>
      </w:r>
    </w:p>
    <w:p>
      <w:pPr>
        <w:ind w:left="34" w:right="65" w:firstLine="480"/>
        <w:spacing w:before="178" w:line="314"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）定期对隔油池、防渗储池、蓄水池、回水池、高位水池等进行管理和</w:t>
      </w:r>
      <w:r>
        <w:rPr>
          <w:rFonts w:ascii="FangSong" w:hAnsi="FangSong" w:eastAsia="FangSong" w:cs="FangSong"/>
          <w:sz w:val="24"/>
          <w:szCs w:val="24"/>
          <w:spacing w:val="-3"/>
        </w:rPr>
        <w:t>维护，随时检查场内截排水沟等情况，特别是在雨季，</w:t>
      </w:r>
      <w:r>
        <w:rPr>
          <w:rFonts w:ascii="FangSong" w:hAnsi="FangSong" w:eastAsia="FangSong" w:cs="FangSong"/>
          <w:sz w:val="24"/>
          <w:szCs w:val="24"/>
          <w:spacing w:val="-4"/>
        </w:rPr>
        <w:t>要定期检查，以保证遇到</w:t>
      </w:r>
      <w:r>
        <w:rPr>
          <w:rFonts w:ascii="FangSong" w:hAnsi="FangSong" w:eastAsia="FangSong" w:cs="FangSong"/>
          <w:sz w:val="24"/>
          <w:szCs w:val="24"/>
          <w:spacing w:val="-1"/>
        </w:rPr>
        <w:t>险情及时报告、及时排除，及时修补池壁和池底裂纹和破损。</w:t>
      </w:r>
    </w:p>
    <w:p>
      <w:pPr>
        <w:ind w:left="22"/>
        <w:spacing w:before="179" w:line="222" w:lineRule="auto"/>
        <w:outlineLvl w:val="2"/>
        <w:rPr>
          <w:rFonts w:ascii="FangSong" w:hAnsi="FangSong" w:eastAsia="FangSong" w:cs="FangSong"/>
          <w:sz w:val="24"/>
          <w:szCs w:val="24"/>
        </w:rPr>
      </w:pPr>
      <w:bookmarkStart w:name="bookmark383" w:id="519"/>
      <w:bookmarkEnd w:id="519"/>
      <w:bookmarkStart w:name="bookmark382" w:id="520"/>
      <w:bookmarkEnd w:id="520"/>
      <w:r>
        <w:rPr>
          <w:rFonts w:ascii="Times New Roman" w:hAnsi="Times New Roman" w:eastAsia="Times New Roman" w:cs="Times New Roman"/>
          <w:sz w:val="24"/>
          <w:szCs w:val="24"/>
          <w:b/>
          <w:bCs/>
          <w:spacing w:val="-2"/>
        </w:rPr>
        <w:t>8.6.4  </w:t>
      </w:r>
      <w:r>
        <w:rPr>
          <w:rFonts w:ascii="FangSong" w:hAnsi="FangSong" w:eastAsia="FangSong" w:cs="FangSong"/>
          <w:sz w:val="24"/>
          <w:szCs w:val="24"/>
          <w:b/>
          <w:bCs/>
          <w:spacing w:val="-2"/>
        </w:rPr>
        <w:t>地表塌陷风险防范措施</w:t>
      </w:r>
    </w:p>
    <w:p>
      <w:pPr>
        <w:ind w:left="31" w:firstLine="480"/>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井巷掘进针对不同的岩体类别采用不同的掘进方法，将爆破扰动围岩“松动</w:t>
      </w:r>
      <w:r>
        <w:rPr>
          <w:rFonts w:ascii="FangSong" w:hAnsi="FangSong" w:eastAsia="FangSong" w:cs="FangSong"/>
          <w:sz w:val="24"/>
          <w:szCs w:val="24"/>
          <w:spacing w:val="-9"/>
        </w:rPr>
        <w:t>圈</w:t>
      </w:r>
      <w:r>
        <w:rPr>
          <w:rFonts w:ascii="FangSong" w:hAnsi="FangSong" w:eastAsia="FangSong" w:cs="FangSong"/>
          <w:sz w:val="24"/>
          <w:szCs w:val="24"/>
          <w:spacing w:val="-84"/>
        </w:rPr>
        <w:t xml:space="preserve"> </w:t>
      </w:r>
      <w:r>
        <w:rPr>
          <w:rFonts w:ascii="FangSong" w:hAnsi="FangSong" w:eastAsia="FangSong" w:cs="FangSong"/>
          <w:sz w:val="24"/>
          <w:szCs w:val="24"/>
          <w:spacing w:val="-9"/>
        </w:rPr>
        <w:t>”降到最低程度。此外，需及时增强围岩表面强度。视巷道围岩的稳定性情况，</w:t>
      </w:r>
      <w:r>
        <w:rPr>
          <w:rFonts w:ascii="FangSong" w:hAnsi="FangSong" w:eastAsia="FangSong" w:cs="FangSong"/>
          <w:sz w:val="24"/>
          <w:szCs w:val="24"/>
          <w:spacing w:val="-2"/>
        </w:rPr>
        <w:t>采用喷射混凝土等支护方法。</w:t>
      </w:r>
    </w:p>
    <w:p>
      <w:pPr>
        <w:ind w:left="29" w:right="8" w:firstLine="486"/>
        <w:spacing w:before="3" w:line="359" w:lineRule="auto"/>
        <w:jc w:val="both"/>
        <w:rPr>
          <w:rFonts w:ascii="FangSong" w:hAnsi="FangSong" w:eastAsia="FangSong" w:cs="FangSong"/>
          <w:sz w:val="24"/>
          <w:szCs w:val="24"/>
        </w:rPr>
      </w:pPr>
      <w:r>
        <w:rPr>
          <w:rFonts w:ascii="FangSong" w:hAnsi="FangSong" w:eastAsia="FangSong" w:cs="FangSong"/>
          <w:sz w:val="24"/>
          <w:szCs w:val="24"/>
          <w:spacing w:val="-4"/>
        </w:rPr>
        <w:t>合理留足保安矿柱，在岩体不稳固地段及时进行支护；在推测的采空区岩石</w:t>
      </w:r>
      <w:r>
        <w:rPr>
          <w:rFonts w:ascii="FangSong" w:hAnsi="FangSong" w:eastAsia="FangSong" w:cs="FangSong"/>
          <w:sz w:val="24"/>
          <w:szCs w:val="24"/>
          <w:spacing w:val="-3"/>
        </w:rPr>
        <w:t>错动影响范围内，严禁修建任何永久性建筑物和工程设施；对深井</w:t>
      </w:r>
      <w:r>
        <w:rPr>
          <w:rFonts w:ascii="FangSong" w:hAnsi="FangSong" w:eastAsia="FangSong" w:cs="FangSong"/>
          <w:sz w:val="24"/>
          <w:szCs w:val="24"/>
          <w:spacing w:val="-4"/>
        </w:rPr>
        <w:t>开采技术进行</w:t>
      </w:r>
      <w:r>
        <w:rPr>
          <w:rFonts w:ascii="FangSong" w:hAnsi="FangSong" w:eastAsia="FangSong" w:cs="FangSong"/>
          <w:sz w:val="24"/>
          <w:szCs w:val="24"/>
          <w:spacing w:val="-2"/>
        </w:rPr>
        <w:t>科学研究，预防岩爆发生；在开采过程中，严禁开采保安矿柱；严禁越界开采。</w:t>
      </w:r>
    </w:p>
    <w:p>
      <w:pPr>
        <w:ind w:left="29" w:firstLine="479"/>
        <w:spacing w:before="1" w:line="360" w:lineRule="auto"/>
        <w:jc w:val="both"/>
        <w:rPr>
          <w:rFonts w:ascii="FangSong" w:hAnsi="FangSong" w:eastAsia="FangSong" w:cs="FangSong"/>
          <w:sz w:val="24"/>
          <w:szCs w:val="24"/>
        </w:rPr>
      </w:pPr>
      <w:r>
        <w:rPr>
          <w:rFonts w:ascii="FangSong" w:hAnsi="FangSong" w:eastAsia="FangSong" w:cs="FangSong"/>
          <w:sz w:val="24"/>
          <w:szCs w:val="24"/>
          <w:spacing w:val="-8"/>
        </w:rPr>
        <w:t>加强矿区范围内地面变形监测，当采空区地表出</w:t>
      </w:r>
      <w:r>
        <w:rPr>
          <w:rFonts w:ascii="FangSong" w:hAnsi="FangSong" w:eastAsia="FangSong" w:cs="FangSong"/>
          <w:sz w:val="24"/>
          <w:szCs w:val="24"/>
          <w:spacing w:val="-9"/>
        </w:rPr>
        <w:t>现塌陷、开裂等变形破坏时，</w:t>
      </w:r>
      <w:r>
        <w:rPr>
          <w:rFonts w:ascii="FangSong" w:hAnsi="FangSong" w:eastAsia="FangSong" w:cs="FangSong"/>
          <w:sz w:val="24"/>
          <w:szCs w:val="24"/>
          <w:spacing w:val="-8"/>
        </w:rPr>
        <w:t>应立即划定危险区范围、设置警界标志、限制人畜进入。在险情未处理完毕之前，</w:t>
      </w:r>
      <w:r>
        <w:rPr>
          <w:rFonts w:ascii="FangSong" w:hAnsi="FangSong" w:eastAsia="FangSong" w:cs="FangSong"/>
          <w:sz w:val="24"/>
          <w:szCs w:val="24"/>
          <w:spacing w:val="-2"/>
        </w:rPr>
        <w:t>应暂时停止危险地段的地下开采。</w:t>
      </w:r>
    </w:p>
    <w:p>
      <w:pPr>
        <w:ind w:left="22"/>
        <w:spacing w:before="1" w:line="220" w:lineRule="auto"/>
        <w:outlineLvl w:val="2"/>
        <w:rPr>
          <w:rFonts w:ascii="FangSong" w:hAnsi="FangSong" w:eastAsia="FangSong" w:cs="FangSong"/>
          <w:sz w:val="24"/>
          <w:szCs w:val="24"/>
        </w:rPr>
      </w:pPr>
      <w:bookmarkStart w:name="bookmark385" w:id="521"/>
      <w:bookmarkEnd w:id="521"/>
      <w:bookmarkStart w:name="bookmark384" w:id="522"/>
      <w:bookmarkEnd w:id="522"/>
      <w:r>
        <w:rPr>
          <w:rFonts w:ascii="Times New Roman" w:hAnsi="Times New Roman" w:eastAsia="Times New Roman" w:cs="Times New Roman"/>
          <w:sz w:val="24"/>
          <w:szCs w:val="24"/>
          <w:b/>
          <w:bCs/>
          <w:spacing w:val="-2"/>
        </w:rPr>
        <w:t>8.6.5  </w:t>
      </w:r>
      <w:r>
        <w:rPr>
          <w:rFonts w:ascii="FangSong" w:hAnsi="FangSong" w:eastAsia="FangSong" w:cs="FangSong"/>
          <w:sz w:val="24"/>
          <w:szCs w:val="24"/>
          <w:b/>
          <w:bCs/>
          <w:spacing w:val="-2"/>
        </w:rPr>
        <w:t>堆场事故风险防范措施</w:t>
      </w:r>
    </w:p>
    <w:p>
      <w:pPr>
        <w:ind w:left="29" w:right="65"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矿区内矿石及废石应做到堆放规则、有序；采用</w:t>
      </w:r>
      <w:r>
        <w:rPr>
          <w:rFonts w:ascii="FangSong" w:hAnsi="FangSong" w:eastAsia="FangSong" w:cs="FangSong"/>
          <w:sz w:val="24"/>
          <w:szCs w:val="24"/>
          <w:spacing w:val="-4"/>
        </w:rPr>
        <w:t>素混凝土地面基础、全封闭</w:t>
      </w:r>
      <w:r>
        <w:rPr>
          <w:rFonts w:ascii="FangSong" w:hAnsi="FangSong" w:eastAsia="FangSong" w:cs="FangSong"/>
          <w:sz w:val="24"/>
          <w:szCs w:val="24"/>
          <w:spacing w:val="-3"/>
        </w:rPr>
        <w:t>彩钢结构建设，堆场上游和两侧设置截、排水沟，拦截导出雨水，减</w:t>
      </w:r>
      <w:r>
        <w:rPr>
          <w:rFonts w:ascii="FangSong" w:hAnsi="FangSong" w:eastAsia="FangSong" w:cs="FangSong"/>
          <w:sz w:val="24"/>
          <w:szCs w:val="24"/>
          <w:spacing w:val="-4"/>
        </w:rPr>
        <w:t>轻上游汇水</w:t>
      </w:r>
      <w:r>
        <w:rPr>
          <w:rFonts w:ascii="FangSong" w:hAnsi="FangSong" w:eastAsia="FangSong" w:cs="FangSong"/>
          <w:sz w:val="24"/>
          <w:szCs w:val="24"/>
          <w:spacing w:val="-3"/>
        </w:rPr>
        <w:t>动力，下游设置挡石墙，场内设置排水系统；矿石排放采用块石垫底</w:t>
      </w:r>
      <w:r>
        <w:rPr>
          <w:rFonts w:ascii="FangSong" w:hAnsi="FangSong" w:eastAsia="FangSong" w:cs="FangSong"/>
          <w:sz w:val="24"/>
          <w:szCs w:val="24"/>
          <w:spacing w:val="-4"/>
        </w:rPr>
        <w:t>，台阶法堆</w:t>
      </w:r>
      <w:r>
        <w:rPr>
          <w:rFonts w:ascii="FangSong" w:hAnsi="FangSong" w:eastAsia="FangSong" w:cs="FangSong"/>
          <w:sz w:val="24"/>
          <w:szCs w:val="24"/>
          <w:spacing w:val="-3"/>
        </w:rPr>
        <w:t>砌，便于渗透下去的雨水及时排走；在堆场自然堆积线以外修筑挡碴</w:t>
      </w:r>
      <w:r>
        <w:rPr>
          <w:rFonts w:ascii="FangSong" w:hAnsi="FangSong" w:eastAsia="FangSong" w:cs="FangSong"/>
          <w:sz w:val="24"/>
          <w:szCs w:val="24"/>
          <w:spacing w:val="-4"/>
        </w:rPr>
        <w:t>墙加强堆场</w:t>
      </w:r>
      <w:r>
        <w:rPr>
          <w:rFonts w:ascii="FangSong" w:hAnsi="FangSong" w:eastAsia="FangSong" w:cs="FangSong"/>
          <w:sz w:val="24"/>
          <w:szCs w:val="24"/>
          <w:spacing w:val="-3"/>
        </w:rPr>
        <w:t>的人工巡查，发现挡碴墙破裂或截水沟堵塞，及时修补和疏通；减少</w:t>
      </w:r>
      <w:r>
        <w:rPr>
          <w:rFonts w:ascii="FangSong" w:hAnsi="FangSong" w:eastAsia="FangSong" w:cs="FangSong"/>
          <w:sz w:val="24"/>
          <w:szCs w:val="24"/>
          <w:spacing w:val="-4"/>
        </w:rPr>
        <w:t>矿石堆场堆</w:t>
      </w:r>
      <w:r>
        <w:rPr>
          <w:rFonts w:ascii="FangSong" w:hAnsi="FangSong" w:eastAsia="FangSong" w:cs="FangSong"/>
          <w:sz w:val="24"/>
          <w:szCs w:val="24"/>
          <w:spacing w:val="-3"/>
        </w:rPr>
        <w:t>存矿石的周期，矿石尽量做到随产随走，废石尽快填充采坑；对各个</w:t>
      </w:r>
      <w:r>
        <w:rPr>
          <w:rFonts w:ascii="FangSong" w:hAnsi="FangSong" w:eastAsia="FangSong" w:cs="FangSong"/>
          <w:sz w:val="24"/>
          <w:szCs w:val="24"/>
          <w:spacing w:val="-4"/>
        </w:rPr>
        <w:t>堆场进行必</w:t>
      </w:r>
      <w:r>
        <w:rPr>
          <w:rFonts w:ascii="FangSong" w:hAnsi="FangSong" w:eastAsia="FangSong" w:cs="FangSong"/>
          <w:sz w:val="24"/>
          <w:szCs w:val="24"/>
          <w:spacing w:val="-3"/>
        </w:rPr>
        <w:t>要的服务期满后土地复垦安排，服务期满后，马上组织人力对各个堆</w:t>
      </w:r>
      <w:r>
        <w:rPr>
          <w:rFonts w:ascii="FangSong" w:hAnsi="FangSong" w:eastAsia="FangSong" w:cs="FangSong"/>
          <w:sz w:val="24"/>
          <w:szCs w:val="24"/>
          <w:spacing w:val="-4"/>
        </w:rPr>
        <w:t>场进行土地</w:t>
      </w:r>
      <w:r>
        <w:rPr>
          <w:rFonts w:ascii="FangSong" w:hAnsi="FangSong" w:eastAsia="FangSong" w:cs="FangSong"/>
          <w:sz w:val="24"/>
          <w:szCs w:val="24"/>
          <w:spacing w:val="-6"/>
        </w:rPr>
        <w:t>复垦。</w:t>
      </w:r>
    </w:p>
    <w:p>
      <w:pPr>
        <w:ind w:left="22"/>
        <w:spacing w:line="223" w:lineRule="auto"/>
        <w:outlineLvl w:val="2"/>
        <w:rPr>
          <w:rFonts w:ascii="FangSong" w:hAnsi="FangSong" w:eastAsia="FangSong" w:cs="FangSong"/>
          <w:sz w:val="24"/>
          <w:szCs w:val="24"/>
        </w:rPr>
      </w:pPr>
      <w:bookmarkStart w:name="bookmark387" w:id="523"/>
      <w:bookmarkEnd w:id="523"/>
      <w:bookmarkStart w:name="bookmark386" w:id="524"/>
      <w:bookmarkEnd w:id="524"/>
      <w:r>
        <w:rPr>
          <w:rFonts w:ascii="Times New Roman" w:hAnsi="Times New Roman" w:eastAsia="Times New Roman" w:cs="Times New Roman"/>
          <w:sz w:val="24"/>
          <w:szCs w:val="24"/>
          <w:b/>
          <w:bCs/>
          <w:spacing w:val="-2"/>
        </w:rPr>
        <w:t>8.6.6  </w:t>
      </w:r>
      <w:r>
        <w:rPr>
          <w:rFonts w:ascii="FangSong" w:hAnsi="FangSong" w:eastAsia="FangSong" w:cs="FangSong"/>
          <w:sz w:val="24"/>
          <w:szCs w:val="24"/>
          <w:b/>
          <w:bCs/>
          <w:spacing w:val="-2"/>
        </w:rPr>
        <w:t>运输事故风险防控措施</w:t>
      </w:r>
    </w:p>
    <w:p>
      <w:pPr>
        <w:ind w:left="35" w:right="65" w:firstLine="475"/>
        <w:spacing w:before="178" w:line="361" w:lineRule="auto"/>
        <w:rPr>
          <w:rFonts w:ascii="FangSong" w:hAnsi="FangSong" w:eastAsia="FangSong" w:cs="FangSong"/>
          <w:sz w:val="24"/>
          <w:szCs w:val="24"/>
        </w:rPr>
      </w:pPr>
      <w:r>
        <w:rPr>
          <w:rFonts w:ascii="FangSong" w:hAnsi="FangSong" w:eastAsia="FangSong" w:cs="FangSong"/>
          <w:sz w:val="24"/>
          <w:szCs w:val="24"/>
          <w:spacing w:val="4"/>
        </w:rPr>
        <w:t>本次为避免生活污水和经隔油池处理后的食堂废水运输过程中发生翻车等</w:t>
      </w:r>
      <w:r>
        <w:rPr>
          <w:rFonts w:ascii="FangSong" w:hAnsi="FangSong" w:eastAsia="FangSong" w:cs="FangSong"/>
          <w:sz w:val="24"/>
          <w:szCs w:val="24"/>
          <w:spacing w:val="-3"/>
        </w:rPr>
        <w:t>交通事故，生活污水、食堂废水倾倒对周围环境造成</w:t>
      </w:r>
      <w:r>
        <w:rPr>
          <w:rFonts w:ascii="FangSong" w:hAnsi="FangSong" w:eastAsia="FangSong" w:cs="FangSong"/>
          <w:sz w:val="24"/>
          <w:szCs w:val="24"/>
          <w:spacing w:val="-4"/>
        </w:rPr>
        <w:t>污染，故选取如附图所示运</w:t>
      </w:r>
    </w:p>
    <w:p>
      <w:pPr>
        <w:spacing w:line="361" w:lineRule="auto"/>
        <w:sectPr>
          <w:footerReference w:type="default" r:id="rId377"/>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right="76"/>
        <w:spacing w:before="78" w:line="360" w:lineRule="auto"/>
        <w:jc w:val="both"/>
        <w:rPr>
          <w:rFonts w:ascii="FangSong" w:hAnsi="FangSong" w:eastAsia="FangSong" w:cs="FangSong"/>
          <w:sz w:val="24"/>
          <w:szCs w:val="24"/>
        </w:rPr>
      </w:pPr>
      <w:bookmarkStart w:name="bookmark629" w:id="525"/>
      <w:bookmarkEnd w:id="525"/>
      <w:r>
        <w:rPr>
          <w:rFonts w:ascii="FangSong" w:hAnsi="FangSong" w:eastAsia="FangSong" w:cs="FangSong"/>
          <w:sz w:val="24"/>
          <w:szCs w:val="24"/>
          <w:spacing w:val="-3"/>
        </w:rPr>
        <w:t>输路线，此运输线路基本沿乡道、省道及国道行驶，交通运输</w:t>
      </w:r>
      <w:r>
        <w:rPr>
          <w:rFonts w:ascii="FangSong" w:hAnsi="FangSong" w:eastAsia="FangSong" w:cs="FangSong"/>
          <w:sz w:val="24"/>
          <w:szCs w:val="24"/>
          <w:spacing w:val="-4"/>
        </w:rPr>
        <w:t>条件方便行驶路线</w:t>
      </w:r>
      <w:r>
        <w:rPr>
          <w:rFonts w:ascii="FangSong" w:hAnsi="FangSong" w:eastAsia="FangSong" w:cs="FangSong"/>
          <w:sz w:val="24"/>
          <w:szCs w:val="24"/>
          <w:spacing w:val="-3"/>
        </w:rPr>
        <w:t>较为安全，同时生活污水、食堂废水采用密闭罐车拉运；建设单</w:t>
      </w:r>
      <w:r>
        <w:rPr>
          <w:rFonts w:ascii="FangSong" w:hAnsi="FangSong" w:eastAsia="FangSong" w:cs="FangSong"/>
          <w:sz w:val="24"/>
          <w:szCs w:val="24"/>
          <w:spacing w:val="-4"/>
        </w:rPr>
        <w:t>位应定期对拉运</w:t>
      </w:r>
      <w:r>
        <w:rPr>
          <w:rFonts w:ascii="FangSong" w:hAnsi="FangSong" w:eastAsia="FangSong" w:cs="FangSong"/>
          <w:sz w:val="24"/>
          <w:szCs w:val="24"/>
          <w:spacing w:val="-3"/>
        </w:rPr>
        <w:t>汽车进行维修检查，对运输人员进行安全教育培训，采取上述措</w:t>
      </w:r>
      <w:r>
        <w:rPr>
          <w:rFonts w:ascii="FangSong" w:hAnsi="FangSong" w:eastAsia="FangSong" w:cs="FangSong"/>
          <w:sz w:val="24"/>
          <w:szCs w:val="24"/>
          <w:spacing w:val="-4"/>
        </w:rPr>
        <w:t>施后可减小运输</w:t>
      </w:r>
      <w:r>
        <w:rPr>
          <w:rFonts w:ascii="FangSong" w:hAnsi="FangSong" w:eastAsia="FangSong" w:cs="FangSong"/>
          <w:sz w:val="24"/>
          <w:szCs w:val="24"/>
          <w:spacing w:val="-1"/>
        </w:rPr>
        <w:t>风险事故发生的概率，不会对周围环境产生影响。</w:t>
      </w:r>
    </w:p>
    <w:p>
      <w:pPr>
        <w:ind w:left="22"/>
        <w:spacing w:line="222" w:lineRule="auto"/>
        <w:outlineLvl w:val="2"/>
        <w:rPr>
          <w:rFonts w:ascii="FangSong" w:hAnsi="FangSong" w:eastAsia="FangSong" w:cs="FangSong"/>
          <w:sz w:val="24"/>
          <w:szCs w:val="24"/>
        </w:rPr>
      </w:pPr>
      <w:bookmarkStart w:name="bookmark389" w:id="526"/>
      <w:bookmarkEnd w:id="526"/>
      <w:bookmarkStart w:name="bookmark388" w:id="527"/>
      <w:bookmarkEnd w:id="527"/>
      <w:r>
        <w:rPr>
          <w:rFonts w:ascii="Times New Roman" w:hAnsi="Times New Roman" w:eastAsia="Times New Roman" w:cs="Times New Roman"/>
          <w:sz w:val="24"/>
          <w:szCs w:val="24"/>
          <w:b/>
          <w:bCs/>
          <w:spacing w:val="-2"/>
        </w:rPr>
        <w:t>8.6.7  </w:t>
      </w:r>
      <w:r>
        <w:rPr>
          <w:rFonts w:ascii="FangSong" w:hAnsi="FangSong" w:eastAsia="FangSong" w:cs="FangSong"/>
          <w:sz w:val="24"/>
          <w:szCs w:val="24"/>
          <w:b/>
          <w:bCs/>
          <w:spacing w:val="-2"/>
        </w:rPr>
        <w:t>矿山环境风险三级防控措施</w:t>
      </w:r>
    </w:p>
    <w:p>
      <w:pPr>
        <w:ind w:left="29" w:right="76" w:firstLine="481"/>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对于本项目所处的区域而言，环境风险管理</w:t>
      </w:r>
      <w:r>
        <w:rPr>
          <w:rFonts w:ascii="FangSong" w:hAnsi="FangSong" w:eastAsia="FangSong" w:cs="FangSong"/>
          <w:sz w:val="24"/>
          <w:szCs w:val="24"/>
          <w:spacing w:val="-4"/>
        </w:rPr>
        <w:t>及应急预案是本项目重点，建设</w:t>
      </w:r>
      <w:r>
        <w:rPr>
          <w:rFonts w:ascii="FangSong" w:hAnsi="FangSong" w:eastAsia="FangSong" w:cs="FangSong"/>
          <w:sz w:val="24"/>
          <w:szCs w:val="24"/>
          <w:spacing w:val="1"/>
        </w:rPr>
        <w:t>单位应制定《苏尼特右旗富邦矿业有限公司苏尼特右旗桑宝力嘎</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额尔登塔拉萤</w:t>
      </w:r>
      <w:r>
        <w:rPr>
          <w:rFonts w:ascii="FangSong" w:hAnsi="FangSong" w:eastAsia="FangSong" w:cs="FangSong"/>
          <w:sz w:val="24"/>
          <w:szCs w:val="24"/>
          <w:spacing w:val="-1"/>
        </w:rPr>
        <w:t>石矿</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
        </w:rPr>
        <w:t>万</w:t>
      </w:r>
      <w:r>
        <w:rPr>
          <w:rFonts w:ascii="Times New Roman" w:hAnsi="Times New Roman" w:eastAsia="Times New Roman" w:cs="Times New Roman"/>
          <w:sz w:val="24"/>
          <w:szCs w:val="24"/>
          <w:spacing w:val="-1"/>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1"/>
        </w:rPr>
        <w:t>采选项目突发环境事件应急预案》，制定矿山三级防控措施。</w:t>
      </w:r>
    </w:p>
    <w:p>
      <w:pPr>
        <w:ind w:left="22"/>
        <w:spacing w:line="219"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8.6.7.1</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车间级</w:t>
      </w:r>
    </w:p>
    <w:p>
      <w:pPr>
        <w:ind w:left="29" w:right="76" w:firstLine="480"/>
        <w:spacing w:before="183" w:line="360" w:lineRule="auto"/>
        <w:jc w:val="both"/>
        <w:rPr>
          <w:rFonts w:ascii="FangSong" w:hAnsi="FangSong" w:eastAsia="FangSong" w:cs="FangSong"/>
          <w:sz w:val="24"/>
          <w:szCs w:val="24"/>
        </w:rPr>
      </w:pPr>
      <w:r>
        <w:rPr>
          <w:rFonts w:ascii="FangSong" w:hAnsi="FangSong" w:eastAsia="FangSong" w:cs="FangSong"/>
          <w:sz w:val="24"/>
          <w:szCs w:val="24"/>
          <w:spacing w:val="-3"/>
        </w:rPr>
        <w:t>矿山井下及地表作业严格按照公司规程进行，一</w:t>
      </w:r>
      <w:r>
        <w:rPr>
          <w:rFonts w:ascii="FangSong" w:hAnsi="FangSong" w:eastAsia="FangSong" w:cs="FangSong"/>
          <w:sz w:val="24"/>
          <w:szCs w:val="24"/>
          <w:spacing w:val="-4"/>
        </w:rPr>
        <w:t>旦发生如除尘设施等环保设</w:t>
      </w:r>
      <w:r>
        <w:rPr>
          <w:rFonts w:ascii="FangSong" w:hAnsi="FangSong" w:eastAsia="FangSong" w:cs="FangSong"/>
          <w:sz w:val="24"/>
          <w:szCs w:val="24"/>
          <w:spacing w:val="-3"/>
        </w:rPr>
        <w:t>施失效，出现较轻废水、废气等污染事件或者火灾、爆炸引起的一般</w:t>
      </w:r>
      <w:r>
        <w:rPr>
          <w:rFonts w:ascii="FangSong" w:hAnsi="FangSong" w:eastAsia="FangSong" w:cs="FangSong"/>
          <w:sz w:val="24"/>
          <w:szCs w:val="24"/>
          <w:spacing w:val="-4"/>
        </w:rPr>
        <w:t>环境污染等</w:t>
      </w:r>
      <w:r>
        <w:rPr>
          <w:rFonts w:ascii="FangSong" w:hAnsi="FangSong" w:eastAsia="FangSong" w:cs="FangSong"/>
          <w:sz w:val="24"/>
          <w:szCs w:val="24"/>
          <w:spacing w:val="-3"/>
        </w:rPr>
        <w:t>事件。可立即启动企业突发环境事件应急预案进行处理。如针对除尘</w:t>
      </w:r>
      <w:r>
        <w:rPr>
          <w:rFonts w:ascii="FangSong" w:hAnsi="FangSong" w:eastAsia="FangSong" w:cs="FangSong"/>
          <w:sz w:val="24"/>
          <w:szCs w:val="24"/>
          <w:spacing w:val="-4"/>
        </w:rPr>
        <w:t>器、水泵等</w:t>
      </w:r>
      <w:r>
        <w:rPr>
          <w:rFonts w:ascii="FangSong" w:hAnsi="FangSong" w:eastAsia="FangSong" w:cs="FangSong"/>
          <w:sz w:val="24"/>
          <w:szCs w:val="24"/>
          <w:spacing w:val="-3"/>
        </w:rPr>
        <w:t>设施进行及时检修，对遗撒固废进行及时处理，对此类事故基本上可</w:t>
      </w:r>
      <w:r>
        <w:rPr>
          <w:rFonts w:ascii="FangSong" w:hAnsi="FangSong" w:eastAsia="FangSong" w:cs="FangSong"/>
          <w:sz w:val="24"/>
          <w:szCs w:val="24"/>
          <w:spacing w:val="-4"/>
        </w:rPr>
        <w:t>以得到及时</w:t>
      </w:r>
      <w:r>
        <w:rPr>
          <w:rFonts w:ascii="FangSong" w:hAnsi="FangSong" w:eastAsia="FangSong" w:cs="FangSong"/>
          <w:sz w:val="24"/>
          <w:szCs w:val="24"/>
          <w:spacing w:val="-6"/>
        </w:rPr>
        <w:t>解决。</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8.6.7.2</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b/>
          <w:bCs/>
          <w:spacing w:val="-4"/>
        </w:rPr>
        <w:t>企业级</w:t>
      </w:r>
    </w:p>
    <w:p>
      <w:pPr>
        <w:ind w:left="29" w:right="37" w:firstLine="480"/>
        <w:spacing w:before="177" w:line="360" w:lineRule="auto"/>
        <w:jc w:val="both"/>
        <w:rPr>
          <w:rFonts w:ascii="FangSong" w:hAnsi="FangSong" w:eastAsia="FangSong" w:cs="FangSong"/>
          <w:sz w:val="24"/>
          <w:szCs w:val="24"/>
        </w:rPr>
      </w:pPr>
      <w:r>
        <w:rPr>
          <w:rFonts w:ascii="FangSong" w:hAnsi="FangSong" w:eastAsia="FangSong" w:cs="FangSong"/>
          <w:sz w:val="24"/>
          <w:szCs w:val="24"/>
          <w:spacing w:val="-3"/>
        </w:rPr>
        <w:t>若事件超过车间，如生产废水溢流至厂区，或矿</w:t>
      </w:r>
      <w:r>
        <w:rPr>
          <w:rFonts w:ascii="FangSong" w:hAnsi="FangSong" w:eastAsia="FangSong" w:cs="FangSong"/>
          <w:sz w:val="24"/>
          <w:szCs w:val="24"/>
          <w:spacing w:val="-4"/>
        </w:rPr>
        <w:t>井涌水管道破裂溢流至厂区</w:t>
      </w:r>
      <w:r>
        <w:rPr>
          <w:rFonts w:ascii="FangSong" w:hAnsi="FangSong" w:eastAsia="FangSong" w:cs="FangSong"/>
          <w:sz w:val="24"/>
          <w:szCs w:val="24"/>
          <w:spacing w:val="-2"/>
        </w:rPr>
        <w:t>等等，此事故工况时应立即停止生产，充分利用企业各系统风险事故应急措施，</w:t>
      </w:r>
      <w:r>
        <w:rPr>
          <w:rFonts w:ascii="FangSong" w:hAnsi="FangSong" w:eastAsia="FangSong" w:cs="FangSong"/>
          <w:sz w:val="24"/>
          <w:szCs w:val="24"/>
          <w:spacing w:val="-3"/>
        </w:rPr>
        <w:t>如各空置池体，用于容纳此部分废水，将环境风险控制在矿区，避免</w:t>
      </w:r>
      <w:r>
        <w:rPr>
          <w:rFonts w:ascii="FangSong" w:hAnsi="FangSong" w:eastAsia="FangSong" w:cs="FangSong"/>
          <w:sz w:val="24"/>
          <w:szCs w:val="24"/>
          <w:spacing w:val="-4"/>
        </w:rPr>
        <w:t>上述事故废</w:t>
      </w:r>
      <w:r>
        <w:rPr>
          <w:rFonts w:ascii="FangSong" w:hAnsi="FangSong" w:eastAsia="FangSong" w:cs="FangSong"/>
          <w:sz w:val="24"/>
          <w:szCs w:val="24"/>
          <w:spacing w:val="-3"/>
        </w:rPr>
        <w:t>水排入外环境。</w:t>
      </w:r>
    </w:p>
    <w:p>
      <w:pPr>
        <w:ind w:left="22"/>
        <w:spacing w:before="1"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6"/>
        </w:rPr>
        <w:t>8.6.7.3</w:t>
      </w:r>
      <w:r>
        <w:rPr>
          <w:rFonts w:ascii="Times New Roman" w:hAnsi="Times New Roman" w:eastAsia="Times New Roman" w:cs="Times New Roman"/>
          <w:sz w:val="24"/>
          <w:szCs w:val="24"/>
          <w:b/>
          <w:bCs/>
          <w:spacing w:val="22"/>
          <w:w w:val="101"/>
        </w:rPr>
        <w:t xml:space="preserve">  </w:t>
      </w:r>
      <w:r>
        <w:rPr>
          <w:rFonts w:ascii="FangSong" w:hAnsi="FangSong" w:eastAsia="FangSong" w:cs="FangSong"/>
          <w:sz w:val="24"/>
          <w:szCs w:val="24"/>
          <w:b/>
          <w:bCs/>
          <w:spacing w:val="-6"/>
        </w:rPr>
        <w:t>区域级</w:t>
      </w:r>
    </w:p>
    <w:p>
      <w:pPr>
        <w:ind w:left="29" w:right="26"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若事件超出矿区，如发生重大的废水、废气等污</w:t>
      </w:r>
      <w:r>
        <w:rPr>
          <w:rFonts w:ascii="FangSong" w:hAnsi="FangSong" w:eastAsia="FangSong" w:cs="FangSong"/>
          <w:sz w:val="24"/>
          <w:szCs w:val="24"/>
          <w:spacing w:val="-4"/>
        </w:rPr>
        <w:t>染事件，或者火灾、爆炸引</w:t>
      </w:r>
      <w:r>
        <w:rPr>
          <w:rFonts w:ascii="FangSong" w:hAnsi="FangSong" w:eastAsia="FangSong" w:cs="FangSong"/>
          <w:sz w:val="24"/>
          <w:szCs w:val="24"/>
          <w:spacing w:val="-2"/>
        </w:rPr>
        <w:t>发重大环境污染等恶性事件，污染影响至厂区外环境，企业应立即向上级机关、</w:t>
      </w:r>
      <w:r>
        <w:rPr>
          <w:rFonts w:ascii="FangSong" w:hAnsi="FangSong" w:eastAsia="FangSong" w:cs="FangSong"/>
          <w:sz w:val="24"/>
          <w:szCs w:val="24"/>
          <w:spacing w:val="-2"/>
        </w:rPr>
        <w:t>市政府汇报。应急处置指挥领导小组启动企业突发环境事件应急预案进行处理，</w:t>
      </w:r>
      <w:r>
        <w:rPr>
          <w:rFonts w:ascii="FangSong" w:hAnsi="FangSong" w:eastAsia="FangSong" w:cs="FangSong"/>
          <w:sz w:val="24"/>
          <w:szCs w:val="24"/>
          <w:spacing w:val="-3"/>
        </w:rPr>
        <w:t>立即切断污染源，并针对泄漏至外环境的污染物采取封闭、隔离等</w:t>
      </w:r>
      <w:r>
        <w:rPr>
          <w:rFonts w:ascii="FangSong" w:hAnsi="FangSong" w:eastAsia="FangSong" w:cs="FangSong"/>
          <w:sz w:val="24"/>
          <w:szCs w:val="24"/>
          <w:spacing w:val="-4"/>
        </w:rPr>
        <w:t>措施，防止继</w:t>
      </w:r>
      <w:r>
        <w:rPr>
          <w:rFonts w:ascii="FangSong" w:hAnsi="FangSong" w:eastAsia="FangSong" w:cs="FangSong"/>
          <w:sz w:val="24"/>
          <w:szCs w:val="24"/>
          <w:spacing w:val="-1"/>
        </w:rPr>
        <w:t>续污染环境。如废水泄漏至周边，采用及时截断等方式减缓对外环境的影响。</w:t>
      </w:r>
    </w:p>
    <w:p>
      <w:pPr>
        <w:ind w:left="23"/>
        <w:spacing w:before="57" w:line="223" w:lineRule="auto"/>
        <w:outlineLvl w:val="1"/>
        <w:rPr>
          <w:rFonts w:ascii="FangSong" w:hAnsi="FangSong" w:eastAsia="FangSong" w:cs="FangSong"/>
          <w:sz w:val="28"/>
          <w:szCs w:val="28"/>
        </w:rPr>
      </w:pPr>
      <w:bookmarkStart w:name="bookmark391" w:id="528"/>
      <w:bookmarkEnd w:id="528"/>
      <w:bookmarkStart w:name="bookmark390" w:id="529"/>
      <w:bookmarkEnd w:id="529"/>
      <w:r>
        <w:rPr>
          <w:rFonts w:ascii="Times New Roman" w:hAnsi="Times New Roman" w:eastAsia="Times New Roman" w:cs="Times New Roman"/>
          <w:sz w:val="28"/>
          <w:szCs w:val="28"/>
          <w:b/>
          <w:bCs/>
          <w:spacing w:val="-2"/>
        </w:rPr>
        <w:t>8.7  </w:t>
      </w:r>
      <w:r>
        <w:rPr>
          <w:rFonts w:ascii="FangSong" w:hAnsi="FangSong" w:eastAsia="FangSong" w:cs="FangSong"/>
          <w:sz w:val="28"/>
          <w:szCs w:val="28"/>
          <w:b/>
          <w:bCs/>
          <w:spacing w:val="-2"/>
        </w:rPr>
        <w:t>环境风险应急预案</w:t>
      </w:r>
    </w:p>
    <w:p>
      <w:pPr>
        <w:ind w:left="29" w:firstLine="480"/>
        <w:spacing w:before="227" w:line="360" w:lineRule="auto"/>
        <w:jc w:val="both"/>
        <w:rPr>
          <w:rFonts w:ascii="FangSong" w:hAnsi="FangSong" w:eastAsia="FangSong" w:cs="FangSong"/>
          <w:sz w:val="24"/>
          <w:szCs w:val="24"/>
        </w:rPr>
      </w:pPr>
      <w:r>
        <w:rPr>
          <w:rFonts w:ascii="FangSong" w:hAnsi="FangSong" w:eastAsia="FangSong" w:cs="FangSong"/>
          <w:sz w:val="24"/>
          <w:szCs w:val="24"/>
          <w:spacing w:val="-8"/>
        </w:rPr>
        <w:t>应急预案程度包括事故报警、指挥和救援系统启动、设置警戒线和救援通</w:t>
      </w:r>
      <w:r>
        <w:rPr>
          <w:rFonts w:ascii="FangSong" w:hAnsi="FangSong" w:eastAsia="FangSong" w:cs="FangSong"/>
          <w:sz w:val="24"/>
          <w:szCs w:val="24"/>
          <w:spacing w:val="-9"/>
        </w:rPr>
        <w:t>道、</w:t>
      </w:r>
      <w:r>
        <w:rPr>
          <w:rFonts w:ascii="FangSong" w:hAnsi="FangSong" w:eastAsia="FangSong" w:cs="FangSong"/>
          <w:sz w:val="24"/>
          <w:szCs w:val="24"/>
          <w:spacing w:val="-3"/>
        </w:rPr>
        <w:t>组织人员疏散、事故的控制和消除过程、现场医疗救护、社会应急救</w:t>
      </w:r>
      <w:r>
        <w:rPr>
          <w:rFonts w:ascii="FangSong" w:hAnsi="FangSong" w:eastAsia="FangSong" w:cs="FangSong"/>
          <w:sz w:val="24"/>
          <w:szCs w:val="24"/>
          <w:spacing w:val="-4"/>
        </w:rPr>
        <w:t>援、发布救</w:t>
      </w:r>
      <w:r>
        <w:rPr>
          <w:rFonts w:ascii="FangSong" w:hAnsi="FangSong" w:eastAsia="FangSong" w:cs="FangSong"/>
          <w:sz w:val="24"/>
          <w:szCs w:val="24"/>
          <w:spacing w:val="-2"/>
        </w:rPr>
        <w:t>援信息、应急状态终止及恢复等。本建设项目投产前按规定编制风险应急预案，</w:t>
      </w:r>
    </w:p>
    <w:p>
      <w:pPr>
        <w:spacing w:line="360" w:lineRule="auto"/>
        <w:sectPr>
          <w:footerReference w:type="default" r:id="rId378"/>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spacing w:before="78" w:line="221" w:lineRule="auto"/>
        <w:rPr>
          <w:rFonts w:ascii="FangSong" w:hAnsi="FangSong" w:eastAsia="FangSong" w:cs="FangSong"/>
          <w:sz w:val="24"/>
          <w:szCs w:val="24"/>
        </w:rPr>
      </w:pPr>
      <w:r>
        <w:rPr>
          <w:rFonts w:ascii="FangSong" w:hAnsi="FangSong" w:eastAsia="FangSong" w:cs="FangSong"/>
          <w:sz w:val="24"/>
          <w:szCs w:val="24"/>
          <w:spacing w:val="-1"/>
        </w:rPr>
        <w:t>根据本项目特点，建议具体应急预案应包括的主要内容见表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8.7-</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p>
    <w:p>
      <w:pPr>
        <w:ind w:left="2038"/>
        <w:spacing w:before="18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3"/>
        </w:rPr>
        <w:t>8.7-1  </w:t>
      </w:r>
      <w:r>
        <w:rPr>
          <w:rFonts w:ascii="FangSong" w:hAnsi="FangSong" w:eastAsia="FangSong" w:cs="FangSong"/>
          <w:sz w:val="24"/>
          <w:szCs w:val="24"/>
          <w:b/>
          <w:bCs/>
          <w:spacing w:val="-3"/>
        </w:rPr>
        <w:t>突发环境风险事故应急预案内容</w:t>
      </w:r>
    </w:p>
    <w:p>
      <w:pPr>
        <w:spacing w:line="64" w:lineRule="exact"/>
        <w:rPr/>
      </w:pPr>
      <w:r/>
    </w:p>
    <w:tbl>
      <w:tblPr>
        <w:tblStyle w:val="TableNormal"/>
        <w:tblW w:w="8730"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5"/>
        <w:gridCol w:w="2970"/>
        <w:gridCol w:w="5155"/>
      </w:tblGrid>
      <w:tr>
        <w:trPr>
          <w:trHeight w:val="631" w:hRule="atLeast"/>
        </w:trPr>
        <w:tc>
          <w:tcPr>
            <w:tcW w:w="605" w:type="dxa"/>
            <w:vAlign w:val="top"/>
            <w:textDirection w:val="tbRlV"/>
            <w:tcBorders>
              <w:left w:val="nil"/>
              <w:top w:val="single" w:color="000000" w:sz="10" w:space="0"/>
            </w:tcBorders>
          </w:tcPr>
          <w:p>
            <w:pPr>
              <w:pStyle w:val="TableText"/>
              <w:ind w:left="55"/>
              <w:spacing w:before="196" w:line="209" w:lineRule="auto"/>
              <w:rPr/>
            </w:pPr>
            <w:r>
              <w:rPr>
                <w:spacing w:val="13"/>
              </w:rPr>
              <w:t>序</w:t>
            </w:r>
            <w:r>
              <w:rPr>
                <w:spacing w:val="-2"/>
              </w:rPr>
              <w:t xml:space="preserve"> </w:t>
            </w:r>
            <w:r>
              <w:rPr>
                <w:spacing w:val="13"/>
              </w:rPr>
              <w:t>号</w:t>
            </w:r>
          </w:p>
        </w:tc>
        <w:tc>
          <w:tcPr>
            <w:tcW w:w="2970" w:type="dxa"/>
            <w:vAlign w:val="top"/>
            <w:tcBorders>
              <w:top w:val="single" w:color="000000" w:sz="10" w:space="0"/>
            </w:tcBorders>
          </w:tcPr>
          <w:p>
            <w:pPr>
              <w:pStyle w:val="TableText"/>
              <w:ind w:left="1286"/>
              <w:spacing w:before="211" w:line="232" w:lineRule="auto"/>
              <w:rPr/>
            </w:pPr>
            <w:r>
              <w:rPr>
                <w:spacing w:val="1"/>
              </w:rPr>
              <w:t>项且</w:t>
            </w:r>
          </w:p>
        </w:tc>
        <w:tc>
          <w:tcPr>
            <w:tcW w:w="5155" w:type="dxa"/>
            <w:vAlign w:val="top"/>
            <w:tcBorders>
              <w:right w:val="nil"/>
              <w:top w:val="single" w:color="000000" w:sz="10" w:space="0"/>
            </w:tcBorders>
          </w:tcPr>
          <w:p>
            <w:pPr>
              <w:pStyle w:val="TableText"/>
              <w:ind w:left="2087"/>
              <w:spacing w:before="211" w:line="231" w:lineRule="auto"/>
              <w:rPr/>
            </w:pPr>
            <w:r>
              <w:rPr>
                <w:spacing w:val="1"/>
              </w:rPr>
              <w:t>内容及要求</w:t>
            </w:r>
          </w:p>
        </w:tc>
      </w:tr>
      <w:tr>
        <w:trPr>
          <w:trHeight w:val="937" w:hRule="atLeast"/>
        </w:trPr>
        <w:tc>
          <w:tcPr>
            <w:tcW w:w="605" w:type="dxa"/>
            <w:vAlign w:val="top"/>
            <w:tcBorders>
              <w:left w:val="nil"/>
            </w:tcBorders>
          </w:tcPr>
          <w:p>
            <w:pPr>
              <w:spacing w:line="341" w:lineRule="auto"/>
              <w:rPr>
                <w:rFonts w:ascii="Arial"/>
                <w:sz w:val="21"/>
              </w:rPr>
            </w:pPr>
            <w:r/>
          </w:p>
          <w:p>
            <w:pPr>
              <w:ind w:left="27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70" w:type="dxa"/>
            <w:vAlign w:val="top"/>
          </w:tcPr>
          <w:p>
            <w:pPr>
              <w:spacing w:line="298" w:lineRule="auto"/>
              <w:rPr>
                <w:rFonts w:ascii="Arial"/>
                <w:sz w:val="21"/>
              </w:rPr>
            </w:pPr>
            <w:r/>
          </w:p>
          <w:p>
            <w:pPr>
              <w:pStyle w:val="TableText"/>
              <w:ind w:left="971"/>
              <w:spacing w:before="65" w:line="231" w:lineRule="auto"/>
              <w:rPr/>
            </w:pPr>
            <w:r>
              <w:rPr>
                <w:spacing w:val="7"/>
              </w:rPr>
              <w:t>应急计划区</w:t>
            </w:r>
          </w:p>
        </w:tc>
        <w:tc>
          <w:tcPr>
            <w:tcW w:w="5155" w:type="dxa"/>
            <w:vAlign w:val="top"/>
            <w:tcBorders>
              <w:right w:val="nil"/>
            </w:tcBorders>
          </w:tcPr>
          <w:p>
            <w:pPr>
              <w:pStyle w:val="TableText"/>
              <w:ind w:left="123"/>
              <w:spacing w:before="53" w:line="228" w:lineRule="auto"/>
              <w:rPr/>
            </w:pPr>
            <w:r>
              <w:rPr>
                <w:spacing w:val="5"/>
              </w:rPr>
              <w:t>危险目标：开采区、工业广场、危险废物贮存点</w:t>
            </w:r>
            <w:r>
              <w:rPr>
                <w:spacing w:val="4"/>
              </w:rPr>
              <w:t>、炸药</w:t>
            </w:r>
          </w:p>
          <w:p>
            <w:pPr>
              <w:pStyle w:val="TableText"/>
              <w:ind w:left="121"/>
              <w:spacing w:before="65" w:line="229" w:lineRule="auto"/>
              <w:rPr/>
            </w:pPr>
            <w:r>
              <w:rPr>
                <w:spacing w:val="7"/>
              </w:rPr>
              <w:t>库等环境保护目标：厂内</w:t>
            </w:r>
            <w:r>
              <w:rPr>
                <w:rFonts w:ascii="Times New Roman" w:hAnsi="Times New Roman" w:eastAsia="Times New Roman" w:cs="Times New Roman"/>
                <w:spacing w:val="7"/>
              </w:rPr>
              <w:t>-</w:t>
            </w:r>
            <w:r>
              <w:rPr>
                <w:spacing w:val="7"/>
              </w:rPr>
              <w:t>生活区、堆场等；厂外</w:t>
            </w:r>
            <w:r>
              <w:rPr>
                <w:rFonts w:ascii="Times New Roman" w:hAnsi="Times New Roman" w:eastAsia="Times New Roman" w:cs="Times New Roman"/>
                <w:spacing w:val="7"/>
              </w:rPr>
              <w:t>-</w:t>
            </w:r>
            <w:r>
              <w:rPr>
                <w:spacing w:val="7"/>
              </w:rPr>
              <w:t>周围</w:t>
            </w:r>
          </w:p>
          <w:p>
            <w:pPr>
              <w:pStyle w:val="TableText"/>
              <w:ind w:left="2273"/>
              <w:spacing w:before="62" w:line="231" w:lineRule="auto"/>
              <w:rPr/>
            </w:pPr>
            <w:r>
              <w:rPr>
                <w:spacing w:val="5"/>
              </w:rPr>
              <w:t>敏感点</w:t>
            </w:r>
          </w:p>
        </w:tc>
      </w:tr>
      <w:tr>
        <w:trPr>
          <w:trHeight w:val="316" w:hRule="atLeast"/>
        </w:trPr>
        <w:tc>
          <w:tcPr>
            <w:tcW w:w="605" w:type="dxa"/>
            <w:vAlign w:val="top"/>
            <w:tcBorders>
              <w:left w:val="nil"/>
            </w:tcBorders>
          </w:tcPr>
          <w:p>
            <w:pPr>
              <w:ind w:left="254"/>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70" w:type="dxa"/>
            <w:vAlign w:val="top"/>
          </w:tcPr>
          <w:p>
            <w:pPr>
              <w:pStyle w:val="TableText"/>
              <w:ind w:left="551"/>
              <w:spacing w:before="58" w:line="228" w:lineRule="auto"/>
              <w:rPr/>
            </w:pPr>
            <w:r>
              <w:rPr>
                <w:spacing w:val="8"/>
              </w:rPr>
              <w:t>应急组织机构、人员</w:t>
            </w:r>
          </w:p>
        </w:tc>
        <w:tc>
          <w:tcPr>
            <w:tcW w:w="5155" w:type="dxa"/>
            <w:vAlign w:val="top"/>
            <w:tcBorders>
              <w:right w:val="nil"/>
            </w:tcBorders>
          </w:tcPr>
          <w:p>
            <w:pPr>
              <w:pStyle w:val="TableText"/>
              <w:ind w:left="178"/>
              <w:spacing w:before="58" w:line="228" w:lineRule="auto"/>
              <w:rPr/>
            </w:pPr>
            <w:r>
              <w:rPr>
                <w:spacing w:val="9"/>
              </w:rPr>
              <w:t>工厂应急组织机构、人员；地区应急组织机构、人员</w:t>
            </w:r>
          </w:p>
        </w:tc>
      </w:tr>
      <w:tr>
        <w:trPr>
          <w:trHeight w:val="316" w:hRule="atLeast"/>
        </w:trPr>
        <w:tc>
          <w:tcPr>
            <w:tcW w:w="605" w:type="dxa"/>
            <w:vAlign w:val="top"/>
            <w:tcBorders>
              <w:left w:val="nil"/>
            </w:tcBorders>
          </w:tcPr>
          <w:p>
            <w:pPr>
              <w:ind w:left="258"/>
              <w:spacing w:before="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70" w:type="dxa"/>
            <w:vAlign w:val="top"/>
          </w:tcPr>
          <w:p>
            <w:pPr>
              <w:pStyle w:val="TableText"/>
              <w:ind w:left="658"/>
              <w:spacing w:before="60" w:line="227" w:lineRule="auto"/>
              <w:rPr/>
            </w:pPr>
            <w:r>
              <w:rPr>
                <w:spacing w:val="7"/>
              </w:rPr>
              <w:t>预案分级响应条件</w:t>
            </w:r>
          </w:p>
        </w:tc>
        <w:tc>
          <w:tcPr>
            <w:tcW w:w="5155" w:type="dxa"/>
            <w:vAlign w:val="top"/>
            <w:tcBorders>
              <w:right w:val="nil"/>
            </w:tcBorders>
          </w:tcPr>
          <w:p>
            <w:pPr>
              <w:pStyle w:val="TableText"/>
              <w:ind w:left="1221"/>
              <w:spacing w:before="60" w:line="227" w:lineRule="auto"/>
              <w:rPr/>
            </w:pPr>
            <w:r>
              <w:rPr>
                <w:spacing w:val="8"/>
              </w:rPr>
              <w:t>规定预案级别：分级响应程序</w:t>
            </w:r>
          </w:p>
        </w:tc>
      </w:tr>
      <w:tr>
        <w:trPr>
          <w:trHeight w:val="316" w:hRule="atLeast"/>
        </w:trPr>
        <w:tc>
          <w:tcPr>
            <w:tcW w:w="605" w:type="dxa"/>
            <w:vAlign w:val="top"/>
            <w:tcBorders>
              <w:left w:val="nil"/>
            </w:tcBorders>
          </w:tcPr>
          <w:p>
            <w:pPr>
              <w:ind w:left="25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970" w:type="dxa"/>
            <w:vAlign w:val="top"/>
          </w:tcPr>
          <w:p>
            <w:pPr>
              <w:pStyle w:val="TableText"/>
              <w:ind w:left="865"/>
              <w:spacing w:before="60" w:line="227" w:lineRule="auto"/>
              <w:rPr/>
            </w:pPr>
            <w:r>
              <w:rPr>
                <w:spacing w:val="7"/>
              </w:rPr>
              <w:t>应急救援保障</w:t>
            </w:r>
          </w:p>
        </w:tc>
        <w:tc>
          <w:tcPr>
            <w:tcW w:w="5155" w:type="dxa"/>
            <w:vAlign w:val="top"/>
            <w:tcBorders>
              <w:right w:val="nil"/>
            </w:tcBorders>
          </w:tcPr>
          <w:p>
            <w:pPr>
              <w:pStyle w:val="TableText"/>
              <w:ind w:left="1433"/>
              <w:spacing w:before="60" w:line="227" w:lineRule="auto"/>
              <w:rPr/>
            </w:pPr>
            <w:r>
              <w:rPr>
                <w:spacing w:val="8"/>
              </w:rPr>
              <w:t>应急设施，设备与器材等</w:t>
            </w:r>
          </w:p>
        </w:tc>
      </w:tr>
      <w:tr>
        <w:trPr>
          <w:trHeight w:val="627" w:hRule="atLeast"/>
        </w:trPr>
        <w:tc>
          <w:tcPr>
            <w:tcW w:w="605" w:type="dxa"/>
            <w:vAlign w:val="top"/>
            <w:tcBorders>
              <w:left w:val="nil"/>
            </w:tcBorders>
          </w:tcPr>
          <w:p>
            <w:pPr>
              <w:ind w:left="260"/>
              <w:spacing w:before="25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70" w:type="dxa"/>
            <w:vAlign w:val="top"/>
          </w:tcPr>
          <w:p>
            <w:pPr>
              <w:pStyle w:val="TableText"/>
              <w:ind w:left="551"/>
              <w:spacing w:before="217" w:line="230" w:lineRule="auto"/>
              <w:rPr/>
            </w:pPr>
            <w:r>
              <w:rPr>
                <w:spacing w:val="8"/>
              </w:rPr>
              <w:t>报警、通讯联络方式</w:t>
            </w:r>
          </w:p>
        </w:tc>
        <w:tc>
          <w:tcPr>
            <w:tcW w:w="5155" w:type="dxa"/>
            <w:vAlign w:val="top"/>
            <w:tcBorders>
              <w:right w:val="nil"/>
            </w:tcBorders>
          </w:tcPr>
          <w:p>
            <w:pPr>
              <w:pStyle w:val="TableText"/>
              <w:ind w:left="172"/>
              <w:spacing w:before="61" w:line="229" w:lineRule="auto"/>
              <w:rPr/>
            </w:pPr>
            <w:r>
              <w:rPr>
                <w:spacing w:val="9"/>
              </w:rPr>
              <w:t>规定应急状态下的报警通讯方式、通知方式和交通保</w:t>
            </w:r>
          </w:p>
          <w:p>
            <w:pPr>
              <w:pStyle w:val="TableText"/>
              <w:ind w:left="1653"/>
              <w:spacing w:before="63" w:line="225" w:lineRule="auto"/>
              <w:rPr/>
            </w:pPr>
            <w:r>
              <w:rPr>
                <w:spacing w:val="7"/>
              </w:rPr>
              <w:t>障、管制等相关内容</w:t>
            </w:r>
          </w:p>
        </w:tc>
      </w:tr>
      <w:tr>
        <w:trPr>
          <w:trHeight w:val="626" w:hRule="atLeast"/>
        </w:trPr>
        <w:tc>
          <w:tcPr>
            <w:tcW w:w="605" w:type="dxa"/>
            <w:vAlign w:val="top"/>
            <w:tcBorders>
              <w:left w:val="nil"/>
            </w:tcBorders>
          </w:tcPr>
          <w:p>
            <w:pPr>
              <w:ind w:left="258"/>
              <w:spacing w:before="2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70" w:type="dxa"/>
            <w:vAlign w:val="top"/>
          </w:tcPr>
          <w:p>
            <w:pPr>
              <w:pStyle w:val="TableText"/>
              <w:ind w:left="131"/>
              <w:spacing w:before="62" w:line="231" w:lineRule="auto"/>
              <w:rPr/>
            </w:pPr>
            <w:r>
              <w:rPr>
                <w:spacing w:val="8"/>
              </w:rPr>
              <w:t>应急环境监测、抢险、救援及</w:t>
            </w:r>
          </w:p>
          <w:p>
            <w:pPr>
              <w:pStyle w:val="TableText"/>
              <w:ind w:left="1077"/>
              <w:spacing w:before="61" w:line="223" w:lineRule="auto"/>
              <w:rPr/>
            </w:pPr>
            <w:r>
              <w:rPr>
                <w:spacing w:val="5"/>
              </w:rPr>
              <w:t>控制措施</w:t>
            </w:r>
          </w:p>
        </w:tc>
        <w:tc>
          <w:tcPr>
            <w:tcW w:w="5155" w:type="dxa"/>
            <w:vAlign w:val="top"/>
            <w:tcBorders>
              <w:right w:val="nil"/>
            </w:tcBorders>
          </w:tcPr>
          <w:p>
            <w:pPr>
              <w:pStyle w:val="TableText"/>
              <w:ind w:left="178" w:right="163" w:firstLine="21"/>
              <w:spacing w:before="63" w:line="255" w:lineRule="auto"/>
              <w:rPr/>
            </w:pPr>
            <w:r>
              <w:rPr>
                <w:spacing w:val="8"/>
              </w:rPr>
              <w:t>由专业队伍负责对事故现场进行侦察监测，对事故性</w:t>
            </w:r>
            <w:r>
              <w:rPr>
                <w:spacing w:val="9"/>
              </w:rPr>
              <w:t>质、参数与后果进行评估，为指挥部门提供决策依据</w:t>
            </w:r>
          </w:p>
        </w:tc>
      </w:tr>
      <w:tr>
        <w:trPr>
          <w:trHeight w:val="722" w:hRule="atLeast"/>
        </w:trPr>
        <w:tc>
          <w:tcPr>
            <w:tcW w:w="605" w:type="dxa"/>
            <w:vAlign w:val="top"/>
            <w:tcBorders>
              <w:left w:val="nil"/>
            </w:tcBorders>
          </w:tcPr>
          <w:p>
            <w:pPr>
              <w:spacing w:line="249" w:lineRule="auto"/>
              <w:rPr>
                <w:rFonts w:ascii="Arial"/>
                <w:sz w:val="21"/>
              </w:rPr>
            </w:pPr>
            <w:r/>
          </w:p>
          <w:p>
            <w:pPr>
              <w:ind w:left="257"/>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70" w:type="dxa"/>
            <w:vAlign w:val="top"/>
          </w:tcPr>
          <w:p>
            <w:pPr>
              <w:pStyle w:val="TableText"/>
              <w:ind w:left="868" w:right="118" w:hanging="737"/>
              <w:spacing w:before="114" w:line="276" w:lineRule="auto"/>
              <w:rPr/>
            </w:pPr>
            <w:r>
              <w:rPr>
                <w:spacing w:val="8"/>
              </w:rPr>
              <w:t>应急检测、防护措施、清除泄</w:t>
            </w:r>
            <w:r>
              <w:rPr>
                <w:spacing w:val="6"/>
              </w:rPr>
              <w:t>漏措施和器材</w:t>
            </w:r>
          </w:p>
        </w:tc>
        <w:tc>
          <w:tcPr>
            <w:tcW w:w="5155" w:type="dxa"/>
            <w:vAlign w:val="top"/>
            <w:tcBorders>
              <w:right w:val="nil"/>
            </w:tcBorders>
          </w:tcPr>
          <w:p>
            <w:pPr>
              <w:pStyle w:val="TableText"/>
              <w:ind w:left="699" w:right="108" w:hanging="567"/>
              <w:spacing w:before="114" w:line="276" w:lineRule="auto"/>
              <w:rPr/>
            </w:pPr>
            <w:r>
              <w:rPr>
                <w:spacing w:val="4"/>
              </w:rPr>
              <w:t>防火区域控制：事故现场、邻近山区清除污染措施：事</w:t>
            </w:r>
            <w:r>
              <w:rPr>
                <w:spacing w:val="9"/>
              </w:rPr>
              <w:t>故现场、邻近敏感点清除污染设备及配置</w:t>
            </w:r>
          </w:p>
        </w:tc>
      </w:tr>
      <w:tr>
        <w:trPr>
          <w:trHeight w:val="626" w:hRule="atLeast"/>
        </w:trPr>
        <w:tc>
          <w:tcPr>
            <w:tcW w:w="605" w:type="dxa"/>
            <w:vAlign w:val="top"/>
            <w:tcBorders>
              <w:left w:val="nil"/>
            </w:tcBorders>
          </w:tcPr>
          <w:p>
            <w:pPr>
              <w:ind w:left="262"/>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970" w:type="dxa"/>
            <w:vAlign w:val="top"/>
          </w:tcPr>
          <w:p>
            <w:pPr>
              <w:pStyle w:val="TableText"/>
              <w:ind w:left="448" w:right="118" w:hanging="314"/>
              <w:spacing w:before="69" w:line="252" w:lineRule="auto"/>
              <w:rPr/>
            </w:pPr>
            <w:r>
              <w:rPr>
                <w:spacing w:val="8"/>
              </w:rPr>
              <w:t>人员紧急撤离、疏散，应急剂</w:t>
            </w:r>
            <w:r>
              <w:rPr>
                <w:spacing w:val="8"/>
              </w:rPr>
              <w:t>量控制、撤离组织计划</w:t>
            </w:r>
          </w:p>
        </w:tc>
        <w:tc>
          <w:tcPr>
            <w:tcW w:w="5155" w:type="dxa"/>
            <w:vAlign w:val="top"/>
            <w:tcBorders>
              <w:right w:val="nil"/>
            </w:tcBorders>
          </w:tcPr>
          <w:p>
            <w:pPr>
              <w:pStyle w:val="TableText"/>
              <w:ind w:left="120"/>
              <w:spacing w:before="70" w:line="229" w:lineRule="auto"/>
              <w:rPr/>
            </w:pPr>
            <w:r>
              <w:rPr>
                <w:spacing w:val="5"/>
              </w:rPr>
              <w:t>毒物应急剂量控制规定：事故现场、邻近敏感区；撤离</w:t>
            </w:r>
          </w:p>
          <w:p>
            <w:pPr>
              <w:pStyle w:val="TableText"/>
              <w:ind w:left="1119"/>
              <w:spacing w:before="63" w:line="216" w:lineRule="auto"/>
              <w:rPr/>
            </w:pPr>
            <w:r>
              <w:rPr>
                <w:spacing w:val="8"/>
              </w:rPr>
              <w:t>组织计划；医疗救护：公众健康</w:t>
            </w:r>
          </w:p>
        </w:tc>
      </w:tr>
      <w:tr>
        <w:trPr>
          <w:trHeight w:val="626" w:hRule="atLeast"/>
        </w:trPr>
        <w:tc>
          <w:tcPr>
            <w:tcW w:w="605" w:type="dxa"/>
            <w:vAlign w:val="top"/>
            <w:tcBorders>
              <w:left w:val="nil"/>
            </w:tcBorders>
          </w:tcPr>
          <w:p>
            <w:pPr>
              <w:ind w:left="258"/>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970" w:type="dxa"/>
            <w:vAlign w:val="top"/>
          </w:tcPr>
          <w:p>
            <w:pPr>
              <w:pStyle w:val="TableText"/>
              <w:ind w:left="131"/>
              <w:spacing w:before="72" w:line="229" w:lineRule="auto"/>
              <w:rPr/>
            </w:pPr>
            <w:r>
              <w:rPr>
                <w:spacing w:val="8"/>
              </w:rPr>
              <w:t>事故应急救援关闭程序与恢复</w:t>
            </w:r>
          </w:p>
          <w:p>
            <w:pPr>
              <w:pStyle w:val="TableText"/>
              <w:ind w:left="1285"/>
              <w:spacing w:before="64" w:line="213" w:lineRule="auto"/>
              <w:rPr/>
            </w:pPr>
            <w:r>
              <w:rPr>
                <w:spacing w:val="2"/>
              </w:rPr>
              <w:t>措施</w:t>
            </w:r>
          </w:p>
        </w:tc>
        <w:tc>
          <w:tcPr>
            <w:tcW w:w="5155" w:type="dxa"/>
            <w:vAlign w:val="top"/>
            <w:tcBorders>
              <w:right w:val="nil"/>
            </w:tcBorders>
          </w:tcPr>
          <w:p>
            <w:pPr>
              <w:pStyle w:val="TableText"/>
              <w:ind w:left="801" w:right="53" w:hanging="684"/>
              <w:spacing w:before="72" w:line="251" w:lineRule="auto"/>
              <w:rPr/>
            </w:pPr>
            <w:r>
              <w:rPr>
                <w:spacing w:val="-1"/>
              </w:rPr>
              <w:t>规定应急状态终止程序；事故现场善后处理，恢复措施；</w:t>
            </w:r>
            <w:r>
              <w:rPr>
                <w:spacing w:val="9"/>
              </w:rPr>
              <w:t>邻近区域解除事故警戒及善后恢复措施</w:t>
            </w:r>
          </w:p>
        </w:tc>
      </w:tr>
      <w:tr>
        <w:trPr>
          <w:trHeight w:val="316" w:hRule="atLeast"/>
        </w:trPr>
        <w:tc>
          <w:tcPr>
            <w:tcW w:w="605" w:type="dxa"/>
            <w:vAlign w:val="top"/>
            <w:tcBorders>
              <w:left w:val="nil"/>
            </w:tcBorders>
          </w:tcPr>
          <w:p>
            <w:pPr>
              <w:ind w:left="221"/>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970" w:type="dxa"/>
            <w:vAlign w:val="top"/>
          </w:tcPr>
          <w:p>
            <w:pPr>
              <w:pStyle w:val="TableText"/>
              <w:ind w:left="865"/>
              <w:spacing w:before="75" w:line="213" w:lineRule="auto"/>
              <w:rPr/>
            </w:pPr>
            <w:r>
              <w:rPr>
                <w:spacing w:val="7"/>
              </w:rPr>
              <w:t>应急培训计划</w:t>
            </w:r>
          </w:p>
        </w:tc>
        <w:tc>
          <w:tcPr>
            <w:tcW w:w="5155" w:type="dxa"/>
            <w:vAlign w:val="top"/>
            <w:tcBorders>
              <w:right w:val="nil"/>
            </w:tcBorders>
          </w:tcPr>
          <w:p>
            <w:pPr>
              <w:pStyle w:val="TableText"/>
              <w:ind w:left="1436"/>
              <w:spacing w:before="75" w:line="213" w:lineRule="auto"/>
              <w:rPr/>
            </w:pPr>
            <w:r>
              <w:rPr>
                <w:spacing w:val="8"/>
              </w:rPr>
              <w:t>人员培训，应急预案演练</w:t>
            </w:r>
          </w:p>
        </w:tc>
      </w:tr>
      <w:tr>
        <w:trPr>
          <w:trHeight w:val="340" w:hRule="atLeast"/>
        </w:trPr>
        <w:tc>
          <w:tcPr>
            <w:tcW w:w="605" w:type="dxa"/>
            <w:vAlign w:val="top"/>
            <w:tcBorders>
              <w:left w:val="nil"/>
              <w:bottom w:val="single" w:color="000000" w:sz="10" w:space="0"/>
            </w:tcBorders>
          </w:tcPr>
          <w:p>
            <w:pPr>
              <w:ind w:left="226"/>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970" w:type="dxa"/>
            <w:vAlign w:val="top"/>
            <w:tcBorders>
              <w:bottom w:val="single" w:color="000000" w:sz="10" w:space="0"/>
            </w:tcBorders>
          </w:tcPr>
          <w:p>
            <w:pPr>
              <w:pStyle w:val="TableText"/>
              <w:ind w:left="764"/>
              <w:spacing w:before="76" w:line="230" w:lineRule="auto"/>
              <w:rPr/>
            </w:pPr>
            <w:r>
              <w:rPr>
                <w:spacing w:val="7"/>
              </w:rPr>
              <w:t>公众教育和信息</w:t>
            </w:r>
          </w:p>
        </w:tc>
        <w:tc>
          <w:tcPr>
            <w:tcW w:w="5155" w:type="dxa"/>
            <w:vAlign w:val="top"/>
            <w:tcBorders>
              <w:right w:val="nil"/>
              <w:bottom w:val="single" w:color="000000" w:sz="10" w:space="0"/>
            </w:tcBorders>
          </w:tcPr>
          <w:p>
            <w:pPr>
              <w:pStyle w:val="TableText"/>
              <w:ind w:left="1646"/>
              <w:spacing w:before="75" w:line="229" w:lineRule="auto"/>
              <w:rPr/>
            </w:pPr>
            <w:r>
              <w:rPr>
                <w:spacing w:val="7"/>
              </w:rPr>
              <w:t>公众教育；信息发布</w:t>
            </w:r>
          </w:p>
        </w:tc>
      </w:tr>
    </w:tbl>
    <w:p>
      <w:pPr>
        <w:pStyle w:val="BodyText"/>
        <w:spacing w:line="251" w:lineRule="auto"/>
        <w:rPr/>
      </w:pPr>
      <w:r/>
    </w:p>
    <w:p>
      <w:pPr>
        <w:pStyle w:val="BodyText"/>
        <w:spacing w:line="251" w:lineRule="auto"/>
        <w:rPr/>
      </w:pPr>
      <w:r/>
    </w:p>
    <w:p>
      <w:pPr>
        <w:ind w:left="31" w:right="413" w:firstLine="478"/>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应急管理建议：建议加强职工及附近公众教育和</w:t>
      </w:r>
      <w:r>
        <w:rPr>
          <w:rFonts w:ascii="FangSong" w:hAnsi="FangSong" w:eastAsia="FangSong" w:cs="FangSong"/>
          <w:sz w:val="24"/>
          <w:szCs w:val="24"/>
          <w:spacing w:val="-4"/>
        </w:rPr>
        <w:t>培训。建议风险事故可能危</w:t>
      </w:r>
      <w:r>
        <w:rPr>
          <w:rFonts w:ascii="FangSong" w:hAnsi="FangSong" w:eastAsia="FangSong" w:cs="FangSong"/>
          <w:sz w:val="24"/>
          <w:szCs w:val="24"/>
          <w:spacing w:val="-3"/>
        </w:rPr>
        <w:t>及社会公众状态时，除通知上一级预案启动外，应采用无线电</w:t>
      </w:r>
      <w:r>
        <w:rPr>
          <w:rFonts w:ascii="FangSong" w:hAnsi="FangSong" w:eastAsia="FangSong" w:cs="FangSong"/>
          <w:sz w:val="24"/>
          <w:szCs w:val="24"/>
          <w:spacing w:val="-4"/>
        </w:rPr>
        <w:t>、和电话等方式发</w:t>
      </w:r>
      <w:r>
        <w:rPr>
          <w:rFonts w:ascii="FangSong" w:hAnsi="FangSong" w:eastAsia="FangSong" w:cs="FangSong"/>
          <w:sz w:val="24"/>
          <w:szCs w:val="24"/>
          <w:spacing w:val="-3"/>
        </w:rPr>
        <w:t>布事故有关信息；建议危及社会公众的事故中止后，采取相应</w:t>
      </w:r>
      <w:r>
        <w:rPr>
          <w:rFonts w:ascii="FangSong" w:hAnsi="FangSong" w:eastAsia="FangSong" w:cs="FangSong"/>
          <w:sz w:val="24"/>
          <w:szCs w:val="24"/>
          <w:spacing w:val="-4"/>
        </w:rPr>
        <w:t>的无线电、电视和</w:t>
      </w:r>
      <w:r>
        <w:rPr>
          <w:rFonts w:ascii="FangSong" w:hAnsi="FangSong" w:eastAsia="FangSong" w:cs="FangSong"/>
          <w:sz w:val="24"/>
          <w:szCs w:val="24"/>
          <w:spacing w:val="-1"/>
        </w:rPr>
        <w:t>电视等方式发布事故应急状态终止有关信息。</w:t>
      </w:r>
    </w:p>
    <w:p>
      <w:pPr>
        <w:ind w:left="23"/>
        <w:spacing w:before="56" w:line="223" w:lineRule="auto"/>
        <w:outlineLvl w:val="1"/>
        <w:rPr>
          <w:rFonts w:ascii="FangSong" w:hAnsi="FangSong" w:eastAsia="FangSong" w:cs="FangSong"/>
          <w:sz w:val="28"/>
          <w:szCs w:val="28"/>
        </w:rPr>
      </w:pPr>
      <w:bookmarkStart w:name="bookmark393" w:id="530"/>
      <w:bookmarkEnd w:id="530"/>
      <w:bookmarkStart w:name="bookmark392" w:id="531"/>
      <w:bookmarkEnd w:id="531"/>
      <w:r>
        <w:rPr>
          <w:rFonts w:ascii="Times New Roman" w:hAnsi="Times New Roman" w:eastAsia="Times New Roman" w:cs="Times New Roman"/>
          <w:sz w:val="28"/>
          <w:szCs w:val="28"/>
          <w:b/>
          <w:bCs/>
          <w:spacing w:val="-2"/>
        </w:rPr>
        <w:t>8.8  </w:t>
      </w:r>
      <w:r>
        <w:rPr>
          <w:rFonts w:ascii="FangSong" w:hAnsi="FangSong" w:eastAsia="FangSong" w:cs="FangSong"/>
          <w:sz w:val="28"/>
          <w:szCs w:val="28"/>
          <w:b/>
          <w:bCs/>
          <w:spacing w:val="-2"/>
        </w:rPr>
        <w:t>环境风险评价结论</w:t>
      </w:r>
    </w:p>
    <w:p>
      <w:pPr>
        <w:ind w:left="29" w:right="413" w:firstLine="481"/>
        <w:spacing w:before="231" w:line="360" w:lineRule="auto"/>
        <w:jc w:val="both"/>
        <w:rPr>
          <w:rFonts w:ascii="FangSong" w:hAnsi="FangSong" w:eastAsia="FangSong" w:cs="FangSong"/>
          <w:sz w:val="24"/>
          <w:szCs w:val="24"/>
        </w:rPr>
      </w:pPr>
      <w:r>
        <w:rPr>
          <w:rFonts w:ascii="FangSong" w:hAnsi="FangSong" w:eastAsia="FangSong" w:cs="FangSong"/>
          <w:sz w:val="24"/>
          <w:szCs w:val="24"/>
          <w:spacing w:val="-2"/>
        </w:rPr>
        <w:t>本项目环境风险潜势为</w:t>
      </w:r>
      <w:r>
        <w:rPr>
          <w:rFonts w:ascii="Times New Roman" w:hAnsi="Times New Roman" w:eastAsia="Times New Roman" w:cs="Times New Roman"/>
          <w:sz w:val="24"/>
          <w:szCs w:val="24"/>
          <w:spacing w:val="-2"/>
        </w:rPr>
        <w:t>Ⅰ</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2"/>
        </w:rPr>
        <w:t>,</w:t>
      </w:r>
      <w:r>
        <w:rPr>
          <w:rFonts w:ascii="FangSong" w:hAnsi="FangSong" w:eastAsia="FangSong" w:cs="FangSong"/>
          <w:sz w:val="24"/>
          <w:szCs w:val="24"/>
          <w:spacing w:val="68"/>
        </w:rPr>
        <w:t xml:space="preserve"> </w:t>
      </w:r>
      <w:r>
        <w:rPr>
          <w:rFonts w:ascii="FangSong" w:hAnsi="FangSong" w:eastAsia="FangSong" w:cs="FangSong"/>
          <w:sz w:val="24"/>
          <w:szCs w:val="24"/>
          <w:spacing w:val="-2"/>
        </w:rPr>
        <w:t>环境风险影响可接受；根据风险识别，本项目生</w:t>
      </w:r>
      <w:r>
        <w:rPr>
          <w:rFonts w:ascii="FangSong" w:hAnsi="FangSong" w:eastAsia="FangSong" w:cs="FangSong"/>
          <w:sz w:val="24"/>
          <w:szCs w:val="24"/>
          <w:spacing w:val="-3"/>
        </w:rPr>
        <w:t>产过程中的主要事故类型有炸药爆炸引起的火灾爆炸等事故、地面塌</w:t>
      </w:r>
      <w:r>
        <w:rPr>
          <w:rFonts w:ascii="FangSong" w:hAnsi="FangSong" w:eastAsia="FangSong" w:cs="FangSong"/>
          <w:sz w:val="24"/>
          <w:szCs w:val="24"/>
          <w:spacing w:val="-4"/>
        </w:rPr>
        <w:t>陷、油类物</w:t>
      </w:r>
      <w:r>
        <w:rPr>
          <w:rFonts w:ascii="FangSong" w:hAnsi="FangSong" w:eastAsia="FangSong" w:cs="FangSong"/>
          <w:sz w:val="24"/>
          <w:szCs w:val="24"/>
          <w:spacing w:val="-3"/>
        </w:rPr>
        <w:t>质泄漏、废水事故排放等。对于本项目所处的区域而言，环境风险管</w:t>
      </w:r>
      <w:r>
        <w:rPr>
          <w:rFonts w:ascii="FangSong" w:hAnsi="FangSong" w:eastAsia="FangSong" w:cs="FangSong"/>
          <w:sz w:val="24"/>
          <w:szCs w:val="24"/>
          <w:spacing w:val="-4"/>
        </w:rPr>
        <w:t>理及应急预</w:t>
      </w:r>
      <w:r>
        <w:rPr>
          <w:rFonts w:ascii="FangSong" w:hAnsi="FangSong" w:eastAsia="FangSong" w:cs="FangSong"/>
          <w:sz w:val="24"/>
          <w:szCs w:val="24"/>
          <w:spacing w:val="-3"/>
        </w:rPr>
        <w:t>案是本项目重点，本项目经过采取工程措施及风险应急预案，基本可</w:t>
      </w:r>
      <w:r>
        <w:rPr>
          <w:rFonts w:ascii="FangSong" w:hAnsi="FangSong" w:eastAsia="FangSong" w:cs="FangSong"/>
          <w:sz w:val="24"/>
          <w:szCs w:val="24"/>
          <w:spacing w:val="-4"/>
        </w:rPr>
        <w:t>将本项目产</w:t>
      </w:r>
      <w:r>
        <w:rPr>
          <w:rFonts w:ascii="FangSong" w:hAnsi="FangSong" w:eastAsia="FangSong" w:cs="FangSong"/>
          <w:sz w:val="24"/>
          <w:szCs w:val="24"/>
          <w:spacing w:val="-3"/>
        </w:rPr>
        <w:t>生的环境风险减至减至最低限度。因此，建设单位在采取十分严格的</w:t>
      </w:r>
      <w:r>
        <w:rPr>
          <w:rFonts w:ascii="FangSong" w:hAnsi="FangSong" w:eastAsia="FangSong" w:cs="FangSong"/>
          <w:sz w:val="24"/>
          <w:szCs w:val="24"/>
          <w:spacing w:val="-4"/>
        </w:rPr>
        <w:t>防洪排水措</w:t>
      </w:r>
      <w:r>
        <w:rPr>
          <w:rFonts w:ascii="FangSong" w:hAnsi="FangSong" w:eastAsia="FangSong" w:cs="FangSong"/>
          <w:sz w:val="24"/>
          <w:szCs w:val="24"/>
          <w:spacing w:val="-3"/>
        </w:rPr>
        <w:t>施及风险防范措施，及采取有效的风险应急预案后，可使本项目对环</w:t>
      </w:r>
      <w:r>
        <w:rPr>
          <w:rFonts w:ascii="FangSong" w:hAnsi="FangSong" w:eastAsia="FangSong" w:cs="FangSong"/>
          <w:sz w:val="24"/>
          <w:szCs w:val="24"/>
          <w:spacing w:val="-4"/>
        </w:rPr>
        <w:t>境的影响降</w:t>
      </w:r>
      <w:r>
        <w:rPr>
          <w:rFonts w:ascii="FangSong" w:hAnsi="FangSong" w:eastAsia="FangSong" w:cs="FangSong"/>
          <w:sz w:val="24"/>
          <w:szCs w:val="24"/>
          <w:spacing w:val="-1"/>
        </w:rPr>
        <w:t>至最低，基本可为环境所接受。其结论分析见表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1"/>
        </w:rPr>
        <w:t>8</w:t>
      </w:r>
      <w:r>
        <w:rPr>
          <w:rFonts w:ascii="Times New Roman" w:hAnsi="Times New Roman" w:eastAsia="Times New Roman" w:cs="Times New Roman"/>
          <w:sz w:val="24"/>
          <w:szCs w:val="24"/>
          <w:spacing w:val="-2"/>
        </w:rPr>
        <w:t>.8-1</w:t>
      </w:r>
      <w:r>
        <w:rPr>
          <w:rFonts w:ascii="FangSong" w:hAnsi="FangSong" w:eastAsia="FangSong" w:cs="FangSong"/>
          <w:sz w:val="24"/>
          <w:szCs w:val="24"/>
          <w:spacing w:val="-2"/>
        </w:rPr>
        <w:t>。</w:t>
      </w:r>
    </w:p>
    <w:p>
      <w:pPr>
        <w:spacing w:line="360" w:lineRule="auto"/>
        <w:sectPr>
          <w:footerReference w:type="default" r:id="rId379"/>
          <w:pgSz w:w="11906" w:h="16839"/>
          <w:pgMar w:top="400" w:right="1385"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009"/>
        <w:spacing w:before="78" w:line="221" w:lineRule="auto"/>
        <w:rPr>
          <w:rFonts w:ascii="FangSong" w:hAnsi="FangSong" w:eastAsia="FangSong" w:cs="FangSong"/>
          <w:sz w:val="24"/>
          <w:szCs w:val="24"/>
        </w:rPr>
      </w:pPr>
      <w:bookmarkStart w:name="bookmark630" w:id="532"/>
      <w:bookmarkEnd w:id="532"/>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8.8-1  </w:t>
      </w:r>
      <w:r>
        <w:rPr>
          <w:rFonts w:ascii="FangSong" w:hAnsi="FangSong" w:eastAsia="FangSong" w:cs="FangSong"/>
          <w:sz w:val="24"/>
          <w:szCs w:val="24"/>
          <w:b/>
          <w:bCs/>
          <w:spacing w:val="-3"/>
        </w:rPr>
        <w:t>建设项目环境风险简单分析内容表</w:t>
      </w:r>
    </w:p>
    <w:p>
      <w:pPr>
        <w:spacing w:line="66" w:lineRule="exact"/>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7"/>
        <w:gridCol w:w="6692"/>
      </w:tblGrid>
      <w:tr>
        <w:trPr>
          <w:trHeight w:val="631" w:hRule="atLeast"/>
        </w:trPr>
        <w:tc>
          <w:tcPr>
            <w:tcW w:w="1827" w:type="dxa"/>
            <w:vAlign w:val="top"/>
            <w:tcBorders>
              <w:left w:val="nil"/>
              <w:top w:val="single" w:color="000000" w:sz="10" w:space="0"/>
            </w:tcBorders>
          </w:tcPr>
          <w:p>
            <w:pPr>
              <w:pStyle w:val="TableText"/>
              <w:ind w:left="296"/>
              <w:spacing w:before="212" w:line="229" w:lineRule="auto"/>
              <w:rPr/>
            </w:pPr>
            <w:r>
              <w:rPr>
                <w:spacing w:val="7"/>
              </w:rPr>
              <w:t>建设项目名称</w:t>
            </w:r>
          </w:p>
        </w:tc>
        <w:tc>
          <w:tcPr>
            <w:tcW w:w="6692" w:type="dxa"/>
            <w:vAlign w:val="top"/>
            <w:tcBorders>
              <w:right w:val="nil"/>
              <w:top w:val="single" w:color="000000" w:sz="10" w:space="0"/>
            </w:tcBorders>
          </w:tcPr>
          <w:p>
            <w:pPr>
              <w:pStyle w:val="TableText"/>
              <w:ind w:left="213"/>
              <w:spacing w:before="55" w:line="231" w:lineRule="auto"/>
              <w:rPr/>
            </w:pPr>
            <w:r>
              <w:rPr>
                <w:spacing w:val="9"/>
              </w:rPr>
              <w:t>苏尼特右旗富邦矿业有限公司苏尼特右旗桑宝力嘎额尔登塔拉萤石矿</w:t>
            </w:r>
          </w:p>
          <w:p>
            <w:pPr>
              <w:pStyle w:val="TableText"/>
              <w:ind w:left="2553"/>
              <w:spacing w:before="61" w:line="231" w:lineRule="auto"/>
              <w:rPr/>
            </w:pPr>
            <w:r>
              <w:rPr>
                <w:rFonts w:ascii="Times New Roman" w:hAnsi="Times New Roman" w:eastAsia="Times New Roman" w:cs="Times New Roman"/>
              </w:rPr>
              <w:t>10</w:t>
            </w:r>
            <w:r>
              <w:rPr>
                <w:rFonts w:ascii="Times New Roman" w:hAnsi="Times New Roman" w:eastAsia="Times New Roman" w:cs="Times New Roman"/>
                <w:spacing w:val="23"/>
              </w:rPr>
              <w:t xml:space="preserve"> </w:t>
            </w:r>
            <w:r>
              <w:rPr/>
              <w:t>万</w:t>
            </w:r>
            <w:r>
              <w:rPr>
                <w:spacing w:val="-43"/>
              </w:rPr>
              <w:t xml:space="preserve"> </w:t>
            </w:r>
            <w:r>
              <w:rPr>
                <w:rFonts w:ascii="Times New Roman" w:hAnsi="Times New Roman" w:eastAsia="Times New Roman" w:cs="Times New Roman"/>
              </w:rPr>
              <w:t>t/a</w:t>
            </w:r>
            <w:r>
              <w:rPr>
                <w:rFonts w:ascii="Times New Roman" w:hAnsi="Times New Roman" w:eastAsia="Times New Roman" w:cs="Times New Roman"/>
                <w:spacing w:val="19"/>
                <w:w w:val="101"/>
              </w:rPr>
              <w:t xml:space="preserve"> </w:t>
            </w:r>
            <w:r>
              <w:rPr/>
              <w:t>采选项目</w:t>
            </w:r>
          </w:p>
        </w:tc>
      </w:tr>
      <w:tr>
        <w:trPr>
          <w:trHeight w:val="316" w:hRule="atLeast"/>
        </w:trPr>
        <w:tc>
          <w:tcPr>
            <w:tcW w:w="1827" w:type="dxa"/>
            <w:vAlign w:val="top"/>
            <w:tcBorders>
              <w:left w:val="nil"/>
            </w:tcBorders>
          </w:tcPr>
          <w:p>
            <w:pPr>
              <w:pStyle w:val="TableText"/>
              <w:ind w:left="505"/>
              <w:spacing w:before="53" w:line="232" w:lineRule="auto"/>
              <w:rPr/>
            </w:pPr>
            <w:r>
              <w:rPr>
                <w:spacing w:val="5"/>
              </w:rPr>
              <w:t>建设地点</w:t>
            </w:r>
          </w:p>
        </w:tc>
        <w:tc>
          <w:tcPr>
            <w:tcW w:w="6692" w:type="dxa"/>
            <w:vAlign w:val="top"/>
            <w:tcBorders>
              <w:right w:val="nil"/>
            </w:tcBorders>
          </w:tcPr>
          <w:p>
            <w:pPr>
              <w:pStyle w:val="TableText"/>
              <w:ind w:left="630"/>
              <w:spacing w:before="53" w:line="228" w:lineRule="auto"/>
              <w:rPr/>
            </w:pPr>
            <w:r>
              <w:rPr>
                <w:spacing w:val="7"/>
              </w:rPr>
              <w:t>苏尼特右旗旗政府所在地赛汉塔拉镇</w:t>
            </w:r>
            <w:r>
              <w:rPr>
                <w:spacing w:val="-43"/>
              </w:rPr>
              <w:t xml:space="preserve"> </w:t>
            </w:r>
            <w:r>
              <w:rPr>
                <w:rFonts w:ascii="Times New Roman" w:hAnsi="Times New Roman" w:eastAsia="Times New Roman" w:cs="Times New Roman"/>
                <w:spacing w:val="7"/>
              </w:rPr>
              <w:t>25</w:t>
            </w:r>
            <w:r>
              <w:rPr>
                <w:rFonts w:ascii="Times New Roman" w:hAnsi="Times New Roman" w:eastAsia="Times New Roman" w:cs="Times New Roman"/>
                <w:spacing w:val="-21"/>
              </w:rPr>
              <w:t xml:space="preserve"> </w:t>
            </w:r>
            <w:r>
              <w:rPr>
                <w:spacing w:val="7"/>
              </w:rPr>
              <w:t>°方位直距</w:t>
            </w:r>
            <w:r>
              <w:rPr>
                <w:spacing w:val="-42"/>
              </w:rPr>
              <w:t xml:space="preserve"> </w:t>
            </w:r>
            <w:r>
              <w:rPr>
                <w:rFonts w:ascii="Times New Roman" w:hAnsi="Times New Roman" w:eastAsia="Times New Roman" w:cs="Times New Roman"/>
                <w:spacing w:val="6"/>
              </w:rPr>
              <w:t>40</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6"/>
              </w:rPr>
              <w:t>处</w:t>
            </w:r>
          </w:p>
        </w:tc>
      </w:tr>
      <w:tr>
        <w:trPr>
          <w:trHeight w:val="627" w:hRule="atLeast"/>
        </w:trPr>
        <w:tc>
          <w:tcPr>
            <w:tcW w:w="1827" w:type="dxa"/>
            <w:vAlign w:val="top"/>
            <w:tcBorders>
              <w:left w:val="nil"/>
            </w:tcBorders>
          </w:tcPr>
          <w:p>
            <w:pPr>
              <w:pStyle w:val="TableText"/>
              <w:ind w:left="506"/>
              <w:spacing w:before="212" w:line="231" w:lineRule="auto"/>
              <w:rPr/>
            </w:pPr>
            <w:r>
              <w:rPr>
                <w:spacing w:val="5"/>
              </w:rPr>
              <w:t>地理坐标</w:t>
            </w:r>
          </w:p>
        </w:tc>
        <w:tc>
          <w:tcPr>
            <w:tcW w:w="6692" w:type="dxa"/>
            <w:vAlign w:val="top"/>
            <w:tcBorders>
              <w:right w:val="nil"/>
            </w:tcBorders>
          </w:tcPr>
          <w:p>
            <w:pPr>
              <w:pStyle w:val="TableText"/>
              <w:ind w:left="118"/>
              <w:spacing w:before="56" w:line="231" w:lineRule="auto"/>
              <w:rPr/>
            </w:pPr>
            <w:r>
              <w:rPr/>
              <w:t>矿区地理坐标（</w:t>
            </w:r>
            <w:r>
              <w:rPr>
                <w:rFonts w:ascii="Times New Roman" w:hAnsi="Times New Roman" w:eastAsia="Times New Roman" w:cs="Times New Roman"/>
              </w:rPr>
              <w:t>2000</w:t>
            </w:r>
            <w:r>
              <w:rPr>
                <w:rFonts w:ascii="Times New Roman" w:hAnsi="Times New Roman" w:eastAsia="Times New Roman" w:cs="Times New Roman"/>
                <w:spacing w:val="42"/>
              </w:rPr>
              <w:t xml:space="preserve"> </w:t>
            </w:r>
            <w:r>
              <w:rPr/>
              <w:t>国家大地坐标系）为：东经：</w:t>
            </w:r>
            <w:r>
              <w:rPr>
                <w:rFonts w:ascii="Times New Roman" w:hAnsi="Times New Roman" w:eastAsia="Times New Roman" w:cs="Times New Roman"/>
              </w:rPr>
              <w:t>112</w:t>
            </w:r>
            <w:r>
              <w:rPr>
                <w:rFonts w:ascii="Times New Roman" w:hAnsi="Times New Roman" w:eastAsia="Times New Roman" w:cs="Times New Roman"/>
                <w:spacing w:val="-24"/>
              </w:rPr>
              <w:t xml:space="preserve"> </w:t>
            </w:r>
            <w:r>
              <w:rPr/>
              <w:t>°</w:t>
            </w:r>
            <w:r>
              <w:rPr>
                <w:rFonts w:ascii="Times New Roman" w:hAnsi="Times New Roman" w:eastAsia="Times New Roman" w:cs="Times New Roman"/>
              </w:rPr>
              <w:t>52</w:t>
            </w:r>
            <w:r>
              <w:rPr>
                <w:rFonts w:ascii="Times New Roman" w:hAnsi="Times New Roman" w:eastAsia="Times New Roman" w:cs="Times New Roman"/>
                <w:spacing w:val="-13"/>
              </w:rPr>
              <w:t xml:space="preserve"> </w:t>
            </w:r>
            <w:r>
              <w:rPr/>
              <w:t>′</w:t>
            </w:r>
            <w:r>
              <w:rPr>
                <w:rFonts w:ascii="Times New Roman" w:hAnsi="Times New Roman" w:eastAsia="Times New Roman" w:cs="Times New Roman"/>
              </w:rPr>
              <w:t>01</w:t>
            </w:r>
            <w:r>
              <w:rPr>
                <w:rFonts w:ascii="Times New Roman" w:hAnsi="Times New Roman" w:eastAsia="Times New Roman" w:cs="Times New Roman"/>
                <w:spacing w:val="-13"/>
              </w:rPr>
              <w:t xml:space="preserve"> </w:t>
            </w:r>
            <w:r>
              <w:rPr>
                <w:spacing w:val="-1"/>
              </w:rPr>
              <w:t>″</w:t>
            </w:r>
            <w:r>
              <w:rPr>
                <w:rFonts w:ascii="Times New Roman" w:hAnsi="Times New Roman" w:eastAsia="Times New Roman" w:cs="Times New Roman"/>
                <w:spacing w:val="-1"/>
              </w:rPr>
              <w:t>-112</w:t>
            </w:r>
            <w:r>
              <w:rPr>
                <w:rFonts w:ascii="Times New Roman" w:hAnsi="Times New Roman" w:eastAsia="Times New Roman" w:cs="Times New Roman"/>
                <w:spacing w:val="-24"/>
              </w:rPr>
              <w:t xml:space="preserve"> </w:t>
            </w:r>
            <w:r>
              <w:rPr>
                <w:spacing w:val="-1"/>
              </w:rPr>
              <w:t>°</w:t>
            </w:r>
          </w:p>
          <w:p>
            <w:pPr>
              <w:pStyle w:val="TableText"/>
              <w:ind w:left="1221"/>
              <w:spacing w:before="62" w:line="229" w:lineRule="auto"/>
              <w:rPr/>
            </w:pPr>
            <w:r>
              <w:rPr>
                <w:rFonts w:ascii="Times New Roman" w:hAnsi="Times New Roman" w:eastAsia="Times New Roman" w:cs="Times New Roman"/>
                <w:spacing w:val="-5"/>
              </w:rPr>
              <w:t>56</w:t>
            </w:r>
            <w:r>
              <w:rPr>
                <w:rFonts w:ascii="Times New Roman" w:hAnsi="Times New Roman" w:eastAsia="Times New Roman" w:cs="Times New Roman"/>
                <w:spacing w:val="5"/>
              </w:rPr>
              <w:t xml:space="preserve"> </w:t>
            </w:r>
            <w:r>
              <w:rPr>
                <w:spacing w:val="-5"/>
              </w:rPr>
              <w:t>′</w:t>
            </w:r>
            <w:r>
              <w:rPr>
                <w:spacing w:val="-76"/>
              </w:rPr>
              <w:t xml:space="preserve"> </w:t>
            </w:r>
            <w:r>
              <w:rPr>
                <w:rFonts w:ascii="Times New Roman" w:hAnsi="Times New Roman" w:eastAsia="Times New Roman" w:cs="Times New Roman"/>
                <w:spacing w:val="-5"/>
              </w:rPr>
              <w:t>11</w:t>
            </w:r>
            <w:r>
              <w:rPr>
                <w:rFonts w:ascii="Times New Roman" w:hAnsi="Times New Roman" w:eastAsia="Times New Roman" w:cs="Times New Roman"/>
                <w:spacing w:val="-13"/>
              </w:rPr>
              <w:t xml:space="preserve"> </w:t>
            </w:r>
            <w:r>
              <w:rPr>
                <w:spacing w:val="-5"/>
              </w:rPr>
              <w:t>″</w:t>
            </w:r>
            <w:r>
              <w:rPr>
                <w:spacing w:val="-72"/>
              </w:rPr>
              <w:t xml:space="preserve"> </w:t>
            </w:r>
            <w:r>
              <w:rPr>
                <w:spacing w:val="-5"/>
              </w:rPr>
              <w:t>，北纬：</w:t>
            </w:r>
            <w:r>
              <w:rPr>
                <w:rFonts w:ascii="Times New Roman" w:hAnsi="Times New Roman" w:eastAsia="Times New Roman" w:cs="Times New Roman"/>
                <w:spacing w:val="-5"/>
              </w:rPr>
              <w:t>42</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59</w:t>
            </w:r>
            <w:r>
              <w:rPr>
                <w:rFonts w:ascii="Times New Roman" w:hAnsi="Times New Roman" w:eastAsia="Times New Roman" w:cs="Times New Roman"/>
                <w:spacing w:val="-11"/>
              </w:rPr>
              <w:t xml:space="preserve"> </w:t>
            </w:r>
            <w:r>
              <w:rPr>
                <w:spacing w:val="-5"/>
              </w:rPr>
              <w:t>′</w:t>
            </w:r>
            <w:r>
              <w:rPr>
                <w:rFonts w:ascii="Times New Roman" w:hAnsi="Times New Roman" w:eastAsia="Times New Roman" w:cs="Times New Roman"/>
                <w:spacing w:val="-5"/>
              </w:rPr>
              <w:t>53</w:t>
            </w:r>
            <w:r>
              <w:rPr>
                <w:rFonts w:ascii="Times New Roman" w:hAnsi="Times New Roman" w:eastAsia="Times New Roman" w:cs="Times New Roman"/>
                <w:spacing w:val="-10"/>
              </w:rPr>
              <w:t xml:space="preserve"> </w:t>
            </w:r>
            <w:r>
              <w:rPr>
                <w:spacing w:val="-5"/>
              </w:rPr>
              <w:t>″</w:t>
            </w:r>
            <w:r>
              <w:rPr>
                <w:rFonts w:ascii="Times New Roman" w:hAnsi="Times New Roman" w:eastAsia="Times New Roman" w:cs="Times New Roman"/>
                <w:spacing w:val="-5"/>
              </w:rPr>
              <w:t>-43</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02</w:t>
            </w:r>
            <w:r>
              <w:rPr>
                <w:rFonts w:ascii="Times New Roman" w:hAnsi="Times New Roman" w:eastAsia="Times New Roman" w:cs="Times New Roman"/>
                <w:spacing w:val="-12"/>
              </w:rPr>
              <w:t xml:space="preserve"> </w:t>
            </w:r>
            <w:r>
              <w:rPr>
                <w:spacing w:val="-5"/>
              </w:rPr>
              <w:t>′</w:t>
            </w:r>
            <w:r>
              <w:rPr>
                <w:rFonts w:ascii="Times New Roman" w:hAnsi="Times New Roman" w:eastAsia="Times New Roman" w:cs="Times New Roman"/>
                <w:spacing w:val="-5"/>
              </w:rPr>
              <w:t>49</w:t>
            </w:r>
            <w:r>
              <w:rPr>
                <w:rFonts w:ascii="Times New Roman" w:hAnsi="Times New Roman" w:eastAsia="Times New Roman" w:cs="Times New Roman"/>
                <w:spacing w:val="-10"/>
              </w:rPr>
              <w:t xml:space="preserve"> </w:t>
            </w:r>
            <w:r>
              <w:rPr>
                <w:spacing w:val="-5"/>
              </w:rPr>
              <w:t>″</w:t>
            </w:r>
          </w:p>
        </w:tc>
      </w:tr>
      <w:tr>
        <w:trPr>
          <w:trHeight w:val="938" w:hRule="atLeast"/>
        </w:trPr>
        <w:tc>
          <w:tcPr>
            <w:tcW w:w="1827" w:type="dxa"/>
            <w:vAlign w:val="top"/>
            <w:tcBorders>
              <w:left w:val="nil"/>
            </w:tcBorders>
          </w:tcPr>
          <w:p>
            <w:pPr>
              <w:pStyle w:val="TableText"/>
              <w:ind w:left="719" w:right="177" w:hanging="522"/>
              <w:spacing w:before="214" w:line="287" w:lineRule="auto"/>
              <w:rPr/>
            </w:pPr>
            <w:r>
              <w:rPr>
                <w:spacing w:val="7"/>
              </w:rPr>
              <w:t>主要危险物质及</w:t>
            </w:r>
            <w:r>
              <w:rPr/>
              <w:t>分布</w:t>
            </w:r>
          </w:p>
        </w:tc>
        <w:tc>
          <w:tcPr>
            <w:tcW w:w="6692" w:type="dxa"/>
            <w:vAlign w:val="top"/>
            <w:tcBorders>
              <w:right w:val="nil"/>
            </w:tcBorders>
          </w:tcPr>
          <w:p>
            <w:pPr>
              <w:pStyle w:val="TableText"/>
              <w:ind w:left="130" w:right="109" w:firstLine="414"/>
              <w:spacing w:before="57" w:line="288" w:lineRule="auto"/>
              <w:rPr/>
            </w:pPr>
            <w:r>
              <w:rPr>
                <w:spacing w:val="8"/>
              </w:rPr>
              <w:t>主要危险物质：柴油、润滑油、废机油及矿石开采使用的炸药、雷</w:t>
            </w:r>
            <w:r>
              <w:rPr>
                <w:spacing w:val="-9"/>
              </w:rPr>
              <w:t>管；</w:t>
            </w:r>
          </w:p>
          <w:p>
            <w:pPr>
              <w:pStyle w:val="TableText"/>
              <w:ind w:left="543"/>
              <w:spacing w:line="227" w:lineRule="auto"/>
              <w:rPr/>
            </w:pPr>
            <w:r>
              <w:rPr>
                <w:spacing w:val="8"/>
              </w:rPr>
              <w:t>危险物质分布：机修间、危险废物贮存点、炸药库；</w:t>
            </w:r>
          </w:p>
        </w:tc>
      </w:tr>
      <w:tr>
        <w:trPr>
          <w:trHeight w:val="1249" w:hRule="atLeast"/>
        </w:trPr>
        <w:tc>
          <w:tcPr>
            <w:tcW w:w="1827" w:type="dxa"/>
            <w:vAlign w:val="top"/>
            <w:tcBorders>
              <w:left w:val="nil"/>
            </w:tcBorders>
          </w:tcPr>
          <w:p>
            <w:pPr>
              <w:pStyle w:val="TableText"/>
              <w:ind w:left="191"/>
              <w:spacing w:before="60" w:line="231" w:lineRule="auto"/>
              <w:rPr/>
            </w:pPr>
            <w:r>
              <w:rPr>
                <w:spacing w:val="7"/>
              </w:rPr>
              <w:t>环境影响途径及</w:t>
            </w:r>
          </w:p>
          <w:p>
            <w:pPr>
              <w:pStyle w:val="TableText"/>
              <w:ind w:left="126"/>
              <w:spacing w:before="61" w:line="231" w:lineRule="auto"/>
              <w:rPr/>
            </w:pPr>
            <w:r>
              <w:rPr>
                <w:spacing w:val="5"/>
              </w:rPr>
              <w:t>危害后果（大气、</w:t>
            </w:r>
          </w:p>
          <w:p>
            <w:pPr>
              <w:pStyle w:val="TableText"/>
              <w:ind w:left="192"/>
              <w:spacing w:before="61" w:line="231" w:lineRule="auto"/>
              <w:rPr/>
            </w:pPr>
            <w:r>
              <w:rPr>
                <w:spacing w:val="7"/>
              </w:rPr>
              <w:t>地表水、地下水</w:t>
            </w:r>
          </w:p>
          <w:p>
            <w:pPr>
              <w:pStyle w:val="TableText"/>
              <w:ind w:left="724"/>
              <w:spacing w:before="61" w:line="224" w:lineRule="auto"/>
              <w:rPr/>
            </w:pPr>
            <w:r>
              <w:rPr>
                <w:spacing w:val="-7"/>
              </w:rPr>
              <w:t>等）</w:t>
            </w:r>
          </w:p>
        </w:tc>
        <w:tc>
          <w:tcPr>
            <w:tcW w:w="6692" w:type="dxa"/>
            <w:vAlign w:val="top"/>
            <w:tcBorders>
              <w:right w:val="nil"/>
            </w:tcBorders>
          </w:tcPr>
          <w:p>
            <w:pPr>
              <w:pStyle w:val="TableText"/>
              <w:ind w:left="122" w:right="109" w:firstLine="420"/>
              <w:spacing w:before="217" w:line="288" w:lineRule="auto"/>
              <w:jc w:val="both"/>
              <w:rPr/>
            </w:pPr>
            <w:r>
              <w:rPr>
                <w:spacing w:val="8"/>
              </w:rPr>
              <w:t>油类物质泄漏事故、炸药引起的火灾和爆炸、废水事故排放、采空</w:t>
            </w:r>
            <w:r>
              <w:rPr>
                <w:spacing w:val="8"/>
              </w:rPr>
              <w:t>区地面塌陷破坏土地资源及植被等生态问题；废水事故排放对周围环境</w:t>
            </w:r>
            <w:r>
              <w:rPr>
                <w:spacing w:val="3"/>
              </w:rPr>
              <w:t>污染影响；</w:t>
            </w:r>
          </w:p>
        </w:tc>
      </w:tr>
      <w:tr>
        <w:trPr>
          <w:trHeight w:val="3760" w:hRule="atLeast"/>
        </w:trPr>
        <w:tc>
          <w:tcPr>
            <w:tcW w:w="1827" w:type="dxa"/>
            <w:vAlign w:val="top"/>
            <w:tcBorders>
              <w:left w:val="nil"/>
              <w:bottom w:val="single" w:color="000000" w:sz="10"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828" w:right="177" w:hanging="635"/>
              <w:spacing w:before="65" w:line="288" w:lineRule="auto"/>
              <w:rPr/>
            </w:pPr>
            <w:r>
              <w:rPr>
                <w:spacing w:val="7"/>
              </w:rPr>
              <w:t>风险防范措施要</w:t>
            </w:r>
            <w:r>
              <w:rPr/>
              <w:t>求</w:t>
            </w:r>
          </w:p>
        </w:tc>
        <w:tc>
          <w:tcPr>
            <w:tcW w:w="6692" w:type="dxa"/>
            <w:vAlign w:val="top"/>
            <w:tcBorders>
              <w:right w:val="nil"/>
              <w:bottom w:val="single" w:color="000000" w:sz="10" w:space="0"/>
            </w:tcBorders>
          </w:tcPr>
          <w:p>
            <w:pPr>
              <w:pStyle w:val="TableText"/>
              <w:ind w:left="130" w:right="109" w:firstLine="413"/>
              <w:spacing w:before="64" w:line="259" w:lineRule="auto"/>
              <w:rPr/>
            </w:pPr>
            <w:r>
              <w:rPr>
                <w:spacing w:val="10"/>
              </w:rPr>
              <w:t>（</w:t>
            </w:r>
            <w:r>
              <w:rPr>
                <w:rFonts w:ascii="Times New Roman" w:hAnsi="Times New Roman" w:eastAsia="Times New Roman" w:cs="Times New Roman"/>
                <w:spacing w:val="10"/>
              </w:rPr>
              <w:t>1</w:t>
            </w:r>
            <w:r>
              <w:rPr>
                <w:spacing w:val="10"/>
              </w:rPr>
              <w:t>）设置火警报警系统。设置双回路电源及备用电源，</w:t>
            </w:r>
            <w:r>
              <w:rPr>
                <w:spacing w:val="-55"/>
              </w:rPr>
              <w:t xml:space="preserve"> </w:t>
            </w:r>
            <w:r>
              <w:rPr>
                <w:spacing w:val="10"/>
              </w:rPr>
              <w:t>以保证正</w:t>
            </w:r>
            <w:r>
              <w:rPr>
                <w:spacing w:val="5"/>
              </w:rPr>
              <w:t>常生产和事故应急；</w:t>
            </w:r>
          </w:p>
          <w:p>
            <w:pPr>
              <w:pStyle w:val="TableText"/>
              <w:ind w:left="118" w:right="109" w:firstLine="424"/>
              <w:spacing w:before="62" w:line="259" w:lineRule="auto"/>
              <w:rPr/>
            </w:pPr>
            <w:r>
              <w:rPr>
                <w:spacing w:val="11"/>
              </w:rPr>
              <w:t>（</w:t>
            </w:r>
            <w:r>
              <w:rPr>
                <w:rFonts w:ascii="Times New Roman" w:hAnsi="Times New Roman" w:eastAsia="Times New Roman" w:cs="Times New Roman"/>
                <w:spacing w:val="11"/>
              </w:rPr>
              <w:t>2</w:t>
            </w:r>
            <w:r>
              <w:rPr>
                <w:spacing w:val="11"/>
              </w:rPr>
              <w:t>）安装消防管道设施，配备干粉灭火器、二氧化碳灭火器、正</w:t>
            </w:r>
            <w:r>
              <w:rPr>
                <w:spacing w:val="6"/>
              </w:rPr>
              <w:t>压式防毒面具等；</w:t>
            </w:r>
          </w:p>
          <w:p>
            <w:pPr>
              <w:pStyle w:val="TableText"/>
              <w:ind w:left="124" w:right="109" w:firstLine="418"/>
              <w:spacing w:before="62" w:line="258" w:lineRule="auto"/>
              <w:rPr/>
            </w:pPr>
            <w:r>
              <w:rPr>
                <w:spacing w:val="11"/>
              </w:rPr>
              <w:t>（</w:t>
            </w:r>
            <w:r>
              <w:rPr>
                <w:rFonts w:ascii="Times New Roman" w:hAnsi="Times New Roman" w:eastAsia="Times New Roman" w:cs="Times New Roman"/>
                <w:spacing w:val="11"/>
              </w:rPr>
              <w:t>3</w:t>
            </w:r>
            <w:r>
              <w:rPr>
                <w:spacing w:val="11"/>
              </w:rPr>
              <w:t>）各类油料限量储存，油料储存区、危险废物贮存点地面及裙</w:t>
            </w:r>
            <w:r>
              <w:rPr>
                <w:spacing w:val="5"/>
              </w:rPr>
              <w:t>角作防渗处理；</w:t>
            </w:r>
          </w:p>
          <w:p>
            <w:pPr>
              <w:pStyle w:val="TableText"/>
              <w:ind w:left="119" w:right="109" w:firstLine="423"/>
              <w:spacing w:before="63" w:line="274" w:lineRule="auto"/>
              <w:rPr/>
            </w:pPr>
            <w:r>
              <w:rPr>
                <w:spacing w:val="11"/>
              </w:rPr>
              <w:t>（</w:t>
            </w:r>
            <w:r>
              <w:rPr>
                <w:rFonts w:ascii="Times New Roman" w:hAnsi="Times New Roman" w:eastAsia="Times New Roman" w:cs="Times New Roman"/>
                <w:spacing w:val="11"/>
              </w:rPr>
              <w:t>4</w:t>
            </w:r>
            <w:r>
              <w:rPr>
                <w:spacing w:val="11"/>
              </w:rPr>
              <w:t>）严格落实危险废物安全处理制度，及时委托相关有资质的危</w:t>
            </w:r>
            <w:r>
              <w:rPr>
                <w:spacing w:val="8"/>
              </w:rPr>
              <w:t>险废物处理单位清运处理危险废物，必须确保各类危险废物实现无害化</w:t>
            </w:r>
            <w:r>
              <w:rPr>
                <w:spacing w:val="8"/>
              </w:rPr>
              <w:t>处置。建危险废物暂存间，并按相关要求采取防渗、防腐、防雨和防流</w:t>
            </w:r>
            <w:r>
              <w:rPr>
                <w:spacing w:val="3"/>
              </w:rPr>
              <w:t>失措施；</w:t>
            </w:r>
          </w:p>
          <w:p>
            <w:pPr>
              <w:pStyle w:val="TableText"/>
              <w:ind w:left="120" w:right="109" w:firstLine="422"/>
              <w:spacing w:before="63" w:line="258" w:lineRule="auto"/>
              <w:rPr/>
            </w:pPr>
            <w:r>
              <w:rPr>
                <w:spacing w:val="11"/>
              </w:rPr>
              <w:t>（</w:t>
            </w:r>
            <w:r>
              <w:rPr>
                <w:rFonts w:ascii="Times New Roman" w:hAnsi="Times New Roman" w:eastAsia="Times New Roman" w:cs="Times New Roman"/>
                <w:spacing w:val="11"/>
              </w:rPr>
              <w:t>5</w:t>
            </w:r>
            <w:r>
              <w:rPr>
                <w:spacing w:val="11"/>
              </w:rPr>
              <w:t>）应急预案及管理措施建设；加强安全管理，制定严格的岗位</w:t>
            </w:r>
            <w:r>
              <w:rPr>
                <w:spacing w:val="8"/>
              </w:rPr>
              <w:t>责任制度，安全操作注意事项等制度。</w:t>
            </w:r>
          </w:p>
        </w:tc>
      </w:tr>
    </w:tbl>
    <w:p>
      <w:pPr>
        <w:pStyle w:val="BodyText"/>
        <w:rPr/>
      </w:pPr>
      <w:r/>
    </w:p>
    <w:p>
      <w:pPr>
        <w:sectPr>
          <w:footerReference w:type="default" r:id="rId380"/>
          <w:pgSz w:w="11906" w:h="16839"/>
          <w:pgMar w:top="400" w:right="1695" w:bottom="1358" w:left="1691" w:header="0" w:footer="1195" w:gutter="0"/>
        </w:sectPr>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117"/>
        <w:spacing w:before="97" w:line="220" w:lineRule="auto"/>
        <w:outlineLvl w:val="0"/>
        <w:rPr>
          <w:rFonts w:ascii="FangSong" w:hAnsi="FangSong" w:eastAsia="FangSong" w:cs="FangSong"/>
          <w:sz w:val="30"/>
          <w:szCs w:val="30"/>
        </w:rPr>
      </w:pPr>
      <w:bookmarkStart w:name="bookmark395" w:id="533"/>
      <w:bookmarkEnd w:id="533"/>
      <w:bookmarkStart w:name="bookmark397" w:id="534"/>
      <w:bookmarkEnd w:id="534"/>
      <w:bookmarkStart w:name="bookmark394" w:id="535"/>
      <w:bookmarkEnd w:id="535"/>
      <w:bookmarkStart w:name="bookmark396" w:id="536"/>
      <w:bookmarkEnd w:id="536"/>
      <w:r>
        <w:rPr>
          <w:rFonts w:ascii="Times New Roman" w:hAnsi="Times New Roman" w:eastAsia="Times New Roman" w:cs="Times New Roman"/>
          <w:sz w:val="30"/>
          <w:szCs w:val="30"/>
          <w:b/>
          <w:bCs/>
          <w:spacing w:val="-3"/>
        </w:rPr>
        <w:t>9  </w:t>
      </w:r>
      <w:r>
        <w:rPr>
          <w:rFonts w:ascii="FangSong" w:hAnsi="FangSong" w:eastAsia="FangSong" w:cs="FangSong"/>
          <w:sz w:val="30"/>
          <w:szCs w:val="30"/>
          <w:b/>
          <w:bCs/>
          <w:spacing w:val="-3"/>
        </w:rPr>
        <w:t>环境保护投资估算与环境影响经济损益分析</w:t>
      </w:r>
    </w:p>
    <w:p>
      <w:pPr>
        <w:ind w:left="116"/>
        <w:spacing w:before="274" w:line="222" w:lineRule="auto"/>
        <w:outlineLvl w:val="1"/>
        <w:rPr>
          <w:rFonts w:ascii="FangSong" w:hAnsi="FangSong" w:eastAsia="FangSong" w:cs="FangSong"/>
          <w:sz w:val="28"/>
          <w:szCs w:val="28"/>
        </w:rPr>
      </w:pPr>
      <w:bookmarkStart w:name="bookmark631" w:id="537"/>
      <w:bookmarkEnd w:id="537"/>
      <w:r>
        <w:rPr>
          <w:rFonts w:ascii="Times New Roman" w:hAnsi="Times New Roman" w:eastAsia="Times New Roman" w:cs="Times New Roman"/>
          <w:sz w:val="28"/>
          <w:szCs w:val="28"/>
          <w:b/>
          <w:bCs/>
          <w:spacing w:val="-2"/>
        </w:rPr>
        <w:t>9.1  </w:t>
      </w:r>
      <w:r>
        <w:rPr>
          <w:rFonts w:ascii="FangSong" w:hAnsi="FangSong" w:eastAsia="FangSong" w:cs="FangSong"/>
          <w:sz w:val="28"/>
          <w:szCs w:val="28"/>
          <w:b/>
          <w:bCs/>
          <w:spacing w:val="-2"/>
        </w:rPr>
        <w:t>环境保护投资概算</w:t>
      </w:r>
    </w:p>
    <w:p>
      <w:pPr>
        <w:ind w:left="127" w:right="107" w:firstLine="475"/>
        <w:spacing w:before="229" w:line="360" w:lineRule="auto"/>
        <w:jc w:val="both"/>
        <w:rPr>
          <w:rFonts w:ascii="FangSong" w:hAnsi="FangSong" w:eastAsia="FangSong" w:cs="FangSong"/>
          <w:sz w:val="24"/>
          <w:szCs w:val="24"/>
        </w:rPr>
      </w:pPr>
      <w:r>
        <w:rPr>
          <w:rFonts w:ascii="FangSong" w:hAnsi="FangSong" w:eastAsia="FangSong" w:cs="FangSong"/>
          <w:sz w:val="24"/>
          <w:szCs w:val="24"/>
          <w:spacing w:val="-3"/>
        </w:rPr>
        <w:t>《建设项目环境保护设计规定》规定：″凡属于污</w:t>
      </w:r>
      <w:r>
        <w:rPr>
          <w:rFonts w:ascii="FangSong" w:hAnsi="FangSong" w:eastAsia="FangSong" w:cs="FangSong"/>
          <w:sz w:val="24"/>
          <w:szCs w:val="24"/>
          <w:spacing w:val="-4"/>
        </w:rPr>
        <w:t>染治理和保护环境所需的</w:t>
      </w:r>
      <w:r>
        <w:rPr>
          <w:rFonts w:ascii="FangSong" w:hAnsi="FangSong" w:eastAsia="FangSong" w:cs="FangSong"/>
          <w:sz w:val="24"/>
          <w:szCs w:val="24"/>
          <w:spacing w:val="-6"/>
        </w:rPr>
        <w:t>装置、设备、监测手段和工程设施等属于环境保护设施</w:t>
      </w:r>
      <w:r>
        <w:rPr>
          <w:rFonts w:ascii="FangSong" w:hAnsi="FangSong" w:eastAsia="FangSong" w:cs="FangSong"/>
          <w:sz w:val="24"/>
          <w:szCs w:val="24"/>
          <w:spacing w:val="-58"/>
        </w:rPr>
        <w:t xml:space="preserve"> </w:t>
      </w:r>
      <w:r>
        <w:rPr>
          <w:rFonts w:ascii="FangSong" w:hAnsi="FangSong" w:eastAsia="FangSong" w:cs="FangSong"/>
          <w:sz w:val="24"/>
          <w:szCs w:val="24"/>
          <w:spacing w:val="-6"/>
        </w:rPr>
        <w:t>″</w:t>
      </w:r>
      <w:r>
        <w:rPr>
          <w:rFonts w:ascii="FangSong" w:hAnsi="FangSong" w:eastAsia="FangSong" w:cs="FangSong"/>
          <w:sz w:val="24"/>
          <w:szCs w:val="24"/>
          <w:spacing w:val="-87"/>
        </w:rPr>
        <w:t xml:space="preserve"> </w:t>
      </w:r>
      <w:r>
        <w:rPr>
          <w:rFonts w:ascii="FangSong" w:hAnsi="FangSong" w:eastAsia="FangSong" w:cs="FangSong"/>
          <w:sz w:val="24"/>
          <w:szCs w:val="24"/>
          <w:spacing w:val="-6"/>
        </w:rPr>
        <w:t>，″凡有环境保护设施</w:t>
      </w:r>
      <w:r>
        <w:rPr>
          <w:rFonts w:ascii="FangSong" w:hAnsi="FangSong" w:eastAsia="FangSong" w:cs="FangSong"/>
          <w:sz w:val="24"/>
          <w:szCs w:val="24"/>
          <w:spacing w:val="-5"/>
        </w:rPr>
        <w:t>的建设项目均应列入环境保护设施的投资概算</w:t>
      </w:r>
      <w:r>
        <w:rPr>
          <w:rFonts w:ascii="FangSong" w:hAnsi="FangSong" w:eastAsia="FangSong" w:cs="FangSong"/>
          <w:sz w:val="24"/>
          <w:szCs w:val="24"/>
          <w:spacing w:val="-60"/>
        </w:rPr>
        <w:t xml:space="preserve"> </w:t>
      </w:r>
      <w:r>
        <w:rPr>
          <w:rFonts w:ascii="FangSong" w:hAnsi="FangSong" w:eastAsia="FangSong" w:cs="FangSong"/>
          <w:sz w:val="24"/>
          <w:szCs w:val="24"/>
          <w:spacing w:val="-5"/>
        </w:rPr>
        <w:t>″。根据工程分析和环境影响预测</w:t>
      </w:r>
      <w:r>
        <w:rPr>
          <w:rFonts w:ascii="FangSong" w:hAnsi="FangSong" w:eastAsia="FangSong" w:cs="FangSong"/>
          <w:sz w:val="24"/>
          <w:szCs w:val="24"/>
          <w:spacing w:val="-3"/>
        </w:rPr>
        <w:t>可知，项目建成投产后，产生的废气、废水、噪声、废渣</w:t>
      </w:r>
      <w:r>
        <w:rPr>
          <w:rFonts w:ascii="FangSong" w:hAnsi="FangSong" w:eastAsia="FangSong" w:cs="FangSong"/>
          <w:sz w:val="24"/>
          <w:szCs w:val="24"/>
          <w:spacing w:val="-4"/>
        </w:rPr>
        <w:t>等将对周围环境造成一</w:t>
      </w:r>
      <w:r>
        <w:rPr>
          <w:rFonts w:ascii="FangSong" w:hAnsi="FangSong" w:eastAsia="FangSong" w:cs="FangSong"/>
          <w:sz w:val="24"/>
          <w:szCs w:val="24"/>
          <w:spacing w:val="-3"/>
        </w:rPr>
        <w:t>定的影响，因此必须投入一定的资金，采取相应的污染治</w:t>
      </w:r>
      <w:r>
        <w:rPr>
          <w:rFonts w:ascii="FangSong" w:hAnsi="FangSong" w:eastAsia="FangSong" w:cs="FangSong"/>
          <w:sz w:val="24"/>
          <w:szCs w:val="24"/>
          <w:spacing w:val="-4"/>
        </w:rPr>
        <w:t>理措施，使工程对环境</w:t>
      </w:r>
      <w:r>
        <w:rPr>
          <w:rFonts w:ascii="FangSong" w:hAnsi="FangSong" w:eastAsia="FangSong" w:cs="FangSong"/>
          <w:sz w:val="24"/>
          <w:szCs w:val="24"/>
          <w:spacing w:val="-2"/>
        </w:rPr>
        <w:t>的影响降到最小程度。经估算，项目总投资为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9830.78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万元，本项</w:t>
      </w:r>
      <w:r>
        <w:rPr>
          <w:rFonts w:ascii="FangSong" w:hAnsi="FangSong" w:eastAsia="FangSong" w:cs="FangSong"/>
          <w:sz w:val="24"/>
          <w:szCs w:val="24"/>
          <w:spacing w:val="-3"/>
        </w:rPr>
        <w:t>目环保总投资</w:t>
      </w:r>
      <w:r>
        <w:rPr>
          <w:rFonts w:ascii="FangSong" w:hAnsi="FangSong" w:eastAsia="FangSong" w:cs="FangSong"/>
          <w:sz w:val="24"/>
          <w:szCs w:val="24"/>
          <w:spacing w:val="-4"/>
        </w:rPr>
        <w:t>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381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万元，</w:t>
      </w:r>
      <w:r>
        <w:rPr>
          <w:rFonts w:ascii="FangSong" w:hAnsi="FangSong" w:eastAsia="FangSong" w:cs="FangSong"/>
          <w:sz w:val="24"/>
          <w:szCs w:val="24"/>
          <w:spacing w:val="-63"/>
        </w:rPr>
        <w:t xml:space="preserve"> </w:t>
      </w:r>
      <w:r>
        <w:rPr>
          <w:rFonts w:ascii="FangSong" w:hAnsi="FangSong" w:eastAsia="FangSong" w:cs="FangSong"/>
          <w:sz w:val="24"/>
          <w:szCs w:val="24"/>
          <w:spacing w:val="-4"/>
        </w:rPr>
        <w:t>占工程总投资的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3.88%</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。建设工程环保投资估算情况见表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9.1-1</w:t>
      </w:r>
      <w:r>
        <w:rPr>
          <w:rFonts w:ascii="FangSong" w:hAnsi="FangSong" w:eastAsia="FangSong" w:cs="FangSong"/>
          <w:sz w:val="24"/>
          <w:szCs w:val="24"/>
          <w:spacing w:val="-4"/>
        </w:rPr>
        <w:t>。</w:t>
      </w:r>
    </w:p>
    <w:p>
      <w:pPr>
        <w:ind w:left="2734"/>
        <w:spacing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spacing w:val="-3"/>
        </w:rPr>
        <w:t>9.1-1  </w:t>
      </w:r>
      <w:r>
        <w:rPr>
          <w:rFonts w:ascii="FangSong" w:hAnsi="FangSong" w:eastAsia="FangSong" w:cs="FangSong"/>
          <w:sz w:val="24"/>
          <w:szCs w:val="24"/>
          <w:b/>
          <w:bCs/>
          <w:spacing w:val="-3"/>
        </w:rPr>
        <w:t>环保投资估算一览表</w:t>
      </w:r>
    </w:p>
    <w:p>
      <w:pPr>
        <w:spacing w:line="68" w:lineRule="exact"/>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1667"/>
        <w:gridCol w:w="3759"/>
        <w:gridCol w:w="2131"/>
      </w:tblGrid>
      <w:tr>
        <w:trPr>
          <w:trHeight w:val="321" w:hRule="atLeast"/>
        </w:trPr>
        <w:tc>
          <w:tcPr>
            <w:tcW w:w="965" w:type="dxa"/>
            <w:vAlign w:val="top"/>
            <w:tcBorders>
              <w:left w:val="nil"/>
              <w:top w:val="single" w:color="000000" w:sz="10" w:space="0"/>
            </w:tcBorders>
          </w:tcPr>
          <w:p>
            <w:pPr>
              <w:pStyle w:val="TableText"/>
              <w:ind w:left="299"/>
              <w:spacing w:before="55" w:line="232" w:lineRule="auto"/>
              <w:rPr/>
            </w:pPr>
            <w:r>
              <w:rPr>
                <w:spacing w:val="-6"/>
              </w:rPr>
              <w:t>时期</w:t>
            </w:r>
          </w:p>
        </w:tc>
        <w:tc>
          <w:tcPr>
            <w:tcW w:w="1667" w:type="dxa"/>
            <w:vAlign w:val="top"/>
            <w:tcBorders>
              <w:top w:val="single" w:color="000000" w:sz="10" w:space="0"/>
            </w:tcBorders>
          </w:tcPr>
          <w:p>
            <w:pPr>
              <w:pStyle w:val="TableText"/>
              <w:ind w:left="427"/>
              <w:spacing w:before="55" w:line="231" w:lineRule="auto"/>
              <w:rPr/>
            </w:pPr>
            <w:r>
              <w:rPr>
                <w:spacing w:val="5"/>
              </w:rPr>
              <w:t>治理类别</w:t>
            </w:r>
          </w:p>
        </w:tc>
        <w:tc>
          <w:tcPr>
            <w:tcW w:w="3759" w:type="dxa"/>
            <w:vAlign w:val="top"/>
            <w:tcBorders>
              <w:top w:val="single" w:color="000000" w:sz="10" w:space="0"/>
            </w:tcBorders>
          </w:tcPr>
          <w:p>
            <w:pPr>
              <w:pStyle w:val="TableText"/>
              <w:ind w:left="1157"/>
              <w:spacing w:before="55" w:line="231" w:lineRule="auto"/>
              <w:rPr/>
            </w:pPr>
            <w:r>
              <w:rPr>
                <w:spacing w:val="7"/>
              </w:rPr>
              <w:t>治理措施及设施</w:t>
            </w:r>
          </w:p>
        </w:tc>
        <w:tc>
          <w:tcPr>
            <w:tcW w:w="2131" w:type="dxa"/>
            <w:vAlign w:val="top"/>
            <w:tcBorders>
              <w:right w:val="nil"/>
              <w:top w:val="single" w:color="000000" w:sz="10" w:space="0"/>
            </w:tcBorders>
          </w:tcPr>
          <w:p>
            <w:pPr>
              <w:pStyle w:val="TableText"/>
              <w:ind w:left="452"/>
              <w:spacing w:before="55" w:line="232" w:lineRule="auto"/>
              <w:rPr/>
            </w:pPr>
            <w:r>
              <w:rPr>
                <w:spacing w:val="4"/>
              </w:rPr>
              <w:t>费用（万元）</w:t>
            </w:r>
          </w:p>
        </w:tc>
      </w:tr>
      <w:tr>
        <w:trPr>
          <w:trHeight w:val="938" w:hRule="atLeast"/>
        </w:trPr>
        <w:tc>
          <w:tcPr>
            <w:tcW w:w="965" w:type="dxa"/>
            <w:vAlign w:val="top"/>
            <w:vMerge w:val="restart"/>
            <w:tcBorders>
              <w:left w:val="nil"/>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81"/>
              <w:spacing w:before="65" w:line="232" w:lineRule="auto"/>
              <w:rPr/>
            </w:pPr>
            <w:r>
              <w:rPr>
                <w:spacing w:val="5"/>
              </w:rPr>
              <w:t>施工期</w:t>
            </w:r>
          </w:p>
        </w:tc>
        <w:tc>
          <w:tcPr>
            <w:tcW w:w="1667" w:type="dxa"/>
            <w:vAlign w:val="top"/>
          </w:tcPr>
          <w:p>
            <w:pPr>
              <w:spacing w:line="296" w:lineRule="auto"/>
              <w:rPr>
                <w:rFonts w:ascii="Arial"/>
                <w:sz w:val="21"/>
              </w:rPr>
            </w:pPr>
            <w:r/>
          </w:p>
          <w:p>
            <w:pPr>
              <w:pStyle w:val="TableText"/>
              <w:ind w:left="637"/>
              <w:spacing w:before="65" w:line="233" w:lineRule="auto"/>
              <w:rPr/>
            </w:pPr>
            <w:r>
              <w:rPr/>
              <w:t>废气</w:t>
            </w:r>
          </w:p>
        </w:tc>
        <w:tc>
          <w:tcPr>
            <w:tcW w:w="3759" w:type="dxa"/>
            <w:vAlign w:val="top"/>
          </w:tcPr>
          <w:p>
            <w:pPr>
              <w:pStyle w:val="TableText"/>
              <w:ind w:left="120" w:right="107" w:firstLine="419"/>
              <w:spacing w:before="50" w:line="270" w:lineRule="auto"/>
              <w:jc w:val="both"/>
              <w:rPr/>
            </w:pPr>
            <w:r>
              <w:rPr>
                <w:spacing w:val="7"/>
              </w:rPr>
              <w:t>加强管理，施工场地及道路洒水，</w:t>
            </w:r>
            <w:r>
              <w:rPr>
                <w:spacing w:val="7"/>
              </w:rPr>
              <w:t>运输物料遮盖、控制车速等；井巷掘进</w:t>
            </w:r>
            <w:r>
              <w:rPr>
                <w:spacing w:val="6"/>
              </w:rPr>
              <w:t>和爆破作业时对作业面进行洒水降尘：</w:t>
            </w:r>
          </w:p>
        </w:tc>
        <w:tc>
          <w:tcPr>
            <w:tcW w:w="2131" w:type="dxa"/>
            <w:vAlign w:val="top"/>
            <w:tcBorders>
              <w:right w:val="nil"/>
            </w:tcBorders>
          </w:tcPr>
          <w:p>
            <w:pPr>
              <w:spacing w:line="339" w:lineRule="auto"/>
              <w:rPr>
                <w:rFonts w:ascii="Arial"/>
                <w:sz w:val="21"/>
              </w:rPr>
            </w:pPr>
            <w:r/>
          </w:p>
          <w:p>
            <w:pPr>
              <w:ind w:left="101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1561" w:hRule="atLeast"/>
        </w:trPr>
        <w:tc>
          <w:tcPr>
            <w:tcW w:w="965" w:type="dxa"/>
            <w:vAlign w:val="top"/>
            <w:vMerge w:val="continue"/>
            <w:tcBorders>
              <w:left w:val="nil"/>
              <w:top w:val="nil"/>
              <w:bottom w:val="nil"/>
            </w:tcBorders>
          </w:tcPr>
          <w:p>
            <w:pPr>
              <w:rPr>
                <w:rFonts w:ascii="Arial"/>
                <w:sz w:val="21"/>
              </w:rPr>
            </w:pPr>
            <w:r/>
          </w:p>
        </w:tc>
        <w:tc>
          <w:tcPr>
            <w:tcW w:w="1667" w:type="dxa"/>
            <w:vAlign w:val="top"/>
          </w:tcPr>
          <w:p>
            <w:pPr>
              <w:spacing w:line="305" w:lineRule="auto"/>
              <w:rPr>
                <w:rFonts w:ascii="Arial"/>
                <w:sz w:val="21"/>
              </w:rPr>
            </w:pPr>
            <w:r/>
          </w:p>
          <w:p>
            <w:pPr>
              <w:spacing w:line="306" w:lineRule="auto"/>
              <w:rPr>
                <w:rFonts w:ascii="Arial"/>
                <w:sz w:val="21"/>
              </w:rPr>
            </w:pPr>
            <w:r/>
          </w:p>
          <w:p>
            <w:pPr>
              <w:pStyle w:val="TableText"/>
              <w:ind w:left="637"/>
              <w:spacing w:before="65" w:line="232" w:lineRule="auto"/>
              <w:rPr/>
            </w:pPr>
            <w:r>
              <w:rPr/>
              <w:t>废水</w:t>
            </w:r>
          </w:p>
        </w:tc>
        <w:tc>
          <w:tcPr>
            <w:tcW w:w="3759" w:type="dxa"/>
            <w:vAlign w:val="top"/>
          </w:tcPr>
          <w:p>
            <w:pPr>
              <w:pStyle w:val="TableText"/>
              <w:ind w:left="120" w:right="105" w:firstLine="418"/>
              <w:spacing w:before="56" w:line="276" w:lineRule="auto"/>
              <w:jc w:val="both"/>
              <w:rPr/>
            </w:pPr>
            <w:r>
              <w:rPr>
                <w:spacing w:val="22"/>
              </w:rPr>
              <w:t>施工产生的废水及矿井涌水要进</w:t>
            </w:r>
            <w:r>
              <w:rPr>
                <w:spacing w:val="7"/>
              </w:rPr>
              <w:t>行收集和处理，经地表沉淀池沉淀后全</w:t>
            </w:r>
            <w:r>
              <w:rPr>
                <w:spacing w:val="7"/>
              </w:rPr>
              <w:t>部回用或洒水降尘；施工人员产生的生</w:t>
            </w:r>
            <w:r>
              <w:rPr>
                <w:spacing w:val="7"/>
              </w:rPr>
              <w:t>活污水进入临时防渗旱厕内，定期清掏</w:t>
            </w:r>
            <w:r>
              <w:rPr>
                <w:spacing w:val="7"/>
              </w:rPr>
              <w:t>外运积肥，不外排。</w:t>
            </w:r>
          </w:p>
        </w:tc>
        <w:tc>
          <w:tcPr>
            <w:tcW w:w="2131" w:type="dxa"/>
            <w:vAlign w:val="top"/>
            <w:tcBorders>
              <w:right w:val="nil"/>
            </w:tcBorders>
          </w:tcPr>
          <w:p>
            <w:pPr>
              <w:spacing w:line="327" w:lineRule="auto"/>
              <w:rPr>
                <w:rFonts w:ascii="Arial"/>
                <w:sz w:val="21"/>
              </w:rPr>
            </w:pPr>
            <w:r/>
          </w:p>
          <w:p>
            <w:pPr>
              <w:spacing w:line="327" w:lineRule="auto"/>
              <w:rPr>
                <w:rFonts w:ascii="Arial"/>
                <w:sz w:val="21"/>
              </w:rPr>
            </w:pPr>
            <w:r/>
          </w:p>
          <w:p>
            <w:pPr>
              <w:ind w:left="10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rPr>
          <w:trHeight w:val="1560" w:hRule="atLeast"/>
        </w:trPr>
        <w:tc>
          <w:tcPr>
            <w:tcW w:w="965" w:type="dxa"/>
            <w:vAlign w:val="top"/>
            <w:vMerge w:val="continue"/>
            <w:tcBorders>
              <w:left w:val="nil"/>
              <w:top w:val="nil"/>
              <w:bottom w:val="nil"/>
            </w:tcBorders>
          </w:tcPr>
          <w:p>
            <w:pPr>
              <w:rPr>
                <w:rFonts w:ascii="Arial"/>
                <w:sz w:val="21"/>
              </w:rPr>
            </w:pPr>
            <w:r/>
          </w:p>
        </w:tc>
        <w:tc>
          <w:tcPr>
            <w:tcW w:w="1667" w:type="dxa"/>
            <w:vAlign w:val="top"/>
          </w:tcPr>
          <w:p>
            <w:pPr>
              <w:spacing w:line="307" w:lineRule="auto"/>
              <w:rPr>
                <w:rFonts w:ascii="Arial"/>
                <w:sz w:val="21"/>
              </w:rPr>
            </w:pPr>
            <w:r/>
          </w:p>
          <w:p>
            <w:pPr>
              <w:spacing w:line="307" w:lineRule="auto"/>
              <w:rPr>
                <w:rFonts w:ascii="Arial"/>
                <w:sz w:val="21"/>
              </w:rPr>
            </w:pPr>
            <w:r/>
          </w:p>
          <w:p>
            <w:pPr>
              <w:pStyle w:val="TableText"/>
              <w:ind w:left="644"/>
              <w:spacing w:before="65" w:line="231" w:lineRule="auto"/>
              <w:rPr/>
            </w:pPr>
            <w:r>
              <w:rPr>
                <w:spacing w:val="-3"/>
              </w:rPr>
              <w:t>噪声</w:t>
            </w:r>
          </w:p>
        </w:tc>
        <w:tc>
          <w:tcPr>
            <w:tcW w:w="3759" w:type="dxa"/>
            <w:vAlign w:val="top"/>
          </w:tcPr>
          <w:p>
            <w:pPr>
              <w:pStyle w:val="TableText"/>
              <w:ind w:left="119" w:right="105" w:firstLine="420"/>
              <w:spacing w:before="60" w:line="275" w:lineRule="auto"/>
              <w:jc w:val="both"/>
              <w:rPr/>
            </w:pPr>
            <w:r>
              <w:rPr>
                <w:spacing w:val="18"/>
              </w:rPr>
              <w:t>夜间不施工</w:t>
            </w:r>
            <w:r>
              <w:rPr>
                <w:spacing w:val="-45"/>
              </w:rPr>
              <w:t xml:space="preserve"> </w:t>
            </w:r>
            <w:r>
              <w:rPr>
                <w:spacing w:val="18"/>
              </w:rPr>
              <w:t>，使用低噪声机械设</w:t>
            </w:r>
            <w:r>
              <w:rPr>
                <w:spacing w:val="7"/>
              </w:rPr>
              <w:t>备，并设专人对其进行保养维修；安排</w:t>
            </w:r>
            <w:r>
              <w:rPr>
                <w:spacing w:val="20"/>
              </w:rPr>
              <w:t>施工计划时避免同一地点集中使用过</w:t>
            </w:r>
            <w:r>
              <w:rPr>
                <w:spacing w:val="7"/>
              </w:rPr>
              <w:t>多高噪声设备；建筑材料及设备运输车</w:t>
            </w:r>
            <w:r>
              <w:rPr>
                <w:spacing w:val="9"/>
              </w:rPr>
              <w:t>辆过村庄时，降低车速，禁止鸣笛</w:t>
            </w:r>
          </w:p>
        </w:tc>
        <w:tc>
          <w:tcPr>
            <w:tcW w:w="2131" w:type="dxa"/>
            <w:vAlign w:val="top"/>
            <w:tcBorders>
              <w:right w:val="nil"/>
            </w:tcBorders>
          </w:tcPr>
          <w:p>
            <w:pPr>
              <w:spacing w:line="330" w:lineRule="auto"/>
              <w:rPr>
                <w:rFonts w:ascii="Arial"/>
                <w:sz w:val="21"/>
              </w:rPr>
            </w:pPr>
            <w:r/>
          </w:p>
          <w:p>
            <w:pPr>
              <w:spacing w:line="331" w:lineRule="auto"/>
              <w:rPr>
                <w:rFonts w:ascii="Arial"/>
                <w:sz w:val="21"/>
              </w:rPr>
            </w:pPr>
            <w:r/>
          </w:p>
          <w:p>
            <w:pPr>
              <w:ind w:left="1020"/>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2183" w:hRule="atLeast"/>
        </w:trPr>
        <w:tc>
          <w:tcPr>
            <w:tcW w:w="965" w:type="dxa"/>
            <w:vAlign w:val="top"/>
            <w:vMerge w:val="continue"/>
            <w:tcBorders>
              <w:left w:val="nil"/>
              <w:top w:val="nil"/>
            </w:tcBorders>
          </w:tcPr>
          <w:p>
            <w:pPr>
              <w:rPr>
                <w:rFonts w:ascii="Arial"/>
                <w:sz w:val="21"/>
              </w:rPr>
            </w:pPr>
            <w:r/>
          </w:p>
        </w:tc>
        <w:tc>
          <w:tcPr>
            <w:tcW w:w="1667" w:type="dxa"/>
            <w:vAlign w:val="top"/>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657"/>
              <w:spacing w:before="65" w:line="233" w:lineRule="auto"/>
              <w:rPr/>
            </w:pPr>
            <w:r>
              <w:rPr>
                <w:spacing w:val="-10"/>
              </w:rPr>
              <w:t>固废</w:t>
            </w:r>
          </w:p>
        </w:tc>
        <w:tc>
          <w:tcPr>
            <w:tcW w:w="3759" w:type="dxa"/>
            <w:vAlign w:val="top"/>
          </w:tcPr>
          <w:p>
            <w:pPr>
              <w:pStyle w:val="TableText"/>
              <w:ind w:left="118" w:right="105" w:firstLine="423"/>
              <w:spacing w:before="64" w:line="278" w:lineRule="auto"/>
              <w:jc w:val="both"/>
              <w:rPr/>
            </w:pPr>
            <w:r>
              <w:rPr>
                <w:spacing w:val="21"/>
              </w:rPr>
              <w:t>剥离的表土部分用于场地平整后</w:t>
            </w:r>
            <w:r>
              <w:rPr>
                <w:spacing w:val="18"/>
              </w:rPr>
              <w:t>覆土</w:t>
            </w:r>
            <w:r>
              <w:rPr>
                <w:spacing w:val="-59"/>
              </w:rPr>
              <w:t xml:space="preserve"> </w:t>
            </w:r>
            <w:r>
              <w:rPr>
                <w:spacing w:val="18"/>
              </w:rPr>
              <w:t>，余下部分堆存于临时表土堆场</w:t>
            </w:r>
            <w:r>
              <w:rPr>
                <w:spacing w:val="17"/>
              </w:rPr>
              <w:t>中</w:t>
            </w:r>
            <w:r>
              <w:rPr>
                <w:spacing w:val="-43"/>
              </w:rPr>
              <w:t xml:space="preserve"> </w:t>
            </w:r>
            <w:r>
              <w:rPr>
                <w:spacing w:val="17"/>
              </w:rPr>
              <w:t>，用于结束期后的矿山环境恢复治</w:t>
            </w:r>
            <w:r>
              <w:rPr>
                <w:spacing w:val="7"/>
              </w:rPr>
              <w:t>理：基建废石用于充填空区：建筑垃圾</w:t>
            </w:r>
            <w:r>
              <w:rPr>
                <w:spacing w:val="20"/>
              </w:rPr>
              <w:t>拉运至当地人民政府指定建筑垃圾填</w:t>
            </w:r>
            <w:r>
              <w:rPr>
                <w:spacing w:val="7"/>
              </w:rPr>
              <w:t>埋场处理，生活垃圾定期交环卫部门处</w:t>
            </w:r>
            <w:r>
              <w:rPr>
                <w:spacing w:val="-2"/>
              </w:rPr>
              <w:t>理：</w:t>
            </w:r>
          </w:p>
        </w:tc>
        <w:tc>
          <w:tcPr>
            <w:tcW w:w="2131" w:type="dxa"/>
            <w:vAlign w:val="top"/>
            <w:tcBorders>
              <w:right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02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1249" w:hRule="atLeast"/>
        </w:trPr>
        <w:tc>
          <w:tcPr>
            <w:tcW w:w="965" w:type="dxa"/>
            <w:vAlign w:val="top"/>
            <w:vMerge w:val="restart"/>
            <w:tcBorders>
              <w:left w:val="nil"/>
              <w:bottom w:val="nil"/>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183"/>
              <w:spacing w:before="65" w:line="232" w:lineRule="auto"/>
              <w:rPr/>
            </w:pPr>
            <w:r>
              <w:rPr>
                <w:spacing w:val="4"/>
              </w:rPr>
              <w:t>运营期</w:t>
            </w:r>
          </w:p>
        </w:tc>
        <w:tc>
          <w:tcPr>
            <w:tcW w:w="1667"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637"/>
              <w:spacing w:before="65" w:line="232" w:lineRule="auto"/>
              <w:rPr/>
            </w:pPr>
            <w:r>
              <w:rPr/>
              <w:t>废水</w:t>
            </w:r>
          </w:p>
        </w:tc>
        <w:tc>
          <w:tcPr>
            <w:tcW w:w="3759" w:type="dxa"/>
            <w:vAlign w:val="top"/>
          </w:tcPr>
          <w:p>
            <w:pPr>
              <w:pStyle w:val="TableText"/>
              <w:ind w:left="119" w:right="105" w:firstLine="432"/>
              <w:spacing w:before="68" w:line="270" w:lineRule="auto"/>
              <w:jc w:val="both"/>
              <w:rPr/>
            </w:pPr>
            <w:r>
              <w:rPr>
                <w:spacing w:val="21"/>
              </w:rPr>
              <w:t>生活污水与经隔油池处理后的食</w:t>
            </w:r>
            <w:r>
              <w:rPr>
                <w:spacing w:val="7"/>
              </w:rPr>
              <w:t>堂废水排入厂区防渗储池内，定期运至</w:t>
            </w:r>
            <w:r>
              <w:rPr>
                <w:spacing w:val="20"/>
              </w:rPr>
              <w:t>内蒙古锡林郭勒盟苏尼特右旗赛汉塔</w:t>
            </w:r>
            <w:r>
              <w:rPr>
                <w:spacing w:val="8"/>
              </w:rPr>
              <w:t>拉镇污水处理厂处理</w:t>
            </w:r>
          </w:p>
        </w:tc>
        <w:tc>
          <w:tcPr>
            <w:tcW w:w="2131" w:type="dxa"/>
            <w:vAlign w:val="top"/>
            <w:tcBorders>
              <w:right w:val="nil"/>
            </w:tcBorders>
          </w:tcPr>
          <w:p>
            <w:pPr>
              <w:spacing w:line="256" w:lineRule="auto"/>
              <w:rPr>
                <w:rFonts w:ascii="Arial"/>
                <w:sz w:val="21"/>
              </w:rPr>
            </w:pPr>
            <w:r/>
          </w:p>
          <w:p>
            <w:pPr>
              <w:spacing w:line="257" w:lineRule="auto"/>
              <w:rPr>
                <w:rFonts w:ascii="Arial"/>
                <w:sz w:val="21"/>
              </w:rPr>
            </w:pPr>
            <w:r/>
          </w:p>
          <w:p>
            <w:pPr>
              <w:ind w:left="98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r>
      <w:tr>
        <w:trPr>
          <w:trHeight w:val="960" w:hRule="atLeast"/>
        </w:trPr>
        <w:tc>
          <w:tcPr>
            <w:tcW w:w="965" w:type="dxa"/>
            <w:vAlign w:val="top"/>
            <w:vMerge w:val="continue"/>
            <w:tcBorders>
              <w:left w:val="nil"/>
              <w:bottom w:val="single" w:color="000000" w:sz="10" w:space="0"/>
              <w:top w:val="nil"/>
            </w:tcBorders>
          </w:tcPr>
          <w:p>
            <w:pPr>
              <w:rPr>
                <w:rFonts w:ascii="Arial"/>
                <w:sz w:val="21"/>
              </w:rPr>
            </w:pPr>
            <w:r/>
          </w:p>
        </w:tc>
        <w:tc>
          <w:tcPr>
            <w:tcW w:w="1667" w:type="dxa"/>
            <w:vAlign w:val="top"/>
            <w:vMerge w:val="continue"/>
            <w:tcBorders>
              <w:bottom w:val="single" w:color="000000" w:sz="10" w:space="0"/>
              <w:top w:val="nil"/>
            </w:tcBorders>
          </w:tcPr>
          <w:p>
            <w:pPr>
              <w:rPr>
                <w:rFonts w:ascii="Arial"/>
                <w:sz w:val="21"/>
              </w:rPr>
            </w:pPr>
            <w:r/>
          </w:p>
        </w:tc>
        <w:tc>
          <w:tcPr>
            <w:tcW w:w="3759" w:type="dxa"/>
            <w:vAlign w:val="top"/>
            <w:tcBorders>
              <w:bottom w:val="single" w:color="000000" w:sz="10" w:space="0"/>
            </w:tcBorders>
          </w:tcPr>
          <w:p>
            <w:pPr>
              <w:pStyle w:val="TableText"/>
              <w:ind w:left="125" w:right="107" w:firstLine="416"/>
              <w:spacing w:before="72" w:line="270" w:lineRule="auto"/>
              <w:jc w:val="both"/>
              <w:rPr/>
            </w:pPr>
            <w:r>
              <w:rPr>
                <w:spacing w:val="21"/>
              </w:rPr>
              <w:t>采矿矿井涌水经井下水仓沉淀后</w:t>
            </w:r>
            <w:r>
              <w:rPr>
                <w:spacing w:val="20"/>
              </w:rPr>
              <w:t>由泵房集中排至地表高位水池后经沉</w:t>
            </w:r>
            <w:r>
              <w:rPr>
                <w:spacing w:val="6"/>
              </w:rPr>
              <w:t>淀后部分回用于井下凿岩、爆破降尘、</w:t>
            </w:r>
          </w:p>
        </w:tc>
        <w:tc>
          <w:tcPr>
            <w:tcW w:w="2131" w:type="dxa"/>
            <w:vAlign w:val="top"/>
            <w:tcBorders>
              <w:right w:val="nil"/>
              <w:bottom w:val="single" w:color="000000" w:sz="10" w:space="0"/>
            </w:tcBorders>
          </w:tcPr>
          <w:p>
            <w:pPr>
              <w:spacing w:line="361" w:lineRule="auto"/>
              <w:rPr>
                <w:rFonts w:ascii="Arial"/>
                <w:sz w:val="21"/>
              </w:rPr>
            </w:pPr>
            <w:r/>
          </w:p>
          <w:p>
            <w:pPr>
              <w:ind w:left="98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r>
    </w:tbl>
    <w:p>
      <w:pPr>
        <w:pStyle w:val="BodyText"/>
        <w:spacing w:line="185" w:lineRule="exact"/>
        <w:rPr>
          <w:sz w:val="16"/>
        </w:rPr>
      </w:pPr>
      <w:r/>
    </w:p>
    <w:p>
      <w:pPr>
        <w:spacing w:line="185" w:lineRule="exact"/>
        <w:sectPr>
          <w:footerReference w:type="default" r:id="rId381"/>
          <w:pgSz w:w="11906" w:h="16839"/>
          <w:pgMar w:top="400" w:right="1691" w:bottom="1358" w:left="1691" w:header="0" w:footer="1195" w:gutter="0"/>
        </w:sectPr>
        <w:rPr>
          <w:sz w:val="16"/>
          <w:szCs w:val="16"/>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1667"/>
        <w:gridCol w:w="3759"/>
        <w:gridCol w:w="2131"/>
      </w:tblGrid>
      <w:tr>
        <w:trPr>
          <w:trHeight w:val="924" w:hRule="atLeast"/>
        </w:trPr>
        <w:tc>
          <w:tcPr>
            <w:tcW w:w="965" w:type="dxa"/>
            <w:vAlign w:val="top"/>
            <w:vMerge w:val="restart"/>
            <w:tcBorders>
              <w:left w:val="nil"/>
              <w:bottom w:val="nil"/>
              <w:top w:val="single" w:color="000000" w:sz="10" w:space="0"/>
            </w:tcBorders>
          </w:tcPr>
          <w:p>
            <w:pPr>
              <w:rPr>
                <w:rFonts w:ascii="Arial"/>
                <w:sz w:val="21"/>
              </w:rPr>
            </w:pPr>
            <w:r/>
          </w:p>
        </w:tc>
        <w:tc>
          <w:tcPr>
            <w:tcW w:w="1667" w:type="dxa"/>
            <w:vAlign w:val="top"/>
            <w:tcBorders>
              <w:top w:val="single" w:color="000000" w:sz="10" w:space="0"/>
            </w:tcBorders>
          </w:tcPr>
          <w:p>
            <w:pPr>
              <w:rPr>
                <w:rFonts w:ascii="Arial"/>
                <w:sz w:val="21"/>
              </w:rPr>
            </w:pPr>
            <w:r/>
          </w:p>
        </w:tc>
        <w:tc>
          <w:tcPr>
            <w:tcW w:w="3759" w:type="dxa"/>
            <w:vAlign w:val="top"/>
            <w:tcBorders>
              <w:top w:val="single" w:color="000000" w:sz="10" w:space="0"/>
            </w:tcBorders>
          </w:tcPr>
          <w:p>
            <w:pPr>
              <w:pStyle w:val="TableText"/>
              <w:ind w:left="127" w:right="105" w:hanging="7"/>
              <w:spacing w:before="36" w:line="270" w:lineRule="auto"/>
              <w:jc w:val="both"/>
              <w:rPr/>
            </w:pPr>
            <w:r>
              <w:rPr>
                <w:spacing w:val="7"/>
              </w:rPr>
              <w:t>各堆场、道路降尘，部分排入回水池中</w:t>
            </w:r>
            <w:r>
              <w:rPr>
                <w:spacing w:val="20"/>
              </w:rPr>
              <w:t>与选矿废水经混凝沉淀后进入蓄水池</w:t>
            </w:r>
            <w:r>
              <w:rPr>
                <w:spacing w:val="7"/>
              </w:rPr>
              <w:t>内回用于选矿用水，不外排。</w:t>
            </w:r>
          </w:p>
        </w:tc>
        <w:tc>
          <w:tcPr>
            <w:tcW w:w="2131" w:type="dxa"/>
            <w:vAlign w:val="top"/>
            <w:tcBorders>
              <w:right w:val="nil"/>
              <w:top w:val="single" w:color="000000" w:sz="10" w:space="0"/>
            </w:tcBorders>
          </w:tcPr>
          <w:p>
            <w:pPr>
              <w:rPr>
                <w:rFonts w:ascii="Arial"/>
                <w:sz w:val="21"/>
              </w:rPr>
            </w:pPr>
            <w:r/>
          </w:p>
        </w:tc>
      </w:tr>
      <w:tr>
        <w:trPr>
          <w:trHeight w:val="1874"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637"/>
              <w:spacing w:before="65" w:line="233" w:lineRule="auto"/>
              <w:rPr/>
            </w:pPr>
            <w:r>
              <w:rPr/>
              <w:t>废气</w:t>
            </w:r>
          </w:p>
        </w:tc>
        <w:tc>
          <w:tcPr>
            <w:tcW w:w="3759" w:type="dxa"/>
            <w:vAlign w:val="top"/>
          </w:tcPr>
          <w:p>
            <w:pPr>
              <w:pStyle w:val="TableText"/>
              <w:ind w:left="117" w:right="105" w:firstLine="424"/>
              <w:spacing w:before="50" w:line="279" w:lineRule="auto"/>
              <w:rPr/>
            </w:pPr>
            <w:r>
              <w:rPr>
                <w:spacing w:val="4"/>
              </w:rPr>
              <w:t>井下采矿废气（</w:t>
            </w:r>
            <w:r>
              <w:rPr>
                <w:rFonts w:ascii="Times New Roman" w:hAnsi="Times New Roman" w:eastAsia="Times New Roman" w:cs="Times New Roman"/>
              </w:rPr>
              <w:t>DA</w:t>
            </w:r>
            <w:r>
              <w:rPr>
                <w:rFonts w:ascii="Times New Roman" w:hAnsi="Times New Roman" w:eastAsia="Times New Roman" w:cs="Times New Roman"/>
                <w:spacing w:val="4"/>
              </w:rPr>
              <w:t>001</w:t>
            </w:r>
            <w:r>
              <w:rPr>
                <w:spacing w:val="4"/>
              </w:rPr>
              <w:t>）掘进、</w:t>
            </w:r>
            <w:r>
              <w:rPr>
                <w:spacing w:val="-46"/>
              </w:rPr>
              <w:t xml:space="preserve"> </w:t>
            </w:r>
            <w:r>
              <w:rPr>
                <w:spacing w:val="4"/>
              </w:rPr>
              <w:t>回</w:t>
            </w:r>
            <w:r>
              <w:rPr>
                <w:spacing w:val="20"/>
              </w:rPr>
              <w:t>采采用爆破的方式进行并辅以湿式凿</w:t>
            </w:r>
            <w:r>
              <w:rPr>
                <w:spacing w:val="7"/>
              </w:rPr>
              <w:t>岩方式进行开采；在爆破凿岩后采取加</w:t>
            </w:r>
            <w:r>
              <w:rPr>
                <w:spacing w:val="7"/>
              </w:rPr>
              <w:t>强通风，并在产尘点及通道加强酒水、</w:t>
            </w:r>
            <w:r>
              <w:rPr>
                <w:spacing w:val="20"/>
              </w:rPr>
              <w:t>喷雾降尘等措施经通风井集中收集后</w:t>
            </w:r>
            <w:r>
              <w:rPr>
                <w:spacing w:val="4"/>
              </w:rPr>
              <w:t>由</w:t>
            </w:r>
            <w:r>
              <w:rPr>
                <w:spacing w:val="-23"/>
              </w:rPr>
              <w:t xml:space="preserve"> </w:t>
            </w:r>
            <w:r>
              <w:rPr>
                <w:rFonts w:ascii="Times New Roman" w:hAnsi="Times New Roman" w:eastAsia="Times New Roman" w:cs="Times New Roman"/>
                <w:spacing w:val="4"/>
              </w:rPr>
              <w:t>15m </w:t>
            </w:r>
            <w:r>
              <w:rPr>
                <w:spacing w:val="4"/>
              </w:rPr>
              <w:t>排气筒排放</w:t>
            </w:r>
          </w:p>
        </w:tc>
        <w:tc>
          <w:tcPr>
            <w:tcW w:w="2131" w:type="dxa"/>
            <w:vAlign w:val="top"/>
            <w:tcBorders>
              <w:right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9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939"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continue"/>
            <w:tcBorders>
              <w:top w:val="nil"/>
              <w:bottom w:val="nil"/>
            </w:tcBorders>
          </w:tcPr>
          <w:p>
            <w:pPr>
              <w:rPr>
                <w:rFonts w:ascii="Arial"/>
                <w:sz w:val="21"/>
              </w:rPr>
            </w:pPr>
            <w:r/>
          </w:p>
        </w:tc>
        <w:tc>
          <w:tcPr>
            <w:tcW w:w="3759" w:type="dxa"/>
            <w:vAlign w:val="top"/>
          </w:tcPr>
          <w:p>
            <w:pPr>
              <w:pStyle w:val="TableText"/>
              <w:ind w:left="117" w:right="105" w:firstLine="422"/>
              <w:spacing w:before="54" w:line="269" w:lineRule="auto"/>
              <w:jc w:val="both"/>
              <w:rPr/>
            </w:pPr>
            <w:r>
              <w:rPr>
                <w:spacing w:val="5"/>
              </w:rPr>
              <w:t>粗破碎车间废气（</w:t>
            </w:r>
            <w:r>
              <w:rPr>
                <w:rFonts w:ascii="Times New Roman" w:hAnsi="Times New Roman" w:eastAsia="Times New Roman" w:cs="Times New Roman"/>
              </w:rPr>
              <w:t>DA</w:t>
            </w:r>
            <w:r>
              <w:rPr>
                <w:rFonts w:ascii="Times New Roman" w:hAnsi="Times New Roman" w:eastAsia="Times New Roman" w:cs="Times New Roman"/>
                <w:spacing w:val="5"/>
              </w:rPr>
              <w:t>002</w:t>
            </w:r>
            <w:r>
              <w:rPr>
                <w:spacing w:val="5"/>
              </w:rPr>
              <w:t>）</w:t>
            </w:r>
            <w:r>
              <w:rPr>
                <w:spacing w:val="-55"/>
              </w:rPr>
              <w:t xml:space="preserve"> </w:t>
            </w:r>
            <w:r>
              <w:rPr>
                <w:spacing w:val="5"/>
              </w:rPr>
              <w:t>袋</w:t>
            </w:r>
            <w:r>
              <w:rPr>
                <w:spacing w:val="1"/>
              </w:rPr>
              <w:t xml:space="preserve">  </w:t>
            </w:r>
            <w:r>
              <w:rPr>
                <w:spacing w:val="5"/>
              </w:rPr>
              <w:t>式</w:t>
            </w:r>
            <w:r>
              <w:rPr>
                <w:spacing w:val="-1"/>
              </w:rPr>
              <w:t>除尘（除尘效率</w:t>
            </w:r>
            <w:r>
              <w:rPr>
                <w:spacing w:val="-27"/>
              </w:rPr>
              <w:t xml:space="preserve"> </w:t>
            </w:r>
            <w:r>
              <w:rPr>
                <w:rFonts w:ascii="Times New Roman" w:hAnsi="Times New Roman" w:eastAsia="Times New Roman" w:cs="Times New Roman"/>
                <w:spacing w:val="-1"/>
              </w:rPr>
              <w:t>98%</w:t>
            </w:r>
            <w:r>
              <w:rPr>
                <w:spacing w:val="-1"/>
              </w:rPr>
              <w:t>）处理后经</w:t>
            </w:r>
            <w:r>
              <w:rPr>
                <w:spacing w:val="-21"/>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22"/>
                <w:w w:val="101"/>
              </w:rPr>
              <w:t xml:space="preserve"> </w:t>
            </w:r>
            <w:r>
              <w:rPr>
                <w:spacing w:val="-1"/>
              </w:rPr>
              <w:t>高</w:t>
            </w:r>
            <w:r>
              <w:rPr>
                <w:spacing w:val="7"/>
              </w:rPr>
              <w:t>排气筒排放</w:t>
            </w:r>
          </w:p>
        </w:tc>
        <w:tc>
          <w:tcPr>
            <w:tcW w:w="2131" w:type="dxa"/>
            <w:vAlign w:val="top"/>
            <w:tcBorders>
              <w:right w:val="nil"/>
            </w:tcBorders>
          </w:tcPr>
          <w:p>
            <w:pPr>
              <w:spacing w:line="343" w:lineRule="auto"/>
              <w:rPr>
                <w:rFonts w:ascii="Arial"/>
                <w:sz w:val="21"/>
              </w:rPr>
            </w:pPr>
            <w:r/>
          </w:p>
          <w:p>
            <w:pPr>
              <w:ind w:left="96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939"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continue"/>
            <w:tcBorders>
              <w:top w:val="nil"/>
              <w:bottom w:val="nil"/>
            </w:tcBorders>
          </w:tcPr>
          <w:p>
            <w:pPr>
              <w:rPr>
                <w:rFonts w:ascii="Arial"/>
                <w:sz w:val="21"/>
              </w:rPr>
            </w:pPr>
            <w:r/>
          </w:p>
        </w:tc>
        <w:tc>
          <w:tcPr>
            <w:tcW w:w="3759" w:type="dxa"/>
            <w:vAlign w:val="top"/>
          </w:tcPr>
          <w:p>
            <w:pPr>
              <w:pStyle w:val="TableText"/>
              <w:ind w:left="117" w:right="105" w:firstLine="426"/>
              <w:spacing w:before="58" w:line="268" w:lineRule="auto"/>
              <w:jc w:val="both"/>
              <w:rPr/>
            </w:pPr>
            <w:r>
              <w:rPr>
                <w:spacing w:val="5"/>
              </w:rPr>
              <w:t>细破碎车间废气（</w:t>
            </w:r>
            <w:r>
              <w:rPr>
                <w:rFonts w:ascii="Times New Roman" w:hAnsi="Times New Roman" w:eastAsia="Times New Roman" w:cs="Times New Roman"/>
              </w:rPr>
              <w:t>DA</w:t>
            </w:r>
            <w:r>
              <w:rPr>
                <w:rFonts w:ascii="Times New Roman" w:hAnsi="Times New Roman" w:eastAsia="Times New Roman" w:cs="Times New Roman"/>
                <w:spacing w:val="5"/>
              </w:rPr>
              <w:t>003</w:t>
            </w:r>
            <w:r>
              <w:rPr>
                <w:spacing w:val="5"/>
              </w:rPr>
              <w:t>）</w:t>
            </w:r>
            <w:r>
              <w:rPr>
                <w:spacing w:val="-59"/>
              </w:rPr>
              <w:t xml:space="preserve"> </w:t>
            </w:r>
            <w:r>
              <w:rPr>
                <w:spacing w:val="5"/>
              </w:rPr>
              <w:t>袋</w:t>
            </w:r>
            <w:r>
              <w:rPr>
                <w:spacing w:val="1"/>
              </w:rPr>
              <w:t xml:space="preserve">  </w:t>
            </w:r>
            <w:r>
              <w:rPr>
                <w:spacing w:val="5"/>
              </w:rPr>
              <w:t>式</w:t>
            </w:r>
            <w:r>
              <w:rPr>
                <w:spacing w:val="-1"/>
              </w:rPr>
              <w:t>除尘（除尘效率</w:t>
            </w:r>
            <w:r>
              <w:rPr>
                <w:spacing w:val="-27"/>
              </w:rPr>
              <w:t xml:space="preserve"> </w:t>
            </w:r>
            <w:r>
              <w:rPr>
                <w:rFonts w:ascii="Times New Roman" w:hAnsi="Times New Roman" w:eastAsia="Times New Roman" w:cs="Times New Roman"/>
                <w:spacing w:val="-1"/>
              </w:rPr>
              <w:t>98%</w:t>
            </w:r>
            <w:r>
              <w:rPr>
                <w:spacing w:val="-1"/>
              </w:rPr>
              <w:t>）处理后经</w:t>
            </w:r>
            <w:r>
              <w:rPr>
                <w:spacing w:val="-21"/>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22"/>
                <w:w w:val="101"/>
              </w:rPr>
              <w:t xml:space="preserve"> </w:t>
            </w:r>
            <w:r>
              <w:rPr>
                <w:spacing w:val="-1"/>
              </w:rPr>
              <w:t>高</w:t>
            </w:r>
            <w:r>
              <w:rPr>
                <w:spacing w:val="7"/>
              </w:rPr>
              <w:t>排气筒排放</w:t>
            </w:r>
          </w:p>
        </w:tc>
        <w:tc>
          <w:tcPr>
            <w:tcW w:w="2131" w:type="dxa"/>
            <w:vAlign w:val="top"/>
            <w:tcBorders>
              <w:right w:val="nil"/>
            </w:tcBorders>
          </w:tcPr>
          <w:p>
            <w:pPr>
              <w:spacing w:line="345" w:lineRule="auto"/>
              <w:rPr>
                <w:rFonts w:ascii="Arial"/>
                <w:sz w:val="21"/>
              </w:rPr>
            </w:pPr>
            <w:r/>
          </w:p>
          <w:p>
            <w:pPr>
              <w:ind w:left="96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939"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continue"/>
            <w:tcBorders>
              <w:top w:val="nil"/>
              <w:bottom w:val="nil"/>
            </w:tcBorders>
          </w:tcPr>
          <w:p>
            <w:pPr>
              <w:rPr>
                <w:rFonts w:ascii="Arial"/>
                <w:sz w:val="21"/>
              </w:rPr>
            </w:pPr>
            <w:r/>
          </w:p>
        </w:tc>
        <w:tc>
          <w:tcPr>
            <w:tcW w:w="3759" w:type="dxa"/>
            <w:vAlign w:val="top"/>
          </w:tcPr>
          <w:p>
            <w:pPr>
              <w:pStyle w:val="TableText"/>
              <w:ind w:left="123" w:right="107" w:firstLine="419"/>
              <w:spacing w:before="61" w:line="267" w:lineRule="auto"/>
              <w:jc w:val="both"/>
              <w:rPr/>
            </w:pPr>
            <w:r>
              <w:rPr>
                <w:spacing w:val="7"/>
              </w:rPr>
              <w:t>筛选车间废气（</w:t>
            </w:r>
            <w:r>
              <w:rPr>
                <w:rFonts w:ascii="Times New Roman" w:hAnsi="Times New Roman" w:eastAsia="Times New Roman" w:cs="Times New Roman"/>
              </w:rPr>
              <w:t>DA</w:t>
            </w:r>
            <w:r>
              <w:rPr>
                <w:rFonts w:ascii="Times New Roman" w:hAnsi="Times New Roman" w:eastAsia="Times New Roman" w:cs="Times New Roman"/>
                <w:spacing w:val="7"/>
              </w:rPr>
              <w:t>004</w:t>
            </w:r>
            <w:r>
              <w:rPr>
                <w:spacing w:val="7"/>
              </w:rPr>
              <w:t>）袋式除尘</w:t>
            </w:r>
            <w:r>
              <w:rPr>
                <w:spacing w:val="2"/>
              </w:rPr>
              <w:t>（除尘效率</w:t>
            </w:r>
            <w:r>
              <w:rPr>
                <w:rFonts w:ascii="Times New Roman" w:hAnsi="Times New Roman" w:eastAsia="Times New Roman" w:cs="Times New Roman"/>
                <w:spacing w:val="2"/>
              </w:rPr>
              <w:t>98%</w:t>
            </w:r>
            <w:r>
              <w:rPr>
                <w:spacing w:val="2"/>
              </w:rPr>
              <w:t>）处理后经</w:t>
            </w:r>
            <w:r>
              <w:rPr>
                <w:spacing w:val="-10"/>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1"/>
                <w:w w:val="101"/>
              </w:rPr>
              <w:t xml:space="preserve"> </w:t>
            </w:r>
            <w:r>
              <w:rPr>
                <w:spacing w:val="2"/>
              </w:rPr>
              <w:t>高排气</w:t>
            </w:r>
            <w:r>
              <w:rPr>
                <w:spacing w:val="3"/>
              </w:rPr>
              <w:t>筒排放</w:t>
            </w:r>
          </w:p>
        </w:tc>
        <w:tc>
          <w:tcPr>
            <w:tcW w:w="2131" w:type="dxa"/>
            <w:vAlign w:val="top"/>
            <w:tcBorders>
              <w:right w:val="nil"/>
            </w:tcBorders>
          </w:tcPr>
          <w:p>
            <w:pPr>
              <w:spacing w:line="349" w:lineRule="auto"/>
              <w:rPr>
                <w:rFonts w:ascii="Arial"/>
                <w:sz w:val="21"/>
              </w:rPr>
            </w:pPr>
            <w:r/>
          </w:p>
          <w:p>
            <w:pPr>
              <w:ind w:left="96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939"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continue"/>
            <w:tcBorders>
              <w:top w:val="nil"/>
              <w:bottom w:val="nil"/>
            </w:tcBorders>
          </w:tcPr>
          <w:p>
            <w:pPr>
              <w:rPr>
                <w:rFonts w:ascii="Arial"/>
                <w:sz w:val="21"/>
              </w:rPr>
            </w:pPr>
            <w:r/>
          </w:p>
        </w:tc>
        <w:tc>
          <w:tcPr>
            <w:tcW w:w="3759" w:type="dxa"/>
            <w:vAlign w:val="top"/>
          </w:tcPr>
          <w:p>
            <w:pPr>
              <w:pStyle w:val="TableText"/>
              <w:ind w:left="123" w:right="105" w:firstLine="417"/>
              <w:spacing w:before="61" w:line="267" w:lineRule="auto"/>
              <w:jc w:val="both"/>
              <w:rPr/>
            </w:pPr>
            <w:r>
              <w:rPr>
                <w:spacing w:val="1"/>
              </w:rPr>
              <w:t>粉矿仓废气（</w:t>
            </w:r>
            <w:r>
              <w:rPr>
                <w:rFonts w:ascii="Times New Roman" w:hAnsi="Times New Roman" w:eastAsia="Times New Roman" w:cs="Times New Roman"/>
              </w:rPr>
              <w:t>DA</w:t>
            </w:r>
            <w:r>
              <w:rPr>
                <w:rFonts w:ascii="Times New Roman" w:hAnsi="Times New Roman" w:eastAsia="Times New Roman" w:cs="Times New Roman"/>
                <w:spacing w:val="1"/>
              </w:rPr>
              <w:t>005</w:t>
            </w:r>
            <w:r>
              <w:rPr>
                <w:spacing w:val="1"/>
              </w:rPr>
              <w:t>）</w:t>
            </w:r>
            <w:r>
              <w:rPr>
                <w:spacing w:val="-56"/>
              </w:rPr>
              <w:t xml:space="preserve"> </w:t>
            </w:r>
            <w:r>
              <w:rPr>
                <w:spacing w:val="1"/>
              </w:rPr>
              <w:t>袋</w:t>
            </w:r>
            <w:r>
              <w:rPr>
                <w:spacing w:val="-19"/>
              </w:rPr>
              <w:t xml:space="preserve"> </w:t>
            </w:r>
            <w:r>
              <w:rPr>
                <w:spacing w:val="1"/>
              </w:rPr>
              <w:t>式</w:t>
            </w:r>
            <w:r>
              <w:rPr>
                <w:spacing w:val="1"/>
              </w:rPr>
              <w:t xml:space="preserve"> </w:t>
            </w:r>
            <w:r>
              <w:rPr>
                <w:spacing w:val="1"/>
              </w:rPr>
              <w:t>除</w:t>
            </w:r>
            <w:r>
              <w:rPr>
                <w:spacing w:val="-22"/>
              </w:rPr>
              <w:t xml:space="preserve"> </w:t>
            </w:r>
            <w:r>
              <w:rPr>
                <w:spacing w:val="1"/>
              </w:rPr>
              <w:t>尘</w:t>
            </w:r>
            <w:r>
              <w:rPr>
                <w:spacing w:val="2"/>
              </w:rPr>
              <w:t>（除尘效率</w:t>
            </w:r>
            <w:r>
              <w:rPr>
                <w:rFonts w:ascii="Times New Roman" w:hAnsi="Times New Roman" w:eastAsia="Times New Roman" w:cs="Times New Roman"/>
                <w:spacing w:val="2"/>
              </w:rPr>
              <w:t>98%</w:t>
            </w:r>
            <w:r>
              <w:rPr>
                <w:spacing w:val="2"/>
              </w:rPr>
              <w:t>）处理后经</w:t>
            </w:r>
            <w:r>
              <w:rPr>
                <w:spacing w:val="-10"/>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1"/>
                <w:w w:val="101"/>
              </w:rPr>
              <w:t xml:space="preserve"> </w:t>
            </w:r>
            <w:r>
              <w:rPr>
                <w:spacing w:val="2"/>
              </w:rPr>
              <w:t>高排气</w:t>
            </w:r>
            <w:r>
              <w:rPr>
                <w:spacing w:val="3"/>
              </w:rPr>
              <w:t>筒排放</w:t>
            </w:r>
          </w:p>
        </w:tc>
        <w:tc>
          <w:tcPr>
            <w:tcW w:w="2131" w:type="dxa"/>
            <w:vAlign w:val="top"/>
            <w:tcBorders>
              <w:right w:val="nil"/>
            </w:tcBorders>
          </w:tcPr>
          <w:p>
            <w:pPr>
              <w:spacing w:line="351" w:lineRule="auto"/>
              <w:rPr>
                <w:rFonts w:ascii="Arial"/>
                <w:sz w:val="21"/>
              </w:rPr>
            </w:pPr>
            <w:r/>
          </w:p>
          <w:p>
            <w:pPr>
              <w:ind w:left="9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939"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continue"/>
            <w:tcBorders>
              <w:top w:val="nil"/>
              <w:bottom w:val="nil"/>
            </w:tcBorders>
          </w:tcPr>
          <w:p>
            <w:pPr>
              <w:rPr>
                <w:rFonts w:ascii="Arial"/>
                <w:sz w:val="21"/>
              </w:rPr>
            </w:pPr>
            <w:r/>
          </w:p>
        </w:tc>
        <w:tc>
          <w:tcPr>
            <w:tcW w:w="3759" w:type="dxa"/>
            <w:vAlign w:val="top"/>
          </w:tcPr>
          <w:p>
            <w:pPr>
              <w:pStyle w:val="TableText"/>
              <w:ind w:left="119" w:right="107" w:firstLine="420"/>
              <w:spacing w:before="64" w:line="266" w:lineRule="auto"/>
              <w:jc w:val="both"/>
              <w:rPr/>
            </w:pPr>
            <w:r>
              <w:rPr>
                <w:spacing w:val="7"/>
              </w:rPr>
              <w:t>食堂油烟（</w:t>
            </w:r>
            <w:r>
              <w:rPr>
                <w:rFonts w:ascii="Times New Roman" w:hAnsi="Times New Roman" w:eastAsia="Times New Roman" w:cs="Times New Roman"/>
              </w:rPr>
              <w:t>DA</w:t>
            </w:r>
            <w:r>
              <w:rPr>
                <w:rFonts w:ascii="Times New Roman" w:hAnsi="Times New Roman" w:eastAsia="Times New Roman" w:cs="Times New Roman"/>
                <w:spacing w:val="7"/>
              </w:rPr>
              <w:t>006</w:t>
            </w:r>
            <w:r>
              <w:rPr>
                <w:spacing w:val="7"/>
              </w:rPr>
              <w:t>）油烟净化装置</w:t>
            </w:r>
            <w:r>
              <w:rPr>
                <w:spacing w:val="5"/>
              </w:rPr>
              <w:t>净化后（油烟净化效率</w:t>
            </w:r>
            <w:r>
              <w:rPr>
                <w:spacing w:val="-31"/>
              </w:rPr>
              <w:t xml:space="preserve"> </w:t>
            </w:r>
            <w:r>
              <w:rPr>
                <w:rFonts w:ascii="Times New Roman" w:hAnsi="Times New Roman" w:eastAsia="Times New Roman" w:cs="Times New Roman"/>
                <w:spacing w:val="5"/>
              </w:rPr>
              <w:t>80%</w:t>
            </w:r>
            <w:r>
              <w:rPr>
                <w:spacing w:val="5"/>
              </w:rPr>
              <w:t>）通过专用</w:t>
            </w:r>
            <w:r>
              <w:rPr>
                <w:spacing w:val="8"/>
              </w:rPr>
              <w:t>烟道引至屋顶排放</w:t>
            </w:r>
          </w:p>
        </w:tc>
        <w:tc>
          <w:tcPr>
            <w:tcW w:w="2131" w:type="dxa"/>
            <w:vAlign w:val="top"/>
            <w:tcBorders>
              <w:right w:val="nil"/>
            </w:tcBorders>
          </w:tcPr>
          <w:p>
            <w:pPr>
              <w:spacing w:line="355" w:lineRule="auto"/>
              <w:rPr>
                <w:rFonts w:ascii="Arial"/>
                <w:sz w:val="21"/>
              </w:rPr>
            </w:pPr>
            <w:r/>
          </w:p>
          <w:p>
            <w:pPr>
              <w:ind w:left="102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4677" w:hRule="atLeast"/>
        </w:trPr>
        <w:tc>
          <w:tcPr>
            <w:tcW w:w="965" w:type="dxa"/>
            <w:vAlign w:val="top"/>
            <w:vMerge w:val="continue"/>
            <w:tcBorders>
              <w:left w:val="nil"/>
              <w:bottom w:val="nil"/>
              <w:top w:val="nil"/>
            </w:tcBorders>
          </w:tcPr>
          <w:p>
            <w:pPr>
              <w:rPr>
                <w:rFonts w:ascii="Arial"/>
                <w:sz w:val="21"/>
              </w:rPr>
            </w:pPr>
            <w:r/>
          </w:p>
        </w:tc>
        <w:tc>
          <w:tcPr>
            <w:tcW w:w="1667" w:type="dxa"/>
            <w:vAlign w:val="top"/>
            <w:vMerge w:val="continue"/>
            <w:tcBorders>
              <w:top w:val="nil"/>
            </w:tcBorders>
          </w:tcPr>
          <w:p>
            <w:pPr>
              <w:rPr>
                <w:rFonts w:ascii="Arial"/>
                <w:sz w:val="21"/>
              </w:rPr>
            </w:pPr>
            <w:r/>
          </w:p>
        </w:tc>
        <w:tc>
          <w:tcPr>
            <w:tcW w:w="3759" w:type="dxa"/>
            <w:vAlign w:val="top"/>
          </w:tcPr>
          <w:p>
            <w:pPr>
              <w:pStyle w:val="TableText"/>
              <w:ind w:left="119" w:right="105" w:firstLine="421"/>
              <w:spacing w:before="68" w:line="283" w:lineRule="auto"/>
              <w:jc w:val="both"/>
              <w:rPr/>
            </w:pPr>
            <w:r>
              <w:rPr>
                <w:spacing w:val="7"/>
              </w:rPr>
              <w:t>道路运输扬尘、堆场装卸扬尘、选</w:t>
            </w:r>
            <w:r>
              <w:rPr>
                <w:spacing w:val="7"/>
              </w:rPr>
              <w:t>矿工艺废气：运输车辆装载高度不高于</w:t>
            </w:r>
            <w:r>
              <w:rPr>
                <w:spacing w:val="7"/>
              </w:rPr>
              <w:t>车厢、加盖苦布以控制矿石运输风力扬</w:t>
            </w:r>
            <w:r>
              <w:rPr>
                <w:spacing w:val="7"/>
              </w:rPr>
              <w:t>尘和物料抛酒路面产生二次污染；应减</w:t>
            </w:r>
            <w:r>
              <w:rPr>
                <w:spacing w:val="7"/>
              </w:rPr>
              <w:t>速慢行，减少车辆颠簸，矿石抛酒，配</w:t>
            </w:r>
            <w:r>
              <w:rPr>
                <w:spacing w:val="7"/>
              </w:rPr>
              <w:t>置专人及时清扫路面，并配置洒水车定</w:t>
            </w:r>
            <w:r>
              <w:rPr>
                <w:spacing w:val="7"/>
              </w:rPr>
              <w:t>时洒水防尘。项目建设的堆场均采用素</w:t>
            </w:r>
            <w:r>
              <w:rPr>
                <w:spacing w:val="17"/>
              </w:rPr>
              <w:t>混凝土地面基础</w:t>
            </w:r>
            <w:r>
              <w:rPr>
                <w:spacing w:val="-44"/>
              </w:rPr>
              <w:t xml:space="preserve"> </w:t>
            </w:r>
            <w:r>
              <w:rPr>
                <w:spacing w:val="17"/>
              </w:rPr>
              <w:t>、全封闭彩钢结构建</w:t>
            </w:r>
            <w:r>
              <w:rPr>
                <w:spacing w:val="7"/>
              </w:rPr>
              <w:t>设。同时对本项目项目各堆场内的物料</w:t>
            </w:r>
            <w:r>
              <w:rPr>
                <w:spacing w:val="7"/>
              </w:rPr>
              <w:t>采用苫布覆盖，并在堆场及周围设置洒</w:t>
            </w:r>
            <w:r>
              <w:rPr>
                <w:spacing w:val="7"/>
              </w:rPr>
              <w:t>水抑尘装置有风、干燥情况下，定时洒</w:t>
            </w:r>
            <w:r>
              <w:rPr>
                <w:spacing w:val="7"/>
              </w:rPr>
              <w:t>水。车间无组织废气要求对厂房进行封</w:t>
            </w:r>
            <w:r>
              <w:rPr>
                <w:spacing w:val="7"/>
              </w:rPr>
              <w:t>闭设置，同时要求在车间及皮带运输机</w:t>
            </w:r>
            <w:r>
              <w:rPr>
                <w:spacing w:val="7"/>
              </w:rPr>
              <w:t>的卸料点设置喷雾降尘设施，并加强个</w:t>
            </w:r>
            <w:r>
              <w:rPr>
                <w:spacing w:val="3"/>
              </w:rPr>
              <w:t>体防护。</w:t>
            </w:r>
          </w:p>
        </w:tc>
        <w:tc>
          <w:tcPr>
            <w:tcW w:w="2131" w:type="dxa"/>
            <w:vAlign w:val="top"/>
            <w:tcBorders>
              <w:right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9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rPr>
          <w:trHeight w:val="1584" w:hRule="atLeast"/>
        </w:trPr>
        <w:tc>
          <w:tcPr>
            <w:tcW w:w="965" w:type="dxa"/>
            <w:vAlign w:val="top"/>
            <w:vMerge w:val="continue"/>
            <w:tcBorders>
              <w:left w:val="nil"/>
              <w:bottom w:val="single" w:color="000000" w:sz="10" w:space="0"/>
              <w:top w:val="nil"/>
            </w:tcBorders>
          </w:tcPr>
          <w:p>
            <w:pPr>
              <w:rPr>
                <w:rFonts w:ascii="Arial"/>
                <w:sz w:val="21"/>
              </w:rPr>
            </w:pPr>
            <w:r/>
          </w:p>
        </w:tc>
        <w:tc>
          <w:tcPr>
            <w:tcW w:w="1667" w:type="dxa"/>
            <w:vAlign w:val="top"/>
            <w:tcBorders>
              <w:bottom w:val="single" w:color="000000" w:sz="10" w:space="0"/>
            </w:tcBorders>
          </w:tcPr>
          <w:p>
            <w:pPr>
              <w:spacing w:line="314" w:lineRule="auto"/>
              <w:rPr>
                <w:rFonts w:ascii="Arial"/>
                <w:sz w:val="21"/>
              </w:rPr>
            </w:pPr>
            <w:r/>
          </w:p>
          <w:p>
            <w:pPr>
              <w:spacing w:line="314" w:lineRule="auto"/>
              <w:rPr>
                <w:rFonts w:ascii="Arial"/>
                <w:sz w:val="21"/>
              </w:rPr>
            </w:pPr>
            <w:r/>
          </w:p>
          <w:p>
            <w:pPr>
              <w:pStyle w:val="TableText"/>
              <w:ind w:left="644"/>
              <w:spacing w:before="65" w:line="231" w:lineRule="auto"/>
              <w:rPr/>
            </w:pPr>
            <w:r>
              <w:rPr>
                <w:spacing w:val="-3"/>
              </w:rPr>
              <w:t>噪声</w:t>
            </w:r>
          </w:p>
        </w:tc>
        <w:tc>
          <w:tcPr>
            <w:tcW w:w="3759" w:type="dxa"/>
            <w:vAlign w:val="top"/>
            <w:tcBorders>
              <w:bottom w:val="single" w:color="000000" w:sz="10" w:space="0"/>
            </w:tcBorders>
          </w:tcPr>
          <w:p>
            <w:pPr>
              <w:pStyle w:val="TableText"/>
              <w:ind w:left="120" w:right="105" w:firstLine="432"/>
              <w:spacing w:before="73" w:line="277" w:lineRule="auto"/>
              <w:rPr/>
            </w:pPr>
            <w:r>
              <w:rPr>
                <w:spacing w:val="6"/>
              </w:rPr>
              <w:t>生产设备选用低噪声设备，设备加</w:t>
            </w:r>
            <w:r>
              <w:rPr>
                <w:spacing w:val="7"/>
              </w:rPr>
              <w:t>装减振和消音装置，定期检修；禁鸣标</w:t>
            </w:r>
            <w:r>
              <w:rPr>
                <w:spacing w:val="7"/>
              </w:rPr>
              <w:t>识：对于开采现场的工作人员，钻机、</w:t>
            </w:r>
            <w:r>
              <w:rPr>
                <w:spacing w:val="7"/>
              </w:rPr>
              <w:t>凿岩机等排放的高噪声对其影响较大，</w:t>
            </w:r>
            <w:r>
              <w:rPr>
                <w:spacing w:val="20"/>
              </w:rPr>
              <w:t>需为操作人员配备隔音耳罩或耳塞保</w:t>
            </w:r>
          </w:p>
        </w:tc>
        <w:tc>
          <w:tcPr>
            <w:tcW w:w="2131" w:type="dxa"/>
            <w:vAlign w:val="top"/>
            <w:tcBorders>
              <w:right w:val="nil"/>
              <w:bottom w:val="single" w:color="000000" w:sz="10" w:space="0"/>
            </w:tcBorders>
          </w:tcPr>
          <w:p>
            <w:pPr>
              <w:spacing w:line="335" w:lineRule="auto"/>
              <w:rPr>
                <w:rFonts w:ascii="Arial"/>
                <w:sz w:val="21"/>
              </w:rPr>
            </w:pPr>
            <w:r/>
          </w:p>
          <w:p>
            <w:pPr>
              <w:spacing w:line="336" w:lineRule="auto"/>
              <w:rPr>
                <w:rFonts w:ascii="Arial"/>
                <w:sz w:val="21"/>
              </w:rPr>
            </w:pPr>
            <w:r/>
          </w:p>
          <w:p>
            <w:pPr>
              <w:ind w:left="98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r>
    </w:tbl>
    <w:p>
      <w:pPr>
        <w:pStyle w:val="BodyText"/>
        <w:spacing w:line="185" w:lineRule="exact"/>
        <w:rPr>
          <w:sz w:val="16"/>
        </w:rPr>
      </w:pPr>
      <w:r/>
    </w:p>
    <w:p>
      <w:pPr>
        <w:spacing w:line="185" w:lineRule="exact"/>
        <w:sectPr>
          <w:footerReference w:type="default" r:id="rId382"/>
          <w:pgSz w:w="11906" w:h="16839"/>
          <w:pgMar w:top="400" w:right="1691" w:bottom="1358" w:left="1691" w:header="0" w:footer="1195" w:gutter="0"/>
        </w:sectPr>
        <w:rPr>
          <w:sz w:val="16"/>
          <w:szCs w:val="16"/>
        </w:rPr>
      </w:pPr>
    </w:p>
    <w:p>
      <w:pPr>
        <w:spacing w:before="19"/>
        <w:rPr/>
      </w:pPr>
      <w:r/>
    </w:p>
    <w:p>
      <w:pPr>
        <w:spacing w:before="19"/>
        <w:rPr/>
      </w:pPr>
      <w:r/>
    </w:p>
    <w:p>
      <w:pPr>
        <w:spacing w:before="18"/>
        <w:rPr/>
      </w:pPr>
      <w:r/>
    </w:p>
    <w:p>
      <w:pPr>
        <w:spacing w:before="18"/>
        <w:rPr/>
      </w:pPr>
      <w:r/>
    </w:p>
    <w:tbl>
      <w:tblPr>
        <w:tblStyle w:val="TableNormal"/>
        <w:tblW w:w="85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1667"/>
        <w:gridCol w:w="3759"/>
        <w:gridCol w:w="2131"/>
      </w:tblGrid>
      <w:tr>
        <w:trPr>
          <w:trHeight w:val="301" w:hRule="atLeast"/>
        </w:trPr>
        <w:tc>
          <w:tcPr>
            <w:tcW w:w="965" w:type="dxa"/>
            <w:vAlign w:val="top"/>
            <w:vMerge w:val="restart"/>
            <w:tcBorders>
              <w:left w:val="nil"/>
              <w:top w:val="single" w:color="000000" w:sz="10" w:space="0"/>
              <w:bottom w:val="nil"/>
            </w:tcBorders>
          </w:tcPr>
          <w:p>
            <w:pPr>
              <w:rPr>
                <w:rFonts w:ascii="Arial"/>
                <w:sz w:val="21"/>
              </w:rPr>
            </w:pPr>
            <w:r/>
          </w:p>
        </w:tc>
        <w:tc>
          <w:tcPr>
            <w:tcW w:w="1667" w:type="dxa"/>
            <w:vAlign w:val="top"/>
            <w:tcBorders>
              <w:top w:val="single" w:color="000000" w:sz="10" w:space="0"/>
            </w:tcBorders>
          </w:tcPr>
          <w:p>
            <w:pPr>
              <w:rPr>
                <w:rFonts w:ascii="Arial"/>
                <w:sz w:val="21"/>
              </w:rPr>
            </w:pPr>
            <w:r/>
          </w:p>
        </w:tc>
        <w:tc>
          <w:tcPr>
            <w:tcW w:w="3759" w:type="dxa"/>
            <w:vAlign w:val="top"/>
            <w:tcBorders>
              <w:top w:val="single" w:color="000000" w:sz="10" w:space="0"/>
            </w:tcBorders>
          </w:tcPr>
          <w:p>
            <w:pPr>
              <w:pStyle w:val="TableText"/>
              <w:ind w:left="119"/>
              <w:spacing w:before="36" w:line="231" w:lineRule="auto"/>
              <w:rPr/>
            </w:pPr>
            <w:bookmarkStart w:name="bookmark632" w:id="538"/>
            <w:bookmarkEnd w:id="538"/>
            <w:r>
              <w:rPr>
                <w:spacing w:val="5"/>
              </w:rPr>
              <w:t>护听力</w:t>
            </w:r>
          </w:p>
        </w:tc>
        <w:tc>
          <w:tcPr>
            <w:tcW w:w="2131" w:type="dxa"/>
            <w:vAlign w:val="top"/>
            <w:tcBorders>
              <w:right w:val="nil"/>
              <w:top w:val="single" w:color="000000" w:sz="10" w:space="0"/>
            </w:tcBorders>
          </w:tcPr>
          <w:p>
            <w:pPr>
              <w:rPr>
                <w:rFonts w:ascii="Arial"/>
                <w:sz w:val="21"/>
              </w:rPr>
            </w:pPr>
            <w:r/>
          </w:p>
        </w:tc>
      </w:tr>
      <w:tr>
        <w:trPr>
          <w:trHeight w:val="4359" w:hRule="atLeast"/>
        </w:trPr>
        <w:tc>
          <w:tcPr>
            <w:tcW w:w="965" w:type="dxa"/>
            <w:vAlign w:val="top"/>
            <w:vMerge w:val="continue"/>
            <w:tcBorders>
              <w:left w:val="nil"/>
              <w:top w:val="nil"/>
              <w:bottom w:val="nil"/>
            </w:tcBorders>
          </w:tcPr>
          <w:p>
            <w:pPr>
              <w:rPr>
                <w:rFonts w:ascii="Arial"/>
                <w:sz w:val="21"/>
              </w:rPr>
            </w:pPr>
            <w:r/>
          </w:p>
        </w:tc>
        <w:tc>
          <w:tcPr>
            <w:tcW w:w="1667"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446"/>
              <w:spacing w:before="65" w:line="229" w:lineRule="auto"/>
              <w:rPr/>
            </w:pPr>
            <w:r>
              <w:rPr/>
              <w:t>固体废物</w:t>
            </w:r>
          </w:p>
        </w:tc>
        <w:tc>
          <w:tcPr>
            <w:tcW w:w="3759" w:type="dxa"/>
            <w:vAlign w:val="top"/>
          </w:tcPr>
          <w:p>
            <w:pPr>
              <w:pStyle w:val="TableText"/>
              <w:ind w:left="120" w:right="107" w:firstLine="432"/>
              <w:spacing w:before="56" w:line="283" w:lineRule="auto"/>
              <w:rPr/>
            </w:pPr>
            <w:r>
              <w:rPr>
                <w:spacing w:val="6"/>
              </w:rPr>
              <w:t>生活垃圾采用垃圾桶收集，集中收</w:t>
            </w:r>
            <w:r>
              <w:rPr>
                <w:spacing w:val="7"/>
              </w:rPr>
              <w:t>集后定期交由当地环卫部门统一处理；</w:t>
            </w:r>
            <w:r>
              <w:rPr>
                <w:spacing w:val="7"/>
              </w:rPr>
              <w:t>餐厨垃圾（含废油脂）集中密闭桶装收</w:t>
            </w:r>
            <w:r>
              <w:rPr>
                <w:spacing w:val="7"/>
              </w:rPr>
              <w:t>集，定期交由有资质的单位处理；采矿</w:t>
            </w:r>
            <w:r>
              <w:rPr>
                <w:spacing w:val="7"/>
              </w:rPr>
              <w:t>废石不出坑，直接回填至井下空区；高</w:t>
            </w:r>
            <w:r>
              <w:rPr>
                <w:spacing w:val="7"/>
              </w:rPr>
              <w:t>位水池、回水池产生的污泥直接返回选</w:t>
            </w:r>
            <w:r>
              <w:rPr>
                <w:spacing w:val="7"/>
              </w:rPr>
              <w:t>矿工序作原料；尾矿经浓缩过滤脱水后</w:t>
            </w:r>
            <w:r>
              <w:rPr>
                <w:spacing w:val="7"/>
              </w:rPr>
              <w:t>临时堆存在尾矿临时堆场，优先用于回</w:t>
            </w:r>
            <w:r>
              <w:rPr>
                <w:spacing w:val="7"/>
              </w:rPr>
              <w:t>填井下采空区，剩余外售至建材生产企</w:t>
            </w:r>
            <w:r>
              <w:rPr>
                <w:spacing w:val="7"/>
              </w:rPr>
              <w:t>业生产建材；布袋除尘灰全部返回磨浮</w:t>
            </w:r>
            <w:r>
              <w:rPr>
                <w:spacing w:val="7"/>
              </w:rPr>
              <w:t>工序作原料；废布袋收集后交由厂家回</w:t>
            </w:r>
            <w:r>
              <w:rPr>
                <w:spacing w:val="7"/>
              </w:rPr>
              <w:t>收处理；危险废物集中暂存于危险废物</w:t>
            </w:r>
            <w:r>
              <w:rPr>
                <w:spacing w:val="7"/>
              </w:rPr>
              <w:t>贮存点内，定期送有危险废物处理资质</w:t>
            </w:r>
            <w:r>
              <w:rPr>
                <w:spacing w:val="7"/>
              </w:rPr>
              <w:t>的单位进行处理</w:t>
            </w:r>
            <w:r>
              <w:rPr>
                <w:rFonts w:ascii="Times New Roman" w:hAnsi="Times New Roman" w:eastAsia="Times New Roman" w:cs="Times New Roman"/>
                <w:spacing w:val="7"/>
              </w:rPr>
              <w:t>/</w:t>
            </w:r>
            <w:r>
              <w:rPr>
                <w:spacing w:val="7"/>
              </w:rPr>
              <w:t>处置</w:t>
            </w:r>
          </w:p>
        </w:tc>
        <w:tc>
          <w:tcPr>
            <w:tcW w:w="2131" w:type="dxa"/>
            <w:vAlign w:val="top"/>
            <w:tcBorders>
              <w:right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98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r>
      <w:tr>
        <w:trPr>
          <w:trHeight w:val="316" w:hRule="atLeast"/>
        </w:trPr>
        <w:tc>
          <w:tcPr>
            <w:tcW w:w="965" w:type="dxa"/>
            <w:vAlign w:val="top"/>
            <w:vMerge w:val="continue"/>
            <w:tcBorders>
              <w:left w:val="nil"/>
              <w:top w:val="nil"/>
              <w:bottom w:val="nil"/>
            </w:tcBorders>
          </w:tcPr>
          <w:p>
            <w:pPr>
              <w:rPr>
                <w:rFonts w:ascii="Arial"/>
                <w:sz w:val="21"/>
              </w:rPr>
            </w:pPr>
            <w:r/>
          </w:p>
        </w:tc>
        <w:tc>
          <w:tcPr>
            <w:tcW w:w="1667" w:type="dxa"/>
            <w:vAlign w:val="top"/>
          </w:tcPr>
          <w:p>
            <w:pPr>
              <w:pStyle w:val="TableText"/>
              <w:ind w:left="647"/>
              <w:spacing w:before="65" w:line="222" w:lineRule="auto"/>
              <w:rPr/>
            </w:pPr>
            <w:r>
              <w:rPr>
                <w:spacing w:val="-5"/>
              </w:rPr>
              <w:t>生态</w:t>
            </w:r>
          </w:p>
        </w:tc>
        <w:tc>
          <w:tcPr>
            <w:tcW w:w="3759" w:type="dxa"/>
            <w:vAlign w:val="top"/>
          </w:tcPr>
          <w:p>
            <w:pPr>
              <w:pStyle w:val="TableText"/>
              <w:ind w:left="540"/>
              <w:spacing w:before="65" w:line="222" w:lineRule="auto"/>
              <w:rPr/>
            </w:pPr>
            <w:r>
              <w:rPr>
                <w:spacing w:val="8"/>
              </w:rPr>
              <w:t>场地绿化、边开采边治理</w:t>
            </w:r>
          </w:p>
        </w:tc>
        <w:tc>
          <w:tcPr>
            <w:tcW w:w="2131" w:type="dxa"/>
            <w:vAlign w:val="top"/>
            <w:tcBorders>
              <w:right w:val="nil"/>
            </w:tcBorders>
          </w:tcPr>
          <w:p>
            <w:pPr>
              <w:ind w:left="966"/>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trPr>
          <w:trHeight w:val="316" w:hRule="atLeast"/>
        </w:trPr>
        <w:tc>
          <w:tcPr>
            <w:tcW w:w="965" w:type="dxa"/>
            <w:vAlign w:val="top"/>
            <w:vMerge w:val="continue"/>
            <w:tcBorders>
              <w:left w:val="nil"/>
              <w:top w:val="nil"/>
              <w:bottom w:val="nil"/>
            </w:tcBorders>
          </w:tcPr>
          <w:p>
            <w:pPr>
              <w:rPr>
                <w:rFonts w:ascii="Arial"/>
                <w:sz w:val="21"/>
              </w:rPr>
            </w:pPr>
            <w:r/>
          </w:p>
        </w:tc>
        <w:tc>
          <w:tcPr>
            <w:tcW w:w="1667" w:type="dxa"/>
            <w:vAlign w:val="top"/>
            <w:vMerge w:val="restart"/>
            <w:tcBorders>
              <w:bottom w:val="nil"/>
            </w:tcBorders>
          </w:tcPr>
          <w:p>
            <w:pPr>
              <w:pStyle w:val="TableText"/>
              <w:ind w:left="636"/>
              <w:spacing w:before="229" w:line="232" w:lineRule="auto"/>
              <w:rPr/>
            </w:pPr>
            <w:r>
              <w:rPr>
                <w:spacing w:val="1"/>
              </w:rPr>
              <w:t>风险</w:t>
            </w:r>
          </w:p>
        </w:tc>
        <w:tc>
          <w:tcPr>
            <w:tcW w:w="3759" w:type="dxa"/>
            <w:vAlign w:val="top"/>
          </w:tcPr>
          <w:p>
            <w:pPr>
              <w:pStyle w:val="TableText"/>
              <w:ind w:left="540"/>
              <w:spacing w:before="66" w:line="221" w:lineRule="auto"/>
              <w:rPr/>
            </w:pPr>
            <w:r>
              <w:rPr>
                <w:spacing w:val="7"/>
              </w:rPr>
              <w:t>事故应急池、应急物资、应急材料</w:t>
            </w:r>
          </w:p>
        </w:tc>
        <w:tc>
          <w:tcPr>
            <w:tcW w:w="2131" w:type="dxa"/>
            <w:vAlign w:val="top"/>
            <w:tcBorders>
              <w:right w:val="nil"/>
            </w:tcBorders>
          </w:tcPr>
          <w:p>
            <w:pPr>
              <w:ind w:left="101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rPr>
          <w:trHeight w:val="316" w:hRule="atLeast"/>
        </w:trPr>
        <w:tc>
          <w:tcPr>
            <w:tcW w:w="965" w:type="dxa"/>
            <w:vAlign w:val="top"/>
            <w:vMerge w:val="continue"/>
            <w:tcBorders>
              <w:left w:val="nil"/>
              <w:top w:val="nil"/>
            </w:tcBorders>
          </w:tcPr>
          <w:p>
            <w:pPr>
              <w:rPr>
                <w:rFonts w:ascii="Arial"/>
                <w:sz w:val="21"/>
              </w:rPr>
            </w:pPr>
            <w:r/>
          </w:p>
        </w:tc>
        <w:tc>
          <w:tcPr>
            <w:tcW w:w="1667" w:type="dxa"/>
            <w:vAlign w:val="top"/>
            <w:vMerge w:val="continue"/>
            <w:tcBorders>
              <w:top w:val="nil"/>
            </w:tcBorders>
          </w:tcPr>
          <w:p>
            <w:pPr>
              <w:rPr>
                <w:rFonts w:ascii="Arial"/>
                <w:sz w:val="21"/>
              </w:rPr>
            </w:pPr>
            <w:r/>
          </w:p>
        </w:tc>
        <w:tc>
          <w:tcPr>
            <w:tcW w:w="3759" w:type="dxa"/>
            <w:vAlign w:val="top"/>
          </w:tcPr>
          <w:p>
            <w:pPr>
              <w:pStyle w:val="TableText"/>
              <w:ind w:left="541"/>
              <w:spacing w:before="68" w:line="219" w:lineRule="auto"/>
              <w:rPr/>
            </w:pPr>
            <w:r>
              <w:rPr>
                <w:spacing w:val="8"/>
              </w:rPr>
              <w:t>编制环境风险应急预案</w:t>
            </w:r>
          </w:p>
        </w:tc>
        <w:tc>
          <w:tcPr>
            <w:tcW w:w="2131" w:type="dxa"/>
            <w:vAlign w:val="top"/>
            <w:tcBorders>
              <w:right w:val="nil"/>
            </w:tcBorders>
          </w:tcPr>
          <w:p>
            <w:pPr>
              <w:ind w:left="98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r>
      <w:tr>
        <w:trPr>
          <w:trHeight w:val="938" w:hRule="atLeast"/>
        </w:trPr>
        <w:tc>
          <w:tcPr>
            <w:tcW w:w="965" w:type="dxa"/>
            <w:vAlign w:val="top"/>
            <w:vMerge w:val="restart"/>
            <w:tcBorders>
              <w:left w:val="nil"/>
              <w:bottom w:val="nil"/>
            </w:tcBorders>
          </w:tcPr>
          <w:p>
            <w:pPr>
              <w:spacing w:line="314" w:lineRule="auto"/>
              <w:rPr>
                <w:rFonts w:ascii="Arial"/>
                <w:sz w:val="21"/>
              </w:rPr>
            </w:pPr>
            <w:r/>
          </w:p>
          <w:p>
            <w:pPr>
              <w:spacing w:line="315" w:lineRule="auto"/>
              <w:rPr>
                <w:rFonts w:ascii="Arial"/>
                <w:sz w:val="21"/>
              </w:rPr>
            </w:pPr>
            <w:r/>
          </w:p>
          <w:p>
            <w:pPr>
              <w:pStyle w:val="TableText"/>
              <w:ind w:left="202"/>
              <w:spacing w:before="65" w:line="230" w:lineRule="auto"/>
              <w:rPr/>
            </w:pPr>
            <w:r>
              <w:rPr>
                <w:spacing w:val="-2"/>
              </w:rPr>
              <w:t>闭矿期</w:t>
            </w:r>
          </w:p>
        </w:tc>
        <w:tc>
          <w:tcPr>
            <w:tcW w:w="1667" w:type="dxa"/>
            <w:vAlign w:val="top"/>
          </w:tcPr>
          <w:p>
            <w:pPr>
              <w:spacing w:line="314" w:lineRule="auto"/>
              <w:rPr>
                <w:rFonts w:ascii="Arial"/>
                <w:sz w:val="21"/>
              </w:rPr>
            </w:pPr>
            <w:r/>
          </w:p>
          <w:p>
            <w:pPr>
              <w:pStyle w:val="TableText"/>
              <w:ind w:left="235"/>
              <w:spacing w:before="65" w:line="229" w:lineRule="auto"/>
              <w:rPr/>
            </w:pPr>
            <w:r>
              <w:rPr>
                <w:spacing w:val="3"/>
              </w:rPr>
              <w:t>闭矿生态恢复</w:t>
            </w:r>
          </w:p>
        </w:tc>
        <w:tc>
          <w:tcPr>
            <w:tcW w:w="3759" w:type="dxa"/>
            <w:vAlign w:val="top"/>
          </w:tcPr>
          <w:p>
            <w:pPr>
              <w:pStyle w:val="TableText"/>
              <w:ind w:left="122" w:right="105" w:firstLine="416"/>
              <w:spacing w:before="69" w:line="264" w:lineRule="auto"/>
              <w:jc w:val="both"/>
              <w:rPr/>
            </w:pPr>
            <w:r>
              <w:rPr>
                <w:spacing w:val="7"/>
              </w:rPr>
              <w:t>服务期满后，全面进行生态恢复，</w:t>
            </w:r>
            <w:r>
              <w:rPr>
                <w:spacing w:val="20"/>
              </w:rPr>
              <w:t>包括办公生活区等场地建筑设施拆除</w:t>
            </w:r>
            <w:r>
              <w:rPr>
                <w:spacing w:val="7"/>
              </w:rPr>
              <w:t>清理、地质环境综合整治、土地复垦等</w:t>
            </w:r>
          </w:p>
        </w:tc>
        <w:tc>
          <w:tcPr>
            <w:tcW w:w="2131" w:type="dxa"/>
            <w:vAlign w:val="top"/>
            <w:tcBorders>
              <w:right w:val="nil"/>
            </w:tcBorders>
          </w:tcPr>
          <w:p>
            <w:pPr>
              <w:spacing w:line="358" w:lineRule="auto"/>
              <w:rPr>
                <w:rFonts w:ascii="Arial"/>
                <w:sz w:val="21"/>
              </w:rPr>
            </w:pPr>
            <w:r/>
          </w:p>
          <w:p>
            <w:pPr>
              <w:ind w:left="97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r>
      <w:tr>
        <w:trPr>
          <w:trHeight w:val="627" w:hRule="atLeast"/>
        </w:trPr>
        <w:tc>
          <w:tcPr>
            <w:tcW w:w="965" w:type="dxa"/>
            <w:vAlign w:val="top"/>
            <w:vMerge w:val="continue"/>
            <w:tcBorders>
              <w:left w:val="nil"/>
              <w:top w:val="nil"/>
            </w:tcBorders>
          </w:tcPr>
          <w:p>
            <w:pPr>
              <w:rPr>
                <w:rFonts w:ascii="Arial"/>
                <w:sz w:val="21"/>
              </w:rPr>
            </w:pPr>
            <w:r/>
          </w:p>
        </w:tc>
        <w:tc>
          <w:tcPr>
            <w:tcW w:w="1667" w:type="dxa"/>
            <w:vAlign w:val="top"/>
          </w:tcPr>
          <w:p>
            <w:pPr>
              <w:pStyle w:val="TableText"/>
              <w:ind w:left="423"/>
              <w:spacing w:before="228" w:line="229" w:lineRule="auto"/>
              <w:rPr/>
            </w:pPr>
            <w:r>
              <w:rPr>
                <w:spacing w:val="6"/>
              </w:rPr>
              <w:t>水土保持</w:t>
            </w:r>
          </w:p>
        </w:tc>
        <w:tc>
          <w:tcPr>
            <w:tcW w:w="3759" w:type="dxa"/>
            <w:vAlign w:val="top"/>
          </w:tcPr>
          <w:p>
            <w:pPr>
              <w:pStyle w:val="TableText"/>
              <w:ind w:left="120" w:right="107" w:firstLine="440"/>
              <w:spacing w:before="73" w:line="251" w:lineRule="auto"/>
              <w:rPr/>
            </w:pPr>
            <w:r>
              <w:rPr>
                <w:spacing w:val="5"/>
              </w:rPr>
              <w:t>闭矿期的水土保持监测、防治、补</w:t>
            </w:r>
            <w:r>
              <w:rPr>
                <w:spacing w:val="5"/>
              </w:rPr>
              <w:t>偿措施</w:t>
            </w:r>
          </w:p>
        </w:tc>
        <w:tc>
          <w:tcPr>
            <w:tcW w:w="2131" w:type="dxa"/>
            <w:vAlign w:val="top"/>
            <w:tcBorders>
              <w:right w:val="nil"/>
            </w:tcBorders>
          </w:tcPr>
          <w:p>
            <w:pPr>
              <w:ind w:left="966"/>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trPr>
          <w:trHeight w:val="627" w:hRule="atLeast"/>
        </w:trPr>
        <w:tc>
          <w:tcPr>
            <w:tcW w:w="965" w:type="dxa"/>
            <w:vAlign w:val="top"/>
            <w:tcBorders>
              <w:left w:val="nil"/>
            </w:tcBorders>
          </w:tcPr>
          <w:p>
            <w:pPr>
              <w:pStyle w:val="TableText"/>
              <w:ind w:left="286"/>
              <w:spacing w:before="230" w:line="230" w:lineRule="auto"/>
              <w:rPr/>
            </w:pPr>
            <w:r>
              <w:rPr>
                <w:spacing w:val="1"/>
              </w:rPr>
              <w:t>其他</w:t>
            </w:r>
          </w:p>
        </w:tc>
        <w:tc>
          <w:tcPr>
            <w:tcW w:w="1667" w:type="dxa"/>
            <w:vAlign w:val="top"/>
          </w:tcPr>
          <w:p>
            <w:pPr>
              <w:pStyle w:val="TableText"/>
              <w:ind w:left="423"/>
              <w:spacing w:before="229" w:line="231" w:lineRule="auto"/>
              <w:rPr/>
            </w:pPr>
            <w:r>
              <w:rPr>
                <w:spacing w:val="5"/>
              </w:rPr>
              <w:t>环境管理</w:t>
            </w:r>
          </w:p>
        </w:tc>
        <w:tc>
          <w:tcPr>
            <w:tcW w:w="3759" w:type="dxa"/>
            <w:vAlign w:val="top"/>
          </w:tcPr>
          <w:p>
            <w:pPr>
              <w:pStyle w:val="TableText"/>
              <w:ind w:left="125" w:right="107" w:firstLine="414"/>
              <w:spacing w:before="73" w:line="251" w:lineRule="auto"/>
              <w:rPr/>
            </w:pPr>
            <w:r>
              <w:rPr>
                <w:spacing w:val="7"/>
              </w:rPr>
              <w:t>开展环境监测、污染物监测及生态</w:t>
            </w:r>
            <w:r>
              <w:rPr>
                <w:spacing w:val="-1"/>
              </w:rPr>
              <w:t>监测</w:t>
            </w:r>
          </w:p>
        </w:tc>
        <w:tc>
          <w:tcPr>
            <w:tcW w:w="2131" w:type="dxa"/>
            <w:vAlign w:val="top"/>
            <w:tcBorders>
              <w:right w:val="nil"/>
            </w:tcBorders>
          </w:tcPr>
          <w:p>
            <w:pPr>
              <w:ind w:left="982"/>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r>
      <w:tr>
        <w:trPr>
          <w:trHeight w:val="340" w:hRule="atLeast"/>
        </w:trPr>
        <w:tc>
          <w:tcPr>
            <w:tcW w:w="6391" w:type="dxa"/>
            <w:vAlign w:val="top"/>
            <w:gridSpan w:val="3"/>
            <w:tcBorders>
              <w:left w:val="nil"/>
              <w:bottom w:val="single" w:color="000000" w:sz="10" w:space="0"/>
            </w:tcBorders>
          </w:tcPr>
          <w:p>
            <w:pPr>
              <w:pStyle w:val="TableText"/>
              <w:ind w:left="3005"/>
              <w:spacing w:before="75" w:line="231" w:lineRule="auto"/>
              <w:rPr/>
            </w:pPr>
            <w:r>
              <w:rPr>
                <w:spacing w:val="-1"/>
              </w:rPr>
              <w:t>合计</w:t>
            </w:r>
          </w:p>
        </w:tc>
        <w:tc>
          <w:tcPr>
            <w:tcW w:w="2131" w:type="dxa"/>
            <w:vAlign w:val="top"/>
            <w:tcBorders>
              <w:right w:val="nil"/>
              <w:bottom w:val="single" w:color="000000" w:sz="10" w:space="0"/>
            </w:tcBorders>
          </w:tcPr>
          <w:p>
            <w:pPr>
              <w:ind w:left="913"/>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381</w:t>
            </w:r>
          </w:p>
        </w:tc>
      </w:tr>
    </w:tbl>
    <w:p>
      <w:pPr>
        <w:pStyle w:val="BodyText"/>
        <w:spacing w:line="273" w:lineRule="auto"/>
        <w:rPr/>
      </w:pPr>
      <w:r/>
    </w:p>
    <w:p>
      <w:pPr>
        <w:pStyle w:val="BodyText"/>
        <w:spacing w:line="273" w:lineRule="auto"/>
        <w:rPr/>
      </w:pPr>
      <w:r/>
    </w:p>
    <w:p>
      <w:pPr>
        <w:ind w:left="116"/>
        <w:spacing w:before="91" w:line="222" w:lineRule="auto"/>
        <w:outlineLvl w:val="1"/>
        <w:rPr>
          <w:rFonts w:ascii="FangSong" w:hAnsi="FangSong" w:eastAsia="FangSong" w:cs="FangSong"/>
          <w:sz w:val="28"/>
          <w:szCs w:val="28"/>
        </w:rPr>
      </w:pPr>
      <w:bookmarkStart w:name="bookmark399" w:id="539"/>
      <w:bookmarkEnd w:id="539"/>
      <w:bookmarkStart w:name="bookmark398" w:id="540"/>
      <w:bookmarkEnd w:id="540"/>
      <w:r>
        <w:rPr>
          <w:rFonts w:ascii="Times New Roman" w:hAnsi="Times New Roman" w:eastAsia="Times New Roman" w:cs="Times New Roman"/>
          <w:sz w:val="28"/>
          <w:szCs w:val="28"/>
          <w:b/>
          <w:bCs/>
          <w:spacing w:val="-2"/>
        </w:rPr>
        <w:t>9.2  </w:t>
      </w:r>
      <w:r>
        <w:rPr>
          <w:rFonts w:ascii="FangSong" w:hAnsi="FangSong" w:eastAsia="FangSong" w:cs="FangSong"/>
          <w:sz w:val="28"/>
          <w:szCs w:val="28"/>
          <w:b/>
          <w:bCs/>
          <w:spacing w:val="-2"/>
        </w:rPr>
        <w:t>环境影响经济损益分析</w:t>
      </w:r>
    </w:p>
    <w:p>
      <w:pPr>
        <w:ind w:left="126" w:right="42" w:firstLine="477"/>
        <w:spacing w:before="229" w:line="360" w:lineRule="auto"/>
        <w:jc w:val="both"/>
        <w:rPr>
          <w:rFonts w:ascii="FangSong" w:hAnsi="FangSong" w:eastAsia="FangSong" w:cs="FangSong"/>
          <w:sz w:val="24"/>
          <w:szCs w:val="24"/>
        </w:rPr>
      </w:pPr>
      <w:r>
        <w:rPr>
          <w:rFonts w:ascii="FangSong" w:hAnsi="FangSong" w:eastAsia="FangSong" w:cs="FangSong"/>
          <w:sz w:val="24"/>
          <w:szCs w:val="24"/>
          <w:spacing w:val="-3"/>
        </w:rPr>
        <w:t>任何项目的建设除了它本身取得的经济效益和带</w:t>
      </w:r>
      <w:r>
        <w:rPr>
          <w:rFonts w:ascii="FangSong" w:hAnsi="FangSong" w:eastAsia="FangSong" w:cs="FangSong"/>
          <w:sz w:val="24"/>
          <w:szCs w:val="24"/>
          <w:spacing w:val="-4"/>
        </w:rPr>
        <w:t>来的社会效益外，项目对环</w:t>
      </w:r>
      <w:r>
        <w:rPr>
          <w:rFonts w:ascii="FangSong" w:hAnsi="FangSong" w:eastAsia="FangSong" w:cs="FangSong"/>
          <w:sz w:val="24"/>
          <w:szCs w:val="24"/>
          <w:spacing w:val="-8"/>
        </w:rPr>
        <w:t>境总会带来一定的影响。因此，权衡环境损益与经济发展之间的平衡就十分重要，</w:t>
      </w:r>
      <w:r>
        <w:rPr>
          <w:rFonts w:ascii="FangSong" w:hAnsi="FangSong" w:eastAsia="FangSong" w:cs="FangSong"/>
          <w:sz w:val="24"/>
          <w:szCs w:val="24"/>
          <w:spacing w:val="-1"/>
        </w:rPr>
        <w:t>分析和判断环境经济损益是建设项目进行决策的重要依据之一。</w:t>
      </w:r>
    </w:p>
    <w:p>
      <w:pPr>
        <w:ind w:left="125" w:right="107" w:firstLine="478"/>
        <w:spacing w:before="6" w:line="359" w:lineRule="auto"/>
        <w:jc w:val="both"/>
        <w:rPr>
          <w:rFonts w:ascii="FangSong" w:hAnsi="FangSong" w:eastAsia="FangSong" w:cs="FangSong"/>
          <w:sz w:val="24"/>
          <w:szCs w:val="24"/>
        </w:rPr>
      </w:pPr>
      <w:r>
        <w:rPr>
          <w:rFonts w:ascii="FangSong" w:hAnsi="FangSong" w:eastAsia="FangSong" w:cs="FangSong"/>
          <w:sz w:val="24"/>
          <w:szCs w:val="24"/>
          <w:spacing w:val="4"/>
        </w:rPr>
        <w:t>环境经济损益分析的主要任务就是衡量建设项目需要投入的环保投资及所</w:t>
      </w:r>
      <w:r>
        <w:rPr>
          <w:rFonts w:ascii="FangSong" w:hAnsi="FangSong" w:eastAsia="FangSong" w:cs="FangSong"/>
          <w:sz w:val="24"/>
          <w:szCs w:val="24"/>
          <w:spacing w:val="-3"/>
        </w:rPr>
        <w:t>能收到的环境保护效果，通过对环境保护措施经济合理性分析</w:t>
      </w:r>
      <w:r>
        <w:rPr>
          <w:rFonts w:ascii="FangSong" w:hAnsi="FangSong" w:eastAsia="FangSong" w:cs="FangSong"/>
          <w:sz w:val="24"/>
          <w:szCs w:val="24"/>
          <w:spacing w:val="-4"/>
        </w:rPr>
        <w:t>及评价，更合理地</w:t>
      </w:r>
      <w:r>
        <w:rPr>
          <w:rFonts w:ascii="FangSong" w:hAnsi="FangSong" w:eastAsia="FangSong" w:cs="FangSong"/>
          <w:sz w:val="24"/>
          <w:szCs w:val="24"/>
          <w:spacing w:val="-3"/>
        </w:rPr>
        <w:t>选择环保措施，从而促进建设项目更好地实现环境效益、经济</w:t>
      </w:r>
      <w:r>
        <w:rPr>
          <w:rFonts w:ascii="FangSong" w:hAnsi="FangSong" w:eastAsia="FangSong" w:cs="FangSong"/>
          <w:sz w:val="24"/>
          <w:szCs w:val="24"/>
          <w:spacing w:val="-4"/>
        </w:rPr>
        <w:t>效益与社会效益的</w:t>
      </w:r>
      <w:r>
        <w:rPr>
          <w:rFonts w:ascii="FangSong" w:hAnsi="FangSong" w:eastAsia="FangSong" w:cs="FangSong"/>
          <w:sz w:val="24"/>
          <w:szCs w:val="24"/>
          <w:spacing w:val="-3"/>
        </w:rPr>
        <w:t>统一。但就目前的技术水平而言，要将环境的损益具体定量化</w:t>
      </w:r>
      <w:r>
        <w:rPr>
          <w:rFonts w:ascii="FangSong" w:hAnsi="FangSong" w:eastAsia="FangSong" w:cs="FangSong"/>
          <w:sz w:val="24"/>
          <w:szCs w:val="24"/>
          <w:spacing w:val="-4"/>
        </w:rPr>
        <w:t>是十分困难的，因</w:t>
      </w:r>
      <w:r>
        <w:rPr>
          <w:rFonts w:ascii="FangSong" w:hAnsi="FangSong" w:eastAsia="FangSong" w:cs="FangSong"/>
          <w:sz w:val="24"/>
          <w:szCs w:val="24"/>
          <w:spacing w:val="-1"/>
        </w:rPr>
        <w:t>此本章采用定性与定量相结合的方法对该项目的环境经济损益进行简要分析。</w:t>
      </w:r>
    </w:p>
    <w:p>
      <w:pPr>
        <w:ind w:left="115"/>
        <w:spacing w:line="221" w:lineRule="auto"/>
        <w:outlineLvl w:val="2"/>
        <w:rPr>
          <w:rFonts w:ascii="FangSong" w:hAnsi="FangSong" w:eastAsia="FangSong" w:cs="FangSong"/>
          <w:sz w:val="24"/>
          <w:szCs w:val="24"/>
        </w:rPr>
      </w:pPr>
      <w:bookmarkStart w:name="bookmark401" w:id="541"/>
      <w:bookmarkEnd w:id="541"/>
      <w:bookmarkStart w:name="bookmark400" w:id="542"/>
      <w:bookmarkEnd w:id="542"/>
      <w:r>
        <w:rPr>
          <w:rFonts w:ascii="Times New Roman" w:hAnsi="Times New Roman" w:eastAsia="Times New Roman" w:cs="Times New Roman"/>
          <w:sz w:val="24"/>
          <w:szCs w:val="24"/>
          <w:b/>
          <w:bCs/>
          <w:spacing w:val="-2"/>
        </w:rPr>
        <w:t>9.2.1  </w:t>
      </w:r>
      <w:r>
        <w:rPr>
          <w:rFonts w:ascii="FangSong" w:hAnsi="FangSong" w:eastAsia="FangSong" w:cs="FangSong"/>
          <w:sz w:val="24"/>
          <w:szCs w:val="24"/>
          <w:b/>
          <w:bCs/>
          <w:spacing w:val="-2"/>
        </w:rPr>
        <w:t>环境影响经济效益分析</w:t>
      </w:r>
    </w:p>
    <w:p>
      <w:pPr>
        <w:ind w:left="608"/>
        <w:spacing w:before="18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）环境效益</w:t>
      </w:r>
    </w:p>
    <w:p>
      <w:pPr>
        <w:spacing w:line="222" w:lineRule="auto"/>
        <w:sectPr>
          <w:footerReference w:type="default" r:id="rId383"/>
          <w:pgSz w:w="11906" w:h="16839"/>
          <w:pgMar w:top="400" w:right="1691" w:bottom="1358" w:left="1691"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38" w:firstLine="481"/>
        <w:spacing w:before="78" w:line="360" w:lineRule="auto"/>
        <w:jc w:val="both"/>
        <w:rPr>
          <w:rFonts w:ascii="FangSong" w:hAnsi="FangSong" w:eastAsia="FangSong" w:cs="FangSong"/>
          <w:sz w:val="24"/>
          <w:szCs w:val="24"/>
        </w:rPr>
      </w:pPr>
      <w:bookmarkStart w:name="bookmark633" w:id="543"/>
      <w:bookmarkEnd w:id="543"/>
      <w:r>
        <w:rPr>
          <w:rFonts w:ascii="FangSong" w:hAnsi="FangSong" w:eastAsia="FangSong" w:cs="FangSong"/>
          <w:sz w:val="24"/>
          <w:szCs w:val="24"/>
          <w:spacing w:val="-3"/>
        </w:rPr>
        <w:t>项目建设期间和投入运行后，将对周围环境空</w:t>
      </w:r>
      <w:r>
        <w:rPr>
          <w:rFonts w:ascii="FangSong" w:hAnsi="FangSong" w:eastAsia="FangSong" w:cs="FangSong"/>
          <w:sz w:val="24"/>
          <w:szCs w:val="24"/>
          <w:spacing w:val="-4"/>
        </w:rPr>
        <w:t>气、地下水、声环境、生态环</w:t>
      </w:r>
      <w:r>
        <w:rPr>
          <w:rFonts w:ascii="FangSong" w:hAnsi="FangSong" w:eastAsia="FangSong" w:cs="FangSong"/>
          <w:sz w:val="24"/>
          <w:szCs w:val="24"/>
          <w:spacing w:val="-3"/>
        </w:rPr>
        <w:t>境质量带来一定程度的负面影响。在采取了环评提出的污染防治和生</w:t>
      </w:r>
      <w:r>
        <w:rPr>
          <w:rFonts w:ascii="FangSong" w:hAnsi="FangSong" w:eastAsia="FangSong" w:cs="FangSong"/>
          <w:sz w:val="24"/>
          <w:szCs w:val="24"/>
          <w:spacing w:val="-4"/>
        </w:rPr>
        <w:t>态保护措施</w:t>
      </w:r>
      <w:r>
        <w:rPr>
          <w:rFonts w:ascii="FangSong" w:hAnsi="FangSong" w:eastAsia="FangSong" w:cs="FangSong"/>
          <w:sz w:val="24"/>
          <w:szCs w:val="24"/>
          <w:spacing w:val="-3"/>
        </w:rPr>
        <w:t>后，将有效控制项目实施所造成的环境影响，使项目区环境质量不因</w:t>
      </w:r>
      <w:r>
        <w:rPr>
          <w:rFonts w:ascii="FangSong" w:hAnsi="FangSong" w:eastAsia="FangSong" w:cs="FangSong"/>
          <w:sz w:val="24"/>
          <w:szCs w:val="24"/>
          <w:spacing w:val="-4"/>
        </w:rPr>
        <w:t>该项目的实</w:t>
      </w:r>
      <w:r>
        <w:rPr>
          <w:rFonts w:ascii="FangSong" w:hAnsi="FangSong" w:eastAsia="FangSong" w:cs="FangSong"/>
          <w:sz w:val="24"/>
          <w:szCs w:val="24"/>
          <w:spacing w:val="-3"/>
        </w:rPr>
        <w:t>施而破坏，且项目采取电锅炉供暖，减少大气污染物排放，项目区的</w:t>
      </w:r>
      <w:r>
        <w:rPr>
          <w:rFonts w:ascii="FangSong" w:hAnsi="FangSong" w:eastAsia="FangSong" w:cs="FangSong"/>
          <w:sz w:val="24"/>
          <w:szCs w:val="24"/>
          <w:spacing w:val="-4"/>
        </w:rPr>
        <w:t>水环境、大</w:t>
      </w:r>
      <w:r>
        <w:rPr>
          <w:rFonts w:ascii="FangSong" w:hAnsi="FangSong" w:eastAsia="FangSong" w:cs="FangSong"/>
          <w:sz w:val="24"/>
          <w:szCs w:val="24"/>
          <w:spacing w:val="-3"/>
        </w:rPr>
        <w:t>气环境、声环境和生态环境总体维持在原有水平。项目建成后所产生</w:t>
      </w:r>
      <w:r>
        <w:rPr>
          <w:rFonts w:ascii="FangSong" w:hAnsi="FangSong" w:eastAsia="FangSong" w:cs="FangSong"/>
          <w:sz w:val="24"/>
          <w:szCs w:val="24"/>
          <w:spacing w:val="-4"/>
        </w:rPr>
        <w:t>的污染物将</w:t>
      </w:r>
      <w:r>
        <w:rPr>
          <w:rFonts w:ascii="FangSong" w:hAnsi="FangSong" w:eastAsia="FangSong" w:cs="FangSong"/>
          <w:sz w:val="24"/>
          <w:szCs w:val="24"/>
          <w:spacing w:val="-3"/>
        </w:rPr>
        <w:t>会对环境产生一定的影响，为此，项目采取了相应的环境保护措施，</w:t>
      </w:r>
      <w:r>
        <w:rPr>
          <w:rFonts w:ascii="FangSong" w:hAnsi="FangSong" w:eastAsia="FangSong" w:cs="FangSong"/>
          <w:sz w:val="24"/>
          <w:szCs w:val="24"/>
          <w:spacing w:val="-4"/>
        </w:rPr>
        <w:t>使工程对周</w:t>
      </w:r>
      <w:r>
        <w:rPr>
          <w:rFonts w:ascii="FangSong" w:hAnsi="FangSong" w:eastAsia="FangSong" w:cs="FangSong"/>
          <w:sz w:val="24"/>
          <w:szCs w:val="24"/>
          <w:spacing w:val="-3"/>
        </w:rPr>
        <w:t>围环境造成的影响降到最低。根据工程分析所确定的污染源，工程设</w:t>
      </w:r>
      <w:r>
        <w:rPr>
          <w:rFonts w:ascii="FangSong" w:hAnsi="FangSong" w:eastAsia="FangSong" w:cs="FangSong"/>
          <w:sz w:val="24"/>
          <w:szCs w:val="24"/>
          <w:spacing w:val="-4"/>
        </w:rPr>
        <w:t>计及建设过</w:t>
      </w:r>
      <w:r>
        <w:rPr>
          <w:rFonts w:ascii="FangSong" w:hAnsi="FangSong" w:eastAsia="FangSong" w:cs="FangSong"/>
          <w:sz w:val="24"/>
          <w:szCs w:val="24"/>
          <w:spacing w:val="-3"/>
        </w:rPr>
        <w:t>程中应按环境保护对策分析中所提要求完善环境保护治理措施，本项</w:t>
      </w:r>
      <w:r>
        <w:rPr>
          <w:rFonts w:ascii="FangSong" w:hAnsi="FangSong" w:eastAsia="FangSong" w:cs="FangSong"/>
          <w:sz w:val="24"/>
          <w:szCs w:val="24"/>
          <w:spacing w:val="-4"/>
        </w:rPr>
        <w:t>目涉及的环</w:t>
      </w:r>
      <w:r>
        <w:rPr>
          <w:rFonts w:ascii="FangSong" w:hAnsi="FangSong" w:eastAsia="FangSong" w:cs="FangSong"/>
          <w:sz w:val="24"/>
          <w:szCs w:val="24"/>
          <w:spacing w:val="-3"/>
        </w:rPr>
        <w:t>保投资主要包括废气治理系统、污水治理系统、噪声治理系统、固废</w:t>
      </w:r>
      <w:r>
        <w:rPr>
          <w:rFonts w:ascii="FangSong" w:hAnsi="FangSong" w:eastAsia="FangSong" w:cs="FangSong"/>
          <w:sz w:val="24"/>
          <w:szCs w:val="24"/>
          <w:spacing w:val="-4"/>
        </w:rPr>
        <w:t>处置措施以</w:t>
      </w:r>
      <w:r>
        <w:rPr>
          <w:rFonts w:ascii="FangSong" w:hAnsi="FangSong" w:eastAsia="FangSong" w:cs="FangSong"/>
          <w:sz w:val="24"/>
          <w:szCs w:val="24"/>
          <w:spacing w:val="-2"/>
        </w:rPr>
        <w:t>及厂区绿化等环保工程的费用。</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）社会效益</w:t>
      </w:r>
    </w:p>
    <w:p>
      <w:pPr>
        <w:ind w:left="510"/>
        <w:spacing w:before="178" w:line="219" w:lineRule="auto"/>
        <w:rPr>
          <w:rFonts w:ascii="FangSong" w:hAnsi="FangSong" w:eastAsia="FangSong" w:cs="FangSong"/>
          <w:sz w:val="24"/>
          <w:szCs w:val="24"/>
        </w:rPr>
      </w:pPr>
      <w:r>
        <w:rPr>
          <w:rFonts w:ascii="FangSong" w:hAnsi="FangSong" w:eastAsia="FangSong" w:cs="FangSong"/>
          <w:sz w:val="24"/>
          <w:szCs w:val="24"/>
          <w:spacing w:val="-1"/>
        </w:rPr>
        <w:t>本项目社会效益主要体现在以下几个方面：</w:t>
      </w:r>
    </w:p>
    <w:p>
      <w:pPr>
        <w:ind w:left="28" w:firstLine="474"/>
        <w:spacing w:before="181" w:line="337" w:lineRule="auto"/>
        <w:rPr>
          <w:rFonts w:ascii="FangSong" w:hAnsi="FangSong" w:eastAsia="FangSong" w:cs="FangSong"/>
          <w:sz w:val="24"/>
          <w:szCs w:val="24"/>
        </w:rPr>
      </w:pPr>
      <w:r>
        <w:rPr>
          <w:rFonts w:ascii="FangSong" w:hAnsi="FangSong" w:eastAsia="FangSong" w:cs="FangSong"/>
          <w:sz w:val="24"/>
          <w:szCs w:val="24"/>
        </w:rPr>
        <w:t>①</w:t>
      </w:r>
      <w:r>
        <w:rPr>
          <w:rFonts w:ascii="FangSong" w:hAnsi="FangSong" w:eastAsia="FangSong" w:cs="FangSong"/>
          <w:sz w:val="24"/>
          <w:szCs w:val="24"/>
        </w:rPr>
        <w:t xml:space="preserve"> </w:t>
      </w:r>
      <w:r>
        <w:rPr>
          <w:rFonts w:ascii="FangSong" w:hAnsi="FangSong" w:eastAsia="FangSong" w:cs="FangSong"/>
          <w:sz w:val="24"/>
          <w:szCs w:val="24"/>
        </w:rPr>
        <w:t>本项目符合国家的产业政策和相关矿产资源规划，项目不但具有良好的</w:t>
      </w:r>
      <w:r>
        <w:rPr>
          <w:rFonts w:ascii="FangSong" w:hAnsi="FangSong" w:eastAsia="FangSong" w:cs="FangSong"/>
          <w:sz w:val="24"/>
          <w:szCs w:val="24"/>
          <w:spacing w:val="-3"/>
        </w:rPr>
        <w:t>经济效益和环境效益，而且对社会效益具有多方面的促进作用。增加地</w:t>
      </w:r>
      <w:r>
        <w:rPr>
          <w:rFonts w:ascii="FangSong" w:hAnsi="FangSong" w:eastAsia="FangSong" w:cs="FangSong"/>
          <w:sz w:val="24"/>
          <w:szCs w:val="24"/>
          <w:spacing w:val="-4"/>
        </w:rPr>
        <w:t>方财政收</w:t>
      </w:r>
      <w:r>
        <w:rPr>
          <w:rFonts w:ascii="FangSong" w:hAnsi="FangSong" w:eastAsia="FangSong" w:cs="FangSong"/>
          <w:sz w:val="24"/>
          <w:szCs w:val="24"/>
          <w:spacing w:val="-3"/>
        </w:rPr>
        <w:t>入。本项目建成后给企业带来较丰厚的利润的同时，也对当地的财政有</w:t>
      </w:r>
      <w:r>
        <w:rPr>
          <w:rFonts w:ascii="FangSong" w:hAnsi="FangSong" w:eastAsia="FangSong" w:cs="FangSong"/>
          <w:sz w:val="24"/>
          <w:szCs w:val="24"/>
          <w:spacing w:val="-4"/>
        </w:rPr>
        <w:t>较大的贡</w:t>
      </w:r>
      <w:r>
        <w:rPr>
          <w:rFonts w:ascii="FangSong" w:hAnsi="FangSong" w:eastAsia="FangSong" w:cs="FangSong"/>
          <w:sz w:val="24"/>
          <w:szCs w:val="24"/>
          <w:spacing w:val="-2"/>
        </w:rPr>
        <w:t>献。提高当地人民生活水平和增加就业率，促进当地经济的发展。项目运行后，</w:t>
      </w:r>
      <w:r>
        <w:rPr>
          <w:rFonts w:ascii="FangSong" w:hAnsi="FangSong" w:eastAsia="FangSong" w:cs="FangSong"/>
          <w:sz w:val="24"/>
          <w:szCs w:val="24"/>
          <w:spacing w:val="-3"/>
        </w:rPr>
        <w:t>可一定程度上带动地方经济的发展，促进城市建设等方面起着积极的作</w:t>
      </w:r>
      <w:r>
        <w:rPr>
          <w:rFonts w:ascii="FangSong" w:hAnsi="FangSong" w:eastAsia="FangSong" w:cs="FangSong"/>
          <w:sz w:val="24"/>
          <w:szCs w:val="24"/>
          <w:spacing w:val="-4"/>
        </w:rPr>
        <w:t>用。有力</w:t>
      </w:r>
      <w:r>
        <w:rPr>
          <w:rFonts w:ascii="FangSong" w:hAnsi="FangSong" w:eastAsia="FangSong" w:cs="FangSong"/>
          <w:sz w:val="24"/>
          <w:szCs w:val="24"/>
          <w:spacing w:val="-1"/>
        </w:rPr>
        <w:t>支援国家的经济建设和社会的发展。</w:t>
      </w:r>
    </w:p>
    <w:p>
      <w:pPr>
        <w:ind w:left="29" w:right="38" w:firstLine="471"/>
        <w:spacing w:before="179" w:line="326" w:lineRule="auto"/>
        <w:rPr>
          <w:rFonts w:ascii="FangSong" w:hAnsi="FangSong" w:eastAsia="FangSong" w:cs="FangSong"/>
          <w:sz w:val="24"/>
          <w:szCs w:val="24"/>
        </w:rPr>
      </w:pPr>
      <w:r>
        <w:rPr>
          <w:rFonts w:ascii="FangSong" w:hAnsi="FangSong" w:eastAsia="FangSong" w:cs="FangSong"/>
          <w:sz w:val="24"/>
          <w:szCs w:val="24"/>
        </w:rPr>
        <w:t>②</w:t>
      </w:r>
      <w:r>
        <w:rPr>
          <w:rFonts w:ascii="FangSong" w:hAnsi="FangSong" w:eastAsia="FangSong" w:cs="FangSong"/>
          <w:sz w:val="24"/>
          <w:szCs w:val="24"/>
        </w:rPr>
        <w:t xml:space="preserve"> </w:t>
      </w:r>
      <w:r>
        <w:rPr>
          <w:rFonts w:ascii="FangSong" w:hAnsi="FangSong" w:eastAsia="FangSong" w:cs="FangSong"/>
          <w:sz w:val="24"/>
          <w:szCs w:val="24"/>
        </w:rPr>
        <w:t>本项目需要聘用一批长期固定技术管理人员和生产工人，这就为当地剩</w:t>
      </w:r>
      <w:r>
        <w:rPr>
          <w:rFonts w:ascii="FangSong" w:hAnsi="FangSong" w:eastAsia="FangSong" w:cs="FangSong"/>
          <w:sz w:val="24"/>
          <w:szCs w:val="24"/>
          <w:spacing w:val="-3"/>
        </w:rPr>
        <w:t>余劳动力提供就业机会，促进当地就业，同时建设单位愿积极吸纳</w:t>
      </w:r>
      <w:r>
        <w:rPr>
          <w:rFonts w:ascii="FangSong" w:hAnsi="FangSong" w:eastAsia="FangSong" w:cs="FangSong"/>
          <w:sz w:val="24"/>
          <w:szCs w:val="24"/>
          <w:spacing w:val="-4"/>
        </w:rPr>
        <w:t>优秀大中专院</w:t>
      </w:r>
      <w:r>
        <w:rPr>
          <w:rFonts w:ascii="FangSong" w:hAnsi="FangSong" w:eastAsia="FangSong" w:cs="FangSong"/>
          <w:sz w:val="24"/>
          <w:szCs w:val="24"/>
          <w:spacing w:val="-3"/>
        </w:rPr>
        <w:t>校毕业生就业，一定程度上可缓解当前严峻就业压力，并可增加当</w:t>
      </w:r>
      <w:r>
        <w:rPr>
          <w:rFonts w:ascii="FangSong" w:hAnsi="FangSong" w:eastAsia="FangSong" w:cs="FangSong"/>
          <w:sz w:val="24"/>
          <w:szCs w:val="24"/>
          <w:spacing w:val="-4"/>
        </w:rPr>
        <w:t>地政府财政税</w:t>
      </w:r>
      <w:r>
        <w:rPr>
          <w:rFonts w:ascii="FangSong" w:hAnsi="FangSong" w:eastAsia="FangSong" w:cs="FangSong"/>
          <w:sz w:val="24"/>
          <w:szCs w:val="24"/>
          <w:spacing w:val="-8"/>
        </w:rPr>
        <w:t>收。</w:t>
      </w:r>
    </w:p>
    <w:p>
      <w:pPr>
        <w:ind w:left="512"/>
        <w:spacing w:before="178" w:line="222" w:lineRule="auto"/>
        <w:rPr>
          <w:rFonts w:ascii="FangSong" w:hAnsi="FangSong" w:eastAsia="FangSong" w:cs="FangSong"/>
          <w:sz w:val="24"/>
          <w:szCs w:val="24"/>
        </w:rPr>
      </w:pPr>
      <w:r>
        <w:rPr>
          <w:rFonts w:ascii="FangSong" w:hAnsi="FangSong" w:eastAsia="FangSong" w:cs="FangSong"/>
          <w:sz w:val="24"/>
          <w:szCs w:val="24"/>
          <w:spacing w:val="-2"/>
        </w:rPr>
        <w:t>综上所述，本项目具有良好社会效益。</w:t>
      </w:r>
    </w:p>
    <w:p>
      <w:pPr>
        <w:ind w:left="514"/>
        <w:spacing w:before="179"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）经济效益</w:t>
      </w:r>
    </w:p>
    <w:p>
      <w:pPr>
        <w:ind w:left="31" w:right="38" w:firstLine="479"/>
        <w:spacing w:before="181" w:line="360" w:lineRule="auto"/>
        <w:rPr>
          <w:rFonts w:ascii="FangSong" w:hAnsi="FangSong" w:eastAsia="FangSong" w:cs="FangSong"/>
          <w:sz w:val="24"/>
          <w:szCs w:val="24"/>
        </w:rPr>
      </w:pPr>
      <w:r>
        <w:rPr>
          <w:rFonts w:ascii="FangSong" w:hAnsi="FangSong" w:eastAsia="FangSong" w:cs="FangSong"/>
          <w:sz w:val="24"/>
          <w:szCs w:val="24"/>
          <w:spacing w:val="-7"/>
        </w:rPr>
        <w:t>项目总投资为</w:t>
      </w:r>
      <w:r>
        <w:rPr>
          <w:rFonts w:ascii="FangSong" w:hAnsi="FangSong" w:eastAsia="FangSong" w:cs="FangSong"/>
          <w:sz w:val="24"/>
          <w:szCs w:val="24"/>
          <w:spacing w:val="-68"/>
        </w:rPr>
        <w:t xml:space="preserve"> </w:t>
      </w:r>
      <w:r>
        <w:rPr>
          <w:rFonts w:ascii="Times New Roman" w:hAnsi="Times New Roman" w:eastAsia="Times New Roman" w:cs="Times New Roman"/>
          <w:sz w:val="24"/>
          <w:szCs w:val="24"/>
          <w:spacing w:val="-7"/>
        </w:rPr>
        <w:t>9830.78 </w:t>
      </w:r>
      <w:r>
        <w:rPr>
          <w:rFonts w:ascii="FangSong" w:hAnsi="FangSong" w:eastAsia="FangSong" w:cs="FangSong"/>
          <w:sz w:val="24"/>
          <w:szCs w:val="24"/>
          <w:spacing w:val="-7"/>
        </w:rPr>
        <w:t>万元，其中建设投资为</w:t>
      </w:r>
      <w:r>
        <w:rPr>
          <w:rFonts w:ascii="FangSong" w:hAnsi="FangSong" w:eastAsia="FangSong" w:cs="FangSong"/>
          <w:sz w:val="24"/>
          <w:szCs w:val="24"/>
          <w:spacing w:val="-70"/>
        </w:rPr>
        <w:t xml:space="preserve"> </w:t>
      </w:r>
      <w:r>
        <w:rPr>
          <w:rFonts w:ascii="Times New Roman" w:hAnsi="Times New Roman" w:eastAsia="Times New Roman" w:cs="Times New Roman"/>
          <w:sz w:val="24"/>
          <w:szCs w:val="24"/>
          <w:spacing w:val="-7"/>
        </w:rPr>
        <w:t>7732.53 </w:t>
      </w:r>
      <w:r>
        <w:rPr>
          <w:rFonts w:ascii="FangSong" w:hAnsi="FangSong" w:eastAsia="FangSong" w:cs="FangSong"/>
          <w:sz w:val="24"/>
          <w:szCs w:val="24"/>
          <w:spacing w:val="-7"/>
        </w:rPr>
        <w:t>万元，流动资金</w:t>
      </w:r>
      <w:r>
        <w:rPr>
          <w:rFonts w:ascii="FangSong" w:hAnsi="FangSong" w:eastAsia="FangSong" w:cs="FangSong"/>
          <w:sz w:val="24"/>
          <w:szCs w:val="24"/>
          <w:spacing w:val="-72"/>
        </w:rPr>
        <w:t xml:space="preserve"> </w:t>
      </w:r>
      <w:r>
        <w:rPr>
          <w:rFonts w:ascii="Times New Roman" w:hAnsi="Times New Roman" w:eastAsia="Times New Roman" w:cs="Times New Roman"/>
          <w:sz w:val="24"/>
          <w:szCs w:val="24"/>
          <w:spacing w:val="-7"/>
        </w:rPr>
        <w:t>2098.25</w:t>
      </w:r>
      <w:r>
        <w:rPr>
          <w:rFonts w:ascii="FangSong" w:hAnsi="FangSong" w:eastAsia="FangSong" w:cs="FangSong"/>
          <w:sz w:val="24"/>
          <w:szCs w:val="24"/>
          <w:spacing w:val="-2"/>
        </w:rPr>
        <w:t>万元；项目资金全部自筹解决。</w:t>
      </w:r>
    </w:p>
    <w:p>
      <w:pPr>
        <w:ind w:left="29" w:right="38" w:firstLine="506"/>
        <w:spacing w:before="3" w:line="361" w:lineRule="auto"/>
        <w:jc w:val="both"/>
        <w:rPr>
          <w:rFonts w:ascii="FangSong" w:hAnsi="FangSong" w:eastAsia="FangSong" w:cs="FangSong"/>
          <w:sz w:val="24"/>
          <w:szCs w:val="24"/>
        </w:rPr>
      </w:pPr>
      <w:r>
        <w:rPr>
          <w:rFonts w:ascii="FangSong" w:hAnsi="FangSong" w:eastAsia="FangSong" w:cs="FangSong"/>
          <w:sz w:val="24"/>
          <w:szCs w:val="24"/>
          <w:spacing w:val="-5"/>
        </w:rPr>
        <w:t>当企业达到设计采矿规模时，达产年份平均销售收入为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1080</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6"/>
        </w:rPr>
        <w:t>万元，利润总</w:t>
      </w:r>
      <w:r>
        <w:rPr>
          <w:rFonts w:ascii="FangSong" w:hAnsi="FangSong" w:eastAsia="FangSong" w:cs="FangSong"/>
          <w:sz w:val="24"/>
          <w:szCs w:val="24"/>
          <w:spacing w:val="-7"/>
        </w:rPr>
        <w:t>额为</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7"/>
        </w:rPr>
        <w:t>4648.8</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7"/>
        </w:rPr>
        <w:t>万元，税后利润为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3486.6</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7"/>
        </w:rPr>
        <w:t>元，每年可向国家和地方上交税金为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1162.2</w:t>
      </w:r>
      <w:r>
        <w:rPr>
          <w:rFonts w:ascii="FangSong" w:hAnsi="FangSong" w:eastAsia="FangSong" w:cs="FangSong"/>
          <w:sz w:val="24"/>
          <w:szCs w:val="24"/>
          <w:spacing w:val="-6"/>
        </w:rPr>
        <w:t>万元。</w:t>
      </w:r>
    </w:p>
    <w:p>
      <w:pPr>
        <w:spacing w:line="361" w:lineRule="auto"/>
        <w:sectPr>
          <w:footerReference w:type="default" r:id="rId384"/>
          <w:pgSz w:w="11906" w:h="16839"/>
          <w:pgMar w:top="400" w:right="176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42" w:right="187" w:firstLine="467"/>
        <w:spacing w:before="78" w:line="360" w:lineRule="auto"/>
        <w:rPr>
          <w:rFonts w:ascii="FangSong" w:hAnsi="FangSong" w:eastAsia="FangSong" w:cs="FangSong"/>
          <w:sz w:val="24"/>
          <w:szCs w:val="24"/>
        </w:rPr>
      </w:pPr>
      <w:bookmarkStart w:name="bookmark634" w:id="544"/>
      <w:bookmarkEnd w:id="544"/>
      <w:r>
        <w:rPr>
          <w:rFonts w:ascii="FangSong" w:hAnsi="FangSong" w:eastAsia="FangSong" w:cs="FangSong"/>
          <w:sz w:val="24"/>
          <w:szCs w:val="24"/>
          <w:spacing w:val="-1"/>
        </w:rPr>
        <w:t>从盈利能力上看，全部投资内部收益率为</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
        </w:rPr>
        <w:t>38.25%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
        </w:rPr>
        <w:t>，净现值</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i</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）为</w:t>
      </w:r>
      <w:r>
        <w:rPr>
          <w:rFonts w:ascii="Times New Roman" w:hAnsi="Times New Roman" w:eastAsia="Times New Roman" w:cs="Times New Roman"/>
          <w:sz w:val="24"/>
          <w:szCs w:val="24"/>
          <w:spacing w:val="-2"/>
        </w:rPr>
        <w:t>12834.4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2"/>
        </w:rPr>
        <w:t>元，这说明该项目具有一定的盈利能力。</w:t>
      </w:r>
    </w:p>
    <w:p>
      <w:pPr>
        <w:ind w:left="29" w:right="185" w:firstLine="479"/>
        <w:spacing w:before="2" w:line="359" w:lineRule="auto"/>
        <w:jc w:val="both"/>
        <w:rPr>
          <w:rFonts w:ascii="FangSong" w:hAnsi="FangSong" w:eastAsia="FangSong" w:cs="FangSong"/>
          <w:sz w:val="24"/>
          <w:szCs w:val="24"/>
        </w:rPr>
      </w:pPr>
      <w:r>
        <w:rPr>
          <w:rFonts w:ascii="FangSong" w:hAnsi="FangSong" w:eastAsia="FangSong" w:cs="FangSong"/>
          <w:sz w:val="24"/>
          <w:szCs w:val="24"/>
          <w:spacing w:val="1"/>
        </w:rPr>
        <w:t>从全部投资回收能力上看，投资回收期从建设期算起为</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
        </w:rPr>
        <w:t>3.57</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年，不含</w:t>
      </w:r>
      <w:r>
        <w:rPr>
          <w:rFonts w:ascii="FangSong" w:hAnsi="FangSong" w:eastAsia="FangSong" w:cs="FangSong"/>
          <w:sz w:val="24"/>
          <w:szCs w:val="24"/>
        </w:rPr>
        <w:t>建设</w:t>
      </w:r>
      <w:r>
        <w:rPr>
          <w:rFonts w:ascii="FangSong" w:hAnsi="FangSong" w:eastAsia="FangSong" w:cs="FangSong"/>
          <w:sz w:val="24"/>
          <w:szCs w:val="24"/>
          <w:spacing w:val="1"/>
        </w:rPr>
        <w:t>期为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2.07</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1"/>
        </w:rPr>
        <w:t>年，说明企业投产后在一定时期能够回收投资。经济分析表明，项目</w:t>
      </w:r>
      <w:r>
        <w:rPr>
          <w:rFonts w:ascii="FangSong" w:hAnsi="FangSong" w:eastAsia="FangSong" w:cs="FangSong"/>
          <w:sz w:val="24"/>
          <w:szCs w:val="24"/>
          <w:spacing w:val="-1"/>
        </w:rPr>
        <w:t>具备一定的盈利能力、财务生存能力与抗风险能力，具备可行性。</w:t>
      </w:r>
    </w:p>
    <w:p>
      <w:pPr>
        <w:ind w:left="30" w:right="185" w:firstLine="479"/>
        <w:spacing w:line="360" w:lineRule="auto"/>
        <w:jc w:val="both"/>
        <w:rPr>
          <w:rFonts w:ascii="FangSong" w:hAnsi="FangSong" w:eastAsia="FangSong" w:cs="FangSong"/>
          <w:sz w:val="24"/>
          <w:szCs w:val="24"/>
        </w:rPr>
      </w:pPr>
      <w:r>
        <w:rPr>
          <w:rFonts w:ascii="FangSong" w:hAnsi="FangSong" w:eastAsia="FangSong" w:cs="FangSong"/>
          <w:sz w:val="24"/>
          <w:szCs w:val="24"/>
          <w:spacing w:val="-3"/>
        </w:rPr>
        <w:t>矿山投资较大，投资回收期较长，但经济效益较</w:t>
      </w:r>
      <w:r>
        <w:rPr>
          <w:rFonts w:ascii="FangSong" w:hAnsi="FangSong" w:eastAsia="FangSong" w:cs="FangSong"/>
          <w:sz w:val="24"/>
          <w:szCs w:val="24"/>
          <w:spacing w:val="-4"/>
        </w:rPr>
        <w:t>好，财务评价可行；在当地</w:t>
      </w:r>
      <w:r>
        <w:rPr>
          <w:rFonts w:ascii="FangSong" w:hAnsi="FangSong" w:eastAsia="FangSong" w:cs="FangSong"/>
          <w:sz w:val="24"/>
          <w:szCs w:val="24"/>
          <w:spacing w:val="-3"/>
        </w:rPr>
        <w:t>剩余劳动力多的情况下，不仅可以发展地方经济，增加地方财政</w:t>
      </w:r>
      <w:r>
        <w:rPr>
          <w:rFonts w:ascii="FangSong" w:hAnsi="FangSong" w:eastAsia="FangSong" w:cs="FangSong"/>
          <w:sz w:val="24"/>
          <w:szCs w:val="24"/>
          <w:spacing w:val="-4"/>
        </w:rPr>
        <w:t>收入，解决剩余</w:t>
      </w:r>
      <w:r>
        <w:rPr>
          <w:rFonts w:ascii="FangSong" w:hAnsi="FangSong" w:eastAsia="FangSong" w:cs="FangSong"/>
          <w:sz w:val="24"/>
          <w:szCs w:val="24"/>
          <w:spacing w:val="-3"/>
        </w:rPr>
        <w:t>劳动力就业，而且带动交通运输业发展，是发展地方经济的较好</w:t>
      </w:r>
      <w:r>
        <w:rPr>
          <w:rFonts w:ascii="FangSong" w:hAnsi="FangSong" w:eastAsia="FangSong" w:cs="FangSong"/>
          <w:sz w:val="24"/>
          <w:szCs w:val="24"/>
          <w:spacing w:val="-4"/>
        </w:rPr>
        <w:t>途径，具备可行</w:t>
      </w:r>
      <w:r>
        <w:rPr>
          <w:rFonts w:ascii="FangSong" w:hAnsi="FangSong" w:eastAsia="FangSong" w:cs="FangSong"/>
          <w:sz w:val="24"/>
          <w:szCs w:val="24"/>
          <w:spacing w:val="-9"/>
        </w:rPr>
        <w:t>性。</w:t>
      </w:r>
    </w:p>
    <w:p>
      <w:pPr>
        <w:ind w:left="21"/>
        <w:spacing w:line="221" w:lineRule="auto"/>
        <w:outlineLvl w:val="2"/>
        <w:rPr>
          <w:rFonts w:ascii="FangSong" w:hAnsi="FangSong" w:eastAsia="FangSong" w:cs="FangSong"/>
          <w:sz w:val="24"/>
          <w:szCs w:val="24"/>
        </w:rPr>
      </w:pPr>
      <w:bookmarkStart w:name="bookmark403" w:id="545"/>
      <w:bookmarkEnd w:id="545"/>
      <w:bookmarkStart w:name="bookmark402" w:id="546"/>
      <w:bookmarkEnd w:id="546"/>
      <w:r>
        <w:rPr>
          <w:rFonts w:ascii="Times New Roman" w:hAnsi="Times New Roman" w:eastAsia="Times New Roman" w:cs="Times New Roman"/>
          <w:sz w:val="24"/>
          <w:szCs w:val="24"/>
          <w:b/>
          <w:bCs/>
          <w:spacing w:val="-2"/>
        </w:rPr>
        <w:t>9.2.2  </w:t>
      </w:r>
      <w:r>
        <w:rPr>
          <w:rFonts w:ascii="FangSong" w:hAnsi="FangSong" w:eastAsia="FangSong" w:cs="FangSong"/>
          <w:sz w:val="24"/>
          <w:szCs w:val="24"/>
          <w:b/>
          <w:bCs/>
          <w:spacing w:val="-2"/>
        </w:rPr>
        <w:t>环境影响经济损失分析</w:t>
      </w:r>
    </w:p>
    <w:p>
      <w:pPr>
        <w:ind w:left="29"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本项目为萤石矿采选项目，必然会在一定程度</w:t>
      </w:r>
      <w:r>
        <w:rPr>
          <w:rFonts w:ascii="FangSong" w:hAnsi="FangSong" w:eastAsia="FangSong" w:cs="FangSong"/>
          <w:sz w:val="24"/>
          <w:szCs w:val="24"/>
          <w:spacing w:val="-4"/>
        </w:rPr>
        <w:t>上对环境造成破坏。但总体来</w:t>
      </w:r>
      <w:r>
        <w:rPr>
          <w:rFonts w:ascii="FangSong" w:hAnsi="FangSong" w:eastAsia="FangSong" w:cs="FangSong"/>
          <w:sz w:val="24"/>
          <w:szCs w:val="24"/>
          <w:spacing w:val="-3"/>
        </w:rPr>
        <w:t>说，项目在运营过程中无废水外排至区域地表水体，产生的食堂废</w:t>
      </w:r>
      <w:r>
        <w:rPr>
          <w:rFonts w:ascii="FangSong" w:hAnsi="FangSong" w:eastAsia="FangSong" w:cs="FangSong"/>
          <w:sz w:val="24"/>
          <w:szCs w:val="24"/>
          <w:spacing w:val="-4"/>
        </w:rPr>
        <w:t>水经隔油池处</w:t>
      </w:r>
      <w:r>
        <w:rPr>
          <w:rFonts w:ascii="FangSong" w:hAnsi="FangSong" w:eastAsia="FangSong" w:cs="FangSong"/>
          <w:sz w:val="24"/>
          <w:szCs w:val="24"/>
          <w:spacing w:val="-3"/>
        </w:rPr>
        <w:t>理后与生活废水排入防渗储池处理，定期清运至内蒙古锡林郭勒盟</w:t>
      </w:r>
      <w:r>
        <w:rPr>
          <w:rFonts w:ascii="FangSong" w:hAnsi="FangSong" w:eastAsia="FangSong" w:cs="FangSong"/>
          <w:sz w:val="24"/>
          <w:szCs w:val="24"/>
          <w:spacing w:val="-4"/>
        </w:rPr>
        <w:t>苏尼特右旗赛</w:t>
      </w:r>
      <w:r>
        <w:rPr>
          <w:rFonts w:ascii="FangSong" w:hAnsi="FangSong" w:eastAsia="FangSong" w:cs="FangSong"/>
          <w:sz w:val="24"/>
          <w:szCs w:val="24"/>
          <w:spacing w:val="-5"/>
        </w:rPr>
        <w:t>汉塔拉镇污水处理厂处理，对地表水体及地</w:t>
      </w:r>
      <w:r>
        <w:rPr>
          <w:rFonts w:ascii="FangSong" w:hAnsi="FangSong" w:eastAsia="FangSong" w:cs="FangSong"/>
          <w:sz w:val="24"/>
          <w:szCs w:val="24"/>
          <w:spacing w:val="-6"/>
        </w:rPr>
        <w:t>下水资源不会产生影响；堆场、道路、</w:t>
      </w:r>
      <w:r>
        <w:rPr>
          <w:rFonts w:ascii="FangSong" w:hAnsi="FangSong" w:eastAsia="FangSong" w:cs="FangSong"/>
          <w:sz w:val="24"/>
          <w:szCs w:val="24"/>
        </w:rPr>
        <w:t>凿岩等过程均采取了粉尘治理措施，选矿废气经布袋除尘器处理后可达标排放，</w:t>
      </w:r>
      <w:r>
        <w:rPr>
          <w:rFonts w:ascii="FangSong" w:hAnsi="FangSong" w:eastAsia="FangSong" w:cs="FangSong"/>
          <w:sz w:val="24"/>
          <w:szCs w:val="24"/>
          <w:spacing w:val="-3"/>
        </w:rPr>
        <w:t>项目废气排放对大气环境影响较小；项目固废全部得到妥善处置，</w:t>
      </w:r>
      <w:r>
        <w:rPr>
          <w:rFonts w:ascii="FangSong" w:hAnsi="FangSong" w:eastAsia="FangSong" w:cs="FangSong"/>
          <w:sz w:val="24"/>
          <w:szCs w:val="24"/>
          <w:spacing w:val="-4"/>
        </w:rPr>
        <w:t>对外环境影响</w:t>
      </w:r>
      <w:r>
        <w:rPr>
          <w:rFonts w:ascii="FangSong" w:hAnsi="FangSong" w:eastAsia="FangSong" w:cs="FangSong"/>
          <w:sz w:val="24"/>
          <w:szCs w:val="24"/>
          <w:spacing w:val="-3"/>
        </w:rPr>
        <w:t>较小；项目环境风险主要来源于堆场风险事故、爆炸危害及地表塌</w:t>
      </w:r>
      <w:r>
        <w:rPr>
          <w:rFonts w:ascii="FangSong" w:hAnsi="FangSong" w:eastAsia="FangSong" w:cs="FangSong"/>
          <w:sz w:val="24"/>
          <w:szCs w:val="24"/>
          <w:spacing w:val="-4"/>
        </w:rPr>
        <w:t>陷等，采取前</w:t>
      </w:r>
      <w:r>
        <w:rPr>
          <w:rFonts w:ascii="FangSong" w:hAnsi="FangSong" w:eastAsia="FangSong" w:cs="FangSong"/>
          <w:sz w:val="24"/>
          <w:szCs w:val="24"/>
          <w:spacing w:val="-3"/>
        </w:rPr>
        <w:t>文介绍的风险防范措施后，通过加强风险管理，编制应急预案并报</w:t>
      </w:r>
      <w:r>
        <w:rPr>
          <w:rFonts w:ascii="FangSong" w:hAnsi="FangSong" w:eastAsia="FangSong" w:cs="FangSong"/>
          <w:sz w:val="24"/>
          <w:szCs w:val="24"/>
          <w:spacing w:val="-4"/>
        </w:rPr>
        <w:t>当地环境保护</w:t>
      </w:r>
      <w:r>
        <w:rPr>
          <w:rFonts w:ascii="FangSong" w:hAnsi="FangSong" w:eastAsia="FangSong" w:cs="FangSong"/>
          <w:sz w:val="24"/>
          <w:szCs w:val="24"/>
          <w:spacing w:val="-5"/>
        </w:rPr>
        <w:t>主管部门备案，在严格落实本次评价中所提出的各项污染防治措施和风险防范后，</w:t>
      </w:r>
      <w:r>
        <w:rPr>
          <w:rFonts w:ascii="FangSong" w:hAnsi="FangSong" w:eastAsia="FangSong" w:cs="FangSong"/>
          <w:sz w:val="24"/>
          <w:szCs w:val="24"/>
          <w:spacing w:val="-1"/>
        </w:rPr>
        <w:t>能够将事故风险降到最低限度，是可接受的。</w:t>
      </w:r>
    </w:p>
    <w:p>
      <w:pPr>
        <w:ind w:left="29" w:right="146" w:firstLine="504"/>
        <w:spacing w:line="360" w:lineRule="auto"/>
        <w:jc w:val="both"/>
        <w:rPr>
          <w:rFonts w:ascii="FangSong" w:hAnsi="FangSong" w:eastAsia="FangSong" w:cs="FangSong"/>
          <w:sz w:val="24"/>
          <w:szCs w:val="24"/>
        </w:rPr>
      </w:pPr>
      <w:r>
        <w:rPr>
          <w:rFonts w:ascii="FangSong" w:hAnsi="FangSong" w:eastAsia="FangSong" w:cs="FangSong"/>
          <w:sz w:val="24"/>
          <w:szCs w:val="24"/>
          <w:spacing w:val="-4"/>
        </w:rPr>
        <w:t>因此，项目在采用设计和环评提出的污染治理措施后，虽仍对区域环</w:t>
      </w:r>
      <w:r>
        <w:rPr>
          <w:rFonts w:ascii="FangSong" w:hAnsi="FangSong" w:eastAsia="FangSong" w:cs="FangSong"/>
          <w:sz w:val="24"/>
          <w:szCs w:val="24"/>
          <w:spacing w:val="-5"/>
        </w:rPr>
        <w:t>境产生</w:t>
      </w:r>
      <w:r>
        <w:rPr>
          <w:rFonts w:ascii="FangSong" w:hAnsi="FangSong" w:eastAsia="FangSong" w:cs="FangSong"/>
          <w:sz w:val="24"/>
          <w:szCs w:val="24"/>
          <w:spacing w:val="-2"/>
        </w:rPr>
        <w:t>一定的负面影响，但只要确保达标排放，其环境影响则可控制在允许范围之</w:t>
      </w:r>
      <w:r>
        <w:rPr>
          <w:rFonts w:ascii="FangSong" w:hAnsi="FangSong" w:eastAsia="FangSong" w:cs="FangSong"/>
          <w:sz w:val="24"/>
          <w:szCs w:val="24"/>
          <w:spacing w:val="-3"/>
        </w:rPr>
        <w:t>内，</w:t>
      </w:r>
      <w:r>
        <w:rPr>
          <w:rFonts w:ascii="FangSong" w:hAnsi="FangSong" w:eastAsia="FangSong" w:cs="FangSong"/>
          <w:sz w:val="24"/>
          <w:szCs w:val="24"/>
          <w:spacing w:val="-2"/>
        </w:rPr>
        <w:t>该项目建设可行。</w:t>
      </w:r>
    </w:p>
    <w:p>
      <w:pPr>
        <w:spacing w:line="360" w:lineRule="auto"/>
        <w:sectPr>
          <w:footerReference w:type="default" r:id="rId385"/>
          <w:pgSz w:w="11906" w:h="16839"/>
          <w:pgMar w:top="400" w:right="1614" w:bottom="1358" w:left="1785" w:header="0" w:footer="1195" w:gutter="0"/>
        </w:sectPr>
        <w:rPr>
          <w:rFonts w:ascii="FangSong" w:hAnsi="FangSong" w:eastAsia="FangSong" w:cs="FangSong"/>
          <w:sz w:val="24"/>
          <w:szCs w:val="24"/>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31"/>
        <w:spacing w:before="98" w:line="222" w:lineRule="auto"/>
        <w:outlineLvl w:val="0"/>
        <w:rPr>
          <w:rFonts w:ascii="FangSong" w:hAnsi="FangSong" w:eastAsia="FangSong" w:cs="FangSong"/>
          <w:sz w:val="30"/>
          <w:szCs w:val="30"/>
        </w:rPr>
      </w:pPr>
      <w:bookmarkStart w:name="bookmark405" w:id="547"/>
      <w:bookmarkEnd w:id="547"/>
      <w:bookmarkStart w:name="bookmark404" w:id="548"/>
      <w:bookmarkEnd w:id="548"/>
      <w:bookmarkStart w:name="bookmark407" w:id="549"/>
      <w:bookmarkEnd w:id="549"/>
      <w:bookmarkStart w:name="bookmark406" w:id="550"/>
      <w:bookmarkEnd w:id="550"/>
      <w:r>
        <w:rPr>
          <w:rFonts w:ascii="Times New Roman" w:hAnsi="Times New Roman" w:eastAsia="Times New Roman" w:cs="Times New Roman"/>
          <w:sz w:val="30"/>
          <w:szCs w:val="30"/>
          <w:b/>
          <w:bCs/>
          <w:spacing w:val="-4"/>
        </w:rPr>
        <w:t>10  </w:t>
      </w:r>
      <w:r>
        <w:rPr>
          <w:rFonts w:ascii="FangSong" w:hAnsi="FangSong" w:eastAsia="FangSong" w:cs="FangSong"/>
          <w:sz w:val="30"/>
          <w:szCs w:val="30"/>
          <w:b/>
          <w:bCs/>
          <w:spacing w:val="-4"/>
        </w:rPr>
        <w:t>环境管理与监测</w:t>
      </w:r>
    </w:p>
    <w:p>
      <w:pPr>
        <w:ind w:left="30"/>
        <w:spacing w:before="271" w:line="223" w:lineRule="auto"/>
        <w:outlineLvl w:val="1"/>
        <w:rPr>
          <w:rFonts w:ascii="FangSong" w:hAnsi="FangSong" w:eastAsia="FangSong" w:cs="FangSong"/>
          <w:sz w:val="28"/>
          <w:szCs w:val="28"/>
        </w:rPr>
      </w:pPr>
      <w:bookmarkStart w:name="bookmark635" w:id="551"/>
      <w:bookmarkEnd w:id="551"/>
      <w:r>
        <w:rPr>
          <w:rFonts w:ascii="Times New Roman" w:hAnsi="Times New Roman" w:eastAsia="Times New Roman" w:cs="Times New Roman"/>
          <w:sz w:val="28"/>
          <w:szCs w:val="28"/>
          <w:b/>
          <w:bCs/>
          <w:spacing w:val="-6"/>
        </w:rPr>
        <w:t>10.1</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6"/>
        </w:rPr>
        <w:t>环境管理</w:t>
      </w:r>
    </w:p>
    <w:p>
      <w:pPr>
        <w:ind w:left="26" w:right="83" w:firstLine="481"/>
        <w:spacing w:before="227" w:line="360" w:lineRule="auto"/>
        <w:jc w:val="both"/>
        <w:rPr>
          <w:rFonts w:ascii="FangSong" w:hAnsi="FangSong" w:eastAsia="FangSong" w:cs="FangSong"/>
          <w:sz w:val="24"/>
          <w:szCs w:val="24"/>
        </w:rPr>
      </w:pPr>
      <w:r>
        <w:rPr>
          <w:rFonts w:ascii="FangSong" w:hAnsi="FangSong" w:eastAsia="FangSong" w:cs="FangSong"/>
          <w:sz w:val="24"/>
          <w:szCs w:val="24"/>
          <w:spacing w:val="-11"/>
        </w:rPr>
        <w:t>根据《中华人民共和国环境保护法》和中华人民共和国国务院令第</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11"/>
        </w:rPr>
        <w:t>682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1"/>
        </w:rPr>
        <w:t>号《建</w:t>
      </w:r>
      <w:r>
        <w:rPr>
          <w:rFonts w:ascii="FangSong" w:hAnsi="FangSong" w:eastAsia="FangSong" w:cs="FangSong"/>
          <w:sz w:val="24"/>
          <w:szCs w:val="24"/>
          <w:spacing w:val="-3"/>
        </w:rPr>
        <w:t>设项目环境保护管理条例》，建设单位必须把环境保护工作纳入计划，建立环境</w:t>
      </w:r>
      <w:r>
        <w:rPr>
          <w:rFonts w:ascii="FangSong" w:hAnsi="FangSong" w:eastAsia="FangSong" w:cs="FangSong"/>
          <w:sz w:val="24"/>
          <w:szCs w:val="24"/>
          <w:spacing w:val="-1"/>
        </w:rPr>
        <w:t>保护责任制度采取有效措施，防止环境破坏。</w:t>
      </w:r>
    </w:p>
    <w:p>
      <w:pPr>
        <w:ind w:left="26" w:right="37"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3"/>
        </w:rPr>
        <w:t>建立环境管理和环境监控机构，其目的就是贯彻执行有关环</w:t>
      </w:r>
      <w:r>
        <w:rPr>
          <w:rFonts w:ascii="FangSong" w:hAnsi="FangSong" w:eastAsia="FangSong" w:cs="FangSong"/>
          <w:sz w:val="24"/>
          <w:szCs w:val="24"/>
          <w:spacing w:val="-4"/>
        </w:rPr>
        <w:t>境保护法律、法</w:t>
      </w:r>
      <w:r>
        <w:rPr>
          <w:rFonts w:ascii="FangSong" w:hAnsi="FangSong" w:eastAsia="FangSong" w:cs="FangSong"/>
          <w:sz w:val="24"/>
          <w:szCs w:val="24"/>
          <w:spacing w:val="-3"/>
        </w:rPr>
        <w:t>规。根据建设项目的特点，以及相应的环保措施，制定相应的环境监测计划，以</w:t>
      </w:r>
      <w:r>
        <w:rPr>
          <w:rFonts w:ascii="FangSong" w:hAnsi="FangSong" w:eastAsia="FangSong" w:cs="FangSong"/>
          <w:sz w:val="24"/>
          <w:szCs w:val="24"/>
          <w:spacing w:val="-3"/>
        </w:rPr>
        <w:t>便及时发现和解决问题，尽可能减少其不利的环境影响。通过监测可以得到反馈</w:t>
      </w:r>
      <w:r>
        <w:rPr>
          <w:rFonts w:ascii="FangSong" w:hAnsi="FangSong" w:eastAsia="FangSong" w:cs="FangSong"/>
          <w:sz w:val="24"/>
          <w:szCs w:val="24"/>
          <w:spacing w:val="-2"/>
        </w:rPr>
        <w:t>信息，及时修正设计中环保措施的不足，防止环境质量下降，确保工程的环境、</w:t>
      </w:r>
      <w:r>
        <w:rPr>
          <w:rFonts w:ascii="FangSong" w:hAnsi="FangSong" w:eastAsia="FangSong" w:cs="FangSong"/>
          <w:sz w:val="24"/>
          <w:szCs w:val="24"/>
          <w:spacing w:val="-2"/>
        </w:rPr>
        <w:t>经济和社会效益的统一。</w:t>
      </w:r>
    </w:p>
    <w:p>
      <w:pPr>
        <w:ind w:left="30"/>
        <w:spacing w:before="57" w:line="223" w:lineRule="auto"/>
        <w:outlineLvl w:val="1"/>
        <w:rPr>
          <w:rFonts w:ascii="FangSong" w:hAnsi="FangSong" w:eastAsia="FangSong" w:cs="FangSong"/>
          <w:sz w:val="28"/>
          <w:szCs w:val="28"/>
        </w:rPr>
      </w:pPr>
      <w:bookmarkStart w:name="bookmark409" w:id="552"/>
      <w:bookmarkEnd w:id="552"/>
      <w:bookmarkStart w:name="bookmark408" w:id="553"/>
      <w:bookmarkEnd w:id="553"/>
      <w:r>
        <w:rPr>
          <w:rFonts w:ascii="Times New Roman" w:hAnsi="Times New Roman" w:eastAsia="Times New Roman" w:cs="Times New Roman"/>
          <w:sz w:val="28"/>
          <w:szCs w:val="28"/>
          <w:b/>
          <w:bCs/>
          <w:spacing w:val="-5"/>
        </w:rPr>
        <w:t>10.2</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环境管理目标</w:t>
      </w:r>
    </w:p>
    <w:p>
      <w:pPr>
        <w:ind w:left="41" w:right="83" w:firstLine="470"/>
        <w:spacing w:before="229"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）保证各项环境保护措施按照环境影响报告书及其批复、环境保护设计</w:t>
      </w:r>
      <w:r>
        <w:rPr>
          <w:rFonts w:ascii="FangSong" w:hAnsi="FangSong" w:eastAsia="FangSong" w:cs="FangSong"/>
          <w:sz w:val="24"/>
          <w:szCs w:val="24"/>
          <w:spacing w:val="-2"/>
        </w:rPr>
        <w:t>的要求实施，使各项环境保护设施正常、有效运行。</w:t>
      </w:r>
    </w:p>
    <w:p>
      <w:pPr>
        <w:ind w:left="48" w:right="83" w:firstLine="464"/>
        <w:spacing w:before="181"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）预防污染事故的发生，保证各类污染物达标排放、合理回用，使工程</w:t>
      </w:r>
      <w:r>
        <w:rPr>
          <w:rFonts w:ascii="FangSong" w:hAnsi="FangSong" w:eastAsia="FangSong" w:cs="FangSong"/>
          <w:sz w:val="24"/>
          <w:szCs w:val="24"/>
          <w:spacing w:val="-1"/>
        </w:rPr>
        <w:t>区及其附近的水环境、环境空气和声环境质量达到环境质量</w:t>
      </w:r>
      <w:r>
        <w:rPr>
          <w:rFonts w:ascii="FangSong" w:hAnsi="FangSong" w:eastAsia="FangSong" w:cs="FangSong"/>
          <w:sz w:val="24"/>
          <w:szCs w:val="24"/>
          <w:spacing w:val="-2"/>
        </w:rPr>
        <w:t>要求的标准。</w:t>
      </w:r>
    </w:p>
    <w:p>
      <w:pPr>
        <w:ind w:left="512"/>
        <w:spacing w:before="179"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）生态破坏得到有效控制，并通过采取措施恢复原有的生态环境质量。</w:t>
      </w:r>
    </w:p>
    <w:p>
      <w:pPr>
        <w:ind w:left="69" w:right="83" w:firstLine="442"/>
        <w:spacing w:before="182"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）梳理工程运营与环境保护的关系，加强工程运营的环境管理，促进项</w:t>
      </w:r>
      <w:r>
        <w:rPr>
          <w:rFonts w:ascii="FangSong" w:hAnsi="FangSong" w:eastAsia="FangSong" w:cs="FangSong"/>
          <w:sz w:val="24"/>
          <w:szCs w:val="24"/>
          <w:spacing w:val="-8"/>
        </w:rPr>
        <w:t>目区域环境美化。</w:t>
      </w:r>
    </w:p>
    <w:p>
      <w:pPr>
        <w:ind w:left="30"/>
        <w:spacing w:before="238" w:line="223" w:lineRule="auto"/>
        <w:outlineLvl w:val="1"/>
        <w:rPr>
          <w:rFonts w:ascii="FangSong" w:hAnsi="FangSong" w:eastAsia="FangSong" w:cs="FangSong"/>
          <w:sz w:val="28"/>
          <w:szCs w:val="28"/>
        </w:rPr>
      </w:pPr>
      <w:bookmarkStart w:name="bookmark411" w:id="554"/>
      <w:bookmarkEnd w:id="554"/>
      <w:bookmarkStart w:name="bookmark410" w:id="555"/>
      <w:bookmarkEnd w:id="555"/>
      <w:r>
        <w:rPr>
          <w:rFonts w:ascii="Times New Roman" w:hAnsi="Times New Roman" w:eastAsia="Times New Roman" w:cs="Times New Roman"/>
          <w:sz w:val="28"/>
          <w:szCs w:val="28"/>
          <w:b/>
          <w:bCs/>
          <w:spacing w:val="-5"/>
        </w:rPr>
        <w:t>10.3</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环境管理体系</w:t>
      </w:r>
    </w:p>
    <w:p>
      <w:pPr>
        <w:ind w:left="508"/>
        <w:spacing w:before="228" w:line="222" w:lineRule="auto"/>
        <w:rPr>
          <w:rFonts w:ascii="FangSong" w:hAnsi="FangSong" w:eastAsia="FangSong" w:cs="FangSong"/>
          <w:sz w:val="24"/>
          <w:szCs w:val="24"/>
        </w:rPr>
      </w:pPr>
      <w:r>
        <w:rPr>
          <w:rFonts w:ascii="FangSong" w:hAnsi="FangSong" w:eastAsia="FangSong" w:cs="FangSong"/>
          <w:sz w:val="24"/>
          <w:szCs w:val="24"/>
          <w:spacing w:val="-1"/>
        </w:rPr>
        <w:t>本项目环境管理分为外部环境管理和内部环境管理两部分。</w:t>
      </w:r>
    </w:p>
    <w:p>
      <w:pPr>
        <w:ind w:left="26" w:right="83" w:firstLine="483"/>
        <w:spacing w:before="178" w:line="360" w:lineRule="auto"/>
        <w:rPr>
          <w:rFonts w:ascii="FangSong" w:hAnsi="FangSong" w:eastAsia="FangSong" w:cs="FangSong"/>
          <w:sz w:val="24"/>
          <w:szCs w:val="24"/>
        </w:rPr>
      </w:pPr>
      <w:r>
        <w:rPr>
          <w:rFonts w:ascii="FangSong" w:hAnsi="FangSong" w:eastAsia="FangSong" w:cs="FangSong"/>
          <w:sz w:val="24"/>
          <w:szCs w:val="24"/>
          <w:spacing w:val="4"/>
        </w:rPr>
        <w:t>外部环境管理指国家及各级地方环境保护行政主管部门依据国家相关的法</w:t>
      </w:r>
      <w:r>
        <w:rPr>
          <w:rFonts w:ascii="FangSong" w:hAnsi="FangSong" w:eastAsia="FangSong" w:cs="FangSong"/>
          <w:sz w:val="24"/>
          <w:szCs w:val="24"/>
          <w:spacing w:val="-3"/>
        </w:rPr>
        <w:t>律、法规和政策，按照工程需达到的环境标准与要求，依法对各工程建设阶段进</w:t>
      </w:r>
      <w:r>
        <w:rPr>
          <w:rFonts w:ascii="FangSong" w:hAnsi="FangSong" w:eastAsia="FangSong" w:cs="FangSong"/>
          <w:sz w:val="24"/>
          <w:szCs w:val="24"/>
          <w:spacing w:val="-1"/>
        </w:rPr>
        <w:t>行不定期监督、检查及环境保护竣工验收等活动。</w:t>
      </w:r>
    </w:p>
    <w:p>
      <w:pPr>
        <w:ind w:left="27" w:firstLine="509"/>
        <w:spacing w:before="1" w:line="360" w:lineRule="auto"/>
        <w:jc w:val="both"/>
        <w:rPr>
          <w:rFonts w:ascii="FangSong" w:hAnsi="FangSong" w:eastAsia="FangSong" w:cs="FangSong"/>
          <w:sz w:val="24"/>
          <w:szCs w:val="24"/>
        </w:rPr>
      </w:pPr>
      <w:r>
        <w:rPr>
          <w:rFonts w:ascii="FangSong" w:hAnsi="FangSong" w:eastAsia="FangSong" w:cs="FangSong"/>
          <w:sz w:val="24"/>
          <w:szCs w:val="24"/>
          <w:spacing w:val="-9"/>
        </w:rPr>
        <w:t>内部环境管理指建设单位执行国家和地方有关环境保护的法律、法规、政策，</w:t>
      </w:r>
      <w:r>
        <w:rPr>
          <w:rFonts w:ascii="FangSong" w:hAnsi="FangSong" w:eastAsia="FangSong" w:cs="FangSong"/>
          <w:sz w:val="24"/>
          <w:szCs w:val="24"/>
          <w:spacing w:val="-3"/>
        </w:rPr>
        <w:t>贯彻环境保护标准，落实环境保护措施，并对工程的过程和活动按环保要求进行</w:t>
      </w:r>
      <w:r>
        <w:rPr>
          <w:rFonts w:ascii="FangSong" w:hAnsi="FangSong" w:eastAsia="FangSong" w:cs="FangSong"/>
          <w:sz w:val="24"/>
          <w:szCs w:val="24"/>
          <w:spacing w:val="-7"/>
        </w:rPr>
        <w:t>管理。运营期由工程运行管理单位负责，对环境保护措施</w:t>
      </w:r>
      <w:r>
        <w:rPr>
          <w:rFonts w:ascii="FangSong" w:hAnsi="FangSong" w:eastAsia="FangSong" w:cs="FangSong"/>
          <w:sz w:val="24"/>
          <w:szCs w:val="24"/>
          <w:spacing w:val="-8"/>
        </w:rPr>
        <w:t>进行优化、组织和实施。</w:t>
      </w:r>
    </w:p>
    <w:p>
      <w:pPr>
        <w:spacing w:line="360" w:lineRule="auto"/>
        <w:sectPr>
          <w:footerReference w:type="default" r:id="rId386"/>
          <w:pgSz w:w="11906" w:h="16839"/>
          <w:pgMar w:top="400" w:right="1714" w:bottom="1358" w:left="1785" w:header="0" w:footer="1195" w:gutter="0"/>
        </w:sectPr>
        <w:rPr>
          <w:rFonts w:ascii="FangSong" w:hAnsi="FangSong" w:eastAsia="FangSong" w:cs="FangSong"/>
          <w:sz w:val="24"/>
          <w:szCs w:val="24"/>
        </w:rPr>
      </w:pP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30"/>
        <w:spacing w:before="91" w:line="223" w:lineRule="auto"/>
        <w:outlineLvl w:val="1"/>
        <w:rPr>
          <w:rFonts w:ascii="FangSong" w:hAnsi="FangSong" w:eastAsia="FangSong" w:cs="FangSong"/>
          <w:sz w:val="28"/>
          <w:szCs w:val="28"/>
        </w:rPr>
      </w:pPr>
      <w:bookmarkStart w:name="bookmark413" w:id="556"/>
      <w:bookmarkEnd w:id="556"/>
      <w:bookmarkStart w:name="bookmark415" w:id="557"/>
      <w:bookmarkEnd w:id="557"/>
      <w:bookmarkStart w:name="bookmark412" w:id="558"/>
      <w:bookmarkEnd w:id="558"/>
      <w:bookmarkStart w:name="bookmark414" w:id="559"/>
      <w:bookmarkEnd w:id="559"/>
      <w:r>
        <w:rPr>
          <w:rFonts w:ascii="Times New Roman" w:hAnsi="Times New Roman" w:eastAsia="Times New Roman" w:cs="Times New Roman"/>
          <w:sz w:val="28"/>
          <w:szCs w:val="28"/>
          <w:b/>
          <w:bCs/>
          <w:spacing w:val="-3"/>
        </w:rPr>
        <w:t>10.4  </w:t>
      </w:r>
      <w:r>
        <w:rPr>
          <w:rFonts w:ascii="FangSong" w:hAnsi="FangSong" w:eastAsia="FangSong" w:cs="FangSong"/>
          <w:sz w:val="28"/>
          <w:szCs w:val="28"/>
          <w:b/>
          <w:bCs/>
          <w:spacing w:val="-3"/>
        </w:rPr>
        <w:t>环境管理机构及职责</w:t>
      </w:r>
    </w:p>
    <w:p>
      <w:pPr>
        <w:ind w:left="27"/>
        <w:spacing w:before="227" w:line="222" w:lineRule="auto"/>
        <w:outlineLvl w:val="2"/>
        <w:rPr>
          <w:rFonts w:ascii="FangSong" w:hAnsi="FangSong" w:eastAsia="FangSong" w:cs="FangSong"/>
          <w:sz w:val="24"/>
          <w:szCs w:val="24"/>
        </w:rPr>
      </w:pPr>
      <w:bookmarkStart w:name="bookmark636" w:id="560"/>
      <w:bookmarkEnd w:id="560"/>
      <w:r>
        <w:rPr>
          <w:rFonts w:ascii="Times New Roman" w:hAnsi="Times New Roman" w:eastAsia="Times New Roman" w:cs="Times New Roman"/>
          <w:sz w:val="24"/>
          <w:szCs w:val="24"/>
          <w:b/>
          <w:bCs/>
          <w:spacing w:val="-2"/>
        </w:rPr>
        <w:t>10.4.1  </w:t>
      </w:r>
      <w:r>
        <w:rPr>
          <w:rFonts w:ascii="FangSong" w:hAnsi="FangSong" w:eastAsia="FangSong" w:cs="FangSong"/>
          <w:sz w:val="24"/>
          <w:szCs w:val="24"/>
          <w:b/>
          <w:bCs/>
          <w:spacing w:val="-2"/>
        </w:rPr>
        <w:t>施工期环境管理机构</w:t>
      </w:r>
    </w:p>
    <w:p>
      <w:pPr>
        <w:ind w:left="26" w:right="37"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施工期的环境管理应由建设单位、施工单位负责，组建环境管</w:t>
      </w:r>
      <w:r>
        <w:rPr>
          <w:rFonts w:ascii="FangSong" w:hAnsi="FangSong" w:eastAsia="FangSong" w:cs="FangSong"/>
          <w:sz w:val="24"/>
          <w:szCs w:val="24"/>
          <w:spacing w:val="-4"/>
        </w:rPr>
        <w:t>理机构，并由</w:t>
      </w:r>
      <w:r>
        <w:rPr>
          <w:rFonts w:ascii="FangSong" w:hAnsi="FangSong" w:eastAsia="FangSong" w:cs="FangSong"/>
          <w:sz w:val="24"/>
          <w:szCs w:val="24"/>
          <w:spacing w:val="-3"/>
        </w:rPr>
        <w:t>地方生态环境局负责监督。主要内容包括：依照国家环境保护法律、法规，对施</w:t>
      </w:r>
      <w:r>
        <w:rPr>
          <w:rFonts w:ascii="FangSong" w:hAnsi="FangSong" w:eastAsia="FangSong" w:cs="FangSong"/>
          <w:sz w:val="24"/>
          <w:szCs w:val="24"/>
          <w:spacing w:val="-2"/>
        </w:rPr>
        <w:t>工中可能产生污染的环节进行规范管理，定期或不定期的检查；督促建设单位、</w:t>
      </w:r>
      <w:r>
        <w:rPr>
          <w:rFonts w:ascii="FangSong" w:hAnsi="FangSong" w:eastAsia="FangSong" w:cs="FangSong"/>
          <w:sz w:val="24"/>
          <w:szCs w:val="24"/>
          <w:spacing w:val="-1"/>
        </w:rPr>
        <w:t>施工单位采取相应的污染防治措施，以减轻对环境的污染。</w:t>
      </w:r>
    </w:p>
    <w:p>
      <w:pPr>
        <w:ind w:left="27"/>
        <w:spacing w:line="222" w:lineRule="auto"/>
        <w:outlineLvl w:val="2"/>
        <w:rPr>
          <w:rFonts w:ascii="FangSong" w:hAnsi="FangSong" w:eastAsia="FangSong" w:cs="FangSong"/>
          <w:sz w:val="24"/>
          <w:szCs w:val="24"/>
        </w:rPr>
      </w:pPr>
      <w:bookmarkStart w:name="bookmark417" w:id="561"/>
      <w:bookmarkEnd w:id="561"/>
      <w:bookmarkStart w:name="bookmark416" w:id="562"/>
      <w:bookmarkEnd w:id="562"/>
      <w:r>
        <w:rPr>
          <w:rFonts w:ascii="Times New Roman" w:hAnsi="Times New Roman" w:eastAsia="Times New Roman" w:cs="Times New Roman"/>
          <w:sz w:val="24"/>
          <w:szCs w:val="24"/>
          <w:b/>
          <w:bCs/>
          <w:spacing w:val="-2"/>
        </w:rPr>
        <w:t>10.4.2  </w:t>
      </w:r>
      <w:r>
        <w:rPr>
          <w:rFonts w:ascii="FangSong" w:hAnsi="FangSong" w:eastAsia="FangSong" w:cs="FangSong"/>
          <w:sz w:val="24"/>
          <w:szCs w:val="24"/>
          <w:b/>
          <w:bCs/>
          <w:spacing w:val="-2"/>
        </w:rPr>
        <w:t>运营期环境管理机构</w:t>
      </w:r>
    </w:p>
    <w:p>
      <w:pPr>
        <w:ind w:left="29" w:right="83" w:firstLine="479"/>
        <w:spacing w:before="179" w:line="360" w:lineRule="auto"/>
        <w:rPr>
          <w:rFonts w:ascii="FangSong" w:hAnsi="FangSong" w:eastAsia="FangSong" w:cs="FangSong"/>
          <w:sz w:val="24"/>
          <w:szCs w:val="24"/>
        </w:rPr>
      </w:pPr>
      <w:r>
        <w:rPr>
          <w:rFonts w:ascii="FangSong" w:hAnsi="FangSong" w:eastAsia="FangSong" w:cs="FangSong"/>
          <w:sz w:val="24"/>
          <w:szCs w:val="24"/>
          <w:spacing w:val="-3"/>
        </w:rPr>
        <w:t>本项目运营期环境管理体系由建设单位环境管理办公室组</w:t>
      </w:r>
      <w:r>
        <w:rPr>
          <w:rFonts w:ascii="FangSong" w:hAnsi="FangSong" w:eastAsia="FangSong" w:cs="FangSong"/>
          <w:sz w:val="24"/>
          <w:szCs w:val="24"/>
          <w:spacing w:val="-4"/>
        </w:rPr>
        <w:t>成，主要有以下职</w:t>
      </w:r>
      <w:r>
        <w:rPr>
          <w:rFonts w:ascii="FangSong" w:hAnsi="FangSong" w:eastAsia="FangSong" w:cs="FangSong"/>
          <w:sz w:val="24"/>
          <w:szCs w:val="24"/>
          <w:spacing w:val="-9"/>
        </w:rPr>
        <w:t>责：</w:t>
      </w:r>
    </w:p>
    <w:p>
      <w:pPr>
        <w:ind w:left="27" w:right="83" w:firstLine="485"/>
        <w:spacing w:before="3"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）组织协调本报告和生态环境主管部门审批意见提出的各项任务，落实</w:t>
      </w:r>
      <w:r>
        <w:rPr>
          <w:rFonts w:ascii="FangSong" w:hAnsi="FangSong" w:eastAsia="FangSong" w:cs="FangSong"/>
          <w:sz w:val="24"/>
          <w:szCs w:val="24"/>
          <w:spacing w:val="-3"/>
        </w:rPr>
        <w:t>生态流量泄放、生态补偿和污染防治的各项经费。建立健全环境保护工作规章制</w:t>
      </w:r>
      <w:r>
        <w:rPr>
          <w:rFonts w:ascii="FangSong" w:hAnsi="FangSong" w:eastAsia="FangSong" w:cs="FangSong"/>
          <w:sz w:val="24"/>
          <w:szCs w:val="24"/>
          <w:spacing w:val="-2"/>
        </w:rPr>
        <w:t>度，明确环保责任及其奖惩办法。</w:t>
      </w:r>
    </w:p>
    <w:p>
      <w:pPr>
        <w:spacing w:before="181" w:line="220" w:lineRule="auto"/>
        <w:jc w:val="right"/>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）收集与管理有关环保法规、环保技术资料、</w:t>
      </w:r>
      <w:r>
        <w:rPr>
          <w:rFonts w:ascii="FangSong" w:hAnsi="FangSong" w:eastAsia="FangSong" w:cs="FangSong"/>
          <w:sz w:val="24"/>
          <w:szCs w:val="24"/>
          <w:spacing w:val="-5"/>
        </w:rPr>
        <w:t>监测资料，建立环保档案。</w:t>
      </w:r>
    </w:p>
    <w:p>
      <w:pPr>
        <w:spacing w:before="181" w:line="221" w:lineRule="auto"/>
        <w:jc w:val="right"/>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）组织环保教育，搞好环境宣传，提高职工及</w:t>
      </w:r>
      <w:r>
        <w:rPr>
          <w:rFonts w:ascii="FangSong" w:hAnsi="FangSong" w:eastAsia="FangSong" w:cs="FangSong"/>
          <w:sz w:val="24"/>
          <w:szCs w:val="24"/>
          <w:spacing w:val="-5"/>
        </w:rPr>
        <w:t>厂区周围群众的环保意识。</w:t>
      </w:r>
    </w:p>
    <w:p>
      <w:pPr>
        <w:ind w:left="512"/>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）本项目在运营期期做好以下环境管理工作：</w:t>
      </w:r>
    </w:p>
    <w:p>
      <w:pPr>
        <w:ind w:left="500"/>
        <w:spacing w:before="183" w:line="220" w:lineRule="auto"/>
        <w:rPr>
          <w:rFonts w:ascii="FangSong" w:hAnsi="FangSong" w:eastAsia="FangSong" w:cs="FangSong"/>
          <w:sz w:val="24"/>
          <w:szCs w:val="24"/>
        </w:rPr>
      </w:pPr>
      <w:r>
        <w:rPr>
          <w:rFonts w:ascii="FangSong" w:hAnsi="FangSong" w:eastAsia="FangSong" w:cs="FangSong"/>
          <w:sz w:val="24"/>
          <w:szCs w:val="24"/>
          <w:spacing w:val="-1"/>
        </w:rPr>
        <w:t>①</w:t>
      </w:r>
      <w:r>
        <w:rPr>
          <w:rFonts w:ascii="FangSong" w:hAnsi="FangSong" w:eastAsia="FangSong" w:cs="FangSong"/>
          <w:sz w:val="24"/>
          <w:szCs w:val="24"/>
          <w:spacing w:val="-1"/>
        </w:rPr>
        <w:t xml:space="preserve"> </w:t>
      </w:r>
      <w:r>
        <w:rPr>
          <w:rFonts w:ascii="FangSong" w:hAnsi="FangSong" w:eastAsia="FangSong" w:cs="FangSong"/>
          <w:sz w:val="24"/>
          <w:szCs w:val="24"/>
          <w:spacing w:val="-1"/>
        </w:rPr>
        <w:t>做好本项目涉及生态保护工作；</w:t>
      </w:r>
    </w:p>
    <w:p>
      <w:pPr>
        <w:ind w:left="499"/>
        <w:spacing w:before="182" w:line="220"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组织实施本项目涉及陆生生物等监测工作；</w:t>
      </w:r>
    </w:p>
    <w:p>
      <w:pPr>
        <w:ind w:left="499"/>
        <w:spacing w:before="182" w:line="219" w:lineRule="auto"/>
        <w:rPr>
          <w:rFonts w:ascii="FangSong" w:hAnsi="FangSong" w:eastAsia="FangSong" w:cs="FangSong"/>
          <w:sz w:val="24"/>
          <w:szCs w:val="24"/>
        </w:rPr>
      </w:pPr>
      <w:r>
        <w:rPr>
          <w:rFonts w:ascii="FangSong" w:hAnsi="FangSong" w:eastAsia="FangSong" w:cs="FangSong"/>
          <w:sz w:val="24"/>
          <w:szCs w:val="24"/>
          <w:spacing w:val="-1"/>
        </w:rPr>
        <w:t>③</w:t>
      </w:r>
      <w:r>
        <w:rPr>
          <w:rFonts w:ascii="FangSong" w:hAnsi="FangSong" w:eastAsia="FangSong" w:cs="FangSong"/>
          <w:sz w:val="24"/>
          <w:szCs w:val="24"/>
          <w:spacing w:val="-1"/>
        </w:rPr>
        <w:t xml:space="preserve"> </w:t>
      </w:r>
      <w:r>
        <w:rPr>
          <w:rFonts w:ascii="FangSong" w:hAnsi="FangSong" w:eastAsia="FangSong" w:cs="FangSong"/>
          <w:sz w:val="24"/>
          <w:szCs w:val="24"/>
          <w:spacing w:val="-1"/>
        </w:rPr>
        <w:t>协调解决在矿区采选方面可能产生的生态和环境问题；</w:t>
      </w:r>
    </w:p>
    <w:p>
      <w:pPr>
        <w:ind w:left="499"/>
        <w:spacing w:before="182" w:line="222" w:lineRule="auto"/>
        <w:rPr>
          <w:rFonts w:ascii="FangSong" w:hAnsi="FangSong" w:eastAsia="FangSong" w:cs="FangSong"/>
          <w:sz w:val="24"/>
          <w:szCs w:val="24"/>
        </w:rPr>
      </w:pPr>
      <w:r>
        <w:rPr>
          <w:rFonts w:ascii="FangSong" w:hAnsi="FangSong" w:eastAsia="FangSong" w:cs="FangSong"/>
          <w:sz w:val="24"/>
          <w:szCs w:val="24"/>
          <w:spacing w:val="-1"/>
        </w:rPr>
        <w:t>④</w:t>
      </w:r>
      <w:r>
        <w:rPr>
          <w:rFonts w:ascii="FangSong" w:hAnsi="FangSong" w:eastAsia="FangSong" w:cs="FangSong"/>
          <w:sz w:val="24"/>
          <w:szCs w:val="24"/>
          <w:spacing w:val="-1"/>
        </w:rPr>
        <w:t xml:space="preserve"> </w:t>
      </w:r>
      <w:r>
        <w:rPr>
          <w:rFonts w:ascii="FangSong" w:hAnsi="FangSong" w:eastAsia="FangSong" w:cs="FangSong"/>
          <w:sz w:val="24"/>
          <w:szCs w:val="24"/>
          <w:spacing w:val="-1"/>
        </w:rPr>
        <w:t>负责对各类污染事故和破坏生态事故的处理；</w:t>
      </w:r>
    </w:p>
    <w:p>
      <w:pPr>
        <w:ind w:left="499"/>
        <w:spacing w:before="180" w:line="219" w:lineRule="auto"/>
        <w:rPr>
          <w:rFonts w:ascii="FangSong" w:hAnsi="FangSong" w:eastAsia="FangSong" w:cs="FangSong"/>
          <w:sz w:val="24"/>
          <w:szCs w:val="24"/>
        </w:rPr>
      </w:pPr>
      <w:r>
        <w:rPr>
          <w:rFonts w:ascii="FangSong" w:hAnsi="FangSong" w:eastAsia="FangSong" w:cs="FangSong"/>
          <w:sz w:val="24"/>
          <w:szCs w:val="24"/>
          <w:spacing w:val="-1"/>
        </w:rPr>
        <w:t>⑤</w:t>
      </w:r>
      <w:r>
        <w:rPr>
          <w:rFonts w:ascii="FangSong" w:hAnsi="FangSong" w:eastAsia="FangSong" w:cs="FangSong"/>
          <w:sz w:val="24"/>
          <w:szCs w:val="24"/>
          <w:spacing w:val="-1"/>
        </w:rPr>
        <w:t xml:space="preserve"> </w:t>
      </w:r>
      <w:r>
        <w:rPr>
          <w:rFonts w:ascii="FangSong" w:hAnsi="FangSong" w:eastAsia="FangSong" w:cs="FangSong"/>
          <w:sz w:val="24"/>
          <w:szCs w:val="24"/>
          <w:spacing w:val="-1"/>
        </w:rPr>
        <w:t>监督危险废物收集及转运过程；</w:t>
      </w:r>
    </w:p>
    <w:p>
      <w:pPr>
        <w:spacing w:before="183" w:line="222" w:lineRule="auto"/>
        <w:jc w:val="right"/>
        <w:rPr>
          <w:rFonts w:ascii="FangSong" w:hAnsi="FangSong" w:eastAsia="FangSong" w:cs="FangSong"/>
          <w:sz w:val="24"/>
          <w:szCs w:val="24"/>
        </w:rPr>
      </w:pPr>
      <w:r>
        <w:rPr>
          <w:rFonts w:ascii="FangSong" w:hAnsi="FangSong" w:eastAsia="FangSong" w:cs="FangSong"/>
          <w:sz w:val="24"/>
          <w:szCs w:val="24"/>
          <w:spacing w:val="-5"/>
        </w:rPr>
        <w:t>⑥</w:t>
      </w:r>
      <w:r>
        <w:rPr>
          <w:rFonts w:ascii="FangSong" w:hAnsi="FangSong" w:eastAsia="FangSong" w:cs="FangSong"/>
          <w:sz w:val="24"/>
          <w:szCs w:val="24"/>
          <w:spacing w:val="-5"/>
        </w:rPr>
        <w:t xml:space="preserve"> </w:t>
      </w:r>
      <w:r>
        <w:rPr>
          <w:rFonts w:ascii="FangSong" w:hAnsi="FangSong" w:eastAsia="FangSong" w:cs="FangSong"/>
          <w:sz w:val="24"/>
          <w:szCs w:val="24"/>
          <w:spacing w:val="-5"/>
        </w:rPr>
        <w:t>组织环境风险应急预案编制、修订及备案，定期开展环境风险应急演练；</w:t>
      </w:r>
    </w:p>
    <w:p>
      <w:pPr>
        <w:ind w:left="499"/>
        <w:spacing w:before="180" w:line="220" w:lineRule="auto"/>
        <w:rPr>
          <w:rFonts w:ascii="FangSong" w:hAnsi="FangSong" w:eastAsia="FangSong" w:cs="FangSong"/>
          <w:sz w:val="24"/>
          <w:szCs w:val="24"/>
        </w:rPr>
      </w:pPr>
      <w:r>
        <w:rPr>
          <w:rFonts w:ascii="FangSong" w:hAnsi="FangSong" w:eastAsia="FangSong" w:cs="FangSong"/>
          <w:sz w:val="24"/>
          <w:szCs w:val="24"/>
          <w:spacing w:val="-1"/>
        </w:rPr>
        <w:t>⑦</w:t>
      </w:r>
      <w:r>
        <w:rPr>
          <w:rFonts w:ascii="FangSong" w:hAnsi="FangSong" w:eastAsia="FangSong" w:cs="FangSong"/>
          <w:sz w:val="24"/>
          <w:szCs w:val="24"/>
          <w:spacing w:val="-1"/>
        </w:rPr>
        <w:t xml:space="preserve"> </w:t>
      </w:r>
      <w:r>
        <w:rPr>
          <w:rFonts w:ascii="FangSong" w:hAnsi="FangSong" w:eastAsia="FangSong" w:cs="FangSong"/>
          <w:sz w:val="24"/>
          <w:szCs w:val="24"/>
          <w:spacing w:val="-1"/>
        </w:rPr>
        <w:t>负责排污许可证申报及变更工作；</w:t>
      </w:r>
    </w:p>
    <w:p>
      <w:pPr>
        <w:ind w:left="30"/>
        <w:spacing w:before="241" w:line="222" w:lineRule="auto"/>
        <w:outlineLvl w:val="1"/>
        <w:rPr>
          <w:rFonts w:ascii="FangSong" w:hAnsi="FangSong" w:eastAsia="FangSong" w:cs="FangSong"/>
          <w:sz w:val="28"/>
          <w:szCs w:val="28"/>
        </w:rPr>
      </w:pPr>
      <w:bookmarkStart w:name="bookmark419" w:id="563"/>
      <w:bookmarkEnd w:id="563"/>
      <w:bookmarkStart w:name="bookmark418" w:id="564"/>
      <w:bookmarkEnd w:id="564"/>
      <w:r>
        <w:rPr>
          <w:rFonts w:ascii="Times New Roman" w:hAnsi="Times New Roman" w:eastAsia="Times New Roman" w:cs="Times New Roman"/>
          <w:sz w:val="28"/>
          <w:szCs w:val="28"/>
          <w:b/>
          <w:bCs/>
          <w:spacing w:val="-5"/>
        </w:rPr>
        <w:t>10.5</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环境管理制度</w:t>
      </w:r>
    </w:p>
    <w:p>
      <w:pPr>
        <w:ind w:left="34" w:right="83" w:firstLine="478"/>
        <w:spacing w:before="228" w:line="360" w:lineRule="auto"/>
        <w:rPr>
          <w:rFonts w:ascii="FangSong" w:hAnsi="FangSong" w:eastAsia="FangSong" w:cs="FangSong"/>
          <w:sz w:val="24"/>
          <w:szCs w:val="24"/>
        </w:rPr>
      </w:pPr>
      <w:r>
        <w:rPr>
          <w:rFonts w:ascii="FangSong" w:hAnsi="FangSong" w:eastAsia="FangSong" w:cs="FangSong"/>
          <w:sz w:val="24"/>
          <w:szCs w:val="24"/>
          <w:spacing w:val="-3"/>
        </w:rPr>
        <w:t>完善的环境管理制度的建立，有利于环境保护工</w:t>
      </w:r>
      <w:r>
        <w:rPr>
          <w:rFonts w:ascii="FangSong" w:hAnsi="FangSong" w:eastAsia="FangSong" w:cs="FangSong"/>
          <w:sz w:val="24"/>
          <w:szCs w:val="24"/>
          <w:spacing w:val="-4"/>
        </w:rPr>
        <w:t>程的监督、管理、实施和突</w:t>
      </w:r>
      <w:r>
        <w:rPr>
          <w:rFonts w:ascii="FangSong" w:hAnsi="FangSong" w:eastAsia="FangSong" w:cs="FangSong"/>
          <w:sz w:val="24"/>
          <w:szCs w:val="24"/>
          <w:spacing w:val="-1"/>
        </w:rPr>
        <w:t>发事件的处理。本项目的环境管理制度主要包括以下几个方面：</w:t>
      </w:r>
    </w:p>
    <w:p>
      <w:pPr>
        <w:ind w:left="512"/>
        <w:spacing w:before="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）环境保护责任制</w:t>
      </w:r>
    </w:p>
    <w:p>
      <w:pPr>
        <w:ind w:left="28" w:right="83"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在环境保护管理体系中，建立环境保护责任制，明确各</w:t>
      </w:r>
      <w:r>
        <w:rPr>
          <w:rFonts w:ascii="FangSong" w:hAnsi="FangSong" w:eastAsia="FangSong" w:cs="FangSong"/>
          <w:sz w:val="24"/>
          <w:szCs w:val="24"/>
          <w:spacing w:val="-4"/>
        </w:rPr>
        <w:t>环境管理机构的环境</w:t>
      </w:r>
      <w:r>
        <w:rPr>
          <w:rFonts w:ascii="FangSong" w:hAnsi="FangSong" w:eastAsia="FangSong" w:cs="FangSong"/>
          <w:sz w:val="24"/>
          <w:szCs w:val="24"/>
          <w:spacing w:val="-4"/>
        </w:rPr>
        <w:t>保护责任。</w:t>
      </w:r>
    </w:p>
    <w:p>
      <w:pPr>
        <w:ind w:left="512"/>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）管理制度</w:t>
      </w:r>
    </w:p>
    <w:p>
      <w:pPr>
        <w:spacing w:line="221" w:lineRule="auto"/>
        <w:sectPr>
          <w:footerReference w:type="default" r:id="rId387"/>
          <w:pgSz w:w="11906" w:h="16839"/>
          <w:pgMar w:top="400" w:right="171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38" w:right="106" w:firstLine="465"/>
        <w:spacing w:before="78" w:line="360" w:lineRule="auto"/>
        <w:rPr>
          <w:rFonts w:ascii="FangSong" w:hAnsi="FangSong" w:eastAsia="FangSong" w:cs="FangSong"/>
          <w:sz w:val="24"/>
          <w:szCs w:val="24"/>
        </w:rPr>
      </w:pPr>
      <w:r>
        <w:rPr>
          <w:rFonts w:ascii="FangSong" w:hAnsi="FangSong" w:eastAsia="FangSong" w:cs="FangSong"/>
          <w:sz w:val="24"/>
          <w:szCs w:val="24"/>
          <w:spacing w:val="-3"/>
        </w:rPr>
        <w:t>建设单位环境管理办公室负责日常环保检查，并将环保检查</w:t>
      </w:r>
      <w:r>
        <w:rPr>
          <w:rFonts w:ascii="FangSong" w:hAnsi="FangSong" w:eastAsia="FangSong" w:cs="FangSong"/>
          <w:sz w:val="24"/>
          <w:szCs w:val="24"/>
          <w:spacing w:val="-4"/>
        </w:rPr>
        <w:t>结果上报本项目</w:t>
      </w:r>
      <w:r>
        <w:rPr>
          <w:rFonts w:ascii="FangSong" w:hAnsi="FangSong" w:eastAsia="FangSong" w:cs="FangSong"/>
          <w:sz w:val="24"/>
          <w:szCs w:val="24"/>
          <w:spacing w:val="-6"/>
        </w:rPr>
        <w:t>的领导层。</w:t>
      </w:r>
    </w:p>
    <w:p>
      <w:pPr>
        <w:ind w:left="609"/>
        <w:spacing w:line="22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FangSong" w:hAnsi="FangSong" w:eastAsia="FangSong" w:cs="FangSong"/>
          <w:sz w:val="24"/>
          <w:szCs w:val="24"/>
          <w:spacing w:val="-5"/>
        </w:rPr>
        <w:t>）“三同时</w:t>
      </w:r>
      <w:r>
        <w:rPr>
          <w:rFonts w:ascii="FangSong" w:hAnsi="FangSong" w:eastAsia="FangSong" w:cs="FangSong"/>
          <w:sz w:val="24"/>
          <w:szCs w:val="24"/>
          <w:spacing w:val="-82"/>
        </w:rPr>
        <w:t xml:space="preserve"> </w:t>
      </w:r>
      <w:r>
        <w:rPr>
          <w:rFonts w:ascii="FangSong" w:hAnsi="FangSong" w:eastAsia="FangSong" w:cs="FangSong"/>
          <w:sz w:val="24"/>
          <w:szCs w:val="24"/>
          <w:spacing w:val="-5"/>
        </w:rPr>
        <w:t>”验收制度</w:t>
      </w:r>
    </w:p>
    <w:p>
      <w:pPr>
        <w:ind w:left="125" w:right="106" w:firstLine="480"/>
        <w:spacing w:before="179" w:line="360" w:lineRule="auto"/>
        <w:rPr>
          <w:rFonts w:ascii="FangSong" w:hAnsi="FangSong" w:eastAsia="FangSong" w:cs="FangSong"/>
          <w:sz w:val="24"/>
          <w:szCs w:val="24"/>
        </w:rPr>
      </w:pPr>
      <w:r>
        <w:rPr>
          <w:rFonts w:ascii="FangSong" w:hAnsi="FangSong" w:eastAsia="FangSong" w:cs="FangSong"/>
          <w:sz w:val="24"/>
          <w:szCs w:val="24"/>
          <w:spacing w:val="-4"/>
        </w:rPr>
        <w:t>根据《建设项目环境保护“三同时</w:t>
      </w:r>
      <w:r>
        <w:rPr>
          <w:rFonts w:ascii="FangSong" w:hAnsi="FangSong" w:eastAsia="FangSong" w:cs="FangSong"/>
          <w:sz w:val="24"/>
          <w:szCs w:val="24"/>
          <w:spacing w:val="-88"/>
        </w:rPr>
        <w:t xml:space="preserve"> </w:t>
      </w:r>
      <w:r>
        <w:rPr>
          <w:rFonts w:ascii="FangSong" w:hAnsi="FangSong" w:eastAsia="FangSong" w:cs="FangSong"/>
          <w:sz w:val="24"/>
          <w:szCs w:val="24"/>
          <w:spacing w:val="-4"/>
        </w:rPr>
        <w:t>”管理办法》，工程建设</w:t>
      </w:r>
      <w:r>
        <w:rPr>
          <w:rFonts w:ascii="FangSong" w:hAnsi="FangSong" w:eastAsia="FangSong" w:cs="FangSong"/>
          <w:sz w:val="24"/>
          <w:szCs w:val="24"/>
          <w:spacing w:val="-5"/>
        </w:rPr>
        <w:t>过程中的污染防</w:t>
      </w:r>
      <w:r>
        <w:rPr>
          <w:rFonts w:ascii="FangSong" w:hAnsi="FangSong" w:eastAsia="FangSong" w:cs="FangSong"/>
          <w:sz w:val="24"/>
          <w:szCs w:val="24"/>
          <w:spacing w:val="-4"/>
        </w:rPr>
        <w:t>治措施必须与建设项目同时设计、同时施工、同时投入运行。有关“三同时</w:t>
      </w:r>
      <w:r>
        <w:rPr>
          <w:rFonts w:ascii="FangSong" w:hAnsi="FangSong" w:eastAsia="FangSong" w:cs="FangSong"/>
          <w:sz w:val="24"/>
          <w:szCs w:val="24"/>
          <w:spacing w:val="-87"/>
        </w:rPr>
        <w:t xml:space="preserve"> </w:t>
      </w:r>
      <w:r>
        <w:rPr>
          <w:rFonts w:ascii="FangSong" w:hAnsi="FangSong" w:eastAsia="FangSong" w:cs="FangSong"/>
          <w:sz w:val="24"/>
          <w:szCs w:val="24"/>
          <w:spacing w:val="-4"/>
        </w:rPr>
        <w:t>”项</w:t>
      </w:r>
      <w:r>
        <w:rPr>
          <w:rFonts w:ascii="FangSong" w:hAnsi="FangSong" w:eastAsia="FangSong" w:cs="FangSong"/>
          <w:sz w:val="24"/>
          <w:szCs w:val="24"/>
          <w:spacing w:val="-3"/>
        </w:rPr>
        <w:t>目必须按合同规定经有关部门验收合格后才能正式投入运行，防治污染的设</w:t>
      </w:r>
      <w:r>
        <w:rPr>
          <w:rFonts w:ascii="FangSong" w:hAnsi="FangSong" w:eastAsia="FangSong" w:cs="FangSong"/>
          <w:sz w:val="24"/>
          <w:szCs w:val="24"/>
          <w:spacing w:val="-4"/>
        </w:rPr>
        <w:t>施不</w:t>
      </w:r>
      <w:r>
        <w:rPr>
          <w:rFonts w:ascii="FangSong" w:hAnsi="FangSong" w:eastAsia="FangSong" w:cs="FangSong"/>
          <w:sz w:val="24"/>
          <w:szCs w:val="24"/>
          <w:spacing w:val="-2"/>
        </w:rPr>
        <w:t>得擅自拆除或闲置。</w:t>
      </w:r>
    </w:p>
    <w:p>
      <w:pPr>
        <w:ind w:left="609"/>
        <w:spacing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）书面制度</w:t>
      </w:r>
    </w:p>
    <w:p>
      <w:pPr>
        <w:ind w:left="124" w:right="106" w:firstLine="530"/>
        <w:spacing w:before="180" w:line="360" w:lineRule="auto"/>
        <w:rPr>
          <w:rFonts w:ascii="FangSong" w:hAnsi="FangSong" w:eastAsia="FangSong" w:cs="FangSong"/>
          <w:sz w:val="24"/>
          <w:szCs w:val="24"/>
        </w:rPr>
      </w:pPr>
      <w:r>
        <w:rPr>
          <w:rFonts w:ascii="FangSong" w:hAnsi="FangSong" w:eastAsia="FangSong" w:cs="FangSong"/>
          <w:sz w:val="24"/>
          <w:szCs w:val="24"/>
          <w:spacing w:val="-5"/>
        </w:rPr>
        <w:t>日常环境管理中所有要求、通报、整改通知及评议等，均采取书面文件或函</w:t>
      </w:r>
      <w:r>
        <w:rPr>
          <w:rFonts w:ascii="FangSong" w:hAnsi="FangSong" w:eastAsia="FangSong" w:cs="FangSong"/>
          <w:sz w:val="24"/>
          <w:szCs w:val="24"/>
          <w:spacing w:val="-3"/>
        </w:rPr>
        <w:t>件形式来往。</w:t>
      </w:r>
    </w:p>
    <w:p>
      <w:pPr>
        <w:ind w:left="609"/>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）报告制度</w:t>
      </w:r>
    </w:p>
    <w:p>
      <w:pPr>
        <w:ind w:left="125" w:right="23" w:firstLine="479"/>
        <w:spacing w:before="181" w:line="360" w:lineRule="auto"/>
        <w:rPr>
          <w:rFonts w:ascii="FangSong" w:hAnsi="FangSong" w:eastAsia="FangSong" w:cs="FangSong"/>
          <w:sz w:val="24"/>
          <w:szCs w:val="24"/>
        </w:rPr>
      </w:pPr>
      <w:r>
        <w:rPr>
          <w:rFonts w:ascii="FangSong" w:hAnsi="FangSong" w:eastAsia="FangSong" w:cs="FangSong"/>
          <w:sz w:val="24"/>
          <w:szCs w:val="24"/>
          <w:spacing w:val="-3"/>
        </w:rPr>
        <w:t>建设单位环境管理办公室组织排污许可申报及变更，并委托</w:t>
      </w:r>
      <w:r>
        <w:rPr>
          <w:rFonts w:ascii="FangSong" w:hAnsi="FangSong" w:eastAsia="FangSong" w:cs="FangSong"/>
          <w:sz w:val="24"/>
          <w:szCs w:val="24"/>
          <w:spacing w:val="-4"/>
        </w:rPr>
        <w:t>有关技术单位编</w:t>
      </w:r>
      <w:r>
        <w:rPr>
          <w:rFonts w:ascii="FangSong" w:hAnsi="FangSong" w:eastAsia="FangSong" w:cs="FangSong"/>
          <w:sz w:val="24"/>
          <w:szCs w:val="24"/>
          <w:spacing w:val="-7"/>
        </w:rPr>
        <w:t>制环境风险应急预案，依托有资质单位开展运营期环境</w:t>
      </w:r>
      <w:r>
        <w:rPr>
          <w:rFonts w:ascii="FangSong" w:hAnsi="FangSong" w:eastAsia="FangSong" w:cs="FangSong"/>
          <w:sz w:val="24"/>
          <w:szCs w:val="24"/>
          <w:spacing w:val="-8"/>
        </w:rPr>
        <w:t>监测，提交环境监测年报。</w:t>
      </w:r>
    </w:p>
    <w:p>
      <w:pPr>
        <w:ind w:left="127"/>
        <w:spacing w:before="57" w:line="221" w:lineRule="auto"/>
        <w:outlineLvl w:val="1"/>
        <w:rPr>
          <w:rFonts w:ascii="FangSong" w:hAnsi="FangSong" w:eastAsia="FangSong" w:cs="FangSong"/>
          <w:sz w:val="28"/>
          <w:szCs w:val="28"/>
        </w:rPr>
      </w:pPr>
      <w:bookmarkStart w:name="bookmark421" w:id="565"/>
      <w:bookmarkEnd w:id="565"/>
      <w:bookmarkStart w:name="bookmark420" w:id="566"/>
      <w:bookmarkEnd w:id="566"/>
      <w:r>
        <w:rPr>
          <w:rFonts w:ascii="Times New Roman" w:hAnsi="Times New Roman" w:eastAsia="Times New Roman" w:cs="Times New Roman"/>
          <w:sz w:val="28"/>
          <w:szCs w:val="28"/>
          <w:b/>
          <w:bCs/>
          <w:spacing w:val="-3"/>
        </w:rPr>
        <w:t>10.6  </w:t>
      </w:r>
      <w:r>
        <w:rPr>
          <w:rFonts w:ascii="FangSong" w:hAnsi="FangSong" w:eastAsia="FangSong" w:cs="FangSong"/>
          <w:sz w:val="28"/>
          <w:szCs w:val="28"/>
          <w:b/>
          <w:bCs/>
          <w:spacing w:val="-3"/>
        </w:rPr>
        <w:t>环境管理工作计划和方案</w:t>
      </w:r>
    </w:p>
    <w:p>
      <w:pPr>
        <w:ind w:left="126" w:right="72" w:firstLine="478"/>
        <w:spacing w:before="231" w:line="360" w:lineRule="auto"/>
        <w:jc w:val="both"/>
        <w:rPr>
          <w:rFonts w:ascii="FangSong" w:hAnsi="FangSong" w:eastAsia="FangSong" w:cs="FangSong"/>
          <w:sz w:val="24"/>
          <w:szCs w:val="24"/>
        </w:rPr>
      </w:pPr>
      <w:r>
        <w:rPr>
          <w:rFonts w:ascii="FangSong" w:hAnsi="FangSong" w:eastAsia="FangSong" w:cs="FangSong"/>
          <w:sz w:val="24"/>
          <w:szCs w:val="24"/>
          <w:spacing w:val="-2"/>
        </w:rPr>
        <w:t>建设单位在矿山生产过程中必须确实落实本环评提出的各项环</w:t>
      </w:r>
      <w:r>
        <w:rPr>
          <w:rFonts w:ascii="FangSong" w:hAnsi="FangSong" w:eastAsia="FangSong" w:cs="FangSong"/>
          <w:sz w:val="24"/>
          <w:szCs w:val="24"/>
          <w:spacing w:val="-3"/>
        </w:rPr>
        <w:t>境保护措施，</w:t>
      </w:r>
      <w:r>
        <w:rPr>
          <w:rFonts w:ascii="FangSong" w:hAnsi="FangSong" w:eastAsia="FangSong" w:cs="FangSong"/>
          <w:sz w:val="24"/>
          <w:szCs w:val="24"/>
          <w:spacing w:val="-3"/>
        </w:rPr>
        <w:t>严格环境管理，确保对环境的影响降到最低限度。根据矿山的生产特点和</w:t>
      </w:r>
      <w:r>
        <w:rPr>
          <w:rFonts w:ascii="FangSong" w:hAnsi="FangSong" w:eastAsia="FangSong" w:cs="FangSong"/>
          <w:sz w:val="24"/>
          <w:szCs w:val="24"/>
          <w:spacing w:val="-4"/>
        </w:rPr>
        <w:t>本项目</w:t>
      </w:r>
      <w:r>
        <w:rPr>
          <w:rFonts w:ascii="FangSong" w:hAnsi="FangSong" w:eastAsia="FangSong" w:cs="FangSong"/>
          <w:sz w:val="24"/>
          <w:szCs w:val="24"/>
          <w:spacing w:val="-1"/>
        </w:rPr>
        <w:t>的污染源分析结果确定矿山环境管理工作的具体内容如下：</w:t>
      </w:r>
    </w:p>
    <w:p>
      <w:pPr>
        <w:ind w:left="124" w:right="40" w:firstLine="485"/>
        <w:spacing w:line="29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）监督落实矿山道路、废石场等洒水抑尘，且在干燥、大风天气状况下，</w:t>
      </w:r>
      <w:r>
        <w:rPr>
          <w:rFonts w:ascii="FangSong" w:hAnsi="FangSong" w:eastAsia="FangSong" w:cs="FangSong"/>
          <w:sz w:val="24"/>
          <w:szCs w:val="24"/>
          <w:spacing w:val="-1"/>
        </w:rPr>
        <w:t>增加洒水抑尘频次，雨天可适当调整洒水频率。</w:t>
      </w:r>
    </w:p>
    <w:p>
      <w:pPr>
        <w:ind w:left="609"/>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）严禁废水外排。</w:t>
      </w:r>
    </w:p>
    <w:p>
      <w:pPr>
        <w:ind w:left="609"/>
        <w:spacing w:before="178"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）确保尾矿有序送尾矿临时堆场堆场，严禁随处堆弃。</w:t>
      </w:r>
    </w:p>
    <w:p>
      <w:pPr>
        <w:ind w:left="124" w:right="106" w:firstLine="481"/>
        <w:spacing w:before="181" w:line="360" w:lineRule="auto"/>
        <w:rPr>
          <w:rFonts w:ascii="FangSong" w:hAnsi="FangSong" w:eastAsia="FangSong" w:cs="FangSong"/>
          <w:sz w:val="24"/>
          <w:szCs w:val="24"/>
        </w:rPr>
      </w:pPr>
      <w:r>
        <w:rPr>
          <w:rFonts w:ascii="FangSong" w:hAnsi="FangSong" w:eastAsia="FangSong" w:cs="FangSong"/>
          <w:sz w:val="24"/>
          <w:szCs w:val="24"/>
          <w:spacing w:val="-3"/>
        </w:rPr>
        <w:t>此外，根据本工程的具体情况，本次对建设项目的环境</w:t>
      </w:r>
      <w:r>
        <w:rPr>
          <w:rFonts w:ascii="FangSong" w:hAnsi="FangSong" w:eastAsia="FangSong" w:cs="FangSong"/>
          <w:sz w:val="24"/>
          <w:szCs w:val="24"/>
          <w:spacing w:val="-4"/>
        </w:rPr>
        <w:t>保护管理计划和主要</w:t>
      </w:r>
      <w:r>
        <w:rPr>
          <w:rFonts w:ascii="FangSong" w:hAnsi="FangSong" w:eastAsia="FangSong" w:cs="FangSong"/>
          <w:sz w:val="24"/>
          <w:szCs w:val="24"/>
          <w:spacing w:val="-3"/>
        </w:rPr>
        <w:t>环境管理方案提出以下建议，详见表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10.6-1</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3"/>
        </w:rPr>
        <w:t>和表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10.6-2</w:t>
      </w:r>
      <w:r>
        <w:rPr>
          <w:rFonts w:ascii="FangSong" w:hAnsi="FangSong" w:eastAsia="FangSong" w:cs="FangSong"/>
          <w:sz w:val="24"/>
          <w:szCs w:val="24"/>
          <w:spacing w:val="-3"/>
        </w:rPr>
        <w:t>。</w:t>
      </w:r>
    </w:p>
    <w:p>
      <w:pPr>
        <w:ind w:left="2797"/>
        <w:spacing w:before="1" w:line="220"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10.6-1  </w:t>
      </w:r>
      <w:r>
        <w:rPr>
          <w:rFonts w:ascii="FangSong" w:hAnsi="FangSong" w:eastAsia="FangSong" w:cs="FangSong"/>
          <w:sz w:val="24"/>
          <w:szCs w:val="24"/>
          <w:b/>
          <w:bCs/>
          <w:spacing w:val="-3"/>
        </w:rPr>
        <w:t>环境管理工作计划</w:t>
      </w:r>
    </w:p>
    <w:p>
      <w:pPr>
        <w:spacing w:line="67" w:lineRule="exact"/>
        <w:rPr/>
      </w:pPr>
      <w:r/>
    </w:p>
    <w:tbl>
      <w:tblPr>
        <w:tblStyle w:val="TableNormal"/>
        <w:tblW w:w="852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7854"/>
      </w:tblGrid>
      <w:tr>
        <w:trPr>
          <w:trHeight w:val="318" w:hRule="atLeast"/>
        </w:trPr>
        <w:tc>
          <w:tcPr>
            <w:tcW w:w="672" w:type="dxa"/>
            <w:vAlign w:val="top"/>
            <w:tcBorders>
              <w:left w:val="nil"/>
              <w:top w:val="single" w:color="000000" w:sz="10" w:space="0"/>
            </w:tcBorders>
          </w:tcPr>
          <w:p>
            <w:pPr>
              <w:pStyle w:val="TableText"/>
              <w:ind w:left="154"/>
              <w:spacing w:before="55" w:line="230" w:lineRule="auto"/>
              <w:rPr/>
            </w:pPr>
            <w:r>
              <w:rPr>
                <w:spacing w:val="-6"/>
              </w:rPr>
              <w:t>阶段</w:t>
            </w:r>
          </w:p>
        </w:tc>
        <w:tc>
          <w:tcPr>
            <w:tcW w:w="7854" w:type="dxa"/>
            <w:vAlign w:val="top"/>
            <w:tcBorders>
              <w:right w:val="nil"/>
              <w:top w:val="single" w:color="000000" w:sz="10" w:space="0"/>
            </w:tcBorders>
          </w:tcPr>
          <w:p>
            <w:pPr>
              <w:pStyle w:val="TableText"/>
              <w:ind w:left="2887"/>
              <w:spacing w:before="55" w:line="231" w:lineRule="auto"/>
              <w:rPr/>
            </w:pPr>
            <w:r>
              <w:rPr>
                <w:spacing w:val="8"/>
              </w:rPr>
              <w:t>环境管理主要任务内容</w:t>
            </w:r>
          </w:p>
        </w:tc>
      </w:tr>
      <w:tr>
        <w:trPr>
          <w:trHeight w:val="2189" w:hRule="atLeast"/>
        </w:trPr>
        <w:tc>
          <w:tcPr>
            <w:tcW w:w="672" w:type="dxa"/>
            <w:vAlign w:val="top"/>
            <w:tcBorders>
              <w:left w:val="nil"/>
              <w:bottom w:val="single" w:color="000000" w:sz="10" w:space="0"/>
            </w:tcBorders>
          </w:tcPr>
          <w:p>
            <w:pPr>
              <w:spacing w:line="304" w:lineRule="auto"/>
              <w:rPr>
                <w:rFonts w:ascii="Arial"/>
                <w:sz w:val="21"/>
              </w:rPr>
            </w:pPr>
            <w:r/>
          </w:p>
          <w:p>
            <w:pPr>
              <w:spacing w:line="305" w:lineRule="auto"/>
              <w:rPr>
                <w:rFonts w:ascii="Arial"/>
                <w:sz w:val="21"/>
              </w:rPr>
            </w:pPr>
            <w:r/>
          </w:p>
          <w:p>
            <w:pPr>
              <w:pStyle w:val="TableText"/>
              <w:ind w:left="139" w:right="126"/>
              <w:spacing w:before="65" w:line="288" w:lineRule="auto"/>
              <w:rPr/>
            </w:pPr>
            <w:r>
              <w:rPr>
                <w:spacing w:val="1"/>
              </w:rPr>
              <w:t>项目</w:t>
            </w:r>
            <w:r>
              <w:rPr>
                <w:spacing w:val="2"/>
              </w:rPr>
              <w:t>建设</w:t>
            </w:r>
          </w:p>
          <w:p>
            <w:pPr>
              <w:pStyle w:val="TableText"/>
              <w:ind w:left="141"/>
              <w:spacing w:line="230" w:lineRule="auto"/>
              <w:rPr/>
            </w:pPr>
            <w:r>
              <w:rPr/>
              <w:t>前期</w:t>
            </w:r>
          </w:p>
        </w:tc>
        <w:tc>
          <w:tcPr>
            <w:tcW w:w="7854" w:type="dxa"/>
            <w:vAlign w:val="top"/>
            <w:tcBorders>
              <w:right w:val="nil"/>
              <w:bottom w:val="single" w:color="000000" w:sz="10" w:space="0"/>
            </w:tcBorders>
          </w:tcPr>
          <w:p>
            <w:pPr>
              <w:pStyle w:val="TableText"/>
              <w:ind w:left="533"/>
              <w:spacing w:before="53" w:line="229" w:lineRule="auto"/>
              <w:rPr/>
            </w:pPr>
            <w:r>
              <w:rPr>
                <w:spacing w:val="9"/>
              </w:rPr>
              <w:t>①</w:t>
            </w:r>
            <w:r>
              <w:rPr>
                <w:spacing w:val="9"/>
              </w:rPr>
              <w:t xml:space="preserve"> </w:t>
            </w:r>
            <w:r>
              <w:rPr>
                <w:spacing w:val="9"/>
              </w:rPr>
              <w:t>参与项目建前期各阶段环境保护和环保工程设计工作；</w:t>
            </w:r>
          </w:p>
          <w:p>
            <w:pPr>
              <w:pStyle w:val="TableText"/>
              <w:ind w:left="532"/>
              <w:spacing w:before="63" w:line="229" w:lineRule="auto"/>
              <w:rPr/>
            </w:pPr>
            <w:r>
              <w:rPr>
                <w:spacing w:val="8"/>
              </w:rPr>
              <w:t>②</w:t>
            </w:r>
            <w:r>
              <w:rPr>
                <w:spacing w:val="8"/>
              </w:rPr>
              <w:t xml:space="preserve"> </w:t>
            </w:r>
            <w:r>
              <w:rPr>
                <w:spacing w:val="8"/>
              </w:rPr>
              <w:t>制定企业环境保护工作计划；</w:t>
            </w:r>
          </w:p>
          <w:p>
            <w:pPr>
              <w:pStyle w:val="TableText"/>
              <w:ind w:left="120" w:right="108" w:firstLine="411"/>
              <w:spacing w:before="65" w:line="258" w:lineRule="auto"/>
              <w:rPr/>
            </w:pPr>
            <w:r>
              <w:rPr>
                <w:spacing w:val="9"/>
              </w:rPr>
              <w:t>③</w:t>
            </w:r>
            <w:r>
              <w:rPr>
                <w:spacing w:val="9"/>
              </w:rPr>
              <w:t xml:space="preserve"> </w:t>
            </w:r>
            <w:r>
              <w:rPr>
                <w:spacing w:val="9"/>
              </w:rPr>
              <w:t>可研阶段，委托有资质单位开展项目环境影响评价、水土保持</w:t>
            </w:r>
            <w:r>
              <w:rPr>
                <w:spacing w:val="8"/>
              </w:rPr>
              <w:t>、土地复垦和</w:t>
            </w:r>
            <w:r>
              <w:rPr>
                <w:spacing w:val="8"/>
              </w:rPr>
              <w:t>地质环境保护与治理方案等工作；</w:t>
            </w:r>
          </w:p>
          <w:p>
            <w:pPr>
              <w:pStyle w:val="TableText"/>
              <w:ind w:left="119" w:right="108" w:firstLine="413"/>
              <w:spacing w:before="63" w:line="269" w:lineRule="auto"/>
              <w:rPr/>
            </w:pPr>
            <w:r>
              <w:rPr>
                <w:spacing w:val="9"/>
              </w:rPr>
              <w:t>④</w:t>
            </w:r>
            <w:r>
              <w:rPr>
                <w:spacing w:val="9"/>
              </w:rPr>
              <w:t xml:space="preserve"> </w:t>
            </w:r>
            <w:r>
              <w:rPr>
                <w:spacing w:val="9"/>
              </w:rPr>
              <w:t>设计阶段，委托设计单位按照《建设项目环境保护设计规</w:t>
            </w:r>
            <w:r>
              <w:rPr>
                <w:spacing w:val="8"/>
              </w:rPr>
              <w:t>范》编制初步设计</w:t>
            </w:r>
            <w:r>
              <w:rPr>
                <w:spacing w:val="12"/>
              </w:rPr>
              <w:t>及其环保篇章，具体落实环境影响报告书及其审批意见确定</w:t>
            </w:r>
            <w:r>
              <w:rPr>
                <w:spacing w:val="11"/>
              </w:rPr>
              <w:t>的各项环保工程措施和</w:t>
            </w:r>
            <w:r>
              <w:rPr>
                <w:spacing w:val="4"/>
              </w:rPr>
              <w:t>投资概算。</w:t>
            </w:r>
          </w:p>
        </w:tc>
      </w:tr>
    </w:tbl>
    <w:p>
      <w:pPr>
        <w:pStyle w:val="BodyText"/>
        <w:spacing w:line="79" w:lineRule="exact"/>
        <w:rPr>
          <w:sz w:val="6"/>
        </w:rPr>
      </w:pPr>
      <w:r/>
    </w:p>
    <w:p>
      <w:pPr>
        <w:spacing w:line="79" w:lineRule="exact"/>
        <w:sectPr>
          <w:footerReference w:type="default" r:id="rId388"/>
          <w:pgSz w:w="11906" w:h="16839"/>
          <w:pgMar w:top="400" w:right="1690" w:bottom="1358" w:left="1689" w:header="0" w:footer="1195" w:gutter="0"/>
        </w:sectPr>
        <w:rPr>
          <w:sz w:val="6"/>
          <w:szCs w:val="6"/>
        </w:rPr>
      </w:pPr>
    </w:p>
    <w:p>
      <w:pPr>
        <w:spacing w:before="19"/>
        <w:rPr/>
      </w:pPr>
      <w:r/>
    </w:p>
    <w:p>
      <w:pPr>
        <w:spacing w:before="19"/>
        <w:rPr/>
      </w:pPr>
      <w:r/>
    </w:p>
    <w:p>
      <w:pPr>
        <w:spacing w:before="18"/>
        <w:rPr/>
      </w:pPr>
      <w:r/>
    </w:p>
    <w:p>
      <w:pPr>
        <w:spacing w:before="18"/>
        <w:rPr/>
      </w:pPr>
      <w:r/>
    </w:p>
    <w:tbl>
      <w:tblPr>
        <w:tblStyle w:val="TableNormal"/>
        <w:tblW w:w="852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7854"/>
      </w:tblGrid>
      <w:tr>
        <w:trPr>
          <w:trHeight w:val="2809" w:hRule="atLeast"/>
        </w:trPr>
        <w:tc>
          <w:tcPr>
            <w:tcW w:w="672" w:type="dxa"/>
            <w:vAlign w:val="top"/>
            <w:tcBorders>
              <w:left w:val="nil"/>
              <w:top w:val="single" w:color="000000" w:sz="10"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244" w:right="126" w:hanging="105"/>
              <w:spacing w:before="65" w:line="289" w:lineRule="auto"/>
              <w:rPr/>
            </w:pPr>
            <w:r>
              <w:rPr>
                <w:spacing w:val="2"/>
              </w:rPr>
              <w:t>建设</w:t>
            </w:r>
            <w:r>
              <w:rPr/>
              <w:t>期</w:t>
            </w:r>
          </w:p>
        </w:tc>
        <w:tc>
          <w:tcPr>
            <w:tcW w:w="7854" w:type="dxa"/>
            <w:vAlign w:val="top"/>
            <w:tcBorders>
              <w:right w:val="nil"/>
              <w:top w:val="single" w:color="000000" w:sz="10" w:space="0"/>
            </w:tcBorders>
          </w:tcPr>
          <w:p>
            <w:pPr>
              <w:pStyle w:val="TableText"/>
              <w:ind w:left="119" w:right="43" w:firstLine="413"/>
              <w:spacing w:before="54" w:line="259" w:lineRule="auto"/>
              <w:rPr/>
            </w:pPr>
            <w:bookmarkStart w:name="bookmark637" w:id="567"/>
            <w:bookmarkEnd w:id="567"/>
            <w:r>
              <w:rPr>
                <w:spacing w:val="5"/>
              </w:rPr>
              <w:t>①</w:t>
            </w:r>
            <w:r>
              <w:rPr>
                <w:spacing w:val="5"/>
              </w:rPr>
              <w:t xml:space="preserve"> </w:t>
            </w:r>
            <w:r>
              <w:rPr>
                <w:spacing w:val="5"/>
              </w:rPr>
              <w:t>在施工招标文件、施工合同、环境监理招标文件和监理合同中</w:t>
            </w:r>
            <w:r>
              <w:rPr>
                <w:spacing w:val="4"/>
              </w:rPr>
              <w:t>明确施工单位、</w:t>
            </w:r>
            <w:r>
              <w:rPr>
                <w:spacing w:val="8"/>
              </w:rPr>
              <w:t>环境监理单位的环境保护责任和目标任务；</w:t>
            </w:r>
          </w:p>
          <w:p>
            <w:pPr>
              <w:pStyle w:val="TableText"/>
              <w:ind w:left="120" w:right="108" w:firstLine="411"/>
              <w:spacing w:before="62" w:line="259" w:lineRule="auto"/>
              <w:rPr/>
            </w:pPr>
            <w:r>
              <w:rPr>
                <w:spacing w:val="9"/>
              </w:rPr>
              <w:t>②</w:t>
            </w:r>
            <w:r>
              <w:rPr>
                <w:spacing w:val="9"/>
              </w:rPr>
              <w:t xml:space="preserve"> </w:t>
            </w:r>
            <w:r>
              <w:rPr>
                <w:spacing w:val="9"/>
              </w:rPr>
              <w:t>委托有资质单位开展建设期的环境监理工作，加强施工过程的</w:t>
            </w:r>
            <w:r>
              <w:rPr>
                <w:spacing w:val="8"/>
              </w:rPr>
              <w:t>环境监理和环</w:t>
            </w:r>
            <w:r>
              <w:rPr>
                <w:spacing w:val="9"/>
              </w:rPr>
              <w:t>保设施建设的环境监理，定期向自治区、地区和县环保部门备案；</w:t>
            </w:r>
          </w:p>
          <w:p>
            <w:pPr>
              <w:pStyle w:val="TableText"/>
              <w:ind w:left="120" w:firstLine="406"/>
              <w:spacing w:before="62" w:line="269" w:lineRule="auto"/>
              <w:rPr/>
            </w:pPr>
            <w:r>
              <w:rPr>
                <w:spacing w:val="5"/>
              </w:rPr>
              <w:t>③</w:t>
            </w:r>
            <w:r>
              <w:rPr>
                <w:spacing w:val="5"/>
              </w:rPr>
              <w:t xml:space="preserve"> </w:t>
            </w:r>
            <w:r>
              <w:rPr>
                <w:spacing w:val="5"/>
              </w:rPr>
              <w:t>结合环境监理报告，</w:t>
            </w:r>
            <w:r>
              <w:rPr>
                <w:spacing w:val="-53"/>
              </w:rPr>
              <w:t xml:space="preserve"> </w:t>
            </w:r>
            <w:r>
              <w:rPr>
                <w:spacing w:val="5"/>
              </w:rPr>
              <w:t>自查环评报告、批复文件及设计中规定的环保设施和生</w:t>
            </w:r>
            <w:r>
              <w:rPr>
                <w:spacing w:val="8"/>
              </w:rPr>
              <w:t>态保护措施建设及进展情况；严格落实环保投资和执行建设项目环境保护“三同时</w:t>
            </w:r>
            <w:r>
              <w:rPr>
                <w:spacing w:val="-67"/>
              </w:rPr>
              <w:t xml:space="preserve"> </w:t>
            </w:r>
            <w:r>
              <w:rPr>
                <w:spacing w:val="8"/>
              </w:rPr>
              <w:t>”</w:t>
            </w:r>
            <w:r>
              <w:rPr>
                <w:spacing w:val="-1"/>
              </w:rPr>
              <w:t>制度；</w:t>
            </w:r>
          </w:p>
          <w:p>
            <w:pPr>
              <w:pStyle w:val="TableText"/>
              <w:ind w:left="532"/>
              <w:spacing w:before="62" w:line="228" w:lineRule="auto"/>
              <w:rPr/>
            </w:pPr>
            <w:r>
              <w:rPr>
                <w:spacing w:val="7"/>
              </w:rPr>
              <w:t>④</w:t>
            </w:r>
            <w:r>
              <w:rPr>
                <w:spacing w:val="68"/>
              </w:rPr>
              <w:t xml:space="preserve"> </w:t>
            </w:r>
            <w:r>
              <w:rPr>
                <w:spacing w:val="7"/>
              </w:rPr>
              <w:t>自觉接受当地环保行政主管部门在建设期的环境监督与管理；</w:t>
            </w:r>
          </w:p>
          <w:p>
            <w:pPr>
              <w:pStyle w:val="TableText"/>
              <w:ind w:left="532"/>
              <w:spacing w:before="66" w:line="228" w:lineRule="auto"/>
              <w:rPr/>
            </w:pPr>
            <w:r>
              <w:rPr>
                <w:spacing w:val="9"/>
              </w:rPr>
              <w:t>⑤</w:t>
            </w:r>
            <w:r>
              <w:rPr>
                <w:spacing w:val="9"/>
              </w:rPr>
              <w:t xml:space="preserve"> </w:t>
            </w:r>
            <w:r>
              <w:rPr>
                <w:spacing w:val="9"/>
              </w:rPr>
              <w:t>设立矿山环保机构，建立健全环境管理、环保资料档案等制度。</w:t>
            </w:r>
          </w:p>
        </w:tc>
      </w:tr>
      <w:tr>
        <w:trPr>
          <w:trHeight w:val="2805" w:hRule="atLeast"/>
        </w:trPr>
        <w:tc>
          <w:tcPr>
            <w:tcW w:w="672" w:type="dxa"/>
            <w:vAlign w:val="top"/>
            <w:tcBorders>
              <w:left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43" w:right="126" w:hanging="103"/>
              <w:spacing w:before="65" w:line="289" w:lineRule="auto"/>
              <w:rPr/>
            </w:pPr>
            <w:r>
              <w:rPr>
                <w:spacing w:val="1"/>
              </w:rPr>
              <w:t>运营</w:t>
            </w:r>
            <w:r>
              <w:rPr/>
              <w:t>期</w:t>
            </w:r>
          </w:p>
        </w:tc>
        <w:tc>
          <w:tcPr>
            <w:tcW w:w="7854" w:type="dxa"/>
            <w:vAlign w:val="top"/>
            <w:tcBorders>
              <w:right w:val="nil"/>
            </w:tcBorders>
          </w:tcPr>
          <w:p>
            <w:pPr>
              <w:pStyle w:val="TableText"/>
              <w:ind w:left="533"/>
              <w:spacing w:before="59" w:line="229" w:lineRule="auto"/>
              <w:rPr/>
            </w:pPr>
            <w:r>
              <w:rPr>
                <w:spacing w:val="9"/>
              </w:rPr>
              <w:t>①</w:t>
            </w:r>
            <w:r>
              <w:rPr>
                <w:spacing w:val="9"/>
              </w:rPr>
              <w:t xml:space="preserve"> </w:t>
            </w:r>
            <w:r>
              <w:rPr>
                <w:spacing w:val="9"/>
              </w:rPr>
              <w:t>贯彻执行国家和地方环境保护法律法规</w:t>
            </w:r>
            <w:r>
              <w:rPr>
                <w:spacing w:val="8"/>
              </w:rPr>
              <w:t>和标准；</w:t>
            </w:r>
          </w:p>
          <w:p>
            <w:pPr>
              <w:pStyle w:val="TableText"/>
              <w:ind w:left="532"/>
              <w:spacing w:before="63" w:line="228" w:lineRule="auto"/>
              <w:rPr/>
            </w:pPr>
            <w:r>
              <w:rPr>
                <w:spacing w:val="9"/>
              </w:rPr>
              <w:t>②</w:t>
            </w:r>
            <w:r>
              <w:rPr>
                <w:spacing w:val="9"/>
              </w:rPr>
              <w:t xml:space="preserve"> </w:t>
            </w:r>
            <w:r>
              <w:rPr>
                <w:spacing w:val="9"/>
              </w:rPr>
              <w:t>严格执行环境管理规章制度，确保环保设施正常稳定运行；</w:t>
            </w:r>
          </w:p>
          <w:p>
            <w:pPr>
              <w:pStyle w:val="TableText"/>
              <w:ind w:left="532"/>
              <w:spacing w:before="65" w:line="230" w:lineRule="auto"/>
              <w:rPr/>
            </w:pPr>
            <w:r>
              <w:rPr>
                <w:spacing w:val="9"/>
              </w:rPr>
              <w:t>③</w:t>
            </w:r>
            <w:r>
              <w:rPr>
                <w:spacing w:val="9"/>
              </w:rPr>
              <w:t xml:space="preserve"> </w:t>
            </w:r>
            <w:r>
              <w:rPr>
                <w:spacing w:val="9"/>
              </w:rPr>
              <w:t>按照环境管理监测计划开展环境与污染源监测，发现问题及时处理；</w:t>
            </w:r>
          </w:p>
          <w:p>
            <w:pPr>
              <w:pStyle w:val="TableText"/>
              <w:ind w:left="532"/>
              <w:spacing w:before="62" w:line="230" w:lineRule="auto"/>
              <w:rPr/>
            </w:pPr>
            <w:r>
              <w:rPr>
                <w:spacing w:val="9"/>
              </w:rPr>
              <w:t>④</w:t>
            </w:r>
            <w:r>
              <w:rPr>
                <w:spacing w:val="9"/>
              </w:rPr>
              <w:t xml:space="preserve"> </w:t>
            </w:r>
            <w:r>
              <w:rPr>
                <w:spacing w:val="9"/>
              </w:rPr>
              <w:t>开展矿山清洁生产审核，优选采掘清洁生产工艺；</w:t>
            </w:r>
          </w:p>
          <w:p>
            <w:pPr>
              <w:pStyle w:val="TableText"/>
              <w:ind w:left="121" w:right="108" w:firstLine="411"/>
              <w:spacing w:before="63" w:line="268" w:lineRule="auto"/>
              <w:rPr/>
            </w:pPr>
            <w:r>
              <w:rPr>
                <w:spacing w:val="9"/>
              </w:rPr>
              <w:t>⑤</w:t>
            </w:r>
            <w:r>
              <w:rPr>
                <w:spacing w:val="9"/>
              </w:rPr>
              <w:t xml:space="preserve"> </w:t>
            </w:r>
            <w:r>
              <w:rPr>
                <w:spacing w:val="9"/>
              </w:rPr>
              <w:t>结合本矿生产计划和当地生态保护规划要求，制定矿区生态恢</w:t>
            </w:r>
            <w:r>
              <w:rPr>
                <w:spacing w:val="8"/>
              </w:rPr>
              <w:t>复综合整治规</w:t>
            </w:r>
            <w:r>
              <w:rPr>
                <w:spacing w:val="12"/>
              </w:rPr>
              <w:t>划，规划内容包括资源开发利用、生态环境保护、地质</w:t>
            </w:r>
            <w:r>
              <w:rPr>
                <w:spacing w:val="11"/>
              </w:rPr>
              <w:t>灾害防治、水土保持、土地</w:t>
            </w:r>
            <w:r>
              <w:rPr>
                <w:spacing w:val="9"/>
              </w:rPr>
              <w:t>恢复等；制定采矿～排石～造地～恢复一体化技术规程，并组织实施；</w:t>
            </w:r>
          </w:p>
          <w:p>
            <w:pPr>
              <w:pStyle w:val="TableText"/>
              <w:ind w:left="119" w:right="108" w:firstLine="412"/>
              <w:spacing w:before="64" w:line="255" w:lineRule="auto"/>
              <w:rPr/>
            </w:pPr>
            <w:r>
              <w:rPr>
                <w:spacing w:val="9"/>
              </w:rPr>
              <w:t>⑥</w:t>
            </w:r>
            <w:r>
              <w:rPr>
                <w:spacing w:val="9"/>
              </w:rPr>
              <w:t xml:space="preserve"> </w:t>
            </w:r>
            <w:r>
              <w:rPr>
                <w:spacing w:val="9"/>
              </w:rPr>
              <w:t>加强国家和地方环保法律法规和政策宣传，提高员工环保责任</w:t>
            </w:r>
            <w:r>
              <w:rPr>
                <w:spacing w:val="8"/>
              </w:rPr>
              <w:t>意识，提升企</w:t>
            </w:r>
            <w:r>
              <w:rPr>
                <w:spacing w:val="6"/>
              </w:rPr>
              <w:t>业环境管理水平。</w:t>
            </w:r>
          </w:p>
        </w:tc>
      </w:tr>
      <w:tr>
        <w:trPr>
          <w:trHeight w:val="1560" w:hRule="atLeast"/>
        </w:trPr>
        <w:tc>
          <w:tcPr>
            <w:tcW w:w="672" w:type="dxa"/>
            <w:vAlign w:val="top"/>
            <w:tcBorders>
              <w:left w:val="nil"/>
            </w:tcBorders>
          </w:tcPr>
          <w:p>
            <w:pPr>
              <w:spacing w:line="468" w:lineRule="auto"/>
              <w:rPr>
                <w:rFonts w:ascii="Arial"/>
                <w:sz w:val="21"/>
              </w:rPr>
            </w:pPr>
            <w:r/>
          </w:p>
          <w:p>
            <w:pPr>
              <w:pStyle w:val="TableText"/>
              <w:ind w:left="244" w:right="126" w:hanging="85"/>
              <w:spacing w:before="65" w:line="289" w:lineRule="auto"/>
              <w:rPr/>
            </w:pPr>
            <w:r>
              <w:rPr>
                <w:spacing w:val="-9"/>
              </w:rPr>
              <w:t>闭矿</w:t>
            </w:r>
            <w:r>
              <w:rPr/>
              <w:t>期</w:t>
            </w:r>
          </w:p>
        </w:tc>
        <w:tc>
          <w:tcPr>
            <w:tcW w:w="7854" w:type="dxa"/>
            <w:vAlign w:val="top"/>
            <w:tcBorders>
              <w:right w:val="nil"/>
            </w:tcBorders>
          </w:tcPr>
          <w:p>
            <w:pPr>
              <w:pStyle w:val="TableText"/>
              <w:ind w:left="119" w:right="108" w:firstLine="414"/>
              <w:spacing w:before="69" w:line="269" w:lineRule="auto"/>
              <w:rPr/>
            </w:pPr>
            <w:r>
              <w:rPr>
                <w:spacing w:val="9"/>
              </w:rPr>
              <w:t>①</w:t>
            </w:r>
            <w:r>
              <w:rPr>
                <w:spacing w:val="9"/>
              </w:rPr>
              <w:t xml:space="preserve"> </w:t>
            </w:r>
            <w:r>
              <w:rPr>
                <w:spacing w:val="9"/>
              </w:rPr>
              <w:t>依照《一般工业固体废物贮存和填埋污染控制标准》有关规</w:t>
            </w:r>
            <w:r>
              <w:rPr>
                <w:spacing w:val="8"/>
              </w:rPr>
              <w:t>定，应制定工业</w:t>
            </w:r>
            <w:r>
              <w:rPr>
                <w:spacing w:val="12"/>
              </w:rPr>
              <w:t>广场及废石堆场等关闭或封场计划，并报当地县级以上环保</w:t>
            </w:r>
            <w:r>
              <w:rPr>
                <w:spacing w:val="11"/>
              </w:rPr>
              <w:t>部门核准，并采取污染</w:t>
            </w:r>
            <w:r>
              <w:rPr>
                <w:spacing w:val="4"/>
              </w:rPr>
              <w:t>防治措施。</w:t>
            </w:r>
          </w:p>
          <w:p>
            <w:pPr>
              <w:pStyle w:val="TableText"/>
              <w:ind w:left="532"/>
              <w:spacing w:before="61" w:line="229" w:lineRule="auto"/>
              <w:rPr/>
            </w:pPr>
            <w:r>
              <w:rPr>
                <w:spacing w:val="8"/>
              </w:rPr>
              <w:t>②</w:t>
            </w:r>
            <w:r>
              <w:rPr>
                <w:spacing w:val="8"/>
              </w:rPr>
              <w:t xml:space="preserve"> </w:t>
            </w:r>
            <w:r>
              <w:rPr>
                <w:spacing w:val="8"/>
              </w:rPr>
              <w:t>制定矿山退役期土地恢复与生态恢复计划；</w:t>
            </w:r>
          </w:p>
          <w:p>
            <w:pPr>
              <w:pStyle w:val="TableText"/>
              <w:ind w:left="532"/>
              <w:spacing w:before="64" w:line="215" w:lineRule="auto"/>
              <w:rPr/>
            </w:pPr>
            <w:r>
              <w:rPr>
                <w:spacing w:val="9"/>
              </w:rPr>
              <w:t>③</w:t>
            </w:r>
            <w:r>
              <w:rPr>
                <w:spacing w:val="9"/>
              </w:rPr>
              <w:t xml:space="preserve"> </w:t>
            </w:r>
            <w:r>
              <w:rPr>
                <w:spacing w:val="9"/>
              </w:rPr>
              <w:t>制定关闭或封场后尾矿临时堆场等环境管理和监测计划。</w:t>
            </w:r>
          </w:p>
        </w:tc>
      </w:tr>
      <w:tr>
        <w:trPr>
          <w:trHeight w:val="1273" w:hRule="atLeast"/>
        </w:trPr>
        <w:tc>
          <w:tcPr>
            <w:tcW w:w="672" w:type="dxa"/>
            <w:vAlign w:val="top"/>
            <w:tcBorders>
              <w:left w:val="nil"/>
              <w:bottom w:val="single" w:color="000000" w:sz="10" w:space="0"/>
            </w:tcBorders>
          </w:tcPr>
          <w:p>
            <w:pPr>
              <w:pStyle w:val="TableText"/>
              <w:ind w:left="139"/>
              <w:spacing w:before="73" w:line="231" w:lineRule="auto"/>
              <w:rPr/>
            </w:pPr>
            <w:r>
              <w:rPr>
                <w:spacing w:val="2"/>
              </w:rPr>
              <w:t>环境</w:t>
            </w:r>
          </w:p>
          <w:p>
            <w:pPr>
              <w:pStyle w:val="TableText"/>
              <w:ind w:left="150"/>
              <w:spacing w:before="62" w:line="232" w:lineRule="auto"/>
              <w:rPr/>
            </w:pPr>
            <w:r>
              <w:rPr>
                <w:spacing w:val="-4"/>
              </w:rPr>
              <w:t>管理</w:t>
            </w:r>
          </w:p>
          <w:p>
            <w:pPr>
              <w:pStyle w:val="TableText"/>
              <w:ind w:left="144"/>
              <w:spacing w:before="60" w:line="229" w:lineRule="auto"/>
              <w:rPr/>
            </w:pPr>
            <w:r>
              <w:rPr>
                <w:spacing w:val="-1"/>
              </w:rPr>
              <w:t>工作</w:t>
            </w:r>
          </w:p>
          <w:p>
            <w:pPr>
              <w:pStyle w:val="TableText"/>
              <w:ind w:left="145"/>
              <w:spacing w:before="64" w:line="232" w:lineRule="auto"/>
              <w:rPr/>
            </w:pPr>
            <w:r>
              <w:rPr>
                <w:spacing w:val="-2"/>
              </w:rPr>
              <w:t>重点</w:t>
            </w:r>
          </w:p>
        </w:tc>
        <w:tc>
          <w:tcPr>
            <w:tcW w:w="7854" w:type="dxa"/>
            <w:vAlign w:val="top"/>
            <w:tcBorders>
              <w:right w:val="nil"/>
              <w:bottom w:val="single" w:color="000000" w:sz="10" w:space="0"/>
            </w:tcBorders>
          </w:tcPr>
          <w:p>
            <w:pPr>
              <w:pStyle w:val="TableText"/>
              <w:ind w:left="140" w:right="108" w:firstLine="393"/>
              <w:spacing w:before="73" w:line="259" w:lineRule="auto"/>
              <w:rPr/>
            </w:pPr>
            <w:r>
              <w:rPr>
                <w:spacing w:val="9"/>
              </w:rPr>
              <w:t>①</w:t>
            </w:r>
            <w:r>
              <w:rPr>
                <w:spacing w:val="9"/>
              </w:rPr>
              <w:t xml:space="preserve"> </w:t>
            </w:r>
            <w:r>
              <w:rPr>
                <w:spacing w:val="9"/>
              </w:rPr>
              <w:t>强化矿山环境管理，重点应加强污染源、环境监控以及堆石</w:t>
            </w:r>
            <w:r>
              <w:rPr>
                <w:spacing w:val="8"/>
              </w:rPr>
              <w:t>场建设、运行及</w:t>
            </w:r>
            <w:r>
              <w:rPr>
                <w:spacing w:val="5"/>
              </w:rPr>
              <w:t>闭矿等的环境风险管理；</w:t>
            </w:r>
          </w:p>
          <w:p>
            <w:pPr>
              <w:pStyle w:val="TableText"/>
              <w:ind w:left="532"/>
              <w:spacing w:before="62" w:line="230" w:lineRule="auto"/>
              <w:rPr/>
            </w:pPr>
            <w:r>
              <w:rPr>
                <w:spacing w:val="9"/>
              </w:rPr>
              <w:t>②</w:t>
            </w:r>
            <w:r>
              <w:rPr>
                <w:spacing w:val="9"/>
              </w:rPr>
              <w:t xml:space="preserve"> </w:t>
            </w:r>
            <w:r>
              <w:rPr>
                <w:spacing w:val="9"/>
              </w:rPr>
              <w:t>制定矿山污废水资源化利用方案，严禁废水随意外排；</w:t>
            </w:r>
          </w:p>
          <w:p>
            <w:pPr>
              <w:pStyle w:val="TableText"/>
              <w:ind w:left="532"/>
              <w:spacing w:before="62" w:line="229" w:lineRule="auto"/>
              <w:rPr/>
            </w:pPr>
            <w:r>
              <w:rPr>
                <w:spacing w:val="9"/>
              </w:rPr>
              <w:t>③</w:t>
            </w:r>
            <w:r>
              <w:rPr>
                <w:spacing w:val="9"/>
              </w:rPr>
              <w:t xml:space="preserve"> </w:t>
            </w:r>
            <w:r>
              <w:rPr>
                <w:spacing w:val="9"/>
              </w:rPr>
              <w:t>制定矿区生态恢复综合整治规划实施细则，并组织实施。</w:t>
            </w:r>
          </w:p>
        </w:tc>
      </w:tr>
    </w:tbl>
    <w:p>
      <w:pPr>
        <w:pStyle w:val="BodyText"/>
        <w:spacing w:line="251" w:lineRule="auto"/>
        <w:rPr/>
      </w:pPr>
      <w:r/>
    </w:p>
    <w:p>
      <w:pPr>
        <w:pStyle w:val="BodyText"/>
        <w:spacing w:line="252" w:lineRule="auto"/>
        <w:rPr/>
      </w:pPr>
      <w:r/>
    </w:p>
    <w:p>
      <w:pPr>
        <w:ind w:left="2797"/>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10.6-2  </w:t>
      </w:r>
      <w:r>
        <w:rPr>
          <w:rFonts w:ascii="FangSong" w:hAnsi="FangSong" w:eastAsia="FangSong" w:cs="FangSong"/>
          <w:sz w:val="24"/>
          <w:szCs w:val="24"/>
          <w:b/>
          <w:bCs/>
          <w:spacing w:val="-3"/>
        </w:rPr>
        <w:t>主要环境管理方案</w:t>
      </w:r>
    </w:p>
    <w:p>
      <w:pPr>
        <w:spacing w:line="63" w:lineRule="exact"/>
        <w:rPr/>
      </w:pPr>
      <w:r/>
    </w:p>
    <w:tbl>
      <w:tblPr>
        <w:tblStyle w:val="TableNormal"/>
        <w:tblW w:w="852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8"/>
        <w:gridCol w:w="4581"/>
        <w:gridCol w:w="1039"/>
        <w:gridCol w:w="1747"/>
      </w:tblGrid>
      <w:tr>
        <w:trPr>
          <w:trHeight w:val="333" w:hRule="atLeast"/>
        </w:trPr>
        <w:tc>
          <w:tcPr>
            <w:tcW w:w="1158" w:type="dxa"/>
            <w:vAlign w:val="top"/>
            <w:tcBorders>
              <w:left w:val="nil"/>
              <w:top w:val="single" w:color="000000" w:sz="10" w:space="0"/>
            </w:tcBorders>
          </w:tcPr>
          <w:p>
            <w:pPr>
              <w:pStyle w:val="TableText"/>
              <w:ind w:left="329"/>
              <w:spacing w:before="61" w:line="232" w:lineRule="auto"/>
              <w:rPr/>
            </w:pPr>
            <w:r>
              <w:rPr>
                <w:spacing w:val="-3"/>
              </w:rPr>
              <w:t>项</w:t>
            </w:r>
            <w:r>
              <w:rPr>
                <w:spacing w:val="58"/>
              </w:rPr>
              <w:t xml:space="preserve"> </w:t>
            </w:r>
            <w:r>
              <w:rPr>
                <w:spacing w:val="-3"/>
              </w:rPr>
              <w:t>目</w:t>
            </w:r>
          </w:p>
        </w:tc>
        <w:tc>
          <w:tcPr>
            <w:tcW w:w="4581" w:type="dxa"/>
            <w:vAlign w:val="top"/>
            <w:tcBorders>
              <w:top w:val="single" w:color="000000" w:sz="10" w:space="0"/>
            </w:tcBorders>
          </w:tcPr>
          <w:p>
            <w:pPr>
              <w:pStyle w:val="TableText"/>
              <w:ind w:left="1896"/>
              <w:spacing w:before="61" w:line="231" w:lineRule="auto"/>
              <w:rPr/>
            </w:pPr>
            <w:r>
              <w:rPr>
                <w:spacing w:val="2"/>
              </w:rPr>
              <w:t>防治措施</w:t>
            </w:r>
          </w:p>
        </w:tc>
        <w:tc>
          <w:tcPr>
            <w:tcW w:w="1039" w:type="dxa"/>
            <w:vAlign w:val="top"/>
            <w:tcBorders>
              <w:top w:val="single" w:color="000000" w:sz="10" w:space="0"/>
            </w:tcBorders>
          </w:tcPr>
          <w:p>
            <w:pPr>
              <w:pStyle w:val="TableText"/>
              <w:ind w:left="320"/>
              <w:spacing w:before="61" w:line="232" w:lineRule="auto"/>
              <w:rPr/>
            </w:pPr>
            <w:r>
              <w:rPr>
                <w:spacing w:val="2"/>
              </w:rPr>
              <w:t>经费</w:t>
            </w:r>
          </w:p>
        </w:tc>
        <w:tc>
          <w:tcPr>
            <w:tcW w:w="1747" w:type="dxa"/>
            <w:vAlign w:val="top"/>
            <w:tcBorders>
              <w:right w:val="nil"/>
              <w:top w:val="single" w:color="000000" w:sz="10" w:space="0"/>
            </w:tcBorders>
          </w:tcPr>
          <w:p>
            <w:pPr>
              <w:pStyle w:val="TableText"/>
              <w:ind w:left="469"/>
              <w:spacing w:before="61" w:line="231" w:lineRule="auto"/>
              <w:rPr/>
            </w:pPr>
            <w:r>
              <w:rPr>
                <w:spacing w:val="4"/>
              </w:rPr>
              <w:t>实施时间</w:t>
            </w:r>
          </w:p>
        </w:tc>
      </w:tr>
      <w:tr>
        <w:trPr>
          <w:trHeight w:val="625" w:hRule="atLeast"/>
        </w:trPr>
        <w:tc>
          <w:tcPr>
            <w:tcW w:w="1158" w:type="dxa"/>
            <w:vAlign w:val="top"/>
            <w:tcBorders>
              <w:left w:val="nil"/>
            </w:tcBorders>
          </w:tcPr>
          <w:p>
            <w:pPr>
              <w:pStyle w:val="TableText"/>
              <w:ind w:left="177"/>
              <w:spacing w:before="208" w:line="231" w:lineRule="auto"/>
              <w:rPr/>
            </w:pPr>
            <w:r>
              <w:rPr>
                <w:spacing w:val="4"/>
              </w:rPr>
              <w:t>工艺设计</w:t>
            </w:r>
          </w:p>
        </w:tc>
        <w:tc>
          <w:tcPr>
            <w:tcW w:w="4581" w:type="dxa"/>
            <w:vAlign w:val="top"/>
          </w:tcPr>
          <w:p>
            <w:pPr>
              <w:pStyle w:val="TableText"/>
              <w:ind w:left="121"/>
              <w:spacing w:before="52" w:line="230" w:lineRule="auto"/>
              <w:rPr/>
            </w:pPr>
            <w:r>
              <w:rPr>
                <w:spacing w:val="7"/>
              </w:rPr>
              <w:t>选用先进工艺和设备；合理利用资源和能源；降</w:t>
            </w:r>
          </w:p>
          <w:p>
            <w:pPr>
              <w:pStyle w:val="TableText"/>
              <w:ind w:left="728"/>
              <w:spacing w:before="62" w:line="230" w:lineRule="auto"/>
              <w:rPr/>
            </w:pPr>
            <w:r>
              <w:rPr>
                <w:spacing w:val="8"/>
              </w:rPr>
              <w:t>低能源消耗，提高水资源利用率。</w:t>
            </w:r>
          </w:p>
        </w:tc>
        <w:tc>
          <w:tcPr>
            <w:tcW w:w="1039" w:type="dxa"/>
            <w:vAlign w:val="top"/>
          </w:tcPr>
          <w:p>
            <w:pPr>
              <w:pStyle w:val="TableText"/>
              <w:ind w:left="360"/>
              <w:spacing w:before="208" w:line="232" w:lineRule="auto"/>
              <w:rPr/>
            </w:pPr>
            <w:r>
              <w:rPr>
                <w:spacing w:val="-18"/>
              </w:rPr>
              <w:t>自筹</w:t>
            </w:r>
          </w:p>
        </w:tc>
        <w:tc>
          <w:tcPr>
            <w:tcW w:w="1747" w:type="dxa"/>
            <w:vAlign w:val="top"/>
            <w:tcBorders>
              <w:right w:val="nil"/>
            </w:tcBorders>
          </w:tcPr>
          <w:p>
            <w:pPr>
              <w:pStyle w:val="TableText"/>
              <w:ind w:left="464"/>
              <w:spacing w:before="208" w:line="230" w:lineRule="auto"/>
              <w:rPr/>
            </w:pPr>
            <w:r>
              <w:rPr>
                <w:spacing w:val="6"/>
              </w:rPr>
              <w:t>设计阶段</w:t>
            </w:r>
          </w:p>
        </w:tc>
      </w:tr>
      <w:tr>
        <w:trPr>
          <w:trHeight w:val="625" w:hRule="atLeast"/>
        </w:trPr>
        <w:tc>
          <w:tcPr>
            <w:tcW w:w="1158" w:type="dxa"/>
            <w:vAlign w:val="top"/>
            <w:tcBorders>
              <w:left w:val="nil"/>
            </w:tcBorders>
          </w:tcPr>
          <w:p>
            <w:pPr>
              <w:pStyle w:val="TableText"/>
              <w:ind w:left="181"/>
              <w:spacing w:before="214" w:line="231" w:lineRule="auto"/>
              <w:rPr/>
            </w:pPr>
            <w:r>
              <w:rPr>
                <w:spacing w:val="3"/>
              </w:rPr>
              <w:t>总图设计</w:t>
            </w:r>
          </w:p>
        </w:tc>
        <w:tc>
          <w:tcPr>
            <w:tcW w:w="4581" w:type="dxa"/>
            <w:vAlign w:val="top"/>
          </w:tcPr>
          <w:p>
            <w:pPr>
              <w:pStyle w:val="TableText"/>
              <w:ind w:left="120"/>
              <w:spacing w:before="58" w:line="229" w:lineRule="auto"/>
              <w:rPr/>
            </w:pPr>
            <w:r>
              <w:rPr>
                <w:spacing w:val="7"/>
              </w:rPr>
              <w:t>严格按设计、批复的环境影响报告书要求进行生</w:t>
            </w:r>
          </w:p>
          <w:p>
            <w:pPr>
              <w:pStyle w:val="TableText"/>
              <w:ind w:left="1890"/>
              <w:spacing w:before="63" w:line="226" w:lineRule="auto"/>
              <w:rPr/>
            </w:pPr>
            <w:r>
              <w:rPr>
                <w:spacing w:val="1"/>
              </w:rPr>
              <w:t>态恢复。</w:t>
            </w:r>
          </w:p>
        </w:tc>
        <w:tc>
          <w:tcPr>
            <w:tcW w:w="1039" w:type="dxa"/>
            <w:vAlign w:val="top"/>
          </w:tcPr>
          <w:p>
            <w:pPr>
              <w:pStyle w:val="TableText"/>
              <w:ind w:left="360"/>
              <w:spacing w:before="214" w:line="232" w:lineRule="auto"/>
              <w:rPr/>
            </w:pPr>
            <w:r>
              <w:rPr>
                <w:spacing w:val="-18"/>
              </w:rPr>
              <w:t>自筹</w:t>
            </w:r>
          </w:p>
        </w:tc>
        <w:tc>
          <w:tcPr>
            <w:tcW w:w="1747" w:type="dxa"/>
            <w:vAlign w:val="top"/>
            <w:tcBorders>
              <w:right w:val="nil"/>
            </w:tcBorders>
          </w:tcPr>
          <w:p>
            <w:pPr>
              <w:pStyle w:val="TableText"/>
              <w:ind w:left="150"/>
              <w:spacing w:before="214" w:line="230" w:lineRule="auto"/>
              <w:rPr/>
            </w:pPr>
            <w:r>
              <w:rPr>
                <w:spacing w:val="7"/>
              </w:rPr>
              <w:t>设计、施工阶段</w:t>
            </w:r>
          </w:p>
        </w:tc>
      </w:tr>
      <w:tr>
        <w:trPr>
          <w:trHeight w:val="315" w:hRule="atLeast"/>
        </w:trPr>
        <w:tc>
          <w:tcPr>
            <w:tcW w:w="1158" w:type="dxa"/>
            <w:vAlign w:val="top"/>
            <w:tcBorders>
              <w:left w:val="nil"/>
            </w:tcBorders>
          </w:tcPr>
          <w:p>
            <w:pPr>
              <w:pStyle w:val="TableText"/>
              <w:ind w:left="175"/>
              <w:spacing w:before="62" w:line="224" w:lineRule="auto"/>
              <w:rPr/>
            </w:pPr>
            <w:r>
              <w:rPr>
                <w:spacing w:val="5"/>
              </w:rPr>
              <w:t>废气排放</w:t>
            </w:r>
          </w:p>
        </w:tc>
        <w:tc>
          <w:tcPr>
            <w:tcW w:w="4581" w:type="dxa"/>
            <w:vAlign w:val="top"/>
          </w:tcPr>
          <w:p>
            <w:pPr>
              <w:pStyle w:val="TableText"/>
              <w:ind w:left="309"/>
              <w:spacing w:before="62" w:line="224" w:lineRule="auto"/>
              <w:rPr/>
            </w:pPr>
            <w:r>
              <w:rPr>
                <w:spacing w:val="8"/>
              </w:rPr>
              <w:t>严格按照国家和行业标准控制污染的排放。</w:t>
            </w:r>
          </w:p>
        </w:tc>
        <w:tc>
          <w:tcPr>
            <w:tcW w:w="1039" w:type="dxa"/>
            <w:vAlign w:val="top"/>
          </w:tcPr>
          <w:p>
            <w:pPr>
              <w:pStyle w:val="TableText"/>
              <w:ind w:left="360"/>
              <w:spacing w:before="62" w:line="224" w:lineRule="auto"/>
              <w:rPr/>
            </w:pPr>
            <w:r>
              <w:rPr>
                <w:spacing w:val="-18"/>
              </w:rPr>
              <w:t>自筹</w:t>
            </w:r>
          </w:p>
        </w:tc>
        <w:tc>
          <w:tcPr>
            <w:tcW w:w="1747" w:type="dxa"/>
            <w:vAlign w:val="top"/>
            <w:tcBorders>
              <w:right w:val="nil"/>
            </w:tcBorders>
          </w:tcPr>
          <w:p>
            <w:pPr>
              <w:pStyle w:val="TableText"/>
              <w:ind w:left="466"/>
              <w:spacing w:before="62" w:line="224" w:lineRule="auto"/>
              <w:rPr/>
            </w:pPr>
            <w:r>
              <w:rPr>
                <w:spacing w:val="5"/>
              </w:rPr>
              <w:t>运行阶段</w:t>
            </w:r>
          </w:p>
        </w:tc>
      </w:tr>
      <w:tr>
        <w:trPr>
          <w:trHeight w:val="625" w:hRule="atLeast"/>
        </w:trPr>
        <w:tc>
          <w:tcPr>
            <w:tcW w:w="1158" w:type="dxa"/>
            <w:vAlign w:val="top"/>
            <w:tcBorders>
              <w:left w:val="nil"/>
            </w:tcBorders>
          </w:tcPr>
          <w:p>
            <w:pPr>
              <w:pStyle w:val="TableText"/>
              <w:ind w:left="175"/>
              <w:spacing w:before="219" w:line="231" w:lineRule="auto"/>
              <w:rPr/>
            </w:pPr>
            <w:r>
              <w:rPr>
                <w:spacing w:val="5"/>
              </w:rPr>
              <w:t>废水排放</w:t>
            </w:r>
          </w:p>
        </w:tc>
        <w:tc>
          <w:tcPr>
            <w:tcW w:w="4581" w:type="dxa"/>
            <w:vAlign w:val="top"/>
          </w:tcPr>
          <w:p>
            <w:pPr>
              <w:pStyle w:val="TableText"/>
              <w:ind w:left="120"/>
              <w:spacing w:before="63" w:line="231" w:lineRule="auto"/>
              <w:rPr/>
            </w:pPr>
            <w:r>
              <w:rPr>
                <w:spacing w:val="7"/>
              </w:rPr>
              <w:t>严格按设计、批复的环境影响报告书要求对废水</w:t>
            </w:r>
          </w:p>
          <w:p>
            <w:pPr>
              <w:pStyle w:val="TableText"/>
              <w:ind w:left="729"/>
              <w:spacing w:before="61" w:line="221" w:lineRule="auto"/>
              <w:rPr/>
            </w:pPr>
            <w:r>
              <w:rPr>
                <w:spacing w:val="8"/>
              </w:rPr>
              <w:t>进行处理，并实现稳定达标排放。</w:t>
            </w:r>
          </w:p>
        </w:tc>
        <w:tc>
          <w:tcPr>
            <w:tcW w:w="1039" w:type="dxa"/>
            <w:vAlign w:val="top"/>
          </w:tcPr>
          <w:p>
            <w:pPr>
              <w:pStyle w:val="TableText"/>
              <w:ind w:left="360"/>
              <w:spacing w:before="219" w:line="232" w:lineRule="auto"/>
              <w:rPr/>
            </w:pPr>
            <w:r>
              <w:rPr>
                <w:spacing w:val="-18"/>
              </w:rPr>
              <w:t>自筹</w:t>
            </w:r>
          </w:p>
        </w:tc>
        <w:tc>
          <w:tcPr>
            <w:tcW w:w="1747" w:type="dxa"/>
            <w:vAlign w:val="top"/>
            <w:tcBorders>
              <w:right w:val="nil"/>
            </w:tcBorders>
          </w:tcPr>
          <w:p>
            <w:pPr>
              <w:pStyle w:val="TableText"/>
              <w:ind w:left="572" w:right="138" w:hanging="422"/>
              <w:spacing w:before="64" w:line="254" w:lineRule="auto"/>
              <w:rPr/>
            </w:pPr>
            <w:r>
              <w:rPr>
                <w:spacing w:val="7"/>
              </w:rPr>
              <w:t>设计、施工、运</w:t>
            </w:r>
            <w:r>
              <w:rPr>
                <w:spacing w:val="4"/>
              </w:rPr>
              <w:t>行阶段</w:t>
            </w:r>
          </w:p>
        </w:tc>
      </w:tr>
      <w:tr>
        <w:trPr>
          <w:trHeight w:val="625" w:hRule="atLeast"/>
        </w:trPr>
        <w:tc>
          <w:tcPr>
            <w:tcW w:w="1158" w:type="dxa"/>
            <w:vAlign w:val="top"/>
            <w:tcBorders>
              <w:left w:val="nil"/>
            </w:tcBorders>
          </w:tcPr>
          <w:p>
            <w:pPr>
              <w:pStyle w:val="TableText"/>
              <w:ind w:left="181"/>
              <w:spacing w:before="223" w:line="230" w:lineRule="auto"/>
              <w:rPr/>
            </w:pPr>
            <w:r>
              <w:rPr>
                <w:spacing w:val="3"/>
              </w:rPr>
              <w:t>噪声控制</w:t>
            </w:r>
          </w:p>
        </w:tc>
        <w:tc>
          <w:tcPr>
            <w:tcW w:w="4581" w:type="dxa"/>
            <w:vAlign w:val="top"/>
          </w:tcPr>
          <w:p>
            <w:pPr>
              <w:pStyle w:val="TableText"/>
              <w:ind w:left="120"/>
              <w:spacing w:before="67" w:line="229" w:lineRule="auto"/>
              <w:rPr/>
            </w:pPr>
            <w:r>
              <w:rPr>
                <w:spacing w:val="7"/>
              </w:rPr>
              <w:t>对机械设备、风机等主要噪声源要严格按环境工</w:t>
            </w:r>
          </w:p>
          <w:p>
            <w:pPr>
              <w:pStyle w:val="TableText"/>
              <w:ind w:left="729"/>
              <w:spacing w:before="63" w:line="218" w:lineRule="auto"/>
              <w:rPr/>
            </w:pPr>
            <w:r>
              <w:rPr>
                <w:spacing w:val="8"/>
              </w:rPr>
              <w:t>程对策要求安装隔声、减震设施。</w:t>
            </w:r>
          </w:p>
        </w:tc>
        <w:tc>
          <w:tcPr>
            <w:tcW w:w="1039" w:type="dxa"/>
            <w:vAlign w:val="top"/>
          </w:tcPr>
          <w:p>
            <w:pPr>
              <w:pStyle w:val="TableText"/>
              <w:ind w:left="360"/>
              <w:spacing w:before="223" w:line="232" w:lineRule="auto"/>
              <w:rPr/>
            </w:pPr>
            <w:r>
              <w:rPr>
                <w:spacing w:val="-18"/>
              </w:rPr>
              <w:t>自筹</w:t>
            </w:r>
          </w:p>
        </w:tc>
        <w:tc>
          <w:tcPr>
            <w:tcW w:w="1747" w:type="dxa"/>
            <w:vAlign w:val="top"/>
            <w:tcBorders>
              <w:right w:val="nil"/>
            </w:tcBorders>
          </w:tcPr>
          <w:p>
            <w:pPr>
              <w:pStyle w:val="TableText"/>
              <w:ind w:left="150"/>
              <w:spacing w:before="223" w:line="230" w:lineRule="auto"/>
              <w:rPr/>
            </w:pPr>
            <w:r>
              <w:rPr>
                <w:spacing w:val="7"/>
              </w:rPr>
              <w:t>设计、施工阶段</w:t>
            </w:r>
          </w:p>
        </w:tc>
      </w:tr>
      <w:tr>
        <w:trPr>
          <w:trHeight w:val="315" w:hRule="atLeast"/>
        </w:trPr>
        <w:tc>
          <w:tcPr>
            <w:tcW w:w="1158" w:type="dxa"/>
            <w:vAlign w:val="top"/>
            <w:tcBorders>
              <w:left w:val="nil"/>
            </w:tcBorders>
          </w:tcPr>
          <w:p>
            <w:pPr>
              <w:pStyle w:val="TableText"/>
              <w:ind w:left="194"/>
              <w:spacing w:before="71" w:line="216" w:lineRule="auto"/>
              <w:rPr/>
            </w:pPr>
            <w:r>
              <w:rPr/>
              <w:t>固废排放</w:t>
            </w:r>
          </w:p>
        </w:tc>
        <w:tc>
          <w:tcPr>
            <w:tcW w:w="4581" w:type="dxa"/>
            <w:vAlign w:val="top"/>
          </w:tcPr>
          <w:p>
            <w:pPr>
              <w:pStyle w:val="TableText"/>
              <w:ind w:left="730"/>
              <w:spacing w:before="71" w:line="216" w:lineRule="auto"/>
              <w:rPr/>
            </w:pPr>
            <w:r>
              <w:rPr>
                <w:spacing w:val="8"/>
              </w:rPr>
              <w:t>废石有序堆存，并考虑综合利用。</w:t>
            </w:r>
          </w:p>
        </w:tc>
        <w:tc>
          <w:tcPr>
            <w:tcW w:w="1039" w:type="dxa"/>
            <w:vAlign w:val="top"/>
          </w:tcPr>
          <w:p>
            <w:pPr>
              <w:pStyle w:val="TableText"/>
              <w:ind w:left="360"/>
              <w:spacing w:before="71" w:line="216" w:lineRule="auto"/>
              <w:rPr/>
            </w:pPr>
            <w:r>
              <w:rPr>
                <w:spacing w:val="-18"/>
              </w:rPr>
              <w:t>自筹</w:t>
            </w:r>
          </w:p>
        </w:tc>
        <w:tc>
          <w:tcPr>
            <w:tcW w:w="1747" w:type="dxa"/>
            <w:vAlign w:val="top"/>
            <w:tcBorders>
              <w:right w:val="nil"/>
            </w:tcBorders>
          </w:tcPr>
          <w:p>
            <w:pPr>
              <w:pStyle w:val="TableText"/>
              <w:ind w:left="572"/>
              <w:spacing w:before="71" w:line="216" w:lineRule="auto"/>
              <w:rPr/>
            </w:pPr>
            <w:r>
              <w:rPr>
                <w:spacing w:val="4"/>
              </w:rPr>
              <w:t>运行期</w:t>
            </w:r>
          </w:p>
        </w:tc>
      </w:tr>
      <w:tr>
        <w:trPr>
          <w:trHeight w:val="649" w:hRule="atLeast"/>
        </w:trPr>
        <w:tc>
          <w:tcPr>
            <w:tcW w:w="1158" w:type="dxa"/>
            <w:vAlign w:val="top"/>
            <w:tcBorders>
              <w:left w:val="nil"/>
              <w:bottom w:val="single" w:color="000000" w:sz="10" w:space="0"/>
            </w:tcBorders>
          </w:tcPr>
          <w:p>
            <w:pPr>
              <w:pStyle w:val="TableText"/>
              <w:ind w:left="391"/>
              <w:spacing w:before="228" w:line="232" w:lineRule="auto"/>
              <w:rPr/>
            </w:pPr>
            <w:r>
              <w:rPr>
                <w:spacing w:val="-3"/>
              </w:rPr>
              <w:t>复垦</w:t>
            </w:r>
          </w:p>
        </w:tc>
        <w:tc>
          <w:tcPr>
            <w:tcW w:w="4581" w:type="dxa"/>
            <w:vAlign w:val="top"/>
            <w:tcBorders>
              <w:bottom w:val="single" w:color="000000" w:sz="10" w:space="0"/>
            </w:tcBorders>
          </w:tcPr>
          <w:p>
            <w:pPr>
              <w:pStyle w:val="TableText"/>
              <w:ind w:left="118"/>
              <w:spacing w:before="72" w:line="229" w:lineRule="auto"/>
              <w:rPr/>
            </w:pPr>
            <w:r>
              <w:rPr>
                <w:spacing w:val="7"/>
              </w:rPr>
              <w:t>按环评、土地复垦方案及水土保持要求，落实拟</w:t>
            </w:r>
          </w:p>
          <w:p>
            <w:pPr>
              <w:pStyle w:val="TableText"/>
              <w:ind w:left="937"/>
              <w:spacing w:before="63" w:line="231" w:lineRule="auto"/>
              <w:rPr/>
            </w:pPr>
            <w:r>
              <w:rPr>
                <w:spacing w:val="7"/>
              </w:rPr>
              <w:t>建矿山采取的各项工程措施。</w:t>
            </w:r>
          </w:p>
        </w:tc>
        <w:tc>
          <w:tcPr>
            <w:tcW w:w="1039" w:type="dxa"/>
            <w:vAlign w:val="top"/>
            <w:tcBorders>
              <w:bottom w:val="single" w:color="000000" w:sz="10" w:space="0"/>
            </w:tcBorders>
          </w:tcPr>
          <w:p>
            <w:pPr>
              <w:pStyle w:val="TableText"/>
              <w:ind w:left="360"/>
              <w:spacing w:before="228" w:line="232" w:lineRule="auto"/>
              <w:rPr/>
            </w:pPr>
            <w:r>
              <w:rPr>
                <w:spacing w:val="-18"/>
              </w:rPr>
              <w:t>自筹</w:t>
            </w:r>
          </w:p>
        </w:tc>
        <w:tc>
          <w:tcPr>
            <w:tcW w:w="1747" w:type="dxa"/>
            <w:vAlign w:val="top"/>
            <w:tcBorders>
              <w:right w:val="nil"/>
              <w:bottom w:val="single" w:color="000000" w:sz="10" w:space="0"/>
            </w:tcBorders>
          </w:tcPr>
          <w:p>
            <w:pPr>
              <w:pStyle w:val="TableText"/>
              <w:ind w:left="676" w:right="138" w:hanging="526"/>
              <w:spacing w:before="73" w:line="261" w:lineRule="auto"/>
              <w:rPr/>
            </w:pPr>
            <w:r>
              <w:rPr>
                <w:spacing w:val="7"/>
              </w:rPr>
              <w:t>矿山服务期及退</w:t>
            </w:r>
            <w:r>
              <w:rPr>
                <w:spacing w:val="1"/>
              </w:rPr>
              <w:t>役后</w:t>
            </w:r>
          </w:p>
        </w:tc>
      </w:tr>
    </w:tbl>
    <w:p>
      <w:pPr>
        <w:pStyle w:val="BodyText"/>
        <w:rPr/>
      </w:pPr>
      <w:r/>
    </w:p>
    <w:p>
      <w:pPr>
        <w:sectPr>
          <w:footerReference w:type="default" r:id="rId389"/>
          <w:pgSz w:w="11906" w:h="16839"/>
          <w:pgMar w:top="400" w:right="1690" w:bottom="1358" w:left="1689" w:header="0" w:footer="1195" w:gutter="0"/>
        </w:sectPr>
        <w:rPr/>
      </w:pP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ind w:left="127"/>
        <w:spacing w:before="91" w:line="224" w:lineRule="auto"/>
        <w:outlineLvl w:val="1"/>
        <w:rPr>
          <w:rFonts w:ascii="FangSong" w:hAnsi="FangSong" w:eastAsia="FangSong" w:cs="FangSong"/>
          <w:sz w:val="28"/>
          <w:szCs w:val="28"/>
        </w:rPr>
      </w:pPr>
      <w:bookmarkStart w:name="bookmark423" w:id="568"/>
      <w:bookmarkEnd w:id="568"/>
      <w:bookmarkStart w:name="bookmark422" w:id="569"/>
      <w:bookmarkEnd w:id="569"/>
      <w:r>
        <w:rPr>
          <w:rFonts w:ascii="Times New Roman" w:hAnsi="Times New Roman" w:eastAsia="Times New Roman" w:cs="Times New Roman"/>
          <w:sz w:val="28"/>
          <w:szCs w:val="28"/>
          <w:b/>
          <w:bCs/>
          <w:spacing w:val="-7"/>
        </w:rPr>
        <w:t>10.7</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7"/>
        </w:rPr>
        <w:t>人员培训</w:t>
      </w:r>
    </w:p>
    <w:p>
      <w:pPr>
        <w:ind w:left="131" w:right="105" w:firstLine="484"/>
        <w:spacing w:before="226" w:line="360" w:lineRule="auto"/>
        <w:rPr>
          <w:rFonts w:ascii="FangSong" w:hAnsi="FangSong" w:eastAsia="FangSong" w:cs="FangSong"/>
          <w:sz w:val="24"/>
          <w:szCs w:val="24"/>
        </w:rPr>
      </w:pPr>
      <w:r>
        <w:rPr>
          <w:rFonts w:ascii="FangSong" w:hAnsi="FangSong" w:eastAsia="FangSong" w:cs="FangSong"/>
          <w:sz w:val="24"/>
          <w:szCs w:val="24"/>
          <w:spacing w:val="-2"/>
        </w:rPr>
        <w:t>随着</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ISO14000</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2"/>
        </w:rPr>
        <w:t>系列标准在国内的推行，必须对环保管理人员进行专门的业</w:t>
      </w:r>
      <w:r>
        <w:rPr>
          <w:rFonts w:ascii="FangSong" w:hAnsi="FangSong" w:eastAsia="FangSong" w:cs="FangSong"/>
          <w:sz w:val="24"/>
          <w:szCs w:val="24"/>
          <w:spacing w:val="-3"/>
        </w:rPr>
        <w:t>务培训，要求如下：</w:t>
      </w:r>
    </w:p>
    <w:p>
      <w:pPr>
        <w:ind w:left="123" w:right="105" w:firstLine="473"/>
        <w:spacing w:line="291" w:lineRule="auto"/>
        <w:rPr>
          <w:rFonts w:ascii="FangSong" w:hAnsi="FangSong" w:eastAsia="FangSong" w:cs="FangSong"/>
          <w:sz w:val="24"/>
          <w:szCs w:val="24"/>
        </w:rPr>
      </w:pPr>
      <w:r>
        <w:rPr>
          <w:rFonts w:ascii="SimSun" w:hAnsi="SimSun" w:eastAsia="SimSun" w:cs="SimSun"/>
          <w:sz w:val="24"/>
          <w:szCs w:val="24"/>
          <w:spacing w:val="-1"/>
        </w:rPr>
        <w:t>①</w:t>
      </w:r>
      <w:r>
        <w:rPr>
          <w:rFonts w:ascii="SimSun" w:hAnsi="SimSun" w:eastAsia="SimSun" w:cs="SimSun"/>
          <w:sz w:val="24"/>
          <w:szCs w:val="24"/>
          <w:spacing w:val="53"/>
        </w:rPr>
        <w:t xml:space="preserve"> </w:t>
      </w:r>
      <w:r>
        <w:rPr>
          <w:rFonts w:ascii="FangSong" w:hAnsi="FangSong" w:eastAsia="FangSong" w:cs="FangSong"/>
          <w:sz w:val="24"/>
          <w:szCs w:val="24"/>
          <w:spacing w:val="-1"/>
        </w:rPr>
        <w:t>了解国家有关环境保护方面的方针政策及国家或地方的有关环境保护法</w:t>
      </w:r>
      <w:r>
        <w:rPr>
          <w:rFonts w:ascii="FangSong" w:hAnsi="FangSong" w:eastAsia="FangSong" w:cs="FangSong"/>
          <w:sz w:val="24"/>
          <w:szCs w:val="24"/>
          <w:spacing w:val="-3"/>
        </w:rPr>
        <w:t>规、标准等。</w:t>
      </w:r>
    </w:p>
    <w:p>
      <w:pPr>
        <w:ind w:left="596"/>
        <w:spacing w:before="178" w:line="222" w:lineRule="auto"/>
        <w:rPr>
          <w:rFonts w:ascii="FangSong" w:hAnsi="FangSong" w:eastAsia="FangSong" w:cs="FangSong"/>
          <w:sz w:val="24"/>
          <w:szCs w:val="24"/>
        </w:rPr>
      </w:pPr>
      <w:r>
        <w:rPr>
          <w:rFonts w:ascii="SimSun" w:hAnsi="SimSun" w:eastAsia="SimSun" w:cs="SimSun"/>
          <w:sz w:val="24"/>
          <w:szCs w:val="24"/>
          <w:spacing w:val="-1"/>
        </w:rPr>
        <w:t>② </w:t>
      </w:r>
      <w:r>
        <w:rPr>
          <w:rFonts w:ascii="FangSong" w:hAnsi="FangSong" w:eastAsia="FangSong" w:cs="FangSong"/>
          <w:sz w:val="24"/>
          <w:szCs w:val="24"/>
          <w:spacing w:val="-1"/>
        </w:rPr>
        <w:t>掌握环境科学的基础知识。</w:t>
      </w:r>
    </w:p>
    <w:p>
      <w:pPr>
        <w:ind w:left="596"/>
        <w:spacing w:before="179" w:line="222" w:lineRule="auto"/>
        <w:rPr>
          <w:rFonts w:ascii="FangSong" w:hAnsi="FangSong" w:eastAsia="FangSong" w:cs="FangSong"/>
          <w:sz w:val="24"/>
          <w:szCs w:val="24"/>
        </w:rPr>
      </w:pPr>
      <w:r>
        <w:rPr>
          <w:rFonts w:ascii="SimSun" w:hAnsi="SimSun" w:eastAsia="SimSun" w:cs="SimSun"/>
          <w:sz w:val="24"/>
          <w:szCs w:val="24"/>
          <w:spacing w:val="-1"/>
        </w:rPr>
        <w:t>③ </w:t>
      </w:r>
      <w:r>
        <w:rPr>
          <w:rFonts w:ascii="FangSong" w:hAnsi="FangSong" w:eastAsia="FangSong" w:cs="FangSong"/>
          <w:sz w:val="24"/>
          <w:szCs w:val="24"/>
          <w:spacing w:val="-1"/>
        </w:rPr>
        <w:t>具备环境管理的综合分析能力。</w:t>
      </w:r>
    </w:p>
    <w:p>
      <w:pPr>
        <w:ind w:left="596"/>
        <w:spacing w:before="179" w:line="222" w:lineRule="auto"/>
        <w:rPr>
          <w:rFonts w:ascii="FangSong" w:hAnsi="FangSong" w:eastAsia="FangSong" w:cs="FangSong"/>
          <w:sz w:val="24"/>
          <w:szCs w:val="24"/>
        </w:rPr>
      </w:pPr>
      <w:r>
        <w:rPr>
          <w:rFonts w:ascii="SimSun" w:hAnsi="SimSun" w:eastAsia="SimSun" w:cs="SimSun"/>
          <w:sz w:val="24"/>
          <w:szCs w:val="24"/>
          <w:spacing w:val="-1"/>
        </w:rPr>
        <w:t>④ </w:t>
      </w:r>
      <w:r>
        <w:rPr>
          <w:rFonts w:ascii="FangSong" w:hAnsi="FangSong" w:eastAsia="FangSong" w:cs="FangSong"/>
          <w:sz w:val="24"/>
          <w:szCs w:val="24"/>
          <w:spacing w:val="-1"/>
        </w:rPr>
        <w:t>具备一定的组织和业务联系能力。</w:t>
      </w:r>
    </w:p>
    <w:p>
      <w:pPr>
        <w:ind w:left="596"/>
        <w:spacing w:before="179" w:line="221" w:lineRule="auto"/>
        <w:rPr>
          <w:rFonts w:ascii="FangSong" w:hAnsi="FangSong" w:eastAsia="FangSong" w:cs="FangSong"/>
          <w:sz w:val="24"/>
          <w:szCs w:val="24"/>
        </w:rPr>
      </w:pPr>
      <w:r>
        <w:rPr>
          <w:rFonts w:ascii="SimSun" w:hAnsi="SimSun" w:eastAsia="SimSun" w:cs="SimSun"/>
          <w:sz w:val="24"/>
          <w:szCs w:val="24"/>
          <w:spacing w:val="-1"/>
        </w:rPr>
        <w:t>⑤ </w:t>
      </w:r>
      <w:r>
        <w:rPr>
          <w:rFonts w:ascii="FangSong" w:hAnsi="FangSong" w:eastAsia="FangSong" w:cs="FangSong"/>
          <w:sz w:val="24"/>
          <w:szCs w:val="24"/>
          <w:spacing w:val="-1"/>
        </w:rPr>
        <w:t>掌握国内外有关环境保护的动态。</w:t>
      </w:r>
    </w:p>
    <w:p>
      <w:pPr>
        <w:ind w:left="127"/>
        <w:spacing w:before="240" w:line="223" w:lineRule="auto"/>
        <w:outlineLvl w:val="1"/>
        <w:rPr>
          <w:rFonts w:ascii="FangSong" w:hAnsi="FangSong" w:eastAsia="FangSong" w:cs="FangSong"/>
          <w:sz w:val="28"/>
          <w:szCs w:val="28"/>
        </w:rPr>
      </w:pPr>
      <w:bookmarkStart w:name="bookmark425" w:id="570"/>
      <w:bookmarkEnd w:id="570"/>
      <w:bookmarkStart w:name="bookmark427" w:id="571"/>
      <w:bookmarkEnd w:id="571"/>
      <w:bookmarkStart w:name="bookmark424" w:id="572"/>
      <w:bookmarkEnd w:id="572"/>
      <w:bookmarkStart w:name="bookmark426" w:id="573"/>
      <w:bookmarkEnd w:id="573"/>
      <w:r>
        <w:rPr>
          <w:rFonts w:ascii="Times New Roman" w:hAnsi="Times New Roman" w:eastAsia="Times New Roman" w:cs="Times New Roman"/>
          <w:sz w:val="28"/>
          <w:szCs w:val="28"/>
          <w:b/>
          <w:bCs/>
          <w:spacing w:val="-3"/>
        </w:rPr>
        <w:t>10.8  </w:t>
      </w:r>
      <w:r>
        <w:rPr>
          <w:rFonts w:ascii="FangSong" w:hAnsi="FangSong" w:eastAsia="FangSong" w:cs="FangSong"/>
          <w:sz w:val="28"/>
          <w:szCs w:val="28"/>
          <w:b/>
          <w:bCs/>
          <w:spacing w:val="-3"/>
        </w:rPr>
        <w:t>环境监测计划</w:t>
      </w:r>
    </w:p>
    <w:p>
      <w:pPr>
        <w:ind w:left="124"/>
        <w:spacing w:before="228" w:line="222" w:lineRule="auto"/>
        <w:outlineLvl w:val="2"/>
        <w:rPr>
          <w:rFonts w:ascii="FangSong" w:hAnsi="FangSong" w:eastAsia="FangSong" w:cs="FangSong"/>
          <w:sz w:val="24"/>
          <w:szCs w:val="24"/>
        </w:rPr>
      </w:pPr>
      <w:bookmarkStart w:name="bookmark638" w:id="574"/>
      <w:bookmarkEnd w:id="574"/>
      <w:r>
        <w:rPr>
          <w:rFonts w:ascii="Times New Roman" w:hAnsi="Times New Roman" w:eastAsia="Times New Roman" w:cs="Times New Roman"/>
          <w:sz w:val="24"/>
          <w:szCs w:val="24"/>
          <w:b/>
          <w:bCs/>
          <w:spacing w:val="-2"/>
        </w:rPr>
        <w:t>10.8.1  </w:t>
      </w:r>
      <w:r>
        <w:rPr>
          <w:rFonts w:ascii="FangSong" w:hAnsi="FangSong" w:eastAsia="FangSong" w:cs="FangSong"/>
          <w:sz w:val="24"/>
          <w:szCs w:val="24"/>
          <w:b/>
          <w:bCs/>
          <w:spacing w:val="-2"/>
        </w:rPr>
        <w:t>建设期环境监测计划</w:t>
      </w:r>
    </w:p>
    <w:p>
      <w:pPr>
        <w:ind w:left="126" w:right="105" w:firstLine="479"/>
        <w:spacing w:before="177" w:line="356" w:lineRule="auto"/>
        <w:rPr>
          <w:rFonts w:ascii="FangSong" w:hAnsi="FangSong" w:eastAsia="FangSong" w:cs="FangSong"/>
          <w:sz w:val="24"/>
          <w:szCs w:val="24"/>
        </w:rPr>
      </w:pPr>
      <w:r>
        <w:rPr>
          <w:rFonts w:ascii="FangSong" w:hAnsi="FangSong" w:eastAsia="FangSong" w:cs="FangSong"/>
          <w:sz w:val="24"/>
          <w:szCs w:val="24"/>
          <w:spacing w:val="-3"/>
        </w:rPr>
        <w:t>根据《国家重点监控企业自行监测及信息公开办法》（环发</w:t>
      </w:r>
      <w:r>
        <w:rPr>
          <w:rFonts w:ascii="Times New Roman" w:hAnsi="Times New Roman" w:eastAsia="Times New Roman" w:cs="Times New Roman"/>
          <w:sz w:val="24"/>
          <w:szCs w:val="24"/>
          <w:spacing w:val="-3"/>
        </w:rPr>
        <w:t>[2013]81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3"/>
        </w:rPr>
        <w:t>号）中</w:t>
      </w:r>
      <w:r>
        <w:rPr>
          <w:rFonts w:ascii="FangSong" w:hAnsi="FangSong" w:eastAsia="FangSong" w:cs="FangSong"/>
          <w:sz w:val="24"/>
          <w:szCs w:val="24"/>
          <w:spacing w:val="-1"/>
        </w:rPr>
        <w:t>相关要求，建议项目建成运行后，企业按照下述监测计划进行实际监测。</w:t>
      </w:r>
    </w:p>
    <w:p>
      <w:pPr>
        <w:ind w:left="129" w:right="105" w:firstLine="474"/>
        <w:spacing w:before="12" w:line="360" w:lineRule="auto"/>
        <w:rPr>
          <w:rFonts w:ascii="FangSong" w:hAnsi="FangSong" w:eastAsia="FangSong" w:cs="FangSong"/>
          <w:sz w:val="24"/>
          <w:szCs w:val="24"/>
        </w:rPr>
      </w:pPr>
      <w:r>
        <w:rPr>
          <w:rFonts w:ascii="FangSong" w:hAnsi="FangSong" w:eastAsia="FangSong" w:cs="FangSong"/>
          <w:sz w:val="24"/>
          <w:szCs w:val="24"/>
          <w:spacing w:val="-3"/>
        </w:rPr>
        <w:t>施工期固体废物严格按本评价提出的施工期污染防治措施执行</w:t>
      </w:r>
      <w:r>
        <w:rPr>
          <w:rFonts w:ascii="FangSong" w:hAnsi="FangSong" w:eastAsia="FangSong" w:cs="FangSong"/>
          <w:sz w:val="24"/>
          <w:szCs w:val="24"/>
          <w:spacing w:val="-4"/>
        </w:rPr>
        <w:t>，不允许向规</w:t>
      </w:r>
      <w:r>
        <w:rPr>
          <w:rFonts w:ascii="FangSong" w:hAnsi="FangSong" w:eastAsia="FangSong" w:cs="FangSong"/>
          <w:sz w:val="24"/>
          <w:szCs w:val="24"/>
          <w:spacing w:val="-1"/>
        </w:rPr>
        <w:t>定地点以外的地方倾倒任何施工固废，并对其整个处理过程实施监控。</w:t>
      </w:r>
    </w:p>
    <w:p>
      <w:pPr>
        <w:ind w:left="124" w:right="105" w:firstLine="491"/>
        <w:spacing w:line="360" w:lineRule="auto"/>
        <w:rPr>
          <w:rFonts w:ascii="FangSong" w:hAnsi="FangSong" w:eastAsia="FangSong" w:cs="FangSong"/>
          <w:sz w:val="24"/>
          <w:szCs w:val="24"/>
        </w:rPr>
      </w:pPr>
      <w:r>
        <w:rPr>
          <w:rFonts w:ascii="FangSong" w:hAnsi="FangSong" w:eastAsia="FangSong" w:cs="FangSong"/>
          <w:sz w:val="24"/>
          <w:szCs w:val="24"/>
          <w:spacing w:val="-4"/>
        </w:rPr>
        <w:t>除上述重点监控外，工程施工期影响环境的因素还有扬尘和噪声，项目施工</w:t>
      </w:r>
      <w:r>
        <w:rPr>
          <w:rFonts w:ascii="FangSong" w:hAnsi="FangSong" w:eastAsia="FangSong" w:cs="FangSong"/>
          <w:sz w:val="24"/>
          <w:szCs w:val="24"/>
          <w:spacing w:val="-3"/>
        </w:rPr>
        <w:t>期环境监控计划见表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10.8-1</w:t>
      </w:r>
      <w:r>
        <w:rPr>
          <w:rFonts w:ascii="FangSong" w:hAnsi="FangSong" w:eastAsia="FangSong" w:cs="FangSong"/>
          <w:sz w:val="24"/>
          <w:szCs w:val="24"/>
          <w:spacing w:val="-3"/>
        </w:rPr>
        <w:t>。</w:t>
      </w:r>
    </w:p>
    <w:p>
      <w:pPr>
        <w:ind w:left="2557"/>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10.8-1  </w:t>
      </w:r>
      <w:r>
        <w:rPr>
          <w:rFonts w:ascii="FangSong" w:hAnsi="FangSong" w:eastAsia="FangSong" w:cs="FangSong"/>
          <w:sz w:val="24"/>
          <w:szCs w:val="24"/>
          <w:b/>
          <w:bCs/>
          <w:spacing w:val="-3"/>
        </w:rPr>
        <w:t>施工期监测计划一览表</w:t>
      </w:r>
    </w:p>
    <w:p>
      <w:pPr>
        <w:spacing w:line="65" w:lineRule="exact"/>
        <w:rPr/>
      </w:pPr>
      <w:r/>
    </w:p>
    <w:tbl>
      <w:tblPr>
        <w:tblStyle w:val="TableNormal"/>
        <w:tblW w:w="852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2168"/>
        <w:gridCol w:w="1701"/>
        <w:gridCol w:w="1708"/>
        <w:gridCol w:w="1711"/>
      </w:tblGrid>
      <w:tr>
        <w:trPr>
          <w:trHeight w:val="359" w:hRule="atLeast"/>
        </w:trPr>
        <w:tc>
          <w:tcPr>
            <w:tcW w:w="1236" w:type="dxa"/>
            <w:vAlign w:val="top"/>
            <w:tcBorders>
              <w:top w:val="single" w:color="000000" w:sz="10" w:space="0"/>
              <w:left w:val="nil"/>
            </w:tcBorders>
          </w:tcPr>
          <w:p>
            <w:pPr>
              <w:pStyle w:val="TableText"/>
              <w:ind w:left="424"/>
              <w:spacing w:before="77" w:line="233" w:lineRule="auto"/>
              <w:rPr/>
            </w:pPr>
            <w:r>
              <w:rPr/>
              <w:t>类型</w:t>
            </w:r>
          </w:p>
        </w:tc>
        <w:tc>
          <w:tcPr>
            <w:tcW w:w="2168" w:type="dxa"/>
            <w:vAlign w:val="top"/>
            <w:tcBorders>
              <w:top w:val="single" w:color="000000" w:sz="10" w:space="0"/>
            </w:tcBorders>
          </w:tcPr>
          <w:p>
            <w:pPr>
              <w:pStyle w:val="TableText"/>
              <w:ind w:left="682"/>
              <w:spacing w:before="77" w:line="230" w:lineRule="auto"/>
              <w:rPr/>
            </w:pPr>
            <w:r>
              <w:rPr>
                <w:spacing w:val="4"/>
              </w:rPr>
              <w:t>监测点位</w:t>
            </w:r>
          </w:p>
        </w:tc>
        <w:tc>
          <w:tcPr>
            <w:tcW w:w="1701" w:type="dxa"/>
            <w:vAlign w:val="top"/>
            <w:tcBorders>
              <w:top w:val="single" w:color="000000" w:sz="10" w:space="0"/>
            </w:tcBorders>
          </w:tcPr>
          <w:p>
            <w:pPr>
              <w:pStyle w:val="TableText"/>
              <w:ind w:left="448"/>
              <w:spacing w:before="76" w:line="232" w:lineRule="auto"/>
              <w:rPr/>
            </w:pPr>
            <w:r>
              <w:rPr>
                <w:spacing w:val="4"/>
              </w:rPr>
              <w:t>监测项目</w:t>
            </w:r>
          </w:p>
        </w:tc>
        <w:tc>
          <w:tcPr>
            <w:tcW w:w="1708" w:type="dxa"/>
            <w:vAlign w:val="top"/>
            <w:tcBorders>
              <w:top w:val="single" w:color="000000" w:sz="10" w:space="0"/>
            </w:tcBorders>
          </w:tcPr>
          <w:p>
            <w:pPr>
              <w:pStyle w:val="TableText"/>
              <w:ind w:left="451"/>
              <w:spacing w:before="76" w:line="232" w:lineRule="auto"/>
              <w:rPr/>
            </w:pPr>
            <w:r>
              <w:rPr>
                <w:spacing w:val="4"/>
              </w:rPr>
              <w:t>监测频次</w:t>
            </w:r>
          </w:p>
        </w:tc>
        <w:tc>
          <w:tcPr>
            <w:tcW w:w="1711" w:type="dxa"/>
            <w:vAlign w:val="top"/>
            <w:tcBorders>
              <w:top w:val="single" w:color="000000" w:sz="10" w:space="0"/>
              <w:right w:val="nil"/>
            </w:tcBorders>
          </w:tcPr>
          <w:p>
            <w:pPr>
              <w:pStyle w:val="TableText"/>
              <w:ind w:left="452"/>
              <w:spacing w:before="77" w:line="229" w:lineRule="auto"/>
              <w:rPr/>
            </w:pPr>
            <w:r>
              <w:rPr>
                <w:spacing w:val="4"/>
              </w:rPr>
              <w:t>监测单位</w:t>
            </w:r>
          </w:p>
        </w:tc>
      </w:tr>
      <w:tr>
        <w:trPr>
          <w:trHeight w:val="619" w:hRule="atLeast"/>
        </w:trPr>
        <w:tc>
          <w:tcPr>
            <w:tcW w:w="1236" w:type="dxa"/>
            <w:vAlign w:val="top"/>
            <w:tcBorders>
              <w:left w:val="nil"/>
            </w:tcBorders>
          </w:tcPr>
          <w:p>
            <w:pPr>
              <w:pStyle w:val="TableText"/>
              <w:ind w:left="210"/>
              <w:spacing w:before="212" w:line="233" w:lineRule="auto"/>
              <w:rPr/>
            </w:pPr>
            <w:r>
              <w:rPr>
                <w:spacing w:val="6"/>
              </w:rPr>
              <w:t>施工扬尘</w:t>
            </w:r>
          </w:p>
        </w:tc>
        <w:tc>
          <w:tcPr>
            <w:tcW w:w="2168" w:type="dxa"/>
            <w:vAlign w:val="top"/>
          </w:tcPr>
          <w:p>
            <w:pPr>
              <w:pStyle w:val="TableText"/>
              <w:ind w:left="256"/>
              <w:spacing w:before="212" w:line="231" w:lineRule="auto"/>
              <w:rPr/>
            </w:pPr>
            <w:r>
              <w:rPr>
                <w:spacing w:val="8"/>
              </w:rPr>
              <w:t>施工场区上下风向</w:t>
            </w:r>
          </w:p>
        </w:tc>
        <w:tc>
          <w:tcPr>
            <w:tcW w:w="1701" w:type="dxa"/>
            <w:vAlign w:val="top"/>
          </w:tcPr>
          <w:p>
            <w:pPr>
              <w:ind w:left="673"/>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TSP</w:t>
            </w:r>
          </w:p>
        </w:tc>
        <w:tc>
          <w:tcPr>
            <w:tcW w:w="1708" w:type="dxa"/>
            <w:vAlign w:val="top"/>
          </w:tcPr>
          <w:p>
            <w:pPr>
              <w:pStyle w:val="TableText"/>
              <w:ind w:left="135"/>
              <w:spacing w:before="212" w:line="231" w:lineRule="auto"/>
              <w:rPr/>
            </w:pPr>
            <w:r>
              <w:rPr>
                <w:rFonts w:ascii="Times New Roman" w:hAnsi="Times New Roman" w:eastAsia="Times New Roman" w:cs="Times New Roman"/>
                <w:spacing w:val="1"/>
              </w:rPr>
              <w:t>1</w:t>
            </w:r>
            <w:r>
              <w:rPr>
                <w:rFonts w:ascii="Times New Roman" w:hAnsi="Times New Roman" w:eastAsia="Times New Roman" w:cs="Times New Roman"/>
                <w:spacing w:val="17"/>
                <w:w w:val="101"/>
              </w:rPr>
              <w:t xml:space="preserve"> </w:t>
            </w:r>
            <w:r>
              <w:rPr>
                <w:spacing w:val="1"/>
              </w:rPr>
              <w:t>期</w:t>
            </w:r>
            <w:r>
              <w:rPr>
                <w:rFonts w:ascii="Times New Roman" w:hAnsi="Times New Roman" w:eastAsia="Times New Roman" w:cs="Times New Roman"/>
                <w:spacing w:val="1"/>
              </w:rPr>
              <w:t>/</w:t>
            </w:r>
            <w:r>
              <w:rPr>
                <w:spacing w:val="1"/>
              </w:rPr>
              <w:t>年、</w:t>
            </w:r>
            <w:r>
              <w:rPr>
                <w:rFonts w:ascii="Times New Roman" w:hAnsi="Times New Roman" w:eastAsia="Times New Roman" w:cs="Times New Roman"/>
                <w:spacing w:val="1"/>
              </w:rPr>
              <w:t>2</w:t>
            </w:r>
            <w:r>
              <w:rPr>
                <w:rFonts w:ascii="Times New Roman" w:hAnsi="Times New Roman" w:eastAsia="Times New Roman" w:cs="Times New Roman"/>
                <w:spacing w:val="18"/>
                <w:w w:val="101"/>
              </w:rPr>
              <w:t xml:space="preserve"> </w:t>
            </w:r>
            <w:r>
              <w:rPr>
                <w:spacing w:val="1"/>
              </w:rPr>
              <w:t>天</w:t>
            </w:r>
            <w:r>
              <w:rPr>
                <w:rFonts w:ascii="Times New Roman" w:hAnsi="Times New Roman" w:eastAsia="Times New Roman" w:cs="Times New Roman"/>
                <w:spacing w:val="1"/>
              </w:rPr>
              <w:t>/</w:t>
            </w:r>
            <w:r>
              <w:rPr>
                <w:spacing w:val="1"/>
              </w:rPr>
              <w:t>期</w:t>
            </w:r>
          </w:p>
        </w:tc>
        <w:tc>
          <w:tcPr>
            <w:tcW w:w="1711" w:type="dxa"/>
            <w:vAlign w:val="top"/>
            <w:tcBorders>
              <w:right w:val="nil"/>
            </w:tcBorders>
          </w:tcPr>
          <w:p>
            <w:pPr>
              <w:pStyle w:val="TableText"/>
              <w:ind w:left="761" w:right="120" w:hanging="631"/>
              <w:spacing w:before="56" w:line="255" w:lineRule="auto"/>
              <w:rPr/>
            </w:pPr>
            <w:r>
              <w:rPr>
                <w:spacing w:val="8"/>
              </w:rPr>
              <w:t>有资质的监测单</w:t>
            </w:r>
            <w:r>
              <w:rPr/>
              <w:t>位</w:t>
            </w:r>
          </w:p>
        </w:tc>
      </w:tr>
      <w:tr>
        <w:trPr>
          <w:trHeight w:val="643" w:hRule="atLeast"/>
        </w:trPr>
        <w:tc>
          <w:tcPr>
            <w:tcW w:w="1236" w:type="dxa"/>
            <w:vAlign w:val="top"/>
            <w:tcBorders>
              <w:bottom w:val="single" w:color="000000" w:sz="10" w:space="0"/>
              <w:left w:val="nil"/>
            </w:tcBorders>
          </w:tcPr>
          <w:p>
            <w:pPr>
              <w:pStyle w:val="TableText"/>
              <w:ind w:left="210"/>
              <w:spacing w:before="224" w:line="231" w:lineRule="auto"/>
              <w:rPr/>
            </w:pPr>
            <w:r>
              <w:rPr>
                <w:spacing w:val="6"/>
              </w:rPr>
              <w:t>施工噪声</w:t>
            </w:r>
          </w:p>
        </w:tc>
        <w:tc>
          <w:tcPr>
            <w:tcW w:w="2168" w:type="dxa"/>
            <w:vAlign w:val="top"/>
            <w:tcBorders>
              <w:bottom w:val="single" w:color="000000" w:sz="10" w:space="0"/>
            </w:tcBorders>
          </w:tcPr>
          <w:p>
            <w:pPr>
              <w:pStyle w:val="TableText"/>
              <w:ind w:left="277"/>
              <w:spacing w:before="223" w:line="232" w:lineRule="auto"/>
              <w:rPr/>
            </w:pPr>
            <w:r>
              <w:rPr>
                <w:spacing w:val="2"/>
              </w:rPr>
              <w:t>施工区外围</w:t>
            </w:r>
            <w:r>
              <w:rPr>
                <w:spacing w:val="-14"/>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6"/>
              </w:rPr>
              <w:t xml:space="preserve"> </w:t>
            </w:r>
            <w:r>
              <w:rPr>
                <w:spacing w:val="2"/>
              </w:rPr>
              <w:t>处</w:t>
            </w:r>
          </w:p>
        </w:tc>
        <w:tc>
          <w:tcPr>
            <w:tcW w:w="1701" w:type="dxa"/>
            <w:vAlign w:val="top"/>
            <w:tcBorders>
              <w:bottom w:val="single" w:color="000000" w:sz="10" w:space="0"/>
            </w:tcBorders>
          </w:tcPr>
          <w:p>
            <w:pPr>
              <w:pStyle w:val="TableText"/>
              <w:ind w:left="126"/>
              <w:spacing w:before="223" w:line="232" w:lineRule="auto"/>
              <w:rPr/>
            </w:pPr>
            <w:r>
              <w:rPr>
                <w:spacing w:val="8"/>
              </w:rPr>
              <w:t>等效连续</w:t>
            </w:r>
            <w:r>
              <w:rPr>
                <w:rFonts w:ascii="Times New Roman" w:hAnsi="Times New Roman" w:eastAsia="Times New Roman" w:cs="Times New Roman"/>
                <w:spacing w:val="8"/>
              </w:rPr>
              <w:t>A </w:t>
            </w:r>
            <w:r>
              <w:rPr>
                <w:spacing w:val="8"/>
              </w:rPr>
              <w:t>声级</w:t>
            </w:r>
          </w:p>
        </w:tc>
        <w:tc>
          <w:tcPr>
            <w:tcW w:w="1708" w:type="dxa"/>
            <w:vAlign w:val="top"/>
            <w:tcBorders>
              <w:bottom w:val="single" w:color="000000" w:sz="10" w:space="0"/>
            </w:tcBorders>
          </w:tcPr>
          <w:p>
            <w:pPr>
              <w:pStyle w:val="TableText"/>
              <w:ind w:left="454"/>
              <w:spacing w:before="223" w:line="232" w:lineRule="auto"/>
              <w:rPr/>
            </w:pP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次</w:t>
            </w:r>
            <w:r>
              <w:rPr>
                <w:rFonts w:ascii="Times New Roman" w:hAnsi="Times New Roman" w:eastAsia="Times New Roman" w:cs="Times New Roman"/>
                <w:spacing w:val="-1"/>
              </w:rPr>
              <w:t>/</w:t>
            </w:r>
            <w:r>
              <w:rPr>
                <w:spacing w:val="-1"/>
              </w:rPr>
              <w:t>季度</w:t>
            </w:r>
          </w:p>
        </w:tc>
        <w:tc>
          <w:tcPr>
            <w:tcW w:w="1711" w:type="dxa"/>
            <w:vAlign w:val="top"/>
            <w:tcBorders>
              <w:bottom w:val="single" w:color="000000" w:sz="10" w:space="0"/>
              <w:right w:val="nil"/>
            </w:tcBorders>
          </w:tcPr>
          <w:p>
            <w:pPr>
              <w:pStyle w:val="TableText"/>
              <w:ind w:left="761" w:right="120" w:hanging="631"/>
              <w:spacing w:before="67" w:line="261" w:lineRule="auto"/>
              <w:rPr/>
            </w:pPr>
            <w:r>
              <w:rPr>
                <w:spacing w:val="8"/>
              </w:rPr>
              <w:t>有资质的监测单</w:t>
            </w:r>
            <w:r>
              <w:rPr/>
              <w:t>位</w:t>
            </w:r>
          </w:p>
        </w:tc>
      </w:tr>
    </w:tbl>
    <w:p>
      <w:pPr>
        <w:pStyle w:val="BodyText"/>
        <w:spacing w:line="252" w:lineRule="auto"/>
        <w:rPr/>
      </w:pPr>
      <w:r/>
    </w:p>
    <w:p>
      <w:pPr>
        <w:pStyle w:val="BodyText"/>
        <w:spacing w:line="252" w:lineRule="auto"/>
        <w:rPr/>
      </w:pPr>
      <w:r/>
    </w:p>
    <w:p>
      <w:pPr>
        <w:ind w:left="124"/>
        <w:spacing w:before="79" w:line="222" w:lineRule="auto"/>
        <w:outlineLvl w:val="2"/>
        <w:rPr>
          <w:rFonts w:ascii="FangSong" w:hAnsi="FangSong" w:eastAsia="FangSong" w:cs="FangSong"/>
          <w:sz w:val="24"/>
          <w:szCs w:val="24"/>
        </w:rPr>
      </w:pPr>
      <w:bookmarkStart w:name="bookmark429" w:id="575"/>
      <w:bookmarkEnd w:id="575"/>
      <w:bookmarkStart w:name="bookmark428" w:id="576"/>
      <w:bookmarkEnd w:id="576"/>
      <w:r>
        <w:rPr>
          <w:rFonts w:ascii="Times New Roman" w:hAnsi="Times New Roman" w:eastAsia="Times New Roman" w:cs="Times New Roman"/>
          <w:sz w:val="24"/>
          <w:szCs w:val="24"/>
          <w:b/>
          <w:bCs/>
          <w:spacing w:val="-2"/>
        </w:rPr>
        <w:t>10.8.2  </w:t>
      </w:r>
      <w:r>
        <w:rPr>
          <w:rFonts w:ascii="FangSong" w:hAnsi="FangSong" w:eastAsia="FangSong" w:cs="FangSong"/>
          <w:sz w:val="24"/>
          <w:szCs w:val="24"/>
          <w:b/>
          <w:bCs/>
          <w:spacing w:val="-2"/>
        </w:rPr>
        <w:t>运营期环境监测计划</w:t>
      </w:r>
    </w:p>
    <w:p>
      <w:pPr>
        <w:ind w:left="124"/>
        <w:spacing w:before="179" w:line="223"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10.8.2.1</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4"/>
        </w:rPr>
        <w:t>监测依据</w:t>
      </w:r>
    </w:p>
    <w:p>
      <w:pPr>
        <w:ind w:left="132" w:right="105" w:firstLine="473"/>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根据《国家重点监控企业自行监测及信息公开办法（试行</w:t>
      </w:r>
      <w:r>
        <w:rPr>
          <w:rFonts w:ascii="FangSong" w:hAnsi="FangSong" w:eastAsia="FangSong" w:cs="FangSong"/>
          <w:sz w:val="24"/>
          <w:szCs w:val="24"/>
          <w:spacing w:val="-4"/>
        </w:rPr>
        <w:t>）》、《排污单位</w:t>
      </w:r>
      <w:r>
        <w:rPr>
          <w:rFonts w:ascii="FangSong" w:hAnsi="FangSong" w:eastAsia="FangSong" w:cs="FangSong"/>
          <w:sz w:val="24"/>
          <w:szCs w:val="24"/>
        </w:rPr>
        <w:t>自行监测技术指南</w:t>
      </w:r>
      <w:r>
        <w:rPr>
          <w:rFonts w:ascii="FangSong" w:hAnsi="FangSong" w:eastAsia="FangSong" w:cs="FangSong"/>
          <w:sz w:val="24"/>
          <w:szCs w:val="24"/>
        </w:rPr>
        <w:t xml:space="preserve"> </w:t>
      </w:r>
      <w:r>
        <w:rPr>
          <w:rFonts w:ascii="FangSong" w:hAnsi="FangSong" w:eastAsia="FangSong" w:cs="FangSong"/>
          <w:sz w:val="24"/>
          <w:szCs w:val="24"/>
        </w:rPr>
        <w:t>总则》，企业可依托自有人员、场所、设备开展自行监测，</w:t>
      </w:r>
      <w:r>
        <w:rPr>
          <w:rFonts w:ascii="FangSong" w:hAnsi="FangSong" w:eastAsia="FangSong" w:cs="FangSong"/>
          <w:sz w:val="24"/>
          <w:szCs w:val="24"/>
          <w:spacing w:val="-3"/>
        </w:rPr>
        <w:t>也可委托其他检（监）测机构代其开展自行监测。本项目不</w:t>
      </w:r>
      <w:r>
        <w:rPr>
          <w:rFonts w:ascii="FangSong" w:hAnsi="FangSong" w:eastAsia="FangSong" w:cs="FangSong"/>
          <w:sz w:val="24"/>
          <w:szCs w:val="24"/>
          <w:spacing w:val="-4"/>
        </w:rPr>
        <w:t>属于国家重点监控企</w:t>
      </w:r>
    </w:p>
    <w:p>
      <w:pPr>
        <w:spacing w:line="360" w:lineRule="auto"/>
        <w:sectPr>
          <w:footerReference w:type="default" r:id="rId390"/>
          <w:pgSz w:w="11906" w:h="16839"/>
          <w:pgMar w:top="400" w:right="1691" w:bottom="1358" w:left="1689"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54" w:right="6" w:hanging="30"/>
        <w:spacing w:before="78" w:line="360" w:lineRule="auto"/>
        <w:rPr>
          <w:rFonts w:ascii="FangSong" w:hAnsi="FangSong" w:eastAsia="FangSong" w:cs="FangSong"/>
          <w:sz w:val="24"/>
          <w:szCs w:val="24"/>
        </w:rPr>
      </w:pPr>
      <w:r>
        <w:rPr>
          <w:rFonts w:ascii="FangSong" w:hAnsi="FangSong" w:eastAsia="FangSong" w:cs="FangSong"/>
          <w:sz w:val="24"/>
          <w:szCs w:val="24"/>
          <w:spacing w:val="-11"/>
        </w:rPr>
        <w:t>业。因此，本工程监测项目参照《排污单位自行监测技术指南总则》</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HJ819-2017</w:t>
      </w:r>
      <w:r>
        <w:rPr>
          <w:rFonts w:ascii="FangSong" w:hAnsi="FangSong" w:eastAsia="FangSong" w:cs="FangSong"/>
          <w:sz w:val="24"/>
          <w:szCs w:val="24"/>
          <w:spacing w:val="-12"/>
        </w:rPr>
        <w:t>）</w:t>
      </w:r>
      <w:r>
        <w:rPr>
          <w:rFonts w:ascii="FangSong" w:hAnsi="FangSong" w:eastAsia="FangSong" w:cs="FangSong"/>
          <w:sz w:val="24"/>
          <w:szCs w:val="24"/>
          <w:spacing w:val="-5"/>
        </w:rPr>
        <w:t>中非重点排污单位进行。</w:t>
      </w:r>
    </w:p>
    <w:p>
      <w:pPr>
        <w:ind w:left="124"/>
        <w:spacing w:line="222" w:lineRule="auto"/>
        <w:outlineLvl w:val="3"/>
        <w:rPr>
          <w:rFonts w:ascii="FangSong" w:hAnsi="FangSong" w:eastAsia="FangSong" w:cs="FangSong"/>
          <w:sz w:val="24"/>
          <w:szCs w:val="24"/>
        </w:rPr>
      </w:pPr>
      <w:r>
        <w:rPr>
          <w:rFonts w:ascii="Times New Roman" w:hAnsi="Times New Roman" w:eastAsia="Times New Roman" w:cs="Times New Roman"/>
          <w:sz w:val="24"/>
          <w:szCs w:val="24"/>
          <w:b/>
          <w:bCs/>
          <w:spacing w:val="-4"/>
        </w:rPr>
        <w:t>10.8.2.2</w:t>
      </w:r>
      <w:r>
        <w:rPr>
          <w:rFonts w:ascii="Times New Roman" w:hAnsi="Times New Roman" w:eastAsia="Times New Roman" w:cs="Times New Roman"/>
          <w:sz w:val="24"/>
          <w:szCs w:val="24"/>
          <w:b/>
          <w:bCs/>
          <w:spacing w:val="11"/>
        </w:rPr>
        <w:t xml:space="preserve">  </w:t>
      </w:r>
      <w:r>
        <w:rPr>
          <w:rFonts w:ascii="FangSong" w:hAnsi="FangSong" w:eastAsia="FangSong" w:cs="FangSong"/>
          <w:sz w:val="24"/>
          <w:szCs w:val="24"/>
          <w:b/>
          <w:bCs/>
          <w:spacing w:val="-4"/>
        </w:rPr>
        <w:t>监测计划</w:t>
      </w:r>
    </w:p>
    <w:p>
      <w:pPr>
        <w:ind w:left="125" w:right="105" w:firstLine="487"/>
        <w:spacing w:before="178" w:line="360" w:lineRule="auto"/>
        <w:jc w:val="both"/>
        <w:rPr>
          <w:rFonts w:ascii="FangSong" w:hAnsi="FangSong" w:eastAsia="FangSong" w:cs="FangSong"/>
          <w:sz w:val="24"/>
          <w:szCs w:val="24"/>
        </w:rPr>
      </w:pPr>
      <w:r>
        <w:rPr>
          <w:rFonts w:ascii="FangSong" w:hAnsi="FangSong" w:eastAsia="FangSong" w:cs="FangSong"/>
          <w:sz w:val="24"/>
          <w:szCs w:val="24"/>
          <w:spacing w:val="-4"/>
        </w:rPr>
        <w:t>为掌握本项目对环境影响及区域环境质量变化的趋势，应建立污染源及污染</w:t>
      </w:r>
      <w:r>
        <w:rPr>
          <w:rFonts w:ascii="FangSong" w:hAnsi="FangSong" w:eastAsia="FangSong" w:cs="FangSong"/>
          <w:sz w:val="24"/>
          <w:szCs w:val="24"/>
          <w:spacing w:val="-3"/>
        </w:rPr>
        <w:t>物监测制度，以保证环保措施的实施和落实，及时发现环保措施的不足，进</w:t>
      </w:r>
      <w:r>
        <w:rPr>
          <w:rFonts w:ascii="FangSong" w:hAnsi="FangSong" w:eastAsia="FangSong" w:cs="FangSong"/>
          <w:sz w:val="24"/>
          <w:szCs w:val="24"/>
          <w:spacing w:val="-4"/>
        </w:rPr>
        <w:t>行修</w:t>
      </w:r>
      <w:r>
        <w:rPr>
          <w:rFonts w:ascii="FangSong" w:hAnsi="FangSong" w:eastAsia="FangSong" w:cs="FangSong"/>
          <w:sz w:val="24"/>
          <w:szCs w:val="24"/>
          <w:spacing w:val="-4"/>
        </w:rPr>
        <w:t>正和改进。</w:t>
      </w:r>
    </w:p>
    <w:p>
      <w:pPr>
        <w:ind w:left="609"/>
        <w:spacing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）环境质量监测</w:t>
      </w:r>
    </w:p>
    <w:p>
      <w:pPr>
        <w:ind w:left="605"/>
        <w:spacing w:before="179" w:line="222" w:lineRule="auto"/>
        <w:rPr>
          <w:rFonts w:ascii="FangSong" w:hAnsi="FangSong" w:eastAsia="FangSong" w:cs="FangSong"/>
          <w:sz w:val="24"/>
          <w:szCs w:val="24"/>
        </w:rPr>
      </w:pPr>
      <w:r>
        <w:rPr>
          <w:rFonts w:ascii="FangSong" w:hAnsi="FangSong" w:eastAsia="FangSong" w:cs="FangSong"/>
          <w:sz w:val="24"/>
          <w:szCs w:val="24"/>
          <w:spacing w:val="-3"/>
        </w:rPr>
        <w:t>本项目环境质量监测计划见表</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3"/>
        </w:rPr>
        <w:t>10.8-2</w:t>
      </w:r>
      <w:r>
        <w:rPr>
          <w:rFonts w:ascii="FangSong" w:hAnsi="FangSong" w:eastAsia="FangSong" w:cs="FangSong"/>
          <w:sz w:val="24"/>
          <w:szCs w:val="24"/>
          <w:spacing w:val="-3"/>
        </w:rPr>
        <w:t>。</w:t>
      </w:r>
    </w:p>
    <w:p>
      <w:pPr>
        <w:ind w:left="2435"/>
        <w:spacing w:before="180"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b/>
          <w:bCs/>
          <w:spacing w:val="-3"/>
        </w:rPr>
        <w:t>10.8-2  </w:t>
      </w:r>
      <w:r>
        <w:rPr>
          <w:rFonts w:ascii="FangSong" w:hAnsi="FangSong" w:eastAsia="FangSong" w:cs="FangSong"/>
          <w:sz w:val="24"/>
          <w:szCs w:val="24"/>
          <w:b/>
          <w:bCs/>
          <w:spacing w:val="-3"/>
        </w:rPr>
        <w:t>环境质量监测计划一览表</w:t>
      </w:r>
    </w:p>
    <w:p>
      <w:pPr>
        <w:spacing w:line="65" w:lineRule="exact"/>
        <w:rPr/>
      </w:pPr>
      <w:r/>
    </w:p>
    <w:tbl>
      <w:tblPr>
        <w:tblStyle w:val="TableNormal"/>
        <w:tblW w:w="852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4"/>
        <w:gridCol w:w="1206"/>
        <w:gridCol w:w="1388"/>
        <w:gridCol w:w="962"/>
        <w:gridCol w:w="3864"/>
      </w:tblGrid>
      <w:tr>
        <w:trPr>
          <w:trHeight w:val="629" w:hRule="atLeast"/>
        </w:trPr>
        <w:tc>
          <w:tcPr>
            <w:tcW w:w="1104" w:type="dxa"/>
            <w:vAlign w:val="top"/>
            <w:tcBorders>
              <w:left w:val="nil"/>
              <w:top w:val="single" w:color="000000" w:sz="10" w:space="0"/>
            </w:tcBorders>
          </w:tcPr>
          <w:p>
            <w:pPr>
              <w:pStyle w:val="TableText"/>
              <w:ind w:left="152"/>
              <w:spacing w:before="211" w:line="232" w:lineRule="auto"/>
              <w:rPr/>
            </w:pPr>
            <w:r>
              <w:rPr>
                <w:spacing w:val="4"/>
              </w:rPr>
              <w:t>监测要素</w:t>
            </w:r>
          </w:p>
        </w:tc>
        <w:tc>
          <w:tcPr>
            <w:tcW w:w="1206" w:type="dxa"/>
            <w:vAlign w:val="top"/>
            <w:tcBorders>
              <w:top w:val="single" w:color="000000" w:sz="10" w:space="0"/>
            </w:tcBorders>
          </w:tcPr>
          <w:p>
            <w:pPr>
              <w:pStyle w:val="TableText"/>
              <w:ind w:left="200"/>
              <w:spacing w:before="211" w:line="230" w:lineRule="auto"/>
              <w:rPr/>
            </w:pPr>
            <w:r>
              <w:rPr>
                <w:spacing w:val="4"/>
              </w:rPr>
              <w:t>监测点位</w:t>
            </w:r>
          </w:p>
        </w:tc>
        <w:tc>
          <w:tcPr>
            <w:tcW w:w="1388" w:type="dxa"/>
            <w:vAlign w:val="top"/>
            <w:tcBorders>
              <w:top w:val="single" w:color="000000" w:sz="10" w:space="0"/>
            </w:tcBorders>
          </w:tcPr>
          <w:p>
            <w:pPr>
              <w:pStyle w:val="TableText"/>
              <w:ind w:left="292"/>
              <w:spacing w:before="211" w:line="232" w:lineRule="auto"/>
              <w:rPr/>
            </w:pPr>
            <w:r>
              <w:rPr>
                <w:spacing w:val="4"/>
              </w:rPr>
              <w:t>监测因子</w:t>
            </w:r>
          </w:p>
        </w:tc>
        <w:tc>
          <w:tcPr>
            <w:tcW w:w="962" w:type="dxa"/>
            <w:vAlign w:val="top"/>
            <w:tcBorders>
              <w:top w:val="single" w:color="000000" w:sz="10" w:space="0"/>
            </w:tcBorders>
          </w:tcPr>
          <w:p>
            <w:pPr>
              <w:pStyle w:val="TableText"/>
              <w:ind w:left="388" w:right="163" w:hanging="205"/>
              <w:spacing w:before="55" w:line="260" w:lineRule="auto"/>
              <w:rPr/>
            </w:pPr>
            <w:r>
              <w:rPr>
                <w:spacing w:val="3"/>
              </w:rPr>
              <w:t>监测频</w:t>
            </w:r>
            <w:r>
              <w:rPr/>
              <w:t>次</w:t>
            </w:r>
          </w:p>
        </w:tc>
        <w:tc>
          <w:tcPr>
            <w:tcW w:w="3864" w:type="dxa"/>
            <w:vAlign w:val="top"/>
            <w:tcBorders>
              <w:right w:val="nil"/>
              <w:top w:val="single" w:color="000000" w:sz="10" w:space="0"/>
            </w:tcBorders>
          </w:tcPr>
          <w:p>
            <w:pPr>
              <w:pStyle w:val="TableText"/>
              <w:ind w:left="1524"/>
              <w:spacing w:before="212" w:line="229" w:lineRule="auto"/>
              <w:rPr/>
            </w:pPr>
            <w:r>
              <w:rPr>
                <w:spacing w:val="6"/>
              </w:rPr>
              <w:t>执行标准</w:t>
            </w:r>
          </w:p>
        </w:tc>
      </w:tr>
      <w:tr>
        <w:trPr>
          <w:trHeight w:val="670" w:hRule="atLeast"/>
        </w:trPr>
        <w:tc>
          <w:tcPr>
            <w:tcW w:w="1104" w:type="dxa"/>
            <w:vAlign w:val="top"/>
            <w:tcBorders>
              <w:left w:val="nil"/>
            </w:tcBorders>
          </w:tcPr>
          <w:p>
            <w:pPr>
              <w:pStyle w:val="TableText"/>
              <w:ind w:left="146"/>
              <w:spacing w:before="235" w:line="231" w:lineRule="auto"/>
              <w:rPr/>
            </w:pPr>
            <w:r>
              <w:rPr>
                <w:spacing w:val="5"/>
              </w:rPr>
              <w:t>环境空气</w:t>
            </w:r>
          </w:p>
        </w:tc>
        <w:tc>
          <w:tcPr>
            <w:tcW w:w="1206" w:type="dxa"/>
            <w:vAlign w:val="top"/>
          </w:tcPr>
          <w:p>
            <w:pPr>
              <w:pStyle w:val="TableText"/>
              <w:ind w:left="120" w:right="105" w:firstLine="74"/>
              <w:spacing w:before="79" w:line="268" w:lineRule="auto"/>
              <w:rPr/>
            </w:pPr>
            <w:r>
              <w:rPr>
                <w:spacing w:val="5"/>
              </w:rPr>
              <w:t>项目所在</w:t>
            </w:r>
            <w:r>
              <w:rPr>
                <w:spacing w:val="-6"/>
              </w:rPr>
              <w:t>地、下风向</w:t>
            </w:r>
          </w:p>
        </w:tc>
        <w:tc>
          <w:tcPr>
            <w:tcW w:w="1388" w:type="dxa"/>
            <w:vAlign w:val="top"/>
          </w:tcPr>
          <w:p>
            <w:pPr>
              <w:pStyle w:val="TableText"/>
              <w:ind w:left="397" w:right="154" w:hanging="277"/>
              <w:spacing w:before="116" w:line="251" w:lineRule="auto"/>
              <w:rPr/>
            </w:pPr>
            <w:r>
              <w:rPr>
                <w:rFonts w:ascii="Times New Roman" w:hAnsi="Times New Roman" w:eastAsia="Times New Roman" w:cs="Times New Roman"/>
                <w:spacing w:val="-3"/>
              </w:rPr>
              <w:t>TSP</w:t>
            </w:r>
            <w:r>
              <w:rPr>
                <w:rFonts w:ascii="Times New Roman" w:hAnsi="Times New Roman" w:eastAsia="Times New Roman" w:cs="Times New Roman"/>
                <w:spacing w:val="-18"/>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z w:val="13"/>
                <w:szCs w:val="13"/>
                <w:spacing w:val="-3"/>
                <w:position w:val="-1"/>
              </w:rPr>
              <w:t>x</w:t>
            </w:r>
            <w:r>
              <w:rPr>
                <w:spacing w:val="-3"/>
              </w:rPr>
              <w:t>、</w:t>
            </w:r>
            <w:r>
              <w:rPr>
                <w:spacing w:val="3"/>
              </w:rPr>
              <w:t>氟化物</w:t>
            </w:r>
          </w:p>
        </w:tc>
        <w:tc>
          <w:tcPr>
            <w:tcW w:w="962" w:type="dxa"/>
            <w:vAlign w:val="top"/>
          </w:tcPr>
          <w:p>
            <w:pPr>
              <w:pStyle w:val="TableText"/>
              <w:ind w:left="186"/>
              <w:spacing w:before="235" w:line="231" w:lineRule="auto"/>
              <w:rPr/>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年</w:t>
            </w:r>
          </w:p>
        </w:tc>
        <w:tc>
          <w:tcPr>
            <w:tcW w:w="3864" w:type="dxa"/>
            <w:vAlign w:val="top"/>
            <w:tcBorders>
              <w:right w:val="nil"/>
            </w:tcBorders>
          </w:tcPr>
          <w:p>
            <w:pPr>
              <w:pStyle w:val="TableText"/>
              <w:ind w:left="120"/>
              <w:spacing w:before="235" w:line="231" w:lineRule="auto"/>
              <w:rPr/>
            </w:pPr>
            <w:r>
              <w:rPr>
                <w:spacing w:val="7"/>
              </w:rPr>
              <w:t>《环境空气质量标准》（</w:t>
            </w:r>
            <w:r>
              <w:rPr>
                <w:rFonts w:ascii="Times New Roman" w:hAnsi="Times New Roman" w:eastAsia="Times New Roman" w:cs="Times New Roman"/>
              </w:rPr>
              <w:t>GB</w:t>
            </w:r>
            <w:r>
              <w:rPr>
                <w:rFonts w:ascii="Times New Roman" w:hAnsi="Times New Roman" w:eastAsia="Times New Roman" w:cs="Times New Roman"/>
                <w:spacing w:val="7"/>
              </w:rPr>
              <w:t>3095-2012</w:t>
            </w:r>
            <w:r>
              <w:rPr>
                <w:spacing w:val="7"/>
              </w:rPr>
              <w:t>）</w:t>
            </w:r>
          </w:p>
        </w:tc>
      </w:tr>
      <w:tr>
        <w:trPr>
          <w:trHeight w:val="323" w:hRule="atLeast"/>
        </w:trPr>
        <w:tc>
          <w:tcPr>
            <w:tcW w:w="1104" w:type="dxa"/>
            <w:vAlign w:val="top"/>
            <w:tcBorders>
              <w:left w:val="nil"/>
            </w:tcBorders>
          </w:tcPr>
          <w:p>
            <w:pPr>
              <w:pStyle w:val="TableText"/>
              <w:ind w:left="250"/>
              <w:spacing w:before="63" w:line="230" w:lineRule="auto"/>
              <w:rPr/>
            </w:pPr>
            <w:r>
              <w:rPr>
                <w:spacing w:val="4"/>
              </w:rPr>
              <w:t>地下水</w:t>
            </w:r>
          </w:p>
        </w:tc>
        <w:tc>
          <w:tcPr>
            <w:tcW w:w="3556" w:type="dxa"/>
            <w:vAlign w:val="top"/>
            <w:gridSpan w:val="3"/>
          </w:tcPr>
          <w:p>
            <w:pPr>
              <w:pStyle w:val="TableText"/>
              <w:ind w:left="1134"/>
              <w:spacing w:before="63" w:line="230" w:lineRule="auto"/>
              <w:rPr/>
            </w:pPr>
            <w:r>
              <w:rPr>
                <w:spacing w:val="1"/>
              </w:rPr>
              <w:t>见</w:t>
            </w:r>
            <w:r>
              <w:rPr>
                <w:spacing w:val="-36"/>
              </w:rPr>
              <w:t xml:space="preserve"> </w:t>
            </w:r>
            <w:r>
              <w:rPr>
                <w:rFonts w:ascii="Times New Roman" w:hAnsi="Times New Roman" w:eastAsia="Times New Roman" w:cs="Times New Roman"/>
                <w:spacing w:val="1"/>
              </w:rPr>
              <w:t>7.2.5.3</w:t>
            </w:r>
            <w:r>
              <w:rPr>
                <w:rFonts w:ascii="Times New Roman" w:hAnsi="Times New Roman" w:eastAsia="Times New Roman" w:cs="Times New Roman"/>
                <w:spacing w:val="20"/>
              </w:rPr>
              <w:t xml:space="preserve"> </w:t>
            </w:r>
            <w:r>
              <w:rPr>
                <w:spacing w:val="1"/>
              </w:rPr>
              <w:t>章节</w:t>
            </w:r>
          </w:p>
        </w:tc>
        <w:tc>
          <w:tcPr>
            <w:tcW w:w="3864" w:type="dxa"/>
            <w:vAlign w:val="top"/>
            <w:tcBorders>
              <w:right w:val="nil"/>
            </w:tcBorders>
          </w:tcPr>
          <w:p>
            <w:pPr>
              <w:pStyle w:val="TableText"/>
              <w:ind w:right="13"/>
              <w:spacing w:before="63" w:line="230" w:lineRule="auto"/>
              <w:jc w:val="right"/>
              <w:rPr/>
            </w:pPr>
            <w:r>
              <w:rPr>
                <w:spacing w:val="4"/>
              </w:rPr>
              <w:t>《地下水质量标准》（</w:t>
            </w:r>
            <w:r>
              <w:rPr>
                <w:rFonts w:ascii="Times New Roman" w:hAnsi="Times New Roman" w:eastAsia="Times New Roman" w:cs="Times New Roman"/>
              </w:rPr>
              <w:t>GB</w:t>
            </w:r>
            <w:r>
              <w:rPr>
                <w:rFonts w:ascii="Times New Roman" w:hAnsi="Times New Roman" w:eastAsia="Times New Roman" w:cs="Times New Roman"/>
                <w:spacing w:val="4"/>
              </w:rPr>
              <w:t>/T14848-2017</w:t>
            </w:r>
            <w:r>
              <w:rPr>
                <w:spacing w:val="4"/>
              </w:rPr>
              <w:t>）</w:t>
            </w:r>
          </w:p>
        </w:tc>
      </w:tr>
      <w:tr>
        <w:trPr>
          <w:trHeight w:val="1244" w:hRule="atLeast"/>
        </w:trPr>
        <w:tc>
          <w:tcPr>
            <w:tcW w:w="1104" w:type="dxa"/>
            <w:vAlign w:val="top"/>
            <w:tcBorders>
              <w:left w:val="nil"/>
            </w:tcBorders>
          </w:tcPr>
          <w:p>
            <w:pPr>
              <w:spacing w:line="463" w:lineRule="auto"/>
              <w:rPr>
                <w:rFonts w:ascii="Arial"/>
                <w:sz w:val="21"/>
              </w:rPr>
            </w:pPr>
            <w:r/>
          </w:p>
          <w:p>
            <w:pPr>
              <w:pStyle w:val="TableText"/>
              <w:ind w:left="357"/>
              <w:spacing w:before="65" w:line="232" w:lineRule="auto"/>
              <w:rPr/>
            </w:pPr>
            <w:r>
              <w:rPr/>
              <w:t>土壤</w:t>
            </w:r>
          </w:p>
        </w:tc>
        <w:tc>
          <w:tcPr>
            <w:tcW w:w="3556" w:type="dxa"/>
            <w:vAlign w:val="top"/>
            <w:gridSpan w:val="3"/>
          </w:tcPr>
          <w:p>
            <w:pPr>
              <w:spacing w:line="462" w:lineRule="auto"/>
              <w:rPr>
                <w:rFonts w:ascii="Arial"/>
                <w:sz w:val="21"/>
              </w:rPr>
            </w:pPr>
            <w:r/>
          </w:p>
          <w:p>
            <w:pPr>
              <w:pStyle w:val="TableText"/>
              <w:ind w:left="1134"/>
              <w:spacing w:before="65" w:line="230" w:lineRule="auto"/>
              <w:rPr/>
            </w:pPr>
            <w:r>
              <w:rPr>
                <w:spacing w:val="1"/>
              </w:rPr>
              <w:t>见</w:t>
            </w:r>
            <w:r>
              <w:rPr>
                <w:spacing w:val="-36"/>
              </w:rPr>
              <w:t xml:space="preserve"> </w:t>
            </w:r>
            <w:r>
              <w:rPr>
                <w:rFonts w:ascii="Times New Roman" w:hAnsi="Times New Roman" w:eastAsia="Times New Roman" w:cs="Times New Roman"/>
                <w:spacing w:val="1"/>
              </w:rPr>
              <w:t>7.2.6.3</w:t>
            </w:r>
            <w:r>
              <w:rPr>
                <w:rFonts w:ascii="Times New Roman" w:hAnsi="Times New Roman" w:eastAsia="Times New Roman" w:cs="Times New Roman"/>
                <w:spacing w:val="20"/>
              </w:rPr>
              <w:t xml:space="preserve"> </w:t>
            </w:r>
            <w:r>
              <w:rPr>
                <w:spacing w:val="1"/>
              </w:rPr>
              <w:t>章节</w:t>
            </w:r>
          </w:p>
        </w:tc>
        <w:tc>
          <w:tcPr>
            <w:tcW w:w="3864" w:type="dxa"/>
            <w:vAlign w:val="top"/>
            <w:tcBorders>
              <w:right w:val="nil"/>
            </w:tcBorders>
          </w:tcPr>
          <w:p>
            <w:pPr>
              <w:pStyle w:val="TableText"/>
              <w:ind w:left="146" w:right="143" w:firstLine="12"/>
              <w:spacing w:before="64" w:line="270" w:lineRule="auto"/>
              <w:jc w:val="both"/>
              <w:rPr/>
            </w:pPr>
            <w:r>
              <w:rPr>
                <w:spacing w:val="9"/>
              </w:rPr>
              <w:t>《土壤环境质量建设用地土壤污染风险</w:t>
            </w:r>
            <w:r>
              <w:rPr>
                <w:spacing w:val="6"/>
              </w:rPr>
              <w:t>管控标准（试行）》（</w:t>
            </w:r>
            <w:r>
              <w:rPr>
                <w:rFonts w:ascii="Times New Roman" w:hAnsi="Times New Roman" w:eastAsia="Times New Roman" w:cs="Times New Roman"/>
              </w:rPr>
              <w:t>GB</w:t>
            </w:r>
            <w:r>
              <w:rPr>
                <w:rFonts w:ascii="Times New Roman" w:hAnsi="Times New Roman" w:eastAsia="Times New Roman" w:cs="Times New Roman"/>
                <w:spacing w:val="6"/>
              </w:rPr>
              <w:t>36600-2018</w:t>
            </w:r>
            <w:r>
              <w:rPr>
                <w:spacing w:val="6"/>
              </w:rPr>
              <w:t>）</w:t>
            </w:r>
            <w:r>
              <w:rPr/>
              <w:t xml:space="preserve"> </w:t>
            </w:r>
            <w:r>
              <w:rPr>
                <w:spacing w:val="9"/>
              </w:rPr>
              <w:t>《土壤环境质量农用地土壤污染风险管</w:t>
            </w:r>
            <w:r>
              <w:rPr>
                <w:spacing w:val="11"/>
              </w:rPr>
              <w:t>控标准（试行）》（</w:t>
            </w:r>
            <w:r>
              <w:rPr>
                <w:rFonts w:ascii="Times New Roman" w:hAnsi="Times New Roman" w:eastAsia="Times New Roman" w:cs="Times New Roman"/>
              </w:rPr>
              <w:t>GB</w:t>
            </w:r>
            <w:r>
              <w:rPr>
                <w:rFonts w:ascii="Times New Roman" w:hAnsi="Times New Roman" w:eastAsia="Times New Roman" w:cs="Times New Roman"/>
                <w:spacing w:val="11"/>
              </w:rPr>
              <w:t>15618-2018</w:t>
            </w:r>
            <w:r>
              <w:rPr>
                <w:spacing w:val="11"/>
              </w:rPr>
              <w:t>）</w:t>
            </w:r>
          </w:p>
        </w:tc>
      </w:tr>
      <w:tr>
        <w:trPr>
          <w:trHeight w:val="719" w:hRule="atLeast"/>
        </w:trPr>
        <w:tc>
          <w:tcPr>
            <w:tcW w:w="1104" w:type="dxa"/>
            <w:vAlign w:val="top"/>
            <w:tcBorders>
              <w:left w:val="nil"/>
              <w:bottom w:val="single" w:color="000000" w:sz="10" w:space="0"/>
            </w:tcBorders>
          </w:tcPr>
          <w:p>
            <w:pPr>
              <w:pStyle w:val="TableText"/>
              <w:ind w:left="364"/>
              <w:spacing w:before="263" w:line="231" w:lineRule="auto"/>
              <w:rPr/>
            </w:pPr>
            <w:r>
              <w:rPr>
                <w:spacing w:val="-3"/>
              </w:rPr>
              <w:t>噪声</w:t>
            </w:r>
          </w:p>
        </w:tc>
        <w:tc>
          <w:tcPr>
            <w:tcW w:w="1206" w:type="dxa"/>
            <w:vAlign w:val="top"/>
            <w:tcBorders>
              <w:bottom w:val="single" w:color="000000" w:sz="10" w:space="0"/>
            </w:tcBorders>
          </w:tcPr>
          <w:p>
            <w:pPr>
              <w:pStyle w:val="TableText"/>
              <w:ind w:left="193"/>
              <w:spacing w:before="262" w:line="232" w:lineRule="auto"/>
              <w:rPr/>
            </w:pPr>
            <w:r>
              <w:rPr>
                <w:spacing w:val="6"/>
              </w:rPr>
              <w:t>厂界四周</w:t>
            </w:r>
          </w:p>
        </w:tc>
        <w:tc>
          <w:tcPr>
            <w:tcW w:w="1388" w:type="dxa"/>
            <w:vAlign w:val="top"/>
            <w:tcBorders>
              <w:bottom w:val="single" w:color="000000" w:sz="10" w:space="0"/>
            </w:tcBorders>
          </w:tcPr>
          <w:p>
            <w:pPr>
              <w:pStyle w:val="TableText"/>
              <w:ind w:left="493" w:right="169" w:hanging="303"/>
              <w:spacing w:before="106" w:line="278" w:lineRule="auto"/>
              <w:rPr/>
            </w:pPr>
            <w:r>
              <w:rPr>
                <w:spacing w:val="4"/>
              </w:rPr>
              <w:t>等效连续</w:t>
            </w:r>
            <w:r>
              <w:rPr>
                <w:spacing w:val="-44"/>
              </w:rPr>
              <w:t xml:space="preserve"> </w:t>
            </w:r>
            <w:r>
              <w:rPr>
                <w:rFonts w:ascii="Times New Roman" w:hAnsi="Times New Roman" w:eastAsia="Times New Roman" w:cs="Times New Roman"/>
                <w:spacing w:val="4"/>
              </w:rPr>
              <w:t>A</w:t>
            </w:r>
            <w:r>
              <w:rPr>
                <w:spacing w:val="2"/>
              </w:rPr>
              <w:t>声级</w:t>
            </w:r>
          </w:p>
        </w:tc>
        <w:tc>
          <w:tcPr>
            <w:tcW w:w="962" w:type="dxa"/>
            <w:vAlign w:val="top"/>
            <w:tcBorders>
              <w:bottom w:val="single" w:color="000000" w:sz="10" w:space="0"/>
            </w:tcBorders>
          </w:tcPr>
          <w:p>
            <w:pPr>
              <w:pStyle w:val="TableText"/>
              <w:ind w:left="388" w:right="161" w:hanging="202"/>
              <w:spacing w:before="106" w:line="278" w:lineRule="auto"/>
              <w:rPr/>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季</w:t>
            </w:r>
            <w:r>
              <w:rPr/>
              <w:t>度</w:t>
            </w:r>
          </w:p>
        </w:tc>
        <w:tc>
          <w:tcPr>
            <w:tcW w:w="3864" w:type="dxa"/>
            <w:vAlign w:val="top"/>
            <w:tcBorders>
              <w:right w:val="nil"/>
              <w:bottom w:val="single" w:color="000000" w:sz="10" w:space="0"/>
            </w:tcBorders>
          </w:tcPr>
          <w:p>
            <w:pPr>
              <w:pStyle w:val="TableText"/>
              <w:ind w:left="120"/>
              <w:spacing w:before="107" w:line="231" w:lineRule="auto"/>
              <w:rPr>
                <w:rFonts w:ascii="Times New Roman" w:hAnsi="Times New Roman" w:eastAsia="Times New Roman" w:cs="Times New Roman"/>
              </w:rPr>
            </w:pPr>
            <w:r>
              <w:rPr>
                <w:spacing w:val="7"/>
              </w:rPr>
              <w:t>《声环境质量标准》（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r>
              <w:rPr>
                <w:rFonts w:ascii="Times New Roman" w:hAnsi="Times New Roman" w:eastAsia="Times New Roman" w:cs="Times New Roman"/>
                <w:spacing w:val="7"/>
              </w:rPr>
              <w:t>3</w:t>
            </w:r>
          </w:p>
          <w:p>
            <w:pPr>
              <w:pStyle w:val="TableText"/>
              <w:ind w:left="1527"/>
              <w:spacing w:before="61" w:line="231" w:lineRule="auto"/>
              <w:rPr/>
            </w:pPr>
            <w:r>
              <w:rPr>
                <w:spacing w:val="5"/>
              </w:rPr>
              <w:t>类区标准</w:t>
            </w:r>
          </w:p>
        </w:tc>
      </w:tr>
    </w:tbl>
    <w:p>
      <w:pPr>
        <w:pStyle w:val="BodyText"/>
        <w:spacing w:line="251" w:lineRule="auto"/>
        <w:rPr/>
      </w:pPr>
      <w:r/>
    </w:p>
    <w:p>
      <w:pPr>
        <w:pStyle w:val="BodyText"/>
        <w:spacing w:line="251" w:lineRule="auto"/>
        <w:rPr/>
      </w:pPr>
      <w:r/>
    </w:p>
    <w:p>
      <w:pPr>
        <w:ind w:left="124" w:right="105" w:firstLine="510"/>
        <w:spacing w:before="78" w:line="360" w:lineRule="auto"/>
        <w:jc w:val="both"/>
        <w:rPr>
          <w:rFonts w:ascii="FangSong" w:hAnsi="FangSong" w:eastAsia="FangSong" w:cs="FangSong"/>
          <w:sz w:val="24"/>
          <w:szCs w:val="24"/>
        </w:rPr>
      </w:pPr>
      <w:r>
        <w:rPr>
          <w:rFonts w:ascii="FangSong" w:hAnsi="FangSong" w:eastAsia="FangSong" w:cs="FangSong"/>
          <w:sz w:val="24"/>
          <w:szCs w:val="24"/>
          <w:spacing w:val="-4"/>
        </w:rPr>
        <w:t>由于环境监测涉及专业人员较多，而企业难以配齐符合环境监测</w:t>
      </w:r>
      <w:r>
        <w:rPr>
          <w:rFonts w:ascii="FangSong" w:hAnsi="FangSong" w:eastAsia="FangSong" w:cs="FangSong"/>
          <w:sz w:val="24"/>
          <w:szCs w:val="24"/>
          <w:spacing w:val="-5"/>
        </w:rPr>
        <w:t>要求的人员</w:t>
      </w:r>
      <w:r>
        <w:rPr>
          <w:rFonts w:ascii="FangSong" w:hAnsi="FangSong" w:eastAsia="FangSong" w:cs="FangSong"/>
          <w:sz w:val="24"/>
          <w:szCs w:val="24"/>
          <w:spacing w:val="-3"/>
        </w:rPr>
        <w:t>和仪器设备，同时监测次数不多，鉴于上述情况，项目环境监测可委托当地有资</w:t>
      </w:r>
      <w:r>
        <w:rPr>
          <w:rFonts w:ascii="FangSong" w:hAnsi="FangSong" w:eastAsia="FangSong" w:cs="FangSong"/>
          <w:sz w:val="24"/>
          <w:szCs w:val="24"/>
          <w:spacing w:val="-2"/>
        </w:rPr>
        <w:t>质单位来承担监测任务。</w:t>
      </w:r>
    </w:p>
    <w:p>
      <w:pPr>
        <w:ind w:left="609"/>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）污染源监测</w:t>
      </w:r>
    </w:p>
    <w:p>
      <w:pPr>
        <w:ind w:left="148" w:right="39" w:firstLine="456"/>
        <w:spacing w:before="179" w:line="360" w:lineRule="auto"/>
        <w:rPr>
          <w:rFonts w:ascii="FangSong" w:hAnsi="FangSong" w:eastAsia="FangSong" w:cs="FangSong"/>
          <w:sz w:val="24"/>
          <w:szCs w:val="24"/>
        </w:rPr>
      </w:pPr>
      <w:r>
        <w:rPr>
          <w:rFonts w:ascii="FangSong" w:hAnsi="FangSong" w:eastAsia="FangSong" w:cs="FangSong"/>
          <w:sz w:val="24"/>
          <w:szCs w:val="24"/>
          <w:spacing w:val="-8"/>
        </w:rPr>
        <w:t>本项目建设后，潜在着对区域环境质量的影响，尤其是</w:t>
      </w:r>
      <w:r>
        <w:rPr>
          <w:rFonts w:ascii="FangSong" w:hAnsi="FangSong" w:eastAsia="FangSong" w:cs="FangSong"/>
          <w:sz w:val="24"/>
          <w:szCs w:val="24"/>
          <w:spacing w:val="-9"/>
        </w:rPr>
        <w:t>事故和非正常工况下，</w:t>
      </w:r>
      <w:r>
        <w:rPr>
          <w:rFonts w:ascii="FangSong" w:hAnsi="FangSong" w:eastAsia="FangSong" w:cs="FangSong"/>
          <w:sz w:val="24"/>
          <w:szCs w:val="24"/>
          <w:spacing w:val="-3"/>
        </w:rPr>
        <w:t>因此应加强对污染物的监测，监测方案见表</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3"/>
        </w:rPr>
        <w:t>10.8-3</w:t>
      </w:r>
      <w:r>
        <w:rPr>
          <w:rFonts w:ascii="FangSong" w:hAnsi="FangSong" w:eastAsia="FangSong" w:cs="FangSong"/>
          <w:sz w:val="24"/>
          <w:szCs w:val="24"/>
          <w:spacing w:val="-3"/>
        </w:rPr>
        <w:t>。</w:t>
      </w:r>
    </w:p>
    <w:p>
      <w:pPr>
        <w:ind w:left="2557"/>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10.8-3  </w:t>
      </w:r>
      <w:r>
        <w:rPr>
          <w:rFonts w:ascii="FangSong" w:hAnsi="FangSong" w:eastAsia="FangSong" w:cs="FangSong"/>
          <w:sz w:val="24"/>
          <w:szCs w:val="24"/>
          <w:b/>
          <w:bCs/>
          <w:spacing w:val="-3"/>
        </w:rPr>
        <w:t>污染源监测计划一览表</w:t>
      </w:r>
    </w:p>
    <w:p>
      <w:pPr>
        <w:spacing w:line="64" w:lineRule="exact"/>
        <w:rPr/>
      </w:pPr>
      <w:r/>
    </w:p>
    <w:tbl>
      <w:tblPr>
        <w:tblStyle w:val="TableNormal"/>
        <w:tblW w:w="852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9"/>
        <w:gridCol w:w="1306"/>
        <w:gridCol w:w="1757"/>
        <w:gridCol w:w="4452"/>
      </w:tblGrid>
      <w:tr>
        <w:trPr>
          <w:trHeight w:val="624" w:hRule="atLeast"/>
        </w:trPr>
        <w:tc>
          <w:tcPr>
            <w:tcW w:w="1009" w:type="dxa"/>
            <w:vAlign w:val="top"/>
            <w:tcBorders>
              <w:top w:val="single" w:color="000000" w:sz="10" w:space="0"/>
              <w:left w:val="nil"/>
            </w:tcBorders>
          </w:tcPr>
          <w:p>
            <w:pPr>
              <w:pStyle w:val="TableText"/>
              <w:ind w:left="412" w:right="187" w:hanging="203"/>
              <w:spacing w:before="57" w:line="257" w:lineRule="auto"/>
              <w:rPr/>
            </w:pPr>
            <w:r>
              <w:rPr>
                <w:spacing w:val="3"/>
              </w:rPr>
              <w:t>监测点</w:t>
            </w:r>
            <w:r>
              <w:rPr/>
              <w:t>位</w:t>
            </w:r>
          </w:p>
        </w:tc>
        <w:tc>
          <w:tcPr>
            <w:tcW w:w="1306" w:type="dxa"/>
            <w:vAlign w:val="top"/>
            <w:tcBorders>
              <w:top w:val="single" w:color="000000" w:sz="10" w:space="0"/>
            </w:tcBorders>
          </w:tcPr>
          <w:p>
            <w:pPr>
              <w:pStyle w:val="TableText"/>
              <w:ind w:left="251"/>
              <w:spacing w:before="212" w:line="231" w:lineRule="auto"/>
              <w:rPr/>
            </w:pPr>
            <w:r>
              <w:rPr>
                <w:spacing w:val="4"/>
              </w:rPr>
              <w:t>监测指标</w:t>
            </w:r>
          </w:p>
        </w:tc>
        <w:tc>
          <w:tcPr>
            <w:tcW w:w="1757" w:type="dxa"/>
            <w:vAlign w:val="top"/>
            <w:tcBorders>
              <w:top w:val="single" w:color="000000" w:sz="10" w:space="0"/>
            </w:tcBorders>
          </w:tcPr>
          <w:p>
            <w:pPr>
              <w:pStyle w:val="TableText"/>
              <w:ind w:left="477"/>
              <w:spacing w:before="211" w:line="232" w:lineRule="auto"/>
              <w:rPr/>
            </w:pPr>
            <w:r>
              <w:rPr>
                <w:spacing w:val="4"/>
              </w:rPr>
              <w:t>监测频次</w:t>
            </w:r>
          </w:p>
        </w:tc>
        <w:tc>
          <w:tcPr>
            <w:tcW w:w="4452" w:type="dxa"/>
            <w:vAlign w:val="top"/>
            <w:tcBorders>
              <w:top w:val="single" w:color="000000" w:sz="10" w:space="0"/>
              <w:right w:val="nil"/>
            </w:tcBorders>
          </w:tcPr>
          <w:p>
            <w:pPr>
              <w:pStyle w:val="TableText"/>
              <w:ind w:left="1608"/>
              <w:spacing w:before="212" w:line="229" w:lineRule="auto"/>
              <w:rPr/>
            </w:pPr>
            <w:r>
              <w:rPr>
                <w:spacing w:val="7"/>
              </w:rPr>
              <w:t>执行排放标准</w:t>
            </w:r>
          </w:p>
        </w:tc>
      </w:tr>
      <w:tr>
        <w:trPr>
          <w:trHeight w:val="1091" w:hRule="atLeast"/>
        </w:trPr>
        <w:tc>
          <w:tcPr>
            <w:tcW w:w="1009" w:type="dxa"/>
            <w:vAlign w:val="top"/>
            <w:tcBorders>
              <w:bottom w:val="single" w:color="000000" w:sz="10" w:space="0"/>
              <w:left w:val="nil"/>
            </w:tcBorders>
          </w:tcPr>
          <w:p>
            <w:pPr>
              <w:pStyle w:val="TableText"/>
              <w:ind w:left="207" w:right="187" w:hanging="4"/>
              <w:spacing w:before="289" w:line="288" w:lineRule="auto"/>
              <w:rPr/>
            </w:pPr>
            <w:r>
              <w:rPr>
                <w:spacing w:val="5"/>
              </w:rPr>
              <w:t>厂界上</w:t>
            </w:r>
            <w:r>
              <w:rPr>
                <w:spacing w:val="3"/>
              </w:rPr>
              <w:t>下风向</w:t>
            </w:r>
          </w:p>
        </w:tc>
        <w:tc>
          <w:tcPr>
            <w:tcW w:w="1306" w:type="dxa"/>
            <w:vAlign w:val="top"/>
            <w:tcBorders>
              <w:bottom w:val="single" w:color="000000" w:sz="10" w:space="0"/>
            </w:tcBorders>
          </w:tcPr>
          <w:p>
            <w:pPr>
              <w:pStyle w:val="TableText"/>
              <w:ind w:left="246"/>
              <w:spacing w:before="133" w:line="229" w:lineRule="auto"/>
              <w:rPr/>
            </w:pPr>
            <w:r>
              <w:rPr>
                <w:spacing w:val="3"/>
              </w:rPr>
              <w:t>颗粒物、</w:t>
            </w:r>
          </w:p>
          <w:p>
            <w:pPr>
              <w:pStyle w:val="TableText"/>
              <w:ind w:left="148"/>
              <w:spacing w:before="63" w:line="231" w:lineRule="auto"/>
              <w:rPr/>
            </w:pP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r>
              <w:rPr>
                <w:rFonts w:ascii="Times New Roman" w:hAnsi="Times New Roman" w:eastAsia="Times New Roman" w:cs="Times New Roman"/>
                <w:sz w:val="13"/>
                <w:szCs w:val="13"/>
                <w:spacing w:val="3"/>
                <w:position w:val="-1"/>
              </w:rPr>
              <w:t xml:space="preserve"> </w:t>
            </w:r>
            <w:r>
              <w:rPr>
                <w:spacing w:val="3"/>
              </w:rPr>
              <w:t>、氟化</w:t>
            </w:r>
          </w:p>
          <w:p>
            <w:pPr>
              <w:pStyle w:val="TableText"/>
              <w:ind w:left="561"/>
              <w:spacing w:before="62" w:line="229" w:lineRule="auto"/>
              <w:rPr/>
            </w:pPr>
            <w:r>
              <w:rPr/>
              <w:t>物</w:t>
            </w:r>
          </w:p>
        </w:tc>
        <w:tc>
          <w:tcPr>
            <w:tcW w:w="1757" w:type="dxa"/>
            <w:vAlign w:val="top"/>
            <w:tcBorders>
              <w:bottom w:val="single" w:color="000000" w:sz="10" w:space="0"/>
            </w:tcBorders>
          </w:tcPr>
          <w:p>
            <w:pPr>
              <w:spacing w:line="377" w:lineRule="auto"/>
              <w:rPr>
                <w:rFonts w:ascii="Arial"/>
                <w:sz w:val="21"/>
              </w:rPr>
            </w:pPr>
            <w:r/>
          </w:p>
          <w:p>
            <w:pPr>
              <w:pStyle w:val="TableText"/>
              <w:ind w:left="161"/>
              <w:spacing w:before="65" w:line="232" w:lineRule="auto"/>
              <w:rPr/>
            </w:pPr>
            <w:r>
              <w:rPr>
                <w:spacing w:val="6"/>
              </w:rPr>
              <w:t>每季度监测一次</w:t>
            </w:r>
          </w:p>
        </w:tc>
        <w:tc>
          <w:tcPr>
            <w:tcW w:w="4452" w:type="dxa"/>
            <w:vAlign w:val="top"/>
            <w:tcBorders>
              <w:bottom w:val="single" w:color="000000" w:sz="10" w:space="0"/>
              <w:right w:val="nil"/>
            </w:tcBorders>
          </w:tcPr>
          <w:p>
            <w:pPr>
              <w:spacing w:line="377" w:lineRule="auto"/>
              <w:rPr>
                <w:rFonts w:ascii="Arial"/>
                <w:sz w:val="21"/>
              </w:rPr>
            </w:pPr>
            <w:r/>
          </w:p>
          <w:p>
            <w:pPr>
              <w:pStyle w:val="TableText"/>
              <w:ind w:right="13"/>
              <w:spacing w:before="65" w:line="229" w:lineRule="auto"/>
              <w:jc w:val="right"/>
              <w:rPr/>
            </w:pPr>
            <w:r>
              <w:rPr>
                <w:spacing w:val="3"/>
              </w:rPr>
              <w:t>《大气污染物综合排放标准》（</w:t>
            </w:r>
            <w:r>
              <w:rPr>
                <w:rFonts w:ascii="Times New Roman" w:hAnsi="Times New Roman" w:eastAsia="Times New Roman" w:cs="Times New Roman"/>
              </w:rPr>
              <w:t>GB</w:t>
            </w:r>
            <w:r>
              <w:rPr>
                <w:rFonts w:ascii="Times New Roman" w:hAnsi="Times New Roman" w:eastAsia="Times New Roman" w:cs="Times New Roman"/>
                <w:spacing w:val="3"/>
              </w:rPr>
              <w:t>16297-</w:t>
            </w:r>
            <w:r>
              <w:rPr>
                <w:rFonts w:ascii="Times New Roman" w:hAnsi="Times New Roman" w:eastAsia="Times New Roman" w:cs="Times New Roman"/>
                <w:spacing w:val="2"/>
              </w:rPr>
              <w:t>1996</w:t>
            </w:r>
            <w:r>
              <w:rPr>
                <w:spacing w:val="2"/>
              </w:rPr>
              <w:t>）</w:t>
            </w:r>
          </w:p>
        </w:tc>
      </w:tr>
    </w:tbl>
    <w:p>
      <w:pPr>
        <w:pStyle w:val="BodyText"/>
        <w:rPr/>
      </w:pPr>
      <w:r/>
    </w:p>
    <w:p>
      <w:pPr>
        <w:sectPr>
          <w:footerReference w:type="default" r:id="rId391"/>
          <w:pgSz w:w="11906" w:h="16839"/>
          <w:pgMar w:top="400" w:right="1691" w:bottom="1358" w:left="1689" w:header="0" w:footer="1195" w:gutter="0"/>
        </w:sectPr>
        <w:rPr/>
      </w:pPr>
    </w:p>
    <w:p>
      <w:pPr>
        <w:spacing w:before="19"/>
        <w:rPr/>
      </w:pPr>
      <w:r/>
    </w:p>
    <w:p>
      <w:pPr>
        <w:spacing w:before="19"/>
        <w:rPr/>
      </w:pPr>
      <w:r/>
    </w:p>
    <w:p>
      <w:pPr>
        <w:spacing w:before="18"/>
        <w:rPr/>
      </w:pPr>
      <w:r/>
    </w:p>
    <w:p>
      <w:pPr>
        <w:spacing w:before="18"/>
        <w:rPr/>
      </w:pPr>
      <w:r/>
    </w:p>
    <w:tbl>
      <w:tblPr>
        <w:tblStyle w:val="TableNormal"/>
        <w:tblW w:w="8524"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009"/>
        <w:gridCol w:w="1306"/>
        <w:gridCol w:w="1757"/>
        <w:gridCol w:w="4452"/>
      </w:tblGrid>
      <w:tr>
        <w:trPr>
          <w:trHeight w:val="944" w:hRule="atLeast"/>
        </w:trPr>
        <w:tc>
          <w:tcPr>
            <w:tcW w:w="1009" w:type="dxa"/>
            <w:vAlign w:val="top"/>
            <w:tcBorders>
              <w:right w:val="single" w:color="000000" w:sz="2" w:space="0"/>
              <w:left w:val="nil"/>
            </w:tcBorders>
          </w:tcPr>
          <w:p>
            <w:pPr>
              <w:pStyle w:val="TableText"/>
              <w:ind w:left="414" w:right="187" w:hanging="211"/>
              <w:spacing w:before="210" w:line="289" w:lineRule="auto"/>
              <w:rPr/>
            </w:pPr>
            <w:r>
              <w:rPr>
                <w:spacing w:val="5"/>
              </w:rPr>
              <w:t>厂界四</w:t>
            </w:r>
            <w:r>
              <w:rPr/>
              <w:t>周</w:t>
            </w:r>
          </w:p>
        </w:tc>
        <w:tc>
          <w:tcPr>
            <w:tcW w:w="1306" w:type="dxa"/>
            <w:vAlign w:val="top"/>
            <w:tcBorders>
              <w:left w:val="single" w:color="000000" w:sz="2" w:space="0"/>
              <w:right w:val="single" w:color="000000" w:sz="2" w:space="0"/>
            </w:tcBorders>
          </w:tcPr>
          <w:p>
            <w:pPr>
              <w:pStyle w:val="TableText"/>
              <w:ind w:left="454" w:right="123" w:hanging="299"/>
              <w:spacing w:before="210" w:line="289" w:lineRule="auto"/>
              <w:rPr/>
            </w:pPr>
            <w:r>
              <w:rPr>
                <w:spacing w:val="4"/>
              </w:rPr>
              <w:t>等效连续</w:t>
            </w:r>
            <w:r>
              <w:rPr>
                <w:spacing w:val="-44"/>
              </w:rPr>
              <w:t xml:space="preserve"> </w:t>
            </w:r>
            <w:r>
              <w:rPr>
                <w:rFonts w:ascii="Times New Roman" w:hAnsi="Times New Roman" w:eastAsia="Times New Roman" w:cs="Times New Roman"/>
                <w:spacing w:val="4"/>
              </w:rPr>
              <w:t>A</w:t>
            </w:r>
            <w:r>
              <w:rPr>
                <w:spacing w:val="2"/>
              </w:rPr>
              <w:t>声级</w:t>
            </w:r>
          </w:p>
        </w:tc>
        <w:tc>
          <w:tcPr>
            <w:tcW w:w="1757" w:type="dxa"/>
            <w:vAlign w:val="top"/>
            <w:tcBorders>
              <w:left w:val="single" w:color="000000" w:sz="2" w:space="0"/>
              <w:right w:val="single" w:color="000000" w:sz="2" w:space="0"/>
            </w:tcBorders>
          </w:tcPr>
          <w:p>
            <w:pPr>
              <w:pStyle w:val="TableText"/>
              <w:ind w:left="267"/>
              <w:spacing w:before="55" w:line="232" w:lineRule="auto"/>
              <w:rPr/>
            </w:pPr>
            <w:r>
              <w:rPr>
                <w:spacing w:val="7"/>
              </w:rPr>
              <w:t>每季度监测一</w:t>
            </w:r>
          </w:p>
          <w:p>
            <w:pPr>
              <w:pStyle w:val="TableText"/>
              <w:ind w:left="154"/>
              <w:spacing w:before="60" w:line="231" w:lineRule="auto"/>
              <w:rPr/>
            </w:pPr>
            <w:r>
              <w:rPr>
                <w:spacing w:val="7"/>
              </w:rPr>
              <w:t>次，每次分昼夜</w:t>
            </w:r>
          </w:p>
          <w:p>
            <w:pPr>
              <w:pStyle w:val="TableText"/>
              <w:ind w:left="685"/>
              <w:spacing w:before="61" w:line="232" w:lineRule="auto"/>
              <w:rPr/>
            </w:pPr>
            <w:r>
              <w:rPr>
                <w:spacing w:val="-1"/>
              </w:rPr>
              <w:t>监测</w:t>
            </w:r>
          </w:p>
        </w:tc>
        <w:tc>
          <w:tcPr>
            <w:tcW w:w="4452" w:type="dxa"/>
            <w:vAlign w:val="top"/>
            <w:tcBorders>
              <w:left w:val="single" w:color="000000" w:sz="2" w:space="0"/>
              <w:right w:val="nil"/>
            </w:tcBorders>
          </w:tcPr>
          <w:p>
            <w:pPr>
              <w:pStyle w:val="TableText"/>
              <w:ind w:left="854" w:right="560" w:hanging="297"/>
              <w:spacing w:before="212" w:line="288" w:lineRule="auto"/>
              <w:rPr/>
            </w:pPr>
            <w:r>
              <w:rPr>
                <w:spacing w:val="8"/>
              </w:rPr>
              <w:t>《工业企业厂界环境噪声排放标准》</w:t>
            </w:r>
            <w:r>
              <w:rPr>
                <w:spacing w:val="2"/>
              </w:rP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w:t>
            </w:r>
            <w:r>
              <w:rPr>
                <w:spacing w:val="-38"/>
              </w:rPr>
              <w:t xml:space="preserve"> </w:t>
            </w:r>
            <w:r>
              <w:rPr>
                <w:spacing w:val="1"/>
              </w:rPr>
              <w:t>中</w:t>
            </w:r>
            <w:r>
              <w:rPr>
                <w:spacing w:val="-39"/>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20"/>
                <w:w w:val="101"/>
              </w:rPr>
              <w:t xml:space="preserve"> </w:t>
            </w:r>
            <w:r>
              <w:rPr>
                <w:spacing w:val="1"/>
              </w:rPr>
              <w:t>类标准</w:t>
            </w:r>
          </w:p>
        </w:tc>
      </w:tr>
    </w:tbl>
    <w:p>
      <w:pPr>
        <w:pStyle w:val="BodyText"/>
        <w:spacing w:line="251" w:lineRule="auto"/>
        <w:rPr/>
      </w:pPr>
      <w:r/>
    </w:p>
    <w:p>
      <w:pPr>
        <w:pStyle w:val="BodyText"/>
        <w:spacing w:line="251" w:lineRule="auto"/>
        <w:rPr/>
      </w:pPr>
      <w:r/>
    </w:p>
    <w:p>
      <w:pPr>
        <w:ind w:left="124" w:right="105" w:firstLine="510"/>
        <w:spacing w:before="78" w:line="360" w:lineRule="auto"/>
        <w:jc w:val="both"/>
        <w:rPr>
          <w:rFonts w:ascii="FangSong" w:hAnsi="FangSong" w:eastAsia="FangSong" w:cs="FangSong"/>
          <w:sz w:val="24"/>
          <w:szCs w:val="24"/>
        </w:rPr>
      </w:pPr>
      <w:r>
        <w:rPr>
          <w:rFonts w:ascii="FangSong" w:hAnsi="FangSong" w:eastAsia="FangSong" w:cs="FangSong"/>
          <w:sz w:val="24"/>
          <w:szCs w:val="24"/>
          <w:spacing w:val="-4"/>
        </w:rPr>
        <w:t>由于环境监测涉及专业人员较多，而企业难以配齐符合环境监测</w:t>
      </w:r>
      <w:r>
        <w:rPr>
          <w:rFonts w:ascii="FangSong" w:hAnsi="FangSong" w:eastAsia="FangSong" w:cs="FangSong"/>
          <w:sz w:val="24"/>
          <w:szCs w:val="24"/>
          <w:spacing w:val="-5"/>
        </w:rPr>
        <w:t>要求的人员</w:t>
      </w:r>
      <w:r>
        <w:rPr>
          <w:rFonts w:ascii="FangSong" w:hAnsi="FangSong" w:eastAsia="FangSong" w:cs="FangSong"/>
          <w:sz w:val="24"/>
          <w:szCs w:val="24"/>
          <w:spacing w:val="-3"/>
        </w:rPr>
        <w:t>和仪器设备，同时监测次数不多，鉴于上述情况，项目环境监测可委托当地有资</w:t>
      </w:r>
      <w:r>
        <w:rPr>
          <w:rFonts w:ascii="FangSong" w:hAnsi="FangSong" w:eastAsia="FangSong" w:cs="FangSong"/>
          <w:sz w:val="24"/>
          <w:szCs w:val="24"/>
          <w:spacing w:val="-2"/>
        </w:rPr>
        <w:t>质单位来承担监测任务。</w:t>
      </w:r>
    </w:p>
    <w:p>
      <w:pPr>
        <w:ind w:left="609"/>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）生态监测</w:t>
      </w:r>
    </w:p>
    <w:p>
      <w:pPr>
        <w:ind w:left="596"/>
        <w:spacing w:before="177" w:line="222"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25"/>
        </w:rPr>
        <w:t xml:space="preserve"> </w:t>
      </w:r>
      <w:r>
        <w:rPr>
          <w:rFonts w:ascii="FangSong" w:hAnsi="FangSong" w:eastAsia="FangSong" w:cs="FangSong"/>
          <w:sz w:val="24"/>
          <w:szCs w:val="24"/>
          <w:spacing w:val="-7"/>
        </w:rPr>
        <w:t>监测目的</w:t>
      </w:r>
    </w:p>
    <w:p>
      <w:pPr>
        <w:ind w:left="123" w:right="105" w:firstLine="494"/>
        <w:spacing w:before="179" w:line="360" w:lineRule="auto"/>
        <w:rPr>
          <w:rFonts w:ascii="FangSong" w:hAnsi="FangSong" w:eastAsia="FangSong" w:cs="FangSong"/>
          <w:sz w:val="24"/>
          <w:szCs w:val="24"/>
        </w:rPr>
      </w:pPr>
      <w:r>
        <w:rPr>
          <w:rFonts w:ascii="FangSong" w:hAnsi="FangSong" w:eastAsia="FangSong" w:cs="FangSong"/>
          <w:sz w:val="24"/>
          <w:szCs w:val="24"/>
          <w:spacing w:val="-4"/>
        </w:rPr>
        <w:t>生态监测是采用生态学的各种方法和手段，从不同尺度上对各类生态系统结</w:t>
      </w:r>
      <w:r>
        <w:rPr>
          <w:rFonts w:ascii="FangSong" w:hAnsi="FangSong" w:eastAsia="FangSong" w:cs="FangSong"/>
          <w:sz w:val="24"/>
          <w:szCs w:val="24"/>
          <w:spacing w:val="-3"/>
        </w:rPr>
        <w:t>构和功能的时空格局的度量，主要通过监测生态系统条件、条件变化、对环境压</w:t>
      </w:r>
      <w:r>
        <w:rPr>
          <w:rFonts w:ascii="FangSong" w:hAnsi="FangSong" w:eastAsia="FangSong" w:cs="FangSong"/>
          <w:sz w:val="24"/>
          <w:szCs w:val="24"/>
          <w:spacing w:val="-3"/>
        </w:rPr>
        <w:t>力的反映及其趋势而获得。本次生态监测方案可跟踪监测本工程实施生态保护措</w:t>
      </w:r>
      <w:r>
        <w:rPr>
          <w:rFonts w:ascii="FangSong" w:hAnsi="FangSong" w:eastAsia="FangSong" w:cs="FangSong"/>
          <w:sz w:val="24"/>
          <w:szCs w:val="24"/>
          <w:spacing w:val="-1"/>
        </w:rPr>
        <w:t>施后的效果及生态质量的动态变化。</w:t>
      </w:r>
    </w:p>
    <w:p>
      <w:pPr>
        <w:ind w:left="596"/>
        <w:spacing w:line="221" w:lineRule="auto"/>
        <w:rPr>
          <w:rFonts w:ascii="FangSong" w:hAnsi="FangSong" w:eastAsia="FangSong" w:cs="FangSong"/>
          <w:sz w:val="24"/>
          <w:szCs w:val="24"/>
        </w:rPr>
      </w:pPr>
      <w:r>
        <w:rPr>
          <w:rFonts w:ascii="FangSong" w:hAnsi="FangSong" w:eastAsia="FangSong" w:cs="FangSong"/>
          <w:sz w:val="24"/>
          <w:szCs w:val="24"/>
          <w:spacing w:val="-1"/>
        </w:rPr>
        <w:t>②</w:t>
      </w:r>
      <w:r>
        <w:rPr>
          <w:rFonts w:ascii="FangSong" w:hAnsi="FangSong" w:eastAsia="FangSong" w:cs="FangSong"/>
          <w:sz w:val="24"/>
          <w:szCs w:val="24"/>
          <w:spacing w:val="-1"/>
        </w:rPr>
        <w:t xml:space="preserve"> </w:t>
      </w:r>
      <w:r>
        <w:rPr>
          <w:rFonts w:ascii="FangSong" w:hAnsi="FangSong" w:eastAsia="FangSong" w:cs="FangSong"/>
          <w:sz w:val="24"/>
          <w:szCs w:val="24"/>
          <w:spacing w:val="-1"/>
        </w:rPr>
        <w:t>监测项目、频率和位置</w:t>
      </w:r>
    </w:p>
    <w:p>
      <w:pPr>
        <w:ind w:left="125" w:right="28" w:firstLine="493"/>
        <w:spacing w:before="180" w:line="360" w:lineRule="auto"/>
        <w:rPr>
          <w:rFonts w:ascii="FangSong" w:hAnsi="FangSong" w:eastAsia="FangSong" w:cs="FangSong"/>
          <w:sz w:val="24"/>
          <w:szCs w:val="24"/>
        </w:rPr>
      </w:pPr>
      <w:r>
        <w:rPr>
          <w:rFonts w:ascii="FangSong" w:hAnsi="FangSong" w:eastAsia="FangSong" w:cs="FangSong"/>
          <w:sz w:val="24"/>
          <w:szCs w:val="24"/>
          <w:spacing w:val="-8"/>
        </w:rPr>
        <w:t>生态监测的对象可分为农田、森林、草原、荒漠、</w:t>
      </w:r>
      <w:r>
        <w:rPr>
          <w:rFonts w:ascii="FangSong" w:hAnsi="FangSong" w:eastAsia="FangSong" w:cs="FangSong"/>
          <w:sz w:val="24"/>
          <w:szCs w:val="24"/>
          <w:spacing w:val="-9"/>
        </w:rPr>
        <w:t>湿地、湖泊、海洋、气象、</w:t>
      </w:r>
      <w:r>
        <w:rPr>
          <w:rFonts w:ascii="FangSong" w:hAnsi="FangSong" w:eastAsia="FangSong" w:cs="FangSong"/>
          <w:sz w:val="24"/>
          <w:szCs w:val="24"/>
          <w:spacing w:val="-3"/>
        </w:rPr>
        <w:t>物候、动植物等。每一类型的生态系统都具有多样性，它不仅包括了环境要</w:t>
      </w:r>
      <w:r>
        <w:rPr>
          <w:rFonts w:ascii="FangSong" w:hAnsi="FangSong" w:eastAsia="FangSong" w:cs="FangSong"/>
          <w:sz w:val="24"/>
          <w:szCs w:val="24"/>
          <w:spacing w:val="-4"/>
        </w:rPr>
        <w:t>素变</w:t>
      </w:r>
      <w:r>
        <w:rPr>
          <w:rFonts w:ascii="FangSong" w:hAnsi="FangSong" w:eastAsia="FangSong" w:cs="FangSong"/>
          <w:sz w:val="24"/>
          <w:szCs w:val="24"/>
          <w:spacing w:val="-1"/>
        </w:rPr>
        <w:t>化的指标和生物资源变化的指标，同时还要包括人类活动变化的指标。</w:t>
      </w:r>
    </w:p>
    <w:p>
      <w:pPr>
        <w:ind w:left="124" w:right="105" w:firstLine="494"/>
        <w:spacing w:before="4" w:line="359" w:lineRule="auto"/>
        <w:jc w:val="both"/>
        <w:rPr>
          <w:rFonts w:ascii="FangSong" w:hAnsi="FangSong" w:eastAsia="FangSong" w:cs="FangSong"/>
          <w:sz w:val="24"/>
          <w:szCs w:val="24"/>
        </w:rPr>
      </w:pPr>
      <w:r>
        <w:rPr>
          <w:rFonts w:ascii="FangSong" w:hAnsi="FangSong" w:eastAsia="FangSong" w:cs="FangSong"/>
          <w:sz w:val="24"/>
          <w:szCs w:val="24"/>
          <w:spacing w:val="-4"/>
        </w:rPr>
        <w:t>生态监测指标的选择首先要考虑生态类型及系统的完整性，一般说来，陆地</w:t>
      </w:r>
      <w:r>
        <w:rPr>
          <w:rFonts w:ascii="FangSong" w:hAnsi="FangSong" w:eastAsia="FangSong" w:cs="FangSong"/>
          <w:sz w:val="24"/>
          <w:szCs w:val="24"/>
          <w:spacing w:val="-3"/>
        </w:rPr>
        <w:t>生态指标主要为气象、水文、土壤、植物、动物和微生物六个要素。运营期生态</w:t>
      </w:r>
      <w:r>
        <w:rPr>
          <w:rFonts w:ascii="FangSong" w:hAnsi="FangSong" w:eastAsia="FangSong" w:cs="FangSong"/>
          <w:sz w:val="24"/>
          <w:szCs w:val="24"/>
          <w:spacing w:val="-3"/>
        </w:rPr>
        <w:t>环境监测计划见表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10.8-4</w:t>
      </w:r>
      <w:r>
        <w:rPr>
          <w:rFonts w:ascii="FangSong" w:hAnsi="FangSong" w:eastAsia="FangSong" w:cs="FangSong"/>
          <w:sz w:val="24"/>
          <w:szCs w:val="24"/>
          <w:spacing w:val="-3"/>
        </w:rPr>
        <w:t>。</w:t>
      </w:r>
    </w:p>
    <w:p>
      <w:pPr>
        <w:ind w:left="2075"/>
        <w:spacing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3"/>
        </w:rPr>
        <w:t>10.8-4  </w:t>
      </w:r>
      <w:r>
        <w:rPr>
          <w:rFonts w:ascii="FangSong" w:hAnsi="FangSong" w:eastAsia="FangSong" w:cs="FangSong"/>
          <w:sz w:val="24"/>
          <w:szCs w:val="24"/>
          <w:b/>
          <w:bCs/>
          <w:spacing w:val="-3"/>
        </w:rPr>
        <w:t>运营期生态环境监测计划一览表</w:t>
      </w:r>
    </w:p>
    <w:p>
      <w:pPr>
        <w:spacing w:line="65" w:lineRule="exact"/>
        <w:rPr/>
      </w:pPr>
      <w:r/>
    </w:p>
    <w:tbl>
      <w:tblPr>
        <w:tblStyle w:val="TableNormal"/>
        <w:tblW w:w="852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4"/>
        <w:gridCol w:w="1054"/>
        <w:gridCol w:w="1133"/>
        <w:gridCol w:w="2652"/>
        <w:gridCol w:w="2652"/>
      </w:tblGrid>
      <w:tr>
        <w:trPr>
          <w:trHeight w:val="945" w:hRule="atLeast"/>
        </w:trPr>
        <w:tc>
          <w:tcPr>
            <w:tcW w:w="1034" w:type="dxa"/>
            <w:vAlign w:val="top"/>
            <w:tcBorders>
              <w:left w:val="nil"/>
              <w:top w:val="single" w:color="000000" w:sz="10" w:space="0"/>
            </w:tcBorders>
          </w:tcPr>
          <w:p>
            <w:pPr>
              <w:pStyle w:val="TableText"/>
              <w:ind w:left="460" w:right="200" w:hanging="239"/>
              <w:spacing w:before="211" w:line="290" w:lineRule="auto"/>
              <w:rPr/>
            </w:pPr>
            <w:r>
              <w:rPr>
                <w:spacing w:val="3"/>
              </w:rPr>
              <w:t>监测项</w:t>
            </w:r>
            <w:r>
              <w:rPr/>
              <w:t>目</w:t>
            </w:r>
          </w:p>
        </w:tc>
        <w:tc>
          <w:tcPr>
            <w:tcW w:w="1054" w:type="dxa"/>
            <w:vAlign w:val="top"/>
            <w:tcBorders>
              <w:top w:val="single" w:color="000000" w:sz="10" w:space="0"/>
            </w:tcBorders>
          </w:tcPr>
          <w:p>
            <w:pPr>
              <w:pStyle w:val="TableText"/>
              <w:ind w:left="229"/>
              <w:spacing w:before="55" w:line="232" w:lineRule="auto"/>
              <w:rPr/>
            </w:pPr>
            <w:r>
              <w:rPr>
                <w:spacing w:val="3"/>
              </w:rPr>
              <w:t>监测时</w:t>
            </w:r>
          </w:p>
          <w:p>
            <w:pPr>
              <w:pStyle w:val="TableText"/>
              <w:ind w:left="438" w:right="210" w:hanging="195"/>
              <w:spacing w:before="60" w:line="262" w:lineRule="auto"/>
              <w:rPr/>
            </w:pPr>
            <w:r>
              <w:rPr>
                <w:spacing w:val="-2"/>
              </w:rPr>
              <w:t>间及频</w:t>
            </w:r>
            <w:r>
              <w:rPr/>
              <w:t>率</w:t>
            </w:r>
          </w:p>
        </w:tc>
        <w:tc>
          <w:tcPr>
            <w:tcW w:w="1133" w:type="dxa"/>
            <w:vAlign w:val="top"/>
            <w:tcBorders>
              <w:top w:val="single" w:color="000000" w:sz="10" w:space="0"/>
            </w:tcBorders>
          </w:tcPr>
          <w:p>
            <w:pPr>
              <w:spacing w:line="300" w:lineRule="auto"/>
              <w:rPr>
                <w:rFonts w:ascii="Arial"/>
                <w:sz w:val="21"/>
              </w:rPr>
            </w:pPr>
            <w:r/>
          </w:p>
          <w:p>
            <w:pPr>
              <w:pStyle w:val="TableText"/>
              <w:ind w:left="164"/>
              <w:spacing w:before="65" w:line="232" w:lineRule="auto"/>
              <w:rPr/>
            </w:pPr>
            <w:r>
              <w:rPr>
                <w:spacing w:val="4"/>
              </w:rPr>
              <w:t>监测地点</w:t>
            </w:r>
          </w:p>
        </w:tc>
        <w:tc>
          <w:tcPr>
            <w:tcW w:w="2652" w:type="dxa"/>
            <w:vAlign w:val="top"/>
            <w:tcBorders>
              <w:top w:val="single" w:color="000000" w:sz="10" w:space="0"/>
            </w:tcBorders>
          </w:tcPr>
          <w:p>
            <w:pPr>
              <w:spacing w:line="300" w:lineRule="auto"/>
              <w:rPr>
                <w:rFonts w:ascii="Arial"/>
                <w:sz w:val="21"/>
              </w:rPr>
            </w:pPr>
            <w:r/>
          </w:p>
          <w:p>
            <w:pPr>
              <w:pStyle w:val="TableText"/>
              <w:ind w:left="922"/>
              <w:spacing w:before="65" w:line="232" w:lineRule="auto"/>
              <w:rPr/>
            </w:pPr>
            <w:r>
              <w:rPr>
                <w:spacing w:val="4"/>
              </w:rPr>
              <w:t>监测因子</w:t>
            </w:r>
          </w:p>
        </w:tc>
        <w:tc>
          <w:tcPr>
            <w:tcW w:w="2652" w:type="dxa"/>
            <w:vAlign w:val="top"/>
            <w:tcBorders>
              <w:right w:val="nil"/>
              <w:top w:val="single" w:color="000000" w:sz="10" w:space="0"/>
            </w:tcBorders>
          </w:tcPr>
          <w:p>
            <w:pPr>
              <w:spacing w:line="300" w:lineRule="auto"/>
              <w:rPr>
                <w:rFonts w:ascii="Arial"/>
                <w:sz w:val="21"/>
              </w:rPr>
            </w:pPr>
            <w:r/>
          </w:p>
          <w:p>
            <w:pPr>
              <w:pStyle w:val="TableText"/>
              <w:ind w:left="1129"/>
              <w:spacing w:before="65" w:line="233" w:lineRule="auto"/>
              <w:rPr/>
            </w:pPr>
            <w:r>
              <w:rPr>
                <w:spacing w:val="1"/>
              </w:rPr>
              <w:t>备注</w:t>
            </w:r>
          </w:p>
        </w:tc>
      </w:tr>
      <w:tr>
        <w:trPr>
          <w:trHeight w:val="674" w:hRule="atLeast"/>
        </w:trPr>
        <w:tc>
          <w:tcPr>
            <w:tcW w:w="1034" w:type="dxa"/>
            <w:vAlign w:val="top"/>
            <w:tcBorders>
              <w:left w:val="nil"/>
            </w:tcBorders>
          </w:tcPr>
          <w:p>
            <w:pPr>
              <w:pStyle w:val="TableText"/>
              <w:ind w:left="329"/>
              <w:spacing w:before="230" w:line="232" w:lineRule="auto"/>
              <w:rPr/>
            </w:pPr>
            <w:r>
              <w:rPr>
                <w:spacing w:val="-3"/>
              </w:rPr>
              <w:t>气象</w:t>
            </w:r>
          </w:p>
        </w:tc>
        <w:tc>
          <w:tcPr>
            <w:tcW w:w="1054"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31"/>
              <w:spacing w:before="65" w:line="231" w:lineRule="auto"/>
              <w:rPr/>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年</w:t>
            </w:r>
          </w:p>
        </w:tc>
        <w:tc>
          <w:tcPr>
            <w:tcW w:w="1133"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44" w:right="145" w:firstLine="14"/>
              <w:spacing w:before="65" w:line="289" w:lineRule="auto"/>
              <w:rPr/>
            </w:pPr>
            <w:r>
              <w:rPr>
                <w:spacing w:val="6"/>
              </w:rPr>
              <w:t>矿区外沿</w:t>
            </w:r>
            <w:r>
              <w:rPr>
                <w:rFonts w:ascii="Times New Roman" w:hAnsi="Times New Roman" w:eastAsia="Times New Roman" w:cs="Times New Roman"/>
                <w:spacing w:val="1"/>
              </w:rPr>
              <w:t>2</w:t>
            </w:r>
            <w:r>
              <w:rPr>
                <w:rFonts w:ascii="Times New Roman" w:hAnsi="Times New Roman" w:eastAsia="Times New Roman" w:cs="Times New Roman"/>
              </w:rPr>
              <w:t>km</w:t>
            </w:r>
            <w:r>
              <w:rPr>
                <w:rFonts w:ascii="Times New Roman" w:hAnsi="Times New Roman" w:eastAsia="Times New Roman" w:cs="Times New Roman"/>
                <w:spacing w:val="28"/>
                <w:w w:val="101"/>
              </w:rPr>
              <w:t xml:space="preserve"> </w:t>
            </w:r>
            <w:r>
              <w:rPr>
                <w:spacing w:val="1"/>
              </w:rPr>
              <w:t>范围</w:t>
            </w:r>
          </w:p>
        </w:tc>
        <w:tc>
          <w:tcPr>
            <w:tcW w:w="2652" w:type="dxa"/>
            <w:vAlign w:val="top"/>
          </w:tcPr>
          <w:p>
            <w:pPr>
              <w:pStyle w:val="TableText"/>
              <w:ind w:left="182" w:right="61" w:hanging="55"/>
              <w:spacing w:before="74" w:line="272" w:lineRule="auto"/>
              <w:rPr/>
            </w:pPr>
            <w:r>
              <w:rPr>
                <w:spacing w:val="4"/>
              </w:rPr>
              <w:t>气温、湿度、地温、风向、</w:t>
            </w:r>
            <w:r>
              <w:rPr>
                <w:spacing w:val="2"/>
              </w:rPr>
              <w:t>风速、降水、</w:t>
            </w:r>
            <w:r>
              <w:rPr>
                <w:spacing w:val="-30"/>
              </w:rPr>
              <w:t xml:space="preserve"> </w:t>
            </w:r>
            <w:r>
              <w:rPr>
                <w:spacing w:val="2"/>
              </w:rPr>
              <w:t>日照、气压</w:t>
            </w:r>
          </w:p>
        </w:tc>
        <w:tc>
          <w:tcPr>
            <w:tcW w:w="2652" w:type="dxa"/>
            <w:vAlign w:val="top"/>
            <w:tcBorders>
              <w:right w:val="nil"/>
            </w:tcBorders>
          </w:tcPr>
          <w:p>
            <w:pPr>
              <w:pStyle w:val="TableText"/>
              <w:ind w:left="287"/>
              <w:spacing w:before="231" w:line="230" w:lineRule="auto"/>
              <w:rPr/>
            </w:pPr>
            <w:r>
              <w:rPr>
                <w:spacing w:val="8"/>
              </w:rPr>
              <w:t>建议咨询当地气象部门</w:t>
            </w:r>
          </w:p>
        </w:tc>
      </w:tr>
      <w:tr>
        <w:trPr>
          <w:trHeight w:val="654" w:hRule="atLeast"/>
        </w:trPr>
        <w:tc>
          <w:tcPr>
            <w:tcW w:w="1034" w:type="dxa"/>
            <w:vAlign w:val="top"/>
            <w:tcBorders>
              <w:left w:val="nil"/>
            </w:tcBorders>
          </w:tcPr>
          <w:p>
            <w:pPr>
              <w:pStyle w:val="TableText"/>
              <w:ind w:left="320"/>
              <w:spacing w:before="221" w:line="232" w:lineRule="auto"/>
              <w:rPr/>
            </w:pPr>
            <w:r>
              <w:rPr>
                <w:spacing w:val="2"/>
              </w:rPr>
              <w:t>水文</w:t>
            </w:r>
          </w:p>
        </w:tc>
        <w:tc>
          <w:tcPr>
            <w:tcW w:w="1054" w:type="dxa"/>
            <w:vAlign w:val="top"/>
            <w:vMerge w:val="continue"/>
            <w:tcBorders>
              <w:top w:val="nil"/>
              <w:bottom w:val="nil"/>
            </w:tcBorders>
          </w:tcPr>
          <w:p>
            <w:pPr>
              <w:rPr>
                <w:rFonts w:ascii="Arial"/>
                <w:sz w:val="21"/>
              </w:rPr>
            </w:pPr>
            <w:r/>
          </w:p>
        </w:tc>
        <w:tc>
          <w:tcPr>
            <w:tcW w:w="1133" w:type="dxa"/>
            <w:vAlign w:val="top"/>
            <w:vMerge w:val="continue"/>
            <w:tcBorders>
              <w:top w:val="nil"/>
              <w:bottom w:val="nil"/>
            </w:tcBorders>
          </w:tcPr>
          <w:p>
            <w:pPr>
              <w:rPr>
                <w:rFonts w:ascii="Arial"/>
                <w:sz w:val="21"/>
              </w:rPr>
            </w:pPr>
            <w:r/>
          </w:p>
        </w:tc>
        <w:tc>
          <w:tcPr>
            <w:tcW w:w="2652" w:type="dxa"/>
            <w:vAlign w:val="top"/>
          </w:tcPr>
          <w:p>
            <w:pPr>
              <w:pStyle w:val="TableText"/>
              <w:ind w:left="394" w:right="61" w:hanging="275"/>
              <w:spacing w:before="65" w:line="267" w:lineRule="auto"/>
              <w:rPr/>
            </w:pPr>
            <w:r>
              <w:rPr>
                <w:spacing w:val="5"/>
              </w:rPr>
              <w:t>水位、流量、雨量、水质、</w:t>
            </w:r>
            <w:r>
              <w:rPr>
                <w:spacing w:val="8"/>
              </w:rPr>
              <w:t>地下水、蒸发、泥沙</w:t>
            </w:r>
          </w:p>
        </w:tc>
        <w:tc>
          <w:tcPr>
            <w:tcW w:w="2652" w:type="dxa"/>
            <w:vAlign w:val="top"/>
            <w:tcBorders>
              <w:right w:val="nil"/>
            </w:tcBorders>
          </w:tcPr>
          <w:p>
            <w:pPr>
              <w:pStyle w:val="TableText"/>
              <w:ind w:left="287"/>
              <w:spacing w:before="221" w:line="230" w:lineRule="auto"/>
              <w:rPr/>
            </w:pPr>
            <w:r>
              <w:rPr>
                <w:spacing w:val="8"/>
              </w:rPr>
              <w:t>建议咨询当地水文部门</w:t>
            </w:r>
          </w:p>
        </w:tc>
      </w:tr>
      <w:tr>
        <w:trPr>
          <w:trHeight w:val="345" w:hRule="atLeast"/>
        </w:trPr>
        <w:tc>
          <w:tcPr>
            <w:tcW w:w="1034" w:type="dxa"/>
            <w:vAlign w:val="top"/>
            <w:tcBorders>
              <w:left w:val="nil"/>
            </w:tcBorders>
          </w:tcPr>
          <w:p>
            <w:pPr>
              <w:pStyle w:val="TableText"/>
              <w:ind w:left="324"/>
              <w:spacing w:before="69" w:line="232" w:lineRule="auto"/>
              <w:rPr/>
            </w:pPr>
            <w:r>
              <w:rPr/>
              <w:t>土壤</w:t>
            </w:r>
          </w:p>
        </w:tc>
        <w:tc>
          <w:tcPr>
            <w:tcW w:w="1054" w:type="dxa"/>
            <w:vAlign w:val="top"/>
            <w:vMerge w:val="continue"/>
            <w:tcBorders>
              <w:top w:val="nil"/>
              <w:bottom w:val="nil"/>
            </w:tcBorders>
          </w:tcPr>
          <w:p>
            <w:pPr>
              <w:rPr>
                <w:rFonts w:ascii="Arial"/>
                <w:sz w:val="21"/>
              </w:rPr>
            </w:pPr>
            <w:r/>
          </w:p>
        </w:tc>
        <w:tc>
          <w:tcPr>
            <w:tcW w:w="1133" w:type="dxa"/>
            <w:vAlign w:val="top"/>
            <w:vMerge w:val="continue"/>
            <w:tcBorders>
              <w:top w:val="nil"/>
              <w:bottom w:val="nil"/>
            </w:tcBorders>
          </w:tcPr>
          <w:p>
            <w:pPr>
              <w:rPr>
                <w:rFonts w:ascii="Arial"/>
                <w:sz w:val="21"/>
              </w:rPr>
            </w:pPr>
            <w:r/>
          </w:p>
        </w:tc>
        <w:tc>
          <w:tcPr>
            <w:tcW w:w="2652" w:type="dxa"/>
            <w:vAlign w:val="top"/>
          </w:tcPr>
          <w:p>
            <w:pPr>
              <w:pStyle w:val="TableText"/>
              <w:ind w:left="291"/>
              <w:spacing w:before="68" w:line="232" w:lineRule="auto"/>
              <w:rPr/>
            </w:pPr>
            <w:r>
              <w:rPr>
                <w:spacing w:val="8"/>
              </w:rPr>
              <w:t>参照土壤现状监测因子</w:t>
            </w:r>
          </w:p>
        </w:tc>
        <w:tc>
          <w:tcPr>
            <w:tcW w:w="2652" w:type="dxa"/>
            <w:vAlign w:val="top"/>
            <w:tcBorders>
              <w:right w:val="nil"/>
            </w:tcBorders>
          </w:tcPr>
          <w:p>
            <w:pPr>
              <w:ind w:left="1261"/>
              <w:spacing w:before="193"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54" w:hRule="atLeast"/>
        </w:trPr>
        <w:tc>
          <w:tcPr>
            <w:tcW w:w="1034" w:type="dxa"/>
            <w:vAlign w:val="top"/>
            <w:tcBorders>
              <w:left w:val="nil"/>
            </w:tcBorders>
          </w:tcPr>
          <w:p>
            <w:pPr>
              <w:pStyle w:val="TableText"/>
              <w:ind w:left="320"/>
              <w:spacing w:before="74" w:line="229" w:lineRule="auto"/>
              <w:rPr/>
            </w:pPr>
            <w:r>
              <w:rPr>
                <w:spacing w:val="2"/>
              </w:rPr>
              <w:t>植物</w:t>
            </w:r>
          </w:p>
        </w:tc>
        <w:tc>
          <w:tcPr>
            <w:tcW w:w="1054" w:type="dxa"/>
            <w:vAlign w:val="top"/>
            <w:vMerge w:val="continue"/>
            <w:tcBorders>
              <w:top w:val="nil"/>
              <w:bottom w:val="nil"/>
            </w:tcBorders>
          </w:tcPr>
          <w:p>
            <w:pPr>
              <w:rPr>
                <w:rFonts w:ascii="Arial"/>
                <w:sz w:val="21"/>
              </w:rPr>
            </w:pPr>
            <w:r/>
          </w:p>
        </w:tc>
        <w:tc>
          <w:tcPr>
            <w:tcW w:w="1133" w:type="dxa"/>
            <w:vAlign w:val="top"/>
            <w:vMerge w:val="continue"/>
            <w:tcBorders>
              <w:top w:val="nil"/>
              <w:bottom w:val="nil"/>
            </w:tcBorders>
          </w:tcPr>
          <w:p>
            <w:pPr>
              <w:rPr>
                <w:rFonts w:ascii="Arial"/>
                <w:sz w:val="21"/>
              </w:rPr>
            </w:pPr>
            <w:r/>
          </w:p>
        </w:tc>
        <w:tc>
          <w:tcPr>
            <w:tcW w:w="2652" w:type="dxa"/>
            <w:vAlign w:val="top"/>
          </w:tcPr>
          <w:p>
            <w:pPr>
              <w:pStyle w:val="TableText"/>
              <w:ind w:left="495"/>
              <w:spacing w:before="74" w:line="231" w:lineRule="auto"/>
              <w:rPr/>
            </w:pPr>
            <w:r>
              <w:rPr>
                <w:spacing w:val="8"/>
              </w:rPr>
              <w:t>植被类型，数量等</w:t>
            </w:r>
          </w:p>
        </w:tc>
        <w:tc>
          <w:tcPr>
            <w:tcW w:w="2652" w:type="dxa"/>
            <w:vAlign w:val="top"/>
            <w:tcBorders>
              <w:right w:val="nil"/>
            </w:tcBorders>
          </w:tcPr>
          <w:p>
            <w:pPr>
              <w:pStyle w:val="TableText"/>
              <w:ind w:left="915"/>
              <w:spacing w:before="73" w:line="232" w:lineRule="auto"/>
              <w:rPr/>
            </w:pPr>
            <w:r>
              <w:rPr>
                <w:spacing w:val="6"/>
              </w:rPr>
              <w:t>现场调查</w:t>
            </w:r>
          </w:p>
        </w:tc>
      </w:tr>
      <w:tr>
        <w:trPr>
          <w:trHeight w:val="325" w:hRule="atLeast"/>
        </w:trPr>
        <w:tc>
          <w:tcPr>
            <w:tcW w:w="1034" w:type="dxa"/>
            <w:vAlign w:val="top"/>
            <w:tcBorders>
              <w:left w:val="nil"/>
            </w:tcBorders>
          </w:tcPr>
          <w:p>
            <w:pPr>
              <w:pStyle w:val="TableText"/>
              <w:ind w:left="324"/>
              <w:spacing w:before="59" w:line="229" w:lineRule="auto"/>
              <w:rPr/>
            </w:pPr>
            <w:r>
              <w:rPr/>
              <w:t>动物</w:t>
            </w:r>
          </w:p>
        </w:tc>
        <w:tc>
          <w:tcPr>
            <w:tcW w:w="1054" w:type="dxa"/>
            <w:vAlign w:val="top"/>
            <w:vMerge w:val="continue"/>
            <w:tcBorders>
              <w:top w:val="nil"/>
              <w:bottom w:val="nil"/>
            </w:tcBorders>
          </w:tcPr>
          <w:p>
            <w:pPr>
              <w:rPr>
                <w:rFonts w:ascii="Arial"/>
                <w:sz w:val="21"/>
              </w:rPr>
            </w:pPr>
            <w:r/>
          </w:p>
        </w:tc>
        <w:tc>
          <w:tcPr>
            <w:tcW w:w="1133" w:type="dxa"/>
            <w:vAlign w:val="top"/>
            <w:vMerge w:val="continue"/>
            <w:tcBorders>
              <w:top w:val="nil"/>
              <w:bottom w:val="nil"/>
            </w:tcBorders>
          </w:tcPr>
          <w:p>
            <w:pPr>
              <w:rPr>
                <w:rFonts w:ascii="Arial"/>
                <w:sz w:val="21"/>
              </w:rPr>
            </w:pPr>
            <w:r/>
          </w:p>
        </w:tc>
        <w:tc>
          <w:tcPr>
            <w:tcW w:w="2652" w:type="dxa"/>
            <w:vAlign w:val="top"/>
          </w:tcPr>
          <w:p>
            <w:pPr>
              <w:pStyle w:val="TableText"/>
              <w:ind w:left="498"/>
              <w:spacing w:before="59" w:line="229" w:lineRule="auto"/>
              <w:rPr/>
            </w:pPr>
            <w:r>
              <w:rPr>
                <w:spacing w:val="7"/>
              </w:rPr>
              <w:t>动物类型，数量等</w:t>
            </w:r>
          </w:p>
        </w:tc>
        <w:tc>
          <w:tcPr>
            <w:tcW w:w="2652" w:type="dxa"/>
            <w:vAlign w:val="top"/>
            <w:tcBorders>
              <w:right w:val="nil"/>
            </w:tcBorders>
          </w:tcPr>
          <w:p>
            <w:pPr>
              <w:pStyle w:val="TableText"/>
              <w:ind w:left="915"/>
              <w:spacing w:before="58" w:line="232" w:lineRule="auto"/>
              <w:rPr/>
            </w:pPr>
            <w:r>
              <w:rPr>
                <w:spacing w:val="6"/>
              </w:rPr>
              <w:t>现场调查</w:t>
            </w:r>
          </w:p>
        </w:tc>
      </w:tr>
      <w:tr>
        <w:trPr>
          <w:trHeight w:val="674" w:hRule="atLeast"/>
        </w:trPr>
        <w:tc>
          <w:tcPr>
            <w:tcW w:w="1034" w:type="dxa"/>
            <w:vAlign w:val="top"/>
            <w:tcBorders>
              <w:left w:val="nil"/>
            </w:tcBorders>
          </w:tcPr>
          <w:p>
            <w:pPr>
              <w:pStyle w:val="TableText"/>
              <w:ind w:left="215"/>
              <w:spacing w:before="235" w:line="229" w:lineRule="auto"/>
              <w:rPr/>
            </w:pPr>
            <w:r>
              <w:rPr>
                <w:spacing w:val="5"/>
              </w:rPr>
              <w:t>微生物</w:t>
            </w:r>
          </w:p>
        </w:tc>
        <w:tc>
          <w:tcPr>
            <w:tcW w:w="1054" w:type="dxa"/>
            <w:vAlign w:val="top"/>
            <w:vMerge w:val="continue"/>
            <w:tcBorders>
              <w:top w:val="nil"/>
            </w:tcBorders>
          </w:tcPr>
          <w:p>
            <w:pPr>
              <w:rPr>
                <w:rFonts w:ascii="Arial"/>
                <w:sz w:val="21"/>
              </w:rPr>
            </w:pPr>
            <w:r/>
          </w:p>
        </w:tc>
        <w:tc>
          <w:tcPr>
            <w:tcW w:w="1133" w:type="dxa"/>
            <w:vAlign w:val="top"/>
            <w:vMerge w:val="continue"/>
            <w:tcBorders>
              <w:top w:val="nil"/>
              <w:bottom w:val="nil"/>
            </w:tcBorders>
          </w:tcPr>
          <w:p>
            <w:pPr>
              <w:rPr>
                <w:rFonts w:ascii="Arial"/>
                <w:sz w:val="21"/>
              </w:rPr>
            </w:pPr>
            <w:r/>
          </w:p>
        </w:tc>
        <w:tc>
          <w:tcPr>
            <w:tcW w:w="2652" w:type="dxa"/>
            <w:vAlign w:val="top"/>
          </w:tcPr>
          <w:p>
            <w:pPr>
              <w:spacing w:line="299" w:lineRule="auto"/>
              <w:rPr>
                <w:rFonts w:ascii="Arial"/>
                <w:sz w:val="21"/>
              </w:rPr>
            </w:pPr>
            <w:r/>
          </w:p>
          <w:p>
            <w:pPr>
              <w:ind w:left="1261"/>
              <w:spacing w:before="58"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c>
          <w:tcPr>
            <w:tcW w:w="2652" w:type="dxa"/>
            <w:vAlign w:val="top"/>
            <w:tcBorders>
              <w:right w:val="nil"/>
            </w:tcBorders>
          </w:tcPr>
          <w:p>
            <w:pPr>
              <w:pStyle w:val="TableText"/>
              <w:ind w:left="186" w:right="172" w:hanging="1"/>
              <w:spacing w:before="78" w:line="270" w:lineRule="auto"/>
              <w:rPr/>
            </w:pPr>
            <w:r>
              <w:rPr>
                <w:spacing w:val="8"/>
              </w:rPr>
              <w:t>鉴于目前我国及相关行业</w:t>
            </w:r>
            <w:r>
              <w:rPr>
                <w:spacing w:val="7"/>
              </w:rPr>
              <w:t>情况，实际检测有困难。</w:t>
            </w:r>
          </w:p>
        </w:tc>
      </w:tr>
      <w:tr>
        <w:trPr>
          <w:trHeight w:val="357" w:hRule="atLeast"/>
        </w:trPr>
        <w:tc>
          <w:tcPr>
            <w:tcW w:w="1034" w:type="dxa"/>
            <w:vAlign w:val="top"/>
            <w:tcBorders>
              <w:left w:val="nil"/>
            </w:tcBorders>
          </w:tcPr>
          <w:p>
            <w:pPr>
              <w:pStyle w:val="TableText"/>
              <w:ind w:left="357"/>
              <w:spacing w:before="74" w:line="237" w:lineRule="auto"/>
              <w:rPr/>
            </w:pPr>
            <w:r>
              <w:rPr>
                <w:spacing w:val="-16"/>
              </w:rPr>
              <w:t>占地</w:t>
            </w:r>
          </w:p>
        </w:tc>
        <w:tc>
          <w:tcPr>
            <w:tcW w:w="1054" w:type="dxa"/>
            <w:vAlign w:val="top"/>
          </w:tcPr>
          <w:p>
            <w:pPr>
              <w:pStyle w:val="TableText"/>
              <w:ind w:left="135"/>
              <w:spacing w:before="74" w:line="231" w:lineRule="auto"/>
              <w:rPr/>
            </w:pPr>
            <w:r>
              <w:rPr>
                <w:rFonts w:ascii="Times New Roman" w:hAnsi="Times New Roman" w:eastAsia="Times New Roman" w:cs="Times New Roman"/>
                <w:spacing w:val="2"/>
              </w:rPr>
              <w:t>0.5</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r>
              <w:rPr>
                <w:spacing w:val="2"/>
              </w:rPr>
              <w:t>年</w:t>
            </w:r>
          </w:p>
        </w:tc>
        <w:tc>
          <w:tcPr>
            <w:tcW w:w="1133" w:type="dxa"/>
            <w:vAlign w:val="top"/>
            <w:vMerge w:val="continue"/>
            <w:tcBorders>
              <w:top w:val="nil"/>
            </w:tcBorders>
          </w:tcPr>
          <w:p>
            <w:pPr>
              <w:rPr>
                <w:rFonts w:ascii="Arial"/>
                <w:sz w:val="21"/>
              </w:rPr>
            </w:pPr>
            <w:r/>
          </w:p>
        </w:tc>
        <w:tc>
          <w:tcPr>
            <w:tcW w:w="2652" w:type="dxa"/>
            <w:vAlign w:val="top"/>
          </w:tcPr>
          <w:p>
            <w:pPr>
              <w:pStyle w:val="TableText"/>
              <w:ind w:left="952"/>
              <w:spacing w:before="73" w:line="232" w:lineRule="auto"/>
              <w:rPr/>
            </w:pPr>
            <w:r>
              <w:rPr>
                <w:spacing w:val="-3"/>
              </w:rPr>
              <w:t>占地范围</w:t>
            </w:r>
          </w:p>
        </w:tc>
        <w:tc>
          <w:tcPr>
            <w:tcW w:w="2652" w:type="dxa"/>
            <w:vAlign w:val="top"/>
            <w:tcBorders>
              <w:right w:val="nil"/>
            </w:tcBorders>
          </w:tcPr>
          <w:p>
            <w:pPr>
              <w:ind w:left="1261"/>
              <w:spacing w:before="198"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bl>
    <w:p>
      <w:pPr>
        <w:pStyle w:val="BodyText"/>
        <w:spacing w:line="216" w:lineRule="exact"/>
        <w:rPr>
          <w:sz w:val="18"/>
        </w:rPr>
      </w:pPr>
      <w:r/>
    </w:p>
    <w:p>
      <w:pPr>
        <w:spacing w:line="216" w:lineRule="exact"/>
        <w:sectPr>
          <w:footerReference w:type="default" r:id="rId392"/>
          <w:pgSz w:w="11906" w:h="16839"/>
          <w:pgMar w:top="400" w:right="1691" w:bottom="1358" w:left="1689" w:header="0" w:footer="1195" w:gutter="0"/>
        </w:sectPr>
        <w:rPr>
          <w:sz w:val="18"/>
          <w:szCs w:val="18"/>
        </w:rPr>
      </w:pPr>
    </w:p>
    <w:p>
      <w:pPr>
        <w:spacing w:before="19"/>
        <w:rPr/>
      </w:pPr>
      <w:r/>
    </w:p>
    <w:p>
      <w:pPr>
        <w:spacing w:before="19"/>
        <w:rPr/>
      </w:pPr>
      <w:r/>
    </w:p>
    <w:p>
      <w:pPr>
        <w:spacing w:before="18"/>
        <w:rPr/>
      </w:pPr>
      <w:r/>
    </w:p>
    <w:p>
      <w:pPr>
        <w:spacing w:before="18"/>
        <w:rPr/>
      </w:pPr>
      <w:r/>
    </w:p>
    <w:tbl>
      <w:tblPr>
        <w:tblStyle w:val="TableNormal"/>
        <w:tblW w:w="852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4"/>
        <w:gridCol w:w="1053"/>
        <w:gridCol w:w="1133"/>
        <w:gridCol w:w="2652"/>
        <w:gridCol w:w="2652"/>
      </w:tblGrid>
      <w:tr>
        <w:trPr>
          <w:trHeight w:val="640" w:hRule="atLeast"/>
        </w:trPr>
        <w:tc>
          <w:tcPr>
            <w:tcW w:w="1034" w:type="dxa"/>
            <w:vAlign w:val="top"/>
            <w:tcBorders>
              <w:left w:val="nil"/>
            </w:tcBorders>
          </w:tcPr>
          <w:p>
            <w:pPr>
              <w:pStyle w:val="TableText"/>
              <w:ind w:left="426" w:right="200" w:hanging="211"/>
              <w:spacing w:before="64" w:line="261" w:lineRule="auto"/>
              <w:rPr/>
            </w:pPr>
            <w:r>
              <w:rPr>
                <w:spacing w:val="5"/>
              </w:rPr>
              <w:t>矿体移</w:t>
            </w:r>
            <w:r>
              <w:rPr/>
              <w:t>动</w:t>
            </w:r>
          </w:p>
        </w:tc>
        <w:tc>
          <w:tcPr>
            <w:tcW w:w="1053" w:type="dxa"/>
            <w:vAlign w:val="top"/>
          </w:tcPr>
          <w:p>
            <w:pPr>
              <w:pStyle w:val="TableText"/>
              <w:ind w:left="231"/>
              <w:spacing w:before="219" w:line="231" w:lineRule="auto"/>
              <w:rPr/>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年</w:t>
            </w:r>
          </w:p>
        </w:tc>
        <w:tc>
          <w:tcPr>
            <w:tcW w:w="1133" w:type="dxa"/>
            <w:vAlign w:val="top"/>
          </w:tcPr>
          <w:p>
            <w:pPr>
              <w:pStyle w:val="TableText"/>
              <w:ind w:left="145" w:right="144" w:firstLine="14"/>
              <w:spacing w:before="64" w:line="261" w:lineRule="auto"/>
              <w:rPr/>
            </w:pPr>
            <w:r>
              <w:rPr>
                <w:spacing w:val="6"/>
              </w:rPr>
              <w:t>矿区外沿</w:t>
            </w:r>
            <w:r>
              <w:rPr>
                <w:rFonts w:ascii="Times New Roman" w:hAnsi="Times New Roman" w:eastAsia="Times New Roman" w:cs="Times New Roman"/>
                <w:spacing w:val="1"/>
              </w:rPr>
              <w:t>2</w:t>
            </w:r>
            <w:r>
              <w:rPr>
                <w:rFonts w:ascii="Times New Roman" w:hAnsi="Times New Roman" w:eastAsia="Times New Roman" w:cs="Times New Roman"/>
              </w:rPr>
              <w:t>km</w:t>
            </w:r>
            <w:r>
              <w:rPr>
                <w:rFonts w:ascii="Times New Roman" w:hAnsi="Times New Roman" w:eastAsia="Times New Roman" w:cs="Times New Roman"/>
                <w:spacing w:val="28"/>
                <w:w w:val="101"/>
              </w:rPr>
              <w:t xml:space="preserve"> </w:t>
            </w:r>
            <w:r>
              <w:rPr>
                <w:spacing w:val="1"/>
              </w:rPr>
              <w:t>范围</w:t>
            </w:r>
          </w:p>
        </w:tc>
        <w:tc>
          <w:tcPr>
            <w:tcW w:w="2652" w:type="dxa"/>
            <w:vAlign w:val="top"/>
          </w:tcPr>
          <w:p>
            <w:pPr>
              <w:pStyle w:val="TableText"/>
              <w:ind w:left="917"/>
              <w:spacing w:before="219" w:line="232" w:lineRule="auto"/>
              <w:rPr/>
            </w:pPr>
            <w:r>
              <w:rPr>
                <w:spacing w:val="5"/>
              </w:rPr>
              <w:t>移动范围</w:t>
            </w:r>
          </w:p>
        </w:tc>
        <w:tc>
          <w:tcPr>
            <w:tcW w:w="2652" w:type="dxa"/>
            <w:vAlign w:val="top"/>
            <w:tcBorders>
              <w:right w:val="nil"/>
            </w:tcBorders>
          </w:tcPr>
          <w:p>
            <w:pPr>
              <w:pStyle w:val="TableText"/>
              <w:ind w:left="603"/>
              <w:spacing w:before="219" w:line="231" w:lineRule="auto"/>
              <w:rPr/>
            </w:pPr>
            <w:r>
              <w:rPr>
                <w:spacing w:val="7"/>
              </w:rPr>
              <w:t>倾斜角、移动区</w:t>
            </w:r>
          </w:p>
        </w:tc>
      </w:tr>
      <w:tr>
        <w:trPr>
          <w:trHeight w:val="1028" w:hRule="atLeast"/>
        </w:trPr>
        <w:tc>
          <w:tcPr>
            <w:tcW w:w="1034" w:type="dxa"/>
            <w:vAlign w:val="top"/>
            <w:tcBorders>
              <w:bottom w:val="single" w:color="000000" w:sz="10" w:space="0"/>
              <w:left w:val="nil"/>
            </w:tcBorders>
          </w:tcPr>
          <w:p>
            <w:pPr>
              <w:pStyle w:val="TableText"/>
              <w:ind w:left="438" w:right="200" w:hanging="222"/>
              <w:spacing w:before="256" w:line="288" w:lineRule="auto"/>
              <w:rPr/>
            </w:pPr>
            <w:r>
              <w:rPr>
                <w:spacing w:val="4"/>
              </w:rPr>
              <w:t>地表塌</w:t>
            </w:r>
            <w:r>
              <w:rPr/>
              <w:t>陷</w:t>
            </w:r>
          </w:p>
        </w:tc>
        <w:tc>
          <w:tcPr>
            <w:tcW w:w="1053" w:type="dxa"/>
            <w:vAlign w:val="top"/>
            <w:tcBorders>
              <w:bottom w:val="single" w:color="000000" w:sz="10" w:space="0"/>
            </w:tcBorders>
          </w:tcPr>
          <w:p>
            <w:pPr>
              <w:spacing w:line="344" w:lineRule="auto"/>
              <w:rPr>
                <w:rFonts w:ascii="Arial"/>
                <w:sz w:val="21"/>
              </w:rPr>
            </w:pPr>
            <w:r/>
          </w:p>
          <w:p>
            <w:pPr>
              <w:pStyle w:val="TableText"/>
              <w:ind w:left="231"/>
              <w:spacing w:before="65" w:line="231" w:lineRule="auto"/>
              <w:rPr/>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年</w:t>
            </w:r>
          </w:p>
        </w:tc>
        <w:tc>
          <w:tcPr>
            <w:tcW w:w="1133" w:type="dxa"/>
            <w:vAlign w:val="top"/>
            <w:tcBorders>
              <w:bottom w:val="single" w:color="000000" w:sz="10" w:space="0"/>
            </w:tcBorders>
          </w:tcPr>
          <w:p>
            <w:pPr>
              <w:pStyle w:val="TableText"/>
              <w:ind w:left="145" w:right="144" w:firstLine="14"/>
              <w:spacing w:before="255" w:line="289" w:lineRule="auto"/>
              <w:rPr/>
            </w:pPr>
            <w:r>
              <w:rPr>
                <w:spacing w:val="6"/>
              </w:rPr>
              <w:t>矿区外沿</w:t>
            </w:r>
            <w:r>
              <w:rPr>
                <w:rFonts w:ascii="Times New Roman" w:hAnsi="Times New Roman" w:eastAsia="Times New Roman" w:cs="Times New Roman"/>
                <w:spacing w:val="1"/>
              </w:rPr>
              <w:t>2</w:t>
            </w:r>
            <w:r>
              <w:rPr>
                <w:rFonts w:ascii="Times New Roman" w:hAnsi="Times New Roman" w:eastAsia="Times New Roman" w:cs="Times New Roman"/>
              </w:rPr>
              <w:t>km</w:t>
            </w:r>
            <w:r>
              <w:rPr>
                <w:rFonts w:ascii="Times New Roman" w:hAnsi="Times New Roman" w:eastAsia="Times New Roman" w:cs="Times New Roman"/>
                <w:spacing w:val="28"/>
                <w:w w:val="101"/>
              </w:rPr>
              <w:t xml:space="preserve"> </w:t>
            </w:r>
            <w:r>
              <w:rPr>
                <w:spacing w:val="1"/>
              </w:rPr>
              <w:t>范围</w:t>
            </w:r>
          </w:p>
        </w:tc>
        <w:tc>
          <w:tcPr>
            <w:tcW w:w="2652" w:type="dxa"/>
            <w:vAlign w:val="top"/>
            <w:tcBorders>
              <w:bottom w:val="single" w:color="000000" w:sz="10" w:space="0"/>
            </w:tcBorders>
          </w:tcPr>
          <w:p>
            <w:pPr>
              <w:pStyle w:val="TableText"/>
              <w:ind w:left="121"/>
              <w:spacing w:before="255" w:line="232" w:lineRule="auto"/>
              <w:rPr/>
            </w:pPr>
            <w:r>
              <w:rPr>
                <w:spacing w:val="1"/>
              </w:rPr>
              <w:t>天然动态和人工动态、地震</w:t>
            </w:r>
          </w:p>
          <w:p>
            <w:pPr>
              <w:pStyle w:val="TableText"/>
              <w:ind w:left="1134"/>
              <w:spacing w:before="61" w:line="232" w:lineRule="auto"/>
              <w:rPr/>
            </w:pPr>
            <w:r>
              <w:rPr>
                <w:spacing w:val="-1"/>
              </w:rPr>
              <w:t>活动</w:t>
            </w:r>
          </w:p>
        </w:tc>
        <w:tc>
          <w:tcPr>
            <w:tcW w:w="2652" w:type="dxa"/>
            <w:vAlign w:val="top"/>
            <w:tcBorders>
              <w:bottom w:val="single" w:color="000000" w:sz="10" w:space="0"/>
              <w:right w:val="nil"/>
            </w:tcBorders>
          </w:tcPr>
          <w:p>
            <w:pPr>
              <w:pStyle w:val="TableText"/>
              <w:ind w:left="118"/>
              <w:spacing w:before="99" w:line="229" w:lineRule="auto"/>
              <w:rPr/>
            </w:pPr>
            <w:r>
              <w:rPr>
                <w:spacing w:val="2"/>
              </w:rPr>
              <w:t>岩土体性质和地下洞穴，测</w:t>
            </w:r>
          </w:p>
          <w:p>
            <w:pPr>
              <w:pStyle w:val="TableText"/>
              <w:ind w:left="124"/>
              <w:spacing w:before="64" w:line="229" w:lineRule="auto"/>
              <w:rPr/>
            </w:pPr>
            <w:r>
              <w:rPr>
                <w:spacing w:val="7"/>
              </w:rPr>
              <w:t>量地面变形和建筑物开裂、</w:t>
            </w:r>
          </w:p>
          <w:p>
            <w:pPr>
              <w:pStyle w:val="TableText"/>
              <w:ind w:left="814"/>
              <w:spacing w:before="63" w:line="230" w:lineRule="auto"/>
              <w:rPr/>
            </w:pPr>
            <w:r>
              <w:rPr>
                <w:spacing w:val="7"/>
              </w:rPr>
              <w:t>倾斜、沉陷</w:t>
            </w:r>
          </w:p>
        </w:tc>
      </w:tr>
    </w:tbl>
    <w:p>
      <w:pPr>
        <w:pStyle w:val="BodyText"/>
        <w:spacing w:line="251" w:lineRule="auto"/>
        <w:rPr/>
      </w:pPr>
      <w:r/>
    </w:p>
    <w:p>
      <w:pPr>
        <w:pStyle w:val="BodyText"/>
        <w:spacing w:line="252" w:lineRule="auto"/>
        <w:rPr/>
      </w:pPr>
      <w:r/>
    </w:p>
    <w:p>
      <w:pPr>
        <w:ind w:left="125" w:right="192" w:firstLine="480"/>
        <w:spacing w:before="78" w:line="360" w:lineRule="auto"/>
        <w:jc w:val="both"/>
        <w:rPr>
          <w:rFonts w:ascii="FangSong" w:hAnsi="FangSong" w:eastAsia="FangSong" w:cs="FangSong"/>
          <w:sz w:val="24"/>
          <w:szCs w:val="24"/>
        </w:rPr>
      </w:pPr>
      <w:r>
        <w:rPr>
          <w:rFonts w:ascii="FangSong" w:hAnsi="FangSong" w:eastAsia="FangSong" w:cs="FangSong"/>
          <w:sz w:val="24"/>
          <w:szCs w:val="24"/>
          <w:spacing w:val="-2"/>
        </w:rPr>
        <w:t>此外企业可向相关部门查询区域遥感技术（</w:t>
      </w:r>
      <w:r>
        <w:rPr>
          <w:rFonts w:ascii="Times New Roman" w:hAnsi="Times New Roman" w:eastAsia="Times New Roman" w:cs="Times New Roman"/>
          <w:sz w:val="24"/>
          <w:szCs w:val="24"/>
          <w:spacing w:val="-2"/>
        </w:rPr>
        <w:t>RS</w:t>
      </w:r>
      <w:r>
        <w:rPr>
          <w:rFonts w:ascii="FangSong" w:hAnsi="FangSong" w:eastAsia="FangSong" w:cs="FangSong"/>
          <w:sz w:val="24"/>
          <w:szCs w:val="24"/>
          <w:spacing w:val="-2"/>
        </w:rPr>
        <w:t>）、地理信息系统（</w:t>
      </w:r>
      <w:r>
        <w:rPr>
          <w:rFonts w:ascii="Times New Roman" w:hAnsi="Times New Roman" w:eastAsia="Times New Roman" w:cs="Times New Roman"/>
          <w:sz w:val="24"/>
          <w:szCs w:val="24"/>
          <w:spacing w:val="-2"/>
        </w:rPr>
        <w:t>GIS</w:t>
      </w:r>
      <w:r>
        <w:rPr>
          <w:rFonts w:ascii="FangSong" w:hAnsi="FangSong" w:eastAsia="FangSong" w:cs="FangSong"/>
          <w:sz w:val="24"/>
          <w:szCs w:val="24"/>
          <w:spacing w:val="-2"/>
        </w:rPr>
        <w:t>）、</w:t>
      </w:r>
      <w:r>
        <w:rPr>
          <w:rFonts w:ascii="FangSong" w:hAnsi="FangSong" w:eastAsia="FangSong" w:cs="FangSong"/>
          <w:sz w:val="24"/>
          <w:szCs w:val="24"/>
          <w:spacing w:val="-2"/>
        </w:rPr>
        <w:t>全球定位系统（</w:t>
      </w:r>
      <w:r>
        <w:rPr>
          <w:rFonts w:ascii="Times New Roman" w:hAnsi="Times New Roman" w:eastAsia="Times New Roman" w:cs="Times New Roman"/>
          <w:sz w:val="24"/>
          <w:szCs w:val="24"/>
          <w:spacing w:val="-2"/>
        </w:rPr>
        <w:t>GPS</w:t>
      </w:r>
      <w:r>
        <w:rPr>
          <w:rFonts w:ascii="FangSong" w:hAnsi="FangSong" w:eastAsia="FangSong" w:cs="FangSong"/>
          <w:sz w:val="24"/>
          <w:szCs w:val="24"/>
          <w:spacing w:val="-2"/>
        </w:rPr>
        <w:t>）等数据，控制施工期及运营期的占地面积；监测临时施工</w:t>
      </w:r>
      <w:r>
        <w:rPr>
          <w:rFonts w:ascii="FangSong" w:hAnsi="FangSong" w:eastAsia="FangSong" w:cs="FangSong"/>
          <w:sz w:val="24"/>
          <w:szCs w:val="24"/>
          <w:spacing w:val="-3"/>
        </w:rPr>
        <w:t>场地及废石堆场的生态恢复情况，植被覆盖程度；对已经进行生态恢复的土</w:t>
      </w:r>
      <w:r>
        <w:rPr>
          <w:rFonts w:ascii="FangSong" w:hAnsi="FangSong" w:eastAsia="FangSong" w:cs="FangSong"/>
          <w:sz w:val="24"/>
          <w:szCs w:val="24"/>
          <w:spacing w:val="-4"/>
        </w:rPr>
        <w:t>地进</w:t>
      </w:r>
      <w:r>
        <w:rPr>
          <w:rFonts w:ascii="FangSong" w:hAnsi="FangSong" w:eastAsia="FangSong" w:cs="FangSong"/>
          <w:sz w:val="24"/>
          <w:szCs w:val="24"/>
          <w:spacing w:val="-2"/>
        </w:rPr>
        <w:t>行生态系统生产力调查。</w:t>
      </w:r>
    </w:p>
    <w:p>
      <w:pPr>
        <w:ind w:left="124"/>
        <w:spacing w:line="222" w:lineRule="auto"/>
        <w:outlineLvl w:val="2"/>
        <w:rPr>
          <w:rFonts w:ascii="FangSong" w:hAnsi="FangSong" w:eastAsia="FangSong" w:cs="FangSong"/>
          <w:sz w:val="24"/>
          <w:szCs w:val="24"/>
        </w:rPr>
      </w:pPr>
      <w:bookmarkStart w:name="bookmark431" w:id="577"/>
      <w:bookmarkEnd w:id="577"/>
      <w:bookmarkStart w:name="bookmark430" w:id="578"/>
      <w:bookmarkEnd w:id="578"/>
      <w:r>
        <w:rPr>
          <w:rFonts w:ascii="Times New Roman" w:hAnsi="Times New Roman" w:eastAsia="Times New Roman" w:cs="Times New Roman"/>
          <w:sz w:val="24"/>
          <w:szCs w:val="24"/>
          <w:b/>
          <w:bCs/>
          <w:spacing w:val="-2"/>
        </w:rPr>
        <w:t>10.8.3  </w:t>
      </w:r>
      <w:r>
        <w:rPr>
          <w:rFonts w:ascii="FangSong" w:hAnsi="FangSong" w:eastAsia="FangSong" w:cs="FangSong"/>
          <w:sz w:val="24"/>
          <w:szCs w:val="24"/>
          <w:b/>
          <w:bCs/>
          <w:spacing w:val="-2"/>
        </w:rPr>
        <w:t>监测技术要求及档案管理</w:t>
      </w:r>
    </w:p>
    <w:p>
      <w:pPr>
        <w:ind w:left="155" w:right="90" w:firstLine="449"/>
        <w:spacing w:before="178" w:line="360" w:lineRule="auto"/>
        <w:rPr>
          <w:rFonts w:ascii="FangSong" w:hAnsi="FangSong" w:eastAsia="FangSong" w:cs="FangSong"/>
          <w:sz w:val="24"/>
          <w:szCs w:val="24"/>
        </w:rPr>
      </w:pPr>
      <w:r>
        <w:rPr>
          <w:rFonts w:ascii="FangSong" w:hAnsi="FangSong" w:eastAsia="FangSong" w:cs="FangSong"/>
          <w:sz w:val="24"/>
          <w:szCs w:val="24"/>
          <w:spacing w:val="-7"/>
        </w:rPr>
        <w:t>环境监测采样、分析方法、数据处理及技术要求均遵循《环境监测技术规</w:t>
      </w:r>
      <w:r>
        <w:rPr>
          <w:rFonts w:ascii="FangSong" w:hAnsi="FangSong" w:eastAsia="FangSong" w:cs="FangSong"/>
          <w:sz w:val="24"/>
          <w:szCs w:val="24"/>
          <w:spacing w:val="-8"/>
        </w:rPr>
        <w:t>范》</w:t>
      </w:r>
      <w:r>
        <w:rPr>
          <w:rFonts w:ascii="FangSong" w:hAnsi="FangSong" w:eastAsia="FangSong" w:cs="FangSong"/>
          <w:sz w:val="24"/>
          <w:szCs w:val="24"/>
          <w:spacing w:val="-3"/>
        </w:rPr>
        <w:t>中有关环境要素监测技术规定的方法进行。</w:t>
      </w:r>
    </w:p>
    <w:p>
      <w:pPr>
        <w:ind w:left="123" w:firstLine="481"/>
        <w:spacing w:before="4" w:line="359" w:lineRule="auto"/>
        <w:jc w:val="both"/>
        <w:rPr>
          <w:rFonts w:ascii="FangSong" w:hAnsi="FangSong" w:eastAsia="FangSong" w:cs="FangSong"/>
          <w:sz w:val="24"/>
          <w:szCs w:val="24"/>
        </w:rPr>
      </w:pPr>
      <w:r>
        <w:rPr>
          <w:rFonts w:ascii="FangSong" w:hAnsi="FangSong" w:eastAsia="FangSong" w:cs="FangSong"/>
          <w:sz w:val="24"/>
          <w:szCs w:val="24"/>
          <w:spacing w:val="-3"/>
        </w:rPr>
        <w:t>企业对自身污染源及污染物排放实行例行监测、控制污染</w:t>
      </w:r>
      <w:r>
        <w:rPr>
          <w:rFonts w:ascii="FangSong" w:hAnsi="FangSong" w:eastAsia="FangSong" w:cs="FangSong"/>
          <w:sz w:val="24"/>
          <w:szCs w:val="24"/>
          <w:spacing w:val="-4"/>
        </w:rPr>
        <w:t>是企业做好环境保</w:t>
      </w:r>
      <w:r>
        <w:rPr>
          <w:rFonts w:ascii="FangSong" w:hAnsi="FangSong" w:eastAsia="FangSong" w:cs="FangSong"/>
          <w:sz w:val="24"/>
          <w:szCs w:val="24"/>
          <w:spacing w:val="-3"/>
        </w:rPr>
        <w:t>护工作的职责之一。监测资料应进行技术分析、分类存档、科学管理，为企业防</w:t>
      </w:r>
      <w:r>
        <w:rPr>
          <w:rFonts w:ascii="FangSong" w:hAnsi="FangSong" w:eastAsia="FangSong" w:cs="FangSong"/>
          <w:sz w:val="24"/>
          <w:szCs w:val="24"/>
          <w:spacing w:val="-4"/>
        </w:rPr>
        <w:t>治环境污染途径和治理措施提供必要的依据；同时也是企业的环境保护</w:t>
      </w:r>
      <w:r>
        <w:rPr>
          <w:rFonts w:ascii="FangSong" w:hAnsi="FangSong" w:eastAsia="FangSong" w:cs="FangSong"/>
          <w:sz w:val="24"/>
          <w:szCs w:val="24"/>
          <w:spacing w:val="-5"/>
        </w:rPr>
        <w:t>资料统计、</w:t>
      </w:r>
      <w:r>
        <w:rPr>
          <w:rFonts w:ascii="FangSong" w:hAnsi="FangSong" w:eastAsia="FangSong" w:cs="FangSong"/>
          <w:sz w:val="24"/>
          <w:szCs w:val="24"/>
          <w:spacing w:val="-4"/>
        </w:rPr>
        <w:t>上报、查阅、</w:t>
      </w:r>
      <w:r>
        <w:rPr>
          <w:rFonts w:ascii="FangSong" w:hAnsi="FangSong" w:eastAsia="FangSong" w:cs="FangSong"/>
          <w:sz w:val="24"/>
          <w:szCs w:val="24"/>
          <w:spacing w:val="-45"/>
        </w:rPr>
        <w:t xml:space="preserve"> </w:t>
      </w:r>
      <w:r>
        <w:rPr>
          <w:rFonts w:ascii="FangSong" w:hAnsi="FangSong" w:eastAsia="FangSong" w:cs="FangSong"/>
          <w:sz w:val="24"/>
          <w:szCs w:val="24"/>
          <w:spacing w:val="-4"/>
        </w:rPr>
        <w:t>目标管理等必须要做的工作内容之一。</w:t>
      </w:r>
    </w:p>
    <w:p>
      <w:pPr>
        <w:ind w:left="127"/>
        <w:spacing w:before="57" w:line="223" w:lineRule="auto"/>
        <w:outlineLvl w:val="1"/>
        <w:rPr>
          <w:rFonts w:ascii="FangSong" w:hAnsi="FangSong" w:eastAsia="FangSong" w:cs="FangSong"/>
          <w:sz w:val="28"/>
          <w:szCs w:val="28"/>
        </w:rPr>
      </w:pPr>
      <w:bookmarkStart w:name="bookmark433" w:id="579"/>
      <w:bookmarkEnd w:id="579"/>
      <w:bookmarkStart w:name="bookmark432" w:id="580"/>
      <w:bookmarkEnd w:id="580"/>
      <w:r>
        <w:rPr>
          <w:rFonts w:ascii="Times New Roman" w:hAnsi="Times New Roman" w:eastAsia="Times New Roman" w:cs="Times New Roman"/>
          <w:sz w:val="28"/>
          <w:szCs w:val="28"/>
          <w:b/>
          <w:bCs/>
          <w:spacing w:val="-3"/>
        </w:rPr>
        <w:t>10.9  </w:t>
      </w:r>
      <w:r>
        <w:rPr>
          <w:rFonts w:ascii="FangSong" w:hAnsi="FangSong" w:eastAsia="FangSong" w:cs="FangSong"/>
          <w:sz w:val="28"/>
          <w:szCs w:val="28"/>
          <w:b/>
          <w:bCs/>
          <w:spacing w:val="-3"/>
        </w:rPr>
        <w:t>排污口规范化设置</w:t>
      </w:r>
    </w:p>
    <w:p>
      <w:pPr>
        <w:ind w:left="123" w:right="131" w:firstLine="481"/>
        <w:spacing w:before="230" w:line="360" w:lineRule="auto"/>
        <w:jc w:val="both"/>
        <w:rPr>
          <w:rFonts w:ascii="FangSong" w:hAnsi="FangSong" w:eastAsia="FangSong" w:cs="FangSong"/>
          <w:sz w:val="24"/>
          <w:szCs w:val="24"/>
        </w:rPr>
      </w:pPr>
      <w:r>
        <w:rPr>
          <w:rFonts w:ascii="FangSong" w:hAnsi="FangSong" w:eastAsia="FangSong" w:cs="FangSong"/>
          <w:sz w:val="24"/>
          <w:szCs w:val="24"/>
        </w:rPr>
        <w:t>根据国家标准《环境保护图形标志</w:t>
      </w:r>
      <w:r>
        <w:rPr>
          <w:rFonts w:ascii="Times New Roman" w:hAnsi="Times New Roman" w:eastAsia="Times New Roman" w:cs="Times New Roman"/>
          <w:sz w:val="24"/>
          <w:szCs w:val="24"/>
        </w:rPr>
        <w:t>-</w:t>
      </w:r>
      <w:r>
        <w:rPr>
          <w:rFonts w:ascii="FangSong" w:hAnsi="FangSong" w:eastAsia="FangSong" w:cs="FangSong"/>
          <w:sz w:val="24"/>
          <w:szCs w:val="24"/>
        </w:rPr>
        <w:t>排放</w:t>
      </w:r>
      <w:r>
        <w:rPr>
          <w:rFonts w:ascii="FangSong" w:hAnsi="FangSong" w:eastAsia="FangSong" w:cs="FangSong"/>
          <w:sz w:val="24"/>
          <w:szCs w:val="24"/>
          <w:spacing w:val="-58"/>
        </w:rPr>
        <w:t xml:space="preserve"> </w:t>
      </w:r>
      <w:r>
        <w:rPr>
          <w:rFonts w:ascii="FangSong" w:hAnsi="FangSong" w:eastAsia="FangSong" w:cs="FangSong"/>
          <w:sz w:val="24"/>
          <w:szCs w:val="24"/>
        </w:rPr>
        <w:t>口（源）》和</w:t>
      </w:r>
      <w:r>
        <w:rPr>
          <w:rFonts w:ascii="FangSong" w:hAnsi="FangSong" w:eastAsia="FangSong" w:cs="FangSong"/>
          <w:sz w:val="24"/>
          <w:szCs w:val="24"/>
          <w:spacing w:val="-1"/>
        </w:rPr>
        <w:t>国家环保总局《排污</w:t>
      </w:r>
      <w:r>
        <w:rPr>
          <w:rFonts w:ascii="FangSong" w:hAnsi="FangSong" w:eastAsia="FangSong" w:cs="FangSong"/>
          <w:sz w:val="24"/>
          <w:szCs w:val="24"/>
          <w:spacing w:val="-5"/>
        </w:rPr>
        <w:t>口规范化整治要求》（试行）的技术要求，企业所有排放</w:t>
      </w:r>
      <w:r>
        <w:rPr>
          <w:rFonts w:ascii="FangSong" w:hAnsi="FangSong" w:eastAsia="FangSong" w:cs="FangSong"/>
          <w:sz w:val="24"/>
          <w:szCs w:val="24"/>
          <w:spacing w:val="-50"/>
        </w:rPr>
        <w:t xml:space="preserve"> </w:t>
      </w:r>
      <w:r>
        <w:rPr>
          <w:rFonts w:ascii="FangSong" w:hAnsi="FangSong" w:eastAsia="FangSong" w:cs="FangSong"/>
          <w:sz w:val="24"/>
          <w:szCs w:val="24"/>
          <w:spacing w:val="-5"/>
        </w:rPr>
        <w:t>口（包括声、渣）必须</w:t>
      </w:r>
      <w:r>
        <w:rPr>
          <w:rFonts w:ascii="FangSong" w:hAnsi="FangSong" w:eastAsia="FangSong" w:cs="FangSong"/>
          <w:sz w:val="24"/>
          <w:szCs w:val="24"/>
          <w:spacing w:val="-9"/>
        </w:rPr>
        <w:t>按照“便于采样、便于计量检测、便于日常现场监督检查</w:t>
      </w:r>
      <w:r>
        <w:rPr>
          <w:rFonts w:ascii="FangSong" w:hAnsi="FangSong" w:eastAsia="FangSong" w:cs="FangSong"/>
          <w:sz w:val="24"/>
          <w:szCs w:val="24"/>
          <w:spacing w:val="-76"/>
        </w:rPr>
        <w:t xml:space="preserve"> </w:t>
      </w:r>
      <w:r>
        <w:rPr>
          <w:rFonts w:ascii="FangSong" w:hAnsi="FangSong" w:eastAsia="FangSong" w:cs="FangSong"/>
          <w:sz w:val="24"/>
          <w:szCs w:val="24"/>
          <w:spacing w:val="-9"/>
        </w:rPr>
        <w:t>”的原则和规范化要求，</w:t>
      </w:r>
      <w:r>
        <w:rPr>
          <w:rFonts w:ascii="FangSong" w:hAnsi="FangSong" w:eastAsia="FangSong" w:cs="FangSong"/>
          <w:sz w:val="24"/>
          <w:szCs w:val="24"/>
          <w:spacing w:val="-3"/>
        </w:rPr>
        <w:t>设置与之相适应的环境保护图形标志牌，绘制企业排污口分布图，对治理设施安</w:t>
      </w:r>
      <w:r>
        <w:rPr>
          <w:rFonts w:ascii="FangSong" w:hAnsi="FangSong" w:eastAsia="FangSong" w:cs="FangSong"/>
          <w:sz w:val="24"/>
          <w:szCs w:val="24"/>
          <w:spacing w:val="-1"/>
        </w:rPr>
        <w:t>装运行监控装置、排污口规范化要符合有关要求。</w:t>
      </w:r>
    </w:p>
    <w:p>
      <w:pPr>
        <w:ind w:left="127" w:right="196" w:firstLine="482"/>
        <w:spacing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）固定废气排放源：按照对丁对固定废气进行治理，并在对外界影响最</w:t>
      </w:r>
      <w:r>
        <w:rPr>
          <w:rFonts w:ascii="FangSong" w:hAnsi="FangSong" w:eastAsia="FangSong" w:cs="FangSong"/>
          <w:sz w:val="24"/>
          <w:szCs w:val="24"/>
          <w:spacing w:val="-3"/>
        </w:rPr>
        <w:t>大处设置标志牌</w:t>
      </w:r>
    </w:p>
    <w:p>
      <w:pPr>
        <w:ind w:left="127" w:right="120" w:firstLine="482"/>
        <w:spacing w:before="179" w:line="291"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）固定噪声排放源：按规定对固定噪声进行治理，并在边界噪声敏感点、</w:t>
      </w:r>
      <w:r>
        <w:rPr>
          <w:rFonts w:ascii="FangSong" w:hAnsi="FangSong" w:eastAsia="FangSong" w:cs="FangSong"/>
          <w:sz w:val="24"/>
          <w:szCs w:val="24"/>
          <w:spacing w:val="-2"/>
        </w:rPr>
        <w:t>且对外界影响最大处设置标志牌。</w:t>
      </w:r>
    </w:p>
    <w:p>
      <w:pPr>
        <w:ind w:left="123" w:right="131" w:firstLine="485"/>
        <w:spacing w:before="180" w:line="290"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w:t>
      </w:r>
      <w:r>
        <w:rPr>
          <w:rFonts w:ascii="FangSong" w:hAnsi="FangSong" w:eastAsia="FangSong" w:cs="FangSong"/>
          <w:sz w:val="24"/>
          <w:szCs w:val="24"/>
          <w:spacing w:val="-5"/>
        </w:rPr>
        <w:t>）固体废物贮存（处置）场：对各种固体废物应分别收集、贮存和运输，</w:t>
      </w:r>
      <w:r>
        <w:rPr>
          <w:rFonts w:ascii="FangSong" w:hAnsi="FangSong" w:eastAsia="FangSong" w:cs="FangSong"/>
          <w:sz w:val="24"/>
          <w:szCs w:val="24"/>
          <w:spacing w:val="-1"/>
        </w:rPr>
        <w:t>设置专用堆放场所，有防扬散、防流失、防渗漏等措施。</w:t>
      </w:r>
    </w:p>
    <w:p>
      <w:pPr>
        <w:ind w:left="609"/>
        <w:spacing w:before="182"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）设置标志牌要求</w:t>
      </w:r>
    </w:p>
    <w:p>
      <w:pPr>
        <w:ind w:left="604"/>
        <w:spacing w:before="179" w:line="220" w:lineRule="auto"/>
        <w:rPr>
          <w:rFonts w:ascii="FangSong" w:hAnsi="FangSong" w:eastAsia="FangSong" w:cs="FangSong"/>
          <w:sz w:val="24"/>
          <w:szCs w:val="24"/>
        </w:rPr>
      </w:pPr>
      <w:r>
        <w:rPr>
          <w:rFonts w:ascii="FangSong" w:hAnsi="FangSong" w:eastAsia="FangSong" w:cs="FangSong"/>
          <w:sz w:val="24"/>
          <w:szCs w:val="24"/>
          <w:spacing w:val="-3"/>
        </w:rPr>
        <w:t>环境保护图形标志由国家环保局统一定点制作，并由环境监</w:t>
      </w:r>
      <w:r>
        <w:rPr>
          <w:rFonts w:ascii="FangSong" w:hAnsi="FangSong" w:eastAsia="FangSong" w:cs="FangSong"/>
          <w:sz w:val="24"/>
          <w:szCs w:val="24"/>
          <w:spacing w:val="-4"/>
        </w:rPr>
        <w:t>理部门根据企业</w:t>
      </w:r>
    </w:p>
    <w:p>
      <w:pPr>
        <w:spacing w:line="220" w:lineRule="auto"/>
        <w:sectPr>
          <w:footerReference w:type="default" r:id="rId393"/>
          <w:pgSz w:w="11906" w:h="16839"/>
          <w:pgMar w:top="400" w:right="1600" w:bottom="1358" w:left="1689"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4"/>
        <w:spacing w:before="78" w:line="360" w:lineRule="auto"/>
        <w:jc w:val="both"/>
        <w:rPr>
          <w:rFonts w:ascii="FangSong" w:hAnsi="FangSong" w:eastAsia="FangSong" w:cs="FangSong"/>
          <w:sz w:val="24"/>
          <w:szCs w:val="24"/>
        </w:rPr>
      </w:pPr>
      <w:bookmarkStart w:name="bookmark639" w:id="581"/>
      <w:bookmarkEnd w:id="581"/>
      <w:r>
        <w:rPr>
          <w:rFonts w:ascii="FangSong" w:hAnsi="FangSong" w:eastAsia="FangSong" w:cs="FangSong"/>
          <w:sz w:val="24"/>
          <w:szCs w:val="24"/>
          <w:spacing w:val="-4"/>
        </w:rPr>
        <w:t>排污情况统一向国家环保局订购。企业排污口分布图由市环境监察支队统一订制。</w:t>
      </w:r>
      <w:r>
        <w:rPr>
          <w:rFonts w:ascii="FangSong" w:hAnsi="FangSong" w:eastAsia="FangSong" w:cs="FangSong"/>
          <w:sz w:val="24"/>
          <w:szCs w:val="24"/>
          <w:spacing w:val="-6"/>
        </w:rPr>
        <w:t>排放一般污染物</w:t>
      </w:r>
      <w:r>
        <w:rPr>
          <w:rFonts w:ascii="FangSong" w:hAnsi="FangSong" w:eastAsia="FangSong" w:cs="FangSong"/>
          <w:sz w:val="24"/>
          <w:szCs w:val="24"/>
          <w:spacing w:val="-61"/>
        </w:rPr>
        <w:t xml:space="preserve"> </w:t>
      </w:r>
      <w:r>
        <w:rPr>
          <w:rFonts w:ascii="FangSong" w:hAnsi="FangSong" w:eastAsia="FangSong" w:cs="FangSong"/>
          <w:sz w:val="24"/>
          <w:szCs w:val="24"/>
          <w:spacing w:val="-6"/>
        </w:rPr>
        <w:t>口（源</w:t>
      </w:r>
      <w:r>
        <w:rPr>
          <w:rFonts w:ascii="FangSong" w:hAnsi="FangSong" w:eastAsia="FangSong" w:cs="FangSong"/>
          <w:sz w:val="24"/>
          <w:szCs w:val="24"/>
          <w:spacing w:val="-12"/>
        </w:rPr>
        <w:t>），</w:t>
      </w:r>
      <w:r>
        <w:rPr>
          <w:rFonts w:ascii="FangSong" w:hAnsi="FangSong" w:eastAsia="FangSong" w:cs="FangSong"/>
          <w:sz w:val="24"/>
          <w:szCs w:val="24"/>
          <w:spacing w:val="-6"/>
        </w:rPr>
        <w:t>设置提示式标志牌，排放有毒有害等污染物的排污</w:t>
      </w:r>
      <w:r>
        <w:rPr>
          <w:rFonts w:ascii="FangSong" w:hAnsi="FangSong" w:eastAsia="FangSong" w:cs="FangSong"/>
          <w:sz w:val="24"/>
          <w:szCs w:val="24"/>
          <w:spacing w:val="-60"/>
        </w:rPr>
        <w:t xml:space="preserve"> </w:t>
      </w:r>
      <w:r>
        <w:rPr>
          <w:rFonts w:ascii="FangSong" w:hAnsi="FangSong" w:eastAsia="FangSong" w:cs="FangSong"/>
          <w:sz w:val="24"/>
          <w:szCs w:val="24"/>
          <w:spacing w:val="-6"/>
        </w:rPr>
        <w:t>口</w:t>
      </w:r>
      <w:r>
        <w:rPr>
          <w:rFonts w:ascii="FangSong" w:hAnsi="FangSong" w:eastAsia="FangSong" w:cs="FangSong"/>
          <w:sz w:val="24"/>
          <w:szCs w:val="24"/>
          <w:spacing w:val="-2"/>
        </w:rPr>
        <w:t>设置警告标志牌。</w:t>
      </w:r>
    </w:p>
    <w:p>
      <w:pPr>
        <w:ind w:left="32" w:right="203" w:firstLine="474"/>
        <w:spacing w:line="360" w:lineRule="auto"/>
        <w:jc w:val="both"/>
        <w:rPr>
          <w:rFonts w:ascii="FangSong" w:hAnsi="FangSong" w:eastAsia="FangSong" w:cs="FangSong"/>
          <w:sz w:val="24"/>
          <w:szCs w:val="24"/>
        </w:rPr>
      </w:pPr>
      <w:r>
        <w:rPr>
          <w:rFonts w:ascii="FangSong" w:hAnsi="FangSong" w:eastAsia="FangSong" w:cs="FangSong"/>
          <w:sz w:val="24"/>
          <w:szCs w:val="24"/>
          <w:spacing w:val="-7"/>
        </w:rPr>
        <w:t>标志牌设置位置在排污</w:t>
      </w:r>
      <w:r>
        <w:rPr>
          <w:rFonts w:ascii="FangSong" w:hAnsi="FangSong" w:eastAsia="FangSong" w:cs="FangSong"/>
          <w:sz w:val="24"/>
          <w:szCs w:val="24"/>
          <w:spacing w:val="-53"/>
        </w:rPr>
        <w:t xml:space="preserve"> </w:t>
      </w:r>
      <w:r>
        <w:rPr>
          <w:rFonts w:ascii="FangSong" w:hAnsi="FangSong" w:eastAsia="FangSong" w:cs="FangSong"/>
          <w:sz w:val="24"/>
          <w:szCs w:val="24"/>
          <w:spacing w:val="-7"/>
        </w:rPr>
        <w:t>口（采样</w:t>
      </w:r>
      <w:r>
        <w:rPr>
          <w:rFonts w:ascii="FangSong" w:hAnsi="FangSong" w:eastAsia="FangSong" w:cs="FangSong"/>
          <w:sz w:val="24"/>
          <w:szCs w:val="24"/>
          <w:spacing w:val="-61"/>
        </w:rPr>
        <w:t xml:space="preserve"> </w:t>
      </w:r>
      <w:r>
        <w:rPr>
          <w:rFonts w:ascii="FangSong" w:hAnsi="FangSong" w:eastAsia="FangSong" w:cs="FangSong"/>
          <w:sz w:val="24"/>
          <w:szCs w:val="24"/>
          <w:spacing w:val="-7"/>
        </w:rPr>
        <w:t>口）附近且醒目处，高度为标志牌上端离地</w:t>
      </w:r>
      <w:r>
        <w:rPr>
          <w:rFonts w:ascii="FangSong" w:hAnsi="FangSong" w:eastAsia="FangSong" w:cs="FangSong"/>
          <w:sz w:val="24"/>
          <w:szCs w:val="24"/>
          <w:spacing w:val="-1"/>
        </w:rPr>
        <w:t>面</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2m</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1"/>
        </w:rPr>
        <w:t>。排污口附近</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1m</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1"/>
        </w:rPr>
        <w:t>范围内有建筑物的，设</w:t>
      </w:r>
      <w:r>
        <w:rPr>
          <w:rFonts w:ascii="FangSong" w:hAnsi="FangSong" w:eastAsia="FangSong" w:cs="FangSong"/>
          <w:sz w:val="24"/>
          <w:szCs w:val="24"/>
          <w:spacing w:val="-2"/>
        </w:rPr>
        <w:t>平面式标志牌，无建筑物的设立</w:t>
      </w:r>
      <w:r>
        <w:rPr>
          <w:rFonts w:ascii="FangSong" w:hAnsi="FangSong" w:eastAsia="FangSong" w:cs="FangSong"/>
          <w:sz w:val="24"/>
          <w:szCs w:val="24"/>
          <w:spacing w:val="-5"/>
        </w:rPr>
        <w:t>式标志牌。</w:t>
      </w:r>
    </w:p>
    <w:p>
      <w:pPr>
        <w:ind w:left="26" w:right="203" w:firstLine="480"/>
        <w:spacing w:before="3" w:line="352" w:lineRule="auto"/>
        <w:jc w:val="both"/>
        <w:rPr>
          <w:rFonts w:ascii="FangSong" w:hAnsi="FangSong" w:eastAsia="FangSong" w:cs="FangSong"/>
          <w:sz w:val="24"/>
          <w:szCs w:val="24"/>
        </w:rPr>
      </w:pPr>
      <w:r>
        <w:rPr>
          <w:rFonts w:ascii="FangSong" w:hAnsi="FangSong" w:eastAsia="FangSong" w:cs="FangSong"/>
          <w:sz w:val="24"/>
          <w:szCs w:val="24"/>
          <w:spacing w:val="-3"/>
        </w:rPr>
        <w:t>规范化排污口的有关设置（如图形标志牌、计量装置、监控装</w:t>
      </w:r>
      <w:r>
        <w:rPr>
          <w:rFonts w:ascii="FangSong" w:hAnsi="FangSong" w:eastAsia="FangSong" w:cs="FangSong"/>
          <w:sz w:val="24"/>
          <w:szCs w:val="24"/>
          <w:spacing w:val="-4"/>
        </w:rPr>
        <w:t>置等）属环保</w:t>
      </w:r>
      <w:r>
        <w:rPr>
          <w:rFonts w:ascii="FangSong" w:hAnsi="FangSong" w:eastAsia="FangSong" w:cs="FangSong"/>
          <w:sz w:val="24"/>
          <w:szCs w:val="24"/>
          <w:spacing w:val="-3"/>
        </w:rPr>
        <w:t>设施，排污单位必须负责日常的维护保养，任何单位和个人不得擅自拆除，具体</w:t>
      </w:r>
      <w:r>
        <w:rPr>
          <w:rFonts w:ascii="FangSong" w:hAnsi="FangSong" w:eastAsia="FangSong" w:cs="FangSong"/>
          <w:sz w:val="24"/>
          <w:szCs w:val="24"/>
          <w:spacing w:val="-5"/>
        </w:rPr>
        <w:t>见图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10.9-1</w:t>
      </w:r>
      <w:r>
        <w:rPr>
          <w:rFonts w:ascii="FangSong" w:hAnsi="FangSong" w:eastAsia="FangSong" w:cs="FangSong"/>
          <w:sz w:val="24"/>
          <w:szCs w:val="24"/>
          <w:spacing w:val="-5"/>
        </w:rPr>
        <w:t>。</w:t>
      </w:r>
    </w:p>
    <w:p>
      <w:pPr>
        <w:ind w:firstLine="410"/>
        <w:spacing w:line="3566" w:lineRule="exact"/>
        <w:rPr/>
      </w:pPr>
      <w:r>
        <w:rPr>
          <w:position w:val="-71"/>
        </w:rPr>
        <w:drawing>
          <wp:inline distT="0" distB="0" distL="0" distR="0">
            <wp:extent cx="4998720" cy="2264663"/>
            <wp:effectExtent l="0" t="0" r="0" b="0"/>
            <wp:docPr id="110" name="IM 110"/>
            <wp:cNvGraphicFramePr/>
            <a:graphic>
              <a:graphicData uri="http://schemas.openxmlformats.org/drawingml/2006/picture">
                <pic:pic>
                  <pic:nvPicPr>
                    <pic:cNvPr id="110" name="IM 110"/>
                    <pic:cNvPicPr/>
                  </pic:nvPicPr>
                  <pic:blipFill>
                    <a:blip r:embed="rId395"/>
                    <a:stretch>
                      <a:fillRect/>
                    </a:stretch>
                  </pic:blipFill>
                  <pic:spPr>
                    <a:xfrm rot="0">
                      <a:off x="0" y="0"/>
                      <a:ext cx="4998720" cy="2264663"/>
                    </a:xfrm>
                    <a:prstGeom prst="rect">
                      <a:avLst/>
                    </a:prstGeom>
                  </pic:spPr>
                </pic:pic>
              </a:graphicData>
            </a:graphic>
          </wp:inline>
        </w:drawing>
      </w:r>
    </w:p>
    <w:p>
      <w:pPr>
        <w:ind w:left="2722"/>
        <w:spacing w:before="205" w:line="222" w:lineRule="auto"/>
        <w:rPr>
          <w:rFonts w:ascii="FangSong" w:hAnsi="FangSong" w:eastAsia="FangSong" w:cs="FangSong"/>
          <w:sz w:val="24"/>
          <w:szCs w:val="24"/>
        </w:rPr>
      </w:pPr>
      <w:r>
        <w:rPr>
          <w:rFonts w:ascii="FangSong" w:hAnsi="FangSong" w:eastAsia="FangSong" w:cs="FangSong"/>
          <w:sz w:val="24"/>
          <w:szCs w:val="24"/>
          <w:b/>
          <w:bCs/>
          <w:spacing w:val="-8"/>
        </w:rPr>
        <w:t>图</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b/>
          <w:bCs/>
          <w:spacing w:val="-8"/>
        </w:rPr>
        <w:t>10.9-1  </w:t>
      </w:r>
      <w:r>
        <w:rPr>
          <w:rFonts w:ascii="FangSong" w:hAnsi="FangSong" w:eastAsia="FangSong" w:cs="FangSong"/>
          <w:sz w:val="24"/>
          <w:szCs w:val="24"/>
          <w:b/>
          <w:bCs/>
          <w:spacing w:val="-8"/>
        </w:rPr>
        <w:t>排放</w:t>
      </w:r>
      <w:r>
        <w:rPr>
          <w:rFonts w:ascii="FangSong" w:hAnsi="FangSong" w:eastAsia="FangSong" w:cs="FangSong"/>
          <w:sz w:val="24"/>
          <w:szCs w:val="24"/>
          <w:spacing w:val="-58"/>
        </w:rPr>
        <w:t xml:space="preserve"> </w:t>
      </w:r>
      <w:r>
        <w:rPr>
          <w:rFonts w:ascii="FangSong" w:hAnsi="FangSong" w:eastAsia="FangSong" w:cs="FangSong"/>
          <w:sz w:val="24"/>
          <w:szCs w:val="24"/>
          <w:b/>
          <w:bCs/>
          <w:spacing w:val="-8"/>
        </w:rPr>
        <w:t>口图形标志图</w:t>
      </w:r>
    </w:p>
    <w:p>
      <w:pPr>
        <w:ind w:left="30"/>
        <w:spacing w:before="237" w:line="223" w:lineRule="auto"/>
        <w:outlineLvl w:val="1"/>
        <w:rPr>
          <w:rFonts w:ascii="FangSong" w:hAnsi="FangSong" w:eastAsia="FangSong" w:cs="FangSong"/>
          <w:sz w:val="28"/>
          <w:szCs w:val="28"/>
        </w:rPr>
      </w:pPr>
      <w:bookmarkStart w:name="bookmark435" w:id="582"/>
      <w:bookmarkEnd w:id="582"/>
      <w:bookmarkStart w:name="bookmark434" w:id="583"/>
      <w:bookmarkEnd w:id="583"/>
      <w:r>
        <w:rPr>
          <w:rFonts w:ascii="Times New Roman" w:hAnsi="Times New Roman" w:eastAsia="Times New Roman" w:cs="Times New Roman"/>
          <w:sz w:val="28"/>
          <w:szCs w:val="28"/>
          <w:b/>
          <w:bCs/>
          <w:spacing w:val="-5"/>
        </w:rPr>
        <w:t>10.10</w:t>
      </w:r>
      <w:r>
        <w:rPr>
          <w:rFonts w:ascii="Times New Roman" w:hAnsi="Times New Roman" w:eastAsia="Times New Roman" w:cs="Times New Roman"/>
          <w:sz w:val="28"/>
          <w:szCs w:val="28"/>
          <w:b/>
          <w:bCs/>
          <w:spacing w:val="8"/>
        </w:rPr>
        <w:t xml:space="preserve">  </w:t>
      </w:r>
      <w:r>
        <w:rPr>
          <w:rFonts w:ascii="FangSong" w:hAnsi="FangSong" w:eastAsia="FangSong" w:cs="FangSong"/>
          <w:sz w:val="28"/>
          <w:szCs w:val="28"/>
          <w:b/>
          <w:bCs/>
          <w:spacing w:val="-5"/>
        </w:rPr>
        <w:t>排污许可</w:t>
      </w:r>
    </w:p>
    <w:p>
      <w:pPr>
        <w:ind w:left="26" w:right="203" w:firstLine="481"/>
        <w:spacing w:before="227" w:line="360" w:lineRule="auto"/>
        <w:jc w:val="both"/>
        <w:rPr>
          <w:rFonts w:ascii="FangSong" w:hAnsi="FangSong" w:eastAsia="FangSong" w:cs="FangSong"/>
          <w:sz w:val="24"/>
          <w:szCs w:val="24"/>
        </w:rPr>
      </w:pPr>
      <w:r>
        <w:rPr>
          <w:rFonts w:ascii="FangSong" w:hAnsi="FangSong" w:eastAsia="FangSong" w:cs="FangSong"/>
          <w:sz w:val="24"/>
          <w:szCs w:val="24"/>
          <w:spacing w:val="-3"/>
        </w:rPr>
        <w:t>本项目应严格按照国家排污许可证改革的要求，推进刷卡</w:t>
      </w:r>
      <w:r>
        <w:rPr>
          <w:rFonts w:ascii="FangSong" w:hAnsi="FangSong" w:eastAsia="FangSong" w:cs="FangSong"/>
          <w:sz w:val="24"/>
          <w:szCs w:val="24"/>
          <w:spacing w:val="-4"/>
        </w:rPr>
        <w:t>排污及污染源“一</w:t>
      </w:r>
      <w:r>
        <w:rPr>
          <w:rFonts w:ascii="FangSong" w:hAnsi="FangSong" w:eastAsia="FangSong" w:cs="FangSong"/>
          <w:sz w:val="24"/>
          <w:szCs w:val="24"/>
          <w:spacing w:val="-4"/>
        </w:rPr>
        <w:t>证式</w:t>
      </w:r>
      <w:r>
        <w:rPr>
          <w:rFonts w:ascii="FangSong" w:hAnsi="FangSong" w:eastAsia="FangSong" w:cs="FangSong"/>
          <w:sz w:val="24"/>
          <w:szCs w:val="24"/>
          <w:spacing w:val="-85"/>
        </w:rPr>
        <w:t xml:space="preserve"> </w:t>
      </w:r>
      <w:r>
        <w:rPr>
          <w:rFonts w:ascii="FangSong" w:hAnsi="FangSong" w:eastAsia="FangSong" w:cs="FangSong"/>
          <w:sz w:val="24"/>
          <w:szCs w:val="24"/>
          <w:spacing w:val="-4"/>
        </w:rPr>
        <w:t>”管理工作，并作为建设单位在生产运营期接受环境监管和环境保护部门实</w:t>
      </w:r>
      <w:r>
        <w:rPr>
          <w:rFonts w:ascii="FangSong" w:hAnsi="FangSong" w:eastAsia="FangSong" w:cs="FangSong"/>
          <w:sz w:val="24"/>
          <w:szCs w:val="24"/>
          <w:spacing w:val="-3"/>
        </w:rPr>
        <w:t>施监管的主要法律文书，单位依法申领排污许可证，按证排污，自证守法。环境</w:t>
      </w:r>
      <w:r>
        <w:rPr>
          <w:rFonts w:ascii="FangSong" w:hAnsi="FangSong" w:eastAsia="FangSong" w:cs="FangSong"/>
          <w:sz w:val="24"/>
          <w:szCs w:val="24"/>
          <w:spacing w:val="-3"/>
        </w:rPr>
        <w:t>保护部门基于企事业单位守法承诺，依法发放排污许可证，依证强化事中事后监</w:t>
      </w:r>
      <w:r>
        <w:rPr>
          <w:rFonts w:ascii="FangSong" w:hAnsi="FangSong" w:eastAsia="FangSong" w:cs="FangSong"/>
          <w:sz w:val="24"/>
          <w:szCs w:val="24"/>
          <w:spacing w:val="-1"/>
        </w:rPr>
        <w:t>管，对违法排污行为实施严厉打击。</w:t>
      </w:r>
    </w:p>
    <w:p>
      <w:pPr>
        <w:ind w:left="24" w:right="203" w:firstLine="483"/>
        <w:spacing w:before="5" w:line="358" w:lineRule="auto"/>
        <w:jc w:val="both"/>
        <w:rPr>
          <w:rFonts w:ascii="FangSong" w:hAnsi="FangSong" w:eastAsia="FangSong" w:cs="FangSong"/>
          <w:sz w:val="24"/>
          <w:szCs w:val="24"/>
        </w:rPr>
      </w:pPr>
      <w:r>
        <w:rPr>
          <w:rFonts w:ascii="FangSong" w:hAnsi="FangSong" w:eastAsia="FangSong" w:cs="FangSong"/>
          <w:sz w:val="24"/>
          <w:szCs w:val="24"/>
          <w:spacing w:val="-3"/>
        </w:rPr>
        <w:t>根据《关于做好环境影响评价制度与排污许可制衔接相关</w:t>
      </w:r>
      <w:r>
        <w:rPr>
          <w:rFonts w:ascii="FangSong" w:hAnsi="FangSong" w:eastAsia="FangSong" w:cs="FangSong"/>
          <w:sz w:val="24"/>
          <w:szCs w:val="24"/>
          <w:spacing w:val="-4"/>
        </w:rPr>
        <w:t>工作的通知》（环</w:t>
      </w:r>
      <w:r>
        <w:rPr>
          <w:rFonts w:ascii="FangSong" w:hAnsi="FangSong" w:eastAsia="FangSong" w:cs="FangSong"/>
          <w:sz w:val="24"/>
          <w:szCs w:val="24"/>
          <w:spacing w:val="-3"/>
        </w:rPr>
        <w:t>办环评</w:t>
      </w:r>
      <w:r>
        <w:rPr>
          <w:rFonts w:ascii="Times New Roman" w:hAnsi="Times New Roman" w:eastAsia="Times New Roman" w:cs="Times New Roman"/>
          <w:sz w:val="24"/>
          <w:szCs w:val="24"/>
          <w:spacing w:val="-3"/>
        </w:rPr>
        <w:t>[2017]84</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3"/>
        </w:rPr>
        <w:t>号）中的相关要求，环评阶段应结合排污许可证申请与核发技术</w:t>
      </w:r>
      <w:r>
        <w:rPr>
          <w:rFonts w:ascii="FangSong" w:hAnsi="FangSong" w:eastAsia="FangSong" w:cs="FangSong"/>
          <w:sz w:val="24"/>
          <w:szCs w:val="24"/>
          <w:spacing w:val="-3"/>
        </w:rPr>
        <w:t>规范、排污单位自行监测指南等，提出项目污染源排放清单及环境监测计划，与</w:t>
      </w:r>
      <w:r>
        <w:rPr>
          <w:rFonts w:ascii="FangSong" w:hAnsi="FangSong" w:eastAsia="FangSong" w:cs="FangSong"/>
          <w:sz w:val="24"/>
          <w:szCs w:val="24"/>
          <w:spacing w:val="-1"/>
        </w:rPr>
        <w:t>排污许可证申领工作做好衔接。</w:t>
      </w:r>
    </w:p>
    <w:p>
      <w:pPr>
        <w:ind w:left="508"/>
        <w:spacing w:before="6" w:line="221" w:lineRule="auto"/>
        <w:rPr>
          <w:rFonts w:ascii="FangSong" w:hAnsi="FangSong" w:eastAsia="FangSong" w:cs="FangSong"/>
          <w:sz w:val="24"/>
          <w:szCs w:val="24"/>
        </w:rPr>
      </w:pPr>
      <w:r>
        <w:rPr>
          <w:rFonts w:ascii="FangSong" w:hAnsi="FangSong" w:eastAsia="FangSong" w:cs="FangSong"/>
          <w:sz w:val="24"/>
          <w:szCs w:val="24"/>
          <w:spacing w:val="1"/>
        </w:rPr>
        <w:t>根据《固定污染源排污许可分类管理名录（</w:t>
      </w:r>
      <w:r>
        <w:rPr>
          <w:rFonts w:ascii="Times New Roman" w:hAnsi="Times New Roman" w:eastAsia="Times New Roman" w:cs="Times New Roman"/>
          <w:sz w:val="24"/>
          <w:szCs w:val="24"/>
          <w:spacing w:val="1"/>
        </w:rPr>
        <w:t>2019</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1"/>
        </w:rPr>
        <w:t>年版）》，本项目属于登</w:t>
      </w:r>
    </w:p>
    <w:p>
      <w:pPr>
        <w:spacing w:line="221" w:lineRule="auto"/>
        <w:sectPr>
          <w:footerReference w:type="default" r:id="rId394"/>
          <w:pgSz w:w="11906" w:h="16839"/>
          <w:pgMar w:top="400" w:right="159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6" w:right="11" w:hanging="2"/>
        <w:spacing w:before="78" w:line="361" w:lineRule="auto"/>
        <w:rPr>
          <w:rFonts w:ascii="FangSong" w:hAnsi="FangSong" w:eastAsia="FangSong" w:cs="FangSong"/>
          <w:sz w:val="24"/>
          <w:szCs w:val="24"/>
        </w:rPr>
      </w:pPr>
      <w:r>
        <w:rPr>
          <w:rFonts w:ascii="FangSong" w:hAnsi="FangSong" w:eastAsia="FangSong" w:cs="FangSong"/>
          <w:sz w:val="24"/>
          <w:szCs w:val="24"/>
          <w:spacing w:val="-2"/>
        </w:rPr>
        <w:t>记管理（无需审批</w:t>
      </w:r>
      <w:r>
        <w:rPr>
          <w:rFonts w:ascii="FangSong" w:hAnsi="FangSong" w:eastAsia="FangSong" w:cs="FangSong"/>
          <w:sz w:val="24"/>
          <w:szCs w:val="24"/>
          <w:spacing w:val="-14"/>
        </w:rPr>
        <w:t>），</w:t>
      </w:r>
      <w:r>
        <w:rPr>
          <w:rFonts w:ascii="FangSong" w:hAnsi="FangSong" w:eastAsia="FangSong" w:cs="FangSong"/>
          <w:sz w:val="24"/>
          <w:szCs w:val="24"/>
          <w:spacing w:val="-2"/>
        </w:rPr>
        <w:t>在排污许可申报系统中公开端填报</w:t>
      </w:r>
      <w:r>
        <w:rPr>
          <w:rFonts w:ascii="FangSong" w:hAnsi="FangSong" w:eastAsia="FangSong" w:cs="FangSong"/>
          <w:sz w:val="24"/>
          <w:szCs w:val="24"/>
          <w:spacing w:val="-3"/>
        </w:rPr>
        <w:t>相关信息，如企业基本</w:t>
      </w:r>
      <w:r>
        <w:rPr>
          <w:rFonts w:ascii="FangSong" w:hAnsi="FangSong" w:eastAsia="FangSong" w:cs="FangSong"/>
          <w:sz w:val="24"/>
          <w:szCs w:val="24"/>
          <w:spacing w:val="-2"/>
        </w:rPr>
        <w:t>信息、排污及治理措施等。</w:t>
      </w:r>
    </w:p>
    <w:p>
      <w:pPr>
        <w:ind w:left="30"/>
        <w:spacing w:before="56" w:line="222" w:lineRule="auto"/>
        <w:outlineLvl w:val="1"/>
        <w:rPr>
          <w:rFonts w:ascii="FangSong" w:hAnsi="FangSong" w:eastAsia="FangSong" w:cs="FangSong"/>
          <w:sz w:val="28"/>
          <w:szCs w:val="28"/>
        </w:rPr>
      </w:pPr>
      <w:bookmarkStart w:name="bookmark437" w:id="584"/>
      <w:bookmarkEnd w:id="584"/>
      <w:bookmarkStart w:name="bookmark436" w:id="585"/>
      <w:bookmarkEnd w:id="585"/>
      <w:r>
        <w:rPr>
          <w:rFonts w:ascii="Times New Roman" w:hAnsi="Times New Roman" w:eastAsia="Times New Roman" w:cs="Times New Roman"/>
          <w:sz w:val="28"/>
          <w:szCs w:val="28"/>
          <w:b/>
          <w:bCs/>
          <w:spacing w:val="-6"/>
        </w:rPr>
        <w:t>10.11</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b/>
          <w:bCs/>
          <w:spacing w:val="-6"/>
        </w:rPr>
        <w:t>污染物排放清单</w:t>
      </w:r>
    </w:p>
    <w:p>
      <w:pPr>
        <w:ind w:left="508"/>
        <w:spacing w:before="229" w:line="221" w:lineRule="auto"/>
        <w:rPr>
          <w:rFonts w:ascii="FangSong" w:hAnsi="FangSong" w:eastAsia="FangSong" w:cs="FangSong"/>
          <w:sz w:val="24"/>
          <w:szCs w:val="24"/>
        </w:rPr>
      </w:pPr>
      <w:r>
        <w:rPr>
          <w:rFonts w:ascii="FangSong" w:hAnsi="FangSong" w:eastAsia="FangSong" w:cs="FangSong"/>
          <w:sz w:val="24"/>
          <w:szCs w:val="24"/>
          <w:spacing w:val="-3"/>
        </w:rPr>
        <w:t>本项目污染物排放清单见表</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3"/>
        </w:rPr>
        <w:t>10.11-1</w:t>
      </w:r>
      <w:r>
        <w:rPr>
          <w:rFonts w:ascii="FangSong" w:hAnsi="FangSong" w:eastAsia="FangSong" w:cs="FangSong"/>
          <w:sz w:val="24"/>
          <w:szCs w:val="24"/>
          <w:spacing w:val="-3"/>
        </w:rPr>
        <w:t>。</w:t>
      </w:r>
    </w:p>
    <w:p>
      <w:pPr>
        <w:spacing w:line="221" w:lineRule="auto"/>
        <w:sectPr>
          <w:footerReference w:type="default" r:id="rId396"/>
          <w:pgSz w:w="11906" w:h="16839"/>
          <w:pgMar w:top="400" w:right="1785" w:bottom="1358" w:left="1785" w:header="0" w:footer="1195" w:gutter="0"/>
        </w:sectPr>
        <w:rPr>
          <w:rFonts w:ascii="FangSong" w:hAnsi="FangSong" w:eastAsia="FangSong" w:cs="FangSong"/>
          <w:sz w:val="24"/>
          <w:szCs w:val="24"/>
        </w:rPr>
      </w:pPr>
    </w:p>
    <w:p>
      <w:pPr>
        <w:pStyle w:val="BodyText"/>
        <w:spacing w:line="284"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5326"/>
        <w:spacing w:before="78" w:line="221" w:lineRule="auto"/>
        <w:rPr>
          <w:rFonts w:ascii="FangSong" w:hAnsi="FangSong" w:eastAsia="FangSong" w:cs="FangSong"/>
          <w:sz w:val="24"/>
          <w:szCs w:val="24"/>
        </w:rPr>
      </w:pPr>
      <w:bookmarkStart w:name="bookmark640" w:id="586"/>
      <w:bookmarkEnd w:id="586"/>
      <w:r>
        <w:rPr>
          <w:rFonts w:ascii="FangSong" w:hAnsi="FangSong" w:eastAsia="FangSong" w:cs="FangSong"/>
          <w:sz w:val="24"/>
          <w:szCs w:val="24"/>
          <w:b/>
          <w:bCs/>
          <w:spacing w:val="-4"/>
        </w:rPr>
        <w:t>表</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b/>
          <w:bCs/>
          <w:spacing w:val="-4"/>
        </w:rPr>
        <w:t>10.11-1  </w:t>
      </w:r>
      <w:r>
        <w:rPr>
          <w:rFonts w:ascii="FangSong" w:hAnsi="FangSong" w:eastAsia="FangSong" w:cs="FangSong"/>
          <w:sz w:val="24"/>
          <w:szCs w:val="24"/>
          <w:b/>
          <w:bCs/>
          <w:spacing w:val="-4"/>
        </w:rPr>
        <w:t>本项目污染物排放清单</w:t>
      </w:r>
    </w:p>
    <w:p>
      <w:pPr>
        <w:spacing w:line="66" w:lineRule="exact"/>
        <w:rPr/>
      </w:pPr>
      <w:r/>
    </w:p>
    <w:tbl>
      <w:tblPr>
        <w:tblStyle w:val="TableNormal"/>
        <w:tblW w:w="1417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757"/>
        <w:gridCol w:w="638"/>
        <w:gridCol w:w="661"/>
        <w:gridCol w:w="1143"/>
        <w:gridCol w:w="976"/>
        <w:gridCol w:w="4285"/>
        <w:gridCol w:w="1027"/>
        <w:gridCol w:w="1151"/>
        <w:gridCol w:w="2830"/>
      </w:tblGrid>
      <w:tr>
        <w:trPr>
          <w:trHeight w:val="943" w:hRule="atLeast"/>
        </w:trPr>
        <w:tc>
          <w:tcPr>
            <w:tcW w:w="706" w:type="dxa"/>
            <w:vAlign w:val="top"/>
            <w:tcBorders>
              <w:top w:val="single" w:color="000000" w:sz="10" w:space="0"/>
              <w:left w:val="nil"/>
            </w:tcBorders>
          </w:tcPr>
          <w:p>
            <w:pPr>
              <w:spacing w:line="301" w:lineRule="auto"/>
              <w:rPr>
                <w:rFonts w:ascii="Arial"/>
                <w:sz w:val="21"/>
              </w:rPr>
            </w:pPr>
            <w:r/>
          </w:p>
          <w:p>
            <w:pPr>
              <w:pStyle w:val="TableText"/>
              <w:ind w:left="157"/>
              <w:spacing w:before="65" w:line="231" w:lineRule="auto"/>
              <w:rPr/>
            </w:pPr>
            <w:r>
              <w:rPr>
                <w:spacing w:val="2"/>
              </w:rPr>
              <w:t>序号</w:t>
            </w:r>
          </w:p>
        </w:tc>
        <w:tc>
          <w:tcPr>
            <w:tcW w:w="757" w:type="dxa"/>
            <w:vAlign w:val="top"/>
            <w:tcBorders>
              <w:top w:val="single" w:color="000000" w:sz="10" w:space="0"/>
            </w:tcBorders>
          </w:tcPr>
          <w:p>
            <w:pPr>
              <w:spacing w:line="300" w:lineRule="auto"/>
              <w:rPr>
                <w:rFonts w:ascii="Arial"/>
                <w:sz w:val="21"/>
              </w:rPr>
            </w:pPr>
            <w:r/>
          </w:p>
          <w:p>
            <w:pPr>
              <w:pStyle w:val="TableText"/>
              <w:ind w:left="181"/>
              <w:spacing w:before="65" w:line="232" w:lineRule="auto"/>
              <w:rPr/>
            </w:pPr>
            <w:r>
              <w:rPr/>
              <w:t>类别</w:t>
            </w:r>
          </w:p>
        </w:tc>
        <w:tc>
          <w:tcPr>
            <w:tcW w:w="1299" w:type="dxa"/>
            <w:vAlign w:val="top"/>
            <w:gridSpan w:val="2"/>
            <w:tcBorders>
              <w:top w:val="single" w:color="000000" w:sz="10" w:space="0"/>
            </w:tcBorders>
          </w:tcPr>
          <w:p>
            <w:pPr>
              <w:spacing w:line="301" w:lineRule="auto"/>
              <w:rPr>
                <w:rFonts w:ascii="Arial"/>
                <w:sz w:val="21"/>
              </w:rPr>
            </w:pPr>
            <w:r/>
          </w:p>
          <w:p>
            <w:pPr>
              <w:pStyle w:val="TableText"/>
              <w:ind w:left="350"/>
              <w:spacing w:before="65" w:line="231" w:lineRule="auto"/>
              <w:rPr/>
            </w:pPr>
            <w:r>
              <w:rPr>
                <w:spacing w:val="3"/>
              </w:rPr>
              <w:t>污染源</w:t>
            </w:r>
          </w:p>
        </w:tc>
        <w:tc>
          <w:tcPr>
            <w:tcW w:w="1143" w:type="dxa"/>
            <w:vAlign w:val="top"/>
            <w:tcBorders>
              <w:top w:val="single" w:color="000000" w:sz="10" w:space="0"/>
            </w:tcBorders>
          </w:tcPr>
          <w:p>
            <w:pPr>
              <w:spacing w:line="301" w:lineRule="auto"/>
              <w:rPr>
                <w:rFonts w:ascii="Arial"/>
                <w:sz w:val="21"/>
              </w:rPr>
            </w:pPr>
            <w:r/>
          </w:p>
          <w:p>
            <w:pPr>
              <w:pStyle w:val="TableText"/>
              <w:ind w:left="270"/>
              <w:spacing w:before="65" w:line="229" w:lineRule="auto"/>
              <w:rPr/>
            </w:pPr>
            <w:r>
              <w:rPr>
                <w:spacing w:val="3"/>
              </w:rPr>
              <w:t>污染物</w:t>
            </w:r>
          </w:p>
        </w:tc>
        <w:tc>
          <w:tcPr>
            <w:tcW w:w="976" w:type="dxa"/>
            <w:vAlign w:val="top"/>
            <w:tcBorders>
              <w:top w:val="single" w:color="000000" w:sz="10" w:space="0"/>
            </w:tcBorders>
          </w:tcPr>
          <w:p>
            <w:pPr>
              <w:pStyle w:val="TableText"/>
              <w:ind w:left="289" w:right="277" w:hanging="2"/>
              <w:spacing w:before="211" w:line="289" w:lineRule="auto"/>
              <w:rPr/>
            </w:pPr>
            <w:r>
              <w:rPr>
                <w:spacing w:val="3"/>
              </w:rPr>
              <w:t>排放</w:t>
            </w:r>
            <w:r>
              <w:rPr>
                <w:spacing w:val="2"/>
              </w:rPr>
              <w:t>形式</w:t>
            </w:r>
          </w:p>
        </w:tc>
        <w:tc>
          <w:tcPr>
            <w:tcW w:w="4285" w:type="dxa"/>
            <w:vAlign w:val="top"/>
            <w:tcBorders>
              <w:top w:val="single" w:color="000000" w:sz="10" w:space="0"/>
            </w:tcBorders>
          </w:tcPr>
          <w:p>
            <w:pPr>
              <w:spacing w:line="301" w:lineRule="auto"/>
              <w:rPr>
                <w:rFonts w:ascii="Arial"/>
                <w:sz w:val="21"/>
              </w:rPr>
            </w:pPr>
            <w:r/>
          </w:p>
          <w:p>
            <w:pPr>
              <w:pStyle w:val="TableText"/>
              <w:ind w:left="893"/>
              <w:spacing w:before="65" w:line="229" w:lineRule="auto"/>
              <w:rPr/>
            </w:pPr>
            <w:r>
              <w:rPr>
                <w:spacing w:val="8"/>
              </w:rPr>
              <w:t>处理措施、效率及运行参数</w:t>
            </w:r>
          </w:p>
        </w:tc>
        <w:tc>
          <w:tcPr>
            <w:tcW w:w="1027" w:type="dxa"/>
            <w:vAlign w:val="top"/>
            <w:tcBorders>
              <w:top w:val="single" w:color="000000" w:sz="10" w:space="0"/>
            </w:tcBorders>
          </w:tcPr>
          <w:p>
            <w:pPr>
              <w:pStyle w:val="TableText"/>
              <w:ind w:left="288" w:right="196" w:hanging="81"/>
              <w:spacing w:before="212" w:line="295" w:lineRule="auto"/>
              <w:rPr/>
            </w:pPr>
            <w:r>
              <w:rPr>
                <w:spacing w:val="5"/>
              </w:rPr>
              <w:t>排放量</w:t>
            </w:r>
            <w:r>
              <w:rPr>
                <w:spacing w:val="-2"/>
              </w:rPr>
              <w:t>（</w:t>
            </w:r>
            <w:r>
              <w:rPr>
                <w:rFonts w:ascii="Times New Roman" w:hAnsi="Times New Roman" w:eastAsia="Times New Roman" w:cs="Times New Roman"/>
                <w:spacing w:val="-2"/>
              </w:rPr>
              <w:t>t</w:t>
            </w:r>
            <w:r>
              <w:rPr>
                <w:spacing w:val="-2"/>
              </w:rPr>
              <w:t>）</w:t>
            </w:r>
          </w:p>
        </w:tc>
        <w:tc>
          <w:tcPr>
            <w:tcW w:w="1151" w:type="dxa"/>
            <w:vAlign w:val="top"/>
            <w:tcBorders>
              <w:top w:val="single" w:color="000000" w:sz="10" w:space="0"/>
            </w:tcBorders>
          </w:tcPr>
          <w:p>
            <w:pPr>
              <w:pStyle w:val="TableText"/>
              <w:ind w:left="184" w:right="154" w:hanging="20"/>
              <w:spacing w:before="55" w:line="270" w:lineRule="auto"/>
              <w:jc w:val="both"/>
              <w:rPr>
                <w:rFonts w:ascii="Times New Roman" w:hAnsi="Times New Roman" w:eastAsia="Times New Roman" w:cs="Times New Roman"/>
              </w:rPr>
            </w:pPr>
            <w:r>
              <w:rPr>
                <w:spacing w:val="6"/>
              </w:rPr>
              <w:t>排放浓度</w:t>
            </w:r>
            <w:r>
              <w:rPr>
                <w:spacing w:val="2"/>
              </w:rPr>
              <w:t>气</w:t>
            </w:r>
            <w:r>
              <w:rPr>
                <w:spacing w:val="-43"/>
              </w:rPr>
              <w:t xml:space="preserve"> </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z w:val="13"/>
                <w:szCs w:val="13"/>
                <w:spacing w:val="2"/>
                <w:position w:val="6"/>
              </w:rPr>
              <w:t>3</w:t>
            </w:r>
            <w:r>
              <w:rPr>
                <w:spacing w:val="17"/>
              </w:rPr>
              <w:t>水</w:t>
            </w:r>
            <w:r>
              <w:rPr>
                <w:spacing w:val="-42"/>
              </w:rPr>
              <w:t xml:space="preserve"> </w:t>
            </w:r>
            <w:r>
              <w:rPr>
                <w:rFonts w:ascii="Times New Roman" w:hAnsi="Times New Roman" w:eastAsia="Times New Roman" w:cs="Times New Roman"/>
              </w:rPr>
              <w:t>mg</w:t>
            </w:r>
            <w:r>
              <w:rPr>
                <w:rFonts w:ascii="Times New Roman" w:hAnsi="Times New Roman" w:eastAsia="Times New Roman" w:cs="Times New Roman"/>
                <w:spacing w:val="17"/>
              </w:rPr>
              <w:t>/L</w:t>
            </w:r>
          </w:p>
        </w:tc>
        <w:tc>
          <w:tcPr>
            <w:tcW w:w="2830" w:type="dxa"/>
            <w:vAlign w:val="top"/>
            <w:tcBorders>
              <w:top w:val="single" w:color="000000" w:sz="10" w:space="0"/>
              <w:right w:val="nil"/>
            </w:tcBorders>
          </w:tcPr>
          <w:p>
            <w:pPr>
              <w:pStyle w:val="TableText"/>
              <w:ind w:left="166"/>
              <w:spacing w:before="212" w:line="229" w:lineRule="auto"/>
              <w:rPr/>
            </w:pPr>
            <w:r>
              <w:rPr>
                <w:spacing w:val="8"/>
              </w:rPr>
              <w:t>处理效果、执行标准或拟达</w:t>
            </w:r>
          </w:p>
          <w:p>
            <w:pPr>
              <w:pStyle w:val="TableText"/>
              <w:ind w:left="1216"/>
              <w:spacing w:before="63" w:line="231" w:lineRule="auto"/>
              <w:rPr/>
            </w:pPr>
            <w:r>
              <w:rPr>
                <w:spacing w:val="2"/>
              </w:rPr>
              <w:t>标准</w:t>
            </w:r>
          </w:p>
        </w:tc>
      </w:tr>
      <w:tr>
        <w:trPr>
          <w:trHeight w:val="1560" w:hRule="atLeast"/>
        </w:trPr>
        <w:tc>
          <w:tcPr>
            <w:tcW w:w="706" w:type="dxa"/>
            <w:vAlign w:val="top"/>
            <w:vMerge w:val="restart"/>
            <w:tcBorders>
              <w:left w:val="nil"/>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7"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81"/>
              <w:spacing w:before="65" w:line="232" w:lineRule="auto"/>
              <w:rPr/>
            </w:pPr>
            <w:r>
              <w:rPr/>
              <w:t>废水</w:t>
            </w:r>
          </w:p>
        </w:tc>
        <w:tc>
          <w:tcPr>
            <w:tcW w:w="3418" w:type="dxa"/>
            <w:vAlign w:val="top"/>
            <w:gridSpan w:val="4"/>
          </w:tcPr>
          <w:p>
            <w:pPr>
              <w:spacing w:line="304" w:lineRule="auto"/>
              <w:rPr>
                <w:rFonts w:ascii="Arial"/>
                <w:sz w:val="21"/>
              </w:rPr>
            </w:pPr>
            <w:r/>
          </w:p>
          <w:p>
            <w:pPr>
              <w:spacing w:line="304" w:lineRule="auto"/>
              <w:rPr>
                <w:rFonts w:ascii="Arial"/>
                <w:sz w:val="21"/>
              </w:rPr>
            </w:pPr>
            <w:r/>
          </w:p>
          <w:p>
            <w:pPr>
              <w:pStyle w:val="TableText"/>
              <w:ind w:left="787"/>
              <w:spacing w:before="65" w:line="232" w:lineRule="auto"/>
              <w:rPr/>
            </w:pPr>
            <w:r>
              <w:rPr>
                <w:spacing w:val="6"/>
              </w:rPr>
              <w:t>生活污水、食堂废水</w:t>
            </w:r>
          </w:p>
        </w:tc>
        <w:tc>
          <w:tcPr>
            <w:tcW w:w="4285" w:type="dxa"/>
            <w:vAlign w:val="top"/>
          </w:tcPr>
          <w:p>
            <w:pPr>
              <w:pStyle w:val="TableText"/>
              <w:ind w:left="117" w:right="105" w:firstLine="434"/>
              <w:spacing w:before="209" w:line="291" w:lineRule="auto"/>
              <w:jc w:val="both"/>
              <w:rPr/>
            </w:pPr>
            <w:r>
              <w:rPr>
                <w:spacing w:val="13"/>
              </w:rPr>
              <w:t>生活污水与经隔油池处理后的食堂废水</w:t>
            </w:r>
            <w:r>
              <w:rPr>
                <w:spacing w:val="13"/>
              </w:rPr>
              <w:t>排入厂区防渗储池内，定期运至内蒙古锡林</w:t>
            </w:r>
            <w:r>
              <w:rPr>
                <w:spacing w:val="13"/>
              </w:rPr>
              <w:t>郭勒盟苏尼特右旗赛汉塔拉镇污水处理厂处</w:t>
            </w:r>
            <w:r>
              <w:rPr/>
              <w:t>理</w:t>
            </w:r>
          </w:p>
        </w:tc>
        <w:tc>
          <w:tcPr>
            <w:tcW w:w="1027" w:type="dxa"/>
            <w:vAlign w:val="top"/>
          </w:tcPr>
          <w:p>
            <w:pPr>
              <w:spacing w:line="326" w:lineRule="auto"/>
              <w:rPr>
                <w:rFonts w:ascii="Arial"/>
                <w:sz w:val="21"/>
              </w:rPr>
            </w:pPr>
            <w:r/>
          </w:p>
          <w:p>
            <w:pPr>
              <w:spacing w:line="326" w:lineRule="auto"/>
              <w:rPr>
                <w:rFonts w:ascii="Arial"/>
                <w:sz w:val="21"/>
              </w:rPr>
            </w:pPr>
            <w:r/>
          </w:p>
          <w:p>
            <w:pPr>
              <w:ind w:left="17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4148.64</w:t>
            </w:r>
          </w:p>
        </w:tc>
        <w:tc>
          <w:tcPr>
            <w:tcW w:w="1151" w:type="dxa"/>
            <w:vAlign w:val="top"/>
          </w:tcPr>
          <w:p>
            <w:pPr>
              <w:spacing w:line="324" w:lineRule="auto"/>
              <w:rPr>
                <w:rFonts w:ascii="Arial"/>
                <w:sz w:val="21"/>
              </w:rPr>
            </w:pPr>
            <w:r/>
          </w:p>
          <w:p>
            <w:pPr>
              <w:spacing w:line="324" w:lineRule="auto"/>
              <w:rPr>
                <w:rFonts w:ascii="Arial"/>
                <w:sz w:val="21"/>
              </w:rPr>
            </w:pPr>
            <w:r/>
          </w:p>
          <w:p>
            <w:pPr>
              <w:ind w:left="544"/>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30" w:type="dxa"/>
            <w:vAlign w:val="top"/>
            <w:tcBorders>
              <w:right w:val="nil"/>
            </w:tcBorders>
          </w:tcPr>
          <w:p>
            <w:pPr>
              <w:pStyle w:val="TableText"/>
              <w:ind w:left="120" w:right="107" w:firstLine="419"/>
              <w:spacing w:before="55" w:line="276" w:lineRule="auto"/>
              <w:jc w:val="both"/>
              <w:rPr/>
            </w:pPr>
            <w:r>
              <w:rPr>
                <w:spacing w:val="16"/>
              </w:rPr>
              <w:t>《污水综合排放标准》</w:t>
            </w:r>
            <w:r>
              <w:rPr>
                <w:spacing w:val="6"/>
              </w:rPr>
              <w:t xml:space="preserve"> </w:t>
            </w: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8978-1996</w:t>
            </w:r>
            <w:r>
              <w:rPr>
                <w:spacing w:val="3"/>
              </w:rPr>
              <w:t>）中三级排放</w:t>
            </w:r>
            <w:r>
              <w:rPr>
                <w:spacing w:val="16"/>
              </w:rPr>
              <w:t>限值及内蒙古锡林郭勒盟苏</w:t>
            </w:r>
            <w:r>
              <w:rPr>
                <w:spacing w:val="16"/>
              </w:rPr>
              <w:t>尼特右旗赛汉塔拉镇污水处</w:t>
            </w:r>
            <w:r>
              <w:rPr>
                <w:spacing w:val="7"/>
              </w:rPr>
              <w:t>理厂进水指标后</w:t>
            </w:r>
          </w:p>
        </w:tc>
      </w:tr>
      <w:tr>
        <w:trPr>
          <w:trHeight w:val="1121" w:hRule="atLeast"/>
        </w:trPr>
        <w:tc>
          <w:tcPr>
            <w:tcW w:w="706" w:type="dxa"/>
            <w:vAlign w:val="top"/>
            <w:vMerge w:val="continue"/>
            <w:tcBorders>
              <w:left w:val="nil"/>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3418" w:type="dxa"/>
            <w:vAlign w:val="top"/>
            <w:gridSpan w:val="4"/>
          </w:tcPr>
          <w:p>
            <w:pPr>
              <w:spacing w:line="396" w:lineRule="auto"/>
              <w:rPr>
                <w:rFonts w:ascii="Arial"/>
                <w:sz w:val="21"/>
              </w:rPr>
            </w:pPr>
            <w:r/>
          </w:p>
          <w:p>
            <w:pPr>
              <w:pStyle w:val="TableText"/>
              <w:ind w:left="1301"/>
              <w:spacing w:before="65" w:line="230" w:lineRule="auto"/>
              <w:rPr/>
            </w:pPr>
            <w:r>
              <w:rPr>
                <w:spacing w:val="5"/>
              </w:rPr>
              <w:t>矿井涌水</w:t>
            </w:r>
          </w:p>
        </w:tc>
        <w:tc>
          <w:tcPr>
            <w:tcW w:w="4285" w:type="dxa"/>
            <w:vAlign w:val="top"/>
            <w:vMerge w:val="restart"/>
            <w:tcBorders>
              <w:bottom w:val="nil"/>
            </w:tcBorders>
          </w:tcPr>
          <w:p>
            <w:pPr>
              <w:pStyle w:val="TableText"/>
              <w:ind w:left="120" w:right="50" w:firstLine="420"/>
              <w:spacing w:before="157" w:line="288" w:lineRule="auto"/>
              <w:jc w:val="both"/>
              <w:rPr/>
            </w:pPr>
            <w:r>
              <w:rPr>
                <w:spacing w:val="13"/>
              </w:rPr>
              <w:t>采矿矿井涌水经井下水仓沉淀后由泵房</w:t>
            </w:r>
            <w:r>
              <w:rPr>
                <w:spacing w:val="13"/>
              </w:rPr>
              <w:t>集中排至地表高位水池后经沉淀后部分回用</w:t>
            </w:r>
            <w:r>
              <w:rPr>
                <w:spacing w:val="5"/>
              </w:rPr>
              <w:t>于井下凿岩、爆破降尘、各堆场、道路降尘，</w:t>
            </w:r>
            <w:r>
              <w:rPr>
                <w:spacing w:val="13"/>
              </w:rPr>
              <w:t>部分排入回水池中与选矿废水经混凝沉淀后</w:t>
            </w:r>
            <w:r>
              <w:rPr>
                <w:spacing w:val="8"/>
              </w:rPr>
              <w:t>进入蓄水池内回用于选矿用水，不外排。</w:t>
            </w:r>
          </w:p>
        </w:tc>
        <w:tc>
          <w:tcPr>
            <w:tcW w:w="1027" w:type="dxa"/>
            <w:vAlign w:val="top"/>
          </w:tcPr>
          <w:p>
            <w:pPr>
              <w:spacing w:line="435" w:lineRule="auto"/>
              <w:rPr>
                <w:rFonts w:ascii="Arial"/>
                <w:sz w:val="21"/>
              </w:rPr>
            </w:pPr>
            <w:r/>
          </w:p>
          <w:p>
            <w:pPr>
              <w:ind w:left="482"/>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51" w:type="dxa"/>
            <w:vAlign w:val="top"/>
          </w:tcPr>
          <w:p>
            <w:pPr>
              <w:spacing w:line="435" w:lineRule="auto"/>
              <w:rPr>
                <w:rFonts w:ascii="Arial"/>
                <w:sz w:val="21"/>
              </w:rPr>
            </w:pPr>
            <w:r/>
          </w:p>
          <w:p>
            <w:pPr>
              <w:ind w:left="544"/>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30" w:type="dxa"/>
            <w:vAlign w:val="top"/>
            <w:vMerge w:val="restart"/>
            <w:tcBorders>
              <w:right w:val="nil"/>
              <w:bottom w:val="nil"/>
            </w:tcBorders>
          </w:tcPr>
          <w:p>
            <w:pPr>
              <w:spacing w:line="246" w:lineRule="auto"/>
              <w:rPr>
                <w:rFonts w:ascii="Arial"/>
                <w:sz w:val="21"/>
              </w:rPr>
            </w:pPr>
            <w:r/>
          </w:p>
          <w:p>
            <w:pPr>
              <w:pStyle w:val="TableText"/>
              <w:ind w:left="120" w:right="107" w:firstLine="419"/>
              <w:spacing w:before="65" w:line="288" w:lineRule="auto"/>
              <w:jc w:val="both"/>
              <w:rPr/>
            </w:pPr>
            <w:r>
              <w:rPr>
                <w:spacing w:val="-5"/>
              </w:rPr>
              <w:t>《</w:t>
            </w:r>
            <w:r>
              <w:rPr>
                <w:spacing w:val="-17"/>
              </w:rPr>
              <w:t xml:space="preserve"> </w:t>
            </w:r>
            <w:r>
              <w:rPr>
                <w:spacing w:val="-5"/>
              </w:rPr>
              <w:t>城</w:t>
            </w:r>
            <w:r>
              <w:rPr>
                <w:spacing w:val="-39"/>
              </w:rPr>
              <w:t xml:space="preserve"> </w:t>
            </w:r>
            <w:r>
              <w:rPr>
                <w:spacing w:val="-5"/>
              </w:rPr>
              <w:t>市</w:t>
            </w:r>
            <w:r>
              <w:rPr>
                <w:spacing w:val="-44"/>
              </w:rPr>
              <w:t xml:space="preserve"> </w:t>
            </w:r>
            <w:r>
              <w:rPr>
                <w:spacing w:val="-5"/>
              </w:rPr>
              <w:t>污</w:t>
            </w:r>
            <w:r>
              <w:rPr>
                <w:spacing w:val="-49"/>
              </w:rPr>
              <w:t xml:space="preserve"> </w:t>
            </w:r>
            <w:r>
              <w:rPr>
                <w:spacing w:val="-5"/>
              </w:rPr>
              <w:t>水</w:t>
            </w:r>
            <w:r>
              <w:rPr>
                <w:spacing w:val="-43"/>
              </w:rPr>
              <w:t xml:space="preserve"> </w:t>
            </w:r>
            <w:r>
              <w:rPr>
                <w:spacing w:val="-5"/>
              </w:rPr>
              <w:t>再</w:t>
            </w:r>
            <w:r>
              <w:rPr>
                <w:spacing w:val="-36"/>
              </w:rPr>
              <w:t xml:space="preserve"> </w:t>
            </w:r>
            <w:r>
              <w:rPr>
                <w:spacing w:val="-5"/>
              </w:rPr>
              <w:t>生</w:t>
            </w:r>
            <w:r>
              <w:rPr>
                <w:spacing w:val="-48"/>
              </w:rPr>
              <w:t xml:space="preserve"> </w:t>
            </w:r>
            <w:r>
              <w:rPr>
                <w:spacing w:val="-5"/>
              </w:rPr>
              <w:t>利用</w:t>
            </w:r>
            <w:r>
              <w:rPr>
                <w:spacing w:val="-5"/>
              </w:rPr>
              <w:t>工</w:t>
            </w:r>
            <w:r>
              <w:rPr>
                <w:spacing w:val="-5"/>
              </w:rPr>
              <w:t xml:space="preserve">  </w:t>
            </w:r>
            <w:r>
              <w:rPr>
                <w:spacing w:val="-5"/>
              </w:rPr>
              <w:t>业</w:t>
            </w:r>
            <w:r>
              <w:rPr>
                <w:spacing w:val="5"/>
              </w:rPr>
              <w:t xml:space="preserve">  </w:t>
            </w:r>
            <w:r>
              <w:rPr>
                <w:spacing w:val="-5"/>
              </w:rPr>
              <w:t>用</w:t>
            </w:r>
            <w:r>
              <w:rPr>
                <w:spacing w:val="3"/>
              </w:rPr>
              <w:t xml:space="preserve">  </w:t>
            </w:r>
            <w:r>
              <w:rPr>
                <w:spacing w:val="-5"/>
              </w:rPr>
              <w:t>水</w:t>
            </w:r>
            <w:r>
              <w:rPr>
                <w:spacing w:val="2"/>
              </w:rPr>
              <w:t xml:space="preserve">  </w:t>
            </w:r>
            <w:r>
              <w:rPr>
                <w:spacing w:val="-5"/>
              </w:rPr>
              <w:t>水</w:t>
            </w:r>
            <w:r>
              <w:rPr>
                <w:spacing w:val="6"/>
              </w:rPr>
              <w:t xml:space="preserve">  </w:t>
            </w:r>
            <w:r>
              <w:rPr>
                <w:spacing w:val="-5"/>
              </w:rPr>
              <w:t>质</w:t>
            </w:r>
            <w:r>
              <w:rPr>
                <w:spacing w:val="5"/>
              </w:rPr>
              <w:t xml:space="preserve">  </w:t>
            </w:r>
            <w:r>
              <w:rPr>
                <w:spacing w:val="-5"/>
              </w:rPr>
              <w:t>》</w:t>
            </w:r>
            <w:r>
              <w:rPr>
                <w:spacing w:val="1"/>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/T19923-2024</w:t>
            </w:r>
            <w:r>
              <w:rPr>
                <w:spacing w:val="5"/>
              </w:rPr>
              <w:t>）</w:t>
            </w:r>
            <w:r>
              <w:rPr>
                <w:spacing w:val="-11"/>
              </w:rPr>
              <w:t xml:space="preserve"> </w:t>
            </w:r>
            <w:r>
              <w:rPr>
                <w:spacing w:val="5"/>
              </w:rPr>
              <w:t>中工艺</w:t>
            </w:r>
            <w:r>
              <w:rPr>
                <w:spacing w:val="8"/>
              </w:rPr>
              <w:t>用水标准要求和工艺要求后</w:t>
            </w:r>
          </w:p>
        </w:tc>
      </w:tr>
      <w:tr>
        <w:trPr>
          <w:trHeight w:val="627" w:hRule="atLeast"/>
        </w:trPr>
        <w:tc>
          <w:tcPr>
            <w:tcW w:w="706" w:type="dxa"/>
            <w:vAlign w:val="top"/>
            <w:vMerge w:val="continue"/>
            <w:tcBorders>
              <w:left w:val="nil"/>
              <w:top w:val="nil"/>
            </w:tcBorders>
          </w:tcPr>
          <w:p>
            <w:pPr>
              <w:rPr>
                <w:rFonts w:ascii="Arial"/>
                <w:sz w:val="21"/>
              </w:rPr>
            </w:pPr>
            <w:r/>
          </w:p>
        </w:tc>
        <w:tc>
          <w:tcPr>
            <w:tcW w:w="757" w:type="dxa"/>
            <w:vAlign w:val="top"/>
            <w:vMerge w:val="continue"/>
            <w:tcBorders>
              <w:top w:val="nil"/>
            </w:tcBorders>
          </w:tcPr>
          <w:p>
            <w:pPr>
              <w:rPr>
                <w:rFonts w:ascii="Arial"/>
                <w:sz w:val="21"/>
              </w:rPr>
            </w:pPr>
            <w:r/>
          </w:p>
        </w:tc>
        <w:tc>
          <w:tcPr>
            <w:tcW w:w="3418" w:type="dxa"/>
            <w:vAlign w:val="top"/>
            <w:gridSpan w:val="4"/>
          </w:tcPr>
          <w:p>
            <w:pPr>
              <w:pStyle w:val="TableText"/>
              <w:ind w:left="146"/>
              <w:spacing w:before="62" w:line="228" w:lineRule="auto"/>
              <w:rPr/>
            </w:pPr>
            <w:r>
              <w:rPr>
                <w:spacing w:val="8"/>
              </w:rPr>
              <w:t>选矿废水（车间冲洗废水、选矿工</w:t>
            </w:r>
          </w:p>
          <w:p>
            <w:pPr>
              <w:pStyle w:val="TableText"/>
              <w:ind w:left="1307"/>
              <w:spacing w:before="64" w:line="224" w:lineRule="auto"/>
              <w:rPr/>
            </w:pPr>
            <w:r>
              <w:rPr>
                <w:spacing w:val="2"/>
              </w:rPr>
              <w:t>艺废水）</w:t>
            </w:r>
          </w:p>
        </w:tc>
        <w:tc>
          <w:tcPr>
            <w:tcW w:w="4285" w:type="dxa"/>
            <w:vAlign w:val="top"/>
            <w:vMerge w:val="continue"/>
            <w:tcBorders>
              <w:top w:val="nil"/>
            </w:tcBorders>
          </w:tcPr>
          <w:p>
            <w:pPr>
              <w:rPr>
                <w:rFonts w:ascii="Arial"/>
                <w:sz w:val="21"/>
              </w:rPr>
            </w:pPr>
            <w:r/>
          </w:p>
        </w:tc>
        <w:tc>
          <w:tcPr>
            <w:tcW w:w="1027" w:type="dxa"/>
            <w:vAlign w:val="top"/>
          </w:tcPr>
          <w:p>
            <w:pPr>
              <w:ind w:left="482"/>
              <w:spacing w:before="2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51" w:type="dxa"/>
            <w:vAlign w:val="top"/>
          </w:tcPr>
          <w:p>
            <w:pPr>
              <w:ind w:left="544"/>
              <w:spacing w:before="2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30" w:type="dxa"/>
            <w:vAlign w:val="top"/>
            <w:vMerge w:val="continue"/>
            <w:tcBorders>
              <w:right w:val="nil"/>
              <w:top w:val="nil"/>
            </w:tcBorders>
          </w:tcPr>
          <w:p>
            <w:pPr>
              <w:rPr>
                <w:rFonts w:ascii="Arial"/>
                <w:sz w:val="21"/>
              </w:rPr>
            </w:pPr>
            <w:r/>
          </w:p>
        </w:tc>
      </w:tr>
      <w:tr>
        <w:trPr>
          <w:trHeight w:val="1560" w:hRule="atLeast"/>
        </w:trPr>
        <w:tc>
          <w:tcPr>
            <w:tcW w:w="706" w:type="dxa"/>
            <w:vAlign w:val="top"/>
            <w:vMerge w:val="restart"/>
            <w:tcBorders>
              <w:bottom w:val="nil"/>
              <w:left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3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5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81"/>
              <w:spacing w:before="65" w:line="233" w:lineRule="auto"/>
              <w:rPr/>
            </w:pPr>
            <w:r>
              <w:rPr/>
              <w:t>废气</w:t>
            </w:r>
          </w:p>
        </w:tc>
        <w:tc>
          <w:tcPr>
            <w:tcW w:w="1299" w:type="dxa"/>
            <w:vAlign w:val="top"/>
            <w:gridSpan w:val="2"/>
          </w:tcPr>
          <w:p>
            <w:pPr>
              <w:spacing w:line="465" w:lineRule="auto"/>
              <w:rPr>
                <w:rFonts w:ascii="Arial"/>
                <w:sz w:val="21"/>
              </w:rPr>
            </w:pPr>
            <w:r/>
          </w:p>
          <w:p>
            <w:pPr>
              <w:pStyle w:val="TableText"/>
              <w:ind w:left="562" w:right="124" w:hanging="425"/>
              <w:spacing w:before="65" w:line="289" w:lineRule="auto"/>
              <w:rPr/>
            </w:pPr>
            <w:r>
              <w:rPr>
                <w:spacing w:val="6"/>
              </w:rPr>
              <w:t>井下采矿废</w:t>
            </w:r>
            <w:r>
              <w:rPr/>
              <w:t>气</w:t>
            </w:r>
          </w:p>
        </w:tc>
        <w:tc>
          <w:tcPr>
            <w:tcW w:w="1143" w:type="dxa"/>
            <w:vAlign w:val="top"/>
          </w:tcPr>
          <w:p>
            <w:pPr>
              <w:spacing w:line="331" w:lineRule="auto"/>
              <w:rPr>
                <w:rFonts w:ascii="Arial"/>
                <w:sz w:val="21"/>
              </w:rPr>
            </w:pPr>
            <w:r/>
          </w:p>
          <w:p>
            <w:pPr>
              <w:spacing w:line="331" w:lineRule="auto"/>
              <w:rPr>
                <w:rFonts w:ascii="Arial"/>
                <w:sz w:val="21"/>
              </w:rPr>
            </w:pPr>
            <w:r/>
          </w:p>
          <w:p>
            <w:pPr>
              <w:ind w:left="381"/>
              <w:spacing w:before="5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x</w:t>
            </w:r>
          </w:p>
        </w:tc>
        <w:tc>
          <w:tcPr>
            <w:tcW w:w="976" w:type="dxa"/>
            <w:vAlign w:val="top"/>
          </w:tcPr>
          <w:p>
            <w:pPr>
              <w:spacing w:line="309" w:lineRule="auto"/>
              <w:rPr>
                <w:rFonts w:ascii="Arial"/>
                <w:sz w:val="21"/>
              </w:rPr>
            </w:pPr>
            <w:r/>
          </w:p>
          <w:p>
            <w:pPr>
              <w:spacing w:line="310" w:lineRule="auto"/>
              <w:rPr>
                <w:rFonts w:ascii="Arial"/>
                <w:sz w:val="21"/>
              </w:rPr>
            </w:pPr>
            <w:r/>
          </w:p>
          <w:p>
            <w:pPr>
              <w:pStyle w:val="TableText"/>
              <w:ind w:left="181"/>
              <w:spacing w:before="65" w:line="231" w:lineRule="auto"/>
              <w:rPr/>
            </w:pPr>
            <w:r>
              <w:rPr>
                <w:spacing w:val="5"/>
              </w:rPr>
              <w:t>有组织</w:t>
            </w:r>
          </w:p>
        </w:tc>
        <w:tc>
          <w:tcPr>
            <w:tcW w:w="4285" w:type="dxa"/>
            <w:vAlign w:val="top"/>
          </w:tcPr>
          <w:p>
            <w:pPr>
              <w:pStyle w:val="TableText"/>
              <w:ind w:left="119" w:right="105" w:firstLine="420"/>
              <w:spacing w:before="65" w:line="274" w:lineRule="auto"/>
              <w:jc w:val="both"/>
              <w:rPr/>
            </w:pPr>
            <w:r>
              <w:rPr>
                <w:spacing w:val="10"/>
              </w:rPr>
              <w:t>掘进、</w:t>
            </w:r>
            <w:r>
              <w:rPr>
                <w:spacing w:val="-37"/>
              </w:rPr>
              <w:t xml:space="preserve"> </w:t>
            </w:r>
            <w:r>
              <w:rPr>
                <w:spacing w:val="10"/>
              </w:rPr>
              <w:t>回采采用爆破的方式进行并辅以</w:t>
            </w:r>
            <w:r>
              <w:rPr>
                <w:spacing w:val="13"/>
              </w:rPr>
              <w:t>湿式凿岩方式进行开采；在爆破凿岩后采取</w:t>
            </w:r>
            <w:r>
              <w:rPr>
                <w:spacing w:val="13"/>
              </w:rPr>
              <w:t>加强通风，并在产尘点及通道加强酒水、喷</w:t>
            </w:r>
            <w:r>
              <w:rPr>
                <w:spacing w:val="8"/>
              </w:rPr>
              <w:t>雾降尘等措施经通风井集中收集后由</w:t>
            </w:r>
            <w:r>
              <w:rPr>
                <w:spacing w:val="-20"/>
              </w:rPr>
              <w:t xml:space="preserve"> </w:t>
            </w:r>
            <w:r>
              <w:rPr>
                <w:rFonts w:ascii="Times New Roman" w:hAnsi="Times New Roman" w:eastAsia="Times New Roman" w:cs="Times New Roman"/>
                <w:spacing w:val="8"/>
              </w:rPr>
              <w:t>15m </w:t>
            </w:r>
            <w:r>
              <w:rPr>
                <w:spacing w:val="8"/>
              </w:rPr>
              <w:t>排</w:t>
            </w:r>
            <w:r>
              <w:rPr>
                <w:spacing w:val="6"/>
              </w:rPr>
              <w:t>气筒排放</w:t>
            </w:r>
          </w:p>
        </w:tc>
        <w:tc>
          <w:tcPr>
            <w:tcW w:w="1027" w:type="dxa"/>
            <w:vAlign w:val="top"/>
          </w:tcPr>
          <w:p>
            <w:pPr>
              <w:spacing w:line="331" w:lineRule="auto"/>
              <w:rPr>
                <w:rFonts w:ascii="Arial"/>
                <w:sz w:val="21"/>
              </w:rPr>
            </w:pPr>
            <w:r/>
          </w:p>
          <w:p>
            <w:pPr>
              <w:spacing w:line="331" w:lineRule="auto"/>
              <w:rPr>
                <w:rFonts w:ascii="Arial"/>
                <w:sz w:val="21"/>
              </w:rPr>
            </w:pPr>
            <w:r/>
          </w:p>
          <w:p>
            <w:pPr>
              <w:ind w:left="28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0.186</w:t>
            </w:r>
          </w:p>
        </w:tc>
        <w:tc>
          <w:tcPr>
            <w:tcW w:w="1151" w:type="dxa"/>
            <w:vAlign w:val="top"/>
          </w:tcPr>
          <w:p>
            <w:pPr>
              <w:spacing w:line="331" w:lineRule="auto"/>
              <w:rPr>
                <w:rFonts w:ascii="Arial"/>
                <w:sz w:val="21"/>
              </w:rPr>
            </w:pPr>
            <w:r/>
          </w:p>
          <w:p>
            <w:pPr>
              <w:spacing w:line="331" w:lineRule="auto"/>
              <w:rPr>
                <w:rFonts w:ascii="Arial"/>
                <w:sz w:val="21"/>
              </w:rPr>
            </w:pPr>
            <w:r/>
          </w:p>
          <w:p>
            <w:pPr>
              <w:ind w:left="34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2830" w:type="dxa"/>
            <w:vAlign w:val="top"/>
            <w:vMerge w:val="restart"/>
            <w:tcBorders>
              <w:bottom w:val="nil"/>
              <w:right w:val="nil"/>
            </w:tcBorders>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10" w:right="107" w:firstLine="429"/>
              <w:spacing w:before="65" w:line="288" w:lineRule="auto"/>
              <w:jc w:val="both"/>
              <w:rPr/>
            </w:pPr>
            <w:r>
              <w:rPr>
                <w:spacing w:val="18"/>
              </w:rPr>
              <w:t>《大气污染物综合排放</w:t>
            </w:r>
            <w:r>
              <w:rPr>
                <w:spacing w:val="7"/>
              </w:rPr>
              <w:t>标准》（</w:t>
            </w:r>
            <w:r>
              <w:rPr>
                <w:rFonts w:ascii="Times New Roman" w:hAnsi="Times New Roman" w:eastAsia="Times New Roman" w:cs="Times New Roman"/>
              </w:rPr>
              <w:t>GB</w:t>
            </w:r>
            <w:r>
              <w:rPr>
                <w:rFonts w:ascii="Times New Roman" w:hAnsi="Times New Roman" w:eastAsia="Times New Roman" w:cs="Times New Roman"/>
                <w:spacing w:val="7"/>
              </w:rPr>
              <w:t>16297-1996</w:t>
            </w:r>
            <w:r>
              <w:rPr>
                <w:spacing w:val="7"/>
              </w:rPr>
              <w:t>）表</w:t>
            </w:r>
            <w:r>
              <w:rPr>
                <w:rFonts w:ascii="Times New Roman" w:hAnsi="Times New Roman" w:eastAsia="Times New Roman" w:cs="Times New Roman"/>
                <w:spacing w:val="18"/>
              </w:rPr>
              <w:t>2</w:t>
            </w:r>
            <w:r>
              <w:rPr>
                <w:rFonts w:ascii="Times New Roman" w:hAnsi="Times New Roman" w:eastAsia="Times New Roman" w:cs="Times New Roman"/>
                <w:spacing w:val="37"/>
              </w:rPr>
              <w:t xml:space="preserve"> </w:t>
            </w:r>
            <w:r>
              <w:rPr>
                <w:spacing w:val="18"/>
              </w:rPr>
              <w:t>新污染源大气污染物排放</w:t>
            </w:r>
            <w:r>
              <w:rPr>
                <w:spacing w:val="17"/>
              </w:rPr>
              <w:t>限值中二级标准和无组织排</w:t>
            </w:r>
            <w:r>
              <w:rPr>
                <w:spacing w:val="9"/>
              </w:rPr>
              <w:t>放浓度限值要求</w:t>
            </w:r>
          </w:p>
        </w:tc>
      </w:tr>
      <w:tr>
        <w:trPr>
          <w:trHeight w:val="491" w:hRule="atLeast"/>
        </w:trPr>
        <w:tc>
          <w:tcPr>
            <w:tcW w:w="706" w:type="dxa"/>
            <w:vAlign w:val="top"/>
            <w:vMerge w:val="continue"/>
            <w:tcBorders>
              <w:bottom w:val="nil"/>
              <w:left w:val="nil"/>
              <w:top w:val="nil"/>
            </w:tcBorders>
          </w:tcPr>
          <w:p>
            <w:pPr>
              <w:rPr>
                <w:rFonts w:ascii="Arial"/>
                <w:sz w:val="21"/>
              </w:rPr>
            </w:pPr>
            <w:r/>
          </w:p>
        </w:tc>
        <w:tc>
          <w:tcPr>
            <w:tcW w:w="757" w:type="dxa"/>
            <w:vAlign w:val="top"/>
            <w:vMerge w:val="continue"/>
            <w:tcBorders>
              <w:bottom w:val="nil"/>
              <w:top w:val="nil"/>
            </w:tcBorders>
          </w:tcPr>
          <w:p>
            <w:pPr>
              <w:rPr>
                <w:rFonts w:ascii="Arial"/>
                <w:sz w:val="21"/>
              </w:rPr>
            </w:pPr>
            <w:r/>
          </w:p>
        </w:tc>
        <w:tc>
          <w:tcPr>
            <w:tcW w:w="638" w:type="dxa"/>
            <w:vAlign w:val="top"/>
            <w:vMerge w:val="restart"/>
            <w:tcBorders>
              <w:bottom w:val="nil"/>
            </w:tcBorders>
          </w:tcPr>
          <w:p>
            <w:pPr>
              <w:spacing w:line="476" w:lineRule="auto"/>
              <w:rPr>
                <w:rFonts w:ascii="Arial"/>
                <w:sz w:val="21"/>
              </w:rPr>
            </w:pPr>
            <w:r/>
          </w:p>
          <w:p>
            <w:pPr>
              <w:pStyle w:val="TableText"/>
              <w:ind w:left="124" w:right="108" w:hanging="2"/>
              <w:spacing w:before="65" w:line="288" w:lineRule="auto"/>
              <w:rPr/>
            </w:pPr>
            <w:r>
              <w:rPr/>
              <w:t>选矿</w:t>
            </w:r>
            <w:r>
              <w:rPr>
                <w:spacing w:val="-1"/>
              </w:rPr>
              <w:t>工艺</w:t>
            </w:r>
          </w:p>
          <w:p>
            <w:pPr>
              <w:pStyle w:val="TableText"/>
              <w:ind w:left="122"/>
              <w:spacing w:before="1" w:line="232" w:lineRule="auto"/>
              <w:rPr/>
            </w:pPr>
            <w:r>
              <w:rPr/>
              <w:t>废气</w:t>
            </w:r>
          </w:p>
        </w:tc>
        <w:tc>
          <w:tcPr>
            <w:tcW w:w="661" w:type="dxa"/>
            <w:vAlign w:val="top"/>
            <w:vMerge w:val="restart"/>
            <w:tcBorders>
              <w:bottom w:val="nil"/>
            </w:tcBorders>
          </w:tcPr>
          <w:p>
            <w:pPr>
              <w:pStyle w:val="TableText"/>
              <w:ind w:left="130"/>
              <w:spacing w:before="71" w:line="231" w:lineRule="auto"/>
              <w:rPr/>
            </w:pPr>
            <w:r>
              <w:rPr>
                <w:spacing w:val="2"/>
              </w:rPr>
              <w:t>粗破</w:t>
            </w:r>
          </w:p>
          <w:p>
            <w:pPr>
              <w:pStyle w:val="TableText"/>
              <w:ind w:left="255" w:right="121" w:hanging="125"/>
              <w:spacing w:before="61" w:line="251" w:lineRule="auto"/>
              <w:rPr/>
            </w:pPr>
            <w:r>
              <w:rPr>
                <w:spacing w:val="2"/>
              </w:rPr>
              <w:t>碎车</w:t>
            </w:r>
            <w:r>
              <w:rPr/>
              <w:t>间</w:t>
            </w:r>
          </w:p>
        </w:tc>
        <w:tc>
          <w:tcPr>
            <w:tcW w:w="1143" w:type="dxa"/>
            <w:vAlign w:val="top"/>
          </w:tcPr>
          <w:p>
            <w:pPr>
              <w:pStyle w:val="TableText"/>
              <w:ind w:left="266"/>
              <w:spacing w:before="158" w:line="229" w:lineRule="auto"/>
              <w:rPr/>
            </w:pPr>
            <w:r>
              <w:rPr>
                <w:spacing w:val="4"/>
              </w:rPr>
              <w:t>颗粒物</w:t>
            </w:r>
          </w:p>
        </w:tc>
        <w:tc>
          <w:tcPr>
            <w:tcW w:w="976" w:type="dxa"/>
            <w:vAlign w:val="top"/>
          </w:tcPr>
          <w:p>
            <w:pPr>
              <w:pStyle w:val="TableText"/>
              <w:ind w:left="181"/>
              <w:spacing w:before="157" w:line="231" w:lineRule="auto"/>
              <w:rPr/>
            </w:pPr>
            <w:r>
              <w:rPr>
                <w:spacing w:val="5"/>
              </w:rPr>
              <w:t>有组织</w:t>
            </w:r>
          </w:p>
        </w:tc>
        <w:tc>
          <w:tcPr>
            <w:tcW w:w="4285" w:type="dxa"/>
            <w:vAlign w:val="top"/>
            <w:vMerge w:val="restart"/>
            <w:tcBorders>
              <w:bottom w:val="nil"/>
            </w:tcBorders>
          </w:tcPr>
          <w:p>
            <w:pPr>
              <w:spacing w:line="315" w:lineRule="auto"/>
              <w:rPr>
                <w:rFonts w:ascii="Arial"/>
                <w:sz w:val="21"/>
              </w:rPr>
            </w:pPr>
            <w:r/>
          </w:p>
          <w:p>
            <w:pPr>
              <w:spacing w:line="316" w:lineRule="auto"/>
              <w:rPr>
                <w:rFonts w:ascii="Arial"/>
                <w:sz w:val="21"/>
              </w:rPr>
            </w:pPr>
            <w:r/>
          </w:p>
          <w:p>
            <w:pPr>
              <w:pStyle w:val="TableText"/>
              <w:ind w:left="126" w:right="106" w:firstLine="418"/>
              <w:spacing w:before="65" w:line="288" w:lineRule="auto"/>
              <w:rPr/>
            </w:pPr>
            <w:r>
              <w:rPr>
                <w:spacing w:val="-2"/>
              </w:rPr>
              <w:t>袋式除尘（除尘效率</w:t>
            </w:r>
            <w:r>
              <w:rPr>
                <w:spacing w:val="-32"/>
              </w:rPr>
              <w:t xml:space="preserve"> </w:t>
            </w:r>
            <w:r>
              <w:rPr>
                <w:rFonts w:ascii="Times New Roman" w:hAnsi="Times New Roman" w:eastAsia="Times New Roman" w:cs="Times New Roman"/>
                <w:spacing w:val="-2"/>
              </w:rPr>
              <w:t>98%</w:t>
            </w:r>
            <w:r>
              <w:rPr>
                <w:spacing w:val="-2"/>
              </w:rPr>
              <w:t>）处理后经</w:t>
            </w:r>
            <w:r>
              <w:rPr>
                <w:spacing w:val="-23"/>
              </w:rPr>
              <w:t xml:space="preserve"> </w:t>
            </w:r>
            <w:r>
              <w:rPr>
                <w:rFonts w:ascii="Times New Roman" w:hAnsi="Times New Roman" w:eastAsia="Times New Roman" w:cs="Times New Roman"/>
                <w:spacing w:val="-2"/>
              </w:rPr>
              <w:t>15m</w:t>
            </w:r>
            <w:r>
              <w:rPr>
                <w:spacing w:val="6"/>
              </w:rPr>
              <w:t>高排气筒排放</w:t>
            </w:r>
          </w:p>
        </w:tc>
        <w:tc>
          <w:tcPr>
            <w:tcW w:w="1027" w:type="dxa"/>
            <w:vAlign w:val="top"/>
          </w:tcPr>
          <w:p>
            <w:pPr>
              <w:ind w:left="283"/>
              <w:spacing w:before="1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0.289</w:t>
            </w:r>
          </w:p>
        </w:tc>
        <w:tc>
          <w:tcPr>
            <w:tcW w:w="1151" w:type="dxa"/>
            <w:vAlign w:val="top"/>
          </w:tcPr>
          <w:p>
            <w:pPr>
              <w:ind w:left="307"/>
              <w:spacing w:before="1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10.945</w:t>
            </w:r>
          </w:p>
        </w:tc>
        <w:tc>
          <w:tcPr>
            <w:tcW w:w="2830" w:type="dxa"/>
            <w:vAlign w:val="top"/>
            <w:vMerge w:val="continue"/>
            <w:tcBorders>
              <w:bottom w:val="nil"/>
              <w:right w:val="nil"/>
              <w:top w:val="nil"/>
            </w:tcBorders>
          </w:tcPr>
          <w:p>
            <w:pPr>
              <w:rPr>
                <w:rFonts w:ascii="Arial"/>
                <w:sz w:val="21"/>
              </w:rPr>
            </w:pPr>
            <w:r/>
          </w:p>
        </w:tc>
      </w:tr>
      <w:tr>
        <w:trPr>
          <w:trHeight w:val="441" w:hRule="atLeast"/>
        </w:trPr>
        <w:tc>
          <w:tcPr>
            <w:tcW w:w="706" w:type="dxa"/>
            <w:vAlign w:val="top"/>
            <w:vMerge w:val="continue"/>
            <w:tcBorders>
              <w:bottom w:val="nil"/>
              <w:left w:val="nil"/>
              <w:top w:val="nil"/>
            </w:tcBorders>
          </w:tcPr>
          <w:p>
            <w:pPr>
              <w:rPr>
                <w:rFonts w:ascii="Arial"/>
                <w:sz w:val="21"/>
              </w:rPr>
            </w:pPr>
            <w:r/>
          </w:p>
        </w:tc>
        <w:tc>
          <w:tcPr>
            <w:tcW w:w="757" w:type="dxa"/>
            <w:vAlign w:val="top"/>
            <w:vMerge w:val="continue"/>
            <w:tcBorders>
              <w:bottom w:val="nil"/>
              <w:top w:val="nil"/>
            </w:tcBorders>
          </w:tcPr>
          <w:p>
            <w:pPr>
              <w:rPr>
                <w:rFonts w:ascii="Arial"/>
                <w:sz w:val="21"/>
              </w:rPr>
            </w:pPr>
            <w:r/>
          </w:p>
        </w:tc>
        <w:tc>
          <w:tcPr>
            <w:tcW w:w="638" w:type="dxa"/>
            <w:vAlign w:val="top"/>
            <w:vMerge w:val="continue"/>
            <w:tcBorders>
              <w:bottom w:val="nil"/>
              <w:top w:val="nil"/>
            </w:tcBorders>
          </w:tcPr>
          <w:p>
            <w:pPr>
              <w:rPr>
                <w:rFonts w:ascii="Arial"/>
                <w:sz w:val="21"/>
              </w:rPr>
            </w:pPr>
            <w:r/>
          </w:p>
        </w:tc>
        <w:tc>
          <w:tcPr>
            <w:tcW w:w="661" w:type="dxa"/>
            <w:vAlign w:val="top"/>
            <w:vMerge w:val="continue"/>
            <w:tcBorders>
              <w:top w:val="nil"/>
            </w:tcBorders>
          </w:tcPr>
          <w:p>
            <w:pPr>
              <w:rPr>
                <w:rFonts w:ascii="Arial"/>
                <w:sz w:val="21"/>
              </w:rPr>
            </w:pPr>
            <w:r/>
          </w:p>
        </w:tc>
        <w:tc>
          <w:tcPr>
            <w:tcW w:w="1143" w:type="dxa"/>
            <w:vAlign w:val="top"/>
          </w:tcPr>
          <w:p>
            <w:pPr>
              <w:pStyle w:val="TableText"/>
              <w:ind w:left="271"/>
              <w:spacing w:before="135" w:line="229" w:lineRule="auto"/>
              <w:rPr/>
            </w:pPr>
            <w:r>
              <w:rPr>
                <w:spacing w:val="3"/>
              </w:rPr>
              <w:t>氟化物</w:t>
            </w:r>
          </w:p>
        </w:tc>
        <w:tc>
          <w:tcPr>
            <w:tcW w:w="976" w:type="dxa"/>
            <w:vAlign w:val="top"/>
          </w:tcPr>
          <w:p>
            <w:pPr>
              <w:pStyle w:val="TableText"/>
              <w:ind w:left="181"/>
              <w:spacing w:before="134" w:line="231" w:lineRule="auto"/>
              <w:rPr/>
            </w:pPr>
            <w:r>
              <w:rPr>
                <w:spacing w:val="5"/>
              </w:rPr>
              <w:t>有组织</w:t>
            </w:r>
          </w:p>
        </w:tc>
        <w:tc>
          <w:tcPr>
            <w:tcW w:w="4285" w:type="dxa"/>
            <w:vAlign w:val="top"/>
            <w:vMerge w:val="continue"/>
            <w:tcBorders>
              <w:bottom w:val="nil"/>
              <w:top w:val="nil"/>
            </w:tcBorders>
          </w:tcPr>
          <w:p>
            <w:pPr>
              <w:rPr>
                <w:rFonts w:ascii="Arial"/>
                <w:sz w:val="21"/>
              </w:rPr>
            </w:pPr>
            <w:r/>
          </w:p>
        </w:tc>
        <w:tc>
          <w:tcPr>
            <w:tcW w:w="1027" w:type="dxa"/>
            <w:vAlign w:val="top"/>
          </w:tcPr>
          <w:p>
            <w:pPr>
              <w:ind w:left="283"/>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0.198</w:t>
            </w:r>
          </w:p>
        </w:tc>
        <w:tc>
          <w:tcPr>
            <w:tcW w:w="1151" w:type="dxa"/>
            <w:vAlign w:val="top"/>
          </w:tcPr>
          <w:p>
            <w:pPr>
              <w:ind w:left="343"/>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7.512</w:t>
            </w:r>
          </w:p>
        </w:tc>
        <w:tc>
          <w:tcPr>
            <w:tcW w:w="2830" w:type="dxa"/>
            <w:vAlign w:val="top"/>
            <w:vMerge w:val="continue"/>
            <w:tcBorders>
              <w:bottom w:val="nil"/>
              <w:right w:val="nil"/>
              <w:top w:val="nil"/>
            </w:tcBorders>
          </w:tcPr>
          <w:p>
            <w:pPr>
              <w:rPr>
                <w:rFonts w:ascii="Arial"/>
                <w:sz w:val="21"/>
              </w:rPr>
            </w:pPr>
            <w:r/>
          </w:p>
        </w:tc>
      </w:tr>
      <w:tr>
        <w:trPr>
          <w:trHeight w:val="316" w:hRule="atLeast"/>
        </w:trPr>
        <w:tc>
          <w:tcPr>
            <w:tcW w:w="706" w:type="dxa"/>
            <w:vAlign w:val="top"/>
            <w:vMerge w:val="continue"/>
            <w:tcBorders>
              <w:bottom w:val="nil"/>
              <w:left w:val="nil"/>
              <w:top w:val="nil"/>
            </w:tcBorders>
          </w:tcPr>
          <w:p>
            <w:pPr>
              <w:rPr>
                <w:rFonts w:ascii="Arial"/>
                <w:sz w:val="21"/>
              </w:rPr>
            </w:pPr>
            <w:r/>
          </w:p>
        </w:tc>
        <w:tc>
          <w:tcPr>
            <w:tcW w:w="757" w:type="dxa"/>
            <w:vAlign w:val="top"/>
            <w:vMerge w:val="continue"/>
            <w:tcBorders>
              <w:bottom w:val="nil"/>
              <w:top w:val="nil"/>
            </w:tcBorders>
          </w:tcPr>
          <w:p>
            <w:pPr>
              <w:rPr>
                <w:rFonts w:ascii="Arial"/>
                <w:sz w:val="21"/>
              </w:rPr>
            </w:pPr>
            <w:r/>
          </w:p>
        </w:tc>
        <w:tc>
          <w:tcPr>
            <w:tcW w:w="638" w:type="dxa"/>
            <w:vAlign w:val="top"/>
            <w:vMerge w:val="continue"/>
            <w:tcBorders>
              <w:bottom w:val="nil"/>
              <w:top w:val="nil"/>
            </w:tcBorders>
          </w:tcPr>
          <w:p>
            <w:pPr>
              <w:rPr>
                <w:rFonts w:ascii="Arial"/>
                <w:sz w:val="21"/>
              </w:rPr>
            </w:pPr>
            <w:r/>
          </w:p>
        </w:tc>
        <w:tc>
          <w:tcPr>
            <w:tcW w:w="661" w:type="dxa"/>
            <w:vAlign w:val="top"/>
            <w:vMerge w:val="restart"/>
            <w:tcBorders>
              <w:bottom w:val="nil"/>
            </w:tcBorders>
          </w:tcPr>
          <w:p>
            <w:pPr>
              <w:pStyle w:val="TableText"/>
              <w:ind w:left="134"/>
              <w:spacing w:before="74" w:line="234" w:lineRule="auto"/>
              <w:rPr/>
            </w:pPr>
            <w:r>
              <w:rPr>
                <w:spacing w:val="-1"/>
              </w:rPr>
              <w:t>细破</w:t>
            </w:r>
          </w:p>
          <w:p>
            <w:pPr>
              <w:pStyle w:val="TableText"/>
              <w:ind w:left="255" w:right="121" w:hanging="125"/>
              <w:spacing w:before="58" w:line="260" w:lineRule="auto"/>
              <w:rPr/>
            </w:pPr>
            <w:r>
              <w:rPr>
                <w:spacing w:val="2"/>
              </w:rPr>
              <w:t>碎车</w:t>
            </w:r>
            <w:r>
              <w:rPr/>
              <w:t>间</w:t>
            </w:r>
          </w:p>
        </w:tc>
        <w:tc>
          <w:tcPr>
            <w:tcW w:w="1143" w:type="dxa"/>
            <w:vAlign w:val="top"/>
          </w:tcPr>
          <w:p>
            <w:pPr>
              <w:pStyle w:val="TableText"/>
              <w:ind w:left="266"/>
              <w:spacing w:before="75" w:line="213" w:lineRule="auto"/>
              <w:rPr/>
            </w:pPr>
            <w:r>
              <w:rPr>
                <w:spacing w:val="4"/>
              </w:rPr>
              <w:t>颗粒物</w:t>
            </w:r>
          </w:p>
        </w:tc>
        <w:tc>
          <w:tcPr>
            <w:tcW w:w="976" w:type="dxa"/>
            <w:vAlign w:val="top"/>
          </w:tcPr>
          <w:p>
            <w:pPr>
              <w:pStyle w:val="TableText"/>
              <w:ind w:left="181"/>
              <w:spacing w:before="75" w:line="213" w:lineRule="auto"/>
              <w:rPr/>
            </w:pPr>
            <w:r>
              <w:rPr>
                <w:spacing w:val="5"/>
              </w:rPr>
              <w:t>有组织</w:t>
            </w:r>
          </w:p>
        </w:tc>
        <w:tc>
          <w:tcPr>
            <w:tcW w:w="4285" w:type="dxa"/>
            <w:vAlign w:val="top"/>
            <w:vMerge w:val="continue"/>
            <w:tcBorders>
              <w:bottom w:val="nil"/>
              <w:top w:val="nil"/>
            </w:tcBorders>
          </w:tcPr>
          <w:p>
            <w:pPr>
              <w:rPr>
                <w:rFonts w:ascii="Arial"/>
                <w:sz w:val="21"/>
              </w:rPr>
            </w:pPr>
            <w:r/>
          </w:p>
        </w:tc>
        <w:tc>
          <w:tcPr>
            <w:tcW w:w="1027" w:type="dxa"/>
            <w:vAlign w:val="top"/>
          </w:tcPr>
          <w:p>
            <w:pPr>
              <w:ind w:left="28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0.289</w:t>
            </w:r>
          </w:p>
        </w:tc>
        <w:tc>
          <w:tcPr>
            <w:tcW w:w="1151" w:type="dxa"/>
            <w:vAlign w:val="top"/>
          </w:tcPr>
          <w:p>
            <w:pPr>
              <w:ind w:left="348"/>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8.600</w:t>
            </w:r>
          </w:p>
        </w:tc>
        <w:tc>
          <w:tcPr>
            <w:tcW w:w="2830" w:type="dxa"/>
            <w:vAlign w:val="top"/>
            <w:vMerge w:val="continue"/>
            <w:tcBorders>
              <w:bottom w:val="nil"/>
              <w:right w:val="nil"/>
              <w:top w:val="nil"/>
            </w:tcBorders>
          </w:tcPr>
          <w:p>
            <w:pPr>
              <w:rPr>
                <w:rFonts w:ascii="Arial"/>
                <w:sz w:val="21"/>
              </w:rPr>
            </w:pPr>
            <w:r/>
          </w:p>
        </w:tc>
      </w:tr>
      <w:tr>
        <w:trPr>
          <w:trHeight w:val="639" w:hRule="atLeast"/>
        </w:trPr>
        <w:tc>
          <w:tcPr>
            <w:tcW w:w="706" w:type="dxa"/>
            <w:vAlign w:val="top"/>
            <w:vMerge w:val="continue"/>
            <w:tcBorders>
              <w:bottom w:val="single" w:color="000000" w:sz="10" w:space="0"/>
              <w:left w:val="nil"/>
              <w:top w:val="nil"/>
            </w:tcBorders>
          </w:tcPr>
          <w:p>
            <w:pPr>
              <w:rPr>
                <w:rFonts w:ascii="Arial"/>
                <w:sz w:val="21"/>
              </w:rPr>
            </w:pPr>
            <w:r/>
          </w:p>
        </w:tc>
        <w:tc>
          <w:tcPr>
            <w:tcW w:w="757" w:type="dxa"/>
            <w:vAlign w:val="top"/>
            <w:vMerge w:val="continue"/>
            <w:tcBorders>
              <w:bottom w:val="single" w:color="000000" w:sz="10" w:space="0"/>
              <w:top w:val="nil"/>
            </w:tcBorders>
          </w:tcPr>
          <w:p>
            <w:pPr>
              <w:rPr>
                <w:rFonts w:ascii="Arial"/>
                <w:sz w:val="21"/>
              </w:rPr>
            </w:pPr>
            <w:r/>
          </w:p>
        </w:tc>
        <w:tc>
          <w:tcPr>
            <w:tcW w:w="638" w:type="dxa"/>
            <w:vAlign w:val="top"/>
            <w:vMerge w:val="continue"/>
            <w:tcBorders>
              <w:bottom w:val="single" w:color="000000" w:sz="10" w:space="0"/>
              <w:top w:val="nil"/>
            </w:tcBorders>
          </w:tcPr>
          <w:p>
            <w:pPr>
              <w:rPr>
                <w:rFonts w:ascii="Arial"/>
                <w:sz w:val="21"/>
              </w:rPr>
            </w:pPr>
            <w:r/>
          </w:p>
        </w:tc>
        <w:tc>
          <w:tcPr>
            <w:tcW w:w="661" w:type="dxa"/>
            <w:vAlign w:val="top"/>
            <w:vMerge w:val="continue"/>
            <w:tcBorders>
              <w:bottom w:val="single" w:color="000000" w:sz="10" w:space="0"/>
              <w:top w:val="nil"/>
            </w:tcBorders>
          </w:tcPr>
          <w:p>
            <w:pPr>
              <w:rPr>
                <w:rFonts w:ascii="Arial"/>
                <w:sz w:val="21"/>
              </w:rPr>
            </w:pPr>
            <w:r/>
          </w:p>
        </w:tc>
        <w:tc>
          <w:tcPr>
            <w:tcW w:w="1143" w:type="dxa"/>
            <w:vAlign w:val="top"/>
            <w:tcBorders>
              <w:bottom w:val="single" w:color="000000" w:sz="10" w:space="0"/>
            </w:tcBorders>
          </w:tcPr>
          <w:p>
            <w:pPr>
              <w:pStyle w:val="TableText"/>
              <w:ind w:left="271"/>
              <w:spacing w:before="227" w:line="229" w:lineRule="auto"/>
              <w:rPr/>
            </w:pPr>
            <w:r>
              <w:rPr>
                <w:spacing w:val="3"/>
              </w:rPr>
              <w:t>氟化物</w:t>
            </w:r>
          </w:p>
        </w:tc>
        <w:tc>
          <w:tcPr>
            <w:tcW w:w="976" w:type="dxa"/>
            <w:vAlign w:val="top"/>
            <w:tcBorders>
              <w:bottom w:val="single" w:color="000000" w:sz="10" w:space="0"/>
            </w:tcBorders>
          </w:tcPr>
          <w:p>
            <w:pPr>
              <w:pStyle w:val="TableText"/>
              <w:ind w:left="181"/>
              <w:spacing w:before="226" w:line="231" w:lineRule="auto"/>
              <w:rPr/>
            </w:pPr>
            <w:r>
              <w:rPr>
                <w:spacing w:val="5"/>
              </w:rPr>
              <w:t>有组织</w:t>
            </w:r>
          </w:p>
        </w:tc>
        <w:tc>
          <w:tcPr>
            <w:tcW w:w="4285" w:type="dxa"/>
            <w:vAlign w:val="top"/>
            <w:vMerge w:val="continue"/>
            <w:tcBorders>
              <w:bottom w:val="single" w:color="000000" w:sz="10" w:space="0"/>
              <w:top w:val="nil"/>
            </w:tcBorders>
          </w:tcPr>
          <w:p>
            <w:pPr>
              <w:rPr>
                <w:rFonts w:ascii="Arial"/>
                <w:sz w:val="21"/>
              </w:rPr>
            </w:pPr>
            <w:r/>
          </w:p>
        </w:tc>
        <w:tc>
          <w:tcPr>
            <w:tcW w:w="1027" w:type="dxa"/>
            <w:vAlign w:val="top"/>
            <w:tcBorders>
              <w:bottom w:val="single" w:color="000000" w:sz="10" w:space="0"/>
            </w:tcBorders>
          </w:tcPr>
          <w:p>
            <w:pPr>
              <w:ind w:left="283"/>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0.198</w:t>
            </w:r>
          </w:p>
        </w:tc>
        <w:tc>
          <w:tcPr>
            <w:tcW w:w="1151" w:type="dxa"/>
            <w:vAlign w:val="top"/>
            <w:tcBorders>
              <w:bottom w:val="single" w:color="000000" w:sz="10" w:space="0"/>
            </w:tcBorders>
          </w:tcPr>
          <w:p>
            <w:pPr>
              <w:ind w:left="345"/>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5.902</w:t>
            </w:r>
          </w:p>
        </w:tc>
        <w:tc>
          <w:tcPr>
            <w:tcW w:w="2830"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footerReference w:type="default" r:id="rId397"/>
          <w:pgSz w:w="16839" w:h="11906"/>
          <w:pgMar w:top="400" w:right="1332" w:bottom="1358" w:left="1331" w:header="0" w:footer="1195"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17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757"/>
        <w:gridCol w:w="638"/>
        <w:gridCol w:w="661"/>
        <w:gridCol w:w="1143"/>
        <w:gridCol w:w="976"/>
        <w:gridCol w:w="4285"/>
        <w:gridCol w:w="1027"/>
        <w:gridCol w:w="1151"/>
        <w:gridCol w:w="2830"/>
      </w:tblGrid>
      <w:tr>
        <w:trPr>
          <w:trHeight w:val="321" w:hRule="atLeast"/>
        </w:trPr>
        <w:tc>
          <w:tcPr>
            <w:tcW w:w="706" w:type="dxa"/>
            <w:vAlign w:val="top"/>
            <w:vMerge w:val="restart"/>
            <w:tcBorders>
              <w:top w:val="single" w:color="000000" w:sz="10" w:space="0"/>
              <w:left w:val="nil"/>
              <w:bottom w:val="nil"/>
            </w:tcBorders>
          </w:tcPr>
          <w:p>
            <w:pPr>
              <w:rPr>
                <w:rFonts w:ascii="Arial"/>
                <w:sz w:val="21"/>
              </w:rPr>
            </w:pPr>
            <w:r/>
          </w:p>
        </w:tc>
        <w:tc>
          <w:tcPr>
            <w:tcW w:w="757" w:type="dxa"/>
            <w:vAlign w:val="top"/>
            <w:vMerge w:val="restart"/>
            <w:tcBorders>
              <w:top w:val="single" w:color="000000" w:sz="10" w:space="0"/>
              <w:bottom w:val="nil"/>
            </w:tcBorders>
          </w:tcPr>
          <w:p>
            <w:pPr>
              <w:rPr>
                <w:rFonts w:ascii="Arial"/>
                <w:sz w:val="21"/>
              </w:rPr>
            </w:pPr>
            <w:r/>
          </w:p>
        </w:tc>
        <w:tc>
          <w:tcPr>
            <w:tcW w:w="638" w:type="dxa"/>
            <w:vAlign w:val="top"/>
            <w:vMerge w:val="restart"/>
            <w:tcBorders>
              <w:top w:val="single" w:color="000000" w:sz="10" w:space="0"/>
              <w:bottom w:val="nil"/>
            </w:tcBorders>
          </w:tcPr>
          <w:p>
            <w:pPr>
              <w:rPr>
                <w:rFonts w:ascii="Arial"/>
                <w:sz w:val="21"/>
              </w:rPr>
            </w:pPr>
            <w:r/>
          </w:p>
        </w:tc>
        <w:tc>
          <w:tcPr>
            <w:tcW w:w="661" w:type="dxa"/>
            <w:vAlign w:val="top"/>
            <w:vMerge w:val="restart"/>
            <w:tcBorders>
              <w:top w:val="single" w:color="000000" w:sz="10" w:space="0"/>
              <w:bottom w:val="nil"/>
            </w:tcBorders>
          </w:tcPr>
          <w:p>
            <w:pPr>
              <w:pStyle w:val="TableText"/>
              <w:ind w:left="132"/>
              <w:spacing w:before="60" w:line="231" w:lineRule="auto"/>
              <w:rPr/>
            </w:pPr>
            <w:bookmarkStart w:name="bookmark641" w:id="587"/>
            <w:bookmarkEnd w:id="587"/>
            <w:r>
              <w:rPr/>
              <w:t>筛分</w:t>
            </w:r>
          </w:p>
          <w:p>
            <w:pPr>
              <w:pStyle w:val="TableText"/>
              <w:ind w:left="135"/>
              <w:spacing w:before="61" w:line="228" w:lineRule="auto"/>
              <w:rPr/>
            </w:pPr>
            <w:r>
              <w:rPr>
                <w:spacing w:val="-1"/>
              </w:rPr>
              <w:t>车间</w:t>
            </w:r>
          </w:p>
        </w:tc>
        <w:tc>
          <w:tcPr>
            <w:tcW w:w="1143" w:type="dxa"/>
            <w:vAlign w:val="top"/>
            <w:tcBorders>
              <w:top w:val="single" w:color="000000" w:sz="10" w:space="0"/>
            </w:tcBorders>
          </w:tcPr>
          <w:p>
            <w:pPr>
              <w:pStyle w:val="TableText"/>
              <w:ind w:left="266"/>
              <w:spacing w:before="56" w:line="229" w:lineRule="auto"/>
              <w:rPr/>
            </w:pPr>
            <w:r>
              <w:rPr>
                <w:spacing w:val="4"/>
              </w:rPr>
              <w:t>颗粒物</w:t>
            </w:r>
          </w:p>
        </w:tc>
        <w:tc>
          <w:tcPr>
            <w:tcW w:w="976" w:type="dxa"/>
            <w:vAlign w:val="top"/>
            <w:tcBorders>
              <w:top w:val="single" w:color="000000" w:sz="10" w:space="0"/>
            </w:tcBorders>
          </w:tcPr>
          <w:p>
            <w:pPr>
              <w:pStyle w:val="TableText"/>
              <w:ind w:left="181"/>
              <w:spacing w:before="56" w:line="231" w:lineRule="auto"/>
              <w:rPr/>
            </w:pPr>
            <w:r>
              <w:rPr>
                <w:spacing w:val="5"/>
              </w:rPr>
              <w:t>有组织</w:t>
            </w:r>
          </w:p>
        </w:tc>
        <w:tc>
          <w:tcPr>
            <w:tcW w:w="4285" w:type="dxa"/>
            <w:vAlign w:val="top"/>
            <w:vMerge w:val="restart"/>
            <w:tcBorders>
              <w:top w:val="single" w:color="000000" w:sz="10" w:space="0"/>
              <w:bottom w:val="nil"/>
            </w:tcBorders>
          </w:tcPr>
          <w:p>
            <w:pPr>
              <w:rPr>
                <w:rFonts w:ascii="Arial"/>
                <w:sz w:val="21"/>
              </w:rPr>
            </w:pPr>
            <w:r/>
          </w:p>
        </w:tc>
        <w:tc>
          <w:tcPr>
            <w:tcW w:w="1027" w:type="dxa"/>
            <w:vAlign w:val="top"/>
            <w:tcBorders>
              <w:top w:val="single" w:color="000000" w:sz="10" w:space="0"/>
            </w:tcBorders>
          </w:tcPr>
          <w:p>
            <w:pPr>
              <w:ind w:left="28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0.289</w:t>
            </w:r>
          </w:p>
        </w:tc>
        <w:tc>
          <w:tcPr>
            <w:tcW w:w="1151" w:type="dxa"/>
            <w:vAlign w:val="top"/>
            <w:tcBorders>
              <w:top w:val="single" w:color="000000" w:sz="10" w:space="0"/>
            </w:tcBorders>
          </w:tcPr>
          <w:p>
            <w:pPr>
              <w:ind w:left="30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10.033</w:t>
            </w:r>
          </w:p>
        </w:tc>
        <w:tc>
          <w:tcPr>
            <w:tcW w:w="2830" w:type="dxa"/>
            <w:vAlign w:val="top"/>
            <w:vMerge w:val="restart"/>
            <w:tcBorders>
              <w:top w:val="single" w:color="000000" w:sz="10" w:space="0"/>
              <w:right w:val="nil"/>
              <w:bottom w:val="nil"/>
            </w:tcBorders>
          </w:tcPr>
          <w:p>
            <w:pPr>
              <w:rPr>
                <w:rFonts w:ascii="Arial"/>
                <w:sz w:val="21"/>
              </w:rPr>
            </w:pPr>
            <w:r/>
          </w:p>
        </w:tc>
      </w:tr>
      <w:tr>
        <w:trPr>
          <w:trHeight w:val="316"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638" w:type="dxa"/>
            <w:vAlign w:val="top"/>
            <w:vMerge w:val="continue"/>
            <w:tcBorders>
              <w:top w:val="nil"/>
              <w:bottom w:val="nil"/>
            </w:tcBorders>
          </w:tcPr>
          <w:p>
            <w:pPr>
              <w:rPr>
                <w:rFonts w:ascii="Arial"/>
                <w:sz w:val="21"/>
              </w:rPr>
            </w:pPr>
            <w:r/>
          </w:p>
        </w:tc>
        <w:tc>
          <w:tcPr>
            <w:tcW w:w="661" w:type="dxa"/>
            <w:vAlign w:val="top"/>
            <w:vMerge w:val="continue"/>
            <w:tcBorders>
              <w:top w:val="nil"/>
            </w:tcBorders>
          </w:tcPr>
          <w:p>
            <w:pPr>
              <w:rPr>
                <w:rFonts w:ascii="Arial"/>
                <w:sz w:val="21"/>
              </w:rPr>
            </w:pPr>
            <w:r/>
          </w:p>
        </w:tc>
        <w:tc>
          <w:tcPr>
            <w:tcW w:w="1143" w:type="dxa"/>
            <w:vAlign w:val="top"/>
          </w:tcPr>
          <w:p>
            <w:pPr>
              <w:pStyle w:val="TableText"/>
              <w:ind w:left="271"/>
              <w:spacing w:before="52" w:line="229" w:lineRule="auto"/>
              <w:rPr/>
            </w:pPr>
            <w:r>
              <w:rPr>
                <w:spacing w:val="3"/>
              </w:rPr>
              <w:t>氟化物</w:t>
            </w:r>
          </w:p>
        </w:tc>
        <w:tc>
          <w:tcPr>
            <w:tcW w:w="976" w:type="dxa"/>
            <w:vAlign w:val="top"/>
          </w:tcPr>
          <w:p>
            <w:pPr>
              <w:pStyle w:val="TableText"/>
              <w:ind w:left="181"/>
              <w:spacing w:before="51" w:line="231" w:lineRule="auto"/>
              <w:rPr/>
            </w:pPr>
            <w:r>
              <w:rPr>
                <w:spacing w:val="5"/>
              </w:rPr>
              <w:t>有组织</w:t>
            </w:r>
          </w:p>
        </w:tc>
        <w:tc>
          <w:tcPr>
            <w:tcW w:w="4285" w:type="dxa"/>
            <w:vAlign w:val="top"/>
            <w:vMerge w:val="continue"/>
            <w:tcBorders>
              <w:top w:val="nil"/>
              <w:bottom w:val="nil"/>
            </w:tcBorders>
          </w:tcPr>
          <w:p>
            <w:pPr>
              <w:rPr>
                <w:rFonts w:ascii="Arial"/>
                <w:sz w:val="21"/>
              </w:rPr>
            </w:pPr>
            <w:r/>
          </w:p>
        </w:tc>
        <w:tc>
          <w:tcPr>
            <w:tcW w:w="1027" w:type="dxa"/>
            <w:vAlign w:val="top"/>
          </w:tcPr>
          <w:p>
            <w:pPr>
              <w:ind w:left="283"/>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0.198</w:t>
            </w:r>
          </w:p>
        </w:tc>
        <w:tc>
          <w:tcPr>
            <w:tcW w:w="1151" w:type="dxa"/>
            <w:vAlign w:val="top"/>
          </w:tcPr>
          <w:p>
            <w:pPr>
              <w:ind w:left="344"/>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6.886</w:t>
            </w:r>
          </w:p>
        </w:tc>
        <w:tc>
          <w:tcPr>
            <w:tcW w:w="2830" w:type="dxa"/>
            <w:vAlign w:val="top"/>
            <w:vMerge w:val="continue"/>
            <w:tcBorders>
              <w:top w:val="nil"/>
              <w:right w:val="nil"/>
              <w:bottom w:val="nil"/>
            </w:tcBorders>
          </w:tcPr>
          <w:p>
            <w:pPr>
              <w:rPr>
                <w:rFonts w:ascii="Arial"/>
                <w:sz w:val="21"/>
              </w:rPr>
            </w:pPr>
            <w:r/>
          </w:p>
        </w:tc>
      </w:tr>
      <w:tr>
        <w:trPr>
          <w:trHeight w:val="316"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638" w:type="dxa"/>
            <w:vAlign w:val="top"/>
            <w:vMerge w:val="continue"/>
            <w:tcBorders>
              <w:top w:val="nil"/>
              <w:bottom w:val="nil"/>
            </w:tcBorders>
          </w:tcPr>
          <w:p>
            <w:pPr>
              <w:rPr>
                <w:rFonts w:ascii="Arial"/>
                <w:sz w:val="21"/>
              </w:rPr>
            </w:pPr>
            <w:r/>
          </w:p>
        </w:tc>
        <w:tc>
          <w:tcPr>
            <w:tcW w:w="661" w:type="dxa"/>
            <w:vAlign w:val="top"/>
            <w:vMerge w:val="restart"/>
            <w:tcBorders>
              <w:bottom w:val="nil"/>
            </w:tcBorders>
          </w:tcPr>
          <w:p>
            <w:pPr>
              <w:pStyle w:val="TableText"/>
              <w:ind w:left="239" w:right="121" w:hanging="108"/>
              <w:spacing w:before="57" w:line="263" w:lineRule="auto"/>
              <w:rPr/>
            </w:pPr>
            <w:r>
              <w:rPr>
                <w:spacing w:val="1"/>
              </w:rPr>
              <w:t>粉矿</w:t>
            </w:r>
            <w:r>
              <w:rPr/>
              <w:t>仓</w:t>
            </w:r>
          </w:p>
        </w:tc>
        <w:tc>
          <w:tcPr>
            <w:tcW w:w="1143" w:type="dxa"/>
            <w:vAlign w:val="top"/>
          </w:tcPr>
          <w:p>
            <w:pPr>
              <w:pStyle w:val="TableText"/>
              <w:ind w:left="266"/>
              <w:spacing w:before="52" w:line="229" w:lineRule="auto"/>
              <w:rPr/>
            </w:pPr>
            <w:r>
              <w:rPr>
                <w:spacing w:val="4"/>
              </w:rPr>
              <w:t>颗粒物</w:t>
            </w:r>
          </w:p>
        </w:tc>
        <w:tc>
          <w:tcPr>
            <w:tcW w:w="976" w:type="dxa"/>
            <w:vAlign w:val="top"/>
          </w:tcPr>
          <w:p>
            <w:pPr>
              <w:pStyle w:val="TableText"/>
              <w:ind w:left="181"/>
              <w:spacing w:before="52" w:line="231" w:lineRule="auto"/>
              <w:rPr/>
            </w:pPr>
            <w:r>
              <w:rPr>
                <w:spacing w:val="5"/>
              </w:rPr>
              <w:t>有组织</w:t>
            </w:r>
          </w:p>
        </w:tc>
        <w:tc>
          <w:tcPr>
            <w:tcW w:w="4285" w:type="dxa"/>
            <w:vAlign w:val="top"/>
            <w:vMerge w:val="continue"/>
            <w:tcBorders>
              <w:top w:val="nil"/>
              <w:bottom w:val="nil"/>
            </w:tcBorders>
          </w:tcPr>
          <w:p>
            <w:pPr>
              <w:rPr>
                <w:rFonts w:ascii="Arial"/>
                <w:sz w:val="21"/>
              </w:rPr>
            </w:pPr>
            <w:r/>
          </w:p>
        </w:tc>
        <w:tc>
          <w:tcPr>
            <w:tcW w:w="1027" w:type="dxa"/>
            <w:vAlign w:val="top"/>
          </w:tcPr>
          <w:p>
            <w:pPr>
              <w:ind w:left="283"/>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0.022</w:t>
            </w:r>
          </w:p>
        </w:tc>
        <w:tc>
          <w:tcPr>
            <w:tcW w:w="1151" w:type="dxa"/>
            <w:vAlign w:val="top"/>
          </w:tcPr>
          <w:p>
            <w:pPr>
              <w:ind w:left="343"/>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0.921</w:t>
            </w:r>
          </w:p>
        </w:tc>
        <w:tc>
          <w:tcPr>
            <w:tcW w:w="2830" w:type="dxa"/>
            <w:vAlign w:val="top"/>
            <w:vMerge w:val="continue"/>
            <w:tcBorders>
              <w:top w:val="nil"/>
              <w:right w:val="nil"/>
              <w:bottom w:val="nil"/>
            </w:tcBorders>
          </w:tcPr>
          <w:p>
            <w:pPr>
              <w:rPr>
                <w:rFonts w:ascii="Arial"/>
                <w:sz w:val="21"/>
              </w:rPr>
            </w:pPr>
            <w:r/>
          </w:p>
        </w:tc>
      </w:tr>
      <w:tr>
        <w:trPr>
          <w:trHeight w:val="316"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638" w:type="dxa"/>
            <w:vAlign w:val="top"/>
            <w:vMerge w:val="continue"/>
            <w:tcBorders>
              <w:top w:val="nil"/>
            </w:tcBorders>
          </w:tcPr>
          <w:p>
            <w:pPr>
              <w:rPr>
                <w:rFonts w:ascii="Arial"/>
                <w:sz w:val="21"/>
              </w:rPr>
            </w:pPr>
            <w:r/>
          </w:p>
        </w:tc>
        <w:tc>
          <w:tcPr>
            <w:tcW w:w="661" w:type="dxa"/>
            <w:vAlign w:val="top"/>
            <w:vMerge w:val="continue"/>
            <w:tcBorders>
              <w:top w:val="nil"/>
            </w:tcBorders>
          </w:tcPr>
          <w:p>
            <w:pPr>
              <w:rPr>
                <w:rFonts w:ascii="Arial"/>
                <w:sz w:val="21"/>
              </w:rPr>
            </w:pPr>
            <w:r/>
          </w:p>
        </w:tc>
        <w:tc>
          <w:tcPr>
            <w:tcW w:w="1143" w:type="dxa"/>
            <w:vAlign w:val="top"/>
          </w:tcPr>
          <w:p>
            <w:pPr>
              <w:pStyle w:val="TableText"/>
              <w:ind w:left="271"/>
              <w:spacing w:before="55" w:line="229" w:lineRule="auto"/>
              <w:rPr/>
            </w:pPr>
            <w:r>
              <w:rPr>
                <w:spacing w:val="3"/>
              </w:rPr>
              <w:t>氟化物</w:t>
            </w:r>
          </w:p>
        </w:tc>
        <w:tc>
          <w:tcPr>
            <w:tcW w:w="976" w:type="dxa"/>
            <w:vAlign w:val="top"/>
          </w:tcPr>
          <w:p>
            <w:pPr>
              <w:pStyle w:val="TableText"/>
              <w:ind w:left="181"/>
              <w:spacing w:before="55" w:line="231" w:lineRule="auto"/>
              <w:rPr/>
            </w:pPr>
            <w:r>
              <w:rPr>
                <w:spacing w:val="5"/>
              </w:rPr>
              <w:t>有组织</w:t>
            </w:r>
          </w:p>
        </w:tc>
        <w:tc>
          <w:tcPr>
            <w:tcW w:w="4285" w:type="dxa"/>
            <w:vAlign w:val="top"/>
            <w:vMerge w:val="continue"/>
            <w:tcBorders>
              <w:top w:val="nil"/>
            </w:tcBorders>
          </w:tcPr>
          <w:p>
            <w:pPr>
              <w:rPr>
                <w:rFonts w:ascii="Arial"/>
                <w:sz w:val="21"/>
              </w:rPr>
            </w:pPr>
            <w:r/>
          </w:p>
        </w:tc>
        <w:tc>
          <w:tcPr>
            <w:tcW w:w="1027" w:type="dxa"/>
            <w:vAlign w:val="top"/>
          </w:tcPr>
          <w:p>
            <w:pPr>
              <w:ind w:left="283"/>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0.015</w:t>
            </w:r>
          </w:p>
        </w:tc>
        <w:tc>
          <w:tcPr>
            <w:tcW w:w="1151" w:type="dxa"/>
            <w:vAlign w:val="top"/>
          </w:tcPr>
          <w:p>
            <w:pPr>
              <w:ind w:left="343"/>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0.632</w:t>
            </w:r>
          </w:p>
        </w:tc>
        <w:tc>
          <w:tcPr>
            <w:tcW w:w="2830" w:type="dxa"/>
            <w:vAlign w:val="top"/>
            <w:vMerge w:val="continue"/>
            <w:tcBorders>
              <w:top w:val="nil"/>
              <w:right w:val="nil"/>
              <w:bottom w:val="nil"/>
            </w:tcBorders>
          </w:tcPr>
          <w:p>
            <w:pPr>
              <w:rPr>
                <w:rFonts w:ascii="Arial"/>
                <w:sz w:val="21"/>
              </w:rPr>
            </w:pPr>
            <w:r/>
          </w:p>
        </w:tc>
      </w:tr>
      <w:tr>
        <w:trPr>
          <w:trHeight w:val="1734"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1299" w:type="dxa"/>
            <w:vAlign w:val="top"/>
            <w:gridSpan w:val="2"/>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35" w:right="124"/>
              <w:spacing w:before="65" w:line="288" w:lineRule="auto"/>
              <w:rPr/>
            </w:pPr>
            <w:r>
              <w:rPr>
                <w:spacing w:val="6"/>
              </w:rPr>
              <w:t>道路运输扬</w:t>
            </w:r>
            <w:r>
              <w:rPr>
                <w:spacing w:val="6"/>
              </w:rPr>
              <w:t>尘、堆场装</w:t>
            </w:r>
          </w:p>
          <w:p>
            <w:pPr>
              <w:pStyle w:val="TableText"/>
              <w:ind w:left="134" w:right="124"/>
              <w:spacing w:line="289" w:lineRule="auto"/>
              <w:rPr/>
            </w:pPr>
            <w:r>
              <w:rPr>
                <w:spacing w:val="6"/>
              </w:rPr>
              <w:t>卸扬尘、选</w:t>
            </w:r>
            <w:r>
              <w:rPr>
                <w:spacing w:val="7"/>
              </w:rPr>
              <w:t>矿工艺废气</w:t>
            </w:r>
          </w:p>
        </w:tc>
        <w:tc>
          <w:tcPr>
            <w:tcW w:w="1143" w:type="dxa"/>
            <w:vAlign w:val="top"/>
          </w:tcPr>
          <w:p>
            <w:pPr>
              <w:spacing w:line="348" w:lineRule="auto"/>
              <w:rPr>
                <w:rFonts w:ascii="Arial"/>
                <w:sz w:val="21"/>
              </w:rPr>
            </w:pPr>
            <w:r/>
          </w:p>
          <w:p>
            <w:pPr>
              <w:spacing w:line="349" w:lineRule="auto"/>
              <w:rPr>
                <w:rFonts w:ascii="Arial"/>
                <w:sz w:val="21"/>
              </w:rPr>
            </w:pPr>
            <w:r/>
          </w:p>
          <w:p>
            <w:pPr>
              <w:pStyle w:val="TableText"/>
              <w:ind w:left="266"/>
              <w:spacing w:before="65" w:line="229" w:lineRule="auto"/>
              <w:rPr/>
            </w:pPr>
            <w:r>
              <w:rPr>
                <w:spacing w:val="4"/>
              </w:rPr>
              <w:t>颗粒物</w:t>
            </w:r>
          </w:p>
        </w:tc>
        <w:tc>
          <w:tcPr>
            <w:tcW w:w="976" w:type="dxa"/>
            <w:vAlign w:val="top"/>
          </w:tcPr>
          <w:p>
            <w:pPr>
              <w:spacing w:line="348" w:lineRule="auto"/>
              <w:rPr>
                <w:rFonts w:ascii="Arial"/>
                <w:sz w:val="21"/>
              </w:rPr>
            </w:pPr>
            <w:r/>
          </w:p>
          <w:p>
            <w:pPr>
              <w:spacing w:line="348" w:lineRule="auto"/>
              <w:rPr>
                <w:rFonts w:ascii="Arial"/>
                <w:sz w:val="21"/>
              </w:rPr>
            </w:pPr>
            <w:r/>
          </w:p>
          <w:p>
            <w:pPr>
              <w:pStyle w:val="TableText"/>
              <w:ind w:left="186"/>
              <w:spacing w:before="65" w:line="234" w:lineRule="auto"/>
              <w:rPr/>
            </w:pPr>
            <w:r>
              <w:rPr>
                <w:spacing w:val="4"/>
              </w:rPr>
              <w:t>无组织</w:t>
            </w:r>
          </w:p>
        </w:tc>
        <w:tc>
          <w:tcPr>
            <w:tcW w:w="4285" w:type="dxa"/>
            <w:vAlign w:val="top"/>
            <w:vMerge w:val="restart"/>
            <w:tcBorders>
              <w:bottom w:val="nil"/>
            </w:tcBorders>
          </w:tcPr>
          <w:p>
            <w:pPr>
              <w:pStyle w:val="TableText"/>
              <w:ind w:left="119" w:right="50" w:firstLine="421"/>
              <w:spacing w:before="53" w:line="288" w:lineRule="auto"/>
              <w:jc w:val="both"/>
              <w:rPr/>
            </w:pPr>
            <w:r>
              <w:rPr>
                <w:spacing w:val="13"/>
              </w:rPr>
              <w:t>运输车辆装载高度不高于车厢、加盖苦</w:t>
            </w:r>
            <w:r>
              <w:rPr>
                <w:spacing w:val="13"/>
              </w:rPr>
              <w:t>布以控制矿石运输风力扬尘和物料抛酒路面</w:t>
            </w:r>
            <w:r>
              <w:rPr>
                <w:spacing w:val="5"/>
              </w:rPr>
              <w:t>产生二次污染；应减速慢行，减少车辆颠簸，</w:t>
            </w:r>
            <w:r>
              <w:rPr>
                <w:spacing w:val="13"/>
              </w:rPr>
              <w:t>矿石抛酒，配置专人及时清扫路面，并配置</w:t>
            </w:r>
            <w:r>
              <w:rPr>
                <w:spacing w:val="7"/>
              </w:rPr>
              <w:t>洒水车定时洒水防尘。</w:t>
            </w:r>
          </w:p>
          <w:p>
            <w:pPr>
              <w:pStyle w:val="TableText"/>
              <w:ind w:left="119" w:right="50" w:firstLine="421"/>
              <w:spacing w:before="2" w:line="288" w:lineRule="auto"/>
              <w:jc w:val="both"/>
              <w:rPr/>
            </w:pPr>
            <w:r>
              <w:rPr>
                <w:spacing w:val="13"/>
              </w:rPr>
              <w:t>项目建设的堆场均采用素混凝土地面基</w:t>
            </w:r>
            <w:r>
              <w:rPr>
                <w:spacing w:val="10"/>
              </w:rPr>
              <w:t>础、全封闭彩钢结构建设。</w:t>
            </w:r>
            <w:r>
              <w:rPr>
                <w:spacing w:val="-37"/>
              </w:rPr>
              <w:t xml:space="preserve"> </w:t>
            </w:r>
            <w:r>
              <w:rPr>
                <w:spacing w:val="10"/>
              </w:rPr>
              <w:t>同时对本项目项</w:t>
            </w:r>
            <w:r>
              <w:rPr>
                <w:spacing w:val="13"/>
              </w:rPr>
              <w:t>目各堆场内的物料采用苫布覆盖，并在堆场</w:t>
            </w:r>
            <w:r>
              <w:rPr>
                <w:spacing w:val="5"/>
              </w:rPr>
              <w:t>及周围设置洒水抑尘装置有风、干燥情况下，</w:t>
            </w:r>
            <w:r>
              <w:rPr>
                <w:spacing w:val="4"/>
              </w:rPr>
              <w:t>定时洒水。</w:t>
            </w:r>
          </w:p>
          <w:p>
            <w:pPr>
              <w:pStyle w:val="TableText"/>
              <w:ind w:left="124" w:right="105" w:firstLine="416"/>
              <w:spacing w:line="265" w:lineRule="auto"/>
              <w:jc w:val="both"/>
              <w:rPr/>
            </w:pPr>
            <w:r>
              <w:rPr>
                <w:spacing w:val="10"/>
              </w:rPr>
              <w:t>项目车间要求对厂房进行封闭设置，</w:t>
            </w:r>
            <w:r>
              <w:rPr>
                <w:spacing w:val="-38"/>
              </w:rPr>
              <w:t xml:space="preserve"> </w:t>
            </w:r>
            <w:r>
              <w:rPr>
                <w:spacing w:val="10"/>
              </w:rPr>
              <w:t>同</w:t>
            </w:r>
            <w:r>
              <w:rPr>
                <w:spacing w:val="13"/>
              </w:rPr>
              <w:t>时要求在车间及皮带运输机的卸料点设置喷</w:t>
            </w:r>
            <w:r>
              <w:rPr>
                <w:spacing w:val="7"/>
              </w:rPr>
              <w:t>雾降尘设施，并加强个体防护。。</w:t>
            </w:r>
          </w:p>
        </w:tc>
        <w:tc>
          <w:tcPr>
            <w:tcW w:w="1027"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27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4.885</w:t>
            </w:r>
          </w:p>
        </w:tc>
        <w:tc>
          <w:tcPr>
            <w:tcW w:w="1151"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544"/>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30" w:type="dxa"/>
            <w:vAlign w:val="top"/>
            <w:vMerge w:val="continue"/>
            <w:tcBorders>
              <w:top w:val="nil"/>
              <w:right w:val="nil"/>
              <w:bottom w:val="nil"/>
            </w:tcBorders>
          </w:tcPr>
          <w:p>
            <w:pPr>
              <w:rPr>
                <w:rFonts w:ascii="Arial"/>
                <w:sz w:val="21"/>
              </w:rPr>
            </w:pPr>
            <w:r/>
          </w:p>
        </w:tc>
      </w:tr>
      <w:tr>
        <w:trPr>
          <w:trHeight w:val="2309"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1299" w:type="dxa"/>
            <w:vAlign w:val="top"/>
            <w:gridSpan w:val="2"/>
            <w:vMerge w:val="continue"/>
            <w:tcBorders>
              <w:top w:val="nil"/>
            </w:tcBorders>
          </w:tcPr>
          <w:p>
            <w:pPr>
              <w:rPr>
                <w:rFonts w:ascii="Arial"/>
                <w:sz w:val="21"/>
              </w:rPr>
            </w:pPr>
            <w:r/>
          </w:p>
        </w:tc>
        <w:tc>
          <w:tcPr>
            <w:tcW w:w="114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271"/>
              <w:spacing w:before="65" w:line="229" w:lineRule="auto"/>
              <w:rPr/>
            </w:pPr>
            <w:r>
              <w:rPr>
                <w:spacing w:val="3"/>
              </w:rPr>
              <w:t>氟化物</w:t>
            </w:r>
          </w:p>
        </w:tc>
        <w:tc>
          <w:tcPr>
            <w:tcW w:w="976"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86"/>
              <w:spacing w:before="65" w:line="234" w:lineRule="auto"/>
              <w:rPr/>
            </w:pPr>
            <w:r>
              <w:rPr>
                <w:spacing w:val="4"/>
              </w:rPr>
              <w:t>无组织</w:t>
            </w:r>
          </w:p>
        </w:tc>
        <w:tc>
          <w:tcPr>
            <w:tcW w:w="4285" w:type="dxa"/>
            <w:vAlign w:val="top"/>
            <w:vMerge w:val="continue"/>
            <w:tcBorders>
              <w:top w:val="nil"/>
            </w:tcBorders>
          </w:tcPr>
          <w:p>
            <w:pPr>
              <w:rPr>
                <w:rFonts w:ascii="Arial"/>
                <w:sz w:val="21"/>
              </w:rPr>
            </w:pPr>
            <w:r/>
          </w:p>
        </w:tc>
        <w:tc>
          <w:tcPr>
            <w:tcW w:w="1027"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9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1.187</w:t>
            </w:r>
          </w:p>
        </w:tc>
        <w:tc>
          <w:tcPr>
            <w:tcW w:w="1151"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544"/>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30" w:type="dxa"/>
            <w:vAlign w:val="top"/>
            <w:vMerge w:val="continue"/>
            <w:tcBorders>
              <w:top w:val="nil"/>
              <w:right w:val="nil"/>
            </w:tcBorders>
          </w:tcPr>
          <w:p>
            <w:pPr>
              <w:rPr>
                <w:rFonts w:ascii="Arial"/>
                <w:sz w:val="21"/>
              </w:rPr>
            </w:pPr>
            <w:r/>
          </w:p>
        </w:tc>
      </w:tr>
      <w:tr>
        <w:trPr>
          <w:trHeight w:val="938" w:hRule="atLeast"/>
        </w:trPr>
        <w:tc>
          <w:tcPr>
            <w:tcW w:w="706" w:type="dxa"/>
            <w:vAlign w:val="top"/>
            <w:vMerge w:val="continue"/>
            <w:tcBorders>
              <w:top w:val="nil"/>
              <w:left w:val="nil"/>
            </w:tcBorders>
          </w:tcPr>
          <w:p>
            <w:pPr>
              <w:rPr>
                <w:rFonts w:ascii="Arial"/>
                <w:sz w:val="21"/>
              </w:rPr>
            </w:pPr>
            <w:r/>
          </w:p>
        </w:tc>
        <w:tc>
          <w:tcPr>
            <w:tcW w:w="757" w:type="dxa"/>
            <w:vAlign w:val="top"/>
            <w:vMerge w:val="continue"/>
            <w:tcBorders>
              <w:top w:val="nil"/>
            </w:tcBorders>
          </w:tcPr>
          <w:p>
            <w:pPr>
              <w:rPr>
                <w:rFonts w:ascii="Arial"/>
                <w:sz w:val="21"/>
              </w:rPr>
            </w:pPr>
            <w:r/>
          </w:p>
        </w:tc>
        <w:tc>
          <w:tcPr>
            <w:tcW w:w="1299" w:type="dxa"/>
            <w:vAlign w:val="top"/>
            <w:gridSpan w:val="2"/>
          </w:tcPr>
          <w:p>
            <w:pPr>
              <w:pStyle w:val="TableText"/>
              <w:ind w:left="454" w:right="440" w:hanging="5"/>
              <w:spacing w:before="223" w:line="289" w:lineRule="auto"/>
              <w:rPr/>
            </w:pPr>
            <w:r>
              <w:rPr>
                <w:spacing w:val="2"/>
              </w:rPr>
              <w:t>食堂</w:t>
            </w:r>
            <w:r>
              <w:rPr>
                <w:spacing w:val="-1"/>
              </w:rPr>
              <w:t>油烟</w:t>
            </w:r>
          </w:p>
        </w:tc>
        <w:tc>
          <w:tcPr>
            <w:tcW w:w="1143" w:type="dxa"/>
            <w:vAlign w:val="top"/>
          </w:tcPr>
          <w:p>
            <w:pPr>
              <w:spacing w:line="313" w:lineRule="auto"/>
              <w:rPr>
                <w:rFonts w:ascii="Arial"/>
                <w:sz w:val="21"/>
              </w:rPr>
            </w:pPr>
            <w:r/>
          </w:p>
          <w:p>
            <w:pPr>
              <w:pStyle w:val="TableText"/>
              <w:ind w:left="162"/>
              <w:spacing w:before="65" w:line="232" w:lineRule="auto"/>
              <w:rPr/>
            </w:pPr>
            <w:r>
              <w:rPr>
                <w:spacing w:val="5"/>
              </w:rPr>
              <w:t>食堂油烟</w:t>
            </w:r>
          </w:p>
        </w:tc>
        <w:tc>
          <w:tcPr>
            <w:tcW w:w="976" w:type="dxa"/>
            <w:vAlign w:val="top"/>
          </w:tcPr>
          <w:p>
            <w:pPr>
              <w:spacing w:line="313" w:lineRule="auto"/>
              <w:rPr>
                <w:rFonts w:ascii="Arial"/>
                <w:sz w:val="21"/>
              </w:rPr>
            </w:pPr>
            <w:r/>
          </w:p>
          <w:p>
            <w:pPr>
              <w:pStyle w:val="TableText"/>
              <w:ind w:left="181"/>
              <w:spacing w:before="65" w:line="231" w:lineRule="auto"/>
              <w:rPr/>
            </w:pPr>
            <w:r>
              <w:rPr>
                <w:spacing w:val="5"/>
              </w:rPr>
              <w:t>有组织</w:t>
            </w:r>
          </w:p>
        </w:tc>
        <w:tc>
          <w:tcPr>
            <w:tcW w:w="4285" w:type="dxa"/>
            <w:vAlign w:val="top"/>
          </w:tcPr>
          <w:p>
            <w:pPr>
              <w:pStyle w:val="TableText"/>
              <w:ind w:left="118" w:right="108" w:firstLine="426"/>
              <w:spacing w:before="225" w:line="288" w:lineRule="auto"/>
              <w:rPr/>
            </w:pPr>
            <w:r>
              <w:rPr>
                <w:spacing w:val="26"/>
              </w:rPr>
              <w:t>油烟净化装置净化后（油烟净化效率</w:t>
            </w:r>
            <w:r>
              <w:rPr>
                <w:rFonts w:ascii="Times New Roman" w:hAnsi="Times New Roman" w:eastAsia="Times New Roman" w:cs="Times New Roman"/>
                <w:spacing w:val="8"/>
              </w:rPr>
              <w:t>80%</w:t>
            </w:r>
            <w:r>
              <w:rPr>
                <w:spacing w:val="8"/>
              </w:rPr>
              <w:t>）通过专用烟道引至屋顶排放</w:t>
            </w:r>
          </w:p>
        </w:tc>
        <w:tc>
          <w:tcPr>
            <w:tcW w:w="1027" w:type="dxa"/>
            <w:vAlign w:val="top"/>
          </w:tcPr>
          <w:p>
            <w:pPr>
              <w:spacing w:line="356" w:lineRule="auto"/>
              <w:rPr>
                <w:rFonts w:ascii="Arial"/>
                <w:sz w:val="21"/>
              </w:rPr>
            </w:pPr>
            <w:r/>
          </w:p>
          <w:p>
            <w:pPr>
              <w:ind w:left="28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0.007</w:t>
            </w:r>
          </w:p>
        </w:tc>
        <w:tc>
          <w:tcPr>
            <w:tcW w:w="1151" w:type="dxa"/>
            <w:vAlign w:val="top"/>
          </w:tcPr>
          <w:p>
            <w:pPr>
              <w:spacing w:line="356" w:lineRule="auto"/>
              <w:rPr>
                <w:rFonts w:ascii="Arial"/>
                <w:sz w:val="21"/>
              </w:rPr>
            </w:pPr>
            <w:r/>
          </w:p>
          <w:p>
            <w:pPr>
              <w:ind w:left="36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1.787</w:t>
            </w:r>
          </w:p>
        </w:tc>
        <w:tc>
          <w:tcPr>
            <w:tcW w:w="2830" w:type="dxa"/>
            <w:vAlign w:val="top"/>
            <w:tcBorders>
              <w:right w:val="nil"/>
            </w:tcBorders>
          </w:tcPr>
          <w:p>
            <w:pPr>
              <w:pStyle w:val="TableText"/>
              <w:ind w:left="117" w:right="22" w:firstLine="421"/>
              <w:spacing w:before="69" w:line="264" w:lineRule="auto"/>
              <w:jc w:val="both"/>
              <w:rPr/>
            </w:pPr>
            <w:r>
              <w:rPr>
                <w:spacing w:val="42"/>
              </w:rPr>
              <w:t>饮食业油烟排放标准</w:t>
            </w:r>
            <w:r>
              <w:rPr>
                <w:spacing w:val="2"/>
              </w:rPr>
              <w:t>（试行）》（</w:t>
            </w:r>
            <w:r>
              <w:rPr>
                <w:rFonts w:ascii="Times New Roman" w:hAnsi="Times New Roman" w:eastAsia="Times New Roman" w:cs="Times New Roman"/>
              </w:rPr>
              <w:t>GB</w:t>
            </w:r>
            <w:r>
              <w:rPr>
                <w:rFonts w:ascii="Times New Roman" w:hAnsi="Times New Roman" w:eastAsia="Times New Roman" w:cs="Times New Roman"/>
                <w:spacing w:val="2"/>
              </w:rPr>
              <w:t>18483-2001</w:t>
            </w:r>
            <w:r>
              <w:rPr>
                <w:spacing w:val="2"/>
              </w:rPr>
              <w:t>）</w:t>
            </w:r>
            <w:r>
              <w:rPr>
                <w:spacing w:val="7"/>
              </w:rPr>
              <w:t>排放标准要求</w:t>
            </w:r>
          </w:p>
        </w:tc>
      </w:tr>
      <w:tr>
        <w:trPr>
          <w:trHeight w:val="1249" w:hRule="atLeast"/>
        </w:trPr>
        <w:tc>
          <w:tcPr>
            <w:tcW w:w="706" w:type="dxa"/>
            <w:vAlign w:val="top"/>
            <w:tcBorders>
              <w:left w:val="nil"/>
            </w:tcBorders>
          </w:tcPr>
          <w:p>
            <w:pPr>
              <w:spacing w:line="257" w:lineRule="auto"/>
              <w:rPr>
                <w:rFonts w:ascii="Arial"/>
                <w:sz w:val="21"/>
              </w:rPr>
            </w:pPr>
            <w:r/>
          </w:p>
          <w:p>
            <w:pPr>
              <w:spacing w:line="257" w:lineRule="auto"/>
              <w:rPr>
                <w:rFonts w:ascii="Arial"/>
                <w:sz w:val="21"/>
              </w:rPr>
            </w:pPr>
            <w:r/>
          </w:p>
          <w:p>
            <w:pPr>
              <w:ind w:left="30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7" w:type="dxa"/>
            <w:vAlign w:val="top"/>
          </w:tcPr>
          <w:p>
            <w:pPr>
              <w:spacing w:line="471" w:lineRule="auto"/>
              <w:rPr>
                <w:rFonts w:ascii="Arial"/>
                <w:sz w:val="21"/>
              </w:rPr>
            </w:pPr>
            <w:r/>
          </w:p>
          <w:p>
            <w:pPr>
              <w:pStyle w:val="TableText"/>
              <w:ind w:left="187"/>
              <w:spacing w:before="65" w:line="231" w:lineRule="auto"/>
              <w:rPr/>
            </w:pPr>
            <w:r>
              <w:rPr>
                <w:spacing w:val="-3"/>
              </w:rPr>
              <w:t>噪声</w:t>
            </w:r>
          </w:p>
        </w:tc>
        <w:tc>
          <w:tcPr>
            <w:tcW w:w="1299" w:type="dxa"/>
            <w:vAlign w:val="top"/>
            <w:gridSpan w:val="2"/>
          </w:tcPr>
          <w:p>
            <w:pPr>
              <w:spacing w:line="315" w:lineRule="auto"/>
              <w:rPr>
                <w:rFonts w:ascii="Arial"/>
                <w:sz w:val="21"/>
              </w:rPr>
            </w:pPr>
            <w:r/>
          </w:p>
          <w:p>
            <w:pPr>
              <w:pStyle w:val="TableText"/>
              <w:ind w:left="136" w:right="124" w:firstLine="10"/>
              <w:spacing w:before="65" w:line="287" w:lineRule="auto"/>
              <w:rPr/>
            </w:pPr>
            <w:r>
              <w:rPr>
                <w:spacing w:val="4"/>
              </w:rPr>
              <w:t>生产设备、</w:t>
            </w:r>
            <w:r>
              <w:rPr>
                <w:spacing w:val="6"/>
              </w:rPr>
              <w:t>运输车辆等</w:t>
            </w:r>
          </w:p>
        </w:tc>
        <w:tc>
          <w:tcPr>
            <w:tcW w:w="2119" w:type="dxa"/>
            <w:vAlign w:val="top"/>
            <w:gridSpan w:val="2"/>
          </w:tcPr>
          <w:p>
            <w:pPr>
              <w:spacing w:line="471" w:lineRule="auto"/>
              <w:rPr>
                <w:rFonts w:ascii="Arial"/>
                <w:sz w:val="21"/>
              </w:rPr>
            </w:pPr>
            <w:r/>
          </w:p>
          <w:p>
            <w:pPr>
              <w:pStyle w:val="TableText"/>
              <w:ind w:left="870"/>
              <w:spacing w:before="65" w:line="231" w:lineRule="auto"/>
              <w:rPr/>
            </w:pPr>
            <w:r>
              <w:rPr>
                <w:spacing w:val="-3"/>
              </w:rPr>
              <w:t>噪声</w:t>
            </w:r>
          </w:p>
        </w:tc>
        <w:tc>
          <w:tcPr>
            <w:tcW w:w="6463" w:type="dxa"/>
            <w:vAlign w:val="top"/>
            <w:gridSpan w:val="3"/>
          </w:tcPr>
          <w:p>
            <w:pPr>
              <w:pStyle w:val="TableText"/>
              <w:ind w:left="121" w:right="51" w:firstLine="430"/>
              <w:spacing w:before="228" w:line="287" w:lineRule="auto"/>
              <w:jc w:val="both"/>
              <w:rPr/>
            </w:pPr>
            <w:r>
              <w:rPr>
                <w:spacing w:val="2"/>
              </w:rPr>
              <w:t>生产设备选用低噪声设备，设备加装减振和消音装置，</w:t>
            </w:r>
            <w:r>
              <w:rPr>
                <w:spacing w:val="1"/>
              </w:rPr>
              <w:t>定期检修；</w:t>
            </w:r>
            <w:r>
              <w:rPr>
                <w:spacing w:val="7"/>
              </w:rPr>
              <w:t>禁鸣标识；对于开采现场的工作人员，钻机、凿岩机等排放的高噪声</w:t>
            </w:r>
            <w:r>
              <w:rPr>
                <w:spacing w:val="9"/>
              </w:rPr>
              <w:t>对其影响较大，需为操作人员配备隔音耳罩或耳塞保护听力</w:t>
            </w:r>
          </w:p>
        </w:tc>
        <w:tc>
          <w:tcPr>
            <w:tcW w:w="2830" w:type="dxa"/>
            <w:vAlign w:val="top"/>
            <w:tcBorders>
              <w:right w:val="nil"/>
            </w:tcBorders>
          </w:tcPr>
          <w:p>
            <w:pPr>
              <w:pStyle w:val="TableText"/>
              <w:ind w:left="119" w:right="107" w:firstLine="420"/>
              <w:spacing w:before="73" w:line="269" w:lineRule="auto"/>
              <w:jc w:val="both"/>
              <w:rPr/>
            </w:pPr>
            <w:r>
              <w:rPr>
                <w:spacing w:val="18"/>
              </w:rPr>
              <w:t>《工业企业厂界环境噪</w:t>
            </w:r>
            <w:r>
              <w:rPr>
                <w:spacing w:val="-5"/>
              </w:rPr>
              <w:t>声</w:t>
            </w:r>
            <w:r>
              <w:rPr>
                <w:spacing w:val="42"/>
              </w:rPr>
              <w:t xml:space="preserve">  </w:t>
            </w:r>
            <w:r>
              <w:rPr>
                <w:spacing w:val="-5"/>
              </w:rPr>
              <w:t>排</w:t>
            </w:r>
            <w:r>
              <w:rPr>
                <w:spacing w:val="44"/>
              </w:rPr>
              <w:t xml:space="preserve">  </w:t>
            </w:r>
            <w:r>
              <w:rPr>
                <w:spacing w:val="-5"/>
              </w:rPr>
              <w:t>放</w:t>
            </w:r>
            <w:r>
              <w:rPr>
                <w:spacing w:val="42"/>
              </w:rPr>
              <w:t xml:space="preserve">  </w:t>
            </w:r>
            <w:r>
              <w:rPr>
                <w:spacing w:val="-5"/>
              </w:rPr>
              <w:t>标</w:t>
            </w:r>
            <w:r>
              <w:rPr>
                <w:spacing w:val="44"/>
              </w:rPr>
              <w:t xml:space="preserve">  </w:t>
            </w:r>
            <w:r>
              <w:rPr>
                <w:spacing w:val="-5"/>
              </w:rPr>
              <w:t>准</w:t>
            </w:r>
            <w:r>
              <w:rPr>
                <w:spacing w:val="-5"/>
              </w:rPr>
              <w:t xml:space="preserve">   </w:t>
            </w:r>
            <w:r>
              <w:rPr>
                <w:spacing w:val="-5"/>
              </w:rPr>
              <w:t>》</w:t>
            </w:r>
            <w:r>
              <w:rPr/>
              <w:t xml:space="preserve"> </w:t>
            </w: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w:t>
            </w:r>
            <w:r>
              <w:rPr>
                <w:spacing w:val="-25"/>
              </w:rPr>
              <w:t xml:space="preserve"> </w:t>
            </w:r>
            <w:r>
              <w:rPr>
                <w:spacing w:val="2"/>
              </w:rPr>
              <w:t>中</w:t>
            </w:r>
            <w:r>
              <w:rPr>
                <w:spacing w:val="-32"/>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7"/>
                <w:w w:val="101"/>
              </w:rPr>
              <w:t xml:space="preserve"> </w:t>
            </w:r>
            <w:r>
              <w:rPr>
                <w:spacing w:val="2"/>
              </w:rPr>
              <w:t>类排</w:t>
            </w:r>
            <w:r>
              <w:rPr>
                <w:spacing w:val="5"/>
              </w:rPr>
              <w:t>放标准</w:t>
            </w:r>
          </w:p>
        </w:tc>
      </w:tr>
      <w:tr>
        <w:trPr>
          <w:trHeight w:val="649" w:hRule="atLeast"/>
        </w:trPr>
        <w:tc>
          <w:tcPr>
            <w:tcW w:w="706" w:type="dxa"/>
            <w:vAlign w:val="top"/>
            <w:tcBorders>
              <w:bottom w:val="single" w:color="000000" w:sz="10" w:space="0"/>
              <w:left w:val="nil"/>
            </w:tcBorders>
          </w:tcPr>
          <w:p>
            <w:pPr>
              <w:ind w:left="303"/>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57" w:type="dxa"/>
            <w:vAlign w:val="top"/>
            <w:tcBorders>
              <w:bottom w:val="single" w:color="000000" w:sz="10" w:space="0"/>
            </w:tcBorders>
          </w:tcPr>
          <w:p>
            <w:pPr>
              <w:pStyle w:val="TableText"/>
              <w:ind w:left="201"/>
              <w:spacing w:before="74" w:line="231" w:lineRule="auto"/>
              <w:rPr/>
            </w:pPr>
            <w:r>
              <w:rPr>
                <w:spacing w:val="-10"/>
              </w:rPr>
              <w:t>固体</w:t>
            </w:r>
          </w:p>
          <w:p>
            <w:pPr>
              <w:pStyle w:val="TableText"/>
              <w:ind w:left="181"/>
              <w:spacing w:before="62" w:line="229" w:lineRule="auto"/>
              <w:rPr/>
            </w:pPr>
            <w:r>
              <w:rPr/>
              <w:t>废物</w:t>
            </w:r>
          </w:p>
        </w:tc>
        <w:tc>
          <w:tcPr>
            <w:tcW w:w="3418" w:type="dxa"/>
            <w:vAlign w:val="top"/>
            <w:gridSpan w:val="4"/>
            <w:tcBorders>
              <w:bottom w:val="single" w:color="000000" w:sz="10" w:space="0"/>
            </w:tcBorders>
          </w:tcPr>
          <w:p>
            <w:pPr>
              <w:pStyle w:val="TableText"/>
              <w:ind w:left="156"/>
              <w:spacing w:before="230" w:line="232" w:lineRule="auto"/>
              <w:rPr/>
            </w:pPr>
            <w:r>
              <w:rPr>
                <w:spacing w:val="7"/>
              </w:rPr>
              <w:t>生活垃圾、餐厨垃圾（含废油脂）</w:t>
            </w:r>
          </w:p>
        </w:tc>
        <w:tc>
          <w:tcPr>
            <w:tcW w:w="9293" w:type="dxa"/>
            <w:vAlign w:val="top"/>
            <w:gridSpan w:val="4"/>
            <w:tcBorders>
              <w:bottom w:val="single" w:color="000000" w:sz="10" w:space="0"/>
              <w:right w:val="nil"/>
            </w:tcBorders>
          </w:tcPr>
          <w:p>
            <w:pPr>
              <w:pStyle w:val="TableText"/>
              <w:ind w:left="552"/>
              <w:spacing w:before="74" w:line="230" w:lineRule="auto"/>
              <w:rPr/>
            </w:pPr>
            <w:r>
              <w:rPr>
                <w:spacing w:val="9"/>
              </w:rPr>
              <w:t>生活垃圾采用垃圾桶收集，集中收集后定期交由当地环卫</w:t>
            </w:r>
            <w:r>
              <w:rPr>
                <w:spacing w:val="8"/>
              </w:rPr>
              <w:t>部门统一处理；</w:t>
            </w:r>
          </w:p>
          <w:p>
            <w:pPr>
              <w:pStyle w:val="TableText"/>
              <w:ind w:left="543"/>
              <w:spacing w:before="63" w:line="229" w:lineRule="auto"/>
              <w:rPr/>
            </w:pPr>
            <w:r>
              <w:rPr>
                <w:spacing w:val="9"/>
              </w:rPr>
              <w:t>餐厨垃圾（含废油脂）集中密闭桶装收集，定期交由有资质的单位处理；</w:t>
            </w:r>
          </w:p>
        </w:tc>
      </w:tr>
    </w:tbl>
    <w:p>
      <w:pPr>
        <w:pStyle w:val="BodyText"/>
        <w:rPr/>
      </w:pPr>
      <w:r/>
    </w:p>
    <w:p>
      <w:pPr>
        <w:sectPr>
          <w:footerReference w:type="default" r:id="rId398"/>
          <w:pgSz w:w="16839" w:h="11906"/>
          <w:pgMar w:top="400" w:right="1332" w:bottom="1358" w:left="1331" w:header="0" w:footer="1195" w:gutter="0"/>
        </w:sectPr>
        <w:rPr/>
      </w:pPr>
    </w:p>
    <w:p>
      <w:pPr>
        <w:spacing w:before="38"/>
        <w:rPr/>
      </w:pPr>
      <w:r/>
    </w:p>
    <w:p>
      <w:pPr>
        <w:spacing w:before="38"/>
        <w:rPr/>
      </w:pPr>
      <w:r/>
    </w:p>
    <w:p>
      <w:pPr>
        <w:spacing w:before="38"/>
        <w:rPr/>
      </w:pPr>
      <w:r/>
    </w:p>
    <w:p>
      <w:pPr>
        <w:spacing w:before="38"/>
        <w:rPr/>
      </w:pPr>
      <w:r/>
    </w:p>
    <w:p>
      <w:pPr>
        <w:spacing w:before="37"/>
        <w:rPr/>
      </w:pPr>
      <w:r/>
    </w:p>
    <w:tbl>
      <w:tblPr>
        <w:tblStyle w:val="TableNormal"/>
        <w:tblW w:w="1417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757"/>
        <w:gridCol w:w="1299"/>
        <w:gridCol w:w="2119"/>
        <w:gridCol w:w="6462"/>
        <w:gridCol w:w="2830"/>
      </w:tblGrid>
      <w:tr>
        <w:trPr>
          <w:trHeight w:val="320" w:hRule="atLeast"/>
        </w:trPr>
        <w:tc>
          <w:tcPr>
            <w:tcW w:w="706" w:type="dxa"/>
            <w:vAlign w:val="top"/>
            <w:vMerge w:val="restart"/>
            <w:tcBorders>
              <w:top w:val="single" w:color="000000" w:sz="10" w:space="0"/>
              <w:left w:val="nil"/>
              <w:bottom w:val="nil"/>
            </w:tcBorders>
          </w:tcPr>
          <w:p>
            <w:pPr>
              <w:rPr>
                <w:rFonts w:ascii="Arial"/>
                <w:sz w:val="21"/>
              </w:rPr>
            </w:pPr>
            <w:r/>
          </w:p>
        </w:tc>
        <w:tc>
          <w:tcPr>
            <w:tcW w:w="757" w:type="dxa"/>
            <w:vAlign w:val="top"/>
            <w:vMerge w:val="restart"/>
            <w:tcBorders>
              <w:top w:val="single" w:color="000000" w:sz="10" w:space="0"/>
              <w:bottom w:val="nil"/>
            </w:tcBorders>
          </w:tcPr>
          <w:p>
            <w:pPr>
              <w:rPr>
                <w:rFonts w:ascii="Arial"/>
                <w:sz w:val="21"/>
              </w:rPr>
            </w:pPr>
            <w:r/>
          </w:p>
        </w:tc>
        <w:tc>
          <w:tcPr>
            <w:tcW w:w="1299" w:type="dxa"/>
            <w:vAlign w:val="top"/>
            <w:vMerge w:val="restart"/>
            <w:tcBorders>
              <w:top w:val="single" w:color="000000" w:sz="10" w:space="0"/>
              <w:bottom w:val="nil"/>
            </w:tcBorders>
          </w:tcPr>
          <w:p>
            <w:pPr>
              <w:spacing w:line="314" w:lineRule="auto"/>
              <w:rPr>
                <w:rFonts w:ascii="Arial"/>
                <w:sz w:val="21"/>
              </w:rPr>
            </w:pPr>
            <w:r/>
          </w:p>
          <w:p>
            <w:pPr>
              <w:spacing w:line="315" w:lineRule="auto"/>
              <w:rPr>
                <w:rFonts w:ascii="Arial"/>
                <w:sz w:val="21"/>
              </w:rPr>
            </w:pPr>
            <w:r/>
          </w:p>
          <w:p>
            <w:pPr>
              <w:pStyle w:val="TableText"/>
              <w:ind w:left="346" w:right="124" w:hanging="208"/>
              <w:spacing w:before="65" w:line="288" w:lineRule="auto"/>
              <w:rPr/>
            </w:pPr>
            <w:r>
              <w:rPr>
                <w:spacing w:val="6"/>
              </w:rPr>
              <w:t>一般工业固</w:t>
            </w:r>
            <w:r>
              <w:rPr>
                <w:spacing w:val="4"/>
              </w:rPr>
              <w:t>体废物</w:t>
            </w:r>
          </w:p>
        </w:tc>
        <w:tc>
          <w:tcPr>
            <w:tcW w:w="2119" w:type="dxa"/>
            <w:vAlign w:val="top"/>
            <w:tcBorders>
              <w:top w:val="single" w:color="000000" w:sz="10" w:space="0"/>
            </w:tcBorders>
          </w:tcPr>
          <w:p>
            <w:pPr>
              <w:pStyle w:val="TableText"/>
              <w:ind w:left="651"/>
              <w:spacing w:before="56" w:line="231" w:lineRule="auto"/>
              <w:rPr/>
            </w:pPr>
            <w:bookmarkStart w:name="bookmark642" w:id="588"/>
            <w:bookmarkEnd w:id="588"/>
            <w:r>
              <w:rPr>
                <w:spacing w:val="5"/>
              </w:rPr>
              <w:t>采矿废石</w:t>
            </w:r>
          </w:p>
        </w:tc>
        <w:tc>
          <w:tcPr>
            <w:tcW w:w="6462" w:type="dxa"/>
            <w:vAlign w:val="top"/>
            <w:tcBorders>
              <w:top w:val="single" w:color="000000" w:sz="10" w:space="0"/>
            </w:tcBorders>
          </w:tcPr>
          <w:p>
            <w:pPr>
              <w:pStyle w:val="TableText"/>
              <w:ind w:left="542"/>
              <w:spacing w:before="56" w:line="231" w:lineRule="auto"/>
              <w:rPr/>
            </w:pPr>
            <w:r>
              <w:rPr>
                <w:spacing w:val="8"/>
              </w:rPr>
              <w:t>废石不出坑，直接回填至井下空区</w:t>
            </w:r>
          </w:p>
        </w:tc>
        <w:tc>
          <w:tcPr>
            <w:tcW w:w="2830" w:type="dxa"/>
            <w:vAlign w:val="top"/>
            <w:vMerge w:val="restart"/>
            <w:tcBorders>
              <w:top w:val="single" w:color="000000" w:sz="10" w:space="0"/>
              <w:right w:val="nil"/>
              <w:bottom w:val="nil"/>
            </w:tcBorders>
          </w:tcPr>
          <w:p>
            <w:pPr>
              <w:spacing w:line="474" w:lineRule="auto"/>
              <w:rPr>
                <w:rFonts w:ascii="Arial"/>
                <w:sz w:val="21"/>
              </w:rPr>
            </w:pPr>
            <w:r/>
          </w:p>
          <w:p>
            <w:pPr>
              <w:pStyle w:val="TableText"/>
              <w:ind w:left="124" w:right="106" w:firstLine="416"/>
              <w:spacing w:before="65" w:line="293" w:lineRule="auto"/>
              <w:jc w:val="both"/>
              <w:rPr/>
            </w:pPr>
            <w:r>
              <w:rPr>
                <w:spacing w:val="18"/>
              </w:rPr>
              <w:t>《一般工业固体废物贮</w:t>
            </w:r>
            <w:r>
              <w:rPr>
                <w:spacing w:val="31"/>
              </w:rPr>
              <w:t>存和填埋污染控制标准</w:t>
            </w:r>
            <w:r>
              <w:rPr>
                <w:spacing w:val="-46"/>
              </w:rPr>
              <w:t xml:space="preserve"> </w:t>
            </w:r>
            <w:r>
              <w:rPr>
                <w:spacing w:val="31"/>
              </w:rPr>
              <w:t>》</w:t>
            </w:r>
            <w:r>
              <w:rP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18599-2020</w:t>
            </w:r>
            <w:r>
              <w:rPr>
                <w:spacing w:val="4"/>
              </w:rPr>
              <w:t>）</w:t>
            </w:r>
          </w:p>
        </w:tc>
      </w:tr>
      <w:tr>
        <w:trPr>
          <w:trHeight w:val="315"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1299" w:type="dxa"/>
            <w:vAlign w:val="top"/>
            <w:vMerge w:val="continue"/>
            <w:tcBorders>
              <w:top w:val="nil"/>
              <w:bottom w:val="nil"/>
            </w:tcBorders>
          </w:tcPr>
          <w:p>
            <w:pPr>
              <w:rPr>
                <w:rFonts w:ascii="Arial"/>
                <w:sz w:val="21"/>
              </w:rPr>
            </w:pPr>
            <w:r/>
          </w:p>
        </w:tc>
        <w:tc>
          <w:tcPr>
            <w:tcW w:w="2119" w:type="dxa"/>
            <w:vAlign w:val="top"/>
          </w:tcPr>
          <w:p>
            <w:pPr>
              <w:pStyle w:val="TableText"/>
              <w:ind w:left="655"/>
              <w:spacing w:before="52" w:line="232" w:lineRule="auto"/>
              <w:rPr/>
            </w:pPr>
            <w:r>
              <w:rPr>
                <w:spacing w:val="4"/>
              </w:rPr>
              <w:t>沉淀污泥</w:t>
            </w:r>
          </w:p>
        </w:tc>
        <w:tc>
          <w:tcPr>
            <w:tcW w:w="6462" w:type="dxa"/>
            <w:vAlign w:val="top"/>
          </w:tcPr>
          <w:p>
            <w:pPr>
              <w:pStyle w:val="TableText"/>
              <w:ind w:left="546"/>
              <w:spacing w:before="52" w:line="229" w:lineRule="auto"/>
              <w:rPr/>
            </w:pPr>
            <w:r>
              <w:rPr>
                <w:spacing w:val="7"/>
              </w:rPr>
              <w:t>高位水池、</w:t>
            </w:r>
            <w:r>
              <w:rPr>
                <w:spacing w:val="-52"/>
              </w:rPr>
              <w:t xml:space="preserve"> </w:t>
            </w:r>
            <w:r>
              <w:rPr>
                <w:spacing w:val="7"/>
              </w:rPr>
              <w:t>回水池产生的污泥直接返回选矿工序作原料</w:t>
            </w:r>
          </w:p>
        </w:tc>
        <w:tc>
          <w:tcPr>
            <w:tcW w:w="2830" w:type="dxa"/>
            <w:vAlign w:val="top"/>
            <w:vMerge w:val="continue"/>
            <w:tcBorders>
              <w:top w:val="nil"/>
              <w:right w:val="nil"/>
              <w:bottom w:val="nil"/>
            </w:tcBorders>
          </w:tcPr>
          <w:p>
            <w:pPr>
              <w:rPr>
                <w:rFonts w:ascii="Arial"/>
                <w:sz w:val="21"/>
              </w:rPr>
            </w:pPr>
            <w:r/>
          </w:p>
        </w:tc>
      </w:tr>
      <w:tr>
        <w:trPr>
          <w:trHeight w:val="626"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1299" w:type="dxa"/>
            <w:vAlign w:val="top"/>
            <w:vMerge w:val="continue"/>
            <w:tcBorders>
              <w:top w:val="nil"/>
              <w:bottom w:val="nil"/>
            </w:tcBorders>
          </w:tcPr>
          <w:p>
            <w:pPr>
              <w:rPr>
                <w:rFonts w:ascii="Arial"/>
                <w:sz w:val="21"/>
              </w:rPr>
            </w:pPr>
            <w:r/>
          </w:p>
        </w:tc>
        <w:tc>
          <w:tcPr>
            <w:tcW w:w="2119" w:type="dxa"/>
            <w:vAlign w:val="top"/>
          </w:tcPr>
          <w:p>
            <w:pPr>
              <w:pStyle w:val="TableText"/>
              <w:ind w:left="862"/>
              <w:spacing w:before="210" w:line="232" w:lineRule="auto"/>
              <w:rPr/>
            </w:pPr>
            <w:r>
              <w:rPr>
                <w:spacing w:val="1"/>
              </w:rPr>
              <w:t>尾矿</w:t>
            </w:r>
          </w:p>
        </w:tc>
        <w:tc>
          <w:tcPr>
            <w:tcW w:w="6462" w:type="dxa"/>
            <w:vAlign w:val="top"/>
          </w:tcPr>
          <w:p>
            <w:pPr>
              <w:pStyle w:val="TableText"/>
              <w:ind w:left="121" w:right="105" w:firstLine="418"/>
              <w:spacing w:before="54" w:line="259" w:lineRule="auto"/>
              <w:rPr/>
            </w:pPr>
            <w:r>
              <w:rPr>
                <w:spacing w:val="7"/>
              </w:rPr>
              <w:t>经浓缩过滤脱水后临时堆存在尾矿临时堆场，优先用于回填井下</w:t>
            </w:r>
            <w:r>
              <w:rPr>
                <w:spacing w:val="8"/>
              </w:rPr>
              <w:t>采空区，剩余外售至建材生产企业生产建材；</w:t>
            </w:r>
          </w:p>
        </w:tc>
        <w:tc>
          <w:tcPr>
            <w:tcW w:w="2830" w:type="dxa"/>
            <w:vAlign w:val="top"/>
            <w:vMerge w:val="continue"/>
            <w:tcBorders>
              <w:top w:val="nil"/>
              <w:right w:val="nil"/>
              <w:bottom w:val="nil"/>
            </w:tcBorders>
          </w:tcPr>
          <w:p>
            <w:pPr>
              <w:rPr>
                <w:rFonts w:ascii="Arial"/>
                <w:sz w:val="21"/>
              </w:rPr>
            </w:pPr>
            <w:r/>
          </w:p>
        </w:tc>
      </w:tr>
      <w:tr>
        <w:trPr>
          <w:trHeight w:val="315"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1299" w:type="dxa"/>
            <w:vAlign w:val="top"/>
            <w:vMerge w:val="continue"/>
            <w:tcBorders>
              <w:top w:val="nil"/>
              <w:bottom w:val="nil"/>
            </w:tcBorders>
          </w:tcPr>
          <w:p>
            <w:pPr>
              <w:rPr>
                <w:rFonts w:ascii="Arial"/>
                <w:sz w:val="21"/>
              </w:rPr>
            </w:pPr>
            <w:r/>
          </w:p>
        </w:tc>
        <w:tc>
          <w:tcPr>
            <w:tcW w:w="2119" w:type="dxa"/>
            <w:vAlign w:val="top"/>
          </w:tcPr>
          <w:p>
            <w:pPr>
              <w:pStyle w:val="TableText"/>
              <w:ind w:left="546"/>
              <w:spacing w:before="59" w:line="227" w:lineRule="auto"/>
              <w:rPr/>
            </w:pPr>
            <w:r>
              <w:rPr>
                <w:spacing w:val="6"/>
              </w:rPr>
              <w:t>布袋除尘灰</w:t>
            </w:r>
          </w:p>
        </w:tc>
        <w:tc>
          <w:tcPr>
            <w:tcW w:w="6462" w:type="dxa"/>
            <w:vAlign w:val="top"/>
          </w:tcPr>
          <w:p>
            <w:pPr>
              <w:pStyle w:val="TableText"/>
              <w:ind w:left="544"/>
              <w:spacing w:before="59" w:line="227" w:lineRule="auto"/>
              <w:rPr/>
            </w:pPr>
            <w:r>
              <w:rPr>
                <w:spacing w:val="8"/>
              </w:rPr>
              <w:t>全部返回磨浮工序作原料</w:t>
            </w:r>
          </w:p>
        </w:tc>
        <w:tc>
          <w:tcPr>
            <w:tcW w:w="2830" w:type="dxa"/>
            <w:vAlign w:val="top"/>
            <w:vMerge w:val="continue"/>
            <w:tcBorders>
              <w:top w:val="nil"/>
              <w:right w:val="nil"/>
              <w:bottom w:val="nil"/>
            </w:tcBorders>
          </w:tcPr>
          <w:p>
            <w:pPr>
              <w:rPr>
                <w:rFonts w:ascii="Arial"/>
                <w:sz w:val="21"/>
              </w:rPr>
            </w:pPr>
            <w:r/>
          </w:p>
        </w:tc>
      </w:tr>
      <w:tr>
        <w:trPr>
          <w:trHeight w:val="316" w:hRule="atLeast"/>
        </w:trPr>
        <w:tc>
          <w:tcPr>
            <w:tcW w:w="706" w:type="dxa"/>
            <w:vAlign w:val="top"/>
            <w:vMerge w:val="continue"/>
            <w:tcBorders>
              <w:top w:val="nil"/>
              <w:left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1299" w:type="dxa"/>
            <w:vAlign w:val="top"/>
            <w:vMerge w:val="continue"/>
            <w:tcBorders>
              <w:top w:val="nil"/>
            </w:tcBorders>
          </w:tcPr>
          <w:p>
            <w:pPr>
              <w:rPr>
                <w:rFonts w:ascii="Arial"/>
                <w:sz w:val="21"/>
              </w:rPr>
            </w:pPr>
            <w:r/>
          </w:p>
        </w:tc>
        <w:tc>
          <w:tcPr>
            <w:tcW w:w="2119" w:type="dxa"/>
            <w:vAlign w:val="top"/>
          </w:tcPr>
          <w:p>
            <w:pPr>
              <w:pStyle w:val="TableText"/>
              <w:ind w:left="758"/>
              <w:spacing w:before="61" w:line="226" w:lineRule="auto"/>
              <w:rPr/>
            </w:pPr>
            <w:r>
              <w:rPr>
                <w:spacing w:val="4"/>
              </w:rPr>
              <w:t>废布袋</w:t>
            </w:r>
          </w:p>
        </w:tc>
        <w:tc>
          <w:tcPr>
            <w:tcW w:w="6462" w:type="dxa"/>
            <w:vAlign w:val="top"/>
          </w:tcPr>
          <w:p>
            <w:pPr>
              <w:pStyle w:val="TableText"/>
              <w:ind w:left="551"/>
              <w:spacing w:before="61" w:line="226" w:lineRule="auto"/>
              <w:rPr/>
            </w:pPr>
            <w:r>
              <w:rPr>
                <w:spacing w:val="7"/>
              </w:rPr>
              <w:t>收集后交由厂家回收处理</w:t>
            </w:r>
          </w:p>
        </w:tc>
        <w:tc>
          <w:tcPr>
            <w:tcW w:w="2830" w:type="dxa"/>
            <w:vAlign w:val="top"/>
            <w:vMerge w:val="continue"/>
            <w:tcBorders>
              <w:top w:val="nil"/>
              <w:right w:val="nil"/>
            </w:tcBorders>
          </w:tcPr>
          <w:p>
            <w:pPr>
              <w:rPr>
                <w:rFonts w:ascii="Arial"/>
                <w:sz w:val="21"/>
              </w:rPr>
            </w:pPr>
            <w:r/>
          </w:p>
        </w:tc>
      </w:tr>
      <w:tr>
        <w:trPr>
          <w:trHeight w:val="626" w:hRule="atLeast"/>
        </w:trPr>
        <w:tc>
          <w:tcPr>
            <w:tcW w:w="706" w:type="dxa"/>
            <w:vAlign w:val="top"/>
            <w:vMerge w:val="continue"/>
            <w:tcBorders>
              <w:top w:val="nil"/>
              <w:left w:val="nil"/>
            </w:tcBorders>
          </w:tcPr>
          <w:p>
            <w:pPr>
              <w:rPr>
                <w:rFonts w:ascii="Arial"/>
                <w:sz w:val="21"/>
              </w:rPr>
            </w:pPr>
            <w:r/>
          </w:p>
        </w:tc>
        <w:tc>
          <w:tcPr>
            <w:tcW w:w="757" w:type="dxa"/>
            <w:vAlign w:val="top"/>
            <w:vMerge w:val="continue"/>
            <w:tcBorders>
              <w:top w:val="nil"/>
            </w:tcBorders>
          </w:tcPr>
          <w:p>
            <w:pPr>
              <w:rPr>
                <w:rFonts w:ascii="Arial"/>
                <w:sz w:val="21"/>
              </w:rPr>
            </w:pPr>
            <w:r/>
          </w:p>
        </w:tc>
        <w:tc>
          <w:tcPr>
            <w:tcW w:w="1299" w:type="dxa"/>
            <w:vAlign w:val="top"/>
          </w:tcPr>
          <w:p>
            <w:pPr>
              <w:pStyle w:val="TableText"/>
              <w:ind w:left="245"/>
              <w:spacing w:before="218" w:line="229" w:lineRule="auto"/>
              <w:rPr/>
            </w:pPr>
            <w:r>
              <w:rPr>
                <w:spacing w:val="4"/>
              </w:rPr>
              <w:t>危险废物</w:t>
            </w:r>
          </w:p>
        </w:tc>
        <w:tc>
          <w:tcPr>
            <w:tcW w:w="2119" w:type="dxa"/>
            <w:vAlign w:val="top"/>
          </w:tcPr>
          <w:p>
            <w:pPr>
              <w:pStyle w:val="TableText"/>
              <w:ind w:left="147" w:right="114" w:firstLine="84"/>
              <w:spacing w:before="61" w:line="256" w:lineRule="auto"/>
              <w:rPr/>
            </w:pPr>
            <w:r>
              <w:rPr>
                <w:spacing w:val="7"/>
              </w:rPr>
              <w:t>含油抹布及劳保用</w:t>
            </w:r>
            <w:r>
              <w:rPr>
                <w:spacing w:val="5"/>
              </w:rPr>
              <w:t>品、废机油及废油桶</w:t>
            </w:r>
          </w:p>
        </w:tc>
        <w:tc>
          <w:tcPr>
            <w:tcW w:w="6462" w:type="dxa"/>
            <w:vAlign w:val="top"/>
          </w:tcPr>
          <w:p>
            <w:pPr>
              <w:pStyle w:val="TableText"/>
              <w:ind w:left="275" w:right="105" w:hanging="153"/>
              <w:spacing w:before="61" w:line="256" w:lineRule="auto"/>
              <w:rPr/>
            </w:pPr>
            <w:r>
              <w:rPr>
                <w:spacing w:val="7"/>
              </w:rPr>
              <w:t>废机油密封桶装、含油抹布及劳保用品密封袋装后，集中暂存于危险</w:t>
            </w:r>
            <w:r>
              <w:rPr>
                <w:spacing w:val="9"/>
              </w:rPr>
              <w:t>废物贮存点内，定期送有危险废物处理资质的单位进行处理</w:t>
            </w:r>
            <w:r>
              <w:rPr>
                <w:rFonts w:ascii="Times New Roman" w:hAnsi="Times New Roman" w:eastAsia="Times New Roman" w:cs="Times New Roman"/>
                <w:spacing w:val="9"/>
              </w:rPr>
              <w:t>/</w:t>
            </w:r>
            <w:r>
              <w:rPr>
                <w:spacing w:val="9"/>
              </w:rPr>
              <w:t>处置</w:t>
            </w:r>
          </w:p>
        </w:tc>
        <w:tc>
          <w:tcPr>
            <w:tcW w:w="2830" w:type="dxa"/>
            <w:vAlign w:val="top"/>
            <w:tcBorders>
              <w:right w:val="nil"/>
            </w:tcBorders>
          </w:tcPr>
          <w:p>
            <w:pPr>
              <w:pStyle w:val="TableText"/>
              <w:ind w:left="121" w:right="21" w:firstLine="418"/>
              <w:spacing w:before="61" w:line="256" w:lineRule="auto"/>
              <w:rPr/>
            </w:pPr>
            <w:r>
              <w:rPr>
                <w:spacing w:val="18"/>
              </w:rPr>
              <w:t>《危险废物贮存污染物</w:t>
            </w:r>
            <w:r>
              <w:rPr>
                <w:spacing w:val="2"/>
              </w:rPr>
              <w:t>控制标准》（</w:t>
            </w:r>
            <w:r>
              <w:rPr>
                <w:rFonts w:ascii="Times New Roman" w:hAnsi="Times New Roman" w:eastAsia="Times New Roman" w:cs="Times New Roman"/>
              </w:rPr>
              <w:t>GB</w:t>
            </w:r>
            <w:r>
              <w:rPr>
                <w:rFonts w:ascii="Times New Roman" w:hAnsi="Times New Roman" w:eastAsia="Times New Roman" w:cs="Times New Roman"/>
                <w:spacing w:val="2"/>
              </w:rPr>
              <w:t>18597-2023</w:t>
            </w:r>
            <w:r>
              <w:rPr>
                <w:spacing w:val="2"/>
              </w:rPr>
              <w:t>）</w:t>
            </w:r>
          </w:p>
        </w:tc>
      </w:tr>
      <w:tr>
        <w:trPr>
          <w:trHeight w:val="936" w:hRule="atLeast"/>
        </w:trPr>
        <w:tc>
          <w:tcPr>
            <w:tcW w:w="706" w:type="dxa"/>
            <w:vAlign w:val="top"/>
            <w:tcBorders>
              <w:left w:val="nil"/>
            </w:tcBorders>
          </w:tcPr>
          <w:p>
            <w:pPr>
              <w:spacing w:line="355" w:lineRule="auto"/>
              <w:rPr>
                <w:rFonts w:ascii="Arial"/>
                <w:sz w:val="21"/>
              </w:rPr>
            </w:pPr>
            <w:r/>
          </w:p>
          <w:p>
            <w:pPr>
              <w:ind w:left="310"/>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57" w:type="dxa"/>
            <w:vAlign w:val="top"/>
          </w:tcPr>
          <w:p>
            <w:pPr>
              <w:pStyle w:val="TableText"/>
              <w:ind w:left="121"/>
              <w:spacing w:before="64" w:line="232" w:lineRule="auto"/>
              <w:rPr/>
            </w:pPr>
            <w:r>
              <w:rPr/>
              <w:t>土壤、</w:t>
            </w:r>
          </w:p>
          <w:p>
            <w:pPr>
              <w:pStyle w:val="TableText"/>
              <w:ind w:left="179"/>
              <w:spacing w:before="60" w:line="231" w:lineRule="auto"/>
              <w:rPr/>
            </w:pPr>
            <w:r>
              <w:rPr>
                <w:spacing w:val="1"/>
              </w:rPr>
              <w:t>地下</w:t>
            </w:r>
          </w:p>
          <w:p>
            <w:pPr>
              <w:pStyle w:val="TableText"/>
              <w:ind w:left="283"/>
              <w:spacing w:before="62" w:line="219" w:lineRule="auto"/>
              <w:rPr/>
            </w:pPr>
            <w:r>
              <w:rPr/>
              <w:t>水</w:t>
            </w:r>
          </w:p>
        </w:tc>
        <w:tc>
          <w:tcPr>
            <w:tcW w:w="9880" w:type="dxa"/>
            <w:vAlign w:val="top"/>
            <w:gridSpan w:val="3"/>
          </w:tcPr>
          <w:p>
            <w:pPr>
              <w:pStyle w:val="TableText"/>
              <w:ind w:left="122" w:right="106" w:firstLine="421"/>
              <w:spacing w:before="219" w:line="287" w:lineRule="auto"/>
              <w:rPr/>
            </w:pPr>
            <w:r>
              <w:rPr>
                <w:spacing w:val="9"/>
              </w:rPr>
              <w:t>原矿堆场、尾矿临时堆场、成品库、高位水池、蓄水池、</w:t>
            </w:r>
            <w:r>
              <w:rPr>
                <w:spacing w:val="-55"/>
              </w:rPr>
              <w:t xml:space="preserve"> </w:t>
            </w:r>
            <w:r>
              <w:rPr>
                <w:spacing w:val="9"/>
              </w:rPr>
              <w:t>回</w:t>
            </w:r>
            <w:r>
              <w:rPr>
                <w:spacing w:val="8"/>
              </w:rPr>
              <w:t>水池、防渗储池、隔油池、机修间、危险</w:t>
            </w:r>
            <w:r>
              <w:rPr>
                <w:spacing w:val="9"/>
              </w:rPr>
              <w:t>废物贮存点、选矿车间等需按相关要求进行硬化、防渗防腐处理等</w:t>
            </w:r>
          </w:p>
        </w:tc>
        <w:tc>
          <w:tcPr>
            <w:tcW w:w="2830" w:type="dxa"/>
            <w:vAlign w:val="top"/>
            <w:tcBorders>
              <w:right w:val="nil"/>
            </w:tcBorders>
          </w:tcPr>
          <w:p>
            <w:pPr>
              <w:spacing w:line="309" w:lineRule="auto"/>
              <w:rPr>
                <w:rFonts w:ascii="Arial"/>
                <w:sz w:val="21"/>
              </w:rPr>
            </w:pPr>
            <w:r/>
          </w:p>
          <w:p>
            <w:pPr>
              <w:pStyle w:val="TableText"/>
              <w:ind w:left="541"/>
              <w:spacing w:before="65" w:line="230" w:lineRule="auto"/>
              <w:rPr/>
            </w:pPr>
            <w:r>
              <w:rPr>
                <w:spacing w:val="7"/>
              </w:rPr>
              <w:t>满足相关要求</w:t>
            </w:r>
          </w:p>
        </w:tc>
      </w:tr>
      <w:tr>
        <w:trPr>
          <w:trHeight w:val="936" w:hRule="atLeast"/>
        </w:trPr>
        <w:tc>
          <w:tcPr>
            <w:tcW w:w="706" w:type="dxa"/>
            <w:vAlign w:val="top"/>
            <w:tcBorders>
              <w:left w:val="nil"/>
            </w:tcBorders>
          </w:tcPr>
          <w:p>
            <w:pPr>
              <w:spacing w:line="357" w:lineRule="auto"/>
              <w:rPr>
                <w:rFonts w:ascii="Arial"/>
                <w:sz w:val="21"/>
              </w:rPr>
            </w:pPr>
            <w:r/>
          </w:p>
          <w:p>
            <w:pPr>
              <w:ind w:left="30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57" w:type="dxa"/>
            <w:vAlign w:val="top"/>
          </w:tcPr>
          <w:p>
            <w:pPr>
              <w:pStyle w:val="TableText"/>
              <w:ind w:left="178"/>
              <w:spacing w:before="68" w:line="232" w:lineRule="auto"/>
              <w:rPr/>
            </w:pPr>
            <w:r>
              <w:rPr>
                <w:spacing w:val="2"/>
              </w:rPr>
              <w:t>事故</w:t>
            </w:r>
          </w:p>
          <w:p>
            <w:pPr>
              <w:pStyle w:val="TableText"/>
              <w:ind w:left="178"/>
              <w:spacing w:before="60" w:line="234" w:lineRule="auto"/>
              <w:rPr/>
            </w:pPr>
            <w:r>
              <w:rPr>
                <w:spacing w:val="2"/>
              </w:rPr>
              <w:t>应急</w:t>
            </w:r>
          </w:p>
          <w:p>
            <w:pPr>
              <w:pStyle w:val="TableText"/>
              <w:ind w:left="178"/>
              <w:spacing w:before="59" w:line="215" w:lineRule="auto"/>
              <w:rPr/>
            </w:pPr>
            <w:r>
              <w:rPr>
                <w:spacing w:val="2"/>
              </w:rPr>
              <w:t>措施</w:t>
            </w:r>
          </w:p>
        </w:tc>
        <w:tc>
          <w:tcPr>
            <w:tcW w:w="9880" w:type="dxa"/>
            <w:vAlign w:val="top"/>
            <w:gridSpan w:val="3"/>
          </w:tcPr>
          <w:p>
            <w:pPr>
              <w:pStyle w:val="TableText"/>
              <w:ind w:left="119" w:right="50" w:firstLine="421"/>
              <w:spacing w:before="67" w:line="264" w:lineRule="auto"/>
              <w:jc w:val="both"/>
              <w:rPr/>
            </w:pPr>
            <w:r>
              <w:rPr>
                <w:spacing w:val="5"/>
              </w:rPr>
              <w:t>供风供水管路设置应急阀门；主要工作地点须设置联系信号（如声光灾害报警装置、通讯联络电</w:t>
            </w:r>
            <w:r>
              <w:rPr>
                <w:spacing w:val="4"/>
              </w:rPr>
              <w:t>话等</w:t>
            </w:r>
            <w:r>
              <w:rPr>
                <w:spacing w:val="-51"/>
                <w:w w:val="91"/>
              </w:rPr>
              <w:t>）；</w:t>
            </w:r>
            <w:r>
              <w:rPr>
                <w:spacing w:val="9"/>
              </w:rPr>
              <w:t>应设置直通地表的安全出</w:t>
            </w:r>
            <w:r>
              <w:rPr>
                <w:spacing w:val="-46"/>
              </w:rPr>
              <w:t xml:space="preserve"> </w:t>
            </w:r>
            <w:r>
              <w:rPr>
                <w:spacing w:val="9"/>
              </w:rPr>
              <w:t>口；设置便携式气体检测报警仪和配备</w:t>
            </w:r>
            <w:r>
              <w:rPr>
                <w:spacing w:val="8"/>
              </w:rPr>
              <w:t>隔离式自救器；设置足够数量的泡沫灭火</w:t>
            </w:r>
            <w:r>
              <w:rPr>
                <w:spacing w:val="9"/>
              </w:rPr>
              <w:t>器、砂箱、铁锹等消防工具等；磨浮工序设置事故应急池</w:t>
            </w:r>
          </w:p>
        </w:tc>
        <w:tc>
          <w:tcPr>
            <w:tcW w:w="2830" w:type="dxa"/>
            <w:vAlign w:val="top"/>
            <w:tcBorders>
              <w:right w:val="nil"/>
            </w:tcBorders>
          </w:tcPr>
          <w:p>
            <w:pPr>
              <w:pStyle w:val="TableText"/>
              <w:ind w:left="133" w:right="106" w:firstLine="408"/>
              <w:spacing w:before="224" w:line="288" w:lineRule="auto"/>
              <w:rPr/>
            </w:pPr>
            <w:r>
              <w:rPr>
                <w:spacing w:val="17"/>
              </w:rPr>
              <w:t>确保事故发生时对环境</w:t>
            </w:r>
            <w:r>
              <w:rPr>
                <w:spacing w:val="4"/>
              </w:rPr>
              <w:t>的影响较小</w:t>
            </w:r>
          </w:p>
        </w:tc>
      </w:tr>
      <w:tr>
        <w:trPr>
          <w:trHeight w:val="650" w:hRule="atLeast"/>
        </w:trPr>
        <w:tc>
          <w:tcPr>
            <w:tcW w:w="706" w:type="dxa"/>
            <w:vAlign w:val="top"/>
            <w:tcBorders>
              <w:bottom w:val="single" w:color="000000" w:sz="10" w:space="0"/>
              <w:left w:val="nil"/>
            </w:tcBorders>
          </w:tcPr>
          <w:p>
            <w:pPr>
              <w:ind w:left="307"/>
              <w:spacing w:before="26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57" w:type="dxa"/>
            <w:vAlign w:val="top"/>
            <w:tcBorders>
              <w:bottom w:val="single" w:color="000000" w:sz="10" w:space="0"/>
            </w:tcBorders>
          </w:tcPr>
          <w:p>
            <w:pPr>
              <w:pStyle w:val="TableText"/>
              <w:ind w:left="178"/>
              <w:spacing w:before="73" w:line="231" w:lineRule="auto"/>
              <w:rPr/>
            </w:pPr>
            <w:r>
              <w:rPr>
                <w:spacing w:val="2"/>
              </w:rPr>
              <w:t>环境</w:t>
            </w:r>
          </w:p>
          <w:p>
            <w:pPr>
              <w:pStyle w:val="TableText"/>
              <w:ind w:left="190"/>
              <w:spacing w:before="62" w:line="232" w:lineRule="auto"/>
              <w:rPr/>
            </w:pPr>
            <w:r>
              <w:rPr>
                <w:spacing w:val="-4"/>
              </w:rPr>
              <w:t>管理</w:t>
            </w:r>
          </w:p>
        </w:tc>
        <w:tc>
          <w:tcPr>
            <w:tcW w:w="9880" w:type="dxa"/>
            <w:vAlign w:val="top"/>
            <w:gridSpan w:val="3"/>
            <w:tcBorders>
              <w:bottom w:val="single" w:color="000000" w:sz="10" w:space="0"/>
            </w:tcBorders>
          </w:tcPr>
          <w:p>
            <w:pPr>
              <w:pStyle w:val="TableText"/>
              <w:ind w:left="121" w:right="103" w:firstLine="418"/>
              <w:spacing w:before="74" w:line="261" w:lineRule="auto"/>
              <w:rPr/>
            </w:pPr>
            <w:r>
              <w:rPr>
                <w:spacing w:val="10"/>
              </w:rPr>
              <w:t>建立环境保护部门，负责全公司的环境管理；将产品的工艺、污染防治措施</w:t>
            </w:r>
            <w:r>
              <w:rPr>
                <w:spacing w:val="9"/>
              </w:rPr>
              <w:t>及相应的环保工作纳入管</w:t>
            </w:r>
            <w:r>
              <w:rPr>
                <w:spacing w:val="9"/>
              </w:rPr>
              <w:t>理体系，列入公司环保处管理计划和内容</w:t>
            </w:r>
          </w:p>
        </w:tc>
        <w:tc>
          <w:tcPr>
            <w:tcW w:w="2830" w:type="dxa"/>
            <w:vAlign w:val="top"/>
            <w:tcBorders>
              <w:bottom w:val="single" w:color="000000" w:sz="10" w:space="0"/>
              <w:right w:val="nil"/>
            </w:tcBorders>
          </w:tcPr>
          <w:p>
            <w:pPr>
              <w:pStyle w:val="TableText"/>
              <w:ind w:left="545"/>
              <w:spacing w:before="229" w:line="231" w:lineRule="auto"/>
              <w:rPr/>
            </w:pPr>
            <w:r>
              <w:rPr>
                <w:spacing w:val="7"/>
              </w:rPr>
              <w:t>实现有效环境管理</w:t>
            </w:r>
          </w:p>
        </w:tc>
      </w:tr>
    </w:tbl>
    <w:p>
      <w:pPr>
        <w:pStyle w:val="BodyText"/>
        <w:rPr/>
      </w:pPr>
      <w:r/>
    </w:p>
    <w:p>
      <w:pPr>
        <w:sectPr>
          <w:footerReference w:type="default" r:id="rId399"/>
          <w:pgSz w:w="16839" w:h="11906"/>
          <w:pgMar w:top="400" w:right="1332" w:bottom="1358" w:left="1331" w:header="0" w:footer="1195" w:gutter="0"/>
        </w:sectPr>
        <w:rPr/>
      </w:pP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32"/>
        <w:spacing w:before="91" w:line="224" w:lineRule="auto"/>
        <w:outlineLvl w:val="1"/>
        <w:rPr>
          <w:rFonts w:ascii="FangSong" w:hAnsi="FangSong" w:eastAsia="FangSong" w:cs="FangSong"/>
          <w:sz w:val="28"/>
          <w:szCs w:val="28"/>
        </w:rPr>
      </w:pPr>
      <w:bookmarkStart w:name="bookmark439" w:id="589"/>
      <w:bookmarkEnd w:id="589"/>
      <w:bookmarkStart w:name="bookmark441" w:id="590"/>
      <w:bookmarkEnd w:id="590"/>
      <w:bookmarkStart w:name="bookmark438" w:id="591"/>
      <w:bookmarkEnd w:id="591"/>
      <w:bookmarkStart w:name="bookmark440" w:id="592"/>
      <w:bookmarkEnd w:id="592"/>
      <w:r>
        <w:rPr>
          <w:rFonts w:ascii="Times New Roman" w:hAnsi="Times New Roman" w:eastAsia="Times New Roman" w:cs="Times New Roman"/>
          <w:sz w:val="28"/>
          <w:szCs w:val="28"/>
          <w:b/>
          <w:bCs/>
          <w:spacing w:val="-3"/>
        </w:rPr>
        <w:t>10.12  </w:t>
      </w:r>
      <w:r>
        <w:rPr>
          <w:rFonts w:ascii="FangSong" w:hAnsi="FangSong" w:eastAsia="FangSong" w:cs="FangSong"/>
          <w:sz w:val="28"/>
          <w:szCs w:val="28"/>
          <w:b/>
          <w:bCs/>
          <w:spacing w:val="-3"/>
        </w:rPr>
        <w:t>竣工验收管理</w:t>
      </w:r>
    </w:p>
    <w:p>
      <w:pPr>
        <w:ind w:left="29"/>
        <w:spacing w:before="226" w:line="222" w:lineRule="auto"/>
        <w:outlineLvl w:val="2"/>
        <w:rPr>
          <w:rFonts w:ascii="FangSong" w:hAnsi="FangSong" w:eastAsia="FangSong" w:cs="FangSong"/>
          <w:sz w:val="24"/>
          <w:szCs w:val="24"/>
        </w:rPr>
      </w:pPr>
      <w:bookmarkStart w:name="bookmark643" w:id="593"/>
      <w:bookmarkEnd w:id="593"/>
      <w:r>
        <w:rPr>
          <w:rFonts w:ascii="Times New Roman" w:hAnsi="Times New Roman" w:eastAsia="Times New Roman" w:cs="Times New Roman"/>
          <w:sz w:val="24"/>
          <w:szCs w:val="24"/>
          <w:b/>
          <w:bCs/>
          <w:spacing w:val="-2"/>
        </w:rPr>
        <w:t>10.12.1  </w:t>
      </w:r>
      <w:r>
        <w:rPr>
          <w:rFonts w:ascii="FangSong" w:hAnsi="FangSong" w:eastAsia="FangSong" w:cs="FangSong"/>
          <w:sz w:val="24"/>
          <w:szCs w:val="24"/>
          <w:b/>
          <w:bCs/>
          <w:spacing w:val="-2"/>
        </w:rPr>
        <w:t>环境工程设计</w:t>
      </w:r>
    </w:p>
    <w:p>
      <w:pPr>
        <w:ind w:left="30" w:right="38" w:firstLine="479"/>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按照环评文件及其批复要求，落实工程环境设计</w:t>
      </w:r>
      <w:r>
        <w:rPr>
          <w:rFonts w:ascii="FangSong" w:hAnsi="FangSong" w:eastAsia="FangSong" w:cs="FangSong"/>
          <w:sz w:val="24"/>
          <w:szCs w:val="24"/>
          <w:spacing w:val="-4"/>
        </w:rPr>
        <w:t>，重点做好废气防治、废水</w:t>
      </w:r>
      <w:r>
        <w:rPr>
          <w:rFonts w:ascii="FangSong" w:hAnsi="FangSong" w:eastAsia="FangSong" w:cs="FangSong"/>
          <w:sz w:val="24"/>
          <w:szCs w:val="24"/>
          <w:spacing w:val="-3"/>
        </w:rPr>
        <w:t>处置与噪声治理和危险固体废物的安全处置等项工作，确保三废</w:t>
      </w:r>
      <w:r>
        <w:rPr>
          <w:rFonts w:ascii="FangSong" w:hAnsi="FangSong" w:eastAsia="FangSong" w:cs="FangSong"/>
          <w:sz w:val="24"/>
          <w:szCs w:val="24"/>
          <w:spacing w:val="-4"/>
        </w:rPr>
        <w:t>达标排放；污染</w:t>
      </w:r>
      <w:r>
        <w:rPr>
          <w:rFonts w:ascii="FangSong" w:hAnsi="FangSong" w:eastAsia="FangSong" w:cs="FangSong"/>
          <w:sz w:val="24"/>
          <w:szCs w:val="24"/>
          <w:spacing w:val="-1"/>
        </w:rPr>
        <w:t>治理设置必须与主体工程实现“三同时</w:t>
      </w:r>
      <w:r>
        <w:rPr>
          <w:rFonts w:ascii="FangSong" w:hAnsi="FangSong" w:eastAsia="FangSong" w:cs="FangSong"/>
          <w:sz w:val="24"/>
          <w:szCs w:val="24"/>
          <w:spacing w:val="-85"/>
        </w:rPr>
        <w:t xml:space="preserve"> </w:t>
      </w:r>
      <w:r>
        <w:rPr>
          <w:rFonts w:ascii="FangSong" w:hAnsi="FangSong" w:eastAsia="FangSong" w:cs="FangSong"/>
          <w:sz w:val="24"/>
          <w:szCs w:val="24"/>
          <w:spacing w:val="-1"/>
        </w:rPr>
        <w:t>”。</w:t>
      </w:r>
    </w:p>
    <w:p>
      <w:pPr>
        <w:ind w:left="29"/>
        <w:spacing w:line="222" w:lineRule="auto"/>
        <w:outlineLvl w:val="2"/>
        <w:rPr>
          <w:rFonts w:ascii="FangSong" w:hAnsi="FangSong" w:eastAsia="FangSong" w:cs="FangSong"/>
          <w:sz w:val="24"/>
          <w:szCs w:val="24"/>
        </w:rPr>
      </w:pPr>
      <w:bookmarkStart w:name="bookmark443" w:id="594"/>
      <w:bookmarkEnd w:id="594"/>
      <w:bookmarkStart w:name="bookmark442" w:id="595"/>
      <w:bookmarkEnd w:id="595"/>
      <w:r>
        <w:rPr>
          <w:rFonts w:ascii="Times New Roman" w:hAnsi="Times New Roman" w:eastAsia="Times New Roman" w:cs="Times New Roman"/>
          <w:sz w:val="24"/>
          <w:szCs w:val="24"/>
          <w:b/>
          <w:bCs/>
          <w:spacing w:val="-2"/>
        </w:rPr>
        <w:t>10.12.2  </w:t>
      </w:r>
      <w:r>
        <w:rPr>
          <w:rFonts w:ascii="FangSong" w:hAnsi="FangSong" w:eastAsia="FangSong" w:cs="FangSong"/>
          <w:sz w:val="24"/>
          <w:szCs w:val="24"/>
          <w:b/>
          <w:bCs/>
          <w:spacing w:val="-2"/>
        </w:rPr>
        <w:t>验收标准与范围</w:t>
      </w:r>
    </w:p>
    <w:p>
      <w:pPr>
        <w:ind w:left="40" w:right="38" w:firstLine="474"/>
        <w:spacing w:before="180" w:line="29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）按照《国务院关于修改</w:t>
      </w:r>
      <w:r>
        <w:rPr>
          <w:rFonts w:ascii="Times New Roman" w:hAnsi="Times New Roman" w:eastAsia="Times New Roman" w:cs="Times New Roman"/>
          <w:sz w:val="24"/>
          <w:szCs w:val="24"/>
          <w:spacing w:val="-2"/>
        </w:rPr>
        <w:t>&lt;</w:t>
      </w:r>
      <w:r>
        <w:rPr>
          <w:rFonts w:ascii="FangSong" w:hAnsi="FangSong" w:eastAsia="FangSong" w:cs="FangSong"/>
          <w:sz w:val="24"/>
          <w:szCs w:val="24"/>
          <w:spacing w:val="-2"/>
        </w:rPr>
        <w:t>建设项目环境保护管理条例</w:t>
      </w:r>
      <w:r>
        <w:rPr>
          <w:rFonts w:ascii="Times New Roman" w:hAnsi="Times New Roman" w:eastAsia="Times New Roman" w:cs="Times New Roman"/>
          <w:sz w:val="24"/>
          <w:szCs w:val="24"/>
          <w:spacing w:val="-2"/>
        </w:rPr>
        <w:t>&gt;</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
        </w:rPr>
        <w:t>的决定》（国令</w:t>
      </w:r>
      <w:r>
        <w:rPr>
          <w:rFonts w:ascii="FangSong" w:hAnsi="FangSong" w:eastAsia="FangSong" w:cs="FangSong"/>
          <w:sz w:val="24"/>
          <w:szCs w:val="24"/>
          <w:spacing w:val="-5"/>
        </w:rPr>
        <w:t>第</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682</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5"/>
        </w:rPr>
        <w:t>号）有关规定执行。</w:t>
      </w:r>
    </w:p>
    <w:p>
      <w:pPr>
        <w:ind w:left="33" w:right="39" w:firstLine="481"/>
        <w:spacing w:before="179" w:line="29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）与工程有关的各项环保设施，包括为污染防治和保护环境设施建成或</w:t>
      </w:r>
      <w:r>
        <w:rPr>
          <w:rFonts w:ascii="FangSong" w:hAnsi="FangSong" w:eastAsia="FangSong" w:cs="FangSong"/>
          <w:sz w:val="24"/>
          <w:szCs w:val="24"/>
          <w:spacing w:val="-2"/>
        </w:rPr>
        <w:t>配套建成的工程、设备、装置。</w:t>
      </w:r>
    </w:p>
    <w:p>
      <w:pPr>
        <w:ind w:left="29" w:right="39" w:firstLine="485"/>
        <w:spacing w:before="179" w:line="29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）本报告书及其批复文件和有关设计文件规定应采取的其他各项环保措</w:t>
      </w:r>
      <w:r>
        <w:rPr>
          <w:rFonts w:ascii="FangSong" w:hAnsi="FangSong" w:eastAsia="FangSong" w:cs="FangSong"/>
          <w:sz w:val="24"/>
          <w:szCs w:val="24"/>
          <w:spacing w:val="-8"/>
        </w:rPr>
        <w:t>施。</w:t>
      </w:r>
    </w:p>
    <w:p>
      <w:pPr>
        <w:ind w:left="29"/>
        <w:spacing w:before="176" w:line="223" w:lineRule="auto"/>
        <w:outlineLvl w:val="2"/>
        <w:rPr>
          <w:rFonts w:ascii="FangSong" w:hAnsi="FangSong" w:eastAsia="FangSong" w:cs="FangSong"/>
          <w:sz w:val="24"/>
          <w:szCs w:val="24"/>
        </w:rPr>
      </w:pPr>
      <w:bookmarkStart w:name="bookmark445" w:id="596"/>
      <w:bookmarkEnd w:id="596"/>
      <w:bookmarkStart w:name="bookmark444" w:id="597"/>
      <w:bookmarkEnd w:id="597"/>
      <w:r>
        <w:rPr>
          <w:rFonts w:ascii="Times New Roman" w:hAnsi="Times New Roman" w:eastAsia="Times New Roman" w:cs="Times New Roman"/>
          <w:sz w:val="24"/>
          <w:szCs w:val="24"/>
          <w:b/>
          <w:bCs/>
          <w:spacing w:val="-4"/>
        </w:rPr>
        <w:t>10.12.3</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4"/>
        </w:rPr>
        <w:t>竣工验收</w:t>
      </w:r>
    </w:p>
    <w:p>
      <w:pPr>
        <w:ind w:left="29"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2"/>
        </w:rPr>
        <w:t>建设项目竣工后，建设单位应当按照生态环境主管部门规定的</w:t>
      </w:r>
      <w:r>
        <w:rPr>
          <w:rFonts w:ascii="FangSong" w:hAnsi="FangSong" w:eastAsia="FangSong" w:cs="FangSong"/>
          <w:sz w:val="24"/>
          <w:szCs w:val="24"/>
          <w:spacing w:val="-3"/>
        </w:rPr>
        <w:t>标准和程序，</w:t>
      </w:r>
      <w:r>
        <w:rPr>
          <w:rFonts w:ascii="FangSong" w:hAnsi="FangSong" w:eastAsia="FangSong" w:cs="FangSong"/>
          <w:sz w:val="24"/>
          <w:szCs w:val="24"/>
          <w:spacing w:val="-3"/>
        </w:rPr>
        <w:t>对配套建设的环境保护设施进行验收，编制验收报告。建设单位在环</w:t>
      </w:r>
      <w:r>
        <w:rPr>
          <w:rFonts w:ascii="FangSong" w:hAnsi="FangSong" w:eastAsia="FangSong" w:cs="FangSong"/>
          <w:sz w:val="24"/>
          <w:szCs w:val="24"/>
          <w:spacing w:val="-4"/>
        </w:rPr>
        <w:t>境保护设施</w:t>
      </w:r>
      <w:r>
        <w:rPr>
          <w:rFonts w:ascii="FangSong" w:hAnsi="FangSong" w:eastAsia="FangSong" w:cs="FangSong"/>
          <w:sz w:val="24"/>
          <w:szCs w:val="24"/>
          <w:spacing w:val="-3"/>
        </w:rPr>
        <w:t>验收过程中，应当如实查验、监测、记载建设项目环境保护设施的建</w:t>
      </w:r>
      <w:r>
        <w:rPr>
          <w:rFonts w:ascii="FangSong" w:hAnsi="FangSong" w:eastAsia="FangSong" w:cs="FangSong"/>
          <w:sz w:val="24"/>
          <w:szCs w:val="24"/>
          <w:spacing w:val="-4"/>
        </w:rPr>
        <w:t>设和调试情</w:t>
      </w:r>
      <w:r>
        <w:rPr>
          <w:rFonts w:ascii="FangSong" w:hAnsi="FangSong" w:eastAsia="FangSong" w:cs="FangSong"/>
          <w:sz w:val="24"/>
          <w:szCs w:val="24"/>
          <w:spacing w:val="-3"/>
        </w:rPr>
        <w:t>况，不得弄虚作假。除按照国家规定需要保密的情形外，建设单位应</w:t>
      </w:r>
      <w:r>
        <w:rPr>
          <w:rFonts w:ascii="FangSong" w:hAnsi="FangSong" w:eastAsia="FangSong" w:cs="FangSong"/>
          <w:sz w:val="24"/>
          <w:szCs w:val="24"/>
          <w:spacing w:val="-4"/>
        </w:rPr>
        <w:t>当依法向社</w:t>
      </w:r>
      <w:r>
        <w:rPr>
          <w:rFonts w:ascii="FangSong" w:hAnsi="FangSong" w:eastAsia="FangSong" w:cs="FangSong"/>
          <w:sz w:val="24"/>
          <w:szCs w:val="24"/>
          <w:spacing w:val="-2"/>
        </w:rPr>
        <w:t>会公开验收报告。</w:t>
      </w:r>
    </w:p>
    <w:p>
      <w:pPr>
        <w:ind w:left="29"/>
        <w:spacing w:before="2" w:line="220" w:lineRule="auto"/>
        <w:outlineLvl w:val="2"/>
        <w:rPr>
          <w:rFonts w:ascii="FangSong" w:hAnsi="FangSong" w:eastAsia="FangSong" w:cs="FangSong"/>
          <w:sz w:val="24"/>
          <w:szCs w:val="24"/>
        </w:rPr>
      </w:pPr>
      <w:bookmarkStart w:name="bookmark447" w:id="598"/>
      <w:bookmarkEnd w:id="598"/>
      <w:bookmarkStart w:name="bookmark446" w:id="599"/>
      <w:bookmarkEnd w:id="599"/>
      <w:r>
        <w:rPr>
          <w:rFonts w:ascii="Times New Roman" w:hAnsi="Times New Roman" w:eastAsia="Times New Roman" w:cs="Times New Roman"/>
          <w:sz w:val="24"/>
          <w:szCs w:val="24"/>
          <w:b/>
          <w:bCs/>
          <w:spacing w:val="-4"/>
        </w:rPr>
        <w:t>10.12.4  </w:t>
      </w:r>
      <w:r>
        <w:rPr>
          <w:rFonts w:ascii="FangSong" w:hAnsi="FangSong" w:eastAsia="FangSong" w:cs="FangSong"/>
          <w:sz w:val="24"/>
          <w:szCs w:val="24"/>
          <w:b/>
          <w:bCs/>
          <w:spacing w:val="-4"/>
        </w:rPr>
        <w:t>竣工环保验收“三同时</w:t>
      </w:r>
      <w:r>
        <w:rPr>
          <w:rFonts w:ascii="FangSong" w:hAnsi="FangSong" w:eastAsia="FangSong" w:cs="FangSong"/>
          <w:sz w:val="24"/>
          <w:szCs w:val="24"/>
          <w:spacing w:val="-69"/>
        </w:rPr>
        <w:t xml:space="preserve"> </w:t>
      </w:r>
      <w:r>
        <w:rPr>
          <w:rFonts w:ascii="FangSong" w:hAnsi="FangSong" w:eastAsia="FangSong" w:cs="FangSong"/>
          <w:sz w:val="24"/>
          <w:szCs w:val="24"/>
          <w:b/>
          <w:bCs/>
          <w:spacing w:val="-4"/>
        </w:rPr>
        <w:t>”一览表</w:t>
      </w:r>
    </w:p>
    <w:p>
      <w:pPr>
        <w:ind w:left="489"/>
        <w:spacing w:before="180" w:line="221" w:lineRule="auto"/>
        <w:rPr>
          <w:rFonts w:ascii="FangSong" w:hAnsi="FangSong" w:eastAsia="FangSong" w:cs="FangSong"/>
          <w:sz w:val="24"/>
          <w:szCs w:val="24"/>
        </w:rPr>
      </w:pPr>
      <w:r>
        <w:rPr>
          <w:rFonts w:ascii="FangSong" w:hAnsi="FangSong" w:eastAsia="FangSong" w:cs="FangSong"/>
          <w:sz w:val="24"/>
          <w:szCs w:val="24"/>
          <w:spacing w:val="-2"/>
        </w:rPr>
        <w:t>“三同时</w:t>
      </w:r>
      <w:r>
        <w:rPr>
          <w:rFonts w:ascii="FangSong" w:hAnsi="FangSong" w:eastAsia="FangSong" w:cs="FangSong"/>
          <w:sz w:val="24"/>
          <w:szCs w:val="24"/>
          <w:spacing w:val="-76"/>
        </w:rPr>
        <w:t xml:space="preserve"> </w:t>
      </w:r>
      <w:r>
        <w:rPr>
          <w:rFonts w:ascii="FangSong" w:hAnsi="FangSong" w:eastAsia="FangSong" w:cs="FangSong"/>
          <w:sz w:val="24"/>
          <w:szCs w:val="24"/>
          <w:spacing w:val="-2"/>
        </w:rPr>
        <w:t>”验收针对本项目环保设施进行验收，验收内容见表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10.12-1</w:t>
      </w:r>
      <w:r>
        <w:rPr>
          <w:rFonts w:ascii="FangSong" w:hAnsi="FangSong" w:eastAsia="FangSong" w:cs="FangSong"/>
          <w:sz w:val="24"/>
          <w:szCs w:val="24"/>
          <w:spacing w:val="-2"/>
        </w:rPr>
        <w:t>。</w:t>
      </w:r>
    </w:p>
    <w:p>
      <w:pPr>
        <w:spacing w:line="221" w:lineRule="auto"/>
        <w:sectPr>
          <w:footerReference w:type="default" r:id="rId400"/>
          <w:pgSz w:w="11906" w:h="16839"/>
          <w:pgMar w:top="400" w:right="1760" w:bottom="1358" w:left="1785" w:header="0" w:footer="1195" w:gutter="0"/>
        </w:sectPr>
        <w:rPr>
          <w:rFonts w:ascii="FangSong" w:hAnsi="FangSong" w:eastAsia="FangSong" w:cs="FangSong"/>
          <w:sz w:val="24"/>
          <w:szCs w:val="24"/>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4596"/>
        <w:spacing w:before="78" w:line="221" w:lineRule="auto"/>
        <w:rPr>
          <w:rFonts w:ascii="FangSong" w:hAnsi="FangSong" w:eastAsia="FangSong" w:cs="FangSong"/>
          <w:sz w:val="24"/>
          <w:szCs w:val="24"/>
        </w:rPr>
      </w:pPr>
      <w:bookmarkStart w:name="bookmark644" w:id="600"/>
      <w:bookmarkEnd w:id="600"/>
      <w:r>
        <w:rPr>
          <w:rFonts w:ascii="FangSong" w:hAnsi="FangSong" w:eastAsia="FangSong" w:cs="FangSong"/>
          <w:sz w:val="24"/>
          <w:szCs w:val="24"/>
          <w:b/>
          <w:bCs/>
          <w:spacing w:val="-3"/>
        </w:rPr>
        <w:t>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b/>
          <w:bCs/>
          <w:spacing w:val="-3"/>
        </w:rPr>
        <w:t>10.12-1  </w:t>
      </w:r>
      <w:r>
        <w:rPr>
          <w:rFonts w:ascii="FangSong" w:hAnsi="FangSong" w:eastAsia="FangSong" w:cs="FangSong"/>
          <w:sz w:val="24"/>
          <w:szCs w:val="24"/>
          <w:b/>
          <w:bCs/>
          <w:spacing w:val="-3"/>
        </w:rPr>
        <w:t>项目建成后竣工环境保护验收一览表</w:t>
      </w:r>
    </w:p>
    <w:p>
      <w:pPr>
        <w:spacing w:line="66" w:lineRule="exact"/>
        <w:rPr/>
      </w:pPr>
      <w:r/>
    </w:p>
    <w:tbl>
      <w:tblPr>
        <w:tblStyle w:val="TableNormal"/>
        <w:tblW w:w="1417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1"/>
        <w:gridCol w:w="834"/>
        <w:gridCol w:w="1750"/>
        <w:gridCol w:w="2947"/>
        <w:gridCol w:w="2853"/>
        <w:gridCol w:w="2635"/>
        <w:gridCol w:w="987"/>
        <w:gridCol w:w="1727"/>
      </w:tblGrid>
      <w:tr>
        <w:trPr>
          <w:trHeight w:val="320" w:hRule="atLeast"/>
        </w:trPr>
        <w:tc>
          <w:tcPr>
            <w:tcW w:w="441" w:type="dxa"/>
            <w:vAlign w:val="top"/>
            <w:vMerge w:val="restart"/>
            <w:textDirection w:val="tbRlV"/>
            <w:tcBorders>
              <w:top w:val="single" w:color="000000" w:sz="10" w:space="0"/>
              <w:left w:val="nil"/>
              <w:bottom w:val="nil"/>
            </w:tcBorders>
          </w:tcPr>
          <w:p>
            <w:pPr>
              <w:pStyle w:val="TableText"/>
              <w:ind w:left="211"/>
              <w:spacing w:before="114" w:line="210" w:lineRule="auto"/>
              <w:rPr/>
            </w:pPr>
            <w:r>
              <w:rPr>
                <w:spacing w:val="13"/>
              </w:rPr>
              <w:t>时</w:t>
            </w:r>
            <w:r>
              <w:rPr>
                <w:spacing w:val="-2"/>
              </w:rPr>
              <w:t xml:space="preserve"> </w:t>
            </w:r>
            <w:r>
              <w:rPr>
                <w:spacing w:val="13"/>
              </w:rPr>
              <w:t>期</w:t>
            </w:r>
          </w:p>
        </w:tc>
        <w:tc>
          <w:tcPr>
            <w:tcW w:w="834" w:type="dxa"/>
            <w:vAlign w:val="top"/>
            <w:vMerge w:val="restart"/>
            <w:tcBorders>
              <w:top w:val="single" w:color="000000" w:sz="10" w:space="0"/>
              <w:bottom w:val="nil"/>
            </w:tcBorders>
          </w:tcPr>
          <w:p>
            <w:pPr>
              <w:pStyle w:val="TableText"/>
              <w:ind w:left="222"/>
              <w:spacing w:before="55" w:line="231" w:lineRule="auto"/>
              <w:rPr/>
            </w:pPr>
            <w:r>
              <w:rPr>
                <w:spacing w:val="-1"/>
              </w:rPr>
              <w:t>污染</w:t>
            </w:r>
          </w:p>
          <w:p>
            <w:pPr>
              <w:pStyle w:val="TableText"/>
              <w:ind w:left="326" w:right="206" w:hanging="107"/>
              <w:spacing w:before="62" w:line="260" w:lineRule="auto"/>
              <w:rPr/>
            </w:pPr>
            <w:r>
              <w:rPr>
                <w:spacing w:val="1"/>
              </w:rPr>
              <w:t>物类</w:t>
            </w:r>
            <w:r>
              <w:rPr/>
              <w:t>别</w:t>
            </w:r>
          </w:p>
        </w:tc>
        <w:tc>
          <w:tcPr>
            <w:tcW w:w="1750" w:type="dxa"/>
            <w:vAlign w:val="top"/>
            <w:vMerge w:val="restart"/>
            <w:tcBorders>
              <w:top w:val="single" w:color="000000" w:sz="10" w:space="0"/>
              <w:bottom w:val="nil"/>
            </w:tcBorders>
          </w:tcPr>
          <w:p>
            <w:pPr>
              <w:spacing w:line="300" w:lineRule="auto"/>
              <w:rPr>
                <w:rFonts w:ascii="Arial"/>
                <w:sz w:val="21"/>
              </w:rPr>
            </w:pPr>
            <w:r/>
          </w:p>
          <w:p>
            <w:pPr>
              <w:pStyle w:val="TableText"/>
              <w:ind w:left="576"/>
              <w:spacing w:before="65" w:line="231" w:lineRule="auto"/>
              <w:rPr/>
            </w:pPr>
            <w:r>
              <w:rPr>
                <w:spacing w:val="3"/>
              </w:rPr>
              <w:t>污染源</w:t>
            </w:r>
          </w:p>
        </w:tc>
        <w:tc>
          <w:tcPr>
            <w:tcW w:w="8435" w:type="dxa"/>
            <w:vAlign w:val="top"/>
            <w:gridSpan w:val="3"/>
            <w:tcBorders>
              <w:top w:val="single" w:color="000000" w:sz="10" w:space="0"/>
            </w:tcBorders>
          </w:tcPr>
          <w:p>
            <w:pPr>
              <w:pStyle w:val="TableText"/>
              <w:ind w:left="3806"/>
              <w:spacing w:before="55" w:line="231" w:lineRule="auto"/>
              <w:rPr/>
            </w:pPr>
            <w:r>
              <w:rPr>
                <w:spacing w:val="6"/>
              </w:rPr>
              <w:t>验收内容</w:t>
            </w:r>
          </w:p>
        </w:tc>
        <w:tc>
          <w:tcPr>
            <w:tcW w:w="987" w:type="dxa"/>
            <w:vAlign w:val="top"/>
            <w:vMerge w:val="restart"/>
            <w:tcBorders>
              <w:top w:val="single" w:color="000000" w:sz="10" w:space="0"/>
              <w:bottom w:val="nil"/>
            </w:tcBorders>
          </w:tcPr>
          <w:p>
            <w:pPr>
              <w:pStyle w:val="TableText"/>
              <w:ind w:left="400" w:right="177" w:hanging="210"/>
              <w:spacing w:before="212" w:line="291" w:lineRule="auto"/>
              <w:rPr/>
            </w:pPr>
            <w:r>
              <w:rPr>
                <w:spacing w:val="4"/>
              </w:rPr>
              <w:t>采样位</w:t>
            </w:r>
            <w:r>
              <w:rPr/>
              <w:t>置</w:t>
            </w:r>
          </w:p>
        </w:tc>
        <w:tc>
          <w:tcPr>
            <w:tcW w:w="1727" w:type="dxa"/>
            <w:vAlign w:val="top"/>
            <w:vMerge w:val="restart"/>
            <w:tcBorders>
              <w:top w:val="single" w:color="000000" w:sz="10" w:space="0"/>
              <w:right w:val="nil"/>
              <w:bottom w:val="nil"/>
            </w:tcBorders>
          </w:tcPr>
          <w:p>
            <w:pPr>
              <w:spacing w:line="300" w:lineRule="auto"/>
              <w:rPr>
                <w:rFonts w:ascii="Arial"/>
                <w:sz w:val="21"/>
              </w:rPr>
            </w:pPr>
            <w:r/>
          </w:p>
          <w:p>
            <w:pPr>
              <w:pStyle w:val="TableText"/>
              <w:ind w:left="454"/>
              <w:spacing w:before="65" w:line="231" w:lineRule="auto"/>
              <w:rPr/>
            </w:pPr>
            <w:r>
              <w:rPr>
                <w:spacing w:val="6"/>
              </w:rPr>
              <w:t>验收内容</w:t>
            </w:r>
          </w:p>
        </w:tc>
      </w:tr>
      <w:tr>
        <w:trPr>
          <w:trHeight w:val="617" w:hRule="atLeast"/>
        </w:trPr>
        <w:tc>
          <w:tcPr>
            <w:tcW w:w="441" w:type="dxa"/>
            <w:vAlign w:val="top"/>
            <w:vMerge w:val="continue"/>
            <w:textDirection w:val="tbRlV"/>
            <w:tcBorders>
              <w:top w:val="nil"/>
              <w:left w:val="nil"/>
            </w:tcBorders>
          </w:tcPr>
          <w:p>
            <w:pPr>
              <w:rPr>
                <w:rFonts w:ascii="Arial"/>
                <w:sz w:val="21"/>
              </w:rPr>
            </w:pPr>
            <w:r/>
          </w:p>
        </w:tc>
        <w:tc>
          <w:tcPr>
            <w:tcW w:w="834" w:type="dxa"/>
            <w:vAlign w:val="top"/>
            <w:vMerge w:val="continue"/>
            <w:tcBorders>
              <w:top w:val="nil"/>
            </w:tcBorders>
          </w:tcPr>
          <w:p>
            <w:pPr>
              <w:rPr>
                <w:rFonts w:ascii="Arial"/>
                <w:sz w:val="21"/>
              </w:rPr>
            </w:pPr>
            <w:r/>
          </w:p>
        </w:tc>
        <w:tc>
          <w:tcPr>
            <w:tcW w:w="1750" w:type="dxa"/>
            <w:vAlign w:val="top"/>
            <w:vMerge w:val="continue"/>
            <w:tcBorders>
              <w:top w:val="nil"/>
            </w:tcBorders>
          </w:tcPr>
          <w:p>
            <w:pPr>
              <w:rPr>
                <w:rFonts w:ascii="Arial"/>
                <w:sz w:val="21"/>
              </w:rPr>
            </w:pPr>
            <w:r/>
          </w:p>
        </w:tc>
        <w:tc>
          <w:tcPr>
            <w:tcW w:w="2947" w:type="dxa"/>
            <w:vAlign w:val="top"/>
          </w:tcPr>
          <w:p>
            <w:pPr>
              <w:pStyle w:val="TableText"/>
              <w:ind w:left="1064"/>
              <w:spacing w:before="202" w:line="232" w:lineRule="auto"/>
              <w:rPr/>
            </w:pPr>
            <w:r>
              <w:rPr>
                <w:spacing w:val="5"/>
              </w:rPr>
              <w:t>处置方式</w:t>
            </w:r>
          </w:p>
        </w:tc>
        <w:tc>
          <w:tcPr>
            <w:tcW w:w="2853" w:type="dxa"/>
            <w:vAlign w:val="top"/>
          </w:tcPr>
          <w:p>
            <w:pPr>
              <w:pStyle w:val="TableText"/>
              <w:ind w:left="498"/>
              <w:spacing w:before="203" w:line="231" w:lineRule="auto"/>
              <w:rPr/>
            </w:pPr>
            <w:r>
              <w:rPr>
                <w:spacing w:val="7"/>
              </w:rPr>
              <w:t>监测因子和标准要求</w:t>
            </w:r>
          </w:p>
        </w:tc>
        <w:tc>
          <w:tcPr>
            <w:tcW w:w="2635" w:type="dxa"/>
            <w:vAlign w:val="top"/>
          </w:tcPr>
          <w:p>
            <w:pPr>
              <w:pStyle w:val="TableText"/>
              <w:ind w:left="908"/>
              <w:spacing w:before="203" w:line="231" w:lineRule="auto"/>
              <w:rPr/>
            </w:pPr>
            <w:r>
              <w:rPr>
                <w:spacing w:val="6"/>
              </w:rPr>
              <w:t>验收标准</w:t>
            </w:r>
          </w:p>
        </w:tc>
        <w:tc>
          <w:tcPr>
            <w:tcW w:w="987" w:type="dxa"/>
            <w:vAlign w:val="top"/>
            <w:vMerge w:val="continue"/>
            <w:tcBorders>
              <w:top w:val="nil"/>
            </w:tcBorders>
          </w:tcPr>
          <w:p>
            <w:pPr>
              <w:rPr>
                <w:rFonts w:ascii="Arial"/>
                <w:sz w:val="21"/>
              </w:rPr>
            </w:pPr>
            <w:r/>
          </w:p>
        </w:tc>
        <w:tc>
          <w:tcPr>
            <w:tcW w:w="1727" w:type="dxa"/>
            <w:vAlign w:val="top"/>
            <w:vMerge w:val="continue"/>
            <w:tcBorders>
              <w:top w:val="nil"/>
              <w:right w:val="nil"/>
            </w:tcBorders>
          </w:tcPr>
          <w:p>
            <w:pPr>
              <w:rPr>
                <w:rFonts w:ascii="Arial"/>
                <w:sz w:val="21"/>
              </w:rPr>
            </w:pPr>
            <w:r/>
          </w:p>
        </w:tc>
      </w:tr>
      <w:tr>
        <w:trPr>
          <w:trHeight w:val="938" w:hRule="atLeast"/>
        </w:trPr>
        <w:tc>
          <w:tcPr>
            <w:tcW w:w="441" w:type="dxa"/>
            <w:vAlign w:val="top"/>
            <w:vMerge w:val="restart"/>
            <w:textDirection w:val="tbRlV"/>
            <w:tcBorders>
              <w:left w:val="nil"/>
              <w:bottom w:val="nil"/>
            </w:tcBorders>
          </w:tcPr>
          <w:p>
            <w:pPr>
              <w:pStyle w:val="TableText"/>
              <w:ind w:left="1631"/>
              <w:spacing w:before="114" w:line="210" w:lineRule="auto"/>
              <w:rPr/>
            </w:pPr>
            <w:r>
              <w:rPr>
                <w:spacing w:val="-10"/>
              </w:rPr>
              <w:t>施</w:t>
            </w:r>
            <w:r>
              <w:rPr>
                <w:spacing w:val="31"/>
              </w:rPr>
              <w:t xml:space="preserve"> </w:t>
            </w:r>
            <w:r>
              <w:rPr>
                <w:spacing w:val="-10"/>
              </w:rPr>
              <w:t>工</w:t>
            </w:r>
            <w:r>
              <w:rPr>
                <w:spacing w:val="35"/>
              </w:rPr>
              <w:t xml:space="preserve"> </w:t>
            </w:r>
            <w:r>
              <w:rPr>
                <w:spacing w:val="-10"/>
              </w:rPr>
              <w:t>期</w:t>
            </w:r>
          </w:p>
        </w:tc>
        <w:tc>
          <w:tcPr>
            <w:tcW w:w="2584" w:type="dxa"/>
            <w:vAlign w:val="top"/>
            <w:gridSpan w:val="2"/>
          </w:tcPr>
          <w:p>
            <w:pPr>
              <w:pStyle w:val="TableText"/>
              <w:ind w:left="148"/>
              <w:spacing w:before="53" w:line="232" w:lineRule="auto"/>
              <w:rPr/>
            </w:pPr>
            <w:r>
              <w:rPr>
                <w:spacing w:val="8"/>
              </w:rPr>
              <w:t>施工扬尘、巷道掘进及爆</w:t>
            </w:r>
          </w:p>
          <w:p>
            <w:pPr>
              <w:pStyle w:val="TableText"/>
              <w:ind w:right="11"/>
              <w:spacing w:before="60" w:line="229" w:lineRule="auto"/>
              <w:jc w:val="right"/>
              <w:rPr/>
            </w:pPr>
            <w:r>
              <w:rPr>
                <w:spacing w:val="3"/>
              </w:rPr>
              <w:t>破扬尘、材料运输和装卸、</w:t>
            </w:r>
          </w:p>
          <w:p>
            <w:pPr>
              <w:pStyle w:val="TableText"/>
              <w:ind w:left="462"/>
              <w:spacing w:before="64" w:line="228" w:lineRule="auto"/>
              <w:rPr/>
            </w:pPr>
            <w:r>
              <w:rPr>
                <w:spacing w:val="8"/>
              </w:rPr>
              <w:t>施工机械车辆尾气</w:t>
            </w:r>
          </w:p>
        </w:tc>
        <w:tc>
          <w:tcPr>
            <w:tcW w:w="5800" w:type="dxa"/>
            <w:vAlign w:val="top"/>
            <w:gridSpan w:val="2"/>
          </w:tcPr>
          <w:p>
            <w:pPr>
              <w:pStyle w:val="TableText"/>
              <w:ind w:left="117" w:right="105" w:firstLine="420"/>
              <w:spacing w:before="210" w:line="287" w:lineRule="auto"/>
              <w:rPr/>
            </w:pPr>
            <w:r>
              <w:rPr>
                <w:spacing w:val="6"/>
              </w:rPr>
              <w:t>加强管理，施工场地及道路洒水，运输物料遮盖、控制车</w:t>
            </w:r>
            <w:r>
              <w:rPr>
                <w:spacing w:val="9"/>
              </w:rPr>
              <w:t>速等；井巷掘进和爆破作业时对作业面进行洒水降</w:t>
            </w:r>
            <w:r>
              <w:rPr>
                <w:spacing w:val="8"/>
              </w:rPr>
              <w:t>尘：</w:t>
            </w:r>
          </w:p>
        </w:tc>
        <w:tc>
          <w:tcPr>
            <w:tcW w:w="3622" w:type="dxa"/>
            <w:vAlign w:val="top"/>
            <w:gridSpan w:val="2"/>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48"/>
              <w:spacing w:before="65" w:line="231" w:lineRule="auto"/>
              <w:rPr/>
            </w:pPr>
            <w:r>
              <w:rPr>
                <w:spacing w:val="8"/>
              </w:rPr>
              <w:t>不影响周围正常生活环境，不引起环</w:t>
            </w:r>
          </w:p>
          <w:p>
            <w:pPr>
              <w:pStyle w:val="TableText"/>
              <w:ind w:left="143"/>
              <w:spacing w:before="62" w:line="229" w:lineRule="auto"/>
              <w:rPr/>
            </w:pPr>
            <w:r>
              <w:rPr>
                <w:spacing w:val="8"/>
              </w:rPr>
              <w:t>保污染纠纷；施工场地基本上无干燥</w:t>
            </w:r>
          </w:p>
          <w:p>
            <w:pPr>
              <w:pStyle w:val="TableText"/>
              <w:ind w:left="155"/>
              <w:spacing w:before="63" w:line="229" w:lineRule="auto"/>
              <w:rPr/>
            </w:pPr>
            <w:r>
              <w:rPr>
                <w:spacing w:val="8"/>
              </w:rPr>
              <w:t>的可随风飞扬的尘土堆，施工场地整</w:t>
            </w:r>
          </w:p>
          <w:p>
            <w:pPr>
              <w:pStyle w:val="TableText"/>
              <w:ind w:left="145"/>
              <w:spacing w:before="63" w:line="231" w:lineRule="auto"/>
              <w:rPr/>
            </w:pPr>
            <w:r>
              <w:rPr>
                <w:spacing w:val="8"/>
              </w:rPr>
              <w:t>洁有序，基本上无扬尘及其它有害气</w:t>
            </w:r>
          </w:p>
          <w:p>
            <w:pPr>
              <w:pStyle w:val="TableText"/>
              <w:ind w:left="1507"/>
              <w:spacing w:before="61" w:line="231" w:lineRule="auto"/>
              <w:rPr/>
            </w:pPr>
            <w:r>
              <w:rPr>
                <w:spacing w:val="4"/>
              </w:rPr>
              <w:t>体产生</w:t>
            </w:r>
          </w:p>
        </w:tc>
        <w:tc>
          <w:tcPr>
            <w:tcW w:w="1727" w:type="dxa"/>
            <w:vAlign w:val="top"/>
            <w:vMerge w:val="restart"/>
            <w:tcBorders>
              <w:right w:val="nil"/>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39"/>
              <w:spacing w:before="65" w:line="231" w:lineRule="auto"/>
              <w:rPr/>
            </w:pPr>
            <w:r>
              <w:rPr>
                <w:spacing w:val="7"/>
              </w:rPr>
              <w:t>施工期验收内容</w:t>
            </w:r>
          </w:p>
          <w:p>
            <w:pPr>
              <w:pStyle w:val="TableText"/>
              <w:ind w:left="167"/>
              <w:spacing w:before="62" w:line="229" w:lineRule="auto"/>
              <w:rPr/>
            </w:pPr>
            <w:r>
              <w:rPr>
                <w:spacing w:val="4"/>
              </w:rPr>
              <w:t>由环保监理人员</w:t>
            </w:r>
          </w:p>
          <w:p>
            <w:pPr>
              <w:pStyle w:val="TableText"/>
              <w:ind w:left="249"/>
              <w:spacing w:before="63" w:line="231" w:lineRule="auto"/>
              <w:rPr/>
            </w:pPr>
            <w:r>
              <w:rPr>
                <w:spacing w:val="6"/>
              </w:rPr>
              <w:t>负责验收实施</w:t>
            </w:r>
          </w:p>
        </w:tc>
      </w:tr>
      <w:tr>
        <w:trPr>
          <w:trHeight w:val="938" w:hRule="atLeast"/>
        </w:trPr>
        <w:tc>
          <w:tcPr>
            <w:tcW w:w="441" w:type="dxa"/>
            <w:vAlign w:val="top"/>
            <w:vMerge w:val="continue"/>
            <w:textDirection w:val="tbRlV"/>
            <w:tcBorders>
              <w:left w:val="nil"/>
              <w:top w:val="nil"/>
              <w:bottom w:val="nil"/>
            </w:tcBorders>
          </w:tcPr>
          <w:p>
            <w:pPr>
              <w:rPr>
                <w:rFonts w:ascii="Arial"/>
                <w:sz w:val="21"/>
              </w:rPr>
            </w:pPr>
            <w:r/>
          </w:p>
        </w:tc>
        <w:tc>
          <w:tcPr>
            <w:tcW w:w="2584" w:type="dxa"/>
            <w:vAlign w:val="top"/>
            <w:gridSpan w:val="2"/>
          </w:tcPr>
          <w:p>
            <w:pPr>
              <w:spacing w:line="303" w:lineRule="auto"/>
              <w:rPr>
                <w:rFonts w:ascii="Arial"/>
                <w:sz w:val="21"/>
              </w:rPr>
            </w:pPr>
            <w:r/>
          </w:p>
          <w:p>
            <w:pPr>
              <w:pStyle w:val="TableText"/>
              <w:ind w:left="356"/>
              <w:spacing w:before="65" w:line="232" w:lineRule="auto"/>
              <w:rPr/>
            </w:pPr>
            <w:r>
              <w:rPr>
                <w:spacing w:val="8"/>
              </w:rPr>
              <w:t>施工废水、生活污水</w:t>
            </w:r>
          </w:p>
        </w:tc>
        <w:tc>
          <w:tcPr>
            <w:tcW w:w="5800" w:type="dxa"/>
            <w:vAlign w:val="top"/>
            <w:gridSpan w:val="2"/>
          </w:tcPr>
          <w:p>
            <w:pPr>
              <w:pStyle w:val="TableText"/>
              <w:ind w:left="118" w:right="107" w:firstLine="419"/>
              <w:spacing w:before="60" w:line="267" w:lineRule="auto"/>
              <w:jc w:val="both"/>
              <w:rPr/>
            </w:pPr>
            <w:r>
              <w:rPr>
                <w:spacing w:val="6"/>
              </w:rPr>
              <w:t>施工产生的废水及矿井涌水要进行收集和处理，经地</w:t>
            </w:r>
            <w:r>
              <w:rPr>
                <w:spacing w:val="5"/>
              </w:rPr>
              <w:t>表沉</w:t>
            </w:r>
            <w:r>
              <w:rPr>
                <w:spacing w:val="6"/>
              </w:rPr>
              <w:t>淀池沉淀后全部回用或洒水降尘；施工人员产生的生活污水进</w:t>
            </w:r>
            <w:r>
              <w:rPr>
                <w:spacing w:val="8"/>
              </w:rPr>
              <w:t>入临时防渗旱厕内，定期清掏外运积肥，不外排。</w:t>
            </w:r>
          </w:p>
        </w:tc>
        <w:tc>
          <w:tcPr>
            <w:tcW w:w="3622" w:type="dxa"/>
            <w:vAlign w:val="top"/>
            <w:gridSpan w:val="2"/>
            <w:vMerge w:val="continue"/>
            <w:tcBorders>
              <w:top w:val="nil"/>
              <w:bottom w:val="nil"/>
            </w:tcBorders>
          </w:tcPr>
          <w:p>
            <w:pPr>
              <w:rPr>
                <w:rFonts w:ascii="Arial"/>
                <w:sz w:val="21"/>
              </w:rPr>
            </w:pPr>
            <w:r/>
          </w:p>
        </w:tc>
        <w:tc>
          <w:tcPr>
            <w:tcW w:w="1727" w:type="dxa"/>
            <w:vAlign w:val="top"/>
            <w:vMerge w:val="continue"/>
            <w:tcBorders>
              <w:right w:val="nil"/>
              <w:top w:val="nil"/>
              <w:bottom w:val="nil"/>
            </w:tcBorders>
          </w:tcPr>
          <w:p>
            <w:pPr>
              <w:rPr>
                <w:rFonts w:ascii="Arial"/>
                <w:sz w:val="21"/>
              </w:rPr>
            </w:pPr>
            <w:r/>
          </w:p>
        </w:tc>
      </w:tr>
      <w:tr>
        <w:trPr>
          <w:trHeight w:val="938" w:hRule="atLeast"/>
        </w:trPr>
        <w:tc>
          <w:tcPr>
            <w:tcW w:w="441" w:type="dxa"/>
            <w:vAlign w:val="top"/>
            <w:vMerge w:val="continue"/>
            <w:textDirection w:val="tbRlV"/>
            <w:tcBorders>
              <w:left w:val="nil"/>
              <w:top w:val="nil"/>
              <w:bottom w:val="nil"/>
            </w:tcBorders>
          </w:tcPr>
          <w:p>
            <w:pPr>
              <w:rPr>
                <w:rFonts w:ascii="Arial"/>
                <w:sz w:val="21"/>
              </w:rPr>
            </w:pPr>
            <w:r/>
          </w:p>
        </w:tc>
        <w:tc>
          <w:tcPr>
            <w:tcW w:w="2584" w:type="dxa"/>
            <w:vAlign w:val="top"/>
            <w:gridSpan w:val="2"/>
          </w:tcPr>
          <w:p>
            <w:pPr>
              <w:spacing w:line="307" w:lineRule="auto"/>
              <w:rPr>
                <w:rFonts w:ascii="Arial"/>
                <w:sz w:val="21"/>
              </w:rPr>
            </w:pPr>
            <w:r/>
          </w:p>
          <w:p>
            <w:pPr>
              <w:pStyle w:val="TableText"/>
              <w:ind w:left="463"/>
              <w:spacing w:before="65" w:line="229" w:lineRule="auto"/>
              <w:rPr/>
            </w:pPr>
            <w:r>
              <w:rPr>
                <w:spacing w:val="7"/>
              </w:rPr>
              <w:t>建设施工机械噪声</w:t>
            </w:r>
          </w:p>
        </w:tc>
        <w:tc>
          <w:tcPr>
            <w:tcW w:w="5800" w:type="dxa"/>
            <w:vAlign w:val="top"/>
            <w:gridSpan w:val="2"/>
          </w:tcPr>
          <w:p>
            <w:pPr>
              <w:pStyle w:val="TableText"/>
              <w:ind w:left="118" w:right="105" w:firstLine="420"/>
              <w:spacing w:before="60" w:line="267" w:lineRule="auto"/>
              <w:jc w:val="both"/>
              <w:rPr/>
            </w:pPr>
            <w:r>
              <w:rPr>
                <w:spacing w:val="6"/>
              </w:rPr>
              <w:t>夜间不施工，使用低噪声机械设备，并设专人对其进行保</w:t>
            </w:r>
            <w:r>
              <w:rPr>
                <w:spacing w:val="6"/>
              </w:rPr>
              <w:t>养维修；安排施工计划时避免同一地点集中使用过多高噪声设</w:t>
            </w:r>
            <w:r>
              <w:rPr>
                <w:spacing w:val="6"/>
              </w:rPr>
              <w:t>备；建筑材料及设备运输车辆过村庄时，降低车速，禁止鸣笛</w:t>
            </w:r>
          </w:p>
        </w:tc>
        <w:tc>
          <w:tcPr>
            <w:tcW w:w="3622" w:type="dxa"/>
            <w:vAlign w:val="top"/>
            <w:gridSpan w:val="2"/>
            <w:vMerge w:val="continue"/>
            <w:tcBorders>
              <w:top w:val="nil"/>
              <w:bottom w:val="nil"/>
            </w:tcBorders>
          </w:tcPr>
          <w:p>
            <w:pPr>
              <w:rPr>
                <w:rFonts w:ascii="Arial"/>
                <w:sz w:val="21"/>
              </w:rPr>
            </w:pPr>
            <w:r/>
          </w:p>
        </w:tc>
        <w:tc>
          <w:tcPr>
            <w:tcW w:w="1727" w:type="dxa"/>
            <w:vAlign w:val="top"/>
            <w:vMerge w:val="continue"/>
            <w:tcBorders>
              <w:right w:val="nil"/>
              <w:top w:val="nil"/>
              <w:bottom w:val="nil"/>
            </w:tcBorders>
          </w:tcPr>
          <w:p>
            <w:pPr>
              <w:rPr>
                <w:rFonts w:ascii="Arial"/>
                <w:sz w:val="21"/>
              </w:rPr>
            </w:pPr>
            <w:r/>
          </w:p>
        </w:tc>
      </w:tr>
      <w:tr>
        <w:trPr>
          <w:trHeight w:val="1249" w:hRule="atLeast"/>
        </w:trPr>
        <w:tc>
          <w:tcPr>
            <w:tcW w:w="441" w:type="dxa"/>
            <w:vAlign w:val="top"/>
            <w:vMerge w:val="continue"/>
            <w:textDirection w:val="tbRlV"/>
            <w:tcBorders>
              <w:left w:val="nil"/>
              <w:top w:val="nil"/>
            </w:tcBorders>
          </w:tcPr>
          <w:p>
            <w:pPr>
              <w:rPr>
                <w:rFonts w:ascii="Arial"/>
                <w:sz w:val="21"/>
              </w:rPr>
            </w:pPr>
            <w:r/>
          </w:p>
        </w:tc>
        <w:tc>
          <w:tcPr>
            <w:tcW w:w="2584" w:type="dxa"/>
            <w:vAlign w:val="top"/>
            <w:gridSpan w:val="2"/>
          </w:tcPr>
          <w:p>
            <w:pPr>
              <w:pStyle w:val="TableText"/>
              <w:ind w:left="148"/>
              <w:spacing w:before="220" w:line="231" w:lineRule="auto"/>
              <w:rPr/>
            </w:pPr>
            <w:r>
              <w:rPr>
                <w:spacing w:val="9"/>
              </w:rPr>
              <w:t>施工废石及剥离表土、施</w:t>
            </w:r>
          </w:p>
          <w:p>
            <w:pPr>
              <w:pStyle w:val="TableText"/>
              <w:ind w:left="153"/>
              <w:spacing w:before="62" w:line="232" w:lineRule="auto"/>
              <w:rPr/>
            </w:pPr>
            <w:r>
              <w:rPr>
                <w:spacing w:val="8"/>
              </w:rPr>
              <w:t>工建筑垃圾及施工人员生</w:t>
            </w:r>
          </w:p>
          <w:p>
            <w:pPr>
              <w:pStyle w:val="TableText"/>
              <w:ind w:left="994"/>
              <w:spacing w:before="60" w:line="232" w:lineRule="auto"/>
              <w:rPr/>
            </w:pPr>
            <w:r>
              <w:rPr>
                <w:spacing w:val="3"/>
              </w:rPr>
              <w:t>活垃圾</w:t>
            </w:r>
          </w:p>
        </w:tc>
        <w:tc>
          <w:tcPr>
            <w:tcW w:w="5800" w:type="dxa"/>
            <w:vAlign w:val="top"/>
            <w:gridSpan w:val="2"/>
          </w:tcPr>
          <w:p>
            <w:pPr>
              <w:pStyle w:val="TableText"/>
              <w:ind w:left="118" w:right="105" w:firstLine="420"/>
              <w:spacing w:before="64" w:line="271" w:lineRule="auto"/>
              <w:jc w:val="both"/>
              <w:rPr/>
            </w:pPr>
            <w:r>
              <w:rPr>
                <w:spacing w:val="6"/>
              </w:rPr>
              <w:t>将剥离的表土部分用于场地平整后覆土，余下部分堆存于</w:t>
            </w:r>
            <w:r>
              <w:rPr>
                <w:spacing w:val="6"/>
              </w:rPr>
              <w:t>临时表土堆场中，用于结束期后的矿山环境恢复治理：基建废</w:t>
            </w:r>
            <w:r>
              <w:rPr>
                <w:spacing w:val="6"/>
              </w:rPr>
              <w:t>石不出坑，用于回填空区：建筑垃圾拉运至当地人民政府指定</w:t>
            </w:r>
            <w:r>
              <w:rPr>
                <w:spacing w:val="9"/>
              </w:rPr>
              <w:t>建筑垃圾填埋场处理，生活垃圾定期交环卫部门处</w:t>
            </w:r>
            <w:r>
              <w:rPr>
                <w:spacing w:val="8"/>
              </w:rPr>
              <w:t>理：</w:t>
            </w:r>
          </w:p>
        </w:tc>
        <w:tc>
          <w:tcPr>
            <w:tcW w:w="3622" w:type="dxa"/>
            <w:vAlign w:val="top"/>
            <w:gridSpan w:val="2"/>
            <w:vMerge w:val="continue"/>
            <w:tcBorders>
              <w:top w:val="nil"/>
            </w:tcBorders>
          </w:tcPr>
          <w:p>
            <w:pPr>
              <w:rPr>
                <w:rFonts w:ascii="Arial"/>
                <w:sz w:val="21"/>
              </w:rPr>
            </w:pPr>
            <w:r/>
          </w:p>
        </w:tc>
        <w:tc>
          <w:tcPr>
            <w:tcW w:w="1727" w:type="dxa"/>
            <w:vAlign w:val="top"/>
            <w:vMerge w:val="continue"/>
            <w:tcBorders>
              <w:right w:val="nil"/>
              <w:top w:val="nil"/>
            </w:tcBorders>
          </w:tcPr>
          <w:p>
            <w:pPr>
              <w:rPr>
                <w:rFonts w:ascii="Arial"/>
                <w:sz w:val="21"/>
              </w:rPr>
            </w:pPr>
            <w:r/>
          </w:p>
        </w:tc>
      </w:tr>
      <w:tr>
        <w:trPr>
          <w:trHeight w:val="1158" w:hRule="atLeast"/>
        </w:trPr>
        <w:tc>
          <w:tcPr>
            <w:tcW w:w="441" w:type="dxa"/>
            <w:vAlign w:val="top"/>
            <w:vMerge w:val="restart"/>
            <w:textDirection w:val="tbRlV"/>
            <w:tcBorders>
              <w:bottom w:val="nil"/>
              <w:left w:val="nil"/>
            </w:tcBorders>
          </w:tcPr>
          <w:p>
            <w:pPr>
              <w:pStyle w:val="TableText"/>
              <w:ind w:left="915"/>
              <w:spacing w:before="114" w:line="210" w:lineRule="auto"/>
              <w:rPr/>
            </w:pPr>
            <w:r>
              <w:rPr>
                <w:spacing w:val="13"/>
              </w:rPr>
              <w:t>运</w:t>
            </w:r>
            <w:r>
              <w:rPr>
                <w:spacing w:val="-1"/>
              </w:rPr>
              <w:t xml:space="preserve"> </w:t>
            </w:r>
            <w:r>
              <w:rPr>
                <w:spacing w:val="13"/>
              </w:rPr>
              <w:t>营</w:t>
            </w:r>
            <w:r>
              <w:rPr>
                <w:spacing w:val="-2"/>
              </w:rPr>
              <w:t xml:space="preserve"> </w:t>
            </w:r>
            <w:r>
              <w:rPr>
                <w:spacing w:val="13"/>
              </w:rPr>
              <w:t>期</w:t>
            </w:r>
          </w:p>
        </w:tc>
        <w:tc>
          <w:tcPr>
            <w:tcW w:w="834" w:type="dxa"/>
            <w:vAlign w:val="top"/>
            <w:vMerge w:val="restart"/>
            <w:tcBorders>
              <w:bottom w:val="nil"/>
            </w:tcBorders>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220"/>
              <w:spacing w:before="65" w:line="232" w:lineRule="auto"/>
              <w:rPr/>
            </w:pPr>
            <w:r>
              <w:rPr/>
              <w:t>废水</w:t>
            </w:r>
          </w:p>
        </w:tc>
        <w:tc>
          <w:tcPr>
            <w:tcW w:w="1750" w:type="dxa"/>
            <w:vAlign w:val="top"/>
          </w:tcPr>
          <w:p>
            <w:pPr>
              <w:spacing w:line="267" w:lineRule="auto"/>
              <w:rPr>
                <w:rFonts w:ascii="Arial"/>
                <w:sz w:val="21"/>
              </w:rPr>
            </w:pPr>
            <w:r/>
          </w:p>
          <w:p>
            <w:pPr>
              <w:pStyle w:val="TableText"/>
              <w:ind w:left="677" w:right="137" w:hanging="513"/>
              <w:spacing w:before="65" w:line="289" w:lineRule="auto"/>
              <w:rPr/>
            </w:pPr>
            <w:r>
              <w:rPr>
                <w:spacing w:val="6"/>
              </w:rPr>
              <w:t>生活污水、食堂</w:t>
            </w:r>
            <w:r>
              <w:rPr/>
              <w:t>废水</w:t>
            </w:r>
          </w:p>
        </w:tc>
        <w:tc>
          <w:tcPr>
            <w:tcW w:w="5800" w:type="dxa"/>
            <w:vAlign w:val="top"/>
            <w:gridSpan w:val="2"/>
          </w:tcPr>
          <w:p>
            <w:pPr>
              <w:pStyle w:val="TableText"/>
              <w:ind w:left="119" w:right="107" w:firstLine="431"/>
              <w:spacing w:before="179" w:line="289" w:lineRule="auto"/>
              <w:jc w:val="both"/>
              <w:rPr/>
            </w:pPr>
            <w:r>
              <w:rPr>
                <w:spacing w:val="14"/>
              </w:rPr>
              <w:t>生活污水与经隔油池处理后的食堂废水排入厂区防渗储</w:t>
            </w:r>
            <w:r>
              <w:rPr>
                <w:spacing w:val="6"/>
              </w:rPr>
              <w:t>池内，定期运至内蒙古锡林郭勒盟苏尼特右旗赛汉塔拉镇污水</w:t>
            </w:r>
            <w:r>
              <w:rPr>
                <w:spacing w:val="6"/>
              </w:rPr>
              <w:t>处理厂处理</w:t>
            </w:r>
          </w:p>
        </w:tc>
        <w:tc>
          <w:tcPr>
            <w:tcW w:w="2635" w:type="dxa"/>
            <w:vAlign w:val="top"/>
          </w:tcPr>
          <w:p>
            <w:pPr>
              <w:pStyle w:val="TableText"/>
              <w:ind w:left="277"/>
              <w:spacing w:before="178" w:line="231" w:lineRule="auto"/>
              <w:rPr/>
            </w:pPr>
            <w:r>
              <w:rPr>
                <w:spacing w:val="7"/>
              </w:rPr>
              <w:t>《污水综合排放标准》</w:t>
            </w:r>
          </w:p>
          <w:p>
            <w:pPr>
              <w:pStyle w:val="TableText"/>
              <w:ind w:left="123"/>
              <w:spacing w:before="61" w:line="231" w:lineRule="auto"/>
              <w:rPr/>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8978-1996</w:t>
            </w:r>
            <w:r>
              <w:rPr>
                <w:spacing w:val="3"/>
              </w:rPr>
              <w:t>）中三级排</w:t>
            </w:r>
          </w:p>
          <w:p>
            <w:pPr>
              <w:pStyle w:val="TableText"/>
              <w:ind w:left="1015"/>
              <w:spacing w:before="61" w:line="231" w:lineRule="auto"/>
              <w:rPr/>
            </w:pPr>
            <w:r>
              <w:rPr>
                <w:spacing w:val="4"/>
              </w:rPr>
              <w:t>放限值</w:t>
            </w:r>
          </w:p>
        </w:tc>
        <w:tc>
          <w:tcPr>
            <w:tcW w:w="987" w:type="dxa"/>
            <w:vAlign w:val="top"/>
          </w:tcPr>
          <w:p>
            <w:pPr>
              <w:spacing w:line="267" w:lineRule="auto"/>
              <w:rPr>
                <w:rFonts w:ascii="Arial"/>
                <w:sz w:val="21"/>
              </w:rPr>
            </w:pPr>
            <w:r/>
          </w:p>
          <w:p>
            <w:pPr>
              <w:pStyle w:val="TableText"/>
              <w:ind w:left="403" w:right="177" w:hanging="201"/>
              <w:spacing w:before="65" w:line="294" w:lineRule="auto"/>
              <w:rPr/>
            </w:pPr>
            <w:r>
              <w:rPr/>
              <w:t>防渗储</w:t>
            </w:r>
            <w:r>
              <w:rPr/>
              <w:t>池</w:t>
            </w:r>
          </w:p>
        </w:tc>
        <w:tc>
          <w:tcPr>
            <w:tcW w:w="1727" w:type="dxa"/>
            <w:vAlign w:val="top"/>
            <w:vMerge w:val="restart"/>
            <w:tcBorders>
              <w:bottom w:val="nil"/>
              <w:right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55" w:right="129" w:hanging="315"/>
              <w:spacing w:before="65" w:line="288" w:lineRule="auto"/>
              <w:rPr/>
            </w:pPr>
            <w:r>
              <w:rPr>
                <w:spacing w:val="7"/>
              </w:rPr>
              <w:t>措施及相关设施</w:t>
            </w:r>
            <w:r>
              <w:rPr>
                <w:spacing w:val="5"/>
              </w:rPr>
              <w:t>是否落实</w:t>
            </w:r>
          </w:p>
        </w:tc>
      </w:tr>
      <w:tr>
        <w:trPr>
          <w:trHeight w:val="316" w:hRule="atLeast"/>
        </w:trPr>
        <w:tc>
          <w:tcPr>
            <w:tcW w:w="441" w:type="dxa"/>
            <w:vAlign w:val="top"/>
            <w:vMerge w:val="continue"/>
            <w:textDirection w:val="tbRlV"/>
            <w:tcBorders>
              <w:bottom w:val="nil"/>
              <w:left w:val="nil"/>
              <w:top w:val="nil"/>
            </w:tcBorders>
          </w:tcPr>
          <w:p>
            <w:pPr>
              <w:rPr>
                <w:rFonts w:ascii="Arial"/>
                <w:sz w:val="21"/>
              </w:rPr>
            </w:pPr>
            <w:r/>
          </w:p>
        </w:tc>
        <w:tc>
          <w:tcPr>
            <w:tcW w:w="834" w:type="dxa"/>
            <w:vAlign w:val="top"/>
            <w:vMerge w:val="continue"/>
            <w:tcBorders>
              <w:bottom w:val="nil"/>
              <w:top w:val="nil"/>
            </w:tcBorders>
          </w:tcPr>
          <w:p>
            <w:pPr>
              <w:rPr>
                <w:rFonts w:ascii="Arial"/>
                <w:sz w:val="21"/>
              </w:rPr>
            </w:pPr>
            <w:r/>
          </w:p>
        </w:tc>
        <w:tc>
          <w:tcPr>
            <w:tcW w:w="1750" w:type="dxa"/>
            <w:vAlign w:val="top"/>
          </w:tcPr>
          <w:p>
            <w:pPr>
              <w:pStyle w:val="TableText"/>
              <w:ind w:left="466"/>
              <w:spacing w:before="72" w:line="216" w:lineRule="auto"/>
              <w:rPr/>
            </w:pPr>
            <w:r>
              <w:rPr>
                <w:spacing w:val="5"/>
              </w:rPr>
              <w:t>矿井涌水</w:t>
            </w:r>
          </w:p>
        </w:tc>
        <w:tc>
          <w:tcPr>
            <w:tcW w:w="5800" w:type="dxa"/>
            <w:vAlign w:val="top"/>
            <w:gridSpan w:val="2"/>
            <w:vMerge w:val="restart"/>
            <w:tcBorders>
              <w:bottom w:val="nil"/>
            </w:tcBorders>
          </w:tcPr>
          <w:p>
            <w:pPr>
              <w:pStyle w:val="TableText"/>
              <w:ind w:left="117" w:right="59" w:firstLine="422"/>
              <w:spacing w:before="180" w:line="288" w:lineRule="auto"/>
              <w:jc w:val="both"/>
              <w:rPr/>
            </w:pPr>
            <w:r>
              <w:rPr>
                <w:spacing w:val="14"/>
              </w:rPr>
              <w:t>采矿矿井涌水经井下水仓沉淀后由泵房集中排至地表高</w:t>
            </w:r>
            <w:r>
              <w:rPr>
                <w:spacing w:val="8"/>
              </w:rPr>
              <w:t>位水池后经沉淀后部分回用于井下凿岩、爆破降尘、各堆场、</w:t>
            </w:r>
            <w:r>
              <w:rPr>
                <w:spacing w:val="6"/>
              </w:rPr>
              <w:t>道路降尘，部分排入回水池中与选矿废水经混凝沉淀后进入蓄</w:t>
            </w:r>
            <w:r>
              <w:rPr>
                <w:spacing w:val="8"/>
              </w:rPr>
              <w:t>水池内回用于选矿用水，不外排。</w:t>
            </w:r>
          </w:p>
        </w:tc>
        <w:tc>
          <w:tcPr>
            <w:tcW w:w="2635" w:type="dxa"/>
            <w:vAlign w:val="top"/>
          </w:tcPr>
          <w:p>
            <w:pPr>
              <w:ind w:left="1286"/>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87" w:type="dxa"/>
            <w:vAlign w:val="top"/>
          </w:tcPr>
          <w:p>
            <w:pPr>
              <w:ind w:left="460"/>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27" w:type="dxa"/>
            <w:vAlign w:val="top"/>
            <w:vMerge w:val="continue"/>
            <w:tcBorders>
              <w:bottom w:val="nil"/>
              <w:right w:val="nil"/>
              <w:top w:val="nil"/>
            </w:tcBorders>
          </w:tcPr>
          <w:p>
            <w:pPr>
              <w:rPr>
                <w:rFonts w:ascii="Arial"/>
                <w:sz w:val="21"/>
              </w:rPr>
            </w:pPr>
            <w:r/>
          </w:p>
        </w:tc>
      </w:tr>
      <w:tr>
        <w:trPr>
          <w:trHeight w:val="1164" w:hRule="atLeast"/>
        </w:trPr>
        <w:tc>
          <w:tcPr>
            <w:tcW w:w="441" w:type="dxa"/>
            <w:vAlign w:val="top"/>
            <w:vMerge w:val="continue"/>
            <w:textDirection w:val="tbRlV"/>
            <w:tcBorders>
              <w:bottom w:val="single" w:color="000000" w:sz="10" w:space="0"/>
              <w:left w:val="nil"/>
              <w:top w:val="nil"/>
            </w:tcBorders>
          </w:tcPr>
          <w:p>
            <w:pPr>
              <w:rPr>
                <w:rFonts w:ascii="Arial"/>
                <w:sz w:val="21"/>
              </w:rPr>
            </w:pPr>
            <w:r/>
          </w:p>
        </w:tc>
        <w:tc>
          <w:tcPr>
            <w:tcW w:w="834" w:type="dxa"/>
            <w:vAlign w:val="top"/>
            <w:vMerge w:val="continue"/>
            <w:tcBorders>
              <w:bottom w:val="single" w:color="000000" w:sz="10" w:space="0"/>
              <w:top w:val="nil"/>
            </w:tcBorders>
          </w:tcPr>
          <w:p>
            <w:pPr>
              <w:rPr>
                <w:rFonts w:ascii="Arial"/>
                <w:sz w:val="21"/>
              </w:rPr>
            </w:pPr>
            <w:r/>
          </w:p>
        </w:tc>
        <w:tc>
          <w:tcPr>
            <w:tcW w:w="1750" w:type="dxa"/>
            <w:vAlign w:val="top"/>
            <w:tcBorders>
              <w:bottom w:val="single" w:color="000000" w:sz="10" w:space="0"/>
            </w:tcBorders>
          </w:tcPr>
          <w:p>
            <w:pPr>
              <w:pStyle w:val="TableText"/>
              <w:ind w:left="154"/>
              <w:spacing w:before="175" w:line="228" w:lineRule="auto"/>
              <w:rPr/>
            </w:pPr>
            <w:r>
              <w:rPr>
                <w:spacing w:val="7"/>
              </w:rPr>
              <w:t>选矿废水（车间</w:t>
            </w:r>
          </w:p>
          <w:p>
            <w:pPr>
              <w:pStyle w:val="TableText"/>
              <w:ind w:left="154"/>
              <w:spacing w:before="64" w:line="231" w:lineRule="auto"/>
              <w:rPr/>
            </w:pPr>
            <w:r>
              <w:rPr>
                <w:spacing w:val="7"/>
              </w:rPr>
              <w:t>冲洗废水、选矿</w:t>
            </w:r>
          </w:p>
          <w:p>
            <w:pPr>
              <w:pStyle w:val="TableText"/>
              <w:ind w:left="366"/>
              <w:spacing w:before="61" w:line="232" w:lineRule="auto"/>
              <w:rPr/>
            </w:pPr>
            <w:r>
              <w:rPr>
                <w:spacing w:val="3"/>
              </w:rPr>
              <w:t>工艺废水）</w:t>
            </w:r>
          </w:p>
        </w:tc>
        <w:tc>
          <w:tcPr>
            <w:tcW w:w="5800" w:type="dxa"/>
            <w:vAlign w:val="top"/>
            <w:gridSpan w:val="2"/>
            <w:vMerge w:val="continue"/>
            <w:tcBorders>
              <w:bottom w:val="single" w:color="000000" w:sz="10" w:space="0"/>
              <w:top w:val="nil"/>
            </w:tcBorders>
          </w:tcPr>
          <w:p>
            <w:pPr>
              <w:rPr>
                <w:rFonts w:ascii="Arial"/>
                <w:sz w:val="21"/>
              </w:rPr>
            </w:pPr>
            <w:r/>
          </w:p>
        </w:tc>
        <w:tc>
          <w:tcPr>
            <w:tcW w:w="2635" w:type="dxa"/>
            <w:vAlign w:val="top"/>
            <w:tcBorders>
              <w:bottom w:val="single" w:color="000000" w:sz="10" w:space="0"/>
            </w:tcBorders>
          </w:tcPr>
          <w:p>
            <w:pPr>
              <w:spacing w:line="459" w:lineRule="auto"/>
              <w:rPr>
                <w:rFonts w:ascii="Arial"/>
                <w:sz w:val="21"/>
              </w:rPr>
            </w:pPr>
            <w:r/>
          </w:p>
          <w:p>
            <w:pPr>
              <w:ind w:left="1286"/>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87" w:type="dxa"/>
            <w:vAlign w:val="top"/>
            <w:tcBorders>
              <w:bottom w:val="single" w:color="000000" w:sz="10" w:space="0"/>
            </w:tcBorders>
          </w:tcPr>
          <w:p>
            <w:pPr>
              <w:spacing w:line="459" w:lineRule="auto"/>
              <w:rPr>
                <w:rFonts w:ascii="Arial"/>
                <w:sz w:val="21"/>
              </w:rPr>
            </w:pPr>
            <w:r/>
          </w:p>
          <w:p>
            <w:pPr>
              <w:ind w:left="46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27"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footerReference w:type="default" r:id="rId401"/>
          <w:pgSz w:w="16839" w:h="11906"/>
          <w:pgMar w:top="400" w:right="1332" w:bottom="1358" w:left="1331" w:header="0" w:footer="1195"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7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1"/>
        <w:gridCol w:w="834"/>
        <w:gridCol w:w="1750"/>
        <w:gridCol w:w="2947"/>
        <w:gridCol w:w="2853"/>
        <w:gridCol w:w="2635"/>
        <w:gridCol w:w="987"/>
        <w:gridCol w:w="1727"/>
      </w:tblGrid>
      <w:tr>
        <w:trPr>
          <w:trHeight w:val="2187" w:hRule="atLeast"/>
        </w:trPr>
        <w:tc>
          <w:tcPr>
            <w:tcW w:w="441" w:type="dxa"/>
            <w:vAlign w:val="top"/>
            <w:vMerge w:val="restart"/>
            <w:tcBorders>
              <w:bottom w:val="nil"/>
              <w:top w:val="single" w:color="000000" w:sz="10" w:space="0"/>
              <w:left w:val="nil"/>
            </w:tcBorders>
          </w:tcPr>
          <w:p>
            <w:pPr>
              <w:rPr>
                <w:rFonts w:ascii="Arial"/>
                <w:sz w:val="21"/>
              </w:rPr>
            </w:pPr>
            <w:r/>
          </w:p>
        </w:tc>
        <w:tc>
          <w:tcPr>
            <w:tcW w:w="834" w:type="dxa"/>
            <w:vAlign w:val="top"/>
            <w:vMerge w:val="restart"/>
            <w:tcBorders>
              <w:bottom w:val="nil"/>
              <w:top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20"/>
              <w:spacing w:before="65" w:line="233" w:lineRule="auto"/>
              <w:rPr/>
            </w:pPr>
            <w:r>
              <w:rPr/>
              <w:t>废气</w:t>
            </w:r>
          </w:p>
        </w:tc>
        <w:tc>
          <w:tcPr>
            <w:tcW w:w="1750" w:type="dxa"/>
            <w:vAlign w:val="top"/>
            <w:tcBorders>
              <w:top w:val="single" w:color="000000" w:sz="10"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371" w:right="245" w:hanging="114"/>
              <w:spacing w:before="65" w:line="295" w:lineRule="auto"/>
              <w:rPr/>
            </w:pPr>
            <w:r>
              <w:rPr>
                <w:spacing w:val="6"/>
              </w:rPr>
              <w:t>井下采矿废气</w:t>
            </w:r>
            <w:r>
              <w:rPr>
                <w:spacing w:val="3"/>
              </w:rPr>
              <w:t>（</w:t>
            </w:r>
            <w:r>
              <w:rPr>
                <w:rFonts w:ascii="Times New Roman" w:hAnsi="Times New Roman" w:eastAsia="Times New Roman" w:cs="Times New Roman"/>
              </w:rPr>
              <w:t>DA</w:t>
            </w:r>
            <w:r>
              <w:rPr>
                <w:rFonts w:ascii="Times New Roman" w:hAnsi="Times New Roman" w:eastAsia="Times New Roman" w:cs="Times New Roman"/>
                <w:spacing w:val="3"/>
              </w:rPr>
              <w:t>001</w:t>
            </w:r>
            <w:r>
              <w:rPr>
                <w:spacing w:val="3"/>
              </w:rPr>
              <w:t>）</w:t>
            </w:r>
          </w:p>
        </w:tc>
        <w:tc>
          <w:tcPr>
            <w:tcW w:w="2947" w:type="dxa"/>
            <w:vAlign w:val="top"/>
            <w:tcBorders>
              <w:top w:val="single" w:color="000000" w:sz="10" w:space="0"/>
            </w:tcBorders>
          </w:tcPr>
          <w:p>
            <w:pPr>
              <w:pStyle w:val="TableText"/>
              <w:ind w:left="119" w:right="106" w:firstLine="417"/>
              <w:spacing w:before="53" w:line="280" w:lineRule="auto"/>
              <w:jc w:val="both"/>
              <w:rPr/>
            </w:pPr>
            <w:r>
              <w:rPr>
                <w:spacing w:val="4"/>
              </w:rPr>
              <w:t>掘进、</w:t>
            </w:r>
            <w:r>
              <w:rPr>
                <w:spacing w:val="-50"/>
              </w:rPr>
              <w:t xml:space="preserve"> </w:t>
            </w:r>
            <w:r>
              <w:rPr>
                <w:spacing w:val="4"/>
              </w:rPr>
              <w:t>回采采用爆破的方</w:t>
            </w:r>
            <w:r>
              <w:rPr>
                <w:spacing w:val="8"/>
              </w:rPr>
              <w:t>式进行并辅以湿式凿岩方式进</w:t>
            </w:r>
            <w:r>
              <w:rPr>
                <w:spacing w:val="8"/>
              </w:rPr>
              <w:t>行开采；在爆破凿岩后采取加</w:t>
            </w:r>
            <w:r>
              <w:rPr>
                <w:spacing w:val="8"/>
              </w:rPr>
              <w:t>强通风，并在产尘点及通道加</w:t>
            </w:r>
            <w:r>
              <w:rPr>
                <w:spacing w:val="8"/>
              </w:rPr>
              <w:t>强酒水、喷雾降尘等措施经通</w:t>
            </w:r>
            <w:r>
              <w:rPr>
                <w:spacing w:val="12"/>
              </w:rPr>
              <w:t>风井集中收集后由</w:t>
            </w:r>
            <w:r>
              <w:rPr>
                <w:spacing w:val="12"/>
              </w:rPr>
              <w:t xml:space="preserve"> </w:t>
            </w:r>
            <w:r>
              <w:rPr>
                <w:rFonts w:ascii="Times New Roman" w:hAnsi="Times New Roman" w:eastAsia="Times New Roman" w:cs="Times New Roman"/>
                <w:spacing w:val="12"/>
              </w:rPr>
              <w:t>15m</w:t>
            </w:r>
            <w:r>
              <w:rPr>
                <w:rFonts w:ascii="Times New Roman" w:hAnsi="Times New Roman" w:eastAsia="Times New Roman" w:cs="Times New Roman"/>
                <w:spacing w:val="41"/>
              </w:rPr>
              <w:t xml:space="preserve"> </w:t>
            </w:r>
            <w:r>
              <w:rPr>
                <w:spacing w:val="12"/>
              </w:rPr>
              <w:t>排气</w:t>
            </w:r>
            <w:r>
              <w:rPr>
                <w:spacing w:val="4"/>
              </w:rPr>
              <w:t>筒排放</w:t>
            </w:r>
          </w:p>
        </w:tc>
        <w:tc>
          <w:tcPr>
            <w:tcW w:w="2853" w:type="dxa"/>
            <w:vAlign w:val="top"/>
            <w:tcBorders>
              <w:top w:val="single" w:color="000000" w:sz="10"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28" w:right="369" w:hanging="87"/>
              <w:spacing w:before="65" w:line="278" w:lineRule="auto"/>
              <w:rPr/>
            </w:pPr>
            <w:r>
              <w:rPr>
                <w:spacing w:val="4"/>
              </w:rPr>
              <w:t>有组织</w:t>
            </w:r>
            <w:r>
              <w:rPr>
                <w:spacing w:val="-46"/>
              </w:rPr>
              <w:t xml:space="preserve"> </w:t>
            </w:r>
            <w:r>
              <w:rPr>
                <w:rFonts w:ascii="Times New Roman" w:hAnsi="Times New Roman" w:eastAsia="Times New Roman" w:cs="Times New Roman"/>
              </w:rPr>
              <w:t>NO</w:t>
            </w:r>
            <w:r>
              <w:rPr>
                <w:rFonts w:ascii="Times New Roman" w:hAnsi="Times New Roman" w:eastAsia="Times New Roman" w:cs="Times New Roman"/>
                <w:sz w:val="13"/>
                <w:szCs w:val="13"/>
                <w:position w:val="-1"/>
              </w:rPr>
              <w:t>x</w:t>
            </w:r>
            <w:r>
              <w:rPr>
                <w:rFonts w:ascii="Times New Roman" w:hAnsi="Times New Roman" w:eastAsia="Times New Roman" w:cs="Times New Roman"/>
                <w:sz w:val="13"/>
                <w:szCs w:val="13"/>
                <w:spacing w:val="24"/>
                <w:position w:val="-1"/>
              </w:rPr>
              <w:t xml:space="preserve"> </w:t>
            </w:r>
            <w:r>
              <w:rPr>
                <w:rFonts w:ascii="Times New Roman" w:hAnsi="Times New Roman" w:eastAsia="Times New Roman" w:cs="Times New Roman"/>
                <w:spacing w:val="4"/>
              </w:rPr>
              <w:t>240</w:t>
            </w:r>
            <w:r>
              <w:rPr>
                <w:rFonts w:ascii="Times New Roman" w:hAnsi="Times New Roman" w:eastAsia="Times New Roman" w:cs="Times New Roman"/>
              </w:rPr>
              <w:t>mg</w:t>
            </w:r>
            <w:r>
              <w:rPr>
                <w:rFonts w:ascii="Times New Roman" w:hAnsi="Times New Roman" w:eastAsia="Times New Roman" w:cs="Times New Roman"/>
                <w:spacing w:val="4"/>
              </w:rPr>
              <w:t>/m</w:t>
            </w:r>
            <w:r>
              <w:rPr>
                <w:rFonts w:ascii="Times New Roman" w:hAnsi="Times New Roman" w:eastAsia="Times New Roman" w:cs="Times New Roman"/>
                <w:sz w:val="13"/>
                <w:szCs w:val="13"/>
                <w:spacing w:val="4"/>
                <w:position w:val="6"/>
              </w:rPr>
              <w:t>3</w:t>
            </w:r>
            <w:r>
              <w:rPr>
                <w:spacing w:val="4"/>
              </w:rPr>
              <w:t>、</w:t>
            </w:r>
            <w:r>
              <w:rPr/>
              <w:t xml:space="preserve"> </w:t>
            </w:r>
            <w:r>
              <w:rPr>
                <w:rFonts w:ascii="Times New Roman" w:hAnsi="Times New Roman" w:eastAsia="Times New Roman" w:cs="Times New Roman"/>
                <w:spacing w:val="3"/>
              </w:rPr>
              <w:t>0.77</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20"/>
              </w:rPr>
              <w:t xml:space="preserve"> </w:t>
            </w:r>
            <w:r>
              <w:rPr>
                <w:spacing w:val="3"/>
              </w:rPr>
              <w:t>、</w:t>
            </w:r>
            <w:r>
              <w:rPr>
                <w:rFonts w:ascii="Times New Roman" w:hAnsi="Times New Roman" w:eastAsia="Times New Roman" w:cs="Times New Roman"/>
                <w:spacing w:val="3"/>
              </w:rPr>
              <w:t>15m</w:t>
            </w:r>
            <w:r>
              <w:rPr>
                <w:rFonts w:ascii="Times New Roman" w:hAnsi="Times New Roman" w:eastAsia="Times New Roman" w:cs="Times New Roman"/>
                <w:spacing w:val="15"/>
                <w:w w:val="101"/>
              </w:rPr>
              <w:t xml:space="preserve"> </w:t>
            </w:r>
            <w:r>
              <w:rPr>
                <w:spacing w:val="3"/>
              </w:rPr>
              <w:t>排气筒</w:t>
            </w:r>
          </w:p>
        </w:tc>
        <w:tc>
          <w:tcPr>
            <w:tcW w:w="2635" w:type="dxa"/>
            <w:vAlign w:val="top"/>
            <w:vMerge w:val="restart"/>
            <w:tcBorders>
              <w:top w:val="single" w:color="000000" w:sz="10" w:space="0"/>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73"/>
              <w:spacing w:before="65" w:line="229" w:lineRule="auto"/>
              <w:rPr/>
            </w:pPr>
            <w:r>
              <w:rPr>
                <w:spacing w:val="8"/>
              </w:rPr>
              <w:t>《大气污染物综合排放标</w:t>
            </w:r>
          </w:p>
          <w:p>
            <w:pPr>
              <w:pStyle w:val="TableText"/>
              <w:ind w:left="121"/>
              <w:spacing w:before="63" w:line="231" w:lineRule="auto"/>
              <w:rPr>
                <w:rFonts w:ascii="Times New Roman" w:hAnsi="Times New Roman" w:eastAsia="Times New Roman" w:cs="Times New Roman"/>
              </w:rPr>
            </w:pPr>
            <w:r>
              <w:rPr/>
              <w:t>准》（</w:t>
            </w:r>
            <w:r>
              <w:rPr>
                <w:rFonts w:ascii="Times New Roman" w:hAnsi="Times New Roman" w:eastAsia="Times New Roman" w:cs="Times New Roman"/>
              </w:rPr>
              <w:t>GB16297-1996</w:t>
            </w:r>
            <w:r>
              <w:rPr/>
              <w:t>）表</w:t>
            </w:r>
            <w:r>
              <w:rPr>
                <w:spacing w:val="-44"/>
              </w:rPr>
              <w:t xml:space="preserve"> </w:t>
            </w:r>
            <w:r>
              <w:rPr>
                <w:rFonts w:ascii="Times New Roman" w:hAnsi="Times New Roman" w:eastAsia="Times New Roman" w:cs="Times New Roman"/>
              </w:rPr>
              <w:t>2</w:t>
            </w:r>
          </w:p>
          <w:p>
            <w:pPr>
              <w:pStyle w:val="TableText"/>
              <w:ind w:left="173"/>
              <w:spacing w:before="62" w:line="229" w:lineRule="auto"/>
              <w:rPr/>
            </w:pPr>
            <w:r>
              <w:rPr>
                <w:spacing w:val="8"/>
              </w:rPr>
              <w:t>新污染源大气污染物排放</w:t>
            </w:r>
          </w:p>
          <w:p>
            <w:pPr>
              <w:pStyle w:val="TableText"/>
              <w:ind w:left="607"/>
              <w:spacing w:before="63" w:line="231" w:lineRule="auto"/>
              <w:rPr/>
            </w:pPr>
            <w:r>
              <w:rPr>
                <w:spacing w:val="5"/>
              </w:rPr>
              <w:t>限值中二级标准</w:t>
            </w:r>
          </w:p>
        </w:tc>
        <w:tc>
          <w:tcPr>
            <w:tcW w:w="987" w:type="dxa"/>
            <w:vAlign w:val="top"/>
            <w:tcBorders>
              <w:top w:val="single" w:color="000000" w:sz="10"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15" w:right="177" w:hanging="129"/>
              <w:spacing w:before="65" w:line="291" w:lineRule="auto"/>
              <w:rPr/>
            </w:pPr>
            <w:r>
              <w:rPr>
                <w:spacing w:val="5"/>
              </w:rPr>
              <w:t>排气筒</w:t>
            </w:r>
            <w:r>
              <w:rPr>
                <w:spacing w:val="12"/>
              </w:rPr>
              <w:t>出口</w:t>
            </w:r>
          </w:p>
        </w:tc>
        <w:tc>
          <w:tcPr>
            <w:tcW w:w="1727" w:type="dxa"/>
            <w:vAlign w:val="top"/>
            <w:vMerge w:val="restart"/>
            <w:tcBorders>
              <w:bottom w:val="nil"/>
              <w:top w:val="single" w:color="000000" w:sz="10" w:space="0"/>
              <w:right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41"/>
              <w:spacing w:before="65" w:line="231" w:lineRule="auto"/>
              <w:rPr/>
            </w:pPr>
            <w:r>
              <w:rPr>
                <w:spacing w:val="7"/>
              </w:rPr>
              <w:t>排气筒高度核</w:t>
            </w:r>
          </w:p>
          <w:p>
            <w:pPr>
              <w:pStyle w:val="TableText"/>
              <w:ind w:left="144"/>
              <w:spacing w:before="62" w:line="229" w:lineRule="auto"/>
              <w:rPr/>
            </w:pPr>
            <w:r>
              <w:rPr>
                <w:spacing w:val="7"/>
              </w:rPr>
              <w:t>实，污染物实际</w:t>
            </w:r>
          </w:p>
          <w:p>
            <w:pPr>
              <w:pStyle w:val="TableText"/>
              <w:ind w:left="137"/>
              <w:spacing w:before="63" w:line="231" w:lineRule="auto"/>
              <w:rPr/>
            </w:pPr>
            <w:r>
              <w:rPr>
                <w:spacing w:val="8"/>
              </w:rPr>
              <w:t>排放浓度、厂界</w:t>
            </w:r>
          </w:p>
          <w:p>
            <w:pPr>
              <w:pStyle w:val="TableText"/>
              <w:ind w:left="119"/>
              <w:spacing w:before="61" w:line="231" w:lineRule="auto"/>
              <w:rPr/>
            </w:pPr>
            <w:r>
              <w:rPr>
                <w:spacing w:val="-1"/>
              </w:rPr>
              <w:t>处浓度监测</w:t>
            </w:r>
            <w:r>
              <w:rPr>
                <w:spacing w:val="-1"/>
              </w:rPr>
              <w:t xml:space="preserve"> </w:t>
            </w:r>
            <w:r>
              <w:rPr>
                <w:spacing w:val="-1"/>
              </w:rPr>
              <w:t>；排</w:t>
            </w:r>
          </w:p>
          <w:p>
            <w:pPr>
              <w:pStyle w:val="TableText"/>
              <w:ind w:left="144"/>
              <w:spacing w:before="61" w:line="231" w:lineRule="auto"/>
              <w:rPr/>
            </w:pPr>
            <w:r>
              <w:rPr>
                <w:spacing w:val="7"/>
              </w:rPr>
              <w:t>污口规范化设置</w:t>
            </w:r>
          </w:p>
          <w:p>
            <w:pPr>
              <w:pStyle w:val="TableText"/>
              <w:ind w:left="668"/>
              <w:spacing w:before="62" w:line="231" w:lineRule="auto"/>
              <w:rPr/>
            </w:pPr>
            <w:r>
              <w:rPr>
                <w:spacing w:val="-1"/>
              </w:rPr>
              <w:t>情况</w:t>
            </w:r>
          </w:p>
        </w:tc>
      </w:tr>
      <w:tr>
        <w:trPr>
          <w:trHeight w:val="1249" w:hRule="atLeast"/>
        </w:trPr>
        <w:tc>
          <w:tcPr>
            <w:tcW w:w="441" w:type="dxa"/>
            <w:vAlign w:val="top"/>
            <w:vMerge w:val="continue"/>
            <w:tcBorders>
              <w:bottom w:val="nil"/>
              <w:top w:val="nil"/>
              <w:left w:val="nil"/>
            </w:tcBorders>
          </w:tcPr>
          <w:p>
            <w:pPr>
              <w:rPr>
                <w:rFonts w:ascii="Arial"/>
                <w:sz w:val="21"/>
              </w:rPr>
            </w:pPr>
            <w:r/>
          </w:p>
        </w:tc>
        <w:tc>
          <w:tcPr>
            <w:tcW w:w="834" w:type="dxa"/>
            <w:vAlign w:val="top"/>
            <w:vMerge w:val="continue"/>
            <w:tcBorders>
              <w:bottom w:val="nil"/>
              <w:top w:val="nil"/>
            </w:tcBorders>
          </w:tcPr>
          <w:p>
            <w:pPr>
              <w:rPr>
                <w:rFonts w:ascii="Arial"/>
                <w:sz w:val="21"/>
              </w:rPr>
            </w:pPr>
            <w:r/>
          </w:p>
        </w:tc>
        <w:tc>
          <w:tcPr>
            <w:tcW w:w="1750" w:type="dxa"/>
            <w:vAlign w:val="top"/>
          </w:tcPr>
          <w:p>
            <w:pPr>
              <w:spacing w:line="302" w:lineRule="auto"/>
              <w:rPr>
                <w:rFonts w:ascii="Arial"/>
                <w:sz w:val="21"/>
              </w:rPr>
            </w:pPr>
            <w:r/>
          </w:p>
          <w:p>
            <w:pPr>
              <w:pStyle w:val="TableText"/>
              <w:ind w:left="152"/>
              <w:spacing w:before="65" w:line="228" w:lineRule="auto"/>
              <w:rPr/>
            </w:pPr>
            <w:r>
              <w:rPr>
                <w:spacing w:val="7"/>
              </w:rPr>
              <w:t>粗破碎车间废气</w:t>
            </w:r>
          </w:p>
          <w:p>
            <w:pPr>
              <w:pStyle w:val="TableText"/>
              <w:ind w:left="372"/>
              <w:spacing w:before="65" w:line="264" w:lineRule="exact"/>
              <w:rPr/>
            </w:pPr>
            <w:r>
              <w:rPr>
                <w:spacing w:val="3"/>
                <w:position w:val="1"/>
              </w:rPr>
              <w:t>（</w:t>
            </w:r>
            <w:r>
              <w:rPr>
                <w:rFonts w:ascii="Times New Roman" w:hAnsi="Times New Roman" w:eastAsia="Times New Roman" w:cs="Times New Roman"/>
                <w:position w:val="1"/>
              </w:rPr>
              <w:t>DA</w:t>
            </w:r>
            <w:r>
              <w:rPr>
                <w:rFonts w:ascii="Times New Roman" w:hAnsi="Times New Roman" w:eastAsia="Times New Roman" w:cs="Times New Roman"/>
                <w:spacing w:val="3"/>
                <w:position w:val="1"/>
              </w:rPr>
              <w:t>002</w:t>
            </w:r>
            <w:r>
              <w:rPr>
                <w:spacing w:val="3"/>
                <w:position w:val="1"/>
              </w:rPr>
              <w:t>）</w:t>
            </w:r>
          </w:p>
        </w:tc>
        <w:tc>
          <w:tcPr>
            <w:tcW w:w="2947" w:type="dxa"/>
            <w:vAlign w:val="top"/>
          </w:tcPr>
          <w:p>
            <w:pPr>
              <w:spacing w:line="303" w:lineRule="auto"/>
              <w:rPr>
                <w:rFonts w:ascii="Arial"/>
                <w:sz w:val="21"/>
              </w:rPr>
            </w:pPr>
            <w:r/>
          </w:p>
          <w:p>
            <w:pPr>
              <w:pStyle w:val="TableText"/>
              <w:ind w:left="302" w:right="106" w:hanging="179"/>
              <w:spacing w:before="65" w:line="288" w:lineRule="auto"/>
              <w:rPr/>
            </w:pPr>
            <w:r>
              <w:rPr>
                <w:spacing w:val="5"/>
              </w:rPr>
              <w:t>袋式除尘（除尘效率</w:t>
            </w:r>
            <w:r>
              <w:rPr>
                <w:spacing w:val="-26"/>
              </w:rPr>
              <w:t xml:space="preserve"> </w:t>
            </w:r>
            <w:r>
              <w:rPr>
                <w:rFonts w:ascii="Times New Roman" w:hAnsi="Times New Roman" w:eastAsia="Times New Roman" w:cs="Times New Roman"/>
                <w:spacing w:val="5"/>
              </w:rPr>
              <w:t>98%</w:t>
            </w:r>
            <w:r>
              <w:rPr>
                <w:spacing w:val="5"/>
              </w:rPr>
              <w:t>）处</w:t>
            </w:r>
            <w:r>
              <w:rPr>
                <w:spacing w:val="3"/>
              </w:rPr>
              <w:t>理后经</w:t>
            </w:r>
            <w:r>
              <w:rPr>
                <w:spacing w:val="-16"/>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22"/>
              </w:rPr>
              <w:t xml:space="preserve"> </w:t>
            </w:r>
            <w:r>
              <w:rPr>
                <w:spacing w:val="3"/>
              </w:rPr>
              <w:t>高排气筒排放</w:t>
            </w:r>
          </w:p>
        </w:tc>
        <w:tc>
          <w:tcPr>
            <w:tcW w:w="2853" w:type="dxa"/>
            <w:vAlign w:val="top"/>
          </w:tcPr>
          <w:p>
            <w:pPr>
              <w:pStyle w:val="TableText"/>
              <w:ind w:left="374" w:right="265" w:hanging="138"/>
              <w:spacing w:before="56" w:line="278" w:lineRule="auto"/>
              <w:rPr/>
            </w:pPr>
            <w:r>
              <w:rPr>
                <w:spacing w:val="2"/>
              </w:rPr>
              <w:t>有组织颗粒物</w:t>
            </w:r>
            <w:r>
              <w:rPr>
                <w:spacing w:val="-13"/>
              </w:rPr>
              <w:t xml:space="preserve"> </w:t>
            </w:r>
            <w:r>
              <w:rPr>
                <w:rFonts w:ascii="Times New Roman" w:hAnsi="Times New Roman" w:eastAsia="Times New Roman" w:cs="Times New Roman"/>
                <w:spacing w:val="2"/>
              </w:rPr>
              <w:t>120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z w:val="13"/>
                <w:szCs w:val="13"/>
                <w:spacing w:val="2"/>
                <w:position w:val="6"/>
              </w:rPr>
              <w:t>3</w:t>
            </w:r>
            <w:r>
              <w:rPr>
                <w:spacing w:val="2"/>
              </w:rPr>
              <w:t>、</w:t>
            </w:r>
            <w:r>
              <w:rPr/>
              <w:t xml:space="preserve"> </w:t>
            </w:r>
            <w:r>
              <w:rPr>
                <w:rFonts w:ascii="Times New Roman" w:hAnsi="Times New Roman" w:eastAsia="Times New Roman" w:cs="Times New Roman"/>
                <w:spacing w:val="3"/>
              </w:rPr>
              <w:t>3.5</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12"/>
              </w:rPr>
              <w:t xml:space="preserve"> </w:t>
            </w:r>
            <w:r>
              <w:rPr>
                <w:spacing w:val="3"/>
              </w:rPr>
              <w:t>、</w:t>
            </w:r>
            <w:r>
              <w:rPr>
                <w:rFonts w:ascii="Times New Roman" w:hAnsi="Times New Roman" w:eastAsia="Times New Roman" w:cs="Times New Roman"/>
                <w:spacing w:val="3"/>
              </w:rPr>
              <w:t>15m </w:t>
            </w:r>
            <w:r>
              <w:rPr>
                <w:spacing w:val="3"/>
              </w:rPr>
              <w:t>排气筒；</w:t>
            </w:r>
          </w:p>
          <w:p>
            <w:pPr>
              <w:pStyle w:val="TableText"/>
              <w:ind w:left="478" w:right="292" w:hanging="214"/>
              <w:spacing w:before="23" w:line="257" w:lineRule="auto"/>
              <w:rPr/>
            </w:pPr>
            <w:r>
              <w:rPr>
                <w:spacing w:val="3"/>
              </w:rPr>
              <w:t>有组织氟化物</w:t>
            </w:r>
            <w:r>
              <w:rPr>
                <w:spacing w:val="-31"/>
              </w:rPr>
              <w:t xml:space="preserve"> </w:t>
            </w:r>
            <w:r>
              <w:rPr>
                <w:rFonts w:ascii="Times New Roman" w:hAnsi="Times New Roman" w:eastAsia="Times New Roman" w:cs="Times New Roman"/>
                <w:spacing w:val="3"/>
              </w:rPr>
              <w:t>9.0</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z w:val="13"/>
                <w:szCs w:val="13"/>
                <w:spacing w:val="3"/>
                <w:position w:val="6"/>
              </w:rPr>
              <w:t>3</w:t>
            </w:r>
            <w:r>
              <w:rPr>
                <w:spacing w:val="3"/>
              </w:rPr>
              <w:t>、</w:t>
            </w:r>
            <w:r>
              <w:rPr/>
              <w:t xml:space="preserve"> </w:t>
            </w:r>
            <w:r>
              <w:rPr>
                <w:rFonts w:ascii="Times New Roman" w:hAnsi="Times New Roman" w:eastAsia="Times New Roman" w:cs="Times New Roman"/>
              </w:rPr>
              <w:t>0.</w:t>
            </w:r>
            <w:r>
              <w:rPr>
                <w:rFonts w:ascii="Times New Roman" w:hAnsi="Times New Roman" w:eastAsia="Times New Roman" w:cs="Times New Roman"/>
                <w:spacing w:val="-15"/>
              </w:rPr>
              <w:t xml:space="preserve"> </w:t>
            </w:r>
            <w:r>
              <w:rPr>
                <w:rFonts w:ascii="Times New Roman" w:hAnsi="Times New Roman" w:eastAsia="Times New Roman" w:cs="Times New Roman"/>
              </w:rPr>
              <w:t>1kg/h</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15m</w:t>
            </w:r>
            <w:r>
              <w:rPr>
                <w:rFonts w:ascii="Times New Roman" w:hAnsi="Times New Roman" w:eastAsia="Times New Roman" w:cs="Times New Roman"/>
                <w:spacing w:val="15"/>
              </w:rPr>
              <w:t xml:space="preserve"> </w:t>
            </w:r>
            <w:r>
              <w:rPr/>
              <w:t>排气筒</w:t>
            </w:r>
          </w:p>
        </w:tc>
        <w:tc>
          <w:tcPr>
            <w:tcW w:w="2635" w:type="dxa"/>
            <w:vAlign w:val="top"/>
            <w:vMerge w:val="continue"/>
            <w:tcBorders>
              <w:top w:val="nil"/>
              <w:bottom w:val="nil"/>
            </w:tcBorders>
          </w:tcPr>
          <w:p>
            <w:pPr>
              <w:rPr>
                <w:rFonts w:ascii="Arial"/>
                <w:sz w:val="21"/>
              </w:rPr>
            </w:pPr>
            <w:r/>
          </w:p>
        </w:tc>
        <w:tc>
          <w:tcPr>
            <w:tcW w:w="987" w:type="dxa"/>
            <w:vAlign w:val="top"/>
          </w:tcPr>
          <w:p>
            <w:pPr>
              <w:spacing w:line="301" w:lineRule="auto"/>
              <w:rPr>
                <w:rFonts w:ascii="Arial"/>
                <w:sz w:val="21"/>
              </w:rPr>
            </w:pPr>
            <w:r/>
          </w:p>
          <w:p>
            <w:pPr>
              <w:pStyle w:val="TableText"/>
              <w:ind w:left="315" w:right="177" w:hanging="129"/>
              <w:spacing w:before="65" w:line="291" w:lineRule="auto"/>
              <w:rPr/>
            </w:pPr>
            <w:r>
              <w:rPr>
                <w:spacing w:val="5"/>
              </w:rPr>
              <w:t>排气筒</w:t>
            </w:r>
            <w:r>
              <w:rPr>
                <w:spacing w:val="12"/>
              </w:rPr>
              <w:t>出口</w:t>
            </w:r>
          </w:p>
        </w:tc>
        <w:tc>
          <w:tcPr>
            <w:tcW w:w="1727" w:type="dxa"/>
            <w:vAlign w:val="top"/>
            <w:vMerge w:val="continue"/>
            <w:tcBorders>
              <w:bottom w:val="nil"/>
              <w:top w:val="nil"/>
              <w:right w:val="nil"/>
            </w:tcBorders>
          </w:tcPr>
          <w:p>
            <w:pPr>
              <w:rPr>
                <w:rFonts w:ascii="Arial"/>
                <w:sz w:val="21"/>
              </w:rPr>
            </w:pPr>
            <w:r/>
          </w:p>
        </w:tc>
      </w:tr>
      <w:tr>
        <w:trPr>
          <w:trHeight w:val="1249" w:hRule="atLeast"/>
        </w:trPr>
        <w:tc>
          <w:tcPr>
            <w:tcW w:w="441" w:type="dxa"/>
            <w:vAlign w:val="top"/>
            <w:vMerge w:val="continue"/>
            <w:tcBorders>
              <w:bottom w:val="nil"/>
              <w:top w:val="nil"/>
              <w:left w:val="nil"/>
            </w:tcBorders>
          </w:tcPr>
          <w:p>
            <w:pPr>
              <w:rPr>
                <w:rFonts w:ascii="Arial"/>
                <w:sz w:val="21"/>
              </w:rPr>
            </w:pPr>
            <w:r/>
          </w:p>
        </w:tc>
        <w:tc>
          <w:tcPr>
            <w:tcW w:w="834" w:type="dxa"/>
            <w:vAlign w:val="top"/>
            <w:vMerge w:val="continue"/>
            <w:tcBorders>
              <w:bottom w:val="nil"/>
              <w:top w:val="nil"/>
            </w:tcBorders>
          </w:tcPr>
          <w:p>
            <w:pPr>
              <w:rPr>
                <w:rFonts w:ascii="Arial"/>
                <w:sz w:val="21"/>
              </w:rPr>
            </w:pPr>
            <w:r/>
          </w:p>
        </w:tc>
        <w:tc>
          <w:tcPr>
            <w:tcW w:w="1750" w:type="dxa"/>
            <w:vAlign w:val="top"/>
          </w:tcPr>
          <w:p>
            <w:pPr>
              <w:spacing w:line="308" w:lineRule="auto"/>
              <w:rPr>
                <w:rFonts w:ascii="Arial"/>
                <w:sz w:val="21"/>
              </w:rPr>
            </w:pPr>
            <w:r/>
          </w:p>
          <w:p>
            <w:pPr>
              <w:pStyle w:val="TableText"/>
              <w:ind w:left="156"/>
              <w:spacing w:before="65" w:line="228" w:lineRule="auto"/>
              <w:rPr/>
            </w:pPr>
            <w:r>
              <w:rPr>
                <w:spacing w:val="7"/>
              </w:rPr>
              <w:t>细破碎车间废气</w:t>
            </w:r>
          </w:p>
          <w:p>
            <w:pPr>
              <w:pStyle w:val="TableText"/>
              <w:ind w:left="372"/>
              <w:spacing w:before="65" w:line="264" w:lineRule="exact"/>
              <w:rPr/>
            </w:pPr>
            <w:r>
              <w:rPr>
                <w:spacing w:val="3"/>
                <w:position w:val="1"/>
              </w:rPr>
              <w:t>（</w:t>
            </w:r>
            <w:r>
              <w:rPr>
                <w:rFonts w:ascii="Times New Roman" w:hAnsi="Times New Roman" w:eastAsia="Times New Roman" w:cs="Times New Roman"/>
                <w:position w:val="1"/>
              </w:rPr>
              <w:t>DA</w:t>
            </w:r>
            <w:r>
              <w:rPr>
                <w:rFonts w:ascii="Times New Roman" w:hAnsi="Times New Roman" w:eastAsia="Times New Roman" w:cs="Times New Roman"/>
                <w:spacing w:val="3"/>
                <w:position w:val="1"/>
              </w:rPr>
              <w:t>003</w:t>
            </w:r>
            <w:r>
              <w:rPr>
                <w:spacing w:val="3"/>
                <w:position w:val="1"/>
              </w:rPr>
              <w:t>）</w:t>
            </w:r>
          </w:p>
        </w:tc>
        <w:tc>
          <w:tcPr>
            <w:tcW w:w="2947" w:type="dxa"/>
            <w:vAlign w:val="top"/>
          </w:tcPr>
          <w:p>
            <w:pPr>
              <w:spacing w:line="308" w:lineRule="auto"/>
              <w:rPr>
                <w:rFonts w:ascii="Arial"/>
                <w:sz w:val="21"/>
              </w:rPr>
            </w:pPr>
            <w:r/>
          </w:p>
          <w:p>
            <w:pPr>
              <w:pStyle w:val="TableText"/>
              <w:ind w:left="302" w:right="106" w:hanging="179"/>
              <w:spacing w:before="65" w:line="288" w:lineRule="auto"/>
              <w:rPr/>
            </w:pPr>
            <w:r>
              <w:rPr>
                <w:spacing w:val="5"/>
              </w:rPr>
              <w:t>袋式除尘（除尘效率</w:t>
            </w:r>
            <w:r>
              <w:rPr>
                <w:spacing w:val="-26"/>
              </w:rPr>
              <w:t xml:space="preserve"> </w:t>
            </w:r>
            <w:r>
              <w:rPr>
                <w:rFonts w:ascii="Times New Roman" w:hAnsi="Times New Roman" w:eastAsia="Times New Roman" w:cs="Times New Roman"/>
                <w:spacing w:val="5"/>
              </w:rPr>
              <w:t>98%</w:t>
            </w:r>
            <w:r>
              <w:rPr>
                <w:spacing w:val="5"/>
              </w:rPr>
              <w:t>）处</w:t>
            </w:r>
            <w:r>
              <w:rPr>
                <w:spacing w:val="3"/>
              </w:rPr>
              <w:t>理后经</w:t>
            </w:r>
            <w:r>
              <w:rPr>
                <w:spacing w:val="-16"/>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22"/>
              </w:rPr>
              <w:t xml:space="preserve"> </w:t>
            </w:r>
            <w:r>
              <w:rPr>
                <w:spacing w:val="3"/>
              </w:rPr>
              <w:t>高排气筒排放</w:t>
            </w:r>
          </w:p>
        </w:tc>
        <w:tc>
          <w:tcPr>
            <w:tcW w:w="2853" w:type="dxa"/>
            <w:vAlign w:val="top"/>
          </w:tcPr>
          <w:p>
            <w:pPr>
              <w:pStyle w:val="TableText"/>
              <w:ind w:left="374" w:right="265" w:hanging="138"/>
              <w:spacing w:before="62" w:line="278" w:lineRule="auto"/>
              <w:rPr/>
            </w:pPr>
            <w:r>
              <w:rPr>
                <w:spacing w:val="2"/>
              </w:rPr>
              <w:t>有组织颗粒物</w:t>
            </w:r>
            <w:r>
              <w:rPr>
                <w:spacing w:val="-13"/>
              </w:rPr>
              <w:t xml:space="preserve"> </w:t>
            </w:r>
            <w:r>
              <w:rPr>
                <w:rFonts w:ascii="Times New Roman" w:hAnsi="Times New Roman" w:eastAsia="Times New Roman" w:cs="Times New Roman"/>
                <w:spacing w:val="2"/>
              </w:rPr>
              <w:t>120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z w:val="13"/>
                <w:szCs w:val="13"/>
                <w:spacing w:val="2"/>
                <w:position w:val="6"/>
              </w:rPr>
              <w:t>3</w:t>
            </w:r>
            <w:r>
              <w:rPr>
                <w:spacing w:val="2"/>
              </w:rPr>
              <w:t>、</w:t>
            </w:r>
            <w:r>
              <w:rPr/>
              <w:t xml:space="preserve"> </w:t>
            </w:r>
            <w:r>
              <w:rPr>
                <w:rFonts w:ascii="Times New Roman" w:hAnsi="Times New Roman" w:eastAsia="Times New Roman" w:cs="Times New Roman"/>
                <w:spacing w:val="3"/>
              </w:rPr>
              <w:t>3.5</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12"/>
              </w:rPr>
              <w:t xml:space="preserve"> </w:t>
            </w:r>
            <w:r>
              <w:rPr>
                <w:spacing w:val="3"/>
              </w:rPr>
              <w:t>、</w:t>
            </w:r>
            <w:r>
              <w:rPr>
                <w:rFonts w:ascii="Times New Roman" w:hAnsi="Times New Roman" w:eastAsia="Times New Roman" w:cs="Times New Roman"/>
                <w:spacing w:val="3"/>
              </w:rPr>
              <w:t>15m </w:t>
            </w:r>
            <w:r>
              <w:rPr>
                <w:spacing w:val="3"/>
              </w:rPr>
              <w:t>排气筒；</w:t>
            </w:r>
          </w:p>
          <w:p>
            <w:pPr>
              <w:pStyle w:val="TableText"/>
              <w:ind w:left="478" w:right="292" w:hanging="214"/>
              <w:spacing w:before="21" w:line="255" w:lineRule="auto"/>
              <w:rPr/>
            </w:pPr>
            <w:r>
              <w:rPr>
                <w:spacing w:val="3"/>
              </w:rPr>
              <w:t>有组织氟化物</w:t>
            </w:r>
            <w:r>
              <w:rPr>
                <w:spacing w:val="-31"/>
              </w:rPr>
              <w:t xml:space="preserve"> </w:t>
            </w:r>
            <w:r>
              <w:rPr>
                <w:rFonts w:ascii="Times New Roman" w:hAnsi="Times New Roman" w:eastAsia="Times New Roman" w:cs="Times New Roman"/>
                <w:spacing w:val="3"/>
              </w:rPr>
              <w:t>9.0</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z w:val="13"/>
                <w:szCs w:val="13"/>
                <w:spacing w:val="3"/>
                <w:position w:val="6"/>
              </w:rPr>
              <w:t>3</w:t>
            </w:r>
            <w:r>
              <w:rPr>
                <w:spacing w:val="3"/>
              </w:rPr>
              <w:t>、</w:t>
            </w:r>
            <w:r>
              <w:rPr/>
              <w:t xml:space="preserve"> </w:t>
            </w:r>
            <w:r>
              <w:rPr>
                <w:rFonts w:ascii="Times New Roman" w:hAnsi="Times New Roman" w:eastAsia="Times New Roman" w:cs="Times New Roman"/>
              </w:rPr>
              <w:t>0.</w:t>
            </w:r>
            <w:r>
              <w:rPr>
                <w:rFonts w:ascii="Times New Roman" w:hAnsi="Times New Roman" w:eastAsia="Times New Roman" w:cs="Times New Roman"/>
                <w:spacing w:val="-15"/>
              </w:rPr>
              <w:t xml:space="preserve"> </w:t>
            </w:r>
            <w:r>
              <w:rPr>
                <w:rFonts w:ascii="Times New Roman" w:hAnsi="Times New Roman" w:eastAsia="Times New Roman" w:cs="Times New Roman"/>
              </w:rPr>
              <w:t>1kg/h</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15m</w:t>
            </w:r>
            <w:r>
              <w:rPr>
                <w:rFonts w:ascii="Times New Roman" w:hAnsi="Times New Roman" w:eastAsia="Times New Roman" w:cs="Times New Roman"/>
                <w:spacing w:val="15"/>
              </w:rPr>
              <w:t xml:space="preserve"> </w:t>
            </w:r>
            <w:r>
              <w:rPr/>
              <w:t>排气筒</w:t>
            </w:r>
          </w:p>
        </w:tc>
        <w:tc>
          <w:tcPr>
            <w:tcW w:w="2635" w:type="dxa"/>
            <w:vAlign w:val="top"/>
            <w:vMerge w:val="continue"/>
            <w:tcBorders>
              <w:top w:val="nil"/>
              <w:bottom w:val="nil"/>
            </w:tcBorders>
          </w:tcPr>
          <w:p>
            <w:pPr>
              <w:rPr>
                <w:rFonts w:ascii="Arial"/>
                <w:sz w:val="21"/>
              </w:rPr>
            </w:pPr>
            <w:r/>
          </w:p>
        </w:tc>
        <w:tc>
          <w:tcPr>
            <w:tcW w:w="987" w:type="dxa"/>
            <w:vAlign w:val="top"/>
          </w:tcPr>
          <w:p>
            <w:pPr>
              <w:spacing w:line="307" w:lineRule="auto"/>
              <w:rPr>
                <w:rFonts w:ascii="Arial"/>
                <w:sz w:val="21"/>
              </w:rPr>
            </w:pPr>
            <w:r/>
          </w:p>
          <w:p>
            <w:pPr>
              <w:pStyle w:val="TableText"/>
              <w:ind w:left="315" w:right="177" w:hanging="129"/>
              <w:spacing w:before="65" w:line="291" w:lineRule="auto"/>
              <w:rPr/>
            </w:pPr>
            <w:r>
              <w:rPr>
                <w:spacing w:val="5"/>
              </w:rPr>
              <w:t>排气筒</w:t>
            </w:r>
            <w:r>
              <w:rPr>
                <w:spacing w:val="12"/>
              </w:rPr>
              <w:t>出口</w:t>
            </w:r>
          </w:p>
        </w:tc>
        <w:tc>
          <w:tcPr>
            <w:tcW w:w="1727" w:type="dxa"/>
            <w:vAlign w:val="top"/>
            <w:vMerge w:val="continue"/>
            <w:tcBorders>
              <w:bottom w:val="nil"/>
              <w:top w:val="nil"/>
              <w:right w:val="nil"/>
            </w:tcBorders>
          </w:tcPr>
          <w:p>
            <w:pPr>
              <w:rPr>
                <w:rFonts w:ascii="Arial"/>
                <w:sz w:val="21"/>
              </w:rPr>
            </w:pPr>
            <w:r/>
          </w:p>
        </w:tc>
      </w:tr>
      <w:tr>
        <w:trPr>
          <w:trHeight w:val="1249" w:hRule="atLeast"/>
        </w:trPr>
        <w:tc>
          <w:tcPr>
            <w:tcW w:w="441" w:type="dxa"/>
            <w:vAlign w:val="top"/>
            <w:vMerge w:val="continue"/>
            <w:tcBorders>
              <w:bottom w:val="nil"/>
              <w:top w:val="nil"/>
              <w:left w:val="nil"/>
            </w:tcBorders>
          </w:tcPr>
          <w:p>
            <w:pPr>
              <w:rPr>
                <w:rFonts w:ascii="Arial"/>
                <w:sz w:val="21"/>
              </w:rPr>
            </w:pPr>
            <w:r/>
          </w:p>
        </w:tc>
        <w:tc>
          <w:tcPr>
            <w:tcW w:w="834" w:type="dxa"/>
            <w:vAlign w:val="top"/>
            <w:vMerge w:val="continue"/>
            <w:tcBorders>
              <w:bottom w:val="nil"/>
              <w:top w:val="nil"/>
            </w:tcBorders>
          </w:tcPr>
          <w:p>
            <w:pPr>
              <w:rPr>
                <w:rFonts w:ascii="Arial"/>
                <w:sz w:val="21"/>
              </w:rPr>
            </w:pPr>
            <w:r/>
          </w:p>
        </w:tc>
        <w:tc>
          <w:tcPr>
            <w:tcW w:w="1750" w:type="dxa"/>
            <w:vAlign w:val="top"/>
          </w:tcPr>
          <w:p>
            <w:pPr>
              <w:spacing w:line="312" w:lineRule="auto"/>
              <w:rPr>
                <w:rFonts w:ascii="Arial"/>
                <w:sz w:val="21"/>
              </w:rPr>
            </w:pPr>
            <w:r/>
          </w:p>
          <w:p>
            <w:pPr>
              <w:pStyle w:val="TableText"/>
              <w:ind w:left="371" w:right="245" w:hanging="114"/>
              <w:spacing w:before="65" w:line="295" w:lineRule="auto"/>
              <w:rPr/>
            </w:pPr>
            <w:r>
              <w:rPr>
                <w:spacing w:val="6"/>
              </w:rPr>
              <w:t>筛选车间废气</w:t>
            </w:r>
            <w:r>
              <w:rPr>
                <w:spacing w:val="3"/>
              </w:rPr>
              <w:t>（</w:t>
            </w:r>
            <w:r>
              <w:rPr>
                <w:rFonts w:ascii="Times New Roman" w:hAnsi="Times New Roman" w:eastAsia="Times New Roman" w:cs="Times New Roman"/>
              </w:rPr>
              <w:t>DA</w:t>
            </w:r>
            <w:r>
              <w:rPr>
                <w:rFonts w:ascii="Times New Roman" w:hAnsi="Times New Roman" w:eastAsia="Times New Roman" w:cs="Times New Roman"/>
                <w:spacing w:val="3"/>
              </w:rPr>
              <w:t>004</w:t>
            </w:r>
            <w:r>
              <w:rPr>
                <w:spacing w:val="3"/>
              </w:rPr>
              <w:t>）</w:t>
            </w:r>
          </w:p>
        </w:tc>
        <w:tc>
          <w:tcPr>
            <w:tcW w:w="2947" w:type="dxa"/>
            <w:vAlign w:val="top"/>
          </w:tcPr>
          <w:p>
            <w:pPr>
              <w:spacing w:line="312" w:lineRule="auto"/>
              <w:rPr>
                <w:rFonts w:ascii="Arial"/>
                <w:sz w:val="21"/>
              </w:rPr>
            </w:pPr>
            <w:r/>
          </w:p>
          <w:p>
            <w:pPr>
              <w:pStyle w:val="TableText"/>
              <w:ind w:left="302" w:right="106" w:hanging="179"/>
              <w:spacing w:before="65" w:line="288" w:lineRule="auto"/>
              <w:rPr/>
            </w:pPr>
            <w:r>
              <w:rPr>
                <w:spacing w:val="5"/>
              </w:rPr>
              <w:t>袋式除尘（除尘效率</w:t>
            </w:r>
            <w:r>
              <w:rPr>
                <w:spacing w:val="-26"/>
              </w:rPr>
              <w:t xml:space="preserve"> </w:t>
            </w:r>
            <w:r>
              <w:rPr>
                <w:rFonts w:ascii="Times New Roman" w:hAnsi="Times New Roman" w:eastAsia="Times New Roman" w:cs="Times New Roman"/>
                <w:spacing w:val="5"/>
              </w:rPr>
              <w:t>98%</w:t>
            </w:r>
            <w:r>
              <w:rPr>
                <w:spacing w:val="5"/>
              </w:rPr>
              <w:t>）处</w:t>
            </w:r>
            <w:r>
              <w:rPr>
                <w:spacing w:val="3"/>
              </w:rPr>
              <w:t>理后经</w:t>
            </w:r>
            <w:r>
              <w:rPr>
                <w:spacing w:val="-16"/>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22"/>
              </w:rPr>
              <w:t xml:space="preserve"> </w:t>
            </w:r>
            <w:r>
              <w:rPr>
                <w:spacing w:val="3"/>
              </w:rPr>
              <w:t>高排气筒排放</w:t>
            </w:r>
          </w:p>
        </w:tc>
        <w:tc>
          <w:tcPr>
            <w:tcW w:w="2853" w:type="dxa"/>
            <w:vAlign w:val="top"/>
          </w:tcPr>
          <w:p>
            <w:pPr>
              <w:pStyle w:val="TableText"/>
              <w:ind w:left="374" w:right="265" w:hanging="138"/>
              <w:spacing w:before="66" w:line="278" w:lineRule="auto"/>
              <w:rPr/>
            </w:pPr>
            <w:r>
              <w:rPr>
                <w:spacing w:val="2"/>
              </w:rPr>
              <w:t>有组织颗粒物</w:t>
            </w:r>
            <w:r>
              <w:rPr>
                <w:spacing w:val="-13"/>
              </w:rPr>
              <w:t xml:space="preserve"> </w:t>
            </w:r>
            <w:r>
              <w:rPr>
                <w:rFonts w:ascii="Times New Roman" w:hAnsi="Times New Roman" w:eastAsia="Times New Roman" w:cs="Times New Roman"/>
                <w:spacing w:val="2"/>
              </w:rPr>
              <w:t>120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z w:val="13"/>
                <w:szCs w:val="13"/>
                <w:spacing w:val="2"/>
                <w:position w:val="6"/>
              </w:rPr>
              <w:t>3</w:t>
            </w:r>
            <w:r>
              <w:rPr>
                <w:spacing w:val="2"/>
              </w:rPr>
              <w:t>、</w:t>
            </w:r>
            <w:r>
              <w:rPr/>
              <w:t xml:space="preserve"> </w:t>
            </w:r>
            <w:r>
              <w:rPr>
                <w:rFonts w:ascii="Times New Roman" w:hAnsi="Times New Roman" w:eastAsia="Times New Roman" w:cs="Times New Roman"/>
                <w:spacing w:val="3"/>
              </w:rPr>
              <w:t>3.5</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12"/>
              </w:rPr>
              <w:t xml:space="preserve"> </w:t>
            </w:r>
            <w:r>
              <w:rPr>
                <w:spacing w:val="3"/>
              </w:rPr>
              <w:t>、</w:t>
            </w:r>
            <w:r>
              <w:rPr>
                <w:rFonts w:ascii="Times New Roman" w:hAnsi="Times New Roman" w:eastAsia="Times New Roman" w:cs="Times New Roman"/>
                <w:spacing w:val="3"/>
              </w:rPr>
              <w:t>15m </w:t>
            </w:r>
            <w:r>
              <w:rPr>
                <w:spacing w:val="3"/>
              </w:rPr>
              <w:t>排气筒；</w:t>
            </w:r>
          </w:p>
          <w:p>
            <w:pPr>
              <w:pStyle w:val="TableText"/>
              <w:ind w:left="478" w:right="292" w:hanging="214"/>
              <w:spacing w:before="22" w:line="253" w:lineRule="auto"/>
              <w:rPr/>
            </w:pPr>
            <w:r>
              <w:rPr>
                <w:spacing w:val="3"/>
              </w:rPr>
              <w:t>有组织氟化物</w:t>
            </w:r>
            <w:r>
              <w:rPr>
                <w:spacing w:val="-31"/>
              </w:rPr>
              <w:t xml:space="preserve"> </w:t>
            </w:r>
            <w:r>
              <w:rPr>
                <w:rFonts w:ascii="Times New Roman" w:hAnsi="Times New Roman" w:eastAsia="Times New Roman" w:cs="Times New Roman"/>
                <w:spacing w:val="3"/>
              </w:rPr>
              <w:t>9.0</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z w:val="13"/>
                <w:szCs w:val="13"/>
                <w:spacing w:val="3"/>
                <w:position w:val="6"/>
              </w:rPr>
              <w:t>3</w:t>
            </w:r>
            <w:r>
              <w:rPr>
                <w:spacing w:val="3"/>
              </w:rPr>
              <w:t>、</w:t>
            </w:r>
            <w:r>
              <w:rPr/>
              <w:t xml:space="preserve"> </w:t>
            </w:r>
            <w:r>
              <w:rPr>
                <w:rFonts w:ascii="Times New Roman" w:hAnsi="Times New Roman" w:eastAsia="Times New Roman" w:cs="Times New Roman"/>
              </w:rPr>
              <w:t>0.</w:t>
            </w:r>
            <w:r>
              <w:rPr>
                <w:rFonts w:ascii="Times New Roman" w:hAnsi="Times New Roman" w:eastAsia="Times New Roman" w:cs="Times New Roman"/>
                <w:spacing w:val="-15"/>
              </w:rPr>
              <w:t xml:space="preserve"> </w:t>
            </w:r>
            <w:r>
              <w:rPr>
                <w:rFonts w:ascii="Times New Roman" w:hAnsi="Times New Roman" w:eastAsia="Times New Roman" w:cs="Times New Roman"/>
              </w:rPr>
              <w:t>1kg/h</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15m</w:t>
            </w:r>
            <w:r>
              <w:rPr>
                <w:rFonts w:ascii="Times New Roman" w:hAnsi="Times New Roman" w:eastAsia="Times New Roman" w:cs="Times New Roman"/>
                <w:spacing w:val="15"/>
              </w:rPr>
              <w:t xml:space="preserve"> </w:t>
            </w:r>
            <w:r>
              <w:rPr/>
              <w:t>排气筒</w:t>
            </w:r>
          </w:p>
        </w:tc>
        <w:tc>
          <w:tcPr>
            <w:tcW w:w="2635" w:type="dxa"/>
            <w:vAlign w:val="top"/>
            <w:vMerge w:val="continue"/>
            <w:tcBorders>
              <w:top w:val="nil"/>
              <w:bottom w:val="nil"/>
            </w:tcBorders>
          </w:tcPr>
          <w:p>
            <w:pPr>
              <w:rPr>
                <w:rFonts w:ascii="Arial"/>
                <w:sz w:val="21"/>
              </w:rPr>
            </w:pPr>
            <w:r/>
          </w:p>
        </w:tc>
        <w:tc>
          <w:tcPr>
            <w:tcW w:w="987" w:type="dxa"/>
            <w:vAlign w:val="top"/>
          </w:tcPr>
          <w:p>
            <w:pPr>
              <w:spacing w:line="311" w:lineRule="auto"/>
              <w:rPr>
                <w:rFonts w:ascii="Arial"/>
                <w:sz w:val="21"/>
              </w:rPr>
            </w:pPr>
            <w:r/>
          </w:p>
          <w:p>
            <w:pPr>
              <w:pStyle w:val="TableText"/>
              <w:ind w:left="315" w:right="177" w:hanging="129"/>
              <w:spacing w:before="65" w:line="291" w:lineRule="auto"/>
              <w:rPr/>
            </w:pPr>
            <w:r>
              <w:rPr>
                <w:spacing w:val="5"/>
              </w:rPr>
              <w:t>排气筒</w:t>
            </w:r>
            <w:r>
              <w:rPr>
                <w:spacing w:val="12"/>
              </w:rPr>
              <w:t>出口</w:t>
            </w:r>
          </w:p>
        </w:tc>
        <w:tc>
          <w:tcPr>
            <w:tcW w:w="1727" w:type="dxa"/>
            <w:vAlign w:val="top"/>
            <w:vMerge w:val="continue"/>
            <w:tcBorders>
              <w:bottom w:val="nil"/>
              <w:top w:val="nil"/>
              <w:right w:val="nil"/>
            </w:tcBorders>
          </w:tcPr>
          <w:p>
            <w:pPr>
              <w:rPr>
                <w:rFonts w:ascii="Arial"/>
                <w:sz w:val="21"/>
              </w:rPr>
            </w:pPr>
            <w:r/>
          </w:p>
        </w:tc>
      </w:tr>
      <w:tr>
        <w:trPr>
          <w:trHeight w:val="1249" w:hRule="atLeast"/>
        </w:trPr>
        <w:tc>
          <w:tcPr>
            <w:tcW w:w="441" w:type="dxa"/>
            <w:vAlign w:val="top"/>
            <w:vMerge w:val="continue"/>
            <w:tcBorders>
              <w:bottom w:val="nil"/>
              <w:top w:val="nil"/>
              <w:left w:val="nil"/>
            </w:tcBorders>
          </w:tcPr>
          <w:p>
            <w:pPr>
              <w:rPr>
                <w:rFonts w:ascii="Arial"/>
                <w:sz w:val="21"/>
              </w:rPr>
            </w:pPr>
            <w:r/>
          </w:p>
        </w:tc>
        <w:tc>
          <w:tcPr>
            <w:tcW w:w="834" w:type="dxa"/>
            <w:vAlign w:val="top"/>
            <w:vMerge w:val="continue"/>
            <w:tcBorders>
              <w:bottom w:val="nil"/>
              <w:top w:val="nil"/>
            </w:tcBorders>
          </w:tcPr>
          <w:p>
            <w:pPr>
              <w:rPr>
                <w:rFonts w:ascii="Arial"/>
                <w:sz w:val="21"/>
              </w:rPr>
            </w:pPr>
            <w:r/>
          </w:p>
        </w:tc>
        <w:tc>
          <w:tcPr>
            <w:tcW w:w="1750" w:type="dxa"/>
            <w:vAlign w:val="top"/>
          </w:tcPr>
          <w:p>
            <w:pPr>
              <w:spacing w:line="315" w:lineRule="auto"/>
              <w:rPr>
                <w:rFonts w:ascii="Arial"/>
                <w:sz w:val="21"/>
              </w:rPr>
            </w:pPr>
            <w:r/>
          </w:p>
          <w:p>
            <w:pPr>
              <w:pStyle w:val="TableText"/>
              <w:ind w:left="371" w:right="348" w:hanging="10"/>
              <w:spacing w:before="65" w:line="295" w:lineRule="auto"/>
              <w:rPr/>
            </w:pPr>
            <w:r>
              <w:rPr>
                <w:spacing w:val="6"/>
              </w:rPr>
              <w:t>粉矿仓废气</w:t>
            </w:r>
            <w:r>
              <w:rPr>
                <w:spacing w:val="3"/>
              </w:rPr>
              <w:t>（</w:t>
            </w:r>
            <w:r>
              <w:rPr>
                <w:rFonts w:ascii="Times New Roman" w:hAnsi="Times New Roman" w:eastAsia="Times New Roman" w:cs="Times New Roman"/>
              </w:rPr>
              <w:t>DA</w:t>
            </w:r>
            <w:r>
              <w:rPr>
                <w:rFonts w:ascii="Times New Roman" w:hAnsi="Times New Roman" w:eastAsia="Times New Roman" w:cs="Times New Roman"/>
                <w:spacing w:val="3"/>
              </w:rPr>
              <w:t>005</w:t>
            </w:r>
            <w:r>
              <w:rPr>
                <w:spacing w:val="3"/>
              </w:rPr>
              <w:t>）</w:t>
            </w:r>
          </w:p>
        </w:tc>
        <w:tc>
          <w:tcPr>
            <w:tcW w:w="2947" w:type="dxa"/>
            <w:vAlign w:val="top"/>
          </w:tcPr>
          <w:p>
            <w:pPr>
              <w:spacing w:line="316" w:lineRule="auto"/>
              <w:rPr>
                <w:rFonts w:ascii="Arial"/>
                <w:sz w:val="21"/>
              </w:rPr>
            </w:pPr>
            <w:r/>
          </w:p>
          <w:p>
            <w:pPr>
              <w:pStyle w:val="TableText"/>
              <w:ind w:left="302" w:right="106" w:hanging="179"/>
              <w:spacing w:before="65" w:line="288" w:lineRule="auto"/>
              <w:rPr/>
            </w:pPr>
            <w:r>
              <w:rPr>
                <w:spacing w:val="5"/>
              </w:rPr>
              <w:t>袋式除尘（除尘效率</w:t>
            </w:r>
            <w:r>
              <w:rPr>
                <w:spacing w:val="-26"/>
              </w:rPr>
              <w:t xml:space="preserve"> </w:t>
            </w:r>
            <w:r>
              <w:rPr>
                <w:rFonts w:ascii="Times New Roman" w:hAnsi="Times New Roman" w:eastAsia="Times New Roman" w:cs="Times New Roman"/>
                <w:spacing w:val="5"/>
              </w:rPr>
              <w:t>98%</w:t>
            </w:r>
            <w:r>
              <w:rPr>
                <w:spacing w:val="5"/>
              </w:rPr>
              <w:t>）处</w:t>
            </w:r>
            <w:r>
              <w:rPr>
                <w:spacing w:val="3"/>
              </w:rPr>
              <w:t>理后经</w:t>
            </w:r>
            <w:r>
              <w:rPr>
                <w:spacing w:val="-16"/>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22"/>
              </w:rPr>
              <w:t xml:space="preserve"> </w:t>
            </w:r>
            <w:r>
              <w:rPr>
                <w:spacing w:val="3"/>
              </w:rPr>
              <w:t>高排气筒排放</w:t>
            </w:r>
          </w:p>
        </w:tc>
        <w:tc>
          <w:tcPr>
            <w:tcW w:w="2853" w:type="dxa"/>
            <w:vAlign w:val="top"/>
          </w:tcPr>
          <w:p>
            <w:pPr>
              <w:pStyle w:val="TableText"/>
              <w:ind w:left="374" w:right="265" w:hanging="138"/>
              <w:spacing w:before="69" w:line="278" w:lineRule="auto"/>
              <w:rPr/>
            </w:pPr>
            <w:r>
              <w:rPr>
                <w:spacing w:val="2"/>
              </w:rPr>
              <w:t>有组织颗粒物</w:t>
            </w:r>
            <w:r>
              <w:rPr>
                <w:spacing w:val="-13"/>
              </w:rPr>
              <w:t xml:space="preserve"> </w:t>
            </w:r>
            <w:r>
              <w:rPr>
                <w:rFonts w:ascii="Times New Roman" w:hAnsi="Times New Roman" w:eastAsia="Times New Roman" w:cs="Times New Roman"/>
                <w:spacing w:val="2"/>
              </w:rPr>
              <w:t>120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z w:val="13"/>
                <w:szCs w:val="13"/>
                <w:spacing w:val="2"/>
                <w:position w:val="6"/>
              </w:rPr>
              <w:t>3</w:t>
            </w:r>
            <w:r>
              <w:rPr>
                <w:spacing w:val="2"/>
              </w:rPr>
              <w:t>、</w:t>
            </w:r>
            <w:r>
              <w:rPr/>
              <w:t xml:space="preserve"> </w:t>
            </w:r>
            <w:r>
              <w:rPr>
                <w:rFonts w:ascii="Times New Roman" w:hAnsi="Times New Roman" w:eastAsia="Times New Roman" w:cs="Times New Roman"/>
                <w:spacing w:val="3"/>
              </w:rPr>
              <w:t>3.5</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12"/>
              </w:rPr>
              <w:t xml:space="preserve"> </w:t>
            </w:r>
            <w:r>
              <w:rPr>
                <w:spacing w:val="3"/>
              </w:rPr>
              <w:t>、</w:t>
            </w:r>
            <w:r>
              <w:rPr>
                <w:rFonts w:ascii="Times New Roman" w:hAnsi="Times New Roman" w:eastAsia="Times New Roman" w:cs="Times New Roman"/>
                <w:spacing w:val="3"/>
              </w:rPr>
              <w:t>15m </w:t>
            </w:r>
            <w:r>
              <w:rPr>
                <w:spacing w:val="3"/>
              </w:rPr>
              <w:t>排气筒；</w:t>
            </w:r>
          </w:p>
          <w:p>
            <w:pPr>
              <w:pStyle w:val="TableText"/>
              <w:ind w:left="478" w:right="292" w:hanging="214"/>
              <w:spacing w:before="23" w:line="251" w:lineRule="auto"/>
              <w:rPr/>
            </w:pPr>
            <w:r>
              <w:rPr>
                <w:spacing w:val="3"/>
              </w:rPr>
              <w:t>有组织氟化物</w:t>
            </w:r>
            <w:r>
              <w:rPr>
                <w:spacing w:val="-31"/>
              </w:rPr>
              <w:t xml:space="preserve"> </w:t>
            </w:r>
            <w:r>
              <w:rPr>
                <w:rFonts w:ascii="Times New Roman" w:hAnsi="Times New Roman" w:eastAsia="Times New Roman" w:cs="Times New Roman"/>
                <w:spacing w:val="3"/>
              </w:rPr>
              <w:t>9.0</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z w:val="13"/>
                <w:szCs w:val="13"/>
                <w:spacing w:val="3"/>
                <w:position w:val="6"/>
              </w:rPr>
              <w:t>3</w:t>
            </w:r>
            <w:r>
              <w:rPr>
                <w:spacing w:val="3"/>
              </w:rPr>
              <w:t>、</w:t>
            </w:r>
            <w:r>
              <w:rPr/>
              <w:t xml:space="preserve"> </w:t>
            </w:r>
            <w:r>
              <w:rPr>
                <w:rFonts w:ascii="Times New Roman" w:hAnsi="Times New Roman" w:eastAsia="Times New Roman" w:cs="Times New Roman"/>
              </w:rPr>
              <w:t>0.</w:t>
            </w:r>
            <w:r>
              <w:rPr>
                <w:rFonts w:ascii="Times New Roman" w:hAnsi="Times New Roman" w:eastAsia="Times New Roman" w:cs="Times New Roman"/>
                <w:spacing w:val="-15"/>
              </w:rPr>
              <w:t xml:space="preserve"> </w:t>
            </w:r>
            <w:r>
              <w:rPr>
                <w:rFonts w:ascii="Times New Roman" w:hAnsi="Times New Roman" w:eastAsia="Times New Roman" w:cs="Times New Roman"/>
              </w:rPr>
              <w:t>1kg/h</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15m</w:t>
            </w:r>
            <w:r>
              <w:rPr>
                <w:rFonts w:ascii="Times New Roman" w:hAnsi="Times New Roman" w:eastAsia="Times New Roman" w:cs="Times New Roman"/>
                <w:spacing w:val="15"/>
              </w:rPr>
              <w:t xml:space="preserve"> </w:t>
            </w:r>
            <w:r>
              <w:rPr/>
              <w:t>排气筒</w:t>
            </w:r>
          </w:p>
        </w:tc>
        <w:tc>
          <w:tcPr>
            <w:tcW w:w="2635" w:type="dxa"/>
            <w:vAlign w:val="top"/>
            <w:vMerge w:val="continue"/>
            <w:tcBorders>
              <w:top w:val="nil"/>
            </w:tcBorders>
          </w:tcPr>
          <w:p>
            <w:pPr>
              <w:rPr>
                <w:rFonts w:ascii="Arial"/>
                <w:sz w:val="21"/>
              </w:rPr>
            </w:pPr>
            <w:r/>
          </w:p>
        </w:tc>
        <w:tc>
          <w:tcPr>
            <w:tcW w:w="987" w:type="dxa"/>
            <w:vAlign w:val="top"/>
          </w:tcPr>
          <w:p>
            <w:pPr>
              <w:spacing w:line="315" w:lineRule="auto"/>
              <w:rPr>
                <w:rFonts w:ascii="Arial"/>
                <w:sz w:val="21"/>
              </w:rPr>
            </w:pPr>
            <w:r/>
          </w:p>
          <w:p>
            <w:pPr>
              <w:pStyle w:val="TableText"/>
              <w:ind w:left="315" w:right="177" w:hanging="129"/>
              <w:spacing w:before="65" w:line="291" w:lineRule="auto"/>
              <w:rPr/>
            </w:pPr>
            <w:r>
              <w:rPr>
                <w:spacing w:val="5"/>
              </w:rPr>
              <w:t>排气筒</w:t>
            </w:r>
            <w:r>
              <w:rPr>
                <w:spacing w:val="12"/>
              </w:rPr>
              <w:t>出口</w:t>
            </w:r>
          </w:p>
        </w:tc>
        <w:tc>
          <w:tcPr>
            <w:tcW w:w="1727" w:type="dxa"/>
            <w:vAlign w:val="top"/>
            <w:vMerge w:val="continue"/>
            <w:tcBorders>
              <w:bottom w:val="nil"/>
              <w:top w:val="nil"/>
              <w:right w:val="nil"/>
            </w:tcBorders>
          </w:tcPr>
          <w:p>
            <w:pPr>
              <w:rPr>
                <w:rFonts w:ascii="Arial"/>
                <w:sz w:val="21"/>
              </w:rPr>
            </w:pPr>
            <w:r/>
          </w:p>
        </w:tc>
      </w:tr>
      <w:tr>
        <w:trPr>
          <w:trHeight w:val="960" w:hRule="atLeast"/>
        </w:trPr>
        <w:tc>
          <w:tcPr>
            <w:tcW w:w="441" w:type="dxa"/>
            <w:vAlign w:val="top"/>
            <w:vMerge w:val="continue"/>
            <w:tcBorders>
              <w:bottom w:val="single" w:color="000000" w:sz="10" w:space="0"/>
              <w:top w:val="nil"/>
              <w:left w:val="nil"/>
            </w:tcBorders>
          </w:tcPr>
          <w:p>
            <w:pPr>
              <w:rPr>
                <w:rFonts w:ascii="Arial"/>
                <w:sz w:val="21"/>
              </w:rPr>
            </w:pPr>
            <w:r/>
          </w:p>
        </w:tc>
        <w:tc>
          <w:tcPr>
            <w:tcW w:w="834" w:type="dxa"/>
            <w:vAlign w:val="top"/>
            <w:vMerge w:val="continue"/>
            <w:tcBorders>
              <w:bottom w:val="single" w:color="000000" w:sz="10" w:space="0"/>
              <w:top w:val="nil"/>
            </w:tcBorders>
          </w:tcPr>
          <w:p>
            <w:pPr>
              <w:rPr>
                <w:rFonts w:ascii="Arial"/>
                <w:sz w:val="21"/>
              </w:rPr>
            </w:pPr>
            <w:r/>
          </w:p>
        </w:tc>
        <w:tc>
          <w:tcPr>
            <w:tcW w:w="1750" w:type="dxa"/>
            <w:vAlign w:val="top"/>
            <w:tcBorders>
              <w:bottom w:val="single" w:color="000000" w:sz="10" w:space="0"/>
            </w:tcBorders>
          </w:tcPr>
          <w:p>
            <w:pPr>
              <w:pStyle w:val="TableText"/>
              <w:ind w:left="372" w:right="371" w:firstLine="93"/>
              <w:spacing w:before="230" w:line="295" w:lineRule="auto"/>
              <w:rPr/>
            </w:pPr>
            <w:r>
              <w:rPr>
                <w:spacing w:val="5"/>
              </w:rPr>
              <w:t>食堂油烟</w:t>
            </w:r>
            <w:r>
              <w:rPr>
                <w:spacing w:val="2"/>
              </w:rPr>
              <w:t>（</w:t>
            </w:r>
            <w:r>
              <w:rPr>
                <w:rFonts w:ascii="Times New Roman" w:hAnsi="Times New Roman" w:eastAsia="Times New Roman" w:cs="Times New Roman"/>
              </w:rPr>
              <w:t>DA</w:t>
            </w:r>
            <w:r>
              <w:rPr>
                <w:rFonts w:ascii="Times New Roman" w:hAnsi="Times New Roman" w:eastAsia="Times New Roman" w:cs="Times New Roman"/>
                <w:spacing w:val="2"/>
              </w:rPr>
              <w:t>006</w:t>
            </w:r>
            <w:r>
              <w:rPr>
                <w:spacing w:val="2"/>
              </w:rPr>
              <w:t>）</w:t>
            </w:r>
          </w:p>
        </w:tc>
        <w:tc>
          <w:tcPr>
            <w:tcW w:w="2947" w:type="dxa"/>
            <w:vAlign w:val="top"/>
            <w:tcBorders>
              <w:bottom w:val="single" w:color="000000" w:sz="10" w:space="0"/>
            </w:tcBorders>
          </w:tcPr>
          <w:p>
            <w:pPr>
              <w:pStyle w:val="TableText"/>
              <w:ind w:left="123"/>
              <w:spacing w:before="73" w:line="231" w:lineRule="auto"/>
              <w:rPr/>
            </w:pPr>
            <w:r>
              <w:rPr>
                <w:spacing w:val="8"/>
              </w:rPr>
              <w:t>油烟净化装置净化后（油烟净</w:t>
            </w:r>
          </w:p>
          <w:p>
            <w:pPr>
              <w:pStyle w:val="TableText"/>
              <w:ind w:left="119"/>
              <w:spacing w:before="61" w:line="231" w:lineRule="auto"/>
              <w:rPr/>
            </w:pPr>
            <w:r>
              <w:rPr>
                <w:spacing w:val="5"/>
              </w:rPr>
              <w:t>化效率</w:t>
            </w:r>
            <w:r>
              <w:rPr>
                <w:spacing w:val="-21"/>
              </w:rPr>
              <w:t xml:space="preserve"> </w:t>
            </w:r>
            <w:r>
              <w:rPr>
                <w:rFonts w:ascii="Times New Roman" w:hAnsi="Times New Roman" w:eastAsia="Times New Roman" w:cs="Times New Roman"/>
                <w:spacing w:val="5"/>
              </w:rPr>
              <w:t>80%</w:t>
            </w:r>
            <w:r>
              <w:rPr>
                <w:spacing w:val="5"/>
              </w:rPr>
              <w:t>）通过专用烟道引</w:t>
            </w:r>
          </w:p>
          <w:p>
            <w:pPr>
              <w:pStyle w:val="TableText"/>
              <w:ind w:left="964"/>
              <w:spacing w:before="61" w:line="231" w:lineRule="auto"/>
              <w:rPr/>
            </w:pPr>
            <w:r>
              <w:rPr>
                <w:spacing w:val="5"/>
              </w:rPr>
              <w:t>至屋顶排放</w:t>
            </w:r>
          </w:p>
        </w:tc>
        <w:tc>
          <w:tcPr>
            <w:tcW w:w="2853" w:type="dxa"/>
            <w:vAlign w:val="top"/>
            <w:tcBorders>
              <w:bottom w:val="single" w:color="000000" w:sz="10" w:space="0"/>
            </w:tcBorders>
          </w:tcPr>
          <w:p>
            <w:pPr>
              <w:spacing w:line="319" w:lineRule="auto"/>
              <w:rPr>
                <w:rFonts w:ascii="Arial"/>
                <w:sz w:val="21"/>
              </w:rPr>
            </w:pPr>
            <w:r/>
          </w:p>
          <w:p>
            <w:pPr>
              <w:pStyle w:val="TableText"/>
              <w:ind w:left="264"/>
              <w:spacing w:before="65" w:line="221" w:lineRule="auto"/>
              <w:rPr>
                <w:rFonts w:ascii="Times New Roman" w:hAnsi="Times New Roman" w:eastAsia="Times New Roman" w:cs="Times New Roman"/>
                <w:sz w:val="13"/>
                <w:szCs w:val="13"/>
              </w:rPr>
            </w:pPr>
            <w:r>
              <w:rPr>
                <w:spacing w:val="7"/>
              </w:rPr>
              <w:t>有组织食堂油烟</w:t>
            </w:r>
            <w:r>
              <w:rPr>
                <w:spacing w:val="-43"/>
              </w:rPr>
              <w:t xml:space="preserve"> </w:t>
            </w:r>
            <w:r>
              <w:rPr>
                <w:rFonts w:ascii="Times New Roman" w:hAnsi="Times New Roman" w:eastAsia="Times New Roman" w:cs="Times New Roman"/>
                <w:spacing w:val="7"/>
              </w:rPr>
              <w:t>2.0</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z w:val="13"/>
                <w:szCs w:val="13"/>
                <w:spacing w:val="7"/>
                <w:position w:val="6"/>
              </w:rPr>
              <w:t>3</w:t>
            </w:r>
          </w:p>
        </w:tc>
        <w:tc>
          <w:tcPr>
            <w:tcW w:w="2635" w:type="dxa"/>
            <w:vAlign w:val="top"/>
            <w:tcBorders>
              <w:bottom w:val="single" w:color="000000" w:sz="10" w:space="0"/>
            </w:tcBorders>
          </w:tcPr>
          <w:p>
            <w:pPr>
              <w:pStyle w:val="TableText"/>
              <w:ind w:left="118"/>
              <w:spacing w:before="73" w:line="231" w:lineRule="auto"/>
              <w:rPr/>
            </w:pPr>
            <w:r>
              <w:rPr/>
              <w:t>《饮食业油烟排放标准（试</w:t>
            </w:r>
          </w:p>
          <w:p>
            <w:pPr>
              <w:pStyle w:val="TableText"/>
              <w:ind w:left="151"/>
              <w:spacing w:before="62" w:line="229" w:lineRule="auto"/>
              <w:rPr/>
            </w:pPr>
            <w:r>
              <w:rPr>
                <w:spacing w:val="5"/>
              </w:rPr>
              <w:t>行）》（</w:t>
            </w:r>
            <w:r>
              <w:rPr>
                <w:rFonts w:ascii="Times New Roman" w:hAnsi="Times New Roman" w:eastAsia="Times New Roman" w:cs="Times New Roman"/>
              </w:rPr>
              <w:t>GB</w:t>
            </w:r>
            <w:r>
              <w:rPr>
                <w:rFonts w:ascii="Times New Roman" w:hAnsi="Times New Roman" w:eastAsia="Times New Roman" w:cs="Times New Roman"/>
                <w:spacing w:val="5"/>
              </w:rPr>
              <w:t>18483-2001</w:t>
            </w:r>
            <w:r>
              <w:rPr>
                <w:spacing w:val="5"/>
              </w:rPr>
              <w:t>）</w:t>
            </w:r>
          </w:p>
          <w:p>
            <w:pPr>
              <w:pStyle w:val="TableText"/>
              <w:ind w:left="410"/>
              <w:spacing w:before="63" w:line="231" w:lineRule="auto"/>
              <w:rPr/>
            </w:pPr>
            <w:r>
              <w:rPr>
                <w:spacing w:val="5"/>
              </w:rPr>
              <w:t>中型规模的标准要求</w:t>
            </w:r>
          </w:p>
        </w:tc>
        <w:tc>
          <w:tcPr>
            <w:tcW w:w="987" w:type="dxa"/>
            <w:vAlign w:val="top"/>
            <w:tcBorders>
              <w:bottom w:val="single" w:color="000000" w:sz="10" w:space="0"/>
            </w:tcBorders>
          </w:tcPr>
          <w:p>
            <w:pPr>
              <w:spacing w:line="318" w:lineRule="auto"/>
              <w:rPr>
                <w:rFonts w:ascii="Arial"/>
                <w:sz w:val="21"/>
              </w:rPr>
            </w:pPr>
            <w:r/>
          </w:p>
          <w:p>
            <w:pPr>
              <w:pStyle w:val="TableText"/>
              <w:ind w:left="188"/>
              <w:spacing w:before="65" w:line="232" w:lineRule="auto"/>
              <w:rPr/>
            </w:pPr>
            <w:r>
              <w:rPr>
                <w:spacing w:val="1"/>
              </w:rPr>
              <w:t>烟道</w:t>
            </w:r>
            <w:r>
              <w:rPr>
                <w:spacing w:val="-46"/>
              </w:rPr>
              <w:t xml:space="preserve"> </w:t>
            </w:r>
            <w:r>
              <w:rPr>
                <w:spacing w:val="1"/>
              </w:rPr>
              <w:t>口</w:t>
            </w:r>
          </w:p>
        </w:tc>
        <w:tc>
          <w:tcPr>
            <w:tcW w:w="1727" w:type="dxa"/>
            <w:vAlign w:val="top"/>
            <w:vMerge w:val="continue"/>
            <w:tcBorders>
              <w:bottom w:val="single" w:color="000000" w:sz="10" w:space="0"/>
              <w:top w:val="nil"/>
              <w:right w:val="nil"/>
            </w:tcBorders>
          </w:tcPr>
          <w:p>
            <w:pPr>
              <w:rPr>
                <w:rFonts w:ascii="Arial"/>
                <w:sz w:val="21"/>
              </w:rPr>
            </w:pPr>
            <w:r/>
          </w:p>
        </w:tc>
      </w:tr>
    </w:tbl>
    <w:p>
      <w:pPr>
        <w:pStyle w:val="BodyText"/>
        <w:rPr/>
      </w:pPr>
      <w:r/>
    </w:p>
    <w:p>
      <w:pPr>
        <w:sectPr>
          <w:footerReference w:type="default" r:id="rId402"/>
          <w:pgSz w:w="16839" w:h="11906"/>
          <w:pgMar w:top="400" w:right="1332" w:bottom="1358" w:left="1331" w:header="0" w:footer="1195"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7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1"/>
        <w:gridCol w:w="834"/>
        <w:gridCol w:w="1750"/>
        <w:gridCol w:w="2947"/>
        <w:gridCol w:w="2853"/>
        <w:gridCol w:w="2635"/>
        <w:gridCol w:w="987"/>
        <w:gridCol w:w="1727"/>
      </w:tblGrid>
      <w:tr>
        <w:trPr>
          <w:trHeight w:val="5919" w:hRule="atLeast"/>
        </w:trPr>
        <w:tc>
          <w:tcPr>
            <w:tcW w:w="441" w:type="dxa"/>
            <w:vAlign w:val="top"/>
            <w:tcBorders>
              <w:top w:val="single" w:color="000000" w:sz="10" w:space="0"/>
              <w:left w:val="nil"/>
              <w:bottom w:val="nil"/>
            </w:tcBorders>
          </w:tcPr>
          <w:p>
            <w:pPr>
              <w:rPr>
                <w:rFonts w:ascii="Arial"/>
                <w:sz w:val="21"/>
              </w:rPr>
            </w:pPr>
            <w:r/>
          </w:p>
        </w:tc>
        <w:tc>
          <w:tcPr>
            <w:tcW w:w="834" w:type="dxa"/>
            <w:vAlign w:val="top"/>
            <w:tcBorders>
              <w:top w:val="single" w:color="000000" w:sz="10" w:space="0"/>
            </w:tcBorders>
          </w:tcPr>
          <w:p>
            <w:pPr>
              <w:rPr>
                <w:rFonts w:ascii="Arial"/>
                <w:sz w:val="21"/>
              </w:rPr>
            </w:pPr>
            <w:r/>
          </w:p>
        </w:tc>
        <w:tc>
          <w:tcPr>
            <w:tcW w:w="1750" w:type="dxa"/>
            <w:vAlign w:val="top"/>
            <w:tcBorders>
              <w:top w:val="single" w:color="000000" w:sz="10"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53" w:right="175"/>
              <w:spacing w:before="65" w:line="289" w:lineRule="auto"/>
              <w:jc w:val="both"/>
              <w:rPr/>
            </w:pPr>
            <w:r>
              <w:rPr>
                <w:spacing w:val="2"/>
              </w:rPr>
              <w:t>道路运输扬尘、</w:t>
            </w:r>
            <w:r>
              <w:rPr>
                <w:spacing w:val="2"/>
              </w:rPr>
              <w:t>堆场装卸扬尘、</w:t>
            </w:r>
            <w:r>
              <w:rPr>
                <w:spacing w:val="24"/>
              </w:rPr>
              <w:t>选矿工艺废气</w:t>
            </w:r>
          </w:p>
        </w:tc>
        <w:tc>
          <w:tcPr>
            <w:tcW w:w="2947" w:type="dxa"/>
            <w:vAlign w:val="top"/>
            <w:tcBorders>
              <w:top w:val="single" w:color="000000" w:sz="10" w:space="0"/>
            </w:tcBorders>
          </w:tcPr>
          <w:p>
            <w:pPr>
              <w:pStyle w:val="TableText"/>
              <w:ind w:left="117" w:right="108" w:firstLine="422"/>
              <w:spacing w:before="53" w:line="288" w:lineRule="auto"/>
              <w:jc w:val="both"/>
              <w:rPr/>
            </w:pPr>
            <w:r>
              <w:rPr>
                <w:spacing w:val="8"/>
              </w:rPr>
              <w:t>运输车辆装载高度不高于</w:t>
            </w:r>
            <w:r>
              <w:rPr>
                <w:spacing w:val="8"/>
              </w:rPr>
              <w:t>车厢、加盖苦布以控制矿石运</w:t>
            </w:r>
            <w:r>
              <w:rPr>
                <w:spacing w:val="8"/>
              </w:rPr>
              <w:t>输风力扬尘和物料抛酒路面产</w:t>
            </w:r>
            <w:r>
              <w:rPr>
                <w:spacing w:val="8"/>
              </w:rPr>
              <w:t>生二次污染；应减速慢行，减</w:t>
            </w:r>
            <w:r>
              <w:rPr>
                <w:spacing w:val="8"/>
              </w:rPr>
              <w:t>少车辆颠簸，矿石抛酒，配置</w:t>
            </w:r>
            <w:r>
              <w:rPr>
                <w:spacing w:val="8"/>
              </w:rPr>
              <w:t>专人及时清扫路面，并配置洒</w:t>
            </w:r>
            <w:r>
              <w:rPr>
                <w:spacing w:val="7"/>
              </w:rPr>
              <w:t>水车定时洒水防尘。</w:t>
            </w:r>
          </w:p>
          <w:p>
            <w:pPr>
              <w:pStyle w:val="TableText"/>
              <w:ind w:left="117" w:right="108" w:firstLine="421"/>
              <w:spacing w:before="2" w:line="288" w:lineRule="auto"/>
              <w:jc w:val="both"/>
              <w:rPr/>
            </w:pPr>
            <w:r>
              <w:rPr>
                <w:spacing w:val="8"/>
              </w:rPr>
              <w:t>项目建设的堆场均采用素</w:t>
            </w:r>
            <w:r>
              <w:rPr>
                <w:spacing w:val="8"/>
              </w:rPr>
              <w:t>混凝土地面基础、全封闭彩钢</w:t>
            </w:r>
            <w:r>
              <w:rPr>
                <w:spacing w:val="5"/>
              </w:rPr>
              <w:t>结构建设。</w:t>
            </w:r>
            <w:r>
              <w:rPr>
                <w:spacing w:val="-51"/>
              </w:rPr>
              <w:t xml:space="preserve"> </w:t>
            </w:r>
            <w:r>
              <w:rPr>
                <w:spacing w:val="5"/>
              </w:rPr>
              <w:t>同时对本项目项目</w:t>
            </w:r>
            <w:r>
              <w:rPr>
                <w:spacing w:val="26"/>
              </w:rPr>
              <w:t>各堆场内的物料采用苫布覆</w:t>
            </w:r>
            <w:r>
              <w:rPr>
                <w:spacing w:val="8"/>
              </w:rPr>
              <w:t>盖，并在堆场及周围设置洒水</w:t>
            </w:r>
            <w:r>
              <w:rPr>
                <w:spacing w:val="8"/>
              </w:rPr>
              <w:t>抑尘装置有风、干燥情况下，</w:t>
            </w:r>
            <w:r>
              <w:rPr>
                <w:spacing w:val="4"/>
              </w:rPr>
              <w:t>定时洒水。</w:t>
            </w:r>
          </w:p>
          <w:p>
            <w:pPr>
              <w:pStyle w:val="TableText"/>
              <w:ind w:left="119" w:right="108" w:firstLine="420"/>
              <w:spacing w:before="1" w:line="274" w:lineRule="auto"/>
              <w:jc w:val="both"/>
              <w:rPr/>
            </w:pPr>
            <w:r>
              <w:rPr>
                <w:spacing w:val="8"/>
              </w:rPr>
              <w:t>项目车间无组织废气要求</w:t>
            </w:r>
            <w:r>
              <w:rPr>
                <w:spacing w:val="5"/>
              </w:rPr>
              <w:t>对厂房进行封闭设置，</w:t>
            </w:r>
            <w:r>
              <w:rPr>
                <w:spacing w:val="-52"/>
              </w:rPr>
              <w:t xml:space="preserve"> </w:t>
            </w:r>
            <w:r>
              <w:rPr>
                <w:spacing w:val="5"/>
              </w:rPr>
              <w:t>同时要</w:t>
            </w:r>
            <w:r>
              <w:rPr>
                <w:spacing w:val="8"/>
              </w:rPr>
              <w:t>求在车间及皮带运输机的卸料</w:t>
            </w:r>
            <w:r>
              <w:rPr>
                <w:spacing w:val="8"/>
              </w:rPr>
              <w:t>点设置喷雾降尘设施，并加强</w:t>
            </w:r>
            <w:r>
              <w:rPr>
                <w:spacing w:val="4"/>
              </w:rPr>
              <w:t>个体防护。</w:t>
            </w:r>
          </w:p>
        </w:tc>
        <w:tc>
          <w:tcPr>
            <w:tcW w:w="2853" w:type="dxa"/>
            <w:vAlign w:val="top"/>
            <w:tcBorders>
              <w:top w:val="single" w:color="000000" w:sz="10"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24" w:right="278" w:hanging="184"/>
              <w:spacing w:before="65" w:line="278" w:lineRule="auto"/>
              <w:rPr>
                <w:rFonts w:ascii="Times New Roman" w:hAnsi="Times New Roman" w:eastAsia="Times New Roman" w:cs="Times New Roman"/>
                <w:sz w:val="13"/>
                <w:szCs w:val="13"/>
              </w:rPr>
            </w:pPr>
            <w:r>
              <w:rPr>
                <w:spacing w:val="1"/>
              </w:rPr>
              <w:t>无组织颗粒物</w:t>
            </w:r>
            <w:r>
              <w:rPr>
                <w:spacing w:val="33"/>
              </w:rPr>
              <w:t xml:space="preserve"> </w:t>
            </w:r>
            <w:r>
              <w:rPr>
                <w:rFonts w:ascii="Times New Roman" w:hAnsi="Times New Roman" w:eastAsia="Times New Roman" w:cs="Times New Roman"/>
                <w:spacing w:val="1"/>
              </w:rPr>
              <w:t>1.0</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3"/>
                <w:szCs w:val="13"/>
                <w:spacing w:val="1"/>
                <w:position w:val="6"/>
              </w:rPr>
              <w:t>3</w:t>
            </w:r>
            <w:r>
              <w:rPr>
                <w:spacing w:val="1"/>
              </w:rPr>
              <w:t>；</w:t>
            </w:r>
            <w:r>
              <w:rPr>
                <w:spacing w:val="5"/>
              </w:rPr>
              <w:t>无组织氟化物</w:t>
            </w:r>
            <w:r>
              <w:rPr>
                <w:spacing w:val="-37"/>
              </w:rPr>
              <w:t xml:space="preserve"> </w:t>
            </w:r>
            <w:r>
              <w:rPr>
                <w:rFonts w:ascii="Times New Roman" w:hAnsi="Times New Roman" w:eastAsia="Times New Roman" w:cs="Times New Roman"/>
                <w:spacing w:val="5"/>
              </w:rPr>
              <w:t>20μg/m</w:t>
            </w:r>
            <w:r>
              <w:rPr>
                <w:rFonts w:ascii="Times New Roman" w:hAnsi="Times New Roman" w:eastAsia="Times New Roman" w:cs="Times New Roman"/>
                <w:sz w:val="13"/>
                <w:szCs w:val="13"/>
                <w:spacing w:val="5"/>
                <w:position w:val="6"/>
              </w:rPr>
              <w:t>3</w:t>
            </w:r>
          </w:p>
        </w:tc>
        <w:tc>
          <w:tcPr>
            <w:tcW w:w="2635" w:type="dxa"/>
            <w:vAlign w:val="top"/>
            <w:tcBorders>
              <w:top w:val="single" w:color="000000" w:sz="10"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21" w:right="106" w:firstLine="52"/>
              <w:spacing w:before="65" w:line="288" w:lineRule="auto"/>
              <w:jc w:val="both"/>
              <w:rPr/>
            </w:pPr>
            <w:r>
              <w:rPr>
                <w:spacing w:val="8"/>
              </w:rPr>
              <w:t>《大气污染物综合排放标</w:t>
            </w:r>
            <w:r>
              <w:rPr/>
              <w:t>准》（</w:t>
            </w:r>
            <w:r>
              <w:rPr>
                <w:rFonts w:ascii="Times New Roman" w:hAnsi="Times New Roman" w:eastAsia="Times New Roman" w:cs="Times New Roman"/>
              </w:rPr>
              <w:t>GB16297-1996</w:t>
            </w:r>
            <w:r>
              <w:rPr/>
              <w:t>）表</w:t>
            </w:r>
            <w:r>
              <w:rPr>
                <w:spacing w:val="-44"/>
              </w:rPr>
              <w:t xml:space="preserve"> </w:t>
            </w:r>
            <w:r>
              <w:rPr>
                <w:rFonts w:ascii="Times New Roman" w:hAnsi="Times New Roman" w:eastAsia="Times New Roman" w:cs="Times New Roman"/>
              </w:rPr>
              <w:t>2</w:t>
            </w:r>
            <w:r>
              <w:rPr>
                <w:spacing w:val="13"/>
              </w:rPr>
              <w:t>无组织排放浓度限值要求</w:t>
            </w:r>
          </w:p>
        </w:tc>
        <w:tc>
          <w:tcPr>
            <w:tcW w:w="987" w:type="dxa"/>
            <w:vAlign w:val="top"/>
            <w:tcBorders>
              <w:top w:val="single" w:color="000000" w:sz="10"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93"/>
              <w:spacing w:before="65" w:line="232" w:lineRule="auto"/>
              <w:rPr/>
            </w:pPr>
            <w:r>
              <w:rPr>
                <w:spacing w:val="2"/>
              </w:rPr>
              <w:t>厂界</w:t>
            </w:r>
          </w:p>
        </w:tc>
        <w:tc>
          <w:tcPr>
            <w:tcW w:w="1727" w:type="dxa"/>
            <w:vAlign w:val="top"/>
            <w:tcBorders>
              <w:top w:val="single" w:color="000000" w:sz="10" w:space="0"/>
              <w:right w:val="nil"/>
            </w:tcBorders>
          </w:tcPr>
          <w:p>
            <w:pPr>
              <w:rPr>
                <w:rFonts w:ascii="Arial"/>
                <w:sz w:val="21"/>
              </w:rPr>
            </w:pPr>
            <w:r/>
          </w:p>
        </w:tc>
      </w:tr>
      <w:tr>
        <w:trPr>
          <w:trHeight w:val="1249" w:hRule="atLeast"/>
        </w:trPr>
        <w:tc>
          <w:tcPr>
            <w:tcW w:w="441" w:type="dxa"/>
            <w:vAlign w:val="top"/>
            <w:tcBorders>
              <w:left w:val="nil"/>
              <w:bottom w:val="nil"/>
              <w:top w:val="nil"/>
            </w:tcBorders>
          </w:tcPr>
          <w:p>
            <w:pPr>
              <w:rPr>
                <w:rFonts w:ascii="Arial"/>
                <w:sz w:val="21"/>
              </w:rPr>
            </w:pPr>
            <w:r/>
          </w:p>
        </w:tc>
        <w:tc>
          <w:tcPr>
            <w:tcW w:w="834" w:type="dxa"/>
            <w:vAlign w:val="top"/>
          </w:tcPr>
          <w:p>
            <w:pPr>
              <w:spacing w:line="469" w:lineRule="auto"/>
              <w:rPr>
                <w:rFonts w:ascii="Arial"/>
                <w:sz w:val="21"/>
              </w:rPr>
            </w:pPr>
            <w:r/>
          </w:p>
          <w:p>
            <w:pPr>
              <w:pStyle w:val="TableText"/>
              <w:ind w:left="227"/>
              <w:spacing w:before="65" w:line="231" w:lineRule="auto"/>
              <w:rPr/>
            </w:pPr>
            <w:r>
              <w:rPr>
                <w:spacing w:val="-3"/>
              </w:rPr>
              <w:t>噪声</w:t>
            </w:r>
          </w:p>
        </w:tc>
        <w:tc>
          <w:tcPr>
            <w:tcW w:w="1750" w:type="dxa"/>
            <w:vAlign w:val="top"/>
          </w:tcPr>
          <w:p>
            <w:pPr>
              <w:spacing w:line="313" w:lineRule="auto"/>
              <w:rPr>
                <w:rFonts w:ascii="Arial"/>
                <w:sz w:val="21"/>
              </w:rPr>
            </w:pPr>
            <w:r/>
          </w:p>
          <w:p>
            <w:pPr>
              <w:pStyle w:val="TableText"/>
              <w:ind w:left="576" w:right="137" w:hanging="412"/>
              <w:spacing w:before="65" w:line="287" w:lineRule="auto"/>
              <w:rPr/>
            </w:pPr>
            <w:r>
              <w:rPr>
                <w:spacing w:val="6"/>
              </w:rPr>
              <w:t>生产设备、运输</w:t>
            </w:r>
            <w:r>
              <w:rPr>
                <w:spacing w:val="3"/>
              </w:rPr>
              <w:t>车辆等</w:t>
            </w:r>
          </w:p>
        </w:tc>
        <w:tc>
          <w:tcPr>
            <w:tcW w:w="5800" w:type="dxa"/>
            <w:vAlign w:val="top"/>
            <w:gridSpan w:val="2"/>
          </w:tcPr>
          <w:p>
            <w:pPr>
              <w:pStyle w:val="TableText"/>
              <w:ind w:left="118" w:right="105" w:firstLine="432"/>
              <w:spacing w:before="68" w:line="270" w:lineRule="auto"/>
              <w:jc w:val="both"/>
              <w:rPr/>
            </w:pPr>
            <w:r>
              <w:rPr>
                <w:spacing w:val="5"/>
              </w:rPr>
              <w:t>生产设备选用低噪声设备，设备加装减振和消音装置，定</w:t>
            </w:r>
            <w:r>
              <w:rPr>
                <w:spacing w:val="6"/>
              </w:rPr>
              <w:t>期检修；禁鸣标识：对于开采现场的工作人员，钻机、凿岩机</w:t>
            </w:r>
            <w:r>
              <w:rPr>
                <w:spacing w:val="6"/>
              </w:rPr>
              <w:t>等排放的高噪声对其影响较大，需为操作人员配备隔音耳罩或</w:t>
            </w:r>
            <w:r>
              <w:rPr>
                <w:spacing w:val="7"/>
              </w:rPr>
              <w:t>耳塞保护听力</w:t>
            </w:r>
          </w:p>
        </w:tc>
        <w:tc>
          <w:tcPr>
            <w:tcW w:w="2635" w:type="dxa"/>
            <w:vAlign w:val="top"/>
          </w:tcPr>
          <w:p>
            <w:pPr>
              <w:pStyle w:val="TableText"/>
              <w:ind w:left="799" w:right="160" w:hanging="626"/>
              <w:spacing w:before="69" w:line="288" w:lineRule="auto"/>
              <w:rPr/>
            </w:pPr>
            <w:r>
              <w:rPr>
                <w:spacing w:val="8"/>
              </w:rPr>
              <w:t>《工业企业厂界环境噪声</w:t>
            </w:r>
            <w:r>
              <w:rPr>
                <w:spacing w:val="5"/>
              </w:rPr>
              <w:t>排放标准》</w:t>
            </w:r>
          </w:p>
          <w:p>
            <w:pPr>
              <w:pStyle w:val="TableText"/>
              <w:ind w:left="905" w:right="138" w:hanging="751"/>
              <w:spacing w:before="1" w:line="251" w:lineRule="auto"/>
              <w:rPr/>
            </w:pPr>
            <w:r>
              <w:rPr/>
              <w:t>（</w:t>
            </w:r>
            <w:r>
              <w:rPr>
                <w:rFonts w:ascii="Times New Roman" w:hAnsi="Times New Roman" w:eastAsia="Times New Roman" w:cs="Times New Roman"/>
              </w:rPr>
              <w:t>GB12348-2008</w:t>
            </w:r>
            <w:r>
              <w:rPr/>
              <w:t>）</w:t>
            </w:r>
            <w:r>
              <w:rPr>
                <w:spacing w:val="-41"/>
              </w:rPr>
              <w:t xml:space="preserve"> </w:t>
            </w:r>
            <w:r>
              <w:rPr/>
              <w:t>中</w:t>
            </w:r>
            <w:r>
              <w:rPr>
                <w:spacing w:val="-36"/>
              </w:rPr>
              <w:t xml:space="preserve"> </w:t>
            </w:r>
            <w:r>
              <w:rPr>
                <w:rFonts w:ascii="Times New Roman" w:hAnsi="Times New Roman" w:eastAsia="Times New Roman" w:cs="Times New Roman"/>
              </w:rPr>
              <w:t>3</w:t>
            </w:r>
            <w:r>
              <w:rPr>
                <w:rFonts w:ascii="Times New Roman" w:hAnsi="Times New Roman" w:eastAsia="Times New Roman" w:cs="Times New Roman"/>
                <w:spacing w:val="17"/>
                <w:w w:val="101"/>
              </w:rPr>
              <w:t xml:space="preserve"> </w:t>
            </w:r>
            <w:r>
              <w:rPr/>
              <w:t>类</w:t>
            </w:r>
            <w:r>
              <w:rPr>
                <w:spacing w:val="6"/>
              </w:rPr>
              <w:t>排放标准</w:t>
            </w:r>
          </w:p>
        </w:tc>
        <w:tc>
          <w:tcPr>
            <w:tcW w:w="987" w:type="dxa"/>
            <w:vAlign w:val="top"/>
          </w:tcPr>
          <w:p>
            <w:pPr>
              <w:spacing w:line="468" w:lineRule="auto"/>
              <w:rPr>
                <w:rFonts w:ascii="Arial"/>
                <w:sz w:val="21"/>
              </w:rPr>
            </w:pPr>
            <w:r/>
          </w:p>
          <w:p>
            <w:pPr>
              <w:pStyle w:val="TableText"/>
              <w:ind w:left="293"/>
              <w:spacing w:before="65" w:line="232" w:lineRule="auto"/>
              <w:rPr/>
            </w:pPr>
            <w:r>
              <w:rPr>
                <w:spacing w:val="2"/>
              </w:rPr>
              <w:t>厂界</w:t>
            </w:r>
          </w:p>
        </w:tc>
        <w:tc>
          <w:tcPr>
            <w:tcW w:w="1727" w:type="dxa"/>
            <w:vAlign w:val="top"/>
            <w:tcBorders>
              <w:right w:val="nil"/>
            </w:tcBorders>
          </w:tcPr>
          <w:p>
            <w:pPr>
              <w:spacing w:line="469" w:lineRule="auto"/>
              <w:rPr>
                <w:rFonts w:ascii="Arial"/>
                <w:sz w:val="21"/>
              </w:rPr>
            </w:pPr>
            <w:r/>
          </w:p>
          <w:p>
            <w:pPr>
              <w:pStyle w:val="TableText"/>
              <w:ind w:left="242"/>
              <w:spacing w:before="65" w:line="231" w:lineRule="auto"/>
              <w:rPr/>
            </w:pPr>
            <w:r>
              <w:rPr>
                <w:spacing w:val="7"/>
              </w:rPr>
              <w:t>厂界噪声监测</w:t>
            </w:r>
          </w:p>
        </w:tc>
      </w:tr>
      <w:tr>
        <w:trPr>
          <w:trHeight w:val="907" w:hRule="atLeast"/>
        </w:trPr>
        <w:tc>
          <w:tcPr>
            <w:tcW w:w="441" w:type="dxa"/>
            <w:vAlign w:val="top"/>
            <w:tcBorders>
              <w:bottom w:val="single" w:color="000000" w:sz="10" w:space="0"/>
              <w:left w:val="nil"/>
              <w:top w:val="nil"/>
            </w:tcBorders>
          </w:tcPr>
          <w:p>
            <w:pPr>
              <w:rPr>
                <w:rFonts w:ascii="Arial"/>
                <w:sz w:val="21"/>
              </w:rPr>
            </w:pPr>
            <w:r/>
          </w:p>
        </w:tc>
        <w:tc>
          <w:tcPr>
            <w:tcW w:w="834" w:type="dxa"/>
            <w:vAlign w:val="top"/>
            <w:tcBorders>
              <w:bottom w:val="single" w:color="000000" w:sz="10" w:space="0"/>
            </w:tcBorders>
          </w:tcPr>
          <w:p>
            <w:pPr>
              <w:pStyle w:val="TableText"/>
              <w:ind w:left="220" w:right="206" w:firstLine="19"/>
              <w:spacing w:before="201" w:line="288" w:lineRule="auto"/>
              <w:rPr/>
            </w:pPr>
            <w:r>
              <w:rPr>
                <w:spacing w:val="-10"/>
              </w:rPr>
              <w:t>固体</w:t>
            </w:r>
            <w:r>
              <w:rPr/>
              <w:t>废物</w:t>
            </w:r>
          </w:p>
        </w:tc>
        <w:tc>
          <w:tcPr>
            <w:tcW w:w="1750" w:type="dxa"/>
            <w:vAlign w:val="top"/>
            <w:tcBorders>
              <w:bottom w:val="single" w:color="000000" w:sz="10" w:space="0"/>
            </w:tcBorders>
          </w:tcPr>
          <w:p>
            <w:pPr>
              <w:pStyle w:val="TableText"/>
              <w:ind w:left="120" w:right="18" w:firstLine="44"/>
              <w:spacing w:before="201" w:line="289" w:lineRule="auto"/>
              <w:rPr/>
            </w:pPr>
            <w:r>
              <w:rPr>
                <w:spacing w:val="6"/>
              </w:rPr>
              <w:t>生活垃圾、餐厨</w:t>
            </w:r>
            <w:r>
              <w:rPr/>
              <w:t>垃圾（含废油脂）</w:t>
            </w:r>
          </w:p>
        </w:tc>
        <w:tc>
          <w:tcPr>
            <w:tcW w:w="8435" w:type="dxa"/>
            <w:vAlign w:val="top"/>
            <w:gridSpan w:val="3"/>
            <w:tcBorders>
              <w:bottom w:val="single" w:color="000000" w:sz="10" w:space="0"/>
            </w:tcBorders>
          </w:tcPr>
          <w:p>
            <w:pPr>
              <w:pStyle w:val="TableText"/>
              <w:ind w:left="879"/>
              <w:spacing w:before="202" w:line="230" w:lineRule="auto"/>
              <w:rPr/>
            </w:pPr>
            <w:r>
              <w:rPr>
                <w:spacing w:val="9"/>
              </w:rPr>
              <w:t>生活垃圾采用垃圾桶收集，集中收集后定期交由当地环卫</w:t>
            </w:r>
            <w:r>
              <w:rPr>
                <w:spacing w:val="8"/>
              </w:rPr>
              <w:t>部门统一处理；</w:t>
            </w:r>
          </w:p>
          <w:p>
            <w:pPr>
              <w:pStyle w:val="TableText"/>
              <w:ind w:left="870"/>
              <w:spacing w:before="63" w:line="229" w:lineRule="auto"/>
              <w:rPr/>
            </w:pPr>
            <w:r>
              <w:rPr>
                <w:spacing w:val="9"/>
              </w:rPr>
              <w:t>餐厨垃圾（含废油脂）集中密闭桶装收集，定期交由有资质的单位处理；</w:t>
            </w:r>
          </w:p>
        </w:tc>
        <w:tc>
          <w:tcPr>
            <w:tcW w:w="987" w:type="dxa"/>
            <w:vAlign w:val="top"/>
            <w:tcBorders>
              <w:bottom w:val="single" w:color="000000" w:sz="10" w:space="0"/>
            </w:tcBorders>
          </w:tcPr>
          <w:p>
            <w:pPr>
              <w:spacing w:line="331" w:lineRule="auto"/>
              <w:rPr>
                <w:rFonts w:ascii="Arial"/>
                <w:sz w:val="21"/>
              </w:rPr>
            </w:pPr>
            <w:r/>
          </w:p>
          <w:p>
            <w:pPr>
              <w:ind w:left="46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27" w:type="dxa"/>
            <w:vAlign w:val="top"/>
            <w:tcBorders>
              <w:bottom w:val="single" w:color="000000" w:sz="10" w:space="0"/>
              <w:right w:val="nil"/>
            </w:tcBorders>
          </w:tcPr>
          <w:p>
            <w:pPr>
              <w:pStyle w:val="TableText"/>
              <w:ind w:left="141" w:right="129"/>
              <w:spacing w:before="202" w:line="287" w:lineRule="auto"/>
              <w:rPr/>
            </w:pPr>
            <w:r>
              <w:rPr>
                <w:spacing w:val="7"/>
              </w:rPr>
              <w:t>检查固体废物收</w:t>
            </w:r>
            <w:r>
              <w:rPr>
                <w:spacing w:val="7"/>
              </w:rPr>
              <w:t>集、储存、处置</w:t>
            </w:r>
          </w:p>
        </w:tc>
      </w:tr>
    </w:tbl>
    <w:p>
      <w:pPr>
        <w:pStyle w:val="BodyText"/>
        <w:rPr/>
      </w:pPr>
      <w:r/>
    </w:p>
    <w:p>
      <w:pPr>
        <w:sectPr>
          <w:footerReference w:type="default" r:id="rId403"/>
          <w:pgSz w:w="16839" w:h="11906"/>
          <w:pgMar w:top="400" w:right="1332" w:bottom="1358" w:left="1331" w:header="0" w:footer="1195"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7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1"/>
        <w:gridCol w:w="834"/>
        <w:gridCol w:w="808"/>
        <w:gridCol w:w="942"/>
        <w:gridCol w:w="5800"/>
        <w:gridCol w:w="2635"/>
        <w:gridCol w:w="987"/>
        <w:gridCol w:w="1727"/>
      </w:tblGrid>
      <w:tr>
        <w:trPr>
          <w:trHeight w:val="611" w:hRule="atLeast"/>
        </w:trPr>
        <w:tc>
          <w:tcPr>
            <w:tcW w:w="441" w:type="dxa"/>
            <w:vAlign w:val="top"/>
            <w:vMerge w:val="restart"/>
            <w:tcBorders>
              <w:top w:val="single" w:color="000000" w:sz="10" w:space="0"/>
              <w:left w:val="nil"/>
              <w:bottom w:val="nil"/>
            </w:tcBorders>
          </w:tcPr>
          <w:p>
            <w:pPr>
              <w:rPr>
                <w:rFonts w:ascii="Arial"/>
                <w:sz w:val="21"/>
              </w:rPr>
            </w:pPr>
            <w:r/>
          </w:p>
        </w:tc>
        <w:tc>
          <w:tcPr>
            <w:tcW w:w="834" w:type="dxa"/>
            <w:vAlign w:val="top"/>
            <w:vMerge w:val="restart"/>
            <w:tcBorders>
              <w:top w:val="single" w:color="000000" w:sz="10" w:space="0"/>
              <w:bottom w:val="nil"/>
            </w:tcBorders>
          </w:tcPr>
          <w:p>
            <w:pPr>
              <w:rPr>
                <w:rFonts w:ascii="Arial"/>
                <w:sz w:val="21"/>
              </w:rPr>
            </w:pPr>
            <w:r/>
          </w:p>
        </w:tc>
        <w:tc>
          <w:tcPr>
            <w:tcW w:w="808" w:type="dxa"/>
            <w:vAlign w:val="top"/>
            <w:vMerge w:val="restart"/>
            <w:tcBorders>
              <w:top w:val="single" w:color="000000" w:sz="10" w:space="0"/>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07" w:right="193"/>
              <w:spacing w:before="65" w:line="288" w:lineRule="auto"/>
              <w:jc w:val="both"/>
              <w:rPr/>
            </w:pPr>
            <w:r>
              <w:rPr/>
              <w:t>一般</w:t>
            </w:r>
            <w:r>
              <w:rPr/>
              <w:t>工业</w:t>
            </w:r>
            <w:r>
              <w:rPr/>
              <w:t>固体</w:t>
            </w:r>
            <w:r>
              <w:rPr/>
              <w:t>废物</w:t>
            </w:r>
          </w:p>
        </w:tc>
        <w:tc>
          <w:tcPr>
            <w:tcW w:w="942" w:type="dxa"/>
            <w:vAlign w:val="top"/>
            <w:tcBorders>
              <w:top w:val="single" w:color="000000" w:sz="10" w:space="0"/>
            </w:tcBorders>
          </w:tcPr>
          <w:p>
            <w:pPr>
              <w:pStyle w:val="TableText"/>
              <w:ind w:left="376" w:right="154" w:hanging="207"/>
              <w:spacing w:before="35" w:line="261" w:lineRule="auto"/>
              <w:rPr/>
            </w:pPr>
            <w:r>
              <w:rPr>
                <w:spacing w:val="4"/>
              </w:rPr>
              <w:t>采矿废</w:t>
            </w:r>
            <w:r>
              <w:rPr/>
              <w:t>石</w:t>
            </w:r>
          </w:p>
        </w:tc>
        <w:tc>
          <w:tcPr>
            <w:tcW w:w="5800" w:type="dxa"/>
            <w:vAlign w:val="top"/>
            <w:tcBorders>
              <w:top w:val="single" w:color="000000" w:sz="10" w:space="0"/>
            </w:tcBorders>
          </w:tcPr>
          <w:p>
            <w:pPr>
              <w:pStyle w:val="TableText"/>
              <w:ind w:left="1234"/>
              <w:spacing w:before="192" w:line="231" w:lineRule="auto"/>
              <w:rPr/>
            </w:pPr>
            <w:r>
              <w:rPr>
                <w:spacing w:val="8"/>
              </w:rPr>
              <w:t>废石不出坑，直接回填至井下采空区</w:t>
            </w:r>
          </w:p>
        </w:tc>
        <w:tc>
          <w:tcPr>
            <w:tcW w:w="2635" w:type="dxa"/>
            <w:vAlign w:val="top"/>
            <w:vMerge w:val="restart"/>
            <w:tcBorders>
              <w:top w:val="single" w:color="000000" w:sz="10" w:space="0"/>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76" w:right="160" w:hanging="103"/>
              <w:spacing w:before="65" w:line="288" w:lineRule="auto"/>
              <w:rPr/>
            </w:pPr>
            <w:r>
              <w:rPr>
                <w:spacing w:val="8"/>
              </w:rPr>
              <w:t>《一般工业固体废物贮存</w:t>
            </w:r>
            <w:r>
              <w:rPr>
                <w:spacing w:val="7"/>
              </w:rPr>
              <w:t>和填埋污染控制标准》</w:t>
            </w:r>
          </w:p>
          <w:p>
            <w:pPr>
              <w:pStyle w:val="TableText"/>
              <w:ind w:left="469"/>
              <w:spacing w:line="265" w:lineRule="exact"/>
              <w:rPr/>
            </w:pPr>
            <w:r>
              <w:rPr>
                <w:spacing w:val="4"/>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4"/>
                <w:position w:val="1"/>
              </w:rPr>
              <w:t>18599-2020</w:t>
            </w:r>
            <w:r>
              <w:rPr>
                <w:spacing w:val="4"/>
                <w:position w:val="1"/>
              </w:rPr>
              <w:t>）</w:t>
            </w:r>
          </w:p>
        </w:tc>
        <w:tc>
          <w:tcPr>
            <w:tcW w:w="987" w:type="dxa"/>
            <w:vAlign w:val="top"/>
            <w:vMerge w:val="restart"/>
            <w:tcBorders>
              <w:top w:val="single" w:color="000000" w:sz="10" w:space="0"/>
              <w:bottom w:val="nil"/>
            </w:tcBorders>
          </w:tcPr>
          <w:p>
            <w:pPr>
              <w:rPr>
                <w:rFonts w:ascii="Arial"/>
                <w:sz w:val="21"/>
              </w:rPr>
            </w:pPr>
            <w:r/>
          </w:p>
        </w:tc>
        <w:tc>
          <w:tcPr>
            <w:tcW w:w="1727" w:type="dxa"/>
            <w:vAlign w:val="top"/>
            <w:vMerge w:val="restart"/>
            <w:tcBorders>
              <w:top w:val="single" w:color="000000" w:sz="10" w:space="0"/>
              <w:right w:val="nil"/>
              <w:bottom w:val="nil"/>
            </w:tcBorders>
          </w:tcPr>
          <w:p>
            <w:pPr>
              <w:pStyle w:val="TableText"/>
              <w:ind w:left="668"/>
              <w:spacing w:before="35" w:line="232" w:lineRule="auto"/>
              <w:rPr/>
            </w:pPr>
            <w:r>
              <w:rPr>
                <w:spacing w:val="-1"/>
              </w:rPr>
              <w:t>方式</w:t>
            </w:r>
          </w:p>
        </w:tc>
      </w:tr>
      <w:tr>
        <w:trPr>
          <w:trHeight w:val="627" w:hRule="atLeast"/>
        </w:trPr>
        <w:tc>
          <w:tcPr>
            <w:tcW w:w="441" w:type="dxa"/>
            <w:vAlign w:val="top"/>
            <w:vMerge w:val="continue"/>
            <w:tcBorders>
              <w:top w:val="nil"/>
              <w:left w:val="nil"/>
              <w:bottom w:val="nil"/>
            </w:tcBorders>
          </w:tcPr>
          <w:p>
            <w:pPr>
              <w:rPr>
                <w:rFonts w:ascii="Arial"/>
                <w:sz w:val="21"/>
              </w:rPr>
            </w:pPr>
            <w:r/>
          </w:p>
        </w:tc>
        <w:tc>
          <w:tcPr>
            <w:tcW w:w="834" w:type="dxa"/>
            <w:vAlign w:val="top"/>
            <w:vMerge w:val="continue"/>
            <w:tcBorders>
              <w:top w:val="nil"/>
              <w:bottom w:val="nil"/>
            </w:tcBorders>
          </w:tcPr>
          <w:p>
            <w:pPr>
              <w:rPr>
                <w:rFonts w:ascii="Arial"/>
                <w:sz w:val="21"/>
              </w:rPr>
            </w:pPr>
            <w:r/>
          </w:p>
        </w:tc>
        <w:tc>
          <w:tcPr>
            <w:tcW w:w="808" w:type="dxa"/>
            <w:vAlign w:val="top"/>
            <w:vMerge w:val="continue"/>
            <w:tcBorders>
              <w:top w:val="nil"/>
              <w:bottom w:val="nil"/>
            </w:tcBorders>
          </w:tcPr>
          <w:p>
            <w:pPr>
              <w:rPr>
                <w:rFonts w:ascii="Arial"/>
                <w:sz w:val="21"/>
              </w:rPr>
            </w:pPr>
            <w:r/>
          </w:p>
        </w:tc>
        <w:tc>
          <w:tcPr>
            <w:tcW w:w="942" w:type="dxa"/>
            <w:vAlign w:val="top"/>
          </w:tcPr>
          <w:p>
            <w:pPr>
              <w:pStyle w:val="TableText"/>
              <w:ind w:left="375" w:right="154" w:hanging="203"/>
              <w:spacing w:before="53" w:line="260" w:lineRule="auto"/>
              <w:rPr/>
            </w:pPr>
            <w:r>
              <w:rPr>
                <w:spacing w:val="3"/>
              </w:rPr>
              <w:t>沉淀污</w:t>
            </w:r>
            <w:r>
              <w:rPr/>
              <w:t>泥</w:t>
            </w:r>
          </w:p>
        </w:tc>
        <w:tc>
          <w:tcPr>
            <w:tcW w:w="5800" w:type="dxa"/>
            <w:vAlign w:val="top"/>
          </w:tcPr>
          <w:p>
            <w:pPr>
              <w:pStyle w:val="TableText"/>
              <w:ind w:left="398"/>
              <w:spacing w:before="209" w:line="229" w:lineRule="auto"/>
              <w:rPr/>
            </w:pPr>
            <w:r>
              <w:rPr>
                <w:spacing w:val="7"/>
              </w:rPr>
              <w:t>高位水池、</w:t>
            </w:r>
            <w:r>
              <w:rPr>
                <w:spacing w:val="-52"/>
              </w:rPr>
              <w:t xml:space="preserve"> </w:t>
            </w:r>
            <w:r>
              <w:rPr>
                <w:spacing w:val="7"/>
              </w:rPr>
              <w:t>回水池产生的污泥直接返回选矿工序作原料</w:t>
            </w:r>
          </w:p>
        </w:tc>
        <w:tc>
          <w:tcPr>
            <w:tcW w:w="2635" w:type="dxa"/>
            <w:vAlign w:val="top"/>
            <w:vMerge w:val="continue"/>
            <w:tcBorders>
              <w:top w:val="nil"/>
              <w:bottom w:val="nil"/>
            </w:tcBorders>
          </w:tcPr>
          <w:p>
            <w:pPr>
              <w:rPr>
                <w:rFonts w:ascii="Arial"/>
                <w:sz w:val="21"/>
              </w:rPr>
            </w:pPr>
            <w:r/>
          </w:p>
        </w:tc>
        <w:tc>
          <w:tcPr>
            <w:tcW w:w="987" w:type="dxa"/>
            <w:vAlign w:val="top"/>
            <w:vMerge w:val="continue"/>
            <w:tcBorders>
              <w:top w:val="nil"/>
              <w:bottom w:val="nil"/>
            </w:tcBorders>
          </w:tcPr>
          <w:p>
            <w:pPr>
              <w:rPr>
                <w:rFonts w:ascii="Arial"/>
                <w:sz w:val="21"/>
              </w:rPr>
            </w:pPr>
            <w:r/>
          </w:p>
        </w:tc>
        <w:tc>
          <w:tcPr>
            <w:tcW w:w="1727" w:type="dxa"/>
            <w:vAlign w:val="top"/>
            <w:vMerge w:val="continue"/>
            <w:tcBorders>
              <w:top w:val="nil"/>
              <w:right w:val="nil"/>
              <w:bottom w:val="nil"/>
            </w:tcBorders>
          </w:tcPr>
          <w:p>
            <w:pPr>
              <w:rPr>
                <w:rFonts w:ascii="Arial"/>
                <w:sz w:val="21"/>
              </w:rPr>
            </w:pPr>
            <w:r/>
          </w:p>
        </w:tc>
      </w:tr>
      <w:tr>
        <w:trPr>
          <w:trHeight w:val="627" w:hRule="atLeast"/>
        </w:trPr>
        <w:tc>
          <w:tcPr>
            <w:tcW w:w="441" w:type="dxa"/>
            <w:vAlign w:val="top"/>
            <w:vMerge w:val="continue"/>
            <w:tcBorders>
              <w:top w:val="nil"/>
              <w:left w:val="nil"/>
              <w:bottom w:val="nil"/>
            </w:tcBorders>
          </w:tcPr>
          <w:p>
            <w:pPr>
              <w:rPr>
                <w:rFonts w:ascii="Arial"/>
                <w:sz w:val="21"/>
              </w:rPr>
            </w:pPr>
            <w:r/>
          </w:p>
        </w:tc>
        <w:tc>
          <w:tcPr>
            <w:tcW w:w="834" w:type="dxa"/>
            <w:vAlign w:val="top"/>
            <w:vMerge w:val="continue"/>
            <w:tcBorders>
              <w:top w:val="nil"/>
              <w:bottom w:val="nil"/>
            </w:tcBorders>
          </w:tcPr>
          <w:p>
            <w:pPr>
              <w:rPr>
                <w:rFonts w:ascii="Arial"/>
                <w:sz w:val="21"/>
              </w:rPr>
            </w:pPr>
            <w:r/>
          </w:p>
        </w:tc>
        <w:tc>
          <w:tcPr>
            <w:tcW w:w="808" w:type="dxa"/>
            <w:vAlign w:val="top"/>
            <w:vMerge w:val="continue"/>
            <w:tcBorders>
              <w:top w:val="nil"/>
              <w:bottom w:val="nil"/>
            </w:tcBorders>
          </w:tcPr>
          <w:p>
            <w:pPr>
              <w:rPr>
                <w:rFonts w:ascii="Arial"/>
                <w:sz w:val="21"/>
              </w:rPr>
            </w:pPr>
            <w:r/>
          </w:p>
        </w:tc>
        <w:tc>
          <w:tcPr>
            <w:tcW w:w="942" w:type="dxa"/>
            <w:vAlign w:val="top"/>
          </w:tcPr>
          <w:p>
            <w:pPr>
              <w:pStyle w:val="TableText"/>
              <w:ind w:left="274"/>
              <w:spacing w:before="211" w:line="232" w:lineRule="auto"/>
              <w:rPr/>
            </w:pPr>
            <w:r>
              <w:rPr>
                <w:spacing w:val="1"/>
              </w:rPr>
              <w:t>尾矿</w:t>
            </w:r>
          </w:p>
        </w:tc>
        <w:tc>
          <w:tcPr>
            <w:tcW w:w="5800" w:type="dxa"/>
            <w:vAlign w:val="top"/>
          </w:tcPr>
          <w:p>
            <w:pPr>
              <w:pStyle w:val="TableText"/>
              <w:ind w:left="118"/>
              <w:spacing w:before="55" w:line="228" w:lineRule="auto"/>
              <w:rPr/>
            </w:pPr>
            <w:r>
              <w:rPr>
                <w:spacing w:val="6"/>
              </w:rPr>
              <w:t>经浓缩过滤脱水后临时堆存在尾矿临时堆场，优先用于回填井</w:t>
            </w:r>
          </w:p>
          <w:p>
            <w:pPr>
              <w:pStyle w:val="TableText"/>
              <w:ind w:left="710"/>
              <w:spacing w:before="65" w:line="229" w:lineRule="auto"/>
              <w:rPr/>
            </w:pPr>
            <w:r>
              <w:rPr>
                <w:spacing w:val="8"/>
              </w:rPr>
              <w:t>下采空区，剩余外售至建材生产企业生产建材；</w:t>
            </w:r>
          </w:p>
        </w:tc>
        <w:tc>
          <w:tcPr>
            <w:tcW w:w="2635" w:type="dxa"/>
            <w:vAlign w:val="top"/>
            <w:vMerge w:val="continue"/>
            <w:tcBorders>
              <w:top w:val="nil"/>
              <w:bottom w:val="nil"/>
            </w:tcBorders>
          </w:tcPr>
          <w:p>
            <w:pPr>
              <w:rPr>
                <w:rFonts w:ascii="Arial"/>
                <w:sz w:val="21"/>
              </w:rPr>
            </w:pPr>
            <w:r/>
          </w:p>
        </w:tc>
        <w:tc>
          <w:tcPr>
            <w:tcW w:w="987" w:type="dxa"/>
            <w:vAlign w:val="top"/>
            <w:vMerge w:val="continue"/>
            <w:tcBorders>
              <w:top w:val="nil"/>
              <w:bottom w:val="nil"/>
            </w:tcBorders>
          </w:tcPr>
          <w:p>
            <w:pPr>
              <w:rPr>
                <w:rFonts w:ascii="Arial"/>
                <w:sz w:val="21"/>
              </w:rPr>
            </w:pPr>
            <w:r/>
          </w:p>
        </w:tc>
        <w:tc>
          <w:tcPr>
            <w:tcW w:w="1727" w:type="dxa"/>
            <w:vAlign w:val="top"/>
            <w:vMerge w:val="continue"/>
            <w:tcBorders>
              <w:top w:val="nil"/>
              <w:right w:val="nil"/>
              <w:bottom w:val="nil"/>
            </w:tcBorders>
          </w:tcPr>
          <w:p>
            <w:pPr>
              <w:rPr>
                <w:rFonts w:ascii="Arial"/>
                <w:sz w:val="21"/>
              </w:rPr>
            </w:pPr>
            <w:r/>
          </w:p>
        </w:tc>
      </w:tr>
      <w:tr>
        <w:trPr>
          <w:trHeight w:val="627" w:hRule="atLeast"/>
        </w:trPr>
        <w:tc>
          <w:tcPr>
            <w:tcW w:w="441" w:type="dxa"/>
            <w:vAlign w:val="top"/>
            <w:vMerge w:val="continue"/>
            <w:tcBorders>
              <w:top w:val="nil"/>
              <w:left w:val="nil"/>
              <w:bottom w:val="nil"/>
            </w:tcBorders>
          </w:tcPr>
          <w:p>
            <w:pPr>
              <w:rPr>
                <w:rFonts w:ascii="Arial"/>
                <w:sz w:val="21"/>
              </w:rPr>
            </w:pPr>
            <w:r/>
          </w:p>
        </w:tc>
        <w:tc>
          <w:tcPr>
            <w:tcW w:w="834" w:type="dxa"/>
            <w:vAlign w:val="top"/>
            <w:vMerge w:val="continue"/>
            <w:tcBorders>
              <w:top w:val="nil"/>
              <w:bottom w:val="nil"/>
            </w:tcBorders>
          </w:tcPr>
          <w:p>
            <w:pPr>
              <w:rPr>
                <w:rFonts w:ascii="Arial"/>
                <w:sz w:val="21"/>
              </w:rPr>
            </w:pPr>
            <w:r/>
          </w:p>
        </w:tc>
        <w:tc>
          <w:tcPr>
            <w:tcW w:w="808" w:type="dxa"/>
            <w:vAlign w:val="top"/>
            <w:vMerge w:val="continue"/>
            <w:tcBorders>
              <w:top w:val="nil"/>
              <w:bottom w:val="nil"/>
            </w:tcBorders>
          </w:tcPr>
          <w:p>
            <w:pPr>
              <w:rPr>
                <w:rFonts w:ascii="Arial"/>
                <w:sz w:val="21"/>
              </w:rPr>
            </w:pPr>
            <w:r/>
          </w:p>
        </w:tc>
        <w:tc>
          <w:tcPr>
            <w:tcW w:w="942" w:type="dxa"/>
            <w:vAlign w:val="top"/>
          </w:tcPr>
          <w:p>
            <w:pPr>
              <w:pStyle w:val="TableText"/>
              <w:ind w:left="274" w:right="154" w:hanging="105"/>
              <w:spacing w:before="58" w:line="258" w:lineRule="auto"/>
              <w:rPr/>
            </w:pPr>
            <w:r>
              <w:rPr>
                <w:spacing w:val="4"/>
              </w:rPr>
              <w:t>布袋除</w:t>
            </w:r>
            <w:r>
              <w:rPr>
                <w:spacing w:val="1"/>
              </w:rPr>
              <w:t>尘灰</w:t>
            </w:r>
          </w:p>
        </w:tc>
        <w:tc>
          <w:tcPr>
            <w:tcW w:w="5800" w:type="dxa"/>
            <w:vAlign w:val="top"/>
          </w:tcPr>
          <w:p>
            <w:pPr>
              <w:pStyle w:val="TableText"/>
              <w:ind w:left="1760"/>
              <w:spacing w:before="212" w:line="229" w:lineRule="auto"/>
              <w:rPr/>
            </w:pPr>
            <w:r>
              <w:rPr>
                <w:spacing w:val="8"/>
              </w:rPr>
              <w:t>全部返回磨浮工序作原料</w:t>
            </w:r>
          </w:p>
        </w:tc>
        <w:tc>
          <w:tcPr>
            <w:tcW w:w="2635" w:type="dxa"/>
            <w:vAlign w:val="top"/>
            <w:vMerge w:val="continue"/>
            <w:tcBorders>
              <w:top w:val="nil"/>
              <w:bottom w:val="nil"/>
            </w:tcBorders>
          </w:tcPr>
          <w:p>
            <w:pPr>
              <w:rPr>
                <w:rFonts w:ascii="Arial"/>
                <w:sz w:val="21"/>
              </w:rPr>
            </w:pPr>
            <w:r/>
          </w:p>
        </w:tc>
        <w:tc>
          <w:tcPr>
            <w:tcW w:w="987" w:type="dxa"/>
            <w:vAlign w:val="top"/>
            <w:vMerge w:val="continue"/>
            <w:tcBorders>
              <w:top w:val="nil"/>
              <w:bottom w:val="nil"/>
            </w:tcBorders>
          </w:tcPr>
          <w:p>
            <w:pPr>
              <w:rPr>
                <w:rFonts w:ascii="Arial"/>
                <w:sz w:val="21"/>
              </w:rPr>
            </w:pPr>
            <w:r/>
          </w:p>
        </w:tc>
        <w:tc>
          <w:tcPr>
            <w:tcW w:w="1727" w:type="dxa"/>
            <w:vAlign w:val="top"/>
            <w:vMerge w:val="continue"/>
            <w:tcBorders>
              <w:top w:val="nil"/>
              <w:right w:val="nil"/>
              <w:bottom w:val="nil"/>
            </w:tcBorders>
          </w:tcPr>
          <w:p>
            <w:pPr>
              <w:rPr>
                <w:rFonts w:ascii="Arial"/>
                <w:sz w:val="21"/>
              </w:rPr>
            </w:pPr>
            <w:r/>
          </w:p>
        </w:tc>
      </w:tr>
      <w:tr>
        <w:trPr>
          <w:trHeight w:val="316" w:hRule="atLeast"/>
        </w:trPr>
        <w:tc>
          <w:tcPr>
            <w:tcW w:w="441" w:type="dxa"/>
            <w:vAlign w:val="top"/>
            <w:vMerge w:val="continue"/>
            <w:tcBorders>
              <w:top w:val="nil"/>
              <w:left w:val="nil"/>
              <w:bottom w:val="nil"/>
            </w:tcBorders>
          </w:tcPr>
          <w:p>
            <w:pPr>
              <w:rPr>
                <w:rFonts w:ascii="Arial"/>
                <w:sz w:val="21"/>
              </w:rPr>
            </w:pPr>
            <w:r/>
          </w:p>
        </w:tc>
        <w:tc>
          <w:tcPr>
            <w:tcW w:w="834" w:type="dxa"/>
            <w:vAlign w:val="top"/>
            <w:vMerge w:val="continue"/>
            <w:tcBorders>
              <w:top w:val="nil"/>
              <w:bottom w:val="nil"/>
            </w:tcBorders>
          </w:tcPr>
          <w:p>
            <w:pPr>
              <w:rPr>
                <w:rFonts w:ascii="Arial"/>
                <w:sz w:val="21"/>
              </w:rPr>
            </w:pPr>
            <w:r/>
          </w:p>
        </w:tc>
        <w:tc>
          <w:tcPr>
            <w:tcW w:w="808" w:type="dxa"/>
            <w:vAlign w:val="top"/>
            <w:vMerge w:val="continue"/>
            <w:tcBorders>
              <w:top w:val="nil"/>
            </w:tcBorders>
          </w:tcPr>
          <w:p>
            <w:pPr>
              <w:rPr>
                <w:rFonts w:ascii="Arial"/>
                <w:sz w:val="21"/>
              </w:rPr>
            </w:pPr>
            <w:r/>
          </w:p>
        </w:tc>
        <w:tc>
          <w:tcPr>
            <w:tcW w:w="942" w:type="dxa"/>
            <w:vAlign w:val="top"/>
          </w:tcPr>
          <w:p>
            <w:pPr>
              <w:pStyle w:val="TableText"/>
              <w:ind w:left="169"/>
              <w:spacing w:before="61" w:line="226" w:lineRule="auto"/>
              <w:rPr/>
            </w:pPr>
            <w:r>
              <w:rPr>
                <w:spacing w:val="4"/>
              </w:rPr>
              <w:t>废布袋</w:t>
            </w:r>
          </w:p>
        </w:tc>
        <w:tc>
          <w:tcPr>
            <w:tcW w:w="5800" w:type="dxa"/>
            <w:vAlign w:val="top"/>
          </w:tcPr>
          <w:p>
            <w:pPr>
              <w:pStyle w:val="TableText"/>
              <w:ind w:left="1766"/>
              <w:spacing w:before="61" w:line="226" w:lineRule="auto"/>
              <w:rPr/>
            </w:pPr>
            <w:r>
              <w:rPr>
                <w:spacing w:val="7"/>
              </w:rPr>
              <w:t>收集后交由厂家回收处理</w:t>
            </w:r>
          </w:p>
        </w:tc>
        <w:tc>
          <w:tcPr>
            <w:tcW w:w="2635" w:type="dxa"/>
            <w:vAlign w:val="top"/>
            <w:vMerge w:val="continue"/>
            <w:tcBorders>
              <w:top w:val="nil"/>
            </w:tcBorders>
          </w:tcPr>
          <w:p>
            <w:pPr>
              <w:rPr>
                <w:rFonts w:ascii="Arial"/>
                <w:sz w:val="21"/>
              </w:rPr>
            </w:pPr>
            <w:r/>
          </w:p>
        </w:tc>
        <w:tc>
          <w:tcPr>
            <w:tcW w:w="987" w:type="dxa"/>
            <w:vAlign w:val="top"/>
            <w:vMerge w:val="continue"/>
            <w:tcBorders>
              <w:top w:val="nil"/>
              <w:bottom w:val="nil"/>
            </w:tcBorders>
          </w:tcPr>
          <w:p>
            <w:pPr>
              <w:rPr>
                <w:rFonts w:ascii="Arial"/>
                <w:sz w:val="21"/>
              </w:rPr>
            </w:pPr>
            <w:r/>
          </w:p>
        </w:tc>
        <w:tc>
          <w:tcPr>
            <w:tcW w:w="1727" w:type="dxa"/>
            <w:vAlign w:val="top"/>
            <w:vMerge w:val="continue"/>
            <w:tcBorders>
              <w:top w:val="nil"/>
              <w:right w:val="nil"/>
              <w:bottom w:val="nil"/>
            </w:tcBorders>
          </w:tcPr>
          <w:p>
            <w:pPr>
              <w:rPr>
                <w:rFonts w:ascii="Arial"/>
                <w:sz w:val="21"/>
              </w:rPr>
            </w:pPr>
            <w:r/>
          </w:p>
        </w:tc>
      </w:tr>
      <w:tr>
        <w:trPr>
          <w:trHeight w:val="1871" w:hRule="atLeast"/>
        </w:trPr>
        <w:tc>
          <w:tcPr>
            <w:tcW w:w="441" w:type="dxa"/>
            <w:vAlign w:val="top"/>
            <w:vMerge w:val="continue"/>
            <w:tcBorders>
              <w:top w:val="nil"/>
              <w:left w:val="nil"/>
              <w:bottom w:val="nil"/>
            </w:tcBorders>
          </w:tcPr>
          <w:p>
            <w:pPr>
              <w:rPr>
                <w:rFonts w:ascii="Arial"/>
                <w:sz w:val="21"/>
              </w:rPr>
            </w:pPr>
            <w:r/>
          </w:p>
        </w:tc>
        <w:tc>
          <w:tcPr>
            <w:tcW w:w="834" w:type="dxa"/>
            <w:vAlign w:val="top"/>
            <w:vMerge w:val="continue"/>
            <w:tcBorders>
              <w:top w:val="nil"/>
            </w:tcBorders>
          </w:tcPr>
          <w:p>
            <w:pPr>
              <w:rPr>
                <w:rFonts w:ascii="Arial"/>
                <w:sz w:val="21"/>
              </w:rPr>
            </w:pPr>
            <w:r/>
          </w:p>
        </w:tc>
        <w:tc>
          <w:tcPr>
            <w:tcW w:w="808" w:type="dxa"/>
            <w:vAlign w:val="top"/>
          </w:tcPr>
          <w:p>
            <w:pPr>
              <w:spacing w:line="308" w:lineRule="auto"/>
              <w:rPr>
                <w:rFonts w:ascii="Arial"/>
                <w:sz w:val="21"/>
              </w:rPr>
            </w:pPr>
            <w:r/>
          </w:p>
          <w:p>
            <w:pPr>
              <w:spacing w:line="308" w:lineRule="auto"/>
              <w:rPr>
                <w:rFonts w:ascii="Arial"/>
                <w:sz w:val="21"/>
              </w:rPr>
            </w:pPr>
            <w:r/>
          </w:p>
          <w:p>
            <w:pPr>
              <w:pStyle w:val="TableText"/>
              <w:ind w:left="207" w:right="193" w:firstLine="2"/>
              <w:spacing w:before="65" w:line="288" w:lineRule="auto"/>
              <w:rPr/>
            </w:pPr>
            <w:r>
              <w:rPr>
                <w:spacing w:val="-1"/>
              </w:rPr>
              <w:t>危险</w:t>
            </w:r>
            <w:r>
              <w:rPr/>
              <w:t>废物</w:t>
            </w:r>
          </w:p>
        </w:tc>
        <w:tc>
          <w:tcPr>
            <w:tcW w:w="942" w:type="dxa"/>
            <w:vAlign w:val="top"/>
          </w:tcPr>
          <w:p>
            <w:pPr>
              <w:pStyle w:val="TableText"/>
              <w:ind w:left="169"/>
              <w:spacing w:before="62" w:line="229" w:lineRule="auto"/>
              <w:rPr/>
            </w:pPr>
            <w:r>
              <w:rPr>
                <w:spacing w:val="4"/>
              </w:rPr>
              <w:t>含油抹</w:t>
            </w:r>
          </w:p>
          <w:p>
            <w:pPr>
              <w:pStyle w:val="TableText"/>
              <w:ind w:left="190" w:right="154" w:hanging="21"/>
              <w:spacing w:before="63" w:line="288" w:lineRule="auto"/>
              <w:jc w:val="both"/>
              <w:rPr/>
            </w:pPr>
            <w:r>
              <w:rPr>
                <w:spacing w:val="4"/>
              </w:rPr>
              <w:t>布及劳</w:t>
            </w:r>
            <w:r>
              <w:rPr>
                <w:spacing w:val="43"/>
              </w:rPr>
              <w:t>保用</w:t>
            </w:r>
            <w:r>
              <w:rPr>
                <w:spacing w:val="-3"/>
              </w:rPr>
              <w:t>品、废</w:t>
            </w:r>
          </w:p>
          <w:p>
            <w:pPr>
              <w:pStyle w:val="TableText"/>
              <w:ind w:left="167"/>
              <w:spacing w:line="230" w:lineRule="auto"/>
              <w:rPr/>
            </w:pPr>
            <w:r>
              <w:rPr>
                <w:spacing w:val="5"/>
              </w:rPr>
              <w:t>机油及</w:t>
            </w:r>
          </w:p>
          <w:p>
            <w:pPr>
              <w:pStyle w:val="TableText"/>
              <w:ind w:left="169"/>
              <w:spacing w:before="61" w:line="221" w:lineRule="auto"/>
              <w:rPr/>
            </w:pPr>
            <w:r>
              <w:rPr>
                <w:spacing w:val="4"/>
              </w:rPr>
              <w:t>废油桶</w:t>
            </w:r>
          </w:p>
        </w:tc>
        <w:tc>
          <w:tcPr>
            <w:tcW w:w="5800" w:type="dxa"/>
            <w:vAlign w:val="top"/>
          </w:tcPr>
          <w:p>
            <w:pPr>
              <w:spacing w:line="461" w:lineRule="auto"/>
              <w:rPr>
                <w:rFonts w:ascii="Arial"/>
                <w:sz w:val="21"/>
              </w:rPr>
            </w:pPr>
            <w:r/>
          </w:p>
          <w:p>
            <w:pPr>
              <w:pStyle w:val="TableText"/>
              <w:ind w:left="119" w:right="105" w:firstLine="420"/>
              <w:spacing w:before="65" w:line="288" w:lineRule="auto"/>
              <w:jc w:val="both"/>
              <w:rPr/>
            </w:pPr>
            <w:r>
              <w:rPr>
                <w:spacing w:val="6"/>
              </w:rPr>
              <w:t>废机油密封桶装、含油抹布及劳保用品密封袋</w:t>
            </w:r>
            <w:r>
              <w:rPr>
                <w:spacing w:val="5"/>
              </w:rPr>
              <w:t>装后，集中</w:t>
            </w:r>
            <w:r>
              <w:rPr>
                <w:spacing w:val="6"/>
              </w:rPr>
              <w:t>暂存于危险废物贮存点内，定期送有危险废物处理资质的单位</w:t>
            </w:r>
            <w:r>
              <w:rPr>
                <w:spacing w:val="6"/>
              </w:rPr>
              <w:t>进行处理</w:t>
            </w:r>
            <w:r>
              <w:rPr>
                <w:rFonts w:ascii="Times New Roman" w:hAnsi="Times New Roman" w:eastAsia="Times New Roman" w:cs="Times New Roman"/>
                <w:spacing w:val="6"/>
              </w:rPr>
              <w:t>/</w:t>
            </w:r>
            <w:r>
              <w:rPr>
                <w:spacing w:val="6"/>
              </w:rPr>
              <w:t>处置</w:t>
            </w:r>
          </w:p>
        </w:tc>
        <w:tc>
          <w:tcPr>
            <w:tcW w:w="2635" w:type="dxa"/>
            <w:vAlign w:val="top"/>
          </w:tcPr>
          <w:p>
            <w:pPr>
              <w:spacing w:line="308" w:lineRule="auto"/>
              <w:rPr>
                <w:rFonts w:ascii="Arial"/>
                <w:sz w:val="21"/>
              </w:rPr>
            </w:pPr>
            <w:r/>
          </w:p>
          <w:p>
            <w:pPr>
              <w:spacing w:line="308" w:lineRule="auto"/>
              <w:rPr>
                <w:rFonts w:ascii="Arial"/>
                <w:sz w:val="21"/>
              </w:rPr>
            </w:pPr>
            <w:r/>
          </w:p>
          <w:p>
            <w:pPr>
              <w:pStyle w:val="TableText"/>
              <w:ind w:left="119" w:right="20" w:firstLine="54"/>
              <w:spacing w:before="65" w:line="288" w:lineRule="auto"/>
              <w:rPr/>
            </w:pPr>
            <w:r>
              <w:rPr>
                <w:spacing w:val="8"/>
              </w:rPr>
              <w:t>《危险废物贮存污染物控</w:t>
            </w:r>
            <w:r>
              <w:rPr>
                <w:spacing w:val="2"/>
              </w:rPr>
              <w:t>制标准》（</w:t>
            </w:r>
            <w:r>
              <w:rPr>
                <w:rFonts w:ascii="Times New Roman" w:hAnsi="Times New Roman" w:eastAsia="Times New Roman" w:cs="Times New Roman"/>
              </w:rPr>
              <w:t>GB</w:t>
            </w:r>
            <w:r>
              <w:rPr>
                <w:rFonts w:ascii="Times New Roman" w:hAnsi="Times New Roman" w:eastAsia="Times New Roman" w:cs="Times New Roman"/>
                <w:spacing w:val="2"/>
              </w:rPr>
              <w:t>18597-2023</w:t>
            </w:r>
            <w:r>
              <w:rPr>
                <w:spacing w:val="2"/>
              </w:rPr>
              <w:t>）</w:t>
            </w:r>
          </w:p>
        </w:tc>
        <w:tc>
          <w:tcPr>
            <w:tcW w:w="987" w:type="dxa"/>
            <w:vAlign w:val="top"/>
            <w:vMerge w:val="continue"/>
            <w:tcBorders>
              <w:top w:val="nil"/>
            </w:tcBorders>
          </w:tcPr>
          <w:p>
            <w:pPr>
              <w:rPr>
                <w:rFonts w:ascii="Arial"/>
                <w:sz w:val="21"/>
              </w:rPr>
            </w:pPr>
            <w:r/>
          </w:p>
        </w:tc>
        <w:tc>
          <w:tcPr>
            <w:tcW w:w="1727" w:type="dxa"/>
            <w:vAlign w:val="top"/>
            <w:vMerge w:val="continue"/>
            <w:tcBorders>
              <w:top w:val="nil"/>
              <w:right w:val="nil"/>
            </w:tcBorders>
          </w:tcPr>
          <w:p>
            <w:pPr>
              <w:rPr>
                <w:rFonts w:ascii="Arial"/>
                <w:sz w:val="21"/>
              </w:rPr>
            </w:pPr>
            <w:r/>
          </w:p>
        </w:tc>
      </w:tr>
      <w:tr>
        <w:trPr>
          <w:trHeight w:val="1560" w:hRule="atLeast"/>
        </w:trPr>
        <w:tc>
          <w:tcPr>
            <w:tcW w:w="441" w:type="dxa"/>
            <w:vAlign w:val="top"/>
            <w:vMerge w:val="restart"/>
            <w:tcBorders>
              <w:bottom w:val="nil"/>
              <w:left w:val="nil"/>
              <w:top w:val="nil"/>
            </w:tcBorders>
          </w:tcPr>
          <w:p>
            <w:pPr>
              <w:rPr>
                <w:rFonts w:ascii="Arial"/>
                <w:sz w:val="21"/>
              </w:rPr>
            </w:pPr>
            <w:r/>
          </w:p>
        </w:tc>
        <w:tc>
          <w:tcPr>
            <w:tcW w:w="834" w:type="dxa"/>
            <w:vAlign w:val="top"/>
            <w:vMerge w:val="restart"/>
            <w:tcBorders>
              <w:bottom w:val="nil"/>
            </w:tcBorders>
          </w:tcPr>
          <w:p>
            <w:pPr>
              <w:spacing w:line="472" w:lineRule="auto"/>
              <w:rPr>
                <w:rFonts w:ascii="Arial"/>
                <w:sz w:val="21"/>
              </w:rPr>
            </w:pPr>
            <w:r/>
          </w:p>
          <w:p>
            <w:pPr>
              <w:pStyle w:val="TableText"/>
              <w:ind w:left="122"/>
              <w:spacing w:before="65" w:line="232" w:lineRule="auto"/>
              <w:rPr/>
            </w:pPr>
            <w:r>
              <w:rPr/>
              <w:t>土壤、</w:t>
            </w:r>
          </w:p>
          <w:p>
            <w:pPr>
              <w:pStyle w:val="TableText"/>
              <w:ind w:left="219"/>
              <w:spacing w:before="60" w:line="231" w:lineRule="auto"/>
              <w:rPr/>
            </w:pPr>
            <w:r>
              <w:rPr>
                <w:spacing w:val="1"/>
              </w:rPr>
              <w:t>地下</w:t>
            </w:r>
          </w:p>
          <w:p>
            <w:pPr>
              <w:pStyle w:val="TableText"/>
              <w:ind w:left="119"/>
              <w:spacing w:before="61" w:line="231" w:lineRule="auto"/>
              <w:rPr/>
            </w:pPr>
            <w:r>
              <w:rPr>
                <w:spacing w:val="2"/>
              </w:rPr>
              <w:t>水、环</w:t>
            </w:r>
          </w:p>
          <w:p>
            <w:pPr>
              <w:pStyle w:val="TableText"/>
              <w:ind w:left="220"/>
              <w:spacing w:before="61" w:line="232" w:lineRule="auto"/>
              <w:rPr/>
            </w:pPr>
            <w:r>
              <w:rPr/>
              <w:t>境风</w:t>
            </w:r>
          </w:p>
          <w:p>
            <w:pPr>
              <w:pStyle w:val="TableText"/>
              <w:ind w:left="333"/>
              <w:spacing w:before="61" w:line="232" w:lineRule="auto"/>
              <w:rPr/>
            </w:pPr>
            <w:r>
              <w:rPr/>
              <w:t>险</w:t>
            </w:r>
          </w:p>
        </w:tc>
        <w:tc>
          <w:tcPr>
            <w:tcW w:w="1750" w:type="dxa"/>
            <w:vAlign w:val="top"/>
            <w:gridSpan w:val="2"/>
          </w:tcPr>
          <w:p>
            <w:pPr>
              <w:spacing w:line="311" w:lineRule="auto"/>
              <w:rPr>
                <w:rFonts w:ascii="Arial"/>
                <w:sz w:val="21"/>
              </w:rPr>
            </w:pPr>
            <w:r/>
          </w:p>
          <w:p>
            <w:pPr>
              <w:spacing w:line="311" w:lineRule="auto"/>
              <w:rPr>
                <w:rFonts w:ascii="Arial"/>
                <w:sz w:val="21"/>
              </w:rPr>
            </w:pPr>
            <w:r/>
          </w:p>
          <w:p>
            <w:pPr>
              <w:pStyle w:val="TableText"/>
              <w:ind w:left="255"/>
              <w:spacing w:before="65" w:line="232" w:lineRule="auto"/>
              <w:rPr/>
            </w:pPr>
            <w:r>
              <w:rPr>
                <w:spacing w:val="7"/>
              </w:rPr>
              <w:t>事故应急措施</w:t>
            </w:r>
          </w:p>
        </w:tc>
        <w:tc>
          <w:tcPr>
            <w:tcW w:w="5800" w:type="dxa"/>
            <w:vAlign w:val="top"/>
          </w:tcPr>
          <w:p>
            <w:pPr>
              <w:pStyle w:val="TableText"/>
              <w:ind w:left="117" w:right="71" w:firstLine="421"/>
              <w:spacing w:before="65" w:line="274" w:lineRule="auto"/>
              <w:jc w:val="both"/>
              <w:rPr/>
            </w:pPr>
            <w:r>
              <w:rPr>
                <w:spacing w:val="6"/>
              </w:rPr>
              <w:t>供风供水管路设置应急阀门：主要工作地点须设</w:t>
            </w:r>
            <w:r>
              <w:rPr>
                <w:spacing w:val="5"/>
              </w:rPr>
              <w:t>置联系信</w:t>
            </w:r>
            <w:r>
              <w:rPr>
                <w:spacing w:val="7"/>
              </w:rPr>
              <w:t>号（如声光灾害报警装置、通讯联络电话等</w:t>
            </w:r>
            <w:r>
              <w:rPr>
                <w:spacing w:val="-4"/>
              </w:rPr>
              <w:t>）；</w:t>
            </w:r>
            <w:r>
              <w:rPr>
                <w:spacing w:val="7"/>
              </w:rPr>
              <w:t>应设置直通地</w:t>
            </w:r>
            <w:r>
              <w:rPr>
                <w:spacing w:val="4"/>
              </w:rPr>
              <w:t>表的安全出</w:t>
            </w:r>
            <w:r>
              <w:rPr>
                <w:spacing w:val="-40"/>
              </w:rPr>
              <w:t xml:space="preserve"> </w:t>
            </w:r>
            <w:r>
              <w:rPr>
                <w:spacing w:val="4"/>
              </w:rPr>
              <w:t>口；设置便携式气体检测报警仪和配备隔离式自救</w:t>
            </w:r>
            <w:r>
              <w:rPr>
                <w:spacing w:val="7"/>
              </w:rPr>
              <w:t>器；设置足够数量的泡沫灭火器、砂箱、铁锹等消防工具等；</w:t>
            </w:r>
            <w:r>
              <w:rPr>
                <w:spacing w:val="9"/>
              </w:rPr>
              <w:t>磨浮工序设置事故应急池，编制环境风险应急预</w:t>
            </w:r>
            <w:r>
              <w:rPr>
                <w:spacing w:val="8"/>
              </w:rPr>
              <w:t>案。</w:t>
            </w:r>
          </w:p>
        </w:tc>
        <w:tc>
          <w:tcPr>
            <w:tcW w:w="2635" w:type="dxa"/>
            <w:vAlign w:val="top"/>
          </w:tcPr>
          <w:p>
            <w:pPr>
              <w:spacing w:line="330" w:lineRule="auto"/>
              <w:rPr>
                <w:rFonts w:ascii="Arial"/>
                <w:sz w:val="21"/>
              </w:rPr>
            </w:pPr>
            <w:r/>
          </w:p>
          <w:p>
            <w:pPr>
              <w:spacing w:line="331" w:lineRule="auto"/>
              <w:rPr>
                <w:rFonts w:ascii="Arial"/>
                <w:sz w:val="21"/>
              </w:rPr>
            </w:pPr>
            <w:r/>
          </w:p>
          <w:p>
            <w:pPr>
              <w:ind w:left="1286"/>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87" w:type="dxa"/>
            <w:vAlign w:val="top"/>
          </w:tcPr>
          <w:p>
            <w:pPr>
              <w:spacing w:line="330" w:lineRule="auto"/>
              <w:rPr>
                <w:rFonts w:ascii="Arial"/>
                <w:sz w:val="21"/>
              </w:rPr>
            </w:pPr>
            <w:r/>
          </w:p>
          <w:p>
            <w:pPr>
              <w:spacing w:line="331" w:lineRule="auto"/>
              <w:rPr>
                <w:rFonts w:ascii="Arial"/>
                <w:sz w:val="21"/>
              </w:rPr>
            </w:pPr>
            <w:r/>
          </w:p>
          <w:p>
            <w:pPr>
              <w:ind w:left="460"/>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27" w:type="dxa"/>
            <w:vAlign w:val="top"/>
            <w:vMerge w:val="restart"/>
            <w:tcBorders>
              <w:bottom w:val="nil"/>
              <w:right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455" w:right="129" w:hanging="315"/>
              <w:spacing w:before="65" w:line="288" w:lineRule="auto"/>
              <w:rPr/>
            </w:pPr>
            <w:r>
              <w:rPr>
                <w:spacing w:val="7"/>
              </w:rPr>
              <w:t>措施及相关设施</w:t>
            </w:r>
            <w:r>
              <w:rPr>
                <w:spacing w:val="5"/>
              </w:rPr>
              <w:t>是否落实</w:t>
            </w:r>
          </w:p>
        </w:tc>
      </w:tr>
      <w:tr>
        <w:trPr>
          <w:trHeight w:val="938" w:hRule="atLeast"/>
        </w:trPr>
        <w:tc>
          <w:tcPr>
            <w:tcW w:w="441" w:type="dxa"/>
            <w:vAlign w:val="top"/>
            <w:vMerge w:val="continue"/>
            <w:tcBorders>
              <w:bottom w:val="nil"/>
              <w:left w:val="nil"/>
              <w:top w:val="nil"/>
            </w:tcBorders>
          </w:tcPr>
          <w:p>
            <w:pPr>
              <w:rPr>
                <w:rFonts w:ascii="Arial"/>
                <w:sz w:val="21"/>
              </w:rPr>
            </w:pPr>
            <w:r/>
          </w:p>
        </w:tc>
        <w:tc>
          <w:tcPr>
            <w:tcW w:w="834" w:type="dxa"/>
            <w:vAlign w:val="top"/>
            <w:vMerge w:val="continue"/>
            <w:tcBorders>
              <w:top w:val="nil"/>
            </w:tcBorders>
          </w:tcPr>
          <w:p>
            <w:pPr>
              <w:rPr>
                <w:rFonts w:ascii="Arial"/>
                <w:sz w:val="21"/>
              </w:rPr>
            </w:pPr>
            <w:r/>
          </w:p>
        </w:tc>
        <w:tc>
          <w:tcPr>
            <w:tcW w:w="1750" w:type="dxa"/>
            <w:vAlign w:val="top"/>
            <w:gridSpan w:val="2"/>
          </w:tcPr>
          <w:p>
            <w:pPr>
              <w:pStyle w:val="TableText"/>
              <w:ind w:left="374" w:right="38" w:hanging="255"/>
              <w:spacing w:before="228" w:line="289" w:lineRule="auto"/>
              <w:rPr/>
            </w:pPr>
            <w:r>
              <w:rPr>
                <w:spacing w:val="-2"/>
              </w:rPr>
              <w:t>地面硬化、防渗、</w:t>
            </w:r>
            <w:r>
              <w:rPr>
                <w:spacing w:val="4"/>
              </w:rPr>
              <w:t>防腐处理等</w:t>
            </w:r>
          </w:p>
        </w:tc>
        <w:tc>
          <w:tcPr>
            <w:tcW w:w="5800" w:type="dxa"/>
            <w:vAlign w:val="top"/>
          </w:tcPr>
          <w:p>
            <w:pPr>
              <w:pStyle w:val="TableText"/>
              <w:ind w:left="123" w:right="59" w:firstLine="419"/>
              <w:spacing w:before="73" w:line="263" w:lineRule="auto"/>
              <w:jc w:val="both"/>
              <w:rPr/>
            </w:pPr>
            <w:r>
              <w:rPr>
                <w:spacing w:val="7"/>
              </w:rPr>
              <w:t>原矿堆场、尾矿临时堆场、成品库、高位水池、蓄水池、</w:t>
            </w:r>
            <w:r>
              <w:rPr>
                <w:spacing w:val="6"/>
              </w:rPr>
              <w:t>回水池、防渗储池、隔油池、机修间、危险废物贮存点、选矿</w:t>
            </w:r>
            <w:r>
              <w:rPr>
                <w:spacing w:val="9"/>
              </w:rPr>
              <w:t>车间等需按相关要求进行硬化、防渗防腐处理等</w:t>
            </w:r>
          </w:p>
        </w:tc>
        <w:tc>
          <w:tcPr>
            <w:tcW w:w="2635" w:type="dxa"/>
            <w:vAlign w:val="top"/>
          </w:tcPr>
          <w:p>
            <w:pPr>
              <w:spacing w:line="356" w:lineRule="auto"/>
              <w:rPr>
                <w:rFonts w:ascii="Arial"/>
                <w:sz w:val="21"/>
              </w:rPr>
            </w:pPr>
            <w:r/>
          </w:p>
          <w:p>
            <w:pPr>
              <w:ind w:left="1286"/>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87" w:type="dxa"/>
            <w:vAlign w:val="top"/>
          </w:tcPr>
          <w:p>
            <w:pPr>
              <w:spacing w:line="356" w:lineRule="auto"/>
              <w:rPr>
                <w:rFonts w:ascii="Arial"/>
                <w:sz w:val="21"/>
              </w:rPr>
            </w:pPr>
            <w:r/>
          </w:p>
          <w:p>
            <w:pPr>
              <w:ind w:left="46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27" w:type="dxa"/>
            <w:vAlign w:val="top"/>
            <w:vMerge w:val="continue"/>
            <w:tcBorders>
              <w:bottom w:val="nil"/>
              <w:right w:val="nil"/>
              <w:top w:val="nil"/>
            </w:tcBorders>
          </w:tcPr>
          <w:p>
            <w:pPr>
              <w:rPr>
                <w:rFonts w:ascii="Arial"/>
                <w:sz w:val="21"/>
              </w:rPr>
            </w:pPr>
            <w:r/>
          </w:p>
        </w:tc>
      </w:tr>
      <w:tr>
        <w:trPr>
          <w:trHeight w:val="651" w:hRule="atLeast"/>
        </w:trPr>
        <w:tc>
          <w:tcPr>
            <w:tcW w:w="441" w:type="dxa"/>
            <w:vAlign w:val="top"/>
            <w:vMerge w:val="continue"/>
            <w:tcBorders>
              <w:bottom w:val="single" w:color="000000" w:sz="10" w:space="0"/>
              <w:left w:val="nil"/>
              <w:top w:val="nil"/>
            </w:tcBorders>
          </w:tcPr>
          <w:p>
            <w:pPr>
              <w:rPr>
                <w:rFonts w:ascii="Arial"/>
                <w:sz w:val="21"/>
              </w:rPr>
            </w:pPr>
            <w:r/>
          </w:p>
        </w:tc>
        <w:tc>
          <w:tcPr>
            <w:tcW w:w="2584" w:type="dxa"/>
            <w:vAlign w:val="top"/>
            <w:gridSpan w:val="3"/>
            <w:tcBorders>
              <w:bottom w:val="single" w:color="000000" w:sz="10" w:space="0"/>
            </w:tcBorders>
          </w:tcPr>
          <w:p>
            <w:pPr>
              <w:pStyle w:val="TableText"/>
              <w:ind w:left="895"/>
              <w:spacing w:before="230" w:line="231" w:lineRule="auto"/>
              <w:rPr/>
            </w:pPr>
            <w:r>
              <w:rPr>
                <w:spacing w:val="2"/>
              </w:rPr>
              <w:t>生态环境</w:t>
            </w:r>
          </w:p>
        </w:tc>
        <w:tc>
          <w:tcPr>
            <w:tcW w:w="5800" w:type="dxa"/>
            <w:vAlign w:val="top"/>
            <w:tcBorders>
              <w:bottom w:val="single" w:color="000000" w:sz="10" w:space="0"/>
            </w:tcBorders>
          </w:tcPr>
          <w:p>
            <w:pPr>
              <w:pStyle w:val="TableText"/>
              <w:ind w:left="117" w:right="107" w:firstLine="425"/>
              <w:spacing w:before="75" w:line="261" w:lineRule="auto"/>
              <w:rPr/>
            </w:pPr>
            <w:r>
              <w:rPr>
                <w:spacing w:val="5"/>
              </w:rPr>
              <w:t>工业广场及道路等周边进行绿化，各类堆场附近设置截排</w:t>
            </w:r>
            <w:r>
              <w:rPr>
                <w:spacing w:val="8"/>
              </w:rPr>
              <w:t>水沟，设置挡碴墙，生态恢复等</w:t>
            </w:r>
          </w:p>
        </w:tc>
        <w:tc>
          <w:tcPr>
            <w:tcW w:w="2635" w:type="dxa"/>
            <w:vAlign w:val="top"/>
            <w:tcBorders>
              <w:bottom w:val="single" w:color="000000" w:sz="10" w:space="0"/>
            </w:tcBorders>
          </w:tcPr>
          <w:p>
            <w:pPr>
              <w:ind w:left="1286"/>
              <w:spacing w:before="2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87" w:type="dxa"/>
            <w:vAlign w:val="top"/>
            <w:tcBorders>
              <w:bottom w:val="single" w:color="000000" w:sz="10" w:space="0"/>
            </w:tcBorders>
          </w:tcPr>
          <w:p>
            <w:pPr>
              <w:ind w:left="460"/>
              <w:spacing w:before="2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27"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footerReference w:type="default" r:id="rId404"/>
          <w:pgSz w:w="16839" w:h="11906"/>
          <w:pgMar w:top="400" w:right="1332" w:bottom="1358" w:left="1331" w:header="0" w:footer="1195" w:gutter="0"/>
        </w:sectPr>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33"/>
        <w:spacing w:before="98" w:line="222" w:lineRule="auto"/>
        <w:outlineLvl w:val="0"/>
        <w:rPr>
          <w:rFonts w:ascii="FangSong" w:hAnsi="FangSong" w:eastAsia="FangSong" w:cs="FangSong"/>
          <w:sz w:val="30"/>
          <w:szCs w:val="30"/>
        </w:rPr>
      </w:pPr>
      <w:bookmarkStart w:name="bookmark449" w:id="601"/>
      <w:bookmarkEnd w:id="601"/>
      <w:bookmarkStart w:name="bookmark451" w:id="602"/>
      <w:bookmarkEnd w:id="602"/>
      <w:bookmarkStart w:name="bookmark448" w:id="603"/>
      <w:bookmarkEnd w:id="603"/>
      <w:bookmarkStart w:name="bookmark450" w:id="604"/>
      <w:bookmarkEnd w:id="604"/>
      <w:r>
        <w:rPr>
          <w:rFonts w:ascii="Times New Roman" w:hAnsi="Times New Roman" w:eastAsia="Times New Roman" w:cs="Times New Roman"/>
          <w:sz w:val="30"/>
          <w:szCs w:val="30"/>
          <w:b/>
          <w:bCs/>
          <w:spacing w:val="-4"/>
        </w:rPr>
        <w:t>11  </w:t>
      </w:r>
      <w:r>
        <w:rPr>
          <w:rFonts w:ascii="FangSong" w:hAnsi="FangSong" w:eastAsia="FangSong" w:cs="FangSong"/>
          <w:sz w:val="30"/>
          <w:szCs w:val="30"/>
          <w:b/>
          <w:bCs/>
          <w:spacing w:val="-4"/>
        </w:rPr>
        <w:t>环境影响评价结论</w:t>
      </w:r>
    </w:p>
    <w:p>
      <w:pPr>
        <w:ind w:left="32"/>
        <w:spacing w:before="271" w:line="223" w:lineRule="auto"/>
        <w:outlineLvl w:val="1"/>
        <w:rPr>
          <w:rFonts w:ascii="FangSong" w:hAnsi="FangSong" w:eastAsia="FangSong" w:cs="FangSong"/>
          <w:sz w:val="28"/>
          <w:szCs w:val="28"/>
        </w:rPr>
      </w:pPr>
      <w:bookmarkStart w:name="bookmark645" w:id="605"/>
      <w:bookmarkEnd w:id="605"/>
      <w:r>
        <w:rPr>
          <w:rFonts w:ascii="Times New Roman" w:hAnsi="Times New Roman" w:eastAsia="Times New Roman" w:cs="Times New Roman"/>
          <w:sz w:val="28"/>
          <w:szCs w:val="28"/>
          <w:b/>
          <w:bCs/>
          <w:spacing w:val="-7"/>
        </w:rPr>
        <w:t>11.1</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7"/>
        </w:rPr>
        <w:t>工程概况评价结论</w:t>
      </w:r>
    </w:p>
    <w:p>
      <w:pPr>
        <w:ind w:left="30" w:right="65" w:firstLine="484"/>
        <w:spacing w:before="227" w:line="291"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）项目名称：苏尼特右旗富邦矿业有限公司苏尼特右旗桑宝力嘎额尔登</w:t>
      </w:r>
      <w:r>
        <w:rPr>
          <w:rFonts w:ascii="FangSong" w:hAnsi="FangSong" w:eastAsia="FangSong" w:cs="FangSong"/>
          <w:sz w:val="24"/>
          <w:szCs w:val="24"/>
          <w:spacing w:val="-2"/>
        </w:rPr>
        <w:t>塔拉萤石矿</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2"/>
        </w:rPr>
        <w:t>万</w:t>
      </w:r>
      <w:r>
        <w:rPr>
          <w:rFonts w:ascii="Times New Roman" w:hAnsi="Times New Roman" w:eastAsia="Times New Roman" w:cs="Times New Roman"/>
          <w:sz w:val="24"/>
          <w:szCs w:val="24"/>
          <w:spacing w:val="-2"/>
        </w:rPr>
        <w:t>t/a</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采选项目（变更）</w:t>
      </w:r>
    </w:p>
    <w:p>
      <w:pPr>
        <w:ind w:left="514"/>
        <w:spacing w:before="178"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）建设单位：苏尼特右旗富邦矿业有限公司</w:t>
      </w:r>
    </w:p>
    <w:p>
      <w:pPr>
        <w:ind w:left="514"/>
        <w:spacing w:before="18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）项目性质：新建</w:t>
      </w:r>
    </w:p>
    <w:p>
      <w:pPr>
        <w:ind w:left="17" w:right="65" w:firstLine="496"/>
        <w:spacing w:before="183" w:line="332"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）建设地点及交通情况：本项目位于苏尼特右旗旗政府所在地赛汉塔拉</w:t>
      </w:r>
      <w:r>
        <w:rPr>
          <w:rFonts w:ascii="FangSong" w:hAnsi="FangSong" w:eastAsia="FangSong" w:cs="FangSong"/>
          <w:sz w:val="24"/>
          <w:szCs w:val="24"/>
          <w:spacing w:val="-4"/>
        </w:rPr>
        <w:t>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4"/>
        </w:rPr>
        <w:t>25°</w:t>
      </w:r>
      <w:r>
        <w:rPr>
          <w:rFonts w:ascii="FangSong" w:hAnsi="FangSong" w:eastAsia="FangSong" w:cs="FangSong"/>
          <w:sz w:val="24"/>
          <w:szCs w:val="24"/>
          <w:spacing w:val="-4"/>
        </w:rPr>
        <w:t>方位直距</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4"/>
        </w:rPr>
        <w:t>40km</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4"/>
        </w:rPr>
        <w:t>处，行政区划隶属于苏尼特右旗桑宝力嘎苏木。其</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2000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4"/>
        </w:rPr>
        <w:t>国</w:t>
      </w:r>
      <w:r>
        <w:rPr>
          <w:rFonts w:ascii="FangSong" w:hAnsi="FangSong" w:eastAsia="FangSong" w:cs="FangSong"/>
          <w:sz w:val="24"/>
          <w:szCs w:val="24"/>
          <w:spacing w:val="-12"/>
        </w:rPr>
        <w:t>家</w:t>
      </w:r>
      <w:r>
        <w:rPr>
          <w:rFonts w:ascii="FangSong" w:hAnsi="FangSong" w:eastAsia="FangSong" w:cs="FangSong"/>
          <w:sz w:val="24"/>
          <w:szCs w:val="24"/>
          <w:spacing w:val="-65"/>
        </w:rPr>
        <w:t xml:space="preserve"> </w:t>
      </w:r>
      <w:r>
        <w:rPr>
          <w:rFonts w:ascii="FangSong" w:hAnsi="FangSong" w:eastAsia="FangSong" w:cs="FangSong"/>
          <w:sz w:val="24"/>
          <w:szCs w:val="24"/>
          <w:spacing w:val="-12"/>
        </w:rPr>
        <w:t>大</w:t>
      </w:r>
      <w:r>
        <w:rPr>
          <w:rFonts w:ascii="FangSong" w:hAnsi="FangSong" w:eastAsia="FangSong" w:cs="FangSong"/>
          <w:sz w:val="24"/>
          <w:szCs w:val="24"/>
          <w:spacing w:val="-67"/>
        </w:rPr>
        <w:t xml:space="preserve"> </w:t>
      </w:r>
      <w:r>
        <w:rPr>
          <w:rFonts w:ascii="FangSong" w:hAnsi="FangSong" w:eastAsia="FangSong" w:cs="FangSong"/>
          <w:sz w:val="24"/>
          <w:szCs w:val="24"/>
          <w:spacing w:val="-12"/>
        </w:rPr>
        <w:t>地</w:t>
      </w:r>
      <w:r>
        <w:rPr>
          <w:rFonts w:ascii="FangSong" w:hAnsi="FangSong" w:eastAsia="FangSong" w:cs="FangSong"/>
          <w:sz w:val="24"/>
          <w:szCs w:val="24"/>
          <w:spacing w:val="-62"/>
        </w:rPr>
        <w:t xml:space="preserve"> </w:t>
      </w:r>
      <w:r>
        <w:rPr>
          <w:rFonts w:ascii="FangSong" w:hAnsi="FangSong" w:eastAsia="FangSong" w:cs="FangSong"/>
          <w:sz w:val="24"/>
          <w:szCs w:val="24"/>
          <w:spacing w:val="-12"/>
        </w:rPr>
        <w:t>坐</w:t>
      </w:r>
      <w:r>
        <w:rPr>
          <w:rFonts w:ascii="FangSong" w:hAnsi="FangSong" w:eastAsia="FangSong" w:cs="FangSong"/>
          <w:sz w:val="24"/>
          <w:szCs w:val="24"/>
          <w:spacing w:val="-69"/>
        </w:rPr>
        <w:t xml:space="preserve"> </w:t>
      </w:r>
      <w:r>
        <w:rPr>
          <w:rFonts w:ascii="FangSong" w:hAnsi="FangSong" w:eastAsia="FangSong" w:cs="FangSong"/>
          <w:sz w:val="24"/>
          <w:szCs w:val="24"/>
          <w:spacing w:val="-12"/>
        </w:rPr>
        <w:t>标</w:t>
      </w:r>
      <w:r>
        <w:rPr>
          <w:rFonts w:ascii="FangSong" w:hAnsi="FangSong" w:eastAsia="FangSong" w:cs="FangSong"/>
          <w:sz w:val="24"/>
          <w:szCs w:val="24"/>
          <w:spacing w:val="-59"/>
        </w:rPr>
        <w:t xml:space="preserve"> </w:t>
      </w:r>
      <w:r>
        <w:rPr>
          <w:rFonts w:ascii="FangSong" w:hAnsi="FangSong" w:eastAsia="FangSong" w:cs="FangSong"/>
          <w:sz w:val="24"/>
          <w:szCs w:val="24"/>
          <w:spacing w:val="-12"/>
        </w:rPr>
        <w:t>系</w:t>
      </w:r>
      <w:r>
        <w:rPr>
          <w:rFonts w:ascii="FangSong" w:hAnsi="FangSong" w:eastAsia="FangSong" w:cs="FangSong"/>
          <w:sz w:val="24"/>
          <w:szCs w:val="24"/>
          <w:spacing w:val="-50"/>
        </w:rPr>
        <w:t xml:space="preserve"> </w:t>
      </w:r>
      <w:r>
        <w:rPr>
          <w:rFonts w:ascii="FangSong" w:hAnsi="FangSong" w:eastAsia="FangSong" w:cs="FangSong"/>
          <w:sz w:val="24"/>
          <w:szCs w:val="24"/>
          <w:spacing w:val="-12"/>
        </w:rPr>
        <w:t>：</w:t>
      </w:r>
      <w:r>
        <w:rPr>
          <w:rFonts w:ascii="FangSong" w:hAnsi="FangSong" w:eastAsia="FangSong" w:cs="FangSong"/>
          <w:sz w:val="24"/>
          <w:szCs w:val="24"/>
          <w:spacing w:val="-67"/>
        </w:rPr>
        <w:t xml:space="preserve"> </w:t>
      </w:r>
      <w:r>
        <w:rPr>
          <w:rFonts w:ascii="FangSong" w:hAnsi="FangSong" w:eastAsia="FangSong" w:cs="FangSong"/>
          <w:sz w:val="24"/>
          <w:szCs w:val="24"/>
          <w:spacing w:val="-12"/>
        </w:rPr>
        <w:t>极</w:t>
      </w:r>
      <w:r>
        <w:rPr>
          <w:rFonts w:ascii="FangSong" w:hAnsi="FangSong" w:eastAsia="FangSong" w:cs="FangSong"/>
          <w:sz w:val="24"/>
          <w:szCs w:val="24"/>
          <w:spacing w:val="-69"/>
        </w:rPr>
        <w:t xml:space="preserve"> </w:t>
      </w:r>
      <w:r>
        <w:rPr>
          <w:rFonts w:ascii="FangSong" w:hAnsi="FangSong" w:eastAsia="FangSong" w:cs="FangSong"/>
          <w:sz w:val="24"/>
          <w:szCs w:val="24"/>
          <w:spacing w:val="-12"/>
        </w:rPr>
        <w:t>值</w:t>
      </w:r>
      <w:r>
        <w:rPr>
          <w:rFonts w:ascii="FangSong" w:hAnsi="FangSong" w:eastAsia="FangSong" w:cs="FangSong"/>
          <w:sz w:val="24"/>
          <w:szCs w:val="24"/>
          <w:spacing w:val="-67"/>
        </w:rPr>
        <w:t xml:space="preserve"> </w:t>
      </w:r>
      <w:r>
        <w:rPr>
          <w:rFonts w:ascii="FangSong" w:hAnsi="FangSong" w:eastAsia="FangSong" w:cs="FangSong"/>
          <w:sz w:val="24"/>
          <w:szCs w:val="24"/>
          <w:spacing w:val="-12"/>
        </w:rPr>
        <w:t>地</w:t>
      </w:r>
      <w:r>
        <w:rPr>
          <w:rFonts w:ascii="FangSong" w:hAnsi="FangSong" w:eastAsia="FangSong" w:cs="FangSong"/>
          <w:sz w:val="24"/>
          <w:szCs w:val="24"/>
          <w:spacing w:val="-66"/>
        </w:rPr>
        <w:t xml:space="preserve"> </w:t>
      </w:r>
      <w:r>
        <w:rPr>
          <w:rFonts w:ascii="FangSong" w:hAnsi="FangSong" w:eastAsia="FangSong" w:cs="FangSong"/>
          <w:sz w:val="24"/>
          <w:szCs w:val="24"/>
          <w:spacing w:val="-12"/>
        </w:rPr>
        <w:t>理</w:t>
      </w:r>
      <w:r>
        <w:rPr>
          <w:rFonts w:ascii="FangSong" w:hAnsi="FangSong" w:eastAsia="FangSong" w:cs="FangSong"/>
          <w:sz w:val="24"/>
          <w:szCs w:val="24"/>
          <w:spacing w:val="-62"/>
        </w:rPr>
        <w:t xml:space="preserve"> </w:t>
      </w:r>
      <w:r>
        <w:rPr>
          <w:rFonts w:ascii="FangSong" w:hAnsi="FangSong" w:eastAsia="FangSong" w:cs="FangSong"/>
          <w:sz w:val="24"/>
          <w:szCs w:val="24"/>
          <w:spacing w:val="-12"/>
        </w:rPr>
        <w:t>坐</w:t>
      </w:r>
      <w:r>
        <w:rPr>
          <w:rFonts w:ascii="FangSong" w:hAnsi="FangSong" w:eastAsia="FangSong" w:cs="FangSong"/>
          <w:sz w:val="24"/>
          <w:szCs w:val="24"/>
          <w:spacing w:val="-69"/>
        </w:rPr>
        <w:t xml:space="preserve"> </w:t>
      </w:r>
      <w:r>
        <w:rPr>
          <w:rFonts w:ascii="FangSong" w:hAnsi="FangSong" w:eastAsia="FangSong" w:cs="FangSong"/>
          <w:sz w:val="24"/>
          <w:szCs w:val="24"/>
          <w:spacing w:val="-12"/>
        </w:rPr>
        <w:t>标</w:t>
      </w:r>
      <w:r>
        <w:rPr>
          <w:rFonts w:ascii="FangSong" w:hAnsi="FangSong" w:eastAsia="FangSong" w:cs="FangSong"/>
          <w:sz w:val="24"/>
          <w:szCs w:val="24"/>
          <w:spacing w:val="-60"/>
        </w:rPr>
        <w:t xml:space="preserve"> </w:t>
      </w:r>
      <w:r>
        <w:rPr>
          <w:rFonts w:ascii="FangSong" w:hAnsi="FangSong" w:eastAsia="FangSong" w:cs="FangSong"/>
          <w:sz w:val="24"/>
          <w:szCs w:val="24"/>
          <w:spacing w:val="-12"/>
        </w:rPr>
        <w:t>为</w:t>
      </w:r>
      <w:r>
        <w:rPr>
          <w:rFonts w:ascii="FangSong" w:hAnsi="FangSong" w:eastAsia="FangSong" w:cs="FangSong"/>
          <w:sz w:val="24"/>
          <w:szCs w:val="24"/>
          <w:spacing w:val="-50"/>
        </w:rPr>
        <w:t xml:space="preserve"> </w:t>
      </w:r>
      <w:r>
        <w:rPr>
          <w:rFonts w:ascii="FangSong" w:hAnsi="FangSong" w:eastAsia="FangSong" w:cs="FangSong"/>
          <w:sz w:val="24"/>
          <w:szCs w:val="24"/>
          <w:spacing w:val="-12"/>
        </w:rPr>
        <w:t>：</w:t>
      </w:r>
      <w:r>
        <w:rPr>
          <w:rFonts w:ascii="FangSong" w:hAnsi="FangSong" w:eastAsia="FangSong" w:cs="FangSong"/>
          <w:sz w:val="24"/>
          <w:szCs w:val="24"/>
          <w:spacing w:val="-62"/>
        </w:rPr>
        <w:t xml:space="preserve"> </w:t>
      </w:r>
      <w:r>
        <w:rPr>
          <w:rFonts w:ascii="FangSong" w:hAnsi="FangSong" w:eastAsia="FangSong" w:cs="FangSong"/>
          <w:sz w:val="24"/>
          <w:szCs w:val="24"/>
          <w:spacing w:val="-12"/>
        </w:rPr>
        <w:t>东</w:t>
      </w:r>
      <w:r>
        <w:rPr>
          <w:rFonts w:ascii="FangSong" w:hAnsi="FangSong" w:eastAsia="FangSong" w:cs="FangSong"/>
          <w:sz w:val="24"/>
          <w:szCs w:val="24"/>
          <w:spacing w:val="-68"/>
        </w:rPr>
        <w:t xml:space="preserve"> </w:t>
      </w:r>
      <w:r>
        <w:rPr>
          <w:rFonts w:ascii="FangSong" w:hAnsi="FangSong" w:eastAsia="FangSong" w:cs="FangSong"/>
          <w:sz w:val="24"/>
          <w:szCs w:val="24"/>
          <w:spacing w:val="-12"/>
        </w:rPr>
        <w:t>经</w:t>
      </w:r>
      <w:r>
        <w:rPr>
          <w:rFonts w:ascii="FangSong" w:hAnsi="FangSong" w:eastAsia="FangSong" w:cs="FangSong"/>
          <w:sz w:val="24"/>
          <w:szCs w:val="24"/>
          <w:spacing w:val="-51"/>
        </w:rPr>
        <w:t xml:space="preserve"> </w:t>
      </w:r>
      <w:r>
        <w:rPr>
          <w:rFonts w:ascii="FangSong" w:hAnsi="FangSong" w:eastAsia="FangSong" w:cs="FangSong"/>
          <w:sz w:val="24"/>
          <w:szCs w:val="24"/>
          <w:spacing w:val="-12"/>
        </w:rPr>
        <w:t>：</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2"/>
        </w:rPr>
        <w:t>112°5</w:t>
      </w:r>
      <w:r>
        <w:rPr>
          <w:rFonts w:ascii="Times New Roman" w:hAnsi="Times New Roman" w:eastAsia="Times New Roman" w:cs="Times New Roman"/>
          <w:sz w:val="24"/>
          <w:szCs w:val="24"/>
          <w:spacing w:val="-13"/>
        </w:rPr>
        <w:t>2′01″-112°56′</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3"/>
        </w:rPr>
        <w:t>11″ </w:t>
      </w:r>
      <w:r>
        <w:rPr>
          <w:rFonts w:ascii="FangSong" w:hAnsi="FangSong" w:eastAsia="FangSong" w:cs="FangSong"/>
          <w:sz w:val="24"/>
          <w:szCs w:val="24"/>
          <w:spacing w:val="-13"/>
        </w:rPr>
        <w:t>，</w:t>
      </w:r>
      <w:r>
        <w:rPr>
          <w:rFonts w:ascii="FangSong" w:hAnsi="FangSong" w:eastAsia="FangSong" w:cs="FangSong"/>
          <w:sz w:val="24"/>
          <w:szCs w:val="24"/>
          <w:spacing w:val="-61"/>
        </w:rPr>
        <w:t xml:space="preserve"> </w:t>
      </w:r>
      <w:r>
        <w:rPr>
          <w:rFonts w:ascii="FangSong" w:hAnsi="FangSong" w:eastAsia="FangSong" w:cs="FangSong"/>
          <w:sz w:val="24"/>
          <w:szCs w:val="24"/>
          <w:spacing w:val="-13"/>
        </w:rPr>
        <w:t>北</w:t>
      </w:r>
      <w:r>
        <w:rPr>
          <w:rFonts w:ascii="FangSong" w:hAnsi="FangSong" w:eastAsia="FangSong" w:cs="FangSong"/>
          <w:sz w:val="24"/>
          <w:szCs w:val="24"/>
          <w:spacing w:val="-66"/>
        </w:rPr>
        <w:t xml:space="preserve"> </w:t>
      </w:r>
      <w:r>
        <w:rPr>
          <w:rFonts w:ascii="FangSong" w:hAnsi="FangSong" w:eastAsia="FangSong" w:cs="FangSong"/>
          <w:sz w:val="24"/>
          <w:szCs w:val="24"/>
          <w:spacing w:val="-13"/>
        </w:rPr>
        <w:t>纬</w:t>
      </w:r>
      <w:r>
        <w:rPr>
          <w:rFonts w:ascii="FangSong" w:hAnsi="FangSong" w:eastAsia="FangSong" w:cs="FangSong"/>
          <w:sz w:val="24"/>
          <w:szCs w:val="24"/>
          <w:spacing w:val="-50"/>
        </w:rPr>
        <w:t xml:space="preserve"> </w:t>
      </w:r>
      <w:r>
        <w:rPr>
          <w:rFonts w:ascii="FangSong" w:hAnsi="FangSong" w:eastAsia="FangSong" w:cs="FangSong"/>
          <w:sz w:val="24"/>
          <w:szCs w:val="24"/>
          <w:spacing w:val="-1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42°59′53″-43°02′49″</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，中心点平</w:t>
      </w:r>
      <w:r>
        <w:rPr>
          <w:rFonts w:ascii="FangSong" w:hAnsi="FangSong" w:eastAsia="FangSong" w:cs="FangSong"/>
          <w:sz w:val="24"/>
          <w:szCs w:val="24"/>
          <w:spacing w:val="-2"/>
        </w:rPr>
        <w:t>面直角坐标为</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X=4765763</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Y=38410563</w:t>
      </w:r>
      <w:r>
        <w:rPr>
          <w:rFonts w:ascii="FangSong" w:hAnsi="FangSong" w:eastAsia="FangSong" w:cs="FangSong"/>
          <w:sz w:val="24"/>
          <w:szCs w:val="24"/>
          <w:spacing w:val="-2"/>
        </w:rPr>
        <w:t>。</w:t>
      </w:r>
    </w:p>
    <w:p>
      <w:pPr>
        <w:ind w:left="31" w:right="65" w:firstLine="478"/>
        <w:spacing w:before="144" w:line="360" w:lineRule="auto"/>
        <w:jc w:val="both"/>
        <w:rPr>
          <w:rFonts w:ascii="FangSong" w:hAnsi="FangSong" w:eastAsia="FangSong" w:cs="FangSong"/>
          <w:sz w:val="24"/>
          <w:szCs w:val="24"/>
        </w:rPr>
      </w:pPr>
      <w:r>
        <w:rPr>
          <w:rFonts w:ascii="FangSong" w:hAnsi="FangSong" w:eastAsia="FangSong" w:cs="FangSong"/>
          <w:sz w:val="24"/>
          <w:szCs w:val="24"/>
          <w:spacing w:val="-5"/>
        </w:rPr>
        <w:t>矿区北西距</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5"/>
        </w:rPr>
        <w:t>S101</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5"/>
        </w:rPr>
        <w:t>省道</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5"/>
        </w:rPr>
        <w:t>5km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，有柏油路与</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S101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5"/>
        </w:rPr>
        <w:t>省道相连；经</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S101</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5"/>
        </w:rPr>
        <w:t>省道南西</w:t>
      </w:r>
      <w:r>
        <w:rPr>
          <w:rFonts w:ascii="FangSong" w:hAnsi="FangSong" w:eastAsia="FangSong" w:cs="FangSong"/>
          <w:sz w:val="24"/>
          <w:szCs w:val="24"/>
          <w:spacing w:val="-2"/>
        </w:rPr>
        <w:t>至苏尼特右旗赛汉塔拉镇运距约</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40km</w:t>
      </w:r>
      <w:r>
        <w:rPr>
          <w:rFonts w:ascii="FangSong" w:hAnsi="FangSong" w:eastAsia="FangSong" w:cs="FangSong"/>
          <w:sz w:val="24"/>
          <w:szCs w:val="24"/>
          <w:spacing w:val="-2"/>
        </w:rPr>
        <w:t>。矿区北西距集宁</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二</w:t>
      </w:r>
      <w:r>
        <w:rPr>
          <w:rFonts w:ascii="FangSong" w:hAnsi="FangSong" w:eastAsia="FangSong" w:cs="FangSong"/>
          <w:sz w:val="24"/>
          <w:szCs w:val="24"/>
          <w:spacing w:val="-3"/>
        </w:rPr>
        <w:t>连铁路赛汉塔拉火车</w:t>
      </w:r>
      <w:r>
        <w:rPr>
          <w:rFonts w:ascii="FangSong" w:hAnsi="FangSong" w:eastAsia="FangSong" w:cs="FangSong"/>
          <w:sz w:val="24"/>
          <w:szCs w:val="24"/>
          <w:spacing w:val="-3"/>
        </w:rPr>
        <w:t>站运距</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3"/>
        </w:rPr>
        <w:t>40km</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3"/>
        </w:rPr>
        <w:t>，交通便利，其地理位置见附图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4-1</w:t>
      </w:r>
      <w:r>
        <w:rPr>
          <w:rFonts w:ascii="FangSong" w:hAnsi="FangSong" w:eastAsia="FangSong" w:cs="FangSong"/>
          <w:sz w:val="24"/>
          <w:szCs w:val="24"/>
          <w:spacing w:val="-3"/>
        </w:rPr>
        <w:t>。</w:t>
      </w:r>
    </w:p>
    <w:p>
      <w:pPr>
        <w:ind w:left="29" w:firstLine="485"/>
        <w:spacing w:before="4" w:line="313" w:lineRule="auto"/>
        <w:rPr>
          <w:rFonts w:ascii="FangSong" w:hAnsi="FangSong" w:eastAsia="FangSong" w:cs="FangSong"/>
          <w:sz w:val="24"/>
          <w:szCs w:val="24"/>
        </w:rPr>
      </w:pP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5</w:t>
      </w:r>
      <w:r>
        <w:rPr>
          <w:rFonts w:ascii="FangSong" w:hAnsi="FangSong" w:eastAsia="FangSong" w:cs="FangSong"/>
          <w:sz w:val="24"/>
          <w:szCs w:val="24"/>
          <w:spacing w:val="-11"/>
        </w:rPr>
        <w:t>）开采方式、建设规模：开采方式为地下开采；设计采矿规模为</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11"/>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1"/>
        </w:rPr>
        <w:t>t/a</w:t>
      </w:r>
      <w:r>
        <w:rPr>
          <w:rFonts w:ascii="FangSong" w:hAnsi="FangSong" w:eastAsia="FangSong" w:cs="FangSong"/>
          <w:sz w:val="24"/>
          <w:szCs w:val="24"/>
          <w:spacing w:val="-11"/>
        </w:rPr>
        <w:t>，</w:t>
      </w:r>
      <w:r>
        <w:rPr>
          <w:rFonts w:ascii="FangSong" w:hAnsi="FangSong" w:eastAsia="FangSong" w:cs="FangSong"/>
          <w:sz w:val="24"/>
          <w:szCs w:val="24"/>
          <w:spacing w:val="-7"/>
        </w:rPr>
        <w:t>服务年限</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年（含基建期</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7"/>
        </w:rPr>
        <w:t>年</w:t>
      </w:r>
      <w:r>
        <w:rPr>
          <w:rFonts w:ascii="FangSong" w:hAnsi="FangSong" w:eastAsia="FangSong" w:cs="FangSong"/>
          <w:sz w:val="24"/>
          <w:szCs w:val="24"/>
          <w:spacing w:val="16"/>
        </w:rPr>
        <w:t>）；</w:t>
      </w:r>
      <w:r>
        <w:rPr>
          <w:rFonts w:ascii="FangSong" w:hAnsi="FangSong" w:eastAsia="FangSong" w:cs="FangSong"/>
          <w:sz w:val="24"/>
          <w:szCs w:val="24"/>
          <w:spacing w:val="-7"/>
        </w:rPr>
        <w:t>选矿规模为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7"/>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t/a</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，服务年限</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7"/>
        </w:rPr>
        <w:t>15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7"/>
        </w:rPr>
        <w:t>年，矿</w:t>
      </w:r>
      <w:r>
        <w:rPr>
          <w:rFonts w:ascii="FangSong" w:hAnsi="FangSong" w:eastAsia="FangSong" w:cs="FangSong"/>
          <w:sz w:val="24"/>
          <w:szCs w:val="24"/>
          <w:spacing w:val="-2"/>
        </w:rPr>
        <w:t>山最终产品为品位</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96.62%</w:t>
      </w:r>
      <w:r>
        <w:rPr>
          <w:rFonts w:ascii="FangSong" w:hAnsi="FangSong" w:eastAsia="FangSong" w:cs="FangSong"/>
          <w:sz w:val="24"/>
          <w:szCs w:val="24"/>
          <w:spacing w:val="-2"/>
        </w:rPr>
        <w:t>的萤石精矿；</w:t>
      </w:r>
    </w:p>
    <w:p>
      <w:pPr>
        <w:ind w:left="29" w:right="65" w:firstLine="485"/>
        <w:spacing w:before="179" w:line="314"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6</w:t>
      </w:r>
      <w:r>
        <w:rPr>
          <w:rFonts w:ascii="FangSong" w:hAnsi="FangSong" w:eastAsia="FangSong" w:cs="FangSong"/>
          <w:sz w:val="24"/>
          <w:szCs w:val="24"/>
          <w:spacing w:val="-4"/>
        </w:rPr>
        <w:t>）占地情况：矿区面积为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1117.76hm</w:t>
      </w:r>
      <w:r>
        <w:rPr>
          <w:rFonts w:ascii="Times New Roman" w:hAnsi="Times New Roman" w:eastAsia="Times New Roman" w:cs="Times New Roman"/>
          <w:sz w:val="15"/>
          <w:szCs w:val="15"/>
          <w:spacing w:val="-5"/>
          <w:position w:val="7"/>
        </w:rPr>
        <w:t>2</w:t>
      </w:r>
      <w:r>
        <w:rPr>
          <w:rFonts w:ascii="FangSong" w:hAnsi="FangSong" w:eastAsia="FangSong" w:cs="FangSong"/>
          <w:sz w:val="24"/>
          <w:szCs w:val="24"/>
          <w:spacing w:val="-5"/>
        </w:rPr>
        <w:t>，永久占地面积为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7.2203hm²</w:t>
      </w:r>
      <w:r>
        <w:rPr>
          <w:rFonts w:ascii="FangSong" w:hAnsi="FangSong" w:eastAsia="FangSong" w:cs="FangSong"/>
          <w:sz w:val="24"/>
          <w:szCs w:val="24"/>
          <w:spacing w:val="-5"/>
        </w:rPr>
        <w:t>（新建</w:t>
      </w:r>
      <w:r>
        <w:rPr>
          <w:rFonts w:ascii="FangSong" w:hAnsi="FangSong" w:eastAsia="FangSong" w:cs="FangSong"/>
          <w:sz w:val="24"/>
          <w:szCs w:val="24"/>
          <w:spacing w:val="-1"/>
        </w:rPr>
        <w:t>生产设施功能区</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
        </w:rPr>
        <w:t>1.6798hm</w:t>
      </w:r>
      <w:r>
        <w:rPr>
          <w:rFonts w:ascii="Times New Roman" w:hAnsi="Times New Roman" w:eastAsia="Times New Roman" w:cs="Times New Roman"/>
          <w:sz w:val="15"/>
          <w:szCs w:val="15"/>
          <w:spacing w:val="-1"/>
          <w:position w:val="7"/>
        </w:rPr>
        <w:t>2 </w:t>
      </w:r>
      <w:r>
        <w:rPr>
          <w:rFonts w:ascii="FangSong" w:hAnsi="FangSong" w:eastAsia="FangSong" w:cs="FangSong"/>
          <w:sz w:val="24"/>
          <w:szCs w:val="24"/>
          <w:spacing w:val="-1"/>
        </w:rPr>
        <w:t>、辅助生产设施功能区</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2.6341hm</w:t>
      </w:r>
      <w:r>
        <w:rPr>
          <w:rFonts w:ascii="Times New Roman" w:hAnsi="Times New Roman" w:eastAsia="Times New Roman" w:cs="Times New Roman"/>
          <w:sz w:val="15"/>
          <w:szCs w:val="15"/>
          <w:spacing w:val="-1"/>
          <w:position w:val="7"/>
        </w:rPr>
        <w:t>2 </w:t>
      </w:r>
      <w:r>
        <w:rPr>
          <w:rFonts w:ascii="FangSong" w:hAnsi="FangSong" w:eastAsia="FangSong" w:cs="FangSong"/>
          <w:sz w:val="24"/>
          <w:szCs w:val="24"/>
          <w:spacing w:val="-1"/>
        </w:rPr>
        <w:t>、行政管理与生活</w:t>
      </w:r>
      <w:r>
        <w:rPr>
          <w:rFonts w:ascii="FangSong" w:hAnsi="FangSong" w:eastAsia="FangSong" w:cs="FangSong"/>
          <w:sz w:val="24"/>
          <w:szCs w:val="24"/>
          <w:spacing w:val="-2"/>
        </w:rPr>
        <w:t>服务设施功能区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0.9600hm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、厂</w:t>
      </w:r>
      <w:r>
        <w:rPr>
          <w:rFonts w:ascii="FangSong" w:hAnsi="FangSong" w:eastAsia="FangSong" w:cs="FangSong"/>
          <w:sz w:val="24"/>
          <w:szCs w:val="24"/>
          <w:spacing w:val="-3"/>
        </w:rPr>
        <w:t>内道路功能区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1.9464hm</w:t>
      </w:r>
      <w:r>
        <w:rPr>
          <w:rFonts w:ascii="Times New Roman" w:hAnsi="Times New Roman" w:eastAsia="Times New Roman" w:cs="Times New Roman"/>
          <w:sz w:val="15"/>
          <w:szCs w:val="15"/>
          <w:spacing w:val="-3"/>
          <w:position w:val="7"/>
        </w:rPr>
        <w:t>2 </w:t>
      </w:r>
      <w:r>
        <w:rPr>
          <w:rFonts w:ascii="FangSong" w:hAnsi="FangSong" w:eastAsia="FangSong" w:cs="FangSong"/>
          <w:sz w:val="24"/>
          <w:szCs w:val="24"/>
          <w:spacing w:val="-3"/>
        </w:rPr>
        <w:t>。</w:t>
      </w:r>
      <w:r>
        <w:rPr>
          <w:rFonts w:ascii="FangSong" w:hAnsi="FangSong" w:eastAsia="FangSong" w:cs="FangSong"/>
          <w:sz w:val="24"/>
          <w:szCs w:val="24"/>
          <w:spacing w:val="-18"/>
        </w:rPr>
        <w:t>）；</w:t>
      </w:r>
    </w:p>
    <w:p>
      <w:pPr>
        <w:ind w:left="514"/>
        <w:spacing w:before="18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7</w:t>
      </w:r>
      <w:r>
        <w:rPr>
          <w:rFonts w:ascii="FangSong" w:hAnsi="FangSong" w:eastAsia="FangSong" w:cs="FangSong"/>
          <w:sz w:val="24"/>
          <w:szCs w:val="24"/>
          <w:spacing w:val="-3"/>
        </w:rPr>
        <w:t>）开采标高：设计开采标高为</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3"/>
        </w:rPr>
        <w:t>1065.00m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至</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3"/>
        </w:rPr>
        <w:t>842.00m</w:t>
      </w:r>
      <w:r>
        <w:rPr>
          <w:rFonts w:ascii="FangSong" w:hAnsi="FangSong" w:eastAsia="FangSong" w:cs="FangSong"/>
          <w:sz w:val="24"/>
          <w:szCs w:val="24"/>
          <w:spacing w:val="-3"/>
        </w:rPr>
        <w:t>；</w:t>
      </w:r>
    </w:p>
    <w:p>
      <w:pPr>
        <w:ind w:left="514"/>
        <w:spacing w:before="179"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8</w:t>
      </w:r>
      <w:r>
        <w:rPr>
          <w:rFonts w:ascii="FangSong" w:hAnsi="FangSong" w:eastAsia="FangSong" w:cs="FangSong"/>
          <w:sz w:val="24"/>
          <w:szCs w:val="24"/>
          <w:spacing w:val="-1"/>
        </w:rPr>
        <w:t>）井巷工程标高：井巷工程标高为地表</w:t>
      </w:r>
      <w:r>
        <w:rPr>
          <w:rFonts w:ascii="FangSong" w:hAnsi="FangSong" w:eastAsia="FangSong" w:cs="FangSong"/>
          <w:sz w:val="24"/>
          <w:szCs w:val="24"/>
          <w:spacing w:val="-2"/>
        </w:rPr>
        <w:t>至</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2"/>
        </w:rPr>
        <w:t>817.00m</w:t>
      </w:r>
      <w:r>
        <w:rPr>
          <w:rFonts w:ascii="FangSong" w:hAnsi="FangSong" w:eastAsia="FangSong" w:cs="FangSong"/>
          <w:sz w:val="24"/>
          <w:szCs w:val="24"/>
          <w:spacing w:val="-2"/>
        </w:rPr>
        <w:t>；</w:t>
      </w:r>
    </w:p>
    <w:p>
      <w:pPr>
        <w:ind w:left="31" w:firstLine="483"/>
        <w:spacing w:before="179" w:line="291"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9</w:t>
      </w:r>
      <w:r>
        <w:rPr>
          <w:rFonts w:ascii="FangSong" w:hAnsi="FangSong" w:eastAsia="FangSong" w:cs="FangSong"/>
          <w:sz w:val="24"/>
          <w:szCs w:val="24"/>
          <w:spacing w:val="-4"/>
        </w:rPr>
        <w:t>）项目投资：项目总投资总额为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9830.78</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万</w:t>
      </w:r>
      <w:r>
        <w:rPr>
          <w:rFonts w:ascii="FangSong" w:hAnsi="FangSong" w:eastAsia="FangSong" w:cs="FangSong"/>
          <w:sz w:val="24"/>
          <w:szCs w:val="24"/>
          <w:spacing w:val="-5"/>
        </w:rPr>
        <w:t>元，其中环保投资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381</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5"/>
        </w:rPr>
        <w:t>万元，</w:t>
      </w:r>
      <w:r>
        <w:rPr>
          <w:rFonts w:ascii="FangSong" w:hAnsi="FangSong" w:eastAsia="FangSong" w:cs="FangSong"/>
          <w:sz w:val="24"/>
          <w:szCs w:val="24"/>
          <w:spacing w:val="-3"/>
        </w:rPr>
        <w:t>约占总投资的</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3"/>
        </w:rPr>
        <w:t>3.88%</w:t>
      </w:r>
      <w:r>
        <w:rPr>
          <w:rFonts w:ascii="FangSong" w:hAnsi="FangSong" w:eastAsia="FangSong" w:cs="FangSong"/>
          <w:sz w:val="24"/>
          <w:szCs w:val="24"/>
          <w:spacing w:val="-3"/>
        </w:rPr>
        <w:t>；</w:t>
      </w:r>
    </w:p>
    <w:p>
      <w:pPr>
        <w:ind w:left="514"/>
        <w:spacing w:before="180" w:line="220"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）劳动定员及工作制度：劳动定员共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134</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5"/>
        </w:rPr>
        <w:t>人，采矿</w:t>
      </w:r>
      <w:r>
        <w:rPr>
          <w:rFonts w:ascii="FangSong" w:hAnsi="FangSong" w:eastAsia="FangSong" w:cs="FangSong"/>
          <w:sz w:val="24"/>
          <w:szCs w:val="24"/>
          <w:spacing w:val="-6"/>
        </w:rPr>
        <w:t>年工作</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300</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6"/>
        </w:rPr>
        <w:t>天，每天</w:t>
      </w:r>
    </w:p>
    <w:p>
      <w:pPr>
        <w:ind w:left="23"/>
        <w:spacing w:before="181" w:line="223" w:lineRule="auto"/>
        <w:rPr>
          <w:rFonts w:ascii="FangSong" w:hAnsi="FangSong" w:eastAsia="FangSong" w:cs="FangSong"/>
          <w:sz w:val="24"/>
          <w:szCs w:val="24"/>
        </w:rPr>
      </w:pP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7"/>
        </w:rPr>
        <w:t>班，每班</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7"/>
        </w:rPr>
        <w:t>小时。</w:t>
      </w:r>
    </w:p>
    <w:p>
      <w:pPr>
        <w:ind w:left="32"/>
        <w:spacing w:before="237" w:line="221" w:lineRule="auto"/>
        <w:outlineLvl w:val="1"/>
        <w:rPr>
          <w:rFonts w:ascii="FangSong" w:hAnsi="FangSong" w:eastAsia="FangSong" w:cs="FangSong"/>
          <w:sz w:val="28"/>
          <w:szCs w:val="28"/>
        </w:rPr>
      </w:pPr>
      <w:bookmarkStart w:name="bookmark453" w:id="606"/>
      <w:bookmarkEnd w:id="606"/>
      <w:bookmarkStart w:name="bookmark455" w:id="607"/>
      <w:bookmarkEnd w:id="607"/>
      <w:bookmarkStart w:name="bookmark452" w:id="608"/>
      <w:bookmarkEnd w:id="608"/>
      <w:bookmarkStart w:name="bookmark454" w:id="609"/>
      <w:bookmarkEnd w:id="609"/>
      <w:r>
        <w:rPr>
          <w:rFonts w:ascii="Times New Roman" w:hAnsi="Times New Roman" w:eastAsia="Times New Roman" w:cs="Times New Roman"/>
          <w:sz w:val="28"/>
          <w:szCs w:val="28"/>
          <w:b/>
          <w:bCs/>
          <w:spacing w:val="-4"/>
        </w:rPr>
        <w:t>11.2  </w:t>
      </w:r>
      <w:r>
        <w:rPr>
          <w:rFonts w:ascii="FangSong" w:hAnsi="FangSong" w:eastAsia="FangSong" w:cs="FangSong"/>
          <w:sz w:val="28"/>
          <w:szCs w:val="28"/>
          <w:b/>
          <w:bCs/>
          <w:spacing w:val="-4"/>
        </w:rPr>
        <w:t>产业政策及相关符合性</w:t>
      </w:r>
    </w:p>
    <w:p>
      <w:pPr>
        <w:ind w:left="29"/>
        <w:spacing w:before="231" w:line="220" w:lineRule="auto"/>
        <w:outlineLvl w:val="2"/>
        <w:rPr>
          <w:rFonts w:ascii="FangSong" w:hAnsi="FangSong" w:eastAsia="FangSong" w:cs="FangSong"/>
          <w:sz w:val="24"/>
          <w:szCs w:val="24"/>
        </w:rPr>
      </w:pPr>
      <w:bookmarkStart w:name="bookmark646" w:id="610"/>
      <w:bookmarkEnd w:id="610"/>
      <w:r>
        <w:rPr>
          <w:rFonts w:ascii="Times New Roman" w:hAnsi="Times New Roman" w:eastAsia="Times New Roman" w:cs="Times New Roman"/>
          <w:sz w:val="24"/>
          <w:szCs w:val="24"/>
          <w:b/>
          <w:bCs/>
          <w:spacing w:val="-3"/>
        </w:rPr>
        <w:t>11.2.1  </w:t>
      </w:r>
      <w:r>
        <w:rPr>
          <w:rFonts w:ascii="FangSong" w:hAnsi="FangSong" w:eastAsia="FangSong" w:cs="FangSong"/>
          <w:sz w:val="24"/>
          <w:szCs w:val="24"/>
          <w:b/>
          <w:bCs/>
          <w:spacing w:val="-3"/>
        </w:rPr>
        <w:t>产业政策符合性</w:t>
      </w:r>
    </w:p>
    <w:p>
      <w:pPr>
        <w:ind w:left="510"/>
        <w:spacing w:before="181" w:line="221" w:lineRule="auto"/>
        <w:rPr>
          <w:rFonts w:ascii="FangSong" w:hAnsi="FangSong" w:eastAsia="FangSong" w:cs="FangSong"/>
          <w:sz w:val="24"/>
          <w:szCs w:val="24"/>
        </w:rPr>
      </w:pPr>
      <w:r>
        <w:rPr>
          <w:rFonts w:ascii="FangSong" w:hAnsi="FangSong" w:eastAsia="FangSong" w:cs="FangSong"/>
          <w:sz w:val="24"/>
          <w:szCs w:val="24"/>
          <w:spacing w:val="-6"/>
        </w:rPr>
        <w:t>本项目为萤石选矿项目，采矿规模为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6"/>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6"/>
        </w:rPr>
        <w:t>t/a</w:t>
      </w:r>
      <w:r>
        <w:rPr>
          <w:rFonts w:ascii="FangSong" w:hAnsi="FangSong" w:eastAsia="FangSong" w:cs="FangSong"/>
          <w:sz w:val="24"/>
          <w:szCs w:val="24"/>
          <w:spacing w:val="-6"/>
        </w:rPr>
        <w:t>，选矿规模为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6"/>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6"/>
        </w:rPr>
        <w:t>t/</w:t>
      </w:r>
      <w:r>
        <w:rPr>
          <w:rFonts w:ascii="FangSong" w:hAnsi="FangSong" w:eastAsia="FangSong" w:cs="FangSong"/>
          <w:sz w:val="24"/>
          <w:szCs w:val="24"/>
          <w:spacing w:val="-6"/>
        </w:rPr>
        <w:t>。根据与</w:t>
      </w:r>
    </w:p>
    <w:p>
      <w:pPr>
        <w:spacing w:line="221" w:lineRule="auto"/>
        <w:sectPr>
          <w:footerReference w:type="default" r:id="rId405"/>
          <w:pgSz w:w="11906" w:h="16839"/>
          <w:pgMar w:top="400" w:right="1734"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2" w:right="85" w:hanging="3"/>
        <w:spacing w:before="78" w:line="360" w:lineRule="auto"/>
        <w:rPr>
          <w:rFonts w:ascii="FangSong" w:hAnsi="FangSong" w:eastAsia="FangSong" w:cs="FangSong"/>
          <w:sz w:val="24"/>
          <w:szCs w:val="24"/>
        </w:rPr>
      </w:pPr>
      <w:r>
        <w:rPr>
          <w:rFonts w:ascii="FangSong" w:hAnsi="FangSong" w:eastAsia="FangSong" w:cs="FangSong"/>
          <w:sz w:val="24"/>
          <w:szCs w:val="24"/>
          <w:spacing w:val="1"/>
        </w:rPr>
        <w:t>《产业结构调整指导目录（</w:t>
      </w:r>
      <w:r>
        <w:rPr>
          <w:rFonts w:ascii="Times New Roman" w:hAnsi="Times New Roman" w:eastAsia="Times New Roman" w:cs="Times New Roman"/>
          <w:sz w:val="24"/>
          <w:szCs w:val="24"/>
          <w:spacing w:val="1"/>
        </w:rPr>
        <w:t>2024</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
        </w:rPr>
        <w:t>年本）》对比分析，本项目不属于该目录中鼓</w:t>
      </w:r>
      <w:r>
        <w:rPr>
          <w:rFonts w:ascii="FangSong" w:hAnsi="FangSong" w:eastAsia="FangSong" w:cs="FangSong"/>
          <w:sz w:val="24"/>
          <w:szCs w:val="24"/>
          <w:spacing w:val="-1"/>
        </w:rPr>
        <w:t>励类、限制类和淘汰类，属于允许类建设项目。</w:t>
      </w:r>
    </w:p>
    <w:p>
      <w:pPr>
        <w:ind w:left="534"/>
        <w:spacing w:before="1" w:line="220" w:lineRule="auto"/>
        <w:rPr>
          <w:rFonts w:ascii="FangSong" w:hAnsi="FangSong" w:eastAsia="FangSong" w:cs="FangSong"/>
          <w:sz w:val="24"/>
          <w:szCs w:val="24"/>
        </w:rPr>
      </w:pPr>
      <w:r>
        <w:rPr>
          <w:rFonts w:ascii="FangSong" w:hAnsi="FangSong" w:eastAsia="FangSong" w:cs="FangSong"/>
          <w:sz w:val="24"/>
          <w:szCs w:val="24"/>
          <w:spacing w:val="-2"/>
        </w:rPr>
        <w:t>因此，本项目符合国家现行相关产业政策要求。</w:t>
      </w:r>
    </w:p>
    <w:p>
      <w:pPr>
        <w:ind w:left="29"/>
        <w:spacing w:before="181" w:line="220" w:lineRule="auto"/>
        <w:outlineLvl w:val="2"/>
        <w:rPr>
          <w:rFonts w:ascii="FangSong" w:hAnsi="FangSong" w:eastAsia="FangSong" w:cs="FangSong"/>
          <w:sz w:val="24"/>
          <w:szCs w:val="24"/>
        </w:rPr>
      </w:pPr>
      <w:bookmarkStart w:name="bookmark457" w:id="611"/>
      <w:bookmarkEnd w:id="611"/>
      <w:bookmarkStart w:name="bookmark456" w:id="612"/>
      <w:bookmarkEnd w:id="612"/>
      <w:r>
        <w:rPr>
          <w:rFonts w:ascii="Times New Roman" w:hAnsi="Times New Roman" w:eastAsia="Times New Roman" w:cs="Times New Roman"/>
          <w:sz w:val="24"/>
          <w:szCs w:val="24"/>
          <w:b/>
          <w:bCs/>
          <w:spacing w:val="-3"/>
        </w:rPr>
        <w:t>11.2.2  </w:t>
      </w:r>
      <w:r>
        <w:rPr>
          <w:rFonts w:ascii="FangSong" w:hAnsi="FangSong" w:eastAsia="FangSong" w:cs="FangSong"/>
          <w:sz w:val="24"/>
          <w:szCs w:val="24"/>
          <w:b/>
          <w:bCs/>
          <w:spacing w:val="-3"/>
        </w:rPr>
        <w:t>相关规划符合性</w:t>
      </w:r>
    </w:p>
    <w:p>
      <w:pPr>
        <w:ind w:left="29" w:right="83" w:firstLine="480"/>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经分析，本项目符合《内蒙古自治区主体功能区</w:t>
      </w:r>
      <w:r>
        <w:rPr>
          <w:rFonts w:ascii="FangSong" w:hAnsi="FangSong" w:eastAsia="FangSong" w:cs="FangSong"/>
          <w:sz w:val="24"/>
          <w:szCs w:val="24"/>
          <w:spacing w:val="-4"/>
        </w:rPr>
        <w:t>规划》、《内蒙古自治区人</w:t>
      </w:r>
      <w:r>
        <w:rPr>
          <w:rFonts w:ascii="FangSong" w:hAnsi="FangSong" w:eastAsia="FangSong" w:cs="FangSong"/>
          <w:sz w:val="24"/>
          <w:szCs w:val="24"/>
        </w:rPr>
        <w:t>民政府关于自治区主体功能区规划的实施意见》（内政发〔</w:t>
      </w:r>
      <w:r>
        <w:rPr>
          <w:rFonts w:ascii="Times New Roman" w:hAnsi="Times New Roman" w:eastAsia="Times New Roman" w:cs="Times New Roman"/>
          <w:sz w:val="24"/>
          <w:szCs w:val="24"/>
        </w:rPr>
        <w:t>2015</w:t>
      </w:r>
      <w:r>
        <w:rPr>
          <w:rFonts w:ascii="FangSong" w:hAnsi="FangSong" w:eastAsia="FangSong" w:cs="FangSong"/>
          <w:sz w:val="24"/>
          <w:szCs w:val="24"/>
        </w:rPr>
        <w:t>〕</w:t>
      </w:r>
      <w:r>
        <w:rPr>
          <w:rFonts w:ascii="Times New Roman" w:hAnsi="Times New Roman" w:eastAsia="Times New Roman" w:cs="Times New Roman"/>
          <w:sz w:val="24"/>
          <w:szCs w:val="24"/>
        </w:rPr>
        <w:t>18  </w:t>
      </w:r>
      <w:r>
        <w:rPr>
          <w:rFonts w:ascii="FangSong" w:hAnsi="FangSong" w:eastAsia="FangSong" w:cs="FangSong"/>
          <w:sz w:val="24"/>
          <w:szCs w:val="24"/>
        </w:rPr>
        <w:t>号）、内</w:t>
      </w:r>
      <w:r>
        <w:rPr>
          <w:rFonts w:ascii="FangSong" w:hAnsi="FangSong" w:eastAsia="FangSong" w:cs="FangSong"/>
          <w:sz w:val="24"/>
          <w:szCs w:val="24"/>
          <w:spacing w:val="-3"/>
        </w:rPr>
        <w:t>蒙古自治区国家重点生态功能区产业准入负面清单（试行）》要求，</w:t>
      </w:r>
      <w:r>
        <w:rPr>
          <w:rFonts w:ascii="FangSong" w:hAnsi="FangSong" w:eastAsia="FangSong" w:cs="FangSong"/>
          <w:sz w:val="24"/>
          <w:szCs w:val="24"/>
          <w:spacing w:val="-4"/>
        </w:rPr>
        <w:t>符合《内蒙</w:t>
      </w:r>
      <w:r>
        <w:rPr>
          <w:rFonts w:ascii="FangSong" w:hAnsi="FangSong" w:eastAsia="FangSong" w:cs="FangSong"/>
          <w:sz w:val="24"/>
          <w:szCs w:val="24"/>
          <w:spacing w:val="-7"/>
        </w:rPr>
        <w:t>古自治区“十四五</w:t>
      </w:r>
      <w:r>
        <w:rPr>
          <w:rFonts w:ascii="FangSong" w:hAnsi="FangSong" w:eastAsia="FangSong" w:cs="FangSong"/>
          <w:sz w:val="24"/>
          <w:szCs w:val="24"/>
          <w:spacing w:val="-89"/>
        </w:rPr>
        <w:t xml:space="preserve"> </w:t>
      </w:r>
      <w:r>
        <w:rPr>
          <w:rFonts w:ascii="FangSong" w:hAnsi="FangSong" w:eastAsia="FangSong" w:cs="FangSong"/>
          <w:sz w:val="24"/>
          <w:szCs w:val="24"/>
          <w:spacing w:val="-7"/>
        </w:rPr>
        <w:t>”生态环境保护规划》、《</w:t>
      </w:r>
      <w:r>
        <w:rPr>
          <w:rFonts w:ascii="FangSong" w:hAnsi="FangSong" w:eastAsia="FangSong" w:cs="FangSong"/>
          <w:sz w:val="24"/>
          <w:szCs w:val="24"/>
          <w:spacing w:val="-8"/>
        </w:rPr>
        <w:t>锡林郭勒盟</w:t>
      </w:r>
      <w:r>
        <w:rPr>
          <w:rFonts w:ascii="FangSong" w:hAnsi="FangSong" w:eastAsia="FangSong" w:cs="FangSong"/>
          <w:sz w:val="24"/>
          <w:szCs w:val="24"/>
          <w:spacing w:val="-75"/>
        </w:rPr>
        <w:t xml:space="preserve"> </w:t>
      </w:r>
      <w:r>
        <w:rPr>
          <w:rFonts w:ascii="FangSong" w:hAnsi="FangSong" w:eastAsia="FangSong" w:cs="FangSong"/>
          <w:sz w:val="24"/>
          <w:szCs w:val="24"/>
          <w:spacing w:val="-8"/>
        </w:rPr>
        <w:t>″十四五</w:t>
      </w:r>
      <w:r>
        <w:rPr>
          <w:rFonts w:ascii="FangSong" w:hAnsi="FangSong" w:eastAsia="FangSong" w:cs="FangSong"/>
          <w:sz w:val="24"/>
          <w:szCs w:val="24"/>
          <w:spacing w:val="-76"/>
        </w:rPr>
        <w:t xml:space="preserve"> </w:t>
      </w:r>
      <w:r>
        <w:rPr>
          <w:rFonts w:ascii="FangSong" w:hAnsi="FangSong" w:eastAsia="FangSong" w:cs="FangSong"/>
          <w:sz w:val="24"/>
          <w:szCs w:val="24"/>
          <w:spacing w:val="-8"/>
        </w:rPr>
        <w:t>″</w:t>
      </w:r>
      <w:r>
        <w:rPr>
          <w:rFonts w:ascii="FangSong" w:hAnsi="FangSong" w:eastAsia="FangSong" w:cs="FangSong"/>
          <w:sz w:val="24"/>
          <w:szCs w:val="24"/>
          <w:spacing w:val="-90"/>
        </w:rPr>
        <w:t xml:space="preserve"> </w:t>
      </w:r>
      <w:r>
        <w:rPr>
          <w:rFonts w:ascii="FangSong" w:hAnsi="FangSong" w:eastAsia="FangSong" w:cs="FangSong"/>
          <w:sz w:val="24"/>
          <w:szCs w:val="24"/>
          <w:spacing w:val="-8"/>
        </w:rPr>
        <w:t>生态环境保</w:t>
      </w:r>
      <w:r>
        <w:rPr>
          <w:rFonts w:ascii="FangSong" w:hAnsi="FangSong" w:eastAsia="FangSong" w:cs="FangSong"/>
          <w:sz w:val="24"/>
          <w:szCs w:val="24"/>
          <w:spacing w:val="-7"/>
        </w:rPr>
        <w:t>护规划》要求，符合《内蒙古自治区矿产资源总体规划（</w:t>
      </w:r>
      <w:r>
        <w:rPr>
          <w:rFonts w:ascii="Times New Roman" w:hAnsi="Times New Roman" w:eastAsia="Times New Roman" w:cs="Times New Roman"/>
          <w:sz w:val="24"/>
          <w:szCs w:val="24"/>
          <w:spacing w:val="-7"/>
        </w:rPr>
        <w:t>2021-2025</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7"/>
        </w:rPr>
        <w:t>年）》、《锡</w:t>
      </w:r>
      <w:r>
        <w:rPr>
          <w:rFonts w:ascii="FangSong" w:hAnsi="FangSong" w:eastAsia="FangSong" w:cs="FangSong"/>
          <w:sz w:val="24"/>
          <w:szCs w:val="24"/>
          <w:spacing w:val="-1"/>
        </w:rPr>
        <w:t>林郭勒盟矿产资源总体规划（</w:t>
      </w:r>
      <w:r>
        <w:rPr>
          <w:rFonts w:ascii="Times New Roman" w:hAnsi="Times New Roman" w:eastAsia="Times New Roman" w:cs="Times New Roman"/>
          <w:sz w:val="24"/>
          <w:szCs w:val="24"/>
          <w:spacing w:val="-1"/>
        </w:rPr>
        <w:t>2021-2025</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1"/>
        </w:rPr>
        <w:t>年）》、《苏尼特右旗矿产资源总体规</w:t>
      </w:r>
      <w:r>
        <w:rPr>
          <w:rFonts w:ascii="FangSong" w:hAnsi="FangSong" w:eastAsia="FangSong" w:cs="FangSong"/>
          <w:sz w:val="24"/>
          <w:szCs w:val="24"/>
          <w:spacing w:val="-3"/>
        </w:rPr>
        <w:t>划（</w:t>
      </w:r>
      <w:r>
        <w:rPr>
          <w:rFonts w:ascii="Times New Roman" w:hAnsi="Times New Roman" w:eastAsia="Times New Roman" w:cs="Times New Roman"/>
          <w:sz w:val="24"/>
          <w:szCs w:val="24"/>
          <w:spacing w:val="-3"/>
        </w:rPr>
        <w:t>2021-2025</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3"/>
        </w:rPr>
        <w:t>年）》。</w:t>
      </w:r>
    </w:p>
    <w:p>
      <w:pPr>
        <w:ind w:left="29"/>
        <w:spacing w:line="220" w:lineRule="auto"/>
        <w:outlineLvl w:val="2"/>
        <w:rPr>
          <w:rFonts w:ascii="FangSong" w:hAnsi="FangSong" w:eastAsia="FangSong" w:cs="FangSong"/>
          <w:sz w:val="24"/>
          <w:szCs w:val="24"/>
        </w:rPr>
      </w:pPr>
      <w:bookmarkStart w:name="bookmark459" w:id="613"/>
      <w:bookmarkEnd w:id="613"/>
      <w:bookmarkStart w:name="bookmark458" w:id="614"/>
      <w:bookmarkEnd w:id="614"/>
      <w:r>
        <w:rPr>
          <w:rFonts w:ascii="Times New Roman" w:hAnsi="Times New Roman" w:eastAsia="Times New Roman" w:cs="Times New Roman"/>
          <w:sz w:val="24"/>
          <w:szCs w:val="24"/>
          <w:b/>
          <w:bCs/>
          <w:spacing w:val="-5"/>
        </w:rPr>
        <w:t>11.2.3</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b/>
          <w:bCs/>
          <w:spacing w:val="-5"/>
        </w:rPr>
        <w:t>选址符合性</w:t>
      </w:r>
    </w:p>
    <w:p>
      <w:pPr>
        <w:ind w:left="29" w:firstLine="481"/>
        <w:spacing w:before="182" w:line="360" w:lineRule="auto"/>
        <w:jc w:val="both"/>
        <w:rPr>
          <w:rFonts w:ascii="FangSong" w:hAnsi="FangSong" w:eastAsia="FangSong" w:cs="FangSong"/>
          <w:sz w:val="24"/>
          <w:szCs w:val="24"/>
        </w:rPr>
      </w:pPr>
      <w:r>
        <w:rPr>
          <w:rFonts w:ascii="FangSong" w:hAnsi="FangSong" w:eastAsia="FangSong" w:cs="FangSong"/>
          <w:sz w:val="24"/>
          <w:szCs w:val="24"/>
          <w:spacing w:val="-1"/>
        </w:rPr>
        <w:t>本项目矿区周围</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1"/>
        </w:rPr>
        <w:t>500m</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
        </w:rPr>
        <w:t>范围内没有学校、铁路、名胜古迹等其它敏感设施，</w:t>
      </w:r>
      <w:r>
        <w:rPr>
          <w:rFonts w:ascii="FangSong" w:hAnsi="FangSong" w:eastAsia="FangSong" w:cs="FangSong"/>
          <w:sz w:val="24"/>
          <w:szCs w:val="24"/>
          <w:spacing w:val="-5"/>
        </w:rPr>
        <w:t>周围不存在港</w:t>
      </w:r>
      <w:r>
        <w:rPr>
          <w:rFonts w:ascii="FangSong" w:hAnsi="FangSong" w:eastAsia="FangSong" w:cs="FangSong"/>
          <w:sz w:val="24"/>
          <w:szCs w:val="24"/>
          <w:spacing w:val="-55"/>
        </w:rPr>
        <w:t xml:space="preserve"> </w:t>
      </w:r>
      <w:r>
        <w:rPr>
          <w:rFonts w:ascii="FangSong" w:hAnsi="FangSong" w:eastAsia="FangSong" w:cs="FangSong"/>
          <w:sz w:val="24"/>
          <w:szCs w:val="24"/>
          <w:spacing w:val="-5"/>
        </w:rPr>
        <w:t>口、机场、国防工程设施圈定地区以内；周围无重要工业区、大型</w:t>
      </w:r>
      <w:r>
        <w:rPr>
          <w:rFonts w:ascii="FangSong" w:hAnsi="FangSong" w:eastAsia="FangSong" w:cs="FangSong"/>
          <w:sz w:val="24"/>
          <w:szCs w:val="24"/>
          <w:spacing w:val="-3"/>
        </w:rPr>
        <w:t>水利工程设施、城镇市政工程设施，矿区周围</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3"/>
        </w:rPr>
        <w:t>500m</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3"/>
        </w:rPr>
        <w:t>范围内无铁路、重要公路和</w:t>
      </w:r>
      <w:r>
        <w:rPr>
          <w:rFonts w:ascii="FangSong" w:hAnsi="FangSong" w:eastAsia="FangSong" w:cs="FangSong"/>
          <w:sz w:val="24"/>
          <w:szCs w:val="24"/>
          <w:spacing w:val="-3"/>
        </w:rPr>
        <w:t>重要河流、堤坝；矿区周围无国家划定的自然保护区、重要风景区，</w:t>
      </w:r>
      <w:r>
        <w:rPr>
          <w:rFonts w:ascii="FangSong" w:hAnsi="FangSong" w:eastAsia="FangSong" w:cs="FangSong"/>
          <w:sz w:val="24"/>
          <w:szCs w:val="24"/>
          <w:spacing w:val="-4"/>
        </w:rPr>
        <w:t>国家重点保</w:t>
      </w:r>
      <w:r>
        <w:rPr>
          <w:rFonts w:ascii="FangSong" w:hAnsi="FangSong" w:eastAsia="FangSong" w:cs="FangSong"/>
          <w:sz w:val="24"/>
          <w:szCs w:val="24"/>
          <w:spacing w:val="-3"/>
        </w:rPr>
        <w:t>护的不能移动的历史文物和名胜古迹项目所在位置不属于上述列出的</w:t>
      </w:r>
      <w:r>
        <w:rPr>
          <w:rFonts w:ascii="FangSong" w:hAnsi="FangSong" w:eastAsia="FangSong" w:cs="FangSong"/>
          <w:sz w:val="24"/>
          <w:szCs w:val="24"/>
          <w:spacing w:val="-4"/>
        </w:rPr>
        <w:t>《中华人民</w:t>
      </w:r>
      <w:r>
        <w:rPr>
          <w:rFonts w:ascii="FangSong" w:hAnsi="FangSong" w:eastAsia="FangSong" w:cs="FangSong"/>
          <w:sz w:val="24"/>
          <w:szCs w:val="24"/>
          <w:spacing w:val="-7"/>
        </w:rPr>
        <w:t>共和国矿产资源法》中规定的禁止开采矿产资源</w:t>
      </w:r>
      <w:r>
        <w:rPr>
          <w:rFonts w:ascii="FangSong" w:hAnsi="FangSong" w:eastAsia="FangSong" w:cs="FangSong"/>
          <w:sz w:val="24"/>
          <w:szCs w:val="24"/>
          <w:spacing w:val="-8"/>
        </w:rPr>
        <w:t>的区域，符合相关法律法规要求。</w:t>
      </w:r>
      <w:r>
        <w:rPr>
          <w:rFonts w:ascii="FangSong" w:hAnsi="FangSong" w:eastAsia="FangSong" w:cs="FangSong"/>
          <w:sz w:val="24"/>
          <w:szCs w:val="24"/>
          <w:spacing w:val="-1"/>
        </w:rPr>
        <w:t>因此从环保角度分析，项目的选址基本合理。</w:t>
      </w:r>
    </w:p>
    <w:p>
      <w:pPr>
        <w:ind w:left="32"/>
        <w:spacing w:before="57" w:line="223" w:lineRule="auto"/>
        <w:outlineLvl w:val="1"/>
        <w:rPr>
          <w:rFonts w:ascii="FangSong" w:hAnsi="FangSong" w:eastAsia="FangSong" w:cs="FangSong"/>
          <w:sz w:val="28"/>
          <w:szCs w:val="28"/>
        </w:rPr>
      </w:pPr>
      <w:bookmarkStart w:name="bookmark461" w:id="615"/>
      <w:bookmarkEnd w:id="615"/>
      <w:bookmarkStart w:name="bookmark463" w:id="616"/>
      <w:bookmarkEnd w:id="616"/>
      <w:bookmarkStart w:name="bookmark460" w:id="617"/>
      <w:bookmarkEnd w:id="617"/>
      <w:bookmarkStart w:name="bookmark462" w:id="618"/>
      <w:bookmarkEnd w:id="618"/>
      <w:r>
        <w:rPr>
          <w:rFonts w:ascii="Times New Roman" w:hAnsi="Times New Roman" w:eastAsia="Times New Roman" w:cs="Times New Roman"/>
          <w:sz w:val="28"/>
          <w:szCs w:val="28"/>
          <w:b/>
          <w:bCs/>
          <w:spacing w:val="-4"/>
        </w:rPr>
        <w:t>11.3  </w:t>
      </w:r>
      <w:r>
        <w:rPr>
          <w:rFonts w:ascii="FangSong" w:hAnsi="FangSong" w:eastAsia="FangSong" w:cs="FangSong"/>
          <w:sz w:val="28"/>
          <w:szCs w:val="28"/>
          <w:b/>
          <w:bCs/>
          <w:spacing w:val="-4"/>
        </w:rPr>
        <w:t>环境现状评价结论</w:t>
      </w:r>
    </w:p>
    <w:p>
      <w:pPr>
        <w:ind w:left="29"/>
        <w:spacing w:before="228" w:line="222" w:lineRule="auto"/>
        <w:outlineLvl w:val="2"/>
        <w:rPr>
          <w:rFonts w:ascii="FangSong" w:hAnsi="FangSong" w:eastAsia="FangSong" w:cs="FangSong"/>
          <w:sz w:val="24"/>
          <w:szCs w:val="24"/>
        </w:rPr>
      </w:pPr>
      <w:bookmarkStart w:name="bookmark647" w:id="619"/>
      <w:bookmarkEnd w:id="619"/>
      <w:r>
        <w:rPr>
          <w:rFonts w:ascii="Times New Roman" w:hAnsi="Times New Roman" w:eastAsia="Times New Roman" w:cs="Times New Roman"/>
          <w:sz w:val="24"/>
          <w:szCs w:val="24"/>
          <w:b/>
          <w:bCs/>
          <w:spacing w:val="-3"/>
        </w:rPr>
        <w:t>11.3.1  </w:t>
      </w:r>
      <w:r>
        <w:rPr>
          <w:rFonts w:ascii="FangSong" w:hAnsi="FangSong" w:eastAsia="FangSong" w:cs="FangSong"/>
          <w:sz w:val="24"/>
          <w:szCs w:val="24"/>
          <w:b/>
          <w:bCs/>
          <w:spacing w:val="-3"/>
        </w:rPr>
        <w:t>大气环境质量现状</w:t>
      </w:r>
    </w:p>
    <w:p>
      <w:pPr>
        <w:ind w:left="29" w:right="83" w:firstLine="481"/>
        <w:spacing w:before="179" w:line="360" w:lineRule="auto"/>
        <w:jc w:val="both"/>
        <w:rPr>
          <w:rFonts w:ascii="FangSong" w:hAnsi="FangSong" w:eastAsia="FangSong" w:cs="FangSong"/>
          <w:sz w:val="24"/>
          <w:szCs w:val="24"/>
        </w:rPr>
      </w:pPr>
      <w:r>
        <w:rPr>
          <w:rFonts w:ascii="FangSong" w:hAnsi="FangSong" w:eastAsia="FangSong" w:cs="FangSong"/>
          <w:sz w:val="24"/>
          <w:szCs w:val="24"/>
          <w:spacing w:val="-5"/>
        </w:rPr>
        <w:t>本项目区达标判定采用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5"/>
        </w:rPr>
        <w:t>2025</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5"/>
        </w:rPr>
        <w:t>月</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5"/>
        </w:rPr>
        <w:t>4  </w:t>
      </w:r>
      <w:r>
        <w:rPr>
          <w:rFonts w:ascii="FangSong" w:hAnsi="FangSong" w:eastAsia="FangSong" w:cs="FangSong"/>
          <w:sz w:val="24"/>
          <w:szCs w:val="24"/>
          <w:spacing w:val="-5"/>
        </w:rPr>
        <w:t>日发布的《</w:t>
      </w:r>
      <w:r>
        <w:rPr>
          <w:rFonts w:ascii="Times New Roman" w:hAnsi="Times New Roman" w:eastAsia="Times New Roman" w:cs="Times New Roman"/>
          <w:sz w:val="24"/>
          <w:szCs w:val="24"/>
          <w:spacing w:val="-5"/>
        </w:rPr>
        <w:t>202</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6"/>
        </w:rPr>
        <w:t>年内蒙古自治区生态</w:t>
      </w:r>
      <w:r>
        <w:rPr>
          <w:rFonts w:ascii="FangSong" w:hAnsi="FangSong" w:eastAsia="FangSong" w:cs="FangSong"/>
          <w:sz w:val="24"/>
          <w:szCs w:val="24"/>
          <w:spacing w:val="-3"/>
        </w:rPr>
        <w:t>环境状况公报》。本项目选址位于锡林郭勒盟苏尼特右旗桑宝拉格苏</w:t>
      </w:r>
      <w:r>
        <w:rPr>
          <w:rFonts w:ascii="FangSong" w:hAnsi="FangSong" w:eastAsia="FangSong" w:cs="FangSong"/>
          <w:sz w:val="24"/>
          <w:szCs w:val="24"/>
          <w:spacing w:val="-4"/>
        </w:rPr>
        <w:t>木额尔敦塔</w:t>
      </w:r>
      <w:r>
        <w:rPr>
          <w:rFonts w:ascii="FangSong" w:hAnsi="FangSong" w:eastAsia="FangSong" w:cs="FangSong"/>
          <w:sz w:val="24"/>
          <w:szCs w:val="24"/>
          <w:spacing w:val="-1"/>
        </w:rPr>
        <w:t>拉查，各项指标全部符合《环境空气质量标准》</w:t>
      </w:r>
      <w:r>
        <w:rPr>
          <w:rFonts w:ascii="Times New Roman" w:hAnsi="Times New Roman" w:eastAsia="Times New Roman" w:cs="Times New Roman"/>
          <w:sz w:val="24"/>
          <w:szCs w:val="24"/>
          <w:spacing w:val="-1"/>
        </w:rPr>
        <w:t>GB3095-2012</w:t>
      </w:r>
      <w:r>
        <w:rPr>
          <w:rFonts w:ascii="FangSong" w:hAnsi="FangSong" w:eastAsia="FangSong" w:cs="FangSong"/>
          <w:sz w:val="24"/>
          <w:szCs w:val="24"/>
          <w:spacing w:val="-1"/>
        </w:rPr>
        <w:t>）中二级</w:t>
      </w:r>
      <w:r>
        <w:rPr>
          <w:rFonts w:ascii="FangSong" w:hAnsi="FangSong" w:eastAsia="FangSong" w:cs="FangSong"/>
          <w:sz w:val="24"/>
          <w:szCs w:val="24"/>
          <w:spacing w:val="-2"/>
        </w:rPr>
        <w:t>标准。因</w:t>
      </w:r>
      <w:r>
        <w:rPr>
          <w:rFonts w:ascii="FangSong" w:hAnsi="FangSong" w:eastAsia="FangSong" w:cs="FangSong"/>
          <w:sz w:val="24"/>
          <w:szCs w:val="24"/>
          <w:spacing w:val="-2"/>
        </w:rPr>
        <w:t>此，锡林郭勒盟环境空气质量属于达标区，补充监测的</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TSP</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x </w:t>
      </w:r>
      <w:r>
        <w:rPr>
          <w:rFonts w:ascii="FangSong" w:hAnsi="FangSong" w:eastAsia="FangSong" w:cs="FangSong"/>
          <w:sz w:val="24"/>
          <w:szCs w:val="24"/>
          <w:spacing w:val="-3"/>
        </w:rPr>
        <w:t>、氟化物符合</w:t>
      </w:r>
      <w:r>
        <w:rPr>
          <w:rFonts w:ascii="FangSong" w:hAnsi="FangSong" w:eastAsia="FangSong" w:cs="FangSong"/>
          <w:sz w:val="24"/>
          <w:szCs w:val="24"/>
          <w:spacing w:val="-1"/>
        </w:rPr>
        <w:t>《环境空气质量标准》</w:t>
      </w:r>
      <w:r>
        <w:rPr>
          <w:rFonts w:ascii="Times New Roman" w:hAnsi="Times New Roman" w:eastAsia="Times New Roman" w:cs="Times New Roman"/>
          <w:sz w:val="24"/>
          <w:szCs w:val="24"/>
          <w:spacing w:val="-1"/>
        </w:rPr>
        <w:t>GB3095-2012</w:t>
      </w:r>
      <w:r>
        <w:rPr>
          <w:rFonts w:ascii="FangSong" w:hAnsi="FangSong" w:eastAsia="FangSong" w:cs="FangSong"/>
          <w:sz w:val="24"/>
          <w:szCs w:val="24"/>
          <w:spacing w:val="-1"/>
        </w:rPr>
        <w:t>）中二级标准。</w:t>
      </w:r>
    </w:p>
    <w:p>
      <w:pPr>
        <w:ind w:left="29"/>
        <w:spacing w:before="1" w:line="222" w:lineRule="auto"/>
        <w:outlineLvl w:val="2"/>
        <w:rPr>
          <w:rFonts w:ascii="FangSong" w:hAnsi="FangSong" w:eastAsia="FangSong" w:cs="FangSong"/>
          <w:sz w:val="24"/>
          <w:szCs w:val="24"/>
        </w:rPr>
      </w:pPr>
      <w:bookmarkStart w:name="bookmark465" w:id="620"/>
      <w:bookmarkEnd w:id="620"/>
      <w:bookmarkStart w:name="bookmark464" w:id="621"/>
      <w:bookmarkEnd w:id="621"/>
      <w:r>
        <w:rPr>
          <w:rFonts w:ascii="Times New Roman" w:hAnsi="Times New Roman" w:eastAsia="Times New Roman" w:cs="Times New Roman"/>
          <w:sz w:val="24"/>
          <w:szCs w:val="24"/>
          <w:b/>
          <w:bCs/>
          <w:spacing w:val="-3"/>
        </w:rPr>
        <w:t>11.3.2  </w:t>
      </w:r>
      <w:r>
        <w:rPr>
          <w:rFonts w:ascii="FangSong" w:hAnsi="FangSong" w:eastAsia="FangSong" w:cs="FangSong"/>
          <w:sz w:val="24"/>
          <w:szCs w:val="24"/>
          <w:b/>
          <w:bCs/>
          <w:spacing w:val="-3"/>
        </w:rPr>
        <w:t>地下水环境质量现状</w:t>
      </w:r>
    </w:p>
    <w:p>
      <w:pPr>
        <w:ind w:left="30" w:right="83" w:firstLine="480"/>
        <w:spacing w:before="178" w:line="361" w:lineRule="auto"/>
        <w:rPr>
          <w:rFonts w:ascii="FangSong" w:hAnsi="FangSong" w:eastAsia="FangSong" w:cs="FangSong"/>
          <w:sz w:val="24"/>
          <w:szCs w:val="24"/>
        </w:rPr>
      </w:pPr>
      <w:r>
        <w:rPr>
          <w:rFonts w:ascii="FangSong" w:hAnsi="FangSong" w:eastAsia="FangSong" w:cs="FangSong"/>
          <w:sz w:val="24"/>
          <w:szCs w:val="24"/>
          <w:spacing w:val="-4"/>
        </w:rPr>
        <w:t>地下水环境质量现状评价结果表明：评价区域内共布设的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个地下水监测点</w:t>
      </w:r>
      <w:r>
        <w:rPr>
          <w:rFonts w:ascii="FangSong" w:hAnsi="FangSong" w:eastAsia="FangSong" w:cs="FangSong"/>
          <w:sz w:val="24"/>
          <w:szCs w:val="24"/>
          <w:spacing w:val="-2"/>
        </w:rPr>
        <w:t>位，基本满足《地下水质量标准》（</w:t>
      </w:r>
      <w:r>
        <w:rPr>
          <w:rFonts w:ascii="Times New Roman" w:hAnsi="Times New Roman" w:eastAsia="Times New Roman" w:cs="Times New Roman"/>
          <w:sz w:val="24"/>
          <w:szCs w:val="24"/>
          <w:spacing w:val="-2"/>
        </w:rPr>
        <w:t>GB/T14848-2017</w:t>
      </w:r>
      <w:r>
        <w:rPr>
          <w:rFonts w:ascii="FangSong" w:hAnsi="FangSong" w:eastAsia="FangSong" w:cs="FangSong"/>
          <w:sz w:val="24"/>
          <w:szCs w:val="24"/>
          <w:spacing w:val="-2"/>
        </w:rPr>
        <w:t>）</w:t>
      </w:r>
      <w:r>
        <w:rPr>
          <w:rFonts w:ascii="FangSong" w:hAnsi="FangSong" w:eastAsia="FangSong" w:cs="FangSong"/>
          <w:sz w:val="24"/>
          <w:szCs w:val="24"/>
          <w:spacing w:val="-71"/>
        </w:rPr>
        <w:t xml:space="preserve"> </w:t>
      </w:r>
      <w:r>
        <w:rPr>
          <w:rFonts w:ascii="FangSong" w:hAnsi="FangSong" w:eastAsia="FangSong" w:cs="FangSong"/>
          <w:sz w:val="24"/>
          <w:szCs w:val="24"/>
          <w:spacing w:val="-2"/>
        </w:rPr>
        <w:t>中</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I</w:t>
      </w:r>
      <w:r>
        <w:rPr>
          <w:rFonts w:ascii="Times New Roman" w:hAnsi="Times New Roman" w:eastAsia="Times New Roman" w:cs="Times New Roman"/>
          <w:sz w:val="24"/>
          <w:szCs w:val="24"/>
          <w:spacing w:val="-3"/>
        </w:rPr>
        <w:t>II</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类标准要求。但个</w:t>
      </w:r>
    </w:p>
    <w:p>
      <w:pPr>
        <w:spacing w:line="361" w:lineRule="auto"/>
        <w:sectPr>
          <w:footerReference w:type="default" r:id="rId406"/>
          <w:pgSz w:w="11906" w:h="16839"/>
          <w:pgMar w:top="400" w:right="171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8" w:right="62" w:firstLine="4"/>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别因子超标，超标原因如下：本项目地下水水化学成分为原</w:t>
      </w:r>
      <w:r>
        <w:rPr>
          <w:rFonts w:ascii="FangSong" w:hAnsi="FangSong" w:eastAsia="FangSong" w:cs="FangSong"/>
          <w:sz w:val="24"/>
          <w:szCs w:val="24"/>
          <w:spacing w:val="-4"/>
        </w:rPr>
        <w:t>生水环境背景值，水</w:t>
      </w:r>
      <w:r>
        <w:rPr>
          <w:rFonts w:ascii="FangSong" w:hAnsi="FangSong" w:eastAsia="FangSong" w:cs="FangSong"/>
          <w:sz w:val="24"/>
          <w:szCs w:val="24"/>
          <w:spacing w:val="-3"/>
        </w:rPr>
        <w:t>质受地形、地貌、地质构造与水文气象等因素影响，某些成分含量高与</w:t>
      </w:r>
      <w:r>
        <w:rPr>
          <w:rFonts w:ascii="FangSong" w:hAnsi="FangSong" w:eastAsia="FangSong" w:cs="FangSong"/>
          <w:sz w:val="24"/>
          <w:szCs w:val="24"/>
          <w:spacing w:val="-4"/>
        </w:rPr>
        <w:t>土壤及岩</w:t>
      </w:r>
      <w:r>
        <w:rPr>
          <w:rFonts w:ascii="FangSong" w:hAnsi="FangSong" w:eastAsia="FangSong" w:cs="FangSong"/>
          <w:sz w:val="24"/>
          <w:szCs w:val="24"/>
          <w:spacing w:val="-3"/>
        </w:rPr>
        <w:t>石中的矿物成分相关，也与当地气候干旱，年降水量小有关，至</w:t>
      </w:r>
      <w:r>
        <w:rPr>
          <w:rFonts w:ascii="FangSong" w:hAnsi="FangSong" w:eastAsia="FangSong" w:cs="FangSong"/>
          <w:sz w:val="24"/>
          <w:szCs w:val="24"/>
          <w:spacing w:val="-4"/>
        </w:rPr>
        <w:t>使水交替与循环</w:t>
      </w:r>
      <w:r>
        <w:rPr>
          <w:rFonts w:ascii="FangSong" w:hAnsi="FangSong" w:eastAsia="FangSong" w:cs="FangSong"/>
          <w:sz w:val="24"/>
          <w:szCs w:val="24"/>
          <w:spacing w:val="-10"/>
        </w:rPr>
        <w:t>作用较差，使某些成分沉积，含量较高，水质变差。故本项目地下水监测因子“总</w:t>
      </w:r>
      <w:r>
        <w:rPr>
          <w:rFonts w:ascii="FangSong" w:hAnsi="FangSong" w:eastAsia="FangSong" w:cs="FangSong"/>
          <w:sz w:val="24"/>
          <w:szCs w:val="24"/>
          <w:spacing w:val="-4"/>
        </w:rPr>
        <w:t>硬度、溶解性总固体、氟化物、锰、氯化物</w:t>
      </w:r>
      <w:r>
        <w:rPr>
          <w:rFonts w:ascii="FangSong" w:hAnsi="FangSong" w:eastAsia="FangSong" w:cs="FangSong"/>
          <w:sz w:val="24"/>
          <w:szCs w:val="24"/>
          <w:spacing w:val="-89"/>
        </w:rPr>
        <w:t xml:space="preserve"> </w:t>
      </w:r>
      <w:r>
        <w:rPr>
          <w:rFonts w:ascii="FangSong" w:hAnsi="FangSong" w:eastAsia="FangSong" w:cs="FangSong"/>
          <w:sz w:val="24"/>
          <w:szCs w:val="24"/>
          <w:spacing w:val="-4"/>
        </w:rPr>
        <w:t>”超标为本项目所在区域本底背景值</w:t>
      </w:r>
      <w:r>
        <w:rPr>
          <w:rFonts w:ascii="FangSong" w:hAnsi="FangSong" w:eastAsia="FangSong" w:cs="FangSong"/>
          <w:sz w:val="24"/>
          <w:szCs w:val="24"/>
          <w:spacing w:val="-4"/>
        </w:rPr>
        <w:t>高造成的；而高锰酸盐指数、</w:t>
      </w:r>
      <w:r>
        <w:rPr>
          <w:rFonts w:ascii="Times New Roman" w:hAnsi="Times New Roman" w:eastAsia="Times New Roman" w:cs="Times New Roman"/>
          <w:sz w:val="24"/>
          <w:szCs w:val="24"/>
          <w:spacing w:val="-4"/>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为牧户牛羊养殖活动造成的井口污染</w:t>
      </w:r>
      <w:r>
        <w:rPr>
          <w:rFonts w:ascii="FangSong" w:hAnsi="FangSong" w:eastAsia="FangSong" w:cs="FangSong"/>
          <w:sz w:val="24"/>
          <w:szCs w:val="24"/>
          <w:spacing w:val="-5"/>
        </w:rPr>
        <w:t>所造成</w:t>
      </w:r>
      <w:r>
        <w:rPr>
          <w:rFonts w:ascii="FangSong" w:hAnsi="FangSong" w:eastAsia="FangSong" w:cs="FangSong"/>
          <w:sz w:val="24"/>
          <w:szCs w:val="24"/>
          <w:spacing w:val="-8"/>
        </w:rPr>
        <w:t>的。</w:t>
      </w:r>
    </w:p>
    <w:p>
      <w:pPr>
        <w:ind w:left="29"/>
        <w:spacing w:line="222" w:lineRule="auto"/>
        <w:outlineLvl w:val="2"/>
        <w:rPr>
          <w:rFonts w:ascii="FangSong" w:hAnsi="FangSong" w:eastAsia="FangSong" w:cs="FangSong"/>
          <w:sz w:val="24"/>
          <w:szCs w:val="24"/>
        </w:rPr>
      </w:pPr>
      <w:bookmarkStart w:name="bookmark467" w:id="622"/>
      <w:bookmarkEnd w:id="622"/>
      <w:bookmarkStart w:name="bookmark466" w:id="623"/>
      <w:bookmarkEnd w:id="623"/>
      <w:r>
        <w:rPr>
          <w:rFonts w:ascii="Times New Roman" w:hAnsi="Times New Roman" w:eastAsia="Times New Roman" w:cs="Times New Roman"/>
          <w:sz w:val="24"/>
          <w:szCs w:val="24"/>
          <w:b/>
          <w:bCs/>
          <w:spacing w:val="-5"/>
        </w:rPr>
        <w:t>11.3.4</w:t>
      </w:r>
      <w:r>
        <w:rPr>
          <w:rFonts w:ascii="Times New Roman" w:hAnsi="Times New Roman" w:eastAsia="Times New Roman" w:cs="Times New Roman"/>
          <w:sz w:val="24"/>
          <w:szCs w:val="24"/>
          <w:b/>
          <w:bCs/>
          <w:spacing w:val="20"/>
          <w:w w:val="101"/>
        </w:rPr>
        <w:t xml:space="preserve"> </w:t>
      </w:r>
      <w:r>
        <w:rPr>
          <w:rFonts w:ascii="FangSong" w:hAnsi="FangSong" w:eastAsia="FangSong" w:cs="FangSong"/>
          <w:sz w:val="24"/>
          <w:szCs w:val="24"/>
          <w:b/>
          <w:bCs/>
          <w:spacing w:val="-5"/>
        </w:rPr>
        <w:t>声环境质量现状</w:t>
      </w:r>
    </w:p>
    <w:p>
      <w:pPr>
        <w:ind w:left="29" w:right="62"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4"/>
        </w:rPr>
        <w:t>声环境质量现状评价结果表明：评价区区域内布设的</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5"/>
        </w:rPr>
        <w:t>处监测点位昼、夜间</w:t>
      </w:r>
      <w:r>
        <w:rPr>
          <w:rFonts w:ascii="FangSong" w:hAnsi="FangSong" w:eastAsia="FangSong" w:cs="FangSong"/>
          <w:sz w:val="24"/>
          <w:szCs w:val="24"/>
          <w:spacing w:val="-2"/>
        </w:rPr>
        <w:t>声环境监测值均满足《声环境质量标准》（</w:t>
      </w:r>
      <w:r>
        <w:rPr>
          <w:rFonts w:ascii="Times New Roman" w:hAnsi="Times New Roman" w:eastAsia="Times New Roman" w:cs="Times New Roman"/>
          <w:sz w:val="24"/>
          <w:szCs w:val="24"/>
          <w:spacing w:val="-2"/>
        </w:rPr>
        <w:t>GB3096-2008</w:t>
      </w:r>
      <w:r>
        <w:rPr>
          <w:rFonts w:ascii="FangSong" w:hAnsi="FangSong" w:eastAsia="FangSong" w:cs="FangSong"/>
          <w:sz w:val="24"/>
          <w:szCs w:val="24"/>
          <w:spacing w:val="-2"/>
        </w:rPr>
        <w:t>）中</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2"/>
        </w:rPr>
        <w:t>类区标准要求，</w:t>
      </w:r>
      <w:r>
        <w:rPr>
          <w:rFonts w:ascii="FangSong" w:hAnsi="FangSong" w:eastAsia="FangSong" w:cs="FangSong"/>
          <w:sz w:val="24"/>
          <w:szCs w:val="24"/>
          <w:spacing w:val="-2"/>
        </w:rPr>
        <w:t>说明评价区声环境质量良好。</w:t>
      </w:r>
    </w:p>
    <w:p>
      <w:pPr>
        <w:ind w:left="29"/>
        <w:spacing w:line="222" w:lineRule="auto"/>
        <w:outlineLvl w:val="2"/>
        <w:rPr>
          <w:rFonts w:ascii="FangSong" w:hAnsi="FangSong" w:eastAsia="FangSong" w:cs="FangSong"/>
          <w:sz w:val="24"/>
          <w:szCs w:val="24"/>
        </w:rPr>
      </w:pPr>
      <w:bookmarkStart w:name="bookmark469" w:id="624"/>
      <w:bookmarkEnd w:id="624"/>
      <w:bookmarkStart w:name="bookmark468" w:id="625"/>
      <w:bookmarkEnd w:id="625"/>
      <w:r>
        <w:rPr>
          <w:rFonts w:ascii="Times New Roman" w:hAnsi="Times New Roman" w:eastAsia="Times New Roman" w:cs="Times New Roman"/>
          <w:sz w:val="24"/>
          <w:szCs w:val="24"/>
          <w:b/>
          <w:bCs/>
          <w:spacing w:val="-3"/>
        </w:rPr>
        <w:t>11.3.5  </w:t>
      </w:r>
      <w:r>
        <w:rPr>
          <w:rFonts w:ascii="FangSong" w:hAnsi="FangSong" w:eastAsia="FangSong" w:cs="FangSong"/>
          <w:sz w:val="24"/>
          <w:szCs w:val="24"/>
          <w:b/>
          <w:bCs/>
          <w:spacing w:val="-3"/>
        </w:rPr>
        <w:t>土壤环境质量现状</w:t>
      </w:r>
    </w:p>
    <w:p>
      <w:pPr>
        <w:ind w:left="34" w:right="62" w:firstLine="477"/>
        <w:spacing w:before="177" w:line="361" w:lineRule="auto"/>
        <w:jc w:val="both"/>
        <w:rPr>
          <w:rFonts w:ascii="FangSong" w:hAnsi="FangSong" w:eastAsia="FangSong" w:cs="FangSong"/>
          <w:sz w:val="24"/>
          <w:szCs w:val="24"/>
        </w:rPr>
      </w:pPr>
      <w:r>
        <w:rPr>
          <w:rFonts w:ascii="FangSong" w:hAnsi="FangSong" w:eastAsia="FangSong" w:cs="FangSong"/>
          <w:sz w:val="24"/>
          <w:szCs w:val="24"/>
          <w:spacing w:val="-4"/>
        </w:rPr>
        <w:t>土壤环境质量现状评价结果表明：项目区域内布设的</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个</w:t>
      </w:r>
      <w:r>
        <w:rPr>
          <w:rFonts w:ascii="FangSong" w:hAnsi="FangSong" w:eastAsia="FangSong" w:cs="FangSong"/>
          <w:sz w:val="24"/>
          <w:szCs w:val="24"/>
          <w:spacing w:val="-5"/>
        </w:rPr>
        <w:t>土壤监测点位的各</w:t>
      </w:r>
      <w:r>
        <w:rPr>
          <w:rFonts w:ascii="FangSong" w:hAnsi="FangSong" w:eastAsia="FangSong" w:cs="FangSong"/>
          <w:sz w:val="24"/>
          <w:szCs w:val="24"/>
          <w:spacing w:val="12"/>
        </w:rPr>
        <w:t>监测因子均小于《土壤环境质量</w:t>
      </w:r>
      <w:r>
        <w:rPr>
          <w:rFonts w:ascii="FangSong" w:hAnsi="FangSong" w:eastAsia="FangSong" w:cs="FangSong"/>
          <w:sz w:val="24"/>
          <w:szCs w:val="24"/>
          <w:spacing w:val="48"/>
        </w:rPr>
        <w:t xml:space="preserve"> </w:t>
      </w:r>
      <w:r>
        <w:rPr>
          <w:rFonts w:ascii="FangSong" w:hAnsi="FangSong" w:eastAsia="FangSong" w:cs="FangSong"/>
          <w:sz w:val="24"/>
          <w:szCs w:val="24"/>
          <w:spacing w:val="12"/>
        </w:rPr>
        <w:t>农用地土壤污染风险管控标准（试行</w:t>
      </w:r>
      <w:r>
        <w:rPr>
          <w:rFonts w:ascii="FangSong" w:hAnsi="FangSong" w:eastAsia="FangSong" w:cs="FangSong"/>
          <w:sz w:val="24"/>
          <w:szCs w:val="24"/>
          <w:spacing w:val="11"/>
        </w:rPr>
        <w:t>）</w:t>
      </w:r>
      <w:r>
        <w:rPr>
          <w:rFonts w:ascii="FangSong" w:hAnsi="FangSong" w:eastAsia="FangSong" w:cs="FangSong"/>
          <w:sz w:val="24"/>
          <w:szCs w:val="24"/>
          <w:spacing w:val="-66"/>
        </w:rPr>
        <w:t xml:space="preserve"> </w:t>
      </w:r>
      <w:r>
        <w:rPr>
          <w:rFonts w:ascii="FangSong" w:hAnsi="FangSong" w:eastAsia="FangSong" w:cs="FangSong"/>
          <w:sz w:val="24"/>
          <w:szCs w:val="24"/>
          <w:spacing w:val="11"/>
        </w:rPr>
        <w:t>》</w:t>
      </w:r>
      <w:r>
        <w:rPr>
          <w:rFonts w:ascii="FangSong" w:hAnsi="FangSong" w:eastAsia="FangSong" w:cs="FangSong"/>
          <w:sz w:val="24"/>
          <w:szCs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GB15618-2018</w:t>
      </w:r>
      <w:r>
        <w:rPr>
          <w:rFonts w:ascii="FangSong" w:hAnsi="FangSong" w:eastAsia="FangSong" w:cs="FangSong"/>
          <w:sz w:val="24"/>
          <w:szCs w:val="24"/>
        </w:rPr>
        <w:t>）表</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52"/>
        </w:rPr>
        <w:t xml:space="preserve"> </w:t>
      </w:r>
      <w:r>
        <w:rPr>
          <w:rFonts w:ascii="FangSong" w:hAnsi="FangSong" w:eastAsia="FangSong" w:cs="FangSong"/>
          <w:sz w:val="24"/>
          <w:szCs w:val="24"/>
        </w:rPr>
        <w:t>中的基本指标，说明区域土</w:t>
      </w:r>
      <w:r>
        <w:rPr>
          <w:rFonts w:ascii="FangSong" w:hAnsi="FangSong" w:eastAsia="FangSong" w:cs="FangSong"/>
          <w:sz w:val="24"/>
          <w:szCs w:val="24"/>
          <w:spacing w:val="-1"/>
        </w:rPr>
        <w:t>壤环境质量未受到区域开发</w:t>
      </w:r>
      <w:r>
        <w:rPr>
          <w:rFonts w:ascii="FangSong" w:hAnsi="FangSong" w:eastAsia="FangSong" w:cs="FangSong"/>
          <w:sz w:val="24"/>
          <w:szCs w:val="24"/>
          <w:spacing w:val="-6"/>
        </w:rPr>
        <w:t>的影响。</w:t>
      </w:r>
    </w:p>
    <w:p>
      <w:pPr>
        <w:ind w:left="32"/>
        <w:spacing w:before="55" w:line="222" w:lineRule="auto"/>
        <w:outlineLvl w:val="1"/>
        <w:rPr>
          <w:rFonts w:ascii="FangSong" w:hAnsi="FangSong" w:eastAsia="FangSong" w:cs="FangSong"/>
          <w:sz w:val="28"/>
          <w:szCs w:val="28"/>
        </w:rPr>
      </w:pPr>
      <w:bookmarkStart w:name="bookmark471" w:id="626"/>
      <w:bookmarkEnd w:id="626"/>
      <w:bookmarkStart w:name="bookmark473" w:id="627"/>
      <w:bookmarkEnd w:id="627"/>
      <w:bookmarkStart w:name="bookmark470" w:id="628"/>
      <w:bookmarkEnd w:id="628"/>
      <w:bookmarkStart w:name="bookmark472" w:id="629"/>
      <w:bookmarkEnd w:id="629"/>
      <w:r>
        <w:rPr>
          <w:rFonts w:ascii="Times New Roman" w:hAnsi="Times New Roman" w:eastAsia="Times New Roman" w:cs="Times New Roman"/>
          <w:sz w:val="28"/>
          <w:szCs w:val="28"/>
          <w:b/>
          <w:bCs/>
          <w:spacing w:val="-4"/>
        </w:rPr>
        <w:t>11.4  </w:t>
      </w:r>
      <w:r>
        <w:rPr>
          <w:rFonts w:ascii="FangSong" w:hAnsi="FangSong" w:eastAsia="FangSong" w:cs="FangSong"/>
          <w:sz w:val="28"/>
          <w:szCs w:val="28"/>
          <w:b/>
          <w:bCs/>
          <w:spacing w:val="-4"/>
        </w:rPr>
        <w:t>环境影响分析与防治措施</w:t>
      </w:r>
    </w:p>
    <w:p>
      <w:pPr>
        <w:ind w:left="29"/>
        <w:spacing w:before="229" w:line="224" w:lineRule="auto"/>
        <w:outlineLvl w:val="2"/>
        <w:rPr>
          <w:rFonts w:ascii="FangSong" w:hAnsi="FangSong" w:eastAsia="FangSong" w:cs="FangSong"/>
          <w:sz w:val="24"/>
          <w:szCs w:val="24"/>
        </w:rPr>
      </w:pPr>
      <w:bookmarkStart w:name="bookmark648" w:id="630"/>
      <w:bookmarkEnd w:id="630"/>
      <w:r>
        <w:rPr>
          <w:rFonts w:ascii="Times New Roman" w:hAnsi="Times New Roman" w:eastAsia="Times New Roman" w:cs="Times New Roman"/>
          <w:sz w:val="24"/>
          <w:szCs w:val="24"/>
          <w:b/>
          <w:bCs/>
          <w:spacing w:val="-7"/>
        </w:rPr>
        <w:t>11.4.1</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7"/>
        </w:rPr>
        <w:t>废气</w:t>
      </w:r>
    </w:p>
    <w:p>
      <w:pPr>
        <w:ind w:left="29" w:right="62" w:firstLine="481"/>
        <w:spacing w:before="176" w:line="360" w:lineRule="auto"/>
        <w:jc w:val="both"/>
        <w:rPr>
          <w:rFonts w:ascii="FangSong" w:hAnsi="FangSong" w:eastAsia="FangSong" w:cs="FangSong"/>
          <w:sz w:val="24"/>
          <w:szCs w:val="24"/>
        </w:rPr>
      </w:pPr>
      <w:r>
        <w:rPr>
          <w:rFonts w:ascii="FangSong" w:hAnsi="FangSong" w:eastAsia="FangSong" w:cs="FangSong"/>
          <w:sz w:val="24"/>
          <w:szCs w:val="24"/>
          <w:spacing w:val="-3"/>
        </w:rPr>
        <w:t>项目运营期需采用高标号柴油燃料，需使用符</w:t>
      </w:r>
      <w:r>
        <w:rPr>
          <w:rFonts w:ascii="FangSong" w:hAnsi="FangSong" w:eastAsia="FangSong" w:cs="FangSong"/>
          <w:sz w:val="24"/>
          <w:szCs w:val="24"/>
          <w:spacing w:val="-4"/>
        </w:rPr>
        <w:t>合国家标准且尾气排放达标的</w:t>
      </w:r>
      <w:r>
        <w:rPr>
          <w:rFonts w:ascii="FangSong" w:hAnsi="FangSong" w:eastAsia="FangSong" w:cs="FangSong"/>
          <w:sz w:val="24"/>
          <w:szCs w:val="24"/>
          <w:spacing w:val="-3"/>
        </w:rPr>
        <w:t>挖掘机及铲车等机械设备，其产生燃油废气排放量较小，周围露天环</w:t>
      </w:r>
      <w:r>
        <w:rPr>
          <w:rFonts w:ascii="FangSong" w:hAnsi="FangSong" w:eastAsia="FangSong" w:cs="FangSong"/>
          <w:sz w:val="24"/>
          <w:szCs w:val="24"/>
          <w:spacing w:val="-4"/>
        </w:rPr>
        <w:t>境有利于废</w:t>
      </w:r>
      <w:r>
        <w:rPr>
          <w:rFonts w:ascii="FangSong" w:hAnsi="FangSong" w:eastAsia="FangSong" w:cs="FangSong"/>
          <w:sz w:val="24"/>
          <w:szCs w:val="24"/>
          <w:spacing w:val="-3"/>
        </w:rPr>
        <w:t>气扩散，同时项目区周围进行厂区绿化，通过植物、绿化对各种污染</w:t>
      </w:r>
      <w:r>
        <w:rPr>
          <w:rFonts w:ascii="FangSong" w:hAnsi="FangSong" w:eastAsia="FangSong" w:cs="FangSong"/>
          <w:sz w:val="24"/>
          <w:szCs w:val="24"/>
          <w:spacing w:val="-4"/>
        </w:rPr>
        <w:t>物的吸收和</w:t>
      </w:r>
      <w:r>
        <w:rPr>
          <w:rFonts w:ascii="FangSong" w:hAnsi="FangSong" w:eastAsia="FangSong" w:cs="FangSong"/>
          <w:sz w:val="24"/>
          <w:szCs w:val="24"/>
          <w:spacing w:val="-1"/>
        </w:rPr>
        <w:t>代谢作用，能减轻对环境的污染，对周围环境影响较小。</w:t>
      </w:r>
    </w:p>
    <w:p>
      <w:pPr>
        <w:ind w:left="514"/>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）井下采矿废气</w:t>
      </w:r>
    </w:p>
    <w:p>
      <w:pPr>
        <w:ind w:left="29" w:firstLine="483"/>
        <w:spacing w:before="179" w:line="360" w:lineRule="auto"/>
        <w:rPr>
          <w:rFonts w:ascii="FangSong" w:hAnsi="FangSong" w:eastAsia="FangSong" w:cs="FangSong"/>
          <w:sz w:val="24"/>
          <w:szCs w:val="24"/>
        </w:rPr>
      </w:pPr>
      <w:r>
        <w:rPr>
          <w:rFonts w:ascii="FangSong" w:hAnsi="FangSong" w:eastAsia="FangSong" w:cs="FangSong"/>
          <w:sz w:val="24"/>
          <w:szCs w:val="24"/>
          <w:spacing w:val="-4"/>
        </w:rPr>
        <w:t>井下采矿工程产生的废气主要有凿岩、爆破、铲装时产生的粉尘及爆破过程</w:t>
      </w:r>
      <w:r>
        <w:rPr>
          <w:rFonts w:ascii="FangSong" w:hAnsi="FangSong" w:eastAsia="FangSong" w:cs="FangSong"/>
          <w:sz w:val="24"/>
          <w:szCs w:val="24"/>
          <w:spacing w:val="-1"/>
        </w:rPr>
        <w:t>中释放的含</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CO</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NO</w:t>
      </w:r>
      <w:r>
        <w:rPr>
          <w:rFonts w:ascii="Times New Roman" w:hAnsi="Times New Roman" w:eastAsia="Times New Roman" w:cs="Times New Roman"/>
          <w:sz w:val="15"/>
          <w:szCs w:val="15"/>
          <w:spacing w:val="-1"/>
          <w:position w:val="-1"/>
        </w:rPr>
        <w:t>x</w:t>
      </w:r>
      <w:r>
        <w:rPr>
          <w:rFonts w:ascii="Times New Roman" w:hAnsi="Times New Roman" w:eastAsia="Times New Roman" w:cs="Times New Roman"/>
          <w:sz w:val="15"/>
          <w:szCs w:val="15"/>
          <w:spacing w:val="37"/>
          <w:w w:val="101"/>
          <w:position w:val="-1"/>
        </w:rPr>
        <w:t xml:space="preserve"> </w:t>
      </w:r>
      <w:r>
        <w:rPr>
          <w:rFonts w:ascii="FangSong" w:hAnsi="FangSong" w:eastAsia="FangSong" w:cs="FangSong"/>
          <w:sz w:val="24"/>
          <w:szCs w:val="24"/>
          <w:spacing w:val="-1"/>
        </w:rPr>
        <w:t>等有害气体的爆破炮烟。井下采用湿式凿岩，装矿岩时、</w:t>
      </w:r>
      <w:r>
        <w:rPr>
          <w:rFonts w:ascii="FangSong" w:hAnsi="FangSong" w:eastAsia="FangSong" w:cs="FangSong"/>
          <w:sz w:val="24"/>
          <w:szCs w:val="24"/>
          <w:spacing w:val="-3"/>
        </w:rPr>
        <w:t>爆破后采取喷雾降尘措施，井下通风系统进入的大量新鲜空气稀释。</w:t>
      </w:r>
      <w:r>
        <w:rPr>
          <w:rFonts w:ascii="FangSong" w:hAnsi="FangSong" w:eastAsia="FangSong" w:cs="FangSong"/>
          <w:sz w:val="24"/>
          <w:szCs w:val="24"/>
          <w:spacing w:val="-4"/>
        </w:rPr>
        <w:t>工业炸药爆</w:t>
      </w:r>
      <w:r>
        <w:rPr>
          <w:rFonts w:ascii="FangSong" w:hAnsi="FangSong" w:eastAsia="FangSong" w:cs="FangSong"/>
          <w:sz w:val="24"/>
          <w:szCs w:val="24"/>
          <w:spacing w:val="-13"/>
        </w:rPr>
        <w:t>炸后将主要产生</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3"/>
        </w:rPr>
        <w:t>CO</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NO</w:t>
      </w:r>
      <w:r>
        <w:rPr>
          <w:rFonts w:ascii="Times New Roman" w:hAnsi="Times New Roman" w:eastAsia="Times New Roman" w:cs="Times New Roman"/>
          <w:sz w:val="15"/>
          <w:szCs w:val="15"/>
          <w:spacing w:val="-6"/>
          <w:position w:val="-1"/>
        </w:rPr>
        <w:t>x</w:t>
      </w:r>
      <w:r>
        <w:rPr>
          <w:rFonts w:ascii="Times New Roman" w:hAnsi="Times New Roman" w:eastAsia="Times New Roman" w:cs="Times New Roman"/>
          <w:sz w:val="15"/>
          <w:szCs w:val="15"/>
          <w:spacing w:val="11"/>
          <w:w w:val="101"/>
          <w:position w:val="-1"/>
        </w:rPr>
        <w:t xml:space="preserve"> </w:t>
      </w:r>
      <w:r>
        <w:rPr>
          <w:rFonts w:ascii="FangSong" w:hAnsi="FangSong" w:eastAsia="FangSong" w:cs="FangSong"/>
          <w:sz w:val="24"/>
          <w:szCs w:val="24"/>
          <w:spacing w:val="-6"/>
        </w:rPr>
        <w:t>和水蒸汽等，计算得爆破废气中</w:t>
      </w:r>
      <w:r>
        <w:rPr>
          <w:rFonts w:ascii="Times New Roman" w:hAnsi="Times New Roman" w:eastAsia="Times New Roman" w:cs="Times New Roman"/>
          <w:sz w:val="24"/>
          <w:szCs w:val="24"/>
          <w:spacing w:val="-6"/>
        </w:rPr>
        <w:t>NO</w:t>
      </w:r>
      <w:r>
        <w:rPr>
          <w:rFonts w:ascii="Times New Roman" w:hAnsi="Times New Roman" w:eastAsia="Times New Roman" w:cs="Times New Roman"/>
          <w:sz w:val="15"/>
          <w:szCs w:val="15"/>
          <w:spacing w:val="-6"/>
          <w:position w:val="-1"/>
        </w:rPr>
        <w:t>x</w:t>
      </w:r>
      <w:r>
        <w:rPr>
          <w:rFonts w:ascii="Times New Roman" w:hAnsi="Times New Roman" w:eastAsia="Times New Roman" w:cs="Times New Roman"/>
          <w:sz w:val="15"/>
          <w:szCs w:val="15"/>
          <w:spacing w:val="10"/>
          <w:w w:val="101"/>
          <w:position w:val="-1"/>
        </w:rPr>
        <w:t xml:space="preserve"> </w:t>
      </w:r>
      <w:r>
        <w:rPr>
          <w:rFonts w:ascii="FangSong" w:hAnsi="FangSong" w:eastAsia="FangSong" w:cs="FangSong"/>
          <w:sz w:val="24"/>
          <w:szCs w:val="24"/>
          <w:spacing w:val="-6"/>
        </w:rPr>
        <w:t>排放量为</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6"/>
        </w:rPr>
        <w:t>186t/a</w:t>
      </w:r>
      <w:r>
        <w:rPr>
          <w:rFonts w:ascii="FangSong" w:hAnsi="FangSong" w:eastAsia="FangSong" w:cs="FangSong"/>
          <w:sz w:val="24"/>
          <w:szCs w:val="24"/>
          <w:spacing w:val="-6"/>
        </w:rPr>
        <w:t>，</w:t>
      </w:r>
      <w:r>
        <w:rPr>
          <w:rFonts w:ascii="FangSong" w:hAnsi="FangSong" w:eastAsia="FangSong" w:cs="FangSong"/>
          <w:sz w:val="24"/>
          <w:szCs w:val="24"/>
          <w:spacing w:val="-1"/>
        </w:rPr>
        <w:t>爆破后立即采取局部强制通风，由通风井排出。</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）道路运输扬尘</w:t>
      </w:r>
    </w:p>
    <w:p>
      <w:pPr>
        <w:spacing w:line="223" w:lineRule="auto"/>
        <w:sectPr>
          <w:footerReference w:type="default" r:id="rId407"/>
          <w:pgSz w:w="11906" w:h="16839"/>
          <w:pgMar w:top="400" w:right="1736"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99" w:firstLine="481"/>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项目矿石采用载重汽车装车运输，汽车在矿区</w:t>
      </w:r>
      <w:r>
        <w:rPr>
          <w:rFonts w:ascii="FangSong" w:hAnsi="FangSong" w:eastAsia="FangSong" w:cs="FangSong"/>
          <w:sz w:val="24"/>
          <w:szCs w:val="24"/>
          <w:spacing w:val="-4"/>
        </w:rPr>
        <w:t>道路上行驶时会产生一定量扬</w:t>
      </w:r>
      <w:r>
        <w:rPr>
          <w:rFonts w:ascii="FangSong" w:hAnsi="FangSong" w:eastAsia="FangSong" w:cs="FangSong"/>
          <w:sz w:val="24"/>
          <w:szCs w:val="24"/>
          <w:spacing w:val="-3"/>
        </w:rPr>
        <w:t>尘。汽车运输时产生的扬尘量的大小与车流量、道路状况、气候条件</w:t>
      </w:r>
      <w:r>
        <w:rPr>
          <w:rFonts w:ascii="FangSong" w:hAnsi="FangSong" w:eastAsia="FangSong" w:cs="FangSong"/>
          <w:sz w:val="24"/>
          <w:szCs w:val="24"/>
          <w:spacing w:val="-4"/>
        </w:rPr>
        <w:t>、汽车行驶</w:t>
      </w:r>
      <w:r>
        <w:rPr>
          <w:rFonts w:ascii="FangSong" w:hAnsi="FangSong" w:eastAsia="FangSong" w:cs="FangSong"/>
          <w:sz w:val="24"/>
          <w:szCs w:val="24"/>
          <w:spacing w:val="-3"/>
        </w:rPr>
        <w:t>速度等有关。矿区进场道路通过定期洒水，车辆运输过程中严格限制</w:t>
      </w:r>
      <w:r>
        <w:rPr>
          <w:rFonts w:ascii="FangSong" w:hAnsi="FangSong" w:eastAsia="FangSong" w:cs="FangSong"/>
          <w:sz w:val="24"/>
          <w:szCs w:val="24"/>
          <w:spacing w:val="-4"/>
        </w:rPr>
        <w:t>超载，减速</w:t>
      </w:r>
      <w:r>
        <w:rPr>
          <w:rFonts w:ascii="FangSong" w:hAnsi="FangSong" w:eastAsia="FangSong" w:cs="FangSong"/>
          <w:sz w:val="24"/>
          <w:szCs w:val="24"/>
          <w:spacing w:val="-1"/>
        </w:rPr>
        <w:t>慢行，经计算，道路运输扬尘排放量为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0.236t/a</w:t>
      </w:r>
      <w:r>
        <w:rPr>
          <w:rFonts w:ascii="FangSong" w:hAnsi="FangSong" w:eastAsia="FangSong" w:cs="FangSong"/>
          <w:sz w:val="24"/>
          <w:szCs w:val="24"/>
          <w:spacing w:val="-1"/>
        </w:rPr>
        <w:t>。</w:t>
      </w:r>
    </w:p>
    <w:p>
      <w:pPr>
        <w:ind w:left="514"/>
        <w:spacing w:before="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）堆场扬尘</w:t>
      </w:r>
    </w:p>
    <w:p>
      <w:pPr>
        <w:ind w:left="33" w:right="33" w:firstLine="477"/>
        <w:spacing w:before="180" w:line="360" w:lineRule="auto"/>
        <w:rPr>
          <w:rFonts w:ascii="Times New Roman" w:hAnsi="Times New Roman" w:eastAsia="Times New Roman" w:cs="Times New Roman"/>
          <w:sz w:val="24"/>
          <w:szCs w:val="24"/>
        </w:rPr>
      </w:pPr>
      <w:r>
        <w:rPr>
          <w:rFonts w:ascii="FangSong" w:hAnsi="FangSong" w:eastAsia="FangSong" w:cs="FangSong"/>
          <w:sz w:val="24"/>
          <w:szCs w:val="24"/>
          <w:spacing w:val="-8"/>
        </w:rPr>
        <w:t>堆场的扬尘源排放量是装卸引起的扬尘，堆</w:t>
      </w:r>
      <w:r>
        <w:rPr>
          <w:rFonts w:ascii="FangSong" w:hAnsi="FangSong" w:eastAsia="FangSong" w:cs="FangSong"/>
          <w:sz w:val="24"/>
          <w:szCs w:val="24"/>
          <w:spacing w:val="-9"/>
        </w:rPr>
        <w:t>场采取封闭建设、洒水降尘措施，</w:t>
      </w:r>
      <w:r>
        <w:rPr>
          <w:rFonts w:ascii="FangSong" w:hAnsi="FangSong" w:eastAsia="FangSong" w:cs="FangSong"/>
          <w:sz w:val="24"/>
          <w:szCs w:val="24"/>
          <w:spacing w:val="-1"/>
        </w:rPr>
        <w:t>可降低粉尘排放量，经计算，各类堆场合计扬尘排放量共</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2.920t/a</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）选矿工艺粉尘</w:t>
      </w:r>
    </w:p>
    <w:p>
      <w:pPr>
        <w:ind w:left="502"/>
        <w:spacing w:before="177" w:line="222"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14"/>
        </w:rPr>
        <w:t xml:space="preserve"> </w:t>
      </w:r>
      <w:r>
        <w:rPr>
          <w:rFonts w:ascii="FangSong" w:hAnsi="FangSong" w:eastAsia="FangSong" w:cs="FangSong"/>
          <w:sz w:val="24"/>
          <w:szCs w:val="24"/>
          <w:spacing w:val="-4"/>
        </w:rPr>
        <w:t>有组织废气</w:t>
      </w:r>
    </w:p>
    <w:p>
      <w:pPr>
        <w:ind w:left="27" w:firstLine="482"/>
        <w:spacing w:before="179" w:line="360" w:lineRule="auto"/>
        <w:rPr>
          <w:rFonts w:ascii="FangSong" w:hAnsi="FangSong" w:eastAsia="FangSong" w:cs="FangSong"/>
          <w:sz w:val="24"/>
          <w:szCs w:val="24"/>
        </w:rPr>
      </w:pPr>
      <w:r>
        <w:rPr>
          <w:rFonts w:ascii="FangSong" w:hAnsi="FangSong" w:eastAsia="FangSong" w:cs="FangSong"/>
          <w:sz w:val="24"/>
          <w:szCs w:val="24"/>
          <w:spacing w:val="-3"/>
        </w:rPr>
        <w:t>拟在破碎、筛分、粉矿仓转运等各工段各生产设</w:t>
      </w:r>
      <w:r>
        <w:rPr>
          <w:rFonts w:ascii="FangSong" w:hAnsi="FangSong" w:eastAsia="FangSong" w:cs="FangSong"/>
          <w:sz w:val="24"/>
          <w:szCs w:val="24"/>
          <w:spacing w:val="-4"/>
        </w:rPr>
        <w:t>备上方均设置集气罩（集气</w:t>
      </w:r>
      <w:r>
        <w:rPr>
          <w:rFonts w:ascii="FangSong" w:hAnsi="FangSong" w:eastAsia="FangSong" w:cs="FangSong"/>
          <w:sz w:val="24"/>
          <w:szCs w:val="24"/>
        </w:rPr>
        <w:t>效率</w:t>
      </w:r>
      <w:r>
        <w:rPr>
          <w:rFonts w:ascii="Times New Roman" w:hAnsi="Times New Roman" w:eastAsia="Times New Roman" w:cs="Times New Roman"/>
          <w:sz w:val="24"/>
          <w:szCs w:val="24"/>
        </w:rPr>
        <w:t>90%</w:t>
      </w:r>
      <w:r>
        <w:rPr>
          <w:rFonts w:ascii="FangSong" w:hAnsi="FangSong" w:eastAsia="FangSong" w:cs="FangSong"/>
          <w:sz w:val="24"/>
          <w:szCs w:val="24"/>
          <w:spacing w:val="-62"/>
          <w:w w:val="93"/>
        </w:rPr>
        <w:t>），</w:t>
      </w:r>
      <w:r>
        <w:rPr>
          <w:rFonts w:ascii="FangSong" w:hAnsi="FangSong" w:eastAsia="FangSong" w:cs="FangSong"/>
          <w:sz w:val="24"/>
          <w:szCs w:val="24"/>
        </w:rPr>
        <w:t>集气罩收集的颗粒物通过管道引入布</w:t>
      </w:r>
      <w:r>
        <w:rPr>
          <w:rFonts w:ascii="FangSong" w:hAnsi="FangSong" w:eastAsia="FangSong" w:cs="FangSong"/>
          <w:sz w:val="24"/>
          <w:szCs w:val="24"/>
          <w:spacing w:val="-1"/>
        </w:rPr>
        <w:t>袋除尘器处理（处理效率</w:t>
      </w:r>
      <w:r>
        <w:rPr>
          <w:rFonts w:ascii="Times New Roman" w:hAnsi="Times New Roman" w:eastAsia="Times New Roman" w:cs="Times New Roman"/>
          <w:sz w:val="24"/>
          <w:szCs w:val="24"/>
          <w:spacing w:val="-1"/>
        </w:rPr>
        <w:t>98%</w:t>
      </w:r>
      <w:r>
        <w:rPr>
          <w:rFonts w:ascii="FangSong" w:hAnsi="FangSong" w:eastAsia="FangSong" w:cs="FangSong"/>
          <w:sz w:val="24"/>
          <w:szCs w:val="24"/>
          <w:spacing w:val="-1"/>
        </w:rPr>
        <w:t>）</w:t>
      </w:r>
      <w:r>
        <w:rPr>
          <w:rFonts w:ascii="FangSong" w:hAnsi="FangSong" w:eastAsia="FangSong" w:cs="FangSong"/>
          <w:sz w:val="24"/>
          <w:szCs w:val="24"/>
          <w:spacing w:val="-4"/>
        </w:rPr>
        <w:t>后，经</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15m</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4"/>
        </w:rPr>
        <w:t>高排气简（</w:t>
      </w:r>
      <w:r>
        <w:rPr>
          <w:rFonts w:ascii="Times New Roman" w:hAnsi="Times New Roman" w:eastAsia="Times New Roman" w:cs="Times New Roman"/>
          <w:sz w:val="24"/>
          <w:szCs w:val="24"/>
          <w:spacing w:val="-4"/>
        </w:rPr>
        <w:t>DA002</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DA003</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DA005</w:t>
      </w:r>
      <w:r>
        <w:rPr>
          <w:rFonts w:ascii="FangSong" w:hAnsi="FangSong" w:eastAsia="FangSong" w:cs="FangSong"/>
          <w:sz w:val="24"/>
          <w:szCs w:val="24"/>
          <w:spacing w:val="-4"/>
        </w:rPr>
        <w:t>）达标排放，经测算，</w:t>
      </w:r>
      <w:r>
        <w:rPr>
          <w:rFonts w:ascii="FangSong" w:hAnsi="FangSong" w:eastAsia="FangSong" w:cs="FangSong"/>
          <w:sz w:val="24"/>
          <w:szCs w:val="24"/>
          <w:spacing w:val="1"/>
        </w:rPr>
        <w:t>满足《大气污染物综合排放标准》（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16297-1996</w:t>
      </w:r>
      <w:r>
        <w:rPr>
          <w:rFonts w:ascii="FangSong" w:hAnsi="FangSong" w:eastAsia="FangSong" w:cs="FangSong"/>
          <w:sz w:val="24"/>
          <w:szCs w:val="24"/>
          <w:spacing w:val="1"/>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1"/>
        </w:rPr>
        <w:t>新污染源大气污染物</w:t>
      </w:r>
      <w:r>
        <w:rPr>
          <w:rFonts w:ascii="FangSong" w:hAnsi="FangSong" w:eastAsia="FangSong" w:cs="FangSong"/>
          <w:sz w:val="24"/>
          <w:szCs w:val="24"/>
          <w:spacing w:val="-2"/>
        </w:rPr>
        <w:t>排放限值中二级标准。</w:t>
      </w:r>
    </w:p>
    <w:p>
      <w:pPr>
        <w:ind w:left="501"/>
        <w:spacing w:before="1" w:line="221" w:lineRule="auto"/>
        <w:rPr>
          <w:rFonts w:ascii="FangSong" w:hAnsi="FangSong" w:eastAsia="FangSong" w:cs="FangSong"/>
          <w:sz w:val="24"/>
          <w:szCs w:val="24"/>
        </w:rPr>
      </w:pPr>
      <w:r>
        <w:rPr>
          <w:rFonts w:ascii="FangSong" w:hAnsi="FangSong" w:eastAsia="FangSong" w:cs="FangSong"/>
          <w:sz w:val="24"/>
          <w:szCs w:val="24"/>
          <w:spacing w:val="-5"/>
        </w:rPr>
        <w:t>②</w:t>
      </w:r>
      <w:r>
        <w:rPr>
          <w:rFonts w:ascii="FangSong" w:hAnsi="FangSong" w:eastAsia="FangSong" w:cs="FangSong"/>
          <w:sz w:val="24"/>
          <w:szCs w:val="24"/>
          <w:spacing w:val="21"/>
        </w:rPr>
        <w:t xml:space="preserve"> </w:t>
      </w:r>
      <w:r>
        <w:rPr>
          <w:rFonts w:ascii="FangSong" w:hAnsi="FangSong" w:eastAsia="FangSong" w:cs="FangSong"/>
          <w:sz w:val="24"/>
          <w:szCs w:val="24"/>
          <w:spacing w:val="-5"/>
        </w:rPr>
        <w:t>无组织废气</w:t>
      </w:r>
    </w:p>
    <w:p>
      <w:pPr>
        <w:ind w:left="29" w:right="99" w:firstLine="482"/>
        <w:spacing w:before="180" w:line="360" w:lineRule="auto"/>
        <w:rPr>
          <w:rFonts w:ascii="FangSong" w:hAnsi="FangSong" w:eastAsia="FangSong" w:cs="FangSong"/>
          <w:sz w:val="24"/>
          <w:szCs w:val="24"/>
        </w:rPr>
      </w:pPr>
      <w:r>
        <w:rPr>
          <w:rFonts w:ascii="FangSong" w:hAnsi="FangSong" w:eastAsia="FangSong" w:cs="FangSong"/>
          <w:sz w:val="24"/>
          <w:szCs w:val="24"/>
          <w:spacing w:val="-3"/>
        </w:rPr>
        <w:t>上料、转卸过程产生的无组织粉尘及破碎、</w:t>
      </w:r>
      <w:r>
        <w:rPr>
          <w:rFonts w:ascii="FangSong" w:hAnsi="FangSong" w:eastAsia="FangSong" w:cs="FangSong"/>
          <w:sz w:val="24"/>
          <w:szCs w:val="24"/>
          <w:spacing w:val="-4"/>
        </w:rPr>
        <w:t>筛分、粉矿仓转运工序中未被收</w:t>
      </w:r>
      <w:r>
        <w:rPr>
          <w:rFonts w:ascii="FangSong" w:hAnsi="FangSong" w:eastAsia="FangSong" w:cs="FangSong"/>
          <w:sz w:val="24"/>
          <w:szCs w:val="24"/>
          <w:spacing w:val="-3"/>
        </w:rPr>
        <w:t>集的粉尘以无组织形式逸散，通过采取封闭车间、封闭廊道输送、料</w:t>
      </w:r>
      <w:r>
        <w:rPr>
          <w:rFonts w:ascii="FangSong" w:hAnsi="FangSong" w:eastAsia="FangSong" w:cs="FangSong"/>
          <w:sz w:val="24"/>
          <w:szCs w:val="24"/>
          <w:spacing w:val="-4"/>
        </w:rPr>
        <w:t>仓为封闭结</w:t>
      </w:r>
      <w:r>
        <w:rPr>
          <w:rFonts w:ascii="FangSong" w:hAnsi="FangSong" w:eastAsia="FangSong" w:cs="FangSong"/>
          <w:sz w:val="24"/>
          <w:szCs w:val="24"/>
          <w:spacing w:val="-3"/>
        </w:rPr>
        <w:t>构等措施，各转卸载点配备喷雾降尘装置等，产出的萤石矿粉存放于</w:t>
      </w:r>
      <w:r>
        <w:rPr>
          <w:rFonts w:ascii="FangSong" w:hAnsi="FangSong" w:eastAsia="FangSong" w:cs="FangSong"/>
          <w:sz w:val="24"/>
          <w:szCs w:val="24"/>
          <w:spacing w:val="-4"/>
        </w:rPr>
        <w:t>封闭精矿库</w:t>
      </w:r>
      <w:r>
        <w:rPr>
          <w:rFonts w:ascii="FangSong" w:hAnsi="FangSong" w:eastAsia="FangSong" w:cs="FangSong"/>
          <w:sz w:val="24"/>
          <w:szCs w:val="24"/>
          <w:spacing w:val="1"/>
        </w:rPr>
        <w:t>内，经测算，满足《大气污染物综合排放标准》（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16297-1996</w:t>
      </w:r>
      <w:r>
        <w:rPr>
          <w:rFonts w:ascii="FangSong" w:hAnsi="FangSong" w:eastAsia="FangSong" w:cs="FangSong"/>
          <w:sz w:val="24"/>
          <w:szCs w:val="24"/>
          <w:spacing w:val="1"/>
        </w:rPr>
        <w:t>）表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
        </w:rPr>
        <w:t>新污染</w:t>
      </w:r>
      <w:r>
        <w:rPr>
          <w:rFonts w:ascii="FangSong" w:hAnsi="FangSong" w:eastAsia="FangSong" w:cs="FangSong"/>
          <w:sz w:val="24"/>
          <w:szCs w:val="24"/>
          <w:spacing w:val="-2"/>
        </w:rPr>
        <w:t>源大气污染物无组织排放标准。</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）食堂油烟</w:t>
      </w:r>
    </w:p>
    <w:p>
      <w:pPr>
        <w:ind w:left="29" w:right="99" w:firstLine="481"/>
        <w:spacing w:before="178" w:line="360" w:lineRule="auto"/>
        <w:rPr>
          <w:rFonts w:ascii="FangSong" w:hAnsi="FangSong" w:eastAsia="FangSong" w:cs="FangSong"/>
          <w:sz w:val="24"/>
          <w:szCs w:val="24"/>
        </w:rPr>
      </w:pPr>
      <w:r>
        <w:rPr>
          <w:rFonts w:ascii="FangSong" w:hAnsi="FangSong" w:eastAsia="FangSong" w:cs="FangSong"/>
          <w:sz w:val="24"/>
          <w:szCs w:val="24"/>
          <w:spacing w:val="-4"/>
        </w:rPr>
        <w:t>项目食堂厨房设置</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4"/>
        </w:rPr>
        <w:t>个灶头，属于中型饮食单位，本次设计采用油烟净化器</w:t>
      </w:r>
      <w:r>
        <w:rPr>
          <w:rFonts w:ascii="FangSong" w:hAnsi="FangSong" w:eastAsia="FangSong" w:cs="FangSong"/>
          <w:sz w:val="24"/>
          <w:szCs w:val="24"/>
          <w:spacing w:val="-4"/>
        </w:rPr>
        <w:t>（处理效率以</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80%</w:t>
      </w:r>
      <w:r>
        <w:rPr>
          <w:rFonts w:ascii="FangSong" w:hAnsi="FangSong" w:eastAsia="FangSong" w:cs="FangSong"/>
          <w:sz w:val="24"/>
          <w:szCs w:val="24"/>
          <w:spacing w:val="-4"/>
        </w:rPr>
        <w:t>计）对产生的食堂油烟进行收集处理，处理后的油烟通过专用</w:t>
      </w:r>
      <w:r>
        <w:rPr>
          <w:rFonts w:ascii="FangSong" w:hAnsi="FangSong" w:eastAsia="FangSong" w:cs="FangSong"/>
          <w:sz w:val="24"/>
          <w:szCs w:val="24"/>
          <w:spacing w:val="4"/>
        </w:rPr>
        <w:t>烟道引至屋顶排放，经测算，排放浓度满足《饮食业油烟排放标</w:t>
      </w:r>
      <w:r>
        <w:rPr>
          <w:rFonts w:ascii="FangSong" w:hAnsi="FangSong" w:eastAsia="FangSong" w:cs="FangSong"/>
          <w:sz w:val="24"/>
          <w:szCs w:val="24"/>
          <w:spacing w:val="3"/>
        </w:rPr>
        <w:t>准（试行）》</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GB18483-2001</w:t>
      </w:r>
      <w:r>
        <w:rPr>
          <w:rFonts w:ascii="FangSong" w:hAnsi="FangSong" w:eastAsia="FangSong" w:cs="FangSong"/>
          <w:sz w:val="24"/>
          <w:szCs w:val="24"/>
          <w:spacing w:val="-1"/>
        </w:rPr>
        <w:t>）排放标准要求，对环境空气影响较小。</w:t>
      </w:r>
    </w:p>
    <w:p>
      <w:pPr>
        <w:ind w:left="29"/>
        <w:spacing w:line="223" w:lineRule="auto"/>
        <w:outlineLvl w:val="2"/>
        <w:rPr>
          <w:rFonts w:ascii="FangSong" w:hAnsi="FangSong" w:eastAsia="FangSong" w:cs="FangSong"/>
          <w:sz w:val="24"/>
          <w:szCs w:val="24"/>
        </w:rPr>
      </w:pPr>
      <w:bookmarkStart w:name="bookmark475" w:id="631"/>
      <w:bookmarkEnd w:id="631"/>
      <w:bookmarkStart w:name="bookmark474" w:id="632"/>
      <w:bookmarkEnd w:id="632"/>
      <w:r>
        <w:rPr>
          <w:rFonts w:ascii="Times New Roman" w:hAnsi="Times New Roman" w:eastAsia="Times New Roman" w:cs="Times New Roman"/>
          <w:sz w:val="24"/>
          <w:szCs w:val="24"/>
          <w:b/>
          <w:bCs/>
          <w:spacing w:val="-7"/>
        </w:rPr>
        <w:t>11.4.2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b/>
          <w:bCs/>
          <w:spacing w:val="-7"/>
        </w:rPr>
        <w:t>废水</w:t>
      </w:r>
    </w:p>
    <w:p>
      <w:pPr>
        <w:ind w:left="35" w:right="99" w:firstLine="475"/>
        <w:spacing w:before="178" w:line="360" w:lineRule="auto"/>
        <w:rPr>
          <w:rFonts w:ascii="FangSong" w:hAnsi="FangSong" w:eastAsia="FangSong" w:cs="FangSong"/>
          <w:sz w:val="24"/>
          <w:szCs w:val="24"/>
        </w:rPr>
      </w:pPr>
      <w:r>
        <w:rPr>
          <w:rFonts w:ascii="FangSong" w:hAnsi="FangSong" w:eastAsia="FangSong" w:cs="FangSong"/>
          <w:sz w:val="24"/>
          <w:szCs w:val="24"/>
          <w:spacing w:val="-3"/>
        </w:rPr>
        <w:t>项目生产运行过程中产生的废水包括生活污水</w:t>
      </w:r>
      <w:r>
        <w:rPr>
          <w:rFonts w:ascii="FangSong" w:hAnsi="FangSong" w:eastAsia="FangSong" w:cs="FangSong"/>
          <w:sz w:val="24"/>
          <w:szCs w:val="24"/>
          <w:spacing w:val="-4"/>
        </w:rPr>
        <w:t>、矿井涌水及选矿废水（选矿</w:t>
      </w:r>
      <w:r>
        <w:rPr>
          <w:rFonts w:ascii="FangSong" w:hAnsi="FangSong" w:eastAsia="FangSong" w:cs="FangSong"/>
          <w:sz w:val="24"/>
          <w:szCs w:val="24"/>
          <w:spacing w:val="-2"/>
        </w:rPr>
        <w:t>工艺废水、地面冲洗废水）。</w:t>
      </w:r>
    </w:p>
    <w:p>
      <w:pPr>
        <w:ind w:left="524"/>
        <w:spacing w:before="1" w:line="222" w:lineRule="auto"/>
        <w:rPr>
          <w:rFonts w:ascii="FangSong" w:hAnsi="FangSong" w:eastAsia="FangSong" w:cs="FangSong"/>
          <w:sz w:val="24"/>
          <w:szCs w:val="24"/>
        </w:rPr>
      </w:pPr>
      <w:r>
        <w:rPr>
          <w:rFonts w:ascii="FangSong" w:hAnsi="FangSong" w:eastAsia="FangSong" w:cs="FangSong"/>
          <w:sz w:val="24"/>
          <w:szCs w:val="24"/>
          <w:spacing w:val="-4"/>
        </w:rPr>
        <w:t>生活污水与经隔油池处理后的食堂废水排入厂区防渗储池内，定期运至内蒙</w:t>
      </w:r>
    </w:p>
    <w:p>
      <w:pPr>
        <w:spacing w:line="222" w:lineRule="auto"/>
        <w:sectPr>
          <w:footerReference w:type="default" r:id="rId408"/>
          <w:pgSz w:w="11906" w:h="16839"/>
          <w:pgMar w:top="400" w:right="1700"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37" w:firstLine="5"/>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古锡林郭勒盟苏尼特右旗赛汉塔拉镇污水处理厂处理：</w:t>
      </w:r>
      <w:r>
        <w:rPr>
          <w:rFonts w:ascii="FangSong" w:hAnsi="FangSong" w:eastAsia="FangSong" w:cs="FangSong"/>
          <w:sz w:val="24"/>
          <w:szCs w:val="24"/>
          <w:spacing w:val="-4"/>
        </w:rPr>
        <w:t>采矿区矿井涌水经地下水</w:t>
      </w:r>
      <w:r>
        <w:rPr>
          <w:rFonts w:ascii="FangSong" w:hAnsi="FangSong" w:eastAsia="FangSong" w:cs="FangSong"/>
          <w:sz w:val="24"/>
          <w:szCs w:val="24"/>
          <w:spacing w:val="-2"/>
        </w:rPr>
        <w:t>仓沉淀后经潜水泵排至地表高位水池，部分矿井涌水经过高位水池沉淀处理后，</w:t>
      </w:r>
      <w:r>
        <w:rPr>
          <w:rFonts w:ascii="FangSong" w:hAnsi="FangSong" w:eastAsia="FangSong" w:cs="FangSong"/>
          <w:sz w:val="24"/>
          <w:szCs w:val="24"/>
          <w:spacing w:val="-3"/>
        </w:rPr>
        <w:t>回用于采矿井下凿岩、爆破降尘、各堆场、道路降尘，剩余部分矿井</w:t>
      </w:r>
      <w:r>
        <w:rPr>
          <w:rFonts w:ascii="FangSong" w:hAnsi="FangSong" w:eastAsia="FangSong" w:cs="FangSong"/>
          <w:sz w:val="24"/>
          <w:szCs w:val="24"/>
          <w:spacing w:val="-4"/>
        </w:rPr>
        <w:t>涌水经高位</w:t>
      </w:r>
      <w:r>
        <w:rPr>
          <w:rFonts w:ascii="FangSong" w:hAnsi="FangSong" w:eastAsia="FangSong" w:cs="FangSong"/>
          <w:sz w:val="24"/>
          <w:szCs w:val="24"/>
          <w:spacing w:val="-2"/>
        </w:rPr>
        <w:t>水池沉淀处理与选矿废水经过回水池混凝沉淀后排入蓄水池内回用于选矿用水，</w:t>
      </w:r>
      <w:r>
        <w:rPr>
          <w:rFonts w:ascii="FangSong" w:hAnsi="FangSong" w:eastAsia="FangSong" w:cs="FangSong"/>
          <w:sz w:val="24"/>
          <w:szCs w:val="24"/>
          <w:spacing w:val="-1"/>
        </w:rPr>
        <w:t>不外排。本项目生产废水全部循环使用，实现废水不外排。</w:t>
      </w:r>
    </w:p>
    <w:p>
      <w:pPr>
        <w:ind w:left="29"/>
        <w:spacing w:line="222" w:lineRule="auto"/>
        <w:outlineLvl w:val="2"/>
        <w:rPr>
          <w:rFonts w:ascii="FangSong" w:hAnsi="FangSong" w:eastAsia="FangSong" w:cs="FangSong"/>
          <w:sz w:val="24"/>
          <w:szCs w:val="24"/>
        </w:rPr>
      </w:pPr>
      <w:bookmarkStart w:name="bookmark477" w:id="633"/>
      <w:bookmarkEnd w:id="633"/>
      <w:bookmarkStart w:name="bookmark476" w:id="634"/>
      <w:bookmarkEnd w:id="634"/>
      <w:r>
        <w:rPr>
          <w:rFonts w:ascii="Times New Roman" w:hAnsi="Times New Roman" w:eastAsia="Times New Roman" w:cs="Times New Roman"/>
          <w:sz w:val="24"/>
          <w:szCs w:val="24"/>
          <w:b/>
          <w:bCs/>
          <w:spacing w:val="-8"/>
        </w:rPr>
        <w:t>11.4.3</w:t>
      </w:r>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b/>
          <w:bCs/>
          <w:spacing w:val="-8"/>
        </w:rPr>
        <w:t>噪声</w:t>
      </w:r>
    </w:p>
    <w:p>
      <w:pPr>
        <w:ind w:left="28" w:right="11" w:firstLine="482"/>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项目采矿方式采用地下开采，故噪声对周围环</w:t>
      </w:r>
      <w:r>
        <w:rPr>
          <w:rFonts w:ascii="FangSong" w:hAnsi="FangSong" w:eastAsia="FangSong" w:cs="FangSong"/>
          <w:sz w:val="24"/>
          <w:szCs w:val="24"/>
          <w:spacing w:val="-4"/>
        </w:rPr>
        <w:t>境的影响主要为工业广场采矿</w:t>
      </w:r>
      <w:r>
        <w:rPr>
          <w:rFonts w:ascii="FangSong" w:hAnsi="FangSong" w:eastAsia="FangSong" w:cs="FangSong"/>
          <w:sz w:val="24"/>
          <w:szCs w:val="24"/>
          <w:spacing w:val="-8"/>
        </w:rPr>
        <w:t>辅助设备噪声、选矿等设备产生的噪声，本项目在采取生产设备选用低噪声设备，</w:t>
      </w:r>
      <w:r>
        <w:rPr>
          <w:rFonts w:ascii="FangSong" w:hAnsi="FangSong" w:eastAsia="FangSong" w:cs="FangSong"/>
          <w:sz w:val="24"/>
          <w:szCs w:val="24"/>
          <w:spacing w:val="-1"/>
        </w:rPr>
        <w:t>设备加装减振和消音装置，定期检修等噪声治理措施后对周</w:t>
      </w:r>
      <w:r>
        <w:rPr>
          <w:rFonts w:ascii="FangSong" w:hAnsi="FangSong" w:eastAsia="FangSong" w:cs="FangSong"/>
          <w:sz w:val="24"/>
          <w:szCs w:val="24"/>
          <w:spacing w:val="-2"/>
        </w:rPr>
        <w:t>围声环境影响较小，</w:t>
      </w:r>
      <w:r>
        <w:rPr>
          <w:rFonts w:ascii="FangSong" w:hAnsi="FangSong" w:eastAsia="FangSong" w:cs="FangSong"/>
          <w:sz w:val="24"/>
          <w:szCs w:val="24"/>
          <w:spacing w:val="-3"/>
        </w:rPr>
        <w:t>经预测，建设项目矿界及工业广场边界昼间噪声预测值满足《工业企业</w:t>
      </w:r>
      <w:r>
        <w:rPr>
          <w:rFonts w:ascii="FangSong" w:hAnsi="FangSong" w:eastAsia="FangSong" w:cs="FangSong"/>
          <w:sz w:val="24"/>
          <w:szCs w:val="24"/>
          <w:spacing w:val="-4"/>
        </w:rPr>
        <w:t>厂界环境</w:t>
      </w:r>
      <w:r>
        <w:rPr>
          <w:rFonts w:ascii="FangSong" w:hAnsi="FangSong" w:eastAsia="FangSong" w:cs="FangSong"/>
          <w:sz w:val="24"/>
          <w:szCs w:val="24"/>
        </w:rPr>
        <w:t>噪声排放标准》（</w:t>
      </w:r>
      <w:r>
        <w:rPr>
          <w:rFonts w:ascii="Times New Roman" w:hAnsi="Times New Roman" w:eastAsia="Times New Roman" w:cs="Times New Roman"/>
          <w:sz w:val="24"/>
          <w:szCs w:val="24"/>
        </w:rPr>
        <w:t>GB12348-2008</w:t>
      </w:r>
      <w:r>
        <w:rPr>
          <w:rFonts w:ascii="FangSong" w:hAnsi="FangSong" w:eastAsia="FangSong" w:cs="FangSong"/>
          <w:sz w:val="24"/>
          <w:szCs w:val="24"/>
        </w:rPr>
        <w:t>）</w:t>
      </w:r>
      <w:r>
        <w:rPr>
          <w:rFonts w:ascii="FangSong" w:hAnsi="FangSong" w:eastAsia="FangSong" w:cs="FangSong"/>
          <w:sz w:val="24"/>
          <w:szCs w:val="24"/>
          <w:spacing w:val="-66"/>
        </w:rPr>
        <w:t xml:space="preserve"> </w:t>
      </w:r>
      <w:r>
        <w:rPr>
          <w:rFonts w:ascii="FangSong" w:hAnsi="FangSong" w:eastAsia="FangSong" w:cs="FangSong"/>
          <w:sz w:val="24"/>
          <w:szCs w:val="24"/>
        </w:rPr>
        <w:t>中的</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rPr>
        <w:t>类标准要</w:t>
      </w:r>
      <w:r>
        <w:rPr>
          <w:rFonts w:ascii="FangSong" w:hAnsi="FangSong" w:eastAsia="FangSong" w:cs="FangSong"/>
          <w:sz w:val="24"/>
          <w:szCs w:val="24"/>
          <w:spacing w:val="-1"/>
        </w:rPr>
        <w:t>求，因此，本项目各类设备</w:t>
      </w:r>
      <w:r>
        <w:rPr>
          <w:rFonts w:ascii="FangSong" w:hAnsi="FangSong" w:eastAsia="FangSong" w:cs="FangSong"/>
          <w:sz w:val="24"/>
          <w:szCs w:val="24"/>
          <w:spacing w:val="-2"/>
        </w:rPr>
        <w:t>噪声对周围环境影响较小。</w:t>
      </w:r>
    </w:p>
    <w:p>
      <w:pPr>
        <w:ind w:left="29"/>
        <w:spacing w:before="1" w:line="220" w:lineRule="auto"/>
        <w:outlineLvl w:val="2"/>
        <w:rPr>
          <w:rFonts w:ascii="FangSong" w:hAnsi="FangSong" w:eastAsia="FangSong" w:cs="FangSong"/>
          <w:sz w:val="24"/>
          <w:szCs w:val="24"/>
        </w:rPr>
      </w:pPr>
      <w:bookmarkStart w:name="bookmark479" w:id="635"/>
      <w:bookmarkEnd w:id="635"/>
      <w:bookmarkStart w:name="bookmark478" w:id="636"/>
      <w:bookmarkEnd w:id="636"/>
      <w:r>
        <w:rPr>
          <w:rFonts w:ascii="Times New Roman" w:hAnsi="Times New Roman" w:eastAsia="Times New Roman" w:cs="Times New Roman"/>
          <w:sz w:val="24"/>
          <w:szCs w:val="24"/>
          <w:b/>
          <w:bCs/>
          <w:spacing w:val="-8"/>
        </w:rPr>
        <w:t>11.4.4</w:t>
      </w:r>
      <w:r>
        <w:rPr>
          <w:rFonts w:ascii="Times New Roman" w:hAnsi="Times New Roman" w:eastAsia="Times New Roman" w:cs="Times New Roman"/>
          <w:sz w:val="24"/>
          <w:szCs w:val="24"/>
          <w:b/>
          <w:bCs/>
          <w:spacing w:val="20"/>
        </w:rPr>
        <w:t xml:space="preserve">  </w:t>
      </w:r>
      <w:r>
        <w:rPr>
          <w:rFonts w:ascii="FangSong" w:hAnsi="FangSong" w:eastAsia="FangSong" w:cs="FangSong"/>
          <w:sz w:val="24"/>
          <w:szCs w:val="24"/>
          <w:b/>
          <w:bCs/>
          <w:spacing w:val="-8"/>
        </w:rPr>
        <w:t>固体废物</w:t>
      </w:r>
    </w:p>
    <w:p>
      <w:pPr>
        <w:ind w:left="29" w:firstLine="480"/>
        <w:spacing w:before="180" w:line="360" w:lineRule="auto"/>
        <w:jc w:val="both"/>
        <w:rPr>
          <w:rFonts w:ascii="FangSong" w:hAnsi="FangSong" w:eastAsia="FangSong" w:cs="FangSong"/>
          <w:sz w:val="24"/>
          <w:szCs w:val="24"/>
        </w:rPr>
      </w:pPr>
      <w:r>
        <w:rPr>
          <w:rFonts w:ascii="FangSong" w:hAnsi="FangSong" w:eastAsia="FangSong" w:cs="FangSong"/>
          <w:sz w:val="24"/>
          <w:szCs w:val="24"/>
          <w:spacing w:val="-3"/>
        </w:rPr>
        <w:t>项目产生的固体废物主要包括一般工业固体废</w:t>
      </w:r>
      <w:r>
        <w:rPr>
          <w:rFonts w:ascii="FangSong" w:hAnsi="FangSong" w:eastAsia="FangSong" w:cs="FangSong"/>
          <w:sz w:val="24"/>
          <w:szCs w:val="24"/>
          <w:spacing w:val="-4"/>
        </w:rPr>
        <w:t>物、危险废物和生活垃圾及餐</w:t>
      </w:r>
      <w:r>
        <w:rPr>
          <w:rFonts w:ascii="FangSong" w:hAnsi="FangSong" w:eastAsia="FangSong" w:cs="FangSong"/>
          <w:sz w:val="24"/>
          <w:szCs w:val="24"/>
          <w:spacing w:val="-7"/>
        </w:rPr>
        <w:t>厨垃圾（含废油脂</w:t>
      </w:r>
      <w:r>
        <w:rPr>
          <w:rFonts w:ascii="FangSong" w:hAnsi="FangSong" w:eastAsia="FangSong" w:cs="FangSong"/>
          <w:sz w:val="24"/>
          <w:szCs w:val="24"/>
          <w:spacing w:val="-18"/>
        </w:rPr>
        <w:t>），</w:t>
      </w:r>
      <w:r>
        <w:rPr>
          <w:rFonts w:ascii="FangSong" w:hAnsi="FangSong" w:eastAsia="FangSong" w:cs="FangSong"/>
          <w:sz w:val="24"/>
          <w:szCs w:val="24"/>
          <w:spacing w:val="-7"/>
        </w:rPr>
        <w:t>一般工业固体废物为采矿废石、污泥、尾矿、布袋除尘灰、</w:t>
      </w:r>
      <w:r>
        <w:rPr>
          <w:rFonts w:ascii="FangSong" w:hAnsi="FangSong" w:eastAsia="FangSong" w:cs="FangSong"/>
          <w:sz w:val="24"/>
          <w:szCs w:val="24"/>
          <w:spacing w:val="-1"/>
        </w:rPr>
        <w:t>废布袋；危险废物主要为含油抹布及劳保用品、废机油及废油桶</w:t>
      </w:r>
    </w:p>
    <w:p>
      <w:pPr>
        <w:ind w:left="514"/>
        <w:spacing w:line="223"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）生活垃圾、餐厨垃圾（含废油脂）</w:t>
      </w:r>
    </w:p>
    <w:p>
      <w:pPr>
        <w:ind w:left="30" w:right="76" w:firstLine="480"/>
        <w:spacing w:before="178" w:line="360" w:lineRule="auto"/>
        <w:rPr>
          <w:rFonts w:ascii="FangSong" w:hAnsi="FangSong" w:eastAsia="FangSong" w:cs="FangSong"/>
          <w:sz w:val="24"/>
          <w:szCs w:val="24"/>
        </w:rPr>
      </w:pPr>
      <w:r>
        <w:rPr>
          <w:rFonts w:ascii="FangSong" w:hAnsi="FangSong" w:eastAsia="FangSong" w:cs="FangSong"/>
          <w:sz w:val="24"/>
          <w:szCs w:val="24"/>
          <w:spacing w:val="-3"/>
        </w:rPr>
        <w:t>对矿区办公生活区产生的生活垃圾采用垃圾</w:t>
      </w:r>
      <w:r>
        <w:rPr>
          <w:rFonts w:ascii="FangSong" w:hAnsi="FangSong" w:eastAsia="FangSong" w:cs="FangSong"/>
          <w:sz w:val="24"/>
          <w:szCs w:val="24"/>
          <w:spacing w:val="-4"/>
        </w:rPr>
        <w:t>桶收集，集中收集后定期交由当</w:t>
      </w:r>
      <w:r>
        <w:rPr>
          <w:rFonts w:ascii="FangSong" w:hAnsi="FangSong" w:eastAsia="FangSong" w:cs="FangSong"/>
          <w:sz w:val="24"/>
          <w:szCs w:val="24"/>
          <w:spacing w:val="-3"/>
        </w:rPr>
        <w:t>地环卫部门统一处理；餐厨垃圾（含废油脂）集中密闭桶装收集</w:t>
      </w:r>
      <w:r>
        <w:rPr>
          <w:rFonts w:ascii="FangSong" w:hAnsi="FangSong" w:eastAsia="FangSong" w:cs="FangSong"/>
          <w:sz w:val="24"/>
          <w:szCs w:val="24"/>
          <w:spacing w:val="-4"/>
        </w:rPr>
        <w:t>，定期交由有资</w:t>
      </w:r>
      <w:r>
        <w:rPr>
          <w:rFonts w:ascii="FangSong" w:hAnsi="FangSong" w:eastAsia="FangSong" w:cs="FangSong"/>
          <w:sz w:val="24"/>
          <w:szCs w:val="24"/>
          <w:spacing w:val="-3"/>
        </w:rPr>
        <w:t>质的单位处理。</w:t>
      </w:r>
    </w:p>
    <w:p>
      <w:pPr>
        <w:ind w:left="514"/>
        <w:spacing w:before="2"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）一般工业固体废物</w:t>
      </w:r>
    </w:p>
    <w:p>
      <w:pPr>
        <w:ind w:left="29" w:right="76" w:firstLine="481"/>
        <w:spacing w:before="180" w:line="360" w:lineRule="auto"/>
        <w:rPr>
          <w:rFonts w:ascii="FangSong" w:hAnsi="FangSong" w:eastAsia="FangSong" w:cs="FangSong"/>
          <w:sz w:val="24"/>
          <w:szCs w:val="24"/>
        </w:rPr>
      </w:pPr>
      <w:r>
        <w:rPr>
          <w:rFonts w:ascii="FangSong" w:hAnsi="FangSong" w:eastAsia="FangSong" w:cs="FangSong"/>
          <w:sz w:val="24"/>
          <w:szCs w:val="24"/>
          <w:spacing w:val="-3"/>
        </w:rPr>
        <w:t>采矿废石不出坑，直接充填至井下采空区；</w:t>
      </w:r>
      <w:r>
        <w:rPr>
          <w:rFonts w:ascii="FangSong" w:hAnsi="FangSong" w:eastAsia="FangSong" w:cs="FangSong"/>
          <w:sz w:val="24"/>
          <w:szCs w:val="24"/>
          <w:spacing w:val="-4"/>
        </w:rPr>
        <w:t>各沉淀池产生的污泥直接返回选</w:t>
      </w:r>
      <w:r>
        <w:rPr>
          <w:rFonts w:ascii="FangSong" w:hAnsi="FangSong" w:eastAsia="FangSong" w:cs="FangSong"/>
          <w:sz w:val="24"/>
          <w:szCs w:val="24"/>
          <w:spacing w:val="-3"/>
        </w:rPr>
        <w:t>矿工序作原料；产生的尾矿经浓缩过滤脱水后临时堆存在尾矿临时</w:t>
      </w:r>
      <w:r>
        <w:rPr>
          <w:rFonts w:ascii="FangSong" w:hAnsi="FangSong" w:eastAsia="FangSong" w:cs="FangSong"/>
          <w:sz w:val="24"/>
          <w:szCs w:val="24"/>
          <w:spacing w:val="-4"/>
        </w:rPr>
        <w:t>堆场，优先用</w:t>
      </w:r>
      <w:r>
        <w:rPr>
          <w:rFonts w:ascii="FangSong" w:hAnsi="FangSong" w:eastAsia="FangSong" w:cs="FangSong"/>
          <w:sz w:val="24"/>
          <w:szCs w:val="24"/>
          <w:spacing w:val="-3"/>
        </w:rPr>
        <w:t>于回填井下采空区，剩余外售至建材生产企业生产建材；布袋除尘</w:t>
      </w:r>
      <w:r>
        <w:rPr>
          <w:rFonts w:ascii="FangSong" w:hAnsi="FangSong" w:eastAsia="FangSong" w:cs="FangSong"/>
          <w:sz w:val="24"/>
          <w:szCs w:val="24"/>
          <w:spacing w:val="-4"/>
        </w:rPr>
        <w:t>灰全部返回磨</w:t>
      </w:r>
      <w:r>
        <w:rPr>
          <w:rFonts w:ascii="FangSong" w:hAnsi="FangSong" w:eastAsia="FangSong" w:cs="FangSong"/>
          <w:sz w:val="24"/>
          <w:szCs w:val="24"/>
          <w:spacing w:val="-1"/>
        </w:rPr>
        <w:t>浮工序作原料，废布袋收集后交由厂家回收处理。</w:t>
      </w:r>
    </w:p>
    <w:p>
      <w:pPr>
        <w:ind w:left="514"/>
        <w:spacing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）危险废物</w:t>
      </w:r>
    </w:p>
    <w:p>
      <w:pPr>
        <w:ind w:left="27" w:right="76" w:firstLine="483"/>
        <w:spacing w:before="182" w:line="360" w:lineRule="auto"/>
        <w:rPr>
          <w:rFonts w:ascii="FangSong" w:hAnsi="FangSong" w:eastAsia="FangSong" w:cs="FangSong"/>
          <w:sz w:val="24"/>
          <w:szCs w:val="24"/>
        </w:rPr>
      </w:pPr>
      <w:r>
        <w:rPr>
          <w:rFonts w:ascii="FangSong" w:hAnsi="FangSong" w:eastAsia="FangSong" w:cs="FangSong"/>
          <w:sz w:val="24"/>
          <w:szCs w:val="24"/>
          <w:spacing w:val="-3"/>
        </w:rPr>
        <w:t>项目机修过程中有含油抹布及劳保用品、废机</w:t>
      </w:r>
      <w:r>
        <w:rPr>
          <w:rFonts w:ascii="FangSong" w:hAnsi="FangSong" w:eastAsia="FangSong" w:cs="FangSong"/>
          <w:sz w:val="24"/>
          <w:szCs w:val="24"/>
          <w:spacing w:val="-4"/>
        </w:rPr>
        <w:t>油及废油桶产生，废机油密封</w:t>
      </w:r>
      <w:r>
        <w:rPr>
          <w:rFonts w:ascii="FangSong" w:hAnsi="FangSong" w:eastAsia="FangSong" w:cs="FangSong"/>
          <w:sz w:val="24"/>
          <w:szCs w:val="24"/>
          <w:spacing w:val="-3"/>
        </w:rPr>
        <w:t>桶装、含油抹布及劳保用品密封袋装后，集中暂存于危险废物贮存点内，</w:t>
      </w:r>
      <w:r>
        <w:rPr>
          <w:rFonts w:ascii="FangSong" w:hAnsi="FangSong" w:eastAsia="FangSong" w:cs="FangSong"/>
          <w:sz w:val="24"/>
          <w:szCs w:val="24"/>
          <w:spacing w:val="-4"/>
        </w:rPr>
        <w:t>定期送</w:t>
      </w:r>
      <w:r>
        <w:rPr>
          <w:rFonts w:ascii="FangSong" w:hAnsi="FangSong" w:eastAsia="FangSong" w:cs="FangSong"/>
          <w:sz w:val="24"/>
          <w:szCs w:val="24"/>
          <w:spacing w:val="-1"/>
        </w:rPr>
        <w:t>有危险废物处理资质的单位进行处理</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处置。</w:t>
      </w:r>
    </w:p>
    <w:p>
      <w:pPr>
        <w:spacing w:line="360" w:lineRule="auto"/>
        <w:sectPr>
          <w:footerReference w:type="default" r:id="rId409"/>
          <w:pgSz w:w="11906" w:h="16839"/>
          <w:pgMar w:top="400" w:right="1723" w:bottom="1358" w:left="1785" w:header="0" w:footer="1195" w:gutter="0"/>
        </w:sectPr>
        <w:rPr>
          <w:rFonts w:ascii="FangSong" w:hAnsi="FangSong" w:eastAsia="FangSong" w:cs="FangSong"/>
          <w:sz w:val="24"/>
          <w:szCs w:val="24"/>
        </w:rPr>
      </w:pP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32"/>
        <w:spacing w:before="91" w:line="221" w:lineRule="auto"/>
        <w:outlineLvl w:val="1"/>
        <w:rPr>
          <w:rFonts w:ascii="FangSong" w:hAnsi="FangSong" w:eastAsia="FangSong" w:cs="FangSong"/>
          <w:sz w:val="28"/>
          <w:szCs w:val="28"/>
        </w:rPr>
      </w:pPr>
      <w:bookmarkStart w:name="bookmark481" w:id="637"/>
      <w:bookmarkEnd w:id="637"/>
      <w:bookmarkStart w:name="bookmark480" w:id="638"/>
      <w:bookmarkEnd w:id="638"/>
      <w:r>
        <w:rPr>
          <w:rFonts w:ascii="Times New Roman" w:hAnsi="Times New Roman" w:eastAsia="Times New Roman" w:cs="Times New Roman"/>
          <w:sz w:val="28"/>
          <w:szCs w:val="28"/>
          <w:b/>
          <w:bCs/>
          <w:spacing w:val="-6"/>
        </w:rPr>
        <w:t>11.5</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6"/>
        </w:rPr>
        <w:t>生态影响分析与恢复措施</w:t>
      </w:r>
    </w:p>
    <w:p>
      <w:pPr>
        <w:ind w:left="29" w:right="26" w:firstLine="481"/>
        <w:spacing w:before="230" w:line="360" w:lineRule="auto"/>
        <w:jc w:val="both"/>
        <w:rPr>
          <w:rFonts w:ascii="FangSong" w:hAnsi="FangSong" w:eastAsia="FangSong" w:cs="FangSong"/>
          <w:sz w:val="24"/>
          <w:szCs w:val="24"/>
        </w:rPr>
      </w:pPr>
      <w:r>
        <w:rPr>
          <w:rFonts w:ascii="FangSong" w:hAnsi="FangSong" w:eastAsia="FangSong" w:cs="FangSong"/>
          <w:sz w:val="24"/>
          <w:szCs w:val="24"/>
          <w:spacing w:val="-3"/>
        </w:rPr>
        <w:t>本项目建设对生态环境造成的影响主要包括以</w:t>
      </w:r>
      <w:r>
        <w:rPr>
          <w:rFonts w:ascii="FangSong" w:hAnsi="FangSong" w:eastAsia="FangSong" w:cs="FangSong"/>
          <w:sz w:val="24"/>
          <w:szCs w:val="24"/>
          <w:spacing w:val="-4"/>
        </w:rPr>
        <w:t>下几方面：植被破坏、土壤生</w:t>
      </w:r>
      <w:r>
        <w:rPr>
          <w:rFonts w:ascii="FangSong" w:hAnsi="FangSong" w:eastAsia="FangSong" w:cs="FangSong"/>
          <w:sz w:val="24"/>
          <w:szCs w:val="24"/>
          <w:spacing w:val="-3"/>
        </w:rPr>
        <w:t>产力破坏水土流失、生物量减少及土地利用方式改变等。工程建设主</w:t>
      </w:r>
      <w:r>
        <w:rPr>
          <w:rFonts w:ascii="FangSong" w:hAnsi="FangSong" w:eastAsia="FangSong" w:cs="FangSong"/>
          <w:sz w:val="24"/>
          <w:szCs w:val="24"/>
          <w:spacing w:val="-4"/>
        </w:rPr>
        <w:t>要包括工业</w:t>
      </w:r>
      <w:r>
        <w:rPr>
          <w:rFonts w:ascii="FangSong" w:hAnsi="FangSong" w:eastAsia="FangSong" w:cs="FangSong"/>
          <w:sz w:val="24"/>
          <w:szCs w:val="24"/>
          <w:spacing w:val="-1"/>
        </w:rPr>
        <w:t>广场、办公生活区、矿区道路建设等总占地面积</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2"/>
        </w:rPr>
        <w:t>.2203hm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，主要占地类型为天</w:t>
      </w:r>
      <w:r>
        <w:rPr>
          <w:rFonts w:ascii="FangSong" w:hAnsi="FangSong" w:eastAsia="FangSong" w:cs="FangSong"/>
          <w:sz w:val="24"/>
          <w:szCs w:val="24"/>
          <w:spacing w:val="-2"/>
        </w:rPr>
        <w:t>然牧草地。施工期加强施工管理，尽量少占地、少破坏植被，并采取工程措施、</w:t>
      </w:r>
      <w:r>
        <w:rPr>
          <w:rFonts w:ascii="FangSong" w:hAnsi="FangSong" w:eastAsia="FangSong" w:cs="FangSong"/>
          <w:sz w:val="24"/>
          <w:szCs w:val="24"/>
          <w:spacing w:val="-3"/>
        </w:rPr>
        <w:t>植物措施和管理措施，使生态破坏和水土流失得到有效控制；运营期</w:t>
      </w:r>
      <w:r>
        <w:rPr>
          <w:rFonts w:ascii="FangSong" w:hAnsi="FangSong" w:eastAsia="FangSong" w:cs="FangSong"/>
          <w:sz w:val="24"/>
          <w:szCs w:val="24"/>
          <w:spacing w:val="-4"/>
        </w:rPr>
        <w:t>加强生态保</w:t>
      </w:r>
      <w:r>
        <w:rPr>
          <w:rFonts w:ascii="FangSong" w:hAnsi="FangSong" w:eastAsia="FangSong" w:cs="FangSong"/>
          <w:sz w:val="24"/>
          <w:szCs w:val="24"/>
          <w:spacing w:val="-3"/>
        </w:rPr>
        <w:t>护等管理措施，废石、尾矿及时回填，场地绿化，地面及时清扫等；</w:t>
      </w:r>
      <w:r>
        <w:rPr>
          <w:rFonts w:ascii="FangSong" w:hAnsi="FangSong" w:eastAsia="FangSong" w:cs="FangSong"/>
          <w:sz w:val="24"/>
          <w:szCs w:val="24"/>
          <w:spacing w:val="-4"/>
        </w:rPr>
        <w:t>闭矿期场地</w:t>
      </w:r>
      <w:r>
        <w:rPr>
          <w:rFonts w:ascii="FangSong" w:hAnsi="FangSong" w:eastAsia="FangSong" w:cs="FangSong"/>
          <w:sz w:val="24"/>
          <w:szCs w:val="24"/>
          <w:spacing w:val="-3"/>
        </w:rPr>
        <w:t>内所有设施拆除，对工业广场、矿区道路等进行平整后覆土、恢复植</w:t>
      </w:r>
      <w:r>
        <w:rPr>
          <w:rFonts w:ascii="FangSong" w:hAnsi="FangSong" w:eastAsia="FangSong" w:cs="FangSong"/>
          <w:sz w:val="24"/>
          <w:szCs w:val="24"/>
          <w:spacing w:val="-4"/>
        </w:rPr>
        <w:t>被各治理区</w:t>
      </w:r>
      <w:r>
        <w:rPr>
          <w:rFonts w:ascii="FangSong" w:hAnsi="FangSong" w:eastAsia="FangSong" w:cs="FangSong"/>
          <w:sz w:val="24"/>
          <w:szCs w:val="24"/>
          <w:spacing w:val="-1"/>
        </w:rPr>
        <w:t>域生态恢复全部采用乡土物种植被。</w:t>
      </w:r>
    </w:p>
    <w:p>
      <w:pPr>
        <w:ind w:left="29" w:right="76" w:firstLine="484"/>
        <w:spacing w:before="4" w:line="359" w:lineRule="auto"/>
        <w:jc w:val="both"/>
        <w:rPr>
          <w:rFonts w:ascii="FangSong" w:hAnsi="FangSong" w:eastAsia="FangSong" w:cs="FangSong"/>
          <w:sz w:val="24"/>
          <w:szCs w:val="24"/>
        </w:rPr>
      </w:pPr>
      <w:r>
        <w:rPr>
          <w:rFonts w:ascii="FangSong" w:hAnsi="FangSong" w:eastAsia="FangSong" w:cs="FangSong"/>
          <w:sz w:val="24"/>
          <w:szCs w:val="24"/>
          <w:spacing w:val="-2"/>
        </w:rPr>
        <w:t>通过上述措施后，工程闭矿恢复期满后，复垦土地（面积</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2"/>
        </w:rPr>
        <w:t>7.2203hm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）全部</w:t>
      </w:r>
      <w:r>
        <w:rPr>
          <w:rFonts w:ascii="FangSong" w:hAnsi="FangSong" w:eastAsia="FangSong" w:cs="FangSong"/>
          <w:sz w:val="24"/>
          <w:szCs w:val="24"/>
          <w:spacing w:val="-2"/>
        </w:rPr>
        <w:t>复垦为牧草地，土地复垦率为</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2"/>
        </w:rPr>
        <w:t>100%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。通过上述措施后，项目建设对</w:t>
      </w:r>
      <w:r>
        <w:rPr>
          <w:rFonts w:ascii="FangSong" w:hAnsi="FangSong" w:eastAsia="FangSong" w:cs="FangSong"/>
          <w:sz w:val="24"/>
          <w:szCs w:val="24"/>
          <w:spacing w:val="-3"/>
        </w:rPr>
        <w:t>区域土地利</w:t>
      </w:r>
      <w:r>
        <w:rPr>
          <w:rFonts w:ascii="FangSong" w:hAnsi="FangSong" w:eastAsia="FangSong" w:cs="FangSong"/>
          <w:sz w:val="24"/>
          <w:szCs w:val="24"/>
          <w:spacing w:val="-3"/>
        </w:rPr>
        <w:t>用格局、植被生物量及生产能力、景观等影响较小，项目对生态环</w:t>
      </w:r>
      <w:r>
        <w:rPr>
          <w:rFonts w:ascii="FangSong" w:hAnsi="FangSong" w:eastAsia="FangSong" w:cs="FangSong"/>
          <w:sz w:val="24"/>
          <w:szCs w:val="24"/>
          <w:spacing w:val="-4"/>
        </w:rPr>
        <w:t>境的影响程度</w:t>
      </w:r>
      <w:r>
        <w:rPr>
          <w:rFonts w:ascii="FangSong" w:hAnsi="FangSong" w:eastAsia="FangSong" w:cs="FangSong"/>
          <w:sz w:val="24"/>
          <w:szCs w:val="24"/>
          <w:spacing w:val="-2"/>
        </w:rPr>
        <w:t>在可接受范围内。</w:t>
      </w:r>
    </w:p>
    <w:p>
      <w:pPr>
        <w:ind w:left="32"/>
        <w:spacing w:before="59" w:line="223" w:lineRule="auto"/>
        <w:outlineLvl w:val="1"/>
        <w:rPr>
          <w:rFonts w:ascii="FangSong" w:hAnsi="FangSong" w:eastAsia="FangSong" w:cs="FangSong"/>
          <w:sz w:val="28"/>
          <w:szCs w:val="28"/>
        </w:rPr>
      </w:pPr>
      <w:bookmarkStart w:name="bookmark483" w:id="639"/>
      <w:bookmarkEnd w:id="639"/>
      <w:bookmarkStart w:name="bookmark482" w:id="640"/>
      <w:bookmarkEnd w:id="640"/>
      <w:r>
        <w:rPr>
          <w:rFonts w:ascii="Times New Roman" w:hAnsi="Times New Roman" w:eastAsia="Times New Roman" w:cs="Times New Roman"/>
          <w:sz w:val="28"/>
          <w:szCs w:val="28"/>
          <w:b/>
          <w:bCs/>
          <w:spacing w:val="-4"/>
        </w:rPr>
        <w:t>11.6  </w:t>
      </w:r>
      <w:r>
        <w:rPr>
          <w:rFonts w:ascii="FangSong" w:hAnsi="FangSong" w:eastAsia="FangSong" w:cs="FangSong"/>
          <w:sz w:val="28"/>
          <w:szCs w:val="28"/>
          <w:b/>
          <w:bCs/>
          <w:spacing w:val="-4"/>
        </w:rPr>
        <w:t>环境风险评价结论</w:t>
      </w:r>
    </w:p>
    <w:p>
      <w:pPr>
        <w:ind w:left="29" w:right="76" w:firstLine="480"/>
        <w:spacing w:before="230" w:line="360" w:lineRule="auto"/>
        <w:jc w:val="both"/>
        <w:rPr>
          <w:rFonts w:ascii="FangSong" w:hAnsi="FangSong" w:eastAsia="FangSong" w:cs="FangSong"/>
          <w:sz w:val="24"/>
          <w:szCs w:val="24"/>
        </w:rPr>
      </w:pPr>
      <w:r>
        <w:rPr>
          <w:rFonts w:ascii="FangSong" w:hAnsi="FangSong" w:eastAsia="FangSong" w:cs="FangSong"/>
          <w:sz w:val="24"/>
          <w:szCs w:val="24"/>
          <w:spacing w:val="-3"/>
        </w:rPr>
        <w:t>企业在严格落实本次评价提出的各项环境风险</w:t>
      </w:r>
      <w:r>
        <w:rPr>
          <w:rFonts w:ascii="FangSong" w:hAnsi="FangSong" w:eastAsia="FangSong" w:cs="FangSong"/>
          <w:sz w:val="24"/>
          <w:szCs w:val="24"/>
          <w:spacing w:val="-4"/>
        </w:rPr>
        <w:t>防控措施的情况下，发生风险</w:t>
      </w:r>
      <w:r>
        <w:rPr>
          <w:rFonts w:ascii="FangSong" w:hAnsi="FangSong" w:eastAsia="FangSong" w:cs="FangSong"/>
          <w:sz w:val="24"/>
          <w:szCs w:val="24"/>
          <w:spacing w:val="-3"/>
        </w:rPr>
        <w:t>事故概率较小，项目环境风险可防可控。本次评价建议项目运营过</w:t>
      </w:r>
      <w:r>
        <w:rPr>
          <w:rFonts w:ascii="FangSong" w:hAnsi="FangSong" w:eastAsia="FangSong" w:cs="FangSong"/>
          <w:sz w:val="24"/>
          <w:szCs w:val="24"/>
          <w:spacing w:val="-4"/>
        </w:rPr>
        <w:t>程应加强危险</w:t>
      </w:r>
      <w:r>
        <w:rPr>
          <w:rFonts w:ascii="FangSong" w:hAnsi="FangSong" w:eastAsia="FangSong" w:cs="FangSong"/>
          <w:sz w:val="24"/>
          <w:szCs w:val="24"/>
          <w:spacing w:val="-3"/>
        </w:rPr>
        <w:t>物料管理、完善安全生产制度、系统排查工程存在的环境风险，杜</w:t>
      </w:r>
      <w:r>
        <w:rPr>
          <w:rFonts w:ascii="FangSong" w:hAnsi="FangSong" w:eastAsia="FangSong" w:cs="FangSong"/>
          <w:sz w:val="24"/>
          <w:szCs w:val="24"/>
          <w:spacing w:val="-4"/>
        </w:rPr>
        <w:t>绝环境风险事</w:t>
      </w:r>
      <w:r>
        <w:rPr>
          <w:rFonts w:ascii="FangSong" w:hAnsi="FangSong" w:eastAsia="FangSong" w:cs="FangSong"/>
          <w:sz w:val="24"/>
          <w:szCs w:val="24"/>
          <w:spacing w:val="-3"/>
        </w:rPr>
        <w:t>故发生。当出现事故时，要采取紧急的工程应对措施，如有必要，</w:t>
      </w:r>
      <w:r>
        <w:rPr>
          <w:rFonts w:ascii="FangSong" w:hAnsi="FangSong" w:eastAsia="FangSong" w:cs="FangSong"/>
          <w:sz w:val="24"/>
          <w:szCs w:val="24"/>
          <w:spacing w:val="-4"/>
        </w:rPr>
        <w:t>应采取社会应</w:t>
      </w:r>
      <w:r>
        <w:rPr>
          <w:rFonts w:ascii="FangSong" w:hAnsi="FangSong" w:eastAsia="FangSong" w:cs="FangSong"/>
          <w:sz w:val="24"/>
          <w:szCs w:val="24"/>
          <w:spacing w:val="-3"/>
        </w:rPr>
        <w:t>急措施，并根据实时情况和事故种类确定人群疏散范围，以控制事</w:t>
      </w:r>
      <w:r>
        <w:rPr>
          <w:rFonts w:ascii="FangSong" w:hAnsi="FangSong" w:eastAsia="FangSong" w:cs="FangSong"/>
          <w:sz w:val="24"/>
          <w:szCs w:val="24"/>
          <w:spacing w:val="-4"/>
        </w:rPr>
        <w:t>故和减少对环</w:t>
      </w:r>
      <w:r>
        <w:rPr>
          <w:rFonts w:ascii="FangSong" w:hAnsi="FangSong" w:eastAsia="FangSong" w:cs="FangSong"/>
          <w:sz w:val="24"/>
          <w:szCs w:val="24"/>
          <w:spacing w:val="-3"/>
        </w:rPr>
        <w:t>境造成的危害。</w:t>
      </w:r>
    </w:p>
    <w:p>
      <w:pPr>
        <w:ind w:left="32"/>
        <w:spacing w:before="55" w:line="223" w:lineRule="auto"/>
        <w:outlineLvl w:val="1"/>
        <w:rPr>
          <w:rFonts w:ascii="FangSong" w:hAnsi="FangSong" w:eastAsia="FangSong" w:cs="FangSong"/>
          <w:sz w:val="28"/>
          <w:szCs w:val="28"/>
        </w:rPr>
      </w:pPr>
      <w:bookmarkStart w:name="bookmark485" w:id="641"/>
      <w:bookmarkEnd w:id="641"/>
      <w:bookmarkStart w:name="bookmark484" w:id="642"/>
      <w:bookmarkEnd w:id="642"/>
      <w:r>
        <w:rPr>
          <w:rFonts w:ascii="Times New Roman" w:hAnsi="Times New Roman" w:eastAsia="Times New Roman" w:cs="Times New Roman"/>
          <w:sz w:val="28"/>
          <w:szCs w:val="28"/>
          <w:b/>
          <w:bCs/>
          <w:spacing w:val="-4"/>
        </w:rPr>
        <w:t>11.7  </w:t>
      </w:r>
      <w:r>
        <w:rPr>
          <w:rFonts w:ascii="FangSong" w:hAnsi="FangSong" w:eastAsia="FangSong" w:cs="FangSong"/>
          <w:sz w:val="28"/>
          <w:szCs w:val="28"/>
          <w:b/>
          <w:bCs/>
          <w:spacing w:val="-4"/>
        </w:rPr>
        <w:t>环境管理与监测评价结论</w:t>
      </w:r>
    </w:p>
    <w:p>
      <w:pPr>
        <w:ind w:left="30" w:firstLine="479"/>
        <w:spacing w:before="227" w:line="360" w:lineRule="auto"/>
        <w:jc w:val="both"/>
        <w:rPr>
          <w:rFonts w:ascii="FangSong" w:hAnsi="FangSong" w:eastAsia="FangSong" w:cs="FangSong"/>
          <w:sz w:val="24"/>
          <w:szCs w:val="24"/>
        </w:rPr>
      </w:pPr>
      <w:r>
        <w:rPr>
          <w:rFonts w:ascii="FangSong" w:hAnsi="FangSong" w:eastAsia="FangSong" w:cs="FangSong"/>
          <w:sz w:val="24"/>
          <w:szCs w:val="24"/>
          <w:spacing w:val="-3"/>
        </w:rPr>
        <w:t>建设单位设立环境管理办公室，负责项目环境管</w:t>
      </w:r>
      <w:r>
        <w:rPr>
          <w:rFonts w:ascii="FangSong" w:hAnsi="FangSong" w:eastAsia="FangSong" w:cs="FangSong"/>
          <w:sz w:val="24"/>
          <w:szCs w:val="24"/>
          <w:spacing w:val="-4"/>
        </w:rPr>
        <w:t>理事务，协助各级生态环境</w:t>
      </w:r>
      <w:r>
        <w:rPr>
          <w:rFonts w:ascii="FangSong" w:hAnsi="FangSong" w:eastAsia="FangSong" w:cs="FangSong"/>
          <w:sz w:val="24"/>
          <w:szCs w:val="24"/>
          <w:spacing w:val="-8"/>
        </w:rPr>
        <w:t>主管等部门对各阶段环境保护工作进行监督。根据与工程建设紧密结合、科学性、</w:t>
      </w:r>
      <w:r>
        <w:rPr>
          <w:rFonts w:ascii="FangSong" w:hAnsi="FangSong" w:eastAsia="FangSong" w:cs="FangSong"/>
          <w:sz w:val="24"/>
          <w:szCs w:val="24"/>
          <w:spacing w:val="-3"/>
        </w:rPr>
        <w:t>全面性、代表性和可行性的原则，结合工程建设区和区域环境特</w:t>
      </w:r>
      <w:r>
        <w:rPr>
          <w:rFonts w:ascii="FangSong" w:hAnsi="FangSong" w:eastAsia="FangSong" w:cs="FangSong"/>
          <w:sz w:val="24"/>
          <w:szCs w:val="24"/>
          <w:spacing w:val="-4"/>
        </w:rPr>
        <w:t>点，建立工业广</w:t>
      </w:r>
      <w:r>
        <w:rPr>
          <w:rFonts w:ascii="FangSong" w:hAnsi="FangSong" w:eastAsia="FangSong" w:cs="FangSong"/>
          <w:sz w:val="24"/>
          <w:szCs w:val="24"/>
          <w:spacing w:val="-3"/>
        </w:rPr>
        <w:t>场环境监测系统，包括水环境监测、大气环境监测、生态环境监</w:t>
      </w:r>
      <w:r>
        <w:rPr>
          <w:rFonts w:ascii="FangSong" w:hAnsi="FangSong" w:eastAsia="FangSong" w:cs="FangSong"/>
          <w:sz w:val="24"/>
          <w:szCs w:val="24"/>
          <w:spacing w:val="-4"/>
        </w:rPr>
        <w:t>测等，落实环境</w:t>
      </w:r>
      <w:r>
        <w:rPr>
          <w:rFonts w:ascii="FangSong" w:hAnsi="FangSong" w:eastAsia="FangSong" w:cs="FangSong"/>
          <w:sz w:val="24"/>
          <w:szCs w:val="24"/>
          <w:spacing w:val="-1"/>
        </w:rPr>
        <w:t>监测计划，对工程的环境影响起到一定的监督作用。</w:t>
      </w:r>
    </w:p>
    <w:p>
      <w:pPr>
        <w:ind w:left="32"/>
        <w:spacing w:before="59" w:line="223" w:lineRule="auto"/>
        <w:outlineLvl w:val="1"/>
        <w:rPr>
          <w:rFonts w:ascii="FangSong" w:hAnsi="FangSong" w:eastAsia="FangSong" w:cs="FangSong"/>
          <w:sz w:val="28"/>
          <w:szCs w:val="28"/>
        </w:rPr>
      </w:pPr>
      <w:bookmarkStart w:name="bookmark487" w:id="643"/>
      <w:bookmarkEnd w:id="643"/>
      <w:bookmarkStart w:name="bookmark486" w:id="644"/>
      <w:bookmarkEnd w:id="644"/>
      <w:r>
        <w:rPr>
          <w:rFonts w:ascii="Times New Roman" w:hAnsi="Times New Roman" w:eastAsia="Times New Roman" w:cs="Times New Roman"/>
          <w:sz w:val="28"/>
          <w:szCs w:val="28"/>
          <w:b/>
          <w:bCs/>
          <w:spacing w:val="-7"/>
        </w:rPr>
        <w:t>11.8</w:t>
      </w:r>
      <w:r>
        <w:rPr>
          <w:rFonts w:ascii="Times New Roman" w:hAnsi="Times New Roman" w:eastAsia="Times New Roman" w:cs="Times New Roman"/>
          <w:sz w:val="28"/>
          <w:szCs w:val="28"/>
          <w:b/>
          <w:bCs/>
          <w:spacing w:val="17"/>
        </w:rPr>
        <w:t xml:space="preserve">  </w:t>
      </w:r>
      <w:r>
        <w:rPr>
          <w:rFonts w:ascii="FangSong" w:hAnsi="FangSong" w:eastAsia="FangSong" w:cs="FangSong"/>
          <w:sz w:val="28"/>
          <w:szCs w:val="28"/>
          <w:b/>
          <w:bCs/>
          <w:spacing w:val="-7"/>
        </w:rPr>
        <w:t>公众参与评价结论</w:t>
      </w:r>
    </w:p>
    <w:p>
      <w:pPr>
        <w:spacing w:before="227" w:line="221" w:lineRule="auto"/>
        <w:jc w:val="right"/>
        <w:rPr>
          <w:rFonts w:ascii="FangSong" w:hAnsi="FangSong" w:eastAsia="FangSong" w:cs="FangSong"/>
          <w:sz w:val="24"/>
          <w:szCs w:val="24"/>
        </w:rPr>
      </w:pPr>
      <w:r>
        <w:rPr>
          <w:rFonts w:ascii="FangSong" w:hAnsi="FangSong" w:eastAsia="FangSong" w:cs="FangSong"/>
          <w:sz w:val="24"/>
          <w:szCs w:val="24"/>
          <w:spacing w:val="-3"/>
        </w:rPr>
        <w:t>根据《环境影响评价公众参与办法》（生态环境部部令第</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3"/>
        </w:rPr>
        <w:t>号）有关规定，</w:t>
      </w:r>
    </w:p>
    <w:p>
      <w:pPr>
        <w:spacing w:line="221" w:lineRule="auto"/>
        <w:sectPr>
          <w:footerReference w:type="default" r:id="rId410"/>
          <w:pgSz w:w="11906" w:h="16839"/>
          <w:pgMar w:top="400" w:right="1723" w:bottom="1358" w:left="1785" w:header="0" w:footer="1195" w:gutter="0"/>
        </w:sectPr>
        <w:rPr>
          <w:rFonts w:ascii="FangSong" w:hAnsi="FangSong" w:eastAsia="FangSong" w:cs="FangSong"/>
          <w:sz w:val="24"/>
          <w:szCs w:val="24"/>
        </w:rPr>
      </w:pP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30" w:right="131" w:hanging="1"/>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建设单位于</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3"/>
        </w:rPr>
        <w:t>2025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年</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月</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17  </w:t>
      </w:r>
      <w:r>
        <w:rPr>
          <w:rFonts w:ascii="FangSong" w:hAnsi="FangSong" w:eastAsia="FangSong" w:cs="FangSong"/>
          <w:sz w:val="24"/>
          <w:szCs w:val="24"/>
          <w:spacing w:val="-3"/>
        </w:rPr>
        <w:t>日在环评论坛网站上进行了网络信息公开，于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2025</w:t>
      </w:r>
      <w:r>
        <w:rPr>
          <w:rFonts w:ascii="FangSong" w:hAnsi="FangSong" w:eastAsia="FangSong" w:cs="FangSong"/>
          <w:sz w:val="24"/>
          <w:szCs w:val="24"/>
          <w:spacing w:val="-9"/>
        </w:rPr>
        <w:t>年</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9"/>
        </w:rPr>
        <w:t>10 </w:t>
      </w:r>
      <w:r>
        <w:rPr>
          <w:rFonts w:ascii="FangSong" w:hAnsi="FangSong" w:eastAsia="FangSong" w:cs="FangSong"/>
          <w:sz w:val="24"/>
          <w:szCs w:val="24"/>
          <w:spacing w:val="-9"/>
        </w:rPr>
        <w:t>月</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9"/>
        </w:rPr>
        <w:t>13</w:t>
      </w:r>
      <w:r>
        <w:rPr>
          <w:rFonts w:ascii="Times New Roman" w:hAnsi="Times New Roman" w:eastAsia="Times New Roman" w:cs="Times New Roman"/>
          <w:sz w:val="24"/>
          <w:szCs w:val="24"/>
          <w:spacing w:val="44"/>
          <w:w w:val="101"/>
        </w:rPr>
        <w:t xml:space="preserve"> </w:t>
      </w:r>
      <w:r>
        <w:rPr>
          <w:rFonts w:ascii="FangSong" w:hAnsi="FangSong" w:eastAsia="FangSong" w:cs="FangSong"/>
          <w:sz w:val="24"/>
          <w:szCs w:val="24"/>
          <w:spacing w:val="-9"/>
        </w:rPr>
        <w:t>日在环评论坛网站及报纸进行了网络信息二次公开，信息公开时限内，</w:t>
      </w:r>
      <w:r>
        <w:rPr>
          <w:rFonts w:ascii="FangSong" w:hAnsi="FangSong" w:eastAsia="FangSong" w:cs="FangSong"/>
          <w:sz w:val="24"/>
          <w:szCs w:val="24"/>
          <w:spacing w:val="-1"/>
        </w:rPr>
        <w:t>未接到咨询电话与邮件反馈。由此可见，本项目公众参与认同性较好。。</w:t>
      </w:r>
    </w:p>
    <w:p>
      <w:pPr>
        <w:ind w:left="32"/>
        <w:spacing w:before="58" w:line="223" w:lineRule="auto"/>
        <w:outlineLvl w:val="1"/>
        <w:rPr>
          <w:rFonts w:ascii="FangSong" w:hAnsi="FangSong" w:eastAsia="FangSong" w:cs="FangSong"/>
          <w:sz w:val="28"/>
          <w:szCs w:val="28"/>
        </w:rPr>
      </w:pPr>
      <w:bookmarkStart w:name="bookmark489" w:id="645"/>
      <w:bookmarkEnd w:id="645"/>
      <w:bookmarkStart w:name="bookmark488" w:id="646"/>
      <w:bookmarkEnd w:id="646"/>
      <w:r>
        <w:rPr>
          <w:rFonts w:ascii="Times New Roman" w:hAnsi="Times New Roman" w:eastAsia="Times New Roman" w:cs="Times New Roman"/>
          <w:sz w:val="28"/>
          <w:szCs w:val="28"/>
          <w:b/>
          <w:bCs/>
          <w:spacing w:val="-7"/>
        </w:rPr>
        <w:t>11.9</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7"/>
        </w:rPr>
        <w:t>综合评价结论</w:t>
      </w:r>
    </w:p>
    <w:p>
      <w:pPr>
        <w:ind w:left="30" w:firstLine="480"/>
        <w:spacing w:before="228" w:line="360" w:lineRule="auto"/>
        <w:jc w:val="both"/>
        <w:rPr>
          <w:rFonts w:ascii="FangSong" w:hAnsi="FangSong" w:eastAsia="FangSong" w:cs="FangSong"/>
          <w:sz w:val="24"/>
          <w:szCs w:val="24"/>
        </w:rPr>
      </w:pPr>
      <w:r>
        <w:rPr>
          <w:rFonts w:ascii="FangSong" w:hAnsi="FangSong" w:eastAsia="FangSong" w:cs="FangSong"/>
          <w:sz w:val="24"/>
          <w:szCs w:val="24"/>
          <w:spacing w:val="-5"/>
        </w:rPr>
        <w:t>本项目的实施符合国家和地方相关产业政策要求；评价区域内无自然保护区、</w:t>
      </w:r>
      <w:r>
        <w:rPr>
          <w:rFonts w:ascii="FangSong" w:hAnsi="FangSong" w:eastAsia="FangSong" w:cs="FangSong"/>
          <w:sz w:val="24"/>
          <w:szCs w:val="24"/>
          <w:spacing w:val="-3"/>
        </w:rPr>
        <w:t>珍稀动植物资源、饮用水源保护区；厂址周边具有可靠的资源开</w:t>
      </w:r>
      <w:r>
        <w:rPr>
          <w:rFonts w:ascii="FangSong" w:hAnsi="FangSong" w:eastAsia="FangSong" w:cs="FangSong"/>
          <w:sz w:val="24"/>
          <w:szCs w:val="24"/>
          <w:spacing w:val="-4"/>
        </w:rPr>
        <w:t>发保障和便利的</w:t>
      </w:r>
      <w:r>
        <w:rPr>
          <w:rFonts w:ascii="FangSong" w:hAnsi="FangSong" w:eastAsia="FangSong" w:cs="FangSong"/>
          <w:sz w:val="24"/>
          <w:szCs w:val="24"/>
          <w:spacing w:val="-3"/>
        </w:rPr>
        <w:t>交通运输条件。因此，项目周边条件具有综合优势，选址是合理</w:t>
      </w:r>
      <w:r>
        <w:rPr>
          <w:rFonts w:ascii="FangSong" w:hAnsi="FangSong" w:eastAsia="FangSong" w:cs="FangSong"/>
          <w:sz w:val="24"/>
          <w:szCs w:val="24"/>
          <w:spacing w:val="-4"/>
        </w:rPr>
        <w:t>的。工程采取了</w:t>
      </w:r>
      <w:r>
        <w:rPr>
          <w:rFonts w:ascii="FangSong" w:hAnsi="FangSong" w:eastAsia="FangSong" w:cs="FangSong"/>
          <w:sz w:val="24"/>
          <w:szCs w:val="24"/>
          <w:spacing w:val="-3"/>
        </w:rPr>
        <w:t>完善的环保治理措施，可以保证各类污染物达标排放，不会对周</w:t>
      </w:r>
      <w:r>
        <w:rPr>
          <w:rFonts w:ascii="FangSong" w:hAnsi="FangSong" w:eastAsia="FangSong" w:cs="FangSong"/>
          <w:sz w:val="24"/>
          <w:szCs w:val="24"/>
          <w:spacing w:val="-4"/>
        </w:rPr>
        <w:t>围环境产生明显</w:t>
      </w:r>
      <w:r>
        <w:rPr>
          <w:rFonts w:ascii="FangSong" w:hAnsi="FangSong" w:eastAsia="FangSong" w:cs="FangSong"/>
          <w:sz w:val="24"/>
          <w:szCs w:val="24"/>
          <w:spacing w:val="-1"/>
        </w:rPr>
        <w:t>影响。因此，从环境保护角度讲，该项目的建设是可行的。</w:t>
      </w:r>
    </w:p>
    <w:p>
      <w:pPr>
        <w:ind w:left="32"/>
        <w:spacing w:before="57" w:line="225" w:lineRule="auto"/>
        <w:outlineLvl w:val="1"/>
        <w:rPr>
          <w:rFonts w:ascii="FangSong" w:hAnsi="FangSong" w:eastAsia="FangSong" w:cs="FangSong"/>
          <w:sz w:val="28"/>
          <w:szCs w:val="28"/>
        </w:rPr>
      </w:pPr>
      <w:bookmarkStart w:name="bookmark491" w:id="647"/>
      <w:bookmarkEnd w:id="647"/>
      <w:bookmarkStart w:name="bookmark490" w:id="648"/>
      <w:bookmarkEnd w:id="648"/>
      <w:r>
        <w:rPr>
          <w:rFonts w:ascii="Times New Roman" w:hAnsi="Times New Roman" w:eastAsia="Times New Roman" w:cs="Times New Roman"/>
          <w:sz w:val="28"/>
          <w:szCs w:val="28"/>
          <w:b/>
          <w:bCs/>
          <w:spacing w:val="-8"/>
        </w:rPr>
        <w:t>11.10</w:t>
      </w:r>
      <w:r>
        <w:rPr>
          <w:rFonts w:ascii="Times New Roman" w:hAnsi="Times New Roman" w:eastAsia="Times New Roman" w:cs="Times New Roman"/>
          <w:sz w:val="28"/>
          <w:szCs w:val="28"/>
          <w:b/>
          <w:bCs/>
          <w:spacing w:val="8"/>
        </w:rPr>
        <w:t xml:space="preserve">  </w:t>
      </w:r>
      <w:r>
        <w:rPr>
          <w:rFonts w:ascii="FangSong" w:hAnsi="FangSong" w:eastAsia="FangSong" w:cs="FangSong"/>
          <w:sz w:val="28"/>
          <w:szCs w:val="28"/>
          <w:b/>
          <w:bCs/>
          <w:spacing w:val="-8"/>
        </w:rPr>
        <w:t>建议</w:t>
      </w:r>
    </w:p>
    <w:p>
      <w:pPr>
        <w:ind w:left="514"/>
        <w:spacing w:before="224"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）加强操作工人的技术水平，熟练掌握先进技术。</w:t>
      </w:r>
    </w:p>
    <w:p>
      <w:pPr>
        <w:ind w:left="514"/>
        <w:spacing w:before="182"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）加强无组织排放治理和防护措施，防止发生二次扬尘污染。</w:t>
      </w:r>
    </w:p>
    <w:p>
      <w:pPr>
        <w:ind w:left="514"/>
        <w:spacing w:before="179"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）按时发放劳保用品，保护工人利益。</w:t>
      </w:r>
    </w:p>
    <w:p>
      <w:pPr>
        <w:ind w:left="514"/>
        <w:spacing w:before="180"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）采取有效的噪声防治设施，确保厂界噪声达标。</w:t>
      </w:r>
    </w:p>
    <w:p>
      <w:pPr>
        <w:ind w:left="46" w:right="196" w:firstLine="467"/>
        <w:spacing w:before="181" w:line="29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）建设单位必须按照本报告所提要求落实各项环保措施，严格执行</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三同</w:t>
      </w:r>
      <w:r>
        <w:rPr>
          <w:rFonts w:ascii="FangSong" w:hAnsi="FangSong" w:eastAsia="FangSong" w:cs="FangSong"/>
          <w:sz w:val="24"/>
          <w:szCs w:val="24"/>
          <w:spacing w:val="-7"/>
        </w:rPr>
        <w:t>时</w:t>
      </w:r>
      <w:r>
        <w:rPr>
          <w:rFonts w:ascii="Times New Roman" w:hAnsi="Times New Roman" w:eastAsia="Times New Roman" w:cs="Times New Roman"/>
          <w:sz w:val="24"/>
          <w:szCs w:val="24"/>
          <w:spacing w:val="-7"/>
        </w:rPr>
        <w:t>”</w:t>
      </w:r>
      <w:r>
        <w:rPr>
          <w:rFonts w:ascii="FangSong" w:hAnsi="FangSong" w:eastAsia="FangSong" w:cs="FangSong"/>
          <w:sz w:val="24"/>
          <w:szCs w:val="24"/>
          <w:spacing w:val="-7"/>
        </w:rPr>
        <w:t>制度。</w:t>
      </w:r>
    </w:p>
    <w:p>
      <w:pPr>
        <w:ind w:left="31" w:right="196" w:firstLine="483"/>
        <w:spacing w:before="180"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）定期进行环境保护教育，提高全矿职工的环保意识，制定严格的、可</w:t>
      </w:r>
      <w:r>
        <w:rPr>
          <w:rFonts w:ascii="FangSong" w:hAnsi="FangSong" w:eastAsia="FangSong" w:cs="FangSong"/>
          <w:sz w:val="24"/>
          <w:szCs w:val="24"/>
          <w:spacing w:val="-2"/>
        </w:rPr>
        <w:t>行的环境保护指标作为考核依据。</w:t>
      </w:r>
    </w:p>
    <w:p>
      <w:pPr>
        <w:ind w:left="29" w:right="196" w:firstLine="485"/>
        <w:spacing w:before="182" w:line="313"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7</w:t>
      </w:r>
      <w:r>
        <w:rPr>
          <w:rFonts w:ascii="FangSong" w:hAnsi="FangSong" w:eastAsia="FangSong" w:cs="FangSong"/>
          <w:sz w:val="24"/>
          <w:szCs w:val="24"/>
        </w:rPr>
        <w:t>）建设单位应设立环保机构，配备专职环保人员负责环保工作，建立各</w:t>
      </w:r>
      <w:r>
        <w:rPr>
          <w:rFonts w:ascii="FangSong" w:hAnsi="FangSong" w:eastAsia="FangSong" w:cs="FangSong"/>
          <w:sz w:val="24"/>
          <w:szCs w:val="24"/>
          <w:spacing w:val="-3"/>
        </w:rPr>
        <w:t>项环保规章制度和环保岗位责任制，加强各类环保设施的管理与维护</w:t>
      </w:r>
      <w:r>
        <w:rPr>
          <w:rFonts w:ascii="FangSong" w:hAnsi="FangSong" w:eastAsia="FangSong" w:cs="FangSong"/>
          <w:sz w:val="24"/>
          <w:szCs w:val="24"/>
          <w:spacing w:val="-4"/>
        </w:rPr>
        <w:t>，确保环保</w:t>
      </w:r>
      <w:r>
        <w:rPr>
          <w:rFonts w:ascii="FangSong" w:hAnsi="FangSong" w:eastAsia="FangSong" w:cs="FangSong"/>
          <w:sz w:val="24"/>
          <w:szCs w:val="24"/>
          <w:spacing w:val="-1"/>
        </w:rPr>
        <w:t>设施的正常运行和各类污染物长期、稳定达标排放。</w:t>
      </w:r>
    </w:p>
    <w:p>
      <w:pPr>
        <w:ind w:left="514"/>
        <w:spacing w:before="183"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8</w:t>
      </w:r>
      <w:r>
        <w:rPr>
          <w:rFonts w:ascii="FangSong" w:hAnsi="FangSong" w:eastAsia="FangSong" w:cs="FangSong"/>
          <w:sz w:val="24"/>
          <w:szCs w:val="24"/>
          <w:spacing w:val="-1"/>
        </w:rPr>
        <w:t>）确保矿界范围内植被不因本项目矿山的开发利用而遭到人为破坏。</w:t>
      </w:r>
    </w:p>
    <w:p>
      <w:pPr>
        <w:ind w:left="39" w:right="196" w:firstLine="475"/>
        <w:spacing w:before="181" w:line="29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9</w:t>
      </w:r>
      <w:r>
        <w:rPr>
          <w:rFonts w:ascii="FangSong" w:hAnsi="FangSong" w:eastAsia="FangSong" w:cs="FangSong"/>
          <w:sz w:val="24"/>
          <w:szCs w:val="24"/>
        </w:rPr>
        <w:t>）闭矿时留有足够的资金，用于项目退役后的设施、建筑拆除及进行生</w:t>
      </w:r>
      <w:r>
        <w:rPr>
          <w:rFonts w:ascii="FangSong" w:hAnsi="FangSong" w:eastAsia="FangSong" w:cs="FangSong"/>
          <w:sz w:val="24"/>
          <w:szCs w:val="24"/>
          <w:spacing w:val="-7"/>
        </w:rPr>
        <w:t>态恢复。</w:t>
      </w:r>
    </w:p>
    <w:sectPr>
      <w:footerReference w:type="default" r:id="rId411"/>
      <w:pgSz w:w="11906" w:h="16839"/>
      <w:pgMar w:top="400" w:right="1603" w:bottom="1358" w:left="1785" w:header="0" w:footer="119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ZXiaoBiaoSong-B05S">
    <w:panose1 w:val="03000509000000000000"/>
    <w:charset w:val="86"/>
    <w:family w:val="auto"/>
    <w:pitch w:val="default"/>
    <w:sig w:usb0="00000001" w:usb1="080E0000" w:usb2="00000000" w:usb3="00000000" w:csb0="00040000" w:csb1="00000000"/>
  </w:font>
  <w:font w:name="FangSong">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 w:name="MS PGothic">
    <w:panose1 w:val="020B0600070205080204"/>
    <w:charset w:val="86"/>
    <w:family w:val="auto"/>
    <w:pitch w:val="variable"/>
    <w:sig w:usb0="E00002FF" w:usb1="6AC7FDFB" w:usb2="00000012" w:usb3="00000000" w:csb0="4002009F" w:csb1="DFD70000"/>
  </w:font>
  <w:font w:name="Microsoft YaHei">
    <w:panose1 w:val="020B0503020204020204"/>
    <w:charset w:val="86"/>
    <w:family w:val="auto"/>
    <w:pitch w:val="variable"/>
    <w:sig w:usb0="80000287" w:usb1="2ACF3C50" w:usb2="00000016" w:usb3="00000000" w:csb0="0004001F" w:csb1="00000000"/>
  </w:font>
  <w:font w:name="MS UI Gothic">
    <w:panose1 w:val="020B0600070205080204"/>
    <w:charset w:val="86"/>
    <w:family w:val="auto"/>
    <w:pitch w:val="variable"/>
    <w:sig w:usb0="E00002FF" w:usb1="6AC7FDFB" w:usb2="00000012" w:usb3="00000000" w:csb0="4002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1"/>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 2 —</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92 —</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93 —</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94 —</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95 —</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96 —</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97 —</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98 —</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99 —</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100 —</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101 —</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5"/>
      </w:rPr>
      <w:t>3 —</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102 —</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103 —</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104 —</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105 —</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106 —</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107 —</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108 —</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109 —</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3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110 —</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5"/>
      </w:rPr>
      <w:t>111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5"/>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 4 —</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112 —</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113 —</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114 —</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115 —</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116 —</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117 —</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118 —</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4"/>
        <w:w w:val="101"/>
      </w:rPr>
      <w:t xml:space="preserve"> </w:t>
    </w:r>
    <w:r>
      <w:rPr>
        <w:rFonts w:ascii="Times New Roman" w:hAnsi="Times New Roman" w:eastAsia="Times New Roman" w:cs="Times New Roman"/>
        <w:sz w:val="18"/>
        <w:szCs w:val="18"/>
        <w:spacing w:val="-5"/>
      </w:rPr>
      <w:t>119 —</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120 —</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121 —</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5"/>
      </w:rPr>
      <w:t>5 —</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122 —</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123 —</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124 —</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125 —</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126 —</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127 —</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128 —</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129 —</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130 —</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131 —</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5"/>
      </w:rPr>
      <w:t>6 —</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132 —</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133 —</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134 —</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135 —</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136 —</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137 —</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138 —</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139 —</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140 —</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141 —</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6"/>
      </w:rPr>
      <w:t>7 —</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142 —</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143 —</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144 —</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145 —</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146 —</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147 —</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148 —</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149 —</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150 —</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151 —</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15"/>
        <w:w w:val="101"/>
      </w:rPr>
      <w:t xml:space="preserve"> </w:t>
    </w:r>
    <w:r>
      <w:rPr>
        <w:rFonts w:ascii="Times New Roman" w:hAnsi="Times New Roman" w:eastAsia="Times New Roman" w:cs="Times New Roman"/>
        <w:sz w:val="20"/>
        <w:szCs w:val="20"/>
        <w:spacing w:val="4"/>
      </w:rPr>
      <w:t>8 —</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152 —</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153 —</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154 —</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155 —</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156 —</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157 —</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158 —</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159 —</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160 —</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161 —</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5"/>
      </w:rPr>
      <w:t>9 —</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162 —</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163 —</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164 —</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165 —</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166 —</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167 —</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168 —</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169 —</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170 —</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171 —</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10 —</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172 —</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173 —</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174 —</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175 —</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176 —</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177 —</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178 —</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179 —</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180 —</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181 —</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11 —</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182 —</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183 —</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184 —</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185 —</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186 —</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187 —</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188 —</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189 —</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190 —</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191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12 —</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192 —</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193 —</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194 —</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195 —</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196 —</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197 —</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198 —</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3"/>
      </w:rPr>
      <w:t>199 —</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200 —</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201 —</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13 —</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202 —</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203 —</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204 —</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205 —</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206 —</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207 —</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208 —</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209 —</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210 —</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 211 —</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14 —</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212 —</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213 —</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214 —</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215 —</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216 —</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217 —</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218 —</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219 —</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220 —</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221 —</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15 —</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222 —</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223 —</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224 —</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225 —</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226 —</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227 —</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228 —</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229 —</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230 —</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231 —</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16 —</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232 —</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233 —</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234 —</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235 —</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236 —</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237 —</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238 —</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239 —</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240 —</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241 —</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17 —</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242 —</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243 —</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244 —</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245 —</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246 —</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247 —</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248 —</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249 —</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250 —</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251 —</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18 —</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252 —</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253 —</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254 —</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255 —</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256 —</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257 —</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258 —</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259 —</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260 —</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261 —</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19 —</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262 —</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263 —</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264 —</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265 —</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266 —</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267 —</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268 —</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269 —</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270 —</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271 —</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20 —</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272 —</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273 —</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274 —</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275 —</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276 —</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277 —</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278 —</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279 —</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280 —</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281 —</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21 —</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282 —</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283 —</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284 —</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285 —</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286 —</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287 —</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288 —</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289 —</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290 —</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291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0"/>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IV</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22 —</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292 —</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293 —</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294 —</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295 —</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296 —</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297 —</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298 —</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299 —</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300 —</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301 —</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23 —</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302 —</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303 —</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304 —</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305 —</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306 —</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307 —</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308 —</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309 —</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310 —</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1"/>
      </w:rPr>
      <w:t>311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1"/>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24 —</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312 —</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313 —</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314 —</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315 —</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316 —</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317 —</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318 —</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319 —</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320 —</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25 —</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26 —</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 27 —</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28 —</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29 —</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30 —</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31 —</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3"/>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32 —</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33 —</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34 —</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35 —</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36 —</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37 —</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38 —</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39 —</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40 —</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41 —</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VI</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42 —</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43 —</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44 —</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45 —</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46 —</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47 —</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48 —</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49 —</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50 —</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51 —</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3"/>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VII</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52 —</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53 —</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54 —</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55 —</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56 —</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57 —</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58 —</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59 —</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60 —</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61 —</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VIII</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62 —</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63 —</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64 —</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65 —</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66 —</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67 —</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68 —</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69 —</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70 —</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71 —</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0"/>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IX</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72 —</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73 —</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74 —</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75 —</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76 —</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77 —</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78 —</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4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79 —</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4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0"/>
      </w:rPr>
      <w:t xml:space="preserve"> </w:t>
    </w:r>
    <w:r>
      <w:rPr>
        <w:rFonts w:ascii="Times New Roman" w:hAnsi="Times New Roman" w:eastAsia="Times New Roman" w:cs="Times New Roman"/>
        <w:sz w:val="18"/>
        <w:szCs w:val="18"/>
        <w:spacing w:val="-2"/>
      </w:rPr>
      <w:t>80 —</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4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0"/>
      </w:rPr>
      <w:t xml:space="preserve"> </w:t>
    </w:r>
    <w:r>
      <w:rPr>
        <w:rFonts w:ascii="Times New Roman" w:hAnsi="Times New Roman" w:eastAsia="Times New Roman" w:cs="Times New Roman"/>
        <w:sz w:val="18"/>
        <w:szCs w:val="18"/>
        <w:spacing w:val="-2"/>
      </w:rPr>
      <w:t>81 —</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7"/>
        <w:w w:val="101"/>
      </w:rPr>
      <w:t xml:space="preserve"> </w:t>
    </w:r>
    <w:r>
      <w:rPr>
        <w:rFonts w:ascii="Times New Roman" w:hAnsi="Times New Roman" w:eastAsia="Times New Roman" w:cs="Times New Roman"/>
        <w:sz w:val="20"/>
        <w:szCs w:val="20"/>
        <w:spacing w:val="1"/>
      </w:rPr>
      <w:t>1 —</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82 —</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83 —</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84 —</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85 —</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86 —</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87 —</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88 —</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2"/>
      </w:rPr>
      <w:t>89 —</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90 —</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8"/>
      </w:rPr>
      <w:t xml:space="preserve"> </w:t>
    </w:r>
    <w:r>
      <w:rPr>
        <w:rFonts w:ascii="Times New Roman" w:hAnsi="Times New Roman" w:eastAsia="Times New Roman" w:cs="Times New Roman"/>
        <w:sz w:val="18"/>
        <w:szCs w:val="18"/>
        <w:spacing w:val="-1"/>
      </w:rPr>
      <w:t>91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37" w:line="213" w:lineRule="auto"/>
      <w:tabs>
        <w:tab w:val="left" w:pos="370"/>
      </w:tabs>
      <w:rPr>
        <w:rFonts w:ascii="FangSong" w:hAnsi="FangSong" w:eastAsia="FangSong" w:cs="FangSong"/>
        <w:sz w:val="16"/>
        <w:szCs w:val="16"/>
      </w:rPr>
    </w:pPr>
    <w:r>
      <w:rPr>
        <w:rFonts w:ascii="FangSong" w:hAnsi="FangSong" w:eastAsia="FangSong" w:cs="FangSong"/>
        <w:sz w:val="16"/>
        <w:szCs w:val="16"/>
        <w:u w:val="single" w:color="auto"/>
      </w:rPr>
      <w:tab/>
    </w:r>
    <w:r>
      <w:rPr>
        <w:rFonts w:ascii="FangSong" w:hAnsi="FangSong" w:eastAsia="FangSong" w:cs="FangSong"/>
        <w:sz w:val="16"/>
        <w:szCs w:val="16"/>
        <w:u w:val="single" w:color="auto"/>
        <w:spacing w:val="-1"/>
      </w:rPr>
      <w:t>苏尼特右旗富邦矿业有限公司苏尼特右旗桑宝力嘎额尔登塔拉萤石矿</w:t>
    </w:r>
    <w:r>
      <w:rPr>
        <w:rFonts w:ascii="FangSong" w:hAnsi="FangSong" w:eastAsia="FangSong" w:cs="FangSong"/>
        <w:sz w:val="16"/>
        <w:szCs w:val="16"/>
        <w:u w:val="single" w:color="auto"/>
        <w:spacing w:val="-23"/>
      </w:rPr>
      <w:t xml:space="preserve"> </w:t>
    </w:r>
    <w:r>
      <w:rPr>
        <w:rFonts w:ascii="Times New Roman" w:hAnsi="Times New Roman" w:eastAsia="Times New Roman" w:cs="Times New Roman"/>
        <w:sz w:val="16"/>
        <w:szCs w:val="16"/>
        <w:u w:val="single" w:color="auto"/>
        <w:spacing w:val="-1"/>
      </w:rPr>
      <w:t>10</w:t>
    </w:r>
    <w:r>
      <w:rPr>
        <w:rFonts w:ascii="Times New Roman" w:hAnsi="Times New Roman" w:eastAsia="Times New Roman" w:cs="Times New Roman"/>
        <w:sz w:val="16"/>
        <w:szCs w:val="16"/>
        <w:u w:val="single" w:color="auto"/>
        <w:spacing w:val="11"/>
        <w:w w:val="101"/>
      </w:rPr>
      <w:t xml:space="preserve"> </w:t>
    </w:r>
    <w:r>
      <w:rPr>
        <w:rFonts w:ascii="FangSong" w:hAnsi="FangSong" w:eastAsia="FangSong" w:cs="FangSong"/>
        <w:sz w:val="16"/>
        <w:szCs w:val="16"/>
        <w:u w:val="single" w:color="auto"/>
        <w:spacing w:val="-1"/>
      </w:rPr>
      <w:t>万</w:t>
    </w:r>
    <w:r>
      <w:rPr>
        <w:rFonts w:ascii="Times New Roman" w:hAnsi="Times New Roman" w:eastAsia="Times New Roman" w:cs="Times New Roman"/>
        <w:sz w:val="16"/>
        <w:szCs w:val="16"/>
        <w:u w:val="single" w:color="auto"/>
        <w:spacing w:val="-1"/>
      </w:rPr>
      <w:t>t/a </w:t>
    </w:r>
    <w:r>
      <w:rPr>
        <w:rFonts w:ascii="FangSong" w:hAnsi="FangSong" w:eastAsia="FangSong" w:cs="FangSong"/>
        <w:sz w:val="16"/>
        <w:szCs w:val="16"/>
        <w:u w:val="single" w:color="auto"/>
        <w:spacing w:val="-1"/>
      </w:rPr>
      <w:t>采选项目</w:t>
    </w:r>
    <w:r>
      <w:rPr>
        <w:rFonts w:ascii="Times New Roman" w:hAnsi="Times New Roman" w:eastAsia="Times New Roman" w:cs="Times New Roman"/>
        <w:sz w:val="16"/>
        <w:szCs w:val="16"/>
        <w:u w:val="single" w:color="auto"/>
        <w:spacing w:val="-1"/>
      </w:rPr>
      <w:t>(</w:t>
    </w:r>
    <w:r>
      <w:rPr>
        <w:rFonts w:ascii="FangSong" w:hAnsi="FangSong" w:eastAsia="FangSong" w:cs="FangSong"/>
        <w:sz w:val="16"/>
        <w:szCs w:val="16"/>
        <w:u w:val="single" w:color="auto"/>
        <w:spacing w:val="-1"/>
      </w:rPr>
      <w:t>变更</w:t>
    </w:r>
    <w:r>
      <w:rPr>
        <w:rFonts w:ascii="Times New Roman" w:hAnsi="Times New Roman" w:eastAsia="Times New Roman" w:cs="Times New Roman"/>
        <w:sz w:val="16"/>
        <w:szCs w:val="16"/>
        <w:u w:val="single" w:color="auto"/>
        <w:spacing w:val="-1"/>
      </w:rPr>
      <w:t>)</w:t>
    </w:r>
    <w:r>
      <w:rPr>
        <w:rFonts w:ascii="FangSong" w:hAnsi="FangSong" w:eastAsia="FangSong" w:cs="FangSong"/>
        <w:sz w:val="16"/>
        <w:szCs w:val="16"/>
        <w:u w:val="single" w:color="auto"/>
        <w:spacing w:val="-1"/>
      </w:rPr>
      <w:t>环境影</w:t>
    </w:r>
    <w:r>
      <w:rPr>
        <w:rFonts w:ascii="FangSong" w:hAnsi="FangSong" w:eastAsia="FangSong" w:cs="FangSong"/>
        <w:sz w:val="16"/>
        <w:szCs w:val="16"/>
        <w:u w:val="single" w:color="auto"/>
        <w:spacing w:val="-2"/>
      </w:rPr>
      <w:t>响报告书</w:t>
    </w:r>
    <w:r>
      <w:rPr>
        <w:rFonts w:ascii="FangSong" w:hAnsi="FangSong" w:eastAsia="FangSong" w:cs="FangSong"/>
        <w:sz w:val="16"/>
        <w:szCs w:val="16"/>
        <w:u w:val="single" w:color="auto"/>
        <w:spacing w:val="-2"/>
      </w:rPr>
      <w:t xml:space="preserve">     </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8"/>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08"/>
      <w:spacing w:line="203" w:lineRule="auto"/>
      <w:tabs>
        <w:tab w:val="left" w:pos="8412"/>
      </w:tabs>
      <w:rPr/>
    </w:pPr>
    <w:r>
      <w:rPr>
        <w:u w:val="single" w:color="auto"/>
      </w:rPr>
      <w:tab/>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8"/>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28"/>
      <w:spacing w:line="203" w:lineRule="auto"/>
      <w:tabs>
        <w:tab w:val="left" w:pos="8332"/>
      </w:tabs>
      <w:rPr/>
    </w:pPr>
    <w:r>
      <w:rPr>
        <w:u w:val="single" w:color="auto"/>
      </w:rPr>
      <w:tab/>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7"/>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06"/>
      <w:spacing w:line="203" w:lineRule="auto"/>
      <w:tabs>
        <w:tab w:val="left" w:pos="8412"/>
      </w:tabs>
      <w:rPr/>
    </w:pPr>
    <w:r>
      <w:rPr>
        <w:u w:val="single" w:color="auto"/>
      </w:rPr>
      <w:tab/>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4" style="position:absolute;margin-left:84.45pt;margin-top:72pt;mso-position-vertical-relative:page;mso-position-horizontal-relative:page;width:445.65pt;height:0.5pt;z-index:251658240;" o:allowincell="f" filled="false" strokecolor="#000000" strokeweight="0.48pt" coordsize="8912,10" coordorigin="0,0" path="m0,4l8912,4e">
          <v:stroke joinstyle="bevel" miterlimit="2"/>
        </v:shape>
      </w:pict>
    </w: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24" style="position:absolute;margin-left:90pt;margin-top:56.5pt;mso-position-vertical-relative:page;mso-position-horizontal-relative:page;width:415.25pt;height:0.55pt;z-index:251746304;" o:allowincell="f" fillcolor="#00000A" filled="true" stroked="false" coordsize="8305,11" coordorigin="0,0" path="m,l8304,0l8304,10l0,10l0,0xe"/>
      </w:pict>
    </w: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26" style="position:absolute;margin-left:90pt;margin-top:56.5pt;mso-position-vertical-relative:page;mso-position-horizontal-relative:page;width:415.25pt;height:0.55pt;z-index:251748352;" o:allowincell="f" fillcolor="#00000A" filled="true" stroked="false" coordsize="8305,11" coordorigin="0,0" path="m,l8304,0l8304,10l0,10l0,0xe"/>
      </w:pict>
    </w: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28" style="position:absolute;margin-left:90pt;margin-top:56.5pt;mso-position-vertical-relative:page;mso-position-horizontal-relative:page;width:415.25pt;height:0.55pt;z-index:251749376;" o:allowincell="f" fillcolor="#00000A" filled="true" stroked="false" coordsize="8305,11" coordorigin="0,0" path="m,l8304,0l8304,10l0,10l0,0xem0,0l8304,0l8304,10l0,10l0,0x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37" w:line="213" w:lineRule="auto"/>
      <w:tabs>
        <w:tab w:val="left" w:pos="370"/>
      </w:tabs>
      <w:rPr>
        <w:rFonts w:ascii="FangSong" w:hAnsi="FangSong" w:eastAsia="FangSong" w:cs="FangSong"/>
        <w:sz w:val="16"/>
        <w:szCs w:val="16"/>
      </w:rPr>
    </w:pPr>
    <w:r>
      <w:rPr>
        <w:rFonts w:ascii="FangSong" w:hAnsi="FangSong" w:eastAsia="FangSong" w:cs="FangSong"/>
        <w:sz w:val="16"/>
        <w:szCs w:val="16"/>
        <w:u w:val="single" w:color="auto"/>
      </w:rPr>
      <w:tab/>
    </w:r>
    <w:r>
      <w:rPr>
        <w:rFonts w:ascii="FangSong" w:hAnsi="FangSong" w:eastAsia="FangSong" w:cs="FangSong"/>
        <w:sz w:val="16"/>
        <w:szCs w:val="16"/>
        <w:u w:val="single" w:color="auto"/>
        <w:spacing w:val="-1"/>
      </w:rPr>
      <w:t>苏尼特右旗富邦矿业有限公司苏尼特右旗桑宝力嘎额尔登塔拉萤石矿</w:t>
    </w:r>
    <w:r>
      <w:rPr>
        <w:rFonts w:ascii="FangSong" w:hAnsi="FangSong" w:eastAsia="FangSong" w:cs="FangSong"/>
        <w:sz w:val="16"/>
        <w:szCs w:val="16"/>
        <w:u w:val="single" w:color="auto"/>
        <w:spacing w:val="-23"/>
      </w:rPr>
      <w:t xml:space="preserve"> </w:t>
    </w:r>
    <w:r>
      <w:rPr>
        <w:rFonts w:ascii="Times New Roman" w:hAnsi="Times New Roman" w:eastAsia="Times New Roman" w:cs="Times New Roman"/>
        <w:sz w:val="16"/>
        <w:szCs w:val="16"/>
        <w:u w:val="single" w:color="auto"/>
        <w:spacing w:val="-1"/>
      </w:rPr>
      <w:t>10</w:t>
    </w:r>
    <w:r>
      <w:rPr>
        <w:rFonts w:ascii="Times New Roman" w:hAnsi="Times New Roman" w:eastAsia="Times New Roman" w:cs="Times New Roman"/>
        <w:sz w:val="16"/>
        <w:szCs w:val="16"/>
        <w:u w:val="single" w:color="auto"/>
        <w:spacing w:val="11"/>
        <w:w w:val="101"/>
      </w:rPr>
      <w:t xml:space="preserve"> </w:t>
    </w:r>
    <w:r>
      <w:rPr>
        <w:rFonts w:ascii="FangSong" w:hAnsi="FangSong" w:eastAsia="FangSong" w:cs="FangSong"/>
        <w:sz w:val="16"/>
        <w:szCs w:val="16"/>
        <w:u w:val="single" w:color="auto"/>
        <w:spacing w:val="-1"/>
      </w:rPr>
      <w:t>万</w:t>
    </w:r>
    <w:r>
      <w:rPr>
        <w:rFonts w:ascii="Times New Roman" w:hAnsi="Times New Roman" w:eastAsia="Times New Roman" w:cs="Times New Roman"/>
        <w:sz w:val="16"/>
        <w:szCs w:val="16"/>
        <w:u w:val="single" w:color="auto"/>
        <w:spacing w:val="-1"/>
      </w:rPr>
      <w:t>t/a </w:t>
    </w:r>
    <w:r>
      <w:rPr>
        <w:rFonts w:ascii="FangSong" w:hAnsi="FangSong" w:eastAsia="FangSong" w:cs="FangSong"/>
        <w:sz w:val="16"/>
        <w:szCs w:val="16"/>
        <w:u w:val="single" w:color="auto"/>
        <w:spacing w:val="-1"/>
      </w:rPr>
      <w:t>采选项目</w:t>
    </w:r>
    <w:r>
      <w:rPr>
        <w:rFonts w:ascii="Times New Roman" w:hAnsi="Times New Roman" w:eastAsia="Times New Roman" w:cs="Times New Roman"/>
        <w:sz w:val="16"/>
        <w:szCs w:val="16"/>
        <w:u w:val="single" w:color="auto"/>
        <w:spacing w:val="-1"/>
      </w:rPr>
      <w:t>(</w:t>
    </w:r>
    <w:r>
      <w:rPr>
        <w:rFonts w:ascii="FangSong" w:hAnsi="FangSong" w:eastAsia="FangSong" w:cs="FangSong"/>
        <w:sz w:val="16"/>
        <w:szCs w:val="16"/>
        <w:u w:val="single" w:color="auto"/>
        <w:spacing w:val="-1"/>
      </w:rPr>
      <w:t>变更</w:t>
    </w:r>
    <w:r>
      <w:rPr>
        <w:rFonts w:ascii="Times New Roman" w:hAnsi="Times New Roman" w:eastAsia="Times New Roman" w:cs="Times New Roman"/>
        <w:sz w:val="16"/>
        <w:szCs w:val="16"/>
        <w:u w:val="single" w:color="auto"/>
        <w:spacing w:val="-1"/>
      </w:rPr>
      <w:t>)</w:t>
    </w:r>
    <w:r>
      <w:rPr>
        <w:rFonts w:ascii="FangSong" w:hAnsi="FangSong" w:eastAsia="FangSong" w:cs="FangSong"/>
        <w:sz w:val="16"/>
        <w:szCs w:val="16"/>
        <w:u w:val="single" w:color="auto"/>
        <w:spacing w:val="-1"/>
      </w:rPr>
      <w:t>环境影</w:t>
    </w:r>
    <w:r>
      <w:rPr>
        <w:rFonts w:ascii="FangSong" w:hAnsi="FangSong" w:eastAsia="FangSong" w:cs="FangSong"/>
        <w:sz w:val="16"/>
        <w:szCs w:val="16"/>
        <w:u w:val="single" w:color="auto"/>
        <w:spacing w:val="-2"/>
      </w:rPr>
      <w:t>响报告书</w:t>
    </w:r>
    <w:r>
      <w:rPr>
        <w:rFonts w:ascii="FangSong" w:hAnsi="FangSong" w:eastAsia="FangSong" w:cs="FangSong"/>
        <w:sz w:val="16"/>
        <w:szCs w:val="16"/>
        <w:u w:val="single" w:color="auto"/>
        <w:spacing w:val="-2"/>
      </w:rPr>
      <w:t xml:space="preserve">     </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30" style="position:absolute;margin-left:90pt;margin-top:56.5pt;mso-position-vertical-relative:page;mso-position-horizontal-relative:page;width:415.25pt;height:0.55pt;z-index:251750400;" o:allowincell="f" fillcolor="#00000A" filled="true" stroked="false" coordsize="8305,11" coordorigin="0,0" path="m,l8304,0l8304,10l0,10l0,0xe"/>
      </w:pict>
    </w: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32" style="position:absolute;margin-left:90pt;margin-top:56.5pt;mso-position-vertical-relative:page;mso-position-horizontal-relative:page;width:415.25pt;height:0.55pt;z-index:251752448;" o:allowincell="f" fillcolor="#00000A" filled="true" stroked="false" coordsize="8305,11" coordorigin="0,0" path="m,l8304,0l8304,10l0,10l0,0xe"/>
      </w:pict>
    </w: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34" style="position:absolute;margin-left:90pt;margin-top:56.5pt;mso-position-vertical-relative:page;mso-position-horizontal-relative:page;width:415.25pt;height:0.55pt;z-index:251755520;" o:allowincell="f" fillcolor="#00000A" filled="true" stroked="false" coordsize="8305,11" coordorigin="0,0" path="m,l8304,0l8304,10l0,10l0,0xe"/>
      </w:pict>
    </w: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36" style="position:absolute;margin-left:72pt;margin-top:56.5pt;mso-position-vertical-relative:page;mso-position-horizontal-relative:page;width:697.8pt;height:0.55pt;z-index:251765760;" o:allowincell="f" fillcolor="#00000A" filled="true" stroked="false" coordsize="13955,11" coordorigin="0,0" path="m,l13955,0l13955,10l0,10l0,0xe"/>
      </w:pict>
    </w: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38" style="position:absolute;margin-left:90pt;margin-top:56.5pt;mso-position-vertical-relative:page;mso-position-horizontal-relative:page;width:415.25pt;height:0.55pt;z-index:251768832;" o:allowincell="f" fillcolor="#00000A" filled="true" stroked="false" coordsize="8305,11" coordorigin="0,0" path="m,l8304,0l8304,10l0,10l0,0xe"/>
      </w:pict>
    </w: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40" style="position:absolute;margin-left:90pt;margin-top:56.5pt;mso-position-vertical-relative:page;mso-position-horizontal-relative:page;width:415.25pt;height:0.55pt;z-index:251769856;" o:allowincell="f" fillcolor="#00000A" filled="true" stroked="false" coordsize="8305,11" coordorigin="0,0" path="m,l8304,0l8304,10l0,10l0,0xe"/>
      </w:pict>
    </w: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52" style="position:absolute;margin-left:90pt;margin-top:56.5pt;mso-position-vertical-relative:page;mso-position-horizontal-relative:page;width:415.25pt;height:0.55pt;z-index:251774976;" o:allowincell="f" fillcolor="#00000A" filled="true" stroked="false" coordsize="8305,11" coordorigin="0,0" path="m,l8304,0l8304,10l0,10l0,0xe"/>
      </w:pict>
    </w: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56" style="position:absolute;margin-left:90pt;margin-top:56.5pt;mso-position-vertical-relative:page;mso-position-horizontal-relative:page;width:415.25pt;height:0.55pt;z-index:251845632;" o:allowincell="f" fillcolor="#00000A" filled="true" stroked="false" coordsize="8305,11" coordorigin="0,0" path="m,l8304,0l8304,10l0,10l0,0x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46" w:line="161" w:lineRule="auto"/>
      <w:rPr>
        <w:rFonts w:ascii="FangSong" w:hAnsi="FangSong" w:eastAsia="FangSong" w:cs="FangSong"/>
        <w:sz w:val="18"/>
        <w:szCs w:val="18"/>
      </w:rPr>
    </w:pPr>
    <w:r>
      <w:rPr>
        <w:rFonts w:ascii="FangSong" w:hAnsi="FangSong" w:eastAsia="FangSong" w:cs="FangSong"/>
        <w:sz w:val="18"/>
        <w:szCs w:val="18"/>
      </w:rPr>
      <w:t>苏尼特右旗富邦矿业有限公司苏尼特右旗桑宝力嘎额尔登塔拉萤石矿</w:t>
    </w:r>
    <w:r>
      <w:rPr>
        <w:rFonts w:ascii="FangSong" w:hAnsi="FangSong" w:eastAsia="FangSong" w:cs="FangSong"/>
        <w:sz w:val="18"/>
        <w:szCs w:val="18"/>
        <w:spacing w:val="-21"/>
      </w:rPr>
      <w:t xml:space="preserve"> </w:t>
    </w:r>
    <w:r>
      <w:rPr>
        <w:rFonts w:ascii="Times New Roman" w:hAnsi="Times New Roman" w:eastAsia="Times New Roman" w:cs="Times New Roman"/>
        <w:sz w:val="18"/>
        <w:szCs w:val="18"/>
      </w:rPr>
      <w:t>10 </w:t>
    </w:r>
    <w:r>
      <w:rPr>
        <w:rFonts w:ascii="FangSong" w:hAnsi="FangSong" w:eastAsia="FangSong" w:cs="FangSong"/>
        <w:sz w:val="18"/>
        <w:szCs w:val="18"/>
      </w:rPr>
      <w:t>万</w:t>
    </w:r>
    <w:r>
      <w:rPr>
        <w:rFonts w:ascii="Times New Roman" w:hAnsi="Times New Roman" w:eastAsia="Times New Roman" w:cs="Times New Roman"/>
        <w:sz w:val="18"/>
        <w:szCs w:val="18"/>
      </w:rPr>
      <w:t>t/a </w:t>
    </w:r>
    <w:r>
      <w:rPr>
        <w:rFonts w:ascii="FangSong" w:hAnsi="FangSong" w:eastAsia="FangSong" w:cs="FangSong"/>
        <w:sz w:val="18"/>
        <w:szCs w:val="18"/>
      </w:rPr>
      <w:t>采选项目环境影响报告书</w:t>
    </w:r>
  </w:p>
  <w:p>
    <w:pPr>
      <w:pStyle w:val="BodyText"/>
      <w:ind w:left="14"/>
      <w:spacing w:line="203" w:lineRule="auto"/>
      <w:tabs>
        <w:tab w:val="left" w:pos="8320"/>
      </w:tabs>
      <w:rPr/>
    </w:pPr>
    <w:r>
      <w:rPr>
        <w:u w:val="single" w:color="auto"/>
      </w:rPr>
      <w:tab/>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FangSong" w:hAnsi="FangSong" w:eastAsia="FangSong" w:cs="FangSong"/>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6.xml"/><Relationship Id="rId98" Type="http://schemas.openxmlformats.org/officeDocument/2006/relationships/footer" Target="footer75.xml"/><Relationship Id="rId97" Type="http://schemas.openxmlformats.org/officeDocument/2006/relationships/footer" Target="footer74.xml"/><Relationship Id="rId96" Type="http://schemas.openxmlformats.org/officeDocument/2006/relationships/footer" Target="footer73.xml"/><Relationship Id="rId95" Type="http://schemas.openxmlformats.org/officeDocument/2006/relationships/footer" Target="footer72.xml"/><Relationship Id="rId94" Type="http://schemas.openxmlformats.org/officeDocument/2006/relationships/footer" Target="footer71.xml"/><Relationship Id="rId93" Type="http://schemas.openxmlformats.org/officeDocument/2006/relationships/footer" Target="footer70.xml"/><Relationship Id="rId92" Type="http://schemas.openxmlformats.org/officeDocument/2006/relationships/image" Target="media/image7.jpeg"/><Relationship Id="rId91" Type="http://schemas.openxmlformats.org/officeDocument/2006/relationships/footer" Target="footer69.xml"/><Relationship Id="rId90" Type="http://schemas.openxmlformats.org/officeDocument/2006/relationships/image" Target="media/image6.jpeg"/><Relationship Id="rId9" Type="http://schemas.openxmlformats.org/officeDocument/2006/relationships/footer" Target="footer7.xml"/><Relationship Id="rId89" Type="http://schemas.openxmlformats.org/officeDocument/2006/relationships/footer" Target="footer68.xml"/><Relationship Id="rId88" Type="http://schemas.openxmlformats.org/officeDocument/2006/relationships/footer" Target="footer67.xml"/><Relationship Id="rId87" Type="http://schemas.openxmlformats.org/officeDocument/2006/relationships/footer" Target="footer66.xml"/><Relationship Id="rId86" Type="http://schemas.openxmlformats.org/officeDocument/2006/relationships/footer" Target="footer65.xml"/><Relationship Id="rId85" Type="http://schemas.openxmlformats.org/officeDocument/2006/relationships/footer" Target="footer64.xml"/><Relationship Id="rId84" Type="http://schemas.openxmlformats.org/officeDocument/2006/relationships/footer" Target="footer63.xml"/><Relationship Id="rId83" Type="http://schemas.openxmlformats.org/officeDocument/2006/relationships/footer" Target="footer62.xml"/><Relationship Id="rId82" Type="http://schemas.openxmlformats.org/officeDocument/2006/relationships/footer" Target="footer61.xml"/><Relationship Id="rId81" Type="http://schemas.openxmlformats.org/officeDocument/2006/relationships/footer" Target="footer60.xml"/><Relationship Id="rId80" Type="http://schemas.openxmlformats.org/officeDocument/2006/relationships/footer" Target="footer59.xml"/><Relationship Id="rId8" Type="http://schemas.openxmlformats.org/officeDocument/2006/relationships/footer" Target="footer6.xml"/><Relationship Id="rId79" Type="http://schemas.openxmlformats.org/officeDocument/2006/relationships/footer" Target="footer58.xml"/><Relationship Id="rId78" Type="http://schemas.openxmlformats.org/officeDocument/2006/relationships/footer" Target="footer57.xml"/><Relationship Id="rId77" Type="http://schemas.openxmlformats.org/officeDocument/2006/relationships/footer" Target="footer56.xml"/><Relationship Id="rId76" Type="http://schemas.openxmlformats.org/officeDocument/2006/relationships/footer" Target="footer55.xml"/><Relationship Id="rId75" Type="http://schemas.openxmlformats.org/officeDocument/2006/relationships/image" Target="media/image5.png"/><Relationship Id="rId74" Type="http://schemas.openxmlformats.org/officeDocument/2006/relationships/footer" Target="footer54.xml"/><Relationship Id="rId73" Type="http://schemas.openxmlformats.org/officeDocument/2006/relationships/footer" Target="footer53.xml"/><Relationship Id="rId72" Type="http://schemas.openxmlformats.org/officeDocument/2006/relationships/image" Target="media/image4.png"/><Relationship Id="rId71" Type="http://schemas.openxmlformats.org/officeDocument/2006/relationships/image" Target="media/image3.png"/><Relationship Id="rId70" Type="http://schemas.openxmlformats.org/officeDocument/2006/relationships/footer" Target="footer52.xml"/><Relationship Id="rId7" Type="http://schemas.openxmlformats.org/officeDocument/2006/relationships/footer" Target="footer5.xml"/><Relationship Id="rId69" Type="http://schemas.openxmlformats.org/officeDocument/2006/relationships/footer" Target="footer51.xml"/><Relationship Id="rId68" Type="http://schemas.openxmlformats.org/officeDocument/2006/relationships/footer" Target="footer50.xml"/><Relationship Id="rId67" Type="http://schemas.openxmlformats.org/officeDocument/2006/relationships/footer" Target="footer49.xml"/><Relationship Id="rId66" Type="http://schemas.openxmlformats.org/officeDocument/2006/relationships/footer" Target="footer48.xml"/><Relationship Id="rId65" Type="http://schemas.openxmlformats.org/officeDocument/2006/relationships/footer" Target="footer47.xml"/><Relationship Id="rId64" Type="http://schemas.openxmlformats.org/officeDocument/2006/relationships/footer" Target="footer46.xml"/><Relationship Id="rId63" Type="http://schemas.openxmlformats.org/officeDocument/2006/relationships/footer" Target="footer45.xml"/><Relationship Id="rId62" Type="http://schemas.openxmlformats.org/officeDocument/2006/relationships/header" Target="header16.xml"/><Relationship Id="rId61" Type="http://schemas.openxmlformats.org/officeDocument/2006/relationships/footer" Target="footer44.xml"/><Relationship Id="rId60" Type="http://schemas.openxmlformats.org/officeDocument/2006/relationships/footer" Target="footer43.xml"/><Relationship Id="rId6" Type="http://schemas.openxmlformats.org/officeDocument/2006/relationships/footer" Target="footer4.xml"/><Relationship Id="rId59" Type="http://schemas.openxmlformats.org/officeDocument/2006/relationships/footer" Target="footer42.xml"/><Relationship Id="rId58" Type="http://schemas.openxmlformats.org/officeDocument/2006/relationships/footer" Target="footer41.xml"/><Relationship Id="rId57" Type="http://schemas.openxmlformats.org/officeDocument/2006/relationships/footer" Target="footer40.xml"/><Relationship Id="rId56" Type="http://schemas.openxmlformats.org/officeDocument/2006/relationships/footer" Target="footer39.xml"/><Relationship Id="rId55" Type="http://schemas.openxmlformats.org/officeDocument/2006/relationships/footer" Target="footer38.xml"/><Relationship Id="rId54" Type="http://schemas.openxmlformats.org/officeDocument/2006/relationships/footer" Target="footer37.xml"/><Relationship Id="rId53" Type="http://schemas.openxmlformats.org/officeDocument/2006/relationships/footer" Target="footer36.xml"/><Relationship Id="rId52" Type="http://schemas.openxmlformats.org/officeDocument/2006/relationships/header" Target="header15.xml"/><Relationship Id="rId51" Type="http://schemas.openxmlformats.org/officeDocument/2006/relationships/footer" Target="footer35.xml"/><Relationship Id="rId50" Type="http://schemas.openxmlformats.org/officeDocument/2006/relationships/header" Target="header14.xml"/><Relationship Id="rId5" Type="http://schemas.openxmlformats.org/officeDocument/2006/relationships/footer" Target="footer3.xml"/><Relationship Id="rId49" Type="http://schemas.openxmlformats.org/officeDocument/2006/relationships/footer" Target="footer34.xml"/><Relationship Id="rId48" Type="http://schemas.openxmlformats.org/officeDocument/2006/relationships/footer" Target="footer33.xml"/><Relationship Id="rId47" Type="http://schemas.openxmlformats.org/officeDocument/2006/relationships/footer" Target="footer32.xml"/><Relationship Id="rId46" Type="http://schemas.openxmlformats.org/officeDocument/2006/relationships/header" Target="header13.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footer" Target="footer29.xml"/><Relationship Id="rId42" Type="http://schemas.openxmlformats.org/officeDocument/2006/relationships/footer" Target="footer28.xml"/><Relationship Id="rId414" Type="http://schemas.openxmlformats.org/officeDocument/2006/relationships/fontTable" Target="fontTable.xml"/><Relationship Id="rId413" Type="http://schemas.openxmlformats.org/officeDocument/2006/relationships/styles" Target="styles.xml"/><Relationship Id="rId412" Type="http://schemas.openxmlformats.org/officeDocument/2006/relationships/settings" Target="settings.xml"/><Relationship Id="rId411" Type="http://schemas.openxmlformats.org/officeDocument/2006/relationships/footer" Target="footer328.xml"/><Relationship Id="rId410" Type="http://schemas.openxmlformats.org/officeDocument/2006/relationships/footer" Target="footer327.xml"/><Relationship Id="rId41" Type="http://schemas.openxmlformats.org/officeDocument/2006/relationships/footer" Target="footer27.xml"/><Relationship Id="rId409" Type="http://schemas.openxmlformats.org/officeDocument/2006/relationships/footer" Target="footer326.xml"/><Relationship Id="rId408" Type="http://schemas.openxmlformats.org/officeDocument/2006/relationships/footer" Target="footer325.xml"/><Relationship Id="rId407" Type="http://schemas.openxmlformats.org/officeDocument/2006/relationships/footer" Target="footer324.xml"/><Relationship Id="rId406" Type="http://schemas.openxmlformats.org/officeDocument/2006/relationships/footer" Target="footer323.xml"/><Relationship Id="rId405" Type="http://schemas.openxmlformats.org/officeDocument/2006/relationships/footer" Target="footer322.xml"/><Relationship Id="rId404" Type="http://schemas.openxmlformats.org/officeDocument/2006/relationships/footer" Target="footer321.xml"/><Relationship Id="rId403" Type="http://schemas.openxmlformats.org/officeDocument/2006/relationships/footer" Target="footer320.xml"/><Relationship Id="rId402" Type="http://schemas.openxmlformats.org/officeDocument/2006/relationships/footer" Target="footer319.xml"/><Relationship Id="rId401" Type="http://schemas.openxmlformats.org/officeDocument/2006/relationships/footer" Target="footer318.xml"/><Relationship Id="rId400" Type="http://schemas.openxmlformats.org/officeDocument/2006/relationships/footer" Target="footer317.xml"/><Relationship Id="rId40" Type="http://schemas.openxmlformats.org/officeDocument/2006/relationships/footer" Target="footer26.xml"/><Relationship Id="rId4" Type="http://schemas.openxmlformats.org/officeDocument/2006/relationships/footer" Target="footer2.xml"/><Relationship Id="rId399" Type="http://schemas.openxmlformats.org/officeDocument/2006/relationships/footer" Target="footer316.xml"/><Relationship Id="rId398" Type="http://schemas.openxmlformats.org/officeDocument/2006/relationships/footer" Target="footer315.xml"/><Relationship Id="rId397" Type="http://schemas.openxmlformats.org/officeDocument/2006/relationships/footer" Target="footer314.xml"/><Relationship Id="rId396" Type="http://schemas.openxmlformats.org/officeDocument/2006/relationships/footer" Target="footer313.xml"/><Relationship Id="rId395" Type="http://schemas.openxmlformats.org/officeDocument/2006/relationships/image" Target="media/image56.jpeg"/><Relationship Id="rId394" Type="http://schemas.openxmlformats.org/officeDocument/2006/relationships/footer" Target="footer312.xml"/><Relationship Id="rId393" Type="http://schemas.openxmlformats.org/officeDocument/2006/relationships/footer" Target="footer311.xml"/><Relationship Id="rId392" Type="http://schemas.openxmlformats.org/officeDocument/2006/relationships/footer" Target="footer310.xml"/><Relationship Id="rId391" Type="http://schemas.openxmlformats.org/officeDocument/2006/relationships/footer" Target="footer309.xml"/><Relationship Id="rId390" Type="http://schemas.openxmlformats.org/officeDocument/2006/relationships/footer" Target="footer308.xml"/><Relationship Id="rId39" Type="http://schemas.openxmlformats.org/officeDocument/2006/relationships/footer" Target="footer25.xml"/><Relationship Id="rId389" Type="http://schemas.openxmlformats.org/officeDocument/2006/relationships/footer" Target="footer307.xml"/><Relationship Id="rId388" Type="http://schemas.openxmlformats.org/officeDocument/2006/relationships/footer" Target="footer306.xml"/><Relationship Id="rId387" Type="http://schemas.openxmlformats.org/officeDocument/2006/relationships/footer" Target="footer305.xml"/><Relationship Id="rId386" Type="http://schemas.openxmlformats.org/officeDocument/2006/relationships/footer" Target="footer304.xml"/><Relationship Id="rId385" Type="http://schemas.openxmlformats.org/officeDocument/2006/relationships/footer" Target="footer303.xml"/><Relationship Id="rId384" Type="http://schemas.openxmlformats.org/officeDocument/2006/relationships/footer" Target="footer302.xml"/><Relationship Id="rId383" Type="http://schemas.openxmlformats.org/officeDocument/2006/relationships/footer" Target="footer301.xml"/><Relationship Id="rId382" Type="http://schemas.openxmlformats.org/officeDocument/2006/relationships/footer" Target="footer300.xml"/><Relationship Id="rId381" Type="http://schemas.openxmlformats.org/officeDocument/2006/relationships/footer" Target="footer299.xml"/><Relationship Id="rId380" Type="http://schemas.openxmlformats.org/officeDocument/2006/relationships/footer" Target="footer298.xml"/><Relationship Id="rId38" Type="http://schemas.openxmlformats.org/officeDocument/2006/relationships/footer" Target="footer24.xml"/><Relationship Id="rId379" Type="http://schemas.openxmlformats.org/officeDocument/2006/relationships/footer" Target="footer297.xml"/><Relationship Id="rId378" Type="http://schemas.openxmlformats.org/officeDocument/2006/relationships/footer" Target="footer296.xml"/><Relationship Id="rId377" Type="http://schemas.openxmlformats.org/officeDocument/2006/relationships/footer" Target="footer295.xml"/><Relationship Id="rId376" Type="http://schemas.openxmlformats.org/officeDocument/2006/relationships/footer" Target="footer294.xml"/><Relationship Id="rId375" Type="http://schemas.openxmlformats.org/officeDocument/2006/relationships/footer" Target="footer293.xml"/><Relationship Id="rId374" Type="http://schemas.openxmlformats.org/officeDocument/2006/relationships/footer" Target="footer292.xml"/><Relationship Id="rId373" Type="http://schemas.openxmlformats.org/officeDocument/2006/relationships/footer" Target="footer291.xml"/><Relationship Id="rId372" Type="http://schemas.openxmlformats.org/officeDocument/2006/relationships/footer" Target="footer290.xml"/><Relationship Id="rId371" Type="http://schemas.openxmlformats.org/officeDocument/2006/relationships/footer" Target="footer289.xml"/><Relationship Id="rId370" Type="http://schemas.openxmlformats.org/officeDocument/2006/relationships/footer" Target="footer288.xml"/><Relationship Id="rId37" Type="http://schemas.openxmlformats.org/officeDocument/2006/relationships/footer" Target="footer23.xml"/><Relationship Id="rId369" Type="http://schemas.openxmlformats.org/officeDocument/2006/relationships/footer" Target="footer287.xml"/><Relationship Id="rId368" Type="http://schemas.openxmlformats.org/officeDocument/2006/relationships/footer" Target="footer286.xml"/><Relationship Id="rId367" Type="http://schemas.openxmlformats.org/officeDocument/2006/relationships/footer" Target="footer285.xml"/><Relationship Id="rId366" Type="http://schemas.openxmlformats.org/officeDocument/2006/relationships/footer" Target="footer284.xml"/><Relationship Id="rId365" Type="http://schemas.openxmlformats.org/officeDocument/2006/relationships/image" Target="media/image55.png"/><Relationship Id="rId364" Type="http://schemas.openxmlformats.org/officeDocument/2006/relationships/footer" Target="footer283.xml"/><Relationship Id="rId363" Type="http://schemas.openxmlformats.org/officeDocument/2006/relationships/footer" Target="footer282.xml"/><Relationship Id="rId362" Type="http://schemas.openxmlformats.org/officeDocument/2006/relationships/footer" Target="footer281.xml"/><Relationship Id="rId361" Type="http://schemas.openxmlformats.org/officeDocument/2006/relationships/footer" Target="footer280.xml"/><Relationship Id="rId360" Type="http://schemas.openxmlformats.org/officeDocument/2006/relationships/footer" Target="footer279.xml"/><Relationship Id="rId36" Type="http://schemas.openxmlformats.org/officeDocument/2006/relationships/footer" Target="footer22.xml"/><Relationship Id="rId359" Type="http://schemas.openxmlformats.org/officeDocument/2006/relationships/footer" Target="footer278.xml"/><Relationship Id="rId358" Type="http://schemas.openxmlformats.org/officeDocument/2006/relationships/footer" Target="footer277.xml"/><Relationship Id="rId357" Type="http://schemas.openxmlformats.org/officeDocument/2006/relationships/footer" Target="footer276.xml"/><Relationship Id="rId356" Type="http://schemas.openxmlformats.org/officeDocument/2006/relationships/footer" Target="footer275.xml"/><Relationship Id="rId355" Type="http://schemas.openxmlformats.org/officeDocument/2006/relationships/footer" Target="footer274.xml"/><Relationship Id="rId354" Type="http://schemas.openxmlformats.org/officeDocument/2006/relationships/footer" Target="footer273.xml"/><Relationship Id="rId353" Type="http://schemas.openxmlformats.org/officeDocument/2006/relationships/footer" Target="footer272.xml"/><Relationship Id="rId352" Type="http://schemas.openxmlformats.org/officeDocument/2006/relationships/footer" Target="footer271.xml"/><Relationship Id="rId351" Type="http://schemas.openxmlformats.org/officeDocument/2006/relationships/footer" Target="footer270.xml"/><Relationship Id="rId350" Type="http://schemas.openxmlformats.org/officeDocument/2006/relationships/footer" Target="footer269.xml"/><Relationship Id="rId35" Type="http://schemas.openxmlformats.org/officeDocument/2006/relationships/footer" Target="footer21.xml"/><Relationship Id="rId349" Type="http://schemas.openxmlformats.org/officeDocument/2006/relationships/footer" Target="footer268.xml"/><Relationship Id="rId348" Type="http://schemas.openxmlformats.org/officeDocument/2006/relationships/footer" Target="footer267.xml"/><Relationship Id="rId347" Type="http://schemas.openxmlformats.org/officeDocument/2006/relationships/footer" Target="footer266.xml"/><Relationship Id="rId346" Type="http://schemas.openxmlformats.org/officeDocument/2006/relationships/footer" Target="footer265.xml"/><Relationship Id="rId345" Type="http://schemas.openxmlformats.org/officeDocument/2006/relationships/footer" Target="footer264.xml"/><Relationship Id="rId344" Type="http://schemas.openxmlformats.org/officeDocument/2006/relationships/image" Target="media/image54.jpeg"/><Relationship Id="rId343" Type="http://schemas.openxmlformats.org/officeDocument/2006/relationships/footer" Target="footer263.xml"/><Relationship Id="rId342" Type="http://schemas.openxmlformats.org/officeDocument/2006/relationships/footer" Target="footer262.xml"/><Relationship Id="rId341" Type="http://schemas.openxmlformats.org/officeDocument/2006/relationships/footer" Target="footer261.xml"/><Relationship Id="rId340" Type="http://schemas.openxmlformats.org/officeDocument/2006/relationships/footer" Target="footer260.xml"/><Relationship Id="rId34" Type="http://schemas.openxmlformats.org/officeDocument/2006/relationships/header" Target="header12.xml"/><Relationship Id="rId339" Type="http://schemas.openxmlformats.org/officeDocument/2006/relationships/footer" Target="footer259.xml"/><Relationship Id="rId338" Type="http://schemas.openxmlformats.org/officeDocument/2006/relationships/footer" Target="footer258.xml"/><Relationship Id="rId337" Type="http://schemas.openxmlformats.org/officeDocument/2006/relationships/footer" Target="footer257.xml"/><Relationship Id="rId336" Type="http://schemas.openxmlformats.org/officeDocument/2006/relationships/footer" Target="footer256.xml"/><Relationship Id="rId335" Type="http://schemas.openxmlformats.org/officeDocument/2006/relationships/footer" Target="footer255.xml"/><Relationship Id="rId334" Type="http://schemas.openxmlformats.org/officeDocument/2006/relationships/footer" Target="footer254.xml"/><Relationship Id="rId333" Type="http://schemas.openxmlformats.org/officeDocument/2006/relationships/footer" Target="footer253.xml"/><Relationship Id="rId332" Type="http://schemas.openxmlformats.org/officeDocument/2006/relationships/footer" Target="footer252.xml"/><Relationship Id="rId331" Type="http://schemas.openxmlformats.org/officeDocument/2006/relationships/footer" Target="footer251.xml"/><Relationship Id="rId330" Type="http://schemas.openxmlformats.org/officeDocument/2006/relationships/footer" Target="footer250.xml"/><Relationship Id="rId33" Type="http://schemas.openxmlformats.org/officeDocument/2006/relationships/footer" Target="footer20.xml"/><Relationship Id="rId329" Type="http://schemas.openxmlformats.org/officeDocument/2006/relationships/footer" Target="footer249.xml"/><Relationship Id="rId328" Type="http://schemas.openxmlformats.org/officeDocument/2006/relationships/footer" Target="footer248.xml"/><Relationship Id="rId327" Type="http://schemas.openxmlformats.org/officeDocument/2006/relationships/footer" Target="footer247.xml"/><Relationship Id="rId326" Type="http://schemas.openxmlformats.org/officeDocument/2006/relationships/footer" Target="footer246.xml"/><Relationship Id="rId325" Type="http://schemas.openxmlformats.org/officeDocument/2006/relationships/footer" Target="footer245.xml"/><Relationship Id="rId324" Type="http://schemas.openxmlformats.org/officeDocument/2006/relationships/footer" Target="footer244.xml"/><Relationship Id="rId323" Type="http://schemas.openxmlformats.org/officeDocument/2006/relationships/footer" Target="footer243.xml"/><Relationship Id="rId322" Type="http://schemas.openxmlformats.org/officeDocument/2006/relationships/footer" Target="footer242.xml"/><Relationship Id="rId321" Type="http://schemas.openxmlformats.org/officeDocument/2006/relationships/image" Target="media/image53.jpeg"/><Relationship Id="rId320" Type="http://schemas.openxmlformats.org/officeDocument/2006/relationships/image" Target="media/image52.jpeg"/><Relationship Id="rId32" Type="http://schemas.openxmlformats.org/officeDocument/2006/relationships/footer" Target="footer19.xml"/><Relationship Id="rId319" Type="http://schemas.openxmlformats.org/officeDocument/2006/relationships/image" Target="media/image51.jpeg"/><Relationship Id="rId318" Type="http://schemas.openxmlformats.org/officeDocument/2006/relationships/footer" Target="footer241.xml"/><Relationship Id="rId317" Type="http://schemas.openxmlformats.org/officeDocument/2006/relationships/image" Target="media/image50.jpeg"/><Relationship Id="rId316" Type="http://schemas.openxmlformats.org/officeDocument/2006/relationships/footer" Target="footer240.xml"/><Relationship Id="rId315" Type="http://schemas.openxmlformats.org/officeDocument/2006/relationships/footer" Target="footer239.xml"/><Relationship Id="rId314" Type="http://schemas.openxmlformats.org/officeDocument/2006/relationships/image" Target="media/image49.jpeg"/><Relationship Id="rId313" Type="http://schemas.openxmlformats.org/officeDocument/2006/relationships/footer" Target="footer238.xml"/><Relationship Id="rId312" Type="http://schemas.openxmlformats.org/officeDocument/2006/relationships/footer" Target="footer237.xml"/><Relationship Id="rId311" Type="http://schemas.openxmlformats.org/officeDocument/2006/relationships/footer" Target="footer236.xml"/><Relationship Id="rId310" Type="http://schemas.openxmlformats.org/officeDocument/2006/relationships/footer" Target="footer235.xml"/><Relationship Id="rId31" Type="http://schemas.openxmlformats.org/officeDocument/2006/relationships/header" Target="header11.xml"/><Relationship Id="rId309" Type="http://schemas.openxmlformats.org/officeDocument/2006/relationships/footer" Target="footer234.xml"/><Relationship Id="rId308" Type="http://schemas.openxmlformats.org/officeDocument/2006/relationships/image" Target="media/image48.png"/><Relationship Id="rId307" Type="http://schemas.openxmlformats.org/officeDocument/2006/relationships/footer" Target="footer233.xml"/><Relationship Id="rId306" Type="http://schemas.openxmlformats.org/officeDocument/2006/relationships/image" Target="media/image47.jpeg"/><Relationship Id="rId305" Type="http://schemas.openxmlformats.org/officeDocument/2006/relationships/footer" Target="footer232.xml"/><Relationship Id="rId304" Type="http://schemas.openxmlformats.org/officeDocument/2006/relationships/image" Target="media/image46.png"/><Relationship Id="rId303" Type="http://schemas.openxmlformats.org/officeDocument/2006/relationships/image" Target="media/image45.png"/><Relationship Id="rId302" Type="http://schemas.openxmlformats.org/officeDocument/2006/relationships/footer" Target="footer231.xml"/><Relationship Id="rId301" Type="http://schemas.openxmlformats.org/officeDocument/2006/relationships/image" Target="media/image44.png"/><Relationship Id="rId300" Type="http://schemas.openxmlformats.org/officeDocument/2006/relationships/image" Target="media/image43.png"/><Relationship Id="rId30" Type="http://schemas.openxmlformats.org/officeDocument/2006/relationships/footer" Target="footer18.xml"/><Relationship Id="rId3" Type="http://schemas.openxmlformats.org/officeDocument/2006/relationships/footer" Target="footer1.xml"/><Relationship Id="rId299" Type="http://schemas.openxmlformats.org/officeDocument/2006/relationships/image" Target="media/image42.png"/><Relationship Id="rId298" Type="http://schemas.openxmlformats.org/officeDocument/2006/relationships/footer" Target="footer230.xml"/><Relationship Id="rId297" Type="http://schemas.openxmlformats.org/officeDocument/2006/relationships/image" Target="media/image41.png"/><Relationship Id="rId296" Type="http://schemas.openxmlformats.org/officeDocument/2006/relationships/image" Target="media/image40.png"/><Relationship Id="rId295" Type="http://schemas.openxmlformats.org/officeDocument/2006/relationships/image" Target="media/image39.png"/><Relationship Id="rId294" Type="http://schemas.openxmlformats.org/officeDocument/2006/relationships/image" Target="media/image38.png"/><Relationship Id="rId293" Type="http://schemas.openxmlformats.org/officeDocument/2006/relationships/image" Target="media/image37.png"/><Relationship Id="rId292" Type="http://schemas.openxmlformats.org/officeDocument/2006/relationships/footer" Target="footer229.xml"/><Relationship Id="rId291" Type="http://schemas.openxmlformats.org/officeDocument/2006/relationships/footer" Target="footer228.xml"/><Relationship Id="rId290" Type="http://schemas.openxmlformats.org/officeDocument/2006/relationships/header" Target="header27.xml"/><Relationship Id="rId29" Type="http://schemas.openxmlformats.org/officeDocument/2006/relationships/header" Target="header10.xml"/><Relationship Id="rId289" Type="http://schemas.openxmlformats.org/officeDocument/2006/relationships/footer" Target="footer227.xml"/><Relationship Id="rId288" Type="http://schemas.openxmlformats.org/officeDocument/2006/relationships/footer" Target="footer226.xml"/><Relationship Id="rId287" Type="http://schemas.openxmlformats.org/officeDocument/2006/relationships/image" Target="media/image36.png"/><Relationship Id="rId286" Type="http://schemas.openxmlformats.org/officeDocument/2006/relationships/image" Target="media/image35.png"/><Relationship Id="rId285" Type="http://schemas.openxmlformats.org/officeDocument/2006/relationships/footer" Target="footer225.xml"/><Relationship Id="rId284" Type="http://schemas.openxmlformats.org/officeDocument/2006/relationships/footer" Target="footer224.xml"/><Relationship Id="rId283" Type="http://schemas.openxmlformats.org/officeDocument/2006/relationships/footer" Target="footer223.xml"/><Relationship Id="rId282" Type="http://schemas.openxmlformats.org/officeDocument/2006/relationships/footer" Target="footer222.xml"/><Relationship Id="rId281" Type="http://schemas.openxmlformats.org/officeDocument/2006/relationships/footer" Target="footer221.xml"/><Relationship Id="rId280" Type="http://schemas.openxmlformats.org/officeDocument/2006/relationships/footer" Target="footer220.xml"/><Relationship Id="rId28" Type="http://schemas.openxmlformats.org/officeDocument/2006/relationships/footer" Target="footer17.xml"/><Relationship Id="rId279" Type="http://schemas.openxmlformats.org/officeDocument/2006/relationships/footer" Target="footer219.xml"/><Relationship Id="rId278" Type="http://schemas.openxmlformats.org/officeDocument/2006/relationships/image" Target="media/image34.png"/><Relationship Id="rId277" Type="http://schemas.openxmlformats.org/officeDocument/2006/relationships/footer" Target="footer218.xml"/><Relationship Id="rId276" Type="http://schemas.openxmlformats.org/officeDocument/2006/relationships/footer" Target="footer217.xml"/><Relationship Id="rId275" Type="http://schemas.openxmlformats.org/officeDocument/2006/relationships/footer" Target="footer216.xml"/><Relationship Id="rId274" Type="http://schemas.openxmlformats.org/officeDocument/2006/relationships/footer" Target="footer215.xml"/><Relationship Id="rId273" Type="http://schemas.openxmlformats.org/officeDocument/2006/relationships/footer" Target="footer214.xml"/><Relationship Id="rId272" Type="http://schemas.openxmlformats.org/officeDocument/2006/relationships/footer" Target="footer213.xml"/><Relationship Id="rId271" Type="http://schemas.openxmlformats.org/officeDocument/2006/relationships/image" Target="media/image33.png"/><Relationship Id="rId270" Type="http://schemas.openxmlformats.org/officeDocument/2006/relationships/image" Target="media/image32.png"/><Relationship Id="rId27" Type="http://schemas.openxmlformats.org/officeDocument/2006/relationships/header" Target="header9.xml"/><Relationship Id="rId269" Type="http://schemas.openxmlformats.org/officeDocument/2006/relationships/footer" Target="footer212.xml"/><Relationship Id="rId268" Type="http://schemas.openxmlformats.org/officeDocument/2006/relationships/footer" Target="footer211.xml"/><Relationship Id="rId267" Type="http://schemas.openxmlformats.org/officeDocument/2006/relationships/footer" Target="footer210.xml"/><Relationship Id="rId266" Type="http://schemas.openxmlformats.org/officeDocument/2006/relationships/footer" Target="footer209.xml"/><Relationship Id="rId265" Type="http://schemas.openxmlformats.org/officeDocument/2006/relationships/footer" Target="footer208.xml"/><Relationship Id="rId264" Type="http://schemas.openxmlformats.org/officeDocument/2006/relationships/footer" Target="footer207.xml"/><Relationship Id="rId263" Type="http://schemas.openxmlformats.org/officeDocument/2006/relationships/footer" Target="footer206.xml"/><Relationship Id="rId262" Type="http://schemas.openxmlformats.org/officeDocument/2006/relationships/footer" Target="footer205.xml"/><Relationship Id="rId261" Type="http://schemas.openxmlformats.org/officeDocument/2006/relationships/footer" Target="footer204.xml"/><Relationship Id="rId260" Type="http://schemas.openxmlformats.org/officeDocument/2006/relationships/footer" Target="footer203.xml"/><Relationship Id="rId26" Type="http://schemas.openxmlformats.org/officeDocument/2006/relationships/image" Target="media/image2.jpeg"/><Relationship Id="rId259" Type="http://schemas.openxmlformats.org/officeDocument/2006/relationships/footer" Target="footer202.xml"/><Relationship Id="rId258" Type="http://schemas.openxmlformats.org/officeDocument/2006/relationships/footer" Target="footer201.xml"/><Relationship Id="rId257" Type="http://schemas.openxmlformats.org/officeDocument/2006/relationships/footer" Target="footer200.xml"/><Relationship Id="rId256" Type="http://schemas.openxmlformats.org/officeDocument/2006/relationships/footer" Target="footer199.xml"/><Relationship Id="rId255" Type="http://schemas.openxmlformats.org/officeDocument/2006/relationships/footer" Target="footer198.xml"/><Relationship Id="rId254" Type="http://schemas.openxmlformats.org/officeDocument/2006/relationships/footer" Target="footer197.xml"/><Relationship Id="rId253" Type="http://schemas.openxmlformats.org/officeDocument/2006/relationships/footer" Target="footer196.xml"/><Relationship Id="rId252" Type="http://schemas.openxmlformats.org/officeDocument/2006/relationships/footer" Target="footer195.xml"/><Relationship Id="rId251" Type="http://schemas.openxmlformats.org/officeDocument/2006/relationships/footer" Target="footer194.xml"/><Relationship Id="rId250" Type="http://schemas.openxmlformats.org/officeDocument/2006/relationships/image" Target="media/image31.png"/><Relationship Id="rId25" Type="http://schemas.openxmlformats.org/officeDocument/2006/relationships/footer" Target="footer16.xml"/><Relationship Id="rId249" Type="http://schemas.openxmlformats.org/officeDocument/2006/relationships/image" Target="media/image30.png"/><Relationship Id="rId248" Type="http://schemas.openxmlformats.org/officeDocument/2006/relationships/image" Target="media/image29.png"/><Relationship Id="rId247" Type="http://schemas.openxmlformats.org/officeDocument/2006/relationships/footer" Target="footer193.xml"/><Relationship Id="rId246" Type="http://schemas.openxmlformats.org/officeDocument/2006/relationships/footer" Target="footer192.xml"/><Relationship Id="rId245" Type="http://schemas.openxmlformats.org/officeDocument/2006/relationships/footer" Target="footer191.xml"/><Relationship Id="rId244" Type="http://schemas.openxmlformats.org/officeDocument/2006/relationships/footer" Target="footer190.xml"/><Relationship Id="rId243" Type="http://schemas.openxmlformats.org/officeDocument/2006/relationships/image" Target="media/image28.png"/><Relationship Id="rId242" Type="http://schemas.openxmlformats.org/officeDocument/2006/relationships/image" Target="media/image27.png"/><Relationship Id="rId241" Type="http://schemas.openxmlformats.org/officeDocument/2006/relationships/footer" Target="footer189.xml"/><Relationship Id="rId240" Type="http://schemas.openxmlformats.org/officeDocument/2006/relationships/footer" Target="footer188.xml"/><Relationship Id="rId24" Type="http://schemas.openxmlformats.org/officeDocument/2006/relationships/header" Target="header8.xml"/><Relationship Id="rId239" Type="http://schemas.openxmlformats.org/officeDocument/2006/relationships/footer" Target="footer187.xml"/><Relationship Id="rId238" Type="http://schemas.openxmlformats.org/officeDocument/2006/relationships/image" Target="media/image26.jpeg"/><Relationship Id="rId237" Type="http://schemas.openxmlformats.org/officeDocument/2006/relationships/footer" Target="footer186.xml"/><Relationship Id="rId236" Type="http://schemas.openxmlformats.org/officeDocument/2006/relationships/footer" Target="footer185.xml"/><Relationship Id="rId235" Type="http://schemas.openxmlformats.org/officeDocument/2006/relationships/footer" Target="footer184.xml"/><Relationship Id="rId234" Type="http://schemas.openxmlformats.org/officeDocument/2006/relationships/footer" Target="footer183.xml"/><Relationship Id="rId233" Type="http://schemas.openxmlformats.org/officeDocument/2006/relationships/image" Target="media/image25.jpeg"/><Relationship Id="rId232" Type="http://schemas.openxmlformats.org/officeDocument/2006/relationships/footer" Target="footer182.xml"/><Relationship Id="rId231" Type="http://schemas.openxmlformats.org/officeDocument/2006/relationships/footer" Target="footer181.xml"/><Relationship Id="rId230" Type="http://schemas.openxmlformats.org/officeDocument/2006/relationships/footer" Target="footer180.xml"/><Relationship Id="rId23" Type="http://schemas.openxmlformats.org/officeDocument/2006/relationships/footer" Target="footer15.xml"/><Relationship Id="rId229" Type="http://schemas.openxmlformats.org/officeDocument/2006/relationships/footer" Target="footer179.xml"/><Relationship Id="rId228" Type="http://schemas.openxmlformats.org/officeDocument/2006/relationships/footer" Target="footer178.xml"/><Relationship Id="rId227" Type="http://schemas.openxmlformats.org/officeDocument/2006/relationships/footer" Target="footer177.xml"/><Relationship Id="rId226" Type="http://schemas.openxmlformats.org/officeDocument/2006/relationships/footer" Target="footer176.xml"/><Relationship Id="rId225" Type="http://schemas.openxmlformats.org/officeDocument/2006/relationships/footer" Target="footer175.xml"/><Relationship Id="rId224" Type="http://schemas.openxmlformats.org/officeDocument/2006/relationships/footer" Target="footer174.xml"/><Relationship Id="rId223" Type="http://schemas.openxmlformats.org/officeDocument/2006/relationships/footer" Target="footer173.xml"/><Relationship Id="rId222" Type="http://schemas.openxmlformats.org/officeDocument/2006/relationships/footer" Target="footer172.xml"/><Relationship Id="rId221" Type="http://schemas.openxmlformats.org/officeDocument/2006/relationships/image" Target="media/image24.jpeg"/><Relationship Id="rId220" Type="http://schemas.openxmlformats.org/officeDocument/2006/relationships/footer" Target="footer171.xml"/><Relationship Id="rId22" Type="http://schemas.openxmlformats.org/officeDocument/2006/relationships/footer" Target="footer14.xml"/><Relationship Id="rId219" Type="http://schemas.openxmlformats.org/officeDocument/2006/relationships/footer" Target="footer170.xml"/><Relationship Id="rId218" Type="http://schemas.openxmlformats.org/officeDocument/2006/relationships/footer" Target="footer169.xml"/><Relationship Id="rId217" Type="http://schemas.openxmlformats.org/officeDocument/2006/relationships/footer" Target="footer168.xml"/><Relationship Id="rId216" Type="http://schemas.openxmlformats.org/officeDocument/2006/relationships/footer" Target="footer167.xml"/><Relationship Id="rId215" Type="http://schemas.openxmlformats.org/officeDocument/2006/relationships/image" Target="media/image23.jpeg"/><Relationship Id="rId214" Type="http://schemas.openxmlformats.org/officeDocument/2006/relationships/image" Target="media/image22.jpeg"/><Relationship Id="rId213" Type="http://schemas.openxmlformats.org/officeDocument/2006/relationships/footer" Target="footer166.xml"/><Relationship Id="rId212" Type="http://schemas.openxmlformats.org/officeDocument/2006/relationships/image" Target="media/image21.jpeg"/><Relationship Id="rId211" Type="http://schemas.openxmlformats.org/officeDocument/2006/relationships/footer" Target="footer165.xml"/><Relationship Id="rId210" Type="http://schemas.openxmlformats.org/officeDocument/2006/relationships/footer" Target="footer164.xml"/><Relationship Id="rId21" Type="http://schemas.openxmlformats.org/officeDocument/2006/relationships/image" Target="media/image1.jpeg"/><Relationship Id="rId209" Type="http://schemas.openxmlformats.org/officeDocument/2006/relationships/footer" Target="footer163.xml"/><Relationship Id="rId208" Type="http://schemas.openxmlformats.org/officeDocument/2006/relationships/footer" Target="footer162.xml"/><Relationship Id="rId207" Type="http://schemas.openxmlformats.org/officeDocument/2006/relationships/footer" Target="footer161.xml"/><Relationship Id="rId206" Type="http://schemas.openxmlformats.org/officeDocument/2006/relationships/footer" Target="footer160.xml"/><Relationship Id="rId205" Type="http://schemas.openxmlformats.org/officeDocument/2006/relationships/footer" Target="footer159.xml"/><Relationship Id="rId204" Type="http://schemas.openxmlformats.org/officeDocument/2006/relationships/header" Target="header26.xml"/><Relationship Id="rId203" Type="http://schemas.openxmlformats.org/officeDocument/2006/relationships/footer" Target="footer158.xml"/><Relationship Id="rId202" Type="http://schemas.openxmlformats.org/officeDocument/2006/relationships/footer" Target="footer157.xml"/><Relationship Id="rId201" Type="http://schemas.openxmlformats.org/officeDocument/2006/relationships/footer" Target="footer156.xml"/><Relationship Id="rId200" Type="http://schemas.openxmlformats.org/officeDocument/2006/relationships/footer" Target="footer155.xml"/><Relationship Id="rId20" Type="http://schemas.openxmlformats.org/officeDocument/2006/relationships/footer" Target="footer13.xml"/><Relationship Id="rId2" Type="http://schemas.openxmlformats.org/officeDocument/2006/relationships/header" Target="header2.xml"/><Relationship Id="rId199" Type="http://schemas.openxmlformats.org/officeDocument/2006/relationships/footer" Target="footer154.xml"/><Relationship Id="rId198" Type="http://schemas.openxmlformats.org/officeDocument/2006/relationships/header" Target="header25.xml"/><Relationship Id="rId197" Type="http://schemas.openxmlformats.org/officeDocument/2006/relationships/footer" Target="footer153.xml"/><Relationship Id="rId196" Type="http://schemas.openxmlformats.org/officeDocument/2006/relationships/header" Target="header24.xml"/><Relationship Id="rId195" Type="http://schemas.openxmlformats.org/officeDocument/2006/relationships/footer" Target="footer152.xml"/><Relationship Id="rId194" Type="http://schemas.openxmlformats.org/officeDocument/2006/relationships/footer" Target="footer151.xml"/><Relationship Id="rId193" Type="http://schemas.openxmlformats.org/officeDocument/2006/relationships/footer" Target="footer150.xml"/><Relationship Id="rId192" Type="http://schemas.openxmlformats.org/officeDocument/2006/relationships/header" Target="header23.xml"/><Relationship Id="rId191" Type="http://schemas.openxmlformats.org/officeDocument/2006/relationships/footer" Target="footer149.xml"/><Relationship Id="rId190" Type="http://schemas.openxmlformats.org/officeDocument/2006/relationships/footer" Target="footer148.xml"/><Relationship Id="rId19" Type="http://schemas.openxmlformats.org/officeDocument/2006/relationships/header" Target="header7.xml"/><Relationship Id="rId189" Type="http://schemas.openxmlformats.org/officeDocument/2006/relationships/footer" Target="footer147.xml"/><Relationship Id="rId188" Type="http://schemas.openxmlformats.org/officeDocument/2006/relationships/footer" Target="footer146.xml"/><Relationship Id="rId187" Type="http://schemas.openxmlformats.org/officeDocument/2006/relationships/footer" Target="footer145.xml"/><Relationship Id="rId186" Type="http://schemas.openxmlformats.org/officeDocument/2006/relationships/footer" Target="footer144.xml"/><Relationship Id="rId185" Type="http://schemas.openxmlformats.org/officeDocument/2006/relationships/image" Target="media/image20.png"/><Relationship Id="rId184" Type="http://schemas.openxmlformats.org/officeDocument/2006/relationships/footer" Target="footer143.xml"/><Relationship Id="rId183" Type="http://schemas.openxmlformats.org/officeDocument/2006/relationships/image" Target="media/image19.png"/><Relationship Id="rId182" Type="http://schemas.openxmlformats.org/officeDocument/2006/relationships/image" Target="media/image18.png"/><Relationship Id="rId181" Type="http://schemas.openxmlformats.org/officeDocument/2006/relationships/footer" Target="footer142.xml"/><Relationship Id="rId180" Type="http://schemas.openxmlformats.org/officeDocument/2006/relationships/image" Target="media/image17.png"/><Relationship Id="rId18" Type="http://schemas.openxmlformats.org/officeDocument/2006/relationships/footer" Target="footer12.xml"/><Relationship Id="rId179" Type="http://schemas.openxmlformats.org/officeDocument/2006/relationships/image" Target="media/image16.png"/><Relationship Id="rId178" Type="http://schemas.openxmlformats.org/officeDocument/2006/relationships/footer" Target="footer141.xml"/><Relationship Id="rId177" Type="http://schemas.openxmlformats.org/officeDocument/2006/relationships/image" Target="media/image15.png"/><Relationship Id="rId176" Type="http://schemas.openxmlformats.org/officeDocument/2006/relationships/footer" Target="footer140.xml"/><Relationship Id="rId175" Type="http://schemas.openxmlformats.org/officeDocument/2006/relationships/header" Target="header22.xml"/><Relationship Id="rId174" Type="http://schemas.openxmlformats.org/officeDocument/2006/relationships/footer" Target="footer139.xml"/><Relationship Id="rId173" Type="http://schemas.openxmlformats.org/officeDocument/2006/relationships/footer" Target="footer138.xml"/><Relationship Id="rId172" Type="http://schemas.openxmlformats.org/officeDocument/2006/relationships/footer" Target="footer137.xml"/><Relationship Id="rId171" Type="http://schemas.openxmlformats.org/officeDocument/2006/relationships/header" Target="header21.xml"/><Relationship Id="rId170" Type="http://schemas.openxmlformats.org/officeDocument/2006/relationships/footer" Target="footer136.xml"/><Relationship Id="rId17" Type="http://schemas.openxmlformats.org/officeDocument/2006/relationships/header" Target="header6.xml"/><Relationship Id="rId169" Type="http://schemas.openxmlformats.org/officeDocument/2006/relationships/footer" Target="footer135.xml"/><Relationship Id="rId168" Type="http://schemas.openxmlformats.org/officeDocument/2006/relationships/header" Target="header20.xml"/><Relationship Id="rId167" Type="http://schemas.openxmlformats.org/officeDocument/2006/relationships/footer" Target="footer134.xml"/><Relationship Id="rId166" Type="http://schemas.openxmlformats.org/officeDocument/2006/relationships/header" Target="header19.xml"/><Relationship Id="rId165" Type="http://schemas.openxmlformats.org/officeDocument/2006/relationships/footer" Target="footer133.xml"/><Relationship Id="rId164" Type="http://schemas.openxmlformats.org/officeDocument/2006/relationships/header" Target="header18.xml"/><Relationship Id="rId163" Type="http://schemas.openxmlformats.org/officeDocument/2006/relationships/footer" Target="footer132.xml"/><Relationship Id="rId162" Type="http://schemas.openxmlformats.org/officeDocument/2006/relationships/footer" Target="footer131.xml"/><Relationship Id="rId161" Type="http://schemas.openxmlformats.org/officeDocument/2006/relationships/header" Target="header17.xml"/><Relationship Id="rId160" Type="http://schemas.openxmlformats.org/officeDocument/2006/relationships/footer" Target="footer130.xml"/><Relationship Id="rId16" Type="http://schemas.openxmlformats.org/officeDocument/2006/relationships/footer" Target="footer11.xml"/><Relationship Id="rId159" Type="http://schemas.openxmlformats.org/officeDocument/2006/relationships/image" Target="media/image14.jpeg"/><Relationship Id="rId158" Type="http://schemas.openxmlformats.org/officeDocument/2006/relationships/footer" Target="footer129.xml"/><Relationship Id="rId157" Type="http://schemas.openxmlformats.org/officeDocument/2006/relationships/footer" Target="footer128.xml"/><Relationship Id="rId156" Type="http://schemas.openxmlformats.org/officeDocument/2006/relationships/footer" Target="footer127.xml"/><Relationship Id="rId155" Type="http://schemas.openxmlformats.org/officeDocument/2006/relationships/footer" Target="footer126.xml"/><Relationship Id="rId154" Type="http://schemas.openxmlformats.org/officeDocument/2006/relationships/footer" Target="footer125.xml"/><Relationship Id="rId153" Type="http://schemas.openxmlformats.org/officeDocument/2006/relationships/image" Target="media/image13.jpeg"/><Relationship Id="rId152" Type="http://schemas.openxmlformats.org/officeDocument/2006/relationships/footer" Target="footer124.xml"/><Relationship Id="rId151" Type="http://schemas.openxmlformats.org/officeDocument/2006/relationships/footer" Target="footer123.xml"/><Relationship Id="rId150" Type="http://schemas.openxmlformats.org/officeDocument/2006/relationships/footer" Target="footer122.xml"/><Relationship Id="rId15" Type="http://schemas.openxmlformats.org/officeDocument/2006/relationships/header" Target="header5.xml"/><Relationship Id="rId149" Type="http://schemas.openxmlformats.org/officeDocument/2006/relationships/footer" Target="footer121.xml"/><Relationship Id="rId148" Type="http://schemas.openxmlformats.org/officeDocument/2006/relationships/footer" Target="footer120.xml"/><Relationship Id="rId147" Type="http://schemas.openxmlformats.org/officeDocument/2006/relationships/image" Target="media/image12.jpeg"/><Relationship Id="rId146" Type="http://schemas.openxmlformats.org/officeDocument/2006/relationships/footer" Target="footer119.xml"/><Relationship Id="rId145" Type="http://schemas.openxmlformats.org/officeDocument/2006/relationships/footer" Target="footer118.xml"/><Relationship Id="rId144" Type="http://schemas.openxmlformats.org/officeDocument/2006/relationships/footer" Target="footer117.xml"/><Relationship Id="rId143" Type="http://schemas.openxmlformats.org/officeDocument/2006/relationships/image" Target="media/image11.jpeg"/><Relationship Id="rId142" Type="http://schemas.openxmlformats.org/officeDocument/2006/relationships/footer" Target="footer116.xml"/><Relationship Id="rId141" Type="http://schemas.openxmlformats.org/officeDocument/2006/relationships/footer" Target="footer115.xml"/><Relationship Id="rId140" Type="http://schemas.openxmlformats.org/officeDocument/2006/relationships/footer" Target="footer114.xml"/><Relationship Id="rId14" Type="http://schemas.openxmlformats.org/officeDocument/2006/relationships/footer" Target="footer10.xml"/><Relationship Id="rId139" Type="http://schemas.openxmlformats.org/officeDocument/2006/relationships/footer" Target="footer113.xml"/><Relationship Id="rId138" Type="http://schemas.openxmlformats.org/officeDocument/2006/relationships/image" Target="media/image10.jpeg"/><Relationship Id="rId137" Type="http://schemas.openxmlformats.org/officeDocument/2006/relationships/footer" Target="footer112.xml"/><Relationship Id="rId136" Type="http://schemas.openxmlformats.org/officeDocument/2006/relationships/footer" Target="footer111.xml"/><Relationship Id="rId135" Type="http://schemas.openxmlformats.org/officeDocument/2006/relationships/footer" Target="footer110.xml"/><Relationship Id="rId134" Type="http://schemas.openxmlformats.org/officeDocument/2006/relationships/footer" Target="footer109.xml"/><Relationship Id="rId133" Type="http://schemas.openxmlformats.org/officeDocument/2006/relationships/footer" Target="footer108.xml"/><Relationship Id="rId132" Type="http://schemas.openxmlformats.org/officeDocument/2006/relationships/footer" Target="footer107.xml"/><Relationship Id="rId131" Type="http://schemas.openxmlformats.org/officeDocument/2006/relationships/footer" Target="footer106.xml"/><Relationship Id="rId130" Type="http://schemas.openxmlformats.org/officeDocument/2006/relationships/footer" Target="footer105.xml"/><Relationship Id="rId13" Type="http://schemas.openxmlformats.org/officeDocument/2006/relationships/header" Target="header4.xml"/><Relationship Id="rId129" Type="http://schemas.openxmlformats.org/officeDocument/2006/relationships/footer" Target="footer104.xml"/><Relationship Id="rId128" Type="http://schemas.openxmlformats.org/officeDocument/2006/relationships/footer" Target="footer103.xml"/><Relationship Id="rId127" Type="http://schemas.openxmlformats.org/officeDocument/2006/relationships/footer" Target="footer102.xml"/><Relationship Id="rId126" Type="http://schemas.openxmlformats.org/officeDocument/2006/relationships/footer" Target="footer101.xml"/><Relationship Id="rId125" Type="http://schemas.openxmlformats.org/officeDocument/2006/relationships/footer" Target="footer100.xml"/><Relationship Id="rId124" Type="http://schemas.openxmlformats.org/officeDocument/2006/relationships/footer" Target="footer99.xml"/><Relationship Id="rId123" Type="http://schemas.openxmlformats.org/officeDocument/2006/relationships/footer" Target="footer98.xml"/><Relationship Id="rId122" Type="http://schemas.openxmlformats.org/officeDocument/2006/relationships/footer" Target="footer97.xml"/><Relationship Id="rId121" Type="http://schemas.openxmlformats.org/officeDocument/2006/relationships/image" Target="media/image9.png"/><Relationship Id="rId120" Type="http://schemas.openxmlformats.org/officeDocument/2006/relationships/image" Target="media/image8.png"/><Relationship Id="rId12" Type="http://schemas.openxmlformats.org/officeDocument/2006/relationships/footer" Target="footer9.xml"/><Relationship Id="rId119" Type="http://schemas.openxmlformats.org/officeDocument/2006/relationships/footer" Target="footer96.xml"/><Relationship Id="rId118" Type="http://schemas.openxmlformats.org/officeDocument/2006/relationships/footer" Target="footer95.xml"/><Relationship Id="rId117" Type="http://schemas.openxmlformats.org/officeDocument/2006/relationships/footer" Target="footer94.xml"/><Relationship Id="rId116" Type="http://schemas.openxmlformats.org/officeDocument/2006/relationships/footer" Target="footer93.xml"/><Relationship Id="rId115" Type="http://schemas.openxmlformats.org/officeDocument/2006/relationships/footer" Target="footer92.xml"/><Relationship Id="rId114" Type="http://schemas.openxmlformats.org/officeDocument/2006/relationships/footer" Target="footer91.xml"/><Relationship Id="rId113" Type="http://schemas.openxmlformats.org/officeDocument/2006/relationships/footer" Target="footer90.xml"/><Relationship Id="rId112" Type="http://schemas.openxmlformats.org/officeDocument/2006/relationships/footer" Target="footer89.xml"/><Relationship Id="rId111" Type="http://schemas.openxmlformats.org/officeDocument/2006/relationships/footer" Target="footer88.xml"/><Relationship Id="rId110" Type="http://schemas.openxmlformats.org/officeDocument/2006/relationships/footer" Target="footer87.xml"/><Relationship Id="rId11" Type="http://schemas.openxmlformats.org/officeDocument/2006/relationships/header" Target="header3.xml"/><Relationship Id="rId109" Type="http://schemas.openxmlformats.org/officeDocument/2006/relationships/footer" Target="footer86.xml"/><Relationship Id="rId108" Type="http://schemas.openxmlformats.org/officeDocument/2006/relationships/footer" Target="footer85.xml"/><Relationship Id="rId107" Type="http://schemas.openxmlformats.org/officeDocument/2006/relationships/footer" Target="footer84.xml"/><Relationship Id="rId106" Type="http://schemas.openxmlformats.org/officeDocument/2006/relationships/footer" Target="footer83.xml"/><Relationship Id="rId105" Type="http://schemas.openxmlformats.org/officeDocument/2006/relationships/footer" Target="footer82.xml"/><Relationship Id="rId104" Type="http://schemas.openxmlformats.org/officeDocument/2006/relationships/footer" Target="footer81.xml"/><Relationship Id="rId103" Type="http://schemas.openxmlformats.org/officeDocument/2006/relationships/footer" Target="footer80.xml"/><Relationship Id="rId102" Type="http://schemas.openxmlformats.org/officeDocument/2006/relationships/footer" Target="footer79.xml"/><Relationship Id="rId101" Type="http://schemas.openxmlformats.org/officeDocument/2006/relationships/footer" Target="footer78.xml"/><Relationship Id="rId100" Type="http://schemas.openxmlformats.org/officeDocument/2006/relationships/footer" Target="footer77.xml"/><Relationship Id="rId10" Type="http://schemas.openxmlformats.org/officeDocument/2006/relationships/footer" Target="footer8.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helin</dc:creator>
  <dcterms:created xsi:type="dcterms:W3CDTF">2025-11-27T12:12:53Z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2025-11-28T15:49:59</vt:filetime>
  </property>
</Properties>
</file>